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707537" w14:textId="78411276" w:rsidR="001C2F95" w:rsidRPr="004E62C4" w:rsidRDefault="001C2F95" w:rsidP="001C2F95">
      <w:pPr>
        <w:spacing w:line="240" w:lineRule="auto"/>
        <w:jc w:val="center"/>
        <w:rPr>
          <w:rFonts w:cs="Arial"/>
          <w:b/>
          <w:color w:val="333333"/>
          <w:sz w:val="24"/>
          <w:szCs w:val="24"/>
          <w:shd w:val="clear" w:color="auto" w:fill="FFFFFF"/>
        </w:rPr>
      </w:pPr>
      <w:bookmarkStart w:id="0" w:name="_Toc391821288"/>
      <w:bookmarkStart w:id="1" w:name="_Toc386103865"/>
      <w:bookmarkStart w:id="2" w:name="_GoBack"/>
      <w:bookmarkEnd w:id="2"/>
      <w:r w:rsidRPr="004E62C4">
        <w:rPr>
          <w:rFonts w:cs="Arial"/>
          <w:b/>
          <w:color w:val="007E39"/>
          <w:sz w:val="24"/>
          <w:szCs w:val="24"/>
          <w:shd w:val="clear" w:color="auto" w:fill="FFFFFF"/>
        </w:rPr>
        <w:t>R</w:t>
      </w:r>
      <w:r>
        <w:rPr>
          <w:rFonts w:cs="Arial"/>
          <w:b/>
          <w:color w:val="007E39"/>
          <w:sz w:val="24"/>
          <w:szCs w:val="24"/>
          <w:shd w:val="clear" w:color="auto" w:fill="FFFFFF"/>
        </w:rPr>
        <w:t>É</w:t>
      </w:r>
      <w:r w:rsidRPr="004E62C4">
        <w:rPr>
          <w:rFonts w:cs="Arial"/>
          <w:b/>
          <w:color w:val="007E39"/>
          <w:sz w:val="24"/>
          <w:szCs w:val="24"/>
          <w:shd w:val="clear" w:color="auto" w:fill="FFFFFF"/>
        </w:rPr>
        <w:t>PUBLIQUE D</w:t>
      </w:r>
      <w:r>
        <w:rPr>
          <w:rFonts w:cs="Arial"/>
          <w:b/>
          <w:color w:val="007E39"/>
          <w:sz w:val="24"/>
          <w:szCs w:val="24"/>
          <w:shd w:val="clear" w:color="auto" w:fill="FFFFFF"/>
        </w:rPr>
        <w:t>É</w:t>
      </w:r>
      <w:r w:rsidRPr="004E62C4">
        <w:rPr>
          <w:rFonts w:cs="Arial"/>
          <w:b/>
          <w:color w:val="007E39"/>
          <w:sz w:val="24"/>
          <w:szCs w:val="24"/>
          <w:shd w:val="clear" w:color="auto" w:fill="FFFFFF"/>
        </w:rPr>
        <w:t>MOCRATIQUE DU CONGO</w:t>
      </w:r>
    </w:p>
    <w:p w14:paraId="4E4D8975" w14:textId="1795954B" w:rsidR="001C2F95" w:rsidRPr="004E62C4" w:rsidRDefault="001C2F95" w:rsidP="001C2F95">
      <w:pPr>
        <w:spacing w:line="240" w:lineRule="auto"/>
        <w:jc w:val="center"/>
        <w:rPr>
          <w:rFonts w:cs="Arial"/>
          <w:b/>
          <w:color w:val="007E39"/>
          <w:sz w:val="24"/>
          <w:szCs w:val="24"/>
          <w:shd w:val="clear" w:color="auto" w:fill="FFFFFF"/>
        </w:rPr>
      </w:pPr>
      <w:r w:rsidRPr="004E62C4">
        <w:rPr>
          <w:rFonts w:cs="Arial"/>
          <w:b/>
          <w:color w:val="007E39"/>
          <w:sz w:val="24"/>
          <w:szCs w:val="24"/>
          <w:shd w:val="clear" w:color="auto" w:fill="FFFFFF"/>
        </w:rPr>
        <w:t>MINIST</w:t>
      </w:r>
      <w:r>
        <w:rPr>
          <w:rFonts w:cs="Arial"/>
          <w:b/>
          <w:color w:val="007E39"/>
          <w:sz w:val="24"/>
          <w:szCs w:val="24"/>
          <w:shd w:val="clear" w:color="auto" w:fill="FFFFFF"/>
        </w:rPr>
        <w:t>È</w:t>
      </w:r>
      <w:r w:rsidRPr="004E62C4">
        <w:rPr>
          <w:rFonts w:cs="Arial"/>
          <w:b/>
          <w:color w:val="007E39"/>
          <w:sz w:val="24"/>
          <w:szCs w:val="24"/>
          <w:shd w:val="clear" w:color="auto" w:fill="FFFFFF"/>
        </w:rPr>
        <w:t>RE DE L’AGRICULTURE</w:t>
      </w:r>
    </w:p>
    <w:p w14:paraId="0F9F3C7A" w14:textId="5DE7F977" w:rsidR="001C2F95" w:rsidRPr="004E62C4" w:rsidRDefault="001C2F95" w:rsidP="001C2F95">
      <w:pPr>
        <w:spacing w:line="240" w:lineRule="auto"/>
        <w:jc w:val="center"/>
        <w:rPr>
          <w:rFonts w:cs="Arial"/>
          <w:b/>
          <w:color w:val="007E39"/>
          <w:sz w:val="24"/>
          <w:szCs w:val="24"/>
          <w:shd w:val="clear" w:color="auto" w:fill="FFFFFF"/>
        </w:rPr>
      </w:pPr>
      <w:r w:rsidRPr="004E62C4">
        <w:rPr>
          <w:rFonts w:cs="Arial"/>
          <w:b/>
          <w:sz w:val="24"/>
          <w:szCs w:val="24"/>
          <w:shd w:val="clear" w:color="auto" w:fill="FFFFFF"/>
        </w:rPr>
        <w:t>SECR</w:t>
      </w:r>
      <w:r>
        <w:rPr>
          <w:rFonts w:cs="Arial"/>
          <w:b/>
          <w:sz w:val="24"/>
          <w:szCs w:val="24"/>
          <w:shd w:val="clear" w:color="auto" w:fill="FFFFFF"/>
        </w:rPr>
        <w:t>É</w:t>
      </w:r>
      <w:r w:rsidRPr="004E62C4">
        <w:rPr>
          <w:rFonts w:cs="Arial"/>
          <w:b/>
          <w:sz w:val="24"/>
          <w:szCs w:val="24"/>
          <w:shd w:val="clear" w:color="auto" w:fill="FFFFFF"/>
        </w:rPr>
        <w:t>TARIAT G</w:t>
      </w:r>
      <w:r>
        <w:rPr>
          <w:rFonts w:cs="Arial"/>
          <w:b/>
          <w:sz w:val="24"/>
          <w:szCs w:val="24"/>
          <w:shd w:val="clear" w:color="auto" w:fill="FFFFFF"/>
        </w:rPr>
        <w:t>É</w:t>
      </w:r>
      <w:r w:rsidRPr="004E62C4">
        <w:rPr>
          <w:rFonts w:cs="Arial"/>
          <w:b/>
          <w:sz w:val="24"/>
          <w:szCs w:val="24"/>
          <w:shd w:val="clear" w:color="auto" w:fill="FFFFFF"/>
        </w:rPr>
        <w:t>N</w:t>
      </w:r>
      <w:r>
        <w:rPr>
          <w:rFonts w:cs="Arial"/>
          <w:b/>
          <w:sz w:val="24"/>
          <w:szCs w:val="24"/>
          <w:shd w:val="clear" w:color="auto" w:fill="FFFFFF"/>
        </w:rPr>
        <w:t>É</w:t>
      </w:r>
      <w:r w:rsidRPr="004E62C4">
        <w:rPr>
          <w:rFonts w:cs="Arial"/>
          <w:b/>
          <w:sz w:val="24"/>
          <w:szCs w:val="24"/>
          <w:shd w:val="clear" w:color="auto" w:fill="FFFFFF"/>
        </w:rPr>
        <w:t>RAL DE L’AGRICULTURE</w:t>
      </w:r>
    </w:p>
    <w:p w14:paraId="6ADFC82B" w14:textId="44C9F845" w:rsidR="001C2F95" w:rsidRPr="004E62C4" w:rsidRDefault="001C2F95" w:rsidP="001C2F95">
      <w:pPr>
        <w:shd w:val="clear" w:color="auto" w:fill="FFFFFF"/>
        <w:tabs>
          <w:tab w:val="center" w:pos="4536"/>
          <w:tab w:val="right" w:pos="9072"/>
        </w:tabs>
        <w:spacing w:line="240" w:lineRule="auto"/>
        <w:rPr>
          <w:rFonts w:cs="Arial"/>
          <w:b/>
          <w:bCs/>
          <w:sz w:val="24"/>
          <w:szCs w:val="24"/>
        </w:rPr>
      </w:pPr>
    </w:p>
    <w:p w14:paraId="260F0E23" w14:textId="134635E0" w:rsidR="001C2F95" w:rsidRDefault="00BE5C15" w:rsidP="001C2F95">
      <w:pPr>
        <w:spacing w:line="240" w:lineRule="auto"/>
        <w:rPr>
          <w:rFonts w:cs="Arial"/>
          <w:b/>
          <w:sz w:val="24"/>
          <w:szCs w:val="24"/>
        </w:rPr>
      </w:pPr>
      <w:r>
        <w:rPr>
          <w:noProof/>
        </w:rPr>
        <w:drawing>
          <wp:anchor distT="0" distB="0" distL="114300" distR="114300" simplePos="0" relativeHeight="251658240" behindDoc="0" locked="0" layoutInCell="1" allowOverlap="1" wp14:anchorId="4C8DBB36" wp14:editId="3668AE3D">
            <wp:simplePos x="0" y="0"/>
            <wp:positionH relativeFrom="column">
              <wp:posOffset>2411144</wp:posOffset>
            </wp:positionH>
            <wp:positionV relativeFrom="paragraph">
              <wp:posOffset>62230</wp:posOffset>
            </wp:positionV>
            <wp:extent cx="933450" cy="666750"/>
            <wp:effectExtent l="0" t="0" r="0" b="0"/>
            <wp:wrapNone/>
            <wp:docPr id="201" name="Image 11" descr="Description : 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Description : Image associé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3450"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9E1993" w14:textId="77777777" w:rsidR="001C2F95" w:rsidRDefault="001C2F95" w:rsidP="001C2F95">
      <w:pPr>
        <w:spacing w:line="240" w:lineRule="auto"/>
        <w:rPr>
          <w:rFonts w:cs="Arial"/>
          <w:b/>
          <w:sz w:val="24"/>
          <w:szCs w:val="24"/>
        </w:rPr>
      </w:pPr>
    </w:p>
    <w:p w14:paraId="0E47F379" w14:textId="77777777" w:rsidR="001C2F95" w:rsidRDefault="001C2F95" w:rsidP="001C2F95">
      <w:pPr>
        <w:spacing w:line="240" w:lineRule="auto"/>
        <w:rPr>
          <w:rFonts w:cs="Arial"/>
          <w:b/>
          <w:sz w:val="24"/>
          <w:szCs w:val="24"/>
        </w:rPr>
      </w:pPr>
    </w:p>
    <w:p w14:paraId="79541EFA" w14:textId="77777777" w:rsidR="001C2F95" w:rsidRDefault="001C2F95" w:rsidP="001C2F95">
      <w:pPr>
        <w:spacing w:line="240" w:lineRule="auto"/>
        <w:rPr>
          <w:rFonts w:cs="Arial"/>
          <w:b/>
          <w:sz w:val="24"/>
          <w:szCs w:val="24"/>
        </w:rPr>
      </w:pPr>
    </w:p>
    <w:p w14:paraId="2B355B9A" w14:textId="77777777" w:rsidR="001C2F95" w:rsidRPr="004E62C4" w:rsidRDefault="001C2F95" w:rsidP="001C2F95">
      <w:pPr>
        <w:spacing w:line="240" w:lineRule="auto"/>
        <w:rPr>
          <w:rFonts w:cs="Arial"/>
          <w:b/>
          <w:sz w:val="24"/>
          <w:szCs w:val="24"/>
        </w:rPr>
      </w:pPr>
    </w:p>
    <w:p w14:paraId="3907E34F" w14:textId="77777777" w:rsidR="001C2F95" w:rsidRPr="004E62C4" w:rsidRDefault="001C2F95" w:rsidP="001C2F95">
      <w:pPr>
        <w:spacing w:line="240" w:lineRule="auto"/>
        <w:jc w:val="center"/>
        <w:rPr>
          <w:rFonts w:cs="Arial"/>
          <w:b/>
          <w:sz w:val="24"/>
          <w:szCs w:val="24"/>
        </w:rPr>
      </w:pPr>
      <w:r w:rsidRPr="004E62C4">
        <w:rPr>
          <w:rFonts w:cs="Arial"/>
          <w:b/>
          <w:sz w:val="24"/>
          <w:szCs w:val="24"/>
        </w:rPr>
        <w:t>PROGRAMME NATIONAL DE D</w:t>
      </w:r>
      <w:r>
        <w:rPr>
          <w:rFonts w:cs="Arial"/>
          <w:b/>
          <w:sz w:val="24"/>
          <w:szCs w:val="24"/>
        </w:rPr>
        <w:t>É</w:t>
      </w:r>
      <w:r w:rsidRPr="004E62C4">
        <w:rPr>
          <w:rFonts w:cs="Arial"/>
          <w:b/>
          <w:sz w:val="24"/>
          <w:szCs w:val="24"/>
        </w:rPr>
        <w:t>VELOPPEMENT AGRICOLE</w:t>
      </w:r>
      <w:r>
        <w:rPr>
          <w:rFonts w:cs="Arial"/>
          <w:b/>
          <w:sz w:val="24"/>
          <w:szCs w:val="24"/>
        </w:rPr>
        <w:t xml:space="preserve"> </w:t>
      </w:r>
      <w:r w:rsidRPr="004E62C4">
        <w:rPr>
          <w:rFonts w:cs="Arial"/>
          <w:b/>
          <w:sz w:val="24"/>
          <w:szCs w:val="24"/>
        </w:rPr>
        <w:t>(PNDA)</w:t>
      </w:r>
    </w:p>
    <w:p w14:paraId="7EA828A9" w14:textId="77777777" w:rsidR="001C2F95" w:rsidRPr="004E62C4" w:rsidRDefault="00B22F56" w:rsidP="001C2F95">
      <w:pPr>
        <w:spacing w:line="240" w:lineRule="auto"/>
        <w:jc w:val="center"/>
        <w:rPr>
          <w:rFonts w:cs="Arial"/>
          <w:b/>
          <w:sz w:val="24"/>
          <w:szCs w:val="24"/>
          <w:lang w:val="en-US"/>
        </w:rPr>
      </w:pPr>
      <w:hyperlink r:id="rId12" w:history="1">
        <w:r w:rsidR="001C2F95" w:rsidRPr="004E62C4">
          <w:rPr>
            <w:rFonts w:cs="Arial"/>
            <w:b/>
            <w:sz w:val="24"/>
            <w:szCs w:val="24"/>
            <w:lang w:val="en-US"/>
          </w:rPr>
          <w:t>Project Details (P169021)</w:t>
        </w:r>
      </w:hyperlink>
    </w:p>
    <w:p w14:paraId="142CC8DE" w14:textId="77777777" w:rsidR="001C2F95" w:rsidRPr="004E62C4" w:rsidRDefault="001C2F95" w:rsidP="001C2F95">
      <w:pPr>
        <w:spacing w:line="240" w:lineRule="auto"/>
        <w:jc w:val="center"/>
        <w:rPr>
          <w:rFonts w:cs="Arial"/>
          <w:b/>
          <w:sz w:val="24"/>
          <w:szCs w:val="24"/>
          <w:lang w:val="en-US"/>
        </w:rPr>
      </w:pPr>
      <w:r>
        <w:rPr>
          <w:rFonts w:cs="Arial"/>
          <w:b/>
          <w:sz w:val="24"/>
          <w:szCs w:val="24"/>
          <w:lang w:val="en-US"/>
        </w:rPr>
        <w:t xml:space="preserve">PPA </w:t>
      </w:r>
      <w:r w:rsidRPr="004E62C4">
        <w:rPr>
          <w:rFonts w:cs="Arial"/>
          <w:b/>
          <w:sz w:val="24"/>
          <w:szCs w:val="24"/>
          <w:lang w:val="en-US"/>
        </w:rPr>
        <w:t>N°IDA-V3010</w:t>
      </w:r>
    </w:p>
    <w:p w14:paraId="1522AEAA" w14:textId="77777777" w:rsidR="001C2F95" w:rsidRPr="00123268" w:rsidRDefault="001C2F95" w:rsidP="001C2F95">
      <w:pPr>
        <w:jc w:val="center"/>
        <w:rPr>
          <w:rFonts w:cs="Arial"/>
          <w:b/>
        </w:rPr>
      </w:pPr>
      <w:r w:rsidRPr="00123268">
        <w:rPr>
          <w:rFonts w:cs="Arial"/>
          <w:b/>
        </w:rPr>
        <w:t>____________________</w:t>
      </w:r>
    </w:p>
    <w:p w14:paraId="6E936435" w14:textId="77777777" w:rsidR="001C2F95" w:rsidRDefault="001C2F95" w:rsidP="001C2F95">
      <w:pPr>
        <w:overflowPunct w:val="0"/>
        <w:autoSpaceDE w:val="0"/>
        <w:autoSpaceDN w:val="0"/>
        <w:adjustRightInd w:val="0"/>
        <w:jc w:val="center"/>
        <w:textAlignment w:val="baseline"/>
        <w:rPr>
          <w:rFonts w:cs="Arial"/>
          <w:b/>
          <w:sz w:val="26"/>
          <w:szCs w:val="26"/>
        </w:rPr>
      </w:pPr>
    </w:p>
    <w:p w14:paraId="277824CA" w14:textId="77777777" w:rsidR="001C2F95" w:rsidRDefault="001C2F95" w:rsidP="001C2F95">
      <w:pPr>
        <w:overflowPunct w:val="0"/>
        <w:autoSpaceDE w:val="0"/>
        <w:autoSpaceDN w:val="0"/>
        <w:adjustRightInd w:val="0"/>
        <w:jc w:val="center"/>
        <w:textAlignment w:val="baseline"/>
        <w:rPr>
          <w:rFonts w:cs="Arial"/>
          <w:b/>
          <w:sz w:val="26"/>
          <w:szCs w:val="26"/>
        </w:rPr>
      </w:pPr>
    </w:p>
    <w:p w14:paraId="472823A3" w14:textId="77777777" w:rsidR="001C2F95" w:rsidRDefault="001C2F95" w:rsidP="001C2F95">
      <w:pPr>
        <w:overflowPunct w:val="0"/>
        <w:autoSpaceDE w:val="0"/>
        <w:autoSpaceDN w:val="0"/>
        <w:adjustRightInd w:val="0"/>
        <w:jc w:val="center"/>
        <w:textAlignment w:val="baseline"/>
        <w:rPr>
          <w:rFonts w:cs="Arial"/>
          <w:b/>
          <w:sz w:val="26"/>
          <w:szCs w:val="26"/>
        </w:rPr>
      </w:pPr>
    </w:p>
    <w:p w14:paraId="69EBFE47" w14:textId="77777777" w:rsidR="001C2F95" w:rsidRDefault="001C2F95" w:rsidP="001C2F95">
      <w:pPr>
        <w:overflowPunct w:val="0"/>
        <w:autoSpaceDE w:val="0"/>
        <w:autoSpaceDN w:val="0"/>
        <w:adjustRightInd w:val="0"/>
        <w:jc w:val="center"/>
        <w:textAlignment w:val="baseline"/>
        <w:rPr>
          <w:rFonts w:cs="Arial"/>
          <w:b/>
          <w:sz w:val="26"/>
          <w:szCs w:val="26"/>
        </w:rPr>
      </w:pPr>
    </w:p>
    <w:p w14:paraId="1D86D05F" w14:textId="77777777" w:rsidR="001C2F95" w:rsidRDefault="001C2F95" w:rsidP="001C2F95">
      <w:pPr>
        <w:rPr>
          <w:rFonts w:cs="Arial"/>
          <w:b/>
          <w:sz w:val="26"/>
          <w:szCs w:val="26"/>
        </w:rPr>
      </w:pPr>
    </w:p>
    <w:p w14:paraId="57F49989" w14:textId="77777777" w:rsidR="001C2F95" w:rsidRDefault="001C2F95" w:rsidP="001C2F95">
      <w:pPr>
        <w:rPr>
          <w:rFonts w:cs="Arial"/>
          <w:sz w:val="28"/>
        </w:rPr>
      </w:pPr>
    </w:p>
    <w:p w14:paraId="5DB3127B" w14:textId="77777777" w:rsidR="001C2F95" w:rsidRDefault="001C2F95" w:rsidP="001C2F95">
      <w:pPr>
        <w:jc w:val="center"/>
        <w:rPr>
          <w:rFonts w:cs="Arial"/>
          <w:sz w:val="28"/>
        </w:rPr>
      </w:pPr>
    </w:p>
    <w:tbl>
      <w:tblPr>
        <w:tblW w:w="885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8"/>
      </w:tblGrid>
      <w:tr w:rsidR="001C2F95" w:rsidRPr="00AE22EC" w14:paraId="03E15D54" w14:textId="77777777" w:rsidTr="00971FD2">
        <w:trPr>
          <w:trHeight w:val="987"/>
        </w:trPr>
        <w:tc>
          <w:tcPr>
            <w:tcW w:w="8858" w:type="dxa"/>
            <w:shd w:val="clear" w:color="auto" w:fill="FFFFFF"/>
          </w:tcPr>
          <w:p w14:paraId="39D8E03C" w14:textId="77777777" w:rsidR="001C2F95" w:rsidRPr="00AE22EC" w:rsidRDefault="001C2F95" w:rsidP="00971FD2">
            <w:pPr>
              <w:jc w:val="center"/>
              <w:rPr>
                <w:rFonts w:cs="Arial"/>
                <w:b/>
                <w:sz w:val="28"/>
                <w:szCs w:val="28"/>
              </w:rPr>
            </w:pPr>
          </w:p>
          <w:p w14:paraId="501F38AF" w14:textId="77777777" w:rsidR="001C2F95" w:rsidRPr="00AE22EC" w:rsidRDefault="001C2F95" w:rsidP="00971FD2">
            <w:pPr>
              <w:jc w:val="center"/>
              <w:rPr>
                <w:rFonts w:cs="Arial"/>
                <w:b/>
                <w:sz w:val="28"/>
                <w:szCs w:val="28"/>
              </w:rPr>
            </w:pPr>
            <w:r w:rsidRPr="00AE22EC">
              <w:rPr>
                <w:rFonts w:cs="Arial"/>
                <w:b/>
                <w:sz w:val="28"/>
                <w:szCs w:val="28"/>
              </w:rPr>
              <w:t>CADRE DE GESTION ENVIRONNEMENTALE ET SOCIALE</w:t>
            </w:r>
            <w:r>
              <w:rPr>
                <w:rFonts w:cs="Arial"/>
                <w:b/>
                <w:sz w:val="28"/>
                <w:szCs w:val="28"/>
              </w:rPr>
              <w:t xml:space="preserve"> (CGES)</w:t>
            </w:r>
          </w:p>
          <w:p w14:paraId="58CE7813" w14:textId="77777777" w:rsidR="001C2F95" w:rsidRPr="00AE22EC" w:rsidRDefault="001C2F95" w:rsidP="00971FD2">
            <w:pPr>
              <w:jc w:val="center"/>
              <w:rPr>
                <w:rFonts w:cs="Arial"/>
                <w:b/>
                <w:sz w:val="28"/>
                <w:szCs w:val="28"/>
              </w:rPr>
            </w:pPr>
          </w:p>
        </w:tc>
      </w:tr>
    </w:tbl>
    <w:p w14:paraId="77C60C9F" w14:textId="77777777" w:rsidR="001C2F95" w:rsidRPr="00AE22EC" w:rsidRDefault="001C2F95" w:rsidP="001C2F95">
      <w:pPr>
        <w:rPr>
          <w:rFonts w:cs="Arial"/>
          <w:b/>
          <w:bCs/>
        </w:rPr>
      </w:pPr>
    </w:p>
    <w:p w14:paraId="03DF16F1" w14:textId="77777777" w:rsidR="001C2F95" w:rsidRPr="00087783" w:rsidRDefault="001C2F95" w:rsidP="001C2F95">
      <w:pPr>
        <w:jc w:val="center"/>
        <w:rPr>
          <w:rFonts w:cs="Arial"/>
          <w:szCs w:val="21"/>
        </w:rPr>
      </w:pPr>
    </w:p>
    <w:p w14:paraId="207FD3AD" w14:textId="77777777" w:rsidR="001C2F95" w:rsidRPr="00087783" w:rsidRDefault="001C2F95" w:rsidP="001C2F95">
      <w:pPr>
        <w:jc w:val="center"/>
        <w:rPr>
          <w:rFonts w:cs="Arial"/>
          <w:szCs w:val="21"/>
        </w:rPr>
      </w:pPr>
    </w:p>
    <w:p w14:paraId="62E84932" w14:textId="77777777" w:rsidR="001C2F95" w:rsidRPr="00087783" w:rsidRDefault="001C2F95" w:rsidP="001C2F95">
      <w:pPr>
        <w:jc w:val="center"/>
        <w:rPr>
          <w:rFonts w:cs="Arial"/>
          <w:szCs w:val="21"/>
        </w:rPr>
      </w:pPr>
    </w:p>
    <w:p w14:paraId="044CE998" w14:textId="77777777" w:rsidR="001C2F95" w:rsidRDefault="001C2F95" w:rsidP="001C2F95">
      <w:pPr>
        <w:tabs>
          <w:tab w:val="left" w:pos="3198"/>
        </w:tabs>
        <w:rPr>
          <w:rFonts w:cs="Arial"/>
          <w:szCs w:val="21"/>
        </w:rPr>
      </w:pPr>
    </w:p>
    <w:p w14:paraId="15AA2B50" w14:textId="77777777" w:rsidR="001C2F95" w:rsidRPr="0075607E" w:rsidRDefault="001C2F95" w:rsidP="001C2F95">
      <w:pPr>
        <w:rPr>
          <w:rFonts w:cs="Arial"/>
          <w:szCs w:val="21"/>
        </w:rPr>
      </w:pPr>
    </w:p>
    <w:p w14:paraId="3C4C4D4A" w14:textId="77777777" w:rsidR="001C2F95" w:rsidRPr="00713706" w:rsidRDefault="001C2F95" w:rsidP="001C2F95">
      <w:pPr>
        <w:jc w:val="center"/>
        <w:rPr>
          <w:rFonts w:cs="Arial"/>
          <w:b/>
          <w:sz w:val="20"/>
          <w:szCs w:val="20"/>
        </w:rPr>
      </w:pPr>
      <w:r w:rsidRPr="00713706">
        <w:rPr>
          <w:rFonts w:cs="Arial"/>
          <w:b/>
          <w:sz w:val="26"/>
          <w:szCs w:val="26"/>
        </w:rPr>
        <w:t xml:space="preserve">RAPPORT </w:t>
      </w:r>
      <w:r w:rsidR="00E430AE">
        <w:rPr>
          <w:rFonts w:cs="Arial"/>
          <w:b/>
          <w:sz w:val="26"/>
          <w:szCs w:val="26"/>
        </w:rPr>
        <w:t>FINAL</w:t>
      </w:r>
    </w:p>
    <w:p w14:paraId="563DF6AF" w14:textId="77777777" w:rsidR="001C2F95" w:rsidRPr="00713706" w:rsidRDefault="001C2F95" w:rsidP="001C2F95">
      <w:pPr>
        <w:jc w:val="center"/>
        <w:rPr>
          <w:rFonts w:cs="Arial"/>
          <w:b/>
          <w:szCs w:val="21"/>
        </w:rPr>
      </w:pPr>
      <w:r w:rsidRPr="00713706">
        <w:rPr>
          <w:rFonts w:cs="Arial"/>
          <w:b/>
          <w:sz w:val="20"/>
          <w:szCs w:val="20"/>
        </w:rPr>
        <w:tab/>
      </w:r>
      <w:r w:rsidRPr="00713706">
        <w:rPr>
          <w:rFonts w:cs="Arial"/>
          <w:b/>
          <w:sz w:val="20"/>
          <w:szCs w:val="20"/>
        </w:rPr>
        <w:tab/>
      </w:r>
    </w:p>
    <w:p w14:paraId="222D7982" w14:textId="77777777" w:rsidR="001C2F95" w:rsidRPr="00713706" w:rsidRDefault="001C2F95" w:rsidP="001C2F95">
      <w:pPr>
        <w:jc w:val="right"/>
        <w:rPr>
          <w:rFonts w:cs="Arial"/>
          <w:b/>
          <w:i/>
          <w:noProof/>
          <w:color w:val="004813"/>
          <w:sz w:val="20"/>
          <w:szCs w:val="20"/>
        </w:rPr>
      </w:pPr>
    </w:p>
    <w:p w14:paraId="459B3336" w14:textId="77777777" w:rsidR="001C2F95" w:rsidRPr="00713706" w:rsidRDefault="001C2F95" w:rsidP="001C2F95">
      <w:pPr>
        <w:jc w:val="center"/>
        <w:rPr>
          <w:rFonts w:cs="Arial"/>
          <w:b/>
          <w:sz w:val="20"/>
          <w:szCs w:val="20"/>
        </w:rPr>
      </w:pPr>
    </w:p>
    <w:p w14:paraId="6E08874A" w14:textId="77777777" w:rsidR="001C2F95" w:rsidRPr="00713706" w:rsidRDefault="001C2F95" w:rsidP="001C2F95">
      <w:pPr>
        <w:jc w:val="center"/>
        <w:rPr>
          <w:rFonts w:cs="Arial"/>
          <w:b/>
          <w:sz w:val="20"/>
          <w:szCs w:val="20"/>
        </w:rPr>
      </w:pPr>
    </w:p>
    <w:p w14:paraId="583B1891" w14:textId="77777777" w:rsidR="001C2F95" w:rsidRPr="00713706" w:rsidRDefault="001C2F95" w:rsidP="001C2F95">
      <w:pPr>
        <w:jc w:val="center"/>
        <w:rPr>
          <w:rFonts w:cs="Arial"/>
          <w:b/>
          <w:sz w:val="20"/>
          <w:szCs w:val="20"/>
        </w:rPr>
      </w:pPr>
    </w:p>
    <w:p w14:paraId="6E2A6816" w14:textId="77777777" w:rsidR="001C2F95" w:rsidRPr="00713706" w:rsidRDefault="001C2F95" w:rsidP="001C2F95">
      <w:pPr>
        <w:jc w:val="center"/>
        <w:rPr>
          <w:rFonts w:cs="Arial"/>
          <w:b/>
          <w:sz w:val="20"/>
          <w:szCs w:val="20"/>
        </w:rPr>
      </w:pPr>
    </w:p>
    <w:p w14:paraId="6BE80608" w14:textId="77777777" w:rsidR="001C2F95" w:rsidRPr="00713706" w:rsidRDefault="001C2F95" w:rsidP="001C2F95">
      <w:pPr>
        <w:jc w:val="center"/>
        <w:rPr>
          <w:rFonts w:cs="Arial"/>
          <w:b/>
          <w:sz w:val="20"/>
          <w:szCs w:val="20"/>
        </w:rPr>
      </w:pPr>
    </w:p>
    <w:p w14:paraId="3F3C4C6E" w14:textId="77777777" w:rsidR="001C2F95" w:rsidRPr="00713706" w:rsidRDefault="001C2F95" w:rsidP="0066125B">
      <w:pPr>
        <w:pStyle w:val="TM2"/>
      </w:pPr>
    </w:p>
    <w:p w14:paraId="074CE49E" w14:textId="77777777" w:rsidR="001C2F95" w:rsidRDefault="001C2F95" w:rsidP="001C2F95">
      <w:pPr>
        <w:rPr>
          <w:b/>
        </w:rPr>
      </w:pPr>
    </w:p>
    <w:p w14:paraId="2BEB2DE8" w14:textId="77777777" w:rsidR="00E430AE" w:rsidRDefault="00E430AE" w:rsidP="001C2F95">
      <w:pPr>
        <w:rPr>
          <w:b/>
        </w:rPr>
      </w:pPr>
    </w:p>
    <w:p w14:paraId="784CF312" w14:textId="77777777" w:rsidR="00E430AE" w:rsidRPr="00713706" w:rsidRDefault="00E430AE" w:rsidP="001C2F95">
      <w:pPr>
        <w:rPr>
          <w:b/>
        </w:rPr>
      </w:pPr>
    </w:p>
    <w:p w14:paraId="3B15F8EB" w14:textId="77777777" w:rsidR="001C2F95" w:rsidRPr="00713706" w:rsidRDefault="001C2F95" w:rsidP="001C2F95">
      <w:pPr>
        <w:rPr>
          <w:b/>
        </w:rPr>
      </w:pPr>
    </w:p>
    <w:p w14:paraId="0ABD1982" w14:textId="77777777" w:rsidR="002E6085" w:rsidRDefault="002E6085" w:rsidP="0066125B">
      <w:pPr>
        <w:pStyle w:val="TM2"/>
      </w:pPr>
    </w:p>
    <w:p w14:paraId="41325C42" w14:textId="1A1AE55F" w:rsidR="001C2F95" w:rsidRPr="00F36F83" w:rsidRDefault="00BE5C15" w:rsidP="0066125B">
      <w:pPr>
        <w:pStyle w:val="TM2"/>
      </w:pPr>
      <w:r>
        <w:t>Décembre</w:t>
      </w:r>
      <w:r w:rsidR="001C2F95">
        <w:t xml:space="preserve"> </w:t>
      </w:r>
      <w:r w:rsidR="001C2F95" w:rsidRPr="00F36F83">
        <w:t>202</w:t>
      </w:r>
      <w:r w:rsidR="001C2F95">
        <w:t>1</w:t>
      </w:r>
    </w:p>
    <w:p w14:paraId="440A1A15" w14:textId="77777777" w:rsidR="001C2F95" w:rsidRDefault="001C2F95" w:rsidP="001C2F95">
      <w:pPr>
        <w:spacing w:line="240" w:lineRule="auto"/>
        <w:jc w:val="left"/>
        <w:rPr>
          <w:rStyle w:val="Lienhypertexte"/>
          <w:rFonts w:cs="Arial"/>
          <w:bCs/>
          <w:noProof/>
          <w:sz w:val="20"/>
          <w:szCs w:val="20"/>
        </w:rPr>
      </w:pPr>
      <w:r>
        <w:rPr>
          <w:rStyle w:val="Lienhypertexte"/>
        </w:rPr>
        <w:br w:type="page"/>
      </w:r>
    </w:p>
    <w:p w14:paraId="529763C1" w14:textId="77777777" w:rsidR="001C2F95" w:rsidRPr="00D76BB4" w:rsidRDefault="001C2F95" w:rsidP="0066125B">
      <w:pPr>
        <w:pStyle w:val="TM2"/>
        <w:rPr>
          <w:rStyle w:val="Lienhypertexte"/>
          <w:color w:val="auto"/>
          <w:sz w:val="21"/>
          <w:szCs w:val="21"/>
          <w:u w:val="none"/>
        </w:rPr>
      </w:pPr>
      <w:r w:rsidRPr="00D76BB4">
        <w:rPr>
          <w:rStyle w:val="Lienhypertexte"/>
          <w:color w:val="auto"/>
          <w:sz w:val="21"/>
          <w:szCs w:val="21"/>
          <w:u w:val="none"/>
        </w:rPr>
        <w:lastRenderedPageBreak/>
        <w:t>TABLE DES MATIÈRES</w:t>
      </w:r>
    </w:p>
    <w:p w14:paraId="38A4956D" w14:textId="77777777" w:rsidR="0066125B" w:rsidRPr="00D76BB4" w:rsidRDefault="0066125B" w:rsidP="0066125B">
      <w:pPr>
        <w:pStyle w:val="TM2"/>
        <w:rPr>
          <w:rStyle w:val="Lienhypertexte"/>
          <w:b w:val="0"/>
          <w:sz w:val="21"/>
          <w:szCs w:val="21"/>
          <w:highlight w:val="yellow"/>
        </w:rPr>
      </w:pPr>
    </w:p>
    <w:p w14:paraId="32292969" w14:textId="77777777" w:rsidR="00981159" w:rsidRDefault="00981159" w:rsidP="00D76BB4">
      <w:pPr>
        <w:pStyle w:val="TM2"/>
        <w:rPr>
          <w:rStyle w:val="Lienhypertexte"/>
          <w:b w:val="0"/>
          <w:sz w:val="21"/>
          <w:szCs w:val="21"/>
          <w:highlight w:val="yellow"/>
        </w:rPr>
      </w:pPr>
    </w:p>
    <w:sdt>
      <w:sdtPr>
        <w:rPr>
          <w:b w:val="0"/>
          <w:bCs w:val="0"/>
          <w:color w:val="0000FF"/>
          <w:szCs w:val="22"/>
          <w:u w:val="single"/>
          <w:lang w:eastAsia="fr-FR"/>
        </w:rPr>
        <w:id w:val="125135247"/>
        <w:docPartObj>
          <w:docPartGallery w:val="Table of Contents"/>
          <w:docPartUnique/>
        </w:docPartObj>
      </w:sdtPr>
      <w:sdtEndPr>
        <w:rPr>
          <w:color w:val="auto"/>
          <w:u w:val="none"/>
        </w:rPr>
      </w:sdtEndPr>
      <w:sdtContent>
        <w:p w14:paraId="06A69E77" w14:textId="46B18733" w:rsidR="00981159" w:rsidRDefault="00981159" w:rsidP="00981159">
          <w:pPr>
            <w:pStyle w:val="En-ttedetabledesmatires"/>
            <w:rPr>
              <w:rFonts w:asciiTheme="minorHAnsi" w:eastAsiaTheme="minorEastAsia" w:hAnsiTheme="minorHAnsi" w:cstheme="minorBidi"/>
              <w:b w:val="0"/>
              <w:bCs w:val="0"/>
              <w:caps/>
              <w:noProof/>
              <w:lang w:val="en-US"/>
            </w:rPr>
          </w:pPr>
          <w:r>
            <w:fldChar w:fldCharType="begin"/>
          </w:r>
          <w:r>
            <w:instrText xml:space="preserve"> TOC \o "1-3" \h \z \u </w:instrText>
          </w:r>
          <w:r>
            <w:fldChar w:fldCharType="separate"/>
          </w:r>
          <w:hyperlink w:anchor="_Toc90471381" w:history="1">
            <w:r w:rsidRPr="0086263B">
              <w:rPr>
                <w:rStyle w:val="Lienhypertexte"/>
                <w:rFonts w:cs="Arial"/>
                <w:noProof/>
              </w:rPr>
              <w:t>LISTE DES ACRONYMES ET DES ABRÉVIATIONS</w:t>
            </w:r>
            <w:r>
              <w:rPr>
                <w:noProof/>
                <w:webHidden/>
              </w:rPr>
              <w:tab/>
            </w:r>
            <w:r>
              <w:rPr>
                <w:noProof/>
                <w:webHidden/>
              </w:rPr>
              <w:fldChar w:fldCharType="begin"/>
            </w:r>
            <w:r>
              <w:rPr>
                <w:noProof/>
                <w:webHidden/>
              </w:rPr>
              <w:instrText xml:space="preserve"> PAGEREF _Toc90471381 \h </w:instrText>
            </w:r>
            <w:r>
              <w:rPr>
                <w:noProof/>
                <w:webHidden/>
              </w:rPr>
            </w:r>
            <w:r>
              <w:rPr>
                <w:webHidden/>
              </w:rPr>
              <w:fldChar w:fldCharType="separate"/>
            </w:r>
            <w:r>
              <w:rPr>
                <w:noProof/>
                <w:webHidden/>
              </w:rPr>
              <w:t>xxxvi</w:t>
            </w:r>
            <w:r>
              <w:rPr>
                <w:noProof/>
                <w:webHidden/>
              </w:rPr>
              <w:fldChar w:fldCharType="end"/>
            </w:r>
          </w:hyperlink>
        </w:p>
        <w:p w14:paraId="4119EABC" w14:textId="2AC3E9B7" w:rsidR="00981159" w:rsidRDefault="00B22F56">
          <w:pPr>
            <w:pStyle w:val="TM1"/>
            <w:rPr>
              <w:rFonts w:asciiTheme="minorHAnsi" w:eastAsiaTheme="minorEastAsia" w:hAnsiTheme="minorHAnsi" w:cstheme="minorBidi"/>
              <w:b w:val="0"/>
              <w:bCs w:val="0"/>
              <w:caps w:val="0"/>
              <w:color w:val="auto"/>
              <w:lang w:val="en-US" w:eastAsia="en-US"/>
            </w:rPr>
          </w:pPr>
          <w:hyperlink w:anchor="_Toc90471382" w:history="1">
            <w:r w:rsidR="00981159" w:rsidRPr="0086263B">
              <w:rPr>
                <w:rStyle w:val="Lienhypertexte"/>
              </w:rPr>
              <w:t>LISTE DES TABLEAUX</w:t>
            </w:r>
            <w:r w:rsidR="00981159">
              <w:rPr>
                <w:webHidden/>
              </w:rPr>
              <w:tab/>
            </w:r>
            <w:r w:rsidR="00981159">
              <w:rPr>
                <w:webHidden/>
              </w:rPr>
              <w:fldChar w:fldCharType="begin"/>
            </w:r>
            <w:r w:rsidR="00981159">
              <w:rPr>
                <w:webHidden/>
              </w:rPr>
              <w:instrText xml:space="preserve"> PAGEREF _Toc90471382 \h </w:instrText>
            </w:r>
            <w:r w:rsidR="00981159">
              <w:rPr>
                <w:webHidden/>
              </w:rPr>
            </w:r>
            <w:r w:rsidR="00981159">
              <w:rPr>
                <w:webHidden/>
              </w:rPr>
              <w:fldChar w:fldCharType="separate"/>
            </w:r>
            <w:r w:rsidR="00981159">
              <w:rPr>
                <w:webHidden/>
              </w:rPr>
              <w:t>xl</w:t>
            </w:r>
            <w:r w:rsidR="00981159">
              <w:rPr>
                <w:webHidden/>
              </w:rPr>
              <w:fldChar w:fldCharType="end"/>
            </w:r>
          </w:hyperlink>
        </w:p>
        <w:p w14:paraId="1A4F0E48" w14:textId="561489D8" w:rsidR="00981159" w:rsidRDefault="00B22F56">
          <w:pPr>
            <w:pStyle w:val="TM1"/>
            <w:rPr>
              <w:rFonts w:asciiTheme="minorHAnsi" w:eastAsiaTheme="minorEastAsia" w:hAnsiTheme="minorHAnsi" w:cstheme="minorBidi"/>
              <w:b w:val="0"/>
              <w:bCs w:val="0"/>
              <w:caps w:val="0"/>
              <w:color w:val="auto"/>
              <w:lang w:val="en-US" w:eastAsia="en-US"/>
            </w:rPr>
          </w:pPr>
          <w:hyperlink w:anchor="_Toc90471383" w:history="1">
            <w:r w:rsidR="00981159" w:rsidRPr="0086263B">
              <w:rPr>
                <w:rStyle w:val="Lienhypertexte"/>
              </w:rPr>
              <w:t>LISTE DES FIGURES</w:t>
            </w:r>
            <w:r w:rsidR="00981159">
              <w:rPr>
                <w:webHidden/>
              </w:rPr>
              <w:tab/>
            </w:r>
            <w:r w:rsidR="00981159">
              <w:rPr>
                <w:webHidden/>
              </w:rPr>
              <w:fldChar w:fldCharType="begin"/>
            </w:r>
            <w:r w:rsidR="00981159">
              <w:rPr>
                <w:webHidden/>
              </w:rPr>
              <w:instrText xml:space="preserve"> PAGEREF _Toc90471383 \h </w:instrText>
            </w:r>
            <w:r w:rsidR="00981159">
              <w:rPr>
                <w:webHidden/>
              </w:rPr>
            </w:r>
            <w:r w:rsidR="00981159">
              <w:rPr>
                <w:webHidden/>
              </w:rPr>
              <w:fldChar w:fldCharType="separate"/>
            </w:r>
            <w:r w:rsidR="00981159">
              <w:rPr>
                <w:webHidden/>
              </w:rPr>
              <w:t>xlii</w:t>
            </w:r>
            <w:r w:rsidR="00981159">
              <w:rPr>
                <w:webHidden/>
              </w:rPr>
              <w:fldChar w:fldCharType="end"/>
            </w:r>
          </w:hyperlink>
        </w:p>
        <w:p w14:paraId="65E3ADC8" w14:textId="61C6B9F6" w:rsidR="00981159" w:rsidRDefault="00B22F56">
          <w:pPr>
            <w:pStyle w:val="TM1"/>
            <w:rPr>
              <w:rFonts w:asciiTheme="minorHAnsi" w:eastAsiaTheme="minorEastAsia" w:hAnsiTheme="minorHAnsi" w:cstheme="minorBidi"/>
              <w:b w:val="0"/>
              <w:bCs w:val="0"/>
              <w:caps w:val="0"/>
              <w:color w:val="auto"/>
              <w:lang w:val="en-US" w:eastAsia="en-US"/>
            </w:rPr>
          </w:pPr>
          <w:hyperlink w:anchor="_Toc90471384" w:history="1">
            <w:r w:rsidR="00981159" w:rsidRPr="0086263B">
              <w:rPr>
                <w:rStyle w:val="Lienhypertexte"/>
              </w:rPr>
              <w:t>RÉSUMÉ EXÉCUTIF</w:t>
            </w:r>
            <w:r w:rsidR="00981159">
              <w:rPr>
                <w:webHidden/>
              </w:rPr>
              <w:tab/>
            </w:r>
            <w:r w:rsidR="00981159">
              <w:rPr>
                <w:webHidden/>
              </w:rPr>
              <w:fldChar w:fldCharType="begin"/>
            </w:r>
            <w:r w:rsidR="00981159">
              <w:rPr>
                <w:webHidden/>
              </w:rPr>
              <w:instrText xml:space="preserve"> PAGEREF _Toc90471384 \h </w:instrText>
            </w:r>
            <w:r w:rsidR="00981159">
              <w:rPr>
                <w:webHidden/>
              </w:rPr>
            </w:r>
            <w:r w:rsidR="00981159">
              <w:rPr>
                <w:webHidden/>
              </w:rPr>
              <w:fldChar w:fldCharType="separate"/>
            </w:r>
            <w:r w:rsidR="00981159">
              <w:rPr>
                <w:webHidden/>
              </w:rPr>
              <w:t>xliii</w:t>
            </w:r>
            <w:r w:rsidR="00981159">
              <w:rPr>
                <w:webHidden/>
              </w:rPr>
              <w:fldChar w:fldCharType="end"/>
            </w:r>
          </w:hyperlink>
        </w:p>
        <w:p w14:paraId="7F5E6CE8" w14:textId="201F6911" w:rsidR="00981159" w:rsidRDefault="00B22F56">
          <w:pPr>
            <w:pStyle w:val="TM1"/>
            <w:rPr>
              <w:rFonts w:asciiTheme="minorHAnsi" w:eastAsiaTheme="minorEastAsia" w:hAnsiTheme="minorHAnsi" w:cstheme="minorBidi"/>
              <w:b w:val="0"/>
              <w:bCs w:val="0"/>
              <w:caps w:val="0"/>
              <w:color w:val="auto"/>
              <w:lang w:val="en-US" w:eastAsia="en-US"/>
            </w:rPr>
          </w:pPr>
          <w:hyperlink w:anchor="_Toc90471389" w:history="1">
            <w:r w:rsidR="00981159" w:rsidRPr="0086263B">
              <w:rPr>
                <w:rStyle w:val="Lienhypertexte"/>
              </w:rPr>
              <w:t>EXECUTIVE SUMMARY</w:t>
            </w:r>
            <w:r w:rsidR="00981159">
              <w:rPr>
                <w:webHidden/>
              </w:rPr>
              <w:tab/>
            </w:r>
            <w:r w:rsidR="00981159">
              <w:rPr>
                <w:webHidden/>
              </w:rPr>
              <w:fldChar w:fldCharType="begin"/>
            </w:r>
            <w:r w:rsidR="00981159">
              <w:rPr>
                <w:webHidden/>
              </w:rPr>
              <w:instrText xml:space="preserve"> PAGEREF _Toc90471389 \h </w:instrText>
            </w:r>
            <w:r w:rsidR="00981159">
              <w:rPr>
                <w:webHidden/>
              </w:rPr>
            </w:r>
            <w:r w:rsidR="00981159">
              <w:rPr>
                <w:webHidden/>
              </w:rPr>
              <w:fldChar w:fldCharType="separate"/>
            </w:r>
            <w:r w:rsidR="00981159">
              <w:rPr>
                <w:webHidden/>
              </w:rPr>
              <w:t>lv</w:t>
            </w:r>
            <w:r w:rsidR="00981159">
              <w:rPr>
                <w:webHidden/>
              </w:rPr>
              <w:fldChar w:fldCharType="end"/>
            </w:r>
          </w:hyperlink>
        </w:p>
        <w:p w14:paraId="64850487" w14:textId="32831FDE" w:rsidR="00981159" w:rsidRDefault="00B22F56">
          <w:pPr>
            <w:pStyle w:val="TM1"/>
            <w:rPr>
              <w:rFonts w:asciiTheme="minorHAnsi" w:eastAsiaTheme="minorEastAsia" w:hAnsiTheme="minorHAnsi" w:cstheme="minorBidi"/>
              <w:b w:val="0"/>
              <w:bCs w:val="0"/>
              <w:caps w:val="0"/>
              <w:color w:val="auto"/>
              <w:lang w:val="en-US" w:eastAsia="en-US"/>
            </w:rPr>
          </w:pPr>
          <w:hyperlink w:anchor="_Toc90471390" w:history="1">
            <w:r w:rsidR="00981159" w:rsidRPr="0086263B">
              <w:rPr>
                <w:rStyle w:val="Lienhypertexte"/>
                <w:lang w:val="en-US"/>
              </w:rPr>
              <w:t>R</w:t>
            </w:r>
            <w:r w:rsidR="00981159" w:rsidRPr="0086263B">
              <w:rPr>
                <w:rStyle w:val="Lienhypertexte"/>
                <w:lang w:val="pl-PL"/>
              </w:rPr>
              <w:t>ÉSUMÉ EXÉCUTIF EN TSHILUBA / TSHIKOSO TSHA TSHENA BWALU</w:t>
            </w:r>
            <w:r w:rsidR="00981159">
              <w:rPr>
                <w:webHidden/>
              </w:rPr>
              <w:tab/>
            </w:r>
            <w:r w:rsidR="00981159">
              <w:rPr>
                <w:webHidden/>
              </w:rPr>
              <w:fldChar w:fldCharType="begin"/>
            </w:r>
            <w:r w:rsidR="00981159">
              <w:rPr>
                <w:webHidden/>
              </w:rPr>
              <w:instrText xml:space="preserve"> PAGEREF _Toc90471390 \h </w:instrText>
            </w:r>
            <w:r w:rsidR="00981159">
              <w:rPr>
                <w:webHidden/>
              </w:rPr>
            </w:r>
            <w:r w:rsidR="00981159">
              <w:rPr>
                <w:webHidden/>
              </w:rPr>
              <w:fldChar w:fldCharType="separate"/>
            </w:r>
            <w:r w:rsidR="00981159">
              <w:rPr>
                <w:webHidden/>
              </w:rPr>
              <w:t>lxvii</w:t>
            </w:r>
            <w:r w:rsidR="00981159">
              <w:rPr>
                <w:webHidden/>
              </w:rPr>
              <w:fldChar w:fldCharType="end"/>
            </w:r>
          </w:hyperlink>
        </w:p>
        <w:p w14:paraId="0BBA72DE" w14:textId="4CF10098" w:rsidR="00981159" w:rsidRDefault="00B22F56">
          <w:pPr>
            <w:pStyle w:val="TM1"/>
            <w:rPr>
              <w:rFonts w:asciiTheme="minorHAnsi" w:eastAsiaTheme="minorEastAsia" w:hAnsiTheme="minorHAnsi" w:cstheme="minorBidi"/>
              <w:b w:val="0"/>
              <w:bCs w:val="0"/>
              <w:caps w:val="0"/>
              <w:color w:val="auto"/>
              <w:lang w:val="en-US" w:eastAsia="en-US"/>
            </w:rPr>
          </w:pPr>
          <w:hyperlink w:anchor="_Toc90471395" w:history="1">
            <w:r w:rsidR="00981159" w:rsidRPr="0086263B">
              <w:rPr>
                <w:rStyle w:val="Lienhypertexte"/>
              </w:rPr>
              <w:t>RÉSUMÉ EXÉCUTIF EN KIKONGO / KINKUFI YA MALONGI</w:t>
            </w:r>
            <w:r w:rsidR="00981159">
              <w:rPr>
                <w:webHidden/>
              </w:rPr>
              <w:tab/>
            </w:r>
            <w:r w:rsidR="00981159">
              <w:rPr>
                <w:webHidden/>
              </w:rPr>
              <w:fldChar w:fldCharType="begin"/>
            </w:r>
            <w:r w:rsidR="00981159">
              <w:rPr>
                <w:webHidden/>
              </w:rPr>
              <w:instrText xml:space="preserve"> PAGEREF _Toc90471395 \h </w:instrText>
            </w:r>
            <w:r w:rsidR="00981159">
              <w:rPr>
                <w:webHidden/>
              </w:rPr>
            </w:r>
            <w:r w:rsidR="00981159">
              <w:rPr>
                <w:webHidden/>
              </w:rPr>
              <w:fldChar w:fldCharType="separate"/>
            </w:r>
            <w:r w:rsidR="00981159">
              <w:rPr>
                <w:webHidden/>
              </w:rPr>
              <w:t>lxxviii</w:t>
            </w:r>
            <w:r w:rsidR="00981159">
              <w:rPr>
                <w:webHidden/>
              </w:rPr>
              <w:fldChar w:fldCharType="end"/>
            </w:r>
          </w:hyperlink>
        </w:p>
        <w:p w14:paraId="35564BFD" w14:textId="6F2BB6B9" w:rsidR="00981159" w:rsidRDefault="00B22F56">
          <w:pPr>
            <w:pStyle w:val="TM1"/>
            <w:rPr>
              <w:rFonts w:asciiTheme="minorHAnsi" w:eastAsiaTheme="minorEastAsia" w:hAnsiTheme="minorHAnsi" w:cstheme="minorBidi"/>
              <w:b w:val="0"/>
              <w:bCs w:val="0"/>
              <w:caps w:val="0"/>
              <w:color w:val="auto"/>
              <w:lang w:val="en-US" w:eastAsia="en-US"/>
            </w:rPr>
          </w:pPr>
          <w:hyperlink w:anchor="_Toc90471400" w:history="1">
            <w:r w:rsidR="00981159" w:rsidRPr="0086263B">
              <w:rPr>
                <w:rStyle w:val="Lienhypertexte"/>
                <w:lang w:val="pl-PL"/>
              </w:rPr>
              <w:t>RÉSUMÉ EXÉCUTIF EN SWAHILI / MUHTASARI KWA KISWAHILI</w:t>
            </w:r>
            <w:r w:rsidR="00981159">
              <w:rPr>
                <w:webHidden/>
              </w:rPr>
              <w:tab/>
            </w:r>
            <w:r w:rsidR="00981159">
              <w:rPr>
                <w:webHidden/>
              </w:rPr>
              <w:fldChar w:fldCharType="begin"/>
            </w:r>
            <w:r w:rsidR="00981159">
              <w:rPr>
                <w:webHidden/>
              </w:rPr>
              <w:instrText xml:space="preserve"> PAGEREF _Toc90471400 \h </w:instrText>
            </w:r>
            <w:r w:rsidR="00981159">
              <w:rPr>
                <w:webHidden/>
              </w:rPr>
            </w:r>
            <w:r w:rsidR="00981159">
              <w:rPr>
                <w:webHidden/>
              </w:rPr>
              <w:fldChar w:fldCharType="separate"/>
            </w:r>
            <w:r w:rsidR="00981159">
              <w:rPr>
                <w:webHidden/>
              </w:rPr>
              <w:t>lxxxviii</w:t>
            </w:r>
            <w:r w:rsidR="00981159">
              <w:rPr>
                <w:webHidden/>
              </w:rPr>
              <w:fldChar w:fldCharType="end"/>
            </w:r>
          </w:hyperlink>
        </w:p>
        <w:p w14:paraId="4AAE097E" w14:textId="6413B51B" w:rsidR="00981159" w:rsidRDefault="00B22F56">
          <w:pPr>
            <w:pStyle w:val="TM1"/>
            <w:rPr>
              <w:rFonts w:asciiTheme="minorHAnsi" w:eastAsiaTheme="minorEastAsia" w:hAnsiTheme="minorHAnsi" w:cstheme="minorBidi"/>
              <w:b w:val="0"/>
              <w:bCs w:val="0"/>
              <w:caps w:val="0"/>
              <w:color w:val="auto"/>
              <w:lang w:val="en-US" w:eastAsia="en-US"/>
            </w:rPr>
          </w:pPr>
          <w:hyperlink w:anchor="_Toc90471401" w:history="1">
            <w:r w:rsidR="00981159" w:rsidRPr="0086263B">
              <w:rPr>
                <w:rStyle w:val="Lienhypertexte"/>
              </w:rPr>
              <w:t>1.</w:t>
            </w:r>
            <w:r w:rsidR="00981159">
              <w:rPr>
                <w:rFonts w:asciiTheme="minorHAnsi" w:eastAsiaTheme="minorEastAsia" w:hAnsiTheme="minorHAnsi" w:cstheme="minorBidi"/>
                <w:b w:val="0"/>
                <w:bCs w:val="0"/>
                <w:caps w:val="0"/>
                <w:color w:val="auto"/>
                <w:lang w:val="en-US" w:eastAsia="en-US"/>
              </w:rPr>
              <w:tab/>
            </w:r>
            <w:r w:rsidR="00981159" w:rsidRPr="0086263B">
              <w:rPr>
                <w:rStyle w:val="Lienhypertexte"/>
              </w:rPr>
              <w:t>INTRODUCTION</w:t>
            </w:r>
            <w:r w:rsidR="00981159">
              <w:rPr>
                <w:webHidden/>
              </w:rPr>
              <w:tab/>
            </w:r>
            <w:r w:rsidR="00981159">
              <w:rPr>
                <w:webHidden/>
              </w:rPr>
              <w:fldChar w:fldCharType="begin"/>
            </w:r>
            <w:r w:rsidR="00981159">
              <w:rPr>
                <w:webHidden/>
              </w:rPr>
              <w:instrText xml:space="preserve"> PAGEREF _Toc90471401 \h </w:instrText>
            </w:r>
            <w:r w:rsidR="00981159">
              <w:rPr>
                <w:webHidden/>
              </w:rPr>
            </w:r>
            <w:r w:rsidR="00981159">
              <w:rPr>
                <w:webHidden/>
              </w:rPr>
              <w:fldChar w:fldCharType="separate"/>
            </w:r>
            <w:r w:rsidR="00981159">
              <w:rPr>
                <w:webHidden/>
              </w:rPr>
              <w:t>1</w:t>
            </w:r>
            <w:r w:rsidR="00981159">
              <w:rPr>
                <w:webHidden/>
              </w:rPr>
              <w:fldChar w:fldCharType="end"/>
            </w:r>
          </w:hyperlink>
        </w:p>
        <w:p w14:paraId="11AF05C9" w14:textId="0D8D604B" w:rsidR="00981159" w:rsidRDefault="00B22F56">
          <w:pPr>
            <w:pStyle w:val="TM2"/>
            <w:rPr>
              <w:rFonts w:asciiTheme="minorHAnsi" w:eastAsiaTheme="minorEastAsia" w:hAnsiTheme="minorHAnsi" w:cstheme="minorBidi"/>
              <w:b w:val="0"/>
              <w:lang w:val="en-US" w:eastAsia="en-US"/>
            </w:rPr>
          </w:pPr>
          <w:hyperlink w:anchor="_Toc90471402" w:history="1">
            <w:r w:rsidR="00981159" w:rsidRPr="0086263B">
              <w:rPr>
                <w:rStyle w:val="Lienhypertexte"/>
              </w:rPr>
              <w:t>1.1.</w:t>
            </w:r>
            <w:r w:rsidR="00981159">
              <w:rPr>
                <w:rFonts w:asciiTheme="minorHAnsi" w:eastAsiaTheme="minorEastAsia" w:hAnsiTheme="minorHAnsi" w:cstheme="minorBidi"/>
                <w:b w:val="0"/>
                <w:lang w:val="en-US" w:eastAsia="en-US"/>
              </w:rPr>
              <w:tab/>
            </w:r>
            <w:r w:rsidR="00981159" w:rsidRPr="0086263B">
              <w:rPr>
                <w:rStyle w:val="Lienhypertexte"/>
              </w:rPr>
              <w:t>Contexte et justification du Projet</w:t>
            </w:r>
            <w:r w:rsidR="00981159">
              <w:rPr>
                <w:webHidden/>
              </w:rPr>
              <w:tab/>
            </w:r>
            <w:r w:rsidR="00981159">
              <w:rPr>
                <w:webHidden/>
              </w:rPr>
              <w:fldChar w:fldCharType="begin"/>
            </w:r>
            <w:r w:rsidR="00981159">
              <w:rPr>
                <w:webHidden/>
              </w:rPr>
              <w:instrText xml:space="preserve"> PAGEREF _Toc90471402 \h </w:instrText>
            </w:r>
            <w:r w:rsidR="00981159">
              <w:rPr>
                <w:webHidden/>
              </w:rPr>
            </w:r>
            <w:r w:rsidR="00981159">
              <w:rPr>
                <w:webHidden/>
              </w:rPr>
              <w:fldChar w:fldCharType="separate"/>
            </w:r>
            <w:r w:rsidR="00981159">
              <w:rPr>
                <w:webHidden/>
              </w:rPr>
              <w:t>1</w:t>
            </w:r>
            <w:r w:rsidR="00981159">
              <w:rPr>
                <w:webHidden/>
              </w:rPr>
              <w:fldChar w:fldCharType="end"/>
            </w:r>
          </w:hyperlink>
        </w:p>
        <w:p w14:paraId="027DAFCA" w14:textId="60AEAED4" w:rsidR="00981159" w:rsidRDefault="00B22F56">
          <w:pPr>
            <w:pStyle w:val="TM2"/>
            <w:rPr>
              <w:rFonts w:asciiTheme="minorHAnsi" w:eastAsiaTheme="minorEastAsia" w:hAnsiTheme="minorHAnsi" w:cstheme="minorBidi"/>
              <w:b w:val="0"/>
              <w:lang w:val="en-US" w:eastAsia="en-US"/>
            </w:rPr>
          </w:pPr>
          <w:hyperlink w:anchor="_Toc90471403" w:history="1">
            <w:r w:rsidR="00981159" w:rsidRPr="0086263B">
              <w:rPr>
                <w:rStyle w:val="Lienhypertexte"/>
              </w:rPr>
              <w:t>1.2.</w:t>
            </w:r>
            <w:r w:rsidR="00981159">
              <w:rPr>
                <w:rFonts w:asciiTheme="minorHAnsi" w:eastAsiaTheme="minorEastAsia" w:hAnsiTheme="minorHAnsi" w:cstheme="minorBidi"/>
                <w:b w:val="0"/>
                <w:lang w:val="en-US" w:eastAsia="en-US"/>
              </w:rPr>
              <w:tab/>
            </w:r>
            <w:r w:rsidR="00981159" w:rsidRPr="0086263B">
              <w:rPr>
                <w:rStyle w:val="Lienhypertexte"/>
              </w:rPr>
              <w:t>Objectif du PNDA</w:t>
            </w:r>
            <w:r w:rsidR="00981159">
              <w:rPr>
                <w:webHidden/>
              </w:rPr>
              <w:tab/>
            </w:r>
            <w:r w:rsidR="00981159">
              <w:rPr>
                <w:webHidden/>
              </w:rPr>
              <w:fldChar w:fldCharType="begin"/>
            </w:r>
            <w:r w:rsidR="00981159">
              <w:rPr>
                <w:webHidden/>
              </w:rPr>
              <w:instrText xml:space="preserve"> PAGEREF _Toc90471403 \h </w:instrText>
            </w:r>
            <w:r w:rsidR="00981159">
              <w:rPr>
                <w:webHidden/>
              </w:rPr>
            </w:r>
            <w:r w:rsidR="00981159">
              <w:rPr>
                <w:webHidden/>
              </w:rPr>
              <w:fldChar w:fldCharType="separate"/>
            </w:r>
            <w:r w:rsidR="00981159">
              <w:rPr>
                <w:webHidden/>
              </w:rPr>
              <w:t>2</w:t>
            </w:r>
            <w:r w:rsidR="00981159">
              <w:rPr>
                <w:webHidden/>
              </w:rPr>
              <w:fldChar w:fldCharType="end"/>
            </w:r>
          </w:hyperlink>
        </w:p>
        <w:p w14:paraId="2ACD7B9A" w14:textId="36CF4F7A" w:rsidR="00981159" w:rsidRDefault="00B22F56">
          <w:pPr>
            <w:pStyle w:val="TM2"/>
            <w:rPr>
              <w:rFonts w:asciiTheme="minorHAnsi" w:eastAsiaTheme="minorEastAsia" w:hAnsiTheme="minorHAnsi" w:cstheme="minorBidi"/>
              <w:b w:val="0"/>
              <w:lang w:val="en-US" w:eastAsia="en-US"/>
            </w:rPr>
          </w:pPr>
          <w:hyperlink w:anchor="_Toc90471404" w:history="1">
            <w:r w:rsidR="00981159" w:rsidRPr="0086263B">
              <w:rPr>
                <w:rStyle w:val="Lienhypertexte"/>
              </w:rPr>
              <w:t>1.3.</w:t>
            </w:r>
            <w:r w:rsidR="00981159">
              <w:rPr>
                <w:rFonts w:asciiTheme="minorHAnsi" w:eastAsiaTheme="minorEastAsia" w:hAnsiTheme="minorHAnsi" w:cstheme="minorBidi"/>
                <w:b w:val="0"/>
                <w:lang w:val="en-US" w:eastAsia="en-US"/>
              </w:rPr>
              <w:tab/>
            </w:r>
            <w:r w:rsidR="00981159" w:rsidRPr="0086263B">
              <w:rPr>
                <w:rStyle w:val="Lienhypertexte"/>
              </w:rPr>
              <w:t>Objectif du Cadre de Gestion Environnementale et Sociale</w:t>
            </w:r>
            <w:r w:rsidR="00981159">
              <w:rPr>
                <w:webHidden/>
              </w:rPr>
              <w:tab/>
            </w:r>
            <w:r w:rsidR="00981159">
              <w:rPr>
                <w:webHidden/>
              </w:rPr>
              <w:fldChar w:fldCharType="begin"/>
            </w:r>
            <w:r w:rsidR="00981159">
              <w:rPr>
                <w:webHidden/>
              </w:rPr>
              <w:instrText xml:space="preserve"> PAGEREF _Toc90471404 \h </w:instrText>
            </w:r>
            <w:r w:rsidR="00981159">
              <w:rPr>
                <w:webHidden/>
              </w:rPr>
            </w:r>
            <w:r w:rsidR="00981159">
              <w:rPr>
                <w:webHidden/>
              </w:rPr>
              <w:fldChar w:fldCharType="separate"/>
            </w:r>
            <w:r w:rsidR="00981159">
              <w:rPr>
                <w:webHidden/>
              </w:rPr>
              <w:t>3</w:t>
            </w:r>
            <w:r w:rsidR="00981159">
              <w:rPr>
                <w:webHidden/>
              </w:rPr>
              <w:fldChar w:fldCharType="end"/>
            </w:r>
          </w:hyperlink>
        </w:p>
        <w:p w14:paraId="280B84A9" w14:textId="6CE57275" w:rsidR="00981159" w:rsidRDefault="00B22F56">
          <w:pPr>
            <w:pStyle w:val="TM2"/>
            <w:rPr>
              <w:rFonts w:asciiTheme="minorHAnsi" w:eastAsiaTheme="minorEastAsia" w:hAnsiTheme="minorHAnsi" w:cstheme="minorBidi"/>
              <w:b w:val="0"/>
              <w:lang w:val="en-US" w:eastAsia="en-US"/>
            </w:rPr>
          </w:pPr>
          <w:hyperlink w:anchor="_Toc90471405" w:history="1">
            <w:r w:rsidR="00981159" w:rsidRPr="0086263B">
              <w:rPr>
                <w:rStyle w:val="Lienhypertexte"/>
              </w:rPr>
              <w:t>1.4.</w:t>
            </w:r>
            <w:r w:rsidR="00981159">
              <w:rPr>
                <w:rFonts w:asciiTheme="minorHAnsi" w:eastAsiaTheme="minorEastAsia" w:hAnsiTheme="minorHAnsi" w:cstheme="minorBidi"/>
                <w:b w:val="0"/>
                <w:lang w:val="en-US" w:eastAsia="en-US"/>
              </w:rPr>
              <w:tab/>
            </w:r>
            <w:r w:rsidR="00981159" w:rsidRPr="0086263B">
              <w:rPr>
                <w:rStyle w:val="Lienhypertexte"/>
              </w:rPr>
              <w:t>Méthodologie d’élaboration du CGES</w:t>
            </w:r>
            <w:r w:rsidR="00981159">
              <w:rPr>
                <w:webHidden/>
              </w:rPr>
              <w:tab/>
            </w:r>
            <w:r w:rsidR="00981159">
              <w:rPr>
                <w:webHidden/>
              </w:rPr>
              <w:fldChar w:fldCharType="begin"/>
            </w:r>
            <w:r w:rsidR="00981159">
              <w:rPr>
                <w:webHidden/>
              </w:rPr>
              <w:instrText xml:space="preserve"> PAGEREF _Toc90471405 \h </w:instrText>
            </w:r>
            <w:r w:rsidR="00981159">
              <w:rPr>
                <w:webHidden/>
              </w:rPr>
            </w:r>
            <w:r w:rsidR="00981159">
              <w:rPr>
                <w:webHidden/>
              </w:rPr>
              <w:fldChar w:fldCharType="separate"/>
            </w:r>
            <w:r w:rsidR="00981159">
              <w:rPr>
                <w:webHidden/>
              </w:rPr>
              <w:t>4</w:t>
            </w:r>
            <w:r w:rsidR="00981159">
              <w:rPr>
                <w:webHidden/>
              </w:rPr>
              <w:fldChar w:fldCharType="end"/>
            </w:r>
          </w:hyperlink>
        </w:p>
        <w:p w14:paraId="5CED1D56" w14:textId="1889CB06" w:rsidR="00981159" w:rsidRDefault="00B22F56">
          <w:pPr>
            <w:pStyle w:val="TM2"/>
            <w:rPr>
              <w:rFonts w:asciiTheme="minorHAnsi" w:eastAsiaTheme="minorEastAsia" w:hAnsiTheme="minorHAnsi" w:cstheme="minorBidi"/>
              <w:b w:val="0"/>
              <w:lang w:val="en-US" w:eastAsia="en-US"/>
            </w:rPr>
          </w:pPr>
          <w:hyperlink w:anchor="_Toc90471406" w:history="1">
            <w:r w:rsidR="00981159" w:rsidRPr="0086263B">
              <w:rPr>
                <w:rStyle w:val="Lienhypertexte"/>
                <w:iCs/>
              </w:rPr>
              <w:t>1.4.1.</w:t>
            </w:r>
            <w:r w:rsidR="00981159">
              <w:rPr>
                <w:rFonts w:asciiTheme="minorHAnsi" w:eastAsiaTheme="minorEastAsia" w:hAnsiTheme="minorHAnsi" w:cstheme="minorBidi"/>
                <w:b w:val="0"/>
                <w:lang w:val="en-US" w:eastAsia="en-US"/>
              </w:rPr>
              <w:tab/>
            </w:r>
            <w:r w:rsidR="00981159" w:rsidRPr="0086263B">
              <w:rPr>
                <w:rStyle w:val="Lienhypertexte"/>
                <w:i/>
              </w:rPr>
              <w:t>Cadrage de l’étude</w:t>
            </w:r>
            <w:r w:rsidR="00981159">
              <w:rPr>
                <w:webHidden/>
              </w:rPr>
              <w:tab/>
            </w:r>
            <w:r w:rsidR="00981159">
              <w:rPr>
                <w:webHidden/>
              </w:rPr>
              <w:fldChar w:fldCharType="begin"/>
            </w:r>
            <w:r w:rsidR="00981159">
              <w:rPr>
                <w:webHidden/>
              </w:rPr>
              <w:instrText xml:space="preserve"> PAGEREF _Toc90471406 \h </w:instrText>
            </w:r>
            <w:r w:rsidR="00981159">
              <w:rPr>
                <w:webHidden/>
              </w:rPr>
            </w:r>
            <w:r w:rsidR="00981159">
              <w:rPr>
                <w:webHidden/>
              </w:rPr>
              <w:fldChar w:fldCharType="separate"/>
            </w:r>
            <w:r w:rsidR="00981159">
              <w:rPr>
                <w:webHidden/>
              </w:rPr>
              <w:t>4</w:t>
            </w:r>
            <w:r w:rsidR="00981159">
              <w:rPr>
                <w:webHidden/>
              </w:rPr>
              <w:fldChar w:fldCharType="end"/>
            </w:r>
          </w:hyperlink>
        </w:p>
        <w:p w14:paraId="0F8B5332" w14:textId="73F141B5" w:rsidR="00981159" w:rsidRDefault="00B22F56">
          <w:pPr>
            <w:pStyle w:val="TM2"/>
            <w:rPr>
              <w:rFonts w:asciiTheme="minorHAnsi" w:eastAsiaTheme="minorEastAsia" w:hAnsiTheme="minorHAnsi" w:cstheme="minorBidi"/>
              <w:b w:val="0"/>
              <w:lang w:val="en-US" w:eastAsia="en-US"/>
            </w:rPr>
          </w:pPr>
          <w:hyperlink w:anchor="_Toc90471407" w:history="1">
            <w:r w:rsidR="00981159" w:rsidRPr="0086263B">
              <w:rPr>
                <w:rStyle w:val="Lienhypertexte"/>
                <w:iCs/>
              </w:rPr>
              <w:t>1.4.2.</w:t>
            </w:r>
            <w:r w:rsidR="00981159">
              <w:rPr>
                <w:rFonts w:asciiTheme="minorHAnsi" w:eastAsiaTheme="minorEastAsia" w:hAnsiTheme="minorHAnsi" w:cstheme="minorBidi"/>
                <w:b w:val="0"/>
                <w:lang w:val="en-US" w:eastAsia="en-US"/>
              </w:rPr>
              <w:tab/>
            </w:r>
            <w:r w:rsidR="00981159" w:rsidRPr="0086263B">
              <w:rPr>
                <w:rStyle w:val="Lienhypertexte"/>
                <w:i/>
              </w:rPr>
              <w:t>Collecte et revue documentaire</w:t>
            </w:r>
            <w:r w:rsidR="00981159">
              <w:rPr>
                <w:webHidden/>
              </w:rPr>
              <w:tab/>
            </w:r>
            <w:r w:rsidR="00981159">
              <w:rPr>
                <w:webHidden/>
              </w:rPr>
              <w:fldChar w:fldCharType="begin"/>
            </w:r>
            <w:r w:rsidR="00981159">
              <w:rPr>
                <w:webHidden/>
              </w:rPr>
              <w:instrText xml:space="preserve"> PAGEREF _Toc90471407 \h </w:instrText>
            </w:r>
            <w:r w:rsidR="00981159">
              <w:rPr>
                <w:webHidden/>
              </w:rPr>
            </w:r>
            <w:r w:rsidR="00981159">
              <w:rPr>
                <w:webHidden/>
              </w:rPr>
              <w:fldChar w:fldCharType="separate"/>
            </w:r>
            <w:r w:rsidR="00981159">
              <w:rPr>
                <w:webHidden/>
              </w:rPr>
              <w:t>5</w:t>
            </w:r>
            <w:r w:rsidR="00981159">
              <w:rPr>
                <w:webHidden/>
              </w:rPr>
              <w:fldChar w:fldCharType="end"/>
            </w:r>
          </w:hyperlink>
        </w:p>
        <w:p w14:paraId="6F036EAB" w14:textId="06588396" w:rsidR="00981159" w:rsidRDefault="00B22F56">
          <w:pPr>
            <w:pStyle w:val="TM2"/>
            <w:rPr>
              <w:rFonts w:asciiTheme="minorHAnsi" w:eastAsiaTheme="minorEastAsia" w:hAnsiTheme="minorHAnsi" w:cstheme="minorBidi"/>
              <w:b w:val="0"/>
              <w:lang w:val="en-US" w:eastAsia="en-US"/>
            </w:rPr>
          </w:pPr>
          <w:hyperlink w:anchor="_Toc90471408" w:history="1">
            <w:r w:rsidR="00981159" w:rsidRPr="0086263B">
              <w:rPr>
                <w:rStyle w:val="Lienhypertexte"/>
                <w:iCs/>
              </w:rPr>
              <w:t>1.4.3.</w:t>
            </w:r>
            <w:r w:rsidR="00981159">
              <w:rPr>
                <w:rFonts w:asciiTheme="minorHAnsi" w:eastAsiaTheme="minorEastAsia" w:hAnsiTheme="minorHAnsi" w:cstheme="minorBidi"/>
                <w:b w:val="0"/>
                <w:lang w:val="en-US" w:eastAsia="en-US"/>
              </w:rPr>
              <w:tab/>
            </w:r>
            <w:r w:rsidR="00981159" w:rsidRPr="0086263B">
              <w:rPr>
                <w:rStyle w:val="Lienhypertexte"/>
                <w:i/>
              </w:rPr>
              <w:t>Rencontres institutionnelles</w:t>
            </w:r>
            <w:r w:rsidR="00981159">
              <w:rPr>
                <w:webHidden/>
              </w:rPr>
              <w:tab/>
            </w:r>
            <w:r w:rsidR="00981159">
              <w:rPr>
                <w:webHidden/>
              </w:rPr>
              <w:fldChar w:fldCharType="begin"/>
            </w:r>
            <w:r w:rsidR="00981159">
              <w:rPr>
                <w:webHidden/>
              </w:rPr>
              <w:instrText xml:space="preserve"> PAGEREF _Toc90471408 \h </w:instrText>
            </w:r>
            <w:r w:rsidR="00981159">
              <w:rPr>
                <w:webHidden/>
              </w:rPr>
            </w:r>
            <w:r w:rsidR="00981159">
              <w:rPr>
                <w:webHidden/>
              </w:rPr>
              <w:fldChar w:fldCharType="separate"/>
            </w:r>
            <w:r w:rsidR="00981159">
              <w:rPr>
                <w:webHidden/>
              </w:rPr>
              <w:t>5</w:t>
            </w:r>
            <w:r w:rsidR="00981159">
              <w:rPr>
                <w:webHidden/>
              </w:rPr>
              <w:fldChar w:fldCharType="end"/>
            </w:r>
          </w:hyperlink>
        </w:p>
        <w:p w14:paraId="71B9773A" w14:textId="025926F8" w:rsidR="00981159" w:rsidRDefault="00B22F56">
          <w:pPr>
            <w:pStyle w:val="TM2"/>
            <w:rPr>
              <w:rFonts w:asciiTheme="minorHAnsi" w:eastAsiaTheme="minorEastAsia" w:hAnsiTheme="minorHAnsi" w:cstheme="minorBidi"/>
              <w:b w:val="0"/>
              <w:lang w:val="en-US" w:eastAsia="en-US"/>
            </w:rPr>
          </w:pPr>
          <w:hyperlink w:anchor="_Toc90471409" w:history="1">
            <w:r w:rsidR="00981159" w:rsidRPr="0086263B">
              <w:rPr>
                <w:rStyle w:val="Lienhypertexte"/>
                <w:iCs/>
              </w:rPr>
              <w:t>1.4.4.</w:t>
            </w:r>
            <w:r w:rsidR="00981159">
              <w:rPr>
                <w:rFonts w:asciiTheme="minorHAnsi" w:eastAsiaTheme="minorEastAsia" w:hAnsiTheme="minorHAnsi" w:cstheme="minorBidi"/>
                <w:b w:val="0"/>
                <w:lang w:val="en-US" w:eastAsia="en-US"/>
              </w:rPr>
              <w:tab/>
            </w:r>
            <w:r w:rsidR="00981159" w:rsidRPr="0086263B">
              <w:rPr>
                <w:rStyle w:val="Lienhypertexte"/>
                <w:i/>
              </w:rPr>
              <w:t>Visites de terrain</w:t>
            </w:r>
            <w:r w:rsidR="00981159">
              <w:rPr>
                <w:webHidden/>
              </w:rPr>
              <w:tab/>
            </w:r>
            <w:r w:rsidR="00981159">
              <w:rPr>
                <w:webHidden/>
              </w:rPr>
              <w:fldChar w:fldCharType="begin"/>
            </w:r>
            <w:r w:rsidR="00981159">
              <w:rPr>
                <w:webHidden/>
              </w:rPr>
              <w:instrText xml:space="preserve"> PAGEREF _Toc90471409 \h </w:instrText>
            </w:r>
            <w:r w:rsidR="00981159">
              <w:rPr>
                <w:webHidden/>
              </w:rPr>
            </w:r>
            <w:r w:rsidR="00981159">
              <w:rPr>
                <w:webHidden/>
              </w:rPr>
              <w:fldChar w:fldCharType="separate"/>
            </w:r>
            <w:r w:rsidR="00981159">
              <w:rPr>
                <w:webHidden/>
              </w:rPr>
              <w:t>5</w:t>
            </w:r>
            <w:r w:rsidR="00981159">
              <w:rPr>
                <w:webHidden/>
              </w:rPr>
              <w:fldChar w:fldCharType="end"/>
            </w:r>
          </w:hyperlink>
        </w:p>
        <w:p w14:paraId="731FD57E" w14:textId="260E7D70" w:rsidR="00981159" w:rsidRDefault="00B22F56">
          <w:pPr>
            <w:pStyle w:val="TM2"/>
            <w:rPr>
              <w:rFonts w:asciiTheme="minorHAnsi" w:eastAsiaTheme="minorEastAsia" w:hAnsiTheme="minorHAnsi" w:cstheme="minorBidi"/>
              <w:b w:val="0"/>
              <w:lang w:val="en-US" w:eastAsia="en-US"/>
            </w:rPr>
          </w:pPr>
          <w:hyperlink w:anchor="_Toc90471410" w:history="1">
            <w:r w:rsidR="00981159" w:rsidRPr="0086263B">
              <w:rPr>
                <w:rStyle w:val="Lienhypertexte"/>
                <w:iCs/>
              </w:rPr>
              <w:t>1.4.5.</w:t>
            </w:r>
            <w:r w:rsidR="00981159">
              <w:rPr>
                <w:rFonts w:asciiTheme="minorHAnsi" w:eastAsiaTheme="minorEastAsia" w:hAnsiTheme="minorHAnsi" w:cstheme="minorBidi"/>
                <w:b w:val="0"/>
                <w:lang w:val="en-US" w:eastAsia="en-US"/>
              </w:rPr>
              <w:tab/>
            </w:r>
            <w:r w:rsidR="00981159" w:rsidRPr="0086263B">
              <w:rPr>
                <w:rStyle w:val="Lienhypertexte"/>
                <w:i/>
              </w:rPr>
              <w:t>Exploitation des données et rédaction du rapport</w:t>
            </w:r>
            <w:r w:rsidR="00981159">
              <w:rPr>
                <w:webHidden/>
              </w:rPr>
              <w:tab/>
            </w:r>
            <w:r w:rsidR="00981159">
              <w:rPr>
                <w:webHidden/>
              </w:rPr>
              <w:fldChar w:fldCharType="begin"/>
            </w:r>
            <w:r w:rsidR="00981159">
              <w:rPr>
                <w:webHidden/>
              </w:rPr>
              <w:instrText xml:space="preserve"> PAGEREF _Toc90471410 \h </w:instrText>
            </w:r>
            <w:r w:rsidR="00981159">
              <w:rPr>
                <w:webHidden/>
              </w:rPr>
            </w:r>
            <w:r w:rsidR="00981159">
              <w:rPr>
                <w:webHidden/>
              </w:rPr>
              <w:fldChar w:fldCharType="separate"/>
            </w:r>
            <w:r w:rsidR="00981159">
              <w:rPr>
                <w:webHidden/>
              </w:rPr>
              <w:t>5</w:t>
            </w:r>
            <w:r w:rsidR="00981159">
              <w:rPr>
                <w:webHidden/>
              </w:rPr>
              <w:fldChar w:fldCharType="end"/>
            </w:r>
          </w:hyperlink>
        </w:p>
        <w:p w14:paraId="274E327E" w14:textId="0C555905" w:rsidR="00981159" w:rsidRDefault="00B22F56">
          <w:pPr>
            <w:pStyle w:val="TM2"/>
            <w:rPr>
              <w:rFonts w:asciiTheme="minorHAnsi" w:eastAsiaTheme="minorEastAsia" w:hAnsiTheme="minorHAnsi" w:cstheme="minorBidi"/>
              <w:b w:val="0"/>
              <w:lang w:val="en-US" w:eastAsia="en-US"/>
            </w:rPr>
          </w:pPr>
          <w:hyperlink w:anchor="_Toc90471411" w:history="1">
            <w:r w:rsidR="00981159" w:rsidRPr="0086263B">
              <w:rPr>
                <w:rStyle w:val="Lienhypertexte"/>
                <w:rFonts w:eastAsia="Calibri"/>
              </w:rPr>
              <w:t>1.5.</w:t>
            </w:r>
            <w:r w:rsidR="00981159">
              <w:rPr>
                <w:rFonts w:asciiTheme="minorHAnsi" w:eastAsiaTheme="minorEastAsia" w:hAnsiTheme="minorHAnsi" w:cstheme="minorBidi"/>
                <w:b w:val="0"/>
                <w:lang w:val="en-US" w:eastAsia="en-US"/>
              </w:rPr>
              <w:tab/>
            </w:r>
            <w:r w:rsidR="00981159" w:rsidRPr="0086263B">
              <w:rPr>
                <w:rStyle w:val="Lienhypertexte"/>
              </w:rPr>
              <w:t>Structure du rapport</w:t>
            </w:r>
            <w:r w:rsidR="00981159">
              <w:rPr>
                <w:webHidden/>
              </w:rPr>
              <w:tab/>
            </w:r>
            <w:r w:rsidR="00981159">
              <w:rPr>
                <w:webHidden/>
              </w:rPr>
              <w:fldChar w:fldCharType="begin"/>
            </w:r>
            <w:r w:rsidR="00981159">
              <w:rPr>
                <w:webHidden/>
              </w:rPr>
              <w:instrText xml:space="preserve"> PAGEREF _Toc90471411 \h </w:instrText>
            </w:r>
            <w:r w:rsidR="00981159">
              <w:rPr>
                <w:webHidden/>
              </w:rPr>
            </w:r>
            <w:r w:rsidR="00981159">
              <w:rPr>
                <w:webHidden/>
              </w:rPr>
              <w:fldChar w:fldCharType="separate"/>
            </w:r>
            <w:r w:rsidR="00981159">
              <w:rPr>
                <w:webHidden/>
              </w:rPr>
              <w:t>5</w:t>
            </w:r>
            <w:r w:rsidR="00981159">
              <w:rPr>
                <w:webHidden/>
              </w:rPr>
              <w:fldChar w:fldCharType="end"/>
            </w:r>
          </w:hyperlink>
        </w:p>
        <w:p w14:paraId="7DF3DF04" w14:textId="69F62DCB" w:rsidR="00981159" w:rsidRDefault="00B22F56">
          <w:pPr>
            <w:pStyle w:val="TM1"/>
            <w:rPr>
              <w:rFonts w:asciiTheme="minorHAnsi" w:eastAsiaTheme="minorEastAsia" w:hAnsiTheme="minorHAnsi" w:cstheme="minorBidi"/>
              <w:b w:val="0"/>
              <w:bCs w:val="0"/>
              <w:caps w:val="0"/>
              <w:color w:val="auto"/>
              <w:lang w:val="en-US" w:eastAsia="en-US"/>
            </w:rPr>
          </w:pPr>
          <w:hyperlink w:anchor="_Toc90471412" w:history="1">
            <w:r w:rsidR="00981159" w:rsidRPr="0086263B">
              <w:rPr>
                <w:rStyle w:val="Lienhypertexte"/>
              </w:rPr>
              <w:t>2.</w:t>
            </w:r>
            <w:r w:rsidR="00981159">
              <w:rPr>
                <w:rFonts w:asciiTheme="minorHAnsi" w:eastAsiaTheme="minorEastAsia" w:hAnsiTheme="minorHAnsi" w:cstheme="minorBidi"/>
                <w:b w:val="0"/>
                <w:bCs w:val="0"/>
                <w:caps w:val="0"/>
                <w:color w:val="auto"/>
                <w:lang w:val="en-US" w:eastAsia="en-US"/>
              </w:rPr>
              <w:tab/>
            </w:r>
            <w:r w:rsidR="00981159" w:rsidRPr="0086263B">
              <w:rPr>
                <w:rStyle w:val="Lienhypertexte"/>
              </w:rPr>
              <w:t>DESCRIPTION DU PROJET</w:t>
            </w:r>
            <w:r w:rsidR="00981159">
              <w:rPr>
                <w:webHidden/>
              </w:rPr>
              <w:tab/>
            </w:r>
            <w:r w:rsidR="00981159">
              <w:rPr>
                <w:webHidden/>
              </w:rPr>
              <w:fldChar w:fldCharType="begin"/>
            </w:r>
            <w:r w:rsidR="00981159">
              <w:rPr>
                <w:webHidden/>
              </w:rPr>
              <w:instrText xml:space="preserve"> PAGEREF _Toc90471412 \h </w:instrText>
            </w:r>
            <w:r w:rsidR="00981159">
              <w:rPr>
                <w:webHidden/>
              </w:rPr>
            </w:r>
            <w:r w:rsidR="00981159">
              <w:rPr>
                <w:webHidden/>
              </w:rPr>
              <w:fldChar w:fldCharType="separate"/>
            </w:r>
            <w:r w:rsidR="00981159">
              <w:rPr>
                <w:webHidden/>
              </w:rPr>
              <w:t>7</w:t>
            </w:r>
            <w:r w:rsidR="00981159">
              <w:rPr>
                <w:webHidden/>
              </w:rPr>
              <w:fldChar w:fldCharType="end"/>
            </w:r>
          </w:hyperlink>
        </w:p>
        <w:p w14:paraId="0FBF9517" w14:textId="68A0F0C3" w:rsidR="00981159" w:rsidRDefault="00B22F56">
          <w:pPr>
            <w:pStyle w:val="TM2"/>
            <w:rPr>
              <w:rFonts w:asciiTheme="minorHAnsi" w:eastAsiaTheme="minorEastAsia" w:hAnsiTheme="minorHAnsi" w:cstheme="minorBidi"/>
              <w:b w:val="0"/>
              <w:lang w:val="en-US" w:eastAsia="en-US"/>
            </w:rPr>
          </w:pPr>
          <w:hyperlink w:anchor="_Toc90471413" w:history="1">
            <w:r w:rsidR="00981159" w:rsidRPr="0086263B">
              <w:rPr>
                <w:rStyle w:val="Lienhypertexte"/>
              </w:rPr>
              <w:t>2.1.</w:t>
            </w:r>
            <w:r w:rsidR="00981159">
              <w:rPr>
                <w:rFonts w:asciiTheme="minorHAnsi" w:eastAsiaTheme="minorEastAsia" w:hAnsiTheme="minorHAnsi" w:cstheme="minorBidi"/>
                <w:b w:val="0"/>
                <w:lang w:val="en-US" w:eastAsia="en-US"/>
              </w:rPr>
              <w:tab/>
            </w:r>
            <w:r w:rsidR="00981159" w:rsidRPr="0086263B">
              <w:rPr>
                <w:rStyle w:val="Lienhypertexte"/>
              </w:rPr>
              <w:t>Objectif du Projet</w:t>
            </w:r>
            <w:r w:rsidR="00981159">
              <w:rPr>
                <w:webHidden/>
              </w:rPr>
              <w:tab/>
            </w:r>
            <w:r w:rsidR="00981159">
              <w:rPr>
                <w:webHidden/>
              </w:rPr>
              <w:fldChar w:fldCharType="begin"/>
            </w:r>
            <w:r w:rsidR="00981159">
              <w:rPr>
                <w:webHidden/>
              </w:rPr>
              <w:instrText xml:space="preserve"> PAGEREF _Toc90471413 \h </w:instrText>
            </w:r>
            <w:r w:rsidR="00981159">
              <w:rPr>
                <w:webHidden/>
              </w:rPr>
            </w:r>
            <w:r w:rsidR="00981159">
              <w:rPr>
                <w:webHidden/>
              </w:rPr>
              <w:fldChar w:fldCharType="separate"/>
            </w:r>
            <w:r w:rsidR="00981159">
              <w:rPr>
                <w:webHidden/>
              </w:rPr>
              <w:t>7</w:t>
            </w:r>
            <w:r w:rsidR="00981159">
              <w:rPr>
                <w:webHidden/>
              </w:rPr>
              <w:fldChar w:fldCharType="end"/>
            </w:r>
          </w:hyperlink>
        </w:p>
        <w:p w14:paraId="43C757EA" w14:textId="141F035E" w:rsidR="00981159" w:rsidRDefault="00B22F56">
          <w:pPr>
            <w:pStyle w:val="TM2"/>
            <w:rPr>
              <w:rFonts w:asciiTheme="minorHAnsi" w:eastAsiaTheme="minorEastAsia" w:hAnsiTheme="minorHAnsi" w:cstheme="minorBidi"/>
              <w:b w:val="0"/>
              <w:lang w:val="en-US" w:eastAsia="en-US"/>
            </w:rPr>
          </w:pPr>
          <w:hyperlink w:anchor="_Toc90471414" w:history="1">
            <w:r w:rsidR="00981159" w:rsidRPr="0086263B">
              <w:rPr>
                <w:rStyle w:val="Lienhypertexte"/>
              </w:rPr>
              <w:t>2.2.</w:t>
            </w:r>
            <w:r w:rsidR="00981159">
              <w:rPr>
                <w:rFonts w:asciiTheme="minorHAnsi" w:eastAsiaTheme="minorEastAsia" w:hAnsiTheme="minorHAnsi" w:cstheme="minorBidi"/>
                <w:b w:val="0"/>
                <w:lang w:val="en-US" w:eastAsia="en-US"/>
              </w:rPr>
              <w:tab/>
            </w:r>
            <w:r w:rsidR="00981159" w:rsidRPr="0086263B">
              <w:rPr>
                <w:rStyle w:val="Lienhypertexte"/>
              </w:rPr>
              <w:t>Composantes du Projet</w:t>
            </w:r>
            <w:r w:rsidR="00981159">
              <w:rPr>
                <w:webHidden/>
              </w:rPr>
              <w:tab/>
            </w:r>
            <w:r w:rsidR="00981159">
              <w:rPr>
                <w:webHidden/>
              </w:rPr>
              <w:fldChar w:fldCharType="begin"/>
            </w:r>
            <w:r w:rsidR="00981159">
              <w:rPr>
                <w:webHidden/>
              </w:rPr>
              <w:instrText xml:space="preserve"> PAGEREF _Toc90471414 \h </w:instrText>
            </w:r>
            <w:r w:rsidR="00981159">
              <w:rPr>
                <w:webHidden/>
              </w:rPr>
            </w:r>
            <w:r w:rsidR="00981159">
              <w:rPr>
                <w:webHidden/>
              </w:rPr>
              <w:fldChar w:fldCharType="separate"/>
            </w:r>
            <w:r w:rsidR="00981159">
              <w:rPr>
                <w:webHidden/>
              </w:rPr>
              <w:t>13</w:t>
            </w:r>
            <w:r w:rsidR="00981159">
              <w:rPr>
                <w:webHidden/>
              </w:rPr>
              <w:fldChar w:fldCharType="end"/>
            </w:r>
          </w:hyperlink>
        </w:p>
        <w:p w14:paraId="51848D90" w14:textId="1BDF76C8" w:rsidR="00981159" w:rsidRDefault="00B22F56">
          <w:pPr>
            <w:pStyle w:val="TM2"/>
            <w:rPr>
              <w:rFonts w:asciiTheme="minorHAnsi" w:eastAsiaTheme="minorEastAsia" w:hAnsiTheme="minorHAnsi" w:cstheme="minorBidi"/>
              <w:b w:val="0"/>
              <w:lang w:val="en-US" w:eastAsia="en-US"/>
            </w:rPr>
          </w:pPr>
          <w:hyperlink w:anchor="_Toc90471415" w:history="1">
            <w:r w:rsidR="00981159" w:rsidRPr="0086263B">
              <w:rPr>
                <w:rStyle w:val="Lienhypertexte"/>
              </w:rPr>
              <w:t>2.3.</w:t>
            </w:r>
            <w:r w:rsidR="00981159">
              <w:rPr>
                <w:rFonts w:asciiTheme="minorHAnsi" w:eastAsiaTheme="minorEastAsia" w:hAnsiTheme="minorHAnsi" w:cstheme="minorBidi"/>
                <w:b w:val="0"/>
                <w:lang w:val="en-US" w:eastAsia="en-US"/>
              </w:rPr>
              <w:tab/>
            </w:r>
            <w:r w:rsidR="00981159" w:rsidRPr="0086263B">
              <w:rPr>
                <w:rStyle w:val="Lienhypertexte"/>
              </w:rPr>
              <w:t>Bénéficiaires du projet</w:t>
            </w:r>
            <w:r w:rsidR="00981159">
              <w:rPr>
                <w:webHidden/>
              </w:rPr>
              <w:tab/>
            </w:r>
            <w:r w:rsidR="00981159">
              <w:rPr>
                <w:webHidden/>
              </w:rPr>
              <w:fldChar w:fldCharType="begin"/>
            </w:r>
            <w:r w:rsidR="00981159">
              <w:rPr>
                <w:webHidden/>
              </w:rPr>
              <w:instrText xml:space="preserve"> PAGEREF _Toc90471415 \h </w:instrText>
            </w:r>
            <w:r w:rsidR="00981159">
              <w:rPr>
                <w:webHidden/>
              </w:rPr>
            </w:r>
            <w:r w:rsidR="00981159">
              <w:rPr>
                <w:webHidden/>
              </w:rPr>
              <w:fldChar w:fldCharType="separate"/>
            </w:r>
            <w:r w:rsidR="00981159">
              <w:rPr>
                <w:webHidden/>
              </w:rPr>
              <w:t>20</w:t>
            </w:r>
            <w:r w:rsidR="00981159">
              <w:rPr>
                <w:webHidden/>
              </w:rPr>
              <w:fldChar w:fldCharType="end"/>
            </w:r>
          </w:hyperlink>
        </w:p>
        <w:p w14:paraId="6537BA2E" w14:textId="0929DAA4" w:rsidR="00981159" w:rsidRDefault="00B22F56">
          <w:pPr>
            <w:pStyle w:val="TM2"/>
            <w:rPr>
              <w:rFonts w:asciiTheme="minorHAnsi" w:eastAsiaTheme="minorEastAsia" w:hAnsiTheme="minorHAnsi" w:cstheme="minorBidi"/>
              <w:b w:val="0"/>
              <w:lang w:val="en-US" w:eastAsia="en-US"/>
            </w:rPr>
          </w:pPr>
          <w:hyperlink w:anchor="_Toc90471416" w:history="1">
            <w:r w:rsidR="00981159" w:rsidRPr="0086263B">
              <w:rPr>
                <w:rStyle w:val="Lienhypertexte"/>
              </w:rPr>
              <w:t>2.4.</w:t>
            </w:r>
            <w:r w:rsidR="00981159">
              <w:rPr>
                <w:rFonts w:asciiTheme="minorHAnsi" w:eastAsiaTheme="minorEastAsia" w:hAnsiTheme="minorHAnsi" w:cstheme="minorBidi"/>
                <w:b w:val="0"/>
                <w:lang w:val="en-US" w:eastAsia="en-US"/>
              </w:rPr>
              <w:tab/>
            </w:r>
            <w:r w:rsidR="00981159" w:rsidRPr="0086263B">
              <w:rPr>
                <w:rStyle w:val="Lienhypertexte"/>
              </w:rPr>
              <w:t>Dispositif de la mise en œuvre du Projet</w:t>
            </w:r>
            <w:r w:rsidR="00981159">
              <w:rPr>
                <w:webHidden/>
              </w:rPr>
              <w:tab/>
            </w:r>
            <w:r w:rsidR="00981159">
              <w:rPr>
                <w:webHidden/>
              </w:rPr>
              <w:fldChar w:fldCharType="begin"/>
            </w:r>
            <w:r w:rsidR="00981159">
              <w:rPr>
                <w:webHidden/>
              </w:rPr>
              <w:instrText xml:space="preserve"> PAGEREF _Toc90471416 \h </w:instrText>
            </w:r>
            <w:r w:rsidR="00981159">
              <w:rPr>
                <w:webHidden/>
              </w:rPr>
            </w:r>
            <w:r w:rsidR="00981159">
              <w:rPr>
                <w:webHidden/>
              </w:rPr>
              <w:fldChar w:fldCharType="separate"/>
            </w:r>
            <w:r w:rsidR="00981159">
              <w:rPr>
                <w:webHidden/>
              </w:rPr>
              <w:t>21</w:t>
            </w:r>
            <w:r w:rsidR="00981159">
              <w:rPr>
                <w:webHidden/>
              </w:rPr>
              <w:fldChar w:fldCharType="end"/>
            </w:r>
          </w:hyperlink>
        </w:p>
        <w:p w14:paraId="25EE73FE" w14:textId="4FFE3B08" w:rsidR="00981159" w:rsidRDefault="00B22F56">
          <w:pPr>
            <w:pStyle w:val="TM2"/>
            <w:rPr>
              <w:rFonts w:asciiTheme="minorHAnsi" w:eastAsiaTheme="minorEastAsia" w:hAnsiTheme="minorHAnsi" w:cstheme="minorBidi"/>
              <w:b w:val="0"/>
              <w:lang w:val="en-US" w:eastAsia="en-US"/>
            </w:rPr>
          </w:pPr>
          <w:hyperlink w:anchor="_Toc90471417" w:history="1">
            <w:r w:rsidR="00981159" w:rsidRPr="0086263B">
              <w:rPr>
                <w:rStyle w:val="Lienhypertexte"/>
              </w:rPr>
              <w:t>2.5.</w:t>
            </w:r>
            <w:r w:rsidR="00981159">
              <w:rPr>
                <w:rFonts w:asciiTheme="minorHAnsi" w:eastAsiaTheme="minorEastAsia" w:hAnsiTheme="minorHAnsi" w:cstheme="minorBidi"/>
                <w:b w:val="0"/>
                <w:lang w:val="en-US" w:eastAsia="en-US"/>
              </w:rPr>
              <w:tab/>
            </w:r>
            <w:r w:rsidR="00981159" w:rsidRPr="0086263B">
              <w:rPr>
                <w:rStyle w:val="Lienhypertexte"/>
              </w:rPr>
              <w:t>Coût de la mise en œuvre</w:t>
            </w:r>
            <w:r w:rsidR="00981159">
              <w:rPr>
                <w:webHidden/>
              </w:rPr>
              <w:tab/>
            </w:r>
            <w:r w:rsidR="00981159">
              <w:rPr>
                <w:webHidden/>
              </w:rPr>
              <w:fldChar w:fldCharType="begin"/>
            </w:r>
            <w:r w:rsidR="00981159">
              <w:rPr>
                <w:webHidden/>
              </w:rPr>
              <w:instrText xml:space="preserve"> PAGEREF _Toc90471417 \h </w:instrText>
            </w:r>
            <w:r w:rsidR="00981159">
              <w:rPr>
                <w:webHidden/>
              </w:rPr>
            </w:r>
            <w:r w:rsidR="00981159">
              <w:rPr>
                <w:webHidden/>
              </w:rPr>
              <w:fldChar w:fldCharType="separate"/>
            </w:r>
            <w:r w:rsidR="00981159">
              <w:rPr>
                <w:webHidden/>
              </w:rPr>
              <w:t>21</w:t>
            </w:r>
            <w:r w:rsidR="00981159">
              <w:rPr>
                <w:webHidden/>
              </w:rPr>
              <w:fldChar w:fldCharType="end"/>
            </w:r>
          </w:hyperlink>
        </w:p>
        <w:p w14:paraId="47E4A5B9" w14:textId="38125F7D" w:rsidR="00981159" w:rsidRDefault="00B22F56">
          <w:pPr>
            <w:pStyle w:val="TM2"/>
            <w:rPr>
              <w:rFonts w:asciiTheme="minorHAnsi" w:eastAsiaTheme="minorEastAsia" w:hAnsiTheme="minorHAnsi" w:cstheme="minorBidi"/>
              <w:b w:val="0"/>
              <w:lang w:val="en-US" w:eastAsia="en-US"/>
            </w:rPr>
          </w:pPr>
          <w:hyperlink w:anchor="_Toc90471418" w:history="1">
            <w:r w:rsidR="00981159" w:rsidRPr="0086263B">
              <w:rPr>
                <w:rStyle w:val="Lienhypertexte"/>
              </w:rPr>
              <w:t>2.6.</w:t>
            </w:r>
            <w:r w:rsidR="00981159">
              <w:rPr>
                <w:rFonts w:asciiTheme="minorHAnsi" w:eastAsiaTheme="minorEastAsia" w:hAnsiTheme="minorHAnsi" w:cstheme="minorBidi"/>
                <w:b w:val="0"/>
                <w:lang w:val="en-US" w:eastAsia="en-US"/>
              </w:rPr>
              <w:tab/>
            </w:r>
            <w:r w:rsidR="00981159" w:rsidRPr="0086263B">
              <w:rPr>
                <w:rStyle w:val="Lienhypertexte"/>
              </w:rPr>
              <w:t>Zone d’intervention du PNDA</w:t>
            </w:r>
            <w:r w:rsidR="00981159">
              <w:rPr>
                <w:webHidden/>
              </w:rPr>
              <w:tab/>
            </w:r>
            <w:r w:rsidR="00981159">
              <w:rPr>
                <w:webHidden/>
              </w:rPr>
              <w:fldChar w:fldCharType="begin"/>
            </w:r>
            <w:r w:rsidR="00981159">
              <w:rPr>
                <w:webHidden/>
              </w:rPr>
              <w:instrText xml:space="preserve"> PAGEREF _Toc90471418 \h </w:instrText>
            </w:r>
            <w:r w:rsidR="00981159">
              <w:rPr>
                <w:webHidden/>
              </w:rPr>
            </w:r>
            <w:r w:rsidR="00981159">
              <w:rPr>
                <w:webHidden/>
              </w:rPr>
              <w:fldChar w:fldCharType="separate"/>
            </w:r>
            <w:r w:rsidR="00981159">
              <w:rPr>
                <w:webHidden/>
              </w:rPr>
              <w:t>22</w:t>
            </w:r>
            <w:r w:rsidR="00981159">
              <w:rPr>
                <w:webHidden/>
              </w:rPr>
              <w:fldChar w:fldCharType="end"/>
            </w:r>
          </w:hyperlink>
        </w:p>
        <w:p w14:paraId="29B68ADE" w14:textId="63E35458" w:rsidR="00981159" w:rsidRDefault="00B22F56">
          <w:pPr>
            <w:pStyle w:val="TM1"/>
            <w:rPr>
              <w:rFonts w:asciiTheme="minorHAnsi" w:eastAsiaTheme="minorEastAsia" w:hAnsiTheme="minorHAnsi" w:cstheme="minorBidi"/>
              <w:b w:val="0"/>
              <w:bCs w:val="0"/>
              <w:caps w:val="0"/>
              <w:color w:val="auto"/>
              <w:lang w:val="en-US" w:eastAsia="en-US"/>
            </w:rPr>
          </w:pPr>
          <w:hyperlink w:anchor="_Toc90471419" w:history="1">
            <w:r w:rsidR="00981159" w:rsidRPr="0086263B">
              <w:rPr>
                <w:rStyle w:val="Lienhypertexte"/>
              </w:rPr>
              <w:t>3.</w:t>
            </w:r>
            <w:r w:rsidR="00981159">
              <w:rPr>
                <w:rFonts w:asciiTheme="minorHAnsi" w:eastAsiaTheme="minorEastAsia" w:hAnsiTheme="minorHAnsi" w:cstheme="minorBidi"/>
                <w:b w:val="0"/>
                <w:bCs w:val="0"/>
                <w:caps w:val="0"/>
                <w:color w:val="auto"/>
                <w:lang w:val="en-US" w:eastAsia="en-US"/>
              </w:rPr>
              <w:tab/>
            </w:r>
            <w:r w:rsidR="00981159" w:rsidRPr="0086263B">
              <w:rPr>
                <w:rStyle w:val="Lienhypertexte"/>
              </w:rPr>
              <w:t>SITUATION ENVIRONNEMENTALE ET SOCIALE DANS LA ZONE DU PROGRAMME</w:t>
            </w:r>
            <w:r w:rsidR="00981159">
              <w:rPr>
                <w:webHidden/>
              </w:rPr>
              <w:tab/>
            </w:r>
            <w:r w:rsidR="00981159">
              <w:rPr>
                <w:webHidden/>
              </w:rPr>
              <w:fldChar w:fldCharType="begin"/>
            </w:r>
            <w:r w:rsidR="00981159">
              <w:rPr>
                <w:webHidden/>
              </w:rPr>
              <w:instrText xml:space="preserve"> PAGEREF _Toc90471419 \h </w:instrText>
            </w:r>
            <w:r w:rsidR="00981159">
              <w:rPr>
                <w:webHidden/>
              </w:rPr>
            </w:r>
            <w:r w:rsidR="00981159">
              <w:rPr>
                <w:webHidden/>
              </w:rPr>
              <w:fldChar w:fldCharType="separate"/>
            </w:r>
            <w:r w:rsidR="00981159">
              <w:rPr>
                <w:webHidden/>
              </w:rPr>
              <w:t>24</w:t>
            </w:r>
            <w:r w:rsidR="00981159">
              <w:rPr>
                <w:webHidden/>
              </w:rPr>
              <w:fldChar w:fldCharType="end"/>
            </w:r>
          </w:hyperlink>
        </w:p>
        <w:p w14:paraId="5AFA2643" w14:textId="1A1DD157" w:rsidR="00981159" w:rsidRDefault="00B22F56">
          <w:pPr>
            <w:pStyle w:val="TM2"/>
            <w:rPr>
              <w:rFonts w:asciiTheme="minorHAnsi" w:eastAsiaTheme="minorEastAsia" w:hAnsiTheme="minorHAnsi" w:cstheme="minorBidi"/>
              <w:b w:val="0"/>
              <w:lang w:val="en-US" w:eastAsia="en-US"/>
            </w:rPr>
          </w:pPr>
          <w:hyperlink w:anchor="_Toc90471420" w:history="1">
            <w:r w:rsidR="00981159" w:rsidRPr="0086263B">
              <w:rPr>
                <w:rStyle w:val="Lienhypertexte"/>
              </w:rPr>
              <w:t>3.1.</w:t>
            </w:r>
            <w:r w:rsidR="00981159">
              <w:rPr>
                <w:rFonts w:asciiTheme="minorHAnsi" w:eastAsiaTheme="minorEastAsia" w:hAnsiTheme="minorHAnsi" w:cstheme="minorBidi"/>
                <w:b w:val="0"/>
                <w:lang w:val="en-US" w:eastAsia="en-US"/>
              </w:rPr>
              <w:tab/>
            </w:r>
            <w:r w:rsidR="00981159" w:rsidRPr="0086263B">
              <w:rPr>
                <w:rStyle w:val="Lienhypertexte"/>
              </w:rPr>
              <w:t>Situation socio-économique des provinces concernées par le PNDA</w:t>
            </w:r>
            <w:r w:rsidR="00981159">
              <w:rPr>
                <w:webHidden/>
              </w:rPr>
              <w:tab/>
            </w:r>
            <w:r w:rsidR="00981159">
              <w:rPr>
                <w:webHidden/>
              </w:rPr>
              <w:fldChar w:fldCharType="begin"/>
            </w:r>
            <w:r w:rsidR="00981159">
              <w:rPr>
                <w:webHidden/>
              </w:rPr>
              <w:instrText xml:space="preserve"> PAGEREF _Toc90471420 \h </w:instrText>
            </w:r>
            <w:r w:rsidR="00981159">
              <w:rPr>
                <w:webHidden/>
              </w:rPr>
            </w:r>
            <w:r w:rsidR="00981159">
              <w:rPr>
                <w:webHidden/>
              </w:rPr>
              <w:fldChar w:fldCharType="separate"/>
            </w:r>
            <w:r w:rsidR="00981159">
              <w:rPr>
                <w:webHidden/>
              </w:rPr>
              <w:t>24</w:t>
            </w:r>
            <w:r w:rsidR="00981159">
              <w:rPr>
                <w:webHidden/>
              </w:rPr>
              <w:fldChar w:fldCharType="end"/>
            </w:r>
          </w:hyperlink>
        </w:p>
        <w:p w14:paraId="499ABA59" w14:textId="0B76AD0D" w:rsidR="00981159" w:rsidRDefault="00B22F56">
          <w:pPr>
            <w:pStyle w:val="TM2"/>
            <w:rPr>
              <w:rFonts w:asciiTheme="minorHAnsi" w:eastAsiaTheme="minorEastAsia" w:hAnsiTheme="minorHAnsi" w:cstheme="minorBidi"/>
              <w:b w:val="0"/>
              <w:lang w:val="en-US" w:eastAsia="en-US"/>
            </w:rPr>
          </w:pPr>
          <w:hyperlink w:anchor="_Toc90471421" w:history="1">
            <w:r w:rsidR="00981159" w:rsidRPr="0086263B">
              <w:rPr>
                <w:rStyle w:val="Lienhypertexte"/>
              </w:rPr>
              <w:t>3.2.</w:t>
            </w:r>
            <w:r w:rsidR="00981159">
              <w:rPr>
                <w:rFonts w:asciiTheme="minorHAnsi" w:eastAsiaTheme="minorEastAsia" w:hAnsiTheme="minorHAnsi" w:cstheme="minorBidi"/>
                <w:b w:val="0"/>
                <w:lang w:val="en-US" w:eastAsia="en-US"/>
              </w:rPr>
              <w:tab/>
            </w:r>
            <w:r w:rsidR="00981159" w:rsidRPr="0086263B">
              <w:rPr>
                <w:rStyle w:val="Lienhypertexte"/>
              </w:rPr>
              <w:t>Brève présentation du Parc National des Virunga (PNVi) (784 368 ha)</w:t>
            </w:r>
            <w:r w:rsidR="00981159">
              <w:rPr>
                <w:webHidden/>
              </w:rPr>
              <w:tab/>
            </w:r>
            <w:r w:rsidR="00981159">
              <w:rPr>
                <w:webHidden/>
              </w:rPr>
              <w:fldChar w:fldCharType="begin"/>
            </w:r>
            <w:r w:rsidR="00981159">
              <w:rPr>
                <w:webHidden/>
              </w:rPr>
              <w:instrText xml:space="preserve"> PAGEREF _Toc90471421 \h </w:instrText>
            </w:r>
            <w:r w:rsidR="00981159">
              <w:rPr>
                <w:webHidden/>
              </w:rPr>
            </w:r>
            <w:r w:rsidR="00981159">
              <w:rPr>
                <w:webHidden/>
              </w:rPr>
              <w:fldChar w:fldCharType="separate"/>
            </w:r>
            <w:r w:rsidR="00981159">
              <w:rPr>
                <w:webHidden/>
              </w:rPr>
              <w:t>62</w:t>
            </w:r>
            <w:r w:rsidR="00981159">
              <w:rPr>
                <w:webHidden/>
              </w:rPr>
              <w:fldChar w:fldCharType="end"/>
            </w:r>
          </w:hyperlink>
        </w:p>
        <w:p w14:paraId="4FEBB249" w14:textId="180F76C1" w:rsidR="00981159" w:rsidRDefault="00B22F56">
          <w:pPr>
            <w:pStyle w:val="TM2"/>
            <w:rPr>
              <w:rFonts w:asciiTheme="minorHAnsi" w:eastAsiaTheme="minorEastAsia" w:hAnsiTheme="minorHAnsi" w:cstheme="minorBidi"/>
              <w:b w:val="0"/>
              <w:lang w:val="en-US" w:eastAsia="en-US"/>
            </w:rPr>
          </w:pPr>
          <w:hyperlink w:anchor="_Toc90471422" w:history="1">
            <w:r w:rsidR="00981159" w:rsidRPr="0086263B">
              <w:rPr>
                <w:rStyle w:val="Lienhypertexte"/>
              </w:rPr>
              <w:t>3.3.</w:t>
            </w:r>
            <w:r w:rsidR="00981159">
              <w:rPr>
                <w:rFonts w:asciiTheme="minorHAnsi" w:eastAsiaTheme="minorEastAsia" w:hAnsiTheme="minorHAnsi" w:cstheme="minorBidi"/>
                <w:b w:val="0"/>
                <w:lang w:val="en-US" w:eastAsia="en-US"/>
              </w:rPr>
              <w:tab/>
            </w:r>
            <w:r w:rsidR="00981159" w:rsidRPr="0086263B">
              <w:rPr>
                <w:rStyle w:val="Lienhypertexte"/>
              </w:rPr>
              <w:t>Brève description du Parc marin de Mangroves</w:t>
            </w:r>
            <w:r w:rsidR="00981159">
              <w:rPr>
                <w:webHidden/>
              </w:rPr>
              <w:tab/>
            </w:r>
            <w:r w:rsidR="00981159">
              <w:rPr>
                <w:webHidden/>
              </w:rPr>
              <w:fldChar w:fldCharType="begin"/>
            </w:r>
            <w:r w:rsidR="00981159">
              <w:rPr>
                <w:webHidden/>
              </w:rPr>
              <w:instrText xml:space="preserve"> PAGEREF _Toc90471422 \h </w:instrText>
            </w:r>
            <w:r w:rsidR="00981159">
              <w:rPr>
                <w:webHidden/>
              </w:rPr>
            </w:r>
            <w:r w:rsidR="00981159">
              <w:rPr>
                <w:webHidden/>
              </w:rPr>
              <w:fldChar w:fldCharType="separate"/>
            </w:r>
            <w:r w:rsidR="00981159">
              <w:rPr>
                <w:webHidden/>
              </w:rPr>
              <w:t>75</w:t>
            </w:r>
            <w:r w:rsidR="00981159">
              <w:rPr>
                <w:webHidden/>
              </w:rPr>
              <w:fldChar w:fldCharType="end"/>
            </w:r>
          </w:hyperlink>
        </w:p>
        <w:p w14:paraId="20237F13" w14:textId="285B7B97" w:rsidR="00981159" w:rsidRDefault="00B22F56">
          <w:pPr>
            <w:pStyle w:val="TM2"/>
            <w:rPr>
              <w:rFonts w:asciiTheme="minorHAnsi" w:eastAsiaTheme="minorEastAsia" w:hAnsiTheme="minorHAnsi" w:cstheme="minorBidi"/>
              <w:b w:val="0"/>
              <w:lang w:val="en-US" w:eastAsia="en-US"/>
            </w:rPr>
          </w:pPr>
          <w:hyperlink w:anchor="_Toc90471423" w:history="1">
            <w:r w:rsidR="00981159" w:rsidRPr="0086263B">
              <w:rPr>
                <w:rStyle w:val="Lienhypertexte"/>
              </w:rPr>
              <w:t>3.4.</w:t>
            </w:r>
            <w:r w:rsidR="00981159">
              <w:rPr>
                <w:rFonts w:asciiTheme="minorHAnsi" w:eastAsiaTheme="minorEastAsia" w:hAnsiTheme="minorHAnsi" w:cstheme="minorBidi"/>
                <w:b w:val="0"/>
                <w:lang w:val="en-US" w:eastAsia="en-US"/>
              </w:rPr>
              <w:tab/>
            </w:r>
            <w:r w:rsidR="00981159" w:rsidRPr="0086263B">
              <w:rPr>
                <w:rStyle w:val="Lienhypertexte"/>
              </w:rPr>
              <w:t>Nombre estimatif des agriculteurs et petits exploitants agricoles rencontrés dans la zone du Programme.</w:t>
            </w:r>
            <w:r w:rsidR="00981159">
              <w:rPr>
                <w:webHidden/>
              </w:rPr>
              <w:tab/>
            </w:r>
            <w:r w:rsidR="00981159">
              <w:rPr>
                <w:webHidden/>
              </w:rPr>
              <w:fldChar w:fldCharType="begin"/>
            </w:r>
            <w:r w:rsidR="00981159">
              <w:rPr>
                <w:webHidden/>
              </w:rPr>
              <w:instrText xml:space="preserve"> PAGEREF _Toc90471423 \h </w:instrText>
            </w:r>
            <w:r w:rsidR="00981159">
              <w:rPr>
                <w:webHidden/>
              </w:rPr>
            </w:r>
            <w:r w:rsidR="00981159">
              <w:rPr>
                <w:webHidden/>
              </w:rPr>
              <w:fldChar w:fldCharType="separate"/>
            </w:r>
            <w:r w:rsidR="00981159">
              <w:rPr>
                <w:webHidden/>
              </w:rPr>
              <w:t>77</w:t>
            </w:r>
            <w:r w:rsidR="00981159">
              <w:rPr>
                <w:webHidden/>
              </w:rPr>
              <w:fldChar w:fldCharType="end"/>
            </w:r>
          </w:hyperlink>
        </w:p>
        <w:p w14:paraId="0CCECC9B" w14:textId="6DF69093" w:rsidR="00981159" w:rsidRDefault="00B22F56">
          <w:pPr>
            <w:pStyle w:val="TM2"/>
            <w:rPr>
              <w:rFonts w:asciiTheme="minorHAnsi" w:eastAsiaTheme="minorEastAsia" w:hAnsiTheme="minorHAnsi" w:cstheme="minorBidi"/>
              <w:b w:val="0"/>
              <w:lang w:val="en-US" w:eastAsia="en-US"/>
            </w:rPr>
          </w:pPr>
          <w:hyperlink w:anchor="_Toc90471424" w:history="1">
            <w:r w:rsidR="00981159" w:rsidRPr="0086263B">
              <w:rPr>
                <w:rStyle w:val="Lienhypertexte"/>
              </w:rPr>
              <w:t>3.5.</w:t>
            </w:r>
            <w:r w:rsidR="00981159">
              <w:rPr>
                <w:rFonts w:asciiTheme="minorHAnsi" w:eastAsiaTheme="minorEastAsia" w:hAnsiTheme="minorHAnsi" w:cstheme="minorBidi"/>
                <w:b w:val="0"/>
                <w:lang w:val="en-US" w:eastAsia="en-US"/>
              </w:rPr>
              <w:tab/>
            </w:r>
            <w:r w:rsidR="00981159" w:rsidRPr="0086263B">
              <w:rPr>
                <w:rStyle w:val="Lienhypertexte"/>
              </w:rPr>
              <w:t>Situation de la pandémie de COVID-19 et de l’épidémie d’Ebola en RDC</w:t>
            </w:r>
            <w:r w:rsidR="00981159">
              <w:rPr>
                <w:webHidden/>
              </w:rPr>
              <w:tab/>
            </w:r>
            <w:r w:rsidR="00981159">
              <w:rPr>
                <w:webHidden/>
              </w:rPr>
              <w:fldChar w:fldCharType="begin"/>
            </w:r>
            <w:r w:rsidR="00981159">
              <w:rPr>
                <w:webHidden/>
              </w:rPr>
              <w:instrText xml:space="preserve"> PAGEREF _Toc90471424 \h </w:instrText>
            </w:r>
            <w:r w:rsidR="00981159">
              <w:rPr>
                <w:webHidden/>
              </w:rPr>
            </w:r>
            <w:r w:rsidR="00981159">
              <w:rPr>
                <w:webHidden/>
              </w:rPr>
              <w:fldChar w:fldCharType="separate"/>
            </w:r>
            <w:r w:rsidR="00981159">
              <w:rPr>
                <w:webHidden/>
              </w:rPr>
              <w:t>77</w:t>
            </w:r>
            <w:r w:rsidR="00981159">
              <w:rPr>
                <w:webHidden/>
              </w:rPr>
              <w:fldChar w:fldCharType="end"/>
            </w:r>
          </w:hyperlink>
        </w:p>
        <w:p w14:paraId="748BFB78" w14:textId="4E9100B1" w:rsidR="00981159" w:rsidRDefault="00B22F56">
          <w:pPr>
            <w:pStyle w:val="TM1"/>
            <w:rPr>
              <w:rFonts w:asciiTheme="minorHAnsi" w:eastAsiaTheme="minorEastAsia" w:hAnsiTheme="minorHAnsi" w:cstheme="minorBidi"/>
              <w:b w:val="0"/>
              <w:bCs w:val="0"/>
              <w:caps w:val="0"/>
              <w:color w:val="auto"/>
              <w:lang w:val="en-US" w:eastAsia="en-US"/>
            </w:rPr>
          </w:pPr>
          <w:hyperlink w:anchor="_Toc90471425" w:history="1">
            <w:r w:rsidR="00981159" w:rsidRPr="0086263B">
              <w:rPr>
                <w:rStyle w:val="Lienhypertexte"/>
              </w:rPr>
              <w:t>4.</w:t>
            </w:r>
            <w:r w:rsidR="00981159">
              <w:rPr>
                <w:rFonts w:asciiTheme="minorHAnsi" w:eastAsiaTheme="minorEastAsia" w:hAnsiTheme="minorHAnsi" w:cstheme="minorBidi"/>
                <w:b w:val="0"/>
                <w:bCs w:val="0"/>
                <w:caps w:val="0"/>
                <w:color w:val="auto"/>
                <w:lang w:val="en-US" w:eastAsia="en-US"/>
              </w:rPr>
              <w:tab/>
            </w:r>
            <w:r w:rsidR="00981159" w:rsidRPr="0086263B">
              <w:rPr>
                <w:rStyle w:val="Lienhypertexte"/>
              </w:rPr>
              <w:t>CADRE POLITIQUE, JURIDIQUE ET INSTITUTIONNEL</w:t>
            </w:r>
            <w:r w:rsidR="00981159">
              <w:rPr>
                <w:webHidden/>
              </w:rPr>
              <w:tab/>
            </w:r>
            <w:r w:rsidR="00981159">
              <w:rPr>
                <w:webHidden/>
              </w:rPr>
              <w:fldChar w:fldCharType="begin"/>
            </w:r>
            <w:r w:rsidR="00981159">
              <w:rPr>
                <w:webHidden/>
              </w:rPr>
              <w:instrText xml:space="preserve"> PAGEREF _Toc90471425 \h </w:instrText>
            </w:r>
            <w:r w:rsidR="00981159">
              <w:rPr>
                <w:webHidden/>
              </w:rPr>
            </w:r>
            <w:r w:rsidR="00981159">
              <w:rPr>
                <w:webHidden/>
              </w:rPr>
              <w:fldChar w:fldCharType="separate"/>
            </w:r>
            <w:r w:rsidR="00981159">
              <w:rPr>
                <w:webHidden/>
              </w:rPr>
              <w:t>82</w:t>
            </w:r>
            <w:r w:rsidR="00981159">
              <w:rPr>
                <w:webHidden/>
              </w:rPr>
              <w:fldChar w:fldCharType="end"/>
            </w:r>
          </w:hyperlink>
        </w:p>
        <w:p w14:paraId="393B2E65" w14:textId="758A4C52" w:rsidR="00981159" w:rsidRDefault="00B22F56">
          <w:pPr>
            <w:pStyle w:val="TM2"/>
            <w:rPr>
              <w:rFonts w:asciiTheme="minorHAnsi" w:eastAsiaTheme="minorEastAsia" w:hAnsiTheme="minorHAnsi" w:cstheme="minorBidi"/>
              <w:b w:val="0"/>
              <w:lang w:val="en-US" w:eastAsia="en-US"/>
            </w:rPr>
          </w:pPr>
          <w:hyperlink w:anchor="_Toc90471426" w:history="1">
            <w:r w:rsidR="00981159" w:rsidRPr="0086263B">
              <w:rPr>
                <w:rStyle w:val="Lienhypertexte"/>
              </w:rPr>
              <w:t>4.1.</w:t>
            </w:r>
            <w:r w:rsidR="00981159">
              <w:rPr>
                <w:rFonts w:asciiTheme="minorHAnsi" w:eastAsiaTheme="minorEastAsia" w:hAnsiTheme="minorHAnsi" w:cstheme="minorBidi"/>
                <w:b w:val="0"/>
                <w:lang w:val="en-US" w:eastAsia="en-US"/>
              </w:rPr>
              <w:tab/>
            </w:r>
            <w:r w:rsidR="00981159" w:rsidRPr="0086263B">
              <w:rPr>
                <w:rStyle w:val="Lienhypertexte"/>
              </w:rPr>
              <w:t>Cadre politique et programmes en rapport avec le PNDA</w:t>
            </w:r>
            <w:r w:rsidR="00981159">
              <w:rPr>
                <w:webHidden/>
              </w:rPr>
              <w:tab/>
            </w:r>
            <w:r w:rsidR="00981159">
              <w:rPr>
                <w:webHidden/>
              </w:rPr>
              <w:fldChar w:fldCharType="begin"/>
            </w:r>
            <w:r w:rsidR="00981159">
              <w:rPr>
                <w:webHidden/>
              </w:rPr>
              <w:instrText xml:space="preserve"> PAGEREF _Toc90471426 \h </w:instrText>
            </w:r>
            <w:r w:rsidR="00981159">
              <w:rPr>
                <w:webHidden/>
              </w:rPr>
            </w:r>
            <w:r w:rsidR="00981159">
              <w:rPr>
                <w:webHidden/>
              </w:rPr>
              <w:fldChar w:fldCharType="separate"/>
            </w:r>
            <w:r w:rsidR="00981159">
              <w:rPr>
                <w:webHidden/>
              </w:rPr>
              <w:t>82</w:t>
            </w:r>
            <w:r w:rsidR="00981159">
              <w:rPr>
                <w:webHidden/>
              </w:rPr>
              <w:fldChar w:fldCharType="end"/>
            </w:r>
          </w:hyperlink>
        </w:p>
        <w:p w14:paraId="2E6F9FA6" w14:textId="1ED26B94" w:rsidR="00981159" w:rsidRDefault="00B22F56">
          <w:pPr>
            <w:pStyle w:val="TM2"/>
            <w:rPr>
              <w:rFonts w:asciiTheme="minorHAnsi" w:eastAsiaTheme="minorEastAsia" w:hAnsiTheme="minorHAnsi" w:cstheme="minorBidi"/>
              <w:b w:val="0"/>
              <w:lang w:val="en-US" w:eastAsia="en-US"/>
            </w:rPr>
          </w:pPr>
          <w:hyperlink w:anchor="_Toc90471427" w:history="1">
            <w:r w:rsidR="00981159" w:rsidRPr="0086263B">
              <w:rPr>
                <w:rStyle w:val="Lienhypertexte"/>
              </w:rPr>
              <w:t>4.2.</w:t>
            </w:r>
            <w:r w:rsidR="00981159">
              <w:rPr>
                <w:rFonts w:asciiTheme="minorHAnsi" w:eastAsiaTheme="minorEastAsia" w:hAnsiTheme="minorHAnsi" w:cstheme="minorBidi"/>
                <w:b w:val="0"/>
                <w:lang w:val="en-US" w:eastAsia="en-US"/>
              </w:rPr>
              <w:tab/>
            </w:r>
            <w:r w:rsidR="00981159" w:rsidRPr="0086263B">
              <w:rPr>
                <w:rStyle w:val="Lienhypertexte"/>
              </w:rPr>
              <w:t>Cadre juridique applicable au PNDA</w:t>
            </w:r>
            <w:r w:rsidR="00981159">
              <w:rPr>
                <w:webHidden/>
              </w:rPr>
              <w:tab/>
            </w:r>
            <w:r w:rsidR="00981159">
              <w:rPr>
                <w:webHidden/>
              </w:rPr>
              <w:fldChar w:fldCharType="begin"/>
            </w:r>
            <w:r w:rsidR="00981159">
              <w:rPr>
                <w:webHidden/>
              </w:rPr>
              <w:instrText xml:space="preserve"> PAGEREF _Toc90471427 \h </w:instrText>
            </w:r>
            <w:r w:rsidR="00981159">
              <w:rPr>
                <w:webHidden/>
              </w:rPr>
            </w:r>
            <w:r w:rsidR="00981159">
              <w:rPr>
                <w:webHidden/>
              </w:rPr>
              <w:fldChar w:fldCharType="separate"/>
            </w:r>
            <w:r w:rsidR="00981159">
              <w:rPr>
                <w:webHidden/>
              </w:rPr>
              <w:t>88</w:t>
            </w:r>
            <w:r w:rsidR="00981159">
              <w:rPr>
                <w:webHidden/>
              </w:rPr>
              <w:fldChar w:fldCharType="end"/>
            </w:r>
          </w:hyperlink>
        </w:p>
        <w:p w14:paraId="0B4C7DAC" w14:textId="5FFAA2B8" w:rsidR="00981159" w:rsidRDefault="00B22F56">
          <w:pPr>
            <w:pStyle w:val="TM2"/>
            <w:rPr>
              <w:rFonts w:asciiTheme="minorHAnsi" w:eastAsiaTheme="minorEastAsia" w:hAnsiTheme="minorHAnsi" w:cstheme="minorBidi"/>
              <w:b w:val="0"/>
              <w:lang w:val="en-US" w:eastAsia="en-US"/>
            </w:rPr>
          </w:pPr>
          <w:hyperlink w:anchor="_Toc90471428" w:history="1">
            <w:r w:rsidR="00981159" w:rsidRPr="0086263B">
              <w:rPr>
                <w:rStyle w:val="Lienhypertexte"/>
                <w:iCs/>
              </w:rPr>
              <w:t>4.2.1.</w:t>
            </w:r>
            <w:r w:rsidR="00981159">
              <w:rPr>
                <w:rFonts w:asciiTheme="minorHAnsi" w:eastAsiaTheme="minorEastAsia" w:hAnsiTheme="minorHAnsi" w:cstheme="minorBidi"/>
                <w:b w:val="0"/>
                <w:lang w:val="en-US" w:eastAsia="en-US"/>
              </w:rPr>
              <w:tab/>
            </w:r>
            <w:r w:rsidR="00981159" w:rsidRPr="0086263B">
              <w:rPr>
                <w:rStyle w:val="Lienhypertexte"/>
                <w:i/>
              </w:rPr>
              <w:t>Législation environnementale et sociale</w:t>
            </w:r>
            <w:r w:rsidR="00981159">
              <w:rPr>
                <w:webHidden/>
              </w:rPr>
              <w:tab/>
            </w:r>
            <w:r w:rsidR="00981159">
              <w:rPr>
                <w:webHidden/>
              </w:rPr>
              <w:fldChar w:fldCharType="begin"/>
            </w:r>
            <w:r w:rsidR="00981159">
              <w:rPr>
                <w:webHidden/>
              </w:rPr>
              <w:instrText xml:space="preserve"> PAGEREF _Toc90471428 \h </w:instrText>
            </w:r>
            <w:r w:rsidR="00981159">
              <w:rPr>
                <w:webHidden/>
              </w:rPr>
            </w:r>
            <w:r w:rsidR="00981159">
              <w:rPr>
                <w:webHidden/>
              </w:rPr>
              <w:fldChar w:fldCharType="separate"/>
            </w:r>
            <w:r w:rsidR="00981159">
              <w:rPr>
                <w:webHidden/>
              </w:rPr>
              <w:t>88</w:t>
            </w:r>
            <w:r w:rsidR="00981159">
              <w:rPr>
                <w:webHidden/>
              </w:rPr>
              <w:fldChar w:fldCharType="end"/>
            </w:r>
          </w:hyperlink>
        </w:p>
        <w:p w14:paraId="107DE536" w14:textId="7F75E7B1" w:rsidR="00981159" w:rsidRDefault="00B22F56">
          <w:pPr>
            <w:pStyle w:val="TM2"/>
            <w:rPr>
              <w:rFonts w:asciiTheme="minorHAnsi" w:eastAsiaTheme="minorEastAsia" w:hAnsiTheme="minorHAnsi" w:cstheme="minorBidi"/>
              <w:b w:val="0"/>
              <w:lang w:val="en-US" w:eastAsia="en-US"/>
            </w:rPr>
          </w:pPr>
          <w:hyperlink w:anchor="_Toc90471429" w:history="1">
            <w:r w:rsidR="00981159" w:rsidRPr="0086263B">
              <w:rPr>
                <w:rStyle w:val="Lienhypertexte"/>
                <w:iCs/>
              </w:rPr>
              <w:t>4.2.2.</w:t>
            </w:r>
            <w:r w:rsidR="00981159">
              <w:rPr>
                <w:rFonts w:asciiTheme="minorHAnsi" w:eastAsiaTheme="minorEastAsia" w:hAnsiTheme="minorHAnsi" w:cstheme="minorBidi"/>
                <w:b w:val="0"/>
                <w:lang w:val="en-US" w:eastAsia="en-US"/>
              </w:rPr>
              <w:tab/>
            </w:r>
            <w:r w:rsidR="00981159" w:rsidRPr="0086263B">
              <w:rPr>
                <w:rStyle w:val="Lienhypertexte"/>
                <w:i/>
              </w:rPr>
              <w:t>Conventions internationales en matière d’environnement et de social applicables au Projet</w:t>
            </w:r>
            <w:r w:rsidR="00981159">
              <w:rPr>
                <w:webHidden/>
              </w:rPr>
              <w:tab/>
            </w:r>
            <w:r w:rsidR="00981159">
              <w:rPr>
                <w:webHidden/>
              </w:rPr>
              <w:fldChar w:fldCharType="begin"/>
            </w:r>
            <w:r w:rsidR="00981159">
              <w:rPr>
                <w:webHidden/>
              </w:rPr>
              <w:instrText xml:space="preserve"> PAGEREF _Toc90471429 \h </w:instrText>
            </w:r>
            <w:r w:rsidR="00981159">
              <w:rPr>
                <w:webHidden/>
              </w:rPr>
            </w:r>
            <w:r w:rsidR="00981159">
              <w:rPr>
                <w:webHidden/>
              </w:rPr>
              <w:fldChar w:fldCharType="separate"/>
            </w:r>
            <w:r w:rsidR="00981159">
              <w:rPr>
                <w:webHidden/>
              </w:rPr>
              <w:t>96</w:t>
            </w:r>
            <w:r w:rsidR="00981159">
              <w:rPr>
                <w:webHidden/>
              </w:rPr>
              <w:fldChar w:fldCharType="end"/>
            </w:r>
          </w:hyperlink>
        </w:p>
        <w:p w14:paraId="48CF0529" w14:textId="473494DC" w:rsidR="00981159" w:rsidRDefault="00B22F56">
          <w:pPr>
            <w:pStyle w:val="TM2"/>
            <w:rPr>
              <w:rFonts w:asciiTheme="minorHAnsi" w:eastAsiaTheme="minorEastAsia" w:hAnsiTheme="minorHAnsi" w:cstheme="minorBidi"/>
              <w:b w:val="0"/>
              <w:lang w:val="en-US" w:eastAsia="en-US"/>
            </w:rPr>
          </w:pPr>
          <w:hyperlink w:anchor="_Toc90471430" w:history="1">
            <w:r w:rsidR="00981159" w:rsidRPr="0086263B">
              <w:rPr>
                <w:rStyle w:val="Lienhypertexte"/>
                <w:iCs/>
              </w:rPr>
              <w:t>4.2.3.</w:t>
            </w:r>
            <w:r w:rsidR="00981159">
              <w:rPr>
                <w:rFonts w:asciiTheme="minorHAnsi" w:eastAsiaTheme="minorEastAsia" w:hAnsiTheme="minorHAnsi" w:cstheme="minorBidi"/>
                <w:b w:val="0"/>
                <w:lang w:val="en-US" w:eastAsia="en-US"/>
              </w:rPr>
              <w:tab/>
            </w:r>
            <w:r w:rsidR="00981159" w:rsidRPr="0086263B">
              <w:rPr>
                <w:rStyle w:val="Lienhypertexte"/>
                <w:i/>
              </w:rPr>
              <w:t>Cadre Environnemental et Social de la Banque mondiale</w:t>
            </w:r>
            <w:r w:rsidR="00981159">
              <w:rPr>
                <w:webHidden/>
              </w:rPr>
              <w:tab/>
            </w:r>
            <w:r w:rsidR="00981159">
              <w:rPr>
                <w:webHidden/>
              </w:rPr>
              <w:fldChar w:fldCharType="begin"/>
            </w:r>
            <w:r w:rsidR="00981159">
              <w:rPr>
                <w:webHidden/>
              </w:rPr>
              <w:instrText xml:space="preserve"> PAGEREF _Toc90471430 \h </w:instrText>
            </w:r>
            <w:r w:rsidR="00981159">
              <w:rPr>
                <w:webHidden/>
              </w:rPr>
            </w:r>
            <w:r w:rsidR="00981159">
              <w:rPr>
                <w:webHidden/>
              </w:rPr>
              <w:fldChar w:fldCharType="separate"/>
            </w:r>
            <w:r w:rsidR="00981159">
              <w:rPr>
                <w:webHidden/>
              </w:rPr>
              <w:t>103</w:t>
            </w:r>
            <w:r w:rsidR="00981159">
              <w:rPr>
                <w:webHidden/>
              </w:rPr>
              <w:fldChar w:fldCharType="end"/>
            </w:r>
          </w:hyperlink>
        </w:p>
        <w:p w14:paraId="4905C6BE" w14:textId="2B8DC6DF" w:rsidR="00981159" w:rsidRDefault="00B22F56">
          <w:pPr>
            <w:pStyle w:val="TM2"/>
            <w:rPr>
              <w:rFonts w:asciiTheme="minorHAnsi" w:eastAsiaTheme="minorEastAsia" w:hAnsiTheme="minorHAnsi" w:cstheme="minorBidi"/>
              <w:b w:val="0"/>
              <w:lang w:val="en-US" w:eastAsia="en-US"/>
            </w:rPr>
          </w:pPr>
          <w:hyperlink w:anchor="_Toc90471431" w:history="1">
            <w:r w:rsidR="00981159" w:rsidRPr="0086263B">
              <w:rPr>
                <w:rStyle w:val="Lienhypertexte"/>
                <w:iCs/>
              </w:rPr>
              <w:t>4.2.4.</w:t>
            </w:r>
            <w:r w:rsidR="00981159">
              <w:rPr>
                <w:rFonts w:asciiTheme="minorHAnsi" w:eastAsiaTheme="minorEastAsia" w:hAnsiTheme="minorHAnsi" w:cstheme="minorBidi"/>
                <w:b w:val="0"/>
                <w:lang w:val="en-US" w:eastAsia="en-US"/>
              </w:rPr>
              <w:tab/>
            </w:r>
            <w:r w:rsidR="00981159" w:rsidRPr="0086263B">
              <w:rPr>
                <w:rStyle w:val="Lienhypertexte"/>
                <w:i/>
              </w:rPr>
              <w:t>Normes Environnementales et Sociales pertinentes au PNDA</w:t>
            </w:r>
            <w:r w:rsidR="00981159">
              <w:rPr>
                <w:webHidden/>
              </w:rPr>
              <w:tab/>
            </w:r>
            <w:r w:rsidR="00981159">
              <w:rPr>
                <w:webHidden/>
              </w:rPr>
              <w:fldChar w:fldCharType="begin"/>
            </w:r>
            <w:r w:rsidR="00981159">
              <w:rPr>
                <w:webHidden/>
              </w:rPr>
              <w:instrText xml:space="preserve"> PAGEREF _Toc90471431 \h </w:instrText>
            </w:r>
            <w:r w:rsidR="00981159">
              <w:rPr>
                <w:webHidden/>
              </w:rPr>
            </w:r>
            <w:r w:rsidR="00981159">
              <w:rPr>
                <w:webHidden/>
              </w:rPr>
              <w:fldChar w:fldCharType="separate"/>
            </w:r>
            <w:r w:rsidR="00981159">
              <w:rPr>
                <w:webHidden/>
              </w:rPr>
              <w:t>103</w:t>
            </w:r>
            <w:r w:rsidR="00981159">
              <w:rPr>
                <w:webHidden/>
              </w:rPr>
              <w:fldChar w:fldCharType="end"/>
            </w:r>
          </w:hyperlink>
        </w:p>
        <w:p w14:paraId="7DA6407C" w14:textId="3B7FD128" w:rsidR="00981159" w:rsidRDefault="00B22F56">
          <w:pPr>
            <w:pStyle w:val="TM2"/>
            <w:rPr>
              <w:rFonts w:asciiTheme="minorHAnsi" w:eastAsiaTheme="minorEastAsia" w:hAnsiTheme="minorHAnsi" w:cstheme="minorBidi"/>
              <w:b w:val="0"/>
              <w:lang w:val="en-US" w:eastAsia="en-US"/>
            </w:rPr>
          </w:pPr>
          <w:hyperlink w:anchor="_Toc90471432" w:history="1">
            <w:r w:rsidR="00981159" w:rsidRPr="0086263B">
              <w:rPr>
                <w:rStyle w:val="Lienhypertexte"/>
              </w:rPr>
              <w:t>4.3.</w:t>
            </w:r>
            <w:r w:rsidR="00981159">
              <w:rPr>
                <w:rFonts w:asciiTheme="minorHAnsi" w:eastAsiaTheme="minorEastAsia" w:hAnsiTheme="minorHAnsi" w:cstheme="minorBidi"/>
                <w:b w:val="0"/>
                <w:lang w:val="en-US" w:eastAsia="en-US"/>
              </w:rPr>
              <w:tab/>
            </w:r>
            <w:r w:rsidR="00981159" w:rsidRPr="0086263B">
              <w:rPr>
                <w:rStyle w:val="Lienhypertexte"/>
              </w:rPr>
              <w:t>Cadre institutionnel de gestion environnementale et sociale</w:t>
            </w:r>
            <w:r w:rsidR="00981159">
              <w:rPr>
                <w:webHidden/>
              </w:rPr>
              <w:tab/>
            </w:r>
            <w:r w:rsidR="00981159">
              <w:rPr>
                <w:webHidden/>
              </w:rPr>
              <w:fldChar w:fldCharType="begin"/>
            </w:r>
            <w:r w:rsidR="00981159">
              <w:rPr>
                <w:webHidden/>
              </w:rPr>
              <w:instrText xml:space="preserve"> PAGEREF _Toc90471432 \h </w:instrText>
            </w:r>
            <w:r w:rsidR="00981159">
              <w:rPr>
                <w:webHidden/>
              </w:rPr>
            </w:r>
            <w:r w:rsidR="00981159">
              <w:rPr>
                <w:webHidden/>
              </w:rPr>
              <w:fldChar w:fldCharType="separate"/>
            </w:r>
            <w:r w:rsidR="00981159">
              <w:rPr>
                <w:webHidden/>
              </w:rPr>
              <w:t>142</w:t>
            </w:r>
            <w:r w:rsidR="00981159">
              <w:rPr>
                <w:webHidden/>
              </w:rPr>
              <w:fldChar w:fldCharType="end"/>
            </w:r>
          </w:hyperlink>
        </w:p>
        <w:p w14:paraId="6E04D09A" w14:textId="479FCAAA" w:rsidR="00981159" w:rsidRDefault="00B22F56">
          <w:pPr>
            <w:pStyle w:val="TM2"/>
            <w:rPr>
              <w:rFonts w:asciiTheme="minorHAnsi" w:eastAsiaTheme="minorEastAsia" w:hAnsiTheme="minorHAnsi" w:cstheme="minorBidi"/>
              <w:b w:val="0"/>
              <w:lang w:val="en-US" w:eastAsia="en-US"/>
            </w:rPr>
          </w:pPr>
          <w:hyperlink w:anchor="_Toc90471433" w:history="1">
            <w:r w:rsidR="00981159" w:rsidRPr="0086263B">
              <w:rPr>
                <w:rStyle w:val="Lienhypertexte"/>
                <w:iCs/>
              </w:rPr>
              <w:t>4.3.1.</w:t>
            </w:r>
            <w:r w:rsidR="00981159">
              <w:rPr>
                <w:rFonts w:asciiTheme="minorHAnsi" w:eastAsiaTheme="minorEastAsia" w:hAnsiTheme="minorHAnsi" w:cstheme="minorBidi"/>
                <w:b w:val="0"/>
                <w:lang w:val="en-US" w:eastAsia="en-US"/>
              </w:rPr>
              <w:tab/>
            </w:r>
            <w:r w:rsidR="00981159" w:rsidRPr="0086263B">
              <w:rPr>
                <w:rStyle w:val="Lienhypertexte"/>
                <w:i/>
              </w:rPr>
              <w:t>Ministère de l’Agriculture</w:t>
            </w:r>
            <w:r w:rsidR="00981159">
              <w:rPr>
                <w:webHidden/>
              </w:rPr>
              <w:tab/>
            </w:r>
            <w:r w:rsidR="00981159">
              <w:rPr>
                <w:webHidden/>
              </w:rPr>
              <w:fldChar w:fldCharType="begin"/>
            </w:r>
            <w:r w:rsidR="00981159">
              <w:rPr>
                <w:webHidden/>
              </w:rPr>
              <w:instrText xml:space="preserve"> PAGEREF _Toc90471433 \h </w:instrText>
            </w:r>
            <w:r w:rsidR="00981159">
              <w:rPr>
                <w:webHidden/>
              </w:rPr>
            </w:r>
            <w:r w:rsidR="00981159">
              <w:rPr>
                <w:webHidden/>
              </w:rPr>
              <w:fldChar w:fldCharType="separate"/>
            </w:r>
            <w:r w:rsidR="00981159">
              <w:rPr>
                <w:webHidden/>
              </w:rPr>
              <w:t>142</w:t>
            </w:r>
            <w:r w:rsidR="00981159">
              <w:rPr>
                <w:webHidden/>
              </w:rPr>
              <w:fldChar w:fldCharType="end"/>
            </w:r>
          </w:hyperlink>
        </w:p>
        <w:p w14:paraId="49C39204" w14:textId="7F9C57B3" w:rsidR="00981159" w:rsidRDefault="00B22F56">
          <w:pPr>
            <w:pStyle w:val="TM2"/>
            <w:rPr>
              <w:rFonts w:asciiTheme="minorHAnsi" w:eastAsiaTheme="minorEastAsia" w:hAnsiTheme="minorHAnsi" w:cstheme="minorBidi"/>
              <w:b w:val="0"/>
              <w:lang w:val="en-US" w:eastAsia="en-US"/>
            </w:rPr>
          </w:pPr>
          <w:hyperlink w:anchor="_Toc90471434" w:history="1">
            <w:r w:rsidR="00981159" w:rsidRPr="0086263B">
              <w:rPr>
                <w:rStyle w:val="Lienhypertexte"/>
                <w:i/>
              </w:rPr>
              <w:t>Comité Technique Préparatoire du PNDA</w:t>
            </w:r>
            <w:r w:rsidR="00981159">
              <w:rPr>
                <w:webHidden/>
              </w:rPr>
              <w:tab/>
            </w:r>
            <w:r w:rsidR="00981159">
              <w:rPr>
                <w:webHidden/>
              </w:rPr>
              <w:fldChar w:fldCharType="begin"/>
            </w:r>
            <w:r w:rsidR="00981159">
              <w:rPr>
                <w:webHidden/>
              </w:rPr>
              <w:instrText xml:space="preserve"> PAGEREF _Toc90471434 \h </w:instrText>
            </w:r>
            <w:r w:rsidR="00981159">
              <w:rPr>
                <w:webHidden/>
              </w:rPr>
            </w:r>
            <w:r w:rsidR="00981159">
              <w:rPr>
                <w:webHidden/>
              </w:rPr>
              <w:fldChar w:fldCharType="separate"/>
            </w:r>
            <w:r w:rsidR="00981159">
              <w:rPr>
                <w:webHidden/>
              </w:rPr>
              <w:t>142</w:t>
            </w:r>
            <w:r w:rsidR="00981159">
              <w:rPr>
                <w:webHidden/>
              </w:rPr>
              <w:fldChar w:fldCharType="end"/>
            </w:r>
          </w:hyperlink>
        </w:p>
        <w:p w14:paraId="6EC576D9" w14:textId="1E140414" w:rsidR="00981159" w:rsidRDefault="00B22F56">
          <w:pPr>
            <w:pStyle w:val="TM2"/>
            <w:rPr>
              <w:rFonts w:asciiTheme="minorHAnsi" w:eastAsiaTheme="minorEastAsia" w:hAnsiTheme="minorHAnsi" w:cstheme="minorBidi"/>
              <w:b w:val="0"/>
              <w:lang w:val="en-US" w:eastAsia="en-US"/>
            </w:rPr>
          </w:pPr>
          <w:hyperlink w:anchor="_Toc90471435" w:history="1">
            <w:r w:rsidR="00981159" w:rsidRPr="0086263B">
              <w:rPr>
                <w:rStyle w:val="Lienhypertexte"/>
                <w:i/>
              </w:rPr>
              <w:t>Unité Nationale de Coordination du Projet</w:t>
            </w:r>
            <w:r w:rsidR="00981159">
              <w:rPr>
                <w:webHidden/>
              </w:rPr>
              <w:tab/>
            </w:r>
            <w:r w:rsidR="00981159">
              <w:rPr>
                <w:webHidden/>
              </w:rPr>
              <w:fldChar w:fldCharType="begin"/>
            </w:r>
            <w:r w:rsidR="00981159">
              <w:rPr>
                <w:webHidden/>
              </w:rPr>
              <w:instrText xml:space="preserve"> PAGEREF _Toc90471435 \h </w:instrText>
            </w:r>
            <w:r w:rsidR="00981159">
              <w:rPr>
                <w:webHidden/>
              </w:rPr>
            </w:r>
            <w:r w:rsidR="00981159">
              <w:rPr>
                <w:webHidden/>
              </w:rPr>
              <w:fldChar w:fldCharType="separate"/>
            </w:r>
            <w:r w:rsidR="00981159">
              <w:rPr>
                <w:webHidden/>
              </w:rPr>
              <w:t>142</w:t>
            </w:r>
            <w:r w:rsidR="00981159">
              <w:rPr>
                <w:webHidden/>
              </w:rPr>
              <w:fldChar w:fldCharType="end"/>
            </w:r>
          </w:hyperlink>
        </w:p>
        <w:p w14:paraId="286D430B" w14:textId="30512190" w:rsidR="00981159" w:rsidRDefault="00B22F56">
          <w:pPr>
            <w:pStyle w:val="TM2"/>
            <w:rPr>
              <w:rFonts w:asciiTheme="minorHAnsi" w:eastAsiaTheme="minorEastAsia" w:hAnsiTheme="minorHAnsi" w:cstheme="minorBidi"/>
              <w:b w:val="0"/>
              <w:lang w:val="en-US" w:eastAsia="en-US"/>
            </w:rPr>
          </w:pPr>
          <w:hyperlink w:anchor="_Toc90471436" w:history="1">
            <w:r w:rsidR="00981159" w:rsidRPr="0086263B">
              <w:rPr>
                <w:rStyle w:val="Lienhypertexte"/>
                <w:iCs/>
              </w:rPr>
              <w:t>4.3.2.</w:t>
            </w:r>
            <w:r w:rsidR="00981159">
              <w:rPr>
                <w:rFonts w:asciiTheme="minorHAnsi" w:eastAsiaTheme="minorEastAsia" w:hAnsiTheme="minorHAnsi" w:cstheme="minorBidi"/>
                <w:b w:val="0"/>
                <w:lang w:val="en-US" w:eastAsia="en-US"/>
              </w:rPr>
              <w:tab/>
            </w:r>
            <w:r w:rsidR="00981159" w:rsidRPr="0086263B">
              <w:rPr>
                <w:rStyle w:val="Lienhypertexte"/>
                <w:i/>
              </w:rPr>
              <w:t>Ministère de la Pêche et Élevage</w:t>
            </w:r>
            <w:r w:rsidR="00981159">
              <w:rPr>
                <w:webHidden/>
              </w:rPr>
              <w:tab/>
            </w:r>
            <w:r w:rsidR="00981159">
              <w:rPr>
                <w:webHidden/>
              </w:rPr>
              <w:fldChar w:fldCharType="begin"/>
            </w:r>
            <w:r w:rsidR="00981159">
              <w:rPr>
                <w:webHidden/>
              </w:rPr>
              <w:instrText xml:space="preserve"> PAGEREF _Toc90471436 \h </w:instrText>
            </w:r>
            <w:r w:rsidR="00981159">
              <w:rPr>
                <w:webHidden/>
              </w:rPr>
            </w:r>
            <w:r w:rsidR="00981159">
              <w:rPr>
                <w:webHidden/>
              </w:rPr>
              <w:fldChar w:fldCharType="separate"/>
            </w:r>
            <w:r w:rsidR="00981159">
              <w:rPr>
                <w:webHidden/>
              </w:rPr>
              <w:t>145</w:t>
            </w:r>
            <w:r w:rsidR="00981159">
              <w:rPr>
                <w:webHidden/>
              </w:rPr>
              <w:fldChar w:fldCharType="end"/>
            </w:r>
          </w:hyperlink>
        </w:p>
        <w:p w14:paraId="02B1B92B" w14:textId="4BF5C552" w:rsidR="00981159" w:rsidRDefault="00B22F56">
          <w:pPr>
            <w:pStyle w:val="TM1"/>
            <w:rPr>
              <w:rFonts w:asciiTheme="minorHAnsi" w:eastAsiaTheme="minorEastAsia" w:hAnsiTheme="minorHAnsi" w:cstheme="minorBidi"/>
              <w:b w:val="0"/>
              <w:bCs w:val="0"/>
              <w:caps w:val="0"/>
              <w:color w:val="auto"/>
              <w:lang w:val="en-US" w:eastAsia="en-US"/>
            </w:rPr>
          </w:pPr>
          <w:hyperlink w:anchor="_Toc90471437" w:history="1">
            <w:r w:rsidR="00981159" w:rsidRPr="0086263B">
              <w:rPr>
                <w:rStyle w:val="Lienhypertexte"/>
                <w:i/>
              </w:rPr>
              <w:t>Direction de la Production et Santé Animale (DPSA)</w:t>
            </w:r>
            <w:r w:rsidR="00981159">
              <w:rPr>
                <w:webHidden/>
              </w:rPr>
              <w:tab/>
            </w:r>
            <w:r w:rsidR="00981159">
              <w:rPr>
                <w:webHidden/>
              </w:rPr>
              <w:fldChar w:fldCharType="begin"/>
            </w:r>
            <w:r w:rsidR="00981159">
              <w:rPr>
                <w:webHidden/>
              </w:rPr>
              <w:instrText xml:space="preserve"> PAGEREF _Toc90471437 \h </w:instrText>
            </w:r>
            <w:r w:rsidR="00981159">
              <w:rPr>
                <w:webHidden/>
              </w:rPr>
            </w:r>
            <w:r w:rsidR="00981159">
              <w:rPr>
                <w:webHidden/>
              </w:rPr>
              <w:fldChar w:fldCharType="separate"/>
            </w:r>
            <w:r w:rsidR="00981159">
              <w:rPr>
                <w:webHidden/>
              </w:rPr>
              <w:t>146</w:t>
            </w:r>
            <w:r w:rsidR="00981159">
              <w:rPr>
                <w:webHidden/>
              </w:rPr>
              <w:fldChar w:fldCharType="end"/>
            </w:r>
          </w:hyperlink>
        </w:p>
        <w:p w14:paraId="771954A0" w14:textId="6493FD84" w:rsidR="00981159" w:rsidRDefault="00B22F56">
          <w:pPr>
            <w:pStyle w:val="TM2"/>
            <w:rPr>
              <w:rFonts w:asciiTheme="minorHAnsi" w:eastAsiaTheme="minorEastAsia" w:hAnsiTheme="minorHAnsi" w:cstheme="minorBidi"/>
              <w:b w:val="0"/>
              <w:lang w:val="en-US" w:eastAsia="en-US"/>
            </w:rPr>
          </w:pPr>
          <w:hyperlink w:anchor="_Toc90471438" w:history="1">
            <w:r w:rsidR="00981159" w:rsidRPr="0086263B">
              <w:rPr>
                <w:rStyle w:val="Lienhypertexte"/>
                <w:iCs/>
              </w:rPr>
              <w:t>4.3.3.</w:t>
            </w:r>
            <w:r w:rsidR="00981159">
              <w:rPr>
                <w:rFonts w:asciiTheme="minorHAnsi" w:eastAsiaTheme="minorEastAsia" w:hAnsiTheme="minorHAnsi" w:cstheme="minorBidi"/>
                <w:b w:val="0"/>
                <w:lang w:val="en-US" w:eastAsia="en-US"/>
              </w:rPr>
              <w:tab/>
            </w:r>
            <w:r w:rsidR="00981159" w:rsidRPr="0086263B">
              <w:rPr>
                <w:rStyle w:val="Lienhypertexte"/>
                <w:i/>
              </w:rPr>
              <w:t>Ministère du Développement Rural</w:t>
            </w:r>
            <w:r w:rsidR="00981159">
              <w:rPr>
                <w:webHidden/>
              </w:rPr>
              <w:tab/>
            </w:r>
            <w:r w:rsidR="00981159">
              <w:rPr>
                <w:webHidden/>
              </w:rPr>
              <w:fldChar w:fldCharType="begin"/>
            </w:r>
            <w:r w:rsidR="00981159">
              <w:rPr>
                <w:webHidden/>
              </w:rPr>
              <w:instrText xml:space="preserve"> PAGEREF _Toc90471438 \h </w:instrText>
            </w:r>
            <w:r w:rsidR="00981159">
              <w:rPr>
                <w:webHidden/>
              </w:rPr>
            </w:r>
            <w:r w:rsidR="00981159">
              <w:rPr>
                <w:webHidden/>
              </w:rPr>
              <w:fldChar w:fldCharType="separate"/>
            </w:r>
            <w:r w:rsidR="00981159">
              <w:rPr>
                <w:webHidden/>
              </w:rPr>
              <w:t>146</w:t>
            </w:r>
            <w:r w:rsidR="00981159">
              <w:rPr>
                <w:webHidden/>
              </w:rPr>
              <w:fldChar w:fldCharType="end"/>
            </w:r>
          </w:hyperlink>
        </w:p>
        <w:p w14:paraId="21D06C33" w14:textId="5220B19F" w:rsidR="00981159" w:rsidRDefault="00B22F56">
          <w:pPr>
            <w:pStyle w:val="TM2"/>
            <w:rPr>
              <w:rFonts w:asciiTheme="minorHAnsi" w:eastAsiaTheme="minorEastAsia" w:hAnsiTheme="minorHAnsi" w:cstheme="minorBidi"/>
              <w:b w:val="0"/>
              <w:lang w:val="en-US" w:eastAsia="en-US"/>
            </w:rPr>
          </w:pPr>
          <w:hyperlink w:anchor="_Toc90471439" w:history="1">
            <w:r w:rsidR="00981159" w:rsidRPr="0086263B">
              <w:rPr>
                <w:rStyle w:val="Lienhypertexte"/>
                <w:iCs/>
              </w:rPr>
              <w:t>4.3.4.</w:t>
            </w:r>
            <w:r w:rsidR="00981159">
              <w:rPr>
                <w:rFonts w:asciiTheme="minorHAnsi" w:eastAsiaTheme="minorEastAsia" w:hAnsiTheme="minorHAnsi" w:cstheme="minorBidi"/>
                <w:b w:val="0"/>
                <w:lang w:val="en-US" w:eastAsia="en-US"/>
              </w:rPr>
              <w:tab/>
            </w:r>
            <w:r w:rsidR="00981159" w:rsidRPr="0086263B">
              <w:rPr>
                <w:rStyle w:val="Lienhypertexte"/>
                <w:i/>
              </w:rPr>
              <w:t>Ministère de l’Environnement et Développement Durable</w:t>
            </w:r>
            <w:r w:rsidR="00981159">
              <w:rPr>
                <w:webHidden/>
              </w:rPr>
              <w:tab/>
            </w:r>
            <w:r w:rsidR="00981159">
              <w:rPr>
                <w:webHidden/>
              </w:rPr>
              <w:fldChar w:fldCharType="begin"/>
            </w:r>
            <w:r w:rsidR="00981159">
              <w:rPr>
                <w:webHidden/>
              </w:rPr>
              <w:instrText xml:space="preserve"> PAGEREF _Toc90471439 \h </w:instrText>
            </w:r>
            <w:r w:rsidR="00981159">
              <w:rPr>
                <w:webHidden/>
              </w:rPr>
            </w:r>
            <w:r w:rsidR="00981159">
              <w:rPr>
                <w:webHidden/>
              </w:rPr>
              <w:fldChar w:fldCharType="separate"/>
            </w:r>
            <w:r w:rsidR="00981159">
              <w:rPr>
                <w:webHidden/>
              </w:rPr>
              <w:t>147</w:t>
            </w:r>
            <w:r w:rsidR="00981159">
              <w:rPr>
                <w:webHidden/>
              </w:rPr>
              <w:fldChar w:fldCharType="end"/>
            </w:r>
          </w:hyperlink>
        </w:p>
        <w:p w14:paraId="53D3A47D" w14:textId="6CA15E82" w:rsidR="00981159" w:rsidRDefault="00B22F56">
          <w:pPr>
            <w:pStyle w:val="TM2"/>
            <w:rPr>
              <w:rFonts w:asciiTheme="minorHAnsi" w:eastAsiaTheme="minorEastAsia" w:hAnsiTheme="minorHAnsi" w:cstheme="minorBidi"/>
              <w:b w:val="0"/>
              <w:lang w:val="en-US" w:eastAsia="en-US"/>
            </w:rPr>
          </w:pPr>
          <w:hyperlink w:anchor="_Toc90471440" w:history="1">
            <w:r w:rsidR="00981159" w:rsidRPr="0086263B">
              <w:rPr>
                <w:rStyle w:val="Lienhypertexte"/>
                <w:i/>
              </w:rPr>
              <w:t>Agence Congolaise de l’Environnement</w:t>
            </w:r>
            <w:r w:rsidR="00981159">
              <w:rPr>
                <w:webHidden/>
              </w:rPr>
              <w:tab/>
            </w:r>
            <w:r w:rsidR="00981159">
              <w:rPr>
                <w:webHidden/>
              </w:rPr>
              <w:fldChar w:fldCharType="begin"/>
            </w:r>
            <w:r w:rsidR="00981159">
              <w:rPr>
                <w:webHidden/>
              </w:rPr>
              <w:instrText xml:space="preserve"> PAGEREF _Toc90471440 \h </w:instrText>
            </w:r>
            <w:r w:rsidR="00981159">
              <w:rPr>
                <w:webHidden/>
              </w:rPr>
            </w:r>
            <w:r w:rsidR="00981159">
              <w:rPr>
                <w:webHidden/>
              </w:rPr>
              <w:fldChar w:fldCharType="separate"/>
            </w:r>
            <w:r w:rsidR="00981159">
              <w:rPr>
                <w:webHidden/>
              </w:rPr>
              <w:t>148</w:t>
            </w:r>
            <w:r w:rsidR="00981159">
              <w:rPr>
                <w:webHidden/>
              </w:rPr>
              <w:fldChar w:fldCharType="end"/>
            </w:r>
          </w:hyperlink>
        </w:p>
        <w:p w14:paraId="795A1F95" w14:textId="4775EF46" w:rsidR="00981159" w:rsidRDefault="00B22F56">
          <w:pPr>
            <w:pStyle w:val="TM2"/>
            <w:rPr>
              <w:rFonts w:asciiTheme="minorHAnsi" w:eastAsiaTheme="minorEastAsia" w:hAnsiTheme="minorHAnsi" w:cstheme="minorBidi"/>
              <w:b w:val="0"/>
              <w:lang w:val="en-US" w:eastAsia="en-US"/>
            </w:rPr>
          </w:pPr>
          <w:hyperlink w:anchor="_Toc90471441" w:history="1">
            <w:r w:rsidR="00981159" w:rsidRPr="0086263B">
              <w:rPr>
                <w:rStyle w:val="Lienhypertexte"/>
                <w:i/>
              </w:rPr>
              <w:t>Institut Congolais pour la Conservation de la Nature</w:t>
            </w:r>
            <w:r w:rsidR="00981159">
              <w:rPr>
                <w:webHidden/>
              </w:rPr>
              <w:tab/>
            </w:r>
            <w:r w:rsidR="00981159">
              <w:rPr>
                <w:webHidden/>
              </w:rPr>
              <w:fldChar w:fldCharType="begin"/>
            </w:r>
            <w:r w:rsidR="00981159">
              <w:rPr>
                <w:webHidden/>
              </w:rPr>
              <w:instrText xml:space="preserve"> PAGEREF _Toc90471441 \h </w:instrText>
            </w:r>
            <w:r w:rsidR="00981159">
              <w:rPr>
                <w:webHidden/>
              </w:rPr>
            </w:r>
            <w:r w:rsidR="00981159">
              <w:rPr>
                <w:webHidden/>
              </w:rPr>
              <w:fldChar w:fldCharType="separate"/>
            </w:r>
            <w:r w:rsidR="00981159">
              <w:rPr>
                <w:webHidden/>
              </w:rPr>
              <w:t>148</w:t>
            </w:r>
            <w:r w:rsidR="00981159">
              <w:rPr>
                <w:webHidden/>
              </w:rPr>
              <w:fldChar w:fldCharType="end"/>
            </w:r>
          </w:hyperlink>
        </w:p>
        <w:p w14:paraId="117A7E9C" w14:textId="331BBC6A" w:rsidR="00981159" w:rsidRDefault="00B22F56">
          <w:pPr>
            <w:pStyle w:val="TM2"/>
            <w:tabs>
              <w:tab w:val="left" w:pos="1470"/>
            </w:tabs>
            <w:rPr>
              <w:rFonts w:asciiTheme="minorHAnsi" w:eastAsiaTheme="minorEastAsia" w:hAnsiTheme="minorHAnsi" w:cstheme="minorBidi"/>
              <w:b w:val="0"/>
              <w:lang w:val="en-US" w:eastAsia="en-US"/>
            </w:rPr>
          </w:pPr>
          <w:hyperlink w:anchor="_Toc90471442" w:history="1">
            <w:r w:rsidR="00981159" w:rsidRPr="0086263B">
              <w:rPr>
                <w:rStyle w:val="Lienhypertexte"/>
                <w:iCs/>
              </w:rPr>
              <w:t>4.3.5.</w:t>
            </w:r>
            <w:r w:rsidR="00981159">
              <w:rPr>
                <w:rFonts w:asciiTheme="minorHAnsi" w:eastAsiaTheme="minorEastAsia" w:hAnsiTheme="minorHAnsi" w:cstheme="minorBidi"/>
                <w:b w:val="0"/>
                <w:lang w:val="en-US" w:eastAsia="en-US"/>
              </w:rPr>
              <w:tab/>
            </w:r>
            <w:r w:rsidR="00981159" w:rsidRPr="0086263B">
              <w:rPr>
                <w:rStyle w:val="Lienhypertexte"/>
                <w:i/>
              </w:rPr>
              <w:t>Agence Congolaise de Transition Écologique et Développement Durable (ACTEDD)</w:t>
            </w:r>
            <w:r w:rsidR="00981159">
              <w:rPr>
                <w:webHidden/>
              </w:rPr>
              <w:tab/>
            </w:r>
            <w:r w:rsidR="00981159">
              <w:rPr>
                <w:webHidden/>
              </w:rPr>
              <w:fldChar w:fldCharType="begin"/>
            </w:r>
            <w:r w:rsidR="00981159">
              <w:rPr>
                <w:webHidden/>
              </w:rPr>
              <w:instrText xml:space="preserve"> PAGEREF _Toc90471442 \h </w:instrText>
            </w:r>
            <w:r w:rsidR="00981159">
              <w:rPr>
                <w:webHidden/>
              </w:rPr>
            </w:r>
            <w:r w:rsidR="00981159">
              <w:rPr>
                <w:webHidden/>
              </w:rPr>
              <w:fldChar w:fldCharType="separate"/>
            </w:r>
            <w:r w:rsidR="00981159">
              <w:rPr>
                <w:webHidden/>
              </w:rPr>
              <w:t>149</w:t>
            </w:r>
            <w:r w:rsidR="00981159">
              <w:rPr>
                <w:webHidden/>
              </w:rPr>
              <w:fldChar w:fldCharType="end"/>
            </w:r>
          </w:hyperlink>
        </w:p>
        <w:p w14:paraId="2357D44E" w14:textId="0754D1F2" w:rsidR="00981159" w:rsidRDefault="00B22F56">
          <w:pPr>
            <w:pStyle w:val="TM2"/>
            <w:rPr>
              <w:rFonts w:asciiTheme="minorHAnsi" w:eastAsiaTheme="minorEastAsia" w:hAnsiTheme="minorHAnsi" w:cstheme="minorBidi"/>
              <w:b w:val="0"/>
              <w:lang w:val="en-US" w:eastAsia="en-US"/>
            </w:rPr>
          </w:pPr>
          <w:hyperlink w:anchor="_Toc90471443" w:history="1">
            <w:r w:rsidR="00981159" w:rsidRPr="0086263B">
              <w:rPr>
                <w:rStyle w:val="Lienhypertexte"/>
                <w:iCs/>
              </w:rPr>
              <w:t>4.3.6.</w:t>
            </w:r>
            <w:r w:rsidR="00981159">
              <w:rPr>
                <w:rFonts w:asciiTheme="minorHAnsi" w:eastAsiaTheme="minorEastAsia" w:hAnsiTheme="minorHAnsi" w:cstheme="minorBidi"/>
                <w:b w:val="0"/>
                <w:lang w:val="en-US" w:eastAsia="en-US"/>
              </w:rPr>
              <w:tab/>
            </w:r>
            <w:r w:rsidR="00981159" w:rsidRPr="0086263B">
              <w:rPr>
                <w:rStyle w:val="Lienhypertexte"/>
                <w:i/>
              </w:rPr>
              <w:t>Ministère des Affaires Foncières</w:t>
            </w:r>
            <w:r w:rsidR="00981159">
              <w:rPr>
                <w:webHidden/>
              </w:rPr>
              <w:tab/>
            </w:r>
            <w:r w:rsidR="00981159">
              <w:rPr>
                <w:webHidden/>
              </w:rPr>
              <w:fldChar w:fldCharType="begin"/>
            </w:r>
            <w:r w:rsidR="00981159">
              <w:rPr>
                <w:webHidden/>
              </w:rPr>
              <w:instrText xml:space="preserve"> PAGEREF _Toc90471443 \h </w:instrText>
            </w:r>
            <w:r w:rsidR="00981159">
              <w:rPr>
                <w:webHidden/>
              </w:rPr>
            </w:r>
            <w:r w:rsidR="00981159">
              <w:rPr>
                <w:webHidden/>
              </w:rPr>
              <w:fldChar w:fldCharType="separate"/>
            </w:r>
            <w:r w:rsidR="00981159">
              <w:rPr>
                <w:webHidden/>
              </w:rPr>
              <w:t>149</w:t>
            </w:r>
            <w:r w:rsidR="00981159">
              <w:rPr>
                <w:webHidden/>
              </w:rPr>
              <w:fldChar w:fldCharType="end"/>
            </w:r>
          </w:hyperlink>
        </w:p>
        <w:p w14:paraId="7B787F90" w14:textId="0B64D777" w:rsidR="00981159" w:rsidRDefault="00B22F56">
          <w:pPr>
            <w:pStyle w:val="TM2"/>
            <w:rPr>
              <w:rFonts w:asciiTheme="minorHAnsi" w:eastAsiaTheme="minorEastAsia" w:hAnsiTheme="minorHAnsi" w:cstheme="minorBidi"/>
              <w:b w:val="0"/>
              <w:lang w:val="en-US" w:eastAsia="en-US"/>
            </w:rPr>
          </w:pPr>
          <w:hyperlink w:anchor="_Toc90471444" w:history="1">
            <w:r w:rsidR="00981159" w:rsidRPr="0086263B">
              <w:rPr>
                <w:rStyle w:val="Lienhypertexte"/>
                <w:iCs/>
              </w:rPr>
              <w:t>4.3.7.</w:t>
            </w:r>
            <w:r w:rsidR="00981159">
              <w:rPr>
                <w:rFonts w:asciiTheme="minorHAnsi" w:eastAsiaTheme="minorEastAsia" w:hAnsiTheme="minorHAnsi" w:cstheme="minorBidi"/>
                <w:b w:val="0"/>
                <w:lang w:val="en-US" w:eastAsia="en-US"/>
              </w:rPr>
              <w:tab/>
            </w:r>
            <w:r w:rsidR="00981159" w:rsidRPr="0086263B">
              <w:rPr>
                <w:rStyle w:val="Lienhypertexte"/>
                <w:i/>
              </w:rPr>
              <w:t>Ministère de la Santé</w:t>
            </w:r>
            <w:r w:rsidR="00981159">
              <w:rPr>
                <w:webHidden/>
              </w:rPr>
              <w:tab/>
            </w:r>
            <w:r w:rsidR="00981159">
              <w:rPr>
                <w:webHidden/>
              </w:rPr>
              <w:fldChar w:fldCharType="begin"/>
            </w:r>
            <w:r w:rsidR="00981159">
              <w:rPr>
                <w:webHidden/>
              </w:rPr>
              <w:instrText xml:space="preserve"> PAGEREF _Toc90471444 \h </w:instrText>
            </w:r>
            <w:r w:rsidR="00981159">
              <w:rPr>
                <w:webHidden/>
              </w:rPr>
            </w:r>
            <w:r w:rsidR="00981159">
              <w:rPr>
                <w:webHidden/>
              </w:rPr>
              <w:fldChar w:fldCharType="separate"/>
            </w:r>
            <w:r w:rsidR="00981159">
              <w:rPr>
                <w:webHidden/>
              </w:rPr>
              <w:t>149</w:t>
            </w:r>
            <w:r w:rsidR="00981159">
              <w:rPr>
                <w:webHidden/>
              </w:rPr>
              <w:fldChar w:fldCharType="end"/>
            </w:r>
          </w:hyperlink>
        </w:p>
        <w:p w14:paraId="58C29F3D" w14:textId="6527B407" w:rsidR="00981159" w:rsidRDefault="00B22F56">
          <w:pPr>
            <w:pStyle w:val="TM2"/>
            <w:rPr>
              <w:rFonts w:asciiTheme="minorHAnsi" w:eastAsiaTheme="minorEastAsia" w:hAnsiTheme="minorHAnsi" w:cstheme="minorBidi"/>
              <w:b w:val="0"/>
              <w:lang w:val="en-US" w:eastAsia="en-US"/>
            </w:rPr>
          </w:pPr>
          <w:hyperlink w:anchor="_Toc90471445" w:history="1">
            <w:r w:rsidR="00981159" w:rsidRPr="0086263B">
              <w:rPr>
                <w:rStyle w:val="Lienhypertexte"/>
                <w:i/>
              </w:rPr>
              <w:t>Fonds National de Solidarité Contre la COVID-19</w:t>
            </w:r>
            <w:r w:rsidR="00981159">
              <w:rPr>
                <w:webHidden/>
              </w:rPr>
              <w:tab/>
            </w:r>
            <w:r w:rsidR="00981159">
              <w:rPr>
                <w:webHidden/>
              </w:rPr>
              <w:fldChar w:fldCharType="begin"/>
            </w:r>
            <w:r w:rsidR="00981159">
              <w:rPr>
                <w:webHidden/>
              </w:rPr>
              <w:instrText xml:space="preserve"> PAGEREF _Toc90471445 \h </w:instrText>
            </w:r>
            <w:r w:rsidR="00981159">
              <w:rPr>
                <w:webHidden/>
              </w:rPr>
            </w:r>
            <w:r w:rsidR="00981159">
              <w:rPr>
                <w:webHidden/>
              </w:rPr>
              <w:fldChar w:fldCharType="separate"/>
            </w:r>
            <w:r w:rsidR="00981159">
              <w:rPr>
                <w:webHidden/>
              </w:rPr>
              <w:t>150</w:t>
            </w:r>
            <w:r w:rsidR="00981159">
              <w:rPr>
                <w:webHidden/>
              </w:rPr>
              <w:fldChar w:fldCharType="end"/>
            </w:r>
          </w:hyperlink>
        </w:p>
        <w:p w14:paraId="3D63BE9A" w14:textId="768CF950" w:rsidR="00981159" w:rsidRDefault="00B22F56">
          <w:pPr>
            <w:pStyle w:val="TM2"/>
            <w:rPr>
              <w:rFonts w:asciiTheme="minorHAnsi" w:eastAsiaTheme="minorEastAsia" w:hAnsiTheme="minorHAnsi" w:cstheme="minorBidi"/>
              <w:b w:val="0"/>
              <w:lang w:val="en-US" w:eastAsia="en-US"/>
            </w:rPr>
          </w:pPr>
          <w:hyperlink w:anchor="_Toc90471446" w:history="1">
            <w:r w:rsidR="00981159" w:rsidRPr="0086263B">
              <w:rPr>
                <w:rStyle w:val="Lienhypertexte"/>
                <w:iCs/>
              </w:rPr>
              <w:t>4.3.8.</w:t>
            </w:r>
            <w:r w:rsidR="00981159">
              <w:rPr>
                <w:rFonts w:asciiTheme="minorHAnsi" w:eastAsiaTheme="minorEastAsia" w:hAnsiTheme="minorHAnsi" w:cstheme="minorBidi"/>
                <w:b w:val="0"/>
                <w:lang w:val="en-US" w:eastAsia="en-US"/>
              </w:rPr>
              <w:tab/>
            </w:r>
            <w:r w:rsidR="00981159" w:rsidRPr="0086263B">
              <w:rPr>
                <w:rStyle w:val="Lienhypertexte"/>
                <w:i/>
              </w:rPr>
              <w:t>Ministère des Affaires Sociales</w:t>
            </w:r>
            <w:r w:rsidR="00981159">
              <w:rPr>
                <w:webHidden/>
              </w:rPr>
              <w:tab/>
            </w:r>
            <w:r w:rsidR="00981159">
              <w:rPr>
                <w:webHidden/>
              </w:rPr>
              <w:fldChar w:fldCharType="begin"/>
            </w:r>
            <w:r w:rsidR="00981159">
              <w:rPr>
                <w:webHidden/>
              </w:rPr>
              <w:instrText xml:space="preserve"> PAGEREF _Toc90471446 \h </w:instrText>
            </w:r>
            <w:r w:rsidR="00981159">
              <w:rPr>
                <w:webHidden/>
              </w:rPr>
            </w:r>
            <w:r w:rsidR="00981159">
              <w:rPr>
                <w:webHidden/>
              </w:rPr>
              <w:fldChar w:fldCharType="separate"/>
            </w:r>
            <w:r w:rsidR="00981159">
              <w:rPr>
                <w:webHidden/>
              </w:rPr>
              <w:t>150</w:t>
            </w:r>
            <w:r w:rsidR="00981159">
              <w:rPr>
                <w:webHidden/>
              </w:rPr>
              <w:fldChar w:fldCharType="end"/>
            </w:r>
          </w:hyperlink>
        </w:p>
        <w:p w14:paraId="3693F2D0" w14:textId="7537AD4A" w:rsidR="00981159" w:rsidRDefault="00B22F56">
          <w:pPr>
            <w:pStyle w:val="TM1"/>
            <w:rPr>
              <w:rFonts w:asciiTheme="minorHAnsi" w:eastAsiaTheme="minorEastAsia" w:hAnsiTheme="minorHAnsi" w:cstheme="minorBidi"/>
              <w:b w:val="0"/>
              <w:bCs w:val="0"/>
              <w:caps w:val="0"/>
              <w:color w:val="auto"/>
              <w:lang w:val="en-US" w:eastAsia="en-US"/>
            </w:rPr>
          </w:pPr>
          <w:hyperlink w:anchor="_Toc90471447" w:history="1">
            <w:r w:rsidR="00981159" w:rsidRPr="0086263B">
              <w:rPr>
                <w:rStyle w:val="Lienhypertexte"/>
              </w:rPr>
              <w:t>Le Ministère des Affaires Sociales a pour attribution :</w:t>
            </w:r>
            <w:r w:rsidR="00981159">
              <w:rPr>
                <w:webHidden/>
              </w:rPr>
              <w:tab/>
            </w:r>
            <w:r w:rsidR="00981159">
              <w:rPr>
                <w:webHidden/>
              </w:rPr>
              <w:fldChar w:fldCharType="begin"/>
            </w:r>
            <w:r w:rsidR="00981159">
              <w:rPr>
                <w:webHidden/>
              </w:rPr>
              <w:instrText xml:space="preserve"> PAGEREF _Toc90471447 \h </w:instrText>
            </w:r>
            <w:r w:rsidR="00981159">
              <w:rPr>
                <w:webHidden/>
              </w:rPr>
            </w:r>
            <w:r w:rsidR="00981159">
              <w:rPr>
                <w:webHidden/>
              </w:rPr>
              <w:fldChar w:fldCharType="separate"/>
            </w:r>
            <w:r w:rsidR="00981159">
              <w:rPr>
                <w:webHidden/>
              </w:rPr>
              <w:t>150</w:t>
            </w:r>
            <w:r w:rsidR="00981159">
              <w:rPr>
                <w:webHidden/>
              </w:rPr>
              <w:fldChar w:fldCharType="end"/>
            </w:r>
          </w:hyperlink>
        </w:p>
        <w:p w14:paraId="64D6D95F" w14:textId="247CED3A" w:rsidR="00981159" w:rsidRDefault="00B22F56">
          <w:pPr>
            <w:pStyle w:val="TM2"/>
            <w:rPr>
              <w:rFonts w:asciiTheme="minorHAnsi" w:eastAsiaTheme="minorEastAsia" w:hAnsiTheme="minorHAnsi" w:cstheme="minorBidi"/>
              <w:b w:val="0"/>
              <w:lang w:val="en-US" w:eastAsia="en-US"/>
            </w:rPr>
          </w:pPr>
          <w:hyperlink w:anchor="_Toc90471448" w:history="1">
            <w:r w:rsidR="00981159" w:rsidRPr="0086263B">
              <w:rPr>
                <w:rStyle w:val="Lienhypertexte"/>
                <w:i/>
              </w:rPr>
              <w:t>Fonds National de Promotion et de Service Social (FNPSS)</w:t>
            </w:r>
            <w:r w:rsidR="00981159">
              <w:rPr>
                <w:webHidden/>
              </w:rPr>
              <w:tab/>
            </w:r>
            <w:r w:rsidR="00981159">
              <w:rPr>
                <w:webHidden/>
              </w:rPr>
              <w:fldChar w:fldCharType="begin"/>
            </w:r>
            <w:r w:rsidR="00981159">
              <w:rPr>
                <w:webHidden/>
              </w:rPr>
              <w:instrText xml:space="preserve"> PAGEREF _Toc90471448 \h </w:instrText>
            </w:r>
            <w:r w:rsidR="00981159">
              <w:rPr>
                <w:webHidden/>
              </w:rPr>
            </w:r>
            <w:r w:rsidR="00981159">
              <w:rPr>
                <w:webHidden/>
              </w:rPr>
              <w:fldChar w:fldCharType="separate"/>
            </w:r>
            <w:r w:rsidR="00981159">
              <w:rPr>
                <w:webHidden/>
              </w:rPr>
              <w:t>150</w:t>
            </w:r>
            <w:r w:rsidR="00981159">
              <w:rPr>
                <w:webHidden/>
              </w:rPr>
              <w:fldChar w:fldCharType="end"/>
            </w:r>
          </w:hyperlink>
        </w:p>
        <w:p w14:paraId="215DFA1D" w14:textId="47107C0D" w:rsidR="00981159" w:rsidRDefault="00B22F56">
          <w:pPr>
            <w:pStyle w:val="TM2"/>
            <w:rPr>
              <w:rFonts w:asciiTheme="minorHAnsi" w:eastAsiaTheme="minorEastAsia" w:hAnsiTheme="minorHAnsi" w:cstheme="minorBidi"/>
              <w:b w:val="0"/>
              <w:lang w:val="en-US" w:eastAsia="en-US"/>
            </w:rPr>
          </w:pPr>
          <w:hyperlink w:anchor="_Toc90471449" w:history="1">
            <w:r w:rsidR="00981159" w:rsidRPr="0086263B">
              <w:rPr>
                <w:rStyle w:val="Lienhypertexte"/>
              </w:rPr>
              <w:t>Le Fonds National de Promotion et de Service Social (FNPSS) est un Etablissement Public à caractère technique, financier, social et humanitaire. Il est doté de la personnalité juridique et jouit d’une autonomie administrative et financière.</w:t>
            </w:r>
            <w:r w:rsidR="00981159">
              <w:rPr>
                <w:webHidden/>
              </w:rPr>
              <w:tab/>
            </w:r>
            <w:r w:rsidR="00981159">
              <w:rPr>
                <w:webHidden/>
              </w:rPr>
              <w:fldChar w:fldCharType="begin"/>
            </w:r>
            <w:r w:rsidR="00981159">
              <w:rPr>
                <w:webHidden/>
              </w:rPr>
              <w:instrText xml:space="preserve"> PAGEREF _Toc90471449 \h </w:instrText>
            </w:r>
            <w:r w:rsidR="00981159">
              <w:rPr>
                <w:webHidden/>
              </w:rPr>
            </w:r>
            <w:r w:rsidR="00981159">
              <w:rPr>
                <w:webHidden/>
              </w:rPr>
              <w:fldChar w:fldCharType="separate"/>
            </w:r>
            <w:r w:rsidR="00981159">
              <w:rPr>
                <w:webHidden/>
              </w:rPr>
              <w:t>150</w:t>
            </w:r>
            <w:r w:rsidR="00981159">
              <w:rPr>
                <w:webHidden/>
              </w:rPr>
              <w:fldChar w:fldCharType="end"/>
            </w:r>
          </w:hyperlink>
        </w:p>
        <w:p w14:paraId="2D50F3E4" w14:textId="6DD007C6" w:rsidR="00981159" w:rsidRDefault="00B22F56">
          <w:pPr>
            <w:pStyle w:val="TM2"/>
            <w:rPr>
              <w:rFonts w:asciiTheme="minorHAnsi" w:eastAsiaTheme="minorEastAsia" w:hAnsiTheme="minorHAnsi" w:cstheme="minorBidi"/>
              <w:b w:val="0"/>
              <w:lang w:val="en-US" w:eastAsia="en-US"/>
            </w:rPr>
          </w:pPr>
          <w:hyperlink w:anchor="_Toc90471450" w:history="1">
            <w:r w:rsidR="00981159" w:rsidRPr="0086263B">
              <w:rPr>
                <w:rStyle w:val="Lienhypertexte"/>
              </w:rPr>
              <w:t>Il est régi par le Décret n°13/007 du 23 Janvier 2013. Il a pour mission :</w:t>
            </w:r>
            <w:r w:rsidR="00981159">
              <w:rPr>
                <w:webHidden/>
              </w:rPr>
              <w:tab/>
            </w:r>
            <w:r w:rsidR="00981159">
              <w:rPr>
                <w:webHidden/>
              </w:rPr>
              <w:fldChar w:fldCharType="begin"/>
            </w:r>
            <w:r w:rsidR="00981159">
              <w:rPr>
                <w:webHidden/>
              </w:rPr>
              <w:instrText xml:space="preserve"> PAGEREF _Toc90471450 \h </w:instrText>
            </w:r>
            <w:r w:rsidR="00981159">
              <w:rPr>
                <w:webHidden/>
              </w:rPr>
            </w:r>
            <w:r w:rsidR="00981159">
              <w:rPr>
                <w:webHidden/>
              </w:rPr>
              <w:fldChar w:fldCharType="separate"/>
            </w:r>
            <w:r w:rsidR="00981159">
              <w:rPr>
                <w:webHidden/>
              </w:rPr>
              <w:t>150</w:t>
            </w:r>
            <w:r w:rsidR="00981159">
              <w:rPr>
                <w:webHidden/>
              </w:rPr>
              <w:fldChar w:fldCharType="end"/>
            </w:r>
          </w:hyperlink>
        </w:p>
        <w:p w14:paraId="15A94500" w14:textId="65E26C52" w:rsidR="00981159" w:rsidRDefault="00B22F56">
          <w:pPr>
            <w:pStyle w:val="TM2"/>
            <w:rPr>
              <w:rFonts w:asciiTheme="minorHAnsi" w:eastAsiaTheme="minorEastAsia" w:hAnsiTheme="minorHAnsi" w:cstheme="minorBidi"/>
              <w:b w:val="0"/>
              <w:lang w:val="en-US" w:eastAsia="en-US"/>
            </w:rPr>
          </w:pPr>
          <w:hyperlink w:anchor="_Toc90471451" w:history="1">
            <w:r w:rsidR="00981159" w:rsidRPr="0086263B">
              <w:rPr>
                <w:rStyle w:val="Lienhypertexte"/>
                <w:i/>
              </w:rPr>
              <w:t>Programme National d'appui à la Protection Sociale (PNPS)</w:t>
            </w:r>
            <w:r w:rsidR="00981159">
              <w:rPr>
                <w:webHidden/>
              </w:rPr>
              <w:tab/>
            </w:r>
            <w:r w:rsidR="00981159">
              <w:rPr>
                <w:webHidden/>
              </w:rPr>
              <w:fldChar w:fldCharType="begin"/>
            </w:r>
            <w:r w:rsidR="00981159">
              <w:rPr>
                <w:webHidden/>
              </w:rPr>
              <w:instrText xml:space="preserve"> PAGEREF _Toc90471451 \h </w:instrText>
            </w:r>
            <w:r w:rsidR="00981159">
              <w:rPr>
                <w:webHidden/>
              </w:rPr>
            </w:r>
            <w:r w:rsidR="00981159">
              <w:rPr>
                <w:webHidden/>
              </w:rPr>
              <w:fldChar w:fldCharType="separate"/>
            </w:r>
            <w:r w:rsidR="00981159">
              <w:rPr>
                <w:webHidden/>
              </w:rPr>
              <w:t>151</w:t>
            </w:r>
            <w:r w:rsidR="00981159">
              <w:rPr>
                <w:webHidden/>
              </w:rPr>
              <w:fldChar w:fldCharType="end"/>
            </w:r>
          </w:hyperlink>
        </w:p>
        <w:p w14:paraId="19C8DC4E" w14:textId="728AF091" w:rsidR="00981159" w:rsidRDefault="00B22F56">
          <w:pPr>
            <w:pStyle w:val="TM2"/>
            <w:rPr>
              <w:rFonts w:asciiTheme="minorHAnsi" w:eastAsiaTheme="minorEastAsia" w:hAnsiTheme="minorHAnsi" w:cstheme="minorBidi"/>
              <w:b w:val="0"/>
              <w:lang w:val="en-US" w:eastAsia="en-US"/>
            </w:rPr>
          </w:pPr>
          <w:hyperlink w:anchor="_Toc90471452" w:history="1">
            <w:r w:rsidR="00981159" w:rsidRPr="0086263B">
              <w:rPr>
                <w:rStyle w:val="Lienhypertexte"/>
                <w:iCs/>
              </w:rPr>
              <w:t>4.3.9.</w:t>
            </w:r>
            <w:r w:rsidR="00981159">
              <w:rPr>
                <w:rFonts w:asciiTheme="minorHAnsi" w:eastAsiaTheme="minorEastAsia" w:hAnsiTheme="minorHAnsi" w:cstheme="minorBidi"/>
                <w:b w:val="0"/>
                <w:lang w:val="en-US" w:eastAsia="en-US"/>
              </w:rPr>
              <w:tab/>
            </w:r>
            <w:r w:rsidR="00981159" w:rsidRPr="0086263B">
              <w:rPr>
                <w:rStyle w:val="Lienhypertexte"/>
                <w:i/>
              </w:rPr>
              <w:t>Ministère de l’Emploi, Travail et Prévoyance Sociale</w:t>
            </w:r>
            <w:r w:rsidR="00981159">
              <w:rPr>
                <w:webHidden/>
              </w:rPr>
              <w:tab/>
            </w:r>
            <w:r w:rsidR="00981159">
              <w:rPr>
                <w:webHidden/>
              </w:rPr>
              <w:fldChar w:fldCharType="begin"/>
            </w:r>
            <w:r w:rsidR="00981159">
              <w:rPr>
                <w:webHidden/>
              </w:rPr>
              <w:instrText xml:space="preserve"> PAGEREF _Toc90471452 \h </w:instrText>
            </w:r>
            <w:r w:rsidR="00981159">
              <w:rPr>
                <w:webHidden/>
              </w:rPr>
            </w:r>
            <w:r w:rsidR="00981159">
              <w:rPr>
                <w:webHidden/>
              </w:rPr>
              <w:fldChar w:fldCharType="separate"/>
            </w:r>
            <w:r w:rsidR="00981159">
              <w:rPr>
                <w:webHidden/>
              </w:rPr>
              <w:t>151</w:t>
            </w:r>
            <w:r w:rsidR="00981159">
              <w:rPr>
                <w:webHidden/>
              </w:rPr>
              <w:fldChar w:fldCharType="end"/>
            </w:r>
          </w:hyperlink>
        </w:p>
        <w:p w14:paraId="49B864DE" w14:textId="630A60D1" w:rsidR="00981159" w:rsidRDefault="00B22F56">
          <w:pPr>
            <w:pStyle w:val="TM2"/>
            <w:tabs>
              <w:tab w:val="left" w:pos="1050"/>
            </w:tabs>
            <w:rPr>
              <w:rFonts w:asciiTheme="minorHAnsi" w:eastAsiaTheme="minorEastAsia" w:hAnsiTheme="minorHAnsi" w:cstheme="minorBidi"/>
              <w:b w:val="0"/>
              <w:lang w:val="en-US" w:eastAsia="en-US"/>
            </w:rPr>
          </w:pPr>
          <w:hyperlink w:anchor="_Toc90471453" w:history="1">
            <w:r w:rsidR="00981159" w:rsidRPr="0086263B">
              <w:rPr>
                <w:rStyle w:val="Lienhypertexte"/>
                <w:iCs/>
              </w:rPr>
              <w:t>4.3.10.</w:t>
            </w:r>
            <w:r w:rsidR="00981159">
              <w:rPr>
                <w:rFonts w:asciiTheme="minorHAnsi" w:eastAsiaTheme="minorEastAsia" w:hAnsiTheme="minorHAnsi" w:cstheme="minorBidi"/>
                <w:b w:val="0"/>
                <w:lang w:val="en-US" w:eastAsia="en-US"/>
              </w:rPr>
              <w:tab/>
            </w:r>
            <w:r w:rsidR="00981159" w:rsidRPr="0086263B">
              <w:rPr>
                <w:rStyle w:val="Lienhypertexte"/>
                <w:i/>
              </w:rPr>
              <w:t>Ministère du Genre, Famille et Enfant</w:t>
            </w:r>
            <w:r w:rsidR="00981159">
              <w:rPr>
                <w:webHidden/>
              </w:rPr>
              <w:tab/>
            </w:r>
            <w:r w:rsidR="00981159">
              <w:rPr>
                <w:webHidden/>
              </w:rPr>
              <w:fldChar w:fldCharType="begin"/>
            </w:r>
            <w:r w:rsidR="00981159">
              <w:rPr>
                <w:webHidden/>
              </w:rPr>
              <w:instrText xml:space="preserve"> PAGEREF _Toc90471453 \h </w:instrText>
            </w:r>
            <w:r w:rsidR="00981159">
              <w:rPr>
                <w:webHidden/>
              </w:rPr>
            </w:r>
            <w:r w:rsidR="00981159">
              <w:rPr>
                <w:webHidden/>
              </w:rPr>
              <w:fldChar w:fldCharType="separate"/>
            </w:r>
            <w:r w:rsidR="00981159">
              <w:rPr>
                <w:webHidden/>
              </w:rPr>
              <w:t>151</w:t>
            </w:r>
            <w:r w:rsidR="00981159">
              <w:rPr>
                <w:webHidden/>
              </w:rPr>
              <w:fldChar w:fldCharType="end"/>
            </w:r>
          </w:hyperlink>
        </w:p>
        <w:p w14:paraId="42026BE5" w14:textId="35CB4156" w:rsidR="00981159" w:rsidRDefault="00B22F56">
          <w:pPr>
            <w:pStyle w:val="TM2"/>
            <w:tabs>
              <w:tab w:val="left" w:pos="1050"/>
            </w:tabs>
            <w:rPr>
              <w:rFonts w:asciiTheme="minorHAnsi" w:eastAsiaTheme="minorEastAsia" w:hAnsiTheme="minorHAnsi" w:cstheme="minorBidi"/>
              <w:b w:val="0"/>
              <w:lang w:val="en-US" w:eastAsia="en-US"/>
            </w:rPr>
          </w:pPr>
          <w:hyperlink w:anchor="_Toc90471454" w:history="1">
            <w:r w:rsidR="00981159" w:rsidRPr="0086263B">
              <w:rPr>
                <w:rStyle w:val="Lienhypertexte"/>
                <w:iCs/>
              </w:rPr>
              <w:t>4.3.11.</w:t>
            </w:r>
            <w:r w:rsidR="00981159">
              <w:rPr>
                <w:rFonts w:asciiTheme="minorHAnsi" w:eastAsiaTheme="minorEastAsia" w:hAnsiTheme="minorHAnsi" w:cstheme="minorBidi"/>
                <w:b w:val="0"/>
                <w:lang w:val="en-US" w:eastAsia="en-US"/>
              </w:rPr>
              <w:tab/>
            </w:r>
            <w:r w:rsidR="00981159" w:rsidRPr="0086263B">
              <w:rPr>
                <w:rStyle w:val="Lienhypertexte"/>
                <w:i/>
              </w:rPr>
              <w:t>Ministère des Transports et Voies de Communications</w:t>
            </w:r>
            <w:r w:rsidR="00981159">
              <w:rPr>
                <w:webHidden/>
              </w:rPr>
              <w:tab/>
            </w:r>
            <w:r w:rsidR="00981159">
              <w:rPr>
                <w:webHidden/>
              </w:rPr>
              <w:fldChar w:fldCharType="begin"/>
            </w:r>
            <w:r w:rsidR="00981159">
              <w:rPr>
                <w:webHidden/>
              </w:rPr>
              <w:instrText xml:space="preserve"> PAGEREF _Toc90471454 \h </w:instrText>
            </w:r>
            <w:r w:rsidR="00981159">
              <w:rPr>
                <w:webHidden/>
              </w:rPr>
            </w:r>
            <w:r w:rsidR="00981159">
              <w:rPr>
                <w:webHidden/>
              </w:rPr>
              <w:fldChar w:fldCharType="separate"/>
            </w:r>
            <w:r w:rsidR="00981159">
              <w:rPr>
                <w:webHidden/>
              </w:rPr>
              <w:t>152</w:t>
            </w:r>
            <w:r w:rsidR="00981159">
              <w:rPr>
                <w:webHidden/>
              </w:rPr>
              <w:fldChar w:fldCharType="end"/>
            </w:r>
          </w:hyperlink>
        </w:p>
        <w:p w14:paraId="71F20276" w14:textId="57894B9C" w:rsidR="00981159" w:rsidRDefault="00B22F56">
          <w:pPr>
            <w:pStyle w:val="TM2"/>
            <w:tabs>
              <w:tab w:val="left" w:pos="1050"/>
            </w:tabs>
            <w:rPr>
              <w:rFonts w:asciiTheme="minorHAnsi" w:eastAsiaTheme="minorEastAsia" w:hAnsiTheme="minorHAnsi" w:cstheme="minorBidi"/>
              <w:b w:val="0"/>
              <w:lang w:val="en-US" w:eastAsia="en-US"/>
            </w:rPr>
          </w:pPr>
          <w:hyperlink w:anchor="_Toc90471455" w:history="1">
            <w:r w:rsidR="00981159" w:rsidRPr="0086263B">
              <w:rPr>
                <w:rStyle w:val="Lienhypertexte"/>
                <w:iCs/>
              </w:rPr>
              <w:t>4.3.12.</w:t>
            </w:r>
            <w:r w:rsidR="00981159">
              <w:rPr>
                <w:rFonts w:asciiTheme="minorHAnsi" w:eastAsiaTheme="minorEastAsia" w:hAnsiTheme="minorHAnsi" w:cstheme="minorBidi"/>
                <w:b w:val="0"/>
                <w:lang w:val="en-US" w:eastAsia="en-US"/>
              </w:rPr>
              <w:tab/>
            </w:r>
            <w:r w:rsidR="00981159" w:rsidRPr="0086263B">
              <w:rPr>
                <w:rStyle w:val="Lienhypertexte"/>
                <w:i/>
              </w:rPr>
              <w:t>5. Ministère des Infrastructures et Travaux Publics</w:t>
            </w:r>
            <w:r w:rsidR="00981159">
              <w:rPr>
                <w:webHidden/>
              </w:rPr>
              <w:tab/>
            </w:r>
            <w:r w:rsidR="00981159">
              <w:rPr>
                <w:webHidden/>
              </w:rPr>
              <w:fldChar w:fldCharType="begin"/>
            </w:r>
            <w:r w:rsidR="00981159">
              <w:rPr>
                <w:webHidden/>
              </w:rPr>
              <w:instrText xml:space="preserve"> PAGEREF _Toc90471455 \h </w:instrText>
            </w:r>
            <w:r w:rsidR="00981159">
              <w:rPr>
                <w:webHidden/>
              </w:rPr>
            </w:r>
            <w:r w:rsidR="00981159">
              <w:rPr>
                <w:webHidden/>
              </w:rPr>
              <w:fldChar w:fldCharType="separate"/>
            </w:r>
            <w:r w:rsidR="00981159">
              <w:rPr>
                <w:webHidden/>
              </w:rPr>
              <w:t>152</w:t>
            </w:r>
            <w:r w:rsidR="00981159">
              <w:rPr>
                <w:webHidden/>
              </w:rPr>
              <w:fldChar w:fldCharType="end"/>
            </w:r>
          </w:hyperlink>
        </w:p>
        <w:p w14:paraId="6C5553A3" w14:textId="46372F2D" w:rsidR="00981159" w:rsidRDefault="00B22F56">
          <w:pPr>
            <w:pStyle w:val="TM2"/>
            <w:tabs>
              <w:tab w:val="left" w:pos="1050"/>
            </w:tabs>
            <w:rPr>
              <w:rFonts w:asciiTheme="minorHAnsi" w:eastAsiaTheme="minorEastAsia" w:hAnsiTheme="minorHAnsi" w:cstheme="minorBidi"/>
              <w:b w:val="0"/>
              <w:lang w:val="en-US" w:eastAsia="en-US"/>
            </w:rPr>
          </w:pPr>
          <w:hyperlink w:anchor="_Toc90471456" w:history="1">
            <w:r w:rsidR="00981159" w:rsidRPr="0086263B">
              <w:rPr>
                <w:rStyle w:val="Lienhypertexte"/>
                <w:iCs/>
              </w:rPr>
              <w:t>4.3.13.</w:t>
            </w:r>
            <w:r w:rsidR="00981159">
              <w:rPr>
                <w:rFonts w:asciiTheme="minorHAnsi" w:eastAsiaTheme="minorEastAsia" w:hAnsiTheme="minorHAnsi" w:cstheme="minorBidi"/>
                <w:b w:val="0"/>
                <w:lang w:val="en-US" w:eastAsia="en-US"/>
              </w:rPr>
              <w:tab/>
            </w:r>
            <w:r w:rsidR="00981159" w:rsidRPr="0086263B">
              <w:rPr>
                <w:rStyle w:val="Lienhypertexte"/>
                <w:i/>
              </w:rPr>
              <w:t>Ministère des Classes Moyennes, Petites et Moyennes Entreprises, Artisanat</w:t>
            </w:r>
            <w:r w:rsidR="00981159">
              <w:rPr>
                <w:webHidden/>
              </w:rPr>
              <w:tab/>
            </w:r>
            <w:r w:rsidR="00981159">
              <w:rPr>
                <w:webHidden/>
              </w:rPr>
              <w:fldChar w:fldCharType="begin"/>
            </w:r>
            <w:r w:rsidR="00981159">
              <w:rPr>
                <w:webHidden/>
              </w:rPr>
              <w:instrText xml:space="preserve"> PAGEREF _Toc90471456 \h </w:instrText>
            </w:r>
            <w:r w:rsidR="00981159">
              <w:rPr>
                <w:webHidden/>
              </w:rPr>
            </w:r>
            <w:r w:rsidR="00981159">
              <w:rPr>
                <w:webHidden/>
              </w:rPr>
              <w:fldChar w:fldCharType="separate"/>
            </w:r>
            <w:r w:rsidR="00981159">
              <w:rPr>
                <w:webHidden/>
              </w:rPr>
              <w:t>153</w:t>
            </w:r>
            <w:r w:rsidR="00981159">
              <w:rPr>
                <w:webHidden/>
              </w:rPr>
              <w:fldChar w:fldCharType="end"/>
            </w:r>
          </w:hyperlink>
        </w:p>
        <w:p w14:paraId="20768E46" w14:textId="7700FF2C" w:rsidR="00981159" w:rsidRDefault="00B22F56">
          <w:pPr>
            <w:pStyle w:val="TM2"/>
            <w:tabs>
              <w:tab w:val="left" w:pos="1260"/>
            </w:tabs>
            <w:rPr>
              <w:rFonts w:asciiTheme="minorHAnsi" w:eastAsiaTheme="minorEastAsia" w:hAnsiTheme="minorHAnsi" w:cstheme="minorBidi"/>
              <w:b w:val="0"/>
              <w:lang w:val="en-US" w:eastAsia="en-US"/>
            </w:rPr>
          </w:pPr>
          <w:hyperlink w:anchor="_Toc90471457" w:history="1">
            <w:r w:rsidR="00981159" w:rsidRPr="0086263B">
              <w:rPr>
                <w:rStyle w:val="Lienhypertexte"/>
                <w:iCs/>
              </w:rPr>
              <w:t>4.3.14.</w:t>
            </w:r>
            <w:r w:rsidR="00981159">
              <w:rPr>
                <w:rFonts w:asciiTheme="minorHAnsi" w:eastAsiaTheme="minorEastAsia" w:hAnsiTheme="minorHAnsi" w:cstheme="minorBidi"/>
                <w:b w:val="0"/>
                <w:lang w:val="en-US" w:eastAsia="en-US"/>
              </w:rPr>
              <w:tab/>
            </w:r>
            <w:r w:rsidR="00981159" w:rsidRPr="0086263B">
              <w:rPr>
                <w:rStyle w:val="Lienhypertexte"/>
                <w:i/>
              </w:rPr>
              <w:t>Autres Ministères Provinciaux impliqués dans la gestion environnementale et sociale du Projet</w:t>
            </w:r>
            <w:r w:rsidR="00981159">
              <w:rPr>
                <w:webHidden/>
              </w:rPr>
              <w:tab/>
            </w:r>
            <w:r w:rsidR="00981159">
              <w:rPr>
                <w:webHidden/>
              </w:rPr>
              <w:fldChar w:fldCharType="begin"/>
            </w:r>
            <w:r w:rsidR="00981159">
              <w:rPr>
                <w:webHidden/>
              </w:rPr>
              <w:instrText xml:space="preserve"> PAGEREF _Toc90471457 \h </w:instrText>
            </w:r>
            <w:r w:rsidR="00981159">
              <w:rPr>
                <w:webHidden/>
              </w:rPr>
            </w:r>
            <w:r w:rsidR="00981159">
              <w:rPr>
                <w:webHidden/>
              </w:rPr>
              <w:fldChar w:fldCharType="separate"/>
            </w:r>
            <w:r w:rsidR="00981159">
              <w:rPr>
                <w:webHidden/>
              </w:rPr>
              <w:t>153</w:t>
            </w:r>
            <w:r w:rsidR="00981159">
              <w:rPr>
                <w:webHidden/>
              </w:rPr>
              <w:fldChar w:fldCharType="end"/>
            </w:r>
          </w:hyperlink>
        </w:p>
        <w:p w14:paraId="7F3CE938" w14:textId="39041E97" w:rsidR="00981159" w:rsidRDefault="00B22F56">
          <w:pPr>
            <w:pStyle w:val="TM2"/>
            <w:tabs>
              <w:tab w:val="left" w:pos="1050"/>
            </w:tabs>
            <w:rPr>
              <w:rFonts w:asciiTheme="minorHAnsi" w:eastAsiaTheme="minorEastAsia" w:hAnsiTheme="minorHAnsi" w:cstheme="minorBidi"/>
              <w:b w:val="0"/>
              <w:lang w:val="en-US" w:eastAsia="en-US"/>
            </w:rPr>
          </w:pPr>
          <w:hyperlink w:anchor="_Toc90471458" w:history="1">
            <w:r w:rsidR="00981159" w:rsidRPr="0086263B">
              <w:rPr>
                <w:rStyle w:val="Lienhypertexte"/>
                <w:iCs/>
              </w:rPr>
              <w:t>4.3.15.</w:t>
            </w:r>
            <w:r w:rsidR="00981159">
              <w:rPr>
                <w:rFonts w:asciiTheme="minorHAnsi" w:eastAsiaTheme="minorEastAsia" w:hAnsiTheme="minorHAnsi" w:cstheme="minorBidi"/>
                <w:b w:val="0"/>
                <w:lang w:val="en-US" w:eastAsia="en-US"/>
              </w:rPr>
              <w:tab/>
            </w:r>
            <w:r w:rsidR="00981159" w:rsidRPr="0086263B">
              <w:rPr>
                <w:rStyle w:val="Lienhypertexte"/>
                <w:i/>
              </w:rPr>
              <w:t>Administrations locales</w:t>
            </w:r>
            <w:r w:rsidR="00981159">
              <w:rPr>
                <w:webHidden/>
              </w:rPr>
              <w:tab/>
            </w:r>
            <w:r w:rsidR="00981159">
              <w:rPr>
                <w:webHidden/>
              </w:rPr>
              <w:fldChar w:fldCharType="begin"/>
            </w:r>
            <w:r w:rsidR="00981159">
              <w:rPr>
                <w:webHidden/>
              </w:rPr>
              <w:instrText xml:space="preserve"> PAGEREF _Toc90471458 \h </w:instrText>
            </w:r>
            <w:r w:rsidR="00981159">
              <w:rPr>
                <w:webHidden/>
              </w:rPr>
            </w:r>
            <w:r w:rsidR="00981159">
              <w:rPr>
                <w:webHidden/>
              </w:rPr>
              <w:fldChar w:fldCharType="separate"/>
            </w:r>
            <w:r w:rsidR="00981159">
              <w:rPr>
                <w:webHidden/>
              </w:rPr>
              <w:t>154</w:t>
            </w:r>
            <w:r w:rsidR="00981159">
              <w:rPr>
                <w:webHidden/>
              </w:rPr>
              <w:fldChar w:fldCharType="end"/>
            </w:r>
          </w:hyperlink>
        </w:p>
        <w:p w14:paraId="5ECC08B8" w14:textId="60A44432" w:rsidR="00981159" w:rsidRDefault="00B22F56">
          <w:pPr>
            <w:pStyle w:val="TM2"/>
            <w:tabs>
              <w:tab w:val="left" w:pos="1050"/>
            </w:tabs>
            <w:rPr>
              <w:rFonts w:asciiTheme="minorHAnsi" w:eastAsiaTheme="minorEastAsia" w:hAnsiTheme="minorHAnsi" w:cstheme="minorBidi"/>
              <w:b w:val="0"/>
              <w:lang w:val="en-US" w:eastAsia="en-US"/>
            </w:rPr>
          </w:pPr>
          <w:hyperlink w:anchor="_Toc90471459" w:history="1">
            <w:r w:rsidR="00981159" w:rsidRPr="0086263B">
              <w:rPr>
                <w:rStyle w:val="Lienhypertexte"/>
                <w:iCs/>
              </w:rPr>
              <w:t>4.3.16.</w:t>
            </w:r>
            <w:r w:rsidR="00981159">
              <w:rPr>
                <w:rFonts w:asciiTheme="minorHAnsi" w:eastAsiaTheme="minorEastAsia" w:hAnsiTheme="minorHAnsi" w:cstheme="minorBidi"/>
                <w:b w:val="0"/>
                <w:lang w:val="en-US" w:eastAsia="en-US"/>
              </w:rPr>
              <w:tab/>
            </w:r>
            <w:r w:rsidR="00981159" w:rsidRPr="0086263B">
              <w:rPr>
                <w:rStyle w:val="Lienhypertexte"/>
                <w:i/>
              </w:rPr>
              <w:t>Acteurs Non Gouvernementaux</w:t>
            </w:r>
            <w:r w:rsidR="00981159">
              <w:rPr>
                <w:webHidden/>
              </w:rPr>
              <w:tab/>
            </w:r>
            <w:r w:rsidR="00981159">
              <w:rPr>
                <w:webHidden/>
              </w:rPr>
              <w:fldChar w:fldCharType="begin"/>
            </w:r>
            <w:r w:rsidR="00981159">
              <w:rPr>
                <w:webHidden/>
              </w:rPr>
              <w:instrText xml:space="preserve"> PAGEREF _Toc90471459 \h </w:instrText>
            </w:r>
            <w:r w:rsidR="00981159">
              <w:rPr>
                <w:webHidden/>
              </w:rPr>
            </w:r>
            <w:r w:rsidR="00981159">
              <w:rPr>
                <w:webHidden/>
              </w:rPr>
              <w:fldChar w:fldCharType="separate"/>
            </w:r>
            <w:r w:rsidR="00981159">
              <w:rPr>
                <w:webHidden/>
              </w:rPr>
              <w:t>154</w:t>
            </w:r>
            <w:r w:rsidR="00981159">
              <w:rPr>
                <w:webHidden/>
              </w:rPr>
              <w:fldChar w:fldCharType="end"/>
            </w:r>
          </w:hyperlink>
        </w:p>
        <w:p w14:paraId="547772F4" w14:textId="5FFEC013" w:rsidR="00981159" w:rsidRDefault="00B22F56">
          <w:pPr>
            <w:pStyle w:val="TM2"/>
            <w:tabs>
              <w:tab w:val="left" w:pos="1050"/>
            </w:tabs>
            <w:rPr>
              <w:rFonts w:asciiTheme="minorHAnsi" w:eastAsiaTheme="minorEastAsia" w:hAnsiTheme="minorHAnsi" w:cstheme="minorBidi"/>
              <w:b w:val="0"/>
              <w:lang w:val="en-US" w:eastAsia="en-US"/>
            </w:rPr>
          </w:pPr>
          <w:hyperlink w:anchor="_Toc90471460" w:history="1">
            <w:r w:rsidR="00981159" w:rsidRPr="0086263B">
              <w:rPr>
                <w:rStyle w:val="Lienhypertexte"/>
                <w:iCs/>
              </w:rPr>
              <w:t>4.3.17.</w:t>
            </w:r>
            <w:r w:rsidR="00981159">
              <w:rPr>
                <w:rFonts w:asciiTheme="minorHAnsi" w:eastAsiaTheme="minorEastAsia" w:hAnsiTheme="minorHAnsi" w:cstheme="minorBidi"/>
                <w:b w:val="0"/>
                <w:lang w:val="en-US" w:eastAsia="en-US"/>
              </w:rPr>
              <w:tab/>
            </w:r>
            <w:r w:rsidR="00981159" w:rsidRPr="0086263B">
              <w:rPr>
                <w:rStyle w:val="Lienhypertexte"/>
                <w:i/>
              </w:rPr>
              <w:t>Quelques institutions intermédiaires financiers (les IF – banques, institutions de micro - finance, coopératives d'épargne et de crédit)</w:t>
            </w:r>
            <w:r w:rsidR="00981159">
              <w:rPr>
                <w:webHidden/>
              </w:rPr>
              <w:tab/>
            </w:r>
            <w:r w:rsidR="00981159">
              <w:rPr>
                <w:webHidden/>
              </w:rPr>
              <w:fldChar w:fldCharType="begin"/>
            </w:r>
            <w:r w:rsidR="00981159">
              <w:rPr>
                <w:webHidden/>
              </w:rPr>
              <w:instrText xml:space="preserve"> PAGEREF _Toc90471460 \h </w:instrText>
            </w:r>
            <w:r w:rsidR="00981159">
              <w:rPr>
                <w:webHidden/>
              </w:rPr>
            </w:r>
            <w:r w:rsidR="00981159">
              <w:rPr>
                <w:webHidden/>
              </w:rPr>
              <w:fldChar w:fldCharType="separate"/>
            </w:r>
            <w:r w:rsidR="00981159">
              <w:rPr>
                <w:webHidden/>
              </w:rPr>
              <w:t>155</w:t>
            </w:r>
            <w:r w:rsidR="00981159">
              <w:rPr>
                <w:webHidden/>
              </w:rPr>
              <w:fldChar w:fldCharType="end"/>
            </w:r>
          </w:hyperlink>
        </w:p>
        <w:p w14:paraId="0581DB01" w14:textId="46F56354" w:rsidR="00981159" w:rsidRDefault="00B22F56">
          <w:pPr>
            <w:pStyle w:val="TM2"/>
            <w:rPr>
              <w:rFonts w:asciiTheme="minorHAnsi" w:eastAsiaTheme="minorEastAsia" w:hAnsiTheme="minorHAnsi" w:cstheme="minorBidi"/>
              <w:b w:val="0"/>
              <w:lang w:val="en-US" w:eastAsia="en-US"/>
            </w:rPr>
          </w:pPr>
          <w:hyperlink w:anchor="_Toc90471461" w:history="1">
            <w:r w:rsidR="00981159" w:rsidRPr="0086263B">
              <w:rPr>
                <w:rStyle w:val="Lienhypertexte"/>
                <w:i/>
              </w:rPr>
              <w:t>Banque Centrale du Congo (BCC)</w:t>
            </w:r>
            <w:r w:rsidR="00981159">
              <w:rPr>
                <w:webHidden/>
              </w:rPr>
              <w:tab/>
            </w:r>
            <w:r w:rsidR="00981159">
              <w:rPr>
                <w:webHidden/>
              </w:rPr>
              <w:fldChar w:fldCharType="begin"/>
            </w:r>
            <w:r w:rsidR="00981159">
              <w:rPr>
                <w:webHidden/>
              </w:rPr>
              <w:instrText xml:space="preserve"> PAGEREF _Toc90471461 \h </w:instrText>
            </w:r>
            <w:r w:rsidR="00981159">
              <w:rPr>
                <w:webHidden/>
              </w:rPr>
            </w:r>
            <w:r w:rsidR="00981159">
              <w:rPr>
                <w:webHidden/>
              </w:rPr>
              <w:fldChar w:fldCharType="separate"/>
            </w:r>
            <w:r w:rsidR="00981159">
              <w:rPr>
                <w:webHidden/>
              </w:rPr>
              <w:t>155</w:t>
            </w:r>
            <w:r w:rsidR="00981159">
              <w:rPr>
                <w:webHidden/>
              </w:rPr>
              <w:fldChar w:fldCharType="end"/>
            </w:r>
          </w:hyperlink>
        </w:p>
        <w:p w14:paraId="61BB591A" w14:textId="5FCF7E1F" w:rsidR="00981159" w:rsidRDefault="00B22F56">
          <w:pPr>
            <w:pStyle w:val="TM2"/>
            <w:rPr>
              <w:rFonts w:asciiTheme="minorHAnsi" w:eastAsiaTheme="minorEastAsia" w:hAnsiTheme="minorHAnsi" w:cstheme="minorBidi"/>
              <w:b w:val="0"/>
              <w:lang w:val="en-US" w:eastAsia="en-US"/>
            </w:rPr>
          </w:pPr>
          <w:hyperlink w:anchor="_Toc90471462" w:history="1">
            <w:r w:rsidR="00981159" w:rsidRPr="0086263B">
              <w:rPr>
                <w:rStyle w:val="Lienhypertexte"/>
                <w:i/>
              </w:rPr>
              <w:t>EQUITY BCDC</w:t>
            </w:r>
            <w:r w:rsidR="00981159">
              <w:rPr>
                <w:webHidden/>
              </w:rPr>
              <w:tab/>
            </w:r>
            <w:r w:rsidR="00981159">
              <w:rPr>
                <w:webHidden/>
              </w:rPr>
              <w:fldChar w:fldCharType="begin"/>
            </w:r>
            <w:r w:rsidR="00981159">
              <w:rPr>
                <w:webHidden/>
              </w:rPr>
              <w:instrText xml:space="preserve"> PAGEREF _Toc90471462 \h </w:instrText>
            </w:r>
            <w:r w:rsidR="00981159">
              <w:rPr>
                <w:webHidden/>
              </w:rPr>
            </w:r>
            <w:r w:rsidR="00981159">
              <w:rPr>
                <w:webHidden/>
              </w:rPr>
              <w:fldChar w:fldCharType="separate"/>
            </w:r>
            <w:r w:rsidR="00981159">
              <w:rPr>
                <w:webHidden/>
              </w:rPr>
              <w:t>156</w:t>
            </w:r>
            <w:r w:rsidR="00981159">
              <w:rPr>
                <w:webHidden/>
              </w:rPr>
              <w:fldChar w:fldCharType="end"/>
            </w:r>
          </w:hyperlink>
        </w:p>
        <w:p w14:paraId="6B562CEF" w14:textId="6267DB2F" w:rsidR="00981159" w:rsidRDefault="00B22F56">
          <w:pPr>
            <w:pStyle w:val="TM2"/>
            <w:rPr>
              <w:rFonts w:asciiTheme="minorHAnsi" w:eastAsiaTheme="minorEastAsia" w:hAnsiTheme="minorHAnsi" w:cstheme="minorBidi"/>
              <w:b w:val="0"/>
              <w:lang w:val="en-US" w:eastAsia="en-US"/>
            </w:rPr>
          </w:pPr>
          <w:hyperlink w:anchor="_Toc90471463" w:history="1">
            <w:r w:rsidR="00981159" w:rsidRPr="0086263B">
              <w:rPr>
                <w:rStyle w:val="Lienhypertexte"/>
                <w:i/>
              </w:rPr>
              <w:t>RAWBANK SARL</w:t>
            </w:r>
            <w:r w:rsidR="00981159">
              <w:rPr>
                <w:webHidden/>
              </w:rPr>
              <w:tab/>
            </w:r>
            <w:r w:rsidR="00981159">
              <w:rPr>
                <w:webHidden/>
              </w:rPr>
              <w:fldChar w:fldCharType="begin"/>
            </w:r>
            <w:r w:rsidR="00981159">
              <w:rPr>
                <w:webHidden/>
              </w:rPr>
              <w:instrText xml:space="preserve"> PAGEREF _Toc90471463 \h </w:instrText>
            </w:r>
            <w:r w:rsidR="00981159">
              <w:rPr>
                <w:webHidden/>
              </w:rPr>
            </w:r>
            <w:r w:rsidR="00981159">
              <w:rPr>
                <w:webHidden/>
              </w:rPr>
              <w:fldChar w:fldCharType="separate"/>
            </w:r>
            <w:r w:rsidR="00981159">
              <w:rPr>
                <w:webHidden/>
              </w:rPr>
              <w:t>157</w:t>
            </w:r>
            <w:r w:rsidR="00981159">
              <w:rPr>
                <w:webHidden/>
              </w:rPr>
              <w:fldChar w:fldCharType="end"/>
            </w:r>
          </w:hyperlink>
        </w:p>
        <w:p w14:paraId="6406BBA4" w14:textId="61F38CA4" w:rsidR="00981159" w:rsidRDefault="00B22F56">
          <w:pPr>
            <w:pStyle w:val="TM2"/>
            <w:rPr>
              <w:rFonts w:asciiTheme="minorHAnsi" w:eastAsiaTheme="minorEastAsia" w:hAnsiTheme="minorHAnsi" w:cstheme="minorBidi"/>
              <w:b w:val="0"/>
              <w:lang w:val="en-US" w:eastAsia="en-US"/>
            </w:rPr>
          </w:pPr>
          <w:hyperlink w:anchor="_Toc90471464" w:history="1">
            <w:r w:rsidR="00981159" w:rsidRPr="0086263B">
              <w:rPr>
                <w:rStyle w:val="Lienhypertexte"/>
              </w:rPr>
              <w:t>4.4.</w:t>
            </w:r>
            <w:r w:rsidR="00981159">
              <w:rPr>
                <w:rFonts w:asciiTheme="minorHAnsi" w:eastAsiaTheme="minorEastAsia" w:hAnsiTheme="minorHAnsi" w:cstheme="minorBidi"/>
                <w:b w:val="0"/>
                <w:lang w:val="en-US" w:eastAsia="en-US"/>
              </w:rPr>
              <w:tab/>
            </w:r>
            <w:r w:rsidR="00981159" w:rsidRPr="0086263B">
              <w:rPr>
                <w:rStyle w:val="Lienhypertexte"/>
              </w:rPr>
              <w:t>Analyse des capacités de gestion environnementale et sociale</w:t>
            </w:r>
            <w:r w:rsidR="00981159">
              <w:rPr>
                <w:webHidden/>
              </w:rPr>
              <w:tab/>
            </w:r>
            <w:r w:rsidR="00981159">
              <w:rPr>
                <w:webHidden/>
              </w:rPr>
              <w:fldChar w:fldCharType="begin"/>
            </w:r>
            <w:r w:rsidR="00981159">
              <w:rPr>
                <w:webHidden/>
              </w:rPr>
              <w:instrText xml:space="preserve"> PAGEREF _Toc90471464 \h </w:instrText>
            </w:r>
            <w:r w:rsidR="00981159">
              <w:rPr>
                <w:webHidden/>
              </w:rPr>
            </w:r>
            <w:r w:rsidR="00981159">
              <w:rPr>
                <w:webHidden/>
              </w:rPr>
              <w:fldChar w:fldCharType="separate"/>
            </w:r>
            <w:r w:rsidR="00981159">
              <w:rPr>
                <w:webHidden/>
              </w:rPr>
              <w:t>158</w:t>
            </w:r>
            <w:r w:rsidR="00981159">
              <w:rPr>
                <w:webHidden/>
              </w:rPr>
              <w:fldChar w:fldCharType="end"/>
            </w:r>
          </w:hyperlink>
        </w:p>
        <w:p w14:paraId="7159754A" w14:textId="0D84A59E" w:rsidR="00981159" w:rsidRDefault="00B22F56">
          <w:pPr>
            <w:pStyle w:val="TM2"/>
            <w:rPr>
              <w:rFonts w:asciiTheme="minorHAnsi" w:eastAsiaTheme="minorEastAsia" w:hAnsiTheme="minorHAnsi" w:cstheme="minorBidi"/>
              <w:b w:val="0"/>
              <w:lang w:val="en-US" w:eastAsia="en-US"/>
            </w:rPr>
          </w:pPr>
          <w:hyperlink w:anchor="_Toc90471465" w:history="1">
            <w:r w:rsidR="00981159" w:rsidRPr="0086263B">
              <w:rPr>
                <w:rStyle w:val="Lienhypertexte"/>
              </w:rPr>
              <w:t>4.5.</w:t>
            </w:r>
            <w:r w:rsidR="00981159">
              <w:rPr>
                <w:rFonts w:asciiTheme="minorHAnsi" w:eastAsiaTheme="minorEastAsia" w:hAnsiTheme="minorHAnsi" w:cstheme="minorBidi"/>
                <w:b w:val="0"/>
                <w:lang w:val="en-US" w:eastAsia="en-US"/>
              </w:rPr>
              <w:tab/>
            </w:r>
            <w:r w:rsidR="00981159" w:rsidRPr="0086263B">
              <w:rPr>
                <w:rStyle w:val="Lienhypertexte"/>
              </w:rPr>
              <w:t>Activités de renforcement des capacités des acteurs responsables de la mise en œuvre du CGES</w:t>
            </w:r>
            <w:r w:rsidR="00981159">
              <w:rPr>
                <w:webHidden/>
              </w:rPr>
              <w:tab/>
            </w:r>
            <w:r w:rsidR="00981159">
              <w:rPr>
                <w:webHidden/>
              </w:rPr>
              <w:fldChar w:fldCharType="begin"/>
            </w:r>
            <w:r w:rsidR="00981159">
              <w:rPr>
                <w:webHidden/>
              </w:rPr>
              <w:instrText xml:space="preserve"> PAGEREF _Toc90471465 \h </w:instrText>
            </w:r>
            <w:r w:rsidR="00981159">
              <w:rPr>
                <w:webHidden/>
              </w:rPr>
            </w:r>
            <w:r w:rsidR="00981159">
              <w:rPr>
                <w:webHidden/>
              </w:rPr>
              <w:fldChar w:fldCharType="separate"/>
            </w:r>
            <w:r w:rsidR="00981159">
              <w:rPr>
                <w:webHidden/>
              </w:rPr>
              <w:t>159</w:t>
            </w:r>
            <w:r w:rsidR="00981159">
              <w:rPr>
                <w:webHidden/>
              </w:rPr>
              <w:fldChar w:fldCharType="end"/>
            </w:r>
          </w:hyperlink>
        </w:p>
        <w:p w14:paraId="0FF59B9C" w14:textId="3B2357D7" w:rsidR="00981159" w:rsidRDefault="00B22F56">
          <w:pPr>
            <w:pStyle w:val="TM2"/>
            <w:rPr>
              <w:rFonts w:asciiTheme="minorHAnsi" w:eastAsiaTheme="minorEastAsia" w:hAnsiTheme="minorHAnsi" w:cstheme="minorBidi"/>
              <w:b w:val="0"/>
              <w:lang w:val="en-US" w:eastAsia="en-US"/>
            </w:rPr>
          </w:pPr>
          <w:hyperlink w:anchor="_Toc90471479" w:history="1">
            <w:r w:rsidR="00981159" w:rsidRPr="0086263B">
              <w:rPr>
                <w:rStyle w:val="Lienhypertexte"/>
                <w:iCs/>
              </w:rPr>
              <w:t>4.5.1.</w:t>
            </w:r>
            <w:r w:rsidR="00981159">
              <w:rPr>
                <w:rFonts w:asciiTheme="minorHAnsi" w:eastAsiaTheme="minorEastAsia" w:hAnsiTheme="minorHAnsi" w:cstheme="minorBidi"/>
                <w:b w:val="0"/>
                <w:lang w:val="en-US" w:eastAsia="en-US"/>
              </w:rPr>
              <w:tab/>
            </w:r>
            <w:r w:rsidR="00981159" w:rsidRPr="0086263B">
              <w:rPr>
                <w:rStyle w:val="Lienhypertexte"/>
                <w:i/>
              </w:rPr>
              <w:t>Mesures de renforcement institutionnel</w:t>
            </w:r>
            <w:r w:rsidR="00981159">
              <w:rPr>
                <w:webHidden/>
              </w:rPr>
              <w:tab/>
            </w:r>
            <w:r w:rsidR="00981159">
              <w:rPr>
                <w:webHidden/>
              </w:rPr>
              <w:fldChar w:fldCharType="begin"/>
            </w:r>
            <w:r w:rsidR="00981159">
              <w:rPr>
                <w:webHidden/>
              </w:rPr>
              <w:instrText xml:space="preserve"> PAGEREF _Toc90471479 \h </w:instrText>
            </w:r>
            <w:r w:rsidR="00981159">
              <w:rPr>
                <w:webHidden/>
              </w:rPr>
            </w:r>
            <w:r w:rsidR="00981159">
              <w:rPr>
                <w:webHidden/>
              </w:rPr>
              <w:fldChar w:fldCharType="separate"/>
            </w:r>
            <w:r w:rsidR="00981159">
              <w:rPr>
                <w:webHidden/>
              </w:rPr>
              <w:t>159</w:t>
            </w:r>
            <w:r w:rsidR="00981159">
              <w:rPr>
                <w:webHidden/>
              </w:rPr>
              <w:fldChar w:fldCharType="end"/>
            </w:r>
          </w:hyperlink>
        </w:p>
        <w:p w14:paraId="5C5F6FBC" w14:textId="68A777A7" w:rsidR="00981159" w:rsidRDefault="00B22F56">
          <w:pPr>
            <w:pStyle w:val="TM2"/>
            <w:rPr>
              <w:rFonts w:asciiTheme="minorHAnsi" w:eastAsiaTheme="minorEastAsia" w:hAnsiTheme="minorHAnsi" w:cstheme="minorBidi"/>
              <w:b w:val="0"/>
              <w:lang w:val="en-US" w:eastAsia="en-US"/>
            </w:rPr>
          </w:pPr>
          <w:hyperlink w:anchor="_Toc90471480" w:history="1">
            <w:r w:rsidR="00981159" w:rsidRPr="0086263B">
              <w:rPr>
                <w:rStyle w:val="Lienhypertexte"/>
                <w:iCs/>
              </w:rPr>
              <w:t>4.5.2.</w:t>
            </w:r>
            <w:r w:rsidR="00981159">
              <w:rPr>
                <w:rFonts w:asciiTheme="minorHAnsi" w:eastAsiaTheme="minorEastAsia" w:hAnsiTheme="minorHAnsi" w:cstheme="minorBidi"/>
                <w:b w:val="0"/>
                <w:lang w:val="en-US" w:eastAsia="en-US"/>
              </w:rPr>
              <w:tab/>
            </w:r>
            <w:r w:rsidR="00981159" w:rsidRPr="0086263B">
              <w:rPr>
                <w:rStyle w:val="Lienhypertexte"/>
                <w:i/>
              </w:rPr>
              <w:t>Formation des acteurs impliqués dans la mise en œuvre du PNDA</w:t>
            </w:r>
            <w:r w:rsidR="00981159">
              <w:rPr>
                <w:webHidden/>
              </w:rPr>
              <w:tab/>
            </w:r>
            <w:r w:rsidR="00981159">
              <w:rPr>
                <w:webHidden/>
              </w:rPr>
              <w:fldChar w:fldCharType="begin"/>
            </w:r>
            <w:r w:rsidR="00981159">
              <w:rPr>
                <w:webHidden/>
              </w:rPr>
              <w:instrText xml:space="preserve"> PAGEREF _Toc90471480 \h </w:instrText>
            </w:r>
            <w:r w:rsidR="00981159">
              <w:rPr>
                <w:webHidden/>
              </w:rPr>
            </w:r>
            <w:r w:rsidR="00981159">
              <w:rPr>
                <w:webHidden/>
              </w:rPr>
              <w:fldChar w:fldCharType="separate"/>
            </w:r>
            <w:r w:rsidR="00981159">
              <w:rPr>
                <w:webHidden/>
              </w:rPr>
              <w:t>160</w:t>
            </w:r>
            <w:r w:rsidR="00981159">
              <w:rPr>
                <w:webHidden/>
              </w:rPr>
              <w:fldChar w:fldCharType="end"/>
            </w:r>
          </w:hyperlink>
        </w:p>
        <w:p w14:paraId="544E64C0" w14:textId="1711F34F" w:rsidR="00981159" w:rsidRDefault="00B22F56">
          <w:pPr>
            <w:pStyle w:val="TM2"/>
            <w:tabs>
              <w:tab w:val="left" w:pos="1974"/>
            </w:tabs>
            <w:rPr>
              <w:rFonts w:asciiTheme="minorHAnsi" w:eastAsiaTheme="minorEastAsia" w:hAnsiTheme="minorHAnsi" w:cstheme="minorBidi"/>
              <w:b w:val="0"/>
              <w:lang w:val="en-US" w:eastAsia="en-US"/>
            </w:rPr>
          </w:pPr>
          <w:hyperlink w:anchor="_Toc90471481" w:history="1">
            <w:r w:rsidR="00981159" w:rsidRPr="0086263B">
              <w:rPr>
                <w:rStyle w:val="Lienhypertexte"/>
                <w:iCs/>
              </w:rPr>
              <w:t>4.5.3.</w:t>
            </w:r>
            <w:r w:rsidR="00981159">
              <w:rPr>
                <w:rFonts w:asciiTheme="minorHAnsi" w:eastAsiaTheme="minorEastAsia" w:hAnsiTheme="minorHAnsi" w:cstheme="minorBidi"/>
                <w:b w:val="0"/>
                <w:lang w:val="en-US" w:eastAsia="en-US"/>
              </w:rPr>
              <w:tab/>
            </w:r>
            <w:r w:rsidR="00981159" w:rsidRPr="0086263B">
              <w:rPr>
                <w:rStyle w:val="Lienhypertexte"/>
                <w:i/>
              </w:rPr>
              <w:t>Programmes de sensibilisation et de mobilisation au niveau provincial/communal/territorial</w:t>
            </w:r>
            <w:r w:rsidR="00981159">
              <w:rPr>
                <w:webHidden/>
              </w:rPr>
              <w:tab/>
            </w:r>
            <w:r w:rsidR="00981159">
              <w:rPr>
                <w:webHidden/>
              </w:rPr>
              <w:fldChar w:fldCharType="begin"/>
            </w:r>
            <w:r w:rsidR="00981159">
              <w:rPr>
                <w:webHidden/>
              </w:rPr>
              <w:instrText xml:space="preserve"> PAGEREF _Toc90471481 \h </w:instrText>
            </w:r>
            <w:r w:rsidR="00981159">
              <w:rPr>
                <w:webHidden/>
              </w:rPr>
            </w:r>
            <w:r w:rsidR="00981159">
              <w:rPr>
                <w:webHidden/>
              </w:rPr>
              <w:fldChar w:fldCharType="separate"/>
            </w:r>
            <w:r w:rsidR="00981159">
              <w:rPr>
                <w:webHidden/>
              </w:rPr>
              <w:t>162</w:t>
            </w:r>
            <w:r w:rsidR="00981159">
              <w:rPr>
                <w:webHidden/>
              </w:rPr>
              <w:fldChar w:fldCharType="end"/>
            </w:r>
          </w:hyperlink>
        </w:p>
        <w:p w14:paraId="5E7BF157" w14:textId="507703A1" w:rsidR="00981159" w:rsidRDefault="00B22F56">
          <w:pPr>
            <w:pStyle w:val="TM2"/>
            <w:rPr>
              <w:rFonts w:asciiTheme="minorHAnsi" w:eastAsiaTheme="minorEastAsia" w:hAnsiTheme="minorHAnsi" w:cstheme="minorBidi"/>
              <w:b w:val="0"/>
              <w:lang w:val="en-US" w:eastAsia="en-US"/>
            </w:rPr>
          </w:pPr>
          <w:hyperlink w:anchor="_Toc90471489" w:history="1">
            <w:r w:rsidR="00981159" w:rsidRPr="0086263B">
              <w:rPr>
                <w:rStyle w:val="Lienhypertexte"/>
                <w:i/>
              </w:rPr>
              <w:t>Surveillance environnementale et sociale</w:t>
            </w:r>
            <w:r w:rsidR="00981159">
              <w:rPr>
                <w:webHidden/>
              </w:rPr>
              <w:tab/>
            </w:r>
            <w:r w:rsidR="00981159">
              <w:rPr>
                <w:webHidden/>
              </w:rPr>
              <w:fldChar w:fldCharType="begin"/>
            </w:r>
            <w:r w:rsidR="00981159">
              <w:rPr>
                <w:webHidden/>
              </w:rPr>
              <w:instrText xml:space="preserve"> PAGEREF _Toc90471489 \h </w:instrText>
            </w:r>
            <w:r w:rsidR="00981159">
              <w:rPr>
                <w:webHidden/>
              </w:rPr>
            </w:r>
            <w:r w:rsidR="00981159">
              <w:rPr>
                <w:webHidden/>
              </w:rPr>
              <w:fldChar w:fldCharType="separate"/>
            </w:r>
            <w:r w:rsidR="00981159">
              <w:rPr>
                <w:webHidden/>
              </w:rPr>
              <w:t>162</w:t>
            </w:r>
            <w:r w:rsidR="00981159">
              <w:rPr>
                <w:webHidden/>
              </w:rPr>
              <w:fldChar w:fldCharType="end"/>
            </w:r>
          </w:hyperlink>
        </w:p>
        <w:p w14:paraId="53E67D68" w14:textId="6A692E20" w:rsidR="00981159" w:rsidRDefault="00B22F56">
          <w:pPr>
            <w:pStyle w:val="TM2"/>
            <w:rPr>
              <w:rFonts w:asciiTheme="minorHAnsi" w:eastAsiaTheme="minorEastAsia" w:hAnsiTheme="minorHAnsi" w:cstheme="minorBidi"/>
              <w:b w:val="0"/>
              <w:lang w:val="en-US" w:eastAsia="en-US"/>
            </w:rPr>
          </w:pPr>
          <w:hyperlink w:anchor="_Toc90471490" w:history="1">
            <w:r w:rsidR="00981159" w:rsidRPr="0086263B">
              <w:rPr>
                <w:rStyle w:val="Lienhypertexte"/>
              </w:rPr>
              <w:t>4.6.</w:t>
            </w:r>
            <w:r w:rsidR="00981159">
              <w:rPr>
                <w:rFonts w:asciiTheme="minorHAnsi" w:eastAsiaTheme="minorEastAsia" w:hAnsiTheme="minorHAnsi" w:cstheme="minorBidi"/>
                <w:b w:val="0"/>
                <w:lang w:val="en-US" w:eastAsia="en-US"/>
              </w:rPr>
              <w:tab/>
            </w:r>
            <w:r w:rsidR="00981159" w:rsidRPr="0086263B">
              <w:rPr>
                <w:rStyle w:val="Lienhypertexte"/>
              </w:rPr>
              <w:t>Procédure de gestion environnementale et sociale en cas de situation d’urgence</w:t>
            </w:r>
            <w:r w:rsidR="00981159">
              <w:rPr>
                <w:webHidden/>
              </w:rPr>
              <w:tab/>
            </w:r>
            <w:r w:rsidR="00981159">
              <w:rPr>
                <w:webHidden/>
              </w:rPr>
              <w:fldChar w:fldCharType="begin"/>
            </w:r>
            <w:r w:rsidR="00981159">
              <w:rPr>
                <w:webHidden/>
              </w:rPr>
              <w:instrText xml:space="preserve"> PAGEREF _Toc90471490 \h </w:instrText>
            </w:r>
            <w:r w:rsidR="00981159">
              <w:rPr>
                <w:webHidden/>
              </w:rPr>
            </w:r>
            <w:r w:rsidR="00981159">
              <w:rPr>
                <w:webHidden/>
              </w:rPr>
              <w:fldChar w:fldCharType="separate"/>
            </w:r>
            <w:r w:rsidR="00981159">
              <w:rPr>
                <w:webHidden/>
              </w:rPr>
              <w:t>164</w:t>
            </w:r>
            <w:r w:rsidR="00981159">
              <w:rPr>
                <w:webHidden/>
              </w:rPr>
              <w:fldChar w:fldCharType="end"/>
            </w:r>
          </w:hyperlink>
        </w:p>
        <w:p w14:paraId="4C65E0B6" w14:textId="639C57B7" w:rsidR="00981159" w:rsidRDefault="00B22F56">
          <w:pPr>
            <w:pStyle w:val="TM2"/>
            <w:rPr>
              <w:rFonts w:asciiTheme="minorHAnsi" w:eastAsiaTheme="minorEastAsia" w:hAnsiTheme="minorHAnsi" w:cstheme="minorBidi"/>
              <w:b w:val="0"/>
              <w:lang w:val="en-US" w:eastAsia="en-US"/>
            </w:rPr>
          </w:pPr>
          <w:hyperlink w:anchor="_Toc90471491" w:history="1">
            <w:r w:rsidR="00981159" w:rsidRPr="0086263B">
              <w:rPr>
                <w:rStyle w:val="Lienhypertexte"/>
                <w:iCs/>
              </w:rPr>
              <w:t>4.6.1.</w:t>
            </w:r>
            <w:r w:rsidR="00981159">
              <w:rPr>
                <w:rFonts w:asciiTheme="minorHAnsi" w:eastAsiaTheme="minorEastAsia" w:hAnsiTheme="minorHAnsi" w:cstheme="minorBidi"/>
                <w:b w:val="0"/>
                <w:lang w:val="en-US" w:eastAsia="en-US"/>
              </w:rPr>
              <w:tab/>
            </w:r>
            <w:r w:rsidR="00981159" w:rsidRPr="0086263B">
              <w:rPr>
                <w:rStyle w:val="Lienhypertexte"/>
                <w:iCs/>
              </w:rPr>
              <w:t>Arrangement institutionnel pour la mise en œuvre de la CERC</w:t>
            </w:r>
            <w:r w:rsidR="00981159">
              <w:rPr>
                <w:webHidden/>
              </w:rPr>
              <w:tab/>
            </w:r>
            <w:r w:rsidR="00981159">
              <w:rPr>
                <w:webHidden/>
              </w:rPr>
              <w:fldChar w:fldCharType="begin"/>
            </w:r>
            <w:r w:rsidR="00981159">
              <w:rPr>
                <w:webHidden/>
              </w:rPr>
              <w:instrText xml:space="preserve"> PAGEREF _Toc90471491 \h </w:instrText>
            </w:r>
            <w:r w:rsidR="00981159">
              <w:rPr>
                <w:webHidden/>
              </w:rPr>
            </w:r>
            <w:r w:rsidR="00981159">
              <w:rPr>
                <w:webHidden/>
              </w:rPr>
              <w:fldChar w:fldCharType="separate"/>
            </w:r>
            <w:r w:rsidR="00981159">
              <w:rPr>
                <w:webHidden/>
              </w:rPr>
              <w:t>164</w:t>
            </w:r>
            <w:r w:rsidR="00981159">
              <w:rPr>
                <w:webHidden/>
              </w:rPr>
              <w:fldChar w:fldCharType="end"/>
            </w:r>
          </w:hyperlink>
        </w:p>
        <w:p w14:paraId="7B6A8F77" w14:textId="742F3456" w:rsidR="00981159" w:rsidRDefault="00B22F56">
          <w:pPr>
            <w:pStyle w:val="TM1"/>
            <w:rPr>
              <w:rFonts w:asciiTheme="minorHAnsi" w:eastAsiaTheme="minorEastAsia" w:hAnsiTheme="minorHAnsi" w:cstheme="minorBidi"/>
              <w:b w:val="0"/>
              <w:bCs w:val="0"/>
              <w:caps w:val="0"/>
              <w:color w:val="auto"/>
              <w:lang w:val="en-US" w:eastAsia="en-US"/>
            </w:rPr>
          </w:pPr>
          <w:hyperlink w:anchor="_Toc90471492" w:history="1">
            <w:r w:rsidR="00981159" w:rsidRPr="0086263B">
              <w:rPr>
                <w:rStyle w:val="Lienhypertexte"/>
              </w:rPr>
              <w:t>5.</w:t>
            </w:r>
            <w:r w:rsidR="00981159">
              <w:rPr>
                <w:rFonts w:asciiTheme="minorHAnsi" w:eastAsiaTheme="minorEastAsia" w:hAnsiTheme="minorHAnsi" w:cstheme="minorBidi"/>
                <w:b w:val="0"/>
                <w:bCs w:val="0"/>
                <w:caps w:val="0"/>
                <w:color w:val="auto"/>
                <w:lang w:val="en-US" w:eastAsia="en-US"/>
              </w:rPr>
              <w:tab/>
            </w:r>
            <w:r w:rsidR="00981159" w:rsidRPr="0086263B">
              <w:rPr>
                <w:rStyle w:val="Lienhypertexte"/>
              </w:rPr>
              <w:t>RISQUES ET IMPACTS ENVIRONNEMENTAUX ET SOCIAUX POTENTIELS DU PROGRAMME</w:t>
            </w:r>
            <w:r w:rsidR="00981159">
              <w:rPr>
                <w:webHidden/>
              </w:rPr>
              <w:tab/>
            </w:r>
            <w:r w:rsidR="00981159">
              <w:rPr>
                <w:webHidden/>
              </w:rPr>
              <w:fldChar w:fldCharType="begin"/>
            </w:r>
            <w:r w:rsidR="00981159">
              <w:rPr>
                <w:webHidden/>
              </w:rPr>
              <w:instrText xml:space="preserve"> PAGEREF _Toc90471492 \h </w:instrText>
            </w:r>
            <w:r w:rsidR="00981159">
              <w:rPr>
                <w:webHidden/>
              </w:rPr>
            </w:r>
            <w:r w:rsidR="00981159">
              <w:rPr>
                <w:webHidden/>
              </w:rPr>
              <w:fldChar w:fldCharType="separate"/>
            </w:r>
            <w:r w:rsidR="00981159">
              <w:rPr>
                <w:webHidden/>
              </w:rPr>
              <w:t>166</w:t>
            </w:r>
            <w:r w:rsidR="00981159">
              <w:rPr>
                <w:webHidden/>
              </w:rPr>
              <w:fldChar w:fldCharType="end"/>
            </w:r>
          </w:hyperlink>
        </w:p>
        <w:p w14:paraId="420EB0E8" w14:textId="24AAFFB6" w:rsidR="00981159" w:rsidRDefault="00B22F56">
          <w:pPr>
            <w:pStyle w:val="TM2"/>
            <w:rPr>
              <w:rFonts w:asciiTheme="minorHAnsi" w:eastAsiaTheme="minorEastAsia" w:hAnsiTheme="minorHAnsi" w:cstheme="minorBidi"/>
              <w:b w:val="0"/>
              <w:lang w:val="en-US" w:eastAsia="en-US"/>
            </w:rPr>
          </w:pPr>
          <w:hyperlink w:anchor="_Toc90471493" w:history="1">
            <w:r w:rsidR="00981159" w:rsidRPr="0086263B">
              <w:rPr>
                <w:rStyle w:val="Lienhypertexte"/>
              </w:rPr>
              <w:t>5.1.</w:t>
            </w:r>
            <w:r w:rsidR="00981159">
              <w:rPr>
                <w:rFonts w:asciiTheme="minorHAnsi" w:eastAsiaTheme="minorEastAsia" w:hAnsiTheme="minorHAnsi" w:cstheme="minorBidi"/>
                <w:b w:val="0"/>
                <w:lang w:val="en-US" w:eastAsia="en-US"/>
              </w:rPr>
              <w:tab/>
            </w:r>
            <w:r w:rsidR="00981159" w:rsidRPr="0086263B">
              <w:rPr>
                <w:rStyle w:val="Lienhypertexte"/>
              </w:rPr>
              <w:t>Impacts environnementaux et sociaux positifs potentiels</w:t>
            </w:r>
            <w:r w:rsidR="00981159">
              <w:rPr>
                <w:webHidden/>
              </w:rPr>
              <w:tab/>
            </w:r>
            <w:r w:rsidR="00981159">
              <w:rPr>
                <w:webHidden/>
              </w:rPr>
              <w:fldChar w:fldCharType="begin"/>
            </w:r>
            <w:r w:rsidR="00981159">
              <w:rPr>
                <w:webHidden/>
              </w:rPr>
              <w:instrText xml:space="preserve"> PAGEREF _Toc90471493 \h </w:instrText>
            </w:r>
            <w:r w:rsidR="00981159">
              <w:rPr>
                <w:webHidden/>
              </w:rPr>
            </w:r>
            <w:r w:rsidR="00981159">
              <w:rPr>
                <w:webHidden/>
              </w:rPr>
              <w:fldChar w:fldCharType="separate"/>
            </w:r>
            <w:r w:rsidR="00981159">
              <w:rPr>
                <w:webHidden/>
              </w:rPr>
              <w:t>166</w:t>
            </w:r>
            <w:r w:rsidR="00981159">
              <w:rPr>
                <w:webHidden/>
              </w:rPr>
              <w:fldChar w:fldCharType="end"/>
            </w:r>
          </w:hyperlink>
        </w:p>
        <w:p w14:paraId="48A584AE" w14:textId="3C00E617" w:rsidR="00981159" w:rsidRDefault="00B22F56">
          <w:pPr>
            <w:pStyle w:val="TM2"/>
            <w:rPr>
              <w:rFonts w:asciiTheme="minorHAnsi" w:eastAsiaTheme="minorEastAsia" w:hAnsiTheme="minorHAnsi" w:cstheme="minorBidi"/>
              <w:b w:val="0"/>
              <w:lang w:val="en-US" w:eastAsia="en-US"/>
            </w:rPr>
          </w:pPr>
          <w:hyperlink w:anchor="_Toc90471494" w:history="1">
            <w:r w:rsidR="00981159" w:rsidRPr="0086263B">
              <w:rPr>
                <w:rStyle w:val="Lienhypertexte"/>
                <w:iCs/>
              </w:rPr>
              <w:t>5.1.1.</w:t>
            </w:r>
            <w:r w:rsidR="00981159">
              <w:rPr>
                <w:rFonts w:asciiTheme="minorHAnsi" w:eastAsiaTheme="minorEastAsia" w:hAnsiTheme="minorHAnsi" w:cstheme="minorBidi"/>
                <w:b w:val="0"/>
                <w:lang w:val="en-US" w:eastAsia="en-US"/>
              </w:rPr>
              <w:tab/>
            </w:r>
            <w:r w:rsidR="00981159" w:rsidRPr="0086263B">
              <w:rPr>
                <w:rStyle w:val="Lienhypertexte"/>
                <w:i/>
              </w:rPr>
              <w:t>Impacts positifs potentiels globaux communs à toutes les composantes</w:t>
            </w:r>
            <w:r w:rsidR="00981159">
              <w:rPr>
                <w:webHidden/>
              </w:rPr>
              <w:tab/>
            </w:r>
            <w:r w:rsidR="00981159">
              <w:rPr>
                <w:webHidden/>
              </w:rPr>
              <w:fldChar w:fldCharType="begin"/>
            </w:r>
            <w:r w:rsidR="00981159">
              <w:rPr>
                <w:webHidden/>
              </w:rPr>
              <w:instrText xml:space="preserve"> PAGEREF _Toc90471494 \h </w:instrText>
            </w:r>
            <w:r w:rsidR="00981159">
              <w:rPr>
                <w:webHidden/>
              </w:rPr>
            </w:r>
            <w:r w:rsidR="00981159">
              <w:rPr>
                <w:webHidden/>
              </w:rPr>
              <w:fldChar w:fldCharType="separate"/>
            </w:r>
            <w:r w:rsidR="00981159">
              <w:rPr>
                <w:webHidden/>
              </w:rPr>
              <w:t>166</w:t>
            </w:r>
            <w:r w:rsidR="00981159">
              <w:rPr>
                <w:webHidden/>
              </w:rPr>
              <w:fldChar w:fldCharType="end"/>
            </w:r>
          </w:hyperlink>
        </w:p>
        <w:p w14:paraId="10DFDD3B" w14:textId="185455F3" w:rsidR="00981159" w:rsidRDefault="00B22F56">
          <w:pPr>
            <w:pStyle w:val="TM2"/>
            <w:rPr>
              <w:rFonts w:asciiTheme="minorHAnsi" w:eastAsiaTheme="minorEastAsia" w:hAnsiTheme="minorHAnsi" w:cstheme="minorBidi"/>
              <w:b w:val="0"/>
              <w:lang w:val="en-US" w:eastAsia="en-US"/>
            </w:rPr>
          </w:pPr>
          <w:hyperlink w:anchor="_Toc90471495" w:history="1">
            <w:r w:rsidR="00981159" w:rsidRPr="0086263B">
              <w:rPr>
                <w:rStyle w:val="Lienhypertexte"/>
                <w:iCs/>
              </w:rPr>
              <w:t>5.1.2.</w:t>
            </w:r>
            <w:r w:rsidR="00981159">
              <w:rPr>
                <w:rFonts w:asciiTheme="minorHAnsi" w:eastAsiaTheme="minorEastAsia" w:hAnsiTheme="minorHAnsi" w:cstheme="minorBidi"/>
                <w:b w:val="0"/>
                <w:lang w:val="en-US" w:eastAsia="en-US"/>
              </w:rPr>
              <w:tab/>
            </w:r>
            <w:r w:rsidR="00981159" w:rsidRPr="0086263B">
              <w:rPr>
                <w:rStyle w:val="Lienhypertexte"/>
                <w:i/>
              </w:rPr>
              <w:t>Impacts positifs des catégories des sous-projets</w:t>
            </w:r>
            <w:r w:rsidR="00981159">
              <w:rPr>
                <w:webHidden/>
              </w:rPr>
              <w:tab/>
            </w:r>
            <w:r w:rsidR="00981159">
              <w:rPr>
                <w:webHidden/>
              </w:rPr>
              <w:fldChar w:fldCharType="begin"/>
            </w:r>
            <w:r w:rsidR="00981159">
              <w:rPr>
                <w:webHidden/>
              </w:rPr>
              <w:instrText xml:space="preserve"> PAGEREF _Toc90471495 \h </w:instrText>
            </w:r>
            <w:r w:rsidR="00981159">
              <w:rPr>
                <w:webHidden/>
              </w:rPr>
            </w:r>
            <w:r w:rsidR="00981159">
              <w:rPr>
                <w:webHidden/>
              </w:rPr>
              <w:fldChar w:fldCharType="separate"/>
            </w:r>
            <w:r w:rsidR="00981159">
              <w:rPr>
                <w:webHidden/>
              </w:rPr>
              <w:t>168</w:t>
            </w:r>
            <w:r w:rsidR="00981159">
              <w:rPr>
                <w:webHidden/>
              </w:rPr>
              <w:fldChar w:fldCharType="end"/>
            </w:r>
          </w:hyperlink>
        </w:p>
        <w:p w14:paraId="7736E7FD" w14:textId="53FB2021" w:rsidR="00981159" w:rsidRDefault="00B22F56">
          <w:pPr>
            <w:pStyle w:val="TM2"/>
            <w:rPr>
              <w:rFonts w:asciiTheme="minorHAnsi" w:eastAsiaTheme="minorEastAsia" w:hAnsiTheme="minorHAnsi" w:cstheme="minorBidi"/>
              <w:b w:val="0"/>
              <w:lang w:val="en-US" w:eastAsia="en-US"/>
            </w:rPr>
          </w:pPr>
          <w:hyperlink w:anchor="_Toc90471496" w:history="1">
            <w:r w:rsidR="00981159" w:rsidRPr="0086263B">
              <w:rPr>
                <w:rStyle w:val="Lienhypertexte"/>
              </w:rPr>
              <w:t>5.2.</w:t>
            </w:r>
            <w:r w:rsidR="00981159">
              <w:rPr>
                <w:rFonts w:asciiTheme="minorHAnsi" w:eastAsiaTheme="minorEastAsia" w:hAnsiTheme="minorHAnsi" w:cstheme="minorBidi"/>
                <w:b w:val="0"/>
                <w:lang w:val="en-US" w:eastAsia="en-US"/>
              </w:rPr>
              <w:tab/>
            </w:r>
            <w:r w:rsidR="00981159" w:rsidRPr="0086263B">
              <w:rPr>
                <w:rStyle w:val="Lienhypertexte"/>
              </w:rPr>
              <w:t>Risques et impacts environnementaux et sociaux négatifs potentiels</w:t>
            </w:r>
            <w:r w:rsidR="00981159">
              <w:rPr>
                <w:webHidden/>
              </w:rPr>
              <w:tab/>
            </w:r>
            <w:r w:rsidR="00981159">
              <w:rPr>
                <w:webHidden/>
              </w:rPr>
              <w:fldChar w:fldCharType="begin"/>
            </w:r>
            <w:r w:rsidR="00981159">
              <w:rPr>
                <w:webHidden/>
              </w:rPr>
              <w:instrText xml:space="preserve"> PAGEREF _Toc90471496 \h </w:instrText>
            </w:r>
            <w:r w:rsidR="00981159">
              <w:rPr>
                <w:webHidden/>
              </w:rPr>
            </w:r>
            <w:r w:rsidR="00981159">
              <w:rPr>
                <w:webHidden/>
              </w:rPr>
              <w:fldChar w:fldCharType="separate"/>
            </w:r>
            <w:r w:rsidR="00981159">
              <w:rPr>
                <w:webHidden/>
              </w:rPr>
              <w:t>171</w:t>
            </w:r>
            <w:r w:rsidR="00981159">
              <w:rPr>
                <w:webHidden/>
              </w:rPr>
              <w:fldChar w:fldCharType="end"/>
            </w:r>
          </w:hyperlink>
        </w:p>
        <w:p w14:paraId="106EC0A9" w14:textId="104A9ECA" w:rsidR="00981159" w:rsidRDefault="00B22F56">
          <w:pPr>
            <w:pStyle w:val="TM2"/>
            <w:rPr>
              <w:rFonts w:asciiTheme="minorHAnsi" w:eastAsiaTheme="minorEastAsia" w:hAnsiTheme="minorHAnsi" w:cstheme="minorBidi"/>
              <w:b w:val="0"/>
              <w:lang w:val="en-US" w:eastAsia="en-US"/>
            </w:rPr>
          </w:pPr>
          <w:hyperlink w:anchor="_Toc90471497" w:history="1">
            <w:r w:rsidR="00981159" w:rsidRPr="0086263B">
              <w:rPr>
                <w:rStyle w:val="Lienhypertexte"/>
                <w:iCs/>
              </w:rPr>
              <w:t>5.2.1.</w:t>
            </w:r>
            <w:r w:rsidR="00981159">
              <w:rPr>
                <w:rFonts w:asciiTheme="minorHAnsi" w:eastAsiaTheme="minorEastAsia" w:hAnsiTheme="minorHAnsi" w:cstheme="minorBidi"/>
                <w:b w:val="0"/>
                <w:lang w:val="en-US" w:eastAsia="en-US"/>
              </w:rPr>
              <w:tab/>
            </w:r>
            <w:r w:rsidR="00981159" w:rsidRPr="0086263B">
              <w:rPr>
                <w:rStyle w:val="Lienhypertexte"/>
                <w:i/>
              </w:rPr>
              <w:t>Impacts négatifs globaux communs à tous les sous-projets en phase de travaux</w:t>
            </w:r>
            <w:r w:rsidR="00981159">
              <w:rPr>
                <w:webHidden/>
              </w:rPr>
              <w:tab/>
            </w:r>
            <w:r w:rsidR="00981159">
              <w:rPr>
                <w:webHidden/>
              </w:rPr>
              <w:fldChar w:fldCharType="begin"/>
            </w:r>
            <w:r w:rsidR="00981159">
              <w:rPr>
                <w:webHidden/>
              </w:rPr>
              <w:instrText xml:space="preserve"> PAGEREF _Toc90471497 \h </w:instrText>
            </w:r>
            <w:r w:rsidR="00981159">
              <w:rPr>
                <w:webHidden/>
              </w:rPr>
            </w:r>
            <w:r w:rsidR="00981159">
              <w:rPr>
                <w:webHidden/>
              </w:rPr>
              <w:fldChar w:fldCharType="separate"/>
            </w:r>
            <w:r w:rsidR="00981159">
              <w:rPr>
                <w:webHidden/>
              </w:rPr>
              <w:t>171</w:t>
            </w:r>
            <w:r w:rsidR="00981159">
              <w:rPr>
                <w:webHidden/>
              </w:rPr>
              <w:fldChar w:fldCharType="end"/>
            </w:r>
          </w:hyperlink>
        </w:p>
        <w:p w14:paraId="03E1CEAB" w14:textId="46A10839" w:rsidR="00981159" w:rsidRDefault="00B22F56">
          <w:pPr>
            <w:pStyle w:val="TM2"/>
            <w:rPr>
              <w:rFonts w:asciiTheme="minorHAnsi" w:eastAsiaTheme="minorEastAsia" w:hAnsiTheme="minorHAnsi" w:cstheme="minorBidi"/>
              <w:b w:val="0"/>
              <w:lang w:val="en-US" w:eastAsia="en-US"/>
            </w:rPr>
          </w:pPr>
          <w:hyperlink w:anchor="_Toc90471498" w:history="1">
            <w:r w:rsidR="00981159" w:rsidRPr="0086263B">
              <w:rPr>
                <w:rStyle w:val="Lienhypertexte"/>
                <w:i/>
              </w:rPr>
              <w:t>Impacts négatifs de distribution des semences ou aides directes aux petits exploitants agricoles</w:t>
            </w:r>
            <w:r w:rsidR="00981159">
              <w:rPr>
                <w:webHidden/>
              </w:rPr>
              <w:tab/>
            </w:r>
            <w:r w:rsidR="00981159">
              <w:rPr>
                <w:webHidden/>
              </w:rPr>
              <w:fldChar w:fldCharType="begin"/>
            </w:r>
            <w:r w:rsidR="00981159">
              <w:rPr>
                <w:webHidden/>
              </w:rPr>
              <w:instrText xml:space="preserve"> PAGEREF _Toc90471498 \h </w:instrText>
            </w:r>
            <w:r w:rsidR="00981159">
              <w:rPr>
                <w:webHidden/>
              </w:rPr>
            </w:r>
            <w:r w:rsidR="00981159">
              <w:rPr>
                <w:webHidden/>
              </w:rPr>
              <w:fldChar w:fldCharType="separate"/>
            </w:r>
            <w:r w:rsidR="00981159">
              <w:rPr>
                <w:webHidden/>
              </w:rPr>
              <w:t>172</w:t>
            </w:r>
            <w:r w:rsidR="00981159">
              <w:rPr>
                <w:webHidden/>
              </w:rPr>
              <w:fldChar w:fldCharType="end"/>
            </w:r>
          </w:hyperlink>
        </w:p>
        <w:p w14:paraId="08C21D3D" w14:textId="33865762" w:rsidR="00981159" w:rsidRDefault="00B22F56">
          <w:pPr>
            <w:pStyle w:val="TM2"/>
            <w:rPr>
              <w:rFonts w:asciiTheme="minorHAnsi" w:eastAsiaTheme="minorEastAsia" w:hAnsiTheme="minorHAnsi" w:cstheme="minorBidi"/>
              <w:b w:val="0"/>
              <w:lang w:val="en-US" w:eastAsia="en-US"/>
            </w:rPr>
          </w:pPr>
          <w:hyperlink w:anchor="_Toc90471499" w:history="1">
            <w:r w:rsidR="00981159" w:rsidRPr="0086263B">
              <w:rPr>
                <w:rStyle w:val="Lienhypertexte"/>
                <w:i/>
              </w:rPr>
              <w:t>Impacts négatifs de travaux de la production agricole (activités culturales)</w:t>
            </w:r>
            <w:r w:rsidR="00981159">
              <w:rPr>
                <w:webHidden/>
              </w:rPr>
              <w:tab/>
            </w:r>
            <w:r w:rsidR="00981159">
              <w:rPr>
                <w:webHidden/>
              </w:rPr>
              <w:fldChar w:fldCharType="begin"/>
            </w:r>
            <w:r w:rsidR="00981159">
              <w:rPr>
                <w:webHidden/>
              </w:rPr>
              <w:instrText xml:space="preserve"> PAGEREF _Toc90471499 \h </w:instrText>
            </w:r>
            <w:r w:rsidR="00981159">
              <w:rPr>
                <w:webHidden/>
              </w:rPr>
            </w:r>
            <w:r w:rsidR="00981159">
              <w:rPr>
                <w:webHidden/>
              </w:rPr>
              <w:fldChar w:fldCharType="separate"/>
            </w:r>
            <w:r w:rsidR="00981159">
              <w:rPr>
                <w:webHidden/>
              </w:rPr>
              <w:t>172</w:t>
            </w:r>
            <w:r w:rsidR="00981159">
              <w:rPr>
                <w:webHidden/>
              </w:rPr>
              <w:fldChar w:fldCharType="end"/>
            </w:r>
          </w:hyperlink>
        </w:p>
        <w:p w14:paraId="19E85998" w14:textId="421812CE" w:rsidR="00981159" w:rsidRDefault="00B22F56">
          <w:pPr>
            <w:pStyle w:val="TM2"/>
            <w:tabs>
              <w:tab w:val="left" w:pos="1260"/>
            </w:tabs>
            <w:rPr>
              <w:rFonts w:asciiTheme="minorHAnsi" w:eastAsiaTheme="minorEastAsia" w:hAnsiTheme="minorHAnsi" w:cstheme="minorBidi"/>
              <w:b w:val="0"/>
              <w:lang w:val="en-US" w:eastAsia="en-US"/>
            </w:rPr>
          </w:pPr>
          <w:hyperlink w:anchor="_Toc90471500" w:history="1">
            <w:r w:rsidR="00981159" w:rsidRPr="0086263B">
              <w:rPr>
                <w:rStyle w:val="Lienhypertexte"/>
                <w:iCs/>
              </w:rPr>
              <w:t>5.2.2.</w:t>
            </w:r>
            <w:r w:rsidR="00981159">
              <w:rPr>
                <w:rFonts w:asciiTheme="minorHAnsi" w:eastAsiaTheme="minorEastAsia" w:hAnsiTheme="minorHAnsi" w:cstheme="minorBidi"/>
                <w:b w:val="0"/>
                <w:lang w:val="en-US" w:eastAsia="en-US"/>
              </w:rPr>
              <w:tab/>
            </w:r>
            <w:r w:rsidR="00981159" w:rsidRPr="0086263B">
              <w:rPr>
                <w:rStyle w:val="Lienhypertexte"/>
                <w:i/>
              </w:rPr>
              <w:t>Impacts négatifs spécifiques des travaux de réhabilitation des routes rurales, aménagement des marchés communautaires et abattoirs</w:t>
            </w:r>
            <w:r w:rsidR="00981159">
              <w:rPr>
                <w:webHidden/>
              </w:rPr>
              <w:tab/>
            </w:r>
            <w:r w:rsidR="00981159">
              <w:rPr>
                <w:webHidden/>
              </w:rPr>
              <w:fldChar w:fldCharType="begin"/>
            </w:r>
            <w:r w:rsidR="00981159">
              <w:rPr>
                <w:webHidden/>
              </w:rPr>
              <w:instrText xml:space="preserve"> PAGEREF _Toc90471500 \h </w:instrText>
            </w:r>
            <w:r w:rsidR="00981159">
              <w:rPr>
                <w:webHidden/>
              </w:rPr>
            </w:r>
            <w:r w:rsidR="00981159">
              <w:rPr>
                <w:webHidden/>
              </w:rPr>
              <w:fldChar w:fldCharType="separate"/>
            </w:r>
            <w:r w:rsidR="00981159">
              <w:rPr>
                <w:webHidden/>
              </w:rPr>
              <w:t>178</w:t>
            </w:r>
            <w:r w:rsidR="00981159">
              <w:rPr>
                <w:webHidden/>
              </w:rPr>
              <w:fldChar w:fldCharType="end"/>
            </w:r>
          </w:hyperlink>
        </w:p>
        <w:p w14:paraId="01C1EB0C" w14:textId="389480D4" w:rsidR="00981159" w:rsidRDefault="00B22F56">
          <w:pPr>
            <w:pStyle w:val="TM2"/>
            <w:rPr>
              <w:rFonts w:asciiTheme="minorHAnsi" w:eastAsiaTheme="minorEastAsia" w:hAnsiTheme="minorHAnsi" w:cstheme="minorBidi"/>
              <w:b w:val="0"/>
              <w:lang w:val="en-US" w:eastAsia="en-US"/>
            </w:rPr>
          </w:pPr>
          <w:hyperlink w:anchor="_Toc90471501" w:history="1">
            <w:r w:rsidR="00981159" w:rsidRPr="0086263B">
              <w:rPr>
                <w:rStyle w:val="Lienhypertexte"/>
                <w:iCs/>
              </w:rPr>
              <w:t>5.2.3.</w:t>
            </w:r>
            <w:r w:rsidR="00981159">
              <w:rPr>
                <w:rFonts w:asciiTheme="minorHAnsi" w:eastAsiaTheme="minorEastAsia" w:hAnsiTheme="minorHAnsi" w:cstheme="minorBidi"/>
                <w:b w:val="0"/>
                <w:lang w:val="en-US" w:eastAsia="en-US"/>
              </w:rPr>
              <w:tab/>
            </w:r>
            <w:r w:rsidR="00981159" w:rsidRPr="0086263B">
              <w:rPr>
                <w:rStyle w:val="Lienhypertexte"/>
                <w:i/>
              </w:rPr>
              <w:t>Impacts négatifs sur les travaux d’aménagements hydro-agricoles</w:t>
            </w:r>
            <w:r w:rsidR="00981159">
              <w:rPr>
                <w:webHidden/>
              </w:rPr>
              <w:tab/>
            </w:r>
            <w:r w:rsidR="00981159">
              <w:rPr>
                <w:webHidden/>
              </w:rPr>
              <w:fldChar w:fldCharType="begin"/>
            </w:r>
            <w:r w:rsidR="00981159">
              <w:rPr>
                <w:webHidden/>
              </w:rPr>
              <w:instrText xml:space="preserve"> PAGEREF _Toc90471501 \h </w:instrText>
            </w:r>
            <w:r w:rsidR="00981159">
              <w:rPr>
                <w:webHidden/>
              </w:rPr>
            </w:r>
            <w:r w:rsidR="00981159">
              <w:rPr>
                <w:webHidden/>
              </w:rPr>
              <w:fldChar w:fldCharType="separate"/>
            </w:r>
            <w:r w:rsidR="00981159">
              <w:rPr>
                <w:webHidden/>
              </w:rPr>
              <w:t>179</w:t>
            </w:r>
            <w:r w:rsidR="00981159">
              <w:rPr>
                <w:webHidden/>
              </w:rPr>
              <w:fldChar w:fldCharType="end"/>
            </w:r>
          </w:hyperlink>
        </w:p>
        <w:p w14:paraId="0762E223" w14:textId="6620D8D2" w:rsidR="00981159" w:rsidRDefault="00B22F56">
          <w:pPr>
            <w:pStyle w:val="TM2"/>
            <w:rPr>
              <w:rFonts w:asciiTheme="minorHAnsi" w:eastAsiaTheme="minorEastAsia" w:hAnsiTheme="minorHAnsi" w:cstheme="minorBidi"/>
              <w:b w:val="0"/>
              <w:lang w:val="en-US" w:eastAsia="en-US"/>
            </w:rPr>
          </w:pPr>
          <w:hyperlink w:anchor="_Toc90471502" w:history="1">
            <w:r w:rsidR="00981159" w:rsidRPr="0086263B">
              <w:rPr>
                <w:rStyle w:val="Lienhypertexte"/>
                <w:iCs/>
              </w:rPr>
              <w:t>5.2.4.</w:t>
            </w:r>
            <w:r w:rsidR="00981159">
              <w:rPr>
                <w:rFonts w:asciiTheme="minorHAnsi" w:eastAsiaTheme="minorEastAsia" w:hAnsiTheme="minorHAnsi" w:cstheme="minorBidi"/>
                <w:b w:val="0"/>
                <w:lang w:val="en-US" w:eastAsia="en-US"/>
              </w:rPr>
              <w:tab/>
            </w:r>
            <w:r w:rsidR="00981159" w:rsidRPr="0086263B">
              <w:rPr>
                <w:rStyle w:val="Lienhypertexte"/>
                <w:i/>
              </w:rPr>
              <w:t>Analyse des Impacts cumulatifs négatifs pontentiels et mesures d’atténuation des activités du Projet</w:t>
            </w:r>
            <w:r w:rsidR="00981159">
              <w:rPr>
                <w:webHidden/>
              </w:rPr>
              <w:tab/>
            </w:r>
            <w:r w:rsidR="00981159">
              <w:rPr>
                <w:webHidden/>
              </w:rPr>
              <w:fldChar w:fldCharType="begin"/>
            </w:r>
            <w:r w:rsidR="00981159">
              <w:rPr>
                <w:webHidden/>
              </w:rPr>
              <w:instrText xml:space="preserve"> PAGEREF _Toc90471502 \h </w:instrText>
            </w:r>
            <w:r w:rsidR="00981159">
              <w:rPr>
                <w:webHidden/>
              </w:rPr>
            </w:r>
            <w:r w:rsidR="00981159">
              <w:rPr>
                <w:webHidden/>
              </w:rPr>
              <w:fldChar w:fldCharType="separate"/>
            </w:r>
            <w:r w:rsidR="00981159">
              <w:rPr>
                <w:webHidden/>
              </w:rPr>
              <w:t>181</w:t>
            </w:r>
            <w:r w:rsidR="00981159">
              <w:rPr>
                <w:webHidden/>
              </w:rPr>
              <w:fldChar w:fldCharType="end"/>
            </w:r>
          </w:hyperlink>
        </w:p>
        <w:p w14:paraId="778A03B9" w14:textId="10C76E06" w:rsidR="00981159" w:rsidRDefault="00B22F56">
          <w:pPr>
            <w:pStyle w:val="TM2"/>
            <w:rPr>
              <w:rFonts w:asciiTheme="minorHAnsi" w:eastAsiaTheme="minorEastAsia" w:hAnsiTheme="minorHAnsi" w:cstheme="minorBidi"/>
              <w:b w:val="0"/>
              <w:lang w:val="en-US" w:eastAsia="en-US"/>
            </w:rPr>
          </w:pPr>
          <w:hyperlink w:anchor="_Toc90471503" w:history="1">
            <w:r w:rsidR="00981159" w:rsidRPr="0086263B">
              <w:rPr>
                <w:rStyle w:val="Lienhypertexte"/>
                <w:iCs/>
              </w:rPr>
              <w:t>5.2.5.</w:t>
            </w:r>
            <w:r w:rsidR="00981159">
              <w:rPr>
                <w:rFonts w:asciiTheme="minorHAnsi" w:eastAsiaTheme="minorEastAsia" w:hAnsiTheme="minorHAnsi" w:cstheme="minorBidi"/>
                <w:b w:val="0"/>
                <w:lang w:val="en-US" w:eastAsia="en-US"/>
              </w:rPr>
              <w:tab/>
            </w:r>
            <w:r w:rsidR="00981159" w:rsidRPr="0086263B">
              <w:rPr>
                <w:rStyle w:val="Lienhypertexte"/>
                <w:i/>
              </w:rPr>
              <w:t>Synthèse des impacts environnementaux et sociaux négatifs potentiels</w:t>
            </w:r>
            <w:r w:rsidR="00981159">
              <w:rPr>
                <w:webHidden/>
              </w:rPr>
              <w:tab/>
            </w:r>
            <w:r w:rsidR="00981159">
              <w:rPr>
                <w:webHidden/>
              </w:rPr>
              <w:fldChar w:fldCharType="begin"/>
            </w:r>
            <w:r w:rsidR="00981159">
              <w:rPr>
                <w:webHidden/>
              </w:rPr>
              <w:instrText xml:space="preserve"> PAGEREF _Toc90471503 \h </w:instrText>
            </w:r>
            <w:r w:rsidR="00981159">
              <w:rPr>
                <w:webHidden/>
              </w:rPr>
            </w:r>
            <w:r w:rsidR="00981159">
              <w:rPr>
                <w:webHidden/>
              </w:rPr>
              <w:fldChar w:fldCharType="separate"/>
            </w:r>
            <w:r w:rsidR="00981159">
              <w:rPr>
                <w:webHidden/>
              </w:rPr>
              <w:t>192</w:t>
            </w:r>
            <w:r w:rsidR="00981159">
              <w:rPr>
                <w:webHidden/>
              </w:rPr>
              <w:fldChar w:fldCharType="end"/>
            </w:r>
          </w:hyperlink>
        </w:p>
        <w:p w14:paraId="04BDCB16" w14:textId="5A5D984C" w:rsidR="00981159" w:rsidRDefault="00B22F56">
          <w:pPr>
            <w:pStyle w:val="TM2"/>
            <w:rPr>
              <w:rFonts w:asciiTheme="minorHAnsi" w:eastAsiaTheme="minorEastAsia" w:hAnsiTheme="minorHAnsi" w:cstheme="minorBidi"/>
              <w:b w:val="0"/>
              <w:lang w:val="en-US" w:eastAsia="en-US"/>
            </w:rPr>
          </w:pPr>
          <w:hyperlink w:anchor="_Toc90471504" w:history="1">
            <w:r w:rsidR="00981159" w:rsidRPr="0086263B">
              <w:rPr>
                <w:rStyle w:val="Lienhypertexte"/>
                <w:iCs/>
              </w:rPr>
              <w:t>5.2.6.</w:t>
            </w:r>
            <w:r w:rsidR="00981159">
              <w:rPr>
                <w:rFonts w:asciiTheme="minorHAnsi" w:eastAsiaTheme="minorEastAsia" w:hAnsiTheme="minorHAnsi" w:cstheme="minorBidi"/>
                <w:b w:val="0"/>
                <w:lang w:val="en-US" w:eastAsia="en-US"/>
              </w:rPr>
              <w:tab/>
            </w:r>
            <w:r w:rsidR="00981159" w:rsidRPr="0086263B">
              <w:rPr>
                <w:rStyle w:val="Lienhypertexte"/>
                <w:i/>
              </w:rPr>
              <w:t>Mesures de bonification des impacts positifs et d’atténuation des impacts négatifs</w:t>
            </w:r>
            <w:r w:rsidR="00981159">
              <w:rPr>
                <w:webHidden/>
              </w:rPr>
              <w:tab/>
            </w:r>
            <w:r w:rsidR="00981159">
              <w:rPr>
                <w:webHidden/>
              </w:rPr>
              <w:fldChar w:fldCharType="begin"/>
            </w:r>
            <w:r w:rsidR="00981159">
              <w:rPr>
                <w:webHidden/>
              </w:rPr>
              <w:instrText xml:space="preserve"> PAGEREF _Toc90471504 \h </w:instrText>
            </w:r>
            <w:r w:rsidR="00981159">
              <w:rPr>
                <w:webHidden/>
              </w:rPr>
            </w:r>
            <w:r w:rsidR="00981159">
              <w:rPr>
                <w:webHidden/>
              </w:rPr>
              <w:fldChar w:fldCharType="separate"/>
            </w:r>
            <w:r w:rsidR="00981159">
              <w:rPr>
                <w:webHidden/>
              </w:rPr>
              <w:t>196</w:t>
            </w:r>
            <w:r w:rsidR="00981159">
              <w:rPr>
                <w:webHidden/>
              </w:rPr>
              <w:fldChar w:fldCharType="end"/>
            </w:r>
          </w:hyperlink>
        </w:p>
        <w:p w14:paraId="0024AB24" w14:textId="1BF9EA42" w:rsidR="00981159" w:rsidRDefault="00B22F56">
          <w:pPr>
            <w:pStyle w:val="TM2"/>
            <w:rPr>
              <w:rFonts w:asciiTheme="minorHAnsi" w:eastAsiaTheme="minorEastAsia" w:hAnsiTheme="minorHAnsi" w:cstheme="minorBidi"/>
              <w:b w:val="0"/>
              <w:lang w:val="en-US" w:eastAsia="en-US"/>
            </w:rPr>
          </w:pPr>
          <w:hyperlink w:anchor="_Toc90471505" w:history="1">
            <w:r w:rsidR="00981159" w:rsidRPr="0086263B">
              <w:rPr>
                <w:rStyle w:val="Lienhypertexte"/>
                <w:iCs/>
              </w:rPr>
              <w:t>5.2.7.</w:t>
            </w:r>
            <w:r w:rsidR="00981159">
              <w:rPr>
                <w:rFonts w:asciiTheme="minorHAnsi" w:eastAsiaTheme="minorEastAsia" w:hAnsiTheme="minorHAnsi" w:cstheme="minorBidi"/>
                <w:b w:val="0"/>
                <w:lang w:val="en-US" w:eastAsia="en-US"/>
              </w:rPr>
              <w:tab/>
            </w:r>
            <w:r w:rsidR="00981159" w:rsidRPr="0086263B">
              <w:rPr>
                <w:rStyle w:val="Lienhypertexte"/>
                <w:i/>
              </w:rPr>
              <w:t>Mesures d’atténuation des impacts négatifs potentiels</w:t>
            </w:r>
            <w:r w:rsidR="00981159">
              <w:rPr>
                <w:webHidden/>
              </w:rPr>
              <w:tab/>
            </w:r>
            <w:r w:rsidR="00981159">
              <w:rPr>
                <w:webHidden/>
              </w:rPr>
              <w:fldChar w:fldCharType="begin"/>
            </w:r>
            <w:r w:rsidR="00981159">
              <w:rPr>
                <w:webHidden/>
              </w:rPr>
              <w:instrText xml:space="preserve"> PAGEREF _Toc90471505 \h </w:instrText>
            </w:r>
            <w:r w:rsidR="00981159">
              <w:rPr>
                <w:webHidden/>
              </w:rPr>
            </w:r>
            <w:r w:rsidR="00981159">
              <w:rPr>
                <w:webHidden/>
              </w:rPr>
              <w:fldChar w:fldCharType="separate"/>
            </w:r>
            <w:r w:rsidR="00981159">
              <w:rPr>
                <w:webHidden/>
              </w:rPr>
              <w:t>198</w:t>
            </w:r>
            <w:r w:rsidR="00981159">
              <w:rPr>
                <w:webHidden/>
              </w:rPr>
              <w:fldChar w:fldCharType="end"/>
            </w:r>
          </w:hyperlink>
        </w:p>
        <w:p w14:paraId="19C634A2" w14:textId="18386887" w:rsidR="00981159" w:rsidRDefault="00B22F56">
          <w:pPr>
            <w:pStyle w:val="TM2"/>
            <w:rPr>
              <w:rFonts w:asciiTheme="minorHAnsi" w:eastAsiaTheme="minorEastAsia" w:hAnsiTheme="minorHAnsi" w:cstheme="minorBidi"/>
              <w:b w:val="0"/>
              <w:lang w:val="en-US" w:eastAsia="en-US"/>
            </w:rPr>
          </w:pPr>
          <w:hyperlink w:anchor="_Toc90471506" w:history="1">
            <w:r w:rsidR="00981159" w:rsidRPr="0086263B">
              <w:rPr>
                <w:rStyle w:val="Lienhypertexte"/>
                <w:iCs/>
              </w:rPr>
              <w:t>5.2.8.</w:t>
            </w:r>
            <w:r w:rsidR="00981159">
              <w:rPr>
                <w:rFonts w:asciiTheme="minorHAnsi" w:eastAsiaTheme="minorEastAsia" w:hAnsiTheme="minorHAnsi" w:cstheme="minorBidi"/>
                <w:b w:val="0"/>
                <w:lang w:val="en-US" w:eastAsia="en-US"/>
              </w:rPr>
              <w:tab/>
            </w:r>
            <w:r w:rsidR="00981159" w:rsidRPr="0086263B">
              <w:rPr>
                <w:rStyle w:val="Lienhypertexte"/>
                <w:i/>
              </w:rPr>
              <w:t>Clauses environnementales et sociales pour les travaux</w:t>
            </w:r>
            <w:r w:rsidR="00981159">
              <w:rPr>
                <w:webHidden/>
              </w:rPr>
              <w:tab/>
            </w:r>
            <w:r w:rsidR="00981159">
              <w:rPr>
                <w:webHidden/>
              </w:rPr>
              <w:fldChar w:fldCharType="begin"/>
            </w:r>
            <w:r w:rsidR="00981159">
              <w:rPr>
                <w:webHidden/>
              </w:rPr>
              <w:instrText xml:space="preserve"> PAGEREF _Toc90471506 \h </w:instrText>
            </w:r>
            <w:r w:rsidR="00981159">
              <w:rPr>
                <w:webHidden/>
              </w:rPr>
            </w:r>
            <w:r w:rsidR="00981159">
              <w:rPr>
                <w:webHidden/>
              </w:rPr>
              <w:fldChar w:fldCharType="separate"/>
            </w:r>
            <w:r w:rsidR="00981159">
              <w:rPr>
                <w:webHidden/>
              </w:rPr>
              <w:t>226</w:t>
            </w:r>
            <w:r w:rsidR="00981159">
              <w:rPr>
                <w:webHidden/>
              </w:rPr>
              <w:fldChar w:fldCharType="end"/>
            </w:r>
          </w:hyperlink>
        </w:p>
        <w:p w14:paraId="63DDF94D" w14:textId="59AE6E94" w:rsidR="00981159" w:rsidRDefault="00B22F56">
          <w:pPr>
            <w:pStyle w:val="TM2"/>
            <w:rPr>
              <w:rFonts w:asciiTheme="minorHAnsi" w:eastAsiaTheme="minorEastAsia" w:hAnsiTheme="minorHAnsi" w:cstheme="minorBidi"/>
              <w:b w:val="0"/>
              <w:lang w:val="en-US" w:eastAsia="en-US"/>
            </w:rPr>
          </w:pPr>
          <w:hyperlink w:anchor="_Toc90471507" w:history="1">
            <w:r w:rsidR="00981159" w:rsidRPr="0086263B">
              <w:rPr>
                <w:rStyle w:val="Lienhypertexte"/>
                <w:iCs/>
              </w:rPr>
              <w:t>5.2.9.</w:t>
            </w:r>
            <w:r w:rsidR="00981159">
              <w:rPr>
                <w:rFonts w:asciiTheme="minorHAnsi" w:eastAsiaTheme="minorEastAsia" w:hAnsiTheme="minorHAnsi" w:cstheme="minorBidi"/>
                <w:b w:val="0"/>
                <w:lang w:val="en-US" w:eastAsia="en-US"/>
              </w:rPr>
              <w:tab/>
            </w:r>
            <w:r w:rsidR="00981159" w:rsidRPr="0086263B">
              <w:rPr>
                <w:rStyle w:val="Lienhypertexte"/>
                <w:i/>
              </w:rPr>
              <w:t>Procédure en cas de découverte fortuite</w:t>
            </w:r>
            <w:r w:rsidR="00981159">
              <w:rPr>
                <w:webHidden/>
              </w:rPr>
              <w:tab/>
            </w:r>
            <w:r w:rsidR="00981159">
              <w:rPr>
                <w:webHidden/>
              </w:rPr>
              <w:fldChar w:fldCharType="begin"/>
            </w:r>
            <w:r w:rsidR="00981159">
              <w:rPr>
                <w:webHidden/>
              </w:rPr>
              <w:instrText xml:space="preserve"> PAGEREF _Toc90471507 \h </w:instrText>
            </w:r>
            <w:r w:rsidR="00981159">
              <w:rPr>
                <w:webHidden/>
              </w:rPr>
            </w:r>
            <w:r w:rsidR="00981159">
              <w:rPr>
                <w:webHidden/>
              </w:rPr>
              <w:fldChar w:fldCharType="separate"/>
            </w:r>
            <w:r w:rsidR="00981159">
              <w:rPr>
                <w:webHidden/>
              </w:rPr>
              <w:t>228</w:t>
            </w:r>
            <w:r w:rsidR="00981159">
              <w:rPr>
                <w:webHidden/>
              </w:rPr>
              <w:fldChar w:fldCharType="end"/>
            </w:r>
          </w:hyperlink>
        </w:p>
        <w:p w14:paraId="55B1EDFF" w14:textId="654021B3" w:rsidR="00981159" w:rsidRDefault="00B22F56">
          <w:pPr>
            <w:pStyle w:val="TM2"/>
            <w:tabs>
              <w:tab w:val="left" w:pos="1050"/>
            </w:tabs>
            <w:rPr>
              <w:rFonts w:asciiTheme="minorHAnsi" w:eastAsiaTheme="minorEastAsia" w:hAnsiTheme="minorHAnsi" w:cstheme="minorBidi"/>
              <w:b w:val="0"/>
              <w:lang w:val="en-US" w:eastAsia="en-US"/>
            </w:rPr>
          </w:pPr>
          <w:hyperlink w:anchor="_Toc90471508" w:history="1">
            <w:r w:rsidR="00981159" w:rsidRPr="0086263B">
              <w:rPr>
                <w:rStyle w:val="Lienhypertexte"/>
                <w:iCs/>
              </w:rPr>
              <w:t>5.2.10.</w:t>
            </w:r>
            <w:r w:rsidR="00981159">
              <w:rPr>
                <w:rFonts w:asciiTheme="minorHAnsi" w:eastAsiaTheme="minorEastAsia" w:hAnsiTheme="minorHAnsi" w:cstheme="minorBidi"/>
                <w:b w:val="0"/>
                <w:lang w:val="en-US" w:eastAsia="en-US"/>
              </w:rPr>
              <w:tab/>
            </w:r>
            <w:r w:rsidR="00981159" w:rsidRPr="0086263B">
              <w:rPr>
                <w:rStyle w:val="Lienhypertexte"/>
                <w:i/>
              </w:rPr>
              <w:t>Procédure découverte des mines terrestres et restes explosifs de guerre (REG)</w:t>
            </w:r>
            <w:r w:rsidR="00981159">
              <w:rPr>
                <w:webHidden/>
              </w:rPr>
              <w:tab/>
            </w:r>
            <w:r w:rsidR="00981159">
              <w:rPr>
                <w:webHidden/>
              </w:rPr>
              <w:fldChar w:fldCharType="begin"/>
            </w:r>
            <w:r w:rsidR="00981159">
              <w:rPr>
                <w:webHidden/>
              </w:rPr>
              <w:instrText xml:space="preserve"> PAGEREF _Toc90471508 \h </w:instrText>
            </w:r>
            <w:r w:rsidR="00981159">
              <w:rPr>
                <w:webHidden/>
              </w:rPr>
            </w:r>
            <w:r w:rsidR="00981159">
              <w:rPr>
                <w:webHidden/>
              </w:rPr>
              <w:fldChar w:fldCharType="separate"/>
            </w:r>
            <w:r w:rsidR="00981159">
              <w:rPr>
                <w:webHidden/>
              </w:rPr>
              <w:t>231</w:t>
            </w:r>
            <w:r w:rsidR="00981159">
              <w:rPr>
                <w:webHidden/>
              </w:rPr>
              <w:fldChar w:fldCharType="end"/>
            </w:r>
          </w:hyperlink>
        </w:p>
        <w:p w14:paraId="260438B0" w14:textId="5421CDCF" w:rsidR="00981159" w:rsidRDefault="00B22F56">
          <w:pPr>
            <w:pStyle w:val="TM2"/>
            <w:tabs>
              <w:tab w:val="left" w:pos="1050"/>
            </w:tabs>
            <w:rPr>
              <w:rFonts w:asciiTheme="minorHAnsi" w:eastAsiaTheme="minorEastAsia" w:hAnsiTheme="minorHAnsi" w:cstheme="minorBidi"/>
              <w:b w:val="0"/>
              <w:lang w:val="en-US" w:eastAsia="en-US"/>
            </w:rPr>
          </w:pPr>
          <w:hyperlink w:anchor="_Toc90471509" w:history="1">
            <w:r w:rsidR="00981159" w:rsidRPr="0086263B">
              <w:rPr>
                <w:rStyle w:val="Lienhypertexte"/>
                <w:iCs/>
              </w:rPr>
              <w:t>5.2.11.</w:t>
            </w:r>
            <w:r w:rsidR="00981159">
              <w:rPr>
                <w:rFonts w:asciiTheme="minorHAnsi" w:eastAsiaTheme="minorEastAsia" w:hAnsiTheme="minorHAnsi" w:cstheme="minorBidi"/>
                <w:b w:val="0"/>
                <w:lang w:val="en-US" w:eastAsia="en-US"/>
              </w:rPr>
              <w:tab/>
            </w:r>
            <w:r w:rsidR="00981159" w:rsidRPr="0086263B">
              <w:rPr>
                <w:rStyle w:val="Lienhypertexte"/>
                <w:i/>
              </w:rPr>
              <w:t>Directives applicables sur Hygiène, Environnement et Sécurité</w:t>
            </w:r>
            <w:r w:rsidR="00981159">
              <w:rPr>
                <w:webHidden/>
              </w:rPr>
              <w:tab/>
            </w:r>
            <w:r w:rsidR="00981159">
              <w:rPr>
                <w:webHidden/>
              </w:rPr>
              <w:fldChar w:fldCharType="begin"/>
            </w:r>
            <w:r w:rsidR="00981159">
              <w:rPr>
                <w:webHidden/>
              </w:rPr>
              <w:instrText xml:space="preserve"> PAGEREF _Toc90471509 \h </w:instrText>
            </w:r>
            <w:r w:rsidR="00981159">
              <w:rPr>
                <w:webHidden/>
              </w:rPr>
            </w:r>
            <w:r w:rsidR="00981159">
              <w:rPr>
                <w:webHidden/>
              </w:rPr>
              <w:fldChar w:fldCharType="separate"/>
            </w:r>
            <w:r w:rsidR="00981159">
              <w:rPr>
                <w:webHidden/>
              </w:rPr>
              <w:t>233</w:t>
            </w:r>
            <w:r w:rsidR="00981159">
              <w:rPr>
                <w:webHidden/>
              </w:rPr>
              <w:fldChar w:fldCharType="end"/>
            </w:r>
          </w:hyperlink>
        </w:p>
        <w:p w14:paraId="0AFF84BE" w14:textId="374B8B2A" w:rsidR="00981159" w:rsidRDefault="00B22F56">
          <w:pPr>
            <w:pStyle w:val="TM2"/>
            <w:tabs>
              <w:tab w:val="left" w:pos="1050"/>
            </w:tabs>
            <w:rPr>
              <w:rFonts w:asciiTheme="minorHAnsi" w:eastAsiaTheme="minorEastAsia" w:hAnsiTheme="minorHAnsi" w:cstheme="minorBidi"/>
              <w:b w:val="0"/>
              <w:lang w:val="en-US" w:eastAsia="en-US"/>
            </w:rPr>
          </w:pPr>
          <w:hyperlink w:anchor="_Toc90471510" w:history="1">
            <w:r w:rsidR="00981159" w:rsidRPr="0086263B">
              <w:rPr>
                <w:rStyle w:val="Lienhypertexte"/>
                <w:iCs/>
              </w:rPr>
              <w:t>5.2.12.</w:t>
            </w:r>
            <w:r w:rsidR="00981159">
              <w:rPr>
                <w:rFonts w:asciiTheme="minorHAnsi" w:eastAsiaTheme="minorEastAsia" w:hAnsiTheme="minorHAnsi" w:cstheme="minorBidi"/>
                <w:b w:val="0"/>
                <w:lang w:val="en-US" w:eastAsia="en-US"/>
              </w:rPr>
              <w:tab/>
            </w:r>
            <w:r w:rsidR="00981159" w:rsidRPr="0086263B">
              <w:rPr>
                <w:rStyle w:val="Lienhypertexte"/>
                <w:i/>
              </w:rPr>
              <w:t>Code de bonne conduite pour les ouvriers</w:t>
            </w:r>
            <w:r w:rsidR="00981159">
              <w:rPr>
                <w:webHidden/>
              </w:rPr>
              <w:tab/>
            </w:r>
            <w:r w:rsidR="00981159">
              <w:rPr>
                <w:webHidden/>
              </w:rPr>
              <w:fldChar w:fldCharType="begin"/>
            </w:r>
            <w:r w:rsidR="00981159">
              <w:rPr>
                <w:webHidden/>
              </w:rPr>
              <w:instrText xml:space="preserve"> PAGEREF _Toc90471510 \h </w:instrText>
            </w:r>
            <w:r w:rsidR="00981159">
              <w:rPr>
                <w:webHidden/>
              </w:rPr>
            </w:r>
            <w:r w:rsidR="00981159">
              <w:rPr>
                <w:webHidden/>
              </w:rPr>
              <w:fldChar w:fldCharType="separate"/>
            </w:r>
            <w:r w:rsidR="00981159">
              <w:rPr>
                <w:webHidden/>
              </w:rPr>
              <w:t>234</w:t>
            </w:r>
            <w:r w:rsidR="00981159">
              <w:rPr>
                <w:webHidden/>
              </w:rPr>
              <w:fldChar w:fldCharType="end"/>
            </w:r>
          </w:hyperlink>
        </w:p>
        <w:p w14:paraId="07942779" w14:textId="68D6A459" w:rsidR="00981159" w:rsidRDefault="00B22F56">
          <w:pPr>
            <w:pStyle w:val="TM2"/>
            <w:tabs>
              <w:tab w:val="left" w:pos="1050"/>
            </w:tabs>
            <w:rPr>
              <w:rFonts w:asciiTheme="minorHAnsi" w:eastAsiaTheme="minorEastAsia" w:hAnsiTheme="minorHAnsi" w:cstheme="minorBidi"/>
              <w:b w:val="0"/>
              <w:lang w:val="en-US" w:eastAsia="en-US"/>
            </w:rPr>
          </w:pPr>
          <w:hyperlink w:anchor="_Toc90471511" w:history="1">
            <w:r w:rsidR="00981159" w:rsidRPr="0086263B">
              <w:rPr>
                <w:rStyle w:val="Lienhypertexte"/>
                <w:iCs/>
              </w:rPr>
              <w:t>5.2.13.</w:t>
            </w:r>
            <w:r w:rsidR="00981159">
              <w:rPr>
                <w:rFonts w:asciiTheme="minorHAnsi" w:eastAsiaTheme="minorEastAsia" w:hAnsiTheme="minorHAnsi" w:cstheme="minorBidi"/>
                <w:b w:val="0"/>
                <w:lang w:val="en-US" w:eastAsia="en-US"/>
              </w:rPr>
              <w:tab/>
            </w:r>
            <w:r w:rsidR="00981159" w:rsidRPr="0086263B">
              <w:rPr>
                <w:rStyle w:val="Lienhypertexte"/>
                <w:i/>
              </w:rPr>
              <w:t>Clauses sociales sur les VBG, y compris l’EAS et le HS, et les VCE.</w:t>
            </w:r>
            <w:r w:rsidR="00981159">
              <w:rPr>
                <w:webHidden/>
              </w:rPr>
              <w:tab/>
            </w:r>
            <w:r w:rsidR="00981159">
              <w:rPr>
                <w:webHidden/>
              </w:rPr>
              <w:fldChar w:fldCharType="begin"/>
            </w:r>
            <w:r w:rsidR="00981159">
              <w:rPr>
                <w:webHidden/>
              </w:rPr>
              <w:instrText xml:space="preserve"> PAGEREF _Toc90471511 \h </w:instrText>
            </w:r>
            <w:r w:rsidR="00981159">
              <w:rPr>
                <w:webHidden/>
              </w:rPr>
            </w:r>
            <w:r w:rsidR="00981159">
              <w:rPr>
                <w:webHidden/>
              </w:rPr>
              <w:fldChar w:fldCharType="separate"/>
            </w:r>
            <w:r w:rsidR="00981159">
              <w:rPr>
                <w:webHidden/>
              </w:rPr>
              <w:t>234</w:t>
            </w:r>
            <w:r w:rsidR="00981159">
              <w:rPr>
                <w:webHidden/>
              </w:rPr>
              <w:fldChar w:fldCharType="end"/>
            </w:r>
          </w:hyperlink>
        </w:p>
        <w:p w14:paraId="59BAF425" w14:textId="01BC8D1B" w:rsidR="00981159" w:rsidRDefault="00B22F56">
          <w:pPr>
            <w:pStyle w:val="TM2"/>
            <w:tabs>
              <w:tab w:val="left" w:pos="1050"/>
            </w:tabs>
            <w:rPr>
              <w:rFonts w:asciiTheme="minorHAnsi" w:eastAsiaTheme="minorEastAsia" w:hAnsiTheme="minorHAnsi" w:cstheme="minorBidi"/>
              <w:b w:val="0"/>
              <w:lang w:val="en-US" w:eastAsia="en-US"/>
            </w:rPr>
          </w:pPr>
          <w:hyperlink w:anchor="_Toc90471512" w:history="1">
            <w:r w:rsidR="00981159" w:rsidRPr="0086263B">
              <w:rPr>
                <w:rStyle w:val="Lienhypertexte"/>
                <w:iCs/>
              </w:rPr>
              <w:t>5.2.14.</w:t>
            </w:r>
            <w:r w:rsidR="00981159">
              <w:rPr>
                <w:rFonts w:asciiTheme="minorHAnsi" w:eastAsiaTheme="minorEastAsia" w:hAnsiTheme="minorHAnsi" w:cstheme="minorBidi"/>
                <w:b w:val="0"/>
                <w:lang w:val="en-US" w:eastAsia="en-US"/>
              </w:rPr>
              <w:tab/>
            </w:r>
            <w:r w:rsidR="00981159" w:rsidRPr="0086263B">
              <w:rPr>
                <w:rStyle w:val="Lienhypertexte"/>
                <w:i/>
              </w:rPr>
              <w:t>Harcèlement moral</w:t>
            </w:r>
            <w:r w:rsidR="00981159">
              <w:rPr>
                <w:webHidden/>
              </w:rPr>
              <w:tab/>
            </w:r>
            <w:r w:rsidR="00981159">
              <w:rPr>
                <w:webHidden/>
              </w:rPr>
              <w:fldChar w:fldCharType="begin"/>
            </w:r>
            <w:r w:rsidR="00981159">
              <w:rPr>
                <w:webHidden/>
              </w:rPr>
              <w:instrText xml:space="preserve"> PAGEREF _Toc90471512 \h </w:instrText>
            </w:r>
            <w:r w:rsidR="00981159">
              <w:rPr>
                <w:webHidden/>
              </w:rPr>
            </w:r>
            <w:r w:rsidR="00981159">
              <w:rPr>
                <w:webHidden/>
              </w:rPr>
              <w:fldChar w:fldCharType="separate"/>
            </w:r>
            <w:r w:rsidR="00981159">
              <w:rPr>
                <w:webHidden/>
              </w:rPr>
              <w:t>234</w:t>
            </w:r>
            <w:r w:rsidR="00981159">
              <w:rPr>
                <w:webHidden/>
              </w:rPr>
              <w:fldChar w:fldCharType="end"/>
            </w:r>
          </w:hyperlink>
        </w:p>
        <w:p w14:paraId="74350934" w14:textId="07B3311D" w:rsidR="00981159" w:rsidRDefault="00B22F56">
          <w:pPr>
            <w:pStyle w:val="TM2"/>
            <w:tabs>
              <w:tab w:val="left" w:pos="1050"/>
            </w:tabs>
            <w:rPr>
              <w:rFonts w:asciiTheme="minorHAnsi" w:eastAsiaTheme="minorEastAsia" w:hAnsiTheme="minorHAnsi" w:cstheme="minorBidi"/>
              <w:b w:val="0"/>
              <w:lang w:val="en-US" w:eastAsia="en-US"/>
            </w:rPr>
          </w:pPr>
          <w:hyperlink w:anchor="_Toc90471513" w:history="1">
            <w:r w:rsidR="00981159" w:rsidRPr="0086263B">
              <w:rPr>
                <w:rStyle w:val="Lienhypertexte"/>
                <w:iCs/>
              </w:rPr>
              <w:t>5.2.15.</w:t>
            </w:r>
            <w:r w:rsidR="00981159">
              <w:rPr>
                <w:rFonts w:asciiTheme="minorHAnsi" w:eastAsiaTheme="minorEastAsia" w:hAnsiTheme="minorHAnsi" w:cstheme="minorBidi"/>
                <w:b w:val="0"/>
                <w:lang w:val="en-US" w:eastAsia="en-US"/>
              </w:rPr>
              <w:tab/>
            </w:r>
            <w:r w:rsidR="00981159" w:rsidRPr="0086263B">
              <w:rPr>
                <w:rStyle w:val="Lienhypertexte"/>
                <w:i/>
              </w:rPr>
              <w:t>Violences physiques</w:t>
            </w:r>
            <w:r w:rsidR="00981159">
              <w:rPr>
                <w:webHidden/>
              </w:rPr>
              <w:tab/>
            </w:r>
            <w:r w:rsidR="00981159">
              <w:rPr>
                <w:webHidden/>
              </w:rPr>
              <w:fldChar w:fldCharType="begin"/>
            </w:r>
            <w:r w:rsidR="00981159">
              <w:rPr>
                <w:webHidden/>
              </w:rPr>
              <w:instrText xml:space="preserve"> PAGEREF _Toc90471513 \h </w:instrText>
            </w:r>
            <w:r w:rsidR="00981159">
              <w:rPr>
                <w:webHidden/>
              </w:rPr>
            </w:r>
            <w:r w:rsidR="00981159">
              <w:rPr>
                <w:webHidden/>
              </w:rPr>
              <w:fldChar w:fldCharType="separate"/>
            </w:r>
            <w:r w:rsidR="00981159">
              <w:rPr>
                <w:webHidden/>
              </w:rPr>
              <w:t>235</w:t>
            </w:r>
            <w:r w:rsidR="00981159">
              <w:rPr>
                <w:webHidden/>
              </w:rPr>
              <w:fldChar w:fldCharType="end"/>
            </w:r>
          </w:hyperlink>
        </w:p>
        <w:p w14:paraId="31AF00F5" w14:textId="019F0D83" w:rsidR="00981159" w:rsidRDefault="00B22F56">
          <w:pPr>
            <w:pStyle w:val="TM2"/>
            <w:tabs>
              <w:tab w:val="left" w:pos="1050"/>
            </w:tabs>
            <w:rPr>
              <w:rFonts w:asciiTheme="minorHAnsi" w:eastAsiaTheme="minorEastAsia" w:hAnsiTheme="minorHAnsi" w:cstheme="minorBidi"/>
              <w:b w:val="0"/>
              <w:lang w:val="en-US" w:eastAsia="en-US"/>
            </w:rPr>
          </w:pPr>
          <w:hyperlink w:anchor="_Toc90471514" w:history="1">
            <w:r w:rsidR="00981159" w:rsidRPr="0086263B">
              <w:rPr>
                <w:rStyle w:val="Lienhypertexte"/>
                <w:iCs/>
              </w:rPr>
              <w:t>5.2.16.</w:t>
            </w:r>
            <w:r w:rsidR="00981159">
              <w:rPr>
                <w:rFonts w:asciiTheme="minorHAnsi" w:eastAsiaTheme="minorEastAsia" w:hAnsiTheme="minorHAnsi" w:cstheme="minorBidi"/>
                <w:b w:val="0"/>
                <w:lang w:val="en-US" w:eastAsia="en-US"/>
              </w:rPr>
              <w:tab/>
            </w:r>
            <w:r w:rsidR="00981159" w:rsidRPr="0086263B">
              <w:rPr>
                <w:rStyle w:val="Lienhypertexte"/>
                <w:i/>
              </w:rPr>
              <w:t>Proxénétisme, harcèlement et violences sexuels et pédophilie</w:t>
            </w:r>
            <w:r w:rsidR="00981159">
              <w:rPr>
                <w:webHidden/>
              </w:rPr>
              <w:tab/>
            </w:r>
            <w:r w:rsidR="00981159">
              <w:rPr>
                <w:webHidden/>
              </w:rPr>
              <w:fldChar w:fldCharType="begin"/>
            </w:r>
            <w:r w:rsidR="00981159">
              <w:rPr>
                <w:webHidden/>
              </w:rPr>
              <w:instrText xml:space="preserve"> PAGEREF _Toc90471514 \h </w:instrText>
            </w:r>
            <w:r w:rsidR="00981159">
              <w:rPr>
                <w:webHidden/>
              </w:rPr>
            </w:r>
            <w:r w:rsidR="00981159">
              <w:rPr>
                <w:webHidden/>
              </w:rPr>
              <w:fldChar w:fldCharType="separate"/>
            </w:r>
            <w:r w:rsidR="00981159">
              <w:rPr>
                <w:webHidden/>
              </w:rPr>
              <w:t>235</w:t>
            </w:r>
            <w:r w:rsidR="00981159">
              <w:rPr>
                <w:webHidden/>
              </w:rPr>
              <w:fldChar w:fldCharType="end"/>
            </w:r>
          </w:hyperlink>
        </w:p>
        <w:p w14:paraId="21C49497" w14:textId="3D7B5547" w:rsidR="00981159" w:rsidRDefault="00B22F56">
          <w:pPr>
            <w:pStyle w:val="TM2"/>
            <w:tabs>
              <w:tab w:val="left" w:pos="1050"/>
            </w:tabs>
            <w:rPr>
              <w:rFonts w:asciiTheme="minorHAnsi" w:eastAsiaTheme="minorEastAsia" w:hAnsiTheme="minorHAnsi" w:cstheme="minorBidi"/>
              <w:b w:val="0"/>
              <w:lang w:val="en-US" w:eastAsia="en-US"/>
            </w:rPr>
          </w:pPr>
          <w:hyperlink w:anchor="_Toc90471515" w:history="1">
            <w:r w:rsidR="00981159" w:rsidRPr="0086263B">
              <w:rPr>
                <w:rStyle w:val="Lienhypertexte"/>
                <w:iCs/>
              </w:rPr>
              <w:t>5.2.17.</w:t>
            </w:r>
            <w:r w:rsidR="00981159">
              <w:rPr>
                <w:rFonts w:asciiTheme="minorHAnsi" w:eastAsiaTheme="minorEastAsia" w:hAnsiTheme="minorHAnsi" w:cstheme="minorBidi"/>
                <w:b w:val="0"/>
                <w:lang w:val="en-US" w:eastAsia="en-US"/>
              </w:rPr>
              <w:tab/>
            </w:r>
            <w:r w:rsidR="00981159" w:rsidRPr="0086263B">
              <w:rPr>
                <w:rStyle w:val="Lienhypertexte"/>
                <w:i/>
              </w:rPr>
              <w:t>Exploitation des enfants</w:t>
            </w:r>
            <w:r w:rsidR="00981159">
              <w:rPr>
                <w:webHidden/>
              </w:rPr>
              <w:tab/>
            </w:r>
            <w:r w:rsidR="00981159">
              <w:rPr>
                <w:webHidden/>
              </w:rPr>
              <w:fldChar w:fldCharType="begin"/>
            </w:r>
            <w:r w:rsidR="00981159">
              <w:rPr>
                <w:webHidden/>
              </w:rPr>
              <w:instrText xml:space="preserve"> PAGEREF _Toc90471515 \h </w:instrText>
            </w:r>
            <w:r w:rsidR="00981159">
              <w:rPr>
                <w:webHidden/>
              </w:rPr>
            </w:r>
            <w:r w:rsidR="00981159">
              <w:rPr>
                <w:webHidden/>
              </w:rPr>
              <w:fldChar w:fldCharType="separate"/>
            </w:r>
            <w:r w:rsidR="00981159">
              <w:rPr>
                <w:webHidden/>
              </w:rPr>
              <w:t>235</w:t>
            </w:r>
            <w:r w:rsidR="00981159">
              <w:rPr>
                <w:webHidden/>
              </w:rPr>
              <w:fldChar w:fldCharType="end"/>
            </w:r>
          </w:hyperlink>
        </w:p>
        <w:p w14:paraId="0D8539AD" w14:textId="74B296D1" w:rsidR="00981159" w:rsidRDefault="00B22F56">
          <w:pPr>
            <w:pStyle w:val="TM2"/>
            <w:tabs>
              <w:tab w:val="left" w:pos="1050"/>
            </w:tabs>
            <w:rPr>
              <w:rFonts w:asciiTheme="minorHAnsi" w:eastAsiaTheme="minorEastAsia" w:hAnsiTheme="minorHAnsi" w:cstheme="minorBidi"/>
              <w:b w:val="0"/>
              <w:lang w:val="en-US" w:eastAsia="en-US"/>
            </w:rPr>
          </w:pPr>
          <w:hyperlink w:anchor="_Toc90471516" w:history="1">
            <w:r w:rsidR="00981159" w:rsidRPr="0086263B">
              <w:rPr>
                <w:rStyle w:val="Lienhypertexte"/>
                <w:iCs/>
              </w:rPr>
              <w:t>5.2.18.</w:t>
            </w:r>
            <w:r w:rsidR="00981159">
              <w:rPr>
                <w:rFonts w:asciiTheme="minorHAnsi" w:eastAsiaTheme="minorEastAsia" w:hAnsiTheme="minorHAnsi" w:cstheme="minorBidi"/>
                <w:b w:val="0"/>
                <w:lang w:val="en-US" w:eastAsia="en-US"/>
              </w:rPr>
              <w:tab/>
            </w:r>
            <w:r w:rsidR="00981159" w:rsidRPr="0086263B">
              <w:rPr>
                <w:rStyle w:val="Lienhypertexte"/>
                <w:i/>
              </w:rPr>
              <w:t>Recours au personnel de sécurité pour la protection du chantier</w:t>
            </w:r>
            <w:r w:rsidR="00981159">
              <w:rPr>
                <w:webHidden/>
              </w:rPr>
              <w:tab/>
            </w:r>
            <w:r w:rsidR="00981159">
              <w:rPr>
                <w:webHidden/>
              </w:rPr>
              <w:fldChar w:fldCharType="begin"/>
            </w:r>
            <w:r w:rsidR="00981159">
              <w:rPr>
                <w:webHidden/>
              </w:rPr>
              <w:instrText xml:space="preserve"> PAGEREF _Toc90471516 \h </w:instrText>
            </w:r>
            <w:r w:rsidR="00981159">
              <w:rPr>
                <w:webHidden/>
              </w:rPr>
            </w:r>
            <w:r w:rsidR="00981159">
              <w:rPr>
                <w:webHidden/>
              </w:rPr>
              <w:fldChar w:fldCharType="separate"/>
            </w:r>
            <w:r w:rsidR="00981159">
              <w:rPr>
                <w:webHidden/>
              </w:rPr>
              <w:t>235</w:t>
            </w:r>
            <w:r w:rsidR="00981159">
              <w:rPr>
                <w:webHidden/>
              </w:rPr>
              <w:fldChar w:fldCharType="end"/>
            </w:r>
          </w:hyperlink>
        </w:p>
        <w:p w14:paraId="4B026D00" w14:textId="2BF78157" w:rsidR="00981159" w:rsidRDefault="00B22F56">
          <w:pPr>
            <w:pStyle w:val="TM2"/>
            <w:tabs>
              <w:tab w:val="left" w:pos="1050"/>
            </w:tabs>
            <w:rPr>
              <w:rFonts w:asciiTheme="minorHAnsi" w:eastAsiaTheme="minorEastAsia" w:hAnsiTheme="minorHAnsi" w:cstheme="minorBidi"/>
              <w:b w:val="0"/>
              <w:lang w:val="en-US" w:eastAsia="en-US"/>
            </w:rPr>
          </w:pPr>
          <w:hyperlink w:anchor="_Toc90471517" w:history="1">
            <w:r w:rsidR="00981159" w:rsidRPr="0086263B">
              <w:rPr>
                <w:rStyle w:val="Lienhypertexte"/>
                <w:iCs/>
              </w:rPr>
              <w:t>5.2.19.</w:t>
            </w:r>
            <w:r w:rsidR="00981159">
              <w:rPr>
                <w:rFonts w:asciiTheme="minorHAnsi" w:eastAsiaTheme="minorEastAsia" w:hAnsiTheme="minorHAnsi" w:cstheme="minorBidi"/>
                <w:b w:val="0"/>
                <w:lang w:val="en-US" w:eastAsia="en-US"/>
              </w:rPr>
              <w:tab/>
            </w:r>
            <w:r w:rsidR="00981159" w:rsidRPr="0086263B">
              <w:rPr>
                <w:rStyle w:val="Lienhypertexte"/>
                <w:i/>
              </w:rPr>
              <w:t>Clauses environnementales et sociales pour les travaux</w:t>
            </w:r>
            <w:r w:rsidR="00981159">
              <w:rPr>
                <w:webHidden/>
              </w:rPr>
              <w:tab/>
            </w:r>
            <w:r w:rsidR="00981159">
              <w:rPr>
                <w:webHidden/>
              </w:rPr>
              <w:fldChar w:fldCharType="begin"/>
            </w:r>
            <w:r w:rsidR="00981159">
              <w:rPr>
                <w:webHidden/>
              </w:rPr>
              <w:instrText xml:space="preserve"> PAGEREF _Toc90471517 \h </w:instrText>
            </w:r>
            <w:r w:rsidR="00981159">
              <w:rPr>
                <w:webHidden/>
              </w:rPr>
            </w:r>
            <w:r w:rsidR="00981159">
              <w:rPr>
                <w:webHidden/>
              </w:rPr>
              <w:fldChar w:fldCharType="separate"/>
            </w:r>
            <w:r w:rsidR="00981159">
              <w:rPr>
                <w:webHidden/>
              </w:rPr>
              <w:t>236</w:t>
            </w:r>
            <w:r w:rsidR="00981159">
              <w:rPr>
                <w:webHidden/>
              </w:rPr>
              <w:fldChar w:fldCharType="end"/>
            </w:r>
          </w:hyperlink>
        </w:p>
        <w:p w14:paraId="371C79F5" w14:textId="3D57AA3F" w:rsidR="00981159" w:rsidRDefault="00B22F56">
          <w:pPr>
            <w:pStyle w:val="TM1"/>
            <w:rPr>
              <w:rFonts w:asciiTheme="minorHAnsi" w:eastAsiaTheme="minorEastAsia" w:hAnsiTheme="minorHAnsi" w:cstheme="minorBidi"/>
              <w:b w:val="0"/>
              <w:bCs w:val="0"/>
              <w:caps w:val="0"/>
              <w:color w:val="auto"/>
              <w:lang w:val="en-US" w:eastAsia="en-US"/>
            </w:rPr>
          </w:pPr>
          <w:hyperlink w:anchor="_Toc90471518" w:history="1">
            <w:r w:rsidR="00981159" w:rsidRPr="0086263B">
              <w:rPr>
                <w:rStyle w:val="Lienhypertexte"/>
              </w:rPr>
              <w:t>6.</w:t>
            </w:r>
            <w:r w:rsidR="00981159">
              <w:rPr>
                <w:rFonts w:asciiTheme="minorHAnsi" w:eastAsiaTheme="minorEastAsia" w:hAnsiTheme="minorHAnsi" w:cstheme="minorBidi"/>
                <w:b w:val="0"/>
                <w:bCs w:val="0"/>
                <w:caps w:val="0"/>
                <w:color w:val="auto"/>
                <w:lang w:val="en-US" w:eastAsia="en-US"/>
              </w:rPr>
              <w:tab/>
            </w:r>
            <w:r w:rsidR="00981159" w:rsidRPr="0086263B">
              <w:rPr>
                <w:rStyle w:val="Lienhypertexte"/>
              </w:rPr>
              <w:t>PROCEDURES DE GESTION DES RISQUES ET IMPACTS ENVIRONNEMENTAUX ET SOCIAUX (PGRIES)</w:t>
            </w:r>
            <w:r w:rsidR="00981159">
              <w:rPr>
                <w:webHidden/>
              </w:rPr>
              <w:tab/>
            </w:r>
            <w:r w:rsidR="00981159">
              <w:rPr>
                <w:webHidden/>
              </w:rPr>
              <w:fldChar w:fldCharType="begin"/>
            </w:r>
            <w:r w:rsidR="00981159">
              <w:rPr>
                <w:webHidden/>
              </w:rPr>
              <w:instrText xml:space="preserve"> PAGEREF _Toc90471518 \h </w:instrText>
            </w:r>
            <w:r w:rsidR="00981159">
              <w:rPr>
                <w:webHidden/>
              </w:rPr>
            </w:r>
            <w:r w:rsidR="00981159">
              <w:rPr>
                <w:webHidden/>
              </w:rPr>
              <w:fldChar w:fldCharType="separate"/>
            </w:r>
            <w:r w:rsidR="00981159">
              <w:rPr>
                <w:webHidden/>
              </w:rPr>
              <w:t>237</w:t>
            </w:r>
            <w:r w:rsidR="00981159">
              <w:rPr>
                <w:webHidden/>
              </w:rPr>
              <w:fldChar w:fldCharType="end"/>
            </w:r>
          </w:hyperlink>
        </w:p>
        <w:p w14:paraId="5A7F877D" w14:textId="2FEF9947" w:rsidR="00981159" w:rsidRDefault="00B22F56">
          <w:pPr>
            <w:pStyle w:val="TM2"/>
            <w:rPr>
              <w:rFonts w:asciiTheme="minorHAnsi" w:eastAsiaTheme="minorEastAsia" w:hAnsiTheme="minorHAnsi" w:cstheme="minorBidi"/>
              <w:b w:val="0"/>
              <w:lang w:val="en-US" w:eastAsia="en-US"/>
            </w:rPr>
          </w:pPr>
          <w:hyperlink w:anchor="_Toc90471521" w:history="1">
            <w:r w:rsidR="00981159" w:rsidRPr="0086263B">
              <w:rPr>
                <w:rStyle w:val="Lienhypertexte"/>
              </w:rPr>
              <w:t>6.1.</w:t>
            </w:r>
            <w:r w:rsidR="00981159">
              <w:rPr>
                <w:rFonts w:asciiTheme="minorHAnsi" w:eastAsiaTheme="minorEastAsia" w:hAnsiTheme="minorHAnsi" w:cstheme="minorBidi"/>
                <w:b w:val="0"/>
                <w:lang w:val="en-US" w:eastAsia="en-US"/>
              </w:rPr>
              <w:tab/>
            </w:r>
            <w:r w:rsidR="00981159" w:rsidRPr="0086263B">
              <w:rPr>
                <w:rStyle w:val="Lienhypertexte"/>
              </w:rPr>
              <w:t>Procédure de gestion environnementale et sociale des sous-projets</w:t>
            </w:r>
            <w:r w:rsidR="00981159">
              <w:rPr>
                <w:webHidden/>
              </w:rPr>
              <w:tab/>
            </w:r>
            <w:r w:rsidR="00981159">
              <w:rPr>
                <w:webHidden/>
              </w:rPr>
              <w:fldChar w:fldCharType="begin"/>
            </w:r>
            <w:r w:rsidR="00981159">
              <w:rPr>
                <w:webHidden/>
              </w:rPr>
              <w:instrText xml:space="preserve"> PAGEREF _Toc90471521 \h </w:instrText>
            </w:r>
            <w:r w:rsidR="00981159">
              <w:rPr>
                <w:webHidden/>
              </w:rPr>
            </w:r>
            <w:r w:rsidR="00981159">
              <w:rPr>
                <w:webHidden/>
              </w:rPr>
              <w:fldChar w:fldCharType="separate"/>
            </w:r>
            <w:r w:rsidR="00981159">
              <w:rPr>
                <w:webHidden/>
              </w:rPr>
              <w:t>238</w:t>
            </w:r>
            <w:r w:rsidR="00981159">
              <w:rPr>
                <w:webHidden/>
              </w:rPr>
              <w:fldChar w:fldCharType="end"/>
            </w:r>
          </w:hyperlink>
        </w:p>
        <w:p w14:paraId="697DBE4B" w14:textId="3121FE26" w:rsidR="00981159" w:rsidRDefault="00B22F56">
          <w:pPr>
            <w:pStyle w:val="TM2"/>
            <w:rPr>
              <w:rFonts w:asciiTheme="minorHAnsi" w:eastAsiaTheme="minorEastAsia" w:hAnsiTheme="minorHAnsi" w:cstheme="minorBidi"/>
              <w:b w:val="0"/>
              <w:lang w:val="en-US" w:eastAsia="en-US"/>
            </w:rPr>
          </w:pPr>
          <w:hyperlink w:anchor="_Toc90471524" w:history="1">
            <w:r w:rsidR="00981159" w:rsidRPr="0086263B">
              <w:rPr>
                <w:rStyle w:val="Lienhypertexte"/>
                <w:iCs/>
              </w:rPr>
              <w:t>6.1.1.</w:t>
            </w:r>
            <w:r w:rsidR="00981159">
              <w:rPr>
                <w:rFonts w:asciiTheme="minorHAnsi" w:eastAsiaTheme="minorEastAsia" w:hAnsiTheme="minorHAnsi" w:cstheme="minorBidi"/>
                <w:b w:val="0"/>
                <w:lang w:val="en-US" w:eastAsia="en-US"/>
              </w:rPr>
              <w:tab/>
            </w:r>
            <w:r w:rsidR="00981159" w:rsidRPr="0086263B">
              <w:rPr>
                <w:rStyle w:val="Lienhypertexte"/>
                <w:i/>
              </w:rPr>
              <w:t>Critères environnementaux et sociaux d’éligibilité des sous-projets</w:t>
            </w:r>
            <w:r w:rsidR="00981159">
              <w:rPr>
                <w:webHidden/>
              </w:rPr>
              <w:tab/>
            </w:r>
            <w:r w:rsidR="00981159">
              <w:rPr>
                <w:webHidden/>
              </w:rPr>
              <w:fldChar w:fldCharType="begin"/>
            </w:r>
            <w:r w:rsidR="00981159">
              <w:rPr>
                <w:webHidden/>
              </w:rPr>
              <w:instrText xml:space="preserve"> PAGEREF _Toc90471524 \h </w:instrText>
            </w:r>
            <w:r w:rsidR="00981159">
              <w:rPr>
                <w:webHidden/>
              </w:rPr>
            </w:r>
            <w:r w:rsidR="00981159">
              <w:rPr>
                <w:webHidden/>
              </w:rPr>
              <w:fldChar w:fldCharType="separate"/>
            </w:r>
            <w:r w:rsidR="00981159">
              <w:rPr>
                <w:webHidden/>
              </w:rPr>
              <w:t>238</w:t>
            </w:r>
            <w:r w:rsidR="00981159">
              <w:rPr>
                <w:webHidden/>
              </w:rPr>
              <w:fldChar w:fldCharType="end"/>
            </w:r>
          </w:hyperlink>
        </w:p>
        <w:p w14:paraId="17FA3511" w14:textId="2FD335FC" w:rsidR="00981159" w:rsidRDefault="00B22F56">
          <w:pPr>
            <w:pStyle w:val="TM2"/>
            <w:rPr>
              <w:rFonts w:asciiTheme="minorHAnsi" w:eastAsiaTheme="minorEastAsia" w:hAnsiTheme="minorHAnsi" w:cstheme="minorBidi"/>
              <w:b w:val="0"/>
              <w:lang w:val="en-US" w:eastAsia="en-US"/>
            </w:rPr>
          </w:pPr>
          <w:hyperlink w:anchor="_Toc90471525" w:history="1">
            <w:r w:rsidR="00981159" w:rsidRPr="0086263B">
              <w:rPr>
                <w:rStyle w:val="Lienhypertexte"/>
                <w:iCs/>
              </w:rPr>
              <w:t>6.1.2.</w:t>
            </w:r>
            <w:r w:rsidR="00981159">
              <w:rPr>
                <w:rFonts w:asciiTheme="minorHAnsi" w:eastAsiaTheme="minorEastAsia" w:hAnsiTheme="minorHAnsi" w:cstheme="minorBidi"/>
                <w:b w:val="0"/>
                <w:lang w:val="en-US" w:eastAsia="en-US"/>
              </w:rPr>
              <w:tab/>
            </w:r>
            <w:r w:rsidR="00981159" w:rsidRPr="0086263B">
              <w:rPr>
                <w:rStyle w:val="Lienhypertexte"/>
                <w:i/>
              </w:rPr>
              <w:t>Procédures de gestion environnementale et sociale des sous-projets</w:t>
            </w:r>
            <w:r w:rsidR="00981159">
              <w:rPr>
                <w:webHidden/>
              </w:rPr>
              <w:tab/>
            </w:r>
            <w:r w:rsidR="00981159">
              <w:rPr>
                <w:webHidden/>
              </w:rPr>
              <w:fldChar w:fldCharType="begin"/>
            </w:r>
            <w:r w:rsidR="00981159">
              <w:rPr>
                <w:webHidden/>
              </w:rPr>
              <w:instrText xml:space="preserve"> PAGEREF _Toc90471525 \h </w:instrText>
            </w:r>
            <w:r w:rsidR="00981159">
              <w:rPr>
                <w:webHidden/>
              </w:rPr>
            </w:r>
            <w:r w:rsidR="00981159">
              <w:rPr>
                <w:webHidden/>
              </w:rPr>
              <w:fldChar w:fldCharType="separate"/>
            </w:r>
            <w:r w:rsidR="00981159">
              <w:rPr>
                <w:webHidden/>
              </w:rPr>
              <w:t>238</w:t>
            </w:r>
            <w:r w:rsidR="00981159">
              <w:rPr>
                <w:webHidden/>
              </w:rPr>
              <w:fldChar w:fldCharType="end"/>
            </w:r>
          </w:hyperlink>
        </w:p>
        <w:p w14:paraId="74D27D47" w14:textId="0416EB9B" w:rsidR="00981159" w:rsidRDefault="00B22F56">
          <w:pPr>
            <w:pStyle w:val="TM2"/>
            <w:tabs>
              <w:tab w:val="left" w:pos="1050"/>
            </w:tabs>
            <w:rPr>
              <w:rFonts w:asciiTheme="minorHAnsi" w:eastAsiaTheme="minorEastAsia" w:hAnsiTheme="minorHAnsi" w:cstheme="minorBidi"/>
              <w:b w:val="0"/>
              <w:lang w:val="en-US" w:eastAsia="en-US"/>
            </w:rPr>
          </w:pPr>
          <w:hyperlink w:anchor="_Toc90471526" w:history="1">
            <w:r w:rsidR="00981159" w:rsidRPr="0086263B">
              <w:rPr>
                <w:rStyle w:val="Lienhypertexte"/>
                <w:iCs/>
              </w:rPr>
              <w:t>6.1.3.</w:t>
            </w:r>
            <w:r w:rsidR="00981159">
              <w:rPr>
                <w:rFonts w:asciiTheme="minorHAnsi" w:eastAsiaTheme="minorEastAsia" w:hAnsiTheme="minorHAnsi" w:cstheme="minorBidi"/>
                <w:b w:val="0"/>
                <w:lang w:val="en-US" w:eastAsia="en-US"/>
              </w:rPr>
              <w:tab/>
            </w:r>
            <w:r w:rsidR="00981159" w:rsidRPr="0086263B">
              <w:rPr>
                <w:rStyle w:val="Lienhypertexte"/>
                <w:i/>
              </w:rPr>
              <w:t>Liste d’exclusion préliminaire pour les secteurs et des activiteés E&amp;S à risque élevé.</w:t>
            </w:r>
            <w:r w:rsidR="00981159">
              <w:rPr>
                <w:webHidden/>
              </w:rPr>
              <w:tab/>
            </w:r>
            <w:r w:rsidR="00981159">
              <w:rPr>
                <w:webHidden/>
              </w:rPr>
              <w:fldChar w:fldCharType="begin"/>
            </w:r>
            <w:r w:rsidR="00981159">
              <w:rPr>
                <w:webHidden/>
              </w:rPr>
              <w:instrText xml:space="preserve"> PAGEREF _Toc90471526 \h </w:instrText>
            </w:r>
            <w:r w:rsidR="00981159">
              <w:rPr>
                <w:webHidden/>
              </w:rPr>
            </w:r>
            <w:r w:rsidR="00981159">
              <w:rPr>
                <w:webHidden/>
              </w:rPr>
              <w:fldChar w:fldCharType="separate"/>
            </w:r>
            <w:r w:rsidR="00981159">
              <w:rPr>
                <w:webHidden/>
              </w:rPr>
              <w:t>245</w:t>
            </w:r>
            <w:r w:rsidR="00981159">
              <w:rPr>
                <w:webHidden/>
              </w:rPr>
              <w:fldChar w:fldCharType="end"/>
            </w:r>
          </w:hyperlink>
        </w:p>
        <w:p w14:paraId="4A1CFE29" w14:textId="2657AA18" w:rsidR="00981159" w:rsidRDefault="00B22F56">
          <w:pPr>
            <w:pStyle w:val="TM2"/>
            <w:rPr>
              <w:rFonts w:asciiTheme="minorHAnsi" w:eastAsiaTheme="minorEastAsia" w:hAnsiTheme="minorHAnsi" w:cstheme="minorBidi"/>
              <w:b w:val="0"/>
              <w:lang w:val="en-US" w:eastAsia="en-US"/>
            </w:rPr>
          </w:pPr>
          <w:hyperlink w:anchor="_Toc90471527" w:history="1">
            <w:r w:rsidR="00981159" w:rsidRPr="0086263B">
              <w:rPr>
                <w:rStyle w:val="Lienhypertexte"/>
              </w:rPr>
              <w:t>6.2.</w:t>
            </w:r>
            <w:r w:rsidR="00981159">
              <w:rPr>
                <w:rFonts w:asciiTheme="minorHAnsi" w:eastAsiaTheme="minorEastAsia" w:hAnsiTheme="minorHAnsi" w:cstheme="minorBidi"/>
                <w:b w:val="0"/>
                <w:lang w:val="en-US" w:eastAsia="en-US"/>
              </w:rPr>
              <w:tab/>
            </w:r>
            <w:r w:rsidR="00981159" w:rsidRPr="0086263B">
              <w:rPr>
                <w:rStyle w:val="Lienhypertexte"/>
              </w:rPr>
              <w:t>Arrangements institutionnels pour la mise en œuvre et le suivi du PGRIES</w:t>
            </w:r>
            <w:r w:rsidR="00981159">
              <w:rPr>
                <w:webHidden/>
              </w:rPr>
              <w:tab/>
            </w:r>
            <w:r w:rsidR="00981159">
              <w:rPr>
                <w:webHidden/>
              </w:rPr>
              <w:fldChar w:fldCharType="begin"/>
            </w:r>
            <w:r w:rsidR="00981159">
              <w:rPr>
                <w:webHidden/>
              </w:rPr>
              <w:instrText xml:space="preserve"> PAGEREF _Toc90471527 \h </w:instrText>
            </w:r>
            <w:r w:rsidR="00981159">
              <w:rPr>
                <w:webHidden/>
              </w:rPr>
            </w:r>
            <w:r w:rsidR="00981159">
              <w:rPr>
                <w:webHidden/>
              </w:rPr>
              <w:fldChar w:fldCharType="separate"/>
            </w:r>
            <w:r w:rsidR="00981159">
              <w:rPr>
                <w:webHidden/>
              </w:rPr>
              <w:t>245</w:t>
            </w:r>
            <w:r w:rsidR="00981159">
              <w:rPr>
                <w:webHidden/>
              </w:rPr>
              <w:fldChar w:fldCharType="end"/>
            </w:r>
          </w:hyperlink>
        </w:p>
        <w:p w14:paraId="554F3DFD" w14:textId="18A182A4" w:rsidR="00981159" w:rsidRDefault="00B22F56">
          <w:pPr>
            <w:pStyle w:val="TM2"/>
            <w:rPr>
              <w:rFonts w:asciiTheme="minorHAnsi" w:eastAsiaTheme="minorEastAsia" w:hAnsiTheme="minorHAnsi" w:cstheme="minorBidi"/>
              <w:b w:val="0"/>
              <w:lang w:val="en-US" w:eastAsia="en-US"/>
            </w:rPr>
          </w:pPr>
          <w:hyperlink w:anchor="_Toc90471530" w:history="1">
            <w:r w:rsidR="00981159" w:rsidRPr="0086263B">
              <w:rPr>
                <w:rStyle w:val="Lienhypertexte"/>
                <w:iCs/>
              </w:rPr>
              <w:t>6.2.1.</w:t>
            </w:r>
            <w:r w:rsidR="00981159">
              <w:rPr>
                <w:rFonts w:asciiTheme="minorHAnsi" w:eastAsiaTheme="minorEastAsia" w:hAnsiTheme="minorHAnsi" w:cstheme="minorBidi"/>
                <w:b w:val="0"/>
                <w:lang w:val="en-US" w:eastAsia="en-US"/>
              </w:rPr>
              <w:tab/>
            </w:r>
            <w:r w:rsidR="00981159" w:rsidRPr="0086263B">
              <w:rPr>
                <w:rStyle w:val="Lienhypertexte"/>
                <w:i/>
              </w:rPr>
              <w:t>Études, mesures d’accompagnement et suivi-évaluation</w:t>
            </w:r>
            <w:r w:rsidR="00981159">
              <w:rPr>
                <w:webHidden/>
              </w:rPr>
              <w:tab/>
            </w:r>
            <w:r w:rsidR="00981159">
              <w:rPr>
                <w:webHidden/>
              </w:rPr>
              <w:fldChar w:fldCharType="begin"/>
            </w:r>
            <w:r w:rsidR="00981159">
              <w:rPr>
                <w:webHidden/>
              </w:rPr>
              <w:instrText xml:space="preserve"> PAGEREF _Toc90471530 \h </w:instrText>
            </w:r>
            <w:r w:rsidR="00981159">
              <w:rPr>
                <w:webHidden/>
              </w:rPr>
            </w:r>
            <w:r w:rsidR="00981159">
              <w:rPr>
                <w:webHidden/>
              </w:rPr>
              <w:fldChar w:fldCharType="separate"/>
            </w:r>
            <w:r w:rsidR="00981159">
              <w:rPr>
                <w:webHidden/>
              </w:rPr>
              <w:t>255</w:t>
            </w:r>
            <w:r w:rsidR="00981159">
              <w:rPr>
                <w:webHidden/>
              </w:rPr>
              <w:fldChar w:fldCharType="end"/>
            </w:r>
          </w:hyperlink>
        </w:p>
        <w:p w14:paraId="5C09FD9B" w14:textId="7DBD40AA" w:rsidR="00981159" w:rsidRDefault="00B22F56">
          <w:pPr>
            <w:pStyle w:val="TM2"/>
            <w:rPr>
              <w:rFonts w:asciiTheme="minorHAnsi" w:eastAsiaTheme="minorEastAsia" w:hAnsiTheme="minorHAnsi" w:cstheme="minorBidi"/>
              <w:b w:val="0"/>
              <w:lang w:val="en-US" w:eastAsia="en-US"/>
            </w:rPr>
          </w:pPr>
          <w:hyperlink w:anchor="_Toc90471531" w:history="1">
            <w:r w:rsidR="00981159" w:rsidRPr="0086263B">
              <w:rPr>
                <w:rStyle w:val="Lienhypertexte"/>
                <w:iCs/>
              </w:rPr>
              <w:t>6.2.2.</w:t>
            </w:r>
            <w:r w:rsidR="00981159">
              <w:rPr>
                <w:rFonts w:asciiTheme="minorHAnsi" w:eastAsiaTheme="minorEastAsia" w:hAnsiTheme="minorHAnsi" w:cstheme="minorBidi"/>
                <w:b w:val="0"/>
                <w:lang w:val="en-US" w:eastAsia="en-US"/>
              </w:rPr>
              <w:tab/>
            </w:r>
            <w:r w:rsidR="00981159" w:rsidRPr="0086263B">
              <w:rPr>
                <w:rStyle w:val="Lienhypertexte"/>
                <w:i/>
                <w:iCs/>
              </w:rPr>
              <w:t>Mécanismes de surveillance environnementale et sociale</w:t>
            </w:r>
            <w:r w:rsidR="00981159">
              <w:rPr>
                <w:webHidden/>
              </w:rPr>
              <w:tab/>
            </w:r>
            <w:r w:rsidR="00981159">
              <w:rPr>
                <w:webHidden/>
              </w:rPr>
              <w:fldChar w:fldCharType="begin"/>
            </w:r>
            <w:r w:rsidR="00981159">
              <w:rPr>
                <w:webHidden/>
              </w:rPr>
              <w:instrText xml:space="preserve"> PAGEREF _Toc90471531 \h </w:instrText>
            </w:r>
            <w:r w:rsidR="00981159">
              <w:rPr>
                <w:webHidden/>
              </w:rPr>
            </w:r>
            <w:r w:rsidR="00981159">
              <w:rPr>
                <w:webHidden/>
              </w:rPr>
              <w:fldChar w:fldCharType="separate"/>
            </w:r>
            <w:r w:rsidR="00981159">
              <w:rPr>
                <w:webHidden/>
              </w:rPr>
              <w:t>256</w:t>
            </w:r>
            <w:r w:rsidR="00981159">
              <w:rPr>
                <w:webHidden/>
              </w:rPr>
              <w:fldChar w:fldCharType="end"/>
            </w:r>
          </w:hyperlink>
        </w:p>
        <w:p w14:paraId="06531654" w14:textId="794EDBE8" w:rsidR="00981159" w:rsidRDefault="00B22F56">
          <w:pPr>
            <w:pStyle w:val="TM2"/>
            <w:rPr>
              <w:rFonts w:asciiTheme="minorHAnsi" w:eastAsiaTheme="minorEastAsia" w:hAnsiTheme="minorHAnsi" w:cstheme="minorBidi"/>
              <w:b w:val="0"/>
              <w:lang w:val="en-US" w:eastAsia="en-US"/>
            </w:rPr>
          </w:pPr>
          <w:hyperlink w:anchor="_Toc90471538" w:history="1">
            <w:r w:rsidR="00981159" w:rsidRPr="0086263B">
              <w:rPr>
                <w:rStyle w:val="Lienhypertexte"/>
                <w:iCs/>
              </w:rPr>
              <w:t>6.2.3.</w:t>
            </w:r>
            <w:r w:rsidR="00981159">
              <w:rPr>
                <w:rFonts w:asciiTheme="minorHAnsi" w:eastAsiaTheme="minorEastAsia" w:hAnsiTheme="minorHAnsi" w:cstheme="minorBidi"/>
                <w:b w:val="0"/>
                <w:lang w:val="en-US" w:eastAsia="en-US"/>
              </w:rPr>
              <w:tab/>
            </w:r>
            <w:r w:rsidR="00981159" w:rsidRPr="0086263B">
              <w:rPr>
                <w:rStyle w:val="Lienhypertexte"/>
                <w:i/>
              </w:rPr>
              <w:t>Suivi environnemental et social</w:t>
            </w:r>
            <w:r w:rsidR="00981159">
              <w:rPr>
                <w:webHidden/>
              </w:rPr>
              <w:tab/>
            </w:r>
            <w:r w:rsidR="00981159">
              <w:rPr>
                <w:webHidden/>
              </w:rPr>
              <w:fldChar w:fldCharType="begin"/>
            </w:r>
            <w:r w:rsidR="00981159">
              <w:rPr>
                <w:webHidden/>
              </w:rPr>
              <w:instrText xml:space="preserve"> PAGEREF _Toc90471538 \h </w:instrText>
            </w:r>
            <w:r w:rsidR="00981159">
              <w:rPr>
                <w:webHidden/>
              </w:rPr>
            </w:r>
            <w:r w:rsidR="00981159">
              <w:rPr>
                <w:webHidden/>
              </w:rPr>
              <w:fldChar w:fldCharType="separate"/>
            </w:r>
            <w:r w:rsidR="00981159">
              <w:rPr>
                <w:webHidden/>
              </w:rPr>
              <w:t>256</w:t>
            </w:r>
            <w:r w:rsidR="00981159">
              <w:rPr>
                <w:webHidden/>
              </w:rPr>
              <w:fldChar w:fldCharType="end"/>
            </w:r>
          </w:hyperlink>
        </w:p>
        <w:p w14:paraId="3C8C4106" w14:textId="04336696" w:rsidR="00981159" w:rsidRDefault="00B22F56">
          <w:pPr>
            <w:pStyle w:val="TM2"/>
            <w:rPr>
              <w:rFonts w:asciiTheme="minorHAnsi" w:eastAsiaTheme="minorEastAsia" w:hAnsiTheme="minorHAnsi" w:cstheme="minorBidi"/>
              <w:b w:val="0"/>
              <w:lang w:val="en-US" w:eastAsia="en-US"/>
            </w:rPr>
          </w:pPr>
          <w:hyperlink w:anchor="_Toc90471539" w:history="1">
            <w:r w:rsidR="00981159" w:rsidRPr="0086263B">
              <w:rPr>
                <w:rStyle w:val="Lienhypertexte"/>
                <w:iCs/>
              </w:rPr>
              <w:t>6.2.4.</w:t>
            </w:r>
            <w:r w:rsidR="00981159">
              <w:rPr>
                <w:rFonts w:asciiTheme="minorHAnsi" w:eastAsiaTheme="minorEastAsia" w:hAnsiTheme="minorHAnsi" w:cstheme="minorBidi"/>
                <w:b w:val="0"/>
                <w:lang w:val="en-US" w:eastAsia="en-US"/>
              </w:rPr>
              <w:tab/>
            </w:r>
            <w:r w:rsidR="00981159" w:rsidRPr="0086263B">
              <w:rPr>
                <w:rStyle w:val="Lienhypertexte"/>
                <w:i/>
              </w:rPr>
              <w:t>Rôles et responsabilités pour le suivi-évaluation et rapportage environnemental et social du sous-projet/microprojet/activité</w:t>
            </w:r>
            <w:r w:rsidR="00981159">
              <w:rPr>
                <w:webHidden/>
              </w:rPr>
              <w:tab/>
            </w:r>
            <w:r w:rsidR="00981159">
              <w:rPr>
                <w:webHidden/>
              </w:rPr>
              <w:fldChar w:fldCharType="begin"/>
            </w:r>
            <w:r w:rsidR="00981159">
              <w:rPr>
                <w:webHidden/>
              </w:rPr>
              <w:instrText xml:space="preserve"> PAGEREF _Toc90471539 \h </w:instrText>
            </w:r>
            <w:r w:rsidR="00981159">
              <w:rPr>
                <w:webHidden/>
              </w:rPr>
            </w:r>
            <w:r w:rsidR="00981159">
              <w:rPr>
                <w:webHidden/>
              </w:rPr>
              <w:fldChar w:fldCharType="separate"/>
            </w:r>
            <w:r w:rsidR="00981159">
              <w:rPr>
                <w:webHidden/>
              </w:rPr>
              <w:t>256</w:t>
            </w:r>
            <w:r w:rsidR="00981159">
              <w:rPr>
                <w:webHidden/>
              </w:rPr>
              <w:fldChar w:fldCharType="end"/>
            </w:r>
          </w:hyperlink>
        </w:p>
        <w:p w14:paraId="6BA758F8" w14:textId="3C11A5BA" w:rsidR="00981159" w:rsidRDefault="00B22F56">
          <w:pPr>
            <w:pStyle w:val="TM2"/>
            <w:rPr>
              <w:rFonts w:asciiTheme="minorHAnsi" w:eastAsiaTheme="minorEastAsia" w:hAnsiTheme="minorHAnsi" w:cstheme="minorBidi"/>
              <w:b w:val="0"/>
              <w:lang w:val="en-US" w:eastAsia="en-US"/>
            </w:rPr>
          </w:pPr>
          <w:hyperlink w:anchor="_Toc90471540" w:history="1">
            <w:r w:rsidR="00981159" w:rsidRPr="0086263B">
              <w:rPr>
                <w:rStyle w:val="Lienhypertexte"/>
                <w:iCs/>
              </w:rPr>
              <w:t>6.2.5.</w:t>
            </w:r>
            <w:r w:rsidR="00981159">
              <w:rPr>
                <w:rFonts w:asciiTheme="minorHAnsi" w:eastAsiaTheme="minorEastAsia" w:hAnsiTheme="minorHAnsi" w:cstheme="minorBidi"/>
                <w:b w:val="0"/>
                <w:lang w:val="en-US" w:eastAsia="en-US"/>
              </w:rPr>
              <w:tab/>
            </w:r>
            <w:r w:rsidR="00981159" w:rsidRPr="0086263B">
              <w:rPr>
                <w:rStyle w:val="Lienhypertexte"/>
                <w:i/>
              </w:rPr>
              <w:t>Evaluation (audit)</w:t>
            </w:r>
            <w:r w:rsidR="00981159">
              <w:rPr>
                <w:webHidden/>
              </w:rPr>
              <w:tab/>
            </w:r>
            <w:r w:rsidR="00981159">
              <w:rPr>
                <w:webHidden/>
              </w:rPr>
              <w:fldChar w:fldCharType="begin"/>
            </w:r>
            <w:r w:rsidR="00981159">
              <w:rPr>
                <w:webHidden/>
              </w:rPr>
              <w:instrText xml:space="preserve"> PAGEREF _Toc90471540 \h </w:instrText>
            </w:r>
            <w:r w:rsidR="00981159">
              <w:rPr>
                <w:webHidden/>
              </w:rPr>
            </w:r>
            <w:r w:rsidR="00981159">
              <w:rPr>
                <w:webHidden/>
              </w:rPr>
              <w:fldChar w:fldCharType="separate"/>
            </w:r>
            <w:r w:rsidR="00981159">
              <w:rPr>
                <w:webHidden/>
              </w:rPr>
              <w:t>259</w:t>
            </w:r>
            <w:r w:rsidR="00981159">
              <w:rPr>
                <w:webHidden/>
              </w:rPr>
              <w:fldChar w:fldCharType="end"/>
            </w:r>
          </w:hyperlink>
        </w:p>
        <w:p w14:paraId="0E0D217A" w14:textId="06F9BD22" w:rsidR="00981159" w:rsidRDefault="00B22F56">
          <w:pPr>
            <w:pStyle w:val="TM2"/>
            <w:rPr>
              <w:rFonts w:asciiTheme="minorHAnsi" w:eastAsiaTheme="minorEastAsia" w:hAnsiTheme="minorHAnsi" w:cstheme="minorBidi"/>
              <w:b w:val="0"/>
              <w:lang w:val="en-US" w:eastAsia="en-US"/>
            </w:rPr>
          </w:pPr>
          <w:hyperlink w:anchor="_Toc90471541" w:history="1">
            <w:r w:rsidR="00981159" w:rsidRPr="0086263B">
              <w:rPr>
                <w:rStyle w:val="Lienhypertexte"/>
                <w:iCs/>
              </w:rPr>
              <w:t>6.2.6.</w:t>
            </w:r>
            <w:r w:rsidR="00981159">
              <w:rPr>
                <w:rFonts w:asciiTheme="minorHAnsi" w:eastAsiaTheme="minorEastAsia" w:hAnsiTheme="minorHAnsi" w:cstheme="minorBidi"/>
                <w:b w:val="0"/>
                <w:lang w:val="en-US" w:eastAsia="en-US"/>
              </w:rPr>
              <w:tab/>
            </w:r>
            <w:r w:rsidR="00981159" w:rsidRPr="0086263B">
              <w:rPr>
                <w:rStyle w:val="Lienhypertexte"/>
                <w:i/>
              </w:rPr>
              <w:t>Composantes environnementales et sociales à suivre</w:t>
            </w:r>
            <w:r w:rsidR="00981159">
              <w:rPr>
                <w:webHidden/>
              </w:rPr>
              <w:tab/>
            </w:r>
            <w:r w:rsidR="00981159">
              <w:rPr>
                <w:webHidden/>
              </w:rPr>
              <w:fldChar w:fldCharType="begin"/>
            </w:r>
            <w:r w:rsidR="00981159">
              <w:rPr>
                <w:webHidden/>
              </w:rPr>
              <w:instrText xml:space="preserve"> PAGEREF _Toc90471541 \h </w:instrText>
            </w:r>
            <w:r w:rsidR="00981159">
              <w:rPr>
                <w:webHidden/>
              </w:rPr>
            </w:r>
            <w:r w:rsidR="00981159">
              <w:rPr>
                <w:webHidden/>
              </w:rPr>
              <w:fldChar w:fldCharType="separate"/>
            </w:r>
            <w:r w:rsidR="00981159">
              <w:rPr>
                <w:webHidden/>
              </w:rPr>
              <w:t>259</w:t>
            </w:r>
            <w:r w:rsidR="00981159">
              <w:rPr>
                <w:webHidden/>
              </w:rPr>
              <w:fldChar w:fldCharType="end"/>
            </w:r>
          </w:hyperlink>
        </w:p>
        <w:p w14:paraId="28C9F0B5" w14:textId="68E0BBCF" w:rsidR="00981159" w:rsidRDefault="00B22F56">
          <w:pPr>
            <w:pStyle w:val="TM2"/>
            <w:rPr>
              <w:rFonts w:asciiTheme="minorHAnsi" w:eastAsiaTheme="minorEastAsia" w:hAnsiTheme="minorHAnsi" w:cstheme="minorBidi"/>
              <w:b w:val="0"/>
              <w:lang w:val="en-US" w:eastAsia="en-US"/>
            </w:rPr>
          </w:pPr>
          <w:hyperlink w:anchor="_Toc90471542" w:history="1">
            <w:r w:rsidR="00981159" w:rsidRPr="0086263B">
              <w:rPr>
                <w:rStyle w:val="Lienhypertexte"/>
                <w:iCs/>
              </w:rPr>
              <w:t>6.2.7.</w:t>
            </w:r>
            <w:r w:rsidR="00981159">
              <w:rPr>
                <w:rFonts w:asciiTheme="minorHAnsi" w:eastAsiaTheme="minorEastAsia" w:hAnsiTheme="minorHAnsi" w:cstheme="minorBidi"/>
                <w:b w:val="0"/>
                <w:lang w:val="en-US" w:eastAsia="en-US"/>
              </w:rPr>
              <w:tab/>
            </w:r>
            <w:r w:rsidR="00981159" w:rsidRPr="0086263B">
              <w:rPr>
                <w:rStyle w:val="Lienhypertexte"/>
                <w:i/>
              </w:rPr>
              <w:t>Suivi en phase de préparation et de travaux</w:t>
            </w:r>
            <w:r w:rsidR="00981159">
              <w:rPr>
                <w:webHidden/>
              </w:rPr>
              <w:tab/>
            </w:r>
            <w:r w:rsidR="00981159">
              <w:rPr>
                <w:webHidden/>
              </w:rPr>
              <w:fldChar w:fldCharType="begin"/>
            </w:r>
            <w:r w:rsidR="00981159">
              <w:rPr>
                <w:webHidden/>
              </w:rPr>
              <w:instrText xml:space="preserve"> PAGEREF _Toc90471542 \h </w:instrText>
            </w:r>
            <w:r w:rsidR="00981159">
              <w:rPr>
                <w:webHidden/>
              </w:rPr>
            </w:r>
            <w:r w:rsidR="00981159">
              <w:rPr>
                <w:webHidden/>
              </w:rPr>
              <w:fldChar w:fldCharType="separate"/>
            </w:r>
            <w:r w:rsidR="00981159">
              <w:rPr>
                <w:webHidden/>
              </w:rPr>
              <w:t>259</w:t>
            </w:r>
            <w:r w:rsidR="00981159">
              <w:rPr>
                <w:webHidden/>
              </w:rPr>
              <w:fldChar w:fldCharType="end"/>
            </w:r>
          </w:hyperlink>
        </w:p>
        <w:p w14:paraId="662409BF" w14:textId="036382E3" w:rsidR="00981159" w:rsidRDefault="00B22F56">
          <w:pPr>
            <w:pStyle w:val="TM2"/>
            <w:rPr>
              <w:rFonts w:asciiTheme="minorHAnsi" w:eastAsiaTheme="minorEastAsia" w:hAnsiTheme="minorHAnsi" w:cstheme="minorBidi"/>
              <w:b w:val="0"/>
              <w:lang w:val="en-US" w:eastAsia="en-US"/>
            </w:rPr>
          </w:pPr>
          <w:hyperlink w:anchor="_Toc90471543" w:history="1">
            <w:r w:rsidR="00981159" w:rsidRPr="0086263B">
              <w:rPr>
                <w:rStyle w:val="Lienhypertexte"/>
                <w:iCs/>
              </w:rPr>
              <w:t>6.2.8.</w:t>
            </w:r>
            <w:r w:rsidR="00981159">
              <w:rPr>
                <w:rFonts w:asciiTheme="minorHAnsi" w:eastAsiaTheme="minorEastAsia" w:hAnsiTheme="minorHAnsi" w:cstheme="minorBidi"/>
                <w:b w:val="0"/>
                <w:lang w:val="en-US" w:eastAsia="en-US"/>
              </w:rPr>
              <w:tab/>
            </w:r>
            <w:r w:rsidR="00981159" w:rsidRPr="0086263B">
              <w:rPr>
                <w:rStyle w:val="Lienhypertexte"/>
                <w:i/>
              </w:rPr>
              <w:t>Indicateurs de suivi environnemental et social</w:t>
            </w:r>
            <w:r w:rsidR="00981159">
              <w:rPr>
                <w:webHidden/>
              </w:rPr>
              <w:tab/>
            </w:r>
            <w:r w:rsidR="00981159">
              <w:rPr>
                <w:webHidden/>
              </w:rPr>
              <w:fldChar w:fldCharType="begin"/>
            </w:r>
            <w:r w:rsidR="00981159">
              <w:rPr>
                <w:webHidden/>
              </w:rPr>
              <w:instrText xml:space="preserve"> PAGEREF _Toc90471543 \h </w:instrText>
            </w:r>
            <w:r w:rsidR="00981159">
              <w:rPr>
                <w:webHidden/>
              </w:rPr>
            </w:r>
            <w:r w:rsidR="00981159">
              <w:rPr>
                <w:webHidden/>
              </w:rPr>
              <w:fldChar w:fldCharType="separate"/>
            </w:r>
            <w:r w:rsidR="00981159">
              <w:rPr>
                <w:webHidden/>
              </w:rPr>
              <w:t>259</w:t>
            </w:r>
            <w:r w:rsidR="00981159">
              <w:rPr>
                <w:webHidden/>
              </w:rPr>
              <w:fldChar w:fldCharType="end"/>
            </w:r>
          </w:hyperlink>
        </w:p>
        <w:p w14:paraId="0F96D4DB" w14:textId="463439B3" w:rsidR="00981159" w:rsidRDefault="00B22F56">
          <w:pPr>
            <w:pStyle w:val="TM2"/>
            <w:rPr>
              <w:rFonts w:asciiTheme="minorHAnsi" w:eastAsiaTheme="minorEastAsia" w:hAnsiTheme="minorHAnsi" w:cstheme="minorBidi"/>
              <w:b w:val="0"/>
              <w:lang w:val="en-US" w:eastAsia="en-US"/>
            </w:rPr>
          </w:pPr>
          <w:hyperlink w:anchor="_Toc90471544" w:history="1">
            <w:r w:rsidR="00981159" w:rsidRPr="0086263B">
              <w:rPr>
                <w:rStyle w:val="Lienhypertexte"/>
              </w:rPr>
              <w:t>6.3.</w:t>
            </w:r>
            <w:r w:rsidR="00981159">
              <w:rPr>
                <w:rFonts w:asciiTheme="minorHAnsi" w:eastAsiaTheme="minorEastAsia" w:hAnsiTheme="minorHAnsi" w:cstheme="minorBidi"/>
                <w:b w:val="0"/>
                <w:lang w:val="en-US" w:eastAsia="en-US"/>
              </w:rPr>
              <w:tab/>
            </w:r>
            <w:r w:rsidR="00981159" w:rsidRPr="0086263B">
              <w:rPr>
                <w:rStyle w:val="Lienhypertexte"/>
              </w:rPr>
              <w:t>Calendrier de mise en œuvre des mesures</w:t>
            </w:r>
            <w:r w:rsidR="00981159">
              <w:rPr>
                <w:webHidden/>
              </w:rPr>
              <w:tab/>
            </w:r>
            <w:r w:rsidR="00981159">
              <w:rPr>
                <w:webHidden/>
              </w:rPr>
              <w:fldChar w:fldCharType="begin"/>
            </w:r>
            <w:r w:rsidR="00981159">
              <w:rPr>
                <w:webHidden/>
              </w:rPr>
              <w:instrText xml:space="preserve"> PAGEREF _Toc90471544 \h </w:instrText>
            </w:r>
            <w:r w:rsidR="00981159">
              <w:rPr>
                <w:webHidden/>
              </w:rPr>
            </w:r>
            <w:r w:rsidR="00981159">
              <w:rPr>
                <w:webHidden/>
              </w:rPr>
              <w:fldChar w:fldCharType="separate"/>
            </w:r>
            <w:r w:rsidR="00981159">
              <w:rPr>
                <w:webHidden/>
              </w:rPr>
              <w:t>265</w:t>
            </w:r>
            <w:r w:rsidR="00981159">
              <w:rPr>
                <w:webHidden/>
              </w:rPr>
              <w:fldChar w:fldCharType="end"/>
            </w:r>
          </w:hyperlink>
        </w:p>
        <w:p w14:paraId="2870A1B0" w14:textId="6A5145E1" w:rsidR="00981159" w:rsidRDefault="00B22F56">
          <w:pPr>
            <w:pStyle w:val="TM1"/>
            <w:rPr>
              <w:rFonts w:asciiTheme="minorHAnsi" w:eastAsiaTheme="minorEastAsia" w:hAnsiTheme="minorHAnsi" w:cstheme="minorBidi"/>
              <w:b w:val="0"/>
              <w:bCs w:val="0"/>
              <w:caps w:val="0"/>
              <w:color w:val="auto"/>
              <w:lang w:val="en-US" w:eastAsia="en-US"/>
            </w:rPr>
          </w:pPr>
          <w:hyperlink w:anchor="_Toc90471545" w:history="1">
            <w:r w:rsidR="00981159" w:rsidRPr="0086263B">
              <w:rPr>
                <w:rStyle w:val="Lienhypertexte"/>
              </w:rPr>
              <w:t>7.</w:t>
            </w:r>
            <w:r w:rsidR="00981159">
              <w:rPr>
                <w:rFonts w:asciiTheme="minorHAnsi" w:eastAsiaTheme="minorEastAsia" w:hAnsiTheme="minorHAnsi" w:cstheme="minorBidi"/>
                <w:b w:val="0"/>
                <w:bCs w:val="0"/>
                <w:caps w:val="0"/>
                <w:color w:val="auto"/>
                <w:lang w:val="en-US" w:eastAsia="en-US"/>
              </w:rPr>
              <w:tab/>
            </w:r>
            <w:r w:rsidR="00981159" w:rsidRPr="0086263B">
              <w:rPr>
                <w:rStyle w:val="Lienhypertexte"/>
              </w:rPr>
              <w:t>CONSULTATIONS DU PUBLIC ET DIVULGATION</w:t>
            </w:r>
            <w:r w:rsidR="00981159">
              <w:rPr>
                <w:webHidden/>
              </w:rPr>
              <w:tab/>
            </w:r>
            <w:r w:rsidR="00981159">
              <w:rPr>
                <w:webHidden/>
              </w:rPr>
              <w:fldChar w:fldCharType="begin"/>
            </w:r>
            <w:r w:rsidR="00981159">
              <w:rPr>
                <w:webHidden/>
              </w:rPr>
              <w:instrText xml:space="preserve"> PAGEREF _Toc90471545 \h </w:instrText>
            </w:r>
            <w:r w:rsidR="00981159">
              <w:rPr>
                <w:webHidden/>
              </w:rPr>
            </w:r>
            <w:r w:rsidR="00981159">
              <w:rPr>
                <w:webHidden/>
              </w:rPr>
              <w:fldChar w:fldCharType="separate"/>
            </w:r>
            <w:r w:rsidR="00981159">
              <w:rPr>
                <w:webHidden/>
              </w:rPr>
              <w:t>266</w:t>
            </w:r>
            <w:r w:rsidR="00981159">
              <w:rPr>
                <w:webHidden/>
              </w:rPr>
              <w:fldChar w:fldCharType="end"/>
            </w:r>
          </w:hyperlink>
        </w:p>
        <w:p w14:paraId="03F7A566" w14:textId="2C4024D9" w:rsidR="00981159" w:rsidRDefault="00B22F56">
          <w:pPr>
            <w:pStyle w:val="TM2"/>
            <w:rPr>
              <w:rFonts w:asciiTheme="minorHAnsi" w:eastAsiaTheme="minorEastAsia" w:hAnsiTheme="minorHAnsi" w:cstheme="minorBidi"/>
              <w:b w:val="0"/>
              <w:lang w:val="en-US" w:eastAsia="en-US"/>
            </w:rPr>
          </w:pPr>
          <w:hyperlink w:anchor="_Toc90471554" w:history="1">
            <w:r w:rsidR="00981159" w:rsidRPr="0086263B">
              <w:rPr>
                <w:rStyle w:val="Lienhypertexte"/>
              </w:rPr>
              <w:t>7.1.</w:t>
            </w:r>
            <w:r w:rsidR="00981159">
              <w:rPr>
                <w:rFonts w:asciiTheme="minorHAnsi" w:eastAsiaTheme="minorEastAsia" w:hAnsiTheme="minorHAnsi" w:cstheme="minorBidi"/>
                <w:b w:val="0"/>
                <w:lang w:val="en-US" w:eastAsia="en-US"/>
              </w:rPr>
              <w:tab/>
            </w:r>
            <w:r w:rsidR="00981159" w:rsidRPr="0086263B">
              <w:rPr>
                <w:rStyle w:val="Lienhypertexte"/>
              </w:rPr>
              <w:t>Consultations du public lors de l’élaboration du CGES</w:t>
            </w:r>
            <w:r w:rsidR="00981159">
              <w:rPr>
                <w:webHidden/>
              </w:rPr>
              <w:tab/>
            </w:r>
            <w:r w:rsidR="00981159">
              <w:rPr>
                <w:webHidden/>
              </w:rPr>
              <w:fldChar w:fldCharType="begin"/>
            </w:r>
            <w:r w:rsidR="00981159">
              <w:rPr>
                <w:webHidden/>
              </w:rPr>
              <w:instrText xml:space="preserve"> PAGEREF _Toc90471554 \h </w:instrText>
            </w:r>
            <w:r w:rsidR="00981159">
              <w:rPr>
                <w:webHidden/>
              </w:rPr>
            </w:r>
            <w:r w:rsidR="00981159">
              <w:rPr>
                <w:webHidden/>
              </w:rPr>
              <w:fldChar w:fldCharType="separate"/>
            </w:r>
            <w:r w:rsidR="00981159">
              <w:rPr>
                <w:webHidden/>
              </w:rPr>
              <w:t>267</w:t>
            </w:r>
            <w:r w:rsidR="00981159">
              <w:rPr>
                <w:webHidden/>
              </w:rPr>
              <w:fldChar w:fldCharType="end"/>
            </w:r>
          </w:hyperlink>
        </w:p>
        <w:p w14:paraId="4E90DFF8" w14:textId="6EE33C21" w:rsidR="00981159" w:rsidRDefault="00B22F56">
          <w:pPr>
            <w:pStyle w:val="TM2"/>
            <w:rPr>
              <w:rFonts w:asciiTheme="minorHAnsi" w:eastAsiaTheme="minorEastAsia" w:hAnsiTheme="minorHAnsi" w:cstheme="minorBidi"/>
              <w:b w:val="0"/>
              <w:lang w:val="en-US" w:eastAsia="en-US"/>
            </w:rPr>
          </w:pPr>
          <w:hyperlink w:anchor="_Toc90471560" w:history="1">
            <w:r w:rsidR="00981159" w:rsidRPr="0086263B">
              <w:rPr>
                <w:rStyle w:val="Lienhypertexte"/>
                <w:iCs/>
              </w:rPr>
              <w:t>7.1.1.</w:t>
            </w:r>
            <w:r w:rsidR="00981159">
              <w:rPr>
                <w:rFonts w:asciiTheme="minorHAnsi" w:eastAsiaTheme="minorEastAsia" w:hAnsiTheme="minorHAnsi" w:cstheme="minorBidi"/>
                <w:b w:val="0"/>
                <w:lang w:val="en-US" w:eastAsia="en-US"/>
              </w:rPr>
              <w:tab/>
            </w:r>
            <w:r w:rsidR="00981159" w:rsidRPr="0086263B">
              <w:rPr>
                <w:rStyle w:val="Lienhypertexte"/>
                <w:i/>
              </w:rPr>
              <w:t>Objectifs des consultations du public</w:t>
            </w:r>
            <w:r w:rsidR="00981159">
              <w:rPr>
                <w:webHidden/>
              </w:rPr>
              <w:tab/>
            </w:r>
            <w:r w:rsidR="00981159">
              <w:rPr>
                <w:webHidden/>
              </w:rPr>
              <w:fldChar w:fldCharType="begin"/>
            </w:r>
            <w:r w:rsidR="00981159">
              <w:rPr>
                <w:webHidden/>
              </w:rPr>
              <w:instrText xml:space="preserve"> PAGEREF _Toc90471560 \h </w:instrText>
            </w:r>
            <w:r w:rsidR="00981159">
              <w:rPr>
                <w:webHidden/>
              </w:rPr>
            </w:r>
            <w:r w:rsidR="00981159">
              <w:rPr>
                <w:webHidden/>
              </w:rPr>
              <w:fldChar w:fldCharType="separate"/>
            </w:r>
            <w:r w:rsidR="00981159">
              <w:rPr>
                <w:webHidden/>
              </w:rPr>
              <w:t>267</w:t>
            </w:r>
            <w:r w:rsidR="00981159">
              <w:rPr>
                <w:webHidden/>
              </w:rPr>
              <w:fldChar w:fldCharType="end"/>
            </w:r>
          </w:hyperlink>
        </w:p>
        <w:p w14:paraId="26ED037D" w14:textId="0BCAD2F1" w:rsidR="00981159" w:rsidRDefault="00B22F56">
          <w:pPr>
            <w:pStyle w:val="TM2"/>
            <w:rPr>
              <w:rFonts w:asciiTheme="minorHAnsi" w:eastAsiaTheme="minorEastAsia" w:hAnsiTheme="minorHAnsi" w:cstheme="minorBidi"/>
              <w:b w:val="0"/>
              <w:lang w:val="en-US" w:eastAsia="en-US"/>
            </w:rPr>
          </w:pPr>
          <w:hyperlink w:anchor="_Toc90471561" w:history="1">
            <w:r w:rsidR="00981159" w:rsidRPr="0086263B">
              <w:rPr>
                <w:rStyle w:val="Lienhypertexte"/>
                <w:iCs/>
              </w:rPr>
              <w:t>7.1.2.</w:t>
            </w:r>
            <w:r w:rsidR="00981159">
              <w:rPr>
                <w:rFonts w:asciiTheme="minorHAnsi" w:eastAsiaTheme="minorEastAsia" w:hAnsiTheme="minorHAnsi" w:cstheme="minorBidi"/>
                <w:b w:val="0"/>
                <w:lang w:val="en-US" w:eastAsia="en-US"/>
              </w:rPr>
              <w:tab/>
            </w:r>
            <w:r w:rsidR="00981159" w:rsidRPr="0086263B">
              <w:rPr>
                <w:rStyle w:val="Lienhypertexte"/>
                <w:i/>
              </w:rPr>
              <w:t>Acteurs consultés</w:t>
            </w:r>
            <w:r w:rsidR="00981159">
              <w:rPr>
                <w:webHidden/>
              </w:rPr>
              <w:tab/>
            </w:r>
            <w:r w:rsidR="00981159">
              <w:rPr>
                <w:webHidden/>
              </w:rPr>
              <w:fldChar w:fldCharType="begin"/>
            </w:r>
            <w:r w:rsidR="00981159">
              <w:rPr>
                <w:webHidden/>
              </w:rPr>
              <w:instrText xml:space="preserve"> PAGEREF _Toc90471561 \h </w:instrText>
            </w:r>
            <w:r w:rsidR="00981159">
              <w:rPr>
                <w:webHidden/>
              </w:rPr>
            </w:r>
            <w:r w:rsidR="00981159">
              <w:rPr>
                <w:webHidden/>
              </w:rPr>
              <w:fldChar w:fldCharType="separate"/>
            </w:r>
            <w:r w:rsidR="00981159">
              <w:rPr>
                <w:webHidden/>
              </w:rPr>
              <w:t>268</w:t>
            </w:r>
            <w:r w:rsidR="00981159">
              <w:rPr>
                <w:webHidden/>
              </w:rPr>
              <w:fldChar w:fldCharType="end"/>
            </w:r>
          </w:hyperlink>
        </w:p>
        <w:p w14:paraId="6DAB9671" w14:textId="36645E6C" w:rsidR="00981159" w:rsidRDefault="00B22F56">
          <w:pPr>
            <w:pStyle w:val="TM2"/>
            <w:rPr>
              <w:rFonts w:asciiTheme="minorHAnsi" w:eastAsiaTheme="minorEastAsia" w:hAnsiTheme="minorHAnsi" w:cstheme="minorBidi"/>
              <w:b w:val="0"/>
              <w:lang w:val="en-US" w:eastAsia="en-US"/>
            </w:rPr>
          </w:pPr>
          <w:hyperlink w:anchor="_Toc90471562" w:history="1">
            <w:r w:rsidR="00981159" w:rsidRPr="0086263B">
              <w:rPr>
                <w:rStyle w:val="Lienhypertexte"/>
                <w:iCs/>
              </w:rPr>
              <w:t>7.1.3.</w:t>
            </w:r>
            <w:r w:rsidR="00981159">
              <w:rPr>
                <w:rFonts w:asciiTheme="minorHAnsi" w:eastAsiaTheme="minorEastAsia" w:hAnsiTheme="minorHAnsi" w:cstheme="minorBidi"/>
                <w:b w:val="0"/>
                <w:lang w:val="en-US" w:eastAsia="en-US"/>
              </w:rPr>
              <w:tab/>
            </w:r>
            <w:r w:rsidR="00981159" w:rsidRPr="0086263B">
              <w:rPr>
                <w:rStyle w:val="Lienhypertexte"/>
                <w:i/>
              </w:rPr>
              <w:t>Consultations réalisées</w:t>
            </w:r>
            <w:r w:rsidR="00981159">
              <w:rPr>
                <w:webHidden/>
              </w:rPr>
              <w:tab/>
            </w:r>
            <w:r w:rsidR="00981159">
              <w:rPr>
                <w:webHidden/>
              </w:rPr>
              <w:fldChar w:fldCharType="begin"/>
            </w:r>
            <w:r w:rsidR="00981159">
              <w:rPr>
                <w:webHidden/>
              </w:rPr>
              <w:instrText xml:space="preserve"> PAGEREF _Toc90471562 \h </w:instrText>
            </w:r>
            <w:r w:rsidR="00981159">
              <w:rPr>
                <w:webHidden/>
              </w:rPr>
            </w:r>
            <w:r w:rsidR="00981159">
              <w:rPr>
                <w:webHidden/>
              </w:rPr>
              <w:fldChar w:fldCharType="separate"/>
            </w:r>
            <w:r w:rsidR="00981159">
              <w:rPr>
                <w:webHidden/>
              </w:rPr>
              <w:t>268</w:t>
            </w:r>
            <w:r w:rsidR="00981159">
              <w:rPr>
                <w:webHidden/>
              </w:rPr>
              <w:fldChar w:fldCharType="end"/>
            </w:r>
          </w:hyperlink>
        </w:p>
        <w:p w14:paraId="6AB76A8E" w14:textId="14485DBB" w:rsidR="00981159" w:rsidRDefault="00B22F56">
          <w:pPr>
            <w:pStyle w:val="TM2"/>
            <w:rPr>
              <w:rFonts w:asciiTheme="minorHAnsi" w:eastAsiaTheme="minorEastAsia" w:hAnsiTheme="minorHAnsi" w:cstheme="minorBidi"/>
              <w:b w:val="0"/>
              <w:lang w:val="en-US" w:eastAsia="en-US"/>
            </w:rPr>
          </w:pPr>
          <w:hyperlink w:anchor="_Toc90471563" w:history="1">
            <w:r w:rsidR="00981159" w:rsidRPr="0086263B">
              <w:rPr>
                <w:rStyle w:val="Lienhypertexte"/>
                <w:iCs/>
              </w:rPr>
              <w:t>7.1.4.</w:t>
            </w:r>
            <w:r w:rsidR="00981159">
              <w:rPr>
                <w:rFonts w:asciiTheme="minorHAnsi" w:eastAsiaTheme="minorEastAsia" w:hAnsiTheme="minorHAnsi" w:cstheme="minorBidi"/>
                <w:b w:val="0"/>
                <w:lang w:val="en-US" w:eastAsia="en-US"/>
              </w:rPr>
              <w:tab/>
            </w:r>
            <w:r w:rsidR="00981159" w:rsidRPr="0086263B">
              <w:rPr>
                <w:rStyle w:val="Lienhypertexte"/>
                <w:i/>
              </w:rPr>
              <w:t>Thématiques ou points discutés</w:t>
            </w:r>
            <w:r w:rsidR="00981159">
              <w:rPr>
                <w:webHidden/>
              </w:rPr>
              <w:tab/>
            </w:r>
            <w:r w:rsidR="00981159">
              <w:rPr>
                <w:webHidden/>
              </w:rPr>
              <w:fldChar w:fldCharType="begin"/>
            </w:r>
            <w:r w:rsidR="00981159">
              <w:rPr>
                <w:webHidden/>
              </w:rPr>
              <w:instrText xml:space="preserve"> PAGEREF _Toc90471563 \h </w:instrText>
            </w:r>
            <w:r w:rsidR="00981159">
              <w:rPr>
                <w:webHidden/>
              </w:rPr>
            </w:r>
            <w:r w:rsidR="00981159">
              <w:rPr>
                <w:webHidden/>
              </w:rPr>
              <w:fldChar w:fldCharType="separate"/>
            </w:r>
            <w:r w:rsidR="00981159">
              <w:rPr>
                <w:webHidden/>
              </w:rPr>
              <w:t>269</w:t>
            </w:r>
            <w:r w:rsidR="00981159">
              <w:rPr>
                <w:webHidden/>
              </w:rPr>
              <w:fldChar w:fldCharType="end"/>
            </w:r>
          </w:hyperlink>
        </w:p>
        <w:p w14:paraId="197FAD05" w14:textId="7D462215" w:rsidR="00981159" w:rsidRDefault="00B22F56">
          <w:pPr>
            <w:pStyle w:val="TM2"/>
            <w:rPr>
              <w:rFonts w:asciiTheme="minorHAnsi" w:eastAsiaTheme="minorEastAsia" w:hAnsiTheme="minorHAnsi" w:cstheme="minorBidi"/>
              <w:b w:val="0"/>
              <w:lang w:val="en-US" w:eastAsia="en-US"/>
            </w:rPr>
          </w:pPr>
          <w:hyperlink w:anchor="_Toc90471564" w:history="1">
            <w:r w:rsidR="00981159" w:rsidRPr="0086263B">
              <w:rPr>
                <w:rStyle w:val="Lienhypertexte"/>
                <w:iCs/>
              </w:rPr>
              <w:t>7.1.5.</w:t>
            </w:r>
            <w:r w:rsidR="00981159">
              <w:rPr>
                <w:rFonts w:asciiTheme="minorHAnsi" w:eastAsiaTheme="minorEastAsia" w:hAnsiTheme="minorHAnsi" w:cstheme="minorBidi"/>
                <w:b w:val="0"/>
                <w:lang w:val="en-US" w:eastAsia="en-US"/>
              </w:rPr>
              <w:tab/>
            </w:r>
            <w:r w:rsidR="00981159" w:rsidRPr="0086263B">
              <w:rPr>
                <w:rStyle w:val="Lienhypertexte"/>
                <w:i/>
              </w:rPr>
              <w:t>Résultats des consultations avec les services techniques de l’État</w:t>
            </w:r>
            <w:r w:rsidR="00981159">
              <w:rPr>
                <w:webHidden/>
              </w:rPr>
              <w:tab/>
            </w:r>
            <w:r w:rsidR="00981159">
              <w:rPr>
                <w:webHidden/>
              </w:rPr>
              <w:fldChar w:fldCharType="begin"/>
            </w:r>
            <w:r w:rsidR="00981159">
              <w:rPr>
                <w:webHidden/>
              </w:rPr>
              <w:instrText xml:space="preserve"> PAGEREF _Toc90471564 \h </w:instrText>
            </w:r>
            <w:r w:rsidR="00981159">
              <w:rPr>
                <w:webHidden/>
              </w:rPr>
            </w:r>
            <w:r w:rsidR="00981159">
              <w:rPr>
                <w:webHidden/>
              </w:rPr>
              <w:fldChar w:fldCharType="separate"/>
            </w:r>
            <w:r w:rsidR="00981159">
              <w:rPr>
                <w:webHidden/>
              </w:rPr>
              <w:t>269</w:t>
            </w:r>
            <w:r w:rsidR="00981159">
              <w:rPr>
                <w:webHidden/>
              </w:rPr>
              <w:fldChar w:fldCharType="end"/>
            </w:r>
          </w:hyperlink>
        </w:p>
        <w:p w14:paraId="521D4DB7" w14:textId="22513C24" w:rsidR="00981159" w:rsidRDefault="00B22F56">
          <w:pPr>
            <w:pStyle w:val="TM2"/>
            <w:rPr>
              <w:rFonts w:asciiTheme="minorHAnsi" w:eastAsiaTheme="minorEastAsia" w:hAnsiTheme="minorHAnsi" w:cstheme="minorBidi"/>
              <w:b w:val="0"/>
              <w:lang w:val="en-US" w:eastAsia="en-US"/>
            </w:rPr>
          </w:pPr>
          <w:hyperlink w:anchor="_Toc90471565" w:history="1">
            <w:r w:rsidR="00981159" w:rsidRPr="0086263B">
              <w:rPr>
                <w:rStyle w:val="Lienhypertexte"/>
                <w:iCs/>
              </w:rPr>
              <w:t>7.1.6.</w:t>
            </w:r>
            <w:r w:rsidR="00981159">
              <w:rPr>
                <w:rFonts w:asciiTheme="minorHAnsi" w:eastAsiaTheme="minorEastAsia" w:hAnsiTheme="minorHAnsi" w:cstheme="minorBidi"/>
                <w:b w:val="0"/>
                <w:lang w:val="en-US" w:eastAsia="en-US"/>
              </w:rPr>
              <w:tab/>
            </w:r>
            <w:r w:rsidR="00981159" w:rsidRPr="0086263B">
              <w:rPr>
                <w:rStyle w:val="Lienhypertexte"/>
                <w:i/>
              </w:rPr>
              <w:t>Résultats des consultations avec les Provinces</w:t>
            </w:r>
            <w:r w:rsidR="00981159">
              <w:rPr>
                <w:webHidden/>
              </w:rPr>
              <w:tab/>
            </w:r>
            <w:r w:rsidR="00981159">
              <w:rPr>
                <w:webHidden/>
              </w:rPr>
              <w:fldChar w:fldCharType="begin"/>
            </w:r>
            <w:r w:rsidR="00981159">
              <w:rPr>
                <w:webHidden/>
              </w:rPr>
              <w:instrText xml:space="preserve"> PAGEREF _Toc90471565 \h </w:instrText>
            </w:r>
            <w:r w:rsidR="00981159">
              <w:rPr>
                <w:webHidden/>
              </w:rPr>
            </w:r>
            <w:r w:rsidR="00981159">
              <w:rPr>
                <w:webHidden/>
              </w:rPr>
              <w:fldChar w:fldCharType="separate"/>
            </w:r>
            <w:r w:rsidR="00981159">
              <w:rPr>
                <w:webHidden/>
              </w:rPr>
              <w:t>270</w:t>
            </w:r>
            <w:r w:rsidR="00981159">
              <w:rPr>
                <w:webHidden/>
              </w:rPr>
              <w:fldChar w:fldCharType="end"/>
            </w:r>
          </w:hyperlink>
        </w:p>
        <w:p w14:paraId="493B4876" w14:textId="447232FC" w:rsidR="00981159" w:rsidRDefault="00B22F56">
          <w:pPr>
            <w:pStyle w:val="TM2"/>
            <w:rPr>
              <w:rFonts w:asciiTheme="minorHAnsi" w:eastAsiaTheme="minorEastAsia" w:hAnsiTheme="minorHAnsi" w:cstheme="minorBidi"/>
              <w:b w:val="0"/>
              <w:lang w:val="en-US" w:eastAsia="en-US"/>
            </w:rPr>
          </w:pPr>
          <w:hyperlink w:anchor="_Toc90471566" w:history="1">
            <w:r w:rsidR="00981159" w:rsidRPr="0086263B">
              <w:rPr>
                <w:rStyle w:val="Lienhypertexte"/>
              </w:rPr>
              <w:t>7.2.</w:t>
            </w:r>
            <w:r w:rsidR="00981159">
              <w:rPr>
                <w:rFonts w:asciiTheme="minorHAnsi" w:eastAsiaTheme="minorEastAsia" w:hAnsiTheme="minorHAnsi" w:cstheme="minorBidi"/>
                <w:b w:val="0"/>
                <w:lang w:val="en-US" w:eastAsia="en-US"/>
              </w:rPr>
              <w:tab/>
            </w:r>
            <w:r w:rsidR="00981159" w:rsidRPr="0086263B">
              <w:rPr>
                <w:rStyle w:val="Lienhypertexte"/>
              </w:rPr>
              <w:t>Plan de Mobilisation des Parties Prenantes</w:t>
            </w:r>
            <w:r w:rsidR="00981159">
              <w:rPr>
                <w:webHidden/>
              </w:rPr>
              <w:tab/>
            </w:r>
            <w:r w:rsidR="00981159">
              <w:rPr>
                <w:webHidden/>
              </w:rPr>
              <w:fldChar w:fldCharType="begin"/>
            </w:r>
            <w:r w:rsidR="00981159">
              <w:rPr>
                <w:webHidden/>
              </w:rPr>
              <w:instrText xml:space="preserve"> PAGEREF _Toc90471566 \h </w:instrText>
            </w:r>
            <w:r w:rsidR="00981159">
              <w:rPr>
                <w:webHidden/>
              </w:rPr>
            </w:r>
            <w:r w:rsidR="00981159">
              <w:rPr>
                <w:webHidden/>
              </w:rPr>
              <w:fldChar w:fldCharType="separate"/>
            </w:r>
            <w:r w:rsidR="00981159">
              <w:rPr>
                <w:webHidden/>
              </w:rPr>
              <w:t>270</w:t>
            </w:r>
            <w:r w:rsidR="00981159">
              <w:rPr>
                <w:webHidden/>
              </w:rPr>
              <w:fldChar w:fldCharType="end"/>
            </w:r>
          </w:hyperlink>
        </w:p>
        <w:p w14:paraId="0257AEB0" w14:textId="1A761916" w:rsidR="00981159" w:rsidRDefault="00B22F56">
          <w:pPr>
            <w:pStyle w:val="TM2"/>
            <w:rPr>
              <w:rFonts w:asciiTheme="minorHAnsi" w:eastAsiaTheme="minorEastAsia" w:hAnsiTheme="minorHAnsi" w:cstheme="minorBidi"/>
              <w:b w:val="0"/>
              <w:lang w:val="en-US" w:eastAsia="en-US"/>
            </w:rPr>
          </w:pPr>
          <w:hyperlink w:anchor="_Toc90471567" w:history="1">
            <w:r w:rsidR="00981159" w:rsidRPr="0086263B">
              <w:rPr>
                <w:rStyle w:val="Lienhypertexte"/>
              </w:rPr>
              <w:t>7.3.</w:t>
            </w:r>
            <w:r w:rsidR="00981159">
              <w:rPr>
                <w:rFonts w:asciiTheme="minorHAnsi" w:eastAsiaTheme="minorEastAsia" w:hAnsiTheme="minorHAnsi" w:cstheme="minorBidi"/>
                <w:b w:val="0"/>
                <w:lang w:val="en-US" w:eastAsia="en-US"/>
              </w:rPr>
              <w:tab/>
            </w:r>
            <w:r w:rsidR="00981159" w:rsidRPr="0086263B">
              <w:rPr>
                <w:rStyle w:val="Lienhypertexte"/>
              </w:rPr>
              <w:t>Ateliers de restitution</w:t>
            </w:r>
            <w:r w:rsidR="00981159">
              <w:rPr>
                <w:webHidden/>
              </w:rPr>
              <w:tab/>
            </w:r>
            <w:r w:rsidR="00981159">
              <w:rPr>
                <w:webHidden/>
              </w:rPr>
              <w:fldChar w:fldCharType="begin"/>
            </w:r>
            <w:r w:rsidR="00981159">
              <w:rPr>
                <w:webHidden/>
              </w:rPr>
              <w:instrText xml:space="preserve"> PAGEREF _Toc90471567 \h </w:instrText>
            </w:r>
            <w:r w:rsidR="00981159">
              <w:rPr>
                <w:webHidden/>
              </w:rPr>
            </w:r>
            <w:r w:rsidR="00981159">
              <w:rPr>
                <w:webHidden/>
              </w:rPr>
              <w:fldChar w:fldCharType="separate"/>
            </w:r>
            <w:r w:rsidR="00981159">
              <w:rPr>
                <w:webHidden/>
              </w:rPr>
              <w:t>271</w:t>
            </w:r>
            <w:r w:rsidR="00981159">
              <w:rPr>
                <w:webHidden/>
              </w:rPr>
              <w:fldChar w:fldCharType="end"/>
            </w:r>
          </w:hyperlink>
        </w:p>
        <w:p w14:paraId="78D544EA" w14:textId="14A9249B" w:rsidR="00981159" w:rsidRDefault="00B22F56">
          <w:pPr>
            <w:pStyle w:val="TM2"/>
            <w:rPr>
              <w:rFonts w:asciiTheme="minorHAnsi" w:eastAsiaTheme="minorEastAsia" w:hAnsiTheme="minorHAnsi" w:cstheme="minorBidi"/>
              <w:b w:val="0"/>
              <w:lang w:val="en-US" w:eastAsia="en-US"/>
            </w:rPr>
          </w:pPr>
          <w:hyperlink w:anchor="_Toc90471568" w:history="1">
            <w:r w:rsidR="00981159" w:rsidRPr="0086263B">
              <w:rPr>
                <w:rStyle w:val="Lienhypertexte"/>
              </w:rPr>
              <w:t>7.4.</w:t>
            </w:r>
            <w:r w:rsidR="00981159">
              <w:rPr>
                <w:rFonts w:asciiTheme="minorHAnsi" w:eastAsiaTheme="minorEastAsia" w:hAnsiTheme="minorHAnsi" w:cstheme="minorBidi"/>
                <w:b w:val="0"/>
                <w:lang w:val="en-US" w:eastAsia="en-US"/>
              </w:rPr>
              <w:tab/>
            </w:r>
            <w:r w:rsidR="00981159" w:rsidRPr="0086263B">
              <w:rPr>
                <w:rStyle w:val="Lienhypertexte"/>
              </w:rPr>
              <w:t>Mécanisme de Gestion des Plaintes (MGP)</w:t>
            </w:r>
            <w:r w:rsidR="00981159">
              <w:rPr>
                <w:webHidden/>
              </w:rPr>
              <w:tab/>
            </w:r>
            <w:r w:rsidR="00981159">
              <w:rPr>
                <w:webHidden/>
              </w:rPr>
              <w:fldChar w:fldCharType="begin"/>
            </w:r>
            <w:r w:rsidR="00981159">
              <w:rPr>
                <w:webHidden/>
              </w:rPr>
              <w:instrText xml:space="preserve"> PAGEREF _Toc90471568 \h </w:instrText>
            </w:r>
            <w:r w:rsidR="00981159">
              <w:rPr>
                <w:webHidden/>
              </w:rPr>
            </w:r>
            <w:r w:rsidR="00981159">
              <w:rPr>
                <w:webHidden/>
              </w:rPr>
              <w:fldChar w:fldCharType="separate"/>
            </w:r>
            <w:r w:rsidR="00981159">
              <w:rPr>
                <w:webHidden/>
              </w:rPr>
              <w:t>275</w:t>
            </w:r>
            <w:r w:rsidR="00981159">
              <w:rPr>
                <w:webHidden/>
              </w:rPr>
              <w:fldChar w:fldCharType="end"/>
            </w:r>
          </w:hyperlink>
        </w:p>
        <w:p w14:paraId="28C1C0F1" w14:textId="16021DED" w:rsidR="00981159" w:rsidRDefault="00B22F56">
          <w:pPr>
            <w:pStyle w:val="TM2"/>
            <w:rPr>
              <w:rFonts w:asciiTheme="minorHAnsi" w:eastAsiaTheme="minorEastAsia" w:hAnsiTheme="minorHAnsi" w:cstheme="minorBidi"/>
              <w:b w:val="0"/>
              <w:lang w:val="en-US" w:eastAsia="en-US"/>
            </w:rPr>
          </w:pPr>
          <w:hyperlink w:anchor="_Toc90471569" w:history="1">
            <w:r w:rsidR="00981159" w:rsidRPr="0086263B">
              <w:rPr>
                <w:rStyle w:val="Lienhypertexte"/>
                <w:iCs/>
              </w:rPr>
              <w:t>7.4.1.</w:t>
            </w:r>
            <w:r w:rsidR="00981159">
              <w:rPr>
                <w:rFonts w:asciiTheme="minorHAnsi" w:eastAsiaTheme="minorEastAsia" w:hAnsiTheme="minorHAnsi" w:cstheme="minorBidi"/>
                <w:b w:val="0"/>
                <w:lang w:val="en-US" w:eastAsia="en-US"/>
              </w:rPr>
              <w:tab/>
            </w:r>
            <w:r w:rsidR="00981159" w:rsidRPr="0086263B">
              <w:rPr>
                <w:rStyle w:val="Lienhypertexte"/>
                <w:i/>
              </w:rPr>
              <w:t>Plaintes globales du Programme</w:t>
            </w:r>
            <w:r w:rsidR="00981159">
              <w:rPr>
                <w:webHidden/>
              </w:rPr>
              <w:tab/>
            </w:r>
            <w:r w:rsidR="00981159">
              <w:rPr>
                <w:webHidden/>
              </w:rPr>
              <w:fldChar w:fldCharType="begin"/>
            </w:r>
            <w:r w:rsidR="00981159">
              <w:rPr>
                <w:webHidden/>
              </w:rPr>
              <w:instrText xml:space="preserve"> PAGEREF _Toc90471569 \h </w:instrText>
            </w:r>
            <w:r w:rsidR="00981159">
              <w:rPr>
                <w:webHidden/>
              </w:rPr>
            </w:r>
            <w:r w:rsidR="00981159">
              <w:rPr>
                <w:webHidden/>
              </w:rPr>
              <w:fldChar w:fldCharType="separate"/>
            </w:r>
            <w:r w:rsidR="00981159">
              <w:rPr>
                <w:webHidden/>
              </w:rPr>
              <w:t>275</w:t>
            </w:r>
            <w:r w:rsidR="00981159">
              <w:rPr>
                <w:webHidden/>
              </w:rPr>
              <w:fldChar w:fldCharType="end"/>
            </w:r>
          </w:hyperlink>
        </w:p>
        <w:p w14:paraId="2C13B8BD" w14:textId="2DA8C03A" w:rsidR="00981159" w:rsidRDefault="00B22F56">
          <w:pPr>
            <w:pStyle w:val="TM2"/>
            <w:rPr>
              <w:rFonts w:asciiTheme="minorHAnsi" w:eastAsiaTheme="minorEastAsia" w:hAnsiTheme="minorHAnsi" w:cstheme="minorBidi"/>
              <w:b w:val="0"/>
              <w:lang w:val="en-US" w:eastAsia="en-US"/>
            </w:rPr>
          </w:pPr>
          <w:hyperlink w:anchor="_Toc90471570" w:history="1">
            <w:r w:rsidR="00981159" w:rsidRPr="0086263B">
              <w:rPr>
                <w:rStyle w:val="Lienhypertexte"/>
                <w:iCs/>
              </w:rPr>
              <w:t>7.4.2.</w:t>
            </w:r>
            <w:r w:rsidR="00981159">
              <w:rPr>
                <w:rFonts w:asciiTheme="minorHAnsi" w:eastAsiaTheme="minorEastAsia" w:hAnsiTheme="minorHAnsi" w:cstheme="minorBidi"/>
                <w:b w:val="0"/>
                <w:lang w:val="en-US" w:eastAsia="en-US"/>
              </w:rPr>
              <w:tab/>
            </w:r>
            <w:r w:rsidR="00981159" w:rsidRPr="0086263B">
              <w:rPr>
                <w:rStyle w:val="Lienhypertexte"/>
                <w:i/>
              </w:rPr>
              <w:t>Plaintes relatives aux VBG/EAS/HS</w:t>
            </w:r>
            <w:r w:rsidR="00981159">
              <w:rPr>
                <w:webHidden/>
              </w:rPr>
              <w:tab/>
            </w:r>
            <w:r w:rsidR="00981159">
              <w:rPr>
                <w:webHidden/>
              </w:rPr>
              <w:fldChar w:fldCharType="begin"/>
            </w:r>
            <w:r w:rsidR="00981159">
              <w:rPr>
                <w:webHidden/>
              </w:rPr>
              <w:instrText xml:space="preserve"> PAGEREF _Toc90471570 \h </w:instrText>
            </w:r>
            <w:r w:rsidR="00981159">
              <w:rPr>
                <w:webHidden/>
              </w:rPr>
            </w:r>
            <w:r w:rsidR="00981159">
              <w:rPr>
                <w:webHidden/>
              </w:rPr>
              <w:fldChar w:fldCharType="separate"/>
            </w:r>
            <w:r w:rsidR="00981159">
              <w:rPr>
                <w:webHidden/>
              </w:rPr>
              <w:t>275</w:t>
            </w:r>
            <w:r w:rsidR="00981159">
              <w:rPr>
                <w:webHidden/>
              </w:rPr>
              <w:fldChar w:fldCharType="end"/>
            </w:r>
          </w:hyperlink>
        </w:p>
        <w:p w14:paraId="0BA306AD" w14:textId="42A2AA19" w:rsidR="00981159" w:rsidRDefault="00B22F56">
          <w:pPr>
            <w:pStyle w:val="TM2"/>
            <w:rPr>
              <w:rFonts w:asciiTheme="minorHAnsi" w:eastAsiaTheme="minorEastAsia" w:hAnsiTheme="minorHAnsi" w:cstheme="minorBidi"/>
              <w:b w:val="0"/>
              <w:lang w:val="en-US" w:eastAsia="en-US"/>
            </w:rPr>
          </w:pPr>
          <w:hyperlink w:anchor="_Toc90471571" w:history="1">
            <w:r w:rsidR="00981159" w:rsidRPr="0086263B">
              <w:rPr>
                <w:rStyle w:val="Lienhypertexte"/>
              </w:rPr>
              <w:t>Les détails sur les 8 étapes des Plaintes relatives aux VBG/EAS/HS du Programme sont compris dans le Plan d’action EAS/HS.</w:t>
            </w:r>
            <w:r w:rsidR="00981159">
              <w:rPr>
                <w:webHidden/>
              </w:rPr>
              <w:tab/>
            </w:r>
            <w:r w:rsidR="00981159">
              <w:rPr>
                <w:webHidden/>
              </w:rPr>
              <w:fldChar w:fldCharType="begin"/>
            </w:r>
            <w:r w:rsidR="00981159">
              <w:rPr>
                <w:webHidden/>
              </w:rPr>
              <w:instrText xml:space="preserve"> PAGEREF _Toc90471571 \h </w:instrText>
            </w:r>
            <w:r w:rsidR="00981159">
              <w:rPr>
                <w:webHidden/>
              </w:rPr>
            </w:r>
            <w:r w:rsidR="00981159">
              <w:rPr>
                <w:webHidden/>
              </w:rPr>
              <w:fldChar w:fldCharType="separate"/>
            </w:r>
            <w:r w:rsidR="00981159">
              <w:rPr>
                <w:webHidden/>
              </w:rPr>
              <w:t>276</w:t>
            </w:r>
            <w:r w:rsidR="00981159">
              <w:rPr>
                <w:webHidden/>
              </w:rPr>
              <w:fldChar w:fldCharType="end"/>
            </w:r>
          </w:hyperlink>
        </w:p>
        <w:p w14:paraId="0843D06D" w14:textId="1A70CA66" w:rsidR="00981159" w:rsidRDefault="00B22F56">
          <w:pPr>
            <w:pStyle w:val="TM2"/>
            <w:rPr>
              <w:rFonts w:asciiTheme="minorHAnsi" w:eastAsiaTheme="minorEastAsia" w:hAnsiTheme="minorHAnsi" w:cstheme="minorBidi"/>
              <w:b w:val="0"/>
              <w:lang w:val="en-US" w:eastAsia="en-US"/>
            </w:rPr>
          </w:pPr>
          <w:hyperlink w:anchor="_Toc90471572" w:history="1">
            <w:r w:rsidR="00981159" w:rsidRPr="0086263B">
              <w:rPr>
                <w:rStyle w:val="Lienhypertexte"/>
                <w:iCs/>
              </w:rPr>
              <w:t>7.4.3.</w:t>
            </w:r>
            <w:r w:rsidR="00981159">
              <w:rPr>
                <w:rFonts w:asciiTheme="minorHAnsi" w:eastAsiaTheme="minorEastAsia" w:hAnsiTheme="minorHAnsi" w:cstheme="minorBidi"/>
                <w:b w:val="0"/>
                <w:lang w:val="en-US" w:eastAsia="en-US"/>
              </w:rPr>
              <w:tab/>
            </w:r>
            <w:r w:rsidR="00981159" w:rsidRPr="0086263B">
              <w:rPr>
                <w:rStyle w:val="Lienhypertexte"/>
                <w:i/>
                <w:iCs/>
              </w:rPr>
              <w:t>Suivi et enregistrement des plaintes</w:t>
            </w:r>
            <w:r w:rsidR="00981159">
              <w:rPr>
                <w:webHidden/>
              </w:rPr>
              <w:tab/>
            </w:r>
            <w:r w:rsidR="00981159">
              <w:rPr>
                <w:webHidden/>
              </w:rPr>
              <w:fldChar w:fldCharType="begin"/>
            </w:r>
            <w:r w:rsidR="00981159">
              <w:rPr>
                <w:webHidden/>
              </w:rPr>
              <w:instrText xml:space="preserve"> PAGEREF _Toc90471572 \h </w:instrText>
            </w:r>
            <w:r w:rsidR="00981159">
              <w:rPr>
                <w:webHidden/>
              </w:rPr>
            </w:r>
            <w:r w:rsidR="00981159">
              <w:rPr>
                <w:webHidden/>
              </w:rPr>
              <w:fldChar w:fldCharType="separate"/>
            </w:r>
            <w:r w:rsidR="00981159">
              <w:rPr>
                <w:webHidden/>
              </w:rPr>
              <w:t>276</w:t>
            </w:r>
            <w:r w:rsidR="00981159">
              <w:rPr>
                <w:webHidden/>
              </w:rPr>
              <w:fldChar w:fldCharType="end"/>
            </w:r>
          </w:hyperlink>
        </w:p>
        <w:p w14:paraId="2C9F9434" w14:textId="5060F369" w:rsidR="00981159" w:rsidRDefault="00B22F56">
          <w:pPr>
            <w:pStyle w:val="TM2"/>
            <w:rPr>
              <w:rFonts w:asciiTheme="minorHAnsi" w:eastAsiaTheme="minorEastAsia" w:hAnsiTheme="minorHAnsi" w:cstheme="minorBidi"/>
              <w:b w:val="0"/>
              <w:lang w:val="en-US" w:eastAsia="en-US"/>
            </w:rPr>
          </w:pPr>
          <w:hyperlink w:anchor="_Toc90471573" w:history="1">
            <w:r w:rsidR="00981159" w:rsidRPr="0086263B">
              <w:rPr>
                <w:rStyle w:val="Lienhypertexte"/>
                <w:iCs/>
              </w:rPr>
              <w:t>7.4.4.</w:t>
            </w:r>
            <w:r w:rsidR="00981159">
              <w:rPr>
                <w:rFonts w:asciiTheme="minorHAnsi" w:eastAsiaTheme="minorEastAsia" w:hAnsiTheme="minorHAnsi" w:cstheme="minorBidi"/>
                <w:b w:val="0"/>
                <w:lang w:val="en-US" w:eastAsia="en-US"/>
              </w:rPr>
              <w:tab/>
            </w:r>
            <w:r w:rsidR="00981159" w:rsidRPr="0086263B">
              <w:rPr>
                <w:rStyle w:val="Lienhypertexte"/>
                <w:i/>
                <w:iCs/>
              </w:rPr>
              <w:t>Rôles et responsabilités institutionnels dans le suivi du MGP</w:t>
            </w:r>
            <w:r w:rsidR="00981159">
              <w:rPr>
                <w:webHidden/>
              </w:rPr>
              <w:tab/>
            </w:r>
            <w:r w:rsidR="00981159">
              <w:rPr>
                <w:webHidden/>
              </w:rPr>
              <w:fldChar w:fldCharType="begin"/>
            </w:r>
            <w:r w:rsidR="00981159">
              <w:rPr>
                <w:webHidden/>
              </w:rPr>
              <w:instrText xml:space="preserve"> PAGEREF _Toc90471573 \h </w:instrText>
            </w:r>
            <w:r w:rsidR="00981159">
              <w:rPr>
                <w:webHidden/>
              </w:rPr>
            </w:r>
            <w:r w:rsidR="00981159">
              <w:rPr>
                <w:webHidden/>
              </w:rPr>
              <w:fldChar w:fldCharType="separate"/>
            </w:r>
            <w:r w:rsidR="00981159">
              <w:rPr>
                <w:webHidden/>
              </w:rPr>
              <w:t>276</w:t>
            </w:r>
            <w:r w:rsidR="00981159">
              <w:rPr>
                <w:webHidden/>
              </w:rPr>
              <w:fldChar w:fldCharType="end"/>
            </w:r>
          </w:hyperlink>
        </w:p>
        <w:p w14:paraId="010567FC" w14:textId="576669C7" w:rsidR="00981159" w:rsidRDefault="00B22F56">
          <w:pPr>
            <w:pStyle w:val="TM2"/>
            <w:rPr>
              <w:rFonts w:asciiTheme="minorHAnsi" w:eastAsiaTheme="minorEastAsia" w:hAnsiTheme="minorHAnsi" w:cstheme="minorBidi"/>
              <w:b w:val="0"/>
              <w:lang w:val="en-US" w:eastAsia="en-US"/>
            </w:rPr>
          </w:pPr>
          <w:hyperlink w:anchor="_Toc90471574" w:history="1">
            <w:r w:rsidR="00981159" w:rsidRPr="0086263B">
              <w:rPr>
                <w:rStyle w:val="Lienhypertexte"/>
                <w:iCs/>
              </w:rPr>
              <w:t>7.4.5.</w:t>
            </w:r>
            <w:r w:rsidR="00981159">
              <w:rPr>
                <w:rFonts w:asciiTheme="minorHAnsi" w:eastAsiaTheme="minorEastAsia" w:hAnsiTheme="minorHAnsi" w:cstheme="minorBidi"/>
                <w:b w:val="0"/>
                <w:lang w:val="en-US" w:eastAsia="en-US"/>
              </w:rPr>
              <w:tab/>
            </w:r>
            <w:r w:rsidR="00981159" w:rsidRPr="0086263B">
              <w:rPr>
                <w:rStyle w:val="Lienhypertexte"/>
                <w:i/>
                <w:iCs/>
              </w:rPr>
              <w:t>Indicateurs de suivi</w:t>
            </w:r>
            <w:r w:rsidR="00981159">
              <w:rPr>
                <w:webHidden/>
              </w:rPr>
              <w:tab/>
            </w:r>
            <w:r w:rsidR="00981159">
              <w:rPr>
                <w:webHidden/>
              </w:rPr>
              <w:fldChar w:fldCharType="begin"/>
            </w:r>
            <w:r w:rsidR="00981159">
              <w:rPr>
                <w:webHidden/>
              </w:rPr>
              <w:instrText xml:space="preserve"> PAGEREF _Toc90471574 \h </w:instrText>
            </w:r>
            <w:r w:rsidR="00981159">
              <w:rPr>
                <w:webHidden/>
              </w:rPr>
            </w:r>
            <w:r w:rsidR="00981159">
              <w:rPr>
                <w:webHidden/>
              </w:rPr>
              <w:fldChar w:fldCharType="separate"/>
            </w:r>
            <w:r w:rsidR="00981159">
              <w:rPr>
                <w:webHidden/>
              </w:rPr>
              <w:t>276</w:t>
            </w:r>
            <w:r w:rsidR="00981159">
              <w:rPr>
                <w:webHidden/>
              </w:rPr>
              <w:fldChar w:fldCharType="end"/>
            </w:r>
          </w:hyperlink>
        </w:p>
        <w:p w14:paraId="4772E0E6" w14:textId="5F60B2B6" w:rsidR="00981159" w:rsidRDefault="00B22F56">
          <w:pPr>
            <w:pStyle w:val="TM2"/>
            <w:rPr>
              <w:rFonts w:asciiTheme="minorHAnsi" w:eastAsiaTheme="minorEastAsia" w:hAnsiTheme="minorHAnsi" w:cstheme="minorBidi"/>
              <w:b w:val="0"/>
              <w:lang w:val="en-US" w:eastAsia="en-US"/>
            </w:rPr>
          </w:pPr>
          <w:hyperlink w:anchor="_Toc90471575" w:history="1">
            <w:r w:rsidR="00981159" w:rsidRPr="0086263B">
              <w:rPr>
                <w:rStyle w:val="Lienhypertexte"/>
              </w:rPr>
              <w:t>7.5.</w:t>
            </w:r>
            <w:r w:rsidR="00981159">
              <w:rPr>
                <w:rFonts w:asciiTheme="minorHAnsi" w:eastAsiaTheme="minorEastAsia" w:hAnsiTheme="minorHAnsi" w:cstheme="minorBidi"/>
                <w:b w:val="0"/>
                <w:lang w:val="en-US" w:eastAsia="en-US"/>
              </w:rPr>
              <w:tab/>
            </w:r>
            <w:r w:rsidR="00981159" w:rsidRPr="0086263B">
              <w:rPr>
                <w:rStyle w:val="Lienhypertexte"/>
              </w:rPr>
              <w:t>Service de règlement des plaintes de la Banque mondiale et le Panel d’inspection de la Banque mondiale</w:t>
            </w:r>
            <w:r w:rsidR="00981159">
              <w:rPr>
                <w:webHidden/>
              </w:rPr>
              <w:tab/>
            </w:r>
            <w:r w:rsidR="00981159">
              <w:rPr>
                <w:webHidden/>
              </w:rPr>
              <w:fldChar w:fldCharType="begin"/>
            </w:r>
            <w:r w:rsidR="00981159">
              <w:rPr>
                <w:webHidden/>
              </w:rPr>
              <w:instrText xml:space="preserve"> PAGEREF _Toc90471575 \h </w:instrText>
            </w:r>
            <w:r w:rsidR="00981159">
              <w:rPr>
                <w:webHidden/>
              </w:rPr>
            </w:r>
            <w:r w:rsidR="00981159">
              <w:rPr>
                <w:webHidden/>
              </w:rPr>
              <w:fldChar w:fldCharType="separate"/>
            </w:r>
            <w:r w:rsidR="00981159">
              <w:rPr>
                <w:webHidden/>
              </w:rPr>
              <w:t>276</w:t>
            </w:r>
            <w:r w:rsidR="00981159">
              <w:rPr>
                <w:webHidden/>
              </w:rPr>
              <w:fldChar w:fldCharType="end"/>
            </w:r>
          </w:hyperlink>
        </w:p>
        <w:p w14:paraId="1D2AB3CC" w14:textId="31DFAD1A" w:rsidR="00981159" w:rsidRDefault="00B22F56">
          <w:pPr>
            <w:pStyle w:val="TM1"/>
            <w:rPr>
              <w:rFonts w:asciiTheme="minorHAnsi" w:eastAsiaTheme="minorEastAsia" w:hAnsiTheme="minorHAnsi" w:cstheme="minorBidi"/>
              <w:b w:val="0"/>
              <w:bCs w:val="0"/>
              <w:caps w:val="0"/>
              <w:color w:val="auto"/>
              <w:lang w:val="en-US" w:eastAsia="en-US"/>
            </w:rPr>
          </w:pPr>
          <w:hyperlink w:anchor="_Toc90471576" w:history="1">
            <w:r w:rsidR="00981159" w:rsidRPr="0086263B">
              <w:rPr>
                <w:rStyle w:val="Lienhypertexte"/>
              </w:rPr>
              <w:t>8.</w:t>
            </w:r>
            <w:r w:rsidR="00981159">
              <w:rPr>
                <w:rFonts w:asciiTheme="minorHAnsi" w:eastAsiaTheme="minorEastAsia" w:hAnsiTheme="minorHAnsi" w:cstheme="minorBidi"/>
                <w:b w:val="0"/>
                <w:bCs w:val="0"/>
                <w:caps w:val="0"/>
                <w:color w:val="auto"/>
                <w:lang w:val="en-US" w:eastAsia="en-US"/>
              </w:rPr>
              <w:tab/>
            </w:r>
            <w:r w:rsidR="00981159" w:rsidRPr="0086263B">
              <w:rPr>
                <w:rStyle w:val="Lienhypertexte"/>
              </w:rPr>
              <w:t>BUDGET ESTIMATIF DE LA MISE EN ŒUVRE DU CGES</w:t>
            </w:r>
            <w:r w:rsidR="00981159">
              <w:rPr>
                <w:webHidden/>
              </w:rPr>
              <w:tab/>
            </w:r>
            <w:r w:rsidR="00981159">
              <w:rPr>
                <w:webHidden/>
              </w:rPr>
              <w:fldChar w:fldCharType="begin"/>
            </w:r>
            <w:r w:rsidR="00981159">
              <w:rPr>
                <w:webHidden/>
              </w:rPr>
              <w:instrText xml:space="preserve"> PAGEREF _Toc90471576 \h </w:instrText>
            </w:r>
            <w:r w:rsidR="00981159">
              <w:rPr>
                <w:webHidden/>
              </w:rPr>
            </w:r>
            <w:r w:rsidR="00981159">
              <w:rPr>
                <w:webHidden/>
              </w:rPr>
              <w:fldChar w:fldCharType="separate"/>
            </w:r>
            <w:r w:rsidR="00981159">
              <w:rPr>
                <w:webHidden/>
              </w:rPr>
              <w:t>277</w:t>
            </w:r>
            <w:r w:rsidR="00981159">
              <w:rPr>
                <w:webHidden/>
              </w:rPr>
              <w:fldChar w:fldCharType="end"/>
            </w:r>
          </w:hyperlink>
        </w:p>
        <w:p w14:paraId="0A4048B1" w14:textId="5F639F3D" w:rsidR="00981159" w:rsidRDefault="00B22F56">
          <w:pPr>
            <w:pStyle w:val="TM3"/>
            <w:tabs>
              <w:tab w:val="right" w:leader="dot" w:pos="9062"/>
            </w:tabs>
            <w:rPr>
              <w:rFonts w:asciiTheme="minorHAnsi" w:eastAsiaTheme="minorEastAsia" w:hAnsiTheme="minorHAnsi" w:cstheme="minorBidi"/>
              <w:noProof/>
              <w:sz w:val="22"/>
              <w:szCs w:val="22"/>
              <w:lang w:val="en-US" w:eastAsia="en-US"/>
            </w:rPr>
          </w:pPr>
          <w:hyperlink w:anchor="_Toc90471583" w:history="1">
            <w:r w:rsidR="00981159" w:rsidRPr="0086263B">
              <w:rPr>
                <w:rStyle w:val="Lienhypertexte"/>
                <w:rFonts w:cs="Arial"/>
                <w:noProof/>
              </w:rPr>
              <w:t>Le coût quantitatif et estimatif total de mise en œuvre des mesures environnementales et sociales s’élève à 18 657 330 USD détaillé par rubrique dans le tableau 43 ci-dessous.</w:t>
            </w:r>
            <w:r w:rsidR="00981159">
              <w:rPr>
                <w:noProof/>
                <w:webHidden/>
              </w:rPr>
              <w:tab/>
            </w:r>
            <w:r w:rsidR="00981159">
              <w:rPr>
                <w:noProof/>
                <w:webHidden/>
              </w:rPr>
              <w:fldChar w:fldCharType="begin"/>
            </w:r>
            <w:r w:rsidR="00981159">
              <w:rPr>
                <w:noProof/>
                <w:webHidden/>
              </w:rPr>
              <w:instrText xml:space="preserve"> PAGEREF _Toc90471583 \h </w:instrText>
            </w:r>
            <w:r w:rsidR="00981159">
              <w:rPr>
                <w:noProof/>
                <w:webHidden/>
              </w:rPr>
            </w:r>
            <w:r w:rsidR="00981159">
              <w:rPr>
                <w:noProof/>
                <w:webHidden/>
              </w:rPr>
              <w:fldChar w:fldCharType="separate"/>
            </w:r>
            <w:r w:rsidR="00981159">
              <w:rPr>
                <w:noProof/>
                <w:webHidden/>
              </w:rPr>
              <w:t>278</w:t>
            </w:r>
            <w:r w:rsidR="00981159">
              <w:rPr>
                <w:noProof/>
                <w:webHidden/>
              </w:rPr>
              <w:fldChar w:fldCharType="end"/>
            </w:r>
          </w:hyperlink>
        </w:p>
        <w:p w14:paraId="5F316EE3" w14:textId="761E9369" w:rsidR="00981159" w:rsidRDefault="00B22F56">
          <w:pPr>
            <w:pStyle w:val="TM1"/>
            <w:rPr>
              <w:rFonts w:asciiTheme="minorHAnsi" w:eastAsiaTheme="minorEastAsia" w:hAnsiTheme="minorHAnsi" w:cstheme="minorBidi"/>
              <w:b w:val="0"/>
              <w:bCs w:val="0"/>
              <w:caps w:val="0"/>
              <w:color w:val="auto"/>
              <w:lang w:val="en-US" w:eastAsia="en-US"/>
            </w:rPr>
          </w:pPr>
          <w:hyperlink w:anchor="_Toc90471584" w:history="1">
            <w:r w:rsidR="00981159" w:rsidRPr="0086263B">
              <w:rPr>
                <w:rStyle w:val="Lienhypertexte"/>
              </w:rPr>
              <w:t>9.</w:t>
            </w:r>
            <w:r w:rsidR="00981159">
              <w:rPr>
                <w:rFonts w:asciiTheme="minorHAnsi" w:eastAsiaTheme="minorEastAsia" w:hAnsiTheme="minorHAnsi" w:cstheme="minorBidi"/>
                <w:b w:val="0"/>
                <w:bCs w:val="0"/>
                <w:caps w:val="0"/>
                <w:color w:val="auto"/>
                <w:lang w:val="en-US" w:eastAsia="en-US"/>
              </w:rPr>
              <w:tab/>
            </w:r>
            <w:r w:rsidR="00981159" w:rsidRPr="0086263B">
              <w:rPr>
                <w:rStyle w:val="Lienhypertexte"/>
              </w:rPr>
              <w:t>CONCLUSION</w:t>
            </w:r>
            <w:r w:rsidR="00981159">
              <w:rPr>
                <w:webHidden/>
              </w:rPr>
              <w:tab/>
            </w:r>
            <w:r w:rsidR="00981159">
              <w:rPr>
                <w:webHidden/>
              </w:rPr>
              <w:fldChar w:fldCharType="begin"/>
            </w:r>
            <w:r w:rsidR="00981159">
              <w:rPr>
                <w:webHidden/>
              </w:rPr>
              <w:instrText xml:space="preserve"> PAGEREF _Toc90471584 \h </w:instrText>
            </w:r>
            <w:r w:rsidR="00981159">
              <w:rPr>
                <w:webHidden/>
              </w:rPr>
            </w:r>
            <w:r w:rsidR="00981159">
              <w:rPr>
                <w:webHidden/>
              </w:rPr>
              <w:fldChar w:fldCharType="separate"/>
            </w:r>
            <w:r w:rsidR="00981159">
              <w:rPr>
                <w:webHidden/>
              </w:rPr>
              <w:t>280</w:t>
            </w:r>
            <w:r w:rsidR="00981159">
              <w:rPr>
                <w:webHidden/>
              </w:rPr>
              <w:fldChar w:fldCharType="end"/>
            </w:r>
          </w:hyperlink>
        </w:p>
        <w:p w14:paraId="0677EA56" w14:textId="66859599" w:rsidR="00981159" w:rsidRDefault="00B22F56">
          <w:pPr>
            <w:pStyle w:val="TM1"/>
            <w:rPr>
              <w:rFonts w:asciiTheme="minorHAnsi" w:eastAsiaTheme="minorEastAsia" w:hAnsiTheme="minorHAnsi" w:cstheme="minorBidi"/>
              <w:b w:val="0"/>
              <w:bCs w:val="0"/>
              <w:caps w:val="0"/>
              <w:color w:val="auto"/>
              <w:lang w:val="en-US" w:eastAsia="en-US"/>
            </w:rPr>
          </w:pPr>
          <w:hyperlink w:anchor="_Toc90471585" w:history="1">
            <w:r w:rsidR="00981159" w:rsidRPr="0086263B">
              <w:rPr>
                <w:rStyle w:val="Lienhypertexte"/>
              </w:rPr>
              <w:t>10.</w:t>
            </w:r>
            <w:r w:rsidR="00981159">
              <w:rPr>
                <w:rFonts w:asciiTheme="minorHAnsi" w:eastAsiaTheme="minorEastAsia" w:hAnsiTheme="minorHAnsi" w:cstheme="minorBidi"/>
                <w:b w:val="0"/>
                <w:bCs w:val="0"/>
                <w:caps w:val="0"/>
                <w:color w:val="auto"/>
                <w:lang w:val="en-US" w:eastAsia="en-US"/>
              </w:rPr>
              <w:tab/>
            </w:r>
            <w:r w:rsidR="00981159" w:rsidRPr="0086263B">
              <w:rPr>
                <w:rStyle w:val="Lienhypertexte"/>
              </w:rPr>
              <w:t>RÉFÉRENCES BIBLIOGRAPHIQUES</w:t>
            </w:r>
            <w:r w:rsidR="00981159">
              <w:rPr>
                <w:webHidden/>
              </w:rPr>
              <w:tab/>
            </w:r>
            <w:r w:rsidR="00981159">
              <w:rPr>
                <w:webHidden/>
              </w:rPr>
              <w:fldChar w:fldCharType="begin"/>
            </w:r>
            <w:r w:rsidR="00981159">
              <w:rPr>
                <w:webHidden/>
              </w:rPr>
              <w:instrText xml:space="preserve"> PAGEREF _Toc90471585 \h </w:instrText>
            </w:r>
            <w:r w:rsidR="00981159">
              <w:rPr>
                <w:webHidden/>
              </w:rPr>
            </w:r>
            <w:r w:rsidR="00981159">
              <w:rPr>
                <w:webHidden/>
              </w:rPr>
              <w:fldChar w:fldCharType="separate"/>
            </w:r>
            <w:r w:rsidR="00981159">
              <w:rPr>
                <w:webHidden/>
              </w:rPr>
              <w:t>282</w:t>
            </w:r>
            <w:r w:rsidR="00981159">
              <w:rPr>
                <w:webHidden/>
              </w:rPr>
              <w:fldChar w:fldCharType="end"/>
            </w:r>
          </w:hyperlink>
        </w:p>
        <w:p w14:paraId="41659FFC" w14:textId="4E63FDFF" w:rsidR="00981159" w:rsidRDefault="00B22F56">
          <w:pPr>
            <w:pStyle w:val="TM1"/>
            <w:rPr>
              <w:rFonts w:asciiTheme="minorHAnsi" w:eastAsiaTheme="minorEastAsia" w:hAnsiTheme="minorHAnsi" w:cstheme="minorBidi"/>
              <w:b w:val="0"/>
              <w:bCs w:val="0"/>
              <w:caps w:val="0"/>
              <w:color w:val="auto"/>
              <w:lang w:val="en-US" w:eastAsia="en-US"/>
            </w:rPr>
          </w:pPr>
          <w:hyperlink w:anchor="_Toc90471586" w:history="1">
            <w:r w:rsidR="00981159" w:rsidRPr="0086263B">
              <w:rPr>
                <w:rStyle w:val="Lienhypertexte"/>
              </w:rPr>
              <w:t>11.</w:t>
            </w:r>
            <w:r w:rsidR="00981159">
              <w:rPr>
                <w:rFonts w:asciiTheme="minorHAnsi" w:eastAsiaTheme="minorEastAsia" w:hAnsiTheme="minorHAnsi" w:cstheme="minorBidi"/>
                <w:b w:val="0"/>
                <w:bCs w:val="0"/>
                <w:caps w:val="0"/>
                <w:color w:val="auto"/>
                <w:lang w:val="en-US" w:eastAsia="en-US"/>
              </w:rPr>
              <w:tab/>
            </w:r>
            <w:r w:rsidR="00981159" w:rsidRPr="0086263B">
              <w:rPr>
                <w:rStyle w:val="Lienhypertexte"/>
              </w:rPr>
              <w:t>ANNEXES</w:t>
            </w:r>
            <w:r w:rsidR="00981159">
              <w:rPr>
                <w:webHidden/>
              </w:rPr>
              <w:tab/>
            </w:r>
            <w:r w:rsidR="00981159">
              <w:rPr>
                <w:webHidden/>
              </w:rPr>
              <w:fldChar w:fldCharType="begin"/>
            </w:r>
            <w:r w:rsidR="00981159">
              <w:rPr>
                <w:webHidden/>
              </w:rPr>
              <w:instrText xml:space="preserve"> PAGEREF _Toc90471586 \h </w:instrText>
            </w:r>
            <w:r w:rsidR="00981159">
              <w:rPr>
                <w:webHidden/>
              </w:rPr>
            </w:r>
            <w:r w:rsidR="00981159">
              <w:rPr>
                <w:webHidden/>
              </w:rPr>
              <w:fldChar w:fldCharType="separate"/>
            </w:r>
            <w:r w:rsidR="00981159">
              <w:rPr>
                <w:webHidden/>
              </w:rPr>
              <w:t>285</w:t>
            </w:r>
            <w:r w:rsidR="00981159">
              <w:rPr>
                <w:webHidden/>
              </w:rPr>
              <w:fldChar w:fldCharType="end"/>
            </w:r>
          </w:hyperlink>
        </w:p>
        <w:p w14:paraId="72B76FF8" w14:textId="4F038FA1" w:rsidR="00981159" w:rsidRDefault="00B22F56">
          <w:pPr>
            <w:pStyle w:val="TM1"/>
            <w:rPr>
              <w:rFonts w:asciiTheme="minorHAnsi" w:eastAsiaTheme="minorEastAsia" w:hAnsiTheme="minorHAnsi" w:cstheme="minorBidi"/>
              <w:b w:val="0"/>
              <w:bCs w:val="0"/>
              <w:caps w:val="0"/>
              <w:color w:val="auto"/>
              <w:lang w:val="en-US" w:eastAsia="en-US"/>
            </w:rPr>
          </w:pPr>
          <w:hyperlink w:anchor="_Toc90471587" w:history="1">
            <w:r w:rsidR="00981159" w:rsidRPr="0086263B">
              <w:rPr>
                <w:rStyle w:val="Lienhypertexte"/>
              </w:rPr>
              <w:t>ANNEXE 1. FORMULAIRE DE SÉLECTION ENVIRONNEMENTALE ET SOCIALE</w:t>
            </w:r>
            <w:r w:rsidR="00981159">
              <w:rPr>
                <w:webHidden/>
              </w:rPr>
              <w:tab/>
            </w:r>
            <w:r w:rsidR="00981159">
              <w:rPr>
                <w:webHidden/>
              </w:rPr>
              <w:fldChar w:fldCharType="begin"/>
            </w:r>
            <w:r w:rsidR="00981159">
              <w:rPr>
                <w:webHidden/>
              </w:rPr>
              <w:instrText xml:space="preserve"> PAGEREF _Toc90471587 \h </w:instrText>
            </w:r>
            <w:r w:rsidR="00981159">
              <w:rPr>
                <w:webHidden/>
              </w:rPr>
            </w:r>
            <w:r w:rsidR="00981159">
              <w:rPr>
                <w:webHidden/>
              </w:rPr>
              <w:fldChar w:fldCharType="separate"/>
            </w:r>
            <w:r w:rsidR="00981159">
              <w:rPr>
                <w:webHidden/>
              </w:rPr>
              <w:t>286</w:t>
            </w:r>
            <w:r w:rsidR="00981159">
              <w:rPr>
                <w:webHidden/>
              </w:rPr>
              <w:fldChar w:fldCharType="end"/>
            </w:r>
          </w:hyperlink>
        </w:p>
        <w:p w14:paraId="024F6CBE" w14:textId="6D6B04E8" w:rsidR="00981159" w:rsidRDefault="00B22F56">
          <w:pPr>
            <w:pStyle w:val="TM1"/>
            <w:rPr>
              <w:rFonts w:asciiTheme="minorHAnsi" w:eastAsiaTheme="minorEastAsia" w:hAnsiTheme="minorHAnsi" w:cstheme="minorBidi"/>
              <w:b w:val="0"/>
              <w:bCs w:val="0"/>
              <w:caps w:val="0"/>
              <w:color w:val="auto"/>
              <w:lang w:val="en-US" w:eastAsia="en-US"/>
            </w:rPr>
          </w:pPr>
          <w:hyperlink w:anchor="_Toc90471588" w:history="1">
            <w:r w:rsidR="00981159" w:rsidRPr="0086263B">
              <w:rPr>
                <w:rStyle w:val="Lienhypertexte"/>
              </w:rPr>
              <w:t>ANNEXE 2.</w:t>
            </w:r>
            <w:r w:rsidR="00981159">
              <w:rPr>
                <w:rFonts w:asciiTheme="minorHAnsi" w:eastAsiaTheme="minorEastAsia" w:hAnsiTheme="minorHAnsi" w:cstheme="minorBidi"/>
                <w:b w:val="0"/>
                <w:bCs w:val="0"/>
                <w:caps w:val="0"/>
                <w:color w:val="auto"/>
                <w:lang w:val="en-US" w:eastAsia="en-US"/>
              </w:rPr>
              <w:tab/>
            </w:r>
            <w:r w:rsidR="00981159" w:rsidRPr="0086263B">
              <w:rPr>
                <w:rStyle w:val="Lienhypertexte"/>
              </w:rPr>
              <w:t>LISTE DE CONTRÔLE ENVIRONNEMENTAL ET SOCIAL</w:t>
            </w:r>
            <w:r w:rsidR="00981159">
              <w:rPr>
                <w:webHidden/>
              </w:rPr>
              <w:tab/>
            </w:r>
            <w:r w:rsidR="00981159">
              <w:rPr>
                <w:webHidden/>
              </w:rPr>
              <w:fldChar w:fldCharType="begin"/>
            </w:r>
            <w:r w:rsidR="00981159">
              <w:rPr>
                <w:webHidden/>
              </w:rPr>
              <w:instrText xml:space="preserve"> PAGEREF _Toc90471588 \h </w:instrText>
            </w:r>
            <w:r w:rsidR="00981159">
              <w:rPr>
                <w:webHidden/>
              </w:rPr>
            </w:r>
            <w:r w:rsidR="00981159">
              <w:rPr>
                <w:webHidden/>
              </w:rPr>
              <w:fldChar w:fldCharType="separate"/>
            </w:r>
            <w:r w:rsidR="00981159">
              <w:rPr>
                <w:webHidden/>
              </w:rPr>
              <w:t>290</w:t>
            </w:r>
            <w:r w:rsidR="00981159">
              <w:rPr>
                <w:webHidden/>
              </w:rPr>
              <w:fldChar w:fldCharType="end"/>
            </w:r>
          </w:hyperlink>
        </w:p>
        <w:p w14:paraId="3C0B5B03" w14:textId="290D9A6C" w:rsidR="00981159" w:rsidRDefault="00B22F56">
          <w:pPr>
            <w:pStyle w:val="TM1"/>
            <w:rPr>
              <w:rFonts w:asciiTheme="minorHAnsi" w:eastAsiaTheme="minorEastAsia" w:hAnsiTheme="minorHAnsi" w:cstheme="minorBidi"/>
              <w:b w:val="0"/>
              <w:bCs w:val="0"/>
              <w:caps w:val="0"/>
              <w:color w:val="auto"/>
              <w:lang w:val="en-US" w:eastAsia="en-US"/>
            </w:rPr>
          </w:pPr>
          <w:hyperlink w:anchor="_Toc90471589" w:history="1">
            <w:r w:rsidR="00981159" w:rsidRPr="0086263B">
              <w:rPr>
                <w:rStyle w:val="Lienhypertexte"/>
              </w:rPr>
              <w:t>ANNEXE 3. CLAUSES ENVIRONNEMENTALES, SOCIALES, SANITAIRES (ESSS OU E3S)</w:t>
            </w:r>
            <w:r w:rsidR="00981159">
              <w:rPr>
                <w:webHidden/>
              </w:rPr>
              <w:tab/>
            </w:r>
            <w:r w:rsidR="00981159">
              <w:rPr>
                <w:webHidden/>
              </w:rPr>
              <w:fldChar w:fldCharType="begin"/>
            </w:r>
            <w:r w:rsidR="00981159">
              <w:rPr>
                <w:webHidden/>
              </w:rPr>
              <w:instrText xml:space="preserve"> PAGEREF _Toc90471589 \h </w:instrText>
            </w:r>
            <w:r w:rsidR="00981159">
              <w:rPr>
                <w:webHidden/>
              </w:rPr>
            </w:r>
            <w:r w:rsidR="00981159">
              <w:rPr>
                <w:webHidden/>
              </w:rPr>
              <w:fldChar w:fldCharType="separate"/>
            </w:r>
            <w:r w:rsidR="00981159">
              <w:rPr>
                <w:webHidden/>
              </w:rPr>
              <w:t>292</w:t>
            </w:r>
            <w:r w:rsidR="00981159">
              <w:rPr>
                <w:webHidden/>
              </w:rPr>
              <w:fldChar w:fldCharType="end"/>
            </w:r>
          </w:hyperlink>
        </w:p>
        <w:p w14:paraId="1AAF5F75" w14:textId="0D2C3E45" w:rsidR="00981159" w:rsidRDefault="00B22F56">
          <w:pPr>
            <w:pStyle w:val="TM1"/>
            <w:rPr>
              <w:rFonts w:asciiTheme="minorHAnsi" w:eastAsiaTheme="minorEastAsia" w:hAnsiTheme="minorHAnsi" w:cstheme="minorBidi"/>
              <w:b w:val="0"/>
              <w:bCs w:val="0"/>
              <w:caps w:val="0"/>
              <w:color w:val="auto"/>
              <w:lang w:val="en-US" w:eastAsia="en-US"/>
            </w:rPr>
          </w:pPr>
          <w:hyperlink w:anchor="_Toc90471590" w:history="1">
            <w:r w:rsidR="00981159" w:rsidRPr="0086263B">
              <w:rPr>
                <w:rStyle w:val="Lienhypertexte"/>
              </w:rPr>
              <w:t>ANNEXE 4. TERMES DE RÉFÉRENCE TYPE POUR LA RÉALISATION D’UNE ÉTUDE D’IMPACT ENVIRONNEMENTAL ET SOCIAL</w:t>
            </w:r>
            <w:r w:rsidR="00981159">
              <w:rPr>
                <w:webHidden/>
              </w:rPr>
              <w:tab/>
            </w:r>
            <w:r w:rsidR="00981159">
              <w:rPr>
                <w:webHidden/>
              </w:rPr>
              <w:fldChar w:fldCharType="begin"/>
            </w:r>
            <w:r w:rsidR="00981159">
              <w:rPr>
                <w:webHidden/>
              </w:rPr>
              <w:instrText xml:space="preserve"> PAGEREF _Toc90471590 \h </w:instrText>
            </w:r>
            <w:r w:rsidR="00981159">
              <w:rPr>
                <w:webHidden/>
              </w:rPr>
            </w:r>
            <w:r w:rsidR="00981159">
              <w:rPr>
                <w:webHidden/>
              </w:rPr>
              <w:fldChar w:fldCharType="separate"/>
            </w:r>
            <w:r w:rsidR="00981159">
              <w:rPr>
                <w:webHidden/>
              </w:rPr>
              <w:t>323</w:t>
            </w:r>
            <w:r w:rsidR="00981159">
              <w:rPr>
                <w:webHidden/>
              </w:rPr>
              <w:fldChar w:fldCharType="end"/>
            </w:r>
          </w:hyperlink>
        </w:p>
        <w:p w14:paraId="54EDBC0E" w14:textId="4BCF2E9C" w:rsidR="00981159" w:rsidRDefault="00B22F56">
          <w:pPr>
            <w:pStyle w:val="TM1"/>
            <w:rPr>
              <w:rFonts w:asciiTheme="minorHAnsi" w:eastAsiaTheme="minorEastAsia" w:hAnsiTheme="minorHAnsi" w:cstheme="minorBidi"/>
              <w:b w:val="0"/>
              <w:bCs w:val="0"/>
              <w:caps w:val="0"/>
              <w:color w:val="auto"/>
              <w:lang w:val="en-US" w:eastAsia="en-US"/>
            </w:rPr>
          </w:pPr>
          <w:hyperlink w:anchor="_Toc90471591" w:history="1">
            <w:r w:rsidR="00981159" w:rsidRPr="0086263B">
              <w:rPr>
                <w:rStyle w:val="Lienhypertexte"/>
              </w:rPr>
              <w:t>ANNEXE 5. TERMES DE RÉFÉRENCE POUR L’ÉLABORATION DU CADRE DE GESTION ENVIRONNEMENTALE ET SOCIALE</w:t>
            </w:r>
            <w:r w:rsidR="00981159">
              <w:rPr>
                <w:webHidden/>
              </w:rPr>
              <w:tab/>
            </w:r>
            <w:r w:rsidR="00981159">
              <w:rPr>
                <w:webHidden/>
              </w:rPr>
              <w:fldChar w:fldCharType="begin"/>
            </w:r>
            <w:r w:rsidR="00981159">
              <w:rPr>
                <w:webHidden/>
              </w:rPr>
              <w:instrText xml:space="preserve"> PAGEREF _Toc90471591 \h </w:instrText>
            </w:r>
            <w:r w:rsidR="00981159">
              <w:rPr>
                <w:webHidden/>
              </w:rPr>
            </w:r>
            <w:r w:rsidR="00981159">
              <w:rPr>
                <w:webHidden/>
              </w:rPr>
              <w:fldChar w:fldCharType="separate"/>
            </w:r>
            <w:r w:rsidR="00981159">
              <w:rPr>
                <w:webHidden/>
              </w:rPr>
              <w:t>331</w:t>
            </w:r>
            <w:r w:rsidR="00981159">
              <w:rPr>
                <w:webHidden/>
              </w:rPr>
              <w:fldChar w:fldCharType="end"/>
            </w:r>
          </w:hyperlink>
        </w:p>
        <w:p w14:paraId="3F5459E6" w14:textId="566ACCD2" w:rsidR="00981159" w:rsidRDefault="00B22F56">
          <w:pPr>
            <w:pStyle w:val="TM1"/>
            <w:rPr>
              <w:rFonts w:asciiTheme="minorHAnsi" w:eastAsiaTheme="minorEastAsia" w:hAnsiTheme="minorHAnsi" w:cstheme="minorBidi"/>
              <w:b w:val="0"/>
              <w:bCs w:val="0"/>
              <w:caps w:val="0"/>
              <w:color w:val="auto"/>
              <w:lang w:val="en-US" w:eastAsia="en-US"/>
            </w:rPr>
          </w:pPr>
          <w:hyperlink w:anchor="_Toc90471592" w:history="1">
            <w:r w:rsidR="00981159" w:rsidRPr="0086263B">
              <w:rPr>
                <w:rStyle w:val="Lienhypertexte"/>
              </w:rPr>
              <w:t>1.</w:t>
            </w:r>
            <w:r w:rsidR="00981159">
              <w:rPr>
                <w:rFonts w:asciiTheme="minorHAnsi" w:eastAsiaTheme="minorEastAsia" w:hAnsiTheme="minorHAnsi" w:cstheme="minorBidi"/>
                <w:b w:val="0"/>
                <w:bCs w:val="0"/>
                <w:caps w:val="0"/>
                <w:color w:val="auto"/>
                <w:lang w:val="en-US" w:eastAsia="en-US"/>
              </w:rPr>
              <w:tab/>
            </w:r>
            <w:r w:rsidR="00981159" w:rsidRPr="0086263B">
              <w:rPr>
                <w:rStyle w:val="Lienhypertexte"/>
              </w:rPr>
              <w:t>Contexte du projet et justification</w:t>
            </w:r>
            <w:r w:rsidR="00981159">
              <w:rPr>
                <w:webHidden/>
              </w:rPr>
              <w:tab/>
            </w:r>
            <w:r w:rsidR="00981159">
              <w:rPr>
                <w:webHidden/>
              </w:rPr>
              <w:fldChar w:fldCharType="begin"/>
            </w:r>
            <w:r w:rsidR="00981159">
              <w:rPr>
                <w:webHidden/>
              </w:rPr>
              <w:instrText xml:space="preserve"> PAGEREF _Toc90471592 \h </w:instrText>
            </w:r>
            <w:r w:rsidR="00981159">
              <w:rPr>
                <w:webHidden/>
              </w:rPr>
            </w:r>
            <w:r w:rsidR="00981159">
              <w:rPr>
                <w:webHidden/>
              </w:rPr>
              <w:fldChar w:fldCharType="separate"/>
            </w:r>
            <w:r w:rsidR="00981159">
              <w:rPr>
                <w:webHidden/>
              </w:rPr>
              <w:t>331</w:t>
            </w:r>
            <w:r w:rsidR="00981159">
              <w:rPr>
                <w:webHidden/>
              </w:rPr>
              <w:fldChar w:fldCharType="end"/>
            </w:r>
          </w:hyperlink>
        </w:p>
        <w:p w14:paraId="2209AD37" w14:textId="7688E022" w:rsidR="00981159" w:rsidRDefault="00B22F56">
          <w:pPr>
            <w:pStyle w:val="TM2"/>
            <w:rPr>
              <w:rFonts w:asciiTheme="minorHAnsi" w:eastAsiaTheme="minorEastAsia" w:hAnsiTheme="minorHAnsi" w:cstheme="minorBidi"/>
              <w:b w:val="0"/>
              <w:lang w:val="en-US" w:eastAsia="en-US"/>
            </w:rPr>
          </w:pPr>
          <w:hyperlink w:anchor="_Toc90471593" w:history="1">
            <w:r w:rsidR="00981159" w:rsidRPr="0086263B">
              <w:rPr>
                <w:rStyle w:val="Lienhypertexte"/>
              </w:rPr>
              <w:t>2.</w:t>
            </w:r>
            <w:r w:rsidR="00981159">
              <w:rPr>
                <w:rFonts w:asciiTheme="minorHAnsi" w:eastAsiaTheme="minorEastAsia" w:hAnsiTheme="minorHAnsi" w:cstheme="minorBidi"/>
                <w:b w:val="0"/>
                <w:lang w:val="en-US" w:eastAsia="en-US"/>
              </w:rPr>
              <w:tab/>
            </w:r>
            <w:r w:rsidR="00981159" w:rsidRPr="0086263B">
              <w:rPr>
                <w:rStyle w:val="Lienhypertexte"/>
              </w:rPr>
              <w:t>Objectifs et exigences du CGES, UNCP et PEES</w:t>
            </w:r>
            <w:r w:rsidR="00981159">
              <w:rPr>
                <w:webHidden/>
              </w:rPr>
              <w:tab/>
            </w:r>
            <w:r w:rsidR="00981159">
              <w:rPr>
                <w:webHidden/>
              </w:rPr>
              <w:fldChar w:fldCharType="begin"/>
            </w:r>
            <w:r w:rsidR="00981159">
              <w:rPr>
                <w:webHidden/>
              </w:rPr>
              <w:instrText xml:space="preserve"> PAGEREF _Toc90471593 \h </w:instrText>
            </w:r>
            <w:r w:rsidR="00981159">
              <w:rPr>
                <w:webHidden/>
              </w:rPr>
            </w:r>
            <w:r w:rsidR="00981159">
              <w:rPr>
                <w:webHidden/>
              </w:rPr>
              <w:fldChar w:fldCharType="separate"/>
            </w:r>
            <w:r w:rsidR="00981159">
              <w:rPr>
                <w:webHidden/>
              </w:rPr>
              <w:t>332</w:t>
            </w:r>
            <w:r w:rsidR="00981159">
              <w:rPr>
                <w:webHidden/>
              </w:rPr>
              <w:fldChar w:fldCharType="end"/>
            </w:r>
          </w:hyperlink>
        </w:p>
        <w:p w14:paraId="6846D698" w14:textId="097F1B99" w:rsidR="00981159" w:rsidRDefault="00B22F56">
          <w:pPr>
            <w:pStyle w:val="TM1"/>
            <w:rPr>
              <w:rFonts w:asciiTheme="minorHAnsi" w:eastAsiaTheme="minorEastAsia" w:hAnsiTheme="minorHAnsi" w:cstheme="minorBidi"/>
              <w:b w:val="0"/>
              <w:bCs w:val="0"/>
              <w:caps w:val="0"/>
              <w:color w:val="auto"/>
              <w:lang w:val="en-US" w:eastAsia="en-US"/>
            </w:rPr>
          </w:pPr>
          <w:hyperlink w:anchor="_Toc90471594" w:history="1">
            <w:r w:rsidR="00981159" w:rsidRPr="0086263B">
              <w:rPr>
                <w:rStyle w:val="Lienhypertexte"/>
              </w:rPr>
              <w:t>ANNEXE 6. LISTE DES PERSONNES RENCONTRÉES</w:t>
            </w:r>
            <w:r w:rsidR="00981159">
              <w:rPr>
                <w:webHidden/>
              </w:rPr>
              <w:tab/>
            </w:r>
            <w:r w:rsidR="00981159">
              <w:rPr>
                <w:webHidden/>
              </w:rPr>
              <w:fldChar w:fldCharType="begin"/>
            </w:r>
            <w:r w:rsidR="00981159">
              <w:rPr>
                <w:webHidden/>
              </w:rPr>
              <w:instrText xml:space="preserve"> PAGEREF _Toc90471594 \h </w:instrText>
            </w:r>
            <w:r w:rsidR="00981159">
              <w:rPr>
                <w:webHidden/>
              </w:rPr>
            </w:r>
            <w:r w:rsidR="00981159">
              <w:rPr>
                <w:webHidden/>
              </w:rPr>
              <w:fldChar w:fldCharType="separate"/>
            </w:r>
            <w:r w:rsidR="00981159">
              <w:rPr>
                <w:webHidden/>
              </w:rPr>
              <w:t>337</w:t>
            </w:r>
            <w:r w:rsidR="00981159">
              <w:rPr>
                <w:webHidden/>
              </w:rPr>
              <w:fldChar w:fldCharType="end"/>
            </w:r>
          </w:hyperlink>
        </w:p>
        <w:p w14:paraId="00A3673B" w14:textId="63B84A4B" w:rsidR="00981159" w:rsidRDefault="00B22F56">
          <w:pPr>
            <w:pStyle w:val="TM1"/>
            <w:rPr>
              <w:rFonts w:asciiTheme="minorHAnsi" w:eastAsiaTheme="minorEastAsia" w:hAnsiTheme="minorHAnsi" w:cstheme="minorBidi"/>
              <w:b w:val="0"/>
              <w:bCs w:val="0"/>
              <w:caps w:val="0"/>
              <w:color w:val="auto"/>
              <w:lang w:val="en-US" w:eastAsia="en-US"/>
            </w:rPr>
          </w:pPr>
          <w:hyperlink w:anchor="_Toc90471595" w:history="1">
            <w:r w:rsidR="00981159" w:rsidRPr="0086263B">
              <w:rPr>
                <w:rStyle w:val="Lienhypertexte"/>
              </w:rPr>
              <w:t>ANNEXE 7. QUELQUES EXEMPLAIRES DES PROCÈS-VERBAUX DES RÉUNIONS DE CONSULTATIONS DU PUBLIC ORGANISÉES DANS LES PROVINCES DU     KASAÏ, KASAÏ CENTRAL, KONGO CENTRAL, KWILU ET NORD-KIVU</w:t>
            </w:r>
            <w:r w:rsidR="00981159">
              <w:rPr>
                <w:webHidden/>
              </w:rPr>
              <w:tab/>
            </w:r>
            <w:r w:rsidR="00981159">
              <w:rPr>
                <w:webHidden/>
              </w:rPr>
              <w:fldChar w:fldCharType="begin"/>
            </w:r>
            <w:r w:rsidR="00981159">
              <w:rPr>
                <w:webHidden/>
              </w:rPr>
              <w:instrText xml:space="preserve"> PAGEREF _Toc90471595 \h </w:instrText>
            </w:r>
            <w:r w:rsidR="00981159">
              <w:rPr>
                <w:webHidden/>
              </w:rPr>
            </w:r>
            <w:r w:rsidR="00981159">
              <w:rPr>
                <w:webHidden/>
              </w:rPr>
              <w:fldChar w:fldCharType="separate"/>
            </w:r>
            <w:r w:rsidR="00981159">
              <w:rPr>
                <w:webHidden/>
              </w:rPr>
              <w:t>339</w:t>
            </w:r>
            <w:r w:rsidR="00981159">
              <w:rPr>
                <w:webHidden/>
              </w:rPr>
              <w:fldChar w:fldCharType="end"/>
            </w:r>
          </w:hyperlink>
        </w:p>
        <w:p w14:paraId="17BBE607" w14:textId="2D1ABDBA" w:rsidR="00981159" w:rsidRDefault="00B22F56">
          <w:pPr>
            <w:pStyle w:val="TM1"/>
            <w:rPr>
              <w:rFonts w:asciiTheme="minorHAnsi" w:eastAsiaTheme="minorEastAsia" w:hAnsiTheme="minorHAnsi" w:cstheme="minorBidi"/>
              <w:b w:val="0"/>
              <w:bCs w:val="0"/>
              <w:caps w:val="0"/>
              <w:color w:val="auto"/>
              <w:lang w:val="en-US" w:eastAsia="en-US"/>
            </w:rPr>
          </w:pPr>
          <w:hyperlink w:anchor="_Toc90471596" w:history="1">
            <w:r w:rsidR="00981159" w:rsidRPr="0086263B">
              <w:rPr>
                <w:rStyle w:val="Lienhypertexte"/>
              </w:rPr>
              <w:t>ANNEXE 8. LISTES DES PRÉSENCES DES RÉUNIONS DE CONSULTATIONS DU PUBLIC ORGANISÉES DANS LES PROVINCE DU KASAÏ, KASAÏ CENTRAL, KONGO CENTRAL, KWILU, ET NORD-KIVU</w:t>
            </w:r>
            <w:r w:rsidR="00981159">
              <w:rPr>
                <w:webHidden/>
              </w:rPr>
              <w:tab/>
            </w:r>
            <w:r w:rsidR="00981159">
              <w:rPr>
                <w:webHidden/>
              </w:rPr>
              <w:fldChar w:fldCharType="begin"/>
            </w:r>
            <w:r w:rsidR="00981159">
              <w:rPr>
                <w:webHidden/>
              </w:rPr>
              <w:instrText xml:space="preserve"> PAGEREF _Toc90471596 \h </w:instrText>
            </w:r>
            <w:r w:rsidR="00981159">
              <w:rPr>
                <w:webHidden/>
              </w:rPr>
            </w:r>
            <w:r w:rsidR="00981159">
              <w:rPr>
                <w:webHidden/>
              </w:rPr>
              <w:fldChar w:fldCharType="separate"/>
            </w:r>
            <w:r w:rsidR="00981159">
              <w:rPr>
                <w:webHidden/>
              </w:rPr>
              <w:t>359</w:t>
            </w:r>
            <w:r w:rsidR="00981159">
              <w:rPr>
                <w:webHidden/>
              </w:rPr>
              <w:fldChar w:fldCharType="end"/>
            </w:r>
          </w:hyperlink>
        </w:p>
        <w:p w14:paraId="1E7458BD" w14:textId="35D9434C" w:rsidR="00981159" w:rsidRDefault="00B22F56">
          <w:pPr>
            <w:pStyle w:val="TM1"/>
            <w:rPr>
              <w:rFonts w:asciiTheme="minorHAnsi" w:eastAsiaTheme="minorEastAsia" w:hAnsiTheme="minorHAnsi" w:cstheme="minorBidi"/>
              <w:b w:val="0"/>
              <w:bCs w:val="0"/>
              <w:caps w:val="0"/>
              <w:color w:val="auto"/>
              <w:lang w:val="en-US" w:eastAsia="en-US"/>
            </w:rPr>
          </w:pPr>
          <w:hyperlink w:anchor="_Toc90471597" w:history="1">
            <w:r w:rsidR="00981159" w:rsidRPr="0086263B">
              <w:rPr>
                <w:rStyle w:val="Lienhypertexte"/>
              </w:rPr>
              <w:t>ANNEXE 9. QUELQUES EXEMPLAIRES DES COMMUNIQUES RADIOPHONIQUES DIFFUSÉS DANS LES VILLES KANANGA, TSHIKAPA, MATADI, BANDUNDU ET GOMA</w:t>
            </w:r>
            <w:r w:rsidR="00981159">
              <w:rPr>
                <w:webHidden/>
              </w:rPr>
              <w:tab/>
            </w:r>
            <w:r w:rsidR="00981159">
              <w:rPr>
                <w:webHidden/>
              </w:rPr>
              <w:fldChar w:fldCharType="begin"/>
            </w:r>
            <w:r w:rsidR="00981159">
              <w:rPr>
                <w:webHidden/>
              </w:rPr>
              <w:instrText xml:space="preserve"> PAGEREF _Toc90471597 \h </w:instrText>
            </w:r>
            <w:r w:rsidR="00981159">
              <w:rPr>
                <w:webHidden/>
              </w:rPr>
            </w:r>
            <w:r w:rsidR="00981159">
              <w:rPr>
                <w:webHidden/>
              </w:rPr>
              <w:fldChar w:fldCharType="separate"/>
            </w:r>
            <w:r w:rsidR="00981159">
              <w:rPr>
                <w:webHidden/>
              </w:rPr>
              <w:t>367</w:t>
            </w:r>
            <w:r w:rsidR="00981159">
              <w:rPr>
                <w:webHidden/>
              </w:rPr>
              <w:fldChar w:fldCharType="end"/>
            </w:r>
          </w:hyperlink>
        </w:p>
        <w:p w14:paraId="707D007E" w14:textId="7EBC238D" w:rsidR="00981159" w:rsidRDefault="00B22F56">
          <w:pPr>
            <w:pStyle w:val="TM1"/>
            <w:rPr>
              <w:rFonts w:asciiTheme="minorHAnsi" w:eastAsiaTheme="minorEastAsia" w:hAnsiTheme="minorHAnsi" w:cstheme="minorBidi"/>
              <w:b w:val="0"/>
              <w:bCs w:val="0"/>
              <w:caps w:val="0"/>
              <w:color w:val="auto"/>
              <w:lang w:val="en-US" w:eastAsia="en-US"/>
            </w:rPr>
          </w:pPr>
          <w:hyperlink w:anchor="_Toc90471598" w:history="1">
            <w:r w:rsidR="00981159" w:rsidRPr="0086263B">
              <w:rPr>
                <w:rStyle w:val="Lienhypertexte"/>
              </w:rPr>
              <w:t>ANNEXE 10. QUELQUES PHOTOS DE LA TENUE DES CONSULTATIONS DU PUBLIC ET DES ATELIERS DE RESTITUTION</w:t>
            </w:r>
            <w:r w:rsidR="00981159">
              <w:rPr>
                <w:webHidden/>
              </w:rPr>
              <w:tab/>
            </w:r>
            <w:r w:rsidR="00981159">
              <w:rPr>
                <w:webHidden/>
              </w:rPr>
              <w:fldChar w:fldCharType="begin"/>
            </w:r>
            <w:r w:rsidR="00981159">
              <w:rPr>
                <w:webHidden/>
              </w:rPr>
              <w:instrText xml:space="preserve"> PAGEREF _Toc90471598 \h </w:instrText>
            </w:r>
            <w:r w:rsidR="00981159">
              <w:rPr>
                <w:webHidden/>
              </w:rPr>
            </w:r>
            <w:r w:rsidR="00981159">
              <w:rPr>
                <w:webHidden/>
              </w:rPr>
              <w:fldChar w:fldCharType="separate"/>
            </w:r>
            <w:r w:rsidR="00981159">
              <w:rPr>
                <w:webHidden/>
              </w:rPr>
              <w:t>376</w:t>
            </w:r>
            <w:r w:rsidR="00981159">
              <w:rPr>
                <w:webHidden/>
              </w:rPr>
              <w:fldChar w:fldCharType="end"/>
            </w:r>
          </w:hyperlink>
        </w:p>
        <w:p w14:paraId="0688E251" w14:textId="70F4EEA1" w:rsidR="00981159" w:rsidRDefault="00B22F56">
          <w:pPr>
            <w:pStyle w:val="TM1"/>
            <w:rPr>
              <w:rFonts w:asciiTheme="minorHAnsi" w:eastAsiaTheme="minorEastAsia" w:hAnsiTheme="minorHAnsi" w:cstheme="minorBidi"/>
              <w:b w:val="0"/>
              <w:bCs w:val="0"/>
              <w:caps w:val="0"/>
              <w:color w:val="auto"/>
              <w:lang w:val="en-US" w:eastAsia="en-US"/>
            </w:rPr>
          </w:pPr>
          <w:hyperlink w:anchor="_Toc90471599" w:history="1">
            <w:r w:rsidR="00981159" w:rsidRPr="0086263B">
              <w:rPr>
                <w:rStyle w:val="Lienhypertexte"/>
                <w:i/>
              </w:rPr>
              <w:t>ANNEXE 10.A) PHOTOS DES CONSULTATIONS DU PUBLIC</w:t>
            </w:r>
            <w:r w:rsidR="00981159">
              <w:rPr>
                <w:webHidden/>
              </w:rPr>
              <w:tab/>
            </w:r>
            <w:r w:rsidR="00981159">
              <w:rPr>
                <w:webHidden/>
              </w:rPr>
              <w:fldChar w:fldCharType="begin"/>
            </w:r>
            <w:r w:rsidR="00981159">
              <w:rPr>
                <w:webHidden/>
              </w:rPr>
              <w:instrText xml:space="preserve"> PAGEREF _Toc90471599 \h </w:instrText>
            </w:r>
            <w:r w:rsidR="00981159">
              <w:rPr>
                <w:webHidden/>
              </w:rPr>
            </w:r>
            <w:r w:rsidR="00981159">
              <w:rPr>
                <w:webHidden/>
              </w:rPr>
              <w:fldChar w:fldCharType="separate"/>
            </w:r>
            <w:r w:rsidR="00981159">
              <w:rPr>
                <w:webHidden/>
              </w:rPr>
              <w:t>376</w:t>
            </w:r>
            <w:r w:rsidR="00981159">
              <w:rPr>
                <w:webHidden/>
              </w:rPr>
              <w:fldChar w:fldCharType="end"/>
            </w:r>
          </w:hyperlink>
        </w:p>
        <w:p w14:paraId="4C5EF4F2" w14:textId="6F5DD20D" w:rsidR="00981159" w:rsidRDefault="00B22F56">
          <w:pPr>
            <w:pStyle w:val="TM1"/>
            <w:rPr>
              <w:rFonts w:asciiTheme="minorHAnsi" w:eastAsiaTheme="minorEastAsia" w:hAnsiTheme="minorHAnsi" w:cstheme="minorBidi"/>
              <w:b w:val="0"/>
              <w:bCs w:val="0"/>
              <w:caps w:val="0"/>
              <w:color w:val="auto"/>
              <w:lang w:val="en-US" w:eastAsia="en-US"/>
            </w:rPr>
          </w:pPr>
          <w:hyperlink w:anchor="_Toc90471600" w:history="1">
            <w:r w:rsidR="00981159" w:rsidRPr="0086263B">
              <w:rPr>
                <w:rStyle w:val="Lienhypertexte"/>
                <w:i/>
              </w:rPr>
              <w:t>ANNEXE 10.B) PHOTOS DES ATELIERS DE RESTITUTION</w:t>
            </w:r>
            <w:r w:rsidR="00981159">
              <w:rPr>
                <w:webHidden/>
              </w:rPr>
              <w:tab/>
            </w:r>
            <w:r w:rsidR="00981159">
              <w:rPr>
                <w:webHidden/>
              </w:rPr>
              <w:fldChar w:fldCharType="begin"/>
            </w:r>
            <w:r w:rsidR="00981159">
              <w:rPr>
                <w:webHidden/>
              </w:rPr>
              <w:instrText xml:space="preserve"> PAGEREF _Toc90471600 \h </w:instrText>
            </w:r>
            <w:r w:rsidR="00981159">
              <w:rPr>
                <w:webHidden/>
              </w:rPr>
            </w:r>
            <w:r w:rsidR="00981159">
              <w:rPr>
                <w:webHidden/>
              </w:rPr>
              <w:fldChar w:fldCharType="separate"/>
            </w:r>
            <w:r w:rsidR="00981159">
              <w:rPr>
                <w:webHidden/>
              </w:rPr>
              <w:t>380</w:t>
            </w:r>
            <w:r w:rsidR="00981159">
              <w:rPr>
                <w:webHidden/>
              </w:rPr>
              <w:fldChar w:fldCharType="end"/>
            </w:r>
          </w:hyperlink>
        </w:p>
        <w:p w14:paraId="71E7D89A" w14:textId="5AE37936" w:rsidR="00981159" w:rsidRDefault="00B22F56">
          <w:pPr>
            <w:pStyle w:val="TM1"/>
            <w:rPr>
              <w:rFonts w:asciiTheme="minorHAnsi" w:eastAsiaTheme="minorEastAsia" w:hAnsiTheme="minorHAnsi" w:cstheme="minorBidi"/>
              <w:b w:val="0"/>
              <w:bCs w:val="0"/>
              <w:caps w:val="0"/>
              <w:color w:val="auto"/>
              <w:lang w:val="en-US" w:eastAsia="en-US"/>
            </w:rPr>
          </w:pPr>
          <w:hyperlink w:anchor="_Toc90471601" w:history="1">
            <w:r w:rsidR="00981159" w:rsidRPr="0086263B">
              <w:rPr>
                <w:rStyle w:val="Lienhypertexte"/>
              </w:rPr>
              <w:t>ANNEXE 11. FICHE D’ENREGISTREMENT DES PLAINTES GLOBALES DU PROJET</w:t>
            </w:r>
            <w:r w:rsidR="00981159">
              <w:rPr>
                <w:webHidden/>
              </w:rPr>
              <w:tab/>
            </w:r>
            <w:r w:rsidR="00981159">
              <w:rPr>
                <w:webHidden/>
              </w:rPr>
              <w:fldChar w:fldCharType="begin"/>
            </w:r>
            <w:r w:rsidR="00981159">
              <w:rPr>
                <w:webHidden/>
              </w:rPr>
              <w:instrText xml:space="preserve"> PAGEREF _Toc90471601 \h </w:instrText>
            </w:r>
            <w:r w:rsidR="00981159">
              <w:rPr>
                <w:webHidden/>
              </w:rPr>
            </w:r>
            <w:r w:rsidR="00981159">
              <w:rPr>
                <w:webHidden/>
              </w:rPr>
              <w:fldChar w:fldCharType="separate"/>
            </w:r>
            <w:r w:rsidR="00981159">
              <w:rPr>
                <w:webHidden/>
              </w:rPr>
              <w:t>383</w:t>
            </w:r>
            <w:r w:rsidR="00981159">
              <w:rPr>
                <w:webHidden/>
              </w:rPr>
              <w:fldChar w:fldCharType="end"/>
            </w:r>
          </w:hyperlink>
        </w:p>
        <w:p w14:paraId="666D9357" w14:textId="6D7998F9" w:rsidR="00981159" w:rsidRDefault="00B22F56">
          <w:pPr>
            <w:pStyle w:val="TM1"/>
            <w:rPr>
              <w:rFonts w:asciiTheme="minorHAnsi" w:eastAsiaTheme="minorEastAsia" w:hAnsiTheme="minorHAnsi" w:cstheme="minorBidi"/>
              <w:b w:val="0"/>
              <w:bCs w:val="0"/>
              <w:caps w:val="0"/>
              <w:color w:val="auto"/>
              <w:lang w:val="en-US" w:eastAsia="en-US"/>
            </w:rPr>
          </w:pPr>
          <w:hyperlink w:anchor="_Toc90471602" w:history="1">
            <w:r w:rsidR="00981159" w:rsidRPr="0086263B">
              <w:rPr>
                <w:rStyle w:val="Lienhypertexte"/>
              </w:rPr>
              <w:t>ANNEXE 12. CONSIDÉRATIONS SUR LE COVID-19 À PRENDRE EN COMPTE  DANS LES PROJETS DE CONSTRUCTION / TRAVAUX CIVILS</w:t>
            </w:r>
            <w:r w:rsidR="00981159">
              <w:rPr>
                <w:webHidden/>
              </w:rPr>
              <w:tab/>
            </w:r>
            <w:r w:rsidR="00981159">
              <w:rPr>
                <w:webHidden/>
              </w:rPr>
              <w:fldChar w:fldCharType="begin"/>
            </w:r>
            <w:r w:rsidR="00981159">
              <w:rPr>
                <w:webHidden/>
              </w:rPr>
              <w:instrText xml:space="preserve"> PAGEREF _Toc90471602 \h </w:instrText>
            </w:r>
            <w:r w:rsidR="00981159">
              <w:rPr>
                <w:webHidden/>
              </w:rPr>
            </w:r>
            <w:r w:rsidR="00981159">
              <w:rPr>
                <w:webHidden/>
              </w:rPr>
              <w:fldChar w:fldCharType="separate"/>
            </w:r>
            <w:r w:rsidR="00981159">
              <w:rPr>
                <w:webHidden/>
              </w:rPr>
              <w:t>385</w:t>
            </w:r>
            <w:r w:rsidR="00981159">
              <w:rPr>
                <w:webHidden/>
              </w:rPr>
              <w:fldChar w:fldCharType="end"/>
            </w:r>
          </w:hyperlink>
        </w:p>
        <w:p w14:paraId="14BA5324" w14:textId="3DB38A21" w:rsidR="00981159" w:rsidRDefault="00B22F56">
          <w:pPr>
            <w:pStyle w:val="TM1"/>
            <w:rPr>
              <w:rFonts w:asciiTheme="minorHAnsi" w:eastAsiaTheme="minorEastAsia" w:hAnsiTheme="minorHAnsi" w:cstheme="minorBidi"/>
              <w:b w:val="0"/>
              <w:bCs w:val="0"/>
              <w:caps w:val="0"/>
              <w:color w:val="auto"/>
              <w:lang w:val="en-US" w:eastAsia="en-US"/>
            </w:rPr>
          </w:pPr>
          <w:hyperlink w:anchor="_Toc90471603" w:history="1">
            <w:r w:rsidR="00981159" w:rsidRPr="0086263B">
              <w:rPr>
                <w:rStyle w:val="Lienhypertexte"/>
              </w:rPr>
              <w:t>ANNEXE 13. BUDGET DE LA MISE EN ŒUVRE DU PLAN D’ACTION EAS/HS</w:t>
            </w:r>
            <w:r w:rsidR="00981159">
              <w:rPr>
                <w:webHidden/>
              </w:rPr>
              <w:tab/>
            </w:r>
            <w:r w:rsidR="00981159">
              <w:rPr>
                <w:webHidden/>
              </w:rPr>
              <w:fldChar w:fldCharType="begin"/>
            </w:r>
            <w:r w:rsidR="00981159">
              <w:rPr>
                <w:webHidden/>
              </w:rPr>
              <w:instrText xml:space="preserve"> PAGEREF _Toc90471603 \h </w:instrText>
            </w:r>
            <w:r w:rsidR="00981159">
              <w:rPr>
                <w:webHidden/>
              </w:rPr>
            </w:r>
            <w:r w:rsidR="00981159">
              <w:rPr>
                <w:webHidden/>
              </w:rPr>
              <w:fldChar w:fldCharType="separate"/>
            </w:r>
            <w:r w:rsidR="00981159">
              <w:rPr>
                <w:webHidden/>
              </w:rPr>
              <w:t>394</w:t>
            </w:r>
            <w:r w:rsidR="00981159">
              <w:rPr>
                <w:webHidden/>
              </w:rPr>
              <w:fldChar w:fldCharType="end"/>
            </w:r>
          </w:hyperlink>
        </w:p>
        <w:p w14:paraId="4B143A15" w14:textId="2E113973" w:rsidR="00981159" w:rsidRDefault="00B22F56">
          <w:pPr>
            <w:pStyle w:val="TM1"/>
            <w:rPr>
              <w:rFonts w:asciiTheme="minorHAnsi" w:eastAsiaTheme="minorEastAsia" w:hAnsiTheme="minorHAnsi" w:cstheme="minorBidi"/>
              <w:b w:val="0"/>
              <w:bCs w:val="0"/>
              <w:caps w:val="0"/>
              <w:color w:val="auto"/>
              <w:lang w:val="en-US" w:eastAsia="en-US"/>
            </w:rPr>
          </w:pPr>
          <w:hyperlink w:anchor="_Toc90471604" w:history="1">
            <w:r w:rsidR="00981159" w:rsidRPr="0086263B">
              <w:rPr>
                <w:rStyle w:val="Lienhypertexte"/>
              </w:rPr>
              <w:t>ANNEXE 14. PGES PROPORTIONNÉS</w:t>
            </w:r>
            <w:r w:rsidR="00981159">
              <w:rPr>
                <w:webHidden/>
              </w:rPr>
              <w:tab/>
            </w:r>
            <w:r w:rsidR="00981159">
              <w:rPr>
                <w:webHidden/>
              </w:rPr>
              <w:fldChar w:fldCharType="begin"/>
            </w:r>
            <w:r w:rsidR="00981159">
              <w:rPr>
                <w:webHidden/>
              </w:rPr>
              <w:instrText xml:space="preserve"> PAGEREF _Toc90471604 \h </w:instrText>
            </w:r>
            <w:r w:rsidR="00981159">
              <w:rPr>
                <w:webHidden/>
              </w:rPr>
            </w:r>
            <w:r w:rsidR="00981159">
              <w:rPr>
                <w:webHidden/>
              </w:rPr>
              <w:fldChar w:fldCharType="separate"/>
            </w:r>
            <w:r w:rsidR="00981159">
              <w:rPr>
                <w:webHidden/>
              </w:rPr>
              <w:t>396</w:t>
            </w:r>
            <w:r w:rsidR="00981159">
              <w:rPr>
                <w:webHidden/>
              </w:rPr>
              <w:fldChar w:fldCharType="end"/>
            </w:r>
          </w:hyperlink>
        </w:p>
        <w:p w14:paraId="620525B2" w14:textId="14DA830C" w:rsidR="00981159" w:rsidRDefault="00B22F56">
          <w:pPr>
            <w:pStyle w:val="TM2"/>
            <w:rPr>
              <w:rFonts w:asciiTheme="minorHAnsi" w:eastAsiaTheme="minorEastAsia" w:hAnsiTheme="minorHAnsi" w:cstheme="minorBidi"/>
              <w:b w:val="0"/>
              <w:lang w:val="en-US" w:eastAsia="en-US"/>
            </w:rPr>
          </w:pPr>
          <w:hyperlink w:anchor="_Toc90471605" w:history="1">
            <w:r w:rsidR="00981159" w:rsidRPr="0086263B">
              <w:rPr>
                <w:rStyle w:val="Lienhypertexte"/>
                <w:bCs/>
              </w:rPr>
              <w:t>ANNEXE 15. CONTRACTUALISATION</w:t>
            </w:r>
            <w:r w:rsidR="00981159">
              <w:rPr>
                <w:webHidden/>
              </w:rPr>
              <w:tab/>
            </w:r>
            <w:r w:rsidR="00981159">
              <w:rPr>
                <w:webHidden/>
              </w:rPr>
              <w:fldChar w:fldCharType="begin"/>
            </w:r>
            <w:r w:rsidR="00981159">
              <w:rPr>
                <w:webHidden/>
              </w:rPr>
              <w:instrText xml:space="preserve"> PAGEREF _Toc90471605 \h </w:instrText>
            </w:r>
            <w:r w:rsidR="00981159">
              <w:rPr>
                <w:webHidden/>
              </w:rPr>
            </w:r>
            <w:r w:rsidR="00981159">
              <w:rPr>
                <w:webHidden/>
              </w:rPr>
              <w:fldChar w:fldCharType="separate"/>
            </w:r>
            <w:r w:rsidR="00981159">
              <w:rPr>
                <w:webHidden/>
              </w:rPr>
              <w:t>398</w:t>
            </w:r>
            <w:r w:rsidR="00981159">
              <w:rPr>
                <w:webHidden/>
              </w:rPr>
              <w:fldChar w:fldCharType="end"/>
            </w:r>
          </w:hyperlink>
        </w:p>
        <w:p w14:paraId="0EF0F36F" w14:textId="1DE21DF5" w:rsidR="00981159" w:rsidRDefault="00981159">
          <w:r>
            <w:rPr>
              <w:b/>
              <w:bCs/>
            </w:rPr>
            <w:fldChar w:fldCharType="end"/>
          </w:r>
        </w:p>
      </w:sdtContent>
    </w:sdt>
    <w:p w14:paraId="1045DBD7" w14:textId="77777777" w:rsidR="00981159" w:rsidRDefault="00981159" w:rsidP="00D76BB4">
      <w:pPr>
        <w:pStyle w:val="TM2"/>
        <w:rPr>
          <w:rStyle w:val="Lienhypertexte"/>
          <w:b w:val="0"/>
          <w:sz w:val="21"/>
          <w:szCs w:val="21"/>
          <w:highlight w:val="yellow"/>
        </w:rPr>
      </w:pPr>
    </w:p>
    <w:p w14:paraId="66F7D41B" w14:textId="77777777" w:rsidR="00981159" w:rsidRDefault="00981159" w:rsidP="00D76BB4">
      <w:pPr>
        <w:pStyle w:val="TM2"/>
        <w:rPr>
          <w:rStyle w:val="Lienhypertexte"/>
          <w:b w:val="0"/>
          <w:sz w:val="21"/>
          <w:szCs w:val="21"/>
          <w:highlight w:val="yellow"/>
        </w:rPr>
      </w:pPr>
    </w:p>
    <w:p w14:paraId="70548079" w14:textId="77777777" w:rsidR="00981159" w:rsidRDefault="00981159" w:rsidP="00D76BB4">
      <w:pPr>
        <w:pStyle w:val="TM2"/>
        <w:rPr>
          <w:rStyle w:val="Lienhypertexte"/>
          <w:b w:val="0"/>
          <w:sz w:val="21"/>
          <w:szCs w:val="21"/>
          <w:highlight w:val="yellow"/>
        </w:rPr>
      </w:pPr>
    </w:p>
    <w:p w14:paraId="253BFF33" w14:textId="77777777" w:rsidR="00981159" w:rsidRDefault="00981159" w:rsidP="00D76BB4">
      <w:pPr>
        <w:pStyle w:val="TM2"/>
        <w:rPr>
          <w:rStyle w:val="Lienhypertexte"/>
          <w:b w:val="0"/>
          <w:sz w:val="21"/>
          <w:szCs w:val="21"/>
          <w:highlight w:val="yellow"/>
        </w:rPr>
      </w:pPr>
    </w:p>
    <w:p w14:paraId="180C8FD6" w14:textId="239C7EBB" w:rsidR="001C2F95" w:rsidRPr="00D53B04" w:rsidRDefault="001C2F95" w:rsidP="004B1A19">
      <w:pPr>
        <w:pStyle w:val="Titre1"/>
        <w:tabs>
          <w:tab w:val="right" w:pos="9062"/>
        </w:tabs>
        <w:jc w:val="center"/>
        <w:rPr>
          <w:rFonts w:cs="Arial"/>
          <w:szCs w:val="21"/>
          <w:highlight w:val="yellow"/>
        </w:rPr>
      </w:pPr>
      <w:bookmarkStart w:id="3" w:name="_Toc500754619"/>
      <w:bookmarkStart w:id="4" w:name="_Toc44626778"/>
      <w:bookmarkStart w:id="5" w:name="_Toc90393022"/>
      <w:bookmarkStart w:id="6" w:name="_Toc90471381"/>
      <w:bookmarkStart w:id="7" w:name="_Toc464561964"/>
      <w:bookmarkStart w:id="8" w:name="_Toc404105850"/>
      <w:r w:rsidRPr="00D53B04">
        <w:rPr>
          <w:rFonts w:cs="Arial"/>
          <w:szCs w:val="21"/>
        </w:rPr>
        <w:t>LISTE DES ACRONYMES ET DES ABRÉVIATIONS</w:t>
      </w:r>
      <w:bookmarkEnd w:id="3"/>
      <w:bookmarkEnd w:id="4"/>
      <w:bookmarkEnd w:id="5"/>
      <w:bookmarkEnd w:id="6"/>
    </w:p>
    <w:p w14:paraId="34F6C3E8" w14:textId="77777777" w:rsidR="001C2F95" w:rsidRPr="00D53B04" w:rsidRDefault="001C2F95" w:rsidP="001C2F95">
      <w:pPr>
        <w:rPr>
          <w:rFonts w:cs="Arial"/>
          <w:szCs w:val="21"/>
        </w:rPr>
      </w:pPr>
      <w:bookmarkStart w:id="9" w:name="_Toc500754620"/>
    </w:p>
    <w:p w14:paraId="79C679D6" w14:textId="77777777" w:rsidR="001C2F95" w:rsidRPr="00D53B04" w:rsidRDefault="001C2F95" w:rsidP="001C2F95">
      <w:pPr>
        <w:rPr>
          <w:rFonts w:eastAsia="Calibri" w:cs="Arial"/>
          <w:color w:val="000000"/>
          <w:szCs w:val="21"/>
        </w:rPr>
      </w:pPr>
      <w:r w:rsidRPr="00D53B04">
        <w:rPr>
          <w:rFonts w:eastAsia="Calibri" w:cs="Arial"/>
          <w:color w:val="000000"/>
          <w:szCs w:val="21"/>
        </w:rPr>
        <w:t>ACE</w:t>
      </w:r>
      <w:r w:rsidRPr="00D53B04">
        <w:rPr>
          <w:rFonts w:eastAsia="Calibri" w:cs="Arial"/>
          <w:color w:val="000000"/>
          <w:szCs w:val="21"/>
        </w:rPr>
        <w:tab/>
      </w:r>
      <w:r w:rsidRPr="00D53B04">
        <w:rPr>
          <w:rFonts w:eastAsia="Calibri" w:cs="Arial"/>
          <w:color w:val="000000"/>
          <w:szCs w:val="21"/>
        </w:rPr>
        <w:tab/>
        <w:t>: Agence Congolaise de l’Environnement</w:t>
      </w:r>
    </w:p>
    <w:p w14:paraId="4E3D0FC9" w14:textId="77777777" w:rsidR="001C2F95" w:rsidRPr="00D53B04" w:rsidRDefault="001C2F95" w:rsidP="001C2F95">
      <w:pPr>
        <w:rPr>
          <w:rFonts w:eastAsia="Calibri" w:cs="Arial"/>
          <w:color w:val="000000"/>
          <w:szCs w:val="21"/>
        </w:rPr>
      </w:pPr>
      <w:r w:rsidRPr="00D53B04">
        <w:rPr>
          <w:rFonts w:eastAsia="Calibri" w:cs="Arial"/>
          <w:color w:val="000000"/>
          <w:szCs w:val="21"/>
        </w:rPr>
        <w:t>ACP</w:t>
      </w:r>
      <w:r w:rsidRPr="00D53B04">
        <w:rPr>
          <w:rFonts w:eastAsia="Calibri" w:cs="Arial"/>
          <w:color w:val="000000"/>
          <w:szCs w:val="21"/>
        </w:rPr>
        <w:tab/>
      </w:r>
      <w:r w:rsidRPr="00D53B04">
        <w:rPr>
          <w:rFonts w:eastAsia="Calibri" w:cs="Arial"/>
          <w:color w:val="000000"/>
          <w:szCs w:val="21"/>
        </w:rPr>
        <w:tab/>
        <w:t>: Agence Congolaise de Presse</w:t>
      </w:r>
    </w:p>
    <w:p w14:paraId="17937467" w14:textId="77777777" w:rsidR="001C2F95" w:rsidRPr="00D53B04" w:rsidRDefault="001C2F95" w:rsidP="001C2F95">
      <w:pPr>
        <w:rPr>
          <w:rFonts w:eastAsia="Calibri" w:cs="Arial"/>
          <w:color w:val="000000"/>
          <w:szCs w:val="21"/>
        </w:rPr>
      </w:pPr>
      <w:r w:rsidRPr="00D53B04">
        <w:rPr>
          <w:rFonts w:eastAsia="Calibri" w:cs="Arial"/>
          <w:color w:val="000000"/>
          <w:szCs w:val="21"/>
        </w:rPr>
        <w:t>ACTEDD </w:t>
      </w:r>
      <w:r w:rsidRPr="00D53B04">
        <w:rPr>
          <w:rFonts w:eastAsia="Calibri" w:cs="Arial"/>
          <w:color w:val="000000"/>
          <w:szCs w:val="21"/>
        </w:rPr>
        <w:tab/>
        <w:t>: Agence Congolaise de Transition Écologique et Développement Durable</w:t>
      </w:r>
    </w:p>
    <w:p w14:paraId="0EE559DB" w14:textId="77777777" w:rsidR="001C2F95" w:rsidRPr="00D53B04" w:rsidRDefault="001C2F95" w:rsidP="001C2F95">
      <w:pPr>
        <w:rPr>
          <w:rFonts w:eastAsia="Calibri" w:cs="Arial"/>
          <w:color w:val="000000"/>
          <w:szCs w:val="21"/>
        </w:rPr>
      </w:pPr>
      <w:r w:rsidRPr="00D53B04">
        <w:rPr>
          <w:rFonts w:eastAsia="Calibri" w:cs="Arial"/>
          <w:color w:val="000000"/>
          <w:szCs w:val="21"/>
        </w:rPr>
        <w:t>ADF</w:t>
      </w:r>
      <w:r w:rsidRPr="00D53B04">
        <w:rPr>
          <w:rFonts w:eastAsia="Calibri" w:cs="Arial"/>
          <w:color w:val="000000"/>
          <w:szCs w:val="21"/>
        </w:rPr>
        <w:tab/>
      </w:r>
      <w:r w:rsidRPr="00D53B04">
        <w:rPr>
          <w:rFonts w:eastAsia="Calibri" w:cs="Arial"/>
          <w:color w:val="000000"/>
          <w:szCs w:val="21"/>
        </w:rPr>
        <w:tab/>
        <w:t>: Allied Democratic Forces</w:t>
      </w:r>
    </w:p>
    <w:p w14:paraId="0FB4D026" w14:textId="77777777" w:rsidR="001C2F95" w:rsidRPr="00D53B04" w:rsidRDefault="001C2F95" w:rsidP="001C2F95">
      <w:pPr>
        <w:rPr>
          <w:rFonts w:eastAsia="Calibri" w:cs="Arial"/>
          <w:color w:val="000000"/>
          <w:szCs w:val="21"/>
        </w:rPr>
      </w:pPr>
      <w:r w:rsidRPr="00D53B04">
        <w:rPr>
          <w:rFonts w:eastAsia="Calibri" w:cs="Arial"/>
          <w:color w:val="000000"/>
          <w:szCs w:val="21"/>
        </w:rPr>
        <w:t xml:space="preserve">AGR </w:t>
      </w:r>
      <w:r w:rsidRPr="00D53B04">
        <w:rPr>
          <w:rFonts w:eastAsia="Calibri" w:cs="Arial"/>
          <w:color w:val="000000"/>
          <w:szCs w:val="21"/>
        </w:rPr>
        <w:tab/>
      </w:r>
      <w:r w:rsidRPr="00D53B04">
        <w:rPr>
          <w:rFonts w:eastAsia="Calibri" w:cs="Arial"/>
          <w:color w:val="000000"/>
          <w:szCs w:val="21"/>
        </w:rPr>
        <w:tab/>
        <w:t>: Activités Génératrices de Revenus </w:t>
      </w:r>
    </w:p>
    <w:p w14:paraId="26A1EE04" w14:textId="77777777" w:rsidR="001C2F95" w:rsidRPr="00D53B04" w:rsidRDefault="001C2F95" w:rsidP="001C2F95">
      <w:pPr>
        <w:rPr>
          <w:rFonts w:eastAsia="Calibri" w:cs="Arial"/>
          <w:color w:val="000000"/>
          <w:szCs w:val="21"/>
        </w:rPr>
      </w:pPr>
      <w:r w:rsidRPr="00D53B04">
        <w:rPr>
          <w:rFonts w:eastAsia="Calibri" w:cs="Arial"/>
          <w:color w:val="000000"/>
          <w:szCs w:val="21"/>
        </w:rPr>
        <w:t>AE</w:t>
      </w:r>
      <w:r w:rsidRPr="00D53B04">
        <w:rPr>
          <w:rFonts w:eastAsia="Calibri" w:cs="Arial"/>
          <w:color w:val="000000"/>
          <w:szCs w:val="21"/>
        </w:rPr>
        <w:tab/>
      </w:r>
      <w:r w:rsidRPr="00D53B04">
        <w:rPr>
          <w:rFonts w:eastAsia="Calibri" w:cs="Arial"/>
          <w:color w:val="000000"/>
          <w:szCs w:val="21"/>
        </w:rPr>
        <w:tab/>
        <w:t>: Agence d’Exécution</w:t>
      </w:r>
    </w:p>
    <w:p w14:paraId="2D34C960" w14:textId="77777777" w:rsidR="001C2F95" w:rsidRPr="00D53B04" w:rsidRDefault="001C2F95" w:rsidP="001C2F95">
      <w:pPr>
        <w:rPr>
          <w:rFonts w:eastAsia="Calibri" w:cs="Arial"/>
          <w:color w:val="000000"/>
          <w:szCs w:val="21"/>
        </w:rPr>
      </w:pPr>
      <w:r w:rsidRPr="00D53B04">
        <w:rPr>
          <w:rFonts w:eastAsia="Calibri" w:cs="Arial"/>
          <w:color w:val="000000"/>
          <w:szCs w:val="21"/>
        </w:rPr>
        <w:t>AIN </w:t>
      </w:r>
      <w:r w:rsidRPr="00D53B04">
        <w:rPr>
          <w:rFonts w:eastAsia="Calibri" w:cs="Arial"/>
          <w:color w:val="000000"/>
          <w:szCs w:val="21"/>
        </w:rPr>
        <w:tab/>
      </w:r>
      <w:r w:rsidRPr="00D53B04">
        <w:rPr>
          <w:rFonts w:eastAsia="Calibri" w:cs="Arial"/>
          <w:color w:val="000000"/>
          <w:szCs w:val="21"/>
        </w:rPr>
        <w:tab/>
        <w:t>: Agriculture Intelligente face à la Nutrition</w:t>
      </w:r>
    </w:p>
    <w:p w14:paraId="5D1E2B02" w14:textId="77777777" w:rsidR="001C2F95" w:rsidRPr="00D53B04" w:rsidRDefault="001C2F95" w:rsidP="001C2F95">
      <w:pPr>
        <w:rPr>
          <w:rFonts w:eastAsia="Calibri" w:cs="Arial"/>
          <w:color w:val="000000"/>
          <w:szCs w:val="21"/>
        </w:rPr>
      </w:pPr>
      <w:r w:rsidRPr="00D53B04">
        <w:rPr>
          <w:rFonts w:eastAsia="Calibri" w:cs="Arial"/>
          <w:color w:val="000000"/>
          <w:szCs w:val="21"/>
        </w:rPr>
        <w:t>ALE</w:t>
      </w:r>
      <w:r w:rsidRPr="00D53B04">
        <w:rPr>
          <w:rFonts w:eastAsia="Calibri" w:cs="Arial"/>
          <w:color w:val="000000"/>
          <w:szCs w:val="21"/>
        </w:rPr>
        <w:tab/>
      </w:r>
      <w:r w:rsidRPr="00D53B04">
        <w:rPr>
          <w:rFonts w:eastAsia="Calibri" w:cs="Arial"/>
          <w:color w:val="000000"/>
          <w:szCs w:val="21"/>
        </w:rPr>
        <w:tab/>
        <w:t>: Agence Locale d’Exécution</w:t>
      </w:r>
    </w:p>
    <w:p w14:paraId="6964E256" w14:textId="77777777" w:rsidR="001C2F95" w:rsidRPr="00D53B04" w:rsidRDefault="001C2F95" w:rsidP="001C2F95">
      <w:pPr>
        <w:rPr>
          <w:rFonts w:eastAsia="Calibri" w:cs="Arial"/>
          <w:color w:val="000000"/>
          <w:szCs w:val="21"/>
        </w:rPr>
      </w:pPr>
      <w:r w:rsidRPr="00D53B04">
        <w:rPr>
          <w:rFonts w:eastAsia="Calibri" w:cs="Arial"/>
          <w:color w:val="000000"/>
          <w:szCs w:val="21"/>
        </w:rPr>
        <w:t xml:space="preserve">AVEC </w:t>
      </w:r>
      <w:r w:rsidRPr="00D53B04">
        <w:rPr>
          <w:rFonts w:eastAsia="Calibri" w:cs="Arial"/>
          <w:color w:val="000000"/>
          <w:szCs w:val="21"/>
        </w:rPr>
        <w:tab/>
      </w:r>
      <w:r w:rsidRPr="00D53B04">
        <w:rPr>
          <w:rFonts w:eastAsia="Calibri" w:cs="Arial"/>
          <w:color w:val="000000"/>
          <w:szCs w:val="21"/>
        </w:rPr>
        <w:tab/>
        <w:t xml:space="preserve">: Associations Villageoises d’Épargnes et de Crédits  </w:t>
      </w:r>
    </w:p>
    <w:p w14:paraId="5E4BEBAF" w14:textId="77777777" w:rsidR="001C2F95" w:rsidRPr="00D53B04" w:rsidRDefault="001C2F95" w:rsidP="001C2F95">
      <w:pPr>
        <w:ind w:left="1560" w:hanging="1560"/>
        <w:rPr>
          <w:rFonts w:eastAsia="Calibri" w:cs="Arial"/>
          <w:color w:val="000000"/>
          <w:szCs w:val="21"/>
        </w:rPr>
      </w:pPr>
      <w:r w:rsidRPr="00D53B04">
        <w:rPr>
          <w:rFonts w:eastAsia="Calibri" w:cs="Arial"/>
          <w:color w:val="000000"/>
          <w:szCs w:val="21"/>
        </w:rPr>
        <w:t>AVIFEM          : Agence Nationale de lutte contre les Violences faites à la Femme, à la jeune et petite fille</w:t>
      </w:r>
    </w:p>
    <w:p w14:paraId="219D8EBD" w14:textId="77777777" w:rsidR="001C2F95" w:rsidRPr="00D53B04" w:rsidRDefault="001C2F95" w:rsidP="001C2F95">
      <w:pPr>
        <w:rPr>
          <w:rFonts w:eastAsia="Calibri" w:cs="Arial"/>
          <w:color w:val="000000"/>
          <w:szCs w:val="21"/>
        </w:rPr>
      </w:pPr>
      <w:r w:rsidRPr="00D53B04">
        <w:rPr>
          <w:rFonts w:eastAsia="Calibri" w:cs="Arial"/>
          <w:color w:val="000000"/>
          <w:szCs w:val="21"/>
        </w:rPr>
        <w:t>CAID</w:t>
      </w:r>
      <w:r w:rsidRPr="00D53B04">
        <w:rPr>
          <w:rFonts w:eastAsia="Calibri" w:cs="Arial"/>
          <w:color w:val="000000"/>
          <w:szCs w:val="21"/>
        </w:rPr>
        <w:tab/>
      </w:r>
      <w:r w:rsidRPr="00D53B04">
        <w:rPr>
          <w:rFonts w:eastAsia="Calibri" w:cs="Arial"/>
          <w:color w:val="000000"/>
          <w:szCs w:val="21"/>
        </w:rPr>
        <w:tab/>
        <w:t>: Centre d’Analyse des Indicateurs du Développement</w:t>
      </w:r>
    </w:p>
    <w:p w14:paraId="3479AD4C" w14:textId="0021D950" w:rsidR="001C2F95" w:rsidRPr="00D53B04" w:rsidRDefault="001C2F95" w:rsidP="001C2F95">
      <w:pPr>
        <w:rPr>
          <w:rFonts w:eastAsia="Calibri" w:cs="Arial"/>
          <w:color w:val="000000"/>
          <w:szCs w:val="21"/>
        </w:rPr>
      </w:pPr>
      <w:r w:rsidRPr="00D53B04">
        <w:rPr>
          <w:rFonts w:eastAsia="Calibri" w:cs="Arial"/>
          <w:color w:val="000000"/>
          <w:szCs w:val="21"/>
        </w:rPr>
        <w:t>CAVTK</w:t>
      </w:r>
      <w:r w:rsidRPr="00D53B04">
        <w:rPr>
          <w:rFonts w:eastAsia="Calibri" w:cs="Arial"/>
          <w:color w:val="000000"/>
          <w:szCs w:val="21"/>
        </w:rPr>
        <w:tab/>
      </w:r>
      <w:r w:rsidR="00D53B04">
        <w:rPr>
          <w:rFonts w:eastAsia="Calibri" w:cs="Arial"/>
          <w:color w:val="000000"/>
          <w:szCs w:val="21"/>
        </w:rPr>
        <w:tab/>
      </w:r>
      <w:r w:rsidRPr="00D53B04">
        <w:rPr>
          <w:rFonts w:eastAsia="Calibri" w:cs="Arial"/>
          <w:color w:val="000000"/>
          <w:szCs w:val="21"/>
        </w:rPr>
        <w:t xml:space="preserve">: </w:t>
      </w:r>
      <w:r w:rsidRPr="00D53B04">
        <w:rPr>
          <w:rFonts w:cs="Arial"/>
          <w:szCs w:val="21"/>
        </w:rPr>
        <w:t>Clinique Centre Agronomique et Vétérinaire Tropical de Kinshasa</w:t>
      </w:r>
    </w:p>
    <w:p w14:paraId="3AF9FEC6" w14:textId="77777777" w:rsidR="001C2F95" w:rsidRPr="00D53B04" w:rsidRDefault="001C2F95" w:rsidP="001C2F95">
      <w:pPr>
        <w:rPr>
          <w:rFonts w:eastAsia="Calibri" w:cs="Arial"/>
          <w:color w:val="000000"/>
          <w:szCs w:val="21"/>
        </w:rPr>
      </w:pPr>
      <w:r w:rsidRPr="00D53B04">
        <w:rPr>
          <w:rFonts w:eastAsia="Calibri" w:cs="Arial"/>
          <w:color w:val="000000"/>
          <w:szCs w:val="21"/>
        </w:rPr>
        <w:t xml:space="preserve">CCC </w:t>
      </w:r>
      <w:r w:rsidRPr="00D53B04">
        <w:rPr>
          <w:rFonts w:eastAsia="Calibri" w:cs="Arial"/>
          <w:color w:val="000000"/>
          <w:szCs w:val="21"/>
        </w:rPr>
        <w:tab/>
      </w:r>
      <w:r w:rsidRPr="00D53B04">
        <w:rPr>
          <w:rFonts w:eastAsia="Calibri" w:cs="Arial"/>
          <w:color w:val="000000"/>
          <w:szCs w:val="21"/>
        </w:rPr>
        <w:tab/>
        <w:t xml:space="preserve">: Communication pour le Changement de Comportement </w:t>
      </w:r>
    </w:p>
    <w:p w14:paraId="23AFB451" w14:textId="77777777" w:rsidR="001C2F95" w:rsidRPr="00D53B04" w:rsidRDefault="001C2F95" w:rsidP="001C2F95">
      <w:pPr>
        <w:rPr>
          <w:rFonts w:eastAsia="Calibri" w:cs="Arial"/>
          <w:color w:val="000000"/>
          <w:szCs w:val="21"/>
        </w:rPr>
      </w:pPr>
      <w:r w:rsidRPr="00D53B04">
        <w:rPr>
          <w:rFonts w:eastAsia="Calibri" w:cs="Arial"/>
          <w:color w:val="000000"/>
          <w:szCs w:val="21"/>
        </w:rPr>
        <w:t>CES </w:t>
      </w:r>
      <w:r w:rsidRPr="00D53B04">
        <w:rPr>
          <w:rFonts w:eastAsia="Calibri" w:cs="Arial"/>
          <w:color w:val="000000"/>
          <w:szCs w:val="21"/>
        </w:rPr>
        <w:tab/>
      </w:r>
      <w:r w:rsidRPr="00D53B04">
        <w:rPr>
          <w:rFonts w:eastAsia="Calibri" w:cs="Arial"/>
          <w:color w:val="000000"/>
          <w:szCs w:val="21"/>
        </w:rPr>
        <w:tab/>
        <w:t>: Cadre Environnemental et Social</w:t>
      </w:r>
    </w:p>
    <w:p w14:paraId="26A55EB8" w14:textId="77777777" w:rsidR="001C2F95" w:rsidRPr="00D53B04" w:rsidRDefault="001C2F95" w:rsidP="001C2F95">
      <w:pPr>
        <w:rPr>
          <w:rFonts w:eastAsia="Calibri" w:cs="Arial"/>
          <w:color w:val="000000"/>
          <w:szCs w:val="21"/>
        </w:rPr>
      </w:pPr>
      <w:r w:rsidRPr="00D53B04">
        <w:rPr>
          <w:rFonts w:eastAsia="Calibri" w:cs="Arial"/>
          <w:color w:val="000000"/>
          <w:szCs w:val="21"/>
        </w:rPr>
        <w:t xml:space="preserve">CGES </w:t>
      </w:r>
      <w:r w:rsidRPr="00D53B04">
        <w:rPr>
          <w:rFonts w:eastAsia="Calibri" w:cs="Arial"/>
          <w:color w:val="000000"/>
          <w:szCs w:val="21"/>
        </w:rPr>
        <w:tab/>
      </w:r>
      <w:r w:rsidRPr="00D53B04">
        <w:rPr>
          <w:rFonts w:eastAsia="Calibri" w:cs="Arial"/>
          <w:color w:val="000000"/>
          <w:szCs w:val="21"/>
        </w:rPr>
        <w:tab/>
        <w:t>: Cadre de Gestion Environnementale et Sociale</w:t>
      </w:r>
    </w:p>
    <w:p w14:paraId="312F83C6" w14:textId="77777777" w:rsidR="001C2F95" w:rsidRPr="00D53B04" w:rsidRDefault="001C2F95" w:rsidP="001C2F95">
      <w:pPr>
        <w:rPr>
          <w:rFonts w:eastAsia="Calibri" w:cs="Arial"/>
          <w:color w:val="000000"/>
          <w:szCs w:val="21"/>
        </w:rPr>
      </w:pPr>
      <w:r w:rsidRPr="00D53B04">
        <w:rPr>
          <w:rFonts w:eastAsia="Calibri" w:cs="Arial"/>
          <w:color w:val="000000"/>
          <w:szCs w:val="21"/>
        </w:rPr>
        <w:t>CIPV</w:t>
      </w:r>
      <w:r w:rsidRPr="00D53B04">
        <w:rPr>
          <w:rFonts w:eastAsia="Calibri" w:cs="Arial"/>
          <w:color w:val="000000"/>
          <w:szCs w:val="21"/>
        </w:rPr>
        <w:tab/>
      </w:r>
      <w:r w:rsidRPr="00D53B04">
        <w:rPr>
          <w:rFonts w:eastAsia="Calibri" w:cs="Arial"/>
          <w:color w:val="000000"/>
          <w:szCs w:val="21"/>
        </w:rPr>
        <w:tab/>
        <w:t xml:space="preserve">: </w:t>
      </w:r>
      <w:r w:rsidRPr="00D53B04">
        <w:rPr>
          <w:rFonts w:cs="Arial"/>
          <w:szCs w:val="21"/>
        </w:rPr>
        <w:t>Convention Internationale pour la Protection des Végétaux</w:t>
      </w:r>
    </w:p>
    <w:p w14:paraId="06DF0EFC" w14:textId="77777777" w:rsidR="001C2F95" w:rsidRPr="00D53B04" w:rsidRDefault="001C2F95" w:rsidP="001C2F95">
      <w:pPr>
        <w:rPr>
          <w:rFonts w:eastAsia="Calibri" w:cs="Arial"/>
          <w:color w:val="000000"/>
          <w:szCs w:val="21"/>
        </w:rPr>
      </w:pPr>
      <w:r w:rsidRPr="00D53B04">
        <w:rPr>
          <w:rFonts w:eastAsia="Calibri" w:cs="Arial"/>
          <w:color w:val="000000"/>
          <w:szCs w:val="21"/>
        </w:rPr>
        <w:t>CUNCPMP</w:t>
      </w:r>
      <w:r w:rsidRPr="00D53B04">
        <w:rPr>
          <w:rFonts w:eastAsia="Calibri" w:cs="Arial"/>
          <w:color w:val="000000"/>
          <w:szCs w:val="21"/>
        </w:rPr>
        <w:tab/>
        <w:t>: Cellule de Gestion des Projets et des Marchés Publics</w:t>
      </w:r>
    </w:p>
    <w:p w14:paraId="364E9B09" w14:textId="77777777" w:rsidR="001C2F95" w:rsidRPr="00D53B04" w:rsidRDefault="001C2F95" w:rsidP="001C2F95">
      <w:pPr>
        <w:rPr>
          <w:rFonts w:eastAsia="Calibri" w:cs="Arial"/>
          <w:color w:val="000000"/>
          <w:szCs w:val="21"/>
        </w:rPr>
      </w:pPr>
      <w:r w:rsidRPr="00D53B04">
        <w:rPr>
          <w:rFonts w:eastAsia="Calibri" w:cs="Arial"/>
          <w:color w:val="000000"/>
          <w:szCs w:val="21"/>
        </w:rPr>
        <w:t>CMR</w:t>
      </w:r>
      <w:r w:rsidRPr="00D53B04">
        <w:rPr>
          <w:rFonts w:eastAsia="Calibri" w:cs="Arial"/>
          <w:color w:val="000000"/>
          <w:szCs w:val="21"/>
        </w:rPr>
        <w:tab/>
      </w:r>
      <w:r w:rsidRPr="00D53B04">
        <w:rPr>
          <w:rFonts w:eastAsia="Calibri" w:cs="Arial"/>
          <w:color w:val="000000"/>
          <w:szCs w:val="21"/>
        </w:rPr>
        <w:tab/>
        <w:t>: Comité Multisectoriel de Riposte</w:t>
      </w:r>
    </w:p>
    <w:p w14:paraId="009E78AC" w14:textId="77777777" w:rsidR="001C2F95" w:rsidRPr="00D53B04" w:rsidRDefault="001C2F95" w:rsidP="001C2F95">
      <w:pPr>
        <w:rPr>
          <w:rFonts w:eastAsia="Calibri" w:cs="Arial"/>
          <w:color w:val="000000"/>
          <w:szCs w:val="21"/>
        </w:rPr>
      </w:pPr>
      <w:r w:rsidRPr="00D53B04">
        <w:rPr>
          <w:rFonts w:eastAsia="Calibri" w:cs="Arial"/>
          <w:color w:val="000000"/>
          <w:szCs w:val="21"/>
        </w:rPr>
        <w:t>CONAPAC </w:t>
      </w:r>
      <w:r w:rsidRPr="00D53B04">
        <w:rPr>
          <w:rFonts w:eastAsia="Calibri" w:cs="Arial"/>
          <w:color w:val="000000"/>
          <w:szCs w:val="21"/>
        </w:rPr>
        <w:tab/>
        <w:t>: Confédération Nationale des Producteurs Agricoles au Congo</w:t>
      </w:r>
    </w:p>
    <w:p w14:paraId="5A880E23" w14:textId="77777777" w:rsidR="001C2F95" w:rsidRPr="00D53B04" w:rsidRDefault="001C2F95" w:rsidP="001C2F95">
      <w:pPr>
        <w:rPr>
          <w:rFonts w:eastAsia="Calibri" w:cs="Arial"/>
          <w:color w:val="000000"/>
          <w:szCs w:val="21"/>
        </w:rPr>
      </w:pPr>
      <w:r w:rsidRPr="00D53B04">
        <w:rPr>
          <w:rFonts w:eastAsia="Calibri" w:cs="Arial"/>
          <w:color w:val="000000"/>
          <w:szCs w:val="21"/>
        </w:rPr>
        <w:t>CORDAID</w:t>
      </w:r>
      <w:r w:rsidRPr="00D53B04">
        <w:rPr>
          <w:rFonts w:eastAsia="Calibri" w:cs="Arial"/>
          <w:color w:val="000000"/>
          <w:szCs w:val="21"/>
        </w:rPr>
        <w:tab/>
        <w:t>: Organisation Catholique pour les secours et l'Aide au Développement</w:t>
      </w:r>
    </w:p>
    <w:p w14:paraId="309342A3" w14:textId="77777777" w:rsidR="001C2F95" w:rsidRPr="00D53B04" w:rsidRDefault="001C2F95" w:rsidP="001C2F95">
      <w:pPr>
        <w:rPr>
          <w:rFonts w:eastAsia="Calibri" w:cs="Arial"/>
          <w:color w:val="000000"/>
          <w:szCs w:val="21"/>
        </w:rPr>
      </w:pPr>
      <w:r w:rsidRPr="00D53B04">
        <w:rPr>
          <w:rFonts w:eastAsia="Calibri" w:cs="Arial"/>
          <w:color w:val="000000"/>
          <w:szCs w:val="21"/>
        </w:rPr>
        <w:t>COVID-19 </w:t>
      </w:r>
      <w:r w:rsidRPr="00D53B04">
        <w:rPr>
          <w:rFonts w:eastAsia="Calibri" w:cs="Arial"/>
          <w:color w:val="000000"/>
          <w:szCs w:val="21"/>
        </w:rPr>
        <w:tab/>
        <w:t>: Corona Virus – 19</w:t>
      </w:r>
    </w:p>
    <w:p w14:paraId="1C703811" w14:textId="77777777" w:rsidR="001C2F95" w:rsidRPr="00D53B04" w:rsidRDefault="001C2F95" w:rsidP="001C2F95">
      <w:pPr>
        <w:rPr>
          <w:rFonts w:eastAsia="Calibri" w:cs="Arial"/>
          <w:color w:val="000000"/>
          <w:szCs w:val="21"/>
        </w:rPr>
      </w:pPr>
      <w:r w:rsidRPr="00D53B04">
        <w:rPr>
          <w:rFonts w:eastAsia="Calibri" w:cs="Arial"/>
          <w:color w:val="000000"/>
          <w:szCs w:val="21"/>
        </w:rPr>
        <w:t>CPE</w:t>
      </w:r>
      <w:r w:rsidRPr="00D53B04">
        <w:rPr>
          <w:rFonts w:eastAsia="Calibri" w:cs="Arial"/>
          <w:color w:val="000000"/>
          <w:szCs w:val="21"/>
        </w:rPr>
        <w:tab/>
      </w:r>
      <w:r w:rsidRPr="00D53B04">
        <w:rPr>
          <w:rFonts w:eastAsia="Calibri" w:cs="Arial"/>
          <w:color w:val="000000"/>
          <w:szCs w:val="21"/>
        </w:rPr>
        <w:tab/>
        <w:t>: Coordination Provinciale de l’Environnement</w:t>
      </w:r>
    </w:p>
    <w:p w14:paraId="18239748" w14:textId="77777777" w:rsidR="001C2F95" w:rsidRPr="00D53B04" w:rsidRDefault="001C2F95" w:rsidP="001C2F95">
      <w:pPr>
        <w:rPr>
          <w:rFonts w:eastAsia="Calibri" w:cs="Arial"/>
          <w:color w:val="000000"/>
          <w:szCs w:val="21"/>
        </w:rPr>
      </w:pPr>
      <w:r w:rsidRPr="00D53B04">
        <w:rPr>
          <w:rFonts w:eastAsia="Calibri" w:cs="Arial"/>
          <w:color w:val="000000"/>
          <w:szCs w:val="21"/>
        </w:rPr>
        <w:t xml:space="preserve">CPPA </w:t>
      </w:r>
      <w:r w:rsidRPr="00D53B04">
        <w:rPr>
          <w:rFonts w:eastAsia="Calibri" w:cs="Arial"/>
          <w:color w:val="000000"/>
          <w:szCs w:val="21"/>
        </w:rPr>
        <w:tab/>
      </w:r>
      <w:r w:rsidRPr="00D53B04">
        <w:rPr>
          <w:rFonts w:eastAsia="Calibri" w:cs="Arial"/>
          <w:color w:val="000000"/>
          <w:szCs w:val="21"/>
        </w:rPr>
        <w:tab/>
        <w:t>: Cadre de Planification en faveur des Populations Autochtones</w:t>
      </w:r>
    </w:p>
    <w:p w14:paraId="286F53FD" w14:textId="77777777" w:rsidR="001C2F95" w:rsidRPr="00D53B04" w:rsidRDefault="001C2F95" w:rsidP="001C2F95">
      <w:pPr>
        <w:rPr>
          <w:rFonts w:eastAsia="Calibri" w:cs="Arial"/>
          <w:color w:val="000000"/>
          <w:szCs w:val="21"/>
        </w:rPr>
      </w:pPr>
      <w:r w:rsidRPr="00D53B04">
        <w:rPr>
          <w:rFonts w:eastAsia="Calibri" w:cs="Arial"/>
          <w:color w:val="000000"/>
          <w:szCs w:val="21"/>
        </w:rPr>
        <w:t>CPR</w:t>
      </w:r>
      <w:r w:rsidRPr="00D53B04">
        <w:rPr>
          <w:rFonts w:eastAsia="Calibri" w:cs="Arial"/>
          <w:color w:val="000000"/>
          <w:szCs w:val="21"/>
        </w:rPr>
        <w:tab/>
      </w:r>
      <w:r w:rsidRPr="00D53B04">
        <w:rPr>
          <w:rFonts w:eastAsia="Calibri" w:cs="Arial"/>
          <w:color w:val="000000"/>
          <w:szCs w:val="21"/>
        </w:rPr>
        <w:tab/>
        <w:t>: Cadre de Politique de Réinstallation</w:t>
      </w:r>
    </w:p>
    <w:p w14:paraId="51F5D88A" w14:textId="77777777" w:rsidR="001C2F95" w:rsidRPr="00D53B04" w:rsidRDefault="001C2F95" w:rsidP="001C2F95">
      <w:pPr>
        <w:rPr>
          <w:rFonts w:eastAsia="Calibri" w:cs="Arial"/>
          <w:color w:val="000000"/>
          <w:szCs w:val="21"/>
        </w:rPr>
      </w:pPr>
      <w:r w:rsidRPr="00D53B04">
        <w:rPr>
          <w:rFonts w:eastAsia="Calibri" w:cs="Arial"/>
          <w:color w:val="000000"/>
          <w:szCs w:val="21"/>
        </w:rPr>
        <w:t xml:space="preserve">CSA </w:t>
      </w:r>
      <w:r w:rsidRPr="00D53B04">
        <w:rPr>
          <w:rFonts w:eastAsia="Calibri" w:cs="Arial"/>
          <w:color w:val="000000"/>
          <w:szCs w:val="21"/>
        </w:rPr>
        <w:tab/>
      </w:r>
      <w:r w:rsidRPr="00D53B04">
        <w:rPr>
          <w:rFonts w:eastAsia="Calibri" w:cs="Arial"/>
          <w:color w:val="000000"/>
          <w:szCs w:val="21"/>
        </w:rPr>
        <w:tab/>
        <w:t>: Agriculture Intelligente face au Climat</w:t>
      </w:r>
    </w:p>
    <w:p w14:paraId="5F8118D9" w14:textId="77777777" w:rsidR="001C2F95" w:rsidRPr="00D53B04" w:rsidRDefault="001C2F95" w:rsidP="001C2F95">
      <w:pPr>
        <w:rPr>
          <w:rFonts w:eastAsia="Calibri" w:cs="Arial"/>
          <w:color w:val="000000"/>
          <w:szCs w:val="21"/>
        </w:rPr>
      </w:pPr>
      <w:r w:rsidRPr="00D53B04">
        <w:rPr>
          <w:rFonts w:eastAsia="Calibri" w:cs="Arial"/>
          <w:color w:val="000000"/>
          <w:szCs w:val="21"/>
        </w:rPr>
        <w:t>CSMOD</w:t>
      </w:r>
      <w:r w:rsidRPr="00D53B04">
        <w:rPr>
          <w:rFonts w:eastAsia="Calibri" w:cs="Arial"/>
          <w:color w:val="000000"/>
          <w:szCs w:val="21"/>
        </w:rPr>
        <w:tab/>
        <w:t>: Cadre Stratégique de Mise en Œuvre de la Décentralisation</w:t>
      </w:r>
    </w:p>
    <w:p w14:paraId="76A31A31" w14:textId="77777777" w:rsidR="001C2F95" w:rsidRPr="00D53B04" w:rsidRDefault="001C2F95" w:rsidP="001C2F95">
      <w:pPr>
        <w:rPr>
          <w:rFonts w:eastAsia="Calibri" w:cs="Arial"/>
          <w:color w:val="000000"/>
          <w:szCs w:val="21"/>
        </w:rPr>
      </w:pPr>
      <w:r w:rsidRPr="00D53B04">
        <w:rPr>
          <w:rFonts w:eastAsia="Calibri" w:cs="Arial"/>
          <w:color w:val="000000"/>
          <w:szCs w:val="21"/>
        </w:rPr>
        <w:t>CTPS</w:t>
      </w:r>
      <w:r w:rsidRPr="00D53B04">
        <w:rPr>
          <w:rFonts w:eastAsia="Calibri" w:cs="Arial"/>
          <w:color w:val="000000"/>
          <w:szCs w:val="21"/>
        </w:rPr>
        <w:tab/>
      </w:r>
      <w:r w:rsidRPr="00D53B04">
        <w:rPr>
          <w:rFonts w:eastAsia="Calibri" w:cs="Arial"/>
          <w:color w:val="000000"/>
          <w:szCs w:val="21"/>
        </w:rPr>
        <w:tab/>
        <w:t>: Comité Technique Préparatoire et de Suivi</w:t>
      </w:r>
    </w:p>
    <w:p w14:paraId="6A30B013" w14:textId="77777777" w:rsidR="001C2F95" w:rsidRPr="00D53B04" w:rsidRDefault="001C2F95" w:rsidP="001C2F95">
      <w:pPr>
        <w:rPr>
          <w:rFonts w:eastAsia="Calibri" w:cs="Arial"/>
          <w:color w:val="000000"/>
          <w:szCs w:val="21"/>
        </w:rPr>
      </w:pPr>
      <w:r w:rsidRPr="00D53B04">
        <w:rPr>
          <w:rFonts w:eastAsia="Calibri" w:cs="Arial"/>
          <w:color w:val="000000"/>
          <w:szCs w:val="21"/>
        </w:rPr>
        <w:t>CUE</w:t>
      </w:r>
      <w:r w:rsidRPr="00D53B04">
        <w:rPr>
          <w:rFonts w:eastAsia="Calibri" w:cs="Arial"/>
          <w:color w:val="000000"/>
          <w:szCs w:val="21"/>
        </w:rPr>
        <w:tab/>
      </w:r>
      <w:r w:rsidRPr="00D53B04">
        <w:rPr>
          <w:rFonts w:eastAsia="Calibri" w:cs="Arial"/>
          <w:color w:val="000000"/>
          <w:szCs w:val="21"/>
        </w:rPr>
        <w:tab/>
        <w:t>: Coordinations Urbaines de l’Environnement</w:t>
      </w:r>
    </w:p>
    <w:p w14:paraId="68DFC6DB" w14:textId="77777777" w:rsidR="001C2F95" w:rsidRPr="00D53B04" w:rsidRDefault="001C2F95" w:rsidP="001C2F95">
      <w:pPr>
        <w:rPr>
          <w:rFonts w:eastAsia="Calibri" w:cs="Arial"/>
          <w:color w:val="000000"/>
          <w:szCs w:val="21"/>
        </w:rPr>
      </w:pPr>
      <w:r w:rsidRPr="00D53B04">
        <w:rPr>
          <w:rFonts w:eastAsia="Calibri" w:cs="Arial"/>
          <w:color w:val="000000"/>
          <w:szCs w:val="21"/>
        </w:rPr>
        <w:t>DAUNCP</w:t>
      </w:r>
      <w:r w:rsidRPr="00D53B04">
        <w:rPr>
          <w:rFonts w:eastAsia="Calibri" w:cs="Arial"/>
          <w:color w:val="000000"/>
          <w:szCs w:val="21"/>
        </w:rPr>
        <w:tab/>
        <w:t>: Direction de l’Administration Générale des Projets</w:t>
      </w:r>
    </w:p>
    <w:p w14:paraId="6BDCA65C" w14:textId="77777777" w:rsidR="001C2F95" w:rsidRPr="00D53B04" w:rsidRDefault="001C2F95" w:rsidP="001C2F95">
      <w:pPr>
        <w:rPr>
          <w:rFonts w:eastAsia="Calibri" w:cs="Arial"/>
          <w:color w:val="000000"/>
          <w:szCs w:val="21"/>
        </w:rPr>
      </w:pPr>
      <w:r w:rsidRPr="00D53B04">
        <w:rPr>
          <w:rFonts w:eastAsia="Calibri" w:cs="Arial"/>
          <w:color w:val="000000"/>
          <w:szCs w:val="21"/>
        </w:rPr>
        <w:t>DAO</w:t>
      </w:r>
      <w:r w:rsidRPr="00D53B04">
        <w:rPr>
          <w:rFonts w:eastAsia="Calibri" w:cs="Arial"/>
          <w:color w:val="000000"/>
          <w:szCs w:val="21"/>
        </w:rPr>
        <w:tab/>
      </w:r>
      <w:r w:rsidRPr="00D53B04">
        <w:rPr>
          <w:rFonts w:eastAsia="Calibri" w:cs="Arial"/>
          <w:color w:val="000000"/>
          <w:szCs w:val="21"/>
        </w:rPr>
        <w:tab/>
        <w:t>: Dossier d’Appel d’Offres</w:t>
      </w:r>
    </w:p>
    <w:p w14:paraId="0AE6F95B" w14:textId="77777777" w:rsidR="001C2F95" w:rsidRPr="00D53B04" w:rsidRDefault="001C2F95" w:rsidP="001C2F95">
      <w:pPr>
        <w:rPr>
          <w:rFonts w:eastAsia="Calibri" w:cs="Arial"/>
          <w:color w:val="000000"/>
          <w:szCs w:val="21"/>
        </w:rPr>
      </w:pPr>
      <w:r w:rsidRPr="00D53B04">
        <w:rPr>
          <w:rFonts w:eastAsia="Calibri" w:cs="Arial"/>
          <w:color w:val="000000"/>
          <w:szCs w:val="21"/>
        </w:rPr>
        <w:t>DAGP</w:t>
      </w:r>
      <w:r w:rsidRPr="00D53B04">
        <w:rPr>
          <w:rFonts w:eastAsia="Calibri" w:cs="Arial"/>
          <w:color w:val="000000"/>
          <w:szCs w:val="21"/>
        </w:rPr>
        <w:tab/>
      </w:r>
      <w:r w:rsidRPr="00D53B04">
        <w:rPr>
          <w:rFonts w:eastAsia="Calibri" w:cs="Arial"/>
          <w:color w:val="000000"/>
          <w:szCs w:val="21"/>
        </w:rPr>
        <w:tab/>
        <w:t xml:space="preserve">: </w:t>
      </w:r>
      <w:r w:rsidRPr="00D53B04">
        <w:rPr>
          <w:rFonts w:cs="Arial"/>
          <w:color w:val="000000"/>
          <w:szCs w:val="21"/>
        </w:rPr>
        <w:t>Direction de l’Administration Générale des Projets</w:t>
      </w:r>
    </w:p>
    <w:p w14:paraId="59F8DB1E" w14:textId="77777777" w:rsidR="001C2F95" w:rsidRPr="00D53B04" w:rsidRDefault="001C2F95" w:rsidP="001C2F95">
      <w:pPr>
        <w:rPr>
          <w:rFonts w:eastAsia="Calibri" w:cs="Arial"/>
          <w:color w:val="000000"/>
          <w:szCs w:val="21"/>
        </w:rPr>
      </w:pPr>
      <w:r w:rsidRPr="00D53B04">
        <w:rPr>
          <w:rFonts w:eastAsia="Calibri" w:cs="Arial"/>
          <w:color w:val="000000"/>
          <w:szCs w:val="21"/>
        </w:rPr>
        <w:t>DAPP </w:t>
      </w:r>
      <w:r w:rsidRPr="00D53B04">
        <w:rPr>
          <w:rFonts w:eastAsia="Calibri" w:cs="Arial"/>
          <w:color w:val="000000"/>
          <w:szCs w:val="21"/>
        </w:rPr>
        <w:tab/>
      </w:r>
      <w:r w:rsidRPr="00D53B04">
        <w:rPr>
          <w:rFonts w:eastAsia="Calibri" w:cs="Arial"/>
          <w:color w:val="000000"/>
          <w:szCs w:val="21"/>
        </w:rPr>
        <w:tab/>
        <w:t>: Direction des Analyses, Prospectives et de la Planification</w:t>
      </w:r>
    </w:p>
    <w:p w14:paraId="3AFAFD8B" w14:textId="77777777" w:rsidR="001C2F95" w:rsidRPr="00D53B04" w:rsidRDefault="001C2F95" w:rsidP="001C2F95">
      <w:pPr>
        <w:rPr>
          <w:rFonts w:eastAsia="Calibri" w:cs="Arial"/>
          <w:color w:val="000000"/>
          <w:szCs w:val="21"/>
        </w:rPr>
      </w:pPr>
      <w:r w:rsidRPr="00D53B04">
        <w:rPr>
          <w:rFonts w:eastAsia="Calibri" w:cs="Arial"/>
          <w:color w:val="000000"/>
          <w:szCs w:val="21"/>
        </w:rPr>
        <w:t>DCN</w:t>
      </w:r>
      <w:r w:rsidRPr="00D53B04">
        <w:rPr>
          <w:rFonts w:eastAsia="Calibri" w:cs="Arial"/>
          <w:color w:val="000000"/>
          <w:szCs w:val="21"/>
        </w:rPr>
        <w:tab/>
      </w:r>
      <w:r w:rsidRPr="00D53B04">
        <w:rPr>
          <w:rFonts w:eastAsia="Calibri" w:cs="Arial"/>
          <w:color w:val="000000"/>
          <w:szCs w:val="21"/>
        </w:rPr>
        <w:tab/>
        <w:t>: Direction de la Conservation de la Nature</w:t>
      </w:r>
    </w:p>
    <w:p w14:paraId="49DD89B3" w14:textId="77777777" w:rsidR="001C2F95" w:rsidRPr="00D53B04" w:rsidRDefault="001C2F95" w:rsidP="001C2F95">
      <w:pPr>
        <w:rPr>
          <w:rFonts w:eastAsia="Calibri" w:cs="Arial"/>
          <w:color w:val="000000"/>
          <w:szCs w:val="21"/>
        </w:rPr>
      </w:pPr>
      <w:r w:rsidRPr="00D53B04">
        <w:rPr>
          <w:rFonts w:eastAsia="Calibri" w:cs="Arial"/>
          <w:color w:val="000000"/>
          <w:szCs w:val="21"/>
        </w:rPr>
        <w:t>DCVI</w:t>
      </w:r>
      <w:r w:rsidRPr="00D53B04">
        <w:rPr>
          <w:rFonts w:eastAsia="Calibri" w:cs="Arial"/>
          <w:color w:val="000000"/>
          <w:szCs w:val="21"/>
        </w:rPr>
        <w:tab/>
      </w:r>
      <w:r w:rsidRPr="00D53B04">
        <w:rPr>
          <w:rFonts w:eastAsia="Calibri" w:cs="Arial"/>
          <w:color w:val="000000"/>
          <w:szCs w:val="21"/>
        </w:rPr>
        <w:tab/>
        <w:t>: Direction de Contrôle et de Vérification Interne</w:t>
      </w:r>
    </w:p>
    <w:p w14:paraId="52F86773" w14:textId="77777777" w:rsidR="001C2F95" w:rsidRPr="00D53B04" w:rsidRDefault="001C2F95" w:rsidP="001C2F95">
      <w:pPr>
        <w:rPr>
          <w:rFonts w:eastAsia="Calibri" w:cs="Arial"/>
          <w:color w:val="000000"/>
          <w:szCs w:val="21"/>
        </w:rPr>
      </w:pPr>
      <w:r w:rsidRPr="00D53B04">
        <w:rPr>
          <w:rFonts w:eastAsia="Calibri" w:cs="Arial"/>
          <w:color w:val="000000"/>
          <w:szCs w:val="21"/>
        </w:rPr>
        <w:t>DD</w:t>
      </w:r>
      <w:r w:rsidRPr="00D53B04">
        <w:rPr>
          <w:rFonts w:eastAsia="Calibri" w:cs="Arial"/>
          <w:color w:val="000000"/>
          <w:szCs w:val="21"/>
        </w:rPr>
        <w:tab/>
      </w:r>
      <w:r w:rsidRPr="00D53B04">
        <w:rPr>
          <w:rFonts w:eastAsia="Calibri" w:cs="Arial"/>
          <w:color w:val="000000"/>
          <w:szCs w:val="21"/>
        </w:rPr>
        <w:tab/>
        <w:t>: Développement Durable</w:t>
      </w:r>
    </w:p>
    <w:p w14:paraId="1EA5954D" w14:textId="77777777" w:rsidR="001C2F95" w:rsidRPr="00D53B04" w:rsidRDefault="001C2F95" w:rsidP="001C2F95">
      <w:pPr>
        <w:rPr>
          <w:rFonts w:eastAsia="Calibri" w:cs="Arial"/>
          <w:color w:val="000000"/>
          <w:szCs w:val="21"/>
        </w:rPr>
      </w:pPr>
      <w:r w:rsidRPr="00D53B04">
        <w:rPr>
          <w:rFonts w:eastAsia="Calibri" w:cs="Arial"/>
          <w:color w:val="000000"/>
          <w:szCs w:val="21"/>
        </w:rPr>
        <w:t>DEP</w:t>
      </w:r>
      <w:r w:rsidRPr="00D53B04">
        <w:rPr>
          <w:rFonts w:eastAsia="Calibri" w:cs="Arial"/>
          <w:color w:val="000000"/>
          <w:szCs w:val="21"/>
        </w:rPr>
        <w:tab/>
      </w:r>
      <w:r w:rsidRPr="00D53B04">
        <w:rPr>
          <w:rFonts w:eastAsia="Calibri" w:cs="Arial"/>
          <w:color w:val="000000"/>
          <w:szCs w:val="21"/>
        </w:rPr>
        <w:tab/>
        <w:t>: Direction d’Études et Planification</w:t>
      </w:r>
    </w:p>
    <w:p w14:paraId="0963E79B" w14:textId="2D9A90C7" w:rsidR="00924D57" w:rsidRPr="00D53B04" w:rsidRDefault="00924D57" w:rsidP="00924D57">
      <w:pPr>
        <w:ind w:left="1560" w:hanging="1560"/>
        <w:rPr>
          <w:rFonts w:eastAsia="Calibri" w:cs="Arial"/>
          <w:color w:val="000000"/>
          <w:szCs w:val="21"/>
        </w:rPr>
      </w:pPr>
      <w:r w:rsidRPr="00D53B04">
        <w:rPr>
          <w:rFonts w:eastAsia="Calibri" w:cs="Arial"/>
          <w:color w:val="000000"/>
          <w:szCs w:val="21"/>
        </w:rPr>
        <w:lastRenderedPageBreak/>
        <w:t xml:space="preserve">DFID           </w:t>
      </w:r>
      <w:r w:rsidR="00D53B04">
        <w:rPr>
          <w:rFonts w:eastAsia="Calibri" w:cs="Arial"/>
          <w:color w:val="000000"/>
          <w:szCs w:val="21"/>
        </w:rPr>
        <w:tab/>
      </w:r>
      <w:r w:rsidRPr="00D53B04">
        <w:rPr>
          <w:rFonts w:eastAsia="Calibri" w:cs="Arial"/>
          <w:color w:val="000000"/>
          <w:szCs w:val="21"/>
        </w:rPr>
        <w:t xml:space="preserve">: </w:t>
      </w:r>
      <w:hyperlink r:id="rId13" w:tgtFrame="_blank" w:history="1">
        <w:r w:rsidRPr="00D53B04">
          <w:rPr>
            <w:rFonts w:eastAsia="Calibri" w:cs="Arial"/>
            <w:color w:val="000000"/>
            <w:szCs w:val="21"/>
          </w:rPr>
          <w:t>Department for International Development</w:t>
        </w:r>
      </w:hyperlink>
      <w:r w:rsidRPr="00D53B04">
        <w:rPr>
          <w:rFonts w:eastAsia="Calibri" w:cs="Arial"/>
          <w:color w:val="000000"/>
          <w:szCs w:val="21"/>
        </w:rPr>
        <w:t xml:space="preserve"> / Agence d’aide de la Coopération Britannique</w:t>
      </w:r>
    </w:p>
    <w:p w14:paraId="515D5B60" w14:textId="7CD3E2BD" w:rsidR="001C2F95" w:rsidRPr="00D53B04" w:rsidRDefault="001C2F95" w:rsidP="001C2F95">
      <w:pPr>
        <w:rPr>
          <w:rFonts w:eastAsia="Calibri" w:cs="Arial"/>
          <w:color w:val="000000"/>
          <w:szCs w:val="21"/>
        </w:rPr>
      </w:pPr>
      <w:r w:rsidRPr="00D53B04">
        <w:rPr>
          <w:rFonts w:eastAsia="Calibri" w:cs="Arial"/>
          <w:color w:val="000000"/>
          <w:szCs w:val="21"/>
        </w:rPr>
        <w:t>DMPCC</w:t>
      </w:r>
      <w:r w:rsidRPr="00D53B04">
        <w:rPr>
          <w:rFonts w:eastAsia="Calibri" w:cs="Arial"/>
          <w:color w:val="000000"/>
          <w:szCs w:val="21"/>
        </w:rPr>
        <w:tab/>
        <w:t>: Direction des Marchés, Prix et Crédits de Campagne</w:t>
      </w:r>
    </w:p>
    <w:p w14:paraId="058758C1" w14:textId="77777777" w:rsidR="001C2F95" w:rsidRPr="00D53B04" w:rsidRDefault="001C2F95" w:rsidP="001C2F95">
      <w:pPr>
        <w:rPr>
          <w:rFonts w:eastAsia="Calibri" w:cs="Arial"/>
          <w:color w:val="000000"/>
          <w:szCs w:val="21"/>
        </w:rPr>
      </w:pPr>
      <w:r w:rsidRPr="00D53B04">
        <w:rPr>
          <w:rFonts w:eastAsia="Calibri" w:cs="Arial"/>
          <w:color w:val="000000"/>
          <w:szCs w:val="21"/>
        </w:rPr>
        <w:t>DP</w:t>
      </w:r>
      <w:r w:rsidRPr="00D53B04">
        <w:rPr>
          <w:rFonts w:eastAsia="Calibri" w:cs="Arial"/>
          <w:color w:val="000000"/>
          <w:szCs w:val="21"/>
        </w:rPr>
        <w:tab/>
      </w:r>
      <w:r w:rsidRPr="00D53B04">
        <w:rPr>
          <w:rFonts w:eastAsia="Calibri" w:cs="Arial"/>
          <w:color w:val="000000"/>
          <w:szCs w:val="21"/>
        </w:rPr>
        <w:tab/>
        <w:t>: Direction des Pêches</w:t>
      </w:r>
    </w:p>
    <w:p w14:paraId="3464A6A7" w14:textId="77777777" w:rsidR="001C2F95" w:rsidRPr="00D53B04" w:rsidRDefault="001C2F95" w:rsidP="001C2F95">
      <w:pPr>
        <w:rPr>
          <w:rFonts w:eastAsia="Calibri" w:cs="Arial"/>
          <w:color w:val="000000"/>
          <w:szCs w:val="21"/>
        </w:rPr>
      </w:pPr>
      <w:r w:rsidRPr="00D53B04">
        <w:rPr>
          <w:rFonts w:eastAsia="Calibri" w:cs="Arial"/>
          <w:color w:val="000000"/>
          <w:szCs w:val="21"/>
        </w:rPr>
        <w:t>DPPV</w:t>
      </w:r>
      <w:r w:rsidRPr="00D53B04">
        <w:rPr>
          <w:rFonts w:eastAsia="Calibri" w:cs="Arial"/>
          <w:color w:val="000000"/>
          <w:szCs w:val="21"/>
        </w:rPr>
        <w:tab/>
      </w:r>
      <w:r w:rsidRPr="00D53B04">
        <w:rPr>
          <w:rFonts w:eastAsia="Calibri" w:cs="Arial"/>
          <w:color w:val="000000"/>
          <w:szCs w:val="21"/>
        </w:rPr>
        <w:tab/>
        <w:t xml:space="preserve">: </w:t>
      </w:r>
      <w:r w:rsidRPr="00D53B04">
        <w:rPr>
          <w:rFonts w:cs="Arial"/>
          <w:color w:val="000000"/>
          <w:szCs w:val="21"/>
        </w:rPr>
        <w:t>Direction de la Production et Protection des Végétaux</w:t>
      </w:r>
    </w:p>
    <w:p w14:paraId="145A1389" w14:textId="77777777" w:rsidR="001C2F95" w:rsidRPr="00D53B04" w:rsidRDefault="001C2F95" w:rsidP="001C2F95">
      <w:pPr>
        <w:rPr>
          <w:rFonts w:eastAsia="Calibri" w:cs="Arial"/>
          <w:color w:val="000000"/>
          <w:szCs w:val="21"/>
        </w:rPr>
      </w:pPr>
      <w:r w:rsidRPr="00D53B04">
        <w:rPr>
          <w:rFonts w:eastAsia="Calibri" w:cs="Arial"/>
          <w:color w:val="000000"/>
          <w:szCs w:val="21"/>
        </w:rPr>
        <w:t>DPSA</w:t>
      </w:r>
      <w:r w:rsidRPr="00D53B04">
        <w:rPr>
          <w:rFonts w:eastAsia="Calibri" w:cs="Arial"/>
          <w:color w:val="000000"/>
          <w:szCs w:val="21"/>
        </w:rPr>
        <w:tab/>
      </w:r>
      <w:r w:rsidRPr="00D53B04">
        <w:rPr>
          <w:rFonts w:eastAsia="Calibri" w:cs="Arial"/>
          <w:color w:val="000000"/>
          <w:szCs w:val="21"/>
        </w:rPr>
        <w:tab/>
        <w:t>: Direction de la Production et Protection des Végétaux</w:t>
      </w:r>
    </w:p>
    <w:p w14:paraId="5EAC3174" w14:textId="77777777" w:rsidR="001C2F95" w:rsidRPr="00D53B04" w:rsidRDefault="001C2F95" w:rsidP="001C2F95">
      <w:pPr>
        <w:rPr>
          <w:rFonts w:eastAsia="Calibri" w:cs="Arial"/>
          <w:color w:val="000000"/>
          <w:szCs w:val="21"/>
        </w:rPr>
      </w:pPr>
      <w:r w:rsidRPr="00D53B04">
        <w:rPr>
          <w:rFonts w:eastAsia="Calibri" w:cs="Arial"/>
          <w:color w:val="000000"/>
          <w:szCs w:val="21"/>
        </w:rPr>
        <w:t xml:space="preserve">DSCRP </w:t>
      </w:r>
      <w:r w:rsidRPr="00D53B04">
        <w:rPr>
          <w:rFonts w:eastAsia="Calibri" w:cs="Arial"/>
          <w:color w:val="000000"/>
          <w:szCs w:val="21"/>
        </w:rPr>
        <w:tab/>
        <w:t>: Document de Stratégie de Croissance et de Réduction de la Pauvreté</w:t>
      </w:r>
    </w:p>
    <w:p w14:paraId="0EF2224F" w14:textId="77777777" w:rsidR="001C2F95" w:rsidRPr="00D53B04" w:rsidRDefault="001C2F95" w:rsidP="001C2F95">
      <w:pPr>
        <w:rPr>
          <w:rFonts w:eastAsia="Calibri" w:cs="Arial"/>
          <w:color w:val="000000"/>
          <w:szCs w:val="21"/>
        </w:rPr>
      </w:pPr>
      <w:r w:rsidRPr="00D53B04">
        <w:rPr>
          <w:rFonts w:eastAsia="Calibri" w:cs="Arial"/>
          <w:color w:val="000000"/>
          <w:szCs w:val="21"/>
        </w:rPr>
        <w:t xml:space="preserve">OVDA </w:t>
      </w:r>
      <w:r w:rsidRPr="00D53B04">
        <w:rPr>
          <w:rFonts w:eastAsia="Calibri" w:cs="Arial"/>
          <w:color w:val="000000"/>
          <w:szCs w:val="21"/>
        </w:rPr>
        <w:tab/>
      </w:r>
      <w:r w:rsidRPr="00D53B04">
        <w:rPr>
          <w:rFonts w:eastAsia="Calibri" w:cs="Arial"/>
          <w:color w:val="000000"/>
          <w:szCs w:val="21"/>
        </w:rPr>
        <w:tab/>
        <w:t>: Office des Voies de Desserte Agricole</w:t>
      </w:r>
    </w:p>
    <w:p w14:paraId="7A1AEB24" w14:textId="77777777" w:rsidR="001C2F95" w:rsidRPr="00D53B04" w:rsidRDefault="001C2F95" w:rsidP="001C2F95">
      <w:pPr>
        <w:rPr>
          <w:rFonts w:eastAsia="Calibri" w:cs="Arial"/>
          <w:color w:val="000000"/>
          <w:szCs w:val="21"/>
        </w:rPr>
      </w:pPr>
      <w:r w:rsidRPr="00D53B04">
        <w:rPr>
          <w:rFonts w:eastAsia="Calibri" w:cs="Arial"/>
          <w:color w:val="000000"/>
          <w:szCs w:val="21"/>
        </w:rPr>
        <w:t>EAS </w:t>
      </w:r>
      <w:r w:rsidRPr="00D53B04">
        <w:rPr>
          <w:rFonts w:eastAsia="Calibri" w:cs="Arial"/>
          <w:color w:val="000000"/>
          <w:szCs w:val="21"/>
        </w:rPr>
        <w:tab/>
      </w:r>
      <w:r w:rsidRPr="00D53B04">
        <w:rPr>
          <w:rFonts w:eastAsia="Calibri" w:cs="Arial"/>
          <w:color w:val="000000"/>
          <w:szCs w:val="21"/>
        </w:rPr>
        <w:tab/>
        <w:t>: Exploitation et Abus Sexuels</w:t>
      </w:r>
    </w:p>
    <w:p w14:paraId="75BBB7FD" w14:textId="77777777" w:rsidR="001C2F95" w:rsidRPr="00D53B04" w:rsidRDefault="001C2F95" w:rsidP="001C2F95">
      <w:pPr>
        <w:rPr>
          <w:rFonts w:eastAsia="Calibri" w:cs="Arial"/>
          <w:color w:val="000000"/>
          <w:szCs w:val="21"/>
        </w:rPr>
      </w:pPr>
      <w:r w:rsidRPr="00D53B04">
        <w:rPr>
          <w:rFonts w:eastAsia="Calibri" w:cs="Arial"/>
          <w:color w:val="000000"/>
          <w:szCs w:val="21"/>
        </w:rPr>
        <w:t>ECZ</w:t>
      </w:r>
      <w:r w:rsidRPr="00D53B04">
        <w:rPr>
          <w:rFonts w:eastAsia="Calibri" w:cs="Arial"/>
          <w:color w:val="000000"/>
          <w:szCs w:val="21"/>
        </w:rPr>
        <w:tab/>
      </w:r>
      <w:r w:rsidRPr="00D53B04">
        <w:rPr>
          <w:rFonts w:eastAsia="Calibri" w:cs="Arial"/>
          <w:color w:val="000000"/>
          <w:szCs w:val="21"/>
        </w:rPr>
        <w:tab/>
        <w:t>: Équipe Cadre de la Zone de Santé</w:t>
      </w:r>
    </w:p>
    <w:p w14:paraId="3D8E651D" w14:textId="77777777" w:rsidR="001C2F95" w:rsidRPr="00D53B04" w:rsidRDefault="001C2F95" w:rsidP="001C2F95">
      <w:pPr>
        <w:rPr>
          <w:rFonts w:eastAsia="Calibri" w:cs="Arial"/>
          <w:color w:val="000000"/>
          <w:szCs w:val="21"/>
        </w:rPr>
      </w:pPr>
      <w:r w:rsidRPr="00D53B04">
        <w:rPr>
          <w:rFonts w:eastAsia="Calibri" w:cs="Arial"/>
          <w:color w:val="000000"/>
          <w:szCs w:val="21"/>
        </w:rPr>
        <w:t>EDS</w:t>
      </w:r>
      <w:r w:rsidRPr="00D53B04">
        <w:rPr>
          <w:rFonts w:eastAsia="Calibri" w:cs="Arial"/>
          <w:color w:val="000000"/>
          <w:szCs w:val="21"/>
        </w:rPr>
        <w:tab/>
      </w:r>
      <w:r w:rsidRPr="00D53B04">
        <w:rPr>
          <w:rFonts w:eastAsia="Calibri" w:cs="Arial"/>
          <w:color w:val="000000"/>
          <w:szCs w:val="21"/>
        </w:rPr>
        <w:tab/>
        <w:t>: Enquête Démographique et de Santé</w:t>
      </w:r>
    </w:p>
    <w:p w14:paraId="1AC9DB49" w14:textId="77777777" w:rsidR="001C2F95" w:rsidRPr="00D53B04" w:rsidRDefault="001C2F95" w:rsidP="001C2F95">
      <w:pPr>
        <w:rPr>
          <w:rFonts w:eastAsia="Calibri" w:cs="Arial"/>
          <w:color w:val="000000"/>
          <w:szCs w:val="21"/>
        </w:rPr>
      </w:pPr>
      <w:r w:rsidRPr="00D53B04">
        <w:rPr>
          <w:rFonts w:eastAsia="Calibri" w:cs="Arial"/>
          <w:color w:val="000000"/>
          <w:szCs w:val="21"/>
        </w:rPr>
        <w:t>EF</w:t>
      </w:r>
      <w:r w:rsidRPr="00D53B04">
        <w:rPr>
          <w:rFonts w:eastAsia="Calibri" w:cs="Arial"/>
          <w:color w:val="000000"/>
          <w:szCs w:val="21"/>
        </w:rPr>
        <w:tab/>
      </w:r>
      <w:r w:rsidRPr="00D53B04">
        <w:rPr>
          <w:rFonts w:eastAsia="Calibri" w:cs="Arial"/>
          <w:color w:val="000000"/>
          <w:szCs w:val="21"/>
        </w:rPr>
        <w:tab/>
        <w:t>: Écosystèmes Forestiers</w:t>
      </w:r>
    </w:p>
    <w:p w14:paraId="4CEE3983" w14:textId="77777777" w:rsidR="001C2F95" w:rsidRPr="00D53B04" w:rsidRDefault="001C2F95" w:rsidP="001C2F95">
      <w:pPr>
        <w:rPr>
          <w:rFonts w:eastAsia="Calibri" w:cs="Arial"/>
          <w:color w:val="000000"/>
          <w:szCs w:val="21"/>
        </w:rPr>
      </w:pPr>
      <w:r w:rsidRPr="00D53B04">
        <w:rPr>
          <w:rFonts w:eastAsia="Calibri" w:cs="Arial"/>
          <w:color w:val="000000"/>
          <w:szCs w:val="21"/>
        </w:rPr>
        <w:t>ÉIES</w:t>
      </w:r>
      <w:r w:rsidRPr="00D53B04">
        <w:rPr>
          <w:rFonts w:eastAsia="Calibri" w:cs="Arial"/>
          <w:color w:val="000000"/>
          <w:szCs w:val="21"/>
        </w:rPr>
        <w:tab/>
      </w:r>
      <w:r w:rsidRPr="00D53B04">
        <w:rPr>
          <w:rFonts w:eastAsia="Calibri" w:cs="Arial"/>
          <w:color w:val="000000"/>
          <w:szCs w:val="21"/>
        </w:rPr>
        <w:tab/>
        <w:t>: Étude d’Impact Environnemental et Social</w:t>
      </w:r>
    </w:p>
    <w:p w14:paraId="6A21470E" w14:textId="77777777" w:rsidR="001C2F95" w:rsidRPr="00D53B04" w:rsidRDefault="001C2F95" w:rsidP="001C2F95">
      <w:pPr>
        <w:rPr>
          <w:rFonts w:eastAsia="Calibri" w:cs="Arial"/>
          <w:color w:val="000000"/>
          <w:szCs w:val="21"/>
        </w:rPr>
      </w:pPr>
      <w:r w:rsidRPr="00D53B04">
        <w:rPr>
          <w:rFonts w:eastAsia="Calibri" w:cs="Arial"/>
          <w:color w:val="000000"/>
          <w:szCs w:val="21"/>
        </w:rPr>
        <w:t>EOV</w:t>
      </w:r>
      <w:r w:rsidRPr="00D53B04">
        <w:rPr>
          <w:rFonts w:eastAsia="Calibri" w:cs="Arial"/>
          <w:color w:val="000000"/>
          <w:szCs w:val="21"/>
        </w:rPr>
        <w:tab/>
      </w:r>
      <w:r w:rsidRPr="00D53B04">
        <w:rPr>
          <w:rFonts w:eastAsia="Calibri" w:cs="Arial"/>
          <w:color w:val="000000"/>
          <w:szCs w:val="21"/>
        </w:rPr>
        <w:tab/>
        <w:t xml:space="preserve">: </w:t>
      </w:r>
      <w:r w:rsidRPr="00D53B04">
        <w:rPr>
          <w:rFonts w:cs="Arial"/>
          <w:color w:val="000000"/>
          <w:szCs w:val="21"/>
        </w:rPr>
        <w:t>Enfants Orphelins Vulnérables</w:t>
      </w:r>
    </w:p>
    <w:p w14:paraId="19AFD694" w14:textId="77777777" w:rsidR="001C2F95" w:rsidRPr="00D53B04" w:rsidRDefault="001C2F95" w:rsidP="001C2F95">
      <w:pPr>
        <w:rPr>
          <w:rFonts w:eastAsia="Calibri" w:cs="Arial"/>
          <w:color w:val="000000"/>
          <w:szCs w:val="21"/>
        </w:rPr>
      </w:pPr>
      <w:r w:rsidRPr="00D53B04">
        <w:rPr>
          <w:rFonts w:eastAsia="Calibri" w:cs="Arial"/>
          <w:color w:val="000000"/>
          <w:szCs w:val="21"/>
        </w:rPr>
        <w:t>EPI</w:t>
      </w:r>
      <w:r w:rsidRPr="00D53B04">
        <w:rPr>
          <w:rFonts w:eastAsia="Calibri" w:cs="Arial"/>
          <w:color w:val="000000"/>
          <w:szCs w:val="21"/>
        </w:rPr>
        <w:tab/>
      </w:r>
      <w:r w:rsidRPr="00D53B04">
        <w:rPr>
          <w:rFonts w:eastAsia="Calibri" w:cs="Arial"/>
          <w:color w:val="000000"/>
          <w:szCs w:val="21"/>
        </w:rPr>
        <w:tab/>
        <w:t>: Équipements de Protection Individuelle</w:t>
      </w:r>
    </w:p>
    <w:p w14:paraId="09C7B43A" w14:textId="77777777" w:rsidR="001C2F95" w:rsidRPr="00D53B04" w:rsidRDefault="001C2F95" w:rsidP="001C2F95">
      <w:pPr>
        <w:rPr>
          <w:rFonts w:eastAsia="Calibri" w:cs="Arial"/>
          <w:color w:val="000000"/>
          <w:szCs w:val="21"/>
        </w:rPr>
      </w:pPr>
      <w:r w:rsidRPr="00D53B04">
        <w:rPr>
          <w:rFonts w:eastAsia="Calibri" w:cs="Arial"/>
          <w:color w:val="000000"/>
          <w:szCs w:val="21"/>
        </w:rPr>
        <w:t>ERS </w:t>
      </w:r>
      <w:r w:rsidRPr="00D53B04">
        <w:rPr>
          <w:rFonts w:eastAsia="Calibri" w:cs="Arial"/>
          <w:color w:val="000000"/>
          <w:szCs w:val="21"/>
        </w:rPr>
        <w:tab/>
      </w:r>
      <w:r w:rsidRPr="00D53B04">
        <w:rPr>
          <w:rFonts w:eastAsia="Calibri" w:cs="Arial"/>
          <w:color w:val="000000"/>
          <w:szCs w:val="21"/>
        </w:rPr>
        <w:tab/>
        <w:t>: Évaluation des Risques liés à la Sécurité</w:t>
      </w:r>
    </w:p>
    <w:p w14:paraId="4D59BAFC" w14:textId="77777777" w:rsidR="001C2F95" w:rsidRPr="00D53B04" w:rsidRDefault="001C2F95" w:rsidP="001C2F95">
      <w:pPr>
        <w:rPr>
          <w:rFonts w:eastAsia="Calibri" w:cs="Arial"/>
          <w:color w:val="000000"/>
          <w:szCs w:val="21"/>
        </w:rPr>
      </w:pPr>
      <w:r w:rsidRPr="00D53B04">
        <w:rPr>
          <w:rFonts w:eastAsia="Calibri" w:cs="Arial"/>
          <w:color w:val="000000"/>
          <w:szCs w:val="21"/>
        </w:rPr>
        <w:t>ESES</w:t>
      </w:r>
      <w:r w:rsidRPr="00D53B04">
        <w:rPr>
          <w:rFonts w:eastAsia="Calibri" w:cs="Arial"/>
          <w:color w:val="000000"/>
          <w:szCs w:val="21"/>
        </w:rPr>
        <w:tab/>
      </w:r>
      <w:r w:rsidRPr="00D53B04">
        <w:rPr>
          <w:rFonts w:eastAsia="Calibri" w:cs="Arial"/>
          <w:color w:val="000000"/>
          <w:szCs w:val="21"/>
        </w:rPr>
        <w:tab/>
        <w:t>: Expert Environnement et Social</w:t>
      </w:r>
    </w:p>
    <w:p w14:paraId="06672BF1" w14:textId="77777777" w:rsidR="001C2F95" w:rsidRPr="00D53B04" w:rsidRDefault="001C2F95" w:rsidP="001C2F95">
      <w:pPr>
        <w:rPr>
          <w:rFonts w:eastAsia="Calibri" w:cs="Arial"/>
          <w:color w:val="000000"/>
          <w:szCs w:val="21"/>
        </w:rPr>
      </w:pPr>
      <w:r w:rsidRPr="00D53B04">
        <w:rPr>
          <w:rFonts w:eastAsia="Calibri" w:cs="Arial"/>
          <w:color w:val="000000"/>
          <w:szCs w:val="21"/>
        </w:rPr>
        <w:t xml:space="preserve">ETD </w:t>
      </w:r>
      <w:r w:rsidRPr="00D53B04">
        <w:rPr>
          <w:rFonts w:eastAsia="Calibri" w:cs="Arial"/>
          <w:color w:val="000000"/>
          <w:szCs w:val="21"/>
        </w:rPr>
        <w:tab/>
      </w:r>
      <w:r w:rsidRPr="00D53B04">
        <w:rPr>
          <w:rFonts w:eastAsia="Calibri" w:cs="Arial"/>
          <w:color w:val="000000"/>
          <w:szCs w:val="21"/>
        </w:rPr>
        <w:tab/>
        <w:t>: Entités Territoriales Décentralisées</w:t>
      </w:r>
    </w:p>
    <w:p w14:paraId="3F0D8096" w14:textId="77777777" w:rsidR="001C2F95" w:rsidRPr="00D53B04" w:rsidRDefault="001C2F95" w:rsidP="001C2F95">
      <w:pPr>
        <w:rPr>
          <w:rFonts w:eastAsia="Calibri" w:cs="Arial"/>
          <w:color w:val="000000"/>
          <w:szCs w:val="21"/>
        </w:rPr>
      </w:pPr>
      <w:r w:rsidRPr="00D53B04">
        <w:rPr>
          <w:rFonts w:eastAsia="Calibri" w:cs="Arial"/>
          <w:color w:val="000000"/>
          <w:szCs w:val="21"/>
        </w:rPr>
        <w:t>FAO </w:t>
      </w:r>
      <w:r w:rsidRPr="00D53B04">
        <w:rPr>
          <w:rFonts w:eastAsia="Calibri" w:cs="Arial"/>
          <w:color w:val="000000"/>
          <w:szCs w:val="21"/>
        </w:rPr>
        <w:tab/>
      </w:r>
      <w:r w:rsidRPr="00D53B04">
        <w:rPr>
          <w:rFonts w:eastAsia="Calibri" w:cs="Arial"/>
          <w:color w:val="000000"/>
          <w:szCs w:val="21"/>
        </w:rPr>
        <w:tab/>
        <w:t>: Organisation des Nations Unies pour l’alimentation et l’Agriculture</w:t>
      </w:r>
    </w:p>
    <w:p w14:paraId="040AD1A3" w14:textId="77777777" w:rsidR="001C2F95" w:rsidRPr="00D53B04" w:rsidRDefault="001C2F95" w:rsidP="001C2F95">
      <w:pPr>
        <w:rPr>
          <w:rFonts w:eastAsia="Calibri" w:cs="Arial"/>
          <w:color w:val="000000"/>
          <w:szCs w:val="21"/>
        </w:rPr>
      </w:pPr>
      <w:r w:rsidRPr="00D53B04">
        <w:rPr>
          <w:rFonts w:eastAsia="Calibri" w:cs="Arial"/>
          <w:color w:val="000000"/>
          <w:szCs w:val="21"/>
        </w:rPr>
        <w:t>FARDC</w:t>
      </w:r>
      <w:r w:rsidRPr="00D53B04">
        <w:rPr>
          <w:rFonts w:eastAsia="Calibri" w:cs="Arial"/>
          <w:color w:val="000000"/>
          <w:szCs w:val="21"/>
        </w:rPr>
        <w:tab/>
        <w:t>: Forces Armées de la République Démocratique du Congo</w:t>
      </w:r>
    </w:p>
    <w:p w14:paraId="2E191735" w14:textId="77777777" w:rsidR="001C2F95" w:rsidRPr="00D53B04" w:rsidRDefault="001C2F95" w:rsidP="001C2F95">
      <w:pPr>
        <w:rPr>
          <w:rFonts w:eastAsia="Calibri" w:cs="Arial"/>
          <w:color w:val="000000"/>
          <w:szCs w:val="21"/>
        </w:rPr>
      </w:pPr>
      <w:r w:rsidRPr="00D53B04">
        <w:rPr>
          <w:rFonts w:eastAsia="Calibri" w:cs="Arial"/>
          <w:color w:val="000000"/>
          <w:szCs w:val="21"/>
        </w:rPr>
        <w:t>FCV</w:t>
      </w:r>
      <w:r w:rsidRPr="00D53B04">
        <w:rPr>
          <w:rFonts w:eastAsia="Calibri" w:cs="Arial"/>
          <w:color w:val="000000"/>
          <w:szCs w:val="21"/>
        </w:rPr>
        <w:tab/>
      </w:r>
      <w:r w:rsidRPr="00D53B04">
        <w:rPr>
          <w:rFonts w:eastAsia="Calibri" w:cs="Arial"/>
          <w:color w:val="000000"/>
          <w:szCs w:val="21"/>
        </w:rPr>
        <w:tab/>
        <w:t>: Fragilité, Conflit et Violence</w:t>
      </w:r>
    </w:p>
    <w:p w14:paraId="139C208D" w14:textId="77777777" w:rsidR="001C2F95" w:rsidRPr="00D53B04" w:rsidRDefault="001C2F95" w:rsidP="001C2F95">
      <w:pPr>
        <w:rPr>
          <w:rFonts w:eastAsia="Calibri" w:cs="Arial"/>
          <w:color w:val="000000"/>
          <w:szCs w:val="21"/>
        </w:rPr>
      </w:pPr>
      <w:r w:rsidRPr="00D53B04">
        <w:rPr>
          <w:rFonts w:eastAsia="Calibri" w:cs="Arial"/>
          <w:color w:val="000000"/>
          <w:szCs w:val="21"/>
        </w:rPr>
        <w:t>FDLR</w:t>
      </w:r>
      <w:r w:rsidRPr="00D53B04">
        <w:rPr>
          <w:rFonts w:eastAsia="Calibri" w:cs="Arial"/>
          <w:color w:val="000000"/>
          <w:szCs w:val="21"/>
        </w:rPr>
        <w:tab/>
      </w:r>
      <w:r w:rsidRPr="00D53B04">
        <w:rPr>
          <w:rFonts w:eastAsia="Calibri" w:cs="Arial"/>
          <w:color w:val="000000"/>
          <w:szCs w:val="21"/>
        </w:rPr>
        <w:tab/>
        <w:t>: Forces Démocratiques de Libération du Rwanda </w:t>
      </w:r>
    </w:p>
    <w:p w14:paraId="679981F5" w14:textId="77777777" w:rsidR="001C2F95" w:rsidRPr="00D53B04" w:rsidRDefault="001C2F95" w:rsidP="001C2F95">
      <w:pPr>
        <w:rPr>
          <w:rFonts w:eastAsia="Calibri" w:cs="Arial"/>
          <w:color w:val="000000"/>
          <w:szCs w:val="21"/>
        </w:rPr>
      </w:pPr>
      <w:r w:rsidRPr="00D53B04">
        <w:rPr>
          <w:rFonts w:eastAsia="Calibri" w:cs="Arial"/>
          <w:color w:val="000000"/>
          <w:szCs w:val="21"/>
        </w:rPr>
        <w:t>FEC </w:t>
      </w:r>
      <w:r w:rsidRPr="00D53B04">
        <w:rPr>
          <w:rFonts w:eastAsia="Calibri" w:cs="Arial"/>
          <w:color w:val="000000"/>
          <w:szCs w:val="21"/>
        </w:rPr>
        <w:tab/>
      </w:r>
      <w:r w:rsidRPr="00D53B04">
        <w:rPr>
          <w:rFonts w:eastAsia="Calibri" w:cs="Arial"/>
          <w:color w:val="000000"/>
          <w:szCs w:val="21"/>
        </w:rPr>
        <w:tab/>
        <w:t>: Fédération des Entreprises au Congo</w:t>
      </w:r>
    </w:p>
    <w:p w14:paraId="071B91D0" w14:textId="77777777" w:rsidR="001C2F95" w:rsidRPr="00D53B04" w:rsidRDefault="001C2F95" w:rsidP="001C2F95">
      <w:pPr>
        <w:rPr>
          <w:rFonts w:eastAsia="Calibri" w:cs="Arial"/>
          <w:color w:val="000000"/>
          <w:szCs w:val="21"/>
        </w:rPr>
      </w:pPr>
      <w:r w:rsidRPr="00D53B04">
        <w:rPr>
          <w:rFonts w:eastAsia="Calibri" w:cs="Arial"/>
          <w:color w:val="000000"/>
          <w:szCs w:val="21"/>
        </w:rPr>
        <w:t>FNSCC</w:t>
      </w:r>
      <w:r w:rsidRPr="00D53B04">
        <w:rPr>
          <w:rFonts w:eastAsia="Calibri" w:cs="Arial"/>
          <w:color w:val="000000"/>
          <w:szCs w:val="21"/>
        </w:rPr>
        <w:tab/>
        <w:t>: Fonds National de Solidarité Contre le Covid-19</w:t>
      </w:r>
    </w:p>
    <w:p w14:paraId="47B58B10" w14:textId="1DB0FD69" w:rsidR="001C2F95" w:rsidRPr="00D53B04" w:rsidRDefault="001C2F95" w:rsidP="001C2F95">
      <w:pPr>
        <w:rPr>
          <w:rFonts w:eastAsia="Calibri" w:cs="Arial"/>
          <w:color w:val="000000"/>
          <w:szCs w:val="21"/>
        </w:rPr>
      </w:pPr>
      <w:r w:rsidRPr="00D53B04">
        <w:rPr>
          <w:rFonts w:eastAsia="Calibri" w:cs="Arial"/>
          <w:color w:val="000000"/>
          <w:szCs w:val="21"/>
        </w:rPr>
        <w:t>FNPSS</w:t>
      </w:r>
      <w:r w:rsidRPr="00D53B04">
        <w:rPr>
          <w:rFonts w:eastAsia="Calibri" w:cs="Arial"/>
          <w:color w:val="000000"/>
          <w:szCs w:val="21"/>
        </w:rPr>
        <w:tab/>
      </w:r>
      <w:r w:rsidR="00D53B04">
        <w:rPr>
          <w:rFonts w:eastAsia="Calibri" w:cs="Arial"/>
          <w:color w:val="000000"/>
          <w:szCs w:val="21"/>
        </w:rPr>
        <w:tab/>
      </w:r>
      <w:r w:rsidRPr="00D53B04">
        <w:rPr>
          <w:rFonts w:eastAsia="Calibri" w:cs="Arial"/>
          <w:color w:val="000000"/>
          <w:szCs w:val="21"/>
        </w:rPr>
        <w:t>: Fonds National de Promotion et de Service Social</w:t>
      </w:r>
    </w:p>
    <w:p w14:paraId="1AA4CEFD" w14:textId="77777777" w:rsidR="001C2F95" w:rsidRPr="00D53B04" w:rsidRDefault="001C2F95" w:rsidP="001C2F95">
      <w:pPr>
        <w:rPr>
          <w:rFonts w:eastAsia="Calibri" w:cs="Arial"/>
          <w:color w:val="000000"/>
          <w:szCs w:val="21"/>
        </w:rPr>
      </w:pPr>
      <w:r w:rsidRPr="00D53B04">
        <w:rPr>
          <w:rFonts w:eastAsia="Calibri" w:cs="Arial"/>
          <w:color w:val="000000"/>
          <w:szCs w:val="21"/>
        </w:rPr>
        <w:t>FPI</w:t>
      </w:r>
      <w:r w:rsidRPr="00D53B04">
        <w:rPr>
          <w:rFonts w:eastAsia="Calibri" w:cs="Arial"/>
          <w:color w:val="000000"/>
          <w:szCs w:val="21"/>
        </w:rPr>
        <w:tab/>
      </w:r>
      <w:r w:rsidRPr="00D53B04">
        <w:rPr>
          <w:rFonts w:eastAsia="Calibri" w:cs="Arial"/>
          <w:color w:val="000000"/>
          <w:szCs w:val="21"/>
        </w:rPr>
        <w:tab/>
        <w:t>: Fonds de Promotion de l’Industrie</w:t>
      </w:r>
    </w:p>
    <w:p w14:paraId="3FA58226" w14:textId="77777777" w:rsidR="001C2F95" w:rsidRPr="00D53B04" w:rsidRDefault="001C2F95" w:rsidP="001C2F95">
      <w:pPr>
        <w:rPr>
          <w:rFonts w:eastAsia="Calibri" w:cs="Arial"/>
          <w:color w:val="000000"/>
          <w:szCs w:val="21"/>
        </w:rPr>
      </w:pPr>
      <w:r w:rsidRPr="00D53B04">
        <w:rPr>
          <w:rFonts w:eastAsia="Calibri" w:cs="Arial"/>
          <w:color w:val="000000"/>
          <w:szCs w:val="21"/>
        </w:rPr>
        <w:t>GBV</w:t>
      </w:r>
      <w:r w:rsidRPr="00D53B04">
        <w:rPr>
          <w:rFonts w:eastAsia="Calibri" w:cs="Arial"/>
          <w:color w:val="000000"/>
          <w:szCs w:val="21"/>
        </w:rPr>
        <w:tab/>
      </w:r>
      <w:r w:rsidRPr="00D53B04">
        <w:rPr>
          <w:rFonts w:eastAsia="Calibri" w:cs="Arial"/>
          <w:color w:val="000000"/>
          <w:szCs w:val="21"/>
        </w:rPr>
        <w:tab/>
        <w:t xml:space="preserve">: </w:t>
      </w:r>
      <w:r w:rsidRPr="00D53B04">
        <w:rPr>
          <w:rFonts w:eastAsia="MS Mincho" w:cs="Arial"/>
          <w:szCs w:val="21"/>
        </w:rPr>
        <w:t>Gender-Based Violence</w:t>
      </w:r>
    </w:p>
    <w:p w14:paraId="4B7EB529" w14:textId="77777777" w:rsidR="001C2F95" w:rsidRPr="00D53B04" w:rsidRDefault="001C2F95" w:rsidP="001C2F95">
      <w:pPr>
        <w:rPr>
          <w:rFonts w:eastAsia="Calibri" w:cs="Arial"/>
          <w:color w:val="000000"/>
          <w:szCs w:val="21"/>
        </w:rPr>
      </w:pPr>
      <w:r w:rsidRPr="00D53B04">
        <w:rPr>
          <w:rFonts w:eastAsia="Calibri" w:cs="Arial"/>
          <w:color w:val="000000"/>
          <w:szCs w:val="21"/>
        </w:rPr>
        <w:t>GIN</w:t>
      </w:r>
      <w:r w:rsidRPr="00D53B04">
        <w:rPr>
          <w:rFonts w:eastAsia="Calibri" w:cs="Arial"/>
          <w:color w:val="000000"/>
          <w:szCs w:val="21"/>
        </w:rPr>
        <w:tab/>
      </w:r>
      <w:r w:rsidRPr="00D53B04">
        <w:rPr>
          <w:rFonts w:eastAsia="Calibri" w:cs="Arial"/>
          <w:color w:val="000000"/>
          <w:szCs w:val="21"/>
        </w:rPr>
        <w:tab/>
        <w:t>: Gestion Intégrée des Nuisibles</w:t>
      </w:r>
    </w:p>
    <w:p w14:paraId="56F8B910" w14:textId="77777777" w:rsidR="001C2F95" w:rsidRPr="00D53B04" w:rsidRDefault="001C2F95" w:rsidP="001C2F95">
      <w:pPr>
        <w:rPr>
          <w:rFonts w:eastAsia="Calibri" w:cs="Arial"/>
          <w:color w:val="000000"/>
          <w:szCs w:val="21"/>
        </w:rPr>
      </w:pPr>
      <w:r w:rsidRPr="00D53B04">
        <w:rPr>
          <w:rFonts w:eastAsia="Calibri" w:cs="Arial"/>
          <w:color w:val="000000"/>
          <w:szCs w:val="21"/>
        </w:rPr>
        <w:t>GIV</w:t>
      </w:r>
      <w:r w:rsidRPr="00D53B04">
        <w:rPr>
          <w:rFonts w:eastAsia="Calibri" w:cs="Arial"/>
          <w:color w:val="000000"/>
          <w:szCs w:val="21"/>
        </w:rPr>
        <w:tab/>
      </w:r>
      <w:r w:rsidRPr="00D53B04">
        <w:rPr>
          <w:rFonts w:eastAsia="Calibri" w:cs="Arial"/>
          <w:color w:val="000000"/>
          <w:szCs w:val="21"/>
        </w:rPr>
        <w:tab/>
        <w:t>: Gestion Intégrée des Vecteurs</w:t>
      </w:r>
    </w:p>
    <w:p w14:paraId="1EE08C7B" w14:textId="77777777" w:rsidR="001C2F95" w:rsidRPr="00D53B04" w:rsidRDefault="001C2F95" w:rsidP="001C2F95">
      <w:pPr>
        <w:rPr>
          <w:rFonts w:eastAsia="Calibri" w:cs="Arial"/>
          <w:color w:val="000000"/>
          <w:szCs w:val="21"/>
        </w:rPr>
      </w:pPr>
      <w:r w:rsidRPr="00D53B04">
        <w:rPr>
          <w:rFonts w:eastAsia="Calibri" w:cs="Arial"/>
          <w:color w:val="000000"/>
          <w:szCs w:val="21"/>
        </w:rPr>
        <w:t>GPS</w:t>
      </w:r>
      <w:r w:rsidRPr="00D53B04">
        <w:rPr>
          <w:rFonts w:eastAsia="Calibri" w:cs="Arial"/>
          <w:color w:val="000000"/>
          <w:szCs w:val="21"/>
        </w:rPr>
        <w:tab/>
      </w:r>
      <w:r w:rsidRPr="00D53B04">
        <w:rPr>
          <w:rFonts w:eastAsia="Calibri" w:cs="Arial"/>
          <w:color w:val="000000"/>
          <w:szCs w:val="21"/>
        </w:rPr>
        <w:tab/>
        <w:t>: Global Positioning System</w:t>
      </w:r>
    </w:p>
    <w:p w14:paraId="5527281D" w14:textId="5313BA95" w:rsidR="009E1ADF" w:rsidRPr="00D53B04" w:rsidRDefault="009E1ADF" w:rsidP="009E1ADF">
      <w:pPr>
        <w:rPr>
          <w:rFonts w:cs="Arial"/>
          <w:szCs w:val="21"/>
        </w:rPr>
      </w:pPr>
      <w:r w:rsidRPr="00D53B04">
        <w:rPr>
          <w:rFonts w:cs="Arial"/>
          <w:szCs w:val="21"/>
        </w:rPr>
        <w:t>GRIF</w:t>
      </w:r>
      <w:r w:rsidRPr="00D53B04">
        <w:rPr>
          <w:rFonts w:cs="Arial"/>
          <w:szCs w:val="21"/>
        </w:rPr>
        <w:tab/>
      </w:r>
      <w:r w:rsidRPr="00D53B04">
        <w:rPr>
          <w:rFonts w:cs="Arial"/>
          <w:szCs w:val="21"/>
        </w:rPr>
        <w:tab/>
        <w:t>: Global Risk Financing Facility / Facilité mondiale de financement des risques</w:t>
      </w:r>
    </w:p>
    <w:p w14:paraId="277A1337" w14:textId="77777777" w:rsidR="001C2F95" w:rsidRPr="00D53B04" w:rsidRDefault="001C2F95" w:rsidP="001C2F95">
      <w:pPr>
        <w:rPr>
          <w:rFonts w:eastAsia="Calibri" w:cs="Arial"/>
          <w:color w:val="000000"/>
          <w:szCs w:val="21"/>
        </w:rPr>
      </w:pPr>
      <w:r w:rsidRPr="00D53B04">
        <w:rPr>
          <w:rFonts w:eastAsia="Calibri" w:cs="Arial"/>
          <w:color w:val="000000"/>
          <w:szCs w:val="21"/>
        </w:rPr>
        <w:t>HGR</w:t>
      </w:r>
      <w:r w:rsidRPr="00D53B04">
        <w:rPr>
          <w:rFonts w:eastAsia="Calibri" w:cs="Arial"/>
          <w:color w:val="000000"/>
          <w:szCs w:val="21"/>
        </w:rPr>
        <w:tab/>
      </w:r>
      <w:r w:rsidRPr="00D53B04">
        <w:rPr>
          <w:rFonts w:eastAsia="Calibri" w:cs="Arial"/>
          <w:color w:val="000000"/>
          <w:szCs w:val="21"/>
        </w:rPr>
        <w:tab/>
        <w:t>: Hôpital Général de Référence</w:t>
      </w:r>
    </w:p>
    <w:p w14:paraId="113FF83B" w14:textId="77777777" w:rsidR="001C2F95" w:rsidRPr="00D53B04" w:rsidRDefault="001C2F95" w:rsidP="001C2F95">
      <w:pPr>
        <w:rPr>
          <w:rFonts w:eastAsia="Calibri" w:cs="Arial"/>
          <w:color w:val="000000"/>
          <w:szCs w:val="21"/>
        </w:rPr>
      </w:pPr>
      <w:r w:rsidRPr="00D53B04">
        <w:rPr>
          <w:rFonts w:eastAsia="Calibri" w:cs="Arial"/>
          <w:color w:val="000000"/>
          <w:szCs w:val="21"/>
        </w:rPr>
        <w:t>HIMO</w:t>
      </w:r>
      <w:r w:rsidRPr="00D53B04">
        <w:rPr>
          <w:rFonts w:eastAsia="Calibri" w:cs="Arial"/>
          <w:color w:val="000000"/>
          <w:szCs w:val="21"/>
        </w:rPr>
        <w:tab/>
      </w:r>
      <w:r w:rsidRPr="00D53B04">
        <w:rPr>
          <w:rFonts w:eastAsia="Calibri" w:cs="Arial"/>
          <w:color w:val="000000"/>
          <w:szCs w:val="21"/>
        </w:rPr>
        <w:tab/>
        <w:t xml:space="preserve">: </w:t>
      </w:r>
      <w:r w:rsidRPr="00D53B04">
        <w:rPr>
          <w:color w:val="000000"/>
          <w:szCs w:val="21"/>
        </w:rPr>
        <w:t>Haute Intensité de Main-d’œuvre</w:t>
      </w:r>
    </w:p>
    <w:p w14:paraId="5E229B57" w14:textId="77777777" w:rsidR="001C2F95" w:rsidRPr="00D53B04" w:rsidRDefault="001C2F95" w:rsidP="001C2F95">
      <w:pPr>
        <w:rPr>
          <w:rFonts w:eastAsia="Calibri" w:cs="Arial"/>
          <w:color w:val="000000"/>
          <w:szCs w:val="21"/>
        </w:rPr>
      </w:pPr>
      <w:r w:rsidRPr="00D53B04">
        <w:rPr>
          <w:rFonts w:eastAsia="Calibri" w:cs="Arial"/>
          <w:color w:val="000000"/>
          <w:szCs w:val="21"/>
        </w:rPr>
        <w:t>HS</w:t>
      </w:r>
      <w:r w:rsidRPr="00D53B04">
        <w:rPr>
          <w:rFonts w:eastAsia="Calibri" w:cs="Arial"/>
          <w:color w:val="000000"/>
          <w:szCs w:val="21"/>
        </w:rPr>
        <w:tab/>
      </w:r>
      <w:r w:rsidRPr="00D53B04">
        <w:rPr>
          <w:rFonts w:eastAsia="Calibri" w:cs="Arial"/>
          <w:color w:val="000000"/>
          <w:szCs w:val="21"/>
        </w:rPr>
        <w:tab/>
        <w:t>: Harcèlement Sexuel</w:t>
      </w:r>
    </w:p>
    <w:p w14:paraId="70AE4360" w14:textId="77777777" w:rsidR="001C2F95" w:rsidRPr="00D53B04" w:rsidRDefault="001C2F95" w:rsidP="001C2F95">
      <w:pPr>
        <w:rPr>
          <w:rFonts w:eastAsia="Calibri" w:cs="Arial"/>
          <w:color w:val="000000"/>
          <w:szCs w:val="21"/>
        </w:rPr>
      </w:pPr>
      <w:r w:rsidRPr="00D53B04">
        <w:rPr>
          <w:rFonts w:eastAsia="Calibri" w:cs="Arial"/>
          <w:color w:val="000000"/>
          <w:szCs w:val="21"/>
        </w:rPr>
        <w:t xml:space="preserve">ICCN </w:t>
      </w:r>
      <w:r w:rsidRPr="00D53B04">
        <w:rPr>
          <w:rFonts w:eastAsia="Calibri" w:cs="Arial"/>
          <w:color w:val="000000"/>
          <w:szCs w:val="21"/>
        </w:rPr>
        <w:tab/>
      </w:r>
      <w:r w:rsidRPr="00D53B04">
        <w:rPr>
          <w:rFonts w:eastAsia="Calibri" w:cs="Arial"/>
          <w:color w:val="000000"/>
          <w:szCs w:val="21"/>
        </w:rPr>
        <w:tab/>
        <w:t>: Institut Congolais pour la Conservation de la Nature</w:t>
      </w:r>
    </w:p>
    <w:p w14:paraId="685BB3DB" w14:textId="77777777" w:rsidR="001C2F95" w:rsidRPr="00D53B04" w:rsidRDefault="001C2F95" w:rsidP="001C2F95">
      <w:pPr>
        <w:rPr>
          <w:rFonts w:eastAsia="Calibri" w:cs="Arial"/>
          <w:color w:val="000000"/>
          <w:szCs w:val="21"/>
        </w:rPr>
      </w:pPr>
      <w:r w:rsidRPr="00D53B04">
        <w:rPr>
          <w:rFonts w:eastAsia="Calibri" w:cs="Arial"/>
          <w:color w:val="000000"/>
          <w:szCs w:val="21"/>
        </w:rPr>
        <w:t xml:space="preserve">IDA </w:t>
      </w:r>
      <w:r w:rsidRPr="00D53B04">
        <w:rPr>
          <w:rFonts w:eastAsia="Calibri" w:cs="Arial"/>
          <w:color w:val="000000"/>
          <w:szCs w:val="21"/>
        </w:rPr>
        <w:tab/>
      </w:r>
      <w:r w:rsidRPr="00D53B04">
        <w:rPr>
          <w:rFonts w:eastAsia="Calibri" w:cs="Arial"/>
          <w:color w:val="000000"/>
          <w:szCs w:val="21"/>
        </w:rPr>
        <w:tab/>
        <w:t>: Association Internationale pour le Développement</w:t>
      </w:r>
    </w:p>
    <w:p w14:paraId="210FCDAC" w14:textId="77777777" w:rsidR="001C2F95" w:rsidRPr="00D53B04" w:rsidRDefault="001C2F95" w:rsidP="001C2F95">
      <w:pPr>
        <w:rPr>
          <w:rFonts w:eastAsia="Calibri" w:cs="Arial"/>
          <w:color w:val="000000"/>
          <w:szCs w:val="21"/>
        </w:rPr>
      </w:pPr>
      <w:r w:rsidRPr="00D53B04">
        <w:rPr>
          <w:rFonts w:eastAsia="Calibri" w:cs="Arial"/>
          <w:color w:val="000000"/>
          <w:szCs w:val="21"/>
        </w:rPr>
        <w:t>IF</w:t>
      </w:r>
      <w:r w:rsidRPr="00D53B04">
        <w:rPr>
          <w:rFonts w:eastAsia="Calibri" w:cs="Arial"/>
          <w:color w:val="000000"/>
          <w:szCs w:val="21"/>
        </w:rPr>
        <w:tab/>
      </w:r>
      <w:r w:rsidRPr="00D53B04">
        <w:rPr>
          <w:rFonts w:eastAsia="Calibri" w:cs="Arial"/>
          <w:color w:val="000000"/>
          <w:szCs w:val="21"/>
        </w:rPr>
        <w:tab/>
        <w:t>: Intermédiaire Financier</w:t>
      </w:r>
    </w:p>
    <w:p w14:paraId="765215A6" w14:textId="77777777" w:rsidR="001C2F95" w:rsidRPr="00D53B04" w:rsidRDefault="001C2F95" w:rsidP="001C2F95">
      <w:pPr>
        <w:rPr>
          <w:rFonts w:eastAsia="Calibri" w:cs="Arial"/>
          <w:color w:val="000000"/>
          <w:szCs w:val="21"/>
        </w:rPr>
      </w:pPr>
      <w:r w:rsidRPr="00D53B04">
        <w:rPr>
          <w:rFonts w:eastAsia="Calibri" w:cs="Arial"/>
          <w:color w:val="000000"/>
          <w:szCs w:val="21"/>
        </w:rPr>
        <w:t>IFP</w:t>
      </w:r>
      <w:r w:rsidRPr="00D53B04">
        <w:rPr>
          <w:rFonts w:eastAsia="Calibri" w:cs="Arial"/>
          <w:color w:val="000000"/>
          <w:szCs w:val="21"/>
        </w:rPr>
        <w:tab/>
      </w:r>
      <w:r w:rsidRPr="00D53B04">
        <w:rPr>
          <w:rFonts w:eastAsia="Calibri" w:cs="Arial"/>
          <w:color w:val="000000"/>
          <w:szCs w:val="21"/>
        </w:rPr>
        <w:tab/>
        <w:t>; Institution financière participante</w:t>
      </w:r>
    </w:p>
    <w:p w14:paraId="46157D29" w14:textId="29F66236" w:rsidR="001C2F95" w:rsidRPr="00D53B04" w:rsidRDefault="001C2F95" w:rsidP="001C2F95">
      <w:pPr>
        <w:rPr>
          <w:rFonts w:eastAsia="Calibri" w:cs="Arial"/>
          <w:color w:val="000000"/>
          <w:szCs w:val="21"/>
        </w:rPr>
      </w:pPr>
      <w:r w:rsidRPr="00D53B04">
        <w:rPr>
          <w:rFonts w:eastAsia="Calibri" w:cs="Arial"/>
          <w:color w:val="000000"/>
          <w:szCs w:val="21"/>
        </w:rPr>
        <w:t>INERA </w:t>
      </w:r>
      <w:r w:rsidR="00D53B04">
        <w:rPr>
          <w:rFonts w:eastAsia="Calibri" w:cs="Arial"/>
          <w:color w:val="000000"/>
          <w:szCs w:val="21"/>
        </w:rPr>
        <w:tab/>
      </w:r>
      <w:r w:rsidRPr="00D53B04">
        <w:rPr>
          <w:rFonts w:eastAsia="Calibri" w:cs="Arial"/>
          <w:color w:val="000000"/>
          <w:szCs w:val="21"/>
        </w:rPr>
        <w:tab/>
        <w:t>: Institut National des Études et des Recherches Agronomiques</w:t>
      </w:r>
    </w:p>
    <w:p w14:paraId="416F7179" w14:textId="77777777" w:rsidR="001C2F95" w:rsidRPr="00D53B04" w:rsidRDefault="001C2F95" w:rsidP="001C2F95">
      <w:pPr>
        <w:rPr>
          <w:rFonts w:eastAsia="Calibri" w:cs="Arial"/>
          <w:color w:val="000000"/>
          <w:szCs w:val="21"/>
        </w:rPr>
      </w:pPr>
      <w:r w:rsidRPr="00D53B04">
        <w:rPr>
          <w:rFonts w:eastAsia="Calibri" w:cs="Arial"/>
          <w:color w:val="000000"/>
          <w:szCs w:val="21"/>
        </w:rPr>
        <w:t>INS</w:t>
      </w:r>
      <w:r w:rsidRPr="00D53B04">
        <w:rPr>
          <w:rFonts w:eastAsia="Calibri" w:cs="Arial"/>
          <w:color w:val="000000"/>
          <w:szCs w:val="21"/>
        </w:rPr>
        <w:tab/>
      </w:r>
      <w:r w:rsidRPr="00D53B04">
        <w:rPr>
          <w:rFonts w:eastAsia="Calibri" w:cs="Arial"/>
          <w:color w:val="000000"/>
          <w:szCs w:val="21"/>
        </w:rPr>
        <w:tab/>
        <w:t>: Institut National de Statistiques</w:t>
      </w:r>
    </w:p>
    <w:p w14:paraId="6B611827" w14:textId="77777777" w:rsidR="001C2F95" w:rsidRPr="00D53B04" w:rsidRDefault="001C2F95" w:rsidP="001C2F95">
      <w:pPr>
        <w:rPr>
          <w:rFonts w:eastAsia="Calibri" w:cs="Arial"/>
          <w:color w:val="000000"/>
          <w:szCs w:val="21"/>
        </w:rPr>
      </w:pPr>
      <w:r w:rsidRPr="00D53B04">
        <w:rPr>
          <w:rFonts w:eastAsia="Calibri" w:cs="Arial"/>
          <w:color w:val="000000"/>
          <w:szCs w:val="21"/>
        </w:rPr>
        <w:t>IST</w:t>
      </w:r>
      <w:r w:rsidRPr="00D53B04">
        <w:rPr>
          <w:rFonts w:eastAsia="Calibri" w:cs="Arial"/>
          <w:color w:val="000000"/>
          <w:szCs w:val="21"/>
        </w:rPr>
        <w:tab/>
      </w:r>
      <w:r w:rsidRPr="00D53B04">
        <w:rPr>
          <w:rFonts w:eastAsia="Calibri" w:cs="Arial"/>
          <w:color w:val="000000"/>
          <w:szCs w:val="21"/>
        </w:rPr>
        <w:tab/>
        <w:t>: Infections Sexuellement Transmissibles</w:t>
      </w:r>
    </w:p>
    <w:p w14:paraId="38689F0C" w14:textId="4AF6278F" w:rsidR="00924D57" w:rsidRPr="00D53B04" w:rsidRDefault="00924D57" w:rsidP="001C2F95">
      <w:pPr>
        <w:rPr>
          <w:rFonts w:eastAsia="Calibri" w:cs="Arial"/>
          <w:color w:val="000000"/>
          <w:szCs w:val="21"/>
        </w:rPr>
      </w:pPr>
      <w:r w:rsidRPr="00D53B04">
        <w:rPr>
          <w:rFonts w:eastAsia="Calibri" w:cs="Arial"/>
          <w:color w:val="000000"/>
          <w:szCs w:val="21"/>
        </w:rPr>
        <w:t>KfW</w:t>
      </w:r>
      <w:r w:rsidRPr="00D53B04">
        <w:rPr>
          <w:rFonts w:eastAsia="Calibri" w:cs="Arial"/>
          <w:color w:val="000000"/>
          <w:szCs w:val="21"/>
        </w:rPr>
        <w:tab/>
      </w:r>
      <w:r w:rsidRPr="00D53B04">
        <w:rPr>
          <w:rFonts w:eastAsia="Calibri" w:cs="Arial"/>
          <w:color w:val="000000"/>
          <w:szCs w:val="21"/>
        </w:rPr>
        <w:tab/>
        <w:t xml:space="preserve">: Kreditanstalt für Wiederaufbau / Banque Allemande de Développement </w:t>
      </w:r>
    </w:p>
    <w:p w14:paraId="06E89146" w14:textId="20AA4EC0" w:rsidR="001C2F95" w:rsidRPr="00D53B04" w:rsidRDefault="001C2F95" w:rsidP="001C2F95">
      <w:pPr>
        <w:rPr>
          <w:rFonts w:eastAsia="Calibri" w:cs="Arial"/>
          <w:color w:val="000000"/>
          <w:szCs w:val="21"/>
        </w:rPr>
      </w:pPr>
      <w:r w:rsidRPr="00D53B04">
        <w:rPr>
          <w:rFonts w:eastAsia="Calibri" w:cs="Arial"/>
          <w:color w:val="000000"/>
          <w:szCs w:val="21"/>
        </w:rPr>
        <w:t>MEDD</w:t>
      </w:r>
      <w:r w:rsidRPr="00D53B04">
        <w:rPr>
          <w:rFonts w:eastAsia="Calibri" w:cs="Arial"/>
          <w:color w:val="000000"/>
          <w:szCs w:val="21"/>
        </w:rPr>
        <w:tab/>
      </w:r>
      <w:r w:rsidRPr="00D53B04">
        <w:rPr>
          <w:rFonts w:eastAsia="Calibri" w:cs="Arial"/>
          <w:color w:val="000000"/>
          <w:szCs w:val="21"/>
        </w:rPr>
        <w:tab/>
        <w:t>: Ministère de l’Environnement et Développement Durable</w:t>
      </w:r>
    </w:p>
    <w:p w14:paraId="2319DCB5" w14:textId="77777777" w:rsidR="001C2F95" w:rsidRPr="00D53B04" w:rsidRDefault="001C2F95" w:rsidP="001C2F95">
      <w:pPr>
        <w:rPr>
          <w:rFonts w:eastAsia="Calibri" w:cs="Arial"/>
          <w:color w:val="000000"/>
          <w:szCs w:val="21"/>
        </w:rPr>
      </w:pPr>
      <w:r w:rsidRPr="00D53B04">
        <w:rPr>
          <w:rFonts w:eastAsia="Calibri" w:cs="Arial"/>
          <w:color w:val="000000"/>
          <w:szCs w:val="21"/>
        </w:rPr>
        <w:t>MGP </w:t>
      </w:r>
      <w:r w:rsidRPr="00D53B04">
        <w:rPr>
          <w:rFonts w:eastAsia="Calibri" w:cs="Arial"/>
          <w:color w:val="000000"/>
          <w:szCs w:val="21"/>
        </w:rPr>
        <w:tab/>
      </w:r>
      <w:r w:rsidRPr="00D53B04">
        <w:rPr>
          <w:rFonts w:eastAsia="Calibri" w:cs="Arial"/>
          <w:color w:val="000000"/>
          <w:szCs w:val="21"/>
        </w:rPr>
        <w:tab/>
        <w:t>: Mécanisme de Gestion des Plaintes</w:t>
      </w:r>
    </w:p>
    <w:p w14:paraId="3234E106" w14:textId="77777777" w:rsidR="001C2F95" w:rsidRPr="00D53B04" w:rsidRDefault="001C2F95" w:rsidP="001C2F95">
      <w:pPr>
        <w:rPr>
          <w:rFonts w:eastAsia="Calibri" w:cs="Arial"/>
          <w:color w:val="000000"/>
          <w:szCs w:val="21"/>
        </w:rPr>
      </w:pPr>
      <w:r w:rsidRPr="00D53B04">
        <w:rPr>
          <w:rFonts w:eastAsia="Calibri" w:cs="Arial"/>
          <w:color w:val="000000"/>
          <w:szCs w:val="21"/>
        </w:rPr>
        <w:t>MPME</w:t>
      </w:r>
      <w:r w:rsidRPr="00D53B04">
        <w:rPr>
          <w:rFonts w:eastAsia="Calibri" w:cs="Arial"/>
          <w:color w:val="000000"/>
          <w:szCs w:val="21"/>
        </w:rPr>
        <w:tab/>
      </w:r>
      <w:r w:rsidRPr="00D53B04">
        <w:rPr>
          <w:rFonts w:eastAsia="Calibri" w:cs="Arial"/>
          <w:color w:val="000000"/>
          <w:szCs w:val="21"/>
        </w:rPr>
        <w:tab/>
        <w:t>: Micro, Petites et Moyennes Entreprises</w:t>
      </w:r>
    </w:p>
    <w:p w14:paraId="31A971C8" w14:textId="77777777" w:rsidR="001C2F95" w:rsidRPr="00D53B04" w:rsidRDefault="001C2F95" w:rsidP="001C2F95">
      <w:pPr>
        <w:rPr>
          <w:rFonts w:eastAsia="Calibri" w:cs="Arial"/>
          <w:color w:val="000000"/>
          <w:szCs w:val="21"/>
        </w:rPr>
      </w:pPr>
      <w:r w:rsidRPr="00D53B04">
        <w:rPr>
          <w:rFonts w:eastAsia="Calibri" w:cs="Arial"/>
          <w:color w:val="000000"/>
          <w:szCs w:val="21"/>
        </w:rPr>
        <w:t>NES </w:t>
      </w:r>
      <w:r w:rsidRPr="00D53B04">
        <w:rPr>
          <w:rFonts w:eastAsia="Calibri" w:cs="Arial"/>
          <w:color w:val="000000"/>
          <w:szCs w:val="21"/>
        </w:rPr>
        <w:tab/>
      </w:r>
      <w:r w:rsidRPr="00D53B04">
        <w:rPr>
          <w:rFonts w:eastAsia="Calibri" w:cs="Arial"/>
          <w:color w:val="000000"/>
          <w:szCs w:val="21"/>
        </w:rPr>
        <w:tab/>
        <w:t>: Norme Environnementale et Sociale</w:t>
      </w:r>
    </w:p>
    <w:p w14:paraId="4C7ECDE3" w14:textId="77777777" w:rsidR="001C2F95" w:rsidRPr="00D53B04" w:rsidRDefault="001C2F95" w:rsidP="001C2F95">
      <w:pPr>
        <w:rPr>
          <w:rFonts w:eastAsia="Calibri" w:cs="Arial"/>
          <w:color w:val="000000"/>
          <w:szCs w:val="21"/>
        </w:rPr>
      </w:pPr>
      <w:r w:rsidRPr="00D53B04">
        <w:rPr>
          <w:rFonts w:eastAsia="Calibri" w:cs="Arial"/>
          <w:color w:val="000000"/>
          <w:szCs w:val="21"/>
        </w:rPr>
        <w:t xml:space="preserve">OCB </w:t>
      </w:r>
      <w:r w:rsidRPr="00D53B04">
        <w:rPr>
          <w:rFonts w:eastAsia="Calibri" w:cs="Arial"/>
          <w:color w:val="000000"/>
          <w:szCs w:val="21"/>
        </w:rPr>
        <w:tab/>
      </w:r>
      <w:r w:rsidRPr="00D53B04">
        <w:rPr>
          <w:rFonts w:eastAsia="Calibri" w:cs="Arial"/>
          <w:color w:val="000000"/>
          <w:szCs w:val="21"/>
        </w:rPr>
        <w:tab/>
        <w:t>: Organisations Communautaires de Base</w:t>
      </w:r>
    </w:p>
    <w:p w14:paraId="37AD5B33" w14:textId="77777777" w:rsidR="001C2F95" w:rsidRPr="00D53B04" w:rsidRDefault="001C2F95" w:rsidP="001C2F95">
      <w:pPr>
        <w:rPr>
          <w:rFonts w:eastAsia="Calibri" w:cs="Arial"/>
          <w:color w:val="000000"/>
          <w:szCs w:val="21"/>
        </w:rPr>
      </w:pPr>
      <w:r w:rsidRPr="00D53B04">
        <w:rPr>
          <w:rFonts w:eastAsia="Calibri" w:cs="Arial"/>
          <w:color w:val="000000"/>
          <w:szCs w:val="21"/>
        </w:rPr>
        <w:t>ODD</w:t>
      </w:r>
      <w:r w:rsidRPr="00D53B04">
        <w:rPr>
          <w:rFonts w:eastAsia="Calibri" w:cs="Arial"/>
          <w:color w:val="000000"/>
          <w:szCs w:val="21"/>
        </w:rPr>
        <w:tab/>
      </w:r>
      <w:r w:rsidRPr="00D53B04">
        <w:rPr>
          <w:rFonts w:eastAsia="Calibri" w:cs="Arial"/>
          <w:color w:val="000000"/>
          <w:szCs w:val="21"/>
        </w:rPr>
        <w:tab/>
        <w:t>: Objectifs de Développement Durable</w:t>
      </w:r>
    </w:p>
    <w:p w14:paraId="10909649" w14:textId="77777777" w:rsidR="001C2F95" w:rsidRPr="00D53B04" w:rsidRDefault="001C2F95" w:rsidP="001C2F95">
      <w:pPr>
        <w:rPr>
          <w:rFonts w:eastAsia="Calibri" w:cs="Arial"/>
          <w:color w:val="000000"/>
          <w:szCs w:val="21"/>
        </w:rPr>
      </w:pPr>
      <w:r w:rsidRPr="00D53B04">
        <w:rPr>
          <w:rFonts w:eastAsia="Calibri" w:cs="Arial"/>
          <w:color w:val="000000"/>
          <w:szCs w:val="21"/>
        </w:rPr>
        <w:t>OMC</w:t>
      </w:r>
      <w:r w:rsidRPr="00D53B04">
        <w:rPr>
          <w:rFonts w:eastAsia="Calibri" w:cs="Arial"/>
          <w:color w:val="000000"/>
          <w:szCs w:val="21"/>
        </w:rPr>
        <w:tab/>
      </w:r>
      <w:r w:rsidRPr="00D53B04">
        <w:rPr>
          <w:rFonts w:eastAsia="Calibri" w:cs="Arial"/>
          <w:color w:val="000000"/>
          <w:szCs w:val="21"/>
        </w:rPr>
        <w:tab/>
        <w:t>: Organisation Mondiale de Commerce</w:t>
      </w:r>
    </w:p>
    <w:p w14:paraId="15E2316F" w14:textId="77777777" w:rsidR="001C2F95" w:rsidRPr="00D53B04" w:rsidRDefault="001C2F95" w:rsidP="001C2F95">
      <w:pPr>
        <w:rPr>
          <w:rFonts w:eastAsia="Calibri" w:cs="Arial"/>
          <w:color w:val="000000"/>
          <w:szCs w:val="21"/>
        </w:rPr>
      </w:pPr>
      <w:r w:rsidRPr="00D53B04">
        <w:rPr>
          <w:rFonts w:eastAsia="Calibri" w:cs="Arial"/>
          <w:color w:val="000000"/>
          <w:szCs w:val="21"/>
        </w:rPr>
        <w:t>OMS</w:t>
      </w:r>
      <w:r w:rsidRPr="00D53B04">
        <w:rPr>
          <w:rFonts w:eastAsia="Calibri" w:cs="Arial"/>
          <w:color w:val="000000"/>
          <w:szCs w:val="21"/>
        </w:rPr>
        <w:tab/>
      </w:r>
      <w:r w:rsidRPr="00D53B04">
        <w:rPr>
          <w:rFonts w:eastAsia="Calibri" w:cs="Arial"/>
          <w:color w:val="000000"/>
          <w:szCs w:val="21"/>
        </w:rPr>
        <w:tab/>
        <w:t>: Organisation Mondiale de la Santé</w:t>
      </w:r>
    </w:p>
    <w:p w14:paraId="218F2AAB" w14:textId="77777777" w:rsidR="001C2F95" w:rsidRPr="00D53B04" w:rsidRDefault="001C2F95" w:rsidP="001C2F95">
      <w:pPr>
        <w:rPr>
          <w:rFonts w:eastAsia="Calibri" w:cs="Arial"/>
          <w:color w:val="000000"/>
          <w:szCs w:val="21"/>
        </w:rPr>
      </w:pPr>
      <w:r w:rsidRPr="00D53B04">
        <w:rPr>
          <w:rFonts w:eastAsia="Calibri" w:cs="Arial"/>
          <w:color w:val="000000"/>
          <w:szCs w:val="21"/>
        </w:rPr>
        <w:t>ONG</w:t>
      </w:r>
      <w:r w:rsidRPr="00D53B04">
        <w:rPr>
          <w:rFonts w:eastAsia="Calibri" w:cs="Arial"/>
          <w:color w:val="000000"/>
          <w:szCs w:val="21"/>
        </w:rPr>
        <w:tab/>
      </w:r>
      <w:r w:rsidRPr="00D53B04">
        <w:rPr>
          <w:rFonts w:eastAsia="Calibri" w:cs="Arial"/>
          <w:color w:val="000000"/>
          <w:szCs w:val="21"/>
        </w:rPr>
        <w:tab/>
        <w:t>: Organisation Non Gouvernementale</w:t>
      </w:r>
    </w:p>
    <w:p w14:paraId="0C64B692" w14:textId="77777777" w:rsidR="001C2F95" w:rsidRPr="00D53B04" w:rsidRDefault="001C2F95" w:rsidP="001C2F95">
      <w:pPr>
        <w:rPr>
          <w:rFonts w:eastAsia="Calibri" w:cs="Arial"/>
          <w:color w:val="000000"/>
          <w:szCs w:val="21"/>
        </w:rPr>
      </w:pPr>
      <w:r w:rsidRPr="00D53B04">
        <w:rPr>
          <w:rFonts w:eastAsia="Calibri" w:cs="Arial"/>
          <w:color w:val="000000"/>
          <w:szCs w:val="21"/>
        </w:rPr>
        <w:lastRenderedPageBreak/>
        <w:t>ONU</w:t>
      </w:r>
      <w:r w:rsidRPr="00D53B04">
        <w:rPr>
          <w:rFonts w:eastAsia="Calibri" w:cs="Arial"/>
          <w:color w:val="000000"/>
          <w:szCs w:val="21"/>
        </w:rPr>
        <w:tab/>
      </w:r>
      <w:r w:rsidRPr="00D53B04">
        <w:rPr>
          <w:rFonts w:eastAsia="Calibri" w:cs="Arial"/>
          <w:color w:val="000000"/>
          <w:szCs w:val="21"/>
        </w:rPr>
        <w:tab/>
        <w:t>: Organisation des Nations Unies</w:t>
      </w:r>
    </w:p>
    <w:p w14:paraId="0EBCA75B" w14:textId="77777777" w:rsidR="001C2F95" w:rsidRPr="00D53B04" w:rsidRDefault="001C2F95" w:rsidP="001C2F95">
      <w:pPr>
        <w:rPr>
          <w:rFonts w:eastAsia="Calibri" w:cs="Arial"/>
          <w:color w:val="000000"/>
          <w:szCs w:val="21"/>
        </w:rPr>
      </w:pPr>
      <w:r w:rsidRPr="00D53B04">
        <w:rPr>
          <w:rFonts w:eastAsia="Calibri" w:cs="Arial"/>
          <w:color w:val="000000"/>
          <w:szCs w:val="21"/>
        </w:rPr>
        <w:t>OPA</w:t>
      </w:r>
      <w:r w:rsidRPr="00D53B04">
        <w:rPr>
          <w:rFonts w:eastAsia="Calibri" w:cs="Arial"/>
          <w:color w:val="000000"/>
          <w:szCs w:val="21"/>
        </w:rPr>
        <w:tab/>
      </w:r>
      <w:r w:rsidRPr="00D53B04">
        <w:rPr>
          <w:rFonts w:eastAsia="Calibri" w:cs="Arial"/>
          <w:color w:val="000000"/>
          <w:szCs w:val="21"/>
        </w:rPr>
        <w:tab/>
        <w:t>: Organisation des Producteurs Agricoles</w:t>
      </w:r>
    </w:p>
    <w:p w14:paraId="766CF6E4" w14:textId="77777777" w:rsidR="001C2F95" w:rsidRPr="00D53B04" w:rsidRDefault="001C2F95" w:rsidP="001C2F95">
      <w:pPr>
        <w:rPr>
          <w:rFonts w:eastAsia="Calibri" w:cs="Arial"/>
          <w:color w:val="000000"/>
          <w:szCs w:val="21"/>
        </w:rPr>
      </w:pPr>
      <w:r w:rsidRPr="00D53B04">
        <w:rPr>
          <w:rFonts w:eastAsia="Calibri" w:cs="Arial"/>
          <w:color w:val="000000"/>
          <w:szCs w:val="21"/>
        </w:rPr>
        <w:t>PA</w:t>
      </w:r>
      <w:r w:rsidRPr="00D53B04">
        <w:rPr>
          <w:rFonts w:eastAsia="Calibri" w:cs="Arial"/>
          <w:color w:val="000000"/>
          <w:szCs w:val="21"/>
        </w:rPr>
        <w:tab/>
      </w:r>
      <w:r w:rsidRPr="00D53B04">
        <w:rPr>
          <w:rFonts w:eastAsia="Calibri" w:cs="Arial"/>
          <w:color w:val="000000"/>
          <w:szCs w:val="21"/>
        </w:rPr>
        <w:tab/>
        <w:t>: Peuple Autochtone</w:t>
      </w:r>
    </w:p>
    <w:p w14:paraId="4D4888CE" w14:textId="77777777" w:rsidR="001C2F95" w:rsidRPr="00D53B04" w:rsidRDefault="001C2F95" w:rsidP="001C2F95">
      <w:pPr>
        <w:rPr>
          <w:rFonts w:eastAsia="Calibri" w:cs="Arial"/>
          <w:color w:val="000000"/>
          <w:szCs w:val="21"/>
        </w:rPr>
      </w:pPr>
      <w:r w:rsidRPr="00D53B04">
        <w:rPr>
          <w:rFonts w:eastAsia="Calibri" w:cs="Arial"/>
          <w:color w:val="000000"/>
          <w:szCs w:val="21"/>
        </w:rPr>
        <w:t>PAM </w:t>
      </w:r>
      <w:r w:rsidRPr="00D53B04">
        <w:rPr>
          <w:rFonts w:eastAsia="Calibri" w:cs="Arial"/>
          <w:color w:val="000000"/>
          <w:szCs w:val="21"/>
        </w:rPr>
        <w:tab/>
      </w:r>
      <w:r w:rsidRPr="00D53B04">
        <w:rPr>
          <w:rFonts w:eastAsia="Calibri" w:cs="Arial"/>
          <w:color w:val="000000"/>
          <w:szCs w:val="21"/>
        </w:rPr>
        <w:tab/>
        <w:t xml:space="preserve">: Programme Alimentaire Mondial </w:t>
      </w:r>
    </w:p>
    <w:p w14:paraId="72B529F7" w14:textId="77777777" w:rsidR="001C2F95" w:rsidRPr="00D53B04" w:rsidRDefault="001C2F95" w:rsidP="001C2F95">
      <w:pPr>
        <w:rPr>
          <w:rFonts w:eastAsia="Calibri" w:cs="Arial"/>
          <w:color w:val="000000"/>
          <w:szCs w:val="21"/>
        </w:rPr>
      </w:pPr>
      <w:r w:rsidRPr="00D53B04">
        <w:rPr>
          <w:rFonts w:eastAsia="Calibri" w:cs="Arial"/>
          <w:color w:val="000000"/>
          <w:szCs w:val="21"/>
        </w:rPr>
        <w:t>PANA</w:t>
      </w:r>
      <w:r w:rsidRPr="00D53B04">
        <w:rPr>
          <w:rFonts w:eastAsia="Calibri" w:cs="Arial"/>
          <w:color w:val="000000"/>
          <w:szCs w:val="21"/>
        </w:rPr>
        <w:tab/>
      </w:r>
      <w:r w:rsidRPr="00D53B04">
        <w:rPr>
          <w:rFonts w:eastAsia="Calibri" w:cs="Arial"/>
          <w:color w:val="000000"/>
          <w:szCs w:val="21"/>
        </w:rPr>
        <w:tab/>
        <w:t>: Plan d’Actions National d’Adaptation aux changements climatiques</w:t>
      </w:r>
    </w:p>
    <w:p w14:paraId="2B17CE7C" w14:textId="77777777" w:rsidR="001C2F95" w:rsidRPr="00D53B04" w:rsidRDefault="001C2F95" w:rsidP="001C2F95">
      <w:pPr>
        <w:rPr>
          <w:rFonts w:cs="Arial"/>
          <w:color w:val="000000"/>
          <w:szCs w:val="21"/>
          <w:lang w:eastAsia="en-US"/>
        </w:rPr>
      </w:pPr>
      <w:r w:rsidRPr="00D53B04">
        <w:rPr>
          <w:rFonts w:cs="Arial"/>
          <w:color w:val="000000"/>
          <w:szCs w:val="21"/>
          <w:lang w:eastAsia="en-US"/>
        </w:rPr>
        <w:t>PNAE</w:t>
      </w:r>
      <w:r w:rsidRPr="00D53B04">
        <w:rPr>
          <w:rFonts w:cs="Arial"/>
          <w:color w:val="000000"/>
          <w:szCs w:val="21"/>
          <w:lang w:eastAsia="en-US"/>
        </w:rPr>
        <w:tab/>
      </w:r>
      <w:r w:rsidRPr="00D53B04">
        <w:rPr>
          <w:rFonts w:cs="Arial"/>
          <w:color w:val="000000"/>
          <w:szCs w:val="21"/>
          <w:lang w:eastAsia="en-US"/>
        </w:rPr>
        <w:tab/>
        <w:t>: Plan National d’Actions Environnementales</w:t>
      </w:r>
    </w:p>
    <w:p w14:paraId="4B59384C" w14:textId="77777777" w:rsidR="001C2F95" w:rsidRPr="00D53B04" w:rsidRDefault="001C2F95" w:rsidP="001C2F95">
      <w:pPr>
        <w:rPr>
          <w:rFonts w:eastAsia="Calibri" w:cs="Arial"/>
          <w:color w:val="000000"/>
          <w:szCs w:val="21"/>
        </w:rPr>
      </w:pPr>
      <w:r w:rsidRPr="00D53B04">
        <w:rPr>
          <w:rFonts w:eastAsia="Calibri" w:cs="Arial"/>
          <w:color w:val="000000"/>
          <w:szCs w:val="21"/>
        </w:rPr>
        <w:t>PNIA</w:t>
      </w:r>
      <w:r w:rsidRPr="00D53B04">
        <w:rPr>
          <w:rFonts w:eastAsia="Calibri" w:cs="Arial"/>
          <w:color w:val="000000"/>
          <w:szCs w:val="21"/>
        </w:rPr>
        <w:tab/>
      </w:r>
      <w:r w:rsidRPr="00D53B04">
        <w:rPr>
          <w:rFonts w:eastAsia="Calibri" w:cs="Arial"/>
          <w:color w:val="000000"/>
          <w:szCs w:val="21"/>
        </w:rPr>
        <w:tab/>
        <w:t xml:space="preserve">: </w:t>
      </w:r>
      <w:r w:rsidRPr="00D53B04">
        <w:rPr>
          <w:rFonts w:cs="Arial"/>
          <w:color w:val="000000"/>
          <w:szCs w:val="21"/>
          <w:lang w:eastAsia="en-US"/>
        </w:rPr>
        <w:t>Plan National d’Investissement Agricole</w:t>
      </w:r>
    </w:p>
    <w:p w14:paraId="38D19FDD" w14:textId="77777777" w:rsidR="001C2F95" w:rsidRPr="00D53B04" w:rsidRDefault="001C2F95" w:rsidP="001C2F95">
      <w:pPr>
        <w:rPr>
          <w:rFonts w:eastAsia="Calibri" w:cs="Arial"/>
          <w:color w:val="000000"/>
          <w:szCs w:val="21"/>
        </w:rPr>
      </w:pPr>
      <w:r w:rsidRPr="00D53B04">
        <w:rPr>
          <w:rFonts w:eastAsia="Calibri" w:cs="Arial"/>
          <w:color w:val="000000"/>
          <w:szCs w:val="21"/>
        </w:rPr>
        <w:t>PNSA</w:t>
      </w:r>
      <w:r w:rsidRPr="00D53B04">
        <w:rPr>
          <w:rFonts w:eastAsia="Calibri" w:cs="Arial"/>
          <w:color w:val="000000"/>
          <w:szCs w:val="21"/>
        </w:rPr>
        <w:tab/>
      </w:r>
      <w:r w:rsidRPr="00D53B04">
        <w:rPr>
          <w:rFonts w:eastAsia="Calibri" w:cs="Arial"/>
          <w:color w:val="000000"/>
          <w:szCs w:val="21"/>
        </w:rPr>
        <w:tab/>
        <w:t xml:space="preserve">: </w:t>
      </w:r>
      <w:r w:rsidRPr="00D53B04">
        <w:rPr>
          <w:rFonts w:cs="Arial"/>
          <w:color w:val="000000"/>
          <w:szCs w:val="21"/>
          <w:lang w:eastAsia="en-US"/>
        </w:rPr>
        <w:t>Programme National de Sécurité Alimentaire</w:t>
      </w:r>
    </w:p>
    <w:p w14:paraId="5CEEBC79" w14:textId="77777777" w:rsidR="001C2F95" w:rsidRPr="00D53B04" w:rsidRDefault="001C2F95" w:rsidP="001C2F95">
      <w:pPr>
        <w:rPr>
          <w:rFonts w:eastAsia="Calibri" w:cs="Arial"/>
          <w:color w:val="000000"/>
          <w:szCs w:val="21"/>
        </w:rPr>
      </w:pPr>
      <w:r w:rsidRPr="00D53B04">
        <w:rPr>
          <w:rFonts w:eastAsia="Calibri" w:cs="Arial"/>
          <w:color w:val="000000"/>
          <w:szCs w:val="21"/>
        </w:rPr>
        <w:t xml:space="preserve">PAR </w:t>
      </w:r>
      <w:r w:rsidRPr="00D53B04">
        <w:rPr>
          <w:rFonts w:eastAsia="Calibri" w:cs="Arial"/>
          <w:color w:val="000000"/>
          <w:szCs w:val="21"/>
        </w:rPr>
        <w:tab/>
      </w:r>
      <w:r w:rsidRPr="00D53B04">
        <w:rPr>
          <w:rFonts w:eastAsia="Calibri" w:cs="Arial"/>
          <w:color w:val="000000"/>
          <w:szCs w:val="21"/>
        </w:rPr>
        <w:tab/>
        <w:t>: Plan d’Actions de Réinstallation</w:t>
      </w:r>
    </w:p>
    <w:p w14:paraId="4DC149F8" w14:textId="77777777" w:rsidR="001C2F95" w:rsidRPr="00D53B04" w:rsidRDefault="001C2F95" w:rsidP="001C2F95">
      <w:pPr>
        <w:rPr>
          <w:rFonts w:eastAsia="Calibri" w:cs="Arial"/>
          <w:color w:val="000000"/>
          <w:szCs w:val="21"/>
        </w:rPr>
      </w:pPr>
      <w:r w:rsidRPr="00D53B04">
        <w:rPr>
          <w:rFonts w:eastAsia="Calibri" w:cs="Arial"/>
          <w:color w:val="000000"/>
          <w:szCs w:val="21"/>
        </w:rPr>
        <w:t xml:space="preserve">PARRSA </w:t>
      </w:r>
      <w:r w:rsidRPr="00D53B04">
        <w:rPr>
          <w:rFonts w:eastAsia="Calibri" w:cs="Arial"/>
          <w:color w:val="000000"/>
          <w:szCs w:val="21"/>
        </w:rPr>
        <w:tab/>
        <w:t>: Projet d'Appui à la Réhabilitation et la Relance du Secteur Agricole</w:t>
      </w:r>
    </w:p>
    <w:p w14:paraId="0B3F8B09" w14:textId="77777777" w:rsidR="001C2F95" w:rsidRPr="00D53B04" w:rsidRDefault="001C2F95" w:rsidP="001C2F95">
      <w:pPr>
        <w:rPr>
          <w:rFonts w:eastAsia="Calibri" w:cs="Arial"/>
          <w:color w:val="000000"/>
          <w:szCs w:val="21"/>
        </w:rPr>
      </w:pPr>
      <w:r w:rsidRPr="00D53B04">
        <w:rPr>
          <w:rFonts w:eastAsia="Calibri" w:cs="Arial"/>
          <w:color w:val="000000"/>
          <w:szCs w:val="21"/>
        </w:rPr>
        <w:t>PARS</w:t>
      </w:r>
      <w:r w:rsidRPr="00D53B04">
        <w:rPr>
          <w:rFonts w:eastAsia="Calibri" w:cs="Arial"/>
          <w:color w:val="000000"/>
          <w:szCs w:val="21"/>
        </w:rPr>
        <w:tab/>
      </w:r>
      <w:r w:rsidRPr="00D53B04">
        <w:rPr>
          <w:rFonts w:eastAsia="Calibri" w:cs="Arial"/>
          <w:color w:val="000000"/>
          <w:szCs w:val="21"/>
        </w:rPr>
        <w:tab/>
        <w:t xml:space="preserve">: Plans d’Action de Réinstallation Sommaire </w:t>
      </w:r>
    </w:p>
    <w:p w14:paraId="1FC586E1" w14:textId="77777777" w:rsidR="001C2F95" w:rsidRPr="00D53B04" w:rsidRDefault="001C2F95" w:rsidP="001C2F95">
      <w:pPr>
        <w:rPr>
          <w:rFonts w:eastAsia="Calibri" w:cs="Arial"/>
          <w:color w:val="000000"/>
          <w:szCs w:val="21"/>
        </w:rPr>
      </w:pPr>
      <w:r w:rsidRPr="00D53B04">
        <w:rPr>
          <w:rFonts w:eastAsia="Calibri" w:cs="Arial"/>
          <w:color w:val="000000"/>
          <w:szCs w:val="21"/>
        </w:rPr>
        <w:t>PAU/EAP</w:t>
      </w:r>
      <w:r w:rsidRPr="00D53B04">
        <w:rPr>
          <w:rFonts w:eastAsia="Calibri" w:cs="Arial"/>
          <w:color w:val="000000"/>
          <w:szCs w:val="21"/>
        </w:rPr>
        <w:tab/>
        <w:t>: Plan d’Action d’Urgence</w:t>
      </w:r>
    </w:p>
    <w:p w14:paraId="77D41876" w14:textId="6C228CE1" w:rsidR="001C2F95" w:rsidRPr="00D53B04" w:rsidRDefault="001C2F95" w:rsidP="001C2F95">
      <w:pPr>
        <w:rPr>
          <w:rFonts w:eastAsia="Calibri" w:cs="Arial"/>
          <w:color w:val="000000"/>
          <w:szCs w:val="21"/>
        </w:rPr>
      </w:pPr>
      <w:r w:rsidRPr="00D53B04">
        <w:rPr>
          <w:rFonts w:eastAsia="Calibri" w:cs="Arial"/>
          <w:color w:val="000000"/>
          <w:szCs w:val="21"/>
        </w:rPr>
        <w:t>PGES</w:t>
      </w:r>
      <w:r w:rsidR="00CE52C3" w:rsidRPr="00D53B04">
        <w:rPr>
          <w:rFonts w:eastAsia="Calibri" w:cs="Arial"/>
          <w:color w:val="000000"/>
          <w:szCs w:val="21"/>
        </w:rPr>
        <w:t xml:space="preserve"> </w:t>
      </w:r>
      <w:r w:rsidRPr="00D53B04">
        <w:rPr>
          <w:rFonts w:eastAsia="Calibri" w:cs="Arial"/>
          <w:color w:val="000000"/>
          <w:szCs w:val="21"/>
        </w:rPr>
        <w:t xml:space="preserve"> </w:t>
      </w:r>
      <w:r w:rsidR="00D53B04">
        <w:rPr>
          <w:rFonts w:eastAsia="Calibri" w:cs="Arial"/>
          <w:color w:val="000000"/>
          <w:szCs w:val="21"/>
        </w:rPr>
        <w:tab/>
      </w:r>
      <w:r w:rsidRPr="00D53B04">
        <w:rPr>
          <w:rFonts w:eastAsia="Calibri" w:cs="Arial"/>
          <w:color w:val="000000"/>
          <w:szCs w:val="21"/>
        </w:rPr>
        <w:tab/>
        <w:t>: Plan Cadre de Gestion Environnementale et Sociale</w:t>
      </w:r>
    </w:p>
    <w:p w14:paraId="1EBB65F3" w14:textId="77777777" w:rsidR="00CE52C3" w:rsidRPr="00D53B04" w:rsidRDefault="00CE52C3" w:rsidP="00CE52C3">
      <w:pPr>
        <w:rPr>
          <w:rFonts w:eastAsia="Calibri" w:cs="Arial"/>
          <w:color w:val="000000"/>
          <w:szCs w:val="21"/>
        </w:rPr>
      </w:pPr>
      <w:r w:rsidRPr="00D53B04">
        <w:rPr>
          <w:rFonts w:eastAsia="Calibri" w:cs="Arial"/>
          <w:color w:val="000000"/>
          <w:szCs w:val="21"/>
        </w:rPr>
        <w:t xml:space="preserve">PCGE-C </w:t>
      </w:r>
      <w:r w:rsidRPr="00D53B04">
        <w:rPr>
          <w:rFonts w:eastAsia="Calibri" w:cs="Arial"/>
          <w:color w:val="000000"/>
          <w:szCs w:val="21"/>
        </w:rPr>
        <w:tab/>
        <w:t>: Plan Cadre de Gestion Environnementale et Sociale de Chantier</w:t>
      </w:r>
    </w:p>
    <w:p w14:paraId="1642D127" w14:textId="77777777" w:rsidR="001C2F95" w:rsidRPr="00D53B04" w:rsidRDefault="001C2F95" w:rsidP="001C2F95">
      <w:pPr>
        <w:rPr>
          <w:rFonts w:eastAsia="Calibri" w:cs="Arial"/>
          <w:color w:val="000000"/>
          <w:szCs w:val="21"/>
        </w:rPr>
      </w:pPr>
      <w:r w:rsidRPr="00D53B04">
        <w:rPr>
          <w:rFonts w:eastAsia="Calibri" w:cs="Arial"/>
          <w:color w:val="000000"/>
          <w:szCs w:val="21"/>
        </w:rPr>
        <w:t>PDPC </w:t>
      </w:r>
      <w:r w:rsidRPr="00D53B04">
        <w:rPr>
          <w:rFonts w:eastAsia="Calibri" w:cs="Arial"/>
          <w:color w:val="000000"/>
          <w:szCs w:val="21"/>
        </w:rPr>
        <w:tab/>
      </w:r>
      <w:r w:rsidRPr="00D53B04">
        <w:rPr>
          <w:rFonts w:eastAsia="Calibri" w:cs="Arial"/>
          <w:color w:val="000000"/>
          <w:szCs w:val="21"/>
        </w:rPr>
        <w:tab/>
        <w:t xml:space="preserve">: Projet de Développement des Pôles de Croissance </w:t>
      </w:r>
    </w:p>
    <w:p w14:paraId="1C5E8FA6" w14:textId="77777777" w:rsidR="001C2F95" w:rsidRPr="00D53B04" w:rsidRDefault="001C2F95" w:rsidP="001C2F95">
      <w:pPr>
        <w:rPr>
          <w:rFonts w:eastAsia="Calibri" w:cs="Arial"/>
          <w:color w:val="000000"/>
          <w:szCs w:val="21"/>
        </w:rPr>
      </w:pPr>
      <w:r w:rsidRPr="00D53B04">
        <w:rPr>
          <w:rFonts w:eastAsia="Calibri" w:cs="Arial"/>
          <w:color w:val="000000"/>
          <w:szCs w:val="21"/>
        </w:rPr>
        <w:t>PDSS</w:t>
      </w:r>
      <w:r w:rsidRPr="00D53B04">
        <w:rPr>
          <w:rFonts w:eastAsia="Calibri" w:cs="Arial"/>
          <w:color w:val="000000"/>
          <w:szCs w:val="21"/>
        </w:rPr>
        <w:tab/>
      </w:r>
      <w:r w:rsidRPr="00D53B04">
        <w:rPr>
          <w:rFonts w:eastAsia="Calibri" w:cs="Arial"/>
          <w:color w:val="000000"/>
          <w:szCs w:val="21"/>
        </w:rPr>
        <w:tab/>
        <w:t>: Projet de Développement du Système de Santé</w:t>
      </w:r>
    </w:p>
    <w:p w14:paraId="72B99BE8" w14:textId="77777777" w:rsidR="001C2F95" w:rsidRPr="00D53B04" w:rsidRDefault="001C2F95" w:rsidP="001C2F95">
      <w:pPr>
        <w:rPr>
          <w:rFonts w:eastAsia="Calibri" w:cs="Arial"/>
          <w:color w:val="000000"/>
          <w:szCs w:val="21"/>
        </w:rPr>
      </w:pPr>
      <w:r w:rsidRPr="00D53B04">
        <w:rPr>
          <w:rFonts w:eastAsia="Calibri" w:cs="Arial"/>
          <w:color w:val="000000"/>
          <w:szCs w:val="21"/>
        </w:rPr>
        <w:t>PEES </w:t>
      </w:r>
      <w:r w:rsidRPr="00D53B04">
        <w:rPr>
          <w:rFonts w:eastAsia="Calibri" w:cs="Arial"/>
          <w:color w:val="000000"/>
          <w:szCs w:val="21"/>
        </w:rPr>
        <w:tab/>
      </w:r>
      <w:r w:rsidRPr="00D53B04">
        <w:rPr>
          <w:rFonts w:eastAsia="Calibri" w:cs="Arial"/>
          <w:color w:val="000000"/>
          <w:szCs w:val="21"/>
        </w:rPr>
        <w:tab/>
        <w:t>: Plan d’Engagement Environnemental et Social</w:t>
      </w:r>
    </w:p>
    <w:p w14:paraId="559F13DB" w14:textId="77777777" w:rsidR="001C2F95" w:rsidRPr="00D53B04" w:rsidRDefault="001C2F95" w:rsidP="001C2F95">
      <w:pPr>
        <w:rPr>
          <w:rFonts w:eastAsia="Calibri" w:cs="Arial"/>
          <w:color w:val="000000"/>
          <w:szCs w:val="21"/>
        </w:rPr>
      </w:pPr>
      <w:r w:rsidRPr="00D53B04">
        <w:rPr>
          <w:rFonts w:eastAsia="Calibri" w:cs="Arial"/>
          <w:color w:val="000000"/>
          <w:szCs w:val="21"/>
        </w:rPr>
        <w:t xml:space="preserve">PGES </w:t>
      </w:r>
      <w:r w:rsidRPr="00D53B04">
        <w:rPr>
          <w:rFonts w:eastAsia="Calibri" w:cs="Arial"/>
          <w:color w:val="000000"/>
          <w:szCs w:val="21"/>
        </w:rPr>
        <w:tab/>
      </w:r>
      <w:r w:rsidRPr="00D53B04">
        <w:rPr>
          <w:rFonts w:eastAsia="Calibri" w:cs="Arial"/>
          <w:color w:val="000000"/>
          <w:szCs w:val="21"/>
        </w:rPr>
        <w:tab/>
        <w:t>: Plan de Gestion Environnementale et Sociale</w:t>
      </w:r>
    </w:p>
    <w:p w14:paraId="52C9AD12" w14:textId="048376B9" w:rsidR="001C2F95" w:rsidRPr="00D53B04" w:rsidRDefault="001C2F95" w:rsidP="001C2F95">
      <w:pPr>
        <w:rPr>
          <w:rFonts w:eastAsia="Calibri" w:cs="Arial"/>
          <w:color w:val="000000"/>
          <w:szCs w:val="21"/>
        </w:rPr>
      </w:pPr>
      <w:r w:rsidRPr="00D53B04">
        <w:rPr>
          <w:rFonts w:eastAsia="Calibri" w:cs="Arial"/>
          <w:color w:val="000000"/>
          <w:szCs w:val="21"/>
        </w:rPr>
        <w:t>PGMO </w:t>
      </w:r>
      <w:r w:rsidRPr="00D53B04">
        <w:rPr>
          <w:rFonts w:eastAsia="Calibri" w:cs="Arial"/>
          <w:color w:val="000000"/>
          <w:szCs w:val="21"/>
        </w:rPr>
        <w:tab/>
      </w:r>
      <w:r w:rsidR="00D53B04">
        <w:rPr>
          <w:rFonts w:eastAsia="Calibri" w:cs="Arial"/>
          <w:color w:val="000000"/>
          <w:szCs w:val="21"/>
        </w:rPr>
        <w:tab/>
      </w:r>
      <w:r w:rsidRPr="00D53B04">
        <w:rPr>
          <w:rFonts w:eastAsia="Calibri" w:cs="Arial"/>
          <w:color w:val="000000"/>
          <w:szCs w:val="21"/>
        </w:rPr>
        <w:t>: Plan de Gestion de la Main d’œuvre</w:t>
      </w:r>
    </w:p>
    <w:p w14:paraId="1E0176B0" w14:textId="77777777" w:rsidR="001C2F95" w:rsidRPr="00D53B04" w:rsidRDefault="001C2F95" w:rsidP="001C2F95">
      <w:pPr>
        <w:rPr>
          <w:rFonts w:eastAsia="Calibri" w:cs="Arial"/>
          <w:color w:val="000000"/>
          <w:szCs w:val="21"/>
        </w:rPr>
      </w:pPr>
      <w:r w:rsidRPr="00D53B04">
        <w:rPr>
          <w:rFonts w:eastAsia="Calibri" w:cs="Arial"/>
          <w:color w:val="000000"/>
          <w:szCs w:val="21"/>
        </w:rPr>
        <w:t>PGP</w:t>
      </w:r>
      <w:r w:rsidRPr="00D53B04">
        <w:rPr>
          <w:rFonts w:eastAsia="Calibri" w:cs="Arial"/>
          <w:color w:val="000000"/>
          <w:szCs w:val="21"/>
        </w:rPr>
        <w:tab/>
      </w:r>
      <w:r w:rsidRPr="00D53B04">
        <w:rPr>
          <w:rFonts w:eastAsia="Calibri" w:cs="Arial"/>
          <w:color w:val="000000"/>
          <w:szCs w:val="21"/>
        </w:rPr>
        <w:tab/>
        <w:t>: Plan de Gestion des Pesticides</w:t>
      </w:r>
    </w:p>
    <w:p w14:paraId="39330E09" w14:textId="77777777" w:rsidR="001C2F95" w:rsidRPr="00D53B04" w:rsidRDefault="001C2F95" w:rsidP="001C2F95">
      <w:pPr>
        <w:rPr>
          <w:rFonts w:eastAsia="Calibri" w:cs="Arial"/>
          <w:color w:val="000000"/>
          <w:szCs w:val="21"/>
        </w:rPr>
      </w:pPr>
      <w:r w:rsidRPr="00D53B04">
        <w:rPr>
          <w:rFonts w:eastAsia="Calibri" w:cs="Arial"/>
          <w:color w:val="000000"/>
          <w:szCs w:val="21"/>
        </w:rPr>
        <w:t>PGS </w:t>
      </w:r>
      <w:r w:rsidRPr="00D53B04">
        <w:rPr>
          <w:rFonts w:eastAsia="Calibri" w:cs="Arial"/>
          <w:color w:val="000000"/>
          <w:szCs w:val="21"/>
        </w:rPr>
        <w:tab/>
      </w:r>
      <w:r w:rsidRPr="00D53B04">
        <w:rPr>
          <w:rFonts w:eastAsia="Calibri" w:cs="Arial"/>
          <w:color w:val="000000"/>
          <w:szCs w:val="21"/>
        </w:rPr>
        <w:tab/>
        <w:t>: Plan de Gestion de Sécurité</w:t>
      </w:r>
    </w:p>
    <w:p w14:paraId="76AE4FC6" w14:textId="77777777" w:rsidR="001C2F95" w:rsidRPr="00D53B04" w:rsidRDefault="001C2F95" w:rsidP="001C2F95">
      <w:pPr>
        <w:rPr>
          <w:rFonts w:eastAsia="Calibri" w:cs="Arial"/>
          <w:color w:val="000000"/>
          <w:szCs w:val="21"/>
        </w:rPr>
      </w:pPr>
      <w:r w:rsidRPr="00D53B04">
        <w:rPr>
          <w:rFonts w:eastAsia="Calibri" w:cs="Arial"/>
          <w:color w:val="000000"/>
          <w:szCs w:val="21"/>
        </w:rPr>
        <w:t>PIP </w:t>
      </w:r>
      <w:r w:rsidRPr="00D53B04">
        <w:rPr>
          <w:rFonts w:eastAsia="Calibri" w:cs="Arial"/>
          <w:color w:val="000000"/>
          <w:szCs w:val="21"/>
        </w:rPr>
        <w:tab/>
      </w:r>
      <w:r w:rsidRPr="00D53B04">
        <w:rPr>
          <w:rFonts w:eastAsia="Calibri" w:cs="Arial"/>
          <w:color w:val="000000"/>
          <w:szCs w:val="21"/>
        </w:rPr>
        <w:tab/>
        <w:t>: Projet d’Inclusion Productive</w:t>
      </w:r>
    </w:p>
    <w:p w14:paraId="18375D56" w14:textId="77777777" w:rsidR="001C2F95" w:rsidRPr="00D53B04" w:rsidRDefault="001C2F95" w:rsidP="001C2F95">
      <w:pPr>
        <w:rPr>
          <w:rFonts w:eastAsia="Calibri" w:cs="Arial"/>
          <w:color w:val="000000"/>
          <w:szCs w:val="21"/>
        </w:rPr>
      </w:pPr>
      <w:r w:rsidRPr="00D53B04">
        <w:rPr>
          <w:rFonts w:eastAsia="Calibri" w:cs="Arial"/>
          <w:color w:val="000000"/>
          <w:szCs w:val="21"/>
        </w:rPr>
        <w:t>PME</w:t>
      </w:r>
      <w:r w:rsidRPr="00D53B04">
        <w:rPr>
          <w:rFonts w:eastAsia="Calibri" w:cs="Arial"/>
          <w:color w:val="000000"/>
          <w:szCs w:val="21"/>
        </w:rPr>
        <w:tab/>
      </w:r>
      <w:r w:rsidRPr="00D53B04">
        <w:rPr>
          <w:rFonts w:eastAsia="Calibri" w:cs="Arial"/>
          <w:color w:val="000000"/>
          <w:szCs w:val="21"/>
        </w:rPr>
        <w:tab/>
        <w:t>: Petite et Moyenne Entreprise</w:t>
      </w:r>
    </w:p>
    <w:p w14:paraId="1F047034" w14:textId="77777777" w:rsidR="001C2F95" w:rsidRPr="00D53B04" w:rsidRDefault="001C2F95" w:rsidP="001C2F95">
      <w:pPr>
        <w:rPr>
          <w:rFonts w:eastAsia="Calibri" w:cs="Arial"/>
          <w:color w:val="000000"/>
          <w:szCs w:val="21"/>
        </w:rPr>
      </w:pPr>
      <w:r w:rsidRPr="00D53B04">
        <w:rPr>
          <w:rFonts w:eastAsia="Calibri" w:cs="Arial"/>
          <w:color w:val="000000"/>
          <w:szCs w:val="21"/>
        </w:rPr>
        <w:t>PMEA</w:t>
      </w:r>
      <w:r w:rsidRPr="00D53B04">
        <w:rPr>
          <w:rFonts w:eastAsia="Calibri" w:cs="Arial"/>
          <w:color w:val="000000"/>
          <w:szCs w:val="21"/>
        </w:rPr>
        <w:tab/>
      </w:r>
      <w:r w:rsidRPr="00D53B04">
        <w:rPr>
          <w:rFonts w:eastAsia="Calibri" w:cs="Arial"/>
          <w:color w:val="000000"/>
          <w:szCs w:val="21"/>
        </w:rPr>
        <w:tab/>
        <w:t>: Petites et Moyennes Entreprises et Artisanat</w:t>
      </w:r>
    </w:p>
    <w:p w14:paraId="08514B11" w14:textId="77777777" w:rsidR="001C2F95" w:rsidRPr="00D53B04" w:rsidRDefault="001C2F95" w:rsidP="001C2F95">
      <w:pPr>
        <w:rPr>
          <w:rFonts w:eastAsia="Calibri" w:cs="Arial"/>
          <w:color w:val="000000"/>
          <w:szCs w:val="21"/>
        </w:rPr>
      </w:pPr>
      <w:r w:rsidRPr="00D53B04">
        <w:rPr>
          <w:rFonts w:eastAsia="Calibri" w:cs="Arial"/>
          <w:color w:val="000000"/>
          <w:szCs w:val="21"/>
        </w:rPr>
        <w:t>PMM</w:t>
      </w:r>
      <w:r w:rsidRPr="00D53B04">
        <w:rPr>
          <w:rFonts w:eastAsia="Calibri" w:cs="Arial"/>
          <w:color w:val="000000"/>
          <w:szCs w:val="21"/>
        </w:rPr>
        <w:tab/>
      </w:r>
      <w:r w:rsidRPr="00D53B04">
        <w:rPr>
          <w:rFonts w:eastAsia="Calibri" w:cs="Arial"/>
          <w:color w:val="000000"/>
          <w:szCs w:val="21"/>
        </w:rPr>
        <w:tab/>
        <w:t>: Parc Marin des Mangroves</w:t>
      </w:r>
    </w:p>
    <w:p w14:paraId="31B98C4A" w14:textId="77777777" w:rsidR="001C2F95" w:rsidRPr="00D53B04" w:rsidRDefault="001C2F95" w:rsidP="001C2F95">
      <w:pPr>
        <w:rPr>
          <w:rFonts w:eastAsia="Calibri" w:cs="Arial"/>
          <w:color w:val="000000"/>
          <w:szCs w:val="21"/>
        </w:rPr>
      </w:pPr>
      <w:r w:rsidRPr="00D53B04">
        <w:rPr>
          <w:rFonts w:eastAsia="Calibri" w:cs="Arial"/>
          <w:color w:val="000000"/>
          <w:szCs w:val="21"/>
        </w:rPr>
        <w:t>PMNSE </w:t>
      </w:r>
      <w:r w:rsidRPr="00D53B04">
        <w:rPr>
          <w:rFonts w:eastAsia="Calibri" w:cs="Arial"/>
          <w:color w:val="000000"/>
          <w:szCs w:val="21"/>
        </w:rPr>
        <w:tab/>
        <w:t>: Projet Multisectoriel de Nutrition et Santé de l'Enfant</w:t>
      </w:r>
    </w:p>
    <w:p w14:paraId="3647C6CE" w14:textId="77777777" w:rsidR="001C2F95" w:rsidRPr="00D53B04" w:rsidRDefault="001C2F95" w:rsidP="001C2F95">
      <w:pPr>
        <w:rPr>
          <w:rFonts w:eastAsia="Calibri" w:cs="Arial"/>
          <w:color w:val="000000"/>
          <w:szCs w:val="21"/>
        </w:rPr>
      </w:pPr>
      <w:r w:rsidRPr="00D53B04">
        <w:rPr>
          <w:rFonts w:eastAsia="Calibri" w:cs="Arial"/>
          <w:color w:val="000000"/>
          <w:szCs w:val="21"/>
        </w:rPr>
        <w:t>PMPP </w:t>
      </w:r>
      <w:r w:rsidRPr="00D53B04">
        <w:rPr>
          <w:rFonts w:eastAsia="Calibri" w:cs="Arial"/>
          <w:color w:val="000000"/>
          <w:szCs w:val="21"/>
        </w:rPr>
        <w:tab/>
      </w:r>
      <w:r w:rsidRPr="00D53B04">
        <w:rPr>
          <w:rFonts w:eastAsia="Calibri" w:cs="Arial"/>
          <w:color w:val="000000"/>
          <w:szCs w:val="21"/>
        </w:rPr>
        <w:tab/>
        <w:t>: Plan de Mobilisation des Parties Prenantes</w:t>
      </w:r>
    </w:p>
    <w:p w14:paraId="7AA29118" w14:textId="77777777" w:rsidR="001C2F95" w:rsidRPr="00D53B04" w:rsidRDefault="001C2F95" w:rsidP="001C2F95">
      <w:pPr>
        <w:rPr>
          <w:rFonts w:eastAsia="Calibri" w:cs="Arial"/>
          <w:color w:val="000000"/>
          <w:szCs w:val="21"/>
        </w:rPr>
      </w:pPr>
      <w:r w:rsidRPr="00D53B04">
        <w:rPr>
          <w:rFonts w:eastAsia="Calibri" w:cs="Arial"/>
          <w:color w:val="000000"/>
          <w:szCs w:val="21"/>
        </w:rPr>
        <w:t xml:space="preserve">PNAE </w:t>
      </w:r>
      <w:r w:rsidRPr="00D53B04">
        <w:rPr>
          <w:rFonts w:eastAsia="Calibri" w:cs="Arial"/>
          <w:color w:val="000000"/>
          <w:szCs w:val="21"/>
        </w:rPr>
        <w:tab/>
      </w:r>
      <w:r w:rsidRPr="00D53B04">
        <w:rPr>
          <w:rFonts w:eastAsia="Calibri" w:cs="Arial"/>
          <w:color w:val="000000"/>
          <w:szCs w:val="21"/>
        </w:rPr>
        <w:tab/>
        <w:t>: Plan National d’Action Environnemental</w:t>
      </w:r>
    </w:p>
    <w:p w14:paraId="49A531C4" w14:textId="77777777" w:rsidR="001C2F95" w:rsidRPr="00D53B04" w:rsidRDefault="001C2F95" w:rsidP="001C2F95">
      <w:pPr>
        <w:rPr>
          <w:rFonts w:eastAsia="Calibri" w:cs="Arial"/>
          <w:color w:val="000000"/>
          <w:szCs w:val="21"/>
        </w:rPr>
      </w:pPr>
      <w:r w:rsidRPr="00D53B04">
        <w:rPr>
          <w:rFonts w:eastAsia="Calibri" w:cs="Arial"/>
          <w:color w:val="000000"/>
          <w:szCs w:val="21"/>
        </w:rPr>
        <w:t>PNDA </w:t>
      </w:r>
      <w:r w:rsidRPr="00D53B04">
        <w:rPr>
          <w:rFonts w:eastAsia="Calibri" w:cs="Arial"/>
          <w:color w:val="000000"/>
          <w:szCs w:val="21"/>
        </w:rPr>
        <w:tab/>
      </w:r>
      <w:r w:rsidRPr="00D53B04">
        <w:rPr>
          <w:rFonts w:eastAsia="Calibri" w:cs="Arial"/>
          <w:color w:val="000000"/>
          <w:szCs w:val="21"/>
        </w:rPr>
        <w:tab/>
        <w:t>: Programme National de Développement Agricole</w:t>
      </w:r>
    </w:p>
    <w:p w14:paraId="61730358" w14:textId="77777777" w:rsidR="001C2F95" w:rsidRPr="00D53B04" w:rsidRDefault="001C2F95" w:rsidP="001C2F95">
      <w:pPr>
        <w:rPr>
          <w:rFonts w:eastAsia="Calibri" w:cs="Arial"/>
          <w:color w:val="000000"/>
          <w:szCs w:val="21"/>
        </w:rPr>
      </w:pPr>
      <w:r w:rsidRPr="00D53B04">
        <w:rPr>
          <w:rFonts w:eastAsia="Calibri" w:cs="Arial"/>
          <w:color w:val="000000"/>
          <w:szCs w:val="21"/>
        </w:rPr>
        <w:t>PNDS</w:t>
      </w:r>
      <w:r w:rsidRPr="00D53B04">
        <w:rPr>
          <w:rFonts w:eastAsia="Calibri" w:cs="Arial"/>
          <w:color w:val="000000"/>
          <w:szCs w:val="21"/>
        </w:rPr>
        <w:tab/>
      </w:r>
      <w:r w:rsidRPr="00D53B04">
        <w:rPr>
          <w:rFonts w:eastAsia="Calibri" w:cs="Arial"/>
          <w:color w:val="000000"/>
          <w:szCs w:val="21"/>
        </w:rPr>
        <w:tab/>
        <w:t xml:space="preserve">: </w:t>
      </w:r>
      <w:r w:rsidRPr="00D53B04">
        <w:rPr>
          <w:rFonts w:cs="Arial"/>
          <w:color w:val="000000"/>
          <w:szCs w:val="21"/>
          <w:lang w:eastAsia="en-US"/>
        </w:rPr>
        <w:t>Plan National de Développement Sanitaire</w:t>
      </w:r>
    </w:p>
    <w:p w14:paraId="14542A54" w14:textId="77777777" w:rsidR="001C2F95" w:rsidRPr="00D53B04" w:rsidRDefault="001C2F95" w:rsidP="001C2F95">
      <w:pPr>
        <w:rPr>
          <w:rFonts w:eastAsia="Calibri" w:cs="Arial"/>
          <w:color w:val="000000"/>
          <w:szCs w:val="21"/>
        </w:rPr>
      </w:pPr>
      <w:r w:rsidRPr="00D53B04">
        <w:rPr>
          <w:rFonts w:eastAsia="Calibri" w:cs="Arial"/>
          <w:color w:val="000000"/>
          <w:szCs w:val="21"/>
        </w:rPr>
        <w:t>PNPS</w:t>
      </w:r>
      <w:r w:rsidRPr="00D53B04">
        <w:rPr>
          <w:rFonts w:eastAsia="Calibri" w:cs="Arial"/>
          <w:color w:val="000000"/>
          <w:szCs w:val="21"/>
        </w:rPr>
        <w:tab/>
      </w:r>
      <w:r w:rsidRPr="00D53B04">
        <w:rPr>
          <w:rFonts w:eastAsia="Calibri" w:cs="Arial"/>
          <w:color w:val="000000"/>
          <w:szCs w:val="21"/>
        </w:rPr>
        <w:tab/>
        <w:t>: Programme National d'appui à la Protection Sociale</w:t>
      </w:r>
    </w:p>
    <w:p w14:paraId="7BE88671" w14:textId="77777777" w:rsidR="001C2F95" w:rsidRPr="00D53B04" w:rsidRDefault="001C2F95" w:rsidP="001C2F95">
      <w:pPr>
        <w:rPr>
          <w:rFonts w:eastAsia="Calibri" w:cs="Arial"/>
          <w:color w:val="000000"/>
          <w:szCs w:val="21"/>
        </w:rPr>
      </w:pPr>
      <w:r w:rsidRPr="00D53B04">
        <w:rPr>
          <w:rFonts w:eastAsia="Calibri" w:cs="Arial"/>
          <w:color w:val="000000"/>
          <w:szCs w:val="21"/>
        </w:rPr>
        <w:t>PNUD</w:t>
      </w:r>
      <w:r w:rsidRPr="00D53B04">
        <w:rPr>
          <w:rFonts w:eastAsia="Calibri" w:cs="Arial"/>
          <w:color w:val="000000"/>
          <w:szCs w:val="21"/>
        </w:rPr>
        <w:tab/>
      </w:r>
      <w:r w:rsidRPr="00D53B04">
        <w:rPr>
          <w:rFonts w:eastAsia="Calibri" w:cs="Arial"/>
          <w:color w:val="000000"/>
          <w:szCs w:val="21"/>
        </w:rPr>
        <w:tab/>
        <w:t>: Programme des Nations Unies pour le Développement</w:t>
      </w:r>
    </w:p>
    <w:p w14:paraId="227AAA84" w14:textId="77777777" w:rsidR="001C2F95" w:rsidRPr="00D53B04" w:rsidRDefault="001C2F95" w:rsidP="001C2F95">
      <w:pPr>
        <w:rPr>
          <w:rFonts w:cs="Arial"/>
          <w:color w:val="000000"/>
          <w:szCs w:val="21"/>
        </w:rPr>
      </w:pPr>
      <w:r w:rsidRPr="00D53B04">
        <w:rPr>
          <w:rFonts w:eastAsia="Calibri" w:cs="Arial"/>
          <w:color w:val="000000"/>
          <w:szCs w:val="21"/>
        </w:rPr>
        <w:t>PNV</w:t>
      </w:r>
      <w:r w:rsidRPr="00D53B04">
        <w:rPr>
          <w:rFonts w:eastAsia="Calibri" w:cs="Arial"/>
          <w:color w:val="000000"/>
          <w:szCs w:val="21"/>
        </w:rPr>
        <w:tab/>
      </w:r>
      <w:r w:rsidRPr="00D53B04">
        <w:rPr>
          <w:rFonts w:eastAsia="Calibri" w:cs="Arial"/>
          <w:color w:val="000000"/>
          <w:szCs w:val="21"/>
        </w:rPr>
        <w:tab/>
        <w:t>: Parc National de Virunga</w:t>
      </w:r>
    </w:p>
    <w:p w14:paraId="56EC6165" w14:textId="77777777" w:rsidR="001C2F95" w:rsidRPr="00D53B04" w:rsidRDefault="001C2F95" w:rsidP="001C2F95">
      <w:pPr>
        <w:rPr>
          <w:rFonts w:cs="Arial"/>
          <w:szCs w:val="21"/>
        </w:rPr>
      </w:pPr>
      <w:r w:rsidRPr="00D53B04">
        <w:rPr>
          <w:rFonts w:cs="Arial"/>
          <w:szCs w:val="21"/>
        </w:rPr>
        <w:t>PO/OP</w:t>
      </w:r>
      <w:r w:rsidRPr="00D53B04">
        <w:rPr>
          <w:rFonts w:cs="Arial"/>
          <w:szCs w:val="21"/>
        </w:rPr>
        <w:tab/>
      </w:r>
      <w:r w:rsidRPr="00D53B04">
        <w:rPr>
          <w:rFonts w:cs="Arial"/>
          <w:szCs w:val="21"/>
        </w:rPr>
        <w:tab/>
        <w:t>: Politique Opérationnelle/Operational Policy</w:t>
      </w:r>
    </w:p>
    <w:p w14:paraId="4561388E" w14:textId="77777777" w:rsidR="001C2F95" w:rsidRPr="00D53B04" w:rsidRDefault="001C2F95" w:rsidP="001C2F95">
      <w:pPr>
        <w:rPr>
          <w:rFonts w:cs="Arial"/>
          <w:szCs w:val="21"/>
        </w:rPr>
      </w:pPr>
      <w:r w:rsidRPr="00D53B04">
        <w:rPr>
          <w:rFonts w:cs="Arial"/>
          <w:szCs w:val="21"/>
        </w:rPr>
        <w:t>PPA</w:t>
      </w:r>
      <w:r w:rsidRPr="00D53B04">
        <w:rPr>
          <w:rFonts w:cs="Arial"/>
          <w:szCs w:val="21"/>
        </w:rPr>
        <w:tab/>
      </w:r>
      <w:r w:rsidRPr="00D53B04">
        <w:rPr>
          <w:rFonts w:cs="Arial"/>
          <w:szCs w:val="21"/>
        </w:rPr>
        <w:tab/>
        <w:t>: Plan en faveur des Populations Autochtones</w:t>
      </w:r>
    </w:p>
    <w:p w14:paraId="3DC389C3" w14:textId="77777777" w:rsidR="001C2F95" w:rsidRPr="00D53B04" w:rsidRDefault="001C2F95" w:rsidP="001C2F95">
      <w:pPr>
        <w:rPr>
          <w:rFonts w:cs="Arial"/>
          <w:szCs w:val="21"/>
        </w:rPr>
      </w:pPr>
      <w:r w:rsidRPr="00D53B04">
        <w:rPr>
          <w:rFonts w:cs="Arial"/>
          <w:szCs w:val="21"/>
        </w:rPr>
        <w:t>PRONANUT </w:t>
      </w:r>
      <w:r w:rsidRPr="00D53B04">
        <w:rPr>
          <w:rFonts w:cs="Arial"/>
          <w:szCs w:val="21"/>
        </w:rPr>
        <w:tab/>
        <w:t>: Programme National de Nutrition</w:t>
      </w:r>
    </w:p>
    <w:p w14:paraId="2FF529AD" w14:textId="3C60BF3F" w:rsidR="00924D57" w:rsidRPr="00D53B04" w:rsidRDefault="00924D57" w:rsidP="001C2F95">
      <w:pPr>
        <w:rPr>
          <w:rFonts w:cs="Arial"/>
          <w:szCs w:val="21"/>
        </w:rPr>
      </w:pPr>
      <w:r w:rsidRPr="00D53B04">
        <w:rPr>
          <w:rFonts w:cs="Arial"/>
          <w:szCs w:val="21"/>
        </w:rPr>
        <w:t>R&amp;D</w:t>
      </w:r>
      <w:r w:rsidRPr="00D53B04">
        <w:rPr>
          <w:rFonts w:cs="Arial"/>
          <w:szCs w:val="21"/>
        </w:rPr>
        <w:tab/>
      </w:r>
      <w:r w:rsidRPr="00D53B04">
        <w:rPr>
          <w:rFonts w:cs="Arial"/>
          <w:szCs w:val="21"/>
        </w:rPr>
        <w:tab/>
        <w:t>: Récherche et Développement</w:t>
      </w:r>
    </w:p>
    <w:p w14:paraId="1188C014" w14:textId="77777777" w:rsidR="001C2F95" w:rsidRPr="00D53B04" w:rsidRDefault="001C2F95" w:rsidP="001C2F95">
      <w:pPr>
        <w:rPr>
          <w:rFonts w:cs="Arial"/>
          <w:szCs w:val="21"/>
        </w:rPr>
      </w:pPr>
      <w:r w:rsidRPr="00D53B04">
        <w:rPr>
          <w:rFonts w:cs="Arial"/>
          <w:szCs w:val="21"/>
        </w:rPr>
        <w:t>RN</w:t>
      </w:r>
      <w:r w:rsidRPr="00D53B04">
        <w:rPr>
          <w:rFonts w:cs="Arial"/>
          <w:szCs w:val="21"/>
        </w:rPr>
        <w:tab/>
      </w:r>
      <w:r w:rsidRPr="00D53B04">
        <w:rPr>
          <w:rFonts w:cs="Arial"/>
          <w:szCs w:val="21"/>
        </w:rPr>
        <w:tab/>
        <w:t>: Route Nationale</w:t>
      </w:r>
    </w:p>
    <w:p w14:paraId="73CE59DD" w14:textId="143FAC63" w:rsidR="00924D57" w:rsidRPr="00D53B04" w:rsidRDefault="00924D57" w:rsidP="00924D57">
      <w:pPr>
        <w:rPr>
          <w:rFonts w:cs="Arial"/>
          <w:szCs w:val="21"/>
        </w:rPr>
      </w:pPr>
      <w:r w:rsidRPr="00D53B04">
        <w:rPr>
          <w:rFonts w:cs="Arial"/>
          <w:szCs w:val="21"/>
        </w:rPr>
        <w:t>RNA</w:t>
      </w:r>
      <w:r w:rsidRPr="00D53B04">
        <w:rPr>
          <w:rFonts w:cs="Arial"/>
          <w:szCs w:val="21"/>
        </w:rPr>
        <w:tab/>
      </w:r>
      <w:r w:rsidRPr="00D53B04">
        <w:rPr>
          <w:rFonts w:cs="Arial"/>
          <w:szCs w:val="21"/>
        </w:rPr>
        <w:tab/>
        <w:t>: Registre National des Agriculteurs</w:t>
      </w:r>
    </w:p>
    <w:p w14:paraId="463D889F" w14:textId="77777777" w:rsidR="001C2F95" w:rsidRPr="00D53B04" w:rsidRDefault="001C2F95" w:rsidP="001C2F95">
      <w:pPr>
        <w:ind w:left="1560" w:hanging="1560"/>
        <w:rPr>
          <w:rFonts w:cs="Arial"/>
          <w:szCs w:val="21"/>
        </w:rPr>
      </w:pPr>
      <w:r w:rsidRPr="00D53B04">
        <w:rPr>
          <w:rFonts w:cs="Arial"/>
          <w:szCs w:val="21"/>
        </w:rPr>
        <w:t>RSES                : Responsable de Suivi environnemental et social de la coordination provinciale du PNDA</w:t>
      </w:r>
    </w:p>
    <w:p w14:paraId="41AF0EEF" w14:textId="77777777" w:rsidR="001C2F95" w:rsidRPr="00D53B04" w:rsidRDefault="001C2F95" w:rsidP="001C2F95">
      <w:pPr>
        <w:rPr>
          <w:rFonts w:cs="Arial"/>
          <w:szCs w:val="21"/>
        </w:rPr>
      </w:pPr>
      <w:r w:rsidRPr="00D53B04">
        <w:rPr>
          <w:rFonts w:cs="Arial"/>
          <w:szCs w:val="21"/>
        </w:rPr>
        <w:t xml:space="preserve">RDC </w:t>
      </w:r>
      <w:r w:rsidRPr="00D53B04">
        <w:rPr>
          <w:rFonts w:cs="Arial"/>
          <w:szCs w:val="21"/>
        </w:rPr>
        <w:tab/>
      </w:r>
      <w:r w:rsidRPr="00D53B04">
        <w:rPr>
          <w:rFonts w:cs="Arial"/>
          <w:szCs w:val="21"/>
        </w:rPr>
        <w:tab/>
        <w:t>: République Démocratique du Congo</w:t>
      </w:r>
    </w:p>
    <w:p w14:paraId="73DCB220" w14:textId="77777777" w:rsidR="001C2F95" w:rsidRPr="00D53B04" w:rsidRDefault="001C2F95" w:rsidP="001C2F95">
      <w:pPr>
        <w:ind w:left="1560" w:hanging="1560"/>
        <w:rPr>
          <w:rFonts w:cs="Arial"/>
          <w:szCs w:val="21"/>
        </w:rPr>
      </w:pPr>
      <w:r w:rsidRPr="00D53B04">
        <w:rPr>
          <w:rFonts w:cs="Arial"/>
          <w:szCs w:val="21"/>
        </w:rPr>
        <w:t>REPALEF      : Réseau des Populations Autochtones et Locales pour la gestion durable des Écosystèmes Forestiers</w:t>
      </w:r>
    </w:p>
    <w:p w14:paraId="74AA6484" w14:textId="77777777" w:rsidR="001C2F95" w:rsidRPr="00D53B04" w:rsidRDefault="001C2F95" w:rsidP="001C2F95">
      <w:pPr>
        <w:rPr>
          <w:rFonts w:eastAsia="Calibri" w:cs="Arial"/>
          <w:color w:val="000000"/>
          <w:szCs w:val="21"/>
        </w:rPr>
      </w:pPr>
      <w:r w:rsidRPr="00D53B04">
        <w:rPr>
          <w:rFonts w:cs="Arial"/>
          <w:szCs w:val="21"/>
        </w:rPr>
        <w:t>RT</w:t>
      </w:r>
      <w:r w:rsidRPr="00D53B04">
        <w:rPr>
          <w:rFonts w:cs="Arial"/>
          <w:szCs w:val="21"/>
        </w:rPr>
        <w:tab/>
      </w:r>
      <w:r w:rsidRPr="00D53B04">
        <w:rPr>
          <w:rFonts w:cs="Arial"/>
          <w:szCs w:val="21"/>
        </w:rPr>
        <w:tab/>
        <w:t xml:space="preserve">: Responsable Technique </w:t>
      </w:r>
    </w:p>
    <w:p w14:paraId="47DF1590" w14:textId="77777777" w:rsidR="001C2F95" w:rsidRPr="00D53B04" w:rsidRDefault="001C2F95" w:rsidP="001C2F95">
      <w:pPr>
        <w:rPr>
          <w:rFonts w:cs="Arial"/>
          <w:color w:val="000000"/>
          <w:szCs w:val="21"/>
        </w:rPr>
      </w:pPr>
      <w:r w:rsidRPr="00D53B04">
        <w:rPr>
          <w:rFonts w:cs="Arial"/>
          <w:color w:val="000000"/>
          <w:szCs w:val="21"/>
        </w:rPr>
        <w:t>RTM</w:t>
      </w:r>
      <w:r w:rsidRPr="00D53B04">
        <w:rPr>
          <w:rFonts w:cs="Arial"/>
          <w:color w:val="000000"/>
          <w:szCs w:val="21"/>
        </w:rPr>
        <w:tab/>
      </w:r>
      <w:r w:rsidRPr="00D53B04">
        <w:rPr>
          <w:rFonts w:cs="Arial"/>
          <w:color w:val="000000"/>
          <w:szCs w:val="21"/>
        </w:rPr>
        <w:tab/>
        <w:t xml:space="preserve">: </w:t>
      </w:r>
      <w:r w:rsidRPr="00D53B04">
        <w:rPr>
          <w:rFonts w:cs="Arial"/>
          <w:szCs w:val="21"/>
        </w:rPr>
        <w:t>Radio-Télé Matadi</w:t>
      </w:r>
    </w:p>
    <w:p w14:paraId="544B07A8" w14:textId="77777777" w:rsidR="001C2F95" w:rsidRPr="00D53B04" w:rsidRDefault="001C2F95" w:rsidP="001C2F95">
      <w:pPr>
        <w:rPr>
          <w:rFonts w:cs="Arial"/>
          <w:color w:val="000000"/>
          <w:szCs w:val="21"/>
        </w:rPr>
      </w:pPr>
      <w:r w:rsidRPr="00D53B04">
        <w:rPr>
          <w:rFonts w:cs="Arial"/>
          <w:color w:val="000000"/>
          <w:szCs w:val="21"/>
        </w:rPr>
        <w:t>RTNC</w:t>
      </w:r>
      <w:r w:rsidRPr="00D53B04">
        <w:rPr>
          <w:rFonts w:cs="Arial"/>
          <w:color w:val="000000"/>
          <w:szCs w:val="21"/>
        </w:rPr>
        <w:tab/>
      </w:r>
      <w:r w:rsidRPr="00D53B04">
        <w:rPr>
          <w:rFonts w:cs="Arial"/>
          <w:color w:val="000000"/>
          <w:szCs w:val="21"/>
        </w:rPr>
        <w:tab/>
        <w:t>: Radio-Télévision Nationale Congolaise</w:t>
      </w:r>
    </w:p>
    <w:p w14:paraId="5D71A9C5" w14:textId="77777777" w:rsidR="001C2F95" w:rsidRPr="00D53B04" w:rsidRDefault="001C2F95" w:rsidP="001C2F95">
      <w:pPr>
        <w:rPr>
          <w:rFonts w:cs="Arial"/>
          <w:bCs/>
          <w:szCs w:val="21"/>
        </w:rPr>
      </w:pPr>
      <w:r w:rsidRPr="00D53B04">
        <w:rPr>
          <w:rFonts w:cs="Arial"/>
          <w:szCs w:val="21"/>
        </w:rPr>
        <w:t>SSS</w:t>
      </w:r>
      <w:r w:rsidRPr="00D53B04">
        <w:rPr>
          <w:rFonts w:cs="Arial"/>
          <w:szCs w:val="21"/>
        </w:rPr>
        <w:tab/>
      </w:r>
      <w:r w:rsidRPr="00D53B04">
        <w:rPr>
          <w:rFonts w:cs="Arial"/>
          <w:szCs w:val="21"/>
        </w:rPr>
        <w:tab/>
        <w:t>: Spécialiste en Sauvegarde Sociale</w:t>
      </w:r>
    </w:p>
    <w:p w14:paraId="6C8AE06D" w14:textId="77777777" w:rsidR="001C2F95" w:rsidRPr="00D53B04" w:rsidRDefault="001C2F95" w:rsidP="001C2F95">
      <w:pPr>
        <w:rPr>
          <w:rFonts w:cs="Arial"/>
          <w:szCs w:val="21"/>
        </w:rPr>
      </w:pPr>
      <w:r w:rsidRPr="00D53B04">
        <w:rPr>
          <w:rFonts w:cs="Arial"/>
          <w:szCs w:val="21"/>
        </w:rPr>
        <w:t>SENADEP</w:t>
      </w:r>
      <w:r w:rsidRPr="00D53B04">
        <w:rPr>
          <w:rFonts w:cs="Arial"/>
          <w:szCs w:val="21"/>
        </w:rPr>
        <w:tab/>
        <w:t>: Service National de Promotion et de Développement de la Pêche</w:t>
      </w:r>
    </w:p>
    <w:p w14:paraId="26D0AB16" w14:textId="77777777" w:rsidR="001C2F95" w:rsidRPr="00D53B04" w:rsidRDefault="001C2F95" w:rsidP="001C2F95">
      <w:pPr>
        <w:rPr>
          <w:rFonts w:cs="Arial"/>
          <w:szCs w:val="21"/>
        </w:rPr>
      </w:pPr>
      <w:r w:rsidRPr="00D53B04">
        <w:rPr>
          <w:rFonts w:cs="Arial"/>
          <w:szCs w:val="21"/>
        </w:rPr>
        <w:t>SENAFIC</w:t>
      </w:r>
      <w:r w:rsidRPr="00D53B04">
        <w:rPr>
          <w:rFonts w:cs="Arial"/>
          <w:szCs w:val="21"/>
        </w:rPr>
        <w:tab/>
        <w:t>: Service National des Fertilisants et Intrants Connexes</w:t>
      </w:r>
    </w:p>
    <w:p w14:paraId="2E403DA4" w14:textId="77777777" w:rsidR="001C2F95" w:rsidRPr="00D53B04" w:rsidRDefault="001C2F95" w:rsidP="001C2F95">
      <w:pPr>
        <w:rPr>
          <w:rFonts w:cs="Arial"/>
          <w:szCs w:val="21"/>
        </w:rPr>
      </w:pPr>
      <w:r w:rsidRPr="00D53B04">
        <w:rPr>
          <w:rFonts w:cs="Arial"/>
          <w:szCs w:val="21"/>
        </w:rPr>
        <w:t>SENASEM </w:t>
      </w:r>
      <w:r w:rsidRPr="00D53B04">
        <w:rPr>
          <w:rFonts w:cs="Arial"/>
          <w:szCs w:val="21"/>
        </w:rPr>
        <w:tab/>
        <w:t>: Service National de Semences</w:t>
      </w:r>
    </w:p>
    <w:p w14:paraId="7BDB8275" w14:textId="2F28B85E" w:rsidR="00924D57" w:rsidRPr="00D53B04" w:rsidRDefault="00924D57" w:rsidP="001C2F95">
      <w:pPr>
        <w:rPr>
          <w:rFonts w:cs="Arial"/>
          <w:bCs/>
          <w:szCs w:val="21"/>
        </w:rPr>
      </w:pPr>
      <w:r w:rsidRPr="00D53B04">
        <w:rPr>
          <w:rFonts w:cs="Arial"/>
          <w:bCs/>
          <w:szCs w:val="21"/>
        </w:rPr>
        <w:lastRenderedPageBreak/>
        <w:t>SFI</w:t>
      </w:r>
      <w:r w:rsidRPr="00D53B04">
        <w:rPr>
          <w:rFonts w:cs="Arial"/>
          <w:bCs/>
          <w:szCs w:val="21"/>
        </w:rPr>
        <w:tab/>
      </w:r>
      <w:r w:rsidRPr="00D53B04">
        <w:rPr>
          <w:rFonts w:cs="Arial"/>
          <w:bCs/>
          <w:szCs w:val="21"/>
        </w:rPr>
        <w:tab/>
        <w:t>: Société Financière Internationale</w:t>
      </w:r>
    </w:p>
    <w:p w14:paraId="71897D77" w14:textId="77777777" w:rsidR="001C2F95" w:rsidRPr="00D53B04" w:rsidRDefault="001C2F95" w:rsidP="001C2F95">
      <w:pPr>
        <w:rPr>
          <w:rFonts w:cs="Arial"/>
          <w:bCs/>
          <w:szCs w:val="21"/>
        </w:rPr>
      </w:pPr>
      <w:r w:rsidRPr="00D53B04">
        <w:rPr>
          <w:rFonts w:cs="Arial"/>
          <w:bCs/>
          <w:szCs w:val="21"/>
        </w:rPr>
        <w:t>SGES</w:t>
      </w:r>
      <w:r w:rsidRPr="00D53B04">
        <w:rPr>
          <w:rFonts w:cs="Arial"/>
          <w:bCs/>
          <w:szCs w:val="21"/>
        </w:rPr>
        <w:tab/>
      </w:r>
      <w:r w:rsidRPr="00D53B04">
        <w:rPr>
          <w:rFonts w:cs="Arial"/>
          <w:bCs/>
          <w:szCs w:val="21"/>
        </w:rPr>
        <w:tab/>
        <w:t>: Système de Gestion Environnemental et Social</w:t>
      </w:r>
    </w:p>
    <w:p w14:paraId="429F239C" w14:textId="77777777" w:rsidR="001C2F95" w:rsidRPr="00D53B04" w:rsidRDefault="001C2F95" w:rsidP="001C2F95">
      <w:pPr>
        <w:rPr>
          <w:rFonts w:cs="Arial"/>
          <w:bCs/>
          <w:szCs w:val="21"/>
        </w:rPr>
      </w:pPr>
      <w:r w:rsidRPr="00D53B04">
        <w:rPr>
          <w:rFonts w:cs="Arial"/>
          <w:bCs/>
          <w:szCs w:val="21"/>
        </w:rPr>
        <w:t>SIDA</w:t>
      </w:r>
      <w:r w:rsidRPr="00D53B04">
        <w:rPr>
          <w:rFonts w:cs="Arial"/>
          <w:bCs/>
          <w:szCs w:val="21"/>
        </w:rPr>
        <w:tab/>
      </w:r>
      <w:r w:rsidRPr="00D53B04">
        <w:rPr>
          <w:rFonts w:cs="Arial"/>
          <w:bCs/>
          <w:szCs w:val="21"/>
        </w:rPr>
        <w:tab/>
        <w:t>: Syndrome d'Immunodéficience Acquise</w:t>
      </w:r>
    </w:p>
    <w:p w14:paraId="6E25E85E" w14:textId="77777777" w:rsidR="001C2F95" w:rsidRPr="00D53B04" w:rsidRDefault="001C2F95" w:rsidP="001C2F95">
      <w:pPr>
        <w:rPr>
          <w:rFonts w:cs="Arial"/>
          <w:szCs w:val="21"/>
        </w:rPr>
      </w:pPr>
      <w:r w:rsidRPr="00D53B04">
        <w:rPr>
          <w:rFonts w:cs="Arial"/>
          <w:szCs w:val="21"/>
        </w:rPr>
        <w:t xml:space="preserve">SNA </w:t>
      </w:r>
      <w:r w:rsidRPr="00D53B04">
        <w:rPr>
          <w:rFonts w:cs="Arial"/>
          <w:szCs w:val="21"/>
        </w:rPr>
        <w:tab/>
      </w:r>
      <w:r w:rsidRPr="00D53B04">
        <w:rPr>
          <w:rFonts w:cs="Arial"/>
          <w:szCs w:val="21"/>
        </w:rPr>
        <w:tab/>
        <w:t>: Stratégie Nationale d’Assainissement</w:t>
      </w:r>
    </w:p>
    <w:p w14:paraId="3F50500A" w14:textId="77777777" w:rsidR="001C2F95" w:rsidRPr="00D53B04" w:rsidRDefault="001C2F95" w:rsidP="001C2F95">
      <w:pPr>
        <w:rPr>
          <w:rFonts w:cs="Arial"/>
          <w:szCs w:val="21"/>
        </w:rPr>
      </w:pPr>
      <w:r w:rsidRPr="00D53B04">
        <w:rPr>
          <w:rFonts w:cs="Arial"/>
          <w:color w:val="000000"/>
          <w:szCs w:val="21"/>
        </w:rPr>
        <w:t xml:space="preserve">SNEL </w:t>
      </w:r>
      <w:r w:rsidRPr="00D53B04">
        <w:rPr>
          <w:rFonts w:cs="Arial"/>
          <w:color w:val="000000"/>
          <w:szCs w:val="21"/>
        </w:rPr>
        <w:tab/>
      </w:r>
      <w:r w:rsidRPr="00D53B04">
        <w:rPr>
          <w:rFonts w:cs="Arial"/>
          <w:color w:val="000000"/>
          <w:szCs w:val="21"/>
        </w:rPr>
        <w:tab/>
        <w:t>: Société Nationale d’Électricité</w:t>
      </w:r>
    </w:p>
    <w:p w14:paraId="071B6D12" w14:textId="77777777" w:rsidR="001C2F95" w:rsidRPr="00D53B04" w:rsidRDefault="001C2F95" w:rsidP="001C2F95">
      <w:pPr>
        <w:rPr>
          <w:rFonts w:cs="Arial"/>
          <w:szCs w:val="21"/>
        </w:rPr>
      </w:pPr>
      <w:r w:rsidRPr="00D53B04">
        <w:rPr>
          <w:rFonts w:cs="Arial"/>
          <w:szCs w:val="21"/>
        </w:rPr>
        <w:t>SNHR </w:t>
      </w:r>
      <w:r w:rsidRPr="00D53B04">
        <w:rPr>
          <w:rFonts w:cs="Arial"/>
          <w:szCs w:val="21"/>
        </w:rPr>
        <w:tab/>
      </w:r>
      <w:r w:rsidRPr="00D53B04">
        <w:rPr>
          <w:rFonts w:cs="Arial"/>
          <w:szCs w:val="21"/>
        </w:rPr>
        <w:tab/>
        <w:t>: Service National de l’Hydraulique Rurale</w:t>
      </w:r>
    </w:p>
    <w:p w14:paraId="4234126C" w14:textId="77777777" w:rsidR="001C2F95" w:rsidRPr="00D53B04" w:rsidRDefault="001C2F95" w:rsidP="001C2F95">
      <w:pPr>
        <w:rPr>
          <w:rFonts w:cs="Arial"/>
          <w:szCs w:val="21"/>
        </w:rPr>
      </w:pPr>
      <w:r w:rsidRPr="00D53B04">
        <w:rPr>
          <w:rFonts w:cs="Arial"/>
          <w:szCs w:val="21"/>
        </w:rPr>
        <w:t>SNV </w:t>
      </w:r>
      <w:r w:rsidRPr="00D53B04">
        <w:rPr>
          <w:rFonts w:cs="Arial"/>
          <w:szCs w:val="21"/>
        </w:rPr>
        <w:tab/>
      </w:r>
      <w:r w:rsidRPr="00D53B04">
        <w:rPr>
          <w:rFonts w:cs="Arial"/>
          <w:szCs w:val="21"/>
        </w:rPr>
        <w:tab/>
        <w:t>: Service National de Vulgarisation</w:t>
      </w:r>
    </w:p>
    <w:p w14:paraId="62B38CA1" w14:textId="77777777" w:rsidR="001C2F95" w:rsidRPr="00D53B04" w:rsidRDefault="001C2F95" w:rsidP="001C2F95">
      <w:pPr>
        <w:rPr>
          <w:rFonts w:cs="Arial"/>
          <w:szCs w:val="21"/>
        </w:rPr>
      </w:pPr>
      <w:r w:rsidRPr="00D53B04">
        <w:rPr>
          <w:rFonts w:cs="Arial"/>
          <w:szCs w:val="21"/>
        </w:rPr>
        <w:t xml:space="preserve">SNVBG </w:t>
      </w:r>
      <w:r w:rsidRPr="00D53B04">
        <w:rPr>
          <w:rFonts w:cs="Arial"/>
          <w:szCs w:val="21"/>
        </w:rPr>
        <w:tab/>
        <w:t>: Stratégie Nationale de Lutte contre les Violences Basées sur le Genre</w:t>
      </w:r>
    </w:p>
    <w:p w14:paraId="1D26DCB3" w14:textId="77777777" w:rsidR="001C2F95" w:rsidRPr="00D53B04" w:rsidRDefault="001C2F95" w:rsidP="001C2F95">
      <w:pPr>
        <w:rPr>
          <w:rFonts w:cs="Arial"/>
          <w:szCs w:val="21"/>
        </w:rPr>
      </w:pPr>
      <w:r w:rsidRPr="00D53B04">
        <w:rPr>
          <w:rFonts w:cs="Arial"/>
          <w:szCs w:val="21"/>
        </w:rPr>
        <w:t xml:space="preserve">SPM </w:t>
      </w:r>
      <w:r w:rsidRPr="00D53B04">
        <w:rPr>
          <w:rFonts w:cs="Arial"/>
          <w:szCs w:val="21"/>
        </w:rPr>
        <w:tab/>
      </w:r>
      <w:r w:rsidRPr="00D53B04">
        <w:rPr>
          <w:rFonts w:cs="Arial"/>
          <w:szCs w:val="21"/>
        </w:rPr>
        <w:tab/>
        <w:t>: Spécialiste en Passation des Marchés</w:t>
      </w:r>
    </w:p>
    <w:p w14:paraId="76ED7B31" w14:textId="77777777" w:rsidR="001C2F95" w:rsidRPr="00D53B04" w:rsidRDefault="001C2F95" w:rsidP="001C2F95">
      <w:pPr>
        <w:rPr>
          <w:rFonts w:cs="Arial"/>
          <w:szCs w:val="21"/>
        </w:rPr>
      </w:pPr>
      <w:r w:rsidRPr="00D53B04">
        <w:rPr>
          <w:rFonts w:cs="Arial"/>
          <w:szCs w:val="21"/>
        </w:rPr>
        <w:t>SSADR</w:t>
      </w:r>
      <w:r w:rsidRPr="00D53B04">
        <w:rPr>
          <w:rFonts w:cs="Arial"/>
          <w:szCs w:val="21"/>
        </w:rPr>
        <w:tab/>
        <w:t xml:space="preserve">: </w:t>
      </w:r>
      <w:r w:rsidRPr="00D53B04">
        <w:rPr>
          <w:rFonts w:cs="Arial"/>
          <w:color w:val="000000"/>
          <w:szCs w:val="21"/>
          <w:lang w:eastAsia="en-US"/>
        </w:rPr>
        <w:t>Stratégie Sectorielle de l’Agriculture et du Développement Rural</w:t>
      </w:r>
    </w:p>
    <w:p w14:paraId="0F9C0189" w14:textId="77777777" w:rsidR="001C2F95" w:rsidRPr="00D53B04" w:rsidRDefault="001C2F95" w:rsidP="001C2F95">
      <w:pPr>
        <w:rPr>
          <w:rFonts w:cs="Arial"/>
          <w:szCs w:val="21"/>
        </w:rPr>
      </w:pPr>
      <w:r w:rsidRPr="00D53B04">
        <w:rPr>
          <w:rFonts w:cs="Arial"/>
          <w:szCs w:val="21"/>
        </w:rPr>
        <w:t xml:space="preserve">SSE </w:t>
      </w:r>
      <w:r w:rsidRPr="00D53B04">
        <w:rPr>
          <w:rFonts w:cs="Arial"/>
          <w:szCs w:val="21"/>
        </w:rPr>
        <w:tab/>
      </w:r>
      <w:r w:rsidRPr="00D53B04">
        <w:rPr>
          <w:rFonts w:cs="Arial"/>
          <w:szCs w:val="21"/>
        </w:rPr>
        <w:tab/>
        <w:t>: Spécialiste en Sauvegarde Environnementale</w:t>
      </w:r>
    </w:p>
    <w:p w14:paraId="6EF3ACA0" w14:textId="77777777" w:rsidR="001C2F95" w:rsidRPr="00D53B04" w:rsidRDefault="001C2F95" w:rsidP="001C2F95">
      <w:pPr>
        <w:rPr>
          <w:rFonts w:cs="Arial"/>
          <w:szCs w:val="21"/>
        </w:rPr>
      </w:pPr>
      <w:r w:rsidRPr="00D53B04">
        <w:rPr>
          <w:rFonts w:cs="Arial"/>
          <w:szCs w:val="21"/>
        </w:rPr>
        <w:t>SSES</w:t>
      </w:r>
      <w:r w:rsidRPr="00D53B04">
        <w:rPr>
          <w:rFonts w:cs="Arial"/>
          <w:szCs w:val="21"/>
        </w:rPr>
        <w:tab/>
      </w:r>
      <w:r w:rsidRPr="00D53B04">
        <w:rPr>
          <w:rFonts w:cs="Arial"/>
          <w:szCs w:val="21"/>
        </w:rPr>
        <w:tab/>
        <w:t xml:space="preserve">: Spécialistes </w:t>
      </w:r>
      <w:r w:rsidRPr="00D53B04">
        <w:rPr>
          <w:rFonts w:cs="Arial"/>
          <w:color w:val="000000"/>
          <w:szCs w:val="21"/>
        </w:rPr>
        <w:t>en Sauvegardes Environnementale et Sociale</w:t>
      </w:r>
    </w:p>
    <w:p w14:paraId="15325763" w14:textId="77777777" w:rsidR="001C2F95" w:rsidRPr="00D53B04" w:rsidRDefault="001C2F95" w:rsidP="001C2F95">
      <w:pPr>
        <w:rPr>
          <w:rFonts w:cs="Arial"/>
          <w:szCs w:val="21"/>
        </w:rPr>
      </w:pPr>
      <w:r w:rsidRPr="00D53B04">
        <w:rPr>
          <w:rFonts w:cs="Arial"/>
          <w:szCs w:val="21"/>
        </w:rPr>
        <w:t xml:space="preserve">S-SE </w:t>
      </w:r>
      <w:r w:rsidRPr="00D53B04">
        <w:rPr>
          <w:rFonts w:cs="Arial"/>
          <w:szCs w:val="21"/>
        </w:rPr>
        <w:tab/>
      </w:r>
      <w:r w:rsidRPr="00D53B04">
        <w:rPr>
          <w:rFonts w:cs="Arial"/>
          <w:szCs w:val="21"/>
        </w:rPr>
        <w:tab/>
        <w:t>: Spécialiste en Suivi-Évaluation</w:t>
      </w:r>
    </w:p>
    <w:p w14:paraId="474F1BC0" w14:textId="77777777" w:rsidR="001C2F95" w:rsidRPr="00D53B04" w:rsidRDefault="001C2F95" w:rsidP="001C2F95">
      <w:pPr>
        <w:rPr>
          <w:rFonts w:cs="Arial"/>
          <w:szCs w:val="21"/>
        </w:rPr>
      </w:pPr>
      <w:r w:rsidRPr="00D53B04">
        <w:rPr>
          <w:rFonts w:cs="Arial"/>
          <w:szCs w:val="21"/>
        </w:rPr>
        <w:t>SST</w:t>
      </w:r>
      <w:r w:rsidRPr="00D53B04">
        <w:rPr>
          <w:rFonts w:cs="Arial"/>
          <w:szCs w:val="21"/>
        </w:rPr>
        <w:tab/>
      </w:r>
      <w:r w:rsidRPr="00D53B04">
        <w:rPr>
          <w:rFonts w:cs="Arial"/>
          <w:szCs w:val="21"/>
        </w:rPr>
        <w:tab/>
        <w:t>: Santé et Sécurité au Travail</w:t>
      </w:r>
    </w:p>
    <w:p w14:paraId="40E863BA" w14:textId="77777777" w:rsidR="001C2F95" w:rsidRPr="00D53B04" w:rsidRDefault="001C2F95" w:rsidP="001C2F95">
      <w:pPr>
        <w:rPr>
          <w:rFonts w:cs="Arial"/>
          <w:szCs w:val="21"/>
        </w:rPr>
      </w:pPr>
      <w:r w:rsidRPr="00D53B04">
        <w:rPr>
          <w:rFonts w:cs="Arial"/>
          <w:szCs w:val="21"/>
        </w:rPr>
        <w:t>TDR</w:t>
      </w:r>
      <w:r w:rsidRPr="00D53B04">
        <w:rPr>
          <w:rFonts w:cs="Arial"/>
          <w:szCs w:val="21"/>
        </w:rPr>
        <w:tab/>
      </w:r>
      <w:r w:rsidRPr="00D53B04">
        <w:rPr>
          <w:rFonts w:cs="Arial"/>
          <w:szCs w:val="21"/>
        </w:rPr>
        <w:tab/>
        <w:t>: Termes de Référence</w:t>
      </w:r>
    </w:p>
    <w:p w14:paraId="2E469B48" w14:textId="77777777" w:rsidR="001C2F95" w:rsidRPr="00D53B04" w:rsidRDefault="001C2F95" w:rsidP="001C2F95">
      <w:pPr>
        <w:rPr>
          <w:rFonts w:cs="Arial"/>
          <w:bCs/>
          <w:color w:val="1E1E1E"/>
          <w:szCs w:val="21"/>
        </w:rPr>
      </w:pPr>
      <w:r w:rsidRPr="00D53B04">
        <w:rPr>
          <w:rFonts w:eastAsia="Calibri" w:cs="Arial"/>
          <w:color w:val="000000"/>
          <w:szCs w:val="21"/>
        </w:rPr>
        <w:t xml:space="preserve">UES </w:t>
      </w:r>
      <w:r w:rsidRPr="00D53B04">
        <w:rPr>
          <w:rFonts w:eastAsia="Calibri" w:cs="Arial"/>
          <w:color w:val="000000"/>
          <w:szCs w:val="21"/>
        </w:rPr>
        <w:tab/>
      </w:r>
      <w:r w:rsidRPr="00D53B04">
        <w:rPr>
          <w:rFonts w:eastAsia="Calibri" w:cs="Arial"/>
          <w:color w:val="000000"/>
          <w:szCs w:val="21"/>
        </w:rPr>
        <w:tab/>
        <w:t>: Unité Environnementale et Sociale</w:t>
      </w:r>
    </w:p>
    <w:p w14:paraId="65BFE249" w14:textId="77777777" w:rsidR="001C2F95" w:rsidRPr="00D53B04" w:rsidRDefault="001C2F95" w:rsidP="001C2F95">
      <w:pPr>
        <w:rPr>
          <w:rFonts w:cs="Arial"/>
          <w:szCs w:val="21"/>
        </w:rPr>
      </w:pPr>
      <w:r w:rsidRPr="00D53B04">
        <w:rPr>
          <w:rFonts w:cs="Arial"/>
          <w:szCs w:val="21"/>
        </w:rPr>
        <w:t>UNCP </w:t>
      </w:r>
      <w:r w:rsidRPr="00D53B04">
        <w:rPr>
          <w:rFonts w:cs="Arial"/>
          <w:szCs w:val="21"/>
        </w:rPr>
        <w:tab/>
      </w:r>
      <w:r w:rsidRPr="00D53B04">
        <w:rPr>
          <w:rFonts w:cs="Arial"/>
          <w:szCs w:val="21"/>
        </w:rPr>
        <w:tab/>
        <w:t>: Unité Nationale de Coordination du Projet</w:t>
      </w:r>
    </w:p>
    <w:p w14:paraId="0D58EF27" w14:textId="77777777" w:rsidR="001C2F95" w:rsidRPr="00D53B04" w:rsidRDefault="001C2F95" w:rsidP="001C2F95">
      <w:pPr>
        <w:rPr>
          <w:rFonts w:cs="Arial"/>
          <w:szCs w:val="21"/>
        </w:rPr>
      </w:pPr>
      <w:r w:rsidRPr="00D53B04">
        <w:rPr>
          <w:rFonts w:cs="Arial"/>
          <w:szCs w:val="21"/>
        </w:rPr>
        <w:t>UNIKIN</w:t>
      </w:r>
      <w:r w:rsidRPr="00D53B04">
        <w:rPr>
          <w:rFonts w:cs="Arial"/>
          <w:szCs w:val="21"/>
        </w:rPr>
        <w:tab/>
        <w:t>: Université de Kinshasa</w:t>
      </w:r>
    </w:p>
    <w:p w14:paraId="27DB5C79" w14:textId="77777777" w:rsidR="001C2F95" w:rsidRPr="00D53B04" w:rsidRDefault="001C2F95" w:rsidP="001C2F95">
      <w:pPr>
        <w:rPr>
          <w:rFonts w:cs="Arial"/>
          <w:szCs w:val="21"/>
        </w:rPr>
      </w:pPr>
      <w:r w:rsidRPr="00D53B04">
        <w:rPr>
          <w:rFonts w:cs="Arial"/>
          <w:szCs w:val="21"/>
        </w:rPr>
        <w:t>UNFPA</w:t>
      </w:r>
      <w:r w:rsidRPr="00D53B04">
        <w:rPr>
          <w:rFonts w:cs="Arial"/>
          <w:szCs w:val="21"/>
        </w:rPr>
        <w:tab/>
        <w:t>: Fonds des Nations Unies pour la Population</w:t>
      </w:r>
    </w:p>
    <w:p w14:paraId="2577555E" w14:textId="77777777" w:rsidR="001C2F95" w:rsidRPr="00D53B04" w:rsidRDefault="001C2F95" w:rsidP="001C2F95">
      <w:pPr>
        <w:rPr>
          <w:rFonts w:cs="Arial"/>
          <w:bCs/>
          <w:szCs w:val="21"/>
        </w:rPr>
      </w:pPr>
      <w:r w:rsidRPr="00D53B04">
        <w:rPr>
          <w:rFonts w:cs="Arial"/>
          <w:bCs/>
          <w:szCs w:val="21"/>
        </w:rPr>
        <w:t>UNOPS </w:t>
      </w:r>
      <w:r w:rsidRPr="00D53B04">
        <w:rPr>
          <w:rFonts w:cs="Arial"/>
          <w:bCs/>
          <w:szCs w:val="21"/>
        </w:rPr>
        <w:tab/>
        <w:t xml:space="preserve">: </w:t>
      </w:r>
      <w:r w:rsidRPr="00D53B04">
        <w:rPr>
          <w:rFonts w:cs="Arial"/>
          <w:color w:val="222222"/>
          <w:szCs w:val="21"/>
          <w:shd w:val="clear" w:color="auto" w:fill="FFFFFF"/>
        </w:rPr>
        <w:t>Bureau des Nations Unies pour les services d'appui aux Projets </w:t>
      </w:r>
    </w:p>
    <w:p w14:paraId="6E12AE98" w14:textId="77777777" w:rsidR="001C2F95" w:rsidRPr="00D53B04" w:rsidRDefault="001C2F95" w:rsidP="001C2F95">
      <w:pPr>
        <w:rPr>
          <w:rFonts w:cs="Arial"/>
          <w:szCs w:val="21"/>
        </w:rPr>
      </w:pPr>
      <w:r w:rsidRPr="00D53B04">
        <w:rPr>
          <w:rFonts w:cs="Arial"/>
          <w:szCs w:val="21"/>
        </w:rPr>
        <w:t>USD</w:t>
      </w:r>
      <w:r w:rsidRPr="00D53B04">
        <w:rPr>
          <w:rFonts w:cs="Arial"/>
          <w:szCs w:val="21"/>
        </w:rPr>
        <w:tab/>
      </w:r>
      <w:r w:rsidRPr="00D53B04">
        <w:rPr>
          <w:rFonts w:cs="Arial"/>
          <w:szCs w:val="21"/>
        </w:rPr>
        <w:tab/>
        <w:t>: Dollars américains</w:t>
      </w:r>
    </w:p>
    <w:p w14:paraId="5DC0E6F1" w14:textId="77777777" w:rsidR="001C2F95" w:rsidRPr="00D53B04" w:rsidRDefault="001C2F95" w:rsidP="001C2F95">
      <w:pPr>
        <w:rPr>
          <w:rFonts w:cs="Arial"/>
          <w:szCs w:val="21"/>
        </w:rPr>
      </w:pPr>
      <w:r w:rsidRPr="00D53B04">
        <w:rPr>
          <w:rFonts w:cs="Arial"/>
          <w:szCs w:val="21"/>
        </w:rPr>
        <w:t>VBG </w:t>
      </w:r>
      <w:r w:rsidRPr="00D53B04">
        <w:rPr>
          <w:rFonts w:cs="Arial"/>
          <w:szCs w:val="21"/>
        </w:rPr>
        <w:tab/>
      </w:r>
      <w:r w:rsidRPr="00D53B04">
        <w:rPr>
          <w:rFonts w:cs="Arial"/>
          <w:szCs w:val="21"/>
        </w:rPr>
        <w:tab/>
        <w:t>: Violences Basées sur le Genre</w:t>
      </w:r>
    </w:p>
    <w:p w14:paraId="4C6890C7" w14:textId="77777777" w:rsidR="001C2F95" w:rsidRPr="00D53B04" w:rsidRDefault="001C2F95" w:rsidP="001C2F95">
      <w:pPr>
        <w:rPr>
          <w:rFonts w:cs="Arial"/>
          <w:bCs/>
          <w:szCs w:val="21"/>
        </w:rPr>
      </w:pPr>
      <w:r w:rsidRPr="00D53B04">
        <w:rPr>
          <w:rFonts w:cs="Arial"/>
          <w:bCs/>
          <w:szCs w:val="21"/>
        </w:rPr>
        <w:t>VCE</w:t>
      </w:r>
      <w:r w:rsidRPr="00D53B04">
        <w:rPr>
          <w:rFonts w:cs="Arial"/>
          <w:bCs/>
          <w:szCs w:val="21"/>
        </w:rPr>
        <w:tab/>
      </w:r>
      <w:r w:rsidRPr="00D53B04">
        <w:rPr>
          <w:rFonts w:cs="Arial"/>
          <w:bCs/>
          <w:szCs w:val="21"/>
        </w:rPr>
        <w:tab/>
        <w:t>: Violences Contre les Enfants</w:t>
      </w:r>
    </w:p>
    <w:p w14:paraId="62870B57" w14:textId="77777777" w:rsidR="001C2F95" w:rsidRPr="00D53B04" w:rsidRDefault="001C2F95" w:rsidP="001C2F95">
      <w:pPr>
        <w:rPr>
          <w:rFonts w:cs="Arial"/>
          <w:bCs/>
          <w:szCs w:val="21"/>
        </w:rPr>
      </w:pPr>
      <w:r w:rsidRPr="00D53B04">
        <w:rPr>
          <w:rFonts w:cs="Arial"/>
          <w:bCs/>
          <w:szCs w:val="21"/>
        </w:rPr>
        <w:t>VIH</w:t>
      </w:r>
      <w:r w:rsidRPr="00D53B04">
        <w:rPr>
          <w:rFonts w:cs="Arial"/>
          <w:bCs/>
          <w:szCs w:val="21"/>
        </w:rPr>
        <w:tab/>
      </w:r>
      <w:r w:rsidRPr="00D53B04">
        <w:rPr>
          <w:rFonts w:cs="Arial"/>
          <w:bCs/>
          <w:szCs w:val="21"/>
        </w:rPr>
        <w:tab/>
        <w:t>: Virus de l’Immunodéficience Humaine</w:t>
      </w:r>
    </w:p>
    <w:p w14:paraId="71CAFBC4" w14:textId="77777777" w:rsidR="001C2F95" w:rsidRPr="00D53B04" w:rsidRDefault="001C2F95" w:rsidP="001C2F95">
      <w:pPr>
        <w:rPr>
          <w:rFonts w:cs="Arial"/>
          <w:bCs/>
          <w:szCs w:val="21"/>
        </w:rPr>
      </w:pPr>
      <w:r w:rsidRPr="00D53B04">
        <w:rPr>
          <w:rFonts w:cs="Arial"/>
          <w:color w:val="222222"/>
          <w:szCs w:val="21"/>
        </w:rPr>
        <w:t xml:space="preserve">VSLA </w:t>
      </w:r>
      <w:r w:rsidRPr="00D53B04">
        <w:rPr>
          <w:rFonts w:cs="Arial"/>
          <w:color w:val="222222"/>
          <w:szCs w:val="21"/>
        </w:rPr>
        <w:tab/>
      </w:r>
      <w:r w:rsidRPr="00D53B04">
        <w:rPr>
          <w:rFonts w:cs="Arial"/>
          <w:color w:val="222222"/>
          <w:szCs w:val="21"/>
        </w:rPr>
        <w:tab/>
        <w:t>: Petites Caisses Villageoises Autogérés</w:t>
      </w:r>
    </w:p>
    <w:p w14:paraId="13299560" w14:textId="77777777" w:rsidR="001C2F95" w:rsidRPr="00D53B04" w:rsidRDefault="001C2F95" w:rsidP="001C2F95">
      <w:pPr>
        <w:rPr>
          <w:rFonts w:cs="Arial"/>
          <w:bCs/>
          <w:szCs w:val="21"/>
        </w:rPr>
      </w:pPr>
      <w:r w:rsidRPr="00D53B04">
        <w:rPr>
          <w:rFonts w:cs="Arial"/>
          <w:bCs/>
          <w:szCs w:val="21"/>
        </w:rPr>
        <w:t>ZIP</w:t>
      </w:r>
      <w:r w:rsidRPr="00D53B04">
        <w:rPr>
          <w:rFonts w:cs="Arial"/>
          <w:bCs/>
          <w:szCs w:val="21"/>
        </w:rPr>
        <w:tab/>
      </w:r>
      <w:r w:rsidRPr="00D53B04">
        <w:rPr>
          <w:rFonts w:cs="Arial"/>
          <w:bCs/>
          <w:szCs w:val="21"/>
        </w:rPr>
        <w:tab/>
        <w:t>: Zone d’Influence du Projet</w:t>
      </w:r>
    </w:p>
    <w:p w14:paraId="3D54516D" w14:textId="77777777" w:rsidR="001C2F95" w:rsidRPr="00D53B04" w:rsidRDefault="001C2F95" w:rsidP="001C2F95">
      <w:pPr>
        <w:rPr>
          <w:rFonts w:cs="Arial"/>
          <w:bCs/>
          <w:szCs w:val="21"/>
        </w:rPr>
      </w:pPr>
      <w:r w:rsidRPr="00D53B04">
        <w:rPr>
          <w:rFonts w:cs="Arial"/>
          <w:bCs/>
          <w:szCs w:val="21"/>
        </w:rPr>
        <w:t>ZS</w:t>
      </w:r>
      <w:r w:rsidRPr="00D53B04">
        <w:rPr>
          <w:rFonts w:cs="Arial"/>
          <w:bCs/>
          <w:szCs w:val="21"/>
        </w:rPr>
        <w:tab/>
      </w:r>
      <w:r w:rsidRPr="00D53B04">
        <w:rPr>
          <w:rFonts w:cs="Arial"/>
          <w:bCs/>
          <w:szCs w:val="21"/>
        </w:rPr>
        <w:tab/>
        <w:t>: Zone de Santé</w:t>
      </w:r>
    </w:p>
    <w:p w14:paraId="66C49C5C" w14:textId="77777777" w:rsidR="001C2F95" w:rsidRPr="00D53B04" w:rsidRDefault="001C2F95" w:rsidP="001C2F95">
      <w:pPr>
        <w:rPr>
          <w:rFonts w:cs="Arial"/>
          <w:szCs w:val="21"/>
        </w:rPr>
      </w:pPr>
    </w:p>
    <w:p w14:paraId="1FAF667E" w14:textId="77777777" w:rsidR="001C2F95" w:rsidRPr="000A2C55" w:rsidRDefault="001C2F95" w:rsidP="001C2F95">
      <w:pPr>
        <w:pStyle w:val="Titre1"/>
        <w:ind w:left="1134" w:hanging="1134"/>
        <w:jc w:val="center"/>
        <w:rPr>
          <w:rFonts w:cs="Arial"/>
          <w:sz w:val="22"/>
          <w:szCs w:val="22"/>
        </w:rPr>
      </w:pPr>
      <w:r w:rsidRPr="00352D04">
        <w:rPr>
          <w:rFonts w:cs="Arial"/>
          <w:b w:val="0"/>
          <w:sz w:val="22"/>
          <w:highlight w:val="yellow"/>
        </w:rPr>
        <w:br w:type="page"/>
      </w:r>
      <w:bookmarkStart w:id="10" w:name="_Toc44626779"/>
      <w:bookmarkStart w:id="11" w:name="_Toc90393023"/>
      <w:bookmarkStart w:id="12" w:name="_Toc90471382"/>
      <w:r w:rsidRPr="000A2C55">
        <w:rPr>
          <w:rFonts w:cs="Arial"/>
          <w:sz w:val="22"/>
          <w:szCs w:val="22"/>
        </w:rPr>
        <w:lastRenderedPageBreak/>
        <w:t>LISTE DES TABLEAUX</w:t>
      </w:r>
      <w:bookmarkEnd w:id="7"/>
      <w:bookmarkEnd w:id="9"/>
      <w:bookmarkEnd w:id="10"/>
      <w:bookmarkEnd w:id="11"/>
      <w:bookmarkEnd w:id="12"/>
    </w:p>
    <w:p w14:paraId="26FBA6EC" w14:textId="77777777" w:rsidR="001C2F95" w:rsidRPr="00753856" w:rsidRDefault="001C2F95" w:rsidP="001C2F95">
      <w:pPr>
        <w:ind w:left="1134" w:hanging="1134"/>
        <w:rPr>
          <w:rFonts w:cs="Arial"/>
          <w:sz w:val="22"/>
        </w:rPr>
      </w:pPr>
    </w:p>
    <w:p w14:paraId="18BFB002" w14:textId="77777777" w:rsidR="00D76BB4" w:rsidRDefault="001C2F95" w:rsidP="00D76BB4">
      <w:pPr>
        <w:pStyle w:val="Tabledesillustrations"/>
        <w:tabs>
          <w:tab w:val="right" w:leader="dot" w:pos="9204"/>
        </w:tabs>
        <w:ind w:left="1134" w:hanging="1134"/>
        <w:rPr>
          <w:rFonts w:asciiTheme="minorHAnsi" w:eastAsiaTheme="minorEastAsia" w:hAnsiTheme="minorHAnsi" w:cstheme="minorBidi"/>
          <w:noProof/>
          <w:sz w:val="22"/>
        </w:rPr>
      </w:pPr>
      <w:r w:rsidRPr="0066125B">
        <w:rPr>
          <w:rStyle w:val="Lienhypertexte"/>
          <w:rFonts w:cs="Arial"/>
          <w:noProof/>
          <w:sz w:val="22"/>
          <w:lang w:eastAsia="ja-JP"/>
        </w:rPr>
        <w:fldChar w:fldCharType="begin"/>
      </w:r>
      <w:r w:rsidRPr="0066125B">
        <w:rPr>
          <w:rStyle w:val="Lienhypertexte"/>
          <w:rFonts w:cs="Arial"/>
          <w:noProof/>
          <w:sz w:val="22"/>
          <w:lang w:eastAsia="ja-JP"/>
        </w:rPr>
        <w:instrText xml:space="preserve"> TOC \h \z \c "Tableau" </w:instrText>
      </w:r>
      <w:r w:rsidRPr="0066125B">
        <w:rPr>
          <w:rStyle w:val="Lienhypertexte"/>
          <w:rFonts w:cs="Arial"/>
          <w:noProof/>
          <w:sz w:val="22"/>
          <w:lang w:eastAsia="ja-JP"/>
        </w:rPr>
        <w:fldChar w:fldCharType="separate"/>
      </w:r>
      <w:hyperlink w:anchor="_Toc90392969" w:history="1">
        <w:r w:rsidR="00D76BB4" w:rsidRPr="009A01B3">
          <w:rPr>
            <w:rStyle w:val="Lienhypertexte"/>
            <w:rFonts w:cs="Arial"/>
            <w:noProof/>
          </w:rPr>
          <w:t>Tableau 1. Approche de la série des projets</w:t>
        </w:r>
        <w:r w:rsidR="00D76BB4">
          <w:rPr>
            <w:noProof/>
            <w:webHidden/>
          </w:rPr>
          <w:tab/>
        </w:r>
        <w:r w:rsidR="00D76BB4">
          <w:rPr>
            <w:noProof/>
            <w:webHidden/>
          </w:rPr>
          <w:fldChar w:fldCharType="begin"/>
        </w:r>
        <w:r w:rsidR="00D76BB4">
          <w:rPr>
            <w:noProof/>
            <w:webHidden/>
          </w:rPr>
          <w:instrText xml:space="preserve"> PAGEREF _Toc90392969 \h </w:instrText>
        </w:r>
        <w:r w:rsidR="00D76BB4">
          <w:rPr>
            <w:noProof/>
            <w:webHidden/>
          </w:rPr>
        </w:r>
        <w:r w:rsidR="00D76BB4">
          <w:rPr>
            <w:noProof/>
            <w:webHidden/>
          </w:rPr>
          <w:fldChar w:fldCharType="separate"/>
        </w:r>
        <w:r w:rsidR="00D76BB4">
          <w:rPr>
            <w:noProof/>
            <w:webHidden/>
          </w:rPr>
          <w:t>9</w:t>
        </w:r>
        <w:r w:rsidR="00D76BB4">
          <w:rPr>
            <w:noProof/>
            <w:webHidden/>
          </w:rPr>
          <w:fldChar w:fldCharType="end"/>
        </w:r>
      </w:hyperlink>
    </w:p>
    <w:p w14:paraId="0CCFEFAE" w14:textId="77777777" w:rsidR="00D76BB4" w:rsidRDefault="00B22F56" w:rsidP="00D76BB4">
      <w:pPr>
        <w:pStyle w:val="Tabledesillustrations"/>
        <w:tabs>
          <w:tab w:val="right" w:leader="dot" w:pos="9204"/>
        </w:tabs>
        <w:ind w:left="1134" w:hanging="1134"/>
        <w:rPr>
          <w:rFonts w:asciiTheme="minorHAnsi" w:eastAsiaTheme="minorEastAsia" w:hAnsiTheme="minorHAnsi" w:cstheme="minorBidi"/>
          <w:noProof/>
          <w:sz w:val="22"/>
        </w:rPr>
      </w:pPr>
      <w:hyperlink w:anchor="_Toc90392970" w:history="1">
        <w:r w:rsidR="00D76BB4" w:rsidRPr="009A01B3">
          <w:rPr>
            <w:rStyle w:val="Lienhypertexte"/>
            <w:rFonts w:cs="Arial"/>
            <w:noProof/>
          </w:rPr>
          <w:t>Tableau 2. Bénéficiaires petits exploitants agricoles</w:t>
        </w:r>
        <w:r w:rsidR="00D76BB4">
          <w:rPr>
            <w:noProof/>
            <w:webHidden/>
          </w:rPr>
          <w:tab/>
        </w:r>
        <w:r w:rsidR="00D76BB4">
          <w:rPr>
            <w:noProof/>
            <w:webHidden/>
          </w:rPr>
          <w:fldChar w:fldCharType="begin"/>
        </w:r>
        <w:r w:rsidR="00D76BB4">
          <w:rPr>
            <w:noProof/>
            <w:webHidden/>
          </w:rPr>
          <w:instrText xml:space="preserve"> PAGEREF _Toc90392970 \h </w:instrText>
        </w:r>
        <w:r w:rsidR="00D76BB4">
          <w:rPr>
            <w:noProof/>
            <w:webHidden/>
          </w:rPr>
        </w:r>
        <w:r w:rsidR="00D76BB4">
          <w:rPr>
            <w:noProof/>
            <w:webHidden/>
          </w:rPr>
          <w:fldChar w:fldCharType="separate"/>
        </w:r>
        <w:r w:rsidR="00D76BB4">
          <w:rPr>
            <w:noProof/>
            <w:webHidden/>
          </w:rPr>
          <w:t>21</w:t>
        </w:r>
        <w:r w:rsidR="00D76BB4">
          <w:rPr>
            <w:noProof/>
            <w:webHidden/>
          </w:rPr>
          <w:fldChar w:fldCharType="end"/>
        </w:r>
      </w:hyperlink>
    </w:p>
    <w:p w14:paraId="202AAD78" w14:textId="77777777" w:rsidR="00D76BB4" w:rsidRDefault="00B22F56" w:rsidP="00D76BB4">
      <w:pPr>
        <w:pStyle w:val="Tabledesillustrations"/>
        <w:tabs>
          <w:tab w:val="right" w:leader="dot" w:pos="9204"/>
        </w:tabs>
        <w:ind w:left="1134" w:hanging="1134"/>
        <w:rPr>
          <w:rFonts w:asciiTheme="minorHAnsi" w:eastAsiaTheme="minorEastAsia" w:hAnsiTheme="minorHAnsi" w:cstheme="minorBidi"/>
          <w:noProof/>
          <w:sz w:val="22"/>
        </w:rPr>
      </w:pPr>
      <w:hyperlink w:anchor="_Toc90392971" w:history="1">
        <w:r w:rsidR="00D76BB4" w:rsidRPr="009A01B3">
          <w:rPr>
            <w:rStyle w:val="Lienhypertexte"/>
            <w:rFonts w:cs="Arial"/>
            <w:noProof/>
          </w:rPr>
          <w:t>Tableau 2.</w:t>
        </w:r>
        <w:r w:rsidR="00D76BB4" w:rsidRPr="009A01B3">
          <w:rPr>
            <w:rStyle w:val="Lienhypertexte"/>
            <w:rFonts w:cs="Arial"/>
            <w:bCs/>
            <w:noProof/>
          </w:rPr>
          <w:t xml:space="preserve"> Coûts du Projet par composante</w:t>
        </w:r>
        <w:r w:rsidR="00D76BB4">
          <w:rPr>
            <w:noProof/>
            <w:webHidden/>
          </w:rPr>
          <w:tab/>
        </w:r>
        <w:r w:rsidR="00D76BB4">
          <w:rPr>
            <w:noProof/>
            <w:webHidden/>
          </w:rPr>
          <w:fldChar w:fldCharType="begin"/>
        </w:r>
        <w:r w:rsidR="00D76BB4">
          <w:rPr>
            <w:noProof/>
            <w:webHidden/>
          </w:rPr>
          <w:instrText xml:space="preserve"> PAGEREF _Toc90392971 \h </w:instrText>
        </w:r>
        <w:r w:rsidR="00D76BB4">
          <w:rPr>
            <w:noProof/>
            <w:webHidden/>
          </w:rPr>
        </w:r>
        <w:r w:rsidR="00D76BB4">
          <w:rPr>
            <w:noProof/>
            <w:webHidden/>
          </w:rPr>
          <w:fldChar w:fldCharType="separate"/>
        </w:r>
        <w:r w:rsidR="00D76BB4">
          <w:rPr>
            <w:noProof/>
            <w:webHidden/>
          </w:rPr>
          <w:t>22</w:t>
        </w:r>
        <w:r w:rsidR="00D76BB4">
          <w:rPr>
            <w:noProof/>
            <w:webHidden/>
          </w:rPr>
          <w:fldChar w:fldCharType="end"/>
        </w:r>
      </w:hyperlink>
    </w:p>
    <w:p w14:paraId="204DA478" w14:textId="77777777" w:rsidR="00D76BB4" w:rsidRDefault="00B22F56" w:rsidP="00D76BB4">
      <w:pPr>
        <w:pStyle w:val="Tabledesillustrations"/>
        <w:tabs>
          <w:tab w:val="right" w:leader="dot" w:pos="9204"/>
        </w:tabs>
        <w:ind w:left="1134" w:hanging="1134"/>
        <w:rPr>
          <w:rFonts w:asciiTheme="minorHAnsi" w:eastAsiaTheme="minorEastAsia" w:hAnsiTheme="minorHAnsi" w:cstheme="minorBidi"/>
          <w:noProof/>
          <w:sz w:val="22"/>
        </w:rPr>
      </w:pPr>
      <w:hyperlink w:anchor="_Toc90392972" w:history="1">
        <w:r w:rsidR="00D76BB4" w:rsidRPr="009A01B3">
          <w:rPr>
            <w:rStyle w:val="Lienhypertexte"/>
            <w:rFonts w:cs="Arial"/>
            <w:noProof/>
          </w:rPr>
          <w:t>Tableau 4. Données socio-économiques de la Province du Kwilu</w:t>
        </w:r>
        <w:r w:rsidR="00D76BB4">
          <w:rPr>
            <w:noProof/>
            <w:webHidden/>
          </w:rPr>
          <w:tab/>
        </w:r>
        <w:r w:rsidR="00D76BB4">
          <w:rPr>
            <w:noProof/>
            <w:webHidden/>
          </w:rPr>
          <w:fldChar w:fldCharType="begin"/>
        </w:r>
        <w:r w:rsidR="00D76BB4">
          <w:rPr>
            <w:noProof/>
            <w:webHidden/>
          </w:rPr>
          <w:instrText xml:space="preserve"> PAGEREF _Toc90392972 \h </w:instrText>
        </w:r>
        <w:r w:rsidR="00D76BB4">
          <w:rPr>
            <w:noProof/>
            <w:webHidden/>
          </w:rPr>
        </w:r>
        <w:r w:rsidR="00D76BB4">
          <w:rPr>
            <w:noProof/>
            <w:webHidden/>
          </w:rPr>
          <w:fldChar w:fldCharType="separate"/>
        </w:r>
        <w:r w:rsidR="00D76BB4">
          <w:rPr>
            <w:noProof/>
            <w:webHidden/>
          </w:rPr>
          <w:t>24</w:t>
        </w:r>
        <w:r w:rsidR="00D76BB4">
          <w:rPr>
            <w:noProof/>
            <w:webHidden/>
          </w:rPr>
          <w:fldChar w:fldCharType="end"/>
        </w:r>
      </w:hyperlink>
    </w:p>
    <w:p w14:paraId="5DAB5B32" w14:textId="77777777" w:rsidR="00D76BB4" w:rsidRDefault="00B22F56" w:rsidP="00D76BB4">
      <w:pPr>
        <w:pStyle w:val="Tabledesillustrations"/>
        <w:tabs>
          <w:tab w:val="right" w:leader="dot" w:pos="9204"/>
        </w:tabs>
        <w:ind w:left="1134" w:hanging="1134"/>
        <w:rPr>
          <w:rFonts w:asciiTheme="minorHAnsi" w:eastAsiaTheme="minorEastAsia" w:hAnsiTheme="minorHAnsi" w:cstheme="minorBidi"/>
          <w:noProof/>
          <w:sz w:val="22"/>
        </w:rPr>
      </w:pPr>
      <w:hyperlink w:anchor="_Toc90392973" w:history="1">
        <w:r w:rsidR="00D76BB4" w:rsidRPr="009A01B3">
          <w:rPr>
            <w:rStyle w:val="Lienhypertexte"/>
            <w:rFonts w:cs="Arial"/>
            <w:noProof/>
          </w:rPr>
          <w:t>Tableau 5. Données socio-économiques de la Province du Kongo Central</w:t>
        </w:r>
        <w:r w:rsidR="00D76BB4">
          <w:rPr>
            <w:noProof/>
            <w:webHidden/>
          </w:rPr>
          <w:tab/>
        </w:r>
        <w:r w:rsidR="00D76BB4">
          <w:rPr>
            <w:noProof/>
            <w:webHidden/>
          </w:rPr>
          <w:fldChar w:fldCharType="begin"/>
        </w:r>
        <w:r w:rsidR="00D76BB4">
          <w:rPr>
            <w:noProof/>
            <w:webHidden/>
          </w:rPr>
          <w:instrText xml:space="preserve"> PAGEREF _Toc90392973 \h </w:instrText>
        </w:r>
        <w:r w:rsidR="00D76BB4">
          <w:rPr>
            <w:noProof/>
            <w:webHidden/>
          </w:rPr>
        </w:r>
        <w:r w:rsidR="00D76BB4">
          <w:rPr>
            <w:noProof/>
            <w:webHidden/>
          </w:rPr>
          <w:fldChar w:fldCharType="separate"/>
        </w:r>
        <w:r w:rsidR="00D76BB4">
          <w:rPr>
            <w:noProof/>
            <w:webHidden/>
          </w:rPr>
          <w:t>31</w:t>
        </w:r>
        <w:r w:rsidR="00D76BB4">
          <w:rPr>
            <w:noProof/>
            <w:webHidden/>
          </w:rPr>
          <w:fldChar w:fldCharType="end"/>
        </w:r>
      </w:hyperlink>
    </w:p>
    <w:p w14:paraId="11D67192" w14:textId="77777777" w:rsidR="00D76BB4" w:rsidRDefault="00B22F56" w:rsidP="00D76BB4">
      <w:pPr>
        <w:pStyle w:val="Tabledesillustrations"/>
        <w:tabs>
          <w:tab w:val="right" w:leader="dot" w:pos="9204"/>
        </w:tabs>
        <w:ind w:left="1134" w:hanging="1134"/>
        <w:rPr>
          <w:rFonts w:asciiTheme="minorHAnsi" w:eastAsiaTheme="minorEastAsia" w:hAnsiTheme="minorHAnsi" w:cstheme="minorBidi"/>
          <w:noProof/>
          <w:sz w:val="22"/>
        </w:rPr>
      </w:pPr>
      <w:hyperlink w:anchor="_Toc90392974" w:history="1">
        <w:r w:rsidR="00D76BB4" w:rsidRPr="009A01B3">
          <w:rPr>
            <w:rStyle w:val="Lienhypertexte"/>
            <w:rFonts w:cs="Arial"/>
            <w:noProof/>
          </w:rPr>
          <w:t>Tableau 6. Données socio-économiques de la Province du Kasaï Central</w:t>
        </w:r>
        <w:r w:rsidR="00D76BB4">
          <w:rPr>
            <w:noProof/>
            <w:webHidden/>
          </w:rPr>
          <w:tab/>
        </w:r>
        <w:r w:rsidR="00D76BB4">
          <w:rPr>
            <w:noProof/>
            <w:webHidden/>
          </w:rPr>
          <w:fldChar w:fldCharType="begin"/>
        </w:r>
        <w:r w:rsidR="00D76BB4">
          <w:rPr>
            <w:noProof/>
            <w:webHidden/>
          </w:rPr>
          <w:instrText xml:space="preserve"> PAGEREF _Toc90392974 \h </w:instrText>
        </w:r>
        <w:r w:rsidR="00D76BB4">
          <w:rPr>
            <w:noProof/>
            <w:webHidden/>
          </w:rPr>
        </w:r>
        <w:r w:rsidR="00D76BB4">
          <w:rPr>
            <w:noProof/>
            <w:webHidden/>
          </w:rPr>
          <w:fldChar w:fldCharType="separate"/>
        </w:r>
        <w:r w:rsidR="00D76BB4">
          <w:rPr>
            <w:noProof/>
            <w:webHidden/>
          </w:rPr>
          <w:t>43</w:t>
        </w:r>
        <w:r w:rsidR="00D76BB4">
          <w:rPr>
            <w:noProof/>
            <w:webHidden/>
          </w:rPr>
          <w:fldChar w:fldCharType="end"/>
        </w:r>
      </w:hyperlink>
    </w:p>
    <w:p w14:paraId="6ACFB0CC" w14:textId="77777777" w:rsidR="00D76BB4" w:rsidRDefault="00B22F56" w:rsidP="00D76BB4">
      <w:pPr>
        <w:pStyle w:val="Tabledesillustrations"/>
        <w:tabs>
          <w:tab w:val="right" w:leader="dot" w:pos="9204"/>
        </w:tabs>
        <w:ind w:left="1134" w:hanging="1134"/>
        <w:rPr>
          <w:rFonts w:asciiTheme="minorHAnsi" w:eastAsiaTheme="minorEastAsia" w:hAnsiTheme="minorHAnsi" w:cstheme="minorBidi"/>
          <w:noProof/>
          <w:sz w:val="22"/>
        </w:rPr>
      </w:pPr>
      <w:hyperlink w:anchor="_Toc90392975" w:history="1">
        <w:r w:rsidR="00D76BB4" w:rsidRPr="009A01B3">
          <w:rPr>
            <w:rStyle w:val="Lienhypertexte"/>
            <w:rFonts w:cs="Arial"/>
            <w:noProof/>
          </w:rPr>
          <w:t>Tableau 7. Données socio-économiques de la Province du Kasaï</w:t>
        </w:r>
        <w:r w:rsidR="00D76BB4">
          <w:rPr>
            <w:noProof/>
            <w:webHidden/>
          </w:rPr>
          <w:tab/>
        </w:r>
        <w:r w:rsidR="00D76BB4">
          <w:rPr>
            <w:noProof/>
            <w:webHidden/>
          </w:rPr>
          <w:fldChar w:fldCharType="begin"/>
        </w:r>
        <w:r w:rsidR="00D76BB4">
          <w:rPr>
            <w:noProof/>
            <w:webHidden/>
          </w:rPr>
          <w:instrText xml:space="preserve"> PAGEREF _Toc90392975 \h </w:instrText>
        </w:r>
        <w:r w:rsidR="00D76BB4">
          <w:rPr>
            <w:noProof/>
            <w:webHidden/>
          </w:rPr>
        </w:r>
        <w:r w:rsidR="00D76BB4">
          <w:rPr>
            <w:noProof/>
            <w:webHidden/>
          </w:rPr>
          <w:fldChar w:fldCharType="separate"/>
        </w:r>
        <w:r w:rsidR="00D76BB4">
          <w:rPr>
            <w:noProof/>
            <w:webHidden/>
          </w:rPr>
          <w:t>49</w:t>
        </w:r>
        <w:r w:rsidR="00D76BB4">
          <w:rPr>
            <w:noProof/>
            <w:webHidden/>
          </w:rPr>
          <w:fldChar w:fldCharType="end"/>
        </w:r>
      </w:hyperlink>
    </w:p>
    <w:p w14:paraId="3CBE7C3E" w14:textId="77777777" w:rsidR="00D76BB4" w:rsidRDefault="00B22F56" w:rsidP="00D76BB4">
      <w:pPr>
        <w:pStyle w:val="Tabledesillustrations"/>
        <w:tabs>
          <w:tab w:val="right" w:leader="dot" w:pos="9204"/>
        </w:tabs>
        <w:ind w:left="1134" w:hanging="1134"/>
        <w:rPr>
          <w:rFonts w:asciiTheme="minorHAnsi" w:eastAsiaTheme="minorEastAsia" w:hAnsiTheme="minorHAnsi" w:cstheme="minorBidi"/>
          <w:noProof/>
          <w:sz w:val="22"/>
        </w:rPr>
      </w:pPr>
      <w:hyperlink w:anchor="_Toc90392976" w:history="1">
        <w:r w:rsidR="00D76BB4" w:rsidRPr="009A01B3">
          <w:rPr>
            <w:rStyle w:val="Lienhypertexte"/>
            <w:rFonts w:cs="Arial"/>
            <w:noProof/>
          </w:rPr>
          <w:t>Tableau 8. Données socio-économiques de la Province du Nord-Kivu</w:t>
        </w:r>
        <w:r w:rsidR="00D76BB4">
          <w:rPr>
            <w:noProof/>
            <w:webHidden/>
          </w:rPr>
          <w:tab/>
        </w:r>
        <w:r w:rsidR="00D76BB4">
          <w:rPr>
            <w:noProof/>
            <w:webHidden/>
          </w:rPr>
          <w:fldChar w:fldCharType="begin"/>
        </w:r>
        <w:r w:rsidR="00D76BB4">
          <w:rPr>
            <w:noProof/>
            <w:webHidden/>
          </w:rPr>
          <w:instrText xml:space="preserve"> PAGEREF _Toc90392976 \h </w:instrText>
        </w:r>
        <w:r w:rsidR="00D76BB4">
          <w:rPr>
            <w:noProof/>
            <w:webHidden/>
          </w:rPr>
        </w:r>
        <w:r w:rsidR="00D76BB4">
          <w:rPr>
            <w:noProof/>
            <w:webHidden/>
          </w:rPr>
          <w:fldChar w:fldCharType="separate"/>
        </w:r>
        <w:r w:rsidR="00D76BB4">
          <w:rPr>
            <w:noProof/>
            <w:webHidden/>
          </w:rPr>
          <w:t>54</w:t>
        </w:r>
        <w:r w:rsidR="00D76BB4">
          <w:rPr>
            <w:noProof/>
            <w:webHidden/>
          </w:rPr>
          <w:fldChar w:fldCharType="end"/>
        </w:r>
      </w:hyperlink>
    </w:p>
    <w:p w14:paraId="72B1335B" w14:textId="77777777" w:rsidR="00D76BB4" w:rsidRDefault="00B22F56" w:rsidP="00D76BB4">
      <w:pPr>
        <w:pStyle w:val="Tabledesillustrations"/>
        <w:tabs>
          <w:tab w:val="right" w:leader="dot" w:pos="9204"/>
        </w:tabs>
        <w:ind w:left="1134" w:hanging="1134"/>
        <w:rPr>
          <w:rFonts w:asciiTheme="minorHAnsi" w:eastAsiaTheme="minorEastAsia" w:hAnsiTheme="minorHAnsi" w:cstheme="minorBidi"/>
          <w:noProof/>
          <w:sz w:val="22"/>
        </w:rPr>
      </w:pPr>
      <w:hyperlink w:anchor="_Toc90392977" w:history="1">
        <w:r w:rsidR="00D76BB4" w:rsidRPr="009A01B3">
          <w:rPr>
            <w:rStyle w:val="Lienhypertexte"/>
            <w:noProof/>
          </w:rPr>
          <w:t>Tableau 9. Espèces caractéristiques des principaux groupes taxonomiques de la flore rencontrée dans les périmètres du Bloc en étude.</w:t>
        </w:r>
        <w:r w:rsidR="00D76BB4">
          <w:rPr>
            <w:noProof/>
            <w:webHidden/>
          </w:rPr>
          <w:tab/>
        </w:r>
        <w:r w:rsidR="00D76BB4">
          <w:rPr>
            <w:noProof/>
            <w:webHidden/>
          </w:rPr>
          <w:fldChar w:fldCharType="begin"/>
        </w:r>
        <w:r w:rsidR="00D76BB4">
          <w:rPr>
            <w:noProof/>
            <w:webHidden/>
          </w:rPr>
          <w:instrText xml:space="preserve"> PAGEREF _Toc90392977 \h </w:instrText>
        </w:r>
        <w:r w:rsidR="00D76BB4">
          <w:rPr>
            <w:noProof/>
            <w:webHidden/>
          </w:rPr>
        </w:r>
        <w:r w:rsidR="00D76BB4">
          <w:rPr>
            <w:noProof/>
            <w:webHidden/>
          </w:rPr>
          <w:fldChar w:fldCharType="separate"/>
        </w:r>
        <w:r w:rsidR="00D76BB4">
          <w:rPr>
            <w:noProof/>
            <w:webHidden/>
          </w:rPr>
          <w:t>63</w:t>
        </w:r>
        <w:r w:rsidR="00D76BB4">
          <w:rPr>
            <w:noProof/>
            <w:webHidden/>
          </w:rPr>
          <w:fldChar w:fldCharType="end"/>
        </w:r>
      </w:hyperlink>
    </w:p>
    <w:p w14:paraId="130C2C49" w14:textId="77777777" w:rsidR="00D76BB4" w:rsidRDefault="00B22F56" w:rsidP="00D76BB4">
      <w:pPr>
        <w:pStyle w:val="Tabledesillustrations"/>
        <w:tabs>
          <w:tab w:val="right" w:leader="dot" w:pos="9204"/>
        </w:tabs>
        <w:ind w:left="1134" w:hanging="1134"/>
        <w:rPr>
          <w:rFonts w:asciiTheme="minorHAnsi" w:eastAsiaTheme="minorEastAsia" w:hAnsiTheme="minorHAnsi" w:cstheme="minorBidi"/>
          <w:noProof/>
          <w:sz w:val="22"/>
        </w:rPr>
      </w:pPr>
      <w:hyperlink w:anchor="_Toc90392978" w:history="1">
        <w:r w:rsidR="00D76BB4" w:rsidRPr="009A01B3">
          <w:rPr>
            <w:rStyle w:val="Lienhypertexte"/>
            <w:noProof/>
          </w:rPr>
          <w:t>Tableau 10. Espèces cultivées dans le PNVi</w:t>
        </w:r>
        <w:r w:rsidR="00D76BB4">
          <w:rPr>
            <w:noProof/>
            <w:webHidden/>
          </w:rPr>
          <w:tab/>
        </w:r>
        <w:r w:rsidR="00D76BB4">
          <w:rPr>
            <w:noProof/>
            <w:webHidden/>
          </w:rPr>
          <w:fldChar w:fldCharType="begin"/>
        </w:r>
        <w:r w:rsidR="00D76BB4">
          <w:rPr>
            <w:noProof/>
            <w:webHidden/>
          </w:rPr>
          <w:instrText xml:space="preserve"> PAGEREF _Toc90392978 \h </w:instrText>
        </w:r>
        <w:r w:rsidR="00D76BB4">
          <w:rPr>
            <w:noProof/>
            <w:webHidden/>
          </w:rPr>
        </w:r>
        <w:r w:rsidR="00D76BB4">
          <w:rPr>
            <w:noProof/>
            <w:webHidden/>
          </w:rPr>
          <w:fldChar w:fldCharType="separate"/>
        </w:r>
        <w:r w:rsidR="00D76BB4">
          <w:rPr>
            <w:noProof/>
            <w:webHidden/>
          </w:rPr>
          <w:t>66</w:t>
        </w:r>
        <w:r w:rsidR="00D76BB4">
          <w:rPr>
            <w:noProof/>
            <w:webHidden/>
          </w:rPr>
          <w:fldChar w:fldCharType="end"/>
        </w:r>
      </w:hyperlink>
    </w:p>
    <w:p w14:paraId="550BBAAB" w14:textId="77777777" w:rsidR="00D76BB4" w:rsidRDefault="00B22F56" w:rsidP="00D76BB4">
      <w:pPr>
        <w:pStyle w:val="Tabledesillustrations"/>
        <w:tabs>
          <w:tab w:val="right" w:leader="dot" w:pos="9204"/>
        </w:tabs>
        <w:ind w:left="1134" w:hanging="1134"/>
        <w:rPr>
          <w:rFonts w:asciiTheme="minorHAnsi" w:eastAsiaTheme="minorEastAsia" w:hAnsiTheme="minorHAnsi" w:cstheme="minorBidi"/>
          <w:noProof/>
          <w:sz w:val="22"/>
        </w:rPr>
      </w:pPr>
      <w:hyperlink w:anchor="_Toc90392979" w:history="1">
        <w:r w:rsidR="00D76BB4" w:rsidRPr="009A01B3">
          <w:rPr>
            <w:rStyle w:val="Lienhypertexte"/>
            <w:noProof/>
          </w:rPr>
          <w:t>Tableau 11. Nombre total d’espèces endémiques et d’espèces menacées d’extinction dans le PNVi pour les principales classes d’après Languy et De Merode (2006).</w:t>
        </w:r>
        <w:r w:rsidR="00D76BB4">
          <w:rPr>
            <w:noProof/>
            <w:webHidden/>
          </w:rPr>
          <w:tab/>
        </w:r>
        <w:r w:rsidR="00D76BB4">
          <w:rPr>
            <w:noProof/>
            <w:webHidden/>
          </w:rPr>
          <w:fldChar w:fldCharType="begin"/>
        </w:r>
        <w:r w:rsidR="00D76BB4">
          <w:rPr>
            <w:noProof/>
            <w:webHidden/>
          </w:rPr>
          <w:instrText xml:space="preserve"> PAGEREF _Toc90392979 \h </w:instrText>
        </w:r>
        <w:r w:rsidR="00D76BB4">
          <w:rPr>
            <w:noProof/>
            <w:webHidden/>
          </w:rPr>
        </w:r>
        <w:r w:rsidR="00D76BB4">
          <w:rPr>
            <w:noProof/>
            <w:webHidden/>
          </w:rPr>
          <w:fldChar w:fldCharType="separate"/>
        </w:r>
        <w:r w:rsidR="00D76BB4">
          <w:rPr>
            <w:noProof/>
            <w:webHidden/>
          </w:rPr>
          <w:t>67</w:t>
        </w:r>
        <w:r w:rsidR="00D76BB4">
          <w:rPr>
            <w:noProof/>
            <w:webHidden/>
          </w:rPr>
          <w:fldChar w:fldCharType="end"/>
        </w:r>
      </w:hyperlink>
    </w:p>
    <w:p w14:paraId="3E051D45" w14:textId="77777777" w:rsidR="00D76BB4" w:rsidRDefault="00B22F56" w:rsidP="00D76BB4">
      <w:pPr>
        <w:pStyle w:val="Tabledesillustrations"/>
        <w:tabs>
          <w:tab w:val="right" w:leader="dot" w:pos="9204"/>
        </w:tabs>
        <w:ind w:left="1134" w:hanging="1134"/>
        <w:rPr>
          <w:rFonts w:asciiTheme="minorHAnsi" w:eastAsiaTheme="minorEastAsia" w:hAnsiTheme="minorHAnsi" w:cstheme="minorBidi"/>
          <w:noProof/>
          <w:sz w:val="22"/>
        </w:rPr>
      </w:pPr>
      <w:hyperlink w:anchor="_Toc90392980" w:history="1">
        <w:r w:rsidR="00D76BB4" w:rsidRPr="009A01B3">
          <w:rPr>
            <w:rStyle w:val="Lienhypertexte"/>
            <w:noProof/>
          </w:rPr>
          <w:t>Tableau 12. Nombre de mammifères reconnus dans le périmètre du Bloc pour chaque ordre d’après Languy et De Merode (2006).</w:t>
        </w:r>
        <w:r w:rsidR="00D76BB4">
          <w:rPr>
            <w:noProof/>
            <w:webHidden/>
          </w:rPr>
          <w:tab/>
        </w:r>
        <w:r w:rsidR="00D76BB4">
          <w:rPr>
            <w:noProof/>
            <w:webHidden/>
          </w:rPr>
          <w:fldChar w:fldCharType="begin"/>
        </w:r>
        <w:r w:rsidR="00D76BB4">
          <w:rPr>
            <w:noProof/>
            <w:webHidden/>
          </w:rPr>
          <w:instrText xml:space="preserve"> PAGEREF _Toc90392980 \h </w:instrText>
        </w:r>
        <w:r w:rsidR="00D76BB4">
          <w:rPr>
            <w:noProof/>
            <w:webHidden/>
          </w:rPr>
        </w:r>
        <w:r w:rsidR="00D76BB4">
          <w:rPr>
            <w:noProof/>
            <w:webHidden/>
          </w:rPr>
          <w:fldChar w:fldCharType="separate"/>
        </w:r>
        <w:r w:rsidR="00D76BB4">
          <w:rPr>
            <w:noProof/>
            <w:webHidden/>
          </w:rPr>
          <w:t>67</w:t>
        </w:r>
        <w:r w:rsidR="00D76BB4">
          <w:rPr>
            <w:noProof/>
            <w:webHidden/>
          </w:rPr>
          <w:fldChar w:fldCharType="end"/>
        </w:r>
      </w:hyperlink>
    </w:p>
    <w:p w14:paraId="6540B02A" w14:textId="77777777" w:rsidR="00D76BB4" w:rsidRDefault="00B22F56" w:rsidP="00D76BB4">
      <w:pPr>
        <w:pStyle w:val="Tabledesillustrations"/>
        <w:tabs>
          <w:tab w:val="right" w:leader="dot" w:pos="9204"/>
        </w:tabs>
        <w:ind w:left="1134" w:hanging="1134"/>
        <w:rPr>
          <w:rFonts w:asciiTheme="minorHAnsi" w:eastAsiaTheme="minorEastAsia" w:hAnsiTheme="minorHAnsi" w:cstheme="minorBidi"/>
          <w:noProof/>
          <w:sz w:val="22"/>
        </w:rPr>
      </w:pPr>
      <w:hyperlink w:anchor="_Toc90392981" w:history="1">
        <w:r w:rsidR="00D76BB4" w:rsidRPr="009A01B3">
          <w:rPr>
            <w:rStyle w:val="Lienhypertexte"/>
            <w:noProof/>
          </w:rPr>
          <w:t>Tableau 13. Composition faunistique de la végétation rencontrée dans le PNVi</w:t>
        </w:r>
        <w:r w:rsidR="00D76BB4">
          <w:rPr>
            <w:noProof/>
            <w:webHidden/>
          </w:rPr>
          <w:tab/>
        </w:r>
        <w:r w:rsidR="00D76BB4">
          <w:rPr>
            <w:noProof/>
            <w:webHidden/>
          </w:rPr>
          <w:fldChar w:fldCharType="begin"/>
        </w:r>
        <w:r w:rsidR="00D76BB4">
          <w:rPr>
            <w:noProof/>
            <w:webHidden/>
          </w:rPr>
          <w:instrText xml:space="preserve"> PAGEREF _Toc90392981 \h </w:instrText>
        </w:r>
        <w:r w:rsidR="00D76BB4">
          <w:rPr>
            <w:noProof/>
            <w:webHidden/>
          </w:rPr>
        </w:r>
        <w:r w:rsidR="00D76BB4">
          <w:rPr>
            <w:noProof/>
            <w:webHidden/>
          </w:rPr>
          <w:fldChar w:fldCharType="separate"/>
        </w:r>
        <w:r w:rsidR="00D76BB4">
          <w:rPr>
            <w:noProof/>
            <w:webHidden/>
          </w:rPr>
          <w:t>58</w:t>
        </w:r>
        <w:r w:rsidR="00D76BB4">
          <w:rPr>
            <w:noProof/>
            <w:webHidden/>
          </w:rPr>
          <w:fldChar w:fldCharType="end"/>
        </w:r>
      </w:hyperlink>
    </w:p>
    <w:p w14:paraId="7DB31BC3" w14:textId="77777777" w:rsidR="00D76BB4" w:rsidRDefault="00B22F56" w:rsidP="00D76BB4">
      <w:pPr>
        <w:pStyle w:val="Tabledesillustrations"/>
        <w:tabs>
          <w:tab w:val="right" w:leader="dot" w:pos="9204"/>
        </w:tabs>
        <w:ind w:left="1134" w:hanging="1134"/>
        <w:rPr>
          <w:rFonts w:asciiTheme="minorHAnsi" w:eastAsiaTheme="minorEastAsia" w:hAnsiTheme="minorHAnsi" w:cstheme="minorBidi"/>
          <w:noProof/>
          <w:sz w:val="22"/>
        </w:rPr>
      </w:pPr>
      <w:hyperlink w:anchor="_Toc90392982" w:history="1">
        <w:r w:rsidR="00D76BB4" w:rsidRPr="009A01B3">
          <w:rPr>
            <w:rStyle w:val="Lienhypertexte"/>
            <w:rFonts w:cs="Arial"/>
            <w:noProof/>
          </w:rPr>
          <w:t xml:space="preserve">Tableau 14. </w:t>
        </w:r>
        <w:r w:rsidR="00D76BB4" w:rsidRPr="009A01B3">
          <w:rPr>
            <w:rStyle w:val="Lienhypertexte"/>
            <w:noProof/>
          </w:rPr>
          <w:t>Nombre estimatif des exploitants agricoles de la zone du Programme</w:t>
        </w:r>
        <w:r w:rsidR="00D76BB4">
          <w:rPr>
            <w:noProof/>
            <w:webHidden/>
          </w:rPr>
          <w:tab/>
        </w:r>
        <w:r w:rsidR="00D76BB4">
          <w:rPr>
            <w:noProof/>
            <w:webHidden/>
          </w:rPr>
          <w:fldChar w:fldCharType="begin"/>
        </w:r>
        <w:r w:rsidR="00D76BB4">
          <w:rPr>
            <w:noProof/>
            <w:webHidden/>
          </w:rPr>
          <w:instrText xml:space="preserve"> PAGEREF _Toc90392982 \h </w:instrText>
        </w:r>
        <w:r w:rsidR="00D76BB4">
          <w:rPr>
            <w:noProof/>
            <w:webHidden/>
          </w:rPr>
        </w:r>
        <w:r w:rsidR="00D76BB4">
          <w:rPr>
            <w:noProof/>
            <w:webHidden/>
          </w:rPr>
          <w:fldChar w:fldCharType="separate"/>
        </w:r>
        <w:r w:rsidR="00D76BB4">
          <w:rPr>
            <w:noProof/>
            <w:webHidden/>
          </w:rPr>
          <w:t>66</w:t>
        </w:r>
        <w:r w:rsidR="00D76BB4">
          <w:rPr>
            <w:noProof/>
            <w:webHidden/>
          </w:rPr>
          <w:fldChar w:fldCharType="end"/>
        </w:r>
      </w:hyperlink>
    </w:p>
    <w:p w14:paraId="5B3D063E" w14:textId="77777777" w:rsidR="00D76BB4" w:rsidRDefault="00B22F56" w:rsidP="00D76BB4">
      <w:pPr>
        <w:pStyle w:val="Tabledesillustrations"/>
        <w:tabs>
          <w:tab w:val="right" w:leader="dot" w:pos="9204"/>
        </w:tabs>
        <w:ind w:left="1134" w:hanging="1134"/>
        <w:rPr>
          <w:rFonts w:asciiTheme="minorHAnsi" w:eastAsiaTheme="minorEastAsia" w:hAnsiTheme="minorHAnsi" w:cstheme="minorBidi"/>
          <w:noProof/>
          <w:sz w:val="22"/>
        </w:rPr>
      </w:pPr>
      <w:hyperlink w:anchor="_Toc90392983" w:history="1">
        <w:r w:rsidR="00D76BB4" w:rsidRPr="009A01B3">
          <w:rPr>
            <w:rStyle w:val="Lienhypertexte"/>
            <w:rFonts w:cs="Arial"/>
            <w:bCs/>
            <w:noProof/>
          </w:rPr>
          <w:t xml:space="preserve">Tableau </w:t>
        </w:r>
        <w:r w:rsidR="00D76BB4" w:rsidRPr="009A01B3">
          <w:rPr>
            <w:rStyle w:val="Lienhypertexte"/>
            <w:rFonts w:cs="Arial"/>
            <w:noProof/>
          </w:rPr>
          <w:t>15.</w:t>
        </w:r>
        <w:r w:rsidR="00D76BB4" w:rsidRPr="009A01B3">
          <w:rPr>
            <w:rStyle w:val="Lienhypertexte"/>
            <w:rFonts w:cs="Arial"/>
            <w:bCs/>
            <w:noProof/>
          </w:rPr>
          <w:t xml:space="preserve"> Politiques et programmes applicables au Projet</w:t>
        </w:r>
        <w:r w:rsidR="00D76BB4">
          <w:rPr>
            <w:noProof/>
            <w:webHidden/>
          </w:rPr>
          <w:tab/>
        </w:r>
        <w:r w:rsidR="00D76BB4">
          <w:rPr>
            <w:noProof/>
            <w:webHidden/>
          </w:rPr>
          <w:fldChar w:fldCharType="begin"/>
        </w:r>
        <w:r w:rsidR="00D76BB4">
          <w:rPr>
            <w:noProof/>
            <w:webHidden/>
          </w:rPr>
          <w:instrText xml:space="preserve"> PAGEREF _Toc90392983 \h </w:instrText>
        </w:r>
        <w:r w:rsidR="00D76BB4">
          <w:rPr>
            <w:noProof/>
            <w:webHidden/>
          </w:rPr>
        </w:r>
        <w:r w:rsidR="00D76BB4">
          <w:rPr>
            <w:noProof/>
            <w:webHidden/>
          </w:rPr>
          <w:fldChar w:fldCharType="separate"/>
        </w:r>
        <w:r w:rsidR="00D76BB4">
          <w:rPr>
            <w:noProof/>
            <w:webHidden/>
          </w:rPr>
          <w:t>71</w:t>
        </w:r>
        <w:r w:rsidR="00D76BB4">
          <w:rPr>
            <w:noProof/>
            <w:webHidden/>
          </w:rPr>
          <w:fldChar w:fldCharType="end"/>
        </w:r>
      </w:hyperlink>
    </w:p>
    <w:p w14:paraId="4F2562D9" w14:textId="77777777" w:rsidR="00D76BB4" w:rsidRDefault="00B22F56" w:rsidP="00D76BB4">
      <w:pPr>
        <w:pStyle w:val="Tabledesillustrations"/>
        <w:tabs>
          <w:tab w:val="right" w:leader="dot" w:pos="9204"/>
        </w:tabs>
        <w:ind w:left="1134" w:hanging="1134"/>
        <w:rPr>
          <w:rFonts w:asciiTheme="minorHAnsi" w:eastAsiaTheme="minorEastAsia" w:hAnsiTheme="minorHAnsi" w:cstheme="minorBidi"/>
          <w:noProof/>
          <w:sz w:val="22"/>
        </w:rPr>
      </w:pPr>
      <w:hyperlink w:anchor="_Toc90392984" w:history="1">
        <w:r w:rsidR="00D76BB4" w:rsidRPr="009A01B3">
          <w:rPr>
            <w:rStyle w:val="Lienhypertexte"/>
            <w:rFonts w:cs="Arial"/>
            <w:noProof/>
          </w:rPr>
          <w:t>Tableau 16.</w:t>
        </w:r>
        <w:r w:rsidR="00D76BB4" w:rsidRPr="009A01B3">
          <w:rPr>
            <w:rStyle w:val="Lienhypertexte"/>
            <w:rFonts w:cs="Arial"/>
            <w:bCs/>
            <w:noProof/>
          </w:rPr>
          <w:t xml:space="preserve"> </w:t>
        </w:r>
        <w:r w:rsidR="00D76BB4" w:rsidRPr="009A01B3">
          <w:rPr>
            <w:rStyle w:val="Lienhypertexte"/>
            <w:rFonts w:cs="Arial"/>
            <w:noProof/>
          </w:rPr>
          <w:t xml:space="preserve"> Conventions internationales signées par la RDC applicables au Projet</w:t>
        </w:r>
        <w:r w:rsidR="00D76BB4">
          <w:rPr>
            <w:noProof/>
            <w:webHidden/>
          </w:rPr>
          <w:tab/>
        </w:r>
        <w:r w:rsidR="00D76BB4">
          <w:rPr>
            <w:noProof/>
            <w:webHidden/>
          </w:rPr>
          <w:fldChar w:fldCharType="begin"/>
        </w:r>
        <w:r w:rsidR="00D76BB4">
          <w:rPr>
            <w:noProof/>
            <w:webHidden/>
          </w:rPr>
          <w:instrText xml:space="preserve"> PAGEREF _Toc90392984 \h </w:instrText>
        </w:r>
        <w:r w:rsidR="00D76BB4">
          <w:rPr>
            <w:noProof/>
            <w:webHidden/>
          </w:rPr>
        </w:r>
        <w:r w:rsidR="00D76BB4">
          <w:rPr>
            <w:noProof/>
            <w:webHidden/>
          </w:rPr>
          <w:fldChar w:fldCharType="separate"/>
        </w:r>
        <w:r w:rsidR="00D76BB4">
          <w:rPr>
            <w:noProof/>
            <w:webHidden/>
          </w:rPr>
          <w:t>85</w:t>
        </w:r>
        <w:r w:rsidR="00D76BB4">
          <w:rPr>
            <w:noProof/>
            <w:webHidden/>
          </w:rPr>
          <w:fldChar w:fldCharType="end"/>
        </w:r>
      </w:hyperlink>
    </w:p>
    <w:p w14:paraId="684DEF01" w14:textId="77777777" w:rsidR="00D76BB4" w:rsidRDefault="00B22F56" w:rsidP="00D76BB4">
      <w:pPr>
        <w:pStyle w:val="Tabledesillustrations"/>
        <w:tabs>
          <w:tab w:val="right" w:leader="dot" w:pos="9204"/>
        </w:tabs>
        <w:ind w:left="1134" w:hanging="1134"/>
        <w:rPr>
          <w:rFonts w:asciiTheme="minorHAnsi" w:eastAsiaTheme="minorEastAsia" w:hAnsiTheme="minorHAnsi" w:cstheme="minorBidi"/>
          <w:noProof/>
          <w:sz w:val="22"/>
        </w:rPr>
      </w:pPr>
      <w:hyperlink w:anchor="_Toc90392985" w:history="1">
        <w:r w:rsidR="00D76BB4" w:rsidRPr="009A01B3">
          <w:rPr>
            <w:rStyle w:val="Lienhypertexte"/>
            <w:rFonts w:cs="Arial"/>
            <w:noProof/>
          </w:rPr>
          <w:t>Tableau 17.</w:t>
        </w:r>
        <w:r w:rsidR="00D76BB4" w:rsidRPr="009A01B3">
          <w:rPr>
            <w:rStyle w:val="Lienhypertexte"/>
            <w:rFonts w:cs="Arial"/>
            <w:bCs/>
            <w:noProof/>
          </w:rPr>
          <w:t xml:space="preserve"> Comparaison entre le Cadre Environnemental et Social de la RDC avec les Normes Environnementales et Sociales de la Banque Mondiale</w:t>
        </w:r>
        <w:r w:rsidR="00D76BB4">
          <w:rPr>
            <w:noProof/>
            <w:webHidden/>
          </w:rPr>
          <w:tab/>
        </w:r>
        <w:r w:rsidR="00D76BB4">
          <w:rPr>
            <w:noProof/>
            <w:webHidden/>
          </w:rPr>
          <w:fldChar w:fldCharType="begin"/>
        </w:r>
        <w:r w:rsidR="00D76BB4">
          <w:rPr>
            <w:noProof/>
            <w:webHidden/>
          </w:rPr>
          <w:instrText xml:space="preserve"> PAGEREF _Toc90392985 \h </w:instrText>
        </w:r>
        <w:r w:rsidR="00D76BB4">
          <w:rPr>
            <w:noProof/>
            <w:webHidden/>
          </w:rPr>
        </w:r>
        <w:r w:rsidR="00D76BB4">
          <w:rPr>
            <w:noProof/>
            <w:webHidden/>
          </w:rPr>
          <w:fldChar w:fldCharType="separate"/>
        </w:r>
        <w:r w:rsidR="00D76BB4">
          <w:rPr>
            <w:noProof/>
            <w:webHidden/>
          </w:rPr>
          <w:t>105</w:t>
        </w:r>
        <w:r w:rsidR="00D76BB4">
          <w:rPr>
            <w:noProof/>
            <w:webHidden/>
          </w:rPr>
          <w:fldChar w:fldCharType="end"/>
        </w:r>
      </w:hyperlink>
    </w:p>
    <w:p w14:paraId="10D6E0D8" w14:textId="77777777" w:rsidR="00D76BB4" w:rsidRDefault="00B22F56" w:rsidP="00D76BB4">
      <w:pPr>
        <w:pStyle w:val="Tabledesillustrations"/>
        <w:tabs>
          <w:tab w:val="right" w:leader="dot" w:pos="9204"/>
        </w:tabs>
        <w:ind w:left="1134" w:hanging="1134"/>
        <w:rPr>
          <w:rFonts w:asciiTheme="minorHAnsi" w:eastAsiaTheme="minorEastAsia" w:hAnsiTheme="minorHAnsi" w:cstheme="minorBidi"/>
          <w:noProof/>
          <w:sz w:val="22"/>
        </w:rPr>
      </w:pPr>
      <w:hyperlink w:anchor="_Toc90392986" w:history="1">
        <w:r w:rsidR="00D76BB4" w:rsidRPr="009A01B3">
          <w:rPr>
            <w:rStyle w:val="Lienhypertexte"/>
            <w:rFonts w:cs="Arial"/>
            <w:noProof/>
          </w:rPr>
          <w:t>Tableau 18.</w:t>
        </w:r>
        <w:r w:rsidR="00D76BB4" w:rsidRPr="009A01B3">
          <w:rPr>
            <w:rStyle w:val="Lienhypertexte"/>
            <w:rFonts w:cs="Arial"/>
            <w:bCs/>
            <w:noProof/>
          </w:rPr>
          <w:t xml:space="preserve"> Directions normatives et leurs missions</w:t>
        </w:r>
        <w:r w:rsidR="00D76BB4">
          <w:rPr>
            <w:noProof/>
            <w:webHidden/>
          </w:rPr>
          <w:tab/>
        </w:r>
        <w:r w:rsidR="00D76BB4">
          <w:rPr>
            <w:noProof/>
            <w:webHidden/>
          </w:rPr>
          <w:fldChar w:fldCharType="begin"/>
        </w:r>
        <w:r w:rsidR="00D76BB4">
          <w:rPr>
            <w:noProof/>
            <w:webHidden/>
          </w:rPr>
          <w:instrText xml:space="preserve"> PAGEREF _Toc90392986 \h </w:instrText>
        </w:r>
        <w:r w:rsidR="00D76BB4">
          <w:rPr>
            <w:noProof/>
            <w:webHidden/>
          </w:rPr>
        </w:r>
        <w:r w:rsidR="00D76BB4">
          <w:rPr>
            <w:noProof/>
            <w:webHidden/>
          </w:rPr>
          <w:fldChar w:fldCharType="separate"/>
        </w:r>
        <w:r w:rsidR="00D76BB4">
          <w:rPr>
            <w:noProof/>
            <w:webHidden/>
          </w:rPr>
          <w:t>131</w:t>
        </w:r>
        <w:r w:rsidR="00D76BB4">
          <w:rPr>
            <w:noProof/>
            <w:webHidden/>
          </w:rPr>
          <w:fldChar w:fldCharType="end"/>
        </w:r>
      </w:hyperlink>
    </w:p>
    <w:p w14:paraId="1E7C6C07" w14:textId="77777777" w:rsidR="00D76BB4" w:rsidRDefault="00B22F56" w:rsidP="00D76BB4">
      <w:pPr>
        <w:pStyle w:val="Tabledesillustrations"/>
        <w:tabs>
          <w:tab w:val="right" w:leader="dot" w:pos="9204"/>
        </w:tabs>
        <w:ind w:left="1134" w:hanging="1134"/>
        <w:rPr>
          <w:rFonts w:asciiTheme="minorHAnsi" w:eastAsiaTheme="minorEastAsia" w:hAnsiTheme="minorHAnsi" w:cstheme="minorBidi"/>
          <w:noProof/>
          <w:sz w:val="22"/>
        </w:rPr>
      </w:pPr>
      <w:hyperlink w:anchor="_Toc90392987" w:history="1">
        <w:r w:rsidR="00D76BB4" w:rsidRPr="009A01B3">
          <w:rPr>
            <w:rStyle w:val="Lienhypertexte"/>
            <w:noProof/>
          </w:rPr>
          <w:t>Tableau 19. Modules suivants devront être développés lors de ces formations :</w:t>
        </w:r>
        <w:r w:rsidR="00D76BB4">
          <w:rPr>
            <w:noProof/>
            <w:webHidden/>
          </w:rPr>
          <w:tab/>
        </w:r>
        <w:r w:rsidR="00D76BB4">
          <w:rPr>
            <w:noProof/>
            <w:webHidden/>
          </w:rPr>
          <w:fldChar w:fldCharType="begin"/>
        </w:r>
        <w:r w:rsidR="00D76BB4">
          <w:rPr>
            <w:noProof/>
            <w:webHidden/>
          </w:rPr>
          <w:instrText xml:space="preserve"> PAGEREF _Toc90392987 \h </w:instrText>
        </w:r>
        <w:r w:rsidR="00D76BB4">
          <w:rPr>
            <w:noProof/>
            <w:webHidden/>
          </w:rPr>
        </w:r>
        <w:r w:rsidR="00D76BB4">
          <w:rPr>
            <w:noProof/>
            <w:webHidden/>
          </w:rPr>
          <w:fldChar w:fldCharType="separate"/>
        </w:r>
        <w:r w:rsidR="00D76BB4">
          <w:rPr>
            <w:noProof/>
            <w:webHidden/>
          </w:rPr>
          <w:t>148</w:t>
        </w:r>
        <w:r w:rsidR="00D76BB4">
          <w:rPr>
            <w:noProof/>
            <w:webHidden/>
          </w:rPr>
          <w:fldChar w:fldCharType="end"/>
        </w:r>
      </w:hyperlink>
    </w:p>
    <w:p w14:paraId="26490CCE" w14:textId="77777777" w:rsidR="00D76BB4" w:rsidRDefault="00B22F56" w:rsidP="00D76BB4">
      <w:pPr>
        <w:pStyle w:val="Tabledesillustrations"/>
        <w:tabs>
          <w:tab w:val="right" w:leader="dot" w:pos="9204"/>
        </w:tabs>
        <w:ind w:left="1134" w:hanging="1134"/>
        <w:rPr>
          <w:rFonts w:asciiTheme="minorHAnsi" w:eastAsiaTheme="minorEastAsia" w:hAnsiTheme="minorHAnsi" w:cstheme="minorBidi"/>
          <w:noProof/>
          <w:sz w:val="22"/>
        </w:rPr>
      </w:pPr>
      <w:hyperlink w:anchor="_Toc90392988" w:history="1">
        <w:r w:rsidR="00D76BB4" w:rsidRPr="009A01B3">
          <w:rPr>
            <w:rStyle w:val="Lienhypertexte"/>
            <w:noProof/>
          </w:rPr>
          <w:t>Tableau 20. Information et Sensibilisation</w:t>
        </w:r>
        <w:r w:rsidR="00D76BB4">
          <w:rPr>
            <w:noProof/>
            <w:webHidden/>
          </w:rPr>
          <w:tab/>
        </w:r>
        <w:r w:rsidR="00D76BB4">
          <w:rPr>
            <w:noProof/>
            <w:webHidden/>
          </w:rPr>
          <w:fldChar w:fldCharType="begin"/>
        </w:r>
        <w:r w:rsidR="00D76BB4">
          <w:rPr>
            <w:noProof/>
            <w:webHidden/>
          </w:rPr>
          <w:instrText xml:space="preserve"> PAGEREF _Toc90392988 \h </w:instrText>
        </w:r>
        <w:r w:rsidR="00D76BB4">
          <w:rPr>
            <w:noProof/>
            <w:webHidden/>
          </w:rPr>
        </w:r>
        <w:r w:rsidR="00D76BB4">
          <w:rPr>
            <w:noProof/>
            <w:webHidden/>
          </w:rPr>
          <w:fldChar w:fldCharType="separate"/>
        </w:r>
        <w:r w:rsidR="00D76BB4">
          <w:rPr>
            <w:noProof/>
            <w:webHidden/>
          </w:rPr>
          <w:t>150</w:t>
        </w:r>
        <w:r w:rsidR="00D76BB4">
          <w:rPr>
            <w:noProof/>
            <w:webHidden/>
          </w:rPr>
          <w:fldChar w:fldCharType="end"/>
        </w:r>
      </w:hyperlink>
    </w:p>
    <w:p w14:paraId="5B7D0085" w14:textId="77777777" w:rsidR="00D76BB4" w:rsidRDefault="00B22F56" w:rsidP="00D76BB4">
      <w:pPr>
        <w:pStyle w:val="Tabledesillustrations"/>
        <w:tabs>
          <w:tab w:val="right" w:leader="dot" w:pos="9204"/>
        </w:tabs>
        <w:ind w:left="1134" w:hanging="1134"/>
        <w:rPr>
          <w:rFonts w:asciiTheme="minorHAnsi" w:eastAsiaTheme="minorEastAsia" w:hAnsiTheme="minorHAnsi" w:cstheme="minorBidi"/>
          <w:noProof/>
          <w:sz w:val="22"/>
        </w:rPr>
      </w:pPr>
      <w:hyperlink w:anchor="_Toc90392989" w:history="1">
        <w:r w:rsidR="00D76BB4" w:rsidRPr="009A01B3">
          <w:rPr>
            <w:rStyle w:val="Lienhypertexte"/>
            <w:rFonts w:cs="Arial"/>
            <w:noProof/>
          </w:rPr>
          <w:t>Tableau 21. Étapes de mise en œuvre de CERC</w:t>
        </w:r>
        <w:r w:rsidR="00D76BB4">
          <w:rPr>
            <w:noProof/>
            <w:webHidden/>
          </w:rPr>
          <w:tab/>
        </w:r>
        <w:r w:rsidR="00D76BB4">
          <w:rPr>
            <w:noProof/>
            <w:webHidden/>
          </w:rPr>
          <w:fldChar w:fldCharType="begin"/>
        </w:r>
        <w:r w:rsidR="00D76BB4">
          <w:rPr>
            <w:noProof/>
            <w:webHidden/>
          </w:rPr>
          <w:instrText xml:space="preserve"> PAGEREF _Toc90392989 \h </w:instrText>
        </w:r>
        <w:r w:rsidR="00D76BB4">
          <w:rPr>
            <w:noProof/>
            <w:webHidden/>
          </w:rPr>
        </w:r>
        <w:r w:rsidR="00D76BB4">
          <w:rPr>
            <w:noProof/>
            <w:webHidden/>
          </w:rPr>
          <w:fldChar w:fldCharType="separate"/>
        </w:r>
        <w:r w:rsidR="00D76BB4">
          <w:rPr>
            <w:noProof/>
            <w:webHidden/>
          </w:rPr>
          <w:t>151</w:t>
        </w:r>
        <w:r w:rsidR="00D76BB4">
          <w:rPr>
            <w:noProof/>
            <w:webHidden/>
          </w:rPr>
          <w:fldChar w:fldCharType="end"/>
        </w:r>
      </w:hyperlink>
    </w:p>
    <w:p w14:paraId="6589C54E" w14:textId="77777777" w:rsidR="00D76BB4" w:rsidRDefault="00B22F56" w:rsidP="00D76BB4">
      <w:pPr>
        <w:pStyle w:val="Tabledesillustrations"/>
        <w:tabs>
          <w:tab w:val="right" w:leader="dot" w:pos="9204"/>
        </w:tabs>
        <w:ind w:left="1134" w:hanging="1134"/>
        <w:rPr>
          <w:rFonts w:asciiTheme="minorHAnsi" w:eastAsiaTheme="minorEastAsia" w:hAnsiTheme="minorHAnsi" w:cstheme="minorBidi"/>
          <w:noProof/>
          <w:sz w:val="22"/>
        </w:rPr>
      </w:pPr>
      <w:hyperlink w:anchor="_Toc90392990" w:history="1">
        <w:r w:rsidR="00D76BB4" w:rsidRPr="009A01B3">
          <w:rPr>
            <w:rStyle w:val="Lienhypertexte"/>
            <w:rFonts w:cs="Arial"/>
            <w:noProof/>
          </w:rPr>
          <w:t>Tableau 22. Impacts positifs</w:t>
        </w:r>
        <w:r w:rsidR="00D76BB4">
          <w:rPr>
            <w:noProof/>
            <w:webHidden/>
          </w:rPr>
          <w:tab/>
        </w:r>
        <w:r w:rsidR="00D76BB4">
          <w:rPr>
            <w:noProof/>
            <w:webHidden/>
          </w:rPr>
          <w:fldChar w:fldCharType="begin"/>
        </w:r>
        <w:r w:rsidR="00D76BB4">
          <w:rPr>
            <w:noProof/>
            <w:webHidden/>
          </w:rPr>
          <w:instrText xml:space="preserve"> PAGEREF _Toc90392990 \h </w:instrText>
        </w:r>
        <w:r w:rsidR="00D76BB4">
          <w:rPr>
            <w:noProof/>
            <w:webHidden/>
          </w:rPr>
        </w:r>
        <w:r w:rsidR="00D76BB4">
          <w:rPr>
            <w:noProof/>
            <w:webHidden/>
          </w:rPr>
          <w:fldChar w:fldCharType="separate"/>
        </w:r>
        <w:r w:rsidR="00D76BB4">
          <w:rPr>
            <w:noProof/>
            <w:webHidden/>
          </w:rPr>
          <w:t>155</w:t>
        </w:r>
        <w:r w:rsidR="00D76BB4">
          <w:rPr>
            <w:noProof/>
            <w:webHidden/>
          </w:rPr>
          <w:fldChar w:fldCharType="end"/>
        </w:r>
      </w:hyperlink>
    </w:p>
    <w:p w14:paraId="71633D1D" w14:textId="77777777" w:rsidR="00D76BB4" w:rsidRDefault="00B22F56" w:rsidP="00D76BB4">
      <w:pPr>
        <w:pStyle w:val="Tabledesillustrations"/>
        <w:tabs>
          <w:tab w:val="right" w:leader="dot" w:pos="9204"/>
        </w:tabs>
        <w:ind w:left="1134" w:hanging="1134"/>
        <w:rPr>
          <w:rFonts w:asciiTheme="minorHAnsi" w:eastAsiaTheme="minorEastAsia" w:hAnsiTheme="minorHAnsi" w:cstheme="minorBidi"/>
          <w:noProof/>
          <w:sz w:val="22"/>
        </w:rPr>
      </w:pPr>
      <w:hyperlink w:anchor="_Toc90392991" w:history="1">
        <w:r w:rsidR="00D76BB4" w:rsidRPr="009A01B3">
          <w:rPr>
            <w:rStyle w:val="Lienhypertexte"/>
            <w:rFonts w:cs="Arial"/>
            <w:noProof/>
          </w:rPr>
          <w:t>Tableau 23. Autres projets ou activités dans la zone d’influence du projet</w:t>
        </w:r>
        <w:r w:rsidR="00D76BB4">
          <w:rPr>
            <w:noProof/>
            <w:webHidden/>
          </w:rPr>
          <w:tab/>
        </w:r>
        <w:r w:rsidR="00D76BB4">
          <w:rPr>
            <w:noProof/>
            <w:webHidden/>
          </w:rPr>
          <w:fldChar w:fldCharType="begin"/>
        </w:r>
        <w:r w:rsidR="00D76BB4">
          <w:rPr>
            <w:noProof/>
            <w:webHidden/>
          </w:rPr>
          <w:instrText xml:space="preserve"> PAGEREF _Toc90392991 \h </w:instrText>
        </w:r>
        <w:r w:rsidR="00D76BB4">
          <w:rPr>
            <w:noProof/>
            <w:webHidden/>
          </w:rPr>
        </w:r>
        <w:r w:rsidR="00D76BB4">
          <w:rPr>
            <w:noProof/>
            <w:webHidden/>
          </w:rPr>
          <w:fldChar w:fldCharType="separate"/>
        </w:r>
        <w:r w:rsidR="00D76BB4">
          <w:rPr>
            <w:noProof/>
            <w:webHidden/>
          </w:rPr>
          <w:t>169</w:t>
        </w:r>
        <w:r w:rsidR="00D76BB4">
          <w:rPr>
            <w:noProof/>
            <w:webHidden/>
          </w:rPr>
          <w:fldChar w:fldCharType="end"/>
        </w:r>
      </w:hyperlink>
    </w:p>
    <w:p w14:paraId="072C8470" w14:textId="77777777" w:rsidR="00D76BB4" w:rsidRDefault="00B22F56" w:rsidP="00D76BB4">
      <w:pPr>
        <w:pStyle w:val="Tabledesillustrations"/>
        <w:tabs>
          <w:tab w:val="right" w:leader="dot" w:pos="9204"/>
        </w:tabs>
        <w:ind w:left="1134" w:hanging="1134"/>
        <w:rPr>
          <w:rFonts w:asciiTheme="minorHAnsi" w:eastAsiaTheme="minorEastAsia" w:hAnsiTheme="minorHAnsi" w:cstheme="minorBidi"/>
          <w:noProof/>
          <w:sz w:val="22"/>
        </w:rPr>
      </w:pPr>
      <w:hyperlink w:anchor="_Toc90392992" w:history="1">
        <w:r w:rsidR="00D76BB4" w:rsidRPr="009A01B3">
          <w:rPr>
            <w:rStyle w:val="Lienhypertexte"/>
            <w:rFonts w:cs="Arial"/>
            <w:noProof/>
          </w:rPr>
          <w:t>Tableau 24.</w:t>
        </w:r>
        <w:r w:rsidR="00D76BB4" w:rsidRPr="009A01B3">
          <w:rPr>
            <w:rStyle w:val="Lienhypertexte"/>
            <w:noProof/>
          </w:rPr>
          <w:t xml:space="preserve"> Impacts positifs cumulatifs</w:t>
        </w:r>
        <w:r w:rsidR="00D76BB4">
          <w:rPr>
            <w:noProof/>
            <w:webHidden/>
          </w:rPr>
          <w:tab/>
        </w:r>
        <w:r w:rsidR="00D76BB4">
          <w:rPr>
            <w:noProof/>
            <w:webHidden/>
          </w:rPr>
          <w:fldChar w:fldCharType="begin"/>
        </w:r>
        <w:r w:rsidR="00D76BB4">
          <w:rPr>
            <w:noProof/>
            <w:webHidden/>
          </w:rPr>
          <w:instrText xml:space="preserve"> PAGEREF _Toc90392992 \h </w:instrText>
        </w:r>
        <w:r w:rsidR="00D76BB4">
          <w:rPr>
            <w:noProof/>
            <w:webHidden/>
          </w:rPr>
        </w:r>
        <w:r w:rsidR="00D76BB4">
          <w:rPr>
            <w:noProof/>
            <w:webHidden/>
          </w:rPr>
          <w:fldChar w:fldCharType="separate"/>
        </w:r>
        <w:r w:rsidR="00D76BB4">
          <w:rPr>
            <w:noProof/>
            <w:webHidden/>
          </w:rPr>
          <w:t>172</w:t>
        </w:r>
        <w:r w:rsidR="00D76BB4">
          <w:rPr>
            <w:noProof/>
            <w:webHidden/>
          </w:rPr>
          <w:fldChar w:fldCharType="end"/>
        </w:r>
      </w:hyperlink>
    </w:p>
    <w:p w14:paraId="51E17CC0" w14:textId="77777777" w:rsidR="00D76BB4" w:rsidRDefault="00B22F56" w:rsidP="00D76BB4">
      <w:pPr>
        <w:pStyle w:val="Tabledesillustrations"/>
        <w:tabs>
          <w:tab w:val="right" w:leader="dot" w:pos="9204"/>
        </w:tabs>
        <w:ind w:left="1134" w:hanging="1134"/>
        <w:rPr>
          <w:rFonts w:asciiTheme="minorHAnsi" w:eastAsiaTheme="minorEastAsia" w:hAnsiTheme="minorHAnsi" w:cstheme="minorBidi"/>
          <w:noProof/>
          <w:sz w:val="22"/>
        </w:rPr>
      </w:pPr>
      <w:hyperlink w:anchor="_Toc90392993" w:history="1">
        <w:r w:rsidR="00D76BB4" w:rsidRPr="009A01B3">
          <w:rPr>
            <w:rStyle w:val="Lienhypertexte"/>
            <w:rFonts w:cs="Arial"/>
            <w:noProof/>
          </w:rPr>
          <w:t xml:space="preserve">Tableau 25. </w:t>
        </w:r>
        <w:r w:rsidR="00D76BB4" w:rsidRPr="009A01B3">
          <w:rPr>
            <w:rStyle w:val="Lienhypertexte"/>
            <w:noProof/>
          </w:rPr>
          <w:t>Impacts négatifs cumulatifs</w:t>
        </w:r>
        <w:r w:rsidR="00D76BB4">
          <w:rPr>
            <w:noProof/>
            <w:webHidden/>
          </w:rPr>
          <w:tab/>
        </w:r>
        <w:r w:rsidR="00D76BB4">
          <w:rPr>
            <w:noProof/>
            <w:webHidden/>
          </w:rPr>
          <w:fldChar w:fldCharType="begin"/>
        </w:r>
        <w:r w:rsidR="00D76BB4">
          <w:rPr>
            <w:noProof/>
            <w:webHidden/>
          </w:rPr>
          <w:instrText xml:space="preserve"> PAGEREF _Toc90392993 \h </w:instrText>
        </w:r>
        <w:r w:rsidR="00D76BB4">
          <w:rPr>
            <w:noProof/>
            <w:webHidden/>
          </w:rPr>
        </w:r>
        <w:r w:rsidR="00D76BB4">
          <w:rPr>
            <w:noProof/>
            <w:webHidden/>
          </w:rPr>
          <w:fldChar w:fldCharType="separate"/>
        </w:r>
        <w:r w:rsidR="00D76BB4">
          <w:rPr>
            <w:noProof/>
            <w:webHidden/>
          </w:rPr>
          <w:t>173</w:t>
        </w:r>
        <w:r w:rsidR="00D76BB4">
          <w:rPr>
            <w:noProof/>
            <w:webHidden/>
          </w:rPr>
          <w:fldChar w:fldCharType="end"/>
        </w:r>
      </w:hyperlink>
    </w:p>
    <w:p w14:paraId="527BB734" w14:textId="77777777" w:rsidR="00D76BB4" w:rsidRDefault="00B22F56" w:rsidP="00D76BB4">
      <w:pPr>
        <w:pStyle w:val="Tabledesillustrations"/>
        <w:tabs>
          <w:tab w:val="right" w:leader="dot" w:pos="9204"/>
        </w:tabs>
        <w:ind w:left="1134" w:hanging="1134"/>
        <w:rPr>
          <w:rFonts w:asciiTheme="minorHAnsi" w:eastAsiaTheme="minorEastAsia" w:hAnsiTheme="minorHAnsi" w:cstheme="minorBidi"/>
          <w:noProof/>
          <w:sz w:val="22"/>
        </w:rPr>
      </w:pPr>
      <w:hyperlink w:anchor="_Toc90392994" w:history="1">
        <w:r w:rsidR="00D76BB4" w:rsidRPr="009A01B3">
          <w:rPr>
            <w:rStyle w:val="Lienhypertexte"/>
            <w:rFonts w:cs="Arial"/>
            <w:noProof/>
          </w:rPr>
          <w:t xml:space="preserve">Tableau 26. </w:t>
        </w:r>
        <w:r w:rsidR="00D76BB4" w:rsidRPr="009A01B3">
          <w:rPr>
            <w:rStyle w:val="Lienhypertexte"/>
            <w:noProof/>
          </w:rPr>
          <w:t>Risques et impacts potentiels aux NES pertinentes et aux instruments E&amp;S applicables au PNDA</w:t>
        </w:r>
        <w:r w:rsidR="00D76BB4">
          <w:rPr>
            <w:noProof/>
            <w:webHidden/>
          </w:rPr>
          <w:tab/>
        </w:r>
        <w:r w:rsidR="00D76BB4">
          <w:rPr>
            <w:noProof/>
            <w:webHidden/>
          </w:rPr>
          <w:fldChar w:fldCharType="begin"/>
        </w:r>
        <w:r w:rsidR="00D76BB4">
          <w:rPr>
            <w:noProof/>
            <w:webHidden/>
          </w:rPr>
          <w:instrText xml:space="preserve"> PAGEREF _Toc90392994 \h </w:instrText>
        </w:r>
        <w:r w:rsidR="00D76BB4">
          <w:rPr>
            <w:noProof/>
            <w:webHidden/>
          </w:rPr>
        </w:r>
        <w:r w:rsidR="00D76BB4">
          <w:rPr>
            <w:noProof/>
            <w:webHidden/>
          </w:rPr>
          <w:fldChar w:fldCharType="separate"/>
        </w:r>
        <w:r w:rsidR="00D76BB4">
          <w:rPr>
            <w:noProof/>
            <w:webHidden/>
          </w:rPr>
          <w:t>174</w:t>
        </w:r>
        <w:r w:rsidR="00D76BB4">
          <w:rPr>
            <w:noProof/>
            <w:webHidden/>
          </w:rPr>
          <w:fldChar w:fldCharType="end"/>
        </w:r>
      </w:hyperlink>
    </w:p>
    <w:p w14:paraId="6F301D7B" w14:textId="77777777" w:rsidR="00D76BB4" w:rsidRDefault="00B22F56" w:rsidP="00D76BB4">
      <w:pPr>
        <w:pStyle w:val="Tabledesillustrations"/>
        <w:tabs>
          <w:tab w:val="right" w:leader="dot" w:pos="9204"/>
        </w:tabs>
        <w:ind w:left="1134" w:hanging="1134"/>
        <w:rPr>
          <w:rFonts w:asciiTheme="minorHAnsi" w:eastAsiaTheme="minorEastAsia" w:hAnsiTheme="minorHAnsi" w:cstheme="minorBidi"/>
          <w:noProof/>
          <w:sz w:val="22"/>
        </w:rPr>
      </w:pPr>
      <w:hyperlink w:anchor="_Toc90392995" w:history="1">
        <w:r w:rsidR="00D76BB4" w:rsidRPr="009A01B3">
          <w:rPr>
            <w:rStyle w:val="Lienhypertexte"/>
            <w:rFonts w:cs="Arial"/>
            <w:noProof/>
          </w:rPr>
          <w:t>Tableau 27. Impacts négatifs potentiels des activités de soutien direct aux petits exploitants</w:t>
        </w:r>
        <w:r w:rsidR="00D76BB4">
          <w:rPr>
            <w:noProof/>
            <w:webHidden/>
          </w:rPr>
          <w:tab/>
        </w:r>
        <w:r w:rsidR="00D76BB4">
          <w:rPr>
            <w:noProof/>
            <w:webHidden/>
          </w:rPr>
          <w:fldChar w:fldCharType="begin"/>
        </w:r>
        <w:r w:rsidR="00D76BB4">
          <w:rPr>
            <w:noProof/>
            <w:webHidden/>
          </w:rPr>
          <w:instrText xml:space="preserve"> PAGEREF _Toc90392995 \h </w:instrText>
        </w:r>
        <w:r w:rsidR="00D76BB4">
          <w:rPr>
            <w:noProof/>
            <w:webHidden/>
          </w:rPr>
        </w:r>
        <w:r w:rsidR="00D76BB4">
          <w:rPr>
            <w:noProof/>
            <w:webHidden/>
          </w:rPr>
          <w:fldChar w:fldCharType="separate"/>
        </w:r>
        <w:r w:rsidR="00D76BB4">
          <w:rPr>
            <w:noProof/>
            <w:webHidden/>
          </w:rPr>
          <w:t>176</w:t>
        </w:r>
        <w:r w:rsidR="00D76BB4">
          <w:rPr>
            <w:noProof/>
            <w:webHidden/>
          </w:rPr>
          <w:fldChar w:fldCharType="end"/>
        </w:r>
      </w:hyperlink>
    </w:p>
    <w:p w14:paraId="23E7DE7D" w14:textId="77777777" w:rsidR="00D76BB4" w:rsidRDefault="00B22F56" w:rsidP="00D76BB4">
      <w:pPr>
        <w:pStyle w:val="Tabledesillustrations"/>
        <w:tabs>
          <w:tab w:val="right" w:leader="dot" w:pos="9204"/>
        </w:tabs>
        <w:ind w:left="1134" w:hanging="1134"/>
        <w:rPr>
          <w:rFonts w:asciiTheme="minorHAnsi" w:eastAsiaTheme="minorEastAsia" w:hAnsiTheme="minorHAnsi" w:cstheme="minorBidi"/>
          <w:noProof/>
          <w:sz w:val="22"/>
        </w:rPr>
      </w:pPr>
      <w:hyperlink w:anchor="_Toc90392996" w:history="1">
        <w:r w:rsidR="00D76BB4" w:rsidRPr="009A01B3">
          <w:rPr>
            <w:rStyle w:val="Lienhypertexte"/>
            <w:rFonts w:cs="Arial"/>
            <w:noProof/>
          </w:rPr>
          <w:t>Tableau 28.  Impacts négatifs potentiels des travaux d’aménagement des routes rurales</w:t>
        </w:r>
        <w:r w:rsidR="00D76BB4">
          <w:rPr>
            <w:noProof/>
            <w:webHidden/>
          </w:rPr>
          <w:tab/>
        </w:r>
        <w:r w:rsidR="00D76BB4">
          <w:rPr>
            <w:noProof/>
            <w:webHidden/>
          </w:rPr>
          <w:fldChar w:fldCharType="begin"/>
        </w:r>
        <w:r w:rsidR="00D76BB4">
          <w:rPr>
            <w:noProof/>
            <w:webHidden/>
          </w:rPr>
          <w:instrText xml:space="preserve"> PAGEREF _Toc90392996 \h </w:instrText>
        </w:r>
        <w:r w:rsidR="00D76BB4">
          <w:rPr>
            <w:noProof/>
            <w:webHidden/>
          </w:rPr>
        </w:r>
        <w:r w:rsidR="00D76BB4">
          <w:rPr>
            <w:noProof/>
            <w:webHidden/>
          </w:rPr>
          <w:fldChar w:fldCharType="separate"/>
        </w:r>
        <w:r w:rsidR="00D76BB4">
          <w:rPr>
            <w:noProof/>
            <w:webHidden/>
          </w:rPr>
          <w:t>177</w:t>
        </w:r>
        <w:r w:rsidR="00D76BB4">
          <w:rPr>
            <w:noProof/>
            <w:webHidden/>
          </w:rPr>
          <w:fldChar w:fldCharType="end"/>
        </w:r>
      </w:hyperlink>
    </w:p>
    <w:p w14:paraId="114F1CFB" w14:textId="77777777" w:rsidR="00D76BB4" w:rsidRDefault="00B22F56" w:rsidP="00D76BB4">
      <w:pPr>
        <w:pStyle w:val="Tabledesillustrations"/>
        <w:tabs>
          <w:tab w:val="right" w:leader="dot" w:pos="9204"/>
        </w:tabs>
        <w:ind w:left="1134" w:hanging="1134"/>
        <w:rPr>
          <w:rFonts w:asciiTheme="minorHAnsi" w:eastAsiaTheme="minorEastAsia" w:hAnsiTheme="minorHAnsi" w:cstheme="minorBidi"/>
          <w:noProof/>
          <w:sz w:val="22"/>
        </w:rPr>
      </w:pPr>
      <w:hyperlink w:anchor="_Toc90392997" w:history="1">
        <w:r w:rsidR="00D76BB4" w:rsidRPr="009A01B3">
          <w:rPr>
            <w:rStyle w:val="Lienhypertexte"/>
            <w:rFonts w:cs="Arial"/>
            <w:noProof/>
          </w:rPr>
          <w:t>Tableau 29.</w:t>
        </w:r>
        <w:r w:rsidR="00D76BB4" w:rsidRPr="009A01B3">
          <w:rPr>
            <w:rStyle w:val="Lienhypertexte"/>
            <w:rFonts w:cs="Arial"/>
            <w:bCs/>
            <w:noProof/>
          </w:rPr>
          <w:t xml:space="preserve"> </w:t>
        </w:r>
        <w:r w:rsidR="00D76BB4" w:rsidRPr="009A01B3">
          <w:rPr>
            <w:rStyle w:val="Lienhypertexte"/>
            <w:rFonts w:cs="Arial"/>
            <w:noProof/>
          </w:rPr>
          <w:t>Impacts négatifs potentiels des travaux de construction/réhabilitation des marchés communautaires et abattoirs</w:t>
        </w:r>
        <w:r w:rsidR="00D76BB4">
          <w:rPr>
            <w:noProof/>
            <w:webHidden/>
          </w:rPr>
          <w:tab/>
        </w:r>
        <w:r w:rsidR="00D76BB4">
          <w:rPr>
            <w:noProof/>
            <w:webHidden/>
          </w:rPr>
          <w:fldChar w:fldCharType="begin"/>
        </w:r>
        <w:r w:rsidR="00D76BB4">
          <w:rPr>
            <w:noProof/>
            <w:webHidden/>
          </w:rPr>
          <w:instrText xml:space="preserve"> PAGEREF _Toc90392997 \h </w:instrText>
        </w:r>
        <w:r w:rsidR="00D76BB4">
          <w:rPr>
            <w:noProof/>
            <w:webHidden/>
          </w:rPr>
        </w:r>
        <w:r w:rsidR="00D76BB4">
          <w:rPr>
            <w:noProof/>
            <w:webHidden/>
          </w:rPr>
          <w:fldChar w:fldCharType="separate"/>
        </w:r>
        <w:r w:rsidR="00D76BB4">
          <w:rPr>
            <w:noProof/>
            <w:webHidden/>
          </w:rPr>
          <w:t>178</w:t>
        </w:r>
        <w:r w:rsidR="00D76BB4">
          <w:rPr>
            <w:noProof/>
            <w:webHidden/>
          </w:rPr>
          <w:fldChar w:fldCharType="end"/>
        </w:r>
      </w:hyperlink>
    </w:p>
    <w:p w14:paraId="23178C2C" w14:textId="77777777" w:rsidR="00D76BB4" w:rsidRDefault="00B22F56" w:rsidP="00D76BB4">
      <w:pPr>
        <w:pStyle w:val="Tabledesillustrations"/>
        <w:tabs>
          <w:tab w:val="right" w:leader="dot" w:pos="9204"/>
        </w:tabs>
        <w:ind w:left="1134" w:hanging="1134"/>
        <w:rPr>
          <w:rFonts w:asciiTheme="minorHAnsi" w:eastAsiaTheme="minorEastAsia" w:hAnsiTheme="minorHAnsi" w:cstheme="minorBidi"/>
          <w:noProof/>
          <w:sz w:val="22"/>
        </w:rPr>
      </w:pPr>
      <w:hyperlink w:anchor="_Toc90392998" w:history="1">
        <w:r w:rsidR="00D76BB4" w:rsidRPr="009A01B3">
          <w:rPr>
            <w:rStyle w:val="Lienhypertexte"/>
            <w:rFonts w:cs="Arial"/>
            <w:noProof/>
          </w:rPr>
          <w:t>Tableau 30.</w:t>
        </w:r>
        <w:r w:rsidR="00D76BB4" w:rsidRPr="009A01B3">
          <w:rPr>
            <w:rStyle w:val="Lienhypertexte"/>
            <w:rFonts w:cs="Arial"/>
            <w:bCs/>
            <w:noProof/>
          </w:rPr>
          <w:t xml:space="preserve"> </w:t>
        </w:r>
        <w:r w:rsidR="00D76BB4" w:rsidRPr="009A01B3">
          <w:rPr>
            <w:rStyle w:val="Lienhypertexte"/>
            <w:rFonts w:cs="Arial"/>
            <w:noProof/>
          </w:rPr>
          <w:t>Impacts négatifs potentiels des travaux d’irrigation (aménagement et ouvrages hydrauliques)</w:t>
        </w:r>
        <w:r w:rsidR="00D76BB4">
          <w:rPr>
            <w:noProof/>
            <w:webHidden/>
          </w:rPr>
          <w:tab/>
        </w:r>
        <w:r w:rsidR="00D76BB4">
          <w:rPr>
            <w:noProof/>
            <w:webHidden/>
          </w:rPr>
          <w:fldChar w:fldCharType="begin"/>
        </w:r>
        <w:r w:rsidR="00D76BB4">
          <w:rPr>
            <w:noProof/>
            <w:webHidden/>
          </w:rPr>
          <w:instrText xml:space="preserve"> PAGEREF _Toc90392998 \h </w:instrText>
        </w:r>
        <w:r w:rsidR="00D76BB4">
          <w:rPr>
            <w:noProof/>
            <w:webHidden/>
          </w:rPr>
        </w:r>
        <w:r w:rsidR="00D76BB4">
          <w:rPr>
            <w:noProof/>
            <w:webHidden/>
          </w:rPr>
          <w:fldChar w:fldCharType="separate"/>
        </w:r>
        <w:r w:rsidR="00D76BB4">
          <w:rPr>
            <w:noProof/>
            <w:webHidden/>
          </w:rPr>
          <w:t>179</w:t>
        </w:r>
        <w:r w:rsidR="00D76BB4">
          <w:rPr>
            <w:noProof/>
            <w:webHidden/>
          </w:rPr>
          <w:fldChar w:fldCharType="end"/>
        </w:r>
      </w:hyperlink>
    </w:p>
    <w:p w14:paraId="5969364B" w14:textId="77777777" w:rsidR="00D76BB4" w:rsidRDefault="00B22F56" w:rsidP="00D76BB4">
      <w:pPr>
        <w:pStyle w:val="Tabledesillustrations"/>
        <w:tabs>
          <w:tab w:val="right" w:leader="dot" w:pos="9204"/>
        </w:tabs>
        <w:ind w:left="1134" w:hanging="1134"/>
        <w:rPr>
          <w:rFonts w:asciiTheme="minorHAnsi" w:eastAsiaTheme="minorEastAsia" w:hAnsiTheme="minorHAnsi" w:cstheme="minorBidi"/>
          <w:noProof/>
          <w:sz w:val="22"/>
        </w:rPr>
      </w:pPr>
      <w:hyperlink w:anchor="_Toc90392999" w:history="1">
        <w:r w:rsidR="00D76BB4" w:rsidRPr="009A01B3">
          <w:rPr>
            <w:rStyle w:val="Lienhypertexte"/>
            <w:rFonts w:cs="Arial"/>
            <w:noProof/>
          </w:rPr>
          <w:t>Tableau 31.  Synthèse de l’appréciation des impacts des composantes</w:t>
        </w:r>
        <w:r w:rsidR="00D76BB4">
          <w:rPr>
            <w:noProof/>
            <w:webHidden/>
          </w:rPr>
          <w:tab/>
        </w:r>
        <w:r w:rsidR="00D76BB4">
          <w:rPr>
            <w:noProof/>
            <w:webHidden/>
          </w:rPr>
          <w:fldChar w:fldCharType="begin"/>
        </w:r>
        <w:r w:rsidR="00D76BB4">
          <w:rPr>
            <w:noProof/>
            <w:webHidden/>
          </w:rPr>
          <w:instrText xml:space="preserve"> PAGEREF _Toc90392999 \h </w:instrText>
        </w:r>
        <w:r w:rsidR="00D76BB4">
          <w:rPr>
            <w:noProof/>
            <w:webHidden/>
          </w:rPr>
        </w:r>
        <w:r w:rsidR="00D76BB4">
          <w:rPr>
            <w:noProof/>
            <w:webHidden/>
          </w:rPr>
          <w:fldChar w:fldCharType="separate"/>
        </w:r>
        <w:r w:rsidR="00D76BB4">
          <w:rPr>
            <w:noProof/>
            <w:webHidden/>
          </w:rPr>
          <w:t>179</w:t>
        </w:r>
        <w:r w:rsidR="00D76BB4">
          <w:rPr>
            <w:noProof/>
            <w:webHidden/>
          </w:rPr>
          <w:fldChar w:fldCharType="end"/>
        </w:r>
      </w:hyperlink>
    </w:p>
    <w:p w14:paraId="3454D1EF" w14:textId="77777777" w:rsidR="00D76BB4" w:rsidRDefault="00B22F56" w:rsidP="00D76BB4">
      <w:pPr>
        <w:pStyle w:val="Tabledesillustrations"/>
        <w:tabs>
          <w:tab w:val="right" w:leader="dot" w:pos="9204"/>
        </w:tabs>
        <w:ind w:left="1134" w:hanging="1134"/>
        <w:rPr>
          <w:rFonts w:asciiTheme="minorHAnsi" w:eastAsiaTheme="minorEastAsia" w:hAnsiTheme="minorHAnsi" w:cstheme="minorBidi"/>
          <w:noProof/>
          <w:sz w:val="22"/>
        </w:rPr>
      </w:pPr>
      <w:hyperlink w:anchor="_Toc90393000" w:history="1">
        <w:r w:rsidR="00D76BB4" w:rsidRPr="009A01B3">
          <w:rPr>
            <w:rStyle w:val="Lienhypertexte"/>
            <w:rFonts w:cs="Arial"/>
            <w:noProof/>
          </w:rPr>
          <w:t xml:space="preserve">Tableau 32.  </w:t>
        </w:r>
        <w:r w:rsidR="00D76BB4" w:rsidRPr="009A01B3">
          <w:rPr>
            <w:rStyle w:val="Lienhypertexte"/>
            <w:rFonts w:cs="Arial"/>
            <w:iCs/>
            <w:noProof/>
          </w:rPr>
          <w:t>Mesures de bonification des impacts positifs de toutes les composantes</w:t>
        </w:r>
        <w:r w:rsidR="00D76BB4">
          <w:rPr>
            <w:noProof/>
            <w:webHidden/>
          </w:rPr>
          <w:tab/>
        </w:r>
        <w:r w:rsidR="00D76BB4">
          <w:rPr>
            <w:noProof/>
            <w:webHidden/>
          </w:rPr>
          <w:fldChar w:fldCharType="begin"/>
        </w:r>
        <w:r w:rsidR="00D76BB4">
          <w:rPr>
            <w:noProof/>
            <w:webHidden/>
          </w:rPr>
          <w:instrText xml:space="preserve"> PAGEREF _Toc90393000 \h </w:instrText>
        </w:r>
        <w:r w:rsidR="00D76BB4">
          <w:rPr>
            <w:noProof/>
            <w:webHidden/>
          </w:rPr>
        </w:r>
        <w:r w:rsidR="00D76BB4">
          <w:rPr>
            <w:noProof/>
            <w:webHidden/>
          </w:rPr>
          <w:fldChar w:fldCharType="separate"/>
        </w:r>
        <w:r w:rsidR="00D76BB4">
          <w:rPr>
            <w:noProof/>
            <w:webHidden/>
          </w:rPr>
          <w:t>180</w:t>
        </w:r>
        <w:r w:rsidR="00D76BB4">
          <w:rPr>
            <w:noProof/>
            <w:webHidden/>
          </w:rPr>
          <w:fldChar w:fldCharType="end"/>
        </w:r>
      </w:hyperlink>
    </w:p>
    <w:p w14:paraId="35068CE0" w14:textId="77777777" w:rsidR="00D76BB4" w:rsidRDefault="00B22F56" w:rsidP="00D76BB4">
      <w:pPr>
        <w:pStyle w:val="Tabledesillustrations"/>
        <w:tabs>
          <w:tab w:val="right" w:leader="dot" w:pos="9204"/>
        </w:tabs>
        <w:ind w:left="1134" w:hanging="1134"/>
        <w:rPr>
          <w:rFonts w:asciiTheme="minorHAnsi" w:eastAsiaTheme="minorEastAsia" w:hAnsiTheme="minorHAnsi" w:cstheme="minorBidi"/>
          <w:noProof/>
          <w:sz w:val="22"/>
        </w:rPr>
      </w:pPr>
      <w:hyperlink w:anchor="_Toc90393001" w:history="1">
        <w:r w:rsidR="00D76BB4" w:rsidRPr="009A01B3">
          <w:rPr>
            <w:rStyle w:val="Lienhypertexte"/>
            <w:rFonts w:cs="Arial"/>
            <w:noProof/>
          </w:rPr>
          <w:t>Tableau 33.  Mesures d’atténuation générales pour l’exécution les composantes thématiques affectées par le Projet</w:t>
        </w:r>
        <w:r w:rsidR="00D76BB4">
          <w:rPr>
            <w:noProof/>
            <w:webHidden/>
          </w:rPr>
          <w:tab/>
        </w:r>
        <w:r w:rsidR="00D76BB4">
          <w:rPr>
            <w:noProof/>
            <w:webHidden/>
          </w:rPr>
          <w:fldChar w:fldCharType="begin"/>
        </w:r>
        <w:r w:rsidR="00D76BB4">
          <w:rPr>
            <w:noProof/>
            <w:webHidden/>
          </w:rPr>
          <w:instrText xml:space="preserve"> PAGEREF _Toc90393001 \h </w:instrText>
        </w:r>
        <w:r w:rsidR="00D76BB4">
          <w:rPr>
            <w:noProof/>
            <w:webHidden/>
          </w:rPr>
        </w:r>
        <w:r w:rsidR="00D76BB4">
          <w:rPr>
            <w:noProof/>
            <w:webHidden/>
          </w:rPr>
          <w:fldChar w:fldCharType="separate"/>
        </w:r>
        <w:r w:rsidR="00D76BB4">
          <w:rPr>
            <w:noProof/>
            <w:webHidden/>
          </w:rPr>
          <w:t>183</w:t>
        </w:r>
        <w:r w:rsidR="00D76BB4">
          <w:rPr>
            <w:noProof/>
            <w:webHidden/>
          </w:rPr>
          <w:fldChar w:fldCharType="end"/>
        </w:r>
      </w:hyperlink>
    </w:p>
    <w:p w14:paraId="5757390D" w14:textId="77777777" w:rsidR="00D76BB4" w:rsidRDefault="00B22F56" w:rsidP="00D76BB4">
      <w:pPr>
        <w:pStyle w:val="Tabledesillustrations"/>
        <w:tabs>
          <w:tab w:val="right" w:leader="dot" w:pos="9204"/>
        </w:tabs>
        <w:ind w:left="1134" w:hanging="1134"/>
        <w:rPr>
          <w:rFonts w:asciiTheme="minorHAnsi" w:eastAsiaTheme="minorEastAsia" w:hAnsiTheme="minorHAnsi" w:cstheme="minorBidi"/>
          <w:noProof/>
          <w:sz w:val="22"/>
        </w:rPr>
      </w:pPr>
      <w:hyperlink w:anchor="_Toc90393002" w:history="1">
        <w:r w:rsidR="00D76BB4" w:rsidRPr="009A01B3">
          <w:rPr>
            <w:rStyle w:val="Lienhypertexte"/>
            <w:rFonts w:cs="Arial"/>
            <w:noProof/>
          </w:rPr>
          <w:t>Tableau 34.</w:t>
        </w:r>
        <w:r w:rsidR="00D76BB4" w:rsidRPr="009A01B3">
          <w:rPr>
            <w:rStyle w:val="Lienhypertexte"/>
            <w:rFonts w:cs="Arial"/>
            <w:noProof/>
            <w:lang w:val="fr-CD"/>
          </w:rPr>
          <w:t xml:space="preserve"> </w:t>
        </w:r>
        <w:r w:rsidR="00D76BB4" w:rsidRPr="009A01B3">
          <w:rPr>
            <w:rStyle w:val="Lienhypertexte"/>
            <w:rFonts w:cs="Arial"/>
            <w:noProof/>
          </w:rPr>
          <w:t>Synthèse des mesures d’atténuation en phase d’exploitation</w:t>
        </w:r>
        <w:r w:rsidR="00D76BB4">
          <w:rPr>
            <w:noProof/>
            <w:webHidden/>
          </w:rPr>
          <w:tab/>
        </w:r>
        <w:r w:rsidR="00D76BB4">
          <w:rPr>
            <w:noProof/>
            <w:webHidden/>
          </w:rPr>
          <w:fldChar w:fldCharType="begin"/>
        </w:r>
        <w:r w:rsidR="00D76BB4">
          <w:rPr>
            <w:noProof/>
            <w:webHidden/>
          </w:rPr>
          <w:instrText xml:space="preserve"> PAGEREF _Toc90393002 \h </w:instrText>
        </w:r>
        <w:r w:rsidR="00D76BB4">
          <w:rPr>
            <w:noProof/>
            <w:webHidden/>
          </w:rPr>
        </w:r>
        <w:r w:rsidR="00D76BB4">
          <w:rPr>
            <w:noProof/>
            <w:webHidden/>
          </w:rPr>
          <w:fldChar w:fldCharType="separate"/>
        </w:r>
        <w:r w:rsidR="00D76BB4">
          <w:rPr>
            <w:noProof/>
            <w:webHidden/>
          </w:rPr>
          <w:t>209</w:t>
        </w:r>
        <w:r w:rsidR="00D76BB4">
          <w:rPr>
            <w:noProof/>
            <w:webHidden/>
          </w:rPr>
          <w:fldChar w:fldCharType="end"/>
        </w:r>
      </w:hyperlink>
    </w:p>
    <w:p w14:paraId="48349318" w14:textId="77777777" w:rsidR="00D76BB4" w:rsidRDefault="00B22F56" w:rsidP="00D76BB4">
      <w:pPr>
        <w:pStyle w:val="Tabledesillustrations"/>
        <w:tabs>
          <w:tab w:val="right" w:leader="dot" w:pos="9204"/>
        </w:tabs>
        <w:ind w:left="1134" w:hanging="1134"/>
        <w:rPr>
          <w:rFonts w:asciiTheme="minorHAnsi" w:eastAsiaTheme="minorEastAsia" w:hAnsiTheme="minorHAnsi" w:cstheme="minorBidi"/>
          <w:noProof/>
          <w:sz w:val="22"/>
        </w:rPr>
      </w:pPr>
      <w:hyperlink w:anchor="_Toc90393003" w:history="1">
        <w:r w:rsidR="00D76BB4" w:rsidRPr="009A01B3">
          <w:rPr>
            <w:rStyle w:val="Lienhypertexte"/>
            <w:rFonts w:cs="Arial"/>
            <w:noProof/>
          </w:rPr>
          <w:t>Tableau 35.</w:t>
        </w:r>
        <w:r w:rsidR="00D76BB4" w:rsidRPr="009A01B3">
          <w:rPr>
            <w:rStyle w:val="Lienhypertexte"/>
            <w:rFonts w:cs="Arial"/>
            <w:bCs/>
            <w:noProof/>
          </w:rPr>
          <w:t xml:space="preserve"> </w:t>
        </w:r>
        <w:r w:rsidR="00D76BB4" w:rsidRPr="009A01B3">
          <w:rPr>
            <w:rStyle w:val="Lienhypertexte"/>
            <w:rFonts w:cs="Arial"/>
            <w:noProof/>
          </w:rPr>
          <w:t xml:space="preserve"> Synthèse des capacités de gestion environnementale et sociale des acteurs du Projet</w:t>
        </w:r>
        <w:r w:rsidR="00D76BB4">
          <w:rPr>
            <w:noProof/>
            <w:webHidden/>
          </w:rPr>
          <w:tab/>
        </w:r>
        <w:r w:rsidR="00D76BB4">
          <w:rPr>
            <w:noProof/>
            <w:webHidden/>
          </w:rPr>
          <w:fldChar w:fldCharType="begin"/>
        </w:r>
        <w:r w:rsidR="00D76BB4">
          <w:rPr>
            <w:noProof/>
            <w:webHidden/>
          </w:rPr>
          <w:instrText xml:space="preserve"> PAGEREF _Toc90393003 \h </w:instrText>
        </w:r>
        <w:r w:rsidR="00D76BB4">
          <w:rPr>
            <w:noProof/>
            <w:webHidden/>
          </w:rPr>
        </w:r>
        <w:r w:rsidR="00D76BB4">
          <w:rPr>
            <w:noProof/>
            <w:webHidden/>
          </w:rPr>
          <w:fldChar w:fldCharType="separate"/>
        </w:r>
        <w:r w:rsidR="00D76BB4">
          <w:rPr>
            <w:noProof/>
            <w:webHidden/>
          </w:rPr>
          <w:t>234</w:t>
        </w:r>
        <w:r w:rsidR="00D76BB4">
          <w:rPr>
            <w:noProof/>
            <w:webHidden/>
          </w:rPr>
          <w:fldChar w:fldCharType="end"/>
        </w:r>
      </w:hyperlink>
    </w:p>
    <w:p w14:paraId="23FBE4B9" w14:textId="77777777" w:rsidR="00D76BB4" w:rsidRDefault="00B22F56" w:rsidP="00D76BB4">
      <w:pPr>
        <w:pStyle w:val="Tabledesillustrations"/>
        <w:tabs>
          <w:tab w:val="right" w:leader="dot" w:pos="9204"/>
        </w:tabs>
        <w:ind w:left="1134" w:hanging="1134"/>
        <w:rPr>
          <w:rFonts w:asciiTheme="minorHAnsi" w:eastAsiaTheme="minorEastAsia" w:hAnsiTheme="minorHAnsi" w:cstheme="minorBidi"/>
          <w:noProof/>
          <w:sz w:val="22"/>
        </w:rPr>
      </w:pPr>
      <w:hyperlink w:anchor="_Toc90393004" w:history="1">
        <w:r w:rsidR="00D76BB4" w:rsidRPr="009A01B3">
          <w:rPr>
            <w:rStyle w:val="Lienhypertexte"/>
            <w:rFonts w:cs="Arial"/>
            <w:noProof/>
          </w:rPr>
          <w:t>Tableau 36. Institutions responsables de la mise en œuvre</w:t>
        </w:r>
        <w:r w:rsidR="00D76BB4">
          <w:rPr>
            <w:noProof/>
            <w:webHidden/>
          </w:rPr>
          <w:tab/>
        </w:r>
        <w:r w:rsidR="00D76BB4">
          <w:rPr>
            <w:noProof/>
            <w:webHidden/>
          </w:rPr>
          <w:fldChar w:fldCharType="begin"/>
        </w:r>
        <w:r w:rsidR="00D76BB4">
          <w:rPr>
            <w:noProof/>
            <w:webHidden/>
          </w:rPr>
          <w:instrText xml:space="preserve"> PAGEREF _Toc90393004 \h </w:instrText>
        </w:r>
        <w:r w:rsidR="00D76BB4">
          <w:rPr>
            <w:noProof/>
            <w:webHidden/>
          </w:rPr>
        </w:r>
        <w:r w:rsidR="00D76BB4">
          <w:rPr>
            <w:noProof/>
            <w:webHidden/>
          </w:rPr>
          <w:fldChar w:fldCharType="separate"/>
        </w:r>
        <w:r w:rsidR="00D76BB4">
          <w:rPr>
            <w:noProof/>
            <w:webHidden/>
          </w:rPr>
          <w:t>237</w:t>
        </w:r>
        <w:r w:rsidR="00D76BB4">
          <w:rPr>
            <w:noProof/>
            <w:webHidden/>
          </w:rPr>
          <w:fldChar w:fldCharType="end"/>
        </w:r>
      </w:hyperlink>
    </w:p>
    <w:p w14:paraId="1182615B" w14:textId="77777777" w:rsidR="00D76BB4" w:rsidRDefault="00B22F56" w:rsidP="00D76BB4">
      <w:pPr>
        <w:pStyle w:val="Tabledesillustrations"/>
        <w:tabs>
          <w:tab w:val="right" w:leader="dot" w:pos="9204"/>
        </w:tabs>
        <w:ind w:left="1134" w:hanging="1134"/>
        <w:rPr>
          <w:rFonts w:asciiTheme="minorHAnsi" w:eastAsiaTheme="minorEastAsia" w:hAnsiTheme="minorHAnsi" w:cstheme="minorBidi"/>
          <w:noProof/>
          <w:sz w:val="22"/>
        </w:rPr>
      </w:pPr>
      <w:hyperlink w:anchor="_Toc90393005" w:history="1">
        <w:r w:rsidR="00D76BB4" w:rsidRPr="009A01B3">
          <w:rPr>
            <w:rStyle w:val="Lienhypertexte"/>
            <w:rFonts w:cs="Arial"/>
            <w:noProof/>
          </w:rPr>
          <w:t>Tableau 37. Récapitulation des étapes et des responsabilités institutionnelles pour la sélection et la préparation de l’évaluation, de l’approbation et de la mise en œuvre des sous-projets</w:t>
        </w:r>
        <w:r w:rsidR="00D76BB4">
          <w:rPr>
            <w:noProof/>
            <w:webHidden/>
          </w:rPr>
          <w:tab/>
        </w:r>
        <w:r w:rsidR="00D76BB4">
          <w:rPr>
            <w:noProof/>
            <w:webHidden/>
          </w:rPr>
          <w:fldChar w:fldCharType="begin"/>
        </w:r>
        <w:r w:rsidR="00D76BB4">
          <w:rPr>
            <w:noProof/>
            <w:webHidden/>
          </w:rPr>
          <w:instrText xml:space="preserve"> PAGEREF _Toc90393005 \h </w:instrText>
        </w:r>
        <w:r w:rsidR="00D76BB4">
          <w:rPr>
            <w:noProof/>
            <w:webHidden/>
          </w:rPr>
        </w:r>
        <w:r w:rsidR="00D76BB4">
          <w:rPr>
            <w:noProof/>
            <w:webHidden/>
          </w:rPr>
          <w:fldChar w:fldCharType="separate"/>
        </w:r>
        <w:r w:rsidR="00D76BB4">
          <w:rPr>
            <w:noProof/>
            <w:webHidden/>
          </w:rPr>
          <w:t>241</w:t>
        </w:r>
        <w:r w:rsidR="00D76BB4">
          <w:rPr>
            <w:noProof/>
            <w:webHidden/>
          </w:rPr>
          <w:fldChar w:fldCharType="end"/>
        </w:r>
      </w:hyperlink>
    </w:p>
    <w:p w14:paraId="51DD92DC" w14:textId="77777777" w:rsidR="00D76BB4" w:rsidRDefault="00B22F56" w:rsidP="00D76BB4">
      <w:pPr>
        <w:pStyle w:val="Tabledesillustrations"/>
        <w:tabs>
          <w:tab w:val="right" w:leader="dot" w:pos="9204"/>
        </w:tabs>
        <w:ind w:left="1134" w:hanging="1134"/>
        <w:rPr>
          <w:rFonts w:asciiTheme="minorHAnsi" w:eastAsiaTheme="minorEastAsia" w:hAnsiTheme="minorHAnsi" w:cstheme="minorBidi"/>
          <w:noProof/>
          <w:sz w:val="22"/>
        </w:rPr>
      </w:pPr>
      <w:hyperlink w:anchor="_Toc90393006" w:history="1">
        <w:r w:rsidR="00D76BB4" w:rsidRPr="009A01B3">
          <w:rPr>
            <w:rStyle w:val="Lienhypertexte"/>
            <w:noProof/>
          </w:rPr>
          <w:t>Tableau 38</w:t>
        </w:r>
        <w:r w:rsidR="00D76BB4" w:rsidRPr="009A01B3">
          <w:rPr>
            <w:rStyle w:val="Lienhypertexte"/>
            <w:rFonts w:cs="Arial"/>
            <w:noProof/>
          </w:rPr>
          <w:t>. Indicateurs de suivi</w:t>
        </w:r>
        <w:r w:rsidR="00D76BB4">
          <w:rPr>
            <w:noProof/>
            <w:webHidden/>
          </w:rPr>
          <w:tab/>
        </w:r>
        <w:r w:rsidR="00D76BB4">
          <w:rPr>
            <w:noProof/>
            <w:webHidden/>
          </w:rPr>
          <w:fldChar w:fldCharType="begin"/>
        </w:r>
        <w:r w:rsidR="00D76BB4">
          <w:rPr>
            <w:noProof/>
            <w:webHidden/>
          </w:rPr>
          <w:instrText xml:space="preserve"> PAGEREF _Toc90393006 \h </w:instrText>
        </w:r>
        <w:r w:rsidR="00D76BB4">
          <w:rPr>
            <w:noProof/>
            <w:webHidden/>
          </w:rPr>
        </w:r>
        <w:r w:rsidR="00D76BB4">
          <w:rPr>
            <w:noProof/>
            <w:webHidden/>
          </w:rPr>
          <w:fldChar w:fldCharType="separate"/>
        </w:r>
        <w:r w:rsidR="00D76BB4">
          <w:rPr>
            <w:noProof/>
            <w:webHidden/>
          </w:rPr>
          <w:t>245</w:t>
        </w:r>
        <w:r w:rsidR="00D76BB4">
          <w:rPr>
            <w:noProof/>
            <w:webHidden/>
          </w:rPr>
          <w:fldChar w:fldCharType="end"/>
        </w:r>
      </w:hyperlink>
    </w:p>
    <w:p w14:paraId="3C57E19B" w14:textId="77777777" w:rsidR="00D76BB4" w:rsidRDefault="00B22F56" w:rsidP="00D76BB4">
      <w:pPr>
        <w:pStyle w:val="Tabledesillustrations"/>
        <w:tabs>
          <w:tab w:val="right" w:leader="dot" w:pos="9204"/>
        </w:tabs>
        <w:ind w:left="1134" w:hanging="1134"/>
        <w:rPr>
          <w:rFonts w:asciiTheme="minorHAnsi" w:eastAsiaTheme="minorEastAsia" w:hAnsiTheme="minorHAnsi" w:cstheme="minorBidi"/>
          <w:noProof/>
          <w:sz w:val="22"/>
        </w:rPr>
      </w:pPr>
      <w:hyperlink w:anchor="_Toc90393007" w:history="1">
        <w:r w:rsidR="00D76BB4" w:rsidRPr="009A01B3">
          <w:rPr>
            <w:rStyle w:val="Lienhypertexte"/>
            <w:noProof/>
          </w:rPr>
          <w:t>Tableau 39</w:t>
        </w:r>
        <w:r w:rsidR="00D76BB4" w:rsidRPr="009A01B3">
          <w:rPr>
            <w:rStyle w:val="Lienhypertexte"/>
            <w:rFonts w:cs="Arial"/>
            <w:noProof/>
          </w:rPr>
          <w:t>. Calendrier de mise en œuvre des activités environnementales et sociales du PNDA</w:t>
        </w:r>
        <w:r w:rsidR="00D76BB4">
          <w:rPr>
            <w:noProof/>
            <w:webHidden/>
          </w:rPr>
          <w:tab/>
        </w:r>
        <w:r w:rsidR="00D76BB4">
          <w:rPr>
            <w:noProof/>
            <w:webHidden/>
          </w:rPr>
          <w:fldChar w:fldCharType="begin"/>
        </w:r>
        <w:r w:rsidR="00D76BB4">
          <w:rPr>
            <w:noProof/>
            <w:webHidden/>
          </w:rPr>
          <w:instrText xml:space="preserve"> PAGEREF _Toc90393007 \h </w:instrText>
        </w:r>
        <w:r w:rsidR="00D76BB4">
          <w:rPr>
            <w:noProof/>
            <w:webHidden/>
          </w:rPr>
        </w:r>
        <w:r w:rsidR="00D76BB4">
          <w:rPr>
            <w:noProof/>
            <w:webHidden/>
          </w:rPr>
          <w:fldChar w:fldCharType="separate"/>
        </w:r>
        <w:r w:rsidR="00D76BB4">
          <w:rPr>
            <w:noProof/>
            <w:webHidden/>
          </w:rPr>
          <w:t>250</w:t>
        </w:r>
        <w:r w:rsidR="00D76BB4">
          <w:rPr>
            <w:noProof/>
            <w:webHidden/>
          </w:rPr>
          <w:fldChar w:fldCharType="end"/>
        </w:r>
      </w:hyperlink>
    </w:p>
    <w:p w14:paraId="1276CF6D" w14:textId="77777777" w:rsidR="00D76BB4" w:rsidRDefault="00B22F56" w:rsidP="00D76BB4">
      <w:pPr>
        <w:pStyle w:val="Tabledesillustrations"/>
        <w:tabs>
          <w:tab w:val="right" w:leader="dot" w:pos="9204"/>
        </w:tabs>
        <w:ind w:left="1134" w:hanging="1134"/>
        <w:rPr>
          <w:rFonts w:asciiTheme="minorHAnsi" w:eastAsiaTheme="minorEastAsia" w:hAnsiTheme="minorHAnsi" w:cstheme="minorBidi"/>
          <w:noProof/>
          <w:sz w:val="22"/>
        </w:rPr>
      </w:pPr>
      <w:hyperlink w:anchor="_Toc90393008" w:history="1">
        <w:r w:rsidR="00D76BB4" w:rsidRPr="009A01B3">
          <w:rPr>
            <w:rStyle w:val="Lienhypertexte"/>
            <w:noProof/>
          </w:rPr>
          <w:t>Tableau 40</w:t>
        </w:r>
        <w:r w:rsidR="00D76BB4" w:rsidRPr="009A01B3">
          <w:rPr>
            <w:rStyle w:val="Lienhypertexte"/>
            <w:rFonts w:cs="Arial"/>
            <w:noProof/>
          </w:rPr>
          <w:t>. Calendrier des consultations du public</w:t>
        </w:r>
        <w:r w:rsidR="00D76BB4">
          <w:rPr>
            <w:noProof/>
            <w:webHidden/>
          </w:rPr>
          <w:tab/>
        </w:r>
        <w:r w:rsidR="00D76BB4">
          <w:rPr>
            <w:noProof/>
            <w:webHidden/>
          </w:rPr>
          <w:fldChar w:fldCharType="begin"/>
        </w:r>
        <w:r w:rsidR="00D76BB4">
          <w:rPr>
            <w:noProof/>
            <w:webHidden/>
          </w:rPr>
          <w:instrText xml:space="preserve"> PAGEREF _Toc90393008 \h </w:instrText>
        </w:r>
        <w:r w:rsidR="00D76BB4">
          <w:rPr>
            <w:noProof/>
            <w:webHidden/>
          </w:rPr>
        </w:r>
        <w:r w:rsidR="00D76BB4">
          <w:rPr>
            <w:noProof/>
            <w:webHidden/>
          </w:rPr>
          <w:fldChar w:fldCharType="separate"/>
        </w:r>
        <w:r w:rsidR="00D76BB4">
          <w:rPr>
            <w:noProof/>
            <w:webHidden/>
          </w:rPr>
          <w:t>253</w:t>
        </w:r>
        <w:r w:rsidR="00D76BB4">
          <w:rPr>
            <w:noProof/>
            <w:webHidden/>
          </w:rPr>
          <w:fldChar w:fldCharType="end"/>
        </w:r>
      </w:hyperlink>
    </w:p>
    <w:p w14:paraId="73005373" w14:textId="77777777" w:rsidR="00D76BB4" w:rsidRDefault="00B22F56" w:rsidP="00D76BB4">
      <w:pPr>
        <w:pStyle w:val="Tabledesillustrations"/>
        <w:tabs>
          <w:tab w:val="right" w:leader="dot" w:pos="9204"/>
        </w:tabs>
        <w:ind w:left="1134" w:hanging="1134"/>
        <w:rPr>
          <w:rFonts w:asciiTheme="minorHAnsi" w:eastAsiaTheme="minorEastAsia" w:hAnsiTheme="minorHAnsi" w:cstheme="minorBidi"/>
          <w:noProof/>
          <w:sz w:val="22"/>
        </w:rPr>
      </w:pPr>
      <w:hyperlink w:anchor="_Toc90393009" w:history="1">
        <w:r w:rsidR="00D76BB4" w:rsidRPr="009A01B3">
          <w:rPr>
            <w:rStyle w:val="Lienhypertexte"/>
            <w:noProof/>
          </w:rPr>
          <w:t>Tableau 41</w:t>
        </w:r>
        <w:r w:rsidR="00D76BB4" w:rsidRPr="009A01B3">
          <w:rPr>
            <w:rStyle w:val="Lienhypertexte"/>
            <w:rFonts w:cs="Arial"/>
            <w:noProof/>
          </w:rPr>
          <w:t>. Calendrier des ateliers de restitution</w:t>
        </w:r>
        <w:r w:rsidR="00D76BB4">
          <w:rPr>
            <w:noProof/>
            <w:webHidden/>
          </w:rPr>
          <w:tab/>
        </w:r>
        <w:r w:rsidR="00D76BB4">
          <w:rPr>
            <w:noProof/>
            <w:webHidden/>
          </w:rPr>
          <w:fldChar w:fldCharType="begin"/>
        </w:r>
        <w:r w:rsidR="00D76BB4">
          <w:rPr>
            <w:noProof/>
            <w:webHidden/>
          </w:rPr>
          <w:instrText xml:space="preserve"> PAGEREF _Toc90393009 \h </w:instrText>
        </w:r>
        <w:r w:rsidR="00D76BB4">
          <w:rPr>
            <w:noProof/>
            <w:webHidden/>
          </w:rPr>
        </w:r>
        <w:r w:rsidR="00D76BB4">
          <w:rPr>
            <w:noProof/>
            <w:webHidden/>
          </w:rPr>
          <w:fldChar w:fldCharType="separate"/>
        </w:r>
        <w:r w:rsidR="00D76BB4">
          <w:rPr>
            <w:noProof/>
            <w:webHidden/>
          </w:rPr>
          <w:t>256</w:t>
        </w:r>
        <w:r w:rsidR="00D76BB4">
          <w:rPr>
            <w:noProof/>
            <w:webHidden/>
          </w:rPr>
          <w:fldChar w:fldCharType="end"/>
        </w:r>
      </w:hyperlink>
    </w:p>
    <w:p w14:paraId="6E8E4E39" w14:textId="77777777" w:rsidR="00D76BB4" w:rsidRDefault="00B22F56" w:rsidP="00D76BB4">
      <w:pPr>
        <w:pStyle w:val="Tabledesillustrations"/>
        <w:tabs>
          <w:tab w:val="right" w:leader="dot" w:pos="9204"/>
        </w:tabs>
        <w:ind w:left="1134" w:hanging="1134"/>
        <w:rPr>
          <w:rFonts w:asciiTheme="minorHAnsi" w:eastAsiaTheme="minorEastAsia" w:hAnsiTheme="minorHAnsi" w:cstheme="minorBidi"/>
          <w:noProof/>
          <w:sz w:val="22"/>
        </w:rPr>
      </w:pPr>
      <w:hyperlink w:anchor="_Toc90393010" w:history="1">
        <w:r w:rsidR="00D76BB4" w:rsidRPr="009A01B3">
          <w:rPr>
            <w:rStyle w:val="Lienhypertexte"/>
            <w:noProof/>
          </w:rPr>
          <w:t>Tableau 42</w:t>
        </w:r>
        <w:r w:rsidR="00D76BB4" w:rsidRPr="009A01B3">
          <w:rPr>
            <w:rStyle w:val="Lienhypertexte"/>
            <w:rFonts w:cs="Arial"/>
            <w:noProof/>
          </w:rPr>
          <w:t>. Synthèse des résultats des ateliers de restitution</w:t>
        </w:r>
        <w:r w:rsidR="00D76BB4">
          <w:rPr>
            <w:noProof/>
            <w:webHidden/>
          </w:rPr>
          <w:tab/>
        </w:r>
        <w:r w:rsidR="00D76BB4">
          <w:rPr>
            <w:noProof/>
            <w:webHidden/>
          </w:rPr>
          <w:fldChar w:fldCharType="begin"/>
        </w:r>
        <w:r w:rsidR="00D76BB4">
          <w:rPr>
            <w:noProof/>
            <w:webHidden/>
          </w:rPr>
          <w:instrText xml:space="preserve"> PAGEREF _Toc90393010 \h </w:instrText>
        </w:r>
        <w:r w:rsidR="00D76BB4">
          <w:rPr>
            <w:noProof/>
            <w:webHidden/>
          </w:rPr>
        </w:r>
        <w:r w:rsidR="00D76BB4">
          <w:rPr>
            <w:noProof/>
            <w:webHidden/>
          </w:rPr>
          <w:fldChar w:fldCharType="separate"/>
        </w:r>
        <w:r w:rsidR="00D76BB4">
          <w:rPr>
            <w:noProof/>
            <w:webHidden/>
          </w:rPr>
          <w:t>257</w:t>
        </w:r>
        <w:r w:rsidR="00D76BB4">
          <w:rPr>
            <w:noProof/>
            <w:webHidden/>
          </w:rPr>
          <w:fldChar w:fldCharType="end"/>
        </w:r>
      </w:hyperlink>
    </w:p>
    <w:p w14:paraId="645BCCD4" w14:textId="77777777" w:rsidR="00D76BB4" w:rsidRDefault="00B22F56" w:rsidP="00D76BB4">
      <w:pPr>
        <w:pStyle w:val="Tabledesillustrations"/>
        <w:tabs>
          <w:tab w:val="right" w:leader="dot" w:pos="9204"/>
        </w:tabs>
        <w:ind w:left="1134" w:hanging="1134"/>
        <w:rPr>
          <w:rFonts w:asciiTheme="minorHAnsi" w:eastAsiaTheme="minorEastAsia" w:hAnsiTheme="minorHAnsi" w:cstheme="minorBidi"/>
          <w:noProof/>
          <w:sz w:val="22"/>
        </w:rPr>
      </w:pPr>
      <w:hyperlink w:anchor="_Toc90393011" w:history="1">
        <w:r w:rsidR="00D76BB4" w:rsidRPr="009A01B3">
          <w:rPr>
            <w:rStyle w:val="Lienhypertexte"/>
            <w:noProof/>
          </w:rPr>
          <w:t>Tableau 43. Budget quantitatif et estimatif global de mise en œuvre des mesures environnementales et sociales d</w:t>
        </w:r>
        <w:r w:rsidR="00D76BB4" w:rsidRPr="009A01B3">
          <w:rPr>
            <w:rStyle w:val="Lienhypertexte"/>
            <w:rFonts w:cs="Arial"/>
            <w:noProof/>
          </w:rPr>
          <w:t>es PGRIES</w:t>
        </w:r>
        <w:r w:rsidR="00D76BB4">
          <w:rPr>
            <w:noProof/>
            <w:webHidden/>
          </w:rPr>
          <w:tab/>
        </w:r>
        <w:r w:rsidR="00D76BB4">
          <w:rPr>
            <w:noProof/>
            <w:webHidden/>
          </w:rPr>
          <w:fldChar w:fldCharType="begin"/>
        </w:r>
        <w:r w:rsidR="00D76BB4">
          <w:rPr>
            <w:noProof/>
            <w:webHidden/>
          </w:rPr>
          <w:instrText xml:space="preserve"> PAGEREF _Toc90393011 \h </w:instrText>
        </w:r>
        <w:r w:rsidR="00D76BB4">
          <w:rPr>
            <w:noProof/>
            <w:webHidden/>
          </w:rPr>
        </w:r>
        <w:r w:rsidR="00D76BB4">
          <w:rPr>
            <w:noProof/>
            <w:webHidden/>
          </w:rPr>
          <w:fldChar w:fldCharType="separate"/>
        </w:r>
        <w:r w:rsidR="00D76BB4">
          <w:rPr>
            <w:noProof/>
            <w:webHidden/>
          </w:rPr>
          <w:t>262</w:t>
        </w:r>
        <w:r w:rsidR="00D76BB4">
          <w:rPr>
            <w:noProof/>
            <w:webHidden/>
          </w:rPr>
          <w:fldChar w:fldCharType="end"/>
        </w:r>
      </w:hyperlink>
    </w:p>
    <w:p w14:paraId="13226048" w14:textId="77777777" w:rsidR="001C2F95" w:rsidRPr="00154DC7" w:rsidRDefault="001C2F95" w:rsidP="0066125B">
      <w:pPr>
        <w:pStyle w:val="Tabledesillustrations"/>
        <w:tabs>
          <w:tab w:val="right" w:pos="9072"/>
        </w:tabs>
        <w:ind w:left="1276" w:hanging="1276"/>
        <w:jc w:val="center"/>
        <w:rPr>
          <w:rStyle w:val="Lienhypertexte"/>
          <w:rFonts w:cs="Arial"/>
          <w:noProof/>
          <w:color w:val="000000"/>
          <w:sz w:val="22"/>
          <w:highlight w:val="yellow"/>
        </w:rPr>
      </w:pPr>
      <w:r w:rsidRPr="0066125B">
        <w:rPr>
          <w:rStyle w:val="Lienhypertexte"/>
          <w:rFonts w:cs="Arial"/>
          <w:noProof/>
          <w:sz w:val="22"/>
          <w:lang w:eastAsia="ja-JP"/>
        </w:rPr>
        <w:fldChar w:fldCharType="end"/>
      </w:r>
    </w:p>
    <w:p w14:paraId="46F2EB07" w14:textId="77777777" w:rsidR="001C2F95" w:rsidRPr="000A2C55" w:rsidRDefault="001C2F95" w:rsidP="00154DC7">
      <w:pPr>
        <w:pStyle w:val="Titre1"/>
        <w:ind w:left="1134" w:hanging="1134"/>
        <w:jc w:val="center"/>
        <w:rPr>
          <w:rFonts w:cs="Arial"/>
          <w:sz w:val="22"/>
          <w:szCs w:val="22"/>
        </w:rPr>
      </w:pPr>
      <w:r w:rsidRPr="00154DC7">
        <w:rPr>
          <w:rStyle w:val="Lienhypertexte"/>
          <w:rFonts w:cs="Arial"/>
          <w:noProof/>
          <w:color w:val="000000"/>
          <w:sz w:val="22"/>
          <w:szCs w:val="22"/>
          <w:highlight w:val="yellow"/>
        </w:rPr>
        <w:br w:type="page"/>
      </w:r>
      <w:bookmarkStart w:id="13" w:name="_Toc500754621"/>
      <w:bookmarkStart w:id="14" w:name="_Toc44626780"/>
      <w:bookmarkStart w:id="15" w:name="_Toc90393024"/>
      <w:bookmarkStart w:id="16" w:name="_Toc90471383"/>
      <w:r w:rsidRPr="000A2C55">
        <w:rPr>
          <w:rFonts w:cs="Arial"/>
          <w:sz w:val="22"/>
          <w:szCs w:val="22"/>
        </w:rPr>
        <w:lastRenderedPageBreak/>
        <w:t>LISTE DES FIGURES</w:t>
      </w:r>
      <w:bookmarkEnd w:id="13"/>
      <w:bookmarkEnd w:id="14"/>
      <w:bookmarkEnd w:id="15"/>
      <w:bookmarkEnd w:id="16"/>
    </w:p>
    <w:p w14:paraId="702F515E" w14:textId="77777777" w:rsidR="001C2F95" w:rsidRPr="0066125B" w:rsidRDefault="001C2F95" w:rsidP="001C2F95">
      <w:pPr>
        <w:ind w:left="1134" w:hanging="1134"/>
        <w:rPr>
          <w:rFonts w:cs="Arial"/>
          <w:sz w:val="22"/>
        </w:rPr>
      </w:pPr>
    </w:p>
    <w:p w14:paraId="275C9A91" w14:textId="77777777" w:rsidR="00D76BB4" w:rsidRDefault="001C2F95">
      <w:pPr>
        <w:pStyle w:val="Tabledesillustrations"/>
        <w:tabs>
          <w:tab w:val="right" w:leader="dot" w:pos="9204"/>
        </w:tabs>
        <w:rPr>
          <w:rFonts w:asciiTheme="minorHAnsi" w:eastAsiaTheme="minorEastAsia" w:hAnsiTheme="minorHAnsi" w:cstheme="minorBidi"/>
          <w:noProof/>
          <w:sz w:val="22"/>
        </w:rPr>
      </w:pPr>
      <w:r w:rsidRPr="0066125B">
        <w:rPr>
          <w:rStyle w:val="Lienhypertexte"/>
          <w:rFonts w:cs="Arial"/>
          <w:noProof/>
          <w:sz w:val="22"/>
          <w:lang w:eastAsia="ja-JP"/>
        </w:rPr>
        <w:fldChar w:fldCharType="begin"/>
      </w:r>
      <w:r w:rsidRPr="0066125B">
        <w:rPr>
          <w:rStyle w:val="Lienhypertexte"/>
          <w:rFonts w:cs="Arial"/>
          <w:noProof/>
          <w:sz w:val="22"/>
          <w:lang w:eastAsia="ja-JP"/>
        </w:rPr>
        <w:instrText xml:space="preserve"> TOC \h \z \t "tab1;1" \c "Figure" </w:instrText>
      </w:r>
      <w:r w:rsidRPr="0066125B">
        <w:rPr>
          <w:rStyle w:val="Lienhypertexte"/>
          <w:rFonts w:cs="Arial"/>
          <w:noProof/>
          <w:sz w:val="22"/>
          <w:lang w:eastAsia="ja-JP"/>
        </w:rPr>
        <w:fldChar w:fldCharType="separate"/>
      </w:r>
      <w:hyperlink w:anchor="_Toc90393012" w:history="1">
        <w:r w:rsidR="00D76BB4" w:rsidRPr="00C57DA3">
          <w:rPr>
            <w:rStyle w:val="Lienhypertexte"/>
            <w:rFonts w:cs="Arial"/>
            <w:noProof/>
          </w:rPr>
          <w:t>Figure 1. Carte localisation des Provinces concernées par le Projet.</w:t>
        </w:r>
        <w:r w:rsidR="00D76BB4">
          <w:rPr>
            <w:noProof/>
            <w:webHidden/>
          </w:rPr>
          <w:tab/>
        </w:r>
        <w:r w:rsidR="00D76BB4">
          <w:rPr>
            <w:noProof/>
            <w:webHidden/>
          </w:rPr>
          <w:fldChar w:fldCharType="begin"/>
        </w:r>
        <w:r w:rsidR="00D76BB4">
          <w:rPr>
            <w:noProof/>
            <w:webHidden/>
          </w:rPr>
          <w:instrText xml:space="preserve"> PAGEREF _Toc90393012 \h </w:instrText>
        </w:r>
        <w:r w:rsidR="00D76BB4">
          <w:rPr>
            <w:noProof/>
            <w:webHidden/>
          </w:rPr>
        </w:r>
        <w:r w:rsidR="00D76BB4">
          <w:rPr>
            <w:noProof/>
            <w:webHidden/>
          </w:rPr>
          <w:fldChar w:fldCharType="separate"/>
        </w:r>
        <w:r w:rsidR="00D76BB4">
          <w:rPr>
            <w:noProof/>
            <w:webHidden/>
          </w:rPr>
          <w:t>23</w:t>
        </w:r>
        <w:r w:rsidR="00D76BB4">
          <w:rPr>
            <w:noProof/>
            <w:webHidden/>
          </w:rPr>
          <w:fldChar w:fldCharType="end"/>
        </w:r>
      </w:hyperlink>
    </w:p>
    <w:p w14:paraId="26A26D1E" w14:textId="77777777" w:rsidR="00D76BB4" w:rsidRDefault="00B22F56">
      <w:pPr>
        <w:pStyle w:val="Tabledesillustrations"/>
        <w:tabs>
          <w:tab w:val="right" w:leader="dot" w:pos="9204"/>
        </w:tabs>
        <w:rPr>
          <w:rFonts w:asciiTheme="minorHAnsi" w:eastAsiaTheme="minorEastAsia" w:hAnsiTheme="minorHAnsi" w:cstheme="minorBidi"/>
          <w:noProof/>
          <w:sz w:val="22"/>
        </w:rPr>
      </w:pPr>
      <w:hyperlink w:anchor="_Toc90393013" w:history="1">
        <w:r w:rsidR="00D76BB4" w:rsidRPr="00C57DA3">
          <w:rPr>
            <w:rStyle w:val="Lienhypertexte"/>
            <w:noProof/>
          </w:rPr>
          <w:t>Figure 2. Parc Marin des Mangroves</w:t>
        </w:r>
        <w:r w:rsidR="00D76BB4">
          <w:rPr>
            <w:noProof/>
            <w:webHidden/>
          </w:rPr>
          <w:tab/>
        </w:r>
        <w:r w:rsidR="00D76BB4">
          <w:rPr>
            <w:noProof/>
            <w:webHidden/>
          </w:rPr>
          <w:fldChar w:fldCharType="begin"/>
        </w:r>
        <w:r w:rsidR="00D76BB4">
          <w:rPr>
            <w:noProof/>
            <w:webHidden/>
          </w:rPr>
          <w:instrText xml:space="preserve"> PAGEREF _Toc90393013 \h </w:instrText>
        </w:r>
        <w:r w:rsidR="00D76BB4">
          <w:rPr>
            <w:noProof/>
            <w:webHidden/>
          </w:rPr>
        </w:r>
        <w:r w:rsidR="00D76BB4">
          <w:rPr>
            <w:noProof/>
            <w:webHidden/>
          </w:rPr>
          <w:fldChar w:fldCharType="separate"/>
        </w:r>
        <w:r w:rsidR="00D76BB4">
          <w:rPr>
            <w:noProof/>
            <w:webHidden/>
          </w:rPr>
          <w:t>65</w:t>
        </w:r>
        <w:r w:rsidR="00D76BB4">
          <w:rPr>
            <w:noProof/>
            <w:webHidden/>
          </w:rPr>
          <w:fldChar w:fldCharType="end"/>
        </w:r>
      </w:hyperlink>
    </w:p>
    <w:p w14:paraId="4CCC06B3" w14:textId="77777777" w:rsidR="001C2F95" w:rsidRPr="0007643D" w:rsidRDefault="001C2F95" w:rsidP="001C2F95">
      <w:pPr>
        <w:pStyle w:val="Tabledesillustrations"/>
        <w:tabs>
          <w:tab w:val="right" w:pos="8364"/>
        </w:tabs>
        <w:ind w:left="993" w:hanging="993"/>
        <w:rPr>
          <w:rFonts w:cs="Arial"/>
          <w:bCs/>
          <w:sz w:val="22"/>
        </w:rPr>
      </w:pPr>
      <w:r w:rsidRPr="0066125B">
        <w:rPr>
          <w:rStyle w:val="Lienhypertexte"/>
          <w:rFonts w:cs="Arial"/>
          <w:noProof/>
          <w:sz w:val="22"/>
          <w:lang w:eastAsia="ja-JP"/>
        </w:rPr>
        <w:fldChar w:fldCharType="end"/>
      </w:r>
      <w:r w:rsidRPr="0007643D">
        <w:rPr>
          <w:rStyle w:val="Lienhypertexte"/>
          <w:rFonts w:cs="Arial"/>
          <w:sz w:val="22"/>
          <w:lang w:eastAsia="ja-JP"/>
        </w:rPr>
        <w:t xml:space="preserve"> </w:t>
      </w:r>
      <w:bookmarkStart w:id="17" w:name="_Toc404105854"/>
      <w:bookmarkEnd w:id="0"/>
      <w:bookmarkEnd w:id="1"/>
      <w:bookmarkEnd w:id="8"/>
    </w:p>
    <w:p w14:paraId="4A29D0AD" w14:textId="77777777" w:rsidR="001C2F95" w:rsidRPr="00296E4B" w:rsidRDefault="001C2F95" w:rsidP="001C2F95">
      <w:pPr>
        <w:jc w:val="left"/>
        <w:rPr>
          <w:rFonts w:cs="Arial"/>
          <w:b/>
          <w:sz w:val="22"/>
          <w:highlight w:val="yellow"/>
        </w:rPr>
      </w:pPr>
      <w:bookmarkStart w:id="18" w:name="_Toc464561965"/>
    </w:p>
    <w:p w14:paraId="413759E9" w14:textId="77777777" w:rsidR="001C2F95" w:rsidRPr="00296E4B" w:rsidRDefault="001C2F95" w:rsidP="001C2F95">
      <w:pPr>
        <w:spacing w:line="240" w:lineRule="auto"/>
        <w:jc w:val="left"/>
        <w:rPr>
          <w:rFonts w:cs="Arial"/>
          <w:sz w:val="22"/>
        </w:rPr>
      </w:pPr>
      <w:bookmarkStart w:id="19" w:name="_Toc423049179"/>
      <w:bookmarkStart w:id="20" w:name="_Toc423049180"/>
      <w:bookmarkStart w:id="21" w:name="_Toc423049181"/>
      <w:bookmarkStart w:id="22" w:name="_Toc423049182"/>
      <w:bookmarkStart w:id="23" w:name="_Toc423049183"/>
      <w:bookmarkStart w:id="24" w:name="_Toc423049184"/>
      <w:bookmarkStart w:id="25" w:name="_Toc423049185"/>
      <w:bookmarkStart w:id="26" w:name="_Toc423049186"/>
      <w:bookmarkStart w:id="27" w:name="_Toc423049187"/>
      <w:bookmarkStart w:id="28" w:name="_Toc423049188"/>
      <w:bookmarkStart w:id="29" w:name="_Toc423049189"/>
      <w:bookmarkStart w:id="30" w:name="_Toc423049190"/>
      <w:bookmarkStart w:id="31" w:name="_Toc423049191"/>
      <w:bookmarkStart w:id="32" w:name="_Toc423049192"/>
      <w:bookmarkStart w:id="33" w:name="_Toc423049193"/>
      <w:bookmarkStart w:id="34" w:name="_Toc423049194"/>
      <w:bookmarkStart w:id="35" w:name="_Toc423049195"/>
      <w:bookmarkStart w:id="36" w:name="_Toc423049196"/>
      <w:bookmarkStart w:id="37" w:name="_Toc423049197"/>
      <w:bookmarkStart w:id="38" w:name="_Toc423049198"/>
      <w:bookmarkStart w:id="39" w:name="_Toc423049199"/>
      <w:bookmarkStart w:id="40" w:name="_Toc423049200"/>
      <w:bookmarkStart w:id="41" w:name="_Toc423049201"/>
      <w:bookmarkStart w:id="42" w:name="_Toc423049202"/>
      <w:bookmarkStart w:id="43" w:name="_Toc423049203"/>
      <w:bookmarkStart w:id="44" w:name="_Toc423049204"/>
      <w:bookmarkStart w:id="45" w:name="_Toc423049205"/>
      <w:bookmarkStart w:id="46" w:name="_Toc423049206"/>
      <w:bookmarkStart w:id="47" w:name="_Toc423049207"/>
      <w:bookmarkStart w:id="48" w:name="_Toc423049208"/>
      <w:bookmarkStart w:id="49" w:name="_Toc423049209"/>
      <w:bookmarkStart w:id="50" w:name="_Toc423049210"/>
      <w:bookmarkStart w:id="51" w:name="_Toc37426665"/>
      <w:bookmarkStart w:id="52" w:name="_Toc44626781"/>
      <w:bookmarkStart w:id="53" w:name="_Toc395136072"/>
      <w:bookmarkStart w:id="54" w:name="_Toc464561966"/>
      <w:bookmarkStart w:id="55" w:name="_Toc476571939"/>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rsidRPr="00296E4B">
        <w:rPr>
          <w:rFonts w:cs="Arial"/>
          <w:b/>
          <w:bCs/>
          <w:sz w:val="22"/>
        </w:rPr>
        <w:br w:type="page"/>
      </w:r>
    </w:p>
    <w:p w14:paraId="03810A0D" w14:textId="77777777" w:rsidR="001C2F95" w:rsidRPr="00D53B04" w:rsidRDefault="001C2F95" w:rsidP="001C2F95">
      <w:pPr>
        <w:pStyle w:val="Titre1"/>
        <w:jc w:val="center"/>
        <w:rPr>
          <w:rFonts w:cs="Arial"/>
          <w:szCs w:val="21"/>
        </w:rPr>
      </w:pPr>
      <w:bookmarkStart w:id="56" w:name="_Toc90393025"/>
      <w:bookmarkStart w:id="57" w:name="_Toc90471384"/>
      <w:r w:rsidRPr="00D53B04">
        <w:rPr>
          <w:rFonts w:cs="Arial"/>
          <w:szCs w:val="21"/>
        </w:rPr>
        <w:lastRenderedPageBreak/>
        <w:t>RÉSUMÉ EXÉCUTIF</w:t>
      </w:r>
      <w:bookmarkEnd w:id="51"/>
      <w:bookmarkEnd w:id="52"/>
      <w:bookmarkEnd w:id="56"/>
      <w:bookmarkEnd w:id="57"/>
    </w:p>
    <w:p w14:paraId="086B565D" w14:textId="77777777" w:rsidR="001C2F95" w:rsidRPr="00D53B04" w:rsidRDefault="001C2F95" w:rsidP="001C2F95">
      <w:pPr>
        <w:spacing w:line="240" w:lineRule="auto"/>
        <w:rPr>
          <w:rFonts w:cs="Arial"/>
          <w:iCs/>
          <w:szCs w:val="21"/>
          <w:highlight w:val="yellow"/>
        </w:rPr>
      </w:pPr>
    </w:p>
    <w:p w14:paraId="18DCE5C2" w14:textId="77777777" w:rsidR="001C2F95" w:rsidRPr="00AB3679" w:rsidRDefault="001C2F95" w:rsidP="002378EA">
      <w:pPr>
        <w:numPr>
          <w:ilvl w:val="0"/>
          <w:numId w:val="66"/>
        </w:numPr>
        <w:spacing w:line="240" w:lineRule="auto"/>
        <w:rPr>
          <w:rFonts w:cs="Arial"/>
          <w:b/>
          <w:i/>
          <w:szCs w:val="21"/>
        </w:rPr>
      </w:pPr>
      <w:r w:rsidRPr="00AB3679">
        <w:rPr>
          <w:rFonts w:cs="Arial"/>
          <w:b/>
          <w:i/>
          <w:szCs w:val="21"/>
        </w:rPr>
        <w:t xml:space="preserve">Brève description du projet (objectif global, composantes et principales activités) </w:t>
      </w:r>
    </w:p>
    <w:p w14:paraId="6D671140" w14:textId="77777777" w:rsidR="001C2F95" w:rsidRPr="00D53B04" w:rsidRDefault="001C2F95" w:rsidP="001C2F95">
      <w:pPr>
        <w:tabs>
          <w:tab w:val="left" w:pos="426"/>
        </w:tabs>
        <w:spacing w:line="240" w:lineRule="auto"/>
        <w:rPr>
          <w:rFonts w:cs="Arial"/>
          <w:szCs w:val="21"/>
        </w:rPr>
      </w:pPr>
    </w:p>
    <w:p w14:paraId="260DB2EC" w14:textId="77777777" w:rsidR="001C2F95" w:rsidRPr="00D53B04" w:rsidRDefault="001C2F95" w:rsidP="001C2F95">
      <w:pPr>
        <w:rPr>
          <w:rFonts w:cs="Arial"/>
          <w:szCs w:val="21"/>
        </w:rPr>
      </w:pPr>
      <w:r w:rsidRPr="00D53B04">
        <w:rPr>
          <w:rFonts w:cs="Arial"/>
          <w:szCs w:val="21"/>
        </w:rPr>
        <w:t>Le Gouvernement de la République Démocratique du Congo (RDC) a reçu un appui financier de l'Association Internationale pour le Développement (IDA) du Groupe de la Banque mondiale, pour préparer le Programme National de Développement Agricole (PNDA) qui a pour objectif, dans sa 1</w:t>
      </w:r>
      <w:r w:rsidRPr="00D53B04">
        <w:rPr>
          <w:rFonts w:cs="Arial"/>
          <w:szCs w:val="21"/>
          <w:vertAlign w:val="superscript"/>
        </w:rPr>
        <w:t>ère</w:t>
      </w:r>
      <w:r w:rsidRPr="00D53B04">
        <w:rPr>
          <w:rFonts w:cs="Arial"/>
          <w:szCs w:val="21"/>
        </w:rPr>
        <w:t xml:space="preserve"> phase, d’augmenter la productivité agricole et améliorer l’accès au marché des petits exploitants dans des régions sélectionnées.</w:t>
      </w:r>
    </w:p>
    <w:p w14:paraId="7695C626" w14:textId="77777777" w:rsidR="001C2F95" w:rsidRPr="00D53B04" w:rsidRDefault="001C2F95" w:rsidP="001C2F95">
      <w:pPr>
        <w:rPr>
          <w:rFonts w:cs="Arial"/>
          <w:szCs w:val="21"/>
        </w:rPr>
      </w:pPr>
    </w:p>
    <w:p w14:paraId="6ADF8568" w14:textId="73ABDE7B" w:rsidR="001C2F95" w:rsidRPr="00D53B04" w:rsidRDefault="001C2F95" w:rsidP="001C2F95">
      <w:pPr>
        <w:rPr>
          <w:rFonts w:cs="Arial"/>
          <w:szCs w:val="21"/>
        </w:rPr>
      </w:pPr>
      <w:r w:rsidRPr="00D53B04">
        <w:rPr>
          <w:rFonts w:cs="Arial"/>
          <w:szCs w:val="21"/>
        </w:rPr>
        <w:t>En RDC</w:t>
      </w:r>
      <w:r w:rsidR="00E751FB">
        <w:rPr>
          <w:rFonts w:cs="Arial"/>
          <w:szCs w:val="21"/>
        </w:rPr>
        <w:t>,</w:t>
      </w:r>
      <w:r w:rsidRPr="00D53B04">
        <w:rPr>
          <w:rFonts w:cs="Arial"/>
          <w:szCs w:val="21"/>
        </w:rPr>
        <w:t xml:space="preserve"> </w:t>
      </w:r>
      <w:r w:rsidR="00E751FB">
        <w:rPr>
          <w:rFonts w:cs="Arial"/>
          <w:szCs w:val="21"/>
        </w:rPr>
        <w:t>l</w:t>
      </w:r>
      <w:r w:rsidRPr="00D53B04">
        <w:rPr>
          <w:rFonts w:cs="Arial"/>
          <w:szCs w:val="21"/>
        </w:rPr>
        <w:t>’agriculture représente actuellement environ 20 % du PIB, emploie entre 70 et 75 % de la population active et joue un rôle clé dans la réduction de l’insécurité alimentaire, de la malnut</w:t>
      </w:r>
      <w:r w:rsidR="00E751FB">
        <w:rPr>
          <w:rFonts w:cs="Arial"/>
          <w:szCs w:val="21"/>
        </w:rPr>
        <w:t>rition et de la pauvreté rurale</w:t>
      </w:r>
      <w:r w:rsidRPr="00D53B04">
        <w:rPr>
          <w:rFonts w:cs="Arial"/>
          <w:szCs w:val="21"/>
        </w:rPr>
        <w:t>.</w:t>
      </w:r>
    </w:p>
    <w:p w14:paraId="08629388" w14:textId="77777777" w:rsidR="001C2F95" w:rsidRPr="00D53B04" w:rsidRDefault="001C2F95" w:rsidP="001C2F95">
      <w:pPr>
        <w:rPr>
          <w:rFonts w:cs="Arial"/>
          <w:szCs w:val="21"/>
        </w:rPr>
      </w:pPr>
    </w:p>
    <w:p w14:paraId="48C2803A" w14:textId="2382F80A" w:rsidR="001C2F95" w:rsidRPr="00D53B04" w:rsidRDefault="001C2F95" w:rsidP="001C2F95">
      <w:pPr>
        <w:rPr>
          <w:rFonts w:cs="Arial"/>
          <w:szCs w:val="21"/>
        </w:rPr>
      </w:pPr>
      <w:r w:rsidRPr="00D53B04">
        <w:rPr>
          <w:rFonts w:cs="Arial"/>
          <w:szCs w:val="21"/>
        </w:rPr>
        <w:t xml:space="preserve">Ainsi, le programme va soutenir la croissance de la productivité agricole au niveau de l’exploitation, permettant aux petits exploitants agricoles d’accroître leurs actifs et leur production, puis d’intervenir pour favoriser l’accès au marché et l’intégration productive de ces petits exploitants dans les chaînes d’approvisionnement agricoles. </w:t>
      </w:r>
    </w:p>
    <w:p w14:paraId="68BE1745" w14:textId="77777777" w:rsidR="001C2F95" w:rsidRPr="00D53B04" w:rsidRDefault="001C2F95" w:rsidP="001C2F95">
      <w:pPr>
        <w:rPr>
          <w:rFonts w:cs="Arial"/>
          <w:szCs w:val="21"/>
        </w:rPr>
      </w:pPr>
    </w:p>
    <w:p w14:paraId="5F8FA8FA" w14:textId="77777777" w:rsidR="001C2F95" w:rsidRPr="00D53B04" w:rsidRDefault="001C2F95" w:rsidP="001C2F95">
      <w:pPr>
        <w:rPr>
          <w:rFonts w:cs="Arial"/>
          <w:szCs w:val="21"/>
        </w:rPr>
      </w:pPr>
      <w:r w:rsidRPr="00D53B04">
        <w:rPr>
          <w:rFonts w:cs="Arial"/>
          <w:szCs w:val="21"/>
        </w:rPr>
        <w:t>Les investissements du PNDA seront concentrés en priorité pour cette première phase pour une durée de 5 ans dans la région du Kasaï (Provinces du Kasaï et Kasaï Central), la région de l’Ouest (Provinces du Kongo Central et du Kwilu), la région de l’Est (Province du Nord Kivu).</w:t>
      </w:r>
    </w:p>
    <w:p w14:paraId="255262C7" w14:textId="77777777" w:rsidR="001C2F95" w:rsidRPr="00D53B04" w:rsidRDefault="001C2F95" w:rsidP="001C2F95">
      <w:pPr>
        <w:rPr>
          <w:rFonts w:cs="Arial"/>
          <w:szCs w:val="21"/>
        </w:rPr>
      </w:pPr>
    </w:p>
    <w:p w14:paraId="64A42B9B" w14:textId="77777777" w:rsidR="001C2F95" w:rsidRPr="00D53B04" w:rsidRDefault="001C2F95" w:rsidP="001C2F95">
      <w:pPr>
        <w:rPr>
          <w:rFonts w:cs="Arial"/>
          <w:szCs w:val="21"/>
        </w:rPr>
      </w:pPr>
      <w:r w:rsidRPr="00D53B04">
        <w:rPr>
          <w:rFonts w:cs="Arial"/>
          <w:szCs w:val="21"/>
        </w:rPr>
        <w:t>L’objectif du développement du Projet est d’améliorer la productivité agricole et l’accès au marché des petits exploitants agricoles dans des régions sélectionnées et renforcer la capacité du secteur à faire face aux situations d’urgence éligibles dans le secteur agricole.</w:t>
      </w:r>
    </w:p>
    <w:p w14:paraId="0929C5CF" w14:textId="77777777" w:rsidR="001C2F95" w:rsidRPr="00D53B04" w:rsidRDefault="001C2F95" w:rsidP="001C2F95">
      <w:pPr>
        <w:rPr>
          <w:rFonts w:cs="Arial"/>
          <w:szCs w:val="21"/>
        </w:rPr>
      </w:pPr>
    </w:p>
    <w:p w14:paraId="22964A47" w14:textId="77777777" w:rsidR="001C2F95" w:rsidRPr="00D53B04" w:rsidRDefault="001C2F95" w:rsidP="001C2F95">
      <w:pPr>
        <w:rPr>
          <w:rFonts w:cs="Arial"/>
          <w:szCs w:val="21"/>
        </w:rPr>
      </w:pPr>
      <w:r w:rsidRPr="00D53B04">
        <w:rPr>
          <w:rFonts w:cs="Arial"/>
          <w:szCs w:val="21"/>
        </w:rPr>
        <w:t xml:space="preserve">Le PNDA s’articulera autour de quatre composantes : </w:t>
      </w:r>
    </w:p>
    <w:p w14:paraId="7AAC427B" w14:textId="77777777" w:rsidR="001C2F95" w:rsidRPr="00D53B04" w:rsidRDefault="001C2F95" w:rsidP="001C2F95">
      <w:pPr>
        <w:rPr>
          <w:rFonts w:cs="Arial"/>
          <w:szCs w:val="21"/>
        </w:rPr>
      </w:pPr>
    </w:p>
    <w:p w14:paraId="3D7F6DD5" w14:textId="77777777" w:rsidR="001C2F95" w:rsidRPr="00D53B04" w:rsidRDefault="001C2F95" w:rsidP="002378EA">
      <w:pPr>
        <w:pStyle w:val="Paragraphedeliste"/>
        <w:numPr>
          <w:ilvl w:val="0"/>
          <w:numId w:val="39"/>
        </w:numPr>
        <w:rPr>
          <w:rFonts w:cs="Arial"/>
          <w:i/>
          <w:szCs w:val="21"/>
        </w:rPr>
      </w:pPr>
      <w:r w:rsidRPr="00D53B04">
        <w:rPr>
          <w:rFonts w:cs="Arial"/>
          <w:i/>
          <w:szCs w:val="21"/>
        </w:rPr>
        <w:t>Composante 1 : Productivité agricole :</w:t>
      </w:r>
    </w:p>
    <w:p w14:paraId="5CA555AD" w14:textId="77777777" w:rsidR="001C2F95" w:rsidRPr="00D53B04" w:rsidRDefault="001C2F95" w:rsidP="002378EA">
      <w:pPr>
        <w:pStyle w:val="Paragraphedeliste"/>
        <w:numPr>
          <w:ilvl w:val="3"/>
          <w:numId w:val="40"/>
        </w:numPr>
        <w:rPr>
          <w:rFonts w:cs="Arial"/>
          <w:szCs w:val="21"/>
        </w:rPr>
      </w:pPr>
      <w:r w:rsidRPr="00D53B04">
        <w:rPr>
          <w:rFonts w:cs="Arial"/>
          <w:szCs w:val="21"/>
        </w:rPr>
        <w:t>Sous-composante 1.1 : Soutien direct aux petits exploitants</w:t>
      </w:r>
    </w:p>
    <w:p w14:paraId="4DD4AAC2" w14:textId="77777777" w:rsidR="001C2F95" w:rsidRPr="00D53B04" w:rsidRDefault="001C2F95" w:rsidP="002378EA">
      <w:pPr>
        <w:pStyle w:val="Paragraphedeliste"/>
        <w:numPr>
          <w:ilvl w:val="3"/>
          <w:numId w:val="40"/>
        </w:numPr>
        <w:rPr>
          <w:rFonts w:cs="Arial"/>
          <w:szCs w:val="21"/>
        </w:rPr>
      </w:pPr>
      <w:r w:rsidRPr="00D53B04">
        <w:rPr>
          <w:rFonts w:cs="Arial"/>
          <w:szCs w:val="21"/>
        </w:rPr>
        <w:t>Sous-composante 1.2 : Assistance technique et accès financier aux petits exploitants</w:t>
      </w:r>
    </w:p>
    <w:p w14:paraId="72A7B74E" w14:textId="77777777" w:rsidR="001C2F95" w:rsidRPr="00D53B04" w:rsidRDefault="001C2F95" w:rsidP="002378EA">
      <w:pPr>
        <w:pStyle w:val="Paragraphedeliste"/>
        <w:numPr>
          <w:ilvl w:val="0"/>
          <w:numId w:val="39"/>
        </w:numPr>
        <w:rPr>
          <w:rFonts w:cs="Arial"/>
          <w:i/>
          <w:szCs w:val="21"/>
        </w:rPr>
      </w:pPr>
      <w:r w:rsidRPr="00D53B04">
        <w:rPr>
          <w:rFonts w:cs="Arial"/>
          <w:i/>
          <w:szCs w:val="21"/>
        </w:rPr>
        <w:t>Composante 2 : Accès au marché des petits exploitants :</w:t>
      </w:r>
    </w:p>
    <w:p w14:paraId="27301B95" w14:textId="77777777" w:rsidR="001C2F95" w:rsidRPr="00D53B04" w:rsidRDefault="001C2F95" w:rsidP="002378EA">
      <w:pPr>
        <w:pStyle w:val="Paragraphedeliste"/>
        <w:numPr>
          <w:ilvl w:val="3"/>
          <w:numId w:val="40"/>
        </w:numPr>
        <w:rPr>
          <w:rFonts w:cs="Arial"/>
          <w:szCs w:val="21"/>
        </w:rPr>
      </w:pPr>
      <w:r w:rsidRPr="00D53B04">
        <w:rPr>
          <w:rFonts w:cs="Arial"/>
          <w:szCs w:val="21"/>
        </w:rPr>
        <w:t>Sous-composante 2.1 : Infrastructures rurales</w:t>
      </w:r>
    </w:p>
    <w:p w14:paraId="7B9EDA7F" w14:textId="77777777" w:rsidR="001C2F95" w:rsidRPr="00D53B04" w:rsidRDefault="001C2F95" w:rsidP="002378EA">
      <w:pPr>
        <w:pStyle w:val="Paragraphedeliste"/>
        <w:numPr>
          <w:ilvl w:val="3"/>
          <w:numId w:val="40"/>
        </w:numPr>
        <w:rPr>
          <w:rFonts w:cs="Arial"/>
          <w:szCs w:val="21"/>
        </w:rPr>
      </w:pPr>
      <w:r w:rsidRPr="00D53B04">
        <w:rPr>
          <w:rFonts w:cs="Arial"/>
          <w:szCs w:val="21"/>
        </w:rPr>
        <w:t>Sous-composante 2.2 : Soutien à l’inclusion des petits exploitants dans les chaînes de valeur</w:t>
      </w:r>
    </w:p>
    <w:p w14:paraId="18314342" w14:textId="77777777" w:rsidR="001C2F95" w:rsidRPr="00D53B04" w:rsidRDefault="001C2F95" w:rsidP="002378EA">
      <w:pPr>
        <w:pStyle w:val="Paragraphedeliste"/>
        <w:numPr>
          <w:ilvl w:val="0"/>
          <w:numId w:val="39"/>
        </w:numPr>
        <w:rPr>
          <w:rFonts w:cs="Arial"/>
          <w:i/>
          <w:szCs w:val="21"/>
        </w:rPr>
      </w:pPr>
      <w:r w:rsidRPr="00D53B04">
        <w:rPr>
          <w:rFonts w:cs="Arial"/>
          <w:i/>
          <w:szCs w:val="21"/>
        </w:rPr>
        <w:t>Composante 3 : Biens et services publics agricoles</w:t>
      </w:r>
    </w:p>
    <w:p w14:paraId="34EDFE0A" w14:textId="77777777" w:rsidR="001C2F95" w:rsidRPr="00D53B04" w:rsidRDefault="001C2F95" w:rsidP="002378EA">
      <w:pPr>
        <w:pStyle w:val="Paragraphedeliste"/>
        <w:numPr>
          <w:ilvl w:val="3"/>
          <w:numId w:val="40"/>
        </w:numPr>
        <w:rPr>
          <w:rFonts w:cs="Arial"/>
          <w:szCs w:val="21"/>
        </w:rPr>
      </w:pPr>
      <w:r w:rsidRPr="00D53B04">
        <w:rPr>
          <w:rFonts w:cs="Arial"/>
          <w:szCs w:val="21"/>
        </w:rPr>
        <w:t>Sous-composante 3.1 : Renforcement des capacités pour la fourniture de services publics agricoles ;</w:t>
      </w:r>
    </w:p>
    <w:p w14:paraId="29378EEA" w14:textId="77777777" w:rsidR="001C2F95" w:rsidRPr="00D53B04" w:rsidRDefault="001C2F95" w:rsidP="002378EA">
      <w:pPr>
        <w:pStyle w:val="Paragraphedeliste"/>
        <w:numPr>
          <w:ilvl w:val="3"/>
          <w:numId w:val="40"/>
        </w:numPr>
        <w:rPr>
          <w:rFonts w:cs="Arial"/>
          <w:szCs w:val="21"/>
        </w:rPr>
      </w:pPr>
      <w:r w:rsidRPr="00D53B04">
        <w:rPr>
          <w:rFonts w:cs="Arial"/>
          <w:szCs w:val="21"/>
        </w:rPr>
        <w:t>Sous-composante 3.2 : Gestion, suivi et évaluation du programme</w:t>
      </w:r>
    </w:p>
    <w:p w14:paraId="53727336" w14:textId="77777777" w:rsidR="001C2F95" w:rsidRPr="00D53B04" w:rsidRDefault="001C2F95" w:rsidP="002378EA">
      <w:pPr>
        <w:pStyle w:val="Paragraphedeliste"/>
        <w:numPr>
          <w:ilvl w:val="0"/>
          <w:numId w:val="39"/>
        </w:numPr>
        <w:rPr>
          <w:rFonts w:cs="Arial"/>
          <w:i/>
          <w:szCs w:val="21"/>
        </w:rPr>
      </w:pPr>
      <w:r w:rsidRPr="00D53B04">
        <w:rPr>
          <w:rFonts w:cs="Arial"/>
          <w:i/>
          <w:szCs w:val="21"/>
        </w:rPr>
        <w:t>Composante 4 : Intervention d’urgence agricole</w:t>
      </w:r>
    </w:p>
    <w:p w14:paraId="68BAAE0A" w14:textId="77777777" w:rsidR="001C2F95" w:rsidRPr="00D53B04" w:rsidRDefault="001C2F95" w:rsidP="001C2F95">
      <w:pPr>
        <w:tabs>
          <w:tab w:val="left" w:pos="426"/>
        </w:tabs>
        <w:contextualSpacing/>
        <w:rPr>
          <w:rFonts w:cs="Arial"/>
          <w:szCs w:val="21"/>
        </w:rPr>
      </w:pPr>
    </w:p>
    <w:p w14:paraId="36B13146" w14:textId="77777777" w:rsidR="001C2F95" w:rsidRPr="00AB3679" w:rsidRDefault="001C2F95" w:rsidP="002378EA">
      <w:pPr>
        <w:pStyle w:val="Paragraphedeliste"/>
        <w:numPr>
          <w:ilvl w:val="0"/>
          <w:numId w:val="66"/>
        </w:numPr>
        <w:rPr>
          <w:rFonts w:cs="Arial"/>
          <w:b/>
          <w:i/>
          <w:szCs w:val="21"/>
        </w:rPr>
      </w:pPr>
      <w:r w:rsidRPr="00AB3679">
        <w:rPr>
          <w:rFonts w:cs="Arial"/>
          <w:b/>
          <w:i/>
          <w:szCs w:val="21"/>
        </w:rPr>
        <w:t xml:space="preserve">Brève description des enjeux et risques environnementaux et sociaux majeurs </w:t>
      </w:r>
    </w:p>
    <w:p w14:paraId="46BC0FF7" w14:textId="77777777" w:rsidR="001C2F95" w:rsidRPr="00D53B04" w:rsidRDefault="001C2F95" w:rsidP="001C2F95">
      <w:pPr>
        <w:tabs>
          <w:tab w:val="left" w:pos="426"/>
        </w:tabs>
        <w:rPr>
          <w:rFonts w:cs="Arial"/>
          <w:szCs w:val="21"/>
        </w:rPr>
      </w:pPr>
    </w:p>
    <w:p w14:paraId="37BD3FC9" w14:textId="77777777" w:rsidR="001C2F95" w:rsidRPr="00D53B04" w:rsidRDefault="001C2F95" w:rsidP="001C2F95">
      <w:pPr>
        <w:tabs>
          <w:tab w:val="left" w:pos="426"/>
          <w:tab w:val="left" w:pos="567"/>
        </w:tabs>
        <w:contextualSpacing/>
        <w:rPr>
          <w:rFonts w:cs="Arial"/>
          <w:szCs w:val="21"/>
          <w:lang w:bidi="fr-FR"/>
        </w:rPr>
      </w:pPr>
      <w:r w:rsidRPr="00D53B04">
        <w:rPr>
          <w:rFonts w:cs="Arial"/>
          <w:szCs w:val="21"/>
          <w:lang w:bidi="fr-FR"/>
        </w:rPr>
        <w:t>Les Provinces concernées par le PNDA</w:t>
      </w:r>
      <w:r w:rsidRPr="00D53B04">
        <w:rPr>
          <w:rFonts w:cs="Arial"/>
          <w:color w:val="FF0000"/>
          <w:szCs w:val="21"/>
          <w:lang w:bidi="fr-FR"/>
        </w:rPr>
        <w:t xml:space="preserve"> </w:t>
      </w:r>
      <w:r w:rsidRPr="00D53B04">
        <w:rPr>
          <w:rFonts w:cs="Arial"/>
          <w:szCs w:val="21"/>
          <w:lang w:bidi="fr-FR"/>
        </w:rPr>
        <w:t xml:space="preserve">sont confrontées à plusieurs contraintes et défis environnementaux et sociaux au premier rang desquels on note : </w:t>
      </w:r>
    </w:p>
    <w:p w14:paraId="7244DFAD" w14:textId="77777777" w:rsidR="001C2F95" w:rsidRPr="00D53B04" w:rsidRDefault="001C2F95" w:rsidP="002378EA">
      <w:pPr>
        <w:pStyle w:val="Paragraphedeliste"/>
        <w:numPr>
          <w:ilvl w:val="0"/>
          <w:numId w:val="67"/>
        </w:numPr>
        <w:rPr>
          <w:rFonts w:eastAsia="Calibri" w:cs="Arial"/>
          <w:szCs w:val="21"/>
        </w:rPr>
      </w:pPr>
      <w:r w:rsidRPr="00D53B04">
        <w:rPr>
          <w:rFonts w:eastAsia="Calibri" w:cs="Arial"/>
          <w:szCs w:val="21"/>
        </w:rPr>
        <w:t>Faible production agricole ;</w:t>
      </w:r>
    </w:p>
    <w:p w14:paraId="5745F1FF" w14:textId="77777777" w:rsidR="001C2F95" w:rsidRPr="00D53B04" w:rsidRDefault="001C2F95" w:rsidP="002378EA">
      <w:pPr>
        <w:pStyle w:val="Paragraphedeliste"/>
        <w:numPr>
          <w:ilvl w:val="0"/>
          <w:numId w:val="67"/>
        </w:numPr>
        <w:rPr>
          <w:rFonts w:eastAsia="Calibri" w:cs="Arial"/>
          <w:szCs w:val="21"/>
        </w:rPr>
      </w:pPr>
      <w:r w:rsidRPr="00D53B04">
        <w:rPr>
          <w:rFonts w:eastAsia="Calibri" w:cs="Arial"/>
          <w:szCs w:val="21"/>
        </w:rPr>
        <w:t>Faible production des poissons (pêche) ;</w:t>
      </w:r>
    </w:p>
    <w:p w14:paraId="3161B11C" w14:textId="77777777" w:rsidR="001C2F95" w:rsidRPr="00D53B04" w:rsidRDefault="001C2F95" w:rsidP="002378EA">
      <w:pPr>
        <w:pStyle w:val="Paragraphedeliste"/>
        <w:numPr>
          <w:ilvl w:val="0"/>
          <w:numId w:val="67"/>
        </w:numPr>
        <w:rPr>
          <w:rFonts w:eastAsia="Calibri" w:cs="Arial"/>
          <w:szCs w:val="21"/>
        </w:rPr>
      </w:pPr>
      <w:r w:rsidRPr="00D53B04">
        <w:rPr>
          <w:rFonts w:eastAsia="Calibri" w:cs="Arial"/>
          <w:szCs w:val="21"/>
        </w:rPr>
        <w:t>Faible production animale (élevage) ;</w:t>
      </w:r>
    </w:p>
    <w:p w14:paraId="0BD4411D" w14:textId="77777777" w:rsidR="001C2F95" w:rsidRPr="00D53B04" w:rsidRDefault="001C2F95" w:rsidP="002378EA">
      <w:pPr>
        <w:pStyle w:val="Paragraphedeliste"/>
        <w:numPr>
          <w:ilvl w:val="0"/>
          <w:numId w:val="67"/>
        </w:numPr>
        <w:rPr>
          <w:rFonts w:eastAsia="Calibri" w:cs="Arial"/>
          <w:szCs w:val="21"/>
          <w:lang w:eastAsia="en-US"/>
        </w:rPr>
      </w:pPr>
      <w:r w:rsidRPr="00D53B04">
        <w:rPr>
          <w:rFonts w:cs="Arial"/>
          <w:szCs w:val="21"/>
        </w:rPr>
        <w:t>Faible accès aux soins vétérinaires ;</w:t>
      </w:r>
    </w:p>
    <w:p w14:paraId="68D2A304" w14:textId="77777777" w:rsidR="001C2F95" w:rsidRPr="00D53B04" w:rsidRDefault="001C2F95" w:rsidP="002378EA">
      <w:pPr>
        <w:pStyle w:val="Paragraphedeliste"/>
        <w:numPr>
          <w:ilvl w:val="0"/>
          <w:numId w:val="67"/>
        </w:numPr>
        <w:rPr>
          <w:rFonts w:eastAsia="Calibri" w:cs="Arial"/>
          <w:szCs w:val="21"/>
          <w:lang w:eastAsia="en-US"/>
        </w:rPr>
      </w:pPr>
      <w:r w:rsidRPr="00D53B04">
        <w:rPr>
          <w:rFonts w:cs="Arial"/>
          <w:szCs w:val="21"/>
        </w:rPr>
        <w:t>Problème foncier ;</w:t>
      </w:r>
    </w:p>
    <w:p w14:paraId="73C4B41B" w14:textId="77777777" w:rsidR="001C2F95" w:rsidRPr="00D53B04" w:rsidRDefault="001C2F95" w:rsidP="002378EA">
      <w:pPr>
        <w:pStyle w:val="Paragraphedeliste"/>
        <w:numPr>
          <w:ilvl w:val="0"/>
          <w:numId w:val="67"/>
        </w:numPr>
        <w:rPr>
          <w:rFonts w:eastAsia="Calibri" w:cs="Arial"/>
          <w:szCs w:val="21"/>
        </w:rPr>
      </w:pPr>
      <w:r w:rsidRPr="00D53B04">
        <w:rPr>
          <w:rFonts w:eastAsia="Calibri" w:cs="Arial"/>
          <w:szCs w:val="21"/>
        </w:rPr>
        <w:lastRenderedPageBreak/>
        <w:t>Risque et prévalence des violences basées sur le genre (VBG), y compris l’exploitation et abus sexuels (EAS) et le harcèlement sexuel (HS), et de la COVID-19 ;</w:t>
      </w:r>
    </w:p>
    <w:p w14:paraId="5C3E5FFA" w14:textId="77777777" w:rsidR="001C2F95" w:rsidRPr="00D53B04" w:rsidRDefault="001C2F95" w:rsidP="002378EA">
      <w:pPr>
        <w:pStyle w:val="Paragraphedeliste"/>
        <w:numPr>
          <w:ilvl w:val="0"/>
          <w:numId w:val="67"/>
        </w:numPr>
        <w:rPr>
          <w:rFonts w:eastAsia="Calibri" w:cs="Arial"/>
          <w:szCs w:val="21"/>
        </w:rPr>
      </w:pPr>
      <w:r w:rsidRPr="00D53B04">
        <w:rPr>
          <w:rFonts w:eastAsia="Calibri" w:cs="Arial"/>
          <w:szCs w:val="21"/>
        </w:rPr>
        <w:t>Absence d’une agriculture intelligente ;</w:t>
      </w:r>
    </w:p>
    <w:p w14:paraId="5FF4D083" w14:textId="77777777" w:rsidR="001C2F95" w:rsidRPr="00D53B04" w:rsidRDefault="001C2F95" w:rsidP="002378EA">
      <w:pPr>
        <w:pStyle w:val="Paragraphedeliste"/>
        <w:numPr>
          <w:ilvl w:val="0"/>
          <w:numId w:val="67"/>
        </w:numPr>
        <w:rPr>
          <w:rFonts w:eastAsia="Calibri" w:cs="Arial"/>
          <w:szCs w:val="21"/>
        </w:rPr>
      </w:pPr>
      <w:r w:rsidRPr="00D53B04">
        <w:rPr>
          <w:rFonts w:eastAsia="Calibri" w:cs="Arial"/>
          <w:szCs w:val="21"/>
        </w:rPr>
        <w:t>Problème d’absence d’infrastructures communautaires tels les marchés, dépôts des produits agricoles, abattoirs, etc. ;</w:t>
      </w:r>
    </w:p>
    <w:p w14:paraId="4DF0117F" w14:textId="77777777" w:rsidR="001C2F95" w:rsidRPr="00D53B04" w:rsidRDefault="001C2F95" w:rsidP="002378EA">
      <w:pPr>
        <w:pStyle w:val="Paragraphedeliste"/>
        <w:numPr>
          <w:ilvl w:val="0"/>
          <w:numId w:val="67"/>
        </w:numPr>
        <w:rPr>
          <w:rFonts w:eastAsia="Calibri" w:cs="Arial"/>
          <w:szCs w:val="21"/>
        </w:rPr>
      </w:pPr>
      <w:r w:rsidRPr="00D53B04">
        <w:rPr>
          <w:rFonts w:eastAsia="Calibri" w:cs="Arial"/>
          <w:szCs w:val="21"/>
        </w:rPr>
        <w:t>Problème des routes de desserte agricole qui sont en état de délabrement très avancés ;</w:t>
      </w:r>
    </w:p>
    <w:p w14:paraId="0DDC2229" w14:textId="77777777" w:rsidR="001C2F95" w:rsidRPr="00D53B04" w:rsidRDefault="001C2F95" w:rsidP="002378EA">
      <w:pPr>
        <w:pStyle w:val="Paragraphedeliste"/>
        <w:numPr>
          <w:ilvl w:val="0"/>
          <w:numId w:val="67"/>
        </w:numPr>
        <w:rPr>
          <w:rFonts w:eastAsia="Calibri" w:cs="Arial"/>
          <w:szCs w:val="21"/>
        </w:rPr>
      </w:pPr>
      <w:r w:rsidRPr="00D53B04">
        <w:rPr>
          <w:rFonts w:eastAsia="Calibri" w:cs="Arial"/>
          <w:szCs w:val="21"/>
        </w:rPr>
        <w:t>Déficience du système d’irrigation des champs agricoles ;</w:t>
      </w:r>
    </w:p>
    <w:p w14:paraId="51173D62" w14:textId="77777777" w:rsidR="001C2F95" w:rsidRPr="00D53B04" w:rsidRDefault="001C2F95" w:rsidP="002378EA">
      <w:pPr>
        <w:pStyle w:val="Paragraphedeliste"/>
        <w:numPr>
          <w:ilvl w:val="0"/>
          <w:numId w:val="67"/>
        </w:numPr>
        <w:rPr>
          <w:rFonts w:eastAsia="Calibri" w:cs="Arial"/>
          <w:szCs w:val="21"/>
        </w:rPr>
      </w:pPr>
      <w:r w:rsidRPr="00D53B04">
        <w:rPr>
          <w:rFonts w:eastAsia="Calibri" w:cs="Arial"/>
          <w:szCs w:val="21"/>
        </w:rPr>
        <w:t>Problème de malnutrition et sous-alimentation ;</w:t>
      </w:r>
    </w:p>
    <w:p w14:paraId="039AC52D" w14:textId="77777777" w:rsidR="009D5C9F" w:rsidRPr="00D53B04" w:rsidRDefault="009D5C9F" w:rsidP="002378EA">
      <w:pPr>
        <w:pStyle w:val="Paragraphedeliste"/>
        <w:numPr>
          <w:ilvl w:val="0"/>
          <w:numId w:val="67"/>
        </w:numPr>
        <w:rPr>
          <w:rFonts w:eastAsia="Calibri" w:cs="Arial"/>
          <w:szCs w:val="21"/>
        </w:rPr>
      </w:pPr>
      <w:r w:rsidRPr="00D53B04">
        <w:rPr>
          <w:rFonts w:eastAsia="Calibri" w:cs="Arial"/>
          <w:szCs w:val="21"/>
        </w:rPr>
        <w:t xml:space="preserve">Risque de contamination de la COVID-19 avec ses conséquences sur la </w:t>
      </w:r>
      <w:r w:rsidR="00F97D7B" w:rsidRPr="00D53B04">
        <w:rPr>
          <w:rFonts w:eastAsia="Calibri" w:cs="Arial"/>
          <w:szCs w:val="21"/>
        </w:rPr>
        <w:t>pauvreté</w:t>
      </w:r>
      <w:r w:rsidRPr="00D53B04">
        <w:rPr>
          <w:rFonts w:eastAsia="Calibri" w:cs="Arial"/>
          <w:szCs w:val="21"/>
        </w:rPr>
        <w:t xml:space="preserve"> des populations ;</w:t>
      </w:r>
    </w:p>
    <w:p w14:paraId="638B0A64" w14:textId="77777777" w:rsidR="009D5C9F" w:rsidRPr="00D53B04" w:rsidRDefault="009D5C9F" w:rsidP="002378EA">
      <w:pPr>
        <w:pStyle w:val="Paragraphedeliste"/>
        <w:numPr>
          <w:ilvl w:val="0"/>
          <w:numId w:val="67"/>
        </w:numPr>
        <w:rPr>
          <w:rFonts w:eastAsia="Calibri" w:cs="Arial"/>
          <w:szCs w:val="21"/>
        </w:rPr>
      </w:pPr>
      <w:r w:rsidRPr="00D53B04">
        <w:rPr>
          <w:rFonts w:eastAsia="Calibri" w:cs="Arial"/>
          <w:szCs w:val="21"/>
        </w:rPr>
        <w:t xml:space="preserve">Risque de contamination de virus Ebola dans la </w:t>
      </w:r>
      <w:r w:rsidR="00F97D7B" w:rsidRPr="00D53B04">
        <w:rPr>
          <w:rFonts w:eastAsia="Calibri" w:cs="Arial"/>
          <w:szCs w:val="21"/>
        </w:rPr>
        <w:t>P</w:t>
      </w:r>
      <w:r w:rsidRPr="00D53B04">
        <w:rPr>
          <w:rFonts w:eastAsia="Calibri" w:cs="Arial"/>
          <w:szCs w:val="21"/>
        </w:rPr>
        <w:t>rovince du Nord-Kivu ;</w:t>
      </w:r>
    </w:p>
    <w:p w14:paraId="681A7D43" w14:textId="77777777" w:rsidR="000C48DF" w:rsidRPr="00D53B04" w:rsidRDefault="000C48DF" w:rsidP="002378EA">
      <w:pPr>
        <w:pStyle w:val="Paragraphedeliste"/>
        <w:numPr>
          <w:ilvl w:val="0"/>
          <w:numId w:val="67"/>
        </w:numPr>
        <w:rPr>
          <w:rFonts w:eastAsia="Calibri" w:cs="Arial"/>
          <w:szCs w:val="21"/>
        </w:rPr>
      </w:pPr>
      <w:r w:rsidRPr="00D53B04">
        <w:rPr>
          <w:rFonts w:eastAsia="Calibri" w:cs="Arial"/>
          <w:szCs w:val="21"/>
        </w:rPr>
        <w:t>Problème foncier lié au conflit de terre entre les communautés ;</w:t>
      </w:r>
    </w:p>
    <w:p w14:paraId="5B44527F" w14:textId="77777777" w:rsidR="001C2F95" w:rsidRPr="00D53B04" w:rsidRDefault="001C2F95" w:rsidP="002378EA">
      <w:pPr>
        <w:pStyle w:val="Paragraphedeliste"/>
        <w:numPr>
          <w:ilvl w:val="0"/>
          <w:numId w:val="67"/>
        </w:numPr>
        <w:rPr>
          <w:rFonts w:eastAsia="Calibri" w:cs="Arial"/>
          <w:szCs w:val="21"/>
        </w:rPr>
      </w:pPr>
      <w:r w:rsidRPr="00D53B04">
        <w:rPr>
          <w:rFonts w:eastAsia="Calibri" w:cs="Arial"/>
          <w:szCs w:val="21"/>
        </w:rPr>
        <w:t>Risques d’érosion et d’inondations dans la région du Kasaï et Kasaï Central ;</w:t>
      </w:r>
    </w:p>
    <w:p w14:paraId="671DC633" w14:textId="77777777" w:rsidR="001C2F95" w:rsidRPr="00D53B04" w:rsidRDefault="000C48DF" w:rsidP="002378EA">
      <w:pPr>
        <w:pStyle w:val="Paragraphedeliste"/>
        <w:numPr>
          <w:ilvl w:val="0"/>
          <w:numId w:val="67"/>
        </w:numPr>
        <w:rPr>
          <w:rFonts w:eastAsia="Calibri" w:cs="Arial"/>
          <w:szCs w:val="21"/>
        </w:rPr>
      </w:pPr>
      <w:r w:rsidRPr="00D53B04">
        <w:rPr>
          <w:rFonts w:eastAsia="Calibri" w:cs="Arial"/>
          <w:szCs w:val="21"/>
        </w:rPr>
        <w:t xml:space="preserve">L’ampleur et gravité </w:t>
      </w:r>
      <w:r w:rsidR="001C2F95" w:rsidRPr="00D53B04">
        <w:rPr>
          <w:rFonts w:eastAsia="Calibri" w:cs="Arial"/>
          <w:szCs w:val="21"/>
        </w:rPr>
        <w:t>des problèmes sociaux</w:t>
      </w:r>
      <w:r w:rsidRPr="00D53B04">
        <w:rPr>
          <w:rFonts w:eastAsia="Calibri" w:cs="Arial"/>
          <w:szCs w:val="21"/>
        </w:rPr>
        <w:t xml:space="preserve"> liés à la pauvreté, la malnutrition et la sous-alimentation</w:t>
      </w:r>
      <w:r w:rsidR="001C2F95" w:rsidRPr="00D53B04">
        <w:rPr>
          <w:rFonts w:eastAsia="Calibri" w:cs="Arial"/>
          <w:szCs w:val="21"/>
        </w:rPr>
        <w:t>;</w:t>
      </w:r>
    </w:p>
    <w:p w14:paraId="7C497A3A" w14:textId="77777777" w:rsidR="001C2F95" w:rsidRPr="00D53B04" w:rsidRDefault="001C2F95" w:rsidP="002378EA">
      <w:pPr>
        <w:pStyle w:val="Paragraphedeliste"/>
        <w:numPr>
          <w:ilvl w:val="0"/>
          <w:numId w:val="67"/>
        </w:numPr>
        <w:rPr>
          <w:rFonts w:eastAsia="Calibri" w:cs="Arial"/>
          <w:szCs w:val="21"/>
        </w:rPr>
      </w:pPr>
      <w:r w:rsidRPr="00D53B04">
        <w:rPr>
          <w:rFonts w:eastAsia="Calibri" w:cs="Arial"/>
          <w:szCs w:val="21"/>
        </w:rPr>
        <w:t>Insécurité dans la région du Nord-Kivu (Beni, Butembo, Rutshuru)</w:t>
      </w:r>
      <w:r w:rsidR="009D5C9F" w:rsidRPr="00D53B04">
        <w:rPr>
          <w:rFonts w:eastAsia="Calibri" w:cs="Arial"/>
          <w:szCs w:val="21"/>
        </w:rPr>
        <w:t>.</w:t>
      </w:r>
    </w:p>
    <w:p w14:paraId="29E2EBE6" w14:textId="77777777" w:rsidR="001C2F95" w:rsidRPr="00D53B04" w:rsidRDefault="001C2F95" w:rsidP="001C2F95">
      <w:pPr>
        <w:tabs>
          <w:tab w:val="left" w:pos="426"/>
        </w:tabs>
        <w:spacing w:line="240" w:lineRule="auto"/>
        <w:rPr>
          <w:rFonts w:cs="Arial"/>
          <w:szCs w:val="21"/>
        </w:rPr>
      </w:pPr>
    </w:p>
    <w:p w14:paraId="01808E88" w14:textId="77777777" w:rsidR="001C2F95" w:rsidRPr="00AB3679" w:rsidRDefault="001C2F95" w:rsidP="002378EA">
      <w:pPr>
        <w:numPr>
          <w:ilvl w:val="0"/>
          <w:numId w:val="66"/>
        </w:numPr>
        <w:rPr>
          <w:rFonts w:cs="Arial"/>
          <w:b/>
          <w:i/>
          <w:szCs w:val="21"/>
        </w:rPr>
      </w:pPr>
      <w:r w:rsidRPr="00AB3679">
        <w:rPr>
          <w:rFonts w:cs="Arial"/>
          <w:b/>
          <w:i/>
          <w:szCs w:val="21"/>
        </w:rPr>
        <w:t xml:space="preserve">Cadre politique, juridique et institutionnel de la gestion des risques et impacts environnementaux et sociaux du pays et Cadre Environnemental et Social (CES) de la Banque mondiale dont les exigences sont satisfaites par le CGES </w:t>
      </w:r>
    </w:p>
    <w:p w14:paraId="3BE89ED2" w14:textId="77777777" w:rsidR="001C2F95" w:rsidRPr="00D53B04" w:rsidRDefault="001C2F95" w:rsidP="001C2F95">
      <w:pPr>
        <w:tabs>
          <w:tab w:val="left" w:pos="426"/>
        </w:tabs>
        <w:rPr>
          <w:rFonts w:cs="Arial"/>
          <w:szCs w:val="21"/>
        </w:rPr>
      </w:pPr>
    </w:p>
    <w:p w14:paraId="6621A698" w14:textId="01AE843E" w:rsidR="001C2F95" w:rsidRPr="00D53B04" w:rsidRDefault="001C2F95" w:rsidP="001C2F95">
      <w:pPr>
        <w:tabs>
          <w:tab w:val="left" w:pos="426"/>
        </w:tabs>
        <w:rPr>
          <w:rFonts w:cs="Arial"/>
          <w:szCs w:val="21"/>
        </w:rPr>
      </w:pPr>
      <w:r w:rsidRPr="00D53B04">
        <w:rPr>
          <w:rFonts w:cs="Arial"/>
          <w:szCs w:val="21"/>
        </w:rPr>
        <w:t>Le contexte législatif et réglementaire de</w:t>
      </w:r>
      <w:r w:rsidR="00AB3679">
        <w:rPr>
          <w:rFonts w:cs="Arial"/>
          <w:szCs w:val="21"/>
        </w:rPr>
        <w:t xml:space="preserve"> la gestion </w:t>
      </w:r>
      <w:r w:rsidRPr="00D53B04">
        <w:rPr>
          <w:rFonts w:cs="Arial"/>
          <w:szCs w:val="21"/>
        </w:rPr>
        <w:t>environnemental</w:t>
      </w:r>
      <w:r w:rsidR="00AB3679">
        <w:rPr>
          <w:rFonts w:cs="Arial"/>
          <w:szCs w:val="21"/>
        </w:rPr>
        <w:t>e</w:t>
      </w:r>
      <w:r w:rsidRPr="00D53B04">
        <w:rPr>
          <w:rFonts w:cs="Arial"/>
          <w:szCs w:val="21"/>
        </w:rPr>
        <w:t xml:space="preserve"> et social</w:t>
      </w:r>
      <w:r w:rsidR="00AB3679">
        <w:rPr>
          <w:rFonts w:cs="Arial"/>
          <w:szCs w:val="21"/>
        </w:rPr>
        <w:t>e</w:t>
      </w:r>
      <w:r w:rsidRPr="00D53B04">
        <w:rPr>
          <w:rFonts w:cs="Arial"/>
          <w:szCs w:val="21"/>
        </w:rPr>
        <w:t xml:space="preserve"> et des secteurs d’intervention du PNDA est marqué par l’existence des textes pertinents au plan législatif et réglementaire </w:t>
      </w:r>
      <w:r w:rsidRPr="00D53B04">
        <w:rPr>
          <w:rFonts w:cs="Arial"/>
          <w:bCs/>
          <w:szCs w:val="21"/>
        </w:rPr>
        <w:t>(Loi n°11/009 du 09 juillet 2011 portant principes fondamentaux relatifs à la protection de l’environnement ; Loi n°</w:t>
      </w:r>
      <w:r w:rsidRPr="00D53B04">
        <w:rPr>
          <w:rFonts w:cs="Arial"/>
          <w:szCs w:val="21"/>
        </w:rPr>
        <w:t xml:space="preserve"> 11/022 du 24 décembre 2011 portant Principes fondamentaux relatifs à l’Agriculture ;</w:t>
      </w:r>
      <w:r w:rsidRPr="00D53B04">
        <w:rPr>
          <w:rFonts w:cs="Arial"/>
          <w:bCs/>
          <w:szCs w:val="21"/>
        </w:rPr>
        <w:t xml:space="preserve"> Décret n°14/019 du 02 août 2014 fixant les </w:t>
      </w:r>
      <w:r w:rsidRPr="00D53B04">
        <w:rPr>
          <w:rFonts w:cs="Arial"/>
          <w:szCs w:val="21"/>
        </w:rPr>
        <w:t>règles</w:t>
      </w:r>
      <w:r w:rsidRPr="00D53B04">
        <w:rPr>
          <w:rFonts w:cs="Arial"/>
          <w:bCs/>
          <w:szCs w:val="21"/>
        </w:rPr>
        <w:t xml:space="preserve"> de fonctionnement des mécanismes procéduraux de protection de l’environnement ; </w:t>
      </w:r>
      <w:r w:rsidRPr="00D53B04">
        <w:rPr>
          <w:rFonts w:cs="Arial"/>
          <w:szCs w:val="21"/>
        </w:rPr>
        <w:t xml:space="preserve">Code de Travail ; Code de la Famille, etc.). </w:t>
      </w:r>
    </w:p>
    <w:p w14:paraId="1F13FB4B" w14:textId="77777777" w:rsidR="00AB3679" w:rsidRDefault="00AB3679" w:rsidP="001C2F95">
      <w:pPr>
        <w:rPr>
          <w:rFonts w:cs="Arial"/>
          <w:szCs w:val="21"/>
        </w:rPr>
      </w:pPr>
    </w:p>
    <w:p w14:paraId="26387D95" w14:textId="5C9C2BA3" w:rsidR="001C2F95" w:rsidRPr="00D53B04" w:rsidRDefault="001C2F95" w:rsidP="001C2F95">
      <w:pPr>
        <w:rPr>
          <w:rFonts w:cs="Arial"/>
          <w:szCs w:val="21"/>
        </w:rPr>
      </w:pPr>
      <w:r w:rsidRPr="00D53B04">
        <w:rPr>
          <w:rFonts w:cs="Arial"/>
          <w:szCs w:val="21"/>
        </w:rPr>
        <w:t xml:space="preserve">Au niveau institutionnel, particulièrement dans les Provinces et Territoires ainsi que les Services Techniques de l’agriculture, pêche et élevage, des insuffisances sont notées en termes d’intégration des aspects environnementaux dans la préparation, la mise en œuvre et le suivi des grands projets de développement, mais aussi de capacités et de coordination. </w:t>
      </w:r>
    </w:p>
    <w:p w14:paraId="60369611" w14:textId="77777777" w:rsidR="001C2F95" w:rsidRPr="00D53B04" w:rsidRDefault="001C2F95" w:rsidP="001C2F95">
      <w:pPr>
        <w:tabs>
          <w:tab w:val="left" w:pos="426"/>
        </w:tabs>
        <w:rPr>
          <w:rFonts w:cs="Arial"/>
          <w:szCs w:val="21"/>
        </w:rPr>
      </w:pPr>
    </w:p>
    <w:p w14:paraId="7DE136E7" w14:textId="6E42F051" w:rsidR="001C2F95" w:rsidRPr="00D53B04" w:rsidRDefault="001C2F95" w:rsidP="00AB3679">
      <w:pPr>
        <w:rPr>
          <w:rFonts w:cs="Arial"/>
          <w:szCs w:val="21"/>
        </w:rPr>
      </w:pPr>
      <w:r w:rsidRPr="00D53B04">
        <w:rPr>
          <w:rFonts w:cs="Arial"/>
          <w:szCs w:val="21"/>
        </w:rPr>
        <w:t xml:space="preserve">Le PNDA est soumis aux exigences du Cadre Environnemental et Social de la Banque mondiale, entré en vigueur le 01 octobre 2018. Ainsi, l’évaluation des risques et impacts environnementaux et sociaux du PNDA a permis de le classer comme Projet à risque environnemental jugé substantiel au sens de la classification du CES de la Banque mondiale tout comme le risque social qui est jugé </w:t>
      </w:r>
      <w:r w:rsidR="004513E3" w:rsidRPr="00D53B04">
        <w:rPr>
          <w:rFonts w:cs="Arial"/>
          <w:szCs w:val="21"/>
        </w:rPr>
        <w:t> élevé</w:t>
      </w:r>
      <w:r w:rsidRPr="00D53B04">
        <w:rPr>
          <w:rFonts w:cs="Arial"/>
          <w:szCs w:val="21"/>
        </w:rPr>
        <w:t xml:space="preserve">, englobant un risque par rapport aux VBG classifié de manière provisoire au niveau </w:t>
      </w:r>
      <w:r w:rsidR="004513E3" w:rsidRPr="00D53B04">
        <w:rPr>
          <w:rFonts w:cs="Arial"/>
          <w:szCs w:val="21"/>
        </w:rPr>
        <w:t>substantiel</w:t>
      </w:r>
      <w:r w:rsidRPr="00D53B04">
        <w:rPr>
          <w:rFonts w:cs="Arial"/>
          <w:szCs w:val="21"/>
        </w:rPr>
        <w:t xml:space="preserve">. Toutes les dix Normes Environnementales et Sociales (NES) ont été jugées pertinentes pour ce Projet. </w:t>
      </w:r>
    </w:p>
    <w:p w14:paraId="44042C03" w14:textId="77777777" w:rsidR="001C2F95" w:rsidRPr="00D53B04" w:rsidRDefault="001C2F95" w:rsidP="001C2F95">
      <w:pPr>
        <w:rPr>
          <w:rFonts w:cs="Arial"/>
          <w:szCs w:val="21"/>
        </w:rPr>
      </w:pPr>
    </w:p>
    <w:p w14:paraId="6F193EBC" w14:textId="110852B2" w:rsidR="001C2F95" w:rsidRPr="00D53B04" w:rsidRDefault="001C2F95" w:rsidP="001C2F95">
      <w:pPr>
        <w:rPr>
          <w:rFonts w:cs="Arial"/>
          <w:szCs w:val="21"/>
        </w:rPr>
      </w:pPr>
      <w:r w:rsidRPr="00D53B04">
        <w:rPr>
          <w:rFonts w:cs="Arial"/>
          <w:szCs w:val="21"/>
        </w:rPr>
        <w:t xml:space="preserve">En plus de ces dix normes le PNDA applique </w:t>
      </w:r>
      <w:r w:rsidR="00AB3679">
        <w:rPr>
          <w:rFonts w:cs="Arial"/>
          <w:szCs w:val="21"/>
        </w:rPr>
        <w:t>également</w:t>
      </w:r>
      <w:r w:rsidRPr="00D53B04">
        <w:rPr>
          <w:rFonts w:cs="Arial"/>
          <w:szCs w:val="21"/>
        </w:rPr>
        <w:t xml:space="preserve"> les Directives environnementales, sanitaires et sécuritaires générales du Groupe de la Banque mondiale </w:t>
      </w:r>
      <w:r w:rsidR="00AB3679">
        <w:rPr>
          <w:rFonts w:cs="Arial"/>
          <w:szCs w:val="21"/>
        </w:rPr>
        <w:t>et</w:t>
      </w:r>
      <w:r w:rsidRPr="00D53B04">
        <w:rPr>
          <w:szCs w:val="21"/>
        </w:rPr>
        <w:t xml:space="preserve"> </w:t>
      </w:r>
      <w:r w:rsidRPr="00D53B04">
        <w:rPr>
          <w:rFonts w:cs="Arial"/>
          <w:szCs w:val="21"/>
        </w:rPr>
        <w:t xml:space="preserve">la politique opérationnelle PO/BP 7.50 - Projet sur les </w:t>
      </w:r>
      <w:r w:rsidR="00AB3679">
        <w:rPr>
          <w:rFonts w:cs="Arial"/>
          <w:szCs w:val="21"/>
        </w:rPr>
        <w:t>voies</w:t>
      </w:r>
      <w:r w:rsidRPr="00D53B04">
        <w:rPr>
          <w:rFonts w:cs="Arial"/>
          <w:szCs w:val="21"/>
        </w:rPr>
        <w:t xml:space="preserve"> d’eau internationa</w:t>
      </w:r>
      <w:r w:rsidR="00AB3679">
        <w:rPr>
          <w:rFonts w:cs="Arial"/>
          <w:szCs w:val="21"/>
        </w:rPr>
        <w:t>les</w:t>
      </w:r>
      <w:r w:rsidRPr="00D53B04">
        <w:rPr>
          <w:rFonts w:cs="Arial"/>
          <w:szCs w:val="21"/>
        </w:rPr>
        <w:t xml:space="preserve"> qui n’a pas été modifié avec le nouveau CES. Pour les aspects des VBG, le Projet sera mis en œuvre en conformité avec la Note de Bonnes Pratiques : Lutter contre l’exploitation et les atteintes sexuelles ainsi que le harcèlement sexuel dans le cadre du financement de projets d’investissement comportant de grands travaux de génie civil (Banque mondiale, 2</w:t>
      </w:r>
      <w:r w:rsidRPr="00D53B04">
        <w:rPr>
          <w:rFonts w:cs="Arial"/>
          <w:szCs w:val="21"/>
          <w:vertAlign w:val="superscript"/>
        </w:rPr>
        <w:t>ème</w:t>
      </w:r>
      <w:r w:rsidRPr="00D53B04">
        <w:rPr>
          <w:rFonts w:cs="Arial"/>
          <w:szCs w:val="21"/>
        </w:rPr>
        <w:t xml:space="preserve"> éd, février 2020) (Note de bonnes pratiques EAS/HS).</w:t>
      </w:r>
      <w:r w:rsidRPr="00D53B04">
        <w:rPr>
          <w:rFonts w:cs="Arial"/>
          <w:szCs w:val="21"/>
          <w:vertAlign w:val="superscript"/>
        </w:rPr>
        <w:footnoteReference w:id="2"/>
      </w:r>
      <w:r w:rsidRPr="00D53B04">
        <w:rPr>
          <w:rFonts w:cs="Arial"/>
          <w:szCs w:val="21"/>
        </w:rPr>
        <w:t xml:space="preserve"> </w:t>
      </w:r>
    </w:p>
    <w:p w14:paraId="3688B5B9" w14:textId="77777777" w:rsidR="003831FA" w:rsidRPr="00D53B04" w:rsidRDefault="003831FA" w:rsidP="001C2F95">
      <w:pPr>
        <w:rPr>
          <w:rFonts w:cs="Arial"/>
          <w:szCs w:val="21"/>
        </w:rPr>
      </w:pPr>
    </w:p>
    <w:p w14:paraId="35B044C3" w14:textId="07593349" w:rsidR="003831FA" w:rsidRPr="00D53B04" w:rsidRDefault="003831FA" w:rsidP="003831FA">
      <w:pPr>
        <w:rPr>
          <w:rFonts w:cs="Arial"/>
          <w:szCs w:val="21"/>
        </w:rPr>
      </w:pPr>
      <w:r w:rsidRPr="00D53B04">
        <w:rPr>
          <w:rFonts w:cs="Arial"/>
          <w:szCs w:val="21"/>
        </w:rPr>
        <w:t>Il est important de noter que Programme suivra les dernières directives de la Banque Mondiale relatives à la COVID-19.</w:t>
      </w:r>
    </w:p>
    <w:p w14:paraId="464ABC6A" w14:textId="77777777" w:rsidR="00005290" w:rsidRPr="00D53B04" w:rsidRDefault="00005290" w:rsidP="003831FA">
      <w:pPr>
        <w:rPr>
          <w:rFonts w:cs="Arial"/>
          <w:szCs w:val="21"/>
        </w:rPr>
      </w:pPr>
    </w:p>
    <w:p w14:paraId="3C2B049A" w14:textId="77777777" w:rsidR="001C2F95" w:rsidRPr="00D53B04" w:rsidRDefault="001C2F95" w:rsidP="002378EA">
      <w:pPr>
        <w:numPr>
          <w:ilvl w:val="0"/>
          <w:numId w:val="66"/>
        </w:numPr>
        <w:rPr>
          <w:rFonts w:cs="Arial"/>
          <w:i/>
          <w:szCs w:val="21"/>
        </w:rPr>
      </w:pPr>
      <w:r w:rsidRPr="00D53B04">
        <w:rPr>
          <w:rFonts w:cs="Arial"/>
          <w:i/>
          <w:szCs w:val="21"/>
        </w:rPr>
        <w:t xml:space="preserve">Impacts/risques génériques potentiels par type de sous-projets </w:t>
      </w:r>
    </w:p>
    <w:p w14:paraId="595C5678" w14:textId="77777777" w:rsidR="001C2F95" w:rsidRPr="00D53B04" w:rsidRDefault="001C2F95" w:rsidP="001C2F95">
      <w:pPr>
        <w:ind w:left="720"/>
        <w:rPr>
          <w:rFonts w:cs="Arial"/>
          <w:b/>
          <w:i/>
          <w:szCs w:val="21"/>
        </w:rPr>
      </w:pPr>
    </w:p>
    <w:p w14:paraId="466E2138" w14:textId="77777777" w:rsidR="001C2F95" w:rsidRPr="00D53B04" w:rsidRDefault="001C2F95" w:rsidP="001C2F95">
      <w:pPr>
        <w:rPr>
          <w:rFonts w:cs="Arial"/>
          <w:szCs w:val="21"/>
          <w:u w:val="single"/>
        </w:rPr>
      </w:pPr>
      <w:r w:rsidRPr="00D53B04">
        <w:rPr>
          <w:rFonts w:cs="Arial"/>
          <w:szCs w:val="21"/>
        </w:rPr>
        <w:t xml:space="preserve">Les risques et impacts environnementaux et sociaux potentiels consécutifs aux sous-projets sont les suivants : </w:t>
      </w:r>
    </w:p>
    <w:p w14:paraId="4CD8FA14" w14:textId="77777777" w:rsidR="00005290" w:rsidRPr="00D53B04" w:rsidRDefault="00005290" w:rsidP="001C2F95">
      <w:pPr>
        <w:rPr>
          <w:rFonts w:cs="Arial"/>
          <w:szCs w:val="21"/>
          <w:u w:val="single"/>
        </w:rPr>
      </w:pPr>
    </w:p>
    <w:p w14:paraId="3AFEA137" w14:textId="77777777" w:rsidR="001C2F95" w:rsidRPr="00D53B04" w:rsidRDefault="001C2F95" w:rsidP="001C2F95">
      <w:pPr>
        <w:rPr>
          <w:rFonts w:cs="Arial"/>
          <w:szCs w:val="21"/>
          <w:u w:val="single"/>
        </w:rPr>
      </w:pPr>
      <w:r w:rsidRPr="00D53B04">
        <w:rPr>
          <w:rFonts w:cs="Arial"/>
          <w:szCs w:val="21"/>
          <w:u w:val="single"/>
        </w:rPr>
        <w:t>Impacts positifs potentiels</w:t>
      </w:r>
    </w:p>
    <w:p w14:paraId="557B8D8D" w14:textId="77777777" w:rsidR="001C2F95" w:rsidRPr="00D53B04" w:rsidRDefault="001C2F95" w:rsidP="001C2F95">
      <w:pPr>
        <w:rPr>
          <w:rFonts w:cs="Arial"/>
          <w:b/>
          <w:szCs w:val="21"/>
          <w:u w:val="single"/>
        </w:rPr>
      </w:pPr>
    </w:p>
    <w:p w14:paraId="4F06D008" w14:textId="77777777" w:rsidR="001C2F95" w:rsidRPr="00D53B04" w:rsidRDefault="001C2F95" w:rsidP="001C2F95">
      <w:pPr>
        <w:autoSpaceDE w:val="0"/>
        <w:autoSpaceDN w:val="0"/>
        <w:adjustRightInd w:val="0"/>
        <w:rPr>
          <w:rFonts w:cs="Arial"/>
          <w:szCs w:val="21"/>
          <w:u w:val="single"/>
        </w:rPr>
      </w:pPr>
      <w:r w:rsidRPr="00D53B04">
        <w:rPr>
          <w:rFonts w:cs="Arial"/>
          <w:szCs w:val="21"/>
          <w:u w:val="single"/>
        </w:rPr>
        <w:t>En phase des travaux agricoles :</w:t>
      </w:r>
    </w:p>
    <w:p w14:paraId="5367B15A" w14:textId="77777777" w:rsidR="001C2F95" w:rsidRPr="00D53B04" w:rsidRDefault="001C2F95" w:rsidP="001C2F95">
      <w:pPr>
        <w:autoSpaceDE w:val="0"/>
        <w:autoSpaceDN w:val="0"/>
        <w:adjustRightInd w:val="0"/>
        <w:rPr>
          <w:rFonts w:cs="Arial"/>
          <w:szCs w:val="21"/>
        </w:rPr>
      </w:pPr>
    </w:p>
    <w:p w14:paraId="4C0B997E"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Création temporaire d’emplois (dont 30 % pour les femmes) ;</w:t>
      </w:r>
    </w:p>
    <w:p w14:paraId="740C61C5"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Amélioration des conditions du travail par la prise en compte des exigences des          NES n°2 : sur l’Emploi et les conditions de travail et NES n°4 : sur la Santé et sécurité des populations ;</w:t>
      </w:r>
    </w:p>
    <w:p w14:paraId="1A0FAB18"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Organisation des producteurs/-trices et renforcement de leurs capacités ;</w:t>
      </w:r>
    </w:p>
    <w:p w14:paraId="66237A2E"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 xml:space="preserve">Amélioration de la prise en compte du genre dans l’agriculture et du statut de la femme productrice dans le secteur agricole ; </w:t>
      </w:r>
    </w:p>
    <w:p w14:paraId="7A1314F8"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Prise en compte des travailleurs à temps plein, à temps partiel, temporaires, saisonniers et migrants, travailleurs directs, travailleurs contractuels, travailleurs communautaires, employés des fournisseurs principaux ;</w:t>
      </w:r>
    </w:p>
    <w:p w14:paraId="49185B44"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Développement des petits commerces tout autour des chantiers ;</w:t>
      </w:r>
    </w:p>
    <w:p w14:paraId="46720C34"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Amélioration du cadre et des conditions de vie ;</w:t>
      </w:r>
    </w:p>
    <w:p w14:paraId="204B1231"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Sécurisation alimentaire et lutte contre la malnutrition ;</w:t>
      </w:r>
    </w:p>
    <w:p w14:paraId="7B059978"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Réduction des coûts de transaction pour les petit(e)s exploitant(e)s agricoles (hommes et femmes) pour accéder aux marchés, ainsi que leur inclusion dans les groupes d’agriculteurs/-trices (œuvrant dans les coopératives/associations) et les agro-MPME ;</w:t>
      </w:r>
    </w:p>
    <w:p w14:paraId="20DD8F3A"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Désenclavement d</w:t>
      </w:r>
      <w:r w:rsidR="00F86960" w:rsidRPr="00D53B04">
        <w:rPr>
          <w:rFonts w:eastAsia="MS Mincho" w:cs="Arial"/>
          <w:szCs w:val="21"/>
        </w:rPr>
        <w:t>es</w:t>
      </w:r>
      <w:r w:rsidRPr="00D53B04">
        <w:rPr>
          <w:rFonts w:eastAsia="MS Mincho" w:cs="Arial"/>
          <w:szCs w:val="21"/>
        </w:rPr>
        <w:t xml:space="preserve"> bassin</w:t>
      </w:r>
      <w:r w:rsidR="00F86960" w:rsidRPr="00D53B04">
        <w:rPr>
          <w:rFonts w:eastAsia="MS Mincho" w:cs="Arial"/>
          <w:szCs w:val="21"/>
        </w:rPr>
        <w:t>s</w:t>
      </w:r>
      <w:r w:rsidRPr="00D53B04">
        <w:rPr>
          <w:rFonts w:eastAsia="MS Mincho" w:cs="Arial"/>
          <w:szCs w:val="21"/>
        </w:rPr>
        <w:t xml:space="preserve"> de production agricole dans les cinq provinces concernées par le Programme ;</w:t>
      </w:r>
    </w:p>
    <w:p w14:paraId="6ECC56A5"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Aide directe aux petits exploitants agricoles pour l’adoption des pratiques, technologies et intrants CSA (agriculture intelligente face au climat) et AIN (agriculture intelligente face à la nutrition) (semences, plants, races animales, services de conseil et de vulgarisation) ;</w:t>
      </w:r>
    </w:p>
    <w:p w14:paraId="3024E916"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Assistance technique aux petits exploitants (publics, privés, ONG), les services d’administration/d’enregistrement foncier et les services financiers ;</w:t>
      </w:r>
    </w:p>
    <w:p w14:paraId="130EAF43" w14:textId="77777777" w:rsidR="001C2F95" w:rsidRPr="00D53B04" w:rsidRDefault="001C2F95" w:rsidP="002378EA">
      <w:pPr>
        <w:pStyle w:val="Paragraphedeliste"/>
        <w:numPr>
          <w:ilvl w:val="0"/>
          <w:numId w:val="68"/>
        </w:numPr>
        <w:rPr>
          <w:rFonts w:cs="Arial"/>
          <w:color w:val="000000"/>
          <w:szCs w:val="21"/>
        </w:rPr>
      </w:pPr>
      <w:r w:rsidRPr="00D53B04">
        <w:rPr>
          <w:color w:val="000000"/>
          <w:szCs w:val="21"/>
        </w:rPr>
        <w:t>A</w:t>
      </w:r>
      <w:r w:rsidRPr="00D53B04">
        <w:rPr>
          <w:rFonts w:cs="Arial"/>
          <w:color w:val="000000"/>
          <w:szCs w:val="21"/>
        </w:rPr>
        <w:t>ccroissement de la productivité et de la production agricoles, augmentation des revenus des petits exploitants et attirer davantage d’emplois dans le secteur agricole,</w:t>
      </w:r>
    </w:p>
    <w:p w14:paraId="35664EA5" w14:textId="77777777" w:rsidR="001C2F95" w:rsidRPr="00D53B04" w:rsidRDefault="001C2F95" w:rsidP="002378EA">
      <w:pPr>
        <w:pStyle w:val="Paragraphedeliste"/>
        <w:numPr>
          <w:ilvl w:val="0"/>
          <w:numId w:val="68"/>
        </w:numPr>
        <w:rPr>
          <w:rFonts w:cs="Arial"/>
          <w:color w:val="000000"/>
          <w:szCs w:val="21"/>
        </w:rPr>
      </w:pPr>
      <w:r w:rsidRPr="00D53B04">
        <w:rPr>
          <w:rFonts w:cs="Arial"/>
          <w:color w:val="000000"/>
          <w:szCs w:val="21"/>
        </w:rPr>
        <w:t>Amélioration de la sécurité alimentaire ;</w:t>
      </w:r>
    </w:p>
    <w:p w14:paraId="30E3D759" w14:textId="77777777" w:rsidR="001C2F95" w:rsidRPr="00D53B04" w:rsidRDefault="001C2F95" w:rsidP="002378EA">
      <w:pPr>
        <w:pStyle w:val="Paragraphedeliste"/>
        <w:numPr>
          <w:ilvl w:val="0"/>
          <w:numId w:val="68"/>
        </w:numPr>
        <w:rPr>
          <w:rFonts w:cs="Arial"/>
          <w:color w:val="000000"/>
          <w:szCs w:val="21"/>
        </w:rPr>
      </w:pPr>
      <w:r w:rsidRPr="00D53B04">
        <w:rPr>
          <w:rFonts w:cs="Arial"/>
          <w:color w:val="000000"/>
          <w:szCs w:val="21"/>
        </w:rPr>
        <w:t xml:space="preserve">Amélioration de la production agricole suite à la fourniture des </w:t>
      </w:r>
      <w:r w:rsidRPr="00D53B04">
        <w:rPr>
          <w:rFonts w:eastAsia="MS Mincho" w:cs="Arial"/>
          <w:szCs w:val="21"/>
        </w:rPr>
        <w:t>d’intrants et de services agricoles (activités pré-récolte) comme les machines agricoles, semences, engrais, irrigation à la ferme, assistance technique ;</w:t>
      </w:r>
    </w:p>
    <w:p w14:paraId="2FC94F25" w14:textId="77777777" w:rsidR="001C2F95" w:rsidRPr="00D53B04" w:rsidRDefault="001C2F95" w:rsidP="002378EA">
      <w:pPr>
        <w:pStyle w:val="Paragraphedeliste"/>
        <w:numPr>
          <w:ilvl w:val="0"/>
          <w:numId w:val="68"/>
        </w:numPr>
        <w:rPr>
          <w:rFonts w:cs="Arial"/>
          <w:color w:val="000000"/>
          <w:szCs w:val="21"/>
        </w:rPr>
      </w:pPr>
      <w:r w:rsidRPr="00D53B04">
        <w:rPr>
          <w:rFonts w:cs="Arial"/>
          <w:color w:val="000000"/>
          <w:szCs w:val="21"/>
        </w:rPr>
        <w:t>Bonne circulation des navires évacuant les produits agricoles vers les centres de consommation suite aux travaux de balisage et réduction de noyade des navires sur les rivières dans les provinces concernées par le Programme ;</w:t>
      </w:r>
    </w:p>
    <w:p w14:paraId="58EE01CD" w14:textId="77777777" w:rsidR="001C2F95" w:rsidRPr="00D53B04" w:rsidRDefault="001C2F95" w:rsidP="002378EA">
      <w:pPr>
        <w:pStyle w:val="Paragraphedeliste"/>
        <w:numPr>
          <w:ilvl w:val="0"/>
          <w:numId w:val="68"/>
        </w:numPr>
        <w:rPr>
          <w:rFonts w:cs="Arial"/>
          <w:color w:val="000000"/>
          <w:szCs w:val="21"/>
        </w:rPr>
      </w:pPr>
      <w:r w:rsidRPr="00D53B04">
        <w:rPr>
          <w:rFonts w:cs="Arial"/>
          <w:color w:val="000000"/>
          <w:szCs w:val="21"/>
        </w:rPr>
        <w:t>Commercialisation des produits agricoles et d’origine animale suite à la construction des marchés, dépôts, abattoirs, développement économique agricole suite au financement des petits exploitants agricoles par des IF, etc. ; et</w:t>
      </w:r>
    </w:p>
    <w:p w14:paraId="3DC7FAA0"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 xml:space="preserve">Accroissement des revenus des petits exploitants agricoles suite à l’octroi des crédits par les IF. </w:t>
      </w:r>
    </w:p>
    <w:p w14:paraId="3BE6AE35" w14:textId="77777777" w:rsidR="001C2F95" w:rsidRPr="00D53B04" w:rsidRDefault="001C2F95" w:rsidP="001C2F95">
      <w:pPr>
        <w:autoSpaceDE w:val="0"/>
        <w:autoSpaceDN w:val="0"/>
        <w:adjustRightInd w:val="0"/>
        <w:rPr>
          <w:rFonts w:cs="Arial"/>
          <w:szCs w:val="21"/>
          <w:u w:val="single"/>
        </w:rPr>
      </w:pPr>
    </w:p>
    <w:p w14:paraId="1BB5F82E" w14:textId="77777777" w:rsidR="001C2F95" w:rsidRPr="00D53B04" w:rsidRDefault="001C2F95" w:rsidP="001C2F95">
      <w:pPr>
        <w:autoSpaceDE w:val="0"/>
        <w:autoSpaceDN w:val="0"/>
        <w:adjustRightInd w:val="0"/>
        <w:rPr>
          <w:rFonts w:cs="Arial"/>
          <w:szCs w:val="21"/>
          <w:u w:val="single"/>
        </w:rPr>
      </w:pPr>
      <w:r w:rsidRPr="00D53B04">
        <w:rPr>
          <w:rFonts w:cs="Arial"/>
          <w:szCs w:val="21"/>
          <w:u w:val="single"/>
        </w:rPr>
        <w:lastRenderedPageBreak/>
        <w:t>En phase d’exploitation des activités agricoles :</w:t>
      </w:r>
    </w:p>
    <w:p w14:paraId="2EFEB6C8" w14:textId="77777777" w:rsidR="001C2F95" w:rsidRPr="00D53B04" w:rsidRDefault="001C2F95" w:rsidP="001C2F95">
      <w:pPr>
        <w:autoSpaceDE w:val="0"/>
        <w:autoSpaceDN w:val="0"/>
        <w:adjustRightInd w:val="0"/>
        <w:rPr>
          <w:rFonts w:cs="Arial"/>
          <w:szCs w:val="21"/>
        </w:rPr>
      </w:pPr>
    </w:p>
    <w:p w14:paraId="7CB6E7BA"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Création de Petites Caisses Villageoises Autogérés ;</w:t>
      </w:r>
    </w:p>
    <w:p w14:paraId="0FE4B8F1"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Éveil des consciences sur les phénomènes de dégradation des sols ;</w:t>
      </w:r>
    </w:p>
    <w:p w14:paraId="5497BE75"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 xml:space="preserve">Arrêt de l’exode rural ; </w:t>
      </w:r>
    </w:p>
    <w:p w14:paraId="5C725E3A"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 xml:space="preserve">Mobilisation des femmes et des jeunes ; </w:t>
      </w:r>
    </w:p>
    <w:p w14:paraId="2A95BB1A"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 xml:space="preserve">Pérennisation des activités toute l’année ; </w:t>
      </w:r>
    </w:p>
    <w:p w14:paraId="4D379ABA"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Contribution à l’arrêt de la délinquance ;</w:t>
      </w:r>
    </w:p>
    <w:p w14:paraId="6937B9F1"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 xml:space="preserve">Création de Groupements ou Associations de producteurs ; </w:t>
      </w:r>
    </w:p>
    <w:p w14:paraId="19E553BB"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 xml:space="preserve">Création de Coopératives de producteurs ; </w:t>
      </w:r>
    </w:p>
    <w:p w14:paraId="0DC9E61B"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 xml:space="preserve">Meilleure organisation pour la transformation de produits ; </w:t>
      </w:r>
    </w:p>
    <w:p w14:paraId="158D63FE"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 xml:space="preserve">Développement de Filières de commercialisation ; </w:t>
      </w:r>
    </w:p>
    <w:p w14:paraId="6C41B401"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Prise en compte du genre et de l’amélioration du statut de la femme productrice ;</w:t>
      </w:r>
    </w:p>
    <w:p w14:paraId="2FA37510"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 xml:space="preserve">Meilleure prise en compte du genre et du processus d’intégration des notions d’équité dans l’exécution des activités ;  </w:t>
      </w:r>
    </w:p>
    <w:p w14:paraId="2CCEB377"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Participation accrue des femmes et des jeunes aux activités du projet en termes d’accroissement de revenus, de maîtrise de technologies et d’encadrement ; et</w:t>
      </w:r>
    </w:p>
    <w:p w14:paraId="10C7AF1B"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Bonne maitrise de la pratique de la nouvelle technologie de l’agriculture intelligente face au climat et à la nutrition.</w:t>
      </w:r>
    </w:p>
    <w:p w14:paraId="57954E3D"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 xml:space="preserve">Réduction des pertes post-récolte </w:t>
      </w:r>
    </w:p>
    <w:p w14:paraId="15E7532E"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 xml:space="preserve">Capacité des producteurs et des institutions financières à intégrer les considérations environnementales et sociales dans les plans d’affaires des sous-projets </w:t>
      </w:r>
    </w:p>
    <w:p w14:paraId="666EB718"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 xml:space="preserve">Risques de conflits liés à la gestion des infrastructures communautaires (localisation, accessibilité et paiement des services) </w:t>
      </w:r>
    </w:p>
    <w:p w14:paraId="4072F414" w14:textId="77777777" w:rsidR="001C2F95" w:rsidRPr="00D53B04" w:rsidRDefault="001C2F95" w:rsidP="001C2F95">
      <w:pPr>
        <w:autoSpaceDE w:val="0"/>
        <w:autoSpaceDN w:val="0"/>
        <w:adjustRightInd w:val="0"/>
        <w:spacing w:line="240" w:lineRule="auto"/>
        <w:rPr>
          <w:rFonts w:cs="Arial"/>
          <w:szCs w:val="21"/>
        </w:rPr>
      </w:pPr>
    </w:p>
    <w:p w14:paraId="150A6D5F" w14:textId="77777777" w:rsidR="006B658C" w:rsidRPr="00D53B04" w:rsidRDefault="006B658C" w:rsidP="006B658C">
      <w:pPr>
        <w:spacing w:line="240" w:lineRule="auto"/>
        <w:rPr>
          <w:rFonts w:cs="Arial"/>
          <w:color w:val="000000"/>
          <w:szCs w:val="21"/>
          <w:u w:val="single"/>
        </w:rPr>
      </w:pPr>
      <w:r w:rsidRPr="00D53B04">
        <w:rPr>
          <w:rFonts w:cs="Arial"/>
          <w:color w:val="000000"/>
          <w:szCs w:val="21"/>
          <w:u w:val="single"/>
        </w:rPr>
        <w:t>Risques et Impacts négatifs potentiels des travaux agricoles et d’irrigation (aménagement et ouvrages hydrauliques) :</w:t>
      </w:r>
    </w:p>
    <w:p w14:paraId="4C12A1A3" w14:textId="77777777" w:rsidR="006B658C" w:rsidRPr="00D53B04" w:rsidRDefault="006B658C" w:rsidP="006B658C">
      <w:pPr>
        <w:spacing w:line="240" w:lineRule="auto"/>
        <w:rPr>
          <w:rFonts w:cs="Arial"/>
          <w:color w:val="000000"/>
          <w:szCs w:val="21"/>
          <w:u w:val="single"/>
        </w:rPr>
      </w:pPr>
    </w:p>
    <w:p w14:paraId="01CFD90A" w14:textId="77777777" w:rsidR="006B658C" w:rsidRPr="00D53B04" w:rsidRDefault="006B658C" w:rsidP="002378EA">
      <w:pPr>
        <w:widowControl w:val="0"/>
        <w:numPr>
          <w:ilvl w:val="0"/>
          <w:numId w:val="68"/>
        </w:numPr>
        <w:autoSpaceDE w:val="0"/>
        <w:autoSpaceDN w:val="0"/>
        <w:rPr>
          <w:rFonts w:eastAsia="MS Mincho" w:cs="Arial"/>
          <w:szCs w:val="21"/>
        </w:rPr>
      </w:pPr>
      <w:r w:rsidRPr="00D53B04">
        <w:rPr>
          <w:rFonts w:eastAsia="MS Mincho" w:cs="Arial"/>
          <w:szCs w:val="21"/>
        </w:rPr>
        <w:t>Risques de VBG/EAS/HS pendant la période de lancement du Projet ;</w:t>
      </w:r>
    </w:p>
    <w:p w14:paraId="1DC5FA8D" w14:textId="77777777" w:rsidR="006B658C" w:rsidRPr="00D53B04" w:rsidRDefault="006B658C" w:rsidP="002378EA">
      <w:pPr>
        <w:widowControl w:val="0"/>
        <w:numPr>
          <w:ilvl w:val="0"/>
          <w:numId w:val="68"/>
        </w:numPr>
        <w:autoSpaceDE w:val="0"/>
        <w:autoSpaceDN w:val="0"/>
        <w:rPr>
          <w:rFonts w:eastAsia="MS Mincho" w:cs="Arial"/>
          <w:szCs w:val="21"/>
        </w:rPr>
      </w:pPr>
      <w:r w:rsidRPr="00D53B04">
        <w:rPr>
          <w:rFonts w:eastAsia="MS Mincho" w:cs="Arial"/>
          <w:szCs w:val="21"/>
        </w:rPr>
        <w:t xml:space="preserve">Risque de perturbation des zones de frayères des cours d’eau ; </w:t>
      </w:r>
    </w:p>
    <w:p w14:paraId="4F29A341" w14:textId="77777777" w:rsidR="006B658C" w:rsidRPr="00D53B04" w:rsidRDefault="006B658C" w:rsidP="002378EA">
      <w:pPr>
        <w:widowControl w:val="0"/>
        <w:numPr>
          <w:ilvl w:val="0"/>
          <w:numId w:val="68"/>
        </w:numPr>
        <w:autoSpaceDE w:val="0"/>
        <w:autoSpaceDN w:val="0"/>
        <w:rPr>
          <w:rFonts w:eastAsia="MS Mincho" w:cs="Arial"/>
          <w:szCs w:val="21"/>
        </w:rPr>
      </w:pPr>
      <w:r w:rsidRPr="00D53B04">
        <w:rPr>
          <w:rFonts w:eastAsia="MS Mincho" w:cs="Arial"/>
          <w:szCs w:val="21"/>
        </w:rPr>
        <w:t xml:space="preserve">Déforestation, dégradation des sols par érosion, destruction d’habitats lors des défrichements ; </w:t>
      </w:r>
    </w:p>
    <w:p w14:paraId="0B68CFA8" w14:textId="77777777" w:rsidR="006B658C" w:rsidRPr="00D53B04" w:rsidRDefault="006B658C" w:rsidP="002378EA">
      <w:pPr>
        <w:widowControl w:val="0"/>
        <w:numPr>
          <w:ilvl w:val="0"/>
          <w:numId w:val="68"/>
        </w:numPr>
        <w:autoSpaceDE w:val="0"/>
        <w:autoSpaceDN w:val="0"/>
        <w:rPr>
          <w:rFonts w:eastAsia="MS Mincho" w:cs="Arial"/>
          <w:szCs w:val="21"/>
        </w:rPr>
      </w:pPr>
      <w:r w:rsidRPr="00D53B04">
        <w:rPr>
          <w:rFonts w:eastAsia="MS Mincho" w:cs="Arial"/>
          <w:szCs w:val="21"/>
        </w:rPr>
        <w:t xml:space="preserve">Destruction de la microfaune et de la matière organique ;  </w:t>
      </w:r>
    </w:p>
    <w:p w14:paraId="4EF307BE" w14:textId="77777777" w:rsidR="006B658C" w:rsidRPr="00D53B04" w:rsidRDefault="006B658C" w:rsidP="002378EA">
      <w:pPr>
        <w:widowControl w:val="0"/>
        <w:numPr>
          <w:ilvl w:val="0"/>
          <w:numId w:val="68"/>
        </w:numPr>
        <w:autoSpaceDE w:val="0"/>
        <w:autoSpaceDN w:val="0"/>
        <w:rPr>
          <w:rFonts w:eastAsia="MS Mincho" w:cs="Arial"/>
          <w:szCs w:val="21"/>
        </w:rPr>
      </w:pPr>
      <w:r w:rsidRPr="00D53B04">
        <w:rPr>
          <w:rFonts w:eastAsia="MS Mincho" w:cs="Arial"/>
          <w:szCs w:val="21"/>
        </w:rPr>
        <w:t>Risques de conflits d’usage (alimentation en eau potable, agriculture, élevage et pêche) ;</w:t>
      </w:r>
    </w:p>
    <w:p w14:paraId="5C7CE833" w14:textId="77777777" w:rsidR="006B658C" w:rsidRPr="00D53B04" w:rsidRDefault="006B658C" w:rsidP="002378EA">
      <w:pPr>
        <w:widowControl w:val="0"/>
        <w:numPr>
          <w:ilvl w:val="0"/>
          <w:numId w:val="68"/>
        </w:numPr>
        <w:autoSpaceDE w:val="0"/>
        <w:autoSpaceDN w:val="0"/>
        <w:rPr>
          <w:rFonts w:eastAsia="MS Mincho" w:cs="Arial"/>
          <w:szCs w:val="21"/>
        </w:rPr>
      </w:pPr>
      <w:r w:rsidRPr="00D53B04">
        <w:rPr>
          <w:rFonts w:eastAsia="MS Mincho" w:cs="Arial"/>
          <w:szCs w:val="21"/>
        </w:rPr>
        <w:t>Risques de conflits fonciers entre autochtones et investisseurs allochtones ;</w:t>
      </w:r>
    </w:p>
    <w:p w14:paraId="3EE4E71C" w14:textId="77777777" w:rsidR="006B658C" w:rsidRPr="00D53B04" w:rsidRDefault="006B658C" w:rsidP="002378EA">
      <w:pPr>
        <w:widowControl w:val="0"/>
        <w:numPr>
          <w:ilvl w:val="0"/>
          <w:numId w:val="68"/>
        </w:numPr>
        <w:autoSpaceDE w:val="0"/>
        <w:autoSpaceDN w:val="0"/>
        <w:rPr>
          <w:rFonts w:eastAsia="MS Mincho" w:cs="Arial"/>
          <w:szCs w:val="21"/>
        </w:rPr>
      </w:pPr>
      <w:r w:rsidRPr="00D53B04">
        <w:rPr>
          <w:rFonts w:eastAsia="MS Mincho" w:cs="Arial"/>
          <w:szCs w:val="21"/>
        </w:rPr>
        <w:t>Perte de terre de pâturage (empiètement sur des espaces sylvopastoraux) ;</w:t>
      </w:r>
    </w:p>
    <w:p w14:paraId="6E82FD4D" w14:textId="77777777" w:rsidR="006B658C" w:rsidRPr="00D53B04" w:rsidRDefault="006B658C" w:rsidP="002378EA">
      <w:pPr>
        <w:widowControl w:val="0"/>
        <w:numPr>
          <w:ilvl w:val="0"/>
          <w:numId w:val="68"/>
        </w:numPr>
        <w:autoSpaceDE w:val="0"/>
        <w:autoSpaceDN w:val="0"/>
        <w:rPr>
          <w:rFonts w:eastAsia="MS Mincho" w:cs="Arial"/>
          <w:szCs w:val="21"/>
        </w:rPr>
      </w:pPr>
      <w:r w:rsidRPr="00D53B04">
        <w:rPr>
          <w:rFonts w:eastAsia="MS Mincho" w:cs="Arial"/>
          <w:szCs w:val="21"/>
        </w:rPr>
        <w:t>Forte pression sur le foncier et sur l’eau avec l’augmentation des aménagements ;</w:t>
      </w:r>
    </w:p>
    <w:p w14:paraId="323C74E6" w14:textId="77777777" w:rsidR="006B658C" w:rsidRPr="00D53B04" w:rsidRDefault="006B658C" w:rsidP="002378EA">
      <w:pPr>
        <w:widowControl w:val="0"/>
        <w:numPr>
          <w:ilvl w:val="0"/>
          <w:numId w:val="68"/>
        </w:numPr>
        <w:autoSpaceDE w:val="0"/>
        <w:autoSpaceDN w:val="0"/>
        <w:rPr>
          <w:rFonts w:eastAsia="MS Mincho" w:cs="Arial"/>
          <w:szCs w:val="21"/>
        </w:rPr>
      </w:pPr>
      <w:r w:rsidRPr="00D53B04">
        <w:rPr>
          <w:rFonts w:eastAsia="MS Mincho" w:cs="Arial"/>
          <w:szCs w:val="21"/>
        </w:rPr>
        <w:t xml:space="preserve">Perte de la fertilité des sols ; </w:t>
      </w:r>
    </w:p>
    <w:p w14:paraId="545D7432" w14:textId="77777777" w:rsidR="006B658C" w:rsidRPr="00D53B04" w:rsidRDefault="006B658C" w:rsidP="002378EA">
      <w:pPr>
        <w:widowControl w:val="0"/>
        <w:numPr>
          <w:ilvl w:val="0"/>
          <w:numId w:val="68"/>
        </w:numPr>
        <w:autoSpaceDE w:val="0"/>
        <w:autoSpaceDN w:val="0"/>
        <w:rPr>
          <w:rFonts w:eastAsia="MS Mincho" w:cs="Arial"/>
          <w:szCs w:val="21"/>
        </w:rPr>
      </w:pPr>
      <w:r w:rsidRPr="00D53B04">
        <w:rPr>
          <w:rFonts w:eastAsia="MS Mincho" w:cs="Arial"/>
          <w:szCs w:val="21"/>
        </w:rPr>
        <w:t xml:space="preserve">Pollution des eaux et des sols dues à l’utilisation non rationnelle des pesticides et aux engrais ; </w:t>
      </w:r>
    </w:p>
    <w:p w14:paraId="203F776F" w14:textId="77777777" w:rsidR="006B658C" w:rsidRPr="00D53B04" w:rsidRDefault="006B658C" w:rsidP="002378EA">
      <w:pPr>
        <w:widowControl w:val="0"/>
        <w:numPr>
          <w:ilvl w:val="0"/>
          <w:numId w:val="68"/>
        </w:numPr>
        <w:autoSpaceDE w:val="0"/>
        <w:autoSpaceDN w:val="0"/>
        <w:rPr>
          <w:rFonts w:eastAsia="MS Mincho" w:cs="Arial"/>
          <w:szCs w:val="21"/>
        </w:rPr>
      </w:pPr>
      <w:r w:rsidRPr="00D53B04">
        <w:rPr>
          <w:rFonts w:eastAsia="MS Mincho" w:cs="Arial"/>
          <w:szCs w:val="21"/>
        </w:rPr>
        <w:t xml:space="preserve">Nuisances sanitaires dues aux pesticides ; </w:t>
      </w:r>
    </w:p>
    <w:p w14:paraId="3DD5ABED" w14:textId="77777777" w:rsidR="006B658C" w:rsidRPr="00D53B04" w:rsidRDefault="006B658C" w:rsidP="002378EA">
      <w:pPr>
        <w:widowControl w:val="0"/>
        <w:numPr>
          <w:ilvl w:val="0"/>
          <w:numId w:val="68"/>
        </w:numPr>
        <w:autoSpaceDE w:val="0"/>
        <w:autoSpaceDN w:val="0"/>
        <w:rPr>
          <w:szCs w:val="21"/>
        </w:rPr>
      </w:pPr>
      <w:r w:rsidRPr="00D53B04">
        <w:rPr>
          <w:rFonts w:eastAsia="MS Mincho" w:cs="Arial"/>
          <w:szCs w:val="21"/>
        </w:rPr>
        <w:t>Destruction des non cibles par les pesticides ; Nuisances en cas d’utilisation de fumure organique non maîtrisée</w:t>
      </w:r>
    </w:p>
    <w:p w14:paraId="49316B54" w14:textId="77777777" w:rsidR="006B658C" w:rsidRPr="00D53B04" w:rsidRDefault="006B658C" w:rsidP="001C2F95">
      <w:pPr>
        <w:autoSpaceDE w:val="0"/>
        <w:autoSpaceDN w:val="0"/>
        <w:adjustRightInd w:val="0"/>
        <w:spacing w:line="240" w:lineRule="auto"/>
        <w:rPr>
          <w:szCs w:val="21"/>
        </w:rPr>
      </w:pPr>
    </w:p>
    <w:p w14:paraId="07EF5341" w14:textId="77777777" w:rsidR="00B32A9C" w:rsidRPr="00D53B04" w:rsidRDefault="00B32A9C" w:rsidP="001C2F95">
      <w:pPr>
        <w:autoSpaceDE w:val="0"/>
        <w:autoSpaceDN w:val="0"/>
        <w:adjustRightInd w:val="0"/>
        <w:spacing w:line="240" w:lineRule="auto"/>
        <w:rPr>
          <w:szCs w:val="21"/>
        </w:rPr>
      </w:pPr>
      <w:r w:rsidRPr="00D53B04">
        <w:rPr>
          <w:szCs w:val="21"/>
        </w:rPr>
        <w:t>Risques et impacts négatifs potentiels en phase d’exploitation des activités agricoles</w:t>
      </w:r>
    </w:p>
    <w:p w14:paraId="0359A102" w14:textId="77777777" w:rsidR="0042229D" w:rsidRPr="00D53B04" w:rsidRDefault="0042229D" w:rsidP="001C2F95">
      <w:pPr>
        <w:autoSpaceDE w:val="0"/>
        <w:autoSpaceDN w:val="0"/>
        <w:adjustRightInd w:val="0"/>
        <w:spacing w:line="240" w:lineRule="auto"/>
        <w:rPr>
          <w:szCs w:val="21"/>
        </w:rPr>
      </w:pPr>
    </w:p>
    <w:p w14:paraId="20828CA4" w14:textId="77777777" w:rsidR="0042229D" w:rsidRPr="00D53B04" w:rsidRDefault="0042229D" w:rsidP="002378EA">
      <w:pPr>
        <w:numPr>
          <w:ilvl w:val="0"/>
          <w:numId w:val="24"/>
        </w:numPr>
        <w:tabs>
          <w:tab w:val="clear" w:pos="360"/>
        </w:tabs>
        <w:ind w:left="249" w:hanging="249"/>
        <w:jc w:val="left"/>
        <w:rPr>
          <w:rFonts w:cs="Arial"/>
          <w:color w:val="000000"/>
          <w:szCs w:val="21"/>
        </w:rPr>
      </w:pPr>
      <w:r w:rsidRPr="00D53B04">
        <w:rPr>
          <w:rFonts w:cs="Arial"/>
          <w:color w:val="000000"/>
          <w:szCs w:val="21"/>
        </w:rPr>
        <w:t xml:space="preserve">Augmentation des maladies liées à l'eau ; </w:t>
      </w:r>
    </w:p>
    <w:p w14:paraId="4B5A2AEC" w14:textId="77777777" w:rsidR="0042229D" w:rsidRPr="00D53B04" w:rsidRDefault="0042229D" w:rsidP="002378EA">
      <w:pPr>
        <w:numPr>
          <w:ilvl w:val="0"/>
          <w:numId w:val="24"/>
        </w:numPr>
        <w:tabs>
          <w:tab w:val="clear" w:pos="360"/>
        </w:tabs>
        <w:ind w:left="249" w:hanging="249"/>
        <w:jc w:val="left"/>
        <w:rPr>
          <w:rFonts w:cs="Arial"/>
          <w:color w:val="000000"/>
          <w:szCs w:val="21"/>
        </w:rPr>
      </w:pPr>
      <w:r w:rsidRPr="00D53B04">
        <w:rPr>
          <w:rFonts w:cs="Arial"/>
          <w:color w:val="000000"/>
          <w:szCs w:val="21"/>
        </w:rPr>
        <w:t>Forte pression sur le foncier et sur l’eau avec l’augmentation des aménagements</w:t>
      </w:r>
      <w:r w:rsidR="00005290" w:rsidRPr="00D53B04">
        <w:rPr>
          <w:rFonts w:cs="Arial"/>
          <w:color w:val="000000"/>
          <w:szCs w:val="21"/>
        </w:rPr>
        <w:t> ;</w:t>
      </w:r>
    </w:p>
    <w:p w14:paraId="5D2D742D" w14:textId="77777777" w:rsidR="0042229D" w:rsidRPr="00D53B04" w:rsidRDefault="0042229D" w:rsidP="002378EA">
      <w:pPr>
        <w:numPr>
          <w:ilvl w:val="0"/>
          <w:numId w:val="24"/>
        </w:numPr>
        <w:tabs>
          <w:tab w:val="clear" w:pos="360"/>
        </w:tabs>
        <w:ind w:left="249" w:hanging="249"/>
        <w:jc w:val="left"/>
        <w:rPr>
          <w:rFonts w:cs="Arial"/>
          <w:color w:val="000000"/>
          <w:szCs w:val="21"/>
        </w:rPr>
      </w:pPr>
      <w:r w:rsidRPr="00D53B04">
        <w:rPr>
          <w:rFonts w:cs="Arial"/>
          <w:color w:val="000000"/>
          <w:szCs w:val="21"/>
        </w:rPr>
        <w:t xml:space="preserve">Perte de la fertilité des sols ; </w:t>
      </w:r>
    </w:p>
    <w:p w14:paraId="33CED763" w14:textId="77777777" w:rsidR="0042229D" w:rsidRPr="00D53B04" w:rsidRDefault="0042229D" w:rsidP="002378EA">
      <w:pPr>
        <w:numPr>
          <w:ilvl w:val="0"/>
          <w:numId w:val="24"/>
        </w:numPr>
        <w:tabs>
          <w:tab w:val="clear" w:pos="360"/>
        </w:tabs>
        <w:ind w:left="249" w:hanging="249"/>
        <w:jc w:val="left"/>
        <w:rPr>
          <w:rFonts w:cs="Arial"/>
          <w:color w:val="000000"/>
          <w:szCs w:val="21"/>
        </w:rPr>
      </w:pPr>
      <w:r w:rsidRPr="00D53B04">
        <w:rPr>
          <w:rFonts w:cs="Arial"/>
          <w:color w:val="000000"/>
          <w:szCs w:val="21"/>
        </w:rPr>
        <w:t xml:space="preserve">Pollution des eaux et des sols dues aux pesticides et aux engrais ; </w:t>
      </w:r>
    </w:p>
    <w:p w14:paraId="2129C02B" w14:textId="77777777" w:rsidR="0042229D" w:rsidRPr="00D53B04" w:rsidRDefault="0042229D" w:rsidP="002378EA">
      <w:pPr>
        <w:numPr>
          <w:ilvl w:val="0"/>
          <w:numId w:val="24"/>
        </w:numPr>
        <w:tabs>
          <w:tab w:val="clear" w:pos="360"/>
        </w:tabs>
        <w:ind w:left="249" w:hanging="249"/>
        <w:jc w:val="left"/>
        <w:rPr>
          <w:rFonts w:cs="Arial"/>
          <w:color w:val="000000"/>
          <w:szCs w:val="21"/>
        </w:rPr>
      </w:pPr>
      <w:r w:rsidRPr="00D53B04">
        <w:rPr>
          <w:rFonts w:cs="Arial"/>
          <w:color w:val="000000"/>
          <w:szCs w:val="21"/>
        </w:rPr>
        <w:t xml:space="preserve">Nuisances sanitaires dues aux pesticides ; </w:t>
      </w:r>
    </w:p>
    <w:p w14:paraId="59BDE4DF" w14:textId="77777777" w:rsidR="0042229D" w:rsidRPr="00D53B04" w:rsidRDefault="0042229D" w:rsidP="002378EA">
      <w:pPr>
        <w:numPr>
          <w:ilvl w:val="0"/>
          <w:numId w:val="24"/>
        </w:numPr>
        <w:tabs>
          <w:tab w:val="clear" w:pos="360"/>
        </w:tabs>
        <w:ind w:left="249" w:hanging="249"/>
        <w:jc w:val="left"/>
        <w:rPr>
          <w:rFonts w:cs="Arial"/>
          <w:color w:val="000000"/>
          <w:szCs w:val="21"/>
        </w:rPr>
      </w:pPr>
      <w:r w:rsidRPr="00D53B04">
        <w:rPr>
          <w:rFonts w:cs="Arial"/>
          <w:color w:val="000000"/>
          <w:szCs w:val="21"/>
        </w:rPr>
        <w:t xml:space="preserve">Destruction des non cibles par les pesticides ; </w:t>
      </w:r>
    </w:p>
    <w:p w14:paraId="65022224" w14:textId="77777777" w:rsidR="0042229D" w:rsidRPr="00D53B04" w:rsidRDefault="0042229D" w:rsidP="002378EA">
      <w:pPr>
        <w:numPr>
          <w:ilvl w:val="0"/>
          <w:numId w:val="24"/>
        </w:numPr>
        <w:tabs>
          <w:tab w:val="clear" w:pos="360"/>
        </w:tabs>
        <w:ind w:left="249" w:hanging="249"/>
        <w:jc w:val="left"/>
        <w:rPr>
          <w:rFonts w:cs="Arial"/>
          <w:color w:val="000000"/>
          <w:szCs w:val="21"/>
        </w:rPr>
      </w:pPr>
      <w:r w:rsidRPr="00D53B04">
        <w:rPr>
          <w:rFonts w:cs="Arial"/>
          <w:color w:val="000000"/>
          <w:szCs w:val="21"/>
        </w:rPr>
        <w:lastRenderedPageBreak/>
        <w:t xml:space="preserve">Nuisances en cas d’utilisation de fumure organique non maîtrisée ; </w:t>
      </w:r>
    </w:p>
    <w:p w14:paraId="1DE4A4D5" w14:textId="77777777" w:rsidR="0042229D" w:rsidRPr="00D53B04" w:rsidRDefault="0042229D" w:rsidP="002378EA">
      <w:pPr>
        <w:numPr>
          <w:ilvl w:val="0"/>
          <w:numId w:val="24"/>
        </w:numPr>
        <w:tabs>
          <w:tab w:val="clear" w:pos="360"/>
        </w:tabs>
        <w:ind w:left="249" w:hanging="249"/>
        <w:jc w:val="left"/>
        <w:rPr>
          <w:rFonts w:cs="Arial"/>
          <w:color w:val="000000"/>
          <w:szCs w:val="21"/>
        </w:rPr>
      </w:pPr>
      <w:r w:rsidRPr="00D53B04">
        <w:rPr>
          <w:rFonts w:cs="Arial"/>
          <w:color w:val="000000"/>
          <w:szCs w:val="21"/>
        </w:rPr>
        <w:t xml:space="preserve">Augmentation des maladies liées à l'eau ; </w:t>
      </w:r>
    </w:p>
    <w:p w14:paraId="67944C7A" w14:textId="77777777" w:rsidR="0042229D" w:rsidRPr="00D53B04" w:rsidRDefault="0042229D" w:rsidP="002378EA">
      <w:pPr>
        <w:numPr>
          <w:ilvl w:val="0"/>
          <w:numId w:val="24"/>
        </w:numPr>
        <w:tabs>
          <w:tab w:val="clear" w:pos="360"/>
        </w:tabs>
        <w:ind w:left="249" w:hanging="249"/>
        <w:jc w:val="left"/>
        <w:rPr>
          <w:rFonts w:cs="Arial"/>
          <w:color w:val="000000"/>
          <w:szCs w:val="21"/>
        </w:rPr>
      </w:pPr>
      <w:r w:rsidRPr="00D53B04">
        <w:rPr>
          <w:rFonts w:cs="Arial"/>
          <w:color w:val="000000"/>
          <w:szCs w:val="21"/>
        </w:rPr>
        <w:t>Accentuation des conflits agriculteurs-éleveurs pour l'accès à l'eau ou aux pâturages ;</w:t>
      </w:r>
    </w:p>
    <w:p w14:paraId="3F46E100" w14:textId="77777777" w:rsidR="0042229D" w:rsidRPr="00D53B04" w:rsidRDefault="0042229D" w:rsidP="002378EA">
      <w:pPr>
        <w:numPr>
          <w:ilvl w:val="0"/>
          <w:numId w:val="24"/>
        </w:numPr>
        <w:tabs>
          <w:tab w:val="clear" w:pos="360"/>
        </w:tabs>
        <w:ind w:left="249" w:hanging="249"/>
        <w:jc w:val="left"/>
        <w:rPr>
          <w:rFonts w:cs="Arial"/>
          <w:color w:val="000000"/>
          <w:szCs w:val="21"/>
        </w:rPr>
      </w:pPr>
      <w:r w:rsidRPr="00D53B04">
        <w:rPr>
          <w:rFonts w:cs="Arial"/>
          <w:color w:val="000000"/>
          <w:szCs w:val="21"/>
        </w:rPr>
        <w:t>Risque de propagation de COVID-19 si les mesures barrières ou de préventions ne sont pas respectées.</w:t>
      </w:r>
    </w:p>
    <w:p w14:paraId="1D32A06F" w14:textId="77777777" w:rsidR="0042229D" w:rsidRPr="00D53B04" w:rsidRDefault="0042229D" w:rsidP="002378EA">
      <w:pPr>
        <w:numPr>
          <w:ilvl w:val="0"/>
          <w:numId w:val="24"/>
        </w:numPr>
        <w:tabs>
          <w:tab w:val="clear" w:pos="360"/>
        </w:tabs>
        <w:ind w:left="249" w:hanging="249"/>
        <w:jc w:val="left"/>
        <w:rPr>
          <w:rFonts w:cs="Arial"/>
          <w:color w:val="000000"/>
          <w:szCs w:val="21"/>
        </w:rPr>
      </w:pPr>
      <w:r w:rsidRPr="00D53B04">
        <w:rPr>
          <w:rFonts w:cs="Arial"/>
          <w:color w:val="000000"/>
          <w:szCs w:val="21"/>
        </w:rPr>
        <w:t xml:space="preserve">Pertes éventuelles de revenus ou de biens durant les travaux ; </w:t>
      </w:r>
    </w:p>
    <w:p w14:paraId="3A417739" w14:textId="77777777" w:rsidR="0042229D" w:rsidRPr="00D53B04" w:rsidRDefault="0042229D" w:rsidP="002378EA">
      <w:pPr>
        <w:numPr>
          <w:ilvl w:val="0"/>
          <w:numId w:val="24"/>
        </w:numPr>
        <w:tabs>
          <w:tab w:val="clear" w:pos="360"/>
        </w:tabs>
        <w:ind w:left="249" w:hanging="249"/>
        <w:jc w:val="left"/>
        <w:rPr>
          <w:rFonts w:cs="Arial"/>
          <w:color w:val="000000"/>
          <w:szCs w:val="21"/>
        </w:rPr>
      </w:pPr>
      <w:r w:rsidRPr="00D53B04">
        <w:rPr>
          <w:rFonts w:cs="Arial"/>
          <w:color w:val="000000"/>
          <w:szCs w:val="21"/>
        </w:rPr>
        <w:t>Risques de maladies comme les IST/VIH/SIDA ;</w:t>
      </w:r>
    </w:p>
    <w:p w14:paraId="7C87A8AF" w14:textId="77777777" w:rsidR="0042229D" w:rsidRPr="00D53B04" w:rsidRDefault="0042229D" w:rsidP="002378EA">
      <w:pPr>
        <w:numPr>
          <w:ilvl w:val="0"/>
          <w:numId w:val="24"/>
        </w:numPr>
        <w:tabs>
          <w:tab w:val="clear" w:pos="360"/>
        </w:tabs>
        <w:ind w:left="249" w:hanging="249"/>
        <w:jc w:val="left"/>
        <w:rPr>
          <w:rFonts w:cs="Arial"/>
          <w:color w:val="000000"/>
          <w:szCs w:val="21"/>
        </w:rPr>
      </w:pPr>
      <w:r w:rsidRPr="00D53B04">
        <w:rPr>
          <w:rFonts w:cs="Arial"/>
          <w:color w:val="000000"/>
          <w:szCs w:val="21"/>
        </w:rPr>
        <w:t>Risques d’EAS/HS suite aux travaux.</w:t>
      </w:r>
    </w:p>
    <w:p w14:paraId="7B5F3FC0" w14:textId="77777777" w:rsidR="00B32A9C" w:rsidRPr="00D53B04" w:rsidRDefault="00B32A9C" w:rsidP="001C2F95">
      <w:pPr>
        <w:autoSpaceDE w:val="0"/>
        <w:autoSpaceDN w:val="0"/>
        <w:adjustRightInd w:val="0"/>
        <w:spacing w:line="240" w:lineRule="auto"/>
        <w:rPr>
          <w:rFonts w:cs="Arial"/>
          <w:szCs w:val="21"/>
        </w:rPr>
      </w:pPr>
    </w:p>
    <w:p w14:paraId="101DA476" w14:textId="77777777" w:rsidR="001C2F95" w:rsidRPr="00D53B04" w:rsidRDefault="001C2F95" w:rsidP="001C2F95">
      <w:pPr>
        <w:spacing w:line="240" w:lineRule="auto"/>
        <w:rPr>
          <w:rFonts w:cs="Arial"/>
          <w:szCs w:val="21"/>
          <w:u w:val="single"/>
        </w:rPr>
      </w:pPr>
      <w:r w:rsidRPr="00D53B04">
        <w:rPr>
          <w:rFonts w:cs="Arial"/>
          <w:szCs w:val="21"/>
          <w:u w:val="single"/>
        </w:rPr>
        <w:t>Risques et Impacts négatifs potentiels communs à tous les sous-projets (en phase de construction) :</w:t>
      </w:r>
    </w:p>
    <w:p w14:paraId="5C3AF225" w14:textId="77777777" w:rsidR="001C2F95" w:rsidRPr="00D53B04" w:rsidRDefault="001C2F95" w:rsidP="001C2F95">
      <w:pPr>
        <w:spacing w:line="240" w:lineRule="auto"/>
        <w:rPr>
          <w:rFonts w:cs="Arial"/>
          <w:b/>
          <w:szCs w:val="21"/>
          <w:u w:val="single"/>
        </w:rPr>
      </w:pPr>
    </w:p>
    <w:p w14:paraId="5C6866E2"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Pollution du milieu (eaux et sols) par les déchets solides (déblais, démolition, huiles, filtres, batteries, plastics, déchets inertes, etc.) ;</w:t>
      </w:r>
    </w:p>
    <w:p w14:paraId="2C3FC618"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Pollution sonore par le bruit des engins ;</w:t>
      </w:r>
    </w:p>
    <w:p w14:paraId="259F3FF7"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 xml:space="preserve">Dégradation du milieu par le dépôt des produits de démolition et de chantier ; </w:t>
      </w:r>
    </w:p>
    <w:p w14:paraId="6965B7E0"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Érosion et pollution des sols ;</w:t>
      </w:r>
    </w:p>
    <w:p w14:paraId="7E4C01B6"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Pollution de l’air (envol de poussière) ;</w:t>
      </w:r>
    </w:p>
    <w:p w14:paraId="44EA8E31"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Pertes de terre, de biens et de sources de revenus et risques de déplacement physique</w:t>
      </w:r>
    </w:p>
    <w:p w14:paraId="755DB701"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Risques de conflits sociaux en cas de non</w:t>
      </w:r>
      <w:r w:rsidR="00F86960" w:rsidRPr="00D53B04">
        <w:rPr>
          <w:rFonts w:eastAsia="MS Mincho" w:cs="Arial"/>
          <w:szCs w:val="21"/>
        </w:rPr>
        <w:t>-</w:t>
      </w:r>
      <w:r w:rsidRPr="00D53B04">
        <w:rPr>
          <w:rFonts w:eastAsia="MS Mincho" w:cs="Arial"/>
          <w:szCs w:val="21"/>
        </w:rPr>
        <w:t>utilisation de la main-d’œuvre locale ;</w:t>
      </w:r>
    </w:p>
    <w:p w14:paraId="27428CF6"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Risque de distribution inégale des intrants et semences ou aides directes aux petits exploitants agricoles ;</w:t>
      </w:r>
    </w:p>
    <w:p w14:paraId="3F268CEA"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Risques de conflits sociaux suite au développement des périmètres agricoles ;</w:t>
      </w:r>
    </w:p>
    <w:p w14:paraId="44F8B4CA"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Risque des travaux des enfants de moins de 18 ans sur les chantiers ;</w:t>
      </w:r>
    </w:p>
    <w:p w14:paraId="143C83AD"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Risque d’utilisation des forces de sécurités publiques pour la sécurisation des sites (insécurité dans la Province du Nord-Kivu) ;</w:t>
      </w:r>
    </w:p>
    <w:p w14:paraId="7094329A"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Perturbation des activités socioéconomiques lors des travaux ;</w:t>
      </w:r>
    </w:p>
    <w:p w14:paraId="006624FA"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Risque de discrimination contre des femmes lors du recrutement du personnel ;</w:t>
      </w:r>
    </w:p>
    <w:p w14:paraId="69A53501"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Risque d’accident au cours des travaux (personnel et population).</w:t>
      </w:r>
    </w:p>
    <w:p w14:paraId="01EF4B53"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 xml:space="preserve">Risques de dommages sur les autres infrastructures de réseau ; </w:t>
      </w:r>
    </w:p>
    <w:p w14:paraId="5429567D"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Risques d’exacerber les VBG, y compris l’EAS et le HS, dans la zone d’intervention du Projet suite au brassage des populations et à l’afflux de la main-d’œuvre allochtone ;</w:t>
      </w:r>
    </w:p>
    <w:p w14:paraId="50E7E11D"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Risque de contamination des IST et VIH/SIDA ;</w:t>
      </w:r>
    </w:p>
    <w:p w14:paraId="6AB3EEFF"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Risque de propagation et contamination de la COVID-19, pour les bénéficiaires ou d’autres parties prenantes ;</w:t>
      </w:r>
    </w:p>
    <w:p w14:paraId="13E4A832"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Impacts négatifs sur les travaux d’aménagements hydro-agricoles ;</w:t>
      </w:r>
    </w:p>
    <w:p w14:paraId="46154DCC"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Fortes pressions et risques de dégradation des ressources en eau ;</w:t>
      </w:r>
    </w:p>
    <w:p w14:paraId="3A565776"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 xml:space="preserve">Risques liés à la dégradation des terres et la fertilité des sols ; </w:t>
      </w:r>
    </w:p>
    <w:p w14:paraId="1D66273B"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 xml:space="preserve">Risques de développement de maladies liés à l’eau ; </w:t>
      </w:r>
    </w:p>
    <w:p w14:paraId="72FBC258"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Risques d’intoxication et de pollution avec l’usage des pesticides ;</w:t>
      </w:r>
    </w:p>
    <w:p w14:paraId="3F5BA7D9"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Risque d’insécurité pour les travailleurs et le matériel des entreprises dans certaines Provinces ciblées par le Projet PNDA ;</w:t>
      </w:r>
    </w:p>
    <w:p w14:paraId="3A430FAA"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Risque d’accident lié à la circulation des véhicules ;</w:t>
      </w:r>
    </w:p>
    <w:p w14:paraId="39BCD2D0"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Risques d’affaissement des ponts et ponceaux sur les pistes rurales pendant l’évacuation des produits agricoles ;</w:t>
      </w:r>
    </w:p>
    <w:p w14:paraId="1BF0382D"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Déboisement suite à l’ouverture des pistes d’accès et à l’exploitation des carrières ;</w:t>
      </w:r>
    </w:p>
    <w:p w14:paraId="69A7DC2E"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Risques de feux de brousse par le brûlage incontrôlé ;</w:t>
      </w:r>
    </w:p>
    <w:p w14:paraId="67B6B5A3"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Risque d’empiètement des aires protégées (domaine de chasse de Mangai, Bushimaie, Parc Marine de Mangrove et Parc National de Virunga ;</w:t>
      </w:r>
    </w:p>
    <w:p w14:paraId="676321C1"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Risque d’empiètement des biens des Peuples Autochtones (PA) ;</w:t>
      </w:r>
    </w:p>
    <w:p w14:paraId="6112C666"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Risque de la prolifération du braconnage ;</w:t>
      </w:r>
    </w:p>
    <w:p w14:paraId="2852165E"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lastRenderedPageBreak/>
        <w:t>Risques d’incendie ou explosion de cuves de stockage de carburants ;</w:t>
      </w:r>
    </w:p>
    <w:p w14:paraId="7030C96B"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Risque d’affectation potentielle des biens culturels (monuments, églises, tombes, lieux sacrés, etc.) suite aux activités d’excavation (découvertes fortuites) ;</w:t>
      </w:r>
    </w:p>
    <w:p w14:paraId="1AAC13B2"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Risque de rejet de nouvelles technologies et techniques agricoles proposées par le programme</w:t>
      </w:r>
      <w:r w:rsidR="00F97D7B" w:rsidRPr="00D53B04">
        <w:rPr>
          <w:rFonts w:eastAsia="MS Mincho" w:cs="Arial"/>
          <w:szCs w:val="21"/>
        </w:rPr>
        <w:t> ;</w:t>
      </w:r>
    </w:p>
    <w:p w14:paraId="567C5706"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 xml:space="preserve">Risques d’introduction des espèces envahissantes </w:t>
      </w:r>
    </w:p>
    <w:p w14:paraId="7B236654"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Risques de rejet des produits agricoles par les agro-distributeurs du fait du  non-respect de la qualité exigée par l’industrie de transformation</w:t>
      </w:r>
    </w:p>
    <w:p w14:paraId="1819ACF6"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Risque d’exclusion social des groupes vulnérables or marginalisées (les PA, handicapés, personnes âgées, jeunes, albinos des bénéfices du projet et possibilités du travail</w:t>
      </w:r>
      <w:r w:rsidR="00F97D7B" w:rsidRPr="00D53B04">
        <w:rPr>
          <w:rFonts w:eastAsia="MS Mincho" w:cs="Arial"/>
          <w:szCs w:val="21"/>
        </w:rPr>
        <w:t>.</w:t>
      </w:r>
    </w:p>
    <w:p w14:paraId="2C0D2A5E" w14:textId="77777777" w:rsidR="00B32A9C" w:rsidRPr="00D53B04" w:rsidRDefault="00B32A9C" w:rsidP="001C2F95">
      <w:pPr>
        <w:spacing w:line="240" w:lineRule="auto"/>
        <w:rPr>
          <w:szCs w:val="21"/>
        </w:rPr>
      </w:pPr>
    </w:p>
    <w:p w14:paraId="101F1930" w14:textId="77777777" w:rsidR="001C2F95" w:rsidRPr="00D53B04" w:rsidRDefault="00B32A9C" w:rsidP="001C2F95">
      <w:pPr>
        <w:spacing w:line="240" w:lineRule="auto"/>
        <w:rPr>
          <w:rFonts w:cs="Arial"/>
          <w:szCs w:val="21"/>
        </w:rPr>
      </w:pPr>
      <w:r w:rsidRPr="00D53B04">
        <w:rPr>
          <w:szCs w:val="21"/>
        </w:rPr>
        <w:t>Risque et impacts liés à la réhabilitation des routes rurales et des corridors de transport prioritaires</w:t>
      </w:r>
      <w:r w:rsidR="00F97D7B" w:rsidRPr="00D53B04">
        <w:rPr>
          <w:szCs w:val="21"/>
        </w:rPr>
        <w:t> :</w:t>
      </w:r>
    </w:p>
    <w:p w14:paraId="14161364" w14:textId="77777777" w:rsidR="001C2F95" w:rsidRPr="00D53B04" w:rsidRDefault="001C2F95" w:rsidP="002378EA">
      <w:pPr>
        <w:keepNext/>
        <w:numPr>
          <w:ilvl w:val="1"/>
          <w:numId w:val="65"/>
        </w:numPr>
        <w:tabs>
          <w:tab w:val="left" w:pos="720"/>
        </w:tabs>
        <w:spacing w:line="240" w:lineRule="auto"/>
        <w:outlineLvl w:val="2"/>
        <w:rPr>
          <w:rFonts w:cs="Arial"/>
          <w:vanish/>
          <w:szCs w:val="21"/>
          <w:u w:val="single"/>
        </w:rPr>
      </w:pPr>
      <w:bookmarkStart w:id="58" w:name="_Toc64026099"/>
      <w:bookmarkStart w:id="59" w:name="_Toc64386617"/>
      <w:bookmarkStart w:id="60" w:name="_Toc70326719"/>
      <w:bookmarkStart w:id="61" w:name="_Toc70326951"/>
      <w:bookmarkStart w:id="62" w:name="_Toc70330314"/>
      <w:bookmarkStart w:id="63" w:name="_Toc72336018"/>
      <w:bookmarkStart w:id="64" w:name="_Toc90393026"/>
      <w:bookmarkStart w:id="65" w:name="_Toc90471385"/>
      <w:bookmarkEnd w:id="58"/>
      <w:bookmarkEnd w:id="59"/>
      <w:bookmarkEnd w:id="60"/>
      <w:bookmarkEnd w:id="61"/>
      <w:bookmarkEnd w:id="62"/>
      <w:bookmarkEnd w:id="63"/>
      <w:bookmarkEnd w:id="64"/>
      <w:bookmarkEnd w:id="65"/>
    </w:p>
    <w:p w14:paraId="2DF2ABB6" w14:textId="77777777" w:rsidR="008512CA" w:rsidRPr="00D53B04" w:rsidRDefault="008512CA" w:rsidP="008512CA">
      <w:pPr>
        <w:rPr>
          <w:szCs w:val="21"/>
        </w:rPr>
      </w:pPr>
    </w:p>
    <w:p w14:paraId="51B22A6D" w14:textId="77777777" w:rsidR="008512CA" w:rsidRPr="00D53B04" w:rsidRDefault="008512CA" w:rsidP="002378EA">
      <w:pPr>
        <w:widowControl w:val="0"/>
        <w:numPr>
          <w:ilvl w:val="0"/>
          <w:numId w:val="68"/>
        </w:numPr>
        <w:autoSpaceDE w:val="0"/>
        <w:autoSpaceDN w:val="0"/>
        <w:rPr>
          <w:rFonts w:eastAsia="MS Mincho" w:cs="Arial"/>
          <w:szCs w:val="21"/>
        </w:rPr>
      </w:pPr>
      <w:r w:rsidRPr="00D53B04">
        <w:rPr>
          <w:rFonts w:eastAsia="MS Mincho" w:cs="Arial"/>
          <w:szCs w:val="21"/>
        </w:rPr>
        <w:t xml:space="preserve">Abattage d’arbres et perte de biodiversité sur l’axe du tracé et sur les sites d’emprunt de latérite ; </w:t>
      </w:r>
    </w:p>
    <w:p w14:paraId="3B12721D" w14:textId="77777777" w:rsidR="008512CA" w:rsidRPr="00D53B04" w:rsidRDefault="008512CA" w:rsidP="002378EA">
      <w:pPr>
        <w:widowControl w:val="0"/>
        <w:numPr>
          <w:ilvl w:val="0"/>
          <w:numId w:val="68"/>
        </w:numPr>
        <w:autoSpaceDE w:val="0"/>
        <w:autoSpaceDN w:val="0"/>
        <w:rPr>
          <w:rFonts w:eastAsia="MS Mincho" w:cs="Arial"/>
          <w:szCs w:val="21"/>
        </w:rPr>
      </w:pPr>
      <w:r w:rsidRPr="00D53B04">
        <w:rPr>
          <w:rFonts w:eastAsia="MS Mincho" w:cs="Arial"/>
          <w:szCs w:val="21"/>
        </w:rPr>
        <w:t xml:space="preserve">Empiètement sur la terre cultivable (pour les nouveaux tracés) ; </w:t>
      </w:r>
    </w:p>
    <w:p w14:paraId="4DB08632" w14:textId="77777777" w:rsidR="008512CA" w:rsidRPr="00D53B04" w:rsidRDefault="008512CA" w:rsidP="002378EA">
      <w:pPr>
        <w:widowControl w:val="0"/>
        <w:numPr>
          <w:ilvl w:val="0"/>
          <w:numId w:val="68"/>
        </w:numPr>
        <w:autoSpaceDE w:val="0"/>
        <w:autoSpaceDN w:val="0"/>
        <w:rPr>
          <w:rFonts w:eastAsia="MS Mincho" w:cs="Arial"/>
          <w:szCs w:val="21"/>
        </w:rPr>
      </w:pPr>
      <w:r w:rsidRPr="00D53B04">
        <w:rPr>
          <w:rFonts w:eastAsia="MS Mincho" w:cs="Arial"/>
          <w:szCs w:val="21"/>
        </w:rPr>
        <w:t xml:space="preserve">Obstruction des chemins de ruissellement ;  </w:t>
      </w:r>
    </w:p>
    <w:p w14:paraId="081906D5" w14:textId="77777777" w:rsidR="008512CA" w:rsidRPr="00D53B04" w:rsidRDefault="008512CA" w:rsidP="002378EA">
      <w:pPr>
        <w:widowControl w:val="0"/>
        <w:numPr>
          <w:ilvl w:val="0"/>
          <w:numId w:val="68"/>
        </w:numPr>
        <w:autoSpaceDE w:val="0"/>
        <w:autoSpaceDN w:val="0"/>
        <w:rPr>
          <w:rFonts w:eastAsia="MS Mincho" w:cs="Arial"/>
          <w:szCs w:val="21"/>
        </w:rPr>
      </w:pPr>
      <w:r w:rsidRPr="00D53B04">
        <w:rPr>
          <w:rFonts w:eastAsia="MS Mincho" w:cs="Arial"/>
          <w:szCs w:val="21"/>
        </w:rPr>
        <w:t>Pollution de l’air et nuisances (poussières, bruit) lors des travaux ;</w:t>
      </w:r>
    </w:p>
    <w:p w14:paraId="4327C49D" w14:textId="77777777" w:rsidR="008512CA" w:rsidRPr="00D53B04" w:rsidRDefault="008512CA" w:rsidP="002378EA">
      <w:pPr>
        <w:widowControl w:val="0"/>
        <w:numPr>
          <w:ilvl w:val="0"/>
          <w:numId w:val="68"/>
        </w:numPr>
        <w:autoSpaceDE w:val="0"/>
        <w:autoSpaceDN w:val="0"/>
        <w:rPr>
          <w:rFonts w:eastAsia="MS Mincho" w:cs="Arial"/>
          <w:szCs w:val="21"/>
        </w:rPr>
      </w:pPr>
      <w:r w:rsidRPr="00D53B04">
        <w:rPr>
          <w:rFonts w:eastAsia="MS Mincho" w:cs="Arial"/>
          <w:szCs w:val="21"/>
        </w:rPr>
        <w:t>Pollution du milieu (eaux et sols) par les déchets solides (déblais, démolition, huiles, de vidange, etc.) ;</w:t>
      </w:r>
    </w:p>
    <w:p w14:paraId="67AE8D74" w14:textId="77777777" w:rsidR="008512CA" w:rsidRPr="00D53B04" w:rsidRDefault="008512CA" w:rsidP="002378EA">
      <w:pPr>
        <w:widowControl w:val="0"/>
        <w:numPr>
          <w:ilvl w:val="0"/>
          <w:numId w:val="68"/>
        </w:numPr>
        <w:autoSpaceDE w:val="0"/>
        <w:autoSpaceDN w:val="0"/>
        <w:rPr>
          <w:rFonts w:eastAsia="MS Mincho" w:cs="Arial"/>
          <w:szCs w:val="21"/>
        </w:rPr>
      </w:pPr>
      <w:r w:rsidRPr="00D53B04">
        <w:rPr>
          <w:rFonts w:eastAsia="MS Mincho" w:cs="Arial"/>
          <w:szCs w:val="21"/>
        </w:rPr>
        <w:t>Risques d’accidents pour les ouvriers et les populations ;</w:t>
      </w:r>
    </w:p>
    <w:p w14:paraId="2E7593DA" w14:textId="77777777" w:rsidR="008512CA" w:rsidRPr="00D53B04" w:rsidRDefault="008512CA" w:rsidP="002378EA">
      <w:pPr>
        <w:widowControl w:val="0"/>
        <w:numPr>
          <w:ilvl w:val="0"/>
          <w:numId w:val="68"/>
        </w:numPr>
        <w:autoSpaceDE w:val="0"/>
        <w:autoSpaceDN w:val="0"/>
        <w:rPr>
          <w:rFonts w:eastAsia="MS Mincho" w:cs="Arial"/>
          <w:szCs w:val="21"/>
        </w:rPr>
      </w:pPr>
      <w:r w:rsidRPr="00D53B04">
        <w:rPr>
          <w:rFonts w:eastAsia="MS Mincho" w:cs="Arial"/>
          <w:szCs w:val="21"/>
        </w:rPr>
        <w:t xml:space="preserve">Déplacement involontaire des populations ou d’activités économiques ;  </w:t>
      </w:r>
    </w:p>
    <w:p w14:paraId="6FB5DD92" w14:textId="77777777" w:rsidR="008512CA" w:rsidRPr="00D53B04" w:rsidRDefault="008512CA" w:rsidP="002378EA">
      <w:pPr>
        <w:widowControl w:val="0"/>
        <w:numPr>
          <w:ilvl w:val="0"/>
          <w:numId w:val="68"/>
        </w:numPr>
        <w:autoSpaceDE w:val="0"/>
        <w:autoSpaceDN w:val="0"/>
        <w:rPr>
          <w:rFonts w:eastAsia="MS Mincho" w:cs="Arial"/>
          <w:szCs w:val="21"/>
        </w:rPr>
      </w:pPr>
      <w:r w:rsidRPr="00D53B04">
        <w:rPr>
          <w:rFonts w:eastAsia="MS Mincho" w:cs="Arial"/>
          <w:szCs w:val="21"/>
        </w:rPr>
        <w:t>Génération d’ordures lors des travaux de construction ;</w:t>
      </w:r>
    </w:p>
    <w:p w14:paraId="2F021FE7" w14:textId="77777777" w:rsidR="008512CA" w:rsidRPr="00D53B04" w:rsidRDefault="008512CA" w:rsidP="002378EA">
      <w:pPr>
        <w:widowControl w:val="0"/>
        <w:numPr>
          <w:ilvl w:val="0"/>
          <w:numId w:val="68"/>
        </w:numPr>
        <w:autoSpaceDE w:val="0"/>
        <w:autoSpaceDN w:val="0"/>
        <w:rPr>
          <w:rFonts w:eastAsia="MS Mincho" w:cs="Arial"/>
          <w:szCs w:val="21"/>
        </w:rPr>
      </w:pPr>
      <w:r w:rsidRPr="00D53B04">
        <w:rPr>
          <w:rFonts w:eastAsia="MS Mincho" w:cs="Arial"/>
          <w:szCs w:val="21"/>
        </w:rPr>
        <w:t>Dégradation du cadre de vie ;</w:t>
      </w:r>
    </w:p>
    <w:p w14:paraId="7F8EB01D" w14:textId="77777777" w:rsidR="008512CA" w:rsidRPr="00D53B04" w:rsidRDefault="008512CA" w:rsidP="002378EA">
      <w:pPr>
        <w:widowControl w:val="0"/>
        <w:numPr>
          <w:ilvl w:val="0"/>
          <w:numId w:val="68"/>
        </w:numPr>
        <w:autoSpaceDE w:val="0"/>
        <w:autoSpaceDN w:val="0"/>
        <w:rPr>
          <w:rFonts w:eastAsia="MS Mincho" w:cs="Arial"/>
          <w:szCs w:val="21"/>
        </w:rPr>
      </w:pPr>
      <w:r w:rsidRPr="00D53B04">
        <w:rPr>
          <w:rFonts w:eastAsia="MS Mincho" w:cs="Arial"/>
          <w:szCs w:val="21"/>
        </w:rPr>
        <w:t>Non utilisation de la main-d’œuvre locale ;</w:t>
      </w:r>
    </w:p>
    <w:p w14:paraId="20074884" w14:textId="77777777" w:rsidR="008512CA" w:rsidRPr="00D53B04" w:rsidRDefault="008512CA" w:rsidP="002378EA">
      <w:pPr>
        <w:widowControl w:val="0"/>
        <w:numPr>
          <w:ilvl w:val="0"/>
          <w:numId w:val="68"/>
        </w:numPr>
        <w:autoSpaceDE w:val="0"/>
        <w:autoSpaceDN w:val="0"/>
        <w:rPr>
          <w:rFonts w:eastAsia="MS Mincho" w:cs="Arial"/>
          <w:szCs w:val="21"/>
        </w:rPr>
      </w:pPr>
      <w:r w:rsidRPr="00D53B04">
        <w:rPr>
          <w:rFonts w:eastAsia="MS Mincho" w:cs="Arial"/>
          <w:szCs w:val="21"/>
        </w:rPr>
        <w:t>Risque des fortes pressions sur la faune par la présence de la main-d’œuvre locale ;</w:t>
      </w:r>
    </w:p>
    <w:p w14:paraId="5275ACB8" w14:textId="77777777" w:rsidR="008512CA" w:rsidRPr="00D53B04" w:rsidRDefault="008512CA" w:rsidP="002378EA">
      <w:pPr>
        <w:widowControl w:val="0"/>
        <w:numPr>
          <w:ilvl w:val="0"/>
          <w:numId w:val="68"/>
        </w:numPr>
        <w:autoSpaceDE w:val="0"/>
        <w:autoSpaceDN w:val="0"/>
        <w:rPr>
          <w:rFonts w:eastAsia="MS Mincho" w:cs="Arial"/>
          <w:szCs w:val="21"/>
        </w:rPr>
      </w:pPr>
      <w:r w:rsidRPr="00D53B04">
        <w:rPr>
          <w:rFonts w:eastAsia="MS Mincho" w:cs="Arial"/>
          <w:szCs w:val="21"/>
        </w:rPr>
        <w:t>Déboisement dû à l’ouverture et à l’exploitation des carrières ;</w:t>
      </w:r>
    </w:p>
    <w:p w14:paraId="076FF49A" w14:textId="77777777" w:rsidR="008512CA" w:rsidRPr="00D53B04" w:rsidRDefault="008512CA" w:rsidP="002378EA">
      <w:pPr>
        <w:widowControl w:val="0"/>
        <w:numPr>
          <w:ilvl w:val="0"/>
          <w:numId w:val="68"/>
        </w:numPr>
        <w:autoSpaceDE w:val="0"/>
        <w:autoSpaceDN w:val="0"/>
        <w:rPr>
          <w:rFonts w:eastAsia="MS Mincho" w:cs="Arial"/>
          <w:szCs w:val="21"/>
        </w:rPr>
      </w:pPr>
      <w:r w:rsidRPr="00D53B04">
        <w:rPr>
          <w:rFonts w:eastAsia="MS Mincho" w:cs="Arial"/>
          <w:szCs w:val="21"/>
        </w:rPr>
        <w:t>Risques de feux de brousse par le brûlage incontrôlé ;</w:t>
      </w:r>
    </w:p>
    <w:p w14:paraId="6D075EAE" w14:textId="77777777" w:rsidR="008512CA" w:rsidRPr="00D53B04" w:rsidRDefault="008512CA" w:rsidP="002378EA">
      <w:pPr>
        <w:widowControl w:val="0"/>
        <w:numPr>
          <w:ilvl w:val="0"/>
          <w:numId w:val="68"/>
        </w:numPr>
        <w:autoSpaceDE w:val="0"/>
        <w:autoSpaceDN w:val="0"/>
        <w:rPr>
          <w:rFonts w:eastAsia="MS Mincho" w:cs="Arial"/>
          <w:szCs w:val="21"/>
        </w:rPr>
      </w:pPr>
      <w:r w:rsidRPr="00D53B04">
        <w:rPr>
          <w:rFonts w:eastAsia="MS Mincho" w:cs="Arial"/>
          <w:szCs w:val="21"/>
        </w:rPr>
        <w:t>Sédimentation des cours d’eau ;</w:t>
      </w:r>
    </w:p>
    <w:p w14:paraId="4EC835E4" w14:textId="77777777" w:rsidR="008512CA" w:rsidRPr="00D53B04" w:rsidRDefault="008512CA" w:rsidP="002378EA">
      <w:pPr>
        <w:widowControl w:val="0"/>
        <w:numPr>
          <w:ilvl w:val="0"/>
          <w:numId w:val="68"/>
        </w:numPr>
        <w:autoSpaceDE w:val="0"/>
        <w:autoSpaceDN w:val="0"/>
        <w:rPr>
          <w:rFonts w:eastAsia="MS Mincho" w:cs="Arial"/>
          <w:szCs w:val="21"/>
        </w:rPr>
      </w:pPr>
      <w:r w:rsidRPr="00D53B04">
        <w:rPr>
          <w:rFonts w:eastAsia="MS Mincho" w:cs="Arial"/>
          <w:szCs w:val="21"/>
        </w:rPr>
        <w:t xml:space="preserve">Risque d’empiètement des aires protégées (Domaine de chasse de Mangai, Bushimae, Parc Marine de Mangrove et Parc National de Virunga ; </w:t>
      </w:r>
    </w:p>
    <w:p w14:paraId="71C84F41" w14:textId="77777777" w:rsidR="008512CA" w:rsidRPr="00D53B04" w:rsidRDefault="008512CA" w:rsidP="002378EA">
      <w:pPr>
        <w:widowControl w:val="0"/>
        <w:numPr>
          <w:ilvl w:val="0"/>
          <w:numId w:val="68"/>
        </w:numPr>
        <w:autoSpaceDE w:val="0"/>
        <w:autoSpaceDN w:val="0"/>
        <w:rPr>
          <w:rFonts w:eastAsia="MS Mincho" w:cs="Arial"/>
          <w:szCs w:val="21"/>
        </w:rPr>
      </w:pPr>
      <w:r w:rsidRPr="00D53B04">
        <w:rPr>
          <w:rFonts w:eastAsia="MS Mincho" w:cs="Arial"/>
          <w:szCs w:val="21"/>
        </w:rPr>
        <w:t>Risque d’empiètement des biens des peuples autochtones (PA) ;</w:t>
      </w:r>
    </w:p>
    <w:p w14:paraId="2C95723E" w14:textId="77777777" w:rsidR="008512CA" w:rsidRPr="00D53B04" w:rsidRDefault="008512CA" w:rsidP="002378EA">
      <w:pPr>
        <w:widowControl w:val="0"/>
        <w:numPr>
          <w:ilvl w:val="0"/>
          <w:numId w:val="68"/>
        </w:numPr>
        <w:autoSpaceDE w:val="0"/>
        <w:autoSpaceDN w:val="0"/>
        <w:rPr>
          <w:rFonts w:eastAsia="MS Mincho" w:cs="Arial"/>
          <w:szCs w:val="21"/>
        </w:rPr>
      </w:pPr>
      <w:r w:rsidRPr="00D53B04">
        <w:rPr>
          <w:rFonts w:eastAsia="MS Mincho" w:cs="Arial"/>
          <w:szCs w:val="21"/>
        </w:rPr>
        <w:t>Risque de prolifération du braconnage ;</w:t>
      </w:r>
    </w:p>
    <w:p w14:paraId="7C4C7149" w14:textId="77777777" w:rsidR="008512CA" w:rsidRPr="00D53B04" w:rsidRDefault="008512CA" w:rsidP="002378EA">
      <w:pPr>
        <w:widowControl w:val="0"/>
        <w:numPr>
          <w:ilvl w:val="0"/>
          <w:numId w:val="68"/>
        </w:numPr>
        <w:autoSpaceDE w:val="0"/>
        <w:autoSpaceDN w:val="0"/>
        <w:rPr>
          <w:rFonts w:eastAsia="MS Mincho" w:cs="Arial"/>
          <w:szCs w:val="21"/>
        </w:rPr>
      </w:pPr>
      <w:r w:rsidRPr="00D53B04">
        <w:rPr>
          <w:rFonts w:eastAsia="MS Mincho" w:cs="Arial"/>
          <w:szCs w:val="21"/>
        </w:rPr>
        <w:t>Pollution et perturbation de l’écoulement des cours d’eau, des bas-fonds et des rizières ;</w:t>
      </w:r>
    </w:p>
    <w:p w14:paraId="1BA309A3" w14:textId="77777777" w:rsidR="008512CA" w:rsidRPr="00D53B04" w:rsidRDefault="008512CA" w:rsidP="002378EA">
      <w:pPr>
        <w:widowControl w:val="0"/>
        <w:numPr>
          <w:ilvl w:val="0"/>
          <w:numId w:val="68"/>
        </w:numPr>
        <w:autoSpaceDE w:val="0"/>
        <w:autoSpaceDN w:val="0"/>
        <w:rPr>
          <w:rFonts w:eastAsia="MS Mincho" w:cs="Arial"/>
          <w:szCs w:val="21"/>
        </w:rPr>
      </w:pPr>
      <w:r w:rsidRPr="00D53B04">
        <w:rPr>
          <w:rFonts w:eastAsia="MS Mincho" w:cs="Arial"/>
          <w:szCs w:val="21"/>
        </w:rPr>
        <w:t>Pollution des eaux de surface et souterraines suite aux déversements accidentels des huiles usées et des hydrocarbures ;</w:t>
      </w:r>
    </w:p>
    <w:p w14:paraId="58B57F77" w14:textId="77777777" w:rsidR="008512CA" w:rsidRPr="00D53B04" w:rsidRDefault="008512CA" w:rsidP="002378EA">
      <w:pPr>
        <w:widowControl w:val="0"/>
        <w:numPr>
          <w:ilvl w:val="0"/>
          <w:numId w:val="68"/>
        </w:numPr>
        <w:autoSpaceDE w:val="0"/>
        <w:autoSpaceDN w:val="0"/>
        <w:rPr>
          <w:rFonts w:eastAsia="MS Mincho" w:cs="Arial"/>
          <w:szCs w:val="21"/>
        </w:rPr>
      </w:pPr>
      <w:r w:rsidRPr="00D53B04">
        <w:rPr>
          <w:rFonts w:eastAsia="MS Mincho" w:cs="Arial"/>
          <w:szCs w:val="21"/>
        </w:rPr>
        <w:t>Risque de l’érosion des sols ;</w:t>
      </w:r>
    </w:p>
    <w:p w14:paraId="45E7DC7C" w14:textId="77777777" w:rsidR="00141A53" w:rsidRPr="00D53B04" w:rsidRDefault="00141A53" w:rsidP="002378EA">
      <w:pPr>
        <w:widowControl w:val="0"/>
        <w:numPr>
          <w:ilvl w:val="0"/>
          <w:numId w:val="68"/>
        </w:numPr>
        <w:autoSpaceDE w:val="0"/>
        <w:autoSpaceDN w:val="0"/>
        <w:rPr>
          <w:rFonts w:eastAsia="MS Mincho" w:cs="Arial"/>
          <w:szCs w:val="21"/>
        </w:rPr>
      </w:pPr>
      <w:r w:rsidRPr="00D53B04">
        <w:rPr>
          <w:rFonts w:eastAsia="MS Mincho" w:cs="Arial"/>
          <w:szCs w:val="21"/>
        </w:rPr>
        <w:t>Risque de la découverte fortuite :</w:t>
      </w:r>
    </w:p>
    <w:p w14:paraId="6B025C3B" w14:textId="77777777" w:rsidR="008512CA" w:rsidRPr="00D53B04" w:rsidRDefault="008512CA" w:rsidP="002378EA">
      <w:pPr>
        <w:widowControl w:val="0"/>
        <w:numPr>
          <w:ilvl w:val="0"/>
          <w:numId w:val="68"/>
        </w:numPr>
        <w:autoSpaceDE w:val="0"/>
        <w:autoSpaceDN w:val="0"/>
        <w:rPr>
          <w:rFonts w:eastAsia="MS Mincho" w:cs="Arial"/>
          <w:szCs w:val="21"/>
        </w:rPr>
      </w:pPr>
      <w:r w:rsidRPr="00D53B04">
        <w:rPr>
          <w:rFonts w:eastAsia="MS Mincho" w:cs="Arial"/>
          <w:szCs w:val="21"/>
        </w:rPr>
        <w:t>Possibilité de propagation du VIH/SIDA et des IST avec les échanges culturels entre la population riveraine et les travailleurs aux chantiers ;</w:t>
      </w:r>
    </w:p>
    <w:p w14:paraId="549945CF" w14:textId="77777777" w:rsidR="008512CA" w:rsidRPr="00D53B04" w:rsidRDefault="008512CA" w:rsidP="002378EA">
      <w:pPr>
        <w:widowControl w:val="0"/>
        <w:numPr>
          <w:ilvl w:val="0"/>
          <w:numId w:val="68"/>
        </w:numPr>
        <w:autoSpaceDE w:val="0"/>
        <w:autoSpaceDN w:val="0"/>
        <w:rPr>
          <w:rFonts w:eastAsia="MS Mincho" w:cs="Arial"/>
          <w:szCs w:val="21"/>
        </w:rPr>
      </w:pPr>
      <w:r w:rsidRPr="00D53B04">
        <w:rPr>
          <w:rFonts w:eastAsia="MS Mincho" w:cs="Arial"/>
          <w:szCs w:val="21"/>
        </w:rPr>
        <w:t>Risques d’exacerber les VBG, y compris l’EAS et le HS, suite aux travaux ;</w:t>
      </w:r>
    </w:p>
    <w:p w14:paraId="1717F224" w14:textId="77777777" w:rsidR="008512CA" w:rsidRPr="00D53B04" w:rsidRDefault="008512CA" w:rsidP="002378EA">
      <w:pPr>
        <w:widowControl w:val="0"/>
        <w:numPr>
          <w:ilvl w:val="0"/>
          <w:numId w:val="68"/>
        </w:numPr>
        <w:autoSpaceDE w:val="0"/>
        <w:autoSpaceDN w:val="0"/>
        <w:rPr>
          <w:rFonts w:eastAsia="MS Mincho" w:cs="Arial"/>
          <w:szCs w:val="21"/>
        </w:rPr>
      </w:pPr>
      <w:r w:rsidRPr="00D53B04">
        <w:rPr>
          <w:rFonts w:eastAsia="MS Mincho" w:cs="Arial"/>
          <w:szCs w:val="21"/>
        </w:rPr>
        <w:t>Risque de propagation de COVID-19 si les mesures barrières ou de pré</w:t>
      </w:r>
      <w:r w:rsidR="00141A53" w:rsidRPr="00D53B04">
        <w:rPr>
          <w:rFonts w:eastAsia="MS Mincho" w:cs="Arial"/>
          <w:szCs w:val="21"/>
        </w:rPr>
        <w:t>ventions ne sont pas respectées ; et</w:t>
      </w:r>
    </w:p>
    <w:p w14:paraId="0CB0FDB0" w14:textId="77777777" w:rsidR="00141A53" w:rsidRPr="00D53B04" w:rsidRDefault="00141A53" w:rsidP="002378EA">
      <w:pPr>
        <w:widowControl w:val="0"/>
        <w:numPr>
          <w:ilvl w:val="0"/>
          <w:numId w:val="68"/>
        </w:numPr>
        <w:autoSpaceDE w:val="0"/>
        <w:autoSpaceDN w:val="0"/>
        <w:rPr>
          <w:rFonts w:eastAsia="MS Mincho" w:cs="Arial"/>
          <w:szCs w:val="21"/>
        </w:rPr>
      </w:pPr>
      <w:r w:rsidRPr="00D53B04">
        <w:rPr>
          <w:rFonts w:eastAsia="MS Mincho" w:cs="Arial"/>
          <w:szCs w:val="21"/>
        </w:rPr>
        <w:t>Risque de propagation de virus Ebola.</w:t>
      </w:r>
    </w:p>
    <w:p w14:paraId="7D00FBA9" w14:textId="77777777" w:rsidR="008512CA" w:rsidRPr="00D53B04" w:rsidRDefault="008512CA" w:rsidP="001C2F95">
      <w:pPr>
        <w:spacing w:line="240" w:lineRule="auto"/>
        <w:rPr>
          <w:rFonts w:cs="Arial"/>
          <w:color w:val="000000"/>
          <w:szCs w:val="21"/>
          <w:u w:val="single"/>
        </w:rPr>
      </w:pPr>
    </w:p>
    <w:p w14:paraId="29C38179" w14:textId="77777777" w:rsidR="001C2F95" w:rsidRPr="00D53B04" w:rsidRDefault="001C2F95" w:rsidP="001C2F95">
      <w:pPr>
        <w:spacing w:line="240" w:lineRule="auto"/>
        <w:rPr>
          <w:rFonts w:cs="Arial"/>
          <w:color w:val="000000"/>
          <w:szCs w:val="21"/>
          <w:u w:val="single"/>
        </w:rPr>
      </w:pPr>
      <w:r w:rsidRPr="00D53B04">
        <w:rPr>
          <w:rFonts w:cs="Arial"/>
          <w:color w:val="000000"/>
          <w:szCs w:val="21"/>
          <w:u w:val="single"/>
        </w:rPr>
        <w:t>Risques et Impacts négatifs potentiels des travaux de construction/réhabilitation des marchés communautaires et abattoirs</w:t>
      </w:r>
      <w:r w:rsidR="00BE528D" w:rsidRPr="00D53B04">
        <w:rPr>
          <w:rFonts w:cs="Arial"/>
          <w:color w:val="000000"/>
          <w:szCs w:val="21"/>
          <w:u w:val="single"/>
        </w:rPr>
        <w:t> :</w:t>
      </w:r>
    </w:p>
    <w:p w14:paraId="4C4ADB31" w14:textId="77777777" w:rsidR="001C2F95" w:rsidRPr="00D53B04" w:rsidRDefault="001C2F95" w:rsidP="001C2F95">
      <w:pPr>
        <w:spacing w:line="240" w:lineRule="auto"/>
        <w:rPr>
          <w:rFonts w:cs="Arial"/>
          <w:b/>
          <w:szCs w:val="21"/>
          <w:u w:val="single"/>
        </w:rPr>
      </w:pPr>
    </w:p>
    <w:p w14:paraId="6EC7D7A4"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 xml:space="preserve">Déplacement involontaire de populations ou d’activités économiques ; </w:t>
      </w:r>
    </w:p>
    <w:p w14:paraId="03A89D8D"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Génération d’ordures lors des travaux de construction et d’exploitation ;</w:t>
      </w:r>
    </w:p>
    <w:p w14:paraId="76B0DE25"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 xml:space="preserve">Altération du paysage dans l’emprise des travaux de construction des marchés communautaires ; </w:t>
      </w:r>
    </w:p>
    <w:p w14:paraId="7A472CEC"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lastRenderedPageBreak/>
        <w:t>Risque d’accidents corporels lors des travaux ;</w:t>
      </w:r>
    </w:p>
    <w:p w14:paraId="179340C3"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Non utilisation de la main-d’œuvre locale ;</w:t>
      </w:r>
    </w:p>
    <w:p w14:paraId="07284964"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Possibilité de propagation du VIH/SIDA et des IST avec les échanges culturels entre la population riveraine et les travailleurs aux chantiers ;</w:t>
      </w:r>
    </w:p>
    <w:p w14:paraId="2F943EEC"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Risque de VBG, y compris l’EAS et le HS, surtout suite à l’afflux de main d’œuvre pour les travaux ;</w:t>
      </w:r>
    </w:p>
    <w:p w14:paraId="653EA30C"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Risque de propagation de la COVID-19 si les mesures barrières ou de préventions ne sont pas respectées.</w:t>
      </w:r>
    </w:p>
    <w:p w14:paraId="2F01EFDB" w14:textId="77777777" w:rsidR="001C2F95" w:rsidRPr="00D53B04" w:rsidRDefault="001C2F95" w:rsidP="001C2F95">
      <w:pPr>
        <w:widowControl w:val="0"/>
        <w:autoSpaceDE w:val="0"/>
        <w:autoSpaceDN w:val="0"/>
        <w:ind w:left="720"/>
        <w:rPr>
          <w:rFonts w:eastAsia="MS Mincho" w:cs="Arial"/>
          <w:szCs w:val="21"/>
        </w:rPr>
      </w:pPr>
    </w:p>
    <w:p w14:paraId="785B7EFE" w14:textId="77777777" w:rsidR="001C2F95" w:rsidRPr="00D53B04" w:rsidRDefault="001C2F95" w:rsidP="002378EA">
      <w:pPr>
        <w:numPr>
          <w:ilvl w:val="0"/>
          <w:numId w:val="66"/>
        </w:numPr>
        <w:tabs>
          <w:tab w:val="left" w:pos="426"/>
        </w:tabs>
        <w:contextualSpacing/>
        <w:rPr>
          <w:rFonts w:eastAsia="Calibri" w:cs="Arial"/>
          <w:i/>
          <w:szCs w:val="21"/>
        </w:rPr>
      </w:pPr>
      <w:r w:rsidRPr="00D53B04">
        <w:rPr>
          <w:rFonts w:eastAsia="Calibri" w:cs="Arial"/>
          <w:i/>
          <w:szCs w:val="21"/>
        </w:rPr>
        <w:t xml:space="preserve">Mesures de gestion environnementale et sociale </w:t>
      </w:r>
    </w:p>
    <w:p w14:paraId="6923DFB1" w14:textId="77777777" w:rsidR="001C2F95" w:rsidRPr="00D53B04" w:rsidRDefault="001C2F95" w:rsidP="001C2F95">
      <w:pPr>
        <w:rPr>
          <w:rFonts w:cs="Arial"/>
          <w:b/>
          <w:i/>
          <w:szCs w:val="21"/>
        </w:rPr>
      </w:pPr>
    </w:p>
    <w:p w14:paraId="2049683D" w14:textId="77777777" w:rsidR="001C2F95" w:rsidRPr="00D53B04" w:rsidRDefault="001C2F95" w:rsidP="001C2F95">
      <w:pPr>
        <w:autoSpaceDE w:val="0"/>
        <w:autoSpaceDN w:val="0"/>
        <w:adjustRightInd w:val="0"/>
        <w:contextualSpacing/>
        <w:rPr>
          <w:rFonts w:cs="Arial"/>
          <w:szCs w:val="21"/>
          <w:lang w:bidi="fr-FR"/>
        </w:rPr>
      </w:pPr>
      <w:r w:rsidRPr="00D53B04">
        <w:rPr>
          <w:rFonts w:cs="Arial"/>
          <w:szCs w:val="21"/>
          <w:lang w:bidi="fr-FR"/>
        </w:rPr>
        <w:t>La gestion environnementale et sociale du PNDA inclut des mesures stratégiques et d’appui institutionnel et technique, de formation, et de sensibilisation pour renforcer les capacités des structures concernées, et qui sont déclinées ci-dessous :</w:t>
      </w:r>
    </w:p>
    <w:p w14:paraId="3B30A4F5" w14:textId="77777777" w:rsidR="001C2F95" w:rsidRPr="00D53B04" w:rsidRDefault="001C2F95" w:rsidP="001C2F95">
      <w:pPr>
        <w:autoSpaceDE w:val="0"/>
        <w:autoSpaceDN w:val="0"/>
        <w:adjustRightInd w:val="0"/>
        <w:spacing w:line="240" w:lineRule="auto"/>
        <w:contextualSpacing/>
        <w:rPr>
          <w:rFonts w:eastAsia="Calibri" w:cs="Arial"/>
          <w:szCs w:val="21"/>
          <w:lang w:bidi="fr-FR"/>
        </w:rPr>
      </w:pPr>
    </w:p>
    <w:p w14:paraId="543518B4"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Préparation du Plan de Gestion de la Main-d’œuvre (PGMO) ;</w:t>
      </w:r>
    </w:p>
    <w:p w14:paraId="14019918"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Préparation du Plan de Mobilisation des Parties Prenantes (PMPP) ;</w:t>
      </w:r>
    </w:p>
    <w:p w14:paraId="1C5AF02F"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Préparation des Plans d’Action de Réinstallation (PAR) ;</w:t>
      </w:r>
    </w:p>
    <w:p w14:paraId="67BCF2F8"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Préparation d’un Plan de Gestion de</w:t>
      </w:r>
      <w:r w:rsidR="00F86960" w:rsidRPr="00D53B04">
        <w:rPr>
          <w:rFonts w:eastAsia="MS Mincho" w:cs="Arial"/>
          <w:szCs w:val="21"/>
        </w:rPr>
        <w:t xml:space="preserve"> Gestion des </w:t>
      </w:r>
      <w:r w:rsidR="00BE528D" w:rsidRPr="00D53B04">
        <w:rPr>
          <w:rFonts w:eastAsia="MS Mincho" w:cs="Arial"/>
          <w:szCs w:val="21"/>
        </w:rPr>
        <w:t>P</w:t>
      </w:r>
      <w:r w:rsidR="00F86960" w:rsidRPr="00D53B04">
        <w:rPr>
          <w:rFonts w:eastAsia="MS Mincho" w:cs="Arial"/>
          <w:szCs w:val="21"/>
        </w:rPr>
        <w:t xml:space="preserve">estes et </w:t>
      </w:r>
      <w:r w:rsidR="00BE528D" w:rsidRPr="00D53B04">
        <w:rPr>
          <w:rFonts w:eastAsia="MS Mincho" w:cs="Arial"/>
          <w:szCs w:val="21"/>
        </w:rPr>
        <w:t>P</w:t>
      </w:r>
      <w:r w:rsidR="00F86960" w:rsidRPr="00D53B04">
        <w:rPr>
          <w:rFonts w:eastAsia="MS Mincho" w:cs="Arial"/>
          <w:szCs w:val="21"/>
        </w:rPr>
        <w:t>esticides (PGPP</w:t>
      </w:r>
      <w:r w:rsidRPr="00D53B04">
        <w:rPr>
          <w:rFonts w:eastAsia="MS Mincho" w:cs="Arial"/>
          <w:szCs w:val="21"/>
        </w:rPr>
        <w:t>) ;</w:t>
      </w:r>
    </w:p>
    <w:p w14:paraId="56C20143"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Préparation d’un Plan d’Engagement Environnemental et Social (PEES) ;</w:t>
      </w:r>
    </w:p>
    <w:p w14:paraId="6BB75A21" w14:textId="5F3AD51B"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Préparation d’un Plan d’action de prévention et réponse à l’EAS/HS, en tenant compte</w:t>
      </w:r>
      <w:r w:rsidR="00AB3679">
        <w:rPr>
          <w:rFonts w:eastAsia="MS Mincho" w:cs="Arial"/>
          <w:szCs w:val="21"/>
        </w:rPr>
        <w:t xml:space="preserve"> des dispositifs de prévention </w:t>
      </w:r>
      <w:r w:rsidRPr="00D53B04">
        <w:rPr>
          <w:rFonts w:eastAsia="MS Mincho" w:cs="Arial"/>
          <w:szCs w:val="21"/>
        </w:rPr>
        <w:t>et réponse (cartographie des services de prise en charge des survivant(e)s et mise en place d’un paquet minimum de services, ainsi qu’élaboration du MGP sensible à l’EAS/HS avec un protocole de réponse) ;</w:t>
      </w:r>
    </w:p>
    <w:p w14:paraId="74098850"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Préparer un Plan en faveur des Populations Autochtones (PPA) si nécessaire;</w:t>
      </w:r>
    </w:p>
    <w:p w14:paraId="2CBF6DA9"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Préparation d’un Plan de Gestion de Sécurité (PGS) distinct qui présente l’ensemble des procédures et protocoles liés à cet aspect dans le cadre du programme (le PGS fera une Évaluation des Risques liés à la Sécurité (ERS) et proposera des mesures d’atténuation) ;</w:t>
      </w:r>
    </w:p>
    <w:p w14:paraId="46DEA4F7"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Mettre en place un Mécanisme de Gestion des Plaintes global (MGP), incluant des procédures spécifiques pour le traitement éthique et confidentiel des plaintes liées à l’EAS et au HS ;</w:t>
      </w:r>
    </w:p>
    <w:p w14:paraId="666B76E3"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 xml:space="preserve">Assurer que les intermédiaires financiers ont des </w:t>
      </w:r>
      <w:r w:rsidR="00BE528D" w:rsidRPr="00D53B04">
        <w:rPr>
          <w:rFonts w:eastAsia="MS Mincho" w:cs="Arial"/>
          <w:szCs w:val="21"/>
        </w:rPr>
        <w:t>S</w:t>
      </w:r>
      <w:r w:rsidRPr="00D53B04">
        <w:rPr>
          <w:rFonts w:eastAsia="MS Mincho" w:cs="Arial"/>
          <w:szCs w:val="21"/>
        </w:rPr>
        <w:t xml:space="preserve">ystèmes de </w:t>
      </w:r>
      <w:r w:rsidR="00BE528D" w:rsidRPr="00D53B04">
        <w:rPr>
          <w:rFonts w:eastAsia="MS Mincho" w:cs="Arial"/>
          <w:szCs w:val="21"/>
        </w:rPr>
        <w:t>G</w:t>
      </w:r>
      <w:r w:rsidRPr="00D53B04">
        <w:rPr>
          <w:rFonts w:eastAsia="MS Mincho" w:cs="Arial"/>
          <w:szCs w:val="21"/>
        </w:rPr>
        <w:t xml:space="preserve">estion </w:t>
      </w:r>
      <w:r w:rsidR="00BE528D" w:rsidRPr="00D53B04">
        <w:rPr>
          <w:rFonts w:eastAsia="MS Mincho" w:cs="Arial"/>
          <w:szCs w:val="21"/>
        </w:rPr>
        <w:t>E</w:t>
      </w:r>
      <w:r w:rsidRPr="00D53B04">
        <w:rPr>
          <w:rFonts w:eastAsia="MS Mincho" w:cs="Arial"/>
          <w:szCs w:val="21"/>
        </w:rPr>
        <w:t>nvironnemental</w:t>
      </w:r>
      <w:r w:rsidR="00BE528D" w:rsidRPr="00D53B04">
        <w:rPr>
          <w:rFonts w:eastAsia="MS Mincho" w:cs="Arial"/>
          <w:szCs w:val="21"/>
        </w:rPr>
        <w:t xml:space="preserve">e </w:t>
      </w:r>
      <w:r w:rsidRPr="00D53B04">
        <w:rPr>
          <w:rFonts w:eastAsia="MS Mincho" w:cs="Arial"/>
          <w:szCs w:val="21"/>
        </w:rPr>
        <w:t xml:space="preserve">et </w:t>
      </w:r>
      <w:r w:rsidR="00BE528D" w:rsidRPr="00D53B04">
        <w:rPr>
          <w:rFonts w:eastAsia="MS Mincho" w:cs="Arial"/>
          <w:szCs w:val="21"/>
        </w:rPr>
        <w:t>S</w:t>
      </w:r>
      <w:r w:rsidRPr="00D53B04">
        <w:rPr>
          <w:rFonts w:eastAsia="MS Mincho" w:cs="Arial"/>
          <w:szCs w:val="21"/>
        </w:rPr>
        <w:t>ocial</w:t>
      </w:r>
      <w:r w:rsidR="00BE528D" w:rsidRPr="00D53B04">
        <w:rPr>
          <w:rFonts w:eastAsia="MS Mincho" w:cs="Arial"/>
          <w:szCs w:val="21"/>
        </w:rPr>
        <w:t xml:space="preserve">e </w:t>
      </w:r>
      <w:r w:rsidRPr="00D53B04">
        <w:rPr>
          <w:rFonts w:eastAsia="MS Mincho" w:cs="Arial"/>
          <w:szCs w:val="21"/>
        </w:rPr>
        <w:t>(SGES) en place avant le commencement de l’octroi des crédits ;</w:t>
      </w:r>
    </w:p>
    <w:p w14:paraId="43BCD687"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Mettre en place un MGP lié aux VBG pour le traitement éthique et confidentiel des plaintes liées à EAS/HS ;</w:t>
      </w:r>
    </w:p>
    <w:p w14:paraId="3E7EE0BF"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Prise en compte des prestataires de services et fournisseurs ;</w:t>
      </w:r>
    </w:p>
    <w:p w14:paraId="2480C1DA"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Préparation d’un Code de bonne conduite : individuel, du gestionnaire et de l’entreprise, interdisant toute forme d’abus et exploitation sexuels, de harcèlement, ou de  violences, y compris les actes d’EAS/HS, et incluant un langage explicite sur les comportements interdits, y compris l’interdiction de relations sexuelles avec le mineur</w:t>
      </w:r>
      <w:r w:rsidRPr="00D53B04">
        <w:rPr>
          <w:rFonts w:eastAsia="MS Mincho" w:cs="Arial"/>
          <w:szCs w:val="21"/>
          <w:vertAlign w:val="superscript"/>
        </w:rPr>
        <w:footnoteReference w:id="3"/>
      </w:r>
      <w:r w:rsidRPr="00D53B04">
        <w:rPr>
          <w:rFonts w:eastAsia="MS Mincho" w:cs="Arial"/>
          <w:szCs w:val="21"/>
        </w:rPr>
        <w:t>, les sanctions établies, et les notions clés sur les VBG, ainsi que les types et formes de VBG et la notion de consentement ;</w:t>
      </w:r>
    </w:p>
    <w:p w14:paraId="7A998017"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Interdiction des travaux des enfants sur le chantier et dans les installations associées ;</w:t>
      </w:r>
    </w:p>
    <w:p w14:paraId="6DD3DF86"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Méthodologie pour la préparation, l’approbation, et l’exécution et de suivi des sous-projets ;</w:t>
      </w:r>
    </w:p>
    <w:p w14:paraId="74330A8B"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Réduire au minimum le déboisement et la destruction de la végétation riveraine ;</w:t>
      </w:r>
    </w:p>
    <w:p w14:paraId="652861DE"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 xml:space="preserve">Établir et entretenir des zones tampons autour des zones reconnues comme habitats </w:t>
      </w:r>
      <w:r w:rsidRPr="00D53B04">
        <w:rPr>
          <w:rFonts w:eastAsia="MS Mincho" w:cs="Arial"/>
          <w:szCs w:val="21"/>
        </w:rPr>
        <w:lastRenderedPageBreak/>
        <w:t>fauniques, afin de minimiser l’impact des activités du Projet sur ces zones et sur les animaux sauvages qu’elles abritent ;</w:t>
      </w:r>
    </w:p>
    <w:p w14:paraId="593F66BA"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Impliquer l’</w:t>
      </w:r>
      <w:r w:rsidR="00BE528D" w:rsidRPr="00D53B04">
        <w:rPr>
          <w:rFonts w:eastAsia="MS Mincho" w:cs="Arial"/>
          <w:szCs w:val="21"/>
        </w:rPr>
        <w:t>Institut Congolais pour la Conservation de la Nature (</w:t>
      </w:r>
      <w:r w:rsidRPr="00D53B04">
        <w:rPr>
          <w:rFonts w:eastAsia="MS Mincho" w:cs="Arial"/>
          <w:szCs w:val="21"/>
        </w:rPr>
        <w:t>ICCN</w:t>
      </w:r>
      <w:r w:rsidR="00BE528D" w:rsidRPr="00D53B04">
        <w:rPr>
          <w:rFonts w:eastAsia="MS Mincho" w:cs="Arial"/>
          <w:szCs w:val="21"/>
        </w:rPr>
        <w:t>)</w:t>
      </w:r>
      <w:r w:rsidRPr="00D53B04">
        <w:rPr>
          <w:rFonts w:eastAsia="MS Mincho" w:cs="Arial"/>
          <w:szCs w:val="21"/>
        </w:rPr>
        <w:t xml:space="preserve"> avant d’entreprendre toute activité du Projet dans les zones tampons ou à l’intérieur des aires protégées ;</w:t>
      </w:r>
    </w:p>
    <w:p w14:paraId="7054C8AE"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Interdire la réalisation des activités dans les parcs et aires protégées ;</w:t>
      </w:r>
    </w:p>
    <w:p w14:paraId="7FA3B69D"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Réaliser un examen préalable de la capacité portante des ponts et ponceaux, et l’afficher avant utilisation pour les travaux et/ou évacuation des produits agricoles ;</w:t>
      </w:r>
    </w:p>
    <w:p w14:paraId="46A1AB88"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Remettre en état les terrains perturbés par la construction, par l’enlèvement, le stockage et la remise en place de la couche arable pour faciliter la reconstitution des habitats fauniques ;</w:t>
      </w:r>
    </w:p>
    <w:p w14:paraId="433E5C0B"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Éviter d’obstruer les zones commerciales ou prendre les dispositions nécessaires pour en assurer un accès et une utilisation sécuritaire pendant et après les travaux, surtout lorsqu’il s’agit des travaux de réhabilitation des marchés villageois ;</w:t>
      </w:r>
    </w:p>
    <w:p w14:paraId="4A5DF174"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Compenser (réinstaller) prioritairement tous les actifs susceptibles d’être par le Projet, avant le démarrage des travaux ;</w:t>
      </w:r>
    </w:p>
    <w:p w14:paraId="1104D8B8"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Renforcement institutionnel du Comité technique de préparation du PNDA ;</w:t>
      </w:r>
    </w:p>
    <w:p w14:paraId="01FABBB3"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Renforcement de l’expertise environnementale et sociale de l’U</w:t>
      </w:r>
      <w:r w:rsidR="00BE528D" w:rsidRPr="00D53B04">
        <w:rPr>
          <w:rFonts w:eastAsia="MS Mincho" w:cs="Arial"/>
          <w:szCs w:val="21"/>
        </w:rPr>
        <w:t>nité Nationale de Coordination de Projet (UNC</w:t>
      </w:r>
      <w:r w:rsidRPr="00D53B04">
        <w:rPr>
          <w:rFonts w:eastAsia="MS Mincho" w:cs="Arial"/>
          <w:szCs w:val="21"/>
        </w:rPr>
        <w:t>P</w:t>
      </w:r>
      <w:r w:rsidR="00BE528D" w:rsidRPr="00D53B04">
        <w:rPr>
          <w:rFonts w:eastAsia="MS Mincho" w:cs="Arial"/>
          <w:szCs w:val="21"/>
        </w:rPr>
        <w:t>)</w:t>
      </w:r>
      <w:r w:rsidRPr="00D53B04">
        <w:rPr>
          <w:rFonts w:eastAsia="MS Mincho" w:cs="Arial"/>
          <w:szCs w:val="21"/>
        </w:rPr>
        <w:t> ;</w:t>
      </w:r>
    </w:p>
    <w:p w14:paraId="0AFF85FE"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Renforcement des capacités des Services Techniques de l’État du secteur ;</w:t>
      </w:r>
    </w:p>
    <w:p w14:paraId="07C40B17"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Formation des acteurs impliqués dans la mise en œuvre du PNDA, aussi sur la notion des VBG, y compris l’EAS et le HS, et comme le Projet peut les exacerber, la responsabilité de différents acteurs, le MGP sensible à l’EAS/HS, ainsi que les services de prise en charge pour les survivant(e)s ;</w:t>
      </w:r>
    </w:p>
    <w:p w14:paraId="06EA231A"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Programmes de sensibilisation et de mobilisation des populations et au niveau communal (intégrant les thèmes sur les VBG, y compris l’EAS et le HS, Code de bonne conduite, MGP sensible aux plaintes d’EAS/HS, etc.) ;</w:t>
      </w:r>
    </w:p>
    <w:p w14:paraId="5F51580A"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Programme de sensibilisation et de formation environnementale et sociale des entreprises des travaux et des bureaux de contrôle ;</w:t>
      </w:r>
    </w:p>
    <w:p w14:paraId="4EAB6864"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Mettre en place un plan de prévention contre la COVID-19 ;</w:t>
      </w:r>
    </w:p>
    <w:p w14:paraId="20D09D0C"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Établissement et contrôle des modalités et mesures de gestion des griefs ;</w:t>
      </w:r>
    </w:p>
    <w:p w14:paraId="7E258B3B"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Coordination des activités multisectorielles intégrant les aspects de prévention et réponse aux VBG, EAS, et HS ;</w:t>
      </w:r>
    </w:p>
    <w:p w14:paraId="015B4748"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Non-discrimination à l’égard des femmes pendant le recrutement du personnel et le respect du quota de 30 % des femmes recrutées dans la mise en œuvre du Projet, y compris la considération des femmes pour des rôles non-traditionnels et des postes de supervision ;</w:t>
      </w:r>
    </w:p>
    <w:p w14:paraId="25CA378D"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Respect strict de la réglementation nationale au sujet du travail des enfants de la part des entreprises des travaux : Interdiction de faire travailler des personnes de moins de 18 ans ;</w:t>
      </w:r>
    </w:p>
    <w:p w14:paraId="59C1DE02"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Mise en œuvre des procédures de découvertes fortuites en cas d’affectation des biens culturels, et des minutions non explosées.</w:t>
      </w:r>
    </w:p>
    <w:p w14:paraId="7D6EEA7F" w14:textId="77777777" w:rsidR="001C2F95" w:rsidRPr="00D53B04" w:rsidRDefault="001C2F95" w:rsidP="001C2F95">
      <w:pPr>
        <w:spacing w:line="240" w:lineRule="auto"/>
        <w:rPr>
          <w:rFonts w:cs="Arial"/>
          <w:szCs w:val="21"/>
        </w:rPr>
      </w:pPr>
    </w:p>
    <w:p w14:paraId="232704B9" w14:textId="77777777" w:rsidR="001C2F95" w:rsidRPr="00D53B04" w:rsidRDefault="001C2F95" w:rsidP="001C2F95">
      <w:pPr>
        <w:rPr>
          <w:rFonts w:cs="Arial"/>
          <w:szCs w:val="21"/>
        </w:rPr>
      </w:pPr>
      <w:r w:rsidRPr="00D53B04">
        <w:rPr>
          <w:rFonts w:cs="Arial"/>
          <w:szCs w:val="21"/>
        </w:rPr>
        <w:t>Ces mesures sont contenues dans le</w:t>
      </w:r>
      <w:r w:rsidR="006B658C" w:rsidRPr="00D53B04">
        <w:rPr>
          <w:rFonts w:cs="Arial"/>
          <w:szCs w:val="21"/>
        </w:rPr>
        <w:t xml:space="preserve">s Procédures de Gestion des Risques et Impacts Environnementaux et Sociaux (PGRIES) </w:t>
      </w:r>
      <w:r w:rsidRPr="00D53B04">
        <w:rPr>
          <w:rFonts w:cs="Arial"/>
          <w:szCs w:val="21"/>
        </w:rPr>
        <w:t>qui sera inclus dans le Manuel d’exécution du Projet.</w:t>
      </w:r>
    </w:p>
    <w:p w14:paraId="2AECE6FA" w14:textId="77777777" w:rsidR="001C2F95" w:rsidRPr="00D53B04" w:rsidRDefault="001C2F95" w:rsidP="001C2F95">
      <w:pPr>
        <w:rPr>
          <w:rFonts w:cs="Arial"/>
          <w:bCs/>
          <w:szCs w:val="21"/>
        </w:rPr>
      </w:pPr>
    </w:p>
    <w:p w14:paraId="5D65E062" w14:textId="77777777" w:rsidR="001C2F95" w:rsidRPr="00D53B04" w:rsidRDefault="001C2F95" w:rsidP="001C2F95">
      <w:pPr>
        <w:ind w:firstLine="284"/>
        <w:rPr>
          <w:rFonts w:cs="Arial"/>
          <w:i/>
          <w:szCs w:val="21"/>
          <w:u w:val="single"/>
          <w:lang w:bidi="fr-FR"/>
        </w:rPr>
      </w:pPr>
      <w:r w:rsidRPr="00D53B04">
        <w:rPr>
          <w:rFonts w:cs="Arial"/>
          <w:i/>
          <w:szCs w:val="21"/>
          <w:u w:val="single"/>
          <w:lang w:bidi="fr-FR"/>
        </w:rPr>
        <w:t>5.1. Procédure de gestion environnementale et sociale des sous-projets éligibles</w:t>
      </w:r>
    </w:p>
    <w:p w14:paraId="285DE818" w14:textId="77777777" w:rsidR="001C2F95" w:rsidRPr="00D53B04" w:rsidRDefault="001C2F95" w:rsidP="001C2F95">
      <w:pPr>
        <w:rPr>
          <w:rFonts w:cs="Arial"/>
          <w:szCs w:val="21"/>
        </w:rPr>
      </w:pPr>
    </w:p>
    <w:p w14:paraId="359DA80D" w14:textId="77777777" w:rsidR="001C2F95" w:rsidRPr="00D53B04" w:rsidRDefault="001C2F95" w:rsidP="001C2F95">
      <w:pPr>
        <w:rPr>
          <w:rFonts w:eastAsia="Calibri" w:cs="Arial"/>
          <w:bCs/>
          <w:szCs w:val="21"/>
        </w:rPr>
      </w:pPr>
      <w:r w:rsidRPr="00D53B04">
        <w:rPr>
          <w:rFonts w:eastAsia="Calibri" w:cs="Arial"/>
          <w:bCs/>
          <w:szCs w:val="21"/>
        </w:rPr>
        <w:t xml:space="preserve">Le CGES inclut une procédure de sélection environnementale et sociale des activités à réaliser dans le cadre du </w:t>
      </w:r>
      <w:r w:rsidRPr="00D53B04">
        <w:rPr>
          <w:rFonts w:cs="Arial"/>
          <w:bCs/>
          <w:szCs w:val="21"/>
        </w:rPr>
        <w:t>financement du PNDA</w:t>
      </w:r>
      <w:r w:rsidRPr="00D53B04">
        <w:rPr>
          <w:rFonts w:eastAsia="Calibri" w:cs="Arial"/>
          <w:bCs/>
          <w:szCs w:val="21"/>
        </w:rPr>
        <w:t>, qui oriente les interventions futures en termes de prise en compte des exigences environnementales et sociales nationales et celle des politiques de sauvegarde de la Banque mondiale. Les étapes sont les suivantes :</w:t>
      </w:r>
    </w:p>
    <w:p w14:paraId="7C44D190" w14:textId="77777777" w:rsidR="001C2F95" w:rsidRPr="00D53B04" w:rsidRDefault="001C2F95" w:rsidP="001C2F95">
      <w:pPr>
        <w:rPr>
          <w:rFonts w:eastAsia="Calibri" w:cs="Arial"/>
          <w:bCs/>
          <w:szCs w:val="21"/>
          <w:u w:val="single"/>
        </w:rPr>
      </w:pPr>
    </w:p>
    <w:p w14:paraId="77286F28" w14:textId="77777777" w:rsidR="001C2F95" w:rsidRPr="00D53B04" w:rsidRDefault="001C2F95" w:rsidP="001C2F95">
      <w:pPr>
        <w:rPr>
          <w:rFonts w:eastAsia="Calibri" w:cs="Arial"/>
          <w:bCs/>
          <w:szCs w:val="21"/>
          <w:u w:val="single"/>
        </w:rPr>
      </w:pPr>
      <w:r w:rsidRPr="00D53B04">
        <w:rPr>
          <w:rFonts w:eastAsia="Calibri" w:cs="Arial"/>
          <w:bCs/>
          <w:szCs w:val="21"/>
          <w:u w:val="single"/>
        </w:rPr>
        <w:lastRenderedPageBreak/>
        <w:t>Sélection des sous-projets</w:t>
      </w:r>
    </w:p>
    <w:p w14:paraId="653D3675" w14:textId="77777777" w:rsidR="001C2F95" w:rsidRPr="00D53B04" w:rsidRDefault="001C2F95" w:rsidP="001C2F95">
      <w:pPr>
        <w:rPr>
          <w:rFonts w:eastAsia="Calibri" w:cs="Arial"/>
          <w:bCs/>
          <w:szCs w:val="21"/>
          <w:u w:val="single"/>
        </w:rPr>
      </w:pPr>
    </w:p>
    <w:p w14:paraId="785F1A1D"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Identification de la localisation/site et principales caractéristiques techniques du sous-projet ;</w:t>
      </w:r>
    </w:p>
    <w:p w14:paraId="7379D526"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Sélection environnementale et sociale (Screening-remplissage des formulaires), et détermination du niveau de risque environnemental et social, ainsi que du type d’instrument de gestion des risques et impacts spécifique à préparer ;</w:t>
      </w:r>
    </w:p>
    <w:p w14:paraId="23F31482"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Approbation de la classification.</w:t>
      </w:r>
    </w:p>
    <w:p w14:paraId="3F6682E3" w14:textId="77777777" w:rsidR="001C2F95" w:rsidRPr="00D53B04" w:rsidRDefault="001C2F95" w:rsidP="001C2F95">
      <w:pPr>
        <w:rPr>
          <w:rFonts w:cs="Arial"/>
          <w:szCs w:val="21"/>
          <w:u w:val="single"/>
        </w:rPr>
      </w:pPr>
    </w:p>
    <w:p w14:paraId="5AB81920" w14:textId="77777777" w:rsidR="001C2F95" w:rsidRPr="00D53B04" w:rsidRDefault="001C2F95" w:rsidP="001C2F95">
      <w:pPr>
        <w:rPr>
          <w:rFonts w:cs="Arial"/>
          <w:szCs w:val="21"/>
          <w:u w:val="single"/>
        </w:rPr>
      </w:pPr>
      <w:r w:rsidRPr="00D53B04">
        <w:rPr>
          <w:rFonts w:cs="Arial"/>
          <w:szCs w:val="21"/>
          <w:u w:val="single"/>
        </w:rPr>
        <w:t xml:space="preserve">Processus de préparation des instruments spécifiques (EIES/PGES) de gestion des risques environnementaux et sociaux des sous-projets </w:t>
      </w:r>
    </w:p>
    <w:p w14:paraId="63A8D895" w14:textId="77777777" w:rsidR="001C2F95" w:rsidRPr="00D53B04" w:rsidRDefault="001C2F95" w:rsidP="001C2F95">
      <w:pPr>
        <w:rPr>
          <w:rFonts w:cs="Arial"/>
          <w:szCs w:val="21"/>
          <w:u w:val="single"/>
        </w:rPr>
      </w:pPr>
    </w:p>
    <w:p w14:paraId="5F89C4E9"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Préparation et approbation des Termes de référence ;</w:t>
      </w:r>
    </w:p>
    <w:p w14:paraId="4354175B"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Réalisation de l’étude y compris la consultation du publique (bénéficiaires, personnes affectées, parties prenantes) ;</w:t>
      </w:r>
    </w:p>
    <w:p w14:paraId="0C10C971"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Validation du document et obtention du certificat environnemental ;</w:t>
      </w:r>
    </w:p>
    <w:p w14:paraId="7B0C9D2F"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Publication du document ;</w:t>
      </w:r>
    </w:p>
    <w:p w14:paraId="2DF70990"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Intégration dans le dossier d’appel d’offres (DAO) du sous-projet, de toutes les mesures environnementales et sociales de la phase des travaux pouvant être contractées avec l’Entreprise ; </w:t>
      </w:r>
    </w:p>
    <w:p w14:paraId="7936ABF5"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 xml:space="preserve">Approbation du PGES-Entreprise par le Mission de Contrôle ; </w:t>
      </w:r>
    </w:p>
    <w:p w14:paraId="416FBD41"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Exécution/Mise en œuvre des mesures non contractées avec l’entreprise de construction ;</w:t>
      </w:r>
    </w:p>
    <w:p w14:paraId="76BC4C23"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Surveillance interne et externe de la mise en œuvre des mesures environnementales et sociales ;</w:t>
      </w:r>
    </w:p>
    <w:p w14:paraId="30C1DFA4"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Diffusion du rapport de surveillance (interne et externe) ;</w:t>
      </w:r>
    </w:p>
    <w:p w14:paraId="18AD530C"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Suivi environnemental et social (interne et externe) ;</w:t>
      </w:r>
    </w:p>
    <w:p w14:paraId="4C57BD3D"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Diffusion du rapport de suivi (interne et externe) ;</w:t>
      </w:r>
    </w:p>
    <w:p w14:paraId="5D03AABF"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Renforcement des capacités des acteurs dans la mise en œuvre de Plan de gestion environnementale et sociale ;</w:t>
      </w:r>
    </w:p>
    <w:p w14:paraId="70BA3634" w14:textId="77777777" w:rsidR="001C2F95" w:rsidRPr="00D53B04" w:rsidRDefault="001C2F95" w:rsidP="002378EA">
      <w:pPr>
        <w:widowControl w:val="0"/>
        <w:numPr>
          <w:ilvl w:val="0"/>
          <w:numId w:val="68"/>
        </w:numPr>
        <w:autoSpaceDE w:val="0"/>
        <w:autoSpaceDN w:val="0"/>
        <w:rPr>
          <w:rFonts w:eastAsia="MS Mincho" w:cs="Arial"/>
          <w:szCs w:val="21"/>
        </w:rPr>
      </w:pPr>
      <w:r w:rsidRPr="00D53B04">
        <w:rPr>
          <w:rFonts w:eastAsia="MS Mincho" w:cs="Arial"/>
          <w:szCs w:val="21"/>
        </w:rPr>
        <w:t>Audit de mise en œuvre des mesures environnementales et sociales.</w:t>
      </w:r>
    </w:p>
    <w:p w14:paraId="32BE5A68" w14:textId="77777777" w:rsidR="002520BC" w:rsidRPr="00D53B04" w:rsidRDefault="002520BC" w:rsidP="002520BC">
      <w:pPr>
        <w:widowControl w:val="0"/>
        <w:autoSpaceDE w:val="0"/>
        <w:autoSpaceDN w:val="0"/>
        <w:ind w:left="720"/>
        <w:rPr>
          <w:rFonts w:eastAsia="MS Mincho" w:cs="Arial"/>
          <w:szCs w:val="21"/>
        </w:rPr>
      </w:pPr>
    </w:p>
    <w:p w14:paraId="4B9F28D0" w14:textId="77777777" w:rsidR="001C2F95" w:rsidRPr="00D53B04" w:rsidRDefault="001C2F95" w:rsidP="001C2F95">
      <w:pPr>
        <w:spacing w:line="240" w:lineRule="auto"/>
        <w:ind w:left="360"/>
        <w:rPr>
          <w:rFonts w:cs="Arial"/>
          <w:i/>
          <w:szCs w:val="21"/>
          <w:u w:val="single"/>
        </w:rPr>
      </w:pPr>
      <w:r w:rsidRPr="00D53B04">
        <w:rPr>
          <w:rFonts w:cs="Arial"/>
          <w:i/>
          <w:szCs w:val="21"/>
          <w:u w:val="single"/>
        </w:rPr>
        <w:t xml:space="preserve">5.2. Principaux indicateurs de mise en œuvre du CGES </w:t>
      </w:r>
    </w:p>
    <w:p w14:paraId="33ED9605" w14:textId="77777777" w:rsidR="001C2F95" w:rsidRPr="00D53B04" w:rsidRDefault="001C2F95" w:rsidP="001C2F95">
      <w:pPr>
        <w:spacing w:line="240" w:lineRule="auto"/>
        <w:rPr>
          <w:rFonts w:eastAsia="Calibri" w:cs="Arial"/>
          <w:bCs/>
          <w:szCs w:val="21"/>
        </w:rPr>
      </w:pPr>
    </w:p>
    <w:p w14:paraId="3CA10B38" w14:textId="2C5E9763" w:rsidR="001C2F95" w:rsidRPr="00D53B04" w:rsidRDefault="001C2F95" w:rsidP="001C2F95">
      <w:pPr>
        <w:spacing w:line="240" w:lineRule="auto"/>
        <w:rPr>
          <w:rFonts w:cs="Arial"/>
          <w:bCs/>
          <w:szCs w:val="21"/>
        </w:rPr>
      </w:pPr>
      <w:r w:rsidRPr="00D53B04">
        <w:rPr>
          <w:rFonts w:eastAsia="Calibri" w:cs="Arial"/>
          <w:bCs/>
          <w:szCs w:val="21"/>
        </w:rPr>
        <w:t>Le programme de suivi décrira les éléments devant faire l’objet du suivi, les méthodes/dispositifs de</w:t>
      </w:r>
      <w:r w:rsidRPr="00D53B04">
        <w:rPr>
          <w:rFonts w:cs="Arial"/>
          <w:bCs/>
          <w:szCs w:val="21"/>
        </w:rPr>
        <w:t xml:space="preserve"> </w:t>
      </w:r>
      <w:r w:rsidRPr="00D53B04">
        <w:rPr>
          <w:rFonts w:eastAsia="Calibri" w:cs="Arial"/>
          <w:bCs/>
          <w:szCs w:val="21"/>
        </w:rPr>
        <w:t xml:space="preserve">suivi, les responsabilités de suivi, la période de suivi. </w:t>
      </w:r>
      <w:r w:rsidRPr="00D53B04">
        <w:rPr>
          <w:rFonts w:cs="Arial"/>
          <w:bCs/>
          <w:szCs w:val="21"/>
        </w:rPr>
        <w:t xml:space="preserve">À cet effet, les principaux indicateurs retenus sont : </w:t>
      </w:r>
    </w:p>
    <w:p w14:paraId="09382F2D" w14:textId="77777777" w:rsidR="001C2F95" w:rsidRPr="00D53B04" w:rsidRDefault="001C2F95" w:rsidP="001C2F95">
      <w:pPr>
        <w:spacing w:line="240" w:lineRule="auto"/>
        <w:rPr>
          <w:rFonts w:cs="Arial"/>
          <w:bCs/>
          <w:szCs w:val="21"/>
        </w:rPr>
      </w:pPr>
    </w:p>
    <w:p w14:paraId="4B767DEE" w14:textId="77777777" w:rsidR="001C2F95" w:rsidRPr="00D53B04" w:rsidRDefault="001C2F95" w:rsidP="002378EA">
      <w:pPr>
        <w:numPr>
          <w:ilvl w:val="0"/>
          <w:numId w:val="28"/>
        </w:numPr>
        <w:autoSpaceDE w:val="0"/>
        <w:autoSpaceDN w:val="0"/>
        <w:adjustRightInd w:val="0"/>
        <w:rPr>
          <w:rFonts w:eastAsia="Calibri" w:cs="Arial"/>
          <w:szCs w:val="21"/>
        </w:rPr>
      </w:pPr>
      <w:r w:rsidRPr="00D53B04">
        <w:rPr>
          <w:rFonts w:eastAsia="Calibri" w:cs="Arial"/>
          <w:szCs w:val="21"/>
        </w:rPr>
        <w:t>Indicateurs d’ordre stratégique à suivre par le Comité de Pilotage du Projet ;</w:t>
      </w:r>
    </w:p>
    <w:p w14:paraId="1BC9F03A" w14:textId="77777777" w:rsidR="001C2F95" w:rsidRPr="00D53B04" w:rsidRDefault="001C2F95" w:rsidP="002378EA">
      <w:pPr>
        <w:numPr>
          <w:ilvl w:val="0"/>
          <w:numId w:val="28"/>
        </w:numPr>
        <w:autoSpaceDE w:val="0"/>
        <w:autoSpaceDN w:val="0"/>
        <w:adjustRightInd w:val="0"/>
        <w:rPr>
          <w:rFonts w:eastAsia="Calibri" w:cs="Arial"/>
          <w:szCs w:val="21"/>
        </w:rPr>
      </w:pPr>
      <w:r w:rsidRPr="00D53B04">
        <w:rPr>
          <w:rFonts w:eastAsia="Calibri" w:cs="Arial"/>
          <w:szCs w:val="21"/>
        </w:rPr>
        <w:t>Effectivité de la sélection environnementale et sociale (Screening) des activités du programme ;</w:t>
      </w:r>
    </w:p>
    <w:p w14:paraId="2D118F9A" w14:textId="77777777" w:rsidR="001C2F95" w:rsidRPr="00D53B04" w:rsidRDefault="001C2F95" w:rsidP="002378EA">
      <w:pPr>
        <w:numPr>
          <w:ilvl w:val="0"/>
          <w:numId w:val="28"/>
        </w:numPr>
        <w:autoSpaceDE w:val="0"/>
        <w:autoSpaceDN w:val="0"/>
        <w:adjustRightInd w:val="0"/>
        <w:rPr>
          <w:rFonts w:eastAsia="Calibri" w:cs="Arial"/>
          <w:szCs w:val="21"/>
        </w:rPr>
      </w:pPr>
      <w:r w:rsidRPr="00D53B04">
        <w:rPr>
          <w:rFonts w:eastAsia="Calibri" w:cs="Arial"/>
          <w:szCs w:val="21"/>
        </w:rPr>
        <w:t>Effectivité du suivi environnemental et du « reporting » ;</w:t>
      </w:r>
    </w:p>
    <w:p w14:paraId="15BED912" w14:textId="77777777" w:rsidR="001C2F95" w:rsidRPr="00D53B04" w:rsidRDefault="001C2F95" w:rsidP="002378EA">
      <w:pPr>
        <w:numPr>
          <w:ilvl w:val="0"/>
          <w:numId w:val="28"/>
        </w:numPr>
        <w:autoSpaceDE w:val="0"/>
        <w:autoSpaceDN w:val="0"/>
        <w:adjustRightInd w:val="0"/>
        <w:rPr>
          <w:rFonts w:eastAsia="Calibri" w:cs="Arial"/>
          <w:szCs w:val="21"/>
        </w:rPr>
      </w:pPr>
      <w:r w:rsidRPr="00D53B04">
        <w:rPr>
          <w:rFonts w:eastAsia="Calibri" w:cs="Arial"/>
          <w:szCs w:val="21"/>
        </w:rPr>
        <w:t>Mise en œuvre des programmes de formation/sensibilisation sur le CGES ;</w:t>
      </w:r>
    </w:p>
    <w:p w14:paraId="559A3E03" w14:textId="77777777" w:rsidR="001C2F95" w:rsidRPr="00D53B04" w:rsidRDefault="001C2F95" w:rsidP="002378EA">
      <w:pPr>
        <w:numPr>
          <w:ilvl w:val="0"/>
          <w:numId w:val="28"/>
        </w:numPr>
        <w:autoSpaceDE w:val="0"/>
        <w:autoSpaceDN w:val="0"/>
        <w:adjustRightInd w:val="0"/>
        <w:rPr>
          <w:rFonts w:eastAsia="Calibri" w:cs="Arial"/>
          <w:szCs w:val="21"/>
        </w:rPr>
      </w:pPr>
      <w:r w:rsidRPr="00D53B04">
        <w:rPr>
          <w:rFonts w:eastAsia="Calibri" w:cs="Arial"/>
          <w:szCs w:val="21"/>
        </w:rPr>
        <w:t>Indicateurs à suivre par le SSE et le SSS/PNDA ;</w:t>
      </w:r>
    </w:p>
    <w:p w14:paraId="1949D4F4" w14:textId="77777777" w:rsidR="001C2F95" w:rsidRPr="00D53B04" w:rsidRDefault="001C2F95" w:rsidP="002378EA">
      <w:pPr>
        <w:numPr>
          <w:ilvl w:val="0"/>
          <w:numId w:val="28"/>
        </w:numPr>
        <w:autoSpaceDE w:val="0"/>
        <w:autoSpaceDN w:val="0"/>
        <w:adjustRightInd w:val="0"/>
        <w:rPr>
          <w:rFonts w:eastAsia="Calibri" w:cs="Arial"/>
          <w:szCs w:val="21"/>
        </w:rPr>
      </w:pPr>
      <w:r w:rsidRPr="00D53B04">
        <w:rPr>
          <w:rFonts w:eastAsia="Calibri" w:cs="Arial"/>
          <w:szCs w:val="21"/>
        </w:rPr>
        <w:t>Effectivité de l’insertion des clauses environnementales dans les dossiers d’exécution ;</w:t>
      </w:r>
    </w:p>
    <w:p w14:paraId="407B62A4" w14:textId="77777777" w:rsidR="001C2F95" w:rsidRPr="00D53B04" w:rsidRDefault="001C2F95" w:rsidP="002378EA">
      <w:pPr>
        <w:numPr>
          <w:ilvl w:val="0"/>
          <w:numId w:val="28"/>
        </w:numPr>
        <w:autoSpaceDE w:val="0"/>
        <w:autoSpaceDN w:val="0"/>
        <w:adjustRightInd w:val="0"/>
        <w:rPr>
          <w:rFonts w:eastAsia="Calibri" w:cs="Arial"/>
          <w:szCs w:val="21"/>
        </w:rPr>
      </w:pPr>
      <w:r w:rsidRPr="00D53B04">
        <w:rPr>
          <w:rFonts w:eastAsia="Calibri" w:cs="Arial"/>
          <w:szCs w:val="21"/>
        </w:rPr>
        <w:t>Pourcentage d’entreprises respectant les dispositions environnementales dans leurs chantiers ;</w:t>
      </w:r>
    </w:p>
    <w:p w14:paraId="58840ACA" w14:textId="77777777" w:rsidR="001C2F95" w:rsidRPr="00D53B04" w:rsidRDefault="001C2F95" w:rsidP="002378EA">
      <w:pPr>
        <w:numPr>
          <w:ilvl w:val="0"/>
          <w:numId w:val="28"/>
        </w:numPr>
        <w:autoSpaceDE w:val="0"/>
        <w:autoSpaceDN w:val="0"/>
        <w:adjustRightInd w:val="0"/>
        <w:rPr>
          <w:rFonts w:eastAsia="Calibri" w:cs="Arial"/>
          <w:szCs w:val="21"/>
        </w:rPr>
      </w:pPr>
      <w:r w:rsidRPr="00D53B04">
        <w:rPr>
          <w:rFonts w:eastAsia="Calibri" w:cs="Arial"/>
          <w:szCs w:val="21"/>
        </w:rPr>
        <w:t>Nombre d’acteurs formés/sensibilisés en gestion environnementale et sociale ;</w:t>
      </w:r>
    </w:p>
    <w:p w14:paraId="5C9EBFB9" w14:textId="77777777" w:rsidR="001C2F95" w:rsidRPr="00D53B04" w:rsidRDefault="001C2F95" w:rsidP="002378EA">
      <w:pPr>
        <w:numPr>
          <w:ilvl w:val="0"/>
          <w:numId w:val="28"/>
        </w:numPr>
        <w:autoSpaceDE w:val="0"/>
        <w:autoSpaceDN w:val="0"/>
        <w:adjustRightInd w:val="0"/>
        <w:rPr>
          <w:rFonts w:eastAsia="Calibri" w:cs="Arial"/>
          <w:szCs w:val="21"/>
        </w:rPr>
      </w:pPr>
      <w:r w:rsidRPr="00D53B04">
        <w:rPr>
          <w:rFonts w:eastAsia="Calibri" w:cs="Arial"/>
          <w:szCs w:val="21"/>
        </w:rPr>
        <w:t>Niveau d’implication des Coordination Provinciale de l’Environnement (CPE) dans le suivi de la mise en œuvre des activités ;</w:t>
      </w:r>
    </w:p>
    <w:p w14:paraId="512DFBF7" w14:textId="77777777" w:rsidR="001C2F95" w:rsidRPr="00D53B04" w:rsidRDefault="001C2F95" w:rsidP="002378EA">
      <w:pPr>
        <w:numPr>
          <w:ilvl w:val="0"/>
          <w:numId w:val="28"/>
        </w:numPr>
        <w:autoSpaceDE w:val="0"/>
        <w:autoSpaceDN w:val="0"/>
        <w:adjustRightInd w:val="0"/>
        <w:rPr>
          <w:rFonts w:eastAsia="Calibri" w:cs="Arial"/>
          <w:szCs w:val="21"/>
        </w:rPr>
      </w:pPr>
      <w:r w:rsidRPr="00D53B04">
        <w:rPr>
          <w:rFonts w:eastAsia="Calibri" w:cs="Arial"/>
          <w:szCs w:val="21"/>
        </w:rPr>
        <w:t>Nombre de campagne de sensibilisation ;</w:t>
      </w:r>
    </w:p>
    <w:p w14:paraId="6C2811D0" w14:textId="77777777" w:rsidR="001C2F95" w:rsidRPr="00D53B04" w:rsidRDefault="001C2F95" w:rsidP="002378EA">
      <w:pPr>
        <w:numPr>
          <w:ilvl w:val="0"/>
          <w:numId w:val="28"/>
        </w:numPr>
        <w:autoSpaceDE w:val="0"/>
        <w:autoSpaceDN w:val="0"/>
        <w:adjustRightInd w:val="0"/>
        <w:rPr>
          <w:rFonts w:eastAsia="Calibri" w:cs="Arial"/>
          <w:szCs w:val="21"/>
        </w:rPr>
      </w:pPr>
      <w:r w:rsidRPr="00D53B04">
        <w:rPr>
          <w:rFonts w:eastAsia="Calibri" w:cs="Arial"/>
          <w:szCs w:val="21"/>
        </w:rPr>
        <w:t>Régularité et effectivité du suivi de proximité ;</w:t>
      </w:r>
    </w:p>
    <w:p w14:paraId="584045A8" w14:textId="77777777" w:rsidR="001C2F95" w:rsidRPr="00D53B04" w:rsidRDefault="001C2F95" w:rsidP="002378EA">
      <w:pPr>
        <w:numPr>
          <w:ilvl w:val="0"/>
          <w:numId w:val="29"/>
        </w:numPr>
        <w:autoSpaceDE w:val="0"/>
        <w:autoSpaceDN w:val="0"/>
        <w:adjustRightInd w:val="0"/>
        <w:rPr>
          <w:rFonts w:cs="Arial"/>
          <w:szCs w:val="21"/>
        </w:rPr>
      </w:pPr>
      <w:r w:rsidRPr="00D53B04">
        <w:rPr>
          <w:rFonts w:cs="Arial"/>
          <w:szCs w:val="21"/>
        </w:rPr>
        <w:lastRenderedPageBreak/>
        <w:t>Nombre de sous-projets ayant fait l’objet d’une ÉIES avec PGES mis en œuvre ;</w:t>
      </w:r>
    </w:p>
    <w:p w14:paraId="34BD29DB" w14:textId="77777777" w:rsidR="001C2F95" w:rsidRPr="00D53B04" w:rsidRDefault="001C2F95" w:rsidP="002378EA">
      <w:pPr>
        <w:numPr>
          <w:ilvl w:val="0"/>
          <w:numId w:val="29"/>
        </w:numPr>
        <w:autoSpaceDE w:val="0"/>
        <w:autoSpaceDN w:val="0"/>
        <w:adjustRightInd w:val="0"/>
        <w:rPr>
          <w:rFonts w:cs="Arial"/>
          <w:szCs w:val="21"/>
        </w:rPr>
      </w:pPr>
      <w:r w:rsidRPr="00D53B04">
        <w:rPr>
          <w:rFonts w:cs="Arial"/>
          <w:szCs w:val="21"/>
        </w:rPr>
        <w:t>Nombre de séances de formation/sensibilisation organisées ;</w:t>
      </w:r>
    </w:p>
    <w:p w14:paraId="57FB78A5" w14:textId="77777777" w:rsidR="001C2F95" w:rsidRPr="00D53B04" w:rsidRDefault="001C2F95" w:rsidP="002378EA">
      <w:pPr>
        <w:numPr>
          <w:ilvl w:val="0"/>
          <w:numId w:val="29"/>
        </w:numPr>
        <w:rPr>
          <w:rFonts w:cs="Arial"/>
          <w:szCs w:val="21"/>
        </w:rPr>
      </w:pPr>
      <w:r w:rsidRPr="00D53B04">
        <w:rPr>
          <w:rFonts w:cs="Arial"/>
          <w:szCs w:val="21"/>
        </w:rPr>
        <w:t xml:space="preserve">Nombre de missions de suivi/évaluation environnemental ; </w:t>
      </w:r>
    </w:p>
    <w:p w14:paraId="655033B9" w14:textId="77777777" w:rsidR="001C2F95" w:rsidRPr="00D53B04" w:rsidRDefault="001C2F95" w:rsidP="002378EA">
      <w:pPr>
        <w:numPr>
          <w:ilvl w:val="0"/>
          <w:numId w:val="29"/>
        </w:numPr>
        <w:rPr>
          <w:rFonts w:cs="Arial"/>
          <w:szCs w:val="21"/>
        </w:rPr>
      </w:pPr>
      <w:r w:rsidRPr="00D53B04">
        <w:rPr>
          <w:rFonts w:cs="Arial"/>
          <w:szCs w:val="21"/>
        </w:rPr>
        <w:t>Nombre d’emplois créés localement (main-d’œuvre locale utilisée pour les travaux) ;</w:t>
      </w:r>
    </w:p>
    <w:p w14:paraId="50DD1B9E" w14:textId="77777777" w:rsidR="001C2F95" w:rsidRPr="00D53B04" w:rsidRDefault="001C2F95" w:rsidP="002378EA">
      <w:pPr>
        <w:numPr>
          <w:ilvl w:val="0"/>
          <w:numId w:val="29"/>
        </w:numPr>
        <w:rPr>
          <w:rFonts w:cs="Arial"/>
          <w:szCs w:val="21"/>
        </w:rPr>
      </w:pPr>
      <w:r w:rsidRPr="00D53B04">
        <w:rPr>
          <w:rFonts w:cs="Arial"/>
          <w:szCs w:val="21"/>
        </w:rPr>
        <w:t>Nombre de populations autochtones et campements localisés dans la zone du Projet ;</w:t>
      </w:r>
    </w:p>
    <w:p w14:paraId="4D796D51" w14:textId="77777777" w:rsidR="001C2F95" w:rsidRPr="00D53B04" w:rsidRDefault="001C2F95" w:rsidP="002378EA">
      <w:pPr>
        <w:numPr>
          <w:ilvl w:val="0"/>
          <w:numId w:val="29"/>
        </w:numPr>
        <w:autoSpaceDE w:val="0"/>
        <w:autoSpaceDN w:val="0"/>
        <w:adjustRightInd w:val="0"/>
        <w:jc w:val="left"/>
        <w:rPr>
          <w:rFonts w:cs="Arial"/>
          <w:szCs w:val="21"/>
        </w:rPr>
      </w:pPr>
      <w:r w:rsidRPr="00D53B04">
        <w:rPr>
          <w:rFonts w:cs="Arial"/>
          <w:szCs w:val="21"/>
        </w:rPr>
        <w:t>Nombre de personnes affectées et compensées par le Projet ;</w:t>
      </w:r>
    </w:p>
    <w:p w14:paraId="46638C00" w14:textId="77777777" w:rsidR="001C2F95" w:rsidRPr="00D53B04" w:rsidRDefault="001C2F95" w:rsidP="002378EA">
      <w:pPr>
        <w:numPr>
          <w:ilvl w:val="0"/>
          <w:numId w:val="29"/>
        </w:numPr>
        <w:autoSpaceDE w:val="0"/>
        <w:autoSpaceDN w:val="0"/>
        <w:adjustRightInd w:val="0"/>
        <w:spacing w:line="240" w:lineRule="auto"/>
        <w:jc w:val="left"/>
        <w:rPr>
          <w:rFonts w:cs="Arial"/>
          <w:szCs w:val="21"/>
        </w:rPr>
      </w:pPr>
      <w:r w:rsidRPr="00D53B04">
        <w:rPr>
          <w:rFonts w:cs="Arial"/>
          <w:szCs w:val="21"/>
        </w:rPr>
        <w:t>Nombre de séances de formation de travailleurs en VBG ventilées par sexe ;</w:t>
      </w:r>
    </w:p>
    <w:p w14:paraId="73FEB217" w14:textId="77777777" w:rsidR="001C2F95" w:rsidRPr="00D53B04" w:rsidRDefault="001C2F95" w:rsidP="002378EA">
      <w:pPr>
        <w:numPr>
          <w:ilvl w:val="0"/>
          <w:numId w:val="29"/>
        </w:numPr>
        <w:autoSpaceDE w:val="0"/>
        <w:autoSpaceDN w:val="0"/>
        <w:adjustRightInd w:val="0"/>
        <w:spacing w:line="240" w:lineRule="auto"/>
        <w:jc w:val="left"/>
        <w:rPr>
          <w:rFonts w:cs="Arial"/>
          <w:szCs w:val="21"/>
        </w:rPr>
      </w:pPr>
      <w:r w:rsidRPr="00D53B04">
        <w:rPr>
          <w:rFonts w:cs="Arial"/>
          <w:szCs w:val="21"/>
        </w:rPr>
        <w:t>Nombre de séances de recyclage des travailleurs en VBG ;</w:t>
      </w:r>
    </w:p>
    <w:p w14:paraId="0D03113F" w14:textId="77777777" w:rsidR="001C2F95" w:rsidRPr="00D53B04" w:rsidRDefault="001C2F95" w:rsidP="002378EA">
      <w:pPr>
        <w:numPr>
          <w:ilvl w:val="0"/>
          <w:numId w:val="29"/>
        </w:numPr>
        <w:autoSpaceDE w:val="0"/>
        <w:autoSpaceDN w:val="0"/>
        <w:adjustRightInd w:val="0"/>
        <w:spacing w:line="240" w:lineRule="auto"/>
        <w:jc w:val="left"/>
        <w:rPr>
          <w:rFonts w:cs="Arial"/>
          <w:szCs w:val="21"/>
        </w:rPr>
      </w:pPr>
      <w:r w:rsidRPr="00D53B04">
        <w:rPr>
          <w:rFonts w:cs="Arial"/>
          <w:szCs w:val="21"/>
        </w:rPr>
        <w:t>Résultats du pré-test et post</w:t>
      </w:r>
      <w:r w:rsidR="00E7620D" w:rsidRPr="00D53B04">
        <w:rPr>
          <w:rFonts w:cs="Arial"/>
          <w:szCs w:val="21"/>
        </w:rPr>
        <w:t xml:space="preserve"> </w:t>
      </w:r>
      <w:r w:rsidRPr="00D53B04">
        <w:rPr>
          <w:rFonts w:cs="Arial"/>
          <w:szCs w:val="21"/>
        </w:rPr>
        <w:t>test des participant(e)s aux formations en VBG ;</w:t>
      </w:r>
    </w:p>
    <w:p w14:paraId="49B95F26" w14:textId="77777777" w:rsidR="001C2F95" w:rsidRPr="00D53B04" w:rsidRDefault="001C2F95" w:rsidP="002378EA">
      <w:pPr>
        <w:numPr>
          <w:ilvl w:val="0"/>
          <w:numId w:val="29"/>
        </w:numPr>
        <w:autoSpaceDE w:val="0"/>
        <w:autoSpaceDN w:val="0"/>
        <w:adjustRightInd w:val="0"/>
        <w:spacing w:line="240" w:lineRule="auto"/>
        <w:jc w:val="left"/>
        <w:rPr>
          <w:rFonts w:cs="Arial"/>
          <w:szCs w:val="21"/>
        </w:rPr>
      </w:pPr>
      <w:r w:rsidRPr="00D53B04">
        <w:rPr>
          <w:rFonts w:cs="Arial"/>
          <w:szCs w:val="21"/>
        </w:rPr>
        <w:t>% des cas d’EAS/HS référés aux services de prise en charge ;</w:t>
      </w:r>
    </w:p>
    <w:p w14:paraId="678416A9" w14:textId="77777777" w:rsidR="001C2F95" w:rsidRPr="00D53B04" w:rsidRDefault="001C2F95" w:rsidP="002378EA">
      <w:pPr>
        <w:numPr>
          <w:ilvl w:val="0"/>
          <w:numId w:val="29"/>
        </w:numPr>
        <w:autoSpaceDE w:val="0"/>
        <w:autoSpaceDN w:val="0"/>
        <w:adjustRightInd w:val="0"/>
        <w:spacing w:line="240" w:lineRule="auto"/>
        <w:jc w:val="left"/>
        <w:rPr>
          <w:rFonts w:cs="Arial"/>
          <w:szCs w:val="21"/>
        </w:rPr>
      </w:pPr>
      <w:r w:rsidRPr="00D53B04">
        <w:rPr>
          <w:rFonts w:cs="Arial"/>
          <w:szCs w:val="21"/>
        </w:rPr>
        <w:t>% des cas d’EAS/HS résolus dans le délai prévu dans le MGP ;</w:t>
      </w:r>
    </w:p>
    <w:p w14:paraId="516633C6" w14:textId="77777777" w:rsidR="001C2F95" w:rsidRPr="00D53B04" w:rsidRDefault="001C2F95" w:rsidP="002378EA">
      <w:pPr>
        <w:numPr>
          <w:ilvl w:val="0"/>
          <w:numId w:val="29"/>
        </w:numPr>
        <w:autoSpaceDE w:val="0"/>
        <w:autoSpaceDN w:val="0"/>
        <w:adjustRightInd w:val="0"/>
        <w:spacing w:line="240" w:lineRule="auto"/>
        <w:jc w:val="left"/>
        <w:rPr>
          <w:rFonts w:cs="Arial"/>
          <w:szCs w:val="21"/>
        </w:rPr>
      </w:pPr>
      <w:r w:rsidRPr="00D53B04">
        <w:rPr>
          <w:rFonts w:cs="Arial"/>
          <w:szCs w:val="21"/>
        </w:rPr>
        <w:t>% des cas d’EAS/HS non-résolus dans le délai prévu dans le MGP ;</w:t>
      </w:r>
    </w:p>
    <w:p w14:paraId="58DD1FB9" w14:textId="77777777" w:rsidR="001C2F95" w:rsidRPr="00D53B04" w:rsidRDefault="001C2F95" w:rsidP="002378EA">
      <w:pPr>
        <w:numPr>
          <w:ilvl w:val="0"/>
          <w:numId w:val="29"/>
        </w:numPr>
        <w:autoSpaceDE w:val="0"/>
        <w:autoSpaceDN w:val="0"/>
        <w:adjustRightInd w:val="0"/>
        <w:spacing w:line="240" w:lineRule="auto"/>
        <w:jc w:val="left"/>
        <w:rPr>
          <w:rFonts w:cs="Arial"/>
          <w:szCs w:val="21"/>
        </w:rPr>
      </w:pPr>
      <w:r w:rsidRPr="00D53B04">
        <w:rPr>
          <w:rFonts w:cs="Arial"/>
          <w:szCs w:val="21"/>
        </w:rPr>
        <w:t>Délai moyen dans le MGP pour la résolution des cas d’EAS/HS</w:t>
      </w:r>
    </w:p>
    <w:p w14:paraId="3616F285" w14:textId="77777777" w:rsidR="001C2F95" w:rsidRPr="00D53B04" w:rsidRDefault="001C2F95" w:rsidP="002378EA">
      <w:pPr>
        <w:numPr>
          <w:ilvl w:val="0"/>
          <w:numId w:val="29"/>
        </w:numPr>
        <w:autoSpaceDE w:val="0"/>
        <w:autoSpaceDN w:val="0"/>
        <w:adjustRightInd w:val="0"/>
        <w:spacing w:line="240" w:lineRule="auto"/>
        <w:jc w:val="left"/>
        <w:rPr>
          <w:rFonts w:cs="Arial"/>
          <w:szCs w:val="21"/>
        </w:rPr>
      </w:pPr>
      <w:r w:rsidRPr="00D53B04">
        <w:rPr>
          <w:rFonts w:cs="Arial"/>
          <w:szCs w:val="21"/>
        </w:rPr>
        <w:t>Nombre de séances de sensibilisation sur l’EAS/HS et l’accès au MGP ;</w:t>
      </w:r>
    </w:p>
    <w:p w14:paraId="2962AAE4" w14:textId="77777777" w:rsidR="001C2F95" w:rsidRPr="00D53B04" w:rsidRDefault="001C2F95" w:rsidP="002378EA">
      <w:pPr>
        <w:numPr>
          <w:ilvl w:val="0"/>
          <w:numId w:val="29"/>
        </w:numPr>
        <w:autoSpaceDE w:val="0"/>
        <w:autoSpaceDN w:val="0"/>
        <w:adjustRightInd w:val="0"/>
        <w:spacing w:line="240" w:lineRule="auto"/>
        <w:jc w:val="left"/>
        <w:rPr>
          <w:rFonts w:cs="Arial"/>
          <w:szCs w:val="21"/>
        </w:rPr>
      </w:pPr>
      <w:r w:rsidRPr="00D53B04">
        <w:rPr>
          <w:rFonts w:cs="Arial"/>
          <w:szCs w:val="21"/>
        </w:rPr>
        <w:t>Nombre de populations ciblées ventilées par sexe et par âge.</w:t>
      </w:r>
    </w:p>
    <w:p w14:paraId="4942A6BF" w14:textId="77777777" w:rsidR="001C2F95" w:rsidRPr="00D53B04" w:rsidRDefault="001C2F95" w:rsidP="001C2F95">
      <w:pPr>
        <w:autoSpaceDE w:val="0"/>
        <w:autoSpaceDN w:val="0"/>
        <w:adjustRightInd w:val="0"/>
        <w:spacing w:line="240" w:lineRule="auto"/>
        <w:ind w:left="720"/>
        <w:rPr>
          <w:rFonts w:cs="Arial"/>
          <w:b/>
          <w:color w:val="000000"/>
          <w:szCs w:val="21"/>
        </w:rPr>
      </w:pPr>
    </w:p>
    <w:p w14:paraId="1D03D6E3" w14:textId="77777777" w:rsidR="001C2F95" w:rsidRPr="00D53B04" w:rsidRDefault="001C2F95" w:rsidP="001C2F95">
      <w:pPr>
        <w:tabs>
          <w:tab w:val="left" w:pos="426"/>
        </w:tabs>
        <w:contextualSpacing/>
        <w:rPr>
          <w:rFonts w:cs="Arial"/>
          <w:szCs w:val="21"/>
          <w:u w:val="single"/>
        </w:rPr>
      </w:pPr>
      <w:r w:rsidRPr="00D53B04">
        <w:rPr>
          <w:rFonts w:cs="Arial"/>
          <w:szCs w:val="21"/>
          <w:u w:val="single"/>
        </w:rPr>
        <w:t>Arrangements institutionnels pour la mise en œuvre d</w:t>
      </w:r>
      <w:r w:rsidR="006B658C" w:rsidRPr="00D53B04">
        <w:rPr>
          <w:rFonts w:cs="Arial"/>
          <w:szCs w:val="21"/>
          <w:u w:val="single"/>
        </w:rPr>
        <w:t>es</w:t>
      </w:r>
      <w:r w:rsidRPr="00D53B04">
        <w:rPr>
          <w:rFonts w:cs="Arial"/>
          <w:szCs w:val="21"/>
          <w:u w:val="single"/>
        </w:rPr>
        <w:t xml:space="preserve"> </w:t>
      </w:r>
      <w:r w:rsidR="006B658C" w:rsidRPr="00D53B04">
        <w:rPr>
          <w:rFonts w:cs="Arial"/>
          <w:szCs w:val="21"/>
        </w:rPr>
        <w:t>Procédures de Gestion des Risques et Impacts Environnementaux et Sociaux (PGRIES)</w:t>
      </w:r>
      <w:r w:rsidRPr="00D53B04">
        <w:rPr>
          <w:rFonts w:cs="Arial"/>
          <w:szCs w:val="21"/>
          <w:u w:val="single"/>
        </w:rPr>
        <w:t> :</w:t>
      </w:r>
    </w:p>
    <w:p w14:paraId="375792B7" w14:textId="77777777" w:rsidR="001C2F95" w:rsidRPr="00D53B04" w:rsidRDefault="001C2F95" w:rsidP="001C2F95">
      <w:pPr>
        <w:rPr>
          <w:rFonts w:cs="Arial"/>
          <w:szCs w:val="21"/>
        </w:rPr>
      </w:pPr>
    </w:p>
    <w:p w14:paraId="35A43E90" w14:textId="77777777" w:rsidR="001C2F95" w:rsidRPr="00D53B04" w:rsidRDefault="001C2F95" w:rsidP="001C2F95">
      <w:pPr>
        <w:rPr>
          <w:rFonts w:cs="Arial"/>
          <w:szCs w:val="21"/>
        </w:rPr>
      </w:pPr>
      <w:r w:rsidRPr="00D53B04">
        <w:rPr>
          <w:rFonts w:cs="Arial"/>
          <w:szCs w:val="21"/>
        </w:rPr>
        <w:t>Les institutions suivantes seront impliquées dans la mise en œuvre du PNDA :</w:t>
      </w:r>
    </w:p>
    <w:p w14:paraId="7900EA1C" w14:textId="77777777" w:rsidR="001C2F95" w:rsidRPr="00D53B04" w:rsidRDefault="001C2F95" w:rsidP="002378EA">
      <w:pPr>
        <w:pStyle w:val="Paragraphedeliste"/>
        <w:keepNext/>
        <w:numPr>
          <w:ilvl w:val="1"/>
          <w:numId w:val="11"/>
        </w:numPr>
        <w:tabs>
          <w:tab w:val="left" w:pos="720"/>
        </w:tabs>
        <w:contextualSpacing w:val="0"/>
        <w:jc w:val="left"/>
        <w:outlineLvl w:val="2"/>
        <w:rPr>
          <w:rFonts w:cs="Arial"/>
          <w:vanish/>
          <w:szCs w:val="21"/>
          <w:u w:val="single"/>
        </w:rPr>
      </w:pPr>
      <w:bookmarkStart w:id="66" w:name="_Toc64026100"/>
      <w:bookmarkStart w:id="67" w:name="_Toc64386618"/>
      <w:bookmarkStart w:id="68" w:name="_Toc70326720"/>
      <w:bookmarkStart w:id="69" w:name="_Toc70326952"/>
      <w:bookmarkStart w:id="70" w:name="_Toc70330315"/>
      <w:bookmarkStart w:id="71" w:name="_Toc72336019"/>
      <w:bookmarkStart w:id="72" w:name="_Toc90393027"/>
      <w:bookmarkStart w:id="73" w:name="_Toc90471386"/>
      <w:bookmarkEnd w:id="66"/>
      <w:bookmarkEnd w:id="67"/>
      <w:bookmarkEnd w:id="68"/>
      <w:bookmarkEnd w:id="69"/>
      <w:bookmarkEnd w:id="70"/>
      <w:bookmarkEnd w:id="71"/>
      <w:bookmarkEnd w:id="72"/>
      <w:bookmarkEnd w:id="73"/>
    </w:p>
    <w:p w14:paraId="33221F2C" w14:textId="77777777" w:rsidR="001C2F95" w:rsidRPr="00D53B04" w:rsidRDefault="001C2F95" w:rsidP="002378EA">
      <w:pPr>
        <w:pStyle w:val="Paragraphedeliste"/>
        <w:keepNext/>
        <w:numPr>
          <w:ilvl w:val="1"/>
          <w:numId w:val="11"/>
        </w:numPr>
        <w:tabs>
          <w:tab w:val="left" w:pos="720"/>
        </w:tabs>
        <w:contextualSpacing w:val="0"/>
        <w:jc w:val="left"/>
        <w:outlineLvl w:val="2"/>
        <w:rPr>
          <w:rFonts w:cs="Arial"/>
          <w:vanish/>
          <w:szCs w:val="21"/>
          <w:u w:val="single"/>
        </w:rPr>
      </w:pPr>
      <w:bookmarkStart w:id="74" w:name="_Toc64026101"/>
      <w:bookmarkStart w:id="75" w:name="_Toc64386619"/>
      <w:bookmarkStart w:id="76" w:name="_Toc70326721"/>
      <w:bookmarkStart w:id="77" w:name="_Toc70326953"/>
      <w:bookmarkStart w:id="78" w:name="_Toc70330316"/>
      <w:bookmarkStart w:id="79" w:name="_Toc72336020"/>
      <w:bookmarkStart w:id="80" w:name="_Toc90393028"/>
      <w:bookmarkStart w:id="81" w:name="_Toc90471387"/>
      <w:bookmarkEnd w:id="74"/>
      <w:bookmarkEnd w:id="75"/>
      <w:bookmarkEnd w:id="76"/>
      <w:bookmarkEnd w:id="77"/>
      <w:bookmarkEnd w:id="78"/>
      <w:bookmarkEnd w:id="79"/>
      <w:bookmarkEnd w:id="80"/>
      <w:bookmarkEnd w:id="81"/>
    </w:p>
    <w:p w14:paraId="3F129D25" w14:textId="77777777" w:rsidR="001C2F95" w:rsidRPr="00D53B04" w:rsidRDefault="001C2F95" w:rsidP="001C2F95">
      <w:pPr>
        <w:autoSpaceDE w:val="0"/>
        <w:autoSpaceDN w:val="0"/>
        <w:adjustRightInd w:val="0"/>
        <w:rPr>
          <w:rFonts w:cs="Arial"/>
          <w:szCs w:val="21"/>
        </w:rPr>
      </w:pPr>
    </w:p>
    <w:p w14:paraId="48237D31" w14:textId="77777777" w:rsidR="001C2F95" w:rsidRPr="00D53B04" w:rsidRDefault="001C2F95" w:rsidP="002378EA">
      <w:pPr>
        <w:pStyle w:val="Paragraphedeliste"/>
        <w:numPr>
          <w:ilvl w:val="0"/>
          <w:numId w:val="29"/>
        </w:numPr>
        <w:spacing w:line="240" w:lineRule="auto"/>
        <w:jc w:val="left"/>
        <w:rPr>
          <w:rFonts w:cs="Arial"/>
          <w:i/>
          <w:color w:val="000000"/>
          <w:szCs w:val="21"/>
        </w:rPr>
      </w:pPr>
      <w:r w:rsidRPr="00D53B04">
        <w:rPr>
          <w:rFonts w:cs="Arial"/>
          <w:i/>
          <w:color w:val="000000"/>
          <w:szCs w:val="21"/>
        </w:rPr>
        <w:t>Comité Technique Préparatoire et de Suivi du PNDA </w:t>
      </w:r>
    </w:p>
    <w:p w14:paraId="1AA7B9E9" w14:textId="77777777" w:rsidR="001C2F95" w:rsidRPr="00D53B04" w:rsidRDefault="001C2F95" w:rsidP="002378EA">
      <w:pPr>
        <w:pStyle w:val="Paragraphedeliste"/>
        <w:numPr>
          <w:ilvl w:val="0"/>
          <w:numId w:val="29"/>
        </w:numPr>
        <w:spacing w:line="240" w:lineRule="auto"/>
        <w:jc w:val="left"/>
        <w:rPr>
          <w:rFonts w:cs="Arial"/>
          <w:i/>
          <w:color w:val="000000"/>
          <w:szCs w:val="21"/>
        </w:rPr>
      </w:pPr>
      <w:r w:rsidRPr="00D53B04">
        <w:rPr>
          <w:rFonts w:cs="Arial"/>
          <w:i/>
          <w:color w:val="000000"/>
          <w:szCs w:val="21"/>
        </w:rPr>
        <w:t>UNCP/PARRSA, UGP et la Cellule de Gestion des Projets et des Marchés Publics (CGPMP)</w:t>
      </w:r>
    </w:p>
    <w:p w14:paraId="00840E98" w14:textId="77777777" w:rsidR="001C2F95" w:rsidRPr="00D53B04" w:rsidRDefault="001C2F95" w:rsidP="002378EA">
      <w:pPr>
        <w:pStyle w:val="Paragraphedeliste"/>
        <w:numPr>
          <w:ilvl w:val="0"/>
          <w:numId w:val="29"/>
        </w:numPr>
        <w:spacing w:line="240" w:lineRule="auto"/>
        <w:rPr>
          <w:rFonts w:cs="Arial"/>
          <w:i/>
          <w:color w:val="000000"/>
          <w:szCs w:val="21"/>
        </w:rPr>
      </w:pPr>
      <w:r w:rsidRPr="00D53B04">
        <w:rPr>
          <w:rFonts w:cs="Arial"/>
          <w:i/>
          <w:color w:val="000000"/>
          <w:szCs w:val="21"/>
        </w:rPr>
        <w:t>Agence Congolaise de l’Environnement (ACE) </w:t>
      </w:r>
    </w:p>
    <w:p w14:paraId="125DEE8A" w14:textId="77777777" w:rsidR="001C2F95" w:rsidRPr="00D53B04" w:rsidRDefault="001C2F95" w:rsidP="002378EA">
      <w:pPr>
        <w:pStyle w:val="Paragraphedeliste"/>
        <w:numPr>
          <w:ilvl w:val="0"/>
          <w:numId w:val="29"/>
        </w:numPr>
        <w:spacing w:line="240" w:lineRule="auto"/>
        <w:rPr>
          <w:rFonts w:cs="Arial"/>
          <w:i/>
          <w:color w:val="000000"/>
          <w:szCs w:val="21"/>
        </w:rPr>
      </w:pPr>
      <w:r w:rsidRPr="00D53B04">
        <w:rPr>
          <w:rFonts w:cs="Arial"/>
          <w:i/>
          <w:color w:val="000000"/>
          <w:szCs w:val="21"/>
        </w:rPr>
        <w:t xml:space="preserve">Coordinations Provinciales pour l’Environnement (CPE) </w:t>
      </w:r>
    </w:p>
    <w:p w14:paraId="3894CD45" w14:textId="77777777" w:rsidR="001C2F95" w:rsidRPr="00D53B04" w:rsidRDefault="001C2F95" w:rsidP="001C2F95">
      <w:pPr>
        <w:rPr>
          <w:rFonts w:cs="Arial"/>
          <w:i/>
          <w:color w:val="000000"/>
          <w:szCs w:val="21"/>
        </w:rPr>
      </w:pPr>
    </w:p>
    <w:p w14:paraId="3F939F31" w14:textId="64A35621" w:rsidR="001C2F95" w:rsidRPr="00D53B04" w:rsidRDefault="001C2F95" w:rsidP="001C2F95">
      <w:pPr>
        <w:rPr>
          <w:rFonts w:cs="Arial"/>
          <w:i/>
          <w:color w:val="000000"/>
          <w:szCs w:val="21"/>
        </w:rPr>
      </w:pPr>
      <w:r w:rsidRPr="00D53B04">
        <w:rPr>
          <w:rFonts w:cs="Arial"/>
          <w:color w:val="000000"/>
          <w:szCs w:val="21"/>
        </w:rPr>
        <w:t>Elles vont appuyer les provinces qui n’ont pas encore implanté l’ACE.</w:t>
      </w:r>
    </w:p>
    <w:p w14:paraId="1D4EED73" w14:textId="77777777" w:rsidR="001C2F95" w:rsidRPr="00D53B04" w:rsidRDefault="001C2F95" w:rsidP="001C2F95">
      <w:pPr>
        <w:ind w:left="360"/>
        <w:rPr>
          <w:rFonts w:cs="Arial"/>
          <w:i/>
          <w:color w:val="000000"/>
          <w:szCs w:val="21"/>
        </w:rPr>
      </w:pPr>
    </w:p>
    <w:p w14:paraId="60108264" w14:textId="127E2DEC" w:rsidR="001C2F95" w:rsidRPr="00D53B04" w:rsidRDefault="00A0402C" w:rsidP="00A0402C">
      <w:pPr>
        <w:rPr>
          <w:rFonts w:eastAsia="MS Mincho" w:cs="Arial"/>
          <w:szCs w:val="21"/>
        </w:rPr>
      </w:pPr>
      <w:r>
        <w:rPr>
          <w:rFonts w:cs="Arial"/>
          <w:color w:val="000000"/>
          <w:szCs w:val="21"/>
        </w:rPr>
        <w:t>Il sied de noter qu’il y a d’</w:t>
      </w:r>
      <w:r w:rsidR="001C2F95" w:rsidRPr="00D53B04">
        <w:rPr>
          <w:rFonts w:cs="Arial"/>
          <w:color w:val="000000"/>
          <w:szCs w:val="21"/>
        </w:rPr>
        <w:t>autres institutions impliquées dans la mise en œuvre du PNDA</w:t>
      </w:r>
      <w:r>
        <w:rPr>
          <w:rFonts w:cs="Arial"/>
          <w:color w:val="000000"/>
          <w:szCs w:val="21"/>
        </w:rPr>
        <w:t xml:space="preserve">. </w:t>
      </w:r>
    </w:p>
    <w:p w14:paraId="74673002" w14:textId="77777777" w:rsidR="001C2F95" w:rsidRPr="00D53B04" w:rsidRDefault="001C2F95" w:rsidP="001C2F95">
      <w:pPr>
        <w:tabs>
          <w:tab w:val="left" w:pos="426"/>
        </w:tabs>
        <w:contextualSpacing/>
        <w:rPr>
          <w:rFonts w:cs="Arial"/>
          <w:i/>
          <w:szCs w:val="21"/>
        </w:rPr>
      </w:pPr>
    </w:p>
    <w:p w14:paraId="35A9BC55" w14:textId="77777777" w:rsidR="001C2F95" w:rsidRPr="00D53B04" w:rsidRDefault="001C2F95" w:rsidP="001C2F95">
      <w:pPr>
        <w:tabs>
          <w:tab w:val="left" w:pos="426"/>
        </w:tabs>
        <w:contextualSpacing/>
        <w:rPr>
          <w:rFonts w:cs="Arial"/>
          <w:i/>
          <w:szCs w:val="21"/>
        </w:rPr>
      </w:pPr>
      <w:r w:rsidRPr="00D53B04">
        <w:rPr>
          <w:rFonts w:cs="Arial"/>
          <w:i/>
          <w:szCs w:val="21"/>
        </w:rPr>
        <w:t>Rôles et responsabilités pour la mise en œuvre des mesures de gestion environnementales et sociales</w:t>
      </w:r>
    </w:p>
    <w:p w14:paraId="4BAAC93E" w14:textId="77777777" w:rsidR="001C2F95" w:rsidRPr="00D53B04" w:rsidRDefault="001C2F95" w:rsidP="001C2F95">
      <w:pPr>
        <w:pStyle w:val="Paragraphedeliste"/>
        <w:rPr>
          <w:rFonts w:cs="Arial"/>
          <w:szCs w:val="21"/>
        </w:rPr>
      </w:pPr>
    </w:p>
    <w:p w14:paraId="71F72A7C" w14:textId="629AC1F4" w:rsidR="001C2F95" w:rsidRPr="00D53B04" w:rsidRDefault="001C2F95" w:rsidP="002378EA">
      <w:pPr>
        <w:pStyle w:val="Paragraphedeliste"/>
        <w:numPr>
          <w:ilvl w:val="0"/>
          <w:numId w:val="26"/>
        </w:numPr>
        <w:rPr>
          <w:rFonts w:cs="Arial"/>
          <w:szCs w:val="21"/>
        </w:rPr>
      </w:pPr>
      <w:r w:rsidRPr="00D53B04">
        <w:rPr>
          <w:rFonts w:cs="Arial"/>
          <w:i/>
          <w:szCs w:val="21"/>
        </w:rPr>
        <w:t>Le Comité Technique Préparatoire et de Suivi</w:t>
      </w:r>
      <w:r w:rsidRPr="00D53B04">
        <w:rPr>
          <w:rFonts w:cs="Arial"/>
          <w:szCs w:val="21"/>
        </w:rPr>
        <w:t xml:space="preserve"> est responsable de la procédure d’approbation de la catégorisation pendant la phase de préparation du Projet</w:t>
      </w:r>
      <w:r w:rsidR="00A0402C">
        <w:rPr>
          <w:rFonts w:cs="Arial"/>
          <w:szCs w:val="21"/>
        </w:rPr>
        <w:t> ;</w:t>
      </w:r>
    </w:p>
    <w:p w14:paraId="4D744554" w14:textId="66C36191" w:rsidR="001C2F95" w:rsidRPr="00A0402C" w:rsidRDefault="001C2F95" w:rsidP="00E4470C">
      <w:pPr>
        <w:numPr>
          <w:ilvl w:val="0"/>
          <w:numId w:val="26"/>
        </w:numPr>
        <w:rPr>
          <w:rFonts w:cs="Arial"/>
          <w:color w:val="000000"/>
          <w:szCs w:val="21"/>
        </w:rPr>
      </w:pPr>
      <w:r w:rsidRPr="00A0402C">
        <w:rPr>
          <w:rFonts w:cs="Arial"/>
          <w:i/>
          <w:color w:val="000000"/>
          <w:szCs w:val="21"/>
        </w:rPr>
        <w:t xml:space="preserve">Le Spécialiste Sauvegarde Environnementale </w:t>
      </w:r>
      <w:r w:rsidRPr="00A0402C">
        <w:rPr>
          <w:rFonts w:cs="Arial"/>
          <w:color w:val="000000"/>
          <w:szCs w:val="21"/>
        </w:rPr>
        <w:t xml:space="preserve">et </w:t>
      </w:r>
      <w:r w:rsidRPr="00A0402C">
        <w:rPr>
          <w:rFonts w:cs="Arial"/>
          <w:i/>
          <w:color w:val="000000"/>
          <w:szCs w:val="21"/>
        </w:rPr>
        <w:t xml:space="preserve">le Spécialiste en Développement Social </w:t>
      </w:r>
      <w:r w:rsidRPr="00A0402C">
        <w:rPr>
          <w:rFonts w:cs="Arial"/>
          <w:color w:val="000000"/>
          <w:szCs w:val="21"/>
        </w:rPr>
        <w:t>ainsi que</w:t>
      </w:r>
      <w:r w:rsidRPr="00A0402C">
        <w:rPr>
          <w:rFonts w:cs="Arial"/>
          <w:i/>
          <w:color w:val="000000"/>
          <w:szCs w:val="21"/>
        </w:rPr>
        <w:t xml:space="preserve"> le Spécialiste en VBG en phase de préparation</w:t>
      </w:r>
      <w:r w:rsidR="00A0402C">
        <w:rPr>
          <w:rFonts w:cs="Arial"/>
          <w:i/>
          <w:color w:val="000000"/>
          <w:szCs w:val="21"/>
        </w:rPr>
        <w:t> ;</w:t>
      </w:r>
    </w:p>
    <w:p w14:paraId="0094870E" w14:textId="7082F4F4" w:rsidR="001C2F95" w:rsidRPr="00D53B04" w:rsidRDefault="001C2F95" w:rsidP="002378EA">
      <w:pPr>
        <w:numPr>
          <w:ilvl w:val="0"/>
          <w:numId w:val="26"/>
        </w:numPr>
        <w:rPr>
          <w:rFonts w:cs="Arial"/>
          <w:color w:val="000000"/>
          <w:szCs w:val="21"/>
        </w:rPr>
      </w:pPr>
      <w:r w:rsidRPr="00D53B04">
        <w:rPr>
          <w:rFonts w:cs="Arial"/>
          <w:i/>
          <w:color w:val="000000"/>
          <w:szCs w:val="21"/>
        </w:rPr>
        <w:t>Le Responsable Technique de l’Activité Éligible au PNDA</w:t>
      </w:r>
      <w:r w:rsidRPr="00D53B04">
        <w:rPr>
          <w:rFonts w:cs="Arial"/>
          <w:color w:val="000000"/>
          <w:szCs w:val="21"/>
        </w:rPr>
        <w:t> (</w:t>
      </w:r>
      <w:r w:rsidRPr="00D53B04">
        <w:rPr>
          <w:rFonts w:cs="Arial"/>
          <w:i/>
          <w:color w:val="000000"/>
          <w:szCs w:val="21"/>
        </w:rPr>
        <w:t>Chargé de Projet</w:t>
      </w:r>
      <w:r w:rsidRPr="00D53B04">
        <w:rPr>
          <w:rFonts w:cs="Arial"/>
          <w:color w:val="000000"/>
          <w:szCs w:val="21"/>
        </w:rPr>
        <w:t>) ;</w:t>
      </w:r>
    </w:p>
    <w:p w14:paraId="74BABC03" w14:textId="6AFC2974" w:rsidR="001C2F95" w:rsidRPr="00D53B04" w:rsidRDefault="001C2F95" w:rsidP="002378EA">
      <w:pPr>
        <w:numPr>
          <w:ilvl w:val="0"/>
          <w:numId w:val="26"/>
        </w:numPr>
        <w:rPr>
          <w:rFonts w:cs="Arial"/>
          <w:color w:val="000000"/>
          <w:szCs w:val="21"/>
        </w:rPr>
      </w:pPr>
      <w:r w:rsidRPr="00D53B04">
        <w:rPr>
          <w:rFonts w:cs="Arial"/>
          <w:i/>
          <w:color w:val="000000"/>
          <w:szCs w:val="21"/>
        </w:rPr>
        <w:t xml:space="preserve">Le Spécialiste en passation des marchés </w:t>
      </w:r>
      <w:r w:rsidRPr="00D53B04">
        <w:rPr>
          <w:rFonts w:cs="Arial"/>
          <w:i/>
          <w:szCs w:val="21"/>
        </w:rPr>
        <w:t>du PNDA (en phase de préparation et de mise en œuvre, en concertation avec les spécialistes environnemental et social)</w:t>
      </w:r>
      <w:r w:rsidRPr="00D53B04">
        <w:rPr>
          <w:rFonts w:cs="Arial"/>
          <w:color w:val="000000"/>
          <w:szCs w:val="21"/>
        </w:rPr>
        <w:t> ;</w:t>
      </w:r>
    </w:p>
    <w:p w14:paraId="33F54353" w14:textId="1D64AEC3" w:rsidR="001C2F95" w:rsidRPr="00D53B04" w:rsidRDefault="001C2F95" w:rsidP="002378EA">
      <w:pPr>
        <w:pStyle w:val="Paragraphedeliste"/>
        <w:numPr>
          <w:ilvl w:val="0"/>
          <w:numId w:val="26"/>
        </w:numPr>
        <w:rPr>
          <w:rFonts w:cs="Arial"/>
          <w:szCs w:val="21"/>
        </w:rPr>
      </w:pPr>
      <w:r w:rsidRPr="00D53B04">
        <w:rPr>
          <w:rFonts w:cs="Arial"/>
          <w:i/>
          <w:szCs w:val="21"/>
        </w:rPr>
        <w:t>Le Responsable des finances </w:t>
      </w:r>
      <w:r w:rsidRPr="00D53B04">
        <w:rPr>
          <w:rFonts w:cs="Arial"/>
          <w:i/>
          <w:color w:val="000000"/>
          <w:szCs w:val="21"/>
        </w:rPr>
        <w:t>d</w:t>
      </w:r>
      <w:r w:rsidRPr="00D53B04">
        <w:rPr>
          <w:rFonts w:cs="Arial"/>
          <w:i/>
          <w:szCs w:val="21"/>
        </w:rPr>
        <w:t>u PNDA en phase de pr</w:t>
      </w:r>
      <w:r w:rsidR="00A0402C">
        <w:rPr>
          <w:rFonts w:cs="Arial"/>
          <w:i/>
          <w:szCs w:val="21"/>
        </w:rPr>
        <w:t xml:space="preserve">éparation et de mise en œuvre) </w:t>
      </w:r>
      <w:r w:rsidRPr="00D53B04">
        <w:rPr>
          <w:rFonts w:cs="Arial"/>
          <w:szCs w:val="21"/>
        </w:rPr>
        <w:t>;</w:t>
      </w:r>
    </w:p>
    <w:p w14:paraId="0CBFFECA" w14:textId="3A91350C" w:rsidR="001C2F95" w:rsidRPr="00D53B04" w:rsidRDefault="001C2F95" w:rsidP="002378EA">
      <w:pPr>
        <w:pStyle w:val="Paragraphedeliste"/>
        <w:numPr>
          <w:ilvl w:val="0"/>
          <w:numId w:val="26"/>
        </w:numPr>
        <w:rPr>
          <w:rFonts w:cs="Arial"/>
          <w:szCs w:val="21"/>
        </w:rPr>
      </w:pPr>
      <w:r w:rsidRPr="00D53B04">
        <w:rPr>
          <w:rFonts w:cs="Arial"/>
          <w:i/>
          <w:szCs w:val="21"/>
        </w:rPr>
        <w:t>Le Spécialiste en suivi-évaluation du PNDA (en phase de préparation et de mise en œuvre)</w:t>
      </w:r>
      <w:r w:rsidRPr="00D53B04">
        <w:rPr>
          <w:rFonts w:cs="Arial"/>
          <w:szCs w:val="21"/>
        </w:rPr>
        <w:t>;</w:t>
      </w:r>
    </w:p>
    <w:p w14:paraId="1D8AF359" w14:textId="77777777" w:rsidR="001C2F95" w:rsidRPr="00D53B04" w:rsidRDefault="001C2F95" w:rsidP="002378EA">
      <w:pPr>
        <w:numPr>
          <w:ilvl w:val="0"/>
          <w:numId w:val="26"/>
        </w:numPr>
        <w:rPr>
          <w:rFonts w:cs="Arial"/>
          <w:i/>
          <w:szCs w:val="21"/>
        </w:rPr>
      </w:pPr>
      <w:r w:rsidRPr="00D53B04">
        <w:rPr>
          <w:rFonts w:cs="Arial"/>
          <w:i/>
          <w:szCs w:val="21"/>
        </w:rPr>
        <w:t>Les Ministères Provinciaux en charge de l’Environnement et Genre</w:t>
      </w:r>
    </w:p>
    <w:p w14:paraId="13FB0243" w14:textId="77777777" w:rsidR="001C2F95" w:rsidRPr="00D53B04" w:rsidRDefault="001C2F95" w:rsidP="002378EA">
      <w:pPr>
        <w:numPr>
          <w:ilvl w:val="0"/>
          <w:numId w:val="26"/>
        </w:numPr>
        <w:rPr>
          <w:rFonts w:cs="Arial"/>
          <w:i/>
          <w:szCs w:val="21"/>
        </w:rPr>
      </w:pPr>
      <w:r w:rsidRPr="00D53B04">
        <w:rPr>
          <w:rFonts w:cs="Arial"/>
          <w:i/>
          <w:szCs w:val="21"/>
        </w:rPr>
        <w:t xml:space="preserve">L’Agence Congolaises de l’Environnement </w:t>
      </w:r>
    </w:p>
    <w:p w14:paraId="50425F9F" w14:textId="77777777" w:rsidR="002520BC" w:rsidRPr="00D53B04" w:rsidRDefault="00005290" w:rsidP="002378EA">
      <w:pPr>
        <w:numPr>
          <w:ilvl w:val="0"/>
          <w:numId w:val="26"/>
        </w:numPr>
        <w:rPr>
          <w:rFonts w:cs="Arial"/>
          <w:i/>
          <w:szCs w:val="21"/>
        </w:rPr>
      </w:pPr>
      <w:r w:rsidRPr="00D53B04">
        <w:rPr>
          <w:rFonts w:cs="Arial"/>
          <w:i/>
          <w:szCs w:val="21"/>
        </w:rPr>
        <w:t xml:space="preserve">Le </w:t>
      </w:r>
      <w:r w:rsidR="005A4369" w:rsidRPr="00D53B04">
        <w:rPr>
          <w:rFonts w:cs="Arial"/>
          <w:i/>
          <w:szCs w:val="21"/>
        </w:rPr>
        <w:t>M</w:t>
      </w:r>
      <w:r w:rsidR="002520BC" w:rsidRPr="00D53B04">
        <w:rPr>
          <w:rFonts w:cs="Arial"/>
          <w:i/>
          <w:szCs w:val="21"/>
        </w:rPr>
        <w:t xml:space="preserve">inistère de la </w:t>
      </w:r>
      <w:r w:rsidR="00BE528D" w:rsidRPr="00D53B04">
        <w:rPr>
          <w:rFonts w:cs="Arial"/>
          <w:i/>
          <w:szCs w:val="21"/>
        </w:rPr>
        <w:t>S</w:t>
      </w:r>
      <w:r w:rsidR="002520BC" w:rsidRPr="00D53B04">
        <w:rPr>
          <w:rFonts w:cs="Arial"/>
          <w:i/>
          <w:szCs w:val="21"/>
        </w:rPr>
        <w:t xml:space="preserve">anté </w:t>
      </w:r>
    </w:p>
    <w:p w14:paraId="363F2A68" w14:textId="77777777" w:rsidR="002520BC" w:rsidRPr="00D53B04" w:rsidRDefault="00005290" w:rsidP="002378EA">
      <w:pPr>
        <w:numPr>
          <w:ilvl w:val="0"/>
          <w:numId w:val="26"/>
        </w:numPr>
        <w:rPr>
          <w:rFonts w:cs="Arial"/>
          <w:i/>
          <w:szCs w:val="21"/>
        </w:rPr>
      </w:pPr>
      <w:r w:rsidRPr="00D53B04">
        <w:rPr>
          <w:rFonts w:cs="Arial"/>
          <w:i/>
          <w:szCs w:val="21"/>
        </w:rPr>
        <w:t>L’</w:t>
      </w:r>
      <w:r w:rsidR="002520BC" w:rsidRPr="00D53B04">
        <w:rPr>
          <w:rFonts w:cs="Arial"/>
          <w:i/>
          <w:szCs w:val="21"/>
        </w:rPr>
        <w:t>Institution Financière intermédiaire</w:t>
      </w:r>
    </w:p>
    <w:p w14:paraId="32A4976E" w14:textId="77777777" w:rsidR="001C2F95" w:rsidRPr="00D53B04" w:rsidRDefault="001C2F95" w:rsidP="002378EA">
      <w:pPr>
        <w:numPr>
          <w:ilvl w:val="0"/>
          <w:numId w:val="26"/>
        </w:numPr>
        <w:rPr>
          <w:rFonts w:cs="Arial"/>
          <w:i/>
          <w:szCs w:val="21"/>
        </w:rPr>
      </w:pPr>
      <w:r w:rsidRPr="00D53B04">
        <w:rPr>
          <w:rFonts w:cs="Arial"/>
          <w:i/>
          <w:szCs w:val="21"/>
        </w:rPr>
        <w:t xml:space="preserve">Les Coordinations Provinciales de l’Environnement du Kwilu, Kasaï, Kasaï Central </w:t>
      </w:r>
    </w:p>
    <w:p w14:paraId="514703E1" w14:textId="77777777" w:rsidR="001C2F95" w:rsidRPr="00D53B04" w:rsidRDefault="001C2F95" w:rsidP="002378EA">
      <w:pPr>
        <w:numPr>
          <w:ilvl w:val="0"/>
          <w:numId w:val="26"/>
        </w:numPr>
        <w:ind w:right="-154"/>
        <w:rPr>
          <w:rFonts w:cs="Arial"/>
          <w:szCs w:val="21"/>
        </w:rPr>
      </w:pPr>
      <w:r w:rsidRPr="00D53B04">
        <w:rPr>
          <w:rFonts w:cs="Arial"/>
          <w:i/>
          <w:szCs w:val="21"/>
        </w:rPr>
        <w:t>Les Entreprises contractantes</w:t>
      </w:r>
      <w:r w:rsidRPr="00D53B04">
        <w:rPr>
          <w:rFonts w:cs="Arial"/>
          <w:szCs w:val="21"/>
        </w:rPr>
        <w:t xml:space="preserve"> </w:t>
      </w:r>
    </w:p>
    <w:p w14:paraId="05C1BED4" w14:textId="77777777" w:rsidR="001C2F95" w:rsidRPr="00D53B04" w:rsidRDefault="001C2F95" w:rsidP="002378EA">
      <w:pPr>
        <w:numPr>
          <w:ilvl w:val="0"/>
          <w:numId w:val="26"/>
        </w:numPr>
        <w:ind w:right="-154"/>
        <w:rPr>
          <w:rFonts w:cs="Arial"/>
          <w:i/>
          <w:szCs w:val="21"/>
        </w:rPr>
      </w:pPr>
      <w:r w:rsidRPr="00D53B04">
        <w:rPr>
          <w:rFonts w:cs="Arial"/>
          <w:i/>
          <w:szCs w:val="21"/>
        </w:rPr>
        <w:t xml:space="preserve">Les Agences d’Exécution Locale </w:t>
      </w:r>
    </w:p>
    <w:p w14:paraId="343E7C10" w14:textId="77777777" w:rsidR="001C2F95" w:rsidRPr="00D53B04" w:rsidRDefault="001C2F95" w:rsidP="002378EA">
      <w:pPr>
        <w:numPr>
          <w:ilvl w:val="0"/>
          <w:numId w:val="26"/>
        </w:numPr>
        <w:ind w:right="-154"/>
        <w:rPr>
          <w:rFonts w:cs="Arial"/>
          <w:szCs w:val="21"/>
        </w:rPr>
      </w:pPr>
      <w:r w:rsidRPr="00D53B04">
        <w:rPr>
          <w:rFonts w:cs="Arial"/>
          <w:i/>
          <w:szCs w:val="21"/>
        </w:rPr>
        <w:lastRenderedPageBreak/>
        <w:t>Les Bureaux d’études et de contrôle</w:t>
      </w:r>
      <w:r w:rsidRPr="00D53B04">
        <w:rPr>
          <w:rFonts w:cs="Arial"/>
          <w:szCs w:val="21"/>
        </w:rPr>
        <w:t xml:space="preserve"> </w:t>
      </w:r>
    </w:p>
    <w:p w14:paraId="372A8D10" w14:textId="77777777" w:rsidR="001C2F95" w:rsidRPr="00D53B04" w:rsidRDefault="001C2F95" w:rsidP="002378EA">
      <w:pPr>
        <w:numPr>
          <w:ilvl w:val="0"/>
          <w:numId w:val="26"/>
        </w:numPr>
        <w:ind w:right="-154"/>
        <w:rPr>
          <w:rFonts w:cs="Arial"/>
          <w:i/>
          <w:szCs w:val="21"/>
        </w:rPr>
      </w:pPr>
      <w:r w:rsidRPr="00D53B04">
        <w:rPr>
          <w:rFonts w:cs="Arial"/>
          <w:i/>
          <w:szCs w:val="21"/>
        </w:rPr>
        <w:t>Les Groupements ou Associations de producteurs/ Coopératives de producteurs</w:t>
      </w:r>
    </w:p>
    <w:p w14:paraId="0B56A944" w14:textId="77777777" w:rsidR="009B775A" w:rsidRPr="00D53B04" w:rsidRDefault="009B775A" w:rsidP="009B775A">
      <w:pPr>
        <w:pStyle w:val="Paragraphedeliste"/>
        <w:rPr>
          <w:rFonts w:cs="Arial"/>
          <w:szCs w:val="21"/>
          <w:highlight w:val="yellow"/>
        </w:rPr>
      </w:pPr>
    </w:p>
    <w:p w14:paraId="16A83B9F" w14:textId="77777777" w:rsidR="009B775A" w:rsidRPr="00D53B04" w:rsidRDefault="009B775A" w:rsidP="009B775A">
      <w:pPr>
        <w:pStyle w:val="Paragraphedeliste"/>
        <w:rPr>
          <w:rFonts w:cs="Arial"/>
          <w:szCs w:val="21"/>
          <w:shd w:val="clear" w:color="auto" w:fill="FFFFFF"/>
        </w:rPr>
      </w:pPr>
      <w:r w:rsidRPr="00D53B04">
        <w:rPr>
          <w:rFonts w:cs="Arial"/>
          <w:szCs w:val="21"/>
          <w:shd w:val="clear" w:color="auto" w:fill="FFFFFF"/>
        </w:rPr>
        <w:t>Dans la Province du Nord-Kivu, l’on rencontre les coopératives telles que La Coopérative Centrale du Nord Kivu (COOCENKI), Coopérative des Concessionnaires du Nord-Kivu (CCNK), Coopérative des Cultivateurs de Kibirizi, (COOCUKI), Coopérative des Producteurs Agricoles pour le Développement de Rutshuru (COOPADERU), Coopérative des Producteurs Agricoles de Kinyandonyi-Rutshuru, (COOPAKIRU) Coopérative pour le Développement de l’Elevage et de l’Agriculture à Kiseguro (COODELA).</w:t>
      </w:r>
    </w:p>
    <w:p w14:paraId="4F03F2CA" w14:textId="77777777" w:rsidR="009B775A" w:rsidRPr="00D53B04" w:rsidRDefault="009B775A" w:rsidP="009B775A">
      <w:pPr>
        <w:ind w:left="720"/>
        <w:rPr>
          <w:rFonts w:cs="Arial"/>
          <w:szCs w:val="21"/>
        </w:rPr>
      </w:pPr>
    </w:p>
    <w:p w14:paraId="658619C7" w14:textId="311DF67F" w:rsidR="001C2F95" w:rsidRPr="00D53B04" w:rsidRDefault="001C2F95" w:rsidP="002378EA">
      <w:pPr>
        <w:numPr>
          <w:ilvl w:val="0"/>
          <w:numId w:val="26"/>
        </w:numPr>
        <w:rPr>
          <w:rFonts w:cs="Arial"/>
          <w:szCs w:val="21"/>
        </w:rPr>
      </w:pPr>
      <w:r w:rsidRPr="00D53B04">
        <w:rPr>
          <w:rFonts w:cs="Arial"/>
          <w:i/>
          <w:szCs w:val="21"/>
        </w:rPr>
        <w:t xml:space="preserve">Les ONG et la Société Civile : </w:t>
      </w:r>
      <w:r w:rsidRPr="00D53B04">
        <w:rPr>
          <w:rFonts w:cs="Arial"/>
          <w:szCs w:val="21"/>
        </w:rPr>
        <w:t>Les ONG locales de lutte contre les VBG, y compris l’EAS et le HS, et de lutte contre la COVID-19, les Associations Paysannes et autres organisations environnementales de la Société Civile pourront aussi participer à informer, éduquer et conscientiser la population sur les aspe</w:t>
      </w:r>
      <w:r w:rsidR="00A0402C">
        <w:rPr>
          <w:rFonts w:cs="Arial"/>
          <w:szCs w:val="21"/>
        </w:rPr>
        <w:t>cts environnementaux et sociaux</w:t>
      </w:r>
      <w:r w:rsidRPr="00D53B04">
        <w:rPr>
          <w:rFonts w:cs="Arial"/>
          <w:szCs w:val="21"/>
        </w:rPr>
        <w:t xml:space="preserve">. </w:t>
      </w:r>
    </w:p>
    <w:p w14:paraId="27DC2E87" w14:textId="77777777" w:rsidR="007D62C7" w:rsidRPr="00D53B04" w:rsidRDefault="007D62C7" w:rsidP="001C2F95">
      <w:pPr>
        <w:tabs>
          <w:tab w:val="left" w:pos="426"/>
        </w:tabs>
        <w:rPr>
          <w:rFonts w:cs="Arial"/>
          <w:szCs w:val="21"/>
        </w:rPr>
      </w:pPr>
    </w:p>
    <w:p w14:paraId="44F1B1C8" w14:textId="77777777" w:rsidR="001C2F95" w:rsidRPr="00D53B04" w:rsidRDefault="001C2F95" w:rsidP="002378EA">
      <w:pPr>
        <w:numPr>
          <w:ilvl w:val="0"/>
          <w:numId w:val="66"/>
        </w:numPr>
        <w:rPr>
          <w:rFonts w:cs="Arial"/>
          <w:i/>
          <w:szCs w:val="21"/>
          <w:lang w:bidi="fr-FR"/>
        </w:rPr>
      </w:pPr>
      <w:r w:rsidRPr="00D53B04">
        <w:rPr>
          <w:rFonts w:cs="Arial"/>
          <w:i/>
          <w:szCs w:val="21"/>
          <w:lang w:bidi="fr-FR"/>
        </w:rPr>
        <w:t xml:space="preserve">Budget global estimatif prévu pour la mise en œuvre des mesures environnementales et sociales </w:t>
      </w:r>
    </w:p>
    <w:p w14:paraId="073E1D1A" w14:textId="77777777" w:rsidR="001C2F95" w:rsidRPr="00D53B04" w:rsidRDefault="001C2F95" w:rsidP="001C2F95">
      <w:pPr>
        <w:rPr>
          <w:rFonts w:cs="Arial"/>
          <w:b/>
          <w:szCs w:val="21"/>
        </w:rPr>
      </w:pPr>
    </w:p>
    <w:p w14:paraId="74EF20F2" w14:textId="36252E28" w:rsidR="001C2F95" w:rsidRPr="00D53B04" w:rsidRDefault="001C2F95" w:rsidP="001C2F95">
      <w:pPr>
        <w:keepNext/>
        <w:tabs>
          <w:tab w:val="left" w:pos="720"/>
        </w:tabs>
        <w:outlineLvl w:val="2"/>
        <w:rPr>
          <w:rFonts w:cs="Arial"/>
          <w:szCs w:val="21"/>
        </w:rPr>
      </w:pPr>
      <w:bookmarkStart w:id="82" w:name="_Toc43187415"/>
      <w:bookmarkStart w:id="83" w:name="_Toc44626785"/>
      <w:bookmarkStart w:id="84" w:name="_Toc45269119"/>
      <w:bookmarkStart w:id="85" w:name="_Toc45269663"/>
      <w:bookmarkStart w:id="86" w:name="_Toc64026102"/>
      <w:bookmarkStart w:id="87" w:name="_Toc64386620"/>
      <w:bookmarkStart w:id="88" w:name="_Toc70326722"/>
      <w:bookmarkStart w:id="89" w:name="_Toc70326954"/>
      <w:bookmarkStart w:id="90" w:name="_Toc70330317"/>
      <w:bookmarkStart w:id="91" w:name="_Toc72336021"/>
      <w:bookmarkStart w:id="92" w:name="_Toc90393029"/>
      <w:bookmarkStart w:id="93" w:name="_Toc90471388"/>
      <w:r w:rsidRPr="00D53B04">
        <w:rPr>
          <w:rFonts w:cs="Arial"/>
          <w:szCs w:val="21"/>
        </w:rPr>
        <w:t xml:space="preserve">Les coûts estimatifs des mesures environnementales et sociales s’élèvent à </w:t>
      </w:r>
      <w:r w:rsidR="00CB127C" w:rsidRPr="00D53B04">
        <w:rPr>
          <w:rFonts w:cs="Arial"/>
          <w:color w:val="000000"/>
          <w:szCs w:val="21"/>
        </w:rPr>
        <w:t>18 675 330</w:t>
      </w:r>
      <w:r w:rsidR="00141A53" w:rsidRPr="00D53B04">
        <w:rPr>
          <w:rFonts w:cs="Arial"/>
          <w:color w:val="000000"/>
          <w:szCs w:val="21"/>
        </w:rPr>
        <w:t xml:space="preserve"> </w:t>
      </w:r>
      <w:r w:rsidRPr="00D53B04">
        <w:rPr>
          <w:rFonts w:cs="Arial"/>
          <w:szCs w:val="21"/>
        </w:rPr>
        <w:t>USD répartis comme détaillé dans le tableau ci-dessous.</w:t>
      </w:r>
      <w:bookmarkEnd w:id="82"/>
      <w:bookmarkEnd w:id="83"/>
      <w:bookmarkEnd w:id="84"/>
      <w:bookmarkEnd w:id="85"/>
      <w:bookmarkEnd w:id="86"/>
      <w:bookmarkEnd w:id="87"/>
      <w:bookmarkEnd w:id="88"/>
      <w:bookmarkEnd w:id="89"/>
      <w:bookmarkEnd w:id="90"/>
      <w:bookmarkEnd w:id="91"/>
      <w:bookmarkEnd w:id="92"/>
      <w:bookmarkEnd w:id="93"/>
      <w:r w:rsidRPr="00D53B04">
        <w:rPr>
          <w:rFonts w:cs="Arial"/>
          <w:szCs w:val="21"/>
        </w:rPr>
        <w:t xml:space="preserve"> </w:t>
      </w:r>
    </w:p>
    <w:p w14:paraId="4C001272" w14:textId="77777777" w:rsidR="00C3308C" w:rsidRPr="00D53B04" w:rsidRDefault="00C3308C" w:rsidP="001C2F95">
      <w:pPr>
        <w:keepNext/>
        <w:rPr>
          <w:rFonts w:eastAsia="Calibri" w:cs="Arial"/>
          <w:bCs/>
          <w:szCs w:val="21"/>
        </w:rPr>
      </w:pPr>
    </w:p>
    <w:tbl>
      <w:tblPr>
        <w:tblW w:w="93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66"/>
        <w:gridCol w:w="2004"/>
        <w:gridCol w:w="1882"/>
        <w:gridCol w:w="1759"/>
      </w:tblGrid>
      <w:tr w:rsidR="00141A53" w:rsidRPr="002A1EE6" w14:paraId="4EFB7CE1" w14:textId="77777777" w:rsidTr="00730A4A">
        <w:trPr>
          <w:trHeight w:val="493"/>
          <w:tblHeader/>
        </w:trPr>
        <w:tc>
          <w:tcPr>
            <w:tcW w:w="3666" w:type="dxa"/>
            <w:shd w:val="clear" w:color="auto" w:fill="D5DCE4"/>
            <w:vAlign w:val="center"/>
            <w:hideMark/>
          </w:tcPr>
          <w:p w14:paraId="39D06E77" w14:textId="77777777" w:rsidR="00141A53" w:rsidRPr="00D53B04" w:rsidRDefault="00141A53" w:rsidP="00F97D7B">
            <w:pPr>
              <w:spacing w:line="240" w:lineRule="auto"/>
              <w:jc w:val="center"/>
              <w:rPr>
                <w:rFonts w:cs="Arial"/>
                <w:color w:val="000000"/>
                <w:sz w:val="20"/>
                <w:szCs w:val="20"/>
              </w:rPr>
            </w:pPr>
            <w:r w:rsidRPr="00D53B04">
              <w:rPr>
                <w:rFonts w:cs="Arial"/>
                <w:color w:val="000000"/>
                <w:sz w:val="20"/>
                <w:szCs w:val="20"/>
              </w:rPr>
              <w:t>Activités</w:t>
            </w:r>
          </w:p>
        </w:tc>
        <w:tc>
          <w:tcPr>
            <w:tcW w:w="2004" w:type="dxa"/>
            <w:shd w:val="clear" w:color="auto" w:fill="D5DCE4"/>
            <w:vAlign w:val="center"/>
            <w:hideMark/>
          </w:tcPr>
          <w:p w14:paraId="0C2AADEA" w14:textId="77777777" w:rsidR="00141A53" w:rsidRPr="00D53B04" w:rsidRDefault="00141A53" w:rsidP="00F97D7B">
            <w:pPr>
              <w:spacing w:line="240" w:lineRule="auto"/>
              <w:jc w:val="center"/>
              <w:rPr>
                <w:rFonts w:cs="Arial"/>
                <w:color w:val="000000"/>
                <w:sz w:val="20"/>
                <w:szCs w:val="20"/>
              </w:rPr>
            </w:pPr>
            <w:r w:rsidRPr="00D53B04">
              <w:rPr>
                <w:rFonts w:cs="Arial"/>
                <w:bCs/>
                <w:color w:val="000000"/>
                <w:sz w:val="20"/>
                <w:szCs w:val="20"/>
              </w:rPr>
              <w:t>Quantité</w:t>
            </w:r>
          </w:p>
        </w:tc>
        <w:tc>
          <w:tcPr>
            <w:tcW w:w="1882" w:type="dxa"/>
            <w:shd w:val="clear" w:color="auto" w:fill="D5DCE4"/>
            <w:vAlign w:val="center"/>
            <w:hideMark/>
          </w:tcPr>
          <w:p w14:paraId="5C5EA5F3" w14:textId="77777777" w:rsidR="00141A53" w:rsidRPr="00D53B04" w:rsidRDefault="00141A53" w:rsidP="00F97D7B">
            <w:pPr>
              <w:spacing w:line="240" w:lineRule="auto"/>
              <w:jc w:val="center"/>
              <w:rPr>
                <w:rFonts w:cs="Arial"/>
                <w:color w:val="000000"/>
                <w:sz w:val="20"/>
                <w:szCs w:val="20"/>
              </w:rPr>
            </w:pPr>
            <w:r w:rsidRPr="00D53B04">
              <w:rPr>
                <w:rFonts w:cs="Arial"/>
                <w:color w:val="000000"/>
                <w:sz w:val="20"/>
                <w:szCs w:val="20"/>
              </w:rPr>
              <w:t>Coût unitaire (USD)</w:t>
            </w:r>
          </w:p>
        </w:tc>
        <w:tc>
          <w:tcPr>
            <w:tcW w:w="1759" w:type="dxa"/>
            <w:shd w:val="clear" w:color="auto" w:fill="D5DCE4"/>
            <w:vAlign w:val="center"/>
            <w:hideMark/>
          </w:tcPr>
          <w:p w14:paraId="3611411B" w14:textId="77777777" w:rsidR="00141A53" w:rsidRPr="00D53B04" w:rsidRDefault="00141A53" w:rsidP="00F97D7B">
            <w:pPr>
              <w:spacing w:line="240" w:lineRule="auto"/>
              <w:jc w:val="center"/>
              <w:rPr>
                <w:rFonts w:cs="Arial"/>
                <w:color w:val="000000"/>
                <w:sz w:val="20"/>
                <w:szCs w:val="20"/>
              </w:rPr>
            </w:pPr>
            <w:r w:rsidRPr="00D53B04">
              <w:rPr>
                <w:rFonts w:cs="Arial"/>
                <w:color w:val="000000"/>
                <w:sz w:val="20"/>
                <w:szCs w:val="20"/>
                <w:lang w:val="fr-CA"/>
              </w:rPr>
              <w:t>Coût total (USD)</w:t>
            </w:r>
          </w:p>
        </w:tc>
      </w:tr>
      <w:tr w:rsidR="00141A53" w:rsidRPr="00830A44" w14:paraId="5C37B0E3" w14:textId="77777777" w:rsidTr="00F97D7B">
        <w:trPr>
          <w:trHeight w:val="273"/>
        </w:trPr>
        <w:tc>
          <w:tcPr>
            <w:tcW w:w="3666" w:type="dxa"/>
            <w:shd w:val="clear" w:color="auto" w:fill="auto"/>
            <w:vAlign w:val="center"/>
            <w:hideMark/>
          </w:tcPr>
          <w:p w14:paraId="20F295F0" w14:textId="77777777" w:rsidR="00141A53" w:rsidRPr="00D53B04" w:rsidRDefault="00141A53" w:rsidP="00F97D7B">
            <w:pPr>
              <w:spacing w:line="240" w:lineRule="auto"/>
              <w:jc w:val="left"/>
              <w:rPr>
                <w:rFonts w:cs="Arial"/>
                <w:color w:val="000000"/>
                <w:sz w:val="20"/>
                <w:szCs w:val="20"/>
              </w:rPr>
            </w:pPr>
            <w:r w:rsidRPr="00D53B04">
              <w:rPr>
                <w:rFonts w:cs="Arial"/>
                <w:bCs/>
                <w:color w:val="000000"/>
                <w:sz w:val="20"/>
                <w:szCs w:val="20"/>
              </w:rPr>
              <w:t>Elaboration</w:t>
            </w:r>
            <w:r w:rsidR="00BE528D" w:rsidRPr="00D53B04">
              <w:rPr>
                <w:rFonts w:cs="Arial"/>
                <w:bCs/>
                <w:color w:val="000000"/>
                <w:sz w:val="20"/>
                <w:szCs w:val="20"/>
              </w:rPr>
              <w:t xml:space="preserve"> </w:t>
            </w:r>
            <w:r w:rsidRPr="00D53B04">
              <w:rPr>
                <w:rFonts w:cs="Arial"/>
                <w:bCs/>
                <w:color w:val="000000"/>
                <w:sz w:val="20"/>
                <w:szCs w:val="20"/>
              </w:rPr>
              <w:t xml:space="preserve">des ÉIES/PGES   </w:t>
            </w:r>
          </w:p>
        </w:tc>
        <w:tc>
          <w:tcPr>
            <w:tcW w:w="2004" w:type="dxa"/>
            <w:shd w:val="clear" w:color="auto" w:fill="auto"/>
            <w:vAlign w:val="center"/>
            <w:hideMark/>
          </w:tcPr>
          <w:p w14:paraId="156ED5A2" w14:textId="77777777" w:rsidR="00141A53" w:rsidRPr="00D53B04" w:rsidRDefault="00141A53" w:rsidP="00F97D7B">
            <w:pPr>
              <w:spacing w:line="240" w:lineRule="auto"/>
              <w:jc w:val="center"/>
              <w:rPr>
                <w:rFonts w:cs="Arial"/>
                <w:color w:val="000000"/>
                <w:sz w:val="20"/>
                <w:szCs w:val="20"/>
              </w:rPr>
            </w:pPr>
            <w:r w:rsidRPr="00D53B04">
              <w:rPr>
                <w:rFonts w:cs="Arial"/>
                <w:color w:val="000000"/>
                <w:sz w:val="20"/>
                <w:szCs w:val="20"/>
              </w:rPr>
              <w:t>30</w:t>
            </w:r>
          </w:p>
        </w:tc>
        <w:tc>
          <w:tcPr>
            <w:tcW w:w="1882" w:type="dxa"/>
            <w:shd w:val="clear" w:color="auto" w:fill="auto"/>
            <w:vAlign w:val="center"/>
            <w:hideMark/>
          </w:tcPr>
          <w:p w14:paraId="5806593A" w14:textId="77777777" w:rsidR="00141A53" w:rsidRPr="00D53B04" w:rsidRDefault="00141A53" w:rsidP="00F97D7B">
            <w:pPr>
              <w:spacing w:line="240" w:lineRule="auto"/>
              <w:jc w:val="right"/>
              <w:rPr>
                <w:rFonts w:cs="Arial"/>
                <w:color w:val="000000"/>
                <w:sz w:val="20"/>
                <w:szCs w:val="20"/>
              </w:rPr>
            </w:pPr>
            <w:r w:rsidRPr="00D53B04">
              <w:rPr>
                <w:rFonts w:cs="Arial"/>
                <w:color w:val="000000"/>
                <w:sz w:val="20"/>
                <w:szCs w:val="20"/>
              </w:rPr>
              <w:t>50 000</w:t>
            </w:r>
          </w:p>
        </w:tc>
        <w:tc>
          <w:tcPr>
            <w:tcW w:w="1759" w:type="dxa"/>
            <w:shd w:val="clear" w:color="auto" w:fill="auto"/>
            <w:vAlign w:val="center"/>
            <w:hideMark/>
          </w:tcPr>
          <w:p w14:paraId="0699FAD0" w14:textId="77777777" w:rsidR="00141A53" w:rsidRPr="00D53B04" w:rsidRDefault="00141A53" w:rsidP="00F97D7B">
            <w:pPr>
              <w:spacing w:line="240" w:lineRule="auto"/>
              <w:jc w:val="right"/>
              <w:rPr>
                <w:rFonts w:cs="Arial"/>
                <w:color w:val="000000"/>
                <w:sz w:val="20"/>
                <w:szCs w:val="20"/>
              </w:rPr>
            </w:pPr>
            <w:r w:rsidRPr="00D53B04">
              <w:rPr>
                <w:rFonts w:cs="Arial"/>
                <w:color w:val="000000"/>
                <w:sz w:val="20"/>
                <w:szCs w:val="20"/>
              </w:rPr>
              <w:t>1 500 000</w:t>
            </w:r>
          </w:p>
        </w:tc>
      </w:tr>
      <w:tr w:rsidR="00141A53" w:rsidRPr="00830A44" w14:paraId="70EDAD73" w14:textId="77777777" w:rsidTr="00F97D7B">
        <w:trPr>
          <w:trHeight w:val="555"/>
        </w:trPr>
        <w:tc>
          <w:tcPr>
            <w:tcW w:w="3666" w:type="dxa"/>
            <w:shd w:val="clear" w:color="auto" w:fill="auto"/>
            <w:vAlign w:val="center"/>
            <w:hideMark/>
          </w:tcPr>
          <w:p w14:paraId="5F89DE90" w14:textId="77777777" w:rsidR="00141A53" w:rsidRPr="00D53B04" w:rsidRDefault="00141A53" w:rsidP="00F97D7B">
            <w:pPr>
              <w:spacing w:line="240" w:lineRule="auto"/>
              <w:jc w:val="left"/>
              <w:rPr>
                <w:rFonts w:cs="Arial"/>
                <w:color w:val="000000"/>
                <w:sz w:val="20"/>
                <w:szCs w:val="20"/>
              </w:rPr>
            </w:pPr>
            <w:r w:rsidRPr="00D53B04">
              <w:rPr>
                <w:rFonts w:cs="Arial"/>
                <w:bCs/>
                <w:color w:val="000000"/>
                <w:sz w:val="20"/>
                <w:szCs w:val="20"/>
              </w:rPr>
              <w:t>Élaboration des Plans des PAR</w:t>
            </w:r>
          </w:p>
        </w:tc>
        <w:tc>
          <w:tcPr>
            <w:tcW w:w="2004" w:type="dxa"/>
            <w:shd w:val="clear" w:color="auto" w:fill="auto"/>
            <w:vAlign w:val="center"/>
            <w:hideMark/>
          </w:tcPr>
          <w:p w14:paraId="472C1BF2" w14:textId="77777777" w:rsidR="00141A53" w:rsidRPr="00D53B04" w:rsidRDefault="00141A53" w:rsidP="00F97D7B">
            <w:pPr>
              <w:spacing w:line="240" w:lineRule="auto"/>
              <w:jc w:val="center"/>
              <w:rPr>
                <w:rFonts w:cs="Arial"/>
                <w:color w:val="000000"/>
                <w:sz w:val="20"/>
                <w:szCs w:val="20"/>
              </w:rPr>
            </w:pPr>
            <w:r w:rsidRPr="00D53B04">
              <w:rPr>
                <w:rFonts w:cs="Arial"/>
                <w:color w:val="000000"/>
                <w:sz w:val="20"/>
                <w:szCs w:val="20"/>
              </w:rPr>
              <w:t>30</w:t>
            </w:r>
          </w:p>
        </w:tc>
        <w:tc>
          <w:tcPr>
            <w:tcW w:w="1882" w:type="dxa"/>
            <w:shd w:val="clear" w:color="auto" w:fill="auto"/>
            <w:vAlign w:val="center"/>
            <w:hideMark/>
          </w:tcPr>
          <w:p w14:paraId="0238E065" w14:textId="77777777" w:rsidR="00141A53" w:rsidRPr="00D53B04" w:rsidRDefault="00141A53" w:rsidP="00F97D7B">
            <w:pPr>
              <w:spacing w:line="240" w:lineRule="auto"/>
              <w:jc w:val="right"/>
              <w:rPr>
                <w:rFonts w:cs="Arial"/>
                <w:color w:val="000000"/>
                <w:sz w:val="20"/>
                <w:szCs w:val="20"/>
              </w:rPr>
            </w:pPr>
            <w:r w:rsidRPr="00D53B04">
              <w:rPr>
                <w:rFonts w:cs="Arial"/>
                <w:color w:val="000000"/>
                <w:sz w:val="20"/>
                <w:szCs w:val="20"/>
              </w:rPr>
              <w:t>60 000</w:t>
            </w:r>
          </w:p>
        </w:tc>
        <w:tc>
          <w:tcPr>
            <w:tcW w:w="1759" w:type="dxa"/>
            <w:shd w:val="clear" w:color="auto" w:fill="auto"/>
            <w:vAlign w:val="center"/>
            <w:hideMark/>
          </w:tcPr>
          <w:p w14:paraId="5B052F1F" w14:textId="77777777" w:rsidR="00141A53" w:rsidRPr="00D53B04" w:rsidRDefault="00141A53" w:rsidP="00F97D7B">
            <w:pPr>
              <w:spacing w:line="240" w:lineRule="auto"/>
              <w:jc w:val="right"/>
              <w:rPr>
                <w:rFonts w:cs="Arial"/>
                <w:color w:val="000000"/>
                <w:sz w:val="20"/>
                <w:szCs w:val="20"/>
              </w:rPr>
            </w:pPr>
            <w:r w:rsidRPr="00D53B04">
              <w:rPr>
                <w:rFonts w:cs="Arial"/>
                <w:color w:val="000000"/>
                <w:sz w:val="20"/>
                <w:szCs w:val="20"/>
              </w:rPr>
              <w:t>1 800 000</w:t>
            </w:r>
          </w:p>
        </w:tc>
      </w:tr>
      <w:tr w:rsidR="00141A53" w:rsidRPr="00830A44" w14:paraId="7B8B9A9C" w14:textId="77777777" w:rsidTr="00F97D7B">
        <w:trPr>
          <w:trHeight w:val="309"/>
        </w:trPr>
        <w:tc>
          <w:tcPr>
            <w:tcW w:w="3666" w:type="dxa"/>
            <w:shd w:val="clear" w:color="auto" w:fill="auto"/>
            <w:vAlign w:val="center"/>
            <w:hideMark/>
          </w:tcPr>
          <w:p w14:paraId="692408EA" w14:textId="77777777" w:rsidR="00141A53" w:rsidRPr="00D53B04" w:rsidRDefault="00141A53" w:rsidP="00F97D7B">
            <w:pPr>
              <w:spacing w:line="240" w:lineRule="auto"/>
              <w:jc w:val="left"/>
              <w:rPr>
                <w:rFonts w:cs="Arial"/>
                <w:color w:val="000000"/>
                <w:sz w:val="20"/>
                <w:szCs w:val="20"/>
              </w:rPr>
            </w:pPr>
            <w:r w:rsidRPr="00D53B04">
              <w:rPr>
                <w:rFonts w:cs="Arial"/>
                <w:bCs/>
                <w:color w:val="000000"/>
                <w:sz w:val="20"/>
                <w:szCs w:val="20"/>
              </w:rPr>
              <w:t>Mise en œuvre des PAR</w:t>
            </w:r>
          </w:p>
        </w:tc>
        <w:tc>
          <w:tcPr>
            <w:tcW w:w="2004" w:type="dxa"/>
            <w:shd w:val="clear" w:color="auto" w:fill="auto"/>
            <w:vAlign w:val="center"/>
            <w:hideMark/>
          </w:tcPr>
          <w:p w14:paraId="2676E7D4" w14:textId="77777777" w:rsidR="00141A53" w:rsidRPr="00D53B04" w:rsidRDefault="00141A53" w:rsidP="00F97D7B">
            <w:pPr>
              <w:spacing w:line="240" w:lineRule="auto"/>
              <w:jc w:val="center"/>
              <w:rPr>
                <w:rFonts w:cs="Arial"/>
                <w:color w:val="000000"/>
                <w:sz w:val="20"/>
                <w:szCs w:val="20"/>
              </w:rPr>
            </w:pPr>
            <w:r w:rsidRPr="00D53B04">
              <w:rPr>
                <w:rFonts w:cs="Arial"/>
                <w:color w:val="000000"/>
                <w:sz w:val="20"/>
                <w:szCs w:val="20"/>
              </w:rPr>
              <w:t>30</w:t>
            </w:r>
          </w:p>
        </w:tc>
        <w:tc>
          <w:tcPr>
            <w:tcW w:w="1882" w:type="dxa"/>
            <w:shd w:val="clear" w:color="auto" w:fill="auto"/>
            <w:vAlign w:val="center"/>
            <w:hideMark/>
          </w:tcPr>
          <w:p w14:paraId="3AA87C4B" w14:textId="77777777" w:rsidR="00141A53" w:rsidRPr="00D53B04" w:rsidRDefault="00141A53" w:rsidP="00F97D7B">
            <w:pPr>
              <w:spacing w:line="240" w:lineRule="auto"/>
              <w:jc w:val="right"/>
              <w:rPr>
                <w:rFonts w:cs="Arial"/>
                <w:color w:val="000000"/>
                <w:sz w:val="20"/>
                <w:szCs w:val="20"/>
              </w:rPr>
            </w:pPr>
            <w:r w:rsidRPr="00D53B04">
              <w:rPr>
                <w:rFonts w:cs="Arial"/>
                <w:color w:val="000000"/>
                <w:sz w:val="20"/>
                <w:szCs w:val="20"/>
              </w:rPr>
              <w:t>40 000</w:t>
            </w:r>
          </w:p>
        </w:tc>
        <w:tc>
          <w:tcPr>
            <w:tcW w:w="1759" w:type="dxa"/>
            <w:shd w:val="clear" w:color="auto" w:fill="auto"/>
            <w:vAlign w:val="center"/>
            <w:hideMark/>
          </w:tcPr>
          <w:p w14:paraId="6CB51FA3" w14:textId="77777777" w:rsidR="00141A53" w:rsidRPr="00D53B04" w:rsidRDefault="00141A53" w:rsidP="00F97D7B">
            <w:pPr>
              <w:spacing w:line="240" w:lineRule="auto"/>
              <w:jc w:val="right"/>
              <w:rPr>
                <w:rFonts w:cs="Arial"/>
                <w:color w:val="000000"/>
                <w:sz w:val="20"/>
                <w:szCs w:val="20"/>
              </w:rPr>
            </w:pPr>
            <w:r w:rsidRPr="00D53B04">
              <w:rPr>
                <w:rFonts w:cs="Arial"/>
                <w:color w:val="000000"/>
                <w:sz w:val="20"/>
                <w:szCs w:val="20"/>
              </w:rPr>
              <w:t>1 200 000</w:t>
            </w:r>
          </w:p>
        </w:tc>
      </w:tr>
      <w:tr w:rsidR="00141A53" w:rsidRPr="002A1EE6" w14:paraId="1E051E7E" w14:textId="77777777" w:rsidTr="00F97D7B">
        <w:trPr>
          <w:trHeight w:val="309"/>
        </w:trPr>
        <w:tc>
          <w:tcPr>
            <w:tcW w:w="3666" w:type="dxa"/>
            <w:shd w:val="clear" w:color="auto" w:fill="auto"/>
            <w:vAlign w:val="center"/>
          </w:tcPr>
          <w:p w14:paraId="35B7502D" w14:textId="77777777" w:rsidR="00141A53" w:rsidRPr="00D53B04" w:rsidRDefault="00141A53" w:rsidP="00F97D7B">
            <w:pPr>
              <w:spacing w:line="240" w:lineRule="auto"/>
              <w:jc w:val="left"/>
              <w:rPr>
                <w:rFonts w:cs="Arial"/>
                <w:bCs/>
                <w:color w:val="000000"/>
                <w:sz w:val="20"/>
                <w:szCs w:val="20"/>
              </w:rPr>
            </w:pPr>
            <w:r w:rsidRPr="00D53B04">
              <w:rPr>
                <w:rFonts w:cs="Arial"/>
                <w:bCs/>
                <w:color w:val="000000"/>
                <w:sz w:val="20"/>
                <w:szCs w:val="20"/>
              </w:rPr>
              <w:t>Elaboration et mise en œuvre du PGS</w:t>
            </w:r>
          </w:p>
        </w:tc>
        <w:tc>
          <w:tcPr>
            <w:tcW w:w="2004" w:type="dxa"/>
            <w:shd w:val="clear" w:color="auto" w:fill="auto"/>
            <w:vAlign w:val="center"/>
          </w:tcPr>
          <w:p w14:paraId="548BB1C7" w14:textId="77777777" w:rsidR="00141A53" w:rsidRPr="00D53B04" w:rsidRDefault="00141A53" w:rsidP="00F97D7B">
            <w:pPr>
              <w:spacing w:line="240" w:lineRule="auto"/>
              <w:jc w:val="center"/>
              <w:rPr>
                <w:rFonts w:cs="Arial"/>
                <w:color w:val="000000"/>
                <w:sz w:val="20"/>
                <w:szCs w:val="20"/>
              </w:rPr>
            </w:pPr>
            <w:r w:rsidRPr="00D53B04">
              <w:rPr>
                <w:rFonts w:cs="Arial"/>
                <w:color w:val="000000"/>
                <w:sz w:val="20"/>
                <w:szCs w:val="20"/>
              </w:rPr>
              <w:t>1</w:t>
            </w:r>
          </w:p>
        </w:tc>
        <w:tc>
          <w:tcPr>
            <w:tcW w:w="1882" w:type="dxa"/>
            <w:shd w:val="clear" w:color="auto" w:fill="auto"/>
            <w:vAlign w:val="center"/>
          </w:tcPr>
          <w:p w14:paraId="0E2FFA8F" w14:textId="77777777" w:rsidR="00141A53" w:rsidRPr="00D53B04" w:rsidRDefault="00141A53" w:rsidP="00F97D7B">
            <w:pPr>
              <w:spacing w:line="240" w:lineRule="auto"/>
              <w:jc w:val="right"/>
              <w:rPr>
                <w:rFonts w:cs="Arial"/>
                <w:color w:val="000000"/>
                <w:sz w:val="20"/>
                <w:szCs w:val="20"/>
              </w:rPr>
            </w:pPr>
            <w:r w:rsidRPr="00D53B04">
              <w:rPr>
                <w:rFonts w:cs="Arial"/>
                <w:color w:val="000000"/>
                <w:sz w:val="20"/>
                <w:szCs w:val="20"/>
              </w:rPr>
              <w:t>100 000</w:t>
            </w:r>
          </w:p>
        </w:tc>
        <w:tc>
          <w:tcPr>
            <w:tcW w:w="1759" w:type="dxa"/>
            <w:shd w:val="clear" w:color="auto" w:fill="auto"/>
            <w:vAlign w:val="center"/>
          </w:tcPr>
          <w:p w14:paraId="61ABFC91" w14:textId="77777777" w:rsidR="00141A53" w:rsidRPr="00D53B04" w:rsidRDefault="00141A53" w:rsidP="00F97D7B">
            <w:pPr>
              <w:spacing w:line="240" w:lineRule="auto"/>
              <w:jc w:val="right"/>
              <w:rPr>
                <w:rFonts w:cs="Arial"/>
                <w:color w:val="000000"/>
                <w:sz w:val="20"/>
                <w:szCs w:val="20"/>
              </w:rPr>
            </w:pPr>
            <w:r w:rsidRPr="00D53B04">
              <w:rPr>
                <w:rFonts w:cs="Arial"/>
                <w:color w:val="000000"/>
                <w:sz w:val="20"/>
                <w:szCs w:val="20"/>
              </w:rPr>
              <w:t>100 000</w:t>
            </w:r>
          </w:p>
        </w:tc>
      </w:tr>
      <w:tr w:rsidR="00141A53" w:rsidRPr="002A1EE6" w14:paraId="66EAF0BB" w14:textId="77777777" w:rsidTr="00F97D7B">
        <w:trPr>
          <w:trHeight w:val="309"/>
        </w:trPr>
        <w:tc>
          <w:tcPr>
            <w:tcW w:w="3666" w:type="dxa"/>
            <w:shd w:val="clear" w:color="auto" w:fill="auto"/>
            <w:vAlign w:val="center"/>
          </w:tcPr>
          <w:p w14:paraId="456F9D1E" w14:textId="77777777" w:rsidR="00141A53" w:rsidRPr="00D53B04" w:rsidRDefault="00141A53" w:rsidP="00F97D7B">
            <w:pPr>
              <w:spacing w:line="240" w:lineRule="auto"/>
              <w:jc w:val="left"/>
              <w:rPr>
                <w:rFonts w:cs="Arial"/>
                <w:bCs/>
                <w:color w:val="000000"/>
                <w:sz w:val="20"/>
                <w:szCs w:val="20"/>
              </w:rPr>
            </w:pPr>
            <w:r w:rsidRPr="00D53B04">
              <w:rPr>
                <w:rFonts w:cs="Arial"/>
                <w:bCs/>
                <w:color w:val="000000"/>
                <w:sz w:val="20"/>
                <w:szCs w:val="20"/>
              </w:rPr>
              <w:t>Elaboration et mise en œuvre du Plan de Gestion de la Biodiversité (PGB)</w:t>
            </w:r>
          </w:p>
        </w:tc>
        <w:tc>
          <w:tcPr>
            <w:tcW w:w="2004" w:type="dxa"/>
            <w:shd w:val="clear" w:color="auto" w:fill="auto"/>
            <w:vAlign w:val="center"/>
          </w:tcPr>
          <w:p w14:paraId="65EB5D77" w14:textId="77777777" w:rsidR="00141A53" w:rsidRPr="00D53B04" w:rsidRDefault="00141A53" w:rsidP="00F97D7B">
            <w:pPr>
              <w:spacing w:line="240" w:lineRule="auto"/>
              <w:jc w:val="center"/>
              <w:rPr>
                <w:rFonts w:cs="Arial"/>
                <w:color w:val="000000"/>
                <w:sz w:val="20"/>
                <w:szCs w:val="20"/>
              </w:rPr>
            </w:pPr>
            <w:r w:rsidRPr="00D53B04">
              <w:rPr>
                <w:rFonts w:cs="Arial"/>
                <w:color w:val="000000"/>
                <w:sz w:val="20"/>
                <w:szCs w:val="20"/>
              </w:rPr>
              <w:t>1</w:t>
            </w:r>
          </w:p>
        </w:tc>
        <w:tc>
          <w:tcPr>
            <w:tcW w:w="1882" w:type="dxa"/>
            <w:shd w:val="clear" w:color="auto" w:fill="auto"/>
            <w:vAlign w:val="center"/>
          </w:tcPr>
          <w:p w14:paraId="116D88B5" w14:textId="77777777" w:rsidR="00141A53" w:rsidRPr="00D53B04" w:rsidRDefault="00141A53" w:rsidP="00F97D7B">
            <w:pPr>
              <w:spacing w:line="240" w:lineRule="auto"/>
              <w:jc w:val="right"/>
              <w:rPr>
                <w:rFonts w:cs="Arial"/>
                <w:color w:val="000000"/>
                <w:sz w:val="20"/>
                <w:szCs w:val="20"/>
              </w:rPr>
            </w:pPr>
            <w:r w:rsidRPr="00D53B04">
              <w:rPr>
                <w:rFonts w:cs="Arial"/>
                <w:color w:val="000000"/>
                <w:sz w:val="20"/>
                <w:szCs w:val="20"/>
              </w:rPr>
              <w:t>300 000</w:t>
            </w:r>
          </w:p>
        </w:tc>
        <w:tc>
          <w:tcPr>
            <w:tcW w:w="1759" w:type="dxa"/>
            <w:shd w:val="clear" w:color="auto" w:fill="auto"/>
            <w:vAlign w:val="center"/>
          </w:tcPr>
          <w:p w14:paraId="32223F80" w14:textId="77777777" w:rsidR="00141A53" w:rsidRPr="00D53B04" w:rsidRDefault="00141A53" w:rsidP="00F97D7B">
            <w:pPr>
              <w:spacing w:line="240" w:lineRule="auto"/>
              <w:jc w:val="right"/>
              <w:rPr>
                <w:rFonts w:cs="Arial"/>
                <w:color w:val="000000"/>
                <w:sz w:val="20"/>
                <w:szCs w:val="20"/>
              </w:rPr>
            </w:pPr>
            <w:r w:rsidRPr="00D53B04">
              <w:rPr>
                <w:rFonts w:cs="Arial"/>
                <w:color w:val="000000"/>
                <w:sz w:val="20"/>
                <w:szCs w:val="20"/>
              </w:rPr>
              <w:t>300 000</w:t>
            </w:r>
          </w:p>
        </w:tc>
      </w:tr>
      <w:tr w:rsidR="00141A53" w:rsidRPr="002A1EE6" w14:paraId="00BDF703" w14:textId="77777777" w:rsidTr="00F97D7B">
        <w:trPr>
          <w:trHeight w:val="657"/>
        </w:trPr>
        <w:tc>
          <w:tcPr>
            <w:tcW w:w="3666" w:type="dxa"/>
            <w:shd w:val="clear" w:color="auto" w:fill="auto"/>
            <w:vAlign w:val="center"/>
            <w:hideMark/>
          </w:tcPr>
          <w:p w14:paraId="5E2230F7" w14:textId="77777777" w:rsidR="00141A53" w:rsidRPr="00D53B04" w:rsidRDefault="00141A53" w:rsidP="00F97D7B">
            <w:pPr>
              <w:spacing w:line="240" w:lineRule="auto"/>
              <w:jc w:val="left"/>
              <w:rPr>
                <w:rFonts w:cs="Arial"/>
                <w:color w:val="000000"/>
                <w:sz w:val="20"/>
                <w:szCs w:val="20"/>
              </w:rPr>
            </w:pPr>
            <w:r w:rsidRPr="00D53B04">
              <w:rPr>
                <w:rFonts w:cs="Arial"/>
                <w:bCs/>
                <w:color w:val="000000"/>
                <w:sz w:val="20"/>
                <w:szCs w:val="20"/>
              </w:rPr>
              <w:t>Mise en œuvre du PMPP y compris le MGP global et celui sensible au</w:t>
            </w:r>
            <w:r w:rsidR="00BE528D" w:rsidRPr="00D53B04">
              <w:rPr>
                <w:rFonts w:cs="Arial"/>
                <w:bCs/>
                <w:color w:val="000000"/>
                <w:sz w:val="20"/>
                <w:szCs w:val="20"/>
              </w:rPr>
              <w:t>x</w:t>
            </w:r>
            <w:r w:rsidRPr="00D53B04">
              <w:rPr>
                <w:rFonts w:cs="Arial"/>
                <w:bCs/>
                <w:color w:val="000000"/>
                <w:sz w:val="20"/>
                <w:szCs w:val="20"/>
              </w:rPr>
              <w:t xml:space="preserve"> VBG</w:t>
            </w:r>
          </w:p>
        </w:tc>
        <w:tc>
          <w:tcPr>
            <w:tcW w:w="2004" w:type="dxa"/>
            <w:shd w:val="clear" w:color="auto" w:fill="auto"/>
            <w:vAlign w:val="center"/>
            <w:hideMark/>
          </w:tcPr>
          <w:p w14:paraId="60BD574F" w14:textId="77777777" w:rsidR="00141A53" w:rsidRPr="00D53B04" w:rsidRDefault="00141A53" w:rsidP="00F97D7B">
            <w:pPr>
              <w:spacing w:line="240" w:lineRule="auto"/>
              <w:jc w:val="center"/>
              <w:rPr>
                <w:rFonts w:cs="Arial"/>
                <w:color w:val="000000"/>
                <w:sz w:val="20"/>
                <w:szCs w:val="20"/>
              </w:rPr>
            </w:pPr>
            <w:r w:rsidRPr="00D53B04">
              <w:rPr>
                <w:rFonts w:cs="Arial"/>
                <w:color w:val="000000"/>
                <w:sz w:val="20"/>
                <w:szCs w:val="20"/>
              </w:rPr>
              <w:t>1</w:t>
            </w:r>
          </w:p>
        </w:tc>
        <w:tc>
          <w:tcPr>
            <w:tcW w:w="1882" w:type="dxa"/>
            <w:shd w:val="clear" w:color="auto" w:fill="auto"/>
            <w:vAlign w:val="center"/>
            <w:hideMark/>
          </w:tcPr>
          <w:p w14:paraId="5ACB5AE6" w14:textId="77777777" w:rsidR="00141A53" w:rsidRPr="00D53B04" w:rsidRDefault="00141A53" w:rsidP="00F97D7B">
            <w:pPr>
              <w:spacing w:line="240" w:lineRule="auto"/>
              <w:jc w:val="right"/>
              <w:rPr>
                <w:rFonts w:cs="Arial"/>
                <w:color w:val="000000"/>
                <w:sz w:val="20"/>
                <w:szCs w:val="20"/>
              </w:rPr>
            </w:pPr>
            <w:r w:rsidRPr="00D53B04">
              <w:rPr>
                <w:rFonts w:cs="Arial"/>
                <w:color w:val="000000"/>
                <w:sz w:val="20"/>
                <w:szCs w:val="20"/>
              </w:rPr>
              <w:t>2 323 000</w:t>
            </w:r>
          </w:p>
          <w:p w14:paraId="466B044B" w14:textId="77777777" w:rsidR="00141A53" w:rsidRPr="00D53B04" w:rsidRDefault="00141A53" w:rsidP="00F97D7B">
            <w:pPr>
              <w:spacing w:line="240" w:lineRule="auto"/>
              <w:jc w:val="right"/>
              <w:rPr>
                <w:rFonts w:cs="Arial"/>
                <w:color w:val="000000"/>
                <w:sz w:val="20"/>
                <w:szCs w:val="20"/>
              </w:rPr>
            </w:pPr>
          </w:p>
        </w:tc>
        <w:tc>
          <w:tcPr>
            <w:tcW w:w="1759" w:type="dxa"/>
            <w:shd w:val="clear" w:color="auto" w:fill="auto"/>
            <w:vAlign w:val="center"/>
            <w:hideMark/>
          </w:tcPr>
          <w:p w14:paraId="129089D0" w14:textId="77777777" w:rsidR="00141A53" w:rsidRPr="00D53B04" w:rsidRDefault="00141A53" w:rsidP="00F97D7B">
            <w:pPr>
              <w:spacing w:line="240" w:lineRule="auto"/>
              <w:jc w:val="right"/>
              <w:rPr>
                <w:rFonts w:cs="Arial"/>
                <w:color w:val="000000"/>
                <w:sz w:val="20"/>
                <w:szCs w:val="20"/>
              </w:rPr>
            </w:pPr>
            <w:r w:rsidRPr="00D53B04">
              <w:rPr>
                <w:rFonts w:cs="Arial"/>
                <w:color w:val="000000"/>
                <w:sz w:val="20"/>
                <w:szCs w:val="20"/>
              </w:rPr>
              <w:t>2 323 000</w:t>
            </w:r>
          </w:p>
          <w:p w14:paraId="4E03BEDD" w14:textId="77777777" w:rsidR="00141A53" w:rsidRPr="00D53B04" w:rsidRDefault="00141A53" w:rsidP="00F97D7B">
            <w:pPr>
              <w:spacing w:line="240" w:lineRule="auto"/>
              <w:jc w:val="right"/>
              <w:rPr>
                <w:rFonts w:cs="Arial"/>
                <w:color w:val="000000"/>
                <w:sz w:val="20"/>
                <w:szCs w:val="20"/>
              </w:rPr>
            </w:pPr>
          </w:p>
        </w:tc>
      </w:tr>
      <w:tr w:rsidR="00141A53" w:rsidRPr="002A1EE6" w14:paraId="2EE9B28B" w14:textId="77777777" w:rsidTr="00F97D7B">
        <w:trPr>
          <w:trHeight w:val="866"/>
        </w:trPr>
        <w:tc>
          <w:tcPr>
            <w:tcW w:w="3666" w:type="dxa"/>
            <w:shd w:val="clear" w:color="auto" w:fill="auto"/>
            <w:vAlign w:val="center"/>
            <w:hideMark/>
          </w:tcPr>
          <w:p w14:paraId="12B9CF96" w14:textId="77777777" w:rsidR="00141A53" w:rsidRPr="00D53B04" w:rsidRDefault="00141A53" w:rsidP="00F97D7B">
            <w:pPr>
              <w:spacing w:line="240" w:lineRule="auto"/>
              <w:jc w:val="left"/>
              <w:rPr>
                <w:rFonts w:cs="Arial"/>
                <w:color w:val="000000"/>
                <w:sz w:val="20"/>
                <w:szCs w:val="20"/>
              </w:rPr>
            </w:pPr>
            <w:r w:rsidRPr="00D53B04">
              <w:rPr>
                <w:rFonts w:cs="Arial"/>
                <w:bCs/>
                <w:color w:val="000000"/>
                <w:sz w:val="20"/>
                <w:szCs w:val="20"/>
              </w:rPr>
              <w:t>Appui à la préservation et la restauration des carrières / gîtes d’emprunts</w:t>
            </w:r>
          </w:p>
        </w:tc>
        <w:tc>
          <w:tcPr>
            <w:tcW w:w="2004" w:type="dxa"/>
            <w:shd w:val="clear" w:color="auto" w:fill="auto"/>
            <w:vAlign w:val="center"/>
            <w:hideMark/>
          </w:tcPr>
          <w:p w14:paraId="7D5D6862" w14:textId="77777777" w:rsidR="00141A53" w:rsidRPr="00D53B04" w:rsidRDefault="00141A53" w:rsidP="00F97D7B">
            <w:pPr>
              <w:spacing w:line="240" w:lineRule="auto"/>
              <w:jc w:val="center"/>
              <w:rPr>
                <w:rFonts w:cs="Arial"/>
                <w:color w:val="000000"/>
                <w:sz w:val="20"/>
                <w:szCs w:val="20"/>
              </w:rPr>
            </w:pPr>
            <w:r w:rsidRPr="00D53B04">
              <w:rPr>
                <w:rFonts w:cs="Arial"/>
                <w:color w:val="000000"/>
                <w:sz w:val="20"/>
                <w:szCs w:val="20"/>
              </w:rPr>
              <w:t>5</w:t>
            </w:r>
          </w:p>
        </w:tc>
        <w:tc>
          <w:tcPr>
            <w:tcW w:w="1882" w:type="dxa"/>
            <w:shd w:val="clear" w:color="auto" w:fill="auto"/>
            <w:vAlign w:val="center"/>
            <w:hideMark/>
          </w:tcPr>
          <w:p w14:paraId="037A7A78" w14:textId="77777777" w:rsidR="00141A53" w:rsidRPr="00D53B04" w:rsidRDefault="00141A53" w:rsidP="00F97D7B">
            <w:pPr>
              <w:spacing w:line="240" w:lineRule="auto"/>
              <w:jc w:val="right"/>
              <w:rPr>
                <w:rFonts w:cs="Arial"/>
                <w:color w:val="000000"/>
                <w:sz w:val="20"/>
                <w:szCs w:val="20"/>
              </w:rPr>
            </w:pPr>
            <w:r w:rsidRPr="00D53B04">
              <w:rPr>
                <w:rFonts w:cs="Arial"/>
                <w:color w:val="000000"/>
                <w:sz w:val="20"/>
                <w:szCs w:val="20"/>
              </w:rPr>
              <w:t>50 000</w:t>
            </w:r>
          </w:p>
        </w:tc>
        <w:tc>
          <w:tcPr>
            <w:tcW w:w="1759" w:type="dxa"/>
            <w:shd w:val="clear" w:color="auto" w:fill="auto"/>
            <w:vAlign w:val="center"/>
            <w:hideMark/>
          </w:tcPr>
          <w:p w14:paraId="0CB8F708" w14:textId="77777777" w:rsidR="00141A53" w:rsidRPr="00D53B04" w:rsidRDefault="00141A53" w:rsidP="00F97D7B">
            <w:pPr>
              <w:spacing w:line="240" w:lineRule="auto"/>
              <w:jc w:val="right"/>
              <w:rPr>
                <w:rFonts w:cs="Arial"/>
                <w:color w:val="000000"/>
                <w:sz w:val="20"/>
                <w:szCs w:val="20"/>
              </w:rPr>
            </w:pPr>
            <w:r w:rsidRPr="00D53B04">
              <w:rPr>
                <w:rFonts w:cs="Arial"/>
                <w:color w:val="000000"/>
                <w:sz w:val="20"/>
                <w:szCs w:val="20"/>
              </w:rPr>
              <w:t>250 000</w:t>
            </w:r>
          </w:p>
        </w:tc>
      </w:tr>
      <w:tr w:rsidR="00141A53" w:rsidRPr="002A1EE6" w14:paraId="34402E4F" w14:textId="77777777" w:rsidTr="00F97D7B">
        <w:trPr>
          <w:trHeight w:val="113"/>
        </w:trPr>
        <w:tc>
          <w:tcPr>
            <w:tcW w:w="3666" w:type="dxa"/>
            <w:shd w:val="clear" w:color="auto" w:fill="auto"/>
            <w:vAlign w:val="center"/>
            <w:hideMark/>
          </w:tcPr>
          <w:p w14:paraId="567340A8" w14:textId="77777777" w:rsidR="00141A53" w:rsidRPr="00D53B04" w:rsidRDefault="00141A53" w:rsidP="00F97D7B">
            <w:pPr>
              <w:spacing w:line="240" w:lineRule="auto"/>
              <w:jc w:val="left"/>
              <w:rPr>
                <w:rFonts w:cs="Arial"/>
                <w:color w:val="000000"/>
                <w:sz w:val="20"/>
                <w:szCs w:val="20"/>
              </w:rPr>
            </w:pPr>
            <w:r w:rsidRPr="00D53B04">
              <w:rPr>
                <w:rFonts w:cs="Arial"/>
                <w:color w:val="000000"/>
                <w:sz w:val="20"/>
                <w:szCs w:val="20"/>
              </w:rPr>
              <w:t xml:space="preserve">Dotation des intrants agricoles </w:t>
            </w:r>
          </w:p>
        </w:tc>
        <w:tc>
          <w:tcPr>
            <w:tcW w:w="2004" w:type="dxa"/>
            <w:shd w:val="clear" w:color="auto" w:fill="auto"/>
            <w:vAlign w:val="center"/>
            <w:hideMark/>
          </w:tcPr>
          <w:p w14:paraId="1E8455C9" w14:textId="77777777" w:rsidR="00141A53" w:rsidRPr="00D53B04" w:rsidRDefault="00141A53" w:rsidP="00F97D7B">
            <w:pPr>
              <w:spacing w:line="240" w:lineRule="auto"/>
              <w:jc w:val="center"/>
              <w:rPr>
                <w:rFonts w:cs="Arial"/>
                <w:color w:val="000000"/>
                <w:sz w:val="20"/>
                <w:szCs w:val="20"/>
              </w:rPr>
            </w:pPr>
            <w:r w:rsidRPr="00D53B04">
              <w:rPr>
                <w:rFonts w:cs="Arial"/>
                <w:color w:val="000000"/>
                <w:sz w:val="20"/>
                <w:szCs w:val="20"/>
              </w:rPr>
              <w:t>-</w:t>
            </w:r>
          </w:p>
        </w:tc>
        <w:tc>
          <w:tcPr>
            <w:tcW w:w="1882" w:type="dxa"/>
            <w:shd w:val="clear" w:color="auto" w:fill="auto"/>
            <w:vAlign w:val="center"/>
            <w:hideMark/>
          </w:tcPr>
          <w:p w14:paraId="55DBB0F2" w14:textId="77777777" w:rsidR="00141A53" w:rsidRPr="00D53B04" w:rsidRDefault="00141A53" w:rsidP="00F97D7B">
            <w:pPr>
              <w:spacing w:line="240" w:lineRule="auto"/>
              <w:jc w:val="right"/>
              <w:rPr>
                <w:rFonts w:cs="Arial"/>
                <w:color w:val="000000"/>
                <w:sz w:val="20"/>
                <w:szCs w:val="20"/>
              </w:rPr>
            </w:pPr>
            <w:r w:rsidRPr="00D53B04">
              <w:rPr>
                <w:rFonts w:cs="Arial"/>
                <w:color w:val="000000"/>
                <w:sz w:val="20"/>
                <w:szCs w:val="20"/>
              </w:rPr>
              <w:t>PM</w:t>
            </w:r>
          </w:p>
        </w:tc>
        <w:tc>
          <w:tcPr>
            <w:tcW w:w="1759" w:type="dxa"/>
            <w:shd w:val="clear" w:color="auto" w:fill="auto"/>
            <w:vAlign w:val="center"/>
            <w:hideMark/>
          </w:tcPr>
          <w:p w14:paraId="68202534" w14:textId="77777777" w:rsidR="00141A53" w:rsidRPr="00D53B04" w:rsidRDefault="00141A53" w:rsidP="00F97D7B">
            <w:pPr>
              <w:spacing w:line="240" w:lineRule="auto"/>
              <w:jc w:val="right"/>
              <w:rPr>
                <w:rFonts w:cs="Arial"/>
                <w:color w:val="000000"/>
                <w:sz w:val="20"/>
                <w:szCs w:val="20"/>
              </w:rPr>
            </w:pPr>
            <w:r w:rsidRPr="00D53B04">
              <w:rPr>
                <w:rFonts w:cs="Arial"/>
                <w:color w:val="000000"/>
                <w:sz w:val="20"/>
                <w:szCs w:val="20"/>
              </w:rPr>
              <w:t>0</w:t>
            </w:r>
          </w:p>
        </w:tc>
      </w:tr>
      <w:tr w:rsidR="00141A53" w:rsidRPr="002A1EE6" w14:paraId="4FC52070" w14:textId="77777777" w:rsidTr="00F97D7B">
        <w:trPr>
          <w:trHeight w:val="319"/>
        </w:trPr>
        <w:tc>
          <w:tcPr>
            <w:tcW w:w="3666" w:type="dxa"/>
            <w:shd w:val="clear" w:color="auto" w:fill="auto"/>
            <w:vAlign w:val="center"/>
            <w:hideMark/>
          </w:tcPr>
          <w:p w14:paraId="1D3D4E30" w14:textId="77777777" w:rsidR="00141A53" w:rsidRPr="00D53B04" w:rsidRDefault="00141A53" w:rsidP="00F97D7B">
            <w:pPr>
              <w:spacing w:line="240" w:lineRule="auto"/>
              <w:jc w:val="left"/>
              <w:rPr>
                <w:rFonts w:cs="Arial"/>
                <w:color w:val="000000"/>
                <w:sz w:val="20"/>
                <w:szCs w:val="20"/>
              </w:rPr>
            </w:pPr>
            <w:r w:rsidRPr="00D53B04">
              <w:rPr>
                <w:rFonts w:cs="Arial"/>
                <w:color w:val="000000"/>
                <w:sz w:val="20"/>
                <w:szCs w:val="20"/>
              </w:rPr>
              <w:t>Dotation des semences agricoles</w:t>
            </w:r>
          </w:p>
        </w:tc>
        <w:tc>
          <w:tcPr>
            <w:tcW w:w="2004" w:type="dxa"/>
            <w:shd w:val="clear" w:color="auto" w:fill="auto"/>
            <w:vAlign w:val="center"/>
            <w:hideMark/>
          </w:tcPr>
          <w:p w14:paraId="53ED57D6" w14:textId="77777777" w:rsidR="00141A53" w:rsidRPr="00D53B04" w:rsidRDefault="00141A53" w:rsidP="00F97D7B">
            <w:pPr>
              <w:spacing w:line="240" w:lineRule="auto"/>
              <w:jc w:val="center"/>
              <w:rPr>
                <w:rFonts w:cs="Arial"/>
                <w:color w:val="000000"/>
                <w:sz w:val="20"/>
                <w:szCs w:val="20"/>
              </w:rPr>
            </w:pPr>
            <w:r w:rsidRPr="00D53B04">
              <w:rPr>
                <w:rFonts w:cs="Arial"/>
                <w:color w:val="000000"/>
                <w:sz w:val="20"/>
                <w:szCs w:val="20"/>
              </w:rPr>
              <w:t> </w:t>
            </w:r>
          </w:p>
        </w:tc>
        <w:tc>
          <w:tcPr>
            <w:tcW w:w="1882" w:type="dxa"/>
            <w:shd w:val="clear" w:color="auto" w:fill="auto"/>
            <w:vAlign w:val="center"/>
            <w:hideMark/>
          </w:tcPr>
          <w:p w14:paraId="534F82C2" w14:textId="77777777" w:rsidR="00141A53" w:rsidRPr="00D53B04" w:rsidRDefault="00141A53" w:rsidP="00F97D7B">
            <w:pPr>
              <w:spacing w:line="240" w:lineRule="auto"/>
              <w:jc w:val="right"/>
              <w:rPr>
                <w:rFonts w:cs="Arial"/>
                <w:color w:val="000000"/>
                <w:sz w:val="20"/>
                <w:szCs w:val="20"/>
              </w:rPr>
            </w:pPr>
            <w:r w:rsidRPr="00D53B04">
              <w:rPr>
                <w:rFonts w:cs="Arial"/>
                <w:color w:val="000000"/>
                <w:sz w:val="20"/>
                <w:szCs w:val="20"/>
              </w:rPr>
              <w:t>PM</w:t>
            </w:r>
          </w:p>
        </w:tc>
        <w:tc>
          <w:tcPr>
            <w:tcW w:w="1759" w:type="dxa"/>
            <w:shd w:val="clear" w:color="auto" w:fill="auto"/>
            <w:vAlign w:val="center"/>
            <w:hideMark/>
          </w:tcPr>
          <w:p w14:paraId="2C583A66" w14:textId="77777777" w:rsidR="00141A53" w:rsidRPr="00D53B04" w:rsidRDefault="00141A53" w:rsidP="00F97D7B">
            <w:pPr>
              <w:spacing w:line="240" w:lineRule="auto"/>
              <w:jc w:val="right"/>
              <w:rPr>
                <w:rFonts w:cs="Arial"/>
                <w:color w:val="000000"/>
                <w:sz w:val="20"/>
                <w:szCs w:val="20"/>
              </w:rPr>
            </w:pPr>
            <w:r w:rsidRPr="00D53B04">
              <w:rPr>
                <w:rFonts w:cs="Arial"/>
                <w:color w:val="000000"/>
                <w:sz w:val="20"/>
                <w:szCs w:val="20"/>
              </w:rPr>
              <w:t>0</w:t>
            </w:r>
          </w:p>
        </w:tc>
      </w:tr>
      <w:tr w:rsidR="00141A53" w:rsidRPr="002A1EE6" w14:paraId="6D5EBF8C" w14:textId="77777777" w:rsidTr="00F97D7B">
        <w:trPr>
          <w:trHeight w:val="383"/>
        </w:trPr>
        <w:tc>
          <w:tcPr>
            <w:tcW w:w="3666" w:type="dxa"/>
            <w:shd w:val="clear" w:color="auto" w:fill="auto"/>
            <w:vAlign w:val="center"/>
            <w:hideMark/>
          </w:tcPr>
          <w:p w14:paraId="587A4A2B" w14:textId="77777777" w:rsidR="00141A53" w:rsidRPr="00D53B04" w:rsidRDefault="00141A53" w:rsidP="00F97D7B">
            <w:pPr>
              <w:spacing w:line="240" w:lineRule="auto"/>
              <w:jc w:val="left"/>
              <w:rPr>
                <w:rFonts w:cs="Arial"/>
                <w:color w:val="000000"/>
                <w:sz w:val="20"/>
                <w:szCs w:val="20"/>
              </w:rPr>
            </w:pPr>
            <w:r w:rsidRPr="00D53B04">
              <w:rPr>
                <w:rFonts w:cs="Arial"/>
                <w:bCs/>
                <w:color w:val="000000"/>
                <w:sz w:val="20"/>
                <w:szCs w:val="20"/>
              </w:rPr>
              <w:t xml:space="preserve">Formation gestion environnementale et social </w:t>
            </w:r>
          </w:p>
        </w:tc>
        <w:tc>
          <w:tcPr>
            <w:tcW w:w="2004" w:type="dxa"/>
            <w:shd w:val="clear" w:color="auto" w:fill="auto"/>
            <w:vAlign w:val="center"/>
            <w:hideMark/>
          </w:tcPr>
          <w:p w14:paraId="667C3986" w14:textId="77777777" w:rsidR="00141A53" w:rsidRPr="00D53B04" w:rsidRDefault="00141A53" w:rsidP="00F97D7B">
            <w:pPr>
              <w:spacing w:line="240" w:lineRule="auto"/>
              <w:jc w:val="center"/>
              <w:rPr>
                <w:rFonts w:cs="Arial"/>
                <w:color w:val="000000"/>
                <w:sz w:val="20"/>
                <w:szCs w:val="20"/>
              </w:rPr>
            </w:pPr>
            <w:r w:rsidRPr="00D53B04">
              <w:rPr>
                <w:rFonts w:cs="Arial"/>
                <w:color w:val="000000"/>
                <w:sz w:val="20"/>
                <w:szCs w:val="20"/>
              </w:rPr>
              <w:t>2</w:t>
            </w:r>
          </w:p>
        </w:tc>
        <w:tc>
          <w:tcPr>
            <w:tcW w:w="1882" w:type="dxa"/>
            <w:shd w:val="clear" w:color="auto" w:fill="auto"/>
            <w:vAlign w:val="center"/>
            <w:hideMark/>
          </w:tcPr>
          <w:p w14:paraId="46B7A4B8" w14:textId="77777777" w:rsidR="00141A53" w:rsidRPr="00D53B04" w:rsidRDefault="00141A53" w:rsidP="00F97D7B">
            <w:pPr>
              <w:spacing w:line="240" w:lineRule="auto"/>
              <w:jc w:val="right"/>
              <w:rPr>
                <w:rFonts w:cs="Arial"/>
                <w:color w:val="000000"/>
                <w:sz w:val="20"/>
                <w:szCs w:val="20"/>
              </w:rPr>
            </w:pPr>
            <w:r w:rsidRPr="00D53B04">
              <w:rPr>
                <w:rFonts w:cs="Arial"/>
                <w:color w:val="000000"/>
                <w:sz w:val="20"/>
                <w:szCs w:val="20"/>
              </w:rPr>
              <w:t>50 000</w:t>
            </w:r>
          </w:p>
        </w:tc>
        <w:tc>
          <w:tcPr>
            <w:tcW w:w="1759" w:type="dxa"/>
            <w:shd w:val="clear" w:color="auto" w:fill="auto"/>
            <w:vAlign w:val="center"/>
            <w:hideMark/>
          </w:tcPr>
          <w:p w14:paraId="0E36F4EC" w14:textId="77777777" w:rsidR="00141A53" w:rsidRPr="00D53B04" w:rsidRDefault="00141A53" w:rsidP="00F97D7B">
            <w:pPr>
              <w:spacing w:line="240" w:lineRule="auto"/>
              <w:jc w:val="right"/>
              <w:rPr>
                <w:rFonts w:cs="Arial"/>
                <w:color w:val="000000"/>
                <w:sz w:val="20"/>
                <w:szCs w:val="20"/>
              </w:rPr>
            </w:pPr>
            <w:r w:rsidRPr="00D53B04">
              <w:rPr>
                <w:rFonts w:cs="Arial"/>
                <w:color w:val="000000"/>
                <w:sz w:val="20"/>
                <w:szCs w:val="20"/>
              </w:rPr>
              <w:t>100 000</w:t>
            </w:r>
          </w:p>
        </w:tc>
      </w:tr>
      <w:tr w:rsidR="00141A53" w:rsidRPr="002A1EE6" w14:paraId="12F17117" w14:textId="77777777" w:rsidTr="00F97D7B">
        <w:trPr>
          <w:trHeight w:val="150"/>
        </w:trPr>
        <w:tc>
          <w:tcPr>
            <w:tcW w:w="3666" w:type="dxa"/>
            <w:shd w:val="clear" w:color="auto" w:fill="auto"/>
            <w:vAlign w:val="center"/>
            <w:hideMark/>
          </w:tcPr>
          <w:p w14:paraId="66E75871" w14:textId="0A8A5E2B" w:rsidR="00141A53" w:rsidRPr="00D53B04" w:rsidRDefault="00141A53" w:rsidP="00F97D7B">
            <w:pPr>
              <w:spacing w:line="240" w:lineRule="auto"/>
              <w:jc w:val="left"/>
              <w:rPr>
                <w:rFonts w:cs="Arial"/>
                <w:color w:val="000000"/>
                <w:sz w:val="20"/>
                <w:szCs w:val="20"/>
              </w:rPr>
            </w:pPr>
            <w:r w:rsidRPr="00D53B04">
              <w:rPr>
                <w:rFonts w:cs="Arial"/>
                <w:color w:val="000000"/>
                <w:sz w:val="20"/>
                <w:szCs w:val="20"/>
              </w:rPr>
              <w:t>Plan d’action EAS/HS, y compris les procédures spécifiques du MGP pour les plaintes d’EAS/HS</w:t>
            </w:r>
            <w:r w:rsidR="001121BF" w:rsidRPr="00D53B04">
              <w:rPr>
                <w:rFonts w:cs="Arial"/>
                <w:color w:val="000000"/>
                <w:sz w:val="20"/>
                <w:szCs w:val="20"/>
              </w:rPr>
              <w:t xml:space="preserve"> (annexe 15)</w:t>
            </w:r>
          </w:p>
        </w:tc>
        <w:tc>
          <w:tcPr>
            <w:tcW w:w="2004" w:type="dxa"/>
            <w:shd w:val="clear" w:color="auto" w:fill="auto"/>
            <w:vAlign w:val="center"/>
            <w:hideMark/>
          </w:tcPr>
          <w:p w14:paraId="5438C72F" w14:textId="77777777" w:rsidR="00141A53" w:rsidRPr="00D53B04" w:rsidRDefault="00141A53" w:rsidP="00F97D7B">
            <w:pPr>
              <w:spacing w:line="240" w:lineRule="auto"/>
              <w:jc w:val="center"/>
              <w:rPr>
                <w:rFonts w:cs="Arial"/>
                <w:color w:val="000000"/>
                <w:sz w:val="20"/>
                <w:szCs w:val="20"/>
              </w:rPr>
            </w:pPr>
            <w:r w:rsidRPr="00D53B04">
              <w:rPr>
                <w:rFonts w:cs="Arial"/>
                <w:color w:val="000000"/>
                <w:sz w:val="20"/>
                <w:szCs w:val="20"/>
              </w:rPr>
              <w:t>-</w:t>
            </w:r>
          </w:p>
        </w:tc>
        <w:tc>
          <w:tcPr>
            <w:tcW w:w="1882" w:type="dxa"/>
            <w:shd w:val="clear" w:color="auto" w:fill="auto"/>
            <w:vAlign w:val="center"/>
            <w:hideMark/>
          </w:tcPr>
          <w:p w14:paraId="213E31A4" w14:textId="77777777" w:rsidR="00141A53" w:rsidRPr="00D53B04" w:rsidRDefault="00141A53" w:rsidP="00F97D7B">
            <w:pPr>
              <w:spacing w:line="240" w:lineRule="auto"/>
              <w:jc w:val="right"/>
              <w:rPr>
                <w:rFonts w:cs="Arial"/>
                <w:color w:val="000000"/>
                <w:sz w:val="20"/>
                <w:szCs w:val="20"/>
              </w:rPr>
            </w:pPr>
            <w:r w:rsidRPr="00D53B04">
              <w:rPr>
                <w:rFonts w:cs="Arial"/>
                <w:color w:val="000000"/>
                <w:sz w:val="20"/>
                <w:szCs w:val="20"/>
              </w:rPr>
              <w:t> -</w:t>
            </w:r>
          </w:p>
        </w:tc>
        <w:tc>
          <w:tcPr>
            <w:tcW w:w="1759" w:type="dxa"/>
            <w:shd w:val="clear" w:color="auto" w:fill="auto"/>
            <w:vAlign w:val="center"/>
            <w:hideMark/>
          </w:tcPr>
          <w:p w14:paraId="6A0312B4" w14:textId="4B688E98" w:rsidR="00141A53" w:rsidRPr="00D53B04" w:rsidRDefault="00544F9E" w:rsidP="00F97D7B">
            <w:pPr>
              <w:spacing w:line="240" w:lineRule="auto"/>
              <w:jc w:val="right"/>
              <w:rPr>
                <w:rFonts w:cs="Arial"/>
                <w:color w:val="000000"/>
                <w:sz w:val="20"/>
                <w:szCs w:val="20"/>
              </w:rPr>
            </w:pPr>
            <w:r w:rsidRPr="00D53B04">
              <w:rPr>
                <w:rFonts w:cs="Arial"/>
                <w:color w:val="000000"/>
                <w:sz w:val="20"/>
                <w:szCs w:val="20"/>
              </w:rPr>
              <w:t>7 530 000</w:t>
            </w:r>
          </w:p>
        </w:tc>
      </w:tr>
      <w:tr w:rsidR="00141A53" w:rsidRPr="002A1EE6" w14:paraId="723BDAD4" w14:textId="77777777" w:rsidTr="00F97D7B">
        <w:trPr>
          <w:trHeight w:val="231"/>
        </w:trPr>
        <w:tc>
          <w:tcPr>
            <w:tcW w:w="3666" w:type="dxa"/>
            <w:vMerge w:val="restart"/>
            <w:shd w:val="clear" w:color="auto" w:fill="auto"/>
            <w:vAlign w:val="center"/>
            <w:hideMark/>
          </w:tcPr>
          <w:p w14:paraId="538C2FD5" w14:textId="77777777" w:rsidR="00141A53" w:rsidRPr="00D53B04" w:rsidRDefault="00141A53" w:rsidP="00F97D7B">
            <w:pPr>
              <w:spacing w:line="240" w:lineRule="auto"/>
              <w:jc w:val="left"/>
              <w:rPr>
                <w:rFonts w:cs="Arial"/>
                <w:color w:val="000000"/>
                <w:sz w:val="20"/>
                <w:szCs w:val="20"/>
              </w:rPr>
            </w:pPr>
            <w:r w:rsidRPr="00D53B04">
              <w:rPr>
                <w:rFonts w:cs="Arial"/>
                <w:bCs/>
                <w:color w:val="000000"/>
                <w:sz w:val="20"/>
                <w:szCs w:val="20"/>
              </w:rPr>
              <w:t>Suivi/évaluation à mi-parcours et finale du CGES du PNDA et Audits</w:t>
            </w:r>
          </w:p>
        </w:tc>
        <w:tc>
          <w:tcPr>
            <w:tcW w:w="2004" w:type="dxa"/>
            <w:shd w:val="clear" w:color="auto" w:fill="auto"/>
            <w:vAlign w:val="center"/>
            <w:hideMark/>
          </w:tcPr>
          <w:p w14:paraId="4413EC39" w14:textId="77777777" w:rsidR="00141A53" w:rsidRPr="00D53B04" w:rsidRDefault="00141A53" w:rsidP="00F97D7B">
            <w:pPr>
              <w:spacing w:line="240" w:lineRule="auto"/>
              <w:jc w:val="center"/>
              <w:rPr>
                <w:rFonts w:cs="Arial"/>
                <w:color w:val="000000"/>
                <w:sz w:val="20"/>
                <w:szCs w:val="20"/>
              </w:rPr>
            </w:pPr>
            <w:r w:rsidRPr="00D53B04">
              <w:rPr>
                <w:rFonts w:cs="Arial"/>
                <w:color w:val="000000"/>
                <w:sz w:val="20"/>
                <w:szCs w:val="20"/>
              </w:rPr>
              <w:t>10</w:t>
            </w:r>
          </w:p>
        </w:tc>
        <w:tc>
          <w:tcPr>
            <w:tcW w:w="1882" w:type="dxa"/>
            <w:shd w:val="clear" w:color="auto" w:fill="auto"/>
            <w:vAlign w:val="center"/>
            <w:hideMark/>
          </w:tcPr>
          <w:p w14:paraId="4B5A2B7C" w14:textId="77777777" w:rsidR="00141A53" w:rsidRPr="00D53B04" w:rsidRDefault="00141A53" w:rsidP="00F97D7B">
            <w:pPr>
              <w:spacing w:line="240" w:lineRule="auto"/>
              <w:jc w:val="right"/>
              <w:rPr>
                <w:rFonts w:cs="Arial"/>
                <w:color w:val="000000"/>
                <w:sz w:val="20"/>
                <w:szCs w:val="20"/>
              </w:rPr>
            </w:pPr>
            <w:r w:rsidRPr="00D53B04">
              <w:rPr>
                <w:rFonts w:cs="Arial"/>
                <w:color w:val="000000"/>
                <w:sz w:val="20"/>
                <w:szCs w:val="20"/>
              </w:rPr>
              <w:t>30 000</w:t>
            </w:r>
          </w:p>
        </w:tc>
        <w:tc>
          <w:tcPr>
            <w:tcW w:w="1759" w:type="dxa"/>
            <w:shd w:val="clear" w:color="auto" w:fill="auto"/>
            <w:vAlign w:val="center"/>
            <w:hideMark/>
          </w:tcPr>
          <w:p w14:paraId="5D4319A6" w14:textId="77777777" w:rsidR="00141A53" w:rsidRPr="00D53B04" w:rsidRDefault="00141A53" w:rsidP="00F97D7B">
            <w:pPr>
              <w:spacing w:line="240" w:lineRule="auto"/>
              <w:jc w:val="right"/>
              <w:rPr>
                <w:rFonts w:cs="Arial"/>
                <w:color w:val="000000"/>
                <w:sz w:val="20"/>
                <w:szCs w:val="20"/>
              </w:rPr>
            </w:pPr>
            <w:r w:rsidRPr="00D53B04">
              <w:rPr>
                <w:rFonts w:cs="Arial"/>
                <w:color w:val="000000"/>
                <w:sz w:val="20"/>
                <w:szCs w:val="20"/>
              </w:rPr>
              <w:t>300 000</w:t>
            </w:r>
          </w:p>
        </w:tc>
      </w:tr>
      <w:tr w:rsidR="00141A53" w:rsidRPr="002A1EE6" w14:paraId="4E2FB5F5" w14:textId="77777777" w:rsidTr="00F97D7B">
        <w:trPr>
          <w:trHeight w:val="174"/>
        </w:trPr>
        <w:tc>
          <w:tcPr>
            <w:tcW w:w="3666" w:type="dxa"/>
            <w:vMerge/>
            <w:vAlign w:val="center"/>
            <w:hideMark/>
          </w:tcPr>
          <w:p w14:paraId="7D46FBEF" w14:textId="77777777" w:rsidR="00141A53" w:rsidRPr="00D53B04" w:rsidRDefault="00141A53" w:rsidP="00F97D7B">
            <w:pPr>
              <w:spacing w:line="240" w:lineRule="auto"/>
              <w:jc w:val="left"/>
              <w:rPr>
                <w:rFonts w:cs="Arial"/>
                <w:color w:val="000000"/>
                <w:sz w:val="20"/>
                <w:szCs w:val="20"/>
              </w:rPr>
            </w:pPr>
          </w:p>
        </w:tc>
        <w:tc>
          <w:tcPr>
            <w:tcW w:w="2004" w:type="dxa"/>
            <w:shd w:val="clear" w:color="auto" w:fill="auto"/>
            <w:vAlign w:val="center"/>
            <w:hideMark/>
          </w:tcPr>
          <w:p w14:paraId="273C0905" w14:textId="77777777" w:rsidR="00141A53" w:rsidRPr="00D53B04" w:rsidRDefault="00141A53" w:rsidP="00F97D7B">
            <w:pPr>
              <w:spacing w:line="240" w:lineRule="auto"/>
              <w:jc w:val="center"/>
              <w:rPr>
                <w:rFonts w:cs="Arial"/>
                <w:color w:val="000000"/>
                <w:sz w:val="20"/>
                <w:szCs w:val="20"/>
              </w:rPr>
            </w:pPr>
            <w:r w:rsidRPr="00D53B04">
              <w:rPr>
                <w:rFonts w:cs="Arial"/>
                <w:color w:val="000000"/>
                <w:sz w:val="20"/>
                <w:szCs w:val="20"/>
              </w:rPr>
              <w:t>10</w:t>
            </w:r>
          </w:p>
        </w:tc>
        <w:tc>
          <w:tcPr>
            <w:tcW w:w="1882" w:type="dxa"/>
            <w:shd w:val="clear" w:color="auto" w:fill="auto"/>
            <w:vAlign w:val="center"/>
            <w:hideMark/>
          </w:tcPr>
          <w:p w14:paraId="4532CEC5" w14:textId="77777777" w:rsidR="00141A53" w:rsidRPr="00D53B04" w:rsidRDefault="00141A53" w:rsidP="00F97D7B">
            <w:pPr>
              <w:spacing w:line="240" w:lineRule="auto"/>
              <w:jc w:val="right"/>
              <w:rPr>
                <w:rFonts w:cs="Arial"/>
                <w:color w:val="000000"/>
                <w:sz w:val="20"/>
                <w:szCs w:val="20"/>
              </w:rPr>
            </w:pPr>
            <w:r w:rsidRPr="00D53B04">
              <w:rPr>
                <w:rFonts w:cs="Arial"/>
                <w:color w:val="000000"/>
                <w:sz w:val="20"/>
                <w:szCs w:val="20"/>
              </w:rPr>
              <w:t>30 000</w:t>
            </w:r>
          </w:p>
        </w:tc>
        <w:tc>
          <w:tcPr>
            <w:tcW w:w="1759" w:type="dxa"/>
            <w:shd w:val="clear" w:color="auto" w:fill="auto"/>
            <w:vAlign w:val="center"/>
            <w:hideMark/>
          </w:tcPr>
          <w:p w14:paraId="4933401F" w14:textId="77777777" w:rsidR="00141A53" w:rsidRPr="00D53B04" w:rsidRDefault="00141A53" w:rsidP="00F97D7B">
            <w:pPr>
              <w:spacing w:line="240" w:lineRule="auto"/>
              <w:jc w:val="right"/>
              <w:rPr>
                <w:rFonts w:cs="Arial"/>
                <w:color w:val="000000"/>
                <w:sz w:val="20"/>
                <w:szCs w:val="20"/>
              </w:rPr>
            </w:pPr>
            <w:r w:rsidRPr="00D53B04">
              <w:rPr>
                <w:rFonts w:cs="Arial"/>
                <w:color w:val="000000"/>
                <w:sz w:val="20"/>
                <w:szCs w:val="20"/>
              </w:rPr>
              <w:t>300 000</w:t>
            </w:r>
          </w:p>
        </w:tc>
      </w:tr>
      <w:tr w:rsidR="00141A53" w:rsidRPr="002A1EE6" w14:paraId="62CC25E8" w14:textId="77777777" w:rsidTr="00F97D7B">
        <w:trPr>
          <w:trHeight w:val="174"/>
        </w:trPr>
        <w:tc>
          <w:tcPr>
            <w:tcW w:w="7552" w:type="dxa"/>
            <w:gridSpan w:val="3"/>
            <w:shd w:val="clear" w:color="auto" w:fill="auto"/>
            <w:vAlign w:val="center"/>
            <w:hideMark/>
          </w:tcPr>
          <w:p w14:paraId="176469E6" w14:textId="77777777" w:rsidR="00141A53" w:rsidRPr="00D53B04" w:rsidRDefault="00141A53" w:rsidP="00F97D7B">
            <w:pPr>
              <w:spacing w:line="240" w:lineRule="auto"/>
              <w:jc w:val="left"/>
              <w:rPr>
                <w:rFonts w:cs="Arial"/>
                <w:color w:val="000000"/>
                <w:sz w:val="20"/>
                <w:szCs w:val="20"/>
              </w:rPr>
            </w:pPr>
            <w:r w:rsidRPr="00D53B04">
              <w:rPr>
                <w:rFonts w:cs="Arial"/>
                <w:bCs/>
                <w:color w:val="000000"/>
                <w:sz w:val="20"/>
                <w:szCs w:val="20"/>
              </w:rPr>
              <w:t>TOTAL</w:t>
            </w:r>
          </w:p>
        </w:tc>
        <w:tc>
          <w:tcPr>
            <w:tcW w:w="1759" w:type="dxa"/>
            <w:shd w:val="clear" w:color="auto" w:fill="auto"/>
            <w:vAlign w:val="bottom"/>
            <w:hideMark/>
          </w:tcPr>
          <w:p w14:paraId="023F53A2" w14:textId="77777777" w:rsidR="00141A53" w:rsidRPr="00D53B04" w:rsidRDefault="00141A53" w:rsidP="00F97D7B">
            <w:pPr>
              <w:spacing w:line="240" w:lineRule="auto"/>
              <w:jc w:val="right"/>
              <w:rPr>
                <w:rFonts w:cs="Arial"/>
                <w:color w:val="000000"/>
                <w:sz w:val="20"/>
                <w:szCs w:val="20"/>
              </w:rPr>
            </w:pPr>
            <w:r w:rsidRPr="00D53B04">
              <w:rPr>
                <w:rFonts w:cs="Arial"/>
                <w:color w:val="000000"/>
                <w:sz w:val="20"/>
                <w:szCs w:val="20"/>
              </w:rPr>
              <w:t>14 446 300</w:t>
            </w:r>
          </w:p>
          <w:p w14:paraId="52780E5F" w14:textId="77777777" w:rsidR="00141A53" w:rsidRPr="00D53B04" w:rsidRDefault="00141A53" w:rsidP="00F97D7B">
            <w:pPr>
              <w:spacing w:line="240" w:lineRule="auto"/>
              <w:jc w:val="right"/>
              <w:rPr>
                <w:rFonts w:cs="Arial"/>
                <w:color w:val="000000"/>
                <w:sz w:val="20"/>
                <w:szCs w:val="20"/>
              </w:rPr>
            </w:pPr>
          </w:p>
        </w:tc>
      </w:tr>
      <w:tr w:rsidR="00141A53" w:rsidRPr="002A1EE6" w14:paraId="607E95EB" w14:textId="77777777" w:rsidTr="00F97D7B">
        <w:trPr>
          <w:trHeight w:val="493"/>
        </w:trPr>
        <w:tc>
          <w:tcPr>
            <w:tcW w:w="3666" w:type="dxa"/>
            <w:shd w:val="clear" w:color="auto" w:fill="auto"/>
            <w:vAlign w:val="center"/>
            <w:hideMark/>
          </w:tcPr>
          <w:p w14:paraId="4CD72C7E" w14:textId="77777777" w:rsidR="00141A53" w:rsidRPr="00D53B04" w:rsidRDefault="00141A53" w:rsidP="00F97D7B">
            <w:pPr>
              <w:spacing w:line="240" w:lineRule="auto"/>
              <w:jc w:val="left"/>
              <w:rPr>
                <w:rFonts w:cs="Arial"/>
                <w:color w:val="000000"/>
                <w:sz w:val="20"/>
                <w:szCs w:val="20"/>
              </w:rPr>
            </w:pPr>
            <w:r w:rsidRPr="00D53B04">
              <w:rPr>
                <w:rFonts w:cs="Arial"/>
                <w:bCs/>
                <w:color w:val="000000"/>
                <w:sz w:val="20"/>
                <w:szCs w:val="20"/>
              </w:rPr>
              <w:t>Imprévus et divers (5 %)</w:t>
            </w:r>
          </w:p>
        </w:tc>
        <w:tc>
          <w:tcPr>
            <w:tcW w:w="2004" w:type="dxa"/>
            <w:shd w:val="clear" w:color="auto" w:fill="auto"/>
            <w:vAlign w:val="center"/>
            <w:hideMark/>
          </w:tcPr>
          <w:p w14:paraId="75D2B73C" w14:textId="77777777" w:rsidR="00141A53" w:rsidRPr="00D53B04" w:rsidRDefault="00141A53" w:rsidP="00F97D7B">
            <w:pPr>
              <w:spacing w:line="240" w:lineRule="auto"/>
              <w:jc w:val="center"/>
              <w:rPr>
                <w:rFonts w:cs="Arial"/>
                <w:color w:val="000000"/>
                <w:sz w:val="20"/>
                <w:szCs w:val="20"/>
              </w:rPr>
            </w:pPr>
            <w:r w:rsidRPr="00D53B04">
              <w:rPr>
                <w:rFonts w:cs="Arial"/>
                <w:color w:val="000000"/>
                <w:sz w:val="20"/>
                <w:szCs w:val="20"/>
              </w:rPr>
              <w:t>0,05</w:t>
            </w:r>
          </w:p>
        </w:tc>
        <w:tc>
          <w:tcPr>
            <w:tcW w:w="1882" w:type="dxa"/>
            <w:shd w:val="clear" w:color="auto" w:fill="auto"/>
            <w:vAlign w:val="center"/>
            <w:hideMark/>
          </w:tcPr>
          <w:p w14:paraId="2FCC745B" w14:textId="77777777" w:rsidR="00141A53" w:rsidRPr="00D53B04" w:rsidRDefault="00141A53" w:rsidP="00F97D7B">
            <w:pPr>
              <w:spacing w:line="240" w:lineRule="auto"/>
              <w:jc w:val="right"/>
              <w:rPr>
                <w:rFonts w:cs="Arial"/>
                <w:color w:val="000000"/>
                <w:sz w:val="20"/>
                <w:szCs w:val="20"/>
              </w:rPr>
            </w:pPr>
            <w:r w:rsidRPr="00D53B04">
              <w:rPr>
                <w:rFonts w:cs="Arial"/>
                <w:color w:val="000000"/>
                <w:sz w:val="20"/>
                <w:szCs w:val="20"/>
              </w:rPr>
              <w:t> </w:t>
            </w:r>
          </w:p>
        </w:tc>
        <w:tc>
          <w:tcPr>
            <w:tcW w:w="1759" w:type="dxa"/>
            <w:shd w:val="clear" w:color="auto" w:fill="auto"/>
            <w:vAlign w:val="center"/>
            <w:hideMark/>
          </w:tcPr>
          <w:p w14:paraId="51988EC4" w14:textId="77777777" w:rsidR="00141A53" w:rsidRPr="00D53B04" w:rsidRDefault="00141A53" w:rsidP="00F97D7B">
            <w:pPr>
              <w:spacing w:line="240" w:lineRule="auto"/>
              <w:jc w:val="center"/>
              <w:rPr>
                <w:rFonts w:cs="Arial"/>
                <w:color w:val="000000"/>
                <w:sz w:val="20"/>
                <w:szCs w:val="20"/>
              </w:rPr>
            </w:pPr>
            <w:r w:rsidRPr="00D53B04">
              <w:rPr>
                <w:rFonts w:cs="Arial"/>
                <w:color w:val="000000"/>
                <w:sz w:val="20"/>
                <w:szCs w:val="20"/>
              </w:rPr>
              <w:t xml:space="preserve"> 722 315</w:t>
            </w:r>
          </w:p>
          <w:p w14:paraId="64A9C885" w14:textId="77777777" w:rsidR="00141A53" w:rsidRPr="00D53B04" w:rsidRDefault="00141A53" w:rsidP="00F97D7B">
            <w:pPr>
              <w:spacing w:line="240" w:lineRule="auto"/>
              <w:jc w:val="center"/>
              <w:rPr>
                <w:rFonts w:cs="Arial"/>
                <w:color w:val="000000"/>
                <w:sz w:val="20"/>
                <w:szCs w:val="20"/>
              </w:rPr>
            </w:pPr>
          </w:p>
        </w:tc>
      </w:tr>
      <w:tr w:rsidR="00141A53" w:rsidRPr="002A1EE6" w14:paraId="4F7A92A6" w14:textId="77777777" w:rsidTr="00F97D7B">
        <w:trPr>
          <w:trHeight w:val="174"/>
        </w:trPr>
        <w:tc>
          <w:tcPr>
            <w:tcW w:w="7552" w:type="dxa"/>
            <w:gridSpan w:val="3"/>
            <w:shd w:val="clear" w:color="auto" w:fill="auto"/>
            <w:vAlign w:val="center"/>
            <w:hideMark/>
          </w:tcPr>
          <w:p w14:paraId="734A3F05" w14:textId="77777777" w:rsidR="00141A53" w:rsidRPr="00D53B04" w:rsidRDefault="00141A53" w:rsidP="00F97D7B">
            <w:pPr>
              <w:spacing w:line="240" w:lineRule="auto"/>
              <w:jc w:val="center"/>
              <w:rPr>
                <w:rFonts w:cs="Arial"/>
                <w:color w:val="000000"/>
                <w:sz w:val="20"/>
                <w:szCs w:val="20"/>
              </w:rPr>
            </w:pPr>
            <w:r w:rsidRPr="00D53B04">
              <w:rPr>
                <w:rFonts w:cs="Arial"/>
                <w:color w:val="000000"/>
                <w:sz w:val="20"/>
                <w:szCs w:val="20"/>
              </w:rPr>
              <w:t>GRAND TOTAL</w:t>
            </w:r>
          </w:p>
        </w:tc>
        <w:tc>
          <w:tcPr>
            <w:tcW w:w="1759" w:type="dxa"/>
            <w:shd w:val="clear" w:color="auto" w:fill="auto"/>
            <w:vAlign w:val="center"/>
            <w:hideMark/>
          </w:tcPr>
          <w:p w14:paraId="02609D2E" w14:textId="053343CD" w:rsidR="00141A53" w:rsidRPr="00D53B04" w:rsidRDefault="00544F9E" w:rsidP="00F97D7B">
            <w:pPr>
              <w:spacing w:line="240" w:lineRule="auto"/>
              <w:jc w:val="right"/>
              <w:rPr>
                <w:rFonts w:cs="Arial"/>
                <w:color w:val="000000"/>
                <w:sz w:val="20"/>
                <w:szCs w:val="20"/>
              </w:rPr>
            </w:pPr>
            <w:r w:rsidRPr="00D53B04">
              <w:rPr>
                <w:rFonts w:cs="Arial"/>
                <w:color w:val="000000"/>
                <w:sz w:val="20"/>
                <w:szCs w:val="20"/>
              </w:rPr>
              <w:t>18 675 330</w:t>
            </w:r>
          </w:p>
        </w:tc>
      </w:tr>
    </w:tbl>
    <w:p w14:paraId="2C58D934" w14:textId="60F7588C" w:rsidR="00141A53" w:rsidRDefault="00141A53" w:rsidP="001C2F95">
      <w:pPr>
        <w:keepNext/>
        <w:rPr>
          <w:rFonts w:eastAsia="Calibri" w:cs="Arial"/>
          <w:bCs/>
          <w:szCs w:val="21"/>
        </w:rPr>
      </w:pPr>
    </w:p>
    <w:p w14:paraId="0C0CDA90" w14:textId="40B05408" w:rsidR="00E4470C" w:rsidRDefault="00E4470C" w:rsidP="001C2F95">
      <w:pPr>
        <w:keepNext/>
        <w:rPr>
          <w:rFonts w:eastAsia="Calibri" w:cs="Arial"/>
          <w:bCs/>
          <w:szCs w:val="21"/>
        </w:rPr>
      </w:pPr>
    </w:p>
    <w:p w14:paraId="47947B64" w14:textId="77777777" w:rsidR="00E4470C" w:rsidRDefault="00E4470C" w:rsidP="001C2F95">
      <w:pPr>
        <w:keepNext/>
        <w:rPr>
          <w:rFonts w:eastAsia="Calibri" w:cs="Arial"/>
          <w:bCs/>
          <w:szCs w:val="21"/>
        </w:rPr>
      </w:pPr>
    </w:p>
    <w:p w14:paraId="2870F231" w14:textId="52194469" w:rsidR="00E4470C" w:rsidRDefault="00E4470C" w:rsidP="001C2F95">
      <w:pPr>
        <w:keepNext/>
        <w:rPr>
          <w:rFonts w:eastAsia="Calibri" w:cs="Arial"/>
          <w:bCs/>
          <w:szCs w:val="21"/>
        </w:rPr>
      </w:pPr>
    </w:p>
    <w:p w14:paraId="679163C6" w14:textId="77777777" w:rsidR="001C2F95" w:rsidRPr="00D53B04" w:rsidRDefault="001C2F95" w:rsidP="002378EA">
      <w:pPr>
        <w:numPr>
          <w:ilvl w:val="0"/>
          <w:numId w:val="66"/>
        </w:numPr>
        <w:spacing w:line="240" w:lineRule="auto"/>
        <w:rPr>
          <w:rFonts w:cs="Arial"/>
          <w:color w:val="000000"/>
          <w:szCs w:val="21"/>
        </w:rPr>
      </w:pPr>
      <w:bookmarkStart w:id="94" w:name="_Toc44626786"/>
      <w:bookmarkStart w:id="95" w:name="_Toc45269120"/>
      <w:bookmarkStart w:id="96" w:name="_Toc45269664"/>
      <w:r w:rsidRPr="00D53B04">
        <w:rPr>
          <w:rFonts w:cs="Arial"/>
          <w:color w:val="000000"/>
          <w:szCs w:val="21"/>
        </w:rPr>
        <w:t>Mécanisme de Gestion des Plaintes global (MGP)</w:t>
      </w:r>
    </w:p>
    <w:p w14:paraId="4FAD927F" w14:textId="77777777" w:rsidR="001C2F95" w:rsidRPr="00D53B04" w:rsidRDefault="001C2F95" w:rsidP="001C2F95">
      <w:pPr>
        <w:spacing w:line="240" w:lineRule="auto"/>
        <w:rPr>
          <w:rFonts w:cs="Arial"/>
          <w:color w:val="000000"/>
          <w:szCs w:val="21"/>
        </w:rPr>
      </w:pPr>
    </w:p>
    <w:p w14:paraId="50D9FDBC" w14:textId="77777777" w:rsidR="001C2F95" w:rsidRPr="00D53B04" w:rsidRDefault="001C2F95" w:rsidP="001C2F95">
      <w:pPr>
        <w:spacing w:line="240" w:lineRule="auto"/>
        <w:rPr>
          <w:rFonts w:cs="Arial"/>
          <w:color w:val="000000"/>
          <w:szCs w:val="21"/>
        </w:rPr>
      </w:pPr>
      <w:r w:rsidRPr="00D53B04">
        <w:rPr>
          <w:rFonts w:cs="Arial"/>
          <w:color w:val="000000"/>
          <w:szCs w:val="21"/>
        </w:rPr>
        <w:t>Un Mécanisme de Gestion des Plaintes est mis en place conformément à la NES 10 : mobilisation des parties prenantes et information. Le MGP du PNDA sera accessible à toutes les parties prenantes au programme, y compris les personnes vulnérables. En outre, des procédures spécifiques au traitement éthique et confidentiel des plaintes liées à l’EAS/HS seront incluses dans le MGP. Le MGP préconise le mécanisme de résolution à l’amiable, en dehors des cas d’EAS/HS</w:t>
      </w:r>
      <w:r w:rsidRPr="00D53B04">
        <w:rPr>
          <w:rFonts w:cs="Arial"/>
          <w:szCs w:val="21"/>
        </w:rPr>
        <w:t>.</w:t>
      </w:r>
      <w:bookmarkEnd w:id="94"/>
      <w:bookmarkEnd w:id="95"/>
      <w:bookmarkEnd w:id="96"/>
    </w:p>
    <w:p w14:paraId="55E7E8D7" w14:textId="658628F9" w:rsidR="001C2F95" w:rsidRPr="00D53B04" w:rsidRDefault="001C2F95" w:rsidP="001C2F95">
      <w:pPr>
        <w:rPr>
          <w:rFonts w:cs="Arial"/>
          <w:szCs w:val="21"/>
        </w:rPr>
      </w:pPr>
      <w:r w:rsidRPr="00D53B04">
        <w:rPr>
          <w:rFonts w:cs="Arial"/>
          <w:szCs w:val="21"/>
        </w:rPr>
        <w:t xml:space="preserve">Trois niveaux de résolution des plaintes avec des comités mis en place. Il s’agit de : </w:t>
      </w:r>
      <w:r w:rsidRPr="00D53B04">
        <w:rPr>
          <w:rFonts w:cs="Arial"/>
          <w:i/>
          <w:szCs w:val="21"/>
        </w:rPr>
        <w:t>(i)</w:t>
      </w:r>
      <w:r w:rsidRPr="00D53B04">
        <w:rPr>
          <w:rFonts w:cs="Arial"/>
          <w:szCs w:val="21"/>
        </w:rPr>
        <w:t xml:space="preserve"> </w:t>
      </w:r>
      <w:r w:rsidRPr="00D53B04">
        <w:rPr>
          <w:rFonts w:cs="Arial"/>
          <w:szCs w:val="21"/>
          <w:u w:val="single"/>
        </w:rPr>
        <w:t xml:space="preserve">Niveau quartier/village : </w:t>
      </w:r>
      <w:r w:rsidRPr="00D53B04">
        <w:rPr>
          <w:rFonts w:cs="Arial"/>
          <w:i/>
          <w:szCs w:val="21"/>
          <w:u w:val="single"/>
        </w:rPr>
        <w:t xml:space="preserve">(ii) </w:t>
      </w:r>
      <w:r w:rsidRPr="00D53B04">
        <w:rPr>
          <w:rFonts w:cs="Arial"/>
          <w:szCs w:val="21"/>
          <w:u w:val="single"/>
        </w:rPr>
        <w:t xml:space="preserve">Niveau communal / territorial : </w:t>
      </w:r>
      <w:r w:rsidRPr="00D53B04">
        <w:rPr>
          <w:rFonts w:cs="Arial"/>
          <w:i/>
          <w:szCs w:val="21"/>
          <w:u w:val="single"/>
        </w:rPr>
        <w:t>(iii)</w:t>
      </w:r>
      <w:r w:rsidRPr="00D53B04">
        <w:rPr>
          <w:rFonts w:cs="Arial"/>
          <w:szCs w:val="21"/>
          <w:u w:val="single"/>
        </w:rPr>
        <w:t xml:space="preserve"> Niveau provincial</w:t>
      </w:r>
      <w:r w:rsidRPr="00D53B04">
        <w:rPr>
          <w:rFonts w:cs="Arial"/>
          <w:szCs w:val="21"/>
        </w:rPr>
        <w:t xml:space="preserve">. </w:t>
      </w:r>
    </w:p>
    <w:p w14:paraId="3CDC6E40" w14:textId="77777777" w:rsidR="001C2F95" w:rsidRPr="00D53B04" w:rsidRDefault="001C2F95" w:rsidP="001C2F95">
      <w:pPr>
        <w:spacing w:line="240" w:lineRule="auto"/>
        <w:rPr>
          <w:rFonts w:cs="Arial"/>
          <w:b/>
          <w:i/>
          <w:szCs w:val="21"/>
          <w:lang w:bidi="fr-FR"/>
        </w:rPr>
      </w:pPr>
    </w:p>
    <w:p w14:paraId="6F7E6789" w14:textId="77777777" w:rsidR="001C2F95" w:rsidRPr="00D53B04" w:rsidRDefault="001C2F95" w:rsidP="001C2F95">
      <w:pPr>
        <w:spacing w:line="240" w:lineRule="auto"/>
        <w:rPr>
          <w:rFonts w:cs="Arial"/>
          <w:color w:val="000000"/>
          <w:szCs w:val="21"/>
        </w:rPr>
      </w:pPr>
      <w:r w:rsidRPr="00D53B04">
        <w:rPr>
          <w:rFonts w:cs="Arial"/>
          <w:color w:val="000000"/>
          <w:szCs w:val="21"/>
        </w:rPr>
        <w:t xml:space="preserve">Le recours aux tribunaux, bien qu'il ne soit pas recommandé pour le bon déroulement du Projet (risque de blocage, </w:t>
      </w:r>
      <w:r w:rsidRPr="00D53B04">
        <w:rPr>
          <w:rFonts w:eastAsia="TimesNewRomanPSMT" w:cs="Arial"/>
          <w:color w:val="000000"/>
          <w:szCs w:val="21"/>
        </w:rPr>
        <w:t>d’a</w:t>
      </w:r>
      <w:r w:rsidRPr="00D53B04">
        <w:rPr>
          <w:rFonts w:cs="Arial"/>
          <w:color w:val="000000"/>
          <w:szCs w:val="21"/>
        </w:rPr>
        <w:t>rrêt des travaux, retards engendrés, etc.), demeure la solution de dernier recours en cas d'échec de la solution à l'amiable. Comme noté, les cas d’EAS/HS ne feront jamais sujet d’une résolution à l’amiable.</w:t>
      </w:r>
    </w:p>
    <w:p w14:paraId="5F56EE40" w14:textId="77777777" w:rsidR="001C2F95" w:rsidRPr="00D53B04" w:rsidRDefault="001C2F95" w:rsidP="001C2F95">
      <w:pPr>
        <w:spacing w:line="240" w:lineRule="auto"/>
        <w:rPr>
          <w:rFonts w:cs="Arial"/>
          <w:b/>
          <w:i/>
          <w:szCs w:val="21"/>
          <w:lang w:bidi="fr-FR"/>
        </w:rPr>
      </w:pPr>
    </w:p>
    <w:p w14:paraId="24FEF447" w14:textId="66DEB331" w:rsidR="001C2F95" w:rsidRPr="00D53B04" w:rsidRDefault="001C2F95" w:rsidP="001C2F95">
      <w:pPr>
        <w:spacing w:line="240" w:lineRule="auto"/>
        <w:rPr>
          <w:rFonts w:cs="Arial"/>
          <w:szCs w:val="21"/>
          <w:lang w:bidi="fr-FR"/>
        </w:rPr>
      </w:pPr>
      <w:r w:rsidRPr="00D53B04">
        <w:rPr>
          <w:rFonts w:cs="Arial"/>
          <w:szCs w:val="21"/>
          <w:lang w:bidi="fr-FR"/>
        </w:rPr>
        <w:t xml:space="preserve">Quant aux questions liées au VBG, il sera organisé une sous-commission VBG du MGP qui traitera les allégations sensibles aux VBG/EAS/HS, des procédures spécifiques au traitement éthique et confidentiel des plaintes d’EAS/HS seront développées et incluses dans le MGP globale au niveau de la Sous-commission spécifique sur la question. </w:t>
      </w:r>
    </w:p>
    <w:p w14:paraId="63EE1844" w14:textId="77777777" w:rsidR="001C2F95" w:rsidRPr="00D53B04" w:rsidRDefault="001C2F95" w:rsidP="001C2F95">
      <w:pPr>
        <w:spacing w:line="240" w:lineRule="auto"/>
        <w:rPr>
          <w:rFonts w:cs="Arial"/>
          <w:b/>
          <w:i/>
          <w:szCs w:val="21"/>
          <w:lang w:bidi="fr-FR"/>
        </w:rPr>
      </w:pPr>
    </w:p>
    <w:p w14:paraId="4025C5B0" w14:textId="77777777" w:rsidR="001C2F95" w:rsidRPr="00D53B04" w:rsidRDefault="001C2F95" w:rsidP="002378EA">
      <w:pPr>
        <w:numPr>
          <w:ilvl w:val="0"/>
          <w:numId w:val="66"/>
        </w:numPr>
        <w:spacing w:line="240" w:lineRule="auto"/>
        <w:rPr>
          <w:rFonts w:cs="Arial"/>
          <w:i/>
          <w:szCs w:val="21"/>
          <w:lang w:bidi="fr-FR"/>
        </w:rPr>
      </w:pPr>
      <w:r w:rsidRPr="00D53B04">
        <w:rPr>
          <w:rFonts w:cs="Arial"/>
          <w:i/>
          <w:szCs w:val="21"/>
          <w:lang w:bidi="fr-FR"/>
        </w:rPr>
        <w:t xml:space="preserve">Consultations menées </w:t>
      </w:r>
    </w:p>
    <w:p w14:paraId="041DDABD" w14:textId="77777777" w:rsidR="001C2F95" w:rsidRPr="00D53B04" w:rsidRDefault="001C2F95" w:rsidP="001C2F95">
      <w:pPr>
        <w:tabs>
          <w:tab w:val="left" w:pos="426"/>
        </w:tabs>
        <w:spacing w:line="240" w:lineRule="auto"/>
        <w:rPr>
          <w:rFonts w:cs="Arial"/>
          <w:szCs w:val="21"/>
          <w:highlight w:val="yellow"/>
        </w:rPr>
      </w:pPr>
    </w:p>
    <w:p w14:paraId="7DFCC8D4" w14:textId="14EA8B2D" w:rsidR="001C2F95" w:rsidRDefault="001C2F95" w:rsidP="001C2F95">
      <w:pPr>
        <w:rPr>
          <w:rFonts w:cs="Arial"/>
          <w:szCs w:val="21"/>
        </w:rPr>
      </w:pPr>
      <w:r w:rsidRPr="00D53B04">
        <w:rPr>
          <w:rFonts w:cs="Arial"/>
          <w:bCs/>
          <w:szCs w:val="21"/>
        </w:rPr>
        <w:t>Des consultations publiques sous le contexte de la COVID-19 ont été menées dans les Villes de Matadi (02 juin 2020), Kananga (le 03 juin 2020), Tshikapa (10 juin 2020), Bandundu-Ville (10 juin 2020) et Goma (17 juin 2020). Ces consultations ont regroupé 96 participants avec au maximum 20 personnes / consultation (autorités centrales, locales, services techniques, associations de la Société Civile, représentants des populations bénéficiaires, etc.) conformément aux exigences des mesures barrières annoncées par le Gouvernement de la RDC, à la l</w:t>
      </w:r>
      <w:r w:rsidRPr="00D53B04">
        <w:rPr>
          <w:rFonts w:cs="Arial"/>
          <w:szCs w:val="21"/>
        </w:rPr>
        <w:t>igne directrice en matières de planification opérationnelle visant à soutenir la préparation et la riposte des pays » (2020) du Plan stratégique de préparation et de riposte de l’OMS pour lutter contre la COVID-19 et à la Note Technique du 20 mars 2020 de la Banque Mondiale</w:t>
      </w:r>
      <w:r w:rsidRPr="00D53B04">
        <w:rPr>
          <w:rStyle w:val="Appelnotedebasdep"/>
          <w:rFonts w:cs="Arial"/>
          <w:szCs w:val="21"/>
        </w:rPr>
        <w:footnoteReference w:id="4"/>
      </w:r>
      <w:r w:rsidR="00A0402C">
        <w:rPr>
          <w:rFonts w:cs="Arial"/>
          <w:szCs w:val="21"/>
        </w:rPr>
        <w:t>.</w:t>
      </w:r>
    </w:p>
    <w:p w14:paraId="0009D986" w14:textId="77777777" w:rsidR="00A0402C" w:rsidRPr="00D53B04" w:rsidRDefault="00A0402C" w:rsidP="001C2F95">
      <w:pPr>
        <w:rPr>
          <w:rFonts w:cs="Arial"/>
          <w:bCs/>
          <w:szCs w:val="21"/>
        </w:rPr>
      </w:pPr>
    </w:p>
    <w:p w14:paraId="65B164AD" w14:textId="77777777" w:rsidR="001C2F95" w:rsidRPr="00D53B04" w:rsidRDefault="001C2F95" w:rsidP="001C2F95">
      <w:pPr>
        <w:rPr>
          <w:rFonts w:cs="Arial"/>
          <w:color w:val="222222"/>
          <w:szCs w:val="21"/>
          <w:lang w:val="fr-CD"/>
        </w:rPr>
      </w:pPr>
      <w:r w:rsidRPr="00D53B04">
        <w:rPr>
          <w:rFonts w:cs="Arial"/>
          <w:bCs/>
          <w:szCs w:val="21"/>
        </w:rPr>
        <w:t>Il ressort de ces séances de consultations que les attentes de toutes les parties prenantes concernant ce Projet sont grandes et l’implication de tous est démontrée. Les différentes parties prenantes rencontrées ont unanimement apprécié le programme et l'approche participative qui est mise en œuvre. Le programme est le bienvenu car il va impulser le développement de la production agricole, la pêche et l’élevage dans toutes les 5 Provinces concernées. Toutefois, des préoccupations et des suggestions ont été formulées à l’endroit du Projet, telles que : les populations sous les emprises du programme, la participation des femmes, la distribution des intrants agricoles, pêche et élevage, lutte contre l’insécurité, l’implication des associations des femmes et autres paysans, le renforcement des capacités institutionnelles des services étatiques et des petits exploitants agricoles, etc.</w:t>
      </w:r>
    </w:p>
    <w:p w14:paraId="61701DD5" w14:textId="77777777" w:rsidR="001C2F95" w:rsidRPr="00D53B04" w:rsidRDefault="001C2F95" w:rsidP="000326DA">
      <w:pPr>
        <w:pStyle w:val="Titre1"/>
        <w:jc w:val="center"/>
        <w:rPr>
          <w:rFonts w:cs="Arial"/>
          <w:b w:val="0"/>
          <w:color w:val="222222"/>
          <w:szCs w:val="21"/>
          <w:lang w:val="en-US"/>
        </w:rPr>
      </w:pPr>
      <w:bookmarkStart w:id="97" w:name="_Toc502652325"/>
      <w:bookmarkStart w:id="98" w:name="_Toc505616568"/>
      <w:bookmarkStart w:id="99" w:name="_Toc33371351"/>
      <w:bookmarkStart w:id="100" w:name="_Toc33464119"/>
      <w:bookmarkStart w:id="101" w:name="_Toc34548225"/>
      <w:bookmarkStart w:id="102" w:name="_Toc37426666"/>
      <w:bookmarkStart w:id="103" w:name="_Toc44626782"/>
      <w:bookmarkStart w:id="104" w:name="_Toc45269116"/>
      <w:bookmarkStart w:id="105" w:name="_Toc45269660"/>
      <w:bookmarkStart w:id="106" w:name="_Toc43187310"/>
      <w:bookmarkStart w:id="107" w:name="_Toc44626783"/>
      <w:bookmarkStart w:id="108" w:name="_Toc45269117"/>
      <w:bookmarkStart w:id="109" w:name="_Toc45269661"/>
      <w:bookmarkStart w:id="110" w:name="_Toc43187311"/>
      <w:bookmarkStart w:id="111" w:name="_Toc44626784"/>
      <w:bookmarkStart w:id="112" w:name="_Toc45269118"/>
      <w:bookmarkStart w:id="113" w:name="_Toc45269662"/>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rsidRPr="00D53B04">
        <w:rPr>
          <w:rFonts w:cs="Arial"/>
          <w:bCs w:val="0"/>
          <w:szCs w:val="21"/>
        </w:rPr>
        <w:br w:type="page"/>
      </w:r>
      <w:bookmarkStart w:id="114" w:name="_Toc90393030"/>
      <w:bookmarkStart w:id="115" w:name="_Toc90471389"/>
      <w:r w:rsidRPr="00D53B04">
        <w:rPr>
          <w:rFonts w:cs="Arial"/>
          <w:szCs w:val="21"/>
        </w:rPr>
        <w:lastRenderedPageBreak/>
        <w:t>EXECUTIVE SUMMARY</w:t>
      </w:r>
      <w:bookmarkEnd w:id="114"/>
      <w:bookmarkEnd w:id="115"/>
    </w:p>
    <w:p w14:paraId="25355E2E" w14:textId="77777777" w:rsidR="001C2F95" w:rsidRPr="00D53B04" w:rsidRDefault="001C2F95" w:rsidP="001C2F95">
      <w:pPr>
        <w:rPr>
          <w:rFonts w:cs="Arial"/>
          <w:i/>
          <w:szCs w:val="21"/>
          <w:lang w:val="en-US"/>
        </w:rPr>
      </w:pPr>
    </w:p>
    <w:p w14:paraId="0B6AD079" w14:textId="77777777" w:rsidR="001977A4" w:rsidRPr="003C5A88" w:rsidRDefault="001977A4" w:rsidP="002378EA">
      <w:pPr>
        <w:pStyle w:val="Paragraphedeliste"/>
        <w:widowControl w:val="0"/>
        <w:numPr>
          <w:ilvl w:val="0"/>
          <w:numId w:val="112"/>
        </w:numPr>
        <w:tabs>
          <w:tab w:val="left" w:pos="709"/>
        </w:tabs>
        <w:autoSpaceDE w:val="0"/>
        <w:autoSpaceDN w:val="0"/>
        <w:ind w:left="709" w:hanging="425"/>
        <w:contextualSpacing w:val="0"/>
        <w:rPr>
          <w:rFonts w:cs="Arial"/>
          <w:b/>
          <w:i/>
          <w:szCs w:val="21"/>
          <w:lang w:val="en-US"/>
        </w:rPr>
      </w:pPr>
      <w:r w:rsidRPr="003C5A88">
        <w:rPr>
          <w:rFonts w:cs="Arial"/>
          <w:b/>
          <w:i/>
          <w:szCs w:val="21"/>
          <w:lang w:val="en-US"/>
        </w:rPr>
        <w:t>Brief description of the project (overall objective, components and main activities)</w:t>
      </w:r>
    </w:p>
    <w:p w14:paraId="1BCC698E" w14:textId="77777777" w:rsidR="001977A4" w:rsidRPr="00D53B04" w:rsidRDefault="001977A4" w:rsidP="001977A4">
      <w:pPr>
        <w:pStyle w:val="Corpsdetexte"/>
        <w:spacing w:line="276" w:lineRule="auto"/>
        <w:rPr>
          <w:rFonts w:cs="Arial"/>
          <w:i/>
          <w:sz w:val="21"/>
          <w:szCs w:val="21"/>
          <w:lang w:val="en-US"/>
        </w:rPr>
      </w:pPr>
    </w:p>
    <w:p w14:paraId="0BFA3DE3" w14:textId="77777777" w:rsidR="001977A4" w:rsidRPr="00D53B04" w:rsidRDefault="001977A4" w:rsidP="001977A4">
      <w:pPr>
        <w:pStyle w:val="Corpsdetexte"/>
        <w:spacing w:line="276" w:lineRule="auto"/>
        <w:rPr>
          <w:rFonts w:cs="Arial"/>
          <w:sz w:val="21"/>
          <w:szCs w:val="21"/>
          <w:lang w:val="en-US"/>
        </w:rPr>
      </w:pPr>
      <w:r w:rsidRPr="00D53B04">
        <w:rPr>
          <w:rFonts w:cs="Arial"/>
          <w:sz w:val="21"/>
          <w:szCs w:val="21"/>
          <w:lang w:val="en-US"/>
        </w:rPr>
        <w:t>The Government of the Democratic Republic of Congo (DRC) has received financial support from</w:t>
      </w:r>
      <w:r w:rsidRPr="00D53B04">
        <w:rPr>
          <w:rFonts w:cs="Arial"/>
          <w:spacing w:val="-5"/>
          <w:sz w:val="21"/>
          <w:szCs w:val="21"/>
          <w:lang w:val="en-US"/>
        </w:rPr>
        <w:t xml:space="preserve"> </w:t>
      </w:r>
      <w:r w:rsidRPr="00D53B04">
        <w:rPr>
          <w:rFonts w:cs="Arial"/>
          <w:sz w:val="21"/>
          <w:szCs w:val="21"/>
          <w:lang w:val="en-US"/>
        </w:rPr>
        <w:t>the</w:t>
      </w:r>
      <w:r w:rsidRPr="00D53B04">
        <w:rPr>
          <w:rFonts w:cs="Arial"/>
          <w:spacing w:val="-6"/>
          <w:sz w:val="21"/>
          <w:szCs w:val="21"/>
          <w:lang w:val="en-US"/>
        </w:rPr>
        <w:t xml:space="preserve"> </w:t>
      </w:r>
      <w:r w:rsidRPr="00D53B04">
        <w:rPr>
          <w:rFonts w:cs="Arial"/>
          <w:sz w:val="21"/>
          <w:szCs w:val="21"/>
          <w:lang w:val="en-US"/>
        </w:rPr>
        <w:t>International</w:t>
      </w:r>
      <w:r w:rsidRPr="00D53B04">
        <w:rPr>
          <w:rFonts w:cs="Arial"/>
          <w:spacing w:val="-5"/>
          <w:sz w:val="21"/>
          <w:szCs w:val="21"/>
          <w:lang w:val="en-US"/>
        </w:rPr>
        <w:t xml:space="preserve"> </w:t>
      </w:r>
      <w:r w:rsidRPr="00D53B04">
        <w:rPr>
          <w:rFonts w:cs="Arial"/>
          <w:sz w:val="21"/>
          <w:szCs w:val="21"/>
          <w:lang w:val="en-US"/>
        </w:rPr>
        <w:t>Development</w:t>
      </w:r>
      <w:r w:rsidRPr="00D53B04">
        <w:rPr>
          <w:rFonts w:cs="Arial"/>
          <w:spacing w:val="-2"/>
          <w:sz w:val="21"/>
          <w:szCs w:val="21"/>
          <w:lang w:val="en-US"/>
        </w:rPr>
        <w:t xml:space="preserve"> </w:t>
      </w:r>
      <w:r w:rsidRPr="00D53B04">
        <w:rPr>
          <w:rFonts w:cs="Arial"/>
          <w:sz w:val="21"/>
          <w:szCs w:val="21"/>
          <w:lang w:val="en-US"/>
        </w:rPr>
        <w:t>Association</w:t>
      </w:r>
      <w:r w:rsidRPr="00D53B04">
        <w:rPr>
          <w:rFonts w:cs="Arial"/>
          <w:spacing w:val="-5"/>
          <w:sz w:val="21"/>
          <w:szCs w:val="21"/>
          <w:lang w:val="en-US"/>
        </w:rPr>
        <w:t xml:space="preserve"> </w:t>
      </w:r>
      <w:r w:rsidRPr="00D53B04">
        <w:rPr>
          <w:rFonts w:cs="Arial"/>
          <w:sz w:val="21"/>
          <w:szCs w:val="21"/>
          <w:lang w:val="en-US"/>
        </w:rPr>
        <w:t>(IDA)</w:t>
      </w:r>
      <w:r w:rsidRPr="00D53B04">
        <w:rPr>
          <w:rFonts w:cs="Arial"/>
          <w:spacing w:val="-3"/>
          <w:sz w:val="21"/>
          <w:szCs w:val="21"/>
          <w:lang w:val="en-US"/>
        </w:rPr>
        <w:t xml:space="preserve"> </w:t>
      </w:r>
      <w:r w:rsidRPr="00D53B04">
        <w:rPr>
          <w:rFonts w:cs="Arial"/>
          <w:sz w:val="21"/>
          <w:szCs w:val="21"/>
          <w:lang w:val="en-US"/>
        </w:rPr>
        <w:t>of</w:t>
      </w:r>
      <w:r w:rsidRPr="00D53B04">
        <w:rPr>
          <w:rFonts w:cs="Arial"/>
          <w:spacing w:val="-4"/>
          <w:sz w:val="21"/>
          <w:szCs w:val="21"/>
          <w:lang w:val="en-US"/>
        </w:rPr>
        <w:t xml:space="preserve"> </w:t>
      </w:r>
      <w:r w:rsidRPr="00D53B04">
        <w:rPr>
          <w:rFonts w:cs="Arial"/>
          <w:sz w:val="21"/>
          <w:szCs w:val="21"/>
          <w:lang w:val="en-US"/>
        </w:rPr>
        <w:t>the</w:t>
      </w:r>
      <w:r w:rsidRPr="00D53B04">
        <w:rPr>
          <w:rFonts w:cs="Arial"/>
          <w:spacing w:val="-11"/>
          <w:sz w:val="21"/>
          <w:szCs w:val="21"/>
          <w:lang w:val="en-US"/>
        </w:rPr>
        <w:t xml:space="preserve"> </w:t>
      </w:r>
      <w:r w:rsidRPr="00D53B04">
        <w:rPr>
          <w:rFonts w:cs="Arial"/>
          <w:sz w:val="21"/>
          <w:szCs w:val="21"/>
          <w:lang w:val="en-US"/>
        </w:rPr>
        <w:t>World</w:t>
      </w:r>
      <w:r w:rsidRPr="00D53B04">
        <w:rPr>
          <w:rFonts w:cs="Arial"/>
          <w:spacing w:val="-6"/>
          <w:sz w:val="21"/>
          <w:szCs w:val="21"/>
          <w:lang w:val="en-US"/>
        </w:rPr>
        <w:t xml:space="preserve"> </w:t>
      </w:r>
      <w:r w:rsidRPr="00D53B04">
        <w:rPr>
          <w:rFonts w:cs="Arial"/>
          <w:sz w:val="21"/>
          <w:szCs w:val="21"/>
          <w:lang w:val="en-US"/>
        </w:rPr>
        <w:t>Bank</w:t>
      </w:r>
      <w:r w:rsidRPr="00D53B04">
        <w:rPr>
          <w:rFonts w:cs="Arial"/>
          <w:spacing w:val="-3"/>
          <w:sz w:val="21"/>
          <w:szCs w:val="21"/>
          <w:lang w:val="en-US"/>
        </w:rPr>
        <w:t xml:space="preserve"> </w:t>
      </w:r>
      <w:r w:rsidRPr="00D53B04">
        <w:rPr>
          <w:rFonts w:cs="Arial"/>
          <w:sz w:val="21"/>
          <w:szCs w:val="21"/>
          <w:lang w:val="en-US"/>
        </w:rPr>
        <w:t>Group</w:t>
      </w:r>
      <w:r w:rsidRPr="00D53B04">
        <w:rPr>
          <w:rFonts w:cs="Arial"/>
          <w:spacing w:val="-6"/>
          <w:sz w:val="21"/>
          <w:szCs w:val="21"/>
          <w:lang w:val="en-US"/>
        </w:rPr>
        <w:t xml:space="preserve"> </w:t>
      </w:r>
      <w:r w:rsidRPr="00D53B04">
        <w:rPr>
          <w:rFonts w:cs="Arial"/>
          <w:sz w:val="21"/>
          <w:szCs w:val="21"/>
          <w:lang w:val="en-US"/>
        </w:rPr>
        <w:t>to</w:t>
      </w:r>
      <w:r w:rsidRPr="00D53B04">
        <w:rPr>
          <w:rFonts w:cs="Arial"/>
          <w:spacing w:val="-5"/>
          <w:sz w:val="21"/>
          <w:szCs w:val="21"/>
          <w:lang w:val="en-US"/>
        </w:rPr>
        <w:t xml:space="preserve"> </w:t>
      </w:r>
      <w:r w:rsidRPr="00D53B04">
        <w:rPr>
          <w:rFonts w:cs="Arial"/>
          <w:sz w:val="21"/>
          <w:szCs w:val="21"/>
          <w:lang w:val="en-US"/>
        </w:rPr>
        <w:t>prepare</w:t>
      </w:r>
      <w:r w:rsidRPr="00D53B04">
        <w:rPr>
          <w:rFonts w:cs="Arial"/>
          <w:spacing w:val="-5"/>
          <w:sz w:val="21"/>
          <w:szCs w:val="21"/>
          <w:lang w:val="en-US"/>
        </w:rPr>
        <w:t xml:space="preserve"> </w:t>
      </w:r>
      <w:r w:rsidRPr="00D53B04">
        <w:rPr>
          <w:rFonts w:cs="Arial"/>
          <w:sz w:val="21"/>
          <w:szCs w:val="21"/>
          <w:lang w:val="en-US"/>
        </w:rPr>
        <w:t xml:space="preserve">the National Agricultural Development Program (PNDA) which aims, in its </w:t>
      </w:r>
      <w:r w:rsidRPr="00D53B04">
        <w:rPr>
          <w:rFonts w:cs="Arial"/>
          <w:sz w:val="21"/>
          <w:szCs w:val="21"/>
          <w:vertAlign w:val="superscript"/>
          <w:lang w:val="en-US"/>
        </w:rPr>
        <w:t>first</w:t>
      </w:r>
      <w:r w:rsidRPr="00D53B04">
        <w:rPr>
          <w:rFonts w:cs="Arial"/>
          <w:sz w:val="21"/>
          <w:szCs w:val="21"/>
          <w:lang w:val="en-US"/>
        </w:rPr>
        <w:t xml:space="preserve"> phase, to increase agricultural productivity and improve market access for smallholders in selected</w:t>
      </w:r>
      <w:r w:rsidRPr="00D53B04">
        <w:rPr>
          <w:rFonts w:cs="Arial"/>
          <w:spacing w:val="-17"/>
          <w:sz w:val="21"/>
          <w:szCs w:val="21"/>
          <w:lang w:val="en-US"/>
        </w:rPr>
        <w:t xml:space="preserve"> </w:t>
      </w:r>
      <w:r w:rsidRPr="00D53B04">
        <w:rPr>
          <w:rFonts w:cs="Arial"/>
          <w:sz w:val="21"/>
          <w:szCs w:val="21"/>
          <w:lang w:val="en-US"/>
        </w:rPr>
        <w:t>regions.</w:t>
      </w:r>
    </w:p>
    <w:p w14:paraId="1A24E404" w14:textId="77777777" w:rsidR="001977A4" w:rsidRPr="00D53B04" w:rsidRDefault="001977A4" w:rsidP="001977A4">
      <w:pPr>
        <w:pStyle w:val="Corpsdetexte"/>
        <w:spacing w:line="276" w:lineRule="auto"/>
        <w:rPr>
          <w:rFonts w:cs="Arial"/>
          <w:sz w:val="21"/>
          <w:szCs w:val="21"/>
          <w:lang w:val="en-US"/>
        </w:rPr>
      </w:pPr>
    </w:p>
    <w:p w14:paraId="144C29EC" w14:textId="16157B60" w:rsidR="001977A4" w:rsidRPr="00D53B04" w:rsidRDefault="003C5A88" w:rsidP="001977A4">
      <w:pPr>
        <w:pStyle w:val="Corpsdetexte"/>
        <w:spacing w:line="276" w:lineRule="auto"/>
        <w:rPr>
          <w:rFonts w:cs="Arial"/>
          <w:sz w:val="21"/>
          <w:szCs w:val="21"/>
          <w:lang w:val="en-US"/>
        </w:rPr>
      </w:pPr>
      <w:r>
        <w:rPr>
          <w:rFonts w:cs="Arial"/>
          <w:sz w:val="21"/>
          <w:szCs w:val="21"/>
          <w:lang w:val="en-US"/>
        </w:rPr>
        <w:t>In</w:t>
      </w:r>
      <w:r w:rsidR="001977A4" w:rsidRPr="00D53B04">
        <w:rPr>
          <w:rFonts w:cs="Arial"/>
          <w:sz w:val="21"/>
          <w:szCs w:val="21"/>
          <w:lang w:val="en-US"/>
        </w:rPr>
        <w:t xml:space="preserve"> DRC</w:t>
      </w:r>
      <w:r>
        <w:rPr>
          <w:rFonts w:cs="Arial"/>
          <w:sz w:val="21"/>
          <w:szCs w:val="21"/>
          <w:lang w:val="en-US"/>
        </w:rPr>
        <w:t>,</w:t>
      </w:r>
      <w:r w:rsidR="001977A4" w:rsidRPr="00D53B04">
        <w:rPr>
          <w:rFonts w:cs="Arial"/>
          <w:sz w:val="21"/>
          <w:szCs w:val="21"/>
          <w:lang w:val="en-US"/>
        </w:rPr>
        <w:t xml:space="preserve"> </w:t>
      </w:r>
      <w:r>
        <w:rPr>
          <w:rFonts w:cs="Arial"/>
          <w:sz w:val="21"/>
          <w:szCs w:val="21"/>
          <w:lang w:val="en-US"/>
        </w:rPr>
        <w:t>tha a</w:t>
      </w:r>
      <w:r w:rsidR="001977A4" w:rsidRPr="00D53B04">
        <w:rPr>
          <w:rFonts w:cs="Arial"/>
          <w:sz w:val="21"/>
          <w:szCs w:val="21"/>
          <w:lang w:val="en-US"/>
        </w:rPr>
        <w:t>griculture currently accounts for about 20 percent of GDP, employs between 70 and 75 percent of the labor force, and plays a key role in reducing food insecurity,</w:t>
      </w:r>
      <w:r w:rsidR="001977A4" w:rsidRPr="00D53B04">
        <w:rPr>
          <w:rFonts w:cs="Arial"/>
          <w:spacing w:val="-6"/>
          <w:sz w:val="21"/>
          <w:szCs w:val="21"/>
          <w:lang w:val="en-US"/>
        </w:rPr>
        <w:t xml:space="preserve"> </w:t>
      </w:r>
      <w:r w:rsidR="001977A4" w:rsidRPr="00D53B04">
        <w:rPr>
          <w:rFonts w:cs="Arial"/>
          <w:sz w:val="21"/>
          <w:szCs w:val="21"/>
          <w:lang w:val="en-US"/>
        </w:rPr>
        <w:t>malnutrition,</w:t>
      </w:r>
      <w:r w:rsidR="001977A4" w:rsidRPr="00D53B04">
        <w:rPr>
          <w:rFonts w:cs="Arial"/>
          <w:spacing w:val="-5"/>
          <w:sz w:val="21"/>
          <w:szCs w:val="21"/>
          <w:lang w:val="en-US"/>
        </w:rPr>
        <w:t xml:space="preserve"> </w:t>
      </w:r>
      <w:r w:rsidR="001977A4" w:rsidRPr="00D53B04">
        <w:rPr>
          <w:rFonts w:cs="Arial"/>
          <w:sz w:val="21"/>
          <w:szCs w:val="21"/>
          <w:lang w:val="en-US"/>
        </w:rPr>
        <w:t>and</w:t>
      </w:r>
      <w:r w:rsidR="001977A4" w:rsidRPr="00D53B04">
        <w:rPr>
          <w:rFonts w:cs="Arial"/>
          <w:spacing w:val="-7"/>
          <w:sz w:val="21"/>
          <w:szCs w:val="21"/>
          <w:lang w:val="en-US"/>
        </w:rPr>
        <w:t xml:space="preserve"> </w:t>
      </w:r>
      <w:r w:rsidR="001977A4" w:rsidRPr="00D53B04">
        <w:rPr>
          <w:rFonts w:cs="Arial"/>
          <w:sz w:val="21"/>
          <w:szCs w:val="21"/>
          <w:lang w:val="en-US"/>
        </w:rPr>
        <w:t>rural</w:t>
      </w:r>
      <w:r w:rsidR="001977A4" w:rsidRPr="00D53B04">
        <w:rPr>
          <w:rFonts w:cs="Arial"/>
          <w:spacing w:val="-7"/>
          <w:sz w:val="21"/>
          <w:szCs w:val="21"/>
          <w:lang w:val="en-US"/>
        </w:rPr>
        <w:t xml:space="preserve"> </w:t>
      </w:r>
      <w:r w:rsidR="001977A4" w:rsidRPr="00D53B04">
        <w:rPr>
          <w:rFonts w:cs="Arial"/>
          <w:sz w:val="21"/>
          <w:szCs w:val="21"/>
          <w:lang w:val="en-US"/>
        </w:rPr>
        <w:t>poverty.</w:t>
      </w:r>
    </w:p>
    <w:p w14:paraId="0D536895" w14:textId="77777777" w:rsidR="001977A4" w:rsidRPr="00D53B04" w:rsidRDefault="001977A4" w:rsidP="001977A4">
      <w:pPr>
        <w:pStyle w:val="Corpsdetexte"/>
        <w:spacing w:line="276" w:lineRule="auto"/>
        <w:rPr>
          <w:rFonts w:cs="Arial"/>
          <w:sz w:val="21"/>
          <w:szCs w:val="21"/>
          <w:lang w:val="en-US"/>
        </w:rPr>
      </w:pPr>
    </w:p>
    <w:p w14:paraId="53DFE748" w14:textId="512AD8C2" w:rsidR="001977A4" w:rsidRPr="00D53B04" w:rsidRDefault="001977A4" w:rsidP="001977A4">
      <w:pPr>
        <w:pStyle w:val="Corpsdetexte"/>
        <w:spacing w:line="276" w:lineRule="auto"/>
        <w:rPr>
          <w:rFonts w:cs="Arial"/>
          <w:sz w:val="21"/>
          <w:szCs w:val="21"/>
          <w:lang w:val="en-US"/>
        </w:rPr>
      </w:pPr>
      <w:r w:rsidRPr="00D53B04">
        <w:rPr>
          <w:rFonts w:cs="Arial"/>
          <w:sz w:val="21"/>
          <w:szCs w:val="21"/>
          <w:lang w:val="en-US"/>
        </w:rPr>
        <w:t>Thus, the program will support agricultural productivity growth at the farm level, enabling smallholder farmers to increase their assets and production, and then intervene to promote market</w:t>
      </w:r>
      <w:r w:rsidRPr="00D53B04">
        <w:rPr>
          <w:rFonts w:cs="Arial"/>
          <w:spacing w:val="-11"/>
          <w:sz w:val="21"/>
          <w:szCs w:val="21"/>
          <w:lang w:val="en-US"/>
        </w:rPr>
        <w:t xml:space="preserve"> </w:t>
      </w:r>
      <w:r w:rsidRPr="00D53B04">
        <w:rPr>
          <w:rFonts w:cs="Arial"/>
          <w:sz w:val="21"/>
          <w:szCs w:val="21"/>
          <w:lang w:val="en-US"/>
        </w:rPr>
        <w:t>access</w:t>
      </w:r>
      <w:r w:rsidRPr="00D53B04">
        <w:rPr>
          <w:rFonts w:cs="Arial"/>
          <w:spacing w:val="-11"/>
          <w:sz w:val="21"/>
          <w:szCs w:val="21"/>
          <w:lang w:val="en-US"/>
        </w:rPr>
        <w:t xml:space="preserve"> </w:t>
      </w:r>
      <w:r w:rsidRPr="00D53B04">
        <w:rPr>
          <w:rFonts w:cs="Arial"/>
          <w:sz w:val="21"/>
          <w:szCs w:val="21"/>
          <w:lang w:val="en-US"/>
        </w:rPr>
        <w:t>and</w:t>
      </w:r>
      <w:r w:rsidRPr="00D53B04">
        <w:rPr>
          <w:rFonts w:cs="Arial"/>
          <w:spacing w:val="-11"/>
          <w:sz w:val="21"/>
          <w:szCs w:val="21"/>
          <w:lang w:val="en-US"/>
        </w:rPr>
        <w:t xml:space="preserve"> </w:t>
      </w:r>
      <w:r w:rsidRPr="00D53B04">
        <w:rPr>
          <w:rFonts w:cs="Arial"/>
          <w:sz w:val="21"/>
          <w:szCs w:val="21"/>
          <w:lang w:val="en-US"/>
        </w:rPr>
        <w:t>productive</w:t>
      </w:r>
      <w:r w:rsidRPr="00D53B04">
        <w:rPr>
          <w:rFonts w:cs="Arial"/>
          <w:spacing w:val="-9"/>
          <w:sz w:val="21"/>
          <w:szCs w:val="21"/>
          <w:lang w:val="en-US"/>
        </w:rPr>
        <w:t xml:space="preserve"> </w:t>
      </w:r>
      <w:r w:rsidRPr="00D53B04">
        <w:rPr>
          <w:rFonts w:cs="Arial"/>
          <w:sz w:val="21"/>
          <w:szCs w:val="21"/>
          <w:lang w:val="en-US"/>
        </w:rPr>
        <w:t>integration</w:t>
      </w:r>
      <w:r w:rsidRPr="00D53B04">
        <w:rPr>
          <w:rFonts w:cs="Arial"/>
          <w:spacing w:val="-9"/>
          <w:sz w:val="21"/>
          <w:szCs w:val="21"/>
          <w:lang w:val="en-US"/>
        </w:rPr>
        <w:t xml:space="preserve"> </w:t>
      </w:r>
      <w:r w:rsidRPr="00D53B04">
        <w:rPr>
          <w:rFonts w:cs="Arial"/>
          <w:sz w:val="21"/>
          <w:szCs w:val="21"/>
          <w:lang w:val="en-US"/>
        </w:rPr>
        <w:t>of</w:t>
      </w:r>
      <w:r w:rsidRPr="00D53B04">
        <w:rPr>
          <w:rFonts w:cs="Arial"/>
          <w:spacing w:val="-10"/>
          <w:sz w:val="21"/>
          <w:szCs w:val="21"/>
          <w:lang w:val="en-US"/>
        </w:rPr>
        <w:t xml:space="preserve"> </w:t>
      </w:r>
      <w:r w:rsidRPr="00D53B04">
        <w:rPr>
          <w:rFonts w:cs="Arial"/>
          <w:sz w:val="21"/>
          <w:szCs w:val="21"/>
          <w:lang w:val="en-US"/>
        </w:rPr>
        <w:t>these</w:t>
      </w:r>
      <w:r w:rsidRPr="00D53B04">
        <w:rPr>
          <w:rFonts w:cs="Arial"/>
          <w:spacing w:val="-14"/>
          <w:sz w:val="21"/>
          <w:szCs w:val="21"/>
          <w:lang w:val="en-US"/>
        </w:rPr>
        <w:t xml:space="preserve"> </w:t>
      </w:r>
      <w:r w:rsidRPr="00D53B04">
        <w:rPr>
          <w:rFonts w:cs="Arial"/>
          <w:sz w:val="21"/>
          <w:szCs w:val="21"/>
          <w:lang w:val="en-US"/>
        </w:rPr>
        <w:t>smallholders</w:t>
      </w:r>
      <w:r w:rsidRPr="00D53B04">
        <w:rPr>
          <w:rFonts w:cs="Arial"/>
          <w:spacing w:val="-8"/>
          <w:sz w:val="21"/>
          <w:szCs w:val="21"/>
          <w:lang w:val="en-US"/>
        </w:rPr>
        <w:t xml:space="preserve"> </w:t>
      </w:r>
      <w:r w:rsidRPr="00D53B04">
        <w:rPr>
          <w:rFonts w:cs="Arial"/>
          <w:sz w:val="21"/>
          <w:szCs w:val="21"/>
          <w:lang w:val="en-US"/>
        </w:rPr>
        <w:t>into</w:t>
      </w:r>
      <w:r w:rsidRPr="00D53B04">
        <w:rPr>
          <w:rFonts w:cs="Arial"/>
          <w:spacing w:val="-11"/>
          <w:sz w:val="21"/>
          <w:szCs w:val="21"/>
          <w:lang w:val="en-US"/>
        </w:rPr>
        <w:t xml:space="preserve"> </w:t>
      </w:r>
      <w:r w:rsidRPr="00D53B04">
        <w:rPr>
          <w:rFonts w:cs="Arial"/>
          <w:sz w:val="21"/>
          <w:szCs w:val="21"/>
          <w:lang w:val="en-US"/>
        </w:rPr>
        <w:t>agricultural</w:t>
      </w:r>
      <w:r w:rsidRPr="00D53B04">
        <w:rPr>
          <w:rFonts w:cs="Arial"/>
          <w:spacing w:val="-10"/>
          <w:sz w:val="21"/>
          <w:szCs w:val="21"/>
          <w:lang w:val="en-US"/>
        </w:rPr>
        <w:t xml:space="preserve"> </w:t>
      </w:r>
      <w:r w:rsidRPr="00D53B04">
        <w:rPr>
          <w:rFonts w:cs="Arial"/>
          <w:sz w:val="21"/>
          <w:szCs w:val="21"/>
          <w:lang w:val="en-US"/>
        </w:rPr>
        <w:t>supply</w:t>
      </w:r>
      <w:r w:rsidRPr="00D53B04">
        <w:rPr>
          <w:rFonts w:cs="Arial"/>
          <w:spacing w:val="-11"/>
          <w:sz w:val="21"/>
          <w:szCs w:val="21"/>
          <w:lang w:val="en-US"/>
        </w:rPr>
        <w:t xml:space="preserve"> </w:t>
      </w:r>
      <w:r w:rsidRPr="00D53B04">
        <w:rPr>
          <w:rFonts w:cs="Arial"/>
          <w:sz w:val="21"/>
          <w:szCs w:val="21"/>
          <w:lang w:val="en-US"/>
        </w:rPr>
        <w:t xml:space="preserve">chains. </w:t>
      </w:r>
    </w:p>
    <w:p w14:paraId="4FB8961D" w14:textId="77777777" w:rsidR="001977A4" w:rsidRPr="00D53B04" w:rsidRDefault="001977A4" w:rsidP="001977A4">
      <w:pPr>
        <w:pStyle w:val="Corpsdetexte"/>
        <w:spacing w:line="276" w:lineRule="auto"/>
        <w:rPr>
          <w:rFonts w:cs="Arial"/>
          <w:sz w:val="21"/>
          <w:szCs w:val="21"/>
          <w:lang w:val="en-US"/>
        </w:rPr>
      </w:pPr>
    </w:p>
    <w:p w14:paraId="7763B205" w14:textId="77777777" w:rsidR="001977A4" w:rsidRPr="00D53B04" w:rsidRDefault="001977A4" w:rsidP="001977A4">
      <w:pPr>
        <w:pStyle w:val="Corpsdetexte"/>
        <w:spacing w:line="276" w:lineRule="auto"/>
        <w:rPr>
          <w:rFonts w:cs="Arial"/>
          <w:sz w:val="21"/>
          <w:szCs w:val="21"/>
          <w:lang w:val="en-US"/>
        </w:rPr>
      </w:pPr>
      <w:r w:rsidRPr="00D53B04">
        <w:rPr>
          <w:rFonts w:cs="Arial"/>
          <w:sz w:val="21"/>
          <w:szCs w:val="21"/>
          <w:lang w:val="en-US"/>
        </w:rPr>
        <w:t>PNDA investments will be concentrated in priority for this first phase for a period of 5 years in the Kasai region (Provinces of Kasai and Kasai Central), the Western region (Provinces of Central Kongo and Kwilu), the Eastern region (Province of North Kivu).</w:t>
      </w:r>
    </w:p>
    <w:p w14:paraId="46B161B4" w14:textId="77777777" w:rsidR="001977A4" w:rsidRPr="00D53B04" w:rsidRDefault="001977A4" w:rsidP="001977A4">
      <w:pPr>
        <w:pStyle w:val="Corpsdetexte"/>
        <w:spacing w:line="276" w:lineRule="auto"/>
        <w:rPr>
          <w:rFonts w:cs="Arial"/>
          <w:sz w:val="21"/>
          <w:szCs w:val="21"/>
          <w:lang w:val="en-US"/>
        </w:rPr>
      </w:pPr>
    </w:p>
    <w:p w14:paraId="1DFE01D9" w14:textId="77777777" w:rsidR="001977A4" w:rsidRPr="00D53B04" w:rsidRDefault="001977A4" w:rsidP="001977A4">
      <w:pPr>
        <w:pStyle w:val="Corpsdetexte"/>
        <w:spacing w:line="276" w:lineRule="auto"/>
        <w:rPr>
          <w:rFonts w:cs="Arial"/>
          <w:sz w:val="21"/>
          <w:szCs w:val="21"/>
          <w:lang w:val="en-US"/>
        </w:rPr>
      </w:pPr>
      <w:r w:rsidRPr="00D53B04">
        <w:rPr>
          <w:rFonts w:cs="Arial"/>
          <w:sz w:val="21"/>
          <w:szCs w:val="21"/>
          <w:lang w:val="en-US"/>
        </w:rPr>
        <w:t>The development objective of the Project is to improve agricultural productivity and market access for smallholder farmers in selected regions and strengthen the sector's capacity to respond to eligible emergencies in the agricultural sector.</w:t>
      </w:r>
    </w:p>
    <w:p w14:paraId="349991F0" w14:textId="77777777" w:rsidR="001977A4" w:rsidRPr="00D53B04" w:rsidRDefault="001977A4" w:rsidP="001977A4">
      <w:pPr>
        <w:pStyle w:val="Corpsdetexte"/>
        <w:spacing w:line="276" w:lineRule="auto"/>
        <w:rPr>
          <w:rFonts w:cs="Arial"/>
          <w:sz w:val="21"/>
          <w:szCs w:val="21"/>
          <w:lang w:val="en-US"/>
        </w:rPr>
      </w:pPr>
    </w:p>
    <w:p w14:paraId="02806F32" w14:textId="77777777" w:rsidR="001977A4" w:rsidRPr="00D53B04" w:rsidRDefault="001977A4" w:rsidP="001977A4">
      <w:pPr>
        <w:pStyle w:val="Corpsdetexte"/>
        <w:spacing w:line="276" w:lineRule="auto"/>
        <w:rPr>
          <w:rFonts w:cs="Arial"/>
          <w:sz w:val="21"/>
          <w:szCs w:val="21"/>
          <w:lang w:val="en-US"/>
        </w:rPr>
      </w:pPr>
      <w:r w:rsidRPr="00D53B04">
        <w:rPr>
          <w:rFonts w:cs="Arial"/>
          <w:sz w:val="21"/>
          <w:szCs w:val="21"/>
          <w:lang w:val="en-US"/>
        </w:rPr>
        <w:t>The PNDA will have four components:</w:t>
      </w:r>
    </w:p>
    <w:p w14:paraId="14367DD3" w14:textId="77777777" w:rsidR="001977A4" w:rsidRPr="00D53B04" w:rsidRDefault="001977A4" w:rsidP="001977A4">
      <w:pPr>
        <w:pStyle w:val="Corpsdetexte"/>
        <w:spacing w:line="276" w:lineRule="auto"/>
        <w:rPr>
          <w:rFonts w:cs="Arial"/>
          <w:sz w:val="21"/>
          <w:szCs w:val="21"/>
          <w:lang w:val="en-US"/>
        </w:rPr>
      </w:pPr>
    </w:p>
    <w:p w14:paraId="0985C506" w14:textId="77777777" w:rsidR="001977A4" w:rsidRPr="00D53B04" w:rsidRDefault="001977A4" w:rsidP="002378EA">
      <w:pPr>
        <w:pStyle w:val="Paragraphedeliste"/>
        <w:widowControl w:val="0"/>
        <w:numPr>
          <w:ilvl w:val="0"/>
          <w:numId w:val="113"/>
        </w:numPr>
        <w:tabs>
          <w:tab w:val="left" w:pos="977"/>
        </w:tabs>
        <w:autoSpaceDE w:val="0"/>
        <w:autoSpaceDN w:val="0"/>
        <w:ind w:left="709" w:hanging="425"/>
        <w:contextualSpacing w:val="0"/>
        <w:rPr>
          <w:rFonts w:cs="Arial"/>
          <w:i/>
          <w:szCs w:val="21"/>
        </w:rPr>
      </w:pPr>
      <w:r w:rsidRPr="00D53B04">
        <w:rPr>
          <w:rFonts w:cs="Arial"/>
          <w:i/>
          <w:szCs w:val="21"/>
        </w:rPr>
        <w:t>Component 1: Agricultural Productivity</w:t>
      </w:r>
      <w:r w:rsidRPr="00D53B04">
        <w:rPr>
          <w:rFonts w:cs="Arial"/>
          <w:i/>
          <w:spacing w:val="-6"/>
          <w:szCs w:val="21"/>
        </w:rPr>
        <w:t xml:space="preserve"> </w:t>
      </w:r>
      <w:r w:rsidRPr="00D53B04">
        <w:rPr>
          <w:rFonts w:cs="Arial"/>
          <w:i/>
          <w:szCs w:val="21"/>
        </w:rPr>
        <w:t>:</w:t>
      </w:r>
    </w:p>
    <w:p w14:paraId="6BE43897" w14:textId="77777777" w:rsidR="001977A4" w:rsidRPr="00D53B04" w:rsidRDefault="001977A4" w:rsidP="002378EA">
      <w:pPr>
        <w:pStyle w:val="Paragraphedeliste"/>
        <w:widowControl w:val="0"/>
        <w:numPr>
          <w:ilvl w:val="1"/>
          <w:numId w:val="113"/>
        </w:numPr>
        <w:tabs>
          <w:tab w:val="left" w:pos="1468"/>
          <w:tab w:val="left" w:pos="1469"/>
        </w:tabs>
        <w:autoSpaceDE w:val="0"/>
        <w:autoSpaceDN w:val="0"/>
        <w:ind w:left="1134" w:hanging="283"/>
        <w:contextualSpacing w:val="0"/>
        <w:rPr>
          <w:rFonts w:cs="Arial"/>
          <w:szCs w:val="21"/>
          <w:lang w:val="en-US"/>
        </w:rPr>
      </w:pPr>
      <w:r w:rsidRPr="00D53B04">
        <w:rPr>
          <w:rFonts w:cs="Arial"/>
          <w:szCs w:val="21"/>
          <w:lang w:val="en-US"/>
        </w:rPr>
        <w:t>Sub-component 1.1: Direct support to smallholders</w:t>
      </w:r>
    </w:p>
    <w:p w14:paraId="2D5BE8A6" w14:textId="77777777" w:rsidR="001977A4" w:rsidRPr="00D53B04" w:rsidRDefault="001977A4" w:rsidP="002378EA">
      <w:pPr>
        <w:pStyle w:val="Paragraphedeliste"/>
        <w:widowControl w:val="0"/>
        <w:numPr>
          <w:ilvl w:val="1"/>
          <w:numId w:val="113"/>
        </w:numPr>
        <w:tabs>
          <w:tab w:val="left" w:pos="1468"/>
          <w:tab w:val="left" w:pos="1469"/>
        </w:tabs>
        <w:autoSpaceDE w:val="0"/>
        <w:autoSpaceDN w:val="0"/>
        <w:ind w:left="1134" w:hanging="283"/>
        <w:contextualSpacing w:val="0"/>
        <w:rPr>
          <w:rFonts w:cs="Arial"/>
          <w:szCs w:val="21"/>
          <w:lang w:val="en-US"/>
        </w:rPr>
      </w:pPr>
      <w:r w:rsidRPr="00D53B04">
        <w:rPr>
          <w:rFonts w:cs="Arial"/>
          <w:szCs w:val="21"/>
          <w:lang w:val="en-US"/>
        </w:rPr>
        <w:t>Sub-component 1.2: Technical assistance and financial access to</w:t>
      </w:r>
      <w:r w:rsidRPr="00D53B04">
        <w:rPr>
          <w:rFonts w:cs="Arial"/>
          <w:spacing w:val="-12"/>
          <w:szCs w:val="21"/>
          <w:lang w:val="en-US"/>
        </w:rPr>
        <w:t xml:space="preserve"> </w:t>
      </w:r>
      <w:r w:rsidRPr="00D53B04">
        <w:rPr>
          <w:rFonts w:cs="Arial"/>
          <w:szCs w:val="21"/>
          <w:lang w:val="en-US"/>
        </w:rPr>
        <w:t>smallholders</w:t>
      </w:r>
    </w:p>
    <w:p w14:paraId="39F90272" w14:textId="77777777" w:rsidR="001977A4" w:rsidRPr="00D53B04" w:rsidRDefault="001977A4" w:rsidP="002378EA">
      <w:pPr>
        <w:pStyle w:val="Paragraphedeliste"/>
        <w:widowControl w:val="0"/>
        <w:numPr>
          <w:ilvl w:val="0"/>
          <w:numId w:val="113"/>
        </w:numPr>
        <w:tabs>
          <w:tab w:val="left" w:pos="977"/>
        </w:tabs>
        <w:autoSpaceDE w:val="0"/>
        <w:autoSpaceDN w:val="0"/>
        <w:ind w:left="709" w:hanging="425"/>
        <w:contextualSpacing w:val="0"/>
        <w:rPr>
          <w:rFonts w:cs="Arial"/>
          <w:i/>
          <w:szCs w:val="21"/>
        </w:rPr>
      </w:pPr>
      <w:r w:rsidRPr="00D53B04">
        <w:rPr>
          <w:rFonts w:cs="Arial"/>
          <w:i/>
          <w:szCs w:val="21"/>
        </w:rPr>
        <w:t>Component 2: Smallholder Market Access :</w:t>
      </w:r>
    </w:p>
    <w:p w14:paraId="20DF9699" w14:textId="77777777" w:rsidR="001977A4" w:rsidRPr="00D53B04" w:rsidRDefault="001977A4" w:rsidP="002378EA">
      <w:pPr>
        <w:pStyle w:val="Paragraphedeliste"/>
        <w:widowControl w:val="0"/>
        <w:numPr>
          <w:ilvl w:val="1"/>
          <w:numId w:val="113"/>
        </w:numPr>
        <w:tabs>
          <w:tab w:val="left" w:pos="1468"/>
          <w:tab w:val="left" w:pos="1469"/>
        </w:tabs>
        <w:autoSpaceDE w:val="0"/>
        <w:autoSpaceDN w:val="0"/>
        <w:ind w:left="1134" w:hanging="283"/>
        <w:contextualSpacing w:val="0"/>
        <w:rPr>
          <w:rFonts w:cs="Arial"/>
          <w:szCs w:val="21"/>
          <w:lang w:val="en-US"/>
        </w:rPr>
      </w:pPr>
      <w:r w:rsidRPr="00D53B04">
        <w:rPr>
          <w:rFonts w:cs="Arial"/>
          <w:szCs w:val="21"/>
          <w:lang w:val="en-US"/>
        </w:rPr>
        <w:t>Sub-component 2.1: Rural Infrastructure</w:t>
      </w:r>
    </w:p>
    <w:p w14:paraId="3CA1347D" w14:textId="77777777" w:rsidR="001977A4" w:rsidRPr="00D53B04" w:rsidRDefault="001977A4" w:rsidP="002378EA">
      <w:pPr>
        <w:pStyle w:val="Paragraphedeliste"/>
        <w:widowControl w:val="0"/>
        <w:numPr>
          <w:ilvl w:val="1"/>
          <w:numId w:val="113"/>
        </w:numPr>
        <w:tabs>
          <w:tab w:val="left" w:pos="1468"/>
          <w:tab w:val="left" w:pos="1469"/>
        </w:tabs>
        <w:autoSpaceDE w:val="0"/>
        <w:autoSpaceDN w:val="0"/>
        <w:ind w:left="1134" w:hanging="283"/>
        <w:contextualSpacing w:val="0"/>
        <w:rPr>
          <w:rFonts w:cs="Arial"/>
          <w:szCs w:val="21"/>
          <w:lang w:val="en-US"/>
        </w:rPr>
      </w:pPr>
      <w:r w:rsidRPr="00D53B04">
        <w:rPr>
          <w:rFonts w:cs="Arial"/>
          <w:szCs w:val="21"/>
          <w:lang w:val="en-US"/>
        </w:rPr>
        <w:t>Sub-component 2.2: Supporting the inclusion of smallholders in value chains</w:t>
      </w:r>
    </w:p>
    <w:p w14:paraId="0F676F23" w14:textId="77777777" w:rsidR="001977A4" w:rsidRPr="00D53B04" w:rsidRDefault="001977A4" w:rsidP="002378EA">
      <w:pPr>
        <w:pStyle w:val="Paragraphedeliste"/>
        <w:widowControl w:val="0"/>
        <w:numPr>
          <w:ilvl w:val="0"/>
          <w:numId w:val="113"/>
        </w:numPr>
        <w:tabs>
          <w:tab w:val="left" w:pos="977"/>
        </w:tabs>
        <w:autoSpaceDE w:val="0"/>
        <w:autoSpaceDN w:val="0"/>
        <w:ind w:left="709" w:hanging="425"/>
        <w:contextualSpacing w:val="0"/>
        <w:rPr>
          <w:rFonts w:cs="Arial"/>
          <w:i/>
          <w:szCs w:val="21"/>
          <w:lang w:val="en-US"/>
        </w:rPr>
      </w:pPr>
      <w:r w:rsidRPr="00D53B04">
        <w:rPr>
          <w:rFonts w:cs="Arial"/>
          <w:i/>
          <w:szCs w:val="21"/>
          <w:lang w:val="en-US"/>
        </w:rPr>
        <w:t>Component 3: Agricultural Public Goods and Services</w:t>
      </w:r>
    </w:p>
    <w:p w14:paraId="623528E2" w14:textId="77777777" w:rsidR="001977A4" w:rsidRPr="00D53B04" w:rsidRDefault="001977A4" w:rsidP="002378EA">
      <w:pPr>
        <w:pStyle w:val="Paragraphedeliste"/>
        <w:widowControl w:val="0"/>
        <w:numPr>
          <w:ilvl w:val="1"/>
          <w:numId w:val="113"/>
        </w:numPr>
        <w:tabs>
          <w:tab w:val="left" w:pos="1468"/>
          <w:tab w:val="left" w:pos="1469"/>
        </w:tabs>
        <w:autoSpaceDE w:val="0"/>
        <w:autoSpaceDN w:val="0"/>
        <w:ind w:left="1134" w:hanging="283"/>
        <w:contextualSpacing w:val="0"/>
        <w:rPr>
          <w:rFonts w:cs="Arial"/>
          <w:szCs w:val="21"/>
          <w:lang w:val="en-US"/>
        </w:rPr>
      </w:pPr>
      <w:r w:rsidRPr="00D53B04">
        <w:rPr>
          <w:rFonts w:cs="Arial"/>
          <w:szCs w:val="21"/>
          <w:lang w:val="en-US"/>
        </w:rPr>
        <w:t>Sub-Component 3.1: Capacity Building for Agricultural Public Service Delivery ;</w:t>
      </w:r>
    </w:p>
    <w:p w14:paraId="2C6E4E7A" w14:textId="77777777" w:rsidR="001977A4" w:rsidRPr="00D53B04" w:rsidRDefault="001977A4" w:rsidP="002378EA">
      <w:pPr>
        <w:pStyle w:val="Paragraphedeliste"/>
        <w:widowControl w:val="0"/>
        <w:numPr>
          <w:ilvl w:val="1"/>
          <w:numId w:val="113"/>
        </w:numPr>
        <w:tabs>
          <w:tab w:val="left" w:pos="1468"/>
          <w:tab w:val="left" w:pos="1469"/>
        </w:tabs>
        <w:autoSpaceDE w:val="0"/>
        <w:autoSpaceDN w:val="0"/>
        <w:ind w:left="1134" w:hanging="283"/>
        <w:contextualSpacing w:val="0"/>
        <w:rPr>
          <w:rFonts w:cs="Arial"/>
          <w:szCs w:val="21"/>
          <w:lang w:val="en-US"/>
        </w:rPr>
      </w:pPr>
      <w:r w:rsidRPr="00D53B04">
        <w:rPr>
          <w:rFonts w:cs="Arial"/>
          <w:szCs w:val="21"/>
          <w:lang w:val="en-US"/>
        </w:rPr>
        <w:t>Sub-component 3.2: Program Management, Monitoring, and Evaluation</w:t>
      </w:r>
    </w:p>
    <w:p w14:paraId="1EC57923" w14:textId="77777777" w:rsidR="001977A4" w:rsidRPr="00D53B04" w:rsidRDefault="001977A4" w:rsidP="002378EA">
      <w:pPr>
        <w:pStyle w:val="Paragraphedeliste"/>
        <w:widowControl w:val="0"/>
        <w:numPr>
          <w:ilvl w:val="0"/>
          <w:numId w:val="113"/>
        </w:numPr>
        <w:tabs>
          <w:tab w:val="left" w:pos="977"/>
        </w:tabs>
        <w:autoSpaceDE w:val="0"/>
        <w:autoSpaceDN w:val="0"/>
        <w:ind w:left="709" w:hanging="425"/>
        <w:contextualSpacing w:val="0"/>
        <w:rPr>
          <w:rFonts w:cs="Arial"/>
          <w:i/>
          <w:szCs w:val="21"/>
        </w:rPr>
      </w:pPr>
      <w:r w:rsidRPr="00D53B04">
        <w:rPr>
          <w:rFonts w:cs="Arial"/>
          <w:i/>
          <w:szCs w:val="21"/>
        </w:rPr>
        <w:t>Component 4: Agricultural Emergency Response</w:t>
      </w:r>
    </w:p>
    <w:p w14:paraId="18C4ECE3" w14:textId="77777777" w:rsidR="001977A4" w:rsidRPr="00D53B04" w:rsidRDefault="001977A4" w:rsidP="001977A4">
      <w:pPr>
        <w:pStyle w:val="Corpsdetexte"/>
        <w:spacing w:line="276" w:lineRule="auto"/>
        <w:rPr>
          <w:rFonts w:cs="Arial"/>
          <w:i/>
          <w:sz w:val="21"/>
          <w:szCs w:val="21"/>
        </w:rPr>
      </w:pPr>
    </w:p>
    <w:p w14:paraId="7817D654" w14:textId="77777777" w:rsidR="001977A4" w:rsidRPr="005257AB" w:rsidRDefault="001977A4" w:rsidP="002378EA">
      <w:pPr>
        <w:pStyle w:val="Paragraphedeliste"/>
        <w:widowControl w:val="0"/>
        <w:numPr>
          <w:ilvl w:val="0"/>
          <w:numId w:val="112"/>
        </w:numPr>
        <w:tabs>
          <w:tab w:val="left" w:pos="709"/>
        </w:tabs>
        <w:autoSpaceDE w:val="0"/>
        <w:autoSpaceDN w:val="0"/>
        <w:ind w:left="709" w:hanging="425"/>
        <w:contextualSpacing w:val="0"/>
        <w:rPr>
          <w:rFonts w:cs="Arial"/>
          <w:b/>
          <w:i/>
          <w:szCs w:val="21"/>
          <w:lang w:val="en-US"/>
        </w:rPr>
      </w:pPr>
      <w:r w:rsidRPr="005257AB">
        <w:rPr>
          <w:rFonts w:cs="Arial"/>
          <w:b/>
          <w:i/>
          <w:szCs w:val="21"/>
          <w:lang w:val="en-US"/>
        </w:rPr>
        <w:t>Brief description of major environmental and social issues and risks</w:t>
      </w:r>
    </w:p>
    <w:p w14:paraId="458657A4" w14:textId="77777777" w:rsidR="001977A4" w:rsidRPr="00D53B04" w:rsidRDefault="001977A4" w:rsidP="001977A4">
      <w:pPr>
        <w:pStyle w:val="Corpsdetexte"/>
        <w:spacing w:line="276" w:lineRule="auto"/>
        <w:rPr>
          <w:rFonts w:cs="Arial"/>
          <w:i/>
          <w:sz w:val="21"/>
          <w:szCs w:val="21"/>
          <w:lang w:val="en-US"/>
        </w:rPr>
      </w:pPr>
    </w:p>
    <w:p w14:paraId="4DDD039F" w14:textId="77777777" w:rsidR="001977A4" w:rsidRPr="00D53B04" w:rsidRDefault="001977A4" w:rsidP="001977A4">
      <w:pPr>
        <w:pStyle w:val="Corpsdetexte"/>
        <w:spacing w:line="276" w:lineRule="auto"/>
        <w:rPr>
          <w:rFonts w:cs="Arial"/>
          <w:sz w:val="21"/>
          <w:szCs w:val="21"/>
          <w:lang w:val="en-US"/>
        </w:rPr>
      </w:pPr>
      <w:r w:rsidRPr="00D53B04">
        <w:rPr>
          <w:rFonts w:cs="Arial"/>
          <w:sz w:val="21"/>
          <w:szCs w:val="21"/>
          <w:lang w:val="en-US"/>
        </w:rPr>
        <w:t>The Provinces involved in the PNDA are faced with several environmental and social constraints and challenges, the most important of which are the following:</w:t>
      </w:r>
    </w:p>
    <w:p w14:paraId="32E0CAD2" w14:textId="77777777" w:rsidR="001977A4" w:rsidRPr="00D53B04" w:rsidRDefault="001977A4" w:rsidP="001977A4">
      <w:pPr>
        <w:pStyle w:val="Corpsdetexte"/>
        <w:spacing w:line="276" w:lineRule="auto"/>
        <w:rPr>
          <w:rFonts w:cs="Arial"/>
          <w:sz w:val="21"/>
          <w:szCs w:val="21"/>
          <w:lang w:val="en-US"/>
        </w:rPr>
      </w:pPr>
    </w:p>
    <w:p w14:paraId="74D1AEE1" w14:textId="77777777" w:rsidR="001977A4" w:rsidRPr="00D53B04" w:rsidRDefault="001977A4" w:rsidP="00ED1B8C">
      <w:pPr>
        <w:pStyle w:val="Paragraphedeliste"/>
        <w:widowControl w:val="0"/>
        <w:numPr>
          <w:ilvl w:val="0"/>
          <w:numId w:val="170"/>
        </w:numPr>
        <w:tabs>
          <w:tab w:val="left" w:pos="709"/>
        </w:tabs>
        <w:autoSpaceDE w:val="0"/>
        <w:autoSpaceDN w:val="0"/>
        <w:ind w:left="709" w:hanging="349"/>
        <w:contextualSpacing w:val="0"/>
        <w:rPr>
          <w:rFonts w:cs="Arial"/>
          <w:szCs w:val="21"/>
        </w:rPr>
      </w:pPr>
      <w:r w:rsidRPr="00D53B04">
        <w:rPr>
          <w:rFonts w:cs="Arial"/>
          <w:szCs w:val="21"/>
        </w:rPr>
        <w:t>Low agricultural production</w:t>
      </w:r>
      <w:r w:rsidRPr="00D53B04">
        <w:rPr>
          <w:rFonts w:cs="Arial"/>
          <w:spacing w:val="-6"/>
          <w:szCs w:val="21"/>
        </w:rPr>
        <w:t xml:space="preserve"> </w:t>
      </w:r>
      <w:r w:rsidRPr="00D53B04">
        <w:rPr>
          <w:rFonts w:cs="Arial"/>
          <w:szCs w:val="21"/>
        </w:rPr>
        <w:t>;</w:t>
      </w:r>
    </w:p>
    <w:p w14:paraId="2B2EF0B7" w14:textId="77777777" w:rsidR="001977A4" w:rsidRPr="00D53B04" w:rsidRDefault="001977A4" w:rsidP="00ED1B8C">
      <w:pPr>
        <w:pStyle w:val="Paragraphedeliste"/>
        <w:widowControl w:val="0"/>
        <w:numPr>
          <w:ilvl w:val="0"/>
          <w:numId w:val="170"/>
        </w:numPr>
        <w:tabs>
          <w:tab w:val="left" w:pos="709"/>
        </w:tabs>
        <w:autoSpaceDE w:val="0"/>
        <w:autoSpaceDN w:val="0"/>
        <w:ind w:left="709" w:hanging="349"/>
        <w:contextualSpacing w:val="0"/>
        <w:rPr>
          <w:rFonts w:cs="Arial"/>
          <w:szCs w:val="21"/>
        </w:rPr>
      </w:pPr>
      <w:r w:rsidRPr="00D53B04">
        <w:rPr>
          <w:rFonts w:cs="Arial"/>
          <w:szCs w:val="21"/>
        </w:rPr>
        <w:t>Low fish production (fishing)</w:t>
      </w:r>
      <w:r w:rsidRPr="00D53B04">
        <w:rPr>
          <w:rFonts w:cs="Arial"/>
          <w:spacing w:val="-7"/>
          <w:szCs w:val="21"/>
        </w:rPr>
        <w:t xml:space="preserve"> </w:t>
      </w:r>
      <w:r w:rsidRPr="00D53B04">
        <w:rPr>
          <w:rFonts w:cs="Arial"/>
          <w:szCs w:val="21"/>
        </w:rPr>
        <w:t>;</w:t>
      </w:r>
    </w:p>
    <w:p w14:paraId="42D56370" w14:textId="77777777" w:rsidR="001977A4" w:rsidRPr="00D53B04" w:rsidRDefault="001977A4" w:rsidP="00ED1B8C">
      <w:pPr>
        <w:pStyle w:val="Paragraphedeliste"/>
        <w:widowControl w:val="0"/>
        <w:numPr>
          <w:ilvl w:val="0"/>
          <w:numId w:val="170"/>
        </w:numPr>
        <w:tabs>
          <w:tab w:val="left" w:pos="709"/>
        </w:tabs>
        <w:autoSpaceDE w:val="0"/>
        <w:autoSpaceDN w:val="0"/>
        <w:ind w:left="709" w:hanging="349"/>
        <w:contextualSpacing w:val="0"/>
        <w:rPr>
          <w:rFonts w:cs="Arial"/>
          <w:szCs w:val="21"/>
        </w:rPr>
      </w:pPr>
      <w:r w:rsidRPr="00D53B04">
        <w:rPr>
          <w:rFonts w:cs="Arial"/>
          <w:szCs w:val="21"/>
        </w:rPr>
        <w:t>Low animal production (breeding)</w:t>
      </w:r>
      <w:r w:rsidRPr="00D53B04">
        <w:rPr>
          <w:rFonts w:cs="Arial"/>
          <w:spacing w:val="-7"/>
          <w:szCs w:val="21"/>
        </w:rPr>
        <w:t xml:space="preserve"> </w:t>
      </w:r>
      <w:r w:rsidRPr="00D53B04">
        <w:rPr>
          <w:rFonts w:cs="Arial"/>
          <w:szCs w:val="21"/>
        </w:rPr>
        <w:t>;</w:t>
      </w:r>
    </w:p>
    <w:p w14:paraId="0F549A0E" w14:textId="77777777" w:rsidR="001977A4" w:rsidRPr="00D53B04" w:rsidRDefault="001977A4" w:rsidP="00ED1B8C">
      <w:pPr>
        <w:pStyle w:val="Paragraphedeliste"/>
        <w:widowControl w:val="0"/>
        <w:numPr>
          <w:ilvl w:val="0"/>
          <w:numId w:val="170"/>
        </w:numPr>
        <w:tabs>
          <w:tab w:val="left" w:pos="709"/>
        </w:tabs>
        <w:autoSpaceDE w:val="0"/>
        <w:autoSpaceDN w:val="0"/>
        <w:ind w:left="709" w:hanging="349"/>
        <w:contextualSpacing w:val="0"/>
        <w:rPr>
          <w:rFonts w:cs="Arial"/>
          <w:szCs w:val="21"/>
          <w:lang w:val="en-US"/>
        </w:rPr>
      </w:pPr>
      <w:r w:rsidRPr="00D53B04">
        <w:rPr>
          <w:rFonts w:cs="Arial"/>
          <w:szCs w:val="21"/>
          <w:lang w:val="en-US"/>
        </w:rPr>
        <w:t>Poor access to veterinary care</w:t>
      </w:r>
      <w:r w:rsidRPr="00D53B04">
        <w:rPr>
          <w:rFonts w:cs="Arial"/>
          <w:spacing w:val="-3"/>
          <w:szCs w:val="21"/>
          <w:lang w:val="en-US"/>
        </w:rPr>
        <w:t xml:space="preserve"> </w:t>
      </w:r>
      <w:r w:rsidRPr="00D53B04">
        <w:rPr>
          <w:rFonts w:cs="Arial"/>
          <w:szCs w:val="21"/>
          <w:lang w:val="en-US"/>
        </w:rPr>
        <w:t>;</w:t>
      </w:r>
    </w:p>
    <w:p w14:paraId="3BA6C0CF" w14:textId="77777777" w:rsidR="001977A4" w:rsidRPr="00D53B04" w:rsidRDefault="001977A4" w:rsidP="00ED1B8C">
      <w:pPr>
        <w:pStyle w:val="Paragraphedeliste"/>
        <w:widowControl w:val="0"/>
        <w:numPr>
          <w:ilvl w:val="0"/>
          <w:numId w:val="170"/>
        </w:numPr>
        <w:tabs>
          <w:tab w:val="left" w:pos="709"/>
        </w:tabs>
        <w:autoSpaceDE w:val="0"/>
        <w:autoSpaceDN w:val="0"/>
        <w:ind w:left="709" w:hanging="349"/>
        <w:contextualSpacing w:val="0"/>
        <w:rPr>
          <w:rFonts w:cs="Arial"/>
          <w:szCs w:val="21"/>
        </w:rPr>
      </w:pPr>
      <w:r w:rsidRPr="00D53B04">
        <w:rPr>
          <w:rFonts w:cs="Arial"/>
          <w:szCs w:val="21"/>
        </w:rPr>
        <w:t>Land problem</w:t>
      </w:r>
      <w:r w:rsidRPr="00D53B04">
        <w:rPr>
          <w:rFonts w:cs="Arial"/>
          <w:spacing w:val="-1"/>
          <w:szCs w:val="21"/>
        </w:rPr>
        <w:t xml:space="preserve"> </w:t>
      </w:r>
      <w:r w:rsidRPr="00D53B04">
        <w:rPr>
          <w:rFonts w:cs="Arial"/>
          <w:szCs w:val="21"/>
        </w:rPr>
        <w:t>;</w:t>
      </w:r>
    </w:p>
    <w:p w14:paraId="073FA81C" w14:textId="77777777" w:rsidR="001977A4" w:rsidRPr="00D53B04" w:rsidRDefault="001977A4" w:rsidP="00ED1B8C">
      <w:pPr>
        <w:pStyle w:val="Paragraphedeliste"/>
        <w:widowControl w:val="0"/>
        <w:numPr>
          <w:ilvl w:val="0"/>
          <w:numId w:val="170"/>
        </w:numPr>
        <w:tabs>
          <w:tab w:val="left" w:pos="709"/>
        </w:tabs>
        <w:autoSpaceDE w:val="0"/>
        <w:autoSpaceDN w:val="0"/>
        <w:ind w:left="709" w:hanging="349"/>
        <w:contextualSpacing w:val="0"/>
        <w:rPr>
          <w:rFonts w:cs="Arial"/>
          <w:szCs w:val="21"/>
          <w:lang w:val="en-US"/>
        </w:rPr>
      </w:pPr>
      <w:r w:rsidRPr="00D53B04">
        <w:rPr>
          <w:rFonts w:cs="Arial"/>
          <w:szCs w:val="21"/>
          <w:lang w:val="en-US"/>
        </w:rPr>
        <w:t>Risk and prevalence of gender-based violence (GBV), including sexual exploitation and abuse (SEA) and sexual harassment (S</w:t>
      </w:r>
      <w:r w:rsidR="0027419B" w:rsidRPr="00D53B04">
        <w:rPr>
          <w:rFonts w:cs="Arial"/>
          <w:szCs w:val="21"/>
          <w:lang w:val="en-US"/>
        </w:rPr>
        <w:t>H</w:t>
      </w:r>
      <w:r w:rsidRPr="00D53B04">
        <w:rPr>
          <w:rFonts w:cs="Arial"/>
          <w:szCs w:val="21"/>
          <w:lang w:val="en-US"/>
        </w:rPr>
        <w:t xml:space="preserve">), and </w:t>
      </w:r>
      <w:r w:rsidR="0027419B" w:rsidRPr="00D53B04">
        <w:rPr>
          <w:rFonts w:cs="Arial"/>
          <w:szCs w:val="21"/>
          <w:lang w:val="en-US"/>
        </w:rPr>
        <w:t>COVID</w:t>
      </w:r>
      <w:r w:rsidRPr="00D53B04">
        <w:rPr>
          <w:rFonts w:cs="Arial"/>
          <w:szCs w:val="21"/>
          <w:lang w:val="en-US"/>
        </w:rPr>
        <w:t>-19 ;</w:t>
      </w:r>
    </w:p>
    <w:p w14:paraId="3020E4A8" w14:textId="77777777" w:rsidR="001977A4" w:rsidRPr="00D53B04" w:rsidRDefault="001977A4" w:rsidP="00ED1B8C">
      <w:pPr>
        <w:pStyle w:val="Paragraphedeliste"/>
        <w:widowControl w:val="0"/>
        <w:numPr>
          <w:ilvl w:val="0"/>
          <w:numId w:val="170"/>
        </w:numPr>
        <w:tabs>
          <w:tab w:val="left" w:pos="709"/>
        </w:tabs>
        <w:autoSpaceDE w:val="0"/>
        <w:autoSpaceDN w:val="0"/>
        <w:ind w:left="709" w:hanging="349"/>
        <w:contextualSpacing w:val="0"/>
        <w:rPr>
          <w:rFonts w:cs="Arial"/>
          <w:szCs w:val="21"/>
        </w:rPr>
      </w:pPr>
      <w:r w:rsidRPr="00D53B04">
        <w:rPr>
          <w:rFonts w:cs="Arial"/>
          <w:szCs w:val="21"/>
        </w:rPr>
        <w:lastRenderedPageBreak/>
        <w:t>Lack of intelligent agriculture ;</w:t>
      </w:r>
    </w:p>
    <w:p w14:paraId="78F0DA7E" w14:textId="77777777" w:rsidR="001977A4" w:rsidRPr="00D53B04" w:rsidRDefault="001977A4" w:rsidP="00ED1B8C">
      <w:pPr>
        <w:pStyle w:val="Paragraphedeliste"/>
        <w:widowControl w:val="0"/>
        <w:numPr>
          <w:ilvl w:val="0"/>
          <w:numId w:val="170"/>
        </w:numPr>
        <w:tabs>
          <w:tab w:val="left" w:pos="709"/>
        </w:tabs>
        <w:autoSpaceDE w:val="0"/>
        <w:autoSpaceDN w:val="0"/>
        <w:ind w:left="709" w:hanging="349"/>
        <w:contextualSpacing w:val="0"/>
        <w:rPr>
          <w:rFonts w:cs="Arial"/>
          <w:szCs w:val="21"/>
          <w:lang w:val="en-US"/>
        </w:rPr>
      </w:pPr>
      <w:r w:rsidRPr="00D53B04">
        <w:rPr>
          <w:rFonts w:cs="Arial"/>
          <w:szCs w:val="21"/>
          <w:lang w:val="en-US"/>
        </w:rPr>
        <w:t>Problem of lack of community infrastructure such as markets, agricultural product depots, slaughterhouses, etc. ;</w:t>
      </w:r>
    </w:p>
    <w:p w14:paraId="4AFB0F54" w14:textId="77777777" w:rsidR="001977A4" w:rsidRPr="00D53B04" w:rsidRDefault="001977A4" w:rsidP="00ED1B8C">
      <w:pPr>
        <w:pStyle w:val="Paragraphedeliste"/>
        <w:widowControl w:val="0"/>
        <w:numPr>
          <w:ilvl w:val="0"/>
          <w:numId w:val="170"/>
        </w:numPr>
        <w:tabs>
          <w:tab w:val="left" w:pos="709"/>
        </w:tabs>
        <w:autoSpaceDE w:val="0"/>
        <w:autoSpaceDN w:val="0"/>
        <w:ind w:left="709" w:hanging="349"/>
        <w:contextualSpacing w:val="0"/>
        <w:rPr>
          <w:rFonts w:cs="Arial"/>
          <w:szCs w:val="21"/>
          <w:lang w:val="en-US"/>
        </w:rPr>
      </w:pPr>
      <w:r w:rsidRPr="00D53B04">
        <w:rPr>
          <w:rFonts w:cs="Arial"/>
          <w:szCs w:val="21"/>
          <w:lang w:val="en-US"/>
        </w:rPr>
        <w:t>Problem of the agricultural feeder roads which are in a very advanced state of disrepair;</w:t>
      </w:r>
    </w:p>
    <w:p w14:paraId="1C87F796" w14:textId="77777777" w:rsidR="001977A4" w:rsidRPr="00D53B04" w:rsidRDefault="001977A4" w:rsidP="00ED1B8C">
      <w:pPr>
        <w:pStyle w:val="Paragraphedeliste"/>
        <w:widowControl w:val="0"/>
        <w:numPr>
          <w:ilvl w:val="0"/>
          <w:numId w:val="170"/>
        </w:numPr>
        <w:tabs>
          <w:tab w:val="left" w:pos="709"/>
        </w:tabs>
        <w:autoSpaceDE w:val="0"/>
        <w:autoSpaceDN w:val="0"/>
        <w:ind w:left="709" w:hanging="349"/>
        <w:contextualSpacing w:val="0"/>
        <w:rPr>
          <w:rFonts w:cs="Arial"/>
          <w:szCs w:val="21"/>
          <w:lang w:val="en-US"/>
        </w:rPr>
      </w:pPr>
      <w:r w:rsidRPr="00D53B04">
        <w:rPr>
          <w:rFonts w:cs="Arial"/>
          <w:szCs w:val="21"/>
          <w:lang w:val="en-US"/>
        </w:rPr>
        <w:t>Deficiency of the irrigation system of agricultural fields ;</w:t>
      </w:r>
    </w:p>
    <w:p w14:paraId="273208D0" w14:textId="77777777" w:rsidR="001977A4" w:rsidRPr="00D53B04" w:rsidRDefault="001977A4" w:rsidP="00ED1B8C">
      <w:pPr>
        <w:pStyle w:val="Paragraphedeliste"/>
        <w:widowControl w:val="0"/>
        <w:numPr>
          <w:ilvl w:val="0"/>
          <w:numId w:val="170"/>
        </w:numPr>
        <w:tabs>
          <w:tab w:val="left" w:pos="709"/>
        </w:tabs>
        <w:autoSpaceDE w:val="0"/>
        <w:autoSpaceDN w:val="0"/>
        <w:ind w:left="709" w:hanging="349"/>
        <w:contextualSpacing w:val="0"/>
        <w:rPr>
          <w:rFonts w:cs="Arial"/>
          <w:szCs w:val="21"/>
          <w:lang w:val="en-US"/>
        </w:rPr>
      </w:pPr>
      <w:r w:rsidRPr="00D53B04">
        <w:rPr>
          <w:rFonts w:cs="Arial"/>
          <w:szCs w:val="21"/>
          <w:lang w:val="en-US"/>
        </w:rPr>
        <w:t>Problem of malnutrition and undernourishment ;</w:t>
      </w:r>
    </w:p>
    <w:p w14:paraId="4588ECCD" w14:textId="77777777" w:rsidR="0027419B" w:rsidRPr="00D53B04" w:rsidRDefault="0027419B" w:rsidP="00ED1B8C">
      <w:pPr>
        <w:pStyle w:val="Paragraphedeliste"/>
        <w:widowControl w:val="0"/>
        <w:numPr>
          <w:ilvl w:val="0"/>
          <w:numId w:val="170"/>
        </w:numPr>
        <w:tabs>
          <w:tab w:val="left" w:pos="709"/>
        </w:tabs>
        <w:autoSpaceDE w:val="0"/>
        <w:autoSpaceDN w:val="0"/>
        <w:ind w:left="709" w:hanging="349"/>
        <w:contextualSpacing w:val="0"/>
        <w:rPr>
          <w:rFonts w:cs="Arial"/>
          <w:szCs w:val="21"/>
          <w:lang w:val="en-US"/>
        </w:rPr>
      </w:pPr>
      <w:r w:rsidRPr="00D53B04">
        <w:rPr>
          <w:rFonts w:cs="Arial"/>
          <w:szCs w:val="21"/>
          <w:lang w:val="en-US"/>
        </w:rPr>
        <w:t>Risk of contamination of the COVID-19 with its consequences on the poverty of the populations;</w:t>
      </w:r>
    </w:p>
    <w:p w14:paraId="30F15B20" w14:textId="77777777" w:rsidR="0027419B" w:rsidRPr="00D53B04" w:rsidRDefault="0027419B" w:rsidP="00ED1B8C">
      <w:pPr>
        <w:pStyle w:val="Paragraphedeliste"/>
        <w:widowControl w:val="0"/>
        <w:numPr>
          <w:ilvl w:val="0"/>
          <w:numId w:val="170"/>
        </w:numPr>
        <w:tabs>
          <w:tab w:val="left" w:pos="709"/>
        </w:tabs>
        <w:autoSpaceDE w:val="0"/>
        <w:autoSpaceDN w:val="0"/>
        <w:ind w:left="709" w:hanging="349"/>
        <w:contextualSpacing w:val="0"/>
        <w:rPr>
          <w:rFonts w:cs="Arial"/>
          <w:szCs w:val="21"/>
          <w:lang w:val="en-US"/>
        </w:rPr>
      </w:pPr>
      <w:r w:rsidRPr="00D53B04">
        <w:rPr>
          <w:rFonts w:cs="Arial"/>
          <w:szCs w:val="21"/>
          <w:lang w:val="en-US"/>
        </w:rPr>
        <w:t>Risk of contamination of the Ebola virus in the Province of North Kivu;</w:t>
      </w:r>
    </w:p>
    <w:p w14:paraId="3641AE9F" w14:textId="77777777" w:rsidR="0027419B" w:rsidRPr="00D53B04" w:rsidRDefault="0027419B" w:rsidP="00ED1B8C">
      <w:pPr>
        <w:pStyle w:val="Paragraphedeliste"/>
        <w:widowControl w:val="0"/>
        <w:numPr>
          <w:ilvl w:val="0"/>
          <w:numId w:val="170"/>
        </w:numPr>
        <w:tabs>
          <w:tab w:val="left" w:pos="709"/>
        </w:tabs>
        <w:autoSpaceDE w:val="0"/>
        <w:autoSpaceDN w:val="0"/>
        <w:ind w:left="709" w:hanging="349"/>
        <w:contextualSpacing w:val="0"/>
        <w:rPr>
          <w:rFonts w:cs="Arial"/>
          <w:szCs w:val="21"/>
          <w:lang w:val="en-US"/>
        </w:rPr>
      </w:pPr>
      <w:r w:rsidRPr="00D53B04">
        <w:rPr>
          <w:rFonts w:cs="Arial"/>
          <w:szCs w:val="21"/>
          <w:lang w:val="en-US"/>
        </w:rPr>
        <w:t>Land problem linked to the conflict over land between communities;</w:t>
      </w:r>
    </w:p>
    <w:p w14:paraId="10D4D4FE" w14:textId="77777777" w:rsidR="001977A4" w:rsidRPr="00D53B04" w:rsidRDefault="001977A4" w:rsidP="00ED1B8C">
      <w:pPr>
        <w:pStyle w:val="Paragraphedeliste"/>
        <w:widowControl w:val="0"/>
        <w:numPr>
          <w:ilvl w:val="0"/>
          <w:numId w:val="170"/>
        </w:numPr>
        <w:tabs>
          <w:tab w:val="left" w:pos="709"/>
        </w:tabs>
        <w:autoSpaceDE w:val="0"/>
        <w:autoSpaceDN w:val="0"/>
        <w:ind w:left="709" w:hanging="349"/>
        <w:contextualSpacing w:val="0"/>
        <w:rPr>
          <w:rFonts w:cs="Arial"/>
          <w:szCs w:val="21"/>
          <w:lang w:val="en-US"/>
        </w:rPr>
      </w:pPr>
      <w:r w:rsidRPr="00D53B04">
        <w:rPr>
          <w:rFonts w:cs="Arial"/>
          <w:szCs w:val="21"/>
          <w:lang w:val="en-US"/>
        </w:rPr>
        <w:t>Erosion and flood risks in the Kasai and Kasai Central region ;</w:t>
      </w:r>
    </w:p>
    <w:p w14:paraId="4FFBD5D6" w14:textId="77777777" w:rsidR="001977A4" w:rsidRPr="00D53B04" w:rsidRDefault="0027419B" w:rsidP="00ED1B8C">
      <w:pPr>
        <w:pStyle w:val="Paragraphedeliste"/>
        <w:widowControl w:val="0"/>
        <w:numPr>
          <w:ilvl w:val="0"/>
          <w:numId w:val="170"/>
        </w:numPr>
        <w:tabs>
          <w:tab w:val="left" w:pos="709"/>
        </w:tabs>
        <w:autoSpaceDE w:val="0"/>
        <w:autoSpaceDN w:val="0"/>
        <w:ind w:left="709" w:hanging="349"/>
        <w:contextualSpacing w:val="0"/>
        <w:rPr>
          <w:rFonts w:cs="Arial"/>
          <w:szCs w:val="21"/>
          <w:lang w:val="en-US"/>
        </w:rPr>
      </w:pPr>
      <w:r w:rsidRPr="00D53B04">
        <w:rPr>
          <w:rFonts w:cs="Arial"/>
          <w:szCs w:val="21"/>
          <w:lang w:val="en-US"/>
        </w:rPr>
        <w:t xml:space="preserve">The extent and severity </w:t>
      </w:r>
      <w:r w:rsidR="001977A4" w:rsidRPr="00D53B04">
        <w:rPr>
          <w:rFonts w:cs="Arial"/>
          <w:szCs w:val="21"/>
          <w:lang w:val="en-US"/>
        </w:rPr>
        <w:t xml:space="preserve"> of social problems </w:t>
      </w:r>
      <w:r w:rsidRPr="00D53B04">
        <w:rPr>
          <w:rFonts w:cs="Arial"/>
          <w:szCs w:val="21"/>
          <w:lang w:val="en-US"/>
        </w:rPr>
        <w:t>related to poverty, malnutrition and undernourishment;</w:t>
      </w:r>
      <w:r w:rsidR="001977A4" w:rsidRPr="00D53B04">
        <w:rPr>
          <w:rFonts w:cs="Arial"/>
          <w:szCs w:val="21"/>
          <w:lang w:val="en-US"/>
        </w:rPr>
        <w:t>;</w:t>
      </w:r>
    </w:p>
    <w:p w14:paraId="0B474A1D" w14:textId="77777777" w:rsidR="001977A4" w:rsidRPr="00D53B04" w:rsidRDefault="001977A4" w:rsidP="00ED1B8C">
      <w:pPr>
        <w:pStyle w:val="Paragraphedeliste"/>
        <w:widowControl w:val="0"/>
        <w:numPr>
          <w:ilvl w:val="0"/>
          <w:numId w:val="170"/>
        </w:numPr>
        <w:tabs>
          <w:tab w:val="left" w:pos="709"/>
        </w:tabs>
        <w:autoSpaceDE w:val="0"/>
        <w:autoSpaceDN w:val="0"/>
        <w:ind w:left="709" w:hanging="349"/>
        <w:contextualSpacing w:val="0"/>
        <w:rPr>
          <w:rFonts w:cs="Arial"/>
          <w:szCs w:val="21"/>
          <w:lang w:val="en-US"/>
        </w:rPr>
      </w:pPr>
      <w:r w:rsidRPr="00D53B04">
        <w:rPr>
          <w:rFonts w:cs="Arial"/>
          <w:szCs w:val="21"/>
          <w:lang w:val="en-US"/>
        </w:rPr>
        <w:t>Insecurity in the North Kivu region (Beni, Butembo, Rutshuru)</w:t>
      </w:r>
      <w:r w:rsidR="00005290" w:rsidRPr="00D53B04">
        <w:rPr>
          <w:rFonts w:cs="Arial"/>
          <w:szCs w:val="21"/>
          <w:lang w:val="en-US"/>
        </w:rPr>
        <w:t>.</w:t>
      </w:r>
    </w:p>
    <w:p w14:paraId="48F2E611" w14:textId="77777777" w:rsidR="001977A4" w:rsidRPr="00D53B04" w:rsidRDefault="001977A4" w:rsidP="001977A4">
      <w:pPr>
        <w:pStyle w:val="Corpsdetexte"/>
        <w:spacing w:line="276" w:lineRule="auto"/>
        <w:rPr>
          <w:rFonts w:cs="Arial"/>
          <w:sz w:val="21"/>
          <w:szCs w:val="21"/>
          <w:lang w:val="en-US"/>
        </w:rPr>
      </w:pPr>
    </w:p>
    <w:p w14:paraId="29710879" w14:textId="77777777" w:rsidR="001977A4" w:rsidRPr="005257AB" w:rsidRDefault="001977A4" w:rsidP="002378EA">
      <w:pPr>
        <w:pStyle w:val="Paragraphedeliste"/>
        <w:widowControl w:val="0"/>
        <w:numPr>
          <w:ilvl w:val="0"/>
          <w:numId w:val="112"/>
        </w:numPr>
        <w:tabs>
          <w:tab w:val="left" w:pos="709"/>
        </w:tabs>
        <w:autoSpaceDE w:val="0"/>
        <w:autoSpaceDN w:val="0"/>
        <w:ind w:left="709" w:hanging="425"/>
        <w:contextualSpacing w:val="0"/>
        <w:rPr>
          <w:rFonts w:cs="Arial"/>
          <w:b/>
          <w:i/>
          <w:szCs w:val="21"/>
          <w:lang w:val="en-US"/>
        </w:rPr>
      </w:pPr>
      <w:r w:rsidRPr="005257AB">
        <w:rPr>
          <w:rFonts w:cs="Arial"/>
          <w:b/>
          <w:i/>
          <w:szCs w:val="21"/>
          <w:lang w:val="en-US"/>
        </w:rPr>
        <w:t>Policy, legal and institutional framework for the management of the country's environmental and social risks and impacts and the World Bank's Environmental and Social Framework (ESC), whose requirements are met by the CGES</w:t>
      </w:r>
    </w:p>
    <w:p w14:paraId="705ECBD1" w14:textId="77777777" w:rsidR="001977A4" w:rsidRPr="00D53B04" w:rsidRDefault="001977A4" w:rsidP="001977A4">
      <w:pPr>
        <w:pStyle w:val="Corpsdetexte"/>
        <w:spacing w:line="276" w:lineRule="auto"/>
        <w:rPr>
          <w:rFonts w:cs="Arial"/>
          <w:i/>
          <w:sz w:val="21"/>
          <w:szCs w:val="21"/>
          <w:lang w:val="en-US"/>
        </w:rPr>
      </w:pPr>
    </w:p>
    <w:p w14:paraId="7FBE0429" w14:textId="4EFBB10A" w:rsidR="001977A4" w:rsidRDefault="001977A4" w:rsidP="001977A4">
      <w:pPr>
        <w:pStyle w:val="Corpsdetexte"/>
        <w:spacing w:line="276" w:lineRule="auto"/>
        <w:rPr>
          <w:rFonts w:cs="Arial"/>
          <w:sz w:val="21"/>
          <w:szCs w:val="21"/>
          <w:lang w:val="en-US"/>
        </w:rPr>
      </w:pPr>
      <w:r w:rsidRPr="00D53B04">
        <w:rPr>
          <w:rFonts w:cs="Arial"/>
          <w:sz w:val="21"/>
          <w:szCs w:val="21"/>
          <w:lang w:val="en-US"/>
        </w:rPr>
        <w:t xml:space="preserve">The legislative and regulatory context of the environmental and social </w:t>
      </w:r>
      <w:r w:rsidR="005257AB">
        <w:rPr>
          <w:rFonts w:cs="Arial"/>
          <w:sz w:val="21"/>
          <w:szCs w:val="21"/>
          <w:lang w:val="en-US"/>
        </w:rPr>
        <w:t xml:space="preserve">management </w:t>
      </w:r>
      <w:r w:rsidRPr="00D53B04">
        <w:rPr>
          <w:rFonts w:cs="Arial"/>
          <w:sz w:val="21"/>
          <w:szCs w:val="21"/>
          <w:lang w:val="en-US"/>
        </w:rPr>
        <w:t xml:space="preserve">sectors and of the intervention sectors of the PNDA is marked by the existence of </w:t>
      </w:r>
      <w:r w:rsidR="005257AB">
        <w:rPr>
          <w:rFonts w:cs="Arial"/>
          <w:sz w:val="21"/>
          <w:szCs w:val="21"/>
          <w:lang w:val="en-US"/>
        </w:rPr>
        <w:t>the</w:t>
      </w:r>
      <w:r w:rsidRPr="00D53B04">
        <w:rPr>
          <w:rFonts w:cs="Arial"/>
          <w:sz w:val="21"/>
          <w:szCs w:val="21"/>
          <w:lang w:val="en-US"/>
        </w:rPr>
        <w:t xml:space="preserve"> texts</w:t>
      </w:r>
      <w:r w:rsidRPr="00D53B04">
        <w:rPr>
          <w:rFonts w:cs="Arial"/>
          <w:spacing w:val="-13"/>
          <w:sz w:val="21"/>
          <w:szCs w:val="21"/>
          <w:lang w:val="en-US"/>
        </w:rPr>
        <w:t xml:space="preserve"> </w:t>
      </w:r>
      <w:r w:rsidRPr="00D53B04">
        <w:rPr>
          <w:rFonts w:cs="Arial"/>
          <w:sz w:val="21"/>
          <w:szCs w:val="21"/>
          <w:lang w:val="en-US"/>
        </w:rPr>
        <w:t>at</w:t>
      </w:r>
      <w:r w:rsidRPr="00D53B04">
        <w:rPr>
          <w:rFonts w:cs="Arial"/>
          <w:spacing w:val="-14"/>
          <w:sz w:val="21"/>
          <w:szCs w:val="21"/>
          <w:lang w:val="en-US"/>
        </w:rPr>
        <w:t xml:space="preserve"> </w:t>
      </w:r>
      <w:r w:rsidRPr="00D53B04">
        <w:rPr>
          <w:rFonts w:cs="Arial"/>
          <w:sz w:val="21"/>
          <w:szCs w:val="21"/>
          <w:lang w:val="en-US"/>
        </w:rPr>
        <w:t>the</w:t>
      </w:r>
      <w:r w:rsidRPr="00D53B04">
        <w:rPr>
          <w:rFonts w:cs="Arial"/>
          <w:spacing w:val="-15"/>
          <w:sz w:val="21"/>
          <w:szCs w:val="21"/>
          <w:lang w:val="en-US"/>
        </w:rPr>
        <w:t xml:space="preserve"> </w:t>
      </w:r>
      <w:r w:rsidRPr="00D53B04">
        <w:rPr>
          <w:rFonts w:cs="Arial"/>
          <w:sz w:val="21"/>
          <w:szCs w:val="21"/>
          <w:lang w:val="en-US"/>
        </w:rPr>
        <w:t>legislative</w:t>
      </w:r>
      <w:r w:rsidRPr="00D53B04">
        <w:rPr>
          <w:rFonts w:cs="Arial"/>
          <w:spacing w:val="-13"/>
          <w:sz w:val="21"/>
          <w:szCs w:val="21"/>
          <w:lang w:val="en-US"/>
        </w:rPr>
        <w:t xml:space="preserve"> </w:t>
      </w:r>
      <w:r w:rsidRPr="00D53B04">
        <w:rPr>
          <w:rFonts w:cs="Arial"/>
          <w:sz w:val="21"/>
          <w:szCs w:val="21"/>
          <w:lang w:val="en-US"/>
        </w:rPr>
        <w:t>and</w:t>
      </w:r>
      <w:r w:rsidRPr="00D53B04">
        <w:rPr>
          <w:rFonts w:cs="Arial"/>
          <w:spacing w:val="-12"/>
          <w:sz w:val="21"/>
          <w:szCs w:val="21"/>
          <w:lang w:val="en-US"/>
        </w:rPr>
        <w:t xml:space="preserve"> </w:t>
      </w:r>
      <w:r w:rsidRPr="00D53B04">
        <w:rPr>
          <w:rFonts w:cs="Arial"/>
          <w:sz w:val="21"/>
          <w:szCs w:val="21"/>
          <w:lang w:val="en-US"/>
        </w:rPr>
        <w:t>regulatory</w:t>
      </w:r>
      <w:r w:rsidRPr="00D53B04">
        <w:rPr>
          <w:rFonts w:cs="Arial"/>
          <w:spacing w:val="-15"/>
          <w:sz w:val="21"/>
          <w:szCs w:val="21"/>
          <w:lang w:val="en-US"/>
        </w:rPr>
        <w:t xml:space="preserve"> </w:t>
      </w:r>
      <w:r w:rsidRPr="00D53B04">
        <w:rPr>
          <w:rFonts w:cs="Arial"/>
          <w:sz w:val="21"/>
          <w:szCs w:val="21"/>
          <w:lang w:val="en-US"/>
        </w:rPr>
        <w:t>level</w:t>
      </w:r>
      <w:r w:rsidRPr="00D53B04">
        <w:rPr>
          <w:rFonts w:cs="Arial"/>
          <w:spacing w:val="-12"/>
          <w:sz w:val="21"/>
          <w:szCs w:val="21"/>
          <w:lang w:val="en-US"/>
        </w:rPr>
        <w:t xml:space="preserve"> </w:t>
      </w:r>
      <w:r w:rsidRPr="00D53B04">
        <w:rPr>
          <w:rFonts w:cs="Arial"/>
          <w:sz w:val="21"/>
          <w:szCs w:val="21"/>
          <w:lang w:val="en-US"/>
        </w:rPr>
        <w:t>(Law</w:t>
      </w:r>
      <w:r w:rsidRPr="00D53B04">
        <w:rPr>
          <w:rFonts w:cs="Arial"/>
          <w:spacing w:val="-16"/>
          <w:sz w:val="21"/>
          <w:szCs w:val="21"/>
          <w:lang w:val="en-US"/>
        </w:rPr>
        <w:t xml:space="preserve"> </w:t>
      </w:r>
      <w:r w:rsidRPr="00D53B04">
        <w:rPr>
          <w:rFonts w:cs="Arial"/>
          <w:sz w:val="21"/>
          <w:szCs w:val="21"/>
          <w:lang w:val="en-US"/>
        </w:rPr>
        <w:t>No.</w:t>
      </w:r>
      <w:r w:rsidRPr="00D53B04">
        <w:rPr>
          <w:rFonts w:cs="Arial"/>
          <w:spacing w:val="-12"/>
          <w:sz w:val="21"/>
          <w:szCs w:val="21"/>
          <w:lang w:val="en-US"/>
        </w:rPr>
        <w:t xml:space="preserve"> </w:t>
      </w:r>
      <w:r w:rsidRPr="00D53B04">
        <w:rPr>
          <w:rFonts w:cs="Arial"/>
          <w:sz w:val="21"/>
          <w:szCs w:val="21"/>
          <w:lang w:val="en-US"/>
        </w:rPr>
        <w:t>11/009</w:t>
      </w:r>
      <w:r w:rsidRPr="00D53B04">
        <w:rPr>
          <w:rFonts w:cs="Arial"/>
          <w:spacing w:val="-15"/>
          <w:sz w:val="21"/>
          <w:szCs w:val="21"/>
          <w:lang w:val="en-US"/>
        </w:rPr>
        <w:t xml:space="preserve"> </w:t>
      </w:r>
      <w:r w:rsidRPr="00D53B04">
        <w:rPr>
          <w:rFonts w:cs="Arial"/>
          <w:sz w:val="21"/>
          <w:szCs w:val="21"/>
          <w:lang w:val="en-US"/>
        </w:rPr>
        <w:t>of</w:t>
      </w:r>
      <w:r w:rsidRPr="00D53B04">
        <w:rPr>
          <w:rFonts w:cs="Arial"/>
          <w:spacing w:val="-12"/>
          <w:sz w:val="21"/>
          <w:szCs w:val="21"/>
          <w:lang w:val="en-US"/>
        </w:rPr>
        <w:t xml:space="preserve"> </w:t>
      </w:r>
      <w:r w:rsidRPr="00D53B04">
        <w:rPr>
          <w:rFonts w:cs="Arial"/>
          <w:sz w:val="21"/>
          <w:szCs w:val="21"/>
          <w:lang w:val="en-US"/>
        </w:rPr>
        <w:t>July</w:t>
      </w:r>
      <w:r w:rsidRPr="00D53B04">
        <w:rPr>
          <w:rFonts w:cs="Arial"/>
          <w:spacing w:val="-15"/>
          <w:sz w:val="21"/>
          <w:szCs w:val="21"/>
          <w:lang w:val="en-US"/>
        </w:rPr>
        <w:t xml:space="preserve"> </w:t>
      </w:r>
      <w:r w:rsidRPr="00D53B04">
        <w:rPr>
          <w:rFonts w:cs="Arial"/>
          <w:sz w:val="21"/>
          <w:szCs w:val="21"/>
          <w:lang w:val="en-US"/>
        </w:rPr>
        <w:t>9,</w:t>
      </w:r>
      <w:r w:rsidRPr="00D53B04">
        <w:rPr>
          <w:rFonts w:cs="Arial"/>
          <w:spacing w:val="-14"/>
          <w:sz w:val="21"/>
          <w:szCs w:val="21"/>
          <w:lang w:val="en-US"/>
        </w:rPr>
        <w:t xml:space="preserve"> </w:t>
      </w:r>
      <w:r w:rsidRPr="00D53B04">
        <w:rPr>
          <w:rFonts w:cs="Arial"/>
          <w:sz w:val="21"/>
          <w:szCs w:val="21"/>
          <w:lang w:val="en-US"/>
        </w:rPr>
        <w:t>2011</w:t>
      </w:r>
      <w:r w:rsidRPr="00D53B04">
        <w:rPr>
          <w:rFonts w:cs="Arial"/>
          <w:spacing w:val="-15"/>
          <w:sz w:val="21"/>
          <w:szCs w:val="21"/>
          <w:lang w:val="en-US"/>
        </w:rPr>
        <w:t xml:space="preserve"> </w:t>
      </w:r>
      <w:r w:rsidRPr="00D53B04">
        <w:rPr>
          <w:rFonts w:cs="Arial"/>
          <w:sz w:val="21"/>
          <w:szCs w:val="21"/>
          <w:lang w:val="en-US"/>
        </w:rPr>
        <w:t>on</w:t>
      </w:r>
      <w:r w:rsidRPr="00D53B04">
        <w:rPr>
          <w:rFonts w:cs="Arial"/>
          <w:spacing w:val="-14"/>
          <w:sz w:val="21"/>
          <w:szCs w:val="21"/>
          <w:lang w:val="en-US"/>
        </w:rPr>
        <w:t xml:space="preserve"> </w:t>
      </w:r>
      <w:r w:rsidRPr="00D53B04">
        <w:rPr>
          <w:rFonts w:cs="Arial"/>
          <w:sz w:val="21"/>
          <w:szCs w:val="21"/>
          <w:lang w:val="en-US"/>
        </w:rPr>
        <w:t>the</w:t>
      </w:r>
      <w:r w:rsidRPr="00D53B04">
        <w:rPr>
          <w:rFonts w:cs="Arial"/>
          <w:spacing w:val="-15"/>
          <w:sz w:val="21"/>
          <w:szCs w:val="21"/>
          <w:lang w:val="en-US"/>
        </w:rPr>
        <w:t xml:space="preserve"> </w:t>
      </w:r>
      <w:r w:rsidRPr="00D53B04">
        <w:rPr>
          <w:rFonts w:cs="Arial"/>
          <w:sz w:val="21"/>
          <w:szCs w:val="21"/>
          <w:lang w:val="en-US"/>
        </w:rPr>
        <w:t>Fundamental Principles of Environmental Protection; Law No. 11/022 of December 24, 2011 on the Fundamental Principles of Agriculture; Decree No. 14/019 of August 2, 2014 establishing the operating rules of procedural mechanisms for environmental protection; Labor Code; Family Code, etc.).</w:t>
      </w:r>
    </w:p>
    <w:p w14:paraId="1E75D9D2" w14:textId="77777777" w:rsidR="001977A4" w:rsidRPr="00D53B04" w:rsidRDefault="001977A4" w:rsidP="001977A4">
      <w:pPr>
        <w:pStyle w:val="Corpsdetexte"/>
        <w:spacing w:line="276" w:lineRule="auto"/>
        <w:rPr>
          <w:rFonts w:cs="Arial"/>
          <w:sz w:val="21"/>
          <w:szCs w:val="21"/>
          <w:lang w:val="en-US"/>
        </w:rPr>
      </w:pPr>
    </w:p>
    <w:p w14:paraId="2A32111A" w14:textId="732CD4C4" w:rsidR="001977A4" w:rsidRPr="00D53B04" w:rsidRDefault="001977A4" w:rsidP="001977A4">
      <w:pPr>
        <w:pStyle w:val="Corpsdetexte"/>
        <w:spacing w:line="276" w:lineRule="auto"/>
        <w:rPr>
          <w:rFonts w:cs="Arial"/>
          <w:sz w:val="21"/>
          <w:szCs w:val="21"/>
          <w:lang w:val="en-US"/>
        </w:rPr>
      </w:pPr>
      <w:r w:rsidRPr="00D53B04">
        <w:rPr>
          <w:rFonts w:cs="Arial"/>
          <w:sz w:val="21"/>
          <w:szCs w:val="21"/>
          <w:lang w:val="en-US"/>
        </w:rPr>
        <w:t xml:space="preserve">The </w:t>
      </w:r>
      <w:r w:rsidR="00E7620D" w:rsidRPr="00D53B04">
        <w:rPr>
          <w:rFonts w:cs="Arial"/>
          <w:sz w:val="21"/>
          <w:szCs w:val="21"/>
          <w:lang w:val="en-US"/>
        </w:rPr>
        <w:t>PNDA</w:t>
      </w:r>
      <w:r w:rsidRPr="00D53B04">
        <w:rPr>
          <w:rFonts w:cs="Arial"/>
          <w:sz w:val="21"/>
          <w:szCs w:val="21"/>
          <w:lang w:val="en-US"/>
        </w:rPr>
        <w:t xml:space="preserve"> is subject to the requirements of the World Bank's Environmental and Social Framework, which came into force on October 1, 2018. Thus, the assessment of the environmental and social risks and impacts of the </w:t>
      </w:r>
      <w:r w:rsidR="00E7620D" w:rsidRPr="00D53B04">
        <w:rPr>
          <w:rFonts w:cs="Arial"/>
          <w:sz w:val="21"/>
          <w:szCs w:val="21"/>
          <w:lang w:val="en-US"/>
        </w:rPr>
        <w:t xml:space="preserve">PNDA </w:t>
      </w:r>
      <w:r w:rsidRPr="00D53B04">
        <w:rPr>
          <w:rFonts w:cs="Arial"/>
          <w:sz w:val="21"/>
          <w:szCs w:val="21"/>
          <w:lang w:val="en-US"/>
        </w:rPr>
        <w:t xml:space="preserve">has allowed it to be classified as a Project with environmental risk considered substantial in the sense of the World Bank's CES classification, as well as social risk, which is considered </w:t>
      </w:r>
      <w:r w:rsidR="004513E3" w:rsidRPr="00D53B04">
        <w:rPr>
          <w:rFonts w:cs="Arial"/>
          <w:sz w:val="21"/>
          <w:szCs w:val="21"/>
          <w:lang w:val="en-US"/>
        </w:rPr>
        <w:t>high</w:t>
      </w:r>
      <w:r w:rsidRPr="00D53B04">
        <w:rPr>
          <w:rFonts w:cs="Arial"/>
          <w:sz w:val="21"/>
          <w:szCs w:val="21"/>
          <w:lang w:val="en-US"/>
        </w:rPr>
        <w:t xml:space="preserve">, including a risk in relation to GBV provisionally classified at a </w:t>
      </w:r>
      <w:r w:rsidR="004513E3" w:rsidRPr="00D53B04">
        <w:rPr>
          <w:rFonts w:cs="Arial"/>
          <w:sz w:val="21"/>
          <w:szCs w:val="21"/>
          <w:lang w:val="en-US"/>
        </w:rPr>
        <w:t xml:space="preserve">substantial </w:t>
      </w:r>
      <w:r w:rsidRPr="00D53B04">
        <w:rPr>
          <w:rFonts w:cs="Arial"/>
          <w:sz w:val="21"/>
          <w:szCs w:val="21"/>
          <w:lang w:val="en-US"/>
        </w:rPr>
        <w:t xml:space="preserve">level. </w:t>
      </w:r>
    </w:p>
    <w:p w14:paraId="5A48ABA1" w14:textId="77777777" w:rsidR="001977A4" w:rsidRPr="00D53B04" w:rsidRDefault="001977A4" w:rsidP="001977A4">
      <w:pPr>
        <w:pStyle w:val="Corpsdetexte"/>
        <w:spacing w:line="276" w:lineRule="auto"/>
        <w:rPr>
          <w:rFonts w:cs="Arial"/>
          <w:sz w:val="21"/>
          <w:szCs w:val="21"/>
          <w:lang w:val="en-US"/>
        </w:rPr>
      </w:pPr>
    </w:p>
    <w:p w14:paraId="16839411" w14:textId="3262984B" w:rsidR="001977A4" w:rsidRPr="00D53B04" w:rsidRDefault="001977A4" w:rsidP="001977A4">
      <w:pPr>
        <w:pStyle w:val="Corpsdetexte"/>
        <w:spacing w:line="276" w:lineRule="auto"/>
        <w:rPr>
          <w:rFonts w:cs="Arial"/>
          <w:sz w:val="21"/>
          <w:szCs w:val="21"/>
          <w:lang w:val="en-US"/>
        </w:rPr>
      </w:pPr>
      <w:r w:rsidRPr="00D53B04">
        <w:rPr>
          <w:rFonts w:cs="Arial"/>
          <w:sz w:val="21"/>
          <w:szCs w:val="21"/>
          <w:lang w:val="en-US"/>
        </w:rPr>
        <w:t xml:space="preserve">In addition to these ten standards, the </w:t>
      </w:r>
      <w:r w:rsidR="00540C2E" w:rsidRPr="00D53B04">
        <w:rPr>
          <w:rFonts w:cs="Arial"/>
          <w:sz w:val="21"/>
          <w:szCs w:val="21"/>
          <w:lang w:val="en-US"/>
        </w:rPr>
        <w:t>PNDA</w:t>
      </w:r>
      <w:r w:rsidRPr="00D53B04">
        <w:rPr>
          <w:rFonts w:cs="Arial"/>
          <w:sz w:val="21"/>
          <w:szCs w:val="21"/>
          <w:lang w:val="en-US"/>
        </w:rPr>
        <w:t xml:space="preserve"> applies </w:t>
      </w:r>
      <w:r w:rsidR="005257AB">
        <w:rPr>
          <w:rFonts w:cs="Arial"/>
          <w:sz w:val="21"/>
          <w:szCs w:val="21"/>
          <w:lang w:val="en-US"/>
        </w:rPr>
        <w:t>also</w:t>
      </w:r>
      <w:r w:rsidRPr="00D53B04">
        <w:rPr>
          <w:rFonts w:cs="Arial"/>
          <w:sz w:val="21"/>
          <w:szCs w:val="21"/>
          <w:lang w:val="en-US"/>
        </w:rPr>
        <w:t xml:space="preserve"> the General Environmental, Health</w:t>
      </w:r>
      <w:r w:rsidRPr="00D53B04">
        <w:rPr>
          <w:rFonts w:cs="Arial"/>
          <w:spacing w:val="-4"/>
          <w:sz w:val="21"/>
          <w:szCs w:val="21"/>
          <w:lang w:val="en-US"/>
        </w:rPr>
        <w:t xml:space="preserve"> </w:t>
      </w:r>
      <w:r w:rsidRPr="00D53B04">
        <w:rPr>
          <w:rFonts w:cs="Arial"/>
          <w:sz w:val="21"/>
          <w:szCs w:val="21"/>
          <w:lang w:val="en-US"/>
        </w:rPr>
        <w:t>and</w:t>
      </w:r>
      <w:r w:rsidRPr="00D53B04">
        <w:rPr>
          <w:rFonts w:cs="Arial"/>
          <w:spacing w:val="-4"/>
          <w:sz w:val="21"/>
          <w:szCs w:val="21"/>
          <w:lang w:val="en-US"/>
        </w:rPr>
        <w:t xml:space="preserve"> </w:t>
      </w:r>
      <w:r w:rsidRPr="00D53B04">
        <w:rPr>
          <w:rFonts w:cs="Arial"/>
          <w:sz w:val="21"/>
          <w:szCs w:val="21"/>
          <w:lang w:val="en-US"/>
        </w:rPr>
        <w:t>Safety</w:t>
      </w:r>
      <w:r w:rsidRPr="00D53B04">
        <w:rPr>
          <w:rFonts w:cs="Arial"/>
          <w:spacing w:val="-7"/>
          <w:sz w:val="21"/>
          <w:szCs w:val="21"/>
          <w:lang w:val="en-US"/>
        </w:rPr>
        <w:t xml:space="preserve"> </w:t>
      </w:r>
      <w:r w:rsidRPr="00D53B04">
        <w:rPr>
          <w:rFonts w:cs="Arial"/>
          <w:sz w:val="21"/>
          <w:szCs w:val="21"/>
          <w:lang w:val="en-US"/>
        </w:rPr>
        <w:t>Guidelines</w:t>
      </w:r>
      <w:r w:rsidRPr="00D53B04">
        <w:rPr>
          <w:rFonts w:cs="Arial"/>
          <w:spacing w:val="-4"/>
          <w:sz w:val="21"/>
          <w:szCs w:val="21"/>
          <w:lang w:val="en-US"/>
        </w:rPr>
        <w:t xml:space="preserve"> </w:t>
      </w:r>
      <w:r w:rsidRPr="00D53B04">
        <w:rPr>
          <w:rFonts w:cs="Arial"/>
          <w:sz w:val="21"/>
          <w:szCs w:val="21"/>
          <w:lang w:val="en-US"/>
        </w:rPr>
        <w:t>of</w:t>
      </w:r>
      <w:r w:rsidRPr="00D53B04">
        <w:rPr>
          <w:rFonts w:cs="Arial"/>
          <w:spacing w:val="-2"/>
          <w:sz w:val="21"/>
          <w:szCs w:val="21"/>
          <w:lang w:val="en-US"/>
        </w:rPr>
        <w:t xml:space="preserve"> </w:t>
      </w:r>
      <w:r w:rsidRPr="00D53B04">
        <w:rPr>
          <w:rFonts w:cs="Arial"/>
          <w:sz w:val="21"/>
          <w:szCs w:val="21"/>
          <w:lang w:val="en-US"/>
        </w:rPr>
        <w:t>the</w:t>
      </w:r>
      <w:r w:rsidRPr="00D53B04">
        <w:rPr>
          <w:rFonts w:cs="Arial"/>
          <w:spacing w:val="-11"/>
          <w:sz w:val="21"/>
          <w:szCs w:val="21"/>
          <w:lang w:val="en-US"/>
        </w:rPr>
        <w:t xml:space="preserve"> </w:t>
      </w:r>
      <w:r w:rsidRPr="00D53B04">
        <w:rPr>
          <w:rFonts w:cs="Arial"/>
          <w:sz w:val="21"/>
          <w:szCs w:val="21"/>
          <w:lang w:val="en-US"/>
        </w:rPr>
        <w:t>World</w:t>
      </w:r>
      <w:r w:rsidRPr="00D53B04">
        <w:rPr>
          <w:rFonts w:cs="Arial"/>
          <w:spacing w:val="-4"/>
          <w:sz w:val="21"/>
          <w:szCs w:val="21"/>
          <w:lang w:val="en-US"/>
        </w:rPr>
        <w:t xml:space="preserve"> </w:t>
      </w:r>
      <w:r w:rsidRPr="00D53B04">
        <w:rPr>
          <w:rFonts w:cs="Arial"/>
          <w:sz w:val="21"/>
          <w:szCs w:val="21"/>
          <w:lang w:val="en-US"/>
        </w:rPr>
        <w:t>Bank</w:t>
      </w:r>
      <w:r w:rsidRPr="00D53B04">
        <w:rPr>
          <w:rFonts w:cs="Arial"/>
          <w:spacing w:val="-5"/>
          <w:sz w:val="21"/>
          <w:szCs w:val="21"/>
          <w:lang w:val="en-US"/>
        </w:rPr>
        <w:t xml:space="preserve"> </w:t>
      </w:r>
      <w:r w:rsidRPr="00D53B04">
        <w:rPr>
          <w:rFonts w:cs="Arial"/>
          <w:sz w:val="21"/>
          <w:szCs w:val="21"/>
          <w:lang w:val="en-US"/>
        </w:rPr>
        <w:t>Group</w:t>
      </w:r>
      <w:r w:rsidRPr="00D53B04">
        <w:rPr>
          <w:rFonts w:cs="Arial"/>
          <w:spacing w:val="-4"/>
          <w:sz w:val="21"/>
          <w:szCs w:val="21"/>
          <w:lang w:val="en-US"/>
        </w:rPr>
        <w:t xml:space="preserve"> </w:t>
      </w:r>
      <w:r w:rsidR="005257AB">
        <w:rPr>
          <w:rFonts w:cs="Arial"/>
          <w:sz w:val="21"/>
          <w:szCs w:val="21"/>
          <w:lang w:val="en-US"/>
        </w:rPr>
        <w:t>and</w:t>
      </w:r>
      <w:r w:rsidRPr="00D53B04">
        <w:rPr>
          <w:rFonts w:cs="Arial"/>
          <w:spacing w:val="-3"/>
          <w:sz w:val="21"/>
          <w:szCs w:val="21"/>
          <w:lang w:val="en-US"/>
        </w:rPr>
        <w:t xml:space="preserve"> </w:t>
      </w:r>
      <w:r w:rsidRPr="00D53B04">
        <w:rPr>
          <w:rFonts w:cs="Arial"/>
          <w:sz w:val="21"/>
          <w:szCs w:val="21"/>
          <w:lang w:val="en-US"/>
        </w:rPr>
        <w:t>the</w:t>
      </w:r>
      <w:r w:rsidRPr="00D53B04">
        <w:rPr>
          <w:rFonts w:cs="Arial"/>
          <w:spacing w:val="-9"/>
          <w:sz w:val="21"/>
          <w:szCs w:val="21"/>
          <w:lang w:val="en-US"/>
        </w:rPr>
        <w:t xml:space="preserve"> </w:t>
      </w:r>
      <w:r w:rsidRPr="00D53B04">
        <w:rPr>
          <w:rFonts w:cs="Arial"/>
          <w:sz w:val="21"/>
          <w:szCs w:val="21"/>
          <w:lang w:val="en-US"/>
        </w:rPr>
        <w:t>Operational</w:t>
      </w:r>
      <w:r w:rsidRPr="00D53B04">
        <w:rPr>
          <w:rFonts w:cs="Arial"/>
          <w:spacing w:val="-4"/>
          <w:sz w:val="21"/>
          <w:szCs w:val="21"/>
          <w:lang w:val="en-US"/>
        </w:rPr>
        <w:t xml:space="preserve"> </w:t>
      </w:r>
      <w:r w:rsidRPr="00D53B04">
        <w:rPr>
          <w:rFonts w:cs="Arial"/>
          <w:sz w:val="21"/>
          <w:szCs w:val="21"/>
          <w:lang w:val="en-US"/>
        </w:rPr>
        <w:t>Policy</w:t>
      </w:r>
      <w:r w:rsidRPr="00D53B04">
        <w:rPr>
          <w:rFonts w:cs="Arial"/>
          <w:spacing w:val="-6"/>
          <w:sz w:val="21"/>
          <w:szCs w:val="21"/>
          <w:lang w:val="en-US"/>
        </w:rPr>
        <w:t xml:space="preserve"> </w:t>
      </w:r>
      <w:r w:rsidRPr="00D53B04">
        <w:rPr>
          <w:rFonts w:cs="Arial"/>
          <w:sz w:val="21"/>
          <w:szCs w:val="21"/>
          <w:lang w:val="en-US"/>
        </w:rPr>
        <w:t>PO/BP</w:t>
      </w:r>
      <w:r w:rsidR="005257AB">
        <w:rPr>
          <w:rFonts w:cs="Arial"/>
          <w:sz w:val="21"/>
          <w:szCs w:val="21"/>
          <w:lang w:val="en-US"/>
        </w:rPr>
        <w:t xml:space="preserve"> </w:t>
      </w:r>
      <w:r w:rsidRPr="00D53B04">
        <w:rPr>
          <w:rFonts w:cs="Arial"/>
          <w:sz w:val="21"/>
          <w:szCs w:val="21"/>
          <w:lang w:val="en-US"/>
        </w:rPr>
        <w:t>7.50</w:t>
      </w:r>
      <w:r w:rsidRPr="00D53B04">
        <w:rPr>
          <w:rFonts w:cs="Arial"/>
          <w:spacing w:val="-10"/>
          <w:sz w:val="21"/>
          <w:szCs w:val="21"/>
          <w:lang w:val="en-US"/>
        </w:rPr>
        <w:t xml:space="preserve"> </w:t>
      </w:r>
      <w:r w:rsidRPr="00D53B04">
        <w:rPr>
          <w:rFonts w:cs="Arial"/>
          <w:sz w:val="21"/>
          <w:szCs w:val="21"/>
          <w:lang w:val="en-US"/>
        </w:rPr>
        <w:t>-</w:t>
      </w:r>
      <w:r w:rsidRPr="00D53B04">
        <w:rPr>
          <w:rFonts w:cs="Arial"/>
          <w:spacing w:val="-9"/>
          <w:sz w:val="21"/>
          <w:szCs w:val="21"/>
          <w:lang w:val="en-US"/>
        </w:rPr>
        <w:t xml:space="preserve"> </w:t>
      </w:r>
      <w:r w:rsidRPr="00D53B04">
        <w:rPr>
          <w:rFonts w:cs="Arial"/>
          <w:sz w:val="21"/>
          <w:szCs w:val="21"/>
          <w:lang w:val="en-US"/>
        </w:rPr>
        <w:t>International</w:t>
      </w:r>
      <w:r w:rsidRPr="00D53B04">
        <w:rPr>
          <w:rFonts w:cs="Arial"/>
          <w:spacing w:val="-14"/>
          <w:sz w:val="21"/>
          <w:szCs w:val="21"/>
          <w:lang w:val="en-US"/>
        </w:rPr>
        <w:t xml:space="preserve"> </w:t>
      </w:r>
      <w:r w:rsidRPr="00D53B04">
        <w:rPr>
          <w:rFonts w:cs="Arial"/>
          <w:sz w:val="21"/>
          <w:szCs w:val="21"/>
          <w:lang w:val="en-US"/>
        </w:rPr>
        <w:t>Watercourses</w:t>
      </w:r>
      <w:r w:rsidRPr="00D53B04">
        <w:rPr>
          <w:rFonts w:cs="Arial"/>
          <w:spacing w:val="-10"/>
          <w:sz w:val="21"/>
          <w:szCs w:val="21"/>
          <w:lang w:val="en-US"/>
        </w:rPr>
        <w:t xml:space="preserve"> </w:t>
      </w:r>
      <w:r w:rsidRPr="00D53B04">
        <w:rPr>
          <w:rFonts w:cs="Arial"/>
          <w:sz w:val="21"/>
          <w:szCs w:val="21"/>
          <w:lang w:val="en-US"/>
        </w:rPr>
        <w:t>Project,</w:t>
      </w:r>
      <w:r w:rsidRPr="00D53B04">
        <w:rPr>
          <w:rFonts w:cs="Arial"/>
          <w:spacing w:val="-8"/>
          <w:sz w:val="21"/>
          <w:szCs w:val="21"/>
          <w:lang w:val="en-US"/>
        </w:rPr>
        <w:t xml:space="preserve"> </w:t>
      </w:r>
      <w:r w:rsidRPr="00D53B04">
        <w:rPr>
          <w:rFonts w:cs="Arial"/>
          <w:sz w:val="21"/>
          <w:szCs w:val="21"/>
          <w:lang w:val="en-US"/>
        </w:rPr>
        <w:t>which</w:t>
      </w:r>
      <w:r w:rsidRPr="00D53B04">
        <w:rPr>
          <w:rFonts w:cs="Arial"/>
          <w:spacing w:val="-8"/>
          <w:sz w:val="21"/>
          <w:szCs w:val="21"/>
          <w:lang w:val="en-US"/>
        </w:rPr>
        <w:t xml:space="preserve"> </w:t>
      </w:r>
      <w:r w:rsidRPr="00D53B04">
        <w:rPr>
          <w:rFonts w:cs="Arial"/>
          <w:sz w:val="21"/>
          <w:szCs w:val="21"/>
          <w:lang w:val="en-US"/>
        </w:rPr>
        <w:t>has</w:t>
      </w:r>
      <w:r w:rsidRPr="00D53B04">
        <w:rPr>
          <w:rFonts w:cs="Arial"/>
          <w:spacing w:val="-7"/>
          <w:sz w:val="21"/>
          <w:szCs w:val="21"/>
          <w:lang w:val="en-US"/>
        </w:rPr>
        <w:t xml:space="preserve"> </w:t>
      </w:r>
      <w:r w:rsidRPr="00D53B04">
        <w:rPr>
          <w:rFonts w:cs="Arial"/>
          <w:sz w:val="21"/>
          <w:szCs w:val="21"/>
          <w:lang w:val="en-US"/>
        </w:rPr>
        <w:t>not</w:t>
      </w:r>
      <w:r w:rsidRPr="00D53B04">
        <w:rPr>
          <w:rFonts w:cs="Arial"/>
          <w:spacing w:val="-9"/>
          <w:sz w:val="21"/>
          <w:szCs w:val="21"/>
          <w:lang w:val="en-US"/>
        </w:rPr>
        <w:t xml:space="preserve"> </w:t>
      </w:r>
      <w:r w:rsidRPr="00D53B04">
        <w:rPr>
          <w:rFonts w:cs="Arial"/>
          <w:sz w:val="21"/>
          <w:szCs w:val="21"/>
          <w:lang w:val="en-US"/>
        </w:rPr>
        <w:t>been</w:t>
      </w:r>
      <w:r w:rsidRPr="00D53B04">
        <w:rPr>
          <w:rFonts w:cs="Arial"/>
          <w:spacing w:val="-11"/>
          <w:sz w:val="21"/>
          <w:szCs w:val="21"/>
          <w:lang w:val="en-US"/>
        </w:rPr>
        <w:t xml:space="preserve"> </w:t>
      </w:r>
      <w:r w:rsidRPr="00D53B04">
        <w:rPr>
          <w:rFonts w:cs="Arial"/>
          <w:sz w:val="21"/>
          <w:szCs w:val="21"/>
          <w:lang w:val="en-US"/>
        </w:rPr>
        <w:t>modified</w:t>
      </w:r>
      <w:r w:rsidRPr="00D53B04">
        <w:rPr>
          <w:rFonts w:cs="Arial"/>
          <w:spacing w:val="-8"/>
          <w:sz w:val="21"/>
          <w:szCs w:val="21"/>
          <w:lang w:val="en-US"/>
        </w:rPr>
        <w:t xml:space="preserve"> </w:t>
      </w:r>
      <w:r w:rsidRPr="00D53B04">
        <w:rPr>
          <w:rFonts w:cs="Arial"/>
          <w:sz w:val="21"/>
          <w:szCs w:val="21"/>
          <w:lang w:val="en-US"/>
        </w:rPr>
        <w:t>with</w:t>
      </w:r>
      <w:r w:rsidRPr="00D53B04">
        <w:rPr>
          <w:rFonts w:cs="Arial"/>
          <w:spacing w:val="-7"/>
          <w:sz w:val="21"/>
          <w:szCs w:val="21"/>
          <w:lang w:val="en-US"/>
        </w:rPr>
        <w:t xml:space="preserve"> </w:t>
      </w:r>
      <w:r w:rsidRPr="00D53B04">
        <w:rPr>
          <w:rFonts w:cs="Arial"/>
          <w:sz w:val="21"/>
          <w:szCs w:val="21"/>
          <w:lang w:val="en-US"/>
        </w:rPr>
        <w:t>the</w:t>
      </w:r>
      <w:r w:rsidRPr="00D53B04">
        <w:rPr>
          <w:rFonts w:cs="Arial"/>
          <w:spacing w:val="-11"/>
          <w:sz w:val="21"/>
          <w:szCs w:val="21"/>
          <w:lang w:val="en-US"/>
        </w:rPr>
        <w:t xml:space="preserve"> </w:t>
      </w:r>
      <w:r w:rsidRPr="00D53B04">
        <w:rPr>
          <w:rFonts w:cs="Arial"/>
          <w:sz w:val="21"/>
          <w:szCs w:val="21"/>
          <w:lang w:val="en-US"/>
        </w:rPr>
        <w:t>new</w:t>
      </w:r>
      <w:r w:rsidRPr="00D53B04">
        <w:rPr>
          <w:rFonts w:cs="Arial"/>
          <w:spacing w:val="-11"/>
          <w:sz w:val="21"/>
          <w:szCs w:val="21"/>
          <w:lang w:val="en-US"/>
        </w:rPr>
        <w:t xml:space="preserve"> </w:t>
      </w:r>
      <w:r w:rsidRPr="00D53B04">
        <w:rPr>
          <w:rFonts w:cs="Arial"/>
          <w:sz w:val="21"/>
          <w:szCs w:val="21"/>
          <w:lang w:val="en-US"/>
        </w:rPr>
        <w:t>SRC.</w:t>
      </w:r>
      <w:r w:rsidRPr="00D53B04">
        <w:rPr>
          <w:rFonts w:cs="Arial"/>
          <w:spacing w:val="-7"/>
          <w:sz w:val="21"/>
          <w:szCs w:val="21"/>
          <w:lang w:val="en-US"/>
        </w:rPr>
        <w:t xml:space="preserve"> </w:t>
      </w:r>
      <w:r w:rsidRPr="00D53B04">
        <w:rPr>
          <w:rFonts w:cs="Arial"/>
          <w:sz w:val="21"/>
          <w:szCs w:val="21"/>
          <w:lang w:val="en-US"/>
        </w:rPr>
        <w:t>For GBV aspects, the Project will be implemented in accordance with the Good Practice Note: Addressing</w:t>
      </w:r>
      <w:r w:rsidRPr="00D53B04">
        <w:rPr>
          <w:rFonts w:cs="Arial"/>
          <w:spacing w:val="-9"/>
          <w:sz w:val="21"/>
          <w:szCs w:val="21"/>
          <w:lang w:val="en-US"/>
        </w:rPr>
        <w:t xml:space="preserve"> </w:t>
      </w:r>
      <w:r w:rsidRPr="00D53B04">
        <w:rPr>
          <w:rFonts w:cs="Arial"/>
          <w:sz w:val="21"/>
          <w:szCs w:val="21"/>
          <w:lang w:val="en-US"/>
        </w:rPr>
        <w:t>Sexual</w:t>
      </w:r>
      <w:r w:rsidRPr="00D53B04">
        <w:rPr>
          <w:rFonts w:cs="Arial"/>
          <w:spacing w:val="-10"/>
          <w:sz w:val="21"/>
          <w:szCs w:val="21"/>
          <w:lang w:val="en-US"/>
        </w:rPr>
        <w:t xml:space="preserve"> </w:t>
      </w:r>
      <w:r w:rsidRPr="00D53B04">
        <w:rPr>
          <w:rFonts w:cs="Arial"/>
          <w:sz w:val="21"/>
          <w:szCs w:val="21"/>
          <w:lang w:val="en-US"/>
        </w:rPr>
        <w:t>Exploitation</w:t>
      </w:r>
      <w:r w:rsidRPr="00D53B04">
        <w:rPr>
          <w:rFonts w:cs="Arial"/>
          <w:spacing w:val="-8"/>
          <w:sz w:val="21"/>
          <w:szCs w:val="21"/>
          <w:lang w:val="en-US"/>
        </w:rPr>
        <w:t xml:space="preserve"> </w:t>
      </w:r>
      <w:r w:rsidRPr="00D53B04">
        <w:rPr>
          <w:rFonts w:cs="Arial"/>
          <w:sz w:val="21"/>
          <w:szCs w:val="21"/>
          <w:lang w:val="en-US"/>
        </w:rPr>
        <w:t>and</w:t>
      </w:r>
      <w:r w:rsidRPr="00D53B04">
        <w:rPr>
          <w:rFonts w:cs="Arial"/>
          <w:spacing w:val="-11"/>
          <w:sz w:val="21"/>
          <w:szCs w:val="21"/>
          <w:lang w:val="en-US"/>
        </w:rPr>
        <w:t xml:space="preserve"> </w:t>
      </w:r>
      <w:r w:rsidRPr="00D53B04">
        <w:rPr>
          <w:rFonts w:cs="Arial"/>
          <w:sz w:val="21"/>
          <w:szCs w:val="21"/>
          <w:lang w:val="en-US"/>
        </w:rPr>
        <w:t>Abuse</w:t>
      </w:r>
      <w:r w:rsidRPr="00D53B04">
        <w:rPr>
          <w:rFonts w:cs="Arial"/>
          <w:spacing w:val="-9"/>
          <w:sz w:val="21"/>
          <w:szCs w:val="21"/>
          <w:lang w:val="en-US"/>
        </w:rPr>
        <w:t xml:space="preserve"> </w:t>
      </w:r>
      <w:r w:rsidRPr="00D53B04">
        <w:rPr>
          <w:rFonts w:cs="Arial"/>
          <w:sz w:val="21"/>
          <w:szCs w:val="21"/>
          <w:lang w:val="en-US"/>
        </w:rPr>
        <w:t>and</w:t>
      </w:r>
      <w:r w:rsidRPr="00D53B04">
        <w:rPr>
          <w:rFonts w:cs="Arial"/>
          <w:spacing w:val="-10"/>
          <w:sz w:val="21"/>
          <w:szCs w:val="21"/>
          <w:lang w:val="en-US"/>
        </w:rPr>
        <w:t xml:space="preserve"> </w:t>
      </w:r>
      <w:r w:rsidRPr="00D53B04">
        <w:rPr>
          <w:rFonts w:cs="Arial"/>
          <w:sz w:val="21"/>
          <w:szCs w:val="21"/>
          <w:lang w:val="en-US"/>
        </w:rPr>
        <w:t>Sexual</w:t>
      </w:r>
      <w:r w:rsidRPr="00D53B04">
        <w:rPr>
          <w:rFonts w:cs="Arial"/>
          <w:spacing w:val="-10"/>
          <w:sz w:val="21"/>
          <w:szCs w:val="21"/>
          <w:lang w:val="en-US"/>
        </w:rPr>
        <w:t xml:space="preserve"> </w:t>
      </w:r>
      <w:r w:rsidRPr="00D53B04">
        <w:rPr>
          <w:rFonts w:cs="Arial"/>
          <w:sz w:val="21"/>
          <w:szCs w:val="21"/>
          <w:lang w:val="en-US"/>
        </w:rPr>
        <w:t>Harassment</w:t>
      </w:r>
      <w:r w:rsidRPr="00D53B04">
        <w:rPr>
          <w:rFonts w:cs="Arial"/>
          <w:spacing w:val="-10"/>
          <w:sz w:val="21"/>
          <w:szCs w:val="21"/>
          <w:lang w:val="en-US"/>
        </w:rPr>
        <w:t xml:space="preserve"> </w:t>
      </w:r>
      <w:r w:rsidRPr="00D53B04">
        <w:rPr>
          <w:rFonts w:cs="Arial"/>
          <w:sz w:val="21"/>
          <w:szCs w:val="21"/>
          <w:lang w:val="en-US"/>
        </w:rPr>
        <w:t>in</w:t>
      </w:r>
      <w:r w:rsidRPr="00D53B04">
        <w:rPr>
          <w:rFonts w:cs="Arial"/>
          <w:spacing w:val="-10"/>
          <w:sz w:val="21"/>
          <w:szCs w:val="21"/>
          <w:lang w:val="en-US"/>
        </w:rPr>
        <w:t xml:space="preserve"> </w:t>
      </w:r>
      <w:r w:rsidRPr="00D53B04">
        <w:rPr>
          <w:rFonts w:cs="Arial"/>
          <w:sz w:val="21"/>
          <w:szCs w:val="21"/>
          <w:lang w:val="en-US"/>
        </w:rPr>
        <w:t>the</w:t>
      </w:r>
      <w:r w:rsidRPr="00D53B04">
        <w:rPr>
          <w:rFonts w:cs="Arial"/>
          <w:spacing w:val="-9"/>
          <w:sz w:val="21"/>
          <w:szCs w:val="21"/>
          <w:lang w:val="en-US"/>
        </w:rPr>
        <w:t xml:space="preserve"> </w:t>
      </w:r>
      <w:r w:rsidRPr="00D53B04">
        <w:rPr>
          <w:rFonts w:cs="Arial"/>
          <w:sz w:val="21"/>
          <w:szCs w:val="21"/>
          <w:lang w:val="en-US"/>
        </w:rPr>
        <w:t>Financing</w:t>
      </w:r>
      <w:r w:rsidRPr="00D53B04">
        <w:rPr>
          <w:rFonts w:cs="Arial"/>
          <w:spacing w:val="-7"/>
          <w:sz w:val="21"/>
          <w:szCs w:val="21"/>
          <w:lang w:val="en-US"/>
        </w:rPr>
        <w:t xml:space="preserve"> </w:t>
      </w:r>
      <w:r w:rsidRPr="00D53B04">
        <w:rPr>
          <w:rFonts w:cs="Arial"/>
          <w:sz w:val="21"/>
          <w:szCs w:val="21"/>
          <w:lang w:val="en-US"/>
        </w:rPr>
        <w:t>of</w:t>
      </w:r>
      <w:r w:rsidRPr="00D53B04">
        <w:rPr>
          <w:rFonts w:cs="Arial"/>
          <w:spacing w:val="-7"/>
          <w:sz w:val="21"/>
          <w:szCs w:val="21"/>
          <w:lang w:val="en-US"/>
        </w:rPr>
        <w:t xml:space="preserve"> </w:t>
      </w:r>
      <w:r w:rsidRPr="00D53B04">
        <w:rPr>
          <w:rFonts w:cs="Arial"/>
          <w:sz w:val="21"/>
          <w:szCs w:val="21"/>
          <w:lang w:val="en-US"/>
        </w:rPr>
        <w:t xml:space="preserve">Capital Projects Involving Large Civil Works (World Bank, </w:t>
      </w:r>
      <w:r w:rsidRPr="00D53B04">
        <w:rPr>
          <w:rFonts w:cs="Arial"/>
          <w:sz w:val="21"/>
          <w:szCs w:val="21"/>
          <w:vertAlign w:val="superscript"/>
          <w:lang w:val="en-US"/>
        </w:rPr>
        <w:t>2nd</w:t>
      </w:r>
      <w:r w:rsidRPr="00D53B04">
        <w:rPr>
          <w:rFonts w:cs="Arial"/>
          <w:sz w:val="21"/>
          <w:szCs w:val="21"/>
          <w:lang w:val="en-US"/>
        </w:rPr>
        <w:t xml:space="preserve"> ed, February 2020) (EAS/HS Good Practice Note).</w:t>
      </w:r>
      <w:r w:rsidRPr="00D53B04">
        <w:rPr>
          <w:rStyle w:val="Appelnotedebasdep"/>
          <w:rFonts w:cs="Arial"/>
          <w:sz w:val="21"/>
          <w:szCs w:val="21"/>
        </w:rPr>
        <w:footnoteReference w:id="5"/>
      </w:r>
      <w:r w:rsidRPr="00D53B04">
        <w:rPr>
          <w:rFonts w:cs="Arial"/>
          <w:spacing w:val="-2"/>
          <w:sz w:val="21"/>
          <w:szCs w:val="21"/>
          <w:lang w:val="en-US"/>
        </w:rPr>
        <w:t xml:space="preserve"> </w:t>
      </w:r>
    </w:p>
    <w:p w14:paraId="6F9FFAB8" w14:textId="58E6E451" w:rsidR="001977A4" w:rsidRPr="00D53B04" w:rsidRDefault="0027419B" w:rsidP="001977A4">
      <w:pPr>
        <w:pStyle w:val="Corpsdetexte"/>
        <w:spacing w:line="276" w:lineRule="auto"/>
        <w:rPr>
          <w:rFonts w:cs="Arial"/>
          <w:sz w:val="21"/>
          <w:szCs w:val="21"/>
          <w:lang w:val="en-US"/>
        </w:rPr>
      </w:pPr>
      <w:r w:rsidRPr="00D53B04">
        <w:rPr>
          <w:rFonts w:cs="Arial"/>
          <w:sz w:val="21"/>
          <w:szCs w:val="21"/>
          <w:lang w:val="en-US"/>
        </w:rPr>
        <w:t>It is important to note that the Program will follow the latest World Bank guidelines for COVID-19.</w:t>
      </w:r>
    </w:p>
    <w:p w14:paraId="67624F9D" w14:textId="77777777" w:rsidR="001977A4" w:rsidRPr="00D53B04" w:rsidRDefault="001977A4" w:rsidP="001977A4">
      <w:pPr>
        <w:pStyle w:val="Corpsdetexte"/>
        <w:spacing w:line="276" w:lineRule="auto"/>
        <w:rPr>
          <w:rFonts w:cs="Arial"/>
          <w:sz w:val="21"/>
          <w:szCs w:val="21"/>
          <w:lang w:val="en-US"/>
        </w:rPr>
      </w:pPr>
    </w:p>
    <w:p w14:paraId="41953418" w14:textId="77777777" w:rsidR="001977A4" w:rsidRPr="005257AB" w:rsidRDefault="001977A4" w:rsidP="002378EA">
      <w:pPr>
        <w:pStyle w:val="Paragraphedeliste"/>
        <w:widowControl w:val="0"/>
        <w:numPr>
          <w:ilvl w:val="0"/>
          <w:numId w:val="112"/>
        </w:numPr>
        <w:tabs>
          <w:tab w:val="left" w:pos="709"/>
        </w:tabs>
        <w:autoSpaceDE w:val="0"/>
        <w:autoSpaceDN w:val="0"/>
        <w:ind w:left="709" w:hanging="425"/>
        <w:contextualSpacing w:val="0"/>
        <w:rPr>
          <w:rFonts w:cs="Arial"/>
          <w:b/>
          <w:i/>
          <w:szCs w:val="21"/>
          <w:lang w:val="en-US"/>
        </w:rPr>
      </w:pPr>
      <w:r w:rsidRPr="005257AB">
        <w:rPr>
          <w:rFonts w:cs="Arial"/>
          <w:b/>
          <w:i/>
          <w:szCs w:val="21"/>
          <w:lang w:val="en-US"/>
        </w:rPr>
        <w:t>Potential Generic Impacts/Risks by Sub-Project Type</w:t>
      </w:r>
    </w:p>
    <w:p w14:paraId="13FC5271" w14:textId="77777777" w:rsidR="001977A4" w:rsidRPr="00D53B04" w:rsidRDefault="001977A4" w:rsidP="001977A4">
      <w:pPr>
        <w:pStyle w:val="Corpsdetexte"/>
        <w:spacing w:line="276" w:lineRule="auto"/>
        <w:rPr>
          <w:rFonts w:cs="Arial"/>
          <w:i/>
          <w:sz w:val="21"/>
          <w:szCs w:val="21"/>
          <w:lang w:val="en-US"/>
        </w:rPr>
      </w:pPr>
    </w:p>
    <w:p w14:paraId="51F364BC" w14:textId="77777777" w:rsidR="001977A4" w:rsidRDefault="001977A4" w:rsidP="001977A4">
      <w:pPr>
        <w:pStyle w:val="Corpsdetexte"/>
        <w:spacing w:line="276" w:lineRule="auto"/>
        <w:rPr>
          <w:rFonts w:cs="Arial"/>
          <w:sz w:val="21"/>
          <w:szCs w:val="21"/>
          <w:lang w:val="en-US"/>
        </w:rPr>
      </w:pPr>
      <w:r w:rsidRPr="00D53B04">
        <w:rPr>
          <w:rFonts w:cs="Arial"/>
          <w:sz w:val="21"/>
          <w:szCs w:val="21"/>
          <w:lang w:val="en-US"/>
        </w:rPr>
        <w:t>The potential environmental and social risks and impacts resulting from the sub-projects are as follows:</w:t>
      </w:r>
    </w:p>
    <w:p w14:paraId="2CD1E127" w14:textId="77777777" w:rsidR="005257AB" w:rsidRDefault="005257AB" w:rsidP="001977A4">
      <w:pPr>
        <w:pStyle w:val="Corpsdetexte"/>
        <w:spacing w:line="276" w:lineRule="auto"/>
        <w:rPr>
          <w:rFonts w:cs="Arial"/>
          <w:sz w:val="21"/>
          <w:szCs w:val="21"/>
          <w:lang w:val="en-US"/>
        </w:rPr>
      </w:pPr>
    </w:p>
    <w:p w14:paraId="0AB753F6" w14:textId="77777777" w:rsidR="005257AB" w:rsidRDefault="005257AB" w:rsidP="001977A4">
      <w:pPr>
        <w:pStyle w:val="Corpsdetexte"/>
        <w:spacing w:line="276" w:lineRule="auto"/>
        <w:rPr>
          <w:rFonts w:cs="Arial"/>
          <w:sz w:val="21"/>
          <w:szCs w:val="21"/>
          <w:lang w:val="en-US"/>
        </w:rPr>
      </w:pPr>
    </w:p>
    <w:p w14:paraId="361CC016" w14:textId="77777777" w:rsidR="005257AB" w:rsidRDefault="005257AB" w:rsidP="001977A4">
      <w:pPr>
        <w:pStyle w:val="Corpsdetexte"/>
        <w:spacing w:line="276" w:lineRule="auto"/>
        <w:rPr>
          <w:rFonts w:cs="Arial"/>
          <w:sz w:val="21"/>
          <w:szCs w:val="21"/>
          <w:lang w:val="en-US"/>
        </w:rPr>
      </w:pPr>
    </w:p>
    <w:p w14:paraId="0801DCEB" w14:textId="77777777" w:rsidR="005257AB" w:rsidRPr="00D53B04" w:rsidRDefault="005257AB" w:rsidP="001977A4">
      <w:pPr>
        <w:pStyle w:val="Corpsdetexte"/>
        <w:spacing w:line="276" w:lineRule="auto"/>
        <w:rPr>
          <w:rFonts w:cs="Arial"/>
          <w:sz w:val="21"/>
          <w:szCs w:val="21"/>
          <w:lang w:val="en-US"/>
        </w:rPr>
      </w:pPr>
    </w:p>
    <w:p w14:paraId="016C562B" w14:textId="77777777" w:rsidR="001977A4" w:rsidRPr="00D53B04" w:rsidRDefault="001977A4" w:rsidP="001977A4">
      <w:pPr>
        <w:pStyle w:val="Corpsdetexte"/>
        <w:spacing w:line="276" w:lineRule="auto"/>
        <w:rPr>
          <w:rFonts w:cs="Arial"/>
          <w:sz w:val="21"/>
          <w:szCs w:val="21"/>
          <w:lang w:val="en-US"/>
        </w:rPr>
      </w:pPr>
      <w:r w:rsidRPr="00D53B04">
        <w:rPr>
          <w:rFonts w:cs="Arial"/>
          <w:sz w:val="21"/>
          <w:szCs w:val="21"/>
          <w:u w:val="single"/>
          <w:lang w:val="en-US"/>
        </w:rPr>
        <w:lastRenderedPageBreak/>
        <w:t>Potential Positive Impacts</w:t>
      </w:r>
    </w:p>
    <w:p w14:paraId="0082E492" w14:textId="77777777" w:rsidR="00D53B04" w:rsidRPr="00D53B04" w:rsidRDefault="00D53B04" w:rsidP="001977A4">
      <w:pPr>
        <w:pStyle w:val="Corpsdetexte"/>
        <w:spacing w:line="276" w:lineRule="auto"/>
        <w:rPr>
          <w:rFonts w:cs="Arial"/>
          <w:sz w:val="21"/>
          <w:szCs w:val="21"/>
          <w:lang w:val="en-US"/>
        </w:rPr>
      </w:pPr>
    </w:p>
    <w:p w14:paraId="225A9FDE" w14:textId="77777777" w:rsidR="001977A4" w:rsidRPr="00D53B04" w:rsidRDefault="001977A4" w:rsidP="001977A4">
      <w:pPr>
        <w:pStyle w:val="Corpsdetexte"/>
        <w:spacing w:line="276" w:lineRule="auto"/>
        <w:rPr>
          <w:rFonts w:cs="Arial"/>
          <w:sz w:val="21"/>
          <w:szCs w:val="21"/>
          <w:lang w:val="en-US"/>
        </w:rPr>
      </w:pPr>
      <w:r w:rsidRPr="00D53B04">
        <w:rPr>
          <w:rFonts w:cs="Arial"/>
          <w:sz w:val="21"/>
          <w:szCs w:val="21"/>
          <w:u w:val="single"/>
          <w:lang w:val="en-US"/>
        </w:rPr>
        <w:t>In phase of the agricultural works :</w:t>
      </w:r>
    </w:p>
    <w:p w14:paraId="09B3BF8C" w14:textId="77777777" w:rsidR="001977A4" w:rsidRPr="00D53B04" w:rsidRDefault="001977A4" w:rsidP="001977A4">
      <w:pPr>
        <w:pStyle w:val="Corpsdetexte"/>
        <w:spacing w:line="276" w:lineRule="auto"/>
        <w:rPr>
          <w:rFonts w:cs="Arial"/>
          <w:sz w:val="21"/>
          <w:szCs w:val="21"/>
          <w:lang w:val="en-US"/>
        </w:rPr>
      </w:pPr>
    </w:p>
    <w:p w14:paraId="4FC824AA"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Temporary job creation (30% for women);</w:t>
      </w:r>
    </w:p>
    <w:p w14:paraId="4C33808C"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 xml:space="preserve">Improvement of working conditions by taking into account the requirements of </w:t>
      </w:r>
      <w:r w:rsidR="006551F9" w:rsidRPr="00D53B04">
        <w:rPr>
          <w:rFonts w:cs="Arial"/>
          <w:szCs w:val="21"/>
          <w:lang w:val="en-US"/>
        </w:rPr>
        <w:t>ESS</w:t>
      </w:r>
      <w:r w:rsidRPr="00D53B04">
        <w:rPr>
          <w:rFonts w:cs="Arial"/>
          <w:szCs w:val="21"/>
          <w:lang w:val="en-US"/>
        </w:rPr>
        <w:t xml:space="preserve"> No. 2: on Employment and Working Conditions and </w:t>
      </w:r>
      <w:r w:rsidR="006551F9" w:rsidRPr="00D53B04">
        <w:rPr>
          <w:rFonts w:cs="Arial"/>
          <w:szCs w:val="21"/>
          <w:lang w:val="en-US"/>
        </w:rPr>
        <w:t>ESS</w:t>
      </w:r>
      <w:r w:rsidRPr="00D53B04">
        <w:rPr>
          <w:rFonts w:cs="Arial"/>
          <w:szCs w:val="21"/>
          <w:lang w:val="en-US"/>
        </w:rPr>
        <w:t xml:space="preserve"> No. 4: on Health and Safety;</w:t>
      </w:r>
    </w:p>
    <w:p w14:paraId="6ED75F30"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Organization of producers and strengthening of their capacities;</w:t>
      </w:r>
    </w:p>
    <w:p w14:paraId="576B9698"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Improvement of gender mainstreaming in agriculture and the status of women producers in the agricultural sector;</w:t>
      </w:r>
    </w:p>
    <w:p w14:paraId="557D1D42"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Inclusion of full-time, part-time, temporary, seasonal and migrant workers, direct workers, contract workers, community workers, employees of primary suppliers;</w:t>
      </w:r>
    </w:p>
    <w:p w14:paraId="3BD8573A"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Development of small businesses all around the building sites;</w:t>
      </w:r>
    </w:p>
    <w:p w14:paraId="75971546"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Improvement of the environment and living conditions;</w:t>
      </w:r>
    </w:p>
    <w:p w14:paraId="40180A07"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Food security and the fight against malnutrition;</w:t>
      </w:r>
    </w:p>
    <w:p w14:paraId="75458216" w14:textId="77777777" w:rsidR="001977A4" w:rsidRPr="00D53B04" w:rsidRDefault="001977A4" w:rsidP="002378EA">
      <w:pPr>
        <w:pStyle w:val="Paragraphedeliste"/>
        <w:widowControl w:val="0"/>
        <w:numPr>
          <w:ilvl w:val="0"/>
          <w:numId w:val="111"/>
        </w:numPr>
        <w:tabs>
          <w:tab w:val="left" w:pos="977"/>
        </w:tabs>
        <w:autoSpaceDE w:val="0"/>
        <w:autoSpaceDN w:val="0"/>
        <w:ind w:left="567" w:hanging="283"/>
        <w:contextualSpacing w:val="0"/>
        <w:rPr>
          <w:rFonts w:cs="Arial"/>
          <w:szCs w:val="21"/>
          <w:lang w:val="en-US"/>
        </w:rPr>
      </w:pPr>
      <w:r w:rsidRPr="00D53B04">
        <w:rPr>
          <w:rFonts w:cs="Arial"/>
          <w:szCs w:val="21"/>
          <w:lang w:val="en-US"/>
        </w:rPr>
        <w:t>Reduction of transaction costs for smallholder farmers (men and women) to access markets, as well as their inclusion in farmer groups (working in cooperatives/associations) and agro-SMEs;</w:t>
      </w:r>
    </w:p>
    <w:p w14:paraId="069C7424" w14:textId="77777777" w:rsidR="001977A4" w:rsidRPr="00D53B04" w:rsidRDefault="001977A4" w:rsidP="002378EA">
      <w:pPr>
        <w:pStyle w:val="Paragraphedeliste"/>
        <w:widowControl w:val="0"/>
        <w:numPr>
          <w:ilvl w:val="0"/>
          <w:numId w:val="111"/>
        </w:numPr>
        <w:tabs>
          <w:tab w:val="left" w:pos="977"/>
        </w:tabs>
        <w:autoSpaceDE w:val="0"/>
        <w:autoSpaceDN w:val="0"/>
        <w:ind w:left="567" w:hanging="283"/>
        <w:contextualSpacing w:val="0"/>
        <w:rPr>
          <w:rFonts w:cs="Arial"/>
          <w:szCs w:val="21"/>
          <w:lang w:val="en-US"/>
        </w:rPr>
      </w:pPr>
      <w:r w:rsidRPr="00D53B04">
        <w:rPr>
          <w:rFonts w:cs="Arial"/>
          <w:szCs w:val="21"/>
          <w:lang w:val="en-US"/>
        </w:rPr>
        <w:t>Opening up of the agricultural production basin in the five provinces covered by the program;</w:t>
      </w:r>
    </w:p>
    <w:p w14:paraId="3B203D27" w14:textId="77777777" w:rsidR="001977A4" w:rsidRPr="00D53B04" w:rsidRDefault="001977A4" w:rsidP="002378EA">
      <w:pPr>
        <w:pStyle w:val="Paragraphedeliste"/>
        <w:widowControl w:val="0"/>
        <w:numPr>
          <w:ilvl w:val="0"/>
          <w:numId w:val="111"/>
        </w:numPr>
        <w:tabs>
          <w:tab w:val="left" w:pos="977"/>
        </w:tabs>
        <w:autoSpaceDE w:val="0"/>
        <w:autoSpaceDN w:val="0"/>
        <w:ind w:left="567" w:hanging="283"/>
        <w:contextualSpacing w:val="0"/>
        <w:rPr>
          <w:rFonts w:cs="Arial"/>
          <w:szCs w:val="21"/>
          <w:lang w:val="en-US"/>
        </w:rPr>
      </w:pPr>
      <w:r w:rsidRPr="00D53B04">
        <w:rPr>
          <w:rFonts w:cs="Arial"/>
          <w:szCs w:val="21"/>
          <w:lang w:val="en-US"/>
        </w:rPr>
        <w:t>Direct support to smallholder farmers for the adoption of CSA (climate-smart agriculture) and IAN (nutrition-smart agriculture) practices, technologies and inputs (seeds, plants, livestock breeds, advisory and extension services);</w:t>
      </w:r>
    </w:p>
    <w:p w14:paraId="5ED6E439" w14:textId="77777777" w:rsidR="001977A4" w:rsidRPr="00D53B04" w:rsidRDefault="001977A4" w:rsidP="002378EA">
      <w:pPr>
        <w:pStyle w:val="Paragraphedeliste"/>
        <w:widowControl w:val="0"/>
        <w:numPr>
          <w:ilvl w:val="0"/>
          <w:numId w:val="111"/>
        </w:numPr>
        <w:tabs>
          <w:tab w:val="left" w:pos="977"/>
        </w:tabs>
        <w:autoSpaceDE w:val="0"/>
        <w:autoSpaceDN w:val="0"/>
        <w:ind w:left="567" w:hanging="283"/>
        <w:contextualSpacing w:val="0"/>
        <w:rPr>
          <w:rFonts w:cs="Arial"/>
          <w:szCs w:val="21"/>
          <w:lang w:val="en-US"/>
        </w:rPr>
      </w:pPr>
      <w:r w:rsidRPr="00D53B04">
        <w:rPr>
          <w:rFonts w:cs="Arial"/>
          <w:szCs w:val="21"/>
          <w:lang w:val="en-US"/>
        </w:rPr>
        <w:t>Technical assistance to smallholders (public, private, NGOs), land administration/registration and financial services;</w:t>
      </w:r>
    </w:p>
    <w:p w14:paraId="74FE3D7D" w14:textId="77777777" w:rsidR="001977A4" w:rsidRPr="00D53B04" w:rsidRDefault="001977A4" w:rsidP="002378EA">
      <w:pPr>
        <w:pStyle w:val="Paragraphedeliste"/>
        <w:widowControl w:val="0"/>
        <w:numPr>
          <w:ilvl w:val="0"/>
          <w:numId w:val="111"/>
        </w:numPr>
        <w:tabs>
          <w:tab w:val="left" w:pos="977"/>
        </w:tabs>
        <w:autoSpaceDE w:val="0"/>
        <w:autoSpaceDN w:val="0"/>
        <w:ind w:left="567" w:hanging="283"/>
        <w:contextualSpacing w:val="0"/>
        <w:rPr>
          <w:rFonts w:cs="Arial"/>
          <w:szCs w:val="21"/>
          <w:lang w:val="en-US"/>
        </w:rPr>
      </w:pPr>
      <w:r w:rsidRPr="00D53B04">
        <w:rPr>
          <w:rFonts w:cs="Arial"/>
          <w:szCs w:val="21"/>
          <w:lang w:val="en-US"/>
        </w:rPr>
        <w:t>Increased agricultural productivity and production, higher incomes for smallholders, and increased employment in the agricultural sector</w:t>
      </w:r>
      <w:r w:rsidR="006551F9" w:rsidRPr="00D53B04">
        <w:rPr>
          <w:rFonts w:cs="Arial"/>
          <w:szCs w:val="21"/>
          <w:lang w:val="en-US"/>
        </w:rPr>
        <w:t>;</w:t>
      </w:r>
    </w:p>
    <w:p w14:paraId="5889DBFF" w14:textId="77777777" w:rsidR="001977A4" w:rsidRPr="00D53B04" w:rsidRDefault="001977A4" w:rsidP="002378EA">
      <w:pPr>
        <w:pStyle w:val="Paragraphedeliste"/>
        <w:widowControl w:val="0"/>
        <w:numPr>
          <w:ilvl w:val="0"/>
          <w:numId w:val="111"/>
        </w:numPr>
        <w:tabs>
          <w:tab w:val="left" w:pos="977"/>
        </w:tabs>
        <w:autoSpaceDE w:val="0"/>
        <w:autoSpaceDN w:val="0"/>
        <w:ind w:left="567" w:hanging="283"/>
        <w:contextualSpacing w:val="0"/>
        <w:rPr>
          <w:rFonts w:cs="Arial"/>
          <w:szCs w:val="21"/>
          <w:lang w:val="en-US"/>
        </w:rPr>
      </w:pPr>
      <w:r w:rsidRPr="00D53B04">
        <w:rPr>
          <w:rFonts w:cs="Arial"/>
          <w:szCs w:val="21"/>
          <w:lang w:val="en-US"/>
        </w:rPr>
        <w:t>Improvement of food security;</w:t>
      </w:r>
    </w:p>
    <w:p w14:paraId="3BC99B94" w14:textId="77777777" w:rsidR="001977A4" w:rsidRPr="00D53B04" w:rsidRDefault="001977A4" w:rsidP="002378EA">
      <w:pPr>
        <w:pStyle w:val="Paragraphedeliste"/>
        <w:widowControl w:val="0"/>
        <w:numPr>
          <w:ilvl w:val="0"/>
          <w:numId w:val="111"/>
        </w:numPr>
        <w:tabs>
          <w:tab w:val="left" w:pos="977"/>
        </w:tabs>
        <w:autoSpaceDE w:val="0"/>
        <w:autoSpaceDN w:val="0"/>
        <w:ind w:left="567" w:hanging="283"/>
        <w:contextualSpacing w:val="0"/>
        <w:rPr>
          <w:rFonts w:cs="Arial"/>
          <w:szCs w:val="21"/>
          <w:lang w:val="en-US"/>
        </w:rPr>
      </w:pPr>
      <w:r w:rsidRPr="00D53B04">
        <w:rPr>
          <w:rFonts w:cs="Arial"/>
          <w:szCs w:val="21"/>
          <w:lang w:val="en-US"/>
        </w:rPr>
        <w:t>Improvement of agricultural production through the provision of agricultural inputs and services (pre-harvest activities) such as farm machinery, seeds, fertilizers, on-farm irrigation, technical assistance;</w:t>
      </w:r>
    </w:p>
    <w:p w14:paraId="406263B8" w14:textId="77777777" w:rsidR="001977A4" w:rsidRPr="00D53B04" w:rsidRDefault="001977A4" w:rsidP="002378EA">
      <w:pPr>
        <w:pStyle w:val="Paragraphedeliste"/>
        <w:widowControl w:val="0"/>
        <w:numPr>
          <w:ilvl w:val="0"/>
          <w:numId w:val="111"/>
        </w:numPr>
        <w:tabs>
          <w:tab w:val="left" w:pos="977"/>
        </w:tabs>
        <w:autoSpaceDE w:val="0"/>
        <w:autoSpaceDN w:val="0"/>
        <w:ind w:left="567" w:hanging="283"/>
        <w:contextualSpacing w:val="0"/>
        <w:rPr>
          <w:rFonts w:cs="Arial"/>
          <w:szCs w:val="21"/>
          <w:lang w:val="en-US"/>
        </w:rPr>
      </w:pPr>
      <w:r w:rsidRPr="00D53B04">
        <w:rPr>
          <w:rFonts w:cs="Arial"/>
          <w:szCs w:val="21"/>
          <w:lang w:val="en-US"/>
        </w:rPr>
        <w:t>Good movement of ships evacuating agricultural products to consumption centers following the buoying works and reduction of drowning of ships on rivers in the provinces concerned by the Program;</w:t>
      </w:r>
    </w:p>
    <w:p w14:paraId="1998535A" w14:textId="77777777" w:rsidR="001977A4" w:rsidRPr="00D53B04" w:rsidRDefault="001977A4" w:rsidP="002378EA">
      <w:pPr>
        <w:pStyle w:val="Paragraphedeliste"/>
        <w:widowControl w:val="0"/>
        <w:numPr>
          <w:ilvl w:val="0"/>
          <w:numId w:val="111"/>
        </w:numPr>
        <w:tabs>
          <w:tab w:val="left" w:pos="977"/>
        </w:tabs>
        <w:autoSpaceDE w:val="0"/>
        <w:autoSpaceDN w:val="0"/>
        <w:ind w:left="567" w:hanging="283"/>
        <w:contextualSpacing w:val="0"/>
        <w:rPr>
          <w:rFonts w:cs="Arial"/>
          <w:szCs w:val="21"/>
          <w:lang w:val="en-US"/>
        </w:rPr>
      </w:pPr>
      <w:r w:rsidRPr="00D53B04">
        <w:rPr>
          <w:rFonts w:cs="Arial"/>
          <w:szCs w:val="21"/>
          <w:lang w:val="en-US"/>
        </w:rPr>
        <w:t>Commercialization of agricultural and animal products following the construction of markets, depots, slaughterhouses, agricultural economic development following the financing of small farmers by FIs, etc.; and</w:t>
      </w:r>
    </w:p>
    <w:p w14:paraId="03C25E71" w14:textId="77777777" w:rsidR="001977A4" w:rsidRPr="00D53B04" w:rsidRDefault="001977A4" w:rsidP="002378EA">
      <w:pPr>
        <w:pStyle w:val="Paragraphedeliste"/>
        <w:widowControl w:val="0"/>
        <w:numPr>
          <w:ilvl w:val="0"/>
          <w:numId w:val="111"/>
        </w:numPr>
        <w:tabs>
          <w:tab w:val="left" w:pos="977"/>
        </w:tabs>
        <w:autoSpaceDE w:val="0"/>
        <w:autoSpaceDN w:val="0"/>
        <w:ind w:left="567" w:hanging="283"/>
        <w:contextualSpacing w:val="0"/>
        <w:rPr>
          <w:rFonts w:cs="Arial"/>
          <w:szCs w:val="21"/>
          <w:lang w:val="en-US"/>
        </w:rPr>
      </w:pPr>
      <w:r w:rsidRPr="00D53B04">
        <w:rPr>
          <w:rFonts w:cs="Arial"/>
          <w:szCs w:val="21"/>
          <w:lang w:val="en-US"/>
        </w:rPr>
        <w:t>Increased incomes of smallholder farmers as a result of FIs' lending.</w:t>
      </w:r>
    </w:p>
    <w:p w14:paraId="52ADD81C" w14:textId="77777777" w:rsidR="001977A4" w:rsidRPr="00D53B04" w:rsidRDefault="001977A4" w:rsidP="001977A4">
      <w:pPr>
        <w:pStyle w:val="Corpsdetexte"/>
        <w:spacing w:line="276" w:lineRule="auto"/>
        <w:rPr>
          <w:rFonts w:cs="Arial"/>
          <w:sz w:val="21"/>
          <w:szCs w:val="21"/>
          <w:lang w:val="en-US"/>
        </w:rPr>
      </w:pPr>
    </w:p>
    <w:p w14:paraId="724899D0" w14:textId="77777777" w:rsidR="001977A4" w:rsidRPr="00D53B04" w:rsidRDefault="001977A4" w:rsidP="001977A4">
      <w:pPr>
        <w:pStyle w:val="Corpsdetexte"/>
        <w:spacing w:line="276" w:lineRule="auto"/>
        <w:rPr>
          <w:rFonts w:cs="Arial"/>
          <w:sz w:val="21"/>
          <w:szCs w:val="21"/>
          <w:lang w:val="en-US"/>
        </w:rPr>
      </w:pPr>
      <w:r w:rsidRPr="00D53B04">
        <w:rPr>
          <w:rFonts w:cs="Arial"/>
          <w:sz w:val="21"/>
          <w:szCs w:val="21"/>
          <w:u w:val="single"/>
          <w:lang w:val="en-US"/>
        </w:rPr>
        <w:t>In the exploitation phase of agricultural activities:</w:t>
      </w:r>
    </w:p>
    <w:p w14:paraId="6641B320" w14:textId="77777777" w:rsidR="001977A4" w:rsidRPr="00D53B04" w:rsidRDefault="001977A4" w:rsidP="001977A4">
      <w:pPr>
        <w:pStyle w:val="Corpsdetexte"/>
        <w:spacing w:line="276" w:lineRule="auto"/>
        <w:rPr>
          <w:rFonts w:cs="Arial"/>
          <w:sz w:val="21"/>
          <w:szCs w:val="21"/>
          <w:lang w:val="en-US"/>
        </w:rPr>
      </w:pPr>
    </w:p>
    <w:p w14:paraId="0181C87E"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Creation of Small Self-managed Village Banks;</w:t>
      </w:r>
    </w:p>
    <w:p w14:paraId="6AF53288"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Awareness raising on soil degradation phenomena;</w:t>
      </w:r>
    </w:p>
    <w:p w14:paraId="5BA0846A"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Stop the rural exodus;</w:t>
      </w:r>
    </w:p>
    <w:p w14:paraId="3804C960"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Mobilization of women and youth ;</w:t>
      </w:r>
    </w:p>
    <w:p w14:paraId="2AAE2CD0"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Perpetuation of activities all year round ;</w:t>
      </w:r>
    </w:p>
    <w:p w14:paraId="76F9DF3B"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Contribution to the cessation of delinquency;</w:t>
      </w:r>
    </w:p>
    <w:p w14:paraId="6AF5D90F"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Creation of producer groups or associations;</w:t>
      </w:r>
    </w:p>
    <w:p w14:paraId="749513C0"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Creation of Producer Cooperatives;</w:t>
      </w:r>
    </w:p>
    <w:p w14:paraId="16239DF8"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Better organization for the transformation of products;</w:t>
      </w:r>
    </w:p>
    <w:p w14:paraId="6F6FF840"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Development of marketing channels ;</w:t>
      </w:r>
    </w:p>
    <w:p w14:paraId="3593A231"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lastRenderedPageBreak/>
        <w:t>Gender mainstreaming and improvement of the status of women producers;</w:t>
      </w:r>
    </w:p>
    <w:p w14:paraId="7BC1FDDA"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Better consideration of gender and the process of equity integration in the execution of activities;</w:t>
      </w:r>
    </w:p>
    <w:p w14:paraId="5C347C0B"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Increased participation of women and youth in project activities in terms of increased income, technological literacy, and leadership; and</w:t>
      </w:r>
    </w:p>
    <w:p w14:paraId="6487A8E8"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Good mastery of the practice of the new technology of intelligent agriculture in relation to climate and nutrition</w:t>
      </w:r>
      <w:r w:rsidR="006551F9" w:rsidRPr="00D53B04">
        <w:rPr>
          <w:rFonts w:cs="Arial"/>
          <w:szCs w:val="21"/>
          <w:lang w:val="en-US"/>
        </w:rPr>
        <w:t>;</w:t>
      </w:r>
    </w:p>
    <w:p w14:paraId="4367B03C"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Reduction of post-harvest losses</w:t>
      </w:r>
      <w:r w:rsidR="006551F9" w:rsidRPr="00D53B04">
        <w:rPr>
          <w:rFonts w:cs="Arial"/>
          <w:szCs w:val="21"/>
          <w:lang w:val="en-US"/>
        </w:rPr>
        <w:t>;</w:t>
      </w:r>
    </w:p>
    <w:p w14:paraId="7BE0D379"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Capacity of producers and financial institutions to integrate environmental and social considerations into sub-project business plans</w:t>
      </w:r>
      <w:r w:rsidR="006551F9" w:rsidRPr="00D53B04">
        <w:rPr>
          <w:rFonts w:cs="Arial"/>
          <w:szCs w:val="21"/>
          <w:lang w:val="en-US"/>
        </w:rPr>
        <w:t>;</w:t>
      </w:r>
    </w:p>
    <w:p w14:paraId="7B1DB573"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Risks of conflicts related to the management of community infrastructures (location, accessibility and payment of services)</w:t>
      </w:r>
      <w:r w:rsidR="006551F9" w:rsidRPr="00D53B04">
        <w:rPr>
          <w:rFonts w:cs="Arial"/>
          <w:szCs w:val="21"/>
          <w:lang w:val="en-US"/>
        </w:rPr>
        <w:t>.</w:t>
      </w:r>
    </w:p>
    <w:p w14:paraId="3DC6FD94" w14:textId="77777777" w:rsidR="001977A4" w:rsidRPr="00D53B04" w:rsidRDefault="001977A4" w:rsidP="001977A4">
      <w:pPr>
        <w:pStyle w:val="Corpsdetexte"/>
        <w:spacing w:line="276" w:lineRule="auto"/>
        <w:rPr>
          <w:rFonts w:cs="Arial"/>
          <w:sz w:val="21"/>
          <w:szCs w:val="21"/>
          <w:lang w:val="en-US"/>
        </w:rPr>
      </w:pPr>
    </w:p>
    <w:p w14:paraId="15FAF9E6" w14:textId="77777777" w:rsidR="0027419B" w:rsidRPr="00D53B04" w:rsidRDefault="0027419B" w:rsidP="0027419B">
      <w:pPr>
        <w:pStyle w:val="Corpsdetexte"/>
        <w:rPr>
          <w:rFonts w:cs="Arial"/>
          <w:sz w:val="21"/>
          <w:szCs w:val="21"/>
          <w:u w:val="single"/>
          <w:lang w:val="en-US"/>
        </w:rPr>
      </w:pPr>
      <w:r w:rsidRPr="00D53B04">
        <w:rPr>
          <w:rFonts w:cs="Arial"/>
          <w:sz w:val="21"/>
          <w:szCs w:val="21"/>
          <w:u w:val="single"/>
          <w:lang w:val="en-US"/>
        </w:rPr>
        <w:t>Risks and potential negative impacts of agricultural and irrigation works (development and hydraulic structures):</w:t>
      </w:r>
    </w:p>
    <w:p w14:paraId="5851ABF1" w14:textId="77777777" w:rsidR="0027419B" w:rsidRPr="00D53B04" w:rsidRDefault="0027419B" w:rsidP="0027419B">
      <w:pPr>
        <w:pStyle w:val="Corpsdetexte"/>
        <w:rPr>
          <w:rFonts w:cs="Arial"/>
          <w:sz w:val="21"/>
          <w:szCs w:val="21"/>
          <w:u w:val="single"/>
          <w:lang w:val="en-US"/>
        </w:rPr>
      </w:pPr>
    </w:p>
    <w:p w14:paraId="503E3004" w14:textId="77777777" w:rsidR="0027419B" w:rsidRPr="00D53B04" w:rsidRDefault="0027419B"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Risks of GBV/ASR/HS during the Project start-up period;</w:t>
      </w:r>
    </w:p>
    <w:p w14:paraId="7CC4DFC4" w14:textId="77777777" w:rsidR="0027419B" w:rsidRPr="00D53B04" w:rsidRDefault="0027419B"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 xml:space="preserve">Risk of disturbance of spawning areas in rivers; </w:t>
      </w:r>
    </w:p>
    <w:p w14:paraId="27C96C00" w14:textId="77777777" w:rsidR="0027419B" w:rsidRPr="00D53B04" w:rsidRDefault="0027419B"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 xml:space="preserve">Deforestation, soil degradation through erosion, destruction of habitats during land clearing; </w:t>
      </w:r>
    </w:p>
    <w:p w14:paraId="7540F0F9" w14:textId="77777777" w:rsidR="0027419B" w:rsidRPr="00D53B04" w:rsidRDefault="0027419B"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 xml:space="preserve">Destruction of microfauna and organic matter;  </w:t>
      </w:r>
    </w:p>
    <w:p w14:paraId="57696A68" w14:textId="77777777" w:rsidR="0027419B" w:rsidRPr="00D53B04" w:rsidRDefault="0027419B"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Risk of conflicts of use (drinking water supply, agriculture, livestock and fishing);</w:t>
      </w:r>
    </w:p>
    <w:p w14:paraId="0223EBA1" w14:textId="77777777" w:rsidR="0027419B" w:rsidRPr="00D53B04" w:rsidRDefault="0027419B"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Risk of land conflicts between indigenous and non-indigenous investors;</w:t>
      </w:r>
    </w:p>
    <w:p w14:paraId="37133CC8" w14:textId="77777777" w:rsidR="0027419B" w:rsidRPr="00D53B04" w:rsidRDefault="0027419B"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Loss of grazing land (encroachment on silvopastoral areas);</w:t>
      </w:r>
    </w:p>
    <w:p w14:paraId="780F8E76" w14:textId="77777777" w:rsidR="0027419B" w:rsidRPr="00D53B04" w:rsidRDefault="0027419B"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Strong pressure on land and water with the increase in development;</w:t>
      </w:r>
    </w:p>
    <w:p w14:paraId="07D9327E" w14:textId="77777777" w:rsidR="0027419B" w:rsidRPr="00D53B04" w:rsidRDefault="0027419B"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 xml:space="preserve">Loss of soil fertility; </w:t>
      </w:r>
    </w:p>
    <w:p w14:paraId="3272B55C" w14:textId="77777777" w:rsidR="0027419B" w:rsidRPr="00D53B04" w:rsidRDefault="0027419B"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 xml:space="preserve">Water and soil pollution due to the non-rational use of pesticides and fertilizers; </w:t>
      </w:r>
    </w:p>
    <w:p w14:paraId="75A45CFD" w14:textId="77777777" w:rsidR="0027419B" w:rsidRPr="00D53B04" w:rsidRDefault="0027419B"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 xml:space="preserve">Health hazards due to pesticides; </w:t>
      </w:r>
    </w:p>
    <w:p w14:paraId="3D905C8F" w14:textId="77777777" w:rsidR="0027419B" w:rsidRPr="00D53B04" w:rsidRDefault="0027419B"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 xml:space="preserve">Destruction of non-targets by pesticides; </w:t>
      </w:r>
    </w:p>
    <w:p w14:paraId="663B9D28" w14:textId="77777777" w:rsidR="0027419B" w:rsidRPr="00D53B04" w:rsidRDefault="0027419B"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Nuisances in case of uncontrolled use of organic manure</w:t>
      </w:r>
    </w:p>
    <w:p w14:paraId="1809051D" w14:textId="77777777" w:rsidR="0027419B" w:rsidRPr="00D53B04" w:rsidRDefault="0027419B" w:rsidP="0027419B">
      <w:pPr>
        <w:pStyle w:val="Corpsdetexte"/>
        <w:rPr>
          <w:rFonts w:cs="Arial"/>
          <w:sz w:val="21"/>
          <w:szCs w:val="21"/>
          <w:u w:val="single"/>
          <w:lang w:val="en-US"/>
        </w:rPr>
      </w:pPr>
    </w:p>
    <w:p w14:paraId="2D15ED7F" w14:textId="77777777" w:rsidR="0027419B" w:rsidRPr="00D53B04" w:rsidRDefault="0027419B" w:rsidP="0027419B">
      <w:pPr>
        <w:pStyle w:val="Corpsdetexte"/>
        <w:rPr>
          <w:rFonts w:cs="Arial"/>
          <w:sz w:val="21"/>
          <w:szCs w:val="21"/>
          <w:u w:val="single"/>
          <w:lang w:val="en-US"/>
        </w:rPr>
      </w:pPr>
      <w:r w:rsidRPr="00D53B04">
        <w:rPr>
          <w:rFonts w:cs="Arial"/>
          <w:sz w:val="21"/>
          <w:szCs w:val="21"/>
          <w:u w:val="single"/>
          <w:lang w:val="en-US"/>
        </w:rPr>
        <w:t>Potential risks and negative impacts during the operation phase of agricultural activities</w:t>
      </w:r>
    </w:p>
    <w:p w14:paraId="3D44F14F" w14:textId="77777777" w:rsidR="0027419B" w:rsidRPr="00D53B04" w:rsidRDefault="0027419B" w:rsidP="0027419B">
      <w:pPr>
        <w:pStyle w:val="Corpsdetexte"/>
        <w:rPr>
          <w:rFonts w:cs="Arial"/>
          <w:sz w:val="21"/>
          <w:szCs w:val="21"/>
          <w:u w:val="single"/>
          <w:lang w:val="en-US"/>
        </w:rPr>
      </w:pPr>
    </w:p>
    <w:p w14:paraId="18EA4B2E" w14:textId="77777777" w:rsidR="0027419B" w:rsidRPr="00D53B04" w:rsidRDefault="0027419B"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 xml:space="preserve">Increase in water-related diseases; </w:t>
      </w:r>
    </w:p>
    <w:p w14:paraId="6F52D144" w14:textId="77777777" w:rsidR="0027419B" w:rsidRPr="00D53B04" w:rsidRDefault="0027419B"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Strong pressure on land and water with the increase in development</w:t>
      </w:r>
    </w:p>
    <w:p w14:paraId="57330853" w14:textId="77777777" w:rsidR="0027419B" w:rsidRPr="00D53B04" w:rsidRDefault="0027419B"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 xml:space="preserve">Loss of soil fertility; </w:t>
      </w:r>
    </w:p>
    <w:p w14:paraId="5BD34446" w14:textId="77777777" w:rsidR="0027419B" w:rsidRPr="00D53B04" w:rsidRDefault="0027419B"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 xml:space="preserve">Water and soil pollution from pesticides and fertilizers; </w:t>
      </w:r>
    </w:p>
    <w:p w14:paraId="52EF0F64" w14:textId="77777777" w:rsidR="0027419B" w:rsidRPr="00D53B04" w:rsidRDefault="0027419B"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 xml:space="preserve">Sanitary nuisance due to pesticides; </w:t>
      </w:r>
    </w:p>
    <w:p w14:paraId="382E40A0" w14:textId="77777777" w:rsidR="0027419B" w:rsidRPr="00D53B04" w:rsidRDefault="0027419B"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 xml:space="preserve">Destruction of non-targets by pesticides; </w:t>
      </w:r>
    </w:p>
    <w:p w14:paraId="61721709" w14:textId="77777777" w:rsidR="0027419B" w:rsidRPr="00D53B04" w:rsidRDefault="0027419B"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 xml:space="preserve">Nuisances in case of uncontrolled use of organic manure; </w:t>
      </w:r>
    </w:p>
    <w:p w14:paraId="70EA9719" w14:textId="77777777" w:rsidR="0027419B" w:rsidRPr="00D53B04" w:rsidRDefault="0027419B"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 xml:space="preserve">Increase in water-related diseases; </w:t>
      </w:r>
    </w:p>
    <w:p w14:paraId="72B38A52" w14:textId="77777777" w:rsidR="0027419B" w:rsidRPr="00D53B04" w:rsidRDefault="0027419B"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Increase in farmer-herder conflicts over access to water or grazing land;</w:t>
      </w:r>
    </w:p>
    <w:p w14:paraId="6CCE6FE3" w14:textId="77777777" w:rsidR="0027419B" w:rsidRPr="00D53B04" w:rsidRDefault="0027419B"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Risk of propagation of COVID-19 if barrier or prevention measures are not respected.</w:t>
      </w:r>
    </w:p>
    <w:p w14:paraId="46A73A4C" w14:textId="77777777" w:rsidR="0027419B" w:rsidRPr="00D53B04" w:rsidRDefault="0027419B"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 xml:space="preserve">Possible loss of income or property during the work; </w:t>
      </w:r>
    </w:p>
    <w:p w14:paraId="18743F91" w14:textId="77777777" w:rsidR="0027419B" w:rsidRPr="00D53B04" w:rsidRDefault="0027419B"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Risk of diseases such as STI/HIV/AIDS;</w:t>
      </w:r>
    </w:p>
    <w:p w14:paraId="3EB75BDE" w14:textId="77777777" w:rsidR="0027419B" w:rsidRPr="00D53B04" w:rsidRDefault="0027419B"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Risk of SIA/HS as a result of the work.</w:t>
      </w:r>
    </w:p>
    <w:p w14:paraId="1B4C2459" w14:textId="77777777" w:rsidR="0027419B" w:rsidRPr="00D53B04" w:rsidRDefault="0027419B" w:rsidP="0027419B">
      <w:pPr>
        <w:pStyle w:val="Corpsdetexte"/>
        <w:spacing w:line="276" w:lineRule="auto"/>
        <w:rPr>
          <w:rFonts w:cs="Arial"/>
          <w:sz w:val="21"/>
          <w:szCs w:val="21"/>
          <w:u w:val="single"/>
          <w:lang w:val="en-US"/>
        </w:rPr>
      </w:pPr>
    </w:p>
    <w:p w14:paraId="531B35DC" w14:textId="77777777" w:rsidR="001977A4" w:rsidRPr="00D53B04" w:rsidRDefault="001977A4" w:rsidP="0027419B">
      <w:pPr>
        <w:pStyle w:val="Corpsdetexte"/>
        <w:spacing w:line="276" w:lineRule="auto"/>
        <w:rPr>
          <w:rFonts w:cs="Arial"/>
          <w:sz w:val="21"/>
          <w:szCs w:val="21"/>
          <w:lang w:val="en-US"/>
        </w:rPr>
      </w:pPr>
      <w:r w:rsidRPr="00D53B04">
        <w:rPr>
          <w:rFonts w:cs="Arial"/>
          <w:sz w:val="21"/>
          <w:szCs w:val="21"/>
          <w:u w:val="single"/>
          <w:lang w:val="en-US"/>
        </w:rPr>
        <w:t>Risks and Potential Negative Impacts common to all sub-projects (under construction):</w:t>
      </w:r>
    </w:p>
    <w:p w14:paraId="55EE165B" w14:textId="77777777" w:rsidR="001977A4" w:rsidRPr="00D53B04" w:rsidRDefault="001977A4" w:rsidP="001977A4">
      <w:pPr>
        <w:pStyle w:val="Corpsdetexte"/>
        <w:spacing w:line="276" w:lineRule="auto"/>
        <w:rPr>
          <w:rFonts w:cs="Arial"/>
          <w:sz w:val="21"/>
          <w:szCs w:val="21"/>
          <w:lang w:val="en-US"/>
        </w:rPr>
      </w:pPr>
    </w:p>
    <w:p w14:paraId="29DC8E4E"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Pollution of the environment (water and soil) by solid waste (excavation, demolition, oils, filters, batteries, plastics, inert waste, etc.);</w:t>
      </w:r>
    </w:p>
    <w:p w14:paraId="0D4C19BC"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Noise pollution from machinery noise;</w:t>
      </w:r>
    </w:p>
    <w:p w14:paraId="3B83FB24"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lastRenderedPageBreak/>
        <w:t>Degradation of the environment by the deposit of demolition and construction site products;</w:t>
      </w:r>
    </w:p>
    <w:p w14:paraId="5146769C"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Soil erosion and pollution;</w:t>
      </w:r>
    </w:p>
    <w:p w14:paraId="1741130B"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Air pollution (dust flying);</w:t>
      </w:r>
    </w:p>
    <w:p w14:paraId="368454B4"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Loss of land, property and sources of income and risk of physical displacement</w:t>
      </w:r>
      <w:r w:rsidR="006551F9" w:rsidRPr="00D53B04">
        <w:rPr>
          <w:rFonts w:cs="Arial"/>
          <w:szCs w:val="21"/>
          <w:lang w:val="en-US"/>
        </w:rPr>
        <w:t>;</w:t>
      </w:r>
    </w:p>
    <w:p w14:paraId="0DB250B7"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Risks of social conflicts in case of non-use of local labour;</w:t>
      </w:r>
    </w:p>
    <w:p w14:paraId="0CCF2F5C"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Risk of unequal distribution of inputs and seeds or direct aids to smallholder farmers ;</w:t>
      </w:r>
    </w:p>
    <w:p w14:paraId="03589CB7"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Risks of social conflicts following the development of agricultural perimeters;</w:t>
      </w:r>
    </w:p>
    <w:p w14:paraId="7980C61C"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Risk of work by children under 18 years of age on construction sites;</w:t>
      </w:r>
    </w:p>
    <w:p w14:paraId="5C3D11C3"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Risk of using public security forces to secure sites (insecurity in North Kivu Province);</w:t>
      </w:r>
    </w:p>
    <w:p w14:paraId="2DDF4DC4"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Disruption of socio-economic activities during the work;</w:t>
      </w:r>
    </w:p>
    <w:p w14:paraId="6AB72F91"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Risk of discrimination against women when recruiting staff;</w:t>
      </w:r>
    </w:p>
    <w:p w14:paraId="10A8C5F0"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Risk of accidents during the work (personnel and population)</w:t>
      </w:r>
      <w:r w:rsidR="006551F9" w:rsidRPr="00D53B04">
        <w:rPr>
          <w:rFonts w:cs="Arial"/>
          <w:szCs w:val="21"/>
          <w:lang w:val="en-US"/>
        </w:rPr>
        <w:t>;</w:t>
      </w:r>
    </w:p>
    <w:p w14:paraId="35BE501F"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Risk of damage to other network infrastructure;</w:t>
      </w:r>
    </w:p>
    <w:p w14:paraId="6114771F"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Risks of exacerbating GBV, including SEA and HS, in the project's intervention area due to the mixing of populations and the influx of foreign workers;</w:t>
      </w:r>
    </w:p>
    <w:p w14:paraId="692AD380"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Risk of infection of STIs and HIV/AIDS;</w:t>
      </w:r>
    </w:p>
    <w:p w14:paraId="2B00BD47"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Risk of spread and contamination of COVID-19 to beneficiaries or other stakeholders;</w:t>
      </w:r>
    </w:p>
    <w:p w14:paraId="566A1639"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Negative impacts on hydro-agricultural development works;</w:t>
      </w:r>
    </w:p>
    <w:p w14:paraId="3EE362D9"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High pressures and risks of water resource degradation;</w:t>
      </w:r>
    </w:p>
    <w:p w14:paraId="3453E604"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Risks related to land degradation and soil fertility;</w:t>
      </w:r>
    </w:p>
    <w:p w14:paraId="11ABF05D"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Risks of development of water-related diseases;</w:t>
      </w:r>
    </w:p>
    <w:p w14:paraId="0C30C926"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Risks of intoxication and pollution with the use of pesticides;</w:t>
      </w:r>
    </w:p>
    <w:p w14:paraId="46A17478"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Risk of insecurity for workers and company equipment in certain provinces targeted by the PNDA Project;</w:t>
      </w:r>
    </w:p>
    <w:p w14:paraId="3AFE0C3E"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Risk of accidents related to vehicle traffic;</w:t>
      </w:r>
    </w:p>
    <w:p w14:paraId="3F286889"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Risk of bridge and culvert collapse on rural roads during the evacuation of agricultural products;</w:t>
      </w:r>
    </w:p>
    <w:p w14:paraId="0C3F2A96"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Deforestation following the opening of access roads and the exploitation of quarries;</w:t>
      </w:r>
    </w:p>
    <w:p w14:paraId="6E5175A9"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Risks of bush fires by uncontrolled burning;</w:t>
      </w:r>
    </w:p>
    <w:p w14:paraId="461BC4F0"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Risk of encroachment on protected areas (Mangai Hunting Area, Bushimaie, Mangrove Marine Park and Virunga National Park);</w:t>
      </w:r>
    </w:p>
    <w:p w14:paraId="325EFE6F"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Risk of encroachment on Aboriginal Peoples (AP) assets;</w:t>
      </w:r>
    </w:p>
    <w:p w14:paraId="0153BA9A"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Risk of proliferation of poaching;</w:t>
      </w:r>
    </w:p>
    <w:p w14:paraId="042A43FF"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Risk of fire or explosion of fuel storage tanks;</w:t>
      </w:r>
    </w:p>
    <w:p w14:paraId="647F3AE5"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Risk of potential affectation of cultural property (monuments, churches, tombs, sacred places, etc.) as a result of excavation activities (chance discoveries);</w:t>
      </w:r>
    </w:p>
    <w:p w14:paraId="00033D71"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Risk of rejection of new agricultural technologies and techniques proposed by the program</w:t>
      </w:r>
    </w:p>
    <w:p w14:paraId="1758CEE7"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Risks of introducing invasive species</w:t>
      </w:r>
      <w:r w:rsidR="006551F9" w:rsidRPr="00D53B04">
        <w:rPr>
          <w:rFonts w:cs="Arial"/>
          <w:szCs w:val="21"/>
          <w:lang w:val="en-US"/>
        </w:rPr>
        <w:t>;</w:t>
      </w:r>
    </w:p>
    <w:p w14:paraId="450625E6"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Risks of rejection of agricultural products by agro-distributors due to the non- respect of the quality required by the processing industry</w:t>
      </w:r>
      <w:r w:rsidR="006551F9" w:rsidRPr="00D53B04">
        <w:rPr>
          <w:rFonts w:cs="Arial"/>
          <w:szCs w:val="21"/>
          <w:lang w:val="en-US"/>
        </w:rPr>
        <w:t>;</w:t>
      </w:r>
    </w:p>
    <w:p w14:paraId="17E8AFC7"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Risk of social exclusion of vulnerable or marginalized groups (IPs, disabled, elderly, youth, albinos, etc.) from the benefits of the project and work opportunities.</w:t>
      </w:r>
    </w:p>
    <w:p w14:paraId="54AC1E8A" w14:textId="77777777" w:rsidR="001977A4" w:rsidRPr="00D53B04" w:rsidRDefault="001977A4" w:rsidP="001977A4">
      <w:pPr>
        <w:pStyle w:val="Corpsdetexte"/>
        <w:spacing w:line="276" w:lineRule="auto"/>
        <w:rPr>
          <w:rFonts w:cs="Arial"/>
          <w:sz w:val="21"/>
          <w:szCs w:val="21"/>
          <w:lang w:val="en-US"/>
        </w:rPr>
      </w:pPr>
    </w:p>
    <w:p w14:paraId="6A1C6547" w14:textId="77777777" w:rsidR="003C7971" w:rsidRPr="00D53B04" w:rsidRDefault="003C7971" w:rsidP="003C7971">
      <w:pPr>
        <w:pStyle w:val="Corpsdetexte"/>
        <w:rPr>
          <w:rFonts w:cs="Arial"/>
          <w:sz w:val="21"/>
          <w:szCs w:val="21"/>
          <w:u w:val="single"/>
          <w:lang w:val="en-US"/>
        </w:rPr>
      </w:pPr>
      <w:r w:rsidRPr="00D53B04">
        <w:rPr>
          <w:rFonts w:cs="Arial"/>
          <w:sz w:val="21"/>
          <w:szCs w:val="21"/>
          <w:u w:val="single"/>
          <w:lang w:val="en-US"/>
        </w:rPr>
        <w:t>Risk and impacts associated with rehabilitation of rural roads and priority transportation corridors:</w:t>
      </w:r>
    </w:p>
    <w:p w14:paraId="5E664A21" w14:textId="77777777" w:rsidR="003C7971" w:rsidRPr="00D53B04" w:rsidRDefault="003C7971" w:rsidP="003C7971">
      <w:pPr>
        <w:pStyle w:val="Corpsdetexte"/>
        <w:rPr>
          <w:rFonts w:cs="Arial"/>
          <w:sz w:val="21"/>
          <w:szCs w:val="21"/>
          <w:u w:val="single"/>
          <w:lang w:val="en-US"/>
        </w:rPr>
      </w:pPr>
    </w:p>
    <w:p w14:paraId="1536BF10" w14:textId="77777777" w:rsidR="003C7971" w:rsidRPr="00D53B04" w:rsidRDefault="003C7971"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 xml:space="preserve">Tree felling and loss of biodiversity along the alignment and at laterite borrow sites; </w:t>
      </w:r>
    </w:p>
    <w:p w14:paraId="704C91F1" w14:textId="77777777" w:rsidR="003C7971" w:rsidRPr="00D53B04" w:rsidRDefault="003C7971"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 xml:space="preserve">Encroachment on cultivable land (for new alignments); </w:t>
      </w:r>
    </w:p>
    <w:p w14:paraId="4487AF2E" w14:textId="77777777" w:rsidR="003C7971" w:rsidRPr="00D53B04" w:rsidRDefault="003C7971"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 xml:space="preserve">Obstruction of runoff paths;  </w:t>
      </w:r>
    </w:p>
    <w:p w14:paraId="24584F74" w14:textId="77777777" w:rsidR="003C7971" w:rsidRPr="00D53B04" w:rsidRDefault="003C7971"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Air pollution and nuisances (dust, noise) during construction;</w:t>
      </w:r>
    </w:p>
    <w:p w14:paraId="6AECE383" w14:textId="77777777" w:rsidR="003C7971" w:rsidRPr="00D53B04" w:rsidRDefault="003C7971"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 xml:space="preserve">Pollution of the environment (water and soil) by solid waste (excavated material, demolition, </w:t>
      </w:r>
      <w:r w:rsidRPr="00D53B04">
        <w:rPr>
          <w:rFonts w:cs="Arial"/>
          <w:szCs w:val="21"/>
          <w:lang w:val="en-US"/>
        </w:rPr>
        <w:lastRenderedPageBreak/>
        <w:t>oil, drainage, etc.);</w:t>
      </w:r>
    </w:p>
    <w:p w14:paraId="1CE118A5" w14:textId="77777777" w:rsidR="003C7971" w:rsidRPr="00D53B04" w:rsidRDefault="003C7971"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Risk of accidents for workers and the population;</w:t>
      </w:r>
    </w:p>
    <w:p w14:paraId="027B35C1" w14:textId="77777777" w:rsidR="003C7971" w:rsidRPr="00D53B04" w:rsidRDefault="003C7971"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 xml:space="preserve">Involuntary displacement of populations or economic activities;  </w:t>
      </w:r>
    </w:p>
    <w:p w14:paraId="4BC9EF59" w14:textId="77777777" w:rsidR="003C7971" w:rsidRPr="00D53B04" w:rsidRDefault="003C7971"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Generation of garbage during construction works;</w:t>
      </w:r>
    </w:p>
    <w:p w14:paraId="1CF0190E" w14:textId="77777777" w:rsidR="003C7971" w:rsidRPr="00D53B04" w:rsidRDefault="003C7971"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Degradation of the living environment;</w:t>
      </w:r>
    </w:p>
    <w:p w14:paraId="41FDF1E5" w14:textId="77777777" w:rsidR="003C7971" w:rsidRPr="00D53B04" w:rsidRDefault="003C7971"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Non-use of local labor;</w:t>
      </w:r>
    </w:p>
    <w:p w14:paraId="4635C6CB" w14:textId="77777777" w:rsidR="003C7971" w:rsidRPr="00D53B04" w:rsidRDefault="003C7971"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Risk of strong pressure on the fauna due to the presence of the local workforce;</w:t>
      </w:r>
    </w:p>
    <w:p w14:paraId="1818231B" w14:textId="77777777" w:rsidR="003C7971" w:rsidRPr="00D53B04" w:rsidRDefault="003C7971"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Deforestation due to the opening and exploitation of quarries;</w:t>
      </w:r>
    </w:p>
    <w:p w14:paraId="71076F9D" w14:textId="77777777" w:rsidR="003C7971" w:rsidRPr="00D53B04" w:rsidRDefault="003C7971"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Risk of bush fires due to uncontrolled burning;</w:t>
      </w:r>
    </w:p>
    <w:p w14:paraId="4551CBB4" w14:textId="77777777" w:rsidR="003C7971" w:rsidRPr="00D53B04" w:rsidRDefault="003C7971"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Sedimentation of waterways;</w:t>
      </w:r>
    </w:p>
    <w:p w14:paraId="6E0080FE" w14:textId="77777777" w:rsidR="003C7971" w:rsidRPr="00D53B04" w:rsidRDefault="003C7971"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 xml:space="preserve">Risk of encroachment of protected areas (Mangai hunting domain, Bushimae, Mangrove Marine Park and Virunga National Park); </w:t>
      </w:r>
    </w:p>
    <w:p w14:paraId="246190DA" w14:textId="77777777" w:rsidR="003C7971" w:rsidRPr="00D53B04" w:rsidRDefault="003C7971"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Risk of encroachment on the property of indigenous peoples (IPs);</w:t>
      </w:r>
    </w:p>
    <w:p w14:paraId="4DFEC958" w14:textId="77777777" w:rsidR="003C7971" w:rsidRPr="00D53B04" w:rsidRDefault="003C7971"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Risk of proliferation of poaching;</w:t>
      </w:r>
    </w:p>
    <w:p w14:paraId="427F201E" w14:textId="77777777" w:rsidR="003C7971" w:rsidRPr="00D53B04" w:rsidRDefault="003C7971"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Pollution and disruption of river flows, lowlands and rice fields;</w:t>
      </w:r>
    </w:p>
    <w:p w14:paraId="21FFEF00" w14:textId="77777777" w:rsidR="003C7971" w:rsidRPr="00D53B04" w:rsidRDefault="003C7971"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Pollution of surface and ground water from accidental spills of waste oil and hydrocarbons;</w:t>
      </w:r>
    </w:p>
    <w:p w14:paraId="72808D24" w14:textId="77777777" w:rsidR="003C7971" w:rsidRPr="00D53B04" w:rsidRDefault="003C7971"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Risk of soil erosion;</w:t>
      </w:r>
    </w:p>
    <w:p w14:paraId="48B39C7B" w14:textId="77777777" w:rsidR="003C7971" w:rsidRPr="00D53B04" w:rsidRDefault="003C7971"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Risk of accidental discovery:</w:t>
      </w:r>
    </w:p>
    <w:p w14:paraId="2D870502" w14:textId="77777777" w:rsidR="003C7971" w:rsidRPr="00D53B04" w:rsidRDefault="003C7971"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Potential spread of HIV/AIDS and STIs with cultural exchanges between the local population and construction workers;</w:t>
      </w:r>
    </w:p>
    <w:p w14:paraId="2FD7EDE7" w14:textId="77777777" w:rsidR="003C7971" w:rsidRPr="00D53B04" w:rsidRDefault="003C7971"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Risk of exacerbating GBV, including SEA and STIs, as a result of the work;</w:t>
      </w:r>
    </w:p>
    <w:p w14:paraId="09CE7809" w14:textId="77777777" w:rsidR="003C7971" w:rsidRPr="00D53B04" w:rsidRDefault="003C7971"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Risk of spreading COVID-19 if barrier or prevention measures are not respected; and</w:t>
      </w:r>
    </w:p>
    <w:p w14:paraId="50DF9ED3" w14:textId="77777777" w:rsidR="003C7971" w:rsidRPr="00D53B04" w:rsidRDefault="003C7971"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Risk of spreading Ebola virus.</w:t>
      </w:r>
    </w:p>
    <w:p w14:paraId="2DDCEF47" w14:textId="77777777" w:rsidR="003C7971" w:rsidRPr="00D53B04" w:rsidRDefault="003C7971" w:rsidP="003C7971">
      <w:pPr>
        <w:pStyle w:val="Corpsdetexte"/>
        <w:spacing w:line="276" w:lineRule="auto"/>
        <w:rPr>
          <w:rFonts w:cs="Arial"/>
          <w:sz w:val="21"/>
          <w:szCs w:val="21"/>
          <w:u w:val="single"/>
          <w:lang w:val="en-US"/>
        </w:rPr>
      </w:pPr>
    </w:p>
    <w:p w14:paraId="0FD43C7B" w14:textId="77777777" w:rsidR="001977A4" w:rsidRPr="00D53B04" w:rsidRDefault="001977A4" w:rsidP="003C7971">
      <w:pPr>
        <w:pStyle w:val="Corpsdetexte"/>
        <w:spacing w:line="276" w:lineRule="auto"/>
        <w:rPr>
          <w:rFonts w:cs="Arial"/>
          <w:sz w:val="21"/>
          <w:szCs w:val="21"/>
          <w:lang w:val="en-US"/>
        </w:rPr>
      </w:pPr>
      <w:r w:rsidRPr="00D53B04">
        <w:rPr>
          <w:rFonts w:cs="Arial"/>
          <w:sz w:val="21"/>
          <w:szCs w:val="21"/>
          <w:u w:val="single"/>
          <w:lang w:val="en-US"/>
        </w:rPr>
        <w:t>Potential Risks and Negative Impacts of Construction/Rehabilitation of Community Markets</w:t>
      </w:r>
      <w:r w:rsidRPr="00D53B04">
        <w:rPr>
          <w:rFonts w:cs="Arial"/>
          <w:sz w:val="21"/>
          <w:szCs w:val="21"/>
          <w:lang w:val="en-US"/>
        </w:rPr>
        <w:t xml:space="preserve"> </w:t>
      </w:r>
      <w:r w:rsidRPr="00D53B04">
        <w:rPr>
          <w:rFonts w:cs="Arial"/>
          <w:sz w:val="21"/>
          <w:szCs w:val="21"/>
          <w:u w:val="single"/>
          <w:lang w:val="en-US"/>
        </w:rPr>
        <w:t>and Slaughterhouses</w:t>
      </w:r>
    </w:p>
    <w:p w14:paraId="5C20EB50" w14:textId="77777777" w:rsidR="001977A4" w:rsidRPr="00D53B04" w:rsidRDefault="001977A4" w:rsidP="001977A4">
      <w:pPr>
        <w:pStyle w:val="Corpsdetexte"/>
        <w:spacing w:line="276" w:lineRule="auto"/>
        <w:rPr>
          <w:rFonts w:cs="Arial"/>
          <w:sz w:val="21"/>
          <w:szCs w:val="21"/>
          <w:lang w:val="en-US"/>
        </w:rPr>
      </w:pPr>
    </w:p>
    <w:p w14:paraId="75F0317A"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Involuntary displacement of populations or economic activities ;</w:t>
      </w:r>
    </w:p>
    <w:p w14:paraId="1AA71839"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Waste generation during construction and operation ;</w:t>
      </w:r>
    </w:p>
    <w:p w14:paraId="175902C6"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Alteration of the landscape in the right-of-way of the construction of community markets;</w:t>
      </w:r>
    </w:p>
    <w:p w14:paraId="4CCC2505"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Risk of personal injury during the work ;</w:t>
      </w:r>
    </w:p>
    <w:p w14:paraId="4EB50868"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Non-use of local labour ;</w:t>
      </w:r>
    </w:p>
    <w:p w14:paraId="12106496"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Possibility of spread of HIV/AIDS and STIs with cultural exchanges between the local population and the workers on the construction sites;</w:t>
      </w:r>
    </w:p>
    <w:p w14:paraId="19EF8A10"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Risk of GBV, including EAS and HS, especially due to the influx of labor for the work ;</w:t>
      </w:r>
    </w:p>
    <w:p w14:paraId="15904ACD"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Risk of spread of VIDOC-19 if barrier or prevention measures are not respected.</w:t>
      </w:r>
    </w:p>
    <w:p w14:paraId="5B925CC8" w14:textId="77777777" w:rsidR="001977A4" w:rsidRPr="00D53B04" w:rsidRDefault="001977A4" w:rsidP="001977A4">
      <w:pPr>
        <w:pStyle w:val="Corpsdetexte"/>
        <w:spacing w:line="276" w:lineRule="auto"/>
        <w:ind w:hanging="284"/>
        <w:rPr>
          <w:rFonts w:cs="Arial"/>
          <w:sz w:val="21"/>
          <w:szCs w:val="21"/>
          <w:lang w:val="en-US"/>
        </w:rPr>
      </w:pPr>
    </w:p>
    <w:p w14:paraId="18FE5B58" w14:textId="77777777" w:rsidR="001977A4" w:rsidRPr="005257AB" w:rsidRDefault="001977A4" w:rsidP="002378EA">
      <w:pPr>
        <w:pStyle w:val="Paragraphedeliste"/>
        <w:widowControl w:val="0"/>
        <w:numPr>
          <w:ilvl w:val="0"/>
          <w:numId w:val="112"/>
        </w:numPr>
        <w:tabs>
          <w:tab w:val="left" w:pos="709"/>
        </w:tabs>
        <w:autoSpaceDE w:val="0"/>
        <w:autoSpaceDN w:val="0"/>
        <w:ind w:left="709" w:hanging="425"/>
        <w:contextualSpacing w:val="0"/>
        <w:rPr>
          <w:rFonts w:cs="Arial"/>
          <w:b/>
          <w:i/>
          <w:szCs w:val="21"/>
          <w:lang w:val="en-US"/>
        </w:rPr>
      </w:pPr>
      <w:r w:rsidRPr="005257AB">
        <w:rPr>
          <w:rFonts w:cs="Arial"/>
          <w:b/>
          <w:i/>
          <w:szCs w:val="21"/>
          <w:lang w:val="en-US"/>
        </w:rPr>
        <w:t>Environmental and social management measures</w:t>
      </w:r>
    </w:p>
    <w:p w14:paraId="71030E04" w14:textId="77777777" w:rsidR="001977A4" w:rsidRPr="00D53B04" w:rsidRDefault="001977A4" w:rsidP="001977A4">
      <w:pPr>
        <w:pStyle w:val="Corpsdetexte"/>
        <w:spacing w:line="276" w:lineRule="auto"/>
        <w:rPr>
          <w:rFonts w:cs="Arial"/>
          <w:i/>
          <w:sz w:val="21"/>
          <w:szCs w:val="21"/>
          <w:lang w:val="en-US"/>
        </w:rPr>
      </w:pPr>
    </w:p>
    <w:p w14:paraId="1D3DA17F" w14:textId="77777777" w:rsidR="001977A4" w:rsidRPr="00D53B04" w:rsidRDefault="001977A4" w:rsidP="001977A4">
      <w:pPr>
        <w:pStyle w:val="Corpsdetexte"/>
        <w:spacing w:line="276" w:lineRule="auto"/>
        <w:rPr>
          <w:rFonts w:cs="Arial"/>
          <w:sz w:val="21"/>
          <w:szCs w:val="21"/>
          <w:lang w:val="en-US"/>
        </w:rPr>
      </w:pPr>
      <w:r w:rsidRPr="00D53B04">
        <w:rPr>
          <w:rFonts w:cs="Arial"/>
          <w:sz w:val="21"/>
          <w:szCs w:val="21"/>
          <w:lang w:val="en-US"/>
        </w:rPr>
        <w:t>The environmental and social management of the PNDA includes strategic measures and institutional and technical support, training, and sensitization to strengthen the capacities of the structures concerned, which are described below:</w:t>
      </w:r>
    </w:p>
    <w:p w14:paraId="60694A4B"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Preparation of the Workforce Management Plan (WMP) ;</w:t>
      </w:r>
    </w:p>
    <w:p w14:paraId="42541230"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Preparation of the Stakeholder Mobilization Plan (SMPP) ;</w:t>
      </w:r>
    </w:p>
    <w:p w14:paraId="2E4A8757"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Preparation of Resettlement Action Plans (RAP) ;</w:t>
      </w:r>
    </w:p>
    <w:p w14:paraId="7C36EE84"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Preparation of a NMP Pest Management Plan) ;</w:t>
      </w:r>
    </w:p>
    <w:p w14:paraId="62693CF4"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Preparation of an Environmental and Social Commitment Plan (ESEP) ;</w:t>
      </w:r>
    </w:p>
    <w:p w14:paraId="7A545858" w14:textId="2094CE87" w:rsidR="001977A4" w:rsidRPr="00D53B04" w:rsidRDefault="001977A4" w:rsidP="002378EA">
      <w:pPr>
        <w:pStyle w:val="Paragraphedeliste"/>
        <w:widowControl w:val="0"/>
        <w:numPr>
          <w:ilvl w:val="0"/>
          <w:numId w:val="111"/>
        </w:numPr>
        <w:tabs>
          <w:tab w:val="left" w:pos="977"/>
        </w:tabs>
        <w:autoSpaceDE w:val="0"/>
        <w:autoSpaceDN w:val="0"/>
        <w:ind w:left="567" w:hanging="283"/>
        <w:contextualSpacing w:val="0"/>
        <w:rPr>
          <w:rFonts w:cs="Arial"/>
          <w:szCs w:val="21"/>
          <w:lang w:val="en-US"/>
        </w:rPr>
      </w:pPr>
      <w:r w:rsidRPr="00D53B04">
        <w:rPr>
          <w:rFonts w:cs="Arial"/>
          <w:szCs w:val="21"/>
          <w:lang w:val="en-US"/>
        </w:rPr>
        <w:t xml:space="preserve">Preparation of an action plan for prevention and response to EAS/HS, </w:t>
      </w:r>
      <w:r w:rsidR="005257AB">
        <w:rPr>
          <w:rFonts w:cs="Arial"/>
          <w:szCs w:val="21"/>
          <w:lang w:val="en-US"/>
        </w:rPr>
        <w:t>taking into account prevention</w:t>
      </w:r>
      <w:r w:rsidRPr="00D53B04">
        <w:rPr>
          <w:rFonts w:cs="Arial"/>
          <w:szCs w:val="21"/>
          <w:lang w:val="en-US"/>
        </w:rPr>
        <w:t xml:space="preserve">, mitigation and response (mapping of survivor services and implementation of a minimum package of services, and development of the EAS/HS-sensitive PPM with a </w:t>
      </w:r>
      <w:r w:rsidRPr="00D53B04">
        <w:rPr>
          <w:rFonts w:cs="Arial"/>
          <w:szCs w:val="21"/>
          <w:lang w:val="en-US"/>
        </w:rPr>
        <w:lastRenderedPageBreak/>
        <w:t>response protocol)</w:t>
      </w:r>
      <w:r w:rsidR="005257AB">
        <w:rPr>
          <w:rFonts w:cs="Arial"/>
          <w:szCs w:val="21"/>
          <w:lang w:val="en-US"/>
        </w:rPr>
        <w:t>;</w:t>
      </w:r>
    </w:p>
    <w:p w14:paraId="10CE23E7" w14:textId="77777777" w:rsidR="001977A4" w:rsidRPr="00D53B04" w:rsidRDefault="001977A4" w:rsidP="002378EA">
      <w:pPr>
        <w:pStyle w:val="Paragraphedeliste"/>
        <w:widowControl w:val="0"/>
        <w:numPr>
          <w:ilvl w:val="0"/>
          <w:numId w:val="111"/>
        </w:numPr>
        <w:tabs>
          <w:tab w:val="left" w:pos="977"/>
        </w:tabs>
        <w:autoSpaceDE w:val="0"/>
        <w:autoSpaceDN w:val="0"/>
        <w:ind w:left="567" w:hanging="283"/>
        <w:contextualSpacing w:val="0"/>
        <w:rPr>
          <w:rFonts w:cs="Arial"/>
          <w:szCs w:val="21"/>
          <w:lang w:val="en-US"/>
        </w:rPr>
      </w:pPr>
      <w:r w:rsidRPr="00D53B04">
        <w:rPr>
          <w:rFonts w:cs="Arial"/>
          <w:szCs w:val="21"/>
          <w:lang w:val="en-US"/>
        </w:rPr>
        <w:t>Prepare an Aboriginal Peoples Plan (APP) if necessary;</w:t>
      </w:r>
    </w:p>
    <w:p w14:paraId="4F44192D" w14:textId="77777777" w:rsidR="001977A4" w:rsidRPr="00D53B04" w:rsidRDefault="001977A4" w:rsidP="002378EA">
      <w:pPr>
        <w:pStyle w:val="Paragraphedeliste"/>
        <w:widowControl w:val="0"/>
        <w:numPr>
          <w:ilvl w:val="0"/>
          <w:numId w:val="111"/>
        </w:numPr>
        <w:tabs>
          <w:tab w:val="left" w:pos="977"/>
        </w:tabs>
        <w:autoSpaceDE w:val="0"/>
        <w:autoSpaceDN w:val="0"/>
        <w:ind w:left="567" w:hanging="283"/>
        <w:contextualSpacing w:val="0"/>
        <w:rPr>
          <w:rFonts w:cs="Arial"/>
          <w:szCs w:val="21"/>
          <w:lang w:val="en-US"/>
        </w:rPr>
      </w:pPr>
      <w:r w:rsidRPr="00D53B04">
        <w:rPr>
          <w:rFonts w:cs="Arial"/>
          <w:szCs w:val="21"/>
          <w:lang w:val="en-US"/>
        </w:rPr>
        <w:t>Preparation of a separate Security Management Plan (SMP) that outlines all procedures and protocols related to this aspect of the program (the SMP will conduct a Security Risk Assessment (SRA) and propose mitigation measures);</w:t>
      </w:r>
    </w:p>
    <w:p w14:paraId="0286BF66" w14:textId="77777777" w:rsidR="001977A4" w:rsidRPr="00D53B04" w:rsidRDefault="001977A4" w:rsidP="002378EA">
      <w:pPr>
        <w:pStyle w:val="Paragraphedeliste"/>
        <w:widowControl w:val="0"/>
        <w:numPr>
          <w:ilvl w:val="0"/>
          <w:numId w:val="111"/>
        </w:numPr>
        <w:tabs>
          <w:tab w:val="left" w:pos="977"/>
        </w:tabs>
        <w:autoSpaceDE w:val="0"/>
        <w:autoSpaceDN w:val="0"/>
        <w:ind w:left="567" w:hanging="283"/>
        <w:contextualSpacing w:val="0"/>
        <w:rPr>
          <w:rFonts w:cs="Arial"/>
          <w:szCs w:val="21"/>
          <w:lang w:val="en-US"/>
        </w:rPr>
      </w:pPr>
      <w:r w:rsidRPr="00D53B04">
        <w:rPr>
          <w:rFonts w:cs="Arial"/>
          <w:szCs w:val="21"/>
          <w:lang w:val="en-US"/>
        </w:rPr>
        <w:t>Establish a comprehensive Complaint Management Mechanism (CMP), including specific procedures for the ethical and confidential handling of complaints related to EAS and HS ;</w:t>
      </w:r>
    </w:p>
    <w:p w14:paraId="06695CB0" w14:textId="77777777" w:rsidR="001977A4" w:rsidRPr="00D53B04" w:rsidRDefault="001977A4" w:rsidP="002378EA">
      <w:pPr>
        <w:pStyle w:val="Paragraphedeliste"/>
        <w:widowControl w:val="0"/>
        <w:numPr>
          <w:ilvl w:val="0"/>
          <w:numId w:val="111"/>
        </w:numPr>
        <w:tabs>
          <w:tab w:val="left" w:pos="977"/>
        </w:tabs>
        <w:autoSpaceDE w:val="0"/>
        <w:autoSpaceDN w:val="0"/>
        <w:ind w:left="567" w:hanging="283"/>
        <w:contextualSpacing w:val="0"/>
        <w:rPr>
          <w:rFonts w:cs="Arial"/>
          <w:szCs w:val="21"/>
          <w:lang w:val="en-US"/>
        </w:rPr>
      </w:pPr>
      <w:r w:rsidRPr="00D53B04">
        <w:rPr>
          <w:rFonts w:cs="Arial"/>
          <w:szCs w:val="21"/>
          <w:lang w:val="en-US"/>
        </w:rPr>
        <w:t>Ensure that financial intermediaries have environmental and social management systems (ESMS) in place prior to the commencement of credit issuance ;</w:t>
      </w:r>
    </w:p>
    <w:p w14:paraId="13157AFF" w14:textId="77777777" w:rsidR="001977A4" w:rsidRPr="00D53B04" w:rsidRDefault="001977A4" w:rsidP="002378EA">
      <w:pPr>
        <w:pStyle w:val="Paragraphedeliste"/>
        <w:widowControl w:val="0"/>
        <w:numPr>
          <w:ilvl w:val="0"/>
          <w:numId w:val="111"/>
        </w:numPr>
        <w:tabs>
          <w:tab w:val="left" w:pos="977"/>
        </w:tabs>
        <w:autoSpaceDE w:val="0"/>
        <w:autoSpaceDN w:val="0"/>
        <w:ind w:left="567" w:hanging="283"/>
        <w:contextualSpacing w:val="0"/>
        <w:rPr>
          <w:rFonts w:cs="Arial"/>
          <w:szCs w:val="21"/>
          <w:lang w:val="en-US"/>
        </w:rPr>
      </w:pPr>
      <w:r w:rsidRPr="00D53B04">
        <w:rPr>
          <w:rFonts w:cs="Arial"/>
          <w:szCs w:val="21"/>
          <w:lang w:val="en-US"/>
        </w:rPr>
        <w:t>Establish a GBV-related GPM for the ethical and confidential treatment of complaints related to EAS/HS ;</w:t>
      </w:r>
    </w:p>
    <w:p w14:paraId="3A1C55CE" w14:textId="77777777" w:rsidR="001977A4" w:rsidRPr="00D53B04" w:rsidRDefault="001977A4" w:rsidP="002378EA">
      <w:pPr>
        <w:pStyle w:val="Paragraphedeliste"/>
        <w:widowControl w:val="0"/>
        <w:numPr>
          <w:ilvl w:val="0"/>
          <w:numId w:val="111"/>
        </w:numPr>
        <w:tabs>
          <w:tab w:val="left" w:pos="977"/>
        </w:tabs>
        <w:autoSpaceDE w:val="0"/>
        <w:autoSpaceDN w:val="0"/>
        <w:ind w:left="567" w:hanging="283"/>
        <w:contextualSpacing w:val="0"/>
        <w:rPr>
          <w:rFonts w:cs="Arial"/>
          <w:szCs w:val="21"/>
          <w:lang w:val="en-US"/>
        </w:rPr>
      </w:pPr>
      <w:r w:rsidRPr="00D53B04">
        <w:rPr>
          <w:rFonts w:cs="Arial"/>
          <w:szCs w:val="21"/>
          <w:lang w:val="en-US"/>
        </w:rPr>
        <w:t>Consideration of service providers and suppliers ;</w:t>
      </w:r>
    </w:p>
    <w:p w14:paraId="6C148DDF" w14:textId="77777777" w:rsidR="001977A4" w:rsidRPr="00D53B04" w:rsidRDefault="001977A4" w:rsidP="002378EA">
      <w:pPr>
        <w:pStyle w:val="Paragraphedeliste"/>
        <w:widowControl w:val="0"/>
        <w:numPr>
          <w:ilvl w:val="0"/>
          <w:numId w:val="111"/>
        </w:numPr>
        <w:tabs>
          <w:tab w:val="left" w:pos="977"/>
        </w:tabs>
        <w:autoSpaceDE w:val="0"/>
        <w:autoSpaceDN w:val="0"/>
        <w:ind w:left="567" w:hanging="283"/>
        <w:contextualSpacing w:val="0"/>
        <w:rPr>
          <w:rFonts w:cs="Arial"/>
          <w:szCs w:val="21"/>
          <w:lang w:val="en-US"/>
        </w:rPr>
      </w:pPr>
      <w:r w:rsidRPr="00D53B04">
        <w:rPr>
          <w:rFonts w:cs="Arial"/>
          <w:szCs w:val="21"/>
          <w:lang w:val="en-US"/>
        </w:rPr>
        <w:t>Preparation of a code of conduct: individual, manager and company, prohibiting all forms of sexual abuse and exploitation, harassment, or violence, including acts of EAS/HS, and including explicit language on prohibited behaviors, including the prohibition of sexual relations with minors</w:t>
      </w:r>
      <w:r w:rsidRPr="00D53B04">
        <w:rPr>
          <w:szCs w:val="21"/>
          <w:lang w:val="en-US"/>
        </w:rPr>
        <w:footnoteReference w:id="6"/>
      </w:r>
      <w:r w:rsidRPr="00D53B04">
        <w:rPr>
          <w:rFonts w:cs="Arial"/>
          <w:szCs w:val="21"/>
          <w:lang w:val="en-US"/>
        </w:rPr>
        <w:t>, established sanctions, and key notions on GBV, as well as the types and forms of GBV and the notion of consent;</w:t>
      </w:r>
    </w:p>
    <w:p w14:paraId="6B9397D9" w14:textId="77777777" w:rsidR="001977A4" w:rsidRPr="00D53B04" w:rsidRDefault="001977A4" w:rsidP="002378EA">
      <w:pPr>
        <w:pStyle w:val="Paragraphedeliste"/>
        <w:widowControl w:val="0"/>
        <w:numPr>
          <w:ilvl w:val="0"/>
          <w:numId w:val="111"/>
        </w:numPr>
        <w:tabs>
          <w:tab w:val="left" w:pos="977"/>
        </w:tabs>
        <w:autoSpaceDE w:val="0"/>
        <w:autoSpaceDN w:val="0"/>
        <w:ind w:left="567" w:hanging="283"/>
        <w:contextualSpacing w:val="0"/>
        <w:rPr>
          <w:rFonts w:cs="Arial"/>
          <w:szCs w:val="21"/>
          <w:lang w:val="en-US"/>
        </w:rPr>
      </w:pPr>
      <w:r w:rsidRPr="00D53B04">
        <w:rPr>
          <w:rFonts w:cs="Arial"/>
          <w:szCs w:val="21"/>
          <w:lang w:val="en-US"/>
        </w:rPr>
        <w:t>Prohibition of child labour on the construction site and associated facilities ;</w:t>
      </w:r>
    </w:p>
    <w:p w14:paraId="18355925" w14:textId="77777777" w:rsidR="001977A4" w:rsidRPr="00D53B04" w:rsidRDefault="001977A4" w:rsidP="002378EA">
      <w:pPr>
        <w:pStyle w:val="Paragraphedeliste"/>
        <w:widowControl w:val="0"/>
        <w:numPr>
          <w:ilvl w:val="0"/>
          <w:numId w:val="111"/>
        </w:numPr>
        <w:tabs>
          <w:tab w:val="left" w:pos="977"/>
        </w:tabs>
        <w:autoSpaceDE w:val="0"/>
        <w:autoSpaceDN w:val="0"/>
        <w:ind w:left="567" w:hanging="283"/>
        <w:contextualSpacing w:val="0"/>
        <w:rPr>
          <w:rFonts w:cs="Arial"/>
          <w:szCs w:val="21"/>
          <w:lang w:val="en-US"/>
        </w:rPr>
      </w:pPr>
      <w:r w:rsidRPr="00D53B04">
        <w:rPr>
          <w:rFonts w:cs="Arial"/>
          <w:szCs w:val="21"/>
          <w:lang w:val="en-US"/>
        </w:rPr>
        <w:t>Methodology for the preparation, approval, and execution and monitoring of sub- projects;</w:t>
      </w:r>
    </w:p>
    <w:p w14:paraId="51A996EA" w14:textId="77777777" w:rsidR="001977A4" w:rsidRPr="00D53B04" w:rsidRDefault="001977A4" w:rsidP="002378EA">
      <w:pPr>
        <w:pStyle w:val="Paragraphedeliste"/>
        <w:widowControl w:val="0"/>
        <w:numPr>
          <w:ilvl w:val="0"/>
          <w:numId w:val="111"/>
        </w:numPr>
        <w:tabs>
          <w:tab w:val="left" w:pos="977"/>
        </w:tabs>
        <w:autoSpaceDE w:val="0"/>
        <w:autoSpaceDN w:val="0"/>
        <w:ind w:left="567" w:hanging="283"/>
        <w:contextualSpacing w:val="0"/>
        <w:rPr>
          <w:rFonts w:cs="Arial"/>
          <w:szCs w:val="21"/>
          <w:lang w:val="en-US"/>
        </w:rPr>
      </w:pPr>
      <w:r w:rsidRPr="00D53B04">
        <w:rPr>
          <w:rFonts w:cs="Arial"/>
          <w:szCs w:val="21"/>
          <w:lang w:val="en-US"/>
        </w:rPr>
        <w:t>Minimize deforestation and destruction of riparian vegetation ;</w:t>
      </w:r>
    </w:p>
    <w:p w14:paraId="720F6ADE"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Establish and maintain buffer zones around areas recognized as wildlife habitat to minimize the impact of Project activities on these areas and the wildlife they support;</w:t>
      </w:r>
    </w:p>
    <w:p w14:paraId="5483BB03"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Involve ICCN before undertaking any Project activities in buffer zones or within protected areas;</w:t>
      </w:r>
    </w:p>
    <w:p w14:paraId="5CAA3F60"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Prohibit activities in parks and protected areas ;</w:t>
      </w:r>
    </w:p>
    <w:p w14:paraId="0A4E2530"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Carry out a preliminary examination of the bearing capacity of bridges and culverts, and post it before use for work and/or evacuation of agricultural products ;</w:t>
      </w:r>
    </w:p>
    <w:p w14:paraId="72F557B5" w14:textId="77777777" w:rsidR="001977A4" w:rsidRPr="00D53B04" w:rsidRDefault="001977A4" w:rsidP="002378EA">
      <w:pPr>
        <w:pStyle w:val="Paragraphedeliste"/>
        <w:widowControl w:val="0"/>
        <w:numPr>
          <w:ilvl w:val="0"/>
          <w:numId w:val="111"/>
        </w:numPr>
        <w:tabs>
          <w:tab w:val="left" w:pos="977"/>
        </w:tabs>
        <w:autoSpaceDE w:val="0"/>
        <w:autoSpaceDN w:val="0"/>
        <w:ind w:left="567" w:hanging="283"/>
        <w:contextualSpacing w:val="0"/>
        <w:rPr>
          <w:rFonts w:cs="Arial"/>
          <w:szCs w:val="21"/>
          <w:lang w:val="en-US"/>
        </w:rPr>
      </w:pPr>
      <w:r w:rsidRPr="00D53B04">
        <w:rPr>
          <w:rFonts w:cs="Arial"/>
          <w:szCs w:val="21"/>
          <w:lang w:val="en-US"/>
        </w:rPr>
        <w:t>Rehabilitate land disturbed by construction, removal, storage and reinstatement of topsoil to facilitate the restoration of wildlife habitat ;</w:t>
      </w:r>
    </w:p>
    <w:p w14:paraId="4932C093" w14:textId="77777777" w:rsidR="001977A4" w:rsidRPr="00D53B04" w:rsidRDefault="001977A4" w:rsidP="002378EA">
      <w:pPr>
        <w:pStyle w:val="Paragraphedeliste"/>
        <w:widowControl w:val="0"/>
        <w:numPr>
          <w:ilvl w:val="0"/>
          <w:numId w:val="111"/>
        </w:numPr>
        <w:tabs>
          <w:tab w:val="left" w:pos="977"/>
        </w:tabs>
        <w:autoSpaceDE w:val="0"/>
        <w:autoSpaceDN w:val="0"/>
        <w:ind w:left="567" w:hanging="283"/>
        <w:contextualSpacing w:val="0"/>
        <w:rPr>
          <w:rFonts w:cs="Arial"/>
          <w:szCs w:val="21"/>
          <w:lang w:val="en-US"/>
        </w:rPr>
      </w:pPr>
      <w:r w:rsidRPr="00D53B04">
        <w:rPr>
          <w:rFonts w:cs="Arial"/>
          <w:szCs w:val="21"/>
          <w:lang w:val="en-US"/>
        </w:rPr>
        <w:t>Avoid obstructing commercial areas or take the necessary measures to ensure safe access and use during and after the work, especially when rehabilitating village markets ;</w:t>
      </w:r>
    </w:p>
    <w:p w14:paraId="3B12B120" w14:textId="77777777" w:rsidR="001977A4" w:rsidRPr="00D53B04" w:rsidRDefault="001977A4" w:rsidP="002378EA">
      <w:pPr>
        <w:pStyle w:val="Paragraphedeliste"/>
        <w:widowControl w:val="0"/>
        <w:numPr>
          <w:ilvl w:val="0"/>
          <w:numId w:val="111"/>
        </w:numPr>
        <w:tabs>
          <w:tab w:val="left" w:pos="977"/>
        </w:tabs>
        <w:autoSpaceDE w:val="0"/>
        <w:autoSpaceDN w:val="0"/>
        <w:ind w:left="567" w:hanging="283"/>
        <w:contextualSpacing w:val="0"/>
        <w:rPr>
          <w:rFonts w:cs="Arial"/>
          <w:szCs w:val="21"/>
          <w:lang w:val="en-US"/>
        </w:rPr>
      </w:pPr>
      <w:r w:rsidRPr="00D53B04">
        <w:rPr>
          <w:rFonts w:cs="Arial"/>
          <w:szCs w:val="21"/>
          <w:lang w:val="en-US"/>
        </w:rPr>
        <w:t>Compensate (relocate) as a priority all assets likely to be affected by the Project, prior to the start of work ;</w:t>
      </w:r>
    </w:p>
    <w:p w14:paraId="5721FDC7" w14:textId="77777777" w:rsidR="001977A4" w:rsidRPr="00D53B04" w:rsidRDefault="001977A4" w:rsidP="002378EA">
      <w:pPr>
        <w:pStyle w:val="Paragraphedeliste"/>
        <w:widowControl w:val="0"/>
        <w:numPr>
          <w:ilvl w:val="0"/>
          <w:numId w:val="111"/>
        </w:numPr>
        <w:tabs>
          <w:tab w:val="left" w:pos="977"/>
        </w:tabs>
        <w:autoSpaceDE w:val="0"/>
        <w:autoSpaceDN w:val="0"/>
        <w:ind w:left="567" w:hanging="283"/>
        <w:contextualSpacing w:val="0"/>
        <w:rPr>
          <w:rFonts w:cs="Arial"/>
          <w:szCs w:val="21"/>
          <w:lang w:val="en-US"/>
        </w:rPr>
      </w:pPr>
      <w:r w:rsidRPr="00D53B04">
        <w:rPr>
          <w:rFonts w:cs="Arial"/>
          <w:szCs w:val="21"/>
          <w:lang w:val="en-US"/>
        </w:rPr>
        <w:t>Institutional strengthening of the Technical Committee for the preparation of the PNDA;</w:t>
      </w:r>
    </w:p>
    <w:p w14:paraId="4E119D60"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 xml:space="preserve">Strengthening the PMU's environmental and social expertise </w:t>
      </w:r>
      <w:r w:rsidR="003C7971" w:rsidRPr="00D53B04">
        <w:rPr>
          <w:rFonts w:cs="Arial"/>
          <w:szCs w:val="21"/>
          <w:lang w:val="en-US"/>
        </w:rPr>
        <w:t>of the National Project Coordination Unit (UNCP)</w:t>
      </w:r>
      <w:r w:rsidRPr="00D53B04">
        <w:rPr>
          <w:rFonts w:cs="Arial"/>
          <w:szCs w:val="21"/>
          <w:lang w:val="en-US"/>
        </w:rPr>
        <w:t>;</w:t>
      </w:r>
    </w:p>
    <w:p w14:paraId="14CF3CCD"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Strengthening the capacities of the State Technical Services of the sector ;</w:t>
      </w:r>
    </w:p>
    <w:p w14:paraId="6D5C3E8A" w14:textId="77777777" w:rsidR="001977A4" w:rsidRPr="00D53B04" w:rsidRDefault="001977A4" w:rsidP="002378EA">
      <w:pPr>
        <w:pStyle w:val="Paragraphedeliste"/>
        <w:widowControl w:val="0"/>
        <w:numPr>
          <w:ilvl w:val="0"/>
          <w:numId w:val="111"/>
        </w:numPr>
        <w:tabs>
          <w:tab w:val="left" w:pos="977"/>
        </w:tabs>
        <w:autoSpaceDE w:val="0"/>
        <w:autoSpaceDN w:val="0"/>
        <w:ind w:left="567" w:hanging="283"/>
        <w:contextualSpacing w:val="0"/>
        <w:rPr>
          <w:rFonts w:cs="Arial"/>
          <w:szCs w:val="21"/>
          <w:lang w:val="en-US"/>
        </w:rPr>
      </w:pPr>
      <w:r w:rsidRPr="00D53B04">
        <w:rPr>
          <w:rFonts w:cs="Arial"/>
          <w:szCs w:val="21"/>
          <w:lang w:val="en-US"/>
        </w:rPr>
        <w:t>Training of the actors involved in the implementation of the PNDA, also on the notion of GBV, including SEA and HS, and as the project may exacerbate them, the responsibility of different actors, the PPM sensitive to SEA/HS, as well as the management services for survivors;</w:t>
      </w:r>
    </w:p>
    <w:p w14:paraId="06D82B93" w14:textId="77777777" w:rsidR="001977A4" w:rsidRPr="00D53B04" w:rsidRDefault="001977A4" w:rsidP="002378EA">
      <w:pPr>
        <w:pStyle w:val="Paragraphedeliste"/>
        <w:widowControl w:val="0"/>
        <w:numPr>
          <w:ilvl w:val="0"/>
          <w:numId w:val="111"/>
        </w:numPr>
        <w:tabs>
          <w:tab w:val="left" w:pos="977"/>
        </w:tabs>
        <w:autoSpaceDE w:val="0"/>
        <w:autoSpaceDN w:val="0"/>
        <w:ind w:left="567" w:hanging="283"/>
        <w:contextualSpacing w:val="0"/>
        <w:rPr>
          <w:rFonts w:cs="Arial"/>
          <w:szCs w:val="21"/>
          <w:lang w:val="en-US"/>
        </w:rPr>
      </w:pPr>
      <w:r w:rsidRPr="00D53B04">
        <w:rPr>
          <w:rFonts w:cs="Arial"/>
          <w:szCs w:val="21"/>
          <w:lang w:val="en-US"/>
        </w:rPr>
        <w:t>Sensitization and mobilization programs for the population and at the communal level (integrating GBV issues, including EAS and HS, code of conduct, PGM sensitive to EAS/HS complaints, etc.). ) ;</w:t>
      </w:r>
    </w:p>
    <w:p w14:paraId="2E0C4832" w14:textId="77777777" w:rsidR="001977A4" w:rsidRPr="00D53B04" w:rsidRDefault="001977A4" w:rsidP="002378EA">
      <w:pPr>
        <w:pStyle w:val="Paragraphedeliste"/>
        <w:widowControl w:val="0"/>
        <w:numPr>
          <w:ilvl w:val="0"/>
          <w:numId w:val="111"/>
        </w:numPr>
        <w:tabs>
          <w:tab w:val="left" w:pos="977"/>
        </w:tabs>
        <w:autoSpaceDE w:val="0"/>
        <w:autoSpaceDN w:val="0"/>
        <w:ind w:left="567" w:hanging="283"/>
        <w:contextualSpacing w:val="0"/>
        <w:rPr>
          <w:rFonts w:cs="Arial"/>
          <w:szCs w:val="21"/>
          <w:lang w:val="en-US"/>
        </w:rPr>
      </w:pPr>
      <w:r w:rsidRPr="00D53B04">
        <w:rPr>
          <w:rFonts w:cs="Arial"/>
          <w:szCs w:val="21"/>
          <w:lang w:val="en-US"/>
        </w:rPr>
        <w:t>Awareness and environmental and social training program for construction companies and control offices;</w:t>
      </w:r>
    </w:p>
    <w:p w14:paraId="283A7CEF" w14:textId="77777777" w:rsidR="001977A4" w:rsidRPr="00D53B04" w:rsidRDefault="001977A4" w:rsidP="002378EA">
      <w:pPr>
        <w:pStyle w:val="Paragraphedeliste"/>
        <w:widowControl w:val="0"/>
        <w:numPr>
          <w:ilvl w:val="0"/>
          <w:numId w:val="111"/>
        </w:numPr>
        <w:tabs>
          <w:tab w:val="left" w:pos="977"/>
        </w:tabs>
        <w:autoSpaceDE w:val="0"/>
        <w:autoSpaceDN w:val="0"/>
        <w:ind w:left="567" w:hanging="283"/>
        <w:contextualSpacing w:val="0"/>
        <w:rPr>
          <w:rFonts w:cs="Arial"/>
          <w:szCs w:val="21"/>
          <w:lang w:val="en-US"/>
        </w:rPr>
      </w:pPr>
      <w:r w:rsidRPr="00D53B04">
        <w:rPr>
          <w:rFonts w:cs="Arial"/>
          <w:szCs w:val="21"/>
          <w:lang w:val="en-US"/>
        </w:rPr>
        <w:t>Put in place a VIDOC prevention plan19 ;</w:t>
      </w:r>
    </w:p>
    <w:p w14:paraId="66D79D56" w14:textId="77777777" w:rsidR="001977A4" w:rsidRPr="00D53B04" w:rsidRDefault="001977A4" w:rsidP="002378EA">
      <w:pPr>
        <w:pStyle w:val="Paragraphedeliste"/>
        <w:widowControl w:val="0"/>
        <w:numPr>
          <w:ilvl w:val="0"/>
          <w:numId w:val="111"/>
        </w:numPr>
        <w:tabs>
          <w:tab w:val="left" w:pos="977"/>
        </w:tabs>
        <w:autoSpaceDE w:val="0"/>
        <w:autoSpaceDN w:val="0"/>
        <w:ind w:left="567" w:hanging="283"/>
        <w:contextualSpacing w:val="0"/>
        <w:rPr>
          <w:rFonts w:cs="Arial"/>
          <w:szCs w:val="21"/>
          <w:lang w:val="en-US"/>
        </w:rPr>
      </w:pPr>
      <w:r w:rsidRPr="00D53B04">
        <w:rPr>
          <w:rFonts w:cs="Arial"/>
          <w:szCs w:val="21"/>
          <w:lang w:val="en-US"/>
        </w:rPr>
        <w:lastRenderedPageBreak/>
        <w:t>Establishment and control of grievance management procedures and measures ;</w:t>
      </w:r>
    </w:p>
    <w:p w14:paraId="78BBD523" w14:textId="77777777" w:rsidR="001977A4" w:rsidRPr="00D53B04" w:rsidRDefault="001977A4" w:rsidP="002378EA">
      <w:pPr>
        <w:pStyle w:val="Paragraphedeliste"/>
        <w:widowControl w:val="0"/>
        <w:numPr>
          <w:ilvl w:val="0"/>
          <w:numId w:val="111"/>
        </w:numPr>
        <w:tabs>
          <w:tab w:val="left" w:pos="977"/>
        </w:tabs>
        <w:autoSpaceDE w:val="0"/>
        <w:autoSpaceDN w:val="0"/>
        <w:ind w:left="567" w:hanging="283"/>
        <w:contextualSpacing w:val="0"/>
        <w:rPr>
          <w:rFonts w:cs="Arial"/>
          <w:szCs w:val="21"/>
          <w:lang w:val="en-US"/>
        </w:rPr>
      </w:pPr>
      <w:r w:rsidRPr="00D53B04">
        <w:rPr>
          <w:rFonts w:cs="Arial"/>
          <w:szCs w:val="21"/>
          <w:lang w:val="en-US"/>
        </w:rPr>
        <w:t>Coordination of multisectoral activities integrating GBV, EAS and MSM prevention and response aspects;</w:t>
      </w:r>
    </w:p>
    <w:p w14:paraId="58ECAB4E" w14:textId="77777777" w:rsidR="001977A4" w:rsidRPr="00D53B04" w:rsidRDefault="001977A4" w:rsidP="002378EA">
      <w:pPr>
        <w:pStyle w:val="Paragraphedeliste"/>
        <w:widowControl w:val="0"/>
        <w:numPr>
          <w:ilvl w:val="0"/>
          <w:numId w:val="111"/>
        </w:numPr>
        <w:tabs>
          <w:tab w:val="left" w:pos="977"/>
        </w:tabs>
        <w:autoSpaceDE w:val="0"/>
        <w:autoSpaceDN w:val="0"/>
        <w:ind w:left="567" w:hanging="283"/>
        <w:contextualSpacing w:val="0"/>
        <w:rPr>
          <w:rFonts w:cs="Arial"/>
          <w:szCs w:val="21"/>
          <w:lang w:val="en-US"/>
        </w:rPr>
      </w:pPr>
      <w:r w:rsidRPr="00D53B04">
        <w:rPr>
          <w:rFonts w:cs="Arial"/>
          <w:szCs w:val="21"/>
          <w:lang w:val="en-US"/>
        </w:rPr>
        <w:t>Non-discrimination against women during staff recruitment and adherence to the 30 percent quota for women recruited in project implementation, including consideration of women for non-traditional roles and supervisory positions;</w:t>
      </w:r>
    </w:p>
    <w:p w14:paraId="0A74B877" w14:textId="77777777" w:rsidR="001977A4" w:rsidRPr="00D53B04" w:rsidRDefault="001977A4" w:rsidP="002378EA">
      <w:pPr>
        <w:pStyle w:val="Paragraphedeliste"/>
        <w:widowControl w:val="0"/>
        <w:numPr>
          <w:ilvl w:val="0"/>
          <w:numId w:val="111"/>
        </w:numPr>
        <w:tabs>
          <w:tab w:val="left" w:pos="977"/>
        </w:tabs>
        <w:autoSpaceDE w:val="0"/>
        <w:autoSpaceDN w:val="0"/>
        <w:ind w:left="567" w:hanging="283"/>
        <w:contextualSpacing w:val="0"/>
        <w:rPr>
          <w:rFonts w:cs="Arial"/>
          <w:szCs w:val="21"/>
          <w:lang w:val="en-US"/>
        </w:rPr>
      </w:pPr>
      <w:r w:rsidRPr="00D53B04">
        <w:rPr>
          <w:rFonts w:cs="Arial"/>
          <w:szCs w:val="21"/>
          <w:lang w:val="en-US"/>
        </w:rPr>
        <w:t>Strict compliance with national regulations on child labor by the work companies: Prohibition of employment of persons under 18 years of age;</w:t>
      </w:r>
    </w:p>
    <w:p w14:paraId="3AD55AA3" w14:textId="77777777" w:rsidR="001977A4" w:rsidRPr="00D53B04" w:rsidRDefault="001977A4" w:rsidP="002378EA">
      <w:pPr>
        <w:pStyle w:val="Paragraphedeliste"/>
        <w:widowControl w:val="0"/>
        <w:numPr>
          <w:ilvl w:val="0"/>
          <w:numId w:val="111"/>
        </w:numPr>
        <w:tabs>
          <w:tab w:val="left" w:pos="977"/>
        </w:tabs>
        <w:autoSpaceDE w:val="0"/>
        <w:autoSpaceDN w:val="0"/>
        <w:ind w:left="567" w:hanging="283"/>
        <w:contextualSpacing w:val="0"/>
        <w:rPr>
          <w:rFonts w:cs="Arial"/>
          <w:szCs w:val="21"/>
          <w:lang w:val="en-US"/>
        </w:rPr>
      </w:pPr>
      <w:r w:rsidRPr="00D53B04">
        <w:rPr>
          <w:rFonts w:cs="Arial"/>
          <w:szCs w:val="21"/>
          <w:lang w:val="en-US"/>
        </w:rPr>
        <w:t>Implementation of incidental discovery procedures in the event of the assignment of cultural property, and unexploded ordnance.</w:t>
      </w:r>
    </w:p>
    <w:p w14:paraId="07C3DE00" w14:textId="77777777" w:rsidR="005257AB" w:rsidRDefault="005257AB" w:rsidP="003C7971">
      <w:pPr>
        <w:pStyle w:val="Corpsdetexte"/>
        <w:spacing w:line="276" w:lineRule="auto"/>
        <w:rPr>
          <w:rFonts w:cs="Arial"/>
          <w:sz w:val="21"/>
          <w:szCs w:val="21"/>
          <w:lang w:val="en-US"/>
        </w:rPr>
      </w:pPr>
    </w:p>
    <w:p w14:paraId="2602FBE7" w14:textId="77777777" w:rsidR="001977A4" w:rsidRPr="00D53B04" w:rsidRDefault="001977A4" w:rsidP="003C7971">
      <w:pPr>
        <w:pStyle w:val="Corpsdetexte"/>
        <w:spacing w:line="276" w:lineRule="auto"/>
        <w:rPr>
          <w:rFonts w:cs="Arial"/>
          <w:sz w:val="21"/>
          <w:szCs w:val="21"/>
          <w:lang w:val="en-US"/>
        </w:rPr>
      </w:pPr>
      <w:r w:rsidRPr="00D53B04">
        <w:rPr>
          <w:rFonts w:cs="Arial"/>
          <w:sz w:val="21"/>
          <w:szCs w:val="21"/>
          <w:lang w:val="en-US"/>
        </w:rPr>
        <w:t>These</w:t>
      </w:r>
      <w:r w:rsidRPr="00D53B04">
        <w:rPr>
          <w:rFonts w:cs="Arial"/>
          <w:spacing w:val="-16"/>
          <w:sz w:val="21"/>
          <w:szCs w:val="21"/>
          <w:lang w:val="en-US"/>
        </w:rPr>
        <w:t xml:space="preserve"> </w:t>
      </w:r>
      <w:r w:rsidRPr="00D53B04">
        <w:rPr>
          <w:rFonts w:cs="Arial"/>
          <w:sz w:val="21"/>
          <w:szCs w:val="21"/>
          <w:lang w:val="en-US"/>
        </w:rPr>
        <w:t>measures</w:t>
      </w:r>
      <w:r w:rsidRPr="00D53B04">
        <w:rPr>
          <w:rFonts w:cs="Arial"/>
          <w:spacing w:val="-13"/>
          <w:sz w:val="21"/>
          <w:szCs w:val="21"/>
          <w:lang w:val="en-US"/>
        </w:rPr>
        <w:t xml:space="preserve"> </w:t>
      </w:r>
      <w:r w:rsidRPr="00D53B04">
        <w:rPr>
          <w:rFonts w:cs="Arial"/>
          <w:sz w:val="21"/>
          <w:szCs w:val="21"/>
          <w:lang w:val="en-US"/>
        </w:rPr>
        <w:t>are</w:t>
      </w:r>
      <w:r w:rsidRPr="00D53B04">
        <w:rPr>
          <w:rFonts w:cs="Arial"/>
          <w:spacing w:val="-12"/>
          <w:sz w:val="21"/>
          <w:szCs w:val="21"/>
          <w:lang w:val="en-US"/>
        </w:rPr>
        <w:t xml:space="preserve"> </w:t>
      </w:r>
      <w:r w:rsidRPr="00D53B04">
        <w:rPr>
          <w:rFonts w:cs="Arial"/>
          <w:sz w:val="21"/>
          <w:szCs w:val="21"/>
          <w:lang w:val="en-US"/>
        </w:rPr>
        <w:t>contained</w:t>
      </w:r>
      <w:r w:rsidRPr="00D53B04">
        <w:rPr>
          <w:rFonts w:cs="Arial"/>
          <w:spacing w:val="-13"/>
          <w:sz w:val="21"/>
          <w:szCs w:val="21"/>
          <w:lang w:val="en-US"/>
        </w:rPr>
        <w:t xml:space="preserve"> </w:t>
      </w:r>
      <w:r w:rsidRPr="00D53B04">
        <w:rPr>
          <w:rFonts w:cs="Arial"/>
          <w:sz w:val="21"/>
          <w:szCs w:val="21"/>
          <w:lang w:val="en-US"/>
        </w:rPr>
        <w:t>in</w:t>
      </w:r>
      <w:r w:rsidRPr="00D53B04">
        <w:rPr>
          <w:rFonts w:cs="Arial"/>
          <w:spacing w:val="-12"/>
          <w:sz w:val="21"/>
          <w:szCs w:val="21"/>
          <w:lang w:val="en-US"/>
        </w:rPr>
        <w:t xml:space="preserve"> </w:t>
      </w:r>
      <w:r w:rsidRPr="00D53B04">
        <w:rPr>
          <w:rFonts w:cs="Arial"/>
          <w:sz w:val="21"/>
          <w:szCs w:val="21"/>
          <w:lang w:val="en-US"/>
        </w:rPr>
        <w:t>the</w:t>
      </w:r>
      <w:r w:rsidRPr="00D53B04">
        <w:rPr>
          <w:rFonts w:cs="Arial"/>
          <w:spacing w:val="-14"/>
          <w:sz w:val="21"/>
          <w:szCs w:val="21"/>
          <w:lang w:val="en-US"/>
        </w:rPr>
        <w:t xml:space="preserve"> </w:t>
      </w:r>
      <w:r w:rsidRPr="00D53B04">
        <w:rPr>
          <w:rFonts w:cs="Arial"/>
          <w:sz w:val="21"/>
          <w:szCs w:val="21"/>
          <w:lang w:val="en-US"/>
        </w:rPr>
        <w:t>Environmental</w:t>
      </w:r>
      <w:r w:rsidRPr="00D53B04">
        <w:rPr>
          <w:rFonts w:cs="Arial"/>
          <w:spacing w:val="-15"/>
          <w:sz w:val="21"/>
          <w:szCs w:val="21"/>
          <w:lang w:val="en-US"/>
        </w:rPr>
        <w:t xml:space="preserve"> </w:t>
      </w:r>
      <w:r w:rsidRPr="00D53B04">
        <w:rPr>
          <w:rFonts w:cs="Arial"/>
          <w:sz w:val="21"/>
          <w:szCs w:val="21"/>
          <w:lang w:val="en-US"/>
        </w:rPr>
        <w:t>and</w:t>
      </w:r>
      <w:r w:rsidRPr="00D53B04">
        <w:rPr>
          <w:rFonts w:cs="Arial"/>
          <w:spacing w:val="-12"/>
          <w:sz w:val="21"/>
          <w:szCs w:val="21"/>
          <w:lang w:val="en-US"/>
        </w:rPr>
        <w:t xml:space="preserve"> </w:t>
      </w:r>
      <w:r w:rsidRPr="00D53B04">
        <w:rPr>
          <w:rFonts w:cs="Arial"/>
          <w:sz w:val="21"/>
          <w:szCs w:val="21"/>
          <w:lang w:val="en-US"/>
        </w:rPr>
        <w:t>Social</w:t>
      </w:r>
      <w:r w:rsidRPr="00D53B04">
        <w:rPr>
          <w:rFonts w:cs="Arial"/>
          <w:spacing w:val="-15"/>
          <w:sz w:val="21"/>
          <w:szCs w:val="21"/>
          <w:lang w:val="en-US"/>
        </w:rPr>
        <w:t xml:space="preserve"> </w:t>
      </w:r>
      <w:r w:rsidR="003C7971" w:rsidRPr="00D53B04">
        <w:rPr>
          <w:rFonts w:cs="Arial"/>
          <w:sz w:val="21"/>
          <w:szCs w:val="21"/>
          <w:lang w:val="en-US"/>
        </w:rPr>
        <w:t>Risk and Impact Management Procedures (PGRIES)</w:t>
      </w:r>
      <w:r w:rsidRPr="00D53B04">
        <w:rPr>
          <w:rFonts w:cs="Arial"/>
          <w:sz w:val="21"/>
          <w:szCs w:val="21"/>
          <w:lang w:val="en-US"/>
        </w:rPr>
        <w:t xml:space="preserve"> that will be included in the Project Implementation</w:t>
      </w:r>
      <w:r w:rsidRPr="00D53B04">
        <w:rPr>
          <w:rFonts w:cs="Arial"/>
          <w:spacing w:val="-5"/>
          <w:sz w:val="21"/>
          <w:szCs w:val="21"/>
          <w:lang w:val="en-US"/>
        </w:rPr>
        <w:t xml:space="preserve"> </w:t>
      </w:r>
      <w:r w:rsidRPr="00D53B04">
        <w:rPr>
          <w:rFonts w:cs="Arial"/>
          <w:sz w:val="21"/>
          <w:szCs w:val="21"/>
          <w:lang w:val="en-US"/>
        </w:rPr>
        <w:t>Manual.</w:t>
      </w:r>
    </w:p>
    <w:p w14:paraId="5B869AD8" w14:textId="77777777" w:rsidR="001977A4" w:rsidRPr="00D53B04" w:rsidRDefault="001977A4" w:rsidP="001977A4">
      <w:pPr>
        <w:pStyle w:val="Corpsdetexte"/>
        <w:spacing w:line="276" w:lineRule="auto"/>
        <w:rPr>
          <w:rFonts w:cs="Arial"/>
          <w:sz w:val="21"/>
          <w:szCs w:val="21"/>
          <w:lang w:val="en-US"/>
        </w:rPr>
      </w:pPr>
    </w:p>
    <w:p w14:paraId="55EF26B6" w14:textId="77777777" w:rsidR="001977A4" w:rsidRPr="00D53B04" w:rsidRDefault="001977A4" w:rsidP="002378EA">
      <w:pPr>
        <w:pStyle w:val="Paragraphedeliste"/>
        <w:widowControl w:val="0"/>
        <w:numPr>
          <w:ilvl w:val="1"/>
          <w:numId w:val="112"/>
        </w:numPr>
        <w:tabs>
          <w:tab w:val="left" w:pos="851"/>
        </w:tabs>
        <w:autoSpaceDE w:val="0"/>
        <w:autoSpaceDN w:val="0"/>
        <w:ind w:left="0" w:firstLine="284"/>
        <w:contextualSpacing w:val="0"/>
        <w:rPr>
          <w:rFonts w:cs="Arial"/>
          <w:i/>
          <w:szCs w:val="21"/>
          <w:lang w:val="en-US"/>
        </w:rPr>
      </w:pPr>
      <w:r w:rsidRPr="00D53B04">
        <w:rPr>
          <w:rFonts w:cs="Arial"/>
          <w:i/>
          <w:szCs w:val="21"/>
          <w:u w:val="single"/>
          <w:lang w:val="en-US"/>
        </w:rPr>
        <w:t>Procedure for environmental and social management of eligible</w:t>
      </w:r>
      <w:r w:rsidRPr="00D53B04">
        <w:rPr>
          <w:rFonts w:cs="Arial"/>
          <w:i/>
          <w:spacing w:val="-13"/>
          <w:szCs w:val="21"/>
          <w:u w:val="single"/>
          <w:lang w:val="en-US"/>
        </w:rPr>
        <w:t xml:space="preserve"> </w:t>
      </w:r>
      <w:r w:rsidRPr="00D53B04">
        <w:rPr>
          <w:rFonts w:cs="Arial"/>
          <w:i/>
          <w:szCs w:val="21"/>
          <w:u w:val="single"/>
          <w:lang w:val="en-US"/>
        </w:rPr>
        <w:t>sub-projects</w:t>
      </w:r>
    </w:p>
    <w:p w14:paraId="52ACF094" w14:textId="77777777" w:rsidR="001977A4" w:rsidRPr="00D53B04" w:rsidRDefault="001977A4" w:rsidP="001977A4">
      <w:pPr>
        <w:pStyle w:val="Corpsdetexte"/>
        <w:spacing w:line="276" w:lineRule="auto"/>
        <w:rPr>
          <w:rFonts w:cs="Arial"/>
          <w:i/>
          <w:sz w:val="21"/>
          <w:szCs w:val="21"/>
          <w:lang w:val="en-US"/>
        </w:rPr>
      </w:pPr>
    </w:p>
    <w:p w14:paraId="4F963D26" w14:textId="77777777" w:rsidR="001977A4" w:rsidRPr="00D53B04" w:rsidRDefault="001977A4" w:rsidP="001977A4">
      <w:pPr>
        <w:pStyle w:val="Corpsdetexte"/>
        <w:spacing w:line="276" w:lineRule="auto"/>
        <w:rPr>
          <w:rFonts w:cs="Arial"/>
          <w:sz w:val="21"/>
          <w:szCs w:val="21"/>
          <w:lang w:val="en-US"/>
        </w:rPr>
      </w:pPr>
      <w:r w:rsidRPr="00D53B04">
        <w:rPr>
          <w:rFonts w:cs="Arial"/>
          <w:sz w:val="21"/>
          <w:szCs w:val="21"/>
          <w:lang w:val="en-US"/>
        </w:rPr>
        <w:t>The CGES includes a procedure for environmental and social selection of activities to be carried</w:t>
      </w:r>
      <w:r w:rsidRPr="00D53B04">
        <w:rPr>
          <w:rFonts w:cs="Arial"/>
          <w:spacing w:val="-7"/>
          <w:sz w:val="21"/>
          <w:szCs w:val="21"/>
          <w:lang w:val="en-US"/>
        </w:rPr>
        <w:t xml:space="preserve"> </w:t>
      </w:r>
      <w:r w:rsidRPr="00D53B04">
        <w:rPr>
          <w:rFonts w:cs="Arial"/>
          <w:sz w:val="21"/>
          <w:szCs w:val="21"/>
          <w:lang w:val="en-US"/>
        </w:rPr>
        <w:t>out</w:t>
      </w:r>
      <w:r w:rsidRPr="00D53B04">
        <w:rPr>
          <w:rFonts w:cs="Arial"/>
          <w:spacing w:val="-4"/>
          <w:sz w:val="21"/>
          <w:szCs w:val="21"/>
          <w:lang w:val="en-US"/>
        </w:rPr>
        <w:t xml:space="preserve"> </w:t>
      </w:r>
      <w:r w:rsidRPr="00D53B04">
        <w:rPr>
          <w:rFonts w:cs="Arial"/>
          <w:sz w:val="21"/>
          <w:szCs w:val="21"/>
          <w:lang w:val="en-US"/>
        </w:rPr>
        <w:t>under</w:t>
      </w:r>
      <w:r w:rsidRPr="00D53B04">
        <w:rPr>
          <w:rFonts w:cs="Arial"/>
          <w:spacing w:val="-8"/>
          <w:sz w:val="21"/>
          <w:szCs w:val="21"/>
          <w:lang w:val="en-US"/>
        </w:rPr>
        <w:t xml:space="preserve"> </w:t>
      </w:r>
      <w:r w:rsidRPr="00D53B04">
        <w:rPr>
          <w:rFonts w:cs="Arial"/>
          <w:sz w:val="21"/>
          <w:szCs w:val="21"/>
          <w:lang w:val="en-US"/>
        </w:rPr>
        <w:t>the</w:t>
      </w:r>
      <w:r w:rsidRPr="00D53B04">
        <w:rPr>
          <w:rFonts w:cs="Arial"/>
          <w:spacing w:val="-5"/>
          <w:sz w:val="21"/>
          <w:szCs w:val="21"/>
          <w:lang w:val="en-US"/>
        </w:rPr>
        <w:t xml:space="preserve"> </w:t>
      </w:r>
      <w:r w:rsidR="00540C2E" w:rsidRPr="00D53B04">
        <w:rPr>
          <w:rFonts w:cs="Arial"/>
          <w:sz w:val="21"/>
          <w:szCs w:val="21"/>
          <w:lang w:val="en-US"/>
        </w:rPr>
        <w:t>PNDA</w:t>
      </w:r>
      <w:r w:rsidRPr="00D53B04">
        <w:rPr>
          <w:rFonts w:cs="Arial"/>
          <w:spacing w:val="-7"/>
          <w:sz w:val="21"/>
          <w:szCs w:val="21"/>
          <w:lang w:val="en-US"/>
        </w:rPr>
        <w:t xml:space="preserve"> </w:t>
      </w:r>
      <w:r w:rsidRPr="00D53B04">
        <w:rPr>
          <w:rFonts w:cs="Arial"/>
          <w:sz w:val="21"/>
          <w:szCs w:val="21"/>
          <w:lang w:val="en-US"/>
        </w:rPr>
        <w:t>financing,</w:t>
      </w:r>
      <w:r w:rsidRPr="00D53B04">
        <w:rPr>
          <w:rFonts w:cs="Arial"/>
          <w:spacing w:val="-3"/>
          <w:sz w:val="21"/>
          <w:szCs w:val="21"/>
          <w:lang w:val="en-US"/>
        </w:rPr>
        <w:t xml:space="preserve"> </w:t>
      </w:r>
      <w:r w:rsidRPr="00D53B04">
        <w:rPr>
          <w:rFonts w:cs="Arial"/>
          <w:sz w:val="21"/>
          <w:szCs w:val="21"/>
          <w:lang w:val="en-US"/>
        </w:rPr>
        <w:t>which</w:t>
      </w:r>
      <w:r w:rsidRPr="00D53B04">
        <w:rPr>
          <w:rFonts w:cs="Arial"/>
          <w:spacing w:val="-6"/>
          <w:sz w:val="21"/>
          <w:szCs w:val="21"/>
          <w:lang w:val="en-US"/>
        </w:rPr>
        <w:t xml:space="preserve"> </w:t>
      </w:r>
      <w:r w:rsidRPr="00D53B04">
        <w:rPr>
          <w:rFonts w:cs="Arial"/>
          <w:sz w:val="21"/>
          <w:szCs w:val="21"/>
          <w:lang w:val="en-US"/>
        </w:rPr>
        <w:t>guides</w:t>
      </w:r>
      <w:r w:rsidRPr="00D53B04">
        <w:rPr>
          <w:rFonts w:cs="Arial"/>
          <w:spacing w:val="-8"/>
          <w:sz w:val="21"/>
          <w:szCs w:val="21"/>
          <w:lang w:val="en-US"/>
        </w:rPr>
        <w:t xml:space="preserve"> </w:t>
      </w:r>
      <w:r w:rsidRPr="00D53B04">
        <w:rPr>
          <w:rFonts w:cs="Arial"/>
          <w:sz w:val="21"/>
          <w:szCs w:val="21"/>
          <w:lang w:val="en-US"/>
        </w:rPr>
        <w:t>future</w:t>
      </w:r>
      <w:r w:rsidRPr="00D53B04">
        <w:rPr>
          <w:rFonts w:cs="Arial"/>
          <w:spacing w:val="-6"/>
          <w:sz w:val="21"/>
          <w:szCs w:val="21"/>
          <w:lang w:val="en-US"/>
        </w:rPr>
        <w:t xml:space="preserve"> </w:t>
      </w:r>
      <w:r w:rsidRPr="00D53B04">
        <w:rPr>
          <w:rFonts w:cs="Arial"/>
          <w:sz w:val="21"/>
          <w:szCs w:val="21"/>
          <w:lang w:val="en-US"/>
        </w:rPr>
        <w:t>interventions</w:t>
      </w:r>
      <w:r w:rsidRPr="00D53B04">
        <w:rPr>
          <w:rFonts w:cs="Arial"/>
          <w:spacing w:val="-5"/>
          <w:sz w:val="21"/>
          <w:szCs w:val="21"/>
          <w:lang w:val="en-US"/>
        </w:rPr>
        <w:t xml:space="preserve"> </w:t>
      </w:r>
      <w:r w:rsidRPr="00D53B04">
        <w:rPr>
          <w:rFonts w:cs="Arial"/>
          <w:sz w:val="21"/>
          <w:szCs w:val="21"/>
          <w:lang w:val="en-US"/>
        </w:rPr>
        <w:t>in</w:t>
      </w:r>
      <w:r w:rsidRPr="00D53B04">
        <w:rPr>
          <w:rFonts w:cs="Arial"/>
          <w:spacing w:val="-8"/>
          <w:sz w:val="21"/>
          <w:szCs w:val="21"/>
          <w:lang w:val="en-US"/>
        </w:rPr>
        <w:t xml:space="preserve"> </w:t>
      </w:r>
      <w:r w:rsidRPr="00D53B04">
        <w:rPr>
          <w:rFonts w:cs="Arial"/>
          <w:sz w:val="21"/>
          <w:szCs w:val="21"/>
          <w:lang w:val="en-US"/>
        </w:rPr>
        <w:t>terms</w:t>
      </w:r>
      <w:r w:rsidRPr="00D53B04">
        <w:rPr>
          <w:rFonts w:cs="Arial"/>
          <w:spacing w:val="-6"/>
          <w:sz w:val="21"/>
          <w:szCs w:val="21"/>
          <w:lang w:val="en-US"/>
        </w:rPr>
        <w:t xml:space="preserve"> </w:t>
      </w:r>
      <w:r w:rsidRPr="00D53B04">
        <w:rPr>
          <w:rFonts w:cs="Arial"/>
          <w:sz w:val="21"/>
          <w:szCs w:val="21"/>
          <w:lang w:val="en-US"/>
        </w:rPr>
        <w:t>of</w:t>
      </w:r>
      <w:r w:rsidRPr="00D53B04">
        <w:rPr>
          <w:rFonts w:cs="Arial"/>
          <w:spacing w:val="-4"/>
          <w:sz w:val="21"/>
          <w:szCs w:val="21"/>
          <w:lang w:val="en-US"/>
        </w:rPr>
        <w:t xml:space="preserve"> </w:t>
      </w:r>
      <w:r w:rsidRPr="00D53B04">
        <w:rPr>
          <w:rFonts w:cs="Arial"/>
          <w:sz w:val="21"/>
          <w:szCs w:val="21"/>
          <w:lang w:val="en-US"/>
        </w:rPr>
        <w:t>taking</w:t>
      </w:r>
      <w:r w:rsidRPr="00D53B04">
        <w:rPr>
          <w:rFonts w:cs="Arial"/>
          <w:spacing w:val="-4"/>
          <w:sz w:val="21"/>
          <w:szCs w:val="21"/>
          <w:lang w:val="en-US"/>
        </w:rPr>
        <w:t xml:space="preserve"> </w:t>
      </w:r>
      <w:r w:rsidRPr="00D53B04">
        <w:rPr>
          <w:rFonts w:cs="Arial"/>
          <w:sz w:val="21"/>
          <w:szCs w:val="21"/>
          <w:lang w:val="en-US"/>
        </w:rPr>
        <w:t>into account national environmental and social requirements and the World Bank's safeguard policies. The steps are as</w:t>
      </w:r>
      <w:r w:rsidRPr="00D53B04">
        <w:rPr>
          <w:rFonts w:cs="Arial"/>
          <w:spacing w:val="-2"/>
          <w:sz w:val="21"/>
          <w:szCs w:val="21"/>
          <w:lang w:val="en-US"/>
        </w:rPr>
        <w:t xml:space="preserve"> </w:t>
      </w:r>
      <w:r w:rsidRPr="00D53B04">
        <w:rPr>
          <w:rFonts w:cs="Arial"/>
          <w:sz w:val="21"/>
          <w:szCs w:val="21"/>
          <w:lang w:val="en-US"/>
        </w:rPr>
        <w:t>follows:</w:t>
      </w:r>
    </w:p>
    <w:p w14:paraId="51B4BD69" w14:textId="77777777" w:rsidR="001977A4" w:rsidRPr="00D53B04" w:rsidRDefault="001977A4" w:rsidP="001977A4">
      <w:pPr>
        <w:pStyle w:val="Corpsdetexte"/>
        <w:spacing w:line="276" w:lineRule="auto"/>
        <w:rPr>
          <w:rFonts w:cs="Arial"/>
          <w:sz w:val="21"/>
          <w:szCs w:val="21"/>
          <w:lang w:val="en-US"/>
        </w:rPr>
      </w:pPr>
    </w:p>
    <w:p w14:paraId="1DD3407C" w14:textId="77777777" w:rsidR="001977A4" w:rsidRPr="00D53B04" w:rsidRDefault="001977A4" w:rsidP="001977A4">
      <w:pPr>
        <w:pStyle w:val="Corpsdetexte"/>
        <w:spacing w:line="276" w:lineRule="auto"/>
        <w:rPr>
          <w:rFonts w:cs="Arial"/>
          <w:sz w:val="21"/>
          <w:szCs w:val="21"/>
          <w:lang w:val="en-US"/>
        </w:rPr>
      </w:pPr>
      <w:r w:rsidRPr="00D53B04">
        <w:rPr>
          <w:rFonts w:cs="Arial"/>
          <w:sz w:val="21"/>
          <w:szCs w:val="21"/>
          <w:u w:val="single"/>
          <w:lang w:val="en-US"/>
        </w:rPr>
        <w:t>Selection of sub-projects</w:t>
      </w:r>
    </w:p>
    <w:p w14:paraId="4C5D98A2" w14:textId="77777777" w:rsidR="001977A4" w:rsidRPr="00D53B04" w:rsidRDefault="001977A4" w:rsidP="001977A4">
      <w:pPr>
        <w:pStyle w:val="Corpsdetexte"/>
        <w:spacing w:line="276" w:lineRule="auto"/>
        <w:rPr>
          <w:rFonts w:cs="Arial"/>
          <w:sz w:val="21"/>
          <w:szCs w:val="21"/>
          <w:lang w:val="en-US"/>
        </w:rPr>
      </w:pPr>
    </w:p>
    <w:p w14:paraId="3DB5528C"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Identification of the location/site and main technical characteristics of the sub-project ;</w:t>
      </w:r>
    </w:p>
    <w:p w14:paraId="702C9A93"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Environmental and social selection (screening-in of forms), and determination of the level of environmental and social risk, as well as the type of specific risk and impact management instrument to be prepared ;</w:t>
      </w:r>
    </w:p>
    <w:p w14:paraId="7A32F1CF"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Approval of the classification.</w:t>
      </w:r>
    </w:p>
    <w:p w14:paraId="0F738E82" w14:textId="77777777" w:rsidR="001977A4" w:rsidRPr="00D53B04" w:rsidRDefault="001977A4" w:rsidP="001977A4">
      <w:pPr>
        <w:pStyle w:val="Corpsdetexte"/>
        <w:spacing w:line="276" w:lineRule="auto"/>
        <w:rPr>
          <w:rFonts w:cs="Arial"/>
          <w:sz w:val="21"/>
          <w:szCs w:val="21"/>
        </w:rPr>
      </w:pPr>
    </w:p>
    <w:p w14:paraId="5F2ED1E3" w14:textId="25B3B0D2" w:rsidR="001977A4" w:rsidRPr="00D53B04" w:rsidRDefault="001977A4" w:rsidP="001977A4">
      <w:pPr>
        <w:pStyle w:val="Corpsdetexte"/>
        <w:spacing w:line="276" w:lineRule="auto"/>
        <w:rPr>
          <w:rFonts w:cs="Arial"/>
          <w:sz w:val="21"/>
          <w:szCs w:val="21"/>
          <w:lang w:val="en-US"/>
        </w:rPr>
      </w:pPr>
      <w:r w:rsidRPr="00D53B04">
        <w:rPr>
          <w:rFonts w:cs="Arial"/>
          <w:sz w:val="21"/>
          <w:szCs w:val="21"/>
          <w:u w:val="single"/>
          <w:lang w:val="en-US"/>
        </w:rPr>
        <w:t>Process for the preparation</w:t>
      </w:r>
      <w:r w:rsidR="00C83419" w:rsidRPr="00D53B04">
        <w:rPr>
          <w:rFonts w:cs="Arial"/>
          <w:sz w:val="21"/>
          <w:szCs w:val="21"/>
          <w:u w:val="single"/>
          <w:lang w:val="en-US"/>
        </w:rPr>
        <w:t xml:space="preserve"> of specific instruments (ESIA/</w:t>
      </w:r>
      <w:r w:rsidRPr="00D53B04">
        <w:rPr>
          <w:rFonts w:cs="Arial"/>
          <w:sz w:val="21"/>
          <w:szCs w:val="21"/>
          <w:u w:val="single"/>
          <w:lang w:val="en-US"/>
        </w:rPr>
        <w:t>E</w:t>
      </w:r>
      <w:r w:rsidR="00C83419" w:rsidRPr="00D53B04">
        <w:rPr>
          <w:rFonts w:cs="Arial"/>
          <w:sz w:val="21"/>
          <w:szCs w:val="21"/>
          <w:u w:val="single"/>
          <w:lang w:val="en-US"/>
        </w:rPr>
        <w:t>S</w:t>
      </w:r>
      <w:r w:rsidRPr="00D53B04">
        <w:rPr>
          <w:rFonts w:cs="Arial"/>
          <w:sz w:val="21"/>
          <w:szCs w:val="21"/>
          <w:u w:val="single"/>
          <w:lang w:val="en-US"/>
        </w:rPr>
        <w:t>MP) for the environmental and</w:t>
      </w:r>
      <w:r w:rsidRPr="00D53B04">
        <w:rPr>
          <w:rFonts w:cs="Arial"/>
          <w:sz w:val="21"/>
          <w:szCs w:val="21"/>
          <w:lang w:val="en-US"/>
        </w:rPr>
        <w:t xml:space="preserve"> </w:t>
      </w:r>
      <w:r w:rsidRPr="00D53B04">
        <w:rPr>
          <w:rFonts w:cs="Arial"/>
          <w:sz w:val="21"/>
          <w:szCs w:val="21"/>
          <w:u w:val="single"/>
          <w:lang w:val="en-US"/>
        </w:rPr>
        <w:t>social risk management of sub-projects</w:t>
      </w:r>
    </w:p>
    <w:p w14:paraId="2236E84E" w14:textId="77777777" w:rsidR="001977A4" w:rsidRPr="00D53B04" w:rsidRDefault="001977A4" w:rsidP="001977A4">
      <w:pPr>
        <w:pStyle w:val="Corpsdetexte"/>
        <w:spacing w:line="276" w:lineRule="auto"/>
        <w:rPr>
          <w:rFonts w:cs="Arial"/>
          <w:sz w:val="21"/>
          <w:szCs w:val="21"/>
          <w:lang w:val="en-US"/>
        </w:rPr>
      </w:pPr>
    </w:p>
    <w:p w14:paraId="2F7AAEF6"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Preparation and approval of Terms of Reference ;</w:t>
      </w:r>
    </w:p>
    <w:p w14:paraId="1096D6CE"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Carrying out the study including public consultation (beneficiaries, affected persons, stakeholders) ;</w:t>
      </w:r>
    </w:p>
    <w:p w14:paraId="05BB6299"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Validation of the document and obtaining the environmental certificate ;</w:t>
      </w:r>
    </w:p>
    <w:p w14:paraId="00C23F2F"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Publication of the document ;</w:t>
      </w:r>
    </w:p>
    <w:p w14:paraId="36FE9902"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Integration in the tender documents (DAO) of the sub-project, of all the environmental and social measures of the works phase that can be contracted with the Company ;</w:t>
      </w:r>
    </w:p>
    <w:p w14:paraId="6040BEA3"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Approval of the PGES-Enterprise by the Control Mission ;</w:t>
      </w:r>
    </w:p>
    <w:p w14:paraId="2EDE6183"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Execution/implementation of measures not contracted with the construction company ;</w:t>
      </w:r>
    </w:p>
    <w:p w14:paraId="244FA074"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Internal and external monitoring of the implementation of environmental and social measures;</w:t>
      </w:r>
    </w:p>
    <w:p w14:paraId="1DCB4F05"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Dissemination of the monitoring report (internal and external) ;</w:t>
      </w:r>
    </w:p>
    <w:p w14:paraId="1BA3343B"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Environmental and social monitoring (internal and external) ;</w:t>
      </w:r>
    </w:p>
    <w:p w14:paraId="5F1784DD"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Dissemination of the monitoring report (internal and external) ;</w:t>
      </w:r>
    </w:p>
    <w:p w14:paraId="2450EC6D"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Capacity building of the actors in the implementation of Environmental and Social Management Plan ;</w:t>
      </w:r>
    </w:p>
    <w:p w14:paraId="4F8AD8C7"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Audit of the implementation of environmental and social measures.</w:t>
      </w:r>
    </w:p>
    <w:p w14:paraId="1CAB3990" w14:textId="77777777" w:rsidR="001977A4" w:rsidRDefault="001977A4" w:rsidP="001977A4">
      <w:pPr>
        <w:pStyle w:val="Corpsdetexte"/>
        <w:spacing w:line="276" w:lineRule="auto"/>
        <w:rPr>
          <w:rFonts w:cs="Arial"/>
          <w:sz w:val="21"/>
          <w:szCs w:val="21"/>
          <w:lang w:val="en-US"/>
        </w:rPr>
      </w:pPr>
    </w:p>
    <w:p w14:paraId="6FCC1909" w14:textId="77777777" w:rsidR="001977A4" w:rsidRPr="00D53B04" w:rsidRDefault="001977A4" w:rsidP="002378EA">
      <w:pPr>
        <w:pStyle w:val="Paragraphedeliste"/>
        <w:widowControl w:val="0"/>
        <w:numPr>
          <w:ilvl w:val="1"/>
          <w:numId w:val="112"/>
        </w:numPr>
        <w:tabs>
          <w:tab w:val="left" w:pos="851"/>
        </w:tabs>
        <w:autoSpaceDE w:val="0"/>
        <w:autoSpaceDN w:val="0"/>
        <w:ind w:left="0" w:firstLine="284"/>
        <w:contextualSpacing w:val="0"/>
        <w:rPr>
          <w:rFonts w:cs="Arial"/>
          <w:i/>
          <w:szCs w:val="21"/>
          <w:u w:val="single"/>
          <w:lang w:val="en-US"/>
        </w:rPr>
      </w:pPr>
      <w:r w:rsidRPr="00D53B04">
        <w:rPr>
          <w:rFonts w:cs="Arial"/>
          <w:i/>
          <w:szCs w:val="21"/>
          <w:u w:val="single"/>
          <w:lang w:val="en-US"/>
        </w:rPr>
        <w:lastRenderedPageBreak/>
        <w:t>Main indicators for the implementation of the CGES</w:t>
      </w:r>
    </w:p>
    <w:p w14:paraId="03E9524E" w14:textId="77777777" w:rsidR="001977A4" w:rsidRPr="00D53B04" w:rsidRDefault="001977A4" w:rsidP="001977A4">
      <w:pPr>
        <w:pStyle w:val="Corpsdetexte"/>
        <w:spacing w:line="276" w:lineRule="auto"/>
        <w:rPr>
          <w:rFonts w:cs="Arial"/>
          <w:i/>
          <w:sz w:val="21"/>
          <w:szCs w:val="21"/>
          <w:lang w:val="en-US"/>
        </w:rPr>
      </w:pPr>
    </w:p>
    <w:p w14:paraId="29071A55" w14:textId="00284806" w:rsidR="001977A4" w:rsidRPr="00D53B04" w:rsidRDefault="001977A4" w:rsidP="001977A4">
      <w:pPr>
        <w:pStyle w:val="Corpsdetexte"/>
        <w:spacing w:line="276" w:lineRule="auto"/>
        <w:rPr>
          <w:rFonts w:cs="Arial"/>
          <w:sz w:val="21"/>
          <w:szCs w:val="21"/>
        </w:rPr>
      </w:pPr>
      <w:r w:rsidRPr="00D53B04">
        <w:rPr>
          <w:rFonts w:cs="Arial"/>
          <w:sz w:val="21"/>
          <w:szCs w:val="21"/>
          <w:lang w:val="en-US"/>
        </w:rPr>
        <w:t xml:space="preserve">The monitoring program will describe the items to be monitored, monitoring methods/devices, monitoring responsibilities, monitoring period. </w:t>
      </w:r>
      <w:r w:rsidRPr="00D53B04">
        <w:rPr>
          <w:rFonts w:cs="Arial"/>
          <w:sz w:val="21"/>
          <w:szCs w:val="21"/>
        </w:rPr>
        <w:t>To this end, the main indicators selected are :</w:t>
      </w:r>
    </w:p>
    <w:p w14:paraId="1089F7DD" w14:textId="77777777" w:rsidR="001977A4" w:rsidRPr="00D53B04" w:rsidRDefault="001977A4" w:rsidP="001977A4">
      <w:pPr>
        <w:pStyle w:val="Corpsdetexte"/>
        <w:spacing w:line="276" w:lineRule="auto"/>
        <w:rPr>
          <w:rFonts w:cs="Arial"/>
          <w:sz w:val="21"/>
          <w:szCs w:val="21"/>
        </w:rPr>
      </w:pPr>
    </w:p>
    <w:p w14:paraId="17F6899E"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Strategic indicators to be monitored by the Project Steering Committee ;</w:t>
      </w:r>
    </w:p>
    <w:p w14:paraId="680A2BF1"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Effectiveness of environmental and social screening of program activities ;</w:t>
      </w:r>
    </w:p>
    <w:p w14:paraId="6944A992"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Effectiveness of environmental monitoring and reporting;</w:t>
      </w:r>
    </w:p>
    <w:p w14:paraId="0A2A2AE5"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Implementation of CGES training/awareness programs ;</w:t>
      </w:r>
    </w:p>
    <w:p w14:paraId="0EBC5967"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Indicators to be tracked by ESS and SSS/</w:t>
      </w:r>
      <w:r w:rsidR="00540C2E" w:rsidRPr="00D53B04">
        <w:rPr>
          <w:rFonts w:cs="Arial"/>
          <w:szCs w:val="21"/>
          <w:lang w:val="en-US"/>
        </w:rPr>
        <w:t>PNDA</w:t>
      </w:r>
      <w:r w:rsidRPr="00D53B04">
        <w:rPr>
          <w:rFonts w:cs="Arial"/>
          <w:szCs w:val="21"/>
          <w:lang w:val="en-US"/>
        </w:rPr>
        <w:t xml:space="preserve"> ;</w:t>
      </w:r>
    </w:p>
    <w:p w14:paraId="6ABE7F76"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Effectiveness of the insertion of environmental clauses in the execution files ;</w:t>
      </w:r>
    </w:p>
    <w:p w14:paraId="292CB0CE"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Percentage of companies complying with environmental regulations on their construction sites ;</w:t>
      </w:r>
    </w:p>
    <w:p w14:paraId="328787A2"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Number of actors trained/aware in environmental and social management ;</w:t>
      </w:r>
    </w:p>
    <w:p w14:paraId="146B1F8E"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Level of involvement of the Provincial Coordination of the Environment (CPE) in the monitoring of the implementation of the activities ;</w:t>
      </w:r>
    </w:p>
    <w:p w14:paraId="6CA64BEC"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Number of awareness campaigns ;</w:t>
      </w:r>
    </w:p>
    <w:p w14:paraId="42BB858F"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Regularity and effectiveness of proximity monitoring;</w:t>
      </w:r>
    </w:p>
    <w:p w14:paraId="2EFF9D49"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Number of ESIA sub-projects with ESMPs implemented ;</w:t>
      </w:r>
    </w:p>
    <w:p w14:paraId="1F41C74C"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Number of training/awareness sessions held ;</w:t>
      </w:r>
    </w:p>
    <w:p w14:paraId="398776EA"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Number of environmental monitoring/assessment missions ;</w:t>
      </w:r>
    </w:p>
    <w:p w14:paraId="1CE9D3B7"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Number of jobs created locally (local labour used for the work) ;</w:t>
      </w:r>
    </w:p>
    <w:p w14:paraId="516BCBC0"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Number of indigenous populations and camps located in the project area ;</w:t>
      </w:r>
    </w:p>
    <w:p w14:paraId="2F746E66"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Number of people affected and compensated by the Project ;</w:t>
      </w:r>
    </w:p>
    <w:p w14:paraId="20BC1D3E"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Number of training sessions for GBV workers, disaggregated by sex ;</w:t>
      </w:r>
    </w:p>
    <w:p w14:paraId="6BBA935C"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Number of retraining sessions for workers in GBV ;</w:t>
      </w:r>
    </w:p>
    <w:p w14:paraId="6FB42755"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Pre- and post-test results of GBV training participants;</w:t>
      </w:r>
    </w:p>
    <w:p w14:paraId="6D55CBE8"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 of EAS/HS cases referred to management services ;</w:t>
      </w:r>
    </w:p>
    <w:p w14:paraId="0F7C7001"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of HSA/HS cases resolved within the time frame specified in the PPM ;</w:t>
      </w:r>
    </w:p>
    <w:p w14:paraId="33E19F6B"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of cases of HSA/HS not resolved within the time frame specified in the PGM ;</w:t>
      </w:r>
    </w:p>
    <w:p w14:paraId="71ADA987"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Average time in the PGM for resolution of EAS/HS cases</w:t>
      </w:r>
    </w:p>
    <w:p w14:paraId="2E4DA232"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Number of awareness sessions on EAS/HS and access to PGM ;</w:t>
      </w:r>
    </w:p>
    <w:p w14:paraId="73541F45"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szCs w:val="21"/>
          <w:lang w:val="en-US"/>
        </w:rPr>
      </w:pPr>
      <w:r w:rsidRPr="00D53B04">
        <w:rPr>
          <w:rFonts w:cs="Arial"/>
          <w:szCs w:val="21"/>
          <w:lang w:val="en-US"/>
        </w:rPr>
        <w:t>Number of target populations disaggregated by sex and age.</w:t>
      </w:r>
    </w:p>
    <w:p w14:paraId="7D40825D" w14:textId="77777777" w:rsidR="006551F9" w:rsidRPr="00D53B04" w:rsidRDefault="006551F9" w:rsidP="001977A4">
      <w:pPr>
        <w:pStyle w:val="Corpsdetexte"/>
        <w:spacing w:line="276" w:lineRule="auto"/>
        <w:rPr>
          <w:rFonts w:cs="Arial"/>
          <w:sz w:val="21"/>
          <w:szCs w:val="21"/>
          <w:u w:val="single"/>
          <w:lang w:val="en-US"/>
        </w:rPr>
      </w:pPr>
    </w:p>
    <w:p w14:paraId="2ED623FF" w14:textId="77777777" w:rsidR="001977A4" w:rsidRPr="00D53B04" w:rsidRDefault="001977A4" w:rsidP="001977A4">
      <w:pPr>
        <w:pStyle w:val="Corpsdetexte"/>
        <w:spacing w:line="276" w:lineRule="auto"/>
        <w:rPr>
          <w:rFonts w:cs="Arial"/>
          <w:sz w:val="21"/>
          <w:szCs w:val="21"/>
          <w:lang w:val="en-US"/>
        </w:rPr>
      </w:pPr>
      <w:r w:rsidRPr="00D53B04">
        <w:rPr>
          <w:rFonts w:cs="Arial"/>
          <w:sz w:val="21"/>
          <w:szCs w:val="21"/>
          <w:u w:val="single"/>
          <w:lang w:val="en-US"/>
        </w:rPr>
        <w:t xml:space="preserve">Institutional arrangements for the implementation of </w:t>
      </w:r>
      <w:r w:rsidR="003C7971" w:rsidRPr="00D53B04">
        <w:rPr>
          <w:rFonts w:cs="Arial"/>
          <w:sz w:val="21"/>
          <w:szCs w:val="21"/>
          <w:u w:val="single"/>
          <w:lang w:val="en-US"/>
        </w:rPr>
        <w:t>Environmental and Social Risk and Impact Management Procedures (ESRMP)</w:t>
      </w:r>
      <w:r w:rsidRPr="00D53B04">
        <w:rPr>
          <w:rFonts w:cs="Arial"/>
          <w:sz w:val="21"/>
          <w:szCs w:val="21"/>
          <w:u w:val="single"/>
          <w:lang w:val="en-US"/>
        </w:rPr>
        <w:t>:</w:t>
      </w:r>
    </w:p>
    <w:p w14:paraId="682FAB00" w14:textId="77777777" w:rsidR="001977A4" w:rsidRPr="00D53B04" w:rsidRDefault="001977A4" w:rsidP="001977A4">
      <w:pPr>
        <w:pStyle w:val="Corpsdetexte"/>
        <w:spacing w:line="276" w:lineRule="auto"/>
        <w:rPr>
          <w:rFonts w:cs="Arial"/>
          <w:sz w:val="21"/>
          <w:szCs w:val="21"/>
          <w:lang w:val="en-US"/>
        </w:rPr>
      </w:pPr>
    </w:p>
    <w:p w14:paraId="07C01624" w14:textId="77777777" w:rsidR="001977A4" w:rsidRPr="00D53B04" w:rsidRDefault="001977A4" w:rsidP="001977A4">
      <w:pPr>
        <w:pStyle w:val="Corpsdetexte"/>
        <w:spacing w:line="276" w:lineRule="auto"/>
        <w:rPr>
          <w:rFonts w:cs="Arial"/>
          <w:sz w:val="21"/>
          <w:szCs w:val="21"/>
          <w:lang w:val="en-US"/>
        </w:rPr>
      </w:pPr>
      <w:r w:rsidRPr="00D53B04">
        <w:rPr>
          <w:rFonts w:cs="Arial"/>
          <w:sz w:val="21"/>
          <w:szCs w:val="21"/>
          <w:lang w:val="en-US"/>
        </w:rPr>
        <w:t>The following institutions will be involved in the implementation of the PNDA:</w:t>
      </w:r>
    </w:p>
    <w:p w14:paraId="6F1E0F35" w14:textId="77777777" w:rsidR="001977A4" w:rsidRPr="00D53B04" w:rsidRDefault="001977A4" w:rsidP="001977A4">
      <w:pPr>
        <w:pStyle w:val="Corpsdetexte"/>
        <w:spacing w:line="276" w:lineRule="auto"/>
        <w:rPr>
          <w:rFonts w:cs="Arial"/>
          <w:sz w:val="21"/>
          <w:szCs w:val="21"/>
          <w:lang w:val="en-US"/>
        </w:rPr>
      </w:pPr>
    </w:p>
    <w:p w14:paraId="6F3A63EE"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i/>
          <w:szCs w:val="21"/>
          <w:lang w:val="en-US"/>
        </w:rPr>
      </w:pPr>
      <w:r w:rsidRPr="00D53B04">
        <w:rPr>
          <w:rFonts w:cs="Arial"/>
          <w:i/>
          <w:szCs w:val="21"/>
          <w:lang w:val="en-US"/>
        </w:rPr>
        <w:t xml:space="preserve">Technical Preparatory and Follow-up Committee of the </w:t>
      </w:r>
      <w:r w:rsidR="00540C2E" w:rsidRPr="00D53B04">
        <w:rPr>
          <w:rFonts w:cs="Arial"/>
          <w:i/>
          <w:szCs w:val="21"/>
          <w:lang w:val="en-US"/>
        </w:rPr>
        <w:t>PNDA</w:t>
      </w:r>
    </w:p>
    <w:p w14:paraId="6E6BEBAC"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i/>
          <w:szCs w:val="21"/>
          <w:lang w:val="en-US"/>
        </w:rPr>
      </w:pPr>
      <w:r w:rsidRPr="00D53B04">
        <w:rPr>
          <w:rFonts w:cs="Arial"/>
          <w:i/>
          <w:szCs w:val="21"/>
          <w:lang w:val="en-US"/>
        </w:rPr>
        <w:t>UNCP/PARRSA, PMU and the Project and Procurement Management Unit (CGPMP)</w:t>
      </w:r>
    </w:p>
    <w:p w14:paraId="17570790" w14:textId="77777777" w:rsidR="001977A4" w:rsidRPr="00D53B04" w:rsidRDefault="001977A4" w:rsidP="002378EA">
      <w:pPr>
        <w:pStyle w:val="Paragraphedeliste"/>
        <w:widowControl w:val="0"/>
        <w:numPr>
          <w:ilvl w:val="0"/>
          <w:numId w:val="111"/>
        </w:numPr>
        <w:tabs>
          <w:tab w:val="left" w:pos="976"/>
          <w:tab w:val="left" w:pos="977"/>
        </w:tabs>
        <w:autoSpaceDE w:val="0"/>
        <w:autoSpaceDN w:val="0"/>
        <w:ind w:left="567" w:hanging="283"/>
        <w:contextualSpacing w:val="0"/>
        <w:rPr>
          <w:rFonts w:cs="Arial"/>
          <w:i/>
          <w:szCs w:val="21"/>
          <w:lang w:val="en-US"/>
        </w:rPr>
      </w:pPr>
      <w:r w:rsidRPr="00D53B04">
        <w:rPr>
          <w:rFonts w:cs="Arial"/>
          <w:i/>
          <w:szCs w:val="21"/>
          <w:lang w:val="en-US"/>
        </w:rPr>
        <w:t>Congolese Environment Agency (ACE)</w:t>
      </w:r>
    </w:p>
    <w:p w14:paraId="5A31DB8A" w14:textId="77777777" w:rsidR="001977A4" w:rsidRPr="00D53B04" w:rsidRDefault="001977A4" w:rsidP="001977A4">
      <w:pPr>
        <w:pStyle w:val="Corpsdetexte"/>
        <w:spacing w:line="276" w:lineRule="auto"/>
        <w:rPr>
          <w:rFonts w:cs="Arial"/>
          <w:sz w:val="21"/>
          <w:szCs w:val="21"/>
          <w:lang w:val="en-US"/>
        </w:rPr>
      </w:pPr>
    </w:p>
    <w:p w14:paraId="45C0311F" w14:textId="5349537E" w:rsidR="001977A4" w:rsidRPr="00D53B04" w:rsidRDefault="001977A4" w:rsidP="001977A4">
      <w:pPr>
        <w:pStyle w:val="Corpsdetexte"/>
        <w:spacing w:line="276" w:lineRule="auto"/>
        <w:rPr>
          <w:rFonts w:cs="Arial"/>
          <w:sz w:val="21"/>
          <w:szCs w:val="21"/>
          <w:lang w:val="en-US"/>
        </w:rPr>
      </w:pPr>
      <w:r w:rsidRPr="00D53B04">
        <w:rPr>
          <w:rFonts w:cs="Arial"/>
          <w:sz w:val="21"/>
          <w:szCs w:val="21"/>
          <w:lang w:val="en-US"/>
        </w:rPr>
        <w:t>Other institutions involved in the implementation of the PNDA</w:t>
      </w:r>
      <w:r w:rsidR="005257AB">
        <w:rPr>
          <w:rFonts w:cs="Arial"/>
          <w:sz w:val="21"/>
          <w:szCs w:val="21"/>
          <w:lang w:val="en-US"/>
        </w:rPr>
        <w:t xml:space="preserve">. </w:t>
      </w:r>
    </w:p>
    <w:p w14:paraId="4E6DF7A9" w14:textId="77777777" w:rsidR="001977A4" w:rsidRPr="00D53B04" w:rsidRDefault="001977A4" w:rsidP="001977A4">
      <w:pPr>
        <w:pStyle w:val="Corpsdetexte"/>
        <w:spacing w:line="276" w:lineRule="auto"/>
        <w:rPr>
          <w:rFonts w:cs="Arial"/>
          <w:sz w:val="21"/>
          <w:szCs w:val="21"/>
          <w:lang w:val="en-US"/>
        </w:rPr>
      </w:pPr>
    </w:p>
    <w:p w14:paraId="6BC2F352" w14:textId="77777777" w:rsidR="001977A4" w:rsidRPr="00D53B04" w:rsidRDefault="001977A4" w:rsidP="001977A4">
      <w:pPr>
        <w:rPr>
          <w:rFonts w:cs="Arial"/>
          <w:i/>
          <w:szCs w:val="21"/>
          <w:lang w:val="en-US"/>
        </w:rPr>
      </w:pPr>
      <w:r w:rsidRPr="00D53B04">
        <w:rPr>
          <w:rFonts w:cs="Arial"/>
          <w:i/>
          <w:szCs w:val="21"/>
          <w:lang w:val="en-US"/>
        </w:rPr>
        <w:t>Roles and responsibilities for the implementation of environmental and social management measures</w:t>
      </w:r>
    </w:p>
    <w:p w14:paraId="30FD8454" w14:textId="77777777" w:rsidR="001977A4" w:rsidRPr="00D53B04" w:rsidRDefault="001977A4" w:rsidP="001977A4">
      <w:pPr>
        <w:pStyle w:val="Corpsdetexte"/>
        <w:spacing w:line="276" w:lineRule="auto"/>
        <w:rPr>
          <w:rFonts w:cs="Arial"/>
          <w:i/>
          <w:sz w:val="21"/>
          <w:szCs w:val="21"/>
          <w:lang w:val="en-US"/>
        </w:rPr>
      </w:pPr>
    </w:p>
    <w:p w14:paraId="08CA67F4" w14:textId="547198BB" w:rsidR="001977A4" w:rsidRPr="00D53B04" w:rsidRDefault="001977A4" w:rsidP="002378EA">
      <w:pPr>
        <w:pStyle w:val="Paragraphedeliste"/>
        <w:widowControl w:val="0"/>
        <w:numPr>
          <w:ilvl w:val="0"/>
          <w:numId w:val="110"/>
        </w:numPr>
        <w:tabs>
          <w:tab w:val="left" w:pos="977"/>
        </w:tabs>
        <w:autoSpaceDE w:val="0"/>
        <w:autoSpaceDN w:val="0"/>
        <w:ind w:left="567" w:hanging="283"/>
        <w:contextualSpacing w:val="0"/>
        <w:rPr>
          <w:rFonts w:cs="Arial"/>
          <w:szCs w:val="21"/>
          <w:lang w:val="en-US"/>
        </w:rPr>
      </w:pPr>
      <w:r w:rsidRPr="00D53B04">
        <w:rPr>
          <w:rFonts w:cs="Arial"/>
          <w:i/>
          <w:szCs w:val="21"/>
          <w:lang w:val="en-US"/>
        </w:rPr>
        <w:t xml:space="preserve">The Technical Preparatory and Monitoring Committee </w:t>
      </w:r>
      <w:r w:rsidRPr="00D53B04">
        <w:rPr>
          <w:rFonts w:cs="Arial"/>
          <w:szCs w:val="21"/>
          <w:lang w:val="en-US"/>
        </w:rPr>
        <w:t>is responsible for thcategorization approval procedure during the p</w:t>
      </w:r>
      <w:r w:rsidR="005257AB">
        <w:rPr>
          <w:rFonts w:cs="Arial"/>
          <w:szCs w:val="21"/>
          <w:lang w:val="en-US"/>
        </w:rPr>
        <w:t>reparation phase of the Project;</w:t>
      </w:r>
    </w:p>
    <w:p w14:paraId="5802C286" w14:textId="77777777" w:rsidR="001977A4" w:rsidRPr="00D53B04" w:rsidRDefault="001977A4" w:rsidP="00243BDC">
      <w:pPr>
        <w:pStyle w:val="Corpsdetexte"/>
        <w:spacing w:line="276" w:lineRule="auto"/>
        <w:ind w:left="567" w:hanging="283"/>
        <w:rPr>
          <w:rFonts w:cs="Arial"/>
          <w:sz w:val="21"/>
          <w:szCs w:val="21"/>
          <w:lang w:val="en-US"/>
        </w:rPr>
      </w:pPr>
    </w:p>
    <w:p w14:paraId="7CED6212" w14:textId="1133463F" w:rsidR="001977A4" w:rsidRPr="00D53B04" w:rsidRDefault="001977A4" w:rsidP="002378EA">
      <w:pPr>
        <w:pStyle w:val="Paragraphedeliste"/>
        <w:widowControl w:val="0"/>
        <w:numPr>
          <w:ilvl w:val="0"/>
          <w:numId w:val="110"/>
        </w:numPr>
        <w:tabs>
          <w:tab w:val="left" w:pos="977"/>
        </w:tabs>
        <w:autoSpaceDE w:val="0"/>
        <w:autoSpaceDN w:val="0"/>
        <w:ind w:left="567" w:hanging="283"/>
        <w:contextualSpacing w:val="0"/>
        <w:rPr>
          <w:rFonts w:cs="Arial"/>
          <w:szCs w:val="21"/>
          <w:lang w:val="en-US"/>
        </w:rPr>
      </w:pPr>
      <w:r w:rsidRPr="00D53B04">
        <w:rPr>
          <w:rFonts w:cs="Arial"/>
          <w:i/>
          <w:szCs w:val="21"/>
          <w:lang w:val="en-US"/>
        </w:rPr>
        <w:t xml:space="preserve">The Environmental Safeguard Specialist </w:t>
      </w:r>
      <w:r w:rsidRPr="00D53B04">
        <w:rPr>
          <w:rFonts w:cs="Arial"/>
          <w:szCs w:val="21"/>
          <w:lang w:val="en-US"/>
        </w:rPr>
        <w:t xml:space="preserve">and the </w:t>
      </w:r>
      <w:r w:rsidRPr="00D53B04">
        <w:rPr>
          <w:rFonts w:cs="Arial"/>
          <w:i/>
          <w:szCs w:val="21"/>
          <w:lang w:val="en-US"/>
        </w:rPr>
        <w:t xml:space="preserve">Social Development Specialist, as </w:t>
      </w:r>
      <w:r w:rsidRPr="00D53B04">
        <w:rPr>
          <w:rFonts w:cs="Arial"/>
          <w:szCs w:val="21"/>
          <w:lang w:val="en-US"/>
        </w:rPr>
        <w:t xml:space="preserve">well as </w:t>
      </w:r>
      <w:r w:rsidRPr="00D53B04">
        <w:rPr>
          <w:rFonts w:cs="Arial"/>
          <w:i/>
          <w:szCs w:val="21"/>
          <w:lang w:val="en-US"/>
        </w:rPr>
        <w:t>the GBV Specialist in the preparation phase</w:t>
      </w:r>
      <w:r w:rsidR="005257AB">
        <w:rPr>
          <w:rFonts w:cs="Arial"/>
          <w:szCs w:val="21"/>
          <w:lang w:val="en-US"/>
        </w:rPr>
        <w:t>;</w:t>
      </w:r>
    </w:p>
    <w:p w14:paraId="3AF93BB4" w14:textId="01337823" w:rsidR="001977A4" w:rsidRPr="00D53B04" w:rsidRDefault="001977A4" w:rsidP="002378EA">
      <w:pPr>
        <w:pStyle w:val="Paragraphedeliste"/>
        <w:widowControl w:val="0"/>
        <w:numPr>
          <w:ilvl w:val="0"/>
          <w:numId w:val="110"/>
        </w:numPr>
        <w:tabs>
          <w:tab w:val="left" w:pos="977"/>
        </w:tabs>
        <w:autoSpaceDE w:val="0"/>
        <w:autoSpaceDN w:val="0"/>
        <w:ind w:left="567" w:hanging="283"/>
        <w:contextualSpacing w:val="0"/>
        <w:rPr>
          <w:rFonts w:cs="Arial"/>
          <w:szCs w:val="21"/>
          <w:lang w:val="en-US"/>
        </w:rPr>
      </w:pPr>
      <w:r w:rsidRPr="00D53B04">
        <w:rPr>
          <w:rFonts w:cs="Arial"/>
          <w:i/>
          <w:szCs w:val="21"/>
          <w:lang w:val="en-US"/>
        </w:rPr>
        <w:t xml:space="preserve">The Technical Manager of the Activity Eligible to the PNDA </w:t>
      </w:r>
      <w:r w:rsidRPr="00D53B04">
        <w:rPr>
          <w:rFonts w:cs="Arial"/>
          <w:szCs w:val="21"/>
          <w:lang w:val="en-US"/>
        </w:rPr>
        <w:t>(</w:t>
      </w:r>
      <w:r w:rsidRPr="00D53B04">
        <w:rPr>
          <w:rFonts w:cs="Arial"/>
          <w:i/>
          <w:szCs w:val="21"/>
          <w:lang w:val="en-US"/>
        </w:rPr>
        <w:t>Project Manager</w:t>
      </w:r>
      <w:r w:rsidRPr="00D53B04">
        <w:rPr>
          <w:rFonts w:cs="Arial"/>
          <w:szCs w:val="21"/>
          <w:lang w:val="en-US"/>
        </w:rPr>
        <w:t>) ;</w:t>
      </w:r>
    </w:p>
    <w:p w14:paraId="344BCC8C" w14:textId="5924B909" w:rsidR="001977A4" w:rsidRPr="00D53B04" w:rsidRDefault="00540C2E" w:rsidP="002378EA">
      <w:pPr>
        <w:pStyle w:val="Paragraphedeliste"/>
        <w:widowControl w:val="0"/>
        <w:numPr>
          <w:ilvl w:val="0"/>
          <w:numId w:val="110"/>
        </w:numPr>
        <w:tabs>
          <w:tab w:val="left" w:pos="977"/>
        </w:tabs>
        <w:autoSpaceDE w:val="0"/>
        <w:autoSpaceDN w:val="0"/>
        <w:ind w:left="567" w:hanging="283"/>
        <w:contextualSpacing w:val="0"/>
        <w:rPr>
          <w:rFonts w:cs="Arial"/>
          <w:szCs w:val="21"/>
          <w:lang w:val="en-US"/>
        </w:rPr>
      </w:pPr>
      <w:r w:rsidRPr="00D53B04">
        <w:rPr>
          <w:rFonts w:cs="Arial"/>
          <w:i/>
          <w:szCs w:val="21"/>
          <w:lang w:val="en-US"/>
        </w:rPr>
        <w:t xml:space="preserve">PNDA </w:t>
      </w:r>
      <w:r w:rsidR="001977A4" w:rsidRPr="00D53B04">
        <w:rPr>
          <w:rFonts w:cs="Arial"/>
          <w:i/>
          <w:szCs w:val="21"/>
          <w:lang w:val="en-US"/>
        </w:rPr>
        <w:t>Procurement Specialist (in preparation and implementation phase, in consultation with enviro</w:t>
      </w:r>
      <w:r w:rsidR="005257AB">
        <w:rPr>
          <w:rFonts w:cs="Arial"/>
          <w:i/>
          <w:szCs w:val="21"/>
          <w:lang w:val="en-US"/>
        </w:rPr>
        <w:t>nmental and social specialists)</w:t>
      </w:r>
      <w:r w:rsidR="001977A4" w:rsidRPr="00D53B04">
        <w:rPr>
          <w:rFonts w:cs="Arial"/>
          <w:szCs w:val="21"/>
          <w:lang w:val="en-US"/>
        </w:rPr>
        <w:t>;</w:t>
      </w:r>
    </w:p>
    <w:p w14:paraId="340EBFF4" w14:textId="70DB65C8" w:rsidR="001977A4" w:rsidRPr="00D53B04" w:rsidRDefault="001977A4" w:rsidP="002378EA">
      <w:pPr>
        <w:pStyle w:val="Paragraphedeliste"/>
        <w:widowControl w:val="0"/>
        <w:numPr>
          <w:ilvl w:val="0"/>
          <w:numId w:val="110"/>
        </w:numPr>
        <w:tabs>
          <w:tab w:val="left" w:pos="977"/>
        </w:tabs>
        <w:autoSpaceDE w:val="0"/>
        <w:autoSpaceDN w:val="0"/>
        <w:ind w:left="567" w:hanging="283"/>
        <w:contextualSpacing w:val="0"/>
        <w:rPr>
          <w:rFonts w:cs="Arial"/>
          <w:szCs w:val="21"/>
          <w:lang w:val="en-US"/>
        </w:rPr>
      </w:pPr>
      <w:r w:rsidRPr="00D53B04">
        <w:rPr>
          <w:rFonts w:cs="Arial"/>
          <w:i/>
          <w:szCs w:val="21"/>
          <w:lang w:val="en-US"/>
        </w:rPr>
        <w:t xml:space="preserve">The </w:t>
      </w:r>
      <w:r w:rsidR="00540C2E" w:rsidRPr="00D53B04">
        <w:rPr>
          <w:rFonts w:cs="Arial"/>
          <w:i/>
          <w:szCs w:val="21"/>
          <w:lang w:val="en-US"/>
        </w:rPr>
        <w:t xml:space="preserve">PNDA </w:t>
      </w:r>
      <w:r w:rsidRPr="00D53B04">
        <w:rPr>
          <w:rFonts w:cs="Arial"/>
          <w:i/>
          <w:szCs w:val="21"/>
          <w:lang w:val="en-US"/>
        </w:rPr>
        <w:t>Finance Officer (in the preparation and implementation phase)</w:t>
      </w:r>
      <w:r w:rsidRPr="00D53B04">
        <w:rPr>
          <w:rFonts w:cs="Arial"/>
          <w:szCs w:val="21"/>
          <w:lang w:val="en-US"/>
        </w:rPr>
        <w:t>;</w:t>
      </w:r>
    </w:p>
    <w:p w14:paraId="11918575" w14:textId="2BDCAFDB" w:rsidR="001977A4" w:rsidRPr="00D53B04" w:rsidRDefault="001977A4" w:rsidP="002378EA">
      <w:pPr>
        <w:pStyle w:val="Paragraphedeliste"/>
        <w:widowControl w:val="0"/>
        <w:numPr>
          <w:ilvl w:val="0"/>
          <w:numId w:val="110"/>
        </w:numPr>
        <w:tabs>
          <w:tab w:val="left" w:pos="977"/>
        </w:tabs>
        <w:autoSpaceDE w:val="0"/>
        <w:autoSpaceDN w:val="0"/>
        <w:ind w:left="567" w:hanging="283"/>
        <w:contextualSpacing w:val="0"/>
        <w:rPr>
          <w:rFonts w:cs="Arial"/>
          <w:szCs w:val="21"/>
          <w:lang w:val="en-US"/>
        </w:rPr>
      </w:pPr>
      <w:r w:rsidRPr="00D53B04">
        <w:rPr>
          <w:rFonts w:cs="Arial"/>
          <w:i/>
          <w:szCs w:val="21"/>
          <w:lang w:val="en-US"/>
        </w:rPr>
        <w:t>The</w:t>
      </w:r>
      <w:r w:rsidRPr="00D53B04">
        <w:rPr>
          <w:rFonts w:cs="Arial"/>
          <w:i/>
          <w:spacing w:val="-16"/>
          <w:szCs w:val="21"/>
          <w:lang w:val="en-US"/>
        </w:rPr>
        <w:t xml:space="preserve"> </w:t>
      </w:r>
      <w:r w:rsidR="00540C2E" w:rsidRPr="00D53B04">
        <w:rPr>
          <w:rFonts w:cs="Arial"/>
          <w:i/>
          <w:szCs w:val="21"/>
          <w:lang w:val="en-US"/>
        </w:rPr>
        <w:t>PNDA</w:t>
      </w:r>
      <w:r w:rsidR="00540C2E" w:rsidRPr="00D53B04">
        <w:rPr>
          <w:rFonts w:cs="Arial"/>
          <w:i/>
          <w:spacing w:val="-17"/>
          <w:szCs w:val="21"/>
          <w:lang w:val="en-US"/>
        </w:rPr>
        <w:t xml:space="preserve"> </w:t>
      </w:r>
      <w:r w:rsidRPr="00D53B04">
        <w:rPr>
          <w:rFonts w:cs="Arial"/>
          <w:i/>
          <w:szCs w:val="21"/>
          <w:lang w:val="en-US"/>
        </w:rPr>
        <w:t>Monitoring</w:t>
      </w:r>
      <w:r w:rsidRPr="00D53B04">
        <w:rPr>
          <w:rFonts w:cs="Arial"/>
          <w:i/>
          <w:spacing w:val="-16"/>
          <w:szCs w:val="21"/>
          <w:lang w:val="en-US"/>
        </w:rPr>
        <w:t xml:space="preserve"> </w:t>
      </w:r>
      <w:r w:rsidRPr="00D53B04">
        <w:rPr>
          <w:rFonts w:cs="Arial"/>
          <w:i/>
          <w:szCs w:val="21"/>
          <w:lang w:val="en-US"/>
        </w:rPr>
        <w:t>and</w:t>
      </w:r>
      <w:r w:rsidRPr="00D53B04">
        <w:rPr>
          <w:rFonts w:cs="Arial"/>
          <w:i/>
          <w:spacing w:val="-15"/>
          <w:szCs w:val="21"/>
          <w:lang w:val="en-US"/>
        </w:rPr>
        <w:t xml:space="preserve"> </w:t>
      </w:r>
      <w:r w:rsidRPr="00D53B04">
        <w:rPr>
          <w:rFonts w:cs="Arial"/>
          <w:i/>
          <w:szCs w:val="21"/>
          <w:lang w:val="en-US"/>
        </w:rPr>
        <w:t>Evaluation</w:t>
      </w:r>
      <w:r w:rsidRPr="00D53B04">
        <w:rPr>
          <w:rFonts w:cs="Arial"/>
          <w:i/>
          <w:spacing w:val="-16"/>
          <w:szCs w:val="21"/>
          <w:lang w:val="en-US"/>
        </w:rPr>
        <w:t xml:space="preserve"> </w:t>
      </w:r>
      <w:r w:rsidRPr="00D53B04">
        <w:rPr>
          <w:rFonts w:cs="Arial"/>
          <w:i/>
          <w:szCs w:val="21"/>
          <w:lang w:val="en-US"/>
        </w:rPr>
        <w:t>Specialist</w:t>
      </w:r>
      <w:r w:rsidRPr="00D53B04">
        <w:rPr>
          <w:rFonts w:cs="Arial"/>
          <w:i/>
          <w:spacing w:val="-15"/>
          <w:szCs w:val="21"/>
          <w:lang w:val="en-US"/>
        </w:rPr>
        <w:t xml:space="preserve"> </w:t>
      </w:r>
      <w:r w:rsidRPr="00D53B04">
        <w:rPr>
          <w:rFonts w:cs="Arial"/>
          <w:i/>
          <w:szCs w:val="21"/>
          <w:lang w:val="en-US"/>
        </w:rPr>
        <w:t>(in</w:t>
      </w:r>
      <w:r w:rsidRPr="00D53B04">
        <w:rPr>
          <w:rFonts w:cs="Arial"/>
          <w:i/>
          <w:spacing w:val="-15"/>
          <w:szCs w:val="21"/>
          <w:lang w:val="en-US"/>
        </w:rPr>
        <w:t xml:space="preserve"> </w:t>
      </w:r>
      <w:r w:rsidRPr="00D53B04">
        <w:rPr>
          <w:rFonts w:cs="Arial"/>
          <w:i/>
          <w:szCs w:val="21"/>
          <w:lang w:val="en-US"/>
        </w:rPr>
        <w:t>the</w:t>
      </w:r>
      <w:r w:rsidRPr="00D53B04">
        <w:rPr>
          <w:rFonts w:cs="Arial"/>
          <w:i/>
          <w:spacing w:val="-16"/>
          <w:szCs w:val="21"/>
          <w:lang w:val="en-US"/>
        </w:rPr>
        <w:t xml:space="preserve"> </w:t>
      </w:r>
      <w:r w:rsidRPr="00D53B04">
        <w:rPr>
          <w:rFonts w:cs="Arial"/>
          <w:i/>
          <w:szCs w:val="21"/>
          <w:lang w:val="en-US"/>
        </w:rPr>
        <w:t>preparation</w:t>
      </w:r>
      <w:r w:rsidRPr="00D53B04">
        <w:rPr>
          <w:rFonts w:cs="Arial"/>
          <w:i/>
          <w:spacing w:val="-16"/>
          <w:szCs w:val="21"/>
          <w:lang w:val="en-US"/>
        </w:rPr>
        <w:t xml:space="preserve"> </w:t>
      </w:r>
      <w:r w:rsidRPr="00D53B04">
        <w:rPr>
          <w:rFonts w:cs="Arial"/>
          <w:i/>
          <w:szCs w:val="21"/>
          <w:lang w:val="en-US"/>
        </w:rPr>
        <w:t>and</w:t>
      </w:r>
      <w:r w:rsidRPr="00D53B04">
        <w:rPr>
          <w:rFonts w:cs="Arial"/>
          <w:i/>
          <w:spacing w:val="-15"/>
          <w:szCs w:val="21"/>
          <w:lang w:val="en-US"/>
        </w:rPr>
        <w:t xml:space="preserve"> </w:t>
      </w:r>
      <w:r w:rsidRPr="00D53B04">
        <w:rPr>
          <w:rFonts w:cs="Arial"/>
          <w:i/>
          <w:szCs w:val="21"/>
          <w:lang w:val="en-US"/>
        </w:rPr>
        <w:t xml:space="preserve">implementation phase): </w:t>
      </w:r>
      <w:r w:rsidRPr="00D53B04">
        <w:rPr>
          <w:rFonts w:cs="Arial"/>
          <w:szCs w:val="21"/>
          <w:lang w:val="en-US"/>
        </w:rPr>
        <w:t>He/she participates in the internal monitoring of the implementation of environmental</w:t>
      </w:r>
      <w:r w:rsidRPr="00D53B04">
        <w:rPr>
          <w:rFonts w:cs="Arial"/>
          <w:spacing w:val="-11"/>
          <w:szCs w:val="21"/>
          <w:lang w:val="en-US"/>
        </w:rPr>
        <w:t xml:space="preserve"> </w:t>
      </w:r>
      <w:r w:rsidRPr="00D53B04">
        <w:rPr>
          <w:rFonts w:cs="Arial"/>
          <w:szCs w:val="21"/>
          <w:lang w:val="en-US"/>
        </w:rPr>
        <w:t>and</w:t>
      </w:r>
      <w:r w:rsidRPr="00D53B04">
        <w:rPr>
          <w:rFonts w:cs="Arial"/>
          <w:spacing w:val="-11"/>
          <w:szCs w:val="21"/>
          <w:lang w:val="en-US"/>
        </w:rPr>
        <w:t xml:space="preserve"> </w:t>
      </w:r>
      <w:r w:rsidRPr="00D53B04">
        <w:rPr>
          <w:rFonts w:cs="Arial"/>
          <w:szCs w:val="21"/>
          <w:lang w:val="en-US"/>
        </w:rPr>
        <w:t>social</w:t>
      </w:r>
      <w:r w:rsidRPr="00D53B04">
        <w:rPr>
          <w:rFonts w:cs="Arial"/>
          <w:spacing w:val="-10"/>
          <w:szCs w:val="21"/>
          <w:lang w:val="en-US"/>
        </w:rPr>
        <w:t xml:space="preserve"> </w:t>
      </w:r>
      <w:r w:rsidRPr="00D53B04">
        <w:rPr>
          <w:rFonts w:cs="Arial"/>
          <w:szCs w:val="21"/>
          <w:lang w:val="en-US"/>
        </w:rPr>
        <w:t>measures,</w:t>
      </w:r>
      <w:r w:rsidRPr="00D53B04">
        <w:rPr>
          <w:rFonts w:cs="Arial"/>
          <w:spacing w:val="-10"/>
          <w:szCs w:val="21"/>
          <w:lang w:val="en-US"/>
        </w:rPr>
        <w:t xml:space="preserve"> </w:t>
      </w:r>
      <w:r w:rsidRPr="00D53B04">
        <w:rPr>
          <w:rFonts w:cs="Arial"/>
          <w:szCs w:val="21"/>
          <w:lang w:val="en-US"/>
        </w:rPr>
        <w:t>including</w:t>
      </w:r>
      <w:r w:rsidRPr="00D53B04">
        <w:rPr>
          <w:rFonts w:cs="Arial"/>
          <w:spacing w:val="-9"/>
          <w:szCs w:val="21"/>
          <w:lang w:val="en-US"/>
        </w:rPr>
        <w:t xml:space="preserve"> </w:t>
      </w:r>
      <w:r w:rsidRPr="00D53B04">
        <w:rPr>
          <w:rFonts w:cs="Arial"/>
          <w:szCs w:val="21"/>
          <w:lang w:val="en-US"/>
        </w:rPr>
        <w:t>those</w:t>
      </w:r>
      <w:r w:rsidRPr="00D53B04">
        <w:rPr>
          <w:rFonts w:cs="Arial"/>
          <w:spacing w:val="-9"/>
          <w:szCs w:val="21"/>
          <w:lang w:val="en-US"/>
        </w:rPr>
        <w:t xml:space="preserve"> </w:t>
      </w:r>
      <w:r w:rsidRPr="00D53B04">
        <w:rPr>
          <w:rFonts w:cs="Arial"/>
          <w:szCs w:val="21"/>
          <w:lang w:val="en-US"/>
        </w:rPr>
        <w:t>of</w:t>
      </w:r>
      <w:r w:rsidRPr="00D53B04">
        <w:rPr>
          <w:rFonts w:cs="Arial"/>
          <w:spacing w:val="-10"/>
          <w:szCs w:val="21"/>
          <w:lang w:val="en-US"/>
        </w:rPr>
        <w:t xml:space="preserve"> </w:t>
      </w:r>
      <w:r w:rsidRPr="00D53B04">
        <w:rPr>
          <w:rFonts w:cs="Arial"/>
          <w:szCs w:val="21"/>
          <w:lang w:val="en-US"/>
        </w:rPr>
        <w:t>GBV,</w:t>
      </w:r>
      <w:r w:rsidRPr="00D53B04">
        <w:rPr>
          <w:rFonts w:cs="Arial"/>
          <w:spacing w:val="-9"/>
          <w:szCs w:val="21"/>
          <w:lang w:val="en-US"/>
        </w:rPr>
        <w:t xml:space="preserve"> </w:t>
      </w:r>
      <w:r w:rsidRPr="00D53B04">
        <w:rPr>
          <w:rFonts w:cs="Arial"/>
          <w:szCs w:val="21"/>
          <w:lang w:val="en-US"/>
        </w:rPr>
        <w:t>EAS,</w:t>
      </w:r>
      <w:r w:rsidRPr="00D53B04">
        <w:rPr>
          <w:rFonts w:cs="Arial"/>
          <w:spacing w:val="-10"/>
          <w:szCs w:val="21"/>
          <w:lang w:val="en-US"/>
        </w:rPr>
        <w:t xml:space="preserve"> </w:t>
      </w:r>
      <w:r w:rsidRPr="00D53B04">
        <w:rPr>
          <w:rFonts w:cs="Arial"/>
          <w:szCs w:val="21"/>
          <w:lang w:val="en-US"/>
        </w:rPr>
        <w:t>HS,</w:t>
      </w:r>
      <w:r w:rsidRPr="00D53B04">
        <w:rPr>
          <w:rFonts w:cs="Arial"/>
          <w:spacing w:val="-9"/>
          <w:szCs w:val="21"/>
          <w:lang w:val="en-US"/>
        </w:rPr>
        <w:t xml:space="preserve"> </w:t>
      </w:r>
      <w:r w:rsidRPr="00D53B04">
        <w:rPr>
          <w:rFonts w:cs="Arial"/>
          <w:szCs w:val="21"/>
          <w:lang w:val="en-US"/>
        </w:rPr>
        <w:t>and</w:t>
      </w:r>
      <w:r w:rsidRPr="00D53B04">
        <w:rPr>
          <w:rFonts w:cs="Arial"/>
          <w:spacing w:val="-11"/>
          <w:szCs w:val="21"/>
          <w:lang w:val="en-US"/>
        </w:rPr>
        <w:t xml:space="preserve"> </w:t>
      </w:r>
      <w:r w:rsidRPr="00D53B04">
        <w:rPr>
          <w:rFonts w:cs="Arial"/>
          <w:szCs w:val="21"/>
          <w:lang w:val="en-US"/>
        </w:rPr>
        <w:t>COVID-19;</w:t>
      </w:r>
    </w:p>
    <w:p w14:paraId="6AF181DB" w14:textId="77777777" w:rsidR="001977A4" w:rsidRPr="00D53B04" w:rsidRDefault="001977A4" w:rsidP="002378EA">
      <w:pPr>
        <w:pStyle w:val="Paragraphedeliste"/>
        <w:widowControl w:val="0"/>
        <w:numPr>
          <w:ilvl w:val="0"/>
          <w:numId w:val="110"/>
        </w:numPr>
        <w:tabs>
          <w:tab w:val="left" w:pos="976"/>
          <w:tab w:val="left" w:pos="977"/>
        </w:tabs>
        <w:autoSpaceDE w:val="0"/>
        <w:autoSpaceDN w:val="0"/>
        <w:ind w:left="567" w:hanging="283"/>
        <w:contextualSpacing w:val="0"/>
        <w:rPr>
          <w:rFonts w:cs="Arial"/>
          <w:i/>
          <w:szCs w:val="21"/>
          <w:lang w:val="en-US"/>
        </w:rPr>
      </w:pPr>
      <w:r w:rsidRPr="00D53B04">
        <w:rPr>
          <w:rFonts w:cs="Arial"/>
          <w:i/>
          <w:szCs w:val="21"/>
          <w:lang w:val="en-US"/>
        </w:rPr>
        <w:t>The Provincial Ministries in charge of Environment and</w:t>
      </w:r>
      <w:r w:rsidRPr="00D53B04">
        <w:rPr>
          <w:rFonts w:cs="Arial"/>
          <w:i/>
          <w:spacing w:val="-5"/>
          <w:szCs w:val="21"/>
          <w:lang w:val="en-US"/>
        </w:rPr>
        <w:t xml:space="preserve"> </w:t>
      </w:r>
      <w:r w:rsidRPr="00D53B04">
        <w:rPr>
          <w:rFonts w:cs="Arial"/>
          <w:i/>
          <w:szCs w:val="21"/>
          <w:lang w:val="en-US"/>
        </w:rPr>
        <w:t>Gender</w:t>
      </w:r>
    </w:p>
    <w:p w14:paraId="3B737A80" w14:textId="77777777" w:rsidR="001977A4" w:rsidRPr="00D53B04" w:rsidRDefault="001977A4" w:rsidP="002378EA">
      <w:pPr>
        <w:pStyle w:val="Paragraphedeliste"/>
        <w:widowControl w:val="0"/>
        <w:numPr>
          <w:ilvl w:val="0"/>
          <w:numId w:val="110"/>
        </w:numPr>
        <w:tabs>
          <w:tab w:val="left" w:pos="976"/>
          <w:tab w:val="left" w:pos="977"/>
        </w:tabs>
        <w:autoSpaceDE w:val="0"/>
        <w:autoSpaceDN w:val="0"/>
        <w:ind w:left="567" w:hanging="283"/>
        <w:contextualSpacing w:val="0"/>
        <w:rPr>
          <w:rFonts w:cs="Arial"/>
          <w:i/>
          <w:szCs w:val="21"/>
        </w:rPr>
      </w:pPr>
      <w:r w:rsidRPr="00D53B04">
        <w:rPr>
          <w:rFonts w:cs="Arial"/>
          <w:i/>
          <w:szCs w:val="21"/>
        </w:rPr>
        <w:t>The Congolese Environment</w:t>
      </w:r>
      <w:r w:rsidRPr="00D53B04">
        <w:rPr>
          <w:rFonts w:cs="Arial"/>
          <w:i/>
          <w:spacing w:val="-2"/>
          <w:szCs w:val="21"/>
        </w:rPr>
        <w:t xml:space="preserve"> </w:t>
      </w:r>
      <w:r w:rsidRPr="00D53B04">
        <w:rPr>
          <w:rFonts w:cs="Arial"/>
          <w:i/>
          <w:szCs w:val="21"/>
        </w:rPr>
        <w:t>Agency</w:t>
      </w:r>
    </w:p>
    <w:p w14:paraId="7DCBE63F" w14:textId="77777777" w:rsidR="003C7971" w:rsidRPr="005257AB" w:rsidRDefault="003C7971" w:rsidP="005257AB">
      <w:pPr>
        <w:pStyle w:val="Paragraphedeliste"/>
        <w:widowControl w:val="0"/>
        <w:numPr>
          <w:ilvl w:val="0"/>
          <w:numId w:val="110"/>
        </w:numPr>
        <w:tabs>
          <w:tab w:val="left" w:pos="976"/>
          <w:tab w:val="left" w:pos="977"/>
        </w:tabs>
        <w:autoSpaceDE w:val="0"/>
        <w:autoSpaceDN w:val="0"/>
        <w:ind w:left="567" w:hanging="283"/>
        <w:contextualSpacing w:val="0"/>
        <w:rPr>
          <w:rFonts w:cs="Arial"/>
          <w:i/>
          <w:szCs w:val="21"/>
          <w:lang w:val="en-US"/>
        </w:rPr>
      </w:pPr>
      <w:r w:rsidRPr="005257AB">
        <w:rPr>
          <w:rFonts w:cs="Arial"/>
          <w:i/>
          <w:szCs w:val="21"/>
          <w:lang w:val="en-US"/>
        </w:rPr>
        <w:t xml:space="preserve">Ministry of Health </w:t>
      </w:r>
    </w:p>
    <w:p w14:paraId="73CB0F2B" w14:textId="77777777" w:rsidR="003C7971" w:rsidRPr="005257AB" w:rsidRDefault="003C7971" w:rsidP="005257AB">
      <w:pPr>
        <w:pStyle w:val="Paragraphedeliste"/>
        <w:widowControl w:val="0"/>
        <w:numPr>
          <w:ilvl w:val="0"/>
          <w:numId w:val="110"/>
        </w:numPr>
        <w:tabs>
          <w:tab w:val="left" w:pos="976"/>
          <w:tab w:val="left" w:pos="977"/>
        </w:tabs>
        <w:autoSpaceDE w:val="0"/>
        <w:autoSpaceDN w:val="0"/>
        <w:ind w:left="567" w:hanging="283"/>
        <w:contextualSpacing w:val="0"/>
        <w:rPr>
          <w:rFonts w:cs="Arial"/>
          <w:i/>
          <w:szCs w:val="21"/>
          <w:lang w:val="en-US"/>
        </w:rPr>
      </w:pPr>
      <w:r w:rsidRPr="005257AB">
        <w:rPr>
          <w:rFonts w:cs="Arial"/>
          <w:i/>
          <w:szCs w:val="21"/>
          <w:lang w:val="en-US"/>
        </w:rPr>
        <w:t>Financial intermediary institution</w:t>
      </w:r>
    </w:p>
    <w:p w14:paraId="56F20217" w14:textId="256FCA9B" w:rsidR="003C7971" w:rsidRPr="00D53B04" w:rsidRDefault="003C7971" w:rsidP="003C7971">
      <w:pPr>
        <w:pStyle w:val="Corpsdetexte"/>
        <w:spacing w:line="276" w:lineRule="auto"/>
        <w:ind w:left="567"/>
        <w:rPr>
          <w:rFonts w:cs="Arial"/>
          <w:sz w:val="21"/>
          <w:szCs w:val="21"/>
        </w:rPr>
      </w:pPr>
      <w:r w:rsidRPr="00D53B04">
        <w:rPr>
          <w:rFonts w:cs="Arial"/>
          <w:sz w:val="21"/>
          <w:szCs w:val="21"/>
          <w:lang w:val="en-US"/>
        </w:rPr>
        <w:t>Some inter</w:t>
      </w:r>
      <w:r w:rsidR="005257AB">
        <w:rPr>
          <w:rFonts w:cs="Arial"/>
          <w:sz w:val="21"/>
          <w:szCs w:val="21"/>
          <w:lang w:val="en-US"/>
        </w:rPr>
        <w:t xml:space="preserve">mediary financial institutions </w:t>
      </w:r>
      <w:r w:rsidRPr="00D53B04">
        <w:rPr>
          <w:rFonts w:cs="Arial"/>
          <w:sz w:val="21"/>
          <w:szCs w:val="21"/>
          <w:lang w:val="en-US"/>
        </w:rPr>
        <w:t xml:space="preserve">working in the provinces concerned by the program will be involved during the implementation of the program. </w:t>
      </w:r>
      <w:r w:rsidRPr="00D53B04">
        <w:rPr>
          <w:rFonts w:cs="Arial"/>
          <w:sz w:val="21"/>
          <w:szCs w:val="21"/>
        </w:rPr>
        <w:t>These include BCC, Equity Bank BCDC, RawBank Sarl, Coopérative Centrale du Nord Kivu (COOCENKI), Coopérative des Concessionnaires du Nord-Kivu (CCNK), Coopérative des Cultivateurs de Kibirizi, (COOCUKI), Coopérative des Producteurs Agricoles pour le Développement de Rutshuru (COOPADERU), etc.</w:t>
      </w:r>
    </w:p>
    <w:p w14:paraId="487DA112" w14:textId="77777777" w:rsidR="001977A4" w:rsidRPr="00D53B04" w:rsidRDefault="001977A4" w:rsidP="005257AB">
      <w:pPr>
        <w:pStyle w:val="Paragraphedeliste"/>
        <w:widowControl w:val="0"/>
        <w:numPr>
          <w:ilvl w:val="0"/>
          <w:numId w:val="110"/>
        </w:numPr>
        <w:tabs>
          <w:tab w:val="left" w:pos="976"/>
          <w:tab w:val="left" w:pos="977"/>
        </w:tabs>
        <w:autoSpaceDE w:val="0"/>
        <w:autoSpaceDN w:val="0"/>
        <w:ind w:left="567" w:hanging="283"/>
        <w:contextualSpacing w:val="0"/>
        <w:rPr>
          <w:rFonts w:cs="Arial"/>
          <w:i/>
          <w:szCs w:val="21"/>
          <w:lang w:val="en-US"/>
        </w:rPr>
      </w:pPr>
      <w:r w:rsidRPr="00D53B04">
        <w:rPr>
          <w:rFonts w:cs="Arial"/>
          <w:i/>
          <w:szCs w:val="21"/>
          <w:lang w:val="en-US"/>
        </w:rPr>
        <w:t>The Provincial Environmental Coordinations of Kwilu, Kasai, Kasai Central</w:t>
      </w:r>
    </w:p>
    <w:p w14:paraId="76A8E0A1" w14:textId="77777777" w:rsidR="001977A4" w:rsidRPr="005257AB" w:rsidRDefault="001977A4" w:rsidP="002378EA">
      <w:pPr>
        <w:pStyle w:val="Paragraphedeliste"/>
        <w:widowControl w:val="0"/>
        <w:numPr>
          <w:ilvl w:val="0"/>
          <w:numId w:val="110"/>
        </w:numPr>
        <w:tabs>
          <w:tab w:val="left" w:pos="976"/>
          <w:tab w:val="left" w:pos="977"/>
        </w:tabs>
        <w:autoSpaceDE w:val="0"/>
        <w:autoSpaceDN w:val="0"/>
        <w:ind w:left="567" w:hanging="283"/>
        <w:contextualSpacing w:val="0"/>
        <w:rPr>
          <w:rFonts w:cs="Arial"/>
          <w:i/>
          <w:szCs w:val="21"/>
          <w:lang w:val="en-US"/>
        </w:rPr>
      </w:pPr>
      <w:r w:rsidRPr="005257AB">
        <w:rPr>
          <w:rFonts w:cs="Arial"/>
          <w:i/>
          <w:szCs w:val="21"/>
          <w:lang w:val="en-US"/>
        </w:rPr>
        <w:t>Contracting Companies</w:t>
      </w:r>
    </w:p>
    <w:p w14:paraId="30A9135B" w14:textId="77777777" w:rsidR="001977A4" w:rsidRPr="00D53B04" w:rsidRDefault="001977A4" w:rsidP="002378EA">
      <w:pPr>
        <w:pStyle w:val="Paragraphedeliste"/>
        <w:widowControl w:val="0"/>
        <w:numPr>
          <w:ilvl w:val="0"/>
          <w:numId w:val="110"/>
        </w:numPr>
        <w:tabs>
          <w:tab w:val="left" w:pos="976"/>
          <w:tab w:val="left" w:pos="977"/>
        </w:tabs>
        <w:autoSpaceDE w:val="0"/>
        <w:autoSpaceDN w:val="0"/>
        <w:ind w:left="567" w:hanging="283"/>
        <w:contextualSpacing w:val="0"/>
        <w:rPr>
          <w:rFonts w:cs="Arial"/>
          <w:i/>
          <w:szCs w:val="21"/>
        </w:rPr>
      </w:pPr>
      <w:r w:rsidRPr="00D53B04">
        <w:rPr>
          <w:rFonts w:cs="Arial"/>
          <w:i/>
          <w:szCs w:val="21"/>
        </w:rPr>
        <w:t>Local Implementing Agencies</w:t>
      </w:r>
    </w:p>
    <w:p w14:paraId="32DF3420" w14:textId="77777777" w:rsidR="001977A4" w:rsidRPr="00D53B04" w:rsidRDefault="001977A4" w:rsidP="002378EA">
      <w:pPr>
        <w:pStyle w:val="Paragraphedeliste"/>
        <w:widowControl w:val="0"/>
        <w:numPr>
          <w:ilvl w:val="0"/>
          <w:numId w:val="110"/>
        </w:numPr>
        <w:tabs>
          <w:tab w:val="left" w:pos="976"/>
          <w:tab w:val="left" w:pos="977"/>
        </w:tabs>
        <w:autoSpaceDE w:val="0"/>
        <w:autoSpaceDN w:val="0"/>
        <w:ind w:left="567" w:hanging="283"/>
        <w:contextualSpacing w:val="0"/>
        <w:rPr>
          <w:rFonts w:cs="Arial"/>
          <w:i/>
          <w:szCs w:val="21"/>
        </w:rPr>
      </w:pPr>
      <w:r w:rsidRPr="00D53B04">
        <w:rPr>
          <w:rFonts w:cs="Arial"/>
          <w:i/>
          <w:szCs w:val="21"/>
        </w:rPr>
        <w:t>Design and control</w:t>
      </w:r>
      <w:r w:rsidRPr="00D53B04">
        <w:rPr>
          <w:rFonts w:cs="Arial"/>
          <w:i/>
          <w:spacing w:val="-2"/>
          <w:szCs w:val="21"/>
        </w:rPr>
        <w:t xml:space="preserve"> </w:t>
      </w:r>
      <w:r w:rsidRPr="00D53B04">
        <w:rPr>
          <w:rFonts w:cs="Arial"/>
          <w:i/>
          <w:szCs w:val="21"/>
        </w:rPr>
        <w:t>offices</w:t>
      </w:r>
    </w:p>
    <w:p w14:paraId="66DF8280" w14:textId="77777777" w:rsidR="001977A4" w:rsidRPr="00D53B04" w:rsidRDefault="001977A4" w:rsidP="002378EA">
      <w:pPr>
        <w:pStyle w:val="Paragraphedeliste"/>
        <w:widowControl w:val="0"/>
        <w:numPr>
          <w:ilvl w:val="0"/>
          <w:numId w:val="110"/>
        </w:numPr>
        <w:tabs>
          <w:tab w:val="left" w:pos="976"/>
          <w:tab w:val="left" w:pos="977"/>
        </w:tabs>
        <w:autoSpaceDE w:val="0"/>
        <w:autoSpaceDN w:val="0"/>
        <w:ind w:left="567" w:hanging="283"/>
        <w:contextualSpacing w:val="0"/>
        <w:rPr>
          <w:rFonts w:cs="Arial"/>
          <w:i/>
          <w:szCs w:val="21"/>
          <w:lang w:val="en-US"/>
        </w:rPr>
      </w:pPr>
      <w:r w:rsidRPr="00D53B04">
        <w:rPr>
          <w:rFonts w:cs="Arial"/>
          <w:i/>
          <w:szCs w:val="21"/>
          <w:lang w:val="en-US"/>
        </w:rPr>
        <w:t>Producer Groups or Associations / Producer</w:t>
      </w:r>
      <w:r w:rsidRPr="00D53B04">
        <w:rPr>
          <w:rFonts w:cs="Arial"/>
          <w:i/>
          <w:spacing w:val="-1"/>
          <w:szCs w:val="21"/>
          <w:lang w:val="en-US"/>
        </w:rPr>
        <w:t xml:space="preserve"> </w:t>
      </w:r>
      <w:r w:rsidRPr="00D53B04">
        <w:rPr>
          <w:rFonts w:cs="Arial"/>
          <w:i/>
          <w:szCs w:val="21"/>
          <w:lang w:val="en-US"/>
        </w:rPr>
        <w:t>Cooperatives</w:t>
      </w:r>
    </w:p>
    <w:p w14:paraId="7DC870BF" w14:textId="5BC5057F" w:rsidR="001977A4" w:rsidRPr="00D53B04" w:rsidRDefault="001977A4" w:rsidP="002378EA">
      <w:pPr>
        <w:pStyle w:val="Paragraphedeliste"/>
        <w:widowControl w:val="0"/>
        <w:numPr>
          <w:ilvl w:val="0"/>
          <w:numId w:val="110"/>
        </w:numPr>
        <w:tabs>
          <w:tab w:val="left" w:pos="977"/>
        </w:tabs>
        <w:autoSpaceDE w:val="0"/>
        <w:autoSpaceDN w:val="0"/>
        <w:ind w:left="567" w:hanging="283"/>
        <w:contextualSpacing w:val="0"/>
        <w:rPr>
          <w:rFonts w:cs="Arial"/>
          <w:szCs w:val="21"/>
          <w:lang w:val="en-US"/>
        </w:rPr>
      </w:pPr>
      <w:r w:rsidRPr="00D53B04">
        <w:rPr>
          <w:rFonts w:cs="Arial"/>
          <w:i/>
          <w:szCs w:val="21"/>
          <w:lang w:val="en-US"/>
        </w:rPr>
        <w:t>NGOs</w:t>
      </w:r>
      <w:r w:rsidRPr="00D53B04">
        <w:rPr>
          <w:rFonts w:cs="Arial"/>
          <w:i/>
          <w:spacing w:val="-11"/>
          <w:szCs w:val="21"/>
          <w:lang w:val="en-US"/>
        </w:rPr>
        <w:t xml:space="preserve"> </w:t>
      </w:r>
      <w:r w:rsidRPr="00D53B04">
        <w:rPr>
          <w:rFonts w:cs="Arial"/>
          <w:i/>
          <w:szCs w:val="21"/>
          <w:lang w:val="en-US"/>
        </w:rPr>
        <w:t>and</w:t>
      </w:r>
      <w:r w:rsidRPr="00D53B04">
        <w:rPr>
          <w:rFonts w:cs="Arial"/>
          <w:i/>
          <w:spacing w:val="-10"/>
          <w:szCs w:val="21"/>
          <w:lang w:val="en-US"/>
        </w:rPr>
        <w:t xml:space="preserve"> </w:t>
      </w:r>
      <w:r w:rsidRPr="00D53B04">
        <w:rPr>
          <w:rFonts w:cs="Arial"/>
          <w:i/>
          <w:szCs w:val="21"/>
          <w:lang w:val="en-US"/>
        </w:rPr>
        <w:t>Civil</w:t>
      </w:r>
      <w:r w:rsidRPr="00D53B04">
        <w:rPr>
          <w:rFonts w:cs="Arial"/>
          <w:i/>
          <w:spacing w:val="-12"/>
          <w:szCs w:val="21"/>
          <w:lang w:val="en-US"/>
        </w:rPr>
        <w:t xml:space="preserve"> </w:t>
      </w:r>
      <w:r w:rsidRPr="00D53B04">
        <w:rPr>
          <w:rFonts w:cs="Arial"/>
          <w:i/>
          <w:szCs w:val="21"/>
          <w:lang w:val="en-US"/>
        </w:rPr>
        <w:t>Society:</w:t>
      </w:r>
      <w:r w:rsidRPr="00D53B04">
        <w:rPr>
          <w:rFonts w:cs="Arial"/>
          <w:i/>
          <w:spacing w:val="-9"/>
          <w:szCs w:val="21"/>
          <w:lang w:val="en-US"/>
        </w:rPr>
        <w:t xml:space="preserve"> </w:t>
      </w:r>
      <w:r w:rsidRPr="00D53B04">
        <w:rPr>
          <w:rFonts w:cs="Arial"/>
          <w:szCs w:val="21"/>
          <w:lang w:val="en-US"/>
        </w:rPr>
        <w:t>Local</w:t>
      </w:r>
      <w:r w:rsidRPr="00D53B04">
        <w:rPr>
          <w:rFonts w:cs="Arial"/>
          <w:spacing w:val="-12"/>
          <w:szCs w:val="21"/>
          <w:lang w:val="en-US"/>
        </w:rPr>
        <w:t xml:space="preserve"> </w:t>
      </w:r>
      <w:r w:rsidRPr="00D53B04">
        <w:rPr>
          <w:rFonts w:cs="Arial"/>
          <w:szCs w:val="21"/>
          <w:lang w:val="en-US"/>
        </w:rPr>
        <w:t>NGOs</w:t>
      </w:r>
      <w:r w:rsidRPr="00D53B04">
        <w:rPr>
          <w:rFonts w:cs="Arial"/>
          <w:spacing w:val="-12"/>
          <w:szCs w:val="21"/>
          <w:lang w:val="en-US"/>
        </w:rPr>
        <w:t xml:space="preserve"> </w:t>
      </w:r>
      <w:r w:rsidRPr="00D53B04">
        <w:rPr>
          <w:rFonts w:cs="Arial"/>
          <w:szCs w:val="21"/>
          <w:lang w:val="en-US"/>
        </w:rPr>
        <w:t>fighting</w:t>
      </w:r>
      <w:r w:rsidRPr="00D53B04">
        <w:rPr>
          <w:rFonts w:cs="Arial"/>
          <w:spacing w:val="-8"/>
          <w:szCs w:val="21"/>
          <w:lang w:val="en-US"/>
        </w:rPr>
        <w:t xml:space="preserve"> </w:t>
      </w:r>
      <w:r w:rsidRPr="00D53B04">
        <w:rPr>
          <w:rFonts w:cs="Arial"/>
          <w:szCs w:val="21"/>
          <w:lang w:val="en-US"/>
        </w:rPr>
        <w:t>against</w:t>
      </w:r>
      <w:r w:rsidRPr="00D53B04">
        <w:rPr>
          <w:rFonts w:cs="Arial"/>
          <w:spacing w:val="-10"/>
          <w:szCs w:val="21"/>
          <w:lang w:val="en-US"/>
        </w:rPr>
        <w:t xml:space="preserve"> </w:t>
      </w:r>
      <w:r w:rsidRPr="00D53B04">
        <w:rPr>
          <w:rFonts w:cs="Arial"/>
          <w:szCs w:val="21"/>
          <w:lang w:val="en-US"/>
        </w:rPr>
        <w:t>GBV,</w:t>
      </w:r>
      <w:r w:rsidRPr="00D53B04">
        <w:rPr>
          <w:rFonts w:cs="Arial"/>
          <w:spacing w:val="-6"/>
          <w:szCs w:val="21"/>
          <w:lang w:val="en-US"/>
        </w:rPr>
        <w:t xml:space="preserve"> </w:t>
      </w:r>
      <w:r w:rsidRPr="00D53B04">
        <w:rPr>
          <w:rFonts w:cs="Arial"/>
          <w:szCs w:val="21"/>
          <w:lang w:val="en-US"/>
        </w:rPr>
        <w:t>including</w:t>
      </w:r>
      <w:r w:rsidRPr="00D53B04">
        <w:rPr>
          <w:rFonts w:cs="Arial"/>
          <w:spacing w:val="-9"/>
          <w:szCs w:val="21"/>
          <w:lang w:val="en-US"/>
        </w:rPr>
        <w:t xml:space="preserve"> </w:t>
      </w:r>
      <w:r w:rsidRPr="00D53B04">
        <w:rPr>
          <w:rFonts w:cs="Arial"/>
          <w:szCs w:val="21"/>
          <w:lang w:val="en-US"/>
        </w:rPr>
        <w:t>EAS</w:t>
      </w:r>
      <w:r w:rsidRPr="00D53B04">
        <w:rPr>
          <w:rFonts w:cs="Arial"/>
          <w:spacing w:val="-13"/>
          <w:szCs w:val="21"/>
          <w:lang w:val="en-US"/>
        </w:rPr>
        <w:t xml:space="preserve"> </w:t>
      </w:r>
      <w:r w:rsidRPr="00D53B04">
        <w:rPr>
          <w:rFonts w:cs="Arial"/>
          <w:szCs w:val="21"/>
          <w:lang w:val="en-US"/>
        </w:rPr>
        <w:t>and</w:t>
      </w:r>
      <w:r w:rsidRPr="00D53B04">
        <w:rPr>
          <w:rFonts w:cs="Arial"/>
          <w:spacing w:val="-10"/>
          <w:szCs w:val="21"/>
          <w:lang w:val="en-US"/>
        </w:rPr>
        <w:t xml:space="preserve"> </w:t>
      </w:r>
      <w:r w:rsidRPr="00D53B04">
        <w:rPr>
          <w:rFonts w:cs="Arial"/>
          <w:szCs w:val="21"/>
          <w:lang w:val="en-US"/>
        </w:rPr>
        <w:t>HS,</w:t>
      </w:r>
      <w:r w:rsidRPr="00D53B04">
        <w:rPr>
          <w:rFonts w:cs="Arial"/>
          <w:spacing w:val="-10"/>
          <w:szCs w:val="21"/>
          <w:lang w:val="en-US"/>
        </w:rPr>
        <w:t xml:space="preserve"> </w:t>
      </w:r>
      <w:r w:rsidRPr="00D53B04">
        <w:rPr>
          <w:rFonts w:cs="Arial"/>
          <w:szCs w:val="21"/>
          <w:lang w:val="en-US"/>
        </w:rPr>
        <w:t>and against COVID-19, Farmers' Associations and other Civil Society environmental organizations will also be able to participate in informing, educating and raising awareness among the population on e</w:t>
      </w:r>
      <w:r w:rsidR="005257AB">
        <w:rPr>
          <w:rFonts w:cs="Arial"/>
          <w:szCs w:val="21"/>
          <w:lang w:val="en-US"/>
        </w:rPr>
        <w:t>nvironmental and social aspects</w:t>
      </w:r>
      <w:r w:rsidRPr="00D53B04">
        <w:rPr>
          <w:rFonts w:cs="Arial"/>
          <w:szCs w:val="21"/>
          <w:lang w:val="en-US"/>
        </w:rPr>
        <w:t>.</w:t>
      </w:r>
    </w:p>
    <w:p w14:paraId="2B96EAA4" w14:textId="77777777" w:rsidR="00A7078B" w:rsidRPr="00D53B04" w:rsidRDefault="00A7078B" w:rsidP="001977A4">
      <w:pPr>
        <w:pStyle w:val="Corpsdetexte"/>
        <w:spacing w:line="276" w:lineRule="auto"/>
        <w:rPr>
          <w:rFonts w:cs="Arial"/>
          <w:sz w:val="21"/>
          <w:szCs w:val="21"/>
          <w:lang w:val="en-US"/>
        </w:rPr>
      </w:pPr>
    </w:p>
    <w:p w14:paraId="57B4696C" w14:textId="77777777" w:rsidR="001977A4" w:rsidRPr="00D53B04" w:rsidRDefault="001977A4" w:rsidP="002378EA">
      <w:pPr>
        <w:pStyle w:val="Paragraphedeliste"/>
        <w:widowControl w:val="0"/>
        <w:numPr>
          <w:ilvl w:val="0"/>
          <w:numId w:val="112"/>
        </w:numPr>
        <w:tabs>
          <w:tab w:val="left" w:pos="709"/>
        </w:tabs>
        <w:autoSpaceDE w:val="0"/>
        <w:autoSpaceDN w:val="0"/>
        <w:ind w:left="709" w:hanging="425"/>
        <w:contextualSpacing w:val="0"/>
        <w:rPr>
          <w:rFonts w:cs="Arial"/>
          <w:i/>
          <w:szCs w:val="21"/>
          <w:lang w:val="en-US"/>
        </w:rPr>
      </w:pPr>
      <w:r w:rsidRPr="00D53B04">
        <w:rPr>
          <w:rFonts w:cs="Arial"/>
          <w:i/>
          <w:szCs w:val="21"/>
          <w:lang w:val="en-US"/>
        </w:rPr>
        <w:t>Estimated overall budget for implementation of environmental and social measures</w:t>
      </w:r>
    </w:p>
    <w:p w14:paraId="3F3D37E4" w14:textId="77777777" w:rsidR="001977A4" w:rsidRPr="00D53B04" w:rsidRDefault="001977A4" w:rsidP="001977A4">
      <w:pPr>
        <w:pStyle w:val="Corpsdetexte"/>
        <w:spacing w:line="276" w:lineRule="auto"/>
        <w:rPr>
          <w:rFonts w:cs="Arial"/>
          <w:i/>
          <w:sz w:val="21"/>
          <w:szCs w:val="21"/>
          <w:lang w:val="en-US"/>
        </w:rPr>
      </w:pPr>
    </w:p>
    <w:p w14:paraId="2A95EFA2" w14:textId="77777777" w:rsidR="001977A4" w:rsidRPr="00D53B04" w:rsidRDefault="001977A4" w:rsidP="001977A4">
      <w:pPr>
        <w:pStyle w:val="Corpsdetexte"/>
        <w:spacing w:line="276" w:lineRule="auto"/>
        <w:rPr>
          <w:rFonts w:cs="Arial"/>
          <w:sz w:val="21"/>
          <w:szCs w:val="21"/>
          <w:lang w:val="en-US"/>
        </w:rPr>
      </w:pPr>
      <w:r w:rsidRPr="00D53B04">
        <w:rPr>
          <w:rFonts w:cs="Arial"/>
          <w:sz w:val="21"/>
          <w:szCs w:val="21"/>
          <w:lang w:val="en-US"/>
        </w:rPr>
        <w:t>The estimated costs of the environmental and social measures amount to US$</w:t>
      </w:r>
      <w:r w:rsidR="007A7A2E" w:rsidRPr="00D53B04">
        <w:rPr>
          <w:rFonts w:cs="Arial"/>
          <w:sz w:val="21"/>
          <w:szCs w:val="21"/>
          <w:lang w:val="en-US"/>
        </w:rPr>
        <w:t xml:space="preserve"> </w:t>
      </w:r>
      <w:r w:rsidR="007A562E" w:rsidRPr="00D53B04">
        <w:rPr>
          <w:rFonts w:cs="Arial"/>
          <w:color w:val="000000"/>
          <w:sz w:val="21"/>
          <w:szCs w:val="21"/>
          <w:lang w:val="en-US"/>
        </w:rPr>
        <w:t>15 168 630</w:t>
      </w:r>
      <w:r w:rsidR="00C3308C" w:rsidRPr="00D53B04">
        <w:rPr>
          <w:rFonts w:cs="Arial"/>
          <w:color w:val="000000"/>
          <w:sz w:val="21"/>
          <w:szCs w:val="21"/>
          <w:lang w:val="en-US"/>
        </w:rPr>
        <w:t xml:space="preserve"> </w:t>
      </w:r>
      <w:r w:rsidRPr="00D53B04">
        <w:rPr>
          <w:rFonts w:cs="Arial"/>
          <w:sz w:val="21"/>
          <w:szCs w:val="21"/>
          <w:lang w:val="en-US"/>
        </w:rPr>
        <w:t>broken down as detailed in the table below.</w:t>
      </w:r>
    </w:p>
    <w:p w14:paraId="56FEC68C" w14:textId="77777777" w:rsidR="007A562E" w:rsidRPr="00D53B04" w:rsidRDefault="007A562E" w:rsidP="007A562E">
      <w:pPr>
        <w:pStyle w:val="Titre"/>
        <w:rPr>
          <w:sz w:val="21"/>
          <w:szCs w:val="21"/>
          <w:lang w:val="en-US"/>
        </w:r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68"/>
        <w:gridCol w:w="2005"/>
        <w:gridCol w:w="1883"/>
        <w:gridCol w:w="1760"/>
      </w:tblGrid>
      <w:tr w:rsidR="00BB0401" w14:paraId="0D256CF9" w14:textId="77777777" w:rsidTr="00730A4A">
        <w:trPr>
          <w:trHeight w:val="505"/>
        </w:trPr>
        <w:tc>
          <w:tcPr>
            <w:tcW w:w="3668" w:type="dxa"/>
            <w:shd w:val="clear" w:color="auto" w:fill="D4DCE3"/>
          </w:tcPr>
          <w:p w14:paraId="0713CD7E" w14:textId="77777777" w:rsidR="007A562E" w:rsidRPr="00D53B04" w:rsidRDefault="007A562E" w:rsidP="00730A4A">
            <w:pPr>
              <w:pStyle w:val="TableParagraph"/>
              <w:autoSpaceDE w:val="0"/>
              <w:autoSpaceDN w:val="0"/>
              <w:spacing w:before="124"/>
              <w:ind w:left="1378" w:right="1372"/>
              <w:jc w:val="center"/>
              <w:rPr>
                <w:sz w:val="20"/>
                <w:szCs w:val="20"/>
              </w:rPr>
            </w:pPr>
            <w:r w:rsidRPr="00D53B04">
              <w:rPr>
                <w:sz w:val="20"/>
                <w:szCs w:val="20"/>
              </w:rPr>
              <w:t>Activities</w:t>
            </w:r>
          </w:p>
        </w:tc>
        <w:tc>
          <w:tcPr>
            <w:tcW w:w="2005" w:type="dxa"/>
            <w:shd w:val="clear" w:color="auto" w:fill="D4DCE3"/>
          </w:tcPr>
          <w:p w14:paraId="1DBF0C14" w14:textId="77777777" w:rsidR="007A562E" w:rsidRPr="00D53B04" w:rsidRDefault="007A562E" w:rsidP="00730A4A">
            <w:pPr>
              <w:pStyle w:val="TableParagraph"/>
              <w:autoSpaceDE w:val="0"/>
              <w:autoSpaceDN w:val="0"/>
              <w:spacing w:before="124"/>
              <w:ind w:left="573" w:right="561"/>
              <w:jc w:val="center"/>
              <w:rPr>
                <w:sz w:val="20"/>
                <w:szCs w:val="20"/>
              </w:rPr>
            </w:pPr>
            <w:r w:rsidRPr="00D53B04">
              <w:rPr>
                <w:sz w:val="20"/>
                <w:szCs w:val="20"/>
              </w:rPr>
              <w:t>Quantity</w:t>
            </w:r>
          </w:p>
        </w:tc>
        <w:tc>
          <w:tcPr>
            <w:tcW w:w="1883" w:type="dxa"/>
            <w:shd w:val="clear" w:color="auto" w:fill="D4DCE3"/>
          </w:tcPr>
          <w:p w14:paraId="453F22AC" w14:textId="77777777" w:rsidR="007A562E" w:rsidRPr="00D53B04" w:rsidRDefault="007A562E" w:rsidP="00730A4A">
            <w:pPr>
              <w:pStyle w:val="TableParagraph"/>
              <w:autoSpaceDE w:val="0"/>
              <w:autoSpaceDN w:val="0"/>
              <w:spacing w:before="124"/>
              <w:ind w:left="174"/>
              <w:rPr>
                <w:sz w:val="20"/>
                <w:szCs w:val="20"/>
              </w:rPr>
            </w:pPr>
            <w:r w:rsidRPr="00D53B04">
              <w:rPr>
                <w:sz w:val="20"/>
                <w:szCs w:val="20"/>
              </w:rPr>
              <w:t>Unit cost (USD)</w:t>
            </w:r>
          </w:p>
        </w:tc>
        <w:tc>
          <w:tcPr>
            <w:tcW w:w="1760" w:type="dxa"/>
            <w:shd w:val="clear" w:color="auto" w:fill="D4DCE3"/>
          </w:tcPr>
          <w:p w14:paraId="2221FE4C" w14:textId="77777777" w:rsidR="007A562E" w:rsidRPr="00D53B04" w:rsidRDefault="007A562E" w:rsidP="00730A4A">
            <w:pPr>
              <w:pStyle w:val="TableParagraph"/>
              <w:autoSpaceDE w:val="0"/>
              <w:autoSpaceDN w:val="0"/>
              <w:spacing w:before="4" w:line="252" w:lineRule="exact"/>
              <w:ind w:left="571" w:right="378" w:hanging="173"/>
              <w:rPr>
                <w:sz w:val="20"/>
                <w:szCs w:val="20"/>
              </w:rPr>
            </w:pPr>
            <w:r w:rsidRPr="00D53B04">
              <w:rPr>
                <w:sz w:val="20"/>
                <w:szCs w:val="20"/>
              </w:rPr>
              <w:t>Total cost (USD)</w:t>
            </w:r>
          </w:p>
        </w:tc>
      </w:tr>
      <w:tr w:rsidR="007A562E" w14:paraId="373BFC4D" w14:textId="77777777" w:rsidTr="00730A4A">
        <w:trPr>
          <w:trHeight w:val="271"/>
        </w:trPr>
        <w:tc>
          <w:tcPr>
            <w:tcW w:w="3668" w:type="dxa"/>
            <w:shd w:val="clear" w:color="auto" w:fill="auto"/>
          </w:tcPr>
          <w:p w14:paraId="6FD24B3F" w14:textId="77777777" w:rsidR="007A562E" w:rsidRPr="00D53B04" w:rsidRDefault="007A562E" w:rsidP="00730A4A">
            <w:pPr>
              <w:pStyle w:val="TableParagraph"/>
              <w:autoSpaceDE w:val="0"/>
              <w:autoSpaceDN w:val="0"/>
              <w:spacing w:before="7" w:line="244" w:lineRule="exact"/>
              <w:ind w:left="71"/>
              <w:rPr>
                <w:sz w:val="20"/>
                <w:szCs w:val="20"/>
              </w:rPr>
            </w:pPr>
            <w:r w:rsidRPr="00D53B04">
              <w:rPr>
                <w:sz w:val="20"/>
                <w:szCs w:val="20"/>
              </w:rPr>
              <w:t>Development of ESIA/SMPs</w:t>
            </w:r>
          </w:p>
        </w:tc>
        <w:tc>
          <w:tcPr>
            <w:tcW w:w="2005" w:type="dxa"/>
            <w:shd w:val="clear" w:color="auto" w:fill="auto"/>
          </w:tcPr>
          <w:p w14:paraId="719D91F7" w14:textId="77777777" w:rsidR="007A562E" w:rsidRPr="00D53B04" w:rsidRDefault="007A562E" w:rsidP="00730A4A">
            <w:pPr>
              <w:pStyle w:val="TableParagraph"/>
              <w:autoSpaceDE w:val="0"/>
              <w:autoSpaceDN w:val="0"/>
              <w:spacing w:before="7" w:line="244" w:lineRule="exact"/>
              <w:ind w:left="566" w:right="561"/>
              <w:jc w:val="center"/>
              <w:rPr>
                <w:sz w:val="20"/>
                <w:szCs w:val="20"/>
              </w:rPr>
            </w:pPr>
            <w:r w:rsidRPr="00D53B04">
              <w:rPr>
                <w:sz w:val="20"/>
                <w:szCs w:val="20"/>
              </w:rPr>
              <w:t>30</w:t>
            </w:r>
          </w:p>
        </w:tc>
        <w:tc>
          <w:tcPr>
            <w:tcW w:w="1883" w:type="dxa"/>
            <w:shd w:val="clear" w:color="auto" w:fill="auto"/>
          </w:tcPr>
          <w:p w14:paraId="44F5A817" w14:textId="77777777" w:rsidR="007A562E" w:rsidRPr="00D53B04" w:rsidRDefault="007A562E" w:rsidP="00730A4A">
            <w:pPr>
              <w:pStyle w:val="TableParagraph"/>
              <w:autoSpaceDE w:val="0"/>
              <w:autoSpaceDN w:val="0"/>
              <w:spacing w:before="7" w:line="244" w:lineRule="exact"/>
              <w:ind w:right="57"/>
              <w:jc w:val="right"/>
              <w:rPr>
                <w:sz w:val="20"/>
                <w:szCs w:val="20"/>
              </w:rPr>
            </w:pPr>
            <w:r w:rsidRPr="00D53B04">
              <w:rPr>
                <w:sz w:val="20"/>
                <w:szCs w:val="20"/>
              </w:rPr>
              <w:t>50 000</w:t>
            </w:r>
          </w:p>
        </w:tc>
        <w:tc>
          <w:tcPr>
            <w:tcW w:w="1760" w:type="dxa"/>
            <w:shd w:val="clear" w:color="auto" w:fill="auto"/>
          </w:tcPr>
          <w:p w14:paraId="1F3E61D5" w14:textId="77777777" w:rsidR="007A562E" w:rsidRPr="00D53B04" w:rsidRDefault="007A562E" w:rsidP="00730A4A">
            <w:pPr>
              <w:pStyle w:val="TableParagraph"/>
              <w:autoSpaceDE w:val="0"/>
              <w:autoSpaceDN w:val="0"/>
              <w:spacing w:before="7" w:line="244" w:lineRule="exact"/>
              <w:ind w:right="57"/>
              <w:jc w:val="right"/>
              <w:rPr>
                <w:sz w:val="20"/>
                <w:szCs w:val="20"/>
              </w:rPr>
            </w:pPr>
            <w:r w:rsidRPr="00D53B04">
              <w:rPr>
                <w:sz w:val="20"/>
                <w:szCs w:val="20"/>
              </w:rPr>
              <w:t>1 500 000</w:t>
            </w:r>
          </w:p>
        </w:tc>
      </w:tr>
      <w:tr w:rsidR="007A562E" w14:paraId="740C7D3D" w14:textId="77777777" w:rsidTr="00730A4A">
        <w:trPr>
          <w:trHeight w:val="328"/>
        </w:trPr>
        <w:tc>
          <w:tcPr>
            <w:tcW w:w="3668" w:type="dxa"/>
            <w:shd w:val="clear" w:color="auto" w:fill="auto"/>
          </w:tcPr>
          <w:p w14:paraId="134ADA3C" w14:textId="77777777" w:rsidR="007A562E" w:rsidRPr="00D53B04" w:rsidRDefault="007A562E" w:rsidP="00730A4A">
            <w:pPr>
              <w:pStyle w:val="TableParagraph"/>
              <w:autoSpaceDE w:val="0"/>
              <w:autoSpaceDN w:val="0"/>
              <w:spacing w:before="36"/>
              <w:ind w:left="71"/>
              <w:rPr>
                <w:sz w:val="20"/>
                <w:szCs w:val="20"/>
              </w:rPr>
            </w:pPr>
            <w:r w:rsidRPr="00D53B04">
              <w:rPr>
                <w:sz w:val="20"/>
                <w:szCs w:val="20"/>
              </w:rPr>
              <w:t>Development of RAP Plans</w:t>
            </w:r>
          </w:p>
        </w:tc>
        <w:tc>
          <w:tcPr>
            <w:tcW w:w="2005" w:type="dxa"/>
            <w:shd w:val="clear" w:color="auto" w:fill="auto"/>
          </w:tcPr>
          <w:p w14:paraId="39A2F57B" w14:textId="77777777" w:rsidR="007A562E" w:rsidRPr="00D53B04" w:rsidRDefault="007A562E" w:rsidP="00730A4A">
            <w:pPr>
              <w:pStyle w:val="TableParagraph"/>
              <w:autoSpaceDE w:val="0"/>
              <w:autoSpaceDN w:val="0"/>
              <w:spacing w:before="36"/>
              <w:ind w:left="566" w:right="561"/>
              <w:jc w:val="center"/>
              <w:rPr>
                <w:sz w:val="20"/>
                <w:szCs w:val="20"/>
              </w:rPr>
            </w:pPr>
            <w:r w:rsidRPr="00D53B04">
              <w:rPr>
                <w:sz w:val="20"/>
                <w:szCs w:val="20"/>
              </w:rPr>
              <w:t>30</w:t>
            </w:r>
          </w:p>
        </w:tc>
        <w:tc>
          <w:tcPr>
            <w:tcW w:w="1883" w:type="dxa"/>
            <w:shd w:val="clear" w:color="auto" w:fill="auto"/>
          </w:tcPr>
          <w:p w14:paraId="3BB046AD" w14:textId="77777777" w:rsidR="007A562E" w:rsidRPr="00D53B04" w:rsidRDefault="007A562E" w:rsidP="00730A4A">
            <w:pPr>
              <w:pStyle w:val="TableParagraph"/>
              <w:autoSpaceDE w:val="0"/>
              <w:autoSpaceDN w:val="0"/>
              <w:spacing w:before="36"/>
              <w:ind w:right="57"/>
              <w:jc w:val="right"/>
              <w:rPr>
                <w:sz w:val="20"/>
                <w:szCs w:val="20"/>
              </w:rPr>
            </w:pPr>
            <w:r w:rsidRPr="00D53B04">
              <w:rPr>
                <w:sz w:val="20"/>
                <w:szCs w:val="20"/>
              </w:rPr>
              <w:t>60 000</w:t>
            </w:r>
          </w:p>
        </w:tc>
        <w:tc>
          <w:tcPr>
            <w:tcW w:w="1760" w:type="dxa"/>
            <w:shd w:val="clear" w:color="auto" w:fill="auto"/>
          </w:tcPr>
          <w:p w14:paraId="74943043" w14:textId="77777777" w:rsidR="007A562E" w:rsidRPr="00D53B04" w:rsidRDefault="007A562E" w:rsidP="00730A4A">
            <w:pPr>
              <w:pStyle w:val="TableParagraph"/>
              <w:autoSpaceDE w:val="0"/>
              <w:autoSpaceDN w:val="0"/>
              <w:spacing w:before="36"/>
              <w:ind w:right="57"/>
              <w:jc w:val="right"/>
              <w:rPr>
                <w:sz w:val="20"/>
                <w:szCs w:val="20"/>
              </w:rPr>
            </w:pPr>
            <w:r w:rsidRPr="00D53B04">
              <w:rPr>
                <w:sz w:val="20"/>
                <w:szCs w:val="20"/>
              </w:rPr>
              <w:t>1 800 000</w:t>
            </w:r>
          </w:p>
        </w:tc>
      </w:tr>
      <w:tr w:rsidR="007A562E" w14:paraId="44B00BE4" w14:textId="77777777" w:rsidTr="00730A4A">
        <w:trPr>
          <w:trHeight w:val="309"/>
        </w:trPr>
        <w:tc>
          <w:tcPr>
            <w:tcW w:w="3668" w:type="dxa"/>
            <w:shd w:val="clear" w:color="auto" w:fill="auto"/>
          </w:tcPr>
          <w:p w14:paraId="1E2D7397" w14:textId="77777777" w:rsidR="007A562E" w:rsidRPr="00D53B04" w:rsidRDefault="007A562E" w:rsidP="00730A4A">
            <w:pPr>
              <w:pStyle w:val="TableParagraph"/>
              <w:autoSpaceDE w:val="0"/>
              <w:autoSpaceDN w:val="0"/>
              <w:spacing w:before="24"/>
              <w:ind w:left="71"/>
              <w:rPr>
                <w:sz w:val="20"/>
                <w:szCs w:val="20"/>
              </w:rPr>
            </w:pPr>
            <w:r w:rsidRPr="00D53B04">
              <w:rPr>
                <w:sz w:val="20"/>
                <w:szCs w:val="20"/>
              </w:rPr>
              <w:t>Implementation of RAPs</w:t>
            </w:r>
          </w:p>
        </w:tc>
        <w:tc>
          <w:tcPr>
            <w:tcW w:w="2005" w:type="dxa"/>
            <w:shd w:val="clear" w:color="auto" w:fill="auto"/>
          </w:tcPr>
          <w:p w14:paraId="50B82705" w14:textId="77777777" w:rsidR="007A562E" w:rsidRPr="00D53B04" w:rsidRDefault="007A562E" w:rsidP="00730A4A">
            <w:pPr>
              <w:pStyle w:val="TableParagraph"/>
              <w:autoSpaceDE w:val="0"/>
              <w:autoSpaceDN w:val="0"/>
              <w:spacing w:before="24"/>
              <w:ind w:left="566" w:right="561"/>
              <w:jc w:val="center"/>
              <w:rPr>
                <w:sz w:val="20"/>
                <w:szCs w:val="20"/>
              </w:rPr>
            </w:pPr>
            <w:r w:rsidRPr="00D53B04">
              <w:rPr>
                <w:sz w:val="20"/>
                <w:szCs w:val="20"/>
              </w:rPr>
              <w:t>30</w:t>
            </w:r>
          </w:p>
        </w:tc>
        <w:tc>
          <w:tcPr>
            <w:tcW w:w="1883" w:type="dxa"/>
            <w:shd w:val="clear" w:color="auto" w:fill="auto"/>
          </w:tcPr>
          <w:p w14:paraId="43BDC960" w14:textId="77777777" w:rsidR="007A562E" w:rsidRPr="00D53B04" w:rsidRDefault="007A562E" w:rsidP="00730A4A">
            <w:pPr>
              <w:pStyle w:val="TableParagraph"/>
              <w:autoSpaceDE w:val="0"/>
              <w:autoSpaceDN w:val="0"/>
              <w:spacing w:before="24"/>
              <w:ind w:right="57"/>
              <w:jc w:val="right"/>
              <w:rPr>
                <w:sz w:val="20"/>
                <w:szCs w:val="20"/>
              </w:rPr>
            </w:pPr>
            <w:r w:rsidRPr="00D53B04">
              <w:rPr>
                <w:sz w:val="20"/>
                <w:szCs w:val="20"/>
              </w:rPr>
              <w:t>40 000</w:t>
            </w:r>
          </w:p>
        </w:tc>
        <w:tc>
          <w:tcPr>
            <w:tcW w:w="1760" w:type="dxa"/>
            <w:shd w:val="clear" w:color="auto" w:fill="auto"/>
          </w:tcPr>
          <w:p w14:paraId="62E34A8E" w14:textId="77777777" w:rsidR="007A562E" w:rsidRPr="00D53B04" w:rsidRDefault="007A562E" w:rsidP="00730A4A">
            <w:pPr>
              <w:pStyle w:val="TableParagraph"/>
              <w:autoSpaceDE w:val="0"/>
              <w:autoSpaceDN w:val="0"/>
              <w:spacing w:before="24"/>
              <w:ind w:right="57"/>
              <w:jc w:val="right"/>
              <w:rPr>
                <w:sz w:val="20"/>
                <w:szCs w:val="20"/>
              </w:rPr>
            </w:pPr>
            <w:r w:rsidRPr="00D53B04">
              <w:rPr>
                <w:sz w:val="20"/>
                <w:szCs w:val="20"/>
              </w:rPr>
              <w:t>1 200 000</w:t>
            </w:r>
          </w:p>
        </w:tc>
      </w:tr>
      <w:tr w:rsidR="007A562E" w14:paraId="2D0CB558" w14:textId="77777777" w:rsidTr="00730A4A">
        <w:trPr>
          <w:trHeight w:val="506"/>
        </w:trPr>
        <w:tc>
          <w:tcPr>
            <w:tcW w:w="3668" w:type="dxa"/>
            <w:shd w:val="clear" w:color="auto" w:fill="auto"/>
          </w:tcPr>
          <w:p w14:paraId="30C50FA8" w14:textId="77777777" w:rsidR="007A562E" w:rsidRPr="00D53B04" w:rsidRDefault="007A562E" w:rsidP="00730A4A">
            <w:pPr>
              <w:pStyle w:val="TableParagraph"/>
              <w:autoSpaceDE w:val="0"/>
              <w:autoSpaceDN w:val="0"/>
              <w:spacing w:before="2" w:line="252" w:lineRule="exact"/>
              <w:ind w:left="71" w:right="44"/>
              <w:rPr>
                <w:sz w:val="20"/>
                <w:szCs w:val="20"/>
              </w:rPr>
            </w:pPr>
            <w:r w:rsidRPr="00D53B04">
              <w:rPr>
                <w:sz w:val="20"/>
                <w:szCs w:val="20"/>
              </w:rPr>
              <w:t>Development and implementation of the GSP</w:t>
            </w:r>
          </w:p>
        </w:tc>
        <w:tc>
          <w:tcPr>
            <w:tcW w:w="2005" w:type="dxa"/>
            <w:shd w:val="clear" w:color="auto" w:fill="auto"/>
          </w:tcPr>
          <w:p w14:paraId="12F6741B" w14:textId="77777777" w:rsidR="007A562E" w:rsidRPr="00D53B04" w:rsidRDefault="007A562E" w:rsidP="00730A4A">
            <w:pPr>
              <w:pStyle w:val="TableParagraph"/>
              <w:autoSpaceDE w:val="0"/>
              <w:autoSpaceDN w:val="0"/>
              <w:spacing w:before="122"/>
              <w:ind w:left="8"/>
              <w:jc w:val="center"/>
              <w:rPr>
                <w:sz w:val="20"/>
                <w:szCs w:val="20"/>
              </w:rPr>
            </w:pPr>
            <w:r w:rsidRPr="00D53B04">
              <w:rPr>
                <w:sz w:val="20"/>
                <w:szCs w:val="20"/>
              </w:rPr>
              <w:t>1</w:t>
            </w:r>
          </w:p>
        </w:tc>
        <w:tc>
          <w:tcPr>
            <w:tcW w:w="1883" w:type="dxa"/>
            <w:shd w:val="clear" w:color="auto" w:fill="auto"/>
          </w:tcPr>
          <w:p w14:paraId="13D0DBA5" w14:textId="77777777" w:rsidR="007A562E" w:rsidRPr="00D53B04" w:rsidRDefault="007A562E" w:rsidP="00730A4A">
            <w:pPr>
              <w:pStyle w:val="TableParagraph"/>
              <w:autoSpaceDE w:val="0"/>
              <w:autoSpaceDN w:val="0"/>
              <w:spacing w:before="122"/>
              <w:ind w:right="57"/>
              <w:jc w:val="right"/>
              <w:rPr>
                <w:sz w:val="20"/>
                <w:szCs w:val="20"/>
              </w:rPr>
            </w:pPr>
            <w:r w:rsidRPr="00D53B04">
              <w:rPr>
                <w:sz w:val="20"/>
                <w:szCs w:val="20"/>
              </w:rPr>
              <w:t>100 000</w:t>
            </w:r>
          </w:p>
        </w:tc>
        <w:tc>
          <w:tcPr>
            <w:tcW w:w="1760" w:type="dxa"/>
            <w:shd w:val="clear" w:color="auto" w:fill="auto"/>
          </w:tcPr>
          <w:p w14:paraId="4E870662" w14:textId="77777777" w:rsidR="007A562E" w:rsidRPr="00D53B04" w:rsidRDefault="007A562E" w:rsidP="00730A4A">
            <w:pPr>
              <w:pStyle w:val="TableParagraph"/>
              <w:autoSpaceDE w:val="0"/>
              <w:autoSpaceDN w:val="0"/>
              <w:spacing w:before="122"/>
              <w:ind w:right="57"/>
              <w:jc w:val="right"/>
              <w:rPr>
                <w:sz w:val="20"/>
                <w:szCs w:val="20"/>
              </w:rPr>
            </w:pPr>
            <w:r w:rsidRPr="00D53B04">
              <w:rPr>
                <w:sz w:val="20"/>
                <w:szCs w:val="20"/>
              </w:rPr>
              <w:t>100 000</w:t>
            </w:r>
          </w:p>
        </w:tc>
      </w:tr>
      <w:tr w:rsidR="007A562E" w14:paraId="6DCFA18A" w14:textId="77777777" w:rsidTr="00730A4A">
        <w:trPr>
          <w:trHeight w:val="757"/>
        </w:trPr>
        <w:tc>
          <w:tcPr>
            <w:tcW w:w="3668" w:type="dxa"/>
            <w:shd w:val="clear" w:color="auto" w:fill="auto"/>
          </w:tcPr>
          <w:p w14:paraId="5B95BF58" w14:textId="77777777" w:rsidR="007A562E" w:rsidRPr="00D53B04" w:rsidRDefault="007A562E" w:rsidP="00730A4A">
            <w:pPr>
              <w:pStyle w:val="TableParagraph"/>
              <w:autoSpaceDE w:val="0"/>
              <w:autoSpaceDN w:val="0"/>
              <w:ind w:left="71" w:right="44"/>
              <w:rPr>
                <w:sz w:val="20"/>
                <w:szCs w:val="20"/>
              </w:rPr>
            </w:pPr>
            <w:r w:rsidRPr="00D53B04">
              <w:rPr>
                <w:sz w:val="20"/>
                <w:szCs w:val="20"/>
              </w:rPr>
              <w:t>Development and implementation of the Biodiversity Management Plan</w:t>
            </w:r>
          </w:p>
          <w:p w14:paraId="1ADA6CA9" w14:textId="77777777" w:rsidR="007A562E" w:rsidRPr="00D53B04" w:rsidRDefault="007A562E" w:rsidP="00730A4A">
            <w:pPr>
              <w:pStyle w:val="TableParagraph"/>
              <w:autoSpaceDE w:val="0"/>
              <w:autoSpaceDN w:val="0"/>
              <w:spacing w:line="234" w:lineRule="exact"/>
              <w:ind w:left="71"/>
              <w:rPr>
                <w:sz w:val="20"/>
                <w:szCs w:val="20"/>
              </w:rPr>
            </w:pPr>
            <w:r w:rsidRPr="00D53B04">
              <w:rPr>
                <w:sz w:val="20"/>
                <w:szCs w:val="20"/>
              </w:rPr>
              <w:t>(BMP)</w:t>
            </w:r>
          </w:p>
        </w:tc>
        <w:tc>
          <w:tcPr>
            <w:tcW w:w="2005" w:type="dxa"/>
            <w:shd w:val="clear" w:color="auto" w:fill="auto"/>
          </w:tcPr>
          <w:p w14:paraId="48875321" w14:textId="77777777" w:rsidR="007A562E" w:rsidRPr="00D53B04" w:rsidRDefault="007A562E" w:rsidP="00730A4A">
            <w:pPr>
              <w:pStyle w:val="TableParagraph"/>
              <w:autoSpaceDE w:val="0"/>
              <w:autoSpaceDN w:val="0"/>
              <w:spacing w:before="7"/>
              <w:rPr>
                <w:rFonts w:ascii="Times New Roman"/>
                <w:sz w:val="20"/>
                <w:szCs w:val="20"/>
              </w:rPr>
            </w:pPr>
          </w:p>
          <w:p w14:paraId="0A8CFAA0" w14:textId="77777777" w:rsidR="007A562E" w:rsidRPr="00D53B04" w:rsidRDefault="007A562E" w:rsidP="00730A4A">
            <w:pPr>
              <w:pStyle w:val="TableParagraph"/>
              <w:autoSpaceDE w:val="0"/>
              <w:autoSpaceDN w:val="0"/>
              <w:spacing w:before="1"/>
              <w:ind w:left="8"/>
              <w:jc w:val="center"/>
              <w:rPr>
                <w:sz w:val="20"/>
                <w:szCs w:val="20"/>
              </w:rPr>
            </w:pPr>
            <w:r w:rsidRPr="00D53B04">
              <w:rPr>
                <w:sz w:val="20"/>
                <w:szCs w:val="20"/>
              </w:rPr>
              <w:t>1</w:t>
            </w:r>
          </w:p>
        </w:tc>
        <w:tc>
          <w:tcPr>
            <w:tcW w:w="1883" w:type="dxa"/>
            <w:shd w:val="clear" w:color="auto" w:fill="auto"/>
          </w:tcPr>
          <w:p w14:paraId="5D77733C" w14:textId="77777777" w:rsidR="007A562E" w:rsidRPr="00D53B04" w:rsidRDefault="007A562E" w:rsidP="00730A4A">
            <w:pPr>
              <w:pStyle w:val="TableParagraph"/>
              <w:autoSpaceDE w:val="0"/>
              <w:autoSpaceDN w:val="0"/>
              <w:spacing w:before="7"/>
              <w:rPr>
                <w:rFonts w:ascii="Times New Roman"/>
                <w:sz w:val="20"/>
                <w:szCs w:val="20"/>
              </w:rPr>
            </w:pPr>
          </w:p>
          <w:p w14:paraId="4A8CBDF5" w14:textId="77777777" w:rsidR="007A562E" w:rsidRPr="00D53B04" w:rsidRDefault="007A562E" w:rsidP="00730A4A">
            <w:pPr>
              <w:pStyle w:val="TableParagraph"/>
              <w:autoSpaceDE w:val="0"/>
              <w:autoSpaceDN w:val="0"/>
              <w:spacing w:before="1"/>
              <w:ind w:right="57"/>
              <w:jc w:val="right"/>
              <w:rPr>
                <w:sz w:val="20"/>
                <w:szCs w:val="20"/>
              </w:rPr>
            </w:pPr>
            <w:r w:rsidRPr="00D53B04">
              <w:rPr>
                <w:sz w:val="20"/>
                <w:szCs w:val="20"/>
              </w:rPr>
              <w:t>300 000</w:t>
            </w:r>
          </w:p>
        </w:tc>
        <w:tc>
          <w:tcPr>
            <w:tcW w:w="1760" w:type="dxa"/>
            <w:shd w:val="clear" w:color="auto" w:fill="auto"/>
          </w:tcPr>
          <w:p w14:paraId="14602ED5" w14:textId="77777777" w:rsidR="007A562E" w:rsidRPr="00D53B04" w:rsidRDefault="007A562E" w:rsidP="00730A4A">
            <w:pPr>
              <w:pStyle w:val="TableParagraph"/>
              <w:autoSpaceDE w:val="0"/>
              <w:autoSpaceDN w:val="0"/>
              <w:spacing w:before="7"/>
              <w:rPr>
                <w:rFonts w:ascii="Times New Roman"/>
                <w:sz w:val="20"/>
                <w:szCs w:val="20"/>
              </w:rPr>
            </w:pPr>
          </w:p>
          <w:p w14:paraId="48F15827" w14:textId="77777777" w:rsidR="007A562E" w:rsidRPr="00D53B04" w:rsidRDefault="007A562E" w:rsidP="00730A4A">
            <w:pPr>
              <w:pStyle w:val="TableParagraph"/>
              <w:autoSpaceDE w:val="0"/>
              <w:autoSpaceDN w:val="0"/>
              <w:spacing w:before="1"/>
              <w:ind w:right="57"/>
              <w:jc w:val="right"/>
              <w:rPr>
                <w:sz w:val="20"/>
                <w:szCs w:val="20"/>
              </w:rPr>
            </w:pPr>
            <w:r w:rsidRPr="00D53B04">
              <w:rPr>
                <w:sz w:val="20"/>
                <w:szCs w:val="20"/>
              </w:rPr>
              <w:t>300 000</w:t>
            </w:r>
          </w:p>
        </w:tc>
      </w:tr>
      <w:tr w:rsidR="007A562E" w14:paraId="5931160E" w14:textId="77777777" w:rsidTr="00730A4A">
        <w:trPr>
          <w:trHeight w:val="758"/>
        </w:trPr>
        <w:tc>
          <w:tcPr>
            <w:tcW w:w="3668" w:type="dxa"/>
            <w:shd w:val="clear" w:color="auto" w:fill="auto"/>
          </w:tcPr>
          <w:p w14:paraId="51750F03" w14:textId="77777777" w:rsidR="007A562E" w:rsidRPr="00D53B04" w:rsidRDefault="007A562E" w:rsidP="00730A4A">
            <w:pPr>
              <w:pStyle w:val="TableParagraph"/>
              <w:autoSpaceDE w:val="0"/>
              <w:autoSpaceDN w:val="0"/>
              <w:spacing w:line="251" w:lineRule="exact"/>
              <w:ind w:left="71"/>
              <w:rPr>
                <w:sz w:val="20"/>
                <w:szCs w:val="20"/>
              </w:rPr>
            </w:pPr>
            <w:r w:rsidRPr="00D53B04">
              <w:rPr>
                <w:sz w:val="20"/>
                <w:szCs w:val="20"/>
              </w:rPr>
              <w:t>Implementation of the PMPP</w:t>
            </w:r>
          </w:p>
          <w:p w14:paraId="12CDC4E1" w14:textId="77777777" w:rsidR="007A562E" w:rsidRPr="00D53B04" w:rsidRDefault="007A562E" w:rsidP="00730A4A">
            <w:pPr>
              <w:pStyle w:val="TableParagraph"/>
              <w:autoSpaceDE w:val="0"/>
              <w:autoSpaceDN w:val="0"/>
              <w:spacing w:before="6" w:line="252" w:lineRule="exact"/>
              <w:ind w:left="71" w:right="595"/>
              <w:rPr>
                <w:sz w:val="20"/>
                <w:szCs w:val="20"/>
              </w:rPr>
            </w:pPr>
            <w:r w:rsidRPr="00D53B04">
              <w:rPr>
                <w:sz w:val="20"/>
                <w:szCs w:val="20"/>
              </w:rPr>
              <w:t>including the overall and GBV- sensitive PMM</w:t>
            </w:r>
          </w:p>
        </w:tc>
        <w:tc>
          <w:tcPr>
            <w:tcW w:w="2005" w:type="dxa"/>
            <w:shd w:val="clear" w:color="auto" w:fill="auto"/>
          </w:tcPr>
          <w:p w14:paraId="7B069698" w14:textId="77777777" w:rsidR="007A562E" w:rsidRPr="00D53B04" w:rsidRDefault="007A562E" w:rsidP="00730A4A">
            <w:pPr>
              <w:pStyle w:val="TableParagraph"/>
              <w:autoSpaceDE w:val="0"/>
              <w:autoSpaceDN w:val="0"/>
              <w:spacing w:before="10"/>
              <w:rPr>
                <w:rFonts w:ascii="Times New Roman"/>
                <w:sz w:val="20"/>
                <w:szCs w:val="20"/>
              </w:rPr>
            </w:pPr>
          </w:p>
          <w:p w14:paraId="46CC4186" w14:textId="77777777" w:rsidR="007A562E" w:rsidRPr="00D53B04" w:rsidRDefault="007A562E" w:rsidP="00730A4A">
            <w:pPr>
              <w:pStyle w:val="TableParagraph"/>
              <w:autoSpaceDE w:val="0"/>
              <w:autoSpaceDN w:val="0"/>
              <w:spacing w:before="1"/>
              <w:ind w:left="8"/>
              <w:jc w:val="center"/>
              <w:rPr>
                <w:sz w:val="20"/>
                <w:szCs w:val="20"/>
              </w:rPr>
            </w:pPr>
            <w:r w:rsidRPr="00D53B04">
              <w:rPr>
                <w:sz w:val="20"/>
                <w:szCs w:val="20"/>
              </w:rPr>
              <w:t>1</w:t>
            </w:r>
          </w:p>
        </w:tc>
        <w:tc>
          <w:tcPr>
            <w:tcW w:w="1883" w:type="dxa"/>
            <w:shd w:val="clear" w:color="auto" w:fill="auto"/>
          </w:tcPr>
          <w:p w14:paraId="24FA98B5" w14:textId="77777777" w:rsidR="007A562E" w:rsidRPr="00D53B04" w:rsidRDefault="007A562E" w:rsidP="00730A4A">
            <w:pPr>
              <w:pStyle w:val="TableParagraph"/>
              <w:autoSpaceDE w:val="0"/>
              <w:autoSpaceDN w:val="0"/>
              <w:spacing w:before="125"/>
              <w:ind w:right="57"/>
              <w:jc w:val="right"/>
              <w:rPr>
                <w:sz w:val="20"/>
                <w:szCs w:val="20"/>
              </w:rPr>
            </w:pPr>
            <w:r w:rsidRPr="00D53B04">
              <w:rPr>
                <w:sz w:val="20"/>
                <w:szCs w:val="20"/>
              </w:rPr>
              <w:t>2 323 000</w:t>
            </w:r>
          </w:p>
        </w:tc>
        <w:tc>
          <w:tcPr>
            <w:tcW w:w="1760" w:type="dxa"/>
            <w:shd w:val="clear" w:color="auto" w:fill="auto"/>
          </w:tcPr>
          <w:p w14:paraId="3CC1283A" w14:textId="77777777" w:rsidR="007A562E" w:rsidRPr="00D53B04" w:rsidRDefault="007A562E" w:rsidP="00730A4A">
            <w:pPr>
              <w:pStyle w:val="TableParagraph"/>
              <w:autoSpaceDE w:val="0"/>
              <w:autoSpaceDN w:val="0"/>
              <w:spacing w:before="125"/>
              <w:ind w:right="57"/>
              <w:jc w:val="right"/>
              <w:rPr>
                <w:sz w:val="20"/>
                <w:szCs w:val="20"/>
              </w:rPr>
            </w:pPr>
            <w:r w:rsidRPr="00D53B04">
              <w:rPr>
                <w:sz w:val="20"/>
                <w:szCs w:val="20"/>
              </w:rPr>
              <w:t>2 323 000</w:t>
            </w:r>
          </w:p>
        </w:tc>
      </w:tr>
      <w:tr w:rsidR="007A562E" w14:paraId="28ADAE90" w14:textId="77777777" w:rsidTr="00730A4A">
        <w:trPr>
          <w:trHeight w:val="465"/>
        </w:trPr>
        <w:tc>
          <w:tcPr>
            <w:tcW w:w="3668" w:type="dxa"/>
            <w:shd w:val="clear" w:color="auto" w:fill="auto"/>
          </w:tcPr>
          <w:p w14:paraId="4B2800E2" w14:textId="77777777" w:rsidR="007A562E" w:rsidRPr="00D53B04" w:rsidRDefault="007A562E" w:rsidP="00730A4A">
            <w:pPr>
              <w:pStyle w:val="TableParagraph"/>
              <w:autoSpaceDE w:val="0"/>
              <w:autoSpaceDN w:val="0"/>
              <w:ind w:left="71" w:right="167"/>
              <w:rPr>
                <w:sz w:val="20"/>
                <w:szCs w:val="20"/>
              </w:rPr>
            </w:pPr>
            <w:r w:rsidRPr="00D53B04">
              <w:rPr>
                <w:sz w:val="20"/>
                <w:szCs w:val="20"/>
              </w:rPr>
              <w:t>Support for the preservation and restoration of quarries / borrow pits</w:t>
            </w:r>
          </w:p>
        </w:tc>
        <w:tc>
          <w:tcPr>
            <w:tcW w:w="2005" w:type="dxa"/>
            <w:shd w:val="clear" w:color="auto" w:fill="auto"/>
          </w:tcPr>
          <w:p w14:paraId="58B6CA39" w14:textId="77777777" w:rsidR="007A562E" w:rsidRPr="00D53B04" w:rsidRDefault="007A562E" w:rsidP="00730A4A">
            <w:pPr>
              <w:pStyle w:val="TableParagraph"/>
              <w:autoSpaceDE w:val="0"/>
              <w:autoSpaceDN w:val="0"/>
              <w:spacing w:before="3"/>
              <w:rPr>
                <w:rFonts w:ascii="Times New Roman"/>
                <w:sz w:val="20"/>
                <w:szCs w:val="20"/>
              </w:rPr>
            </w:pPr>
          </w:p>
          <w:p w14:paraId="7778CAAA" w14:textId="77777777" w:rsidR="007A562E" w:rsidRPr="00D53B04" w:rsidRDefault="007A562E" w:rsidP="00730A4A">
            <w:pPr>
              <w:pStyle w:val="TableParagraph"/>
              <w:autoSpaceDE w:val="0"/>
              <w:autoSpaceDN w:val="0"/>
              <w:ind w:left="8"/>
              <w:jc w:val="center"/>
              <w:rPr>
                <w:sz w:val="20"/>
                <w:szCs w:val="20"/>
              </w:rPr>
            </w:pPr>
            <w:r w:rsidRPr="00D53B04">
              <w:rPr>
                <w:sz w:val="20"/>
                <w:szCs w:val="20"/>
              </w:rPr>
              <w:t>5</w:t>
            </w:r>
          </w:p>
        </w:tc>
        <w:tc>
          <w:tcPr>
            <w:tcW w:w="1883" w:type="dxa"/>
            <w:shd w:val="clear" w:color="auto" w:fill="auto"/>
          </w:tcPr>
          <w:p w14:paraId="7003D36A" w14:textId="77777777" w:rsidR="007A562E" w:rsidRPr="00D53B04" w:rsidRDefault="007A562E" w:rsidP="00730A4A">
            <w:pPr>
              <w:pStyle w:val="TableParagraph"/>
              <w:autoSpaceDE w:val="0"/>
              <w:autoSpaceDN w:val="0"/>
              <w:spacing w:before="3"/>
              <w:rPr>
                <w:rFonts w:ascii="Times New Roman"/>
                <w:sz w:val="20"/>
                <w:szCs w:val="20"/>
              </w:rPr>
            </w:pPr>
          </w:p>
          <w:p w14:paraId="5DD28CDB" w14:textId="77777777" w:rsidR="007A562E" w:rsidRPr="00D53B04" w:rsidRDefault="007A562E" w:rsidP="00730A4A">
            <w:pPr>
              <w:pStyle w:val="TableParagraph"/>
              <w:autoSpaceDE w:val="0"/>
              <w:autoSpaceDN w:val="0"/>
              <w:ind w:right="57"/>
              <w:jc w:val="right"/>
              <w:rPr>
                <w:sz w:val="20"/>
                <w:szCs w:val="20"/>
              </w:rPr>
            </w:pPr>
            <w:r w:rsidRPr="00D53B04">
              <w:rPr>
                <w:sz w:val="20"/>
                <w:szCs w:val="20"/>
              </w:rPr>
              <w:t>50 000</w:t>
            </w:r>
          </w:p>
        </w:tc>
        <w:tc>
          <w:tcPr>
            <w:tcW w:w="1760" w:type="dxa"/>
            <w:shd w:val="clear" w:color="auto" w:fill="auto"/>
          </w:tcPr>
          <w:p w14:paraId="7172976E" w14:textId="77777777" w:rsidR="007A562E" w:rsidRPr="00D53B04" w:rsidRDefault="007A562E" w:rsidP="00730A4A">
            <w:pPr>
              <w:pStyle w:val="TableParagraph"/>
              <w:autoSpaceDE w:val="0"/>
              <w:autoSpaceDN w:val="0"/>
              <w:spacing w:before="3"/>
              <w:rPr>
                <w:rFonts w:ascii="Times New Roman"/>
                <w:sz w:val="20"/>
                <w:szCs w:val="20"/>
              </w:rPr>
            </w:pPr>
          </w:p>
          <w:p w14:paraId="54284A0D" w14:textId="77777777" w:rsidR="007A562E" w:rsidRPr="00D53B04" w:rsidRDefault="007A562E" w:rsidP="00730A4A">
            <w:pPr>
              <w:pStyle w:val="TableParagraph"/>
              <w:autoSpaceDE w:val="0"/>
              <w:autoSpaceDN w:val="0"/>
              <w:ind w:right="57"/>
              <w:jc w:val="right"/>
              <w:rPr>
                <w:sz w:val="20"/>
                <w:szCs w:val="20"/>
              </w:rPr>
            </w:pPr>
            <w:r w:rsidRPr="00D53B04">
              <w:rPr>
                <w:sz w:val="20"/>
                <w:szCs w:val="20"/>
              </w:rPr>
              <w:t>250 000</w:t>
            </w:r>
          </w:p>
        </w:tc>
      </w:tr>
      <w:tr w:rsidR="007A562E" w14:paraId="48385064" w14:textId="77777777" w:rsidTr="00730A4A">
        <w:trPr>
          <w:trHeight w:val="253"/>
        </w:trPr>
        <w:tc>
          <w:tcPr>
            <w:tcW w:w="3668" w:type="dxa"/>
            <w:shd w:val="clear" w:color="auto" w:fill="auto"/>
          </w:tcPr>
          <w:p w14:paraId="2A0E9BFC" w14:textId="77777777" w:rsidR="007A562E" w:rsidRPr="00D53B04" w:rsidRDefault="007A562E" w:rsidP="00730A4A">
            <w:pPr>
              <w:pStyle w:val="TableParagraph"/>
              <w:autoSpaceDE w:val="0"/>
              <w:autoSpaceDN w:val="0"/>
              <w:spacing w:line="234" w:lineRule="exact"/>
              <w:ind w:left="71"/>
              <w:rPr>
                <w:sz w:val="20"/>
                <w:szCs w:val="20"/>
              </w:rPr>
            </w:pPr>
            <w:r w:rsidRPr="00D53B04">
              <w:rPr>
                <w:sz w:val="20"/>
                <w:szCs w:val="20"/>
              </w:rPr>
              <w:t>Farm input allocation</w:t>
            </w:r>
          </w:p>
        </w:tc>
        <w:tc>
          <w:tcPr>
            <w:tcW w:w="2005" w:type="dxa"/>
            <w:shd w:val="clear" w:color="auto" w:fill="auto"/>
          </w:tcPr>
          <w:p w14:paraId="0D82EBF1" w14:textId="77777777" w:rsidR="007A562E" w:rsidRPr="00D53B04" w:rsidRDefault="007A562E" w:rsidP="00730A4A">
            <w:pPr>
              <w:pStyle w:val="TableParagraph"/>
              <w:autoSpaceDE w:val="0"/>
              <w:autoSpaceDN w:val="0"/>
              <w:spacing w:line="234" w:lineRule="exact"/>
              <w:ind w:left="7"/>
              <w:jc w:val="center"/>
              <w:rPr>
                <w:sz w:val="20"/>
                <w:szCs w:val="20"/>
              </w:rPr>
            </w:pPr>
            <w:r w:rsidRPr="00D53B04">
              <w:rPr>
                <w:sz w:val="20"/>
                <w:szCs w:val="20"/>
              </w:rPr>
              <w:t>-</w:t>
            </w:r>
          </w:p>
        </w:tc>
        <w:tc>
          <w:tcPr>
            <w:tcW w:w="1883" w:type="dxa"/>
            <w:shd w:val="clear" w:color="auto" w:fill="auto"/>
          </w:tcPr>
          <w:p w14:paraId="72A22469" w14:textId="77777777" w:rsidR="007A562E" w:rsidRPr="00D53B04" w:rsidRDefault="007A562E" w:rsidP="00730A4A">
            <w:pPr>
              <w:pStyle w:val="TableParagraph"/>
              <w:autoSpaceDE w:val="0"/>
              <w:autoSpaceDN w:val="0"/>
              <w:spacing w:line="234" w:lineRule="exact"/>
              <w:ind w:right="57"/>
              <w:jc w:val="right"/>
              <w:rPr>
                <w:sz w:val="20"/>
                <w:szCs w:val="20"/>
              </w:rPr>
            </w:pPr>
            <w:r w:rsidRPr="00D53B04">
              <w:rPr>
                <w:sz w:val="20"/>
                <w:szCs w:val="20"/>
              </w:rPr>
              <w:t>PM</w:t>
            </w:r>
          </w:p>
        </w:tc>
        <w:tc>
          <w:tcPr>
            <w:tcW w:w="1760" w:type="dxa"/>
            <w:shd w:val="clear" w:color="auto" w:fill="auto"/>
          </w:tcPr>
          <w:p w14:paraId="515BC242" w14:textId="77777777" w:rsidR="007A562E" w:rsidRPr="00D53B04" w:rsidRDefault="007A562E" w:rsidP="00730A4A">
            <w:pPr>
              <w:pStyle w:val="TableParagraph"/>
              <w:autoSpaceDE w:val="0"/>
              <w:autoSpaceDN w:val="0"/>
              <w:spacing w:line="234" w:lineRule="exact"/>
              <w:ind w:right="59"/>
              <w:jc w:val="right"/>
              <w:rPr>
                <w:sz w:val="20"/>
                <w:szCs w:val="20"/>
              </w:rPr>
            </w:pPr>
            <w:r w:rsidRPr="00D53B04">
              <w:rPr>
                <w:sz w:val="20"/>
                <w:szCs w:val="20"/>
              </w:rPr>
              <w:t>0</w:t>
            </w:r>
          </w:p>
        </w:tc>
      </w:tr>
      <w:tr w:rsidR="007A562E" w14:paraId="4678D6CE" w14:textId="77777777" w:rsidTr="00730A4A">
        <w:trPr>
          <w:trHeight w:val="318"/>
        </w:trPr>
        <w:tc>
          <w:tcPr>
            <w:tcW w:w="3668" w:type="dxa"/>
            <w:shd w:val="clear" w:color="auto" w:fill="auto"/>
          </w:tcPr>
          <w:p w14:paraId="3370F42E" w14:textId="77777777" w:rsidR="007A562E" w:rsidRPr="00D53B04" w:rsidRDefault="007A562E" w:rsidP="00730A4A">
            <w:pPr>
              <w:pStyle w:val="TableParagraph"/>
              <w:autoSpaceDE w:val="0"/>
              <w:autoSpaceDN w:val="0"/>
              <w:spacing w:before="31"/>
              <w:ind w:left="71"/>
              <w:rPr>
                <w:sz w:val="20"/>
                <w:szCs w:val="20"/>
              </w:rPr>
            </w:pPr>
            <w:r w:rsidRPr="00D53B04">
              <w:rPr>
                <w:sz w:val="20"/>
                <w:szCs w:val="20"/>
              </w:rPr>
              <w:lastRenderedPageBreak/>
              <w:t>Agricultural seed allocation</w:t>
            </w:r>
          </w:p>
        </w:tc>
        <w:tc>
          <w:tcPr>
            <w:tcW w:w="2005" w:type="dxa"/>
            <w:shd w:val="clear" w:color="auto" w:fill="auto"/>
          </w:tcPr>
          <w:p w14:paraId="0F54591D" w14:textId="77777777" w:rsidR="007A562E" w:rsidRPr="00D53B04" w:rsidRDefault="007A562E" w:rsidP="00730A4A">
            <w:pPr>
              <w:pStyle w:val="TableParagraph"/>
              <w:autoSpaceDE w:val="0"/>
              <w:autoSpaceDN w:val="0"/>
              <w:rPr>
                <w:rFonts w:ascii="Times New Roman"/>
                <w:sz w:val="20"/>
                <w:szCs w:val="20"/>
              </w:rPr>
            </w:pPr>
          </w:p>
        </w:tc>
        <w:tc>
          <w:tcPr>
            <w:tcW w:w="1883" w:type="dxa"/>
            <w:shd w:val="clear" w:color="auto" w:fill="auto"/>
          </w:tcPr>
          <w:p w14:paraId="31EB5D31" w14:textId="77777777" w:rsidR="007A562E" w:rsidRPr="00D53B04" w:rsidRDefault="007A562E" w:rsidP="00730A4A">
            <w:pPr>
              <w:pStyle w:val="TableParagraph"/>
              <w:autoSpaceDE w:val="0"/>
              <w:autoSpaceDN w:val="0"/>
              <w:spacing w:before="31"/>
              <w:ind w:right="57"/>
              <w:jc w:val="right"/>
              <w:rPr>
                <w:sz w:val="20"/>
                <w:szCs w:val="20"/>
              </w:rPr>
            </w:pPr>
            <w:r w:rsidRPr="00D53B04">
              <w:rPr>
                <w:sz w:val="20"/>
                <w:szCs w:val="20"/>
              </w:rPr>
              <w:t>PM</w:t>
            </w:r>
          </w:p>
        </w:tc>
        <w:tc>
          <w:tcPr>
            <w:tcW w:w="1760" w:type="dxa"/>
            <w:shd w:val="clear" w:color="auto" w:fill="auto"/>
          </w:tcPr>
          <w:p w14:paraId="2D62E85C" w14:textId="77777777" w:rsidR="007A562E" w:rsidRPr="00D53B04" w:rsidRDefault="007A562E" w:rsidP="00730A4A">
            <w:pPr>
              <w:pStyle w:val="TableParagraph"/>
              <w:autoSpaceDE w:val="0"/>
              <w:autoSpaceDN w:val="0"/>
              <w:spacing w:before="31"/>
              <w:ind w:right="59"/>
              <w:jc w:val="right"/>
              <w:rPr>
                <w:sz w:val="20"/>
                <w:szCs w:val="20"/>
              </w:rPr>
            </w:pPr>
            <w:r w:rsidRPr="00D53B04">
              <w:rPr>
                <w:sz w:val="20"/>
                <w:szCs w:val="20"/>
              </w:rPr>
              <w:t>0</w:t>
            </w:r>
          </w:p>
        </w:tc>
      </w:tr>
      <w:tr w:rsidR="007A562E" w14:paraId="1D8F9C93" w14:textId="77777777" w:rsidTr="00730A4A">
        <w:trPr>
          <w:trHeight w:val="506"/>
        </w:trPr>
        <w:tc>
          <w:tcPr>
            <w:tcW w:w="3668" w:type="dxa"/>
            <w:shd w:val="clear" w:color="auto" w:fill="auto"/>
          </w:tcPr>
          <w:p w14:paraId="24D57E52" w14:textId="77777777" w:rsidR="007A562E" w:rsidRPr="00D53B04" w:rsidRDefault="007A562E" w:rsidP="00730A4A">
            <w:pPr>
              <w:pStyle w:val="TableParagraph"/>
              <w:autoSpaceDE w:val="0"/>
              <w:autoSpaceDN w:val="0"/>
              <w:spacing w:line="254" w:lineRule="exact"/>
              <w:ind w:left="71" w:right="1108"/>
              <w:rPr>
                <w:sz w:val="20"/>
                <w:szCs w:val="20"/>
              </w:rPr>
            </w:pPr>
            <w:r w:rsidRPr="00D53B04">
              <w:rPr>
                <w:sz w:val="20"/>
                <w:szCs w:val="20"/>
              </w:rPr>
              <w:t>Environmental and social management training</w:t>
            </w:r>
          </w:p>
        </w:tc>
        <w:tc>
          <w:tcPr>
            <w:tcW w:w="2005" w:type="dxa"/>
            <w:shd w:val="clear" w:color="auto" w:fill="auto"/>
          </w:tcPr>
          <w:p w14:paraId="2D5BCF54" w14:textId="77777777" w:rsidR="007A562E" w:rsidRPr="00D53B04" w:rsidRDefault="007A562E" w:rsidP="00730A4A">
            <w:pPr>
              <w:pStyle w:val="TableParagraph"/>
              <w:autoSpaceDE w:val="0"/>
              <w:autoSpaceDN w:val="0"/>
              <w:spacing w:before="124"/>
              <w:ind w:left="8"/>
              <w:jc w:val="center"/>
              <w:rPr>
                <w:sz w:val="20"/>
                <w:szCs w:val="20"/>
              </w:rPr>
            </w:pPr>
            <w:r w:rsidRPr="00D53B04">
              <w:rPr>
                <w:sz w:val="20"/>
                <w:szCs w:val="20"/>
              </w:rPr>
              <w:t>2</w:t>
            </w:r>
          </w:p>
        </w:tc>
        <w:tc>
          <w:tcPr>
            <w:tcW w:w="1883" w:type="dxa"/>
            <w:shd w:val="clear" w:color="auto" w:fill="auto"/>
          </w:tcPr>
          <w:p w14:paraId="362DA48E" w14:textId="77777777" w:rsidR="007A562E" w:rsidRPr="00D53B04" w:rsidRDefault="007A562E" w:rsidP="00730A4A">
            <w:pPr>
              <w:pStyle w:val="TableParagraph"/>
              <w:autoSpaceDE w:val="0"/>
              <w:autoSpaceDN w:val="0"/>
              <w:spacing w:before="124"/>
              <w:ind w:right="57"/>
              <w:jc w:val="right"/>
              <w:rPr>
                <w:sz w:val="20"/>
                <w:szCs w:val="20"/>
              </w:rPr>
            </w:pPr>
            <w:r w:rsidRPr="00D53B04">
              <w:rPr>
                <w:sz w:val="20"/>
                <w:szCs w:val="20"/>
              </w:rPr>
              <w:t>50 000</w:t>
            </w:r>
          </w:p>
        </w:tc>
        <w:tc>
          <w:tcPr>
            <w:tcW w:w="1760" w:type="dxa"/>
            <w:shd w:val="clear" w:color="auto" w:fill="auto"/>
          </w:tcPr>
          <w:p w14:paraId="100EA9AA" w14:textId="77777777" w:rsidR="007A562E" w:rsidRPr="00D53B04" w:rsidRDefault="007A562E" w:rsidP="00730A4A">
            <w:pPr>
              <w:pStyle w:val="TableParagraph"/>
              <w:autoSpaceDE w:val="0"/>
              <w:autoSpaceDN w:val="0"/>
              <w:spacing w:before="124"/>
              <w:ind w:right="57"/>
              <w:jc w:val="right"/>
              <w:rPr>
                <w:sz w:val="20"/>
                <w:szCs w:val="20"/>
              </w:rPr>
            </w:pPr>
            <w:r w:rsidRPr="00D53B04">
              <w:rPr>
                <w:sz w:val="20"/>
                <w:szCs w:val="20"/>
              </w:rPr>
              <w:t>100 000</w:t>
            </w:r>
          </w:p>
        </w:tc>
      </w:tr>
      <w:tr w:rsidR="007A562E" w14:paraId="021C9595" w14:textId="77777777" w:rsidTr="00730A4A">
        <w:trPr>
          <w:trHeight w:val="756"/>
        </w:trPr>
        <w:tc>
          <w:tcPr>
            <w:tcW w:w="3668" w:type="dxa"/>
            <w:shd w:val="clear" w:color="auto" w:fill="auto"/>
          </w:tcPr>
          <w:p w14:paraId="297687A0" w14:textId="77777777" w:rsidR="007A562E" w:rsidRPr="00D53B04" w:rsidRDefault="007A562E" w:rsidP="00730A4A">
            <w:pPr>
              <w:pStyle w:val="TableParagraph"/>
              <w:autoSpaceDE w:val="0"/>
              <w:autoSpaceDN w:val="0"/>
              <w:spacing w:line="248" w:lineRule="exact"/>
              <w:ind w:left="71"/>
              <w:rPr>
                <w:sz w:val="20"/>
                <w:szCs w:val="20"/>
              </w:rPr>
            </w:pPr>
            <w:r w:rsidRPr="00D53B04">
              <w:rPr>
                <w:sz w:val="20"/>
                <w:szCs w:val="20"/>
              </w:rPr>
              <w:t>EAS/HS Action Plan, including</w:t>
            </w:r>
          </w:p>
          <w:p w14:paraId="433DBEE5" w14:textId="7B78EA7C" w:rsidR="007A562E" w:rsidRPr="00D53B04" w:rsidRDefault="007A562E" w:rsidP="00730A4A">
            <w:pPr>
              <w:pStyle w:val="TableParagraph"/>
              <w:autoSpaceDE w:val="0"/>
              <w:autoSpaceDN w:val="0"/>
              <w:spacing w:before="6" w:line="252" w:lineRule="exact"/>
              <w:ind w:left="71" w:right="779"/>
              <w:rPr>
                <w:sz w:val="20"/>
                <w:szCs w:val="20"/>
              </w:rPr>
            </w:pPr>
            <w:r w:rsidRPr="00D53B04">
              <w:rPr>
                <w:sz w:val="20"/>
                <w:szCs w:val="20"/>
              </w:rPr>
              <w:t>specific PMM procedures for EAS/HS complaints</w:t>
            </w:r>
            <w:r w:rsidR="00544F9E" w:rsidRPr="00D53B04">
              <w:rPr>
                <w:sz w:val="20"/>
                <w:szCs w:val="20"/>
              </w:rPr>
              <w:t xml:space="preserve"> (annex 15)</w:t>
            </w:r>
          </w:p>
        </w:tc>
        <w:tc>
          <w:tcPr>
            <w:tcW w:w="2005" w:type="dxa"/>
            <w:shd w:val="clear" w:color="auto" w:fill="auto"/>
          </w:tcPr>
          <w:p w14:paraId="32D132C1" w14:textId="77777777" w:rsidR="007A562E" w:rsidRPr="00D53B04" w:rsidRDefault="007A562E" w:rsidP="00730A4A">
            <w:pPr>
              <w:pStyle w:val="TableParagraph"/>
              <w:autoSpaceDE w:val="0"/>
              <w:autoSpaceDN w:val="0"/>
              <w:spacing w:before="8"/>
              <w:rPr>
                <w:rFonts w:ascii="Times New Roman"/>
                <w:sz w:val="20"/>
                <w:szCs w:val="20"/>
              </w:rPr>
            </w:pPr>
          </w:p>
          <w:p w14:paraId="1E94EE9B" w14:textId="77777777" w:rsidR="007A562E" w:rsidRPr="00D53B04" w:rsidRDefault="007A562E" w:rsidP="00730A4A">
            <w:pPr>
              <w:pStyle w:val="TableParagraph"/>
              <w:autoSpaceDE w:val="0"/>
              <w:autoSpaceDN w:val="0"/>
              <w:ind w:left="7"/>
              <w:jc w:val="center"/>
              <w:rPr>
                <w:sz w:val="20"/>
                <w:szCs w:val="20"/>
              </w:rPr>
            </w:pPr>
            <w:r w:rsidRPr="00D53B04">
              <w:rPr>
                <w:sz w:val="20"/>
                <w:szCs w:val="20"/>
              </w:rPr>
              <w:t>-</w:t>
            </w:r>
          </w:p>
        </w:tc>
        <w:tc>
          <w:tcPr>
            <w:tcW w:w="1883" w:type="dxa"/>
            <w:shd w:val="clear" w:color="auto" w:fill="auto"/>
          </w:tcPr>
          <w:p w14:paraId="529277A4" w14:textId="77777777" w:rsidR="007A562E" w:rsidRPr="00D53B04" w:rsidRDefault="007A562E" w:rsidP="00730A4A">
            <w:pPr>
              <w:pStyle w:val="TableParagraph"/>
              <w:autoSpaceDE w:val="0"/>
              <w:autoSpaceDN w:val="0"/>
              <w:spacing w:before="8"/>
              <w:rPr>
                <w:rFonts w:ascii="Times New Roman"/>
                <w:sz w:val="20"/>
                <w:szCs w:val="20"/>
              </w:rPr>
            </w:pPr>
          </w:p>
          <w:p w14:paraId="5804A56B" w14:textId="77777777" w:rsidR="007A562E" w:rsidRPr="00D53B04" w:rsidRDefault="007A562E" w:rsidP="00730A4A">
            <w:pPr>
              <w:pStyle w:val="TableParagraph"/>
              <w:autoSpaceDE w:val="0"/>
              <w:autoSpaceDN w:val="0"/>
              <w:ind w:right="57"/>
              <w:jc w:val="right"/>
              <w:rPr>
                <w:sz w:val="20"/>
                <w:szCs w:val="20"/>
              </w:rPr>
            </w:pPr>
            <w:r w:rsidRPr="00D53B04">
              <w:rPr>
                <w:sz w:val="20"/>
                <w:szCs w:val="20"/>
              </w:rPr>
              <w:t>-</w:t>
            </w:r>
          </w:p>
        </w:tc>
        <w:tc>
          <w:tcPr>
            <w:tcW w:w="1760" w:type="dxa"/>
            <w:shd w:val="clear" w:color="auto" w:fill="auto"/>
          </w:tcPr>
          <w:p w14:paraId="454AE7B7" w14:textId="77777777" w:rsidR="007A562E" w:rsidRPr="00D53B04" w:rsidRDefault="007A562E" w:rsidP="00730A4A">
            <w:pPr>
              <w:pStyle w:val="TableParagraph"/>
              <w:autoSpaceDE w:val="0"/>
              <w:autoSpaceDN w:val="0"/>
              <w:spacing w:before="8"/>
              <w:rPr>
                <w:rFonts w:ascii="Times New Roman"/>
                <w:sz w:val="20"/>
                <w:szCs w:val="20"/>
              </w:rPr>
            </w:pPr>
          </w:p>
          <w:p w14:paraId="65A83C42" w14:textId="327A4FAD" w:rsidR="007A562E" w:rsidRPr="00D53B04" w:rsidRDefault="00ED2041" w:rsidP="00730A4A">
            <w:pPr>
              <w:pStyle w:val="TableParagraph"/>
              <w:autoSpaceDE w:val="0"/>
              <w:autoSpaceDN w:val="0"/>
              <w:ind w:right="57"/>
              <w:jc w:val="right"/>
              <w:rPr>
                <w:sz w:val="20"/>
                <w:szCs w:val="20"/>
              </w:rPr>
            </w:pPr>
            <w:r w:rsidRPr="00D53B04">
              <w:rPr>
                <w:sz w:val="20"/>
                <w:szCs w:val="20"/>
              </w:rPr>
              <w:t>7 530 000</w:t>
            </w:r>
          </w:p>
        </w:tc>
      </w:tr>
      <w:tr w:rsidR="007A562E" w14:paraId="29330C3D" w14:textId="77777777" w:rsidTr="00730A4A">
        <w:trPr>
          <w:trHeight w:val="252"/>
        </w:trPr>
        <w:tc>
          <w:tcPr>
            <w:tcW w:w="3668" w:type="dxa"/>
            <w:vMerge w:val="restart"/>
            <w:shd w:val="clear" w:color="auto" w:fill="auto"/>
          </w:tcPr>
          <w:p w14:paraId="1DA3344C" w14:textId="77777777" w:rsidR="007A562E" w:rsidRPr="00D53B04" w:rsidRDefault="007A562E" w:rsidP="00730A4A">
            <w:pPr>
              <w:pStyle w:val="TableParagraph"/>
              <w:autoSpaceDE w:val="0"/>
              <w:autoSpaceDN w:val="0"/>
              <w:spacing w:before="2" w:line="252" w:lineRule="exact"/>
              <w:ind w:left="71" w:right="191"/>
              <w:rPr>
                <w:sz w:val="20"/>
                <w:szCs w:val="20"/>
              </w:rPr>
            </w:pPr>
            <w:r w:rsidRPr="00D53B04">
              <w:rPr>
                <w:sz w:val="20"/>
                <w:szCs w:val="20"/>
              </w:rPr>
              <w:t>Mid-term and final monitoring/evaluation of the NADP CGES and Audits</w:t>
            </w:r>
          </w:p>
        </w:tc>
        <w:tc>
          <w:tcPr>
            <w:tcW w:w="2005" w:type="dxa"/>
            <w:shd w:val="clear" w:color="auto" w:fill="auto"/>
          </w:tcPr>
          <w:p w14:paraId="1919FFD0" w14:textId="77777777" w:rsidR="007A562E" w:rsidRPr="00D53B04" w:rsidRDefault="007A562E" w:rsidP="00730A4A">
            <w:pPr>
              <w:pStyle w:val="TableParagraph"/>
              <w:autoSpaceDE w:val="0"/>
              <w:autoSpaceDN w:val="0"/>
              <w:spacing w:line="232" w:lineRule="exact"/>
              <w:ind w:left="566" w:right="561"/>
              <w:jc w:val="center"/>
              <w:rPr>
                <w:sz w:val="20"/>
                <w:szCs w:val="20"/>
              </w:rPr>
            </w:pPr>
            <w:r w:rsidRPr="00D53B04">
              <w:rPr>
                <w:sz w:val="20"/>
                <w:szCs w:val="20"/>
              </w:rPr>
              <w:t>10</w:t>
            </w:r>
          </w:p>
        </w:tc>
        <w:tc>
          <w:tcPr>
            <w:tcW w:w="1883" w:type="dxa"/>
            <w:shd w:val="clear" w:color="auto" w:fill="auto"/>
          </w:tcPr>
          <w:p w14:paraId="15777B86" w14:textId="77777777" w:rsidR="007A562E" w:rsidRPr="00D53B04" w:rsidRDefault="007A562E" w:rsidP="00730A4A">
            <w:pPr>
              <w:pStyle w:val="TableParagraph"/>
              <w:autoSpaceDE w:val="0"/>
              <w:autoSpaceDN w:val="0"/>
              <w:spacing w:line="232" w:lineRule="exact"/>
              <w:ind w:right="57"/>
              <w:jc w:val="right"/>
              <w:rPr>
                <w:sz w:val="20"/>
                <w:szCs w:val="20"/>
              </w:rPr>
            </w:pPr>
            <w:r w:rsidRPr="00D53B04">
              <w:rPr>
                <w:sz w:val="20"/>
                <w:szCs w:val="20"/>
              </w:rPr>
              <w:t>30 000</w:t>
            </w:r>
          </w:p>
        </w:tc>
        <w:tc>
          <w:tcPr>
            <w:tcW w:w="1760" w:type="dxa"/>
            <w:shd w:val="clear" w:color="auto" w:fill="auto"/>
          </w:tcPr>
          <w:p w14:paraId="23CA768F" w14:textId="77777777" w:rsidR="007A562E" w:rsidRPr="00D53B04" w:rsidRDefault="007A562E" w:rsidP="00730A4A">
            <w:pPr>
              <w:pStyle w:val="TableParagraph"/>
              <w:autoSpaceDE w:val="0"/>
              <w:autoSpaceDN w:val="0"/>
              <w:spacing w:line="232" w:lineRule="exact"/>
              <w:ind w:right="57"/>
              <w:jc w:val="right"/>
              <w:rPr>
                <w:sz w:val="20"/>
                <w:szCs w:val="20"/>
              </w:rPr>
            </w:pPr>
            <w:r w:rsidRPr="00D53B04">
              <w:rPr>
                <w:sz w:val="20"/>
                <w:szCs w:val="20"/>
              </w:rPr>
              <w:t>300 000</w:t>
            </w:r>
          </w:p>
        </w:tc>
      </w:tr>
      <w:tr w:rsidR="00BB0401" w14:paraId="1A8B29EB" w14:textId="77777777" w:rsidTr="00730A4A">
        <w:trPr>
          <w:trHeight w:val="496"/>
        </w:trPr>
        <w:tc>
          <w:tcPr>
            <w:tcW w:w="3668" w:type="dxa"/>
            <w:vMerge/>
            <w:tcBorders>
              <w:top w:val="nil"/>
            </w:tcBorders>
            <w:shd w:val="clear" w:color="auto" w:fill="auto"/>
          </w:tcPr>
          <w:p w14:paraId="26695428" w14:textId="77777777" w:rsidR="007A562E" w:rsidRPr="00D53B04" w:rsidRDefault="007A562E" w:rsidP="00730A4A">
            <w:pPr>
              <w:widowControl w:val="0"/>
              <w:autoSpaceDE w:val="0"/>
              <w:autoSpaceDN w:val="0"/>
              <w:rPr>
                <w:sz w:val="20"/>
                <w:szCs w:val="20"/>
                <w:lang w:val="en-US"/>
              </w:rPr>
            </w:pPr>
          </w:p>
        </w:tc>
        <w:tc>
          <w:tcPr>
            <w:tcW w:w="2005" w:type="dxa"/>
            <w:shd w:val="clear" w:color="auto" w:fill="auto"/>
          </w:tcPr>
          <w:p w14:paraId="31CE4DC3" w14:textId="77777777" w:rsidR="007A562E" w:rsidRPr="00D53B04" w:rsidRDefault="007A562E" w:rsidP="00730A4A">
            <w:pPr>
              <w:pStyle w:val="TableParagraph"/>
              <w:autoSpaceDE w:val="0"/>
              <w:autoSpaceDN w:val="0"/>
              <w:spacing w:before="120"/>
              <w:ind w:left="566" w:right="561"/>
              <w:jc w:val="center"/>
              <w:rPr>
                <w:sz w:val="20"/>
                <w:szCs w:val="20"/>
              </w:rPr>
            </w:pPr>
            <w:r w:rsidRPr="00D53B04">
              <w:rPr>
                <w:sz w:val="20"/>
                <w:szCs w:val="20"/>
              </w:rPr>
              <w:t>10</w:t>
            </w:r>
          </w:p>
        </w:tc>
        <w:tc>
          <w:tcPr>
            <w:tcW w:w="1883" w:type="dxa"/>
            <w:shd w:val="clear" w:color="auto" w:fill="auto"/>
          </w:tcPr>
          <w:p w14:paraId="5289F367" w14:textId="77777777" w:rsidR="007A562E" w:rsidRPr="00D53B04" w:rsidRDefault="007A562E" w:rsidP="00730A4A">
            <w:pPr>
              <w:pStyle w:val="TableParagraph"/>
              <w:autoSpaceDE w:val="0"/>
              <w:autoSpaceDN w:val="0"/>
              <w:spacing w:before="120"/>
              <w:ind w:right="57"/>
              <w:jc w:val="right"/>
              <w:rPr>
                <w:sz w:val="20"/>
                <w:szCs w:val="20"/>
              </w:rPr>
            </w:pPr>
            <w:r w:rsidRPr="00D53B04">
              <w:rPr>
                <w:sz w:val="20"/>
                <w:szCs w:val="20"/>
              </w:rPr>
              <w:t>30 000</w:t>
            </w:r>
          </w:p>
        </w:tc>
        <w:tc>
          <w:tcPr>
            <w:tcW w:w="1760" w:type="dxa"/>
            <w:shd w:val="clear" w:color="auto" w:fill="auto"/>
          </w:tcPr>
          <w:p w14:paraId="114B8DCA" w14:textId="77777777" w:rsidR="007A562E" w:rsidRPr="00D53B04" w:rsidRDefault="007A562E" w:rsidP="00730A4A">
            <w:pPr>
              <w:pStyle w:val="TableParagraph"/>
              <w:autoSpaceDE w:val="0"/>
              <w:autoSpaceDN w:val="0"/>
              <w:spacing w:before="120"/>
              <w:ind w:right="57"/>
              <w:jc w:val="right"/>
              <w:rPr>
                <w:sz w:val="20"/>
                <w:szCs w:val="20"/>
              </w:rPr>
            </w:pPr>
            <w:r w:rsidRPr="00D53B04">
              <w:rPr>
                <w:sz w:val="20"/>
                <w:szCs w:val="20"/>
              </w:rPr>
              <w:t>300 000</w:t>
            </w:r>
          </w:p>
        </w:tc>
      </w:tr>
      <w:tr w:rsidR="007A562E" w14:paraId="2493DF68" w14:textId="77777777" w:rsidTr="00730A4A">
        <w:trPr>
          <w:trHeight w:val="282"/>
        </w:trPr>
        <w:tc>
          <w:tcPr>
            <w:tcW w:w="7556" w:type="dxa"/>
            <w:gridSpan w:val="3"/>
            <w:shd w:val="clear" w:color="auto" w:fill="auto"/>
          </w:tcPr>
          <w:p w14:paraId="67D3E44D" w14:textId="77777777" w:rsidR="007A562E" w:rsidRPr="00D53B04" w:rsidRDefault="007A562E" w:rsidP="00730A4A">
            <w:pPr>
              <w:pStyle w:val="TableParagraph"/>
              <w:autoSpaceDE w:val="0"/>
              <w:autoSpaceDN w:val="0"/>
              <w:spacing w:before="12" w:line="251" w:lineRule="exact"/>
              <w:ind w:left="71"/>
              <w:rPr>
                <w:sz w:val="20"/>
                <w:szCs w:val="20"/>
              </w:rPr>
            </w:pPr>
            <w:r w:rsidRPr="00D53B04">
              <w:rPr>
                <w:sz w:val="20"/>
                <w:szCs w:val="20"/>
              </w:rPr>
              <w:t>TOTAL</w:t>
            </w:r>
          </w:p>
        </w:tc>
        <w:tc>
          <w:tcPr>
            <w:tcW w:w="1760" w:type="dxa"/>
            <w:shd w:val="clear" w:color="auto" w:fill="auto"/>
          </w:tcPr>
          <w:p w14:paraId="46EA4633" w14:textId="77777777" w:rsidR="007A562E" w:rsidRPr="00D53B04" w:rsidRDefault="007A562E" w:rsidP="00730A4A">
            <w:pPr>
              <w:pStyle w:val="TableParagraph"/>
              <w:autoSpaceDE w:val="0"/>
              <w:autoSpaceDN w:val="0"/>
              <w:spacing w:before="26" w:line="237" w:lineRule="exact"/>
              <w:ind w:right="57"/>
              <w:jc w:val="right"/>
              <w:rPr>
                <w:sz w:val="20"/>
                <w:szCs w:val="20"/>
              </w:rPr>
            </w:pPr>
            <w:r w:rsidRPr="00D53B04">
              <w:rPr>
                <w:sz w:val="20"/>
                <w:szCs w:val="20"/>
              </w:rPr>
              <w:t>14 446 300</w:t>
            </w:r>
          </w:p>
        </w:tc>
      </w:tr>
      <w:tr w:rsidR="007A562E" w14:paraId="74AE7915" w14:textId="77777777" w:rsidTr="00730A4A">
        <w:trPr>
          <w:trHeight w:val="506"/>
        </w:trPr>
        <w:tc>
          <w:tcPr>
            <w:tcW w:w="3668" w:type="dxa"/>
            <w:shd w:val="clear" w:color="auto" w:fill="auto"/>
          </w:tcPr>
          <w:p w14:paraId="57EE5A31" w14:textId="77777777" w:rsidR="007A562E" w:rsidRPr="00D53B04" w:rsidRDefault="007A562E" w:rsidP="00730A4A">
            <w:pPr>
              <w:pStyle w:val="TableParagraph"/>
              <w:autoSpaceDE w:val="0"/>
              <w:autoSpaceDN w:val="0"/>
              <w:spacing w:before="2" w:line="252" w:lineRule="exact"/>
              <w:ind w:left="71" w:right="289"/>
              <w:rPr>
                <w:sz w:val="20"/>
                <w:szCs w:val="20"/>
              </w:rPr>
            </w:pPr>
            <w:r w:rsidRPr="00D53B04">
              <w:rPr>
                <w:sz w:val="20"/>
                <w:szCs w:val="20"/>
              </w:rPr>
              <w:t>Contingencies and miscellaneous (5%)</w:t>
            </w:r>
          </w:p>
        </w:tc>
        <w:tc>
          <w:tcPr>
            <w:tcW w:w="2005" w:type="dxa"/>
            <w:shd w:val="clear" w:color="auto" w:fill="auto"/>
          </w:tcPr>
          <w:p w14:paraId="6E06F997" w14:textId="77777777" w:rsidR="007A562E" w:rsidRPr="00D53B04" w:rsidRDefault="007A562E" w:rsidP="00730A4A">
            <w:pPr>
              <w:pStyle w:val="TableParagraph"/>
              <w:autoSpaceDE w:val="0"/>
              <w:autoSpaceDN w:val="0"/>
              <w:spacing w:before="124"/>
              <w:ind w:left="569" w:right="561"/>
              <w:jc w:val="center"/>
              <w:rPr>
                <w:sz w:val="20"/>
                <w:szCs w:val="20"/>
              </w:rPr>
            </w:pPr>
            <w:r w:rsidRPr="00D53B04">
              <w:rPr>
                <w:sz w:val="20"/>
                <w:szCs w:val="20"/>
              </w:rPr>
              <w:t>0,05</w:t>
            </w:r>
          </w:p>
        </w:tc>
        <w:tc>
          <w:tcPr>
            <w:tcW w:w="1883" w:type="dxa"/>
            <w:shd w:val="clear" w:color="auto" w:fill="auto"/>
          </w:tcPr>
          <w:p w14:paraId="1CA2165C" w14:textId="77777777" w:rsidR="007A562E" w:rsidRPr="00D53B04" w:rsidRDefault="007A562E" w:rsidP="00730A4A">
            <w:pPr>
              <w:pStyle w:val="TableParagraph"/>
              <w:autoSpaceDE w:val="0"/>
              <w:autoSpaceDN w:val="0"/>
              <w:rPr>
                <w:rFonts w:ascii="Times New Roman"/>
                <w:sz w:val="20"/>
                <w:szCs w:val="20"/>
              </w:rPr>
            </w:pPr>
          </w:p>
        </w:tc>
        <w:tc>
          <w:tcPr>
            <w:tcW w:w="1760" w:type="dxa"/>
            <w:shd w:val="clear" w:color="auto" w:fill="auto"/>
          </w:tcPr>
          <w:p w14:paraId="11408EAF" w14:textId="77777777" w:rsidR="007A562E" w:rsidRPr="00D53B04" w:rsidRDefault="007A562E" w:rsidP="00730A4A">
            <w:pPr>
              <w:pStyle w:val="TableParagraph"/>
              <w:autoSpaceDE w:val="0"/>
              <w:autoSpaceDN w:val="0"/>
              <w:spacing w:before="124"/>
              <w:ind w:right="57"/>
              <w:jc w:val="right"/>
              <w:rPr>
                <w:sz w:val="20"/>
                <w:szCs w:val="20"/>
              </w:rPr>
            </w:pPr>
            <w:r w:rsidRPr="00D53B04">
              <w:rPr>
                <w:sz w:val="20"/>
                <w:szCs w:val="20"/>
              </w:rPr>
              <w:t>722 315</w:t>
            </w:r>
          </w:p>
        </w:tc>
      </w:tr>
      <w:tr w:rsidR="007A562E" w14:paraId="5D0C27C1" w14:textId="77777777" w:rsidTr="00730A4A">
        <w:trPr>
          <w:trHeight w:val="424"/>
        </w:trPr>
        <w:tc>
          <w:tcPr>
            <w:tcW w:w="7556" w:type="dxa"/>
            <w:gridSpan w:val="3"/>
            <w:shd w:val="clear" w:color="auto" w:fill="auto"/>
          </w:tcPr>
          <w:p w14:paraId="64680C98" w14:textId="77777777" w:rsidR="007A562E" w:rsidRPr="00D53B04" w:rsidRDefault="007A562E" w:rsidP="00730A4A">
            <w:pPr>
              <w:pStyle w:val="TableParagraph"/>
              <w:autoSpaceDE w:val="0"/>
              <w:autoSpaceDN w:val="0"/>
              <w:spacing w:before="84"/>
              <w:ind w:left="2976" w:right="2965"/>
              <w:jc w:val="center"/>
              <w:rPr>
                <w:sz w:val="20"/>
                <w:szCs w:val="20"/>
              </w:rPr>
            </w:pPr>
            <w:r w:rsidRPr="00D53B04">
              <w:rPr>
                <w:sz w:val="20"/>
                <w:szCs w:val="20"/>
              </w:rPr>
              <w:t>GRAND TOTAL</w:t>
            </w:r>
          </w:p>
        </w:tc>
        <w:tc>
          <w:tcPr>
            <w:tcW w:w="1760" w:type="dxa"/>
            <w:shd w:val="clear" w:color="auto" w:fill="auto"/>
          </w:tcPr>
          <w:p w14:paraId="06B807B4" w14:textId="194F5FFD" w:rsidR="007A562E" w:rsidRPr="00D53B04" w:rsidRDefault="00590478" w:rsidP="00730A4A">
            <w:pPr>
              <w:pStyle w:val="TableParagraph"/>
              <w:autoSpaceDE w:val="0"/>
              <w:autoSpaceDN w:val="0"/>
              <w:spacing w:before="84"/>
              <w:ind w:right="57"/>
              <w:jc w:val="right"/>
              <w:rPr>
                <w:sz w:val="20"/>
                <w:szCs w:val="20"/>
              </w:rPr>
            </w:pPr>
            <w:r w:rsidRPr="00D53B04">
              <w:rPr>
                <w:sz w:val="20"/>
                <w:szCs w:val="20"/>
              </w:rPr>
              <w:t>18 675 330</w:t>
            </w:r>
          </w:p>
        </w:tc>
      </w:tr>
    </w:tbl>
    <w:p w14:paraId="365E0D20" w14:textId="77777777" w:rsidR="001977A4" w:rsidRPr="00D53B04" w:rsidRDefault="001977A4" w:rsidP="001977A4">
      <w:pPr>
        <w:pStyle w:val="Corpsdetexte"/>
        <w:spacing w:line="276" w:lineRule="auto"/>
        <w:rPr>
          <w:rFonts w:cs="Arial"/>
          <w:sz w:val="21"/>
          <w:szCs w:val="21"/>
          <w:lang w:val="en-US"/>
        </w:rPr>
      </w:pPr>
    </w:p>
    <w:p w14:paraId="512A61AF" w14:textId="77777777" w:rsidR="00E738A0" w:rsidRPr="00D53B04" w:rsidRDefault="00E738A0" w:rsidP="002378EA">
      <w:pPr>
        <w:pStyle w:val="Paragraphedeliste"/>
        <w:widowControl w:val="0"/>
        <w:numPr>
          <w:ilvl w:val="0"/>
          <w:numId w:val="112"/>
        </w:numPr>
        <w:tabs>
          <w:tab w:val="left" w:pos="709"/>
        </w:tabs>
        <w:autoSpaceDE w:val="0"/>
        <w:autoSpaceDN w:val="0"/>
        <w:ind w:left="709" w:hanging="425"/>
        <w:contextualSpacing w:val="0"/>
        <w:rPr>
          <w:rFonts w:cs="Arial"/>
          <w:i/>
          <w:szCs w:val="21"/>
          <w:lang w:val="en-US"/>
        </w:rPr>
      </w:pPr>
      <w:r w:rsidRPr="00D53B04">
        <w:rPr>
          <w:rFonts w:cs="Arial"/>
          <w:i/>
          <w:szCs w:val="21"/>
          <w:lang w:val="en-US"/>
        </w:rPr>
        <w:t>Grievance Redress Mechanism (GRM)</w:t>
      </w:r>
    </w:p>
    <w:p w14:paraId="61F26757" w14:textId="77777777" w:rsidR="00E738A0" w:rsidRPr="00D53B04" w:rsidRDefault="00E738A0" w:rsidP="00E738A0">
      <w:pPr>
        <w:pStyle w:val="Corpsdetexte"/>
        <w:spacing w:line="276" w:lineRule="auto"/>
        <w:ind w:right="13"/>
        <w:rPr>
          <w:rFonts w:cs="Arial"/>
          <w:sz w:val="21"/>
          <w:szCs w:val="21"/>
          <w:u w:val="single"/>
          <w:lang w:val="en-US"/>
        </w:rPr>
      </w:pPr>
    </w:p>
    <w:p w14:paraId="2B735C9C" w14:textId="77777777" w:rsidR="00E738A0" w:rsidRPr="00D53B04" w:rsidRDefault="00E738A0" w:rsidP="00E738A0">
      <w:pPr>
        <w:pStyle w:val="Corpsdetexte"/>
        <w:spacing w:line="276" w:lineRule="auto"/>
        <w:ind w:right="13"/>
        <w:rPr>
          <w:rFonts w:cs="Arial"/>
          <w:sz w:val="21"/>
          <w:szCs w:val="21"/>
          <w:lang w:val="en-US"/>
        </w:rPr>
      </w:pPr>
      <w:r w:rsidRPr="00D53B04">
        <w:rPr>
          <w:rFonts w:cs="Arial"/>
          <w:sz w:val="21"/>
          <w:szCs w:val="21"/>
          <w:u w:val="single"/>
          <w:lang w:val="en-US"/>
        </w:rPr>
        <w:t>A Grievance Redress Mechanism (GRM) is set up in accordance with NES 10: Stakeholder</w:t>
      </w:r>
      <w:r w:rsidRPr="00D53B04">
        <w:rPr>
          <w:rFonts w:cs="Arial"/>
          <w:sz w:val="21"/>
          <w:szCs w:val="21"/>
          <w:lang w:val="en-US"/>
        </w:rPr>
        <w:t xml:space="preserve"> </w:t>
      </w:r>
      <w:r w:rsidRPr="00D53B04">
        <w:rPr>
          <w:rFonts w:cs="Arial"/>
          <w:sz w:val="21"/>
          <w:szCs w:val="21"/>
          <w:u w:val="single"/>
          <w:lang w:val="en-US"/>
        </w:rPr>
        <w:t>Engagement and Information. The NADP PPM will be accessible to all stakeholders in the</w:t>
      </w:r>
      <w:r w:rsidRPr="00D53B04">
        <w:rPr>
          <w:rFonts w:cs="Arial"/>
          <w:sz w:val="21"/>
          <w:szCs w:val="21"/>
          <w:lang w:val="en-US"/>
        </w:rPr>
        <w:t xml:space="preserve"> </w:t>
      </w:r>
      <w:r w:rsidRPr="00D53B04">
        <w:rPr>
          <w:rFonts w:cs="Arial"/>
          <w:sz w:val="21"/>
          <w:szCs w:val="21"/>
          <w:u w:val="single"/>
          <w:lang w:val="en-US"/>
        </w:rPr>
        <w:t>programme including vulnerable people. In addition, a GBV-sensitive GRM is proposed in this</w:t>
      </w:r>
      <w:r w:rsidRPr="00D53B04">
        <w:rPr>
          <w:rFonts w:cs="Arial"/>
          <w:sz w:val="21"/>
          <w:szCs w:val="21"/>
          <w:lang w:val="en-US"/>
        </w:rPr>
        <w:t xml:space="preserve"> </w:t>
      </w:r>
      <w:r w:rsidRPr="00D53B04">
        <w:rPr>
          <w:rFonts w:cs="Arial"/>
          <w:sz w:val="21"/>
          <w:szCs w:val="21"/>
          <w:u w:val="single"/>
          <w:lang w:val="en-US"/>
        </w:rPr>
        <w:t>CGES. It advocates the amicable resolution mechanism</w:t>
      </w:r>
      <w:r w:rsidRPr="00D53B04">
        <w:rPr>
          <w:rFonts w:cs="Arial"/>
          <w:sz w:val="21"/>
          <w:szCs w:val="21"/>
          <w:lang w:val="en-US"/>
        </w:rPr>
        <w:t>.</w:t>
      </w:r>
    </w:p>
    <w:p w14:paraId="03B484A6" w14:textId="77777777" w:rsidR="00E738A0" w:rsidRPr="00D53B04" w:rsidRDefault="00E738A0" w:rsidP="00E738A0">
      <w:pPr>
        <w:pStyle w:val="Corpsdetexte"/>
        <w:ind w:right="13"/>
        <w:rPr>
          <w:rFonts w:cs="Arial"/>
          <w:sz w:val="21"/>
          <w:szCs w:val="21"/>
          <w:lang w:val="en-US"/>
        </w:rPr>
      </w:pPr>
    </w:p>
    <w:p w14:paraId="3F517BB8" w14:textId="77777777" w:rsidR="00E738A0" w:rsidRPr="00D53B04" w:rsidRDefault="00E738A0" w:rsidP="00E738A0">
      <w:pPr>
        <w:pStyle w:val="Corpsdetexte"/>
        <w:ind w:right="13"/>
        <w:rPr>
          <w:rFonts w:cs="Arial"/>
          <w:sz w:val="21"/>
          <w:szCs w:val="21"/>
          <w:lang w:val="en-US"/>
        </w:rPr>
      </w:pPr>
      <w:r w:rsidRPr="00D53B04">
        <w:rPr>
          <w:rFonts w:cs="Arial"/>
          <w:sz w:val="21"/>
          <w:szCs w:val="21"/>
          <w:lang w:val="en-US"/>
        </w:rPr>
        <w:t>Threelevels</w:t>
      </w:r>
      <w:r w:rsidRPr="00D53B04">
        <w:rPr>
          <w:rFonts w:cs="Arial"/>
          <w:sz w:val="21"/>
          <w:szCs w:val="21"/>
          <w:lang w:val="en-US"/>
        </w:rPr>
        <w:tab/>
        <w:t>of complaint</w:t>
      </w:r>
      <w:r w:rsidRPr="00D53B04">
        <w:rPr>
          <w:rFonts w:cs="Arial"/>
          <w:sz w:val="21"/>
          <w:szCs w:val="21"/>
          <w:lang w:val="en-US"/>
        </w:rPr>
        <w:tab/>
        <w:t xml:space="preserve"> resolution   with committees   inplace.   These</w:t>
      </w:r>
      <w:r w:rsidRPr="00D53B04">
        <w:rPr>
          <w:rFonts w:cs="Arial"/>
          <w:sz w:val="21"/>
          <w:szCs w:val="21"/>
          <w:lang w:val="en-US"/>
        </w:rPr>
        <w:tab/>
        <w:t>are   : (i)</w:t>
      </w:r>
      <w:r w:rsidRPr="00D53B04">
        <w:rPr>
          <w:rFonts w:cs="Arial"/>
          <w:sz w:val="21"/>
          <w:szCs w:val="21"/>
          <w:u w:val="single"/>
          <w:lang w:val="en-US"/>
        </w:rPr>
        <w:t xml:space="preserve"> Neighbourhood / village level: </w:t>
      </w:r>
      <w:r w:rsidRPr="00D53B04">
        <w:rPr>
          <w:rFonts w:cs="Arial"/>
          <w:i/>
          <w:sz w:val="21"/>
          <w:szCs w:val="21"/>
          <w:u w:val="single"/>
          <w:lang w:val="en-US"/>
        </w:rPr>
        <w:t xml:space="preserve">(ii) </w:t>
      </w:r>
      <w:r w:rsidRPr="00D53B04">
        <w:rPr>
          <w:rFonts w:cs="Arial"/>
          <w:sz w:val="21"/>
          <w:szCs w:val="21"/>
          <w:u w:val="single"/>
          <w:lang w:val="en-US"/>
        </w:rPr>
        <w:t>Municipal/territorial level: (</w:t>
      </w:r>
      <w:r w:rsidRPr="00D53B04">
        <w:rPr>
          <w:rFonts w:cs="Arial"/>
          <w:i/>
          <w:sz w:val="21"/>
          <w:szCs w:val="21"/>
          <w:u w:val="single"/>
          <w:lang w:val="en-US"/>
        </w:rPr>
        <w:t xml:space="preserve">iii) </w:t>
      </w:r>
      <w:r w:rsidRPr="00D53B04">
        <w:rPr>
          <w:rFonts w:cs="Arial"/>
          <w:sz w:val="21"/>
          <w:szCs w:val="21"/>
          <w:u w:val="single"/>
          <w:lang w:val="en-US"/>
        </w:rPr>
        <w:t>Provincial level</w:t>
      </w:r>
      <w:r w:rsidRPr="00D53B04">
        <w:rPr>
          <w:rFonts w:cs="Arial"/>
          <w:sz w:val="21"/>
          <w:szCs w:val="21"/>
          <w:lang w:val="en-US"/>
        </w:rPr>
        <w:t>.</w:t>
      </w:r>
    </w:p>
    <w:p w14:paraId="34040A27" w14:textId="77777777" w:rsidR="00E738A0" w:rsidRPr="00D53B04" w:rsidRDefault="00E738A0" w:rsidP="00E738A0">
      <w:pPr>
        <w:pStyle w:val="Corpsdetexte"/>
        <w:ind w:right="13"/>
        <w:rPr>
          <w:rFonts w:cs="Arial"/>
          <w:sz w:val="21"/>
          <w:szCs w:val="21"/>
          <w:lang w:val="en-US"/>
        </w:rPr>
      </w:pPr>
    </w:p>
    <w:p w14:paraId="1A063883" w14:textId="71C6E1AC" w:rsidR="00E738A0" w:rsidRPr="00D53B04" w:rsidRDefault="00E738A0" w:rsidP="00E738A0">
      <w:pPr>
        <w:pStyle w:val="Corpsdetexte"/>
        <w:ind w:right="13"/>
        <w:rPr>
          <w:rFonts w:cs="Arial"/>
          <w:sz w:val="21"/>
          <w:szCs w:val="21"/>
          <w:lang w:val="en-US"/>
        </w:rPr>
      </w:pPr>
      <w:r w:rsidRPr="00D53B04">
        <w:rPr>
          <w:rFonts w:cs="Arial"/>
          <w:sz w:val="21"/>
          <w:szCs w:val="21"/>
          <w:lang w:val="en-US"/>
        </w:rPr>
        <w:t>Although</w:t>
      </w:r>
      <w:r w:rsidRPr="00D53B04">
        <w:rPr>
          <w:rFonts w:cs="Arial"/>
          <w:spacing w:val="-12"/>
          <w:sz w:val="21"/>
          <w:szCs w:val="21"/>
          <w:lang w:val="en-US"/>
        </w:rPr>
        <w:t xml:space="preserve"> </w:t>
      </w:r>
      <w:r w:rsidRPr="00D53B04">
        <w:rPr>
          <w:rFonts w:cs="Arial"/>
          <w:sz w:val="21"/>
          <w:szCs w:val="21"/>
          <w:lang w:val="en-US"/>
        </w:rPr>
        <w:t>recourse</w:t>
      </w:r>
      <w:r w:rsidRPr="00D53B04">
        <w:rPr>
          <w:rFonts w:cs="Arial"/>
          <w:spacing w:val="-11"/>
          <w:sz w:val="21"/>
          <w:szCs w:val="21"/>
          <w:lang w:val="en-US"/>
        </w:rPr>
        <w:t xml:space="preserve"> </w:t>
      </w:r>
      <w:r w:rsidRPr="00D53B04">
        <w:rPr>
          <w:rFonts w:cs="Arial"/>
          <w:sz w:val="21"/>
          <w:szCs w:val="21"/>
          <w:lang w:val="en-US"/>
        </w:rPr>
        <w:t>to</w:t>
      </w:r>
      <w:r w:rsidRPr="00D53B04">
        <w:rPr>
          <w:rFonts w:cs="Arial"/>
          <w:spacing w:val="-10"/>
          <w:sz w:val="21"/>
          <w:szCs w:val="21"/>
          <w:lang w:val="en-US"/>
        </w:rPr>
        <w:t xml:space="preserve"> </w:t>
      </w:r>
      <w:r w:rsidRPr="00D53B04">
        <w:rPr>
          <w:rFonts w:cs="Arial"/>
          <w:sz w:val="21"/>
          <w:szCs w:val="21"/>
          <w:lang w:val="en-US"/>
        </w:rPr>
        <w:t>the</w:t>
      </w:r>
      <w:r w:rsidRPr="00D53B04">
        <w:rPr>
          <w:rFonts w:cs="Arial"/>
          <w:spacing w:val="-14"/>
          <w:sz w:val="21"/>
          <w:szCs w:val="21"/>
          <w:lang w:val="en-US"/>
        </w:rPr>
        <w:t xml:space="preserve"> </w:t>
      </w:r>
      <w:r w:rsidRPr="00D53B04">
        <w:rPr>
          <w:rFonts w:cs="Arial"/>
          <w:sz w:val="21"/>
          <w:szCs w:val="21"/>
          <w:lang w:val="en-US"/>
        </w:rPr>
        <w:t>courts</w:t>
      </w:r>
      <w:r w:rsidRPr="00D53B04">
        <w:rPr>
          <w:rFonts w:cs="Arial"/>
          <w:spacing w:val="-12"/>
          <w:sz w:val="21"/>
          <w:szCs w:val="21"/>
          <w:lang w:val="en-US"/>
        </w:rPr>
        <w:t xml:space="preserve"> </w:t>
      </w:r>
      <w:r w:rsidRPr="00D53B04">
        <w:rPr>
          <w:rFonts w:cs="Arial"/>
          <w:sz w:val="21"/>
          <w:szCs w:val="21"/>
          <w:lang w:val="en-US"/>
        </w:rPr>
        <w:t>is</w:t>
      </w:r>
      <w:r w:rsidRPr="00D53B04">
        <w:rPr>
          <w:rFonts w:cs="Arial"/>
          <w:spacing w:val="-10"/>
          <w:sz w:val="21"/>
          <w:szCs w:val="21"/>
          <w:lang w:val="en-US"/>
        </w:rPr>
        <w:t xml:space="preserve"> </w:t>
      </w:r>
      <w:r w:rsidRPr="00D53B04">
        <w:rPr>
          <w:rFonts w:cs="Arial"/>
          <w:sz w:val="21"/>
          <w:szCs w:val="21"/>
          <w:lang w:val="en-US"/>
        </w:rPr>
        <w:t>not</w:t>
      </w:r>
      <w:r w:rsidRPr="00D53B04">
        <w:rPr>
          <w:rFonts w:cs="Arial"/>
          <w:spacing w:val="-10"/>
          <w:sz w:val="21"/>
          <w:szCs w:val="21"/>
          <w:lang w:val="en-US"/>
        </w:rPr>
        <w:t xml:space="preserve"> </w:t>
      </w:r>
      <w:r w:rsidRPr="00D53B04">
        <w:rPr>
          <w:rFonts w:cs="Arial"/>
          <w:sz w:val="21"/>
          <w:szCs w:val="21"/>
          <w:lang w:val="en-US"/>
        </w:rPr>
        <w:t>recommended</w:t>
      </w:r>
      <w:r w:rsidRPr="00D53B04">
        <w:rPr>
          <w:rFonts w:cs="Arial"/>
          <w:spacing w:val="-13"/>
          <w:sz w:val="21"/>
          <w:szCs w:val="21"/>
          <w:lang w:val="en-US"/>
        </w:rPr>
        <w:t xml:space="preserve"> </w:t>
      </w:r>
      <w:r w:rsidRPr="00D53B04">
        <w:rPr>
          <w:rFonts w:cs="Arial"/>
          <w:sz w:val="21"/>
          <w:szCs w:val="21"/>
          <w:lang w:val="en-US"/>
        </w:rPr>
        <w:t>for</w:t>
      </w:r>
      <w:r w:rsidRPr="00D53B04">
        <w:rPr>
          <w:rFonts w:cs="Arial"/>
          <w:spacing w:val="-11"/>
          <w:sz w:val="21"/>
          <w:szCs w:val="21"/>
          <w:lang w:val="en-US"/>
        </w:rPr>
        <w:t xml:space="preserve"> </w:t>
      </w:r>
      <w:r w:rsidRPr="00D53B04">
        <w:rPr>
          <w:rFonts w:cs="Arial"/>
          <w:sz w:val="21"/>
          <w:szCs w:val="21"/>
          <w:lang w:val="en-US"/>
        </w:rPr>
        <w:t>the</w:t>
      </w:r>
      <w:r w:rsidRPr="00D53B04">
        <w:rPr>
          <w:rFonts w:cs="Arial"/>
          <w:spacing w:val="-13"/>
          <w:sz w:val="21"/>
          <w:szCs w:val="21"/>
          <w:lang w:val="en-US"/>
        </w:rPr>
        <w:t xml:space="preserve"> </w:t>
      </w:r>
      <w:r w:rsidRPr="00D53B04">
        <w:rPr>
          <w:rFonts w:cs="Arial"/>
          <w:sz w:val="21"/>
          <w:szCs w:val="21"/>
          <w:lang w:val="en-US"/>
        </w:rPr>
        <w:t>smooth</w:t>
      </w:r>
      <w:r w:rsidRPr="00D53B04">
        <w:rPr>
          <w:rFonts w:cs="Arial"/>
          <w:spacing w:val="-11"/>
          <w:sz w:val="21"/>
          <w:szCs w:val="21"/>
          <w:lang w:val="en-US"/>
        </w:rPr>
        <w:t xml:space="preserve"> </w:t>
      </w:r>
      <w:r w:rsidRPr="00D53B04">
        <w:rPr>
          <w:rFonts w:cs="Arial"/>
          <w:sz w:val="21"/>
          <w:szCs w:val="21"/>
          <w:lang w:val="en-US"/>
        </w:rPr>
        <w:t>running</w:t>
      </w:r>
      <w:r w:rsidRPr="00D53B04">
        <w:rPr>
          <w:rFonts w:cs="Arial"/>
          <w:spacing w:val="-8"/>
          <w:sz w:val="21"/>
          <w:szCs w:val="21"/>
          <w:lang w:val="en-US"/>
        </w:rPr>
        <w:t xml:space="preserve"> </w:t>
      </w:r>
      <w:r w:rsidRPr="00D53B04">
        <w:rPr>
          <w:rFonts w:cs="Arial"/>
          <w:sz w:val="21"/>
          <w:szCs w:val="21"/>
          <w:lang w:val="en-US"/>
        </w:rPr>
        <w:t>of</w:t>
      </w:r>
      <w:r w:rsidRPr="00D53B04">
        <w:rPr>
          <w:rFonts w:cs="Arial"/>
          <w:spacing w:val="-10"/>
          <w:sz w:val="21"/>
          <w:szCs w:val="21"/>
          <w:lang w:val="en-US"/>
        </w:rPr>
        <w:t xml:space="preserve"> </w:t>
      </w:r>
      <w:r w:rsidRPr="00D53B04">
        <w:rPr>
          <w:rFonts w:cs="Arial"/>
          <w:sz w:val="21"/>
          <w:szCs w:val="21"/>
          <w:lang w:val="en-US"/>
        </w:rPr>
        <w:t>the</w:t>
      </w:r>
      <w:r w:rsidRPr="00D53B04">
        <w:rPr>
          <w:rFonts w:cs="Arial"/>
          <w:spacing w:val="-11"/>
          <w:sz w:val="21"/>
          <w:szCs w:val="21"/>
          <w:lang w:val="en-US"/>
        </w:rPr>
        <w:t xml:space="preserve"> </w:t>
      </w:r>
      <w:r w:rsidRPr="00D53B04">
        <w:rPr>
          <w:rFonts w:cs="Arial"/>
          <w:sz w:val="21"/>
          <w:szCs w:val="21"/>
          <w:lang w:val="en-US"/>
        </w:rPr>
        <w:t>Project</w:t>
      </w:r>
      <w:r w:rsidRPr="00D53B04">
        <w:rPr>
          <w:rFonts w:cs="Arial"/>
          <w:spacing w:val="-10"/>
          <w:sz w:val="21"/>
          <w:szCs w:val="21"/>
          <w:lang w:val="en-US"/>
        </w:rPr>
        <w:t xml:space="preserve"> </w:t>
      </w:r>
      <w:r w:rsidRPr="00D53B04">
        <w:rPr>
          <w:rFonts w:cs="Arial"/>
          <w:sz w:val="21"/>
          <w:szCs w:val="21"/>
          <w:lang w:val="en-US"/>
        </w:rPr>
        <w:t>(risk of blockage</w:t>
      </w:r>
      <w:r w:rsidR="005257AB">
        <w:rPr>
          <w:rFonts w:cs="Arial"/>
          <w:sz w:val="21"/>
          <w:szCs w:val="21"/>
          <w:lang w:val="en-US"/>
        </w:rPr>
        <w:t>, work stoppage, delays, etc.).</w:t>
      </w:r>
    </w:p>
    <w:p w14:paraId="7BB2B1DC" w14:textId="77777777" w:rsidR="001977A4" w:rsidRPr="00D53B04" w:rsidRDefault="001977A4" w:rsidP="001977A4">
      <w:pPr>
        <w:pStyle w:val="Corpsdetexte"/>
        <w:spacing w:line="276" w:lineRule="auto"/>
        <w:rPr>
          <w:rFonts w:cs="Arial"/>
          <w:sz w:val="21"/>
          <w:szCs w:val="21"/>
          <w:lang w:val="en-US"/>
        </w:rPr>
      </w:pPr>
    </w:p>
    <w:p w14:paraId="115E2E93" w14:textId="31F87D38" w:rsidR="001977A4" w:rsidRPr="00D53B04" w:rsidRDefault="001977A4" w:rsidP="001977A4">
      <w:pPr>
        <w:pStyle w:val="Corpsdetexte"/>
        <w:spacing w:line="276" w:lineRule="auto"/>
        <w:rPr>
          <w:rFonts w:cs="Arial"/>
          <w:sz w:val="21"/>
          <w:szCs w:val="21"/>
          <w:lang w:val="en-US"/>
        </w:rPr>
      </w:pPr>
      <w:r w:rsidRPr="00D53B04">
        <w:rPr>
          <w:rFonts w:cs="Arial"/>
          <w:sz w:val="21"/>
          <w:szCs w:val="21"/>
          <w:lang w:val="en-US"/>
        </w:rPr>
        <w:t xml:space="preserve">As for GBV-related issues, a GBV subcommittee of the PSM will be organized to deal with GBV/SAE/HS sensitive allegations, specific procedures for the ethical and confidential treatment of complaints from SAEs/HS will be developed and included in the overall PSM at the level of the specific subcommittee on the issue. </w:t>
      </w:r>
    </w:p>
    <w:p w14:paraId="652D755F" w14:textId="77777777" w:rsidR="001977A4" w:rsidRPr="00D53B04" w:rsidRDefault="001977A4" w:rsidP="001977A4">
      <w:pPr>
        <w:pStyle w:val="Corpsdetexte"/>
        <w:spacing w:line="276" w:lineRule="auto"/>
        <w:rPr>
          <w:rFonts w:cs="Arial"/>
          <w:sz w:val="21"/>
          <w:szCs w:val="21"/>
          <w:lang w:val="en-US"/>
        </w:rPr>
      </w:pPr>
    </w:p>
    <w:p w14:paraId="1BFCB1A7" w14:textId="77777777" w:rsidR="001977A4" w:rsidRPr="00D53B04" w:rsidRDefault="001977A4" w:rsidP="002378EA">
      <w:pPr>
        <w:pStyle w:val="Paragraphedeliste"/>
        <w:widowControl w:val="0"/>
        <w:numPr>
          <w:ilvl w:val="0"/>
          <w:numId w:val="112"/>
        </w:numPr>
        <w:tabs>
          <w:tab w:val="left" w:pos="709"/>
        </w:tabs>
        <w:autoSpaceDE w:val="0"/>
        <w:autoSpaceDN w:val="0"/>
        <w:ind w:left="709" w:hanging="425"/>
        <w:contextualSpacing w:val="0"/>
        <w:rPr>
          <w:rFonts w:cs="Arial"/>
          <w:i/>
          <w:szCs w:val="21"/>
          <w:lang w:val="en-US"/>
        </w:rPr>
      </w:pPr>
      <w:r w:rsidRPr="00D53B04">
        <w:rPr>
          <w:rFonts w:cs="Arial"/>
          <w:i/>
          <w:szCs w:val="21"/>
          <w:lang w:val="en-US"/>
        </w:rPr>
        <w:t>Consultations conducted</w:t>
      </w:r>
    </w:p>
    <w:p w14:paraId="48381BF9" w14:textId="77777777" w:rsidR="001977A4" w:rsidRPr="00D53B04" w:rsidRDefault="001977A4" w:rsidP="001977A4">
      <w:pPr>
        <w:pStyle w:val="Corpsdetexte"/>
        <w:spacing w:line="276" w:lineRule="auto"/>
        <w:rPr>
          <w:rFonts w:cs="Arial"/>
          <w:i/>
          <w:sz w:val="21"/>
          <w:szCs w:val="21"/>
        </w:rPr>
      </w:pPr>
    </w:p>
    <w:p w14:paraId="2B96042A" w14:textId="021FF7B5" w:rsidR="001977A4" w:rsidRPr="00D53B04" w:rsidRDefault="001977A4" w:rsidP="001977A4">
      <w:pPr>
        <w:pStyle w:val="Corpsdetexte"/>
        <w:spacing w:line="276" w:lineRule="auto"/>
        <w:rPr>
          <w:rFonts w:cs="Arial"/>
          <w:sz w:val="21"/>
          <w:szCs w:val="21"/>
          <w:lang w:val="en-US"/>
        </w:rPr>
      </w:pPr>
      <w:r w:rsidRPr="00D53B04">
        <w:rPr>
          <w:rFonts w:cs="Arial"/>
          <w:sz w:val="21"/>
          <w:szCs w:val="21"/>
          <w:lang w:val="en-US"/>
        </w:rPr>
        <w:t>Public consultations in the context of COVID-19 were conducted in the Cities of Matadi (June 02, 2020), Kananga (June 03, 2020), Tshikapa (June 10, 2020), Bandundu-Ville (June 10, 2020)</w:t>
      </w:r>
      <w:r w:rsidRPr="00D53B04">
        <w:rPr>
          <w:rFonts w:cs="Arial"/>
          <w:spacing w:val="-5"/>
          <w:sz w:val="21"/>
          <w:szCs w:val="21"/>
          <w:lang w:val="en-US"/>
        </w:rPr>
        <w:t xml:space="preserve"> </w:t>
      </w:r>
      <w:r w:rsidRPr="00D53B04">
        <w:rPr>
          <w:rFonts w:cs="Arial"/>
          <w:sz w:val="21"/>
          <w:szCs w:val="21"/>
          <w:lang w:val="en-US"/>
        </w:rPr>
        <w:t>and</w:t>
      </w:r>
      <w:r w:rsidRPr="00D53B04">
        <w:rPr>
          <w:rFonts w:cs="Arial"/>
          <w:spacing w:val="-8"/>
          <w:sz w:val="21"/>
          <w:szCs w:val="21"/>
          <w:lang w:val="en-US"/>
        </w:rPr>
        <w:t xml:space="preserve"> </w:t>
      </w:r>
      <w:r w:rsidRPr="00D53B04">
        <w:rPr>
          <w:rFonts w:cs="Arial"/>
          <w:sz w:val="21"/>
          <w:szCs w:val="21"/>
          <w:lang w:val="en-US"/>
        </w:rPr>
        <w:t>Goma</w:t>
      </w:r>
      <w:r w:rsidRPr="00D53B04">
        <w:rPr>
          <w:rFonts w:cs="Arial"/>
          <w:spacing w:val="-8"/>
          <w:sz w:val="21"/>
          <w:szCs w:val="21"/>
          <w:lang w:val="en-US"/>
        </w:rPr>
        <w:t xml:space="preserve"> </w:t>
      </w:r>
      <w:r w:rsidRPr="00D53B04">
        <w:rPr>
          <w:rFonts w:cs="Arial"/>
          <w:sz w:val="21"/>
          <w:szCs w:val="21"/>
          <w:lang w:val="en-US"/>
        </w:rPr>
        <w:t>(June</w:t>
      </w:r>
      <w:r w:rsidRPr="00D53B04">
        <w:rPr>
          <w:rFonts w:cs="Arial"/>
          <w:spacing w:val="-8"/>
          <w:sz w:val="21"/>
          <w:szCs w:val="21"/>
          <w:lang w:val="en-US"/>
        </w:rPr>
        <w:t xml:space="preserve"> </w:t>
      </w:r>
      <w:r w:rsidRPr="00D53B04">
        <w:rPr>
          <w:rFonts w:cs="Arial"/>
          <w:sz w:val="21"/>
          <w:szCs w:val="21"/>
          <w:lang w:val="en-US"/>
        </w:rPr>
        <w:t>17,</w:t>
      </w:r>
      <w:r w:rsidRPr="00D53B04">
        <w:rPr>
          <w:rFonts w:cs="Arial"/>
          <w:spacing w:val="-4"/>
          <w:sz w:val="21"/>
          <w:szCs w:val="21"/>
          <w:lang w:val="en-US"/>
        </w:rPr>
        <w:t xml:space="preserve"> </w:t>
      </w:r>
      <w:r w:rsidRPr="00D53B04">
        <w:rPr>
          <w:rFonts w:cs="Arial"/>
          <w:sz w:val="21"/>
          <w:szCs w:val="21"/>
          <w:lang w:val="en-US"/>
        </w:rPr>
        <w:t>2020).</w:t>
      </w:r>
      <w:r w:rsidRPr="00D53B04">
        <w:rPr>
          <w:rFonts w:cs="Arial"/>
          <w:spacing w:val="-9"/>
          <w:sz w:val="21"/>
          <w:szCs w:val="21"/>
          <w:lang w:val="en-US"/>
        </w:rPr>
        <w:t xml:space="preserve"> </w:t>
      </w:r>
      <w:r w:rsidRPr="00D53B04">
        <w:rPr>
          <w:rFonts w:cs="Arial"/>
          <w:sz w:val="21"/>
          <w:szCs w:val="21"/>
          <w:lang w:val="en-US"/>
        </w:rPr>
        <w:t>These</w:t>
      </w:r>
      <w:r w:rsidRPr="00D53B04">
        <w:rPr>
          <w:rFonts w:cs="Arial"/>
          <w:spacing w:val="-9"/>
          <w:sz w:val="21"/>
          <w:szCs w:val="21"/>
          <w:lang w:val="en-US"/>
        </w:rPr>
        <w:t xml:space="preserve"> </w:t>
      </w:r>
      <w:r w:rsidRPr="00D53B04">
        <w:rPr>
          <w:rFonts w:cs="Arial"/>
          <w:sz w:val="21"/>
          <w:szCs w:val="21"/>
          <w:lang w:val="en-US"/>
        </w:rPr>
        <w:t>consultations</w:t>
      </w:r>
      <w:r w:rsidRPr="00D53B04">
        <w:rPr>
          <w:rFonts w:cs="Arial"/>
          <w:spacing w:val="-5"/>
          <w:sz w:val="21"/>
          <w:szCs w:val="21"/>
          <w:lang w:val="en-US"/>
        </w:rPr>
        <w:t xml:space="preserve"> </w:t>
      </w:r>
      <w:r w:rsidRPr="00D53B04">
        <w:rPr>
          <w:rFonts w:cs="Arial"/>
          <w:sz w:val="21"/>
          <w:szCs w:val="21"/>
          <w:lang w:val="en-US"/>
        </w:rPr>
        <w:t>brought</w:t>
      </w:r>
      <w:r w:rsidRPr="00D53B04">
        <w:rPr>
          <w:rFonts w:cs="Arial"/>
          <w:spacing w:val="-6"/>
          <w:sz w:val="21"/>
          <w:szCs w:val="21"/>
          <w:lang w:val="en-US"/>
        </w:rPr>
        <w:t xml:space="preserve"> </w:t>
      </w:r>
      <w:r w:rsidRPr="00D53B04">
        <w:rPr>
          <w:rFonts w:cs="Arial"/>
          <w:sz w:val="21"/>
          <w:szCs w:val="21"/>
          <w:lang w:val="en-US"/>
        </w:rPr>
        <w:t>together</w:t>
      </w:r>
      <w:r w:rsidRPr="00D53B04">
        <w:rPr>
          <w:rFonts w:cs="Arial"/>
          <w:spacing w:val="-7"/>
          <w:sz w:val="21"/>
          <w:szCs w:val="21"/>
          <w:lang w:val="en-US"/>
        </w:rPr>
        <w:t xml:space="preserve"> </w:t>
      </w:r>
      <w:r w:rsidRPr="00D53B04">
        <w:rPr>
          <w:rFonts w:cs="Arial"/>
          <w:sz w:val="21"/>
          <w:szCs w:val="21"/>
          <w:lang w:val="en-US"/>
        </w:rPr>
        <w:t>96</w:t>
      </w:r>
      <w:r w:rsidRPr="00D53B04">
        <w:rPr>
          <w:rFonts w:cs="Arial"/>
          <w:spacing w:val="-8"/>
          <w:sz w:val="21"/>
          <w:szCs w:val="21"/>
          <w:lang w:val="en-US"/>
        </w:rPr>
        <w:t xml:space="preserve"> </w:t>
      </w:r>
      <w:r w:rsidRPr="00D53B04">
        <w:rPr>
          <w:rFonts w:cs="Arial"/>
          <w:sz w:val="21"/>
          <w:szCs w:val="21"/>
          <w:lang w:val="en-US"/>
        </w:rPr>
        <w:t>participants</w:t>
      </w:r>
      <w:r w:rsidRPr="00D53B04">
        <w:rPr>
          <w:rFonts w:cs="Arial"/>
          <w:spacing w:val="-5"/>
          <w:sz w:val="21"/>
          <w:szCs w:val="21"/>
          <w:lang w:val="en-US"/>
        </w:rPr>
        <w:t xml:space="preserve"> </w:t>
      </w:r>
      <w:r w:rsidRPr="00D53B04">
        <w:rPr>
          <w:rFonts w:cs="Arial"/>
          <w:sz w:val="21"/>
          <w:szCs w:val="21"/>
          <w:lang w:val="en-US"/>
        </w:rPr>
        <w:t>with</w:t>
      </w:r>
      <w:r w:rsidRPr="00D53B04">
        <w:rPr>
          <w:rFonts w:cs="Arial"/>
          <w:spacing w:val="-5"/>
          <w:sz w:val="21"/>
          <w:szCs w:val="21"/>
          <w:lang w:val="en-US"/>
        </w:rPr>
        <w:t xml:space="preserve"> </w:t>
      </w:r>
      <w:r w:rsidRPr="00D53B04">
        <w:rPr>
          <w:rFonts w:cs="Arial"/>
          <w:sz w:val="21"/>
          <w:szCs w:val="21"/>
          <w:lang w:val="en-US"/>
        </w:rPr>
        <w:t>a maximum of 20 people / consultation (central and local authorities, technical services, civil society associations, representatives of beneficiary populations, etc.).) in accordance with the requirements of the barrier measures announced by the Government of the DRC, the operational planning guideline to support country preparedness and response" (2020) of the WHO Strategic Plan for Preparedness and Response to VIDOC-19 and the World Bank Technical Note of March 20</w:t>
      </w:r>
      <w:r w:rsidRPr="00D53B04">
        <w:rPr>
          <w:rStyle w:val="Appelnotedebasdep"/>
          <w:rFonts w:cs="Arial"/>
          <w:sz w:val="21"/>
          <w:szCs w:val="21"/>
        </w:rPr>
        <w:footnoteReference w:id="7"/>
      </w:r>
      <w:r w:rsidRPr="00D53B04">
        <w:rPr>
          <w:rFonts w:cs="Arial"/>
          <w:sz w:val="21"/>
          <w:szCs w:val="21"/>
          <w:lang w:val="en-US"/>
        </w:rPr>
        <w:t>, 2020 ".</w:t>
      </w:r>
    </w:p>
    <w:p w14:paraId="352A7788" w14:textId="77777777" w:rsidR="001977A4" w:rsidRPr="00D53B04" w:rsidRDefault="001977A4" w:rsidP="001977A4">
      <w:pPr>
        <w:pStyle w:val="Corpsdetexte"/>
        <w:spacing w:line="276" w:lineRule="auto"/>
        <w:rPr>
          <w:rFonts w:cs="Arial"/>
          <w:sz w:val="21"/>
          <w:szCs w:val="21"/>
          <w:lang w:val="en-US"/>
        </w:rPr>
      </w:pPr>
    </w:p>
    <w:p w14:paraId="39385FB1" w14:textId="77777777" w:rsidR="00294ADC" w:rsidRPr="00D53B04" w:rsidRDefault="001977A4" w:rsidP="00EC2A77">
      <w:pPr>
        <w:pStyle w:val="Corpsdetexte"/>
        <w:spacing w:line="276" w:lineRule="auto"/>
        <w:rPr>
          <w:rFonts w:cs="Arial"/>
          <w:sz w:val="21"/>
          <w:szCs w:val="21"/>
          <w:lang w:val="en-US"/>
        </w:rPr>
      </w:pPr>
      <w:r w:rsidRPr="00D53B04">
        <w:rPr>
          <w:rFonts w:cs="Arial"/>
          <w:sz w:val="21"/>
          <w:szCs w:val="21"/>
          <w:lang w:val="en-US"/>
        </w:rPr>
        <w:t>It</w:t>
      </w:r>
      <w:r w:rsidRPr="00D53B04">
        <w:rPr>
          <w:rFonts w:cs="Arial"/>
          <w:spacing w:val="-15"/>
          <w:sz w:val="21"/>
          <w:szCs w:val="21"/>
          <w:lang w:val="en-US"/>
        </w:rPr>
        <w:t xml:space="preserve"> </w:t>
      </w:r>
      <w:r w:rsidRPr="00D53B04">
        <w:rPr>
          <w:rFonts w:cs="Arial"/>
          <w:sz w:val="21"/>
          <w:szCs w:val="21"/>
          <w:lang w:val="en-US"/>
        </w:rPr>
        <w:t>emerged</w:t>
      </w:r>
      <w:r w:rsidRPr="00D53B04">
        <w:rPr>
          <w:rFonts w:cs="Arial"/>
          <w:spacing w:val="-18"/>
          <w:sz w:val="21"/>
          <w:szCs w:val="21"/>
          <w:lang w:val="en-US"/>
        </w:rPr>
        <w:t xml:space="preserve"> </w:t>
      </w:r>
      <w:r w:rsidRPr="00D53B04">
        <w:rPr>
          <w:rFonts w:cs="Arial"/>
          <w:sz w:val="21"/>
          <w:szCs w:val="21"/>
          <w:lang w:val="en-US"/>
        </w:rPr>
        <w:t>from</w:t>
      </w:r>
      <w:r w:rsidRPr="00D53B04">
        <w:rPr>
          <w:rFonts w:cs="Arial"/>
          <w:spacing w:val="-17"/>
          <w:sz w:val="21"/>
          <w:szCs w:val="21"/>
          <w:lang w:val="en-US"/>
        </w:rPr>
        <w:t xml:space="preserve"> </w:t>
      </w:r>
      <w:r w:rsidRPr="00D53B04">
        <w:rPr>
          <w:rFonts w:cs="Arial"/>
          <w:sz w:val="21"/>
          <w:szCs w:val="21"/>
          <w:lang w:val="en-US"/>
        </w:rPr>
        <w:t>these</w:t>
      </w:r>
      <w:r w:rsidRPr="00D53B04">
        <w:rPr>
          <w:rFonts w:cs="Arial"/>
          <w:spacing w:val="-16"/>
          <w:sz w:val="21"/>
          <w:szCs w:val="21"/>
          <w:lang w:val="en-US"/>
        </w:rPr>
        <w:t xml:space="preserve"> </w:t>
      </w:r>
      <w:r w:rsidRPr="00D53B04">
        <w:rPr>
          <w:rFonts w:cs="Arial"/>
          <w:sz w:val="21"/>
          <w:szCs w:val="21"/>
          <w:lang w:val="en-US"/>
        </w:rPr>
        <w:t>consultation</w:t>
      </w:r>
      <w:r w:rsidRPr="00D53B04">
        <w:rPr>
          <w:rFonts w:cs="Arial"/>
          <w:spacing w:val="-12"/>
          <w:sz w:val="21"/>
          <w:szCs w:val="21"/>
          <w:lang w:val="en-US"/>
        </w:rPr>
        <w:t xml:space="preserve"> </w:t>
      </w:r>
      <w:r w:rsidRPr="00D53B04">
        <w:rPr>
          <w:rFonts w:cs="Arial"/>
          <w:sz w:val="21"/>
          <w:szCs w:val="21"/>
          <w:lang w:val="en-US"/>
        </w:rPr>
        <w:t>sessions</w:t>
      </w:r>
      <w:r w:rsidRPr="00D53B04">
        <w:rPr>
          <w:rFonts w:cs="Arial"/>
          <w:spacing w:val="-16"/>
          <w:sz w:val="21"/>
          <w:szCs w:val="21"/>
          <w:lang w:val="en-US"/>
        </w:rPr>
        <w:t xml:space="preserve"> </w:t>
      </w:r>
      <w:r w:rsidRPr="00D53B04">
        <w:rPr>
          <w:rFonts w:cs="Arial"/>
          <w:sz w:val="21"/>
          <w:szCs w:val="21"/>
          <w:lang w:val="en-US"/>
        </w:rPr>
        <w:t>that</w:t>
      </w:r>
      <w:r w:rsidRPr="00D53B04">
        <w:rPr>
          <w:rFonts w:cs="Arial"/>
          <w:spacing w:val="-16"/>
          <w:sz w:val="21"/>
          <w:szCs w:val="21"/>
          <w:lang w:val="en-US"/>
        </w:rPr>
        <w:t xml:space="preserve"> </w:t>
      </w:r>
      <w:r w:rsidRPr="00D53B04">
        <w:rPr>
          <w:rFonts w:cs="Arial"/>
          <w:sz w:val="21"/>
          <w:szCs w:val="21"/>
          <w:lang w:val="en-US"/>
        </w:rPr>
        <w:t>the</w:t>
      </w:r>
      <w:r w:rsidRPr="00D53B04">
        <w:rPr>
          <w:rFonts w:cs="Arial"/>
          <w:spacing w:val="-13"/>
          <w:sz w:val="21"/>
          <w:szCs w:val="21"/>
          <w:lang w:val="en-US"/>
        </w:rPr>
        <w:t xml:space="preserve"> </w:t>
      </w:r>
      <w:r w:rsidRPr="00D53B04">
        <w:rPr>
          <w:rFonts w:cs="Arial"/>
          <w:sz w:val="21"/>
          <w:szCs w:val="21"/>
          <w:lang w:val="en-US"/>
        </w:rPr>
        <w:t>expectations</w:t>
      </w:r>
      <w:r w:rsidRPr="00D53B04">
        <w:rPr>
          <w:rFonts w:cs="Arial"/>
          <w:spacing w:val="-16"/>
          <w:sz w:val="21"/>
          <w:szCs w:val="21"/>
          <w:lang w:val="en-US"/>
        </w:rPr>
        <w:t xml:space="preserve"> </w:t>
      </w:r>
      <w:r w:rsidRPr="00D53B04">
        <w:rPr>
          <w:rFonts w:cs="Arial"/>
          <w:sz w:val="21"/>
          <w:szCs w:val="21"/>
          <w:lang w:val="en-US"/>
        </w:rPr>
        <w:t>of</w:t>
      </w:r>
      <w:r w:rsidRPr="00D53B04">
        <w:rPr>
          <w:rFonts w:cs="Arial"/>
          <w:spacing w:val="-11"/>
          <w:sz w:val="21"/>
          <w:szCs w:val="21"/>
          <w:lang w:val="en-US"/>
        </w:rPr>
        <w:t xml:space="preserve"> </w:t>
      </w:r>
      <w:r w:rsidRPr="00D53B04">
        <w:rPr>
          <w:rFonts w:cs="Arial"/>
          <w:sz w:val="21"/>
          <w:szCs w:val="21"/>
          <w:lang w:val="en-US"/>
        </w:rPr>
        <w:t>all</w:t>
      </w:r>
      <w:r w:rsidRPr="00D53B04">
        <w:rPr>
          <w:rFonts w:cs="Arial"/>
          <w:spacing w:val="-13"/>
          <w:sz w:val="21"/>
          <w:szCs w:val="21"/>
          <w:lang w:val="en-US"/>
        </w:rPr>
        <w:t xml:space="preserve"> </w:t>
      </w:r>
      <w:r w:rsidRPr="00D53B04">
        <w:rPr>
          <w:rFonts w:cs="Arial"/>
          <w:sz w:val="21"/>
          <w:szCs w:val="21"/>
          <w:lang w:val="en-US"/>
        </w:rPr>
        <w:t>stakeholders</w:t>
      </w:r>
      <w:r w:rsidRPr="00D53B04">
        <w:rPr>
          <w:rFonts w:cs="Arial"/>
          <w:spacing w:val="-16"/>
          <w:sz w:val="21"/>
          <w:szCs w:val="21"/>
          <w:lang w:val="en-US"/>
        </w:rPr>
        <w:t xml:space="preserve"> </w:t>
      </w:r>
      <w:r w:rsidRPr="00D53B04">
        <w:rPr>
          <w:rFonts w:cs="Arial"/>
          <w:sz w:val="21"/>
          <w:szCs w:val="21"/>
          <w:lang w:val="en-US"/>
        </w:rPr>
        <w:t>regarding this</w:t>
      </w:r>
      <w:r w:rsidRPr="00D53B04">
        <w:rPr>
          <w:rFonts w:cs="Arial"/>
          <w:spacing w:val="-6"/>
          <w:sz w:val="21"/>
          <w:szCs w:val="21"/>
          <w:lang w:val="en-US"/>
        </w:rPr>
        <w:t xml:space="preserve"> </w:t>
      </w:r>
      <w:r w:rsidRPr="00D53B04">
        <w:rPr>
          <w:rFonts w:cs="Arial"/>
          <w:sz w:val="21"/>
          <w:szCs w:val="21"/>
          <w:lang w:val="en-US"/>
        </w:rPr>
        <w:t>Project</w:t>
      </w:r>
      <w:r w:rsidRPr="00D53B04">
        <w:rPr>
          <w:rFonts w:cs="Arial"/>
          <w:spacing w:val="-7"/>
          <w:sz w:val="21"/>
          <w:szCs w:val="21"/>
          <w:lang w:val="en-US"/>
        </w:rPr>
        <w:t xml:space="preserve"> </w:t>
      </w:r>
      <w:r w:rsidRPr="00D53B04">
        <w:rPr>
          <w:rFonts w:cs="Arial"/>
          <w:sz w:val="21"/>
          <w:szCs w:val="21"/>
          <w:lang w:val="en-US"/>
        </w:rPr>
        <w:t>are</w:t>
      </w:r>
      <w:r w:rsidRPr="00D53B04">
        <w:rPr>
          <w:rFonts w:cs="Arial"/>
          <w:spacing w:val="-7"/>
          <w:sz w:val="21"/>
          <w:szCs w:val="21"/>
          <w:lang w:val="en-US"/>
        </w:rPr>
        <w:t xml:space="preserve"> </w:t>
      </w:r>
      <w:r w:rsidRPr="00D53B04">
        <w:rPr>
          <w:rFonts w:cs="Arial"/>
          <w:sz w:val="21"/>
          <w:szCs w:val="21"/>
          <w:lang w:val="en-US"/>
        </w:rPr>
        <w:t>high</w:t>
      </w:r>
      <w:r w:rsidRPr="00D53B04">
        <w:rPr>
          <w:rFonts w:cs="Arial"/>
          <w:spacing w:val="-8"/>
          <w:sz w:val="21"/>
          <w:szCs w:val="21"/>
          <w:lang w:val="en-US"/>
        </w:rPr>
        <w:t xml:space="preserve"> </w:t>
      </w:r>
      <w:r w:rsidRPr="00D53B04">
        <w:rPr>
          <w:rFonts w:cs="Arial"/>
          <w:sz w:val="21"/>
          <w:szCs w:val="21"/>
          <w:lang w:val="en-US"/>
        </w:rPr>
        <w:t>and</w:t>
      </w:r>
      <w:r w:rsidRPr="00D53B04">
        <w:rPr>
          <w:rFonts w:cs="Arial"/>
          <w:spacing w:val="-8"/>
          <w:sz w:val="21"/>
          <w:szCs w:val="21"/>
          <w:lang w:val="en-US"/>
        </w:rPr>
        <w:t xml:space="preserve"> </w:t>
      </w:r>
      <w:r w:rsidRPr="00D53B04">
        <w:rPr>
          <w:rFonts w:cs="Arial"/>
          <w:sz w:val="21"/>
          <w:szCs w:val="21"/>
          <w:lang w:val="en-US"/>
        </w:rPr>
        <w:t>the</w:t>
      </w:r>
      <w:r w:rsidRPr="00D53B04">
        <w:rPr>
          <w:rFonts w:cs="Arial"/>
          <w:spacing w:val="-5"/>
          <w:sz w:val="21"/>
          <w:szCs w:val="21"/>
          <w:lang w:val="en-US"/>
        </w:rPr>
        <w:t xml:space="preserve"> </w:t>
      </w:r>
      <w:r w:rsidRPr="00D53B04">
        <w:rPr>
          <w:rFonts w:cs="Arial"/>
          <w:sz w:val="21"/>
          <w:szCs w:val="21"/>
          <w:lang w:val="en-US"/>
        </w:rPr>
        <w:t>involvement</w:t>
      </w:r>
      <w:r w:rsidRPr="00D53B04">
        <w:rPr>
          <w:rFonts w:cs="Arial"/>
          <w:spacing w:val="-4"/>
          <w:sz w:val="21"/>
          <w:szCs w:val="21"/>
          <w:lang w:val="en-US"/>
        </w:rPr>
        <w:t xml:space="preserve"> </w:t>
      </w:r>
      <w:r w:rsidRPr="00D53B04">
        <w:rPr>
          <w:rFonts w:cs="Arial"/>
          <w:sz w:val="21"/>
          <w:szCs w:val="21"/>
          <w:lang w:val="en-US"/>
        </w:rPr>
        <w:t>of</w:t>
      </w:r>
      <w:r w:rsidRPr="00D53B04">
        <w:rPr>
          <w:rFonts w:cs="Arial"/>
          <w:spacing w:val="-2"/>
          <w:sz w:val="21"/>
          <w:szCs w:val="21"/>
          <w:lang w:val="en-US"/>
        </w:rPr>
        <w:t xml:space="preserve"> </w:t>
      </w:r>
      <w:r w:rsidRPr="00D53B04">
        <w:rPr>
          <w:rFonts w:cs="Arial"/>
          <w:sz w:val="21"/>
          <w:szCs w:val="21"/>
          <w:lang w:val="en-US"/>
        </w:rPr>
        <w:t>all</w:t>
      </w:r>
      <w:r w:rsidRPr="00D53B04">
        <w:rPr>
          <w:rFonts w:cs="Arial"/>
          <w:spacing w:val="-7"/>
          <w:sz w:val="21"/>
          <w:szCs w:val="21"/>
          <w:lang w:val="en-US"/>
        </w:rPr>
        <w:t xml:space="preserve"> </w:t>
      </w:r>
      <w:r w:rsidRPr="00D53B04">
        <w:rPr>
          <w:rFonts w:cs="Arial"/>
          <w:sz w:val="21"/>
          <w:szCs w:val="21"/>
          <w:lang w:val="en-US"/>
        </w:rPr>
        <w:t>is</w:t>
      </w:r>
      <w:r w:rsidRPr="00D53B04">
        <w:rPr>
          <w:rFonts w:cs="Arial"/>
          <w:spacing w:val="-5"/>
          <w:sz w:val="21"/>
          <w:szCs w:val="21"/>
          <w:lang w:val="en-US"/>
        </w:rPr>
        <w:t xml:space="preserve"> </w:t>
      </w:r>
      <w:r w:rsidRPr="00D53B04">
        <w:rPr>
          <w:rFonts w:cs="Arial"/>
          <w:sz w:val="21"/>
          <w:szCs w:val="21"/>
          <w:lang w:val="en-US"/>
        </w:rPr>
        <w:t>demonstrated.</w:t>
      </w:r>
      <w:r w:rsidRPr="00D53B04">
        <w:rPr>
          <w:rFonts w:cs="Arial"/>
          <w:spacing w:val="-7"/>
          <w:sz w:val="21"/>
          <w:szCs w:val="21"/>
          <w:lang w:val="en-US"/>
        </w:rPr>
        <w:t xml:space="preserve"> </w:t>
      </w:r>
      <w:r w:rsidRPr="00D53B04">
        <w:rPr>
          <w:rFonts w:cs="Arial"/>
          <w:sz w:val="21"/>
          <w:szCs w:val="21"/>
          <w:lang w:val="en-US"/>
        </w:rPr>
        <w:t>The</w:t>
      </w:r>
      <w:r w:rsidRPr="00D53B04">
        <w:rPr>
          <w:rFonts w:cs="Arial"/>
          <w:spacing w:val="-8"/>
          <w:sz w:val="21"/>
          <w:szCs w:val="21"/>
          <w:lang w:val="en-US"/>
        </w:rPr>
        <w:t xml:space="preserve"> </w:t>
      </w:r>
      <w:r w:rsidRPr="00D53B04">
        <w:rPr>
          <w:rFonts w:cs="Arial"/>
          <w:sz w:val="21"/>
          <w:szCs w:val="21"/>
          <w:lang w:val="en-US"/>
        </w:rPr>
        <w:t>various</w:t>
      </w:r>
      <w:r w:rsidRPr="00D53B04">
        <w:rPr>
          <w:rFonts w:cs="Arial"/>
          <w:spacing w:val="-5"/>
          <w:sz w:val="21"/>
          <w:szCs w:val="21"/>
          <w:lang w:val="en-US"/>
        </w:rPr>
        <w:t xml:space="preserve"> </w:t>
      </w:r>
      <w:r w:rsidRPr="00D53B04">
        <w:rPr>
          <w:rFonts w:cs="Arial"/>
          <w:sz w:val="21"/>
          <w:szCs w:val="21"/>
          <w:lang w:val="en-US"/>
        </w:rPr>
        <w:t>stakeholders</w:t>
      </w:r>
      <w:r w:rsidRPr="00D53B04">
        <w:rPr>
          <w:rFonts w:cs="Arial"/>
          <w:spacing w:val="-7"/>
          <w:sz w:val="21"/>
          <w:szCs w:val="21"/>
          <w:lang w:val="en-US"/>
        </w:rPr>
        <w:t xml:space="preserve"> </w:t>
      </w:r>
      <w:r w:rsidRPr="00D53B04">
        <w:rPr>
          <w:rFonts w:cs="Arial"/>
          <w:sz w:val="21"/>
          <w:szCs w:val="21"/>
          <w:lang w:val="en-US"/>
        </w:rPr>
        <w:t>met unanimously appreciated the program and the participatory approach that is being implemented. The program is welcome because it will boost the development of agricultural production,</w:t>
      </w:r>
      <w:r w:rsidRPr="00D53B04">
        <w:rPr>
          <w:rFonts w:cs="Arial"/>
          <w:spacing w:val="9"/>
          <w:sz w:val="21"/>
          <w:szCs w:val="21"/>
          <w:lang w:val="en-US"/>
        </w:rPr>
        <w:t xml:space="preserve"> </w:t>
      </w:r>
      <w:r w:rsidRPr="00D53B04">
        <w:rPr>
          <w:rFonts w:cs="Arial"/>
          <w:sz w:val="21"/>
          <w:szCs w:val="21"/>
          <w:lang w:val="en-US"/>
        </w:rPr>
        <w:t>fishing</w:t>
      </w:r>
      <w:r w:rsidRPr="00D53B04">
        <w:rPr>
          <w:rFonts w:cs="Arial"/>
          <w:spacing w:val="14"/>
          <w:sz w:val="21"/>
          <w:szCs w:val="21"/>
          <w:lang w:val="en-US"/>
        </w:rPr>
        <w:t xml:space="preserve"> </w:t>
      </w:r>
      <w:r w:rsidRPr="00D53B04">
        <w:rPr>
          <w:rFonts w:cs="Arial"/>
          <w:sz w:val="21"/>
          <w:szCs w:val="21"/>
          <w:lang w:val="en-US"/>
        </w:rPr>
        <w:t>and</w:t>
      </w:r>
      <w:r w:rsidRPr="00D53B04">
        <w:rPr>
          <w:rFonts w:cs="Arial"/>
          <w:spacing w:val="14"/>
          <w:sz w:val="21"/>
          <w:szCs w:val="21"/>
          <w:lang w:val="en-US"/>
        </w:rPr>
        <w:t xml:space="preserve"> </w:t>
      </w:r>
      <w:r w:rsidRPr="00D53B04">
        <w:rPr>
          <w:rFonts w:cs="Arial"/>
          <w:sz w:val="21"/>
          <w:szCs w:val="21"/>
          <w:lang w:val="en-US"/>
        </w:rPr>
        <w:t>livestock</w:t>
      </w:r>
      <w:r w:rsidRPr="00D53B04">
        <w:rPr>
          <w:rFonts w:cs="Arial"/>
          <w:spacing w:val="14"/>
          <w:sz w:val="21"/>
          <w:szCs w:val="21"/>
          <w:lang w:val="en-US"/>
        </w:rPr>
        <w:t xml:space="preserve"> </w:t>
      </w:r>
      <w:r w:rsidRPr="00D53B04">
        <w:rPr>
          <w:rFonts w:cs="Arial"/>
          <w:sz w:val="21"/>
          <w:szCs w:val="21"/>
          <w:lang w:val="en-US"/>
        </w:rPr>
        <w:t>in</w:t>
      </w:r>
      <w:r w:rsidRPr="00D53B04">
        <w:rPr>
          <w:rFonts w:cs="Arial"/>
          <w:spacing w:val="14"/>
          <w:sz w:val="21"/>
          <w:szCs w:val="21"/>
          <w:lang w:val="en-US"/>
        </w:rPr>
        <w:t xml:space="preserve"> </w:t>
      </w:r>
      <w:r w:rsidRPr="00D53B04">
        <w:rPr>
          <w:rFonts w:cs="Arial"/>
          <w:sz w:val="21"/>
          <w:szCs w:val="21"/>
          <w:lang w:val="en-US"/>
        </w:rPr>
        <w:t>all</w:t>
      </w:r>
      <w:r w:rsidRPr="00D53B04">
        <w:rPr>
          <w:rFonts w:cs="Arial"/>
          <w:spacing w:val="10"/>
          <w:sz w:val="21"/>
          <w:szCs w:val="21"/>
          <w:lang w:val="en-US"/>
        </w:rPr>
        <w:t xml:space="preserve"> </w:t>
      </w:r>
      <w:r w:rsidRPr="00D53B04">
        <w:rPr>
          <w:rFonts w:cs="Arial"/>
          <w:sz w:val="21"/>
          <w:szCs w:val="21"/>
          <w:lang w:val="en-US"/>
        </w:rPr>
        <w:t>the</w:t>
      </w:r>
      <w:r w:rsidRPr="00D53B04">
        <w:rPr>
          <w:rFonts w:cs="Arial"/>
          <w:spacing w:val="13"/>
          <w:sz w:val="21"/>
          <w:szCs w:val="21"/>
          <w:lang w:val="en-US"/>
        </w:rPr>
        <w:t xml:space="preserve"> </w:t>
      </w:r>
      <w:r w:rsidRPr="00D53B04">
        <w:rPr>
          <w:rFonts w:cs="Arial"/>
          <w:sz w:val="21"/>
          <w:szCs w:val="21"/>
          <w:lang w:val="en-US"/>
        </w:rPr>
        <w:t>5</w:t>
      </w:r>
      <w:r w:rsidRPr="00D53B04">
        <w:rPr>
          <w:rFonts w:cs="Arial"/>
          <w:spacing w:val="11"/>
          <w:sz w:val="21"/>
          <w:szCs w:val="21"/>
          <w:lang w:val="en-US"/>
        </w:rPr>
        <w:t xml:space="preserve"> </w:t>
      </w:r>
      <w:r w:rsidRPr="00D53B04">
        <w:rPr>
          <w:rFonts w:cs="Arial"/>
          <w:sz w:val="21"/>
          <w:szCs w:val="21"/>
          <w:lang w:val="en-US"/>
        </w:rPr>
        <w:t>Provinces</w:t>
      </w:r>
      <w:r w:rsidRPr="00D53B04">
        <w:rPr>
          <w:rFonts w:cs="Arial"/>
          <w:spacing w:val="13"/>
          <w:sz w:val="21"/>
          <w:szCs w:val="21"/>
          <w:lang w:val="en-US"/>
        </w:rPr>
        <w:t xml:space="preserve"> </w:t>
      </w:r>
      <w:r w:rsidRPr="00D53B04">
        <w:rPr>
          <w:rFonts w:cs="Arial"/>
          <w:sz w:val="21"/>
          <w:szCs w:val="21"/>
          <w:lang w:val="en-US"/>
        </w:rPr>
        <w:t>concerned.</w:t>
      </w:r>
      <w:r w:rsidRPr="00D53B04">
        <w:rPr>
          <w:rFonts w:cs="Arial"/>
          <w:spacing w:val="12"/>
          <w:sz w:val="21"/>
          <w:szCs w:val="21"/>
          <w:lang w:val="en-US"/>
        </w:rPr>
        <w:t xml:space="preserve"> </w:t>
      </w:r>
      <w:r w:rsidRPr="00D53B04">
        <w:rPr>
          <w:rFonts w:cs="Arial"/>
          <w:sz w:val="21"/>
          <w:szCs w:val="21"/>
          <w:lang w:val="en-US"/>
        </w:rPr>
        <w:t>However,</w:t>
      </w:r>
      <w:r w:rsidRPr="00D53B04">
        <w:rPr>
          <w:rFonts w:cs="Arial"/>
          <w:spacing w:val="13"/>
          <w:sz w:val="21"/>
          <w:szCs w:val="21"/>
          <w:lang w:val="en-US"/>
        </w:rPr>
        <w:t xml:space="preserve"> </w:t>
      </w:r>
      <w:r w:rsidRPr="00D53B04">
        <w:rPr>
          <w:rFonts w:cs="Arial"/>
          <w:sz w:val="21"/>
          <w:szCs w:val="21"/>
          <w:lang w:val="en-US"/>
        </w:rPr>
        <w:t>some</w:t>
      </w:r>
      <w:r w:rsidRPr="00D53B04">
        <w:rPr>
          <w:rFonts w:cs="Arial"/>
          <w:spacing w:val="12"/>
          <w:sz w:val="21"/>
          <w:szCs w:val="21"/>
          <w:lang w:val="en-US"/>
        </w:rPr>
        <w:t xml:space="preserve"> </w:t>
      </w:r>
      <w:r w:rsidRPr="00D53B04">
        <w:rPr>
          <w:rFonts w:cs="Arial"/>
          <w:sz w:val="21"/>
          <w:szCs w:val="21"/>
          <w:lang w:val="en-US"/>
        </w:rPr>
        <w:t>concerns and suggestions were made about the Project, such as: the populations under the program, the</w:t>
      </w:r>
      <w:r w:rsidRPr="00D53B04">
        <w:rPr>
          <w:rFonts w:cs="Arial"/>
          <w:spacing w:val="-9"/>
          <w:sz w:val="21"/>
          <w:szCs w:val="21"/>
          <w:lang w:val="en-US"/>
        </w:rPr>
        <w:t xml:space="preserve"> </w:t>
      </w:r>
      <w:r w:rsidRPr="00D53B04">
        <w:rPr>
          <w:rFonts w:cs="Arial"/>
          <w:sz w:val="21"/>
          <w:szCs w:val="21"/>
          <w:lang w:val="en-US"/>
        </w:rPr>
        <w:t>participation</w:t>
      </w:r>
      <w:r w:rsidRPr="00D53B04">
        <w:rPr>
          <w:rFonts w:cs="Arial"/>
          <w:spacing w:val="-7"/>
          <w:sz w:val="21"/>
          <w:szCs w:val="21"/>
          <w:lang w:val="en-US"/>
        </w:rPr>
        <w:t xml:space="preserve"> </w:t>
      </w:r>
      <w:r w:rsidRPr="00D53B04">
        <w:rPr>
          <w:rFonts w:cs="Arial"/>
          <w:sz w:val="21"/>
          <w:szCs w:val="21"/>
          <w:lang w:val="en-US"/>
        </w:rPr>
        <w:t>of</w:t>
      </w:r>
      <w:r w:rsidRPr="00D53B04">
        <w:rPr>
          <w:rFonts w:cs="Arial"/>
          <w:spacing w:val="-5"/>
          <w:sz w:val="21"/>
          <w:szCs w:val="21"/>
          <w:lang w:val="en-US"/>
        </w:rPr>
        <w:t xml:space="preserve"> </w:t>
      </w:r>
      <w:r w:rsidRPr="00D53B04">
        <w:rPr>
          <w:rFonts w:cs="Arial"/>
          <w:sz w:val="21"/>
          <w:szCs w:val="21"/>
          <w:lang w:val="en-US"/>
        </w:rPr>
        <w:t>women,</w:t>
      </w:r>
      <w:r w:rsidRPr="00D53B04">
        <w:rPr>
          <w:rFonts w:cs="Arial"/>
          <w:spacing w:val="-8"/>
          <w:sz w:val="21"/>
          <w:szCs w:val="21"/>
          <w:lang w:val="en-US"/>
        </w:rPr>
        <w:t xml:space="preserve"> </w:t>
      </w:r>
      <w:r w:rsidRPr="00D53B04">
        <w:rPr>
          <w:rFonts w:cs="Arial"/>
          <w:sz w:val="21"/>
          <w:szCs w:val="21"/>
          <w:lang w:val="en-US"/>
        </w:rPr>
        <w:t>the</w:t>
      </w:r>
      <w:r w:rsidRPr="00D53B04">
        <w:rPr>
          <w:rFonts w:cs="Arial"/>
          <w:spacing w:val="-9"/>
          <w:sz w:val="21"/>
          <w:szCs w:val="21"/>
          <w:lang w:val="en-US"/>
        </w:rPr>
        <w:t xml:space="preserve"> </w:t>
      </w:r>
      <w:r w:rsidRPr="00D53B04">
        <w:rPr>
          <w:rFonts w:cs="Arial"/>
          <w:sz w:val="21"/>
          <w:szCs w:val="21"/>
          <w:lang w:val="en-US"/>
        </w:rPr>
        <w:t>distribution</w:t>
      </w:r>
      <w:r w:rsidRPr="00D53B04">
        <w:rPr>
          <w:rFonts w:cs="Arial"/>
          <w:spacing w:val="-9"/>
          <w:sz w:val="21"/>
          <w:szCs w:val="21"/>
          <w:lang w:val="en-US"/>
        </w:rPr>
        <w:t xml:space="preserve"> </w:t>
      </w:r>
      <w:r w:rsidRPr="00D53B04">
        <w:rPr>
          <w:rFonts w:cs="Arial"/>
          <w:sz w:val="21"/>
          <w:szCs w:val="21"/>
          <w:lang w:val="en-US"/>
        </w:rPr>
        <w:t>of</w:t>
      </w:r>
      <w:r w:rsidRPr="00D53B04">
        <w:rPr>
          <w:rFonts w:cs="Arial"/>
          <w:spacing w:val="-5"/>
          <w:sz w:val="21"/>
          <w:szCs w:val="21"/>
          <w:lang w:val="en-US"/>
        </w:rPr>
        <w:t xml:space="preserve"> </w:t>
      </w:r>
      <w:r w:rsidRPr="00D53B04">
        <w:rPr>
          <w:rFonts w:cs="Arial"/>
          <w:sz w:val="21"/>
          <w:szCs w:val="21"/>
          <w:lang w:val="en-US"/>
        </w:rPr>
        <w:t>agricultural,</w:t>
      </w:r>
      <w:r w:rsidRPr="00D53B04">
        <w:rPr>
          <w:rFonts w:cs="Arial"/>
          <w:spacing w:val="-10"/>
          <w:sz w:val="21"/>
          <w:szCs w:val="21"/>
          <w:lang w:val="en-US"/>
        </w:rPr>
        <w:t xml:space="preserve"> </w:t>
      </w:r>
      <w:r w:rsidRPr="00D53B04">
        <w:rPr>
          <w:rFonts w:cs="Arial"/>
          <w:sz w:val="21"/>
          <w:szCs w:val="21"/>
          <w:lang w:val="en-US"/>
        </w:rPr>
        <w:t>fishing</w:t>
      </w:r>
      <w:r w:rsidRPr="00D53B04">
        <w:rPr>
          <w:rFonts w:cs="Arial"/>
          <w:spacing w:val="-6"/>
          <w:sz w:val="21"/>
          <w:szCs w:val="21"/>
          <w:lang w:val="en-US"/>
        </w:rPr>
        <w:t xml:space="preserve"> </w:t>
      </w:r>
      <w:r w:rsidRPr="00D53B04">
        <w:rPr>
          <w:rFonts w:cs="Arial"/>
          <w:sz w:val="21"/>
          <w:szCs w:val="21"/>
          <w:lang w:val="en-US"/>
        </w:rPr>
        <w:t>and</w:t>
      </w:r>
      <w:r w:rsidRPr="00D53B04">
        <w:rPr>
          <w:rFonts w:cs="Arial"/>
          <w:spacing w:val="-9"/>
          <w:sz w:val="21"/>
          <w:szCs w:val="21"/>
          <w:lang w:val="en-US"/>
        </w:rPr>
        <w:t xml:space="preserve"> </w:t>
      </w:r>
      <w:r w:rsidRPr="00D53B04">
        <w:rPr>
          <w:rFonts w:cs="Arial"/>
          <w:sz w:val="21"/>
          <w:szCs w:val="21"/>
          <w:lang w:val="en-US"/>
        </w:rPr>
        <w:t>livestock</w:t>
      </w:r>
      <w:r w:rsidRPr="00D53B04">
        <w:rPr>
          <w:rFonts w:cs="Arial"/>
          <w:spacing w:val="-6"/>
          <w:sz w:val="21"/>
          <w:szCs w:val="21"/>
          <w:lang w:val="en-US"/>
        </w:rPr>
        <w:t xml:space="preserve"> </w:t>
      </w:r>
      <w:r w:rsidRPr="00D53B04">
        <w:rPr>
          <w:rFonts w:cs="Arial"/>
          <w:sz w:val="21"/>
          <w:szCs w:val="21"/>
          <w:lang w:val="en-US"/>
        </w:rPr>
        <w:t>inputs,</w:t>
      </w:r>
      <w:r w:rsidRPr="00D53B04">
        <w:rPr>
          <w:rFonts w:cs="Arial"/>
          <w:spacing w:val="-10"/>
          <w:sz w:val="21"/>
          <w:szCs w:val="21"/>
          <w:lang w:val="en-US"/>
        </w:rPr>
        <w:t xml:space="preserve"> </w:t>
      </w:r>
      <w:r w:rsidRPr="00D53B04">
        <w:rPr>
          <w:rFonts w:cs="Arial"/>
          <w:sz w:val="21"/>
          <w:szCs w:val="21"/>
          <w:lang w:val="en-US"/>
        </w:rPr>
        <w:t>the</w:t>
      </w:r>
      <w:r w:rsidRPr="00D53B04">
        <w:rPr>
          <w:rFonts w:cs="Arial"/>
          <w:spacing w:val="-11"/>
          <w:sz w:val="21"/>
          <w:szCs w:val="21"/>
          <w:lang w:val="en-US"/>
        </w:rPr>
        <w:t xml:space="preserve"> </w:t>
      </w:r>
      <w:r w:rsidRPr="00D53B04">
        <w:rPr>
          <w:rFonts w:cs="Arial"/>
          <w:sz w:val="21"/>
          <w:szCs w:val="21"/>
          <w:lang w:val="en-US"/>
        </w:rPr>
        <w:t>fight against insecurity, the involvement of women's associations and other farmers, the strengthening of the institutional capacities of the state services and</w:t>
      </w:r>
      <w:r w:rsidR="00EC2A77" w:rsidRPr="00D53B04">
        <w:rPr>
          <w:rFonts w:cs="Arial"/>
          <w:sz w:val="21"/>
          <w:szCs w:val="21"/>
          <w:lang w:val="en-US"/>
        </w:rPr>
        <w:t xml:space="preserve"> small farmers, etc.</w:t>
      </w:r>
    </w:p>
    <w:p w14:paraId="42BBE77C" w14:textId="77777777" w:rsidR="00294ADC" w:rsidRPr="00D53B04" w:rsidRDefault="00294ADC">
      <w:pPr>
        <w:spacing w:after="160" w:line="259" w:lineRule="auto"/>
        <w:jc w:val="left"/>
        <w:rPr>
          <w:rFonts w:eastAsia="MS Mincho" w:cs="Arial"/>
          <w:szCs w:val="21"/>
          <w:lang w:val="en-US"/>
        </w:rPr>
      </w:pPr>
      <w:r w:rsidRPr="00D53B04">
        <w:rPr>
          <w:rFonts w:cs="Arial"/>
          <w:szCs w:val="21"/>
          <w:lang w:val="en-US"/>
        </w:rPr>
        <w:br w:type="page"/>
      </w:r>
    </w:p>
    <w:p w14:paraId="3DAC6640" w14:textId="1A085FF0" w:rsidR="00294ADC" w:rsidRPr="00E4105B" w:rsidRDefault="00294ADC" w:rsidP="00294ADC">
      <w:pPr>
        <w:pStyle w:val="Titre1"/>
        <w:jc w:val="center"/>
        <w:rPr>
          <w:rFonts w:cs="Arial"/>
          <w:bCs w:val="0"/>
          <w:color w:val="222222"/>
          <w:szCs w:val="21"/>
          <w:lang w:val="pl-PL"/>
        </w:rPr>
      </w:pPr>
      <w:bookmarkStart w:id="116" w:name="_Toc45269666"/>
      <w:bookmarkStart w:id="117" w:name="_Toc90393031"/>
      <w:bookmarkStart w:id="118" w:name="_Toc90471390"/>
      <w:r w:rsidRPr="00E4105B">
        <w:rPr>
          <w:rFonts w:cs="Arial"/>
          <w:bCs w:val="0"/>
          <w:color w:val="222222"/>
          <w:szCs w:val="21"/>
          <w:lang w:val="en-US"/>
        </w:rPr>
        <w:t>R</w:t>
      </w:r>
      <w:bookmarkStart w:id="119" w:name="_Toc45269667"/>
      <w:bookmarkEnd w:id="116"/>
      <w:r w:rsidRPr="00E4105B">
        <w:rPr>
          <w:rFonts w:cs="Arial"/>
          <w:bCs w:val="0"/>
          <w:color w:val="222222"/>
          <w:szCs w:val="21"/>
          <w:lang w:val="pl-PL"/>
        </w:rPr>
        <w:t>ÉSUMÉ EXÉCUTIF EN TSHILUBA / TSHIKOSO TSHA TSHENA BWALU</w:t>
      </w:r>
      <w:bookmarkEnd w:id="117"/>
      <w:bookmarkEnd w:id="118"/>
      <w:bookmarkEnd w:id="119"/>
    </w:p>
    <w:p w14:paraId="19DB75CD" w14:textId="77777777" w:rsidR="005C5EB1" w:rsidRPr="00E4105B" w:rsidRDefault="00174053" w:rsidP="00174053">
      <w:pPr>
        <w:tabs>
          <w:tab w:val="left" w:pos="1463"/>
        </w:tabs>
        <w:spacing w:line="240" w:lineRule="auto"/>
        <w:rPr>
          <w:rFonts w:cs="Arial"/>
          <w:iCs/>
          <w:szCs w:val="21"/>
          <w:lang w:val="en-US"/>
        </w:rPr>
      </w:pPr>
      <w:r w:rsidRPr="00E4105B">
        <w:rPr>
          <w:rFonts w:cs="Arial"/>
          <w:iCs/>
          <w:szCs w:val="21"/>
          <w:lang w:val="en-US"/>
        </w:rPr>
        <w:tab/>
      </w:r>
    </w:p>
    <w:p w14:paraId="1342F711" w14:textId="77777777" w:rsidR="005C5EB1" w:rsidRPr="00A06B8B" w:rsidRDefault="005C5EB1" w:rsidP="002378EA">
      <w:pPr>
        <w:numPr>
          <w:ilvl w:val="0"/>
          <w:numId w:val="158"/>
        </w:numPr>
        <w:spacing w:line="240" w:lineRule="auto"/>
        <w:rPr>
          <w:rFonts w:cs="Arial"/>
          <w:b/>
          <w:i/>
          <w:szCs w:val="21"/>
          <w:lang w:val="en-US"/>
        </w:rPr>
      </w:pPr>
      <w:r w:rsidRPr="00A06B8B">
        <w:rPr>
          <w:rFonts w:cs="Arial"/>
          <w:b/>
          <w:i/>
          <w:szCs w:val="21"/>
          <w:lang w:val="en-US"/>
        </w:rPr>
        <w:t xml:space="preserve">Dimwenesha dia mudimu dia mu tshikoso (tshipatshila, bitupa bia mudimu ne midimu mine yanzeka) </w:t>
      </w:r>
    </w:p>
    <w:p w14:paraId="0B0D067E" w14:textId="77777777" w:rsidR="005C5EB1" w:rsidRPr="00E4105B" w:rsidRDefault="005C5EB1" w:rsidP="005C5EB1">
      <w:pPr>
        <w:tabs>
          <w:tab w:val="left" w:pos="426"/>
        </w:tabs>
        <w:spacing w:line="240" w:lineRule="auto"/>
        <w:rPr>
          <w:rFonts w:cs="Arial"/>
          <w:szCs w:val="21"/>
          <w:lang w:val="en-US"/>
        </w:rPr>
      </w:pPr>
    </w:p>
    <w:p w14:paraId="0DBED5E9" w14:textId="77777777" w:rsidR="005C5EB1" w:rsidRPr="00E4105B" w:rsidRDefault="005C5EB1" w:rsidP="005C5EB1">
      <w:pPr>
        <w:rPr>
          <w:rFonts w:cs="Arial"/>
          <w:szCs w:val="21"/>
          <w:lang w:val="en-US"/>
        </w:rPr>
      </w:pPr>
      <w:r w:rsidRPr="00E4105B">
        <w:rPr>
          <w:rFonts w:cs="Arial"/>
          <w:szCs w:val="21"/>
          <w:lang w:val="en-US"/>
        </w:rPr>
        <w:t>Mbulamatadi wa ditunga dia République Démocratique du Congo (RDC) mmu peta mpetu ya diambuluisha kumbukila kudi kasumbu ka IDA (Association Internationale pour le Développement) ka bena tshisumbu tsha Banque Mondiale, bwa kulongolola mudimu wa malu a madimi wa PNDA (Programme National de Développement Agricole) bwase mu tshitupa tsha kumpala ba mune mudi mwa kukolesha dipatula dia bidibwa bia bungi ne kulongolola mushindu udi bena madimi ku sumbisha bintu biabu kakuyi lutatu ku miaba idi misungudibwe.</w:t>
      </w:r>
    </w:p>
    <w:p w14:paraId="6D20FFB8" w14:textId="77777777" w:rsidR="005C5EB1" w:rsidRPr="00E4105B" w:rsidRDefault="005C5EB1" w:rsidP="005C5EB1">
      <w:pPr>
        <w:rPr>
          <w:rFonts w:cs="Arial"/>
          <w:szCs w:val="21"/>
          <w:lang w:val="en-US"/>
        </w:rPr>
      </w:pPr>
    </w:p>
    <w:p w14:paraId="25FF18E7" w14:textId="6B8DADCD" w:rsidR="005C5EB1" w:rsidRPr="00E4105B" w:rsidRDefault="00A06B8B" w:rsidP="005C5EB1">
      <w:pPr>
        <w:rPr>
          <w:rFonts w:cs="Arial"/>
          <w:szCs w:val="21"/>
          <w:lang w:val="en-US"/>
        </w:rPr>
      </w:pPr>
      <w:r>
        <w:rPr>
          <w:rFonts w:cs="Arial"/>
          <w:szCs w:val="21"/>
          <w:lang w:val="en-US"/>
        </w:rPr>
        <w:t>D</w:t>
      </w:r>
      <w:r w:rsidR="005C5EB1" w:rsidRPr="00E4105B">
        <w:rPr>
          <w:rFonts w:cs="Arial"/>
          <w:szCs w:val="21"/>
          <w:lang w:val="en-US"/>
        </w:rPr>
        <w:t>ia RDC didi kadi Mbulamatadi wa mpidiewu udi mwangate mapangidika a kujikija ntatu eyi. Malu a madimi adi ne mushinga wa 20 % bwa mpetu ya bantu anyi PIB, ne bantu bungi bwa 70 anyi 75 % pa bantu ba mudintunga badi badipesha ku midimu eye ya madimi bwa kumuna mudi mwa kukepesha nzala ne bupele bwa bantu.</w:t>
      </w:r>
    </w:p>
    <w:p w14:paraId="6BDD9EBD" w14:textId="77777777" w:rsidR="005C5EB1" w:rsidRPr="00E4105B" w:rsidRDefault="005C5EB1" w:rsidP="005C5EB1">
      <w:pPr>
        <w:rPr>
          <w:rFonts w:cs="Arial"/>
          <w:szCs w:val="21"/>
          <w:lang w:val="en-US"/>
        </w:rPr>
      </w:pPr>
    </w:p>
    <w:p w14:paraId="301FA05D" w14:textId="35517F65" w:rsidR="005C5EB1" w:rsidRPr="00E4105B" w:rsidRDefault="005C5EB1" w:rsidP="005C5EB1">
      <w:pPr>
        <w:rPr>
          <w:rFonts w:cs="Arial"/>
          <w:szCs w:val="21"/>
          <w:lang w:val="en-US"/>
        </w:rPr>
      </w:pPr>
      <w:r w:rsidRPr="00E4105B">
        <w:rPr>
          <w:rFonts w:cs="Arial"/>
          <w:szCs w:val="21"/>
          <w:lang w:val="en-US"/>
        </w:rPr>
        <w:t xml:space="preserve">Nanku, programme anyi bulongolodi ebu ne bukwatshishe bikole dipatula dia bikunyibwa bia bungi kudi bena madimi, bwa kwenzesha ba bidime bakese bwa kuvudija bu midimi yabu ne kupatula bidibwa bia bungi, ne kupesha mpetu idi mwa kuba longolwela mushindu wa kusumbisha bu bintu biabu kakuyi lutatu ne kubibakila biapu bwa kwandamuna bu kabidi bikunyibwa biabu kumpala kwa kubisumbisha </w:t>
      </w:r>
    </w:p>
    <w:p w14:paraId="4857D23F" w14:textId="77777777" w:rsidR="005C5EB1" w:rsidRPr="00E4105B" w:rsidRDefault="005C5EB1" w:rsidP="005C5EB1">
      <w:pPr>
        <w:rPr>
          <w:rFonts w:cs="Arial"/>
          <w:szCs w:val="21"/>
          <w:lang w:val="en-US"/>
        </w:rPr>
      </w:pPr>
    </w:p>
    <w:p w14:paraId="6C299925" w14:textId="77777777" w:rsidR="005C5EB1" w:rsidRPr="00E4105B" w:rsidRDefault="005C5EB1" w:rsidP="005C5EB1">
      <w:pPr>
        <w:rPr>
          <w:rFonts w:cs="Arial"/>
          <w:szCs w:val="21"/>
          <w:lang w:val="en-US"/>
        </w:rPr>
      </w:pPr>
      <w:r w:rsidRPr="00E4105B">
        <w:rPr>
          <w:rFonts w:cs="Arial"/>
          <w:szCs w:val="21"/>
          <w:lang w:val="en-US"/>
        </w:rPr>
        <w:t>Bwa tshitupa etshi tsha kumpala, mpetu ya PNDA ne isanganyibwa pa tshikondo tsha bidimu 5 kuluseka lwa Kasaï (Provinces wa Kasaï ne wa Kasaï Central), kuluseka lwa kudi diba dibwelela (Provinces wa Kongo Central ne wa Kwilu), ne kabidi ku luseke lwa kudi diba dipatukila (Province wa Nord Kivu).</w:t>
      </w:r>
    </w:p>
    <w:p w14:paraId="12E50D9D" w14:textId="77777777" w:rsidR="005C5EB1" w:rsidRPr="00E4105B" w:rsidRDefault="005C5EB1" w:rsidP="005C5EB1">
      <w:pPr>
        <w:rPr>
          <w:rFonts w:cs="Arial"/>
          <w:szCs w:val="21"/>
          <w:lang w:val="en-US"/>
        </w:rPr>
      </w:pPr>
    </w:p>
    <w:p w14:paraId="78480C89" w14:textId="77777777" w:rsidR="005C5EB1" w:rsidRPr="00E4105B" w:rsidRDefault="005C5EB1" w:rsidP="005C5EB1">
      <w:pPr>
        <w:rPr>
          <w:rFonts w:cs="Arial"/>
          <w:szCs w:val="21"/>
          <w:lang w:val="en-US"/>
        </w:rPr>
      </w:pPr>
      <w:r w:rsidRPr="00E4105B">
        <w:rPr>
          <w:rFonts w:cs="Arial"/>
          <w:szCs w:val="21"/>
          <w:lang w:val="en-US"/>
        </w:rPr>
        <w:t xml:space="preserve">Kipatshila ka dilongolola mudimu ewu kaadi bwa se balongolole dipatula dia bidibwa bia bungi ne dilongolola mushindu wa kubisumbishabu kudi bena madimi ku nseke eyi idi misungunyibwa ne kwenza bwa se bamune mudi mwa kupatula bidibwa bwa kwenzesha bantu bumbuke mu ntatu kupatukila ku malu a bidime. </w:t>
      </w:r>
    </w:p>
    <w:p w14:paraId="7F15CF10" w14:textId="77777777" w:rsidR="005C5EB1" w:rsidRPr="00E4105B" w:rsidRDefault="005C5EB1" w:rsidP="005C5EB1">
      <w:pPr>
        <w:rPr>
          <w:rFonts w:cs="Arial"/>
          <w:szCs w:val="21"/>
        </w:rPr>
      </w:pPr>
      <w:r w:rsidRPr="00E4105B">
        <w:rPr>
          <w:rFonts w:cs="Arial"/>
          <w:szCs w:val="21"/>
        </w:rPr>
        <w:t xml:space="preserve">Mudimu wa PNDA ne wikale ne bitupa binene bi nayi bidi bilonda ebi : </w:t>
      </w:r>
    </w:p>
    <w:p w14:paraId="02B59D37" w14:textId="77777777" w:rsidR="005C5EB1" w:rsidRPr="00E4105B" w:rsidRDefault="005C5EB1" w:rsidP="005C5EB1">
      <w:pPr>
        <w:rPr>
          <w:rFonts w:cs="Arial"/>
          <w:szCs w:val="21"/>
        </w:rPr>
      </w:pPr>
    </w:p>
    <w:p w14:paraId="0C5CF8F6" w14:textId="77777777" w:rsidR="005C5EB1" w:rsidRPr="00E4105B" w:rsidRDefault="005C5EB1" w:rsidP="002378EA">
      <w:pPr>
        <w:pStyle w:val="Paragraphedeliste"/>
        <w:numPr>
          <w:ilvl w:val="0"/>
          <w:numId w:val="39"/>
        </w:numPr>
        <w:rPr>
          <w:rFonts w:cs="Arial"/>
          <w:i/>
          <w:szCs w:val="21"/>
        </w:rPr>
      </w:pPr>
      <w:r w:rsidRPr="00E4105B">
        <w:rPr>
          <w:rFonts w:cs="Arial"/>
          <w:i/>
          <w:szCs w:val="21"/>
        </w:rPr>
        <w:t>Tshitupa tsha 1 : Dipatula bikunyibwa :</w:t>
      </w:r>
    </w:p>
    <w:p w14:paraId="65C7AEC3" w14:textId="77777777" w:rsidR="005C5EB1" w:rsidRPr="00E4105B" w:rsidRDefault="005C5EB1" w:rsidP="002378EA">
      <w:pPr>
        <w:pStyle w:val="Paragraphedeliste"/>
        <w:numPr>
          <w:ilvl w:val="3"/>
          <w:numId w:val="40"/>
        </w:numPr>
        <w:rPr>
          <w:rFonts w:cs="Arial"/>
          <w:szCs w:val="21"/>
          <w:lang w:val="nb-NO"/>
        </w:rPr>
      </w:pPr>
      <w:r w:rsidRPr="00E4105B">
        <w:rPr>
          <w:rFonts w:cs="Arial"/>
          <w:szCs w:val="21"/>
          <w:lang w:val="nb-NO"/>
        </w:rPr>
        <w:t>Katupa ka 1.1 : Diambulwisha bidima ku misoko</w:t>
      </w:r>
    </w:p>
    <w:p w14:paraId="388864EB" w14:textId="77777777" w:rsidR="005C5EB1" w:rsidRPr="00E4105B" w:rsidRDefault="005C5EB1" w:rsidP="002378EA">
      <w:pPr>
        <w:pStyle w:val="Paragraphedeliste"/>
        <w:numPr>
          <w:ilvl w:val="3"/>
          <w:numId w:val="40"/>
        </w:numPr>
        <w:rPr>
          <w:rFonts w:cs="Arial"/>
          <w:szCs w:val="21"/>
          <w:lang w:val="nb-NO"/>
        </w:rPr>
      </w:pPr>
      <w:r w:rsidRPr="00E4105B">
        <w:rPr>
          <w:rFonts w:cs="Arial"/>
          <w:szCs w:val="21"/>
          <w:lang w:val="nb-NO"/>
        </w:rPr>
        <w:t xml:space="preserve">Katupa ka 1.2 : Dibaleja tekiniki ne di bapeshi mpetu bwa midimu ya madimi </w:t>
      </w:r>
    </w:p>
    <w:p w14:paraId="6394601D" w14:textId="77777777" w:rsidR="005C5EB1" w:rsidRPr="00E4105B" w:rsidRDefault="005C5EB1" w:rsidP="002378EA">
      <w:pPr>
        <w:pStyle w:val="Paragraphedeliste"/>
        <w:numPr>
          <w:ilvl w:val="0"/>
          <w:numId w:val="39"/>
        </w:numPr>
        <w:rPr>
          <w:rFonts w:cs="Arial"/>
          <w:i/>
          <w:szCs w:val="21"/>
          <w:lang w:val="nb-NO"/>
        </w:rPr>
      </w:pPr>
      <w:r w:rsidRPr="00E4105B">
        <w:rPr>
          <w:rFonts w:cs="Arial"/>
          <w:i/>
          <w:szCs w:val="21"/>
          <w:lang w:val="nb-NO"/>
        </w:rPr>
        <w:t>Tshitupa tsha 2 : Disumbisha dia bintu kudi ba bidime :</w:t>
      </w:r>
    </w:p>
    <w:p w14:paraId="4E382315" w14:textId="77777777" w:rsidR="005C5EB1" w:rsidRPr="00E4105B" w:rsidRDefault="005C5EB1" w:rsidP="002378EA">
      <w:pPr>
        <w:pStyle w:val="Paragraphedeliste"/>
        <w:numPr>
          <w:ilvl w:val="3"/>
          <w:numId w:val="40"/>
        </w:numPr>
        <w:rPr>
          <w:rFonts w:cs="Arial"/>
          <w:szCs w:val="21"/>
          <w:lang w:val="nb-NO"/>
        </w:rPr>
      </w:pPr>
      <w:r w:rsidRPr="00E4105B">
        <w:rPr>
          <w:rFonts w:cs="Arial"/>
          <w:szCs w:val="21"/>
          <w:lang w:val="nb-NO"/>
        </w:rPr>
        <w:t>Katupa ka 2.1 : Bienzedi bia midimu ku misoko</w:t>
      </w:r>
    </w:p>
    <w:p w14:paraId="5AA6C1B5" w14:textId="77777777" w:rsidR="005C5EB1" w:rsidRPr="00E4105B" w:rsidRDefault="005C5EB1" w:rsidP="002378EA">
      <w:pPr>
        <w:pStyle w:val="Paragraphedeliste"/>
        <w:numPr>
          <w:ilvl w:val="3"/>
          <w:numId w:val="40"/>
        </w:numPr>
        <w:rPr>
          <w:rFonts w:cs="Arial"/>
          <w:i/>
          <w:szCs w:val="21"/>
          <w:lang w:val="nb-NO"/>
        </w:rPr>
      </w:pPr>
      <w:r w:rsidRPr="00E4105B">
        <w:rPr>
          <w:rFonts w:cs="Arial"/>
          <w:szCs w:val="21"/>
          <w:lang w:val="nb-NO"/>
        </w:rPr>
        <w:t xml:space="preserve">Katupa ka 2.2 : Diezesha bidime bwa kubwelabu mu njila wa mushinga </w:t>
      </w:r>
    </w:p>
    <w:p w14:paraId="4A6217DE" w14:textId="77777777" w:rsidR="005C5EB1" w:rsidRPr="00E4105B" w:rsidRDefault="005C5EB1" w:rsidP="002378EA">
      <w:pPr>
        <w:pStyle w:val="Paragraphedeliste"/>
        <w:numPr>
          <w:ilvl w:val="0"/>
          <w:numId w:val="39"/>
        </w:numPr>
        <w:rPr>
          <w:rFonts w:cs="Arial"/>
          <w:szCs w:val="21"/>
        </w:rPr>
      </w:pPr>
      <w:r w:rsidRPr="00E4105B">
        <w:rPr>
          <w:rFonts w:cs="Arial"/>
          <w:i/>
          <w:szCs w:val="21"/>
        </w:rPr>
        <w:t xml:space="preserve">Tshitupa tsha 3 : Bintu ne Bisadilu bia madimi bia bobumwe </w:t>
      </w:r>
    </w:p>
    <w:p w14:paraId="303A74B1" w14:textId="77777777" w:rsidR="005C5EB1" w:rsidRPr="00E4105B" w:rsidRDefault="005C5EB1" w:rsidP="002378EA">
      <w:pPr>
        <w:pStyle w:val="Paragraphedeliste"/>
        <w:numPr>
          <w:ilvl w:val="3"/>
          <w:numId w:val="40"/>
        </w:numPr>
        <w:rPr>
          <w:rFonts w:cs="Arial"/>
          <w:szCs w:val="21"/>
          <w:lang w:val="en-US"/>
        </w:rPr>
      </w:pPr>
      <w:r w:rsidRPr="00E4105B">
        <w:rPr>
          <w:rFonts w:cs="Arial"/>
          <w:szCs w:val="21"/>
          <w:lang w:val="en-US"/>
        </w:rPr>
        <w:t>Katupa ka 3.1 : Dikolesha ngenyi ya bidime bwa midimu eyi ;</w:t>
      </w:r>
    </w:p>
    <w:p w14:paraId="4D9B8A5C" w14:textId="77777777" w:rsidR="005C5EB1" w:rsidRPr="00E4105B" w:rsidRDefault="005C5EB1" w:rsidP="002378EA">
      <w:pPr>
        <w:pStyle w:val="Paragraphedeliste"/>
        <w:numPr>
          <w:ilvl w:val="3"/>
          <w:numId w:val="40"/>
        </w:numPr>
        <w:rPr>
          <w:rFonts w:cs="Arial"/>
          <w:szCs w:val="21"/>
        </w:rPr>
      </w:pPr>
      <w:r w:rsidRPr="00E4105B">
        <w:rPr>
          <w:rFonts w:cs="Arial"/>
          <w:szCs w:val="21"/>
        </w:rPr>
        <w:t>Katupa ka 3.2 : Dienzeja ne dilondela midimu</w:t>
      </w:r>
    </w:p>
    <w:p w14:paraId="6317C004" w14:textId="77777777" w:rsidR="005C5EB1" w:rsidRPr="00E4105B" w:rsidRDefault="005C5EB1" w:rsidP="002378EA">
      <w:pPr>
        <w:pStyle w:val="Paragraphedeliste"/>
        <w:numPr>
          <w:ilvl w:val="0"/>
          <w:numId w:val="39"/>
        </w:numPr>
        <w:rPr>
          <w:rFonts w:cs="Arial"/>
          <w:i/>
          <w:szCs w:val="21"/>
        </w:rPr>
      </w:pPr>
      <w:r w:rsidRPr="00E4105B">
        <w:rPr>
          <w:rFonts w:cs="Arial"/>
          <w:i/>
          <w:szCs w:val="21"/>
        </w:rPr>
        <w:t>Tshitupa tsha 4 : Dienzesha midimu eyi ya madimi dia pa lukasa</w:t>
      </w:r>
    </w:p>
    <w:p w14:paraId="59CE7C94" w14:textId="77777777" w:rsidR="005C5EB1" w:rsidRPr="00E4105B" w:rsidRDefault="005C5EB1" w:rsidP="005C5EB1">
      <w:pPr>
        <w:rPr>
          <w:rFonts w:cs="Arial"/>
          <w:szCs w:val="21"/>
        </w:rPr>
      </w:pPr>
    </w:p>
    <w:p w14:paraId="618E30FA" w14:textId="77777777" w:rsidR="005C5EB1" w:rsidRPr="00A06B8B" w:rsidRDefault="005C5EB1" w:rsidP="002378EA">
      <w:pPr>
        <w:pStyle w:val="Paragraphedeliste"/>
        <w:numPr>
          <w:ilvl w:val="0"/>
          <w:numId w:val="158"/>
        </w:numPr>
        <w:rPr>
          <w:rFonts w:cs="Arial"/>
          <w:b/>
          <w:i/>
          <w:szCs w:val="21"/>
        </w:rPr>
      </w:pPr>
      <w:r w:rsidRPr="00A06B8B">
        <w:rPr>
          <w:rFonts w:cs="Arial"/>
          <w:b/>
          <w:i/>
          <w:szCs w:val="21"/>
        </w:rPr>
        <w:t xml:space="preserve">Dimwenesha dia tshikoso dia njiwu bwa bintu bia nyungulukilu wa buloba ne nsombelu wa bantu bia mushinga </w:t>
      </w:r>
    </w:p>
    <w:p w14:paraId="26F9C049" w14:textId="77777777" w:rsidR="005C5EB1" w:rsidRPr="00E4105B" w:rsidRDefault="005C5EB1" w:rsidP="005C5EB1">
      <w:pPr>
        <w:tabs>
          <w:tab w:val="left" w:pos="426"/>
        </w:tabs>
        <w:rPr>
          <w:rFonts w:cs="Arial"/>
          <w:szCs w:val="21"/>
        </w:rPr>
      </w:pPr>
    </w:p>
    <w:p w14:paraId="565285B6" w14:textId="77777777" w:rsidR="005C5EB1" w:rsidRPr="00E4105B" w:rsidRDefault="005C5EB1" w:rsidP="005C5EB1">
      <w:pPr>
        <w:tabs>
          <w:tab w:val="left" w:pos="426"/>
          <w:tab w:val="left" w:pos="567"/>
        </w:tabs>
        <w:contextualSpacing/>
        <w:rPr>
          <w:rFonts w:cs="Arial"/>
          <w:szCs w:val="21"/>
          <w:lang w:bidi="fr-FR"/>
        </w:rPr>
      </w:pPr>
      <w:r w:rsidRPr="00E4105B">
        <w:rPr>
          <w:rFonts w:cs="Arial"/>
          <w:szCs w:val="21"/>
          <w:lang w:bidi="fr-FR"/>
        </w:rPr>
        <w:t xml:space="preserve">Miaba ya nsombelu wa bantu ya ku nseke eyi idi misungundibwa idi isanganyibwa ne malu abungi a njiwu bwa malu a bintu bia nyungulukilu wa buloba ne nsombelu wa bantu bu mudi malu adi alonda aha : </w:t>
      </w:r>
    </w:p>
    <w:p w14:paraId="36E0851D" w14:textId="77777777" w:rsidR="005C5EB1" w:rsidRPr="00E4105B" w:rsidRDefault="005C5EB1" w:rsidP="005C5EB1">
      <w:pPr>
        <w:tabs>
          <w:tab w:val="left" w:pos="426"/>
          <w:tab w:val="left" w:pos="567"/>
        </w:tabs>
        <w:contextualSpacing/>
        <w:rPr>
          <w:rFonts w:cs="Arial"/>
          <w:szCs w:val="21"/>
          <w:lang w:bidi="fr-FR"/>
        </w:rPr>
      </w:pPr>
    </w:p>
    <w:p w14:paraId="5E5F75E3" w14:textId="77777777" w:rsidR="005C5EB1" w:rsidRPr="00E4105B" w:rsidRDefault="005C5EB1" w:rsidP="002378EA">
      <w:pPr>
        <w:pStyle w:val="Paragraphedeliste"/>
        <w:numPr>
          <w:ilvl w:val="0"/>
          <w:numId w:val="67"/>
        </w:numPr>
        <w:rPr>
          <w:rFonts w:eastAsia="Calibri" w:cs="Arial"/>
          <w:szCs w:val="21"/>
          <w:lang w:val="en-US"/>
        </w:rPr>
      </w:pPr>
      <w:r w:rsidRPr="00E4105B">
        <w:rPr>
          <w:rFonts w:eastAsia="Calibri" w:cs="Arial"/>
          <w:szCs w:val="21"/>
          <w:lang w:val="en-US"/>
        </w:rPr>
        <w:t>Dipatula bidibwa bikese ku madimi ;</w:t>
      </w:r>
    </w:p>
    <w:p w14:paraId="0F3A62D4" w14:textId="77777777" w:rsidR="005C5EB1" w:rsidRPr="00E4105B" w:rsidRDefault="005C5EB1" w:rsidP="002378EA">
      <w:pPr>
        <w:pStyle w:val="Paragraphedeliste"/>
        <w:numPr>
          <w:ilvl w:val="0"/>
          <w:numId w:val="67"/>
        </w:numPr>
        <w:rPr>
          <w:rFonts w:eastAsia="Calibri" w:cs="Arial"/>
          <w:szCs w:val="21"/>
        </w:rPr>
      </w:pPr>
      <w:r w:rsidRPr="00E4105B">
        <w:rPr>
          <w:rFonts w:eastAsia="Calibri" w:cs="Arial"/>
          <w:szCs w:val="21"/>
          <w:lang w:val="en-US"/>
        </w:rPr>
        <w:t>Dikwata mishipa mikese</w:t>
      </w:r>
      <w:r w:rsidRPr="00E4105B">
        <w:rPr>
          <w:rFonts w:eastAsia="Calibri" w:cs="Arial"/>
          <w:szCs w:val="21"/>
        </w:rPr>
        <w:t xml:space="preserve"> (pêche) ;</w:t>
      </w:r>
    </w:p>
    <w:p w14:paraId="4DEE1EEE" w14:textId="77777777" w:rsidR="005C5EB1" w:rsidRPr="00E4105B" w:rsidRDefault="005C5EB1" w:rsidP="002378EA">
      <w:pPr>
        <w:pStyle w:val="Paragraphedeliste"/>
        <w:numPr>
          <w:ilvl w:val="0"/>
          <w:numId w:val="67"/>
        </w:numPr>
        <w:rPr>
          <w:rFonts w:eastAsia="Calibri" w:cs="Arial"/>
          <w:szCs w:val="21"/>
        </w:rPr>
      </w:pPr>
      <w:r w:rsidRPr="00E4105B">
        <w:rPr>
          <w:rFonts w:eastAsia="Calibri" w:cs="Arial"/>
          <w:szCs w:val="21"/>
        </w:rPr>
        <w:t>Dimuna bimuna bikese (élevage) ;</w:t>
      </w:r>
    </w:p>
    <w:p w14:paraId="432567FA" w14:textId="77777777" w:rsidR="005C5EB1" w:rsidRPr="00E4105B" w:rsidRDefault="005C5EB1" w:rsidP="002378EA">
      <w:pPr>
        <w:pStyle w:val="Paragraphedeliste"/>
        <w:numPr>
          <w:ilvl w:val="0"/>
          <w:numId w:val="67"/>
        </w:numPr>
        <w:rPr>
          <w:rFonts w:eastAsia="Calibri" w:cs="Arial"/>
          <w:szCs w:val="21"/>
          <w:lang w:eastAsia="en-US"/>
        </w:rPr>
      </w:pPr>
      <w:r w:rsidRPr="00E4105B">
        <w:rPr>
          <w:rFonts w:cs="Arial"/>
          <w:szCs w:val="21"/>
        </w:rPr>
        <w:t>Diondapa dikese dia bimuna ;</w:t>
      </w:r>
    </w:p>
    <w:p w14:paraId="0D12C1A8" w14:textId="77777777" w:rsidR="005C5EB1" w:rsidRPr="00E4105B" w:rsidRDefault="005C5EB1" w:rsidP="002378EA">
      <w:pPr>
        <w:pStyle w:val="Paragraphedeliste"/>
        <w:numPr>
          <w:ilvl w:val="0"/>
          <w:numId w:val="67"/>
        </w:numPr>
        <w:rPr>
          <w:rFonts w:eastAsia="Calibri" w:cs="Arial"/>
          <w:szCs w:val="21"/>
          <w:lang w:eastAsia="en-US"/>
        </w:rPr>
      </w:pPr>
      <w:r w:rsidRPr="00E4105B">
        <w:rPr>
          <w:rFonts w:cs="Arial"/>
          <w:szCs w:val="21"/>
        </w:rPr>
        <w:t>Malu a maloba ;</w:t>
      </w:r>
    </w:p>
    <w:p w14:paraId="239C09B9" w14:textId="77777777" w:rsidR="005C5EB1" w:rsidRPr="00E4105B" w:rsidRDefault="005C5EB1" w:rsidP="002378EA">
      <w:pPr>
        <w:pStyle w:val="Paragraphedeliste"/>
        <w:numPr>
          <w:ilvl w:val="0"/>
          <w:numId w:val="67"/>
        </w:numPr>
        <w:rPr>
          <w:rFonts w:eastAsia="Calibri" w:cs="Arial"/>
          <w:szCs w:val="21"/>
        </w:rPr>
      </w:pPr>
      <w:r w:rsidRPr="00E4105B">
        <w:rPr>
          <w:rFonts w:eastAsia="Calibri" w:cs="Arial"/>
          <w:szCs w:val="21"/>
        </w:rPr>
        <w:t>Malu a ditatshisha ne dikengesha bantu bakaji anyi adibangata kubukola a VBG ne disama dia COVID-19 ;</w:t>
      </w:r>
    </w:p>
    <w:p w14:paraId="342DC0D2" w14:textId="77777777" w:rsidR="005C5EB1" w:rsidRPr="00E4105B" w:rsidRDefault="005C5EB1" w:rsidP="002378EA">
      <w:pPr>
        <w:pStyle w:val="Paragraphedeliste"/>
        <w:numPr>
          <w:ilvl w:val="0"/>
          <w:numId w:val="67"/>
        </w:numPr>
        <w:rPr>
          <w:rFonts w:eastAsia="Calibri" w:cs="Arial"/>
          <w:szCs w:val="21"/>
          <w:lang w:val="en-US"/>
        </w:rPr>
      </w:pPr>
      <w:r w:rsidRPr="00E4105B">
        <w:rPr>
          <w:rFonts w:eastAsia="Calibri" w:cs="Arial"/>
          <w:szCs w:val="21"/>
          <w:lang w:val="en-US"/>
        </w:rPr>
        <w:t>Dipanga mushindu mwakane wa kudima ;</w:t>
      </w:r>
    </w:p>
    <w:p w14:paraId="5A4AFE1F" w14:textId="77777777" w:rsidR="005C5EB1" w:rsidRPr="00E4105B" w:rsidRDefault="005C5EB1" w:rsidP="002378EA">
      <w:pPr>
        <w:pStyle w:val="Paragraphedeliste"/>
        <w:numPr>
          <w:ilvl w:val="0"/>
          <w:numId w:val="67"/>
        </w:numPr>
        <w:rPr>
          <w:rFonts w:eastAsia="Calibri" w:cs="Arial"/>
          <w:szCs w:val="21"/>
          <w:lang w:val="en-US"/>
        </w:rPr>
      </w:pPr>
      <w:r w:rsidRPr="00E4105B">
        <w:rPr>
          <w:rFonts w:eastAsia="Calibri" w:cs="Arial"/>
          <w:szCs w:val="21"/>
          <w:lang w:val="en-US"/>
        </w:rPr>
        <w:t>Dipanga miaba ya bobumwe ya bisalu, nzubu ya kusokokela bintu ne miaba ya dishipela nyama, etc. ;</w:t>
      </w:r>
    </w:p>
    <w:p w14:paraId="0A03D032" w14:textId="77777777" w:rsidR="005C5EB1" w:rsidRPr="00E4105B" w:rsidRDefault="005C5EB1" w:rsidP="002378EA">
      <w:pPr>
        <w:pStyle w:val="Paragraphedeliste"/>
        <w:numPr>
          <w:ilvl w:val="0"/>
          <w:numId w:val="67"/>
        </w:numPr>
        <w:rPr>
          <w:rFonts w:eastAsia="Calibri" w:cs="Arial"/>
          <w:szCs w:val="21"/>
          <w:lang w:val="en-US"/>
        </w:rPr>
      </w:pPr>
      <w:r w:rsidRPr="00E4105B">
        <w:rPr>
          <w:rFonts w:eastAsia="Calibri" w:cs="Arial"/>
          <w:szCs w:val="21"/>
          <w:lang w:val="en-US"/>
        </w:rPr>
        <w:t>Malu a njila bwa kupatwila bintu idi minyanguke ;</w:t>
      </w:r>
    </w:p>
    <w:p w14:paraId="4F56B4FA" w14:textId="77777777" w:rsidR="005C5EB1" w:rsidRPr="00E4105B" w:rsidRDefault="005C5EB1" w:rsidP="002378EA">
      <w:pPr>
        <w:pStyle w:val="Paragraphedeliste"/>
        <w:numPr>
          <w:ilvl w:val="0"/>
          <w:numId w:val="67"/>
        </w:numPr>
        <w:rPr>
          <w:rFonts w:eastAsia="Calibri" w:cs="Arial"/>
          <w:szCs w:val="21"/>
        </w:rPr>
      </w:pPr>
      <w:r w:rsidRPr="00E4105B">
        <w:rPr>
          <w:rFonts w:eastAsia="Calibri" w:cs="Arial"/>
          <w:szCs w:val="21"/>
        </w:rPr>
        <w:t>Dipanga dia mushindu wa kwenzela mayi bwa malu a madimi ;</w:t>
      </w:r>
    </w:p>
    <w:p w14:paraId="4C69B81B" w14:textId="77777777" w:rsidR="005C5EB1" w:rsidRPr="00E4105B" w:rsidRDefault="005C5EB1" w:rsidP="002378EA">
      <w:pPr>
        <w:pStyle w:val="Paragraphedeliste"/>
        <w:numPr>
          <w:ilvl w:val="0"/>
          <w:numId w:val="67"/>
        </w:numPr>
        <w:rPr>
          <w:rFonts w:eastAsia="Calibri" w:cs="Arial"/>
          <w:szCs w:val="21"/>
          <w:lang w:val="en-US"/>
        </w:rPr>
      </w:pPr>
      <w:r w:rsidRPr="00E4105B">
        <w:rPr>
          <w:rFonts w:eastAsia="Calibri" w:cs="Arial"/>
          <w:szCs w:val="21"/>
          <w:lang w:val="en-US"/>
        </w:rPr>
        <w:t>Malu bidibwa bikase anyi dipanga bidibwa ;</w:t>
      </w:r>
    </w:p>
    <w:p w14:paraId="0EC8C31F" w14:textId="77777777" w:rsidR="005C5EB1" w:rsidRPr="00E4105B" w:rsidRDefault="005C5EB1" w:rsidP="002378EA">
      <w:pPr>
        <w:pStyle w:val="Paragraphedeliste"/>
        <w:numPr>
          <w:ilvl w:val="0"/>
          <w:numId w:val="67"/>
        </w:numPr>
        <w:rPr>
          <w:rFonts w:eastAsia="Calibri" w:cs="Arial"/>
          <w:szCs w:val="21"/>
          <w:lang w:val="en-US"/>
        </w:rPr>
      </w:pPr>
      <w:r w:rsidRPr="00E4105B">
        <w:rPr>
          <w:rFonts w:eastAsia="Calibri" w:cs="Arial"/>
          <w:szCs w:val="21"/>
          <w:lang w:val="en-US"/>
        </w:rPr>
        <w:t>Njiwu ya ditangalaja disa dia COVID-19 didi kufila ku bupele bwa bantu ;</w:t>
      </w:r>
    </w:p>
    <w:p w14:paraId="46F23189" w14:textId="77777777" w:rsidR="005C5EB1" w:rsidRPr="00E4105B" w:rsidRDefault="005C5EB1" w:rsidP="002378EA">
      <w:pPr>
        <w:pStyle w:val="Paragraphedeliste"/>
        <w:numPr>
          <w:ilvl w:val="0"/>
          <w:numId w:val="67"/>
        </w:numPr>
        <w:rPr>
          <w:rFonts w:eastAsia="Calibri" w:cs="Arial"/>
          <w:szCs w:val="21"/>
        </w:rPr>
      </w:pPr>
      <w:r w:rsidRPr="00E4105B">
        <w:rPr>
          <w:rFonts w:eastAsia="Calibri" w:cs="Arial"/>
          <w:szCs w:val="21"/>
        </w:rPr>
        <w:t>Njiwu ya ditangalaja disama dia ebola ku tshimenga tsha Nord Kivu ;</w:t>
      </w:r>
    </w:p>
    <w:p w14:paraId="5463343A" w14:textId="77777777" w:rsidR="005C5EB1" w:rsidRPr="00E4105B" w:rsidRDefault="005C5EB1" w:rsidP="002378EA">
      <w:pPr>
        <w:pStyle w:val="Paragraphedeliste"/>
        <w:numPr>
          <w:ilvl w:val="0"/>
          <w:numId w:val="67"/>
        </w:numPr>
        <w:rPr>
          <w:rFonts w:eastAsia="Calibri" w:cs="Arial"/>
          <w:szCs w:val="21"/>
          <w:lang w:val="en-US"/>
        </w:rPr>
      </w:pPr>
      <w:r w:rsidRPr="00E4105B">
        <w:rPr>
          <w:rFonts w:eastAsia="Calibri" w:cs="Arial"/>
          <w:szCs w:val="21"/>
          <w:lang w:val="en-US"/>
        </w:rPr>
        <w:t>Malu a dilwanganyina maloba pankatshi pa biota;</w:t>
      </w:r>
    </w:p>
    <w:p w14:paraId="7CD77EA4" w14:textId="77777777" w:rsidR="005C5EB1" w:rsidRPr="00E4105B" w:rsidRDefault="005C5EB1" w:rsidP="002378EA">
      <w:pPr>
        <w:pStyle w:val="Paragraphedeliste"/>
        <w:numPr>
          <w:ilvl w:val="0"/>
          <w:numId w:val="67"/>
        </w:numPr>
        <w:rPr>
          <w:rFonts w:eastAsia="Calibri" w:cs="Arial"/>
          <w:szCs w:val="21"/>
          <w:lang w:val="en-US"/>
        </w:rPr>
      </w:pPr>
      <w:r w:rsidRPr="00E4105B">
        <w:rPr>
          <w:rFonts w:eastAsia="Calibri" w:cs="Arial"/>
          <w:szCs w:val="21"/>
          <w:lang w:val="en-US"/>
        </w:rPr>
        <w:t>Njiwu ya mbuwa ne ditonda dia mayi a mvula ku luseke lwa Kasaï ne lwa Kasaï central ;</w:t>
      </w:r>
    </w:p>
    <w:p w14:paraId="72225728" w14:textId="77777777" w:rsidR="005C5EB1" w:rsidRPr="00E4105B" w:rsidRDefault="005C5EB1" w:rsidP="002378EA">
      <w:pPr>
        <w:pStyle w:val="Paragraphedeliste"/>
        <w:numPr>
          <w:ilvl w:val="0"/>
          <w:numId w:val="67"/>
        </w:numPr>
        <w:rPr>
          <w:rFonts w:eastAsia="Calibri" w:cs="Arial"/>
          <w:szCs w:val="21"/>
        </w:rPr>
      </w:pPr>
      <w:r w:rsidRPr="00E4105B">
        <w:rPr>
          <w:rFonts w:eastAsia="Calibri" w:cs="Arial"/>
          <w:szCs w:val="21"/>
        </w:rPr>
        <w:t>Ntatu ya bungi ya nsombelu wa bantu kulondangana ne bumudibu bapele ne bena ntatu;</w:t>
      </w:r>
    </w:p>
    <w:p w14:paraId="2A7683DB" w14:textId="77777777" w:rsidR="005C5EB1" w:rsidRPr="00E4105B" w:rsidRDefault="005C5EB1" w:rsidP="002378EA">
      <w:pPr>
        <w:pStyle w:val="Paragraphedeliste"/>
        <w:numPr>
          <w:ilvl w:val="0"/>
          <w:numId w:val="67"/>
        </w:numPr>
        <w:rPr>
          <w:rFonts w:eastAsia="Calibri" w:cs="Arial"/>
          <w:szCs w:val="21"/>
        </w:rPr>
      </w:pPr>
      <w:r w:rsidRPr="00E4105B">
        <w:rPr>
          <w:rFonts w:eastAsia="Calibri" w:cs="Arial"/>
          <w:szCs w:val="21"/>
        </w:rPr>
        <w:t>Malu a ndululu kuluseka lwa Nord-Kivu (Beni, Butembo, Rutshuru)</w:t>
      </w:r>
    </w:p>
    <w:p w14:paraId="1FAD38CF" w14:textId="77777777" w:rsidR="005C5EB1" w:rsidRPr="00E4105B" w:rsidRDefault="005C5EB1" w:rsidP="005C5EB1">
      <w:pPr>
        <w:tabs>
          <w:tab w:val="left" w:pos="426"/>
        </w:tabs>
        <w:spacing w:line="240" w:lineRule="auto"/>
        <w:rPr>
          <w:rFonts w:cs="Arial"/>
          <w:szCs w:val="21"/>
        </w:rPr>
      </w:pPr>
    </w:p>
    <w:p w14:paraId="53692548" w14:textId="77777777" w:rsidR="005C5EB1" w:rsidRPr="00A06B8B" w:rsidRDefault="005C5EB1" w:rsidP="002378EA">
      <w:pPr>
        <w:numPr>
          <w:ilvl w:val="0"/>
          <w:numId w:val="158"/>
        </w:numPr>
        <w:rPr>
          <w:rFonts w:cs="Arial"/>
          <w:b/>
          <w:szCs w:val="21"/>
        </w:rPr>
      </w:pPr>
      <w:r w:rsidRPr="00A06B8B">
        <w:rPr>
          <w:rFonts w:cs="Arial"/>
          <w:b/>
          <w:i/>
          <w:szCs w:val="21"/>
        </w:rPr>
        <w:t xml:space="preserve">Malu a politiki, a mikandu ne nzubu ya midimu eyi yenzesha bwa dienzela njiwu ya bintu bia nyungulukilu wa buloba ne nsombelu wa bantu mu ditunga ne Cadele ka dilondela malu aha (CES) ka bena Banque Mondiale bwa malonga aha a CGES. </w:t>
      </w:r>
    </w:p>
    <w:p w14:paraId="03C80AF5" w14:textId="77777777" w:rsidR="005C5EB1" w:rsidRPr="00E4105B" w:rsidRDefault="005C5EB1" w:rsidP="005C5EB1">
      <w:pPr>
        <w:ind w:left="720"/>
        <w:rPr>
          <w:rFonts w:cs="Arial"/>
          <w:szCs w:val="21"/>
        </w:rPr>
      </w:pPr>
    </w:p>
    <w:p w14:paraId="2C591DA4" w14:textId="11B53466" w:rsidR="005C5EB1" w:rsidRPr="00E4105B" w:rsidRDefault="005C5EB1" w:rsidP="005C5EB1">
      <w:pPr>
        <w:tabs>
          <w:tab w:val="left" w:pos="426"/>
        </w:tabs>
        <w:rPr>
          <w:rFonts w:cs="Arial"/>
          <w:szCs w:val="21"/>
        </w:rPr>
      </w:pPr>
      <w:r w:rsidRPr="00E4105B">
        <w:rPr>
          <w:rFonts w:cs="Arial"/>
          <w:szCs w:val="21"/>
        </w:rPr>
        <w:t xml:space="preserve">Ndongolwelu wa meyi ne mikandu ya malu a bintu bia nyungulukilu wa buloba ne nsombelu wa bantu ne bwa malu a madimi a mudimu wa PNDA udi mafunda makwabu bumudi (Loi de protection de l’environnement, la loi portant Principes fondamentaux relatifs à l’agriculture, décret sur les EIES, Code de travail, etc.). </w:t>
      </w:r>
    </w:p>
    <w:p w14:paraId="464F5096" w14:textId="77777777" w:rsidR="005C5EB1" w:rsidRPr="00E4105B" w:rsidRDefault="005C5EB1" w:rsidP="005C5EB1">
      <w:pPr>
        <w:tabs>
          <w:tab w:val="left" w:pos="426"/>
        </w:tabs>
        <w:rPr>
          <w:rFonts w:cs="Arial"/>
          <w:szCs w:val="21"/>
        </w:rPr>
      </w:pPr>
    </w:p>
    <w:p w14:paraId="6BD3635B" w14:textId="6FA7E21A" w:rsidR="005C5EB1" w:rsidRPr="00E4105B" w:rsidRDefault="005C5EB1" w:rsidP="005C5EB1">
      <w:pPr>
        <w:rPr>
          <w:rFonts w:cs="Arial"/>
          <w:szCs w:val="21"/>
        </w:rPr>
      </w:pPr>
      <w:r w:rsidRPr="00E4105B">
        <w:rPr>
          <w:rFonts w:cs="Arial"/>
          <w:szCs w:val="21"/>
        </w:rPr>
        <w:t xml:space="preserve">Mudimu wa PNDA ne ulonde malomba a Cadre Environnemental et Social (CES) wa Banque Mondiale, udi mupatuke katsha dituku dia 01 octobre 2018. Ke bwalu kayi, di tangidila malu a njiwu ne bibangu bia bintu bia nyungulukilu wa buloba ne nsombelu wa bantu bia mudimu wa PNDA ndiambulwishe bwa kumuna se mudimu ewu udi usanganyibwa mukasumbu ka midimu idi ne njiwu mimweneke ya pa nkatshi kulondangana ne mapagnidika a CES wa Banque Mondiale ne kabidi njiwu ya malu a nsombelu wa bantu idi imweneka ya pa nkatshi, kulondangana ne malu adi amweneka (VBG). Mikanu tshitema munkatshi mwa mikanu dikumi (NES) ya CES ya Banque Mondiale ne ilondibwe bwa mudimu ewu. Ke mikanu idi ilonda eyi : NES 1 (Ditangidila malu a bintu nia nyungulukilu wa buloba ne nsombelu </w:t>
      </w:r>
    </w:p>
    <w:p w14:paraId="2797843C" w14:textId="77777777" w:rsidR="005C5EB1" w:rsidRPr="00E4105B" w:rsidRDefault="005C5EB1" w:rsidP="005C5EB1">
      <w:pPr>
        <w:rPr>
          <w:rFonts w:cs="Arial"/>
          <w:szCs w:val="21"/>
        </w:rPr>
      </w:pPr>
    </w:p>
    <w:p w14:paraId="7AB8B41B" w14:textId="77777777" w:rsidR="005C5EB1" w:rsidRPr="00E4105B" w:rsidRDefault="005C5EB1" w:rsidP="005C5EB1">
      <w:pPr>
        <w:rPr>
          <w:rFonts w:cs="Arial"/>
          <w:szCs w:val="21"/>
        </w:rPr>
      </w:pPr>
      <w:r w:rsidRPr="00E4105B">
        <w:rPr>
          <w:rFonts w:cs="Arial"/>
          <w:szCs w:val="21"/>
        </w:rPr>
        <w:t>Pa mutu pa mikanu eyi dikumi yenzela PNDA ne benzela kabidi politiki wa PO/PB 7.50 ya bena Banque Mondiale bwa kulondela «Mudimu udi wenzeka ku luseke ludi ne mayi adi pa nkatshi pa matunga» uvwa kauyi mushitulula mu CES. Bwa aha adi atangidila malu a (VBG), mudimu ewu ne wenzeke kulondangana ne malomba a mushindu mwakane wa kutangidla malu aha</w:t>
      </w:r>
      <w:r w:rsidRPr="00E4105B">
        <w:rPr>
          <w:rFonts w:cs="Arial"/>
          <w:szCs w:val="21"/>
          <w:vertAlign w:val="superscript"/>
        </w:rPr>
        <w:footnoteReference w:id="8"/>
      </w:r>
      <w:r w:rsidRPr="00E4105B">
        <w:rPr>
          <w:rFonts w:cs="Arial"/>
          <w:szCs w:val="21"/>
        </w:rPr>
        <w:t xml:space="preserve">. </w:t>
      </w:r>
    </w:p>
    <w:p w14:paraId="1AE2667F" w14:textId="77777777" w:rsidR="005C5EB1" w:rsidRPr="00E4105B" w:rsidRDefault="005C5EB1" w:rsidP="005C5EB1">
      <w:pPr>
        <w:tabs>
          <w:tab w:val="left" w:pos="426"/>
        </w:tabs>
        <w:rPr>
          <w:rFonts w:cs="Arial"/>
          <w:szCs w:val="21"/>
        </w:rPr>
      </w:pPr>
    </w:p>
    <w:p w14:paraId="7A82E52F" w14:textId="1699F05D" w:rsidR="005C5EB1" w:rsidRPr="00E4105B" w:rsidRDefault="005C5EB1" w:rsidP="005C5EB1">
      <w:pPr>
        <w:tabs>
          <w:tab w:val="left" w:pos="426"/>
        </w:tabs>
        <w:rPr>
          <w:rFonts w:cs="Arial"/>
          <w:szCs w:val="21"/>
        </w:rPr>
      </w:pPr>
      <w:r w:rsidRPr="00E4105B">
        <w:rPr>
          <w:rFonts w:cs="Arial"/>
          <w:szCs w:val="21"/>
        </w:rPr>
        <w:t xml:space="preserve">Mbimpe kumanyisha kabidi ne midimu eyi ne ilonde mapangidika a bena Banque Mondiale bwa ebi bidibitangila disama dia COVID-19 </w:t>
      </w:r>
    </w:p>
    <w:p w14:paraId="0A9F2E1E" w14:textId="77777777" w:rsidR="005C5EB1" w:rsidRDefault="005C5EB1" w:rsidP="005C5EB1">
      <w:pPr>
        <w:rPr>
          <w:rFonts w:cs="Arial"/>
          <w:b/>
          <w:i/>
          <w:szCs w:val="21"/>
        </w:rPr>
      </w:pPr>
    </w:p>
    <w:p w14:paraId="2AA6EF70" w14:textId="77777777" w:rsidR="00A06B8B" w:rsidRPr="00E4105B" w:rsidRDefault="00A06B8B" w:rsidP="005C5EB1">
      <w:pPr>
        <w:rPr>
          <w:rFonts w:cs="Arial"/>
          <w:b/>
          <w:i/>
          <w:szCs w:val="21"/>
        </w:rPr>
      </w:pPr>
    </w:p>
    <w:p w14:paraId="17B8FA0F" w14:textId="77777777" w:rsidR="005C5EB1" w:rsidRPr="00A06B8B" w:rsidRDefault="005C5EB1" w:rsidP="002378EA">
      <w:pPr>
        <w:numPr>
          <w:ilvl w:val="0"/>
          <w:numId w:val="158"/>
        </w:numPr>
        <w:rPr>
          <w:rFonts w:cs="Arial"/>
          <w:b/>
          <w:i/>
          <w:szCs w:val="21"/>
        </w:rPr>
      </w:pPr>
      <w:r w:rsidRPr="00A06B8B">
        <w:rPr>
          <w:rFonts w:cs="Arial"/>
          <w:b/>
          <w:i/>
          <w:szCs w:val="21"/>
        </w:rPr>
        <w:t xml:space="preserve">Bibangu/njiwu ya mweneka kulondangana ne tutupa twa mudimu </w:t>
      </w:r>
    </w:p>
    <w:p w14:paraId="2E5DDE07" w14:textId="77777777" w:rsidR="005C5EB1" w:rsidRPr="00E4105B" w:rsidRDefault="005C5EB1" w:rsidP="005C5EB1">
      <w:pPr>
        <w:ind w:left="720"/>
        <w:rPr>
          <w:rFonts w:cs="Arial"/>
          <w:b/>
          <w:i/>
          <w:szCs w:val="21"/>
        </w:rPr>
      </w:pPr>
    </w:p>
    <w:p w14:paraId="621B7E72" w14:textId="77777777" w:rsidR="005C5EB1" w:rsidRPr="00E4105B" w:rsidRDefault="005C5EB1" w:rsidP="005C5EB1">
      <w:pPr>
        <w:rPr>
          <w:rFonts w:cs="Arial"/>
          <w:szCs w:val="21"/>
        </w:rPr>
      </w:pPr>
      <w:r w:rsidRPr="00E4105B">
        <w:rPr>
          <w:rFonts w:cs="Arial"/>
          <w:szCs w:val="21"/>
        </w:rPr>
        <w:t xml:space="preserve">Bibangu ne njiwu bwa bintu bia nyungulukilu wa buloba ne nsombelu wa bantu kulondangana na tutupa twa mudimu ke bidi bilonda ebi : </w:t>
      </w:r>
    </w:p>
    <w:p w14:paraId="53CEB554" w14:textId="77777777" w:rsidR="005C5EB1" w:rsidRPr="00E4105B" w:rsidRDefault="005C5EB1" w:rsidP="005C5EB1">
      <w:pPr>
        <w:rPr>
          <w:rFonts w:cs="Arial"/>
          <w:szCs w:val="21"/>
        </w:rPr>
      </w:pPr>
    </w:p>
    <w:p w14:paraId="3C0F3028" w14:textId="77777777" w:rsidR="005C5EB1" w:rsidRPr="00E4105B" w:rsidRDefault="005C5EB1" w:rsidP="005C5EB1">
      <w:pPr>
        <w:rPr>
          <w:rFonts w:cs="Arial"/>
          <w:szCs w:val="21"/>
          <w:u w:val="single"/>
        </w:rPr>
      </w:pPr>
      <w:r w:rsidRPr="00E4105B">
        <w:rPr>
          <w:rFonts w:cs="Arial"/>
          <w:szCs w:val="21"/>
          <w:u w:val="single"/>
        </w:rPr>
        <w:t>Bibangu bia bimpe bia mudimu ewu</w:t>
      </w:r>
    </w:p>
    <w:p w14:paraId="1E444723" w14:textId="77777777" w:rsidR="005C5EB1" w:rsidRPr="00E4105B" w:rsidRDefault="005C5EB1" w:rsidP="005C5EB1">
      <w:pPr>
        <w:rPr>
          <w:rFonts w:cs="Arial"/>
          <w:szCs w:val="21"/>
        </w:rPr>
      </w:pPr>
    </w:p>
    <w:p w14:paraId="3C69C116" w14:textId="77777777" w:rsidR="005C5EB1" w:rsidRPr="00E4105B" w:rsidRDefault="005C5EB1" w:rsidP="005C5EB1">
      <w:pPr>
        <w:autoSpaceDE w:val="0"/>
        <w:autoSpaceDN w:val="0"/>
        <w:adjustRightInd w:val="0"/>
        <w:rPr>
          <w:rFonts w:cs="Arial"/>
          <w:szCs w:val="21"/>
          <w:u w:val="single"/>
          <w:lang w:val="en-US"/>
        </w:rPr>
      </w:pPr>
      <w:r w:rsidRPr="00E4105B">
        <w:rPr>
          <w:rFonts w:cs="Arial"/>
          <w:szCs w:val="21"/>
          <w:u w:val="single"/>
          <w:lang w:val="en-US"/>
        </w:rPr>
        <w:t>Pa tshikondo tsha dienzesha midimu :</w:t>
      </w:r>
    </w:p>
    <w:p w14:paraId="40214BBF" w14:textId="77777777" w:rsidR="005C5EB1" w:rsidRPr="00E4105B" w:rsidRDefault="005C5EB1" w:rsidP="005C5EB1">
      <w:pPr>
        <w:autoSpaceDE w:val="0"/>
        <w:autoSpaceDN w:val="0"/>
        <w:adjustRightInd w:val="0"/>
        <w:rPr>
          <w:rFonts w:cs="Arial"/>
          <w:szCs w:val="21"/>
          <w:lang w:val="en-US"/>
        </w:rPr>
      </w:pPr>
    </w:p>
    <w:p w14:paraId="5863C7A9" w14:textId="77777777" w:rsidR="005C5EB1" w:rsidRPr="00E4105B" w:rsidRDefault="005C5EB1" w:rsidP="002378EA">
      <w:pPr>
        <w:widowControl w:val="0"/>
        <w:numPr>
          <w:ilvl w:val="0"/>
          <w:numId w:val="68"/>
        </w:numPr>
        <w:autoSpaceDE w:val="0"/>
        <w:autoSpaceDN w:val="0"/>
        <w:rPr>
          <w:rFonts w:eastAsia="MS Mincho" w:cs="Arial"/>
          <w:szCs w:val="21"/>
          <w:lang w:val="en-US"/>
        </w:rPr>
      </w:pPr>
      <w:r w:rsidRPr="00E4105B">
        <w:rPr>
          <w:rFonts w:eastAsia="MS Mincho" w:cs="Arial"/>
          <w:szCs w:val="21"/>
          <w:lang w:val="en-US"/>
        </w:rPr>
        <w:t>Diangata bantu ku mudimu (munkatshi mwabu 30% wa bakaji) ne diambulwishe bwa kukepesha bupele mu nkatshi mwa bantu ;</w:t>
      </w:r>
    </w:p>
    <w:p w14:paraId="06EF801B" w14:textId="77777777" w:rsidR="005C5EB1" w:rsidRPr="00E4105B" w:rsidRDefault="005C5EB1" w:rsidP="002378EA">
      <w:pPr>
        <w:widowControl w:val="0"/>
        <w:numPr>
          <w:ilvl w:val="0"/>
          <w:numId w:val="68"/>
        </w:numPr>
        <w:autoSpaceDE w:val="0"/>
        <w:autoSpaceDN w:val="0"/>
        <w:rPr>
          <w:rFonts w:eastAsia="MS Mincho" w:cs="Arial"/>
          <w:szCs w:val="21"/>
          <w:lang w:val="en-US"/>
        </w:rPr>
      </w:pPr>
      <w:r w:rsidRPr="00E4105B">
        <w:rPr>
          <w:rFonts w:eastAsia="MS Mincho" w:cs="Arial"/>
          <w:szCs w:val="21"/>
          <w:lang w:val="en-US"/>
        </w:rPr>
        <w:t>Diakaja mushindu wa kwenzesha mudimu kulondangana ne malomba a NES 2 : Ditangidila malu a mudimu ne ngezelu wa bena mudimu ne a NES 4 : Malu a bukole bwa mubidi ne dikuba dia bantu ;</w:t>
      </w:r>
    </w:p>
    <w:p w14:paraId="2D1239E4" w14:textId="77777777" w:rsidR="005C5EB1" w:rsidRPr="00E4105B" w:rsidRDefault="005C5EB1" w:rsidP="002378EA">
      <w:pPr>
        <w:widowControl w:val="0"/>
        <w:numPr>
          <w:ilvl w:val="0"/>
          <w:numId w:val="68"/>
        </w:numPr>
        <w:autoSpaceDE w:val="0"/>
        <w:autoSpaceDN w:val="0"/>
        <w:rPr>
          <w:rFonts w:eastAsia="MS Mincho" w:cs="Arial"/>
          <w:szCs w:val="21"/>
        </w:rPr>
      </w:pPr>
      <w:r w:rsidRPr="00E4105B">
        <w:rPr>
          <w:rFonts w:eastAsia="MS Mincho" w:cs="Arial"/>
          <w:szCs w:val="21"/>
        </w:rPr>
        <w:t>Disangisha ba bidima ne dikolesha lungenyi lwabu ;</w:t>
      </w:r>
    </w:p>
    <w:p w14:paraId="2F43AE81" w14:textId="77777777" w:rsidR="005C5EB1" w:rsidRPr="00E4105B" w:rsidRDefault="005C5EB1" w:rsidP="002378EA">
      <w:pPr>
        <w:widowControl w:val="0"/>
        <w:numPr>
          <w:ilvl w:val="0"/>
          <w:numId w:val="68"/>
        </w:numPr>
        <w:autoSpaceDE w:val="0"/>
        <w:autoSpaceDN w:val="0"/>
        <w:rPr>
          <w:rFonts w:eastAsia="MS Mincho" w:cs="Arial"/>
          <w:szCs w:val="21"/>
        </w:rPr>
      </w:pPr>
      <w:r w:rsidRPr="00E4105B">
        <w:rPr>
          <w:rFonts w:eastAsia="MS Mincho" w:cs="Arial"/>
          <w:szCs w:val="21"/>
        </w:rPr>
        <w:t xml:space="preserve">Dilongolola malu a bantu bakaji mu malu a madimi ; </w:t>
      </w:r>
    </w:p>
    <w:p w14:paraId="528A5A10" w14:textId="77777777" w:rsidR="005C5EB1" w:rsidRPr="00E4105B" w:rsidRDefault="005C5EB1" w:rsidP="002378EA">
      <w:pPr>
        <w:widowControl w:val="0"/>
        <w:numPr>
          <w:ilvl w:val="0"/>
          <w:numId w:val="68"/>
        </w:numPr>
        <w:autoSpaceDE w:val="0"/>
        <w:autoSpaceDN w:val="0"/>
        <w:rPr>
          <w:rFonts w:eastAsia="MS Mincho" w:cs="Arial"/>
          <w:szCs w:val="21"/>
        </w:rPr>
      </w:pPr>
      <w:r w:rsidRPr="00E4105B">
        <w:rPr>
          <w:rFonts w:eastAsia="MS Mincho" w:cs="Arial"/>
          <w:szCs w:val="21"/>
        </w:rPr>
        <w:t xml:space="preserve">Dilongolola dia malu a midimu bwa bena mudimu bonso ba mishindu mishalangane, bakashidi, ba kudituku ne kudituku, bumbikila kule, bena musoko, bena tusumbu, ne aba batu basumbisha bintu bwa mudimu ; </w:t>
      </w:r>
    </w:p>
    <w:p w14:paraId="20ADF16E" w14:textId="77777777" w:rsidR="005C5EB1" w:rsidRPr="00E4105B" w:rsidRDefault="005C5EB1" w:rsidP="002378EA">
      <w:pPr>
        <w:widowControl w:val="0"/>
        <w:numPr>
          <w:ilvl w:val="0"/>
          <w:numId w:val="68"/>
        </w:numPr>
        <w:autoSpaceDE w:val="0"/>
        <w:autoSpaceDN w:val="0"/>
        <w:rPr>
          <w:rFonts w:eastAsia="MS Mincho" w:cs="Arial"/>
          <w:szCs w:val="21"/>
        </w:rPr>
      </w:pPr>
      <w:r w:rsidRPr="00E4105B">
        <w:rPr>
          <w:rFonts w:eastAsia="MS Mincho" w:cs="Arial"/>
          <w:szCs w:val="21"/>
        </w:rPr>
        <w:t>Diyisha kumpala midimu ya disumbisha bintu mu miaba ya mudimu ;</w:t>
      </w:r>
    </w:p>
    <w:p w14:paraId="4C13C5BA" w14:textId="77777777" w:rsidR="005C5EB1" w:rsidRPr="00E4105B" w:rsidRDefault="005C5EB1" w:rsidP="002378EA">
      <w:pPr>
        <w:widowControl w:val="0"/>
        <w:numPr>
          <w:ilvl w:val="0"/>
          <w:numId w:val="68"/>
        </w:numPr>
        <w:autoSpaceDE w:val="0"/>
        <w:autoSpaceDN w:val="0"/>
        <w:rPr>
          <w:rFonts w:eastAsia="MS Mincho" w:cs="Arial"/>
          <w:szCs w:val="21"/>
        </w:rPr>
      </w:pPr>
      <w:r w:rsidRPr="00E4105B">
        <w:rPr>
          <w:rFonts w:eastAsia="MS Mincho" w:cs="Arial"/>
          <w:szCs w:val="21"/>
        </w:rPr>
        <w:t>Dilongolola nsombelu wa bantu ne miaba yabu ;</w:t>
      </w:r>
    </w:p>
    <w:p w14:paraId="2D955653" w14:textId="77777777" w:rsidR="005C5EB1" w:rsidRPr="00E4105B" w:rsidRDefault="005C5EB1" w:rsidP="002378EA">
      <w:pPr>
        <w:widowControl w:val="0"/>
        <w:numPr>
          <w:ilvl w:val="0"/>
          <w:numId w:val="68"/>
        </w:numPr>
        <w:autoSpaceDE w:val="0"/>
        <w:autoSpaceDN w:val="0"/>
        <w:rPr>
          <w:rFonts w:eastAsia="MS Mincho" w:cs="Arial"/>
          <w:szCs w:val="21"/>
        </w:rPr>
      </w:pPr>
      <w:r w:rsidRPr="00E4105B">
        <w:rPr>
          <w:rFonts w:eastAsia="MS Mincho" w:cs="Arial"/>
          <w:szCs w:val="21"/>
        </w:rPr>
        <w:t>Dikuba ndilu wa bantu ne di lwanganisha tshiyole ;</w:t>
      </w:r>
    </w:p>
    <w:p w14:paraId="551D7B41" w14:textId="77777777" w:rsidR="005C5EB1" w:rsidRPr="00E4105B" w:rsidRDefault="005C5EB1" w:rsidP="002378EA">
      <w:pPr>
        <w:widowControl w:val="0"/>
        <w:numPr>
          <w:ilvl w:val="0"/>
          <w:numId w:val="68"/>
        </w:numPr>
        <w:autoSpaceDE w:val="0"/>
        <w:autoSpaceDN w:val="0"/>
        <w:rPr>
          <w:rFonts w:eastAsia="MS Mincho" w:cs="Arial"/>
          <w:szCs w:val="21"/>
        </w:rPr>
      </w:pPr>
      <w:r w:rsidRPr="00E4105B">
        <w:rPr>
          <w:rFonts w:eastAsia="MS Mincho" w:cs="Arial"/>
          <w:szCs w:val="21"/>
        </w:rPr>
        <w:t>Dipwekesha mushinga wa bidibwa, ne disangisha ba tshidime mu tusumbu (coopératives/associations) ne biapu bikese bia agro-MPME ;</w:t>
      </w:r>
    </w:p>
    <w:p w14:paraId="670E42EE" w14:textId="77777777" w:rsidR="005C5EB1" w:rsidRPr="00E4105B" w:rsidRDefault="005C5EB1" w:rsidP="002378EA">
      <w:pPr>
        <w:widowControl w:val="0"/>
        <w:numPr>
          <w:ilvl w:val="0"/>
          <w:numId w:val="68"/>
        </w:numPr>
        <w:autoSpaceDE w:val="0"/>
        <w:autoSpaceDN w:val="0"/>
        <w:rPr>
          <w:rFonts w:eastAsia="MS Mincho" w:cs="Arial"/>
          <w:szCs w:val="21"/>
        </w:rPr>
      </w:pPr>
      <w:r w:rsidRPr="00E4105B">
        <w:rPr>
          <w:rFonts w:eastAsia="MS Mincho" w:cs="Arial"/>
          <w:szCs w:val="21"/>
        </w:rPr>
        <w:t>Mudimu ewu ne ulongolweshe njila yonso ya kupatwila bidibwa bwa kuya kubisumbisha ne dikuba bantu ne bintu biabu bwa kuya kubisumbisha ne diunzulula kabidi njila ya mayi ;</w:t>
      </w:r>
    </w:p>
    <w:p w14:paraId="292A87E4" w14:textId="77777777" w:rsidR="005C5EB1" w:rsidRPr="00E4105B" w:rsidRDefault="005C5EB1" w:rsidP="002378EA">
      <w:pPr>
        <w:widowControl w:val="0"/>
        <w:numPr>
          <w:ilvl w:val="0"/>
          <w:numId w:val="68"/>
        </w:numPr>
        <w:autoSpaceDE w:val="0"/>
        <w:autoSpaceDN w:val="0"/>
        <w:rPr>
          <w:rFonts w:eastAsia="MS Mincho" w:cs="Arial"/>
          <w:szCs w:val="21"/>
        </w:rPr>
      </w:pPr>
      <w:r w:rsidRPr="00E4105B">
        <w:rPr>
          <w:rFonts w:eastAsia="MS Mincho" w:cs="Arial"/>
          <w:szCs w:val="21"/>
        </w:rPr>
        <w:t>Diambulwisha dia ba bidime ne ngenzelu mupiapia wa midimu ya madima na bisadilu anyi biamwa bia midimu ne maminu mapiamapia a CSA (agriculture intelligente face au climat) ne a AIN (agriculture intelligente face à la nutrition) (semences, plants, races animales, services de conseil et de vulgarisation) ;</w:t>
      </w:r>
    </w:p>
    <w:p w14:paraId="5FAC1117" w14:textId="77777777" w:rsidR="005C5EB1" w:rsidRPr="00E4105B" w:rsidRDefault="005C5EB1" w:rsidP="002378EA">
      <w:pPr>
        <w:widowControl w:val="0"/>
        <w:numPr>
          <w:ilvl w:val="0"/>
          <w:numId w:val="68"/>
        </w:numPr>
        <w:autoSpaceDE w:val="0"/>
        <w:autoSpaceDN w:val="0"/>
        <w:rPr>
          <w:rFonts w:eastAsia="MS Mincho" w:cs="Arial"/>
          <w:szCs w:val="21"/>
        </w:rPr>
      </w:pPr>
      <w:r w:rsidRPr="00E4105B">
        <w:rPr>
          <w:rFonts w:eastAsia="MS Mincho" w:cs="Arial"/>
          <w:szCs w:val="21"/>
        </w:rPr>
        <w:t xml:space="preserve">Diambulwisha dia tekiniki dia ba bidime (publics, privés, ONG), ne bena mudimu ba Mbulamatadi bwa malu a maloba ne a mpetu. </w:t>
      </w:r>
    </w:p>
    <w:p w14:paraId="67188255" w14:textId="77777777" w:rsidR="005C5EB1" w:rsidRPr="00E4105B" w:rsidRDefault="005C5EB1" w:rsidP="002378EA">
      <w:pPr>
        <w:widowControl w:val="0"/>
        <w:numPr>
          <w:ilvl w:val="0"/>
          <w:numId w:val="68"/>
        </w:numPr>
        <w:autoSpaceDE w:val="0"/>
        <w:autoSpaceDN w:val="0"/>
        <w:rPr>
          <w:rFonts w:eastAsia="MS Mincho" w:cs="Arial"/>
          <w:szCs w:val="21"/>
        </w:rPr>
      </w:pPr>
      <w:r w:rsidRPr="00E4105B">
        <w:rPr>
          <w:rFonts w:eastAsia="MS Mincho" w:cs="Arial"/>
          <w:szCs w:val="21"/>
        </w:rPr>
        <w:t>Dilongolola ne dibaka bia bisalu ne nzubu ya midimu mipiamipia (amélioration des marchés communautaires, des abattoirs, etc.) ; ne mushindu wa dipitshisha mayi bwa madimi ne bienzedi bia midimu bikwabu ;</w:t>
      </w:r>
    </w:p>
    <w:p w14:paraId="324CF50F" w14:textId="77777777" w:rsidR="005C5EB1" w:rsidRPr="00E4105B" w:rsidRDefault="005C5EB1" w:rsidP="002378EA">
      <w:pPr>
        <w:widowControl w:val="0"/>
        <w:numPr>
          <w:ilvl w:val="0"/>
          <w:numId w:val="68"/>
        </w:numPr>
        <w:autoSpaceDE w:val="0"/>
        <w:autoSpaceDN w:val="0"/>
        <w:rPr>
          <w:rFonts w:eastAsia="MS Mincho" w:cs="Arial"/>
          <w:szCs w:val="21"/>
        </w:rPr>
      </w:pPr>
      <w:r w:rsidRPr="00E4105B">
        <w:rPr>
          <w:rFonts w:eastAsia="MS Mincho" w:cs="Arial"/>
          <w:szCs w:val="21"/>
        </w:rPr>
        <w:t>Mudimu ne upeshe mpetu ya diambulwisha ba bidime ba bakese basangisha mutusumbu bwa kubambulwisha (coopératives/associations) ne bena agro-MPME bitabuja bwa kwenza mudimu ne badime ba bakese aba ;</w:t>
      </w:r>
    </w:p>
    <w:p w14:paraId="4D6215CB" w14:textId="77777777" w:rsidR="005C5EB1" w:rsidRPr="00E4105B" w:rsidRDefault="005C5EB1" w:rsidP="002378EA">
      <w:pPr>
        <w:widowControl w:val="0"/>
        <w:numPr>
          <w:ilvl w:val="0"/>
          <w:numId w:val="68"/>
        </w:numPr>
        <w:autoSpaceDE w:val="0"/>
        <w:autoSpaceDN w:val="0"/>
        <w:rPr>
          <w:rFonts w:eastAsia="MS Mincho" w:cs="Arial"/>
          <w:szCs w:val="21"/>
        </w:rPr>
      </w:pPr>
      <w:r w:rsidRPr="00E4105B">
        <w:rPr>
          <w:rFonts w:eastAsia="MS Mincho" w:cs="Arial"/>
          <w:szCs w:val="21"/>
        </w:rPr>
        <w:t xml:space="preserve">Diandamu, diambula ne disumbisha dia bikunibwa biumbukila ku midimu ta madimi (activités post-récolte) ; </w:t>
      </w:r>
    </w:p>
    <w:p w14:paraId="46EAE250" w14:textId="77777777" w:rsidR="005C5EB1" w:rsidRPr="00E4105B" w:rsidRDefault="005C5EB1" w:rsidP="002378EA">
      <w:pPr>
        <w:widowControl w:val="0"/>
        <w:numPr>
          <w:ilvl w:val="0"/>
          <w:numId w:val="68"/>
        </w:numPr>
        <w:autoSpaceDE w:val="0"/>
        <w:autoSpaceDN w:val="0"/>
        <w:rPr>
          <w:rFonts w:eastAsia="MS Mincho" w:cs="Arial"/>
          <w:szCs w:val="21"/>
        </w:rPr>
      </w:pPr>
      <w:r w:rsidRPr="00E4105B">
        <w:rPr>
          <w:rFonts w:eastAsia="MS Mincho" w:cs="Arial"/>
          <w:szCs w:val="21"/>
        </w:rPr>
        <w:t>Dipesha dia maminu ne dienza midimu ya madimi (activités pré-récolte) bumudi biamwa bia midimu, tutumba, maminu, manga a twishi, diumbula njila ya mayi mu madimi, ne diambulwisha dia tekiniki, etc. ; ne</w:t>
      </w:r>
    </w:p>
    <w:p w14:paraId="3BF90189" w14:textId="77777777" w:rsidR="005C5EB1" w:rsidRPr="00E4105B" w:rsidRDefault="005C5EB1" w:rsidP="002378EA">
      <w:pPr>
        <w:widowControl w:val="0"/>
        <w:numPr>
          <w:ilvl w:val="0"/>
          <w:numId w:val="68"/>
        </w:numPr>
        <w:autoSpaceDE w:val="0"/>
        <w:autoSpaceDN w:val="0"/>
        <w:rPr>
          <w:rFonts w:eastAsia="MS Mincho" w:cs="Arial"/>
          <w:szCs w:val="21"/>
        </w:rPr>
      </w:pPr>
      <w:r w:rsidRPr="00E4105B">
        <w:rPr>
          <w:rFonts w:eastAsia="MS Mincho" w:cs="Arial"/>
          <w:szCs w:val="21"/>
        </w:rPr>
        <w:t xml:space="preserve">divudija mpetu ta bidime bia kumisoko ne dibapesha mpetu ya diambulwisha yumbukila ku nzubu ya bibutshilu (IF). </w:t>
      </w:r>
    </w:p>
    <w:p w14:paraId="5ABCC2E1" w14:textId="77777777" w:rsidR="005C5EB1" w:rsidRPr="00E4105B" w:rsidRDefault="005C5EB1" w:rsidP="005C5EB1">
      <w:pPr>
        <w:widowControl w:val="0"/>
        <w:autoSpaceDE w:val="0"/>
        <w:autoSpaceDN w:val="0"/>
        <w:ind w:left="720"/>
        <w:rPr>
          <w:rFonts w:eastAsia="MS Mincho" w:cs="Arial"/>
          <w:szCs w:val="21"/>
        </w:rPr>
      </w:pPr>
    </w:p>
    <w:p w14:paraId="168D10FA" w14:textId="77777777" w:rsidR="005C5EB1" w:rsidRPr="00E4105B" w:rsidRDefault="005C5EB1" w:rsidP="005C5EB1">
      <w:pPr>
        <w:autoSpaceDE w:val="0"/>
        <w:autoSpaceDN w:val="0"/>
        <w:adjustRightInd w:val="0"/>
        <w:rPr>
          <w:rFonts w:cs="Arial"/>
          <w:szCs w:val="21"/>
        </w:rPr>
      </w:pPr>
      <w:r w:rsidRPr="00E4105B">
        <w:rPr>
          <w:rFonts w:cs="Arial"/>
          <w:szCs w:val="21"/>
          <w:u w:val="single"/>
        </w:rPr>
        <w:t>Pa tshikondo tsh kwenzela miaba ya mudimu ya madimi</w:t>
      </w:r>
      <w:r w:rsidRPr="00E4105B">
        <w:rPr>
          <w:rFonts w:cs="Arial"/>
          <w:szCs w:val="21"/>
        </w:rPr>
        <w:t>:</w:t>
      </w:r>
    </w:p>
    <w:p w14:paraId="3CD0F520" w14:textId="77777777" w:rsidR="005C5EB1" w:rsidRPr="00E4105B" w:rsidRDefault="005C5EB1" w:rsidP="005C5EB1">
      <w:pPr>
        <w:autoSpaceDE w:val="0"/>
        <w:autoSpaceDN w:val="0"/>
        <w:adjustRightInd w:val="0"/>
        <w:rPr>
          <w:rFonts w:cs="Arial"/>
          <w:szCs w:val="21"/>
        </w:rPr>
      </w:pPr>
    </w:p>
    <w:p w14:paraId="3758B035" w14:textId="77777777" w:rsidR="005C5EB1" w:rsidRPr="00E4105B" w:rsidRDefault="005C5EB1" w:rsidP="002378EA">
      <w:pPr>
        <w:widowControl w:val="0"/>
        <w:numPr>
          <w:ilvl w:val="0"/>
          <w:numId w:val="68"/>
        </w:numPr>
        <w:autoSpaceDE w:val="0"/>
        <w:autoSpaceDN w:val="0"/>
        <w:rPr>
          <w:rFonts w:eastAsia="MS Mincho" w:cs="Arial"/>
          <w:szCs w:val="21"/>
        </w:rPr>
      </w:pPr>
      <w:r w:rsidRPr="00E4105B">
        <w:rPr>
          <w:rFonts w:eastAsia="MS Mincho" w:cs="Arial"/>
          <w:szCs w:val="21"/>
        </w:rPr>
        <w:t>Diteka nzubu ya tshibutshilu bwa mpetu mu misoko ;</w:t>
      </w:r>
    </w:p>
    <w:p w14:paraId="606CA417" w14:textId="77777777" w:rsidR="005C5EB1" w:rsidRPr="00E4105B" w:rsidRDefault="005C5EB1" w:rsidP="002378EA">
      <w:pPr>
        <w:widowControl w:val="0"/>
        <w:numPr>
          <w:ilvl w:val="0"/>
          <w:numId w:val="68"/>
        </w:numPr>
        <w:autoSpaceDE w:val="0"/>
        <w:autoSpaceDN w:val="0"/>
        <w:rPr>
          <w:rFonts w:eastAsia="MS Mincho" w:cs="Arial"/>
          <w:szCs w:val="21"/>
        </w:rPr>
      </w:pPr>
      <w:r w:rsidRPr="00E4105B">
        <w:rPr>
          <w:rFonts w:eastAsia="MS Mincho" w:cs="Arial"/>
          <w:szCs w:val="21"/>
        </w:rPr>
        <w:t>Dienza ntema bwa dinyanguka dia maloba ;</w:t>
      </w:r>
    </w:p>
    <w:p w14:paraId="42DFE118" w14:textId="77777777" w:rsidR="005C5EB1" w:rsidRPr="00E4105B" w:rsidRDefault="005C5EB1" w:rsidP="002378EA">
      <w:pPr>
        <w:widowControl w:val="0"/>
        <w:numPr>
          <w:ilvl w:val="0"/>
          <w:numId w:val="68"/>
        </w:numPr>
        <w:autoSpaceDE w:val="0"/>
        <w:autoSpaceDN w:val="0"/>
        <w:rPr>
          <w:rFonts w:eastAsia="MS Mincho" w:cs="Arial"/>
          <w:szCs w:val="21"/>
        </w:rPr>
      </w:pPr>
      <w:r w:rsidRPr="00E4105B">
        <w:rPr>
          <w:rFonts w:eastAsia="MS Mincho" w:cs="Arial"/>
          <w:szCs w:val="21"/>
        </w:rPr>
        <w:t xml:space="preserve">Dimasha kunyema kwa bantu bwa kuya miaba mikwabu ; </w:t>
      </w:r>
    </w:p>
    <w:p w14:paraId="21CB2E49" w14:textId="77777777" w:rsidR="005C5EB1" w:rsidRPr="00E4105B" w:rsidRDefault="005C5EB1" w:rsidP="002378EA">
      <w:pPr>
        <w:widowControl w:val="0"/>
        <w:numPr>
          <w:ilvl w:val="0"/>
          <w:numId w:val="68"/>
        </w:numPr>
        <w:autoSpaceDE w:val="0"/>
        <w:autoSpaceDN w:val="0"/>
        <w:rPr>
          <w:rFonts w:eastAsia="MS Mincho" w:cs="Arial"/>
          <w:szCs w:val="21"/>
        </w:rPr>
      </w:pPr>
      <w:r w:rsidRPr="00E4105B">
        <w:rPr>
          <w:rFonts w:eastAsia="MS Mincho" w:cs="Arial"/>
          <w:szCs w:val="21"/>
        </w:rPr>
        <w:t xml:space="preserve">Ditumikila bakaji ne ba nsonga ; </w:t>
      </w:r>
    </w:p>
    <w:p w14:paraId="0ABB74D3" w14:textId="77777777" w:rsidR="005C5EB1" w:rsidRPr="00E4105B" w:rsidRDefault="005C5EB1" w:rsidP="002378EA">
      <w:pPr>
        <w:widowControl w:val="0"/>
        <w:numPr>
          <w:ilvl w:val="0"/>
          <w:numId w:val="68"/>
        </w:numPr>
        <w:autoSpaceDE w:val="0"/>
        <w:autoSpaceDN w:val="0"/>
        <w:rPr>
          <w:rFonts w:eastAsia="MS Mincho" w:cs="Arial"/>
          <w:szCs w:val="21"/>
          <w:lang w:val="nl-BE"/>
        </w:rPr>
      </w:pPr>
      <w:r w:rsidRPr="00E4105B">
        <w:rPr>
          <w:rFonts w:eastAsia="MS Mincho" w:cs="Arial"/>
          <w:szCs w:val="21"/>
          <w:lang w:val="nl-BE"/>
        </w:rPr>
        <w:t xml:space="preserve">Dienzesha dia midimu tshidimu tshijima ; </w:t>
      </w:r>
    </w:p>
    <w:p w14:paraId="547D6F02" w14:textId="77777777" w:rsidR="005C5EB1" w:rsidRPr="00E4105B" w:rsidRDefault="005C5EB1" w:rsidP="002378EA">
      <w:pPr>
        <w:widowControl w:val="0"/>
        <w:numPr>
          <w:ilvl w:val="0"/>
          <w:numId w:val="68"/>
        </w:numPr>
        <w:autoSpaceDE w:val="0"/>
        <w:autoSpaceDN w:val="0"/>
        <w:rPr>
          <w:rFonts w:eastAsia="MS Mincho" w:cs="Arial"/>
          <w:szCs w:val="21"/>
          <w:lang w:val="nl-BE"/>
        </w:rPr>
      </w:pPr>
      <w:r w:rsidRPr="00E4105B">
        <w:rPr>
          <w:rFonts w:eastAsia="MS Mincho" w:cs="Arial"/>
          <w:szCs w:val="21"/>
          <w:lang w:val="nl-BE"/>
        </w:rPr>
        <w:t>Dimanyisha dienza dia ndululu kudi ba nsonga ;</w:t>
      </w:r>
    </w:p>
    <w:p w14:paraId="6B188DF2" w14:textId="77777777" w:rsidR="005C5EB1" w:rsidRPr="00E4105B" w:rsidRDefault="005C5EB1" w:rsidP="002378EA">
      <w:pPr>
        <w:widowControl w:val="0"/>
        <w:numPr>
          <w:ilvl w:val="0"/>
          <w:numId w:val="68"/>
        </w:numPr>
        <w:autoSpaceDE w:val="0"/>
        <w:autoSpaceDN w:val="0"/>
        <w:rPr>
          <w:rFonts w:eastAsia="MS Mincho" w:cs="Arial"/>
          <w:szCs w:val="21"/>
        </w:rPr>
      </w:pPr>
      <w:r w:rsidRPr="00E4105B">
        <w:rPr>
          <w:rFonts w:eastAsia="MS Mincho" w:cs="Arial"/>
          <w:szCs w:val="21"/>
          <w:lang w:val="fr-CD"/>
        </w:rPr>
        <w:t>Diteka dia tusumbu twa badimi</w:t>
      </w:r>
      <w:r w:rsidRPr="00E4105B">
        <w:rPr>
          <w:rFonts w:eastAsia="MS Mincho" w:cs="Arial"/>
          <w:szCs w:val="21"/>
        </w:rPr>
        <w:t xml:space="preserve"> ; </w:t>
      </w:r>
    </w:p>
    <w:p w14:paraId="280A5E2C" w14:textId="77777777" w:rsidR="005C5EB1" w:rsidRPr="00E4105B" w:rsidRDefault="005C5EB1" w:rsidP="002378EA">
      <w:pPr>
        <w:widowControl w:val="0"/>
        <w:numPr>
          <w:ilvl w:val="0"/>
          <w:numId w:val="68"/>
        </w:numPr>
        <w:autoSpaceDE w:val="0"/>
        <w:autoSpaceDN w:val="0"/>
        <w:rPr>
          <w:rFonts w:eastAsia="MS Mincho" w:cs="Arial"/>
          <w:szCs w:val="21"/>
        </w:rPr>
      </w:pPr>
      <w:r w:rsidRPr="00E4105B">
        <w:rPr>
          <w:rFonts w:eastAsia="MS Mincho" w:cs="Arial"/>
          <w:szCs w:val="21"/>
        </w:rPr>
        <w:t xml:space="preserve">Diteka dia ma Coopératives a badimi ; </w:t>
      </w:r>
    </w:p>
    <w:p w14:paraId="30CB8F22" w14:textId="77777777" w:rsidR="005C5EB1" w:rsidRPr="00E4105B" w:rsidRDefault="005C5EB1" w:rsidP="002378EA">
      <w:pPr>
        <w:widowControl w:val="0"/>
        <w:numPr>
          <w:ilvl w:val="0"/>
          <w:numId w:val="68"/>
        </w:numPr>
        <w:autoSpaceDE w:val="0"/>
        <w:autoSpaceDN w:val="0"/>
        <w:rPr>
          <w:rFonts w:eastAsia="MS Mincho" w:cs="Arial"/>
          <w:szCs w:val="21"/>
        </w:rPr>
      </w:pPr>
      <w:r w:rsidRPr="00E4105B">
        <w:rPr>
          <w:rFonts w:eastAsia="MS Mincho" w:cs="Arial"/>
          <w:szCs w:val="21"/>
        </w:rPr>
        <w:t xml:space="preserve">Dilongolola dimpe bwa kwandamuna bidibwa ; </w:t>
      </w:r>
    </w:p>
    <w:p w14:paraId="0C3EDA54" w14:textId="77777777" w:rsidR="005C5EB1" w:rsidRPr="00E4105B" w:rsidRDefault="005C5EB1" w:rsidP="002378EA">
      <w:pPr>
        <w:widowControl w:val="0"/>
        <w:numPr>
          <w:ilvl w:val="0"/>
          <w:numId w:val="68"/>
        </w:numPr>
        <w:autoSpaceDE w:val="0"/>
        <w:autoSpaceDN w:val="0"/>
        <w:rPr>
          <w:rFonts w:eastAsia="MS Mincho" w:cs="Arial"/>
          <w:szCs w:val="21"/>
        </w:rPr>
      </w:pPr>
      <w:r w:rsidRPr="00E4105B">
        <w:rPr>
          <w:rFonts w:eastAsia="MS Mincho" w:cs="Arial"/>
          <w:szCs w:val="21"/>
        </w:rPr>
        <w:t xml:space="preserve">Diteka njila ya disumbisha ne ya mushinga wa bintu ; </w:t>
      </w:r>
    </w:p>
    <w:p w14:paraId="624A8D39" w14:textId="77777777" w:rsidR="005C5EB1" w:rsidRPr="00E4105B" w:rsidRDefault="005C5EB1" w:rsidP="002378EA">
      <w:pPr>
        <w:widowControl w:val="0"/>
        <w:numPr>
          <w:ilvl w:val="0"/>
          <w:numId w:val="68"/>
        </w:numPr>
        <w:autoSpaceDE w:val="0"/>
        <w:autoSpaceDN w:val="0"/>
        <w:rPr>
          <w:rFonts w:eastAsia="MS Mincho" w:cs="Arial"/>
          <w:szCs w:val="21"/>
        </w:rPr>
      </w:pPr>
      <w:r w:rsidRPr="00E4105B">
        <w:rPr>
          <w:rFonts w:eastAsia="MS Mincho" w:cs="Arial"/>
          <w:szCs w:val="21"/>
        </w:rPr>
        <w:t>Ditangidila malu a Bakaji pabu ;</w:t>
      </w:r>
    </w:p>
    <w:p w14:paraId="6118B333" w14:textId="77777777" w:rsidR="005C5EB1" w:rsidRPr="00E4105B" w:rsidRDefault="005C5EB1" w:rsidP="002378EA">
      <w:pPr>
        <w:widowControl w:val="0"/>
        <w:numPr>
          <w:ilvl w:val="0"/>
          <w:numId w:val="68"/>
        </w:numPr>
        <w:autoSpaceDE w:val="0"/>
        <w:autoSpaceDN w:val="0"/>
        <w:rPr>
          <w:rFonts w:eastAsia="MS Mincho" w:cs="Arial"/>
          <w:szCs w:val="21"/>
        </w:rPr>
      </w:pPr>
      <w:r w:rsidRPr="00E4105B">
        <w:rPr>
          <w:rFonts w:eastAsia="MS Mincho" w:cs="Arial"/>
          <w:szCs w:val="21"/>
        </w:rPr>
        <w:t xml:space="preserve">Ditangidila malu ab bakaji bwa midimu eyi ya madimi ;  </w:t>
      </w:r>
    </w:p>
    <w:p w14:paraId="0B9F9029" w14:textId="77777777" w:rsidR="005C5EB1" w:rsidRPr="00E4105B" w:rsidRDefault="005C5EB1" w:rsidP="002378EA">
      <w:pPr>
        <w:widowControl w:val="0"/>
        <w:numPr>
          <w:ilvl w:val="0"/>
          <w:numId w:val="68"/>
        </w:numPr>
        <w:autoSpaceDE w:val="0"/>
        <w:autoSpaceDN w:val="0"/>
        <w:rPr>
          <w:rFonts w:eastAsia="MS Mincho" w:cs="Arial"/>
          <w:szCs w:val="21"/>
        </w:rPr>
      </w:pPr>
      <w:r w:rsidRPr="00E4105B">
        <w:rPr>
          <w:rFonts w:eastAsia="MS Mincho" w:cs="Arial"/>
          <w:szCs w:val="21"/>
        </w:rPr>
        <w:t>Dibweja bakaji ne ba nsonga munkatshi mwa midimu bwa kupeta mpetu ; ne</w:t>
      </w:r>
    </w:p>
    <w:p w14:paraId="036A2634" w14:textId="77777777" w:rsidR="005C5EB1" w:rsidRPr="00E4105B" w:rsidRDefault="005C5EB1" w:rsidP="002378EA">
      <w:pPr>
        <w:widowControl w:val="0"/>
        <w:numPr>
          <w:ilvl w:val="0"/>
          <w:numId w:val="68"/>
        </w:numPr>
        <w:autoSpaceDE w:val="0"/>
        <w:autoSpaceDN w:val="0"/>
        <w:rPr>
          <w:rFonts w:eastAsia="MS Mincho" w:cs="Arial"/>
          <w:szCs w:val="21"/>
        </w:rPr>
      </w:pPr>
      <w:r w:rsidRPr="00E4105B">
        <w:rPr>
          <w:rFonts w:eastAsia="MS Mincho" w:cs="Arial"/>
          <w:szCs w:val="21"/>
        </w:rPr>
        <w:t>Dienzela diakane di ngenyi mipiamipia ya tekiniki wa malu a kudima kulondangana ne tshikondo ne kabidi ne malu a kudia.</w:t>
      </w:r>
    </w:p>
    <w:p w14:paraId="1A4839F0" w14:textId="77777777" w:rsidR="005C5EB1" w:rsidRPr="00E4105B" w:rsidRDefault="005C5EB1" w:rsidP="002378EA">
      <w:pPr>
        <w:widowControl w:val="0"/>
        <w:numPr>
          <w:ilvl w:val="0"/>
          <w:numId w:val="68"/>
        </w:numPr>
        <w:autoSpaceDE w:val="0"/>
        <w:autoSpaceDN w:val="0"/>
        <w:rPr>
          <w:rFonts w:eastAsia="MS Mincho" w:cs="Arial"/>
          <w:szCs w:val="21"/>
        </w:rPr>
      </w:pPr>
      <w:r w:rsidRPr="00E4105B">
        <w:rPr>
          <w:rFonts w:eastAsia="MS Mincho" w:cs="Arial"/>
          <w:szCs w:val="21"/>
        </w:rPr>
        <w:t>Dikepesha dinyanga bidibwa patshikondo tsha dibibuka ;</w:t>
      </w:r>
    </w:p>
    <w:p w14:paraId="5FE363A2" w14:textId="77777777" w:rsidR="005C5EB1" w:rsidRPr="00E4105B" w:rsidRDefault="005C5EB1" w:rsidP="002378EA">
      <w:pPr>
        <w:widowControl w:val="0"/>
        <w:numPr>
          <w:ilvl w:val="0"/>
          <w:numId w:val="68"/>
        </w:numPr>
        <w:autoSpaceDE w:val="0"/>
        <w:autoSpaceDN w:val="0"/>
        <w:rPr>
          <w:rFonts w:eastAsia="MS Mincho" w:cs="Arial"/>
          <w:szCs w:val="21"/>
        </w:rPr>
      </w:pPr>
      <w:r w:rsidRPr="00E4105B">
        <w:rPr>
          <w:rFonts w:eastAsia="MS Mincho" w:cs="Arial"/>
          <w:szCs w:val="21"/>
        </w:rPr>
        <w:t>Dilondela biakane malu a dikuba bintu bia nyungulukilu wa buloba ne nsombelu wa bantu mudienza midimu ;</w:t>
      </w:r>
    </w:p>
    <w:p w14:paraId="31722794" w14:textId="77777777" w:rsidR="005C5EB1" w:rsidRPr="00E4105B" w:rsidRDefault="005C5EB1" w:rsidP="002378EA">
      <w:pPr>
        <w:widowControl w:val="0"/>
        <w:numPr>
          <w:ilvl w:val="0"/>
          <w:numId w:val="68"/>
        </w:numPr>
        <w:autoSpaceDE w:val="0"/>
        <w:autoSpaceDN w:val="0"/>
        <w:rPr>
          <w:rFonts w:eastAsia="MS Mincho" w:cs="Arial"/>
          <w:szCs w:val="21"/>
        </w:rPr>
      </w:pPr>
      <w:r w:rsidRPr="00E4105B">
        <w:rPr>
          <w:rFonts w:eastAsia="MS Mincho" w:cs="Arial"/>
          <w:szCs w:val="21"/>
        </w:rPr>
        <w:t>Difwala dia bibakabu bwa malu akwenzesha midimu kudi bantu munkatshi mwabu.</w:t>
      </w:r>
    </w:p>
    <w:p w14:paraId="0365178F" w14:textId="77777777" w:rsidR="005C5EB1" w:rsidRPr="00E4105B" w:rsidRDefault="005C5EB1" w:rsidP="005C5EB1">
      <w:pPr>
        <w:autoSpaceDE w:val="0"/>
        <w:autoSpaceDN w:val="0"/>
        <w:adjustRightInd w:val="0"/>
        <w:spacing w:line="240" w:lineRule="auto"/>
        <w:rPr>
          <w:rFonts w:cs="Arial"/>
          <w:szCs w:val="21"/>
        </w:rPr>
      </w:pPr>
    </w:p>
    <w:p w14:paraId="584584AA" w14:textId="77777777" w:rsidR="005C5EB1" w:rsidRPr="00E4105B" w:rsidRDefault="005C5EB1" w:rsidP="005C5EB1">
      <w:pPr>
        <w:spacing w:line="240" w:lineRule="auto"/>
        <w:rPr>
          <w:rFonts w:cs="Arial"/>
          <w:szCs w:val="21"/>
          <w:u w:val="single"/>
        </w:rPr>
      </w:pPr>
      <w:r w:rsidRPr="00E4105B">
        <w:rPr>
          <w:rFonts w:cs="Arial"/>
          <w:szCs w:val="21"/>
          <w:u w:val="single"/>
        </w:rPr>
        <w:t>Bibangu ne njiwu ya mibi kumbukila ku midimu yenzeka pa tshikondo tsha kudima ne kupitshisha mayi mu madimi :</w:t>
      </w:r>
    </w:p>
    <w:p w14:paraId="7DFF650A" w14:textId="77777777" w:rsidR="005C5EB1" w:rsidRPr="00E4105B" w:rsidRDefault="005C5EB1" w:rsidP="005C5EB1">
      <w:pPr>
        <w:spacing w:line="240" w:lineRule="auto"/>
        <w:rPr>
          <w:rFonts w:cs="Arial"/>
          <w:b/>
          <w:szCs w:val="21"/>
          <w:u w:val="single"/>
        </w:rPr>
      </w:pPr>
    </w:p>
    <w:p w14:paraId="49D4376E" w14:textId="77777777" w:rsidR="005C5EB1" w:rsidRPr="00E4105B" w:rsidRDefault="005C5EB1" w:rsidP="002378EA">
      <w:pPr>
        <w:widowControl w:val="0"/>
        <w:numPr>
          <w:ilvl w:val="0"/>
          <w:numId w:val="68"/>
        </w:numPr>
        <w:autoSpaceDE w:val="0"/>
        <w:autoSpaceDN w:val="0"/>
        <w:rPr>
          <w:rFonts w:eastAsia="MS Mincho" w:cs="Arial"/>
          <w:szCs w:val="21"/>
          <w:lang w:val="fr-CD"/>
        </w:rPr>
      </w:pPr>
      <w:r w:rsidRPr="00E4105B">
        <w:rPr>
          <w:rFonts w:eastAsia="MS Mincho" w:cs="Arial"/>
          <w:szCs w:val="21"/>
          <w:lang w:val="fr-CD"/>
        </w:rPr>
        <w:t>Njiwu ya malu adikengesha bakaji ne dibatatshisha kutshikondo tsha midimu ;</w:t>
      </w:r>
    </w:p>
    <w:p w14:paraId="6D5F481B" w14:textId="77777777" w:rsidR="005C5EB1" w:rsidRPr="00E4105B" w:rsidRDefault="005C5EB1" w:rsidP="002378EA">
      <w:pPr>
        <w:widowControl w:val="0"/>
        <w:numPr>
          <w:ilvl w:val="0"/>
          <w:numId w:val="68"/>
        </w:numPr>
        <w:autoSpaceDE w:val="0"/>
        <w:autoSpaceDN w:val="0"/>
        <w:rPr>
          <w:rFonts w:eastAsia="MS Mincho" w:cs="Arial"/>
          <w:szCs w:val="21"/>
        </w:rPr>
      </w:pPr>
      <w:r w:rsidRPr="00E4105B">
        <w:rPr>
          <w:rFonts w:eastAsia="MS Mincho" w:cs="Arial"/>
          <w:szCs w:val="21"/>
        </w:rPr>
        <w:t>Dinyankaja dia miaba itu mishipa ilelela mu mayi ;</w:t>
      </w:r>
    </w:p>
    <w:p w14:paraId="7B5E2925" w14:textId="77777777" w:rsidR="005C5EB1" w:rsidRPr="00E4105B" w:rsidRDefault="005C5EB1" w:rsidP="002378EA">
      <w:pPr>
        <w:widowControl w:val="0"/>
        <w:numPr>
          <w:ilvl w:val="0"/>
          <w:numId w:val="68"/>
        </w:numPr>
        <w:autoSpaceDE w:val="0"/>
        <w:autoSpaceDN w:val="0"/>
        <w:rPr>
          <w:rFonts w:eastAsia="MS Mincho" w:cs="Arial"/>
          <w:szCs w:val="21"/>
        </w:rPr>
      </w:pPr>
      <w:r w:rsidRPr="00E4105B">
        <w:rPr>
          <w:rFonts w:eastAsia="MS Mincho" w:cs="Arial"/>
          <w:szCs w:val="21"/>
        </w:rPr>
        <w:t>Dikosa mitshi ne dinyankaja metu, ne maloba ne mbuwe, ne diupula bisombelu bia nyama ne dikosa mitshi ;</w:t>
      </w:r>
    </w:p>
    <w:p w14:paraId="665D5BA9" w14:textId="77777777" w:rsidR="005C5EB1" w:rsidRPr="00E4105B" w:rsidRDefault="005C5EB1" w:rsidP="002378EA">
      <w:pPr>
        <w:widowControl w:val="0"/>
        <w:numPr>
          <w:ilvl w:val="0"/>
          <w:numId w:val="68"/>
        </w:numPr>
        <w:autoSpaceDE w:val="0"/>
        <w:autoSpaceDN w:val="0"/>
        <w:rPr>
          <w:rFonts w:eastAsia="MS Mincho" w:cs="Arial"/>
          <w:szCs w:val="21"/>
        </w:rPr>
      </w:pPr>
      <w:r w:rsidRPr="00E4105B">
        <w:rPr>
          <w:rFonts w:eastAsia="MS Mincho" w:cs="Arial"/>
          <w:szCs w:val="21"/>
        </w:rPr>
        <w:t xml:space="preserve"> Dishipa nyama mikese ne bifukibwe bikwabu ;</w:t>
      </w:r>
    </w:p>
    <w:p w14:paraId="26925FE7" w14:textId="77777777" w:rsidR="005C5EB1" w:rsidRPr="00E4105B" w:rsidRDefault="005C5EB1" w:rsidP="002378EA">
      <w:pPr>
        <w:widowControl w:val="0"/>
        <w:numPr>
          <w:ilvl w:val="0"/>
          <w:numId w:val="68"/>
        </w:numPr>
        <w:autoSpaceDE w:val="0"/>
        <w:autoSpaceDN w:val="0"/>
        <w:rPr>
          <w:rFonts w:eastAsia="MS Mincho" w:cs="Arial"/>
          <w:szCs w:val="21"/>
        </w:rPr>
      </w:pPr>
      <w:r w:rsidRPr="00E4105B">
        <w:rPr>
          <w:rFonts w:eastAsia="MS Mincho" w:cs="Arial"/>
          <w:szCs w:val="21"/>
        </w:rPr>
        <w:t>Njiwu ya ndululu ya dienzela mayi, miaba ya madimi, ya diloba ne ya dimuna nyama ;</w:t>
      </w:r>
    </w:p>
    <w:p w14:paraId="5875DDE9" w14:textId="77777777" w:rsidR="005C5EB1" w:rsidRPr="00E4105B" w:rsidRDefault="005C5EB1" w:rsidP="002378EA">
      <w:pPr>
        <w:widowControl w:val="0"/>
        <w:numPr>
          <w:ilvl w:val="0"/>
          <w:numId w:val="68"/>
        </w:numPr>
        <w:autoSpaceDE w:val="0"/>
        <w:autoSpaceDN w:val="0"/>
        <w:rPr>
          <w:rFonts w:eastAsia="MS Mincho" w:cs="Arial"/>
          <w:szCs w:val="21"/>
        </w:rPr>
      </w:pPr>
      <w:r w:rsidRPr="00E4105B">
        <w:rPr>
          <w:rFonts w:eastAsia="MS Mincho" w:cs="Arial"/>
          <w:szCs w:val="21"/>
        </w:rPr>
        <w:t>Difwila maloba pankatshi pa Tuyeke ne benzeji ba midimu bakwabu ;</w:t>
      </w:r>
    </w:p>
    <w:p w14:paraId="3CCF07F0" w14:textId="77777777" w:rsidR="005C5EB1" w:rsidRPr="00E4105B" w:rsidRDefault="005C5EB1" w:rsidP="002378EA">
      <w:pPr>
        <w:widowControl w:val="0"/>
        <w:numPr>
          <w:ilvl w:val="0"/>
          <w:numId w:val="68"/>
        </w:numPr>
        <w:autoSpaceDE w:val="0"/>
        <w:autoSpaceDN w:val="0"/>
        <w:rPr>
          <w:rFonts w:eastAsia="MS Mincho" w:cs="Arial"/>
          <w:szCs w:val="21"/>
          <w:lang w:val="en-US"/>
        </w:rPr>
      </w:pPr>
      <w:r w:rsidRPr="00E4105B">
        <w:rPr>
          <w:rFonts w:eastAsia="MS Mincho" w:cs="Arial"/>
          <w:szCs w:val="21"/>
          <w:lang w:val="en-US"/>
        </w:rPr>
        <w:t>Dijimija dia miaba ya kudishila nyama;</w:t>
      </w:r>
    </w:p>
    <w:p w14:paraId="6D706949" w14:textId="77777777" w:rsidR="005C5EB1" w:rsidRPr="00E4105B" w:rsidRDefault="005C5EB1" w:rsidP="002378EA">
      <w:pPr>
        <w:widowControl w:val="0"/>
        <w:numPr>
          <w:ilvl w:val="0"/>
          <w:numId w:val="68"/>
        </w:numPr>
        <w:autoSpaceDE w:val="0"/>
        <w:autoSpaceDN w:val="0"/>
        <w:rPr>
          <w:rFonts w:eastAsia="MS Mincho" w:cs="Arial"/>
          <w:szCs w:val="21"/>
          <w:lang w:val="en-US"/>
        </w:rPr>
      </w:pPr>
      <w:r w:rsidRPr="00E4105B">
        <w:rPr>
          <w:rFonts w:eastAsia="MS Mincho" w:cs="Arial"/>
          <w:szCs w:val="21"/>
          <w:lang w:val="en-US"/>
        </w:rPr>
        <w:t>Dijimija maloba, dia bintu ne mpetu, ne kabidi njiwu ya diumbusha bantu pa miaba ya bu ;</w:t>
      </w:r>
    </w:p>
    <w:p w14:paraId="0C841354" w14:textId="77777777" w:rsidR="005C5EB1" w:rsidRPr="00E4105B" w:rsidRDefault="005C5EB1" w:rsidP="002378EA">
      <w:pPr>
        <w:widowControl w:val="0"/>
        <w:numPr>
          <w:ilvl w:val="0"/>
          <w:numId w:val="68"/>
        </w:numPr>
        <w:autoSpaceDE w:val="0"/>
        <w:autoSpaceDN w:val="0"/>
        <w:rPr>
          <w:rFonts w:eastAsia="MS Mincho" w:cs="Arial"/>
          <w:szCs w:val="21"/>
          <w:lang w:val="en-US"/>
        </w:rPr>
      </w:pPr>
      <w:r w:rsidRPr="00E4105B">
        <w:rPr>
          <w:rFonts w:eastAsia="MS Mincho" w:cs="Arial"/>
          <w:szCs w:val="21"/>
          <w:lang w:val="en-US"/>
        </w:rPr>
        <w:t>Njiwu ya kukokangana pa nkatshi pa bantu pikalabu kabayi bangate bena mudimu mu misoko yabu ;</w:t>
      </w:r>
    </w:p>
    <w:p w14:paraId="41E63018" w14:textId="77777777" w:rsidR="005C5EB1" w:rsidRPr="00E4105B" w:rsidRDefault="005C5EB1" w:rsidP="002378EA">
      <w:pPr>
        <w:widowControl w:val="0"/>
        <w:numPr>
          <w:ilvl w:val="0"/>
          <w:numId w:val="68"/>
        </w:numPr>
        <w:autoSpaceDE w:val="0"/>
        <w:autoSpaceDN w:val="0"/>
        <w:rPr>
          <w:rFonts w:eastAsia="MS Mincho" w:cs="Arial"/>
          <w:szCs w:val="21"/>
        </w:rPr>
      </w:pPr>
      <w:r w:rsidRPr="00E4105B">
        <w:rPr>
          <w:rFonts w:eastAsia="MS Mincho" w:cs="Arial"/>
          <w:szCs w:val="21"/>
        </w:rPr>
        <w:t>Njiwu ya diabanya dibi dia maminu ne mambulwisha makwabu ;</w:t>
      </w:r>
    </w:p>
    <w:p w14:paraId="36CFD380" w14:textId="77777777" w:rsidR="005C5EB1" w:rsidRPr="00E4105B" w:rsidRDefault="005C5EB1" w:rsidP="002378EA">
      <w:pPr>
        <w:widowControl w:val="0"/>
        <w:numPr>
          <w:ilvl w:val="0"/>
          <w:numId w:val="68"/>
        </w:numPr>
        <w:autoSpaceDE w:val="0"/>
        <w:autoSpaceDN w:val="0"/>
        <w:rPr>
          <w:rFonts w:eastAsia="MS Mincho" w:cs="Arial"/>
          <w:szCs w:val="21"/>
        </w:rPr>
      </w:pPr>
      <w:r w:rsidRPr="00E4105B">
        <w:rPr>
          <w:rFonts w:eastAsia="MS Mincho" w:cs="Arial"/>
          <w:szCs w:val="21"/>
        </w:rPr>
        <w:t>Njiwu ya dikokangana dia bantu ne dilwa dia midimu ya madimi ;</w:t>
      </w:r>
    </w:p>
    <w:p w14:paraId="5DF1939D" w14:textId="77777777" w:rsidR="005C5EB1" w:rsidRPr="00E4105B" w:rsidRDefault="005C5EB1" w:rsidP="002378EA">
      <w:pPr>
        <w:widowControl w:val="0"/>
        <w:numPr>
          <w:ilvl w:val="0"/>
          <w:numId w:val="68"/>
        </w:numPr>
        <w:autoSpaceDE w:val="0"/>
        <w:autoSpaceDN w:val="0"/>
        <w:rPr>
          <w:rFonts w:eastAsia="MS Mincho" w:cs="Arial"/>
          <w:szCs w:val="21"/>
        </w:rPr>
      </w:pPr>
      <w:r w:rsidRPr="00E4105B">
        <w:rPr>
          <w:rFonts w:eastAsia="MS Mincho" w:cs="Arial"/>
          <w:szCs w:val="21"/>
        </w:rPr>
        <w:t>Njiwu ya diangata bana batekete ku mudimu ba mvula mwishi 18 ;</w:t>
      </w:r>
    </w:p>
    <w:p w14:paraId="17B8DE21" w14:textId="77777777" w:rsidR="005C5EB1" w:rsidRPr="00E4105B" w:rsidRDefault="005C5EB1" w:rsidP="002378EA">
      <w:pPr>
        <w:widowControl w:val="0"/>
        <w:numPr>
          <w:ilvl w:val="0"/>
          <w:numId w:val="68"/>
        </w:numPr>
        <w:autoSpaceDE w:val="0"/>
        <w:autoSpaceDN w:val="0"/>
        <w:rPr>
          <w:rFonts w:eastAsia="MS Mincho" w:cs="Arial"/>
          <w:szCs w:val="21"/>
        </w:rPr>
      </w:pPr>
      <w:r w:rsidRPr="00E4105B">
        <w:rPr>
          <w:rFonts w:eastAsia="MS Mincho" w:cs="Arial"/>
          <w:szCs w:val="21"/>
        </w:rPr>
        <w:t>Ditungisha malu a ba ngenda mushinga pa tshikondo tsha midimu ;</w:t>
      </w:r>
    </w:p>
    <w:p w14:paraId="2A2E67A4" w14:textId="77777777" w:rsidR="005C5EB1" w:rsidRPr="00E4105B" w:rsidRDefault="005C5EB1" w:rsidP="002378EA">
      <w:pPr>
        <w:widowControl w:val="0"/>
        <w:numPr>
          <w:ilvl w:val="0"/>
          <w:numId w:val="68"/>
        </w:numPr>
        <w:autoSpaceDE w:val="0"/>
        <w:autoSpaceDN w:val="0"/>
        <w:rPr>
          <w:rFonts w:eastAsia="MS Mincho" w:cs="Arial"/>
          <w:szCs w:val="21"/>
        </w:rPr>
      </w:pPr>
      <w:r w:rsidRPr="00E4105B">
        <w:rPr>
          <w:rFonts w:eastAsia="MS Mincho" w:cs="Arial"/>
          <w:szCs w:val="21"/>
        </w:rPr>
        <w:t>Dikokangana kumbukila ku diangata dia maloba a bantu kakuyi diuvwangana ;</w:t>
      </w:r>
    </w:p>
    <w:p w14:paraId="514AB546" w14:textId="77777777" w:rsidR="005C5EB1" w:rsidRPr="00E4105B" w:rsidRDefault="005C5EB1" w:rsidP="002378EA">
      <w:pPr>
        <w:widowControl w:val="0"/>
        <w:numPr>
          <w:ilvl w:val="0"/>
          <w:numId w:val="68"/>
        </w:numPr>
        <w:autoSpaceDE w:val="0"/>
        <w:autoSpaceDN w:val="0"/>
        <w:rPr>
          <w:rFonts w:eastAsia="MS Mincho" w:cs="Arial"/>
          <w:szCs w:val="21"/>
        </w:rPr>
      </w:pPr>
      <w:r w:rsidRPr="00E4105B">
        <w:rPr>
          <w:rFonts w:eastAsia="MS Mincho" w:cs="Arial"/>
          <w:szCs w:val="21"/>
        </w:rPr>
        <w:t xml:space="preserve">Njiwu ya kupanga kupesha bantu bakaji mudimu pa kwangata bena mudimu ; </w:t>
      </w:r>
    </w:p>
    <w:p w14:paraId="3A192F33" w14:textId="77777777" w:rsidR="005C5EB1" w:rsidRPr="00E4105B" w:rsidRDefault="005C5EB1" w:rsidP="002378EA">
      <w:pPr>
        <w:widowControl w:val="0"/>
        <w:numPr>
          <w:ilvl w:val="0"/>
          <w:numId w:val="68"/>
        </w:numPr>
        <w:autoSpaceDE w:val="0"/>
        <w:autoSpaceDN w:val="0"/>
        <w:rPr>
          <w:rFonts w:eastAsia="MS Mincho" w:cs="Arial"/>
          <w:szCs w:val="21"/>
        </w:rPr>
      </w:pPr>
      <w:r w:rsidRPr="00E4105B">
        <w:rPr>
          <w:rFonts w:eastAsia="MS Mincho" w:cs="Arial"/>
          <w:szCs w:val="21"/>
        </w:rPr>
        <w:t>Njiwu ya tshimpitshimpi pa diba dia mudimu (personnel et population).</w:t>
      </w:r>
    </w:p>
    <w:p w14:paraId="73347929" w14:textId="77777777" w:rsidR="005C5EB1" w:rsidRPr="00E4105B" w:rsidRDefault="005C5EB1" w:rsidP="002378EA">
      <w:pPr>
        <w:widowControl w:val="0"/>
        <w:numPr>
          <w:ilvl w:val="0"/>
          <w:numId w:val="68"/>
        </w:numPr>
        <w:autoSpaceDE w:val="0"/>
        <w:autoSpaceDN w:val="0"/>
        <w:rPr>
          <w:rFonts w:eastAsia="MS Mincho" w:cs="Arial"/>
          <w:szCs w:val="21"/>
        </w:rPr>
      </w:pPr>
      <w:r w:rsidRPr="00E4105B">
        <w:rPr>
          <w:rFonts w:eastAsia="MS Mincho" w:cs="Arial"/>
          <w:szCs w:val="21"/>
        </w:rPr>
        <w:t xml:space="preserve">Njiwu ya divudija malu a diangata bakaji kubukole anyi di bakengesha, ne dibaleja makuta bwa kubangata kudi bena mudimu ; </w:t>
      </w:r>
    </w:p>
    <w:p w14:paraId="3F191E98" w14:textId="77777777" w:rsidR="005C5EB1" w:rsidRPr="00E4105B" w:rsidRDefault="005C5EB1" w:rsidP="002378EA">
      <w:pPr>
        <w:widowControl w:val="0"/>
        <w:numPr>
          <w:ilvl w:val="0"/>
          <w:numId w:val="68"/>
        </w:numPr>
        <w:autoSpaceDE w:val="0"/>
        <w:autoSpaceDN w:val="0"/>
        <w:rPr>
          <w:rFonts w:eastAsia="MS Mincho" w:cs="Arial"/>
          <w:szCs w:val="21"/>
          <w:lang w:val="en-US"/>
        </w:rPr>
      </w:pPr>
      <w:r w:rsidRPr="00E4105B">
        <w:rPr>
          <w:rFonts w:eastAsia="MS Mincho" w:cs="Arial"/>
          <w:szCs w:val="21"/>
          <w:lang w:val="en-US"/>
        </w:rPr>
        <w:t>Njiwu ya dipeshangane masama a bukoya kumbukila ku manga adishipa twishi ;</w:t>
      </w:r>
    </w:p>
    <w:p w14:paraId="41B77B12" w14:textId="77777777" w:rsidR="005C5EB1" w:rsidRPr="00E4105B" w:rsidRDefault="005C5EB1" w:rsidP="005C5EB1">
      <w:pPr>
        <w:keepNext/>
        <w:tabs>
          <w:tab w:val="left" w:pos="720"/>
        </w:tabs>
        <w:spacing w:line="240" w:lineRule="auto"/>
        <w:outlineLvl w:val="2"/>
        <w:rPr>
          <w:rFonts w:eastAsia="MS Mincho" w:cs="Arial"/>
          <w:szCs w:val="21"/>
          <w:lang w:val="en-US"/>
        </w:rPr>
      </w:pPr>
    </w:p>
    <w:p w14:paraId="36F930D0" w14:textId="77777777" w:rsidR="005C5EB1" w:rsidRPr="00E4105B" w:rsidRDefault="005C5EB1" w:rsidP="005C5EB1">
      <w:pPr>
        <w:keepNext/>
        <w:tabs>
          <w:tab w:val="left" w:pos="720"/>
        </w:tabs>
        <w:spacing w:line="240" w:lineRule="auto"/>
        <w:outlineLvl w:val="2"/>
        <w:rPr>
          <w:rFonts w:cs="Arial"/>
          <w:vanish/>
          <w:szCs w:val="21"/>
          <w:u w:val="single"/>
        </w:rPr>
      </w:pPr>
    </w:p>
    <w:p w14:paraId="10D27C26" w14:textId="77777777" w:rsidR="005C5EB1" w:rsidRPr="00E4105B" w:rsidRDefault="005C5EB1" w:rsidP="005C5EB1">
      <w:pPr>
        <w:spacing w:line="240" w:lineRule="auto"/>
        <w:rPr>
          <w:rFonts w:cs="Arial"/>
          <w:color w:val="000000"/>
          <w:szCs w:val="21"/>
          <w:u w:val="single"/>
        </w:rPr>
      </w:pPr>
      <w:r w:rsidRPr="00E4105B">
        <w:rPr>
          <w:rFonts w:cs="Arial"/>
          <w:color w:val="000000"/>
          <w:szCs w:val="21"/>
          <w:u w:val="single"/>
        </w:rPr>
        <w:t>Bibangu ne njiwu mibi pa diba dia midimu ya madimi :</w:t>
      </w:r>
    </w:p>
    <w:p w14:paraId="75F17673" w14:textId="77777777" w:rsidR="005C5EB1" w:rsidRPr="00E4105B" w:rsidRDefault="005C5EB1" w:rsidP="005C5EB1">
      <w:pPr>
        <w:spacing w:line="240" w:lineRule="auto"/>
        <w:rPr>
          <w:rFonts w:cs="Arial"/>
          <w:b/>
          <w:szCs w:val="21"/>
          <w:u w:val="single"/>
        </w:rPr>
      </w:pPr>
    </w:p>
    <w:p w14:paraId="4B59FFE7" w14:textId="77777777" w:rsidR="005C5EB1" w:rsidRPr="00E4105B" w:rsidRDefault="005C5EB1" w:rsidP="002378EA">
      <w:pPr>
        <w:widowControl w:val="0"/>
        <w:numPr>
          <w:ilvl w:val="0"/>
          <w:numId w:val="68"/>
        </w:numPr>
        <w:autoSpaceDE w:val="0"/>
        <w:autoSpaceDN w:val="0"/>
        <w:rPr>
          <w:rFonts w:eastAsia="MS Mincho" w:cs="Arial"/>
          <w:szCs w:val="21"/>
          <w:lang w:val="en-US"/>
        </w:rPr>
      </w:pPr>
      <w:r w:rsidRPr="00E4105B">
        <w:rPr>
          <w:rFonts w:eastAsia="MS Mincho" w:cs="Arial"/>
          <w:szCs w:val="21"/>
          <w:lang w:val="en-US"/>
        </w:rPr>
        <w:t>Divula dia masama kumbukila ku mayi</w:t>
      </w:r>
    </w:p>
    <w:p w14:paraId="56BB30EF" w14:textId="77777777" w:rsidR="005C5EB1" w:rsidRPr="00E4105B" w:rsidRDefault="005C5EB1" w:rsidP="002378EA">
      <w:pPr>
        <w:widowControl w:val="0"/>
        <w:numPr>
          <w:ilvl w:val="0"/>
          <w:numId w:val="68"/>
        </w:numPr>
        <w:autoSpaceDE w:val="0"/>
        <w:autoSpaceDN w:val="0"/>
        <w:rPr>
          <w:rFonts w:eastAsia="MS Mincho" w:cs="Arial"/>
          <w:szCs w:val="21"/>
        </w:rPr>
      </w:pPr>
      <w:r w:rsidRPr="00E4105B">
        <w:rPr>
          <w:rFonts w:eastAsia="MS Mincho" w:cs="Arial"/>
          <w:szCs w:val="21"/>
        </w:rPr>
        <w:t>Dienzela maloba ne mayi bikole bwa ebi bibakibwa ;</w:t>
      </w:r>
    </w:p>
    <w:p w14:paraId="66512FDE" w14:textId="77777777" w:rsidR="005C5EB1" w:rsidRPr="00E4105B" w:rsidRDefault="005C5EB1" w:rsidP="002378EA">
      <w:pPr>
        <w:widowControl w:val="0"/>
        <w:numPr>
          <w:ilvl w:val="0"/>
          <w:numId w:val="68"/>
        </w:numPr>
        <w:autoSpaceDE w:val="0"/>
        <w:autoSpaceDN w:val="0"/>
        <w:rPr>
          <w:rFonts w:eastAsia="MS Mincho" w:cs="Arial"/>
          <w:szCs w:val="21"/>
        </w:rPr>
      </w:pPr>
      <w:r w:rsidRPr="00E4105B">
        <w:rPr>
          <w:rFonts w:eastAsia="MS Mincho" w:cs="Arial"/>
          <w:szCs w:val="21"/>
        </w:rPr>
        <w:t>Dijimija bufuke bwa maloba ;</w:t>
      </w:r>
    </w:p>
    <w:p w14:paraId="53A638D4" w14:textId="77777777" w:rsidR="005C5EB1" w:rsidRPr="00E4105B" w:rsidRDefault="005C5EB1" w:rsidP="002378EA">
      <w:pPr>
        <w:widowControl w:val="0"/>
        <w:numPr>
          <w:ilvl w:val="0"/>
          <w:numId w:val="68"/>
        </w:numPr>
        <w:autoSpaceDE w:val="0"/>
        <w:autoSpaceDN w:val="0"/>
        <w:rPr>
          <w:rFonts w:eastAsia="MS Mincho" w:cs="Arial"/>
          <w:szCs w:val="21"/>
        </w:rPr>
      </w:pPr>
      <w:r w:rsidRPr="00E4105B">
        <w:rPr>
          <w:rFonts w:eastAsia="MS Mincho" w:cs="Arial"/>
          <w:szCs w:val="21"/>
        </w:rPr>
        <w:t>Dinyankaja mayi ne maloba ne mamnga adi dishipa twishi ne difukisha maloba ;</w:t>
      </w:r>
    </w:p>
    <w:p w14:paraId="2ADF0D69" w14:textId="77777777" w:rsidR="005C5EB1" w:rsidRPr="00E4105B" w:rsidRDefault="005C5EB1" w:rsidP="002378EA">
      <w:pPr>
        <w:widowControl w:val="0"/>
        <w:numPr>
          <w:ilvl w:val="0"/>
          <w:numId w:val="68"/>
        </w:numPr>
        <w:autoSpaceDE w:val="0"/>
        <w:autoSpaceDN w:val="0"/>
        <w:rPr>
          <w:rFonts w:eastAsia="MS Mincho" w:cs="Arial"/>
          <w:szCs w:val="21"/>
        </w:rPr>
      </w:pPr>
      <w:r w:rsidRPr="00E4105B">
        <w:rPr>
          <w:rFonts w:eastAsia="MS Mincho" w:cs="Arial"/>
          <w:szCs w:val="21"/>
        </w:rPr>
        <w:t>Masama kumbukila ku manga akushipa twishi ne difukisha maloba ;</w:t>
      </w:r>
    </w:p>
    <w:p w14:paraId="4A123A4E" w14:textId="77777777" w:rsidR="005C5EB1" w:rsidRPr="00E4105B" w:rsidRDefault="005C5EB1" w:rsidP="002378EA">
      <w:pPr>
        <w:widowControl w:val="0"/>
        <w:numPr>
          <w:ilvl w:val="0"/>
          <w:numId w:val="68"/>
        </w:numPr>
        <w:autoSpaceDE w:val="0"/>
        <w:autoSpaceDN w:val="0"/>
        <w:rPr>
          <w:rFonts w:eastAsia="MS Mincho" w:cs="Arial"/>
          <w:szCs w:val="21"/>
        </w:rPr>
      </w:pPr>
      <w:r w:rsidRPr="00E4105B">
        <w:rPr>
          <w:rFonts w:eastAsia="MS Mincho" w:cs="Arial"/>
          <w:szCs w:val="21"/>
        </w:rPr>
        <w:t>Dinyankaja bintu bikwabu ne manga haa ;</w:t>
      </w:r>
    </w:p>
    <w:p w14:paraId="38538EEA" w14:textId="77777777" w:rsidR="005C5EB1" w:rsidRPr="00E4105B" w:rsidRDefault="005C5EB1" w:rsidP="002378EA">
      <w:pPr>
        <w:widowControl w:val="0"/>
        <w:numPr>
          <w:ilvl w:val="0"/>
          <w:numId w:val="68"/>
        </w:numPr>
        <w:autoSpaceDE w:val="0"/>
        <w:autoSpaceDN w:val="0"/>
        <w:rPr>
          <w:rFonts w:eastAsia="MS Mincho" w:cs="Arial"/>
          <w:szCs w:val="21"/>
        </w:rPr>
      </w:pPr>
      <w:r w:rsidRPr="00E4105B">
        <w:rPr>
          <w:rFonts w:eastAsia="MS Mincho" w:cs="Arial"/>
          <w:szCs w:val="21"/>
        </w:rPr>
        <w:t xml:space="preserve">Dikolesha ndululu pankatshi pa bantu bwa dienzala mayi anyi bisuku bia kudishila nyama; </w:t>
      </w:r>
    </w:p>
    <w:p w14:paraId="789E72E8" w14:textId="77777777" w:rsidR="005C5EB1" w:rsidRPr="00E4105B" w:rsidRDefault="005C5EB1" w:rsidP="002378EA">
      <w:pPr>
        <w:widowControl w:val="0"/>
        <w:numPr>
          <w:ilvl w:val="0"/>
          <w:numId w:val="68"/>
        </w:numPr>
        <w:autoSpaceDE w:val="0"/>
        <w:autoSpaceDN w:val="0"/>
        <w:rPr>
          <w:rFonts w:eastAsia="MS Mincho" w:cs="Arial"/>
          <w:szCs w:val="21"/>
          <w:lang w:val="en-US"/>
        </w:rPr>
      </w:pPr>
      <w:r w:rsidRPr="00E4105B">
        <w:rPr>
          <w:rFonts w:eastAsia="MS Mincho" w:cs="Arial"/>
          <w:szCs w:val="21"/>
          <w:lang w:val="en-US"/>
        </w:rPr>
        <w:t>Njiwu ya kutampakaja disama dia COVID-19 pikala bantu kabayi benza ntema to.</w:t>
      </w:r>
    </w:p>
    <w:p w14:paraId="71AB2E8E" w14:textId="77777777" w:rsidR="005C5EB1" w:rsidRPr="00E4105B" w:rsidRDefault="005C5EB1" w:rsidP="002378EA">
      <w:pPr>
        <w:widowControl w:val="0"/>
        <w:numPr>
          <w:ilvl w:val="0"/>
          <w:numId w:val="68"/>
        </w:numPr>
        <w:autoSpaceDE w:val="0"/>
        <w:autoSpaceDN w:val="0"/>
        <w:rPr>
          <w:rFonts w:eastAsia="MS Mincho" w:cs="Arial"/>
          <w:szCs w:val="21"/>
        </w:rPr>
      </w:pPr>
      <w:r w:rsidRPr="00E4105B">
        <w:rPr>
          <w:rFonts w:eastAsia="MS Mincho" w:cs="Arial"/>
          <w:szCs w:val="21"/>
        </w:rPr>
        <w:t>Dijimija mpetu ne bintu pa tshikondo tsha midimu ;</w:t>
      </w:r>
    </w:p>
    <w:p w14:paraId="4F25FC97" w14:textId="77777777" w:rsidR="005C5EB1" w:rsidRPr="00E4105B" w:rsidRDefault="005C5EB1" w:rsidP="002378EA">
      <w:pPr>
        <w:widowControl w:val="0"/>
        <w:numPr>
          <w:ilvl w:val="0"/>
          <w:numId w:val="68"/>
        </w:numPr>
        <w:autoSpaceDE w:val="0"/>
        <w:autoSpaceDN w:val="0"/>
        <w:rPr>
          <w:rFonts w:eastAsia="MS Mincho" w:cs="Arial"/>
          <w:szCs w:val="21"/>
        </w:rPr>
      </w:pPr>
      <w:r w:rsidRPr="00E4105B">
        <w:rPr>
          <w:rFonts w:eastAsia="MS Mincho" w:cs="Arial"/>
          <w:szCs w:val="21"/>
        </w:rPr>
        <w:t>Njiwu ya dipeshangana masama a VIH/SIDA ne a IST pa nkatshi pa bena musoko na bena mudimu ;</w:t>
      </w:r>
    </w:p>
    <w:p w14:paraId="7F580232" w14:textId="77777777" w:rsidR="005C5EB1" w:rsidRPr="00E4105B" w:rsidRDefault="005C5EB1" w:rsidP="002378EA">
      <w:pPr>
        <w:widowControl w:val="0"/>
        <w:numPr>
          <w:ilvl w:val="0"/>
          <w:numId w:val="68"/>
        </w:numPr>
        <w:autoSpaceDE w:val="0"/>
        <w:autoSpaceDN w:val="0"/>
        <w:rPr>
          <w:rFonts w:eastAsia="MS Mincho" w:cs="Arial"/>
          <w:szCs w:val="21"/>
        </w:rPr>
      </w:pPr>
      <w:r w:rsidRPr="00E4105B">
        <w:rPr>
          <w:rFonts w:eastAsia="MS Mincho" w:cs="Arial"/>
          <w:szCs w:val="21"/>
        </w:rPr>
        <w:t>Bubi kumbukila ku dikengesha bantu bakaji ;</w:t>
      </w:r>
    </w:p>
    <w:p w14:paraId="6E593418" w14:textId="77777777" w:rsidR="005C5EB1" w:rsidRPr="00E4105B" w:rsidRDefault="005C5EB1" w:rsidP="005C5EB1">
      <w:pPr>
        <w:spacing w:line="240" w:lineRule="auto"/>
        <w:rPr>
          <w:rFonts w:cs="Arial"/>
          <w:szCs w:val="21"/>
          <w:u w:val="single"/>
        </w:rPr>
      </w:pPr>
    </w:p>
    <w:p w14:paraId="6F306757" w14:textId="77777777" w:rsidR="005C5EB1" w:rsidRPr="00E4105B" w:rsidRDefault="005C5EB1" w:rsidP="005C5EB1">
      <w:pPr>
        <w:spacing w:line="240" w:lineRule="auto"/>
        <w:rPr>
          <w:rFonts w:cs="Arial"/>
          <w:color w:val="000000"/>
          <w:szCs w:val="21"/>
          <w:u w:val="single"/>
        </w:rPr>
      </w:pPr>
      <w:r w:rsidRPr="00E4105B">
        <w:rPr>
          <w:rFonts w:cs="Arial"/>
          <w:color w:val="000000"/>
          <w:szCs w:val="21"/>
          <w:u w:val="single"/>
        </w:rPr>
        <w:t>Bibangu ne njiwu ya mibi kumbukila ku midimu ya dibaka ne dienzesha midimu mikwabu</w:t>
      </w:r>
    </w:p>
    <w:p w14:paraId="2EF960BA" w14:textId="77777777" w:rsidR="005C5EB1" w:rsidRPr="00E4105B" w:rsidRDefault="005C5EB1" w:rsidP="005C5EB1">
      <w:pPr>
        <w:spacing w:line="240" w:lineRule="auto"/>
        <w:rPr>
          <w:rFonts w:cs="Arial"/>
          <w:color w:val="000000"/>
          <w:szCs w:val="21"/>
          <w:u w:val="single"/>
        </w:rPr>
      </w:pPr>
    </w:p>
    <w:p w14:paraId="30009D9B" w14:textId="77777777" w:rsidR="005C5EB1" w:rsidRPr="00E4105B" w:rsidRDefault="005C5EB1" w:rsidP="002378EA">
      <w:pPr>
        <w:widowControl w:val="0"/>
        <w:numPr>
          <w:ilvl w:val="0"/>
          <w:numId w:val="68"/>
        </w:numPr>
        <w:autoSpaceDE w:val="0"/>
        <w:autoSpaceDN w:val="0"/>
        <w:rPr>
          <w:rFonts w:eastAsia="MS Mincho" w:cs="Arial"/>
          <w:szCs w:val="21"/>
        </w:rPr>
      </w:pPr>
      <w:r w:rsidRPr="00E4105B">
        <w:rPr>
          <w:rFonts w:eastAsia="MS Mincho" w:cs="Arial"/>
          <w:szCs w:val="21"/>
        </w:rPr>
        <w:t xml:space="preserve">Dinyangakaja dia mayi ne maloba ne makoya mashilangane kumbukila ku midimu ; </w:t>
      </w:r>
    </w:p>
    <w:p w14:paraId="22AB1B94" w14:textId="77777777" w:rsidR="005C5EB1" w:rsidRPr="00E4105B" w:rsidRDefault="005C5EB1" w:rsidP="002378EA">
      <w:pPr>
        <w:widowControl w:val="0"/>
        <w:numPr>
          <w:ilvl w:val="0"/>
          <w:numId w:val="68"/>
        </w:numPr>
        <w:autoSpaceDE w:val="0"/>
        <w:autoSpaceDN w:val="0"/>
        <w:rPr>
          <w:rFonts w:eastAsia="MS Mincho" w:cs="Arial"/>
          <w:szCs w:val="21"/>
        </w:rPr>
      </w:pPr>
      <w:r w:rsidRPr="00E4105B">
        <w:rPr>
          <w:rFonts w:eastAsia="MS Mincho" w:cs="Arial"/>
          <w:szCs w:val="21"/>
        </w:rPr>
        <w:t>Ditungisha bantu ne mitoyi ya biamu bia midimu ;</w:t>
      </w:r>
    </w:p>
    <w:p w14:paraId="194DAF32" w14:textId="77777777" w:rsidR="005C5EB1" w:rsidRPr="00E4105B" w:rsidRDefault="005C5EB1" w:rsidP="002378EA">
      <w:pPr>
        <w:widowControl w:val="0"/>
        <w:numPr>
          <w:ilvl w:val="0"/>
          <w:numId w:val="68"/>
        </w:numPr>
        <w:autoSpaceDE w:val="0"/>
        <w:autoSpaceDN w:val="0"/>
        <w:rPr>
          <w:rFonts w:eastAsia="MS Mincho" w:cs="Arial"/>
          <w:szCs w:val="21"/>
        </w:rPr>
      </w:pPr>
      <w:r w:rsidRPr="00E4105B">
        <w:rPr>
          <w:rFonts w:eastAsia="MS Mincho" w:cs="Arial"/>
          <w:szCs w:val="21"/>
        </w:rPr>
        <w:t>Dinyankaja miaba ne dipateka bintu bia midimu ;</w:t>
      </w:r>
    </w:p>
    <w:p w14:paraId="5446CE01" w14:textId="77777777" w:rsidR="005C5EB1" w:rsidRPr="00E4105B" w:rsidRDefault="005C5EB1" w:rsidP="002378EA">
      <w:pPr>
        <w:widowControl w:val="0"/>
        <w:numPr>
          <w:ilvl w:val="0"/>
          <w:numId w:val="68"/>
        </w:numPr>
        <w:autoSpaceDE w:val="0"/>
        <w:autoSpaceDN w:val="0"/>
        <w:rPr>
          <w:rFonts w:eastAsia="MS Mincho" w:cs="Arial"/>
          <w:szCs w:val="21"/>
        </w:rPr>
      </w:pPr>
      <w:r w:rsidRPr="00E4105B">
        <w:rPr>
          <w:rFonts w:eastAsia="MS Mincho" w:cs="Arial"/>
          <w:szCs w:val="21"/>
        </w:rPr>
        <w:t>Dinyankaja maloba ne mbuwe</w:t>
      </w:r>
    </w:p>
    <w:p w14:paraId="3B59E916" w14:textId="77777777" w:rsidR="005C5EB1" w:rsidRPr="00E4105B" w:rsidRDefault="005C5EB1" w:rsidP="002378EA">
      <w:pPr>
        <w:widowControl w:val="0"/>
        <w:numPr>
          <w:ilvl w:val="0"/>
          <w:numId w:val="68"/>
        </w:numPr>
        <w:autoSpaceDE w:val="0"/>
        <w:autoSpaceDN w:val="0"/>
        <w:rPr>
          <w:rFonts w:eastAsia="MS Mincho" w:cs="Arial"/>
          <w:szCs w:val="21"/>
        </w:rPr>
      </w:pPr>
      <w:r w:rsidRPr="00E4105B">
        <w:rPr>
          <w:rFonts w:eastAsia="MS Mincho" w:cs="Arial"/>
          <w:szCs w:val="21"/>
        </w:rPr>
        <w:t>Dinaynangakaja lupepele ne lupwishi ;</w:t>
      </w:r>
    </w:p>
    <w:p w14:paraId="034FB9FA" w14:textId="77777777" w:rsidR="005C5EB1" w:rsidRPr="00E4105B" w:rsidRDefault="005C5EB1" w:rsidP="002378EA">
      <w:pPr>
        <w:widowControl w:val="0"/>
        <w:numPr>
          <w:ilvl w:val="0"/>
          <w:numId w:val="68"/>
        </w:numPr>
        <w:autoSpaceDE w:val="0"/>
        <w:autoSpaceDN w:val="0"/>
        <w:rPr>
          <w:rFonts w:eastAsia="MS Mincho" w:cs="Arial"/>
          <w:szCs w:val="21"/>
        </w:rPr>
      </w:pPr>
      <w:r w:rsidRPr="00E4105B">
        <w:rPr>
          <w:rFonts w:eastAsia="MS Mincho" w:cs="Arial"/>
          <w:szCs w:val="21"/>
        </w:rPr>
        <w:t>Dijimija maloba ne mpetu ya bantu, ne dibumbusha pa miaba yabu ;</w:t>
      </w:r>
    </w:p>
    <w:p w14:paraId="249E5C27" w14:textId="77777777" w:rsidR="005C5EB1" w:rsidRPr="00E4105B" w:rsidRDefault="005C5EB1" w:rsidP="002378EA">
      <w:pPr>
        <w:widowControl w:val="0"/>
        <w:numPr>
          <w:ilvl w:val="0"/>
          <w:numId w:val="68"/>
        </w:numPr>
        <w:autoSpaceDE w:val="0"/>
        <w:autoSpaceDN w:val="0"/>
        <w:rPr>
          <w:rFonts w:eastAsia="MS Mincho" w:cs="Arial"/>
          <w:szCs w:val="21"/>
        </w:rPr>
      </w:pPr>
      <w:r w:rsidRPr="00E4105B">
        <w:rPr>
          <w:rFonts w:eastAsia="MS Mincho" w:cs="Arial"/>
          <w:szCs w:val="21"/>
        </w:rPr>
        <w:t>Ndululu kumbukila kudipanga kwangata bena musoko ku mudimu ;</w:t>
      </w:r>
    </w:p>
    <w:p w14:paraId="6A41FDB7" w14:textId="77777777" w:rsidR="005C5EB1" w:rsidRPr="00E4105B" w:rsidRDefault="005C5EB1" w:rsidP="002378EA">
      <w:pPr>
        <w:widowControl w:val="0"/>
        <w:numPr>
          <w:ilvl w:val="0"/>
          <w:numId w:val="68"/>
        </w:numPr>
        <w:autoSpaceDE w:val="0"/>
        <w:autoSpaceDN w:val="0"/>
        <w:rPr>
          <w:rFonts w:eastAsia="MS Mincho" w:cs="Arial"/>
          <w:szCs w:val="21"/>
        </w:rPr>
      </w:pPr>
      <w:r w:rsidRPr="00E4105B">
        <w:rPr>
          <w:rFonts w:eastAsia="MS Mincho" w:cs="Arial"/>
          <w:szCs w:val="21"/>
        </w:rPr>
        <w:t>Ndululu kumbukila kudiabanya dibi dia bienzedi bia mudimu ;</w:t>
      </w:r>
    </w:p>
    <w:p w14:paraId="00AF3325" w14:textId="77777777" w:rsidR="005C5EB1" w:rsidRPr="00E4105B" w:rsidRDefault="005C5EB1" w:rsidP="002378EA">
      <w:pPr>
        <w:widowControl w:val="0"/>
        <w:numPr>
          <w:ilvl w:val="0"/>
          <w:numId w:val="68"/>
        </w:numPr>
        <w:autoSpaceDE w:val="0"/>
        <w:autoSpaceDN w:val="0"/>
        <w:rPr>
          <w:rFonts w:eastAsia="MS Mincho" w:cs="Arial"/>
          <w:szCs w:val="21"/>
        </w:rPr>
      </w:pPr>
      <w:r w:rsidRPr="00E4105B">
        <w:rPr>
          <w:rFonts w:eastAsia="MS Mincho" w:cs="Arial"/>
          <w:szCs w:val="21"/>
        </w:rPr>
        <w:t xml:space="preserve">Dinyangakaja miaba ya bisombelu bia nyama ya mikese ;  </w:t>
      </w:r>
    </w:p>
    <w:p w14:paraId="5C49C7DD" w14:textId="77777777" w:rsidR="005C5EB1" w:rsidRPr="00E4105B" w:rsidRDefault="005C5EB1" w:rsidP="002378EA">
      <w:pPr>
        <w:widowControl w:val="0"/>
        <w:numPr>
          <w:ilvl w:val="0"/>
          <w:numId w:val="68"/>
        </w:numPr>
        <w:autoSpaceDE w:val="0"/>
        <w:autoSpaceDN w:val="0"/>
        <w:rPr>
          <w:rFonts w:eastAsia="MS Mincho" w:cs="Arial"/>
          <w:szCs w:val="21"/>
        </w:rPr>
      </w:pPr>
      <w:r w:rsidRPr="00E4105B">
        <w:rPr>
          <w:rFonts w:eastAsia="MS Mincho" w:cs="Arial"/>
          <w:szCs w:val="21"/>
        </w:rPr>
        <w:t>Njiwu ya dilwanga bwa malu a dienzela maloba ;</w:t>
      </w:r>
    </w:p>
    <w:p w14:paraId="158556AF" w14:textId="77777777" w:rsidR="005C5EB1" w:rsidRPr="00E4105B" w:rsidRDefault="005C5EB1" w:rsidP="002378EA">
      <w:pPr>
        <w:widowControl w:val="0"/>
        <w:numPr>
          <w:ilvl w:val="0"/>
          <w:numId w:val="68"/>
        </w:numPr>
        <w:autoSpaceDE w:val="0"/>
        <w:autoSpaceDN w:val="0"/>
        <w:rPr>
          <w:rFonts w:eastAsia="MS Mincho" w:cs="Arial"/>
          <w:szCs w:val="21"/>
        </w:rPr>
      </w:pPr>
      <w:r w:rsidRPr="00E4105B">
        <w:rPr>
          <w:rFonts w:eastAsia="MS Mincho" w:cs="Arial"/>
          <w:szCs w:val="21"/>
        </w:rPr>
        <w:t>Njiwu ya difwilakana maloba ne bena miaba yabu ;</w:t>
      </w:r>
    </w:p>
    <w:p w14:paraId="375B3E02" w14:textId="77777777" w:rsidR="005C5EB1" w:rsidRPr="00E4105B" w:rsidRDefault="005C5EB1" w:rsidP="002378EA">
      <w:pPr>
        <w:widowControl w:val="0"/>
        <w:numPr>
          <w:ilvl w:val="0"/>
          <w:numId w:val="68"/>
        </w:numPr>
        <w:autoSpaceDE w:val="0"/>
        <w:autoSpaceDN w:val="0"/>
        <w:rPr>
          <w:rFonts w:eastAsia="MS Mincho" w:cs="Arial"/>
          <w:szCs w:val="21"/>
          <w:lang w:val="en-US"/>
        </w:rPr>
      </w:pPr>
      <w:r w:rsidRPr="00E4105B">
        <w:rPr>
          <w:rFonts w:eastAsia="MS Mincho" w:cs="Arial"/>
          <w:szCs w:val="21"/>
          <w:lang w:val="en-US"/>
        </w:rPr>
        <w:t>Dijimija miaba ya kudishila nyama ;</w:t>
      </w:r>
    </w:p>
    <w:p w14:paraId="4266A2AD" w14:textId="77777777" w:rsidR="005C5EB1" w:rsidRPr="00E4105B" w:rsidRDefault="005C5EB1" w:rsidP="002378EA">
      <w:pPr>
        <w:widowControl w:val="0"/>
        <w:numPr>
          <w:ilvl w:val="0"/>
          <w:numId w:val="68"/>
        </w:numPr>
        <w:autoSpaceDE w:val="0"/>
        <w:autoSpaceDN w:val="0"/>
        <w:rPr>
          <w:rFonts w:eastAsia="MS Mincho" w:cs="Arial"/>
          <w:szCs w:val="21"/>
          <w:lang w:val="en-US"/>
        </w:rPr>
      </w:pPr>
      <w:r w:rsidRPr="00E4105B">
        <w:rPr>
          <w:rFonts w:eastAsia="MS Mincho" w:cs="Arial"/>
          <w:szCs w:val="21"/>
          <w:lang w:val="en-US"/>
        </w:rPr>
        <w:t>Dikepesha miaba ya mayi ne dibaka miaba mikwabu ya bisadilu bia mayi ;</w:t>
      </w:r>
    </w:p>
    <w:p w14:paraId="767B996A" w14:textId="77777777" w:rsidR="005C5EB1" w:rsidRPr="00E4105B" w:rsidRDefault="005C5EB1" w:rsidP="002378EA">
      <w:pPr>
        <w:widowControl w:val="0"/>
        <w:numPr>
          <w:ilvl w:val="0"/>
          <w:numId w:val="68"/>
        </w:numPr>
        <w:autoSpaceDE w:val="0"/>
        <w:autoSpaceDN w:val="0"/>
        <w:rPr>
          <w:rFonts w:eastAsia="MS Mincho" w:cs="Arial"/>
          <w:szCs w:val="21"/>
        </w:rPr>
      </w:pPr>
      <w:r w:rsidRPr="00E4105B">
        <w:rPr>
          <w:rFonts w:eastAsia="MS Mincho" w:cs="Arial"/>
          <w:szCs w:val="21"/>
        </w:rPr>
        <w:t xml:space="preserve">Dijimija bufuke bwa buloba ; </w:t>
      </w:r>
    </w:p>
    <w:p w14:paraId="7EB97E27" w14:textId="77777777" w:rsidR="005C5EB1" w:rsidRPr="00E4105B" w:rsidRDefault="005C5EB1" w:rsidP="002378EA">
      <w:pPr>
        <w:widowControl w:val="0"/>
        <w:numPr>
          <w:ilvl w:val="0"/>
          <w:numId w:val="68"/>
        </w:numPr>
        <w:autoSpaceDE w:val="0"/>
        <w:autoSpaceDN w:val="0"/>
        <w:rPr>
          <w:rFonts w:eastAsia="MS Mincho" w:cs="Arial"/>
          <w:szCs w:val="21"/>
        </w:rPr>
      </w:pPr>
      <w:r w:rsidRPr="00E4105B">
        <w:rPr>
          <w:rFonts w:eastAsia="MS Mincho" w:cs="Arial"/>
          <w:szCs w:val="21"/>
        </w:rPr>
        <w:t xml:space="preserve">Dinyangakaja mayi ne maloba ne manga a kushipa twishi anyi kufukisha maloba ; </w:t>
      </w:r>
    </w:p>
    <w:p w14:paraId="2D2987BE" w14:textId="77777777" w:rsidR="005C5EB1" w:rsidRPr="00E4105B" w:rsidRDefault="005C5EB1" w:rsidP="002378EA">
      <w:pPr>
        <w:widowControl w:val="0"/>
        <w:numPr>
          <w:ilvl w:val="0"/>
          <w:numId w:val="68"/>
        </w:numPr>
        <w:autoSpaceDE w:val="0"/>
        <w:autoSpaceDN w:val="0"/>
        <w:rPr>
          <w:rFonts w:eastAsia="MS Mincho" w:cs="Arial"/>
          <w:szCs w:val="21"/>
          <w:lang w:val="en-US"/>
        </w:rPr>
      </w:pPr>
      <w:r w:rsidRPr="00E4105B">
        <w:rPr>
          <w:rFonts w:eastAsia="MS Mincho" w:cs="Arial"/>
          <w:szCs w:val="21"/>
          <w:lang w:val="en-US"/>
        </w:rPr>
        <w:t xml:space="preserve">Kubweja masama kumbukila ku manga a twishi anyi a kufukisha maloba ; </w:t>
      </w:r>
    </w:p>
    <w:p w14:paraId="2D495B51" w14:textId="77777777" w:rsidR="005C5EB1" w:rsidRPr="00E4105B" w:rsidRDefault="005C5EB1" w:rsidP="002378EA">
      <w:pPr>
        <w:widowControl w:val="0"/>
        <w:numPr>
          <w:ilvl w:val="0"/>
          <w:numId w:val="68"/>
        </w:numPr>
        <w:autoSpaceDE w:val="0"/>
        <w:autoSpaceDN w:val="0"/>
        <w:rPr>
          <w:rFonts w:eastAsia="MS Mincho" w:cs="Arial"/>
          <w:szCs w:val="21"/>
          <w:lang w:val="en-US"/>
        </w:rPr>
      </w:pPr>
      <w:r w:rsidRPr="00E4105B">
        <w:rPr>
          <w:rFonts w:eastAsia="MS Mincho" w:cs="Arial"/>
          <w:szCs w:val="21"/>
          <w:lang w:val="en-US"/>
        </w:rPr>
        <w:t xml:space="preserve">Diabanya dia manga a twishi a mabi anyi a majikila matuku ; </w:t>
      </w:r>
    </w:p>
    <w:p w14:paraId="7240FD5A" w14:textId="77777777" w:rsidR="005C5EB1" w:rsidRPr="00E4105B" w:rsidRDefault="005C5EB1" w:rsidP="002378EA">
      <w:pPr>
        <w:widowControl w:val="0"/>
        <w:numPr>
          <w:ilvl w:val="0"/>
          <w:numId w:val="68"/>
        </w:numPr>
        <w:autoSpaceDE w:val="0"/>
        <w:autoSpaceDN w:val="0"/>
        <w:rPr>
          <w:rFonts w:eastAsia="MS Mincho" w:cs="Arial"/>
          <w:szCs w:val="21"/>
          <w:lang w:val="en-US"/>
        </w:rPr>
      </w:pPr>
      <w:r w:rsidRPr="00E4105B">
        <w:rPr>
          <w:rFonts w:eastAsia="MS Mincho" w:cs="Arial"/>
          <w:szCs w:val="21"/>
          <w:lang w:val="en-US"/>
        </w:rPr>
        <w:t>Dinyangakaja kumbukila ku dienzela dibi dia manga a twishi.</w:t>
      </w:r>
    </w:p>
    <w:p w14:paraId="4244581C" w14:textId="77777777" w:rsidR="005C5EB1" w:rsidRPr="00E4105B" w:rsidRDefault="005C5EB1" w:rsidP="002378EA">
      <w:pPr>
        <w:widowControl w:val="0"/>
        <w:numPr>
          <w:ilvl w:val="0"/>
          <w:numId w:val="68"/>
        </w:numPr>
        <w:autoSpaceDE w:val="0"/>
        <w:autoSpaceDN w:val="0"/>
        <w:rPr>
          <w:rFonts w:eastAsia="MS Mincho" w:cs="Arial"/>
          <w:szCs w:val="21"/>
          <w:lang w:val="en-US"/>
        </w:rPr>
      </w:pPr>
      <w:r w:rsidRPr="00E4105B">
        <w:rPr>
          <w:rFonts w:eastAsia="MS Mincho" w:cs="Arial"/>
          <w:szCs w:val="21"/>
          <w:lang w:val="en-US"/>
        </w:rPr>
        <w:t>Njiwu ya dienzela ba mpulushi bwa kulama miaba ya mudimu (bu ku Nord Kivu) ;</w:t>
      </w:r>
    </w:p>
    <w:p w14:paraId="52F51219" w14:textId="77777777" w:rsidR="005C5EB1" w:rsidRPr="00E4105B" w:rsidRDefault="005C5EB1" w:rsidP="002378EA">
      <w:pPr>
        <w:widowControl w:val="0"/>
        <w:numPr>
          <w:ilvl w:val="0"/>
          <w:numId w:val="68"/>
        </w:numPr>
        <w:autoSpaceDE w:val="0"/>
        <w:autoSpaceDN w:val="0"/>
        <w:rPr>
          <w:rFonts w:eastAsia="MS Mincho" w:cs="Arial"/>
          <w:szCs w:val="21"/>
          <w:lang w:val="en-US"/>
        </w:rPr>
      </w:pPr>
      <w:r w:rsidRPr="00E4105B">
        <w:rPr>
          <w:rFonts w:eastAsia="MS Mincho" w:cs="Arial"/>
          <w:szCs w:val="21"/>
          <w:lang w:val="en-US"/>
        </w:rPr>
        <w:t>Dinyankaja ngezelu wa dienda mishinga ya bantu tshikondo tsha midimu ;</w:t>
      </w:r>
    </w:p>
    <w:p w14:paraId="1EC42073" w14:textId="77777777" w:rsidR="005C5EB1" w:rsidRPr="00E4105B" w:rsidRDefault="005C5EB1" w:rsidP="002378EA">
      <w:pPr>
        <w:widowControl w:val="0"/>
        <w:numPr>
          <w:ilvl w:val="0"/>
          <w:numId w:val="68"/>
        </w:numPr>
        <w:autoSpaceDE w:val="0"/>
        <w:autoSpaceDN w:val="0"/>
        <w:rPr>
          <w:rFonts w:eastAsia="MS Mincho" w:cs="Arial"/>
          <w:szCs w:val="21"/>
        </w:rPr>
      </w:pPr>
      <w:r w:rsidRPr="00E4105B">
        <w:rPr>
          <w:rFonts w:eastAsia="MS Mincho" w:cs="Arial"/>
          <w:szCs w:val="21"/>
        </w:rPr>
        <w:t>Diabanya bantu balume ne bakaji pa tshikondo tsha diangata bena midimu ;</w:t>
      </w:r>
    </w:p>
    <w:p w14:paraId="651DADAC" w14:textId="77777777" w:rsidR="005C5EB1" w:rsidRPr="00E4105B" w:rsidRDefault="005C5EB1" w:rsidP="002378EA">
      <w:pPr>
        <w:widowControl w:val="0"/>
        <w:numPr>
          <w:ilvl w:val="0"/>
          <w:numId w:val="68"/>
        </w:numPr>
        <w:autoSpaceDE w:val="0"/>
        <w:autoSpaceDN w:val="0"/>
        <w:rPr>
          <w:rFonts w:eastAsia="MS Mincho" w:cs="Arial"/>
          <w:szCs w:val="21"/>
          <w:lang w:val="en-US"/>
        </w:rPr>
      </w:pPr>
      <w:r w:rsidRPr="00E4105B">
        <w:rPr>
          <w:rFonts w:eastAsia="MS Mincho" w:cs="Arial"/>
          <w:szCs w:val="21"/>
          <w:lang w:val="en-US"/>
        </w:rPr>
        <w:t>Diangata dia bana bakese ba mvula ya mwinshi mwa 18 ku midimu;</w:t>
      </w:r>
    </w:p>
    <w:p w14:paraId="3E9C8DC7" w14:textId="77777777" w:rsidR="005C5EB1" w:rsidRPr="00E4105B" w:rsidRDefault="005C5EB1" w:rsidP="002378EA">
      <w:pPr>
        <w:widowControl w:val="0"/>
        <w:numPr>
          <w:ilvl w:val="0"/>
          <w:numId w:val="68"/>
        </w:numPr>
        <w:autoSpaceDE w:val="0"/>
        <w:autoSpaceDN w:val="0"/>
        <w:rPr>
          <w:rFonts w:eastAsia="MS Mincho" w:cs="Arial"/>
          <w:szCs w:val="21"/>
          <w:lang w:val="en-US"/>
        </w:rPr>
      </w:pPr>
      <w:r w:rsidRPr="00E4105B">
        <w:rPr>
          <w:rFonts w:eastAsia="MS Mincho" w:cs="Arial"/>
          <w:szCs w:val="21"/>
          <w:lang w:val="en-US"/>
        </w:rPr>
        <w:t>Njiwu yenzeka pa tshikondo tsha midimu kudi bantu anyi kudi bena mudimu;</w:t>
      </w:r>
    </w:p>
    <w:p w14:paraId="16F7F385" w14:textId="77777777" w:rsidR="005C5EB1" w:rsidRPr="00E4105B" w:rsidRDefault="005C5EB1" w:rsidP="002378EA">
      <w:pPr>
        <w:widowControl w:val="0"/>
        <w:numPr>
          <w:ilvl w:val="0"/>
          <w:numId w:val="68"/>
        </w:numPr>
        <w:autoSpaceDE w:val="0"/>
        <w:autoSpaceDN w:val="0"/>
        <w:rPr>
          <w:rFonts w:eastAsia="MS Mincho" w:cs="Arial"/>
          <w:szCs w:val="21"/>
          <w:lang w:val="en-US"/>
        </w:rPr>
      </w:pPr>
      <w:r w:rsidRPr="00E4105B">
        <w:rPr>
          <w:rFonts w:eastAsia="MS Mincho" w:cs="Arial"/>
          <w:szCs w:val="21"/>
          <w:lang w:val="en-US"/>
        </w:rPr>
        <w:t>Njiwu ya dinyangakaja bisidilu bikwabu bia midimu bia kale;</w:t>
      </w:r>
    </w:p>
    <w:p w14:paraId="41460231" w14:textId="77777777" w:rsidR="005C5EB1" w:rsidRPr="00E4105B" w:rsidRDefault="005C5EB1" w:rsidP="002378EA">
      <w:pPr>
        <w:widowControl w:val="0"/>
        <w:numPr>
          <w:ilvl w:val="0"/>
          <w:numId w:val="68"/>
        </w:numPr>
        <w:autoSpaceDE w:val="0"/>
        <w:autoSpaceDN w:val="0"/>
        <w:rPr>
          <w:rFonts w:eastAsia="MS Mincho" w:cs="Arial"/>
          <w:szCs w:val="21"/>
          <w:lang w:val="en-US"/>
        </w:rPr>
      </w:pPr>
      <w:r w:rsidRPr="00E4105B">
        <w:rPr>
          <w:rFonts w:eastAsia="MS Mincho" w:cs="Arial"/>
          <w:szCs w:val="21"/>
          <w:lang w:val="en-US"/>
        </w:rPr>
        <w:t>Dikolesha malu a dikengesha bakaji (VBG) ne adi bangata kubukole pa tshikondo tsha midimu;</w:t>
      </w:r>
    </w:p>
    <w:p w14:paraId="35CEF994" w14:textId="77777777" w:rsidR="005C5EB1" w:rsidRPr="00E4105B" w:rsidRDefault="005C5EB1" w:rsidP="002378EA">
      <w:pPr>
        <w:widowControl w:val="0"/>
        <w:numPr>
          <w:ilvl w:val="0"/>
          <w:numId w:val="68"/>
        </w:numPr>
        <w:autoSpaceDE w:val="0"/>
        <w:autoSpaceDN w:val="0"/>
        <w:rPr>
          <w:rFonts w:eastAsia="MS Mincho" w:cs="Arial"/>
          <w:szCs w:val="21"/>
          <w:lang w:val="fr-CD"/>
        </w:rPr>
      </w:pPr>
      <w:r w:rsidRPr="00E4105B">
        <w:rPr>
          <w:rFonts w:eastAsia="MS Mincho" w:cs="Arial"/>
          <w:szCs w:val="21"/>
          <w:lang w:val="fr-CD"/>
        </w:rPr>
        <w:t>Njiwu ya ditangalaja masama a IST ne a VIH/SIDA ;</w:t>
      </w:r>
    </w:p>
    <w:p w14:paraId="60496C32" w14:textId="77777777" w:rsidR="005C5EB1" w:rsidRPr="00E4105B" w:rsidRDefault="005C5EB1" w:rsidP="002378EA">
      <w:pPr>
        <w:widowControl w:val="0"/>
        <w:numPr>
          <w:ilvl w:val="0"/>
          <w:numId w:val="68"/>
        </w:numPr>
        <w:autoSpaceDE w:val="0"/>
        <w:autoSpaceDN w:val="0"/>
        <w:rPr>
          <w:rFonts w:eastAsia="MS Mincho" w:cs="Arial"/>
          <w:szCs w:val="21"/>
          <w:lang w:val="fr-CD"/>
        </w:rPr>
      </w:pPr>
      <w:r w:rsidRPr="00E4105B">
        <w:rPr>
          <w:rFonts w:eastAsia="MS Mincho" w:cs="Arial"/>
          <w:szCs w:val="21"/>
          <w:lang w:val="fr-CD"/>
        </w:rPr>
        <w:t>Njiwu ya ditangalaja disama dia COVID-19 munkatshi mwa bantu bena musoko ;</w:t>
      </w:r>
    </w:p>
    <w:p w14:paraId="7BC8944D" w14:textId="77777777" w:rsidR="005C5EB1" w:rsidRPr="00E4105B" w:rsidRDefault="005C5EB1" w:rsidP="002378EA">
      <w:pPr>
        <w:widowControl w:val="0"/>
        <w:numPr>
          <w:ilvl w:val="0"/>
          <w:numId w:val="68"/>
        </w:numPr>
        <w:autoSpaceDE w:val="0"/>
        <w:autoSpaceDN w:val="0"/>
        <w:rPr>
          <w:rFonts w:eastAsia="MS Mincho" w:cs="Arial"/>
          <w:szCs w:val="21"/>
          <w:lang w:val="fr-CD"/>
        </w:rPr>
      </w:pPr>
      <w:r w:rsidRPr="00E4105B">
        <w:rPr>
          <w:rFonts w:eastAsia="MS Mincho" w:cs="Arial"/>
          <w:szCs w:val="21"/>
          <w:lang w:val="fr-CD"/>
        </w:rPr>
        <w:t>Njiwu ya dinyangakaja biamu bia midimu ku bimenga ebi bivwa bisungudibwe bwa mudimu wa PNDA ;</w:t>
      </w:r>
    </w:p>
    <w:p w14:paraId="58EE3B84" w14:textId="77777777" w:rsidR="005C5EB1" w:rsidRPr="00E4105B" w:rsidRDefault="005C5EB1" w:rsidP="002378EA">
      <w:pPr>
        <w:widowControl w:val="0"/>
        <w:numPr>
          <w:ilvl w:val="0"/>
          <w:numId w:val="68"/>
        </w:numPr>
        <w:autoSpaceDE w:val="0"/>
        <w:autoSpaceDN w:val="0"/>
        <w:rPr>
          <w:rFonts w:eastAsia="MS Mincho" w:cs="Arial"/>
          <w:szCs w:val="21"/>
          <w:lang w:val="fr-CD"/>
        </w:rPr>
      </w:pPr>
      <w:r w:rsidRPr="00E4105B">
        <w:rPr>
          <w:rFonts w:eastAsia="MS Mincho" w:cs="Arial"/>
          <w:szCs w:val="21"/>
          <w:lang w:val="fr-CD"/>
        </w:rPr>
        <w:t>Njiwu ya kulenga kubipapu bikandikibwe bumudi Parc des Virunga, Parc de Mangroves ;</w:t>
      </w:r>
    </w:p>
    <w:p w14:paraId="466E265F" w14:textId="77777777" w:rsidR="005C5EB1" w:rsidRPr="00E4105B" w:rsidRDefault="005C5EB1" w:rsidP="002378EA">
      <w:pPr>
        <w:widowControl w:val="0"/>
        <w:numPr>
          <w:ilvl w:val="0"/>
          <w:numId w:val="68"/>
        </w:numPr>
        <w:autoSpaceDE w:val="0"/>
        <w:autoSpaceDN w:val="0"/>
        <w:rPr>
          <w:rFonts w:eastAsia="MS Mincho" w:cs="Arial"/>
          <w:szCs w:val="21"/>
          <w:lang w:val="fr-CD"/>
        </w:rPr>
      </w:pPr>
      <w:r w:rsidRPr="00E4105B">
        <w:rPr>
          <w:rFonts w:eastAsia="MS Mincho" w:cs="Arial"/>
          <w:szCs w:val="21"/>
          <w:lang w:val="fr-CD"/>
        </w:rPr>
        <w:t>Njiwu ya kunyangakaja miaba ya Tuyeke (PA) ;</w:t>
      </w:r>
    </w:p>
    <w:p w14:paraId="0AC2E82D" w14:textId="77777777" w:rsidR="005C5EB1" w:rsidRPr="00E4105B" w:rsidRDefault="005C5EB1" w:rsidP="002378EA">
      <w:pPr>
        <w:widowControl w:val="0"/>
        <w:numPr>
          <w:ilvl w:val="0"/>
          <w:numId w:val="68"/>
        </w:numPr>
        <w:autoSpaceDE w:val="0"/>
        <w:autoSpaceDN w:val="0"/>
        <w:rPr>
          <w:rFonts w:eastAsia="MS Mincho" w:cs="Arial"/>
          <w:szCs w:val="21"/>
          <w:lang w:val="fr-CD"/>
        </w:rPr>
      </w:pPr>
      <w:r w:rsidRPr="00E4105B">
        <w:rPr>
          <w:rFonts w:eastAsia="MS Mincho" w:cs="Arial"/>
          <w:szCs w:val="21"/>
          <w:lang w:val="fr-CD"/>
        </w:rPr>
        <w:t>Njiwu ya dishipa nyama kudi bilembi ;</w:t>
      </w:r>
    </w:p>
    <w:p w14:paraId="7251BBC5" w14:textId="77777777" w:rsidR="005C5EB1" w:rsidRPr="00E4105B" w:rsidRDefault="005C5EB1" w:rsidP="002378EA">
      <w:pPr>
        <w:widowControl w:val="0"/>
        <w:numPr>
          <w:ilvl w:val="0"/>
          <w:numId w:val="68"/>
        </w:numPr>
        <w:autoSpaceDE w:val="0"/>
        <w:autoSpaceDN w:val="0"/>
        <w:rPr>
          <w:rFonts w:eastAsia="MS Mincho" w:cs="Arial"/>
          <w:szCs w:val="21"/>
          <w:lang w:val="en-US"/>
        </w:rPr>
      </w:pPr>
      <w:r w:rsidRPr="00E4105B">
        <w:rPr>
          <w:rFonts w:eastAsia="MS Mincho" w:cs="Arial"/>
          <w:szCs w:val="21"/>
          <w:lang w:val="en-US"/>
        </w:rPr>
        <w:t>Njiwu ya diosheka dia miaba ya kulamina tusokonyi ;</w:t>
      </w:r>
    </w:p>
    <w:p w14:paraId="449D61F6" w14:textId="77777777" w:rsidR="005C5EB1" w:rsidRPr="00E4105B" w:rsidRDefault="005C5EB1" w:rsidP="002378EA">
      <w:pPr>
        <w:widowControl w:val="0"/>
        <w:numPr>
          <w:ilvl w:val="0"/>
          <w:numId w:val="68"/>
        </w:numPr>
        <w:autoSpaceDE w:val="0"/>
        <w:autoSpaceDN w:val="0"/>
        <w:rPr>
          <w:rFonts w:eastAsia="MS Mincho" w:cs="Arial"/>
          <w:szCs w:val="21"/>
          <w:lang w:val="en-US"/>
        </w:rPr>
      </w:pPr>
      <w:r w:rsidRPr="00E4105B">
        <w:rPr>
          <w:rFonts w:eastAsia="MS Mincho" w:cs="Arial"/>
          <w:szCs w:val="21"/>
          <w:lang w:val="en-US"/>
        </w:rPr>
        <w:t>Njiwu ya dinyangakaja miaba ya malu akabukulu a bena misoko ;</w:t>
      </w:r>
    </w:p>
    <w:p w14:paraId="64C3FBB2" w14:textId="77777777" w:rsidR="005C5EB1" w:rsidRPr="00E4105B" w:rsidRDefault="005C5EB1" w:rsidP="002378EA">
      <w:pPr>
        <w:widowControl w:val="0"/>
        <w:numPr>
          <w:ilvl w:val="0"/>
          <w:numId w:val="68"/>
        </w:numPr>
        <w:autoSpaceDE w:val="0"/>
        <w:autoSpaceDN w:val="0"/>
        <w:rPr>
          <w:rFonts w:eastAsia="MS Mincho" w:cs="Arial"/>
          <w:szCs w:val="21"/>
          <w:lang w:val="en-US"/>
        </w:rPr>
      </w:pPr>
      <w:r w:rsidRPr="00E4105B">
        <w:rPr>
          <w:rFonts w:eastAsia="MS Mincho" w:cs="Arial"/>
          <w:szCs w:val="21"/>
          <w:lang w:val="en-US"/>
        </w:rPr>
        <w:t>Njiwu ya di bweja bikunyibwa bibi ;</w:t>
      </w:r>
    </w:p>
    <w:p w14:paraId="4D9BD9FE" w14:textId="77777777" w:rsidR="005C5EB1" w:rsidRPr="00E4105B" w:rsidRDefault="005C5EB1" w:rsidP="002378EA">
      <w:pPr>
        <w:widowControl w:val="0"/>
        <w:numPr>
          <w:ilvl w:val="0"/>
          <w:numId w:val="68"/>
        </w:numPr>
        <w:autoSpaceDE w:val="0"/>
        <w:autoSpaceDN w:val="0"/>
        <w:rPr>
          <w:rFonts w:eastAsia="MS Mincho" w:cs="Arial"/>
          <w:szCs w:val="21"/>
          <w:lang w:val="en-US"/>
        </w:rPr>
      </w:pPr>
      <w:r w:rsidRPr="00E4105B">
        <w:rPr>
          <w:rFonts w:eastAsia="MS Mincho" w:cs="Arial"/>
          <w:szCs w:val="21"/>
          <w:lang w:val="en-US"/>
        </w:rPr>
        <w:t>Njiwu ya dilekelela tusumbu twa bantu bayi kabayi na bukole bwa kwenza midimu ;</w:t>
      </w:r>
    </w:p>
    <w:p w14:paraId="6F06C88D" w14:textId="77777777" w:rsidR="005C5EB1" w:rsidRPr="00E4105B" w:rsidRDefault="005C5EB1" w:rsidP="005C5EB1">
      <w:pPr>
        <w:widowControl w:val="0"/>
        <w:autoSpaceDE w:val="0"/>
        <w:autoSpaceDN w:val="0"/>
        <w:ind w:left="360"/>
        <w:rPr>
          <w:rFonts w:eastAsia="MS Mincho" w:cs="Arial"/>
          <w:szCs w:val="21"/>
          <w:lang w:val="en-US"/>
        </w:rPr>
      </w:pPr>
      <w:r w:rsidRPr="00E4105B">
        <w:rPr>
          <w:rFonts w:eastAsia="MS Mincho" w:cs="Arial"/>
          <w:szCs w:val="21"/>
          <w:lang w:val="en-US"/>
        </w:rPr>
        <w:t xml:space="preserve"> </w:t>
      </w:r>
    </w:p>
    <w:p w14:paraId="7248BCE9" w14:textId="77777777" w:rsidR="005C5EB1" w:rsidRPr="00E4105B" w:rsidRDefault="005C5EB1" w:rsidP="005C5EB1">
      <w:pPr>
        <w:tabs>
          <w:tab w:val="left" w:pos="426"/>
        </w:tabs>
        <w:spacing w:line="240" w:lineRule="auto"/>
        <w:contextualSpacing/>
        <w:rPr>
          <w:rFonts w:eastAsia="Calibri" w:cs="Arial"/>
          <w:bCs/>
          <w:i/>
          <w:szCs w:val="21"/>
          <w:u w:val="single"/>
          <w:lang w:val="en-US"/>
        </w:rPr>
      </w:pPr>
      <w:r w:rsidRPr="00E4105B">
        <w:rPr>
          <w:rFonts w:eastAsia="Calibri" w:cs="Arial"/>
          <w:bCs/>
          <w:i/>
          <w:szCs w:val="21"/>
          <w:u w:val="single"/>
          <w:lang w:val="en-US"/>
        </w:rPr>
        <w:t>Njiwu ne bibangu kumbukila kumidimu ya dienzesha njila kubisuku bwa kupatwila bidibwa kumisoko</w:t>
      </w:r>
    </w:p>
    <w:p w14:paraId="6B8421DD" w14:textId="77777777" w:rsidR="005C5EB1" w:rsidRPr="00E4105B" w:rsidRDefault="005C5EB1" w:rsidP="005C5EB1">
      <w:pPr>
        <w:tabs>
          <w:tab w:val="left" w:pos="426"/>
        </w:tabs>
        <w:spacing w:line="240" w:lineRule="auto"/>
        <w:contextualSpacing/>
        <w:rPr>
          <w:rFonts w:eastAsia="Calibri" w:cs="Arial"/>
          <w:bCs/>
          <w:i/>
          <w:szCs w:val="21"/>
          <w:u w:val="single"/>
          <w:lang w:val="en-US"/>
        </w:rPr>
      </w:pPr>
    </w:p>
    <w:p w14:paraId="471418CA" w14:textId="77777777" w:rsidR="005C5EB1" w:rsidRPr="00E4105B" w:rsidRDefault="005C5EB1" w:rsidP="002378EA">
      <w:pPr>
        <w:pStyle w:val="Paragraphedeliste"/>
        <w:numPr>
          <w:ilvl w:val="0"/>
          <w:numId w:val="156"/>
        </w:numPr>
        <w:tabs>
          <w:tab w:val="left" w:pos="426"/>
        </w:tabs>
        <w:spacing w:line="240" w:lineRule="auto"/>
        <w:rPr>
          <w:rFonts w:eastAsia="Calibri" w:cs="Arial"/>
          <w:bCs/>
          <w:iCs/>
          <w:szCs w:val="21"/>
          <w:lang w:val="en-US"/>
        </w:rPr>
      </w:pPr>
      <w:r w:rsidRPr="00E4105B">
        <w:rPr>
          <w:rFonts w:eastAsia="Calibri" w:cs="Arial"/>
          <w:bCs/>
          <w:iCs/>
          <w:szCs w:val="21"/>
          <w:lang w:val="en-US"/>
        </w:rPr>
        <w:t>Dikosa dia mitshi bwa kulongolola njila ne miaba ya kumbula maloba bwa kwela ku njila ;</w:t>
      </w:r>
    </w:p>
    <w:p w14:paraId="6907E0CF" w14:textId="77777777" w:rsidR="005C5EB1" w:rsidRPr="00E4105B" w:rsidRDefault="005C5EB1" w:rsidP="002378EA">
      <w:pPr>
        <w:pStyle w:val="Paragraphedeliste"/>
        <w:numPr>
          <w:ilvl w:val="0"/>
          <w:numId w:val="156"/>
        </w:numPr>
        <w:tabs>
          <w:tab w:val="left" w:pos="426"/>
        </w:tabs>
        <w:spacing w:line="240" w:lineRule="auto"/>
        <w:rPr>
          <w:rFonts w:eastAsia="Calibri" w:cs="Arial"/>
          <w:bCs/>
          <w:iCs/>
          <w:szCs w:val="21"/>
          <w:lang w:val="fr-CD"/>
        </w:rPr>
      </w:pPr>
      <w:r w:rsidRPr="00E4105B">
        <w:rPr>
          <w:rFonts w:eastAsia="Calibri" w:cs="Arial"/>
          <w:bCs/>
          <w:iCs/>
          <w:szCs w:val="21"/>
          <w:lang w:val="fr-CD"/>
        </w:rPr>
        <w:t>Dinyangakaja maloba a kudimina ;</w:t>
      </w:r>
    </w:p>
    <w:p w14:paraId="6E4866D3" w14:textId="77777777" w:rsidR="005C5EB1" w:rsidRPr="00E4105B" w:rsidRDefault="005C5EB1" w:rsidP="002378EA">
      <w:pPr>
        <w:pStyle w:val="Paragraphedeliste"/>
        <w:numPr>
          <w:ilvl w:val="0"/>
          <w:numId w:val="156"/>
        </w:numPr>
        <w:tabs>
          <w:tab w:val="left" w:pos="426"/>
        </w:tabs>
        <w:spacing w:line="240" w:lineRule="auto"/>
        <w:rPr>
          <w:rFonts w:eastAsia="Calibri" w:cs="Arial"/>
          <w:bCs/>
          <w:iCs/>
          <w:szCs w:val="21"/>
          <w:lang w:val="en-US"/>
        </w:rPr>
      </w:pPr>
      <w:r w:rsidRPr="00E4105B">
        <w:rPr>
          <w:rFonts w:eastAsia="Calibri" w:cs="Arial"/>
          <w:bCs/>
          <w:iCs/>
          <w:szCs w:val="21"/>
          <w:lang w:val="en-US"/>
        </w:rPr>
        <w:t>Dinyangakaja miaba ya kupitshila ya mayi a mvula;</w:t>
      </w:r>
    </w:p>
    <w:p w14:paraId="6A9D8FA1" w14:textId="77777777" w:rsidR="005C5EB1" w:rsidRPr="00E4105B" w:rsidRDefault="005C5EB1" w:rsidP="002378EA">
      <w:pPr>
        <w:pStyle w:val="Paragraphedeliste"/>
        <w:numPr>
          <w:ilvl w:val="0"/>
          <w:numId w:val="156"/>
        </w:numPr>
        <w:tabs>
          <w:tab w:val="left" w:pos="426"/>
        </w:tabs>
        <w:spacing w:line="240" w:lineRule="auto"/>
        <w:rPr>
          <w:rFonts w:eastAsia="Calibri" w:cs="Arial"/>
          <w:bCs/>
          <w:iCs/>
          <w:szCs w:val="21"/>
          <w:lang w:val="en-US"/>
        </w:rPr>
      </w:pPr>
      <w:r w:rsidRPr="00E4105B">
        <w:rPr>
          <w:rFonts w:eastAsia="Calibri" w:cs="Arial"/>
          <w:bCs/>
          <w:iCs/>
          <w:szCs w:val="21"/>
          <w:lang w:val="en-US"/>
        </w:rPr>
        <w:t>Dinyanga lupepele ne mpwishi;</w:t>
      </w:r>
    </w:p>
    <w:p w14:paraId="399C11BE" w14:textId="77777777" w:rsidR="005C5EB1" w:rsidRPr="00E4105B" w:rsidRDefault="005C5EB1" w:rsidP="002378EA">
      <w:pPr>
        <w:pStyle w:val="Paragraphedeliste"/>
        <w:numPr>
          <w:ilvl w:val="0"/>
          <w:numId w:val="156"/>
        </w:numPr>
        <w:tabs>
          <w:tab w:val="left" w:pos="426"/>
        </w:tabs>
        <w:spacing w:line="240" w:lineRule="auto"/>
        <w:rPr>
          <w:rFonts w:eastAsia="Calibri" w:cs="Arial"/>
          <w:bCs/>
          <w:iCs/>
          <w:szCs w:val="21"/>
          <w:lang w:val="en-US"/>
        </w:rPr>
      </w:pPr>
      <w:r w:rsidRPr="00E4105B">
        <w:rPr>
          <w:rFonts w:eastAsia="Calibri" w:cs="Arial"/>
          <w:bCs/>
          <w:iCs/>
          <w:szCs w:val="21"/>
          <w:lang w:val="en-US"/>
        </w:rPr>
        <w:t>Dinyanga mayi ne maloba na makoya mashilangane kumbukila ku midimu;</w:t>
      </w:r>
    </w:p>
    <w:p w14:paraId="33618256" w14:textId="77777777" w:rsidR="005C5EB1" w:rsidRPr="00E4105B" w:rsidRDefault="005C5EB1" w:rsidP="002378EA">
      <w:pPr>
        <w:pStyle w:val="Paragraphedeliste"/>
        <w:numPr>
          <w:ilvl w:val="0"/>
          <w:numId w:val="156"/>
        </w:numPr>
        <w:tabs>
          <w:tab w:val="left" w:pos="426"/>
        </w:tabs>
        <w:spacing w:line="240" w:lineRule="auto"/>
        <w:rPr>
          <w:rFonts w:eastAsia="Calibri" w:cs="Arial"/>
          <w:bCs/>
          <w:iCs/>
          <w:szCs w:val="21"/>
          <w:lang w:val="fr-CD"/>
        </w:rPr>
      </w:pPr>
      <w:r w:rsidRPr="00E4105B">
        <w:rPr>
          <w:rFonts w:eastAsia="Calibri" w:cs="Arial"/>
          <w:bCs/>
          <w:iCs/>
          <w:szCs w:val="21"/>
          <w:lang w:val="fr-CD"/>
        </w:rPr>
        <w:t>Njiwu ya bantu bena midimu ne bantu bakwabu ;</w:t>
      </w:r>
    </w:p>
    <w:p w14:paraId="3ED1EEB1" w14:textId="77777777" w:rsidR="005C5EB1" w:rsidRPr="00E4105B" w:rsidRDefault="005C5EB1" w:rsidP="002378EA">
      <w:pPr>
        <w:pStyle w:val="Paragraphedeliste"/>
        <w:numPr>
          <w:ilvl w:val="0"/>
          <w:numId w:val="156"/>
        </w:numPr>
        <w:tabs>
          <w:tab w:val="left" w:pos="426"/>
        </w:tabs>
        <w:spacing w:line="240" w:lineRule="auto"/>
        <w:rPr>
          <w:rFonts w:eastAsia="Calibri" w:cs="Arial"/>
          <w:bCs/>
          <w:iCs/>
          <w:szCs w:val="21"/>
          <w:lang w:val="fr-CD"/>
        </w:rPr>
      </w:pPr>
      <w:r w:rsidRPr="00E4105B">
        <w:rPr>
          <w:rFonts w:eastAsia="Calibri" w:cs="Arial"/>
          <w:bCs/>
          <w:iCs/>
          <w:szCs w:val="21"/>
          <w:lang w:val="fr-CD"/>
        </w:rPr>
        <w:t>Diumbusha bantu poa miaba yabu itubu basombela ;</w:t>
      </w:r>
    </w:p>
    <w:p w14:paraId="16BEC0CA" w14:textId="77777777" w:rsidR="005C5EB1" w:rsidRPr="00E4105B" w:rsidRDefault="005C5EB1" w:rsidP="002378EA">
      <w:pPr>
        <w:pStyle w:val="Paragraphedeliste"/>
        <w:numPr>
          <w:ilvl w:val="0"/>
          <w:numId w:val="156"/>
        </w:numPr>
        <w:tabs>
          <w:tab w:val="left" w:pos="426"/>
        </w:tabs>
        <w:spacing w:line="240" w:lineRule="auto"/>
        <w:rPr>
          <w:rFonts w:eastAsia="Calibri" w:cs="Arial"/>
          <w:bCs/>
          <w:iCs/>
          <w:szCs w:val="21"/>
          <w:lang w:val="fr-CD"/>
        </w:rPr>
      </w:pPr>
      <w:r w:rsidRPr="00E4105B">
        <w:rPr>
          <w:rFonts w:eastAsia="Calibri" w:cs="Arial"/>
          <w:bCs/>
          <w:iCs/>
          <w:szCs w:val="21"/>
          <w:lang w:val="fr-CD"/>
        </w:rPr>
        <w:t>Dipatula makoya abungi mashilangane ;</w:t>
      </w:r>
    </w:p>
    <w:p w14:paraId="2EF6B99C" w14:textId="77777777" w:rsidR="005C5EB1" w:rsidRPr="00E4105B" w:rsidRDefault="005C5EB1" w:rsidP="002378EA">
      <w:pPr>
        <w:pStyle w:val="Paragraphedeliste"/>
        <w:numPr>
          <w:ilvl w:val="0"/>
          <w:numId w:val="156"/>
        </w:numPr>
        <w:tabs>
          <w:tab w:val="left" w:pos="426"/>
        </w:tabs>
        <w:spacing w:line="240" w:lineRule="auto"/>
        <w:rPr>
          <w:rFonts w:eastAsia="Calibri" w:cs="Arial"/>
          <w:bCs/>
          <w:iCs/>
          <w:szCs w:val="21"/>
          <w:lang w:val="fr-CD"/>
        </w:rPr>
      </w:pPr>
      <w:r w:rsidRPr="00E4105B">
        <w:rPr>
          <w:rFonts w:eastAsia="Calibri" w:cs="Arial"/>
          <w:bCs/>
          <w:iCs/>
          <w:szCs w:val="21"/>
          <w:lang w:val="fr-CD"/>
        </w:rPr>
        <w:t>Dinyangakaja nsombela wa bantu ne bintu biabu ;</w:t>
      </w:r>
    </w:p>
    <w:p w14:paraId="4A3B604D" w14:textId="77777777" w:rsidR="005C5EB1" w:rsidRPr="00E4105B" w:rsidRDefault="005C5EB1" w:rsidP="002378EA">
      <w:pPr>
        <w:pStyle w:val="Paragraphedeliste"/>
        <w:numPr>
          <w:ilvl w:val="0"/>
          <w:numId w:val="156"/>
        </w:numPr>
        <w:tabs>
          <w:tab w:val="left" w:pos="426"/>
        </w:tabs>
        <w:spacing w:line="240" w:lineRule="auto"/>
        <w:rPr>
          <w:rFonts w:eastAsia="Calibri" w:cs="Arial"/>
          <w:bCs/>
          <w:iCs/>
          <w:szCs w:val="21"/>
          <w:lang w:val="fr-CD"/>
        </w:rPr>
      </w:pPr>
      <w:r w:rsidRPr="00E4105B">
        <w:rPr>
          <w:rFonts w:eastAsia="Calibri" w:cs="Arial"/>
          <w:bCs/>
          <w:iCs/>
          <w:szCs w:val="21"/>
          <w:lang w:val="fr-CD"/>
        </w:rPr>
        <w:t>Kupanga kwangata ku mudimu bena musoko ;</w:t>
      </w:r>
    </w:p>
    <w:p w14:paraId="62EA4083" w14:textId="77777777" w:rsidR="005C5EB1" w:rsidRPr="00E4105B" w:rsidRDefault="005C5EB1" w:rsidP="002378EA">
      <w:pPr>
        <w:pStyle w:val="Paragraphedeliste"/>
        <w:numPr>
          <w:ilvl w:val="0"/>
          <w:numId w:val="156"/>
        </w:numPr>
        <w:tabs>
          <w:tab w:val="left" w:pos="426"/>
        </w:tabs>
        <w:spacing w:line="240" w:lineRule="auto"/>
        <w:rPr>
          <w:rFonts w:eastAsia="Calibri" w:cs="Arial"/>
          <w:bCs/>
          <w:iCs/>
          <w:szCs w:val="21"/>
          <w:lang w:val="fr-CD"/>
        </w:rPr>
      </w:pPr>
      <w:r w:rsidRPr="00E4105B">
        <w:rPr>
          <w:rFonts w:eastAsia="Calibri" w:cs="Arial"/>
          <w:bCs/>
          <w:iCs/>
          <w:szCs w:val="21"/>
          <w:lang w:val="fr-CD"/>
        </w:rPr>
        <w:t>Dinyangakaja nsembelu wa nyama ne mitoyi ya bena midimu ;</w:t>
      </w:r>
    </w:p>
    <w:p w14:paraId="4FB9D9ED" w14:textId="77777777" w:rsidR="005C5EB1" w:rsidRPr="00E4105B" w:rsidRDefault="005C5EB1" w:rsidP="002378EA">
      <w:pPr>
        <w:pStyle w:val="Paragraphedeliste"/>
        <w:numPr>
          <w:ilvl w:val="0"/>
          <w:numId w:val="156"/>
        </w:numPr>
        <w:tabs>
          <w:tab w:val="left" w:pos="426"/>
        </w:tabs>
        <w:spacing w:line="240" w:lineRule="auto"/>
        <w:rPr>
          <w:rFonts w:eastAsia="Calibri" w:cs="Arial"/>
          <w:bCs/>
          <w:iCs/>
          <w:szCs w:val="21"/>
          <w:lang w:val="fr-CD"/>
        </w:rPr>
      </w:pPr>
      <w:r w:rsidRPr="00E4105B">
        <w:rPr>
          <w:rFonts w:eastAsia="Calibri" w:cs="Arial"/>
          <w:bCs/>
          <w:iCs/>
          <w:szCs w:val="21"/>
          <w:lang w:val="fr-CD"/>
        </w:rPr>
        <w:t>Dikosa mitshi bwa kumbula maloba bwa midimu ; Njiwu ya kosha metu ne bisuku ;</w:t>
      </w:r>
    </w:p>
    <w:p w14:paraId="27EA2800" w14:textId="77777777" w:rsidR="005C5EB1" w:rsidRPr="00E4105B" w:rsidRDefault="005C5EB1" w:rsidP="002378EA">
      <w:pPr>
        <w:pStyle w:val="Paragraphedeliste"/>
        <w:numPr>
          <w:ilvl w:val="0"/>
          <w:numId w:val="156"/>
        </w:numPr>
        <w:tabs>
          <w:tab w:val="left" w:pos="426"/>
        </w:tabs>
        <w:spacing w:line="240" w:lineRule="auto"/>
        <w:rPr>
          <w:rFonts w:eastAsia="Calibri" w:cs="Arial"/>
          <w:bCs/>
          <w:iCs/>
          <w:szCs w:val="21"/>
          <w:lang w:val="en-US"/>
        </w:rPr>
      </w:pPr>
      <w:r w:rsidRPr="00E4105B">
        <w:rPr>
          <w:rFonts w:eastAsia="Calibri" w:cs="Arial"/>
          <w:bCs/>
          <w:iCs/>
          <w:szCs w:val="21"/>
          <w:lang w:val="en-US"/>
        </w:rPr>
        <w:t>Diuja makoya mu misulu ya mayi ;</w:t>
      </w:r>
    </w:p>
    <w:p w14:paraId="5D0D45BD" w14:textId="77777777" w:rsidR="005C5EB1" w:rsidRPr="00E4105B" w:rsidRDefault="005C5EB1" w:rsidP="002378EA">
      <w:pPr>
        <w:pStyle w:val="Paragraphedeliste"/>
        <w:numPr>
          <w:ilvl w:val="0"/>
          <w:numId w:val="156"/>
        </w:numPr>
        <w:tabs>
          <w:tab w:val="left" w:pos="426"/>
        </w:tabs>
        <w:spacing w:line="240" w:lineRule="auto"/>
        <w:rPr>
          <w:rFonts w:eastAsia="Calibri" w:cs="Arial"/>
          <w:bCs/>
          <w:iCs/>
          <w:szCs w:val="21"/>
          <w:lang w:val="fr-CD"/>
        </w:rPr>
      </w:pPr>
      <w:r w:rsidRPr="00E4105B">
        <w:rPr>
          <w:rFonts w:eastAsia="Calibri" w:cs="Arial"/>
          <w:bCs/>
          <w:iCs/>
          <w:szCs w:val="21"/>
          <w:lang w:val="fr-CD"/>
        </w:rPr>
        <w:t>Njiwu ya dibwala mu miaba mikandikibwe (Parc des Virunga, Parc des Mangroves) ;</w:t>
      </w:r>
    </w:p>
    <w:p w14:paraId="61395746" w14:textId="77777777" w:rsidR="005C5EB1" w:rsidRPr="00E4105B" w:rsidRDefault="005C5EB1" w:rsidP="002378EA">
      <w:pPr>
        <w:pStyle w:val="Paragraphedeliste"/>
        <w:numPr>
          <w:ilvl w:val="0"/>
          <w:numId w:val="156"/>
        </w:numPr>
        <w:tabs>
          <w:tab w:val="left" w:pos="426"/>
        </w:tabs>
        <w:spacing w:line="240" w:lineRule="auto"/>
        <w:rPr>
          <w:rFonts w:eastAsia="Calibri" w:cs="Arial"/>
          <w:bCs/>
          <w:iCs/>
          <w:szCs w:val="21"/>
          <w:lang w:val="fr-CD"/>
        </w:rPr>
      </w:pPr>
      <w:r w:rsidRPr="00E4105B">
        <w:rPr>
          <w:rFonts w:eastAsia="Calibri" w:cs="Arial"/>
          <w:bCs/>
          <w:iCs/>
          <w:szCs w:val="21"/>
          <w:lang w:val="fr-CD"/>
        </w:rPr>
        <w:t>Njiwu ya dibwela kumiaba ya Tuyeke (PA) ;</w:t>
      </w:r>
    </w:p>
    <w:p w14:paraId="6FD5FCAE" w14:textId="77777777" w:rsidR="005C5EB1" w:rsidRPr="00E4105B" w:rsidRDefault="005C5EB1" w:rsidP="002378EA">
      <w:pPr>
        <w:pStyle w:val="Paragraphedeliste"/>
        <w:numPr>
          <w:ilvl w:val="0"/>
          <w:numId w:val="156"/>
        </w:numPr>
        <w:tabs>
          <w:tab w:val="left" w:pos="426"/>
        </w:tabs>
        <w:spacing w:line="240" w:lineRule="auto"/>
        <w:rPr>
          <w:rFonts w:eastAsia="Calibri" w:cs="Arial"/>
          <w:bCs/>
          <w:iCs/>
          <w:szCs w:val="21"/>
          <w:lang w:val="fr-CD"/>
        </w:rPr>
      </w:pPr>
      <w:r w:rsidRPr="00E4105B">
        <w:rPr>
          <w:rFonts w:eastAsia="Calibri" w:cs="Arial"/>
          <w:bCs/>
          <w:iCs/>
          <w:szCs w:val="21"/>
          <w:lang w:val="fr-CD"/>
        </w:rPr>
        <w:t>Njiwu ya dishipa dia nyama kudi bena misoko;</w:t>
      </w:r>
    </w:p>
    <w:p w14:paraId="7F4BA0C2" w14:textId="77777777" w:rsidR="005C5EB1" w:rsidRPr="00E4105B" w:rsidRDefault="005C5EB1" w:rsidP="002378EA">
      <w:pPr>
        <w:pStyle w:val="Paragraphedeliste"/>
        <w:numPr>
          <w:ilvl w:val="0"/>
          <w:numId w:val="156"/>
        </w:numPr>
        <w:tabs>
          <w:tab w:val="left" w:pos="426"/>
        </w:tabs>
        <w:spacing w:line="240" w:lineRule="auto"/>
        <w:rPr>
          <w:rFonts w:eastAsia="Calibri" w:cs="Arial"/>
          <w:bCs/>
          <w:iCs/>
          <w:szCs w:val="21"/>
          <w:lang w:val="en-US"/>
        </w:rPr>
      </w:pPr>
      <w:r w:rsidRPr="00E4105B">
        <w:rPr>
          <w:rFonts w:eastAsia="Calibri" w:cs="Arial"/>
          <w:bCs/>
          <w:iCs/>
          <w:szCs w:val="21"/>
          <w:lang w:val="en-US"/>
        </w:rPr>
        <w:t>Dinyangakaja dia mushindu wa misulu ya mayi;</w:t>
      </w:r>
    </w:p>
    <w:p w14:paraId="136334EE" w14:textId="77777777" w:rsidR="005C5EB1" w:rsidRPr="00E4105B" w:rsidRDefault="005C5EB1" w:rsidP="002378EA">
      <w:pPr>
        <w:pStyle w:val="Paragraphedeliste"/>
        <w:numPr>
          <w:ilvl w:val="0"/>
          <w:numId w:val="156"/>
        </w:numPr>
        <w:tabs>
          <w:tab w:val="left" w:pos="426"/>
        </w:tabs>
        <w:spacing w:line="240" w:lineRule="auto"/>
        <w:rPr>
          <w:rFonts w:eastAsia="Calibri" w:cs="Arial"/>
          <w:bCs/>
          <w:iCs/>
          <w:szCs w:val="21"/>
          <w:lang w:val="en-US"/>
        </w:rPr>
      </w:pPr>
      <w:r w:rsidRPr="00E4105B">
        <w:rPr>
          <w:rFonts w:eastAsia="Calibri" w:cs="Arial"/>
          <w:bCs/>
          <w:iCs/>
          <w:szCs w:val="21"/>
          <w:lang w:val="en-US"/>
        </w:rPr>
        <w:t>Njiwu ya dipatwisha mbuwe;</w:t>
      </w:r>
    </w:p>
    <w:p w14:paraId="5FF24B14" w14:textId="77777777" w:rsidR="005C5EB1" w:rsidRPr="00E4105B" w:rsidRDefault="005C5EB1" w:rsidP="002378EA">
      <w:pPr>
        <w:pStyle w:val="Paragraphedeliste"/>
        <w:numPr>
          <w:ilvl w:val="0"/>
          <w:numId w:val="156"/>
        </w:numPr>
        <w:tabs>
          <w:tab w:val="left" w:pos="426"/>
        </w:tabs>
        <w:spacing w:line="240" w:lineRule="auto"/>
        <w:rPr>
          <w:rFonts w:eastAsia="Calibri" w:cs="Arial"/>
          <w:bCs/>
          <w:iCs/>
          <w:szCs w:val="21"/>
          <w:lang w:val="fr-CD"/>
        </w:rPr>
      </w:pPr>
      <w:r w:rsidRPr="00E4105B">
        <w:rPr>
          <w:rFonts w:eastAsia="Calibri" w:cs="Arial"/>
          <w:bCs/>
          <w:iCs/>
          <w:szCs w:val="21"/>
          <w:lang w:val="fr-CD"/>
        </w:rPr>
        <w:t>Njiwu ya ditangalaja masama a VIH/SIDA ne a IST kudi bantu ne bena midimu ;</w:t>
      </w:r>
    </w:p>
    <w:p w14:paraId="6D371614" w14:textId="77777777" w:rsidR="005C5EB1" w:rsidRPr="00E4105B" w:rsidRDefault="005C5EB1" w:rsidP="002378EA">
      <w:pPr>
        <w:pStyle w:val="Paragraphedeliste"/>
        <w:numPr>
          <w:ilvl w:val="0"/>
          <w:numId w:val="156"/>
        </w:numPr>
        <w:tabs>
          <w:tab w:val="left" w:pos="426"/>
        </w:tabs>
        <w:spacing w:line="240" w:lineRule="auto"/>
        <w:rPr>
          <w:rFonts w:eastAsia="Calibri" w:cs="Arial"/>
          <w:bCs/>
          <w:iCs/>
          <w:szCs w:val="21"/>
          <w:lang w:val="fr-CD"/>
        </w:rPr>
      </w:pPr>
      <w:r w:rsidRPr="00E4105B">
        <w:rPr>
          <w:rFonts w:eastAsia="Calibri" w:cs="Arial"/>
          <w:bCs/>
          <w:iCs/>
          <w:szCs w:val="21"/>
          <w:lang w:val="fr-CD"/>
        </w:rPr>
        <w:t>Njiwu ya malu a diangata bakaji kubukole ne ya dibakengesha (VBG) ;</w:t>
      </w:r>
    </w:p>
    <w:p w14:paraId="7556F8F8" w14:textId="77777777" w:rsidR="005C5EB1" w:rsidRPr="00E4105B" w:rsidRDefault="005C5EB1" w:rsidP="002378EA">
      <w:pPr>
        <w:pStyle w:val="Paragraphedeliste"/>
        <w:numPr>
          <w:ilvl w:val="0"/>
          <w:numId w:val="156"/>
        </w:numPr>
        <w:tabs>
          <w:tab w:val="left" w:pos="426"/>
        </w:tabs>
        <w:spacing w:line="240" w:lineRule="auto"/>
        <w:rPr>
          <w:rFonts w:eastAsia="Calibri" w:cs="Arial"/>
          <w:bCs/>
          <w:iCs/>
          <w:szCs w:val="21"/>
          <w:lang w:val="fr-CD"/>
        </w:rPr>
      </w:pPr>
      <w:r w:rsidRPr="00E4105B">
        <w:rPr>
          <w:rFonts w:eastAsia="Calibri" w:cs="Arial"/>
          <w:bCs/>
          <w:iCs/>
          <w:szCs w:val="21"/>
          <w:lang w:val="fr-CD"/>
        </w:rPr>
        <w:t>Njiwu ya ditampakaja disama dia COVID-19 ;</w:t>
      </w:r>
    </w:p>
    <w:p w14:paraId="249A3E1A" w14:textId="77777777" w:rsidR="005C5EB1" w:rsidRPr="00E4105B" w:rsidRDefault="005C5EB1" w:rsidP="002378EA">
      <w:pPr>
        <w:pStyle w:val="Paragraphedeliste"/>
        <w:numPr>
          <w:ilvl w:val="0"/>
          <w:numId w:val="156"/>
        </w:numPr>
        <w:tabs>
          <w:tab w:val="left" w:pos="426"/>
        </w:tabs>
        <w:spacing w:line="240" w:lineRule="auto"/>
        <w:rPr>
          <w:rFonts w:eastAsia="Calibri" w:cs="Arial"/>
          <w:bCs/>
          <w:iCs/>
          <w:szCs w:val="21"/>
          <w:lang w:val="fr-CD"/>
        </w:rPr>
      </w:pPr>
      <w:r w:rsidRPr="00E4105B">
        <w:rPr>
          <w:rFonts w:eastAsia="Calibri" w:cs="Arial"/>
          <w:bCs/>
          <w:iCs/>
          <w:szCs w:val="21"/>
          <w:lang w:val="fr-CD"/>
        </w:rPr>
        <w:t>Njiwu ya ditampakaja kishi ka ebola.</w:t>
      </w:r>
    </w:p>
    <w:p w14:paraId="4C4D3699" w14:textId="77777777" w:rsidR="005C5EB1" w:rsidRPr="00E4105B" w:rsidRDefault="005C5EB1" w:rsidP="005C5EB1">
      <w:pPr>
        <w:tabs>
          <w:tab w:val="left" w:pos="426"/>
        </w:tabs>
        <w:spacing w:line="240" w:lineRule="auto"/>
        <w:rPr>
          <w:rFonts w:eastAsia="Calibri" w:cs="Arial"/>
          <w:bCs/>
          <w:iCs/>
          <w:szCs w:val="21"/>
          <w:lang w:val="fr-CD"/>
        </w:rPr>
      </w:pPr>
    </w:p>
    <w:p w14:paraId="49346C8A" w14:textId="77777777" w:rsidR="005C5EB1" w:rsidRPr="00E4105B" w:rsidRDefault="005C5EB1" w:rsidP="005C5EB1">
      <w:pPr>
        <w:tabs>
          <w:tab w:val="left" w:pos="426"/>
        </w:tabs>
        <w:spacing w:line="240" w:lineRule="auto"/>
        <w:rPr>
          <w:rFonts w:eastAsia="Calibri" w:cs="Arial"/>
          <w:bCs/>
          <w:iCs/>
          <w:szCs w:val="21"/>
          <w:lang w:val="fr-CD"/>
        </w:rPr>
      </w:pPr>
      <w:r w:rsidRPr="00E4105B">
        <w:rPr>
          <w:rFonts w:eastAsia="Calibri" w:cs="Arial"/>
          <w:bCs/>
          <w:iCs/>
          <w:szCs w:val="21"/>
          <w:u w:val="single"/>
          <w:lang w:val="fr-CD"/>
        </w:rPr>
        <w:t>Njiwu ne bibangu bia bibi kumbukila ku midimu ya dibaka bisalu ne nzubu ya kushipela nyama ku misoko</w:t>
      </w:r>
      <w:r w:rsidRPr="00E4105B">
        <w:rPr>
          <w:rFonts w:eastAsia="Calibri" w:cs="Arial"/>
          <w:bCs/>
          <w:iCs/>
          <w:szCs w:val="21"/>
          <w:lang w:val="fr-CD"/>
        </w:rPr>
        <w:t> :</w:t>
      </w:r>
    </w:p>
    <w:p w14:paraId="7B34C59E" w14:textId="77777777" w:rsidR="005C5EB1" w:rsidRPr="00E4105B" w:rsidRDefault="005C5EB1" w:rsidP="005C5EB1">
      <w:pPr>
        <w:tabs>
          <w:tab w:val="left" w:pos="426"/>
        </w:tabs>
        <w:spacing w:line="240" w:lineRule="auto"/>
        <w:rPr>
          <w:rFonts w:eastAsia="Calibri" w:cs="Arial"/>
          <w:bCs/>
          <w:iCs/>
          <w:szCs w:val="21"/>
          <w:lang w:val="fr-CD"/>
        </w:rPr>
      </w:pPr>
    </w:p>
    <w:p w14:paraId="328E3649" w14:textId="77777777" w:rsidR="005C5EB1" w:rsidRPr="00E4105B" w:rsidRDefault="005C5EB1" w:rsidP="002378EA">
      <w:pPr>
        <w:pStyle w:val="Paragraphedeliste"/>
        <w:numPr>
          <w:ilvl w:val="0"/>
          <w:numId w:val="156"/>
        </w:numPr>
        <w:tabs>
          <w:tab w:val="left" w:pos="426"/>
        </w:tabs>
        <w:spacing w:line="240" w:lineRule="auto"/>
        <w:rPr>
          <w:rFonts w:eastAsia="Calibri" w:cs="Arial"/>
          <w:bCs/>
          <w:iCs/>
          <w:szCs w:val="21"/>
          <w:lang w:val="fr-CD"/>
        </w:rPr>
      </w:pPr>
      <w:r w:rsidRPr="00E4105B">
        <w:rPr>
          <w:rFonts w:eastAsia="Calibri" w:cs="Arial"/>
          <w:bCs/>
          <w:iCs/>
          <w:szCs w:val="21"/>
          <w:lang w:val="fr-CD"/>
        </w:rPr>
        <w:t>Diumbusha bisadilu bia dienda dia mushinga bia bantu ;</w:t>
      </w:r>
    </w:p>
    <w:p w14:paraId="14C559FA" w14:textId="77777777" w:rsidR="005C5EB1" w:rsidRPr="00E4105B" w:rsidRDefault="005C5EB1" w:rsidP="002378EA">
      <w:pPr>
        <w:pStyle w:val="Paragraphedeliste"/>
        <w:numPr>
          <w:ilvl w:val="0"/>
          <w:numId w:val="156"/>
        </w:numPr>
        <w:tabs>
          <w:tab w:val="left" w:pos="426"/>
        </w:tabs>
        <w:spacing w:line="240" w:lineRule="auto"/>
        <w:rPr>
          <w:rFonts w:eastAsia="Calibri" w:cs="Arial"/>
          <w:bCs/>
          <w:iCs/>
          <w:szCs w:val="21"/>
          <w:lang w:val="fr-CD"/>
        </w:rPr>
      </w:pPr>
      <w:r w:rsidRPr="00E4105B">
        <w:rPr>
          <w:rFonts w:eastAsia="Calibri" w:cs="Arial"/>
          <w:bCs/>
          <w:iCs/>
          <w:szCs w:val="21"/>
          <w:lang w:val="fr-CD"/>
        </w:rPr>
        <w:t>Dipatula makoya mashilangane ;</w:t>
      </w:r>
    </w:p>
    <w:p w14:paraId="72197BEC" w14:textId="77777777" w:rsidR="005C5EB1" w:rsidRPr="00E4105B" w:rsidRDefault="005C5EB1" w:rsidP="002378EA">
      <w:pPr>
        <w:pStyle w:val="Paragraphedeliste"/>
        <w:numPr>
          <w:ilvl w:val="0"/>
          <w:numId w:val="156"/>
        </w:numPr>
        <w:tabs>
          <w:tab w:val="left" w:pos="426"/>
        </w:tabs>
        <w:spacing w:line="240" w:lineRule="auto"/>
        <w:rPr>
          <w:rFonts w:eastAsia="Calibri" w:cs="Arial"/>
          <w:bCs/>
          <w:iCs/>
          <w:szCs w:val="21"/>
          <w:lang w:val="fr-CD"/>
        </w:rPr>
      </w:pPr>
      <w:r w:rsidRPr="00E4105B">
        <w:rPr>
          <w:rFonts w:eastAsia="Calibri" w:cs="Arial"/>
          <w:bCs/>
          <w:iCs/>
          <w:szCs w:val="21"/>
          <w:lang w:val="fr-CD"/>
        </w:rPr>
        <w:t>Dinyangakaja mwenenu wa miaba yak u misoko ;</w:t>
      </w:r>
    </w:p>
    <w:p w14:paraId="56B3FE1A" w14:textId="77777777" w:rsidR="005C5EB1" w:rsidRPr="00E4105B" w:rsidRDefault="005C5EB1" w:rsidP="002378EA">
      <w:pPr>
        <w:pStyle w:val="Paragraphedeliste"/>
        <w:numPr>
          <w:ilvl w:val="0"/>
          <w:numId w:val="156"/>
        </w:numPr>
        <w:tabs>
          <w:tab w:val="left" w:pos="426"/>
        </w:tabs>
        <w:spacing w:line="240" w:lineRule="auto"/>
        <w:rPr>
          <w:rFonts w:eastAsia="Calibri" w:cs="Arial"/>
          <w:bCs/>
          <w:iCs/>
          <w:szCs w:val="21"/>
          <w:lang w:val="fr-CD"/>
        </w:rPr>
      </w:pPr>
      <w:r w:rsidRPr="00E4105B">
        <w:rPr>
          <w:rFonts w:eastAsia="Calibri" w:cs="Arial"/>
          <w:bCs/>
          <w:iCs/>
          <w:szCs w:val="21"/>
          <w:lang w:val="fr-CD"/>
        </w:rPr>
        <w:t>Njiwu ya bantu ne ya bena mudimu ;</w:t>
      </w:r>
    </w:p>
    <w:p w14:paraId="5227FE8A" w14:textId="77777777" w:rsidR="005C5EB1" w:rsidRPr="00E4105B" w:rsidRDefault="005C5EB1" w:rsidP="002378EA">
      <w:pPr>
        <w:pStyle w:val="Paragraphedeliste"/>
        <w:numPr>
          <w:ilvl w:val="0"/>
          <w:numId w:val="156"/>
        </w:numPr>
        <w:tabs>
          <w:tab w:val="left" w:pos="426"/>
        </w:tabs>
        <w:spacing w:line="240" w:lineRule="auto"/>
        <w:rPr>
          <w:rFonts w:eastAsia="Calibri" w:cs="Arial"/>
          <w:bCs/>
          <w:iCs/>
          <w:szCs w:val="21"/>
          <w:lang w:val="fr-CD"/>
        </w:rPr>
      </w:pPr>
      <w:r w:rsidRPr="00E4105B">
        <w:rPr>
          <w:rFonts w:eastAsia="Calibri" w:cs="Arial"/>
          <w:bCs/>
          <w:iCs/>
          <w:szCs w:val="21"/>
          <w:lang w:val="fr-CD"/>
        </w:rPr>
        <w:t>Dipanga kwenzela bena mudimu ba kumisoko ;</w:t>
      </w:r>
    </w:p>
    <w:p w14:paraId="635CDED4" w14:textId="77777777" w:rsidR="005C5EB1" w:rsidRPr="00E4105B" w:rsidRDefault="005C5EB1" w:rsidP="002378EA">
      <w:pPr>
        <w:pStyle w:val="Paragraphedeliste"/>
        <w:numPr>
          <w:ilvl w:val="0"/>
          <w:numId w:val="156"/>
        </w:numPr>
        <w:tabs>
          <w:tab w:val="left" w:pos="426"/>
        </w:tabs>
        <w:spacing w:line="240" w:lineRule="auto"/>
        <w:rPr>
          <w:rFonts w:eastAsia="Calibri" w:cs="Arial"/>
          <w:bCs/>
          <w:iCs/>
          <w:szCs w:val="21"/>
          <w:lang w:val="fr-CD"/>
        </w:rPr>
      </w:pPr>
      <w:r w:rsidRPr="00E4105B">
        <w:rPr>
          <w:rFonts w:eastAsia="Calibri" w:cs="Arial"/>
          <w:bCs/>
          <w:iCs/>
          <w:szCs w:val="21"/>
          <w:lang w:val="fr-CD"/>
        </w:rPr>
        <w:t>Njiwu ya ditampakaja masama a VIH/SIDA ne a IST ne dilwa dia bena midimu ba bungi ku miaba ya midimu ;</w:t>
      </w:r>
    </w:p>
    <w:p w14:paraId="7CDD5E07" w14:textId="77777777" w:rsidR="005C5EB1" w:rsidRPr="00E4105B" w:rsidRDefault="005C5EB1" w:rsidP="002378EA">
      <w:pPr>
        <w:pStyle w:val="Paragraphedeliste"/>
        <w:numPr>
          <w:ilvl w:val="0"/>
          <w:numId w:val="156"/>
        </w:numPr>
        <w:tabs>
          <w:tab w:val="left" w:pos="426"/>
        </w:tabs>
        <w:spacing w:line="240" w:lineRule="auto"/>
        <w:rPr>
          <w:rFonts w:eastAsia="Calibri" w:cs="Arial"/>
          <w:bCs/>
          <w:iCs/>
          <w:szCs w:val="21"/>
          <w:lang w:val="fr-CD"/>
        </w:rPr>
      </w:pPr>
      <w:r w:rsidRPr="00E4105B">
        <w:rPr>
          <w:rFonts w:eastAsia="Calibri" w:cs="Arial"/>
          <w:bCs/>
          <w:iCs/>
          <w:szCs w:val="21"/>
          <w:lang w:val="fr-CD"/>
        </w:rPr>
        <w:t>Njiwu ya dikengesha bakaji ne dibangata kubukole (VBG) kudi bena midimu ;</w:t>
      </w:r>
    </w:p>
    <w:p w14:paraId="536D2BC7" w14:textId="77777777" w:rsidR="005C5EB1" w:rsidRPr="00E4105B" w:rsidRDefault="005C5EB1" w:rsidP="002378EA">
      <w:pPr>
        <w:pStyle w:val="Paragraphedeliste"/>
        <w:numPr>
          <w:ilvl w:val="0"/>
          <w:numId w:val="156"/>
        </w:numPr>
        <w:tabs>
          <w:tab w:val="left" w:pos="426"/>
        </w:tabs>
        <w:spacing w:line="240" w:lineRule="auto"/>
        <w:rPr>
          <w:rFonts w:eastAsia="Calibri" w:cs="Arial"/>
          <w:bCs/>
          <w:iCs/>
          <w:szCs w:val="21"/>
          <w:lang w:val="fr-CD"/>
        </w:rPr>
      </w:pPr>
      <w:r w:rsidRPr="00E4105B">
        <w:rPr>
          <w:rFonts w:eastAsia="Calibri" w:cs="Arial"/>
          <w:bCs/>
          <w:iCs/>
          <w:szCs w:val="21"/>
          <w:lang w:val="fr-CD"/>
        </w:rPr>
        <w:t>Njiwu ya ditampakaja disa dia COVID-19 ne kupanga kwenzela mikandu idi mipeshibwe.</w:t>
      </w:r>
    </w:p>
    <w:p w14:paraId="1E35473D" w14:textId="77777777" w:rsidR="005C5EB1" w:rsidRPr="00E4105B" w:rsidRDefault="005C5EB1" w:rsidP="005C5EB1">
      <w:pPr>
        <w:tabs>
          <w:tab w:val="left" w:pos="426"/>
        </w:tabs>
        <w:spacing w:line="240" w:lineRule="auto"/>
        <w:contextualSpacing/>
        <w:rPr>
          <w:rFonts w:eastAsia="Calibri" w:cs="Arial"/>
          <w:b/>
          <w:i/>
          <w:szCs w:val="21"/>
          <w:lang w:val="fr-CD"/>
        </w:rPr>
      </w:pPr>
    </w:p>
    <w:p w14:paraId="7CFAAFBF" w14:textId="77777777" w:rsidR="005C5EB1" w:rsidRPr="00A06B8B" w:rsidRDefault="005C5EB1" w:rsidP="002378EA">
      <w:pPr>
        <w:numPr>
          <w:ilvl w:val="0"/>
          <w:numId w:val="158"/>
        </w:numPr>
        <w:tabs>
          <w:tab w:val="left" w:pos="426"/>
        </w:tabs>
        <w:contextualSpacing/>
        <w:rPr>
          <w:rFonts w:eastAsia="Calibri" w:cs="Arial"/>
          <w:b/>
          <w:i/>
          <w:szCs w:val="21"/>
        </w:rPr>
      </w:pPr>
      <w:r w:rsidRPr="00A06B8B">
        <w:rPr>
          <w:rFonts w:eastAsia="Calibri" w:cs="Arial"/>
          <w:b/>
          <w:i/>
          <w:szCs w:val="21"/>
        </w:rPr>
        <w:t xml:space="preserve">Mikanu bwa kwenzela biakane malu a bintu bia nyungulukilu wa buloba ne nsombelu wa batu </w:t>
      </w:r>
    </w:p>
    <w:p w14:paraId="38352241" w14:textId="77777777" w:rsidR="005C5EB1" w:rsidRPr="00E4105B" w:rsidRDefault="005C5EB1" w:rsidP="005C5EB1">
      <w:pPr>
        <w:rPr>
          <w:rFonts w:cs="Arial"/>
          <w:b/>
          <w:i/>
          <w:szCs w:val="21"/>
        </w:rPr>
      </w:pPr>
    </w:p>
    <w:p w14:paraId="696FF8CB" w14:textId="77777777" w:rsidR="005C5EB1" w:rsidRPr="00E4105B" w:rsidRDefault="005C5EB1" w:rsidP="005C5EB1">
      <w:pPr>
        <w:autoSpaceDE w:val="0"/>
        <w:autoSpaceDN w:val="0"/>
        <w:adjustRightInd w:val="0"/>
        <w:contextualSpacing/>
        <w:rPr>
          <w:rFonts w:cs="Arial"/>
          <w:szCs w:val="21"/>
          <w:lang w:bidi="fr-FR"/>
        </w:rPr>
      </w:pPr>
      <w:r w:rsidRPr="00E4105B">
        <w:rPr>
          <w:rFonts w:cs="Arial"/>
          <w:szCs w:val="21"/>
          <w:lang w:bidi="fr-FR"/>
        </w:rPr>
        <w:t>Dienzela bintu bia nyungulukilu wa buloba na nsombelu wa bantu dia mudimu wa PNDA ndilongolole mikanu ya bulongolodi ne ya dienzesha nzubu ya mibimu ne ya tekiniki, ya dikolesha menji, ne ya disopesha bwa dikolesha menji ya nzubu ya midimu, idi ilonda eyi :</w:t>
      </w:r>
    </w:p>
    <w:p w14:paraId="07A87424" w14:textId="77777777" w:rsidR="005C5EB1" w:rsidRPr="00E4105B" w:rsidRDefault="005C5EB1" w:rsidP="005C5EB1">
      <w:pPr>
        <w:autoSpaceDE w:val="0"/>
        <w:autoSpaceDN w:val="0"/>
        <w:adjustRightInd w:val="0"/>
        <w:spacing w:line="240" w:lineRule="auto"/>
        <w:contextualSpacing/>
        <w:rPr>
          <w:rFonts w:eastAsia="Calibri" w:cs="Arial"/>
          <w:szCs w:val="21"/>
          <w:lang w:bidi="fr-FR"/>
        </w:rPr>
      </w:pPr>
    </w:p>
    <w:p w14:paraId="647C4E3C" w14:textId="77777777" w:rsidR="005C5EB1" w:rsidRPr="00E4105B" w:rsidRDefault="005C5EB1" w:rsidP="002378EA">
      <w:pPr>
        <w:widowControl w:val="0"/>
        <w:numPr>
          <w:ilvl w:val="0"/>
          <w:numId w:val="68"/>
        </w:numPr>
        <w:autoSpaceDE w:val="0"/>
        <w:autoSpaceDN w:val="0"/>
        <w:rPr>
          <w:rFonts w:eastAsia="MS Mincho" w:cs="Arial"/>
          <w:szCs w:val="21"/>
        </w:rPr>
      </w:pPr>
      <w:r w:rsidRPr="00E4105B">
        <w:rPr>
          <w:rFonts w:eastAsia="MS Mincho" w:cs="Arial"/>
          <w:szCs w:val="21"/>
        </w:rPr>
        <w:t>Dilongolola dia mushindu wa kwenzela bena mudimu (PGMO) ;</w:t>
      </w:r>
    </w:p>
    <w:p w14:paraId="0FD246BD" w14:textId="77777777" w:rsidR="005C5EB1" w:rsidRPr="00E4105B" w:rsidRDefault="005C5EB1" w:rsidP="002378EA">
      <w:pPr>
        <w:widowControl w:val="0"/>
        <w:numPr>
          <w:ilvl w:val="0"/>
          <w:numId w:val="68"/>
        </w:numPr>
        <w:autoSpaceDE w:val="0"/>
        <w:autoSpaceDN w:val="0"/>
        <w:rPr>
          <w:rFonts w:eastAsia="MS Mincho" w:cs="Arial"/>
          <w:szCs w:val="21"/>
        </w:rPr>
      </w:pPr>
      <w:r w:rsidRPr="00E4105B">
        <w:rPr>
          <w:rFonts w:eastAsia="MS Mincho" w:cs="Arial"/>
          <w:szCs w:val="21"/>
        </w:rPr>
        <w:t>Dilongolola dia mushindu wa kusangisha aba bonso badi mudimu utangidila (PMPP) ;</w:t>
      </w:r>
    </w:p>
    <w:p w14:paraId="10F08C91" w14:textId="77777777" w:rsidR="005C5EB1" w:rsidRPr="00E4105B" w:rsidRDefault="005C5EB1" w:rsidP="002378EA">
      <w:pPr>
        <w:widowControl w:val="0"/>
        <w:numPr>
          <w:ilvl w:val="0"/>
          <w:numId w:val="68"/>
        </w:numPr>
        <w:autoSpaceDE w:val="0"/>
        <w:autoSpaceDN w:val="0"/>
        <w:rPr>
          <w:rFonts w:eastAsia="MS Mincho" w:cs="Arial"/>
          <w:szCs w:val="21"/>
        </w:rPr>
      </w:pPr>
      <w:r w:rsidRPr="00E4105B">
        <w:rPr>
          <w:rFonts w:eastAsia="MS Mincho" w:cs="Arial"/>
          <w:szCs w:val="21"/>
        </w:rPr>
        <w:t>Dilongolola dia mikanu ya diumbusha bantu ne bintu biabu (PAR) ;</w:t>
      </w:r>
    </w:p>
    <w:p w14:paraId="774D4A39" w14:textId="77777777" w:rsidR="005C5EB1" w:rsidRPr="00E4105B" w:rsidRDefault="005C5EB1" w:rsidP="002378EA">
      <w:pPr>
        <w:widowControl w:val="0"/>
        <w:numPr>
          <w:ilvl w:val="0"/>
          <w:numId w:val="68"/>
        </w:numPr>
        <w:autoSpaceDE w:val="0"/>
        <w:autoSpaceDN w:val="0"/>
        <w:rPr>
          <w:rFonts w:eastAsia="MS Mincho" w:cs="Arial"/>
          <w:szCs w:val="21"/>
        </w:rPr>
      </w:pPr>
      <w:r w:rsidRPr="00E4105B">
        <w:rPr>
          <w:rFonts w:eastAsia="MS Mincho" w:cs="Arial"/>
          <w:szCs w:val="21"/>
        </w:rPr>
        <w:t>Dilongolola dia dipangidika dia malu bintu bia nyungulukilu wa buloba ne nsombelu wa bantu (PEES) ;</w:t>
      </w:r>
    </w:p>
    <w:p w14:paraId="6B256BB5" w14:textId="77777777" w:rsidR="005C5EB1" w:rsidRPr="00E4105B" w:rsidRDefault="005C5EB1" w:rsidP="002378EA">
      <w:pPr>
        <w:widowControl w:val="0"/>
        <w:numPr>
          <w:ilvl w:val="0"/>
          <w:numId w:val="68"/>
        </w:numPr>
        <w:autoSpaceDE w:val="0"/>
        <w:autoSpaceDN w:val="0"/>
        <w:rPr>
          <w:rFonts w:eastAsia="MS Mincho" w:cs="Arial"/>
          <w:szCs w:val="21"/>
        </w:rPr>
      </w:pPr>
      <w:r w:rsidRPr="00E4105B">
        <w:rPr>
          <w:rFonts w:eastAsia="MS Mincho" w:cs="Arial"/>
          <w:szCs w:val="21"/>
        </w:rPr>
        <w:t>Dilongolola dia mushindu wa kulondela malu a VBG ne mushindu udi mwa kwepuka mine malu aha, kuakepesha ne kupesha mandamuna ku aha atu menzeke pakale kulondangana ne mushindu utubu benzele malu aha kumiaba mikwabu pa kale anyi misangu mishale;</w:t>
      </w:r>
    </w:p>
    <w:p w14:paraId="15A1FA77" w14:textId="77777777" w:rsidR="005C5EB1" w:rsidRPr="00E4105B" w:rsidRDefault="005C5EB1" w:rsidP="002378EA">
      <w:pPr>
        <w:widowControl w:val="0"/>
        <w:numPr>
          <w:ilvl w:val="0"/>
          <w:numId w:val="68"/>
        </w:numPr>
        <w:autoSpaceDE w:val="0"/>
        <w:autoSpaceDN w:val="0"/>
        <w:rPr>
          <w:rFonts w:eastAsia="MS Mincho" w:cs="Arial"/>
          <w:szCs w:val="21"/>
        </w:rPr>
      </w:pPr>
      <w:r w:rsidRPr="00E4105B">
        <w:rPr>
          <w:rFonts w:eastAsia="MS Mincho" w:cs="Arial"/>
          <w:szCs w:val="21"/>
        </w:rPr>
        <w:t>Dilongolola dia malonga adi atngidila malu a Tuyeke (PA) ne Bantu bena misoko (Colo) ;</w:t>
      </w:r>
    </w:p>
    <w:p w14:paraId="02125684" w14:textId="77777777" w:rsidR="005C5EB1" w:rsidRPr="00E4105B" w:rsidRDefault="005C5EB1" w:rsidP="002378EA">
      <w:pPr>
        <w:widowControl w:val="0"/>
        <w:numPr>
          <w:ilvl w:val="0"/>
          <w:numId w:val="68"/>
        </w:numPr>
        <w:autoSpaceDE w:val="0"/>
        <w:autoSpaceDN w:val="0"/>
        <w:rPr>
          <w:rFonts w:eastAsia="MS Mincho" w:cs="Arial"/>
          <w:szCs w:val="21"/>
        </w:rPr>
      </w:pPr>
      <w:r w:rsidRPr="00E4105B">
        <w:rPr>
          <w:rFonts w:eastAsia="MS Mincho" w:cs="Arial"/>
          <w:szCs w:val="21"/>
        </w:rPr>
        <w:t>Dilongolola dia mushindu wa kukuba bantu ne biamua bia musala (PGS) udi uleja mushindu wa kwenzela malu onso a dikuba dia bantu ne bintu (ERS) ne mikanu idi mwa kulonda) ;</w:t>
      </w:r>
    </w:p>
    <w:p w14:paraId="148DAAAC" w14:textId="77777777" w:rsidR="005C5EB1" w:rsidRPr="00E4105B" w:rsidRDefault="005C5EB1" w:rsidP="002378EA">
      <w:pPr>
        <w:widowControl w:val="0"/>
        <w:numPr>
          <w:ilvl w:val="0"/>
          <w:numId w:val="68"/>
        </w:numPr>
        <w:autoSpaceDE w:val="0"/>
        <w:autoSpaceDN w:val="0"/>
        <w:rPr>
          <w:rFonts w:eastAsia="MS Mincho" w:cs="Arial"/>
          <w:szCs w:val="21"/>
        </w:rPr>
      </w:pPr>
      <w:r w:rsidRPr="00E4105B">
        <w:rPr>
          <w:rFonts w:eastAsia="MS Mincho" w:cs="Arial"/>
          <w:szCs w:val="21"/>
        </w:rPr>
        <w:t>Dilongolola dia mushindu wa kukosa bilumbu pankatshi pa bantu (MGP) ;</w:t>
      </w:r>
    </w:p>
    <w:p w14:paraId="19D93C1D" w14:textId="77777777" w:rsidR="005C5EB1" w:rsidRPr="00E4105B" w:rsidRDefault="005C5EB1" w:rsidP="002378EA">
      <w:pPr>
        <w:widowControl w:val="0"/>
        <w:numPr>
          <w:ilvl w:val="0"/>
          <w:numId w:val="68"/>
        </w:numPr>
        <w:autoSpaceDE w:val="0"/>
        <w:autoSpaceDN w:val="0"/>
        <w:rPr>
          <w:rFonts w:eastAsia="MS Mincho" w:cs="Arial"/>
          <w:szCs w:val="21"/>
        </w:rPr>
      </w:pPr>
      <w:r w:rsidRPr="00E4105B">
        <w:rPr>
          <w:rFonts w:eastAsia="MS Mincho" w:cs="Arial"/>
          <w:szCs w:val="21"/>
        </w:rPr>
        <w:t>Dilongolola dia MGP bwa malu adi atangidila dikengesha bakaji anyi VBG ;</w:t>
      </w:r>
    </w:p>
    <w:p w14:paraId="3DE3F4C9" w14:textId="77777777" w:rsidR="005C5EB1" w:rsidRPr="00E4105B" w:rsidRDefault="005C5EB1" w:rsidP="002378EA">
      <w:pPr>
        <w:widowControl w:val="0"/>
        <w:numPr>
          <w:ilvl w:val="0"/>
          <w:numId w:val="68"/>
        </w:numPr>
        <w:autoSpaceDE w:val="0"/>
        <w:autoSpaceDN w:val="0"/>
        <w:rPr>
          <w:rFonts w:eastAsia="MS Mincho" w:cs="Arial"/>
          <w:szCs w:val="21"/>
        </w:rPr>
      </w:pPr>
      <w:r w:rsidRPr="00E4105B">
        <w:rPr>
          <w:rFonts w:eastAsia="MS Mincho" w:cs="Arial"/>
          <w:szCs w:val="21"/>
        </w:rPr>
        <w:t>Dilongolola dia mushindu wa kwenza mudimu ne bitupa bikwabu ;</w:t>
      </w:r>
    </w:p>
    <w:p w14:paraId="6D328B19" w14:textId="77777777" w:rsidR="005C5EB1" w:rsidRPr="00E4105B" w:rsidRDefault="005C5EB1" w:rsidP="002378EA">
      <w:pPr>
        <w:widowControl w:val="0"/>
        <w:numPr>
          <w:ilvl w:val="0"/>
          <w:numId w:val="68"/>
        </w:numPr>
        <w:autoSpaceDE w:val="0"/>
        <w:autoSpaceDN w:val="0"/>
        <w:rPr>
          <w:rFonts w:eastAsia="MS Mincho" w:cs="Arial"/>
          <w:szCs w:val="21"/>
          <w:lang w:val="en-US"/>
        </w:rPr>
      </w:pPr>
      <w:r w:rsidRPr="00E4105B">
        <w:rPr>
          <w:rFonts w:eastAsia="MS Mincho" w:cs="Arial"/>
          <w:szCs w:val="21"/>
          <w:lang w:val="en-US"/>
        </w:rPr>
        <w:t>Dilongolola dia MGP udi usangisha malu onso a VBG/EAS/HS</w:t>
      </w:r>
    </w:p>
    <w:p w14:paraId="470F343E" w14:textId="77777777" w:rsidR="005C5EB1" w:rsidRPr="00E4105B" w:rsidRDefault="005C5EB1" w:rsidP="002378EA">
      <w:pPr>
        <w:widowControl w:val="0"/>
        <w:numPr>
          <w:ilvl w:val="0"/>
          <w:numId w:val="68"/>
        </w:numPr>
        <w:autoSpaceDE w:val="0"/>
        <w:autoSpaceDN w:val="0"/>
        <w:rPr>
          <w:rFonts w:eastAsia="MS Mincho" w:cs="Arial"/>
          <w:szCs w:val="21"/>
          <w:lang w:val="en-US"/>
        </w:rPr>
      </w:pPr>
      <w:r w:rsidRPr="00E4105B">
        <w:rPr>
          <w:rFonts w:eastAsia="MS Mincho" w:cs="Arial"/>
          <w:szCs w:val="21"/>
          <w:lang w:val="en-US"/>
        </w:rPr>
        <w:t xml:space="preserve">Dilongolola dia mushindu mwakane wa kwikadila : bwa bantu bonso, bwa benzeji ba mudimu udi usangisha malu a VBG. Mushindu wa kukandika diangata bana bakaji bakese </w:t>
      </w:r>
      <w:r w:rsidRPr="00E4105B">
        <w:rPr>
          <w:rFonts w:eastAsia="MS Mincho" w:cs="Arial"/>
          <w:szCs w:val="21"/>
          <w:vertAlign w:val="superscript"/>
        </w:rPr>
        <w:footnoteReference w:id="9"/>
      </w:r>
      <w:r w:rsidRPr="00E4105B">
        <w:rPr>
          <w:rFonts w:eastAsia="MS Mincho" w:cs="Arial"/>
          <w:szCs w:val="21"/>
          <w:lang w:val="en-US"/>
        </w:rPr>
        <w:t>, bibawu bidibilonda, ne malongesha makese a malu a VBG, apete kumanishibwa bimpe ne bantu bonso ;</w:t>
      </w:r>
    </w:p>
    <w:p w14:paraId="2D541999" w14:textId="77777777" w:rsidR="005C5EB1" w:rsidRPr="00E4105B" w:rsidRDefault="005C5EB1" w:rsidP="002378EA">
      <w:pPr>
        <w:widowControl w:val="0"/>
        <w:numPr>
          <w:ilvl w:val="0"/>
          <w:numId w:val="68"/>
        </w:numPr>
        <w:autoSpaceDE w:val="0"/>
        <w:autoSpaceDN w:val="0"/>
        <w:rPr>
          <w:rFonts w:eastAsia="MS Mincho" w:cs="Arial"/>
          <w:szCs w:val="21"/>
          <w:lang w:val="en-US"/>
        </w:rPr>
      </w:pPr>
      <w:r w:rsidRPr="00E4105B">
        <w:rPr>
          <w:rFonts w:eastAsia="MS Mincho" w:cs="Arial"/>
          <w:szCs w:val="21"/>
          <w:lang w:val="en-US"/>
        </w:rPr>
        <w:t>Dikandika malu a mudimu wa bana batekete mu mwaba wa mudimu ;</w:t>
      </w:r>
    </w:p>
    <w:p w14:paraId="0E66CBB7" w14:textId="77777777" w:rsidR="005C5EB1" w:rsidRPr="00E4105B" w:rsidRDefault="005C5EB1" w:rsidP="002378EA">
      <w:pPr>
        <w:widowControl w:val="0"/>
        <w:numPr>
          <w:ilvl w:val="0"/>
          <w:numId w:val="68"/>
        </w:numPr>
        <w:autoSpaceDE w:val="0"/>
        <w:autoSpaceDN w:val="0"/>
        <w:rPr>
          <w:rFonts w:eastAsia="MS Mincho" w:cs="Arial"/>
          <w:szCs w:val="21"/>
        </w:rPr>
      </w:pPr>
      <w:r w:rsidRPr="00E4105B">
        <w:rPr>
          <w:rFonts w:eastAsia="MS Mincho" w:cs="Arial"/>
          <w:szCs w:val="21"/>
        </w:rPr>
        <w:t>Dilongolola dia mushindu wa kwenzela malu a kulondela midimu ;</w:t>
      </w:r>
    </w:p>
    <w:p w14:paraId="18A1E9C0" w14:textId="77777777" w:rsidR="005C5EB1" w:rsidRPr="00E4105B" w:rsidRDefault="005C5EB1" w:rsidP="002378EA">
      <w:pPr>
        <w:widowControl w:val="0"/>
        <w:numPr>
          <w:ilvl w:val="0"/>
          <w:numId w:val="68"/>
        </w:numPr>
        <w:autoSpaceDE w:val="0"/>
        <w:autoSpaceDN w:val="0"/>
        <w:rPr>
          <w:rFonts w:eastAsia="MS Mincho" w:cs="Arial"/>
          <w:szCs w:val="21"/>
        </w:rPr>
      </w:pPr>
      <w:r w:rsidRPr="00E4105B">
        <w:rPr>
          <w:rFonts w:eastAsia="MS Mincho" w:cs="Arial"/>
          <w:szCs w:val="21"/>
        </w:rPr>
        <w:t>Dikepesha dikosa mitshi ne dikosa metu ;</w:t>
      </w:r>
    </w:p>
    <w:p w14:paraId="16911C0E" w14:textId="77777777" w:rsidR="005C5EB1" w:rsidRPr="00E4105B" w:rsidRDefault="005C5EB1" w:rsidP="002378EA">
      <w:pPr>
        <w:widowControl w:val="0"/>
        <w:numPr>
          <w:ilvl w:val="0"/>
          <w:numId w:val="68"/>
        </w:numPr>
        <w:autoSpaceDE w:val="0"/>
        <w:autoSpaceDN w:val="0"/>
        <w:rPr>
          <w:rFonts w:eastAsia="MS Mincho" w:cs="Arial"/>
          <w:szCs w:val="21"/>
        </w:rPr>
      </w:pPr>
      <w:r w:rsidRPr="00E4105B">
        <w:rPr>
          <w:rFonts w:eastAsia="MS Mincho" w:cs="Arial"/>
          <w:szCs w:val="21"/>
        </w:rPr>
        <w:t xml:space="preserve">Kuteka miaba ya kukandika bantu bwa kuya ne kupita ku miaba mikandika pa diba dia midimu ; </w:t>
      </w:r>
    </w:p>
    <w:p w14:paraId="57EE0C7E" w14:textId="77777777" w:rsidR="005C5EB1" w:rsidRPr="00E4105B" w:rsidRDefault="005C5EB1" w:rsidP="002378EA">
      <w:pPr>
        <w:widowControl w:val="0"/>
        <w:numPr>
          <w:ilvl w:val="0"/>
          <w:numId w:val="68"/>
        </w:numPr>
        <w:autoSpaceDE w:val="0"/>
        <w:autoSpaceDN w:val="0"/>
        <w:rPr>
          <w:rFonts w:eastAsia="MS Mincho" w:cs="Arial"/>
          <w:szCs w:val="21"/>
        </w:rPr>
      </w:pPr>
      <w:r w:rsidRPr="00E4105B">
        <w:rPr>
          <w:rFonts w:eastAsia="MS Mincho" w:cs="Arial"/>
          <w:szCs w:val="21"/>
        </w:rPr>
        <w:t>Kulomba diambulwisha dia bena ICCN kumpala kwa kwenza mudimu pa bwipi ne miaba mikandika ;</w:t>
      </w:r>
    </w:p>
    <w:p w14:paraId="62621B95" w14:textId="77777777" w:rsidR="005C5EB1" w:rsidRPr="00E4105B" w:rsidRDefault="005C5EB1" w:rsidP="002378EA">
      <w:pPr>
        <w:widowControl w:val="0"/>
        <w:numPr>
          <w:ilvl w:val="0"/>
          <w:numId w:val="68"/>
        </w:numPr>
        <w:autoSpaceDE w:val="0"/>
        <w:autoSpaceDN w:val="0"/>
        <w:rPr>
          <w:rFonts w:eastAsia="MS Mincho" w:cs="Arial"/>
          <w:szCs w:val="21"/>
        </w:rPr>
      </w:pPr>
      <w:r w:rsidRPr="00E4105B">
        <w:rPr>
          <w:rFonts w:eastAsia="MS Mincho" w:cs="Arial"/>
          <w:szCs w:val="21"/>
        </w:rPr>
        <w:t>Kukandi dienzesha mudimu mu nkatshi mwa miaba mikandika ya nyama ne mitshi ;</w:t>
      </w:r>
    </w:p>
    <w:p w14:paraId="68C90CDA" w14:textId="77777777" w:rsidR="005C5EB1" w:rsidRPr="00E4105B" w:rsidRDefault="005C5EB1" w:rsidP="002378EA">
      <w:pPr>
        <w:widowControl w:val="0"/>
        <w:numPr>
          <w:ilvl w:val="0"/>
          <w:numId w:val="68"/>
        </w:numPr>
        <w:autoSpaceDE w:val="0"/>
        <w:autoSpaceDN w:val="0"/>
        <w:rPr>
          <w:rFonts w:eastAsia="MS Mincho" w:cs="Arial"/>
          <w:szCs w:val="21"/>
        </w:rPr>
      </w:pPr>
      <w:r w:rsidRPr="00E4105B">
        <w:rPr>
          <w:rFonts w:eastAsia="MS Mincho" w:cs="Arial"/>
          <w:szCs w:val="21"/>
        </w:rPr>
        <w:t xml:space="preserve">Kupingaja miaba yonso ya mudimu muvwayi kumpala kwa kubangisha mudimu ; </w:t>
      </w:r>
    </w:p>
    <w:p w14:paraId="03FEEC5A" w14:textId="77777777" w:rsidR="005C5EB1" w:rsidRPr="00E4105B" w:rsidRDefault="005C5EB1" w:rsidP="002378EA">
      <w:pPr>
        <w:widowControl w:val="0"/>
        <w:numPr>
          <w:ilvl w:val="0"/>
          <w:numId w:val="68"/>
        </w:numPr>
        <w:autoSpaceDE w:val="0"/>
        <w:autoSpaceDN w:val="0"/>
        <w:rPr>
          <w:rFonts w:eastAsia="MS Mincho" w:cs="Arial"/>
          <w:szCs w:val="21"/>
        </w:rPr>
      </w:pPr>
      <w:r w:rsidRPr="00E4105B">
        <w:rPr>
          <w:rFonts w:eastAsia="MS Mincho" w:cs="Arial"/>
          <w:szCs w:val="21"/>
        </w:rPr>
        <w:t xml:space="preserve">Kutangidila bimpe miba ya diendela mushinga ya bantu bwa kwepuka kuba kengesha pa diba dia mudimu, ne kuteka bimanyinu bidi bileja bimpe mushindu udi mwa kupitshila pa tshikondo tsha mudimu ; </w:t>
      </w:r>
    </w:p>
    <w:p w14:paraId="65BDF469" w14:textId="77777777" w:rsidR="005C5EB1" w:rsidRPr="00E4105B" w:rsidRDefault="005C5EB1" w:rsidP="002378EA">
      <w:pPr>
        <w:widowControl w:val="0"/>
        <w:numPr>
          <w:ilvl w:val="0"/>
          <w:numId w:val="68"/>
        </w:numPr>
        <w:autoSpaceDE w:val="0"/>
        <w:autoSpaceDN w:val="0"/>
        <w:rPr>
          <w:rFonts w:eastAsia="MS Mincho" w:cs="Arial"/>
          <w:szCs w:val="21"/>
        </w:rPr>
      </w:pPr>
      <w:r w:rsidRPr="00E4105B">
        <w:rPr>
          <w:rFonts w:eastAsia="MS Mincho" w:cs="Arial"/>
          <w:szCs w:val="21"/>
        </w:rPr>
        <w:t xml:space="preserve">Kufuta bintu bia bantu kumpala kwa kubangisha mudimu ; </w:t>
      </w:r>
    </w:p>
    <w:p w14:paraId="4356576E" w14:textId="77777777" w:rsidR="005C5EB1" w:rsidRPr="00E4105B" w:rsidRDefault="005C5EB1" w:rsidP="002378EA">
      <w:pPr>
        <w:widowControl w:val="0"/>
        <w:numPr>
          <w:ilvl w:val="0"/>
          <w:numId w:val="68"/>
        </w:numPr>
        <w:autoSpaceDE w:val="0"/>
        <w:autoSpaceDN w:val="0"/>
        <w:rPr>
          <w:rFonts w:eastAsia="MS Mincho" w:cs="Arial"/>
          <w:szCs w:val="21"/>
        </w:rPr>
      </w:pPr>
      <w:r w:rsidRPr="00E4105B">
        <w:rPr>
          <w:rFonts w:eastAsia="MS Mincho" w:cs="Arial"/>
          <w:szCs w:val="21"/>
        </w:rPr>
        <w:t>Kwambulwisha kasumbu ka dilongolola mudimu wa PNDA ne dibapesha bionso bidi bikengela bwa bob kwenza mudimu ewu biakane ;</w:t>
      </w:r>
    </w:p>
    <w:p w14:paraId="6264F764" w14:textId="77777777" w:rsidR="005C5EB1" w:rsidRPr="00E4105B" w:rsidRDefault="005C5EB1" w:rsidP="002378EA">
      <w:pPr>
        <w:widowControl w:val="0"/>
        <w:numPr>
          <w:ilvl w:val="0"/>
          <w:numId w:val="68"/>
        </w:numPr>
        <w:autoSpaceDE w:val="0"/>
        <w:autoSpaceDN w:val="0"/>
        <w:rPr>
          <w:rFonts w:eastAsia="MS Mincho" w:cs="Arial"/>
          <w:szCs w:val="21"/>
        </w:rPr>
      </w:pPr>
      <w:r w:rsidRPr="00E4105B">
        <w:rPr>
          <w:rFonts w:eastAsia="MS Mincho" w:cs="Arial"/>
          <w:szCs w:val="21"/>
        </w:rPr>
        <w:t>Kukolesha menji a dienzela malu a bintu bia nyungulukilu wa buloba ne nsombelu wa bantu a balombodi ba mudimu ewu bena UGP ;</w:t>
      </w:r>
    </w:p>
    <w:p w14:paraId="5673AEC3" w14:textId="77777777" w:rsidR="005C5EB1" w:rsidRPr="00E4105B" w:rsidRDefault="005C5EB1" w:rsidP="002378EA">
      <w:pPr>
        <w:widowControl w:val="0"/>
        <w:numPr>
          <w:ilvl w:val="0"/>
          <w:numId w:val="68"/>
        </w:numPr>
        <w:autoSpaceDE w:val="0"/>
        <w:autoSpaceDN w:val="0"/>
        <w:rPr>
          <w:rFonts w:eastAsia="MS Mincho" w:cs="Arial"/>
          <w:szCs w:val="21"/>
        </w:rPr>
      </w:pPr>
      <w:r w:rsidRPr="00E4105B">
        <w:rPr>
          <w:rFonts w:eastAsia="MS Mincho" w:cs="Arial"/>
          <w:szCs w:val="21"/>
        </w:rPr>
        <w:t>Kukolesha menji a bena Mbulamatadi bena malu a madimi ;</w:t>
      </w:r>
    </w:p>
    <w:p w14:paraId="2F045D36" w14:textId="77777777" w:rsidR="005C5EB1" w:rsidRPr="00E4105B" w:rsidRDefault="005C5EB1" w:rsidP="002378EA">
      <w:pPr>
        <w:widowControl w:val="0"/>
        <w:numPr>
          <w:ilvl w:val="0"/>
          <w:numId w:val="68"/>
        </w:numPr>
        <w:autoSpaceDE w:val="0"/>
        <w:autoSpaceDN w:val="0"/>
        <w:rPr>
          <w:rFonts w:eastAsia="MS Mincho" w:cs="Arial"/>
          <w:szCs w:val="21"/>
        </w:rPr>
      </w:pPr>
      <w:r w:rsidRPr="00E4105B">
        <w:rPr>
          <w:rFonts w:eastAsia="MS Mincho" w:cs="Arial"/>
          <w:szCs w:val="21"/>
        </w:rPr>
        <w:t>Kulongesha bantu bonso malu a VBG ne a MGP bwa bamune mudi mwa kualondela bimpe mu mudimu wa PNDA;</w:t>
      </w:r>
    </w:p>
    <w:p w14:paraId="5578A972" w14:textId="77777777" w:rsidR="005C5EB1" w:rsidRPr="00E4105B" w:rsidRDefault="005C5EB1" w:rsidP="002378EA">
      <w:pPr>
        <w:widowControl w:val="0"/>
        <w:numPr>
          <w:ilvl w:val="0"/>
          <w:numId w:val="68"/>
        </w:numPr>
        <w:autoSpaceDE w:val="0"/>
        <w:autoSpaceDN w:val="0"/>
        <w:rPr>
          <w:rFonts w:eastAsia="MS Mincho" w:cs="Arial"/>
          <w:szCs w:val="21"/>
        </w:rPr>
      </w:pPr>
      <w:r w:rsidRPr="00E4105B">
        <w:rPr>
          <w:rFonts w:eastAsia="MS Mincho" w:cs="Arial"/>
          <w:szCs w:val="21"/>
        </w:rPr>
        <w:t>Dilongolola dia mushindu wa kulondela malu onso aha kudi bantu ne bena communes (VBG, code de bonne conduite, MGP sensible aux VBG/EAS/HS, etc.) ;</w:t>
      </w:r>
    </w:p>
    <w:p w14:paraId="11096989" w14:textId="77777777" w:rsidR="005C5EB1" w:rsidRPr="00E4105B" w:rsidRDefault="005C5EB1" w:rsidP="002378EA">
      <w:pPr>
        <w:widowControl w:val="0"/>
        <w:numPr>
          <w:ilvl w:val="0"/>
          <w:numId w:val="68"/>
        </w:numPr>
        <w:autoSpaceDE w:val="0"/>
        <w:autoSpaceDN w:val="0"/>
        <w:rPr>
          <w:rFonts w:eastAsia="MS Mincho" w:cs="Arial"/>
          <w:szCs w:val="21"/>
        </w:rPr>
      </w:pPr>
      <w:r w:rsidRPr="00E4105B">
        <w:rPr>
          <w:rFonts w:eastAsia="MS Mincho" w:cs="Arial"/>
          <w:szCs w:val="21"/>
        </w:rPr>
        <w:t>Dilongolola dia malonga a mushindu wa kwenzela bintu bia nyungulukilu wa buloba ne nsombelu wa bantu bwa bena kompanyi yenzesha midimu ne bena mudimu babu ;</w:t>
      </w:r>
    </w:p>
    <w:p w14:paraId="31226E8F" w14:textId="77777777" w:rsidR="005C5EB1" w:rsidRPr="00E4105B" w:rsidRDefault="005C5EB1" w:rsidP="002378EA">
      <w:pPr>
        <w:widowControl w:val="0"/>
        <w:numPr>
          <w:ilvl w:val="0"/>
          <w:numId w:val="68"/>
        </w:numPr>
        <w:autoSpaceDE w:val="0"/>
        <w:autoSpaceDN w:val="0"/>
        <w:rPr>
          <w:rFonts w:eastAsia="MS Mincho" w:cs="Arial"/>
          <w:szCs w:val="21"/>
          <w:lang w:val="en-US"/>
        </w:rPr>
      </w:pPr>
      <w:r w:rsidRPr="00E4105B">
        <w:rPr>
          <w:rFonts w:eastAsia="MS Mincho" w:cs="Arial"/>
          <w:szCs w:val="21"/>
          <w:lang w:val="en-US"/>
        </w:rPr>
        <w:t>Dilongolola dia kasumbu ka malu a diepuka disama dia COVID-19;</w:t>
      </w:r>
    </w:p>
    <w:p w14:paraId="10F829DC" w14:textId="77777777" w:rsidR="005C5EB1" w:rsidRPr="00E4105B" w:rsidRDefault="005C5EB1" w:rsidP="002378EA">
      <w:pPr>
        <w:widowControl w:val="0"/>
        <w:numPr>
          <w:ilvl w:val="0"/>
          <w:numId w:val="68"/>
        </w:numPr>
        <w:autoSpaceDE w:val="0"/>
        <w:autoSpaceDN w:val="0"/>
        <w:rPr>
          <w:rFonts w:eastAsia="MS Mincho" w:cs="Arial"/>
          <w:szCs w:val="21"/>
        </w:rPr>
      </w:pPr>
      <w:r w:rsidRPr="00E4105B">
        <w:rPr>
          <w:rFonts w:eastAsia="MS Mincho" w:cs="Arial"/>
          <w:szCs w:val="21"/>
        </w:rPr>
        <w:t>Kulongolola mushindu wa kulondela malu a VBG ;</w:t>
      </w:r>
    </w:p>
    <w:p w14:paraId="1B6AA275" w14:textId="77777777" w:rsidR="005C5EB1" w:rsidRPr="00E4105B" w:rsidRDefault="005C5EB1" w:rsidP="002378EA">
      <w:pPr>
        <w:widowControl w:val="0"/>
        <w:numPr>
          <w:ilvl w:val="0"/>
          <w:numId w:val="68"/>
        </w:numPr>
        <w:autoSpaceDE w:val="0"/>
        <w:autoSpaceDN w:val="0"/>
        <w:rPr>
          <w:rFonts w:eastAsia="MS Mincho" w:cs="Arial"/>
          <w:szCs w:val="21"/>
        </w:rPr>
      </w:pPr>
      <w:r w:rsidRPr="00E4105B">
        <w:rPr>
          <w:rFonts w:eastAsia="MS Mincho" w:cs="Arial"/>
          <w:szCs w:val="21"/>
        </w:rPr>
        <w:t>Kubweja bana bakaji mu mudimu ewu pa bungi bwa 30 % bwa mudimu ewu wa PNDA ;</w:t>
      </w:r>
    </w:p>
    <w:p w14:paraId="64E72B8F" w14:textId="77777777" w:rsidR="005C5EB1" w:rsidRPr="00E4105B" w:rsidRDefault="005C5EB1" w:rsidP="002378EA">
      <w:pPr>
        <w:widowControl w:val="0"/>
        <w:numPr>
          <w:ilvl w:val="0"/>
          <w:numId w:val="68"/>
        </w:numPr>
        <w:autoSpaceDE w:val="0"/>
        <w:autoSpaceDN w:val="0"/>
        <w:rPr>
          <w:rFonts w:eastAsia="MS Mincho" w:cs="Arial"/>
          <w:szCs w:val="21"/>
        </w:rPr>
      </w:pPr>
      <w:r w:rsidRPr="00E4105B">
        <w:rPr>
          <w:rFonts w:eastAsia="MS Mincho" w:cs="Arial"/>
          <w:szCs w:val="21"/>
        </w:rPr>
        <w:t>Kunemeka bikole mukandu wa ditunga bwa aha adi atangidila mudi wa bana batekete udi mukandikibwe bwa bana ba mvula ya mwinshi mwa bidimu 18 ;</w:t>
      </w:r>
    </w:p>
    <w:p w14:paraId="137EEA9D" w14:textId="77777777" w:rsidR="005C5EB1" w:rsidRPr="00E4105B" w:rsidRDefault="005C5EB1" w:rsidP="002378EA">
      <w:pPr>
        <w:widowControl w:val="0"/>
        <w:numPr>
          <w:ilvl w:val="0"/>
          <w:numId w:val="68"/>
        </w:numPr>
        <w:autoSpaceDE w:val="0"/>
        <w:autoSpaceDN w:val="0"/>
        <w:rPr>
          <w:rFonts w:eastAsia="MS Mincho" w:cs="Arial"/>
          <w:szCs w:val="21"/>
        </w:rPr>
      </w:pPr>
      <w:r w:rsidRPr="00E4105B">
        <w:rPr>
          <w:rFonts w:eastAsia="MS Mincho" w:cs="Arial"/>
          <w:szCs w:val="21"/>
        </w:rPr>
        <w:t>Ditangila biakane malu a kabukulu mu miaba ya mudimu.</w:t>
      </w:r>
    </w:p>
    <w:p w14:paraId="06FB3E76" w14:textId="77777777" w:rsidR="005C5EB1" w:rsidRPr="00E4105B" w:rsidRDefault="005C5EB1" w:rsidP="005C5EB1">
      <w:pPr>
        <w:spacing w:line="240" w:lineRule="auto"/>
        <w:rPr>
          <w:rFonts w:cs="Arial"/>
          <w:szCs w:val="21"/>
        </w:rPr>
      </w:pPr>
    </w:p>
    <w:p w14:paraId="6F97FBE6" w14:textId="77777777" w:rsidR="005C5EB1" w:rsidRPr="00E4105B" w:rsidRDefault="005C5EB1" w:rsidP="005C5EB1">
      <w:pPr>
        <w:rPr>
          <w:rFonts w:cs="Arial"/>
          <w:szCs w:val="21"/>
        </w:rPr>
      </w:pPr>
      <w:r w:rsidRPr="00E4105B">
        <w:rPr>
          <w:rFonts w:cs="Arial"/>
          <w:szCs w:val="21"/>
        </w:rPr>
        <w:t>Mikanu yonso eyi idi isanganyibwa munkatshi mwa malonga a PCGES ikalabu na mwa kubweja mu mukanda wa mushindu wa kwenzesha mudimu.</w:t>
      </w:r>
    </w:p>
    <w:p w14:paraId="34A787E3" w14:textId="77777777" w:rsidR="005C5EB1" w:rsidRPr="00E4105B" w:rsidRDefault="005C5EB1" w:rsidP="005C5EB1">
      <w:pPr>
        <w:rPr>
          <w:rFonts w:cs="Arial"/>
          <w:bCs/>
          <w:szCs w:val="21"/>
        </w:rPr>
      </w:pPr>
    </w:p>
    <w:p w14:paraId="1A14E782" w14:textId="77777777" w:rsidR="005C5EB1" w:rsidRPr="00E4105B" w:rsidRDefault="005C5EB1" w:rsidP="005C5EB1">
      <w:pPr>
        <w:rPr>
          <w:rFonts w:cs="Arial"/>
          <w:i/>
          <w:szCs w:val="21"/>
          <w:u w:val="single"/>
          <w:lang w:bidi="fr-FR"/>
        </w:rPr>
      </w:pPr>
      <w:r w:rsidRPr="00E4105B">
        <w:rPr>
          <w:rFonts w:cs="Arial"/>
          <w:i/>
          <w:szCs w:val="21"/>
          <w:u w:val="single"/>
          <w:lang w:bidi="fr-FR"/>
        </w:rPr>
        <w:t>5.1. Mushindu wa kwenzela bintu bia nyungulukilu wa buloba ne nsombelu wa bantu mudimu yenzekibwa</w:t>
      </w:r>
    </w:p>
    <w:p w14:paraId="2F022A1D" w14:textId="77777777" w:rsidR="005C5EB1" w:rsidRPr="00E4105B" w:rsidRDefault="005C5EB1" w:rsidP="005C5EB1">
      <w:pPr>
        <w:rPr>
          <w:rFonts w:cs="Arial"/>
          <w:szCs w:val="21"/>
        </w:rPr>
      </w:pPr>
    </w:p>
    <w:p w14:paraId="011663BF" w14:textId="77777777" w:rsidR="005C5EB1" w:rsidRPr="00E4105B" w:rsidRDefault="005C5EB1" w:rsidP="005C5EB1">
      <w:pPr>
        <w:rPr>
          <w:rFonts w:eastAsia="Calibri" w:cs="Arial"/>
          <w:bCs/>
          <w:szCs w:val="21"/>
        </w:rPr>
      </w:pPr>
      <w:r w:rsidRPr="00E4105B">
        <w:rPr>
          <w:rFonts w:eastAsia="Calibri" w:cs="Arial"/>
          <w:bCs/>
          <w:szCs w:val="21"/>
        </w:rPr>
        <w:t xml:space="preserve">Malonga aha a CGES adi aleja munkatshi mwawu mushindu udi mwa kusungula malu bintu bia nyungulikilu wa buloba ne nsombelu wa bantu bwa midimu yenzeka ne mpetu ya </w:t>
      </w:r>
      <w:r w:rsidRPr="00E4105B">
        <w:rPr>
          <w:rFonts w:cs="Arial"/>
          <w:bCs/>
          <w:szCs w:val="21"/>
        </w:rPr>
        <w:t>PNDA</w:t>
      </w:r>
      <w:r w:rsidRPr="00E4105B">
        <w:rPr>
          <w:rFonts w:eastAsia="Calibri" w:cs="Arial"/>
          <w:bCs/>
          <w:szCs w:val="21"/>
        </w:rPr>
        <w:t>, adi aleja mudi mwa kulondela malomba a meyi ne mikandu ya ditunga ne a politki ya Banque Mondiale. Bitupa biakulondela ke bidi bilonda ebi :</w:t>
      </w:r>
    </w:p>
    <w:p w14:paraId="52FD3542" w14:textId="77777777" w:rsidR="005C5EB1" w:rsidRPr="00E4105B" w:rsidRDefault="005C5EB1" w:rsidP="005C5EB1">
      <w:pPr>
        <w:rPr>
          <w:rFonts w:eastAsia="Calibri" w:cs="Arial"/>
          <w:bCs/>
          <w:szCs w:val="21"/>
        </w:rPr>
      </w:pPr>
    </w:p>
    <w:p w14:paraId="757AFFEC" w14:textId="77777777" w:rsidR="005C5EB1" w:rsidRPr="00E4105B" w:rsidRDefault="005C5EB1" w:rsidP="005C5EB1">
      <w:pPr>
        <w:rPr>
          <w:rFonts w:eastAsia="Calibri" w:cs="Arial"/>
          <w:bCs/>
          <w:szCs w:val="21"/>
          <w:u w:val="single"/>
        </w:rPr>
      </w:pPr>
      <w:r w:rsidRPr="00E4105B">
        <w:rPr>
          <w:rFonts w:eastAsia="Calibri" w:cs="Arial"/>
          <w:bCs/>
          <w:szCs w:val="21"/>
          <w:u w:val="single"/>
        </w:rPr>
        <w:t>Disungula dia midimu</w:t>
      </w:r>
    </w:p>
    <w:p w14:paraId="0AB8F95F" w14:textId="77777777" w:rsidR="005C5EB1" w:rsidRPr="00E4105B" w:rsidRDefault="005C5EB1" w:rsidP="005C5EB1">
      <w:pPr>
        <w:rPr>
          <w:rFonts w:eastAsia="Calibri" w:cs="Arial"/>
          <w:bCs/>
          <w:szCs w:val="21"/>
          <w:u w:val="single"/>
        </w:rPr>
      </w:pPr>
    </w:p>
    <w:p w14:paraId="75437611" w14:textId="77777777" w:rsidR="005C5EB1" w:rsidRPr="00E4105B" w:rsidRDefault="005C5EB1" w:rsidP="002378EA">
      <w:pPr>
        <w:numPr>
          <w:ilvl w:val="0"/>
          <w:numId w:val="153"/>
        </w:numPr>
        <w:tabs>
          <w:tab w:val="left" w:pos="0"/>
        </w:tabs>
        <w:rPr>
          <w:rFonts w:cs="Arial"/>
          <w:szCs w:val="21"/>
        </w:rPr>
      </w:pPr>
      <w:r w:rsidRPr="00E4105B">
        <w:rPr>
          <w:rFonts w:cs="Arial"/>
          <w:szCs w:val="21"/>
        </w:rPr>
        <w:t>Dimweneqha dia mwaba wa midimu ne ngikadilu wa midimu ;</w:t>
      </w:r>
    </w:p>
    <w:p w14:paraId="38157219" w14:textId="77777777" w:rsidR="005C5EB1" w:rsidRPr="00E4105B" w:rsidRDefault="005C5EB1" w:rsidP="002378EA">
      <w:pPr>
        <w:numPr>
          <w:ilvl w:val="0"/>
          <w:numId w:val="153"/>
        </w:numPr>
        <w:tabs>
          <w:tab w:val="left" w:pos="0"/>
        </w:tabs>
        <w:rPr>
          <w:rFonts w:cs="Arial"/>
          <w:szCs w:val="21"/>
        </w:rPr>
      </w:pPr>
      <w:r w:rsidRPr="00E4105B">
        <w:rPr>
          <w:rFonts w:cs="Arial"/>
          <w:szCs w:val="21"/>
        </w:rPr>
        <w:t xml:space="preserve">Disungula dia bintu bia malu a bintu bua nyungulukilu wa buloba ne nsombelu wa bukwa bantu (Screening-remplissage des formulaires), ne dimwanesha njiwu bwa bintu bia nyungulukilu wa buloba ne nsombelu wa bukwa bantu, ne bintu biambulwisha bwa kwepuka bibangu ne njiwu bia kulongolola ; </w:t>
      </w:r>
    </w:p>
    <w:p w14:paraId="29C6EFBE" w14:textId="77777777" w:rsidR="005C5EB1" w:rsidRPr="00E4105B" w:rsidRDefault="005C5EB1" w:rsidP="002378EA">
      <w:pPr>
        <w:numPr>
          <w:ilvl w:val="0"/>
          <w:numId w:val="153"/>
        </w:numPr>
        <w:tabs>
          <w:tab w:val="left" w:pos="0"/>
        </w:tabs>
        <w:rPr>
          <w:rFonts w:cs="Arial"/>
          <w:szCs w:val="21"/>
        </w:rPr>
      </w:pPr>
      <w:r w:rsidRPr="00E4105B">
        <w:rPr>
          <w:rFonts w:cs="Arial"/>
          <w:szCs w:val="21"/>
        </w:rPr>
        <w:t>Ditabuja dia ndongolwelu.</w:t>
      </w:r>
    </w:p>
    <w:p w14:paraId="4FE80A83" w14:textId="77777777" w:rsidR="005C5EB1" w:rsidRPr="00E4105B" w:rsidRDefault="005C5EB1" w:rsidP="005C5EB1">
      <w:pPr>
        <w:rPr>
          <w:rFonts w:cs="Arial"/>
          <w:szCs w:val="21"/>
        </w:rPr>
      </w:pPr>
    </w:p>
    <w:p w14:paraId="13E8302A" w14:textId="77777777" w:rsidR="005C5EB1" w:rsidRPr="00E4105B" w:rsidRDefault="005C5EB1" w:rsidP="005C5EB1">
      <w:pPr>
        <w:rPr>
          <w:rFonts w:cs="Arial"/>
          <w:szCs w:val="21"/>
          <w:u w:val="single"/>
        </w:rPr>
      </w:pPr>
      <w:r w:rsidRPr="00E4105B">
        <w:rPr>
          <w:rFonts w:cs="Arial"/>
          <w:szCs w:val="21"/>
          <w:u w:val="single"/>
        </w:rPr>
        <w:t xml:space="preserve">Dileja dia diambulwisha bwa mushindu wa kwenzela bibangu bia midimu pa bintu bia nyungulukilu wa buloba ne nsombelu wa bukwa bantu </w:t>
      </w:r>
    </w:p>
    <w:p w14:paraId="4D8C764D" w14:textId="77777777" w:rsidR="005C5EB1" w:rsidRPr="00E4105B" w:rsidRDefault="005C5EB1" w:rsidP="005C5EB1">
      <w:pPr>
        <w:rPr>
          <w:rFonts w:cs="Arial"/>
          <w:szCs w:val="21"/>
          <w:u w:val="single"/>
        </w:rPr>
      </w:pPr>
    </w:p>
    <w:p w14:paraId="20A346E9" w14:textId="77777777" w:rsidR="005C5EB1" w:rsidRPr="00E4105B" w:rsidRDefault="005C5EB1" w:rsidP="002378EA">
      <w:pPr>
        <w:numPr>
          <w:ilvl w:val="0"/>
          <w:numId w:val="153"/>
        </w:numPr>
        <w:tabs>
          <w:tab w:val="left" w:pos="0"/>
        </w:tabs>
        <w:rPr>
          <w:rFonts w:cs="Arial"/>
          <w:szCs w:val="21"/>
        </w:rPr>
      </w:pPr>
      <w:r w:rsidRPr="00E4105B">
        <w:rPr>
          <w:rFonts w:cs="Arial"/>
          <w:szCs w:val="21"/>
        </w:rPr>
        <w:t>Dilongolola ne ditabuja dia mukanda wa kolonda anyi TDR ;</w:t>
      </w:r>
    </w:p>
    <w:p w14:paraId="32E41171" w14:textId="77777777" w:rsidR="005C5EB1" w:rsidRPr="00E4105B" w:rsidRDefault="005C5EB1" w:rsidP="002378EA">
      <w:pPr>
        <w:numPr>
          <w:ilvl w:val="0"/>
          <w:numId w:val="153"/>
        </w:numPr>
        <w:tabs>
          <w:tab w:val="left" w:pos="0"/>
        </w:tabs>
        <w:rPr>
          <w:rFonts w:cs="Arial"/>
          <w:szCs w:val="21"/>
        </w:rPr>
      </w:pPr>
      <w:r w:rsidRPr="00E4105B">
        <w:rPr>
          <w:rFonts w:cs="Arial"/>
          <w:szCs w:val="21"/>
        </w:rPr>
        <w:t>Dilongolola dia mifundu ya malonga ne miyuki ne bantu (bénéficiaires, personnes affectées, parties prenantes) ;</w:t>
      </w:r>
    </w:p>
    <w:p w14:paraId="727DE9C0" w14:textId="77777777" w:rsidR="005C5EB1" w:rsidRPr="00E4105B" w:rsidRDefault="005C5EB1" w:rsidP="002378EA">
      <w:pPr>
        <w:numPr>
          <w:ilvl w:val="0"/>
          <w:numId w:val="153"/>
        </w:numPr>
        <w:rPr>
          <w:rFonts w:cs="Arial"/>
          <w:szCs w:val="21"/>
        </w:rPr>
      </w:pPr>
      <w:r w:rsidRPr="00E4105B">
        <w:rPr>
          <w:rFonts w:cs="Arial"/>
          <w:szCs w:val="21"/>
        </w:rPr>
        <w:t>Ditabuja dia mifundu ne dipeta dia mukanda wa Mbulamatadi wa certificat environnemental ;</w:t>
      </w:r>
    </w:p>
    <w:p w14:paraId="637D5273" w14:textId="77777777" w:rsidR="005C5EB1" w:rsidRPr="00E4105B" w:rsidRDefault="005C5EB1" w:rsidP="002378EA">
      <w:pPr>
        <w:numPr>
          <w:ilvl w:val="0"/>
          <w:numId w:val="153"/>
        </w:numPr>
        <w:rPr>
          <w:rFonts w:cs="Arial"/>
          <w:szCs w:val="21"/>
        </w:rPr>
      </w:pPr>
      <w:r w:rsidRPr="00E4105B">
        <w:rPr>
          <w:rFonts w:cs="Arial"/>
          <w:szCs w:val="21"/>
        </w:rPr>
        <w:t>Dipatula dia mifundu anyi malonga ;</w:t>
      </w:r>
    </w:p>
    <w:p w14:paraId="59D0EE9A" w14:textId="77777777" w:rsidR="005C5EB1" w:rsidRPr="00E4105B" w:rsidRDefault="005C5EB1" w:rsidP="002378EA">
      <w:pPr>
        <w:numPr>
          <w:ilvl w:val="0"/>
          <w:numId w:val="153"/>
        </w:numPr>
        <w:rPr>
          <w:rFonts w:cs="Arial"/>
          <w:szCs w:val="21"/>
        </w:rPr>
      </w:pPr>
      <w:r w:rsidRPr="00E4105B">
        <w:rPr>
          <w:rFonts w:cs="Arial"/>
          <w:szCs w:val="21"/>
        </w:rPr>
        <w:t>Dibweja munkatshi mwa mukanda wa dibikala bwa mudimu (DAO) wa midimudu, dia malu onso akutangidila bintu bia nyungulukilu wa buloba ne nsombelu wa bantu bidi kompanyi wa mudimu ne bwa kulonda ne ntema yonso ;</w:t>
      </w:r>
    </w:p>
    <w:p w14:paraId="3F5E6835" w14:textId="77777777" w:rsidR="005C5EB1" w:rsidRPr="00E4105B" w:rsidRDefault="005C5EB1" w:rsidP="002378EA">
      <w:pPr>
        <w:numPr>
          <w:ilvl w:val="0"/>
          <w:numId w:val="153"/>
        </w:numPr>
        <w:rPr>
          <w:rFonts w:cs="Arial"/>
          <w:szCs w:val="21"/>
        </w:rPr>
      </w:pPr>
      <w:r w:rsidRPr="00E4105B">
        <w:rPr>
          <w:rFonts w:cs="Arial"/>
          <w:szCs w:val="21"/>
        </w:rPr>
        <w:t>Ditabuja dia PGES wa kompanyi ne bena bureau de contrôle ;</w:t>
      </w:r>
    </w:p>
    <w:p w14:paraId="23D08010" w14:textId="77777777" w:rsidR="005C5EB1" w:rsidRPr="00E4105B" w:rsidRDefault="005C5EB1" w:rsidP="002378EA">
      <w:pPr>
        <w:numPr>
          <w:ilvl w:val="0"/>
          <w:numId w:val="153"/>
        </w:numPr>
        <w:rPr>
          <w:rFonts w:cs="Arial"/>
          <w:szCs w:val="21"/>
        </w:rPr>
      </w:pPr>
      <w:r w:rsidRPr="00E4105B">
        <w:rPr>
          <w:rFonts w:cs="Arial"/>
          <w:szCs w:val="21"/>
        </w:rPr>
        <w:t>Dienzela mikanu ya diunvwangana ne bena kompanyi wa dibaka ;</w:t>
      </w:r>
    </w:p>
    <w:p w14:paraId="10CDB23E" w14:textId="77777777" w:rsidR="005C5EB1" w:rsidRPr="00E4105B" w:rsidRDefault="005C5EB1" w:rsidP="002378EA">
      <w:pPr>
        <w:numPr>
          <w:ilvl w:val="0"/>
          <w:numId w:val="153"/>
        </w:numPr>
        <w:rPr>
          <w:rFonts w:cs="Arial"/>
          <w:szCs w:val="21"/>
        </w:rPr>
      </w:pPr>
      <w:r w:rsidRPr="00E4105B">
        <w:rPr>
          <w:rFonts w:cs="Arial"/>
          <w:szCs w:val="21"/>
        </w:rPr>
        <w:t>Ditangidila midimu dia munda ne dia pambelu pa kompanyi dia mushindu udi mikanu ya malu a bintu bia nyungulukilu wa buloba ne nsombelu wa bantu ilondeshibwa ;</w:t>
      </w:r>
    </w:p>
    <w:p w14:paraId="3E3BB27D" w14:textId="77777777" w:rsidR="005C5EB1" w:rsidRPr="00E4105B" w:rsidRDefault="005C5EB1" w:rsidP="002378EA">
      <w:pPr>
        <w:numPr>
          <w:ilvl w:val="0"/>
          <w:numId w:val="153"/>
        </w:numPr>
        <w:rPr>
          <w:rFonts w:cs="Arial"/>
          <w:szCs w:val="21"/>
        </w:rPr>
      </w:pPr>
      <w:r w:rsidRPr="00E4105B">
        <w:rPr>
          <w:rFonts w:cs="Arial"/>
          <w:szCs w:val="21"/>
        </w:rPr>
        <w:t>Dipatula dia lapolo wa dilondela  (wa munda ne wa pambelu) ;</w:t>
      </w:r>
    </w:p>
    <w:p w14:paraId="133B4792" w14:textId="77777777" w:rsidR="005C5EB1" w:rsidRPr="00E4105B" w:rsidRDefault="005C5EB1" w:rsidP="002378EA">
      <w:pPr>
        <w:numPr>
          <w:ilvl w:val="0"/>
          <w:numId w:val="153"/>
        </w:numPr>
        <w:rPr>
          <w:rFonts w:cs="Arial"/>
          <w:szCs w:val="21"/>
        </w:rPr>
      </w:pPr>
      <w:r w:rsidRPr="00E4105B">
        <w:rPr>
          <w:rFonts w:cs="Arial"/>
          <w:szCs w:val="21"/>
        </w:rPr>
        <w:t>Dilondela dia malu a bintu bia nyungulukilu wa buloba ne nsombelu wa bantu (dia munda ne dia pambelu) ;</w:t>
      </w:r>
    </w:p>
    <w:p w14:paraId="64355D91" w14:textId="77777777" w:rsidR="005C5EB1" w:rsidRPr="00E4105B" w:rsidRDefault="005C5EB1" w:rsidP="002378EA">
      <w:pPr>
        <w:numPr>
          <w:ilvl w:val="0"/>
          <w:numId w:val="153"/>
        </w:numPr>
        <w:rPr>
          <w:rFonts w:cs="Arial"/>
          <w:szCs w:val="21"/>
        </w:rPr>
      </w:pPr>
      <w:r w:rsidRPr="00E4105B">
        <w:rPr>
          <w:rFonts w:cs="Arial"/>
          <w:szCs w:val="21"/>
        </w:rPr>
        <w:t>Dipatula lapolo lwa dilonda edi (dia munda ne dia pambelu) ;</w:t>
      </w:r>
    </w:p>
    <w:p w14:paraId="6E535FFC" w14:textId="77777777" w:rsidR="005C5EB1" w:rsidRPr="00E4105B" w:rsidRDefault="005C5EB1" w:rsidP="002378EA">
      <w:pPr>
        <w:numPr>
          <w:ilvl w:val="0"/>
          <w:numId w:val="153"/>
        </w:numPr>
        <w:rPr>
          <w:rFonts w:cs="Arial"/>
          <w:szCs w:val="21"/>
        </w:rPr>
      </w:pPr>
      <w:r w:rsidRPr="00E4105B">
        <w:rPr>
          <w:rFonts w:cs="Arial"/>
          <w:szCs w:val="21"/>
        </w:rPr>
        <w:t>Dikolesha menji a aba bonso benzela mushindu wa kulondela bintu bia nyungulukilu wa buloba ne nsombelu wa bukwa bantu (PGES) ;</w:t>
      </w:r>
    </w:p>
    <w:p w14:paraId="0F963E5C" w14:textId="77777777" w:rsidR="005C5EB1" w:rsidRPr="00E4105B" w:rsidRDefault="005C5EB1" w:rsidP="002378EA">
      <w:pPr>
        <w:numPr>
          <w:ilvl w:val="0"/>
          <w:numId w:val="153"/>
        </w:numPr>
        <w:tabs>
          <w:tab w:val="left" w:pos="0"/>
        </w:tabs>
        <w:spacing w:line="240" w:lineRule="auto"/>
        <w:rPr>
          <w:rFonts w:cs="Arial"/>
          <w:szCs w:val="21"/>
        </w:rPr>
      </w:pPr>
      <w:r w:rsidRPr="00E4105B">
        <w:rPr>
          <w:rFonts w:cs="Arial"/>
          <w:szCs w:val="21"/>
        </w:rPr>
        <w:t xml:space="preserve">Ditangidla dienzela dia mikanu ya kutangidila bintu bia nyungulukilu wa buloba ne nsombelu wa bukwa bantu. </w:t>
      </w:r>
    </w:p>
    <w:p w14:paraId="11E313FC" w14:textId="77777777" w:rsidR="005C5EB1" w:rsidRPr="00E4105B" w:rsidRDefault="005C5EB1" w:rsidP="005C5EB1">
      <w:pPr>
        <w:tabs>
          <w:tab w:val="left" w:pos="0"/>
        </w:tabs>
        <w:spacing w:line="240" w:lineRule="auto"/>
        <w:ind w:left="720"/>
        <w:rPr>
          <w:rFonts w:cs="Arial"/>
          <w:szCs w:val="21"/>
        </w:rPr>
      </w:pPr>
    </w:p>
    <w:p w14:paraId="4F8265BD" w14:textId="77777777" w:rsidR="005C5EB1" w:rsidRPr="00E4105B" w:rsidRDefault="005C5EB1" w:rsidP="005C5EB1">
      <w:pPr>
        <w:spacing w:line="240" w:lineRule="auto"/>
        <w:ind w:left="360"/>
        <w:rPr>
          <w:rFonts w:cs="Arial"/>
          <w:i/>
          <w:szCs w:val="21"/>
          <w:u w:val="single"/>
        </w:rPr>
      </w:pPr>
      <w:r w:rsidRPr="00E4105B">
        <w:rPr>
          <w:rFonts w:cs="Arial"/>
          <w:i/>
          <w:szCs w:val="21"/>
        </w:rPr>
        <w:t xml:space="preserve">5.2. </w:t>
      </w:r>
      <w:r w:rsidRPr="00E4105B">
        <w:rPr>
          <w:rFonts w:cs="Arial"/>
          <w:i/>
          <w:szCs w:val="21"/>
          <w:u w:val="single"/>
        </w:rPr>
        <w:t xml:space="preserve">Bilejelu bia dienzela mifundu ya CGES </w:t>
      </w:r>
    </w:p>
    <w:p w14:paraId="5885F088" w14:textId="77777777" w:rsidR="005C5EB1" w:rsidRPr="00E4105B" w:rsidRDefault="005C5EB1" w:rsidP="005C5EB1">
      <w:pPr>
        <w:spacing w:line="240" w:lineRule="auto"/>
        <w:rPr>
          <w:rFonts w:eastAsia="Calibri" w:cs="Arial"/>
          <w:bCs/>
          <w:szCs w:val="21"/>
        </w:rPr>
      </w:pPr>
    </w:p>
    <w:p w14:paraId="25696853" w14:textId="1CCA8027" w:rsidR="005C5EB1" w:rsidRPr="00E4105B" w:rsidRDefault="005C5EB1" w:rsidP="005C5EB1">
      <w:pPr>
        <w:spacing w:line="240" w:lineRule="auto"/>
        <w:rPr>
          <w:rFonts w:cs="Arial"/>
          <w:bCs/>
          <w:szCs w:val="21"/>
        </w:rPr>
      </w:pPr>
      <w:r w:rsidRPr="00E4105B">
        <w:rPr>
          <w:rFonts w:eastAsia="Calibri" w:cs="Arial"/>
          <w:bCs/>
          <w:szCs w:val="21"/>
        </w:rPr>
        <w:t>Mushindu wakulondela ne umweneshe malu adi ne tshakulondibwa, mapangidika bwa ku alondela, ne nganyi udi ne bukokeshi bwa ku alondela,</w:t>
      </w:r>
      <w:r w:rsidR="00A06B8B">
        <w:rPr>
          <w:rFonts w:eastAsia="Calibri" w:cs="Arial"/>
          <w:bCs/>
          <w:szCs w:val="21"/>
        </w:rPr>
        <w:t xml:space="preserve"> ne tshikondo tsha ku alondela. </w:t>
      </w:r>
      <w:r w:rsidRPr="00E4105B">
        <w:rPr>
          <w:rFonts w:eastAsia="Calibri" w:cs="Arial"/>
          <w:bCs/>
          <w:szCs w:val="21"/>
        </w:rPr>
        <w:t xml:space="preserve">Kebwalu kayi, bimanyinu ne bilejelu bidi biangatshibwa kebidi bilonda ebi : </w:t>
      </w:r>
    </w:p>
    <w:p w14:paraId="57D4069A" w14:textId="77777777" w:rsidR="005C5EB1" w:rsidRPr="00E4105B" w:rsidRDefault="005C5EB1" w:rsidP="005C5EB1">
      <w:pPr>
        <w:spacing w:line="240" w:lineRule="auto"/>
        <w:rPr>
          <w:rFonts w:cs="Arial"/>
          <w:bCs/>
          <w:szCs w:val="21"/>
        </w:rPr>
      </w:pPr>
    </w:p>
    <w:p w14:paraId="7C0E2299" w14:textId="77777777" w:rsidR="005C5EB1" w:rsidRPr="00E4105B" w:rsidRDefault="005C5EB1" w:rsidP="002378EA">
      <w:pPr>
        <w:numPr>
          <w:ilvl w:val="0"/>
          <w:numId w:val="28"/>
        </w:numPr>
        <w:autoSpaceDE w:val="0"/>
        <w:autoSpaceDN w:val="0"/>
        <w:adjustRightInd w:val="0"/>
        <w:rPr>
          <w:rFonts w:eastAsia="Calibri" w:cs="Arial"/>
          <w:szCs w:val="21"/>
        </w:rPr>
      </w:pPr>
      <w:r w:rsidRPr="00E4105B">
        <w:rPr>
          <w:rFonts w:eastAsia="Calibri" w:cs="Arial"/>
          <w:szCs w:val="21"/>
        </w:rPr>
        <w:t xml:space="preserve">biludiki bia kulondela kudi kasumbu ka dilombola dia mudimu ; </w:t>
      </w:r>
    </w:p>
    <w:p w14:paraId="455253EC" w14:textId="77777777" w:rsidR="005C5EB1" w:rsidRPr="00E4105B" w:rsidRDefault="005C5EB1" w:rsidP="002378EA">
      <w:pPr>
        <w:numPr>
          <w:ilvl w:val="0"/>
          <w:numId w:val="28"/>
        </w:numPr>
        <w:autoSpaceDE w:val="0"/>
        <w:autoSpaceDN w:val="0"/>
        <w:adjustRightInd w:val="0"/>
        <w:rPr>
          <w:rFonts w:eastAsia="Calibri" w:cs="Arial"/>
          <w:szCs w:val="21"/>
        </w:rPr>
      </w:pPr>
      <w:r w:rsidRPr="00E4105B">
        <w:rPr>
          <w:rFonts w:eastAsia="Calibri" w:cs="Arial"/>
          <w:szCs w:val="21"/>
        </w:rPr>
        <w:t>dienjibwa dia disungula dia malu a bintu bia nyungulukilu wa buloba ne nsombelu wa bantu (Screening) bwa midimu yonso ;</w:t>
      </w:r>
    </w:p>
    <w:p w14:paraId="026A66D2" w14:textId="77777777" w:rsidR="005C5EB1" w:rsidRPr="00E4105B" w:rsidRDefault="005C5EB1" w:rsidP="002378EA">
      <w:pPr>
        <w:numPr>
          <w:ilvl w:val="0"/>
          <w:numId w:val="28"/>
        </w:numPr>
        <w:autoSpaceDE w:val="0"/>
        <w:autoSpaceDN w:val="0"/>
        <w:adjustRightInd w:val="0"/>
        <w:rPr>
          <w:rFonts w:eastAsia="Calibri" w:cs="Arial"/>
          <w:szCs w:val="21"/>
        </w:rPr>
      </w:pPr>
      <w:r w:rsidRPr="00E4105B">
        <w:rPr>
          <w:rFonts w:eastAsia="Calibri" w:cs="Arial"/>
          <w:szCs w:val="21"/>
        </w:rPr>
        <w:t>dienjibwa dia bulondedi malu a bintu bia nyungulukilu wa buloba ne nsombelu wa bantu ne difunda dia lapolo « reporting » ;</w:t>
      </w:r>
    </w:p>
    <w:p w14:paraId="46F730D9" w14:textId="77777777" w:rsidR="005C5EB1" w:rsidRPr="00E4105B" w:rsidRDefault="005C5EB1" w:rsidP="002378EA">
      <w:pPr>
        <w:numPr>
          <w:ilvl w:val="0"/>
          <w:numId w:val="28"/>
        </w:numPr>
        <w:autoSpaceDE w:val="0"/>
        <w:autoSpaceDN w:val="0"/>
        <w:adjustRightInd w:val="0"/>
        <w:rPr>
          <w:rFonts w:eastAsia="Calibri" w:cs="Arial"/>
          <w:szCs w:val="21"/>
        </w:rPr>
      </w:pPr>
      <w:r w:rsidRPr="00E4105B">
        <w:rPr>
          <w:rFonts w:eastAsia="Calibri" w:cs="Arial"/>
          <w:szCs w:val="21"/>
        </w:rPr>
        <w:t>Ditumikila malongolola a dimanyisha ne disopesha bantu bwa malu adi munda mwa malonga a CGES ;</w:t>
      </w:r>
    </w:p>
    <w:p w14:paraId="1419D545" w14:textId="77777777" w:rsidR="005C5EB1" w:rsidRPr="00E4105B" w:rsidRDefault="005C5EB1" w:rsidP="002378EA">
      <w:pPr>
        <w:numPr>
          <w:ilvl w:val="0"/>
          <w:numId w:val="28"/>
        </w:numPr>
        <w:autoSpaceDE w:val="0"/>
        <w:autoSpaceDN w:val="0"/>
        <w:adjustRightInd w:val="0"/>
        <w:rPr>
          <w:rFonts w:eastAsia="Calibri" w:cs="Arial"/>
          <w:szCs w:val="21"/>
        </w:rPr>
      </w:pPr>
      <w:r w:rsidRPr="00E4105B">
        <w:rPr>
          <w:rFonts w:eastAsia="Calibri" w:cs="Arial"/>
          <w:szCs w:val="21"/>
        </w:rPr>
        <w:t>biludiki bia kulonda bwa SSE ne kabidi bwa SSS/PNDA ;</w:t>
      </w:r>
    </w:p>
    <w:p w14:paraId="3E1779C7" w14:textId="77777777" w:rsidR="005C5EB1" w:rsidRPr="00E4105B" w:rsidRDefault="005C5EB1" w:rsidP="002378EA">
      <w:pPr>
        <w:numPr>
          <w:ilvl w:val="0"/>
          <w:numId w:val="28"/>
        </w:numPr>
        <w:autoSpaceDE w:val="0"/>
        <w:autoSpaceDN w:val="0"/>
        <w:adjustRightInd w:val="0"/>
        <w:rPr>
          <w:rFonts w:eastAsia="Calibri" w:cs="Arial"/>
          <w:szCs w:val="21"/>
        </w:rPr>
      </w:pPr>
      <w:r w:rsidRPr="00E4105B">
        <w:rPr>
          <w:rFonts w:eastAsia="Calibri" w:cs="Arial"/>
          <w:szCs w:val="21"/>
        </w:rPr>
        <w:t>dibweja dia malu a bintu bia nyungulukilu wa buloba ne nsombelu wa bantu mu mifundu ya dienzesha mudimu ;</w:t>
      </w:r>
    </w:p>
    <w:p w14:paraId="25A7AC99" w14:textId="77777777" w:rsidR="005C5EB1" w:rsidRPr="00E4105B" w:rsidRDefault="005C5EB1" w:rsidP="002378EA">
      <w:pPr>
        <w:numPr>
          <w:ilvl w:val="0"/>
          <w:numId w:val="28"/>
        </w:numPr>
        <w:autoSpaceDE w:val="0"/>
        <w:autoSpaceDN w:val="0"/>
        <w:adjustRightInd w:val="0"/>
        <w:rPr>
          <w:rFonts w:eastAsia="Calibri" w:cs="Arial"/>
          <w:szCs w:val="21"/>
        </w:rPr>
      </w:pPr>
      <w:r w:rsidRPr="00E4105B">
        <w:rPr>
          <w:rFonts w:eastAsia="Calibri" w:cs="Arial"/>
          <w:szCs w:val="21"/>
        </w:rPr>
        <w:t>bungi bwa kompanyi idi inemeka malu a bintu bia nyungulukilu wa buloba ne nsombelu wa bantu mu midimu yabu ;</w:t>
      </w:r>
    </w:p>
    <w:p w14:paraId="2C95333D" w14:textId="77777777" w:rsidR="005C5EB1" w:rsidRPr="00E4105B" w:rsidRDefault="005C5EB1" w:rsidP="002378EA">
      <w:pPr>
        <w:numPr>
          <w:ilvl w:val="0"/>
          <w:numId w:val="28"/>
        </w:numPr>
        <w:autoSpaceDE w:val="0"/>
        <w:autoSpaceDN w:val="0"/>
        <w:adjustRightInd w:val="0"/>
        <w:rPr>
          <w:rFonts w:eastAsia="Calibri" w:cs="Arial"/>
          <w:szCs w:val="21"/>
        </w:rPr>
      </w:pPr>
      <w:r w:rsidRPr="00E4105B">
        <w:rPr>
          <w:rFonts w:eastAsia="Calibri" w:cs="Arial"/>
          <w:szCs w:val="21"/>
        </w:rPr>
        <w:t>bungi bwa bantu balongesha ne ba sopesha bwa malu a bintu bia nyungulukilu wa buloba ne nsombelu wa bantu ;</w:t>
      </w:r>
    </w:p>
    <w:p w14:paraId="72DB73D6" w14:textId="77777777" w:rsidR="005C5EB1" w:rsidRPr="00E4105B" w:rsidRDefault="005C5EB1" w:rsidP="002378EA">
      <w:pPr>
        <w:numPr>
          <w:ilvl w:val="0"/>
          <w:numId w:val="28"/>
        </w:numPr>
        <w:autoSpaceDE w:val="0"/>
        <w:autoSpaceDN w:val="0"/>
        <w:adjustRightInd w:val="0"/>
        <w:rPr>
          <w:rFonts w:eastAsia="Calibri" w:cs="Arial"/>
          <w:szCs w:val="21"/>
        </w:rPr>
      </w:pPr>
      <w:r w:rsidRPr="00E4105B">
        <w:rPr>
          <w:rFonts w:eastAsia="Calibri" w:cs="Arial"/>
          <w:szCs w:val="21"/>
        </w:rPr>
        <w:t>Mushindu wa didipesha dia bena CPE mu mudimu wa dilondela dienzesha dia midimu;</w:t>
      </w:r>
    </w:p>
    <w:p w14:paraId="67F7E049" w14:textId="77777777" w:rsidR="005C5EB1" w:rsidRPr="00E4105B" w:rsidRDefault="005C5EB1" w:rsidP="002378EA">
      <w:pPr>
        <w:numPr>
          <w:ilvl w:val="0"/>
          <w:numId w:val="28"/>
        </w:numPr>
        <w:autoSpaceDE w:val="0"/>
        <w:autoSpaceDN w:val="0"/>
        <w:adjustRightInd w:val="0"/>
        <w:rPr>
          <w:rFonts w:eastAsia="Calibri" w:cs="Arial"/>
          <w:szCs w:val="21"/>
        </w:rPr>
      </w:pPr>
      <w:r w:rsidRPr="00E4105B">
        <w:rPr>
          <w:rFonts w:eastAsia="Calibri" w:cs="Arial"/>
          <w:szCs w:val="21"/>
        </w:rPr>
        <w:t>bungi bwa bisangilu bia disopesha ne dimanyisha bantu ;</w:t>
      </w:r>
    </w:p>
    <w:p w14:paraId="2B6440FD" w14:textId="77777777" w:rsidR="005C5EB1" w:rsidRPr="00E4105B" w:rsidRDefault="005C5EB1" w:rsidP="002378EA">
      <w:pPr>
        <w:numPr>
          <w:ilvl w:val="0"/>
          <w:numId w:val="28"/>
        </w:numPr>
        <w:autoSpaceDE w:val="0"/>
        <w:autoSpaceDN w:val="0"/>
        <w:adjustRightInd w:val="0"/>
        <w:rPr>
          <w:rFonts w:eastAsia="Calibri" w:cs="Arial"/>
          <w:szCs w:val="21"/>
        </w:rPr>
      </w:pPr>
      <w:r w:rsidRPr="00E4105B">
        <w:rPr>
          <w:rFonts w:eastAsia="Calibri" w:cs="Arial"/>
          <w:szCs w:val="21"/>
        </w:rPr>
        <w:t>Dilondela dia midimu dia dituku ne dituku dia misangu yonso ;</w:t>
      </w:r>
    </w:p>
    <w:p w14:paraId="401DF60A" w14:textId="77777777" w:rsidR="005C5EB1" w:rsidRPr="00E4105B" w:rsidRDefault="005C5EB1" w:rsidP="002378EA">
      <w:pPr>
        <w:numPr>
          <w:ilvl w:val="0"/>
          <w:numId w:val="29"/>
        </w:numPr>
        <w:autoSpaceDE w:val="0"/>
        <w:autoSpaceDN w:val="0"/>
        <w:adjustRightInd w:val="0"/>
        <w:rPr>
          <w:rFonts w:cs="Arial"/>
          <w:szCs w:val="21"/>
        </w:rPr>
      </w:pPr>
      <w:r w:rsidRPr="00E4105B">
        <w:rPr>
          <w:rFonts w:cs="Arial"/>
          <w:szCs w:val="21"/>
        </w:rPr>
        <w:t>bungi bwa midimu idi ne malonga a EIES ne ma PGES bienzela ;</w:t>
      </w:r>
    </w:p>
    <w:p w14:paraId="5874A616" w14:textId="77777777" w:rsidR="005C5EB1" w:rsidRPr="00E4105B" w:rsidRDefault="005C5EB1" w:rsidP="002378EA">
      <w:pPr>
        <w:numPr>
          <w:ilvl w:val="0"/>
          <w:numId w:val="29"/>
        </w:numPr>
        <w:autoSpaceDE w:val="0"/>
        <w:autoSpaceDN w:val="0"/>
        <w:adjustRightInd w:val="0"/>
        <w:rPr>
          <w:rFonts w:cs="Arial"/>
          <w:szCs w:val="21"/>
        </w:rPr>
      </w:pPr>
      <w:r w:rsidRPr="00E4105B">
        <w:rPr>
          <w:rFonts w:cs="Arial"/>
          <w:szCs w:val="21"/>
        </w:rPr>
        <w:t>bungi bwa bisangilu bia dikolesha menji a bantu ne bena mudimu bidi bienzeke ;</w:t>
      </w:r>
    </w:p>
    <w:p w14:paraId="0E148CA3" w14:textId="77777777" w:rsidR="005C5EB1" w:rsidRPr="00E4105B" w:rsidRDefault="005C5EB1" w:rsidP="002378EA">
      <w:pPr>
        <w:numPr>
          <w:ilvl w:val="0"/>
          <w:numId w:val="29"/>
        </w:numPr>
        <w:rPr>
          <w:rFonts w:cs="Arial"/>
          <w:szCs w:val="21"/>
        </w:rPr>
      </w:pPr>
      <w:r w:rsidRPr="00E4105B">
        <w:rPr>
          <w:rFonts w:cs="Arial"/>
          <w:szCs w:val="21"/>
        </w:rPr>
        <w:t xml:space="preserve">bungi bwa misangu ya dilondela ne ditangidila </w:t>
      </w:r>
      <w:r w:rsidRPr="00E4105B">
        <w:rPr>
          <w:rFonts w:eastAsia="Calibri" w:cs="Arial"/>
          <w:szCs w:val="21"/>
        </w:rPr>
        <w:t>malu a bintu bia nyungulukilu wa buloba ne nsombelu wa bantu</w:t>
      </w:r>
      <w:r w:rsidRPr="00E4105B">
        <w:rPr>
          <w:rFonts w:cs="Arial"/>
          <w:szCs w:val="21"/>
        </w:rPr>
        <w:t> ;</w:t>
      </w:r>
    </w:p>
    <w:p w14:paraId="4563F93E" w14:textId="77777777" w:rsidR="005C5EB1" w:rsidRPr="00E4105B" w:rsidRDefault="005C5EB1" w:rsidP="002378EA">
      <w:pPr>
        <w:numPr>
          <w:ilvl w:val="0"/>
          <w:numId w:val="29"/>
        </w:numPr>
        <w:rPr>
          <w:rFonts w:cs="Arial"/>
          <w:szCs w:val="21"/>
        </w:rPr>
      </w:pPr>
      <w:r w:rsidRPr="00E4105B">
        <w:rPr>
          <w:rFonts w:cs="Arial"/>
          <w:szCs w:val="21"/>
        </w:rPr>
        <w:t>bungi bwa bena mudimu ba kumisoko (main d’œuvre locale utilisée pour les travaux) ;</w:t>
      </w:r>
    </w:p>
    <w:p w14:paraId="275DA9EC" w14:textId="77777777" w:rsidR="005C5EB1" w:rsidRPr="00E4105B" w:rsidRDefault="005C5EB1" w:rsidP="002378EA">
      <w:pPr>
        <w:numPr>
          <w:ilvl w:val="0"/>
          <w:numId w:val="29"/>
        </w:numPr>
        <w:rPr>
          <w:rFonts w:cs="Arial"/>
          <w:szCs w:val="21"/>
        </w:rPr>
      </w:pPr>
      <w:r w:rsidRPr="00E4105B">
        <w:rPr>
          <w:rFonts w:cs="Arial"/>
          <w:szCs w:val="21"/>
        </w:rPr>
        <w:t>bungi bwa Tuyeke tudi tumbikile ku miaba itutu tusombela kuluseke lwa mudimu ;</w:t>
      </w:r>
    </w:p>
    <w:p w14:paraId="4F4C99E0" w14:textId="77777777" w:rsidR="005C5EB1" w:rsidRPr="00E4105B" w:rsidRDefault="005C5EB1" w:rsidP="002378EA">
      <w:pPr>
        <w:numPr>
          <w:ilvl w:val="0"/>
          <w:numId w:val="29"/>
        </w:numPr>
        <w:autoSpaceDE w:val="0"/>
        <w:autoSpaceDN w:val="0"/>
        <w:adjustRightInd w:val="0"/>
        <w:jc w:val="left"/>
        <w:rPr>
          <w:rFonts w:cs="Arial"/>
          <w:szCs w:val="21"/>
        </w:rPr>
      </w:pPr>
      <w:r w:rsidRPr="00E4105B">
        <w:rPr>
          <w:rFonts w:cs="Arial"/>
          <w:szCs w:val="21"/>
        </w:rPr>
        <w:t>bungi bwa bantu bena bintu bianiangukibwa ne midimu ne bifutshibwa ku njila wa mudimu ;</w:t>
      </w:r>
    </w:p>
    <w:p w14:paraId="48B809BB" w14:textId="77777777" w:rsidR="005C5EB1" w:rsidRPr="00E4105B" w:rsidRDefault="005C5EB1" w:rsidP="002378EA">
      <w:pPr>
        <w:numPr>
          <w:ilvl w:val="0"/>
          <w:numId w:val="29"/>
        </w:numPr>
        <w:autoSpaceDE w:val="0"/>
        <w:autoSpaceDN w:val="0"/>
        <w:adjustRightInd w:val="0"/>
        <w:spacing w:line="240" w:lineRule="auto"/>
        <w:jc w:val="left"/>
        <w:rPr>
          <w:rFonts w:cs="Arial"/>
          <w:szCs w:val="21"/>
        </w:rPr>
      </w:pPr>
      <w:r w:rsidRPr="00E4105B">
        <w:rPr>
          <w:rFonts w:cs="Arial"/>
          <w:szCs w:val="21"/>
        </w:rPr>
        <w:t>bungi bwa bisangilu bia dilonsha bena mudimu bwa malu a VBG, bakaji ne balume ;</w:t>
      </w:r>
    </w:p>
    <w:p w14:paraId="575A1F3A" w14:textId="77777777" w:rsidR="005C5EB1" w:rsidRPr="00E4105B" w:rsidRDefault="005C5EB1" w:rsidP="002378EA">
      <w:pPr>
        <w:numPr>
          <w:ilvl w:val="0"/>
          <w:numId w:val="29"/>
        </w:numPr>
        <w:autoSpaceDE w:val="0"/>
        <w:autoSpaceDN w:val="0"/>
        <w:adjustRightInd w:val="0"/>
        <w:spacing w:line="240" w:lineRule="auto"/>
        <w:jc w:val="left"/>
        <w:rPr>
          <w:rFonts w:cs="Arial"/>
          <w:szCs w:val="21"/>
        </w:rPr>
      </w:pPr>
      <w:r w:rsidRPr="00E4105B">
        <w:rPr>
          <w:rFonts w:cs="Arial"/>
          <w:szCs w:val="21"/>
        </w:rPr>
        <w:t>bungi bwa bisangilu bia kukolesha malu a VBG bwa bena mudimu ;</w:t>
      </w:r>
    </w:p>
    <w:p w14:paraId="376CDB2C" w14:textId="77777777" w:rsidR="005C5EB1" w:rsidRPr="00E4105B" w:rsidRDefault="005C5EB1" w:rsidP="002378EA">
      <w:pPr>
        <w:numPr>
          <w:ilvl w:val="0"/>
          <w:numId w:val="29"/>
        </w:numPr>
        <w:autoSpaceDE w:val="0"/>
        <w:autoSpaceDN w:val="0"/>
        <w:adjustRightInd w:val="0"/>
        <w:spacing w:line="240" w:lineRule="auto"/>
        <w:jc w:val="left"/>
        <w:rPr>
          <w:rFonts w:cs="Arial"/>
          <w:szCs w:val="21"/>
        </w:rPr>
      </w:pPr>
      <w:r w:rsidRPr="00E4105B">
        <w:rPr>
          <w:rFonts w:cs="Arial"/>
          <w:szCs w:val="21"/>
        </w:rPr>
        <w:t>bungi bwa bantu aba batu bambulwishibwe bua malu a dibalondela bwa PEC wa mabedi ;</w:t>
      </w:r>
    </w:p>
    <w:p w14:paraId="6620FE6C" w14:textId="77777777" w:rsidR="005C5EB1" w:rsidRPr="00E4105B" w:rsidRDefault="005C5EB1" w:rsidP="002378EA">
      <w:pPr>
        <w:numPr>
          <w:ilvl w:val="0"/>
          <w:numId w:val="29"/>
        </w:numPr>
        <w:autoSpaceDE w:val="0"/>
        <w:autoSpaceDN w:val="0"/>
        <w:adjustRightInd w:val="0"/>
        <w:spacing w:line="240" w:lineRule="auto"/>
        <w:jc w:val="left"/>
        <w:rPr>
          <w:rFonts w:cs="Arial"/>
          <w:szCs w:val="21"/>
        </w:rPr>
      </w:pPr>
      <w:r w:rsidRPr="00E4105B">
        <w:rPr>
          <w:rFonts w:cs="Arial"/>
          <w:szCs w:val="21"/>
        </w:rPr>
        <w:t>bungi bwa bantu aba batu bakwatshibwe mu njila wa manga a londapu ;</w:t>
      </w:r>
    </w:p>
    <w:p w14:paraId="1ACD7477" w14:textId="77777777" w:rsidR="005C5EB1" w:rsidRPr="00E4105B" w:rsidRDefault="005C5EB1" w:rsidP="002378EA">
      <w:pPr>
        <w:numPr>
          <w:ilvl w:val="0"/>
          <w:numId w:val="29"/>
        </w:numPr>
        <w:autoSpaceDE w:val="0"/>
        <w:autoSpaceDN w:val="0"/>
        <w:adjustRightInd w:val="0"/>
        <w:spacing w:line="240" w:lineRule="auto"/>
        <w:jc w:val="left"/>
        <w:rPr>
          <w:rFonts w:cs="Arial"/>
          <w:szCs w:val="21"/>
        </w:rPr>
      </w:pPr>
      <w:r w:rsidRPr="00E4105B">
        <w:rPr>
          <w:rFonts w:cs="Arial"/>
          <w:szCs w:val="21"/>
        </w:rPr>
        <w:t>bungi bwa bantu badi bambulwishibwa ne mibelu mishilangane bwa PEC ;</w:t>
      </w:r>
    </w:p>
    <w:p w14:paraId="56F9BD0A" w14:textId="77777777" w:rsidR="005C5EB1" w:rsidRPr="00E4105B" w:rsidRDefault="005C5EB1" w:rsidP="002378EA">
      <w:pPr>
        <w:numPr>
          <w:ilvl w:val="0"/>
          <w:numId w:val="29"/>
        </w:numPr>
        <w:autoSpaceDE w:val="0"/>
        <w:autoSpaceDN w:val="0"/>
        <w:adjustRightInd w:val="0"/>
        <w:spacing w:line="240" w:lineRule="auto"/>
        <w:jc w:val="left"/>
        <w:rPr>
          <w:rFonts w:cs="Arial"/>
          <w:szCs w:val="21"/>
        </w:rPr>
      </w:pPr>
      <w:r w:rsidRPr="00E4105B">
        <w:rPr>
          <w:rFonts w:cs="Arial"/>
          <w:szCs w:val="21"/>
        </w:rPr>
        <w:t>bungi bwa bantu batuma bwa mibelu ya tubadi ;</w:t>
      </w:r>
    </w:p>
    <w:p w14:paraId="45D6113C" w14:textId="77777777" w:rsidR="005C5EB1" w:rsidRPr="00E4105B" w:rsidRDefault="005C5EB1" w:rsidP="002378EA">
      <w:pPr>
        <w:numPr>
          <w:ilvl w:val="0"/>
          <w:numId w:val="29"/>
        </w:numPr>
        <w:autoSpaceDE w:val="0"/>
        <w:autoSpaceDN w:val="0"/>
        <w:adjustRightInd w:val="0"/>
        <w:spacing w:line="240" w:lineRule="auto"/>
        <w:jc w:val="left"/>
        <w:rPr>
          <w:rFonts w:cs="Arial"/>
          <w:szCs w:val="21"/>
        </w:rPr>
      </w:pPr>
      <w:r w:rsidRPr="00E4105B">
        <w:rPr>
          <w:rFonts w:cs="Arial"/>
          <w:szCs w:val="21"/>
        </w:rPr>
        <w:t>bungi bwa bantu banyisha ne basopesha bwa malu an VBG ne a MGP ;</w:t>
      </w:r>
    </w:p>
    <w:p w14:paraId="405FF427" w14:textId="77777777" w:rsidR="005C5EB1" w:rsidRPr="00E4105B" w:rsidRDefault="005C5EB1" w:rsidP="002378EA">
      <w:pPr>
        <w:numPr>
          <w:ilvl w:val="0"/>
          <w:numId w:val="29"/>
        </w:numPr>
        <w:autoSpaceDE w:val="0"/>
        <w:autoSpaceDN w:val="0"/>
        <w:adjustRightInd w:val="0"/>
        <w:spacing w:line="240" w:lineRule="auto"/>
        <w:jc w:val="left"/>
        <w:rPr>
          <w:rFonts w:cs="Arial"/>
          <w:szCs w:val="21"/>
        </w:rPr>
      </w:pPr>
      <w:r w:rsidRPr="00E4105B">
        <w:rPr>
          <w:rFonts w:cs="Arial"/>
          <w:szCs w:val="21"/>
        </w:rPr>
        <w:t>bungi bwa bantu batangidla balume pa bwabu ne bakaji pa bwabu kulondangana ne bidimu biabu.</w:t>
      </w:r>
    </w:p>
    <w:p w14:paraId="3C264F57" w14:textId="77777777" w:rsidR="005C5EB1" w:rsidRPr="00E4105B" w:rsidRDefault="005C5EB1" w:rsidP="005C5EB1">
      <w:pPr>
        <w:autoSpaceDE w:val="0"/>
        <w:autoSpaceDN w:val="0"/>
        <w:adjustRightInd w:val="0"/>
        <w:spacing w:line="240" w:lineRule="auto"/>
        <w:ind w:left="720"/>
        <w:rPr>
          <w:rFonts w:cs="Arial"/>
          <w:b/>
          <w:color w:val="000000"/>
          <w:szCs w:val="21"/>
        </w:rPr>
      </w:pPr>
    </w:p>
    <w:p w14:paraId="24BE87E9" w14:textId="77777777" w:rsidR="005C5EB1" w:rsidRPr="00E4105B" w:rsidRDefault="005C5EB1" w:rsidP="005C5EB1">
      <w:pPr>
        <w:tabs>
          <w:tab w:val="left" w:pos="426"/>
        </w:tabs>
        <w:contextualSpacing/>
        <w:rPr>
          <w:rFonts w:cs="Arial"/>
          <w:szCs w:val="21"/>
          <w:u w:val="single"/>
        </w:rPr>
      </w:pPr>
      <w:r w:rsidRPr="00E4105B">
        <w:rPr>
          <w:rFonts w:cs="Arial"/>
          <w:szCs w:val="21"/>
          <w:u w:val="single"/>
        </w:rPr>
        <w:t>Ndongolwelu wa nzubu ya midimu bwa kwenzela malonga a PCGES :</w:t>
      </w:r>
    </w:p>
    <w:p w14:paraId="3C70BE2D" w14:textId="77777777" w:rsidR="005C5EB1" w:rsidRPr="00E4105B" w:rsidRDefault="005C5EB1" w:rsidP="005C5EB1">
      <w:pPr>
        <w:rPr>
          <w:rFonts w:cs="Arial"/>
          <w:szCs w:val="21"/>
        </w:rPr>
      </w:pPr>
    </w:p>
    <w:p w14:paraId="4C3C9798" w14:textId="77777777" w:rsidR="005C5EB1" w:rsidRPr="00E4105B" w:rsidRDefault="005C5EB1" w:rsidP="002378EA">
      <w:pPr>
        <w:pStyle w:val="Paragraphedeliste"/>
        <w:keepNext/>
        <w:numPr>
          <w:ilvl w:val="1"/>
          <w:numId w:val="11"/>
        </w:numPr>
        <w:tabs>
          <w:tab w:val="left" w:pos="720"/>
        </w:tabs>
        <w:contextualSpacing w:val="0"/>
        <w:jc w:val="left"/>
        <w:outlineLvl w:val="2"/>
        <w:rPr>
          <w:rFonts w:cs="Arial"/>
          <w:vanish/>
          <w:szCs w:val="21"/>
          <w:u w:val="single"/>
        </w:rPr>
      </w:pPr>
      <w:bookmarkStart w:id="120" w:name="_Toc70326724"/>
      <w:bookmarkStart w:id="121" w:name="_Toc70326957"/>
      <w:bookmarkStart w:id="122" w:name="_Toc70330320"/>
      <w:bookmarkStart w:id="123" w:name="_Toc72336024"/>
      <w:bookmarkStart w:id="124" w:name="_Toc90393032"/>
      <w:bookmarkStart w:id="125" w:name="_Toc90471391"/>
      <w:bookmarkEnd w:id="120"/>
      <w:bookmarkEnd w:id="121"/>
      <w:bookmarkEnd w:id="122"/>
      <w:bookmarkEnd w:id="123"/>
      <w:bookmarkEnd w:id="124"/>
      <w:bookmarkEnd w:id="125"/>
    </w:p>
    <w:p w14:paraId="4B90747D" w14:textId="77777777" w:rsidR="005C5EB1" w:rsidRPr="00E4105B" w:rsidRDefault="005C5EB1" w:rsidP="002378EA">
      <w:pPr>
        <w:pStyle w:val="Paragraphedeliste"/>
        <w:keepNext/>
        <w:numPr>
          <w:ilvl w:val="1"/>
          <w:numId w:val="11"/>
        </w:numPr>
        <w:tabs>
          <w:tab w:val="left" w:pos="720"/>
        </w:tabs>
        <w:contextualSpacing w:val="0"/>
        <w:jc w:val="left"/>
        <w:outlineLvl w:val="2"/>
        <w:rPr>
          <w:rFonts w:cs="Arial"/>
          <w:vanish/>
          <w:szCs w:val="21"/>
          <w:u w:val="single"/>
        </w:rPr>
      </w:pPr>
      <w:bookmarkStart w:id="126" w:name="_Toc70326725"/>
      <w:bookmarkStart w:id="127" w:name="_Toc70326958"/>
      <w:bookmarkStart w:id="128" w:name="_Toc70330321"/>
      <w:bookmarkStart w:id="129" w:name="_Toc72336025"/>
      <w:bookmarkStart w:id="130" w:name="_Toc90393033"/>
      <w:bookmarkStart w:id="131" w:name="_Toc90471392"/>
      <w:bookmarkEnd w:id="126"/>
      <w:bookmarkEnd w:id="127"/>
      <w:bookmarkEnd w:id="128"/>
      <w:bookmarkEnd w:id="129"/>
      <w:bookmarkEnd w:id="130"/>
      <w:bookmarkEnd w:id="131"/>
    </w:p>
    <w:p w14:paraId="7FD1CA2E" w14:textId="77777777" w:rsidR="005C5EB1" w:rsidRPr="00E4105B" w:rsidRDefault="005C5EB1" w:rsidP="005C5EB1">
      <w:pPr>
        <w:autoSpaceDE w:val="0"/>
        <w:autoSpaceDN w:val="0"/>
        <w:adjustRightInd w:val="0"/>
        <w:rPr>
          <w:rFonts w:cs="Arial"/>
          <w:szCs w:val="21"/>
        </w:rPr>
      </w:pPr>
      <w:r w:rsidRPr="00E4105B">
        <w:rPr>
          <w:rFonts w:cs="Arial"/>
          <w:szCs w:val="21"/>
        </w:rPr>
        <w:t xml:space="preserve">Tulongo twa mifundu tudi tulonda etu tudi tuleja makokeshi ma pesha bantu bwa dienzela </w:t>
      </w:r>
      <w:r w:rsidRPr="00E4105B">
        <w:rPr>
          <w:rFonts w:eastAsia="Calibri" w:cs="Arial"/>
          <w:szCs w:val="21"/>
        </w:rPr>
        <w:t>malu a bintu bia nyungulukilu wa buloba ne nsombelu wa bantu bwa midimu ya</w:t>
      </w:r>
      <w:r w:rsidRPr="00E4105B">
        <w:rPr>
          <w:rFonts w:cs="Arial"/>
          <w:szCs w:val="21"/>
        </w:rPr>
        <w:t xml:space="preserve"> PNDA :</w:t>
      </w:r>
    </w:p>
    <w:p w14:paraId="2E4640B2" w14:textId="77777777" w:rsidR="005C5EB1" w:rsidRPr="00E4105B" w:rsidRDefault="005C5EB1" w:rsidP="005C5EB1">
      <w:pPr>
        <w:autoSpaceDE w:val="0"/>
        <w:autoSpaceDN w:val="0"/>
        <w:adjustRightInd w:val="0"/>
        <w:rPr>
          <w:rFonts w:cs="Arial"/>
          <w:szCs w:val="21"/>
        </w:rPr>
      </w:pPr>
    </w:p>
    <w:p w14:paraId="582CBB6A" w14:textId="24A63EF1" w:rsidR="005C5EB1" w:rsidRPr="00E4105B" w:rsidRDefault="005C5EB1" w:rsidP="002378EA">
      <w:pPr>
        <w:pStyle w:val="Paragraphedeliste"/>
        <w:numPr>
          <w:ilvl w:val="0"/>
          <w:numId w:val="29"/>
        </w:numPr>
        <w:spacing w:line="240" w:lineRule="auto"/>
        <w:jc w:val="left"/>
        <w:rPr>
          <w:rFonts w:cs="Arial"/>
          <w:i/>
          <w:color w:val="000000"/>
          <w:szCs w:val="21"/>
        </w:rPr>
      </w:pPr>
      <w:r w:rsidRPr="00E4105B">
        <w:rPr>
          <w:rFonts w:cs="Arial"/>
          <w:i/>
          <w:color w:val="000000"/>
          <w:szCs w:val="21"/>
        </w:rPr>
        <w:t>Komite tekiniki wa dilondela ne dilongolola mudimu wa PNDA (Comité Technique Préparatoire et de Suivi du PNDA)</w:t>
      </w:r>
      <w:r w:rsidR="00EC500E">
        <w:rPr>
          <w:rFonts w:cs="Arial"/>
          <w:i/>
          <w:color w:val="000000"/>
          <w:szCs w:val="21"/>
        </w:rPr>
        <w:t> ;</w:t>
      </w:r>
    </w:p>
    <w:p w14:paraId="7463C266" w14:textId="7F8C942B" w:rsidR="005C5EB1" w:rsidRPr="00E4105B" w:rsidRDefault="005C5EB1" w:rsidP="002378EA">
      <w:pPr>
        <w:pStyle w:val="Paragraphedeliste"/>
        <w:numPr>
          <w:ilvl w:val="0"/>
          <w:numId w:val="29"/>
        </w:numPr>
        <w:spacing w:line="240" w:lineRule="auto"/>
        <w:jc w:val="left"/>
        <w:rPr>
          <w:rFonts w:cs="Arial"/>
          <w:i/>
          <w:color w:val="000000"/>
          <w:szCs w:val="21"/>
        </w:rPr>
      </w:pPr>
      <w:r w:rsidRPr="00E4105B">
        <w:rPr>
          <w:rFonts w:cs="Arial"/>
          <w:i/>
          <w:color w:val="000000"/>
          <w:szCs w:val="21"/>
        </w:rPr>
        <w:t>UNCP/PARRSA, UGP ne ksumbu ka dienzesha midimu ne mapagnidika a Mublamatadi (CGPMP)</w:t>
      </w:r>
      <w:r w:rsidR="00EC500E">
        <w:rPr>
          <w:rFonts w:cs="Arial"/>
          <w:i/>
          <w:color w:val="000000"/>
          <w:szCs w:val="21"/>
        </w:rPr>
        <w:t> ;</w:t>
      </w:r>
    </w:p>
    <w:p w14:paraId="5B27163A" w14:textId="2D7E9EA5" w:rsidR="005C5EB1" w:rsidRPr="00E4105B" w:rsidRDefault="005C5EB1" w:rsidP="002378EA">
      <w:pPr>
        <w:pStyle w:val="Paragraphedeliste"/>
        <w:numPr>
          <w:ilvl w:val="0"/>
          <w:numId w:val="29"/>
        </w:numPr>
        <w:spacing w:line="240" w:lineRule="auto"/>
        <w:rPr>
          <w:rFonts w:cs="Arial"/>
          <w:i/>
          <w:color w:val="000000"/>
          <w:szCs w:val="21"/>
        </w:rPr>
      </w:pPr>
      <w:r w:rsidRPr="00E4105B">
        <w:rPr>
          <w:rFonts w:cs="Arial"/>
          <w:i/>
          <w:color w:val="000000"/>
          <w:szCs w:val="21"/>
        </w:rPr>
        <w:t>Agence Congolaise de l’Environnement (ACE)</w:t>
      </w:r>
      <w:r w:rsidR="00EC500E">
        <w:rPr>
          <w:rFonts w:cs="Arial"/>
          <w:i/>
          <w:color w:val="000000"/>
          <w:szCs w:val="21"/>
        </w:rPr>
        <w:t> ;</w:t>
      </w:r>
      <w:r w:rsidRPr="00E4105B">
        <w:rPr>
          <w:rFonts w:cs="Arial"/>
          <w:i/>
          <w:color w:val="000000"/>
          <w:szCs w:val="21"/>
        </w:rPr>
        <w:t> </w:t>
      </w:r>
    </w:p>
    <w:p w14:paraId="6FA3EEA3" w14:textId="77777777" w:rsidR="005C5EB1" w:rsidRPr="00E4105B" w:rsidRDefault="005C5EB1" w:rsidP="002378EA">
      <w:pPr>
        <w:pStyle w:val="Paragraphedeliste"/>
        <w:numPr>
          <w:ilvl w:val="0"/>
          <w:numId w:val="29"/>
        </w:numPr>
        <w:spacing w:line="240" w:lineRule="auto"/>
        <w:rPr>
          <w:rFonts w:cs="Arial"/>
          <w:i/>
          <w:color w:val="000000"/>
          <w:szCs w:val="21"/>
        </w:rPr>
      </w:pPr>
      <w:r w:rsidRPr="00E4105B">
        <w:rPr>
          <w:rFonts w:cs="Arial"/>
          <w:i/>
          <w:color w:val="000000"/>
          <w:szCs w:val="21"/>
        </w:rPr>
        <w:t xml:space="preserve">Coordinations Provinciales de l’Environnement (CPE) </w:t>
      </w:r>
    </w:p>
    <w:p w14:paraId="7F06E523" w14:textId="5F6F71D6" w:rsidR="005C5EB1" w:rsidRPr="00E4105B" w:rsidRDefault="005C5EB1" w:rsidP="005C5EB1">
      <w:pPr>
        <w:rPr>
          <w:rFonts w:cs="Arial"/>
          <w:i/>
          <w:color w:val="000000"/>
          <w:szCs w:val="21"/>
        </w:rPr>
      </w:pPr>
      <w:r w:rsidRPr="00E4105B">
        <w:rPr>
          <w:rFonts w:cs="Arial"/>
          <w:color w:val="000000"/>
          <w:szCs w:val="21"/>
        </w:rPr>
        <w:t>Bibambalu ebi ne bikwatshishe bimenga bidi kabiyi bianji kwikala ne bilo bia tshimenga bia A</w:t>
      </w:r>
      <w:r w:rsidR="00EC500E">
        <w:rPr>
          <w:rFonts w:cs="Arial"/>
          <w:color w:val="000000"/>
          <w:szCs w:val="21"/>
        </w:rPr>
        <w:t>CE ;</w:t>
      </w:r>
    </w:p>
    <w:p w14:paraId="46916EB8" w14:textId="77777777" w:rsidR="005C5EB1" w:rsidRPr="00E4105B" w:rsidRDefault="005C5EB1" w:rsidP="005C5EB1">
      <w:pPr>
        <w:ind w:left="360"/>
        <w:rPr>
          <w:rFonts w:cs="Arial"/>
          <w:i/>
          <w:color w:val="000000"/>
          <w:szCs w:val="21"/>
        </w:rPr>
      </w:pPr>
    </w:p>
    <w:p w14:paraId="54515E30" w14:textId="096997E8" w:rsidR="005C5EB1" w:rsidRPr="00E4105B" w:rsidRDefault="005C5EB1" w:rsidP="005C5EB1">
      <w:pPr>
        <w:rPr>
          <w:rFonts w:cs="Arial"/>
          <w:color w:val="000000"/>
          <w:szCs w:val="21"/>
        </w:rPr>
      </w:pPr>
      <w:r w:rsidRPr="00E4105B">
        <w:rPr>
          <w:rFonts w:cs="Arial"/>
          <w:color w:val="000000"/>
          <w:szCs w:val="21"/>
        </w:rPr>
        <w:t>Bibambalu bikwabu bia bwela mu dienzesha dia mudimu wa PNDA</w:t>
      </w:r>
      <w:r w:rsidR="00EC500E">
        <w:rPr>
          <w:rFonts w:cs="Arial"/>
          <w:color w:val="000000"/>
          <w:szCs w:val="21"/>
        </w:rPr>
        <w:t>.</w:t>
      </w:r>
    </w:p>
    <w:p w14:paraId="3390053F" w14:textId="77777777" w:rsidR="005C5EB1" w:rsidRPr="00E4105B" w:rsidRDefault="005C5EB1" w:rsidP="005C5EB1">
      <w:pPr>
        <w:rPr>
          <w:rFonts w:cs="Arial"/>
          <w:szCs w:val="21"/>
        </w:rPr>
      </w:pPr>
    </w:p>
    <w:p w14:paraId="372614AF" w14:textId="77777777" w:rsidR="005C5EB1" w:rsidRPr="00E4105B" w:rsidRDefault="005C5EB1" w:rsidP="005C5EB1">
      <w:pPr>
        <w:tabs>
          <w:tab w:val="left" w:pos="426"/>
        </w:tabs>
        <w:contextualSpacing/>
        <w:rPr>
          <w:rFonts w:cs="Arial"/>
          <w:i/>
          <w:szCs w:val="21"/>
        </w:rPr>
      </w:pPr>
      <w:r w:rsidRPr="00E4105B">
        <w:rPr>
          <w:rFonts w:cs="Arial"/>
          <w:i/>
          <w:szCs w:val="21"/>
        </w:rPr>
        <w:t xml:space="preserve">Midimu ne makokesha bwa kwenzela mikanu ya kutumikila bintu bia nyungulukilu wa buloba ne nsombelu wa bantu </w:t>
      </w:r>
    </w:p>
    <w:p w14:paraId="4AF44C66" w14:textId="77777777" w:rsidR="005C5EB1" w:rsidRPr="00E4105B" w:rsidRDefault="005C5EB1" w:rsidP="005C5EB1">
      <w:pPr>
        <w:pStyle w:val="Paragraphedeliste"/>
        <w:rPr>
          <w:rFonts w:cs="Arial"/>
          <w:szCs w:val="21"/>
        </w:rPr>
      </w:pPr>
    </w:p>
    <w:p w14:paraId="0BDDA32D" w14:textId="0CA28A0C" w:rsidR="005C5EB1" w:rsidRPr="00EC500E" w:rsidRDefault="005C5EB1" w:rsidP="00E4470C">
      <w:pPr>
        <w:pStyle w:val="Paragraphedeliste"/>
        <w:numPr>
          <w:ilvl w:val="0"/>
          <w:numId w:val="26"/>
        </w:numPr>
        <w:rPr>
          <w:rFonts w:cs="Arial"/>
          <w:color w:val="000000"/>
          <w:szCs w:val="21"/>
        </w:rPr>
      </w:pPr>
      <w:r w:rsidRPr="00EC500E">
        <w:rPr>
          <w:rFonts w:cs="Arial"/>
          <w:i/>
          <w:szCs w:val="21"/>
        </w:rPr>
        <w:t>Kasumbu (Comité) wa dilongolola ne dilondela ke wikala ne bukokeshi bwa kutangidila mushindu wa kumwenesha midimu ne kuiteka mu tusumbu pa tshikondo tsha dilongolola midimu ne diambulwisha</w:t>
      </w:r>
      <w:r w:rsidR="00EC500E" w:rsidRPr="00EC500E">
        <w:rPr>
          <w:rFonts w:cs="Arial"/>
          <w:i/>
          <w:szCs w:val="21"/>
        </w:rPr>
        <w:t> ;</w:t>
      </w:r>
    </w:p>
    <w:p w14:paraId="50C9B2DD" w14:textId="57FF58F2" w:rsidR="005C5EB1" w:rsidRPr="00E4105B" w:rsidRDefault="005C5EB1" w:rsidP="002378EA">
      <w:pPr>
        <w:numPr>
          <w:ilvl w:val="0"/>
          <w:numId w:val="26"/>
        </w:numPr>
        <w:rPr>
          <w:rFonts w:cs="Arial"/>
          <w:color w:val="000000"/>
          <w:szCs w:val="21"/>
        </w:rPr>
      </w:pPr>
      <w:r w:rsidRPr="00E4105B">
        <w:rPr>
          <w:rFonts w:cs="Arial"/>
          <w:i/>
          <w:color w:val="000000"/>
          <w:szCs w:val="21"/>
        </w:rPr>
        <w:t xml:space="preserve">Mwena menji bwa malu adi atangidila </w:t>
      </w:r>
      <w:r w:rsidRPr="00E4105B">
        <w:rPr>
          <w:rFonts w:cs="Arial"/>
          <w:i/>
          <w:szCs w:val="21"/>
        </w:rPr>
        <w:t>bintu bia nyungulukilu wa buloba ne nsombelu wa bantu</w:t>
      </w:r>
      <w:r w:rsidRPr="00E4105B">
        <w:rPr>
          <w:rFonts w:cs="Arial"/>
          <w:i/>
          <w:color w:val="000000"/>
          <w:szCs w:val="21"/>
        </w:rPr>
        <w:t xml:space="preserve"> et adiyisha kumpala nsombelu wa bukwabantu ne ewu wa malu a VBG pa diba dia dilongolola mudimu</w:t>
      </w:r>
      <w:r w:rsidR="00EC500E">
        <w:rPr>
          <w:rFonts w:cs="Arial"/>
          <w:i/>
          <w:color w:val="000000"/>
          <w:szCs w:val="21"/>
        </w:rPr>
        <w:t> ;</w:t>
      </w:r>
    </w:p>
    <w:p w14:paraId="73164EE3" w14:textId="0C80BF3C" w:rsidR="005C5EB1" w:rsidRPr="00E4105B" w:rsidRDefault="005C5EB1" w:rsidP="002378EA">
      <w:pPr>
        <w:numPr>
          <w:ilvl w:val="0"/>
          <w:numId w:val="26"/>
        </w:numPr>
        <w:rPr>
          <w:rFonts w:cs="Arial"/>
          <w:color w:val="000000"/>
          <w:szCs w:val="21"/>
        </w:rPr>
      </w:pPr>
      <w:r w:rsidRPr="00E4105B">
        <w:rPr>
          <w:rFonts w:cs="Arial"/>
          <w:i/>
          <w:color w:val="000000"/>
          <w:szCs w:val="21"/>
        </w:rPr>
        <w:t>Mulombodi wa tekiniki wa midimu eyi ya PNDA</w:t>
      </w:r>
      <w:r w:rsidRPr="00E4105B">
        <w:rPr>
          <w:rFonts w:cs="Arial"/>
          <w:color w:val="000000"/>
          <w:szCs w:val="21"/>
        </w:rPr>
        <w:t> (</w:t>
      </w:r>
      <w:r w:rsidRPr="00E4105B">
        <w:rPr>
          <w:rFonts w:cs="Arial"/>
          <w:i/>
          <w:color w:val="000000"/>
          <w:szCs w:val="21"/>
        </w:rPr>
        <w:t>Chargé de projet</w:t>
      </w:r>
      <w:r w:rsidRPr="00E4105B">
        <w:rPr>
          <w:rFonts w:cs="Arial"/>
          <w:color w:val="000000"/>
          <w:szCs w:val="21"/>
        </w:rPr>
        <w:t>)</w:t>
      </w:r>
      <w:r w:rsidR="00EC500E">
        <w:rPr>
          <w:rFonts w:cs="Arial"/>
          <w:color w:val="000000"/>
          <w:szCs w:val="21"/>
        </w:rPr>
        <w:t xml:space="preserve"> </w:t>
      </w:r>
      <w:r w:rsidRPr="00E4105B">
        <w:rPr>
          <w:rFonts w:cs="Arial"/>
          <w:color w:val="000000"/>
          <w:szCs w:val="21"/>
        </w:rPr>
        <w:t>; </w:t>
      </w:r>
    </w:p>
    <w:p w14:paraId="39DD5AE5" w14:textId="77777777" w:rsidR="005C5EB1" w:rsidRPr="00E4105B" w:rsidRDefault="005C5EB1" w:rsidP="005C5EB1">
      <w:pPr>
        <w:pStyle w:val="Paragraphedeliste"/>
        <w:rPr>
          <w:rFonts w:cs="Arial"/>
          <w:color w:val="000000"/>
          <w:szCs w:val="21"/>
        </w:rPr>
      </w:pPr>
    </w:p>
    <w:p w14:paraId="77FEF98C" w14:textId="0C200003" w:rsidR="005C5EB1" w:rsidRPr="00EC500E" w:rsidRDefault="005C5EB1" w:rsidP="00E4470C">
      <w:pPr>
        <w:numPr>
          <w:ilvl w:val="0"/>
          <w:numId w:val="26"/>
        </w:numPr>
        <w:rPr>
          <w:rFonts w:cs="Arial"/>
          <w:szCs w:val="21"/>
        </w:rPr>
      </w:pPr>
      <w:r w:rsidRPr="00EC500E">
        <w:rPr>
          <w:rFonts w:cs="Arial"/>
          <w:i/>
          <w:color w:val="000000"/>
          <w:szCs w:val="21"/>
        </w:rPr>
        <w:t>Mwena menji bwa dipesha bantu bisalu wa</w:t>
      </w:r>
      <w:r w:rsidRPr="00EC500E">
        <w:rPr>
          <w:rFonts w:cs="Arial"/>
          <w:i/>
          <w:szCs w:val="21"/>
        </w:rPr>
        <w:t xml:space="preserve"> PNDA (pamwe ne ewu wa malu a bintu bia nyungulukilu wa buloba ne nsombelu wa bantu diba dia ndongolwelu wa midimu)</w:t>
      </w:r>
      <w:r w:rsidR="00EC500E" w:rsidRPr="00EC500E">
        <w:rPr>
          <w:rFonts w:cs="Arial"/>
          <w:i/>
          <w:szCs w:val="21"/>
        </w:rPr>
        <w:t> </w:t>
      </w:r>
      <w:r w:rsidR="00EC500E" w:rsidRPr="00EC500E">
        <w:rPr>
          <w:rFonts w:cs="Arial"/>
          <w:i/>
          <w:color w:val="000000"/>
          <w:szCs w:val="21"/>
        </w:rPr>
        <w:t>;</w:t>
      </w:r>
    </w:p>
    <w:p w14:paraId="3AE707A2" w14:textId="105AED5D" w:rsidR="005C5EB1" w:rsidRPr="00EC500E" w:rsidRDefault="005C5EB1" w:rsidP="00E4470C">
      <w:pPr>
        <w:pStyle w:val="Paragraphedeliste"/>
        <w:numPr>
          <w:ilvl w:val="0"/>
          <w:numId w:val="26"/>
        </w:numPr>
        <w:rPr>
          <w:rFonts w:cs="Arial"/>
          <w:szCs w:val="21"/>
        </w:rPr>
      </w:pPr>
      <w:r w:rsidRPr="00EC500E">
        <w:rPr>
          <w:rFonts w:cs="Arial"/>
          <w:i/>
          <w:szCs w:val="21"/>
        </w:rPr>
        <w:t>Mulombodi wa tshibambalu tsha mpetu tsha PNDA pa diba dia malongolola ne a dienzesha midimuen</w:t>
      </w:r>
      <w:r w:rsidR="00EC500E" w:rsidRPr="00EC500E">
        <w:rPr>
          <w:rFonts w:cs="Arial"/>
          <w:i/>
          <w:szCs w:val="21"/>
        </w:rPr>
        <w:t> ;</w:t>
      </w:r>
    </w:p>
    <w:p w14:paraId="01DCA385" w14:textId="3B649462" w:rsidR="005C5EB1" w:rsidRPr="00EC500E" w:rsidRDefault="005C5EB1" w:rsidP="00E4470C">
      <w:pPr>
        <w:pStyle w:val="Paragraphedeliste"/>
        <w:numPr>
          <w:ilvl w:val="0"/>
          <w:numId w:val="26"/>
        </w:numPr>
        <w:rPr>
          <w:rFonts w:cs="Arial"/>
          <w:szCs w:val="21"/>
        </w:rPr>
      </w:pPr>
      <w:r w:rsidRPr="00EC500E">
        <w:rPr>
          <w:rFonts w:cs="Arial"/>
          <w:i/>
          <w:szCs w:val="21"/>
        </w:rPr>
        <w:t>Mulombodi wa dilondela ne ditangidila wa PNDA :</w:t>
      </w:r>
      <w:r w:rsidRPr="00EC500E">
        <w:rPr>
          <w:rFonts w:cs="Arial"/>
          <w:szCs w:val="21"/>
        </w:rPr>
        <w:t xml:space="preserve"> mu tshikondo tsha dilongolola ne tsha dienzeja mudimu ne enze pende dilonda dia malu a </w:t>
      </w:r>
      <w:r w:rsidRPr="00EC500E">
        <w:rPr>
          <w:rFonts w:cs="Arial"/>
          <w:i/>
          <w:szCs w:val="21"/>
        </w:rPr>
        <w:t>bintu bia nyungulukilu wa buloba ne nsombelu wa bantu</w:t>
      </w:r>
      <w:r w:rsidRPr="00EC500E">
        <w:rPr>
          <w:rFonts w:cs="Arial"/>
          <w:szCs w:val="21"/>
        </w:rPr>
        <w:t xml:space="preserve"> ne dia malu</w:t>
      </w:r>
      <w:r w:rsidR="00EC500E" w:rsidRPr="00EC500E">
        <w:rPr>
          <w:rFonts w:cs="Arial"/>
          <w:szCs w:val="21"/>
        </w:rPr>
        <w:t xml:space="preserve"> a VBG ne a disama dia COVID-19 ;</w:t>
      </w:r>
    </w:p>
    <w:p w14:paraId="0879E875" w14:textId="77777777" w:rsidR="005C5EB1" w:rsidRPr="00E4105B" w:rsidRDefault="005C5EB1" w:rsidP="002378EA">
      <w:pPr>
        <w:numPr>
          <w:ilvl w:val="0"/>
          <w:numId w:val="26"/>
        </w:numPr>
        <w:rPr>
          <w:rFonts w:cs="Arial"/>
          <w:i/>
          <w:szCs w:val="21"/>
        </w:rPr>
      </w:pPr>
      <w:r w:rsidRPr="00E4105B">
        <w:rPr>
          <w:rFonts w:cs="Arial"/>
          <w:i/>
          <w:szCs w:val="21"/>
        </w:rPr>
        <w:t>Bibambalu bia Mbulamatadi bia kubinmenga bidi bitangidila malu a bintu bia nyungulukilu wa buloba ne nsombelu wa bantu balume ne bakaji</w:t>
      </w:r>
    </w:p>
    <w:p w14:paraId="32DEE8CC" w14:textId="77777777" w:rsidR="005C5EB1" w:rsidRPr="00EC500E" w:rsidRDefault="005C5EB1" w:rsidP="00EC500E">
      <w:pPr>
        <w:numPr>
          <w:ilvl w:val="0"/>
          <w:numId w:val="26"/>
        </w:numPr>
        <w:rPr>
          <w:rFonts w:cs="Arial"/>
          <w:i/>
          <w:szCs w:val="21"/>
        </w:rPr>
      </w:pPr>
      <w:r w:rsidRPr="00EC500E">
        <w:rPr>
          <w:rFonts w:cs="Arial"/>
          <w:i/>
          <w:szCs w:val="21"/>
        </w:rPr>
        <w:t>Agence Congolaise de l’Environnement (ACE)</w:t>
      </w:r>
    </w:p>
    <w:p w14:paraId="385B7E27" w14:textId="53E5EEB4" w:rsidR="005C5EB1" w:rsidRPr="00E4105B" w:rsidRDefault="005C5EB1" w:rsidP="002378EA">
      <w:pPr>
        <w:numPr>
          <w:ilvl w:val="0"/>
          <w:numId w:val="26"/>
        </w:numPr>
        <w:rPr>
          <w:rFonts w:cs="Arial"/>
          <w:i/>
          <w:szCs w:val="21"/>
        </w:rPr>
      </w:pPr>
      <w:r w:rsidRPr="00E4105B">
        <w:rPr>
          <w:rFonts w:cs="Arial"/>
          <w:i/>
          <w:szCs w:val="21"/>
        </w:rPr>
        <w:t>Ma Coordinations Provinciales de l’Environnement (CPE) a ku Kwilu, a ku Kasaï, a ku Kasaï Central</w:t>
      </w:r>
      <w:r w:rsidR="00EC500E">
        <w:rPr>
          <w:rFonts w:cs="Arial"/>
          <w:i/>
          <w:szCs w:val="21"/>
        </w:rPr>
        <w:t> ;</w:t>
      </w:r>
    </w:p>
    <w:p w14:paraId="0182200C" w14:textId="22577580" w:rsidR="005C5EB1" w:rsidRPr="00EC500E" w:rsidRDefault="005C5EB1" w:rsidP="002378EA">
      <w:pPr>
        <w:numPr>
          <w:ilvl w:val="0"/>
          <w:numId w:val="26"/>
        </w:numPr>
        <w:rPr>
          <w:rFonts w:cs="Arial"/>
          <w:i/>
          <w:szCs w:val="21"/>
        </w:rPr>
      </w:pPr>
      <w:r w:rsidRPr="00EC500E">
        <w:rPr>
          <w:rFonts w:cs="Arial"/>
          <w:i/>
          <w:szCs w:val="21"/>
        </w:rPr>
        <w:t>Bwa bumudiku kakuyi bilo bia mu tshimenga bia ACE (DP-ACE)</w:t>
      </w:r>
      <w:r w:rsidR="00EC500E" w:rsidRPr="00EC500E">
        <w:rPr>
          <w:rFonts w:cs="Arial"/>
          <w:i/>
          <w:szCs w:val="21"/>
        </w:rPr>
        <w:t> ;</w:t>
      </w:r>
    </w:p>
    <w:p w14:paraId="34A9425A" w14:textId="14764A19" w:rsidR="005C5EB1" w:rsidRPr="00EC500E" w:rsidRDefault="005C5EB1" w:rsidP="002378EA">
      <w:pPr>
        <w:numPr>
          <w:ilvl w:val="0"/>
          <w:numId w:val="26"/>
        </w:numPr>
        <w:ind w:right="-154"/>
        <w:rPr>
          <w:rFonts w:cs="Arial"/>
          <w:i/>
          <w:szCs w:val="21"/>
        </w:rPr>
      </w:pPr>
      <w:r w:rsidRPr="00EC500E">
        <w:rPr>
          <w:rFonts w:cs="Arial"/>
          <w:i/>
          <w:szCs w:val="21"/>
        </w:rPr>
        <w:t>Kumpanyi yangatshibwa bwa kwenza midimu (PME)</w:t>
      </w:r>
      <w:r w:rsidR="00EC500E" w:rsidRPr="00EC500E">
        <w:rPr>
          <w:rFonts w:cs="Arial"/>
          <w:i/>
          <w:szCs w:val="21"/>
        </w:rPr>
        <w:t> ;</w:t>
      </w:r>
    </w:p>
    <w:p w14:paraId="2E72618F" w14:textId="77777777" w:rsidR="005C5EB1" w:rsidRPr="00E4105B" w:rsidRDefault="005C5EB1" w:rsidP="00EC500E">
      <w:pPr>
        <w:numPr>
          <w:ilvl w:val="0"/>
          <w:numId w:val="26"/>
        </w:numPr>
        <w:rPr>
          <w:rFonts w:cs="Arial"/>
          <w:i/>
          <w:szCs w:val="21"/>
        </w:rPr>
      </w:pPr>
      <w:r w:rsidRPr="00EC500E">
        <w:rPr>
          <w:rFonts w:cs="Arial"/>
          <w:i/>
          <w:szCs w:val="21"/>
        </w:rPr>
        <w:t>Nzubu ya dienzesha midimu ku misoko (ALE)</w:t>
      </w:r>
    </w:p>
    <w:p w14:paraId="0D8A2F62" w14:textId="77777777" w:rsidR="005C5EB1" w:rsidRPr="00E4105B" w:rsidRDefault="005C5EB1" w:rsidP="002378EA">
      <w:pPr>
        <w:numPr>
          <w:ilvl w:val="0"/>
          <w:numId w:val="26"/>
        </w:numPr>
        <w:ind w:right="-154"/>
        <w:rPr>
          <w:rFonts w:cs="Arial"/>
          <w:szCs w:val="21"/>
        </w:rPr>
      </w:pPr>
      <w:r w:rsidRPr="00E4105B">
        <w:rPr>
          <w:rFonts w:cs="Arial"/>
          <w:i/>
          <w:szCs w:val="21"/>
        </w:rPr>
        <w:t>Bilo bia malonga ne bia kulondela midimu</w:t>
      </w:r>
    </w:p>
    <w:p w14:paraId="58CE0179" w14:textId="77777777" w:rsidR="005C5EB1" w:rsidRPr="00E4105B" w:rsidRDefault="005C5EB1" w:rsidP="002378EA">
      <w:pPr>
        <w:numPr>
          <w:ilvl w:val="0"/>
          <w:numId w:val="26"/>
        </w:numPr>
        <w:ind w:right="-154"/>
        <w:rPr>
          <w:rFonts w:cs="Arial"/>
          <w:i/>
          <w:szCs w:val="21"/>
        </w:rPr>
      </w:pPr>
      <w:r w:rsidRPr="00E4105B">
        <w:rPr>
          <w:rFonts w:cs="Arial"/>
          <w:i/>
          <w:szCs w:val="21"/>
        </w:rPr>
        <w:t>Bantu badi basanganyibwa mu bimenga bisungudibwe bwa mudimu</w:t>
      </w:r>
    </w:p>
    <w:p w14:paraId="721B6B87" w14:textId="77777777" w:rsidR="005C5EB1" w:rsidRPr="00E4105B" w:rsidRDefault="005C5EB1" w:rsidP="005C5EB1">
      <w:pPr>
        <w:ind w:left="720" w:right="-154"/>
        <w:rPr>
          <w:rFonts w:cs="Arial"/>
          <w:i/>
          <w:szCs w:val="21"/>
        </w:rPr>
      </w:pPr>
    </w:p>
    <w:p w14:paraId="20F8FB74" w14:textId="77777777" w:rsidR="005C5EB1" w:rsidRPr="00E4105B" w:rsidRDefault="005C5EB1" w:rsidP="005C5EB1">
      <w:pPr>
        <w:pStyle w:val="Paragraphedeliste"/>
        <w:rPr>
          <w:rFonts w:cs="Arial"/>
          <w:szCs w:val="21"/>
        </w:rPr>
      </w:pPr>
      <w:r w:rsidRPr="00E4105B">
        <w:rPr>
          <w:rFonts w:cs="Arial"/>
          <w:szCs w:val="21"/>
        </w:rPr>
        <w:t xml:space="preserve">Bantu aba ne babikidibwe mu bisangilu bwa kubapesha bu ngumu ya dilongolola dia mudimu, ne di basopesha bwa tshidibu na bwa kwenza bwa bandamune ngikadilu wabu bwa malu a mudimu enzeke biakane ; </w:t>
      </w:r>
    </w:p>
    <w:p w14:paraId="0AD349B7" w14:textId="77777777" w:rsidR="005C5EB1" w:rsidRPr="00E4105B" w:rsidRDefault="005C5EB1" w:rsidP="005C5EB1">
      <w:pPr>
        <w:pStyle w:val="Paragraphedeliste"/>
        <w:rPr>
          <w:rFonts w:cs="Arial"/>
          <w:szCs w:val="21"/>
        </w:rPr>
      </w:pPr>
    </w:p>
    <w:p w14:paraId="66BFAA46" w14:textId="0723585C" w:rsidR="005C5EB1" w:rsidRPr="00E4105B" w:rsidRDefault="005C5EB1" w:rsidP="002378EA">
      <w:pPr>
        <w:numPr>
          <w:ilvl w:val="0"/>
          <w:numId w:val="26"/>
        </w:numPr>
        <w:rPr>
          <w:rFonts w:cs="Arial"/>
          <w:szCs w:val="21"/>
        </w:rPr>
      </w:pPr>
      <w:r w:rsidRPr="00E4105B">
        <w:rPr>
          <w:rFonts w:cs="Arial"/>
          <w:i/>
          <w:szCs w:val="21"/>
        </w:rPr>
        <w:t xml:space="preserve">Tusumbu twa diambulwisha (ONG) ne bena Société civile : Tusumbu twa diambulwisha bwa malu a kutangidila </w:t>
      </w:r>
      <w:r w:rsidRPr="00E4105B">
        <w:rPr>
          <w:rFonts w:cs="Arial"/>
          <w:szCs w:val="21"/>
        </w:rPr>
        <w:t>VBG ne disama dia COVID-19, tusumbu twa bena misoko ne tusumbu tukwabu twa malu bintu bia nyungulukiluwa buloba ne nsombelu wa bantu ne tubikidibwe bwa bisangilu bia di</w:t>
      </w:r>
      <w:r w:rsidR="00EC500E">
        <w:rPr>
          <w:rFonts w:cs="Arial"/>
          <w:szCs w:val="21"/>
        </w:rPr>
        <w:t>oeshangana ngumu.</w:t>
      </w:r>
    </w:p>
    <w:p w14:paraId="6CE41AC8" w14:textId="77777777" w:rsidR="005C5EB1" w:rsidRPr="00E4105B" w:rsidRDefault="005C5EB1" w:rsidP="005C5EB1">
      <w:pPr>
        <w:tabs>
          <w:tab w:val="left" w:pos="426"/>
        </w:tabs>
        <w:rPr>
          <w:rFonts w:cs="Arial"/>
          <w:szCs w:val="21"/>
        </w:rPr>
      </w:pPr>
    </w:p>
    <w:p w14:paraId="05E448FF" w14:textId="77777777" w:rsidR="005C5EB1" w:rsidRPr="00E4105B" w:rsidRDefault="005C5EB1" w:rsidP="002378EA">
      <w:pPr>
        <w:numPr>
          <w:ilvl w:val="0"/>
          <w:numId w:val="158"/>
        </w:numPr>
        <w:rPr>
          <w:rFonts w:cs="Arial"/>
          <w:i/>
          <w:szCs w:val="21"/>
          <w:lang w:bidi="fr-FR"/>
        </w:rPr>
      </w:pPr>
      <w:r w:rsidRPr="00E4105B">
        <w:rPr>
          <w:rFonts w:cs="Arial"/>
          <w:i/>
          <w:szCs w:val="21"/>
          <w:lang w:bidi="fr-FR"/>
        </w:rPr>
        <w:t xml:space="preserve">Tshipeta tsha lupetu ludi lukengedibwa bwa kwenzela mikanu ya bintu bia nyungulukilu wa buloba ne nsombelu wa bantu </w:t>
      </w:r>
    </w:p>
    <w:p w14:paraId="21D10620" w14:textId="77777777" w:rsidR="005C5EB1" w:rsidRPr="00E4105B" w:rsidRDefault="005C5EB1" w:rsidP="005C5EB1">
      <w:pPr>
        <w:rPr>
          <w:rFonts w:cs="Arial"/>
          <w:b/>
          <w:szCs w:val="21"/>
        </w:rPr>
      </w:pPr>
    </w:p>
    <w:p w14:paraId="6AE4C8E6" w14:textId="152232F9" w:rsidR="005C5EB1" w:rsidRPr="00E4105B" w:rsidRDefault="005C5EB1" w:rsidP="005C5EB1">
      <w:pPr>
        <w:keepNext/>
        <w:tabs>
          <w:tab w:val="left" w:pos="720"/>
        </w:tabs>
        <w:outlineLvl w:val="2"/>
        <w:rPr>
          <w:rFonts w:cs="Arial"/>
          <w:szCs w:val="21"/>
        </w:rPr>
      </w:pPr>
      <w:bookmarkStart w:id="132" w:name="_Toc70326726"/>
      <w:bookmarkStart w:id="133" w:name="_Toc70326959"/>
      <w:bookmarkStart w:id="134" w:name="_Toc70330322"/>
      <w:bookmarkStart w:id="135" w:name="_Toc72336026"/>
      <w:bookmarkStart w:id="136" w:name="_Toc90393034"/>
      <w:bookmarkStart w:id="137" w:name="_Toc90471393"/>
      <w:r w:rsidRPr="00E4105B">
        <w:rPr>
          <w:rFonts w:cs="Arial"/>
          <w:szCs w:val="21"/>
        </w:rPr>
        <w:t xml:space="preserve">Tshipeta tsha mishinga ya lupetu bwa kwenzela mikanu ya bintu bia nyungulukilu wa buloba ne nsombelu wa bantu ludi lwa dollars ya bena Amérique </w:t>
      </w:r>
      <w:r w:rsidR="00202EF2" w:rsidRPr="00E4105B">
        <w:rPr>
          <w:rFonts w:cs="Arial"/>
          <w:b/>
          <w:szCs w:val="21"/>
        </w:rPr>
        <w:t>18 675 330</w:t>
      </w:r>
      <w:r w:rsidRPr="00E4105B">
        <w:rPr>
          <w:rFonts w:cs="Arial"/>
          <w:b/>
          <w:szCs w:val="21"/>
        </w:rPr>
        <w:t xml:space="preserve"> (</w:t>
      </w:r>
      <w:r w:rsidRPr="00E4105B">
        <w:rPr>
          <w:rFonts w:cs="Arial"/>
          <w:szCs w:val="21"/>
        </w:rPr>
        <w:t>USD) ibanyibwa bumudibiu bileja mu tshipapu tshidi tshilonda etshi.</w:t>
      </w:r>
      <w:bookmarkEnd w:id="132"/>
      <w:bookmarkEnd w:id="133"/>
      <w:bookmarkEnd w:id="134"/>
      <w:bookmarkEnd w:id="135"/>
      <w:bookmarkEnd w:id="136"/>
      <w:bookmarkEnd w:id="137"/>
      <w:r w:rsidRPr="00E4105B">
        <w:rPr>
          <w:rFonts w:cs="Arial"/>
          <w:szCs w:val="21"/>
        </w:rPr>
        <w:t xml:space="preserve">  </w:t>
      </w:r>
    </w:p>
    <w:p w14:paraId="3FEA0835" w14:textId="77777777" w:rsidR="005C5EB1" w:rsidRPr="00E4470C" w:rsidRDefault="005C5EB1" w:rsidP="005C5EB1">
      <w:pPr>
        <w:spacing w:line="240" w:lineRule="auto"/>
        <w:rPr>
          <w:rFonts w:cs="Arial"/>
          <w:szCs w:val="21"/>
          <w:highlight w:val="yellow"/>
        </w:rPr>
      </w:pPr>
    </w:p>
    <w:tbl>
      <w:tblPr>
        <w:tblW w:w="969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16"/>
        <w:gridCol w:w="1588"/>
        <w:gridCol w:w="1276"/>
        <w:gridCol w:w="1417"/>
      </w:tblGrid>
      <w:tr w:rsidR="005C5EB1" w:rsidRPr="007F41C5" w14:paraId="7677E80F" w14:textId="77777777" w:rsidTr="005C5EB1">
        <w:trPr>
          <w:trHeight w:val="260"/>
        </w:trPr>
        <w:tc>
          <w:tcPr>
            <w:tcW w:w="5416" w:type="dxa"/>
          </w:tcPr>
          <w:p w14:paraId="10499EB7" w14:textId="77777777" w:rsidR="005C5EB1" w:rsidRPr="00E4470C" w:rsidRDefault="005C5EB1" w:rsidP="005C5EB1">
            <w:pPr>
              <w:jc w:val="center"/>
              <w:rPr>
                <w:rFonts w:cs="Arial"/>
                <w:b/>
                <w:sz w:val="20"/>
                <w:szCs w:val="20"/>
              </w:rPr>
            </w:pPr>
          </w:p>
          <w:p w14:paraId="735A9490" w14:textId="77777777" w:rsidR="005C5EB1" w:rsidRPr="00E4105B" w:rsidRDefault="005C5EB1" w:rsidP="005C5EB1">
            <w:pPr>
              <w:jc w:val="center"/>
              <w:rPr>
                <w:rFonts w:cs="Arial"/>
                <w:b/>
                <w:sz w:val="20"/>
                <w:szCs w:val="20"/>
              </w:rPr>
            </w:pPr>
            <w:r w:rsidRPr="00E4105B">
              <w:rPr>
                <w:rFonts w:cs="Arial"/>
                <w:b/>
                <w:sz w:val="20"/>
                <w:szCs w:val="20"/>
              </w:rPr>
              <w:t>Midimu</w:t>
            </w:r>
          </w:p>
        </w:tc>
        <w:tc>
          <w:tcPr>
            <w:tcW w:w="1588" w:type="dxa"/>
          </w:tcPr>
          <w:p w14:paraId="75026074" w14:textId="77777777" w:rsidR="005C5EB1" w:rsidRPr="00E4105B" w:rsidRDefault="005C5EB1" w:rsidP="005C5EB1">
            <w:pPr>
              <w:jc w:val="center"/>
              <w:rPr>
                <w:rFonts w:cs="Arial"/>
                <w:b/>
                <w:bCs/>
                <w:sz w:val="20"/>
                <w:szCs w:val="20"/>
              </w:rPr>
            </w:pPr>
          </w:p>
          <w:p w14:paraId="773B43FD" w14:textId="77777777" w:rsidR="005C5EB1" w:rsidRPr="00E4105B" w:rsidRDefault="005C5EB1" w:rsidP="005C5EB1">
            <w:pPr>
              <w:jc w:val="center"/>
              <w:rPr>
                <w:rFonts w:cs="Arial"/>
                <w:sz w:val="20"/>
                <w:szCs w:val="20"/>
              </w:rPr>
            </w:pPr>
            <w:r w:rsidRPr="00E4105B">
              <w:rPr>
                <w:rFonts w:cs="Arial"/>
                <w:b/>
                <w:bCs/>
                <w:sz w:val="20"/>
                <w:szCs w:val="20"/>
              </w:rPr>
              <w:t>Bungi</w:t>
            </w:r>
          </w:p>
        </w:tc>
        <w:tc>
          <w:tcPr>
            <w:tcW w:w="1276" w:type="dxa"/>
          </w:tcPr>
          <w:p w14:paraId="37AC38DF" w14:textId="77777777" w:rsidR="005C5EB1" w:rsidRPr="00E4105B" w:rsidRDefault="005C5EB1" w:rsidP="005C5EB1">
            <w:pPr>
              <w:jc w:val="center"/>
              <w:rPr>
                <w:rFonts w:cs="Arial"/>
                <w:b/>
                <w:bCs/>
                <w:sz w:val="20"/>
                <w:szCs w:val="20"/>
              </w:rPr>
            </w:pPr>
            <w:r w:rsidRPr="00E4105B">
              <w:rPr>
                <w:rFonts w:cs="Arial"/>
                <w:b/>
                <w:bCs/>
                <w:sz w:val="20"/>
                <w:szCs w:val="20"/>
              </w:rPr>
              <w:t xml:space="preserve"> ushinga pa tshimwe</w:t>
            </w:r>
          </w:p>
          <w:p w14:paraId="650E9581" w14:textId="77777777" w:rsidR="005C5EB1" w:rsidRPr="00E4105B" w:rsidRDefault="005C5EB1" w:rsidP="005C5EB1">
            <w:pPr>
              <w:jc w:val="center"/>
              <w:rPr>
                <w:rFonts w:cs="Arial"/>
                <w:b/>
                <w:sz w:val="20"/>
                <w:szCs w:val="20"/>
              </w:rPr>
            </w:pPr>
            <w:r w:rsidRPr="00E4105B">
              <w:rPr>
                <w:rFonts w:cs="Arial"/>
                <w:b/>
                <w:sz w:val="20"/>
                <w:szCs w:val="20"/>
              </w:rPr>
              <w:t>(USD)</w:t>
            </w:r>
          </w:p>
        </w:tc>
        <w:tc>
          <w:tcPr>
            <w:tcW w:w="1417" w:type="dxa"/>
          </w:tcPr>
          <w:p w14:paraId="7B8A758A" w14:textId="77777777" w:rsidR="005C5EB1" w:rsidRPr="00E4105B" w:rsidRDefault="005C5EB1" w:rsidP="005C5EB1">
            <w:pPr>
              <w:jc w:val="center"/>
              <w:rPr>
                <w:rFonts w:cs="Arial"/>
                <w:b/>
                <w:bCs/>
                <w:sz w:val="20"/>
                <w:szCs w:val="20"/>
                <w:lang w:val="fr-CA"/>
              </w:rPr>
            </w:pPr>
            <w:r w:rsidRPr="00E4105B">
              <w:rPr>
                <w:rFonts w:cs="Arial"/>
                <w:b/>
                <w:bCs/>
                <w:sz w:val="20"/>
                <w:szCs w:val="20"/>
                <w:lang w:val="fr-CA"/>
              </w:rPr>
              <w:t>Tshipeta tsha mushinga</w:t>
            </w:r>
          </w:p>
          <w:p w14:paraId="09CC1CC2" w14:textId="77777777" w:rsidR="005C5EB1" w:rsidRPr="00E4105B" w:rsidRDefault="005C5EB1" w:rsidP="005C5EB1">
            <w:pPr>
              <w:jc w:val="center"/>
              <w:rPr>
                <w:rFonts w:cs="Arial"/>
                <w:sz w:val="20"/>
                <w:szCs w:val="20"/>
              </w:rPr>
            </w:pPr>
            <w:r w:rsidRPr="00E4105B">
              <w:rPr>
                <w:rFonts w:cs="Arial"/>
                <w:b/>
                <w:bCs/>
                <w:sz w:val="20"/>
                <w:szCs w:val="20"/>
                <w:lang w:val="fr-CA"/>
              </w:rPr>
              <w:t>(USD)</w:t>
            </w:r>
          </w:p>
        </w:tc>
      </w:tr>
      <w:tr w:rsidR="005C5EB1" w:rsidRPr="007F41C5" w14:paraId="2812AE8B" w14:textId="77777777" w:rsidTr="005C5EB1">
        <w:trPr>
          <w:trHeight w:val="276"/>
        </w:trPr>
        <w:tc>
          <w:tcPr>
            <w:tcW w:w="5416" w:type="dxa"/>
          </w:tcPr>
          <w:p w14:paraId="710E8061" w14:textId="77777777" w:rsidR="005C5EB1" w:rsidRPr="00E4105B" w:rsidRDefault="005C5EB1" w:rsidP="005C5EB1">
            <w:pPr>
              <w:rPr>
                <w:rFonts w:cs="Arial"/>
                <w:bCs/>
                <w:sz w:val="20"/>
                <w:szCs w:val="20"/>
              </w:rPr>
            </w:pPr>
            <w:r w:rsidRPr="00E4105B">
              <w:rPr>
                <w:rFonts w:cs="Arial"/>
                <w:bCs/>
                <w:sz w:val="20"/>
                <w:szCs w:val="20"/>
              </w:rPr>
              <w:t>Dienzesha ne dienzela malonga</w:t>
            </w:r>
            <w:r w:rsidRPr="00E4105B">
              <w:rPr>
                <w:rFonts w:cs="Arial"/>
                <w:sz w:val="20"/>
                <w:szCs w:val="20"/>
              </w:rPr>
              <w:t xml:space="preserve"> </w:t>
            </w:r>
            <w:r w:rsidRPr="00E4105B">
              <w:rPr>
                <w:rFonts w:cs="Arial"/>
                <w:bCs/>
                <w:sz w:val="20"/>
                <w:szCs w:val="20"/>
              </w:rPr>
              <w:t xml:space="preserve">EIES/PGES   </w:t>
            </w:r>
          </w:p>
        </w:tc>
        <w:tc>
          <w:tcPr>
            <w:tcW w:w="1588" w:type="dxa"/>
          </w:tcPr>
          <w:p w14:paraId="54601009" w14:textId="77777777" w:rsidR="005C5EB1" w:rsidRPr="00E4105B" w:rsidRDefault="005C5EB1" w:rsidP="005C5EB1">
            <w:pPr>
              <w:ind w:left="-57"/>
              <w:jc w:val="center"/>
              <w:rPr>
                <w:rFonts w:cs="Arial"/>
                <w:sz w:val="20"/>
                <w:szCs w:val="20"/>
              </w:rPr>
            </w:pPr>
            <w:r w:rsidRPr="00E4105B">
              <w:rPr>
                <w:rFonts w:cs="Arial"/>
                <w:sz w:val="20"/>
                <w:szCs w:val="20"/>
              </w:rPr>
              <w:t>30</w:t>
            </w:r>
          </w:p>
        </w:tc>
        <w:tc>
          <w:tcPr>
            <w:tcW w:w="1276" w:type="dxa"/>
          </w:tcPr>
          <w:p w14:paraId="0453FA6C" w14:textId="77777777" w:rsidR="005C5EB1" w:rsidRPr="00E4105B" w:rsidRDefault="005C5EB1" w:rsidP="005C5EB1">
            <w:pPr>
              <w:jc w:val="right"/>
              <w:rPr>
                <w:rFonts w:cs="Arial"/>
                <w:sz w:val="20"/>
                <w:szCs w:val="20"/>
              </w:rPr>
            </w:pPr>
            <w:r w:rsidRPr="00E4105B">
              <w:rPr>
                <w:rFonts w:cs="Arial"/>
                <w:sz w:val="20"/>
                <w:szCs w:val="20"/>
              </w:rPr>
              <w:t>50 000</w:t>
            </w:r>
          </w:p>
        </w:tc>
        <w:tc>
          <w:tcPr>
            <w:tcW w:w="1417" w:type="dxa"/>
          </w:tcPr>
          <w:p w14:paraId="24BAA9D9" w14:textId="77777777" w:rsidR="005C5EB1" w:rsidRPr="00E4105B" w:rsidRDefault="005C5EB1" w:rsidP="005C5EB1">
            <w:pPr>
              <w:jc w:val="right"/>
              <w:rPr>
                <w:rFonts w:cs="Arial"/>
                <w:sz w:val="20"/>
                <w:szCs w:val="20"/>
              </w:rPr>
            </w:pPr>
            <w:r w:rsidRPr="00E4105B">
              <w:rPr>
                <w:rFonts w:cs="Arial"/>
                <w:sz w:val="20"/>
                <w:szCs w:val="20"/>
              </w:rPr>
              <w:t>1 500 000</w:t>
            </w:r>
          </w:p>
        </w:tc>
      </w:tr>
      <w:tr w:rsidR="005C5EB1" w:rsidRPr="007F41C5" w14:paraId="16F621AB" w14:textId="77777777" w:rsidTr="005C5EB1">
        <w:trPr>
          <w:trHeight w:val="276"/>
        </w:trPr>
        <w:tc>
          <w:tcPr>
            <w:tcW w:w="5416" w:type="dxa"/>
          </w:tcPr>
          <w:p w14:paraId="6FBED3A0" w14:textId="77777777" w:rsidR="005C5EB1" w:rsidRPr="00E4105B" w:rsidRDefault="005C5EB1" w:rsidP="005C5EB1">
            <w:pPr>
              <w:rPr>
                <w:rFonts w:cs="Arial"/>
                <w:bCs/>
                <w:sz w:val="20"/>
                <w:szCs w:val="20"/>
              </w:rPr>
            </w:pPr>
            <w:r w:rsidRPr="00E4105B">
              <w:rPr>
                <w:rFonts w:cs="Arial"/>
                <w:bCs/>
                <w:sz w:val="20"/>
                <w:szCs w:val="20"/>
              </w:rPr>
              <w:t>Dilongolwesha malonga a PAR</w:t>
            </w:r>
          </w:p>
        </w:tc>
        <w:tc>
          <w:tcPr>
            <w:tcW w:w="1588" w:type="dxa"/>
          </w:tcPr>
          <w:p w14:paraId="06C985C2" w14:textId="77777777" w:rsidR="005C5EB1" w:rsidRPr="00E4105B" w:rsidRDefault="005C5EB1" w:rsidP="005C5EB1">
            <w:pPr>
              <w:ind w:left="-57"/>
              <w:jc w:val="center"/>
              <w:rPr>
                <w:rFonts w:cs="Arial"/>
                <w:sz w:val="20"/>
                <w:szCs w:val="20"/>
              </w:rPr>
            </w:pPr>
            <w:r w:rsidRPr="00E4105B">
              <w:rPr>
                <w:rFonts w:cs="Arial"/>
                <w:sz w:val="20"/>
                <w:szCs w:val="20"/>
              </w:rPr>
              <w:t>30</w:t>
            </w:r>
          </w:p>
        </w:tc>
        <w:tc>
          <w:tcPr>
            <w:tcW w:w="1276" w:type="dxa"/>
          </w:tcPr>
          <w:p w14:paraId="7C1D14DA" w14:textId="77777777" w:rsidR="005C5EB1" w:rsidRPr="00E4105B" w:rsidRDefault="005C5EB1" w:rsidP="005C5EB1">
            <w:pPr>
              <w:jc w:val="right"/>
              <w:rPr>
                <w:rFonts w:cs="Arial"/>
                <w:sz w:val="20"/>
                <w:szCs w:val="20"/>
              </w:rPr>
            </w:pPr>
            <w:r w:rsidRPr="00E4105B">
              <w:rPr>
                <w:rFonts w:cs="Arial"/>
                <w:sz w:val="20"/>
                <w:szCs w:val="20"/>
              </w:rPr>
              <w:t>60 000</w:t>
            </w:r>
          </w:p>
        </w:tc>
        <w:tc>
          <w:tcPr>
            <w:tcW w:w="1417" w:type="dxa"/>
          </w:tcPr>
          <w:p w14:paraId="02B5E3F0" w14:textId="77777777" w:rsidR="005C5EB1" w:rsidRPr="00E4105B" w:rsidRDefault="005C5EB1" w:rsidP="005C5EB1">
            <w:pPr>
              <w:jc w:val="right"/>
              <w:rPr>
                <w:rFonts w:cs="Arial"/>
                <w:sz w:val="20"/>
                <w:szCs w:val="20"/>
              </w:rPr>
            </w:pPr>
            <w:r w:rsidRPr="00E4105B">
              <w:rPr>
                <w:rFonts w:cs="Arial"/>
                <w:sz w:val="20"/>
                <w:szCs w:val="20"/>
              </w:rPr>
              <w:t>1 800 000</w:t>
            </w:r>
          </w:p>
        </w:tc>
      </w:tr>
      <w:tr w:rsidR="005C5EB1" w:rsidRPr="007F41C5" w14:paraId="600225A3" w14:textId="77777777" w:rsidTr="005C5EB1">
        <w:trPr>
          <w:trHeight w:val="276"/>
        </w:trPr>
        <w:tc>
          <w:tcPr>
            <w:tcW w:w="5416" w:type="dxa"/>
          </w:tcPr>
          <w:p w14:paraId="7B76486E" w14:textId="77777777" w:rsidR="005C5EB1" w:rsidRPr="00E4105B" w:rsidRDefault="005C5EB1" w:rsidP="005C5EB1">
            <w:pPr>
              <w:rPr>
                <w:rFonts w:cs="Arial"/>
                <w:bCs/>
                <w:sz w:val="20"/>
                <w:szCs w:val="20"/>
              </w:rPr>
            </w:pPr>
            <w:r w:rsidRPr="00E4105B">
              <w:rPr>
                <w:rFonts w:cs="Arial"/>
                <w:bCs/>
                <w:sz w:val="20"/>
                <w:szCs w:val="20"/>
              </w:rPr>
              <w:t>Ditumikila malonga a PAR</w:t>
            </w:r>
          </w:p>
        </w:tc>
        <w:tc>
          <w:tcPr>
            <w:tcW w:w="1588" w:type="dxa"/>
          </w:tcPr>
          <w:p w14:paraId="03C5945B" w14:textId="77777777" w:rsidR="005C5EB1" w:rsidRPr="00E4105B" w:rsidRDefault="005C5EB1" w:rsidP="005C5EB1">
            <w:pPr>
              <w:ind w:left="-57"/>
              <w:jc w:val="center"/>
              <w:rPr>
                <w:rFonts w:cs="Arial"/>
                <w:sz w:val="20"/>
                <w:szCs w:val="20"/>
              </w:rPr>
            </w:pPr>
            <w:r w:rsidRPr="00E4105B">
              <w:rPr>
                <w:rFonts w:cs="Arial"/>
                <w:sz w:val="20"/>
                <w:szCs w:val="20"/>
              </w:rPr>
              <w:t>30</w:t>
            </w:r>
          </w:p>
        </w:tc>
        <w:tc>
          <w:tcPr>
            <w:tcW w:w="1276" w:type="dxa"/>
          </w:tcPr>
          <w:p w14:paraId="4DD92C38" w14:textId="77777777" w:rsidR="005C5EB1" w:rsidRPr="00E4105B" w:rsidRDefault="005C5EB1" w:rsidP="005C5EB1">
            <w:pPr>
              <w:jc w:val="right"/>
              <w:rPr>
                <w:rFonts w:cs="Arial"/>
                <w:sz w:val="20"/>
                <w:szCs w:val="20"/>
              </w:rPr>
            </w:pPr>
            <w:r w:rsidRPr="00E4105B">
              <w:rPr>
                <w:rFonts w:cs="Arial"/>
                <w:sz w:val="20"/>
                <w:szCs w:val="20"/>
              </w:rPr>
              <w:t>40 000</w:t>
            </w:r>
          </w:p>
        </w:tc>
        <w:tc>
          <w:tcPr>
            <w:tcW w:w="1417" w:type="dxa"/>
          </w:tcPr>
          <w:p w14:paraId="1F822CEC" w14:textId="77777777" w:rsidR="005C5EB1" w:rsidRPr="00E4105B" w:rsidRDefault="005C5EB1" w:rsidP="005C5EB1">
            <w:pPr>
              <w:jc w:val="center"/>
              <w:rPr>
                <w:rFonts w:cs="Arial"/>
                <w:sz w:val="20"/>
                <w:szCs w:val="20"/>
              </w:rPr>
            </w:pPr>
            <w:r w:rsidRPr="00E4105B">
              <w:rPr>
                <w:rFonts w:cs="Arial"/>
                <w:sz w:val="20"/>
                <w:szCs w:val="20"/>
              </w:rPr>
              <w:t xml:space="preserve">   1 200 000</w:t>
            </w:r>
          </w:p>
        </w:tc>
      </w:tr>
      <w:tr w:rsidR="005C5EB1" w:rsidRPr="007F41C5" w14:paraId="23E30B93" w14:textId="77777777" w:rsidTr="005C5EB1">
        <w:trPr>
          <w:trHeight w:val="276"/>
        </w:trPr>
        <w:tc>
          <w:tcPr>
            <w:tcW w:w="5416" w:type="dxa"/>
          </w:tcPr>
          <w:p w14:paraId="4D6AB821" w14:textId="77777777" w:rsidR="005C5EB1" w:rsidRPr="00E4105B" w:rsidRDefault="005C5EB1" w:rsidP="005C5EB1">
            <w:pPr>
              <w:rPr>
                <w:rFonts w:cs="Arial"/>
                <w:bCs/>
                <w:sz w:val="20"/>
                <w:szCs w:val="20"/>
              </w:rPr>
            </w:pPr>
            <w:r w:rsidRPr="00E4105B">
              <w:rPr>
                <w:rFonts w:cs="Arial"/>
                <w:bCs/>
                <w:sz w:val="20"/>
                <w:szCs w:val="20"/>
              </w:rPr>
              <w:t>Dilongolwesha mukanda wa PGES</w:t>
            </w:r>
          </w:p>
        </w:tc>
        <w:tc>
          <w:tcPr>
            <w:tcW w:w="1588" w:type="dxa"/>
          </w:tcPr>
          <w:p w14:paraId="1226A2A2" w14:textId="77777777" w:rsidR="005C5EB1" w:rsidRPr="00E4105B" w:rsidRDefault="005C5EB1" w:rsidP="005C5EB1">
            <w:pPr>
              <w:ind w:left="-57"/>
              <w:jc w:val="center"/>
              <w:rPr>
                <w:rFonts w:cs="Arial"/>
                <w:sz w:val="20"/>
                <w:szCs w:val="20"/>
              </w:rPr>
            </w:pPr>
            <w:r w:rsidRPr="00E4105B">
              <w:rPr>
                <w:rFonts w:cs="Arial"/>
                <w:sz w:val="20"/>
                <w:szCs w:val="20"/>
              </w:rPr>
              <w:t>1</w:t>
            </w:r>
          </w:p>
        </w:tc>
        <w:tc>
          <w:tcPr>
            <w:tcW w:w="1276" w:type="dxa"/>
          </w:tcPr>
          <w:p w14:paraId="6F39CFC1" w14:textId="77777777" w:rsidR="005C5EB1" w:rsidRPr="00E4105B" w:rsidRDefault="005C5EB1" w:rsidP="005C5EB1">
            <w:pPr>
              <w:jc w:val="right"/>
              <w:rPr>
                <w:rFonts w:cs="Arial"/>
                <w:sz w:val="20"/>
                <w:szCs w:val="20"/>
              </w:rPr>
            </w:pPr>
            <w:r w:rsidRPr="00E4105B">
              <w:rPr>
                <w:rFonts w:cs="Arial"/>
                <w:sz w:val="20"/>
                <w:szCs w:val="20"/>
              </w:rPr>
              <w:t>100 000</w:t>
            </w:r>
          </w:p>
        </w:tc>
        <w:tc>
          <w:tcPr>
            <w:tcW w:w="1417" w:type="dxa"/>
          </w:tcPr>
          <w:p w14:paraId="17E41414" w14:textId="77777777" w:rsidR="005C5EB1" w:rsidRPr="00E4105B" w:rsidRDefault="005C5EB1" w:rsidP="005C5EB1">
            <w:pPr>
              <w:jc w:val="center"/>
              <w:rPr>
                <w:rFonts w:cs="Arial"/>
                <w:sz w:val="20"/>
                <w:szCs w:val="20"/>
              </w:rPr>
            </w:pPr>
            <w:r w:rsidRPr="00E4105B">
              <w:rPr>
                <w:rFonts w:cs="Arial"/>
                <w:sz w:val="20"/>
                <w:szCs w:val="20"/>
              </w:rPr>
              <w:t xml:space="preserve">      100 000</w:t>
            </w:r>
          </w:p>
        </w:tc>
      </w:tr>
      <w:tr w:rsidR="005C5EB1" w:rsidRPr="007F41C5" w14:paraId="55DE92E5" w14:textId="77777777" w:rsidTr="005C5EB1">
        <w:trPr>
          <w:trHeight w:val="276"/>
        </w:trPr>
        <w:tc>
          <w:tcPr>
            <w:tcW w:w="5416" w:type="dxa"/>
          </w:tcPr>
          <w:p w14:paraId="583FC4BE" w14:textId="77777777" w:rsidR="005C5EB1" w:rsidRPr="00E4105B" w:rsidRDefault="005C5EB1" w:rsidP="005C5EB1">
            <w:pPr>
              <w:rPr>
                <w:rFonts w:cs="Arial"/>
                <w:bCs/>
                <w:sz w:val="20"/>
                <w:szCs w:val="20"/>
              </w:rPr>
            </w:pPr>
            <w:r w:rsidRPr="00E4105B">
              <w:rPr>
                <w:rFonts w:cs="Arial"/>
                <w:bCs/>
                <w:sz w:val="20"/>
                <w:szCs w:val="20"/>
              </w:rPr>
              <w:t>Dilongolwesha ne ditumikila malonga a PGB</w:t>
            </w:r>
          </w:p>
        </w:tc>
        <w:tc>
          <w:tcPr>
            <w:tcW w:w="1588" w:type="dxa"/>
          </w:tcPr>
          <w:p w14:paraId="216B8BA9" w14:textId="77777777" w:rsidR="005C5EB1" w:rsidRPr="00E4105B" w:rsidRDefault="005C5EB1" w:rsidP="005C5EB1">
            <w:pPr>
              <w:ind w:left="-57"/>
              <w:jc w:val="center"/>
              <w:rPr>
                <w:rFonts w:cs="Arial"/>
                <w:sz w:val="20"/>
                <w:szCs w:val="20"/>
              </w:rPr>
            </w:pPr>
            <w:r w:rsidRPr="00E4105B">
              <w:rPr>
                <w:rFonts w:cs="Arial"/>
                <w:sz w:val="20"/>
                <w:szCs w:val="20"/>
              </w:rPr>
              <w:t>1</w:t>
            </w:r>
          </w:p>
        </w:tc>
        <w:tc>
          <w:tcPr>
            <w:tcW w:w="1276" w:type="dxa"/>
          </w:tcPr>
          <w:p w14:paraId="35D995AE" w14:textId="77777777" w:rsidR="005C5EB1" w:rsidRPr="00E4105B" w:rsidRDefault="005C5EB1" w:rsidP="005C5EB1">
            <w:pPr>
              <w:jc w:val="right"/>
              <w:rPr>
                <w:rFonts w:cs="Arial"/>
                <w:sz w:val="20"/>
                <w:szCs w:val="20"/>
              </w:rPr>
            </w:pPr>
            <w:r w:rsidRPr="00E4105B">
              <w:rPr>
                <w:rFonts w:cs="Arial"/>
                <w:sz w:val="20"/>
                <w:szCs w:val="20"/>
              </w:rPr>
              <w:t>300 000</w:t>
            </w:r>
          </w:p>
        </w:tc>
        <w:tc>
          <w:tcPr>
            <w:tcW w:w="1417" w:type="dxa"/>
          </w:tcPr>
          <w:p w14:paraId="77501265" w14:textId="77777777" w:rsidR="005C5EB1" w:rsidRPr="00E4105B" w:rsidRDefault="005C5EB1" w:rsidP="005C5EB1">
            <w:pPr>
              <w:jc w:val="center"/>
              <w:rPr>
                <w:rFonts w:cs="Arial"/>
                <w:sz w:val="20"/>
                <w:szCs w:val="20"/>
              </w:rPr>
            </w:pPr>
            <w:r w:rsidRPr="00E4105B">
              <w:rPr>
                <w:rFonts w:cs="Arial"/>
                <w:sz w:val="20"/>
                <w:szCs w:val="20"/>
              </w:rPr>
              <w:t xml:space="preserve">      500 000</w:t>
            </w:r>
          </w:p>
        </w:tc>
      </w:tr>
      <w:tr w:rsidR="005C5EB1" w:rsidRPr="007F41C5" w14:paraId="69838079" w14:textId="77777777" w:rsidTr="005C5EB1">
        <w:trPr>
          <w:trHeight w:val="276"/>
        </w:trPr>
        <w:tc>
          <w:tcPr>
            <w:tcW w:w="5416" w:type="dxa"/>
          </w:tcPr>
          <w:p w14:paraId="56B62BBD" w14:textId="77777777" w:rsidR="005C5EB1" w:rsidRPr="00E4105B" w:rsidRDefault="005C5EB1" w:rsidP="005C5EB1">
            <w:pPr>
              <w:rPr>
                <w:rFonts w:cs="Arial"/>
                <w:bCs/>
                <w:sz w:val="20"/>
                <w:szCs w:val="20"/>
              </w:rPr>
            </w:pPr>
            <w:r w:rsidRPr="00E4105B">
              <w:rPr>
                <w:rFonts w:cs="Arial"/>
                <w:bCs/>
                <w:sz w:val="20"/>
                <w:szCs w:val="20"/>
              </w:rPr>
              <w:t>Ditumikila  PMPP ne MGP wa mudimu bwa malu a VBG</w:t>
            </w:r>
          </w:p>
        </w:tc>
        <w:tc>
          <w:tcPr>
            <w:tcW w:w="1588" w:type="dxa"/>
          </w:tcPr>
          <w:p w14:paraId="25B8D59E" w14:textId="77777777" w:rsidR="005C5EB1" w:rsidRPr="00E4105B" w:rsidRDefault="005C5EB1" w:rsidP="005C5EB1">
            <w:pPr>
              <w:ind w:left="-57"/>
              <w:jc w:val="center"/>
              <w:rPr>
                <w:rFonts w:cs="Arial"/>
                <w:sz w:val="20"/>
                <w:szCs w:val="20"/>
              </w:rPr>
            </w:pPr>
            <w:r w:rsidRPr="00E4105B">
              <w:rPr>
                <w:rFonts w:cs="Arial"/>
                <w:sz w:val="20"/>
                <w:szCs w:val="20"/>
              </w:rPr>
              <w:t>1</w:t>
            </w:r>
          </w:p>
        </w:tc>
        <w:tc>
          <w:tcPr>
            <w:tcW w:w="1276" w:type="dxa"/>
          </w:tcPr>
          <w:p w14:paraId="3EE7CDB7" w14:textId="77777777" w:rsidR="005C5EB1" w:rsidRPr="00E4105B" w:rsidRDefault="005C5EB1" w:rsidP="005C5EB1">
            <w:pPr>
              <w:jc w:val="right"/>
              <w:rPr>
                <w:rFonts w:cs="Arial"/>
                <w:sz w:val="20"/>
                <w:szCs w:val="20"/>
              </w:rPr>
            </w:pPr>
            <w:r w:rsidRPr="00E4105B">
              <w:rPr>
                <w:rFonts w:cs="Arial"/>
                <w:sz w:val="20"/>
                <w:szCs w:val="20"/>
              </w:rPr>
              <w:t>2 323 000</w:t>
            </w:r>
          </w:p>
        </w:tc>
        <w:tc>
          <w:tcPr>
            <w:tcW w:w="1417" w:type="dxa"/>
          </w:tcPr>
          <w:p w14:paraId="5DCBAB9D" w14:textId="77777777" w:rsidR="005C5EB1" w:rsidRPr="00E4105B" w:rsidRDefault="005C5EB1" w:rsidP="005C5EB1">
            <w:pPr>
              <w:jc w:val="right"/>
              <w:rPr>
                <w:rFonts w:cs="Arial"/>
                <w:sz w:val="20"/>
                <w:szCs w:val="20"/>
              </w:rPr>
            </w:pPr>
            <w:r w:rsidRPr="00E4105B">
              <w:rPr>
                <w:rFonts w:cs="Arial"/>
                <w:sz w:val="20"/>
                <w:szCs w:val="20"/>
              </w:rPr>
              <w:t xml:space="preserve"> 2 323 000</w:t>
            </w:r>
          </w:p>
        </w:tc>
      </w:tr>
      <w:tr w:rsidR="005C5EB1" w:rsidRPr="007F41C5" w14:paraId="19BD3865" w14:textId="77777777" w:rsidTr="005C5EB1">
        <w:trPr>
          <w:trHeight w:val="260"/>
        </w:trPr>
        <w:tc>
          <w:tcPr>
            <w:tcW w:w="5416" w:type="dxa"/>
          </w:tcPr>
          <w:p w14:paraId="74E48502" w14:textId="77777777" w:rsidR="005C5EB1" w:rsidRPr="00E4105B" w:rsidRDefault="005C5EB1" w:rsidP="005C5EB1">
            <w:pPr>
              <w:rPr>
                <w:rFonts w:cs="Arial"/>
                <w:sz w:val="20"/>
                <w:szCs w:val="20"/>
              </w:rPr>
            </w:pPr>
            <w:r w:rsidRPr="00E4105B">
              <w:rPr>
                <w:rFonts w:cs="Arial"/>
                <w:bCs/>
                <w:sz w:val="20"/>
                <w:szCs w:val="20"/>
              </w:rPr>
              <w:t xml:space="preserve">Diambulwisha bwa kulongolola miaba ya kwangatshila maloba bwa midimu </w:t>
            </w:r>
          </w:p>
        </w:tc>
        <w:tc>
          <w:tcPr>
            <w:tcW w:w="1588" w:type="dxa"/>
          </w:tcPr>
          <w:p w14:paraId="7DCFA2DF" w14:textId="77777777" w:rsidR="005C5EB1" w:rsidRPr="00E4105B" w:rsidRDefault="005C5EB1" w:rsidP="005C5EB1">
            <w:pPr>
              <w:jc w:val="center"/>
              <w:rPr>
                <w:rFonts w:cs="Arial"/>
                <w:sz w:val="20"/>
                <w:szCs w:val="20"/>
              </w:rPr>
            </w:pPr>
            <w:r w:rsidRPr="00E4105B">
              <w:rPr>
                <w:rFonts w:cs="Arial"/>
                <w:sz w:val="20"/>
                <w:szCs w:val="20"/>
              </w:rPr>
              <w:t>5</w:t>
            </w:r>
          </w:p>
        </w:tc>
        <w:tc>
          <w:tcPr>
            <w:tcW w:w="1276" w:type="dxa"/>
          </w:tcPr>
          <w:p w14:paraId="21A83CAD" w14:textId="77777777" w:rsidR="005C5EB1" w:rsidRPr="00E4105B" w:rsidRDefault="005C5EB1" w:rsidP="005C5EB1">
            <w:pPr>
              <w:jc w:val="right"/>
              <w:rPr>
                <w:rFonts w:cs="Arial"/>
                <w:sz w:val="20"/>
                <w:szCs w:val="20"/>
              </w:rPr>
            </w:pPr>
            <w:r w:rsidRPr="00E4105B">
              <w:rPr>
                <w:rFonts w:cs="Arial"/>
                <w:sz w:val="20"/>
                <w:szCs w:val="20"/>
              </w:rPr>
              <w:t>50 000</w:t>
            </w:r>
          </w:p>
        </w:tc>
        <w:tc>
          <w:tcPr>
            <w:tcW w:w="1417" w:type="dxa"/>
          </w:tcPr>
          <w:p w14:paraId="4E2C6F78" w14:textId="77777777" w:rsidR="005C5EB1" w:rsidRPr="00E4105B" w:rsidRDefault="005C5EB1" w:rsidP="005C5EB1">
            <w:pPr>
              <w:jc w:val="right"/>
              <w:rPr>
                <w:rFonts w:cs="Arial"/>
                <w:sz w:val="20"/>
                <w:szCs w:val="20"/>
              </w:rPr>
            </w:pPr>
            <w:r w:rsidRPr="00E4105B">
              <w:rPr>
                <w:rFonts w:cs="Arial"/>
                <w:sz w:val="20"/>
                <w:szCs w:val="20"/>
              </w:rPr>
              <w:t>250 000 </w:t>
            </w:r>
          </w:p>
        </w:tc>
      </w:tr>
      <w:tr w:rsidR="005C5EB1" w:rsidRPr="007F41C5" w14:paraId="02B392D8" w14:textId="77777777" w:rsidTr="005C5EB1">
        <w:trPr>
          <w:trHeight w:val="260"/>
        </w:trPr>
        <w:tc>
          <w:tcPr>
            <w:tcW w:w="5416" w:type="dxa"/>
          </w:tcPr>
          <w:p w14:paraId="0B294074" w14:textId="77777777" w:rsidR="005C5EB1" w:rsidRPr="00E4105B" w:rsidRDefault="005C5EB1" w:rsidP="005C5EB1">
            <w:pPr>
              <w:rPr>
                <w:rFonts w:cs="Arial"/>
                <w:sz w:val="20"/>
                <w:szCs w:val="20"/>
                <w:lang w:val="en-US"/>
              </w:rPr>
            </w:pPr>
            <w:r w:rsidRPr="00E4105B">
              <w:rPr>
                <w:rFonts w:cs="Arial"/>
                <w:sz w:val="20"/>
                <w:szCs w:val="20"/>
                <w:lang w:val="en-US"/>
              </w:rPr>
              <w:t>Dipesha biamwa bia midimu ya madimi</w:t>
            </w:r>
          </w:p>
        </w:tc>
        <w:tc>
          <w:tcPr>
            <w:tcW w:w="1588" w:type="dxa"/>
          </w:tcPr>
          <w:p w14:paraId="489A59BD" w14:textId="77777777" w:rsidR="005C5EB1" w:rsidRPr="00E4105B" w:rsidRDefault="005C5EB1" w:rsidP="005C5EB1">
            <w:pPr>
              <w:jc w:val="center"/>
              <w:rPr>
                <w:rFonts w:cs="Arial"/>
                <w:sz w:val="20"/>
                <w:szCs w:val="20"/>
              </w:rPr>
            </w:pPr>
            <w:r w:rsidRPr="00E4105B">
              <w:rPr>
                <w:rFonts w:cs="Arial"/>
                <w:sz w:val="20"/>
                <w:szCs w:val="20"/>
              </w:rPr>
              <w:t>-</w:t>
            </w:r>
          </w:p>
        </w:tc>
        <w:tc>
          <w:tcPr>
            <w:tcW w:w="1276" w:type="dxa"/>
          </w:tcPr>
          <w:p w14:paraId="647178F5" w14:textId="77777777" w:rsidR="005C5EB1" w:rsidRPr="00E4105B" w:rsidRDefault="005C5EB1" w:rsidP="005C5EB1">
            <w:pPr>
              <w:jc w:val="right"/>
              <w:rPr>
                <w:rFonts w:cs="Arial"/>
                <w:sz w:val="20"/>
                <w:szCs w:val="20"/>
              </w:rPr>
            </w:pPr>
            <w:r w:rsidRPr="00E4105B">
              <w:rPr>
                <w:rFonts w:cs="Arial"/>
                <w:sz w:val="20"/>
                <w:szCs w:val="20"/>
              </w:rPr>
              <w:t>PM</w:t>
            </w:r>
          </w:p>
        </w:tc>
        <w:tc>
          <w:tcPr>
            <w:tcW w:w="1417" w:type="dxa"/>
          </w:tcPr>
          <w:p w14:paraId="703A2BEA" w14:textId="77777777" w:rsidR="005C5EB1" w:rsidRPr="00E4105B" w:rsidRDefault="005C5EB1" w:rsidP="005C5EB1">
            <w:pPr>
              <w:jc w:val="right"/>
              <w:rPr>
                <w:rFonts w:cs="Arial"/>
                <w:sz w:val="20"/>
                <w:szCs w:val="20"/>
              </w:rPr>
            </w:pPr>
            <w:r w:rsidRPr="00E4105B">
              <w:rPr>
                <w:rFonts w:cs="Arial"/>
                <w:sz w:val="20"/>
                <w:szCs w:val="20"/>
              </w:rPr>
              <w:t xml:space="preserve">0 </w:t>
            </w:r>
          </w:p>
        </w:tc>
      </w:tr>
      <w:tr w:rsidR="005C5EB1" w:rsidRPr="007F41C5" w14:paraId="364D1F8D" w14:textId="77777777" w:rsidTr="005C5EB1">
        <w:trPr>
          <w:trHeight w:val="260"/>
        </w:trPr>
        <w:tc>
          <w:tcPr>
            <w:tcW w:w="5416" w:type="dxa"/>
          </w:tcPr>
          <w:p w14:paraId="3E150C0F" w14:textId="77777777" w:rsidR="005C5EB1" w:rsidRPr="00E4105B" w:rsidRDefault="005C5EB1" w:rsidP="005C5EB1">
            <w:pPr>
              <w:rPr>
                <w:rFonts w:cs="Arial"/>
                <w:sz w:val="20"/>
                <w:szCs w:val="20"/>
              </w:rPr>
            </w:pPr>
            <w:r w:rsidRPr="00E4105B">
              <w:rPr>
                <w:rFonts w:cs="Arial"/>
                <w:sz w:val="20"/>
                <w:szCs w:val="20"/>
              </w:rPr>
              <w:t>Dipesha maminu a bikunyibwa</w:t>
            </w:r>
          </w:p>
        </w:tc>
        <w:tc>
          <w:tcPr>
            <w:tcW w:w="1588" w:type="dxa"/>
          </w:tcPr>
          <w:p w14:paraId="487C8001" w14:textId="77777777" w:rsidR="005C5EB1" w:rsidRPr="00E4105B" w:rsidRDefault="005C5EB1" w:rsidP="005C5EB1">
            <w:pPr>
              <w:jc w:val="center"/>
              <w:rPr>
                <w:rFonts w:cs="Arial"/>
                <w:sz w:val="20"/>
                <w:szCs w:val="20"/>
              </w:rPr>
            </w:pPr>
            <w:r w:rsidRPr="00E4105B">
              <w:rPr>
                <w:rFonts w:cs="Arial"/>
                <w:sz w:val="20"/>
                <w:szCs w:val="20"/>
              </w:rPr>
              <w:t>-</w:t>
            </w:r>
          </w:p>
        </w:tc>
        <w:tc>
          <w:tcPr>
            <w:tcW w:w="1276" w:type="dxa"/>
          </w:tcPr>
          <w:p w14:paraId="6B478E10" w14:textId="77777777" w:rsidR="005C5EB1" w:rsidRPr="00E4105B" w:rsidRDefault="005C5EB1" w:rsidP="005C5EB1">
            <w:pPr>
              <w:jc w:val="right"/>
              <w:rPr>
                <w:rFonts w:cs="Arial"/>
                <w:sz w:val="20"/>
                <w:szCs w:val="20"/>
              </w:rPr>
            </w:pPr>
            <w:r w:rsidRPr="00E4105B">
              <w:rPr>
                <w:rFonts w:cs="Arial"/>
                <w:sz w:val="20"/>
                <w:szCs w:val="20"/>
              </w:rPr>
              <w:t>PM</w:t>
            </w:r>
          </w:p>
        </w:tc>
        <w:tc>
          <w:tcPr>
            <w:tcW w:w="1417" w:type="dxa"/>
          </w:tcPr>
          <w:p w14:paraId="3321E4A3" w14:textId="77777777" w:rsidR="005C5EB1" w:rsidRPr="00E4105B" w:rsidRDefault="005C5EB1" w:rsidP="005C5EB1">
            <w:pPr>
              <w:jc w:val="right"/>
              <w:rPr>
                <w:rFonts w:cs="Arial"/>
                <w:sz w:val="20"/>
                <w:szCs w:val="20"/>
              </w:rPr>
            </w:pPr>
            <w:r w:rsidRPr="00E4105B">
              <w:rPr>
                <w:rFonts w:cs="Arial"/>
                <w:sz w:val="20"/>
                <w:szCs w:val="20"/>
              </w:rPr>
              <w:t>0</w:t>
            </w:r>
          </w:p>
        </w:tc>
      </w:tr>
      <w:tr w:rsidR="005C5EB1" w:rsidRPr="007F41C5" w14:paraId="2C17F75B" w14:textId="77777777" w:rsidTr="005C5EB1">
        <w:trPr>
          <w:trHeight w:val="260"/>
        </w:trPr>
        <w:tc>
          <w:tcPr>
            <w:tcW w:w="5416" w:type="dxa"/>
          </w:tcPr>
          <w:p w14:paraId="47C03200" w14:textId="77777777" w:rsidR="005C5EB1" w:rsidRPr="00E4105B" w:rsidRDefault="005C5EB1" w:rsidP="005C5EB1">
            <w:pPr>
              <w:rPr>
                <w:rFonts w:cs="Arial"/>
                <w:sz w:val="20"/>
                <w:szCs w:val="20"/>
              </w:rPr>
            </w:pPr>
            <w:r w:rsidRPr="00E4105B">
              <w:rPr>
                <w:rFonts w:cs="Arial"/>
                <w:bCs/>
                <w:sz w:val="20"/>
                <w:szCs w:val="20"/>
              </w:rPr>
              <w:t>Dileja malu a bintu bia nyungulukilu wa buloba na nsombelu wa bantu</w:t>
            </w:r>
          </w:p>
        </w:tc>
        <w:tc>
          <w:tcPr>
            <w:tcW w:w="1588" w:type="dxa"/>
          </w:tcPr>
          <w:p w14:paraId="334AF24F" w14:textId="77777777" w:rsidR="005C5EB1" w:rsidRPr="00E4105B" w:rsidRDefault="005C5EB1" w:rsidP="005C5EB1">
            <w:pPr>
              <w:jc w:val="center"/>
              <w:rPr>
                <w:rFonts w:cs="Arial"/>
                <w:sz w:val="20"/>
                <w:szCs w:val="20"/>
              </w:rPr>
            </w:pPr>
            <w:r w:rsidRPr="00E4105B">
              <w:rPr>
                <w:rFonts w:cs="Arial"/>
                <w:sz w:val="20"/>
                <w:szCs w:val="20"/>
              </w:rPr>
              <w:t>2</w:t>
            </w:r>
          </w:p>
        </w:tc>
        <w:tc>
          <w:tcPr>
            <w:tcW w:w="1276" w:type="dxa"/>
          </w:tcPr>
          <w:p w14:paraId="5D3E7F0A" w14:textId="77777777" w:rsidR="005C5EB1" w:rsidRPr="00E4105B" w:rsidRDefault="005C5EB1" w:rsidP="005C5EB1">
            <w:pPr>
              <w:jc w:val="right"/>
              <w:rPr>
                <w:rFonts w:cs="Arial"/>
                <w:sz w:val="20"/>
                <w:szCs w:val="20"/>
              </w:rPr>
            </w:pPr>
            <w:r w:rsidRPr="00E4105B">
              <w:rPr>
                <w:rFonts w:cs="Arial"/>
                <w:sz w:val="20"/>
                <w:szCs w:val="20"/>
              </w:rPr>
              <w:t>50 000</w:t>
            </w:r>
          </w:p>
        </w:tc>
        <w:tc>
          <w:tcPr>
            <w:tcW w:w="1417" w:type="dxa"/>
          </w:tcPr>
          <w:p w14:paraId="419C8144" w14:textId="77777777" w:rsidR="005C5EB1" w:rsidRPr="00E4105B" w:rsidRDefault="005C5EB1" w:rsidP="005C5EB1">
            <w:pPr>
              <w:jc w:val="right"/>
              <w:rPr>
                <w:rFonts w:cs="Arial"/>
                <w:sz w:val="20"/>
                <w:szCs w:val="20"/>
              </w:rPr>
            </w:pPr>
            <w:r w:rsidRPr="00E4105B">
              <w:rPr>
                <w:rFonts w:cs="Arial"/>
                <w:sz w:val="20"/>
                <w:szCs w:val="20"/>
              </w:rPr>
              <w:t>100 000</w:t>
            </w:r>
          </w:p>
        </w:tc>
      </w:tr>
      <w:tr w:rsidR="005C5EB1" w:rsidRPr="007F41C5" w14:paraId="3588A3A6" w14:textId="77777777" w:rsidTr="005C5EB1">
        <w:trPr>
          <w:trHeight w:val="260"/>
        </w:trPr>
        <w:tc>
          <w:tcPr>
            <w:tcW w:w="5416" w:type="dxa"/>
          </w:tcPr>
          <w:p w14:paraId="2E7915E2" w14:textId="77777777" w:rsidR="005C5EB1" w:rsidRPr="00E4105B" w:rsidRDefault="005C5EB1" w:rsidP="005C5EB1">
            <w:pPr>
              <w:rPr>
                <w:rFonts w:cs="Arial"/>
                <w:sz w:val="20"/>
                <w:szCs w:val="20"/>
              </w:rPr>
            </w:pPr>
            <w:r w:rsidRPr="00E4105B">
              <w:rPr>
                <w:rFonts w:cs="Arial"/>
                <w:bCs/>
                <w:sz w:val="20"/>
                <w:szCs w:val="20"/>
              </w:rPr>
              <w:t xml:space="preserve">Dilongolola dia mushindu wa kwenzela malu a MGP kulondangana ne bilumbu bia patukila </w:t>
            </w:r>
          </w:p>
        </w:tc>
        <w:tc>
          <w:tcPr>
            <w:tcW w:w="1588" w:type="dxa"/>
          </w:tcPr>
          <w:p w14:paraId="76493EF0" w14:textId="77777777" w:rsidR="005C5EB1" w:rsidRPr="00E4105B" w:rsidRDefault="005C5EB1" w:rsidP="005C5EB1">
            <w:pPr>
              <w:rPr>
                <w:rFonts w:cs="Arial"/>
                <w:sz w:val="20"/>
                <w:szCs w:val="20"/>
              </w:rPr>
            </w:pPr>
          </w:p>
          <w:p w14:paraId="73007419" w14:textId="77777777" w:rsidR="005C5EB1" w:rsidRPr="00E4105B" w:rsidRDefault="005C5EB1" w:rsidP="005C5EB1">
            <w:pPr>
              <w:jc w:val="center"/>
              <w:rPr>
                <w:rFonts w:cs="Arial"/>
                <w:sz w:val="20"/>
                <w:szCs w:val="20"/>
              </w:rPr>
            </w:pPr>
            <w:r w:rsidRPr="00E4105B">
              <w:rPr>
                <w:rFonts w:cs="Arial"/>
                <w:sz w:val="20"/>
                <w:szCs w:val="20"/>
              </w:rPr>
              <w:t>-</w:t>
            </w:r>
          </w:p>
        </w:tc>
        <w:tc>
          <w:tcPr>
            <w:tcW w:w="1276" w:type="dxa"/>
          </w:tcPr>
          <w:p w14:paraId="7372C71C" w14:textId="77777777" w:rsidR="005C5EB1" w:rsidRPr="00E4105B" w:rsidRDefault="005C5EB1" w:rsidP="005C5EB1">
            <w:pPr>
              <w:jc w:val="right"/>
              <w:rPr>
                <w:rFonts w:cs="Arial"/>
                <w:sz w:val="20"/>
                <w:szCs w:val="20"/>
              </w:rPr>
            </w:pPr>
          </w:p>
          <w:p w14:paraId="154D69E5" w14:textId="77777777" w:rsidR="005C5EB1" w:rsidRPr="00E4105B" w:rsidRDefault="005C5EB1" w:rsidP="005C5EB1">
            <w:pPr>
              <w:jc w:val="center"/>
              <w:rPr>
                <w:rFonts w:cs="Arial"/>
                <w:sz w:val="20"/>
                <w:szCs w:val="20"/>
              </w:rPr>
            </w:pPr>
            <w:r w:rsidRPr="00E4105B">
              <w:rPr>
                <w:rFonts w:cs="Arial"/>
                <w:sz w:val="20"/>
                <w:szCs w:val="20"/>
              </w:rPr>
              <w:t>-</w:t>
            </w:r>
          </w:p>
        </w:tc>
        <w:tc>
          <w:tcPr>
            <w:tcW w:w="1417" w:type="dxa"/>
          </w:tcPr>
          <w:p w14:paraId="305B318C" w14:textId="032EFD4B" w:rsidR="005C5EB1" w:rsidRPr="00E4105B" w:rsidRDefault="00C728EE" w:rsidP="005C5EB1">
            <w:pPr>
              <w:jc w:val="right"/>
              <w:rPr>
                <w:rFonts w:cs="Arial"/>
                <w:sz w:val="20"/>
                <w:szCs w:val="20"/>
              </w:rPr>
            </w:pPr>
            <w:r w:rsidRPr="00E4105B">
              <w:rPr>
                <w:rFonts w:cs="Arial"/>
                <w:sz w:val="20"/>
                <w:szCs w:val="20"/>
              </w:rPr>
              <w:t>7 530 000</w:t>
            </w:r>
          </w:p>
        </w:tc>
      </w:tr>
      <w:tr w:rsidR="005C5EB1" w:rsidRPr="007F41C5" w14:paraId="78A5E749" w14:textId="77777777" w:rsidTr="005C5EB1">
        <w:trPr>
          <w:trHeight w:val="260"/>
        </w:trPr>
        <w:tc>
          <w:tcPr>
            <w:tcW w:w="5416" w:type="dxa"/>
            <w:vMerge w:val="restart"/>
          </w:tcPr>
          <w:p w14:paraId="55FADE56" w14:textId="77777777" w:rsidR="005C5EB1" w:rsidRPr="00E4105B" w:rsidRDefault="005C5EB1" w:rsidP="005C5EB1">
            <w:pPr>
              <w:rPr>
                <w:rFonts w:cs="Arial"/>
                <w:bCs/>
                <w:sz w:val="20"/>
                <w:szCs w:val="20"/>
              </w:rPr>
            </w:pPr>
            <w:r w:rsidRPr="00E4105B">
              <w:rPr>
                <w:rFonts w:cs="Arial"/>
                <w:bCs/>
                <w:sz w:val="20"/>
                <w:szCs w:val="20"/>
              </w:rPr>
              <w:t>Ditangidila dia pa nkatshi ne dia kundekelu wa malonga a CGES wa PNDA ne Dilondela</w:t>
            </w:r>
          </w:p>
        </w:tc>
        <w:tc>
          <w:tcPr>
            <w:tcW w:w="1588" w:type="dxa"/>
          </w:tcPr>
          <w:p w14:paraId="14306A94" w14:textId="77777777" w:rsidR="005C5EB1" w:rsidRPr="00E4105B" w:rsidRDefault="005C5EB1" w:rsidP="005C5EB1">
            <w:pPr>
              <w:jc w:val="center"/>
              <w:rPr>
                <w:rFonts w:cs="Arial"/>
                <w:sz w:val="20"/>
                <w:szCs w:val="20"/>
              </w:rPr>
            </w:pPr>
            <w:r w:rsidRPr="00E4105B">
              <w:rPr>
                <w:rFonts w:cs="Arial"/>
                <w:sz w:val="20"/>
                <w:szCs w:val="20"/>
              </w:rPr>
              <w:t>10</w:t>
            </w:r>
          </w:p>
        </w:tc>
        <w:tc>
          <w:tcPr>
            <w:tcW w:w="1276" w:type="dxa"/>
          </w:tcPr>
          <w:p w14:paraId="2075615F" w14:textId="77777777" w:rsidR="005C5EB1" w:rsidRPr="00E4105B" w:rsidRDefault="005C5EB1" w:rsidP="005C5EB1">
            <w:pPr>
              <w:jc w:val="right"/>
              <w:rPr>
                <w:rFonts w:cs="Arial"/>
                <w:sz w:val="20"/>
                <w:szCs w:val="20"/>
              </w:rPr>
            </w:pPr>
            <w:r w:rsidRPr="00E4105B">
              <w:rPr>
                <w:rFonts w:cs="Arial"/>
                <w:sz w:val="20"/>
                <w:szCs w:val="20"/>
              </w:rPr>
              <w:t xml:space="preserve">30 000 </w:t>
            </w:r>
          </w:p>
        </w:tc>
        <w:tc>
          <w:tcPr>
            <w:tcW w:w="1417" w:type="dxa"/>
          </w:tcPr>
          <w:p w14:paraId="5225366D" w14:textId="77777777" w:rsidR="005C5EB1" w:rsidRPr="00E4105B" w:rsidRDefault="005C5EB1" w:rsidP="005C5EB1">
            <w:pPr>
              <w:jc w:val="right"/>
              <w:rPr>
                <w:rFonts w:cs="Arial"/>
                <w:sz w:val="20"/>
                <w:szCs w:val="20"/>
              </w:rPr>
            </w:pPr>
            <w:r w:rsidRPr="00E4105B">
              <w:rPr>
                <w:rFonts w:cs="Arial"/>
                <w:sz w:val="20"/>
                <w:szCs w:val="20"/>
              </w:rPr>
              <w:t xml:space="preserve">300 000 </w:t>
            </w:r>
          </w:p>
        </w:tc>
      </w:tr>
      <w:tr w:rsidR="005C5EB1" w:rsidRPr="007F41C5" w14:paraId="78F5E09D" w14:textId="77777777" w:rsidTr="005C5EB1">
        <w:trPr>
          <w:trHeight w:val="260"/>
        </w:trPr>
        <w:tc>
          <w:tcPr>
            <w:tcW w:w="5416" w:type="dxa"/>
            <w:vMerge/>
          </w:tcPr>
          <w:p w14:paraId="0FA6C6BF" w14:textId="77777777" w:rsidR="005C5EB1" w:rsidRPr="00E4105B" w:rsidRDefault="005C5EB1" w:rsidP="005C5EB1">
            <w:pPr>
              <w:rPr>
                <w:rFonts w:cs="Arial"/>
                <w:bCs/>
                <w:sz w:val="20"/>
                <w:szCs w:val="20"/>
              </w:rPr>
            </w:pPr>
          </w:p>
        </w:tc>
        <w:tc>
          <w:tcPr>
            <w:tcW w:w="1588" w:type="dxa"/>
          </w:tcPr>
          <w:p w14:paraId="0C233E2B" w14:textId="77777777" w:rsidR="005C5EB1" w:rsidRPr="00E4105B" w:rsidRDefault="005C5EB1" w:rsidP="005C5EB1">
            <w:pPr>
              <w:jc w:val="center"/>
              <w:rPr>
                <w:rFonts w:cs="Arial"/>
                <w:sz w:val="20"/>
                <w:szCs w:val="20"/>
              </w:rPr>
            </w:pPr>
            <w:r w:rsidRPr="00E4105B">
              <w:rPr>
                <w:rFonts w:cs="Arial"/>
                <w:sz w:val="20"/>
                <w:szCs w:val="20"/>
              </w:rPr>
              <w:t>10</w:t>
            </w:r>
          </w:p>
        </w:tc>
        <w:tc>
          <w:tcPr>
            <w:tcW w:w="1276" w:type="dxa"/>
          </w:tcPr>
          <w:p w14:paraId="3F14B49D" w14:textId="77777777" w:rsidR="005C5EB1" w:rsidRPr="00E4105B" w:rsidRDefault="005C5EB1" w:rsidP="005C5EB1">
            <w:pPr>
              <w:jc w:val="right"/>
              <w:rPr>
                <w:rFonts w:cs="Arial"/>
                <w:sz w:val="20"/>
                <w:szCs w:val="20"/>
              </w:rPr>
            </w:pPr>
            <w:r w:rsidRPr="00E4105B">
              <w:rPr>
                <w:rFonts w:cs="Arial"/>
                <w:sz w:val="20"/>
                <w:szCs w:val="20"/>
              </w:rPr>
              <w:t>30 000</w:t>
            </w:r>
          </w:p>
        </w:tc>
        <w:tc>
          <w:tcPr>
            <w:tcW w:w="1417" w:type="dxa"/>
          </w:tcPr>
          <w:p w14:paraId="1861BF55" w14:textId="77777777" w:rsidR="005C5EB1" w:rsidRPr="00E4105B" w:rsidRDefault="005C5EB1" w:rsidP="005C5EB1">
            <w:pPr>
              <w:jc w:val="right"/>
              <w:rPr>
                <w:rFonts w:cs="Arial"/>
                <w:sz w:val="20"/>
                <w:szCs w:val="20"/>
              </w:rPr>
            </w:pPr>
            <w:r w:rsidRPr="00E4105B">
              <w:rPr>
                <w:rFonts w:cs="Arial"/>
                <w:sz w:val="20"/>
                <w:szCs w:val="20"/>
              </w:rPr>
              <w:t>300 000</w:t>
            </w:r>
          </w:p>
        </w:tc>
      </w:tr>
      <w:tr w:rsidR="005C5EB1" w:rsidRPr="007F41C5" w14:paraId="7FE0C822" w14:textId="77777777" w:rsidTr="005C5EB1">
        <w:trPr>
          <w:trHeight w:val="260"/>
        </w:trPr>
        <w:tc>
          <w:tcPr>
            <w:tcW w:w="8280" w:type="dxa"/>
            <w:gridSpan w:val="3"/>
          </w:tcPr>
          <w:p w14:paraId="0BB6E4D8" w14:textId="77777777" w:rsidR="005C5EB1" w:rsidRPr="00E4105B" w:rsidRDefault="005C5EB1" w:rsidP="005C5EB1">
            <w:pPr>
              <w:rPr>
                <w:rFonts w:cs="Arial"/>
                <w:sz w:val="20"/>
                <w:szCs w:val="20"/>
              </w:rPr>
            </w:pPr>
            <w:r w:rsidRPr="00E4105B">
              <w:rPr>
                <w:rFonts w:cs="Arial"/>
                <w:b/>
                <w:bCs/>
                <w:sz w:val="20"/>
                <w:szCs w:val="20"/>
              </w:rPr>
              <w:t>TSHIPETA</w:t>
            </w:r>
          </w:p>
        </w:tc>
        <w:tc>
          <w:tcPr>
            <w:tcW w:w="1417" w:type="dxa"/>
          </w:tcPr>
          <w:p w14:paraId="0275E50D" w14:textId="77777777" w:rsidR="005C5EB1" w:rsidRPr="00E4105B" w:rsidRDefault="005C5EB1" w:rsidP="005C5EB1">
            <w:pPr>
              <w:jc w:val="right"/>
              <w:rPr>
                <w:rFonts w:cs="Arial"/>
                <w:b/>
                <w:sz w:val="20"/>
                <w:szCs w:val="20"/>
              </w:rPr>
            </w:pPr>
            <w:r w:rsidRPr="00E4105B">
              <w:rPr>
                <w:rFonts w:cs="Arial"/>
                <w:b/>
                <w:sz w:val="20"/>
                <w:szCs w:val="20"/>
              </w:rPr>
              <w:t>14 446 300</w:t>
            </w:r>
          </w:p>
        </w:tc>
      </w:tr>
      <w:tr w:rsidR="005C5EB1" w:rsidRPr="007F41C5" w14:paraId="20B6B32B" w14:textId="77777777" w:rsidTr="005C5EB1">
        <w:trPr>
          <w:trHeight w:val="260"/>
        </w:trPr>
        <w:tc>
          <w:tcPr>
            <w:tcW w:w="5416" w:type="dxa"/>
          </w:tcPr>
          <w:p w14:paraId="6D6ACB32" w14:textId="77777777" w:rsidR="005C5EB1" w:rsidRPr="00E4105B" w:rsidRDefault="005C5EB1" w:rsidP="005C5EB1">
            <w:pPr>
              <w:rPr>
                <w:rFonts w:cs="Arial"/>
                <w:bCs/>
                <w:sz w:val="20"/>
                <w:szCs w:val="20"/>
              </w:rPr>
            </w:pPr>
            <w:r w:rsidRPr="00E4105B">
              <w:rPr>
                <w:rFonts w:cs="Arial"/>
                <w:bCs/>
                <w:sz w:val="20"/>
                <w:szCs w:val="20"/>
              </w:rPr>
              <w:t>Malu a tshimpitshimpi ne makwabu  (5%)</w:t>
            </w:r>
          </w:p>
        </w:tc>
        <w:tc>
          <w:tcPr>
            <w:tcW w:w="1588" w:type="dxa"/>
          </w:tcPr>
          <w:p w14:paraId="35021DE6" w14:textId="77777777" w:rsidR="005C5EB1" w:rsidRPr="00E4105B" w:rsidRDefault="005C5EB1" w:rsidP="005C5EB1">
            <w:pPr>
              <w:jc w:val="center"/>
              <w:rPr>
                <w:rFonts w:cs="Arial"/>
                <w:sz w:val="20"/>
                <w:szCs w:val="20"/>
              </w:rPr>
            </w:pPr>
            <w:r w:rsidRPr="00E4105B">
              <w:rPr>
                <w:rFonts w:cs="Arial"/>
                <w:sz w:val="20"/>
                <w:szCs w:val="20"/>
              </w:rPr>
              <w:t>0,05</w:t>
            </w:r>
          </w:p>
        </w:tc>
        <w:tc>
          <w:tcPr>
            <w:tcW w:w="1276" w:type="dxa"/>
          </w:tcPr>
          <w:p w14:paraId="2D41C737" w14:textId="77777777" w:rsidR="005C5EB1" w:rsidRPr="00E4105B" w:rsidRDefault="005C5EB1" w:rsidP="005C5EB1">
            <w:pPr>
              <w:jc w:val="right"/>
              <w:rPr>
                <w:rFonts w:cs="Arial"/>
                <w:sz w:val="20"/>
                <w:szCs w:val="20"/>
              </w:rPr>
            </w:pPr>
          </w:p>
        </w:tc>
        <w:tc>
          <w:tcPr>
            <w:tcW w:w="1417" w:type="dxa"/>
          </w:tcPr>
          <w:p w14:paraId="4F844778" w14:textId="77777777" w:rsidR="005C5EB1" w:rsidRPr="00E4105B" w:rsidRDefault="005C5EB1" w:rsidP="005C5EB1">
            <w:pPr>
              <w:jc w:val="center"/>
              <w:rPr>
                <w:rFonts w:cs="Arial"/>
                <w:sz w:val="20"/>
                <w:szCs w:val="20"/>
              </w:rPr>
            </w:pPr>
            <w:r w:rsidRPr="00E4105B">
              <w:rPr>
                <w:rFonts w:cs="Arial"/>
                <w:sz w:val="20"/>
                <w:szCs w:val="20"/>
              </w:rPr>
              <w:t xml:space="preserve">      722 315 </w:t>
            </w:r>
          </w:p>
        </w:tc>
      </w:tr>
      <w:tr w:rsidR="005C5EB1" w:rsidRPr="007F41C5" w14:paraId="328F5661" w14:textId="77777777" w:rsidTr="005C5EB1">
        <w:trPr>
          <w:trHeight w:val="276"/>
        </w:trPr>
        <w:tc>
          <w:tcPr>
            <w:tcW w:w="5416" w:type="dxa"/>
            <w:shd w:val="clear" w:color="auto" w:fill="auto"/>
          </w:tcPr>
          <w:p w14:paraId="1C0433AB" w14:textId="77777777" w:rsidR="005C5EB1" w:rsidRPr="00E4105B" w:rsidRDefault="005C5EB1" w:rsidP="005C5EB1">
            <w:pPr>
              <w:rPr>
                <w:rFonts w:cs="Arial"/>
                <w:b/>
                <w:sz w:val="20"/>
                <w:szCs w:val="20"/>
              </w:rPr>
            </w:pPr>
            <w:r w:rsidRPr="00E4105B">
              <w:rPr>
                <w:rFonts w:cs="Arial"/>
                <w:b/>
                <w:sz w:val="20"/>
                <w:szCs w:val="20"/>
              </w:rPr>
              <w:t>TSHIPETA TSHINENE</w:t>
            </w:r>
          </w:p>
        </w:tc>
        <w:tc>
          <w:tcPr>
            <w:tcW w:w="1588" w:type="dxa"/>
          </w:tcPr>
          <w:p w14:paraId="683EDFB1" w14:textId="77777777" w:rsidR="005C5EB1" w:rsidRPr="00E4105B" w:rsidRDefault="005C5EB1" w:rsidP="005C5EB1">
            <w:pPr>
              <w:rPr>
                <w:rFonts w:cs="Arial"/>
                <w:b/>
                <w:sz w:val="20"/>
                <w:szCs w:val="20"/>
              </w:rPr>
            </w:pPr>
          </w:p>
        </w:tc>
        <w:tc>
          <w:tcPr>
            <w:tcW w:w="1276" w:type="dxa"/>
          </w:tcPr>
          <w:p w14:paraId="4F186876" w14:textId="77777777" w:rsidR="005C5EB1" w:rsidRPr="00E4105B" w:rsidRDefault="005C5EB1" w:rsidP="005C5EB1">
            <w:pPr>
              <w:jc w:val="right"/>
              <w:rPr>
                <w:rFonts w:cs="Arial"/>
                <w:b/>
                <w:sz w:val="20"/>
                <w:szCs w:val="20"/>
              </w:rPr>
            </w:pPr>
          </w:p>
        </w:tc>
        <w:tc>
          <w:tcPr>
            <w:tcW w:w="1417" w:type="dxa"/>
          </w:tcPr>
          <w:p w14:paraId="766C4491" w14:textId="0E04D1A3" w:rsidR="005C5EB1" w:rsidRPr="00E4105B" w:rsidRDefault="00C728EE" w:rsidP="005C5EB1">
            <w:pPr>
              <w:jc w:val="right"/>
              <w:rPr>
                <w:rFonts w:cs="Arial"/>
                <w:b/>
                <w:sz w:val="20"/>
                <w:szCs w:val="20"/>
              </w:rPr>
            </w:pPr>
            <w:r w:rsidRPr="00E4105B">
              <w:rPr>
                <w:rFonts w:cs="Arial"/>
                <w:b/>
                <w:sz w:val="20"/>
                <w:szCs w:val="20"/>
              </w:rPr>
              <w:t>18 675 330</w:t>
            </w:r>
            <w:r w:rsidR="005C5EB1" w:rsidRPr="00E4105B">
              <w:rPr>
                <w:rFonts w:cs="Arial"/>
                <w:b/>
                <w:sz w:val="20"/>
                <w:szCs w:val="20"/>
              </w:rPr>
              <w:t xml:space="preserve"> </w:t>
            </w:r>
          </w:p>
        </w:tc>
      </w:tr>
    </w:tbl>
    <w:p w14:paraId="3FF189B3" w14:textId="77777777" w:rsidR="005C5EB1" w:rsidRPr="00E4105B" w:rsidRDefault="005C5EB1" w:rsidP="005C5EB1">
      <w:pPr>
        <w:rPr>
          <w:rFonts w:cs="Arial"/>
          <w:szCs w:val="21"/>
        </w:rPr>
      </w:pPr>
    </w:p>
    <w:p w14:paraId="303C764A" w14:textId="77777777" w:rsidR="005C5EB1" w:rsidRPr="00E4105B" w:rsidRDefault="005C5EB1" w:rsidP="005C5EB1">
      <w:pPr>
        <w:rPr>
          <w:rFonts w:cs="Arial"/>
          <w:b/>
          <w:szCs w:val="21"/>
        </w:rPr>
      </w:pPr>
    </w:p>
    <w:p w14:paraId="1A92BBB1" w14:textId="77777777" w:rsidR="005C5EB1" w:rsidRPr="00E4105B" w:rsidRDefault="005C5EB1" w:rsidP="002378EA">
      <w:pPr>
        <w:numPr>
          <w:ilvl w:val="0"/>
          <w:numId w:val="158"/>
        </w:numPr>
        <w:spacing w:line="240" w:lineRule="auto"/>
        <w:rPr>
          <w:rFonts w:cs="Arial"/>
          <w:i/>
          <w:szCs w:val="21"/>
          <w:lang w:bidi="fr-FR"/>
        </w:rPr>
      </w:pPr>
      <w:r w:rsidRPr="00E4105B">
        <w:rPr>
          <w:rFonts w:cs="Arial"/>
          <w:i/>
          <w:szCs w:val="21"/>
          <w:lang w:bidi="fr-FR"/>
        </w:rPr>
        <w:t>Mushindu wa kukosa bilumbu munkatshi mwa bantu (MGP)</w:t>
      </w:r>
    </w:p>
    <w:p w14:paraId="0A3741BB" w14:textId="77777777" w:rsidR="005C5EB1" w:rsidRPr="00E4105B" w:rsidRDefault="005C5EB1" w:rsidP="005C5EB1">
      <w:pPr>
        <w:keepNext/>
        <w:keepLines/>
        <w:outlineLvl w:val="1"/>
        <w:rPr>
          <w:rFonts w:cs="Arial"/>
          <w:color w:val="000000"/>
          <w:szCs w:val="21"/>
          <w:u w:val="single"/>
        </w:rPr>
      </w:pPr>
    </w:p>
    <w:p w14:paraId="04E160E7" w14:textId="77777777" w:rsidR="005C5EB1" w:rsidRPr="00E4105B" w:rsidRDefault="005C5EB1" w:rsidP="005C5EB1">
      <w:pPr>
        <w:keepNext/>
        <w:keepLines/>
        <w:outlineLvl w:val="1"/>
        <w:rPr>
          <w:rFonts w:cs="Arial"/>
          <w:color w:val="000000"/>
          <w:szCs w:val="21"/>
        </w:rPr>
      </w:pPr>
      <w:bookmarkStart w:id="138" w:name="_Toc70326727"/>
      <w:bookmarkStart w:id="139" w:name="_Toc70326960"/>
      <w:bookmarkStart w:id="140" w:name="_Toc70330323"/>
      <w:bookmarkStart w:id="141" w:name="_Toc72336027"/>
      <w:bookmarkStart w:id="142" w:name="_Toc90393035"/>
      <w:bookmarkStart w:id="143" w:name="_Toc90471394"/>
      <w:r w:rsidRPr="00E4105B">
        <w:rPr>
          <w:rFonts w:cs="Arial"/>
          <w:color w:val="000000"/>
          <w:szCs w:val="21"/>
          <w:u w:val="single"/>
        </w:rPr>
        <w:t>Mushindu wa kukosa bilumbu munkatshi mwa bantu (MGP)  mmulongolodibwa kulondeshela mukanu wa NES 10 : disangisha bantu bbonso  mubobumwe ne kubapesha ngumu ya malu a mudimu . Mushindu wa dilongolola dia kukosa bilumbu pa nkatshi pa bantu  MGP bwa PNDA na wambulwishe bantu bonso badi mu njila wa midimu eyi, nangananga aba badi bakenguluka bikole munkatshi mwabu. Ne kabidi, dilongolola dia MGP bwa malu a VBG ndi peshibwe munkatshi mwa mifundu eyi ya CGES. Idi ilomba bwase bilumbu bionso bitangidibwa mu njila wa diumvwangana ne wa bulunda</w:t>
      </w:r>
      <w:r w:rsidRPr="00E4105B">
        <w:rPr>
          <w:rFonts w:cs="Arial"/>
          <w:szCs w:val="21"/>
        </w:rPr>
        <w:t>.</w:t>
      </w:r>
      <w:bookmarkEnd w:id="138"/>
      <w:bookmarkEnd w:id="139"/>
      <w:bookmarkEnd w:id="140"/>
      <w:bookmarkEnd w:id="141"/>
      <w:bookmarkEnd w:id="142"/>
      <w:bookmarkEnd w:id="143"/>
    </w:p>
    <w:p w14:paraId="554F39B6" w14:textId="77777777" w:rsidR="005C5EB1" w:rsidRPr="00E4105B" w:rsidRDefault="005C5EB1" w:rsidP="005C5EB1">
      <w:pPr>
        <w:pStyle w:val="Titre2"/>
        <w:rPr>
          <w:rFonts w:cs="Arial"/>
          <w:bCs w:val="0"/>
          <w:szCs w:val="21"/>
        </w:rPr>
      </w:pPr>
    </w:p>
    <w:p w14:paraId="5B65D302" w14:textId="77777777" w:rsidR="005C5EB1" w:rsidRPr="00E4105B" w:rsidRDefault="005C5EB1" w:rsidP="005C5EB1">
      <w:pPr>
        <w:rPr>
          <w:rFonts w:cs="Arial"/>
          <w:szCs w:val="21"/>
          <w:lang w:val="en-US"/>
        </w:rPr>
      </w:pPr>
      <w:r w:rsidRPr="00E4105B">
        <w:rPr>
          <w:rFonts w:cs="Arial"/>
          <w:szCs w:val="21"/>
          <w:lang w:val="en-US"/>
        </w:rPr>
        <w:t xml:space="preserve">Mishindu isatu ya njila wa kukosa bilumbu ke idi mipeshibwa. Tshilumbu tshidi mwa kukosebwa : </w:t>
      </w:r>
      <w:r w:rsidRPr="00E4105B">
        <w:rPr>
          <w:rFonts w:cs="Arial"/>
          <w:i/>
          <w:szCs w:val="21"/>
          <w:lang w:val="en-US"/>
        </w:rPr>
        <w:t>(i)</w:t>
      </w:r>
      <w:r w:rsidRPr="00E4105B">
        <w:rPr>
          <w:rFonts w:cs="Arial"/>
          <w:szCs w:val="21"/>
          <w:lang w:val="en-US"/>
        </w:rPr>
        <w:t xml:space="preserve"> Kudi bulombodi wa musoko anyi wa </w:t>
      </w:r>
      <w:r w:rsidRPr="00E4105B">
        <w:rPr>
          <w:rFonts w:cs="Arial"/>
          <w:szCs w:val="21"/>
          <w:u w:val="single"/>
          <w:lang w:val="en-US"/>
        </w:rPr>
        <w:t xml:space="preserve">quartier : </w:t>
      </w:r>
      <w:r w:rsidRPr="00E4105B">
        <w:rPr>
          <w:rFonts w:cs="Arial"/>
          <w:i/>
          <w:szCs w:val="21"/>
          <w:u w:val="single"/>
          <w:lang w:val="en-US"/>
        </w:rPr>
        <w:t>(ii)</w:t>
      </w:r>
      <w:r w:rsidRPr="00E4105B">
        <w:rPr>
          <w:rFonts w:cs="Arial"/>
          <w:szCs w:val="21"/>
          <w:u w:val="single"/>
          <w:lang w:val="en-US"/>
        </w:rPr>
        <w:t xml:space="preserve"> kudi bulombodi wa territoire anyi Commune : </w:t>
      </w:r>
      <w:r w:rsidRPr="00E4105B">
        <w:rPr>
          <w:rFonts w:cs="Arial"/>
          <w:i/>
          <w:szCs w:val="21"/>
          <w:u w:val="single"/>
          <w:lang w:val="en-US"/>
        </w:rPr>
        <w:t>(iii)</w:t>
      </w:r>
      <w:r w:rsidRPr="00E4105B">
        <w:rPr>
          <w:rFonts w:cs="Arial"/>
          <w:szCs w:val="21"/>
          <w:u w:val="single"/>
          <w:lang w:val="en-US"/>
        </w:rPr>
        <w:t xml:space="preserve"> kudi bulombodi bwa tshimenga anyi</w:t>
      </w:r>
      <w:r w:rsidRPr="00E4105B">
        <w:rPr>
          <w:rFonts w:cs="Arial"/>
          <w:szCs w:val="21"/>
          <w:lang w:val="en-US"/>
        </w:rPr>
        <w:t>.</w:t>
      </w:r>
    </w:p>
    <w:p w14:paraId="6C5CD009" w14:textId="77777777" w:rsidR="005C5EB1" w:rsidRPr="00E4105B" w:rsidRDefault="005C5EB1" w:rsidP="005C5EB1">
      <w:pPr>
        <w:rPr>
          <w:rFonts w:cs="Arial"/>
          <w:szCs w:val="21"/>
          <w:lang w:val="en-US"/>
        </w:rPr>
      </w:pPr>
    </w:p>
    <w:p w14:paraId="3FA5E115" w14:textId="77777777" w:rsidR="005C5EB1" w:rsidRPr="00E4105B" w:rsidRDefault="005C5EB1" w:rsidP="005C5EB1">
      <w:pPr>
        <w:spacing w:line="240" w:lineRule="auto"/>
        <w:rPr>
          <w:rFonts w:cs="Arial"/>
          <w:color w:val="000000"/>
          <w:szCs w:val="21"/>
          <w:lang w:val="en-US"/>
        </w:rPr>
      </w:pPr>
      <w:r w:rsidRPr="00E4105B">
        <w:rPr>
          <w:rFonts w:cs="Arial"/>
          <w:color w:val="000000"/>
          <w:szCs w:val="21"/>
          <w:lang w:val="en-US"/>
        </w:rPr>
        <w:t>Diya dia ku tubadi, nansha bumudiku kukandika, bwa lwendu luimpe lwa mudimu (bualu bilumbu bidi mwa kwimanisha midimu), kudi mwa kwenzeka biobio bumweneke bwa se njila yonso isatu idi mileja eyi kayena mi kose bilumbu biakane to, ne koko kakuyi biumvwangana.</w:t>
      </w:r>
    </w:p>
    <w:p w14:paraId="59B8A730" w14:textId="77777777" w:rsidR="005C5EB1" w:rsidRPr="00E4105B" w:rsidRDefault="005C5EB1" w:rsidP="005C5EB1">
      <w:pPr>
        <w:spacing w:line="240" w:lineRule="auto"/>
        <w:rPr>
          <w:rFonts w:cs="Arial"/>
          <w:b/>
          <w:i/>
          <w:szCs w:val="21"/>
          <w:lang w:val="en-US" w:bidi="fr-FR"/>
        </w:rPr>
      </w:pPr>
      <w:r w:rsidRPr="00E4105B">
        <w:rPr>
          <w:rFonts w:cs="Arial"/>
          <w:color w:val="000000"/>
          <w:szCs w:val="21"/>
          <w:lang w:val="en-US"/>
        </w:rPr>
        <w:t xml:space="preserve"> </w:t>
      </w:r>
    </w:p>
    <w:p w14:paraId="1BF2BDFF" w14:textId="77777777" w:rsidR="005C5EB1" w:rsidRPr="00E4105B" w:rsidRDefault="005C5EB1" w:rsidP="002378EA">
      <w:pPr>
        <w:numPr>
          <w:ilvl w:val="0"/>
          <w:numId w:val="158"/>
        </w:numPr>
        <w:spacing w:line="240" w:lineRule="auto"/>
        <w:rPr>
          <w:rFonts w:cs="Arial"/>
          <w:i/>
          <w:szCs w:val="21"/>
          <w:lang w:bidi="fr-FR"/>
        </w:rPr>
      </w:pPr>
      <w:r w:rsidRPr="00E4105B">
        <w:rPr>
          <w:rFonts w:cs="Arial"/>
          <w:i/>
          <w:szCs w:val="21"/>
          <w:lang w:bidi="fr-FR"/>
        </w:rPr>
        <w:t xml:space="preserve">Bisangilu bia miyuki na bantu bivwa bienzekibwa </w:t>
      </w:r>
    </w:p>
    <w:p w14:paraId="4A6FA625" w14:textId="77777777" w:rsidR="005C5EB1" w:rsidRPr="00E4105B" w:rsidRDefault="005C5EB1" w:rsidP="005C5EB1">
      <w:pPr>
        <w:tabs>
          <w:tab w:val="left" w:pos="426"/>
        </w:tabs>
        <w:spacing w:line="240" w:lineRule="auto"/>
        <w:rPr>
          <w:rFonts w:cs="Arial"/>
          <w:szCs w:val="21"/>
          <w:highlight w:val="yellow"/>
        </w:rPr>
      </w:pPr>
    </w:p>
    <w:p w14:paraId="3845B05C" w14:textId="4FC7C33E" w:rsidR="005C5EB1" w:rsidRPr="00E4105B" w:rsidRDefault="005C5EB1" w:rsidP="005C5EB1">
      <w:pPr>
        <w:rPr>
          <w:rFonts w:cs="Arial"/>
          <w:bCs/>
          <w:szCs w:val="21"/>
        </w:rPr>
      </w:pPr>
      <w:r w:rsidRPr="00E4105B">
        <w:rPr>
          <w:rFonts w:cs="Arial"/>
          <w:bCs/>
          <w:szCs w:val="21"/>
        </w:rPr>
        <w:t>Bisangilu bia miyuki na bantu bivwa bienzekibwa kulondangana na mapangidika a tshikondo esthi tsha disama dia COVID-19 kuluseke lwa Matadi (02 juin 2020), ku Kananga (le 03 juin 2020), ku Tshikapa (10 juin 2020), ku Bandundu-ville (10 juin 2020) ne ku Goma (17 juin 2020). Bisangilu ebi bivwa bisangishe bungi bwa bantu 96 bwa bantu 20 pa tshisangilu (balombodi ba ditunga, ba bimenga, bena mudimu ba Mbulamatadi, tusumbu twa bena société civile, ne batumibwa ba bantu badi midimu eyi ne bwa kulenga…) kulondangana ne mikanu ya ditunga bwa kulonda malu a disama dia COVID-19 (2020) ne malomba a OMS bwa dine disama edi, ne kabidi malomba a bena Banque Mondiale mu dituku dia 20 m</w:t>
      </w:r>
      <w:r w:rsidR="00EC500E">
        <w:rPr>
          <w:rFonts w:cs="Arial"/>
          <w:bCs/>
          <w:szCs w:val="21"/>
        </w:rPr>
        <w:t>ars 2020</w:t>
      </w:r>
      <w:r w:rsidRPr="00E4105B">
        <w:rPr>
          <w:rFonts w:cs="Arial"/>
          <w:szCs w:val="21"/>
        </w:rPr>
        <w:t>.</w:t>
      </w:r>
    </w:p>
    <w:p w14:paraId="648B87DF" w14:textId="77777777" w:rsidR="005C5EB1" w:rsidRPr="00E4105B" w:rsidRDefault="005C5EB1" w:rsidP="005C5EB1">
      <w:pPr>
        <w:rPr>
          <w:rFonts w:cs="Arial"/>
          <w:bCs/>
          <w:szCs w:val="21"/>
        </w:rPr>
      </w:pPr>
    </w:p>
    <w:p w14:paraId="57E856AB" w14:textId="77777777" w:rsidR="005C5EB1" w:rsidRPr="00E4105B" w:rsidRDefault="005C5EB1" w:rsidP="005C5EB1">
      <w:pPr>
        <w:rPr>
          <w:rFonts w:cs="Arial"/>
          <w:bCs/>
          <w:szCs w:val="21"/>
        </w:rPr>
      </w:pPr>
      <w:r w:rsidRPr="00E4105B">
        <w:rPr>
          <w:rFonts w:cs="Arial"/>
          <w:bCs/>
          <w:szCs w:val="21"/>
        </w:rPr>
        <w:t>Bidibileja kumbukila ka bisangilu bia miyuki ne bantu bwase bantu bonsobadi bindila midimu eyi ibangishibwe bwase bamune mudi mwa kudibweja mu midimu mineyi pamwe ne bantu bonso. Bantu bonso bavwa basanke bwa kumuna mushindu wa bulongolodi bwa mudimu ewu mo bobumwe ne bantu bonso. Bantu bonso badi bakidila ne disanka ndongolwelu wa mudimu ewu bwa kumuna mudi mwa kuyisha kumpala malu a madimi, a koloba ne a dimuna nyama ku bimenga ebi bitanu (5) bivwa bisungudibwa. Kadi, bantu bvwa ne matshina ne kabidi na mayele a kufila bwa mudimu ewu bumudi : aha adi atangila bantu badi basanganibwa miaba yenzekela mudimu, diangata dia bana bakaji ku mudimu, dibanya maminu ne biamwa bia mudimu wa madimi, wa diloba ne wa dimuna, ndululu, didipesha dia bisangilu bia ba mamu ne bia bena misoko, dikolesha dia menji ya disunga nzubu ya mudimu ya Mbulamatadi ne ba bidime ba madimi makese, etc.</w:t>
      </w:r>
    </w:p>
    <w:p w14:paraId="0751C41A" w14:textId="77777777" w:rsidR="005C5EB1" w:rsidRPr="00E4105B" w:rsidRDefault="005C5EB1" w:rsidP="005C5EB1">
      <w:pPr>
        <w:rPr>
          <w:rFonts w:cs="Arial"/>
          <w:szCs w:val="21"/>
        </w:rPr>
      </w:pPr>
    </w:p>
    <w:p w14:paraId="66DCD516" w14:textId="77777777" w:rsidR="000326DA" w:rsidRPr="00E4105B" w:rsidRDefault="000326DA">
      <w:pPr>
        <w:spacing w:after="160" w:line="259" w:lineRule="auto"/>
        <w:jc w:val="left"/>
        <w:rPr>
          <w:rFonts w:cs="Arial"/>
          <w:color w:val="222222"/>
          <w:szCs w:val="21"/>
        </w:rPr>
      </w:pPr>
    </w:p>
    <w:p w14:paraId="40E79D4F" w14:textId="77777777" w:rsidR="000326DA" w:rsidRPr="00E4105B" w:rsidRDefault="000326DA">
      <w:pPr>
        <w:spacing w:after="160" w:line="259" w:lineRule="auto"/>
        <w:jc w:val="left"/>
        <w:rPr>
          <w:rFonts w:cs="Arial"/>
          <w:b/>
          <w:color w:val="222222"/>
          <w:szCs w:val="21"/>
        </w:rPr>
      </w:pPr>
      <w:r w:rsidRPr="00E4105B">
        <w:rPr>
          <w:rFonts w:cs="Arial"/>
          <w:bCs/>
          <w:color w:val="222222"/>
          <w:szCs w:val="21"/>
        </w:rPr>
        <w:br w:type="page"/>
      </w:r>
    </w:p>
    <w:p w14:paraId="108AC442" w14:textId="77777777" w:rsidR="000326DA" w:rsidRPr="00E4105B" w:rsidRDefault="000326DA" w:rsidP="000326DA">
      <w:pPr>
        <w:pStyle w:val="Titre1"/>
        <w:jc w:val="center"/>
        <w:rPr>
          <w:rFonts w:cs="Arial"/>
          <w:bCs w:val="0"/>
          <w:szCs w:val="21"/>
        </w:rPr>
      </w:pPr>
      <w:bookmarkStart w:id="144" w:name="_Toc90393036"/>
      <w:bookmarkStart w:id="145" w:name="_Toc90471395"/>
      <w:r w:rsidRPr="00E4105B">
        <w:rPr>
          <w:rFonts w:cs="Arial"/>
          <w:bCs w:val="0"/>
          <w:color w:val="222222"/>
          <w:szCs w:val="21"/>
        </w:rPr>
        <w:t xml:space="preserve">RÉSUMÉ EXÉCUTIF EN KIKONGO / </w:t>
      </w:r>
      <w:r w:rsidRPr="00E4105B">
        <w:rPr>
          <w:rFonts w:cs="Arial"/>
          <w:bCs w:val="0"/>
          <w:szCs w:val="21"/>
        </w:rPr>
        <w:t>KINKUFI YA MALONGI</w:t>
      </w:r>
      <w:bookmarkEnd w:id="144"/>
      <w:bookmarkEnd w:id="145"/>
    </w:p>
    <w:p w14:paraId="3697C250" w14:textId="77777777" w:rsidR="000326DA" w:rsidRPr="00E4105B" w:rsidRDefault="000326DA" w:rsidP="000326DA">
      <w:pPr>
        <w:spacing w:line="240" w:lineRule="auto"/>
        <w:rPr>
          <w:rFonts w:cs="Arial"/>
          <w:iCs/>
          <w:szCs w:val="21"/>
          <w:highlight w:val="yellow"/>
        </w:rPr>
      </w:pPr>
    </w:p>
    <w:p w14:paraId="77064296" w14:textId="77777777" w:rsidR="000326DA" w:rsidRPr="00EC500E" w:rsidRDefault="000326DA" w:rsidP="002378EA">
      <w:pPr>
        <w:numPr>
          <w:ilvl w:val="0"/>
          <w:numId w:val="159"/>
        </w:numPr>
        <w:spacing w:line="240" w:lineRule="auto"/>
        <w:rPr>
          <w:rFonts w:cs="Arial"/>
          <w:b/>
          <w:i/>
          <w:szCs w:val="21"/>
        </w:rPr>
      </w:pPr>
      <w:r w:rsidRPr="00EC500E">
        <w:rPr>
          <w:rFonts w:cs="Arial"/>
          <w:b/>
          <w:i/>
          <w:szCs w:val="21"/>
        </w:rPr>
        <w:t xml:space="preserve">Monisi ya kisalu (ntina, na mpi biteni ya kisaluobjectif) </w:t>
      </w:r>
    </w:p>
    <w:p w14:paraId="4635784A" w14:textId="77777777" w:rsidR="000326DA" w:rsidRPr="00E4105B" w:rsidRDefault="000326DA" w:rsidP="000326DA">
      <w:pPr>
        <w:tabs>
          <w:tab w:val="left" w:pos="426"/>
        </w:tabs>
        <w:spacing w:line="240" w:lineRule="auto"/>
        <w:rPr>
          <w:rFonts w:cs="Arial"/>
          <w:szCs w:val="21"/>
        </w:rPr>
      </w:pPr>
    </w:p>
    <w:p w14:paraId="0C549C35" w14:textId="77777777" w:rsidR="000326DA" w:rsidRPr="00E4105B" w:rsidRDefault="000326DA" w:rsidP="000326DA">
      <w:pPr>
        <w:rPr>
          <w:rFonts w:cs="Arial"/>
          <w:szCs w:val="21"/>
        </w:rPr>
      </w:pPr>
      <w:r w:rsidRPr="00E4105B">
        <w:rPr>
          <w:rFonts w:cs="Arial"/>
          <w:szCs w:val="21"/>
        </w:rPr>
        <w:t xml:space="preserve">Mbulamatadi ya République Démocratique du Congo (RDC) me sadisama na mbongo ya lusadisu kuluta na IDA (Association Internationale pour le Développement) yayi ya lisanga ya  Banque Mondiale, nsambu na kuyedika mambu ya kisulu ya bilanga ya PNDA (Programme National de Développement Agricole) na ntina ya kukodisa bisalu ya bilanga na kiteni na yawu ya ntete, na mpi kubongisa mutingu ya ba nsadi ya bilanga kuteka bima na bawu na ba bwala yayi me ponama. </w:t>
      </w:r>
    </w:p>
    <w:p w14:paraId="24F95142" w14:textId="77777777" w:rsidR="000326DA" w:rsidRPr="00E4105B" w:rsidRDefault="000326DA" w:rsidP="000326DA">
      <w:pPr>
        <w:rPr>
          <w:rFonts w:cs="Arial"/>
          <w:szCs w:val="21"/>
        </w:rPr>
      </w:pPr>
    </w:p>
    <w:p w14:paraId="0BAF06B4" w14:textId="1DD07BED" w:rsidR="000326DA" w:rsidRPr="00E4105B" w:rsidRDefault="000326DA" w:rsidP="000326DA">
      <w:pPr>
        <w:rPr>
          <w:rFonts w:cs="Arial"/>
          <w:szCs w:val="21"/>
        </w:rPr>
      </w:pPr>
      <w:r w:rsidRPr="00E4105B">
        <w:rPr>
          <w:rFonts w:cs="Arial"/>
          <w:szCs w:val="21"/>
        </w:rPr>
        <w:t xml:space="preserve">RDC kele na mambu ya bilanga kele ya 20% na kati ya mpila ya kufanda ya batu (PIB), na mpi bilanga kesalama na batu mutangu ya 70 na mpi 75%, na yokele ya ntina ya nene sambu na mambu ya kukitisa bobola ya batu. </w:t>
      </w:r>
    </w:p>
    <w:p w14:paraId="4AA057F3" w14:textId="77777777" w:rsidR="000326DA" w:rsidRPr="00E4105B" w:rsidRDefault="000326DA" w:rsidP="000326DA">
      <w:pPr>
        <w:rPr>
          <w:rFonts w:cs="Arial"/>
          <w:szCs w:val="21"/>
        </w:rPr>
      </w:pPr>
    </w:p>
    <w:p w14:paraId="045ADA7A" w14:textId="622EEE70" w:rsidR="000326DA" w:rsidRPr="00E4105B" w:rsidRDefault="000326DA" w:rsidP="000326DA">
      <w:pPr>
        <w:rPr>
          <w:rFonts w:cs="Arial"/>
          <w:szCs w:val="21"/>
        </w:rPr>
      </w:pPr>
      <w:r w:rsidRPr="00E4105B">
        <w:rPr>
          <w:rFonts w:cs="Arial"/>
          <w:szCs w:val="21"/>
        </w:rPr>
        <w:t xml:space="preserve">Na yawu nde, mabongisinya kisalu yayi tasadisa kukatula bima mingi na bilanga na mpi kusadisa batu kubaka mbongo na mpi bima mingi ya madia na kati ya ba bwala, na kukodisa mpila na bawu ya kusadila mambu ya bilanga, na kukatula bima ya madia ya kunata na ba wenze, na mpi kutekisa bima yayi na batu ya nkaka. </w:t>
      </w:r>
    </w:p>
    <w:p w14:paraId="2C7C1B97" w14:textId="77777777" w:rsidR="000326DA" w:rsidRPr="00E4105B" w:rsidRDefault="000326DA" w:rsidP="000326DA">
      <w:pPr>
        <w:rPr>
          <w:rFonts w:cs="Arial"/>
          <w:szCs w:val="21"/>
        </w:rPr>
      </w:pPr>
    </w:p>
    <w:p w14:paraId="303B3C35" w14:textId="77777777" w:rsidR="000326DA" w:rsidRPr="00E4105B" w:rsidRDefault="000326DA" w:rsidP="000326DA">
      <w:pPr>
        <w:rPr>
          <w:rFonts w:cs="Arial"/>
          <w:szCs w:val="21"/>
        </w:rPr>
      </w:pPr>
      <w:r w:rsidRPr="00E4105B">
        <w:rPr>
          <w:rFonts w:cs="Arial"/>
          <w:szCs w:val="21"/>
        </w:rPr>
        <w:t>Mbongo yayi ya bisalu ya PNDA na eteni ya ntete ya ba mvula 5 tasalama kati ya ba pronvinces ya kati ya Kasaï (Provinces ya Kasaï na mpi ya Kasaï Central), na diaka na ngambu ya  Ouest (Provinces ya Kongo Central na mpi ya Kwilu), na mpila diaka na ngambu ya Est (Province ya Nord Kivu).</w:t>
      </w:r>
    </w:p>
    <w:p w14:paraId="6B819A9D" w14:textId="77777777" w:rsidR="000326DA" w:rsidRPr="00E4105B" w:rsidRDefault="000326DA" w:rsidP="000326DA">
      <w:pPr>
        <w:rPr>
          <w:rFonts w:cs="Arial"/>
          <w:szCs w:val="21"/>
        </w:rPr>
      </w:pPr>
    </w:p>
    <w:p w14:paraId="66155F4F" w14:textId="77777777" w:rsidR="000326DA" w:rsidRPr="00E4105B" w:rsidRDefault="000326DA" w:rsidP="000326DA">
      <w:pPr>
        <w:rPr>
          <w:rFonts w:cs="Arial"/>
          <w:szCs w:val="21"/>
        </w:rPr>
      </w:pPr>
      <w:r w:rsidRPr="00E4105B">
        <w:rPr>
          <w:rFonts w:cs="Arial"/>
          <w:szCs w:val="21"/>
        </w:rPr>
        <w:t xml:space="preserve">Ntina ya kusadisa bisalu yayi kele ya kubongisa mpila ya kukatula to kubashika bima na bilanga na mpi kuteka bima yayi na ba wenze na mpila moshi ya mbote, na kusadisa batu yayi salaka bilanga na kati ya ba provinces yayi ke ponamaka sambu na kubongisa mpila ya bawu kefandaka na kunata mambu ya bilanga na ntwala. </w:t>
      </w:r>
    </w:p>
    <w:p w14:paraId="5CF657A7" w14:textId="77777777" w:rsidR="000326DA" w:rsidRPr="00E4105B" w:rsidRDefault="000326DA" w:rsidP="000326DA">
      <w:pPr>
        <w:rPr>
          <w:rFonts w:cs="Arial"/>
          <w:szCs w:val="21"/>
        </w:rPr>
      </w:pPr>
    </w:p>
    <w:p w14:paraId="718D8878" w14:textId="77777777" w:rsidR="000326DA" w:rsidRPr="00E4105B" w:rsidRDefault="000326DA" w:rsidP="000326DA">
      <w:pPr>
        <w:rPr>
          <w:rFonts w:cs="Arial"/>
          <w:szCs w:val="21"/>
        </w:rPr>
      </w:pPr>
      <w:r w:rsidRPr="00E4105B">
        <w:rPr>
          <w:rFonts w:cs="Arial"/>
          <w:szCs w:val="21"/>
        </w:rPr>
        <w:t xml:space="preserve">Bisalu ya PNDA tasalama na biteni 4 yayi talanda : </w:t>
      </w:r>
    </w:p>
    <w:p w14:paraId="5DB94586" w14:textId="77777777" w:rsidR="000326DA" w:rsidRPr="00E4105B" w:rsidRDefault="000326DA" w:rsidP="000326DA">
      <w:pPr>
        <w:rPr>
          <w:rFonts w:cs="Arial"/>
          <w:szCs w:val="21"/>
        </w:rPr>
      </w:pPr>
    </w:p>
    <w:p w14:paraId="27AD0F1B" w14:textId="77777777" w:rsidR="000326DA" w:rsidRPr="00E4105B" w:rsidRDefault="000326DA" w:rsidP="002378EA">
      <w:pPr>
        <w:pStyle w:val="Paragraphedeliste"/>
        <w:numPr>
          <w:ilvl w:val="0"/>
          <w:numId w:val="160"/>
        </w:numPr>
        <w:rPr>
          <w:rFonts w:cs="Arial"/>
          <w:i/>
          <w:szCs w:val="21"/>
          <w:lang w:val="nl-BE"/>
        </w:rPr>
      </w:pPr>
      <w:r w:rsidRPr="00E4105B">
        <w:rPr>
          <w:rFonts w:cs="Arial"/>
          <w:i/>
          <w:szCs w:val="21"/>
          <w:lang w:val="nl-BE"/>
        </w:rPr>
        <w:t>Kiteni ya 1 : Kukatula bima na bilanga :</w:t>
      </w:r>
    </w:p>
    <w:p w14:paraId="35294817" w14:textId="77777777" w:rsidR="000326DA" w:rsidRPr="00E4105B" w:rsidRDefault="000326DA" w:rsidP="000326DA">
      <w:pPr>
        <w:pStyle w:val="Paragraphedeliste"/>
        <w:rPr>
          <w:rFonts w:cs="Arial"/>
          <w:i/>
          <w:szCs w:val="21"/>
          <w:lang w:val="nl-BE"/>
        </w:rPr>
      </w:pPr>
    </w:p>
    <w:p w14:paraId="0BBF6690" w14:textId="77777777" w:rsidR="000326DA" w:rsidRPr="00E4105B" w:rsidRDefault="000326DA" w:rsidP="002378EA">
      <w:pPr>
        <w:pStyle w:val="Paragraphedeliste"/>
        <w:numPr>
          <w:ilvl w:val="3"/>
          <w:numId w:val="40"/>
        </w:numPr>
        <w:rPr>
          <w:rFonts w:cs="Arial"/>
          <w:szCs w:val="21"/>
          <w:lang w:val="nl-BE"/>
        </w:rPr>
      </w:pPr>
      <w:r w:rsidRPr="00E4105B">
        <w:rPr>
          <w:rFonts w:cs="Arial"/>
          <w:szCs w:val="21"/>
          <w:lang w:val="nl-BE"/>
        </w:rPr>
        <w:t xml:space="preserve">Kiteni ya fioti ya 1.1 : Lusadisu na ba nsadi ya bilanga ya fioti na ba bwala </w:t>
      </w:r>
    </w:p>
    <w:p w14:paraId="48CE4B5F" w14:textId="77777777" w:rsidR="000326DA" w:rsidRPr="00E4105B" w:rsidRDefault="000326DA" w:rsidP="002378EA">
      <w:pPr>
        <w:pStyle w:val="Paragraphedeliste"/>
        <w:numPr>
          <w:ilvl w:val="3"/>
          <w:numId w:val="40"/>
        </w:numPr>
        <w:rPr>
          <w:rFonts w:cs="Arial"/>
          <w:szCs w:val="21"/>
          <w:lang w:val="nl-BE"/>
        </w:rPr>
      </w:pPr>
      <w:r w:rsidRPr="00E4105B">
        <w:rPr>
          <w:rFonts w:cs="Arial"/>
          <w:szCs w:val="21"/>
          <w:lang w:val="nl-BE"/>
        </w:rPr>
        <w:t>Kiteni ya fioti ya 1.2 : lusadi na bawu na nzila ya tekiniki na mpi ya mbongo</w:t>
      </w:r>
    </w:p>
    <w:p w14:paraId="2D2E6A08" w14:textId="77777777" w:rsidR="000326DA" w:rsidRPr="00E4105B" w:rsidRDefault="000326DA" w:rsidP="002378EA">
      <w:pPr>
        <w:pStyle w:val="Paragraphedeliste"/>
        <w:numPr>
          <w:ilvl w:val="0"/>
          <w:numId w:val="160"/>
        </w:numPr>
        <w:rPr>
          <w:rFonts w:cs="Arial"/>
          <w:i/>
          <w:szCs w:val="21"/>
          <w:lang w:val="nl-BE"/>
        </w:rPr>
      </w:pPr>
      <w:r w:rsidRPr="00E4105B">
        <w:rPr>
          <w:rFonts w:cs="Arial"/>
          <w:i/>
          <w:szCs w:val="21"/>
          <w:lang w:val="nl-BE"/>
        </w:rPr>
        <w:t>Kiteni ya 2 : kusadisa bawu kunata bima ya bilanga na ba wenze :</w:t>
      </w:r>
    </w:p>
    <w:p w14:paraId="68A68BAC" w14:textId="77777777" w:rsidR="000326DA" w:rsidRPr="00E4105B" w:rsidRDefault="000326DA" w:rsidP="000326DA">
      <w:pPr>
        <w:pStyle w:val="Paragraphedeliste"/>
        <w:rPr>
          <w:rFonts w:cs="Arial"/>
          <w:i/>
          <w:szCs w:val="21"/>
          <w:lang w:val="nl-BE"/>
        </w:rPr>
      </w:pPr>
    </w:p>
    <w:p w14:paraId="58492C5C" w14:textId="77777777" w:rsidR="000326DA" w:rsidRPr="00E4105B" w:rsidRDefault="000326DA" w:rsidP="002378EA">
      <w:pPr>
        <w:pStyle w:val="Paragraphedeliste"/>
        <w:numPr>
          <w:ilvl w:val="3"/>
          <w:numId w:val="40"/>
        </w:numPr>
        <w:rPr>
          <w:rFonts w:cs="Arial"/>
          <w:szCs w:val="21"/>
          <w:lang w:val="nl-BE"/>
        </w:rPr>
      </w:pPr>
      <w:r w:rsidRPr="00E4105B">
        <w:rPr>
          <w:rFonts w:cs="Arial"/>
          <w:szCs w:val="21"/>
          <w:lang w:val="nl-BE"/>
        </w:rPr>
        <w:t>Kiteni ya fioti ya 2.1 : kutonga bisadisu na ba bwala</w:t>
      </w:r>
    </w:p>
    <w:p w14:paraId="0A37AE53" w14:textId="77777777" w:rsidR="000326DA" w:rsidRPr="00E4105B" w:rsidRDefault="000326DA" w:rsidP="002378EA">
      <w:pPr>
        <w:pStyle w:val="Paragraphedeliste"/>
        <w:numPr>
          <w:ilvl w:val="3"/>
          <w:numId w:val="40"/>
        </w:numPr>
        <w:rPr>
          <w:rFonts w:cs="Arial"/>
          <w:szCs w:val="21"/>
          <w:lang w:val="nl-BE"/>
        </w:rPr>
      </w:pPr>
      <w:r w:rsidRPr="00E4105B">
        <w:rPr>
          <w:rFonts w:cs="Arial"/>
          <w:szCs w:val="21"/>
          <w:lang w:val="nl-BE"/>
        </w:rPr>
        <w:t xml:space="preserve">Kiteni ya fioti ya 2.2 : Lusadisu sambu na balula bima taluta na bilanga sambu na kubaka mbongo mingi </w:t>
      </w:r>
    </w:p>
    <w:p w14:paraId="15276505" w14:textId="77777777" w:rsidR="000326DA" w:rsidRPr="00E4105B" w:rsidRDefault="000326DA" w:rsidP="002378EA">
      <w:pPr>
        <w:pStyle w:val="Paragraphedeliste"/>
        <w:numPr>
          <w:ilvl w:val="0"/>
          <w:numId w:val="160"/>
        </w:numPr>
        <w:rPr>
          <w:rFonts w:cs="Arial"/>
          <w:i/>
          <w:szCs w:val="21"/>
          <w:lang w:val="nl-BE"/>
        </w:rPr>
      </w:pPr>
      <w:r w:rsidRPr="00E4105B">
        <w:rPr>
          <w:rFonts w:cs="Arial"/>
          <w:i/>
          <w:szCs w:val="21"/>
          <w:lang w:val="nl-BE"/>
        </w:rPr>
        <w:t>Kiteni ya 3 : Bima na mpi bisalu ya bilanga ya Mbulamatadi</w:t>
      </w:r>
    </w:p>
    <w:p w14:paraId="235B3381" w14:textId="77777777" w:rsidR="000326DA" w:rsidRPr="00E4105B" w:rsidRDefault="000326DA" w:rsidP="000326DA">
      <w:pPr>
        <w:pStyle w:val="Paragraphedeliste"/>
        <w:rPr>
          <w:rFonts w:cs="Arial"/>
          <w:i/>
          <w:szCs w:val="21"/>
          <w:lang w:val="nl-BE"/>
        </w:rPr>
      </w:pPr>
    </w:p>
    <w:p w14:paraId="7CD3A8A9" w14:textId="77777777" w:rsidR="000326DA" w:rsidRPr="00E4105B" w:rsidRDefault="000326DA" w:rsidP="002378EA">
      <w:pPr>
        <w:pStyle w:val="Paragraphedeliste"/>
        <w:numPr>
          <w:ilvl w:val="3"/>
          <w:numId w:val="40"/>
        </w:numPr>
        <w:rPr>
          <w:rFonts w:cs="Arial"/>
          <w:szCs w:val="21"/>
          <w:lang w:val="nl-BE"/>
        </w:rPr>
      </w:pPr>
      <w:r w:rsidRPr="00E4105B">
        <w:rPr>
          <w:rFonts w:cs="Arial"/>
          <w:szCs w:val="21"/>
          <w:lang w:val="nl-BE"/>
        </w:rPr>
        <w:t>Kiteni ya fioti ya 3.1 : kukodisa ngangu ya batu ya Mbulamatadi sambu na bawu kusadisa batu ya bilanga mbote ;</w:t>
      </w:r>
    </w:p>
    <w:p w14:paraId="5EFA6290" w14:textId="77777777" w:rsidR="000326DA" w:rsidRPr="00E4105B" w:rsidRDefault="000326DA" w:rsidP="002378EA">
      <w:pPr>
        <w:pStyle w:val="Paragraphedeliste"/>
        <w:numPr>
          <w:ilvl w:val="3"/>
          <w:numId w:val="40"/>
        </w:numPr>
        <w:rPr>
          <w:rFonts w:cs="Arial"/>
          <w:szCs w:val="21"/>
          <w:lang w:val="nl-BE"/>
        </w:rPr>
      </w:pPr>
      <w:r w:rsidRPr="00E4105B">
        <w:rPr>
          <w:rFonts w:cs="Arial"/>
          <w:szCs w:val="21"/>
          <w:lang w:val="nl-BE"/>
        </w:rPr>
        <w:t>Kiteni ya fioti ya 3.2 : Kusadisa na mpi kulandila bisalu tasalama</w:t>
      </w:r>
    </w:p>
    <w:p w14:paraId="46A4223A" w14:textId="77777777" w:rsidR="000326DA" w:rsidRPr="00E4105B" w:rsidRDefault="000326DA" w:rsidP="000326DA">
      <w:pPr>
        <w:pStyle w:val="Paragraphedeliste"/>
        <w:ind w:left="1211"/>
        <w:rPr>
          <w:rFonts w:cs="Arial"/>
          <w:szCs w:val="21"/>
          <w:lang w:val="nl-BE"/>
        </w:rPr>
      </w:pPr>
    </w:p>
    <w:p w14:paraId="21C1E4D6" w14:textId="77777777" w:rsidR="000326DA" w:rsidRPr="00E4105B" w:rsidRDefault="000326DA" w:rsidP="002378EA">
      <w:pPr>
        <w:pStyle w:val="Paragraphedeliste"/>
        <w:numPr>
          <w:ilvl w:val="0"/>
          <w:numId w:val="160"/>
        </w:numPr>
        <w:rPr>
          <w:rFonts w:cs="Arial"/>
          <w:i/>
          <w:szCs w:val="21"/>
          <w:lang w:val="nl-BE"/>
        </w:rPr>
      </w:pPr>
      <w:r w:rsidRPr="00E4105B">
        <w:rPr>
          <w:rFonts w:cs="Arial"/>
          <w:i/>
          <w:szCs w:val="21"/>
          <w:lang w:val="nl-BE"/>
        </w:rPr>
        <w:t>Kiteni ya 4 : Lusadisu ya nswalu ya mambo ya bilanga</w:t>
      </w:r>
    </w:p>
    <w:p w14:paraId="2674B073" w14:textId="77777777" w:rsidR="000326DA" w:rsidRPr="00E4105B" w:rsidRDefault="000326DA" w:rsidP="000326DA">
      <w:pPr>
        <w:tabs>
          <w:tab w:val="left" w:pos="426"/>
        </w:tabs>
        <w:contextualSpacing/>
        <w:rPr>
          <w:rFonts w:cs="Arial"/>
          <w:szCs w:val="21"/>
          <w:lang w:val="nl-BE"/>
        </w:rPr>
      </w:pPr>
    </w:p>
    <w:p w14:paraId="2E708BD0" w14:textId="77777777" w:rsidR="00EC500E" w:rsidRDefault="00EC500E">
      <w:pPr>
        <w:spacing w:line="240" w:lineRule="auto"/>
        <w:jc w:val="left"/>
        <w:rPr>
          <w:rFonts w:cs="Arial"/>
          <w:b/>
          <w:i/>
          <w:szCs w:val="21"/>
          <w:lang w:val="nl-BE"/>
        </w:rPr>
      </w:pPr>
      <w:r>
        <w:rPr>
          <w:rFonts w:cs="Arial"/>
          <w:b/>
          <w:i/>
          <w:szCs w:val="21"/>
          <w:lang w:val="nl-BE"/>
        </w:rPr>
        <w:br w:type="page"/>
      </w:r>
    </w:p>
    <w:p w14:paraId="1FB7F2D9" w14:textId="3D7E397F" w:rsidR="000326DA" w:rsidRPr="00EC500E" w:rsidRDefault="000326DA" w:rsidP="002378EA">
      <w:pPr>
        <w:pStyle w:val="Paragraphedeliste"/>
        <w:numPr>
          <w:ilvl w:val="0"/>
          <w:numId w:val="159"/>
        </w:numPr>
        <w:rPr>
          <w:rFonts w:cs="Arial"/>
          <w:b/>
          <w:i/>
          <w:szCs w:val="21"/>
          <w:lang w:val="nl-BE"/>
        </w:rPr>
      </w:pPr>
      <w:r w:rsidRPr="00EC500E">
        <w:rPr>
          <w:rFonts w:cs="Arial"/>
          <w:b/>
          <w:i/>
          <w:szCs w:val="21"/>
          <w:lang w:val="nl-BE"/>
        </w:rPr>
        <w:t xml:space="preserve">Monisi ya bidimbu ya bisalu na bima yayi kezingaka ntoto na mpi mpila batu kefandaka </w:t>
      </w:r>
    </w:p>
    <w:p w14:paraId="6EEC2E98" w14:textId="77777777" w:rsidR="000326DA" w:rsidRPr="00E4105B" w:rsidRDefault="000326DA" w:rsidP="000326DA">
      <w:pPr>
        <w:tabs>
          <w:tab w:val="left" w:pos="426"/>
        </w:tabs>
        <w:rPr>
          <w:rFonts w:cs="Arial"/>
          <w:szCs w:val="21"/>
          <w:lang w:val="nl-BE"/>
        </w:rPr>
      </w:pPr>
    </w:p>
    <w:p w14:paraId="75C46D29" w14:textId="77777777" w:rsidR="000326DA" w:rsidRPr="00E4105B" w:rsidRDefault="000326DA" w:rsidP="000326DA">
      <w:pPr>
        <w:tabs>
          <w:tab w:val="left" w:pos="426"/>
          <w:tab w:val="left" w:pos="567"/>
        </w:tabs>
        <w:contextualSpacing/>
        <w:rPr>
          <w:rFonts w:cs="Arial"/>
          <w:szCs w:val="21"/>
          <w:lang w:val="nl-BE" w:bidi="fr-FR"/>
        </w:rPr>
      </w:pPr>
      <w:r w:rsidRPr="00E4105B">
        <w:rPr>
          <w:rFonts w:cs="Arial"/>
          <w:szCs w:val="21"/>
          <w:lang w:val="nl-BE" w:bidi="fr-FR"/>
        </w:rPr>
        <w:t xml:space="preserve">Ba communes to ba territoires ya ba bwala yayi ponamaka yo fandaka na kati ya mikakatanu na mpi mpasi ya bilembu ya mbi na bima yayi kezingaka ntoto na mpi mpila batu kefandaka ya kele : </w:t>
      </w:r>
    </w:p>
    <w:p w14:paraId="0B9CA620" w14:textId="77777777" w:rsidR="000326DA" w:rsidRPr="00E4105B" w:rsidRDefault="000326DA" w:rsidP="000326DA">
      <w:pPr>
        <w:tabs>
          <w:tab w:val="left" w:pos="426"/>
          <w:tab w:val="left" w:pos="567"/>
        </w:tabs>
        <w:contextualSpacing/>
        <w:rPr>
          <w:rFonts w:cs="Arial"/>
          <w:szCs w:val="21"/>
          <w:lang w:val="nl-BE" w:bidi="fr-FR"/>
        </w:rPr>
      </w:pPr>
    </w:p>
    <w:p w14:paraId="139DC037" w14:textId="77777777" w:rsidR="000326DA" w:rsidRPr="00E4105B" w:rsidRDefault="000326DA" w:rsidP="002378EA">
      <w:pPr>
        <w:pStyle w:val="Paragraphedeliste"/>
        <w:numPr>
          <w:ilvl w:val="0"/>
          <w:numId w:val="67"/>
        </w:numPr>
        <w:rPr>
          <w:rFonts w:eastAsia="Calibri" w:cs="Arial"/>
          <w:szCs w:val="21"/>
          <w:lang w:val="nl-BE"/>
        </w:rPr>
      </w:pPr>
      <w:r w:rsidRPr="00E4105B">
        <w:rPr>
          <w:rFonts w:eastAsia="Calibri" w:cs="Arial"/>
          <w:szCs w:val="21"/>
          <w:lang w:val="nl-BE"/>
        </w:rPr>
        <w:t>bima ya kukatula na bilanga kele ya fioti ;</w:t>
      </w:r>
    </w:p>
    <w:p w14:paraId="25E3C65D" w14:textId="77777777" w:rsidR="000326DA" w:rsidRPr="00E4105B" w:rsidRDefault="000326DA" w:rsidP="002378EA">
      <w:pPr>
        <w:pStyle w:val="Paragraphedeliste"/>
        <w:numPr>
          <w:ilvl w:val="0"/>
          <w:numId w:val="67"/>
        </w:numPr>
        <w:rPr>
          <w:rFonts w:eastAsia="Calibri" w:cs="Arial"/>
          <w:szCs w:val="21"/>
          <w:lang w:val="nl-BE"/>
        </w:rPr>
      </w:pPr>
      <w:r w:rsidRPr="00E4105B">
        <w:rPr>
          <w:rFonts w:eastAsia="Calibri" w:cs="Arial"/>
          <w:szCs w:val="21"/>
          <w:lang w:val="nl-BE"/>
        </w:rPr>
        <w:t>mbisi ya fioti kukatuka na masa ;</w:t>
      </w:r>
    </w:p>
    <w:p w14:paraId="2E3DA318" w14:textId="77777777" w:rsidR="000326DA" w:rsidRPr="00E4105B" w:rsidRDefault="000326DA" w:rsidP="002378EA">
      <w:pPr>
        <w:pStyle w:val="Paragraphedeliste"/>
        <w:numPr>
          <w:ilvl w:val="0"/>
          <w:numId w:val="67"/>
        </w:numPr>
        <w:rPr>
          <w:rFonts w:eastAsia="Calibri" w:cs="Arial"/>
          <w:szCs w:val="21"/>
        </w:rPr>
      </w:pPr>
      <w:r w:rsidRPr="00E4105B">
        <w:rPr>
          <w:rFonts w:eastAsia="Calibri" w:cs="Arial"/>
          <w:szCs w:val="21"/>
        </w:rPr>
        <w:t>ban yama ya fioti  ;</w:t>
      </w:r>
    </w:p>
    <w:p w14:paraId="0DA6AA3C" w14:textId="77777777" w:rsidR="000326DA" w:rsidRPr="00E4105B" w:rsidRDefault="000326DA" w:rsidP="002378EA">
      <w:pPr>
        <w:pStyle w:val="Paragraphedeliste"/>
        <w:numPr>
          <w:ilvl w:val="0"/>
          <w:numId w:val="67"/>
        </w:numPr>
        <w:rPr>
          <w:rFonts w:eastAsia="Calibri" w:cs="Arial"/>
          <w:szCs w:val="21"/>
          <w:lang w:eastAsia="en-US"/>
        </w:rPr>
      </w:pPr>
      <w:r w:rsidRPr="00E4105B">
        <w:rPr>
          <w:rFonts w:cs="Arial"/>
          <w:szCs w:val="21"/>
        </w:rPr>
        <w:t>mpasi sambu na kumona nkisi ya ba nyama ;</w:t>
      </w:r>
    </w:p>
    <w:p w14:paraId="4DDD8375" w14:textId="77777777" w:rsidR="000326DA" w:rsidRPr="00E4105B" w:rsidRDefault="000326DA" w:rsidP="002378EA">
      <w:pPr>
        <w:pStyle w:val="Paragraphedeliste"/>
        <w:numPr>
          <w:ilvl w:val="0"/>
          <w:numId w:val="67"/>
        </w:numPr>
        <w:rPr>
          <w:rFonts w:eastAsia="Calibri" w:cs="Arial"/>
          <w:szCs w:val="21"/>
          <w:lang w:eastAsia="en-US"/>
        </w:rPr>
      </w:pPr>
      <w:r w:rsidRPr="00E4105B">
        <w:rPr>
          <w:rFonts w:cs="Arial"/>
          <w:szCs w:val="21"/>
        </w:rPr>
        <w:t>mambu ya ntoto ;</w:t>
      </w:r>
    </w:p>
    <w:p w14:paraId="4608FA2B" w14:textId="77777777" w:rsidR="000326DA" w:rsidRPr="00E4105B" w:rsidRDefault="000326DA" w:rsidP="002378EA">
      <w:pPr>
        <w:pStyle w:val="Paragraphedeliste"/>
        <w:numPr>
          <w:ilvl w:val="0"/>
          <w:numId w:val="67"/>
        </w:numPr>
        <w:rPr>
          <w:rFonts w:eastAsia="Calibri" w:cs="Arial"/>
          <w:szCs w:val="21"/>
        </w:rPr>
      </w:pPr>
      <w:r w:rsidRPr="00E4105B">
        <w:rPr>
          <w:rFonts w:eastAsia="Calibri" w:cs="Arial"/>
          <w:szCs w:val="21"/>
        </w:rPr>
        <w:t>mambu ya VBG na mpi maladi ya COVID-19 ;</w:t>
      </w:r>
    </w:p>
    <w:p w14:paraId="61721537" w14:textId="77777777" w:rsidR="000326DA" w:rsidRPr="00E4105B" w:rsidRDefault="000326DA" w:rsidP="002378EA">
      <w:pPr>
        <w:pStyle w:val="Paragraphedeliste"/>
        <w:numPr>
          <w:ilvl w:val="0"/>
          <w:numId w:val="67"/>
        </w:numPr>
        <w:rPr>
          <w:rFonts w:eastAsia="Calibri" w:cs="Arial"/>
          <w:szCs w:val="21"/>
        </w:rPr>
      </w:pPr>
      <w:r w:rsidRPr="00E4105B">
        <w:rPr>
          <w:rFonts w:eastAsia="Calibri" w:cs="Arial"/>
          <w:szCs w:val="21"/>
        </w:rPr>
        <w:t>mpila ya kusadila bilanga kele ya mbote ve ;</w:t>
      </w:r>
    </w:p>
    <w:p w14:paraId="70A4D7C3" w14:textId="77777777" w:rsidR="000326DA" w:rsidRPr="00E4105B" w:rsidRDefault="000326DA" w:rsidP="002378EA">
      <w:pPr>
        <w:pStyle w:val="Paragraphedeliste"/>
        <w:numPr>
          <w:ilvl w:val="0"/>
          <w:numId w:val="67"/>
        </w:numPr>
        <w:rPr>
          <w:rFonts w:eastAsia="Calibri" w:cs="Arial"/>
          <w:szCs w:val="21"/>
        </w:rPr>
      </w:pPr>
      <w:r w:rsidRPr="00E4105B">
        <w:rPr>
          <w:rFonts w:eastAsia="Calibri" w:cs="Arial"/>
          <w:szCs w:val="21"/>
        </w:rPr>
        <w:t>bisika na mpi ba nzo ya kutekela bima ya bilanga kele ya mbote ve : ba wenze, ba dépôts na mpi bisika ya kufwa ba nyama (abattoirs), etc. ;</w:t>
      </w:r>
    </w:p>
    <w:p w14:paraId="7EF64C8C" w14:textId="77777777" w:rsidR="000326DA" w:rsidRPr="00E4105B" w:rsidRDefault="000326DA" w:rsidP="002378EA">
      <w:pPr>
        <w:pStyle w:val="Paragraphedeliste"/>
        <w:numPr>
          <w:ilvl w:val="0"/>
          <w:numId w:val="67"/>
        </w:numPr>
        <w:rPr>
          <w:rFonts w:eastAsia="Calibri" w:cs="Arial"/>
          <w:szCs w:val="21"/>
        </w:rPr>
      </w:pPr>
      <w:r w:rsidRPr="00E4105B">
        <w:rPr>
          <w:rFonts w:eastAsia="Calibri" w:cs="Arial"/>
          <w:szCs w:val="21"/>
        </w:rPr>
        <w:t>ba nzila ya kubashikila bima ya bilanga kele ya mbi ;</w:t>
      </w:r>
    </w:p>
    <w:p w14:paraId="49E388AD" w14:textId="77777777" w:rsidR="000326DA" w:rsidRPr="00E4105B" w:rsidRDefault="000326DA" w:rsidP="002378EA">
      <w:pPr>
        <w:pStyle w:val="Paragraphedeliste"/>
        <w:numPr>
          <w:ilvl w:val="0"/>
          <w:numId w:val="67"/>
        </w:numPr>
        <w:rPr>
          <w:rFonts w:eastAsia="Calibri" w:cs="Arial"/>
          <w:szCs w:val="21"/>
        </w:rPr>
      </w:pPr>
      <w:r w:rsidRPr="00E4105B">
        <w:rPr>
          <w:rFonts w:eastAsia="Calibri" w:cs="Arial"/>
          <w:szCs w:val="21"/>
        </w:rPr>
        <w:t>mutindu ya kusadila masa na bilanga kele ya mbote ve ;</w:t>
      </w:r>
    </w:p>
    <w:p w14:paraId="38FF2B64" w14:textId="77777777" w:rsidR="000326DA" w:rsidRPr="00E4105B" w:rsidRDefault="000326DA" w:rsidP="002378EA">
      <w:pPr>
        <w:pStyle w:val="Paragraphedeliste"/>
        <w:numPr>
          <w:ilvl w:val="0"/>
          <w:numId w:val="67"/>
        </w:numPr>
        <w:rPr>
          <w:rFonts w:eastAsia="Calibri" w:cs="Arial"/>
          <w:szCs w:val="21"/>
        </w:rPr>
      </w:pPr>
      <w:r w:rsidRPr="00E4105B">
        <w:rPr>
          <w:rFonts w:eastAsia="Calibri" w:cs="Arial"/>
          <w:szCs w:val="21"/>
        </w:rPr>
        <w:t xml:space="preserve">mambu ya kudia mbote kele ve sambu bima kele ya fioti ; </w:t>
      </w:r>
    </w:p>
    <w:p w14:paraId="30306D4D" w14:textId="77777777" w:rsidR="000326DA" w:rsidRPr="00E4105B" w:rsidRDefault="000326DA" w:rsidP="002378EA">
      <w:pPr>
        <w:pStyle w:val="Paragraphedeliste"/>
        <w:numPr>
          <w:ilvl w:val="0"/>
          <w:numId w:val="67"/>
        </w:numPr>
        <w:rPr>
          <w:rFonts w:eastAsia="Calibri" w:cs="Arial"/>
          <w:szCs w:val="21"/>
        </w:rPr>
      </w:pPr>
      <w:r w:rsidRPr="00E4105B">
        <w:rPr>
          <w:rFonts w:eastAsia="Calibri" w:cs="Arial"/>
          <w:szCs w:val="21"/>
        </w:rPr>
        <w:t>kusalama ya ba lubwaku na mpi kutonda ya mas aya mvula na ngambu ya Kasaï na mpi ya Kasaï Central ;</w:t>
      </w:r>
    </w:p>
    <w:p w14:paraId="4CDDF1DF" w14:textId="77777777" w:rsidR="000326DA" w:rsidRPr="00E4105B" w:rsidRDefault="000326DA" w:rsidP="002378EA">
      <w:pPr>
        <w:pStyle w:val="Paragraphedeliste"/>
        <w:numPr>
          <w:ilvl w:val="0"/>
          <w:numId w:val="67"/>
        </w:numPr>
        <w:rPr>
          <w:rFonts w:eastAsia="Calibri" w:cs="Arial"/>
          <w:szCs w:val="21"/>
          <w:lang w:val="nl-BE"/>
        </w:rPr>
      </w:pPr>
      <w:r w:rsidRPr="00E4105B">
        <w:rPr>
          <w:rFonts w:eastAsia="Calibri" w:cs="Arial"/>
          <w:szCs w:val="21"/>
          <w:lang w:val="nl-BE"/>
        </w:rPr>
        <w:t>mpila batu kefandaka kele ya mbote ve ;</w:t>
      </w:r>
    </w:p>
    <w:p w14:paraId="7994DC1D" w14:textId="77777777" w:rsidR="000326DA" w:rsidRPr="00E4105B" w:rsidRDefault="000326DA" w:rsidP="002378EA">
      <w:pPr>
        <w:pStyle w:val="Paragraphedeliste"/>
        <w:numPr>
          <w:ilvl w:val="0"/>
          <w:numId w:val="67"/>
        </w:numPr>
        <w:rPr>
          <w:rFonts w:eastAsia="Calibri" w:cs="Arial"/>
          <w:szCs w:val="21"/>
          <w:lang w:val="nl-BE"/>
        </w:rPr>
      </w:pPr>
      <w:r w:rsidRPr="00E4105B">
        <w:rPr>
          <w:rFonts w:eastAsia="Calibri" w:cs="Arial"/>
          <w:szCs w:val="21"/>
          <w:lang w:val="nl-BE"/>
        </w:rPr>
        <w:t>mpasi ya mvita na ngambu ya  Nord-Kivu (Beni, Butembo, Rutshuru)</w:t>
      </w:r>
    </w:p>
    <w:p w14:paraId="5ECD3826" w14:textId="77777777" w:rsidR="000326DA" w:rsidRPr="00E4105B" w:rsidRDefault="000326DA" w:rsidP="000326DA">
      <w:pPr>
        <w:tabs>
          <w:tab w:val="left" w:pos="426"/>
        </w:tabs>
        <w:spacing w:line="240" w:lineRule="auto"/>
        <w:rPr>
          <w:rFonts w:cs="Arial"/>
          <w:szCs w:val="21"/>
          <w:lang w:val="nl-BE"/>
        </w:rPr>
      </w:pPr>
    </w:p>
    <w:p w14:paraId="01EFEE23" w14:textId="77777777" w:rsidR="000326DA" w:rsidRPr="00EC500E" w:rsidRDefault="000326DA" w:rsidP="002378EA">
      <w:pPr>
        <w:numPr>
          <w:ilvl w:val="0"/>
          <w:numId w:val="159"/>
        </w:numPr>
        <w:rPr>
          <w:rFonts w:cs="Arial"/>
          <w:b/>
          <w:szCs w:val="21"/>
          <w:lang w:val="nl-BE"/>
        </w:rPr>
      </w:pPr>
      <w:r w:rsidRPr="00EC500E">
        <w:rPr>
          <w:rFonts w:cs="Arial"/>
          <w:b/>
          <w:i/>
          <w:szCs w:val="21"/>
          <w:lang w:val="nl-BE"/>
        </w:rPr>
        <w:t xml:space="preserve">Sambu na mambu ya politiki na mpi mibeku, na mpi ya ba nzo ya bisalu nsambu na kusadila bima ya kezingaka ntoto na mpi mpila batu kefandaka na mpi CES ya Banque Mondiale yayi talomba nde malongi ya CGES fete landa na mpi kusadila yawu. </w:t>
      </w:r>
    </w:p>
    <w:p w14:paraId="6C8F7081" w14:textId="77777777" w:rsidR="000326DA" w:rsidRPr="00E4105B" w:rsidRDefault="000326DA" w:rsidP="000326DA">
      <w:pPr>
        <w:tabs>
          <w:tab w:val="left" w:pos="426"/>
        </w:tabs>
        <w:rPr>
          <w:rFonts w:cs="Arial"/>
          <w:szCs w:val="21"/>
          <w:lang w:val="nl-BE"/>
        </w:rPr>
      </w:pPr>
    </w:p>
    <w:p w14:paraId="55DC031E" w14:textId="70F6D045" w:rsidR="000326DA" w:rsidRPr="00EC500E" w:rsidRDefault="000326DA" w:rsidP="000326DA">
      <w:pPr>
        <w:tabs>
          <w:tab w:val="left" w:pos="426"/>
        </w:tabs>
        <w:rPr>
          <w:rFonts w:cs="Arial"/>
          <w:szCs w:val="21"/>
          <w:lang w:val="nl-BE"/>
        </w:rPr>
      </w:pPr>
      <w:r w:rsidRPr="00EC500E">
        <w:rPr>
          <w:rFonts w:cs="Arial"/>
          <w:szCs w:val="21"/>
          <w:lang w:val="nl-BE"/>
        </w:rPr>
        <w:t xml:space="preserve">Mambu ya mibeku na mpi ya kodi yayi tangidila mambu y abima yayi kezingaka ntoto na mpila batu kefandaka na mpi yayi ya kisalu ya PNDA talanda ba nsoniki to babuku ya kelanda diaka mibeku ya nkaka yayi tatadila mambu y abima yayi kezingaka ntoto na mpi mpila batu kefandaka (Loi de protection de l’environnement, la loi portant Principes fondamentaux relatifs à l’agriculture, décret sur les EIES, Code de travail, etc.). </w:t>
      </w:r>
    </w:p>
    <w:p w14:paraId="4922743E" w14:textId="77777777" w:rsidR="000326DA" w:rsidRPr="00E4470C" w:rsidRDefault="000326DA" w:rsidP="000326DA">
      <w:pPr>
        <w:tabs>
          <w:tab w:val="left" w:pos="426"/>
        </w:tabs>
        <w:rPr>
          <w:rFonts w:cs="Arial"/>
          <w:szCs w:val="21"/>
          <w:lang w:val="nl-BE"/>
        </w:rPr>
      </w:pPr>
    </w:p>
    <w:p w14:paraId="49D256F9" w14:textId="47A0CCD2" w:rsidR="000326DA" w:rsidRPr="00E4105B" w:rsidRDefault="000326DA" w:rsidP="000326DA">
      <w:pPr>
        <w:rPr>
          <w:rFonts w:cs="Arial"/>
          <w:szCs w:val="21"/>
        </w:rPr>
      </w:pPr>
      <w:r w:rsidRPr="00E4105B">
        <w:rPr>
          <w:rFonts w:cs="Arial"/>
          <w:szCs w:val="21"/>
        </w:rPr>
        <w:t xml:space="preserve">Kisalu ya PNDA fete landa malombi ya CES (Cadre Environnemental et Social) ya Banque Mondiale, yayi bashikaka na kilumba ya 01 octobre 2018. Na yayi nde, kutadila bidimbu y abima yayi kezingaka ntoto na mpi mpila batu kefandaka ya kisalu ya PNDA sadisaka kukotisa bisalu tasalama na mpila ya kulanda mambu ya CES na kati ya diboke ya bisalu yayi tafanda na bidimbu ya kati na ntu y abima yayi kezingaka ntoto na mpila batu kefandaka, kati ya bidimbu yayi kele bidimbu ya mabu ketadila ba VBG to yayi ba nkentu monaka na bisika ya bisalu. Mikanu 9 kati ya mikanu 10 ya mambu y abima yayi kezingaka ntoto na mpi mpila batu kefandaka (NES) tasadilama sambu na kusadisa bisalu yayi mbote. </w:t>
      </w:r>
    </w:p>
    <w:p w14:paraId="255F703E" w14:textId="77777777" w:rsidR="000326DA" w:rsidRPr="00E4105B" w:rsidRDefault="000326DA" w:rsidP="000326DA">
      <w:pPr>
        <w:tabs>
          <w:tab w:val="left" w:pos="426"/>
        </w:tabs>
        <w:rPr>
          <w:rFonts w:cs="Arial"/>
          <w:szCs w:val="21"/>
        </w:rPr>
      </w:pPr>
    </w:p>
    <w:p w14:paraId="5961AF92" w14:textId="77777777" w:rsidR="000326DA" w:rsidRPr="00E4105B" w:rsidRDefault="000326DA" w:rsidP="000326DA">
      <w:pPr>
        <w:tabs>
          <w:tab w:val="left" w:pos="426"/>
        </w:tabs>
        <w:rPr>
          <w:rFonts w:cs="Arial"/>
          <w:szCs w:val="21"/>
        </w:rPr>
      </w:pPr>
      <w:r w:rsidRPr="00E4105B">
        <w:rPr>
          <w:rFonts w:cs="Arial"/>
          <w:szCs w:val="21"/>
        </w:rPr>
        <w:t xml:space="preserve">Mikanu ya nkaka tasadisa me kotisama na kati ya malongi yayi ya CGES sambu na kusadisa bisalu yonso na nzila malombi ya mibeku yayi y ainsi na betu na mpi ba politiki ya Banque Mondiale ya kusadisa bisalu mpila mosi ya mbote. </w:t>
      </w:r>
    </w:p>
    <w:p w14:paraId="139964F6" w14:textId="77777777" w:rsidR="000326DA" w:rsidRPr="00E4105B" w:rsidRDefault="000326DA" w:rsidP="000326DA">
      <w:pPr>
        <w:rPr>
          <w:rFonts w:cs="Arial"/>
          <w:i/>
          <w:szCs w:val="21"/>
        </w:rPr>
      </w:pPr>
    </w:p>
    <w:p w14:paraId="7EC2DA93" w14:textId="77777777" w:rsidR="000326DA" w:rsidRPr="00EC500E" w:rsidRDefault="000326DA" w:rsidP="002378EA">
      <w:pPr>
        <w:numPr>
          <w:ilvl w:val="0"/>
          <w:numId w:val="159"/>
        </w:numPr>
        <w:rPr>
          <w:rFonts w:cs="Arial"/>
          <w:b/>
          <w:i/>
          <w:szCs w:val="21"/>
        </w:rPr>
      </w:pPr>
      <w:r w:rsidRPr="00EC500E">
        <w:rPr>
          <w:rFonts w:cs="Arial"/>
          <w:b/>
          <w:i/>
          <w:szCs w:val="21"/>
        </w:rPr>
        <w:t>Bidimbu yayi ya bisalu na bima yayi kezingaka ntoto na mpi mpila batu kefandaka</w:t>
      </w:r>
    </w:p>
    <w:p w14:paraId="144835DC" w14:textId="77777777" w:rsidR="000326DA" w:rsidRPr="00E4105B" w:rsidRDefault="000326DA" w:rsidP="000326DA">
      <w:pPr>
        <w:ind w:left="720"/>
        <w:rPr>
          <w:rFonts w:cs="Arial"/>
          <w:i/>
          <w:szCs w:val="21"/>
        </w:rPr>
      </w:pPr>
    </w:p>
    <w:p w14:paraId="31470786" w14:textId="77777777" w:rsidR="000326DA" w:rsidRPr="00E4105B" w:rsidRDefault="000326DA" w:rsidP="000326DA">
      <w:pPr>
        <w:rPr>
          <w:rFonts w:cs="Arial"/>
          <w:szCs w:val="21"/>
        </w:rPr>
      </w:pPr>
      <w:r w:rsidRPr="00E4105B">
        <w:rPr>
          <w:rFonts w:cs="Arial"/>
          <w:szCs w:val="21"/>
        </w:rPr>
        <w:t xml:space="preserve">Bidimbu to bilembu yayi bisalu ta nata na bima yayi kezingaka ntoto na mpi mpila batu kefandaka kele : </w:t>
      </w:r>
    </w:p>
    <w:p w14:paraId="1388E38D" w14:textId="77777777" w:rsidR="000326DA" w:rsidRPr="00E4105B" w:rsidRDefault="000326DA" w:rsidP="000326DA">
      <w:pPr>
        <w:rPr>
          <w:rFonts w:cs="Arial"/>
          <w:szCs w:val="21"/>
          <w:u w:val="single"/>
        </w:rPr>
      </w:pPr>
    </w:p>
    <w:p w14:paraId="058E53A5" w14:textId="77777777" w:rsidR="000326DA" w:rsidRPr="0079336E" w:rsidRDefault="000326DA" w:rsidP="000326DA">
      <w:pPr>
        <w:rPr>
          <w:rFonts w:cs="Arial"/>
          <w:sz w:val="22"/>
          <w:u w:val="single"/>
        </w:rPr>
      </w:pPr>
      <w:r w:rsidRPr="0079336E">
        <w:rPr>
          <w:rFonts w:cs="Arial"/>
          <w:sz w:val="22"/>
          <w:u w:val="single"/>
        </w:rPr>
        <w:t xml:space="preserve">Bidimbu yayi ya mbote </w:t>
      </w:r>
    </w:p>
    <w:p w14:paraId="433AC397" w14:textId="77777777" w:rsidR="000326DA" w:rsidRPr="0079336E" w:rsidRDefault="000326DA" w:rsidP="000326DA">
      <w:pPr>
        <w:rPr>
          <w:rFonts w:cs="Arial"/>
          <w:sz w:val="22"/>
        </w:rPr>
      </w:pPr>
    </w:p>
    <w:p w14:paraId="406E4DF3" w14:textId="77777777" w:rsidR="000326DA" w:rsidRPr="00E4105B" w:rsidRDefault="000326DA" w:rsidP="000326DA">
      <w:pPr>
        <w:autoSpaceDE w:val="0"/>
        <w:autoSpaceDN w:val="0"/>
        <w:adjustRightInd w:val="0"/>
        <w:rPr>
          <w:rFonts w:cs="Arial"/>
          <w:szCs w:val="21"/>
          <w:u w:val="single"/>
        </w:rPr>
      </w:pPr>
      <w:r w:rsidRPr="00E4105B">
        <w:rPr>
          <w:rFonts w:cs="Arial"/>
          <w:szCs w:val="21"/>
          <w:u w:val="single"/>
        </w:rPr>
        <w:t>Na ntangu ya kusala bisalu :</w:t>
      </w:r>
    </w:p>
    <w:p w14:paraId="62B131CD" w14:textId="77777777" w:rsidR="000326DA" w:rsidRPr="00E4105B" w:rsidRDefault="000326DA" w:rsidP="000326DA">
      <w:pPr>
        <w:autoSpaceDE w:val="0"/>
        <w:autoSpaceDN w:val="0"/>
        <w:adjustRightInd w:val="0"/>
        <w:rPr>
          <w:rFonts w:cs="Arial"/>
          <w:szCs w:val="21"/>
        </w:rPr>
      </w:pPr>
    </w:p>
    <w:p w14:paraId="42D06D19"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Kupesa batu kisalu (kati na bawu ba nkento fete fanda 30%) na mpi kukitisa bobola y aya batu ;</w:t>
      </w:r>
    </w:p>
    <w:p w14:paraId="50F639F0"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Kubongisa mpila ya kusadila bisalu na kulanda nzila ya malombi ya mukanu ya NES 2 : yayi ke tadila mambu ya bisalu na mpi mpila bisalu fete salama, na mpi mukanu yayi ya  NES 4 : yayi tadilaka mambu ya ngolo ya nitu na mpi kukengidila batu ;</w:t>
      </w:r>
    </w:p>
    <w:p w14:paraId="11198E92"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kutwala bansadi ya bilanga bisika mosi na kukodisa ngangu na bawu na mambu ya kusala bilanga ;</w:t>
      </w:r>
    </w:p>
    <w:p w14:paraId="1C7F3D79"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 xml:space="preserve">kutadila mpi mambu ya ba nkentu na kati ya bisalu ya bilanga ; </w:t>
      </w:r>
    </w:p>
    <w:p w14:paraId="58661AE8"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kutadila mbote batu yonso yayi tasadisa sambu na bisalu yayi ya bilanga, mingi mingi ba yayi yasala bisalu ya ntangu fioti, na mpi ba yayi ta bakama sambu na bisalu ya ntangu yonso, na batu ya bisalu ya Mbulamatadi, na mpi ba yayi ta nata bima sambu na kusadisa bisalu ;</w:t>
      </w:r>
    </w:p>
    <w:p w14:paraId="602308DA"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kukodisa mambu ya mimbongo ya fioti na bisika ya bisalu ;</w:t>
      </w:r>
    </w:p>
    <w:p w14:paraId="3B17737B"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kubongisa mpli batu kefandaka ;</w:t>
      </w:r>
    </w:p>
    <w:p w14:paraId="0DB5F8D3"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kunatila batu bima ya ya kudia ya mingi na mpi ya mbote ;</w:t>
      </w:r>
    </w:p>
    <w:p w14:paraId="1917608A"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kukitisa ntalu y abima ya kudia sambu na batu  yayi tasalaka bilanga, na mpi kusangisa bawu na bimvuka ya lusadisu kati na bawu (coopératives/associations) na mpi kukodisa batu ya ba nzo ya bisalu ya bilanga (agro-MPME) ;</w:t>
      </w:r>
    </w:p>
    <w:p w14:paraId="30DF5637"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kisalu yayi tatadila mpi mambu ya ba nzila na mpila ya kulutisila bima ya bilanga na kwenda na bima na ba wenze na mpi ba nzila yayi ya kulutila na masa;</w:t>
      </w:r>
    </w:p>
    <w:p w14:paraId="02FB4BC8"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lusadisu na ba yayi  salaka bilanga ya fioti sambu na kutwadila bawu mutindu ya mpa ya kusadila bisalu ya bilanga na bima ya nkaka ya kusadisa sambu na bisalu ya bilanga na ba bwala ;</w:t>
      </w:r>
    </w:p>
    <w:p w14:paraId="7D96FC4A"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Lusadisu ya tekiniki ya ba yayi salaka bisalu ya bilanga, na mpi na bansadi ya Mbulamatadi na mpi ya mambu ya tadilaka mbongo ;</w:t>
      </w:r>
    </w:p>
    <w:p w14:paraId="24598B6A"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kubongisa ba wenze ya ntama na mpi mpila ya kusadila masa na bisalu ya bilanga na ba bwala ;</w:t>
      </w:r>
    </w:p>
    <w:p w14:paraId="1A461489"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kisalu yayi ta pesa mpila ya kusangisa batu na kati ya bimvuka ya kusadila bisalu bisika mosi (coopératives/associations) na mpi ta kusadisa ba nzo ya agro-MPME yayi tasala nzila mosi na bansadi ya bilanga na kati ya ba bwala ;</w:t>
      </w:r>
    </w:p>
    <w:p w14:paraId="0D8E9A00"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 xml:space="preserve">Kubalusa bima ya bilanga sambu na bima yayi kupesa mbongo ya mbote, kunata biawu na ba wenze na mpi kuteka biawuTransformation (bisalu ya tasalama na manima ya bisalu ya kukata bilanga) ; </w:t>
      </w:r>
    </w:p>
    <w:p w14:paraId="32B69764"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 xml:space="preserve">Kupesa ba nsadi ya bilanga bima ya kuzika na kusadisa bawu na bima ya bisalu ya nkaka, ba mashini ya bilanga, ba mbuma, ba nkisi, mpila ya kusadila masa na bilanga, lusadisu ya ba tekiniki ya kusadila bilanga, etc. </w:t>
      </w:r>
    </w:p>
    <w:p w14:paraId="21DAA34F" w14:textId="77777777" w:rsidR="000326DA" w:rsidRPr="00E4105B" w:rsidRDefault="000326DA" w:rsidP="000326DA">
      <w:pPr>
        <w:widowControl w:val="0"/>
        <w:autoSpaceDE w:val="0"/>
        <w:autoSpaceDN w:val="0"/>
        <w:ind w:left="720"/>
        <w:rPr>
          <w:rFonts w:eastAsia="MS Mincho" w:cs="Arial"/>
          <w:szCs w:val="21"/>
        </w:rPr>
      </w:pPr>
    </w:p>
    <w:p w14:paraId="5BB7C838" w14:textId="77777777" w:rsidR="000326DA" w:rsidRPr="00E4105B" w:rsidRDefault="000326DA" w:rsidP="000326DA">
      <w:pPr>
        <w:autoSpaceDE w:val="0"/>
        <w:autoSpaceDN w:val="0"/>
        <w:adjustRightInd w:val="0"/>
        <w:rPr>
          <w:rFonts w:cs="Arial"/>
          <w:szCs w:val="21"/>
        </w:rPr>
      </w:pPr>
      <w:r w:rsidRPr="00E4105B">
        <w:rPr>
          <w:rFonts w:cs="Arial"/>
          <w:szCs w:val="21"/>
        </w:rPr>
        <w:t>Na ntangu ya kusadila bima yayi taluta na bilanga :</w:t>
      </w:r>
    </w:p>
    <w:p w14:paraId="3488E0DD" w14:textId="77777777" w:rsidR="000326DA" w:rsidRPr="00E4105B" w:rsidRDefault="000326DA" w:rsidP="000326DA">
      <w:pPr>
        <w:autoSpaceDE w:val="0"/>
        <w:autoSpaceDN w:val="0"/>
        <w:adjustRightInd w:val="0"/>
        <w:rPr>
          <w:rFonts w:cs="Arial"/>
          <w:szCs w:val="21"/>
        </w:rPr>
      </w:pPr>
    </w:p>
    <w:p w14:paraId="022753EF"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kuyedika ba nzo ya mbongo to ba Caisses ya fioti ya batu ya ba bwala bawu mosi ;</w:t>
      </w:r>
    </w:p>
    <w:p w14:paraId="39CB9C8A"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 xml:space="preserve">kufungula mayele ya batu sambu na kubebisa ntoto ve ; </w:t>
      </w:r>
    </w:p>
    <w:p w14:paraId="53413420"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 xml:space="preserve">kumanisa mpila batu katukaka na ba bwala na ku kwenda bisika ya nkaka ; </w:t>
      </w:r>
    </w:p>
    <w:p w14:paraId="07797FE1"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 xml:space="preserve">Kukkodisa ngangu ya ba nkentu na mpi bilenge na ba bwala ; </w:t>
      </w:r>
    </w:p>
    <w:p w14:paraId="5B2B7C74"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 xml:space="preserve">Kusala bisalu ya bilanga konso mvula ya mvimba ; </w:t>
      </w:r>
    </w:p>
    <w:p w14:paraId="2E52644E"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 xml:space="preserve">kumanisa mavwanga yayi bilenge salaka na kupesa bawu bisalu ya bilanga ; </w:t>
      </w:r>
    </w:p>
    <w:p w14:paraId="29DEC8F9"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 xml:space="preserve">kuyedika bi mvuka ya fioti ya bansadi ya bilanga ; </w:t>
      </w:r>
    </w:p>
    <w:p w14:paraId="62D0BA9E"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 xml:space="preserve">kusala ba Coopératives ya bansadi ya bilanga ; </w:t>
      </w:r>
    </w:p>
    <w:p w14:paraId="7C942825"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 xml:space="preserve">kuyedika mutindu ya mbote ya kubalula bima ya bilanga ; </w:t>
      </w:r>
    </w:p>
    <w:p w14:paraId="5AD51118"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 xml:space="preserve">kukodisa ba nzila ya kuteka bima ya bilanga ; </w:t>
      </w:r>
    </w:p>
    <w:p w14:paraId="3AFDB716"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kutangidila ba nkentu na kati ya bisalu ya bilanga mpila mosi batangidilaka batu yonso ;</w:t>
      </w:r>
    </w:p>
    <w:p w14:paraId="32659A04"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 xml:space="preserve">lusadisu ya bankentu na mpi bilenge nakati ya kusadisa bialu sambu bawu mpi bafete kubongisa mpila na bawu kefandaka ; </w:t>
      </w:r>
    </w:p>
    <w:p w14:paraId="7ED248D1"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kuzabisa mbote mpila ya mpa ya kusadila bisalu ya bilanga mbote na mpi kukatula bima mingi na mpi kukodisa ngangu ya kusadila bisalu yayi na kupesa bima ya kudia.</w:t>
      </w:r>
    </w:p>
    <w:p w14:paraId="6440710F" w14:textId="77777777" w:rsidR="000326DA" w:rsidRPr="00E4105B" w:rsidRDefault="000326DA" w:rsidP="000326DA">
      <w:pPr>
        <w:autoSpaceDE w:val="0"/>
        <w:autoSpaceDN w:val="0"/>
        <w:adjustRightInd w:val="0"/>
        <w:spacing w:line="240" w:lineRule="auto"/>
        <w:rPr>
          <w:rFonts w:cs="Arial"/>
          <w:szCs w:val="21"/>
        </w:rPr>
      </w:pPr>
    </w:p>
    <w:p w14:paraId="173E4576" w14:textId="77777777" w:rsidR="000326DA" w:rsidRPr="00E4105B" w:rsidRDefault="000326DA" w:rsidP="000326DA">
      <w:pPr>
        <w:spacing w:line="240" w:lineRule="auto"/>
        <w:rPr>
          <w:rFonts w:cs="Arial"/>
          <w:szCs w:val="21"/>
          <w:u w:val="single"/>
        </w:rPr>
      </w:pPr>
      <w:r w:rsidRPr="00E4105B">
        <w:rPr>
          <w:rFonts w:cs="Arial"/>
          <w:szCs w:val="21"/>
          <w:u w:val="single"/>
        </w:rPr>
        <w:t xml:space="preserve">Bidimbu ya mbi ya ta monisama na ntangu ya kusala bisalu </w:t>
      </w:r>
    </w:p>
    <w:p w14:paraId="4AFB80C1" w14:textId="77777777" w:rsidR="000326DA" w:rsidRPr="00E4105B" w:rsidRDefault="000326DA" w:rsidP="000326DA">
      <w:pPr>
        <w:spacing w:line="240" w:lineRule="auto"/>
        <w:rPr>
          <w:rFonts w:cs="Arial"/>
          <w:szCs w:val="21"/>
          <w:u w:val="single"/>
        </w:rPr>
      </w:pPr>
    </w:p>
    <w:p w14:paraId="2D87517E"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Kubebisa ba masa na mpi ntoto na busoto kuluta na bisalu ;</w:t>
      </w:r>
    </w:p>
    <w:p w14:paraId="3B4E1F66"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Kusala makele na ba mashini ya kusadila bilanga ;</w:t>
      </w:r>
    </w:p>
    <w:p w14:paraId="3F17509D"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Kubebisa bisika na kutunga ba nzo ya kubumba bima ya bilanga ;</w:t>
      </w:r>
    </w:p>
    <w:p w14:paraId="7C7C7897"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Kunata ba lubwaku na mpi kubebisa ba ntoto ;</w:t>
      </w:r>
    </w:p>
    <w:p w14:paraId="4E2B25BA"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Kubebisa mupepe na ba putulu ;</w:t>
      </w:r>
    </w:p>
    <w:p w14:paraId="6853278F"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 xml:space="preserve">Kukatuka bisika ya nkaka sambu na mambu ya bisalu ya bilanga ; </w:t>
      </w:r>
    </w:p>
    <w:p w14:paraId="592194BB"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Kuna mavwanga kana bo ke ndimaka na bisalu ban aya bwala ve ;</w:t>
      </w:r>
    </w:p>
    <w:p w14:paraId="7853A678"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 xml:space="preserve">Kukabula bima ya bisalu mpila mos ive na kati ya bansadi yonso ya bisalu ya bilanga ; </w:t>
      </w:r>
    </w:p>
    <w:p w14:paraId="3C262FF2"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 xml:space="preserve">Mavwanga sambo nakunata bisika ya nkaka ya kusadila bilanga ; </w:t>
      </w:r>
    </w:p>
    <w:p w14:paraId="200A358D"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 xml:space="preserve">Kusadisa ban aya fioti ya ba mvula na nsi ya 18 bisalu ya bilanga ; </w:t>
      </w:r>
    </w:p>
    <w:p w14:paraId="42B52582"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 xml:space="preserve">Kubebisa mambu na kunata batu polisi to ba sodats sambu na kukengidila bisalu (mavwanga na Nord-Kivu) ; </w:t>
      </w:r>
    </w:p>
    <w:p w14:paraId="3A6CCA69"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 xml:space="preserve">Kubebisa bisalu ya nkaka ya kuteka bima na ntangu bisalu tasalama ; </w:t>
      </w:r>
    </w:p>
    <w:p w14:paraId="7A9E0458"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 xml:space="preserve">Kupekisa ba nkentu kukota na bisalu yayi ya bilanga ;  </w:t>
      </w:r>
    </w:p>
    <w:p w14:paraId="1B199AE2"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Kusala ba accidents na nzila ya bisalu ;</w:t>
      </w:r>
    </w:p>
    <w:p w14:paraId="40578DC5"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Kukodisa mutungisi ya ba nkentu : kunata bawu na kingolu, to kutungisa bawu, kukotisa bawu na dibala na kingolu, kupesa bawu divumu na kingolu na bansadi yayi tabaka mbongo na bisalu ya bilanga. </w:t>
      </w:r>
      <w:r w:rsidRPr="00E4105B" w:rsidDel="001332A6">
        <w:rPr>
          <w:rFonts w:eastAsia="MS Mincho" w:cs="Arial"/>
          <w:szCs w:val="21"/>
        </w:rPr>
        <w:t xml:space="preserve"> </w:t>
      </w:r>
    </w:p>
    <w:p w14:paraId="79E684D9"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Kupesana ba maladi to bimbefu ya IST na mpi VIH/SIDA ;</w:t>
      </w:r>
    </w:p>
    <w:p w14:paraId="1B836136" w14:textId="77777777" w:rsidR="000326DA" w:rsidRPr="00E4105B" w:rsidRDefault="000326DA" w:rsidP="002378EA">
      <w:pPr>
        <w:widowControl w:val="0"/>
        <w:numPr>
          <w:ilvl w:val="0"/>
          <w:numId w:val="68"/>
        </w:numPr>
        <w:autoSpaceDE w:val="0"/>
        <w:autoSpaceDN w:val="0"/>
        <w:rPr>
          <w:rFonts w:eastAsia="MS Mincho" w:cs="Arial"/>
          <w:szCs w:val="21"/>
          <w:lang w:val="pl-PL"/>
        </w:rPr>
      </w:pPr>
      <w:r w:rsidRPr="00E4105B">
        <w:rPr>
          <w:rFonts w:eastAsia="MS Mincho" w:cs="Arial"/>
          <w:szCs w:val="21"/>
          <w:lang w:val="pl-PL"/>
        </w:rPr>
        <w:t>Kupanza kimbefu to maladi ya COVID-19 ;</w:t>
      </w:r>
    </w:p>
    <w:p w14:paraId="1A350925" w14:textId="77777777" w:rsidR="000326DA" w:rsidRPr="00E4105B" w:rsidRDefault="000326DA" w:rsidP="002378EA">
      <w:pPr>
        <w:widowControl w:val="0"/>
        <w:numPr>
          <w:ilvl w:val="0"/>
          <w:numId w:val="68"/>
        </w:numPr>
        <w:autoSpaceDE w:val="0"/>
        <w:autoSpaceDN w:val="0"/>
        <w:rPr>
          <w:rFonts w:eastAsia="MS Mincho" w:cs="Arial"/>
          <w:szCs w:val="21"/>
          <w:lang w:val="pl-PL"/>
        </w:rPr>
      </w:pPr>
      <w:r w:rsidRPr="00E4105B">
        <w:rPr>
          <w:rFonts w:eastAsia="MS Mincho" w:cs="Arial"/>
          <w:szCs w:val="21"/>
          <w:lang w:val="pl-PL"/>
        </w:rPr>
        <w:t xml:space="preserve">Bidimbu ya mbi na mutindu ya mbi ya kusadila masa na kati ya bilanga ; </w:t>
      </w:r>
    </w:p>
    <w:p w14:paraId="7FAC9094" w14:textId="77777777" w:rsidR="000326DA" w:rsidRPr="00E4105B" w:rsidRDefault="000326DA" w:rsidP="002378EA">
      <w:pPr>
        <w:widowControl w:val="0"/>
        <w:numPr>
          <w:ilvl w:val="0"/>
          <w:numId w:val="68"/>
        </w:numPr>
        <w:autoSpaceDE w:val="0"/>
        <w:autoSpaceDN w:val="0"/>
        <w:rPr>
          <w:rFonts w:eastAsia="MS Mincho" w:cs="Arial"/>
          <w:szCs w:val="21"/>
          <w:lang w:val="pl-PL"/>
        </w:rPr>
      </w:pPr>
      <w:r w:rsidRPr="00E4105B">
        <w:rPr>
          <w:rFonts w:eastAsia="MS Mincho" w:cs="Arial"/>
          <w:szCs w:val="21"/>
          <w:lang w:val="pl-PL"/>
        </w:rPr>
        <w:t>Kubebisa na mpi kusadila mbote ve ba masa na bisalu ya bilanga ;</w:t>
      </w:r>
    </w:p>
    <w:p w14:paraId="1A336A31"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 xml:space="preserve">Kubebisa ban toto na bisalu ya bilanga ; </w:t>
      </w:r>
    </w:p>
    <w:p w14:paraId="417D86FC" w14:textId="77777777" w:rsidR="000326DA" w:rsidRPr="00E4105B" w:rsidRDefault="000326DA" w:rsidP="002378EA">
      <w:pPr>
        <w:widowControl w:val="0"/>
        <w:numPr>
          <w:ilvl w:val="0"/>
          <w:numId w:val="68"/>
        </w:numPr>
        <w:autoSpaceDE w:val="0"/>
        <w:autoSpaceDN w:val="0"/>
        <w:rPr>
          <w:rFonts w:eastAsia="MS Mincho" w:cs="Arial"/>
          <w:szCs w:val="21"/>
          <w:lang w:val="pl-PL"/>
        </w:rPr>
      </w:pPr>
      <w:r w:rsidRPr="00E4105B">
        <w:rPr>
          <w:rFonts w:eastAsia="MS Mincho" w:cs="Arial"/>
          <w:szCs w:val="21"/>
          <w:lang w:val="pl-PL"/>
        </w:rPr>
        <w:t xml:space="preserve">Kunata to kukotisa ba maladi to bimbefu ya kelutaka na ba mas aya busoto ; </w:t>
      </w:r>
    </w:p>
    <w:p w14:paraId="07B03955" w14:textId="77777777" w:rsidR="000326DA" w:rsidRPr="00E4105B" w:rsidRDefault="000326DA" w:rsidP="002378EA">
      <w:pPr>
        <w:widowControl w:val="0"/>
        <w:numPr>
          <w:ilvl w:val="0"/>
          <w:numId w:val="68"/>
        </w:numPr>
        <w:autoSpaceDE w:val="0"/>
        <w:autoSpaceDN w:val="0"/>
        <w:rPr>
          <w:rFonts w:eastAsia="MS Mincho" w:cs="Arial"/>
          <w:szCs w:val="21"/>
          <w:lang w:val="pl-PL"/>
        </w:rPr>
      </w:pPr>
      <w:r w:rsidRPr="00E4105B">
        <w:rPr>
          <w:rFonts w:eastAsia="MS Mincho" w:cs="Arial"/>
          <w:szCs w:val="21"/>
          <w:lang w:val="pl-PL"/>
        </w:rPr>
        <w:t>Kubebisa masa na ban toto na ba nkisi yayi basadilaka na bisalu ya bilanga ;</w:t>
      </w:r>
    </w:p>
    <w:p w14:paraId="0E9425CF" w14:textId="77777777" w:rsidR="000326DA" w:rsidRPr="00E4105B" w:rsidRDefault="000326DA" w:rsidP="002378EA">
      <w:pPr>
        <w:widowControl w:val="0"/>
        <w:numPr>
          <w:ilvl w:val="0"/>
          <w:numId w:val="68"/>
        </w:numPr>
        <w:autoSpaceDE w:val="0"/>
        <w:autoSpaceDN w:val="0"/>
        <w:rPr>
          <w:rFonts w:eastAsia="MS Mincho" w:cs="Arial"/>
          <w:szCs w:val="21"/>
          <w:lang w:val="pl-PL"/>
        </w:rPr>
      </w:pPr>
      <w:r w:rsidRPr="00E4105B">
        <w:rPr>
          <w:rFonts w:eastAsia="MS Mincho" w:cs="Arial"/>
          <w:szCs w:val="21"/>
          <w:lang w:val="pl-PL"/>
        </w:rPr>
        <w:t>Kumonisa na nsadi mpasi na bisika ya nkaka ya bisalu ya PNDA yayi kele na kimia ve;</w:t>
      </w:r>
    </w:p>
    <w:p w14:paraId="647B24F4"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 xml:space="preserve">Kusadisa accidents na ba mituka ya bisalu ; </w:t>
      </w:r>
    </w:p>
    <w:p w14:paraId="63458BAA"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Kukata ba nti sambu na kukangula ba nzila ya bisalu bisika ya kubaka ntoto sambu na bisalu ;</w:t>
      </w:r>
    </w:p>
    <w:p w14:paraId="7E0BEF97" w14:textId="77777777" w:rsidR="000326DA" w:rsidRPr="00E4105B" w:rsidRDefault="000326DA" w:rsidP="002378EA">
      <w:pPr>
        <w:widowControl w:val="0"/>
        <w:numPr>
          <w:ilvl w:val="0"/>
          <w:numId w:val="68"/>
        </w:numPr>
        <w:autoSpaceDE w:val="0"/>
        <w:autoSpaceDN w:val="0"/>
        <w:rPr>
          <w:rFonts w:eastAsia="MS Mincho" w:cs="Arial"/>
          <w:szCs w:val="21"/>
          <w:lang w:val="nl-BE"/>
        </w:rPr>
      </w:pPr>
      <w:r w:rsidRPr="00E4105B">
        <w:rPr>
          <w:rFonts w:eastAsia="MS Mincho" w:cs="Arial"/>
          <w:szCs w:val="21"/>
          <w:lang w:val="nl-BE"/>
        </w:rPr>
        <w:t>Kutumba na mpi kubebisa ba mvinda na moto ;</w:t>
      </w:r>
    </w:p>
    <w:p w14:paraId="2AF37735"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lang w:val="fr-CD"/>
        </w:rPr>
        <w:t xml:space="preserve">Kukota na bisika yayi pekisamaka na Mbulamatadi </w:t>
      </w:r>
      <w:r w:rsidRPr="00E4105B">
        <w:rPr>
          <w:rFonts w:eastAsia="MS Mincho" w:cs="Arial"/>
          <w:szCs w:val="21"/>
        </w:rPr>
        <w:t>(domaine de chasse de Mangai, Bushimae, Parc Marine de Mangrove et Parc National de la Virunga) ;</w:t>
      </w:r>
    </w:p>
    <w:p w14:paraId="5930EFC3"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Kubebisa bima na mpi bisika ya ba Mbuti (PA) ;</w:t>
      </w:r>
    </w:p>
    <w:p w14:paraId="456AFEEE" w14:textId="77777777" w:rsidR="000326DA" w:rsidRPr="00E4105B" w:rsidRDefault="000326DA" w:rsidP="002378EA">
      <w:pPr>
        <w:widowControl w:val="0"/>
        <w:numPr>
          <w:ilvl w:val="0"/>
          <w:numId w:val="68"/>
        </w:numPr>
        <w:autoSpaceDE w:val="0"/>
        <w:autoSpaceDN w:val="0"/>
        <w:rPr>
          <w:rFonts w:eastAsia="MS Mincho" w:cs="Arial"/>
          <w:szCs w:val="21"/>
          <w:lang w:val="pl-PL"/>
        </w:rPr>
      </w:pPr>
      <w:r w:rsidRPr="00E4105B">
        <w:rPr>
          <w:rFonts w:eastAsia="MS Mincho" w:cs="Arial"/>
          <w:szCs w:val="21"/>
          <w:lang w:val="pl-PL"/>
        </w:rPr>
        <w:t>Kufwa ban yama na ba mvinda ;</w:t>
      </w:r>
    </w:p>
    <w:p w14:paraId="34C2CA4D" w14:textId="77777777" w:rsidR="000326DA" w:rsidRPr="00E4105B" w:rsidRDefault="000326DA" w:rsidP="002378EA">
      <w:pPr>
        <w:widowControl w:val="0"/>
        <w:numPr>
          <w:ilvl w:val="0"/>
          <w:numId w:val="68"/>
        </w:numPr>
        <w:autoSpaceDE w:val="0"/>
        <w:autoSpaceDN w:val="0"/>
        <w:rPr>
          <w:rFonts w:eastAsia="MS Mincho" w:cs="Arial"/>
          <w:szCs w:val="21"/>
          <w:lang w:val="pl-PL"/>
        </w:rPr>
      </w:pPr>
      <w:r w:rsidRPr="00E4105B">
        <w:rPr>
          <w:rFonts w:eastAsia="MS Mincho" w:cs="Arial"/>
          <w:szCs w:val="21"/>
          <w:lang w:val="pl-PL"/>
        </w:rPr>
        <w:t xml:space="preserve">Kuzikisa ba nzo ya kubumba ba mafuta na moto ; </w:t>
      </w:r>
    </w:p>
    <w:p w14:paraId="2FD7BDA5" w14:textId="77777777" w:rsidR="000326DA" w:rsidRPr="00E4105B" w:rsidRDefault="000326DA" w:rsidP="002378EA">
      <w:pPr>
        <w:widowControl w:val="0"/>
        <w:numPr>
          <w:ilvl w:val="0"/>
          <w:numId w:val="68"/>
        </w:numPr>
        <w:autoSpaceDE w:val="0"/>
        <w:autoSpaceDN w:val="0"/>
        <w:rPr>
          <w:rFonts w:eastAsia="MS Mincho" w:cs="Arial"/>
          <w:szCs w:val="21"/>
          <w:lang w:val="pl-PL"/>
        </w:rPr>
      </w:pPr>
      <w:r w:rsidRPr="00E4105B">
        <w:rPr>
          <w:rFonts w:eastAsia="MS Mincho" w:cs="Arial"/>
          <w:szCs w:val="21"/>
          <w:lang w:val="pl-PL"/>
        </w:rPr>
        <w:t>Kubebisa bima ya bonkoko na bisalu ya kutimula mabulu na ntoto (monuments, églises, tombes, etc.).</w:t>
      </w:r>
    </w:p>
    <w:p w14:paraId="02933C56" w14:textId="77777777" w:rsidR="000326DA" w:rsidRPr="00E4105B" w:rsidRDefault="000326DA" w:rsidP="000326DA">
      <w:pPr>
        <w:spacing w:line="240" w:lineRule="auto"/>
        <w:rPr>
          <w:rFonts w:cs="Arial"/>
          <w:szCs w:val="21"/>
          <w:lang w:val="pl-PL"/>
        </w:rPr>
      </w:pPr>
    </w:p>
    <w:p w14:paraId="657E571A" w14:textId="77777777" w:rsidR="000326DA" w:rsidRPr="00E4105B" w:rsidRDefault="000326DA" w:rsidP="002378EA">
      <w:pPr>
        <w:keepNext/>
        <w:numPr>
          <w:ilvl w:val="1"/>
          <w:numId w:val="65"/>
        </w:numPr>
        <w:tabs>
          <w:tab w:val="left" w:pos="720"/>
        </w:tabs>
        <w:spacing w:line="240" w:lineRule="auto"/>
        <w:outlineLvl w:val="2"/>
        <w:rPr>
          <w:rFonts w:cs="Arial"/>
          <w:vanish/>
          <w:szCs w:val="21"/>
          <w:u w:val="single"/>
        </w:rPr>
      </w:pPr>
      <w:bookmarkStart w:id="146" w:name="_Toc70326729"/>
      <w:bookmarkStart w:id="147" w:name="_Toc70326962"/>
      <w:bookmarkStart w:id="148" w:name="_Toc70330325"/>
      <w:bookmarkStart w:id="149" w:name="_Toc72336029"/>
      <w:bookmarkStart w:id="150" w:name="_Toc90393037"/>
      <w:bookmarkStart w:id="151" w:name="_Toc90471396"/>
      <w:bookmarkEnd w:id="146"/>
      <w:bookmarkEnd w:id="147"/>
      <w:bookmarkEnd w:id="148"/>
      <w:bookmarkEnd w:id="149"/>
      <w:bookmarkEnd w:id="150"/>
      <w:bookmarkEnd w:id="151"/>
    </w:p>
    <w:p w14:paraId="3AE07290" w14:textId="77777777" w:rsidR="000326DA" w:rsidRPr="00E4105B" w:rsidRDefault="000326DA" w:rsidP="000326DA">
      <w:pPr>
        <w:spacing w:line="240" w:lineRule="auto"/>
        <w:rPr>
          <w:rFonts w:cs="Arial"/>
          <w:color w:val="000000"/>
          <w:szCs w:val="21"/>
          <w:u w:val="single"/>
        </w:rPr>
      </w:pPr>
      <w:r w:rsidRPr="00E4105B">
        <w:rPr>
          <w:rFonts w:cs="Arial"/>
          <w:color w:val="000000"/>
          <w:szCs w:val="21"/>
          <w:u w:val="single"/>
        </w:rPr>
        <w:t>Bidimbu ya mbi ya bisalu ya kutonga ba wenze na mpi ba abattoirs</w:t>
      </w:r>
    </w:p>
    <w:p w14:paraId="4F97E14B" w14:textId="77777777" w:rsidR="000326DA" w:rsidRPr="00E4105B" w:rsidRDefault="000326DA" w:rsidP="000326DA">
      <w:pPr>
        <w:spacing w:line="240" w:lineRule="auto"/>
        <w:rPr>
          <w:rFonts w:cs="Arial"/>
          <w:szCs w:val="21"/>
          <w:u w:val="single"/>
        </w:rPr>
      </w:pPr>
    </w:p>
    <w:p w14:paraId="10AAD211"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 xml:space="preserve">Kukatula batu na bisika bawu fandaka na kusadila mumbongu na bawu ; </w:t>
      </w:r>
    </w:p>
    <w:p w14:paraId="04498529"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Kunata ba busoto ya taluta na bisalu yayi ya kutonga na kusadila bisaka yayi ya bisalu ;</w:t>
      </w:r>
    </w:p>
    <w:p w14:paraId="1386251A"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 xml:space="preserve">Kubebisa monisi ya bisika bakusadila ba wenze na mpi bisika ya nkaka ya bisalu ;  </w:t>
      </w:r>
    </w:p>
    <w:p w14:paraId="1C4A1A8F"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 xml:space="preserve">Likama ya mbalakaka kuluta na bisalu ; </w:t>
      </w:r>
    </w:p>
    <w:p w14:paraId="61E997B2"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Kusadila ba nsadi ya ba bwala ve ;</w:t>
      </w:r>
    </w:p>
    <w:p w14:paraId="596D66E6"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Kupanza ba maladi ya VIH/SIDA na mpi ya ba IST na nzila ya lukutakanu ya ba nsadi na batu ya ba bwala ;</w:t>
      </w:r>
    </w:p>
    <w:p w14:paraId="55115A39"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Kutungisa bana ba nkentu (VBG) ;</w:t>
      </w:r>
    </w:p>
    <w:p w14:paraId="15BF204A"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Kupanza maladi ya COVID-19 kana batu landaka ve mitindu ya mbote ya kulandila maladi yayi ;</w:t>
      </w:r>
    </w:p>
    <w:p w14:paraId="604679B8" w14:textId="77777777" w:rsidR="000326DA" w:rsidRPr="00E4105B" w:rsidRDefault="000326DA" w:rsidP="000326DA">
      <w:pPr>
        <w:spacing w:line="240" w:lineRule="auto"/>
        <w:rPr>
          <w:rFonts w:cs="Arial"/>
          <w:szCs w:val="21"/>
          <w:u w:val="single"/>
        </w:rPr>
      </w:pPr>
    </w:p>
    <w:p w14:paraId="0AB86296" w14:textId="77777777" w:rsidR="000326DA" w:rsidRPr="00E4105B" w:rsidRDefault="000326DA" w:rsidP="000326DA">
      <w:pPr>
        <w:spacing w:line="240" w:lineRule="auto"/>
        <w:rPr>
          <w:rFonts w:cs="Arial"/>
          <w:color w:val="000000"/>
          <w:szCs w:val="21"/>
          <w:u w:val="single"/>
        </w:rPr>
      </w:pPr>
      <w:r w:rsidRPr="00E4105B">
        <w:rPr>
          <w:rFonts w:cs="Arial"/>
          <w:color w:val="000000"/>
          <w:szCs w:val="21"/>
          <w:u w:val="single"/>
        </w:rPr>
        <w:t>Bidimbu ya mbi na kusadila mbote ve ba nzila ya kulutisa masa na bilanga</w:t>
      </w:r>
    </w:p>
    <w:p w14:paraId="5EAAC6B1" w14:textId="77777777" w:rsidR="000326DA" w:rsidRPr="00E4105B" w:rsidRDefault="000326DA" w:rsidP="000326DA">
      <w:pPr>
        <w:spacing w:line="240" w:lineRule="auto"/>
        <w:rPr>
          <w:rFonts w:cs="Arial"/>
          <w:color w:val="000000"/>
          <w:szCs w:val="21"/>
          <w:u w:val="single"/>
        </w:rPr>
      </w:pPr>
    </w:p>
    <w:p w14:paraId="589568F7" w14:textId="77777777" w:rsidR="000326DA" w:rsidRPr="00E4105B" w:rsidRDefault="000326DA" w:rsidP="002378EA">
      <w:pPr>
        <w:widowControl w:val="0"/>
        <w:numPr>
          <w:ilvl w:val="0"/>
          <w:numId w:val="68"/>
        </w:numPr>
        <w:autoSpaceDE w:val="0"/>
        <w:autoSpaceDN w:val="0"/>
        <w:rPr>
          <w:rFonts w:eastAsia="MS Mincho" w:cs="Arial"/>
          <w:szCs w:val="21"/>
          <w:lang w:val="nb-NO"/>
        </w:rPr>
      </w:pPr>
      <w:r w:rsidRPr="00E4105B">
        <w:rPr>
          <w:rFonts w:eastAsia="MS Mincho" w:cs="Arial"/>
          <w:szCs w:val="21"/>
          <w:lang w:val="nb-NO"/>
        </w:rPr>
        <w:t xml:space="preserve">Kubebisa bisika mbisi ke butaka na masa ; </w:t>
      </w:r>
    </w:p>
    <w:p w14:paraId="76E89E73" w14:textId="77777777" w:rsidR="000326DA" w:rsidRPr="00E4105B" w:rsidRDefault="000326DA" w:rsidP="002378EA">
      <w:pPr>
        <w:widowControl w:val="0"/>
        <w:numPr>
          <w:ilvl w:val="0"/>
          <w:numId w:val="68"/>
        </w:numPr>
        <w:autoSpaceDE w:val="0"/>
        <w:autoSpaceDN w:val="0"/>
        <w:rPr>
          <w:rFonts w:eastAsia="MS Mincho" w:cs="Arial"/>
          <w:szCs w:val="21"/>
          <w:lang w:val="nb-NO"/>
        </w:rPr>
      </w:pPr>
      <w:r w:rsidRPr="00E4105B">
        <w:rPr>
          <w:rFonts w:eastAsia="MS Mincho" w:cs="Arial"/>
          <w:szCs w:val="21"/>
          <w:lang w:val="nb-NO"/>
        </w:rPr>
        <w:t xml:space="preserve">Kukata ba nti na mpi kubebisa ban toto na lubwaku, na mpi bisika ban yama fandaka na kati ya mvinda ;  </w:t>
      </w:r>
    </w:p>
    <w:p w14:paraId="55138FFF" w14:textId="77777777" w:rsidR="000326DA" w:rsidRPr="00E4105B" w:rsidRDefault="000326DA" w:rsidP="002378EA">
      <w:pPr>
        <w:widowControl w:val="0"/>
        <w:numPr>
          <w:ilvl w:val="0"/>
          <w:numId w:val="68"/>
        </w:numPr>
        <w:autoSpaceDE w:val="0"/>
        <w:autoSpaceDN w:val="0"/>
        <w:rPr>
          <w:rFonts w:eastAsia="MS Mincho" w:cs="Arial"/>
          <w:szCs w:val="21"/>
          <w:lang w:val="nb-NO"/>
        </w:rPr>
      </w:pPr>
      <w:r w:rsidRPr="00E4105B">
        <w:rPr>
          <w:rFonts w:eastAsia="MS Mincho" w:cs="Arial"/>
          <w:szCs w:val="21"/>
          <w:lang w:val="nb-NO"/>
        </w:rPr>
        <w:t xml:space="preserve">Kufwa ban yama ya fioti fioti na mvinda ;  </w:t>
      </w:r>
    </w:p>
    <w:p w14:paraId="6A880AF7" w14:textId="77777777" w:rsidR="000326DA" w:rsidRPr="00E4105B" w:rsidRDefault="000326DA" w:rsidP="002378EA">
      <w:pPr>
        <w:widowControl w:val="0"/>
        <w:numPr>
          <w:ilvl w:val="0"/>
          <w:numId w:val="68"/>
        </w:numPr>
        <w:autoSpaceDE w:val="0"/>
        <w:autoSpaceDN w:val="0"/>
        <w:rPr>
          <w:rFonts w:eastAsia="MS Mincho" w:cs="Arial"/>
          <w:szCs w:val="21"/>
          <w:lang w:val="nb-NO"/>
        </w:rPr>
      </w:pPr>
      <w:r w:rsidRPr="00E4105B">
        <w:rPr>
          <w:rFonts w:eastAsia="MS Mincho" w:cs="Arial"/>
          <w:szCs w:val="21"/>
          <w:lang w:val="nb-NO"/>
        </w:rPr>
        <w:t>Mavwanga ya kusadila masa, bilanga, kubukula ban yama na mpi mbisi na masa ;</w:t>
      </w:r>
    </w:p>
    <w:p w14:paraId="0019A410" w14:textId="77777777" w:rsidR="000326DA" w:rsidRPr="00E4105B" w:rsidRDefault="000326DA" w:rsidP="002378EA">
      <w:pPr>
        <w:widowControl w:val="0"/>
        <w:numPr>
          <w:ilvl w:val="0"/>
          <w:numId w:val="68"/>
        </w:numPr>
        <w:autoSpaceDE w:val="0"/>
        <w:autoSpaceDN w:val="0"/>
        <w:rPr>
          <w:rFonts w:eastAsia="MS Mincho" w:cs="Arial"/>
          <w:szCs w:val="21"/>
          <w:lang w:val="nb-NO"/>
        </w:rPr>
      </w:pPr>
      <w:r w:rsidRPr="00E4105B">
        <w:rPr>
          <w:rFonts w:eastAsia="MS Mincho" w:cs="Arial"/>
          <w:szCs w:val="21"/>
          <w:lang w:val="nb-NO"/>
        </w:rPr>
        <w:t xml:space="preserve">Mavwanga kati ya batu ya bwala na ba yayi ta kwisa sambu na bisalu ya bilanga ; </w:t>
      </w:r>
    </w:p>
    <w:p w14:paraId="72B7B6BA" w14:textId="77777777" w:rsidR="000326DA" w:rsidRPr="00E4105B" w:rsidRDefault="000326DA" w:rsidP="002378EA">
      <w:pPr>
        <w:widowControl w:val="0"/>
        <w:numPr>
          <w:ilvl w:val="0"/>
          <w:numId w:val="68"/>
        </w:numPr>
        <w:autoSpaceDE w:val="0"/>
        <w:autoSpaceDN w:val="0"/>
        <w:rPr>
          <w:rFonts w:eastAsia="MS Mincho" w:cs="Arial"/>
          <w:szCs w:val="21"/>
          <w:lang w:val="nb-NO"/>
        </w:rPr>
      </w:pPr>
      <w:r w:rsidRPr="00E4105B">
        <w:rPr>
          <w:rFonts w:eastAsia="MS Mincho" w:cs="Arial"/>
          <w:szCs w:val="21"/>
          <w:lang w:val="nb-NO"/>
        </w:rPr>
        <w:t>Kubebisa bisika ya madia ya ba nyama ; (na nzila ya kukata ba mvinda)</w:t>
      </w:r>
    </w:p>
    <w:p w14:paraId="0CE9F144" w14:textId="77777777" w:rsidR="000326DA" w:rsidRPr="00E4105B" w:rsidRDefault="000326DA" w:rsidP="002378EA">
      <w:pPr>
        <w:widowControl w:val="0"/>
        <w:numPr>
          <w:ilvl w:val="0"/>
          <w:numId w:val="68"/>
        </w:numPr>
        <w:autoSpaceDE w:val="0"/>
        <w:autoSpaceDN w:val="0"/>
        <w:rPr>
          <w:rFonts w:eastAsia="MS Mincho" w:cs="Arial"/>
          <w:szCs w:val="21"/>
          <w:lang w:val="nb-NO"/>
        </w:rPr>
      </w:pPr>
      <w:r w:rsidRPr="00E4105B">
        <w:rPr>
          <w:rFonts w:eastAsia="MS Mincho" w:cs="Arial"/>
          <w:szCs w:val="21"/>
          <w:lang w:val="nb-NO"/>
        </w:rPr>
        <w:t>Kunata mambu ya ban toto na mpi ya masa sambu na bisika ya bilanga ta bakisama ;</w:t>
      </w:r>
    </w:p>
    <w:p w14:paraId="05D969FD"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 xml:space="preserve">Kubebisa ba ntoto ; </w:t>
      </w:r>
    </w:p>
    <w:p w14:paraId="00C3CFCD"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Kubebisa masa na mpi ba ntoto na ba nkisi ya bilanga ;</w:t>
      </w:r>
    </w:p>
    <w:p w14:paraId="7307AA7C"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Mikakatanu ya kingolo ya nitu sambu na ba nkisi yayi ya kusadila na bilanga ;</w:t>
      </w:r>
    </w:p>
    <w:p w14:paraId="08244E0A"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 xml:space="preserve">Kubebisa bisika ya nkaka na ba nkisi yayi ya bilanga ; </w:t>
      </w:r>
    </w:p>
    <w:p w14:paraId="73D27F5D" w14:textId="77777777" w:rsidR="000326DA" w:rsidRPr="00E4105B" w:rsidRDefault="000326DA" w:rsidP="002378EA">
      <w:pPr>
        <w:widowControl w:val="0"/>
        <w:numPr>
          <w:ilvl w:val="0"/>
          <w:numId w:val="68"/>
        </w:numPr>
        <w:autoSpaceDE w:val="0"/>
        <w:autoSpaceDN w:val="0"/>
        <w:rPr>
          <w:rFonts w:eastAsia="MS Mincho" w:cs="Arial"/>
          <w:szCs w:val="21"/>
          <w:lang w:val="nl-BE"/>
        </w:rPr>
      </w:pPr>
      <w:r w:rsidRPr="00E4105B">
        <w:rPr>
          <w:rFonts w:eastAsia="MS Mincho" w:cs="Arial"/>
          <w:szCs w:val="21"/>
          <w:lang w:val="nl-BE"/>
        </w:rPr>
        <w:t>Kubebisa bisika ya nkaka na milinga kuluta na moto ya bilanga.</w:t>
      </w:r>
    </w:p>
    <w:p w14:paraId="6D6D19A7" w14:textId="77777777" w:rsidR="000326DA" w:rsidRPr="00E4105B" w:rsidRDefault="000326DA" w:rsidP="000326DA">
      <w:pPr>
        <w:tabs>
          <w:tab w:val="left" w:pos="426"/>
        </w:tabs>
        <w:spacing w:line="240" w:lineRule="auto"/>
        <w:ind w:left="720"/>
        <w:contextualSpacing/>
        <w:rPr>
          <w:rFonts w:eastAsia="Calibri" w:cs="Arial"/>
          <w:i/>
          <w:szCs w:val="21"/>
          <w:lang w:val="nl-BE"/>
        </w:rPr>
      </w:pPr>
    </w:p>
    <w:p w14:paraId="0D7E1A13" w14:textId="77777777" w:rsidR="000326DA" w:rsidRPr="00EC500E" w:rsidRDefault="000326DA" w:rsidP="002378EA">
      <w:pPr>
        <w:numPr>
          <w:ilvl w:val="0"/>
          <w:numId w:val="159"/>
        </w:numPr>
        <w:tabs>
          <w:tab w:val="left" w:pos="426"/>
        </w:tabs>
        <w:contextualSpacing/>
        <w:rPr>
          <w:rFonts w:eastAsia="Calibri" w:cs="Arial"/>
          <w:b/>
          <w:i/>
          <w:szCs w:val="21"/>
          <w:lang w:val="nl-BE"/>
        </w:rPr>
      </w:pPr>
      <w:r w:rsidRPr="00EC500E">
        <w:rPr>
          <w:rFonts w:eastAsia="Calibri" w:cs="Arial"/>
          <w:b/>
          <w:i/>
          <w:szCs w:val="21"/>
          <w:lang w:val="nl-BE"/>
        </w:rPr>
        <w:t xml:space="preserve">Mikanua ta sadisa sambu na mambu ya kusadila bima yayi kezingaka ntoto na mpi mpila batu kefandaka </w:t>
      </w:r>
    </w:p>
    <w:p w14:paraId="39BB0EDD" w14:textId="77777777" w:rsidR="000326DA" w:rsidRPr="00E4105B" w:rsidRDefault="000326DA" w:rsidP="000326DA">
      <w:pPr>
        <w:rPr>
          <w:rFonts w:cs="Arial"/>
          <w:i/>
          <w:szCs w:val="21"/>
          <w:lang w:val="nl-BE"/>
        </w:rPr>
      </w:pPr>
    </w:p>
    <w:p w14:paraId="58360475" w14:textId="77777777" w:rsidR="000326DA" w:rsidRPr="00E4105B" w:rsidRDefault="000326DA" w:rsidP="000326DA">
      <w:pPr>
        <w:autoSpaceDE w:val="0"/>
        <w:autoSpaceDN w:val="0"/>
        <w:adjustRightInd w:val="0"/>
        <w:contextualSpacing/>
        <w:rPr>
          <w:rFonts w:cs="Arial"/>
          <w:szCs w:val="21"/>
          <w:lang w:val="nl-BE" w:bidi="fr-FR"/>
        </w:rPr>
      </w:pPr>
      <w:r w:rsidRPr="00E4105B">
        <w:rPr>
          <w:rFonts w:cs="Arial"/>
          <w:szCs w:val="21"/>
          <w:lang w:val="nl-BE" w:bidi="fr-FR"/>
        </w:rPr>
        <w:t xml:space="preserve">Kusadila bima yayi kezingaka ntoto na mpi mpila batu kefandaka ya PNDA tafanda na kati na yawu na mikanu yayi tasadisa sambu na kusadisa ba nzo ya bisalu na mpi tekiniki, kukodisa mayele ya bansadi, na mpi kukebisa batu sambu na mabu ya bisalu tasalama, yayi kelanda : </w:t>
      </w:r>
    </w:p>
    <w:p w14:paraId="2B55E3FB" w14:textId="77777777" w:rsidR="000326DA" w:rsidRPr="00E4105B" w:rsidRDefault="000326DA" w:rsidP="000326DA">
      <w:pPr>
        <w:autoSpaceDE w:val="0"/>
        <w:autoSpaceDN w:val="0"/>
        <w:adjustRightInd w:val="0"/>
        <w:spacing w:line="240" w:lineRule="auto"/>
        <w:contextualSpacing/>
        <w:rPr>
          <w:rFonts w:eastAsia="Calibri" w:cs="Arial"/>
          <w:szCs w:val="21"/>
          <w:lang w:val="nl-BE" w:bidi="fr-FR"/>
        </w:rPr>
      </w:pPr>
    </w:p>
    <w:p w14:paraId="1917E81B" w14:textId="77777777" w:rsidR="000326DA" w:rsidRPr="00E4105B" w:rsidRDefault="000326DA" w:rsidP="002378EA">
      <w:pPr>
        <w:widowControl w:val="0"/>
        <w:numPr>
          <w:ilvl w:val="0"/>
          <w:numId w:val="68"/>
        </w:numPr>
        <w:autoSpaceDE w:val="0"/>
        <w:autoSpaceDN w:val="0"/>
        <w:rPr>
          <w:rFonts w:eastAsia="MS Mincho" w:cs="Arial"/>
          <w:szCs w:val="21"/>
          <w:lang w:val="nl-BE"/>
        </w:rPr>
      </w:pPr>
      <w:r w:rsidRPr="00E4105B">
        <w:rPr>
          <w:rFonts w:eastAsia="MS Mincho" w:cs="Arial"/>
          <w:szCs w:val="21"/>
          <w:lang w:val="nl-BE"/>
        </w:rPr>
        <w:t>Kubongisa mutindu ya kusadila ba nsadi (PGMO) ;</w:t>
      </w:r>
    </w:p>
    <w:p w14:paraId="45301811" w14:textId="77777777" w:rsidR="000326DA" w:rsidRPr="00E4105B" w:rsidRDefault="000326DA" w:rsidP="002378EA">
      <w:pPr>
        <w:widowControl w:val="0"/>
        <w:numPr>
          <w:ilvl w:val="0"/>
          <w:numId w:val="68"/>
        </w:numPr>
        <w:autoSpaceDE w:val="0"/>
        <w:autoSpaceDN w:val="0"/>
        <w:rPr>
          <w:rFonts w:eastAsia="MS Mincho" w:cs="Arial"/>
          <w:szCs w:val="21"/>
          <w:lang w:val="nl-BE"/>
        </w:rPr>
      </w:pPr>
      <w:r w:rsidRPr="00E4105B">
        <w:rPr>
          <w:rFonts w:eastAsia="MS Mincho" w:cs="Arial"/>
          <w:szCs w:val="21"/>
          <w:lang w:val="nl-BE"/>
        </w:rPr>
        <w:t>Kubongisa mutinda ya kutuba na batu yonso yayi bisalu tatangidila (PMPP) ;</w:t>
      </w:r>
    </w:p>
    <w:p w14:paraId="61183038" w14:textId="77777777" w:rsidR="000326DA" w:rsidRPr="00E4105B" w:rsidRDefault="000326DA" w:rsidP="002378EA">
      <w:pPr>
        <w:widowControl w:val="0"/>
        <w:numPr>
          <w:ilvl w:val="0"/>
          <w:numId w:val="68"/>
        </w:numPr>
        <w:autoSpaceDE w:val="0"/>
        <w:autoSpaceDN w:val="0"/>
        <w:rPr>
          <w:rFonts w:eastAsia="MS Mincho" w:cs="Arial"/>
          <w:szCs w:val="21"/>
          <w:lang w:val="nl-BE"/>
        </w:rPr>
      </w:pPr>
      <w:r w:rsidRPr="00E4105B">
        <w:rPr>
          <w:rFonts w:eastAsia="MS Mincho" w:cs="Arial"/>
          <w:szCs w:val="21"/>
          <w:lang w:val="nl-BE"/>
        </w:rPr>
        <w:t>Kubongisa mpila ya kukatula batu na mpi bima na bawu bisika ya bisalu tasalama (PAR) ;</w:t>
      </w:r>
    </w:p>
    <w:p w14:paraId="77FED1B2" w14:textId="77777777" w:rsidR="000326DA" w:rsidRPr="00E4105B" w:rsidRDefault="000326DA" w:rsidP="002378EA">
      <w:pPr>
        <w:widowControl w:val="0"/>
        <w:numPr>
          <w:ilvl w:val="0"/>
          <w:numId w:val="68"/>
        </w:numPr>
        <w:autoSpaceDE w:val="0"/>
        <w:autoSpaceDN w:val="0"/>
        <w:rPr>
          <w:rFonts w:eastAsia="MS Mincho" w:cs="Arial"/>
          <w:szCs w:val="21"/>
          <w:lang w:val="nl-BE"/>
        </w:rPr>
      </w:pPr>
      <w:r w:rsidRPr="00E4105B">
        <w:rPr>
          <w:rFonts w:eastAsia="MS Mincho" w:cs="Arial"/>
          <w:szCs w:val="21"/>
          <w:lang w:val="nl-BE"/>
        </w:rPr>
        <w:t>Kubongisa mutindu ya kusadila bima yayi kzingaka ntoto na mpi mpila batu kefandaka (PEES) ;</w:t>
      </w:r>
    </w:p>
    <w:p w14:paraId="05BF9573" w14:textId="7EDE6189" w:rsidR="000326DA" w:rsidRPr="00E4105B" w:rsidRDefault="000326DA" w:rsidP="002378EA">
      <w:pPr>
        <w:widowControl w:val="0"/>
        <w:numPr>
          <w:ilvl w:val="0"/>
          <w:numId w:val="68"/>
        </w:numPr>
        <w:autoSpaceDE w:val="0"/>
        <w:autoSpaceDN w:val="0"/>
        <w:rPr>
          <w:rFonts w:eastAsia="MS Mincho" w:cs="Arial"/>
          <w:szCs w:val="21"/>
          <w:lang w:val="nl-BE"/>
        </w:rPr>
      </w:pPr>
      <w:r w:rsidRPr="00E4105B">
        <w:rPr>
          <w:rFonts w:eastAsia="MS Mincho" w:cs="Arial"/>
          <w:szCs w:val="21"/>
          <w:lang w:val="nl-BE"/>
        </w:rPr>
        <w:t>Kubongisa mpila ya kusadila na mpi kulandila mambu ya VBG na bisika ya bisalu na mpi kubongisa kupesa biyanu na mambu yayi ya VBG na mpi kulandila mbote mambu ya bayayi kutanaka na mpasi ya VBG na mpi bashikaka na mpasi ina ;</w:t>
      </w:r>
    </w:p>
    <w:p w14:paraId="21D512F4" w14:textId="77777777" w:rsidR="000326DA" w:rsidRPr="00E4105B" w:rsidRDefault="000326DA" w:rsidP="002378EA">
      <w:pPr>
        <w:widowControl w:val="0"/>
        <w:numPr>
          <w:ilvl w:val="0"/>
          <w:numId w:val="68"/>
        </w:numPr>
        <w:autoSpaceDE w:val="0"/>
        <w:autoSpaceDN w:val="0"/>
        <w:rPr>
          <w:rFonts w:eastAsia="MS Mincho" w:cs="Arial"/>
          <w:szCs w:val="21"/>
          <w:lang w:val="nl-BE"/>
        </w:rPr>
      </w:pPr>
      <w:r w:rsidRPr="00E4105B">
        <w:rPr>
          <w:rFonts w:eastAsia="MS Mincho" w:cs="Arial"/>
          <w:szCs w:val="21"/>
          <w:lang w:val="nl-BE"/>
        </w:rPr>
        <w:t>Kubongisa mpila ya kulandila mambu ya ba Mbuti (PPA) ;</w:t>
      </w:r>
    </w:p>
    <w:p w14:paraId="0644DAA2" w14:textId="77777777" w:rsidR="000326DA" w:rsidRPr="00E4105B" w:rsidRDefault="000326DA" w:rsidP="002378EA">
      <w:pPr>
        <w:widowControl w:val="0"/>
        <w:numPr>
          <w:ilvl w:val="0"/>
          <w:numId w:val="68"/>
        </w:numPr>
        <w:autoSpaceDE w:val="0"/>
        <w:autoSpaceDN w:val="0"/>
        <w:rPr>
          <w:rFonts w:eastAsia="MS Mincho" w:cs="Arial"/>
          <w:szCs w:val="21"/>
          <w:lang w:val="nl-BE"/>
        </w:rPr>
      </w:pPr>
      <w:r w:rsidRPr="00E4105B">
        <w:rPr>
          <w:rFonts w:eastAsia="MS Mincho" w:cs="Arial"/>
          <w:szCs w:val="21"/>
          <w:lang w:val="nl-BE"/>
        </w:rPr>
        <w:t>Kubongisa mpila ya kukengidila batu na mpi bima na bawu na ntangu na mpi na manima ya bisalu yayi ya bilanga ;</w:t>
      </w:r>
    </w:p>
    <w:p w14:paraId="1A8430FA" w14:textId="77777777" w:rsidR="000326DA" w:rsidRPr="00E4105B" w:rsidRDefault="000326DA" w:rsidP="002378EA">
      <w:pPr>
        <w:widowControl w:val="0"/>
        <w:numPr>
          <w:ilvl w:val="0"/>
          <w:numId w:val="68"/>
        </w:numPr>
        <w:autoSpaceDE w:val="0"/>
        <w:autoSpaceDN w:val="0"/>
        <w:rPr>
          <w:rFonts w:eastAsia="MS Mincho" w:cs="Arial"/>
          <w:szCs w:val="21"/>
          <w:lang w:val="nl-BE"/>
        </w:rPr>
      </w:pPr>
      <w:r w:rsidRPr="00E4105B">
        <w:rPr>
          <w:rFonts w:eastAsia="MS Mincho" w:cs="Arial"/>
          <w:szCs w:val="21"/>
          <w:lang w:val="nl-BE"/>
        </w:rPr>
        <w:t>Kubongisa mpila ya kuzenga ba mambu kati ya batu (UNCP) ;</w:t>
      </w:r>
    </w:p>
    <w:p w14:paraId="5C579C2B" w14:textId="77777777" w:rsidR="000326DA" w:rsidRPr="00E4105B" w:rsidRDefault="000326DA" w:rsidP="002378EA">
      <w:pPr>
        <w:widowControl w:val="0"/>
        <w:numPr>
          <w:ilvl w:val="0"/>
          <w:numId w:val="68"/>
        </w:numPr>
        <w:autoSpaceDE w:val="0"/>
        <w:autoSpaceDN w:val="0"/>
        <w:rPr>
          <w:rFonts w:eastAsia="MS Mincho" w:cs="Arial"/>
          <w:szCs w:val="21"/>
          <w:lang w:val="nl-BE"/>
        </w:rPr>
      </w:pPr>
      <w:r w:rsidRPr="00E4105B">
        <w:rPr>
          <w:rFonts w:eastAsia="MS Mincho" w:cs="Arial"/>
          <w:szCs w:val="21"/>
          <w:lang w:val="nl-BE"/>
        </w:rPr>
        <w:t>Kusadila mpila ya nkaka kuzenga mambu ya tadila ba VBG ;</w:t>
      </w:r>
    </w:p>
    <w:p w14:paraId="280F040D" w14:textId="77777777" w:rsidR="000326DA" w:rsidRPr="00E4105B" w:rsidRDefault="000326DA" w:rsidP="002378EA">
      <w:pPr>
        <w:widowControl w:val="0"/>
        <w:numPr>
          <w:ilvl w:val="0"/>
          <w:numId w:val="68"/>
        </w:numPr>
        <w:autoSpaceDE w:val="0"/>
        <w:autoSpaceDN w:val="0"/>
        <w:rPr>
          <w:rFonts w:eastAsia="MS Mincho" w:cs="Arial"/>
          <w:szCs w:val="21"/>
          <w:lang w:val="nl-BE"/>
        </w:rPr>
      </w:pPr>
      <w:r w:rsidRPr="00E4105B">
        <w:rPr>
          <w:rFonts w:eastAsia="MS Mincho" w:cs="Arial"/>
          <w:szCs w:val="21"/>
          <w:lang w:val="nl-BE"/>
        </w:rPr>
        <w:t>Kutadila mbote mpila ya kusaldila bisalu na bansadi na mpi bayayi yakwisa kuna bima ya bisalu ;</w:t>
      </w:r>
    </w:p>
    <w:p w14:paraId="631B25CF" w14:textId="77777777" w:rsidR="000326DA" w:rsidRPr="00E4105B" w:rsidRDefault="000326DA" w:rsidP="002378EA">
      <w:pPr>
        <w:widowControl w:val="0"/>
        <w:numPr>
          <w:ilvl w:val="0"/>
          <w:numId w:val="68"/>
        </w:numPr>
        <w:autoSpaceDE w:val="0"/>
        <w:autoSpaceDN w:val="0"/>
        <w:rPr>
          <w:rFonts w:eastAsia="MS Mincho" w:cs="Arial"/>
          <w:szCs w:val="21"/>
          <w:lang w:val="nl-BE"/>
        </w:rPr>
      </w:pPr>
      <w:r w:rsidRPr="00E4105B">
        <w:rPr>
          <w:rFonts w:eastAsia="MS Mincho" w:cs="Arial"/>
          <w:szCs w:val="21"/>
          <w:lang w:val="nl-BE"/>
        </w:rPr>
        <w:t>Kuyedika mpila moshi ya kusadila sambu na kuzenga ba mambu yayi kele na kati na yawu mutindu ya kutadila mambu ya VBG/EAS/HS</w:t>
      </w:r>
    </w:p>
    <w:p w14:paraId="23867428" w14:textId="77777777" w:rsidR="000326DA" w:rsidRPr="00E4105B" w:rsidRDefault="000326DA" w:rsidP="002378EA">
      <w:pPr>
        <w:widowControl w:val="0"/>
        <w:numPr>
          <w:ilvl w:val="0"/>
          <w:numId w:val="68"/>
        </w:numPr>
        <w:autoSpaceDE w:val="0"/>
        <w:autoSpaceDN w:val="0"/>
        <w:rPr>
          <w:rFonts w:eastAsia="MS Mincho" w:cs="Arial"/>
          <w:szCs w:val="21"/>
          <w:lang w:val="nl-BE"/>
        </w:rPr>
      </w:pPr>
      <w:r w:rsidRPr="00E4105B">
        <w:rPr>
          <w:rFonts w:eastAsia="MS Mincho" w:cs="Arial"/>
          <w:szCs w:val="21"/>
          <w:lang w:val="nl-BE"/>
        </w:rPr>
        <w:t>Kuyedika kodi ya kutambula mbote : ya mutu moshi moshi, ya mutu yayi tasadisa bisalu na batu yankaka sambu na kutadila mpi mambu ya individuelle, VBG. kutuba mambu yayi na ndinga moshi ya mbote, yayi tamonisa bima ya mepekisama, mambu ya kubaka ba nkentu ya mepekisama na bisika ya bisalu, na mpi mambu ya kusadisa ban aya fioti bisalu</w:t>
      </w:r>
      <w:r w:rsidRPr="00E4105B">
        <w:rPr>
          <w:rFonts w:eastAsia="MS Mincho" w:cs="Arial"/>
          <w:szCs w:val="21"/>
          <w:vertAlign w:val="superscript"/>
        </w:rPr>
        <w:footnoteReference w:id="10"/>
      </w:r>
      <w:r w:rsidRPr="00E4105B">
        <w:rPr>
          <w:rFonts w:eastAsia="MS Mincho" w:cs="Arial"/>
          <w:szCs w:val="21"/>
          <w:lang w:val="nl-BE"/>
        </w:rPr>
        <w:t xml:space="preserve">, kumonisa etumbu yayi kele sambu na mambu ay VBG, na mpi kumonisa mpila VBG fandaka na mpi mambu ya luwakanu ; </w:t>
      </w:r>
    </w:p>
    <w:p w14:paraId="7822E2F7" w14:textId="77777777" w:rsidR="000326DA" w:rsidRPr="00E4105B" w:rsidRDefault="000326DA" w:rsidP="002378EA">
      <w:pPr>
        <w:widowControl w:val="0"/>
        <w:numPr>
          <w:ilvl w:val="0"/>
          <w:numId w:val="68"/>
        </w:numPr>
        <w:autoSpaceDE w:val="0"/>
        <w:autoSpaceDN w:val="0"/>
        <w:rPr>
          <w:rFonts w:eastAsia="MS Mincho" w:cs="Arial"/>
          <w:szCs w:val="21"/>
          <w:lang w:val="nl-BE"/>
        </w:rPr>
      </w:pPr>
      <w:r w:rsidRPr="00E4105B">
        <w:rPr>
          <w:rFonts w:eastAsia="MS Mincho" w:cs="Arial"/>
          <w:szCs w:val="21"/>
          <w:lang w:val="nl-BE"/>
        </w:rPr>
        <w:t xml:space="preserve">Kupekisa bisalu ya ban aya fioti na kisalu yayi ; </w:t>
      </w:r>
    </w:p>
    <w:p w14:paraId="6D6A2606" w14:textId="77777777" w:rsidR="000326DA" w:rsidRPr="00E4105B" w:rsidRDefault="000326DA" w:rsidP="002378EA">
      <w:pPr>
        <w:widowControl w:val="0"/>
        <w:numPr>
          <w:ilvl w:val="0"/>
          <w:numId w:val="68"/>
        </w:numPr>
        <w:autoSpaceDE w:val="0"/>
        <w:autoSpaceDN w:val="0"/>
        <w:rPr>
          <w:rFonts w:eastAsia="MS Mincho" w:cs="Arial"/>
          <w:szCs w:val="21"/>
          <w:lang w:val="nl-BE"/>
        </w:rPr>
      </w:pPr>
      <w:r w:rsidRPr="00E4105B">
        <w:rPr>
          <w:rFonts w:eastAsia="MS Mincho" w:cs="Arial"/>
          <w:szCs w:val="21"/>
          <w:lang w:val="nl-BE"/>
        </w:rPr>
        <w:t xml:space="preserve">Kuyedika mpila ya kubongisa na mpi kulandila mambu ya bisalu tasalama ; </w:t>
      </w:r>
    </w:p>
    <w:p w14:paraId="1C419D9B" w14:textId="77777777" w:rsidR="000326DA" w:rsidRPr="00E4105B" w:rsidRDefault="000326DA" w:rsidP="002378EA">
      <w:pPr>
        <w:widowControl w:val="0"/>
        <w:numPr>
          <w:ilvl w:val="0"/>
          <w:numId w:val="68"/>
        </w:numPr>
        <w:autoSpaceDE w:val="0"/>
        <w:autoSpaceDN w:val="0"/>
        <w:rPr>
          <w:rFonts w:eastAsia="MS Mincho" w:cs="Arial"/>
          <w:szCs w:val="21"/>
          <w:lang w:val="nl-BE"/>
        </w:rPr>
      </w:pPr>
      <w:r w:rsidRPr="00E4105B">
        <w:rPr>
          <w:rFonts w:eastAsia="MS Mincho" w:cs="Arial"/>
          <w:szCs w:val="21"/>
          <w:lang w:val="nl-BE"/>
        </w:rPr>
        <w:t xml:space="preserve">Kukitisa mambu ya kuzenga ba nti na mpi kubebisa ba mvinda na bisika ya bisalu ; </w:t>
      </w:r>
    </w:p>
    <w:p w14:paraId="1C480CAA" w14:textId="77777777" w:rsidR="000326DA" w:rsidRPr="00E4105B" w:rsidRDefault="000326DA" w:rsidP="002378EA">
      <w:pPr>
        <w:widowControl w:val="0"/>
        <w:numPr>
          <w:ilvl w:val="0"/>
          <w:numId w:val="68"/>
        </w:numPr>
        <w:autoSpaceDE w:val="0"/>
        <w:autoSpaceDN w:val="0"/>
        <w:rPr>
          <w:rFonts w:eastAsia="MS Mincho" w:cs="Arial"/>
          <w:szCs w:val="21"/>
          <w:lang w:val="nl-BE"/>
        </w:rPr>
      </w:pPr>
      <w:r w:rsidRPr="00E4105B">
        <w:rPr>
          <w:rFonts w:eastAsia="MS Mincho" w:cs="Arial"/>
          <w:szCs w:val="21"/>
          <w:lang w:val="nl-BE"/>
        </w:rPr>
        <w:t xml:space="preserve">Kubongisa bisika yayi tasadisa sambu na kukengidila mbote bisika ya mepekisama, sambu ba mbisi ya masa na mpi ya mvinda bofandaka buna ; </w:t>
      </w:r>
    </w:p>
    <w:p w14:paraId="131AA8EE" w14:textId="77777777" w:rsidR="000326DA" w:rsidRPr="00E4105B" w:rsidRDefault="000326DA" w:rsidP="002378EA">
      <w:pPr>
        <w:widowControl w:val="0"/>
        <w:numPr>
          <w:ilvl w:val="0"/>
          <w:numId w:val="68"/>
        </w:numPr>
        <w:autoSpaceDE w:val="0"/>
        <w:autoSpaceDN w:val="0"/>
        <w:rPr>
          <w:rFonts w:eastAsia="MS Mincho" w:cs="Arial"/>
          <w:szCs w:val="21"/>
          <w:lang w:val="nl-BE"/>
        </w:rPr>
      </w:pPr>
      <w:r w:rsidRPr="00E4105B">
        <w:rPr>
          <w:rFonts w:eastAsia="MS Mincho" w:cs="Arial"/>
          <w:szCs w:val="21"/>
          <w:lang w:val="nl-BE"/>
        </w:rPr>
        <w:t xml:space="preserve">Kukotisa batu ya ICCN na kati ya bisalu kana bisalu fete salama bisika ya pembeni ya bisika yayi pekisamaka ; </w:t>
      </w:r>
    </w:p>
    <w:p w14:paraId="00CF7DC5" w14:textId="77777777" w:rsidR="000326DA" w:rsidRPr="00E4105B" w:rsidRDefault="000326DA" w:rsidP="002378EA">
      <w:pPr>
        <w:widowControl w:val="0"/>
        <w:numPr>
          <w:ilvl w:val="0"/>
          <w:numId w:val="68"/>
        </w:numPr>
        <w:autoSpaceDE w:val="0"/>
        <w:autoSpaceDN w:val="0"/>
        <w:rPr>
          <w:rFonts w:eastAsia="MS Mincho" w:cs="Arial"/>
          <w:szCs w:val="21"/>
          <w:lang w:val="nl-BE"/>
        </w:rPr>
      </w:pPr>
      <w:r w:rsidRPr="00E4105B">
        <w:rPr>
          <w:rFonts w:eastAsia="MS Mincho" w:cs="Arial"/>
          <w:szCs w:val="21"/>
          <w:lang w:val="nl-BE"/>
        </w:rPr>
        <w:t xml:space="preserve">Kupekisa kusala bisalu na kati ya bisika yayi pekisamaka ; </w:t>
      </w:r>
    </w:p>
    <w:p w14:paraId="331890BC" w14:textId="77777777" w:rsidR="000326DA" w:rsidRPr="00E4105B" w:rsidRDefault="000326DA" w:rsidP="002378EA">
      <w:pPr>
        <w:widowControl w:val="0"/>
        <w:numPr>
          <w:ilvl w:val="0"/>
          <w:numId w:val="68"/>
        </w:numPr>
        <w:autoSpaceDE w:val="0"/>
        <w:autoSpaceDN w:val="0"/>
        <w:rPr>
          <w:rFonts w:eastAsia="MS Mincho" w:cs="Arial"/>
          <w:szCs w:val="21"/>
          <w:lang w:val="nl-BE"/>
        </w:rPr>
      </w:pPr>
      <w:r w:rsidRPr="00E4105B">
        <w:rPr>
          <w:rFonts w:eastAsia="MS Mincho" w:cs="Arial"/>
          <w:szCs w:val="21"/>
          <w:lang w:val="nl-BE"/>
        </w:rPr>
        <w:t>Kuvutula bisika ya ku bakila ntoto na mpila yo fandaka na ntama sambu na kuvutula bisika ya banyama fandaka ;</w:t>
      </w:r>
    </w:p>
    <w:p w14:paraId="50754F8B" w14:textId="77777777" w:rsidR="000326DA" w:rsidRPr="00E4105B" w:rsidRDefault="000326DA" w:rsidP="002378EA">
      <w:pPr>
        <w:widowControl w:val="0"/>
        <w:numPr>
          <w:ilvl w:val="0"/>
          <w:numId w:val="68"/>
        </w:numPr>
        <w:autoSpaceDE w:val="0"/>
        <w:autoSpaceDN w:val="0"/>
        <w:rPr>
          <w:rFonts w:eastAsia="MS Mincho" w:cs="Arial"/>
          <w:szCs w:val="21"/>
          <w:lang w:val="nl-BE"/>
        </w:rPr>
      </w:pPr>
      <w:r w:rsidRPr="00E4105B">
        <w:rPr>
          <w:rFonts w:eastAsia="MS Mincho" w:cs="Arial"/>
          <w:szCs w:val="21"/>
          <w:lang w:val="nl-BE"/>
        </w:rPr>
        <w:t xml:space="preserve">Kutadila mbote mambu ya mimbongo ya batu na ntangu bisalu tasalama na mpi na nima ya bisalu mingimingi na yayi tadila mambu ya kutonga ba wenze ya batu ya ba bwala ; </w:t>
      </w:r>
    </w:p>
    <w:p w14:paraId="3F796545" w14:textId="77777777" w:rsidR="000326DA" w:rsidRPr="00E4105B" w:rsidRDefault="000326DA" w:rsidP="002378EA">
      <w:pPr>
        <w:widowControl w:val="0"/>
        <w:numPr>
          <w:ilvl w:val="0"/>
          <w:numId w:val="68"/>
        </w:numPr>
        <w:autoSpaceDE w:val="0"/>
        <w:autoSpaceDN w:val="0"/>
        <w:rPr>
          <w:rFonts w:eastAsia="MS Mincho" w:cs="Arial"/>
          <w:szCs w:val="21"/>
          <w:lang w:val="nl-BE"/>
        </w:rPr>
      </w:pPr>
      <w:r w:rsidRPr="00E4105B">
        <w:rPr>
          <w:rFonts w:eastAsia="MS Mincho" w:cs="Arial"/>
          <w:szCs w:val="21"/>
          <w:lang w:val="nl-BE"/>
        </w:rPr>
        <w:t xml:space="preserve">Kufuta bima ya batu tabebisama na bisalu na kintete ya kubanda kusadisa bisalu mingiminga bayayi salaka mumbongo na bawu na ba bwala ; </w:t>
      </w:r>
    </w:p>
    <w:p w14:paraId="2F2EDB17" w14:textId="77777777" w:rsidR="000326DA" w:rsidRPr="00E4105B" w:rsidRDefault="000326DA" w:rsidP="002378EA">
      <w:pPr>
        <w:widowControl w:val="0"/>
        <w:numPr>
          <w:ilvl w:val="0"/>
          <w:numId w:val="68"/>
        </w:numPr>
        <w:autoSpaceDE w:val="0"/>
        <w:autoSpaceDN w:val="0"/>
        <w:rPr>
          <w:rFonts w:eastAsia="MS Mincho" w:cs="Arial"/>
          <w:szCs w:val="21"/>
          <w:lang w:val="nl-BE"/>
        </w:rPr>
      </w:pPr>
      <w:r w:rsidRPr="00E4105B">
        <w:rPr>
          <w:rFonts w:eastAsia="MS Mincho" w:cs="Arial"/>
          <w:szCs w:val="21"/>
          <w:lang w:val="nl-BE"/>
        </w:rPr>
        <w:t>Kusadisa na mpi kukodisa mayele ya batu ya kimvuka ya kusadisa lisalu ya PNDA ;</w:t>
      </w:r>
    </w:p>
    <w:p w14:paraId="3397BEB9" w14:textId="77777777" w:rsidR="000326DA" w:rsidRPr="00E4105B" w:rsidRDefault="000326DA" w:rsidP="002378EA">
      <w:pPr>
        <w:widowControl w:val="0"/>
        <w:numPr>
          <w:ilvl w:val="0"/>
          <w:numId w:val="68"/>
        </w:numPr>
        <w:autoSpaceDE w:val="0"/>
        <w:autoSpaceDN w:val="0"/>
        <w:rPr>
          <w:rFonts w:eastAsia="MS Mincho" w:cs="Arial"/>
          <w:szCs w:val="21"/>
          <w:lang w:val="nl-BE"/>
        </w:rPr>
      </w:pPr>
      <w:r w:rsidRPr="00E4105B">
        <w:rPr>
          <w:rFonts w:eastAsia="MS Mincho" w:cs="Arial"/>
          <w:szCs w:val="21"/>
          <w:lang w:val="nl-BE"/>
        </w:rPr>
        <w:t xml:space="preserve">Kukodisa ngangu ya ba nsadi ya kimvuka ya UUNCP na mambu yayi tadila bima yayi kezingaka ntoto na mpi mpila batu kefandaka ; </w:t>
      </w:r>
    </w:p>
    <w:p w14:paraId="5F7C8FFA" w14:textId="77777777" w:rsidR="000326DA" w:rsidRPr="00E4105B" w:rsidRDefault="000326DA" w:rsidP="002378EA">
      <w:pPr>
        <w:widowControl w:val="0"/>
        <w:numPr>
          <w:ilvl w:val="0"/>
          <w:numId w:val="68"/>
        </w:numPr>
        <w:autoSpaceDE w:val="0"/>
        <w:autoSpaceDN w:val="0"/>
        <w:rPr>
          <w:rFonts w:eastAsia="MS Mincho" w:cs="Arial"/>
          <w:szCs w:val="21"/>
          <w:lang w:val="nl-BE"/>
        </w:rPr>
      </w:pPr>
      <w:r w:rsidRPr="00E4105B">
        <w:rPr>
          <w:rFonts w:eastAsia="MS Mincho" w:cs="Arial"/>
          <w:szCs w:val="21"/>
          <w:lang w:val="nl-BE"/>
        </w:rPr>
        <w:t xml:space="preserve">Kukodisa ngangu ya bansadi ya bisalu ya tekiniki ya Mbulamatadi na mambu ya bilanga ; </w:t>
      </w:r>
    </w:p>
    <w:p w14:paraId="48AC62AE" w14:textId="77777777" w:rsidR="000326DA" w:rsidRPr="00E4105B" w:rsidRDefault="000326DA" w:rsidP="002378EA">
      <w:pPr>
        <w:widowControl w:val="0"/>
        <w:numPr>
          <w:ilvl w:val="0"/>
          <w:numId w:val="68"/>
        </w:numPr>
        <w:autoSpaceDE w:val="0"/>
        <w:autoSpaceDN w:val="0"/>
        <w:rPr>
          <w:rFonts w:eastAsia="MS Mincho" w:cs="Arial"/>
          <w:szCs w:val="21"/>
          <w:lang w:val="nl-BE"/>
        </w:rPr>
      </w:pPr>
      <w:r w:rsidRPr="00E4105B">
        <w:rPr>
          <w:rFonts w:eastAsia="MS Mincho" w:cs="Arial"/>
          <w:szCs w:val="21"/>
          <w:lang w:val="nl-BE"/>
        </w:rPr>
        <w:t xml:space="preserve">Kulongisa bansadi ya PNDA mambu yayi tangidila ba VBG na mpi mpila ya kusadila mutindi ya kulandila na mpi kuzenga ba mambu (MGP) na ntangu ya kisalu tasalama sambu na yayi metadila ba VBG, na bayayi fete tangidila batu bayayi kutanaka na mpasi ya mambu ya ba VBG ; </w:t>
      </w:r>
    </w:p>
    <w:p w14:paraId="18528687" w14:textId="77777777" w:rsidR="000326DA" w:rsidRPr="00E4105B" w:rsidRDefault="000326DA" w:rsidP="002378EA">
      <w:pPr>
        <w:widowControl w:val="0"/>
        <w:numPr>
          <w:ilvl w:val="0"/>
          <w:numId w:val="68"/>
        </w:numPr>
        <w:autoSpaceDE w:val="0"/>
        <w:autoSpaceDN w:val="0"/>
        <w:rPr>
          <w:rFonts w:eastAsia="MS Mincho" w:cs="Arial"/>
          <w:szCs w:val="21"/>
          <w:lang w:val="nl-BE"/>
        </w:rPr>
      </w:pPr>
      <w:r w:rsidRPr="00E4105B">
        <w:rPr>
          <w:rFonts w:eastAsia="MS Mincho" w:cs="Arial"/>
          <w:szCs w:val="21"/>
          <w:lang w:val="nl-BE"/>
        </w:rPr>
        <w:t>Manaka ya kukebisa na mpi ya kupesa batu ba nsangu na ba bwala sambu na mambu ya ba VBG, MGP na mpi VBG/EAS/HS, etc. ;</w:t>
      </w:r>
    </w:p>
    <w:p w14:paraId="30FFB04D" w14:textId="77777777" w:rsidR="000326DA" w:rsidRPr="00E4105B" w:rsidRDefault="000326DA" w:rsidP="002378EA">
      <w:pPr>
        <w:widowControl w:val="0"/>
        <w:numPr>
          <w:ilvl w:val="0"/>
          <w:numId w:val="68"/>
        </w:numPr>
        <w:autoSpaceDE w:val="0"/>
        <w:autoSpaceDN w:val="0"/>
        <w:rPr>
          <w:rFonts w:eastAsia="MS Mincho" w:cs="Arial"/>
          <w:szCs w:val="21"/>
          <w:lang w:val="nl-BE"/>
        </w:rPr>
      </w:pPr>
      <w:r w:rsidRPr="00E4105B">
        <w:rPr>
          <w:rFonts w:eastAsia="MS Mincho" w:cs="Arial"/>
          <w:szCs w:val="21"/>
          <w:lang w:val="nl-BE"/>
        </w:rPr>
        <w:t xml:space="preserve">Manaka ya kulongisa bansadi mambu yayi tadila bima yayi kezingaka ntoto na mpi mpila batu kefandaka ; </w:t>
      </w:r>
    </w:p>
    <w:p w14:paraId="5C1B49D8" w14:textId="77777777" w:rsidR="000326DA" w:rsidRPr="00E4105B" w:rsidRDefault="000326DA" w:rsidP="002378EA">
      <w:pPr>
        <w:widowControl w:val="0"/>
        <w:numPr>
          <w:ilvl w:val="0"/>
          <w:numId w:val="68"/>
        </w:numPr>
        <w:autoSpaceDE w:val="0"/>
        <w:autoSpaceDN w:val="0"/>
        <w:rPr>
          <w:rFonts w:eastAsia="MS Mincho" w:cs="Arial"/>
          <w:szCs w:val="21"/>
          <w:lang w:val="nl-BE"/>
        </w:rPr>
      </w:pPr>
      <w:r w:rsidRPr="00E4105B">
        <w:rPr>
          <w:rFonts w:eastAsia="MS Mincho" w:cs="Arial"/>
          <w:szCs w:val="21"/>
          <w:lang w:val="nl-BE"/>
        </w:rPr>
        <w:t>Kubongisa mpila ya landila mambu ya maladi to kimbefu ya COVID-19 ;</w:t>
      </w:r>
    </w:p>
    <w:p w14:paraId="1DECD570" w14:textId="77777777" w:rsidR="000326DA" w:rsidRPr="00E4105B" w:rsidRDefault="000326DA" w:rsidP="002378EA">
      <w:pPr>
        <w:widowControl w:val="0"/>
        <w:numPr>
          <w:ilvl w:val="0"/>
          <w:numId w:val="68"/>
        </w:numPr>
        <w:autoSpaceDE w:val="0"/>
        <w:autoSpaceDN w:val="0"/>
        <w:rPr>
          <w:rFonts w:eastAsia="MS Mincho" w:cs="Arial"/>
          <w:szCs w:val="21"/>
          <w:lang w:val="nl-BE"/>
        </w:rPr>
      </w:pPr>
      <w:r w:rsidRPr="00E4105B">
        <w:rPr>
          <w:rFonts w:eastAsia="MS Mincho" w:cs="Arial"/>
          <w:szCs w:val="21"/>
          <w:lang w:val="nl-BE"/>
        </w:rPr>
        <w:t xml:space="preserve">Kubongisa plima ya kukata ba mambu kati ya batu na kulandila yawu mbote ; </w:t>
      </w:r>
    </w:p>
    <w:p w14:paraId="21C4E7BB" w14:textId="77777777" w:rsidR="000326DA" w:rsidRPr="00E4105B" w:rsidRDefault="000326DA" w:rsidP="002378EA">
      <w:pPr>
        <w:widowControl w:val="0"/>
        <w:numPr>
          <w:ilvl w:val="0"/>
          <w:numId w:val="68"/>
        </w:numPr>
        <w:autoSpaceDE w:val="0"/>
        <w:autoSpaceDN w:val="0"/>
        <w:rPr>
          <w:rFonts w:eastAsia="MS Mincho" w:cs="Arial"/>
          <w:szCs w:val="21"/>
          <w:lang w:val="nl-BE"/>
        </w:rPr>
      </w:pPr>
      <w:r w:rsidRPr="00E4105B">
        <w:rPr>
          <w:rFonts w:eastAsia="MS Mincho" w:cs="Arial"/>
          <w:szCs w:val="21"/>
          <w:lang w:val="nl-BE"/>
        </w:rPr>
        <w:t>Kukamba mambu ya tatadilaka ba VBG ;</w:t>
      </w:r>
    </w:p>
    <w:p w14:paraId="19FAB3B3" w14:textId="77777777" w:rsidR="000326DA" w:rsidRPr="00E4105B" w:rsidRDefault="000326DA" w:rsidP="002378EA">
      <w:pPr>
        <w:widowControl w:val="0"/>
        <w:numPr>
          <w:ilvl w:val="0"/>
          <w:numId w:val="68"/>
        </w:numPr>
        <w:autoSpaceDE w:val="0"/>
        <w:autoSpaceDN w:val="0"/>
        <w:rPr>
          <w:rFonts w:eastAsia="MS Mincho" w:cs="Arial"/>
          <w:szCs w:val="21"/>
          <w:lang w:val="nl-BE"/>
        </w:rPr>
      </w:pPr>
      <w:r w:rsidRPr="00E4105B">
        <w:rPr>
          <w:rFonts w:eastAsia="MS Mincho" w:cs="Arial"/>
          <w:szCs w:val="21"/>
          <w:lang w:val="nl-BE"/>
        </w:rPr>
        <w:t xml:space="preserve">Kukabula batu ve na ntangu ya kupesa bawu bisalu na kubaka na bisalu 30% ya ba nkentu na mpi bakala ; </w:t>
      </w:r>
    </w:p>
    <w:p w14:paraId="41CC876F" w14:textId="77777777" w:rsidR="000326DA" w:rsidRPr="00E4105B" w:rsidRDefault="000326DA" w:rsidP="002378EA">
      <w:pPr>
        <w:widowControl w:val="0"/>
        <w:numPr>
          <w:ilvl w:val="0"/>
          <w:numId w:val="68"/>
        </w:numPr>
        <w:autoSpaceDE w:val="0"/>
        <w:autoSpaceDN w:val="0"/>
        <w:rPr>
          <w:rFonts w:eastAsia="MS Mincho" w:cs="Arial"/>
          <w:szCs w:val="21"/>
          <w:lang w:val="nl-BE"/>
        </w:rPr>
      </w:pPr>
      <w:r w:rsidRPr="00E4105B">
        <w:rPr>
          <w:rFonts w:eastAsia="MS Mincho" w:cs="Arial"/>
          <w:szCs w:val="21"/>
          <w:lang w:val="nl-BE"/>
        </w:rPr>
        <w:t xml:space="preserve">Kupesa bisalu na ban aya fioti ya nsi ya ba mvula 18 ve kulandana na mineku y ainsi ya tadilaka mambu ya kusadisa bisalu ; </w:t>
      </w:r>
    </w:p>
    <w:p w14:paraId="5E748A02" w14:textId="77777777" w:rsidR="000326DA" w:rsidRPr="00E4105B" w:rsidRDefault="000326DA" w:rsidP="002378EA">
      <w:pPr>
        <w:widowControl w:val="0"/>
        <w:numPr>
          <w:ilvl w:val="0"/>
          <w:numId w:val="68"/>
        </w:numPr>
        <w:autoSpaceDE w:val="0"/>
        <w:autoSpaceDN w:val="0"/>
        <w:spacing w:line="240" w:lineRule="auto"/>
        <w:rPr>
          <w:rFonts w:cs="Arial"/>
          <w:szCs w:val="21"/>
          <w:lang w:val="nl-BE"/>
        </w:rPr>
      </w:pPr>
      <w:r w:rsidRPr="00E4105B">
        <w:rPr>
          <w:rFonts w:eastAsia="MS Mincho" w:cs="Arial"/>
          <w:szCs w:val="21"/>
          <w:lang w:val="nl-BE"/>
        </w:rPr>
        <w:t xml:space="preserve">Kubongisa mpila ya kusadila bisika ba takatula bima ya bonkoko na nsi ya ntoto. </w:t>
      </w:r>
    </w:p>
    <w:p w14:paraId="37DF6304" w14:textId="77777777" w:rsidR="000326DA" w:rsidRPr="00E4105B" w:rsidRDefault="000326DA" w:rsidP="000326DA">
      <w:pPr>
        <w:widowControl w:val="0"/>
        <w:autoSpaceDE w:val="0"/>
        <w:autoSpaceDN w:val="0"/>
        <w:spacing w:line="240" w:lineRule="auto"/>
        <w:ind w:left="720"/>
        <w:rPr>
          <w:rFonts w:cs="Arial"/>
          <w:szCs w:val="21"/>
          <w:lang w:val="nl-BE"/>
        </w:rPr>
      </w:pPr>
    </w:p>
    <w:p w14:paraId="0FE666B3" w14:textId="77777777" w:rsidR="000326DA" w:rsidRPr="00E4105B" w:rsidRDefault="000326DA" w:rsidP="000326DA">
      <w:pPr>
        <w:rPr>
          <w:rFonts w:cs="Arial"/>
          <w:szCs w:val="21"/>
          <w:lang w:val="nl-BE"/>
        </w:rPr>
      </w:pPr>
      <w:r w:rsidRPr="00E4105B">
        <w:rPr>
          <w:rFonts w:cs="Arial"/>
          <w:szCs w:val="21"/>
          <w:lang w:val="nl-BE"/>
        </w:rPr>
        <w:t xml:space="preserve">Mikanu yayi yonso kele na kati malonga ya PCGES (Plan Cadre de Gestion Environnementale et Sociale) yayi takotisamaka na kati ya buku ya kusadila bisalu. </w:t>
      </w:r>
    </w:p>
    <w:p w14:paraId="14FE9721" w14:textId="77777777" w:rsidR="000326DA" w:rsidRPr="00E4105B" w:rsidRDefault="000326DA" w:rsidP="000326DA">
      <w:pPr>
        <w:rPr>
          <w:rFonts w:cs="Arial"/>
          <w:bCs/>
          <w:szCs w:val="21"/>
          <w:lang w:val="nl-BE"/>
        </w:rPr>
      </w:pPr>
    </w:p>
    <w:p w14:paraId="05F88603" w14:textId="77777777" w:rsidR="000326DA" w:rsidRPr="00E4105B" w:rsidRDefault="000326DA" w:rsidP="000326DA">
      <w:pPr>
        <w:ind w:left="426" w:hanging="426"/>
        <w:rPr>
          <w:rFonts w:cs="Arial"/>
          <w:i/>
          <w:szCs w:val="21"/>
          <w:u w:val="single"/>
          <w:lang w:val="nl-BE" w:bidi="fr-FR"/>
        </w:rPr>
      </w:pPr>
      <w:r w:rsidRPr="00E4105B">
        <w:rPr>
          <w:rFonts w:cs="Arial"/>
          <w:i/>
          <w:szCs w:val="21"/>
          <w:lang w:val="nl-BE" w:bidi="fr-FR"/>
        </w:rPr>
        <w:t xml:space="preserve">5.1. </w:t>
      </w:r>
      <w:r w:rsidRPr="00E4105B">
        <w:rPr>
          <w:rFonts w:cs="Arial"/>
          <w:i/>
          <w:szCs w:val="21"/>
          <w:u w:val="single"/>
          <w:lang w:val="nl-BE" w:bidi="fr-FR"/>
        </w:rPr>
        <w:t>Mutindu ya kusadila bima yayi kezingaka ntoto na mpi mpila batu kefandaka na ntangu ya bisalu</w:t>
      </w:r>
    </w:p>
    <w:p w14:paraId="2A39DD55" w14:textId="77777777" w:rsidR="000326DA" w:rsidRPr="00E4105B" w:rsidRDefault="000326DA" w:rsidP="000326DA">
      <w:pPr>
        <w:rPr>
          <w:rFonts w:cs="Arial"/>
          <w:szCs w:val="21"/>
          <w:lang w:val="nl-BE"/>
        </w:rPr>
      </w:pPr>
    </w:p>
    <w:p w14:paraId="08ECE138" w14:textId="77777777" w:rsidR="000326DA" w:rsidRPr="00E4105B" w:rsidRDefault="000326DA" w:rsidP="000326DA">
      <w:pPr>
        <w:rPr>
          <w:rFonts w:eastAsia="Calibri" w:cs="Arial"/>
          <w:bCs/>
          <w:szCs w:val="21"/>
        </w:rPr>
      </w:pPr>
      <w:r w:rsidRPr="00E4105B">
        <w:rPr>
          <w:rFonts w:eastAsia="Calibri" w:cs="Arial"/>
          <w:bCs/>
          <w:szCs w:val="21"/>
          <w:lang w:val="nl-BE"/>
        </w:rPr>
        <w:t xml:space="preserve">Malongi yayi ya CGES kele nakati na yo na mutindu ya kupona bima yayi kezingaka ntoto na mpi mpila batu kefandaka ya bisalu yayi tasalama na nzila ya PNDA, yayi songa nzila ya kulanda na ntangu ya bisalu sambu na kusadila mikanu yatadilaka bima yayi kezingakaka ntoto na mpi mpila batu kefandaka, na mpi mutindu ya kusadila mibeku y ainsi na ba politiki ya Banque Mondiale. </w:t>
      </w:r>
      <w:r w:rsidRPr="00E4105B">
        <w:rPr>
          <w:rFonts w:eastAsia="Calibri" w:cs="Arial"/>
          <w:bCs/>
          <w:szCs w:val="21"/>
        </w:rPr>
        <w:t>Biteni ya kulanda kele :</w:t>
      </w:r>
    </w:p>
    <w:p w14:paraId="0288E4EF" w14:textId="77777777" w:rsidR="000326DA" w:rsidRPr="00E4105B" w:rsidRDefault="000326DA" w:rsidP="000326DA">
      <w:pPr>
        <w:rPr>
          <w:rFonts w:eastAsia="Calibri" w:cs="Arial"/>
          <w:bCs/>
          <w:szCs w:val="21"/>
        </w:rPr>
      </w:pPr>
    </w:p>
    <w:p w14:paraId="58C35228" w14:textId="77777777" w:rsidR="000326DA" w:rsidRPr="00E4105B" w:rsidRDefault="000326DA" w:rsidP="000326DA">
      <w:pPr>
        <w:rPr>
          <w:rFonts w:eastAsia="Calibri" w:cs="Arial"/>
          <w:bCs/>
          <w:szCs w:val="21"/>
          <w:u w:val="single"/>
        </w:rPr>
      </w:pPr>
      <w:r w:rsidRPr="00E4105B">
        <w:rPr>
          <w:rFonts w:eastAsia="Calibri" w:cs="Arial"/>
          <w:bCs/>
          <w:szCs w:val="21"/>
          <w:u w:val="single"/>
        </w:rPr>
        <w:t>Kupona bisalu tasalama</w:t>
      </w:r>
    </w:p>
    <w:p w14:paraId="58339E40" w14:textId="77777777" w:rsidR="000326DA" w:rsidRPr="00E4105B" w:rsidRDefault="000326DA" w:rsidP="000326DA">
      <w:pPr>
        <w:rPr>
          <w:rFonts w:eastAsia="Calibri" w:cs="Arial"/>
          <w:bCs/>
          <w:szCs w:val="21"/>
          <w:u w:val="single"/>
        </w:rPr>
      </w:pPr>
    </w:p>
    <w:p w14:paraId="4F4AE64D"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 xml:space="preserve">Kusonga bisika kisalu ta salama na mpi kumonisa mutindu bisika yayi kele ; </w:t>
      </w:r>
    </w:p>
    <w:p w14:paraId="0771E4C7"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 xml:space="preserve">Kupona bima yayi kezingaka ntoto na mpi mpila batu kefandaka, na mpi kutadisa mbote inki mukanu tasadisa sambu na kukengidila b abima yayi, na kukitisa bidimbu ya bisalu ; </w:t>
      </w:r>
    </w:p>
    <w:p w14:paraId="376260BD"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Kundima kuponama yayi salama.</w:t>
      </w:r>
    </w:p>
    <w:p w14:paraId="54260036" w14:textId="77777777" w:rsidR="000326DA" w:rsidRPr="00E4105B" w:rsidRDefault="000326DA" w:rsidP="000326DA">
      <w:pPr>
        <w:rPr>
          <w:rFonts w:cs="Arial"/>
          <w:szCs w:val="21"/>
        </w:rPr>
      </w:pPr>
    </w:p>
    <w:p w14:paraId="50E2F161" w14:textId="77777777" w:rsidR="000326DA" w:rsidRPr="00E4105B" w:rsidRDefault="000326DA" w:rsidP="000326DA">
      <w:pPr>
        <w:rPr>
          <w:rFonts w:cs="Arial"/>
          <w:szCs w:val="21"/>
          <w:u w:val="single"/>
        </w:rPr>
      </w:pPr>
      <w:r w:rsidRPr="00E4105B">
        <w:rPr>
          <w:rFonts w:cs="Arial"/>
          <w:szCs w:val="21"/>
          <w:u w:val="single"/>
        </w:rPr>
        <w:t xml:space="preserve">Kubongisa kisadilu sambu na kutadila mbote mambu y abima yayi kezingaka ntoto na mpi mpila batu kefandaka na bisalu yayi tasalama </w:t>
      </w:r>
    </w:p>
    <w:p w14:paraId="2D53074E" w14:textId="77777777" w:rsidR="000326DA" w:rsidRPr="00E4105B" w:rsidRDefault="000326DA" w:rsidP="000326DA">
      <w:pPr>
        <w:rPr>
          <w:rFonts w:cs="Arial"/>
          <w:szCs w:val="21"/>
          <w:u w:val="single"/>
        </w:rPr>
      </w:pPr>
    </w:p>
    <w:p w14:paraId="654C18D8" w14:textId="77777777" w:rsidR="000326DA" w:rsidRPr="00E4105B" w:rsidRDefault="000326DA" w:rsidP="002378EA">
      <w:pPr>
        <w:widowControl w:val="0"/>
        <w:numPr>
          <w:ilvl w:val="0"/>
          <w:numId w:val="68"/>
        </w:numPr>
        <w:autoSpaceDE w:val="0"/>
        <w:autoSpaceDN w:val="0"/>
        <w:rPr>
          <w:rFonts w:eastAsia="MS Mincho" w:cs="Arial"/>
          <w:szCs w:val="21"/>
          <w:lang w:val="pl-PL"/>
        </w:rPr>
      </w:pPr>
      <w:r w:rsidRPr="00E4105B">
        <w:rPr>
          <w:rFonts w:eastAsia="MS Mincho" w:cs="Arial"/>
          <w:szCs w:val="21"/>
          <w:lang w:val="pl-PL"/>
        </w:rPr>
        <w:t>Kubongisa na mpi kundima mutindu ya kusadila to TDR ;</w:t>
      </w:r>
    </w:p>
    <w:p w14:paraId="33620AAF" w14:textId="77777777" w:rsidR="000326DA" w:rsidRPr="00E4105B" w:rsidRDefault="000326DA" w:rsidP="002378EA">
      <w:pPr>
        <w:widowControl w:val="0"/>
        <w:numPr>
          <w:ilvl w:val="0"/>
          <w:numId w:val="68"/>
        </w:numPr>
        <w:autoSpaceDE w:val="0"/>
        <w:autoSpaceDN w:val="0"/>
        <w:rPr>
          <w:rFonts w:eastAsia="MS Mincho" w:cs="Arial"/>
          <w:szCs w:val="21"/>
          <w:lang w:val="pl-PL"/>
        </w:rPr>
      </w:pPr>
      <w:r w:rsidRPr="00E4105B">
        <w:rPr>
          <w:rFonts w:eastAsia="MS Mincho" w:cs="Arial"/>
          <w:szCs w:val="21"/>
          <w:lang w:val="pl-PL"/>
        </w:rPr>
        <w:t>Kusadisi malongi na ya nkaka na mpi ba bimvwama ya lukutakanu na batu yayi yonso bisalu tatadila ;</w:t>
      </w:r>
    </w:p>
    <w:p w14:paraId="5340AAD9"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Kundimisa malongi na mpi kubaka nkanda ya Mbulamatadi to certificat environnemental ;</w:t>
      </w:r>
    </w:p>
    <w:p w14:paraId="72E72769"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Kupanza malongi sambu na komonisa yo na batu ;</w:t>
      </w:r>
    </w:p>
    <w:p w14:paraId="28DFEC85"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Kukotisa na kati ya ba buku ya kubinga batu sambu na bisalu (DAO) tasalama, ya mikanu yonso ya kusadila bima yayi kezingaka ntoto na mpi mpila batu kefandaka yayi ba kompani ya bisalu fete landa ;</w:t>
      </w:r>
    </w:p>
    <w:p w14:paraId="31816A15"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 xml:space="preserve">Kundimama ya PGES ya kompani na bilo ya kutangidila bisalu ; </w:t>
      </w:r>
    </w:p>
    <w:p w14:paraId="4CCF7135"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Kusadila mikanu yayi yonso yayi mambu ya tabashika na ntangu ya kusala bisalu ;</w:t>
      </w:r>
    </w:p>
    <w:p w14:paraId="4D36E654"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kulandila bisalu mpila ya kusadila bima yayi kezingaka ntoto na mpi mpila batu kefandaka ;</w:t>
      </w:r>
    </w:p>
    <w:p w14:paraId="4E2F09D1"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 xml:space="preserve">kupanza na mpi kumonisa lapolo ya kulandila bisalu ; </w:t>
      </w:r>
    </w:p>
    <w:p w14:paraId="7D9886F1"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 xml:space="preserve">kulandila mambu y abima yayi kezingaka ntoto na mpi mpila batu kefandaka ; </w:t>
      </w:r>
    </w:p>
    <w:p w14:paraId="5F7DBA98"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 xml:space="preserve">kupanza na mpi komonisa lapolo ya kulandila yayi ; </w:t>
      </w:r>
    </w:p>
    <w:p w14:paraId="756C3A8C"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 xml:space="preserve">kukodisa mayele ya bayayi yonso tasadisa sambu na bisalu yayi tasalama ya kulandila mbote bima yayi kezingaka ntoto na mpi mpila batu kefandaka ; </w:t>
      </w:r>
    </w:p>
    <w:p w14:paraId="540F0B30"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 xml:space="preserve">kutangidila mutindu ya kusadila mambu y abima yayi kezingaka ntoto na mpi mpila batu kefandaka. </w:t>
      </w:r>
    </w:p>
    <w:p w14:paraId="602D13DE" w14:textId="77777777" w:rsidR="000326DA" w:rsidRPr="00E4105B" w:rsidRDefault="000326DA" w:rsidP="000326DA">
      <w:pPr>
        <w:spacing w:line="240" w:lineRule="auto"/>
        <w:rPr>
          <w:rFonts w:cs="Arial"/>
          <w:szCs w:val="21"/>
        </w:rPr>
      </w:pPr>
    </w:p>
    <w:p w14:paraId="3C6006E9" w14:textId="77777777" w:rsidR="000326DA" w:rsidRPr="00E4105B" w:rsidRDefault="000326DA" w:rsidP="000326DA">
      <w:pPr>
        <w:spacing w:line="240" w:lineRule="auto"/>
        <w:ind w:left="360"/>
        <w:rPr>
          <w:rFonts w:cs="Arial"/>
          <w:i/>
          <w:szCs w:val="21"/>
          <w:u w:val="single"/>
        </w:rPr>
      </w:pPr>
      <w:r w:rsidRPr="00E4105B">
        <w:rPr>
          <w:rFonts w:cs="Arial"/>
          <w:i/>
          <w:szCs w:val="21"/>
        </w:rPr>
        <w:t>5.2.</w:t>
      </w:r>
      <w:r w:rsidRPr="00E4105B">
        <w:rPr>
          <w:rFonts w:cs="Arial"/>
          <w:i/>
          <w:szCs w:val="21"/>
          <w:u w:val="single"/>
        </w:rPr>
        <w:t xml:space="preserve"> Bimonisi sambu na kusadila malongi ya CGES </w:t>
      </w:r>
    </w:p>
    <w:p w14:paraId="4AF5FBA0" w14:textId="77777777" w:rsidR="000326DA" w:rsidRPr="00E4105B" w:rsidRDefault="000326DA" w:rsidP="000326DA">
      <w:pPr>
        <w:spacing w:line="240" w:lineRule="auto"/>
        <w:rPr>
          <w:rFonts w:eastAsia="Calibri" w:cs="Arial"/>
          <w:bCs/>
          <w:szCs w:val="21"/>
        </w:rPr>
      </w:pPr>
    </w:p>
    <w:p w14:paraId="59C300F1" w14:textId="3DB347EC" w:rsidR="000326DA" w:rsidRPr="00E4105B" w:rsidRDefault="000326DA" w:rsidP="000326DA">
      <w:pPr>
        <w:spacing w:line="240" w:lineRule="auto"/>
        <w:rPr>
          <w:rFonts w:cs="Arial"/>
          <w:bCs/>
          <w:szCs w:val="21"/>
        </w:rPr>
      </w:pPr>
      <w:r w:rsidRPr="00E4105B">
        <w:rPr>
          <w:rFonts w:eastAsia="Calibri" w:cs="Arial"/>
          <w:bCs/>
          <w:szCs w:val="21"/>
        </w:rPr>
        <w:t>Manaka ya kukandila malongi yayi tapesa bimonisi yayi batalanda na ntangu ya kulandila bisa</w:t>
      </w:r>
      <w:r w:rsidR="00EC500E">
        <w:rPr>
          <w:rFonts w:eastAsia="Calibri" w:cs="Arial"/>
          <w:bCs/>
          <w:szCs w:val="21"/>
        </w:rPr>
        <w:t>lu, mutindu ya kusadila malongi</w:t>
      </w:r>
      <w:r w:rsidRPr="00E4105B">
        <w:rPr>
          <w:rFonts w:eastAsia="Calibri" w:cs="Arial"/>
          <w:bCs/>
          <w:szCs w:val="21"/>
        </w:rPr>
        <w:t xml:space="preserve">. Na yawu nde, bimonisi yayi tafanda : </w:t>
      </w:r>
    </w:p>
    <w:p w14:paraId="2907F2E5" w14:textId="77777777" w:rsidR="000326DA" w:rsidRPr="00E4105B" w:rsidRDefault="000326DA" w:rsidP="000326DA">
      <w:pPr>
        <w:spacing w:line="240" w:lineRule="auto"/>
        <w:rPr>
          <w:rFonts w:cs="Arial"/>
          <w:bCs/>
          <w:szCs w:val="21"/>
        </w:rPr>
      </w:pPr>
    </w:p>
    <w:p w14:paraId="30FE10C3"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Bimonisi yayi batu ya Comité de Pilotage ya bisalu talandila ;</w:t>
      </w:r>
    </w:p>
    <w:p w14:paraId="1DD5CCF4"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Kusadila kieleka kupona mambu y abima yayi kezingaka ntoto na mpi mpila batu kefandaka (Screening) na bisalu yayi kele na kati ya manaka ;</w:t>
      </w:r>
    </w:p>
    <w:p w14:paraId="2E246464"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Kusadila kieleka kulandila bima yayi kezingaka ntoto na mpi mpila batu kefandaka na mpi kusala ba lapolo « reporting » ;</w:t>
      </w:r>
    </w:p>
    <w:p w14:paraId="452C0933"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Kusadila manaka ya kulongisa na mpi kukebisa batu na yayi metala malongi yayi ya CGES ;</w:t>
      </w:r>
    </w:p>
    <w:p w14:paraId="4569BE32"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Bimonisi ya talandilama na batu ya SSE na mpi bayayi ya SSS/PNDA ;</w:t>
      </w:r>
    </w:p>
    <w:p w14:paraId="04B267BF"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Kusadila kieleka kukotisa mambu y abima yayi kezingaka ntoto na mpi mpila batu kefandak na ba buku ya kusadila bisalu ;</w:t>
      </w:r>
    </w:p>
    <w:p w14:paraId="4B42CD39"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 xml:space="preserve">Mutangu ya ba kompani yayi tosaka mikanu ya kusadila bima yayi kezingaka ntoto na mpi mpila batu kefandaka ; </w:t>
      </w:r>
    </w:p>
    <w:p w14:paraId="5CC7DE72"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 xml:space="preserve">Mutanga ya batu tangisamaka na mpi kebisamaka sambu ya mambu y abima yayi kezingaka ntoto na mpi mpila batu kefandaka ; </w:t>
      </w:r>
    </w:p>
    <w:p w14:paraId="7AAD93FA"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 xml:space="preserve">Mutindu ya kulandila bisalu ya batu ya ba CPE na bisalu yayi tasalama ; </w:t>
      </w:r>
    </w:p>
    <w:p w14:paraId="7012D27B"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Mutangu ya ba lukutakanu sambu na nu longisa na mpi kukebisa batu ;</w:t>
      </w:r>
    </w:p>
    <w:p w14:paraId="1D21B1D8" w14:textId="77777777" w:rsidR="000326DA" w:rsidRPr="00E4105B" w:rsidRDefault="000326DA" w:rsidP="002378EA">
      <w:pPr>
        <w:widowControl w:val="0"/>
        <w:numPr>
          <w:ilvl w:val="0"/>
          <w:numId w:val="68"/>
        </w:numPr>
        <w:autoSpaceDE w:val="0"/>
        <w:autoSpaceDN w:val="0"/>
        <w:rPr>
          <w:rFonts w:eastAsia="MS Mincho" w:cs="Arial"/>
          <w:szCs w:val="21"/>
          <w:lang w:val="nb-NO"/>
        </w:rPr>
      </w:pPr>
      <w:r w:rsidRPr="00E4105B">
        <w:rPr>
          <w:rFonts w:eastAsia="MS Mincho" w:cs="Arial"/>
          <w:szCs w:val="21"/>
          <w:lang w:val="nb-NO"/>
        </w:rPr>
        <w:t xml:space="preserve">Kulandila bisalu ya konso ntangu ya kieleka ; </w:t>
      </w:r>
    </w:p>
    <w:p w14:paraId="30B07A5F" w14:textId="77777777" w:rsidR="000326DA" w:rsidRPr="00E4105B" w:rsidRDefault="000326DA" w:rsidP="002378EA">
      <w:pPr>
        <w:widowControl w:val="0"/>
        <w:numPr>
          <w:ilvl w:val="0"/>
          <w:numId w:val="68"/>
        </w:numPr>
        <w:autoSpaceDE w:val="0"/>
        <w:autoSpaceDN w:val="0"/>
        <w:rPr>
          <w:rFonts w:eastAsia="MS Mincho" w:cs="Arial"/>
          <w:szCs w:val="21"/>
          <w:lang w:val="nb-NO"/>
        </w:rPr>
      </w:pPr>
      <w:r w:rsidRPr="00E4105B">
        <w:rPr>
          <w:rFonts w:eastAsia="MS Mincho" w:cs="Arial"/>
          <w:szCs w:val="21"/>
          <w:lang w:val="nb-NO"/>
        </w:rPr>
        <w:t>Mutangu ya bisalu yayi tafanda na malongi ya EIES na mpi ya PGES yayi salamaka kieleka ;</w:t>
      </w:r>
    </w:p>
    <w:p w14:paraId="7D534C40" w14:textId="77777777" w:rsidR="000326DA" w:rsidRPr="00E4105B" w:rsidRDefault="000326DA" w:rsidP="002378EA">
      <w:pPr>
        <w:widowControl w:val="0"/>
        <w:numPr>
          <w:ilvl w:val="0"/>
          <w:numId w:val="68"/>
        </w:numPr>
        <w:autoSpaceDE w:val="0"/>
        <w:autoSpaceDN w:val="0"/>
        <w:rPr>
          <w:rFonts w:eastAsia="MS Mincho" w:cs="Arial"/>
          <w:szCs w:val="21"/>
          <w:lang w:val="nb-NO"/>
        </w:rPr>
      </w:pPr>
      <w:r w:rsidRPr="00E4105B">
        <w:rPr>
          <w:rFonts w:eastAsia="MS Mincho" w:cs="Arial"/>
          <w:szCs w:val="21"/>
          <w:lang w:val="nb-NO"/>
        </w:rPr>
        <w:t xml:space="preserve">Mutangu ya ba lukutakanu sambu na kulongisa na mpi kukebisa batu yayi salamaka ; </w:t>
      </w:r>
    </w:p>
    <w:p w14:paraId="7FA126DC" w14:textId="77777777" w:rsidR="000326DA" w:rsidRPr="00E4105B" w:rsidRDefault="000326DA" w:rsidP="002378EA">
      <w:pPr>
        <w:widowControl w:val="0"/>
        <w:numPr>
          <w:ilvl w:val="0"/>
          <w:numId w:val="68"/>
        </w:numPr>
        <w:autoSpaceDE w:val="0"/>
        <w:autoSpaceDN w:val="0"/>
        <w:rPr>
          <w:rFonts w:eastAsia="MS Mincho" w:cs="Arial"/>
          <w:szCs w:val="21"/>
          <w:lang w:val="nb-NO"/>
        </w:rPr>
      </w:pPr>
      <w:r w:rsidRPr="00E4105B">
        <w:rPr>
          <w:rFonts w:eastAsia="MS Mincho" w:cs="Arial"/>
          <w:szCs w:val="21"/>
          <w:lang w:val="nb-NO"/>
        </w:rPr>
        <w:t>Mutangu ya mibembu sambu na kulandila na mpi kutangidila bima yayi kezingaka ntoto na mpi mpila batu kefandaka ;</w:t>
      </w:r>
    </w:p>
    <w:p w14:paraId="645CD09D"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 xml:space="preserve">Mutangu ya bisalu tapesama na batu ya ba bwala; </w:t>
      </w:r>
    </w:p>
    <w:p w14:paraId="57BBF944"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 xml:space="preserve">Mutangu ya ba Mbuti na mpi ya bisika bawu kutanaka na ngambu yayi bisalu tasalama ; </w:t>
      </w:r>
    </w:p>
    <w:p w14:paraId="61568490"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Mutangu ya batu yayi bisalu tasimba ;</w:t>
      </w:r>
    </w:p>
    <w:p w14:paraId="4F286081"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Mutangu ya ba lukutakanu ya kulongisa bansadi mambu ya VBG kutadila batu yonso ba nkentu na bakala ;</w:t>
      </w:r>
    </w:p>
    <w:p w14:paraId="5B0B06AF"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Mutangu ya ba lukutakanu ya kukodisa ngangu ya bansadi na mambu ya VBG ;</w:t>
      </w:r>
    </w:p>
    <w:p w14:paraId="510C4EE6"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Mutangu ya bayayi sadisamaka na nzila ya PEC médicale ;</w:t>
      </w:r>
    </w:p>
    <w:p w14:paraId="603BB9E6"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Mutangu ya bayayi kele na kusadisama na nzila ya ba nkisi ya munganga ;</w:t>
      </w:r>
    </w:p>
    <w:p w14:paraId="6E579F6B"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Mutangu ya bayayi sadisamaka na nzila ya toli ya PEC ;</w:t>
      </w:r>
    </w:p>
    <w:p w14:paraId="328BB72B" w14:textId="77777777" w:rsidR="000326DA" w:rsidRPr="00E4105B" w:rsidRDefault="000326DA" w:rsidP="002378EA">
      <w:pPr>
        <w:widowControl w:val="0"/>
        <w:numPr>
          <w:ilvl w:val="0"/>
          <w:numId w:val="68"/>
        </w:numPr>
        <w:autoSpaceDE w:val="0"/>
        <w:autoSpaceDN w:val="0"/>
        <w:rPr>
          <w:rFonts w:eastAsia="MS Mincho" w:cs="Arial"/>
          <w:szCs w:val="21"/>
          <w:lang w:val="en-US"/>
        </w:rPr>
      </w:pPr>
      <w:r w:rsidRPr="00E4105B">
        <w:rPr>
          <w:rFonts w:eastAsia="MS Mincho" w:cs="Arial"/>
          <w:szCs w:val="21"/>
          <w:lang w:val="en-US"/>
        </w:rPr>
        <w:t xml:space="preserve">Mutangu ya bayayi tindamaka na nzila ya ba nzuzi ; </w:t>
      </w:r>
    </w:p>
    <w:p w14:paraId="34FECAA8"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Mutangu ya batu yayi PEC tindika na ba nzuzi ;</w:t>
      </w:r>
    </w:p>
    <w:p w14:paraId="2DB1674C"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Mutangu ya ba lukutakanu sambu na kukebisa na mambu ya VBG na mpi MGP ;</w:t>
      </w:r>
    </w:p>
    <w:p w14:paraId="09D4A767"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Mutangu ya batu yayi ta talama ya ba nkentu na mpi ya bakala, kulandana na ba mvula na bawu.</w:t>
      </w:r>
    </w:p>
    <w:p w14:paraId="3E26D743" w14:textId="77777777" w:rsidR="000326DA" w:rsidRPr="00E4105B" w:rsidRDefault="000326DA" w:rsidP="000326DA">
      <w:pPr>
        <w:autoSpaceDE w:val="0"/>
        <w:autoSpaceDN w:val="0"/>
        <w:adjustRightInd w:val="0"/>
        <w:spacing w:line="240" w:lineRule="auto"/>
        <w:ind w:left="720"/>
        <w:rPr>
          <w:rFonts w:cs="Arial"/>
          <w:color w:val="000000"/>
          <w:szCs w:val="21"/>
        </w:rPr>
      </w:pPr>
    </w:p>
    <w:p w14:paraId="731CEBB2" w14:textId="77777777" w:rsidR="000326DA" w:rsidRPr="00E4105B" w:rsidRDefault="000326DA" w:rsidP="000326DA">
      <w:pPr>
        <w:tabs>
          <w:tab w:val="left" w:pos="426"/>
        </w:tabs>
        <w:contextualSpacing/>
        <w:rPr>
          <w:rFonts w:cs="Arial"/>
          <w:szCs w:val="21"/>
          <w:u w:val="single"/>
        </w:rPr>
      </w:pPr>
      <w:r w:rsidRPr="00E4105B">
        <w:rPr>
          <w:rFonts w:cs="Arial"/>
          <w:szCs w:val="21"/>
          <w:u w:val="single"/>
        </w:rPr>
        <w:t>Mpila ba nzo ya bisalu tasadisa sambu na kusadila malongi yayi ya PCGES :</w:t>
      </w:r>
    </w:p>
    <w:p w14:paraId="378AFB02" w14:textId="77777777" w:rsidR="000326DA" w:rsidRPr="00E4105B" w:rsidRDefault="000326DA" w:rsidP="000326DA">
      <w:pPr>
        <w:rPr>
          <w:rFonts w:cs="Arial"/>
          <w:szCs w:val="21"/>
        </w:rPr>
      </w:pPr>
    </w:p>
    <w:p w14:paraId="69CC5291" w14:textId="77777777" w:rsidR="000326DA" w:rsidRPr="00E4105B" w:rsidRDefault="000326DA" w:rsidP="002378EA">
      <w:pPr>
        <w:pStyle w:val="Paragraphedeliste"/>
        <w:keepNext/>
        <w:numPr>
          <w:ilvl w:val="1"/>
          <w:numId w:val="11"/>
        </w:numPr>
        <w:tabs>
          <w:tab w:val="left" w:pos="720"/>
        </w:tabs>
        <w:contextualSpacing w:val="0"/>
        <w:jc w:val="left"/>
        <w:outlineLvl w:val="2"/>
        <w:rPr>
          <w:rFonts w:cs="Arial"/>
          <w:vanish/>
          <w:szCs w:val="21"/>
          <w:u w:val="single"/>
        </w:rPr>
      </w:pPr>
      <w:bookmarkStart w:id="152" w:name="_Toc70326730"/>
      <w:bookmarkStart w:id="153" w:name="_Toc70326963"/>
      <w:bookmarkStart w:id="154" w:name="_Toc70330326"/>
      <w:bookmarkStart w:id="155" w:name="_Toc72336030"/>
      <w:bookmarkStart w:id="156" w:name="_Toc90393038"/>
      <w:bookmarkStart w:id="157" w:name="_Toc90471397"/>
      <w:bookmarkEnd w:id="152"/>
      <w:bookmarkEnd w:id="153"/>
      <w:bookmarkEnd w:id="154"/>
      <w:bookmarkEnd w:id="155"/>
      <w:bookmarkEnd w:id="156"/>
      <w:bookmarkEnd w:id="157"/>
    </w:p>
    <w:p w14:paraId="5E887285" w14:textId="77777777" w:rsidR="000326DA" w:rsidRPr="00E4105B" w:rsidRDefault="000326DA" w:rsidP="002378EA">
      <w:pPr>
        <w:pStyle w:val="Paragraphedeliste"/>
        <w:keepNext/>
        <w:numPr>
          <w:ilvl w:val="1"/>
          <w:numId w:val="11"/>
        </w:numPr>
        <w:tabs>
          <w:tab w:val="left" w:pos="720"/>
        </w:tabs>
        <w:contextualSpacing w:val="0"/>
        <w:jc w:val="left"/>
        <w:outlineLvl w:val="2"/>
        <w:rPr>
          <w:rFonts w:cs="Arial"/>
          <w:vanish/>
          <w:szCs w:val="21"/>
          <w:u w:val="single"/>
        </w:rPr>
      </w:pPr>
      <w:bookmarkStart w:id="158" w:name="_Toc70326731"/>
      <w:bookmarkStart w:id="159" w:name="_Toc70326964"/>
      <w:bookmarkStart w:id="160" w:name="_Toc70330327"/>
      <w:bookmarkStart w:id="161" w:name="_Toc72336031"/>
      <w:bookmarkStart w:id="162" w:name="_Toc90393039"/>
      <w:bookmarkStart w:id="163" w:name="_Toc90471398"/>
      <w:bookmarkEnd w:id="158"/>
      <w:bookmarkEnd w:id="159"/>
      <w:bookmarkEnd w:id="160"/>
      <w:bookmarkEnd w:id="161"/>
      <w:bookmarkEnd w:id="162"/>
      <w:bookmarkEnd w:id="163"/>
    </w:p>
    <w:p w14:paraId="339E3D19" w14:textId="77777777" w:rsidR="000326DA" w:rsidRPr="00E4105B" w:rsidRDefault="000326DA" w:rsidP="000326DA">
      <w:pPr>
        <w:autoSpaceDE w:val="0"/>
        <w:autoSpaceDN w:val="0"/>
        <w:adjustRightInd w:val="0"/>
        <w:rPr>
          <w:rFonts w:cs="Arial"/>
          <w:szCs w:val="21"/>
        </w:rPr>
      </w:pPr>
      <w:r w:rsidRPr="00E4105B">
        <w:rPr>
          <w:rFonts w:cs="Arial"/>
          <w:szCs w:val="21"/>
        </w:rPr>
        <w:t>Mulongo yayi talanda ke monisa bimvwama ya ba yayi tasadila mikanu ya mambu y abima yayi kezingaka ntoto na mpi mpila batu kefandaka sambu na bisalu ya PNDA :</w:t>
      </w:r>
    </w:p>
    <w:p w14:paraId="589AA752" w14:textId="77777777" w:rsidR="000326DA" w:rsidRPr="00E4105B" w:rsidRDefault="000326DA" w:rsidP="000326DA">
      <w:pPr>
        <w:autoSpaceDE w:val="0"/>
        <w:autoSpaceDN w:val="0"/>
        <w:adjustRightInd w:val="0"/>
        <w:rPr>
          <w:rFonts w:cs="Arial"/>
          <w:szCs w:val="21"/>
        </w:rPr>
      </w:pPr>
    </w:p>
    <w:p w14:paraId="4011DA51" w14:textId="6D29DCC4" w:rsidR="000326DA" w:rsidRPr="00E4105B" w:rsidRDefault="000326DA" w:rsidP="002378EA">
      <w:pPr>
        <w:pStyle w:val="Paragraphedeliste"/>
        <w:numPr>
          <w:ilvl w:val="0"/>
          <w:numId w:val="29"/>
        </w:numPr>
        <w:spacing w:line="240" w:lineRule="auto"/>
        <w:jc w:val="left"/>
        <w:rPr>
          <w:rFonts w:cs="Arial"/>
          <w:i/>
          <w:color w:val="000000"/>
          <w:szCs w:val="21"/>
        </w:rPr>
      </w:pPr>
      <w:r w:rsidRPr="00E4105B">
        <w:rPr>
          <w:rFonts w:cs="Arial"/>
          <w:i/>
          <w:color w:val="000000"/>
          <w:szCs w:val="21"/>
        </w:rPr>
        <w:t>Lukutakanu ya tekiniki ya kubongisa na mpi kulandila bisalu ya PNDA</w:t>
      </w:r>
      <w:r w:rsidR="00EC500E">
        <w:rPr>
          <w:rFonts w:cs="Arial"/>
          <w:i/>
          <w:color w:val="000000"/>
          <w:szCs w:val="21"/>
        </w:rPr>
        <w:t> ;</w:t>
      </w:r>
    </w:p>
    <w:p w14:paraId="5FA404B3" w14:textId="002D5CD9" w:rsidR="000326DA" w:rsidRPr="00E4105B" w:rsidRDefault="000326DA" w:rsidP="002378EA">
      <w:pPr>
        <w:pStyle w:val="Paragraphedeliste"/>
        <w:numPr>
          <w:ilvl w:val="0"/>
          <w:numId w:val="29"/>
        </w:numPr>
        <w:spacing w:line="240" w:lineRule="auto"/>
        <w:jc w:val="left"/>
        <w:rPr>
          <w:rFonts w:cs="Arial"/>
          <w:i/>
          <w:color w:val="000000"/>
          <w:szCs w:val="21"/>
        </w:rPr>
      </w:pPr>
      <w:r w:rsidRPr="00E4105B">
        <w:rPr>
          <w:rFonts w:cs="Arial"/>
          <w:i/>
          <w:color w:val="000000"/>
          <w:szCs w:val="21"/>
        </w:rPr>
        <w:t>UNCP/PARRSA, UUNCP na lukutakanu ya kutadila mambu ya kupesa bisalu ya Mbulamatadi (CUNCPMP)</w:t>
      </w:r>
      <w:r w:rsidR="00EC500E">
        <w:rPr>
          <w:rFonts w:cs="Arial"/>
          <w:i/>
          <w:color w:val="000000"/>
          <w:szCs w:val="21"/>
        </w:rPr>
        <w:t> ;</w:t>
      </w:r>
    </w:p>
    <w:p w14:paraId="34F8FAC7" w14:textId="2251281C" w:rsidR="000326DA" w:rsidRPr="00E4105B" w:rsidRDefault="000326DA" w:rsidP="002378EA">
      <w:pPr>
        <w:pStyle w:val="Paragraphedeliste"/>
        <w:numPr>
          <w:ilvl w:val="0"/>
          <w:numId w:val="29"/>
        </w:numPr>
        <w:spacing w:line="240" w:lineRule="auto"/>
        <w:rPr>
          <w:rFonts w:cs="Arial"/>
          <w:i/>
          <w:color w:val="000000"/>
          <w:szCs w:val="21"/>
        </w:rPr>
      </w:pPr>
      <w:r w:rsidRPr="00E4105B">
        <w:rPr>
          <w:rFonts w:cs="Arial"/>
          <w:i/>
          <w:color w:val="000000"/>
          <w:szCs w:val="21"/>
        </w:rPr>
        <w:t>Agence Congolaise de l’Environnement (ACE)</w:t>
      </w:r>
      <w:r w:rsidR="00EC500E">
        <w:rPr>
          <w:rFonts w:cs="Arial"/>
          <w:i/>
          <w:color w:val="000000"/>
          <w:szCs w:val="21"/>
        </w:rPr>
        <w:t> ;</w:t>
      </w:r>
    </w:p>
    <w:p w14:paraId="08C0BE28" w14:textId="26A409AF" w:rsidR="000326DA" w:rsidRPr="00E4105B" w:rsidRDefault="000326DA" w:rsidP="002378EA">
      <w:pPr>
        <w:pStyle w:val="Paragraphedeliste"/>
        <w:numPr>
          <w:ilvl w:val="0"/>
          <w:numId w:val="29"/>
        </w:numPr>
        <w:spacing w:line="240" w:lineRule="auto"/>
        <w:rPr>
          <w:rFonts w:cs="Arial"/>
          <w:i/>
          <w:color w:val="000000"/>
          <w:szCs w:val="21"/>
        </w:rPr>
      </w:pPr>
      <w:r w:rsidRPr="00E4105B">
        <w:rPr>
          <w:rFonts w:cs="Arial"/>
          <w:i/>
          <w:color w:val="000000"/>
          <w:szCs w:val="21"/>
        </w:rPr>
        <w:t>Directions Provinciales de l’ACE (DP-ACE)</w:t>
      </w:r>
      <w:r w:rsidR="00EC500E">
        <w:rPr>
          <w:rFonts w:cs="Arial"/>
          <w:i/>
          <w:color w:val="000000"/>
          <w:szCs w:val="21"/>
        </w:rPr>
        <w:t> ;</w:t>
      </w:r>
    </w:p>
    <w:p w14:paraId="58E2D518" w14:textId="037847AD" w:rsidR="000326DA" w:rsidRPr="00EC500E" w:rsidRDefault="000326DA" w:rsidP="000326DA">
      <w:pPr>
        <w:pStyle w:val="Paragraphedeliste"/>
        <w:numPr>
          <w:ilvl w:val="0"/>
          <w:numId w:val="29"/>
        </w:numPr>
        <w:spacing w:line="240" w:lineRule="auto"/>
        <w:rPr>
          <w:rFonts w:cs="Arial"/>
          <w:i/>
          <w:color w:val="000000"/>
          <w:szCs w:val="21"/>
        </w:rPr>
      </w:pPr>
      <w:r w:rsidRPr="00E4105B">
        <w:rPr>
          <w:rFonts w:cs="Arial"/>
          <w:i/>
          <w:color w:val="000000"/>
          <w:szCs w:val="21"/>
        </w:rPr>
        <w:t>Coordinations Provinciales pour l’Environnement (CPE)</w:t>
      </w:r>
      <w:r w:rsidR="00EC500E">
        <w:rPr>
          <w:rFonts w:cs="Arial"/>
          <w:i/>
          <w:color w:val="000000"/>
          <w:szCs w:val="21"/>
        </w:rPr>
        <w:t xml:space="preserve"> : </w:t>
      </w:r>
      <w:r w:rsidRPr="00EC500E">
        <w:rPr>
          <w:rFonts w:cs="Arial"/>
          <w:color w:val="000000"/>
          <w:szCs w:val="21"/>
        </w:rPr>
        <w:t>Ba CPE tasadisa sambu na mambu ya kulandila mambu y abima yayi kezingaka ntoto na mpi mpila batu kefandaka na bisaka</w:t>
      </w:r>
      <w:r w:rsidR="00EC500E" w:rsidRPr="00EC500E">
        <w:rPr>
          <w:rFonts w:cs="Arial"/>
          <w:color w:val="000000"/>
          <w:szCs w:val="21"/>
        </w:rPr>
        <w:t xml:space="preserve"> yayi kele na bansadi ya ACE ve</w:t>
      </w:r>
      <w:r w:rsidRPr="00EC500E">
        <w:rPr>
          <w:rFonts w:cs="Arial"/>
          <w:szCs w:val="21"/>
        </w:rPr>
        <w:t>.</w:t>
      </w:r>
    </w:p>
    <w:p w14:paraId="1115F248" w14:textId="77777777" w:rsidR="000326DA" w:rsidRPr="00E4105B" w:rsidRDefault="000326DA" w:rsidP="000326DA">
      <w:pPr>
        <w:rPr>
          <w:rFonts w:cs="Arial"/>
          <w:i/>
          <w:color w:val="000000"/>
          <w:szCs w:val="21"/>
        </w:rPr>
      </w:pPr>
    </w:p>
    <w:p w14:paraId="11FC719A" w14:textId="0ECF3AC6" w:rsidR="000326DA" w:rsidRPr="00E4105B" w:rsidRDefault="000326DA" w:rsidP="000326DA">
      <w:pPr>
        <w:rPr>
          <w:rFonts w:cs="Arial"/>
          <w:color w:val="000000"/>
          <w:szCs w:val="21"/>
        </w:rPr>
      </w:pPr>
      <w:r w:rsidRPr="00E4105B">
        <w:rPr>
          <w:rFonts w:cs="Arial"/>
          <w:color w:val="000000"/>
          <w:szCs w:val="21"/>
        </w:rPr>
        <w:t>Ba nzo ya bisalu ya nkaka yayi tasadisa sambu na bisalu ya PNDA</w:t>
      </w:r>
      <w:r w:rsidR="00EC500E">
        <w:rPr>
          <w:rFonts w:cs="Arial"/>
          <w:color w:val="000000"/>
          <w:szCs w:val="21"/>
        </w:rPr>
        <w:t>.</w:t>
      </w:r>
    </w:p>
    <w:p w14:paraId="1C9ED253" w14:textId="77777777" w:rsidR="000326DA" w:rsidRPr="00E4105B" w:rsidRDefault="000326DA" w:rsidP="000326DA">
      <w:pPr>
        <w:rPr>
          <w:rFonts w:cs="Arial"/>
          <w:color w:val="000000"/>
          <w:szCs w:val="21"/>
        </w:rPr>
      </w:pPr>
    </w:p>
    <w:p w14:paraId="67ED49F6" w14:textId="77777777" w:rsidR="000326DA" w:rsidRPr="00E4105B" w:rsidRDefault="000326DA" w:rsidP="000326DA">
      <w:pPr>
        <w:tabs>
          <w:tab w:val="left" w:pos="426"/>
        </w:tabs>
        <w:contextualSpacing/>
        <w:rPr>
          <w:rFonts w:cs="Arial"/>
          <w:i/>
          <w:szCs w:val="21"/>
        </w:rPr>
      </w:pPr>
      <w:r w:rsidRPr="00E4105B">
        <w:rPr>
          <w:rFonts w:cs="Arial"/>
          <w:i/>
          <w:szCs w:val="21"/>
        </w:rPr>
        <w:t xml:space="preserve">Bimvwama sambu na kusadila mambu y abima yayi kezingaka ntoto na mpi mpila batu kefandaka </w:t>
      </w:r>
    </w:p>
    <w:p w14:paraId="153B5E60" w14:textId="77777777" w:rsidR="000326DA" w:rsidRPr="00E4105B" w:rsidRDefault="000326DA" w:rsidP="000326DA">
      <w:pPr>
        <w:pStyle w:val="Paragraphedeliste"/>
        <w:rPr>
          <w:rFonts w:cs="Arial"/>
          <w:szCs w:val="21"/>
        </w:rPr>
      </w:pPr>
    </w:p>
    <w:p w14:paraId="1EC191A2" w14:textId="7E52F360" w:rsidR="000326DA" w:rsidRPr="00EC500E" w:rsidRDefault="000326DA" w:rsidP="00E4470C">
      <w:pPr>
        <w:pStyle w:val="Paragraphedeliste"/>
        <w:numPr>
          <w:ilvl w:val="0"/>
          <w:numId w:val="26"/>
        </w:numPr>
        <w:rPr>
          <w:rFonts w:cs="Arial"/>
          <w:color w:val="000000"/>
          <w:szCs w:val="21"/>
        </w:rPr>
      </w:pPr>
      <w:r w:rsidRPr="00EC500E">
        <w:rPr>
          <w:rFonts w:cs="Arial"/>
          <w:i/>
          <w:szCs w:val="21"/>
        </w:rPr>
        <w:t>Kimvuka ya tekiniki ya kubongisa na mpi kulandila bisalu kele na kimvwama ya kundima mpila ba takabula bisalu na ntangu ya mabongisi</w:t>
      </w:r>
      <w:r w:rsidR="00EC500E" w:rsidRPr="00EC500E">
        <w:rPr>
          <w:rFonts w:cs="Arial"/>
          <w:i/>
          <w:szCs w:val="21"/>
        </w:rPr>
        <w:t> ;</w:t>
      </w:r>
    </w:p>
    <w:p w14:paraId="3289693B" w14:textId="0A55B437" w:rsidR="000326DA" w:rsidRPr="00EC500E" w:rsidRDefault="000326DA" w:rsidP="00E4470C">
      <w:pPr>
        <w:numPr>
          <w:ilvl w:val="0"/>
          <w:numId w:val="26"/>
        </w:numPr>
        <w:rPr>
          <w:rFonts w:cs="Arial"/>
          <w:color w:val="000000"/>
          <w:szCs w:val="21"/>
        </w:rPr>
      </w:pPr>
      <w:r w:rsidRPr="00EC500E">
        <w:rPr>
          <w:rFonts w:cs="Arial"/>
          <w:i/>
          <w:color w:val="000000"/>
          <w:szCs w:val="21"/>
        </w:rPr>
        <w:t>Nganga mayele ya mambu y abima yayi kezingaka ntoto na mpi mpila ba tu kefandaka na mpi yayi ya kuladila mambu ya ba VBG batalandila mutindu</w:t>
      </w:r>
      <w:r w:rsidR="00EC500E" w:rsidRPr="00EC500E">
        <w:rPr>
          <w:rFonts w:cs="Arial"/>
          <w:i/>
          <w:color w:val="000000"/>
          <w:szCs w:val="21"/>
        </w:rPr>
        <w:t> ;</w:t>
      </w:r>
    </w:p>
    <w:p w14:paraId="37F071BF" w14:textId="77777777" w:rsidR="00EC500E" w:rsidRDefault="000326DA" w:rsidP="002378EA">
      <w:pPr>
        <w:numPr>
          <w:ilvl w:val="0"/>
          <w:numId w:val="26"/>
        </w:numPr>
        <w:rPr>
          <w:rFonts w:cs="Arial"/>
          <w:color w:val="000000"/>
          <w:szCs w:val="21"/>
        </w:rPr>
      </w:pPr>
      <w:r w:rsidRPr="00E4105B">
        <w:rPr>
          <w:rFonts w:cs="Arial"/>
          <w:i/>
          <w:color w:val="000000"/>
          <w:szCs w:val="21"/>
        </w:rPr>
        <w:t>Mbuta ya tekiniki sambu na kumonisa bisalu yayi ya tasalama ya PNDA</w:t>
      </w:r>
      <w:r w:rsidRPr="00E4105B">
        <w:rPr>
          <w:rFonts w:cs="Arial"/>
          <w:color w:val="000000"/>
          <w:szCs w:val="21"/>
        </w:rPr>
        <w:t> (</w:t>
      </w:r>
      <w:r w:rsidRPr="00E4105B">
        <w:rPr>
          <w:rFonts w:cs="Arial"/>
          <w:i/>
          <w:color w:val="000000"/>
          <w:szCs w:val="21"/>
        </w:rPr>
        <w:t>Chargé de projet</w:t>
      </w:r>
      <w:r w:rsidRPr="00E4105B">
        <w:rPr>
          <w:rFonts w:cs="Arial"/>
          <w:color w:val="000000"/>
          <w:szCs w:val="21"/>
        </w:rPr>
        <w:t>)</w:t>
      </w:r>
      <w:r w:rsidR="00EC500E">
        <w:rPr>
          <w:rFonts w:cs="Arial"/>
          <w:color w:val="000000"/>
          <w:szCs w:val="21"/>
        </w:rPr>
        <w:t> ;</w:t>
      </w:r>
    </w:p>
    <w:p w14:paraId="2E3EF5FD" w14:textId="378D5755" w:rsidR="000326DA" w:rsidRPr="00EC500E" w:rsidRDefault="000326DA" w:rsidP="00E4470C">
      <w:pPr>
        <w:numPr>
          <w:ilvl w:val="0"/>
          <w:numId w:val="26"/>
        </w:numPr>
        <w:rPr>
          <w:rFonts w:cs="Arial"/>
          <w:szCs w:val="21"/>
        </w:rPr>
      </w:pPr>
      <w:r w:rsidRPr="00EC500E">
        <w:rPr>
          <w:rFonts w:cs="Arial"/>
          <w:i/>
          <w:color w:val="000000"/>
          <w:szCs w:val="21"/>
        </w:rPr>
        <w:t>Nganga mayele ya mambu ya kupesa bisalu ya Mbulamatadi ya</w:t>
      </w:r>
      <w:r w:rsidRPr="00EC500E">
        <w:rPr>
          <w:rFonts w:cs="Arial"/>
          <w:i/>
          <w:szCs w:val="21"/>
        </w:rPr>
        <w:t xml:space="preserve"> PNDA (nzila mosi na yayi ya mambu y abima yayi kezingaka ntoto na mpi mpila batu kefandaka)</w:t>
      </w:r>
      <w:r w:rsidR="00EC500E" w:rsidRPr="00EC500E">
        <w:rPr>
          <w:rFonts w:cs="Arial"/>
          <w:i/>
          <w:szCs w:val="21"/>
        </w:rPr>
        <w:t> </w:t>
      </w:r>
      <w:r w:rsidR="00EC500E" w:rsidRPr="00EC500E">
        <w:rPr>
          <w:rFonts w:cs="Arial"/>
          <w:i/>
          <w:color w:val="000000"/>
          <w:szCs w:val="21"/>
        </w:rPr>
        <w:t>;</w:t>
      </w:r>
    </w:p>
    <w:p w14:paraId="16D99998" w14:textId="59994F95" w:rsidR="000326DA" w:rsidRPr="00EC500E" w:rsidRDefault="000326DA" w:rsidP="00E4470C">
      <w:pPr>
        <w:pStyle w:val="Paragraphedeliste"/>
        <w:numPr>
          <w:ilvl w:val="0"/>
          <w:numId w:val="26"/>
        </w:numPr>
        <w:rPr>
          <w:rFonts w:cs="Arial"/>
          <w:szCs w:val="21"/>
        </w:rPr>
      </w:pPr>
      <w:r w:rsidRPr="00EC500E">
        <w:rPr>
          <w:rFonts w:cs="Arial"/>
          <w:i/>
          <w:szCs w:val="21"/>
        </w:rPr>
        <w:t>Mvwama ya mambu ya misolo ya PNDA talandila na ntangu ya kubong</w:t>
      </w:r>
      <w:r w:rsidR="00EC500E" w:rsidRPr="00EC500E">
        <w:rPr>
          <w:rFonts w:cs="Arial"/>
          <w:i/>
          <w:szCs w:val="21"/>
        </w:rPr>
        <w:t>isa bisalu sambu na kutala nde ;</w:t>
      </w:r>
    </w:p>
    <w:p w14:paraId="34E61CA8" w14:textId="11BF3015" w:rsidR="000326DA" w:rsidRPr="00E4105B" w:rsidRDefault="000326DA" w:rsidP="002378EA">
      <w:pPr>
        <w:pStyle w:val="Paragraphedeliste"/>
        <w:numPr>
          <w:ilvl w:val="0"/>
          <w:numId w:val="26"/>
        </w:numPr>
        <w:rPr>
          <w:rFonts w:cs="Arial"/>
          <w:szCs w:val="21"/>
        </w:rPr>
      </w:pPr>
      <w:r w:rsidRPr="00E4105B">
        <w:rPr>
          <w:rFonts w:cs="Arial"/>
          <w:i/>
          <w:szCs w:val="21"/>
        </w:rPr>
        <w:t>Nganga mayele ya mambu ya kulandila na mpi kutadila bisalu ya PNDA (na ntangu ya kubongisa na mpi ya kusadisa bisalu) :</w:t>
      </w:r>
      <w:r w:rsidRPr="00E4105B">
        <w:rPr>
          <w:rFonts w:cs="Arial"/>
          <w:szCs w:val="21"/>
        </w:rPr>
        <w:t xml:space="preserve"> talandila mbote kusadila mikanu y abima yayi kezingaka ntoto na mpi mpila batu kefandaka, mpila moshi na mambu yayi ya ba VBG na mpi ya COVID-19</w:t>
      </w:r>
      <w:r w:rsidR="00EC500E">
        <w:rPr>
          <w:rFonts w:cs="Arial"/>
          <w:szCs w:val="21"/>
        </w:rPr>
        <w:t> ;</w:t>
      </w:r>
      <w:r w:rsidRPr="00E4105B">
        <w:rPr>
          <w:rFonts w:cs="Arial"/>
          <w:szCs w:val="21"/>
        </w:rPr>
        <w:t xml:space="preserve"> </w:t>
      </w:r>
    </w:p>
    <w:p w14:paraId="6D70D8B7" w14:textId="14A2EF31" w:rsidR="000326DA" w:rsidRPr="00E4105B" w:rsidRDefault="000326DA" w:rsidP="002378EA">
      <w:pPr>
        <w:numPr>
          <w:ilvl w:val="0"/>
          <w:numId w:val="26"/>
        </w:numPr>
        <w:rPr>
          <w:rFonts w:cs="Arial"/>
          <w:i/>
          <w:szCs w:val="21"/>
        </w:rPr>
      </w:pPr>
      <w:r w:rsidRPr="00E4105B">
        <w:rPr>
          <w:rFonts w:cs="Arial"/>
          <w:i/>
          <w:szCs w:val="21"/>
        </w:rPr>
        <w:t>Ba Coordinations Provinciales a malu a Environnement ne a Genre</w:t>
      </w:r>
      <w:r w:rsidR="00847DCC">
        <w:rPr>
          <w:rFonts w:cs="Arial"/>
          <w:i/>
          <w:szCs w:val="21"/>
        </w:rPr>
        <w:t> ;</w:t>
      </w:r>
    </w:p>
    <w:p w14:paraId="646A15A5" w14:textId="3C6A640F" w:rsidR="000326DA" w:rsidRPr="00E4105B" w:rsidRDefault="000326DA" w:rsidP="002378EA">
      <w:pPr>
        <w:numPr>
          <w:ilvl w:val="0"/>
          <w:numId w:val="26"/>
        </w:numPr>
        <w:rPr>
          <w:rFonts w:cs="Arial"/>
          <w:i/>
          <w:szCs w:val="21"/>
        </w:rPr>
      </w:pPr>
      <w:r w:rsidRPr="00E4105B">
        <w:rPr>
          <w:rFonts w:cs="Arial"/>
          <w:i/>
          <w:szCs w:val="21"/>
        </w:rPr>
        <w:t>Agence Congolaise de l’Environnement (ACE)</w:t>
      </w:r>
      <w:r w:rsidR="00847DCC">
        <w:rPr>
          <w:rFonts w:cs="Arial"/>
          <w:i/>
          <w:szCs w:val="21"/>
        </w:rPr>
        <w:t> ;</w:t>
      </w:r>
    </w:p>
    <w:p w14:paraId="11C9411D" w14:textId="77777777" w:rsidR="000326DA" w:rsidRPr="00E4105B" w:rsidRDefault="000326DA" w:rsidP="002378EA">
      <w:pPr>
        <w:numPr>
          <w:ilvl w:val="0"/>
          <w:numId w:val="26"/>
        </w:numPr>
        <w:rPr>
          <w:rFonts w:cs="Arial"/>
          <w:i/>
          <w:szCs w:val="21"/>
        </w:rPr>
      </w:pPr>
      <w:r w:rsidRPr="00E4105B">
        <w:rPr>
          <w:rFonts w:cs="Arial"/>
          <w:i/>
          <w:szCs w:val="21"/>
        </w:rPr>
        <w:t xml:space="preserve">Ba Coordinations Provinciales de l’Environnement (CPE) ya Kwilu, ya Kasaï, ya Kasaï Central </w:t>
      </w:r>
    </w:p>
    <w:p w14:paraId="045ADA81" w14:textId="77777777" w:rsidR="000326DA" w:rsidRPr="00E4105B" w:rsidRDefault="000326DA" w:rsidP="000326DA">
      <w:pPr>
        <w:ind w:left="720"/>
        <w:rPr>
          <w:rFonts w:cs="Arial"/>
          <w:szCs w:val="21"/>
        </w:rPr>
      </w:pPr>
      <w:r w:rsidRPr="00E4105B">
        <w:rPr>
          <w:rFonts w:cs="Arial"/>
          <w:szCs w:val="21"/>
        </w:rPr>
        <w:t>Na bisaka yayi kele ve na ba Directions Provinciales ya ACE, ba Coordinations Provinciales de l’Environnement tatu yayi tasadisa sambu na kulandila mbote bisalu yayi tasalama na mambu y abima yayi kzeingaka ntoto na mpi mpila batu kefandaka ya bisalu ya PNDA. Na kubakisa diaka, CPE ya Province moshi moshi atasadisa sambu na mambu ya kulandila bisalu tasalama ya kutadila na mpi kusadisa malongi ya PGES.</w:t>
      </w:r>
    </w:p>
    <w:p w14:paraId="5CFFD895" w14:textId="19DB2ECE" w:rsidR="000326DA" w:rsidRPr="00E4105B" w:rsidRDefault="000326DA" w:rsidP="002378EA">
      <w:pPr>
        <w:numPr>
          <w:ilvl w:val="0"/>
          <w:numId w:val="26"/>
        </w:numPr>
        <w:ind w:right="-154"/>
        <w:rPr>
          <w:rFonts w:cs="Arial"/>
          <w:szCs w:val="21"/>
          <w:lang w:val="pl-PL"/>
        </w:rPr>
      </w:pPr>
      <w:r w:rsidRPr="00E4105B">
        <w:rPr>
          <w:rFonts w:cs="Arial"/>
          <w:i/>
          <w:szCs w:val="21"/>
          <w:lang w:val="pl-PL"/>
        </w:rPr>
        <w:t>Ba kompani yay tasadisa bisalu</w:t>
      </w:r>
      <w:r w:rsidRPr="00E4105B">
        <w:rPr>
          <w:rFonts w:cs="Arial"/>
          <w:szCs w:val="21"/>
          <w:lang w:val="pl-PL"/>
        </w:rPr>
        <w:t xml:space="preserve"> </w:t>
      </w:r>
      <w:r w:rsidRPr="00E4105B">
        <w:rPr>
          <w:rFonts w:cs="Arial"/>
          <w:i/>
          <w:szCs w:val="21"/>
          <w:lang w:val="pl-PL"/>
        </w:rPr>
        <w:t>(PME)</w:t>
      </w:r>
      <w:r w:rsidR="00847DCC">
        <w:rPr>
          <w:rFonts w:cs="Arial"/>
          <w:i/>
          <w:szCs w:val="21"/>
          <w:lang w:val="pl-PL"/>
        </w:rPr>
        <w:t xml:space="preserve"> ;</w:t>
      </w:r>
    </w:p>
    <w:p w14:paraId="022EAC95" w14:textId="089F4924" w:rsidR="000326DA" w:rsidRPr="00E4105B" w:rsidRDefault="000326DA" w:rsidP="00847DCC">
      <w:pPr>
        <w:numPr>
          <w:ilvl w:val="0"/>
          <w:numId w:val="26"/>
        </w:numPr>
        <w:ind w:right="-154"/>
        <w:rPr>
          <w:rFonts w:cs="Arial"/>
          <w:i/>
          <w:szCs w:val="21"/>
          <w:lang w:val="pl-PL"/>
        </w:rPr>
      </w:pPr>
      <w:r w:rsidRPr="00E4105B">
        <w:rPr>
          <w:rFonts w:cs="Arial"/>
          <w:i/>
          <w:szCs w:val="21"/>
          <w:lang w:val="pl-PL"/>
        </w:rPr>
        <w:t>Ba nzo ya kusadisa bisalu na ba bwala (ALE)</w:t>
      </w:r>
      <w:r w:rsidR="00847DCC">
        <w:rPr>
          <w:rFonts w:cs="Arial"/>
          <w:i/>
          <w:szCs w:val="21"/>
          <w:lang w:val="pl-PL"/>
        </w:rPr>
        <w:t xml:space="preserve"> ;</w:t>
      </w:r>
    </w:p>
    <w:p w14:paraId="5194985B" w14:textId="2B8B3681" w:rsidR="000326DA" w:rsidRPr="00847DCC" w:rsidRDefault="000326DA" w:rsidP="00E4470C">
      <w:pPr>
        <w:numPr>
          <w:ilvl w:val="0"/>
          <w:numId w:val="26"/>
        </w:numPr>
        <w:ind w:right="-154"/>
        <w:rPr>
          <w:rFonts w:cs="Arial"/>
          <w:szCs w:val="21"/>
        </w:rPr>
      </w:pPr>
      <w:r w:rsidRPr="00847DCC">
        <w:rPr>
          <w:rFonts w:cs="Arial"/>
          <w:i/>
          <w:szCs w:val="21"/>
        </w:rPr>
        <w:t>Ba bilo ya kutadila bisalu</w:t>
      </w:r>
      <w:r w:rsidR="00847DCC" w:rsidRPr="00847DCC">
        <w:rPr>
          <w:rFonts w:cs="Arial"/>
          <w:i/>
          <w:szCs w:val="21"/>
        </w:rPr>
        <w:t> ;</w:t>
      </w:r>
      <w:r w:rsidRPr="00847DCC">
        <w:rPr>
          <w:rFonts w:cs="Arial"/>
          <w:szCs w:val="21"/>
        </w:rPr>
        <w:t xml:space="preserve"> </w:t>
      </w:r>
    </w:p>
    <w:p w14:paraId="4CA5B08D" w14:textId="77777777" w:rsidR="000326DA" w:rsidRPr="00E4105B" w:rsidRDefault="000326DA" w:rsidP="002378EA">
      <w:pPr>
        <w:numPr>
          <w:ilvl w:val="0"/>
          <w:numId w:val="26"/>
        </w:numPr>
        <w:ind w:right="-154"/>
        <w:rPr>
          <w:rFonts w:cs="Arial"/>
          <w:i/>
          <w:szCs w:val="21"/>
        </w:rPr>
      </w:pPr>
      <w:r w:rsidRPr="00E4105B">
        <w:rPr>
          <w:rFonts w:cs="Arial"/>
          <w:i/>
          <w:szCs w:val="21"/>
        </w:rPr>
        <w:t>Balukutakanu ya batu ya bilanga/Coopératives na bawu</w:t>
      </w:r>
    </w:p>
    <w:p w14:paraId="6D054854" w14:textId="77777777" w:rsidR="000326DA" w:rsidRPr="00E4105B" w:rsidRDefault="000326DA" w:rsidP="000326DA">
      <w:pPr>
        <w:pStyle w:val="Paragraphedeliste"/>
        <w:rPr>
          <w:rFonts w:cs="Arial"/>
          <w:szCs w:val="21"/>
        </w:rPr>
      </w:pPr>
    </w:p>
    <w:p w14:paraId="7EB4BD11" w14:textId="77777777" w:rsidR="000326DA" w:rsidRPr="00E4105B" w:rsidRDefault="000326DA" w:rsidP="000326DA">
      <w:pPr>
        <w:pStyle w:val="Paragraphedeliste"/>
        <w:rPr>
          <w:rFonts w:cs="Arial"/>
          <w:szCs w:val="21"/>
        </w:rPr>
      </w:pPr>
      <w:r w:rsidRPr="00E4105B">
        <w:rPr>
          <w:rFonts w:cs="Arial"/>
          <w:szCs w:val="21"/>
        </w:rPr>
        <w:t>Na province ya Nord Kivu, balukutakanu yayi kele lokola COOCENKI, CCNK, COOCUKI, COOPADERU, COODELA.</w:t>
      </w:r>
    </w:p>
    <w:p w14:paraId="76C62D6F" w14:textId="77777777" w:rsidR="000326DA" w:rsidRPr="00E4105B" w:rsidRDefault="000326DA" w:rsidP="000326DA">
      <w:pPr>
        <w:pStyle w:val="Paragraphedeliste"/>
        <w:rPr>
          <w:rFonts w:cs="Arial"/>
          <w:szCs w:val="21"/>
        </w:rPr>
      </w:pPr>
    </w:p>
    <w:p w14:paraId="2BC9E9B2" w14:textId="16B6B3FB" w:rsidR="000326DA" w:rsidRPr="00E4105B" w:rsidRDefault="000326DA" w:rsidP="002378EA">
      <w:pPr>
        <w:numPr>
          <w:ilvl w:val="0"/>
          <w:numId w:val="26"/>
        </w:numPr>
        <w:rPr>
          <w:rFonts w:cs="Arial"/>
          <w:szCs w:val="21"/>
        </w:rPr>
      </w:pPr>
      <w:r w:rsidRPr="00E4105B">
        <w:rPr>
          <w:rFonts w:cs="Arial"/>
          <w:i/>
          <w:szCs w:val="21"/>
        </w:rPr>
        <w:t xml:space="preserve">Ba ONG na mpi batu ya Société civile : Ba </w:t>
      </w:r>
      <w:r w:rsidRPr="00E4105B">
        <w:rPr>
          <w:rFonts w:cs="Arial"/>
          <w:szCs w:val="21"/>
        </w:rPr>
        <w:t>ONG ya ba bwala tasadisa sambu na mambu ya ba VBG na mpi ya maladi ya COVID-19, lba lukutakanu ya batu ya ba bwala na mpi yayi ya nkaka yayi tadilaka mambu y abima yayi kezingaka ntoto na mpi mpila batu kefandaka tasadisa sambu na kupesa ba nsangu ya bisalu tasalama, kulongisa batu na bawu, sambu na kutadila mbote mambu ya bima yayi kezingaka ntoto na mpi mpila batu kefandaka, na mpi kusadila mambu ya kulandila ba VBG na mpi maladi ya COVID-19 na ntangu bisalu tasalama.</w:t>
      </w:r>
    </w:p>
    <w:p w14:paraId="7F3976DE" w14:textId="77777777" w:rsidR="000326DA" w:rsidRPr="00E4105B" w:rsidRDefault="000326DA" w:rsidP="000326DA">
      <w:pPr>
        <w:tabs>
          <w:tab w:val="left" w:pos="426"/>
        </w:tabs>
        <w:rPr>
          <w:rFonts w:cs="Arial"/>
          <w:szCs w:val="21"/>
        </w:rPr>
      </w:pPr>
    </w:p>
    <w:p w14:paraId="5A920F4B" w14:textId="77777777" w:rsidR="000326DA" w:rsidRPr="00E4105B" w:rsidRDefault="000326DA" w:rsidP="002378EA">
      <w:pPr>
        <w:numPr>
          <w:ilvl w:val="0"/>
          <w:numId w:val="159"/>
        </w:numPr>
        <w:rPr>
          <w:rFonts w:cs="Arial"/>
          <w:i/>
          <w:szCs w:val="21"/>
          <w:lang w:bidi="fr-FR"/>
        </w:rPr>
      </w:pPr>
      <w:r w:rsidRPr="00E4105B">
        <w:rPr>
          <w:rFonts w:cs="Arial"/>
          <w:i/>
          <w:szCs w:val="21"/>
          <w:lang w:bidi="fr-FR"/>
        </w:rPr>
        <w:t xml:space="preserve">Mutagu ya misolo yayi fete sadila sambu na kusadila mambu y abima yayi kezingaka ntoto na mpi mpila batu kefandaka. </w:t>
      </w:r>
    </w:p>
    <w:p w14:paraId="306198C6" w14:textId="77777777" w:rsidR="000326DA" w:rsidRPr="00E4105B" w:rsidRDefault="000326DA" w:rsidP="000326DA">
      <w:pPr>
        <w:ind w:left="720"/>
        <w:rPr>
          <w:rFonts w:cs="Arial"/>
          <w:i/>
          <w:szCs w:val="21"/>
          <w:lang w:bidi="fr-FR"/>
        </w:rPr>
      </w:pPr>
    </w:p>
    <w:p w14:paraId="2B2EA651" w14:textId="79A14F29" w:rsidR="000326DA" w:rsidRPr="00E4105B" w:rsidRDefault="000326DA" w:rsidP="000326DA">
      <w:pPr>
        <w:rPr>
          <w:rFonts w:cs="Arial"/>
          <w:szCs w:val="21"/>
        </w:rPr>
      </w:pPr>
      <w:r w:rsidRPr="00E4105B">
        <w:rPr>
          <w:rFonts w:cs="Arial"/>
          <w:iCs/>
          <w:szCs w:val="21"/>
          <w:lang w:bidi="fr-FR"/>
        </w:rPr>
        <w:t>Ntalu sambu na kusadila mambu yonso ya mikanu y abima yayi kezingaka ntot na mpi mpila batu kefandaka kele ya misolo</w:t>
      </w:r>
      <w:r w:rsidRPr="00E4105B">
        <w:rPr>
          <w:rFonts w:cs="Arial"/>
          <w:szCs w:val="21"/>
        </w:rPr>
        <w:t xml:space="preserve"> </w:t>
      </w:r>
      <w:r w:rsidR="00202EF2" w:rsidRPr="00E4105B">
        <w:rPr>
          <w:rFonts w:cs="Arial"/>
          <w:szCs w:val="21"/>
        </w:rPr>
        <w:t>18 675 330</w:t>
      </w:r>
      <w:r w:rsidRPr="00E4105B">
        <w:rPr>
          <w:rFonts w:cs="Arial"/>
          <w:szCs w:val="21"/>
        </w:rPr>
        <w:t xml:space="preserve"> USD yayi takubulama mpila kelanda. </w:t>
      </w:r>
    </w:p>
    <w:p w14:paraId="0048CE5F" w14:textId="77777777" w:rsidR="00C83419" w:rsidRPr="00E4105B" w:rsidRDefault="00C83419" w:rsidP="000326DA">
      <w:pPr>
        <w:spacing w:line="240" w:lineRule="auto"/>
        <w:rPr>
          <w:rFonts w:cs="Arial"/>
          <w:szCs w:val="21"/>
          <w:highlight w:val="yellow"/>
          <w:lang w:val="nl-BE"/>
        </w:rPr>
      </w:pPr>
    </w:p>
    <w:tbl>
      <w:tblPr>
        <w:tblW w:w="981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16"/>
        <w:gridCol w:w="1701"/>
        <w:gridCol w:w="1276"/>
        <w:gridCol w:w="1417"/>
      </w:tblGrid>
      <w:tr w:rsidR="000326DA" w:rsidRPr="0079336E" w14:paraId="7CC62765" w14:textId="77777777" w:rsidTr="000326DA">
        <w:trPr>
          <w:trHeight w:val="260"/>
        </w:trPr>
        <w:tc>
          <w:tcPr>
            <w:tcW w:w="5416" w:type="dxa"/>
          </w:tcPr>
          <w:p w14:paraId="748DB023" w14:textId="77777777" w:rsidR="000326DA" w:rsidRPr="00E4105B" w:rsidRDefault="000326DA" w:rsidP="000326DA">
            <w:pPr>
              <w:jc w:val="center"/>
              <w:rPr>
                <w:rFonts w:cs="Arial"/>
                <w:sz w:val="20"/>
                <w:szCs w:val="20"/>
                <w:lang w:val="nl-BE"/>
              </w:rPr>
            </w:pPr>
          </w:p>
          <w:p w14:paraId="7AAB1CA2" w14:textId="77777777" w:rsidR="000326DA" w:rsidRPr="00E4105B" w:rsidRDefault="000326DA" w:rsidP="000326DA">
            <w:pPr>
              <w:jc w:val="center"/>
              <w:rPr>
                <w:rFonts w:cs="Arial"/>
                <w:sz w:val="20"/>
                <w:szCs w:val="20"/>
              </w:rPr>
            </w:pPr>
            <w:r w:rsidRPr="00E4105B">
              <w:rPr>
                <w:rFonts w:cs="Arial"/>
                <w:sz w:val="20"/>
                <w:szCs w:val="20"/>
              </w:rPr>
              <w:t>Bisalu</w:t>
            </w:r>
          </w:p>
        </w:tc>
        <w:tc>
          <w:tcPr>
            <w:tcW w:w="1701" w:type="dxa"/>
          </w:tcPr>
          <w:p w14:paraId="11765EAD" w14:textId="77777777" w:rsidR="000326DA" w:rsidRPr="00E4105B" w:rsidRDefault="000326DA" w:rsidP="000326DA">
            <w:pPr>
              <w:jc w:val="center"/>
              <w:rPr>
                <w:rFonts w:cs="Arial"/>
                <w:bCs/>
                <w:sz w:val="20"/>
                <w:szCs w:val="20"/>
              </w:rPr>
            </w:pPr>
          </w:p>
          <w:p w14:paraId="051AD503" w14:textId="77777777" w:rsidR="000326DA" w:rsidRPr="00E4105B" w:rsidRDefault="000326DA" w:rsidP="000326DA">
            <w:pPr>
              <w:jc w:val="center"/>
              <w:rPr>
                <w:rFonts w:cs="Arial"/>
                <w:sz w:val="20"/>
                <w:szCs w:val="20"/>
              </w:rPr>
            </w:pPr>
            <w:r w:rsidRPr="00E4105B">
              <w:rPr>
                <w:rFonts w:cs="Arial"/>
                <w:bCs/>
                <w:sz w:val="20"/>
                <w:szCs w:val="20"/>
              </w:rPr>
              <w:t>Mutangu</w:t>
            </w:r>
          </w:p>
        </w:tc>
        <w:tc>
          <w:tcPr>
            <w:tcW w:w="1276" w:type="dxa"/>
          </w:tcPr>
          <w:p w14:paraId="716A9679" w14:textId="77777777" w:rsidR="000326DA" w:rsidRPr="00E4105B" w:rsidRDefault="000326DA" w:rsidP="000326DA">
            <w:pPr>
              <w:jc w:val="center"/>
              <w:rPr>
                <w:rFonts w:cs="Arial"/>
                <w:bCs/>
                <w:sz w:val="20"/>
                <w:szCs w:val="20"/>
              </w:rPr>
            </w:pPr>
            <w:r w:rsidRPr="00E4105B">
              <w:rPr>
                <w:rFonts w:cs="Arial"/>
                <w:bCs/>
                <w:sz w:val="20"/>
                <w:szCs w:val="20"/>
              </w:rPr>
              <w:t>Ntalu ya kimosi</w:t>
            </w:r>
          </w:p>
          <w:p w14:paraId="211B9D9D" w14:textId="77777777" w:rsidR="000326DA" w:rsidRPr="00E4105B" w:rsidRDefault="000326DA" w:rsidP="000326DA">
            <w:pPr>
              <w:jc w:val="center"/>
              <w:rPr>
                <w:rFonts w:cs="Arial"/>
                <w:sz w:val="20"/>
                <w:szCs w:val="20"/>
              </w:rPr>
            </w:pPr>
            <w:r w:rsidRPr="00E4105B">
              <w:rPr>
                <w:rFonts w:cs="Arial"/>
                <w:sz w:val="20"/>
                <w:szCs w:val="20"/>
              </w:rPr>
              <w:t>(USD)</w:t>
            </w:r>
          </w:p>
        </w:tc>
        <w:tc>
          <w:tcPr>
            <w:tcW w:w="1417" w:type="dxa"/>
          </w:tcPr>
          <w:p w14:paraId="3B7A5B0A" w14:textId="77777777" w:rsidR="000326DA" w:rsidRPr="00E4105B" w:rsidRDefault="000326DA" w:rsidP="000326DA">
            <w:pPr>
              <w:jc w:val="center"/>
              <w:rPr>
                <w:rFonts w:cs="Arial"/>
                <w:bCs/>
                <w:sz w:val="20"/>
                <w:szCs w:val="20"/>
                <w:lang w:val="fr-CA"/>
              </w:rPr>
            </w:pPr>
            <w:r w:rsidRPr="00E4105B">
              <w:rPr>
                <w:rFonts w:cs="Arial"/>
                <w:bCs/>
                <w:sz w:val="20"/>
                <w:szCs w:val="20"/>
                <w:lang w:val="fr-CA"/>
              </w:rPr>
              <w:t>Ntalu ya mvimba</w:t>
            </w:r>
          </w:p>
          <w:p w14:paraId="600361A7" w14:textId="77777777" w:rsidR="000326DA" w:rsidRPr="00E4105B" w:rsidRDefault="000326DA" w:rsidP="000326DA">
            <w:pPr>
              <w:jc w:val="center"/>
              <w:rPr>
                <w:rFonts w:cs="Arial"/>
                <w:sz w:val="20"/>
                <w:szCs w:val="20"/>
              </w:rPr>
            </w:pPr>
            <w:r w:rsidRPr="00E4105B">
              <w:rPr>
                <w:rFonts w:cs="Arial"/>
                <w:bCs/>
                <w:sz w:val="20"/>
                <w:szCs w:val="20"/>
                <w:lang w:val="fr-CA"/>
              </w:rPr>
              <w:t>(USD)</w:t>
            </w:r>
          </w:p>
        </w:tc>
      </w:tr>
      <w:tr w:rsidR="000326DA" w:rsidRPr="0079336E" w14:paraId="4A259E27" w14:textId="77777777" w:rsidTr="000326DA">
        <w:trPr>
          <w:trHeight w:val="276"/>
        </w:trPr>
        <w:tc>
          <w:tcPr>
            <w:tcW w:w="5416" w:type="dxa"/>
          </w:tcPr>
          <w:p w14:paraId="58E244D4" w14:textId="77777777" w:rsidR="000326DA" w:rsidRPr="00E4105B" w:rsidRDefault="000326DA" w:rsidP="000326DA">
            <w:pPr>
              <w:rPr>
                <w:rFonts w:cs="Arial"/>
                <w:bCs/>
                <w:sz w:val="20"/>
                <w:szCs w:val="20"/>
              </w:rPr>
            </w:pPr>
            <w:r w:rsidRPr="00E4105B">
              <w:rPr>
                <w:rFonts w:cs="Arial"/>
                <w:bCs/>
                <w:sz w:val="20"/>
                <w:szCs w:val="20"/>
              </w:rPr>
              <w:t xml:space="preserve">Kusadisa na mpi kusadila ba malongi ya EIES/PGES   </w:t>
            </w:r>
          </w:p>
        </w:tc>
        <w:tc>
          <w:tcPr>
            <w:tcW w:w="1701" w:type="dxa"/>
          </w:tcPr>
          <w:p w14:paraId="7B774BA9" w14:textId="77777777" w:rsidR="000326DA" w:rsidRPr="00E4105B" w:rsidRDefault="000326DA" w:rsidP="000326DA">
            <w:pPr>
              <w:ind w:left="-57"/>
              <w:jc w:val="center"/>
              <w:rPr>
                <w:rFonts w:cs="Arial"/>
                <w:sz w:val="20"/>
                <w:szCs w:val="20"/>
              </w:rPr>
            </w:pPr>
            <w:r w:rsidRPr="00E4105B">
              <w:rPr>
                <w:rFonts w:cs="Arial"/>
                <w:sz w:val="20"/>
                <w:szCs w:val="20"/>
              </w:rPr>
              <w:t>30</w:t>
            </w:r>
          </w:p>
        </w:tc>
        <w:tc>
          <w:tcPr>
            <w:tcW w:w="1276" w:type="dxa"/>
          </w:tcPr>
          <w:p w14:paraId="2A9E79A6" w14:textId="77777777" w:rsidR="000326DA" w:rsidRPr="00E4105B" w:rsidRDefault="000326DA" w:rsidP="000326DA">
            <w:pPr>
              <w:jc w:val="right"/>
              <w:rPr>
                <w:rFonts w:cs="Arial"/>
                <w:sz w:val="20"/>
                <w:szCs w:val="20"/>
              </w:rPr>
            </w:pPr>
            <w:r w:rsidRPr="00E4105B">
              <w:rPr>
                <w:rFonts w:cs="Arial"/>
                <w:sz w:val="20"/>
                <w:szCs w:val="20"/>
              </w:rPr>
              <w:t>50 000</w:t>
            </w:r>
          </w:p>
        </w:tc>
        <w:tc>
          <w:tcPr>
            <w:tcW w:w="1417" w:type="dxa"/>
          </w:tcPr>
          <w:p w14:paraId="1CAD9479" w14:textId="77777777" w:rsidR="000326DA" w:rsidRPr="00E4105B" w:rsidRDefault="000326DA" w:rsidP="000326DA">
            <w:pPr>
              <w:jc w:val="right"/>
              <w:rPr>
                <w:rFonts w:cs="Arial"/>
                <w:sz w:val="20"/>
                <w:szCs w:val="20"/>
              </w:rPr>
            </w:pPr>
            <w:r w:rsidRPr="00E4105B">
              <w:rPr>
                <w:rFonts w:cs="Arial"/>
                <w:sz w:val="20"/>
                <w:szCs w:val="20"/>
              </w:rPr>
              <w:t>1 500 000</w:t>
            </w:r>
          </w:p>
        </w:tc>
      </w:tr>
      <w:tr w:rsidR="000326DA" w:rsidRPr="0079336E" w14:paraId="6874FBDF" w14:textId="77777777" w:rsidTr="000326DA">
        <w:trPr>
          <w:trHeight w:val="276"/>
        </w:trPr>
        <w:tc>
          <w:tcPr>
            <w:tcW w:w="5416" w:type="dxa"/>
          </w:tcPr>
          <w:p w14:paraId="203120DA" w14:textId="77777777" w:rsidR="000326DA" w:rsidRPr="00E4105B" w:rsidRDefault="000326DA" w:rsidP="000326DA">
            <w:pPr>
              <w:rPr>
                <w:rFonts w:cs="Arial"/>
                <w:bCs/>
                <w:sz w:val="20"/>
                <w:szCs w:val="20"/>
              </w:rPr>
            </w:pPr>
            <w:r w:rsidRPr="00E4105B">
              <w:rPr>
                <w:rFonts w:cs="Arial"/>
                <w:bCs/>
                <w:sz w:val="20"/>
                <w:szCs w:val="20"/>
              </w:rPr>
              <w:t>Kusadisa mpila ya kukatula batu na bima na bawu sisika ya bisalu (PAR)</w:t>
            </w:r>
          </w:p>
        </w:tc>
        <w:tc>
          <w:tcPr>
            <w:tcW w:w="1701" w:type="dxa"/>
          </w:tcPr>
          <w:p w14:paraId="17C60724" w14:textId="77777777" w:rsidR="000326DA" w:rsidRPr="00E4105B" w:rsidRDefault="000326DA" w:rsidP="000326DA">
            <w:pPr>
              <w:ind w:left="-57"/>
              <w:jc w:val="center"/>
              <w:rPr>
                <w:rFonts w:cs="Arial"/>
                <w:sz w:val="20"/>
                <w:szCs w:val="20"/>
              </w:rPr>
            </w:pPr>
            <w:r w:rsidRPr="00E4105B">
              <w:rPr>
                <w:rFonts w:cs="Arial"/>
                <w:sz w:val="20"/>
                <w:szCs w:val="20"/>
              </w:rPr>
              <w:t>30</w:t>
            </w:r>
          </w:p>
        </w:tc>
        <w:tc>
          <w:tcPr>
            <w:tcW w:w="1276" w:type="dxa"/>
          </w:tcPr>
          <w:p w14:paraId="230CAF8B" w14:textId="77777777" w:rsidR="000326DA" w:rsidRPr="00E4105B" w:rsidRDefault="000326DA" w:rsidP="000326DA">
            <w:pPr>
              <w:jc w:val="right"/>
              <w:rPr>
                <w:rFonts w:cs="Arial"/>
                <w:sz w:val="20"/>
                <w:szCs w:val="20"/>
              </w:rPr>
            </w:pPr>
            <w:r w:rsidRPr="00E4105B">
              <w:rPr>
                <w:rFonts w:cs="Arial"/>
                <w:sz w:val="20"/>
                <w:szCs w:val="20"/>
              </w:rPr>
              <w:t>60 000</w:t>
            </w:r>
          </w:p>
        </w:tc>
        <w:tc>
          <w:tcPr>
            <w:tcW w:w="1417" w:type="dxa"/>
          </w:tcPr>
          <w:p w14:paraId="38B73B91" w14:textId="77777777" w:rsidR="000326DA" w:rsidRPr="00E4105B" w:rsidRDefault="000326DA" w:rsidP="000326DA">
            <w:pPr>
              <w:jc w:val="right"/>
              <w:rPr>
                <w:rFonts w:cs="Arial"/>
                <w:sz w:val="20"/>
                <w:szCs w:val="20"/>
              </w:rPr>
            </w:pPr>
            <w:r w:rsidRPr="00E4105B">
              <w:rPr>
                <w:rFonts w:cs="Arial"/>
                <w:sz w:val="20"/>
                <w:szCs w:val="20"/>
              </w:rPr>
              <w:t>1 800 000</w:t>
            </w:r>
          </w:p>
        </w:tc>
      </w:tr>
      <w:tr w:rsidR="000326DA" w:rsidRPr="0079336E" w14:paraId="7D84F324" w14:textId="77777777" w:rsidTr="000326DA">
        <w:trPr>
          <w:trHeight w:val="276"/>
        </w:trPr>
        <w:tc>
          <w:tcPr>
            <w:tcW w:w="5416" w:type="dxa"/>
          </w:tcPr>
          <w:p w14:paraId="6AEF7DD0" w14:textId="77777777" w:rsidR="000326DA" w:rsidRPr="00E4105B" w:rsidRDefault="000326DA" w:rsidP="000326DA">
            <w:pPr>
              <w:rPr>
                <w:rFonts w:cs="Arial"/>
                <w:bCs/>
                <w:sz w:val="20"/>
                <w:szCs w:val="20"/>
              </w:rPr>
            </w:pPr>
            <w:r w:rsidRPr="00E4105B">
              <w:rPr>
                <w:rFonts w:cs="Arial"/>
                <w:bCs/>
                <w:sz w:val="20"/>
                <w:szCs w:val="20"/>
              </w:rPr>
              <w:t>Kusadila malongi yayi ya PAR</w:t>
            </w:r>
          </w:p>
        </w:tc>
        <w:tc>
          <w:tcPr>
            <w:tcW w:w="1701" w:type="dxa"/>
          </w:tcPr>
          <w:p w14:paraId="00BA92AC" w14:textId="77777777" w:rsidR="000326DA" w:rsidRPr="00E4105B" w:rsidRDefault="000326DA" w:rsidP="000326DA">
            <w:pPr>
              <w:ind w:left="-57"/>
              <w:jc w:val="center"/>
              <w:rPr>
                <w:rFonts w:cs="Arial"/>
                <w:sz w:val="20"/>
                <w:szCs w:val="20"/>
              </w:rPr>
            </w:pPr>
            <w:r w:rsidRPr="00E4105B">
              <w:rPr>
                <w:rFonts w:cs="Arial"/>
                <w:sz w:val="20"/>
                <w:szCs w:val="20"/>
              </w:rPr>
              <w:t>30</w:t>
            </w:r>
          </w:p>
        </w:tc>
        <w:tc>
          <w:tcPr>
            <w:tcW w:w="1276" w:type="dxa"/>
          </w:tcPr>
          <w:p w14:paraId="10997893" w14:textId="77777777" w:rsidR="000326DA" w:rsidRPr="00E4105B" w:rsidRDefault="000326DA" w:rsidP="000326DA">
            <w:pPr>
              <w:jc w:val="right"/>
              <w:rPr>
                <w:rFonts w:cs="Arial"/>
                <w:sz w:val="20"/>
                <w:szCs w:val="20"/>
              </w:rPr>
            </w:pPr>
            <w:r w:rsidRPr="00E4105B">
              <w:rPr>
                <w:rFonts w:cs="Arial"/>
                <w:sz w:val="20"/>
                <w:szCs w:val="20"/>
              </w:rPr>
              <w:t>40 000</w:t>
            </w:r>
          </w:p>
        </w:tc>
        <w:tc>
          <w:tcPr>
            <w:tcW w:w="1417" w:type="dxa"/>
          </w:tcPr>
          <w:p w14:paraId="6AB359B2" w14:textId="77777777" w:rsidR="000326DA" w:rsidRPr="00E4105B" w:rsidRDefault="000326DA" w:rsidP="000326DA">
            <w:pPr>
              <w:jc w:val="center"/>
              <w:rPr>
                <w:rFonts w:cs="Arial"/>
                <w:sz w:val="20"/>
                <w:szCs w:val="20"/>
              </w:rPr>
            </w:pPr>
            <w:r w:rsidRPr="00E4105B">
              <w:rPr>
                <w:rFonts w:cs="Arial"/>
                <w:sz w:val="20"/>
                <w:szCs w:val="20"/>
              </w:rPr>
              <w:t xml:space="preserve">   1 200 000</w:t>
            </w:r>
          </w:p>
        </w:tc>
      </w:tr>
      <w:tr w:rsidR="000326DA" w:rsidRPr="0079336E" w14:paraId="40DA31FD" w14:textId="77777777" w:rsidTr="000326DA">
        <w:trPr>
          <w:trHeight w:val="276"/>
        </w:trPr>
        <w:tc>
          <w:tcPr>
            <w:tcW w:w="5416" w:type="dxa"/>
          </w:tcPr>
          <w:p w14:paraId="70709CC5" w14:textId="77777777" w:rsidR="000326DA" w:rsidRPr="00E4105B" w:rsidRDefault="000326DA" w:rsidP="000326DA">
            <w:pPr>
              <w:rPr>
                <w:rFonts w:cs="Arial"/>
                <w:bCs/>
                <w:sz w:val="20"/>
                <w:szCs w:val="20"/>
                <w:lang w:val="nb-NO"/>
              </w:rPr>
            </w:pPr>
            <w:r w:rsidRPr="00E4105B">
              <w:rPr>
                <w:rFonts w:cs="Arial"/>
                <w:bCs/>
                <w:sz w:val="20"/>
                <w:szCs w:val="20"/>
                <w:lang w:val="nb-NO"/>
              </w:rPr>
              <w:t>Kusadisa mpli ya kulandila bansadi (PGES)</w:t>
            </w:r>
          </w:p>
        </w:tc>
        <w:tc>
          <w:tcPr>
            <w:tcW w:w="1701" w:type="dxa"/>
          </w:tcPr>
          <w:p w14:paraId="2B3B129A" w14:textId="77777777" w:rsidR="000326DA" w:rsidRPr="00E4105B" w:rsidRDefault="000326DA" w:rsidP="000326DA">
            <w:pPr>
              <w:ind w:left="-57"/>
              <w:jc w:val="center"/>
              <w:rPr>
                <w:rFonts w:cs="Arial"/>
                <w:sz w:val="20"/>
                <w:szCs w:val="20"/>
              </w:rPr>
            </w:pPr>
            <w:r w:rsidRPr="00E4105B">
              <w:rPr>
                <w:rFonts w:cs="Arial"/>
                <w:sz w:val="20"/>
                <w:szCs w:val="20"/>
              </w:rPr>
              <w:t>1</w:t>
            </w:r>
          </w:p>
        </w:tc>
        <w:tc>
          <w:tcPr>
            <w:tcW w:w="1276" w:type="dxa"/>
          </w:tcPr>
          <w:p w14:paraId="14455A1E" w14:textId="77777777" w:rsidR="000326DA" w:rsidRPr="00E4105B" w:rsidRDefault="000326DA" w:rsidP="000326DA">
            <w:pPr>
              <w:jc w:val="right"/>
              <w:rPr>
                <w:rFonts w:cs="Arial"/>
                <w:sz w:val="20"/>
                <w:szCs w:val="20"/>
              </w:rPr>
            </w:pPr>
            <w:r w:rsidRPr="00E4105B">
              <w:rPr>
                <w:rFonts w:cs="Arial"/>
                <w:sz w:val="20"/>
                <w:szCs w:val="20"/>
              </w:rPr>
              <w:t>100 000</w:t>
            </w:r>
          </w:p>
        </w:tc>
        <w:tc>
          <w:tcPr>
            <w:tcW w:w="1417" w:type="dxa"/>
          </w:tcPr>
          <w:p w14:paraId="439EDEE8" w14:textId="77777777" w:rsidR="000326DA" w:rsidRPr="00E4105B" w:rsidRDefault="000326DA" w:rsidP="000326DA">
            <w:pPr>
              <w:jc w:val="center"/>
              <w:rPr>
                <w:rFonts w:cs="Arial"/>
                <w:sz w:val="20"/>
                <w:szCs w:val="20"/>
              </w:rPr>
            </w:pPr>
            <w:r w:rsidRPr="00E4105B">
              <w:rPr>
                <w:rFonts w:cs="Arial"/>
                <w:sz w:val="20"/>
                <w:szCs w:val="20"/>
              </w:rPr>
              <w:t xml:space="preserve">      100 000</w:t>
            </w:r>
          </w:p>
        </w:tc>
      </w:tr>
      <w:tr w:rsidR="000326DA" w:rsidRPr="0079336E" w14:paraId="6CDA8A58" w14:textId="77777777" w:rsidTr="000326DA">
        <w:trPr>
          <w:trHeight w:val="276"/>
        </w:trPr>
        <w:tc>
          <w:tcPr>
            <w:tcW w:w="5416" w:type="dxa"/>
          </w:tcPr>
          <w:p w14:paraId="0DBC8A3C" w14:textId="77777777" w:rsidR="000326DA" w:rsidRPr="00E4105B" w:rsidRDefault="000326DA" w:rsidP="000326DA">
            <w:pPr>
              <w:rPr>
                <w:rFonts w:cs="Arial"/>
                <w:bCs/>
                <w:sz w:val="20"/>
                <w:szCs w:val="20"/>
              </w:rPr>
            </w:pPr>
            <w:r w:rsidRPr="00E4105B">
              <w:rPr>
                <w:rFonts w:cs="Arial"/>
                <w:bCs/>
                <w:sz w:val="20"/>
                <w:szCs w:val="20"/>
              </w:rPr>
              <w:t>Kusadisa na mpi kusadila mambu ya PGB</w:t>
            </w:r>
          </w:p>
        </w:tc>
        <w:tc>
          <w:tcPr>
            <w:tcW w:w="1701" w:type="dxa"/>
          </w:tcPr>
          <w:p w14:paraId="150FD2AD" w14:textId="77777777" w:rsidR="000326DA" w:rsidRPr="00E4105B" w:rsidRDefault="000326DA" w:rsidP="000326DA">
            <w:pPr>
              <w:ind w:left="-57"/>
              <w:jc w:val="center"/>
              <w:rPr>
                <w:rFonts w:cs="Arial"/>
                <w:sz w:val="20"/>
                <w:szCs w:val="20"/>
              </w:rPr>
            </w:pPr>
            <w:r w:rsidRPr="00E4105B">
              <w:rPr>
                <w:rFonts w:cs="Arial"/>
                <w:sz w:val="20"/>
                <w:szCs w:val="20"/>
              </w:rPr>
              <w:t>1</w:t>
            </w:r>
          </w:p>
        </w:tc>
        <w:tc>
          <w:tcPr>
            <w:tcW w:w="1276" w:type="dxa"/>
          </w:tcPr>
          <w:p w14:paraId="1B11F724" w14:textId="77777777" w:rsidR="000326DA" w:rsidRPr="00E4105B" w:rsidRDefault="000326DA" w:rsidP="000326DA">
            <w:pPr>
              <w:jc w:val="right"/>
              <w:rPr>
                <w:rFonts w:cs="Arial"/>
                <w:sz w:val="20"/>
                <w:szCs w:val="20"/>
              </w:rPr>
            </w:pPr>
            <w:r w:rsidRPr="00E4105B">
              <w:rPr>
                <w:rFonts w:cs="Arial"/>
                <w:sz w:val="20"/>
                <w:szCs w:val="20"/>
              </w:rPr>
              <w:t>300 000</w:t>
            </w:r>
          </w:p>
        </w:tc>
        <w:tc>
          <w:tcPr>
            <w:tcW w:w="1417" w:type="dxa"/>
          </w:tcPr>
          <w:p w14:paraId="1B42CDB6" w14:textId="77777777" w:rsidR="000326DA" w:rsidRPr="00E4105B" w:rsidRDefault="000326DA" w:rsidP="000326DA">
            <w:pPr>
              <w:jc w:val="center"/>
              <w:rPr>
                <w:rFonts w:cs="Arial"/>
                <w:sz w:val="20"/>
                <w:szCs w:val="20"/>
              </w:rPr>
            </w:pPr>
            <w:r w:rsidRPr="00E4105B">
              <w:rPr>
                <w:rFonts w:cs="Arial"/>
                <w:sz w:val="20"/>
                <w:szCs w:val="20"/>
              </w:rPr>
              <w:t xml:space="preserve">      300 000</w:t>
            </w:r>
          </w:p>
        </w:tc>
      </w:tr>
      <w:tr w:rsidR="000326DA" w:rsidRPr="0079336E" w14:paraId="34FCD545" w14:textId="77777777" w:rsidTr="000326DA">
        <w:trPr>
          <w:trHeight w:val="276"/>
        </w:trPr>
        <w:tc>
          <w:tcPr>
            <w:tcW w:w="5416" w:type="dxa"/>
          </w:tcPr>
          <w:p w14:paraId="16FA39E6" w14:textId="77777777" w:rsidR="000326DA" w:rsidRPr="00E4105B" w:rsidRDefault="000326DA" w:rsidP="000326DA">
            <w:pPr>
              <w:rPr>
                <w:rFonts w:cs="Arial"/>
                <w:bCs/>
                <w:sz w:val="20"/>
                <w:szCs w:val="20"/>
              </w:rPr>
            </w:pPr>
            <w:r w:rsidRPr="00E4105B">
              <w:rPr>
                <w:rFonts w:cs="Arial"/>
                <w:bCs/>
                <w:sz w:val="20"/>
                <w:szCs w:val="20"/>
              </w:rPr>
              <w:t>Kusadila mambu ya PMPP na mpi ya VBG</w:t>
            </w:r>
          </w:p>
        </w:tc>
        <w:tc>
          <w:tcPr>
            <w:tcW w:w="1701" w:type="dxa"/>
          </w:tcPr>
          <w:p w14:paraId="188BDDA3" w14:textId="77777777" w:rsidR="000326DA" w:rsidRPr="00E4105B" w:rsidRDefault="000326DA" w:rsidP="000326DA">
            <w:pPr>
              <w:ind w:left="-57"/>
              <w:jc w:val="center"/>
              <w:rPr>
                <w:rFonts w:cs="Arial"/>
                <w:sz w:val="20"/>
                <w:szCs w:val="20"/>
              </w:rPr>
            </w:pPr>
          </w:p>
        </w:tc>
        <w:tc>
          <w:tcPr>
            <w:tcW w:w="1276" w:type="dxa"/>
          </w:tcPr>
          <w:p w14:paraId="48C268B7" w14:textId="77777777" w:rsidR="000326DA" w:rsidRPr="00E4105B" w:rsidRDefault="000326DA" w:rsidP="000326DA">
            <w:pPr>
              <w:jc w:val="right"/>
              <w:rPr>
                <w:rFonts w:cs="Arial"/>
                <w:sz w:val="20"/>
                <w:szCs w:val="20"/>
              </w:rPr>
            </w:pPr>
          </w:p>
        </w:tc>
        <w:tc>
          <w:tcPr>
            <w:tcW w:w="1417" w:type="dxa"/>
          </w:tcPr>
          <w:p w14:paraId="65381EA7" w14:textId="77777777" w:rsidR="000326DA" w:rsidRPr="00E4105B" w:rsidRDefault="000326DA" w:rsidP="000326DA">
            <w:pPr>
              <w:jc w:val="center"/>
              <w:rPr>
                <w:rFonts w:cs="Arial"/>
                <w:sz w:val="20"/>
                <w:szCs w:val="20"/>
              </w:rPr>
            </w:pPr>
          </w:p>
        </w:tc>
      </w:tr>
      <w:tr w:rsidR="000326DA" w:rsidRPr="0079336E" w14:paraId="3234AFED" w14:textId="77777777" w:rsidTr="000326DA">
        <w:trPr>
          <w:trHeight w:val="276"/>
        </w:trPr>
        <w:tc>
          <w:tcPr>
            <w:tcW w:w="5416" w:type="dxa"/>
          </w:tcPr>
          <w:p w14:paraId="628E816B" w14:textId="77777777" w:rsidR="000326DA" w:rsidRPr="00E4105B" w:rsidRDefault="000326DA" w:rsidP="000326DA">
            <w:pPr>
              <w:rPr>
                <w:rFonts w:cs="Arial"/>
                <w:bCs/>
                <w:sz w:val="20"/>
                <w:szCs w:val="20"/>
              </w:rPr>
            </w:pPr>
            <w:r w:rsidRPr="00E4105B">
              <w:rPr>
                <w:rFonts w:cs="Arial"/>
                <w:bCs/>
                <w:sz w:val="20"/>
                <w:szCs w:val="20"/>
              </w:rPr>
              <w:t>Kusadila MGP ya bisalu ya PNDA</w:t>
            </w:r>
          </w:p>
        </w:tc>
        <w:tc>
          <w:tcPr>
            <w:tcW w:w="1701" w:type="dxa"/>
          </w:tcPr>
          <w:p w14:paraId="1007DF68" w14:textId="77777777" w:rsidR="000326DA" w:rsidRPr="00E4105B" w:rsidRDefault="000326DA" w:rsidP="000326DA">
            <w:pPr>
              <w:ind w:left="-57"/>
              <w:jc w:val="center"/>
              <w:rPr>
                <w:rFonts w:cs="Arial"/>
                <w:sz w:val="20"/>
                <w:szCs w:val="20"/>
              </w:rPr>
            </w:pPr>
            <w:r w:rsidRPr="00E4105B">
              <w:rPr>
                <w:rFonts w:cs="Arial"/>
                <w:sz w:val="20"/>
                <w:szCs w:val="20"/>
              </w:rPr>
              <w:t>1</w:t>
            </w:r>
          </w:p>
        </w:tc>
        <w:tc>
          <w:tcPr>
            <w:tcW w:w="1276" w:type="dxa"/>
          </w:tcPr>
          <w:p w14:paraId="19126416" w14:textId="77777777" w:rsidR="000326DA" w:rsidRPr="00E4105B" w:rsidRDefault="000326DA" w:rsidP="000326DA">
            <w:pPr>
              <w:rPr>
                <w:rFonts w:cs="Arial"/>
                <w:sz w:val="20"/>
                <w:szCs w:val="20"/>
              </w:rPr>
            </w:pPr>
            <w:r w:rsidRPr="00E4105B">
              <w:rPr>
                <w:rFonts w:cs="Arial"/>
                <w:sz w:val="20"/>
                <w:szCs w:val="20"/>
              </w:rPr>
              <w:t>2 323 000</w:t>
            </w:r>
          </w:p>
        </w:tc>
        <w:tc>
          <w:tcPr>
            <w:tcW w:w="1417" w:type="dxa"/>
          </w:tcPr>
          <w:p w14:paraId="71966885" w14:textId="77777777" w:rsidR="000326DA" w:rsidRPr="00E4105B" w:rsidRDefault="000326DA" w:rsidP="000326DA">
            <w:pPr>
              <w:jc w:val="right"/>
              <w:rPr>
                <w:rFonts w:cs="Arial"/>
                <w:sz w:val="20"/>
                <w:szCs w:val="20"/>
              </w:rPr>
            </w:pPr>
            <w:r w:rsidRPr="00E4105B">
              <w:rPr>
                <w:rFonts w:cs="Arial"/>
                <w:sz w:val="20"/>
                <w:szCs w:val="20"/>
              </w:rPr>
              <w:t xml:space="preserve"> 2 323 000</w:t>
            </w:r>
          </w:p>
        </w:tc>
      </w:tr>
      <w:tr w:rsidR="000326DA" w:rsidRPr="0079336E" w14:paraId="051271BD" w14:textId="77777777" w:rsidTr="000326DA">
        <w:trPr>
          <w:trHeight w:val="260"/>
        </w:trPr>
        <w:tc>
          <w:tcPr>
            <w:tcW w:w="5416" w:type="dxa"/>
          </w:tcPr>
          <w:p w14:paraId="2A4DE972" w14:textId="77777777" w:rsidR="000326DA" w:rsidRPr="00E4105B" w:rsidRDefault="000326DA" w:rsidP="000326DA">
            <w:pPr>
              <w:rPr>
                <w:rFonts w:cs="Arial"/>
                <w:sz w:val="20"/>
                <w:szCs w:val="20"/>
              </w:rPr>
            </w:pPr>
            <w:r w:rsidRPr="00E4105B">
              <w:rPr>
                <w:rFonts w:cs="Arial"/>
                <w:bCs/>
                <w:sz w:val="20"/>
                <w:szCs w:val="20"/>
              </w:rPr>
              <w:t xml:space="preserve">Lusadisu sambu na kusukula bisika yayi ya kubakila ntoto sambu na mambu ya bisalu </w:t>
            </w:r>
          </w:p>
        </w:tc>
        <w:tc>
          <w:tcPr>
            <w:tcW w:w="1701" w:type="dxa"/>
          </w:tcPr>
          <w:p w14:paraId="0A0185CC" w14:textId="77777777" w:rsidR="000326DA" w:rsidRPr="00E4105B" w:rsidRDefault="000326DA" w:rsidP="000326DA">
            <w:pPr>
              <w:jc w:val="center"/>
              <w:rPr>
                <w:rFonts w:cs="Arial"/>
                <w:sz w:val="20"/>
                <w:szCs w:val="20"/>
              </w:rPr>
            </w:pPr>
            <w:r w:rsidRPr="00E4105B">
              <w:rPr>
                <w:rFonts w:cs="Arial"/>
                <w:sz w:val="20"/>
                <w:szCs w:val="20"/>
              </w:rPr>
              <w:t>5</w:t>
            </w:r>
          </w:p>
        </w:tc>
        <w:tc>
          <w:tcPr>
            <w:tcW w:w="1276" w:type="dxa"/>
          </w:tcPr>
          <w:p w14:paraId="77768C3E" w14:textId="77777777" w:rsidR="000326DA" w:rsidRPr="00E4105B" w:rsidRDefault="000326DA" w:rsidP="000326DA">
            <w:pPr>
              <w:jc w:val="right"/>
              <w:rPr>
                <w:rFonts w:cs="Arial"/>
                <w:sz w:val="20"/>
                <w:szCs w:val="20"/>
              </w:rPr>
            </w:pPr>
            <w:r w:rsidRPr="00E4105B">
              <w:rPr>
                <w:rFonts w:cs="Arial"/>
                <w:sz w:val="20"/>
                <w:szCs w:val="20"/>
              </w:rPr>
              <w:t>50 000</w:t>
            </w:r>
          </w:p>
        </w:tc>
        <w:tc>
          <w:tcPr>
            <w:tcW w:w="1417" w:type="dxa"/>
          </w:tcPr>
          <w:p w14:paraId="19EF1C03" w14:textId="77777777" w:rsidR="000326DA" w:rsidRPr="00E4105B" w:rsidRDefault="000326DA" w:rsidP="000326DA">
            <w:pPr>
              <w:jc w:val="right"/>
              <w:rPr>
                <w:rFonts w:cs="Arial"/>
                <w:sz w:val="20"/>
                <w:szCs w:val="20"/>
              </w:rPr>
            </w:pPr>
            <w:r w:rsidRPr="00E4105B">
              <w:rPr>
                <w:rFonts w:cs="Arial"/>
                <w:sz w:val="20"/>
                <w:szCs w:val="20"/>
              </w:rPr>
              <w:t>250 000 </w:t>
            </w:r>
          </w:p>
        </w:tc>
      </w:tr>
      <w:tr w:rsidR="000326DA" w:rsidRPr="0079336E" w14:paraId="19AF9A66" w14:textId="77777777" w:rsidTr="000326DA">
        <w:trPr>
          <w:trHeight w:val="260"/>
        </w:trPr>
        <w:tc>
          <w:tcPr>
            <w:tcW w:w="5416" w:type="dxa"/>
          </w:tcPr>
          <w:p w14:paraId="2FA2208D" w14:textId="77777777" w:rsidR="000326DA" w:rsidRPr="00E4105B" w:rsidRDefault="000326DA" w:rsidP="000326DA">
            <w:pPr>
              <w:rPr>
                <w:rFonts w:cs="Arial"/>
                <w:sz w:val="20"/>
                <w:szCs w:val="20"/>
              </w:rPr>
            </w:pPr>
            <w:r w:rsidRPr="00E4105B">
              <w:rPr>
                <w:rFonts w:cs="Arial"/>
                <w:sz w:val="20"/>
                <w:szCs w:val="20"/>
              </w:rPr>
              <w:t>Kupesa bima ya bilanga</w:t>
            </w:r>
          </w:p>
        </w:tc>
        <w:tc>
          <w:tcPr>
            <w:tcW w:w="1701" w:type="dxa"/>
          </w:tcPr>
          <w:p w14:paraId="79C7803C" w14:textId="77777777" w:rsidR="000326DA" w:rsidRPr="00E4105B" w:rsidRDefault="000326DA" w:rsidP="000326DA">
            <w:pPr>
              <w:jc w:val="center"/>
              <w:rPr>
                <w:rFonts w:cs="Arial"/>
                <w:sz w:val="20"/>
                <w:szCs w:val="20"/>
              </w:rPr>
            </w:pPr>
            <w:r w:rsidRPr="00E4105B">
              <w:rPr>
                <w:rFonts w:cs="Arial"/>
                <w:sz w:val="20"/>
                <w:szCs w:val="20"/>
              </w:rPr>
              <w:t>-</w:t>
            </w:r>
          </w:p>
        </w:tc>
        <w:tc>
          <w:tcPr>
            <w:tcW w:w="1276" w:type="dxa"/>
          </w:tcPr>
          <w:p w14:paraId="758F74C8" w14:textId="77777777" w:rsidR="000326DA" w:rsidRPr="00E4105B" w:rsidRDefault="000326DA" w:rsidP="000326DA">
            <w:pPr>
              <w:jc w:val="right"/>
              <w:rPr>
                <w:rFonts w:cs="Arial"/>
                <w:sz w:val="20"/>
                <w:szCs w:val="20"/>
              </w:rPr>
            </w:pPr>
            <w:r w:rsidRPr="00E4105B">
              <w:rPr>
                <w:rFonts w:cs="Arial"/>
                <w:sz w:val="20"/>
                <w:szCs w:val="20"/>
              </w:rPr>
              <w:t>PM</w:t>
            </w:r>
          </w:p>
        </w:tc>
        <w:tc>
          <w:tcPr>
            <w:tcW w:w="1417" w:type="dxa"/>
          </w:tcPr>
          <w:p w14:paraId="1B800795" w14:textId="77777777" w:rsidR="000326DA" w:rsidRPr="00E4105B" w:rsidRDefault="000326DA" w:rsidP="000326DA">
            <w:pPr>
              <w:jc w:val="right"/>
              <w:rPr>
                <w:rFonts w:cs="Arial"/>
                <w:sz w:val="20"/>
                <w:szCs w:val="20"/>
              </w:rPr>
            </w:pPr>
            <w:r w:rsidRPr="00E4105B">
              <w:rPr>
                <w:rFonts w:cs="Arial"/>
                <w:sz w:val="20"/>
                <w:szCs w:val="20"/>
              </w:rPr>
              <w:t xml:space="preserve">0 </w:t>
            </w:r>
          </w:p>
        </w:tc>
      </w:tr>
      <w:tr w:rsidR="000326DA" w:rsidRPr="0079336E" w14:paraId="002D7CFD" w14:textId="77777777" w:rsidTr="000326DA">
        <w:trPr>
          <w:trHeight w:val="260"/>
        </w:trPr>
        <w:tc>
          <w:tcPr>
            <w:tcW w:w="5416" w:type="dxa"/>
          </w:tcPr>
          <w:p w14:paraId="00C30889" w14:textId="77777777" w:rsidR="000326DA" w:rsidRPr="00E4105B" w:rsidRDefault="000326DA" w:rsidP="000326DA">
            <w:pPr>
              <w:rPr>
                <w:rFonts w:cs="Arial"/>
                <w:sz w:val="20"/>
                <w:szCs w:val="20"/>
              </w:rPr>
            </w:pPr>
            <w:r w:rsidRPr="00E4105B">
              <w:rPr>
                <w:rFonts w:cs="Arial"/>
                <w:sz w:val="20"/>
                <w:szCs w:val="20"/>
              </w:rPr>
              <w:t xml:space="preserve">Kupesa miluna </w:t>
            </w:r>
          </w:p>
        </w:tc>
        <w:tc>
          <w:tcPr>
            <w:tcW w:w="1701" w:type="dxa"/>
          </w:tcPr>
          <w:p w14:paraId="552B1C33" w14:textId="77777777" w:rsidR="000326DA" w:rsidRPr="00E4105B" w:rsidRDefault="000326DA" w:rsidP="000326DA">
            <w:pPr>
              <w:jc w:val="right"/>
              <w:rPr>
                <w:rFonts w:cs="Arial"/>
                <w:sz w:val="20"/>
                <w:szCs w:val="20"/>
              </w:rPr>
            </w:pPr>
          </w:p>
        </w:tc>
        <w:tc>
          <w:tcPr>
            <w:tcW w:w="1276" w:type="dxa"/>
          </w:tcPr>
          <w:p w14:paraId="71E5C5B7" w14:textId="77777777" w:rsidR="000326DA" w:rsidRPr="00E4105B" w:rsidRDefault="000326DA" w:rsidP="000326DA">
            <w:pPr>
              <w:jc w:val="right"/>
              <w:rPr>
                <w:rFonts w:cs="Arial"/>
                <w:sz w:val="20"/>
                <w:szCs w:val="20"/>
              </w:rPr>
            </w:pPr>
            <w:r w:rsidRPr="00E4105B">
              <w:rPr>
                <w:rFonts w:cs="Arial"/>
                <w:sz w:val="20"/>
                <w:szCs w:val="20"/>
              </w:rPr>
              <w:t>PM</w:t>
            </w:r>
          </w:p>
        </w:tc>
        <w:tc>
          <w:tcPr>
            <w:tcW w:w="1417" w:type="dxa"/>
          </w:tcPr>
          <w:p w14:paraId="16DEE615" w14:textId="77777777" w:rsidR="000326DA" w:rsidRPr="00E4105B" w:rsidRDefault="000326DA" w:rsidP="000326DA">
            <w:pPr>
              <w:jc w:val="right"/>
              <w:rPr>
                <w:rFonts w:cs="Arial"/>
                <w:sz w:val="20"/>
                <w:szCs w:val="20"/>
              </w:rPr>
            </w:pPr>
            <w:r w:rsidRPr="00E4105B">
              <w:rPr>
                <w:rFonts w:cs="Arial"/>
                <w:sz w:val="20"/>
                <w:szCs w:val="20"/>
              </w:rPr>
              <w:t>0</w:t>
            </w:r>
          </w:p>
        </w:tc>
      </w:tr>
      <w:tr w:rsidR="000326DA" w:rsidRPr="0079336E" w14:paraId="06306295" w14:textId="77777777" w:rsidTr="000326DA">
        <w:trPr>
          <w:trHeight w:val="260"/>
        </w:trPr>
        <w:tc>
          <w:tcPr>
            <w:tcW w:w="5416" w:type="dxa"/>
          </w:tcPr>
          <w:p w14:paraId="6C20A2B7" w14:textId="77777777" w:rsidR="000326DA" w:rsidRPr="00E4105B" w:rsidRDefault="000326DA" w:rsidP="000326DA">
            <w:pPr>
              <w:rPr>
                <w:rFonts w:cs="Arial"/>
                <w:sz w:val="20"/>
                <w:szCs w:val="20"/>
              </w:rPr>
            </w:pPr>
            <w:r w:rsidRPr="00E4105B">
              <w:rPr>
                <w:rFonts w:cs="Arial"/>
                <w:bCs/>
                <w:sz w:val="20"/>
                <w:szCs w:val="20"/>
              </w:rPr>
              <w:t>Kulongisa mambu y abima yayi kezingaka ntoto na mpi mpila batu kefandaka</w:t>
            </w:r>
          </w:p>
        </w:tc>
        <w:tc>
          <w:tcPr>
            <w:tcW w:w="1701" w:type="dxa"/>
          </w:tcPr>
          <w:p w14:paraId="3B0F3826" w14:textId="77777777" w:rsidR="000326DA" w:rsidRPr="00E4105B" w:rsidRDefault="000326DA" w:rsidP="000326DA">
            <w:pPr>
              <w:jc w:val="center"/>
              <w:rPr>
                <w:rFonts w:cs="Arial"/>
                <w:sz w:val="20"/>
                <w:szCs w:val="20"/>
              </w:rPr>
            </w:pPr>
            <w:r w:rsidRPr="00E4105B">
              <w:rPr>
                <w:rFonts w:cs="Arial"/>
                <w:sz w:val="20"/>
                <w:szCs w:val="20"/>
              </w:rPr>
              <w:t>2</w:t>
            </w:r>
          </w:p>
        </w:tc>
        <w:tc>
          <w:tcPr>
            <w:tcW w:w="1276" w:type="dxa"/>
          </w:tcPr>
          <w:p w14:paraId="51E9E0CC" w14:textId="77777777" w:rsidR="000326DA" w:rsidRPr="00E4105B" w:rsidRDefault="000326DA" w:rsidP="000326DA">
            <w:pPr>
              <w:jc w:val="right"/>
              <w:rPr>
                <w:rFonts w:cs="Arial"/>
                <w:sz w:val="20"/>
                <w:szCs w:val="20"/>
              </w:rPr>
            </w:pPr>
            <w:r w:rsidRPr="00E4105B">
              <w:rPr>
                <w:rFonts w:cs="Arial"/>
                <w:sz w:val="20"/>
                <w:szCs w:val="20"/>
              </w:rPr>
              <w:t>50 000</w:t>
            </w:r>
          </w:p>
        </w:tc>
        <w:tc>
          <w:tcPr>
            <w:tcW w:w="1417" w:type="dxa"/>
          </w:tcPr>
          <w:p w14:paraId="1461C788" w14:textId="77777777" w:rsidR="000326DA" w:rsidRPr="00E4105B" w:rsidRDefault="000326DA" w:rsidP="000326DA">
            <w:pPr>
              <w:jc w:val="right"/>
              <w:rPr>
                <w:rFonts w:cs="Arial"/>
                <w:sz w:val="20"/>
                <w:szCs w:val="20"/>
              </w:rPr>
            </w:pPr>
            <w:r w:rsidRPr="00E4105B">
              <w:rPr>
                <w:rFonts w:cs="Arial"/>
                <w:sz w:val="20"/>
                <w:szCs w:val="20"/>
              </w:rPr>
              <w:t>100 000</w:t>
            </w:r>
          </w:p>
        </w:tc>
      </w:tr>
      <w:tr w:rsidR="000326DA" w:rsidRPr="0079336E" w14:paraId="5A8C19DD" w14:textId="77777777" w:rsidTr="000326DA">
        <w:trPr>
          <w:trHeight w:val="260"/>
        </w:trPr>
        <w:tc>
          <w:tcPr>
            <w:tcW w:w="5416" w:type="dxa"/>
          </w:tcPr>
          <w:p w14:paraId="0942AE1F" w14:textId="77777777" w:rsidR="000326DA" w:rsidRPr="00E4105B" w:rsidRDefault="000326DA" w:rsidP="000326DA">
            <w:pPr>
              <w:rPr>
                <w:rFonts w:cs="Arial"/>
                <w:sz w:val="20"/>
                <w:szCs w:val="20"/>
              </w:rPr>
            </w:pPr>
            <w:r w:rsidRPr="00E4105B">
              <w:rPr>
                <w:rFonts w:cs="Arial"/>
                <w:bCs/>
                <w:sz w:val="20"/>
                <w:szCs w:val="20"/>
              </w:rPr>
              <w:t>Mpila ya kulandila mambu ya VBG na MGP ya mambu yayi ya VBG</w:t>
            </w:r>
          </w:p>
        </w:tc>
        <w:tc>
          <w:tcPr>
            <w:tcW w:w="1701" w:type="dxa"/>
          </w:tcPr>
          <w:p w14:paraId="5E1E9362" w14:textId="77777777" w:rsidR="000326DA" w:rsidRPr="00E4105B" w:rsidRDefault="000326DA" w:rsidP="000326DA">
            <w:pPr>
              <w:jc w:val="center"/>
              <w:rPr>
                <w:rFonts w:cs="Arial"/>
                <w:sz w:val="20"/>
                <w:szCs w:val="20"/>
              </w:rPr>
            </w:pPr>
            <w:r w:rsidRPr="00E4105B">
              <w:rPr>
                <w:rFonts w:cs="Arial"/>
                <w:sz w:val="20"/>
                <w:szCs w:val="20"/>
              </w:rPr>
              <w:t>-</w:t>
            </w:r>
          </w:p>
        </w:tc>
        <w:tc>
          <w:tcPr>
            <w:tcW w:w="1276" w:type="dxa"/>
          </w:tcPr>
          <w:p w14:paraId="5608F250" w14:textId="77777777" w:rsidR="000326DA" w:rsidRPr="00E4105B" w:rsidRDefault="000326DA" w:rsidP="000326DA">
            <w:pPr>
              <w:jc w:val="right"/>
              <w:rPr>
                <w:rFonts w:cs="Arial"/>
                <w:sz w:val="20"/>
                <w:szCs w:val="20"/>
              </w:rPr>
            </w:pPr>
            <w:r w:rsidRPr="00E4105B">
              <w:rPr>
                <w:rFonts w:cs="Arial"/>
                <w:sz w:val="20"/>
                <w:szCs w:val="20"/>
              </w:rPr>
              <w:t>-</w:t>
            </w:r>
          </w:p>
        </w:tc>
        <w:tc>
          <w:tcPr>
            <w:tcW w:w="1417" w:type="dxa"/>
          </w:tcPr>
          <w:p w14:paraId="3044CD7E" w14:textId="3C66C451" w:rsidR="000326DA" w:rsidRPr="00E4105B" w:rsidRDefault="00C728EE" w:rsidP="000326DA">
            <w:pPr>
              <w:jc w:val="right"/>
              <w:rPr>
                <w:rFonts w:cs="Arial"/>
                <w:sz w:val="20"/>
                <w:szCs w:val="20"/>
              </w:rPr>
            </w:pPr>
            <w:r w:rsidRPr="00E4105B">
              <w:rPr>
                <w:rFonts w:cs="Arial"/>
                <w:sz w:val="20"/>
                <w:szCs w:val="20"/>
              </w:rPr>
              <w:t>7 530 000</w:t>
            </w:r>
          </w:p>
        </w:tc>
      </w:tr>
      <w:tr w:rsidR="000326DA" w:rsidRPr="0079336E" w14:paraId="50E9889F" w14:textId="77777777" w:rsidTr="000326DA">
        <w:trPr>
          <w:trHeight w:val="260"/>
        </w:trPr>
        <w:tc>
          <w:tcPr>
            <w:tcW w:w="5416" w:type="dxa"/>
            <w:vMerge w:val="restart"/>
          </w:tcPr>
          <w:p w14:paraId="4BC90AE0" w14:textId="77777777" w:rsidR="000326DA" w:rsidRPr="00E4105B" w:rsidRDefault="000326DA" w:rsidP="000326DA">
            <w:pPr>
              <w:rPr>
                <w:rFonts w:cs="Arial"/>
                <w:bCs/>
                <w:sz w:val="20"/>
                <w:szCs w:val="20"/>
              </w:rPr>
            </w:pPr>
            <w:r w:rsidRPr="00E4105B">
              <w:rPr>
                <w:rFonts w:cs="Arial"/>
                <w:bCs/>
                <w:sz w:val="20"/>
                <w:szCs w:val="20"/>
              </w:rPr>
              <w:t>Kulandila ya katikati na mpi ya nsuka ya malongi ya CGES ya PNDA na mpi kutadila yo</w:t>
            </w:r>
          </w:p>
        </w:tc>
        <w:tc>
          <w:tcPr>
            <w:tcW w:w="1701" w:type="dxa"/>
          </w:tcPr>
          <w:p w14:paraId="7AB31A2C" w14:textId="77777777" w:rsidR="000326DA" w:rsidRPr="00E4105B" w:rsidRDefault="000326DA" w:rsidP="000326DA">
            <w:pPr>
              <w:jc w:val="center"/>
              <w:rPr>
                <w:rFonts w:cs="Arial"/>
                <w:sz w:val="20"/>
                <w:szCs w:val="20"/>
              </w:rPr>
            </w:pPr>
            <w:r w:rsidRPr="00E4105B">
              <w:rPr>
                <w:rFonts w:cs="Arial"/>
                <w:sz w:val="20"/>
                <w:szCs w:val="20"/>
              </w:rPr>
              <w:t>10</w:t>
            </w:r>
          </w:p>
        </w:tc>
        <w:tc>
          <w:tcPr>
            <w:tcW w:w="1276" w:type="dxa"/>
          </w:tcPr>
          <w:p w14:paraId="44001247" w14:textId="77777777" w:rsidR="000326DA" w:rsidRPr="00E4105B" w:rsidRDefault="000326DA" w:rsidP="000326DA">
            <w:pPr>
              <w:jc w:val="right"/>
              <w:rPr>
                <w:rFonts w:cs="Arial"/>
                <w:sz w:val="20"/>
                <w:szCs w:val="20"/>
              </w:rPr>
            </w:pPr>
            <w:r w:rsidRPr="00E4105B">
              <w:rPr>
                <w:rFonts w:cs="Arial"/>
                <w:sz w:val="20"/>
                <w:szCs w:val="20"/>
              </w:rPr>
              <w:t xml:space="preserve">30 000 </w:t>
            </w:r>
          </w:p>
        </w:tc>
        <w:tc>
          <w:tcPr>
            <w:tcW w:w="1417" w:type="dxa"/>
          </w:tcPr>
          <w:p w14:paraId="51CA1737" w14:textId="77777777" w:rsidR="000326DA" w:rsidRPr="00E4105B" w:rsidRDefault="000326DA" w:rsidP="000326DA">
            <w:pPr>
              <w:jc w:val="right"/>
              <w:rPr>
                <w:rFonts w:cs="Arial"/>
                <w:sz w:val="20"/>
                <w:szCs w:val="20"/>
              </w:rPr>
            </w:pPr>
            <w:r w:rsidRPr="00E4105B">
              <w:rPr>
                <w:rFonts w:cs="Arial"/>
                <w:sz w:val="20"/>
                <w:szCs w:val="20"/>
              </w:rPr>
              <w:t xml:space="preserve">300 000 </w:t>
            </w:r>
          </w:p>
        </w:tc>
      </w:tr>
      <w:tr w:rsidR="000326DA" w:rsidRPr="0079336E" w14:paraId="5EC78731" w14:textId="77777777" w:rsidTr="000326DA">
        <w:trPr>
          <w:trHeight w:val="260"/>
        </w:trPr>
        <w:tc>
          <w:tcPr>
            <w:tcW w:w="5416" w:type="dxa"/>
            <w:vMerge/>
          </w:tcPr>
          <w:p w14:paraId="2A2B2E54" w14:textId="77777777" w:rsidR="000326DA" w:rsidRPr="00E4105B" w:rsidRDefault="000326DA" w:rsidP="000326DA">
            <w:pPr>
              <w:rPr>
                <w:rFonts w:cs="Arial"/>
                <w:bCs/>
                <w:sz w:val="20"/>
                <w:szCs w:val="20"/>
              </w:rPr>
            </w:pPr>
          </w:p>
        </w:tc>
        <w:tc>
          <w:tcPr>
            <w:tcW w:w="1701" w:type="dxa"/>
          </w:tcPr>
          <w:p w14:paraId="559D1BF0" w14:textId="77777777" w:rsidR="000326DA" w:rsidRPr="00E4105B" w:rsidRDefault="000326DA" w:rsidP="000326DA">
            <w:pPr>
              <w:jc w:val="center"/>
              <w:rPr>
                <w:rFonts w:cs="Arial"/>
                <w:sz w:val="20"/>
                <w:szCs w:val="20"/>
              </w:rPr>
            </w:pPr>
            <w:r w:rsidRPr="00E4105B">
              <w:rPr>
                <w:rFonts w:cs="Arial"/>
                <w:sz w:val="20"/>
                <w:szCs w:val="20"/>
              </w:rPr>
              <w:t>10</w:t>
            </w:r>
          </w:p>
        </w:tc>
        <w:tc>
          <w:tcPr>
            <w:tcW w:w="1276" w:type="dxa"/>
          </w:tcPr>
          <w:p w14:paraId="0745B4B6" w14:textId="77777777" w:rsidR="000326DA" w:rsidRPr="00E4105B" w:rsidRDefault="000326DA" w:rsidP="000326DA">
            <w:pPr>
              <w:jc w:val="right"/>
              <w:rPr>
                <w:rFonts w:cs="Arial"/>
                <w:sz w:val="20"/>
                <w:szCs w:val="20"/>
              </w:rPr>
            </w:pPr>
            <w:r w:rsidRPr="00E4105B">
              <w:rPr>
                <w:rFonts w:cs="Arial"/>
                <w:sz w:val="20"/>
                <w:szCs w:val="20"/>
              </w:rPr>
              <w:t>30 000</w:t>
            </w:r>
          </w:p>
        </w:tc>
        <w:tc>
          <w:tcPr>
            <w:tcW w:w="1417" w:type="dxa"/>
          </w:tcPr>
          <w:p w14:paraId="18325A86" w14:textId="77777777" w:rsidR="000326DA" w:rsidRPr="00E4105B" w:rsidRDefault="000326DA" w:rsidP="000326DA">
            <w:pPr>
              <w:jc w:val="right"/>
              <w:rPr>
                <w:rFonts w:cs="Arial"/>
                <w:sz w:val="20"/>
                <w:szCs w:val="20"/>
              </w:rPr>
            </w:pPr>
            <w:r w:rsidRPr="00E4105B">
              <w:rPr>
                <w:rFonts w:cs="Arial"/>
                <w:sz w:val="20"/>
                <w:szCs w:val="20"/>
              </w:rPr>
              <w:t>300 000</w:t>
            </w:r>
          </w:p>
        </w:tc>
      </w:tr>
      <w:tr w:rsidR="000326DA" w:rsidRPr="0079336E" w14:paraId="545861A9" w14:textId="77777777" w:rsidTr="000326DA">
        <w:trPr>
          <w:trHeight w:val="260"/>
        </w:trPr>
        <w:tc>
          <w:tcPr>
            <w:tcW w:w="8393" w:type="dxa"/>
            <w:gridSpan w:val="3"/>
          </w:tcPr>
          <w:p w14:paraId="279A4BB4" w14:textId="77777777" w:rsidR="000326DA" w:rsidRPr="00E4105B" w:rsidRDefault="000326DA" w:rsidP="000326DA">
            <w:pPr>
              <w:rPr>
                <w:rFonts w:cs="Arial"/>
                <w:sz w:val="20"/>
                <w:szCs w:val="20"/>
              </w:rPr>
            </w:pPr>
            <w:r w:rsidRPr="00E4105B">
              <w:rPr>
                <w:rFonts w:cs="Arial"/>
                <w:bCs/>
                <w:sz w:val="20"/>
                <w:szCs w:val="20"/>
              </w:rPr>
              <w:t>MUTANGU</w:t>
            </w:r>
          </w:p>
        </w:tc>
        <w:tc>
          <w:tcPr>
            <w:tcW w:w="1417" w:type="dxa"/>
          </w:tcPr>
          <w:p w14:paraId="6556F741" w14:textId="77777777" w:rsidR="000326DA" w:rsidRPr="00E4105B" w:rsidRDefault="000326DA" w:rsidP="000326DA">
            <w:pPr>
              <w:jc w:val="right"/>
              <w:rPr>
                <w:rFonts w:cs="Arial"/>
                <w:sz w:val="20"/>
                <w:szCs w:val="20"/>
              </w:rPr>
            </w:pPr>
            <w:r w:rsidRPr="00E4105B">
              <w:rPr>
                <w:rFonts w:cs="Arial"/>
                <w:sz w:val="20"/>
                <w:szCs w:val="20"/>
              </w:rPr>
              <w:t>14 446 300</w:t>
            </w:r>
          </w:p>
        </w:tc>
      </w:tr>
      <w:tr w:rsidR="000326DA" w:rsidRPr="0079336E" w14:paraId="379F6859" w14:textId="77777777" w:rsidTr="000326DA">
        <w:trPr>
          <w:trHeight w:val="260"/>
        </w:trPr>
        <w:tc>
          <w:tcPr>
            <w:tcW w:w="5416" w:type="dxa"/>
          </w:tcPr>
          <w:p w14:paraId="5DA7838F" w14:textId="77777777" w:rsidR="000326DA" w:rsidRPr="00E4105B" w:rsidRDefault="000326DA" w:rsidP="000326DA">
            <w:pPr>
              <w:rPr>
                <w:rFonts w:cs="Arial"/>
                <w:bCs/>
                <w:sz w:val="20"/>
                <w:szCs w:val="20"/>
                <w:lang w:val="pl-PL"/>
              </w:rPr>
            </w:pPr>
            <w:r w:rsidRPr="00E4105B">
              <w:rPr>
                <w:rFonts w:cs="Arial"/>
                <w:bCs/>
                <w:sz w:val="20"/>
                <w:szCs w:val="20"/>
                <w:lang w:val="pl-PL"/>
              </w:rPr>
              <w:t>Mambu ya mbalakaka na mpi ya nkaka (5%)</w:t>
            </w:r>
          </w:p>
        </w:tc>
        <w:tc>
          <w:tcPr>
            <w:tcW w:w="1701" w:type="dxa"/>
          </w:tcPr>
          <w:p w14:paraId="7E6EE5C1" w14:textId="77777777" w:rsidR="000326DA" w:rsidRPr="00E4105B" w:rsidRDefault="000326DA" w:rsidP="000326DA">
            <w:pPr>
              <w:jc w:val="center"/>
              <w:rPr>
                <w:rFonts w:cs="Arial"/>
                <w:sz w:val="20"/>
                <w:szCs w:val="20"/>
              </w:rPr>
            </w:pPr>
            <w:r w:rsidRPr="00E4105B">
              <w:rPr>
                <w:rFonts w:cs="Arial"/>
                <w:sz w:val="20"/>
                <w:szCs w:val="20"/>
              </w:rPr>
              <w:t>5%</w:t>
            </w:r>
          </w:p>
        </w:tc>
        <w:tc>
          <w:tcPr>
            <w:tcW w:w="1276" w:type="dxa"/>
          </w:tcPr>
          <w:p w14:paraId="7F711106" w14:textId="77777777" w:rsidR="000326DA" w:rsidRPr="00E4105B" w:rsidRDefault="000326DA" w:rsidP="000326DA">
            <w:pPr>
              <w:jc w:val="right"/>
              <w:rPr>
                <w:rFonts w:cs="Arial"/>
                <w:sz w:val="20"/>
                <w:szCs w:val="20"/>
              </w:rPr>
            </w:pPr>
          </w:p>
        </w:tc>
        <w:tc>
          <w:tcPr>
            <w:tcW w:w="1417" w:type="dxa"/>
          </w:tcPr>
          <w:p w14:paraId="2FA71362" w14:textId="77777777" w:rsidR="000326DA" w:rsidRPr="00E4105B" w:rsidRDefault="000326DA" w:rsidP="000326DA">
            <w:pPr>
              <w:jc w:val="center"/>
              <w:rPr>
                <w:rFonts w:cs="Arial"/>
                <w:sz w:val="20"/>
                <w:szCs w:val="20"/>
              </w:rPr>
            </w:pPr>
            <w:r w:rsidRPr="00E4105B">
              <w:rPr>
                <w:rFonts w:cs="Arial"/>
                <w:sz w:val="20"/>
                <w:szCs w:val="20"/>
              </w:rPr>
              <w:t xml:space="preserve">      722 315 </w:t>
            </w:r>
          </w:p>
        </w:tc>
      </w:tr>
      <w:tr w:rsidR="000326DA" w:rsidRPr="0079336E" w14:paraId="1113DFFD" w14:textId="77777777" w:rsidTr="000326DA">
        <w:trPr>
          <w:trHeight w:val="276"/>
        </w:trPr>
        <w:tc>
          <w:tcPr>
            <w:tcW w:w="8393" w:type="dxa"/>
            <w:gridSpan w:val="3"/>
            <w:shd w:val="clear" w:color="auto" w:fill="auto"/>
          </w:tcPr>
          <w:p w14:paraId="7972FEB0" w14:textId="77777777" w:rsidR="000326DA" w:rsidRPr="00E4105B" w:rsidRDefault="000326DA" w:rsidP="000326DA">
            <w:pPr>
              <w:jc w:val="center"/>
              <w:rPr>
                <w:rFonts w:cs="Arial"/>
                <w:sz w:val="20"/>
                <w:szCs w:val="20"/>
              </w:rPr>
            </w:pPr>
            <w:r w:rsidRPr="00E4105B">
              <w:rPr>
                <w:rFonts w:cs="Arial"/>
                <w:sz w:val="20"/>
                <w:szCs w:val="20"/>
              </w:rPr>
              <w:t>MUTANGU YA NENE</w:t>
            </w:r>
          </w:p>
        </w:tc>
        <w:tc>
          <w:tcPr>
            <w:tcW w:w="1417" w:type="dxa"/>
          </w:tcPr>
          <w:p w14:paraId="4BA19668" w14:textId="2D6F8CD1" w:rsidR="000326DA" w:rsidRPr="00E4105B" w:rsidRDefault="00C728EE" w:rsidP="000326DA">
            <w:pPr>
              <w:jc w:val="right"/>
              <w:rPr>
                <w:rFonts w:cs="Arial"/>
                <w:sz w:val="20"/>
                <w:szCs w:val="20"/>
              </w:rPr>
            </w:pPr>
            <w:r w:rsidRPr="00E4105B">
              <w:rPr>
                <w:rFonts w:cs="Arial"/>
                <w:sz w:val="20"/>
                <w:szCs w:val="20"/>
              </w:rPr>
              <w:t>18 675 330</w:t>
            </w:r>
            <w:r w:rsidR="000326DA" w:rsidRPr="00E4105B">
              <w:rPr>
                <w:rFonts w:cs="Arial"/>
                <w:sz w:val="20"/>
                <w:szCs w:val="20"/>
              </w:rPr>
              <w:t xml:space="preserve"> </w:t>
            </w:r>
          </w:p>
        </w:tc>
      </w:tr>
    </w:tbl>
    <w:p w14:paraId="428495F9" w14:textId="77777777" w:rsidR="000326DA" w:rsidRPr="005C51BA" w:rsidRDefault="000326DA" w:rsidP="000326DA">
      <w:pPr>
        <w:rPr>
          <w:rFonts w:cs="Arial"/>
          <w:sz w:val="10"/>
          <w:szCs w:val="10"/>
        </w:rPr>
      </w:pPr>
    </w:p>
    <w:p w14:paraId="737A399C" w14:textId="77777777" w:rsidR="000326DA" w:rsidRPr="00E4105B" w:rsidRDefault="000326DA" w:rsidP="000326DA">
      <w:pPr>
        <w:rPr>
          <w:rFonts w:cs="Arial"/>
          <w:szCs w:val="21"/>
        </w:rPr>
      </w:pPr>
    </w:p>
    <w:p w14:paraId="330112CE" w14:textId="77777777" w:rsidR="000326DA" w:rsidRPr="00E4105B" w:rsidRDefault="000326DA" w:rsidP="002378EA">
      <w:pPr>
        <w:numPr>
          <w:ilvl w:val="0"/>
          <w:numId w:val="159"/>
        </w:numPr>
        <w:spacing w:line="240" w:lineRule="auto"/>
        <w:rPr>
          <w:rFonts w:cs="Arial"/>
          <w:i/>
          <w:szCs w:val="21"/>
          <w:lang w:bidi="fr-FR"/>
        </w:rPr>
      </w:pPr>
      <w:r w:rsidRPr="00E4105B">
        <w:rPr>
          <w:rFonts w:cs="Arial"/>
          <w:i/>
          <w:szCs w:val="21"/>
          <w:lang w:bidi="fr-FR"/>
        </w:rPr>
        <w:t>Mpila ya kuzenga ba mambu</w:t>
      </w:r>
    </w:p>
    <w:p w14:paraId="4B3B2980" w14:textId="77777777" w:rsidR="000326DA" w:rsidRPr="00E4105B" w:rsidRDefault="000326DA" w:rsidP="000326DA">
      <w:pPr>
        <w:keepNext/>
        <w:keepLines/>
        <w:outlineLvl w:val="1"/>
        <w:rPr>
          <w:rFonts w:cs="Arial"/>
          <w:color w:val="000000"/>
          <w:szCs w:val="21"/>
          <w:u w:val="single"/>
        </w:rPr>
      </w:pPr>
    </w:p>
    <w:p w14:paraId="37B3E3F9" w14:textId="77777777" w:rsidR="000326DA" w:rsidRPr="00E4105B" w:rsidRDefault="000326DA" w:rsidP="000326DA">
      <w:pPr>
        <w:keepNext/>
        <w:keepLines/>
        <w:outlineLvl w:val="1"/>
        <w:rPr>
          <w:rFonts w:cs="Arial"/>
          <w:color w:val="000000"/>
          <w:szCs w:val="21"/>
        </w:rPr>
      </w:pPr>
      <w:bookmarkStart w:id="164" w:name="_Toc70326965"/>
      <w:bookmarkStart w:id="165" w:name="_Toc70330328"/>
      <w:bookmarkStart w:id="166" w:name="_Toc72336032"/>
      <w:bookmarkStart w:id="167" w:name="_Toc90393040"/>
      <w:bookmarkStart w:id="168" w:name="_Toc90471399"/>
      <w:r w:rsidRPr="00E4105B">
        <w:rPr>
          <w:rFonts w:cs="Arial"/>
          <w:color w:val="000000"/>
          <w:szCs w:val="21"/>
          <w:u w:val="single"/>
        </w:rPr>
        <w:t>Mpila moshi ya kuzenga na mpi kulandila ba mambu (UNCP) tasalama kulandana na mukanu ya NES 10 : (kukutanisa na mpi kupesa ba nsangu na batu yonso yayi bisalu tatadila). Mutindu yayi UNCP ya PNDA fete sadisa batu yonso mpila moshi na mpi batu kefandaka na mpasi kibeni. Na diaka, mutindi ya UNCP tasalama sambu na kutadila mambu ya ba VBG ke pesama na kati ya malongi yayi ya CGES. Mutindu yayi lomba na batu yonso kuzenga ba mambu na ki mvwama na mpi na luwakanu ya kimpangi</w:t>
      </w:r>
      <w:r w:rsidRPr="00E4105B">
        <w:rPr>
          <w:rFonts w:cs="Arial"/>
          <w:szCs w:val="21"/>
        </w:rPr>
        <w:t>.</w:t>
      </w:r>
      <w:bookmarkEnd w:id="164"/>
      <w:bookmarkEnd w:id="165"/>
      <w:bookmarkEnd w:id="166"/>
      <w:bookmarkEnd w:id="167"/>
      <w:bookmarkEnd w:id="168"/>
    </w:p>
    <w:p w14:paraId="0B3DA472" w14:textId="77777777" w:rsidR="000326DA" w:rsidRPr="00E4105B" w:rsidRDefault="000326DA" w:rsidP="000326DA">
      <w:pPr>
        <w:pStyle w:val="Titre2"/>
        <w:rPr>
          <w:rFonts w:cs="Arial"/>
          <w:bCs w:val="0"/>
          <w:szCs w:val="21"/>
        </w:rPr>
      </w:pPr>
    </w:p>
    <w:p w14:paraId="56DA6CD9" w14:textId="77777777" w:rsidR="000326DA" w:rsidRPr="00E4105B" w:rsidRDefault="000326DA" w:rsidP="000326DA">
      <w:pPr>
        <w:rPr>
          <w:rFonts w:cs="Arial"/>
          <w:szCs w:val="21"/>
        </w:rPr>
      </w:pPr>
      <w:r w:rsidRPr="00E4105B">
        <w:rPr>
          <w:rFonts w:cs="Arial"/>
          <w:szCs w:val="21"/>
        </w:rPr>
        <w:t xml:space="preserve">Nzila tatu kele ya kulanda sambu na mutindu yayi ya kuzenga ba mambu. Yo kele : </w:t>
      </w:r>
      <w:r w:rsidRPr="00E4105B">
        <w:rPr>
          <w:rFonts w:cs="Arial"/>
          <w:i/>
          <w:szCs w:val="21"/>
        </w:rPr>
        <w:t>(i)</w:t>
      </w:r>
      <w:r w:rsidRPr="00E4105B">
        <w:rPr>
          <w:rFonts w:cs="Arial"/>
          <w:szCs w:val="21"/>
        </w:rPr>
        <w:t xml:space="preserve"> Na bwala/to na quartier ; </w:t>
      </w:r>
      <w:r w:rsidRPr="00E4105B">
        <w:rPr>
          <w:rFonts w:cs="Arial"/>
          <w:i/>
          <w:szCs w:val="21"/>
          <w:u w:val="single"/>
        </w:rPr>
        <w:t>(ii)</w:t>
      </w:r>
      <w:r w:rsidRPr="00E4105B">
        <w:rPr>
          <w:rFonts w:cs="Arial"/>
          <w:szCs w:val="21"/>
          <w:u w:val="single"/>
        </w:rPr>
        <w:t xml:space="preserve"> Na commune / to territoire : </w:t>
      </w:r>
      <w:r w:rsidRPr="00E4105B">
        <w:rPr>
          <w:rFonts w:cs="Arial"/>
          <w:i/>
          <w:szCs w:val="21"/>
          <w:u w:val="single"/>
        </w:rPr>
        <w:t>(iii)</w:t>
      </w:r>
      <w:r w:rsidRPr="00E4105B">
        <w:rPr>
          <w:rFonts w:cs="Arial"/>
          <w:szCs w:val="21"/>
          <w:u w:val="single"/>
        </w:rPr>
        <w:t xml:space="preserve"> na ngambu ya </w:t>
      </w:r>
      <w:r w:rsidRPr="00E4105B">
        <w:rPr>
          <w:rFonts w:cs="Arial"/>
          <w:szCs w:val="21"/>
        </w:rPr>
        <w:t>province.</w:t>
      </w:r>
    </w:p>
    <w:p w14:paraId="148EACF5" w14:textId="77777777" w:rsidR="000326DA" w:rsidRPr="00E4105B" w:rsidRDefault="000326DA" w:rsidP="000326DA">
      <w:pPr>
        <w:rPr>
          <w:rFonts w:cs="Arial"/>
          <w:szCs w:val="21"/>
        </w:rPr>
      </w:pPr>
    </w:p>
    <w:p w14:paraId="408DEA9A" w14:textId="77777777" w:rsidR="000326DA" w:rsidRPr="00E4105B" w:rsidRDefault="000326DA" w:rsidP="000326DA">
      <w:pPr>
        <w:spacing w:line="240" w:lineRule="auto"/>
        <w:rPr>
          <w:rFonts w:cs="Arial"/>
          <w:color w:val="000000"/>
          <w:szCs w:val="21"/>
        </w:rPr>
      </w:pPr>
      <w:r w:rsidRPr="00E4105B">
        <w:rPr>
          <w:rFonts w:cs="Arial"/>
          <w:color w:val="000000"/>
          <w:szCs w:val="21"/>
        </w:rPr>
        <w:t xml:space="preserve">Kukwenda na ba tribunaux, nde yo pekisama sambu na bisalu kulakana mbote, kansi yo kele nzila ya nsuka ya kulanda sambu na kuzenga ba mambu kana batu wakana ve na nzila ya kimpangi. </w:t>
      </w:r>
    </w:p>
    <w:p w14:paraId="1F6DE73F" w14:textId="77777777" w:rsidR="000326DA" w:rsidRPr="00E4105B" w:rsidRDefault="000326DA" w:rsidP="000326DA">
      <w:pPr>
        <w:spacing w:line="240" w:lineRule="auto"/>
        <w:rPr>
          <w:rFonts w:cs="Arial"/>
          <w:i/>
          <w:szCs w:val="21"/>
          <w:lang w:bidi="fr-FR"/>
        </w:rPr>
      </w:pPr>
    </w:p>
    <w:p w14:paraId="564D126F" w14:textId="77777777" w:rsidR="000326DA" w:rsidRPr="00E4105B" w:rsidRDefault="000326DA" w:rsidP="002378EA">
      <w:pPr>
        <w:numPr>
          <w:ilvl w:val="0"/>
          <w:numId w:val="159"/>
        </w:numPr>
        <w:spacing w:line="240" w:lineRule="auto"/>
        <w:rPr>
          <w:rFonts w:cs="Arial"/>
          <w:i/>
          <w:szCs w:val="21"/>
          <w:lang w:val="pl-PL" w:bidi="fr-FR"/>
        </w:rPr>
      </w:pPr>
      <w:r w:rsidRPr="00E4105B">
        <w:rPr>
          <w:rFonts w:cs="Arial"/>
          <w:i/>
          <w:szCs w:val="21"/>
          <w:lang w:val="pl-PL" w:bidi="fr-FR"/>
        </w:rPr>
        <w:t xml:space="preserve">Ba lukutakanu ya kutuba na batu  </w:t>
      </w:r>
    </w:p>
    <w:p w14:paraId="65C90F27" w14:textId="77777777" w:rsidR="000326DA" w:rsidRPr="00E4105B" w:rsidRDefault="000326DA" w:rsidP="000326DA">
      <w:pPr>
        <w:tabs>
          <w:tab w:val="left" w:pos="426"/>
        </w:tabs>
        <w:spacing w:line="240" w:lineRule="auto"/>
        <w:rPr>
          <w:rFonts w:cs="Arial"/>
          <w:szCs w:val="21"/>
          <w:highlight w:val="yellow"/>
          <w:lang w:val="pl-PL"/>
        </w:rPr>
      </w:pPr>
    </w:p>
    <w:p w14:paraId="6D573B68" w14:textId="7FA87846" w:rsidR="000326DA" w:rsidRPr="00E4105B" w:rsidRDefault="000326DA" w:rsidP="000326DA">
      <w:pPr>
        <w:rPr>
          <w:rFonts w:cs="Arial"/>
          <w:bCs/>
          <w:szCs w:val="21"/>
          <w:lang w:val="pl-PL"/>
        </w:rPr>
      </w:pPr>
      <w:r w:rsidRPr="00E4105B">
        <w:rPr>
          <w:rFonts w:cs="Arial"/>
          <w:bCs/>
          <w:szCs w:val="21"/>
          <w:lang w:val="pl-PL"/>
        </w:rPr>
        <w:t>Ba lukutakanu yayi salamaka kulandana na mibeku sambu na ntangu yayi ya maladi ya COVID-19 na Matadi (02 juin 2020), na Kananga (le 03 juin 2020), na Tshikapa (10 juin 2020), na Bandundu-ville (10 juin 2020) na mpi na Goma (17 juin 2020). Ba lukutakanu yayi sangisaka batu 96 na mpila ya batu 20 na lukutakanu  moshi moshi (Ba mfumu ya bwala, ya ba quartiers, ya ba nzo ya tekiniki, ba lukutakanu ya société civile, ba ntoma ya batu yayi kefandaka bisaka bisalu tasalama…) kulandana na mikuna yayi pesamaka na Mbulamatadi ya RDC na mpi bayi OMS na mpila ya kulandila mbote mambu ya maladi ya COVID-19 na nzila ya mukanda ya tekiniki ya kilumbu ya 20 mars 2020 ya Banque Mondiale</w:t>
      </w:r>
      <w:r w:rsidRPr="00E4105B">
        <w:rPr>
          <w:rStyle w:val="Appelnotedebasdep"/>
          <w:rFonts w:cs="Arial"/>
          <w:szCs w:val="21"/>
        </w:rPr>
        <w:footnoteReference w:id="11"/>
      </w:r>
      <w:r w:rsidR="00847DCC">
        <w:rPr>
          <w:rFonts w:cs="Arial"/>
          <w:szCs w:val="21"/>
          <w:lang w:val="pl-PL"/>
        </w:rPr>
        <w:t>.</w:t>
      </w:r>
    </w:p>
    <w:p w14:paraId="468F08BB" w14:textId="77777777" w:rsidR="000326DA" w:rsidRPr="00E4105B" w:rsidRDefault="000326DA" w:rsidP="000326DA">
      <w:pPr>
        <w:rPr>
          <w:rFonts w:cs="Arial"/>
          <w:bCs/>
          <w:szCs w:val="21"/>
          <w:lang w:val="pl-PL"/>
        </w:rPr>
      </w:pPr>
    </w:p>
    <w:p w14:paraId="784EC2D3" w14:textId="77777777" w:rsidR="000326DA" w:rsidRPr="00E4105B" w:rsidRDefault="000326DA" w:rsidP="000326DA">
      <w:pPr>
        <w:rPr>
          <w:rFonts w:cs="Arial"/>
          <w:bCs/>
          <w:szCs w:val="21"/>
          <w:lang w:val="pl-PL"/>
        </w:rPr>
      </w:pPr>
      <w:r w:rsidRPr="00E4105B">
        <w:rPr>
          <w:rFonts w:cs="Arial"/>
          <w:bCs/>
          <w:szCs w:val="21"/>
          <w:lang w:val="pl-PL"/>
        </w:rPr>
        <w:t xml:space="preserve">Ba lukutanu yayi monisaka mambu yayi batu kele kingila na bzila ya bisalu yayi tasalama, kubanga na bawu na mpi mayele na bawu sambu na kusadisa bisalu yayi na nzila ya mbote. Batu yonso kutamaka kele na kiese mingi sambu na bisalu yayi na mpi bwau kingila bisalu na kulomba nde bisalu yayi salama nswalu, na bakotisa bawu na kati ya bisalu tasalama. Manaka yayi ya bisalu ndimammka na batu yonso sambu yo tasadisa bawu kukodisa mpila na bawu ya kukata bilanga na mpi ya kusadila mamb u ya kubokola ban yama na mpi kuloba ba mbisi na masa na kati ya ba provinces yayi tanu (5). Kansi, batu ya nkaka tinaka nde bisalu tapesa bisalu na bilenge ya ba bwala na bawu ve, na mpi inki bawu tasala sambu na bima na bawu yayi kile na bisika bisalu tasalama : batu yayi kele na bima na bawu, kubaka ba nkentu na bisalu, kupesa bawu bima ya kusadila bilanga, ya kuloba ba mbisi na masa na mpi ya kukengidila ban yama, kukotisa bimvuka ya ba nkentu na kati ya bisalu yayi,, kukodisa mayele ya bansadi na mambu ya kukata bilanga na ba yayi salaka na Mbulamatadi na mpi ya bayi salaka bilanga na kati ya ba bwala, etc. </w:t>
      </w:r>
    </w:p>
    <w:p w14:paraId="524F2516" w14:textId="7D1B19C0" w:rsidR="000326DA" w:rsidRPr="00E4105B" w:rsidRDefault="000326DA">
      <w:pPr>
        <w:spacing w:after="160" w:line="259" w:lineRule="auto"/>
        <w:jc w:val="left"/>
        <w:rPr>
          <w:rFonts w:cs="Arial"/>
          <w:b/>
          <w:color w:val="222222"/>
          <w:szCs w:val="21"/>
          <w:lang w:val="pl-PL"/>
        </w:rPr>
      </w:pPr>
      <w:bookmarkStart w:id="169" w:name="_Toc45269672"/>
      <w:r w:rsidRPr="00E4105B">
        <w:rPr>
          <w:rFonts w:cs="Arial"/>
          <w:bCs/>
          <w:color w:val="222222"/>
          <w:szCs w:val="21"/>
          <w:lang w:val="pl-PL"/>
        </w:rPr>
        <w:br w:type="page"/>
      </w:r>
    </w:p>
    <w:p w14:paraId="414E9688" w14:textId="6F162691" w:rsidR="00294ADC" w:rsidRPr="00E4105B" w:rsidRDefault="00294ADC" w:rsidP="00294ADC">
      <w:pPr>
        <w:pStyle w:val="Titre1"/>
        <w:jc w:val="center"/>
        <w:rPr>
          <w:rFonts w:cs="Arial"/>
          <w:bCs w:val="0"/>
          <w:color w:val="222222"/>
          <w:szCs w:val="21"/>
          <w:lang w:val="pl-PL"/>
        </w:rPr>
      </w:pPr>
      <w:bookmarkStart w:id="170" w:name="_Toc90393041"/>
      <w:bookmarkStart w:id="171" w:name="_Toc90471400"/>
      <w:r w:rsidRPr="00E4105B">
        <w:rPr>
          <w:rFonts w:cs="Arial"/>
          <w:bCs w:val="0"/>
          <w:color w:val="222222"/>
          <w:szCs w:val="21"/>
          <w:lang w:val="pl-PL"/>
        </w:rPr>
        <w:t>RÉSUMÉ EXÉCUTIF EN SWAHILI / MUHTASARI KWA KISWAHILI</w:t>
      </w:r>
      <w:bookmarkEnd w:id="169"/>
      <w:bookmarkEnd w:id="170"/>
      <w:bookmarkEnd w:id="171"/>
    </w:p>
    <w:p w14:paraId="7EF1BB91" w14:textId="77777777" w:rsidR="000326DA" w:rsidRPr="00E4105B" w:rsidRDefault="000326DA" w:rsidP="000326DA">
      <w:pPr>
        <w:keepNext/>
        <w:autoSpaceDE w:val="0"/>
        <w:autoSpaceDN w:val="0"/>
        <w:adjustRightInd w:val="0"/>
        <w:ind w:left="390"/>
        <w:jc w:val="center"/>
        <w:outlineLvl w:val="0"/>
        <w:rPr>
          <w:rFonts w:cs="Arial"/>
          <w:b/>
          <w:bCs/>
          <w:szCs w:val="21"/>
          <w:lang w:val="pl-PL"/>
        </w:rPr>
      </w:pPr>
    </w:p>
    <w:p w14:paraId="1AB5938D" w14:textId="77777777" w:rsidR="000326DA" w:rsidRPr="00D61531" w:rsidRDefault="000326DA" w:rsidP="002378EA">
      <w:pPr>
        <w:numPr>
          <w:ilvl w:val="0"/>
          <w:numId w:val="154"/>
        </w:numPr>
        <w:rPr>
          <w:rFonts w:cs="Arial"/>
          <w:b/>
          <w:i/>
          <w:szCs w:val="21"/>
          <w:lang w:val="pl-PL"/>
        </w:rPr>
      </w:pPr>
      <w:r w:rsidRPr="00D61531">
        <w:rPr>
          <w:rFonts w:cs="Arial"/>
          <w:b/>
          <w:i/>
          <w:szCs w:val="21"/>
          <w:lang w:val="pl-PL"/>
        </w:rPr>
        <w:t>Maelezo mafupi ya mradi (lengo kwa ujumla, vipengele na shughuli kuu)</w:t>
      </w:r>
    </w:p>
    <w:p w14:paraId="42EA5506" w14:textId="77777777" w:rsidR="000326DA" w:rsidRPr="00E4105B" w:rsidRDefault="000326DA" w:rsidP="000326DA">
      <w:pPr>
        <w:rPr>
          <w:rFonts w:cs="Arial"/>
          <w:szCs w:val="21"/>
          <w:lang w:val="pl-PL"/>
        </w:rPr>
      </w:pPr>
    </w:p>
    <w:p w14:paraId="32CCA7FD" w14:textId="77777777" w:rsidR="000326DA" w:rsidRPr="00E4105B" w:rsidRDefault="000326DA" w:rsidP="000326DA">
      <w:pPr>
        <w:rPr>
          <w:rFonts w:cs="Arial"/>
          <w:szCs w:val="21"/>
          <w:lang w:val="pl-PL"/>
        </w:rPr>
      </w:pPr>
      <w:r w:rsidRPr="00E4105B">
        <w:rPr>
          <w:rFonts w:cs="Arial"/>
          <w:szCs w:val="21"/>
          <w:lang w:val="pl-PL"/>
        </w:rPr>
        <w:t>Serikali ya Jamhuri ya Kidemokrasia ya Kongo (DRC) imepokea msaada wa fedha kutoka Jumuiya ya Maendeleo ya Kimataifa (IDA) ya Kikundi cha Benki ya Dunia kuandaa Mpango wa Taifa wa Maendeleo ya Kilimo (PNDA), ambao unalenga, katika awamu yake ya kwanza, ili kuongeza tija ya kilimo na kuboresha upatikanaji wa soko kwa wakulima wadogo wadogo katika mikoa iliyochaguliwa.</w:t>
      </w:r>
    </w:p>
    <w:p w14:paraId="70556275" w14:textId="77777777" w:rsidR="000326DA" w:rsidRPr="00E4105B" w:rsidRDefault="000326DA" w:rsidP="000326DA">
      <w:pPr>
        <w:rPr>
          <w:rFonts w:cs="Arial"/>
          <w:szCs w:val="21"/>
          <w:lang w:val="pl-PL"/>
        </w:rPr>
      </w:pPr>
    </w:p>
    <w:p w14:paraId="16AF22A2" w14:textId="6E868514" w:rsidR="000326DA" w:rsidRPr="00E4105B" w:rsidRDefault="000326DA" w:rsidP="000326DA">
      <w:pPr>
        <w:rPr>
          <w:rFonts w:cs="Arial"/>
          <w:szCs w:val="21"/>
          <w:lang w:val="pl-PL"/>
        </w:rPr>
      </w:pPr>
      <w:r w:rsidRPr="00E4105B">
        <w:rPr>
          <w:rFonts w:cs="Arial"/>
          <w:szCs w:val="21"/>
          <w:lang w:val="pl-PL"/>
        </w:rPr>
        <w:t>Kwa DRC</w:t>
      </w:r>
      <w:r w:rsidR="00D61531">
        <w:rPr>
          <w:rFonts w:cs="Arial"/>
          <w:szCs w:val="21"/>
          <w:lang w:val="pl-PL"/>
        </w:rPr>
        <w:t>,</w:t>
      </w:r>
      <w:r w:rsidRPr="00E4105B">
        <w:rPr>
          <w:rFonts w:cs="Arial"/>
          <w:szCs w:val="21"/>
          <w:lang w:val="pl-PL"/>
        </w:rPr>
        <w:t xml:space="preserve"> </w:t>
      </w:r>
      <w:r w:rsidR="00D61531">
        <w:rPr>
          <w:rFonts w:cs="Arial"/>
          <w:szCs w:val="21"/>
          <w:lang w:val="pl-PL"/>
        </w:rPr>
        <w:t>k</w:t>
      </w:r>
      <w:r w:rsidRPr="00E4105B">
        <w:rPr>
          <w:rFonts w:cs="Arial"/>
          <w:szCs w:val="21"/>
          <w:lang w:val="pl-PL"/>
        </w:rPr>
        <w:t xml:space="preserve">ilimo kwa sasa kinahesabu takribani asilimia 20 ya Pato la Taifa, linaajiri kati ya asilimia 70 na 75 ya nguvukazi na ina jukumu muhimu katika kupunguza ukosefu wa chakula, </w:t>
      </w:r>
      <w:r w:rsidR="00D61531">
        <w:rPr>
          <w:rFonts w:cs="Arial"/>
          <w:szCs w:val="21"/>
          <w:lang w:val="pl-PL"/>
        </w:rPr>
        <w:t>utapiamlo na umasikini vijijini</w:t>
      </w:r>
      <w:r w:rsidRPr="00E4105B">
        <w:rPr>
          <w:rFonts w:cs="Arial"/>
          <w:szCs w:val="21"/>
          <w:lang w:val="pl-PL"/>
        </w:rPr>
        <w:t>.</w:t>
      </w:r>
    </w:p>
    <w:p w14:paraId="0B25D4B8" w14:textId="77777777" w:rsidR="000326DA" w:rsidRPr="00E4105B" w:rsidRDefault="000326DA" w:rsidP="000326DA">
      <w:pPr>
        <w:rPr>
          <w:rFonts w:cs="Arial"/>
          <w:szCs w:val="21"/>
          <w:lang w:val="pl-PL"/>
        </w:rPr>
      </w:pPr>
    </w:p>
    <w:p w14:paraId="455E4094" w14:textId="39AC4BC0" w:rsidR="000326DA" w:rsidRPr="00E4105B" w:rsidRDefault="000326DA" w:rsidP="000326DA">
      <w:pPr>
        <w:rPr>
          <w:rFonts w:cs="Arial"/>
          <w:szCs w:val="21"/>
          <w:lang w:val="pl-PL"/>
        </w:rPr>
      </w:pPr>
      <w:r w:rsidRPr="00E4105B">
        <w:rPr>
          <w:rFonts w:cs="Arial"/>
          <w:szCs w:val="21"/>
          <w:lang w:val="pl-PL"/>
        </w:rPr>
        <w:t xml:space="preserve">Hivyo, mpango huo utasaidia ukuaji wa uzalishaji wa kilimo katika ngazi ya shamba, na kuwaruhusu wakulima wadogo kuongeza rasilimali na uzalishaji wao, na kisha kuingilia kati ili kukuza upatikanaji wa soko na ushirikiano wa watu wadogo hawa katika minyororo ya usambazaji wa kilimo. </w:t>
      </w:r>
    </w:p>
    <w:p w14:paraId="4BE04E46" w14:textId="77777777" w:rsidR="000326DA" w:rsidRPr="00E4105B" w:rsidRDefault="000326DA" w:rsidP="000326DA">
      <w:pPr>
        <w:rPr>
          <w:rFonts w:cs="Arial"/>
          <w:szCs w:val="21"/>
          <w:lang w:val="pl-PL"/>
        </w:rPr>
      </w:pPr>
    </w:p>
    <w:p w14:paraId="7727AB78" w14:textId="77777777" w:rsidR="000326DA" w:rsidRPr="00E4105B" w:rsidRDefault="000326DA" w:rsidP="000326DA">
      <w:pPr>
        <w:rPr>
          <w:rFonts w:cs="Arial"/>
          <w:szCs w:val="21"/>
          <w:lang w:val="pl-PL"/>
        </w:rPr>
      </w:pPr>
      <w:r w:rsidRPr="00E4105B">
        <w:rPr>
          <w:rFonts w:cs="Arial"/>
          <w:szCs w:val="21"/>
          <w:lang w:val="pl-PL"/>
        </w:rPr>
        <w:t>Uwekezaji wa PNDA utazingatiwa kama kipaumbele kwa awamu hii ya kwanza kwa kipindi cha miaka 5 katika mkoa wa Kasai (Mikoa ya Kasai na Kasai Kati), Kanda ya Magharibi (Mikoa ya Kongo ya Kati na Kwilu), Kanda ya Mashariki (Mkoa wa Kivu Kaskazini).</w:t>
      </w:r>
    </w:p>
    <w:p w14:paraId="47EA04D8" w14:textId="77777777" w:rsidR="000326DA" w:rsidRPr="00E4105B" w:rsidRDefault="000326DA" w:rsidP="000326DA">
      <w:pPr>
        <w:rPr>
          <w:rFonts w:cs="Arial"/>
          <w:szCs w:val="21"/>
          <w:lang w:val="pl-PL"/>
        </w:rPr>
      </w:pPr>
    </w:p>
    <w:p w14:paraId="77C89BD2" w14:textId="77777777" w:rsidR="000326DA" w:rsidRPr="00E4105B" w:rsidRDefault="000326DA" w:rsidP="000326DA">
      <w:pPr>
        <w:rPr>
          <w:rFonts w:cs="Arial"/>
          <w:szCs w:val="21"/>
          <w:lang w:val="pl-PL"/>
        </w:rPr>
      </w:pPr>
      <w:r w:rsidRPr="00E4105B">
        <w:rPr>
          <w:rFonts w:cs="Arial"/>
          <w:szCs w:val="21"/>
          <w:lang w:val="pl-PL"/>
        </w:rPr>
        <w:t>Lengo la maendeleo ya mradi huu ni kuboresha uzalishaji wa kilimo na upatikanaji wa soko kwa wakulima wadogo katika mikoa iliyochaguliwa na kuimarisha uwezo wa sekta hiyo kukabiliana na dharura zinazostahiki katika sekta ya kilimo.</w:t>
      </w:r>
    </w:p>
    <w:p w14:paraId="660EC0D2" w14:textId="77777777" w:rsidR="000326DA" w:rsidRPr="00E4105B" w:rsidRDefault="000326DA" w:rsidP="000326DA">
      <w:pPr>
        <w:rPr>
          <w:rFonts w:cs="Arial"/>
          <w:szCs w:val="21"/>
          <w:lang w:val="pl-PL"/>
        </w:rPr>
      </w:pPr>
    </w:p>
    <w:p w14:paraId="5F082A1B" w14:textId="77777777" w:rsidR="000326DA" w:rsidRPr="00E4105B" w:rsidRDefault="000326DA" w:rsidP="000326DA">
      <w:pPr>
        <w:rPr>
          <w:rFonts w:cs="Arial"/>
          <w:szCs w:val="21"/>
        </w:rPr>
      </w:pPr>
      <w:r w:rsidRPr="00E4105B">
        <w:rPr>
          <w:rFonts w:cs="Arial"/>
          <w:szCs w:val="21"/>
        </w:rPr>
        <w:t>PNDA itategemea vipengele vinne:</w:t>
      </w:r>
    </w:p>
    <w:p w14:paraId="57442446" w14:textId="77777777" w:rsidR="000326DA" w:rsidRPr="00E4105B" w:rsidRDefault="000326DA" w:rsidP="000326DA">
      <w:pPr>
        <w:rPr>
          <w:rFonts w:cs="Arial"/>
          <w:szCs w:val="21"/>
        </w:rPr>
      </w:pPr>
    </w:p>
    <w:p w14:paraId="6C3082CB" w14:textId="77777777" w:rsidR="000326DA" w:rsidRPr="00E4105B" w:rsidRDefault="000326DA" w:rsidP="002378EA">
      <w:pPr>
        <w:pStyle w:val="Paragraphedeliste"/>
        <w:numPr>
          <w:ilvl w:val="0"/>
          <w:numId w:val="155"/>
        </w:numPr>
        <w:rPr>
          <w:rFonts w:cs="Arial"/>
          <w:i/>
          <w:szCs w:val="21"/>
          <w:lang w:val="pl-PL"/>
        </w:rPr>
      </w:pPr>
      <w:r w:rsidRPr="00E4105B">
        <w:rPr>
          <w:rFonts w:cs="Arial"/>
          <w:i/>
          <w:szCs w:val="21"/>
          <w:lang w:val="pl-PL"/>
        </w:rPr>
        <w:t>Sehemu ya 1: uzalishaji wa kilimo:</w:t>
      </w:r>
    </w:p>
    <w:p w14:paraId="1C169F22" w14:textId="77777777" w:rsidR="000326DA" w:rsidRPr="00E4105B" w:rsidRDefault="000326DA" w:rsidP="002378EA">
      <w:pPr>
        <w:pStyle w:val="Paragraphedeliste"/>
        <w:numPr>
          <w:ilvl w:val="3"/>
          <w:numId w:val="40"/>
        </w:numPr>
        <w:rPr>
          <w:rFonts w:cs="Arial"/>
          <w:szCs w:val="21"/>
          <w:lang w:val="pl-PL"/>
        </w:rPr>
      </w:pPr>
      <w:r w:rsidRPr="00E4105B">
        <w:rPr>
          <w:rFonts w:cs="Arial"/>
          <w:szCs w:val="21"/>
          <w:lang w:val="pl-PL"/>
        </w:rPr>
        <w:t>Ndogo-sehemu 1.1: msaada wa moja kwa moja kwa wamiliki wa wadogo</w:t>
      </w:r>
    </w:p>
    <w:p w14:paraId="2AE398B8" w14:textId="77777777" w:rsidR="000326DA" w:rsidRPr="00E4105B" w:rsidRDefault="000326DA" w:rsidP="002378EA">
      <w:pPr>
        <w:pStyle w:val="Paragraphedeliste"/>
        <w:numPr>
          <w:ilvl w:val="3"/>
          <w:numId w:val="40"/>
        </w:numPr>
        <w:rPr>
          <w:rFonts w:cs="Arial"/>
          <w:szCs w:val="21"/>
          <w:lang w:val="pl-PL"/>
        </w:rPr>
      </w:pPr>
      <w:r w:rsidRPr="00E4105B">
        <w:rPr>
          <w:rFonts w:cs="Arial"/>
          <w:szCs w:val="21"/>
          <w:lang w:val="pl-PL"/>
        </w:rPr>
        <w:t>Ndogo-sehemu 1.2: msaada wa kiufundi na upatikanaji wa fedha kwa wamiliki wa wadogo</w:t>
      </w:r>
    </w:p>
    <w:p w14:paraId="78669B9D" w14:textId="77777777" w:rsidR="000326DA" w:rsidRPr="00E4105B" w:rsidRDefault="000326DA" w:rsidP="002378EA">
      <w:pPr>
        <w:pStyle w:val="Paragraphedeliste"/>
        <w:numPr>
          <w:ilvl w:val="0"/>
          <w:numId w:val="155"/>
        </w:numPr>
        <w:rPr>
          <w:rFonts w:cs="Arial"/>
          <w:i/>
          <w:szCs w:val="21"/>
          <w:lang w:val="pl-PL"/>
        </w:rPr>
      </w:pPr>
      <w:r w:rsidRPr="00E4105B">
        <w:rPr>
          <w:rFonts w:cs="Arial"/>
          <w:i/>
          <w:szCs w:val="21"/>
          <w:lang w:val="pl-PL"/>
        </w:rPr>
        <w:t>Sehemu ya 2: upatikanaji wa soko la mmiliki wa wadogo:</w:t>
      </w:r>
    </w:p>
    <w:p w14:paraId="136CCEE6" w14:textId="77777777" w:rsidR="000326DA" w:rsidRPr="00E4105B" w:rsidRDefault="000326DA" w:rsidP="002378EA">
      <w:pPr>
        <w:pStyle w:val="Paragraphedeliste"/>
        <w:numPr>
          <w:ilvl w:val="3"/>
          <w:numId w:val="40"/>
        </w:numPr>
        <w:rPr>
          <w:rFonts w:cs="Arial"/>
          <w:szCs w:val="21"/>
        </w:rPr>
      </w:pPr>
      <w:r w:rsidRPr="00E4105B">
        <w:rPr>
          <w:rFonts w:cs="Arial"/>
          <w:szCs w:val="21"/>
        </w:rPr>
        <w:t>Ndogo-sehemu 2.1: miundombinu ya vijijini</w:t>
      </w:r>
    </w:p>
    <w:p w14:paraId="504A0095" w14:textId="77777777" w:rsidR="000326DA" w:rsidRPr="00E4105B" w:rsidRDefault="000326DA" w:rsidP="002378EA">
      <w:pPr>
        <w:pStyle w:val="Paragraphedeliste"/>
        <w:numPr>
          <w:ilvl w:val="3"/>
          <w:numId w:val="40"/>
        </w:numPr>
        <w:rPr>
          <w:rFonts w:cs="Arial"/>
          <w:szCs w:val="21"/>
        </w:rPr>
      </w:pPr>
      <w:r w:rsidRPr="00E4105B">
        <w:rPr>
          <w:rFonts w:cs="Arial"/>
          <w:szCs w:val="21"/>
        </w:rPr>
        <w:t>Ndogo-sehemu 2.2: kusaidia kuingizwa kwa wamiliki wadogo katika minyororo ya thamani</w:t>
      </w:r>
    </w:p>
    <w:p w14:paraId="4205225B" w14:textId="77777777" w:rsidR="000326DA" w:rsidRPr="00E4105B" w:rsidRDefault="000326DA" w:rsidP="002378EA">
      <w:pPr>
        <w:pStyle w:val="Paragraphedeliste"/>
        <w:numPr>
          <w:ilvl w:val="0"/>
          <w:numId w:val="155"/>
        </w:numPr>
        <w:rPr>
          <w:rFonts w:cs="Arial"/>
          <w:i/>
          <w:szCs w:val="21"/>
        </w:rPr>
      </w:pPr>
      <w:r w:rsidRPr="00E4105B">
        <w:rPr>
          <w:rFonts w:cs="Arial"/>
          <w:i/>
          <w:szCs w:val="21"/>
        </w:rPr>
        <w:t>Sehemu ya 3: bidhaa na huduma za umma za kilimo</w:t>
      </w:r>
    </w:p>
    <w:p w14:paraId="5A03C8CF" w14:textId="77777777" w:rsidR="000326DA" w:rsidRPr="00E4105B" w:rsidRDefault="000326DA" w:rsidP="002378EA">
      <w:pPr>
        <w:pStyle w:val="Paragraphedeliste"/>
        <w:numPr>
          <w:ilvl w:val="3"/>
          <w:numId w:val="40"/>
        </w:numPr>
        <w:rPr>
          <w:rFonts w:cs="Arial"/>
          <w:szCs w:val="21"/>
        </w:rPr>
      </w:pPr>
      <w:r w:rsidRPr="00E4105B">
        <w:rPr>
          <w:rFonts w:cs="Arial"/>
          <w:szCs w:val="21"/>
        </w:rPr>
        <w:t>Ndogo-sehemu 3.1: kujenga uwezo wa utoaji wa huduma za umma za kilimo;</w:t>
      </w:r>
    </w:p>
    <w:p w14:paraId="5E3B9F8A" w14:textId="77777777" w:rsidR="000326DA" w:rsidRPr="00E4105B" w:rsidRDefault="000326DA" w:rsidP="002378EA">
      <w:pPr>
        <w:pStyle w:val="Paragraphedeliste"/>
        <w:numPr>
          <w:ilvl w:val="3"/>
          <w:numId w:val="40"/>
        </w:numPr>
        <w:rPr>
          <w:rFonts w:cs="Arial"/>
          <w:szCs w:val="21"/>
        </w:rPr>
      </w:pPr>
      <w:r w:rsidRPr="00E4105B">
        <w:rPr>
          <w:rFonts w:cs="Arial"/>
          <w:szCs w:val="21"/>
        </w:rPr>
        <w:t>Ndogo-sehemu 3.2: usimamizi wa programu, ufuatiliaji na tathmini</w:t>
      </w:r>
    </w:p>
    <w:p w14:paraId="30645204" w14:textId="77777777" w:rsidR="000326DA" w:rsidRPr="00E4105B" w:rsidRDefault="000326DA" w:rsidP="002378EA">
      <w:pPr>
        <w:pStyle w:val="Paragraphedeliste"/>
        <w:numPr>
          <w:ilvl w:val="0"/>
          <w:numId w:val="155"/>
        </w:numPr>
        <w:rPr>
          <w:rFonts w:cs="Arial"/>
          <w:i/>
          <w:szCs w:val="21"/>
        </w:rPr>
      </w:pPr>
      <w:r w:rsidRPr="00E4105B">
        <w:rPr>
          <w:rFonts w:cs="Arial"/>
          <w:i/>
          <w:szCs w:val="21"/>
        </w:rPr>
        <w:t>Sehemu ya 4: usaidizi wa dharura ya kilimo</w:t>
      </w:r>
    </w:p>
    <w:p w14:paraId="13AB37FA" w14:textId="77777777" w:rsidR="000326DA" w:rsidRPr="00E4105B" w:rsidRDefault="000326DA" w:rsidP="000326DA">
      <w:pPr>
        <w:tabs>
          <w:tab w:val="left" w:pos="426"/>
        </w:tabs>
        <w:contextualSpacing/>
        <w:rPr>
          <w:rFonts w:cs="Arial"/>
          <w:szCs w:val="21"/>
        </w:rPr>
      </w:pPr>
    </w:p>
    <w:p w14:paraId="73843914" w14:textId="77777777" w:rsidR="000326DA" w:rsidRPr="00D61531" w:rsidRDefault="000326DA" w:rsidP="002378EA">
      <w:pPr>
        <w:pStyle w:val="Paragraphedeliste"/>
        <w:numPr>
          <w:ilvl w:val="0"/>
          <w:numId w:val="154"/>
        </w:numPr>
        <w:rPr>
          <w:rFonts w:cs="Arial"/>
          <w:b/>
          <w:i/>
          <w:szCs w:val="21"/>
        </w:rPr>
      </w:pPr>
      <w:r w:rsidRPr="00D61531">
        <w:rPr>
          <w:rFonts w:cs="Arial"/>
          <w:b/>
          <w:i/>
          <w:szCs w:val="21"/>
        </w:rPr>
        <w:t xml:space="preserve">Maelezo mafupi ya masuala makubwa ya mazingira na jamii na hatari </w:t>
      </w:r>
    </w:p>
    <w:p w14:paraId="328EA99B" w14:textId="77777777" w:rsidR="000326DA" w:rsidRPr="00E4105B" w:rsidRDefault="000326DA" w:rsidP="000326DA">
      <w:pPr>
        <w:tabs>
          <w:tab w:val="left" w:pos="426"/>
        </w:tabs>
        <w:rPr>
          <w:rFonts w:cs="Arial"/>
          <w:szCs w:val="21"/>
        </w:rPr>
      </w:pPr>
    </w:p>
    <w:p w14:paraId="260D642B" w14:textId="77777777" w:rsidR="000326DA" w:rsidRPr="00E4105B" w:rsidRDefault="000326DA" w:rsidP="000326DA">
      <w:pPr>
        <w:tabs>
          <w:tab w:val="left" w:pos="426"/>
        </w:tabs>
        <w:rPr>
          <w:rFonts w:cs="Arial"/>
          <w:szCs w:val="21"/>
        </w:rPr>
      </w:pPr>
      <w:r w:rsidRPr="00E4105B">
        <w:rPr>
          <w:rFonts w:cs="Arial"/>
          <w:szCs w:val="21"/>
        </w:rPr>
        <w:t xml:space="preserve">Mikoa iliyoathiriwa na PNDA kukabiliana na vikwazo kadhaa vya kimazingira na kijamii na changamoto, ikiwa ni pamoja na: </w:t>
      </w:r>
    </w:p>
    <w:p w14:paraId="6AC89CAF" w14:textId="77777777" w:rsidR="000326DA" w:rsidRPr="00E4105B" w:rsidRDefault="000326DA" w:rsidP="000326DA">
      <w:pPr>
        <w:tabs>
          <w:tab w:val="left" w:pos="426"/>
        </w:tabs>
        <w:rPr>
          <w:rFonts w:cs="Arial"/>
          <w:szCs w:val="21"/>
        </w:rPr>
      </w:pPr>
    </w:p>
    <w:p w14:paraId="2D2FE853" w14:textId="77777777" w:rsidR="000326DA" w:rsidRPr="00E4105B" w:rsidRDefault="000326DA" w:rsidP="002378EA">
      <w:pPr>
        <w:pStyle w:val="Paragraphedeliste"/>
        <w:numPr>
          <w:ilvl w:val="0"/>
          <w:numId w:val="161"/>
        </w:numPr>
        <w:tabs>
          <w:tab w:val="left" w:pos="426"/>
        </w:tabs>
        <w:rPr>
          <w:rFonts w:eastAsia="Calibri" w:cs="Arial"/>
          <w:szCs w:val="21"/>
        </w:rPr>
      </w:pPr>
      <w:r w:rsidRPr="00E4105B">
        <w:rPr>
          <w:rFonts w:eastAsia="Calibri" w:cs="Arial"/>
          <w:szCs w:val="21"/>
        </w:rPr>
        <w:t>Uzalishaji mdogo wa kilimo;</w:t>
      </w:r>
    </w:p>
    <w:p w14:paraId="21F090A5" w14:textId="77777777" w:rsidR="000326DA" w:rsidRPr="00E4105B" w:rsidRDefault="000326DA" w:rsidP="002378EA">
      <w:pPr>
        <w:pStyle w:val="Paragraphedeliste"/>
        <w:numPr>
          <w:ilvl w:val="0"/>
          <w:numId w:val="161"/>
        </w:numPr>
        <w:tabs>
          <w:tab w:val="left" w:pos="426"/>
        </w:tabs>
        <w:rPr>
          <w:rFonts w:eastAsia="Calibri" w:cs="Arial"/>
          <w:szCs w:val="21"/>
          <w:lang w:val="en-US"/>
        </w:rPr>
      </w:pPr>
      <w:r w:rsidRPr="00E4105B">
        <w:rPr>
          <w:rFonts w:eastAsia="Calibri" w:cs="Arial"/>
          <w:szCs w:val="21"/>
          <w:lang w:val="en-US"/>
        </w:rPr>
        <w:t>Uzalishaji mdogo wa samaki (uvuvi);</w:t>
      </w:r>
    </w:p>
    <w:p w14:paraId="24E9D146" w14:textId="77777777" w:rsidR="000326DA" w:rsidRPr="00E4105B" w:rsidRDefault="000326DA" w:rsidP="002378EA">
      <w:pPr>
        <w:pStyle w:val="Paragraphedeliste"/>
        <w:numPr>
          <w:ilvl w:val="0"/>
          <w:numId w:val="161"/>
        </w:numPr>
        <w:tabs>
          <w:tab w:val="left" w:pos="426"/>
        </w:tabs>
        <w:rPr>
          <w:rFonts w:eastAsia="Calibri" w:cs="Arial"/>
          <w:szCs w:val="21"/>
          <w:lang w:val="en-US"/>
        </w:rPr>
      </w:pPr>
      <w:r w:rsidRPr="00E4105B">
        <w:rPr>
          <w:rFonts w:eastAsia="Calibri" w:cs="Arial"/>
          <w:szCs w:val="21"/>
          <w:lang w:val="en-US"/>
        </w:rPr>
        <w:t>Uzalishaji mdogo wa mifugo (kuzaliana);</w:t>
      </w:r>
    </w:p>
    <w:p w14:paraId="390E4146" w14:textId="77777777" w:rsidR="000326DA" w:rsidRPr="00E4105B" w:rsidRDefault="000326DA" w:rsidP="002378EA">
      <w:pPr>
        <w:pStyle w:val="Paragraphedeliste"/>
        <w:numPr>
          <w:ilvl w:val="0"/>
          <w:numId w:val="161"/>
        </w:numPr>
        <w:tabs>
          <w:tab w:val="left" w:pos="426"/>
        </w:tabs>
        <w:rPr>
          <w:rFonts w:eastAsia="Calibri" w:cs="Arial"/>
          <w:szCs w:val="21"/>
          <w:lang w:val="en-US"/>
        </w:rPr>
      </w:pPr>
      <w:r w:rsidRPr="00E4105B">
        <w:rPr>
          <w:rFonts w:eastAsia="Calibri" w:cs="Arial"/>
          <w:szCs w:val="21"/>
          <w:lang w:val="en-US"/>
        </w:rPr>
        <w:t>Upatikanaji mdogo wa utunzaji wa mifugo;</w:t>
      </w:r>
    </w:p>
    <w:p w14:paraId="72EAE1E9" w14:textId="77777777" w:rsidR="000326DA" w:rsidRPr="00E4105B" w:rsidRDefault="000326DA" w:rsidP="002378EA">
      <w:pPr>
        <w:pStyle w:val="Paragraphedeliste"/>
        <w:numPr>
          <w:ilvl w:val="0"/>
          <w:numId w:val="161"/>
        </w:numPr>
        <w:tabs>
          <w:tab w:val="left" w:pos="426"/>
        </w:tabs>
        <w:rPr>
          <w:rFonts w:eastAsia="Calibri" w:cs="Arial"/>
          <w:szCs w:val="21"/>
        </w:rPr>
      </w:pPr>
      <w:r w:rsidRPr="00E4105B">
        <w:rPr>
          <w:rFonts w:eastAsia="Calibri" w:cs="Arial"/>
          <w:szCs w:val="21"/>
        </w:rPr>
        <w:t>Tatizo la ardhi;</w:t>
      </w:r>
    </w:p>
    <w:p w14:paraId="37E98C6D" w14:textId="77777777" w:rsidR="000326DA" w:rsidRPr="00E4105B" w:rsidRDefault="000326DA" w:rsidP="002378EA">
      <w:pPr>
        <w:pStyle w:val="Paragraphedeliste"/>
        <w:numPr>
          <w:ilvl w:val="0"/>
          <w:numId w:val="161"/>
        </w:numPr>
        <w:tabs>
          <w:tab w:val="left" w:pos="426"/>
        </w:tabs>
        <w:rPr>
          <w:rFonts w:eastAsia="Calibri" w:cs="Arial"/>
          <w:szCs w:val="21"/>
        </w:rPr>
      </w:pPr>
      <w:r w:rsidRPr="00E4105B">
        <w:rPr>
          <w:rFonts w:eastAsia="Calibri" w:cs="Arial"/>
          <w:szCs w:val="21"/>
        </w:rPr>
        <w:t>Hatari na maambukizi ya unyanyasaji wa kijinsia (VBG), ikiwa ni pamoja na unyanyasaji wa kijinsia na unyanyasaji (EAS) na unyanyasaji wa kijinsia (HS), na COVID-19;</w:t>
      </w:r>
    </w:p>
    <w:p w14:paraId="15BCF0EA" w14:textId="77777777" w:rsidR="000326DA" w:rsidRPr="00E4105B" w:rsidRDefault="000326DA" w:rsidP="002378EA">
      <w:pPr>
        <w:pStyle w:val="Paragraphedeliste"/>
        <w:numPr>
          <w:ilvl w:val="0"/>
          <w:numId w:val="161"/>
        </w:numPr>
        <w:tabs>
          <w:tab w:val="left" w:pos="426"/>
        </w:tabs>
        <w:rPr>
          <w:rFonts w:eastAsia="Calibri" w:cs="Arial"/>
          <w:szCs w:val="21"/>
        </w:rPr>
      </w:pPr>
      <w:r w:rsidRPr="00E4105B">
        <w:rPr>
          <w:rFonts w:eastAsia="Calibri" w:cs="Arial"/>
          <w:szCs w:val="21"/>
        </w:rPr>
        <w:t>Ukosefu wa kilimo smart;</w:t>
      </w:r>
    </w:p>
    <w:p w14:paraId="0C730725" w14:textId="77777777" w:rsidR="000326DA" w:rsidRPr="00E4105B" w:rsidRDefault="000326DA" w:rsidP="002378EA">
      <w:pPr>
        <w:pStyle w:val="Paragraphedeliste"/>
        <w:numPr>
          <w:ilvl w:val="0"/>
          <w:numId w:val="161"/>
        </w:numPr>
        <w:tabs>
          <w:tab w:val="left" w:pos="426"/>
        </w:tabs>
        <w:rPr>
          <w:rFonts w:eastAsia="Calibri" w:cs="Arial"/>
          <w:szCs w:val="21"/>
        </w:rPr>
      </w:pPr>
      <w:r w:rsidRPr="00E4105B">
        <w:rPr>
          <w:rFonts w:eastAsia="Calibri" w:cs="Arial"/>
          <w:szCs w:val="21"/>
        </w:rPr>
        <w:t>Ukosefu wa miundombinu ya jamii kama vile masoko, amana za kilimo, nyumba za kuchinja, nk;</w:t>
      </w:r>
    </w:p>
    <w:p w14:paraId="33E5CA85" w14:textId="77777777" w:rsidR="000326DA" w:rsidRPr="00E4105B" w:rsidRDefault="000326DA" w:rsidP="002378EA">
      <w:pPr>
        <w:pStyle w:val="Paragraphedeliste"/>
        <w:numPr>
          <w:ilvl w:val="0"/>
          <w:numId w:val="161"/>
        </w:numPr>
        <w:tabs>
          <w:tab w:val="left" w:pos="426"/>
        </w:tabs>
        <w:rPr>
          <w:rFonts w:eastAsia="Calibri" w:cs="Arial"/>
          <w:szCs w:val="21"/>
        </w:rPr>
      </w:pPr>
      <w:r w:rsidRPr="00E4105B">
        <w:rPr>
          <w:rFonts w:eastAsia="Calibri" w:cs="Arial"/>
          <w:szCs w:val="21"/>
        </w:rPr>
        <w:t>Tatizo la barabara za huduma za kilimo ambazo ziko katika hali ya kupanuka sana;</w:t>
      </w:r>
    </w:p>
    <w:p w14:paraId="11970D03" w14:textId="77777777" w:rsidR="000326DA" w:rsidRPr="00E4105B" w:rsidRDefault="000326DA" w:rsidP="002378EA">
      <w:pPr>
        <w:pStyle w:val="Paragraphedeliste"/>
        <w:numPr>
          <w:ilvl w:val="0"/>
          <w:numId w:val="161"/>
        </w:numPr>
        <w:tabs>
          <w:tab w:val="left" w:pos="426"/>
        </w:tabs>
        <w:rPr>
          <w:rFonts w:eastAsia="Calibri" w:cs="Arial"/>
          <w:szCs w:val="21"/>
        </w:rPr>
      </w:pPr>
      <w:r w:rsidRPr="00E4105B">
        <w:rPr>
          <w:rFonts w:eastAsia="Calibri" w:cs="Arial"/>
          <w:szCs w:val="21"/>
        </w:rPr>
        <w:t>Upungufu wa mfumo wa umwagiliaji wa mashamba ya kilimo;</w:t>
      </w:r>
    </w:p>
    <w:p w14:paraId="6ADAE482" w14:textId="77777777" w:rsidR="000326DA" w:rsidRPr="00E4105B" w:rsidRDefault="000326DA" w:rsidP="002378EA">
      <w:pPr>
        <w:pStyle w:val="Paragraphedeliste"/>
        <w:numPr>
          <w:ilvl w:val="0"/>
          <w:numId w:val="161"/>
        </w:numPr>
        <w:tabs>
          <w:tab w:val="left" w:pos="426"/>
        </w:tabs>
        <w:rPr>
          <w:rFonts w:eastAsia="Calibri" w:cs="Arial"/>
          <w:szCs w:val="21"/>
        </w:rPr>
      </w:pPr>
      <w:r w:rsidRPr="00E4105B">
        <w:rPr>
          <w:rFonts w:eastAsia="Calibri" w:cs="Arial"/>
          <w:szCs w:val="21"/>
        </w:rPr>
        <w:t>Utapiamlo na utapiamlo;</w:t>
      </w:r>
    </w:p>
    <w:p w14:paraId="6A7D46CF" w14:textId="77777777" w:rsidR="000326DA" w:rsidRPr="00E4105B" w:rsidRDefault="000326DA" w:rsidP="002378EA">
      <w:pPr>
        <w:pStyle w:val="Paragraphedeliste"/>
        <w:numPr>
          <w:ilvl w:val="0"/>
          <w:numId w:val="161"/>
        </w:numPr>
        <w:tabs>
          <w:tab w:val="left" w:pos="426"/>
        </w:tabs>
        <w:rPr>
          <w:rFonts w:eastAsia="Calibri" w:cs="Arial"/>
          <w:szCs w:val="21"/>
        </w:rPr>
      </w:pPr>
      <w:r w:rsidRPr="00E4105B">
        <w:rPr>
          <w:rFonts w:eastAsia="Calibri" w:cs="Arial"/>
          <w:szCs w:val="21"/>
        </w:rPr>
        <w:t>Hatari ya uchafuzi wa ugonjwa wa virusi vya corona (COVID-19) na matokeo yake juu ya umaskini wa idadi ya watu;</w:t>
      </w:r>
    </w:p>
    <w:p w14:paraId="63126F81" w14:textId="77777777" w:rsidR="000326DA" w:rsidRPr="00E4105B" w:rsidRDefault="000326DA" w:rsidP="002378EA">
      <w:pPr>
        <w:pStyle w:val="Paragraphedeliste"/>
        <w:numPr>
          <w:ilvl w:val="0"/>
          <w:numId w:val="161"/>
        </w:numPr>
        <w:tabs>
          <w:tab w:val="left" w:pos="426"/>
        </w:tabs>
        <w:rPr>
          <w:rFonts w:eastAsia="Calibri" w:cs="Arial"/>
          <w:szCs w:val="21"/>
        </w:rPr>
      </w:pPr>
      <w:r w:rsidRPr="00E4105B">
        <w:rPr>
          <w:rFonts w:eastAsia="Calibri" w:cs="Arial"/>
          <w:szCs w:val="21"/>
        </w:rPr>
        <w:t>Hatari ya uchafuzi wa virusi vya Ebola katika Mkoa wa Kivu Kaskazini;</w:t>
      </w:r>
    </w:p>
    <w:p w14:paraId="554C8ED0" w14:textId="77777777" w:rsidR="000326DA" w:rsidRPr="00E4105B" w:rsidRDefault="000326DA" w:rsidP="002378EA">
      <w:pPr>
        <w:pStyle w:val="Paragraphedeliste"/>
        <w:numPr>
          <w:ilvl w:val="0"/>
          <w:numId w:val="161"/>
        </w:numPr>
        <w:tabs>
          <w:tab w:val="left" w:pos="426"/>
        </w:tabs>
        <w:rPr>
          <w:rFonts w:eastAsia="Calibri" w:cs="Arial"/>
          <w:szCs w:val="21"/>
        </w:rPr>
      </w:pPr>
      <w:r w:rsidRPr="00E4105B">
        <w:rPr>
          <w:rFonts w:eastAsia="Calibri" w:cs="Arial"/>
          <w:szCs w:val="21"/>
        </w:rPr>
        <w:t>Tatizo la ardhi linalohusiana na mgogoro wa ardhi kati ya jamii;</w:t>
      </w:r>
    </w:p>
    <w:p w14:paraId="750FB16D" w14:textId="77777777" w:rsidR="000326DA" w:rsidRPr="00E4105B" w:rsidRDefault="000326DA" w:rsidP="002378EA">
      <w:pPr>
        <w:pStyle w:val="Paragraphedeliste"/>
        <w:numPr>
          <w:ilvl w:val="0"/>
          <w:numId w:val="161"/>
        </w:numPr>
        <w:tabs>
          <w:tab w:val="left" w:pos="426"/>
        </w:tabs>
        <w:rPr>
          <w:rFonts w:eastAsia="Calibri" w:cs="Arial"/>
          <w:szCs w:val="21"/>
        </w:rPr>
      </w:pPr>
      <w:r w:rsidRPr="00E4105B">
        <w:rPr>
          <w:rFonts w:eastAsia="Calibri" w:cs="Arial"/>
          <w:szCs w:val="21"/>
        </w:rPr>
        <w:t>Hatari ya mmomotevu na mafuriko katika mkoa wa Kasai na Kasai Kati;</w:t>
      </w:r>
    </w:p>
    <w:p w14:paraId="7616AA11" w14:textId="77777777" w:rsidR="000326DA" w:rsidRPr="00E4105B" w:rsidRDefault="000326DA" w:rsidP="002378EA">
      <w:pPr>
        <w:pStyle w:val="Paragraphedeliste"/>
        <w:numPr>
          <w:ilvl w:val="0"/>
          <w:numId w:val="161"/>
        </w:numPr>
        <w:tabs>
          <w:tab w:val="left" w:pos="426"/>
        </w:tabs>
        <w:rPr>
          <w:rFonts w:eastAsia="Calibri" w:cs="Arial"/>
          <w:szCs w:val="21"/>
        </w:rPr>
      </w:pPr>
      <w:r w:rsidRPr="00E4105B">
        <w:rPr>
          <w:rFonts w:eastAsia="Calibri" w:cs="Arial"/>
          <w:szCs w:val="21"/>
        </w:rPr>
        <w:t>Kiwango na uthawabu wa matatizo ya kijamii yanayohusiana na umaskini, utapiamlo na utapiamlo;</w:t>
      </w:r>
    </w:p>
    <w:p w14:paraId="5E873799" w14:textId="77777777" w:rsidR="000326DA" w:rsidRPr="00E4105B" w:rsidRDefault="000326DA" w:rsidP="002378EA">
      <w:pPr>
        <w:pStyle w:val="Paragraphedeliste"/>
        <w:numPr>
          <w:ilvl w:val="0"/>
          <w:numId w:val="161"/>
        </w:numPr>
        <w:tabs>
          <w:tab w:val="left" w:pos="426"/>
        </w:tabs>
        <w:rPr>
          <w:rFonts w:cs="Arial"/>
          <w:szCs w:val="21"/>
          <w:lang w:val="pl-PL"/>
        </w:rPr>
      </w:pPr>
      <w:r w:rsidRPr="00E4105B">
        <w:rPr>
          <w:rFonts w:eastAsia="Calibri" w:cs="Arial"/>
          <w:szCs w:val="21"/>
        </w:rPr>
        <w:t>Hali ya usalama katika mkoa wa Kivu Kaskazini (Beni, Butembo, Rutshuru).</w:t>
      </w:r>
    </w:p>
    <w:p w14:paraId="046CD84E" w14:textId="77777777" w:rsidR="000326DA" w:rsidRPr="00E4105B" w:rsidRDefault="000326DA" w:rsidP="000326DA">
      <w:pPr>
        <w:pStyle w:val="Paragraphedeliste"/>
        <w:tabs>
          <w:tab w:val="left" w:pos="426"/>
        </w:tabs>
        <w:rPr>
          <w:rFonts w:cs="Arial"/>
          <w:szCs w:val="21"/>
          <w:lang w:val="pl-PL"/>
        </w:rPr>
      </w:pPr>
    </w:p>
    <w:p w14:paraId="5EB2D524" w14:textId="77777777" w:rsidR="000326DA" w:rsidRPr="00D61531" w:rsidRDefault="000326DA" w:rsidP="002378EA">
      <w:pPr>
        <w:numPr>
          <w:ilvl w:val="0"/>
          <w:numId w:val="154"/>
        </w:numPr>
        <w:rPr>
          <w:rFonts w:cs="Arial"/>
          <w:b/>
          <w:i/>
          <w:szCs w:val="21"/>
          <w:lang w:val="pl-PL"/>
        </w:rPr>
      </w:pPr>
      <w:r w:rsidRPr="00D61531">
        <w:rPr>
          <w:rFonts w:cs="Arial"/>
          <w:b/>
          <w:i/>
          <w:szCs w:val="21"/>
          <w:lang w:val="pl-PL"/>
        </w:rPr>
        <w:t xml:space="preserve">Mfumo wa kisiasa, kisheria na taasisi kwa ajili ya kusimamia hatari za kimazingira na kijamii na athari na mfumo wa mazingira na jamii ya benki ya dunia (CES) ambao mahitaji yake yametimizwa na CGES </w:t>
      </w:r>
    </w:p>
    <w:p w14:paraId="0DA7B7BF" w14:textId="77777777" w:rsidR="000326DA" w:rsidRPr="00E4105B" w:rsidRDefault="000326DA" w:rsidP="000326DA">
      <w:pPr>
        <w:tabs>
          <w:tab w:val="left" w:pos="426"/>
        </w:tabs>
        <w:rPr>
          <w:rFonts w:cs="Arial"/>
          <w:szCs w:val="21"/>
          <w:lang w:val="pl-PL"/>
        </w:rPr>
      </w:pPr>
    </w:p>
    <w:p w14:paraId="7640E2EA" w14:textId="21E2C56A" w:rsidR="000326DA" w:rsidRPr="00E4105B" w:rsidRDefault="000326DA" w:rsidP="000326DA">
      <w:pPr>
        <w:rPr>
          <w:rFonts w:cs="Arial"/>
          <w:szCs w:val="21"/>
          <w:lang w:val="pl-PL"/>
        </w:rPr>
      </w:pPr>
      <w:r w:rsidRPr="00E4105B">
        <w:rPr>
          <w:rFonts w:cs="Arial"/>
          <w:szCs w:val="21"/>
          <w:lang w:val="pl-PL"/>
        </w:rPr>
        <w:t xml:space="preserve">Muktadha wa sheria na udhibiti wa sekta za mazingira na kijamii na maeneo ya NDA ya kuingilia kati umewekwa alama ya kuwepo kwa kisheria (Sheria 09 Julai 2011 juu ya kanuni za msingi zinazohusiana na ulinzi wa mazingira; Sheria ya 11/022 ya 24 Desemba 2011 kuhusu Kanuni za Msingi zinazohusiana na Kilimo; Amua Na.14/019 ya 02 Agosti 2014 kuweka sheria za uendeshaji wa taratibu za ulinzi wa mazingira; Msimbo wa kazi; Msimbo wa Familia, nk). </w:t>
      </w:r>
    </w:p>
    <w:p w14:paraId="6E33D1C3" w14:textId="77777777" w:rsidR="000326DA" w:rsidRPr="00E4105B" w:rsidRDefault="000326DA" w:rsidP="000326DA">
      <w:pPr>
        <w:tabs>
          <w:tab w:val="left" w:pos="426"/>
        </w:tabs>
        <w:rPr>
          <w:rFonts w:cs="Arial"/>
          <w:szCs w:val="21"/>
          <w:lang w:val="pl-PL"/>
        </w:rPr>
      </w:pPr>
    </w:p>
    <w:p w14:paraId="55031BDA" w14:textId="13BC43FC" w:rsidR="000326DA" w:rsidRPr="00E4105B" w:rsidRDefault="000326DA" w:rsidP="000326DA">
      <w:pPr>
        <w:tabs>
          <w:tab w:val="left" w:pos="426"/>
        </w:tabs>
        <w:rPr>
          <w:rFonts w:cs="Arial"/>
          <w:szCs w:val="21"/>
          <w:lang w:val="pl-PL"/>
        </w:rPr>
      </w:pPr>
      <w:r w:rsidRPr="00E4105B">
        <w:rPr>
          <w:rFonts w:cs="Arial"/>
          <w:szCs w:val="21"/>
          <w:lang w:val="pl-PL"/>
        </w:rPr>
        <w:t xml:space="preserve">PNDA inakabiliwa na matakwa ya Mfumo wa Mazingira na Jamii wa Benki ya Dunia, ulioanza kutumika tarehe 01 Oktoba 2018. Kwa mfano, tathmini ya hatari ya kimazingira na kijamii ya PNDA imeainisha kama mradi wa hatari ya mazingira unaoonekana kuwa mkubwa ndani ya maana ya uainishaji wa Benki ya Dunia ya ETUC, pamoja na hatari ya kijamii, ambayo pia inachukuliwa kuwa kubwa, ikijumuisha hatari ikilinganishwa na VBG kwa muda Viwango vyote kumi vya Kimazingira na Kijamii (NES) vilipatikana kuwa muhimu kwa mradi huu. </w:t>
      </w:r>
    </w:p>
    <w:p w14:paraId="73505754" w14:textId="77777777" w:rsidR="000326DA" w:rsidRPr="00E4105B" w:rsidRDefault="000326DA" w:rsidP="000326DA">
      <w:pPr>
        <w:tabs>
          <w:tab w:val="left" w:pos="426"/>
        </w:tabs>
        <w:rPr>
          <w:rFonts w:cs="Arial"/>
          <w:szCs w:val="21"/>
          <w:lang w:val="pl-PL"/>
        </w:rPr>
      </w:pPr>
    </w:p>
    <w:p w14:paraId="6C332940" w14:textId="77777777" w:rsidR="000326DA" w:rsidRPr="00E4105B" w:rsidRDefault="000326DA" w:rsidP="000326DA">
      <w:pPr>
        <w:tabs>
          <w:tab w:val="left" w:pos="426"/>
        </w:tabs>
        <w:rPr>
          <w:rFonts w:cs="Arial"/>
          <w:szCs w:val="21"/>
          <w:lang w:val="pl-PL"/>
        </w:rPr>
      </w:pPr>
      <w:r w:rsidRPr="00E4105B">
        <w:rPr>
          <w:rFonts w:cs="Arial"/>
          <w:szCs w:val="21"/>
          <w:lang w:val="pl-PL"/>
        </w:rPr>
        <w:t>Mbali na viwango hivi kumi, PNDA inatumika sio tu Miongozo ya Jumla ya Mazingira, Afya na Usalama, lakini pia Sera ya Uendeshaji ya PO/BP 7.50 - Mradi wa Mito ya Kimataifa ambao haujarekebishwa na ETUC mpya. Kwa vipengele vya VBG, Mradi huu utatekelezwa kwa mujibu wa Kumbuka Zoezi Jema: Kupambana na Unyanyasaji wa Kijinsia na Unyanyasaji na Unyanyasaji wa Kijinsia katika kufadhili miradi ya uwekezaji inayohusisha miradi mikubwa ya uhandisi wa kiraia (Benki ya Dunia, 2nd ed, Februari 2020) (EAS/HS Best Practice Note)</w:t>
      </w:r>
      <w:r w:rsidRPr="00E4105B">
        <w:rPr>
          <w:rStyle w:val="Appelnotedebasdep"/>
          <w:rFonts w:cs="Arial"/>
          <w:szCs w:val="21"/>
          <w:lang w:val="pl-PL"/>
        </w:rPr>
        <w:footnoteReference w:id="12"/>
      </w:r>
      <w:r w:rsidRPr="00E4105B">
        <w:rPr>
          <w:rFonts w:cs="Arial"/>
          <w:szCs w:val="21"/>
          <w:lang w:val="pl-PL"/>
        </w:rPr>
        <w:t>.</w:t>
      </w:r>
    </w:p>
    <w:p w14:paraId="01C26049" w14:textId="77777777" w:rsidR="000326DA" w:rsidRPr="00E4105B" w:rsidRDefault="000326DA" w:rsidP="000326DA">
      <w:pPr>
        <w:tabs>
          <w:tab w:val="left" w:pos="426"/>
        </w:tabs>
        <w:rPr>
          <w:rFonts w:cs="Arial"/>
          <w:szCs w:val="21"/>
          <w:lang w:val="pl-PL"/>
        </w:rPr>
      </w:pPr>
    </w:p>
    <w:p w14:paraId="18F47084" w14:textId="3888D12C" w:rsidR="000326DA" w:rsidRPr="00E4105B" w:rsidRDefault="000326DA" w:rsidP="000326DA">
      <w:pPr>
        <w:tabs>
          <w:tab w:val="left" w:pos="426"/>
        </w:tabs>
        <w:rPr>
          <w:rFonts w:cs="Arial"/>
          <w:szCs w:val="21"/>
          <w:lang w:val="pl-PL"/>
        </w:rPr>
      </w:pPr>
      <w:r w:rsidRPr="00E4105B">
        <w:rPr>
          <w:rFonts w:cs="Arial"/>
          <w:szCs w:val="21"/>
          <w:lang w:val="pl-PL"/>
        </w:rPr>
        <w:t>Ni muhimu kutambua kwamba Mpango utafuata miongozo ya hivi karibuni ya Benki ya Dunia juu ya COVID-19.</w:t>
      </w:r>
    </w:p>
    <w:p w14:paraId="748D40EF" w14:textId="77777777" w:rsidR="000326DA" w:rsidRPr="00E4105B" w:rsidRDefault="000326DA" w:rsidP="000326DA">
      <w:pPr>
        <w:tabs>
          <w:tab w:val="left" w:pos="426"/>
        </w:tabs>
        <w:rPr>
          <w:rFonts w:cs="Arial"/>
          <w:szCs w:val="21"/>
          <w:lang w:val="pl-PL"/>
        </w:rPr>
      </w:pPr>
    </w:p>
    <w:p w14:paraId="6A00FE84" w14:textId="77777777" w:rsidR="000326DA" w:rsidRPr="00D61531" w:rsidRDefault="000326DA" w:rsidP="002378EA">
      <w:pPr>
        <w:numPr>
          <w:ilvl w:val="0"/>
          <w:numId w:val="154"/>
        </w:numPr>
        <w:rPr>
          <w:rFonts w:cs="Arial"/>
          <w:b/>
          <w:i/>
          <w:szCs w:val="21"/>
          <w:lang w:val="pl-PL"/>
        </w:rPr>
      </w:pPr>
      <w:r w:rsidRPr="00D61531">
        <w:rPr>
          <w:rFonts w:cs="Arial"/>
          <w:b/>
          <w:i/>
          <w:szCs w:val="21"/>
          <w:lang w:val="pl-PL"/>
        </w:rPr>
        <w:t xml:space="preserve">Uwezekano wa athari za Generic/hatari kwa aina ndogo ya mradi </w:t>
      </w:r>
    </w:p>
    <w:p w14:paraId="43310B29" w14:textId="77777777" w:rsidR="000326DA" w:rsidRPr="00E4105B" w:rsidRDefault="000326DA" w:rsidP="000326DA">
      <w:pPr>
        <w:ind w:left="720"/>
        <w:rPr>
          <w:rFonts w:cs="Arial"/>
          <w:b/>
          <w:i/>
          <w:szCs w:val="21"/>
          <w:lang w:val="pl-PL"/>
        </w:rPr>
      </w:pPr>
    </w:p>
    <w:p w14:paraId="4B85EB60" w14:textId="77777777" w:rsidR="000326DA" w:rsidRPr="00E4105B" w:rsidRDefault="000326DA" w:rsidP="000326DA">
      <w:pPr>
        <w:rPr>
          <w:rFonts w:eastAsia="MS Mincho" w:cs="Arial"/>
          <w:szCs w:val="21"/>
          <w:lang w:val="pl-PL"/>
        </w:rPr>
      </w:pPr>
      <w:r w:rsidRPr="00E4105B">
        <w:rPr>
          <w:rFonts w:eastAsia="MS Mincho" w:cs="Arial"/>
          <w:szCs w:val="21"/>
          <w:lang w:val="pl-PL"/>
        </w:rPr>
        <w:t xml:space="preserve">Uwezekano wa hatari za kimazingira na kijamii na athari kutoka kwa miradi midogo ni pamoja na: </w:t>
      </w:r>
    </w:p>
    <w:p w14:paraId="6BA3A6A7" w14:textId="77777777" w:rsidR="000326DA" w:rsidRPr="00E4105B" w:rsidRDefault="000326DA" w:rsidP="000326DA">
      <w:pPr>
        <w:widowControl w:val="0"/>
        <w:autoSpaceDE w:val="0"/>
        <w:autoSpaceDN w:val="0"/>
        <w:rPr>
          <w:rFonts w:eastAsia="MS Mincho" w:cs="Arial"/>
          <w:szCs w:val="21"/>
          <w:lang w:val="pl-PL"/>
        </w:rPr>
      </w:pPr>
    </w:p>
    <w:p w14:paraId="003D3A46" w14:textId="77777777" w:rsidR="000326DA" w:rsidRPr="00E4105B" w:rsidRDefault="000326DA" w:rsidP="000326DA">
      <w:pPr>
        <w:widowControl w:val="0"/>
        <w:autoSpaceDE w:val="0"/>
        <w:autoSpaceDN w:val="0"/>
        <w:rPr>
          <w:rFonts w:eastAsia="MS Mincho" w:cs="Arial"/>
          <w:szCs w:val="21"/>
          <w:u w:val="single"/>
          <w:lang w:val="pl-PL"/>
        </w:rPr>
      </w:pPr>
      <w:r w:rsidRPr="00E4105B">
        <w:rPr>
          <w:rFonts w:eastAsia="MS Mincho" w:cs="Arial"/>
          <w:szCs w:val="21"/>
          <w:u w:val="single"/>
          <w:lang w:val="pl-PL"/>
        </w:rPr>
        <w:t>Uwezekano wa athari chanya</w:t>
      </w:r>
    </w:p>
    <w:p w14:paraId="16A7F25D" w14:textId="77777777" w:rsidR="000326DA" w:rsidRPr="00E4105B" w:rsidRDefault="000326DA" w:rsidP="000326DA">
      <w:pPr>
        <w:widowControl w:val="0"/>
        <w:autoSpaceDE w:val="0"/>
        <w:autoSpaceDN w:val="0"/>
        <w:ind w:left="720"/>
        <w:rPr>
          <w:rFonts w:eastAsia="MS Mincho" w:cs="Arial"/>
          <w:szCs w:val="21"/>
          <w:lang w:val="pl-PL"/>
        </w:rPr>
      </w:pPr>
    </w:p>
    <w:p w14:paraId="440990EF" w14:textId="77777777" w:rsidR="000326DA" w:rsidRPr="00D61531" w:rsidRDefault="000326DA" w:rsidP="000326DA">
      <w:pPr>
        <w:widowControl w:val="0"/>
        <w:autoSpaceDE w:val="0"/>
        <w:autoSpaceDN w:val="0"/>
        <w:ind w:left="720"/>
        <w:rPr>
          <w:rFonts w:eastAsia="MS Mincho" w:cs="Arial"/>
          <w:szCs w:val="21"/>
          <w:u w:val="single"/>
          <w:lang w:val="pl-PL"/>
        </w:rPr>
      </w:pPr>
      <w:r w:rsidRPr="00D61531">
        <w:rPr>
          <w:rFonts w:eastAsia="MS Mincho" w:cs="Arial"/>
          <w:szCs w:val="21"/>
          <w:u w:val="single"/>
          <w:lang w:val="pl-PL"/>
        </w:rPr>
        <w:t>Katika awamu ya kazi:</w:t>
      </w:r>
    </w:p>
    <w:p w14:paraId="3E09EEAD" w14:textId="77777777" w:rsidR="000326DA" w:rsidRPr="00E4105B" w:rsidRDefault="000326DA" w:rsidP="000326DA">
      <w:pPr>
        <w:widowControl w:val="0"/>
        <w:autoSpaceDE w:val="0"/>
        <w:autoSpaceDN w:val="0"/>
        <w:ind w:left="720"/>
        <w:rPr>
          <w:rFonts w:eastAsia="MS Mincho" w:cs="Arial"/>
          <w:szCs w:val="21"/>
          <w:lang w:val="pl-PL"/>
        </w:rPr>
      </w:pPr>
    </w:p>
    <w:p w14:paraId="1E163220" w14:textId="77777777" w:rsidR="000326DA" w:rsidRPr="00E4105B" w:rsidRDefault="000326DA" w:rsidP="002378EA">
      <w:pPr>
        <w:widowControl w:val="0"/>
        <w:numPr>
          <w:ilvl w:val="0"/>
          <w:numId w:val="68"/>
        </w:numPr>
        <w:autoSpaceDE w:val="0"/>
        <w:autoSpaceDN w:val="0"/>
        <w:rPr>
          <w:rFonts w:eastAsia="MS Mincho" w:cs="Arial"/>
          <w:szCs w:val="21"/>
          <w:lang w:val="pl-PL"/>
        </w:rPr>
      </w:pPr>
      <w:r w:rsidRPr="00E4105B">
        <w:rPr>
          <w:rFonts w:eastAsia="MS Mincho" w:cs="Arial"/>
          <w:szCs w:val="21"/>
          <w:lang w:val="pl-PL"/>
        </w:rPr>
        <w:t>Uumbaji wa kazi ya muda (30% kwa wanawake);</w:t>
      </w:r>
    </w:p>
    <w:p w14:paraId="548DAFD8" w14:textId="77777777" w:rsidR="000326DA" w:rsidRPr="00E4105B" w:rsidRDefault="000326DA" w:rsidP="002378EA">
      <w:pPr>
        <w:widowControl w:val="0"/>
        <w:numPr>
          <w:ilvl w:val="0"/>
          <w:numId w:val="68"/>
        </w:numPr>
        <w:autoSpaceDE w:val="0"/>
        <w:autoSpaceDN w:val="0"/>
        <w:rPr>
          <w:rFonts w:eastAsia="MS Mincho" w:cs="Arial"/>
          <w:szCs w:val="21"/>
          <w:lang w:val="pl-PL"/>
        </w:rPr>
      </w:pPr>
      <w:r w:rsidRPr="00E4105B">
        <w:rPr>
          <w:rFonts w:eastAsia="MS Mincho" w:cs="Arial"/>
          <w:szCs w:val="21"/>
          <w:lang w:val="pl-PL"/>
        </w:rPr>
        <w:t>Kuboresha mazingira ya kazi kwa kuzingatia mahitaji ya NES 2: juu ya Ajira na mazingira ya kazi na NES 4: juu ya afya na usalama wa idadi ya watu;</w:t>
      </w:r>
    </w:p>
    <w:p w14:paraId="5A9FD07A" w14:textId="77777777" w:rsidR="000326DA" w:rsidRPr="00E4105B" w:rsidRDefault="000326DA" w:rsidP="002378EA">
      <w:pPr>
        <w:widowControl w:val="0"/>
        <w:numPr>
          <w:ilvl w:val="0"/>
          <w:numId w:val="68"/>
        </w:numPr>
        <w:autoSpaceDE w:val="0"/>
        <w:autoSpaceDN w:val="0"/>
        <w:rPr>
          <w:rFonts w:eastAsia="MS Mincho" w:cs="Arial"/>
          <w:szCs w:val="21"/>
          <w:lang w:val="pl-PL"/>
        </w:rPr>
      </w:pPr>
      <w:r w:rsidRPr="00E4105B">
        <w:rPr>
          <w:rFonts w:eastAsia="MS Mincho" w:cs="Arial"/>
          <w:szCs w:val="21"/>
          <w:lang w:val="pl-PL"/>
        </w:rPr>
        <w:t>Shirika la wazalishaji na kujenga uwezo;</w:t>
      </w:r>
    </w:p>
    <w:p w14:paraId="400DBE73" w14:textId="77777777" w:rsidR="000326DA" w:rsidRPr="00E4105B" w:rsidRDefault="000326DA" w:rsidP="002378EA">
      <w:pPr>
        <w:widowControl w:val="0"/>
        <w:numPr>
          <w:ilvl w:val="0"/>
          <w:numId w:val="68"/>
        </w:numPr>
        <w:autoSpaceDE w:val="0"/>
        <w:autoSpaceDN w:val="0"/>
        <w:rPr>
          <w:rFonts w:eastAsia="MS Mincho" w:cs="Arial"/>
          <w:szCs w:val="21"/>
          <w:lang w:val="pl-PL"/>
        </w:rPr>
      </w:pPr>
      <w:r w:rsidRPr="00E4105B">
        <w:rPr>
          <w:rFonts w:eastAsia="MS Mincho" w:cs="Arial"/>
          <w:szCs w:val="21"/>
          <w:lang w:val="pl-PL"/>
        </w:rPr>
        <w:t xml:space="preserve">Kuboresha uzingatiaji wa kijinsia katika kilimo na hali ya wazalishaji wanawake katika sekta ya kilimo; </w:t>
      </w:r>
    </w:p>
    <w:p w14:paraId="6A500B5B" w14:textId="77777777" w:rsidR="000326DA" w:rsidRPr="00E4105B" w:rsidRDefault="000326DA" w:rsidP="002378EA">
      <w:pPr>
        <w:widowControl w:val="0"/>
        <w:numPr>
          <w:ilvl w:val="0"/>
          <w:numId w:val="68"/>
        </w:numPr>
        <w:autoSpaceDE w:val="0"/>
        <w:autoSpaceDN w:val="0"/>
        <w:rPr>
          <w:rFonts w:eastAsia="MS Mincho" w:cs="Arial"/>
          <w:szCs w:val="21"/>
          <w:lang w:val="pl-PL"/>
        </w:rPr>
      </w:pPr>
      <w:r w:rsidRPr="00E4105B">
        <w:rPr>
          <w:rFonts w:eastAsia="MS Mincho" w:cs="Arial"/>
          <w:szCs w:val="21"/>
          <w:lang w:val="pl-PL"/>
        </w:rPr>
        <w:t>Kuzingatia muda wote, muda mfupi, wafanyakazi wa muda mfupi, msimu na wahamiaji, wafanyakazi wa moja kwa moja, wafanyakazi wa mkataba, wafanyakazi wa jamii, wafanyakazi wa wauzaji wakuu;</w:t>
      </w:r>
    </w:p>
    <w:p w14:paraId="1BD08A23" w14:textId="77777777" w:rsidR="000326DA" w:rsidRPr="00E4105B" w:rsidRDefault="000326DA" w:rsidP="002378EA">
      <w:pPr>
        <w:widowControl w:val="0"/>
        <w:numPr>
          <w:ilvl w:val="0"/>
          <w:numId w:val="68"/>
        </w:numPr>
        <w:autoSpaceDE w:val="0"/>
        <w:autoSpaceDN w:val="0"/>
        <w:rPr>
          <w:rFonts w:eastAsia="MS Mincho" w:cs="Arial"/>
          <w:szCs w:val="21"/>
          <w:lang w:val="pl-PL"/>
        </w:rPr>
      </w:pPr>
      <w:r w:rsidRPr="00E4105B">
        <w:rPr>
          <w:rFonts w:eastAsia="MS Mincho" w:cs="Arial"/>
          <w:szCs w:val="21"/>
          <w:lang w:val="pl-PL"/>
        </w:rPr>
        <w:t>Maendeleo ya biashara ndogondogo karibu na maeneo ya ujenzi;</w:t>
      </w:r>
    </w:p>
    <w:p w14:paraId="2A501FA8" w14:textId="77777777" w:rsidR="000326DA" w:rsidRPr="00E4105B" w:rsidRDefault="000326DA" w:rsidP="002378EA">
      <w:pPr>
        <w:widowControl w:val="0"/>
        <w:numPr>
          <w:ilvl w:val="0"/>
          <w:numId w:val="68"/>
        </w:numPr>
        <w:autoSpaceDE w:val="0"/>
        <w:autoSpaceDN w:val="0"/>
        <w:rPr>
          <w:rFonts w:eastAsia="MS Mincho" w:cs="Arial"/>
          <w:szCs w:val="21"/>
          <w:lang w:val="pl-PL"/>
        </w:rPr>
      </w:pPr>
      <w:r w:rsidRPr="00E4105B">
        <w:rPr>
          <w:rFonts w:eastAsia="MS Mincho" w:cs="Arial"/>
          <w:szCs w:val="21"/>
          <w:lang w:val="pl-PL"/>
        </w:rPr>
        <w:t>Kuboresha mazingira ya maisha na hali ya maisha;</w:t>
      </w:r>
    </w:p>
    <w:p w14:paraId="5EDB39AF" w14:textId="77777777" w:rsidR="000326DA" w:rsidRPr="00E4105B" w:rsidRDefault="000326DA" w:rsidP="002378EA">
      <w:pPr>
        <w:widowControl w:val="0"/>
        <w:numPr>
          <w:ilvl w:val="0"/>
          <w:numId w:val="68"/>
        </w:numPr>
        <w:autoSpaceDE w:val="0"/>
        <w:autoSpaceDN w:val="0"/>
        <w:rPr>
          <w:rFonts w:eastAsia="MS Mincho" w:cs="Arial"/>
          <w:szCs w:val="21"/>
          <w:lang w:val="pl-PL"/>
        </w:rPr>
      </w:pPr>
      <w:r w:rsidRPr="00E4105B">
        <w:rPr>
          <w:rFonts w:eastAsia="MS Mincho" w:cs="Arial"/>
          <w:szCs w:val="21"/>
          <w:lang w:val="pl-PL"/>
        </w:rPr>
        <w:t>Utoshelevu wa chakula na mapambano dhidi ya utapiamlo;</w:t>
      </w:r>
    </w:p>
    <w:p w14:paraId="1B40DD9F" w14:textId="77777777" w:rsidR="000326DA" w:rsidRPr="00E4105B" w:rsidRDefault="000326DA" w:rsidP="002378EA">
      <w:pPr>
        <w:widowControl w:val="0"/>
        <w:numPr>
          <w:ilvl w:val="0"/>
          <w:numId w:val="68"/>
        </w:numPr>
        <w:autoSpaceDE w:val="0"/>
        <w:autoSpaceDN w:val="0"/>
        <w:rPr>
          <w:rFonts w:eastAsia="MS Mincho" w:cs="Arial"/>
          <w:szCs w:val="21"/>
          <w:lang w:val="pl-PL"/>
        </w:rPr>
      </w:pPr>
      <w:r w:rsidRPr="00E4105B">
        <w:rPr>
          <w:rFonts w:eastAsia="MS Mincho" w:cs="Arial"/>
          <w:szCs w:val="21"/>
          <w:lang w:val="pl-PL"/>
        </w:rPr>
        <w:t>Kupunguza gharama za miamala kwa wakulima wadogo (wanaume na wanawake) kupata masoko, pamoja na kuingizwa kwao katika vikundi vya wakulima (kufanya kazi katika vyama/vyama vya ushirika) na kilimo-MMEs;</w:t>
      </w:r>
    </w:p>
    <w:p w14:paraId="2282D795" w14:textId="77777777" w:rsidR="000326DA" w:rsidRPr="00E4105B" w:rsidRDefault="000326DA" w:rsidP="002378EA">
      <w:pPr>
        <w:widowControl w:val="0"/>
        <w:numPr>
          <w:ilvl w:val="0"/>
          <w:numId w:val="68"/>
        </w:numPr>
        <w:autoSpaceDE w:val="0"/>
        <w:autoSpaceDN w:val="0"/>
        <w:rPr>
          <w:rFonts w:eastAsia="MS Mincho" w:cs="Arial"/>
          <w:szCs w:val="21"/>
          <w:lang w:val="pl-PL"/>
        </w:rPr>
      </w:pPr>
      <w:r w:rsidRPr="00E4105B">
        <w:rPr>
          <w:rFonts w:eastAsia="MS Mincho" w:cs="Arial"/>
          <w:szCs w:val="21"/>
          <w:lang w:val="pl-PL"/>
        </w:rPr>
        <w:t>Mabonde ya uzalishaji wa kilimo katika mikoa mitano iliyofunikwa na mpango huo;</w:t>
      </w:r>
    </w:p>
    <w:p w14:paraId="10953929" w14:textId="77777777" w:rsidR="000326DA" w:rsidRPr="00E4105B" w:rsidRDefault="000326DA" w:rsidP="002378EA">
      <w:pPr>
        <w:widowControl w:val="0"/>
        <w:numPr>
          <w:ilvl w:val="0"/>
          <w:numId w:val="68"/>
        </w:numPr>
        <w:autoSpaceDE w:val="0"/>
        <w:autoSpaceDN w:val="0"/>
        <w:rPr>
          <w:rFonts w:eastAsia="MS Mincho" w:cs="Arial"/>
          <w:szCs w:val="21"/>
          <w:lang w:val="pl-PL"/>
        </w:rPr>
      </w:pPr>
      <w:r w:rsidRPr="00E4105B">
        <w:rPr>
          <w:rFonts w:eastAsia="MS Mincho" w:cs="Arial"/>
          <w:szCs w:val="21"/>
          <w:lang w:val="pl-PL"/>
        </w:rPr>
        <w:t>Msaada wa moja kwa moja kwa wakulima wadogo kwa ajili ya kupitishwa kwa CSA (kilimo cha hali ya hewa) na AIN (kilimo-smart) mazoezi, teknolojia na pembejeo (mbegu, mimea, uzalishaji wa wanyama, ushauri nasaha na huduma za ugani);</w:t>
      </w:r>
    </w:p>
    <w:p w14:paraId="47BE9F0E" w14:textId="77777777" w:rsidR="000326DA" w:rsidRPr="00E4105B" w:rsidRDefault="000326DA" w:rsidP="002378EA">
      <w:pPr>
        <w:widowControl w:val="0"/>
        <w:numPr>
          <w:ilvl w:val="0"/>
          <w:numId w:val="68"/>
        </w:numPr>
        <w:autoSpaceDE w:val="0"/>
        <w:autoSpaceDN w:val="0"/>
        <w:rPr>
          <w:rFonts w:eastAsia="MS Mincho" w:cs="Arial"/>
          <w:szCs w:val="21"/>
          <w:lang w:val="pl-PL"/>
        </w:rPr>
      </w:pPr>
      <w:r w:rsidRPr="00E4105B">
        <w:rPr>
          <w:rFonts w:eastAsia="MS Mincho" w:cs="Arial"/>
          <w:szCs w:val="21"/>
          <w:lang w:val="pl-PL"/>
        </w:rPr>
        <w:t>Msaada wa kiufundi kwa wafanyabiashara wadogo (umma, binafsi, NGO), huduma za utawala wa ardhi / usajili na huduma za kifedha;</w:t>
      </w:r>
    </w:p>
    <w:p w14:paraId="76E8A8A9" w14:textId="77777777" w:rsidR="000326DA" w:rsidRPr="00E4105B" w:rsidRDefault="000326DA" w:rsidP="002378EA">
      <w:pPr>
        <w:widowControl w:val="0"/>
        <w:numPr>
          <w:ilvl w:val="0"/>
          <w:numId w:val="68"/>
        </w:numPr>
        <w:autoSpaceDE w:val="0"/>
        <w:autoSpaceDN w:val="0"/>
        <w:rPr>
          <w:rFonts w:eastAsia="MS Mincho" w:cs="Arial"/>
          <w:szCs w:val="21"/>
          <w:lang w:val="pl-PL"/>
        </w:rPr>
      </w:pPr>
      <w:r w:rsidRPr="00E4105B">
        <w:rPr>
          <w:rFonts w:eastAsia="MS Mincho" w:cs="Arial"/>
          <w:szCs w:val="21"/>
          <w:lang w:val="pl-PL"/>
        </w:rPr>
        <w:t>Kuongezeka kwa uzalishaji wa kilimo na uzalishaji, kuongezeka kwa mapato ya wakulima wadogo na kuvutia ajira zaidi katika sekta ya kilimo,</w:t>
      </w:r>
    </w:p>
    <w:p w14:paraId="569B4DA9" w14:textId="77777777" w:rsidR="000326DA" w:rsidRPr="00E4105B" w:rsidRDefault="000326DA" w:rsidP="002378EA">
      <w:pPr>
        <w:widowControl w:val="0"/>
        <w:numPr>
          <w:ilvl w:val="0"/>
          <w:numId w:val="68"/>
        </w:numPr>
        <w:autoSpaceDE w:val="0"/>
        <w:autoSpaceDN w:val="0"/>
        <w:rPr>
          <w:rFonts w:eastAsia="MS Mincho" w:cs="Arial"/>
          <w:szCs w:val="21"/>
          <w:lang w:val="pl-PL"/>
        </w:rPr>
      </w:pPr>
      <w:r w:rsidRPr="00E4105B">
        <w:rPr>
          <w:rFonts w:eastAsia="MS Mincho" w:cs="Arial"/>
          <w:szCs w:val="21"/>
          <w:lang w:val="pl-PL"/>
        </w:rPr>
        <w:t>Uboreshaji wa utoshelevu wa chakula;</w:t>
      </w:r>
    </w:p>
    <w:p w14:paraId="1EFF2663" w14:textId="77777777" w:rsidR="000326DA" w:rsidRPr="00E4105B" w:rsidRDefault="000326DA" w:rsidP="002378EA">
      <w:pPr>
        <w:widowControl w:val="0"/>
        <w:numPr>
          <w:ilvl w:val="0"/>
          <w:numId w:val="68"/>
        </w:numPr>
        <w:autoSpaceDE w:val="0"/>
        <w:autoSpaceDN w:val="0"/>
        <w:rPr>
          <w:rFonts w:eastAsia="MS Mincho" w:cs="Arial"/>
          <w:szCs w:val="21"/>
          <w:lang w:val="pl-PL"/>
        </w:rPr>
      </w:pPr>
      <w:r w:rsidRPr="00E4105B">
        <w:rPr>
          <w:rFonts w:eastAsia="MS Mincho" w:cs="Arial"/>
          <w:szCs w:val="21"/>
          <w:lang w:val="pl-PL"/>
        </w:rPr>
        <w:t>Uboreshaji wa uzalishaji wa kilimo kufuatia utoaji wa pembejeo na huduma za kilimo (shughuli za kabla ya mavuno) kama vile mitambo ya kilimo, mbegu, mbolea, umwagiliaji wa shamba, msaada wa kiufundi;</w:t>
      </w:r>
    </w:p>
    <w:p w14:paraId="3D705D36" w14:textId="77777777" w:rsidR="000326DA" w:rsidRPr="00E4105B" w:rsidRDefault="000326DA" w:rsidP="002378EA">
      <w:pPr>
        <w:widowControl w:val="0"/>
        <w:numPr>
          <w:ilvl w:val="0"/>
          <w:numId w:val="68"/>
        </w:numPr>
        <w:autoSpaceDE w:val="0"/>
        <w:autoSpaceDN w:val="0"/>
        <w:rPr>
          <w:rFonts w:eastAsia="MS Mincho" w:cs="Arial"/>
          <w:szCs w:val="21"/>
          <w:lang w:val="pl-PL"/>
        </w:rPr>
      </w:pPr>
      <w:r w:rsidRPr="00E4105B">
        <w:rPr>
          <w:rFonts w:eastAsia="MS Mincho" w:cs="Arial"/>
          <w:szCs w:val="21"/>
          <w:lang w:val="pl-PL"/>
        </w:rPr>
        <w:t>Harakati nzuri ya meli zinazohamisha bidhaa za kilimo kwa vituo vya watumiaji kutokana na kuashiria na kuzama kwa meli kwenye mito katika majimbo yaliyofunikwa na Mpango;</w:t>
      </w:r>
    </w:p>
    <w:p w14:paraId="1AB4B1C4" w14:textId="77777777" w:rsidR="000326DA" w:rsidRPr="00E4105B" w:rsidRDefault="000326DA" w:rsidP="002378EA">
      <w:pPr>
        <w:widowControl w:val="0"/>
        <w:numPr>
          <w:ilvl w:val="0"/>
          <w:numId w:val="68"/>
        </w:numPr>
        <w:autoSpaceDE w:val="0"/>
        <w:autoSpaceDN w:val="0"/>
        <w:rPr>
          <w:rFonts w:eastAsia="MS Mincho" w:cs="Arial"/>
          <w:szCs w:val="21"/>
          <w:lang w:val="pl-PL"/>
        </w:rPr>
      </w:pPr>
      <w:r w:rsidRPr="00E4105B">
        <w:rPr>
          <w:rFonts w:eastAsia="MS Mincho" w:cs="Arial"/>
          <w:szCs w:val="21"/>
          <w:lang w:val="pl-PL"/>
        </w:rPr>
        <w:t>Masoko ya bidhaa za kilimo na wanyama kufuatia ujenzi wa masoko, amana, nyumba za kuchinja, maendeleo ya uchumi wa kilimo kufuatia ufadhili wa wakulima wadogo na IF, n.k; Na</w:t>
      </w:r>
    </w:p>
    <w:p w14:paraId="21147B2E" w14:textId="77777777" w:rsidR="000326DA" w:rsidRPr="00E4105B" w:rsidRDefault="000326DA" w:rsidP="002378EA">
      <w:pPr>
        <w:widowControl w:val="0"/>
        <w:numPr>
          <w:ilvl w:val="0"/>
          <w:numId w:val="68"/>
        </w:numPr>
        <w:autoSpaceDE w:val="0"/>
        <w:autoSpaceDN w:val="0"/>
        <w:rPr>
          <w:rFonts w:eastAsia="MS Mincho" w:cs="Arial"/>
          <w:szCs w:val="21"/>
          <w:lang w:val="pl-PL"/>
        </w:rPr>
      </w:pPr>
      <w:r w:rsidRPr="00E4105B">
        <w:rPr>
          <w:rFonts w:eastAsia="MS Mincho" w:cs="Arial"/>
          <w:szCs w:val="21"/>
          <w:lang w:val="pl-PL"/>
        </w:rPr>
        <w:t>Ongezeko la mapato ya wakulima wadogo kutokana na utoaji wa mikopo na IF.</w:t>
      </w:r>
    </w:p>
    <w:p w14:paraId="29C6586C" w14:textId="77777777" w:rsidR="000326DA" w:rsidRPr="00E4105B" w:rsidRDefault="000326DA" w:rsidP="000326DA">
      <w:pPr>
        <w:widowControl w:val="0"/>
        <w:autoSpaceDE w:val="0"/>
        <w:autoSpaceDN w:val="0"/>
        <w:ind w:left="720"/>
        <w:rPr>
          <w:rFonts w:eastAsia="MS Mincho" w:cs="Arial"/>
          <w:szCs w:val="21"/>
          <w:lang w:val="pl-PL"/>
        </w:rPr>
      </w:pPr>
    </w:p>
    <w:p w14:paraId="393AF05D" w14:textId="77777777" w:rsidR="000326DA" w:rsidRPr="00E4105B" w:rsidRDefault="000326DA" w:rsidP="000326DA">
      <w:pPr>
        <w:widowControl w:val="0"/>
        <w:autoSpaceDE w:val="0"/>
        <w:autoSpaceDN w:val="0"/>
        <w:ind w:left="720"/>
        <w:rPr>
          <w:rFonts w:eastAsia="MS Mincho" w:cs="Arial"/>
          <w:szCs w:val="21"/>
          <w:u w:val="single"/>
          <w:lang w:val="pl-PL"/>
        </w:rPr>
      </w:pPr>
      <w:r w:rsidRPr="00E4105B">
        <w:rPr>
          <w:rFonts w:eastAsia="MS Mincho" w:cs="Arial"/>
          <w:szCs w:val="21"/>
          <w:u w:val="single"/>
          <w:lang w:val="pl-PL"/>
        </w:rPr>
        <w:t>Katika awamu ya unyonyaji wa shughuli za kilimo:</w:t>
      </w:r>
    </w:p>
    <w:p w14:paraId="2524046A" w14:textId="77777777" w:rsidR="000326DA" w:rsidRPr="00E4105B" w:rsidRDefault="000326DA" w:rsidP="000326DA">
      <w:pPr>
        <w:widowControl w:val="0"/>
        <w:autoSpaceDE w:val="0"/>
        <w:autoSpaceDN w:val="0"/>
        <w:ind w:left="720"/>
        <w:rPr>
          <w:rFonts w:eastAsia="MS Mincho" w:cs="Arial"/>
          <w:szCs w:val="21"/>
          <w:lang w:val="pl-PL"/>
        </w:rPr>
      </w:pPr>
    </w:p>
    <w:p w14:paraId="71CA2E2C" w14:textId="77777777" w:rsidR="000326DA" w:rsidRPr="00E4105B" w:rsidRDefault="000326DA" w:rsidP="002378EA">
      <w:pPr>
        <w:pStyle w:val="Paragraphedeliste"/>
        <w:widowControl w:val="0"/>
        <w:numPr>
          <w:ilvl w:val="0"/>
          <w:numId w:val="162"/>
        </w:numPr>
        <w:autoSpaceDE w:val="0"/>
        <w:autoSpaceDN w:val="0"/>
        <w:rPr>
          <w:rFonts w:eastAsia="MS Mincho" w:cs="Arial"/>
          <w:szCs w:val="21"/>
          <w:lang w:val="pl-PL"/>
        </w:rPr>
      </w:pPr>
      <w:r w:rsidRPr="00E4105B">
        <w:rPr>
          <w:rFonts w:eastAsia="MS Mincho" w:cs="Arial"/>
          <w:szCs w:val="21"/>
          <w:lang w:val="pl-PL"/>
        </w:rPr>
        <w:t>Kuundwa kwa Kijiji kidogo Caisses Kujisimamia;</w:t>
      </w:r>
    </w:p>
    <w:p w14:paraId="745A3BC0" w14:textId="77777777" w:rsidR="000326DA" w:rsidRPr="00E4105B" w:rsidRDefault="000326DA" w:rsidP="002378EA">
      <w:pPr>
        <w:pStyle w:val="Paragraphedeliste"/>
        <w:widowControl w:val="0"/>
        <w:numPr>
          <w:ilvl w:val="0"/>
          <w:numId w:val="162"/>
        </w:numPr>
        <w:autoSpaceDE w:val="0"/>
        <w:autoSpaceDN w:val="0"/>
        <w:rPr>
          <w:rFonts w:eastAsia="MS Mincho" w:cs="Arial"/>
          <w:szCs w:val="21"/>
          <w:lang w:val="pl-PL"/>
        </w:rPr>
      </w:pPr>
      <w:r w:rsidRPr="00E4105B">
        <w:rPr>
          <w:rFonts w:eastAsia="MS Mincho" w:cs="Arial"/>
          <w:szCs w:val="21"/>
          <w:lang w:val="pl-PL"/>
        </w:rPr>
        <w:t>Kuamsha ufahamu kuhusu hali ya uharibifu wa udongo;</w:t>
      </w:r>
    </w:p>
    <w:p w14:paraId="44B33900" w14:textId="77777777" w:rsidR="000326DA" w:rsidRPr="00E4105B" w:rsidRDefault="000326DA" w:rsidP="002378EA">
      <w:pPr>
        <w:pStyle w:val="Paragraphedeliste"/>
        <w:widowControl w:val="0"/>
        <w:numPr>
          <w:ilvl w:val="0"/>
          <w:numId w:val="162"/>
        </w:numPr>
        <w:autoSpaceDE w:val="0"/>
        <w:autoSpaceDN w:val="0"/>
        <w:rPr>
          <w:rFonts w:eastAsia="MS Mincho" w:cs="Arial"/>
          <w:szCs w:val="21"/>
          <w:lang w:val="pl-PL"/>
        </w:rPr>
      </w:pPr>
      <w:r w:rsidRPr="00E4105B">
        <w:rPr>
          <w:rFonts w:eastAsia="MS Mincho" w:cs="Arial"/>
          <w:szCs w:val="21"/>
          <w:lang w:val="pl-PL"/>
        </w:rPr>
        <w:t xml:space="preserve">Kusimamisha msafara wa vijijini; </w:t>
      </w:r>
    </w:p>
    <w:p w14:paraId="2A9E7F68" w14:textId="77777777" w:rsidR="000326DA" w:rsidRPr="00E4105B" w:rsidRDefault="000326DA" w:rsidP="002378EA">
      <w:pPr>
        <w:pStyle w:val="Paragraphedeliste"/>
        <w:widowControl w:val="0"/>
        <w:numPr>
          <w:ilvl w:val="0"/>
          <w:numId w:val="162"/>
        </w:numPr>
        <w:autoSpaceDE w:val="0"/>
        <w:autoSpaceDN w:val="0"/>
        <w:rPr>
          <w:rFonts w:eastAsia="MS Mincho" w:cs="Arial"/>
          <w:szCs w:val="21"/>
          <w:lang w:val="pl-PL"/>
        </w:rPr>
      </w:pPr>
      <w:r w:rsidRPr="00E4105B">
        <w:rPr>
          <w:rFonts w:eastAsia="MS Mincho" w:cs="Arial"/>
          <w:szCs w:val="21"/>
          <w:lang w:val="pl-PL"/>
        </w:rPr>
        <w:t xml:space="preserve">Kuhamasisha wanawake na vijana; </w:t>
      </w:r>
    </w:p>
    <w:p w14:paraId="1D8A7A6C" w14:textId="77777777" w:rsidR="000326DA" w:rsidRPr="00E4105B" w:rsidRDefault="000326DA" w:rsidP="002378EA">
      <w:pPr>
        <w:pStyle w:val="Paragraphedeliste"/>
        <w:widowControl w:val="0"/>
        <w:numPr>
          <w:ilvl w:val="0"/>
          <w:numId w:val="162"/>
        </w:numPr>
        <w:autoSpaceDE w:val="0"/>
        <w:autoSpaceDN w:val="0"/>
        <w:rPr>
          <w:rFonts w:eastAsia="MS Mincho" w:cs="Arial"/>
          <w:szCs w:val="21"/>
          <w:lang w:val="pl-PL"/>
        </w:rPr>
      </w:pPr>
      <w:r w:rsidRPr="00E4105B">
        <w:rPr>
          <w:rFonts w:eastAsia="MS Mincho" w:cs="Arial"/>
          <w:szCs w:val="21"/>
          <w:lang w:val="pl-PL"/>
        </w:rPr>
        <w:t xml:space="preserve">Uendelevu wa shughuli mwaka mzima; </w:t>
      </w:r>
    </w:p>
    <w:p w14:paraId="64873934" w14:textId="77777777" w:rsidR="000326DA" w:rsidRPr="00E4105B" w:rsidRDefault="000326DA" w:rsidP="002378EA">
      <w:pPr>
        <w:pStyle w:val="Paragraphedeliste"/>
        <w:widowControl w:val="0"/>
        <w:numPr>
          <w:ilvl w:val="0"/>
          <w:numId w:val="162"/>
        </w:numPr>
        <w:autoSpaceDE w:val="0"/>
        <w:autoSpaceDN w:val="0"/>
        <w:rPr>
          <w:rFonts w:eastAsia="MS Mincho" w:cs="Arial"/>
          <w:szCs w:val="21"/>
          <w:lang w:val="pl-PL"/>
        </w:rPr>
      </w:pPr>
      <w:r w:rsidRPr="00E4105B">
        <w:rPr>
          <w:rFonts w:eastAsia="MS Mincho" w:cs="Arial"/>
          <w:szCs w:val="21"/>
          <w:lang w:val="pl-PL"/>
        </w:rPr>
        <w:t>Mchango wa kusimamisha uharibifu;</w:t>
      </w:r>
    </w:p>
    <w:p w14:paraId="32AA7408" w14:textId="77777777" w:rsidR="000326DA" w:rsidRPr="00E4105B" w:rsidRDefault="000326DA" w:rsidP="002378EA">
      <w:pPr>
        <w:pStyle w:val="Paragraphedeliste"/>
        <w:widowControl w:val="0"/>
        <w:numPr>
          <w:ilvl w:val="0"/>
          <w:numId w:val="162"/>
        </w:numPr>
        <w:autoSpaceDE w:val="0"/>
        <w:autoSpaceDN w:val="0"/>
        <w:rPr>
          <w:rFonts w:eastAsia="MS Mincho" w:cs="Arial"/>
          <w:szCs w:val="21"/>
          <w:lang w:val="pl-PL"/>
        </w:rPr>
      </w:pPr>
      <w:r w:rsidRPr="00E4105B">
        <w:rPr>
          <w:rFonts w:eastAsia="MS Mincho" w:cs="Arial"/>
          <w:szCs w:val="21"/>
          <w:lang w:val="pl-PL"/>
        </w:rPr>
        <w:t xml:space="preserve">Kuundwa kwa Vyama vya Wazalishaji; </w:t>
      </w:r>
    </w:p>
    <w:p w14:paraId="50321F36" w14:textId="77777777" w:rsidR="000326DA" w:rsidRPr="00E4105B" w:rsidRDefault="000326DA" w:rsidP="002378EA">
      <w:pPr>
        <w:pStyle w:val="Paragraphedeliste"/>
        <w:widowControl w:val="0"/>
        <w:numPr>
          <w:ilvl w:val="0"/>
          <w:numId w:val="162"/>
        </w:numPr>
        <w:autoSpaceDE w:val="0"/>
        <w:autoSpaceDN w:val="0"/>
        <w:rPr>
          <w:rFonts w:eastAsia="MS Mincho" w:cs="Arial"/>
          <w:szCs w:val="21"/>
          <w:lang w:val="pl-PL"/>
        </w:rPr>
      </w:pPr>
      <w:r w:rsidRPr="00E4105B">
        <w:rPr>
          <w:rFonts w:eastAsia="MS Mincho" w:cs="Arial"/>
          <w:szCs w:val="21"/>
          <w:lang w:val="pl-PL"/>
        </w:rPr>
        <w:t xml:space="preserve">Kuundwa kwa Vyama vya Ushirika vya Wazalishaji; </w:t>
      </w:r>
    </w:p>
    <w:p w14:paraId="2DE43F52" w14:textId="77777777" w:rsidR="000326DA" w:rsidRPr="00E4105B" w:rsidRDefault="000326DA" w:rsidP="002378EA">
      <w:pPr>
        <w:pStyle w:val="Paragraphedeliste"/>
        <w:widowControl w:val="0"/>
        <w:numPr>
          <w:ilvl w:val="0"/>
          <w:numId w:val="162"/>
        </w:numPr>
        <w:autoSpaceDE w:val="0"/>
        <w:autoSpaceDN w:val="0"/>
        <w:rPr>
          <w:rFonts w:eastAsia="MS Mincho" w:cs="Arial"/>
          <w:szCs w:val="21"/>
          <w:lang w:val="pl-PL"/>
        </w:rPr>
      </w:pPr>
      <w:r w:rsidRPr="00E4105B">
        <w:rPr>
          <w:rFonts w:eastAsia="MS Mincho" w:cs="Arial"/>
          <w:szCs w:val="21"/>
          <w:lang w:val="pl-PL"/>
        </w:rPr>
        <w:t xml:space="preserve">Shirika bora kwa ajili ya usindikaji wa bidhaa; </w:t>
      </w:r>
    </w:p>
    <w:p w14:paraId="285E0B6D" w14:textId="77777777" w:rsidR="000326DA" w:rsidRPr="00E4105B" w:rsidRDefault="000326DA" w:rsidP="002378EA">
      <w:pPr>
        <w:pStyle w:val="Paragraphedeliste"/>
        <w:widowControl w:val="0"/>
        <w:numPr>
          <w:ilvl w:val="0"/>
          <w:numId w:val="162"/>
        </w:numPr>
        <w:autoSpaceDE w:val="0"/>
        <w:autoSpaceDN w:val="0"/>
        <w:rPr>
          <w:rFonts w:eastAsia="MS Mincho" w:cs="Arial"/>
          <w:szCs w:val="21"/>
          <w:lang w:val="pl-PL"/>
        </w:rPr>
      </w:pPr>
      <w:r w:rsidRPr="00E4105B">
        <w:rPr>
          <w:rFonts w:eastAsia="MS Mincho" w:cs="Arial"/>
          <w:szCs w:val="21"/>
          <w:lang w:val="pl-PL"/>
        </w:rPr>
        <w:t xml:space="preserve">Maendeleo ya Njia za Masoko; </w:t>
      </w:r>
    </w:p>
    <w:p w14:paraId="3AE917E2" w14:textId="77777777" w:rsidR="000326DA" w:rsidRPr="00E4105B" w:rsidRDefault="000326DA" w:rsidP="002378EA">
      <w:pPr>
        <w:pStyle w:val="Paragraphedeliste"/>
        <w:widowControl w:val="0"/>
        <w:numPr>
          <w:ilvl w:val="0"/>
          <w:numId w:val="162"/>
        </w:numPr>
        <w:autoSpaceDE w:val="0"/>
        <w:autoSpaceDN w:val="0"/>
        <w:rPr>
          <w:rFonts w:eastAsia="MS Mincho" w:cs="Arial"/>
          <w:szCs w:val="21"/>
          <w:lang w:val="pl-PL"/>
        </w:rPr>
      </w:pPr>
      <w:r w:rsidRPr="00E4105B">
        <w:rPr>
          <w:rFonts w:eastAsia="MS Mincho" w:cs="Arial"/>
          <w:szCs w:val="21"/>
          <w:lang w:val="pl-PL"/>
        </w:rPr>
        <w:t>Kuzingatia jinsia na uboreshaji wa hali ya mzalishaji wa kike;</w:t>
      </w:r>
    </w:p>
    <w:p w14:paraId="1B46174A" w14:textId="77777777" w:rsidR="000326DA" w:rsidRPr="00E4105B" w:rsidRDefault="000326DA" w:rsidP="002378EA">
      <w:pPr>
        <w:pStyle w:val="Paragraphedeliste"/>
        <w:widowControl w:val="0"/>
        <w:numPr>
          <w:ilvl w:val="0"/>
          <w:numId w:val="162"/>
        </w:numPr>
        <w:autoSpaceDE w:val="0"/>
        <w:autoSpaceDN w:val="0"/>
        <w:rPr>
          <w:rFonts w:eastAsia="MS Mincho" w:cs="Arial"/>
          <w:szCs w:val="21"/>
          <w:lang w:val="pl-PL"/>
        </w:rPr>
      </w:pPr>
      <w:r w:rsidRPr="00E4105B">
        <w:rPr>
          <w:rFonts w:eastAsia="MS Mincho" w:cs="Arial"/>
          <w:szCs w:val="21"/>
          <w:lang w:val="pl-PL"/>
        </w:rPr>
        <w:t xml:space="preserve">Kuzingatia vyema jinsia na mchakato wa kuunganisha maoni ya haki katika utekelezaji wa shughuli;  </w:t>
      </w:r>
    </w:p>
    <w:p w14:paraId="6AF831B8" w14:textId="77777777" w:rsidR="000326DA" w:rsidRPr="00E4105B" w:rsidRDefault="000326DA" w:rsidP="002378EA">
      <w:pPr>
        <w:pStyle w:val="Paragraphedeliste"/>
        <w:widowControl w:val="0"/>
        <w:numPr>
          <w:ilvl w:val="0"/>
          <w:numId w:val="162"/>
        </w:numPr>
        <w:autoSpaceDE w:val="0"/>
        <w:autoSpaceDN w:val="0"/>
        <w:rPr>
          <w:rFonts w:eastAsia="MS Mincho" w:cs="Arial"/>
          <w:szCs w:val="21"/>
          <w:lang w:val="pl-PL"/>
        </w:rPr>
      </w:pPr>
      <w:r w:rsidRPr="00E4105B">
        <w:rPr>
          <w:rFonts w:eastAsia="MS Mincho" w:cs="Arial"/>
          <w:szCs w:val="21"/>
          <w:lang w:val="pl-PL"/>
        </w:rPr>
        <w:t>Kuongezeka kwa ushiriki wa wanawake na vijana katika shughuli za mradi katika suala la ukuaji wa mapato, kusoma na kuandika teknolojia na kufundisha; Na</w:t>
      </w:r>
    </w:p>
    <w:p w14:paraId="4E9856C1" w14:textId="77777777" w:rsidR="000326DA" w:rsidRPr="00E4105B" w:rsidRDefault="000326DA" w:rsidP="002378EA">
      <w:pPr>
        <w:pStyle w:val="Paragraphedeliste"/>
        <w:widowControl w:val="0"/>
        <w:numPr>
          <w:ilvl w:val="0"/>
          <w:numId w:val="162"/>
        </w:numPr>
        <w:autoSpaceDE w:val="0"/>
        <w:autoSpaceDN w:val="0"/>
        <w:rPr>
          <w:rFonts w:eastAsia="MS Mincho" w:cs="Arial"/>
          <w:szCs w:val="21"/>
          <w:lang w:val="pl-PL"/>
        </w:rPr>
      </w:pPr>
      <w:r w:rsidRPr="00E4105B">
        <w:rPr>
          <w:rFonts w:eastAsia="MS Mincho" w:cs="Arial"/>
          <w:szCs w:val="21"/>
          <w:lang w:val="pl-PL"/>
        </w:rPr>
        <w:t>Umahiri mzuri wa mazoea ya teknolojia mpya ya kilimo cha akili katika uso wa hali ya hewa na lishe.</w:t>
      </w:r>
    </w:p>
    <w:p w14:paraId="45450E24" w14:textId="77777777" w:rsidR="000326DA" w:rsidRPr="00E4105B" w:rsidRDefault="000326DA" w:rsidP="002378EA">
      <w:pPr>
        <w:pStyle w:val="Paragraphedeliste"/>
        <w:widowControl w:val="0"/>
        <w:numPr>
          <w:ilvl w:val="0"/>
          <w:numId w:val="162"/>
        </w:numPr>
        <w:autoSpaceDE w:val="0"/>
        <w:autoSpaceDN w:val="0"/>
        <w:rPr>
          <w:rFonts w:eastAsia="MS Mincho" w:cs="Arial"/>
          <w:szCs w:val="21"/>
          <w:lang w:val="pl-PL"/>
        </w:rPr>
      </w:pPr>
      <w:r w:rsidRPr="00E4105B">
        <w:rPr>
          <w:rFonts w:eastAsia="MS Mincho" w:cs="Arial"/>
          <w:szCs w:val="21"/>
          <w:lang w:val="pl-PL"/>
        </w:rPr>
        <w:t xml:space="preserve">Kupunguza hasara baada ya mavuno </w:t>
      </w:r>
    </w:p>
    <w:p w14:paraId="053C67BA" w14:textId="77777777" w:rsidR="000326DA" w:rsidRPr="00E4105B" w:rsidRDefault="000326DA" w:rsidP="002378EA">
      <w:pPr>
        <w:pStyle w:val="Paragraphedeliste"/>
        <w:widowControl w:val="0"/>
        <w:numPr>
          <w:ilvl w:val="0"/>
          <w:numId w:val="162"/>
        </w:numPr>
        <w:autoSpaceDE w:val="0"/>
        <w:autoSpaceDN w:val="0"/>
        <w:rPr>
          <w:rFonts w:eastAsia="MS Mincho" w:cs="Arial"/>
          <w:szCs w:val="21"/>
          <w:lang w:val="pl-PL"/>
        </w:rPr>
      </w:pPr>
      <w:r w:rsidRPr="00E4105B">
        <w:rPr>
          <w:rFonts w:eastAsia="MS Mincho" w:cs="Arial"/>
          <w:szCs w:val="21"/>
          <w:lang w:val="pl-PL"/>
        </w:rPr>
        <w:t xml:space="preserve">Uwezo wa wazalishaji na taasisi za kifedha kuunganisha mazingatio ya mazingira na kijamii katika mipango midogo ya biashara ya mradi </w:t>
      </w:r>
    </w:p>
    <w:p w14:paraId="79640C94" w14:textId="77777777" w:rsidR="000326DA" w:rsidRPr="00E4105B" w:rsidRDefault="000326DA" w:rsidP="002378EA">
      <w:pPr>
        <w:pStyle w:val="Paragraphedeliste"/>
        <w:widowControl w:val="0"/>
        <w:numPr>
          <w:ilvl w:val="0"/>
          <w:numId w:val="162"/>
        </w:numPr>
        <w:autoSpaceDE w:val="0"/>
        <w:autoSpaceDN w:val="0"/>
        <w:rPr>
          <w:rFonts w:eastAsia="MS Mincho" w:cs="Arial"/>
          <w:szCs w:val="21"/>
          <w:lang w:val="pl-PL"/>
        </w:rPr>
      </w:pPr>
      <w:r w:rsidRPr="00E4105B">
        <w:rPr>
          <w:rFonts w:eastAsia="MS Mincho" w:cs="Arial"/>
          <w:szCs w:val="21"/>
          <w:lang w:val="pl-PL"/>
        </w:rPr>
        <w:t>Hatari za migogoro inayohusiana na usimamizi wa miundombinu ya jamii (eneo, upatikanaji na malipo ya huduma)</w:t>
      </w:r>
    </w:p>
    <w:p w14:paraId="0E438AF2" w14:textId="77777777" w:rsidR="000326DA" w:rsidRPr="00E4105B" w:rsidRDefault="000326DA" w:rsidP="000326DA">
      <w:pPr>
        <w:rPr>
          <w:rFonts w:cs="Arial"/>
          <w:szCs w:val="21"/>
          <w:u w:val="single"/>
          <w:lang w:val="pl-PL"/>
        </w:rPr>
      </w:pPr>
    </w:p>
    <w:p w14:paraId="50361F15" w14:textId="77777777" w:rsidR="000326DA" w:rsidRPr="00E4105B" w:rsidRDefault="000326DA" w:rsidP="000326DA">
      <w:pPr>
        <w:rPr>
          <w:rFonts w:cs="Arial"/>
          <w:szCs w:val="21"/>
          <w:u w:val="single"/>
          <w:lang w:val="pl-PL"/>
        </w:rPr>
      </w:pPr>
      <w:r w:rsidRPr="00E4105B">
        <w:rPr>
          <w:rFonts w:cs="Arial"/>
          <w:szCs w:val="21"/>
          <w:u w:val="single"/>
          <w:lang w:val="pl-PL"/>
        </w:rPr>
        <w:t>Hatari na uwezekano wa athari mbaya za kazi za kilimo na umwagiliaji (kazi za maendeleo na maji):</w:t>
      </w:r>
    </w:p>
    <w:p w14:paraId="4753592C" w14:textId="77777777" w:rsidR="000326DA" w:rsidRPr="00E4105B" w:rsidRDefault="000326DA" w:rsidP="000326DA">
      <w:pPr>
        <w:rPr>
          <w:rFonts w:cs="Arial"/>
          <w:szCs w:val="21"/>
          <w:lang w:val="pl-PL"/>
        </w:rPr>
      </w:pPr>
    </w:p>
    <w:p w14:paraId="6390C014" w14:textId="77777777" w:rsidR="000326DA" w:rsidRPr="00E4105B" w:rsidRDefault="000326DA" w:rsidP="002378EA">
      <w:pPr>
        <w:pStyle w:val="Paragraphedeliste"/>
        <w:numPr>
          <w:ilvl w:val="0"/>
          <w:numId w:val="163"/>
        </w:numPr>
        <w:rPr>
          <w:rFonts w:eastAsia="MS Mincho" w:cs="Arial"/>
          <w:szCs w:val="21"/>
          <w:lang w:val="pl-PL"/>
        </w:rPr>
      </w:pPr>
      <w:r w:rsidRPr="00E4105B">
        <w:rPr>
          <w:rFonts w:eastAsia="MS Mincho" w:cs="Arial"/>
          <w:szCs w:val="21"/>
          <w:lang w:val="pl-PL"/>
        </w:rPr>
        <w:t>Hatari ya VBG / EAS / HS wakati wa kipindi cha uzinduzi wa mradi;</w:t>
      </w:r>
    </w:p>
    <w:p w14:paraId="4325A9F7" w14:textId="77777777" w:rsidR="000326DA" w:rsidRPr="00E4105B" w:rsidRDefault="000326DA" w:rsidP="002378EA">
      <w:pPr>
        <w:pStyle w:val="Paragraphedeliste"/>
        <w:numPr>
          <w:ilvl w:val="0"/>
          <w:numId w:val="163"/>
        </w:numPr>
        <w:rPr>
          <w:rFonts w:eastAsia="MS Mincho" w:cs="Arial"/>
          <w:szCs w:val="21"/>
          <w:lang w:val="pl-PL"/>
        </w:rPr>
      </w:pPr>
      <w:r w:rsidRPr="00E4105B">
        <w:rPr>
          <w:rFonts w:eastAsia="MS Mincho" w:cs="Arial"/>
          <w:szCs w:val="21"/>
          <w:lang w:val="pl-PL"/>
        </w:rPr>
        <w:t xml:space="preserve">Hatari ya usumbufu wa viwanja vya spawning katika mito; </w:t>
      </w:r>
    </w:p>
    <w:p w14:paraId="16F63563" w14:textId="77777777" w:rsidR="000326DA" w:rsidRPr="00E4105B" w:rsidRDefault="000326DA" w:rsidP="002378EA">
      <w:pPr>
        <w:pStyle w:val="Paragraphedeliste"/>
        <w:numPr>
          <w:ilvl w:val="0"/>
          <w:numId w:val="163"/>
        </w:numPr>
        <w:rPr>
          <w:rFonts w:eastAsia="MS Mincho" w:cs="Arial"/>
          <w:szCs w:val="21"/>
          <w:lang w:val="pl-PL"/>
        </w:rPr>
      </w:pPr>
      <w:r w:rsidRPr="00E4105B">
        <w:rPr>
          <w:rFonts w:eastAsia="MS Mincho" w:cs="Arial"/>
          <w:szCs w:val="21"/>
          <w:lang w:val="pl-PL"/>
        </w:rPr>
        <w:t xml:space="preserve">Ukataji miti, uharibifu wa udongo kwa mmomotelezi, uharibifu wa makazi wakati wa kusafisha ardhi; </w:t>
      </w:r>
    </w:p>
    <w:p w14:paraId="7E6AC378" w14:textId="77777777" w:rsidR="000326DA" w:rsidRPr="00E4105B" w:rsidRDefault="000326DA" w:rsidP="002378EA">
      <w:pPr>
        <w:pStyle w:val="Paragraphedeliste"/>
        <w:numPr>
          <w:ilvl w:val="0"/>
          <w:numId w:val="163"/>
        </w:numPr>
        <w:rPr>
          <w:rFonts w:eastAsia="MS Mincho" w:cs="Arial"/>
          <w:szCs w:val="21"/>
        </w:rPr>
      </w:pPr>
      <w:r w:rsidRPr="00E4105B">
        <w:rPr>
          <w:rFonts w:eastAsia="MS Mincho" w:cs="Arial"/>
          <w:szCs w:val="21"/>
        </w:rPr>
        <w:t xml:space="preserve">Uharibifu wa microfauna na suala la kikaboni;  </w:t>
      </w:r>
    </w:p>
    <w:p w14:paraId="60D9CEC0" w14:textId="77777777" w:rsidR="000326DA" w:rsidRPr="00E4105B" w:rsidRDefault="000326DA" w:rsidP="002378EA">
      <w:pPr>
        <w:pStyle w:val="Paragraphedeliste"/>
        <w:numPr>
          <w:ilvl w:val="0"/>
          <w:numId w:val="163"/>
        </w:numPr>
        <w:rPr>
          <w:rFonts w:eastAsia="MS Mincho" w:cs="Arial"/>
          <w:szCs w:val="21"/>
        </w:rPr>
      </w:pPr>
      <w:r w:rsidRPr="00E4105B">
        <w:rPr>
          <w:rFonts w:eastAsia="MS Mincho" w:cs="Arial"/>
          <w:szCs w:val="21"/>
        </w:rPr>
        <w:t>Hatari ya migogoro ya matumizi (kunywa maji, kilimo, mifugo na uvuvi);</w:t>
      </w:r>
    </w:p>
    <w:p w14:paraId="1EDD74D8" w14:textId="77777777" w:rsidR="000326DA" w:rsidRPr="00E4105B" w:rsidRDefault="000326DA" w:rsidP="002378EA">
      <w:pPr>
        <w:pStyle w:val="Paragraphedeliste"/>
        <w:numPr>
          <w:ilvl w:val="0"/>
          <w:numId w:val="163"/>
        </w:numPr>
        <w:rPr>
          <w:rFonts w:eastAsia="MS Mincho" w:cs="Arial"/>
          <w:szCs w:val="21"/>
        </w:rPr>
      </w:pPr>
      <w:r w:rsidRPr="00E4105B">
        <w:rPr>
          <w:rFonts w:eastAsia="MS Mincho" w:cs="Arial"/>
          <w:szCs w:val="21"/>
        </w:rPr>
        <w:t>Hatari za migogoro ya ardhi kati ya wawekezaji wazawa na wasio wa asili;</w:t>
      </w:r>
    </w:p>
    <w:p w14:paraId="30D834D2" w14:textId="77777777" w:rsidR="000326DA" w:rsidRPr="00E4105B" w:rsidRDefault="000326DA" w:rsidP="002378EA">
      <w:pPr>
        <w:pStyle w:val="Paragraphedeliste"/>
        <w:numPr>
          <w:ilvl w:val="0"/>
          <w:numId w:val="163"/>
        </w:numPr>
        <w:rPr>
          <w:rFonts w:eastAsia="MS Mincho" w:cs="Arial"/>
          <w:szCs w:val="21"/>
        </w:rPr>
      </w:pPr>
      <w:r w:rsidRPr="00E4105B">
        <w:rPr>
          <w:rFonts w:eastAsia="MS Mincho" w:cs="Arial"/>
          <w:szCs w:val="21"/>
        </w:rPr>
        <w:t>Kupoteza ardhi ya malisho (uambatanishaji kwenye maeneo ya sylvopastoral);</w:t>
      </w:r>
    </w:p>
    <w:p w14:paraId="716F3886" w14:textId="77777777" w:rsidR="000326DA" w:rsidRPr="00E4105B" w:rsidRDefault="000326DA" w:rsidP="002378EA">
      <w:pPr>
        <w:pStyle w:val="Paragraphedeliste"/>
        <w:numPr>
          <w:ilvl w:val="0"/>
          <w:numId w:val="163"/>
        </w:numPr>
        <w:rPr>
          <w:rFonts w:eastAsia="MS Mincho" w:cs="Arial"/>
          <w:szCs w:val="21"/>
        </w:rPr>
      </w:pPr>
      <w:r w:rsidRPr="00E4105B">
        <w:rPr>
          <w:rFonts w:eastAsia="MS Mincho" w:cs="Arial"/>
          <w:szCs w:val="21"/>
        </w:rPr>
        <w:t>Shinikizo kubwa juu ya ardhi na maji na ongezeko la maendeleo;</w:t>
      </w:r>
    </w:p>
    <w:p w14:paraId="52D85D85" w14:textId="77777777" w:rsidR="000326DA" w:rsidRPr="00E4105B" w:rsidRDefault="000326DA" w:rsidP="002378EA">
      <w:pPr>
        <w:pStyle w:val="Paragraphedeliste"/>
        <w:numPr>
          <w:ilvl w:val="0"/>
          <w:numId w:val="163"/>
        </w:numPr>
        <w:rPr>
          <w:rFonts w:eastAsia="MS Mincho" w:cs="Arial"/>
          <w:szCs w:val="21"/>
        </w:rPr>
      </w:pPr>
      <w:r w:rsidRPr="00E4105B">
        <w:rPr>
          <w:rFonts w:eastAsia="MS Mincho" w:cs="Arial"/>
          <w:szCs w:val="21"/>
        </w:rPr>
        <w:t xml:space="preserve">Kupoteza rutuba ya udongo; </w:t>
      </w:r>
    </w:p>
    <w:p w14:paraId="5188A66F" w14:textId="77777777" w:rsidR="000326DA" w:rsidRPr="00E4105B" w:rsidRDefault="000326DA" w:rsidP="002378EA">
      <w:pPr>
        <w:pStyle w:val="Paragraphedeliste"/>
        <w:numPr>
          <w:ilvl w:val="0"/>
          <w:numId w:val="163"/>
        </w:numPr>
        <w:rPr>
          <w:rFonts w:eastAsia="MS Mincho" w:cs="Arial"/>
          <w:szCs w:val="21"/>
        </w:rPr>
      </w:pPr>
      <w:r w:rsidRPr="00E4105B">
        <w:rPr>
          <w:rFonts w:eastAsia="MS Mincho" w:cs="Arial"/>
          <w:szCs w:val="21"/>
        </w:rPr>
        <w:t xml:space="preserve">Uchafuzi wa maji na udongo kutokana na matumizi yasiyo ya busara ya viuatilifu na mbolea; </w:t>
      </w:r>
    </w:p>
    <w:p w14:paraId="0265D87B" w14:textId="77777777" w:rsidR="000326DA" w:rsidRPr="00E4105B" w:rsidRDefault="000326DA" w:rsidP="002378EA">
      <w:pPr>
        <w:pStyle w:val="Paragraphedeliste"/>
        <w:numPr>
          <w:ilvl w:val="0"/>
          <w:numId w:val="163"/>
        </w:numPr>
        <w:rPr>
          <w:rFonts w:eastAsia="MS Mincho" w:cs="Arial"/>
          <w:szCs w:val="21"/>
        </w:rPr>
      </w:pPr>
      <w:r w:rsidRPr="00E4105B">
        <w:rPr>
          <w:rFonts w:eastAsia="MS Mincho" w:cs="Arial"/>
          <w:szCs w:val="21"/>
        </w:rPr>
        <w:t xml:space="preserve">Uharibifu wa usafi kwa sababu ya viuatilifu; </w:t>
      </w:r>
    </w:p>
    <w:p w14:paraId="182E863B" w14:textId="77777777" w:rsidR="000326DA" w:rsidRPr="00E4105B" w:rsidRDefault="000326DA" w:rsidP="002378EA">
      <w:pPr>
        <w:pStyle w:val="Paragraphedeliste"/>
        <w:numPr>
          <w:ilvl w:val="0"/>
          <w:numId w:val="163"/>
        </w:numPr>
        <w:rPr>
          <w:rFonts w:cs="Arial"/>
          <w:szCs w:val="21"/>
        </w:rPr>
      </w:pPr>
      <w:r w:rsidRPr="00E4105B">
        <w:rPr>
          <w:rFonts w:eastAsia="MS Mincho" w:cs="Arial"/>
          <w:szCs w:val="21"/>
        </w:rPr>
        <w:t>Uharibifu wa malengo yasiyo ya viuatilifu; Ufafanuzi katika kesi ya matumizi ya mbolea ya kikaboni isiyodhibitiwa.</w:t>
      </w:r>
    </w:p>
    <w:p w14:paraId="4BE04AF8" w14:textId="77777777" w:rsidR="000326DA" w:rsidRPr="00E4105B" w:rsidRDefault="000326DA" w:rsidP="000326DA">
      <w:pPr>
        <w:pStyle w:val="Paragraphedeliste"/>
        <w:rPr>
          <w:rFonts w:cs="Arial"/>
          <w:szCs w:val="21"/>
        </w:rPr>
      </w:pPr>
    </w:p>
    <w:p w14:paraId="76A8EC26" w14:textId="77777777" w:rsidR="000326DA" w:rsidRPr="00E4105B" w:rsidRDefault="000326DA" w:rsidP="000326DA">
      <w:pPr>
        <w:rPr>
          <w:rFonts w:cs="Arial"/>
          <w:szCs w:val="21"/>
          <w:u w:val="single"/>
        </w:rPr>
      </w:pPr>
      <w:r w:rsidRPr="00E4105B">
        <w:rPr>
          <w:rFonts w:cs="Arial"/>
          <w:szCs w:val="21"/>
          <w:u w:val="single"/>
        </w:rPr>
        <w:t>Hatari zinazoweza kutokea na athari hasi wakati wa awamu ya unyonyaji wa shughuli za kilimo</w:t>
      </w:r>
    </w:p>
    <w:p w14:paraId="497868C3" w14:textId="77777777" w:rsidR="000326DA" w:rsidRPr="00E4105B" w:rsidRDefault="000326DA" w:rsidP="000326DA">
      <w:pPr>
        <w:rPr>
          <w:rFonts w:cs="Arial"/>
          <w:szCs w:val="21"/>
        </w:rPr>
      </w:pPr>
    </w:p>
    <w:p w14:paraId="2B57DD87" w14:textId="77777777" w:rsidR="000326DA" w:rsidRPr="00E4105B" w:rsidRDefault="000326DA" w:rsidP="002378EA">
      <w:pPr>
        <w:pStyle w:val="Paragraphedeliste"/>
        <w:numPr>
          <w:ilvl w:val="0"/>
          <w:numId w:val="163"/>
        </w:numPr>
        <w:rPr>
          <w:rFonts w:eastAsia="MS Mincho" w:cs="Arial"/>
          <w:szCs w:val="21"/>
        </w:rPr>
      </w:pPr>
      <w:r w:rsidRPr="00E4105B">
        <w:rPr>
          <w:rFonts w:eastAsia="MS Mincho" w:cs="Arial"/>
          <w:szCs w:val="21"/>
        </w:rPr>
        <w:t xml:space="preserve">Ongezeko la magonjwa yanayohusiana na maji; </w:t>
      </w:r>
    </w:p>
    <w:p w14:paraId="64DA51F7" w14:textId="77777777" w:rsidR="000326DA" w:rsidRPr="00E4105B" w:rsidRDefault="000326DA" w:rsidP="002378EA">
      <w:pPr>
        <w:pStyle w:val="Paragraphedeliste"/>
        <w:numPr>
          <w:ilvl w:val="0"/>
          <w:numId w:val="163"/>
        </w:numPr>
        <w:rPr>
          <w:rFonts w:eastAsia="MS Mincho" w:cs="Arial"/>
          <w:szCs w:val="21"/>
        </w:rPr>
      </w:pPr>
      <w:r w:rsidRPr="00E4105B">
        <w:rPr>
          <w:rFonts w:eastAsia="MS Mincho" w:cs="Arial"/>
          <w:szCs w:val="21"/>
        </w:rPr>
        <w:t>Shinikizo kubwa juu ya ardhi na maji na ongezeko la maendeleo;</w:t>
      </w:r>
    </w:p>
    <w:p w14:paraId="26876D57" w14:textId="77777777" w:rsidR="000326DA" w:rsidRPr="00E4105B" w:rsidRDefault="000326DA" w:rsidP="002378EA">
      <w:pPr>
        <w:pStyle w:val="Paragraphedeliste"/>
        <w:numPr>
          <w:ilvl w:val="0"/>
          <w:numId w:val="164"/>
        </w:numPr>
        <w:rPr>
          <w:rFonts w:eastAsia="MS Mincho" w:cs="Arial"/>
          <w:szCs w:val="21"/>
        </w:rPr>
      </w:pPr>
      <w:r w:rsidRPr="00E4105B">
        <w:rPr>
          <w:rFonts w:eastAsia="MS Mincho" w:cs="Arial"/>
          <w:szCs w:val="21"/>
        </w:rPr>
        <w:t xml:space="preserve">Kupoteza rutuba ya udongo; </w:t>
      </w:r>
    </w:p>
    <w:p w14:paraId="347A58B4" w14:textId="77777777" w:rsidR="000326DA" w:rsidRPr="00E4105B" w:rsidRDefault="000326DA" w:rsidP="002378EA">
      <w:pPr>
        <w:pStyle w:val="Paragraphedeliste"/>
        <w:numPr>
          <w:ilvl w:val="0"/>
          <w:numId w:val="164"/>
        </w:numPr>
        <w:rPr>
          <w:rFonts w:eastAsia="MS Mincho" w:cs="Arial"/>
          <w:szCs w:val="21"/>
        </w:rPr>
      </w:pPr>
      <w:r w:rsidRPr="00E4105B">
        <w:rPr>
          <w:rFonts w:eastAsia="MS Mincho" w:cs="Arial"/>
          <w:szCs w:val="21"/>
        </w:rPr>
        <w:t xml:space="preserve">Uchafuzi wa maji na udongo kutokana na viuatilifu na mbolea; </w:t>
      </w:r>
    </w:p>
    <w:p w14:paraId="54A9D0C6" w14:textId="77777777" w:rsidR="000326DA" w:rsidRPr="00E4105B" w:rsidRDefault="000326DA" w:rsidP="002378EA">
      <w:pPr>
        <w:pStyle w:val="Paragraphedeliste"/>
        <w:numPr>
          <w:ilvl w:val="0"/>
          <w:numId w:val="164"/>
        </w:numPr>
        <w:rPr>
          <w:rFonts w:eastAsia="MS Mincho" w:cs="Arial"/>
          <w:szCs w:val="21"/>
        </w:rPr>
      </w:pPr>
      <w:r w:rsidRPr="00E4105B">
        <w:rPr>
          <w:rFonts w:eastAsia="MS Mincho" w:cs="Arial"/>
          <w:szCs w:val="21"/>
        </w:rPr>
        <w:t xml:space="preserve">Uharibifu wa usafi kwa sababu ya viuatilifu; </w:t>
      </w:r>
    </w:p>
    <w:p w14:paraId="11BB1E8A" w14:textId="77777777" w:rsidR="000326DA" w:rsidRPr="00E4105B" w:rsidRDefault="000326DA" w:rsidP="002378EA">
      <w:pPr>
        <w:pStyle w:val="Paragraphedeliste"/>
        <w:numPr>
          <w:ilvl w:val="0"/>
          <w:numId w:val="164"/>
        </w:numPr>
        <w:rPr>
          <w:rFonts w:eastAsia="MS Mincho" w:cs="Arial"/>
          <w:szCs w:val="21"/>
          <w:lang w:val="en-US"/>
        </w:rPr>
      </w:pPr>
      <w:r w:rsidRPr="00E4105B">
        <w:rPr>
          <w:rFonts w:eastAsia="MS Mincho" w:cs="Arial"/>
          <w:szCs w:val="21"/>
          <w:lang w:val="en-US"/>
        </w:rPr>
        <w:t xml:space="preserve">Uharibifu wa malengo yasiyo ya viuatilifu; </w:t>
      </w:r>
    </w:p>
    <w:p w14:paraId="528F491B" w14:textId="77777777" w:rsidR="000326DA" w:rsidRPr="00E4105B" w:rsidRDefault="000326DA" w:rsidP="002378EA">
      <w:pPr>
        <w:pStyle w:val="Paragraphedeliste"/>
        <w:numPr>
          <w:ilvl w:val="0"/>
          <w:numId w:val="164"/>
        </w:numPr>
        <w:rPr>
          <w:rFonts w:eastAsia="MS Mincho" w:cs="Arial"/>
          <w:szCs w:val="21"/>
          <w:lang w:val="en-US"/>
        </w:rPr>
      </w:pPr>
      <w:r w:rsidRPr="00E4105B">
        <w:rPr>
          <w:rFonts w:eastAsia="MS Mincho" w:cs="Arial"/>
          <w:szCs w:val="21"/>
          <w:lang w:val="en-US"/>
        </w:rPr>
        <w:t xml:space="preserve">Ufafanuzi katika kesi ya matumizi ya mbolea ya kikaboni isiyodhibitiwa; </w:t>
      </w:r>
    </w:p>
    <w:p w14:paraId="5DF47AC1" w14:textId="77777777" w:rsidR="000326DA" w:rsidRPr="00E4105B" w:rsidRDefault="000326DA" w:rsidP="002378EA">
      <w:pPr>
        <w:pStyle w:val="Paragraphedeliste"/>
        <w:numPr>
          <w:ilvl w:val="0"/>
          <w:numId w:val="164"/>
        </w:numPr>
        <w:rPr>
          <w:rFonts w:eastAsia="MS Mincho" w:cs="Arial"/>
          <w:szCs w:val="21"/>
        </w:rPr>
      </w:pPr>
      <w:r w:rsidRPr="00E4105B">
        <w:rPr>
          <w:rFonts w:eastAsia="MS Mincho" w:cs="Arial"/>
          <w:szCs w:val="21"/>
        </w:rPr>
        <w:t xml:space="preserve">Ongezeko la magonjwa yanayohusiana na maji; </w:t>
      </w:r>
    </w:p>
    <w:p w14:paraId="0716382D" w14:textId="77777777" w:rsidR="000326DA" w:rsidRPr="00E4105B" w:rsidRDefault="000326DA" w:rsidP="002378EA">
      <w:pPr>
        <w:pStyle w:val="Paragraphedeliste"/>
        <w:numPr>
          <w:ilvl w:val="0"/>
          <w:numId w:val="164"/>
        </w:numPr>
        <w:rPr>
          <w:rFonts w:eastAsia="MS Mincho" w:cs="Arial"/>
          <w:szCs w:val="21"/>
        </w:rPr>
      </w:pPr>
      <w:r w:rsidRPr="00E4105B">
        <w:rPr>
          <w:rFonts w:eastAsia="MS Mincho" w:cs="Arial"/>
          <w:szCs w:val="21"/>
        </w:rPr>
        <w:t>Lafudhi ya migogoro ya wafugaji wakulima kwa upatikanaji wa maji au malisho;</w:t>
      </w:r>
    </w:p>
    <w:p w14:paraId="7A75C5B3" w14:textId="77777777" w:rsidR="000326DA" w:rsidRPr="00E4105B" w:rsidRDefault="000326DA" w:rsidP="002378EA">
      <w:pPr>
        <w:pStyle w:val="Paragraphedeliste"/>
        <w:numPr>
          <w:ilvl w:val="0"/>
          <w:numId w:val="164"/>
        </w:numPr>
        <w:rPr>
          <w:rFonts w:eastAsia="MS Mincho" w:cs="Arial"/>
          <w:szCs w:val="21"/>
        </w:rPr>
      </w:pPr>
      <w:r w:rsidRPr="00E4105B">
        <w:rPr>
          <w:rFonts w:eastAsia="MS Mincho" w:cs="Arial"/>
          <w:szCs w:val="21"/>
        </w:rPr>
        <w:t>Hatari ya kuenea kwa ugonjwa wa virusi vya corona (COVID-19) ikiwa hatua za kuzuia au kuzuia hazifuatwi.</w:t>
      </w:r>
    </w:p>
    <w:p w14:paraId="132E5C71" w14:textId="77777777" w:rsidR="000326DA" w:rsidRPr="00E4105B" w:rsidRDefault="000326DA" w:rsidP="002378EA">
      <w:pPr>
        <w:pStyle w:val="Paragraphedeliste"/>
        <w:numPr>
          <w:ilvl w:val="0"/>
          <w:numId w:val="164"/>
        </w:numPr>
        <w:rPr>
          <w:rFonts w:eastAsia="MS Mincho" w:cs="Arial"/>
          <w:szCs w:val="21"/>
        </w:rPr>
      </w:pPr>
      <w:r w:rsidRPr="00E4105B">
        <w:rPr>
          <w:rFonts w:eastAsia="MS Mincho" w:cs="Arial"/>
          <w:szCs w:val="21"/>
        </w:rPr>
        <w:t xml:space="preserve">Uwezekano wa upotevu wa mapato au mali wakati wa ujenzi; </w:t>
      </w:r>
    </w:p>
    <w:p w14:paraId="749D0AA1" w14:textId="77777777" w:rsidR="000326DA" w:rsidRPr="00E4105B" w:rsidRDefault="000326DA" w:rsidP="002378EA">
      <w:pPr>
        <w:pStyle w:val="Paragraphedeliste"/>
        <w:numPr>
          <w:ilvl w:val="0"/>
          <w:numId w:val="164"/>
        </w:numPr>
        <w:rPr>
          <w:rFonts w:eastAsia="MS Mincho" w:cs="Arial"/>
          <w:szCs w:val="21"/>
        </w:rPr>
      </w:pPr>
      <w:r w:rsidRPr="00E4105B">
        <w:rPr>
          <w:rFonts w:eastAsia="MS Mincho" w:cs="Arial"/>
          <w:szCs w:val="21"/>
        </w:rPr>
        <w:t>Hatari za magonjwa kama vile magonjwa ya zinaa/VVU/UKIMWI;</w:t>
      </w:r>
    </w:p>
    <w:p w14:paraId="47ADA971" w14:textId="77777777" w:rsidR="000326DA" w:rsidRPr="00E4105B" w:rsidRDefault="000326DA" w:rsidP="002378EA">
      <w:pPr>
        <w:pStyle w:val="Paragraphedeliste"/>
        <w:numPr>
          <w:ilvl w:val="0"/>
          <w:numId w:val="164"/>
        </w:numPr>
        <w:rPr>
          <w:rFonts w:eastAsia="MS Mincho" w:cs="Arial"/>
          <w:szCs w:val="21"/>
          <w:lang w:val="en-US"/>
        </w:rPr>
      </w:pPr>
      <w:r w:rsidRPr="00E4105B">
        <w:rPr>
          <w:rFonts w:eastAsia="MS Mincho" w:cs="Arial"/>
          <w:szCs w:val="21"/>
          <w:lang w:val="en-US"/>
        </w:rPr>
        <w:t>Hatari ya EAS / HS kama matokeo ya kazi.</w:t>
      </w:r>
    </w:p>
    <w:p w14:paraId="6C4A1DB4" w14:textId="77777777" w:rsidR="000326DA" w:rsidRPr="00E4105B" w:rsidRDefault="000326DA" w:rsidP="000326DA">
      <w:pPr>
        <w:rPr>
          <w:rFonts w:cs="Arial"/>
          <w:szCs w:val="21"/>
          <w:lang w:val="en-US"/>
        </w:rPr>
      </w:pPr>
    </w:p>
    <w:p w14:paraId="7262716E" w14:textId="77777777" w:rsidR="000326DA" w:rsidRPr="00E4105B" w:rsidRDefault="000326DA" w:rsidP="000326DA">
      <w:pPr>
        <w:rPr>
          <w:rFonts w:cs="Arial"/>
          <w:szCs w:val="21"/>
          <w:u w:val="single"/>
          <w:lang w:val="en-US"/>
        </w:rPr>
      </w:pPr>
      <w:r w:rsidRPr="00E4105B">
        <w:rPr>
          <w:rFonts w:cs="Arial"/>
          <w:szCs w:val="21"/>
          <w:u w:val="single"/>
          <w:lang w:val="en-US"/>
        </w:rPr>
        <w:t>Hatari zinazowezekana na athari hasi kwa miradi yote midogo (chini ya ujenzi):</w:t>
      </w:r>
    </w:p>
    <w:p w14:paraId="45A690A8" w14:textId="77777777" w:rsidR="000326DA" w:rsidRPr="00E4105B" w:rsidRDefault="000326DA" w:rsidP="000326DA">
      <w:pPr>
        <w:rPr>
          <w:rFonts w:cs="Arial"/>
          <w:szCs w:val="21"/>
          <w:lang w:val="en-US"/>
        </w:rPr>
      </w:pPr>
    </w:p>
    <w:p w14:paraId="22085513" w14:textId="77777777" w:rsidR="000326DA" w:rsidRPr="00E4105B" w:rsidRDefault="000326DA" w:rsidP="002378EA">
      <w:pPr>
        <w:pStyle w:val="Paragraphedeliste"/>
        <w:widowControl w:val="0"/>
        <w:numPr>
          <w:ilvl w:val="0"/>
          <w:numId w:val="165"/>
        </w:numPr>
        <w:autoSpaceDE w:val="0"/>
        <w:autoSpaceDN w:val="0"/>
        <w:rPr>
          <w:rFonts w:eastAsia="MS Mincho" w:cs="Arial"/>
          <w:szCs w:val="21"/>
          <w:lang w:val="pl-PL"/>
        </w:rPr>
      </w:pPr>
      <w:r w:rsidRPr="00E4105B">
        <w:rPr>
          <w:rFonts w:eastAsia="MS Mincho" w:cs="Arial"/>
          <w:szCs w:val="21"/>
          <w:lang w:val="pl-PL"/>
        </w:rPr>
        <w:t>Uchafuzi wa mazingira (maji na udongo) na takataka imara (taka, ubomoaji, mafuta, vichungi, betri, plastiki, taka za kuingilia, nk);</w:t>
      </w:r>
    </w:p>
    <w:p w14:paraId="34B47DCA" w14:textId="77777777" w:rsidR="000326DA" w:rsidRPr="00E4105B" w:rsidRDefault="000326DA" w:rsidP="002378EA">
      <w:pPr>
        <w:pStyle w:val="Paragraphedeliste"/>
        <w:widowControl w:val="0"/>
        <w:numPr>
          <w:ilvl w:val="0"/>
          <w:numId w:val="165"/>
        </w:numPr>
        <w:autoSpaceDE w:val="0"/>
        <w:autoSpaceDN w:val="0"/>
        <w:rPr>
          <w:rFonts w:eastAsia="MS Mincho" w:cs="Arial"/>
          <w:szCs w:val="21"/>
          <w:lang w:val="pl-PL"/>
        </w:rPr>
      </w:pPr>
      <w:r w:rsidRPr="00E4105B">
        <w:rPr>
          <w:rFonts w:eastAsia="MS Mincho" w:cs="Arial"/>
          <w:szCs w:val="21"/>
          <w:lang w:val="pl-PL"/>
        </w:rPr>
        <w:t>Uchafuzi wa kelele kwa kelele za mashine;</w:t>
      </w:r>
    </w:p>
    <w:p w14:paraId="0B4A7797" w14:textId="77777777" w:rsidR="000326DA" w:rsidRPr="00E4105B" w:rsidRDefault="000326DA" w:rsidP="002378EA">
      <w:pPr>
        <w:pStyle w:val="Paragraphedeliste"/>
        <w:widowControl w:val="0"/>
        <w:numPr>
          <w:ilvl w:val="0"/>
          <w:numId w:val="165"/>
        </w:numPr>
        <w:autoSpaceDE w:val="0"/>
        <w:autoSpaceDN w:val="0"/>
        <w:rPr>
          <w:rFonts w:eastAsia="MS Mincho" w:cs="Arial"/>
          <w:szCs w:val="21"/>
          <w:lang w:val="pl-PL"/>
        </w:rPr>
      </w:pPr>
      <w:r w:rsidRPr="00E4105B">
        <w:rPr>
          <w:rFonts w:eastAsia="MS Mincho" w:cs="Arial"/>
          <w:szCs w:val="21"/>
          <w:lang w:val="pl-PL"/>
        </w:rPr>
        <w:t xml:space="preserve">Uharibifu wa mazingira kwa kuweka bidhaa za kubomaji na ujenzi; </w:t>
      </w:r>
    </w:p>
    <w:p w14:paraId="42DAA117" w14:textId="77777777" w:rsidR="000326DA" w:rsidRPr="00E4105B" w:rsidRDefault="000326DA" w:rsidP="002378EA">
      <w:pPr>
        <w:pStyle w:val="Paragraphedeliste"/>
        <w:widowControl w:val="0"/>
        <w:numPr>
          <w:ilvl w:val="0"/>
          <w:numId w:val="165"/>
        </w:numPr>
        <w:autoSpaceDE w:val="0"/>
        <w:autoSpaceDN w:val="0"/>
        <w:rPr>
          <w:rFonts w:eastAsia="MS Mincho" w:cs="Arial"/>
          <w:szCs w:val="21"/>
          <w:lang w:val="pl-PL"/>
        </w:rPr>
      </w:pPr>
      <w:r w:rsidRPr="00E4105B">
        <w:rPr>
          <w:rFonts w:eastAsia="MS Mincho" w:cs="Arial"/>
          <w:szCs w:val="21"/>
          <w:lang w:val="pl-PL"/>
        </w:rPr>
        <w:t>Mmomoteni na uchafuzi wa udongo;</w:t>
      </w:r>
    </w:p>
    <w:p w14:paraId="5862C2E6" w14:textId="77777777" w:rsidR="000326DA" w:rsidRPr="00E4105B" w:rsidRDefault="000326DA" w:rsidP="002378EA">
      <w:pPr>
        <w:pStyle w:val="Paragraphedeliste"/>
        <w:widowControl w:val="0"/>
        <w:numPr>
          <w:ilvl w:val="0"/>
          <w:numId w:val="165"/>
        </w:numPr>
        <w:autoSpaceDE w:val="0"/>
        <w:autoSpaceDN w:val="0"/>
        <w:rPr>
          <w:rFonts w:eastAsia="MS Mincho" w:cs="Arial"/>
          <w:szCs w:val="21"/>
          <w:lang w:val="pl-PL"/>
        </w:rPr>
      </w:pPr>
      <w:r w:rsidRPr="00E4105B">
        <w:rPr>
          <w:rFonts w:eastAsia="MS Mincho" w:cs="Arial"/>
          <w:szCs w:val="21"/>
          <w:lang w:val="pl-PL"/>
        </w:rPr>
        <w:t>Uchafuzi wa hewa (ndege ya vumbi);</w:t>
      </w:r>
    </w:p>
    <w:p w14:paraId="5FDBDFB3" w14:textId="77777777" w:rsidR="000326DA" w:rsidRPr="00E4105B" w:rsidRDefault="000326DA" w:rsidP="002378EA">
      <w:pPr>
        <w:pStyle w:val="Paragraphedeliste"/>
        <w:widowControl w:val="0"/>
        <w:numPr>
          <w:ilvl w:val="0"/>
          <w:numId w:val="165"/>
        </w:numPr>
        <w:autoSpaceDE w:val="0"/>
        <w:autoSpaceDN w:val="0"/>
        <w:rPr>
          <w:rFonts w:eastAsia="MS Mincho" w:cs="Arial"/>
          <w:szCs w:val="21"/>
          <w:lang w:val="pl-PL"/>
        </w:rPr>
      </w:pPr>
      <w:r w:rsidRPr="00E4105B">
        <w:rPr>
          <w:rFonts w:eastAsia="MS Mincho" w:cs="Arial"/>
          <w:szCs w:val="21"/>
          <w:lang w:val="pl-PL"/>
        </w:rPr>
        <w:t>Kupoteza ardhi, mali na vyanzo vya mapato na hatari za kuhamishwa kimwili</w:t>
      </w:r>
    </w:p>
    <w:p w14:paraId="1121B052" w14:textId="77777777" w:rsidR="000326DA" w:rsidRPr="00E4105B" w:rsidRDefault="000326DA" w:rsidP="002378EA">
      <w:pPr>
        <w:pStyle w:val="Paragraphedeliste"/>
        <w:widowControl w:val="0"/>
        <w:numPr>
          <w:ilvl w:val="0"/>
          <w:numId w:val="165"/>
        </w:numPr>
        <w:autoSpaceDE w:val="0"/>
        <w:autoSpaceDN w:val="0"/>
        <w:rPr>
          <w:rFonts w:eastAsia="MS Mincho" w:cs="Arial"/>
          <w:szCs w:val="21"/>
          <w:lang w:val="pl-PL"/>
        </w:rPr>
      </w:pPr>
      <w:r w:rsidRPr="00E4105B">
        <w:rPr>
          <w:rFonts w:eastAsia="MS Mincho" w:cs="Arial"/>
          <w:szCs w:val="21"/>
          <w:lang w:val="pl-PL"/>
        </w:rPr>
        <w:t>Hatari za migogoro ya kijamii ikiwa leba ya eneo hilo haitumiki;</w:t>
      </w:r>
    </w:p>
    <w:p w14:paraId="5475E88B" w14:textId="77777777" w:rsidR="000326DA" w:rsidRPr="00E4105B" w:rsidRDefault="000326DA" w:rsidP="002378EA">
      <w:pPr>
        <w:pStyle w:val="Paragraphedeliste"/>
        <w:widowControl w:val="0"/>
        <w:numPr>
          <w:ilvl w:val="0"/>
          <w:numId w:val="165"/>
        </w:numPr>
        <w:autoSpaceDE w:val="0"/>
        <w:autoSpaceDN w:val="0"/>
        <w:rPr>
          <w:rFonts w:eastAsia="MS Mincho" w:cs="Arial"/>
          <w:szCs w:val="21"/>
          <w:lang w:val="pl-PL"/>
        </w:rPr>
      </w:pPr>
      <w:r w:rsidRPr="00E4105B">
        <w:rPr>
          <w:rFonts w:eastAsia="MS Mincho" w:cs="Arial"/>
          <w:szCs w:val="21"/>
          <w:lang w:val="pl-PL"/>
        </w:rPr>
        <w:t>Hatari ya usambazaji usio sawa wa pembejeo na mbegu au msaada wa moja kwa moja kwa wakulima wadogo;</w:t>
      </w:r>
    </w:p>
    <w:p w14:paraId="4A670386" w14:textId="77777777" w:rsidR="000326DA" w:rsidRPr="00E4105B" w:rsidRDefault="000326DA" w:rsidP="002378EA">
      <w:pPr>
        <w:pStyle w:val="Paragraphedeliste"/>
        <w:widowControl w:val="0"/>
        <w:numPr>
          <w:ilvl w:val="0"/>
          <w:numId w:val="165"/>
        </w:numPr>
        <w:autoSpaceDE w:val="0"/>
        <w:autoSpaceDN w:val="0"/>
        <w:rPr>
          <w:rFonts w:eastAsia="MS Mincho" w:cs="Arial"/>
          <w:szCs w:val="21"/>
          <w:lang w:val="pl-PL"/>
        </w:rPr>
      </w:pPr>
      <w:r w:rsidRPr="00E4105B">
        <w:rPr>
          <w:rFonts w:eastAsia="MS Mincho" w:cs="Arial"/>
          <w:szCs w:val="21"/>
          <w:lang w:val="pl-PL"/>
        </w:rPr>
        <w:t>Hatari za migogoro ya kijamii kama matokeo ya maendeleo ya mitazamo ya kilimo;</w:t>
      </w:r>
    </w:p>
    <w:p w14:paraId="6CFEFC26" w14:textId="77777777" w:rsidR="000326DA" w:rsidRPr="00E4105B" w:rsidRDefault="000326DA" w:rsidP="002378EA">
      <w:pPr>
        <w:pStyle w:val="Paragraphedeliste"/>
        <w:widowControl w:val="0"/>
        <w:numPr>
          <w:ilvl w:val="0"/>
          <w:numId w:val="165"/>
        </w:numPr>
        <w:autoSpaceDE w:val="0"/>
        <w:autoSpaceDN w:val="0"/>
        <w:rPr>
          <w:rFonts w:eastAsia="MS Mincho" w:cs="Arial"/>
          <w:szCs w:val="21"/>
          <w:lang w:val="pl-PL"/>
        </w:rPr>
      </w:pPr>
      <w:r w:rsidRPr="00E4105B">
        <w:rPr>
          <w:rFonts w:eastAsia="MS Mincho" w:cs="Arial"/>
          <w:szCs w:val="21"/>
          <w:lang w:val="pl-PL"/>
        </w:rPr>
        <w:t>Hatari ya kazi na watoto chini ya umri wa miaka 18 kwenye maeneo ya ujenzi;</w:t>
      </w:r>
    </w:p>
    <w:p w14:paraId="0D1C4128" w14:textId="77777777" w:rsidR="000326DA" w:rsidRPr="00E4105B" w:rsidRDefault="000326DA" w:rsidP="002378EA">
      <w:pPr>
        <w:pStyle w:val="Paragraphedeliste"/>
        <w:widowControl w:val="0"/>
        <w:numPr>
          <w:ilvl w:val="0"/>
          <w:numId w:val="165"/>
        </w:numPr>
        <w:autoSpaceDE w:val="0"/>
        <w:autoSpaceDN w:val="0"/>
        <w:rPr>
          <w:rFonts w:eastAsia="MS Mincho" w:cs="Arial"/>
          <w:szCs w:val="21"/>
          <w:lang w:val="pl-PL"/>
        </w:rPr>
      </w:pPr>
      <w:r w:rsidRPr="00E4105B">
        <w:rPr>
          <w:rFonts w:eastAsia="MS Mincho" w:cs="Arial"/>
          <w:szCs w:val="21"/>
          <w:lang w:val="pl-PL"/>
        </w:rPr>
        <w:t>Hatari ya matumizi ya vikosi vya usalama wa umma kupata maeneo (yasiyo salama katika Mkoa wa Kivu Kaskazini);</w:t>
      </w:r>
    </w:p>
    <w:p w14:paraId="0FFC5F0B" w14:textId="77777777" w:rsidR="000326DA" w:rsidRPr="00E4105B" w:rsidRDefault="000326DA" w:rsidP="002378EA">
      <w:pPr>
        <w:pStyle w:val="Paragraphedeliste"/>
        <w:widowControl w:val="0"/>
        <w:numPr>
          <w:ilvl w:val="0"/>
          <w:numId w:val="165"/>
        </w:numPr>
        <w:autoSpaceDE w:val="0"/>
        <w:autoSpaceDN w:val="0"/>
        <w:rPr>
          <w:rFonts w:eastAsia="MS Mincho" w:cs="Arial"/>
          <w:szCs w:val="21"/>
          <w:lang w:val="pl-PL"/>
        </w:rPr>
      </w:pPr>
      <w:r w:rsidRPr="00E4105B">
        <w:rPr>
          <w:rFonts w:eastAsia="MS Mincho" w:cs="Arial"/>
          <w:szCs w:val="21"/>
          <w:lang w:val="pl-PL"/>
        </w:rPr>
        <w:t>Usumbufu wa shughuli za kijamii na kiuchumi wakati wa kazi;</w:t>
      </w:r>
    </w:p>
    <w:p w14:paraId="5FD6F5B9" w14:textId="77777777" w:rsidR="000326DA" w:rsidRPr="00E4105B" w:rsidRDefault="000326DA" w:rsidP="002378EA">
      <w:pPr>
        <w:pStyle w:val="Paragraphedeliste"/>
        <w:widowControl w:val="0"/>
        <w:numPr>
          <w:ilvl w:val="0"/>
          <w:numId w:val="165"/>
        </w:numPr>
        <w:autoSpaceDE w:val="0"/>
        <w:autoSpaceDN w:val="0"/>
        <w:rPr>
          <w:rFonts w:eastAsia="MS Mincho" w:cs="Arial"/>
          <w:szCs w:val="21"/>
          <w:lang w:val="pl-PL"/>
        </w:rPr>
      </w:pPr>
      <w:r w:rsidRPr="00E4105B">
        <w:rPr>
          <w:rFonts w:eastAsia="MS Mincho" w:cs="Arial"/>
          <w:szCs w:val="21"/>
          <w:lang w:val="pl-PL"/>
        </w:rPr>
        <w:t>Hatari ya ubaguzi dhidi ya wanawake wakati wa kuajiri wafanyakazi;</w:t>
      </w:r>
    </w:p>
    <w:p w14:paraId="549D940C" w14:textId="77777777" w:rsidR="000326DA" w:rsidRPr="00E4105B" w:rsidRDefault="000326DA" w:rsidP="002378EA">
      <w:pPr>
        <w:pStyle w:val="Paragraphedeliste"/>
        <w:widowControl w:val="0"/>
        <w:numPr>
          <w:ilvl w:val="0"/>
          <w:numId w:val="165"/>
        </w:numPr>
        <w:autoSpaceDE w:val="0"/>
        <w:autoSpaceDN w:val="0"/>
        <w:rPr>
          <w:rFonts w:eastAsia="MS Mincho" w:cs="Arial"/>
          <w:szCs w:val="21"/>
          <w:lang w:val="pl-PL"/>
        </w:rPr>
      </w:pPr>
      <w:r w:rsidRPr="00E4105B">
        <w:rPr>
          <w:rFonts w:eastAsia="MS Mincho" w:cs="Arial"/>
          <w:szCs w:val="21"/>
          <w:lang w:val="pl-PL"/>
        </w:rPr>
        <w:t>Hatari ya ajali wakati wa kazi (wafanyakazi na idadi ya watu).</w:t>
      </w:r>
    </w:p>
    <w:p w14:paraId="3C456208" w14:textId="77777777" w:rsidR="000326DA" w:rsidRPr="00E4105B" w:rsidRDefault="000326DA" w:rsidP="002378EA">
      <w:pPr>
        <w:pStyle w:val="Paragraphedeliste"/>
        <w:widowControl w:val="0"/>
        <w:numPr>
          <w:ilvl w:val="0"/>
          <w:numId w:val="165"/>
        </w:numPr>
        <w:autoSpaceDE w:val="0"/>
        <w:autoSpaceDN w:val="0"/>
        <w:rPr>
          <w:rFonts w:eastAsia="MS Mincho" w:cs="Arial"/>
          <w:szCs w:val="21"/>
          <w:lang w:val="pl-PL"/>
        </w:rPr>
      </w:pPr>
      <w:r w:rsidRPr="00E4105B">
        <w:rPr>
          <w:rFonts w:eastAsia="MS Mincho" w:cs="Arial"/>
          <w:szCs w:val="21"/>
          <w:lang w:val="pl-PL"/>
        </w:rPr>
        <w:t xml:space="preserve">Hatari ya uharibifu wa miundombinu mingine ya mtandao; </w:t>
      </w:r>
    </w:p>
    <w:p w14:paraId="4CCEA64C" w14:textId="77777777" w:rsidR="000326DA" w:rsidRPr="00E4105B" w:rsidRDefault="000326DA" w:rsidP="002378EA">
      <w:pPr>
        <w:pStyle w:val="Paragraphedeliste"/>
        <w:widowControl w:val="0"/>
        <w:numPr>
          <w:ilvl w:val="0"/>
          <w:numId w:val="165"/>
        </w:numPr>
        <w:autoSpaceDE w:val="0"/>
        <w:autoSpaceDN w:val="0"/>
        <w:rPr>
          <w:rFonts w:eastAsia="MS Mincho" w:cs="Arial"/>
          <w:szCs w:val="21"/>
          <w:lang w:val="pl-PL"/>
        </w:rPr>
      </w:pPr>
      <w:r w:rsidRPr="00E4105B">
        <w:rPr>
          <w:rFonts w:eastAsia="MS Mincho" w:cs="Arial"/>
          <w:szCs w:val="21"/>
          <w:lang w:val="pl-PL"/>
        </w:rPr>
        <w:t>Hatari za kuzidisha VGGs, ikiwa ni pamoja na EAS na HS, katika eneo la kukabiliana na Mradi kutokana na kuchanganya idadi ya watu na mmiminiko wa kazi ya allochtone;</w:t>
      </w:r>
    </w:p>
    <w:p w14:paraId="2ECE7FD6" w14:textId="77777777" w:rsidR="000326DA" w:rsidRPr="00E4105B" w:rsidRDefault="000326DA" w:rsidP="002378EA">
      <w:pPr>
        <w:pStyle w:val="Paragraphedeliste"/>
        <w:widowControl w:val="0"/>
        <w:numPr>
          <w:ilvl w:val="0"/>
          <w:numId w:val="165"/>
        </w:numPr>
        <w:autoSpaceDE w:val="0"/>
        <w:autoSpaceDN w:val="0"/>
        <w:rPr>
          <w:rFonts w:eastAsia="MS Mincho" w:cs="Arial"/>
          <w:szCs w:val="21"/>
          <w:lang w:val="pl-PL"/>
        </w:rPr>
      </w:pPr>
      <w:r w:rsidRPr="00E4105B">
        <w:rPr>
          <w:rFonts w:eastAsia="MS Mincho" w:cs="Arial"/>
          <w:szCs w:val="21"/>
          <w:lang w:val="pl-PL"/>
        </w:rPr>
        <w:t>Hatari ya maambukizi ya UKIMWI na VVU/UKIMWI;</w:t>
      </w:r>
    </w:p>
    <w:p w14:paraId="430B007F" w14:textId="77777777" w:rsidR="000326DA" w:rsidRPr="00E4105B" w:rsidRDefault="000326DA" w:rsidP="002378EA">
      <w:pPr>
        <w:pStyle w:val="Paragraphedeliste"/>
        <w:widowControl w:val="0"/>
        <w:numPr>
          <w:ilvl w:val="0"/>
          <w:numId w:val="165"/>
        </w:numPr>
        <w:autoSpaceDE w:val="0"/>
        <w:autoSpaceDN w:val="0"/>
        <w:rPr>
          <w:rFonts w:eastAsia="MS Mincho" w:cs="Arial"/>
          <w:szCs w:val="21"/>
          <w:lang w:val="pl-PL"/>
        </w:rPr>
      </w:pPr>
      <w:r w:rsidRPr="00E4105B">
        <w:rPr>
          <w:rFonts w:eastAsia="MS Mincho" w:cs="Arial"/>
          <w:szCs w:val="21"/>
          <w:lang w:val="pl-PL"/>
        </w:rPr>
        <w:t>Hatari ya kuenea na uchafuzi wa ugonjwa wa virusi vya corona (COVID-19) kwa wanaonufaika au wadau wengine;</w:t>
      </w:r>
    </w:p>
    <w:p w14:paraId="181ED41E" w14:textId="77777777" w:rsidR="000326DA" w:rsidRPr="00E4105B" w:rsidRDefault="000326DA" w:rsidP="002378EA">
      <w:pPr>
        <w:pStyle w:val="Paragraphedeliste"/>
        <w:widowControl w:val="0"/>
        <w:numPr>
          <w:ilvl w:val="0"/>
          <w:numId w:val="165"/>
        </w:numPr>
        <w:autoSpaceDE w:val="0"/>
        <w:autoSpaceDN w:val="0"/>
        <w:rPr>
          <w:rFonts w:eastAsia="MS Mincho" w:cs="Arial"/>
          <w:szCs w:val="21"/>
          <w:lang w:val="pl-PL"/>
        </w:rPr>
      </w:pPr>
      <w:r w:rsidRPr="00E4105B">
        <w:rPr>
          <w:rFonts w:eastAsia="MS Mincho" w:cs="Arial"/>
          <w:szCs w:val="21"/>
          <w:lang w:val="pl-PL"/>
        </w:rPr>
        <w:t>Athari hasi kwa maendeleo ya kilimo cha hydro-kilimo;</w:t>
      </w:r>
    </w:p>
    <w:p w14:paraId="71BC3D6A" w14:textId="77777777" w:rsidR="000326DA" w:rsidRPr="00E4105B" w:rsidRDefault="000326DA" w:rsidP="002378EA">
      <w:pPr>
        <w:pStyle w:val="Paragraphedeliste"/>
        <w:widowControl w:val="0"/>
        <w:numPr>
          <w:ilvl w:val="0"/>
          <w:numId w:val="165"/>
        </w:numPr>
        <w:autoSpaceDE w:val="0"/>
        <w:autoSpaceDN w:val="0"/>
        <w:rPr>
          <w:rFonts w:eastAsia="MS Mincho" w:cs="Arial"/>
          <w:szCs w:val="21"/>
          <w:lang w:val="pl-PL"/>
        </w:rPr>
      </w:pPr>
      <w:r w:rsidRPr="00E4105B">
        <w:rPr>
          <w:rFonts w:eastAsia="MS Mincho" w:cs="Arial"/>
          <w:szCs w:val="21"/>
          <w:lang w:val="pl-PL"/>
        </w:rPr>
        <w:t>Shinikizo kubwa na hatari za uharibifu wa rasilimali za maji;</w:t>
      </w:r>
    </w:p>
    <w:p w14:paraId="5D8D0664" w14:textId="77777777" w:rsidR="000326DA" w:rsidRPr="00E4105B" w:rsidRDefault="000326DA" w:rsidP="002378EA">
      <w:pPr>
        <w:pStyle w:val="Paragraphedeliste"/>
        <w:widowControl w:val="0"/>
        <w:numPr>
          <w:ilvl w:val="0"/>
          <w:numId w:val="165"/>
        </w:numPr>
        <w:autoSpaceDE w:val="0"/>
        <w:autoSpaceDN w:val="0"/>
        <w:rPr>
          <w:rFonts w:eastAsia="MS Mincho" w:cs="Arial"/>
          <w:szCs w:val="21"/>
          <w:lang w:val="pl-PL"/>
        </w:rPr>
      </w:pPr>
      <w:r w:rsidRPr="00E4105B">
        <w:rPr>
          <w:rFonts w:eastAsia="MS Mincho" w:cs="Arial"/>
          <w:szCs w:val="21"/>
          <w:lang w:val="pl-PL"/>
        </w:rPr>
        <w:t xml:space="preserve">Hatari zinazohusiana na uharibifu wa ardhi na rutuba ya udongo; </w:t>
      </w:r>
    </w:p>
    <w:p w14:paraId="063AFFFA" w14:textId="77777777" w:rsidR="000326DA" w:rsidRPr="00E4105B" w:rsidRDefault="000326DA" w:rsidP="002378EA">
      <w:pPr>
        <w:pStyle w:val="Paragraphedeliste"/>
        <w:widowControl w:val="0"/>
        <w:numPr>
          <w:ilvl w:val="0"/>
          <w:numId w:val="165"/>
        </w:numPr>
        <w:autoSpaceDE w:val="0"/>
        <w:autoSpaceDN w:val="0"/>
        <w:rPr>
          <w:rFonts w:eastAsia="MS Mincho" w:cs="Arial"/>
          <w:szCs w:val="21"/>
          <w:lang w:val="pl-PL"/>
        </w:rPr>
      </w:pPr>
      <w:r w:rsidRPr="00E4105B">
        <w:rPr>
          <w:rFonts w:eastAsia="MS Mincho" w:cs="Arial"/>
          <w:szCs w:val="21"/>
          <w:lang w:val="pl-PL"/>
        </w:rPr>
        <w:t xml:space="preserve">Hatari za kuendeleza magonjwa yanayohusiana na maji; </w:t>
      </w:r>
    </w:p>
    <w:p w14:paraId="207ABE8A" w14:textId="77777777" w:rsidR="000326DA" w:rsidRPr="00E4105B" w:rsidRDefault="000326DA" w:rsidP="002378EA">
      <w:pPr>
        <w:pStyle w:val="Paragraphedeliste"/>
        <w:widowControl w:val="0"/>
        <w:numPr>
          <w:ilvl w:val="0"/>
          <w:numId w:val="165"/>
        </w:numPr>
        <w:autoSpaceDE w:val="0"/>
        <w:autoSpaceDN w:val="0"/>
        <w:rPr>
          <w:rFonts w:eastAsia="MS Mincho" w:cs="Arial"/>
          <w:szCs w:val="21"/>
          <w:lang w:val="pl-PL"/>
        </w:rPr>
      </w:pPr>
      <w:r w:rsidRPr="00E4105B">
        <w:rPr>
          <w:rFonts w:eastAsia="MS Mincho" w:cs="Arial"/>
          <w:szCs w:val="21"/>
          <w:lang w:val="pl-PL"/>
        </w:rPr>
        <w:t>Hatari ya sumu na uchafuzi wa mazingira na matumizi ya viuatilifu;</w:t>
      </w:r>
    </w:p>
    <w:p w14:paraId="1FEC67C3" w14:textId="77777777" w:rsidR="000326DA" w:rsidRPr="00E4105B" w:rsidRDefault="000326DA" w:rsidP="002378EA">
      <w:pPr>
        <w:pStyle w:val="Paragraphedeliste"/>
        <w:widowControl w:val="0"/>
        <w:numPr>
          <w:ilvl w:val="0"/>
          <w:numId w:val="165"/>
        </w:numPr>
        <w:autoSpaceDE w:val="0"/>
        <w:autoSpaceDN w:val="0"/>
        <w:rPr>
          <w:rFonts w:eastAsia="MS Mincho" w:cs="Arial"/>
          <w:szCs w:val="21"/>
          <w:lang w:val="pl-PL"/>
        </w:rPr>
      </w:pPr>
      <w:r w:rsidRPr="00E4105B">
        <w:rPr>
          <w:rFonts w:eastAsia="MS Mincho" w:cs="Arial"/>
          <w:szCs w:val="21"/>
          <w:lang w:val="pl-PL"/>
        </w:rPr>
        <w:t>Hatari ya kuwepo kwa usalama kwa wafanyakazi na vifaa vya biashara katika baadhi ya mikoa inayolengwa na Mradi wa PNDA;</w:t>
      </w:r>
    </w:p>
    <w:p w14:paraId="4B555D16" w14:textId="77777777" w:rsidR="000326DA" w:rsidRPr="00E4105B" w:rsidRDefault="000326DA" w:rsidP="002378EA">
      <w:pPr>
        <w:pStyle w:val="Paragraphedeliste"/>
        <w:widowControl w:val="0"/>
        <w:numPr>
          <w:ilvl w:val="0"/>
          <w:numId w:val="165"/>
        </w:numPr>
        <w:autoSpaceDE w:val="0"/>
        <w:autoSpaceDN w:val="0"/>
        <w:rPr>
          <w:rFonts w:eastAsia="MS Mincho" w:cs="Arial"/>
          <w:szCs w:val="21"/>
          <w:lang w:val="pl-PL"/>
        </w:rPr>
      </w:pPr>
      <w:r w:rsidRPr="00E4105B">
        <w:rPr>
          <w:rFonts w:eastAsia="MS Mincho" w:cs="Arial"/>
          <w:szCs w:val="21"/>
          <w:lang w:val="pl-PL"/>
        </w:rPr>
        <w:t>Hatari ya ajali zinazohusiana na trafiki ya magari;</w:t>
      </w:r>
    </w:p>
    <w:p w14:paraId="24E0E624" w14:textId="77777777" w:rsidR="000326DA" w:rsidRPr="00E4105B" w:rsidRDefault="000326DA" w:rsidP="002378EA">
      <w:pPr>
        <w:pStyle w:val="Paragraphedeliste"/>
        <w:widowControl w:val="0"/>
        <w:numPr>
          <w:ilvl w:val="0"/>
          <w:numId w:val="165"/>
        </w:numPr>
        <w:autoSpaceDE w:val="0"/>
        <w:autoSpaceDN w:val="0"/>
        <w:rPr>
          <w:rFonts w:eastAsia="MS Mincho" w:cs="Arial"/>
          <w:szCs w:val="21"/>
          <w:lang w:val="pl-PL"/>
        </w:rPr>
      </w:pPr>
      <w:r w:rsidRPr="00E4105B">
        <w:rPr>
          <w:rFonts w:eastAsia="MS Mincho" w:cs="Arial"/>
          <w:szCs w:val="21"/>
          <w:lang w:val="pl-PL"/>
        </w:rPr>
        <w:t>Hatari ya makazi ya madaraja na madhehebu vijijini wakati wa uokoaji wa bidhaa za kilimo;</w:t>
      </w:r>
    </w:p>
    <w:p w14:paraId="62E9C20D" w14:textId="77777777" w:rsidR="000326DA" w:rsidRPr="00E4105B" w:rsidRDefault="000326DA" w:rsidP="002378EA">
      <w:pPr>
        <w:pStyle w:val="Paragraphedeliste"/>
        <w:widowControl w:val="0"/>
        <w:numPr>
          <w:ilvl w:val="0"/>
          <w:numId w:val="165"/>
        </w:numPr>
        <w:autoSpaceDE w:val="0"/>
        <w:autoSpaceDN w:val="0"/>
        <w:rPr>
          <w:rFonts w:eastAsia="MS Mincho" w:cs="Arial"/>
          <w:szCs w:val="21"/>
          <w:lang w:val="pl-PL"/>
        </w:rPr>
      </w:pPr>
      <w:r w:rsidRPr="00E4105B">
        <w:rPr>
          <w:rFonts w:eastAsia="MS Mincho" w:cs="Arial"/>
          <w:szCs w:val="21"/>
          <w:lang w:val="pl-PL"/>
        </w:rPr>
        <w:t>Ukataji miti kufuatia ufunguzi wa njia za upatikanaji na unyonyaji wa quarries;</w:t>
      </w:r>
    </w:p>
    <w:p w14:paraId="3CC657CC" w14:textId="77777777" w:rsidR="000326DA" w:rsidRPr="00E4105B" w:rsidRDefault="000326DA" w:rsidP="002378EA">
      <w:pPr>
        <w:pStyle w:val="Paragraphedeliste"/>
        <w:widowControl w:val="0"/>
        <w:numPr>
          <w:ilvl w:val="0"/>
          <w:numId w:val="165"/>
        </w:numPr>
        <w:autoSpaceDE w:val="0"/>
        <w:autoSpaceDN w:val="0"/>
        <w:rPr>
          <w:rFonts w:eastAsia="MS Mincho" w:cs="Arial"/>
          <w:szCs w:val="21"/>
          <w:lang w:val="pl-PL"/>
        </w:rPr>
      </w:pPr>
      <w:r w:rsidRPr="00E4105B">
        <w:rPr>
          <w:rFonts w:eastAsia="MS Mincho" w:cs="Arial"/>
          <w:szCs w:val="21"/>
          <w:lang w:val="pl-PL"/>
        </w:rPr>
        <w:t>Hatari za mioto ya vichaka kutokana na kuungua kwa moto usiodhibitiwa;</w:t>
      </w:r>
    </w:p>
    <w:p w14:paraId="2022F63E" w14:textId="77777777" w:rsidR="000326DA" w:rsidRPr="00E4105B" w:rsidRDefault="000326DA" w:rsidP="002378EA">
      <w:pPr>
        <w:pStyle w:val="Paragraphedeliste"/>
        <w:widowControl w:val="0"/>
        <w:numPr>
          <w:ilvl w:val="0"/>
          <w:numId w:val="165"/>
        </w:numPr>
        <w:autoSpaceDE w:val="0"/>
        <w:autoSpaceDN w:val="0"/>
        <w:rPr>
          <w:rFonts w:eastAsia="MS Mincho" w:cs="Arial"/>
          <w:szCs w:val="21"/>
          <w:lang w:val="pl-PL"/>
        </w:rPr>
      </w:pPr>
      <w:r w:rsidRPr="00E4105B">
        <w:rPr>
          <w:rFonts w:eastAsia="MS Mincho" w:cs="Arial"/>
          <w:szCs w:val="21"/>
          <w:lang w:val="pl-PL"/>
        </w:rPr>
        <w:t>Hatari ya uingizaji wa maeneo ya hifadhi (Eneo la uwindaji wa Mangai, Bushimaie, Hifadhi ya Bahari ya Mikoko na Hifadhi ya Taifa ya Virunga;</w:t>
      </w:r>
    </w:p>
    <w:p w14:paraId="784D66C9" w14:textId="77777777" w:rsidR="000326DA" w:rsidRPr="00E4105B" w:rsidRDefault="000326DA" w:rsidP="002378EA">
      <w:pPr>
        <w:pStyle w:val="Paragraphedeliste"/>
        <w:widowControl w:val="0"/>
        <w:numPr>
          <w:ilvl w:val="0"/>
          <w:numId w:val="165"/>
        </w:numPr>
        <w:autoSpaceDE w:val="0"/>
        <w:autoSpaceDN w:val="0"/>
        <w:rPr>
          <w:rFonts w:eastAsia="MS Mincho" w:cs="Arial"/>
          <w:szCs w:val="21"/>
          <w:lang w:val="pl-PL"/>
        </w:rPr>
      </w:pPr>
      <w:r w:rsidRPr="00E4105B">
        <w:rPr>
          <w:rFonts w:eastAsia="MS Mincho" w:cs="Arial"/>
          <w:szCs w:val="21"/>
          <w:lang w:val="pl-PL"/>
        </w:rPr>
        <w:t>Hatari ya uingizaji kwenye mali ya Watu wa Aboriginal (PA);</w:t>
      </w:r>
    </w:p>
    <w:p w14:paraId="4C6D2B0C" w14:textId="77777777" w:rsidR="000326DA" w:rsidRPr="00E4105B" w:rsidRDefault="000326DA" w:rsidP="002378EA">
      <w:pPr>
        <w:pStyle w:val="Paragraphedeliste"/>
        <w:widowControl w:val="0"/>
        <w:numPr>
          <w:ilvl w:val="0"/>
          <w:numId w:val="165"/>
        </w:numPr>
        <w:autoSpaceDE w:val="0"/>
        <w:autoSpaceDN w:val="0"/>
        <w:rPr>
          <w:rFonts w:eastAsia="MS Mincho" w:cs="Arial"/>
          <w:szCs w:val="21"/>
          <w:lang w:val="pl-PL"/>
        </w:rPr>
      </w:pPr>
      <w:r w:rsidRPr="00E4105B">
        <w:rPr>
          <w:rFonts w:eastAsia="MS Mincho" w:cs="Arial"/>
          <w:szCs w:val="21"/>
          <w:lang w:val="pl-PL"/>
        </w:rPr>
        <w:t>Hatari ya kuenea kwa ujangili;</w:t>
      </w:r>
    </w:p>
    <w:p w14:paraId="13195948" w14:textId="77777777" w:rsidR="000326DA" w:rsidRPr="00E4105B" w:rsidRDefault="000326DA" w:rsidP="002378EA">
      <w:pPr>
        <w:pStyle w:val="Paragraphedeliste"/>
        <w:widowControl w:val="0"/>
        <w:numPr>
          <w:ilvl w:val="0"/>
          <w:numId w:val="165"/>
        </w:numPr>
        <w:autoSpaceDE w:val="0"/>
        <w:autoSpaceDN w:val="0"/>
        <w:rPr>
          <w:rFonts w:eastAsia="MS Mincho" w:cs="Arial"/>
          <w:szCs w:val="21"/>
          <w:lang w:val="pl-PL"/>
        </w:rPr>
      </w:pPr>
      <w:r w:rsidRPr="00E4105B">
        <w:rPr>
          <w:rFonts w:eastAsia="MS Mincho" w:cs="Arial"/>
          <w:szCs w:val="21"/>
          <w:lang w:val="pl-PL"/>
        </w:rPr>
        <w:t>Hatari za moto au mlipuko wa mizinga ya kuhifadhi mafuta;</w:t>
      </w:r>
    </w:p>
    <w:p w14:paraId="4E82E48A" w14:textId="77777777" w:rsidR="000326DA" w:rsidRPr="00E4105B" w:rsidRDefault="000326DA" w:rsidP="002378EA">
      <w:pPr>
        <w:pStyle w:val="Paragraphedeliste"/>
        <w:widowControl w:val="0"/>
        <w:numPr>
          <w:ilvl w:val="0"/>
          <w:numId w:val="165"/>
        </w:numPr>
        <w:autoSpaceDE w:val="0"/>
        <w:autoSpaceDN w:val="0"/>
        <w:rPr>
          <w:rFonts w:eastAsia="MS Mincho" w:cs="Arial"/>
          <w:szCs w:val="21"/>
          <w:lang w:val="pl-PL"/>
        </w:rPr>
      </w:pPr>
      <w:r w:rsidRPr="00E4105B">
        <w:rPr>
          <w:rFonts w:eastAsia="MS Mincho" w:cs="Arial"/>
          <w:szCs w:val="21"/>
          <w:lang w:val="pl-PL"/>
        </w:rPr>
        <w:t>Hatari ya matumizi ya mali ya kitamaduni (monuments, makanisa, makaburi, maeneo matakatifu, nk) kama matokeo ya shughuli za excavation (uvumbuzi wa ajali);</w:t>
      </w:r>
    </w:p>
    <w:p w14:paraId="0E86639E" w14:textId="77777777" w:rsidR="000326DA" w:rsidRPr="00E4105B" w:rsidRDefault="000326DA" w:rsidP="002378EA">
      <w:pPr>
        <w:pStyle w:val="Paragraphedeliste"/>
        <w:widowControl w:val="0"/>
        <w:numPr>
          <w:ilvl w:val="0"/>
          <w:numId w:val="165"/>
        </w:numPr>
        <w:autoSpaceDE w:val="0"/>
        <w:autoSpaceDN w:val="0"/>
        <w:rPr>
          <w:rFonts w:eastAsia="MS Mincho" w:cs="Arial"/>
          <w:szCs w:val="21"/>
          <w:lang w:val="pl-PL"/>
        </w:rPr>
      </w:pPr>
      <w:r w:rsidRPr="00E4105B">
        <w:rPr>
          <w:rFonts w:eastAsia="MS Mincho" w:cs="Arial"/>
          <w:szCs w:val="21"/>
          <w:lang w:val="pl-PL"/>
        </w:rPr>
        <w:t>Hatari ya kukataliwa kwa teknolojia mpya za kilimo na mbinu zilizopendekezwa na mpango huo;</w:t>
      </w:r>
    </w:p>
    <w:p w14:paraId="54A863F0" w14:textId="77777777" w:rsidR="000326DA" w:rsidRPr="00E4105B" w:rsidRDefault="000326DA" w:rsidP="002378EA">
      <w:pPr>
        <w:pStyle w:val="Paragraphedeliste"/>
        <w:widowControl w:val="0"/>
        <w:numPr>
          <w:ilvl w:val="0"/>
          <w:numId w:val="165"/>
        </w:numPr>
        <w:autoSpaceDE w:val="0"/>
        <w:autoSpaceDN w:val="0"/>
        <w:rPr>
          <w:rFonts w:eastAsia="MS Mincho" w:cs="Arial"/>
          <w:szCs w:val="21"/>
          <w:lang w:val="pl-PL"/>
        </w:rPr>
      </w:pPr>
      <w:r w:rsidRPr="00E4105B">
        <w:rPr>
          <w:rFonts w:eastAsia="MS Mincho" w:cs="Arial"/>
          <w:szCs w:val="21"/>
          <w:lang w:val="pl-PL"/>
        </w:rPr>
        <w:t xml:space="preserve">Hatari ya kuanzisha spishi za uvamizi </w:t>
      </w:r>
    </w:p>
    <w:p w14:paraId="5B0EC939" w14:textId="77777777" w:rsidR="000326DA" w:rsidRPr="00E4105B" w:rsidRDefault="000326DA" w:rsidP="002378EA">
      <w:pPr>
        <w:pStyle w:val="Paragraphedeliste"/>
        <w:widowControl w:val="0"/>
        <w:numPr>
          <w:ilvl w:val="0"/>
          <w:numId w:val="165"/>
        </w:numPr>
        <w:autoSpaceDE w:val="0"/>
        <w:autoSpaceDN w:val="0"/>
        <w:rPr>
          <w:rFonts w:eastAsia="MS Mincho" w:cs="Arial"/>
          <w:szCs w:val="21"/>
          <w:lang w:val="pl-PL"/>
        </w:rPr>
      </w:pPr>
      <w:r w:rsidRPr="00E4105B">
        <w:rPr>
          <w:rFonts w:eastAsia="MS Mincho" w:cs="Arial"/>
          <w:szCs w:val="21"/>
          <w:lang w:val="pl-PL"/>
        </w:rPr>
        <w:t>Hatari ya kukataliwa kwa bidhaa za kilimo na wasambazaji wa kilimo kutokana na kutofuata ubora unaodaiwa na sekta ya usindikaji</w:t>
      </w:r>
    </w:p>
    <w:p w14:paraId="614A8425" w14:textId="77777777" w:rsidR="000326DA" w:rsidRPr="00E4105B" w:rsidRDefault="000326DA" w:rsidP="002378EA">
      <w:pPr>
        <w:pStyle w:val="Paragraphedeliste"/>
        <w:widowControl w:val="0"/>
        <w:numPr>
          <w:ilvl w:val="0"/>
          <w:numId w:val="165"/>
        </w:numPr>
        <w:autoSpaceDE w:val="0"/>
        <w:autoSpaceDN w:val="0"/>
        <w:rPr>
          <w:rFonts w:eastAsia="MS Mincho" w:cs="Arial"/>
          <w:szCs w:val="21"/>
          <w:lang w:val="pl-PL"/>
        </w:rPr>
      </w:pPr>
      <w:r w:rsidRPr="00E4105B">
        <w:rPr>
          <w:rFonts w:eastAsia="MS Mincho" w:cs="Arial"/>
          <w:szCs w:val="21"/>
          <w:lang w:val="pl-PL"/>
        </w:rPr>
        <w:t>Hatari ya kutengwa kwa kijamii kwa makundi yaliyo hatarini au yaliyotengwa (PAs, walemavu, wazee, vijana, albino kutokana na faida za mradi na fursa za kazi.</w:t>
      </w:r>
    </w:p>
    <w:p w14:paraId="02BC63A0" w14:textId="77777777" w:rsidR="000326DA" w:rsidRPr="00E4105B" w:rsidRDefault="000326DA" w:rsidP="000326DA">
      <w:pPr>
        <w:widowControl w:val="0"/>
        <w:autoSpaceDE w:val="0"/>
        <w:autoSpaceDN w:val="0"/>
        <w:ind w:left="720"/>
        <w:rPr>
          <w:rFonts w:eastAsia="Calibri" w:cs="Arial"/>
          <w:i/>
          <w:szCs w:val="21"/>
          <w:lang w:val="pl-PL"/>
        </w:rPr>
      </w:pPr>
    </w:p>
    <w:p w14:paraId="10469EFC" w14:textId="77777777" w:rsidR="000326DA" w:rsidRPr="00E4105B" w:rsidRDefault="000326DA" w:rsidP="000326DA">
      <w:pPr>
        <w:rPr>
          <w:rFonts w:cs="Arial"/>
          <w:szCs w:val="21"/>
          <w:u w:val="single"/>
          <w:lang w:val="pl-PL"/>
        </w:rPr>
      </w:pPr>
      <w:r w:rsidRPr="00E4105B">
        <w:rPr>
          <w:rFonts w:cs="Arial"/>
          <w:szCs w:val="21"/>
          <w:u w:val="single"/>
          <w:lang w:val="pl-PL"/>
        </w:rPr>
        <w:t>Hatari na athari zinazohusiana na ukarabati wa barabara za vijijini na ushoroba wa usafiri wa kipaumbele:</w:t>
      </w:r>
    </w:p>
    <w:p w14:paraId="004DE353" w14:textId="77777777" w:rsidR="000326DA" w:rsidRPr="00E4105B" w:rsidRDefault="000326DA" w:rsidP="000326DA">
      <w:pPr>
        <w:rPr>
          <w:rFonts w:cs="Arial"/>
          <w:szCs w:val="21"/>
          <w:u w:val="single"/>
          <w:lang w:val="pl-PL"/>
        </w:rPr>
      </w:pPr>
    </w:p>
    <w:p w14:paraId="47168CFE" w14:textId="77777777" w:rsidR="000326DA" w:rsidRPr="00E4105B" w:rsidRDefault="000326DA" w:rsidP="002378EA">
      <w:pPr>
        <w:pStyle w:val="Paragraphedeliste"/>
        <w:numPr>
          <w:ilvl w:val="0"/>
          <w:numId w:val="165"/>
        </w:numPr>
        <w:rPr>
          <w:rFonts w:cs="Arial"/>
          <w:szCs w:val="21"/>
          <w:lang w:val="pl-PL"/>
        </w:rPr>
      </w:pPr>
      <w:r w:rsidRPr="00E4105B">
        <w:rPr>
          <w:rFonts w:cs="Arial"/>
          <w:szCs w:val="21"/>
          <w:lang w:val="pl-PL"/>
        </w:rPr>
        <w:t xml:space="preserve">Mti ulianguka na kupoteza viumbe hai kwenye mhimili wa njia na kwenye maeneo ya kukopa baadaye; </w:t>
      </w:r>
    </w:p>
    <w:p w14:paraId="472BBBB3" w14:textId="77777777" w:rsidR="000326DA" w:rsidRPr="00E4105B" w:rsidRDefault="000326DA" w:rsidP="002378EA">
      <w:pPr>
        <w:pStyle w:val="Paragraphedeliste"/>
        <w:numPr>
          <w:ilvl w:val="0"/>
          <w:numId w:val="165"/>
        </w:numPr>
        <w:rPr>
          <w:rFonts w:cs="Arial"/>
          <w:szCs w:val="21"/>
          <w:lang w:val="pl-PL"/>
        </w:rPr>
      </w:pPr>
      <w:r w:rsidRPr="00E4105B">
        <w:rPr>
          <w:rFonts w:cs="Arial"/>
          <w:szCs w:val="21"/>
          <w:lang w:val="pl-PL"/>
        </w:rPr>
        <w:t xml:space="preserve">Uingizaji wa ardhi ya kiarabu (kwa njia mpya); </w:t>
      </w:r>
    </w:p>
    <w:p w14:paraId="73CC9891" w14:textId="77777777" w:rsidR="000326DA" w:rsidRPr="00E4105B" w:rsidRDefault="000326DA" w:rsidP="002378EA">
      <w:pPr>
        <w:pStyle w:val="Paragraphedeliste"/>
        <w:numPr>
          <w:ilvl w:val="0"/>
          <w:numId w:val="165"/>
        </w:numPr>
        <w:rPr>
          <w:rFonts w:cs="Arial"/>
          <w:szCs w:val="21"/>
        </w:rPr>
      </w:pPr>
      <w:r w:rsidRPr="00E4105B">
        <w:rPr>
          <w:rFonts w:cs="Arial"/>
          <w:szCs w:val="21"/>
        </w:rPr>
        <w:t xml:space="preserve">Kuzuia njia zinazotiliwa mbali;  </w:t>
      </w:r>
    </w:p>
    <w:p w14:paraId="0B05EB04" w14:textId="77777777" w:rsidR="000326DA" w:rsidRPr="00E4105B" w:rsidRDefault="000326DA" w:rsidP="002378EA">
      <w:pPr>
        <w:pStyle w:val="Paragraphedeliste"/>
        <w:numPr>
          <w:ilvl w:val="0"/>
          <w:numId w:val="165"/>
        </w:numPr>
        <w:rPr>
          <w:rFonts w:cs="Arial"/>
          <w:szCs w:val="21"/>
        </w:rPr>
      </w:pPr>
      <w:r w:rsidRPr="00E4105B">
        <w:rPr>
          <w:rFonts w:cs="Arial"/>
          <w:szCs w:val="21"/>
        </w:rPr>
        <w:t>Uchafuzi wa hewa na vumbi (vumbi, kelele) wakati wa ujenzi;</w:t>
      </w:r>
    </w:p>
    <w:p w14:paraId="7D15A123" w14:textId="77777777" w:rsidR="000326DA" w:rsidRPr="00E4105B" w:rsidRDefault="000326DA" w:rsidP="002378EA">
      <w:pPr>
        <w:pStyle w:val="Paragraphedeliste"/>
        <w:numPr>
          <w:ilvl w:val="0"/>
          <w:numId w:val="165"/>
        </w:numPr>
        <w:rPr>
          <w:rFonts w:cs="Arial"/>
          <w:szCs w:val="21"/>
        </w:rPr>
      </w:pPr>
      <w:r w:rsidRPr="00E4105B">
        <w:rPr>
          <w:rFonts w:cs="Arial"/>
          <w:szCs w:val="21"/>
        </w:rPr>
        <w:t>Uchafuzi wa mazingira (maji na udongo) na takataka imara (taka, bomoabomoa, mafuta, mifereji ya maji, nk);</w:t>
      </w:r>
    </w:p>
    <w:p w14:paraId="41D3ADC2" w14:textId="77777777" w:rsidR="000326DA" w:rsidRPr="00E4105B" w:rsidRDefault="000326DA" w:rsidP="002378EA">
      <w:pPr>
        <w:pStyle w:val="Paragraphedeliste"/>
        <w:numPr>
          <w:ilvl w:val="0"/>
          <w:numId w:val="165"/>
        </w:numPr>
        <w:rPr>
          <w:rFonts w:cs="Arial"/>
          <w:szCs w:val="21"/>
        </w:rPr>
      </w:pPr>
      <w:r w:rsidRPr="00E4105B">
        <w:rPr>
          <w:rFonts w:cs="Arial"/>
          <w:szCs w:val="21"/>
        </w:rPr>
        <w:t>Hatari ya ajali kwa wafanyakazi na watu;</w:t>
      </w:r>
    </w:p>
    <w:p w14:paraId="70BDB0A2" w14:textId="77777777" w:rsidR="000326DA" w:rsidRPr="00E4105B" w:rsidRDefault="000326DA" w:rsidP="002378EA">
      <w:pPr>
        <w:pStyle w:val="Paragraphedeliste"/>
        <w:numPr>
          <w:ilvl w:val="0"/>
          <w:numId w:val="166"/>
        </w:numPr>
        <w:rPr>
          <w:rFonts w:cs="Arial"/>
          <w:szCs w:val="21"/>
        </w:rPr>
      </w:pPr>
      <w:r w:rsidRPr="00E4105B">
        <w:rPr>
          <w:rFonts w:cs="Arial"/>
          <w:szCs w:val="21"/>
        </w:rPr>
        <w:t xml:space="preserve">Uhamishaji wa hiari wa watu au shughuli za kiuchumi;  </w:t>
      </w:r>
    </w:p>
    <w:p w14:paraId="382E29CB" w14:textId="77777777" w:rsidR="000326DA" w:rsidRPr="00E4105B" w:rsidRDefault="000326DA" w:rsidP="002378EA">
      <w:pPr>
        <w:pStyle w:val="Paragraphedeliste"/>
        <w:numPr>
          <w:ilvl w:val="0"/>
          <w:numId w:val="166"/>
        </w:numPr>
        <w:rPr>
          <w:rFonts w:cs="Arial"/>
          <w:szCs w:val="21"/>
        </w:rPr>
      </w:pPr>
      <w:r w:rsidRPr="00E4105B">
        <w:rPr>
          <w:rFonts w:cs="Arial"/>
          <w:szCs w:val="21"/>
        </w:rPr>
        <w:t>Kizazi cha taka wakati wa kazi za ujenzi;</w:t>
      </w:r>
    </w:p>
    <w:p w14:paraId="5E061CCC" w14:textId="77777777" w:rsidR="000326DA" w:rsidRPr="00E4105B" w:rsidRDefault="000326DA" w:rsidP="002378EA">
      <w:pPr>
        <w:pStyle w:val="Paragraphedeliste"/>
        <w:numPr>
          <w:ilvl w:val="0"/>
          <w:numId w:val="166"/>
        </w:numPr>
        <w:rPr>
          <w:rFonts w:cs="Arial"/>
          <w:szCs w:val="21"/>
          <w:lang w:val="en-US"/>
        </w:rPr>
      </w:pPr>
      <w:r w:rsidRPr="00E4105B">
        <w:rPr>
          <w:rFonts w:cs="Arial"/>
          <w:szCs w:val="21"/>
          <w:lang w:val="en-US"/>
        </w:rPr>
        <w:t>Uharibifu wa mazingira ya kuishi;</w:t>
      </w:r>
    </w:p>
    <w:p w14:paraId="2B8BA5F6" w14:textId="77777777" w:rsidR="000326DA" w:rsidRPr="00E4105B" w:rsidRDefault="000326DA" w:rsidP="002378EA">
      <w:pPr>
        <w:pStyle w:val="Paragraphedeliste"/>
        <w:numPr>
          <w:ilvl w:val="0"/>
          <w:numId w:val="166"/>
        </w:numPr>
        <w:rPr>
          <w:rFonts w:cs="Arial"/>
          <w:szCs w:val="21"/>
          <w:lang w:val="en-US"/>
        </w:rPr>
      </w:pPr>
      <w:r w:rsidRPr="00E4105B">
        <w:rPr>
          <w:rFonts w:cs="Arial"/>
          <w:szCs w:val="21"/>
          <w:lang w:val="en-US"/>
        </w:rPr>
        <w:t>Hakuna matumizi ya leba ya eneo hilo;</w:t>
      </w:r>
    </w:p>
    <w:p w14:paraId="276A9EC4" w14:textId="77777777" w:rsidR="000326DA" w:rsidRPr="00E4105B" w:rsidRDefault="000326DA" w:rsidP="002378EA">
      <w:pPr>
        <w:pStyle w:val="Paragraphedeliste"/>
        <w:numPr>
          <w:ilvl w:val="0"/>
          <w:numId w:val="166"/>
        </w:numPr>
        <w:rPr>
          <w:rFonts w:cs="Arial"/>
          <w:szCs w:val="21"/>
          <w:lang w:val="en-US"/>
        </w:rPr>
      </w:pPr>
      <w:r w:rsidRPr="00E4105B">
        <w:rPr>
          <w:rFonts w:cs="Arial"/>
          <w:szCs w:val="21"/>
          <w:lang w:val="en-US"/>
        </w:rPr>
        <w:t>Hatari ya shinikizo kubwa kwa wanyamapori kwa kuwepo kwa kazi za eneo hilo;</w:t>
      </w:r>
    </w:p>
    <w:p w14:paraId="40599B39" w14:textId="77777777" w:rsidR="000326DA" w:rsidRPr="00E4105B" w:rsidRDefault="000326DA" w:rsidP="002378EA">
      <w:pPr>
        <w:pStyle w:val="Paragraphedeliste"/>
        <w:numPr>
          <w:ilvl w:val="0"/>
          <w:numId w:val="166"/>
        </w:numPr>
        <w:rPr>
          <w:rFonts w:cs="Arial"/>
          <w:szCs w:val="21"/>
          <w:lang w:val="en-US"/>
        </w:rPr>
      </w:pPr>
      <w:r w:rsidRPr="00E4105B">
        <w:rPr>
          <w:rFonts w:cs="Arial"/>
          <w:szCs w:val="21"/>
          <w:lang w:val="en-US"/>
        </w:rPr>
        <w:t>Ukataji miti kutokana na ufunguzi na unyonyaji wa quarries;</w:t>
      </w:r>
    </w:p>
    <w:p w14:paraId="48A4A143" w14:textId="77777777" w:rsidR="000326DA" w:rsidRPr="00E4105B" w:rsidRDefault="000326DA" w:rsidP="002378EA">
      <w:pPr>
        <w:pStyle w:val="Paragraphedeliste"/>
        <w:numPr>
          <w:ilvl w:val="0"/>
          <w:numId w:val="166"/>
        </w:numPr>
        <w:rPr>
          <w:rFonts w:cs="Arial"/>
          <w:szCs w:val="21"/>
          <w:lang w:val="en-US"/>
        </w:rPr>
      </w:pPr>
      <w:r w:rsidRPr="00E4105B">
        <w:rPr>
          <w:rFonts w:cs="Arial"/>
          <w:szCs w:val="21"/>
          <w:lang w:val="en-US"/>
        </w:rPr>
        <w:t>Hatari za mioto ya vichaka kutokana na kuungua kwa moto usiodhibitiwa;</w:t>
      </w:r>
    </w:p>
    <w:p w14:paraId="6ECB7316" w14:textId="77777777" w:rsidR="000326DA" w:rsidRPr="00E4105B" w:rsidRDefault="000326DA" w:rsidP="002378EA">
      <w:pPr>
        <w:pStyle w:val="Paragraphedeliste"/>
        <w:numPr>
          <w:ilvl w:val="0"/>
          <w:numId w:val="166"/>
        </w:numPr>
        <w:rPr>
          <w:rFonts w:cs="Arial"/>
          <w:szCs w:val="21"/>
        </w:rPr>
      </w:pPr>
      <w:r w:rsidRPr="00E4105B">
        <w:rPr>
          <w:rFonts w:cs="Arial"/>
          <w:szCs w:val="21"/>
        </w:rPr>
        <w:t>Ugawaji wa mito;</w:t>
      </w:r>
    </w:p>
    <w:p w14:paraId="0E0AF47A" w14:textId="77777777" w:rsidR="000326DA" w:rsidRPr="00E4105B" w:rsidRDefault="000326DA" w:rsidP="002378EA">
      <w:pPr>
        <w:pStyle w:val="Paragraphedeliste"/>
        <w:numPr>
          <w:ilvl w:val="0"/>
          <w:numId w:val="166"/>
        </w:numPr>
        <w:rPr>
          <w:rFonts w:cs="Arial"/>
          <w:szCs w:val="21"/>
        </w:rPr>
      </w:pPr>
      <w:r w:rsidRPr="00E4105B">
        <w:rPr>
          <w:rFonts w:cs="Arial"/>
          <w:szCs w:val="21"/>
        </w:rPr>
        <w:t xml:space="preserve">Hatari ya uingizaji wa maeneo ya hifadhi (Eneo la Uwindaji wa Mangai, Bushimae, Hifadhi ya Bahari ya Mikoko na Hifadhi ya Taifa ya Virunga; </w:t>
      </w:r>
    </w:p>
    <w:p w14:paraId="5551ABEF" w14:textId="77777777" w:rsidR="000326DA" w:rsidRPr="00E4105B" w:rsidRDefault="000326DA" w:rsidP="002378EA">
      <w:pPr>
        <w:pStyle w:val="Paragraphedeliste"/>
        <w:numPr>
          <w:ilvl w:val="0"/>
          <w:numId w:val="166"/>
        </w:numPr>
        <w:rPr>
          <w:rFonts w:cs="Arial"/>
          <w:szCs w:val="21"/>
        </w:rPr>
      </w:pPr>
      <w:r w:rsidRPr="00E4105B">
        <w:rPr>
          <w:rFonts w:cs="Arial"/>
          <w:szCs w:val="21"/>
        </w:rPr>
        <w:t>Hatari ya uingizaji kwenye mali ya wazawa (PA);</w:t>
      </w:r>
    </w:p>
    <w:p w14:paraId="393DD1D5" w14:textId="77777777" w:rsidR="000326DA" w:rsidRPr="00E4105B" w:rsidRDefault="000326DA" w:rsidP="002378EA">
      <w:pPr>
        <w:pStyle w:val="Paragraphedeliste"/>
        <w:numPr>
          <w:ilvl w:val="0"/>
          <w:numId w:val="166"/>
        </w:numPr>
        <w:rPr>
          <w:rFonts w:cs="Arial"/>
          <w:szCs w:val="21"/>
        </w:rPr>
      </w:pPr>
      <w:r w:rsidRPr="00E4105B">
        <w:rPr>
          <w:rFonts w:cs="Arial"/>
          <w:szCs w:val="21"/>
        </w:rPr>
        <w:t>Hatari ya uenezi wa ujangili;</w:t>
      </w:r>
    </w:p>
    <w:p w14:paraId="13A7A256" w14:textId="77777777" w:rsidR="000326DA" w:rsidRPr="00E4105B" w:rsidRDefault="000326DA" w:rsidP="002378EA">
      <w:pPr>
        <w:pStyle w:val="Paragraphedeliste"/>
        <w:numPr>
          <w:ilvl w:val="0"/>
          <w:numId w:val="166"/>
        </w:numPr>
        <w:rPr>
          <w:rFonts w:cs="Arial"/>
          <w:szCs w:val="21"/>
        </w:rPr>
      </w:pPr>
      <w:r w:rsidRPr="00E4105B">
        <w:rPr>
          <w:rFonts w:cs="Arial"/>
          <w:szCs w:val="21"/>
        </w:rPr>
        <w:t>Uchafuzi wa mazingira na usumbufu wa mtiririko wa mito, sholands na pedi za mchele;</w:t>
      </w:r>
    </w:p>
    <w:p w14:paraId="210B7B6F" w14:textId="77777777" w:rsidR="000326DA" w:rsidRPr="00E4105B" w:rsidRDefault="000326DA" w:rsidP="002378EA">
      <w:pPr>
        <w:pStyle w:val="Paragraphedeliste"/>
        <w:numPr>
          <w:ilvl w:val="0"/>
          <w:numId w:val="166"/>
        </w:numPr>
        <w:rPr>
          <w:rFonts w:cs="Arial"/>
          <w:szCs w:val="21"/>
        </w:rPr>
      </w:pPr>
      <w:r w:rsidRPr="00E4105B">
        <w:rPr>
          <w:rFonts w:cs="Arial"/>
          <w:szCs w:val="21"/>
        </w:rPr>
        <w:t>Uchafuzi wa uso na maji ya chini ya ardhi kufuatia ajali ya maji taka na hydrocarbons;</w:t>
      </w:r>
    </w:p>
    <w:p w14:paraId="508B2205" w14:textId="77777777" w:rsidR="000326DA" w:rsidRPr="00E4105B" w:rsidRDefault="000326DA" w:rsidP="002378EA">
      <w:pPr>
        <w:pStyle w:val="Paragraphedeliste"/>
        <w:numPr>
          <w:ilvl w:val="0"/>
          <w:numId w:val="166"/>
        </w:numPr>
        <w:rPr>
          <w:rFonts w:cs="Arial"/>
          <w:szCs w:val="21"/>
        </w:rPr>
      </w:pPr>
      <w:r w:rsidRPr="00E4105B">
        <w:rPr>
          <w:rFonts w:cs="Arial"/>
          <w:szCs w:val="21"/>
        </w:rPr>
        <w:t>Hatari ya mmomotevu wa udongo;</w:t>
      </w:r>
    </w:p>
    <w:p w14:paraId="04A50BB6" w14:textId="77777777" w:rsidR="000326DA" w:rsidRPr="00E4105B" w:rsidRDefault="000326DA" w:rsidP="002378EA">
      <w:pPr>
        <w:pStyle w:val="Paragraphedeliste"/>
        <w:numPr>
          <w:ilvl w:val="0"/>
          <w:numId w:val="166"/>
        </w:numPr>
        <w:rPr>
          <w:rFonts w:cs="Arial"/>
          <w:szCs w:val="21"/>
        </w:rPr>
      </w:pPr>
      <w:r w:rsidRPr="00E4105B">
        <w:rPr>
          <w:rFonts w:cs="Arial"/>
          <w:szCs w:val="21"/>
        </w:rPr>
        <w:t>Hatari ya ugunduzi wa ajali:</w:t>
      </w:r>
    </w:p>
    <w:p w14:paraId="4ABEFC30" w14:textId="77777777" w:rsidR="000326DA" w:rsidRPr="00E4105B" w:rsidRDefault="000326DA" w:rsidP="002378EA">
      <w:pPr>
        <w:pStyle w:val="Paragraphedeliste"/>
        <w:numPr>
          <w:ilvl w:val="0"/>
          <w:numId w:val="166"/>
        </w:numPr>
        <w:rPr>
          <w:rFonts w:cs="Arial"/>
          <w:szCs w:val="21"/>
        </w:rPr>
      </w:pPr>
      <w:r w:rsidRPr="00E4105B">
        <w:rPr>
          <w:rFonts w:cs="Arial"/>
          <w:szCs w:val="21"/>
        </w:rPr>
        <w:t>Uwezekano wa kuenea kwa VVU/UKIMWI na magonjwa ya ngono na kubadilishana utamaduni kati ya wakazi wa riverside na wafanyakazi katika maeneo ya ujenzi;</w:t>
      </w:r>
    </w:p>
    <w:p w14:paraId="1BDDAAAF" w14:textId="77777777" w:rsidR="000326DA" w:rsidRPr="00E4105B" w:rsidRDefault="000326DA" w:rsidP="002378EA">
      <w:pPr>
        <w:pStyle w:val="Paragraphedeliste"/>
        <w:numPr>
          <w:ilvl w:val="0"/>
          <w:numId w:val="166"/>
        </w:numPr>
        <w:rPr>
          <w:rFonts w:cs="Arial"/>
          <w:szCs w:val="21"/>
        </w:rPr>
      </w:pPr>
      <w:r w:rsidRPr="00E4105B">
        <w:rPr>
          <w:rFonts w:cs="Arial"/>
          <w:szCs w:val="21"/>
        </w:rPr>
        <w:t>Hatari ya kuzidisha VGGs, ikiwa ni pamoja na EAS na HS, kama matokeo ya kazi;</w:t>
      </w:r>
    </w:p>
    <w:p w14:paraId="21E9CEF9" w14:textId="77777777" w:rsidR="000326DA" w:rsidRPr="00E4105B" w:rsidRDefault="000326DA" w:rsidP="002378EA">
      <w:pPr>
        <w:pStyle w:val="Paragraphedeliste"/>
        <w:numPr>
          <w:ilvl w:val="0"/>
          <w:numId w:val="166"/>
        </w:numPr>
        <w:rPr>
          <w:rFonts w:cs="Arial"/>
          <w:szCs w:val="21"/>
        </w:rPr>
      </w:pPr>
      <w:r w:rsidRPr="00E4105B">
        <w:rPr>
          <w:rFonts w:cs="Arial"/>
          <w:szCs w:val="21"/>
        </w:rPr>
        <w:t>Hatari ya kuenea kwa ugonjwa wa virusi vya corona (COVID-19) ikiwa hatua za kuzuia au kuzuia hazifuatwi; Na</w:t>
      </w:r>
    </w:p>
    <w:p w14:paraId="21B5E04E" w14:textId="77777777" w:rsidR="000326DA" w:rsidRPr="00E4105B" w:rsidRDefault="000326DA" w:rsidP="002378EA">
      <w:pPr>
        <w:pStyle w:val="Paragraphedeliste"/>
        <w:numPr>
          <w:ilvl w:val="0"/>
          <w:numId w:val="166"/>
        </w:numPr>
        <w:rPr>
          <w:rFonts w:cs="Arial"/>
          <w:szCs w:val="21"/>
          <w:lang w:val="en-US"/>
        </w:rPr>
      </w:pPr>
      <w:r w:rsidRPr="00E4105B">
        <w:rPr>
          <w:rFonts w:cs="Arial"/>
          <w:szCs w:val="21"/>
          <w:lang w:val="en-US"/>
        </w:rPr>
        <w:t>Hatari ya virusi vya Ebola kuenea.</w:t>
      </w:r>
    </w:p>
    <w:p w14:paraId="596ACC81" w14:textId="77777777" w:rsidR="000326DA" w:rsidRPr="00E4105B" w:rsidRDefault="000326DA" w:rsidP="000326DA">
      <w:pPr>
        <w:rPr>
          <w:rFonts w:cs="Arial"/>
          <w:szCs w:val="21"/>
          <w:lang w:val="en-US"/>
        </w:rPr>
      </w:pPr>
    </w:p>
    <w:p w14:paraId="7134453B" w14:textId="77777777" w:rsidR="000326DA" w:rsidRPr="00E4105B" w:rsidRDefault="000326DA" w:rsidP="000326DA">
      <w:pPr>
        <w:rPr>
          <w:rFonts w:cs="Arial"/>
          <w:szCs w:val="21"/>
          <w:u w:val="single"/>
          <w:lang w:val="en-US"/>
        </w:rPr>
      </w:pPr>
      <w:r w:rsidRPr="00E4105B">
        <w:rPr>
          <w:rFonts w:cs="Arial"/>
          <w:szCs w:val="21"/>
          <w:u w:val="single"/>
          <w:lang w:val="en-US"/>
        </w:rPr>
        <w:t>Hatari na uwezekano wa athari mbaya za ujenzi/ukarabati wa masoko ya jamii na nyumba za kuchinja:</w:t>
      </w:r>
    </w:p>
    <w:p w14:paraId="7D50D680" w14:textId="77777777" w:rsidR="000326DA" w:rsidRPr="00E4105B" w:rsidRDefault="000326DA" w:rsidP="000326DA">
      <w:pPr>
        <w:rPr>
          <w:rFonts w:cs="Arial"/>
          <w:szCs w:val="21"/>
          <w:lang w:val="en-US"/>
        </w:rPr>
      </w:pPr>
    </w:p>
    <w:p w14:paraId="2141E643" w14:textId="77777777" w:rsidR="000326DA" w:rsidRPr="00E4105B" w:rsidRDefault="000326DA" w:rsidP="002378EA">
      <w:pPr>
        <w:pStyle w:val="Paragraphedeliste"/>
        <w:numPr>
          <w:ilvl w:val="0"/>
          <w:numId w:val="167"/>
        </w:numPr>
        <w:rPr>
          <w:rFonts w:cs="Arial"/>
          <w:szCs w:val="21"/>
          <w:lang w:val="en-US"/>
        </w:rPr>
      </w:pPr>
      <w:r w:rsidRPr="00E4105B">
        <w:rPr>
          <w:rFonts w:cs="Arial"/>
          <w:szCs w:val="21"/>
          <w:lang w:val="en-US"/>
        </w:rPr>
        <w:t xml:space="preserve">Uhamishaji wa hiari wa watu au shughuli za kiuchumi; </w:t>
      </w:r>
    </w:p>
    <w:p w14:paraId="782B5242" w14:textId="77777777" w:rsidR="000326DA" w:rsidRPr="00E4105B" w:rsidRDefault="000326DA" w:rsidP="002378EA">
      <w:pPr>
        <w:pStyle w:val="Paragraphedeliste"/>
        <w:numPr>
          <w:ilvl w:val="0"/>
          <w:numId w:val="167"/>
        </w:numPr>
        <w:rPr>
          <w:rFonts w:cs="Arial"/>
          <w:szCs w:val="21"/>
          <w:lang w:val="en-US"/>
        </w:rPr>
      </w:pPr>
      <w:r w:rsidRPr="00E4105B">
        <w:rPr>
          <w:rFonts w:cs="Arial"/>
          <w:szCs w:val="21"/>
          <w:lang w:val="en-US"/>
        </w:rPr>
        <w:t>Kizazi cha taka wakati wa ujenzi na uendeshaji;</w:t>
      </w:r>
    </w:p>
    <w:p w14:paraId="30FF977A" w14:textId="77777777" w:rsidR="000326DA" w:rsidRPr="00E4105B" w:rsidRDefault="000326DA" w:rsidP="002378EA">
      <w:pPr>
        <w:pStyle w:val="Paragraphedeliste"/>
        <w:numPr>
          <w:ilvl w:val="0"/>
          <w:numId w:val="167"/>
        </w:numPr>
        <w:rPr>
          <w:rFonts w:cs="Arial"/>
          <w:szCs w:val="21"/>
          <w:lang w:val="en-US"/>
        </w:rPr>
      </w:pPr>
      <w:r w:rsidRPr="00E4105B">
        <w:rPr>
          <w:rFonts w:cs="Arial"/>
          <w:szCs w:val="21"/>
          <w:lang w:val="en-US"/>
        </w:rPr>
        <w:t xml:space="preserve">Mabadiliko ya mandhari katika mshiko wa ujenzi wa masoko ya jamii; </w:t>
      </w:r>
    </w:p>
    <w:p w14:paraId="5862F391" w14:textId="77777777" w:rsidR="000326DA" w:rsidRPr="00E4105B" w:rsidRDefault="000326DA" w:rsidP="002378EA">
      <w:pPr>
        <w:pStyle w:val="Paragraphedeliste"/>
        <w:numPr>
          <w:ilvl w:val="0"/>
          <w:numId w:val="167"/>
        </w:numPr>
        <w:rPr>
          <w:rFonts w:cs="Arial"/>
          <w:szCs w:val="21"/>
          <w:lang w:val="en-US"/>
        </w:rPr>
      </w:pPr>
      <w:r w:rsidRPr="00E4105B">
        <w:rPr>
          <w:rFonts w:cs="Arial"/>
          <w:szCs w:val="21"/>
          <w:lang w:val="en-US"/>
        </w:rPr>
        <w:t>Hatari ya kuumia binafsi wakati wa ujenzi;</w:t>
      </w:r>
    </w:p>
    <w:p w14:paraId="6726F01E" w14:textId="77777777" w:rsidR="000326DA" w:rsidRPr="00E4105B" w:rsidRDefault="000326DA" w:rsidP="002378EA">
      <w:pPr>
        <w:pStyle w:val="Paragraphedeliste"/>
        <w:numPr>
          <w:ilvl w:val="0"/>
          <w:numId w:val="167"/>
        </w:numPr>
        <w:rPr>
          <w:rFonts w:cs="Arial"/>
          <w:szCs w:val="21"/>
          <w:lang w:val="en-US"/>
        </w:rPr>
      </w:pPr>
      <w:r w:rsidRPr="00E4105B">
        <w:rPr>
          <w:rFonts w:cs="Arial"/>
          <w:szCs w:val="21"/>
          <w:lang w:val="en-US"/>
        </w:rPr>
        <w:t>Hakuna matumizi ya leba ya eneo hilo;</w:t>
      </w:r>
    </w:p>
    <w:p w14:paraId="5BD6A50F" w14:textId="77777777" w:rsidR="000326DA" w:rsidRPr="00E4105B" w:rsidRDefault="000326DA" w:rsidP="002378EA">
      <w:pPr>
        <w:pStyle w:val="Paragraphedeliste"/>
        <w:numPr>
          <w:ilvl w:val="0"/>
          <w:numId w:val="167"/>
        </w:numPr>
        <w:rPr>
          <w:rFonts w:cs="Arial"/>
          <w:szCs w:val="21"/>
          <w:lang w:val="en-US"/>
        </w:rPr>
      </w:pPr>
      <w:r w:rsidRPr="00E4105B">
        <w:rPr>
          <w:rFonts w:cs="Arial"/>
          <w:szCs w:val="21"/>
          <w:lang w:val="en-US"/>
        </w:rPr>
        <w:t>Uwezekano wa kuenea kwa VVU/UKIMWI na magonjwa ya ngono na kubadilishana utamaduni kati ya wakazi wa riverside na wafanyakazi katika maeneo ya ujenzi;</w:t>
      </w:r>
    </w:p>
    <w:p w14:paraId="54871B72" w14:textId="77777777" w:rsidR="000326DA" w:rsidRPr="00E4105B" w:rsidRDefault="000326DA" w:rsidP="002378EA">
      <w:pPr>
        <w:pStyle w:val="Paragraphedeliste"/>
        <w:numPr>
          <w:ilvl w:val="0"/>
          <w:numId w:val="167"/>
        </w:numPr>
        <w:rPr>
          <w:rFonts w:cs="Arial"/>
          <w:szCs w:val="21"/>
          <w:lang w:val="en-US"/>
        </w:rPr>
      </w:pPr>
      <w:r w:rsidRPr="00E4105B">
        <w:rPr>
          <w:rFonts w:cs="Arial"/>
          <w:szCs w:val="21"/>
          <w:lang w:val="en-US"/>
        </w:rPr>
        <w:t>Hatari ya VBG, ikiwa ni pamoja na EAS na HS, hasa kufuatia mmiminiko wa kazi;</w:t>
      </w:r>
    </w:p>
    <w:p w14:paraId="5E34CCF0" w14:textId="77777777" w:rsidR="000326DA" w:rsidRPr="00E4105B" w:rsidRDefault="000326DA" w:rsidP="002378EA">
      <w:pPr>
        <w:pStyle w:val="Paragraphedeliste"/>
        <w:numPr>
          <w:ilvl w:val="0"/>
          <w:numId w:val="167"/>
        </w:numPr>
        <w:rPr>
          <w:rFonts w:cs="Arial"/>
          <w:szCs w:val="21"/>
          <w:lang w:val="en-US"/>
        </w:rPr>
      </w:pPr>
      <w:r w:rsidRPr="00E4105B">
        <w:rPr>
          <w:rFonts w:cs="Arial"/>
          <w:szCs w:val="21"/>
          <w:lang w:val="en-US"/>
        </w:rPr>
        <w:t>Hatari ya kuenea kwa ugonjwa wa virusi vya corona (COVID-19) ikiwa hatua za kuzuia au kuzuia hazifuatwi.</w:t>
      </w:r>
    </w:p>
    <w:p w14:paraId="631BFD7A" w14:textId="77777777" w:rsidR="000326DA" w:rsidRPr="00D61531" w:rsidRDefault="000326DA" w:rsidP="002378EA">
      <w:pPr>
        <w:numPr>
          <w:ilvl w:val="0"/>
          <w:numId w:val="154"/>
        </w:numPr>
        <w:tabs>
          <w:tab w:val="left" w:pos="426"/>
        </w:tabs>
        <w:contextualSpacing/>
        <w:rPr>
          <w:rFonts w:cs="Arial"/>
          <w:b/>
          <w:szCs w:val="21"/>
          <w:lang w:val="pl-PL" w:bidi="fr-FR"/>
        </w:rPr>
      </w:pPr>
      <w:r w:rsidRPr="00D61531">
        <w:rPr>
          <w:rFonts w:cs="Arial"/>
          <w:b/>
          <w:szCs w:val="21"/>
          <w:lang w:val="pl-PL" w:bidi="fr-FR"/>
        </w:rPr>
        <w:t xml:space="preserve">Hatua za usimamizi wa mazingira na kijamii </w:t>
      </w:r>
    </w:p>
    <w:p w14:paraId="43D8229D" w14:textId="77777777" w:rsidR="000326DA" w:rsidRPr="00E4105B" w:rsidRDefault="000326DA" w:rsidP="000326DA">
      <w:pPr>
        <w:autoSpaceDE w:val="0"/>
        <w:autoSpaceDN w:val="0"/>
        <w:adjustRightInd w:val="0"/>
        <w:contextualSpacing/>
        <w:rPr>
          <w:rFonts w:cs="Arial"/>
          <w:szCs w:val="21"/>
          <w:lang w:val="pl-PL" w:bidi="fr-FR"/>
        </w:rPr>
      </w:pPr>
    </w:p>
    <w:p w14:paraId="55B4AD16" w14:textId="77777777" w:rsidR="000326DA" w:rsidRPr="00E4105B" w:rsidRDefault="000326DA" w:rsidP="000326DA">
      <w:pPr>
        <w:autoSpaceDE w:val="0"/>
        <w:autoSpaceDN w:val="0"/>
        <w:adjustRightInd w:val="0"/>
        <w:contextualSpacing/>
        <w:rPr>
          <w:rFonts w:cs="Arial"/>
          <w:szCs w:val="21"/>
          <w:lang w:val="pl-PL" w:bidi="fr-FR"/>
        </w:rPr>
      </w:pPr>
      <w:r w:rsidRPr="00E4105B">
        <w:rPr>
          <w:rFonts w:cs="Arial"/>
          <w:szCs w:val="21"/>
          <w:lang w:val="pl-PL" w:bidi="fr-FR"/>
        </w:rPr>
        <w:t>PNDA ya kimazingira na usimamizi wa kijamii ni pamoja na mikakati ya kimkakati na kitaasisi, mafunzo, na kuongeza ufahamu wa kujenga uwezo wa miundo husika, ambayo ni ilivyoainishwa hapa chini:</w:t>
      </w:r>
    </w:p>
    <w:p w14:paraId="0F610CD9" w14:textId="77777777" w:rsidR="000326DA" w:rsidRPr="00E4105B" w:rsidRDefault="000326DA" w:rsidP="000326DA">
      <w:pPr>
        <w:autoSpaceDE w:val="0"/>
        <w:autoSpaceDN w:val="0"/>
        <w:adjustRightInd w:val="0"/>
        <w:contextualSpacing/>
        <w:rPr>
          <w:rFonts w:cs="Arial"/>
          <w:szCs w:val="21"/>
          <w:lang w:val="pl-PL" w:bidi="fr-FR"/>
        </w:rPr>
      </w:pPr>
    </w:p>
    <w:p w14:paraId="19368ADF" w14:textId="77777777" w:rsidR="000326DA" w:rsidRPr="00E4105B" w:rsidRDefault="000326DA" w:rsidP="002378EA">
      <w:pPr>
        <w:widowControl w:val="0"/>
        <w:numPr>
          <w:ilvl w:val="0"/>
          <w:numId w:val="68"/>
        </w:numPr>
        <w:autoSpaceDE w:val="0"/>
        <w:autoSpaceDN w:val="0"/>
        <w:rPr>
          <w:rFonts w:eastAsia="MS Mincho" w:cs="Arial"/>
          <w:szCs w:val="21"/>
          <w:lang w:val="pl-PL"/>
        </w:rPr>
      </w:pPr>
      <w:r w:rsidRPr="00E4105B">
        <w:rPr>
          <w:rFonts w:eastAsia="MS Mincho" w:cs="Arial"/>
          <w:szCs w:val="21"/>
          <w:lang w:val="pl-PL"/>
        </w:rPr>
        <w:t>Kuandaa mpango wa usimamizi wa wafanyakazi (PGMO);</w:t>
      </w:r>
    </w:p>
    <w:p w14:paraId="5C7A3CAA" w14:textId="77777777" w:rsidR="000326DA" w:rsidRPr="00E4105B" w:rsidRDefault="000326DA" w:rsidP="002378EA">
      <w:pPr>
        <w:widowControl w:val="0"/>
        <w:numPr>
          <w:ilvl w:val="0"/>
          <w:numId w:val="68"/>
        </w:numPr>
        <w:autoSpaceDE w:val="0"/>
        <w:autoSpaceDN w:val="0"/>
        <w:rPr>
          <w:rFonts w:eastAsia="MS Mincho" w:cs="Arial"/>
          <w:szCs w:val="21"/>
          <w:lang w:val="pl-PL"/>
        </w:rPr>
      </w:pPr>
      <w:r w:rsidRPr="00E4105B">
        <w:rPr>
          <w:rFonts w:eastAsia="MS Mincho" w:cs="Arial"/>
          <w:szCs w:val="21"/>
          <w:lang w:val="pl-PL"/>
        </w:rPr>
        <w:t>Kutayarisha uhamasishaji wa vyama (PMPP);</w:t>
      </w:r>
    </w:p>
    <w:p w14:paraId="587633AD" w14:textId="77777777" w:rsidR="000326DA" w:rsidRPr="00E4105B" w:rsidRDefault="000326DA" w:rsidP="002378EA">
      <w:pPr>
        <w:widowControl w:val="0"/>
        <w:numPr>
          <w:ilvl w:val="0"/>
          <w:numId w:val="68"/>
        </w:numPr>
        <w:autoSpaceDE w:val="0"/>
        <w:autoSpaceDN w:val="0"/>
        <w:rPr>
          <w:rFonts w:eastAsia="MS Mincho" w:cs="Arial"/>
          <w:szCs w:val="21"/>
          <w:lang w:val="pl-PL"/>
        </w:rPr>
      </w:pPr>
      <w:r w:rsidRPr="00E4105B">
        <w:rPr>
          <w:rFonts w:eastAsia="MS Mincho" w:cs="Arial"/>
          <w:szCs w:val="21"/>
          <w:lang w:val="pl-PL"/>
        </w:rPr>
        <w:t>Kuandaa Mipango ya Hatua za Makazi (PAR);</w:t>
      </w:r>
    </w:p>
    <w:p w14:paraId="49A95F98" w14:textId="77777777" w:rsidR="000326DA" w:rsidRPr="00E4105B" w:rsidRDefault="000326DA" w:rsidP="002378EA">
      <w:pPr>
        <w:widowControl w:val="0"/>
        <w:numPr>
          <w:ilvl w:val="0"/>
          <w:numId w:val="68"/>
        </w:numPr>
        <w:autoSpaceDE w:val="0"/>
        <w:autoSpaceDN w:val="0"/>
        <w:rPr>
          <w:rFonts w:eastAsia="MS Mincho" w:cs="Arial"/>
          <w:szCs w:val="21"/>
          <w:lang w:val="pl-PL"/>
        </w:rPr>
      </w:pPr>
      <w:r w:rsidRPr="00E4105B">
        <w:rPr>
          <w:rFonts w:eastAsia="MS Mincho" w:cs="Arial"/>
          <w:szCs w:val="21"/>
          <w:lang w:val="pl-PL"/>
        </w:rPr>
        <w:t>Kuandaa Mpango wa Kudhibiti Wadudu na Viuatilifu (PGPP);</w:t>
      </w:r>
    </w:p>
    <w:p w14:paraId="01C52BB4" w14:textId="77777777" w:rsidR="000326DA" w:rsidRPr="00E4105B" w:rsidRDefault="000326DA" w:rsidP="002378EA">
      <w:pPr>
        <w:widowControl w:val="0"/>
        <w:numPr>
          <w:ilvl w:val="0"/>
          <w:numId w:val="68"/>
        </w:numPr>
        <w:autoSpaceDE w:val="0"/>
        <w:autoSpaceDN w:val="0"/>
        <w:rPr>
          <w:rFonts w:eastAsia="MS Mincho" w:cs="Arial"/>
          <w:szCs w:val="21"/>
          <w:lang w:val="pl-PL"/>
        </w:rPr>
      </w:pPr>
      <w:r w:rsidRPr="00E4105B">
        <w:rPr>
          <w:rFonts w:eastAsia="MS Mincho" w:cs="Arial"/>
          <w:szCs w:val="21"/>
          <w:lang w:val="pl-PL"/>
        </w:rPr>
        <w:t>Kuandaa mpango wa mazingira na ushirikishwaji wa jamii (PEES);</w:t>
      </w:r>
    </w:p>
    <w:p w14:paraId="042A57EF" w14:textId="3D0F20F7" w:rsidR="000326DA" w:rsidRPr="00E4105B" w:rsidRDefault="000326DA" w:rsidP="002378EA">
      <w:pPr>
        <w:widowControl w:val="0"/>
        <w:numPr>
          <w:ilvl w:val="0"/>
          <w:numId w:val="68"/>
        </w:numPr>
        <w:autoSpaceDE w:val="0"/>
        <w:autoSpaceDN w:val="0"/>
        <w:rPr>
          <w:rFonts w:eastAsia="MS Mincho" w:cs="Arial"/>
          <w:szCs w:val="21"/>
          <w:lang w:val="pl-PL"/>
        </w:rPr>
      </w:pPr>
      <w:r w:rsidRPr="00E4105B">
        <w:rPr>
          <w:rFonts w:eastAsia="MS Mincho" w:cs="Arial"/>
          <w:szCs w:val="21"/>
          <w:lang w:val="pl-PL"/>
        </w:rPr>
        <w:t>Kuandaa mpango wa utekelezaji wa utekelezaji wa shughuli za VBG katika mradi wa kuchukua utaratibu wa kuzuia akaunti, kupunguza na majibu (kutoa huduma za huduma (CEP) kwa waathirika wa BV);</w:t>
      </w:r>
    </w:p>
    <w:p w14:paraId="677C2080" w14:textId="77777777" w:rsidR="000326DA" w:rsidRPr="00E4105B" w:rsidRDefault="000326DA" w:rsidP="002378EA">
      <w:pPr>
        <w:widowControl w:val="0"/>
        <w:numPr>
          <w:ilvl w:val="0"/>
          <w:numId w:val="68"/>
        </w:numPr>
        <w:autoSpaceDE w:val="0"/>
        <w:autoSpaceDN w:val="0"/>
        <w:rPr>
          <w:rFonts w:eastAsia="MS Mincho" w:cs="Arial"/>
          <w:szCs w:val="21"/>
          <w:lang w:val="en-US"/>
        </w:rPr>
      </w:pPr>
      <w:r w:rsidRPr="00E4105B">
        <w:rPr>
          <w:rFonts w:eastAsia="MS Mincho" w:cs="Arial"/>
          <w:szCs w:val="21"/>
          <w:lang w:val="en-US"/>
        </w:rPr>
        <w:t>Tayarisha mpango kwa watu wa Aboriginal (PPA);</w:t>
      </w:r>
    </w:p>
    <w:p w14:paraId="1FF7B392" w14:textId="77777777" w:rsidR="000326DA" w:rsidRPr="00E4105B" w:rsidRDefault="000326DA" w:rsidP="002378EA">
      <w:pPr>
        <w:widowControl w:val="0"/>
        <w:numPr>
          <w:ilvl w:val="0"/>
          <w:numId w:val="68"/>
        </w:numPr>
        <w:autoSpaceDE w:val="0"/>
        <w:autoSpaceDN w:val="0"/>
        <w:rPr>
          <w:rFonts w:eastAsia="MS Mincho" w:cs="Arial"/>
          <w:szCs w:val="21"/>
          <w:lang w:val="en-US"/>
        </w:rPr>
      </w:pPr>
      <w:r w:rsidRPr="00E4105B">
        <w:rPr>
          <w:rFonts w:eastAsia="MS Mincho" w:cs="Arial"/>
          <w:szCs w:val="21"/>
          <w:lang w:val="en-US"/>
        </w:rPr>
        <w:t>Kuandaa Mpango tofauti wa Usimamizi wa Usalama (SMP) unaoainisha taratibu na itifaki zote zinazohusiana na kipengele hiki kama sehemu ya mpango (GSP itafanya Tathmini ya Hatari ya Usalama (ERS) na kupendekeza hatua za kupunguza);</w:t>
      </w:r>
    </w:p>
    <w:p w14:paraId="7CB0B3DD" w14:textId="77777777" w:rsidR="000326DA" w:rsidRPr="00E4105B" w:rsidRDefault="000326DA" w:rsidP="002378EA">
      <w:pPr>
        <w:widowControl w:val="0"/>
        <w:numPr>
          <w:ilvl w:val="0"/>
          <w:numId w:val="68"/>
        </w:numPr>
        <w:autoSpaceDE w:val="0"/>
        <w:autoSpaceDN w:val="0"/>
        <w:rPr>
          <w:rFonts w:eastAsia="MS Mincho" w:cs="Arial"/>
          <w:szCs w:val="21"/>
          <w:lang w:val="en-US"/>
        </w:rPr>
      </w:pPr>
      <w:r w:rsidRPr="00E4105B">
        <w:rPr>
          <w:rFonts w:eastAsia="MS Mincho" w:cs="Arial"/>
          <w:szCs w:val="21"/>
          <w:lang w:val="en-US"/>
        </w:rPr>
        <w:t>Kuandaa mpango tofauti wa usimamizi wa usalama (MGP) ambao unahusiana na utaratibu na itifaki zote zinazohusiana na suala hili kama sehemu ya mpango (GSP itafanya tathmini ya hatari ya usalama na hatua za ukabilianaji);</w:t>
      </w:r>
    </w:p>
    <w:p w14:paraId="21F11E99" w14:textId="77777777" w:rsidR="000326DA" w:rsidRPr="00E4105B" w:rsidRDefault="000326DA" w:rsidP="002378EA">
      <w:pPr>
        <w:widowControl w:val="0"/>
        <w:numPr>
          <w:ilvl w:val="0"/>
          <w:numId w:val="68"/>
        </w:numPr>
        <w:autoSpaceDE w:val="0"/>
        <w:autoSpaceDN w:val="0"/>
        <w:rPr>
          <w:rFonts w:eastAsia="MS Mincho" w:cs="Arial"/>
          <w:szCs w:val="21"/>
          <w:lang w:val="pl-PL"/>
        </w:rPr>
      </w:pPr>
      <w:r w:rsidRPr="00E4105B">
        <w:rPr>
          <w:rFonts w:eastAsia="MS Mincho" w:cs="Arial"/>
          <w:szCs w:val="21"/>
          <w:lang w:val="pl-PL"/>
        </w:rPr>
        <w:t>Weka utaratibu wa usimamizi wa malalamishi (MGP);</w:t>
      </w:r>
    </w:p>
    <w:p w14:paraId="3A2F8A0E" w14:textId="77777777" w:rsidR="000326DA" w:rsidRPr="00E4105B" w:rsidRDefault="000326DA" w:rsidP="002378EA">
      <w:pPr>
        <w:widowControl w:val="0"/>
        <w:numPr>
          <w:ilvl w:val="0"/>
          <w:numId w:val="68"/>
        </w:numPr>
        <w:autoSpaceDE w:val="0"/>
        <w:autoSpaceDN w:val="0"/>
        <w:rPr>
          <w:rFonts w:eastAsia="MS Mincho" w:cs="Arial"/>
          <w:szCs w:val="21"/>
          <w:lang w:val="pl-PL"/>
        </w:rPr>
      </w:pPr>
      <w:r w:rsidRPr="00E4105B">
        <w:rPr>
          <w:rFonts w:eastAsia="MS Mincho" w:cs="Arial"/>
          <w:szCs w:val="21"/>
          <w:lang w:val="pl-PL"/>
        </w:rPr>
        <w:t>Weka MGP maalum ya VBG;</w:t>
      </w:r>
    </w:p>
    <w:p w14:paraId="4CD016F3" w14:textId="77777777" w:rsidR="000326DA" w:rsidRPr="00E4105B" w:rsidRDefault="000326DA" w:rsidP="002378EA">
      <w:pPr>
        <w:widowControl w:val="0"/>
        <w:numPr>
          <w:ilvl w:val="0"/>
          <w:numId w:val="68"/>
        </w:numPr>
        <w:autoSpaceDE w:val="0"/>
        <w:autoSpaceDN w:val="0"/>
        <w:rPr>
          <w:rFonts w:eastAsia="MS Mincho" w:cs="Arial"/>
          <w:szCs w:val="21"/>
          <w:lang w:val="pl-PL"/>
        </w:rPr>
      </w:pPr>
      <w:r w:rsidRPr="00E4105B">
        <w:rPr>
          <w:rFonts w:eastAsia="MS Mincho" w:cs="Arial"/>
          <w:szCs w:val="21"/>
          <w:lang w:val="pl-PL"/>
        </w:rPr>
        <w:t>Kuzingatia watoa huduma na watoaji wa akaunti;</w:t>
      </w:r>
    </w:p>
    <w:p w14:paraId="660D3647" w14:textId="77777777" w:rsidR="000326DA" w:rsidRPr="00E4105B" w:rsidRDefault="000326DA" w:rsidP="002378EA">
      <w:pPr>
        <w:widowControl w:val="0"/>
        <w:numPr>
          <w:ilvl w:val="0"/>
          <w:numId w:val="68"/>
        </w:numPr>
        <w:autoSpaceDE w:val="0"/>
        <w:autoSpaceDN w:val="0"/>
        <w:rPr>
          <w:rFonts w:eastAsia="MS Mincho" w:cs="Arial"/>
          <w:szCs w:val="21"/>
          <w:lang w:val="pl-PL"/>
        </w:rPr>
      </w:pPr>
      <w:r w:rsidRPr="00E4105B">
        <w:rPr>
          <w:rFonts w:eastAsia="MS Mincho" w:cs="Arial"/>
          <w:szCs w:val="21"/>
          <w:lang w:val="pl-PL"/>
        </w:rPr>
        <w:t>Weka MGP kuchanganya mwelekeo wa VBG/EAS/HS;</w:t>
      </w:r>
    </w:p>
    <w:p w14:paraId="23E81F01" w14:textId="77777777" w:rsidR="000326DA" w:rsidRPr="00E4105B" w:rsidRDefault="000326DA" w:rsidP="002378EA">
      <w:pPr>
        <w:widowControl w:val="0"/>
        <w:numPr>
          <w:ilvl w:val="0"/>
          <w:numId w:val="68"/>
        </w:numPr>
        <w:autoSpaceDE w:val="0"/>
        <w:autoSpaceDN w:val="0"/>
        <w:rPr>
          <w:rFonts w:eastAsia="MS Mincho" w:cs="Arial"/>
          <w:szCs w:val="21"/>
          <w:lang w:val="pl-PL"/>
        </w:rPr>
      </w:pPr>
      <w:r w:rsidRPr="00E4105B">
        <w:rPr>
          <w:rFonts w:eastAsia="MS Mincho" w:cs="Arial"/>
          <w:szCs w:val="21"/>
          <w:lang w:val="pl-PL"/>
        </w:rPr>
        <w:t>Kuandaa kanuni ya maadili mema: mtu, meneja na kampuni ya kuunganisha masuala ya VBG. Ni pamoja na lugha wazi juu ya tabia marufuku</w:t>
      </w:r>
      <w:r w:rsidRPr="00E4105B">
        <w:rPr>
          <w:rStyle w:val="Appelnotedebasdep"/>
          <w:rFonts w:eastAsia="MS Mincho" w:cs="Arial"/>
          <w:szCs w:val="21"/>
          <w:lang w:val="en-US"/>
        </w:rPr>
        <w:footnoteReference w:id="13"/>
      </w:r>
      <w:r w:rsidRPr="00E4105B">
        <w:rPr>
          <w:rFonts w:eastAsia="MS Mincho" w:cs="Arial"/>
          <w:szCs w:val="21"/>
          <w:lang w:val="pl-PL"/>
        </w:rPr>
        <w:t>, ikiwa ni pamoja na makatazo ya uhusiano wa kijinsia na watoto, vikwazo imara, na dhana muhimu kuhusu VBG, pamoja na aina na aina ya VBG na dhana ya ridhaa;</w:t>
      </w:r>
    </w:p>
    <w:p w14:paraId="1AFA41B5" w14:textId="77777777" w:rsidR="000326DA" w:rsidRPr="00E4105B" w:rsidRDefault="000326DA" w:rsidP="002378EA">
      <w:pPr>
        <w:widowControl w:val="0"/>
        <w:numPr>
          <w:ilvl w:val="0"/>
          <w:numId w:val="68"/>
        </w:numPr>
        <w:autoSpaceDE w:val="0"/>
        <w:autoSpaceDN w:val="0"/>
        <w:rPr>
          <w:rFonts w:eastAsia="MS Mincho" w:cs="Arial"/>
          <w:szCs w:val="21"/>
          <w:lang w:val="pl-PL"/>
        </w:rPr>
      </w:pPr>
      <w:r w:rsidRPr="00E4105B">
        <w:rPr>
          <w:rFonts w:eastAsia="MS Mincho" w:cs="Arial"/>
          <w:szCs w:val="21"/>
          <w:lang w:val="pl-PL"/>
        </w:rPr>
        <w:t>Makatazo ya kazi ya watoto kwenye tovuti ya ujenzi na katika vituo husika;</w:t>
      </w:r>
    </w:p>
    <w:p w14:paraId="0DB77627" w14:textId="77777777" w:rsidR="000326DA" w:rsidRPr="00E4105B" w:rsidRDefault="000326DA" w:rsidP="002378EA">
      <w:pPr>
        <w:widowControl w:val="0"/>
        <w:numPr>
          <w:ilvl w:val="0"/>
          <w:numId w:val="68"/>
        </w:numPr>
        <w:autoSpaceDE w:val="0"/>
        <w:autoSpaceDN w:val="0"/>
        <w:rPr>
          <w:rFonts w:eastAsia="MS Mincho" w:cs="Arial"/>
          <w:szCs w:val="21"/>
          <w:lang w:val="pl-PL"/>
        </w:rPr>
      </w:pPr>
      <w:r w:rsidRPr="00E4105B">
        <w:rPr>
          <w:rFonts w:eastAsia="MS Mincho" w:cs="Arial"/>
          <w:szCs w:val="21"/>
          <w:lang w:val="pl-PL"/>
        </w:rPr>
        <w:t>Mbinu za kutayarisha, kuidhinisha, na kutekeleza na kufuatilia miradi ndogo;</w:t>
      </w:r>
    </w:p>
    <w:p w14:paraId="523C6EE3" w14:textId="77777777" w:rsidR="000326DA" w:rsidRPr="00E4105B" w:rsidRDefault="000326DA" w:rsidP="002378EA">
      <w:pPr>
        <w:widowControl w:val="0"/>
        <w:numPr>
          <w:ilvl w:val="0"/>
          <w:numId w:val="68"/>
        </w:numPr>
        <w:autoSpaceDE w:val="0"/>
        <w:autoSpaceDN w:val="0"/>
        <w:rPr>
          <w:rFonts w:eastAsia="MS Mincho" w:cs="Arial"/>
          <w:szCs w:val="21"/>
          <w:lang w:val="pl-PL"/>
        </w:rPr>
      </w:pPr>
      <w:r w:rsidRPr="00E4105B">
        <w:rPr>
          <w:rFonts w:eastAsia="MS Mincho" w:cs="Arial"/>
          <w:szCs w:val="21"/>
          <w:lang w:val="pl-PL"/>
        </w:rPr>
        <w:t>Kupunguza ukataji miti na uharibifu wa mimea ya mikondo;</w:t>
      </w:r>
    </w:p>
    <w:p w14:paraId="7376E78F" w14:textId="77777777" w:rsidR="000326DA" w:rsidRPr="00E4105B" w:rsidRDefault="000326DA" w:rsidP="002378EA">
      <w:pPr>
        <w:widowControl w:val="0"/>
        <w:numPr>
          <w:ilvl w:val="0"/>
          <w:numId w:val="68"/>
        </w:numPr>
        <w:autoSpaceDE w:val="0"/>
        <w:autoSpaceDN w:val="0"/>
        <w:rPr>
          <w:rFonts w:eastAsia="MS Mincho" w:cs="Arial"/>
          <w:szCs w:val="21"/>
          <w:lang w:val="pl-PL"/>
        </w:rPr>
      </w:pPr>
      <w:r w:rsidRPr="00E4105B">
        <w:rPr>
          <w:rFonts w:eastAsia="MS Mincho" w:cs="Arial"/>
          <w:szCs w:val="21"/>
          <w:lang w:val="pl-PL"/>
        </w:rPr>
        <w:t>Anzisha na udumishe maeneo ya Hifadhi eneo ambalo kutambuliwa kama makazi ya wanyamapori, ili kupunguza athari za shughuli za mradi katika maeneo haya na wanyama pori wanaauni;</w:t>
      </w:r>
    </w:p>
    <w:p w14:paraId="339E44C6" w14:textId="77777777" w:rsidR="000326DA" w:rsidRPr="00E4105B" w:rsidRDefault="000326DA" w:rsidP="002378EA">
      <w:pPr>
        <w:widowControl w:val="0"/>
        <w:numPr>
          <w:ilvl w:val="0"/>
          <w:numId w:val="68"/>
        </w:numPr>
        <w:autoSpaceDE w:val="0"/>
        <w:autoSpaceDN w:val="0"/>
        <w:rPr>
          <w:rFonts w:eastAsia="MS Mincho" w:cs="Arial"/>
          <w:szCs w:val="21"/>
          <w:lang w:val="pl-PL"/>
        </w:rPr>
      </w:pPr>
      <w:r w:rsidRPr="00E4105B">
        <w:rPr>
          <w:rFonts w:eastAsia="MS Mincho" w:cs="Arial"/>
          <w:szCs w:val="21"/>
          <w:lang w:val="pl-PL"/>
        </w:rPr>
        <w:t>Husisha ICCN kabla ya kufanya shughuli yoyote ya mradi katika maeneo ya Hifadhi au katika maeneo yanayolindwa;</w:t>
      </w:r>
    </w:p>
    <w:p w14:paraId="59C12217" w14:textId="77777777" w:rsidR="000326DA" w:rsidRPr="00E4105B" w:rsidRDefault="000326DA" w:rsidP="002378EA">
      <w:pPr>
        <w:widowControl w:val="0"/>
        <w:numPr>
          <w:ilvl w:val="0"/>
          <w:numId w:val="68"/>
        </w:numPr>
        <w:autoSpaceDE w:val="0"/>
        <w:autoSpaceDN w:val="0"/>
        <w:rPr>
          <w:rFonts w:eastAsia="MS Mincho" w:cs="Arial"/>
          <w:szCs w:val="21"/>
          <w:lang w:val="pl-PL"/>
        </w:rPr>
      </w:pPr>
      <w:r w:rsidRPr="00E4105B">
        <w:rPr>
          <w:rFonts w:eastAsia="MS Mincho" w:cs="Arial"/>
          <w:szCs w:val="21"/>
          <w:lang w:val="pl-PL"/>
        </w:rPr>
        <w:t>Kuzuia shughuli katika mbuga na maeneo yaliyohifadhiwa;</w:t>
      </w:r>
    </w:p>
    <w:p w14:paraId="6145B51A" w14:textId="77777777" w:rsidR="000326DA" w:rsidRPr="00E4105B" w:rsidRDefault="000326DA" w:rsidP="002378EA">
      <w:pPr>
        <w:widowControl w:val="0"/>
        <w:numPr>
          <w:ilvl w:val="0"/>
          <w:numId w:val="68"/>
        </w:numPr>
        <w:autoSpaceDE w:val="0"/>
        <w:autoSpaceDN w:val="0"/>
        <w:rPr>
          <w:rFonts w:eastAsia="MS Mincho" w:cs="Arial"/>
          <w:szCs w:val="21"/>
          <w:lang w:val="pl-PL"/>
        </w:rPr>
      </w:pPr>
      <w:r w:rsidRPr="00E4105B">
        <w:rPr>
          <w:rFonts w:eastAsia="MS Mincho" w:cs="Arial"/>
          <w:szCs w:val="21"/>
          <w:lang w:val="pl-PL"/>
        </w:rPr>
        <w:t>Urekebishaji ardhi kusumbuliwa na ujenzi, kuondolewa, kuhifadhi na kuanzisha upya wa safu kupunguza ili kuwezesha ujenzi wa makazi ya wanyamapori;</w:t>
      </w:r>
    </w:p>
    <w:p w14:paraId="4A41A41A" w14:textId="77777777" w:rsidR="000326DA" w:rsidRPr="00E4105B" w:rsidRDefault="000326DA" w:rsidP="002378EA">
      <w:pPr>
        <w:widowControl w:val="0"/>
        <w:numPr>
          <w:ilvl w:val="0"/>
          <w:numId w:val="68"/>
        </w:numPr>
        <w:autoSpaceDE w:val="0"/>
        <w:autoSpaceDN w:val="0"/>
        <w:rPr>
          <w:rFonts w:eastAsia="MS Mincho" w:cs="Arial"/>
          <w:szCs w:val="21"/>
          <w:lang w:val="pl-PL"/>
        </w:rPr>
      </w:pPr>
      <w:r w:rsidRPr="00E4105B">
        <w:rPr>
          <w:rFonts w:eastAsia="MS Mincho" w:cs="Arial"/>
          <w:szCs w:val="21"/>
          <w:lang w:val="pl-PL"/>
        </w:rPr>
        <w:t>Kuepuka wafunika maeneo ya kibiashara au kufanya mipango ya kuhakikisha upatikanaji salama na matumizi ya wakati na baada ya ujenzi, hasa linapokuja suala la ukarabati wa masoko ya kijiji;</w:t>
      </w:r>
    </w:p>
    <w:p w14:paraId="5341445F" w14:textId="77777777" w:rsidR="000326DA" w:rsidRPr="00E4105B" w:rsidRDefault="000326DA" w:rsidP="002378EA">
      <w:pPr>
        <w:widowControl w:val="0"/>
        <w:numPr>
          <w:ilvl w:val="0"/>
          <w:numId w:val="68"/>
        </w:numPr>
        <w:autoSpaceDE w:val="0"/>
        <w:autoSpaceDN w:val="0"/>
        <w:rPr>
          <w:rFonts w:eastAsia="MS Mincho" w:cs="Arial"/>
          <w:szCs w:val="21"/>
          <w:lang w:val="pl-PL"/>
        </w:rPr>
      </w:pPr>
      <w:r w:rsidRPr="00E4105B">
        <w:rPr>
          <w:rFonts w:eastAsia="MS Mincho" w:cs="Arial"/>
          <w:szCs w:val="21"/>
          <w:lang w:val="pl-PL"/>
        </w:rPr>
        <w:t>Fidia (Sakinisha upya) kipaumbele rasilimali zote zinaweza kuwa na mradi, kabla ya kazi kuanza;</w:t>
      </w:r>
    </w:p>
    <w:p w14:paraId="09E8E2EE" w14:textId="77777777" w:rsidR="000326DA" w:rsidRPr="00E4105B" w:rsidRDefault="000326DA" w:rsidP="002378EA">
      <w:pPr>
        <w:widowControl w:val="0"/>
        <w:numPr>
          <w:ilvl w:val="0"/>
          <w:numId w:val="68"/>
        </w:numPr>
        <w:autoSpaceDE w:val="0"/>
        <w:autoSpaceDN w:val="0"/>
        <w:rPr>
          <w:rFonts w:eastAsia="MS Mincho" w:cs="Arial"/>
          <w:szCs w:val="21"/>
          <w:lang w:val="pl-PL"/>
        </w:rPr>
      </w:pPr>
      <w:r w:rsidRPr="00E4105B">
        <w:rPr>
          <w:rFonts w:eastAsia="MS Mincho" w:cs="Arial"/>
          <w:szCs w:val="21"/>
          <w:lang w:val="pl-PL"/>
        </w:rPr>
        <w:t>Kitaasisi kuimarisha kamati ya PNDA ufundi maandalizi;</w:t>
      </w:r>
    </w:p>
    <w:p w14:paraId="465685F3" w14:textId="77777777" w:rsidR="000326DA" w:rsidRPr="00E4105B" w:rsidRDefault="000326DA" w:rsidP="002378EA">
      <w:pPr>
        <w:widowControl w:val="0"/>
        <w:numPr>
          <w:ilvl w:val="0"/>
          <w:numId w:val="68"/>
        </w:numPr>
        <w:autoSpaceDE w:val="0"/>
        <w:autoSpaceDN w:val="0"/>
        <w:rPr>
          <w:rFonts w:eastAsia="MS Mincho" w:cs="Arial"/>
          <w:szCs w:val="21"/>
          <w:lang w:val="pl-PL"/>
        </w:rPr>
      </w:pPr>
      <w:r w:rsidRPr="00E4105B">
        <w:rPr>
          <w:rFonts w:eastAsia="MS Mincho" w:cs="Arial"/>
          <w:szCs w:val="21"/>
          <w:lang w:val="pl-PL"/>
        </w:rPr>
        <w:t>Kuimarisha ujuzi wa kimazingira na kijamii wa UUNCP;</w:t>
      </w:r>
    </w:p>
    <w:p w14:paraId="005D8BAE" w14:textId="77777777" w:rsidR="000326DA" w:rsidRPr="00E4105B" w:rsidRDefault="000326DA" w:rsidP="002378EA">
      <w:pPr>
        <w:widowControl w:val="0"/>
        <w:numPr>
          <w:ilvl w:val="0"/>
          <w:numId w:val="68"/>
        </w:numPr>
        <w:autoSpaceDE w:val="0"/>
        <w:autoSpaceDN w:val="0"/>
        <w:rPr>
          <w:rFonts w:eastAsia="MS Mincho" w:cs="Arial"/>
          <w:szCs w:val="21"/>
          <w:lang w:val="pl-PL"/>
        </w:rPr>
      </w:pPr>
      <w:r w:rsidRPr="00E4105B">
        <w:rPr>
          <w:rFonts w:eastAsia="MS Mincho" w:cs="Arial"/>
          <w:szCs w:val="21"/>
          <w:lang w:val="pl-PL"/>
        </w:rPr>
        <w:t>Kuimarisha uwezo wa huduma za sekta ya ufundi;</w:t>
      </w:r>
    </w:p>
    <w:p w14:paraId="1FC441DE" w14:textId="77777777" w:rsidR="000326DA" w:rsidRPr="00E4105B" w:rsidRDefault="000326DA" w:rsidP="002378EA">
      <w:pPr>
        <w:widowControl w:val="0"/>
        <w:numPr>
          <w:ilvl w:val="0"/>
          <w:numId w:val="68"/>
        </w:numPr>
        <w:autoSpaceDE w:val="0"/>
        <w:autoSpaceDN w:val="0"/>
        <w:rPr>
          <w:rFonts w:eastAsia="MS Mincho" w:cs="Arial"/>
          <w:szCs w:val="21"/>
          <w:lang w:val="pl-PL"/>
        </w:rPr>
      </w:pPr>
      <w:r w:rsidRPr="00E4105B">
        <w:rPr>
          <w:rFonts w:eastAsia="MS Mincho" w:cs="Arial"/>
          <w:szCs w:val="21"/>
          <w:lang w:val="pl-PL"/>
        </w:rPr>
        <w:t>Mafunzo ya watendaji wanaohusika katika utekelezaji wa PNDA, pia juu ya dhana ya VBG na kama mradi inaweza kuzidisha yao, wajibu wa waigizaji mbalimbali, MGP ya VBG-nyeti, pamoja na huduma za huduma kwa waathirika;</w:t>
      </w:r>
    </w:p>
    <w:p w14:paraId="471FA935" w14:textId="77777777" w:rsidR="000326DA" w:rsidRPr="00E4105B" w:rsidRDefault="000326DA" w:rsidP="002378EA">
      <w:pPr>
        <w:widowControl w:val="0"/>
        <w:numPr>
          <w:ilvl w:val="0"/>
          <w:numId w:val="68"/>
        </w:numPr>
        <w:autoSpaceDE w:val="0"/>
        <w:autoSpaceDN w:val="0"/>
        <w:rPr>
          <w:rFonts w:eastAsia="MS Mincho" w:cs="Arial"/>
          <w:szCs w:val="21"/>
          <w:lang w:val="pl-PL"/>
        </w:rPr>
      </w:pPr>
      <w:r w:rsidRPr="00E4105B">
        <w:rPr>
          <w:rFonts w:eastAsia="MS Mincho" w:cs="Arial"/>
          <w:szCs w:val="21"/>
          <w:lang w:val="pl-PL"/>
        </w:rPr>
        <w:t>Mipango ya kuongeza uelewa na kuhamasisha watu na katika ngazi ya kijamii (kuunganisha mandhari juu ya VBG, kanuni ya maadili mema, GMP-nyeti MGP/EAS/HS, nk);</w:t>
      </w:r>
    </w:p>
    <w:p w14:paraId="24AB2A07" w14:textId="77777777" w:rsidR="000326DA" w:rsidRPr="00E4105B" w:rsidRDefault="000326DA" w:rsidP="002378EA">
      <w:pPr>
        <w:widowControl w:val="0"/>
        <w:numPr>
          <w:ilvl w:val="0"/>
          <w:numId w:val="68"/>
        </w:numPr>
        <w:autoSpaceDE w:val="0"/>
        <w:autoSpaceDN w:val="0"/>
        <w:rPr>
          <w:rFonts w:eastAsia="MS Mincho" w:cs="Arial"/>
          <w:szCs w:val="21"/>
          <w:lang w:val="pl-PL"/>
        </w:rPr>
      </w:pPr>
      <w:r w:rsidRPr="00E4105B">
        <w:rPr>
          <w:rFonts w:eastAsia="MS Mincho" w:cs="Arial"/>
          <w:szCs w:val="21"/>
          <w:lang w:val="pl-PL"/>
        </w:rPr>
        <w:t>Mazingira na uelewa wa kijamii na mpango wa mafunzo kwa makampuni ya ujenzi na ofisi za kudhibiti;</w:t>
      </w:r>
    </w:p>
    <w:p w14:paraId="557804DD" w14:textId="77777777" w:rsidR="000326DA" w:rsidRPr="00E4105B" w:rsidRDefault="000326DA" w:rsidP="002378EA">
      <w:pPr>
        <w:widowControl w:val="0"/>
        <w:numPr>
          <w:ilvl w:val="0"/>
          <w:numId w:val="68"/>
        </w:numPr>
        <w:autoSpaceDE w:val="0"/>
        <w:autoSpaceDN w:val="0"/>
        <w:rPr>
          <w:rFonts w:eastAsia="MS Mincho" w:cs="Arial"/>
          <w:szCs w:val="21"/>
          <w:lang w:val="pl-PL"/>
        </w:rPr>
      </w:pPr>
      <w:r w:rsidRPr="00E4105B">
        <w:rPr>
          <w:rFonts w:eastAsia="MS Mincho" w:cs="Arial"/>
          <w:szCs w:val="21"/>
          <w:lang w:val="pl-PL"/>
        </w:rPr>
        <w:t>Kuweka mpango wa kuzuia dhidi ya tamaa-19;</w:t>
      </w:r>
    </w:p>
    <w:p w14:paraId="785F8692" w14:textId="77777777" w:rsidR="000326DA" w:rsidRPr="00E4105B" w:rsidRDefault="000326DA" w:rsidP="002378EA">
      <w:pPr>
        <w:widowControl w:val="0"/>
        <w:numPr>
          <w:ilvl w:val="0"/>
          <w:numId w:val="68"/>
        </w:numPr>
        <w:autoSpaceDE w:val="0"/>
        <w:autoSpaceDN w:val="0"/>
        <w:rPr>
          <w:rFonts w:eastAsia="MS Mincho" w:cs="Arial"/>
          <w:szCs w:val="21"/>
          <w:lang w:val="pl-PL"/>
        </w:rPr>
      </w:pPr>
      <w:r w:rsidRPr="00E4105B">
        <w:rPr>
          <w:rFonts w:eastAsia="MS Mincho" w:cs="Arial"/>
          <w:szCs w:val="21"/>
          <w:lang w:val="pl-PL"/>
        </w:rPr>
        <w:t>Kuanzisha na kufuatilia taratibu na hatua za malalamiko;</w:t>
      </w:r>
    </w:p>
    <w:p w14:paraId="03BA8BA6" w14:textId="77777777" w:rsidR="000326DA" w:rsidRPr="00E4105B" w:rsidRDefault="000326DA" w:rsidP="002378EA">
      <w:pPr>
        <w:widowControl w:val="0"/>
        <w:numPr>
          <w:ilvl w:val="0"/>
          <w:numId w:val="68"/>
        </w:numPr>
        <w:autoSpaceDE w:val="0"/>
        <w:autoSpaceDN w:val="0"/>
        <w:rPr>
          <w:rFonts w:eastAsia="MS Mincho" w:cs="Arial"/>
          <w:szCs w:val="21"/>
          <w:lang w:val="pl-PL"/>
        </w:rPr>
      </w:pPr>
      <w:r w:rsidRPr="00E4105B">
        <w:rPr>
          <w:rFonts w:eastAsia="MS Mincho" w:cs="Arial"/>
          <w:szCs w:val="21"/>
          <w:lang w:val="pl-PL"/>
        </w:rPr>
        <w:t>Kuratibu shughuli za sekta mbalimbali kuingiza VGGs;</w:t>
      </w:r>
    </w:p>
    <w:p w14:paraId="268C157B" w14:textId="77777777" w:rsidR="000326DA" w:rsidRPr="00E4105B" w:rsidRDefault="000326DA" w:rsidP="002378EA">
      <w:pPr>
        <w:widowControl w:val="0"/>
        <w:numPr>
          <w:ilvl w:val="0"/>
          <w:numId w:val="68"/>
        </w:numPr>
        <w:autoSpaceDE w:val="0"/>
        <w:autoSpaceDN w:val="0"/>
        <w:rPr>
          <w:rFonts w:eastAsia="MS Mincho" w:cs="Arial"/>
          <w:szCs w:val="21"/>
          <w:lang w:val="pl-PL"/>
        </w:rPr>
      </w:pPr>
      <w:r w:rsidRPr="00E4105B">
        <w:rPr>
          <w:rFonts w:eastAsia="MS Mincho" w:cs="Arial"/>
          <w:szCs w:val="21"/>
          <w:lang w:val="pl-PL"/>
        </w:rPr>
        <w:t>Hakuna ubaguzi dhidi ya wanawake wakati wa kuandikisha wafanyakazi na kufuata kiwango cha asilimia 30 ya wanawake walioajiriwa katika utekelezaji wa mradi;</w:t>
      </w:r>
    </w:p>
    <w:p w14:paraId="6720CFAC" w14:textId="77777777" w:rsidR="000326DA" w:rsidRPr="00E4105B" w:rsidRDefault="000326DA" w:rsidP="002378EA">
      <w:pPr>
        <w:widowControl w:val="0"/>
        <w:numPr>
          <w:ilvl w:val="0"/>
          <w:numId w:val="68"/>
        </w:numPr>
        <w:autoSpaceDE w:val="0"/>
        <w:autoSpaceDN w:val="0"/>
        <w:rPr>
          <w:rFonts w:eastAsia="MS Mincho" w:cs="Arial"/>
          <w:szCs w:val="21"/>
          <w:lang w:val="pl-PL"/>
        </w:rPr>
      </w:pPr>
      <w:r w:rsidRPr="00E4105B">
        <w:rPr>
          <w:rFonts w:eastAsia="MS Mincho" w:cs="Arial"/>
          <w:szCs w:val="21"/>
          <w:lang w:val="pl-PL"/>
        </w:rPr>
        <w:t>Kufuata taratibu na kanuni za kitaifa kuhusu ajira ya watoto kwa makampuni ya kazi: makatazo ya kazi ya watu chini ya umri wa miaka 18;</w:t>
      </w:r>
    </w:p>
    <w:p w14:paraId="70CBD7F7" w14:textId="77777777" w:rsidR="000326DA" w:rsidRPr="00E4105B" w:rsidRDefault="000326DA" w:rsidP="002378EA">
      <w:pPr>
        <w:widowControl w:val="0"/>
        <w:numPr>
          <w:ilvl w:val="0"/>
          <w:numId w:val="68"/>
        </w:numPr>
        <w:autoSpaceDE w:val="0"/>
        <w:autoSpaceDN w:val="0"/>
        <w:rPr>
          <w:rFonts w:eastAsia="MS Mincho" w:cs="Arial"/>
          <w:szCs w:val="21"/>
          <w:lang w:val="pl-PL"/>
        </w:rPr>
      </w:pPr>
      <w:r w:rsidRPr="00E4105B">
        <w:rPr>
          <w:rFonts w:eastAsia="MS Mincho" w:cs="Arial"/>
          <w:szCs w:val="21"/>
          <w:lang w:val="pl-PL"/>
        </w:rPr>
        <w:t>Utekelezaji wa taratibu za ugunduzi wa ajali katika tukio la ugawaji wa mali ya kitamaduni.</w:t>
      </w:r>
    </w:p>
    <w:p w14:paraId="572920CE" w14:textId="77777777" w:rsidR="000326DA" w:rsidRPr="00E4105B" w:rsidRDefault="000326DA" w:rsidP="000326DA">
      <w:pPr>
        <w:rPr>
          <w:rFonts w:cs="Arial"/>
          <w:szCs w:val="21"/>
          <w:lang w:val="pl-PL"/>
        </w:rPr>
      </w:pPr>
    </w:p>
    <w:p w14:paraId="5FDC6543" w14:textId="77777777" w:rsidR="000326DA" w:rsidRPr="00E4105B" w:rsidRDefault="000326DA" w:rsidP="000326DA">
      <w:pPr>
        <w:rPr>
          <w:rFonts w:cs="Arial"/>
          <w:szCs w:val="21"/>
          <w:lang w:val="pl-PL"/>
        </w:rPr>
      </w:pPr>
      <w:r w:rsidRPr="00E4105B">
        <w:rPr>
          <w:rFonts w:cs="Arial"/>
          <w:szCs w:val="21"/>
          <w:lang w:val="pl-PL"/>
        </w:rPr>
        <w:t>Hatua hizi zilizomo katika mpango wa mfumo wa usimamizi wa mazingira na jamii (GSCP) ambayo itajumuishwa katika mwongozo wa utekelezaji wa mradi.</w:t>
      </w:r>
    </w:p>
    <w:p w14:paraId="2525A0CB" w14:textId="77777777" w:rsidR="000326DA" w:rsidRPr="00E4105B" w:rsidRDefault="000326DA" w:rsidP="000326DA">
      <w:pPr>
        <w:rPr>
          <w:rFonts w:cs="Arial"/>
          <w:szCs w:val="21"/>
          <w:lang w:val="pl-PL"/>
        </w:rPr>
      </w:pPr>
    </w:p>
    <w:p w14:paraId="2F966357" w14:textId="77777777" w:rsidR="000326DA" w:rsidRPr="00E4105B" w:rsidRDefault="000326DA" w:rsidP="000326DA">
      <w:pPr>
        <w:ind w:firstLine="284"/>
        <w:rPr>
          <w:rFonts w:cs="Arial"/>
          <w:szCs w:val="21"/>
          <w:highlight w:val="yellow"/>
          <w:lang w:val="pl-PL"/>
        </w:rPr>
      </w:pPr>
      <w:r w:rsidRPr="00E4105B">
        <w:rPr>
          <w:rFonts w:cs="Arial"/>
          <w:szCs w:val="21"/>
          <w:u w:val="single"/>
          <w:lang w:val="pl-PL" w:bidi="fr-FR"/>
        </w:rPr>
        <w:t xml:space="preserve">5.1. </w:t>
      </w:r>
      <w:r w:rsidRPr="00E4105B">
        <w:rPr>
          <w:rFonts w:cs="Arial"/>
          <w:szCs w:val="21"/>
          <w:u w:val="single"/>
          <w:lang w:val="pl-PL"/>
        </w:rPr>
        <w:t>Utaratibu wa usimamizi wa mazingira na kijamii kwa miradi inayostahiki</w:t>
      </w:r>
    </w:p>
    <w:p w14:paraId="376DC10B" w14:textId="77777777" w:rsidR="000326DA" w:rsidRPr="00E4105B" w:rsidRDefault="000326DA" w:rsidP="000326DA">
      <w:pPr>
        <w:rPr>
          <w:rFonts w:eastAsia="Calibri" w:cs="Arial"/>
          <w:bCs/>
          <w:szCs w:val="21"/>
          <w:highlight w:val="yellow"/>
          <w:lang w:val="pl-PL"/>
        </w:rPr>
      </w:pPr>
    </w:p>
    <w:p w14:paraId="0893A4EE" w14:textId="77777777" w:rsidR="000326DA" w:rsidRPr="00E4105B" w:rsidRDefault="000326DA" w:rsidP="000326DA">
      <w:pPr>
        <w:rPr>
          <w:rFonts w:cs="Arial"/>
          <w:szCs w:val="21"/>
        </w:rPr>
      </w:pPr>
      <w:r w:rsidRPr="00E4105B">
        <w:rPr>
          <w:rFonts w:cs="Arial"/>
          <w:szCs w:val="21"/>
          <w:lang w:val="pl-PL"/>
        </w:rPr>
        <w:t xml:space="preserve">CGES ni pamoja na utaratibu wa uteuzi wa mazingira na kijamii kwa ajili ya shughuli za kufanyika ndani ya mfumo wa fedha za PNDA, ambazo huongoza hatua za baadaye katika masuala ya kuzingatia mazingira ya kimazingira na ya kijamii na ile ya sera za kulinda benki duniani. </w:t>
      </w:r>
      <w:r w:rsidRPr="00E4105B">
        <w:rPr>
          <w:rFonts w:cs="Arial"/>
          <w:szCs w:val="21"/>
        </w:rPr>
        <w:t>Hatua ni:</w:t>
      </w:r>
    </w:p>
    <w:p w14:paraId="042A51AF" w14:textId="77777777" w:rsidR="000326DA" w:rsidRPr="00E4105B" w:rsidRDefault="000326DA" w:rsidP="000326DA">
      <w:pPr>
        <w:rPr>
          <w:rFonts w:cs="Arial"/>
          <w:szCs w:val="21"/>
        </w:rPr>
      </w:pPr>
    </w:p>
    <w:p w14:paraId="668C4F42" w14:textId="77777777" w:rsidR="000326DA" w:rsidRPr="00E4105B" w:rsidRDefault="000326DA" w:rsidP="000326DA">
      <w:pPr>
        <w:rPr>
          <w:rFonts w:cs="Arial"/>
          <w:szCs w:val="21"/>
          <w:u w:val="single"/>
        </w:rPr>
      </w:pPr>
      <w:r w:rsidRPr="00E4105B">
        <w:rPr>
          <w:rFonts w:cs="Arial"/>
          <w:szCs w:val="21"/>
          <w:u w:val="single"/>
        </w:rPr>
        <w:t>Kuchagua miradi ndogo</w:t>
      </w:r>
    </w:p>
    <w:p w14:paraId="2FC98905" w14:textId="77777777" w:rsidR="000326DA" w:rsidRPr="00E4105B" w:rsidRDefault="000326DA" w:rsidP="000326DA">
      <w:pPr>
        <w:rPr>
          <w:rFonts w:cs="Arial"/>
          <w:szCs w:val="21"/>
        </w:rPr>
      </w:pPr>
    </w:p>
    <w:p w14:paraId="619A49D3"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Utambulisho wa eneo/tovuti na vipengele muhimu vya kiufundi vya mradi huo;</w:t>
      </w:r>
    </w:p>
    <w:p w14:paraId="770F08A7"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Uchaguzi wa kimazingira na kijamii (fomu za uchunguzi wa kuchunguza), na kuamua kiwango cha hatari ya kimazingira na kijamii, pamoja na aina ya hatari maalum na kuathiri chombo cha usimamizi ili kutayarishwa;</w:t>
      </w:r>
    </w:p>
    <w:p w14:paraId="16CBE92E"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Kuidhinishwa kwa Uainishaji.</w:t>
      </w:r>
    </w:p>
    <w:p w14:paraId="27BD3C97" w14:textId="77777777" w:rsidR="000326DA" w:rsidRPr="00E4105B" w:rsidRDefault="000326DA" w:rsidP="000326DA">
      <w:pPr>
        <w:rPr>
          <w:rFonts w:cs="Arial"/>
          <w:szCs w:val="21"/>
        </w:rPr>
      </w:pPr>
    </w:p>
    <w:p w14:paraId="21CA2D25" w14:textId="77777777" w:rsidR="000326DA" w:rsidRPr="00E4105B" w:rsidRDefault="000326DA" w:rsidP="000326DA">
      <w:pPr>
        <w:rPr>
          <w:rFonts w:cs="Arial"/>
          <w:szCs w:val="21"/>
          <w:u w:val="single"/>
        </w:rPr>
      </w:pPr>
      <w:r w:rsidRPr="00E4105B">
        <w:rPr>
          <w:rFonts w:cs="Arial"/>
          <w:szCs w:val="21"/>
          <w:u w:val="single"/>
        </w:rPr>
        <w:t xml:space="preserve">Kuandaa chombo maalum kwa ajili ya kusimamia hatari ya mazingira na kijamii ya miradi ndogo </w:t>
      </w:r>
    </w:p>
    <w:p w14:paraId="6432B86F" w14:textId="77777777" w:rsidR="000326DA" w:rsidRPr="00E4105B" w:rsidRDefault="000326DA" w:rsidP="000326DA">
      <w:pPr>
        <w:rPr>
          <w:rFonts w:cs="Arial"/>
          <w:szCs w:val="21"/>
        </w:rPr>
      </w:pPr>
    </w:p>
    <w:p w14:paraId="08DA6BEB" w14:textId="77777777" w:rsidR="000326DA" w:rsidRPr="00E4105B" w:rsidRDefault="000326DA" w:rsidP="002378EA">
      <w:pPr>
        <w:widowControl w:val="0"/>
        <w:numPr>
          <w:ilvl w:val="0"/>
          <w:numId w:val="68"/>
        </w:numPr>
        <w:autoSpaceDE w:val="0"/>
        <w:autoSpaceDN w:val="0"/>
        <w:rPr>
          <w:rFonts w:eastAsia="MS Mincho" w:cs="Arial"/>
          <w:szCs w:val="21"/>
          <w:lang w:val="en-US"/>
        </w:rPr>
      </w:pPr>
      <w:r w:rsidRPr="00E4105B">
        <w:rPr>
          <w:rFonts w:eastAsia="MS Mincho" w:cs="Arial"/>
          <w:szCs w:val="21"/>
          <w:lang w:val="en-US"/>
        </w:rPr>
        <w:t>Kutayarisha na kuidhinisha masharti ya kumbukumbu;</w:t>
      </w:r>
    </w:p>
    <w:p w14:paraId="3E6AD7EF" w14:textId="77777777" w:rsidR="000326DA" w:rsidRPr="00E4105B" w:rsidRDefault="000326DA" w:rsidP="002378EA">
      <w:pPr>
        <w:widowControl w:val="0"/>
        <w:numPr>
          <w:ilvl w:val="0"/>
          <w:numId w:val="68"/>
        </w:numPr>
        <w:autoSpaceDE w:val="0"/>
        <w:autoSpaceDN w:val="0"/>
        <w:rPr>
          <w:rFonts w:eastAsia="MS Mincho" w:cs="Arial"/>
          <w:szCs w:val="21"/>
          <w:lang w:val="en-US"/>
        </w:rPr>
      </w:pPr>
      <w:r w:rsidRPr="00E4105B">
        <w:rPr>
          <w:rFonts w:eastAsia="MS Mincho" w:cs="Arial"/>
          <w:szCs w:val="21"/>
          <w:lang w:val="en-US"/>
        </w:rPr>
        <w:t>Kukamilisha utafiti ikiwa ni pamoja na mashauriano ya umma (wanaonufaika, watu walioathirika, wadau);</w:t>
      </w:r>
    </w:p>
    <w:p w14:paraId="23EAC331"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Kuhalalisha hati na kupata cheti cha mazingira;</w:t>
      </w:r>
    </w:p>
    <w:p w14:paraId="004F00B4"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Uchapishaji wa waraka;</w:t>
      </w:r>
    </w:p>
    <w:p w14:paraId="71DA9AF5"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 xml:space="preserve">Ushirikiano katika faili ororo (DAO) ya mradi ndogo, ya hatua zote za kimazingira na kijamii za awamu ya kazi ambayo inaweza kuwa na uhusiano na kampuni; </w:t>
      </w:r>
    </w:p>
    <w:p w14:paraId="6A77913A"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 xml:space="preserve">Idhini ya PGES-Enterprise na Misheni ya kudhibiti; </w:t>
      </w:r>
    </w:p>
    <w:p w14:paraId="080B5FC6"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Utekelezaji/utekelezaji wa hatua si mkataba na kampuni ya ujenzi;</w:t>
      </w:r>
    </w:p>
    <w:p w14:paraId="3765F284"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Ufuatiliaji wa ndani na nje ya utekelezaji wa hatua za mazingira na kijamii;</w:t>
      </w:r>
    </w:p>
    <w:p w14:paraId="5D1585A6"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Kutolewa kwa ripoti ya ufuatiliaji (ndani na nje);</w:t>
      </w:r>
    </w:p>
    <w:p w14:paraId="1DB50706"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Usimamizi wa mazingira na kijamii (ndani na nje);</w:t>
      </w:r>
    </w:p>
    <w:p w14:paraId="44DB433A"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Kutolewa kwa ripoti ya kufuatilia (ndani na nje);</w:t>
      </w:r>
    </w:p>
    <w:p w14:paraId="2AAEDDF1"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Kuimarisha uwezo wa wadau katika utekelezaji wa mpango wa mazingira na usimamizi wa jamii;</w:t>
      </w:r>
    </w:p>
    <w:p w14:paraId="1185202C"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Ukaguzi wa utekelezaji wa hatua za kimazingira na kijamii.</w:t>
      </w:r>
    </w:p>
    <w:p w14:paraId="7C898D89" w14:textId="77777777" w:rsidR="00E4105B" w:rsidRPr="00E4105B" w:rsidRDefault="00E4105B" w:rsidP="000326DA">
      <w:pPr>
        <w:rPr>
          <w:rFonts w:cs="Arial"/>
          <w:szCs w:val="21"/>
        </w:rPr>
      </w:pPr>
    </w:p>
    <w:p w14:paraId="3C541268" w14:textId="77777777" w:rsidR="000326DA" w:rsidRPr="00E4105B" w:rsidRDefault="000326DA" w:rsidP="000326DA">
      <w:pPr>
        <w:tabs>
          <w:tab w:val="left" w:pos="426"/>
        </w:tabs>
        <w:ind w:firstLine="426"/>
        <w:contextualSpacing/>
        <w:rPr>
          <w:rFonts w:cs="Arial"/>
          <w:szCs w:val="21"/>
          <w:u w:val="single"/>
        </w:rPr>
      </w:pPr>
      <w:r w:rsidRPr="00E4105B">
        <w:rPr>
          <w:rFonts w:cs="Arial"/>
          <w:szCs w:val="21"/>
          <w:u w:val="single"/>
        </w:rPr>
        <w:t xml:space="preserve">5.2. Viashirio vikuu vya utekelezaji wa CGES </w:t>
      </w:r>
    </w:p>
    <w:p w14:paraId="0052E65E" w14:textId="77777777" w:rsidR="000326DA" w:rsidRPr="00E4105B" w:rsidRDefault="000326DA" w:rsidP="000326DA">
      <w:pPr>
        <w:tabs>
          <w:tab w:val="left" w:pos="426"/>
        </w:tabs>
        <w:contextualSpacing/>
        <w:rPr>
          <w:rFonts w:cs="Arial"/>
          <w:szCs w:val="21"/>
          <w:u w:val="single"/>
        </w:rPr>
      </w:pPr>
    </w:p>
    <w:p w14:paraId="075C5BAD" w14:textId="08707CAD" w:rsidR="000326DA" w:rsidRPr="00E4105B" w:rsidRDefault="000326DA" w:rsidP="000326DA">
      <w:pPr>
        <w:tabs>
          <w:tab w:val="left" w:pos="426"/>
        </w:tabs>
        <w:contextualSpacing/>
        <w:rPr>
          <w:rFonts w:cs="Arial"/>
          <w:szCs w:val="21"/>
        </w:rPr>
      </w:pPr>
      <w:r w:rsidRPr="00E4105B">
        <w:rPr>
          <w:rFonts w:cs="Arial"/>
          <w:szCs w:val="21"/>
        </w:rPr>
        <w:t xml:space="preserve">Mpango wa kufuatilia utaelezea kile kinachohitajika kufuatiliwa, njia/ufuatiliaji wa vifaa, majukumu ya kufuatilia, kipindi cha kufuatilia. Ili kufikia mwisho huu, viashirio vikuu vilichaguliwa ni: </w:t>
      </w:r>
    </w:p>
    <w:p w14:paraId="7D359FD0" w14:textId="77777777" w:rsidR="000326DA" w:rsidRPr="00E4105B" w:rsidRDefault="000326DA" w:rsidP="000326DA">
      <w:pPr>
        <w:tabs>
          <w:tab w:val="left" w:pos="426"/>
        </w:tabs>
        <w:contextualSpacing/>
        <w:rPr>
          <w:rFonts w:cs="Arial"/>
          <w:szCs w:val="21"/>
          <w:u w:val="single"/>
        </w:rPr>
      </w:pPr>
    </w:p>
    <w:p w14:paraId="0D40DDFA"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Viashiria vya kimkakati kufuatiwa na kamati ya uendeshaji wa mradi;</w:t>
      </w:r>
    </w:p>
    <w:p w14:paraId="0C9067E9"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Athari za uchaguzi wa mazingira na jamii (uchunguzi) wa shughuli za programu;</w:t>
      </w:r>
    </w:p>
    <w:p w14:paraId="1AEF0FF1"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Kuwa na athari za ufuatiliaji wa mazingira na "kuripoti";</w:t>
      </w:r>
    </w:p>
    <w:p w14:paraId="6043502A"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Utekelezaji wa mipango ya mafunzo/uelewa juu ya CGES;</w:t>
      </w:r>
    </w:p>
    <w:p w14:paraId="11673D44"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Viashirio vya kufuatiliwa na SSE na SSS/PNDA;</w:t>
      </w:r>
    </w:p>
    <w:p w14:paraId="40A623A8"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Ufanisi wa kuingizwa kwa vifungu vya mazingira katika faili za utekelezaji;</w:t>
      </w:r>
    </w:p>
    <w:p w14:paraId="40B2C896"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Asilimia ya makampuni ya kukubaliana na kanuni za mazingira katika maeneo yao ya ujenzi;</w:t>
      </w:r>
    </w:p>
    <w:p w14:paraId="25C5F331"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Idadi ya waigizaji waliopewa mafunzo/uhamasishaji katika usimamizi wa mazingira na jamii;</w:t>
      </w:r>
    </w:p>
    <w:p w14:paraId="360F6A54"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Kiwango cha ushiriki wa Ckutawazwa kwa mazingira ya mkoa (CPE) katika ufuatiliaji wa utekelezaji wa shughuli;</w:t>
      </w:r>
    </w:p>
    <w:p w14:paraId="086EF5F4" w14:textId="77777777" w:rsidR="000326DA" w:rsidRPr="00E4105B" w:rsidRDefault="000326DA" w:rsidP="002378EA">
      <w:pPr>
        <w:widowControl w:val="0"/>
        <w:numPr>
          <w:ilvl w:val="0"/>
          <w:numId w:val="68"/>
        </w:numPr>
        <w:autoSpaceDE w:val="0"/>
        <w:autoSpaceDN w:val="0"/>
        <w:rPr>
          <w:rFonts w:eastAsia="MS Mincho" w:cs="Arial"/>
          <w:szCs w:val="21"/>
          <w:lang w:val="pl-PL"/>
        </w:rPr>
      </w:pPr>
      <w:r w:rsidRPr="00E4105B">
        <w:rPr>
          <w:rFonts w:eastAsia="MS Mincho" w:cs="Arial"/>
          <w:szCs w:val="21"/>
          <w:lang w:val="pl-PL"/>
        </w:rPr>
        <w:t>Idadi ya kampeni za mwamko;</w:t>
      </w:r>
    </w:p>
    <w:p w14:paraId="23DE5886" w14:textId="77777777" w:rsidR="000326DA" w:rsidRPr="00E4105B" w:rsidRDefault="000326DA" w:rsidP="002378EA">
      <w:pPr>
        <w:widowControl w:val="0"/>
        <w:numPr>
          <w:ilvl w:val="0"/>
          <w:numId w:val="68"/>
        </w:numPr>
        <w:autoSpaceDE w:val="0"/>
        <w:autoSpaceDN w:val="0"/>
        <w:rPr>
          <w:rFonts w:eastAsia="MS Mincho" w:cs="Arial"/>
          <w:szCs w:val="21"/>
          <w:lang w:val="pl-PL"/>
        </w:rPr>
      </w:pPr>
      <w:r w:rsidRPr="00E4105B">
        <w:rPr>
          <w:rFonts w:eastAsia="MS Mincho" w:cs="Arial"/>
          <w:szCs w:val="21"/>
          <w:lang w:val="pl-PL"/>
        </w:rPr>
        <w:t>Utaratibu na ufanisi wa ufuatiliaji wa ukaribu;</w:t>
      </w:r>
    </w:p>
    <w:p w14:paraId="23F6E014" w14:textId="77777777" w:rsidR="000326DA" w:rsidRPr="00E4105B" w:rsidRDefault="000326DA" w:rsidP="002378EA">
      <w:pPr>
        <w:widowControl w:val="0"/>
        <w:numPr>
          <w:ilvl w:val="0"/>
          <w:numId w:val="68"/>
        </w:numPr>
        <w:autoSpaceDE w:val="0"/>
        <w:autoSpaceDN w:val="0"/>
        <w:rPr>
          <w:rFonts w:eastAsia="MS Mincho" w:cs="Arial"/>
          <w:szCs w:val="21"/>
          <w:lang w:val="pl-PL"/>
        </w:rPr>
      </w:pPr>
      <w:r w:rsidRPr="00E4105B">
        <w:rPr>
          <w:rFonts w:eastAsia="MS Mincho" w:cs="Arial"/>
          <w:szCs w:val="21"/>
          <w:lang w:val="pl-PL"/>
        </w:rPr>
        <w:t>Idadi ya miradi ndogo ambayo imekuwa somo la EIES na PGES kutekelezwa;</w:t>
      </w:r>
    </w:p>
    <w:p w14:paraId="50FF191C" w14:textId="77777777" w:rsidR="000326DA" w:rsidRPr="00E4105B" w:rsidRDefault="000326DA" w:rsidP="002378EA">
      <w:pPr>
        <w:widowControl w:val="0"/>
        <w:numPr>
          <w:ilvl w:val="0"/>
          <w:numId w:val="68"/>
        </w:numPr>
        <w:autoSpaceDE w:val="0"/>
        <w:autoSpaceDN w:val="0"/>
        <w:rPr>
          <w:rFonts w:eastAsia="MS Mincho" w:cs="Arial"/>
          <w:szCs w:val="21"/>
          <w:lang w:val="pl-PL"/>
        </w:rPr>
      </w:pPr>
      <w:r w:rsidRPr="00E4105B">
        <w:rPr>
          <w:rFonts w:eastAsia="MS Mincho" w:cs="Arial"/>
          <w:szCs w:val="21"/>
          <w:lang w:val="pl-PL"/>
        </w:rPr>
        <w:t>Idadi ya mafunzo/vikao vya mwamko kupangwa;</w:t>
      </w:r>
    </w:p>
    <w:p w14:paraId="657329B3" w14:textId="77777777" w:rsidR="000326DA" w:rsidRPr="00E4105B" w:rsidRDefault="000326DA" w:rsidP="002378EA">
      <w:pPr>
        <w:widowControl w:val="0"/>
        <w:numPr>
          <w:ilvl w:val="0"/>
          <w:numId w:val="68"/>
        </w:numPr>
        <w:autoSpaceDE w:val="0"/>
        <w:autoSpaceDN w:val="0"/>
        <w:rPr>
          <w:rFonts w:eastAsia="MS Mincho" w:cs="Arial"/>
          <w:szCs w:val="21"/>
          <w:lang w:val="pl-PL"/>
        </w:rPr>
      </w:pPr>
      <w:r w:rsidRPr="00E4105B">
        <w:rPr>
          <w:rFonts w:eastAsia="MS Mincho" w:cs="Arial"/>
          <w:szCs w:val="21"/>
          <w:lang w:val="pl-PL"/>
        </w:rPr>
        <w:t xml:space="preserve">Idadi ya usimamizi/ujumbe wa tathmini ya mazingira; </w:t>
      </w:r>
    </w:p>
    <w:p w14:paraId="0E13B2C3" w14:textId="77777777" w:rsidR="000326DA" w:rsidRPr="00E4105B" w:rsidRDefault="000326DA" w:rsidP="002378EA">
      <w:pPr>
        <w:widowControl w:val="0"/>
        <w:numPr>
          <w:ilvl w:val="0"/>
          <w:numId w:val="68"/>
        </w:numPr>
        <w:autoSpaceDE w:val="0"/>
        <w:autoSpaceDN w:val="0"/>
        <w:rPr>
          <w:rFonts w:eastAsia="MS Mincho" w:cs="Arial"/>
          <w:szCs w:val="21"/>
          <w:lang w:val="pl-PL"/>
        </w:rPr>
      </w:pPr>
      <w:r w:rsidRPr="00E4105B">
        <w:rPr>
          <w:rFonts w:eastAsia="MS Mincho" w:cs="Arial"/>
          <w:szCs w:val="21"/>
          <w:lang w:val="pl-PL"/>
        </w:rPr>
        <w:t>Idadi ya kazi zilizoundwa ndani ya nchi (kazi za ndani zinazotumiwa kwa kazi);</w:t>
      </w:r>
    </w:p>
    <w:p w14:paraId="24BDAA8C" w14:textId="77777777" w:rsidR="000326DA" w:rsidRPr="00E4105B" w:rsidRDefault="000326DA" w:rsidP="002378EA">
      <w:pPr>
        <w:widowControl w:val="0"/>
        <w:numPr>
          <w:ilvl w:val="0"/>
          <w:numId w:val="68"/>
        </w:numPr>
        <w:autoSpaceDE w:val="0"/>
        <w:autoSpaceDN w:val="0"/>
        <w:rPr>
          <w:rFonts w:eastAsia="MS Mincho" w:cs="Arial"/>
          <w:szCs w:val="21"/>
          <w:lang w:val="pl-PL"/>
        </w:rPr>
      </w:pPr>
      <w:r w:rsidRPr="00E4105B">
        <w:rPr>
          <w:rFonts w:eastAsia="MS Mincho" w:cs="Arial"/>
          <w:szCs w:val="21"/>
          <w:lang w:val="pl-PL"/>
        </w:rPr>
        <w:t>Idadi ya watu wazawa na kambi ziko katika eneo la mradi;</w:t>
      </w:r>
    </w:p>
    <w:p w14:paraId="1B44902F"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Idadi ya watu walioathirika na fidia na mradi;</w:t>
      </w:r>
    </w:p>
    <w:p w14:paraId="305C0DF4" w14:textId="77777777" w:rsidR="000326DA" w:rsidRPr="00E4105B" w:rsidRDefault="000326DA" w:rsidP="002378EA">
      <w:pPr>
        <w:widowControl w:val="0"/>
        <w:numPr>
          <w:ilvl w:val="0"/>
          <w:numId w:val="68"/>
        </w:numPr>
        <w:autoSpaceDE w:val="0"/>
        <w:autoSpaceDN w:val="0"/>
        <w:rPr>
          <w:rFonts w:eastAsia="MS Mincho" w:cs="Arial"/>
          <w:szCs w:val="21"/>
        </w:rPr>
      </w:pPr>
      <w:r w:rsidRPr="00E4105B">
        <w:rPr>
          <w:rFonts w:eastAsia="MS Mincho" w:cs="Arial"/>
          <w:szCs w:val="21"/>
        </w:rPr>
        <w:t>Idadi ya vikao vya mafunzo kwa wafanyakazi VBG kuvunjwa chini na jinsia;</w:t>
      </w:r>
    </w:p>
    <w:p w14:paraId="569009EE" w14:textId="77777777" w:rsidR="000326DA" w:rsidRPr="00E4105B" w:rsidRDefault="000326DA" w:rsidP="002378EA">
      <w:pPr>
        <w:widowControl w:val="0"/>
        <w:numPr>
          <w:ilvl w:val="0"/>
          <w:numId w:val="68"/>
        </w:numPr>
        <w:autoSpaceDE w:val="0"/>
        <w:autoSpaceDN w:val="0"/>
        <w:rPr>
          <w:rFonts w:eastAsia="MS Mincho" w:cs="Arial"/>
          <w:szCs w:val="21"/>
          <w:lang w:val="en-US"/>
        </w:rPr>
      </w:pPr>
      <w:r w:rsidRPr="00E4105B">
        <w:rPr>
          <w:rFonts w:eastAsia="MS Mincho" w:cs="Arial"/>
          <w:szCs w:val="21"/>
          <w:lang w:val="en-US"/>
        </w:rPr>
        <w:t>Idadi ya vikao retraining kwa wafanyakazi wa VBG;</w:t>
      </w:r>
    </w:p>
    <w:p w14:paraId="6ED9C374" w14:textId="77777777" w:rsidR="000326DA" w:rsidRPr="00E4105B" w:rsidRDefault="000326DA" w:rsidP="002378EA">
      <w:pPr>
        <w:widowControl w:val="0"/>
        <w:numPr>
          <w:ilvl w:val="0"/>
          <w:numId w:val="68"/>
        </w:numPr>
        <w:autoSpaceDE w:val="0"/>
        <w:autoSpaceDN w:val="0"/>
        <w:rPr>
          <w:rFonts w:eastAsia="MS Mincho" w:cs="Arial"/>
          <w:szCs w:val="21"/>
          <w:lang w:val="pl-PL"/>
        </w:rPr>
      </w:pPr>
      <w:r w:rsidRPr="00E4105B">
        <w:rPr>
          <w:rFonts w:eastAsia="MS Mincho" w:cs="Arial"/>
          <w:szCs w:val="21"/>
          <w:lang w:val="pl-PL"/>
        </w:rPr>
        <w:t>Idadi ya walionusurika inajulikana kwa ajili ya matibabu CEP;</w:t>
      </w:r>
    </w:p>
    <w:p w14:paraId="332C2ABC" w14:textId="77777777" w:rsidR="000326DA" w:rsidRPr="00E4105B" w:rsidRDefault="000326DA" w:rsidP="002378EA">
      <w:pPr>
        <w:widowControl w:val="0"/>
        <w:numPr>
          <w:ilvl w:val="0"/>
          <w:numId w:val="68"/>
        </w:numPr>
        <w:autoSpaceDE w:val="0"/>
        <w:autoSpaceDN w:val="0"/>
        <w:rPr>
          <w:rFonts w:eastAsia="MS Mincho" w:cs="Arial"/>
          <w:szCs w:val="21"/>
          <w:lang w:val="en-US"/>
        </w:rPr>
      </w:pPr>
      <w:r w:rsidRPr="00E4105B">
        <w:rPr>
          <w:rFonts w:eastAsia="MS Mincho" w:cs="Arial"/>
          <w:szCs w:val="21"/>
          <w:lang w:val="en-US"/>
        </w:rPr>
        <w:t>Idadi ya manusura ambao wamepokea huduma ya matibabu;</w:t>
      </w:r>
    </w:p>
    <w:p w14:paraId="40702FDC" w14:textId="77777777" w:rsidR="000326DA" w:rsidRPr="00E4105B" w:rsidRDefault="000326DA" w:rsidP="002378EA">
      <w:pPr>
        <w:widowControl w:val="0"/>
        <w:numPr>
          <w:ilvl w:val="0"/>
          <w:numId w:val="68"/>
        </w:numPr>
        <w:autoSpaceDE w:val="0"/>
        <w:autoSpaceDN w:val="0"/>
        <w:rPr>
          <w:rFonts w:eastAsia="MS Mincho" w:cs="Arial"/>
          <w:szCs w:val="21"/>
          <w:lang w:val="pl-PL"/>
        </w:rPr>
      </w:pPr>
      <w:r w:rsidRPr="00E4105B">
        <w:rPr>
          <w:rFonts w:eastAsia="MS Mincho" w:cs="Arial"/>
          <w:szCs w:val="21"/>
          <w:lang w:val="pl-PL"/>
        </w:rPr>
        <w:t>Idadi ya walionusurika inajulikana kwa CEP kisaikolojia;</w:t>
      </w:r>
    </w:p>
    <w:p w14:paraId="2AE8E24A" w14:textId="77777777" w:rsidR="000326DA" w:rsidRPr="00E4105B" w:rsidRDefault="000326DA" w:rsidP="002378EA">
      <w:pPr>
        <w:widowControl w:val="0"/>
        <w:numPr>
          <w:ilvl w:val="0"/>
          <w:numId w:val="68"/>
        </w:numPr>
        <w:autoSpaceDE w:val="0"/>
        <w:autoSpaceDN w:val="0"/>
        <w:rPr>
          <w:rFonts w:eastAsia="MS Mincho" w:cs="Arial"/>
          <w:szCs w:val="21"/>
          <w:lang w:val="pl-PL"/>
        </w:rPr>
      </w:pPr>
      <w:r w:rsidRPr="00E4105B">
        <w:rPr>
          <w:rFonts w:eastAsia="MS Mincho" w:cs="Arial"/>
          <w:szCs w:val="21"/>
          <w:lang w:val="pl-PL"/>
        </w:rPr>
        <w:t>Idadi ya walionusurika ambao wamepokea CEP wa kisaikolojia;</w:t>
      </w:r>
    </w:p>
    <w:p w14:paraId="433E02C8" w14:textId="77777777" w:rsidR="000326DA" w:rsidRPr="00E4105B" w:rsidRDefault="000326DA" w:rsidP="002378EA">
      <w:pPr>
        <w:widowControl w:val="0"/>
        <w:numPr>
          <w:ilvl w:val="0"/>
          <w:numId w:val="68"/>
        </w:numPr>
        <w:autoSpaceDE w:val="0"/>
        <w:autoSpaceDN w:val="0"/>
        <w:rPr>
          <w:rFonts w:eastAsia="MS Mincho" w:cs="Arial"/>
          <w:szCs w:val="21"/>
          <w:lang w:val="pl-PL"/>
        </w:rPr>
      </w:pPr>
      <w:r w:rsidRPr="00E4105B">
        <w:rPr>
          <w:rFonts w:eastAsia="MS Mincho" w:cs="Arial"/>
          <w:szCs w:val="21"/>
          <w:lang w:val="pl-PL"/>
        </w:rPr>
        <w:t>Idadi ya walionusurika zilizotajwa ushauri wa kisheria;</w:t>
      </w:r>
    </w:p>
    <w:p w14:paraId="3CFD7A97" w14:textId="77777777" w:rsidR="000326DA" w:rsidRPr="00E4105B" w:rsidRDefault="000326DA" w:rsidP="002378EA">
      <w:pPr>
        <w:widowControl w:val="0"/>
        <w:numPr>
          <w:ilvl w:val="0"/>
          <w:numId w:val="68"/>
        </w:numPr>
        <w:autoSpaceDE w:val="0"/>
        <w:autoSpaceDN w:val="0"/>
        <w:rPr>
          <w:rFonts w:eastAsia="MS Mincho" w:cs="Arial"/>
          <w:szCs w:val="21"/>
          <w:lang w:val="pl-PL"/>
        </w:rPr>
      </w:pPr>
      <w:r w:rsidRPr="00E4105B">
        <w:rPr>
          <w:rFonts w:eastAsia="MS Mincho" w:cs="Arial"/>
          <w:szCs w:val="21"/>
          <w:lang w:val="pl-PL"/>
        </w:rPr>
        <w:t>Idadi ya walionusurika inajulikana kwa ajili ya mahakama/kisheria CEP;</w:t>
      </w:r>
    </w:p>
    <w:p w14:paraId="6354B4B7" w14:textId="77777777" w:rsidR="000326DA" w:rsidRPr="00E4105B" w:rsidRDefault="000326DA" w:rsidP="002378EA">
      <w:pPr>
        <w:widowControl w:val="0"/>
        <w:numPr>
          <w:ilvl w:val="0"/>
          <w:numId w:val="68"/>
        </w:numPr>
        <w:autoSpaceDE w:val="0"/>
        <w:autoSpaceDN w:val="0"/>
        <w:rPr>
          <w:rFonts w:eastAsia="MS Mincho" w:cs="Arial"/>
          <w:szCs w:val="21"/>
          <w:lang w:val="pl-PL"/>
        </w:rPr>
      </w:pPr>
      <w:r w:rsidRPr="00E4105B">
        <w:rPr>
          <w:rFonts w:eastAsia="MS Mincho" w:cs="Arial"/>
          <w:szCs w:val="21"/>
          <w:lang w:val="pl-PL"/>
        </w:rPr>
        <w:t>Idadi ya vikao vya ufahamu katika VBG na MGP ;</w:t>
      </w:r>
    </w:p>
    <w:p w14:paraId="43A5C3B8" w14:textId="77777777" w:rsidR="000326DA" w:rsidRPr="00E4105B" w:rsidRDefault="000326DA" w:rsidP="002378EA">
      <w:pPr>
        <w:widowControl w:val="0"/>
        <w:numPr>
          <w:ilvl w:val="0"/>
          <w:numId w:val="68"/>
        </w:numPr>
        <w:autoSpaceDE w:val="0"/>
        <w:autoSpaceDN w:val="0"/>
        <w:rPr>
          <w:rFonts w:eastAsia="MS Mincho" w:cs="Arial"/>
          <w:szCs w:val="21"/>
          <w:lang w:val="pl-PL"/>
        </w:rPr>
      </w:pPr>
      <w:r w:rsidRPr="00E4105B">
        <w:rPr>
          <w:rFonts w:eastAsia="MS Mincho" w:cs="Arial"/>
          <w:szCs w:val="21"/>
          <w:lang w:val="pl-PL"/>
        </w:rPr>
        <w:t>Idadi ya watu walengwa waliovunjwa na jinsia na umri.</w:t>
      </w:r>
    </w:p>
    <w:p w14:paraId="4952519F" w14:textId="77777777" w:rsidR="000326DA" w:rsidRPr="00E4105B" w:rsidRDefault="000326DA" w:rsidP="000326DA">
      <w:pPr>
        <w:rPr>
          <w:rFonts w:cs="Arial"/>
          <w:color w:val="000000"/>
          <w:szCs w:val="21"/>
          <w:lang w:val="pl-PL"/>
        </w:rPr>
      </w:pPr>
    </w:p>
    <w:p w14:paraId="76120A30" w14:textId="77777777" w:rsidR="000326DA" w:rsidRPr="00E4105B" w:rsidRDefault="000326DA" w:rsidP="000326DA">
      <w:pPr>
        <w:rPr>
          <w:rFonts w:cs="Arial"/>
          <w:color w:val="000000"/>
          <w:szCs w:val="21"/>
          <w:lang w:val="pl-PL"/>
        </w:rPr>
      </w:pPr>
      <w:r w:rsidRPr="00E4105B">
        <w:rPr>
          <w:rFonts w:cs="Arial"/>
          <w:color w:val="000000"/>
          <w:szCs w:val="21"/>
          <w:lang w:val="pl-PL"/>
        </w:rPr>
        <w:t>Mipango ya kitaasisi ya utekelezaji wa PCGES:</w:t>
      </w:r>
    </w:p>
    <w:p w14:paraId="2D1DD3F1" w14:textId="77777777" w:rsidR="000326DA" w:rsidRPr="00E4105B" w:rsidRDefault="000326DA" w:rsidP="000326DA">
      <w:pPr>
        <w:rPr>
          <w:rFonts w:cs="Arial"/>
          <w:color w:val="000000"/>
          <w:szCs w:val="21"/>
          <w:lang w:val="pl-PL"/>
        </w:rPr>
      </w:pPr>
    </w:p>
    <w:p w14:paraId="6C588BCE" w14:textId="77777777" w:rsidR="000326DA" w:rsidRPr="00E4105B" w:rsidRDefault="000326DA" w:rsidP="000326DA">
      <w:pPr>
        <w:rPr>
          <w:rFonts w:cs="Arial"/>
          <w:color w:val="000000"/>
          <w:szCs w:val="21"/>
          <w:lang w:val="pl-PL"/>
        </w:rPr>
      </w:pPr>
      <w:r w:rsidRPr="00E4105B">
        <w:rPr>
          <w:rFonts w:cs="Arial"/>
          <w:color w:val="000000"/>
          <w:szCs w:val="21"/>
          <w:lang w:val="pl-PL"/>
        </w:rPr>
        <w:t>Aya hii inafafanua majukumu na majukumu ya kutekeleza hatua za kimazingira kwa PNDA:</w:t>
      </w:r>
    </w:p>
    <w:p w14:paraId="1BF85413" w14:textId="77777777" w:rsidR="000326DA" w:rsidRPr="00E4105B" w:rsidRDefault="000326DA" w:rsidP="000326DA">
      <w:pPr>
        <w:rPr>
          <w:rFonts w:cs="Arial"/>
          <w:color w:val="000000"/>
          <w:szCs w:val="21"/>
          <w:lang w:val="pl-PL"/>
        </w:rPr>
      </w:pPr>
    </w:p>
    <w:p w14:paraId="20BE28A8" w14:textId="5E6B9D43" w:rsidR="000326DA" w:rsidRPr="00E4105B" w:rsidRDefault="000326DA" w:rsidP="002378EA">
      <w:pPr>
        <w:pStyle w:val="Paragraphedeliste"/>
        <w:numPr>
          <w:ilvl w:val="0"/>
          <w:numId w:val="29"/>
        </w:numPr>
        <w:jc w:val="left"/>
        <w:rPr>
          <w:rFonts w:cs="Arial"/>
          <w:i/>
          <w:color w:val="000000"/>
          <w:szCs w:val="21"/>
          <w:lang w:val="pl-PL"/>
        </w:rPr>
      </w:pPr>
      <w:r w:rsidRPr="00E4105B">
        <w:rPr>
          <w:rFonts w:cs="Arial"/>
          <w:i/>
          <w:color w:val="000000"/>
          <w:szCs w:val="21"/>
          <w:lang w:val="pl-PL"/>
        </w:rPr>
        <w:t xml:space="preserve">PNDA maandalizi na ufuatiliaji wa kamati ya ufundi </w:t>
      </w:r>
      <w:r w:rsidR="00D61531">
        <w:rPr>
          <w:rFonts w:cs="Arial"/>
          <w:i/>
          <w:color w:val="000000"/>
          <w:szCs w:val="21"/>
          <w:lang w:val="pl-PL"/>
        </w:rPr>
        <w:t>;</w:t>
      </w:r>
    </w:p>
    <w:p w14:paraId="0C474873" w14:textId="7E12BF42" w:rsidR="000326DA" w:rsidRPr="00E4105B" w:rsidRDefault="000326DA" w:rsidP="002378EA">
      <w:pPr>
        <w:pStyle w:val="Paragraphedeliste"/>
        <w:numPr>
          <w:ilvl w:val="0"/>
          <w:numId w:val="29"/>
        </w:numPr>
        <w:jc w:val="left"/>
        <w:rPr>
          <w:rFonts w:cs="Arial"/>
          <w:i/>
          <w:color w:val="000000"/>
          <w:szCs w:val="21"/>
          <w:lang w:val="pl-PL"/>
        </w:rPr>
      </w:pPr>
      <w:r w:rsidRPr="00E4105B">
        <w:rPr>
          <w:rFonts w:cs="Arial"/>
          <w:i/>
          <w:color w:val="000000"/>
          <w:szCs w:val="21"/>
          <w:lang w:val="pl-PL"/>
        </w:rPr>
        <w:t>Si zaidi/PARRSA, UUNCP na mradi na kitengo cha usimamizi wa masoko ya umma (CUNCPMP)</w:t>
      </w:r>
      <w:r w:rsidR="00D61531">
        <w:rPr>
          <w:rFonts w:cs="Arial"/>
          <w:i/>
          <w:color w:val="000000"/>
          <w:szCs w:val="21"/>
          <w:lang w:val="pl-PL"/>
        </w:rPr>
        <w:t xml:space="preserve"> ;</w:t>
      </w:r>
    </w:p>
    <w:p w14:paraId="61B8BB9C" w14:textId="61D17B72" w:rsidR="000326DA" w:rsidRPr="00E4105B" w:rsidRDefault="000326DA" w:rsidP="002378EA">
      <w:pPr>
        <w:pStyle w:val="Paragraphedeliste"/>
        <w:numPr>
          <w:ilvl w:val="0"/>
          <w:numId w:val="29"/>
        </w:numPr>
        <w:jc w:val="left"/>
        <w:rPr>
          <w:rFonts w:cs="Arial"/>
          <w:i/>
          <w:color w:val="000000"/>
          <w:szCs w:val="21"/>
        </w:rPr>
      </w:pPr>
      <w:r w:rsidRPr="00E4105B">
        <w:rPr>
          <w:rFonts w:cs="Arial"/>
          <w:i/>
          <w:color w:val="000000"/>
          <w:szCs w:val="21"/>
        </w:rPr>
        <w:t>Shirika la mazingira ya Kongo (ACE)</w:t>
      </w:r>
      <w:r w:rsidR="00D61531">
        <w:rPr>
          <w:rFonts w:cs="Arial"/>
          <w:i/>
          <w:color w:val="000000"/>
          <w:szCs w:val="21"/>
        </w:rPr>
        <w:t> ;</w:t>
      </w:r>
    </w:p>
    <w:p w14:paraId="48D2A576" w14:textId="77777777" w:rsidR="00D61531" w:rsidRPr="00D61531" w:rsidRDefault="000326DA" w:rsidP="00E4470C">
      <w:pPr>
        <w:pStyle w:val="Paragraphedeliste"/>
        <w:numPr>
          <w:ilvl w:val="0"/>
          <w:numId w:val="29"/>
        </w:numPr>
        <w:jc w:val="left"/>
        <w:rPr>
          <w:rFonts w:cs="Arial"/>
          <w:color w:val="000000"/>
          <w:szCs w:val="21"/>
        </w:rPr>
      </w:pPr>
      <w:r w:rsidRPr="00D61531">
        <w:rPr>
          <w:rFonts w:cs="Arial"/>
          <w:i/>
          <w:color w:val="000000"/>
          <w:szCs w:val="21"/>
        </w:rPr>
        <w:t>Jimbo la Coordinations kwa mazingira (CPE)</w:t>
      </w:r>
      <w:r w:rsidR="00D61531" w:rsidRPr="00D61531">
        <w:rPr>
          <w:rFonts w:cs="Arial"/>
          <w:i/>
          <w:color w:val="000000"/>
          <w:szCs w:val="21"/>
        </w:rPr>
        <w:t> ;</w:t>
      </w:r>
    </w:p>
    <w:p w14:paraId="5D00CC0A" w14:textId="5422853F" w:rsidR="000326DA" w:rsidRPr="00D61531" w:rsidRDefault="000326DA" w:rsidP="00E4470C">
      <w:pPr>
        <w:pStyle w:val="Paragraphedeliste"/>
        <w:numPr>
          <w:ilvl w:val="0"/>
          <w:numId w:val="29"/>
        </w:numPr>
        <w:jc w:val="left"/>
        <w:rPr>
          <w:rFonts w:cs="Arial"/>
          <w:color w:val="000000"/>
          <w:szCs w:val="21"/>
          <w:lang w:val="en-US"/>
        </w:rPr>
      </w:pPr>
      <w:r w:rsidRPr="00D61531">
        <w:rPr>
          <w:rFonts w:cs="Arial"/>
          <w:color w:val="000000"/>
          <w:szCs w:val="21"/>
          <w:lang w:val="en-US"/>
        </w:rPr>
        <w:t>Wataunga mkono mikoa</w:t>
      </w:r>
      <w:r w:rsidR="00D61531" w:rsidRPr="00D61531">
        <w:rPr>
          <w:rFonts w:cs="Arial"/>
          <w:color w:val="000000"/>
          <w:szCs w:val="21"/>
          <w:lang w:val="en-US"/>
        </w:rPr>
        <w:t xml:space="preserve"> ambayo bado haijatekeleza ACE ;</w:t>
      </w:r>
    </w:p>
    <w:p w14:paraId="02A0831D" w14:textId="77777777" w:rsidR="000326DA" w:rsidRPr="00D61531" w:rsidRDefault="000326DA" w:rsidP="000326DA">
      <w:pPr>
        <w:rPr>
          <w:rFonts w:cs="Arial"/>
          <w:color w:val="000000"/>
          <w:szCs w:val="21"/>
          <w:lang w:val="en-US"/>
        </w:rPr>
      </w:pPr>
    </w:p>
    <w:p w14:paraId="62D29D17" w14:textId="1CF73B45" w:rsidR="000326DA" w:rsidRPr="00D61531" w:rsidRDefault="00D61531" w:rsidP="000326DA">
      <w:pPr>
        <w:rPr>
          <w:rFonts w:cs="Arial"/>
          <w:color w:val="000000"/>
          <w:szCs w:val="21"/>
          <w:lang w:val="en-US"/>
        </w:rPr>
      </w:pPr>
      <w:r w:rsidRPr="003B473A">
        <w:rPr>
          <w:rFonts w:cs="Arial"/>
          <w:color w:val="000000"/>
          <w:sz w:val="22"/>
          <w:lang w:val="en-US"/>
        </w:rPr>
        <w:t xml:space="preserve">Ikumbukwe kuwa kuna </w:t>
      </w:r>
      <w:r>
        <w:rPr>
          <w:rFonts w:cs="Arial"/>
          <w:color w:val="000000"/>
          <w:sz w:val="22"/>
          <w:lang w:val="en-US"/>
        </w:rPr>
        <w:t>t</w:t>
      </w:r>
      <w:r w:rsidR="000326DA" w:rsidRPr="00D61531">
        <w:rPr>
          <w:rFonts w:cs="Arial"/>
          <w:color w:val="000000"/>
          <w:szCs w:val="21"/>
          <w:lang w:val="en-US"/>
        </w:rPr>
        <w:t>aasisi nyingine zinazohu</w:t>
      </w:r>
      <w:r>
        <w:rPr>
          <w:rFonts w:cs="Arial"/>
          <w:color w:val="000000"/>
          <w:szCs w:val="21"/>
          <w:lang w:val="en-US"/>
        </w:rPr>
        <w:t>sika katika utekelezaji wa PNDA.</w:t>
      </w:r>
    </w:p>
    <w:p w14:paraId="680D35AB" w14:textId="77777777" w:rsidR="000326DA" w:rsidRPr="00D61531" w:rsidRDefault="000326DA" w:rsidP="000326DA">
      <w:pPr>
        <w:rPr>
          <w:rFonts w:cs="Arial"/>
          <w:color w:val="000000"/>
          <w:szCs w:val="21"/>
          <w:lang w:val="en-US"/>
        </w:rPr>
      </w:pPr>
      <w:r w:rsidRPr="00D61531">
        <w:rPr>
          <w:rFonts w:cs="Arial"/>
          <w:color w:val="000000"/>
          <w:szCs w:val="21"/>
          <w:lang w:val="en-US"/>
        </w:rPr>
        <w:t>Majukumu na majukumu ya kutekeleza hatua za usimamizi wa mazingira na jamii</w:t>
      </w:r>
    </w:p>
    <w:p w14:paraId="5DD0D6C2" w14:textId="77777777" w:rsidR="000326DA" w:rsidRPr="00D61531" w:rsidRDefault="000326DA" w:rsidP="000326DA">
      <w:pPr>
        <w:ind w:left="720"/>
        <w:rPr>
          <w:rFonts w:cs="Arial"/>
          <w:color w:val="000000"/>
          <w:szCs w:val="21"/>
          <w:lang w:val="en-US"/>
        </w:rPr>
      </w:pPr>
    </w:p>
    <w:p w14:paraId="34546B76" w14:textId="5DDB69EC" w:rsidR="000326DA" w:rsidRPr="00D61531" w:rsidRDefault="000326DA" w:rsidP="00E4470C">
      <w:pPr>
        <w:numPr>
          <w:ilvl w:val="0"/>
          <w:numId w:val="26"/>
        </w:numPr>
        <w:rPr>
          <w:rFonts w:cs="Arial"/>
          <w:i/>
          <w:color w:val="000000"/>
          <w:szCs w:val="21"/>
          <w:lang w:val="en-US"/>
        </w:rPr>
      </w:pPr>
      <w:r w:rsidRPr="00D61531">
        <w:rPr>
          <w:rFonts w:cs="Arial"/>
          <w:i/>
          <w:color w:val="000000"/>
          <w:szCs w:val="21"/>
          <w:lang w:val="en-US"/>
        </w:rPr>
        <w:t xml:space="preserve">Kamati ya ufundi ya maandalizi </w:t>
      </w:r>
      <w:r w:rsidRPr="00D61531">
        <w:rPr>
          <w:rFonts w:cs="Arial"/>
          <w:color w:val="000000"/>
          <w:szCs w:val="21"/>
          <w:lang w:val="en-US"/>
        </w:rPr>
        <w:t>na ufuatiliaji inawajibika kwa ajili ya utaratibu wa uidhinishaji wa kugawa wakati wa awamu ya maandalizi ya mradi</w:t>
      </w:r>
      <w:r w:rsidR="00D61531" w:rsidRPr="00D61531">
        <w:rPr>
          <w:rFonts w:cs="Arial"/>
          <w:color w:val="000000"/>
          <w:szCs w:val="21"/>
          <w:lang w:val="en-US"/>
        </w:rPr>
        <w:t> ;</w:t>
      </w:r>
    </w:p>
    <w:p w14:paraId="37CE096F" w14:textId="6D36682D" w:rsidR="000326DA" w:rsidRPr="00D61531" w:rsidRDefault="000326DA" w:rsidP="00E4470C">
      <w:pPr>
        <w:numPr>
          <w:ilvl w:val="0"/>
          <w:numId w:val="26"/>
        </w:numPr>
        <w:rPr>
          <w:rFonts w:cs="Arial"/>
          <w:color w:val="000000"/>
          <w:szCs w:val="21"/>
          <w:lang w:val="en-US"/>
        </w:rPr>
      </w:pPr>
      <w:r w:rsidRPr="00D61531">
        <w:rPr>
          <w:rFonts w:cs="Arial"/>
          <w:i/>
          <w:color w:val="000000"/>
          <w:szCs w:val="21"/>
          <w:lang w:val="en-US"/>
        </w:rPr>
        <w:t xml:space="preserve">Ya mazingira ya Backup mtaalamu na maendeleo ya kijamii mtaalamu pamoja na mtaalamu VBG </w:t>
      </w:r>
      <w:r w:rsidRPr="00D61531">
        <w:rPr>
          <w:rFonts w:cs="Arial"/>
          <w:color w:val="000000"/>
          <w:szCs w:val="21"/>
          <w:lang w:val="en-US"/>
        </w:rPr>
        <w:t xml:space="preserve">katika awamu ya maandalizi </w:t>
      </w:r>
      <w:r w:rsidR="00D61531" w:rsidRPr="00D61531">
        <w:rPr>
          <w:rFonts w:cs="Arial"/>
          <w:color w:val="000000"/>
          <w:szCs w:val="21"/>
          <w:lang w:val="en-US"/>
        </w:rPr>
        <w:t>;</w:t>
      </w:r>
    </w:p>
    <w:p w14:paraId="75FDA392" w14:textId="6CAD4A03" w:rsidR="000326DA" w:rsidRPr="00D61531" w:rsidRDefault="000326DA" w:rsidP="00E4470C">
      <w:pPr>
        <w:numPr>
          <w:ilvl w:val="0"/>
          <w:numId w:val="26"/>
        </w:numPr>
        <w:rPr>
          <w:rFonts w:cs="Arial"/>
          <w:color w:val="000000"/>
          <w:szCs w:val="21"/>
          <w:lang w:val="en-US"/>
        </w:rPr>
      </w:pPr>
      <w:r w:rsidRPr="00D61531">
        <w:rPr>
          <w:rFonts w:cs="Arial"/>
          <w:i/>
          <w:color w:val="000000"/>
          <w:szCs w:val="21"/>
          <w:lang w:val="en-US"/>
        </w:rPr>
        <w:t xml:space="preserve">Meneja wa ufundi wa shughuli ya PNDA stahifu </w:t>
      </w:r>
      <w:r w:rsidRPr="00D61531">
        <w:rPr>
          <w:rFonts w:cs="Arial"/>
          <w:color w:val="000000"/>
          <w:szCs w:val="21"/>
          <w:lang w:val="en-US"/>
        </w:rPr>
        <w:t xml:space="preserve">(meneja wa mradi) </w:t>
      </w:r>
      <w:r w:rsidR="00D61531" w:rsidRPr="00D61531">
        <w:rPr>
          <w:rFonts w:cs="Arial"/>
          <w:color w:val="000000"/>
          <w:szCs w:val="21"/>
          <w:lang w:val="en-US"/>
        </w:rPr>
        <w:t>;</w:t>
      </w:r>
    </w:p>
    <w:p w14:paraId="2A1AF0E8" w14:textId="77777777" w:rsidR="00D61531" w:rsidRPr="00D61531" w:rsidRDefault="000326DA" w:rsidP="002378EA">
      <w:pPr>
        <w:numPr>
          <w:ilvl w:val="0"/>
          <w:numId w:val="26"/>
        </w:numPr>
        <w:rPr>
          <w:rFonts w:cs="Arial"/>
          <w:color w:val="000000"/>
          <w:szCs w:val="21"/>
          <w:lang w:val="en-US"/>
        </w:rPr>
      </w:pPr>
      <w:r w:rsidRPr="00D61531">
        <w:rPr>
          <w:rFonts w:cs="Arial"/>
          <w:i/>
          <w:color w:val="000000"/>
          <w:szCs w:val="21"/>
          <w:lang w:val="en-US"/>
        </w:rPr>
        <w:t>Mtaalamu wa PNDA kuambukizwa (katika awamu ya maandalizi na utekelezaji, kwa mashauriano na wa</w:t>
      </w:r>
      <w:r w:rsidR="00D61531" w:rsidRPr="00D61531">
        <w:rPr>
          <w:rFonts w:cs="Arial"/>
          <w:i/>
          <w:color w:val="000000"/>
          <w:szCs w:val="21"/>
          <w:lang w:val="en-US"/>
        </w:rPr>
        <w:t>taalamu wa mazingira na jamii) ;</w:t>
      </w:r>
    </w:p>
    <w:p w14:paraId="6AA9E30A" w14:textId="5FB16FA4" w:rsidR="000326DA" w:rsidRPr="00D61531" w:rsidRDefault="000326DA" w:rsidP="002378EA">
      <w:pPr>
        <w:numPr>
          <w:ilvl w:val="0"/>
          <w:numId w:val="26"/>
        </w:numPr>
        <w:rPr>
          <w:rFonts w:cs="Arial"/>
          <w:color w:val="000000"/>
          <w:szCs w:val="21"/>
          <w:lang w:val="en-US"/>
        </w:rPr>
      </w:pPr>
      <w:r w:rsidRPr="00D61531">
        <w:rPr>
          <w:rFonts w:cs="Arial"/>
          <w:i/>
          <w:color w:val="000000"/>
          <w:szCs w:val="21"/>
          <w:lang w:val="en-US"/>
        </w:rPr>
        <w:t>Afisa wa fedha wa PNDA katika awam</w:t>
      </w:r>
      <w:r w:rsidR="00D61531">
        <w:rPr>
          <w:rFonts w:cs="Arial"/>
          <w:i/>
          <w:color w:val="000000"/>
          <w:szCs w:val="21"/>
          <w:lang w:val="en-US"/>
        </w:rPr>
        <w:t xml:space="preserve">u ya maandalizi na utekelezaji) </w:t>
      </w:r>
      <w:r w:rsidRPr="00D61531">
        <w:rPr>
          <w:rFonts w:cs="Arial"/>
          <w:color w:val="000000"/>
          <w:szCs w:val="21"/>
          <w:lang w:val="en-US"/>
        </w:rPr>
        <w:t>;</w:t>
      </w:r>
    </w:p>
    <w:p w14:paraId="1C48A3D1" w14:textId="26B5050A" w:rsidR="000326DA" w:rsidRPr="00D61531" w:rsidRDefault="000326DA" w:rsidP="002378EA">
      <w:pPr>
        <w:numPr>
          <w:ilvl w:val="0"/>
          <w:numId w:val="26"/>
        </w:numPr>
        <w:rPr>
          <w:rFonts w:cs="Arial"/>
          <w:color w:val="000000"/>
          <w:szCs w:val="21"/>
          <w:lang w:val="en-US"/>
        </w:rPr>
      </w:pPr>
      <w:r w:rsidRPr="00D61531">
        <w:rPr>
          <w:rFonts w:cs="Arial"/>
          <w:i/>
          <w:color w:val="000000"/>
          <w:szCs w:val="21"/>
          <w:lang w:val="en-US"/>
        </w:rPr>
        <w:t xml:space="preserve">Mtaalamu wa ufuatiliaji na tathmini ya PNDA (katika awamu ya maandalizi na utekelezaji): </w:t>
      </w:r>
      <w:r w:rsidRPr="00D61531">
        <w:rPr>
          <w:rFonts w:cs="Arial"/>
          <w:color w:val="000000"/>
          <w:szCs w:val="21"/>
          <w:lang w:val="en-US"/>
        </w:rPr>
        <w:t>anashiriki katika ufuatiliaji wa ndani wa utekelezaji wa hatua za mazingira na kijamii ikiwa ni pamoja n</w:t>
      </w:r>
      <w:r w:rsidR="00D61531">
        <w:rPr>
          <w:rFonts w:cs="Arial"/>
          <w:color w:val="000000"/>
          <w:szCs w:val="21"/>
          <w:lang w:val="en-US"/>
        </w:rPr>
        <w:t xml:space="preserve">a wale wa VBG na wenye tamaa-19 </w:t>
      </w:r>
      <w:r w:rsidRPr="00D61531">
        <w:rPr>
          <w:rFonts w:cs="Arial"/>
          <w:color w:val="000000"/>
          <w:szCs w:val="21"/>
          <w:lang w:val="en-US"/>
        </w:rPr>
        <w:t>;</w:t>
      </w:r>
    </w:p>
    <w:p w14:paraId="7872E7D7" w14:textId="3051B688" w:rsidR="000326DA" w:rsidRPr="00D61531" w:rsidRDefault="000326DA" w:rsidP="002378EA">
      <w:pPr>
        <w:numPr>
          <w:ilvl w:val="0"/>
          <w:numId w:val="26"/>
        </w:numPr>
        <w:rPr>
          <w:rFonts w:cs="Arial"/>
          <w:i/>
          <w:color w:val="000000"/>
          <w:szCs w:val="21"/>
          <w:lang w:val="en-US"/>
        </w:rPr>
      </w:pPr>
      <w:r w:rsidRPr="00D61531">
        <w:rPr>
          <w:rFonts w:cs="Arial"/>
          <w:i/>
          <w:color w:val="000000"/>
          <w:szCs w:val="21"/>
          <w:lang w:val="en-US"/>
        </w:rPr>
        <w:t>Wizara za majimbo katika malipo ya mazingira na jinsia</w:t>
      </w:r>
      <w:r w:rsidR="00D61531">
        <w:rPr>
          <w:rFonts w:cs="Arial"/>
          <w:i/>
          <w:color w:val="000000"/>
          <w:szCs w:val="21"/>
          <w:lang w:val="en-US"/>
        </w:rPr>
        <w:t xml:space="preserve"> ;</w:t>
      </w:r>
    </w:p>
    <w:p w14:paraId="03F31341" w14:textId="5DC59350" w:rsidR="000326DA" w:rsidRPr="00E4105B" w:rsidRDefault="000326DA" w:rsidP="002378EA">
      <w:pPr>
        <w:numPr>
          <w:ilvl w:val="0"/>
          <w:numId w:val="26"/>
        </w:numPr>
        <w:rPr>
          <w:rFonts w:cs="Arial"/>
          <w:i/>
          <w:color w:val="000000"/>
          <w:szCs w:val="21"/>
        </w:rPr>
      </w:pPr>
      <w:r w:rsidRPr="00E4105B">
        <w:rPr>
          <w:rFonts w:cs="Arial"/>
          <w:i/>
          <w:color w:val="000000"/>
          <w:szCs w:val="21"/>
        </w:rPr>
        <w:t>Shirika la mazingira ya Kongo</w:t>
      </w:r>
      <w:r w:rsidR="00D61531">
        <w:rPr>
          <w:rFonts w:cs="Arial"/>
          <w:i/>
          <w:color w:val="000000"/>
          <w:szCs w:val="21"/>
        </w:rPr>
        <w:t> ;</w:t>
      </w:r>
    </w:p>
    <w:p w14:paraId="4364DE51" w14:textId="4FBC1779" w:rsidR="000326DA" w:rsidRPr="00E4105B" w:rsidRDefault="000326DA" w:rsidP="002378EA">
      <w:pPr>
        <w:numPr>
          <w:ilvl w:val="0"/>
          <w:numId w:val="26"/>
        </w:numPr>
        <w:rPr>
          <w:rFonts w:cs="Arial"/>
          <w:i/>
          <w:color w:val="000000"/>
          <w:szCs w:val="21"/>
        </w:rPr>
      </w:pPr>
      <w:r w:rsidRPr="00E4105B">
        <w:rPr>
          <w:rFonts w:cs="Arial"/>
          <w:i/>
          <w:color w:val="000000"/>
          <w:szCs w:val="21"/>
        </w:rPr>
        <w:t>Wizara ya Afya</w:t>
      </w:r>
      <w:r w:rsidR="00D61531">
        <w:rPr>
          <w:rFonts w:cs="Arial"/>
          <w:i/>
          <w:color w:val="000000"/>
          <w:szCs w:val="21"/>
        </w:rPr>
        <w:t> ;</w:t>
      </w:r>
    </w:p>
    <w:p w14:paraId="79B9F87F" w14:textId="77777777" w:rsidR="000326DA" w:rsidRPr="00D61531" w:rsidRDefault="000326DA" w:rsidP="002378EA">
      <w:pPr>
        <w:numPr>
          <w:ilvl w:val="0"/>
          <w:numId w:val="26"/>
        </w:numPr>
        <w:rPr>
          <w:rFonts w:cs="Arial"/>
          <w:i/>
          <w:color w:val="000000"/>
          <w:szCs w:val="21"/>
          <w:lang w:val="en-US"/>
        </w:rPr>
      </w:pPr>
      <w:r w:rsidRPr="00D61531">
        <w:rPr>
          <w:rFonts w:cs="Arial"/>
          <w:i/>
          <w:color w:val="000000"/>
          <w:szCs w:val="21"/>
          <w:lang w:val="en-US"/>
        </w:rPr>
        <w:t>Taasisi ya Fedha ya Kati</w:t>
      </w:r>
    </w:p>
    <w:p w14:paraId="1DB23F3C" w14:textId="45E4911E" w:rsidR="000326DA" w:rsidRPr="00D61531" w:rsidRDefault="000326DA" w:rsidP="000326DA">
      <w:pPr>
        <w:ind w:left="720"/>
        <w:rPr>
          <w:rFonts w:cs="Arial"/>
          <w:color w:val="000000"/>
          <w:szCs w:val="21"/>
          <w:lang w:val="en-US"/>
        </w:rPr>
      </w:pPr>
      <w:r w:rsidRPr="00D61531">
        <w:rPr>
          <w:rFonts w:cs="Arial"/>
          <w:color w:val="000000"/>
          <w:szCs w:val="21"/>
          <w:lang w:val="en-US"/>
        </w:rPr>
        <w:t>Taa</w:t>
      </w:r>
      <w:r w:rsidR="00D61531" w:rsidRPr="00D61531">
        <w:rPr>
          <w:rFonts w:cs="Arial"/>
          <w:color w:val="000000"/>
          <w:szCs w:val="21"/>
          <w:lang w:val="en-US"/>
        </w:rPr>
        <w:t xml:space="preserve">sisi chache za kati za kifedha </w:t>
      </w:r>
      <w:r w:rsidRPr="00D61531">
        <w:rPr>
          <w:rFonts w:cs="Arial"/>
          <w:color w:val="000000"/>
          <w:szCs w:val="21"/>
          <w:lang w:val="en-US"/>
        </w:rPr>
        <w:t>zinazofanya kazi katika mikoa iliyoathiriwa na Mpango huo zitaingilia kati wakati wa utekelezaji wa Mpango huo. Hizi ni BCC, Equity Bank BCDC, RawBank Sarl, Central Cooperative of North Kivu (COOCENKI), North Kivu Dealers Cooperative (CCNK), Ushirika wa Wakulima wa Kibirizi, (COOCUKI), Ushirika wa Wazalishaji wa Kilimo kwa Maendeleo ya Rutshuru (COOPADERU), nk.</w:t>
      </w:r>
      <w:r w:rsidR="00D61531" w:rsidRPr="00D61531">
        <w:rPr>
          <w:rFonts w:cs="Arial"/>
          <w:color w:val="000000"/>
          <w:szCs w:val="21"/>
          <w:lang w:val="en-US"/>
        </w:rPr>
        <w:t> ;</w:t>
      </w:r>
    </w:p>
    <w:p w14:paraId="16F9B8FB" w14:textId="77777777" w:rsidR="000326DA" w:rsidRPr="00E4105B" w:rsidRDefault="000326DA" w:rsidP="002378EA">
      <w:pPr>
        <w:numPr>
          <w:ilvl w:val="0"/>
          <w:numId w:val="26"/>
        </w:numPr>
        <w:rPr>
          <w:rFonts w:cs="Arial"/>
          <w:i/>
          <w:color w:val="000000"/>
          <w:szCs w:val="21"/>
        </w:rPr>
      </w:pPr>
      <w:r w:rsidRPr="00E4105B">
        <w:rPr>
          <w:rFonts w:cs="Arial"/>
          <w:i/>
          <w:color w:val="000000"/>
          <w:szCs w:val="21"/>
        </w:rPr>
        <w:t xml:space="preserve">Kwilu mikoa mazingira Coordinations, Kasai, Kasai-Central </w:t>
      </w:r>
    </w:p>
    <w:p w14:paraId="6356679B" w14:textId="2CC6C81E" w:rsidR="000326DA" w:rsidRPr="00E4105B" w:rsidRDefault="000326DA" w:rsidP="002378EA">
      <w:pPr>
        <w:numPr>
          <w:ilvl w:val="0"/>
          <w:numId w:val="26"/>
        </w:numPr>
        <w:rPr>
          <w:rFonts w:cs="Arial"/>
          <w:i/>
          <w:color w:val="000000"/>
          <w:szCs w:val="21"/>
        </w:rPr>
      </w:pPr>
      <w:r w:rsidRPr="00E4105B">
        <w:rPr>
          <w:rFonts w:cs="Arial"/>
          <w:i/>
          <w:color w:val="000000"/>
          <w:szCs w:val="21"/>
        </w:rPr>
        <w:t>Makampuni ya kuambukizwa</w:t>
      </w:r>
      <w:r w:rsidR="00D61531">
        <w:rPr>
          <w:rFonts w:cs="Arial"/>
          <w:i/>
          <w:color w:val="000000"/>
          <w:szCs w:val="21"/>
        </w:rPr>
        <w:t> ;</w:t>
      </w:r>
    </w:p>
    <w:p w14:paraId="531DD836" w14:textId="60F7F4F9" w:rsidR="000326DA" w:rsidRPr="00D61531" w:rsidRDefault="000326DA" w:rsidP="002378EA">
      <w:pPr>
        <w:numPr>
          <w:ilvl w:val="0"/>
          <w:numId w:val="26"/>
        </w:numPr>
        <w:rPr>
          <w:rFonts w:cs="Arial"/>
          <w:i/>
          <w:color w:val="000000"/>
          <w:szCs w:val="21"/>
          <w:lang w:val="en-US"/>
        </w:rPr>
      </w:pPr>
      <w:r w:rsidRPr="00D61531">
        <w:rPr>
          <w:rFonts w:cs="Arial"/>
          <w:i/>
          <w:color w:val="000000"/>
          <w:szCs w:val="21"/>
          <w:lang w:val="en-US"/>
        </w:rPr>
        <w:t xml:space="preserve">Mashirika ya utekelezaji wa ndani </w:t>
      </w:r>
      <w:r w:rsidR="00D61531">
        <w:rPr>
          <w:rFonts w:cs="Arial"/>
          <w:i/>
          <w:color w:val="000000"/>
          <w:szCs w:val="21"/>
          <w:lang w:val="en-US"/>
        </w:rPr>
        <w:t>;</w:t>
      </w:r>
    </w:p>
    <w:p w14:paraId="77D33894" w14:textId="009B426F" w:rsidR="000326DA" w:rsidRPr="00E4105B" w:rsidRDefault="000326DA" w:rsidP="002378EA">
      <w:pPr>
        <w:numPr>
          <w:ilvl w:val="0"/>
          <w:numId w:val="26"/>
        </w:numPr>
        <w:rPr>
          <w:rFonts w:cs="Arial"/>
          <w:i/>
          <w:color w:val="000000"/>
          <w:szCs w:val="21"/>
        </w:rPr>
      </w:pPr>
      <w:r w:rsidRPr="00E4105B">
        <w:rPr>
          <w:rFonts w:cs="Arial"/>
          <w:i/>
          <w:color w:val="000000"/>
          <w:szCs w:val="21"/>
        </w:rPr>
        <w:t>Ofisi ya mafunzo na kudhibiti</w:t>
      </w:r>
      <w:r w:rsidR="005750CB">
        <w:rPr>
          <w:rFonts w:cs="Arial"/>
          <w:i/>
          <w:color w:val="000000"/>
          <w:szCs w:val="21"/>
        </w:rPr>
        <w:t> ;</w:t>
      </w:r>
    </w:p>
    <w:p w14:paraId="5DA561CA" w14:textId="5F505BDD" w:rsidR="000326DA" w:rsidRPr="00E4105B" w:rsidRDefault="000326DA" w:rsidP="002378EA">
      <w:pPr>
        <w:numPr>
          <w:ilvl w:val="0"/>
          <w:numId w:val="26"/>
        </w:numPr>
        <w:rPr>
          <w:rFonts w:cs="Arial"/>
          <w:i/>
          <w:color w:val="000000"/>
          <w:szCs w:val="21"/>
          <w:lang w:val="pl-PL"/>
        </w:rPr>
      </w:pPr>
      <w:r w:rsidRPr="00E4105B">
        <w:rPr>
          <w:rFonts w:cs="Arial"/>
          <w:i/>
          <w:color w:val="000000"/>
          <w:szCs w:val="21"/>
          <w:lang w:val="pl-PL"/>
        </w:rPr>
        <w:t>Watu wa mikoa walengwa na mradi</w:t>
      </w:r>
      <w:r w:rsidR="005750CB">
        <w:rPr>
          <w:rFonts w:cs="Arial"/>
          <w:i/>
          <w:color w:val="000000"/>
          <w:szCs w:val="21"/>
          <w:lang w:val="pl-PL"/>
        </w:rPr>
        <w:t>;</w:t>
      </w:r>
    </w:p>
    <w:p w14:paraId="0B9FD743" w14:textId="28E10853" w:rsidR="000326DA" w:rsidRPr="00E4105B" w:rsidRDefault="000326DA" w:rsidP="002378EA">
      <w:pPr>
        <w:numPr>
          <w:ilvl w:val="0"/>
          <w:numId w:val="26"/>
        </w:numPr>
        <w:rPr>
          <w:rFonts w:cs="Arial"/>
          <w:color w:val="000000"/>
          <w:szCs w:val="21"/>
          <w:lang w:val="pl-PL"/>
        </w:rPr>
      </w:pPr>
      <w:r w:rsidRPr="00E4105B">
        <w:rPr>
          <w:rFonts w:cs="Arial"/>
          <w:i/>
          <w:color w:val="000000"/>
          <w:szCs w:val="21"/>
          <w:lang w:val="pl-PL"/>
        </w:rPr>
        <w:t xml:space="preserve">Mashirika yasiyo ya kiserikali na vyama vya kiraia: </w:t>
      </w:r>
      <w:r w:rsidRPr="00E4105B">
        <w:rPr>
          <w:rFonts w:cs="Arial"/>
          <w:color w:val="000000"/>
          <w:szCs w:val="21"/>
          <w:lang w:val="pl-PL"/>
        </w:rPr>
        <w:t xml:space="preserve">ONG za mitaa wanapambana na VBG na kupambana na mapenzi ID-19, mashirika ya wakulima na mashirika mengine ya mazingira ya jumuiya ya kiraia pia wataweza kushiriki katika kutoa taarifa, kuelimisha na kukuza uelewa wa masuala ya mazingira na kijamii. </w:t>
      </w:r>
    </w:p>
    <w:p w14:paraId="0D52435D" w14:textId="77777777" w:rsidR="000326DA" w:rsidRPr="00E4105B" w:rsidRDefault="000326DA" w:rsidP="000326DA">
      <w:pPr>
        <w:ind w:left="720"/>
        <w:rPr>
          <w:rFonts w:cs="Arial"/>
          <w:color w:val="000000"/>
          <w:szCs w:val="21"/>
          <w:lang w:val="pl-PL"/>
        </w:rPr>
      </w:pPr>
    </w:p>
    <w:p w14:paraId="27EF0966" w14:textId="77777777" w:rsidR="000326DA" w:rsidRPr="00E4105B" w:rsidRDefault="000326DA" w:rsidP="002378EA">
      <w:pPr>
        <w:numPr>
          <w:ilvl w:val="0"/>
          <w:numId w:val="154"/>
        </w:numPr>
        <w:rPr>
          <w:rFonts w:cs="Arial"/>
          <w:i/>
          <w:szCs w:val="21"/>
          <w:lang w:val="pl-PL" w:bidi="fr-FR"/>
        </w:rPr>
      </w:pPr>
      <w:r w:rsidRPr="00E4105B">
        <w:rPr>
          <w:rFonts w:cs="Arial"/>
          <w:i/>
          <w:szCs w:val="21"/>
          <w:lang w:val="pl-PL" w:bidi="fr-FR"/>
        </w:rPr>
        <w:t xml:space="preserve">Inakadiriwa kuwa bajeti ya jumla kwa ajili ya utekelezaji wa hatua za mazingira na kijamii </w:t>
      </w:r>
    </w:p>
    <w:p w14:paraId="184853E4" w14:textId="77777777" w:rsidR="000326DA" w:rsidRPr="00E4105B" w:rsidRDefault="000326DA" w:rsidP="000326DA">
      <w:pPr>
        <w:ind w:left="720"/>
        <w:rPr>
          <w:rFonts w:cs="Arial"/>
          <w:color w:val="000000"/>
          <w:szCs w:val="21"/>
          <w:lang w:val="pl-PL"/>
        </w:rPr>
      </w:pPr>
    </w:p>
    <w:p w14:paraId="29C71065" w14:textId="2AB8BA5A" w:rsidR="000326DA" w:rsidRPr="00E4105B" w:rsidRDefault="000326DA" w:rsidP="000326DA">
      <w:pPr>
        <w:rPr>
          <w:rFonts w:cs="Arial"/>
          <w:color w:val="000000"/>
          <w:szCs w:val="21"/>
          <w:lang w:val="pl-PL"/>
        </w:rPr>
      </w:pPr>
      <w:r w:rsidRPr="00E4105B">
        <w:rPr>
          <w:rFonts w:cs="Arial"/>
          <w:color w:val="000000"/>
          <w:szCs w:val="21"/>
          <w:lang w:val="pl-PL"/>
        </w:rPr>
        <w:t xml:space="preserve">Gharama inakadiriwa ya hatua za mazingira na kijamii ni $ </w:t>
      </w:r>
      <w:r w:rsidR="00202EF2" w:rsidRPr="00E4105B">
        <w:rPr>
          <w:rFonts w:cs="Arial"/>
          <w:color w:val="000000"/>
          <w:szCs w:val="21"/>
          <w:lang w:val="pl-PL"/>
        </w:rPr>
        <w:t>18 675 330</w:t>
      </w:r>
      <w:r w:rsidRPr="00E4105B">
        <w:rPr>
          <w:rFonts w:cs="Arial"/>
          <w:color w:val="000000"/>
          <w:szCs w:val="21"/>
          <w:lang w:val="pl-PL"/>
        </w:rPr>
        <w:t xml:space="preserve"> kusambazwa kama kina katika meza hapa chini.</w:t>
      </w:r>
    </w:p>
    <w:p w14:paraId="129DA423" w14:textId="77777777" w:rsidR="000326DA" w:rsidRPr="00E4105B" w:rsidRDefault="000326DA" w:rsidP="000326DA">
      <w:pPr>
        <w:rPr>
          <w:rFonts w:cs="Arial"/>
          <w:szCs w:val="21"/>
          <w:lang w:val="pl-PL"/>
        </w:rPr>
      </w:pPr>
    </w:p>
    <w:tbl>
      <w:tblPr>
        <w:tblW w:w="1007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4"/>
        <w:gridCol w:w="1039"/>
        <w:gridCol w:w="1700"/>
        <w:gridCol w:w="6"/>
        <w:gridCol w:w="1695"/>
        <w:gridCol w:w="6"/>
      </w:tblGrid>
      <w:tr w:rsidR="000326DA" w:rsidRPr="00E4105B" w14:paraId="0084A46F" w14:textId="77777777" w:rsidTr="000326DA">
        <w:trPr>
          <w:gridAfter w:val="1"/>
          <w:wAfter w:w="6" w:type="dxa"/>
          <w:trHeight w:val="260"/>
        </w:trPr>
        <w:tc>
          <w:tcPr>
            <w:tcW w:w="5624" w:type="dxa"/>
            <w:vAlign w:val="center"/>
          </w:tcPr>
          <w:p w14:paraId="44AE87FD" w14:textId="77777777" w:rsidR="000326DA" w:rsidRPr="00E4105B" w:rsidRDefault="000326DA" w:rsidP="000326DA">
            <w:pPr>
              <w:jc w:val="center"/>
              <w:rPr>
                <w:rFonts w:cs="Arial"/>
                <w:sz w:val="20"/>
                <w:szCs w:val="20"/>
              </w:rPr>
            </w:pPr>
            <w:r w:rsidRPr="00E4105B">
              <w:rPr>
                <w:rFonts w:cs="Arial"/>
                <w:sz w:val="20"/>
                <w:szCs w:val="20"/>
              </w:rPr>
              <w:t>Shughuli</w:t>
            </w:r>
          </w:p>
        </w:tc>
        <w:tc>
          <w:tcPr>
            <w:tcW w:w="1039" w:type="dxa"/>
            <w:vAlign w:val="center"/>
          </w:tcPr>
          <w:p w14:paraId="76A3D45E" w14:textId="77777777" w:rsidR="000326DA" w:rsidRPr="00E4105B" w:rsidRDefault="000326DA" w:rsidP="000326DA">
            <w:pPr>
              <w:jc w:val="center"/>
              <w:rPr>
                <w:rFonts w:cs="Arial"/>
                <w:sz w:val="20"/>
                <w:szCs w:val="20"/>
              </w:rPr>
            </w:pPr>
            <w:r w:rsidRPr="00E4105B">
              <w:rPr>
                <w:rFonts w:cs="Arial"/>
                <w:bCs/>
                <w:sz w:val="20"/>
                <w:szCs w:val="20"/>
              </w:rPr>
              <w:t>Kiasi</w:t>
            </w:r>
          </w:p>
        </w:tc>
        <w:tc>
          <w:tcPr>
            <w:tcW w:w="1700" w:type="dxa"/>
            <w:vAlign w:val="center"/>
          </w:tcPr>
          <w:p w14:paraId="061703BA" w14:textId="77777777" w:rsidR="000326DA" w:rsidRPr="00E4105B" w:rsidRDefault="000326DA" w:rsidP="000326DA">
            <w:pPr>
              <w:jc w:val="center"/>
              <w:rPr>
                <w:rFonts w:cs="Arial"/>
                <w:sz w:val="20"/>
                <w:szCs w:val="20"/>
              </w:rPr>
            </w:pPr>
            <w:r w:rsidRPr="00E4105B">
              <w:rPr>
                <w:rFonts w:cs="Arial"/>
                <w:color w:val="000000"/>
                <w:sz w:val="20"/>
                <w:szCs w:val="20"/>
                <w:lang w:val="en-US"/>
              </w:rPr>
              <w:t xml:space="preserve">Gharama ya kitengo </w:t>
            </w:r>
            <w:r w:rsidRPr="00E4105B">
              <w:rPr>
                <w:rFonts w:cs="Arial"/>
                <w:sz w:val="20"/>
                <w:szCs w:val="20"/>
              </w:rPr>
              <w:t>(USD)</w:t>
            </w:r>
          </w:p>
        </w:tc>
        <w:tc>
          <w:tcPr>
            <w:tcW w:w="1701" w:type="dxa"/>
            <w:gridSpan w:val="2"/>
            <w:vAlign w:val="center"/>
          </w:tcPr>
          <w:p w14:paraId="3BF6A780" w14:textId="77777777" w:rsidR="000326DA" w:rsidRPr="00E4105B" w:rsidRDefault="000326DA" w:rsidP="000326DA">
            <w:pPr>
              <w:jc w:val="center"/>
              <w:rPr>
                <w:rFonts w:cs="Arial"/>
                <w:sz w:val="20"/>
                <w:szCs w:val="20"/>
              </w:rPr>
            </w:pPr>
            <w:r w:rsidRPr="00E4105B">
              <w:rPr>
                <w:rFonts w:cs="Arial"/>
                <w:color w:val="000000"/>
                <w:sz w:val="20"/>
                <w:szCs w:val="20"/>
                <w:lang w:val="en-US"/>
              </w:rPr>
              <w:t xml:space="preserve">Gharama jumla </w:t>
            </w:r>
            <w:r w:rsidRPr="00E4105B">
              <w:rPr>
                <w:rFonts w:cs="Arial"/>
                <w:bCs/>
                <w:sz w:val="20"/>
                <w:szCs w:val="20"/>
                <w:lang w:val="fr-CA"/>
              </w:rPr>
              <w:t>(USD)</w:t>
            </w:r>
          </w:p>
        </w:tc>
      </w:tr>
      <w:tr w:rsidR="000326DA" w:rsidRPr="00E4105B" w14:paraId="56EC7133" w14:textId="77777777" w:rsidTr="000326DA">
        <w:trPr>
          <w:gridAfter w:val="1"/>
          <w:wAfter w:w="6" w:type="dxa"/>
          <w:trHeight w:val="276"/>
        </w:trPr>
        <w:tc>
          <w:tcPr>
            <w:tcW w:w="5624" w:type="dxa"/>
          </w:tcPr>
          <w:p w14:paraId="7BA4DC03" w14:textId="77777777" w:rsidR="000326DA" w:rsidRPr="00E4105B" w:rsidRDefault="000326DA" w:rsidP="000326DA">
            <w:pPr>
              <w:rPr>
                <w:rFonts w:cs="Arial"/>
                <w:sz w:val="20"/>
                <w:szCs w:val="20"/>
              </w:rPr>
            </w:pPr>
            <w:r w:rsidRPr="00E4105B">
              <w:rPr>
                <w:rFonts w:cs="Arial"/>
                <w:sz w:val="20"/>
                <w:szCs w:val="20"/>
              </w:rPr>
              <w:t xml:space="preserve">Utekelezaji na utekelezaji wa EIES/PGES   </w:t>
            </w:r>
          </w:p>
        </w:tc>
        <w:tc>
          <w:tcPr>
            <w:tcW w:w="1039" w:type="dxa"/>
            <w:vAlign w:val="center"/>
          </w:tcPr>
          <w:p w14:paraId="7E9946F0" w14:textId="77777777" w:rsidR="000326DA" w:rsidRPr="00E4105B" w:rsidRDefault="000326DA" w:rsidP="000326DA">
            <w:pPr>
              <w:jc w:val="center"/>
              <w:rPr>
                <w:rFonts w:cs="Arial"/>
                <w:color w:val="000000"/>
                <w:sz w:val="20"/>
                <w:szCs w:val="20"/>
              </w:rPr>
            </w:pPr>
            <w:r w:rsidRPr="00E4105B">
              <w:rPr>
                <w:rFonts w:cs="Arial"/>
                <w:color w:val="000000"/>
                <w:sz w:val="20"/>
                <w:szCs w:val="20"/>
              </w:rPr>
              <w:t>30</w:t>
            </w:r>
          </w:p>
        </w:tc>
        <w:tc>
          <w:tcPr>
            <w:tcW w:w="1700" w:type="dxa"/>
          </w:tcPr>
          <w:p w14:paraId="5943677D" w14:textId="77777777" w:rsidR="000326DA" w:rsidRPr="00E4105B" w:rsidRDefault="000326DA" w:rsidP="000326DA">
            <w:pPr>
              <w:jc w:val="right"/>
              <w:rPr>
                <w:rFonts w:cs="Arial"/>
                <w:sz w:val="20"/>
                <w:szCs w:val="20"/>
              </w:rPr>
            </w:pPr>
            <w:r w:rsidRPr="00E4105B">
              <w:rPr>
                <w:rFonts w:cs="Arial"/>
                <w:sz w:val="20"/>
                <w:szCs w:val="20"/>
              </w:rPr>
              <w:t>50 000</w:t>
            </w:r>
          </w:p>
        </w:tc>
        <w:tc>
          <w:tcPr>
            <w:tcW w:w="1701" w:type="dxa"/>
            <w:gridSpan w:val="2"/>
          </w:tcPr>
          <w:p w14:paraId="09E5FB75" w14:textId="77777777" w:rsidR="000326DA" w:rsidRPr="00E4105B" w:rsidRDefault="000326DA" w:rsidP="000326DA">
            <w:pPr>
              <w:jc w:val="right"/>
              <w:rPr>
                <w:rFonts w:cs="Arial"/>
                <w:sz w:val="20"/>
                <w:szCs w:val="20"/>
              </w:rPr>
            </w:pPr>
            <w:r w:rsidRPr="00E4105B">
              <w:rPr>
                <w:rFonts w:cs="Arial"/>
                <w:sz w:val="20"/>
                <w:szCs w:val="20"/>
              </w:rPr>
              <w:t>1 500 000</w:t>
            </w:r>
          </w:p>
        </w:tc>
      </w:tr>
      <w:tr w:rsidR="000326DA" w:rsidRPr="00E4105B" w14:paraId="5F8D049C" w14:textId="77777777" w:rsidTr="000326DA">
        <w:trPr>
          <w:gridAfter w:val="1"/>
          <w:wAfter w:w="6" w:type="dxa"/>
          <w:trHeight w:val="276"/>
        </w:trPr>
        <w:tc>
          <w:tcPr>
            <w:tcW w:w="5624" w:type="dxa"/>
          </w:tcPr>
          <w:p w14:paraId="47BF861F" w14:textId="77777777" w:rsidR="000326DA" w:rsidRPr="00E4105B" w:rsidRDefault="000326DA" w:rsidP="000326DA">
            <w:pPr>
              <w:rPr>
                <w:rFonts w:cs="Arial"/>
                <w:sz w:val="20"/>
                <w:szCs w:val="20"/>
              </w:rPr>
            </w:pPr>
            <w:r w:rsidRPr="00E4105B">
              <w:rPr>
                <w:rFonts w:cs="Arial"/>
                <w:sz w:val="20"/>
                <w:szCs w:val="20"/>
              </w:rPr>
              <w:t>Maendeleo ya mipango ya shughuli za makazi wa PAR</w:t>
            </w:r>
          </w:p>
        </w:tc>
        <w:tc>
          <w:tcPr>
            <w:tcW w:w="1039" w:type="dxa"/>
            <w:vAlign w:val="center"/>
          </w:tcPr>
          <w:p w14:paraId="19892FE0" w14:textId="77777777" w:rsidR="000326DA" w:rsidRPr="00E4105B" w:rsidRDefault="000326DA" w:rsidP="000326DA">
            <w:pPr>
              <w:jc w:val="center"/>
              <w:rPr>
                <w:rFonts w:cs="Arial"/>
                <w:color w:val="000000"/>
                <w:sz w:val="20"/>
                <w:szCs w:val="20"/>
              </w:rPr>
            </w:pPr>
            <w:r w:rsidRPr="00E4105B">
              <w:rPr>
                <w:rFonts w:cs="Arial"/>
                <w:color w:val="000000"/>
                <w:sz w:val="20"/>
                <w:szCs w:val="20"/>
              </w:rPr>
              <w:t>30</w:t>
            </w:r>
          </w:p>
        </w:tc>
        <w:tc>
          <w:tcPr>
            <w:tcW w:w="1700" w:type="dxa"/>
          </w:tcPr>
          <w:p w14:paraId="3EFE6B55" w14:textId="77777777" w:rsidR="000326DA" w:rsidRPr="00E4105B" w:rsidRDefault="000326DA" w:rsidP="000326DA">
            <w:pPr>
              <w:jc w:val="right"/>
              <w:rPr>
                <w:rFonts w:cs="Arial"/>
                <w:sz w:val="20"/>
                <w:szCs w:val="20"/>
              </w:rPr>
            </w:pPr>
            <w:r w:rsidRPr="00E4105B">
              <w:rPr>
                <w:rFonts w:cs="Arial"/>
                <w:sz w:val="20"/>
                <w:szCs w:val="20"/>
              </w:rPr>
              <w:t>50 000</w:t>
            </w:r>
          </w:p>
        </w:tc>
        <w:tc>
          <w:tcPr>
            <w:tcW w:w="1701" w:type="dxa"/>
            <w:gridSpan w:val="2"/>
          </w:tcPr>
          <w:p w14:paraId="4168763E" w14:textId="77777777" w:rsidR="000326DA" w:rsidRPr="00E4105B" w:rsidRDefault="000326DA" w:rsidP="000326DA">
            <w:pPr>
              <w:jc w:val="right"/>
              <w:rPr>
                <w:rFonts w:cs="Arial"/>
                <w:sz w:val="20"/>
                <w:szCs w:val="20"/>
              </w:rPr>
            </w:pPr>
            <w:r w:rsidRPr="00E4105B">
              <w:rPr>
                <w:rFonts w:cs="Arial"/>
                <w:sz w:val="20"/>
                <w:szCs w:val="20"/>
              </w:rPr>
              <w:t>1 800 000</w:t>
            </w:r>
          </w:p>
        </w:tc>
      </w:tr>
      <w:tr w:rsidR="000326DA" w:rsidRPr="00E4105B" w14:paraId="14DB080A" w14:textId="77777777" w:rsidTr="000326DA">
        <w:trPr>
          <w:gridAfter w:val="1"/>
          <w:wAfter w:w="6" w:type="dxa"/>
          <w:trHeight w:val="276"/>
        </w:trPr>
        <w:tc>
          <w:tcPr>
            <w:tcW w:w="5624" w:type="dxa"/>
          </w:tcPr>
          <w:p w14:paraId="3FF6B794" w14:textId="77777777" w:rsidR="000326DA" w:rsidRPr="00E4105B" w:rsidRDefault="000326DA" w:rsidP="000326DA">
            <w:pPr>
              <w:rPr>
                <w:rFonts w:cs="Arial"/>
                <w:sz w:val="20"/>
                <w:szCs w:val="20"/>
                <w:lang w:val="en-US"/>
              </w:rPr>
            </w:pPr>
            <w:r w:rsidRPr="00E4105B">
              <w:rPr>
                <w:rFonts w:cs="Arial"/>
                <w:sz w:val="20"/>
                <w:szCs w:val="20"/>
                <w:lang w:val="en-US"/>
              </w:rPr>
              <w:t>Utekelezaji wa PAR</w:t>
            </w:r>
          </w:p>
        </w:tc>
        <w:tc>
          <w:tcPr>
            <w:tcW w:w="1039" w:type="dxa"/>
            <w:vAlign w:val="center"/>
          </w:tcPr>
          <w:p w14:paraId="76ED799C" w14:textId="77777777" w:rsidR="000326DA" w:rsidRPr="00E4105B" w:rsidRDefault="000326DA" w:rsidP="000326DA">
            <w:pPr>
              <w:jc w:val="center"/>
              <w:rPr>
                <w:rFonts w:cs="Arial"/>
                <w:color w:val="000000"/>
                <w:sz w:val="20"/>
                <w:szCs w:val="20"/>
              </w:rPr>
            </w:pPr>
            <w:r w:rsidRPr="00E4105B">
              <w:rPr>
                <w:rFonts w:cs="Arial"/>
                <w:color w:val="000000"/>
                <w:sz w:val="20"/>
                <w:szCs w:val="20"/>
              </w:rPr>
              <w:t>30</w:t>
            </w:r>
          </w:p>
        </w:tc>
        <w:tc>
          <w:tcPr>
            <w:tcW w:w="1700" w:type="dxa"/>
          </w:tcPr>
          <w:p w14:paraId="0F5F5581" w14:textId="77777777" w:rsidR="000326DA" w:rsidRPr="00E4105B" w:rsidRDefault="000326DA" w:rsidP="000326DA">
            <w:pPr>
              <w:jc w:val="right"/>
              <w:rPr>
                <w:rFonts w:cs="Arial"/>
                <w:sz w:val="20"/>
                <w:szCs w:val="20"/>
              </w:rPr>
            </w:pPr>
            <w:r w:rsidRPr="00E4105B">
              <w:rPr>
                <w:rFonts w:cs="Arial"/>
                <w:sz w:val="20"/>
                <w:szCs w:val="20"/>
              </w:rPr>
              <w:t>40 000</w:t>
            </w:r>
          </w:p>
        </w:tc>
        <w:tc>
          <w:tcPr>
            <w:tcW w:w="1701" w:type="dxa"/>
            <w:gridSpan w:val="2"/>
          </w:tcPr>
          <w:p w14:paraId="575FE4D8" w14:textId="77777777" w:rsidR="000326DA" w:rsidRPr="00E4105B" w:rsidRDefault="000326DA" w:rsidP="000326DA">
            <w:pPr>
              <w:jc w:val="center"/>
              <w:rPr>
                <w:rFonts w:cs="Arial"/>
                <w:sz w:val="20"/>
                <w:szCs w:val="20"/>
              </w:rPr>
            </w:pPr>
            <w:r w:rsidRPr="00E4105B">
              <w:rPr>
                <w:rFonts w:cs="Arial"/>
                <w:sz w:val="20"/>
                <w:szCs w:val="20"/>
              </w:rPr>
              <w:t xml:space="preserve">        1 200 000</w:t>
            </w:r>
          </w:p>
        </w:tc>
      </w:tr>
      <w:tr w:rsidR="000326DA" w:rsidRPr="00E4105B" w14:paraId="571D789F" w14:textId="77777777" w:rsidTr="000326DA">
        <w:trPr>
          <w:gridAfter w:val="1"/>
          <w:wAfter w:w="6" w:type="dxa"/>
          <w:trHeight w:val="276"/>
        </w:trPr>
        <w:tc>
          <w:tcPr>
            <w:tcW w:w="5624" w:type="dxa"/>
          </w:tcPr>
          <w:p w14:paraId="31D02BBE" w14:textId="77777777" w:rsidR="000326DA" w:rsidRPr="00E4105B" w:rsidRDefault="000326DA" w:rsidP="000326DA">
            <w:pPr>
              <w:rPr>
                <w:rFonts w:cs="Arial"/>
                <w:sz w:val="20"/>
                <w:szCs w:val="20"/>
                <w:lang w:val="nb-NO"/>
              </w:rPr>
            </w:pPr>
            <w:r w:rsidRPr="00E4105B">
              <w:rPr>
                <w:rFonts w:cs="Arial"/>
                <w:sz w:val="20"/>
                <w:szCs w:val="20"/>
                <w:lang w:val="nb-NO"/>
              </w:rPr>
              <w:t>Maendeleo na utekelezaji wa PGS</w:t>
            </w:r>
          </w:p>
        </w:tc>
        <w:tc>
          <w:tcPr>
            <w:tcW w:w="1039" w:type="dxa"/>
            <w:vAlign w:val="center"/>
          </w:tcPr>
          <w:p w14:paraId="1A2AF623" w14:textId="77777777" w:rsidR="000326DA" w:rsidRPr="00E4105B" w:rsidRDefault="000326DA" w:rsidP="000326DA">
            <w:pPr>
              <w:jc w:val="center"/>
              <w:rPr>
                <w:rFonts w:cs="Arial"/>
                <w:color w:val="000000"/>
                <w:sz w:val="20"/>
                <w:szCs w:val="20"/>
              </w:rPr>
            </w:pPr>
            <w:r w:rsidRPr="00E4105B">
              <w:rPr>
                <w:rFonts w:cs="Arial"/>
                <w:color w:val="000000"/>
                <w:sz w:val="20"/>
                <w:szCs w:val="20"/>
              </w:rPr>
              <w:t>1</w:t>
            </w:r>
          </w:p>
        </w:tc>
        <w:tc>
          <w:tcPr>
            <w:tcW w:w="1700" w:type="dxa"/>
          </w:tcPr>
          <w:p w14:paraId="7D315595" w14:textId="77777777" w:rsidR="000326DA" w:rsidRPr="00E4105B" w:rsidRDefault="000326DA" w:rsidP="000326DA">
            <w:pPr>
              <w:jc w:val="right"/>
              <w:rPr>
                <w:rFonts w:cs="Arial"/>
                <w:sz w:val="20"/>
                <w:szCs w:val="20"/>
              </w:rPr>
            </w:pPr>
            <w:r w:rsidRPr="00E4105B">
              <w:rPr>
                <w:rFonts w:cs="Arial"/>
                <w:sz w:val="20"/>
                <w:szCs w:val="20"/>
              </w:rPr>
              <w:t>100 000</w:t>
            </w:r>
          </w:p>
        </w:tc>
        <w:tc>
          <w:tcPr>
            <w:tcW w:w="1701" w:type="dxa"/>
            <w:gridSpan w:val="2"/>
          </w:tcPr>
          <w:p w14:paraId="68AD3029" w14:textId="77777777" w:rsidR="000326DA" w:rsidRPr="00E4105B" w:rsidRDefault="000326DA" w:rsidP="000326DA">
            <w:pPr>
              <w:jc w:val="right"/>
              <w:rPr>
                <w:rFonts w:cs="Arial"/>
                <w:sz w:val="20"/>
                <w:szCs w:val="20"/>
              </w:rPr>
            </w:pPr>
            <w:r w:rsidRPr="00E4105B">
              <w:rPr>
                <w:rFonts w:cs="Arial"/>
                <w:sz w:val="20"/>
                <w:szCs w:val="20"/>
              </w:rPr>
              <w:t>100 000</w:t>
            </w:r>
          </w:p>
        </w:tc>
      </w:tr>
      <w:tr w:rsidR="000326DA" w:rsidRPr="00E4105B" w14:paraId="757008B3" w14:textId="77777777" w:rsidTr="000326DA">
        <w:trPr>
          <w:gridAfter w:val="1"/>
          <w:wAfter w:w="6" w:type="dxa"/>
          <w:trHeight w:val="276"/>
        </w:trPr>
        <w:tc>
          <w:tcPr>
            <w:tcW w:w="5624" w:type="dxa"/>
          </w:tcPr>
          <w:p w14:paraId="20A962E6" w14:textId="77777777" w:rsidR="000326DA" w:rsidRPr="00E4105B" w:rsidRDefault="000326DA" w:rsidP="000326DA">
            <w:pPr>
              <w:rPr>
                <w:rFonts w:cs="Arial"/>
                <w:sz w:val="20"/>
                <w:szCs w:val="20"/>
              </w:rPr>
            </w:pPr>
            <w:r w:rsidRPr="00E4105B">
              <w:rPr>
                <w:rFonts w:cs="Arial"/>
                <w:sz w:val="20"/>
                <w:szCs w:val="20"/>
              </w:rPr>
              <w:t>Maendeleo na utekelezaji wa Mpango wa Usimamizi wa Bayoanuai (PGB)</w:t>
            </w:r>
          </w:p>
        </w:tc>
        <w:tc>
          <w:tcPr>
            <w:tcW w:w="1039" w:type="dxa"/>
            <w:vAlign w:val="center"/>
          </w:tcPr>
          <w:p w14:paraId="1D43E40E" w14:textId="77777777" w:rsidR="000326DA" w:rsidRPr="00E4105B" w:rsidRDefault="000326DA" w:rsidP="000326DA">
            <w:pPr>
              <w:jc w:val="center"/>
              <w:rPr>
                <w:rFonts w:cs="Arial"/>
                <w:color w:val="000000"/>
                <w:sz w:val="20"/>
                <w:szCs w:val="20"/>
              </w:rPr>
            </w:pPr>
            <w:r w:rsidRPr="00E4105B">
              <w:rPr>
                <w:rFonts w:cs="Arial"/>
                <w:color w:val="000000"/>
                <w:sz w:val="20"/>
                <w:szCs w:val="20"/>
              </w:rPr>
              <w:t>1</w:t>
            </w:r>
          </w:p>
        </w:tc>
        <w:tc>
          <w:tcPr>
            <w:tcW w:w="1700" w:type="dxa"/>
          </w:tcPr>
          <w:p w14:paraId="5090A009" w14:textId="77777777" w:rsidR="000326DA" w:rsidRPr="00E4105B" w:rsidRDefault="000326DA" w:rsidP="000326DA">
            <w:pPr>
              <w:jc w:val="right"/>
              <w:rPr>
                <w:rFonts w:cs="Arial"/>
                <w:sz w:val="20"/>
                <w:szCs w:val="20"/>
              </w:rPr>
            </w:pPr>
            <w:r w:rsidRPr="00E4105B">
              <w:rPr>
                <w:rFonts w:cs="Arial"/>
                <w:sz w:val="20"/>
                <w:szCs w:val="20"/>
              </w:rPr>
              <w:t>300 000</w:t>
            </w:r>
          </w:p>
        </w:tc>
        <w:tc>
          <w:tcPr>
            <w:tcW w:w="1701" w:type="dxa"/>
            <w:gridSpan w:val="2"/>
          </w:tcPr>
          <w:p w14:paraId="575866E3" w14:textId="77777777" w:rsidR="000326DA" w:rsidRPr="00E4105B" w:rsidRDefault="000326DA" w:rsidP="000326DA">
            <w:pPr>
              <w:jc w:val="center"/>
              <w:rPr>
                <w:rFonts w:cs="Arial"/>
                <w:sz w:val="20"/>
                <w:szCs w:val="20"/>
              </w:rPr>
            </w:pPr>
            <w:r w:rsidRPr="00E4105B">
              <w:rPr>
                <w:rFonts w:cs="Arial"/>
                <w:sz w:val="20"/>
                <w:szCs w:val="20"/>
              </w:rPr>
              <w:t xml:space="preserve">           300 000</w:t>
            </w:r>
          </w:p>
        </w:tc>
      </w:tr>
      <w:tr w:rsidR="000326DA" w:rsidRPr="00E4105B" w14:paraId="65385EF5" w14:textId="77777777" w:rsidTr="000326DA">
        <w:trPr>
          <w:gridAfter w:val="1"/>
          <w:wAfter w:w="6" w:type="dxa"/>
          <w:trHeight w:val="276"/>
        </w:trPr>
        <w:tc>
          <w:tcPr>
            <w:tcW w:w="5624" w:type="dxa"/>
          </w:tcPr>
          <w:p w14:paraId="660AACFE" w14:textId="5C05844D" w:rsidR="000326DA" w:rsidRPr="00E4105B" w:rsidRDefault="000326DA" w:rsidP="000326DA">
            <w:pPr>
              <w:rPr>
                <w:rFonts w:cs="Arial"/>
                <w:bCs/>
                <w:sz w:val="20"/>
                <w:szCs w:val="20"/>
                <w:lang w:val="pl-PL"/>
              </w:rPr>
            </w:pPr>
            <w:r w:rsidRPr="00E4105B">
              <w:rPr>
                <w:rFonts w:cs="Arial"/>
                <w:sz w:val="20"/>
                <w:szCs w:val="20"/>
                <w:lang w:val="pl-PL"/>
              </w:rPr>
              <w:t>Utekelezaji wa PMPP, ikiwa ni pamoja na MGP ya kimataifa na MGP nyeti ya VBG</w:t>
            </w:r>
            <w:r w:rsidR="0080404C" w:rsidRPr="00E4105B">
              <w:rPr>
                <w:rFonts w:cs="Arial"/>
                <w:sz w:val="20"/>
                <w:szCs w:val="20"/>
                <w:lang w:val="pl-PL"/>
              </w:rPr>
              <w:t xml:space="preserve"> (annexe 15)</w:t>
            </w:r>
          </w:p>
        </w:tc>
        <w:tc>
          <w:tcPr>
            <w:tcW w:w="1039" w:type="dxa"/>
            <w:vAlign w:val="center"/>
          </w:tcPr>
          <w:p w14:paraId="429B70C1" w14:textId="77777777" w:rsidR="000326DA" w:rsidRPr="00E4105B" w:rsidRDefault="000326DA" w:rsidP="000326DA">
            <w:pPr>
              <w:jc w:val="center"/>
              <w:rPr>
                <w:rFonts w:cs="Arial"/>
                <w:color w:val="000000"/>
                <w:sz w:val="20"/>
                <w:szCs w:val="20"/>
              </w:rPr>
            </w:pPr>
            <w:r w:rsidRPr="00E4105B">
              <w:rPr>
                <w:rFonts w:cs="Arial"/>
                <w:color w:val="000000"/>
                <w:sz w:val="20"/>
                <w:szCs w:val="20"/>
              </w:rPr>
              <w:t>1</w:t>
            </w:r>
          </w:p>
        </w:tc>
        <w:tc>
          <w:tcPr>
            <w:tcW w:w="1700" w:type="dxa"/>
          </w:tcPr>
          <w:p w14:paraId="604165D7" w14:textId="77777777" w:rsidR="000326DA" w:rsidRPr="00E4105B" w:rsidRDefault="000326DA" w:rsidP="000326DA">
            <w:pPr>
              <w:jc w:val="right"/>
              <w:rPr>
                <w:rFonts w:cs="Arial"/>
                <w:sz w:val="20"/>
                <w:szCs w:val="20"/>
              </w:rPr>
            </w:pPr>
            <w:r w:rsidRPr="00E4105B">
              <w:rPr>
                <w:rFonts w:cs="Arial"/>
                <w:sz w:val="20"/>
                <w:szCs w:val="20"/>
              </w:rPr>
              <w:t>2 323 000</w:t>
            </w:r>
          </w:p>
        </w:tc>
        <w:tc>
          <w:tcPr>
            <w:tcW w:w="1701" w:type="dxa"/>
            <w:gridSpan w:val="2"/>
          </w:tcPr>
          <w:p w14:paraId="47ECDF1E" w14:textId="77777777" w:rsidR="000326DA" w:rsidRPr="00E4105B" w:rsidRDefault="000326DA" w:rsidP="000326DA">
            <w:pPr>
              <w:jc w:val="center"/>
              <w:rPr>
                <w:rFonts w:cs="Arial"/>
                <w:sz w:val="20"/>
                <w:szCs w:val="20"/>
              </w:rPr>
            </w:pPr>
            <w:r w:rsidRPr="00E4105B">
              <w:rPr>
                <w:rFonts w:cs="Arial"/>
                <w:sz w:val="20"/>
                <w:szCs w:val="20"/>
              </w:rPr>
              <w:t xml:space="preserve">        2 323 000</w:t>
            </w:r>
          </w:p>
        </w:tc>
      </w:tr>
      <w:tr w:rsidR="000326DA" w:rsidRPr="00E4105B" w14:paraId="768AEBF4" w14:textId="77777777" w:rsidTr="000326DA">
        <w:trPr>
          <w:gridAfter w:val="1"/>
          <w:wAfter w:w="6" w:type="dxa"/>
          <w:trHeight w:val="260"/>
        </w:trPr>
        <w:tc>
          <w:tcPr>
            <w:tcW w:w="5624" w:type="dxa"/>
          </w:tcPr>
          <w:p w14:paraId="3E9FCDC5" w14:textId="77777777" w:rsidR="000326DA" w:rsidRPr="00E4105B" w:rsidRDefault="000326DA" w:rsidP="000326DA">
            <w:pPr>
              <w:rPr>
                <w:rFonts w:cs="Arial"/>
                <w:sz w:val="20"/>
                <w:szCs w:val="20"/>
              </w:rPr>
            </w:pPr>
            <w:r w:rsidRPr="00E4105B">
              <w:rPr>
                <w:rFonts w:cs="Arial"/>
                <w:sz w:val="20"/>
                <w:szCs w:val="20"/>
              </w:rPr>
              <w:t>Msaada kwa ajili ya uhifadhi na marejesho ya Quarries/mkopo Cottages</w:t>
            </w:r>
          </w:p>
        </w:tc>
        <w:tc>
          <w:tcPr>
            <w:tcW w:w="1039" w:type="dxa"/>
            <w:vAlign w:val="center"/>
          </w:tcPr>
          <w:p w14:paraId="13A5E692" w14:textId="77777777" w:rsidR="000326DA" w:rsidRPr="00E4105B" w:rsidRDefault="000326DA" w:rsidP="000326DA">
            <w:pPr>
              <w:jc w:val="center"/>
              <w:rPr>
                <w:rFonts w:cs="Arial"/>
                <w:color w:val="000000"/>
                <w:sz w:val="20"/>
                <w:szCs w:val="20"/>
              </w:rPr>
            </w:pPr>
            <w:r w:rsidRPr="00E4105B">
              <w:rPr>
                <w:rFonts w:cs="Arial"/>
                <w:color w:val="000000"/>
                <w:sz w:val="20"/>
                <w:szCs w:val="20"/>
              </w:rPr>
              <w:t>5</w:t>
            </w:r>
          </w:p>
        </w:tc>
        <w:tc>
          <w:tcPr>
            <w:tcW w:w="1700" w:type="dxa"/>
          </w:tcPr>
          <w:p w14:paraId="5E8B2702" w14:textId="77777777" w:rsidR="000326DA" w:rsidRPr="00E4105B" w:rsidRDefault="000326DA" w:rsidP="000326DA">
            <w:pPr>
              <w:jc w:val="right"/>
              <w:rPr>
                <w:rFonts w:cs="Arial"/>
                <w:sz w:val="20"/>
                <w:szCs w:val="20"/>
              </w:rPr>
            </w:pPr>
            <w:r w:rsidRPr="00E4105B">
              <w:rPr>
                <w:rFonts w:cs="Arial"/>
                <w:sz w:val="20"/>
                <w:szCs w:val="20"/>
              </w:rPr>
              <w:t>50 000</w:t>
            </w:r>
          </w:p>
        </w:tc>
        <w:tc>
          <w:tcPr>
            <w:tcW w:w="1701" w:type="dxa"/>
            <w:gridSpan w:val="2"/>
          </w:tcPr>
          <w:p w14:paraId="1B646BDE" w14:textId="77777777" w:rsidR="000326DA" w:rsidRPr="00E4105B" w:rsidRDefault="000326DA" w:rsidP="000326DA">
            <w:pPr>
              <w:jc w:val="right"/>
              <w:rPr>
                <w:rFonts w:cs="Arial"/>
                <w:sz w:val="20"/>
                <w:szCs w:val="20"/>
              </w:rPr>
            </w:pPr>
            <w:r w:rsidRPr="00E4105B">
              <w:rPr>
                <w:rFonts w:cs="Arial"/>
                <w:sz w:val="20"/>
                <w:szCs w:val="20"/>
              </w:rPr>
              <w:t>250 000 </w:t>
            </w:r>
          </w:p>
        </w:tc>
      </w:tr>
      <w:tr w:rsidR="000326DA" w:rsidRPr="00E4105B" w14:paraId="08AD45A0" w14:textId="77777777" w:rsidTr="000326DA">
        <w:trPr>
          <w:gridAfter w:val="1"/>
          <w:wAfter w:w="6" w:type="dxa"/>
          <w:trHeight w:val="260"/>
        </w:trPr>
        <w:tc>
          <w:tcPr>
            <w:tcW w:w="5624" w:type="dxa"/>
          </w:tcPr>
          <w:p w14:paraId="4A8AD458" w14:textId="77777777" w:rsidR="000326DA" w:rsidRPr="00E4105B" w:rsidRDefault="000326DA" w:rsidP="000326DA">
            <w:pPr>
              <w:rPr>
                <w:rFonts w:cs="Arial"/>
                <w:sz w:val="20"/>
                <w:szCs w:val="20"/>
                <w:lang w:val="pl-PL"/>
              </w:rPr>
            </w:pPr>
            <w:r w:rsidRPr="00E4105B">
              <w:rPr>
                <w:rFonts w:cs="Arial"/>
                <w:sz w:val="20"/>
                <w:szCs w:val="20"/>
                <w:lang w:val="pl-PL"/>
              </w:rPr>
              <w:t xml:space="preserve">Endaomenti ya pembejeo za kilimo </w:t>
            </w:r>
          </w:p>
        </w:tc>
        <w:tc>
          <w:tcPr>
            <w:tcW w:w="1039" w:type="dxa"/>
            <w:vAlign w:val="center"/>
          </w:tcPr>
          <w:p w14:paraId="4B01129A" w14:textId="77777777" w:rsidR="000326DA" w:rsidRPr="00E4105B" w:rsidRDefault="000326DA" w:rsidP="000326DA">
            <w:pPr>
              <w:jc w:val="center"/>
              <w:rPr>
                <w:rFonts w:cs="Arial"/>
                <w:color w:val="000000"/>
                <w:sz w:val="20"/>
                <w:szCs w:val="20"/>
              </w:rPr>
            </w:pPr>
            <w:r w:rsidRPr="00E4105B">
              <w:rPr>
                <w:rFonts w:cs="Arial"/>
                <w:color w:val="000000"/>
                <w:sz w:val="20"/>
                <w:szCs w:val="20"/>
              </w:rPr>
              <w:t>-</w:t>
            </w:r>
          </w:p>
        </w:tc>
        <w:tc>
          <w:tcPr>
            <w:tcW w:w="1700" w:type="dxa"/>
          </w:tcPr>
          <w:p w14:paraId="03338799" w14:textId="77777777" w:rsidR="000326DA" w:rsidRPr="00E4105B" w:rsidRDefault="000326DA" w:rsidP="000326DA">
            <w:pPr>
              <w:jc w:val="right"/>
              <w:rPr>
                <w:rFonts w:cs="Arial"/>
                <w:sz w:val="20"/>
                <w:szCs w:val="20"/>
              </w:rPr>
            </w:pPr>
            <w:r w:rsidRPr="00E4105B">
              <w:rPr>
                <w:rFonts w:cs="Arial"/>
                <w:sz w:val="20"/>
                <w:szCs w:val="20"/>
              </w:rPr>
              <w:t>PM</w:t>
            </w:r>
          </w:p>
        </w:tc>
        <w:tc>
          <w:tcPr>
            <w:tcW w:w="1701" w:type="dxa"/>
            <w:gridSpan w:val="2"/>
          </w:tcPr>
          <w:p w14:paraId="6AE5B067" w14:textId="77777777" w:rsidR="000326DA" w:rsidRPr="00E4105B" w:rsidRDefault="000326DA" w:rsidP="000326DA">
            <w:pPr>
              <w:jc w:val="right"/>
              <w:rPr>
                <w:rFonts w:cs="Arial"/>
                <w:sz w:val="20"/>
                <w:szCs w:val="20"/>
              </w:rPr>
            </w:pPr>
            <w:r w:rsidRPr="00E4105B">
              <w:rPr>
                <w:rFonts w:cs="Arial"/>
                <w:sz w:val="20"/>
                <w:szCs w:val="20"/>
              </w:rPr>
              <w:t xml:space="preserve">PM </w:t>
            </w:r>
          </w:p>
        </w:tc>
      </w:tr>
      <w:tr w:rsidR="000326DA" w:rsidRPr="00E4105B" w14:paraId="489B8040" w14:textId="77777777" w:rsidTr="000326DA">
        <w:trPr>
          <w:gridAfter w:val="1"/>
          <w:wAfter w:w="6" w:type="dxa"/>
          <w:trHeight w:val="260"/>
        </w:trPr>
        <w:tc>
          <w:tcPr>
            <w:tcW w:w="5624" w:type="dxa"/>
          </w:tcPr>
          <w:p w14:paraId="7A54CC62" w14:textId="77777777" w:rsidR="000326DA" w:rsidRPr="00E4105B" w:rsidRDefault="000326DA" w:rsidP="000326DA">
            <w:pPr>
              <w:rPr>
                <w:rFonts w:cs="Arial"/>
                <w:sz w:val="20"/>
                <w:szCs w:val="20"/>
                <w:lang w:val="pl-PL"/>
              </w:rPr>
            </w:pPr>
            <w:r w:rsidRPr="00E4105B">
              <w:rPr>
                <w:rFonts w:cs="Arial"/>
                <w:sz w:val="20"/>
                <w:szCs w:val="20"/>
                <w:lang w:val="pl-PL"/>
              </w:rPr>
              <w:t>Endaumenti ya mbegu za kilimo</w:t>
            </w:r>
          </w:p>
        </w:tc>
        <w:tc>
          <w:tcPr>
            <w:tcW w:w="1039" w:type="dxa"/>
            <w:vAlign w:val="center"/>
          </w:tcPr>
          <w:p w14:paraId="2231D3D3" w14:textId="77777777" w:rsidR="000326DA" w:rsidRPr="00E4105B" w:rsidRDefault="000326DA" w:rsidP="000326DA">
            <w:pPr>
              <w:jc w:val="center"/>
              <w:rPr>
                <w:rFonts w:cs="Arial"/>
                <w:color w:val="000000"/>
                <w:sz w:val="20"/>
                <w:szCs w:val="20"/>
                <w:lang w:val="en-US"/>
              </w:rPr>
            </w:pPr>
            <w:r w:rsidRPr="00E4105B">
              <w:rPr>
                <w:rFonts w:cs="Arial"/>
                <w:color w:val="000000"/>
                <w:sz w:val="20"/>
                <w:szCs w:val="20"/>
                <w:lang w:val="en-US"/>
              </w:rPr>
              <w:t> </w:t>
            </w:r>
          </w:p>
        </w:tc>
        <w:tc>
          <w:tcPr>
            <w:tcW w:w="1700" w:type="dxa"/>
          </w:tcPr>
          <w:p w14:paraId="6C9801D1" w14:textId="77777777" w:rsidR="000326DA" w:rsidRPr="00E4105B" w:rsidRDefault="000326DA" w:rsidP="000326DA">
            <w:pPr>
              <w:jc w:val="right"/>
              <w:rPr>
                <w:rFonts w:cs="Arial"/>
                <w:sz w:val="20"/>
                <w:szCs w:val="20"/>
              </w:rPr>
            </w:pPr>
            <w:r w:rsidRPr="00E4105B">
              <w:rPr>
                <w:rFonts w:cs="Arial"/>
                <w:sz w:val="20"/>
                <w:szCs w:val="20"/>
              </w:rPr>
              <w:t>PM</w:t>
            </w:r>
          </w:p>
        </w:tc>
        <w:tc>
          <w:tcPr>
            <w:tcW w:w="1701" w:type="dxa"/>
            <w:gridSpan w:val="2"/>
          </w:tcPr>
          <w:p w14:paraId="1E8AA9A9" w14:textId="77777777" w:rsidR="000326DA" w:rsidRPr="00E4105B" w:rsidRDefault="000326DA" w:rsidP="000326DA">
            <w:pPr>
              <w:jc w:val="right"/>
              <w:rPr>
                <w:rFonts w:cs="Arial"/>
                <w:sz w:val="20"/>
                <w:szCs w:val="20"/>
              </w:rPr>
            </w:pPr>
            <w:r w:rsidRPr="00E4105B">
              <w:rPr>
                <w:rFonts w:cs="Arial"/>
                <w:sz w:val="20"/>
                <w:szCs w:val="20"/>
              </w:rPr>
              <w:t>PM</w:t>
            </w:r>
          </w:p>
        </w:tc>
      </w:tr>
      <w:tr w:rsidR="000326DA" w:rsidRPr="00E4105B" w14:paraId="15AFAD02" w14:textId="77777777" w:rsidTr="000326DA">
        <w:trPr>
          <w:gridAfter w:val="1"/>
          <w:wAfter w:w="6" w:type="dxa"/>
          <w:trHeight w:val="260"/>
        </w:trPr>
        <w:tc>
          <w:tcPr>
            <w:tcW w:w="5624" w:type="dxa"/>
          </w:tcPr>
          <w:p w14:paraId="1093F883" w14:textId="77777777" w:rsidR="000326DA" w:rsidRPr="00E4105B" w:rsidRDefault="000326DA" w:rsidP="000326DA">
            <w:pPr>
              <w:rPr>
                <w:rFonts w:cs="Arial"/>
                <w:sz w:val="20"/>
                <w:szCs w:val="20"/>
                <w:lang w:val="pl-PL"/>
              </w:rPr>
            </w:pPr>
            <w:r w:rsidRPr="00E4105B">
              <w:rPr>
                <w:rFonts w:cs="Arial"/>
                <w:sz w:val="20"/>
                <w:szCs w:val="20"/>
                <w:lang w:val="pl-PL"/>
              </w:rPr>
              <w:t>Mafunzo katika usimamizi wa mazingira na jamii</w:t>
            </w:r>
          </w:p>
        </w:tc>
        <w:tc>
          <w:tcPr>
            <w:tcW w:w="1039" w:type="dxa"/>
            <w:vAlign w:val="center"/>
          </w:tcPr>
          <w:p w14:paraId="17B1643A" w14:textId="77777777" w:rsidR="000326DA" w:rsidRPr="00E4105B" w:rsidRDefault="000326DA" w:rsidP="000326DA">
            <w:pPr>
              <w:jc w:val="center"/>
              <w:rPr>
                <w:rFonts w:cs="Arial"/>
                <w:color w:val="000000"/>
                <w:sz w:val="20"/>
                <w:szCs w:val="20"/>
              </w:rPr>
            </w:pPr>
            <w:r w:rsidRPr="00E4105B">
              <w:rPr>
                <w:rFonts w:cs="Arial"/>
                <w:color w:val="000000"/>
                <w:sz w:val="20"/>
                <w:szCs w:val="20"/>
              </w:rPr>
              <w:t>2</w:t>
            </w:r>
          </w:p>
        </w:tc>
        <w:tc>
          <w:tcPr>
            <w:tcW w:w="1700" w:type="dxa"/>
          </w:tcPr>
          <w:p w14:paraId="0B5EC61D" w14:textId="77777777" w:rsidR="000326DA" w:rsidRPr="00E4105B" w:rsidRDefault="000326DA" w:rsidP="000326DA">
            <w:pPr>
              <w:jc w:val="right"/>
              <w:rPr>
                <w:rFonts w:cs="Arial"/>
                <w:sz w:val="20"/>
                <w:szCs w:val="20"/>
              </w:rPr>
            </w:pPr>
            <w:r w:rsidRPr="00E4105B">
              <w:rPr>
                <w:rFonts w:cs="Arial"/>
                <w:sz w:val="20"/>
                <w:szCs w:val="20"/>
              </w:rPr>
              <w:t>50 000</w:t>
            </w:r>
          </w:p>
        </w:tc>
        <w:tc>
          <w:tcPr>
            <w:tcW w:w="1701" w:type="dxa"/>
            <w:gridSpan w:val="2"/>
          </w:tcPr>
          <w:p w14:paraId="4DE2ED1F" w14:textId="77777777" w:rsidR="000326DA" w:rsidRPr="00E4105B" w:rsidRDefault="000326DA" w:rsidP="000326DA">
            <w:pPr>
              <w:jc w:val="right"/>
              <w:rPr>
                <w:rFonts w:cs="Arial"/>
                <w:sz w:val="20"/>
                <w:szCs w:val="20"/>
              </w:rPr>
            </w:pPr>
            <w:r w:rsidRPr="00E4105B">
              <w:rPr>
                <w:rFonts w:cs="Arial"/>
                <w:sz w:val="20"/>
                <w:szCs w:val="20"/>
              </w:rPr>
              <w:t>100 000</w:t>
            </w:r>
          </w:p>
        </w:tc>
      </w:tr>
      <w:tr w:rsidR="000326DA" w:rsidRPr="00E4105B" w14:paraId="565D2315" w14:textId="77777777" w:rsidTr="000326DA">
        <w:trPr>
          <w:gridAfter w:val="1"/>
          <w:wAfter w:w="6" w:type="dxa"/>
          <w:trHeight w:val="260"/>
        </w:trPr>
        <w:tc>
          <w:tcPr>
            <w:tcW w:w="5624" w:type="dxa"/>
          </w:tcPr>
          <w:p w14:paraId="0F8CEB0A" w14:textId="77777777" w:rsidR="000326DA" w:rsidRPr="00E4105B" w:rsidRDefault="000326DA" w:rsidP="000326DA">
            <w:pPr>
              <w:rPr>
                <w:rFonts w:cs="Arial"/>
                <w:sz w:val="20"/>
                <w:szCs w:val="20"/>
              </w:rPr>
            </w:pPr>
            <w:r w:rsidRPr="00E4105B">
              <w:rPr>
                <w:rFonts w:cs="Arial"/>
                <w:sz w:val="20"/>
                <w:szCs w:val="20"/>
              </w:rPr>
              <w:t>Mpango wa Utekelezaji wa EAS / HS, ikiwa ni pamoja na taratibu maalum za MGP kwa malalamiko ya EAS / HS</w:t>
            </w:r>
          </w:p>
        </w:tc>
        <w:tc>
          <w:tcPr>
            <w:tcW w:w="1039" w:type="dxa"/>
            <w:vAlign w:val="center"/>
          </w:tcPr>
          <w:p w14:paraId="2C2192C9" w14:textId="77777777" w:rsidR="000326DA" w:rsidRPr="00E4105B" w:rsidRDefault="000326DA" w:rsidP="000326DA">
            <w:pPr>
              <w:jc w:val="center"/>
              <w:rPr>
                <w:rFonts w:cs="Arial"/>
                <w:color w:val="000000"/>
                <w:sz w:val="20"/>
                <w:szCs w:val="20"/>
              </w:rPr>
            </w:pPr>
            <w:r w:rsidRPr="00E4105B">
              <w:rPr>
                <w:rFonts w:cs="Arial"/>
                <w:color w:val="000000"/>
                <w:sz w:val="20"/>
                <w:szCs w:val="20"/>
              </w:rPr>
              <w:t>-</w:t>
            </w:r>
          </w:p>
        </w:tc>
        <w:tc>
          <w:tcPr>
            <w:tcW w:w="1700" w:type="dxa"/>
          </w:tcPr>
          <w:p w14:paraId="1F08ECAF" w14:textId="77777777" w:rsidR="000326DA" w:rsidRPr="00E4105B" w:rsidRDefault="000326DA" w:rsidP="000326DA">
            <w:pPr>
              <w:jc w:val="right"/>
              <w:rPr>
                <w:rFonts w:cs="Arial"/>
                <w:sz w:val="20"/>
                <w:szCs w:val="20"/>
              </w:rPr>
            </w:pPr>
          </w:p>
          <w:p w14:paraId="346CA9E0" w14:textId="77777777" w:rsidR="000326DA" w:rsidRPr="00E4105B" w:rsidRDefault="000326DA" w:rsidP="000326DA">
            <w:pPr>
              <w:jc w:val="right"/>
              <w:rPr>
                <w:rFonts w:cs="Arial"/>
                <w:sz w:val="20"/>
                <w:szCs w:val="20"/>
              </w:rPr>
            </w:pPr>
            <w:r w:rsidRPr="00E4105B">
              <w:rPr>
                <w:rFonts w:cs="Arial"/>
                <w:sz w:val="20"/>
                <w:szCs w:val="20"/>
              </w:rPr>
              <w:t> -</w:t>
            </w:r>
          </w:p>
        </w:tc>
        <w:tc>
          <w:tcPr>
            <w:tcW w:w="1701" w:type="dxa"/>
            <w:gridSpan w:val="2"/>
          </w:tcPr>
          <w:p w14:paraId="47BDC7F9" w14:textId="77777777" w:rsidR="000326DA" w:rsidRPr="00E4105B" w:rsidRDefault="000326DA" w:rsidP="000326DA">
            <w:pPr>
              <w:jc w:val="right"/>
              <w:rPr>
                <w:rFonts w:cs="Arial"/>
                <w:sz w:val="20"/>
                <w:szCs w:val="20"/>
              </w:rPr>
            </w:pPr>
          </w:p>
          <w:p w14:paraId="56AD6DE1" w14:textId="0BD1CB17" w:rsidR="000326DA" w:rsidRPr="00E4105B" w:rsidRDefault="005C7DF8" w:rsidP="000326DA">
            <w:pPr>
              <w:jc w:val="right"/>
              <w:rPr>
                <w:rFonts w:cs="Arial"/>
                <w:sz w:val="20"/>
                <w:szCs w:val="20"/>
              </w:rPr>
            </w:pPr>
            <w:r w:rsidRPr="00E4105B">
              <w:rPr>
                <w:rFonts w:cs="Arial"/>
                <w:sz w:val="20"/>
                <w:szCs w:val="20"/>
              </w:rPr>
              <w:t>7 530 000</w:t>
            </w:r>
          </w:p>
        </w:tc>
      </w:tr>
      <w:tr w:rsidR="000326DA" w:rsidRPr="00E4105B" w14:paraId="79870460" w14:textId="77777777" w:rsidTr="000326DA">
        <w:trPr>
          <w:gridAfter w:val="1"/>
          <w:wAfter w:w="6" w:type="dxa"/>
          <w:trHeight w:val="260"/>
        </w:trPr>
        <w:tc>
          <w:tcPr>
            <w:tcW w:w="5624" w:type="dxa"/>
            <w:vMerge w:val="restart"/>
          </w:tcPr>
          <w:p w14:paraId="4E17CE5F" w14:textId="77777777" w:rsidR="000326DA" w:rsidRPr="00E4105B" w:rsidRDefault="000326DA" w:rsidP="000326DA">
            <w:pPr>
              <w:rPr>
                <w:rFonts w:cs="Arial"/>
                <w:bCs/>
                <w:sz w:val="20"/>
                <w:szCs w:val="20"/>
              </w:rPr>
            </w:pPr>
            <w:r w:rsidRPr="00E4105B">
              <w:rPr>
                <w:rFonts w:cs="Arial"/>
                <w:sz w:val="20"/>
                <w:szCs w:val="20"/>
              </w:rPr>
              <w:t>Tathmini ya muda na ya mwisho ya PNDA CGES na Audits</w:t>
            </w:r>
          </w:p>
        </w:tc>
        <w:tc>
          <w:tcPr>
            <w:tcW w:w="1039" w:type="dxa"/>
            <w:vAlign w:val="center"/>
          </w:tcPr>
          <w:p w14:paraId="0254E204" w14:textId="77777777" w:rsidR="000326DA" w:rsidRPr="00E4105B" w:rsidRDefault="000326DA" w:rsidP="000326DA">
            <w:pPr>
              <w:jc w:val="center"/>
              <w:rPr>
                <w:rFonts w:cs="Arial"/>
                <w:color w:val="000000"/>
                <w:sz w:val="20"/>
                <w:szCs w:val="20"/>
              </w:rPr>
            </w:pPr>
            <w:r w:rsidRPr="00E4105B">
              <w:rPr>
                <w:rFonts w:cs="Arial"/>
                <w:color w:val="000000"/>
                <w:sz w:val="20"/>
                <w:szCs w:val="20"/>
              </w:rPr>
              <w:t>10</w:t>
            </w:r>
          </w:p>
        </w:tc>
        <w:tc>
          <w:tcPr>
            <w:tcW w:w="1700" w:type="dxa"/>
          </w:tcPr>
          <w:p w14:paraId="0D6F5C38" w14:textId="77777777" w:rsidR="000326DA" w:rsidRPr="00E4105B" w:rsidRDefault="000326DA" w:rsidP="000326DA">
            <w:pPr>
              <w:jc w:val="right"/>
              <w:rPr>
                <w:rFonts w:cs="Arial"/>
                <w:sz w:val="20"/>
                <w:szCs w:val="20"/>
              </w:rPr>
            </w:pPr>
            <w:r w:rsidRPr="00E4105B">
              <w:rPr>
                <w:rFonts w:cs="Arial"/>
                <w:sz w:val="20"/>
                <w:szCs w:val="20"/>
              </w:rPr>
              <w:t xml:space="preserve">30 000 </w:t>
            </w:r>
          </w:p>
        </w:tc>
        <w:tc>
          <w:tcPr>
            <w:tcW w:w="1701" w:type="dxa"/>
            <w:gridSpan w:val="2"/>
          </w:tcPr>
          <w:p w14:paraId="04317CA2" w14:textId="77777777" w:rsidR="000326DA" w:rsidRPr="00E4105B" w:rsidRDefault="000326DA" w:rsidP="000326DA">
            <w:pPr>
              <w:jc w:val="right"/>
              <w:rPr>
                <w:rFonts w:cs="Arial"/>
                <w:sz w:val="20"/>
                <w:szCs w:val="20"/>
              </w:rPr>
            </w:pPr>
            <w:r w:rsidRPr="00E4105B">
              <w:rPr>
                <w:rFonts w:cs="Arial"/>
                <w:sz w:val="20"/>
                <w:szCs w:val="20"/>
              </w:rPr>
              <w:t xml:space="preserve">300 000 </w:t>
            </w:r>
          </w:p>
        </w:tc>
      </w:tr>
      <w:tr w:rsidR="000326DA" w:rsidRPr="00E4105B" w14:paraId="4EB7B534" w14:textId="77777777" w:rsidTr="000326DA">
        <w:trPr>
          <w:gridAfter w:val="1"/>
          <w:wAfter w:w="6" w:type="dxa"/>
          <w:trHeight w:val="260"/>
        </w:trPr>
        <w:tc>
          <w:tcPr>
            <w:tcW w:w="5624" w:type="dxa"/>
            <w:vMerge/>
          </w:tcPr>
          <w:p w14:paraId="4BBFD98D" w14:textId="77777777" w:rsidR="000326DA" w:rsidRPr="00E4105B" w:rsidRDefault="000326DA" w:rsidP="000326DA">
            <w:pPr>
              <w:rPr>
                <w:rFonts w:cs="Arial"/>
                <w:bCs/>
                <w:sz w:val="20"/>
                <w:szCs w:val="20"/>
              </w:rPr>
            </w:pPr>
          </w:p>
        </w:tc>
        <w:tc>
          <w:tcPr>
            <w:tcW w:w="1039" w:type="dxa"/>
            <w:vAlign w:val="center"/>
          </w:tcPr>
          <w:p w14:paraId="1A09C7AC" w14:textId="77777777" w:rsidR="000326DA" w:rsidRPr="00E4105B" w:rsidRDefault="000326DA" w:rsidP="000326DA">
            <w:pPr>
              <w:jc w:val="center"/>
              <w:rPr>
                <w:rFonts w:cs="Arial"/>
                <w:color w:val="000000"/>
                <w:sz w:val="20"/>
                <w:szCs w:val="20"/>
              </w:rPr>
            </w:pPr>
            <w:r w:rsidRPr="00E4105B">
              <w:rPr>
                <w:rFonts w:cs="Arial"/>
                <w:color w:val="000000"/>
                <w:sz w:val="20"/>
                <w:szCs w:val="20"/>
              </w:rPr>
              <w:t>10</w:t>
            </w:r>
          </w:p>
        </w:tc>
        <w:tc>
          <w:tcPr>
            <w:tcW w:w="1700" w:type="dxa"/>
          </w:tcPr>
          <w:p w14:paraId="043DD5F9" w14:textId="77777777" w:rsidR="000326DA" w:rsidRPr="00E4105B" w:rsidRDefault="000326DA" w:rsidP="000326DA">
            <w:pPr>
              <w:jc w:val="right"/>
              <w:rPr>
                <w:rFonts w:cs="Arial"/>
                <w:sz w:val="20"/>
                <w:szCs w:val="20"/>
              </w:rPr>
            </w:pPr>
            <w:r w:rsidRPr="00E4105B">
              <w:rPr>
                <w:rFonts w:cs="Arial"/>
                <w:sz w:val="20"/>
                <w:szCs w:val="20"/>
              </w:rPr>
              <w:t>30 000</w:t>
            </w:r>
          </w:p>
        </w:tc>
        <w:tc>
          <w:tcPr>
            <w:tcW w:w="1701" w:type="dxa"/>
            <w:gridSpan w:val="2"/>
          </w:tcPr>
          <w:p w14:paraId="534665AE" w14:textId="77777777" w:rsidR="000326DA" w:rsidRPr="00E4105B" w:rsidRDefault="000326DA" w:rsidP="000326DA">
            <w:pPr>
              <w:jc w:val="right"/>
              <w:rPr>
                <w:rFonts w:cs="Arial"/>
                <w:sz w:val="20"/>
                <w:szCs w:val="20"/>
              </w:rPr>
            </w:pPr>
            <w:r w:rsidRPr="00E4105B">
              <w:rPr>
                <w:rFonts w:cs="Arial"/>
                <w:sz w:val="20"/>
                <w:szCs w:val="20"/>
              </w:rPr>
              <w:t>300 000</w:t>
            </w:r>
          </w:p>
        </w:tc>
      </w:tr>
      <w:tr w:rsidR="000326DA" w:rsidRPr="00296E4B" w14:paraId="2F1148A9" w14:textId="77777777" w:rsidTr="000326DA">
        <w:trPr>
          <w:trHeight w:val="260"/>
        </w:trPr>
        <w:tc>
          <w:tcPr>
            <w:tcW w:w="8369" w:type="dxa"/>
            <w:gridSpan w:val="4"/>
          </w:tcPr>
          <w:p w14:paraId="78AF626E" w14:textId="77777777" w:rsidR="000326DA" w:rsidRPr="00E4105B" w:rsidRDefault="000326DA" w:rsidP="000326DA">
            <w:pPr>
              <w:rPr>
                <w:rFonts w:cs="Arial"/>
                <w:bCs/>
                <w:sz w:val="20"/>
                <w:szCs w:val="20"/>
                <w:lang w:val="en-US"/>
              </w:rPr>
            </w:pPr>
            <w:r w:rsidRPr="00E4105B">
              <w:rPr>
                <w:rFonts w:cs="Arial"/>
                <w:bCs/>
                <w:sz w:val="20"/>
                <w:szCs w:val="20"/>
                <w:lang w:val="en-US"/>
              </w:rPr>
              <w:t>JUMLA</w:t>
            </w:r>
          </w:p>
        </w:tc>
        <w:tc>
          <w:tcPr>
            <w:tcW w:w="1701" w:type="dxa"/>
            <w:gridSpan w:val="2"/>
          </w:tcPr>
          <w:p w14:paraId="7B600E4B" w14:textId="77777777" w:rsidR="000326DA" w:rsidRPr="00E4105B" w:rsidRDefault="000326DA" w:rsidP="000326DA">
            <w:pPr>
              <w:jc w:val="right"/>
              <w:rPr>
                <w:rFonts w:cs="Arial"/>
                <w:sz w:val="20"/>
                <w:szCs w:val="20"/>
              </w:rPr>
            </w:pPr>
            <w:r w:rsidRPr="00E4105B">
              <w:rPr>
                <w:rFonts w:cs="Arial"/>
                <w:sz w:val="20"/>
                <w:szCs w:val="20"/>
              </w:rPr>
              <w:t>14 446 300</w:t>
            </w:r>
          </w:p>
        </w:tc>
      </w:tr>
      <w:tr w:rsidR="000326DA" w:rsidRPr="00E4105B" w14:paraId="61F3DF4F" w14:textId="77777777" w:rsidTr="000326DA">
        <w:trPr>
          <w:gridAfter w:val="1"/>
          <w:wAfter w:w="6" w:type="dxa"/>
          <w:trHeight w:val="260"/>
        </w:trPr>
        <w:tc>
          <w:tcPr>
            <w:tcW w:w="5624" w:type="dxa"/>
          </w:tcPr>
          <w:p w14:paraId="451D4726" w14:textId="77777777" w:rsidR="000326DA" w:rsidRPr="00E4105B" w:rsidRDefault="000326DA" w:rsidP="000326DA">
            <w:pPr>
              <w:rPr>
                <w:rFonts w:cs="Arial"/>
                <w:bCs/>
                <w:sz w:val="20"/>
                <w:szCs w:val="20"/>
              </w:rPr>
            </w:pPr>
            <w:r w:rsidRPr="00E4105B">
              <w:rPr>
                <w:rFonts w:cs="Arial"/>
                <w:bCs/>
                <w:sz w:val="20"/>
                <w:szCs w:val="20"/>
                <w:lang w:val="en-US"/>
              </w:rPr>
              <w:t xml:space="preserve">Unforeseen na tofauti </w:t>
            </w:r>
            <w:r w:rsidRPr="00E4105B">
              <w:rPr>
                <w:rFonts w:cs="Arial"/>
                <w:bCs/>
                <w:sz w:val="20"/>
                <w:szCs w:val="20"/>
              </w:rPr>
              <w:t>(5 %)</w:t>
            </w:r>
          </w:p>
        </w:tc>
        <w:tc>
          <w:tcPr>
            <w:tcW w:w="1039" w:type="dxa"/>
          </w:tcPr>
          <w:p w14:paraId="0F3F48C9" w14:textId="77777777" w:rsidR="000326DA" w:rsidRPr="00E4105B" w:rsidRDefault="000326DA" w:rsidP="000326DA">
            <w:pPr>
              <w:jc w:val="center"/>
              <w:rPr>
                <w:rFonts w:cs="Arial"/>
                <w:sz w:val="20"/>
                <w:szCs w:val="20"/>
              </w:rPr>
            </w:pPr>
            <w:r w:rsidRPr="00E4105B">
              <w:rPr>
                <w:rFonts w:cs="Arial"/>
                <w:sz w:val="20"/>
                <w:szCs w:val="20"/>
              </w:rPr>
              <w:t>0,05</w:t>
            </w:r>
          </w:p>
        </w:tc>
        <w:tc>
          <w:tcPr>
            <w:tcW w:w="1700" w:type="dxa"/>
          </w:tcPr>
          <w:p w14:paraId="09D8018B" w14:textId="77777777" w:rsidR="000326DA" w:rsidRPr="00E4105B" w:rsidRDefault="000326DA" w:rsidP="000326DA">
            <w:pPr>
              <w:jc w:val="right"/>
              <w:rPr>
                <w:rFonts w:cs="Arial"/>
                <w:sz w:val="20"/>
                <w:szCs w:val="20"/>
              </w:rPr>
            </w:pPr>
          </w:p>
        </w:tc>
        <w:tc>
          <w:tcPr>
            <w:tcW w:w="1701" w:type="dxa"/>
            <w:gridSpan w:val="2"/>
          </w:tcPr>
          <w:p w14:paraId="3EBFDFA7" w14:textId="77777777" w:rsidR="000326DA" w:rsidRPr="00E4105B" w:rsidRDefault="000326DA" w:rsidP="000326DA">
            <w:pPr>
              <w:jc w:val="center"/>
              <w:rPr>
                <w:rFonts w:cs="Arial"/>
                <w:sz w:val="20"/>
                <w:szCs w:val="20"/>
              </w:rPr>
            </w:pPr>
            <w:r w:rsidRPr="00E4105B">
              <w:rPr>
                <w:rFonts w:cs="Arial"/>
                <w:sz w:val="20"/>
                <w:szCs w:val="20"/>
              </w:rPr>
              <w:t xml:space="preserve">           722 315 </w:t>
            </w:r>
          </w:p>
        </w:tc>
      </w:tr>
      <w:tr w:rsidR="000326DA" w:rsidRPr="00296E4B" w14:paraId="2D22B1C9" w14:textId="77777777" w:rsidTr="000326DA">
        <w:trPr>
          <w:trHeight w:val="276"/>
        </w:trPr>
        <w:tc>
          <w:tcPr>
            <w:tcW w:w="8369" w:type="dxa"/>
            <w:gridSpan w:val="4"/>
            <w:shd w:val="clear" w:color="auto" w:fill="auto"/>
          </w:tcPr>
          <w:p w14:paraId="63CACB24" w14:textId="77777777" w:rsidR="000326DA" w:rsidRPr="00E4105B" w:rsidRDefault="000326DA" w:rsidP="000326DA">
            <w:pPr>
              <w:jc w:val="center"/>
              <w:rPr>
                <w:rFonts w:cs="Arial"/>
                <w:sz w:val="20"/>
                <w:szCs w:val="20"/>
              </w:rPr>
            </w:pPr>
            <w:r w:rsidRPr="00E4105B">
              <w:rPr>
                <w:rFonts w:cs="Arial"/>
                <w:bCs/>
                <w:sz w:val="20"/>
                <w:szCs w:val="20"/>
                <w:lang w:val="en-US"/>
              </w:rPr>
              <w:t>JUMLA KUBWA</w:t>
            </w:r>
          </w:p>
        </w:tc>
        <w:tc>
          <w:tcPr>
            <w:tcW w:w="1701" w:type="dxa"/>
            <w:gridSpan w:val="2"/>
          </w:tcPr>
          <w:p w14:paraId="75DFFE10" w14:textId="0A68F445" w:rsidR="000326DA" w:rsidRPr="00E4105B" w:rsidRDefault="005C7DF8" w:rsidP="000326DA">
            <w:pPr>
              <w:jc w:val="right"/>
              <w:rPr>
                <w:rFonts w:cs="Arial"/>
                <w:sz w:val="20"/>
                <w:szCs w:val="20"/>
              </w:rPr>
            </w:pPr>
            <w:r w:rsidRPr="00E4105B">
              <w:rPr>
                <w:rFonts w:cs="Arial"/>
                <w:sz w:val="20"/>
                <w:szCs w:val="20"/>
              </w:rPr>
              <w:t>18 675 330</w:t>
            </w:r>
            <w:r w:rsidR="000326DA" w:rsidRPr="00E4105B">
              <w:rPr>
                <w:rFonts w:cs="Arial"/>
                <w:sz w:val="20"/>
                <w:szCs w:val="20"/>
              </w:rPr>
              <w:t xml:space="preserve"> </w:t>
            </w:r>
          </w:p>
        </w:tc>
      </w:tr>
    </w:tbl>
    <w:p w14:paraId="270B3D2B" w14:textId="77777777" w:rsidR="000326DA" w:rsidRPr="00E4105B" w:rsidRDefault="000326DA" w:rsidP="000326DA">
      <w:pPr>
        <w:jc w:val="left"/>
        <w:rPr>
          <w:rFonts w:cs="Arial"/>
          <w:szCs w:val="21"/>
        </w:rPr>
      </w:pPr>
    </w:p>
    <w:p w14:paraId="75366998" w14:textId="77777777" w:rsidR="000326DA" w:rsidRPr="00E4105B" w:rsidRDefault="000326DA" w:rsidP="002378EA">
      <w:pPr>
        <w:numPr>
          <w:ilvl w:val="0"/>
          <w:numId w:val="154"/>
        </w:numPr>
        <w:rPr>
          <w:rFonts w:cs="Arial"/>
          <w:i/>
          <w:szCs w:val="21"/>
          <w:lang w:val="pl-PL" w:bidi="fr-FR"/>
        </w:rPr>
      </w:pPr>
      <w:r w:rsidRPr="00E4105B">
        <w:rPr>
          <w:rFonts w:cs="Arial"/>
          <w:i/>
          <w:szCs w:val="21"/>
          <w:lang w:val="pl-PL" w:bidi="fr-FR"/>
        </w:rPr>
        <w:t>Utaratibu wa usimamizi wa malalamishi (MGP)</w:t>
      </w:r>
    </w:p>
    <w:p w14:paraId="437DD74B" w14:textId="77777777" w:rsidR="000326DA" w:rsidRPr="00E4105B" w:rsidRDefault="000326DA" w:rsidP="000326DA">
      <w:pPr>
        <w:rPr>
          <w:rFonts w:cs="Arial"/>
          <w:szCs w:val="21"/>
        </w:rPr>
      </w:pPr>
    </w:p>
    <w:p w14:paraId="4DB92173" w14:textId="77777777" w:rsidR="000326DA" w:rsidRPr="00E4105B" w:rsidRDefault="000326DA" w:rsidP="000326DA">
      <w:pPr>
        <w:rPr>
          <w:rFonts w:cs="Arial"/>
          <w:szCs w:val="21"/>
        </w:rPr>
      </w:pPr>
      <w:r w:rsidRPr="00E4105B">
        <w:rPr>
          <w:rFonts w:cs="Arial"/>
          <w:szCs w:val="21"/>
        </w:rPr>
        <w:t>Utaratibu wa Usimamizi wa Malalamiko umewekwa kwa mujibu wa NES 10: ushiriki wa wadau na habari. PMP yaNDA itafikiwa na wadau wote katika mpango huo ikiwemo watu walio katika mazingira magumu. Aidha, taratibu maalum za utunzaji wa maadili na siri za malalamiko ya EAS/HS zitajumuishwa katika MGP. MGP inatetea utaratibu wa azimio linaloweza kuepukika, mbali na kesi za EAS / HS.</w:t>
      </w:r>
    </w:p>
    <w:p w14:paraId="52452460" w14:textId="77777777" w:rsidR="000326DA" w:rsidRPr="00E4105B" w:rsidRDefault="000326DA" w:rsidP="000326DA">
      <w:pPr>
        <w:jc w:val="left"/>
        <w:rPr>
          <w:rFonts w:cs="Arial"/>
          <w:szCs w:val="21"/>
        </w:rPr>
      </w:pPr>
    </w:p>
    <w:p w14:paraId="41914A6C" w14:textId="77777777" w:rsidR="000326DA" w:rsidRPr="00E4105B" w:rsidRDefault="000326DA" w:rsidP="000326DA">
      <w:pPr>
        <w:rPr>
          <w:rFonts w:cs="Arial"/>
          <w:szCs w:val="21"/>
        </w:rPr>
      </w:pPr>
      <w:r w:rsidRPr="00E4105B">
        <w:rPr>
          <w:rFonts w:cs="Arial"/>
          <w:szCs w:val="21"/>
        </w:rPr>
        <w:t xml:space="preserve">Ngazi tatu za utatuzi wa malalamishi na kamati zilizowekwa. Hizi ni: </w:t>
      </w:r>
      <w:r w:rsidRPr="00E4105B">
        <w:rPr>
          <w:rFonts w:cs="Arial"/>
          <w:i/>
          <w:szCs w:val="21"/>
        </w:rPr>
        <w:t>(i)</w:t>
      </w:r>
      <w:r w:rsidRPr="00E4105B">
        <w:rPr>
          <w:rFonts w:cs="Arial"/>
          <w:szCs w:val="21"/>
        </w:rPr>
        <w:t xml:space="preserve"> eneo la ujirani/kijiji: (</w:t>
      </w:r>
      <w:r w:rsidRPr="00E4105B">
        <w:rPr>
          <w:rFonts w:cs="Arial"/>
          <w:i/>
          <w:szCs w:val="21"/>
        </w:rPr>
        <w:t xml:space="preserve">ii) </w:t>
      </w:r>
      <w:r w:rsidRPr="00E4105B">
        <w:rPr>
          <w:rFonts w:cs="Arial"/>
          <w:szCs w:val="21"/>
        </w:rPr>
        <w:t>kiwango cha kijamii/Jimbo: (</w:t>
      </w:r>
      <w:r w:rsidRPr="00E4105B">
        <w:rPr>
          <w:rFonts w:cs="Arial"/>
          <w:i/>
          <w:szCs w:val="21"/>
        </w:rPr>
        <w:t xml:space="preserve">iii) </w:t>
      </w:r>
      <w:r w:rsidRPr="00E4105B">
        <w:rPr>
          <w:rFonts w:cs="Arial"/>
          <w:szCs w:val="21"/>
        </w:rPr>
        <w:t xml:space="preserve">kiwango cha majimbo. </w:t>
      </w:r>
    </w:p>
    <w:p w14:paraId="7DE0D903" w14:textId="77777777" w:rsidR="000326DA" w:rsidRPr="00E4105B" w:rsidRDefault="000326DA" w:rsidP="000326DA">
      <w:pPr>
        <w:rPr>
          <w:rFonts w:cs="Arial"/>
          <w:szCs w:val="21"/>
        </w:rPr>
      </w:pPr>
    </w:p>
    <w:p w14:paraId="35F248BE" w14:textId="77777777" w:rsidR="000326DA" w:rsidRPr="00E4105B" w:rsidRDefault="000326DA" w:rsidP="000326DA">
      <w:pPr>
        <w:rPr>
          <w:rFonts w:cs="Arial"/>
          <w:szCs w:val="21"/>
        </w:rPr>
      </w:pPr>
      <w:r w:rsidRPr="00E4105B">
        <w:rPr>
          <w:rFonts w:cs="Arial"/>
          <w:szCs w:val="21"/>
        </w:rPr>
        <w:t>Matumizi ya mahakama, ingawa hayapendekezwi kwa kukimbia laini ya Mradi (hatari ya kuzuia, kusitisha kazi, ucheleweshaji, nk), bado mapumziko ya mwisho katika tukio la kushindwa kwa suluhisho la amicable. Kama ilivyobainishawa, kesi za EAS / HS hazitakuwa somo la azimio linaloweza kupatikana.</w:t>
      </w:r>
    </w:p>
    <w:p w14:paraId="2ADD7638" w14:textId="77777777" w:rsidR="000326DA" w:rsidRPr="00E4105B" w:rsidRDefault="000326DA" w:rsidP="000326DA">
      <w:pPr>
        <w:rPr>
          <w:rFonts w:cs="Arial"/>
          <w:szCs w:val="21"/>
        </w:rPr>
      </w:pPr>
    </w:p>
    <w:p w14:paraId="0D0D09FB" w14:textId="77777777" w:rsidR="000326DA" w:rsidRPr="00E4105B" w:rsidRDefault="000326DA" w:rsidP="000326DA">
      <w:pPr>
        <w:rPr>
          <w:rFonts w:cs="Arial"/>
          <w:szCs w:val="21"/>
        </w:rPr>
      </w:pPr>
      <w:r w:rsidRPr="00E4105B">
        <w:rPr>
          <w:rFonts w:cs="Arial"/>
          <w:szCs w:val="21"/>
        </w:rPr>
        <w:t>Kuhusu masuala ya VBG, kamati ndogo ya VBG ya MGP itapangwa kukabiliana na madai ya VBG / EAS / HS-nyeti, taratibu maalum za utunzaji wa maadili na siri ya malalamiko ya EAS / HS zitatengenezwa na kujumuishwa katika MGP ya kimataifa kwa kiwango cha kamati ndogo maalum Kwa hivyo ikumbukwe kuwa kesi za EAS / HS hazitakuwa somo la azimio linaloweza kutimizwa.</w:t>
      </w:r>
    </w:p>
    <w:p w14:paraId="4844882C" w14:textId="77777777" w:rsidR="000326DA" w:rsidRPr="00E4105B" w:rsidRDefault="000326DA" w:rsidP="000326DA">
      <w:pPr>
        <w:rPr>
          <w:rFonts w:cs="Arial"/>
          <w:szCs w:val="21"/>
        </w:rPr>
      </w:pPr>
    </w:p>
    <w:p w14:paraId="0828DD59" w14:textId="77777777" w:rsidR="000326DA" w:rsidRPr="00E4105B" w:rsidRDefault="000326DA" w:rsidP="002378EA">
      <w:pPr>
        <w:numPr>
          <w:ilvl w:val="0"/>
          <w:numId w:val="154"/>
        </w:numPr>
        <w:rPr>
          <w:rFonts w:cs="Arial"/>
          <w:szCs w:val="21"/>
        </w:rPr>
      </w:pPr>
      <w:r w:rsidRPr="00E4105B">
        <w:rPr>
          <w:rFonts w:cs="Arial"/>
          <w:i/>
          <w:szCs w:val="21"/>
          <w:lang w:val="en-US" w:bidi="fr-FR"/>
        </w:rPr>
        <w:t xml:space="preserve">Mashauriano yalifanywa </w:t>
      </w:r>
    </w:p>
    <w:p w14:paraId="22C05F3F" w14:textId="77777777" w:rsidR="000326DA" w:rsidRPr="00E4105B" w:rsidRDefault="000326DA" w:rsidP="000326DA">
      <w:pPr>
        <w:jc w:val="left"/>
        <w:rPr>
          <w:rFonts w:cs="Arial"/>
          <w:szCs w:val="21"/>
        </w:rPr>
      </w:pPr>
    </w:p>
    <w:p w14:paraId="4912CB67" w14:textId="609264C0" w:rsidR="000326DA" w:rsidRPr="00E4105B" w:rsidRDefault="000326DA" w:rsidP="000326DA">
      <w:pPr>
        <w:rPr>
          <w:rFonts w:cs="Arial"/>
          <w:bCs/>
          <w:szCs w:val="21"/>
        </w:rPr>
      </w:pPr>
      <w:r w:rsidRPr="00E4105B">
        <w:rPr>
          <w:rFonts w:cs="Arial"/>
          <w:bCs/>
          <w:szCs w:val="21"/>
        </w:rPr>
        <w:t xml:space="preserve">Mashauriano ya umma chini ya muktadha wa COVID-19 yalifanywa katika miji ya Matadi (02 Juni 2020), Kananga (03 Juni 2020), Tshikapa (10 Juni 2020), Bandundu-Ville (10 Juni 2020) na Goma (17 Juni 2020). Mashauriano haya yaliwaleta pamoja washiriki 96 wenye kiwango cha juu cha watu 20 / mashauriano (mamlaka kuu, huduma za kiufundi, vyama vya asasi za kiraia, wawakilishi wa watu wanaonufaika, nk) kulingana na matakwa ya hatua za kizuizi zilizotangazwa na Serikali ya DRC, Mwongozo wa Mipango ya Uendeshaji wa Kusaidia Utayari na Majibu ya Nchi" (2020) ya Utayari wa Kimkakati wa WHO na Mpango wa Kukabiliana na COVID-19 na Shirika la Ufundi </w:t>
      </w:r>
      <w:r w:rsidR="005750CB">
        <w:rPr>
          <w:rFonts w:cs="Arial"/>
          <w:bCs/>
          <w:szCs w:val="21"/>
        </w:rPr>
        <w:t>la Benki ya Dunia 20 Machi 2020.</w:t>
      </w:r>
    </w:p>
    <w:p w14:paraId="71120E40" w14:textId="77777777" w:rsidR="000326DA" w:rsidRPr="00E4105B" w:rsidRDefault="000326DA" w:rsidP="000326DA">
      <w:pPr>
        <w:rPr>
          <w:rFonts w:cs="Arial"/>
          <w:bCs/>
          <w:szCs w:val="21"/>
        </w:rPr>
      </w:pPr>
    </w:p>
    <w:p w14:paraId="5CB9934D" w14:textId="77777777" w:rsidR="000326DA" w:rsidRPr="00E4105B" w:rsidRDefault="000326DA" w:rsidP="000326DA">
      <w:pPr>
        <w:rPr>
          <w:rFonts w:cs="Arial"/>
          <w:bCs/>
          <w:szCs w:val="21"/>
        </w:rPr>
      </w:pPr>
      <w:r w:rsidRPr="00E4105B">
        <w:rPr>
          <w:rFonts w:cs="Arial"/>
          <w:bCs/>
          <w:szCs w:val="21"/>
        </w:rPr>
        <w:t>Ni wazi kutokana na vikao hivi vya mashauriano kwamba matarajio ya wadau wote kuhusu Mradi huu ni makubwa na ushirikishwaji wa yote yanaonyeshwa. Wadau mbalimbali tuliokutana nao kwa kuthamini kwa pamoja mpango huo na mbinu shirikishi ambayo inatekelezwa. Mpango huu unakaribishwa kwa sababu utachochea maendeleo ya uzalishaji wa kilimo, uvuvi na ufugaji katika mikoa yote 5 inayohusika. Hata hivyo, wasiwasi na mapendekezo yamefanywa kuhusu Mradi, kama vile: idadi ya watu chini ya udhibiti wa mpango, ushiriki wa wanawake, usambazaji wa pembejeo za kilimo, uvuvi na ufugaji, kupambana na kuepukika, ushirikishwaji wa wanawake na vyama vingine vya wakulima, kuimarisha taasisi</w:t>
      </w:r>
    </w:p>
    <w:p w14:paraId="5654DA19" w14:textId="77777777" w:rsidR="000326DA" w:rsidRPr="00E4105B" w:rsidRDefault="000326DA" w:rsidP="000326DA">
      <w:pPr>
        <w:pStyle w:val="Titre1"/>
        <w:rPr>
          <w:rFonts w:cs="Arial"/>
          <w:szCs w:val="21"/>
        </w:rPr>
      </w:pPr>
    </w:p>
    <w:p w14:paraId="103FC4DB" w14:textId="77777777" w:rsidR="001C2F95" w:rsidRPr="00E4105B" w:rsidRDefault="001C2F95" w:rsidP="001C2F95">
      <w:pPr>
        <w:pStyle w:val="Corpsdetexte"/>
        <w:ind w:right="13"/>
        <w:rPr>
          <w:rFonts w:cs="Arial"/>
          <w:sz w:val="21"/>
          <w:szCs w:val="21"/>
        </w:rPr>
      </w:pPr>
    </w:p>
    <w:p w14:paraId="796FBBE1" w14:textId="77777777" w:rsidR="001C2F95" w:rsidRPr="00E4105B" w:rsidRDefault="001C2F95" w:rsidP="001C2F95">
      <w:pPr>
        <w:pStyle w:val="Corpsdetexte"/>
        <w:ind w:right="13"/>
        <w:rPr>
          <w:rFonts w:cs="Arial"/>
          <w:sz w:val="21"/>
          <w:szCs w:val="21"/>
        </w:rPr>
      </w:pPr>
    </w:p>
    <w:p w14:paraId="4E879B07" w14:textId="77777777" w:rsidR="001C2F95" w:rsidRPr="00E4105B" w:rsidRDefault="001C2F95" w:rsidP="001C2F95">
      <w:pPr>
        <w:pStyle w:val="Paragraphedeliste"/>
        <w:widowControl w:val="0"/>
        <w:autoSpaceDE w:val="0"/>
        <w:autoSpaceDN w:val="0"/>
        <w:spacing w:line="271" w:lineRule="auto"/>
        <w:ind w:left="709"/>
        <w:contextualSpacing w:val="0"/>
        <w:rPr>
          <w:rFonts w:cs="Arial"/>
          <w:szCs w:val="21"/>
        </w:rPr>
      </w:pPr>
    </w:p>
    <w:p w14:paraId="435331C9" w14:textId="77777777" w:rsidR="001C2F95" w:rsidRPr="00E4105B" w:rsidRDefault="001C2F95" w:rsidP="001C2F95">
      <w:pPr>
        <w:spacing w:line="240" w:lineRule="auto"/>
        <w:jc w:val="left"/>
        <w:rPr>
          <w:rFonts w:cs="Arial"/>
          <w:szCs w:val="21"/>
          <w:highlight w:val="yellow"/>
        </w:rPr>
      </w:pPr>
      <w:r w:rsidRPr="00E4105B">
        <w:rPr>
          <w:rFonts w:cs="Arial"/>
          <w:b/>
          <w:color w:val="222222"/>
          <w:szCs w:val="21"/>
        </w:rPr>
        <w:br w:type="page"/>
      </w:r>
      <w:bookmarkStart w:id="172" w:name="_Toc45269124"/>
      <w:bookmarkStart w:id="173" w:name="_Toc45269668"/>
      <w:bookmarkStart w:id="174" w:name="_Toc45269125"/>
      <w:bookmarkStart w:id="175" w:name="_Toc45269669"/>
      <w:bookmarkStart w:id="176" w:name="_Toc45269126"/>
      <w:bookmarkStart w:id="177" w:name="_Toc45269670"/>
      <w:bookmarkEnd w:id="172"/>
      <w:bookmarkEnd w:id="173"/>
      <w:bookmarkEnd w:id="174"/>
      <w:bookmarkEnd w:id="175"/>
      <w:bookmarkEnd w:id="176"/>
      <w:bookmarkEnd w:id="177"/>
    </w:p>
    <w:p w14:paraId="69A9C87B" w14:textId="77777777" w:rsidR="001C2F95" w:rsidRPr="00394DC0" w:rsidRDefault="001C2F95" w:rsidP="001C2F95">
      <w:pPr>
        <w:rPr>
          <w:rFonts w:cs="Arial"/>
          <w:color w:val="000000"/>
          <w:szCs w:val="21"/>
        </w:rPr>
        <w:sectPr w:rsidR="001C2F95" w:rsidRPr="00394DC0" w:rsidSect="00005290">
          <w:headerReference w:type="default" r:id="rId14"/>
          <w:footerReference w:type="default" r:id="rId15"/>
          <w:footerReference w:type="first" r:id="rId16"/>
          <w:pgSz w:w="11907" w:h="16839" w:code="9"/>
          <w:pgMar w:top="993" w:right="1417" w:bottom="1276" w:left="1418" w:header="720" w:footer="0" w:gutter="0"/>
          <w:pgNumType w:fmt="lowerRoman" w:start="31"/>
          <w:cols w:space="720"/>
          <w:titlePg/>
          <w:docGrid w:linePitch="360"/>
        </w:sectPr>
      </w:pPr>
    </w:p>
    <w:p w14:paraId="317CF612" w14:textId="77777777" w:rsidR="001C2F95" w:rsidRPr="00C61BD6" w:rsidRDefault="001C2F95" w:rsidP="001C2F95">
      <w:pPr>
        <w:pStyle w:val="Titre1"/>
        <w:numPr>
          <w:ilvl w:val="0"/>
          <w:numId w:val="4"/>
        </w:numPr>
        <w:rPr>
          <w:rFonts w:cs="Arial"/>
          <w:szCs w:val="21"/>
        </w:rPr>
      </w:pPr>
      <w:bookmarkStart w:id="178" w:name="_Toc500754626"/>
      <w:bookmarkStart w:id="179" w:name="_Toc44626787"/>
      <w:bookmarkStart w:id="180" w:name="_Toc90393042"/>
      <w:bookmarkStart w:id="181" w:name="_Toc90471401"/>
      <w:r w:rsidRPr="00C61BD6">
        <w:rPr>
          <w:rFonts w:cs="Arial"/>
          <w:szCs w:val="21"/>
        </w:rPr>
        <w:t>INTRODUCTION</w:t>
      </w:r>
      <w:bookmarkEnd w:id="53"/>
      <w:bookmarkEnd w:id="54"/>
      <w:bookmarkEnd w:id="55"/>
      <w:bookmarkEnd w:id="178"/>
      <w:bookmarkEnd w:id="179"/>
      <w:bookmarkEnd w:id="180"/>
      <w:bookmarkEnd w:id="181"/>
    </w:p>
    <w:p w14:paraId="21F8CCC9" w14:textId="77777777" w:rsidR="001C2F95" w:rsidRPr="00C61BD6" w:rsidRDefault="001C2F95" w:rsidP="001C2F95">
      <w:pPr>
        <w:ind w:left="720"/>
        <w:rPr>
          <w:rFonts w:cs="Arial"/>
          <w:b/>
          <w:szCs w:val="21"/>
        </w:rPr>
      </w:pPr>
    </w:p>
    <w:p w14:paraId="60D4EFFE" w14:textId="77777777" w:rsidR="001C2F95" w:rsidRPr="00C61BD6" w:rsidRDefault="001C2F95" w:rsidP="001C2F95">
      <w:pPr>
        <w:pStyle w:val="Titre2"/>
        <w:numPr>
          <w:ilvl w:val="1"/>
          <w:numId w:val="4"/>
        </w:numPr>
        <w:ind w:left="851" w:hanging="425"/>
        <w:rPr>
          <w:rFonts w:cs="Arial"/>
          <w:b/>
          <w:szCs w:val="21"/>
        </w:rPr>
      </w:pPr>
      <w:bookmarkStart w:id="182" w:name="_Toc464561967"/>
      <w:bookmarkStart w:id="183" w:name="_Toc476571940"/>
      <w:bookmarkStart w:id="184" w:name="_Toc500754627"/>
      <w:bookmarkStart w:id="185" w:name="_Toc44626788"/>
      <w:bookmarkStart w:id="186" w:name="_Toc90393043"/>
      <w:bookmarkStart w:id="187" w:name="_Toc90471402"/>
      <w:r w:rsidRPr="00C61BD6">
        <w:rPr>
          <w:rFonts w:cs="Arial"/>
          <w:b/>
          <w:szCs w:val="21"/>
        </w:rPr>
        <w:t>Contexte et justification du Projet</w:t>
      </w:r>
      <w:bookmarkEnd w:id="182"/>
      <w:bookmarkEnd w:id="183"/>
      <w:bookmarkEnd w:id="184"/>
      <w:bookmarkEnd w:id="185"/>
      <w:bookmarkEnd w:id="186"/>
      <w:bookmarkEnd w:id="187"/>
    </w:p>
    <w:p w14:paraId="6407CD38" w14:textId="77777777" w:rsidR="001C2F95" w:rsidRPr="00C61BD6" w:rsidRDefault="001C2F95" w:rsidP="001C2F95">
      <w:pPr>
        <w:rPr>
          <w:rFonts w:cs="Arial"/>
          <w:szCs w:val="21"/>
          <w:lang w:val="fr-CA"/>
        </w:rPr>
      </w:pPr>
      <w:bookmarkStart w:id="188" w:name="_Toc288507377"/>
      <w:bookmarkStart w:id="189" w:name="_Toc295895845"/>
      <w:bookmarkStart w:id="190" w:name="_Toc295898535"/>
      <w:bookmarkStart w:id="191" w:name="_Toc295899380"/>
      <w:bookmarkStart w:id="192" w:name="_Toc295900225"/>
    </w:p>
    <w:p w14:paraId="1A58D768" w14:textId="77777777" w:rsidR="001C2F95" w:rsidRPr="00C61BD6" w:rsidRDefault="001C2F95" w:rsidP="001C2F95">
      <w:pPr>
        <w:rPr>
          <w:rFonts w:cs="Arial"/>
          <w:szCs w:val="21"/>
        </w:rPr>
      </w:pPr>
      <w:r w:rsidRPr="00C61BD6">
        <w:rPr>
          <w:rFonts w:eastAsia="Calibri" w:cs="Arial"/>
          <w:szCs w:val="21"/>
          <w:lang w:eastAsia="en-US"/>
        </w:rPr>
        <w:t>Le Gouvernement de la République Démocratique du Congo (RDC) a reçu un appui</w:t>
      </w:r>
      <w:r w:rsidRPr="00C61BD6">
        <w:rPr>
          <w:rFonts w:cs="Arial"/>
          <w:szCs w:val="21"/>
        </w:rPr>
        <w:t xml:space="preserve"> financier</w:t>
      </w:r>
      <w:r w:rsidRPr="00C61BD6">
        <w:rPr>
          <w:rFonts w:eastAsia="Calibri" w:cs="Arial"/>
          <w:szCs w:val="21"/>
          <w:lang w:eastAsia="en-US"/>
        </w:rPr>
        <w:t xml:space="preserve"> de l'Association Internationale pour le Dé</w:t>
      </w:r>
      <w:r w:rsidRPr="00C61BD6">
        <w:rPr>
          <w:rFonts w:cs="Arial"/>
          <w:szCs w:val="21"/>
        </w:rPr>
        <w:t xml:space="preserve">veloppement (IDA) du Groupe de la </w:t>
      </w:r>
      <w:r w:rsidRPr="00C61BD6">
        <w:rPr>
          <w:rFonts w:eastAsia="Calibri" w:cs="Arial"/>
          <w:szCs w:val="21"/>
          <w:lang w:eastAsia="en-US"/>
        </w:rPr>
        <w:t>Ban</w:t>
      </w:r>
      <w:r w:rsidRPr="00C61BD6">
        <w:rPr>
          <w:rFonts w:cs="Arial"/>
          <w:szCs w:val="21"/>
        </w:rPr>
        <w:t xml:space="preserve">que Mondiale, pour préparer le Programme National de Développement Agricole (PNDA) </w:t>
      </w:r>
      <w:r w:rsidRPr="00C61BD6">
        <w:rPr>
          <w:rFonts w:eastAsia="Calibri" w:cs="Arial"/>
          <w:szCs w:val="21"/>
          <w:lang w:eastAsia="en-US"/>
        </w:rPr>
        <w:t>ayant pour objectif, dans sa 1</w:t>
      </w:r>
      <w:r w:rsidRPr="00C61BD6">
        <w:rPr>
          <w:rFonts w:cs="Arial"/>
          <w:szCs w:val="21"/>
          <w:vertAlign w:val="superscript"/>
        </w:rPr>
        <w:t>ère</w:t>
      </w:r>
      <w:r w:rsidRPr="00C61BD6">
        <w:rPr>
          <w:rFonts w:cs="Arial"/>
          <w:szCs w:val="21"/>
        </w:rPr>
        <w:t xml:space="preserve"> </w:t>
      </w:r>
      <w:r w:rsidRPr="00C61BD6">
        <w:rPr>
          <w:rFonts w:eastAsia="Calibri" w:cs="Arial"/>
          <w:szCs w:val="21"/>
          <w:lang w:eastAsia="en-US"/>
        </w:rPr>
        <w:t xml:space="preserve">phase, </w:t>
      </w:r>
      <w:r w:rsidRPr="00C61BD6">
        <w:rPr>
          <w:rFonts w:cs="Arial"/>
          <w:szCs w:val="21"/>
        </w:rPr>
        <w:t>d’augmenter la productivité agricole et améliorer l’accès au marché des petits exploitants dans des régions sélectionnées.</w:t>
      </w:r>
    </w:p>
    <w:p w14:paraId="5D4C6022" w14:textId="77777777" w:rsidR="001C2F95" w:rsidRPr="00C61BD6" w:rsidRDefault="001C2F95" w:rsidP="001C2F95">
      <w:pPr>
        <w:rPr>
          <w:rFonts w:cs="Arial"/>
          <w:szCs w:val="21"/>
        </w:rPr>
      </w:pPr>
    </w:p>
    <w:p w14:paraId="5610F0C3" w14:textId="77777777" w:rsidR="001C2F95" w:rsidRPr="00C61BD6" w:rsidRDefault="001C2F95" w:rsidP="001C2F95">
      <w:pPr>
        <w:rPr>
          <w:rFonts w:cs="Arial"/>
          <w:szCs w:val="21"/>
        </w:rPr>
      </w:pPr>
      <w:r w:rsidRPr="00C61BD6">
        <w:rPr>
          <w:rFonts w:cs="Arial"/>
          <w:szCs w:val="21"/>
        </w:rPr>
        <w:t>En effet, la RDC continue à faire face à de graves problèmes de développement, mais le nouveau gouvernement s’est engagé à les résoudre. L’agriculture représente actuellement environ 20 % du PIB, emploie entre 70 et 75 % de la population active et joue un rôle clé dans la réduction de l’insécurité alimentaire, de la malnutrition et de la pauvreté rurale, mais l’on observe la baisse de la productivité agricole de la RDC par rapport aux pays voisins est due principalement au sous-investissement, aussi bien au niveau des fermes qu’au niveau des biens et des services publics agricoles, notamment pour l’accès au marché.</w:t>
      </w:r>
    </w:p>
    <w:p w14:paraId="62F13EB5" w14:textId="77777777" w:rsidR="00FA68EC" w:rsidRPr="00C61BD6" w:rsidRDefault="00FA68EC" w:rsidP="001C2F95">
      <w:pPr>
        <w:rPr>
          <w:rFonts w:cs="Arial"/>
          <w:szCs w:val="21"/>
        </w:rPr>
      </w:pPr>
    </w:p>
    <w:p w14:paraId="5BFF85BC" w14:textId="77777777" w:rsidR="00FA68EC" w:rsidRPr="00C61BD6" w:rsidRDefault="00FA68EC" w:rsidP="00FA68EC">
      <w:pPr>
        <w:rPr>
          <w:rFonts w:cs="Arial"/>
          <w:szCs w:val="21"/>
        </w:rPr>
      </w:pPr>
      <w:r w:rsidRPr="00C61BD6">
        <w:rPr>
          <w:rFonts w:cs="Arial"/>
          <w:szCs w:val="21"/>
        </w:rPr>
        <w:t>Les activités du programme sont conçues pour faire le lien avec les investissements en RDC soutenus par la Banque mondiale et liées au développement des MPME, des infrastructures de transport, de l’administration des terres, de la nutrition et du programme relatif au capital humain.</w:t>
      </w:r>
    </w:p>
    <w:p w14:paraId="74BA7148" w14:textId="77777777" w:rsidR="00FA68EC" w:rsidRPr="00C61BD6" w:rsidRDefault="00FA68EC" w:rsidP="00FA68EC">
      <w:pPr>
        <w:rPr>
          <w:rFonts w:cs="Arial"/>
          <w:szCs w:val="21"/>
        </w:rPr>
      </w:pPr>
    </w:p>
    <w:p w14:paraId="2F98DE41" w14:textId="77777777" w:rsidR="009E0380" w:rsidRPr="00C61BD6" w:rsidRDefault="00FA68EC" w:rsidP="00FA68EC">
      <w:pPr>
        <w:rPr>
          <w:rFonts w:cs="Arial"/>
          <w:szCs w:val="21"/>
        </w:rPr>
      </w:pPr>
      <w:r w:rsidRPr="00C61BD6">
        <w:rPr>
          <w:rFonts w:cs="Arial"/>
          <w:szCs w:val="21"/>
        </w:rPr>
        <w:t xml:space="preserve">La première analyse montre une corrélation positive significative des phases du programme est basée sur les leçons tirées de la mise en œuvre de projets antérieurs et en cours dans l’agriculture et d’autres secteurs. </w:t>
      </w:r>
    </w:p>
    <w:p w14:paraId="16932A46" w14:textId="77777777" w:rsidR="009E0380" w:rsidRPr="00C61BD6" w:rsidRDefault="009E0380" w:rsidP="00FA68EC">
      <w:pPr>
        <w:rPr>
          <w:rFonts w:cs="Arial"/>
          <w:szCs w:val="21"/>
        </w:rPr>
      </w:pPr>
    </w:p>
    <w:p w14:paraId="26C97DEC" w14:textId="77777777" w:rsidR="009E0380" w:rsidRDefault="00FA68EC" w:rsidP="00FA68EC">
      <w:pPr>
        <w:rPr>
          <w:rFonts w:cs="Arial"/>
          <w:szCs w:val="21"/>
        </w:rPr>
      </w:pPr>
      <w:r w:rsidRPr="00C61BD6">
        <w:rPr>
          <w:rFonts w:cs="Arial"/>
          <w:szCs w:val="21"/>
        </w:rPr>
        <w:t>En effet, la Banque mondiale soutient depuis plusieurs décennies le développement du secteur agricole en RDC par une approche infranationale centrée sur la productivité agricole et l’accès au marché dans plusieurs provinces. Elle couvre actuellement les trois opérations suivantes, totalisant 341 millions USD, et devrait bénéficier 500 000 petits exploitants agricoles : (i) Projet d’Appui à la Réhabilitation et à la Relance du Secteur agricole (PARRSA) P092724 (</w:t>
      </w:r>
      <w:r w:rsidR="0065582C" w:rsidRPr="00C61BD6">
        <w:rPr>
          <w:rFonts w:cs="Arial"/>
          <w:szCs w:val="21"/>
        </w:rPr>
        <w:t>P</w:t>
      </w:r>
      <w:r w:rsidRPr="00C61BD6">
        <w:rPr>
          <w:rFonts w:cs="Arial"/>
          <w:szCs w:val="21"/>
        </w:rPr>
        <w:t>rovinces de Mongala, Nord Ubangi et Sud Ubangi) ; (ii) Projet de Développement des Pôles de Croissance (PDPC) P124720 (</w:t>
      </w:r>
      <w:r w:rsidR="0065582C" w:rsidRPr="00C61BD6">
        <w:rPr>
          <w:rFonts w:cs="Arial"/>
          <w:szCs w:val="21"/>
        </w:rPr>
        <w:t>P</w:t>
      </w:r>
      <w:r w:rsidRPr="00C61BD6">
        <w:rPr>
          <w:rFonts w:cs="Arial"/>
          <w:szCs w:val="21"/>
        </w:rPr>
        <w:t xml:space="preserve">rovince du Kongo </w:t>
      </w:r>
      <w:r w:rsidR="0065582C" w:rsidRPr="00C61BD6">
        <w:rPr>
          <w:rFonts w:cs="Arial"/>
          <w:szCs w:val="21"/>
        </w:rPr>
        <w:t>C</w:t>
      </w:r>
      <w:r w:rsidRPr="00C61BD6">
        <w:rPr>
          <w:rFonts w:cs="Arial"/>
          <w:szCs w:val="21"/>
        </w:rPr>
        <w:t xml:space="preserve">entral) ; et (iii) Programme </w:t>
      </w:r>
      <w:r w:rsidR="0065582C" w:rsidRPr="00C61BD6">
        <w:rPr>
          <w:rFonts w:cs="Arial"/>
          <w:szCs w:val="21"/>
        </w:rPr>
        <w:t>I</w:t>
      </w:r>
      <w:r w:rsidRPr="00C61BD6">
        <w:rPr>
          <w:rFonts w:cs="Arial"/>
          <w:szCs w:val="21"/>
        </w:rPr>
        <w:t>ntégré de Croissance agricole dans les Grands Lacs (PICAGL) P143307 (</w:t>
      </w:r>
      <w:r w:rsidR="0065582C" w:rsidRPr="00C61BD6">
        <w:rPr>
          <w:rFonts w:cs="Arial"/>
          <w:szCs w:val="21"/>
        </w:rPr>
        <w:t>P</w:t>
      </w:r>
      <w:r w:rsidRPr="00C61BD6">
        <w:rPr>
          <w:rFonts w:cs="Arial"/>
          <w:szCs w:val="21"/>
        </w:rPr>
        <w:t>rovinces du Tanganyika et du Sud</w:t>
      </w:r>
      <w:r w:rsidR="0065582C" w:rsidRPr="00C61BD6">
        <w:rPr>
          <w:rFonts w:cs="Arial"/>
          <w:szCs w:val="21"/>
        </w:rPr>
        <w:t>-</w:t>
      </w:r>
      <w:r w:rsidRPr="00C61BD6">
        <w:rPr>
          <w:rFonts w:cs="Arial"/>
          <w:szCs w:val="21"/>
        </w:rPr>
        <w:t>Kivu). À partir des travaux d’analyse récemment effectués (principalement la revue du secteur agricole de 2018 — P165747) et de l’analyse des investissements antérieurs et en cours de la Banque mondiale dans le secteur de l’agriculture en RDC et dans la région, et en particulier des succès du PARRSA (voir Box 1), certains enseignements clés ont été tirés : (i) combiner l’accès aux intrants améliorés (semences, engrais, assistance technique) et aux marchés de sortie (routes rurales, soutien aux groupes d’agriculteurs) a eu un impact significatif sur les rendements agricoles et la sécurité alimentaire en RDC ; (ii) le fait d’appuyer les fournisseurs d’intrants agricoles et les prestataires d’assistance technique du secteur privé par le biais de bons (vouchers) a permis d’améliorer la productivité au niveau de l’exploitation avec des gains importants d’efficacité et de ciblage des dépenses publiques ; et (iii) l’augmentation de la productivité des petits exploitants a eu un impact direct sur l’état nutrition</w:t>
      </w:r>
      <w:r w:rsidR="009E0380" w:rsidRPr="00C61BD6">
        <w:rPr>
          <w:rFonts w:cs="Arial"/>
          <w:szCs w:val="21"/>
        </w:rPr>
        <w:t>nel des ménages</w:t>
      </w:r>
      <w:r w:rsidRPr="00C61BD6">
        <w:rPr>
          <w:rFonts w:cs="Arial"/>
          <w:szCs w:val="21"/>
        </w:rPr>
        <w:t xml:space="preserve">. </w:t>
      </w:r>
    </w:p>
    <w:p w14:paraId="0B3A1FBC" w14:textId="77777777" w:rsidR="00C61BD6" w:rsidRPr="00C61BD6" w:rsidRDefault="00C61BD6" w:rsidP="00FA68EC">
      <w:pPr>
        <w:rPr>
          <w:rFonts w:cs="Arial"/>
          <w:szCs w:val="21"/>
        </w:rPr>
      </w:pPr>
    </w:p>
    <w:p w14:paraId="1AF08CF2" w14:textId="77777777" w:rsidR="00FA68EC" w:rsidRPr="00C61BD6" w:rsidRDefault="00FA68EC" w:rsidP="00FA68EC">
      <w:pPr>
        <w:rPr>
          <w:rFonts w:cs="Arial"/>
          <w:szCs w:val="21"/>
        </w:rPr>
      </w:pPr>
      <w:r w:rsidRPr="00C61BD6">
        <w:rPr>
          <w:rFonts w:cs="Arial"/>
          <w:szCs w:val="21"/>
        </w:rPr>
        <w:t>Cependant, une approche infranationale à projet unique empêche l’intégration des stratégies d’intervention du gouvernement et des donateurs dans toute la RDC, ce qui rend la mise à l’échelle et la reproduction plus difficiles. Par conséquent, sur la base des expériences passées et actuelles et des enseignements tirés, le programme proposé cherchera à développer un programme national et à adopter plusieurs phases (série de projets). Cette approche nationale et programmatique permettra : (i) de déployer différents types d’inte</w:t>
      </w:r>
      <w:r w:rsidR="009E0380" w:rsidRPr="00C61BD6">
        <w:rPr>
          <w:rFonts w:cs="Arial"/>
          <w:szCs w:val="21"/>
        </w:rPr>
        <w:t>rventions selon les conditions</w:t>
      </w:r>
      <w:r w:rsidRPr="00C61BD6">
        <w:rPr>
          <w:rFonts w:cs="Arial"/>
          <w:szCs w:val="21"/>
        </w:rPr>
        <w:t xml:space="preserve"> des petites exploitations agricoles dans chaque région du pays, tout en apprenant les unes des autres ; (ii) d’étendre les interventions géographiquement pour couvrir l’ensemble du pays au fil du temps, en s’appuyant sur les avantages comparatifs et l’intégration des marchés ; (iii) de regrouper les interventions de développement de l’agriculture avec d’autres interventions sectorielles comme dans le transport, la nutrition et le développement des secteurs privé et financier ; et (iv) bâtir les capacités des secteurs public et privé, ce qui ne peut être réalisé de manière durable qu’à moyen et long terme, en mettant en œuvre des politiques et des stratégies nationales</w:t>
      </w:r>
    </w:p>
    <w:p w14:paraId="195BDAF6" w14:textId="77777777" w:rsidR="001C2F95" w:rsidRPr="00C61BD6" w:rsidRDefault="001C2F95" w:rsidP="001C2F95">
      <w:pPr>
        <w:rPr>
          <w:rFonts w:cs="Arial"/>
          <w:szCs w:val="21"/>
        </w:rPr>
      </w:pPr>
    </w:p>
    <w:p w14:paraId="73EBC7EF" w14:textId="77777777" w:rsidR="001C2F95" w:rsidRPr="00C61BD6" w:rsidRDefault="001C2F95" w:rsidP="001C2F95">
      <w:pPr>
        <w:rPr>
          <w:rFonts w:cs="Arial"/>
          <w:szCs w:val="21"/>
        </w:rPr>
      </w:pPr>
      <w:r w:rsidRPr="00C61BD6">
        <w:rPr>
          <w:rFonts w:cs="Arial"/>
          <w:szCs w:val="21"/>
        </w:rPr>
        <w:t xml:space="preserve">Par ailleurs, le secteur agricole de la RDC est particulièrement exposé aux changements climatiques et l’incidence d’autres chocs externes comme la sécheresse, les inondations et autres phénomènes météorologiques extrêmes devraient augmenter en fréquence et en gravité. </w:t>
      </w:r>
    </w:p>
    <w:p w14:paraId="37622159" w14:textId="77777777" w:rsidR="001C2F95" w:rsidRPr="00C61BD6" w:rsidRDefault="001C2F95" w:rsidP="001C2F95">
      <w:pPr>
        <w:rPr>
          <w:rFonts w:cs="Arial"/>
          <w:szCs w:val="21"/>
        </w:rPr>
      </w:pPr>
    </w:p>
    <w:p w14:paraId="4AA6212F" w14:textId="77777777" w:rsidR="001C2F95" w:rsidRPr="00C61BD6" w:rsidRDefault="001C2F95" w:rsidP="001C2F95">
      <w:pPr>
        <w:rPr>
          <w:rFonts w:cs="Arial"/>
          <w:szCs w:val="21"/>
        </w:rPr>
      </w:pPr>
      <w:r w:rsidRPr="00C61BD6">
        <w:rPr>
          <w:rFonts w:cs="Arial"/>
          <w:szCs w:val="21"/>
        </w:rPr>
        <w:t>Pour ce faire, le Gouvernement de la RDC compte réduire la pauvreté rurale en rétablissant et modernisant les systèmes de production agricole, en améliorant la nutrition et la sécurité alimentaire et en mobilisant des investissements importants des secteurs public et privé.</w:t>
      </w:r>
    </w:p>
    <w:p w14:paraId="6253D759" w14:textId="77777777" w:rsidR="001C2F95" w:rsidRPr="00C61BD6" w:rsidRDefault="001C2F95" w:rsidP="001C2F95">
      <w:pPr>
        <w:rPr>
          <w:rFonts w:cs="Arial"/>
          <w:szCs w:val="21"/>
        </w:rPr>
      </w:pPr>
    </w:p>
    <w:p w14:paraId="457951EA" w14:textId="77777777" w:rsidR="001C2F95" w:rsidRPr="00C61BD6" w:rsidRDefault="001C2F95" w:rsidP="001C2F95">
      <w:pPr>
        <w:rPr>
          <w:rFonts w:cs="Arial"/>
          <w:szCs w:val="21"/>
        </w:rPr>
      </w:pPr>
      <w:r w:rsidRPr="00C61BD6">
        <w:rPr>
          <w:rFonts w:cs="Arial"/>
          <w:szCs w:val="21"/>
        </w:rPr>
        <w:t>Ainsi, le programme va soutenir la croissance de la productivité agricole au niveau de l’exploitation, permettant aux petits exploitants agricoles d’accroître leurs actifs et leur production, puis d’intervenir pour favoriser l’accès au marché et l’intégration productive de ces petits exploitants dans les chaînes d’approvisionnement agricoles. Le phasage de telles interventions sectorielles sera soutenu par des investissements importants dans la fourniture des biens et services publics agricoles aux niveaux, national et local, notamment la recherche et le développement agricoles, la santé animale et végétale et les infrastructures. En outre, le programme combinera une approche de développement mené par la communauté visant à fournir un accès aux biens et services publics agricoles critiques et une approche de soutien direct aux agriculteurs pour améliorer la situation en matière de sécurité alimentaire et de malnutrition.</w:t>
      </w:r>
    </w:p>
    <w:p w14:paraId="5A485D04" w14:textId="77777777" w:rsidR="001C2F95" w:rsidRPr="00C61BD6" w:rsidRDefault="001C2F95" w:rsidP="001C2F95">
      <w:pPr>
        <w:rPr>
          <w:rFonts w:cs="Arial"/>
          <w:szCs w:val="21"/>
        </w:rPr>
      </w:pPr>
      <w:r w:rsidRPr="00C61BD6">
        <w:rPr>
          <w:rFonts w:cs="Arial"/>
          <w:szCs w:val="21"/>
        </w:rPr>
        <w:t>Les investissements du PNDA seront concentrés en priorité pour cette première phase pour une durée de 5 ans dans la région du Kasaï (Provinces du Kasaï, Kasaï Central), la région de l’Ouest (Provinces du Kongo Central et du Kwilu), la région de l’Est (Province du Nord Kivu).</w:t>
      </w:r>
    </w:p>
    <w:p w14:paraId="25254895" w14:textId="77777777" w:rsidR="001C2F95" w:rsidRPr="00C61BD6" w:rsidRDefault="001C2F95" w:rsidP="001C2F95">
      <w:pPr>
        <w:rPr>
          <w:rFonts w:cs="Arial"/>
          <w:szCs w:val="21"/>
        </w:rPr>
      </w:pPr>
    </w:p>
    <w:p w14:paraId="225E45B6" w14:textId="77777777" w:rsidR="001C2F95" w:rsidRPr="00C61BD6" w:rsidRDefault="001C2F95" w:rsidP="001C2F95">
      <w:pPr>
        <w:pStyle w:val="Titre2"/>
        <w:numPr>
          <w:ilvl w:val="1"/>
          <w:numId w:val="4"/>
        </w:numPr>
        <w:ind w:left="851" w:hanging="425"/>
        <w:rPr>
          <w:rFonts w:cs="Arial"/>
          <w:b/>
          <w:szCs w:val="21"/>
        </w:rPr>
      </w:pPr>
      <w:bookmarkStart w:id="193" w:name="_Toc90393044"/>
      <w:bookmarkStart w:id="194" w:name="_Toc90471403"/>
      <w:r w:rsidRPr="00C61BD6">
        <w:rPr>
          <w:rFonts w:cs="Arial"/>
          <w:b/>
          <w:szCs w:val="21"/>
        </w:rPr>
        <w:t>Objectif du PNDA</w:t>
      </w:r>
      <w:bookmarkEnd w:id="193"/>
      <w:bookmarkEnd w:id="194"/>
    </w:p>
    <w:p w14:paraId="15A518D5" w14:textId="77777777" w:rsidR="001C2F95" w:rsidRPr="00C61BD6" w:rsidRDefault="001C2F95" w:rsidP="001C2F95">
      <w:pPr>
        <w:rPr>
          <w:rFonts w:cs="Arial"/>
          <w:szCs w:val="21"/>
        </w:rPr>
      </w:pPr>
    </w:p>
    <w:p w14:paraId="79B66251" w14:textId="77777777" w:rsidR="001C2F95" w:rsidRPr="00C61BD6" w:rsidRDefault="001C2F95" w:rsidP="001C2F95">
      <w:pPr>
        <w:rPr>
          <w:rFonts w:cs="Arial"/>
          <w:szCs w:val="21"/>
        </w:rPr>
      </w:pPr>
      <w:r w:rsidRPr="00C61BD6">
        <w:rPr>
          <w:rFonts w:cs="Arial"/>
          <w:szCs w:val="21"/>
        </w:rPr>
        <w:t>L’objectif du développement du Projet est d’améliorer la productivité agricole et l’accès au marché des petits exploitants agricoles dans des régions sélectionnées et renforcer la capacité du secteur à faire face aux situations d’urgence éligibles dans le secteur agricole.</w:t>
      </w:r>
    </w:p>
    <w:p w14:paraId="3F617AAA" w14:textId="77777777" w:rsidR="001C2F95" w:rsidRPr="00C61BD6" w:rsidRDefault="001C2F95" w:rsidP="001C2F95">
      <w:pPr>
        <w:rPr>
          <w:rFonts w:cs="Arial"/>
          <w:szCs w:val="21"/>
        </w:rPr>
      </w:pPr>
    </w:p>
    <w:p w14:paraId="19AB987D" w14:textId="77777777" w:rsidR="001C2F95" w:rsidRPr="00C61BD6" w:rsidRDefault="001C2F95" w:rsidP="001C2F95">
      <w:pPr>
        <w:rPr>
          <w:rFonts w:cs="Arial"/>
          <w:szCs w:val="21"/>
          <w:lang w:bidi="fr-FR"/>
        </w:rPr>
      </w:pPr>
      <w:r w:rsidRPr="00C61BD6">
        <w:rPr>
          <w:rFonts w:cs="Arial"/>
          <w:szCs w:val="21"/>
          <w:lang w:bidi="fr-FR"/>
        </w:rPr>
        <w:t>Le Projet PNDA est soumis aux exigences du nouveau C</w:t>
      </w:r>
      <w:r w:rsidR="0065582C" w:rsidRPr="00C61BD6">
        <w:rPr>
          <w:rFonts w:cs="Arial"/>
          <w:szCs w:val="21"/>
          <w:lang w:bidi="fr-FR"/>
        </w:rPr>
        <w:t>adre Environnemental et Social (C</w:t>
      </w:r>
      <w:r w:rsidRPr="00C61BD6">
        <w:rPr>
          <w:rFonts w:cs="Arial"/>
          <w:szCs w:val="21"/>
          <w:lang w:bidi="fr-FR"/>
        </w:rPr>
        <w:t>ES</w:t>
      </w:r>
      <w:r w:rsidR="0065582C" w:rsidRPr="00C61BD6">
        <w:rPr>
          <w:rFonts w:cs="Arial"/>
          <w:szCs w:val="21"/>
          <w:lang w:bidi="fr-FR"/>
        </w:rPr>
        <w:t>)</w:t>
      </w:r>
      <w:r w:rsidRPr="00C61BD6">
        <w:rPr>
          <w:rFonts w:cs="Arial"/>
          <w:szCs w:val="21"/>
          <w:lang w:bidi="fr-FR"/>
        </w:rPr>
        <w:t xml:space="preserve"> de la Banque mondiale, entrées en vigueur le 01 octobre 2018. L’évaluation des risques et impacts environnementaux et sociaux du Projet ont permis de le classer comme Projet à "</w:t>
      </w:r>
      <w:r w:rsidR="00D13BCA" w:rsidRPr="00C61BD6">
        <w:rPr>
          <w:rFonts w:cs="Arial"/>
          <w:szCs w:val="21"/>
          <w:lang w:bidi="fr-FR"/>
        </w:rPr>
        <w:t xml:space="preserve"> </w:t>
      </w:r>
      <w:r w:rsidRPr="00C61BD6">
        <w:rPr>
          <w:rFonts w:cs="Arial"/>
          <w:szCs w:val="21"/>
          <w:lang w:bidi="fr-FR"/>
        </w:rPr>
        <w:t xml:space="preserve">Risque </w:t>
      </w:r>
      <w:r w:rsidR="00D13BCA" w:rsidRPr="00C61BD6">
        <w:rPr>
          <w:rFonts w:cs="Arial"/>
          <w:szCs w:val="21"/>
          <w:lang w:bidi="fr-FR"/>
        </w:rPr>
        <w:t xml:space="preserve">substantiel </w:t>
      </w:r>
      <w:r w:rsidRPr="00C61BD6">
        <w:rPr>
          <w:rFonts w:cs="Arial"/>
          <w:szCs w:val="21"/>
          <w:lang w:bidi="fr-FR"/>
        </w:rPr>
        <w:t>" sur le plan environnemental et</w:t>
      </w:r>
      <w:r w:rsidR="00CC7241" w:rsidRPr="00C61BD6">
        <w:rPr>
          <w:rFonts w:cs="Arial"/>
          <w:szCs w:val="21"/>
          <w:lang w:bidi="fr-FR"/>
        </w:rPr>
        <w:t xml:space="preserve"> à risque</w:t>
      </w:r>
      <w:r w:rsidRPr="00C61BD6">
        <w:rPr>
          <w:rFonts w:cs="Arial"/>
          <w:szCs w:val="21"/>
          <w:lang w:bidi="fr-FR"/>
        </w:rPr>
        <w:t xml:space="preserve"> </w:t>
      </w:r>
      <w:r w:rsidR="00CC7241" w:rsidRPr="00C61BD6">
        <w:rPr>
          <w:rFonts w:cs="Arial"/>
          <w:szCs w:val="21"/>
          <w:lang w:bidi="fr-FR"/>
        </w:rPr>
        <w:t xml:space="preserve">élevé sur le plan </w:t>
      </w:r>
      <w:r w:rsidRPr="00C61BD6">
        <w:rPr>
          <w:rFonts w:cs="Arial"/>
          <w:szCs w:val="21"/>
          <w:lang w:bidi="fr-FR"/>
        </w:rPr>
        <w:t>social conformément au CES de la Banque mondiale</w:t>
      </w:r>
      <w:r w:rsidR="00D20A53" w:rsidRPr="00C61BD6">
        <w:rPr>
          <w:rFonts w:cs="Arial"/>
          <w:szCs w:val="21"/>
          <w:lang w:bidi="fr-FR"/>
        </w:rPr>
        <w:t>.</w:t>
      </w:r>
    </w:p>
    <w:p w14:paraId="6705A6E2" w14:textId="77777777" w:rsidR="001C2F95" w:rsidRPr="00C61BD6" w:rsidRDefault="001C2F95" w:rsidP="001C2F95">
      <w:pPr>
        <w:rPr>
          <w:rFonts w:eastAsia="Calibri" w:cs="Arial"/>
          <w:szCs w:val="21"/>
          <w:lang w:bidi="fr-FR"/>
        </w:rPr>
      </w:pPr>
      <w:r w:rsidRPr="00C61BD6">
        <w:rPr>
          <w:rFonts w:eastAsia="Calibri" w:cs="Arial"/>
          <w:szCs w:val="21"/>
          <w:lang w:bidi="fr-FR"/>
        </w:rPr>
        <w:t xml:space="preserve">Au vu de l’évaluation environnementale et sociale préliminaire conduite par la Banque mondiale, dix sur les dix </w:t>
      </w:r>
      <w:r w:rsidR="0065582C" w:rsidRPr="00C61BD6">
        <w:rPr>
          <w:rFonts w:eastAsia="Calibri" w:cs="Arial"/>
          <w:szCs w:val="21"/>
          <w:lang w:bidi="fr-FR"/>
        </w:rPr>
        <w:t>Normes Environnementales et Sociales (</w:t>
      </w:r>
      <w:r w:rsidRPr="00C61BD6">
        <w:rPr>
          <w:rFonts w:eastAsia="Calibri" w:cs="Arial"/>
          <w:szCs w:val="21"/>
          <w:lang w:bidi="fr-FR"/>
        </w:rPr>
        <w:t>NES</w:t>
      </w:r>
      <w:r w:rsidR="0065582C" w:rsidRPr="00C61BD6">
        <w:rPr>
          <w:rFonts w:eastAsia="Calibri" w:cs="Arial"/>
          <w:szCs w:val="21"/>
          <w:lang w:bidi="fr-FR"/>
        </w:rPr>
        <w:t>)</w:t>
      </w:r>
      <w:r w:rsidRPr="00C61BD6">
        <w:rPr>
          <w:rFonts w:eastAsia="Calibri" w:cs="Arial"/>
          <w:szCs w:val="21"/>
          <w:lang w:bidi="fr-FR"/>
        </w:rPr>
        <w:t xml:space="preserve"> ont été jugées pertinentes pour ce projet. Il s’agit de : </w:t>
      </w:r>
    </w:p>
    <w:p w14:paraId="5EE02423" w14:textId="77777777" w:rsidR="001C2F95" w:rsidRPr="00C61BD6" w:rsidRDefault="001C2F95" w:rsidP="001C2F95">
      <w:pPr>
        <w:rPr>
          <w:rFonts w:eastAsia="Calibri" w:cs="Arial"/>
          <w:szCs w:val="21"/>
          <w:lang w:bidi="fr-FR"/>
        </w:rPr>
      </w:pPr>
    </w:p>
    <w:p w14:paraId="57D72C1A" w14:textId="77777777" w:rsidR="001C2F95" w:rsidRPr="00C61BD6" w:rsidRDefault="001C2F95" w:rsidP="002378EA">
      <w:pPr>
        <w:pStyle w:val="Paragraphedeliste"/>
        <w:numPr>
          <w:ilvl w:val="0"/>
          <w:numId w:val="106"/>
        </w:numPr>
        <w:tabs>
          <w:tab w:val="left" w:pos="426"/>
        </w:tabs>
        <w:rPr>
          <w:rFonts w:eastAsia="Calibri" w:cs="Arial"/>
          <w:szCs w:val="21"/>
        </w:rPr>
      </w:pPr>
      <w:r w:rsidRPr="00C61BD6">
        <w:rPr>
          <w:rFonts w:eastAsia="Calibri" w:cs="Arial"/>
          <w:szCs w:val="21"/>
        </w:rPr>
        <w:t xml:space="preserve">NES n° 1 : Évaluation et gestion des risques et effets environnementaux et sociaux </w:t>
      </w:r>
    </w:p>
    <w:p w14:paraId="74C3D608" w14:textId="77777777" w:rsidR="001C2F95" w:rsidRPr="00C61BD6" w:rsidRDefault="001C2F95" w:rsidP="002378EA">
      <w:pPr>
        <w:pStyle w:val="Paragraphedeliste"/>
        <w:numPr>
          <w:ilvl w:val="0"/>
          <w:numId w:val="106"/>
        </w:numPr>
        <w:tabs>
          <w:tab w:val="left" w:pos="426"/>
        </w:tabs>
        <w:rPr>
          <w:rFonts w:eastAsia="Calibri" w:cs="Arial"/>
          <w:szCs w:val="21"/>
        </w:rPr>
      </w:pPr>
      <w:r w:rsidRPr="00C61BD6">
        <w:rPr>
          <w:rFonts w:eastAsia="Calibri" w:cs="Arial"/>
          <w:szCs w:val="21"/>
        </w:rPr>
        <w:t>NES n° 2 : Emploi et conditions de travail</w:t>
      </w:r>
    </w:p>
    <w:p w14:paraId="17F6E306" w14:textId="77777777" w:rsidR="001C2F95" w:rsidRPr="00C61BD6" w:rsidRDefault="001C2F95" w:rsidP="002378EA">
      <w:pPr>
        <w:pStyle w:val="Paragraphedeliste"/>
        <w:numPr>
          <w:ilvl w:val="0"/>
          <w:numId w:val="106"/>
        </w:numPr>
        <w:tabs>
          <w:tab w:val="left" w:pos="426"/>
        </w:tabs>
        <w:rPr>
          <w:rFonts w:eastAsia="Calibri" w:cs="Arial"/>
          <w:szCs w:val="21"/>
        </w:rPr>
      </w:pPr>
      <w:r w:rsidRPr="00C61BD6">
        <w:rPr>
          <w:rFonts w:eastAsia="Calibri" w:cs="Arial"/>
          <w:szCs w:val="21"/>
        </w:rPr>
        <w:t xml:space="preserve">NES n°3 : Utilisation rationnelle des ressources et prévention et gestion de la pollution </w:t>
      </w:r>
    </w:p>
    <w:p w14:paraId="7570293B" w14:textId="77777777" w:rsidR="001C2F95" w:rsidRPr="00C61BD6" w:rsidRDefault="001C2F95" w:rsidP="002378EA">
      <w:pPr>
        <w:pStyle w:val="Paragraphedeliste"/>
        <w:numPr>
          <w:ilvl w:val="0"/>
          <w:numId w:val="106"/>
        </w:numPr>
        <w:tabs>
          <w:tab w:val="left" w:pos="426"/>
        </w:tabs>
        <w:rPr>
          <w:rFonts w:eastAsia="Calibri" w:cs="Arial"/>
          <w:szCs w:val="21"/>
        </w:rPr>
      </w:pPr>
      <w:r w:rsidRPr="00C61BD6">
        <w:rPr>
          <w:rFonts w:eastAsia="Calibri" w:cs="Arial"/>
          <w:szCs w:val="21"/>
        </w:rPr>
        <w:t>NES n°4 : Santé et sécurité des populations</w:t>
      </w:r>
    </w:p>
    <w:p w14:paraId="6AEAA448" w14:textId="77777777" w:rsidR="001C2F95" w:rsidRPr="00C61BD6" w:rsidRDefault="001C2F95" w:rsidP="002378EA">
      <w:pPr>
        <w:pStyle w:val="Paragraphedeliste"/>
        <w:numPr>
          <w:ilvl w:val="0"/>
          <w:numId w:val="106"/>
        </w:numPr>
        <w:tabs>
          <w:tab w:val="left" w:pos="426"/>
        </w:tabs>
        <w:rPr>
          <w:rFonts w:eastAsia="Calibri" w:cs="Arial"/>
          <w:szCs w:val="21"/>
        </w:rPr>
      </w:pPr>
      <w:r w:rsidRPr="00C61BD6">
        <w:rPr>
          <w:rFonts w:eastAsia="Calibri" w:cs="Arial"/>
          <w:szCs w:val="21"/>
        </w:rPr>
        <w:t>NES n°5 : Acquisition de terres, restrictions à l’utilisation de terres et réinstallation involontaire</w:t>
      </w:r>
    </w:p>
    <w:p w14:paraId="46AD5511" w14:textId="77777777" w:rsidR="001C2F95" w:rsidRPr="00C61BD6" w:rsidRDefault="001C2F95" w:rsidP="002378EA">
      <w:pPr>
        <w:pStyle w:val="Paragraphedeliste"/>
        <w:numPr>
          <w:ilvl w:val="0"/>
          <w:numId w:val="106"/>
        </w:numPr>
        <w:tabs>
          <w:tab w:val="left" w:pos="426"/>
        </w:tabs>
        <w:rPr>
          <w:rFonts w:eastAsia="Calibri" w:cs="Arial"/>
          <w:szCs w:val="21"/>
        </w:rPr>
      </w:pPr>
      <w:r w:rsidRPr="00C61BD6">
        <w:rPr>
          <w:rFonts w:eastAsia="Calibri" w:cs="Arial"/>
          <w:szCs w:val="21"/>
        </w:rPr>
        <w:t>NES n°6 : Préservation de la biodiversité et gestion durable des ressources naturelles biologiques</w:t>
      </w:r>
    </w:p>
    <w:p w14:paraId="02A55136" w14:textId="77777777" w:rsidR="001C2F95" w:rsidRPr="00C61BD6" w:rsidRDefault="001C2F95" w:rsidP="002378EA">
      <w:pPr>
        <w:pStyle w:val="Paragraphedeliste"/>
        <w:numPr>
          <w:ilvl w:val="0"/>
          <w:numId w:val="106"/>
        </w:numPr>
        <w:tabs>
          <w:tab w:val="left" w:pos="426"/>
        </w:tabs>
        <w:rPr>
          <w:rFonts w:eastAsia="Calibri" w:cs="Arial"/>
          <w:szCs w:val="21"/>
        </w:rPr>
      </w:pPr>
      <w:r w:rsidRPr="00C61BD6">
        <w:rPr>
          <w:rFonts w:eastAsia="Calibri" w:cs="Arial"/>
          <w:szCs w:val="21"/>
        </w:rPr>
        <w:t xml:space="preserve">NES n°7 : Peuples autochtones / communautés locales traditionnelles d’Afrique subsaharienne historiquement défavorisées </w:t>
      </w:r>
    </w:p>
    <w:p w14:paraId="1B29248A" w14:textId="77777777" w:rsidR="001C2F95" w:rsidRPr="00C61BD6" w:rsidRDefault="001C2F95" w:rsidP="002378EA">
      <w:pPr>
        <w:pStyle w:val="Paragraphedeliste"/>
        <w:numPr>
          <w:ilvl w:val="0"/>
          <w:numId w:val="106"/>
        </w:numPr>
        <w:tabs>
          <w:tab w:val="left" w:pos="426"/>
        </w:tabs>
        <w:rPr>
          <w:rFonts w:eastAsia="Calibri" w:cs="Arial"/>
          <w:szCs w:val="21"/>
        </w:rPr>
      </w:pPr>
      <w:r w:rsidRPr="00C61BD6">
        <w:rPr>
          <w:rFonts w:eastAsia="Calibri" w:cs="Arial"/>
          <w:szCs w:val="21"/>
        </w:rPr>
        <w:t>NES n° 8 : Patrimoine culturel  </w:t>
      </w:r>
    </w:p>
    <w:p w14:paraId="146B8426" w14:textId="77777777" w:rsidR="001C2F95" w:rsidRPr="00C61BD6" w:rsidRDefault="001C2F95" w:rsidP="002378EA">
      <w:pPr>
        <w:pStyle w:val="Paragraphedeliste"/>
        <w:numPr>
          <w:ilvl w:val="0"/>
          <w:numId w:val="106"/>
        </w:numPr>
        <w:tabs>
          <w:tab w:val="left" w:pos="426"/>
        </w:tabs>
        <w:rPr>
          <w:rFonts w:eastAsia="Calibri" w:cs="Arial"/>
          <w:szCs w:val="21"/>
        </w:rPr>
      </w:pPr>
      <w:r w:rsidRPr="00C61BD6">
        <w:rPr>
          <w:rFonts w:eastAsia="Calibri" w:cs="Arial"/>
          <w:szCs w:val="21"/>
        </w:rPr>
        <w:t xml:space="preserve">Normes n°9 : </w:t>
      </w:r>
      <w:r w:rsidR="00D13BCA" w:rsidRPr="00C61BD6">
        <w:rPr>
          <w:rFonts w:eastAsia="Calibri" w:cs="Arial"/>
          <w:szCs w:val="21"/>
        </w:rPr>
        <w:t>Intermédiaires</w:t>
      </w:r>
      <w:r w:rsidRPr="00C61BD6">
        <w:rPr>
          <w:rFonts w:eastAsia="Calibri" w:cs="Arial"/>
          <w:szCs w:val="21"/>
        </w:rPr>
        <w:t xml:space="preserve"> Financiers</w:t>
      </w:r>
    </w:p>
    <w:p w14:paraId="7BB97141" w14:textId="77777777" w:rsidR="001C2F95" w:rsidRPr="00C61BD6" w:rsidRDefault="001C2F95" w:rsidP="002378EA">
      <w:pPr>
        <w:pStyle w:val="Paragraphedeliste"/>
        <w:numPr>
          <w:ilvl w:val="0"/>
          <w:numId w:val="106"/>
        </w:numPr>
        <w:tabs>
          <w:tab w:val="left" w:pos="426"/>
        </w:tabs>
        <w:rPr>
          <w:rFonts w:eastAsia="Calibri" w:cs="Arial"/>
          <w:szCs w:val="21"/>
        </w:rPr>
      </w:pPr>
      <w:r w:rsidRPr="00C61BD6">
        <w:rPr>
          <w:rFonts w:eastAsia="Calibri" w:cs="Arial"/>
          <w:szCs w:val="21"/>
        </w:rPr>
        <w:t xml:space="preserve">NES n°10 : Mobilisation des parties prenantes et information </w:t>
      </w:r>
    </w:p>
    <w:p w14:paraId="143AC772" w14:textId="77777777" w:rsidR="001C2F95" w:rsidRPr="00C61BD6" w:rsidRDefault="001C2F95" w:rsidP="001C2F95">
      <w:pPr>
        <w:spacing w:line="240" w:lineRule="auto"/>
        <w:rPr>
          <w:rFonts w:cs="Arial"/>
          <w:szCs w:val="21"/>
        </w:rPr>
      </w:pPr>
    </w:p>
    <w:p w14:paraId="2E022B92" w14:textId="77777777" w:rsidR="001C2F95" w:rsidRPr="00C61BD6" w:rsidRDefault="001C2F95" w:rsidP="001C2F95">
      <w:pPr>
        <w:rPr>
          <w:rFonts w:eastAsia="Calibri" w:cs="Arial"/>
          <w:szCs w:val="21"/>
        </w:rPr>
      </w:pPr>
      <w:r w:rsidRPr="00C61BD6">
        <w:rPr>
          <w:rFonts w:eastAsia="Calibri" w:cs="Arial"/>
          <w:szCs w:val="21"/>
        </w:rPr>
        <w:t>Pour les aspects VBG, le sous projet sera mis en œuvre conformément à la Note de Bonnes Pratiques pour lutter contre les violences sexistes dans le cadre du financement de projets d’investissement comportant de grands travaux de génie civil (septembre 2018) de la Banque Mondiale.</w:t>
      </w:r>
    </w:p>
    <w:p w14:paraId="244E3AA3" w14:textId="77777777" w:rsidR="001C2F95" w:rsidRPr="00C61BD6" w:rsidRDefault="001C2F95" w:rsidP="001C2F95">
      <w:pPr>
        <w:rPr>
          <w:rFonts w:cs="Arial"/>
          <w:szCs w:val="21"/>
        </w:rPr>
      </w:pPr>
    </w:p>
    <w:p w14:paraId="682C3456" w14:textId="66F91704" w:rsidR="001C2F95" w:rsidRPr="00C61BD6" w:rsidRDefault="001C2F95" w:rsidP="001C2F95">
      <w:pPr>
        <w:rPr>
          <w:rFonts w:cs="Arial"/>
          <w:szCs w:val="21"/>
        </w:rPr>
      </w:pPr>
      <w:r w:rsidRPr="00C61BD6">
        <w:rPr>
          <w:rFonts w:cs="Arial"/>
          <w:szCs w:val="21"/>
        </w:rPr>
        <w:t>Pour répondre aux exigences de ces normes, huit</w:t>
      </w:r>
      <w:r w:rsidR="0079360D">
        <w:rPr>
          <w:rFonts w:cs="Arial"/>
          <w:szCs w:val="21"/>
        </w:rPr>
        <w:t xml:space="preserve"> </w:t>
      </w:r>
      <w:r w:rsidRPr="00C61BD6">
        <w:rPr>
          <w:rFonts w:cs="Arial"/>
          <w:szCs w:val="21"/>
        </w:rPr>
        <w:t xml:space="preserve">(08) documents sont en cours d’élaboration :  </w:t>
      </w:r>
    </w:p>
    <w:p w14:paraId="02E0BF22" w14:textId="77777777" w:rsidR="0065582C" w:rsidRPr="00C61BD6" w:rsidRDefault="0065582C" w:rsidP="001C2F95">
      <w:pPr>
        <w:rPr>
          <w:rFonts w:cs="Arial"/>
          <w:szCs w:val="21"/>
        </w:rPr>
      </w:pPr>
    </w:p>
    <w:p w14:paraId="03112072" w14:textId="77777777" w:rsidR="001C2F95" w:rsidRPr="00C61BD6" w:rsidRDefault="001C2F95" w:rsidP="002378EA">
      <w:pPr>
        <w:pStyle w:val="Paragraphedeliste"/>
        <w:numPr>
          <w:ilvl w:val="0"/>
          <w:numId w:val="95"/>
        </w:numPr>
        <w:spacing w:line="240" w:lineRule="auto"/>
        <w:contextualSpacing w:val="0"/>
        <w:rPr>
          <w:rFonts w:cs="Arial"/>
          <w:szCs w:val="21"/>
        </w:rPr>
      </w:pPr>
      <w:r w:rsidRPr="00C61BD6">
        <w:rPr>
          <w:rFonts w:cs="Arial"/>
          <w:szCs w:val="21"/>
        </w:rPr>
        <w:t xml:space="preserve">un Cadre de Gestion Environnementale et Sociale (CGES), y </w:t>
      </w:r>
      <w:r w:rsidR="00D13BCA" w:rsidRPr="00C61BD6">
        <w:rPr>
          <w:rFonts w:cs="Arial"/>
          <w:szCs w:val="21"/>
        </w:rPr>
        <w:t>intégrant</w:t>
      </w:r>
      <w:r w:rsidRPr="00C61BD6">
        <w:rPr>
          <w:rFonts w:cs="Arial"/>
          <w:szCs w:val="21"/>
        </w:rPr>
        <w:t xml:space="preserve"> un Plan d’action de prévention et réponse à l’EAS/HS ; </w:t>
      </w:r>
    </w:p>
    <w:p w14:paraId="43166585" w14:textId="77777777" w:rsidR="001C2F95" w:rsidRPr="00C61BD6" w:rsidRDefault="001C2F95" w:rsidP="002378EA">
      <w:pPr>
        <w:pStyle w:val="Paragraphedeliste"/>
        <w:numPr>
          <w:ilvl w:val="0"/>
          <w:numId w:val="95"/>
        </w:numPr>
        <w:spacing w:line="240" w:lineRule="auto"/>
        <w:contextualSpacing w:val="0"/>
        <w:rPr>
          <w:rFonts w:cs="Arial"/>
          <w:szCs w:val="21"/>
        </w:rPr>
      </w:pPr>
      <w:r w:rsidRPr="00C61BD6">
        <w:rPr>
          <w:rFonts w:cs="Arial"/>
          <w:szCs w:val="21"/>
        </w:rPr>
        <w:t>un Cadre Politique de Réinstallation (CPR) ;</w:t>
      </w:r>
    </w:p>
    <w:p w14:paraId="4D418151" w14:textId="77777777" w:rsidR="001C2F95" w:rsidRPr="00C61BD6" w:rsidRDefault="001C2F95" w:rsidP="002378EA">
      <w:pPr>
        <w:pStyle w:val="Paragraphedeliste"/>
        <w:numPr>
          <w:ilvl w:val="0"/>
          <w:numId w:val="95"/>
        </w:numPr>
        <w:spacing w:line="240" w:lineRule="auto"/>
        <w:contextualSpacing w:val="0"/>
        <w:rPr>
          <w:rFonts w:cs="Arial"/>
          <w:szCs w:val="21"/>
        </w:rPr>
      </w:pPr>
      <w:r w:rsidRPr="00C61BD6">
        <w:rPr>
          <w:rFonts w:cs="Arial"/>
          <w:szCs w:val="21"/>
        </w:rPr>
        <w:t>un Cadre de Planification en faveur des Populations Autochtones (CPPA) ;</w:t>
      </w:r>
    </w:p>
    <w:p w14:paraId="650AE919" w14:textId="77777777" w:rsidR="001C2F95" w:rsidRPr="00C61BD6" w:rsidRDefault="001C2F95" w:rsidP="002378EA">
      <w:pPr>
        <w:pStyle w:val="Paragraphedeliste"/>
        <w:numPr>
          <w:ilvl w:val="0"/>
          <w:numId w:val="95"/>
        </w:numPr>
        <w:spacing w:line="240" w:lineRule="auto"/>
        <w:contextualSpacing w:val="0"/>
        <w:rPr>
          <w:rFonts w:cs="Arial"/>
          <w:szCs w:val="21"/>
        </w:rPr>
      </w:pPr>
      <w:r w:rsidRPr="00C61BD6">
        <w:rPr>
          <w:rFonts w:cs="Arial"/>
          <w:szCs w:val="21"/>
        </w:rPr>
        <w:t>un Plan de Gestion des Pestes</w:t>
      </w:r>
      <w:r w:rsidR="0029647F" w:rsidRPr="00C61BD6">
        <w:rPr>
          <w:rFonts w:cs="Arial"/>
          <w:szCs w:val="21"/>
        </w:rPr>
        <w:t xml:space="preserve"> et Pesticides</w:t>
      </w:r>
      <w:r w:rsidRPr="00C61BD6">
        <w:rPr>
          <w:rFonts w:cs="Arial"/>
          <w:szCs w:val="21"/>
        </w:rPr>
        <w:t> (PGP</w:t>
      </w:r>
      <w:r w:rsidR="0029647F" w:rsidRPr="00C61BD6">
        <w:rPr>
          <w:rFonts w:cs="Arial"/>
          <w:szCs w:val="21"/>
        </w:rPr>
        <w:t>P</w:t>
      </w:r>
      <w:r w:rsidRPr="00C61BD6">
        <w:rPr>
          <w:rFonts w:cs="Arial"/>
          <w:szCs w:val="21"/>
        </w:rPr>
        <w:t>) ;</w:t>
      </w:r>
    </w:p>
    <w:p w14:paraId="6E9D5AC4" w14:textId="77777777" w:rsidR="001C2F95" w:rsidRPr="00C61BD6" w:rsidRDefault="001C2F95" w:rsidP="002378EA">
      <w:pPr>
        <w:pStyle w:val="Paragraphedeliste"/>
        <w:numPr>
          <w:ilvl w:val="0"/>
          <w:numId w:val="95"/>
        </w:numPr>
        <w:spacing w:line="240" w:lineRule="auto"/>
        <w:contextualSpacing w:val="0"/>
        <w:rPr>
          <w:rFonts w:cs="Arial"/>
          <w:szCs w:val="21"/>
        </w:rPr>
      </w:pPr>
      <w:r w:rsidRPr="00C61BD6">
        <w:rPr>
          <w:rFonts w:cs="Arial"/>
          <w:szCs w:val="21"/>
        </w:rPr>
        <w:t>un Plan d’Engagement Environnemental et Social (PEES) ;</w:t>
      </w:r>
    </w:p>
    <w:p w14:paraId="25B0069E" w14:textId="77777777" w:rsidR="001C2F95" w:rsidRPr="00C61BD6" w:rsidRDefault="001C2F95" w:rsidP="002378EA">
      <w:pPr>
        <w:pStyle w:val="Paragraphedeliste"/>
        <w:numPr>
          <w:ilvl w:val="0"/>
          <w:numId w:val="95"/>
        </w:numPr>
        <w:spacing w:line="240" w:lineRule="auto"/>
        <w:contextualSpacing w:val="0"/>
        <w:rPr>
          <w:rFonts w:cs="Arial"/>
          <w:szCs w:val="21"/>
        </w:rPr>
      </w:pPr>
      <w:r w:rsidRPr="00C61BD6">
        <w:rPr>
          <w:rFonts w:cs="Arial"/>
          <w:szCs w:val="21"/>
        </w:rPr>
        <w:t>un Plan de Mobilisation des Parties Prenants (PMPP) ;</w:t>
      </w:r>
    </w:p>
    <w:p w14:paraId="6CFAA726" w14:textId="77777777" w:rsidR="001C2F95" w:rsidRPr="00C61BD6" w:rsidRDefault="001C2F95" w:rsidP="002378EA">
      <w:pPr>
        <w:pStyle w:val="Paragraphedeliste"/>
        <w:numPr>
          <w:ilvl w:val="0"/>
          <w:numId w:val="95"/>
        </w:numPr>
        <w:spacing w:line="240" w:lineRule="auto"/>
        <w:contextualSpacing w:val="0"/>
        <w:rPr>
          <w:rFonts w:cs="Arial"/>
          <w:szCs w:val="21"/>
        </w:rPr>
      </w:pPr>
      <w:r w:rsidRPr="00C61BD6">
        <w:rPr>
          <w:rFonts w:cs="Arial"/>
          <w:szCs w:val="21"/>
        </w:rPr>
        <w:t>un Plan de Gestion de la Main d’œuvre (PGMO) ;</w:t>
      </w:r>
    </w:p>
    <w:p w14:paraId="66EB4F25" w14:textId="77777777" w:rsidR="00CC7241" w:rsidRPr="00C61BD6" w:rsidRDefault="00CC7241" w:rsidP="002378EA">
      <w:pPr>
        <w:pStyle w:val="Paragraphedeliste"/>
        <w:numPr>
          <w:ilvl w:val="0"/>
          <w:numId w:val="95"/>
        </w:numPr>
        <w:spacing w:line="240" w:lineRule="auto"/>
        <w:contextualSpacing w:val="0"/>
        <w:rPr>
          <w:rFonts w:cs="Arial"/>
          <w:szCs w:val="21"/>
        </w:rPr>
      </w:pPr>
      <w:r w:rsidRPr="00C61BD6">
        <w:rPr>
          <w:rFonts w:cs="Arial"/>
          <w:szCs w:val="21"/>
        </w:rPr>
        <w:t>un Plan de Gestion de Sécurité (PGS) ;</w:t>
      </w:r>
    </w:p>
    <w:p w14:paraId="6C481F79" w14:textId="58DCA11E" w:rsidR="0090352E" w:rsidRPr="00C61BD6" w:rsidRDefault="0090352E" w:rsidP="002378EA">
      <w:pPr>
        <w:pStyle w:val="Paragraphedeliste"/>
        <w:numPr>
          <w:ilvl w:val="0"/>
          <w:numId w:val="95"/>
        </w:numPr>
        <w:spacing w:line="240" w:lineRule="auto"/>
        <w:contextualSpacing w:val="0"/>
        <w:rPr>
          <w:rFonts w:cs="Arial"/>
          <w:szCs w:val="21"/>
        </w:rPr>
      </w:pPr>
      <w:r w:rsidRPr="00C61BD6">
        <w:rPr>
          <w:rFonts w:cs="Arial"/>
          <w:szCs w:val="21"/>
        </w:rPr>
        <w:t>un Plan de Gestion de la Biodiversité (PGB)</w:t>
      </w:r>
      <w:r w:rsidR="00E82670" w:rsidRPr="00C61BD6">
        <w:rPr>
          <w:rFonts w:cs="Arial"/>
          <w:szCs w:val="21"/>
        </w:rPr>
        <w:t xml:space="preserve">, spécialement pour la Province du Nord-Kivu et il sera régional </w:t>
      </w:r>
      <w:r w:rsidRPr="00C61BD6">
        <w:rPr>
          <w:rFonts w:cs="Arial"/>
          <w:szCs w:val="21"/>
        </w:rPr>
        <w:t>; et</w:t>
      </w:r>
    </w:p>
    <w:p w14:paraId="25EC476A" w14:textId="77777777" w:rsidR="001C2F95" w:rsidRPr="00C61BD6" w:rsidRDefault="001C2F95" w:rsidP="002378EA">
      <w:pPr>
        <w:pStyle w:val="Paragraphedeliste"/>
        <w:numPr>
          <w:ilvl w:val="0"/>
          <w:numId w:val="95"/>
        </w:numPr>
        <w:spacing w:line="240" w:lineRule="auto"/>
        <w:contextualSpacing w:val="0"/>
        <w:rPr>
          <w:rFonts w:cs="Arial"/>
          <w:szCs w:val="21"/>
        </w:rPr>
      </w:pPr>
      <w:r w:rsidRPr="00C61BD6">
        <w:rPr>
          <w:rFonts w:cs="Arial"/>
          <w:szCs w:val="21"/>
        </w:rPr>
        <w:t>Un Mécanisme de Gestion des Plaintes (MGP).</w:t>
      </w:r>
    </w:p>
    <w:p w14:paraId="747C7B0E" w14:textId="77777777" w:rsidR="001C2F95" w:rsidRPr="00C61BD6" w:rsidRDefault="001C2F95" w:rsidP="001C2F95">
      <w:pPr>
        <w:rPr>
          <w:rFonts w:cs="Arial"/>
          <w:szCs w:val="21"/>
        </w:rPr>
      </w:pPr>
    </w:p>
    <w:p w14:paraId="6689C836" w14:textId="77777777" w:rsidR="001C2F95" w:rsidRPr="00C61BD6" w:rsidRDefault="001C2F95" w:rsidP="001C2F95">
      <w:pPr>
        <w:rPr>
          <w:rFonts w:eastAsia="Calibri" w:cs="Arial"/>
          <w:szCs w:val="21"/>
          <w:lang w:eastAsia="en-US"/>
        </w:rPr>
      </w:pPr>
      <w:r w:rsidRPr="00C61BD6">
        <w:rPr>
          <w:rFonts w:cs="Arial"/>
          <w:szCs w:val="21"/>
        </w:rPr>
        <w:t xml:space="preserve">C’est dans ce contexte que le présent CGES est élaboré </w:t>
      </w:r>
      <w:r w:rsidRPr="00C61BD6">
        <w:rPr>
          <w:rFonts w:eastAsia="Calibri" w:cs="Arial"/>
          <w:szCs w:val="21"/>
          <w:lang w:eastAsia="en-US"/>
        </w:rPr>
        <w:t>pour faire en sorte que les préoccupations environnementales et sociales de toutes les activités du Projet soient bien prises en compte depuis la planification, jusqu’à la mise en œuvre et le suivi/évaluation</w:t>
      </w:r>
      <w:r w:rsidRPr="00C61BD6">
        <w:rPr>
          <w:rFonts w:cs="Arial"/>
          <w:szCs w:val="21"/>
        </w:rPr>
        <w:t xml:space="preserve"> en conformité avec le CES de la Banque Mondiale</w:t>
      </w:r>
      <w:r w:rsidRPr="00C61BD6">
        <w:rPr>
          <w:rFonts w:eastAsia="Calibri" w:cs="Arial"/>
          <w:szCs w:val="21"/>
          <w:lang w:eastAsia="en-US"/>
        </w:rPr>
        <w:t xml:space="preserve">.  </w:t>
      </w:r>
    </w:p>
    <w:p w14:paraId="4ED2B0D5" w14:textId="77777777" w:rsidR="001C2F95" w:rsidRPr="00C61BD6" w:rsidRDefault="001C2F95" w:rsidP="001C2F95">
      <w:pPr>
        <w:rPr>
          <w:rFonts w:cs="Arial"/>
          <w:szCs w:val="21"/>
        </w:rPr>
      </w:pPr>
    </w:p>
    <w:p w14:paraId="03D6C6D4" w14:textId="77777777" w:rsidR="001C2F95" w:rsidRPr="00C61BD6" w:rsidRDefault="001C2F95" w:rsidP="001C2F95">
      <w:pPr>
        <w:pStyle w:val="Titre2"/>
        <w:numPr>
          <w:ilvl w:val="1"/>
          <w:numId w:val="4"/>
        </w:numPr>
        <w:ind w:left="851" w:hanging="425"/>
        <w:rPr>
          <w:rFonts w:cs="Arial"/>
          <w:b/>
          <w:szCs w:val="21"/>
        </w:rPr>
      </w:pPr>
      <w:bookmarkStart w:id="195" w:name="_Toc37426669"/>
      <w:r w:rsidRPr="00C61BD6">
        <w:rPr>
          <w:rFonts w:cs="Arial"/>
          <w:szCs w:val="21"/>
        </w:rPr>
        <w:t xml:space="preserve"> </w:t>
      </w:r>
      <w:bookmarkStart w:id="196" w:name="_Toc90393045"/>
      <w:bookmarkStart w:id="197" w:name="_Toc90471404"/>
      <w:bookmarkStart w:id="198" w:name="_Toc44626789"/>
      <w:r w:rsidRPr="00C61BD6">
        <w:rPr>
          <w:rFonts w:cs="Arial"/>
          <w:b/>
          <w:szCs w:val="21"/>
        </w:rPr>
        <w:t>Objectif du Cadre de Gestion Environnementale et Sociale</w:t>
      </w:r>
      <w:bookmarkEnd w:id="196"/>
      <w:bookmarkEnd w:id="197"/>
      <w:r w:rsidRPr="00C61BD6">
        <w:rPr>
          <w:rFonts w:cs="Arial"/>
          <w:b/>
          <w:szCs w:val="21"/>
        </w:rPr>
        <w:t xml:space="preserve"> </w:t>
      </w:r>
      <w:bookmarkEnd w:id="195"/>
      <w:bookmarkEnd w:id="198"/>
    </w:p>
    <w:p w14:paraId="6196789F" w14:textId="77777777" w:rsidR="001C2F95" w:rsidRPr="00C61BD6" w:rsidRDefault="001C2F95" w:rsidP="001C2F95">
      <w:pPr>
        <w:spacing w:line="240" w:lineRule="auto"/>
        <w:rPr>
          <w:rFonts w:cs="Arial"/>
          <w:szCs w:val="21"/>
        </w:rPr>
      </w:pPr>
    </w:p>
    <w:p w14:paraId="649E6226" w14:textId="77777777" w:rsidR="001C2F95" w:rsidRPr="00C61BD6" w:rsidRDefault="001C2F95" w:rsidP="001C2F95">
      <w:pPr>
        <w:rPr>
          <w:rFonts w:eastAsia="Calibri" w:cs="Arial"/>
          <w:szCs w:val="21"/>
          <w:lang w:eastAsia="en-US"/>
        </w:rPr>
      </w:pPr>
      <w:r w:rsidRPr="00C61BD6">
        <w:rPr>
          <w:rFonts w:eastAsia="Calibri" w:cs="Arial"/>
          <w:szCs w:val="21"/>
          <w:lang w:eastAsia="en-US"/>
        </w:rPr>
        <w:t>Le Cadre de Gestion Environnementale et Sociale est un instrument qui s’applique aux risques et aux impacts d’un projet consistant en une série de sous-projets et dans le cas où les risques et les impacts ne peuvent pas être déterminés pour le moment ou quand les détails du programme ou les sous-projets n’ont pas été identifiés.</w:t>
      </w:r>
    </w:p>
    <w:p w14:paraId="2B282558" w14:textId="77777777" w:rsidR="001C2F95" w:rsidRPr="00C61BD6" w:rsidRDefault="001C2F95" w:rsidP="001C2F95">
      <w:pPr>
        <w:rPr>
          <w:rFonts w:eastAsia="Calibri" w:cs="Arial"/>
          <w:szCs w:val="21"/>
          <w:lang w:eastAsia="en-US"/>
        </w:rPr>
      </w:pPr>
    </w:p>
    <w:p w14:paraId="3E2D7D22" w14:textId="77777777" w:rsidR="001C2F95" w:rsidRPr="00C61BD6" w:rsidRDefault="001C2F95" w:rsidP="001C2F95">
      <w:pPr>
        <w:rPr>
          <w:rFonts w:eastAsia="Calibri" w:cs="Arial"/>
          <w:szCs w:val="21"/>
          <w:lang w:eastAsia="en-US"/>
        </w:rPr>
      </w:pPr>
      <w:r w:rsidRPr="00C61BD6">
        <w:rPr>
          <w:rFonts w:eastAsia="Calibri" w:cs="Arial"/>
          <w:szCs w:val="21"/>
          <w:lang w:eastAsia="en-US"/>
        </w:rPr>
        <w:t xml:space="preserve">Le CGES a donc pour objectif spécifique d’identifier l’ensemble de risques et impacts potentiels aux plans environnemental et social au regard des interventions envisagées dans les </w:t>
      </w:r>
      <w:r w:rsidRPr="00C61BD6">
        <w:rPr>
          <w:rFonts w:cs="Arial"/>
          <w:szCs w:val="21"/>
        </w:rPr>
        <w:t>provinces ciblées par le programme</w:t>
      </w:r>
      <w:r w:rsidRPr="00C61BD6">
        <w:rPr>
          <w:rFonts w:eastAsia="Calibri" w:cs="Arial"/>
          <w:szCs w:val="21"/>
          <w:lang w:eastAsia="en-US"/>
        </w:rPr>
        <w:t xml:space="preserve"> pour lesquels les investissements à faire et/ou les sites ne sont pas encore connus.  Il définit les principes, les règles, les lignes directrices et les procédures pour évaluer les risques et les impacts environnementaux et sociaux des sous-projets concernés. Il contient des mesures génériques et des plans d’actions pour réduire, mitiger et/ compenser les risques et les impacts négatifs. Il contient aussi des provisions et un budget pour de telles mesu</w:t>
      </w:r>
      <w:r w:rsidRPr="00C61BD6">
        <w:rPr>
          <w:rFonts w:cs="Arial"/>
          <w:szCs w:val="21"/>
        </w:rPr>
        <w:t>res, et des informations sur l’agence ou les a</w:t>
      </w:r>
      <w:r w:rsidRPr="00C61BD6">
        <w:rPr>
          <w:rFonts w:eastAsia="Calibri" w:cs="Arial"/>
          <w:szCs w:val="21"/>
          <w:lang w:eastAsia="en-US"/>
        </w:rPr>
        <w:t xml:space="preserve">gences responsables pour adresser de tels impacts et risques du projet, y compris leur capacité à gérer les impacts mêmes et risques sociaux. L’évaluation sera proportionnée aux risques et aux impacts potentiels du projet, de manière à intégrer tous les risques environnementaux et sociaux directs, indirects et cumulés tout le long du cycle du projet, y compris ceux spécifiquement identifiés dans les </w:t>
      </w:r>
      <w:r w:rsidR="0065582C" w:rsidRPr="00C61BD6">
        <w:rPr>
          <w:rFonts w:eastAsia="Calibri" w:cs="Arial"/>
          <w:szCs w:val="21"/>
          <w:lang w:eastAsia="en-US"/>
        </w:rPr>
        <w:t>N</w:t>
      </w:r>
      <w:r w:rsidRPr="00C61BD6">
        <w:rPr>
          <w:rFonts w:eastAsia="Calibri" w:cs="Arial"/>
          <w:szCs w:val="21"/>
          <w:lang w:eastAsia="en-US"/>
        </w:rPr>
        <w:t xml:space="preserve">ormes </w:t>
      </w:r>
      <w:r w:rsidR="0065582C" w:rsidRPr="00C61BD6">
        <w:rPr>
          <w:rFonts w:eastAsia="Calibri" w:cs="Arial"/>
          <w:szCs w:val="21"/>
          <w:lang w:eastAsia="en-US"/>
        </w:rPr>
        <w:t>E</w:t>
      </w:r>
      <w:r w:rsidRPr="00C61BD6">
        <w:rPr>
          <w:rFonts w:eastAsia="Calibri" w:cs="Arial"/>
          <w:szCs w:val="21"/>
          <w:lang w:eastAsia="en-US"/>
        </w:rPr>
        <w:t xml:space="preserve">nvironnementales et </w:t>
      </w:r>
      <w:r w:rsidR="0065582C" w:rsidRPr="00C61BD6">
        <w:rPr>
          <w:rFonts w:eastAsia="Calibri" w:cs="Arial"/>
          <w:szCs w:val="21"/>
          <w:lang w:eastAsia="en-US"/>
        </w:rPr>
        <w:t>S</w:t>
      </w:r>
      <w:r w:rsidRPr="00C61BD6">
        <w:rPr>
          <w:rFonts w:eastAsia="Calibri" w:cs="Arial"/>
          <w:szCs w:val="21"/>
          <w:lang w:eastAsia="en-US"/>
        </w:rPr>
        <w:t>ociales n°1-10 du CES.</w:t>
      </w:r>
    </w:p>
    <w:p w14:paraId="722644DC" w14:textId="77777777" w:rsidR="001C2F95" w:rsidRPr="00C61BD6" w:rsidRDefault="001C2F95" w:rsidP="001C2F95">
      <w:pPr>
        <w:rPr>
          <w:rFonts w:eastAsia="Calibri" w:cs="Arial"/>
          <w:szCs w:val="21"/>
          <w:lang w:eastAsia="en-US"/>
        </w:rPr>
      </w:pPr>
    </w:p>
    <w:p w14:paraId="412C9F03" w14:textId="77777777" w:rsidR="001C2F95" w:rsidRPr="00C61BD6" w:rsidRDefault="001C2F95" w:rsidP="001C2F95">
      <w:pPr>
        <w:rPr>
          <w:rFonts w:eastAsia="Calibri" w:cs="Arial"/>
          <w:szCs w:val="21"/>
          <w:lang w:eastAsia="en-US"/>
        </w:rPr>
      </w:pPr>
      <w:r w:rsidRPr="00C61BD6">
        <w:rPr>
          <w:rFonts w:cs="Arial"/>
          <w:szCs w:val="21"/>
        </w:rPr>
        <w:t>Pour les aspects concernant les VBG, y compris l’EAS et le HS, le Projet sera mis en œuvre en conformité avec la Note de bonnes pratiques EAS/HS de la Banque mondiale (voir note 1), en tenant compte aussi du contexte législatif et politique en RDC quant à la lutte contre les VBG, notamment la SNVBG.</w:t>
      </w:r>
    </w:p>
    <w:p w14:paraId="67DD0FED" w14:textId="77777777" w:rsidR="001C2F95" w:rsidRPr="00C61BD6" w:rsidRDefault="001C2F95" w:rsidP="001C2F95">
      <w:pPr>
        <w:rPr>
          <w:rFonts w:eastAsia="Calibri" w:cs="Arial"/>
          <w:szCs w:val="21"/>
          <w:lang w:eastAsia="en-US"/>
        </w:rPr>
      </w:pPr>
    </w:p>
    <w:p w14:paraId="26B8EF22" w14:textId="77777777" w:rsidR="001C2F95" w:rsidRPr="00C61BD6" w:rsidRDefault="001C2F95" w:rsidP="001C2F95">
      <w:pPr>
        <w:rPr>
          <w:rFonts w:eastAsia="Calibri" w:cs="Arial"/>
          <w:szCs w:val="21"/>
          <w:lang w:eastAsia="en-US"/>
        </w:rPr>
      </w:pPr>
      <w:r w:rsidRPr="00C61BD6">
        <w:rPr>
          <w:rFonts w:eastAsia="Calibri" w:cs="Arial"/>
          <w:szCs w:val="21"/>
          <w:lang w:eastAsia="en-US"/>
        </w:rPr>
        <w:t>Le CGES établit et applique une hiérarchie de mesures d’atténuation pour :</w:t>
      </w:r>
    </w:p>
    <w:p w14:paraId="1FBAC4BE" w14:textId="77777777" w:rsidR="001C2F95" w:rsidRPr="00C61BD6" w:rsidRDefault="001C2F95" w:rsidP="001C2F95">
      <w:pPr>
        <w:rPr>
          <w:rFonts w:eastAsia="Calibri" w:cs="Arial"/>
          <w:szCs w:val="21"/>
          <w:lang w:eastAsia="en-US"/>
        </w:rPr>
      </w:pPr>
    </w:p>
    <w:p w14:paraId="5B1A7B3F" w14:textId="77777777" w:rsidR="001C2F95" w:rsidRPr="00C61BD6" w:rsidRDefault="001C2F95" w:rsidP="002378EA">
      <w:pPr>
        <w:pStyle w:val="Paragraphedeliste"/>
        <w:numPr>
          <w:ilvl w:val="0"/>
          <w:numId w:val="41"/>
        </w:numPr>
        <w:rPr>
          <w:rFonts w:eastAsia="Calibri" w:cs="Arial"/>
          <w:szCs w:val="21"/>
        </w:rPr>
      </w:pPr>
      <w:r w:rsidRPr="00C61BD6">
        <w:rPr>
          <w:rFonts w:eastAsia="Calibri" w:cs="Arial"/>
          <w:szCs w:val="21"/>
        </w:rPr>
        <w:t>Anticiper et éviter les risques et les impacts, y compris les risques et impacts relatifs aux VBG, incluant l’EAS et le HS ;</w:t>
      </w:r>
    </w:p>
    <w:p w14:paraId="21F71201" w14:textId="77777777" w:rsidR="001C2F95" w:rsidRPr="00C61BD6" w:rsidRDefault="001C2F95" w:rsidP="002378EA">
      <w:pPr>
        <w:pStyle w:val="Paragraphedeliste"/>
        <w:numPr>
          <w:ilvl w:val="0"/>
          <w:numId w:val="41"/>
        </w:numPr>
        <w:rPr>
          <w:rFonts w:eastAsia="Calibri" w:cs="Arial"/>
          <w:szCs w:val="21"/>
          <w:lang w:eastAsia="en-US"/>
        </w:rPr>
      </w:pPr>
      <w:r w:rsidRPr="00C61BD6">
        <w:rPr>
          <w:rFonts w:eastAsia="Calibri" w:cs="Arial"/>
          <w:szCs w:val="21"/>
          <w:lang w:eastAsia="en-US"/>
        </w:rPr>
        <w:t>Lorsque ce n'est pas possible de l’éviter, minimiser ou réduire les risques et les impacts à des niveaux acceptables ;</w:t>
      </w:r>
    </w:p>
    <w:p w14:paraId="1E7A7C58" w14:textId="77777777" w:rsidR="001C2F95" w:rsidRPr="00C61BD6" w:rsidRDefault="001C2F95" w:rsidP="002378EA">
      <w:pPr>
        <w:pStyle w:val="Paragraphedeliste"/>
        <w:numPr>
          <w:ilvl w:val="0"/>
          <w:numId w:val="41"/>
        </w:numPr>
        <w:rPr>
          <w:rFonts w:eastAsia="Calibri" w:cs="Arial"/>
          <w:szCs w:val="21"/>
          <w:lang w:eastAsia="en-US"/>
        </w:rPr>
      </w:pPr>
      <w:r w:rsidRPr="00C61BD6">
        <w:rPr>
          <w:rFonts w:eastAsia="Calibri" w:cs="Arial"/>
          <w:szCs w:val="21"/>
          <w:lang w:eastAsia="en-US"/>
        </w:rPr>
        <w:t>Une fois que les risques et les impacts ont été minimisés ou réduits, les atténuer ; et</w:t>
      </w:r>
    </w:p>
    <w:p w14:paraId="5C00F67D" w14:textId="77777777" w:rsidR="001C2F95" w:rsidRDefault="001C2F95" w:rsidP="002378EA">
      <w:pPr>
        <w:pStyle w:val="Paragraphedeliste"/>
        <w:numPr>
          <w:ilvl w:val="0"/>
          <w:numId w:val="41"/>
        </w:numPr>
        <w:rPr>
          <w:rFonts w:eastAsia="Calibri" w:cs="Arial"/>
          <w:szCs w:val="21"/>
          <w:lang w:eastAsia="en-US"/>
        </w:rPr>
      </w:pPr>
      <w:r w:rsidRPr="00C61BD6">
        <w:rPr>
          <w:rFonts w:eastAsia="Calibri" w:cs="Arial"/>
          <w:szCs w:val="21"/>
          <w:lang w:eastAsia="en-US"/>
        </w:rPr>
        <w:t>Si des impacts résiduels importants subsistent, de les corriger ou compenser lorsque cela est techniquement et financièrement réalisable.</w:t>
      </w:r>
    </w:p>
    <w:p w14:paraId="4FE01950" w14:textId="77777777" w:rsidR="00C61BD6" w:rsidRPr="00C61BD6" w:rsidRDefault="00C61BD6" w:rsidP="00C61BD6">
      <w:pPr>
        <w:pStyle w:val="Paragraphedeliste"/>
        <w:rPr>
          <w:rFonts w:eastAsia="Calibri" w:cs="Arial"/>
          <w:szCs w:val="21"/>
          <w:lang w:eastAsia="en-US"/>
        </w:rPr>
      </w:pPr>
    </w:p>
    <w:p w14:paraId="2140991B" w14:textId="77777777" w:rsidR="001C2F95" w:rsidRPr="00C61BD6" w:rsidRDefault="001C2F95" w:rsidP="001C2F95">
      <w:pPr>
        <w:pStyle w:val="Titre2"/>
        <w:numPr>
          <w:ilvl w:val="1"/>
          <w:numId w:val="4"/>
        </w:numPr>
        <w:ind w:left="851" w:hanging="425"/>
        <w:rPr>
          <w:rFonts w:cs="Arial"/>
          <w:b/>
          <w:szCs w:val="21"/>
        </w:rPr>
      </w:pPr>
      <w:bookmarkStart w:id="199" w:name="_Toc391821302"/>
      <w:bookmarkStart w:id="200" w:name="_Toc395136086"/>
      <w:bookmarkStart w:id="201" w:name="_Toc404105872"/>
      <w:bookmarkStart w:id="202" w:name="_Toc464561974"/>
      <w:bookmarkStart w:id="203" w:name="_Toc476571947"/>
      <w:bookmarkEnd w:id="188"/>
      <w:bookmarkEnd w:id="189"/>
      <w:bookmarkEnd w:id="190"/>
      <w:bookmarkEnd w:id="191"/>
      <w:bookmarkEnd w:id="192"/>
      <w:r w:rsidRPr="00C61BD6">
        <w:rPr>
          <w:rFonts w:cs="Arial"/>
          <w:szCs w:val="21"/>
        </w:rPr>
        <w:t xml:space="preserve"> </w:t>
      </w:r>
      <w:bookmarkStart w:id="204" w:name="_Toc500754629"/>
      <w:bookmarkStart w:id="205" w:name="_Toc44626790"/>
      <w:bookmarkStart w:id="206" w:name="_Toc90393046"/>
      <w:bookmarkStart w:id="207" w:name="_Toc90471405"/>
      <w:r w:rsidRPr="00C61BD6">
        <w:rPr>
          <w:rFonts w:cs="Arial"/>
          <w:b/>
          <w:szCs w:val="21"/>
        </w:rPr>
        <w:t xml:space="preserve">Méthodologie d’élaboration du </w:t>
      </w:r>
      <w:bookmarkEnd w:id="199"/>
      <w:bookmarkEnd w:id="200"/>
      <w:bookmarkEnd w:id="201"/>
      <w:bookmarkEnd w:id="202"/>
      <w:bookmarkEnd w:id="203"/>
      <w:bookmarkEnd w:id="204"/>
      <w:r w:rsidRPr="00C61BD6">
        <w:rPr>
          <w:rFonts w:cs="Arial"/>
          <w:b/>
          <w:szCs w:val="21"/>
        </w:rPr>
        <w:t>CGES</w:t>
      </w:r>
      <w:bookmarkEnd w:id="205"/>
      <w:bookmarkEnd w:id="206"/>
      <w:bookmarkEnd w:id="207"/>
    </w:p>
    <w:p w14:paraId="463E6BE3" w14:textId="77777777" w:rsidR="001C2F95" w:rsidRPr="00C61BD6" w:rsidRDefault="001C2F95" w:rsidP="001C2F95">
      <w:pPr>
        <w:overflowPunct w:val="0"/>
        <w:autoSpaceDE w:val="0"/>
        <w:autoSpaceDN w:val="0"/>
        <w:adjustRightInd w:val="0"/>
        <w:textAlignment w:val="baseline"/>
        <w:rPr>
          <w:rFonts w:cs="Arial"/>
          <w:color w:val="000000"/>
          <w:kern w:val="28"/>
          <w:szCs w:val="21"/>
        </w:rPr>
      </w:pPr>
    </w:p>
    <w:p w14:paraId="63BDBD74" w14:textId="77777777" w:rsidR="001C2F95" w:rsidRPr="00C61BD6" w:rsidRDefault="001C2F95" w:rsidP="001C2F95">
      <w:pPr>
        <w:rPr>
          <w:rFonts w:cs="Arial"/>
          <w:szCs w:val="21"/>
        </w:rPr>
      </w:pPr>
      <w:r w:rsidRPr="00C61BD6">
        <w:rPr>
          <w:rFonts w:cs="Arial"/>
          <w:szCs w:val="21"/>
        </w:rPr>
        <w:t xml:space="preserve">Le CGES a été </w:t>
      </w:r>
      <w:r w:rsidR="00D13BCA" w:rsidRPr="00C61BD6">
        <w:rPr>
          <w:rFonts w:cs="Arial"/>
          <w:szCs w:val="21"/>
        </w:rPr>
        <w:t>élaboré</w:t>
      </w:r>
      <w:r w:rsidRPr="00C61BD6">
        <w:rPr>
          <w:rFonts w:cs="Arial"/>
          <w:szCs w:val="21"/>
        </w:rPr>
        <w:t xml:space="preserve"> par une équipe d’experts pluridisciplinaires d’une firme (Consultant). La </w:t>
      </w:r>
      <w:r w:rsidR="00D13BCA" w:rsidRPr="00C61BD6">
        <w:rPr>
          <w:rFonts w:cs="Arial"/>
          <w:szCs w:val="21"/>
        </w:rPr>
        <w:t>méthodologie</w:t>
      </w:r>
      <w:r w:rsidRPr="00C61BD6">
        <w:rPr>
          <w:rFonts w:cs="Arial"/>
          <w:szCs w:val="21"/>
        </w:rPr>
        <w:t xml:space="preserve"> était basée sur une approche participative, en concertation avec l’ensemble des acteurs et partenaires concernés du PNDA. Elle s’articule autour de quatre (04) étapes majeures, à savoir : </w:t>
      </w:r>
      <w:bookmarkStart w:id="208" w:name="_Toc470139813"/>
      <w:bookmarkStart w:id="209" w:name="_Toc470800704"/>
      <w:bookmarkEnd w:id="208"/>
      <w:bookmarkEnd w:id="209"/>
    </w:p>
    <w:p w14:paraId="0119EAC1" w14:textId="77777777" w:rsidR="001C2F95" w:rsidRPr="00C61BD6" w:rsidRDefault="001C2F95" w:rsidP="001C2F95">
      <w:pPr>
        <w:pStyle w:val="Default"/>
        <w:spacing w:line="276" w:lineRule="auto"/>
        <w:jc w:val="both"/>
        <w:rPr>
          <w:iCs/>
          <w:color w:val="auto"/>
          <w:sz w:val="21"/>
          <w:szCs w:val="21"/>
          <w:highlight w:val="yellow"/>
          <w:u w:val="single"/>
        </w:rPr>
      </w:pPr>
    </w:p>
    <w:p w14:paraId="5A4F98E5" w14:textId="77777777" w:rsidR="001C2F95" w:rsidRPr="00C61BD6" w:rsidRDefault="001C2F95" w:rsidP="001C2F95">
      <w:pPr>
        <w:pStyle w:val="Titre2"/>
        <w:numPr>
          <w:ilvl w:val="2"/>
          <w:numId w:val="4"/>
        </w:numPr>
        <w:ind w:left="1560" w:hanging="709"/>
        <w:rPr>
          <w:rFonts w:cs="Arial"/>
          <w:i/>
          <w:szCs w:val="21"/>
        </w:rPr>
      </w:pPr>
      <w:bookmarkStart w:id="210" w:name="_Toc502652335"/>
      <w:bookmarkStart w:id="211" w:name="_Toc44626791"/>
      <w:bookmarkStart w:id="212" w:name="_Toc90393047"/>
      <w:bookmarkStart w:id="213" w:name="_Toc90471406"/>
      <w:r w:rsidRPr="00C61BD6">
        <w:rPr>
          <w:rFonts w:cs="Arial"/>
          <w:i/>
          <w:szCs w:val="21"/>
        </w:rPr>
        <w:t>Cadrage de l’étude</w:t>
      </w:r>
      <w:bookmarkEnd w:id="210"/>
      <w:bookmarkEnd w:id="211"/>
      <w:bookmarkEnd w:id="212"/>
      <w:bookmarkEnd w:id="213"/>
    </w:p>
    <w:p w14:paraId="3AA97E88" w14:textId="77777777" w:rsidR="001C2F95" w:rsidRPr="00C61BD6" w:rsidRDefault="001C2F95" w:rsidP="001C2F95">
      <w:pPr>
        <w:pStyle w:val="Paragraphedeliste"/>
        <w:tabs>
          <w:tab w:val="left" w:pos="426"/>
        </w:tabs>
        <w:ind w:left="0"/>
        <w:rPr>
          <w:rFonts w:cs="Arial"/>
          <w:szCs w:val="21"/>
        </w:rPr>
      </w:pPr>
    </w:p>
    <w:p w14:paraId="1367F795" w14:textId="77777777" w:rsidR="001C2F95" w:rsidRPr="00C61BD6" w:rsidRDefault="001C2F95" w:rsidP="001C2F95">
      <w:pPr>
        <w:pStyle w:val="Paragraphedeliste"/>
        <w:tabs>
          <w:tab w:val="left" w:pos="426"/>
        </w:tabs>
        <w:ind w:left="0"/>
        <w:rPr>
          <w:rFonts w:cs="Arial"/>
          <w:szCs w:val="21"/>
        </w:rPr>
      </w:pPr>
      <w:r w:rsidRPr="00C61BD6">
        <w:rPr>
          <w:rFonts w:cs="Arial"/>
          <w:szCs w:val="21"/>
        </w:rPr>
        <w:t xml:space="preserve">En date du 15 mai 2020 s’est tenue une réunion en visioconférence de </w:t>
      </w:r>
      <w:r w:rsidRPr="00C61BD6">
        <w:rPr>
          <w:rFonts w:cs="Arial"/>
          <w:i/>
          <w:szCs w:val="21"/>
        </w:rPr>
        <w:t>Cisco Webex Meetings</w:t>
      </w:r>
      <w:r w:rsidRPr="00C61BD6">
        <w:rPr>
          <w:rFonts w:cs="Arial"/>
          <w:szCs w:val="21"/>
        </w:rPr>
        <w:t xml:space="preserve"> entre la Banque mondiale, les Spécialistes de sauvegardes environnementale et sociale du PNDA ainsi que le Consultant. L’objectif principal de cette réunion était de définir un calendrier cohérent de préparation des documents de sauvegardes requis par ce projet et la présentation de la méthodologie du Consultant pour son déploiement sur terrain au regard de la situation d’urgence décrétée en RDC pour le COVID-19.</w:t>
      </w:r>
    </w:p>
    <w:p w14:paraId="1691D03F" w14:textId="77777777" w:rsidR="001C2F95" w:rsidRPr="00C61BD6" w:rsidRDefault="001C2F95" w:rsidP="001C2F95">
      <w:pPr>
        <w:pStyle w:val="Paragraphedeliste"/>
        <w:tabs>
          <w:tab w:val="left" w:pos="426"/>
        </w:tabs>
        <w:ind w:left="0"/>
        <w:rPr>
          <w:rFonts w:cs="Arial"/>
          <w:szCs w:val="21"/>
        </w:rPr>
      </w:pPr>
    </w:p>
    <w:p w14:paraId="72EEAE71" w14:textId="77777777" w:rsidR="001C2F95" w:rsidRPr="00C61BD6" w:rsidRDefault="001C2F95" w:rsidP="001C2F95">
      <w:pPr>
        <w:pStyle w:val="Paragraphedeliste"/>
        <w:tabs>
          <w:tab w:val="left" w:pos="426"/>
        </w:tabs>
        <w:ind w:left="0"/>
        <w:rPr>
          <w:rFonts w:cs="Arial"/>
          <w:szCs w:val="21"/>
        </w:rPr>
      </w:pPr>
      <w:r w:rsidRPr="00C61BD6">
        <w:rPr>
          <w:rFonts w:cs="Arial"/>
          <w:szCs w:val="21"/>
        </w:rPr>
        <w:t xml:space="preserve">En date du 26 mai 2020 s’est tenue une seconde réunion en visioconférence de </w:t>
      </w:r>
      <w:r w:rsidRPr="00C61BD6">
        <w:rPr>
          <w:rFonts w:cs="Arial"/>
          <w:i/>
          <w:szCs w:val="21"/>
        </w:rPr>
        <w:t>WhatsApp</w:t>
      </w:r>
      <w:r w:rsidRPr="00C61BD6">
        <w:rPr>
          <w:rFonts w:cs="Arial"/>
          <w:szCs w:val="21"/>
        </w:rPr>
        <w:t xml:space="preserve"> entre le Client (les Spécialistes</w:t>
      </w:r>
      <w:r w:rsidRPr="00C61BD6" w:rsidDel="00292738">
        <w:rPr>
          <w:rFonts w:cs="Arial"/>
          <w:color w:val="000000"/>
          <w:szCs w:val="21"/>
        </w:rPr>
        <w:t xml:space="preserve"> </w:t>
      </w:r>
      <w:r w:rsidRPr="00C61BD6">
        <w:rPr>
          <w:rFonts w:cs="Arial"/>
          <w:color w:val="000000"/>
          <w:szCs w:val="21"/>
        </w:rPr>
        <w:t>en Sauvegardes Environnementale et Sociale (SSES) du PNDA et l’Expert en Passation des Marchés du Projet PARRSA) et le Consultant</w:t>
      </w:r>
      <w:r w:rsidRPr="00C61BD6">
        <w:rPr>
          <w:rFonts w:cs="Arial"/>
          <w:szCs w:val="21"/>
        </w:rPr>
        <w:t xml:space="preserve"> à Kinshasa. Cette réunion a permis de s’accorder sur l’urgence et les principaux enjeux liés à la préparation des instruments de sauvegarde environnementale et sociale, mais aussi sur certains points spécifiques de l’étude liés à l’accordance avec le nouveau Cadre Environnemental et Social de la Banque Mondiale, notamment les Normes Environnementales et Sociales (NES de n°1-10), les consultations du public à mener au niveau des provinces ciblées dans la zone du Projet pendant cette période d’état d’urgence et de confinement suite à la COVID-19 où il est autorisé des rencontres en limitant le nombre de participants à 20 personnes au maximum. À cette même occasion, l’équipe a dressé la liste des contacts et des personnes ressources dans les Chefs-lieux des provinces concernées par le Projet.</w:t>
      </w:r>
    </w:p>
    <w:p w14:paraId="49A70FAC" w14:textId="77777777" w:rsidR="001C2F95" w:rsidRPr="00C61BD6" w:rsidRDefault="001C2F95" w:rsidP="001C2F95">
      <w:pPr>
        <w:pStyle w:val="Paragraphedeliste"/>
        <w:tabs>
          <w:tab w:val="left" w:pos="426"/>
        </w:tabs>
        <w:ind w:left="0"/>
        <w:rPr>
          <w:rFonts w:cs="Arial"/>
          <w:szCs w:val="21"/>
        </w:rPr>
      </w:pPr>
    </w:p>
    <w:p w14:paraId="2911259C" w14:textId="77777777" w:rsidR="001C2F95" w:rsidRPr="00C61BD6" w:rsidRDefault="001C2F95" w:rsidP="001C2F95">
      <w:pPr>
        <w:pStyle w:val="Paragraphedeliste"/>
        <w:tabs>
          <w:tab w:val="left" w:pos="426"/>
        </w:tabs>
        <w:ind w:left="0"/>
        <w:rPr>
          <w:rFonts w:cs="Arial"/>
          <w:szCs w:val="21"/>
        </w:rPr>
      </w:pPr>
      <w:r w:rsidRPr="00C61BD6">
        <w:rPr>
          <w:rFonts w:cs="Arial"/>
          <w:szCs w:val="21"/>
        </w:rPr>
        <w:t>Du 1</w:t>
      </w:r>
      <w:r w:rsidRPr="00C61BD6">
        <w:rPr>
          <w:rFonts w:cs="Arial"/>
          <w:szCs w:val="21"/>
          <w:vertAlign w:val="superscript"/>
        </w:rPr>
        <w:t>er</w:t>
      </w:r>
      <w:r w:rsidRPr="00C61BD6">
        <w:rPr>
          <w:rFonts w:cs="Arial"/>
          <w:szCs w:val="21"/>
        </w:rPr>
        <w:t xml:space="preserve"> au 19 juin 2020, le Consultant s’est déployé sur terrain en vue de collecter les données socio-environnementales et économiques ainsi que la tenue des consultations du public dans les Chefs-lieux des provinces concernées par le PNDA.  </w:t>
      </w:r>
    </w:p>
    <w:p w14:paraId="11DC8946" w14:textId="77777777" w:rsidR="001C2F95" w:rsidRPr="00C61BD6" w:rsidRDefault="001C2F95" w:rsidP="001C2F95">
      <w:pPr>
        <w:outlineLvl w:val="2"/>
        <w:rPr>
          <w:rFonts w:cs="Arial"/>
          <w:b/>
          <w:color w:val="FF0000"/>
          <w:kern w:val="36"/>
          <w:szCs w:val="21"/>
        </w:rPr>
      </w:pPr>
    </w:p>
    <w:p w14:paraId="548AED5D" w14:textId="77777777" w:rsidR="001C2F95" w:rsidRPr="00C61BD6" w:rsidRDefault="001C2F95" w:rsidP="001C2F95">
      <w:pPr>
        <w:pStyle w:val="Titre2"/>
        <w:numPr>
          <w:ilvl w:val="2"/>
          <w:numId w:val="4"/>
        </w:numPr>
        <w:ind w:left="1560" w:hanging="709"/>
        <w:rPr>
          <w:rFonts w:cs="Arial"/>
          <w:i/>
          <w:szCs w:val="21"/>
        </w:rPr>
      </w:pPr>
      <w:bookmarkStart w:id="214" w:name="_Toc44626792"/>
      <w:bookmarkStart w:id="215" w:name="_Toc90393048"/>
      <w:bookmarkStart w:id="216" w:name="_Toc90471407"/>
      <w:r w:rsidRPr="00C61BD6">
        <w:rPr>
          <w:rFonts w:cs="Arial"/>
          <w:i/>
          <w:szCs w:val="21"/>
        </w:rPr>
        <w:t>Collecte et revue documentaire</w:t>
      </w:r>
      <w:bookmarkEnd w:id="214"/>
      <w:bookmarkEnd w:id="215"/>
      <w:bookmarkEnd w:id="216"/>
    </w:p>
    <w:p w14:paraId="70C0E5B2" w14:textId="77777777" w:rsidR="001C2F95" w:rsidRPr="00C61BD6" w:rsidRDefault="001C2F95" w:rsidP="001C2F95">
      <w:pPr>
        <w:rPr>
          <w:rFonts w:cs="Arial"/>
          <w:szCs w:val="21"/>
        </w:rPr>
      </w:pPr>
    </w:p>
    <w:p w14:paraId="3338C07F" w14:textId="77777777" w:rsidR="001C2F95" w:rsidRPr="00C61BD6" w:rsidRDefault="001C2F95" w:rsidP="001C2F95">
      <w:pPr>
        <w:pStyle w:val="Paragraphedeliste"/>
        <w:tabs>
          <w:tab w:val="left" w:pos="426"/>
        </w:tabs>
        <w:ind w:left="0"/>
        <w:rPr>
          <w:rFonts w:cs="Arial"/>
          <w:szCs w:val="21"/>
        </w:rPr>
      </w:pPr>
      <w:r w:rsidRPr="00C61BD6">
        <w:rPr>
          <w:rFonts w:cs="Arial"/>
          <w:szCs w:val="21"/>
        </w:rPr>
        <w:t>Cette étape a permis de collecter toute la documentation disponible du Projet PNDA</w:t>
      </w:r>
      <w:r w:rsidRPr="00C61BD6">
        <w:rPr>
          <w:rFonts w:cs="Arial"/>
          <w:color w:val="000000"/>
          <w:szCs w:val="21"/>
        </w:rPr>
        <w:t xml:space="preserve"> dans </w:t>
      </w:r>
      <w:r w:rsidRPr="00C61BD6">
        <w:rPr>
          <w:rFonts w:cs="Arial"/>
          <w:szCs w:val="21"/>
        </w:rPr>
        <w:t>la région du Kasaï (Provinces du Kasaï et Kasaï Central), la région de l’Ouest (Provinces du Kongo Central et du Kwilu), la région de l’Est (Province du Nord Kivu), les aide-mémoires du Projet PNDA, mais aussi les études environnementales et sociales déjà réalisées par le Projet PARRSA, les Normes Environnementales et Sociales de la Banque Mondiale, la politique nationale en matière de l’environnement et social ainsi que de l’agriculture, les principaux textes législatifs, réglementaires et administratifs de la RDC se rapportant à la gestion de l’environnement, des ressources naturelles et aux procédures d’Études d’Impact Environnemental et Social (ÉIES), au régime foncier, aux procédures d’expropriation, de réinstallation et de dédommagement (compensation), et au développement des populations autochtones.</w:t>
      </w:r>
    </w:p>
    <w:p w14:paraId="233D9218" w14:textId="77777777" w:rsidR="001C2F95" w:rsidRPr="00C61BD6" w:rsidRDefault="001C2F95" w:rsidP="001C2F95">
      <w:pPr>
        <w:pStyle w:val="Paragraphedeliste"/>
        <w:tabs>
          <w:tab w:val="left" w:pos="426"/>
        </w:tabs>
        <w:ind w:left="0"/>
        <w:rPr>
          <w:rFonts w:cs="Arial"/>
          <w:szCs w:val="21"/>
        </w:rPr>
      </w:pPr>
    </w:p>
    <w:p w14:paraId="0C1A60EA" w14:textId="77777777" w:rsidR="001C2F95" w:rsidRPr="00C61BD6" w:rsidRDefault="001C2F95" w:rsidP="001C2F95">
      <w:pPr>
        <w:pStyle w:val="Titre2"/>
        <w:numPr>
          <w:ilvl w:val="2"/>
          <w:numId w:val="4"/>
        </w:numPr>
        <w:ind w:left="1560" w:hanging="709"/>
        <w:rPr>
          <w:rFonts w:cs="Arial"/>
          <w:i/>
          <w:szCs w:val="21"/>
        </w:rPr>
      </w:pPr>
      <w:bookmarkStart w:id="217" w:name="_Toc470800710"/>
      <w:bookmarkStart w:id="218" w:name="_Toc502652337"/>
      <w:bookmarkStart w:id="219" w:name="_Toc44626793"/>
      <w:bookmarkStart w:id="220" w:name="_Toc90393049"/>
      <w:bookmarkStart w:id="221" w:name="_Toc90471408"/>
      <w:r w:rsidRPr="00C61BD6">
        <w:rPr>
          <w:rFonts w:cs="Arial"/>
          <w:i/>
          <w:szCs w:val="21"/>
        </w:rPr>
        <w:t>Rencontres institutionnelles</w:t>
      </w:r>
      <w:bookmarkEnd w:id="217"/>
      <w:bookmarkEnd w:id="218"/>
      <w:bookmarkEnd w:id="219"/>
      <w:bookmarkEnd w:id="220"/>
      <w:bookmarkEnd w:id="221"/>
    </w:p>
    <w:p w14:paraId="6B049B57" w14:textId="77777777" w:rsidR="001C2F95" w:rsidRPr="00C61BD6" w:rsidRDefault="001C2F95" w:rsidP="001C2F95">
      <w:pPr>
        <w:pStyle w:val="Paragraphedeliste"/>
        <w:tabs>
          <w:tab w:val="left" w:pos="426"/>
        </w:tabs>
        <w:ind w:left="0"/>
        <w:rPr>
          <w:rFonts w:cs="Arial"/>
          <w:szCs w:val="21"/>
        </w:rPr>
      </w:pPr>
    </w:p>
    <w:p w14:paraId="2AC84A80" w14:textId="77777777" w:rsidR="001C2F95" w:rsidRPr="00C61BD6" w:rsidRDefault="001C2F95" w:rsidP="001C2F95">
      <w:pPr>
        <w:pStyle w:val="Paragraphedeliste"/>
        <w:tabs>
          <w:tab w:val="left" w:pos="426"/>
        </w:tabs>
        <w:ind w:left="0"/>
        <w:rPr>
          <w:rFonts w:cs="Arial"/>
          <w:szCs w:val="21"/>
        </w:rPr>
      </w:pPr>
      <w:r w:rsidRPr="00C61BD6">
        <w:rPr>
          <w:rFonts w:cs="Arial"/>
          <w:szCs w:val="21"/>
        </w:rPr>
        <w:t xml:space="preserve">Cette étape a permis de rencontrer les acteurs institutionnels principalement concernés par le Projet PNDA au niveau des provinces concernées : les Ministères Provinciaux et divisions chargés de l’Agriculture ; l’Office  des Voies de Desserte Agricole (OVDA), la Division de Développement Rural, la Division des Travaux Publics et Reconstruction, la Division de Santé publique, la Division de Travail et Prévoyance Sociale, la Coordination Provinciale de l’Environnement, la Division des Affaires foncières, l’Agence Congolaise de l’Environnement (ACE), les Organisations et les Associations locales, les ONG locales, etc. </w:t>
      </w:r>
    </w:p>
    <w:p w14:paraId="60DEC792" w14:textId="77777777" w:rsidR="001C2F95" w:rsidRPr="00C61BD6" w:rsidRDefault="001C2F95" w:rsidP="001C2F95">
      <w:pPr>
        <w:pStyle w:val="Paragraphedeliste"/>
        <w:tabs>
          <w:tab w:val="left" w:pos="426"/>
        </w:tabs>
        <w:ind w:left="0"/>
        <w:rPr>
          <w:rFonts w:cs="Arial"/>
          <w:szCs w:val="21"/>
        </w:rPr>
      </w:pPr>
    </w:p>
    <w:p w14:paraId="5D9B1948" w14:textId="77777777" w:rsidR="001C2F95" w:rsidRPr="00C61BD6" w:rsidRDefault="001C2F95" w:rsidP="001C2F95">
      <w:pPr>
        <w:pStyle w:val="Titre2"/>
        <w:numPr>
          <w:ilvl w:val="2"/>
          <w:numId w:val="4"/>
        </w:numPr>
        <w:ind w:left="1560" w:hanging="709"/>
        <w:rPr>
          <w:rFonts w:cs="Arial"/>
          <w:i/>
          <w:szCs w:val="21"/>
        </w:rPr>
      </w:pPr>
      <w:bookmarkStart w:id="222" w:name="_Toc470800712"/>
      <w:bookmarkStart w:id="223" w:name="_Toc502652339"/>
      <w:bookmarkStart w:id="224" w:name="_Toc44626795"/>
      <w:bookmarkStart w:id="225" w:name="_Toc90393050"/>
      <w:bookmarkStart w:id="226" w:name="_Toc90471409"/>
      <w:r w:rsidRPr="00C61BD6">
        <w:rPr>
          <w:rFonts w:cs="Arial"/>
          <w:i/>
          <w:szCs w:val="21"/>
        </w:rPr>
        <w:t>Visites de terrain</w:t>
      </w:r>
      <w:bookmarkEnd w:id="222"/>
      <w:bookmarkEnd w:id="223"/>
      <w:bookmarkEnd w:id="224"/>
      <w:bookmarkEnd w:id="225"/>
      <w:bookmarkEnd w:id="226"/>
    </w:p>
    <w:p w14:paraId="2225D8EB" w14:textId="77777777" w:rsidR="001C2F95" w:rsidRPr="00C61BD6" w:rsidRDefault="001C2F95" w:rsidP="001C2F95">
      <w:pPr>
        <w:rPr>
          <w:rFonts w:cs="Arial"/>
          <w:szCs w:val="21"/>
        </w:rPr>
      </w:pPr>
    </w:p>
    <w:p w14:paraId="20FF6938" w14:textId="77777777" w:rsidR="001C2F95" w:rsidRPr="00C61BD6" w:rsidRDefault="001C2F95" w:rsidP="001C2F95">
      <w:pPr>
        <w:pStyle w:val="Paragraphedeliste"/>
        <w:tabs>
          <w:tab w:val="left" w:pos="426"/>
        </w:tabs>
        <w:ind w:left="0"/>
        <w:rPr>
          <w:rFonts w:cs="Arial"/>
          <w:szCs w:val="21"/>
        </w:rPr>
      </w:pPr>
      <w:r w:rsidRPr="00C61BD6">
        <w:rPr>
          <w:rFonts w:cs="Arial"/>
          <w:szCs w:val="21"/>
        </w:rPr>
        <w:t xml:space="preserve">Des visites de terrain ont été effectuées dans les provinces choisies pour apprécier les contraintes et enjeux environnementaux et sociaux dans la zone du Projet, particulièrement les enjeux environnementaux et sociaux majeurs afférents à la mise en œuvre de différentes composantes du Projet, y compris les VBG, le HS ainsi que l’EAS (VBG/HS/EAS).  </w:t>
      </w:r>
    </w:p>
    <w:p w14:paraId="01744584" w14:textId="77777777" w:rsidR="001C2F95" w:rsidRPr="00C61BD6" w:rsidRDefault="001C2F95" w:rsidP="001C2F95">
      <w:pPr>
        <w:pStyle w:val="Paragraphedeliste"/>
        <w:tabs>
          <w:tab w:val="left" w:pos="426"/>
        </w:tabs>
        <w:ind w:left="0"/>
        <w:rPr>
          <w:rFonts w:cs="Arial"/>
          <w:szCs w:val="21"/>
        </w:rPr>
      </w:pPr>
    </w:p>
    <w:p w14:paraId="649B86F5" w14:textId="77777777" w:rsidR="001C2F95" w:rsidRPr="00C61BD6" w:rsidRDefault="001C2F95" w:rsidP="001C2F95">
      <w:pPr>
        <w:pStyle w:val="Titre2"/>
        <w:numPr>
          <w:ilvl w:val="2"/>
          <w:numId w:val="4"/>
        </w:numPr>
        <w:ind w:left="1560" w:hanging="709"/>
        <w:rPr>
          <w:rFonts w:cs="Arial"/>
          <w:i/>
          <w:szCs w:val="21"/>
        </w:rPr>
      </w:pPr>
      <w:bookmarkStart w:id="227" w:name="_Toc470800713"/>
      <w:bookmarkStart w:id="228" w:name="_Toc502652340"/>
      <w:bookmarkStart w:id="229" w:name="_Toc44626796"/>
      <w:bookmarkStart w:id="230" w:name="_Toc90393051"/>
      <w:bookmarkStart w:id="231" w:name="_Toc90471410"/>
      <w:r w:rsidRPr="00C61BD6">
        <w:rPr>
          <w:rFonts w:cs="Arial"/>
          <w:i/>
          <w:szCs w:val="21"/>
        </w:rPr>
        <w:t>Exploitation des données et rédaction du rapport</w:t>
      </w:r>
      <w:bookmarkEnd w:id="227"/>
      <w:bookmarkEnd w:id="228"/>
      <w:bookmarkEnd w:id="229"/>
      <w:bookmarkEnd w:id="230"/>
      <w:bookmarkEnd w:id="231"/>
    </w:p>
    <w:p w14:paraId="3D955313" w14:textId="77777777" w:rsidR="001C2F95" w:rsidRPr="00C61BD6" w:rsidRDefault="001C2F95" w:rsidP="001C2F95">
      <w:pPr>
        <w:rPr>
          <w:rFonts w:cs="Arial"/>
          <w:szCs w:val="21"/>
        </w:rPr>
      </w:pPr>
    </w:p>
    <w:p w14:paraId="24A0DEB0" w14:textId="77777777" w:rsidR="001C2F95" w:rsidRPr="00C61BD6" w:rsidRDefault="001C2F95" w:rsidP="001C2F95">
      <w:pPr>
        <w:pStyle w:val="Paragraphedeliste"/>
        <w:tabs>
          <w:tab w:val="left" w:pos="426"/>
        </w:tabs>
        <w:ind w:left="0"/>
        <w:rPr>
          <w:rFonts w:cs="Arial"/>
          <w:szCs w:val="21"/>
        </w:rPr>
      </w:pPr>
      <w:r w:rsidRPr="00C61BD6">
        <w:rPr>
          <w:rFonts w:cs="Arial"/>
          <w:szCs w:val="21"/>
        </w:rPr>
        <w:t>Les phases de revue documentaire, de collecte des données sur le terrain, de visites de sites potentiels, d’entretiens avec les différents acteurs, ont permis de recueillir des informations de base dont le traitement et l’analyse ont permis la rédaction du présent CGES.</w:t>
      </w:r>
    </w:p>
    <w:p w14:paraId="4A8BD729" w14:textId="77777777" w:rsidR="001C2F95" w:rsidRPr="00C61BD6" w:rsidRDefault="001C2F95" w:rsidP="001C2F95">
      <w:pPr>
        <w:autoSpaceDE w:val="0"/>
        <w:autoSpaceDN w:val="0"/>
        <w:adjustRightInd w:val="0"/>
        <w:rPr>
          <w:rFonts w:eastAsia="Calibri" w:cs="Arial"/>
          <w:szCs w:val="21"/>
        </w:rPr>
      </w:pPr>
    </w:p>
    <w:p w14:paraId="71CA15D6" w14:textId="77777777" w:rsidR="001C2F95" w:rsidRPr="00C61BD6" w:rsidRDefault="001C2F95" w:rsidP="001C2F95">
      <w:pPr>
        <w:pStyle w:val="Titre2"/>
        <w:numPr>
          <w:ilvl w:val="1"/>
          <w:numId w:val="4"/>
        </w:numPr>
        <w:ind w:left="851" w:hanging="425"/>
        <w:rPr>
          <w:rFonts w:eastAsia="Calibri" w:cs="Arial"/>
          <w:b/>
          <w:szCs w:val="21"/>
        </w:rPr>
      </w:pPr>
      <w:bookmarkStart w:id="232" w:name="_Toc44626797"/>
      <w:bookmarkStart w:id="233" w:name="_Toc90393052"/>
      <w:bookmarkStart w:id="234" w:name="_Toc90471411"/>
      <w:r w:rsidRPr="00C61BD6">
        <w:rPr>
          <w:rFonts w:cs="Arial"/>
          <w:b/>
          <w:szCs w:val="21"/>
        </w:rPr>
        <w:t>Structure du rapport</w:t>
      </w:r>
      <w:bookmarkEnd w:id="232"/>
      <w:bookmarkEnd w:id="233"/>
      <w:bookmarkEnd w:id="234"/>
      <w:r w:rsidRPr="00C61BD6">
        <w:rPr>
          <w:rFonts w:cs="Arial"/>
          <w:b/>
          <w:szCs w:val="21"/>
        </w:rPr>
        <w:t xml:space="preserve"> </w:t>
      </w:r>
    </w:p>
    <w:p w14:paraId="70B499B1" w14:textId="77777777" w:rsidR="001C2F95" w:rsidRPr="00C61BD6" w:rsidRDefault="001C2F95" w:rsidP="001C2F95">
      <w:pPr>
        <w:autoSpaceDE w:val="0"/>
        <w:autoSpaceDN w:val="0"/>
        <w:adjustRightInd w:val="0"/>
        <w:rPr>
          <w:rFonts w:eastAsia="Calibri" w:cs="Arial"/>
          <w:szCs w:val="21"/>
        </w:rPr>
      </w:pPr>
    </w:p>
    <w:p w14:paraId="5B790B51" w14:textId="77777777" w:rsidR="001C2F95" w:rsidRPr="00C61BD6" w:rsidRDefault="001C2F95" w:rsidP="001C2F95">
      <w:pPr>
        <w:autoSpaceDE w:val="0"/>
        <w:autoSpaceDN w:val="0"/>
        <w:adjustRightInd w:val="0"/>
        <w:rPr>
          <w:rFonts w:eastAsia="Calibri" w:cs="Arial"/>
          <w:szCs w:val="21"/>
        </w:rPr>
      </w:pPr>
      <w:r w:rsidRPr="00C61BD6">
        <w:rPr>
          <w:rFonts w:eastAsia="Calibri" w:cs="Arial"/>
          <w:szCs w:val="21"/>
        </w:rPr>
        <w:t>Le rapport s’articule autour des points suivants :</w:t>
      </w:r>
    </w:p>
    <w:p w14:paraId="4DB4118B" w14:textId="77777777" w:rsidR="001C2F95" w:rsidRPr="00C61BD6" w:rsidRDefault="001C2F95" w:rsidP="001C2F95">
      <w:pPr>
        <w:autoSpaceDE w:val="0"/>
        <w:autoSpaceDN w:val="0"/>
        <w:adjustRightInd w:val="0"/>
        <w:rPr>
          <w:rFonts w:eastAsia="Calibri" w:cs="Arial"/>
          <w:szCs w:val="21"/>
        </w:rPr>
      </w:pPr>
    </w:p>
    <w:p w14:paraId="1011E9A6" w14:textId="77777777" w:rsidR="001C2F95" w:rsidRPr="00C61BD6" w:rsidRDefault="001C2F95" w:rsidP="002378EA">
      <w:pPr>
        <w:pStyle w:val="Paragraphedeliste"/>
        <w:numPr>
          <w:ilvl w:val="0"/>
          <w:numId w:val="33"/>
        </w:numPr>
        <w:autoSpaceDE w:val="0"/>
        <w:autoSpaceDN w:val="0"/>
        <w:adjustRightInd w:val="0"/>
        <w:ind w:left="720"/>
        <w:rPr>
          <w:rFonts w:eastAsia="Calibri" w:cs="Arial"/>
          <w:szCs w:val="21"/>
        </w:rPr>
      </w:pPr>
      <w:r w:rsidRPr="00C61BD6">
        <w:rPr>
          <w:rFonts w:eastAsia="Calibri" w:cs="Arial"/>
          <w:szCs w:val="21"/>
        </w:rPr>
        <w:t>Sommaire/Table des matières ;</w:t>
      </w:r>
    </w:p>
    <w:p w14:paraId="1A3D4B37" w14:textId="77777777" w:rsidR="001C2F95" w:rsidRPr="00C61BD6" w:rsidRDefault="001C2F95" w:rsidP="002378EA">
      <w:pPr>
        <w:pStyle w:val="Paragraphedeliste"/>
        <w:numPr>
          <w:ilvl w:val="0"/>
          <w:numId w:val="33"/>
        </w:numPr>
        <w:autoSpaceDE w:val="0"/>
        <w:autoSpaceDN w:val="0"/>
        <w:adjustRightInd w:val="0"/>
        <w:ind w:left="720"/>
        <w:rPr>
          <w:rFonts w:eastAsia="Calibri" w:cs="Arial"/>
          <w:szCs w:val="21"/>
        </w:rPr>
      </w:pPr>
      <w:r w:rsidRPr="00C61BD6">
        <w:rPr>
          <w:rFonts w:eastAsia="Calibri" w:cs="Arial"/>
          <w:szCs w:val="21"/>
        </w:rPr>
        <w:t>Liste des acronymes et sigles ;</w:t>
      </w:r>
    </w:p>
    <w:p w14:paraId="3C7B4284" w14:textId="77777777" w:rsidR="001C2F95" w:rsidRPr="00C61BD6" w:rsidRDefault="001C2F95" w:rsidP="002378EA">
      <w:pPr>
        <w:pStyle w:val="Paragraphedeliste"/>
        <w:numPr>
          <w:ilvl w:val="0"/>
          <w:numId w:val="33"/>
        </w:numPr>
        <w:autoSpaceDE w:val="0"/>
        <w:autoSpaceDN w:val="0"/>
        <w:adjustRightInd w:val="0"/>
        <w:ind w:left="720"/>
        <w:rPr>
          <w:rFonts w:eastAsia="Calibri" w:cs="Arial"/>
          <w:szCs w:val="21"/>
        </w:rPr>
      </w:pPr>
      <w:r w:rsidRPr="00C61BD6">
        <w:rPr>
          <w:rFonts w:eastAsia="Calibri" w:cs="Arial"/>
          <w:szCs w:val="21"/>
        </w:rPr>
        <w:t>Résumé exécutif en français ;</w:t>
      </w:r>
    </w:p>
    <w:p w14:paraId="5FB38B02" w14:textId="77777777" w:rsidR="001C2F95" w:rsidRPr="00C61BD6" w:rsidRDefault="001C2F95" w:rsidP="002378EA">
      <w:pPr>
        <w:pStyle w:val="Paragraphedeliste"/>
        <w:numPr>
          <w:ilvl w:val="0"/>
          <w:numId w:val="33"/>
        </w:numPr>
        <w:autoSpaceDE w:val="0"/>
        <w:autoSpaceDN w:val="0"/>
        <w:adjustRightInd w:val="0"/>
        <w:ind w:left="720"/>
        <w:rPr>
          <w:rFonts w:eastAsia="Calibri" w:cs="Arial"/>
          <w:szCs w:val="21"/>
        </w:rPr>
      </w:pPr>
      <w:r w:rsidRPr="00C61BD6">
        <w:rPr>
          <w:rFonts w:eastAsia="Calibri" w:cs="Arial"/>
          <w:szCs w:val="21"/>
        </w:rPr>
        <w:t>Résumé exécutif en anglais ;</w:t>
      </w:r>
    </w:p>
    <w:p w14:paraId="05E8A964" w14:textId="77777777" w:rsidR="001C2F95" w:rsidRPr="00C61BD6" w:rsidRDefault="001C2F95" w:rsidP="002378EA">
      <w:pPr>
        <w:pStyle w:val="Paragraphedeliste"/>
        <w:numPr>
          <w:ilvl w:val="0"/>
          <w:numId w:val="33"/>
        </w:numPr>
        <w:autoSpaceDE w:val="0"/>
        <w:autoSpaceDN w:val="0"/>
        <w:adjustRightInd w:val="0"/>
        <w:ind w:left="720"/>
        <w:rPr>
          <w:rFonts w:eastAsia="Calibri" w:cs="Arial"/>
          <w:szCs w:val="21"/>
        </w:rPr>
      </w:pPr>
      <w:r w:rsidRPr="00C61BD6">
        <w:rPr>
          <w:rFonts w:eastAsia="Calibri" w:cs="Arial"/>
          <w:szCs w:val="21"/>
        </w:rPr>
        <w:t>Résumé exécutif en Kikongo, Tshiluba et Swahili</w:t>
      </w:r>
    </w:p>
    <w:p w14:paraId="49B716C0" w14:textId="77777777" w:rsidR="001C2F95" w:rsidRPr="00C61BD6" w:rsidRDefault="001C2F95" w:rsidP="002378EA">
      <w:pPr>
        <w:pStyle w:val="Paragraphedeliste"/>
        <w:numPr>
          <w:ilvl w:val="0"/>
          <w:numId w:val="33"/>
        </w:numPr>
        <w:autoSpaceDE w:val="0"/>
        <w:autoSpaceDN w:val="0"/>
        <w:adjustRightInd w:val="0"/>
        <w:ind w:left="720"/>
        <w:rPr>
          <w:rFonts w:eastAsia="Calibri" w:cs="Arial"/>
          <w:szCs w:val="21"/>
        </w:rPr>
      </w:pPr>
      <w:r w:rsidRPr="00C61BD6">
        <w:rPr>
          <w:rFonts w:eastAsia="Calibri" w:cs="Arial"/>
          <w:szCs w:val="21"/>
        </w:rPr>
        <w:t>Introduction ;</w:t>
      </w:r>
    </w:p>
    <w:p w14:paraId="0FF0B126" w14:textId="77777777" w:rsidR="0090352E" w:rsidRPr="00C61BD6" w:rsidRDefault="0090352E" w:rsidP="002378EA">
      <w:pPr>
        <w:pStyle w:val="Paragraphedeliste"/>
        <w:numPr>
          <w:ilvl w:val="0"/>
          <w:numId w:val="33"/>
        </w:numPr>
        <w:autoSpaceDE w:val="0"/>
        <w:autoSpaceDN w:val="0"/>
        <w:adjustRightInd w:val="0"/>
        <w:ind w:left="720"/>
        <w:rPr>
          <w:rFonts w:eastAsia="Calibri" w:cs="Arial"/>
          <w:szCs w:val="21"/>
        </w:rPr>
      </w:pPr>
      <w:r w:rsidRPr="00C61BD6">
        <w:rPr>
          <w:szCs w:val="21"/>
        </w:rPr>
        <w:t>Méthodologie ;</w:t>
      </w:r>
    </w:p>
    <w:p w14:paraId="1FC8B9C7" w14:textId="77777777" w:rsidR="001C2F95" w:rsidRPr="00C61BD6" w:rsidRDefault="001C2F95" w:rsidP="002378EA">
      <w:pPr>
        <w:pStyle w:val="Paragraphedeliste"/>
        <w:numPr>
          <w:ilvl w:val="0"/>
          <w:numId w:val="33"/>
        </w:numPr>
        <w:autoSpaceDE w:val="0"/>
        <w:autoSpaceDN w:val="0"/>
        <w:adjustRightInd w:val="0"/>
        <w:ind w:left="720"/>
        <w:rPr>
          <w:rFonts w:eastAsia="Calibri" w:cs="Arial"/>
          <w:szCs w:val="21"/>
        </w:rPr>
      </w:pPr>
      <w:r w:rsidRPr="00C61BD6">
        <w:rPr>
          <w:rFonts w:eastAsia="Calibri" w:cs="Arial"/>
          <w:szCs w:val="21"/>
        </w:rPr>
        <w:t>Description du Projet ;</w:t>
      </w:r>
    </w:p>
    <w:p w14:paraId="728BB8E5" w14:textId="77777777" w:rsidR="001C2F95" w:rsidRPr="00C61BD6" w:rsidRDefault="001C2F95" w:rsidP="002378EA">
      <w:pPr>
        <w:pStyle w:val="Paragraphedeliste"/>
        <w:numPr>
          <w:ilvl w:val="0"/>
          <w:numId w:val="33"/>
        </w:numPr>
        <w:autoSpaceDE w:val="0"/>
        <w:autoSpaceDN w:val="0"/>
        <w:adjustRightInd w:val="0"/>
        <w:ind w:left="720"/>
        <w:rPr>
          <w:rFonts w:eastAsia="Calibri" w:cs="Arial"/>
          <w:szCs w:val="21"/>
        </w:rPr>
      </w:pPr>
      <w:r w:rsidRPr="00C61BD6">
        <w:rPr>
          <w:rFonts w:eastAsia="Calibri" w:cs="Arial"/>
          <w:szCs w:val="21"/>
        </w:rPr>
        <w:t>Situation environnementale et sociale dans la zone du projet ;</w:t>
      </w:r>
    </w:p>
    <w:p w14:paraId="75410C78" w14:textId="77777777" w:rsidR="001C2F95" w:rsidRPr="00C61BD6" w:rsidRDefault="001C2F95" w:rsidP="002378EA">
      <w:pPr>
        <w:pStyle w:val="Paragraphedeliste"/>
        <w:numPr>
          <w:ilvl w:val="0"/>
          <w:numId w:val="33"/>
        </w:numPr>
        <w:autoSpaceDE w:val="0"/>
        <w:autoSpaceDN w:val="0"/>
        <w:adjustRightInd w:val="0"/>
        <w:ind w:left="720"/>
        <w:rPr>
          <w:rFonts w:eastAsia="Calibri" w:cs="Arial"/>
          <w:szCs w:val="21"/>
        </w:rPr>
      </w:pPr>
      <w:r w:rsidRPr="00C61BD6">
        <w:rPr>
          <w:rFonts w:eastAsia="Calibri" w:cs="Arial"/>
          <w:szCs w:val="21"/>
        </w:rPr>
        <w:t xml:space="preserve">Cadre politique, juridique et </w:t>
      </w:r>
      <w:r w:rsidR="00D13BCA" w:rsidRPr="00C61BD6">
        <w:rPr>
          <w:rFonts w:eastAsia="Calibri" w:cs="Arial"/>
          <w:szCs w:val="21"/>
        </w:rPr>
        <w:t>institutionnel</w:t>
      </w:r>
      <w:r w:rsidRPr="00C61BD6">
        <w:rPr>
          <w:rFonts w:eastAsia="Calibri" w:cs="Arial"/>
          <w:szCs w:val="21"/>
        </w:rPr>
        <w:t xml:space="preserve"> ;  </w:t>
      </w:r>
    </w:p>
    <w:p w14:paraId="5B884B5B" w14:textId="77777777" w:rsidR="001C2F95" w:rsidRPr="00C61BD6" w:rsidRDefault="001C2F95" w:rsidP="002378EA">
      <w:pPr>
        <w:pStyle w:val="Paragraphedeliste"/>
        <w:numPr>
          <w:ilvl w:val="0"/>
          <w:numId w:val="33"/>
        </w:numPr>
        <w:autoSpaceDE w:val="0"/>
        <w:autoSpaceDN w:val="0"/>
        <w:adjustRightInd w:val="0"/>
        <w:ind w:left="720"/>
        <w:rPr>
          <w:rFonts w:eastAsia="Calibri" w:cs="Arial"/>
          <w:szCs w:val="21"/>
        </w:rPr>
      </w:pPr>
      <w:r w:rsidRPr="00C61BD6">
        <w:rPr>
          <w:rFonts w:eastAsia="Calibri" w:cs="Arial"/>
          <w:szCs w:val="21"/>
        </w:rPr>
        <w:t>Risques et impacts environnementaux et sociaux potentiels du projet ;</w:t>
      </w:r>
    </w:p>
    <w:p w14:paraId="16BFD454" w14:textId="77777777" w:rsidR="001C2F95" w:rsidRPr="00C61BD6" w:rsidRDefault="0090352E" w:rsidP="002378EA">
      <w:pPr>
        <w:pStyle w:val="Paragraphedeliste"/>
        <w:numPr>
          <w:ilvl w:val="0"/>
          <w:numId w:val="33"/>
        </w:numPr>
        <w:autoSpaceDE w:val="0"/>
        <w:autoSpaceDN w:val="0"/>
        <w:adjustRightInd w:val="0"/>
        <w:ind w:left="720"/>
        <w:rPr>
          <w:rFonts w:eastAsia="Calibri" w:cs="Arial"/>
          <w:szCs w:val="21"/>
        </w:rPr>
      </w:pPr>
      <w:r w:rsidRPr="00C61BD6">
        <w:rPr>
          <w:szCs w:val="21"/>
        </w:rPr>
        <w:t>Procédures de gestion E&amp;S des sous-projets</w:t>
      </w:r>
      <w:r w:rsidRPr="00C61BD6" w:rsidDel="0090352E">
        <w:rPr>
          <w:rFonts w:eastAsia="Calibri" w:cs="Arial"/>
          <w:szCs w:val="21"/>
        </w:rPr>
        <w:t xml:space="preserve"> </w:t>
      </w:r>
      <w:r w:rsidR="001C2F95" w:rsidRPr="00C61BD6">
        <w:rPr>
          <w:rFonts w:eastAsia="Calibri" w:cs="Arial"/>
          <w:szCs w:val="21"/>
        </w:rPr>
        <w:t>y compris les VBG/HS/EAS ;</w:t>
      </w:r>
    </w:p>
    <w:p w14:paraId="58414E11" w14:textId="77777777" w:rsidR="0090352E" w:rsidRPr="00C61BD6" w:rsidRDefault="0090352E" w:rsidP="002378EA">
      <w:pPr>
        <w:pStyle w:val="Paragraphedeliste"/>
        <w:numPr>
          <w:ilvl w:val="0"/>
          <w:numId w:val="33"/>
        </w:numPr>
        <w:autoSpaceDE w:val="0"/>
        <w:autoSpaceDN w:val="0"/>
        <w:adjustRightInd w:val="0"/>
        <w:ind w:left="720"/>
        <w:rPr>
          <w:rFonts w:eastAsia="Calibri" w:cs="Arial"/>
          <w:szCs w:val="21"/>
        </w:rPr>
      </w:pPr>
      <w:r w:rsidRPr="00C61BD6">
        <w:rPr>
          <w:szCs w:val="21"/>
        </w:rPr>
        <w:t xml:space="preserve">Mise en œuvre et suivi du PGES ; </w:t>
      </w:r>
    </w:p>
    <w:p w14:paraId="5C5CBAD1" w14:textId="77777777" w:rsidR="0090352E" w:rsidRPr="00C61BD6" w:rsidRDefault="0090352E" w:rsidP="002378EA">
      <w:pPr>
        <w:pStyle w:val="Paragraphedeliste"/>
        <w:numPr>
          <w:ilvl w:val="0"/>
          <w:numId w:val="33"/>
        </w:numPr>
        <w:autoSpaceDE w:val="0"/>
        <w:autoSpaceDN w:val="0"/>
        <w:adjustRightInd w:val="0"/>
        <w:ind w:left="720"/>
        <w:rPr>
          <w:rFonts w:eastAsia="Calibri" w:cs="Arial"/>
          <w:szCs w:val="21"/>
        </w:rPr>
      </w:pPr>
      <w:r w:rsidRPr="00C61BD6">
        <w:rPr>
          <w:szCs w:val="21"/>
        </w:rPr>
        <w:t>Renforcement des capacités ;</w:t>
      </w:r>
    </w:p>
    <w:p w14:paraId="6C77B931" w14:textId="77777777" w:rsidR="0090352E" w:rsidRPr="00C61BD6" w:rsidRDefault="0090352E" w:rsidP="002378EA">
      <w:pPr>
        <w:pStyle w:val="Paragraphedeliste"/>
        <w:numPr>
          <w:ilvl w:val="0"/>
          <w:numId w:val="33"/>
        </w:numPr>
        <w:autoSpaceDE w:val="0"/>
        <w:autoSpaceDN w:val="0"/>
        <w:adjustRightInd w:val="0"/>
        <w:ind w:left="720"/>
        <w:rPr>
          <w:rFonts w:eastAsia="Calibri" w:cs="Arial"/>
          <w:szCs w:val="21"/>
        </w:rPr>
      </w:pPr>
      <w:r w:rsidRPr="00C61BD6">
        <w:rPr>
          <w:szCs w:val="21"/>
        </w:rPr>
        <w:t>Calendrier de mise en œuvre des mesures</w:t>
      </w:r>
      <w:r w:rsidRPr="00C61BD6">
        <w:rPr>
          <w:rFonts w:eastAsia="Calibri" w:cs="Arial"/>
          <w:szCs w:val="21"/>
        </w:rPr>
        <w:t> ;</w:t>
      </w:r>
    </w:p>
    <w:p w14:paraId="480881C4" w14:textId="77777777" w:rsidR="001C2F95" w:rsidRPr="00C61BD6" w:rsidRDefault="001C2F95" w:rsidP="002378EA">
      <w:pPr>
        <w:pStyle w:val="Paragraphedeliste"/>
        <w:numPr>
          <w:ilvl w:val="0"/>
          <w:numId w:val="33"/>
        </w:numPr>
        <w:autoSpaceDE w:val="0"/>
        <w:autoSpaceDN w:val="0"/>
        <w:adjustRightInd w:val="0"/>
        <w:ind w:left="720"/>
        <w:rPr>
          <w:rFonts w:eastAsia="Calibri" w:cs="Arial"/>
          <w:szCs w:val="21"/>
        </w:rPr>
      </w:pPr>
      <w:r w:rsidRPr="00C61BD6">
        <w:rPr>
          <w:rFonts w:eastAsia="Calibri" w:cs="Arial"/>
          <w:szCs w:val="21"/>
        </w:rPr>
        <w:t>Consultations du public ;</w:t>
      </w:r>
    </w:p>
    <w:p w14:paraId="09670483" w14:textId="77777777" w:rsidR="001C2F95" w:rsidRPr="00C61BD6" w:rsidRDefault="001C2F95" w:rsidP="002378EA">
      <w:pPr>
        <w:pStyle w:val="Paragraphedeliste"/>
        <w:numPr>
          <w:ilvl w:val="0"/>
          <w:numId w:val="33"/>
        </w:numPr>
        <w:autoSpaceDE w:val="0"/>
        <w:autoSpaceDN w:val="0"/>
        <w:adjustRightInd w:val="0"/>
        <w:ind w:left="720"/>
        <w:rPr>
          <w:rFonts w:eastAsia="Calibri" w:cs="Arial"/>
          <w:szCs w:val="21"/>
        </w:rPr>
      </w:pPr>
      <w:r w:rsidRPr="00C61BD6">
        <w:rPr>
          <w:rFonts w:eastAsia="Calibri" w:cs="Arial"/>
          <w:szCs w:val="21"/>
        </w:rPr>
        <w:t>Description du Mécanisme de Gestion des Plaintes (MGP)</w:t>
      </w:r>
      <w:r w:rsidR="0090352E" w:rsidRPr="00C61BD6">
        <w:rPr>
          <w:rFonts w:eastAsia="Calibri" w:cs="Arial"/>
          <w:szCs w:val="21"/>
        </w:rPr>
        <w:t> ;</w:t>
      </w:r>
    </w:p>
    <w:p w14:paraId="5024D3EE" w14:textId="77777777" w:rsidR="001C2F95" w:rsidRPr="00C61BD6" w:rsidRDefault="001C2F95" w:rsidP="002378EA">
      <w:pPr>
        <w:pStyle w:val="Paragraphedeliste"/>
        <w:numPr>
          <w:ilvl w:val="0"/>
          <w:numId w:val="33"/>
        </w:numPr>
        <w:autoSpaceDE w:val="0"/>
        <w:autoSpaceDN w:val="0"/>
        <w:adjustRightInd w:val="0"/>
        <w:ind w:left="720"/>
        <w:rPr>
          <w:rFonts w:eastAsia="Calibri" w:cs="Arial"/>
          <w:szCs w:val="21"/>
        </w:rPr>
      </w:pPr>
      <w:r w:rsidRPr="00C61BD6">
        <w:rPr>
          <w:rFonts w:eastAsia="Calibri" w:cs="Arial"/>
          <w:szCs w:val="21"/>
        </w:rPr>
        <w:t>Budget estimatif de la mise en œuvre du CGES ;</w:t>
      </w:r>
    </w:p>
    <w:p w14:paraId="2FE33019" w14:textId="77777777" w:rsidR="001C2F95" w:rsidRPr="00C61BD6" w:rsidRDefault="001C2F95" w:rsidP="002378EA">
      <w:pPr>
        <w:pStyle w:val="Paragraphedeliste"/>
        <w:numPr>
          <w:ilvl w:val="0"/>
          <w:numId w:val="33"/>
        </w:numPr>
        <w:autoSpaceDE w:val="0"/>
        <w:autoSpaceDN w:val="0"/>
        <w:adjustRightInd w:val="0"/>
        <w:ind w:left="720"/>
        <w:rPr>
          <w:rFonts w:eastAsia="Calibri" w:cs="Arial"/>
          <w:szCs w:val="21"/>
        </w:rPr>
      </w:pPr>
      <w:r w:rsidRPr="00C61BD6">
        <w:rPr>
          <w:rFonts w:eastAsia="Calibri" w:cs="Arial"/>
          <w:szCs w:val="21"/>
        </w:rPr>
        <w:t>Conclusion et recommandations ;</w:t>
      </w:r>
    </w:p>
    <w:p w14:paraId="39B8F25E" w14:textId="77777777" w:rsidR="001C2F95" w:rsidRPr="00B6064E" w:rsidRDefault="001C2F95" w:rsidP="002378EA">
      <w:pPr>
        <w:pStyle w:val="Paragraphedeliste"/>
        <w:numPr>
          <w:ilvl w:val="0"/>
          <w:numId w:val="33"/>
        </w:numPr>
        <w:autoSpaceDE w:val="0"/>
        <w:autoSpaceDN w:val="0"/>
        <w:adjustRightInd w:val="0"/>
        <w:ind w:left="720"/>
        <w:rPr>
          <w:rFonts w:cs="Arial"/>
          <w:bCs/>
          <w:sz w:val="22"/>
        </w:rPr>
      </w:pPr>
      <w:r w:rsidRPr="00C61BD6">
        <w:rPr>
          <w:rFonts w:eastAsia="Calibri" w:cs="Arial"/>
          <w:szCs w:val="21"/>
        </w:rPr>
        <w:t xml:space="preserve">Annexes. </w:t>
      </w:r>
      <w:r w:rsidRPr="00C61BD6">
        <w:rPr>
          <w:rFonts w:cs="Arial"/>
          <w:b/>
          <w:szCs w:val="21"/>
        </w:rPr>
        <w:br w:type="page"/>
      </w:r>
    </w:p>
    <w:p w14:paraId="0736DE56" w14:textId="77777777" w:rsidR="001C2F95" w:rsidRPr="00C61BD6" w:rsidRDefault="001C2F95" w:rsidP="001C2F95">
      <w:pPr>
        <w:pStyle w:val="Titre1"/>
        <w:numPr>
          <w:ilvl w:val="0"/>
          <w:numId w:val="4"/>
        </w:numPr>
        <w:ind w:left="567" w:hanging="283"/>
        <w:rPr>
          <w:rFonts w:cs="Arial"/>
          <w:szCs w:val="21"/>
        </w:rPr>
      </w:pPr>
      <w:bookmarkStart w:id="235" w:name="_Toc44626798"/>
      <w:bookmarkStart w:id="236" w:name="_Toc90393053"/>
      <w:bookmarkStart w:id="237" w:name="_Toc90471412"/>
      <w:r w:rsidRPr="00C61BD6">
        <w:rPr>
          <w:rFonts w:cs="Arial"/>
          <w:szCs w:val="21"/>
        </w:rPr>
        <w:t>DESCRIPTION DU PROJET</w:t>
      </w:r>
      <w:bookmarkEnd w:id="235"/>
      <w:bookmarkEnd w:id="236"/>
      <w:bookmarkEnd w:id="237"/>
    </w:p>
    <w:p w14:paraId="5EFC4914" w14:textId="77777777" w:rsidR="001C2F95" w:rsidRPr="00C61BD6" w:rsidRDefault="001C2F95" w:rsidP="001C2F95">
      <w:pPr>
        <w:rPr>
          <w:rFonts w:cs="Arial"/>
          <w:szCs w:val="21"/>
          <w:highlight w:val="yellow"/>
        </w:rPr>
      </w:pPr>
    </w:p>
    <w:p w14:paraId="0F8C7B2E" w14:textId="77777777" w:rsidR="001C2F95" w:rsidRPr="00C61BD6" w:rsidRDefault="001C2F95" w:rsidP="001C2F95">
      <w:pPr>
        <w:pStyle w:val="Titre2"/>
        <w:numPr>
          <w:ilvl w:val="1"/>
          <w:numId w:val="4"/>
        </w:numPr>
        <w:ind w:left="851" w:hanging="425"/>
        <w:rPr>
          <w:rFonts w:cs="Arial"/>
          <w:b/>
          <w:szCs w:val="21"/>
        </w:rPr>
      </w:pPr>
      <w:bookmarkStart w:id="238" w:name="_Toc44626799"/>
      <w:bookmarkStart w:id="239" w:name="_Toc90393054"/>
      <w:bookmarkStart w:id="240" w:name="_Toc90471413"/>
      <w:bookmarkStart w:id="241" w:name="_Toc500754643"/>
      <w:r w:rsidRPr="00C61BD6">
        <w:rPr>
          <w:rFonts w:cs="Arial"/>
          <w:b/>
          <w:szCs w:val="21"/>
        </w:rPr>
        <w:t>Objectif du Projet</w:t>
      </w:r>
      <w:bookmarkEnd w:id="238"/>
      <w:bookmarkEnd w:id="239"/>
      <w:bookmarkEnd w:id="240"/>
    </w:p>
    <w:p w14:paraId="1B5E514E" w14:textId="77777777" w:rsidR="001C2F95" w:rsidRPr="00C61BD6" w:rsidRDefault="001C2F95" w:rsidP="001C2F95">
      <w:pPr>
        <w:rPr>
          <w:rFonts w:cs="Arial"/>
          <w:szCs w:val="21"/>
        </w:rPr>
      </w:pPr>
    </w:p>
    <w:p w14:paraId="0C61DCA7" w14:textId="5EBA39DB" w:rsidR="001C2F95" w:rsidRPr="00C61BD6" w:rsidRDefault="001C2F95" w:rsidP="001C2F95">
      <w:pPr>
        <w:rPr>
          <w:rFonts w:cs="Arial"/>
          <w:szCs w:val="21"/>
        </w:rPr>
      </w:pPr>
      <w:r w:rsidRPr="00C61BD6">
        <w:rPr>
          <w:rFonts w:cs="Arial"/>
          <w:szCs w:val="21"/>
        </w:rPr>
        <w:t xml:space="preserve">L’objectif du développement du Projet est d’améliorer la productivité agricole et l’accès au marché des petits exploitants agricoles </w:t>
      </w:r>
      <w:r w:rsidR="00691DB3" w:rsidRPr="00C61BD6">
        <w:rPr>
          <w:rFonts w:cs="Arial"/>
          <w:szCs w:val="21"/>
        </w:rPr>
        <w:t xml:space="preserve">ciblés </w:t>
      </w:r>
      <w:r w:rsidRPr="00C61BD6">
        <w:rPr>
          <w:rFonts w:cs="Arial"/>
          <w:szCs w:val="21"/>
        </w:rPr>
        <w:t xml:space="preserve">dans des </w:t>
      </w:r>
      <w:r w:rsidR="00691DB3" w:rsidRPr="00C61BD6">
        <w:rPr>
          <w:rFonts w:cs="Arial"/>
          <w:szCs w:val="21"/>
        </w:rPr>
        <w:t>zones du Programme</w:t>
      </w:r>
      <w:r w:rsidRPr="00C61BD6">
        <w:rPr>
          <w:rFonts w:cs="Arial"/>
          <w:szCs w:val="21"/>
        </w:rPr>
        <w:t xml:space="preserve">. </w:t>
      </w:r>
    </w:p>
    <w:p w14:paraId="11646B4C" w14:textId="77777777" w:rsidR="001C2F95" w:rsidRPr="00C61BD6" w:rsidRDefault="001C2F95" w:rsidP="001C2F95">
      <w:pPr>
        <w:rPr>
          <w:rFonts w:cs="Arial"/>
          <w:bCs/>
          <w:szCs w:val="21"/>
        </w:rPr>
      </w:pPr>
    </w:p>
    <w:p w14:paraId="64C0EA5C" w14:textId="77777777" w:rsidR="00CC5A5F" w:rsidRPr="00C61BD6" w:rsidRDefault="00CC5A5F" w:rsidP="00CC5A5F">
      <w:pPr>
        <w:pStyle w:val="Corpsdetexte"/>
        <w:rPr>
          <w:rFonts w:cs="Arial"/>
          <w:sz w:val="21"/>
          <w:szCs w:val="21"/>
        </w:rPr>
      </w:pPr>
      <w:r w:rsidRPr="00C61BD6">
        <w:rPr>
          <w:rFonts w:cs="Arial"/>
          <w:sz w:val="21"/>
          <w:szCs w:val="21"/>
        </w:rPr>
        <w:t>Indicateurs de niveau d’objectif de développement du Projet</w:t>
      </w:r>
    </w:p>
    <w:p w14:paraId="57EBB538" w14:textId="77777777" w:rsidR="00CC5A5F" w:rsidRPr="00C61BD6" w:rsidRDefault="00CC5A5F" w:rsidP="00CC5A5F">
      <w:pPr>
        <w:pStyle w:val="Corpsdetexte"/>
        <w:rPr>
          <w:rFonts w:cs="Arial"/>
          <w:sz w:val="21"/>
          <w:szCs w:val="21"/>
        </w:rPr>
      </w:pPr>
    </w:p>
    <w:p w14:paraId="08941178" w14:textId="77777777" w:rsidR="00CC5A5F" w:rsidRPr="00C61BD6" w:rsidRDefault="00CC5A5F" w:rsidP="00CC5A5F">
      <w:pPr>
        <w:pStyle w:val="Corpsdetexte"/>
        <w:spacing w:line="259" w:lineRule="auto"/>
        <w:ind w:right="95"/>
        <w:rPr>
          <w:rFonts w:cs="Arial"/>
          <w:sz w:val="21"/>
          <w:szCs w:val="21"/>
        </w:rPr>
      </w:pPr>
      <w:r w:rsidRPr="00C61BD6">
        <w:rPr>
          <w:rFonts w:cs="Arial"/>
          <w:sz w:val="21"/>
          <w:szCs w:val="21"/>
        </w:rPr>
        <w:t xml:space="preserve">Les indicateurs au niveau du d’objectif de développement du Projet se concentreront sur la mesure des changements à court terme qui peuvent être attribués à la première phase du projet/séries du projet : </w:t>
      </w:r>
    </w:p>
    <w:p w14:paraId="45D9BAB9" w14:textId="77777777" w:rsidR="00CC5A5F" w:rsidRPr="00C61BD6" w:rsidRDefault="00CC5A5F" w:rsidP="00CC5A5F">
      <w:pPr>
        <w:pStyle w:val="Corpsdetexte"/>
        <w:spacing w:line="259" w:lineRule="auto"/>
        <w:ind w:right="95"/>
        <w:rPr>
          <w:rFonts w:cs="Arial"/>
          <w:sz w:val="21"/>
          <w:szCs w:val="21"/>
        </w:rPr>
      </w:pPr>
    </w:p>
    <w:p w14:paraId="336EE031" w14:textId="77777777" w:rsidR="00CC5A5F" w:rsidRPr="00C61BD6" w:rsidRDefault="00CC5A5F" w:rsidP="00CC5A5F">
      <w:pPr>
        <w:pStyle w:val="Corpsdetexte"/>
        <w:spacing w:before="1" w:line="256" w:lineRule="auto"/>
        <w:ind w:right="1131"/>
        <w:rPr>
          <w:rFonts w:cs="Arial"/>
          <w:sz w:val="21"/>
          <w:szCs w:val="21"/>
        </w:rPr>
      </w:pPr>
      <w:r w:rsidRPr="00C61BD6">
        <w:rPr>
          <w:rFonts w:cs="Arial"/>
          <w:sz w:val="21"/>
          <w:szCs w:val="21"/>
        </w:rPr>
        <w:t>Augmentation</w:t>
      </w:r>
      <w:r w:rsidRPr="00C61BD6">
        <w:rPr>
          <w:rFonts w:cs="Arial"/>
          <w:spacing w:val="-14"/>
          <w:sz w:val="21"/>
          <w:szCs w:val="21"/>
        </w:rPr>
        <w:t xml:space="preserve"> </w:t>
      </w:r>
      <w:r w:rsidRPr="00C61BD6">
        <w:rPr>
          <w:rFonts w:cs="Arial"/>
          <w:sz w:val="21"/>
          <w:szCs w:val="21"/>
        </w:rPr>
        <w:t>des</w:t>
      </w:r>
      <w:r w:rsidRPr="00C61BD6">
        <w:rPr>
          <w:rFonts w:cs="Arial"/>
          <w:spacing w:val="-15"/>
          <w:sz w:val="21"/>
          <w:szCs w:val="21"/>
        </w:rPr>
        <w:t xml:space="preserve"> </w:t>
      </w:r>
      <w:r w:rsidRPr="00C61BD6">
        <w:rPr>
          <w:rFonts w:cs="Arial"/>
          <w:sz w:val="21"/>
          <w:szCs w:val="21"/>
        </w:rPr>
        <w:t>ventes</w:t>
      </w:r>
      <w:r w:rsidRPr="00C61BD6">
        <w:rPr>
          <w:rFonts w:cs="Arial"/>
          <w:spacing w:val="-12"/>
          <w:sz w:val="21"/>
          <w:szCs w:val="21"/>
        </w:rPr>
        <w:t xml:space="preserve"> </w:t>
      </w:r>
      <w:r w:rsidRPr="00C61BD6">
        <w:rPr>
          <w:rFonts w:cs="Arial"/>
          <w:sz w:val="21"/>
          <w:szCs w:val="21"/>
        </w:rPr>
        <w:t>de</w:t>
      </w:r>
      <w:r w:rsidRPr="00C61BD6">
        <w:rPr>
          <w:rFonts w:cs="Arial"/>
          <w:spacing w:val="-12"/>
          <w:sz w:val="21"/>
          <w:szCs w:val="21"/>
        </w:rPr>
        <w:t xml:space="preserve"> </w:t>
      </w:r>
      <w:r w:rsidRPr="00C61BD6">
        <w:rPr>
          <w:rFonts w:cs="Arial"/>
          <w:sz w:val="21"/>
          <w:szCs w:val="21"/>
        </w:rPr>
        <w:t>produits</w:t>
      </w:r>
      <w:r w:rsidRPr="00C61BD6">
        <w:rPr>
          <w:rFonts w:cs="Arial"/>
          <w:spacing w:val="-14"/>
          <w:sz w:val="21"/>
          <w:szCs w:val="21"/>
        </w:rPr>
        <w:t xml:space="preserve"> </w:t>
      </w:r>
      <w:r w:rsidRPr="00C61BD6">
        <w:rPr>
          <w:rFonts w:cs="Arial"/>
          <w:sz w:val="21"/>
          <w:szCs w:val="21"/>
        </w:rPr>
        <w:t>agricoles</w:t>
      </w:r>
      <w:r w:rsidRPr="00C61BD6">
        <w:rPr>
          <w:rFonts w:cs="Arial"/>
          <w:spacing w:val="-15"/>
          <w:sz w:val="21"/>
          <w:szCs w:val="21"/>
        </w:rPr>
        <w:t xml:space="preserve"> </w:t>
      </w:r>
      <w:r w:rsidRPr="00C61BD6">
        <w:rPr>
          <w:rFonts w:cs="Arial"/>
          <w:sz w:val="21"/>
          <w:szCs w:val="21"/>
        </w:rPr>
        <w:t>et</w:t>
      </w:r>
      <w:r w:rsidRPr="00C61BD6">
        <w:rPr>
          <w:rFonts w:cs="Arial"/>
          <w:spacing w:val="-13"/>
          <w:sz w:val="21"/>
          <w:szCs w:val="21"/>
        </w:rPr>
        <w:t xml:space="preserve"> </w:t>
      </w:r>
      <w:r w:rsidRPr="00C61BD6">
        <w:rPr>
          <w:rFonts w:cs="Arial"/>
          <w:sz w:val="21"/>
          <w:szCs w:val="21"/>
        </w:rPr>
        <w:t>alimentaires</w:t>
      </w:r>
      <w:r w:rsidRPr="00C61BD6">
        <w:rPr>
          <w:rFonts w:cs="Arial"/>
          <w:spacing w:val="-15"/>
          <w:sz w:val="21"/>
          <w:szCs w:val="21"/>
        </w:rPr>
        <w:t xml:space="preserve"> </w:t>
      </w:r>
      <w:r w:rsidRPr="00C61BD6">
        <w:rPr>
          <w:rFonts w:cs="Arial"/>
          <w:sz w:val="21"/>
          <w:szCs w:val="21"/>
        </w:rPr>
        <w:t>par</w:t>
      </w:r>
      <w:r w:rsidRPr="00C61BD6">
        <w:rPr>
          <w:rFonts w:cs="Arial"/>
          <w:spacing w:val="-13"/>
          <w:sz w:val="21"/>
          <w:szCs w:val="21"/>
        </w:rPr>
        <w:t xml:space="preserve"> </w:t>
      </w:r>
      <w:r w:rsidRPr="00C61BD6">
        <w:rPr>
          <w:rFonts w:cs="Arial"/>
          <w:sz w:val="21"/>
          <w:szCs w:val="21"/>
        </w:rPr>
        <w:t>les</w:t>
      </w:r>
      <w:r w:rsidRPr="00C61BD6">
        <w:rPr>
          <w:rFonts w:cs="Arial"/>
          <w:spacing w:val="-14"/>
          <w:sz w:val="21"/>
          <w:szCs w:val="21"/>
        </w:rPr>
        <w:t xml:space="preserve"> </w:t>
      </w:r>
      <w:r w:rsidRPr="00C61BD6">
        <w:rPr>
          <w:rFonts w:cs="Arial"/>
          <w:sz w:val="21"/>
          <w:szCs w:val="21"/>
        </w:rPr>
        <w:t>petits</w:t>
      </w:r>
      <w:r w:rsidRPr="00C61BD6">
        <w:rPr>
          <w:rFonts w:cs="Arial"/>
          <w:spacing w:val="-15"/>
          <w:sz w:val="21"/>
          <w:szCs w:val="21"/>
        </w:rPr>
        <w:t xml:space="preserve"> </w:t>
      </w:r>
      <w:r w:rsidRPr="00C61BD6">
        <w:rPr>
          <w:rFonts w:cs="Arial"/>
          <w:sz w:val="21"/>
          <w:szCs w:val="21"/>
        </w:rPr>
        <w:t>exploitants</w:t>
      </w:r>
      <w:r w:rsidRPr="00C61BD6">
        <w:rPr>
          <w:rFonts w:cs="Arial"/>
          <w:spacing w:val="-11"/>
          <w:sz w:val="21"/>
          <w:szCs w:val="21"/>
        </w:rPr>
        <w:t xml:space="preserve"> </w:t>
      </w:r>
      <w:r w:rsidRPr="00C61BD6">
        <w:rPr>
          <w:rFonts w:cs="Arial"/>
          <w:sz w:val="21"/>
          <w:szCs w:val="21"/>
        </w:rPr>
        <w:t>agricoles</w:t>
      </w:r>
      <w:r w:rsidRPr="00C61BD6">
        <w:rPr>
          <w:rFonts w:cs="Arial"/>
          <w:spacing w:val="-15"/>
          <w:sz w:val="21"/>
          <w:szCs w:val="21"/>
        </w:rPr>
        <w:t xml:space="preserve"> </w:t>
      </w:r>
      <w:r w:rsidRPr="00C61BD6">
        <w:rPr>
          <w:rFonts w:cs="Arial"/>
          <w:sz w:val="21"/>
          <w:szCs w:val="21"/>
        </w:rPr>
        <w:t>ciblés (pourcentage moyen d'augmentation des</w:t>
      </w:r>
      <w:r w:rsidRPr="00C61BD6">
        <w:rPr>
          <w:rFonts w:cs="Arial"/>
          <w:spacing w:val="-5"/>
          <w:sz w:val="21"/>
          <w:szCs w:val="21"/>
        </w:rPr>
        <w:t xml:space="preserve"> </w:t>
      </w:r>
      <w:r w:rsidRPr="00C61BD6">
        <w:rPr>
          <w:rFonts w:cs="Arial"/>
          <w:sz w:val="21"/>
          <w:szCs w:val="21"/>
        </w:rPr>
        <w:t>ventes1).</w:t>
      </w:r>
    </w:p>
    <w:p w14:paraId="355A96B5" w14:textId="77777777" w:rsidR="00CC5A5F" w:rsidRPr="00C61BD6" w:rsidRDefault="00CC5A5F" w:rsidP="00CC5A5F">
      <w:pPr>
        <w:pStyle w:val="Corpsdetexte"/>
        <w:spacing w:before="4" w:line="259" w:lineRule="auto"/>
        <w:ind w:right="95"/>
        <w:rPr>
          <w:rFonts w:cs="Arial"/>
          <w:sz w:val="21"/>
          <w:szCs w:val="21"/>
        </w:rPr>
      </w:pPr>
    </w:p>
    <w:p w14:paraId="3F9B8919" w14:textId="77777777" w:rsidR="00CC5A5F" w:rsidRPr="00C61BD6" w:rsidRDefault="00CC5A5F" w:rsidP="00CC5A5F">
      <w:pPr>
        <w:pStyle w:val="Corpsdetexte"/>
        <w:spacing w:before="4" w:line="259" w:lineRule="auto"/>
        <w:ind w:right="95"/>
        <w:rPr>
          <w:rFonts w:cs="Arial"/>
          <w:sz w:val="21"/>
          <w:szCs w:val="21"/>
        </w:rPr>
      </w:pPr>
      <w:r w:rsidRPr="00C61BD6">
        <w:rPr>
          <w:rFonts w:cs="Arial"/>
          <w:sz w:val="21"/>
          <w:szCs w:val="21"/>
        </w:rPr>
        <w:t>Nombre de petits exploitants agricoles adoptant des technologies ou des pratiques agricoles améliorées (ventilé par sexe). [INDICATEUR CORE SD : petits exploitants agricoles adoptant des technologies agricoles améliorées].</w:t>
      </w:r>
    </w:p>
    <w:p w14:paraId="596C9345" w14:textId="77777777" w:rsidR="00CC5A5F" w:rsidRPr="00C61BD6" w:rsidRDefault="00CC5A5F" w:rsidP="00CC5A5F">
      <w:pPr>
        <w:pStyle w:val="Corpsdetexte"/>
        <w:spacing w:before="4" w:line="259" w:lineRule="auto"/>
        <w:ind w:right="95"/>
        <w:rPr>
          <w:rFonts w:cs="Arial"/>
          <w:sz w:val="21"/>
          <w:szCs w:val="21"/>
        </w:rPr>
      </w:pPr>
    </w:p>
    <w:p w14:paraId="4CE760FE" w14:textId="77777777" w:rsidR="00CC5A5F" w:rsidRPr="00C61BD6" w:rsidRDefault="00CC5A5F" w:rsidP="00CC5A5F">
      <w:pPr>
        <w:pStyle w:val="Corpsdetexte"/>
        <w:spacing w:line="259" w:lineRule="auto"/>
        <w:ind w:right="95"/>
        <w:rPr>
          <w:rFonts w:cs="Arial"/>
          <w:sz w:val="21"/>
          <w:szCs w:val="21"/>
        </w:rPr>
      </w:pPr>
      <w:r w:rsidRPr="00C61BD6">
        <w:rPr>
          <w:rFonts w:cs="Arial"/>
          <w:sz w:val="21"/>
          <w:szCs w:val="21"/>
        </w:rPr>
        <w:t>Augmentation du rendement par hectare, cultures indicatives sélectionnées (ventilées par sexe). [INDICATEUR</w:t>
      </w:r>
      <w:r w:rsidRPr="00C61BD6">
        <w:rPr>
          <w:rFonts w:cs="Arial"/>
          <w:spacing w:val="-16"/>
          <w:sz w:val="21"/>
          <w:szCs w:val="21"/>
        </w:rPr>
        <w:t xml:space="preserve"> </w:t>
      </w:r>
      <w:r w:rsidRPr="00C61BD6">
        <w:rPr>
          <w:rFonts w:cs="Arial"/>
          <w:sz w:val="21"/>
          <w:szCs w:val="21"/>
        </w:rPr>
        <w:t>CORE</w:t>
      </w:r>
      <w:r w:rsidRPr="00C61BD6">
        <w:rPr>
          <w:rFonts w:cs="Arial"/>
          <w:spacing w:val="-16"/>
          <w:sz w:val="21"/>
          <w:szCs w:val="21"/>
        </w:rPr>
        <w:t xml:space="preserve"> </w:t>
      </w:r>
      <w:r w:rsidRPr="00C61BD6">
        <w:rPr>
          <w:rFonts w:cs="Arial"/>
          <w:sz w:val="21"/>
          <w:szCs w:val="21"/>
        </w:rPr>
        <w:t>SD</w:t>
      </w:r>
      <w:r w:rsidRPr="00C61BD6">
        <w:rPr>
          <w:rFonts w:cs="Arial"/>
          <w:spacing w:val="-16"/>
          <w:sz w:val="21"/>
          <w:szCs w:val="21"/>
        </w:rPr>
        <w:t xml:space="preserve"> </w:t>
      </w:r>
      <w:r w:rsidRPr="00C61BD6">
        <w:rPr>
          <w:rFonts w:cs="Arial"/>
          <w:sz w:val="21"/>
          <w:szCs w:val="21"/>
        </w:rPr>
        <w:t>:</w:t>
      </w:r>
      <w:r w:rsidRPr="00C61BD6">
        <w:rPr>
          <w:rFonts w:cs="Arial"/>
          <w:spacing w:val="-15"/>
          <w:sz w:val="21"/>
          <w:szCs w:val="21"/>
        </w:rPr>
        <w:t xml:space="preserve"> </w:t>
      </w:r>
      <w:r w:rsidRPr="00C61BD6">
        <w:rPr>
          <w:rFonts w:cs="Arial"/>
          <w:sz w:val="21"/>
          <w:szCs w:val="21"/>
        </w:rPr>
        <w:t>rendement</w:t>
      </w:r>
      <w:r w:rsidRPr="00C61BD6">
        <w:rPr>
          <w:rFonts w:cs="Arial"/>
          <w:spacing w:val="-13"/>
          <w:sz w:val="21"/>
          <w:szCs w:val="21"/>
        </w:rPr>
        <w:t xml:space="preserve"> </w:t>
      </w:r>
      <w:r w:rsidRPr="00C61BD6">
        <w:rPr>
          <w:rFonts w:cs="Arial"/>
          <w:sz w:val="21"/>
          <w:szCs w:val="21"/>
        </w:rPr>
        <w:t>saisonnier</w:t>
      </w:r>
      <w:r w:rsidRPr="00C61BD6">
        <w:rPr>
          <w:rFonts w:cs="Arial"/>
          <w:spacing w:val="-16"/>
          <w:sz w:val="21"/>
          <w:szCs w:val="21"/>
        </w:rPr>
        <w:t xml:space="preserve"> </w:t>
      </w:r>
      <w:r w:rsidRPr="00C61BD6">
        <w:rPr>
          <w:rFonts w:cs="Arial"/>
          <w:sz w:val="21"/>
          <w:szCs w:val="21"/>
        </w:rPr>
        <w:t>moyen</w:t>
      </w:r>
      <w:r w:rsidRPr="00C61BD6">
        <w:rPr>
          <w:rFonts w:cs="Arial"/>
          <w:spacing w:val="-14"/>
          <w:sz w:val="21"/>
          <w:szCs w:val="21"/>
        </w:rPr>
        <w:t xml:space="preserve"> </w:t>
      </w:r>
      <w:r w:rsidRPr="00C61BD6">
        <w:rPr>
          <w:rFonts w:cs="Arial"/>
          <w:sz w:val="21"/>
          <w:szCs w:val="21"/>
        </w:rPr>
        <w:t>par</w:t>
      </w:r>
      <w:r w:rsidRPr="00C61BD6">
        <w:rPr>
          <w:rFonts w:cs="Arial"/>
          <w:spacing w:val="-14"/>
          <w:sz w:val="21"/>
          <w:szCs w:val="21"/>
        </w:rPr>
        <w:t xml:space="preserve"> </w:t>
      </w:r>
      <w:r w:rsidRPr="00C61BD6">
        <w:rPr>
          <w:rFonts w:cs="Arial"/>
          <w:sz w:val="21"/>
          <w:szCs w:val="21"/>
        </w:rPr>
        <w:t>surface</w:t>
      </w:r>
      <w:r w:rsidRPr="00C61BD6">
        <w:rPr>
          <w:rFonts w:cs="Arial"/>
          <w:spacing w:val="-15"/>
          <w:sz w:val="21"/>
          <w:szCs w:val="21"/>
        </w:rPr>
        <w:t xml:space="preserve"> </w:t>
      </w:r>
      <w:r w:rsidRPr="00C61BD6">
        <w:rPr>
          <w:rFonts w:cs="Arial"/>
          <w:sz w:val="21"/>
          <w:szCs w:val="21"/>
        </w:rPr>
        <w:t>standard</w:t>
      </w:r>
      <w:r w:rsidRPr="00C61BD6">
        <w:rPr>
          <w:rFonts w:cs="Arial"/>
          <w:spacing w:val="-15"/>
          <w:sz w:val="21"/>
          <w:szCs w:val="21"/>
        </w:rPr>
        <w:t xml:space="preserve"> </w:t>
      </w:r>
      <w:r w:rsidRPr="00C61BD6">
        <w:rPr>
          <w:rFonts w:cs="Arial"/>
          <w:sz w:val="21"/>
          <w:szCs w:val="21"/>
        </w:rPr>
        <w:t>de</w:t>
      </w:r>
      <w:r w:rsidRPr="00C61BD6">
        <w:rPr>
          <w:rFonts w:cs="Arial"/>
          <w:spacing w:val="-16"/>
          <w:sz w:val="21"/>
          <w:szCs w:val="21"/>
        </w:rPr>
        <w:t xml:space="preserve"> </w:t>
      </w:r>
      <w:r w:rsidRPr="00C61BD6">
        <w:rPr>
          <w:rFonts w:cs="Arial"/>
          <w:sz w:val="21"/>
          <w:szCs w:val="21"/>
        </w:rPr>
        <w:t>cultures</w:t>
      </w:r>
      <w:r w:rsidRPr="00C61BD6">
        <w:rPr>
          <w:rFonts w:cs="Arial"/>
          <w:spacing w:val="-13"/>
          <w:sz w:val="21"/>
          <w:szCs w:val="21"/>
        </w:rPr>
        <w:t xml:space="preserve"> </w:t>
      </w:r>
      <w:r w:rsidRPr="00C61BD6">
        <w:rPr>
          <w:rFonts w:cs="Arial"/>
          <w:sz w:val="21"/>
          <w:szCs w:val="21"/>
        </w:rPr>
        <w:t>spécifiques</w:t>
      </w:r>
      <w:r w:rsidRPr="00C61BD6">
        <w:rPr>
          <w:rFonts w:cs="Arial"/>
          <w:spacing w:val="-13"/>
          <w:sz w:val="21"/>
          <w:szCs w:val="21"/>
        </w:rPr>
        <w:t xml:space="preserve"> </w:t>
      </w:r>
      <w:r w:rsidRPr="00C61BD6">
        <w:rPr>
          <w:rFonts w:cs="Arial"/>
          <w:sz w:val="21"/>
          <w:szCs w:val="21"/>
        </w:rPr>
        <w:t>chez les petits exploitants agricoles</w:t>
      </w:r>
      <w:r w:rsidRPr="00C61BD6">
        <w:rPr>
          <w:rFonts w:cs="Arial"/>
          <w:spacing w:val="1"/>
          <w:sz w:val="21"/>
          <w:szCs w:val="21"/>
        </w:rPr>
        <w:t xml:space="preserve"> </w:t>
      </w:r>
      <w:r w:rsidRPr="00C61BD6">
        <w:rPr>
          <w:rFonts w:cs="Arial"/>
          <w:sz w:val="21"/>
          <w:szCs w:val="21"/>
        </w:rPr>
        <w:t>ciblés].</w:t>
      </w:r>
    </w:p>
    <w:p w14:paraId="6380D31A" w14:textId="77777777" w:rsidR="00CC5A5F" w:rsidRPr="00C61BD6" w:rsidRDefault="00CC5A5F" w:rsidP="00CC5A5F">
      <w:pPr>
        <w:pStyle w:val="Corpsdetexte"/>
        <w:spacing w:line="256" w:lineRule="auto"/>
        <w:ind w:right="95"/>
        <w:rPr>
          <w:rFonts w:cs="Arial"/>
          <w:sz w:val="21"/>
          <w:szCs w:val="21"/>
        </w:rPr>
      </w:pPr>
      <w:r w:rsidRPr="00C61BD6">
        <w:rPr>
          <w:rFonts w:cs="Arial"/>
          <w:sz w:val="21"/>
          <w:szCs w:val="21"/>
        </w:rPr>
        <w:t>Pourcentage de réduction des taux de mortalité animale pour des animaux spécifiques par les petits exploitants agricoles ciblés.</w:t>
      </w:r>
    </w:p>
    <w:p w14:paraId="602F7CB0" w14:textId="77777777" w:rsidR="00CC5A5F" w:rsidRPr="00C61BD6" w:rsidRDefault="00CC5A5F" w:rsidP="00CC5A5F">
      <w:pPr>
        <w:pStyle w:val="Corpsdetexte"/>
        <w:spacing w:before="1"/>
        <w:rPr>
          <w:rFonts w:cs="Arial"/>
          <w:sz w:val="21"/>
          <w:szCs w:val="21"/>
        </w:rPr>
      </w:pPr>
    </w:p>
    <w:p w14:paraId="2B9E997E" w14:textId="77777777" w:rsidR="00CC5A5F" w:rsidRPr="00C61BD6" w:rsidRDefault="00CC5A5F" w:rsidP="005068C4">
      <w:pPr>
        <w:pStyle w:val="Corpsdetexte"/>
        <w:spacing w:line="259" w:lineRule="auto"/>
        <w:ind w:right="95"/>
        <w:rPr>
          <w:rFonts w:cs="Arial"/>
          <w:sz w:val="21"/>
          <w:szCs w:val="21"/>
        </w:rPr>
      </w:pPr>
      <w:r w:rsidRPr="00C61BD6">
        <w:rPr>
          <w:rFonts w:cs="Arial"/>
          <w:sz w:val="21"/>
          <w:szCs w:val="21"/>
        </w:rPr>
        <w:t>Chaque indicateur est directement lié à l’objectif de développement du Projet. Le premier indicateur mesure les ventes de produits agricoles et alimentaires résultant du soutien à la productivité et les liens avec les opportunités de marché et le développement de la chaîne de valeur. Les deuxième et troisième indicateurs mesurent l'adoption de technologies et l'impact sur la productivité résultant du soutien aux petits exploitants agricoles. Il s'agit d'indicateurs de résultats de l'entreprise qui mesurent l'impact cumulatif sur les petits exploitants agricoles et les rendements agricoles.</w:t>
      </w:r>
    </w:p>
    <w:p w14:paraId="248A3B04" w14:textId="77777777" w:rsidR="00CC5A5F" w:rsidRPr="00C61BD6" w:rsidRDefault="00CC5A5F" w:rsidP="005068C4">
      <w:pPr>
        <w:pStyle w:val="Corpsdetexte"/>
        <w:spacing w:line="259" w:lineRule="auto"/>
        <w:ind w:right="95"/>
        <w:rPr>
          <w:rFonts w:cs="Arial"/>
          <w:sz w:val="21"/>
          <w:szCs w:val="21"/>
        </w:rPr>
      </w:pPr>
    </w:p>
    <w:p w14:paraId="2FDC77AA" w14:textId="77777777" w:rsidR="00CC5A5F" w:rsidRPr="00C61BD6" w:rsidRDefault="00CC5A5F" w:rsidP="005068C4">
      <w:pPr>
        <w:pStyle w:val="Corpsdetexte"/>
        <w:spacing w:line="259" w:lineRule="auto"/>
        <w:ind w:right="95"/>
        <w:rPr>
          <w:rFonts w:cs="Arial"/>
          <w:sz w:val="21"/>
          <w:szCs w:val="21"/>
        </w:rPr>
      </w:pPr>
      <w:r w:rsidRPr="00C61BD6">
        <w:rPr>
          <w:rFonts w:cs="Arial"/>
          <w:sz w:val="21"/>
          <w:szCs w:val="21"/>
        </w:rPr>
        <w:t>Le</w:t>
      </w:r>
      <w:r w:rsidRPr="00C61BD6">
        <w:rPr>
          <w:rFonts w:cs="Arial"/>
          <w:spacing w:val="-6"/>
          <w:sz w:val="21"/>
          <w:szCs w:val="21"/>
        </w:rPr>
        <w:t xml:space="preserve"> </w:t>
      </w:r>
      <w:r w:rsidRPr="00C61BD6">
        <w:rPr>
          <w:rFonts w:cs="Arial"/>
          <w:sz w:val="21"/>
          <w:szCs w:val="21"/>
        </w:rPr>
        <w:t>concept</w:t>
      </w:r>
      <w:r w:rsidRPr="00C61BD6">
        <w:rPr>
          <w:rFonts w:cs="Arial"/>
          <w:spacing w:val="-6"/>
          <w:sz w:val="21"/>
          <w:szCs w:val="21"/>
        </w:rPr>
        <w:t xml:space="preserve"> </w:t>
      </w:r>
      <w:r w:rsidRPr="00C61BD6">
        <w:rPr>
          <w:rFonts w:cs="Arial"/>
          <w:sz w:val="21"/>
          <w:szCs w:val="21"/>
        </w:rPr>
        <w:t>du</w:t>
      </w:r>
      <w:r w:rsidRPr="00C61BD6">
        <w:rPr>
          <w:rFonts w:cs="Arial"/>
          <w:spacing w:val="-6"/>
          <w:sz w:val="21"/>
          <w:szCs w:val="21"/>
        </w:rPr>
        <w:t xml:space="preserve"> </w:t>
      </w:r>
      <w:r w:rsidRPr="00C61BD6">
        <w:rPr>
          <w:rFonts w:cs="Arial"/>
          <w:sz w:val="21"/>
          <w:szCs w:val="21"/>
        </w:rPr>
        <w:t>projet</w:t>
      </w:r>
      <w:r w:rsidRPr="00C61BD6">
        <w:rPr>
          <w:rFonts w:cs="Arial"/>
          <w:spacing w:val="-6"/>
          <w:sz w:val="21"/>
          <w:szCs w:val="21"/>
        </w:rPr>
        <w:t xml:space="preserve"> </w:t>
      </w:r>
      <w:r w:rsidRPr="00C61BD6">
        <w:rPr>
          <w:rFonts w:cs="Arial"/>
          <w:sz w:val="21"/>
          <w:szCs w:val="21"/>
        </w:rPr>
        <w:t>proposé</w:t>
      </w:r>
      <w:r w:rsidRPr="00C61BD6">
        <w:rPr>
          <w:rFonts w:cs="Arial"/>
          <w:spacing w:val="-5"/>
          <w:sz w:val="21"/>
          <w:szCs w:val="21"/>
        </w:rPr>
        <w:t xml:space="preserve"> </w:t>
      </w:r>
      <w:r w:rsidRPr="00C61BD6">
        <w:rPr>
          <w:rFonts w:cs="Arial"/>
          <w:sz w:val="21"/>
          <w:szCs w:val="21"/>
        </w:rPr>
        <w:t>est</w:t>
      </w:r>
      <w:r w:rsidRPr="00C61BD6">
        <w:rPr>
          <w:rFonts w:cs="Arial"/>
          <w:spacing w:val="-6"/>
          <w:sz w:val="21"/>
          <w:szCs w:val="21"/>
        </w:rPr>
        <w:t xml:space="preserve"> </w:t>
      </w:r>
      <w:r w:rsidRPr="00C61BD6">
        <w:rPr>
          <w:rFonts w:cs="Arial"/>
          <w:sz w:val="21"/>
          <w:szCs w:val="21"/>
        </w:rPr>
        <w:t>basé</w:t>
      </w:r>
      <w:r w:rsidRPr="00C61BD6">
        <w:rPr>
          <w:rFonts w:cs="Arial"/>
          <w:spacing w:val="-5"/>
          <w:sz w:val="21"/>
          <w:szCs w:val="21"/>
        </w:rPr>
        <w:t xml:space="preserve"> </w:t>
      </w:r>
      <w:r w:rsidRPr="00C61BD6">
        <w:rPr>
          <w:rFonts w:cs="Arial"/>
          <w:sz w:val="21"/>
          <w:szCs w:val="21"/>
        </w:rPr>
        <w:t>sur</w:t>
      </w:r>
      <w:r w:rsidRPr="00C61BD6">
        <w:rPr>
          <w:rFonts w:cs="Arial"/>
          <w:spacing w:val="-7"/>
          <w:sz w:val="21"/>
          <w:szCs w:val="21"/>
        </w:rPr>
        <w:t xml:space="preserve"> </w:t>
      </w:r>
      <w:r w:rsidRPr="00C61BD6">
        <w:rPr>
          <w:rFonts w:cs="Arial"/>
          <w:sz w:val="21"/>
          <w:szCs w:val="21"/>
        </w:rPr>
        <w:t>une</w:t>
      </w:r>
      <w:r w:rsidRPr="00C61BD6">
        <w:rPr>
          <w:rFonts w:cs="Arial"/>
          <w:spacing w:val="-5"/>
          <w:sz w:val="21"/>
          <w:szCs w:val="21"/>
        </w:rPr>
        <w:t xml:space="preserve"> </w:t>
      </w:r>
      <w:r w:rsidRPr="00C61BD6">
        <w:rPr>
          <w:rFonts w:cs="Arial"/>
          <w:sz w:val="21"/>
          <w:szCs w:val="21"/>
        </w:rPr>
        <w:t>approche</w:t>
      </w:r>
      <w:r w:rsidRPr="00C61BD6">
        <w:rPr>
          <w:rFonts w:cs="Arial"/>
          <w:spacing w:val="-6"/>
          <w:sz w:val="21"/>
          <w:szCs w:val="21"/>
        </w:rPr>
        <w:t xml:space="preserve"> </w:t>
      </w:r>
      <w:r w:rsidRPr="00C61BD6">
        <w:rPr>
          <w:rFonts w:cs="Arial"/>
          <w:sz w:val="21"/>
          <w:szCs w:val="21"/>
        </w:rPr>
        <w:t>de</w:t>
      </w:r>
      <w:r w:rsidRPr="00C61BD6">
        <w:rPr>
          <w:rFonts w:cs="Arial"/>
          <w:spacing w:val="-5"/>
          <w:sz w:val="21"/>
          <w:szCs w:val="21"/>
        </w:rPr>
        <w:t xml:space="preserve"> </w:t>
      </w:r>
      <w:r w:rsidRPr="00C61BD6">
        <w:rPr>
          <w:rFonts w:cs="Arial"/>
          <w:sz w:val="21"/>
          <w:szCs w:val="21"/>
        </w:rPr>
        <w:t>série</w:t>
      </w:r>
      <w:r w:rsidRPr="00C61BD6">
        <w:rPr>
          <w:rFonts w:cs="Arial"/>
          <w:spacing w:val="-6"/>
          <w:sz w:val="21"/>
          <w:szCs w:val="21"/>
        </w:rPr>
        <w:t xml:space="preserve"> </w:t>
      </w:r>
      <w:r w:rsidRPr="00C61BD6">
        <w:rPr>
          <w:rFonts w:cs="Arial"/>
          <w:sz w:val="21"/>
          <w:szCs w:val="21"/>
        </w:rPr>
        <w:t>de</w:t>
      </w:r>
      <w:r w:rsidRPr="00C61BD6">
        <w:rPr>
          <w:rFonts w:cs="Arial"/>
          <w:spacing w:val="-5"/>
          <w:sz w:val="21"/>
          <w:szCs w:val="21"/>
        </w:rPr>
        <w:t xml:space="preserve"> </w:t>
      </w:r>
      <w:r w:rsidRPr="00C61BD6">
        <w:rPr>
          <w:rFonts w:cs="Arial"/>
          <w:sz w:val="21"/>
          <w:szCs w:val="21"/>
        </w:rPr>
        <w:t>projets.</w:t>
      </w:r>
      <w:r w:rsidRPr="00C61BD6">
        <w:rPr>
          <w:rFonts w:cs="Arial"/>
          <w:spacing w:val="38"/>
          <w:sz w:val="21"/>
          <w:szCs w:val="21"/>
        </w:rPr>
        <w:t xml:space="preserve"> </w:t>
      </w:r>
      <w:r w:rsidRPr="00C61BD6">
        <w:rPr>
          <w:rFonts w:cs="Arial"/>
          <w:sz w:val="21"/>
          <w:szCs w:val="21"/>
        </w:rPr>
        <w:t>L'objectif</w:t>
      </w:r>
      <w:r w:rsidRPr="00C61BD6">
        <w:rPr>
          <w:rFonts w:cs="Arial"/>
          <w:spacing w:val="-6"/>
          <w:sz w:val="21"/>
          <w:szCs w:val="21"/>
        </w:rPr>
        <w:t xml:space="preserve"> </w:t>
      </w:r>
      <w:r w:rsidRPr="00C61BD6">
        <w:rPr>
          <w:rFonts w:cs="Arial"/>
          <w:sz w:val="21"/>
          <w:szCs w:val="21"/>
        </w:rPr>
        <w:t>des</w:t>
      </w:r>
      <w:r w:rsidRPr="00C61BD6">
        <w:rPr>
          <w:rFonts w:cs="Arial"/>
          <w:spacing w:val="-6"/>
          <w:sz w:val="21"/>
          <w:szCs w:val="21"/>
        </w:rPr>
        <w:t xml:space="preserve"> </w:t>
      </w:r>
      <w:r w:rsidRPr="00C61BD6">
        <w:rPr>
          <w:rFonts w:cs="Arial"/>
          <w:sz w:val="21"/>
          <w:szCs w:val="21"/>
        </w:rPr>
        <w:t>séries de projets est</w:t>
      </w:r>
      <w:r w:rsidRPr="00C61BD6">
        <w:rPr>
          <w:rFonts w:cs="Arial"/>
          <w:spacing w:val="-5"/>
          <w:sz w:val="21"/>
          <w:szCs w:val="21"/>
        </w:rPr>
        <w:t xml:space="preserve"> </w:t>
      </w:r>
      <w:r w:rsidRPr="00C61BD6">
        <w:rPr>
          <w:rFonts w:cs="Arial"/>
          <w:sz w:val="21"/>
          <w:szCs w:val="21"/>
        </w:rPr>
        <w:t>d'augmenter</w:t>
      </w:r>
      <w:r w:rsidRPr="00C61BD6">
        <w:rPr>
          <w:rFonts w:cs="Arial"/>
          <w:spacing w:val="-6"/>
          <w:sz w:val="21"/>
          <w:szCs w:val="21"/>
        </w:rPr>
        <w:t xml:space="preserve"> </w:t>
      </w:r>
      <w:r w:rsidRPr="00C61BD6">
        <w:rPr>
          <w:rFonts w:cs="Arial"/>
          <w:sz w:val="21"/>
          <w:szCs w:val="21"/>
        </w:rPr>
        <w:t>les</w:t>
      </w:r>
      <w:r w:rsidRPr="00C61BD6">
        <w:rPr>
          <w:rFonts w:cs="Arial"/>
          <w:spacing w:val="-5"/>
          <w:sz w:val="21"/>
          <w:szCs w:val="21"/>
        </w:rPr>
        <w:t xml:space="preserve"> </w:t>
      </w:r>
      <w:r w:rsidRPr="00C61BD6">
        <w:rPr>
          <w:rFonts w:cs="Arial"/>
          <w:sz w:val="21"/>
          <w:szCs w:val="21"/>
        </w:rPr>
        <w:t>revenus</w:t>
      </w:r>
      <w:r w:rsidRPr="00C61BD6">
        <w:rPr>
          <w:rFonts w:cs="Arial"/>
          <w:spacing w:val="-6"/>
          <w:sz w:val="21"/>
          <w:szCs w:val="21"/>
        </w:rPr>
        <w:t xml:space="preserve"> </w:t>
      </w:r>
      <w:r w:rsidRPr="00C61BD6">
        <w:rPr>
          <w:rFonts w:cs="Arial"/>
          <w:sz w:val="21"/>
          <w:szCs w:val="21"/>
        </w:rPr>
        <w:t>agricoles</w:t>
      </w:r>
      <w:r w:rsidRPr="00C61BD6">
        <w:rPr>
          <w:rFonts w:cs="Arial"/>
          <w:spacing w:val="-5"/>
          <w:sz w:val="21"/>
          <w:szCs w:val="21"/>
        </w:rPr>
        <w:t xml:space="preserve"> </w:t>
      </w:r>
      <w:r w:rsidRPr="00C61BD6">
        <w:rPr>
          <w:rFonts w:cs="Arial"/>
          <w:sz w:val="21"/>
          <w:szCs w:val="21"/>
        </w:rPr>
        <w:t>des</w:t>
      </w:r>
      <w:r w:rsidRPr="00C61BD6">
        <w:rPr>
          <w:rFonts w:cs="Arial"/>
          <w:spacing w:val="-6"/>
          <w:sz w:val="21"/>
          <w:szCs w:val="21"/>
        </w:rPr>
        <w:t xml:space="preserve"> </w:t>
      </w:r>
      <w:r w:rsidRPr="00C61BD6">
        <w:rPr>
          <w:rFonts w:cs="Arial"/>
          <w:sz w:val="21"/>
          <w:szCs w:val="21"/>
        </w:rPr>
        <w:t>pauvres</w:t>
      </w:r>
      <w:r w:rsidRPr="00C61BD6">
        <w:rPr>
          <w:rFonts w:cs="Arial"/>
          <w:spacing w:val="-7"/>
          <w:sz w:val="21"/>
          <w:szCs w:val="21"/>
        </w:rPr>
        <w:t xml:space="preserve"> </w:t>
      </w:r>
      <w:r w:rsidRPr="00C61BD6">
        <w:rPr>
          <w:rFonts w:cs="Arial"/>
          <w:sz w:val="21"/>
          <w:szCs w:val="21"/>
        </w:rPr>
        <w:t>en</w:t>
      </w:r>
      <w:r w:rsidRPr="00C61BD6">
        <w:rPr>
          <w:rFonts w:cs="Arial"/>
          <w:spacing w:val="-8"/>
          <w:sz w:val="21"/>
          <w:szCs w:val="21"/>
        </w:rPr>
        <w:t xml:space="preserve"> </w:t>
      </w:r>
      <w:r w:rsidRPr="00C61BD6">
        <w:rPr>
          <w:rFonts w:cs="Arial"/>
          <w:sz w:val="21"/>
          <w:szCs w:val="21"/>
        </w:rPr>
        <w:t>milieu</w:t>
      </w:r>
      <w:r w:rsidRPr="00C61BD6">
        <w:rPr>
          <w:rFonts w:cs="Arial"/>
          <w:spacing w:val="-6"/>
          <w:sz w:val="21"/>
          <w:szCs w:val="21"/>
        </w:rPr>
        <w:t xml:space="preserve"> </w:t>
      </w:r>
      <w:r w:rsidRPr="00C61BD6">
        <w:rPr>
          <w:rFonts w:cs="Arial"/>
          <w:sz w:val="21"/>
          <w:szCs w:val="21"/>
        </w:rPr>
        <w:t>rural</w:t>
      </w:r>
      <w:r w:rsidRPr="00C61BD6">
        <w:rPr>
          <w:rFonts w:cs="Arial"/>
          <w:spacing w:val="-6"/>
          <w:sz w:val="21"/>
          <w:szCs w:val="21"/>
        </w:rPr>
        <w:t xml:space="preserve"> </w:t>
      </w:r>
      <w:r w:rsidRPr="00C61BD6">
        <w:rPr>
          <w:rFonts w:cs="Arial"/>
          <w:sz w:val="21"/>
          <w:szCs w:val="21"/>
        </w:rPr>
        <w:t>dans</w:t>
      </w:r>
      <w:r w:rsidRPr="00C61BD6">
        <w:rPr>
          <w:rFonts w:cs="Arial"/>
          <w:spacing w:val="-8"/>
          <w:sz w:val="21"/>
          <w:szCs w:val="21"/>
        </w:rPr>
        <w:t xml:space="preserve"> </w:t>
      </w:r>
      <w:r w:rsidRPr="00C61BD6">
        <w:rPr>
          <w:rFonts w:cs="Arial"/>
          <w:sz w:val="21"/>
          <w:szCs w:val="21"/>
        </w:rPr>
        <w:t>les</w:t>
      </w:r>
      <w:r w:rsidRPr="00C61BD6">
        <w:rPr>
          <w:rFonts w:cs="Arial"/>
          <w:spacing w:val="-5"/>
          <w:sz w:val="21"/>
          <w:szCs w:val="21"/>
        </w:rPr>
        <w:t xml:space="preserve"> </w:t>
      </w:r>
      <w:r w:rsidRPr="00C61BD6">
        <w:rPr>
          <w:rFonts w:cs="Arial"/>
          <w:sz w:val="21"/>
          <w:szCs w:val="21"/>
        </w:rPr>
        <w:t>provinces</w:t>
      </w:r>
      <w:r w:rsidRPr="00C61BD6">
        <w:rPr>
          <w:rFonts w:cs="Arial"/>
          <w:spacing w:val="-5"/>
          <w:sz w:val="21"/>
          <w:szCs w:val="21"/>
        </w:rPr>
        <w:t xml:space="preserve"> </w:t>
      </w:r>
      <w:r w:rsidRPr="00C61BD6">
        <w:rPr>
          <w:rFonts w:cs="Arial"/>
          <w:sz w:val="21"/>
          <w:szCs w:val="21"/>
        </w:rPr>
        <w:t>sélectionnées.</w:t>
      </w:r>
      <w:r w:rsidRPr="00C61BD6">
        <w:rPr>
          <w:rFonts w:cs="Arial"/>
          <w:spacing w:val="36"/>
          <w:sz w:val="21"/>
          <w:szCs w:val="21"/>
        </w:rPr>
        <w:t xml:space="preserve"> </w:t>
      </w:r>
      <w:r w:rsidRPr="00C61BD6">
        <w:rPr>
          <w:rFonts w:cs="Arial"/>
          <w:sz w:val="21"/>
          <w:szCs w:val="21"/>
        </w:rPr>
        <w:t>La croissance des revenus agricoles sera soutenue par des augmentations de la productivité agricole, l'inclusion économique, et contribuera directement à la réduction de la pauvreté rurale en renforçant les capacités des secteurs privé et public, et en élargissant la portée géographique et l'approche multisectorielle du développement agricole du pays. Relever les défis et les opportunités du développement agricole de la RDC de manière substantielle nécessite des investissements et une assistance technique continus, et un engagement soutenu de la Banque mondiale soutiendrait cet objectif. Les avantages d'une approche des séries de projets, plutôt qu'une opération unique, sont de permettre un ciblage</w:t>
      </w:r>
      <w:r w:rsidRPr="00C61BD6">
        <w:rPr>
          <w:rFonts w:cs="Arial"/>
          <w:spacing w:val="18"/>
          <w:sz w:val="21"/>
          <w:szCs w:val="21"/>
        </w:rPr>
        <w:t xml:space="preserve"> </w:t>
      </w:r>
      <w:r w:rsidRPr="00C61BD6">
        <w:rPr>
          <w:rFonts w:cs="Arial"/>
          <w:sz w:val="21"/>
          <w:szCs w:val="21"/>
        </w:rPr>
        <w:t>à</w:t>
      </w:r>
      <w:r w:rsidRPr="00C61BD6">
        <w:rPr>
          <w:rFonts w:cs="Arial"/>
          <w:spacing w:val="17"/>
          <w:sz w:val="21"/>
          <w:szCs w:val="21"/>
        </w:rPr>
        <w:t xml:space="preserve"> </w:t>
      </w:r>
      <w:r w:rsidRPr="00C61BD6">
        <w:rPr>
          <w:rFonts w:cs="Arial"/>
          <w:sz w:val="21"/>
          <w:szCs w:val="21"/>
        </w:rPr>
        <w:t>long</w:t>
      </w:r>
      <w:r w:rsidRPr="00C61BD6">
        <w:rPr>
          <w:rFonts w:cs="Arial"/>
          <w:spacing w:val="16"/>
          <w:sz w:val="21"/>
          <w:szCs w:val="21"/>
        </w:rPr>
        <w:t xml:space="preserve"> </w:t>
      </w:r>
      <w:r w:rsidRPr="00C61BD6">
        <w:rPr>
          <w:rFonts w:cs="Arial"/>
          <w:sz w:val="21"/>
          <w:szCs w:val="21"/>
        </w:rPr>
        <w:t>terme,</w:t>
      </w:r>
      <w:r w:rsidRPr="00C61BD6">
        <w:rPr>
          <w:rFonts w:cs="Arial"/>
          <w:spacing w:val="18"/>
          <w:sz w:val="21"/>
          <w:szCs w:val="21"/>
        </w:rPr>
        <w:t xml:space="preserve"> </w:t>
      </w:r>
      <w:r w:rsidRPr="00C61BD6">
        <w:rPr>
          <w:rFonts w:cs="Arial"/>
          <w:sz w:val="21"/>
          <w:szCs w:val="21"/>
        </w:rPr>
        <w:t>stratégique</w:t>
      </w:r>
      <w:r w:rsidRPr="00C61BD6">
        <w:rPr>
          <w:rFonts w:cs="Arial"/>
          <w:spacing w:val="19"/>
          <w:sz w:val="21"/>
          <w:szCs w:val="21"/>
        </w:rPr>
        <w:t xml:space="preserve"> </w:t>
      </w:r>
      <w:r w:rsidRPr="00C61BD6">
        <w:rPr>
          <w:rFonts w:cs="Arial"/>
          <w:sz w:val="21"/>
          <w:szCs w:val="21"/>
        </w:rPr>
        <w:t>et</w:t>
      </w:r>
      <w:r w:rsidRPr="00C61BD6">
        <w:rPr>
          <w:rFonts w:cs="Arial"/>
          <w:spacing w:val="18"/>
          <w:sz w:val="21"/>
          <w:szCs w:val="21"/>
        </w:rPr>
        <w:t xml:space="preserve"> </w:t>
      </w:r>
      <w:r w:rsidRPr="00C61BD6">
        <w:rPr>
          <w:rFonts w:cs="Arial"/>
          <w:sz w:val="21"/>
          <w:szCs w:val="21"/>
        </w:rPr>
        <w:t>séquentiel</w:t>
      </w:r>
      <w:r w:rsidRPr="00C61BD6">
        <w:rPr>
          <w:rFonts w:cs="Arial"/>
          <w:spacing w:val="17"/>
          <w:sz w:val="21"/>
          <w:szCs w:val="21"/>
        </w:rPr>
        <w:t xml:space="preserve"> </w:t>
      </w:r>
      <w:r w:rsidRPr="00C61BD6">
        <w:rPr>
          <w:rFonts w:cs="Arial"/>
          <w:sz w:val="21"/>
          <w:szCs w:val="21"/>
        </w:rPr>
        <w:t>de</w:t>
      </w:r>
      <w:r w:rsidRPr="00C61BD6">
        <w:rPr>
          <w:rFonts w:cs="Arial"/>
          <w:spacing w:val="18"/>
          <w:sz w:val="21"/>
          <w:szCs w:val="21"/>
        </w:rPr>
        <w:t xml:space="preserve"> </w:t>
      </w:r>
      <w:r w:rsidRPr="00C61BD6">
        <w:rPr>
          <w:rFonts w:cs="Arial"/>
          <w:sz w:val="21"/>
          <w:szCs w:val="21"/>
        </w:rPr>
        <w:t>différentes</w:t>
      </w:r>
      <w:r w:rsidRPr="00C61BD6">
        <w:rPr>
          <w:rFonts w:cs="Arial"/>
          <w:spacing w:val="17"/>
          <w:sz w:val="21"/>
          <w:szCs w:val="21"/>
        </w:rPr>
        <w:t xml:space="preserve"> </w:t>
      </w:r>
      <w:r w:rsidRPr="00C61BD6">
        <w:rPr>
          <w:rFonts w:cs="Arial"/>
          <w:sz w:val="21"/>
          <w:szCs w:val="21"/>
        </w:rPr>
        <w:t>zones</w:t>
      </w:r>
      <w:r w:rsidRPr="00C61BD6">
        <w:rPr>
          <w:rFonts w:cs="Arial"/>
          <w:spacing w:val="18"/>
          <w:sz w:val="21"/>
          <w:szCs w:val="21"/>
        </w:rPr>
        <w:t xml:space="preserve"> </w:t>
      </w:r>
      <w:r w:rsidRPr="00C61BD6">
        <w:rPr>
          <w:rFonts w:cs="Arial"/>
          <w:sz w:val="21"/>
          <w:szCs w:val="21"/>
        </w:rPr>
        <w:t>géographiques</w:t>
      </w:r>
      <w:r w:rsidRPr="00C61BD6">
        <w:rPr>
          <w:rFonts w:cs="Arial"/>
          <w:spacing w:val="18"/>
          <w:sz w:val="21"/>
          <w:szCs w:val="21"/>
        </w:rPr>
        <w:t xml:space="preserve"> </w:t>
      </w:r>
      <w:r w:rsidRPr="00C61BD6">
        <w:rPr>
          <w:rFonts w:cs="Arial"/>
          <w:sz w:val="21"/>
          <w:szCs w:val="21"/>
        </w:rPr>
        <w:t>pour</w:t>
      </w:r>
      <w:r w:rsidRPr="00C61BD6">
        <w:rPr>
          <w:rFonts w:cs="Arial"/>
          <w:spacing w:val="17"/>
          <w:sz w:val="21"/>
          <w:szCs w:val="21"/>
        </w:rPr>
        <w:t xml:space="preserve"> </w:t>
      </w:r>
      <w:r w:rsidRPr="00C61BD6">
        <w:rPr>
          <w:rFonts w:cs="Arial"/>
          <w:sz w:val="21"/>
          <w:szCs w:val="21"/>
        </w:rPr>
        <w:t>un</w:t>
      </w:r>
      <w:r w:rsidRPr="00C61BD6">
        <w:rPr>
          <w:rFonts w:cs="Arial"/>
          <w:spacing w:val="16"/>
          <w:sz w:val="21"/>
          <w:szCs w:val="21"/>
        </w:rPr>
        <w:t xml:space="preserve"> </w:t>
      </w:r>
      <w:r w:rsidRPr="00C61BD6">
        <w:rPr>
          <w:rFonts w:cs="Arial"/>
          <w:sz w:val="21"/>
          <w:szCs w:val="21"/>
        </w:rPr>
        <w:t>impact maximal dans chaque zone. Cela se fera parallèlement au soutien d'une stratégie à long terme visant à</w:t>
      </w:r>
      <w:r w:rsidRPr="00C61BD6">
        <w:rPr>
          <w:rFonts w:cs="Arial"/>
          <w:spacing w:val="-8"/>
          <w:sz w:val="21"/>
          <w:szCs w:val="21"/>
        </w:rPr>
        <w:t xml:space="preserve"> </w:t>
      </w:r>
      <w:r w:rsidRPr="00C61BD6">
        <w:rPr>
          <w:rFonts w:cs="Arial"/>
          <w:sz w:val="21"/>
          <w:szCs w:val="21"/>
        </w:rPr>
        <w:t>renforcer</w:t>
      </w:r>
      <w:r w:rsidRPr="00C61BD6">
        <w:rPr>
          <w:rFonts w:cs="Arial"/>
          <w:spacing w:val="-8"/>
          <w:sz w:val="21"/>
          <w:szCs w:val="21"/>
        </w:rPr>
        <w:t xml:space="preserve"> </w:t>
      </w:r>
      <w:r w:rsidRPr="00C61BD6">
        <w:rPr>
          <w:rFonts w:cs="Arial"/>
          <w:sz w:val="21"/>
          <w:szCs w:val="21"/>
        </w:rPr>
        <w:t>les</w:t>
      </w:r>
      <w:r w:rsidRPr="00C61BD6">
        <w:rPr>
          <w:rFonts w:cs="Arial"/>
          <w:spacing w:val="-8"/>
          <w:sz w:val="21"/>
          <w:szCs w:val="21"/>
        </w:rPr>
        <w:t xml:space="preserve"> </w:t>
      </w:r>
      <w:r w:rsidRPr="00C61BD6">
        <w:rPr>
          <w:rFonts w:cs="Arial"/>
          <w:sz w:val="21"/>
          <w:szCs w:val="21"/>
        </w:rPr>
        <w:t>capacités</w:t>
      </w:r>
      <w:r w:rsidRPr="00C61BD6">
        <w:rPr>
          <w:rFonts w:cs="Arial"/>
          <w:spacing w:val="-8"/>
          <w:sz w:val="21"/>
          <w:szCs w:val="21"/>
        </w:rPr>
        <w:t xml:space="preserve"> </w:t>
      </w:r>
      <w:r w:rsidRPr="00C61BD6">
        <w:rPr>
          <w:rFonts w:cs="Arial"/>
          <w:sz w:val="21"/>
          <w:szCs w:val="21"/>
        </w:rPr>
        <w:t>de</w:t>
      </w:r>
      <w:r w:rsidRPr="00C61BD6">
        <w:rPr>
          <w:rFonts w:cs="Arial"/>
          <w:spacing w:val="-10"/>
          <w:sz w:val="21"/>
          <w:szCs w:val="21"/>
        </w:rPr>
        <w:t xml:space="preserve"> </w:t>
      </w:r>
      <w:r w:rsidRPr="00C61BD6">
        <w:rPr>
          <w:rFonts w:cs="Arial"/>
          <w:sz w:val="21"/>
          <w:szCs w:val="21"/>
        </w:rPr>
        <w:t>développement</w:t>
      </w:r>
      <w:r w:rsidRPr="00C61BD6">
        <w:rPr>
          <w:rFonts w:cs="Arial"/>
          <w:spacing w:val="-8"/>
          <w:sz w:val="21"/>
          <w:szCs w:val="21"/>
        </w:rPr>
        <w:t xml:space="preserve"> </w:t>
      </w:r>
      <w:r w:rsidRPr="00C61BD6">
        <w:rPr>
          <w:rFonts w:cs="Arial"/>
          <w:sz w:val="21"/>
          <w:szCs w:val="21"/>
        </w:rPr>
        <w:t>de</w:t>
      </w:r>
      <w:r w:rsidRPr="00C61BD6">
        <w:rPr>
          <w:rFonts w:cs="Arial"/>
          <w:spacing w:val="-7"/>
          <w:sz w:val="21"/>
          <w:szCs w:val="21"/>
        </w:rPr>
        <w:t xml:space="preserve"> </w:t>
      </w:r>
      <w:r w:rsidRPr="00C61BD6">
        <w:rPr>
          <w:rFonts w:cs="Arial"/>
          <w:sz w:val="21"/>
          <w:szCs w:val="21"/>
        </w:rPr>
        <w:t>l'agriculture</w:t>
      </w:r>
      <w:r w:rsidRPr="00C61BD6">
        <w:rPr>
          <w:rFonts w:cs="Arial"/>
          <w:spacing w:val="-8"/>
          <w:sz w:val="21"/>
          <w:szCs w:val="21"/>
        </w:rPr>
        <w:t xml:space="preserve"> </w:t>
      </w:r>
      <w:r w:rsidRPr="00C61BD6">
        <w:rPr>
          <w:rFonts w:cs="Arial"/>
          <w:sz w:val="21"/>
          <w:szCs w:val="21"/>
        </w:rPr>
        <w:t>décentralisée</w:t>
      </w:r>
      <w:r w:rsidRPr="00C61BD6">
        <w:rPr>
          <w:rFonts w:cs="Arial"/>
          <w:spacing w:val="-10"/>
          <w:sz w:val="21"/>
          <w:szCs w:val="21"/>
        </w:rPr>
        <w:t xml:space="preserve"> </w:t>
      </w:r>
      <w:r w:rsidRPr="00C61BD6">
        <w:rPr>
          <w:rFonts w:cs="Arial"/>
          <w:sz w:val="21"/>
          <w:szCs w:val="21"/>
        </w:rPr>
        <w:t>et</w:t>
      </w:r>
      <w:r w:rsidRPr="00C61BD6">
        <w:rPr>
          <w:rFonts w:cs="Arial"/>
          <w:spacing w:val="-7"/>
          <w:sz w:val="21"/>
          <w:szCs w:val="21"/>
        </w:rPr>
        <w:t xml:space="preserve"> </w:t>
      </w:r>
      <w:r w:rsidRPr="00C61BD6">
        <w:rPr>
          <w:rFonts w:cs="Arial"/>
          <w:sz w:val="21"/>
          <w:szCs w:val="21"/>
        </w:rPr>
        <w:t>à</w:t>
      </w:r>
      <w:r w:rsidRPr="00C61BD6">
        <w:rPr>
          <w:rFonts w:cs="Arial"/>
          <w:spacing w:val="-8"/>
          <w:sz w:val="21"/>
          <w:szCs w:val="21"/>
        </w:rPr>
        <w:t xml:space="preserve"> </w:t>
      </w:r>
      <w:r w:rsidRPr="00C61BD6">
        <w:rPr>
          <w:rFonts w:cs="Arial"/>
          <w:sz w:val="21"/>
          <w:szCs w:val="21"/>
        </w:rPr>
        <w:t>accroître</w:t>
      </w:r>
      <w:r w:rsidRPr="00C61BD6">
        <w:rPr>
          <w:rFonts w:cs="Arial"/>
          <w:spacing w:val="-8"/>
          <w:sz w:val="21"/>
          <w:szCs w:val="21"/>
        </w:rPr>
        <w:t xml:space="preserve"> </w:t>
      </w:r>
      <w:r w:rsidRPr="00C61BD6">
        <w:rPr>
          <w:rFonts w:cs="Arial"/>
          <w:sz w:val="21"/>
          <w:szCs w:val="21"/>
        </w:rPr>
        <w:t>la</w:t>
      </w:r>
      <w:r w:rsidRPr="00C61BD6">
        <w:rPr>
          <w:rFonts w:cs="Arial"/>
          <w:spacing w:val="-11"/>
          <w:sz w:val="21"/>
          <w:szCs w:val="21"/>
        </w:rPr>
        <w:t xml:space="preserve"> </w:t>
      </w:r>
      <w:r w:rsidRPr="00C61BD6">
        <w:rPr>
          <w:rFonts w:cs="Arial"/>
          <w:sz w:val="21"/>
          <w:szCs w:val="21"/>
        </w:rPr>
        <w:t xml:space="preserve">mobilisation des recettes pour répondre aux besoins d'investissement et aux déficits </w:t>
      </w:r>
      <w:r w:rsidRPr="00C61BD6">
        <w:rPr>
          <w:rFonts w:cs="Arial"/>
          <w:spacing w:val="-2"/>
          <w:sz w:val="21"/>
          <w:szCs w:val="21"/>
        </w:rPr>
        <w:t xml:space="preserve">des </w:t>
      </w:r>
      <w:r w:rsidRPr="00C61BD6">
        <w:rPr>
          <w:rFonts w:cs="Arial"/>
          <w:sz w:val="21"/>
          <w:szCs w:val="21"/>
        </w:rPr>
        <w:t>services, tout en renforçant les bases d'une augmentation des investissements du secteur privé. Compte tenu de l'ampleur des améliorations nécessaires en matière de prestation de services et de gouvernance au sein des institutions nationales et provinciales, l'approche des séries de projets est idéale, car elle permettra un engagement soutenu sur une plus longue</w:t>
      </w:r>
      <w:r w:rsidRPr="00C61BD6">
        <w:rPr>
          <w:rFonts w:cs="Arial"/>
          <w:spacing w:val="-3"/>
          <w:sz w:val="21"/>
          <w:szCs w:val="21"/>
        </w:rPr>
        <w:t xml:space="preserve"> </w:t>
      </w:r>
      <w:r w:rsidRPr="00C61BD6">
        <w:rPr>
          <w:rFonts w:cs="Arial"/>
          <w:sz w:val="21"/>
          <w:szCs w:val="21"/>
        </w:rPr>
        <w:t>période.</w:t>
      </w:r>
    </w:p>
    <w:p w14:paraId="44EF87F3" w14:textId="77777777" w:rsidR="00CC5A5F" w:rsidRPr="00C61BD6" w:rsidRDefault="00CC5A5F" w:rsidP="005068C4">
      <w:pPr>
        <w:pStyle w:val="Corpsdetexte"/>
        <w:spacing w:line="259" w:lineRule="auto"/>
        <w:ind w:right="95"/>
        <w:rPr>
          <w:rFonts w:cs="Arial"/>
          <w:sz w:val="21"/>
          <w:szCs w:val="21"/>
        </w:rPr>
      </w:pPr>
    </w:p>
    <w:p w14:paraId="5FDC3981" w14:textId="37E7713A" w:rsidR="00CC5A5F" w:rsidRPr="00C61BD6" w:rsidRDefault="00CC5A5F" w:rsidP="005068C4">
      <w:pPr>
        <w:pStyle w:val="Corpsdetexte"/>
        <w:spacing w:line="259" w:lineRule="auto"/>
        <w:ind w:right="95"/>
        <w:rPr>
          <w:rFonts w:cs="Arial"/>
          <w:sz w:val="21"/>
          <w:szCs w:val="21"/>
        </w:rPr>
      </w:pPr>
      <w:r w:rsidRPr="00C61BD6">
        <w:rPr>
          <w:rFonts w:cs="Arial"/>
          <w:sz w:val="21"/>
          <w:szCs w:val="21"/>
        </w:rPr>
        <w:t>Les leçons tirées des opérations précédentes et en cours dans le secteur de l'agriculture en RDC et dans la région montrent que l'utilisation de séries de projets est appropriée comme suit :</w:t>
      </w:r>
    </w:p>
    <w:p w14:paraId="1E96EDD2" w14:textId="77777777" w:rsidR="00CC5A5F" w:rsidRPr="00C61BD6" w:rsidRDefault="00CC5A5F" w:rsidP="00CC5A5F">
      <w:pPr>
        <w:pStyle w:val="Corpsdetexte"/>
        <w:spacing w:line="259" w:lineRule="auto"/>
        <w:ind w:right="1137"/>
        <w:rPr>
          <w:rFonts w:cs="Arial"/>
          <w:sz w:val="21"/>
          <w:szCs w:val="21"/>
        </w:rPr>
      </w:pPr>
    </w:p>
    <w:p w14:paraId="1F2E509B" w14:textId="77777777" w:rsidR="00CC5A5F" w:rsidRPr="00C61BD6" w:rsidRDefault="00CC5A5F" w:rsidP="00CC5A5F">
      <w:pPr>
        <w:pStyle w:val="Corpsdetexte"/>
        <w:spacing w:before="1" w:line="259" w:lineRule="auto"/>
        <w:ind w:right="95"/>
        <w:rPr>
          <w:rFonts w:cs="Arial"/>
          <w:sz w:val="21"/>
          <w:szCs w:val="21"/>
        </w:rPr>
      </w:pPr>
      <w:r w:rsidRPr="00C61BD6">
        <w:rPr>
          <w:rFonts w:cs="Arial"/>
          <w:sz w:val="21"/>
          <w:szCs w:val="21"/>
        </w:rPr>
        <w:t>Une approche des séries de projets assure la cohérence des interventions au niveau national et des investissements à travers les cycles de développement financés par la Banque et les partenaires de développement. La série de projets proposée établira une plateforme de développement sectoriel multi-partenaires à moyen et long terme pour atteindre les résultats proposés à long terme.</w:t>
      </w:r>
    </w:p>
    <w:p w14:paraId="534FEFA7" w14:textId="1AA0ABA3" w:rsidR="00CC5A5F" w:rsidRPr="00C61BD6" w:rsidRDefault="00CC5A5F" w:rsidP="00CC5A5F">
      <w:pPr>
        <w:pStyle w:val="Corpsdetexte"/>
        <w:spacing w:line="259" w:lineRule="auto"/>
        <w:ind w:right="-46"/>
        <w:rPr>
          <w:rFonts w:cs="Arial"/>
          <w:sz w:val="21"/>
          <w:szCs w:val="21"/>
        </w:rPr>
      </w:pPr>
    </w:p>
    <w:p w14:paraId="38CC9207" w14:textId="6DE5F49A" w:rsidR="00CC5A5F" w:rsidRPr="00C61BD6" w:rsidRDefault="00CC5A5F" w:rsidP="00CC5A5F">
      <w:pPr>
        <w:pStyle w:val="Corpsdetexte"/>
        <w:spacing w:line="261" w:lineRule="auto"/>
        <w:ind w:right="95"/>
        <w:rPr>
          <w:rFonts w:cs="Arial"/>
          <w:sz w:val="21"/>
          <w:szCs w:val="21"/>
        </w:rPr>
      </w:pPr>
      <w:r w:rsidRPr="00C61BD6">
        <w:rPr>
          <w:rFonts w:cs="Arial"/>
          <w:sz w:val="21"/>
          <w:szCs w:val="21"/>
        </w:rPr>
        <w:t>Dans</w:t>
      </w:r>
      <w:r w:rsidRPr="00C61BD6">
        <w:rPr>
          <w:rFonts w:cs="Arial"/>
          <w:spacing w:val="-8"/>
          <w:sz w:val="21"/>
          <w:szCs w:val="21"/>
        </w:rPr>
        <w:t xml:space="preserve"> </w:t>
      </w:r>
      <w:r w:rsidRPr="00C61BD6">
        <w:rPr>
          <w:rFonts w:cs="Arial"/>
          <w:sz w:val="21"/>
          <w:szCs w:val="21"/>
        </w:rPr>
        <w:t>le</w:t>
      </w:r>
      <w:r w:rsidRPr="00C61BD6">
        <w:rPr>
          <w:rFonts w:cs="Arial"/>
          <w:spacing w:val="-8"/>
          <w:sz w:val="21"/>
          <w:szCs w:val="21"/>
        </w:rPr>
        <w:t xml:space="preserve"> </w:t>
      </w:r>
      <w:r w:rsidRPr="00C61BD6">
        <w:rPr>
          <w:rFonts w:cs="Arial"/>
          <w:sz w:val="21"/>
          <w:szCs w:val="21"/>
        </w:rPr>
        <w:t>contexte</w:t>
      </w:r>
      <w:r w:rsidRPr="00C61BD6">
        <w:rPr>
          <w:rFonts w:cs="Arial"/>
          <w:spacing w:val="-7"/>
          <w:sz w:val="21"/>
          <w:szCs w:val="21"/>
        </w:rPr>
        <w:t xml:space="preserve"> </w:t>
      </w:r>
      <w:r w:rsidRPr="00C61BD6">
        <w:rPr>
          <w:rFonts w:cs="Arial"/>
          <w:sz w:val="21"/>
          <w:szCs w:val="21"/>
        </w:rPr>
        <w:t>du</w:t>
      </w:r>
      <w:r w:rsidRPr="00C61BD6">
        <w:rPr>
          <w:rFonts w:cs="Arial"/>
          <w:spacing w:val="-9"/>
          <w:sz w:val="21"/>
          <w:szCs w:val="21"/>
        </w:rPr>
        <w:t xml:space="preserve"> </w:t>
      </w:r>
      <w:r w:rsidRPr="00C61BD6">
        <w:rPr>
          <w:rFonts w:cs="Arial"/>
          <w:sz w:val="21"/>
          <w:szCs w:val="21"/>
        </w:rPr>
        <w:t>PCV,</w:t>
      </w:r>
      <w:r w:rsidRPr="00C61BD6">
        <w:rPr>
          <w:rFonts w:cs="Arial"/>
          <w:spacing w:val="-9"/>
          <w:sz w:val="21"/>
          <w:szCs w:val="21"/>
        </w:rPr>
        <w:t xml:space="preserve"> </w:t>
      </w:r>
      <w:r w:rsidRPr="00C61BD6">
        <w:rPr>
          <w:rFonts w:cs="Arial"/>
          <w:sz w:val="21"/>
          <w:szCs w:val="21"/>
        </w:rPr>
        <w:t>la</w:t>
      </w:r>
      <w:r w:rsidRPr="00C61BD6">
        <w:rPr>
          <w:rFonts w:cs="Arial"/>
          <w:spacing w:val="-10"/>
          <w:sz w:val="21"/>
          <w:szCs w:val="21"/>
        </w:rPr>
        <w:t xml:space="preserve"> </w:t>
      </w:r>
      <w:r w:rsidRPr="00C61BD6">
        <w:rPr>
          <w:rFonts w:cs="Arial"/>
          <w:sz w:val="21"/>
          <w:szCs w:val="21"/>
        </w:rPr>
        <w:t>série de projets</w:t>
      </w:r>
      <w:r w:rsidRPr="00C61BD6">
        <w:rPr>
          <w:rFonts w:cs="Arial"/>
          <w:spacing w:val="-8"/>
          <w:sz w:val="21"/>
          <w:szCs w:val="21"/>
        </w:rPr>
        <w:t xml:space="preserve"> </w:t>
      </w:r>
      <w:r w:rsidRPr="00C61BD6">
        <w:rPr>
          <w:rFonts w:cs="Arial"/>
          <w:sz w:val="21"/>
          <w:szCs w:val="21"/>
        </w:rPr>
        <w:t>proposée</w:t>
      </w:r>
      <w:r w:rsidRPr="00C61BD6">
        <w:rPr>
          <w:rFonts w:cs="Arial"/>
          <w:spacing w:val="-8"/>
          <w:sz w:val="21"/>
          <w:szCs w:val="21"/>
        </w:rPr>
        <w:t xml:space="preserve"> </w:t>
      </w:r>
      <w:r w:rsidRPr="00C61BD6">
        <w:rPr>
          <w:rFonts w:cs="Arial"/>
          <w:sz w:val="21"/>
          <w:szCs w:val="21"/>
        </w:rPr>
        <w:t>renforcera</w:t>
      </w:r>
      <w:r w:rsidRPr="00C61BD6">
        <w:rPr>
          <w:rFonts w:cs="Arial"/>
          <w:spacing w:val="-7"/>
          <w:sz w:val="21"/>
          <w:szCs w:val="21"/>
        </w:rPr>
        <w:t xml:space="preserve"> </w:t>
      </w:r>
      <w:r w:rsidRPr="00C61BD6">
        <w:rPr>
          <w:rFonts w:cs="Arial"/>
          <w:sz w:val="21"/>
          <w:szCs w:val="21"/>
        </w:rPr>
        <w:t>les</w:t>
      </w:r>
      <w:r w:rsidRPr="00C61BD6">
        <w:rPr>
          <w:rFonts w:cs="Arial"/>
          <w:spacing w:val="-10"/>
          <w:sz w:val="21"/>
          <w:szCs w:val="21"/>
        </w:rPr>
        <w:t xml:space="preserve"> </w:t>
      </w:r>
      <w:r w:rsidRPr="00C61BD6">
        <w:rPr>
          <w:rFonts w:cs="Arial"/>
          <w:sz w:val="21"/>
          <w:szCs w:val="21"/>
        </w:rPr>
        <w:t>capacités</w:t>
      </w:r>
      <w:r w:rsidRPr="00C61BD6">
        <w:rPr>
          <w:rFonts w:cs="Arial"/>
          <w:spacing w:val="-8"/>
          <w:sz w:val="21"/>
          <w:szCs w:val="21"/>
        </w:rPr>
        <w:t xml:space="preserve"> </w:t>
      </w:r>
      <w:r w:rsidRPr="00C61BD6">
        <w:rPr>
          <w:rFonts w:cs="Arial"/>
          <w:sz w:val="21"/>
          <w:szCs w:val="21"/>
        </w:rPr>
        <w:t>et</w:t>
      </w:r>
      <w:r w:rsidRPr="00C61BD6">
        <w:rPr>
          <w:rFonts w:cs="Arial"/>
          <w:spacing w:val="-7"/>
          <w:sz w:val="21"/>
          <w:szCs w:val="21"/>
        </w:rPr>
        <w:t xml:space="preserve"> </w:t>
      </w:r>
      <w:r w:rsidRPr="00C61BD6">
        <w:rPr>
          <w:rFonts w:cs="Arial"/>
          <w:sz w:val="21"/>
          <w:szCs w:val="21"/>
        </w:rPr>
        <w:t>les</w:t>
      </w:r>
      <w:r w:rsidRPr="00C61BD6">
        <w:rPr>
          <w:rFonts w:cs="Arial"/>
          <w:spacing w:val="-8"/>
          <w:sz w:val="21"/>
          <w:szCs w:val="21"/>
        </w:rPr>
        <w:t xml:space="preserve"> </w:t>
      </w:r>
      <w:r w:rsidRPr="00C61BD6">
        <w:rPr>
          <w:rFonts w:cs="Arial"/>
          <w:sz w:val="21"/>
          <w:szCs w:val="21"/>
        </w:rPr>
        <w:t>connaissances</w:t>
      </w:r>
      <w:r w:rsidRPr="00C61BD6">
        <w:rPr>
          <w:rFonts w:cs="Arial"/>
          <w:spacing w:val="-7"/>
          <w:sz w:val="21"/>
          <w:szCs w:val="21"/>
        </w:rPr>
        <w:t xml:space="preserve"> </w:t>
      </w:r>
      <w:r w:rsidRPr="00C61BD6">
        <w:rPr>
          <w:rFonts w:cs="Arial"/>
          <w:sz w:val="21"/>
          <w:szCs w:val="21"/>
        </w:rPr>
        <w:t>institutionnelles de manière progressive d'une phase à l'autre, en s'appuyant sur les enseignements tirés de l'adaptation, et en veillant à ce que les capacités et les connaissances développées soient institutionnalisées</w:t>
      </w:r>
      <w:r w:rsidRPr="00C61BD6">
        <w:rPr>
          <w:rFonts w:cs="Arial"/>
          <w:spacing w:val="-38"/>
          <w:sz w:val="21"/>
          <w:szCs w:val="21"/>
        </w:rPr>
        <w:t xml:space="preserve"> </w:t>
      </w:r>
      <w:r w:rsidRPr="00C61BD6">
        <w:rPr>
          <w:rFonts w:cs="Arial"/>
          <w:sz w:val="21"/>
          <w:szCs w:val="21"/>
        </w:rPr>
        <w:t>et</w:t>
      </w:r>
      <w:r w:rsidRPr="00C61BD6">
        <w:rPr>
          <w:rFonts w:cs="Arial"/>
          <w:spacing w:val="-36"/>
          <w:sz w:val="21"/>
          <w:szCs w:val="21"/>
        </w:rPr>
        <w:t xml:space="preserve"> </w:t>
      </w:r>
      <w:r w:rsidRPr="00C61BD6">
        <w:rPr>
          <w:rFonts w:cs="Arial"/>
          <w:sz w:val="21"/>
          <w:szCs w:val="21"/>
        </w:rPr>
        <w:t>appliquées</w:t>
      </w:r>
      <w:r w:rsidRPr="00C61BD6">
        <w:rPr>
          <w:rFonts w:cs="Arial"/>
          <w:spacing w:val="-37"/>
          <w:sz w:val="21"/>
          <w:szCs w:val="21"/>
        </w:rPr>
        <w:t xml:space="preserve"> </w:t>
      </w:r>
      <w:r w:rsidRPr="00C61BD6">
        <w:rPr>
          <w:rFonts w:cs="Arial"/>
          <w:sz w:val="21"/>
          <w:szCs w:val="21"/>
        </w:rPr>
        <w:t>tout</w:t>
      </w:r>
      <w:r w:rsidRPr="00C61BD6">
        <w:rPr>
          <w:rFonts w:cs="Arial"/>
          <w:spacing w:val="-36"/>
          <w:sz w:val="21"/>
          <w:szCs w:val="21"/>
        </w:rPr>
        <w:t xml:space="preserve"> </w:t>
      </w:r>
      <w:r w:rsidRPr="00C61BD6">
        <w:rPr>
          <w:rFonts w:cs="Arial"/>
          <w:sz w:val="21"/>
          <w:szCs w:val="21"/>
        </w:rPr>
        <w:t>au</w:t>
      </w:r>
      <w:r w:rsidRPr="00C61BD6">
        <w:rPr>
          <w:rFonts w:cs="Arial"/>
          <w:spacing w:val="-37"/>
          <w:sz w:val="21"/>
          <w:szCs w:val="21"/>
        </w:rPr>
        <w:t xml:space="preserve"> </w:t>
      </w:r>
      <w:r w:rsidRPr="00C61BD6">
        <w:rPr>
          <w:rFonts w:cs="Arial"/>
          <w:sz w:val="21"/>
          <w:szCs w:val="21"/>
        </w:rPr>
        <w:t>long</w:t>
      </w:r>
      <w:r w:rsidRPr="00C61BD6">
        <w:rPr>
          <w:rFonts w:cs="Arial"/>
          <w:spacing w:val="-37"/>
          <w:sz w:val="21"/>
          <w:szCs w:val="21"/>
        </w:rPr>
        <w:t xml:space="preserve"> </w:t>
      </w:r>
      <w:r w:rsidRPr="00C61BD6">
        <w:rPr>
          <w:rFonts w:cs="Arial"/>
          <w:sz w:val="21"/>
          <w:szCs w:val="21"/>
        </w:rPr>
        <w:t>de</w:t>
      </w:r>
      <w:r w:rsidRPr="00C61BD6">
        <w:rPr>
          <w:rFonts w:cs="Arial"/>
          <w:spacing w:val="-37"/>
          <w:sz w:val="21"/>
          <w:szCs w:val="21"/>
        </w:rPr>
        <w:t xml:space="preserve"> </w:t>
      </w:r>
      <w:r w:rsidRPr="00C61BD6">
        <w:rPr>
          <w:rFonts w:cs="Arial"/>
          <w:sz w:val="21"/>
          <w:szCs w:val="21"/>
        </w:rPr>
        <w:t>la</w:t>
      </w:r>
      <w:r w:rsidRPr="00C61BD6">
        <w:rPr>
          <w:rFonts w:cs="Arial"/>
          <w:spacing w:val="-38"/>
          <w:sz w:val="21"/>
          <w:szCs w:val="21"/>
        </w:rPr>
        <w:t xml:space="preserve"> </w:t>
      </w:r>
      <w:r w:rsidRPr="00C61BD6">
        <w:rPr>
          <w:rFonts w:cs="Arial"/>
          <w:sz w:val="21"/>
          <w:szCs w:val="21"/>
        </w:rPr>
        <w:t>mise</w:t>
      </w:r>
      <w:r w:rsidRPr="00C61BD6">
        <w:rPr>
          <w:rFonts w:cs="Arial"/>
          <w:spacing w:val="-37"/>
          <w:sz w:val="21"/>
          <w:szCs w:val="21"/>
        </w:rPr>
        <w:t xml:space="preserve"> </w:t>
      </w:r>
      <w:r w:rsidRPr="00C61BD6">
        <w:rPr>
          <w:rFonts w:cs="Arial"/>
          <w:sz w:val="21"/>
          <w:szCs w:val="21"/>
        </w:rPr>
        <w:t>en</w:t>
      </w:r>
      <w:r w:rsidRPr="00C61BD6">
        <w:rPr>
          <w:rFonts w:cs="Arial"/>
          <w:spacing w:val="-37"/>
          <w:sz w:val="21"/>
          <w:szCs w:val="21"/>
        </w:rPr>
        <w:t xml:space="preserve"> </w:t>
      </w:r>
      <w:r w:rsidRPr="00C61BD6">
        <w:rPr>
          <w:rFonts w:cs="Arial"/>
          <w:sz w:val="21"/>
          <w:szCs w:val="21"/>
        </w:rPr>
        <w:t>œuvre</w:t>
      </w:r>
      <w:r w:rsidRPr="00C61BD6">
        <w:rPr>
          <w:rFonts w:cs="Arial"/>
          <w:spacing w:val="-36"/>
          <w:sz w:val="21"/>
          <w:szCs w:val="21"/>
        </w:rPr>
        <w:t xml:space="preserve"> </w:t>
      </w:r>
      <w:r w:rsidR="00402896" w:rsidRPr="00C61BD6">
        <w:rPr>
          <w:rFonts w:cs="Arial"/>
          <w:sz w:val="21"/>
          <w:szCs w:val="21"/>
        </w:rPr>
        <w:t>de la série des projets</w:t>
      </w:r>
      <w:r w:rsidRPr="00C61BD6">
        <w:rPr>
          <w:rFonts w:cs="Arial"/>
          <w:sz w:val="21"/>
          <w:szCs w:val="21"/>
        </w:rPr>
        <w:t>.</w:t>
      </w:r>
      <w:r w:rsidRPr="00C61BD6">
        <w:rPr>
          <w:rFonts w:cs="Arial"/>
          <w:spacing w:val="-37"/>
          <w:sz w:val="21"/>
          <w:szCs w:val="21"/>
        </w:rPr>
        <w:t xml:space="preserve"> </w:t>
      </w:r>
      <w:r w:rsidRPr="00C61BD6">
        <w:rPr>
          <w:rFonts w:cs="Arial"/>
          <w:sz w:val="21"/>
          <w:szCs w:val="21"/>
        </w:rPr>
        <w:t>Une</w:t>
      </w:r>
      <w:r w:rsidRPr="00C61BD6">
        <w:rPr>
          <w:rFonts w:cs="Arial"/>
          <w:spacing w:val="-37"/>
          <w:sz w:val="21"/>
          <w:szCs w:val="21"/>
        </w:rPr>
        <w:t xml:space="preserve"> </w:t>
      </w:r>
      <w:r w:rsidRPr="00C61BD6">
        <w:rPr>
          <w:rFonts w:cs="Arial"/>
          <w:sz w:val="21"/>
          <w:szCs w:val="21"/>
        </w:rPr>
        <w:t>telle</w:t>
      </w:r>
      <w:r w:rsidRPr="00C61BD6">
        <w:rPr>
          <w:rFonts w:cs="Arial"/>
          <w:spacing w:val="-37"/>
          <w:sz w:val="21"/>
          <w:szCs w:val="21"/>
        </w:rPr>
        <w:t xml:space="preserve"> </w:t>
      </w:r>
      <w:r w:rsidRPr="00C61BD6">
        <w:rPr>
          <w:rFonts w:cs="Arial"/>
          <w:sz w:val="21"/>
          <w:szCs w:val="21"/>
        </w:rPr>
        <w:t>approche</w:t>
      </w:r>
      <w:r w:rsidRPr="00C61BD6">
        <w:rPr>
          <w:rFonts w:cs="Arial"/>
          <w:spacing w:val="-38"/>
          <w:sz w:val="21"/>
          <w:szCs w:val="21"/>
        </w:rPr>
        <w:t xml:space="preserve"> </w:t>
      </w:r>
      <w:r w:rsidRPr="00C61BD6">
        <w:rPr>
          <w:rFonts w:cs="Arial"/>
          <w:sz w:val="21"/>
          <w:szCs w:val="21"/>
        </w:rPr>
        <w:t xml:space="preserve">d'un objectif ambitieux n'est pas considérée comme appropriée dans le cadre d'un </w:t>
      </w:r>
      <w:r w:rsidR="00402896" w:rsidRPr="00C61BD6">
        <w:rPr>
          <w:rFonts w:cs="Arial"/>
          <w:sz w:val="21"/>
          <w:szCs w:val="21"/>
        </w:rPr>
        <w:t>financement de projets d’investissement</w:t>
      </w:r>
      <w:r w:rsidRPr="00C61BD6">
        <w:rPr>
          <w:rFonts w:cs="Arial"/>
          <w:sz w:val="21"/>
          <w:szCs w:val="21"/>
        </w:rPr>
        <w:t xml:space="preserve"> unique et autonome.</w:t>
      </w:r>
    </w:p>
    <w:p w14:paraId="1B0AE705" w14:textId="77777777" w:rsidR="00CC5A5F" w:rsidRPr="00C61BD6" w:rsidRDefault="00CC5A5F" w:rsidP="00CC5A5F">
      <w:pPr>
        <w:pStyle w:val="Corpsdetexte"/>
        <w:spacing w:line="261" w:lineRule="auto"/>
        <w:ind w:right="95"/>
        <w:rPr>
          <w:rFonts w:cs="Arial"/>
          <w:sz w:val="21"/>
          <w:szCs w:val="21"/>
        </w:rPr>
      </w:pPr>
    </w:p>
    <w:p w14:paraId="0C4D6171" w14:textId="6A63D5F6" w:rsidR="00CC5A5F" w:rsidRPr="00C61BD6" w:rsidRDefault="00CC5A5F" w:rsidP="00CC5A5F">
      <w:pPr>
        <w:pStyle w:val="Corpsdetexte"/>
        <w:spacing w:line="259" w:lineRule="auto"/>
        <w:ind w:right="95"/>
        <w:rPr>
          <w:rFonts w:cs="Arial"/>
          <w:sz w:val="21"/>
          <w:szCs w:val="21"/>
        </w:rPr>
      </w:pPr>
      <w:r w:rsidRPr="00C61BD6">
        <w:rPr>
          <w:rFonts w:cs="Arial"/>
          <w:sz w:val="21"/>
          <w:szCs w:val="21"/>
        </w:rPr>
        <w:t>La série des projets proposés</w:t>
      </w:r>
      <w:r w:rsidRPr="00C61BD6">
        <w:rPr>
          <w:rFonts w:cs="Arial"/>
          <w:spacing w:val="-27"/>
          <w:sz w:val="21"/>
          <w:szCs w:val="21"/>
        </w:rPr>
        <w:t xml:space="preserve"> </w:t>
      </w:r>
      <w:r w:rsidRPr="00C61BD6">
        <w:rPr>
          <w:rFonts w:cs="Arial"/>
          <w:sz w:val="21"/>
          <w:szCs w:val="21"/>
        </w:rPr>
        <w:t>se</w:t>
      </w:r>
      <w:r w:rsidRPr="00C61BD6">
        <w:rPr>
          <w:rFonts w:cs="Arial"/>
          <w:spacing w:val="-27"/>
          <w:sz w:val="21"/>
          <w:szCs w:val="21"/>
        </w:rPr>
        <w:t xml:space="preserve"> </w:t>
      </w:r>
      <w:r w:rsidRPr="00C61BD6">
        <w:rPr>
          <w:rFonts w:cs="Arial"/>
          <w:sz w:val="21"/>
          <w:szCs w:val="21"/>
        </w:rPr>
        <w:t>concentrera</w:t>
      </w:r>
      <w:r w:rsidRPr="00C61BD6">
        <w:rPr>
          <w:rFonts w:cs="Arial"/>
          <w:spacing w:val="-25"/>
          <w:sz w:val="21"/>
          <w:szCs w:val="21"/>
        </w:rPr>
        <w:t xml:space="preserve"> </w:t>
      </w:r>
      <w:r w:rsidRPr="00C61BD6">
        <w:rPr>
          <w:rFonts w:cs="Arial"/>
          <w:sz w:val="21"/>
          <w:szCs w:val="21"/>
        </w:rPr>
        <w:t>sur</w:t>
      </w:r>
      <w:r w:rsidRPr="00C61BD6">
        <w:rPr>
          <w:rFonts w:cs="Arial"/>
          <w:spacing w:val="-26"/>
          <w:sz w:val="21"/>
          <w:szCs w:val="21"/>
        </w:rPr>
        <w:t xml:space="preserve"> </w:t>
      </w:r>
      <w:r w:rsidRPr="00C61BD6">
        <w:rPr>
          <w:rFonts w:cs="Arial"/>
          <w:sz w:val="21"/>
          <w:szCs w:val="21"/>
        </w:rPr>
        <w:t>la</w:t>
      </w:r>
      <w:r w:rsidRPr="00C61BD6">
        <w:rPr>
          <w:rFonts w:cs="Arial"/>
          <w:spacing w:val="-26"/>
          <w:sz w:val="21"/>
          <w:szCs w:val="21"/>
        </w:rPr>
        <w:t xml:space="preserve"> </w:t>
      </w:r>
      <w:r w:rsidRPr="00C61BD6">
        <w:rPr>
          <w:rFonts w:cs="Arial"/>
          <w:sz w:val="21"/>
          <w:szCs w:val="21"/>
        </w:rPr>
        <w:t>réalisation</w:t>
      </w:r>
      <w:r w:rsidRPr="00C61BD6">
        <w:rPr>
          <w:rFonts w:cs="Arial"/>
          <w:spacing w:val="-26"/>
          <w:sz w:val="21"/>
          <w:szCs w:val="21"/>
        </w:rPr>
        <w:t xml:space="preserve"> </w:t>
      </w:r>
      <w:r w:rsidRPr="00C61BD6">
        <w:rPr>
          <w:rFonts w:cs="Arial"/>
          <w:sz w:val="21"/>
          <w:szCs w:val="21"/>
        </w:rPr>
        <w:t>des</w:t>
      </w:r>
      <w:r w:rsidRPr="00C61BD6">
        <w:rPr>
          <w:rFonts w:cs="Arial"/>
          <w:spacing w:val="-27"/>
          <w:sz w:val="21"/>
          <w:szCs w:val="21"/>
        </w:rPr>
        <w:t xml:space="preserve"> </w:t>
      </w:r>
      <w:r w:rsidRPr="00C61BD6">
        <w:rPr>
          <w:rFonts w:cs="Arial"/>
          <w:sz w:val="21"/>
          <w:szCs w:val="21"/>
        </w:rPr>
        <w:t>impacts</w:t>
      </w:r>
      <w:r w:rsidRPr="00C61BD6">
        <w:rPr>
          <w:rFonts w:cs="Arial"/>
          <w:spacing w:val="-26"/>
          <w:sz w:val="21"/>
          <w:szCs w:val="21"/>
        </w:rPr>
        <w:t xml:space="preserve"> </w:t>
      </w:r>
      <w:r w:rsidRPr="00C61BD6">
        <w:rPr>
          <w:rFonts w:cs="Arial"/>
          <w:sz w:val="21"/>
          <w:szCs w:val="21"/>
        </w:rPr>
        <w:t>tout</w:t>
      </w:r>
      <w:r w:rsidRPr="00C61BD6">
        <w:rPr>
          <w:rFonts w:cs="Arial"/>
          <w:spacing w:val="-26"/>
          <w:sz w:val="21"/>
          <w:szCs w:val="21"/>
        </w:rPr>
        <w:t xml:space="preserve"> </w:t>
      </w:r>
      <w:r w:rsidRPr="00C61BD6">
        <w:rPr>
          <w:rFonts w:cs="Arial"/>
          <w:sz w:val="21"/>
          <w:szCs w:val="21"/>
        </w:rPr>
        <w:t>au</w:t>
      </w:r>
      <w:r w:rsidRPr="00C61BD6">
        <w:rPr>
          <w:rFonts w:cs="Arial"/>
          <w:spacing w:val="-26"/>
          <w:sz w:val="21"/>
          <w:szCs w:val="21"/>
        </w:rPr>
        <w:t xml:space="preserve"> </w:t>
      </w:r>
      <w:r w:rsidRPr="00C61BD6">
        <w:rPr>
          <w:rFonts w:cs="Arial"/>
          <w:sz w:val="21"/>
          <w:szCs w:val="21"/>
        </w:rPr>
        <w:t>long</w:t>
      </w:r>
      <w:r w:rsidRPr="00C61BD6">
        <w:rPr>
          <w:rFonts w:cs="Arial"/>
          <w:spacing w:val="-26"/>
          <w:sz w:val="21"/>
          <w:szCs w:val="21"/>
        </w:rPr>
        <w:t xml:space="preserve"> </w:t>
      </w:r>
      <w:r w:rsidRPr="00C61BD6">
        <w:rPr>
          <w:rFonts w:cs="Arial"/>
          <w:sz w:val="21"/>
          <w:szCs w:val="21"/>
        </w:rPr>
        <w:t>de</w:t>
      </w:r>
      <w:r w:rsidRPr="00C61BD6">
        <w:rPr>
          <w:rFonts w:cs="Arial"/>
          <w:spacing w:val="-27"/>
          <w:sz w:val="21"/>
          <w:szCs w:val="21"/>
        </w:rPr>
        <w:t xml:space="preserve"> </w:t>
      </w:r>
      <w:r w:rsidRPr="00C61BD6">
        <w:rPr>
          <w:rFonts w:cs="Arial"/>
          <w:sz w:val="21"/>
          <w:szCs w:val="21"/>
        </w:rPr>
        <w:t>sa</w:t>
      </w:r>
      <w:r w:rsidRPr="00C61BD6">
        <w:rPr>
          <w:rFonts w:cs="Arial"/>
          <w:spacing w:val="-26"/>
          <w:sz w:val="21"/>
          <w:szCs w:val="21"/>
        </w:rPr>
        <w:t xml:space="preserve"> </w:t>
      </w:r>
      <w:r w:rsidRPr="00C61BD6">
        <w:rPr>
          <w:rFonts w:cs="Arial"/>
          <w:sz w:val="21"/>
          <w:szCs w:val="21"/>
        </w:rPr>
        <w:t>mise</w:t>
      </w:r>
      <w:r w:rsidRPr="00C61BD6">
        <w:rPr>
          <w:rFonts w:cs="Arial"/>
          <w:spacing w:val="-27"/>
          <w:sz w:val="21"/>
          <w:szCs w:val="21"/>
        </w:rPr>
        <w:t xml:space="preserve"> </w:t>
      </w:r>
      <w:r w:rsidRPr="00C61BD6">
        <w:rPr>
          <w:rFonts w:cs="Arial"/>
          <w:sz w:val="21"/>
          <w:szCs w:val="21"/>
        </w:rPr>
        <w:t>en</w:t>
      </w:r>
      <w:r w:rsidRPr="00C61BD6">
        <w:rPr>
          <w:rFonts w:cs="Arial"/>
          <w:spacing w:val="-25"/>
          <w:sz w:val="21"/>
          <w:szCs w:val="21"/>
        </w:rPr>
        <w:t xml:space="preserve"> </w:t>
      </w:r>
      <w:r w:rsidRPr="00C61BD6">
        <w:rPr>
          <w:rFonts w:cs="Arial"/>
          <w:sz w:val="21"/>
          <w:szCs w:val="21"/>
        </w:rPr>
        <w:t>œuvre</w:t>
      </w:r>
      <w:r w:rsidRPr="00C61BD6">
        <w:rPr>
          <w:rFonts w:cs="Arial"/>
          <w:spacing w:val="-26"/>
          <w:sz w:val="21"/>
          <w:szCs w:val="21"/>
        </w:rPr>
        <w:t xml:space="preserve"> </w:t>
      </w:r>
      <w:r w:rsidRPr="00C61BD6">
        <w:rPr>
          <w:rFonts w:cs="Arial"/>
          <w:sz w:val="21"/>
          <w:szCs w:val="21"/>
        </w:rPr>
        <w:t>en intégrant des corrections de trajectoire et des ajustements rapides basés sur les conclusions du programme</w:t>
      </w:r>
      <w:r w:rsidRPr="00C61BD6">
        <w:rPr>
          <w:rFonts w:cs="Arial"/>
          <w:spacing w:val="-6"/>
          <w:sz w:val="21"/>
          <w:szCs w:val="21"/>
        </w:rPr>
        <w:t xml:space="preserve"> </w:t>
      </w:r>
      <w:r w:rsidRPr="00C61BD6">
        <w:rPr>
          <w:rFonts w:cs="Arial"/>
          <w:sz w:val="21"/>
          <w:szCs w:val="21"/>
        </w:rPr>
        <w:t>d'apprentissage</w:t>
      </w:r>
      <w:r w:rsidRPr="00C61BD6">
        <w:rPr>
          <w:rFonts w:cs="Arial"/>
          <w:spacing w:val="-4"/>
          <w:sz w:val="21"/>
          <w:szCs w:val="21"/>
        </w:rPr>
        <w:t xml:space="preserve"> </w:t>
      </w:r>
      <w:r w:rsidRPr="00C61BD6">
        <w:rPr>
          <w:rFonts w:cs="Arial"/>
          <w:sz w:val="21"/>
          <w:szCs w:val="21"/>
        </w:rPr>
        <w:t>(voir</w:t>
      </w:r>
      <w:r w:rsidRPr="00C61BD6">
        <w:rPr>
          <w:rFonts w:cs="Arial"/>
          <w:spacing w:val="-5"/>
          <w:sz w:val="21"/>
          <w:szCs w:val="21"/>
        </w:rPr>
        <w:t xml:space="preserve"> </w:t>
      </w:r>
      <w:r w:rsidRPr="00C61BD6">
        <w:rPr>
          <w:rFonts w:cs="Arial"/>
          <w:sz w:val="21"/>
          <w:szCs w:val="21"/>
        </w:rPr>
        <w:t>paragraphe</w:t>
      </w:r>
      <w:r w:rsidRPr="00C61BD6">
        <w:rPr>
          <w:rFonts w:cs="Arial"/>
          <w:spacing w:val="-6"/>
          <w:sz w:val="21"/>
          <w:szCs w:val="21"/>
        </w:rPr>
        <w:t xml:space="preserve"> </w:t>
      </w:r>
      <w:r w:rsidRPr="00C61BD6">
        <w:rPr>
          <w:rFonts w:cs="Arial"/>
          <w:sz w:val="21"/>
          <w:szCs w:val="21"/>
        </w:rPr>
        <w:t>suivant).</w:t>
      </w:r>
      <w:r w:rsidRPr="00C61BD6">
        <w:rPr>
          <w:rFonts w:cs="Arial"/>
          <w:spacing w:val="-7"/>
          <w:sz w:val="21"/>
          <w:szCs w:val="21"/>
        </w:rPr>
        <w:t xml:space="preserve"> </w:t>
      </w:r>
      <w:r w:rsidRPr="00C61BD6">
        <w:rPr>
          <w:rFonts w:cs="Arial"/>
          <w:sz w:val="21"/>
          <w:szCs w:val="21"/>
        </w:rPr>
        <w:t>Les</w:t>
      </w:r>
      <w:r w:rsidRPr="00C61BD6">
        <w:rPr>
          <w:rFonts w:cs="Arial"/>
          <w:spacing w:val="-3"/>
          <w:sz w:val="21"/>
          <w:szCs w:val="21"/>
        </w:rPr>
        <w:t xml:space="preserve"> </w:t>
      </w:r>
      <w:r w:rsidRPr="00C61BD6">
        <w:rPr>
          <w:rFonts w:cs="Arial"/>
          <w:sz w:val="21"/>
          <w:szCs w:val="21"/>
        </w:rPr>
        <w:t>projets</w:t>
      </w:r>
      <w:r w:rsidRPr="00C61BD6">
        <w:rPr>
          <w:rFonts w:cs="Arial"/>
          <w:spacing w:val="-5"/>
          <w:sz w:val="21"/>
          <w:szCs w:val="21"/>
        </w:rPr>
        <w:t xml:space="preserve"> </w:t>
      </w:r>
      <w:r w:rsidRPr="00C61BD6">
        <w:rPr>
          <w:rFonts w:cs="Arial"/>
          <w:sz w:val="21"/>
          <w:szCs w:val="21"/>
        </w:rPr>
        <w:t>de</w:t>
      </w:r>
      <w:r w:rsidRPr="00C61BD6">
        <w:rPr>
          <w:rFonts w:cs="Arial"/>
          <w:spacing w:val="-6"/>
          <w:sz w:val="21"/>
          <w:szCs w:val="21"/>
        </w:rPr>
        <w:t xml:space="preserve"> </w:t>
      </w:r>
      <w:r w:rsidRPr="00C61BD6">
        <w:rPr>
          <w:rFonts w:cs="Arial"/>
          <w:sz w:val="21"/>
          <w:szCs w:val="21"/>
        </w:rPr>
        <w:t>la</w:t>
      </w:r>
      <w:r w:rsidRPr="00C61BD6">
        <w:rPr>
          <w:rFonts w:cs="Arial"/>
          <w:spacing w:val="-6"/>
          <w:sz w:val="21"/>
          <w:szCs w:val="21"/>
        </w:rPr>
        <w:t xml:space="preserve"> </w:t>
      </w:r>
      <w:r w:rsidRPr="00C61BD6">
        <w:rPr>
          <w:rFonts w:cs="Arial"/>
          <w:sz w:val="21"/>
          <w:szCs w:val="21"/>
        </w:rPr>
        <w:t>Banque</w:t>
      </w:r>
      <w:r w:rsidRPr="00C61BD6">
        <w:rPr>
          <w:rFonts w:cs="Arial"/>
          <w:spacing w:val="-4"/>
          <w:sz w:val="21"/>
          <w:szCs w:val="21"/>
        </w:rPr>
        <w:t xml:space="preserve"> </w:t>
      </w:r>
      <w:r w:rsidRPr="00C61BD6">
        <w:rPr>
          <w:rFonts w:cs="Arial"/>
          <w:sz w:val="21"/>
          <w:szCs w:val="21"/>
        </w:rPr>
        <w:t>dans</w:t>
      </w:r>
      <w:r w:rsidRPr="00C61BD6">
        <w:rPr>
          <w:rFonts w:cs="Arial"/>
          <w:spacing w:val="-4"/>
          <w:sz w:val="21"/>
          <w:szCs w:val="21"/>
        </w:rPr>
        <w:t xml:space="preserve"> </w:t>
      </w:r>
      <w:r w:rsidRPr="00C61BD6">
        <w:rPr>
          <w:rFonts w:cs="Arial"/>
          <w:sz w:val="21"/>
          <w:szCs w:val="21"/>
        </w:rPr>
        <w:t>le</w:t>
      </w:r>
      <w:r w:rsidRPr="00C61BD6">
        <w:rPr>
          <w:rFonts w:cs="Arial"/>
          <w:spacing w:val="-7"/>
          <w:sz w:val="21"/>
          <w:szCs w:val="21"/>
        </w:rPr>
        <w:t xml:space="preserve"> </w:t>
      </w:r>
      <w:r w:rsidRPr="00C61BD6">
        <w:rPr>
          <w:rFonts w:cs="Arial"/>
          <w:sz w:val="21"/>
          <w:szCs w:val="21"/>
        </w:rPr>
        <w:t>pays</w:t>
      </w:r>
      <w:r w:rsidRPr="00C61BD6">
        <w:rPr>
          <w:rFonts w:cs="Arial"/>
          <w:spacing w:val="-6"/>
          <w:sz w:val="21"/>
          <w:szCs w:val="21"/>
        </w:rPr>
        <w:t xml:space="preserve"> </w:t>
      </w:r>
      <w:r w:rsidRPr="00C61BD6">
        <w:rPr>
          <w:rFonts w:cs="Arial"/>
          <w:sz w:val="21"/>
          <w:szCs w:val="21"/>
        </w:rPr>
        <w:t>n'ont</w:t>
      </w:r>
      <w:r w:rsidRPr="00C61BD6">
        <w:rPr>
          <w:rFonts w:cs="Arial"/>
          <w:spacing w:val="-3"/>
          <w:sz w:val="21"/>
          <w:szCs w:val="21"/>
        </w:rPr>
        <w:t xml:space="preserve"> </w:t>
      </w:r>
      <w:r w:rsidRPr="00C61BD6">
        <w:rPr>
          <w:rFonts w:cs="Arial"/>
          <w:sz w:val="21"/>
          <w:szCs w:val="21"/>
        </w:rPr>
        <w:t>pas réussi à cibler les objectifs de l'économie rurale liés à des impacts tels que le revenu, la compétitivité et l'utilisation durable des ressources naturelles, qui ne peuvent être atteints par un seul projet autonome.</w:t>
      </w:r>
    </w:p>
    <w:p w14:paraId="0F9FEF7D" w14:textId="77777777" w:rsidR="00CC5A5F" w:rsidRPr="00C61BD6" w:rsidRDefault="00CC5A5F" w:rsidP="00CC5A5F">
      <w:pPr>
        <w:pStyle w:val="Corpsdetexte"/>
        <w:spacing w:before="7"/>
        <w:ind w:right="95"/>
        <w:rPr>
          <w:rFonts w:cs="Arial"/>
          <w:sz w:val="21"/>
          <w:szCs w:val="21"/>
        </w:rPr>
      </w:pPr>
    </w:p>
    <w:p w14:paraId="05B3542C" w14:textId="36268129" w:rsidR="00CC5A5F" w:rsidRPr="00C61BD6" w:rsidRDefault="00CC5A5F" w:rsidP="00CC5A5F">
      <w:pPr>
        <w:pStyle w:val="Corpsdetexte"/>
        <w:spacing w:line="264" w:lineRule="auto"/>
        <w:ind w:right="95"/>
        <w:rPr>
          <w:rFonts w:cs="Arial"/>
          <w:sz w:val="21"/>
          <w:szCs w:val="21"/>
        </w:rPr>
      </w:pPr>
      <w:r w:rsidRPr="00C61BD6">
        <w:rPr>
          <w:rFonts w:cs="Arial"/>
          <w:sz w:val="21"/>
          <w:szCs w:val="21"/>
        </w:rPr>
        <w:t xml:space="preserve">Par conséquent, la conception de la série des projets proposés est flexible afin de garantir la réactivité à l'évolution des besoins, des résultats et des priorités. La série des projets comprend également un mécanisme d'agenda d'apprentissage pour le transfert des connaissances et le renforcement des capacités à travers les </w:t>
      </w:r>
      <w:r w:rsidRPr="00C61BD6">
        <w:rPr>
          <w:rFonts w:cs="Arial"/>
          <w:w w:val="95"/>
          <w:sz w:val="21"/>
          <w:szCs w:val="21"/>
        </w:rPr>
        <w:t>différentes</w:t>
      </w:r>
      <w:r w:rsidRPr="00C61BD6">
        <w:rPr>
          <w:rFonts w:cs="Arial"/>
          <w:spacing w:val="-26"/>
          <w:w w:val="95"/>
          <w:sz w:val="21"/>
          <w:szCs w:val="21"/>
        </w:rPr>
        <w:t xml:space="preserve"> </w:t>
      </w:r>
      <w:r w:rsidRPr="00C61BD6">
        <w:rPr>
          <w:rFonts w:cs="Arial"/>
          <w:w w:val="95"/>
          <w:sz w:val="21"/>
          <w:szCs w:val="21"/>
        </w:rPr>
        <w:t>composantes.</w:t>
      </w:r>
      <w:r w:rsidRPr="00C61BD6">
        <w:rPr>
          <w:rFonts w:cs="Arial"/>
          <w:spacing w:val="-27"/>
          <w:w w:val="95"/>
          <w:sz w:val="21"/>
          <w:szCs w:val="21"/>
        </w:rPr>
        <w:t xml:space="preserve"> </w:t>
      </w:r>
      <w:r w:rsidRPr="00C61BD6">
        <w:rPr>
          <w:rFonts w:cs="Arial"/>
          <w:w w:val="95"/>
          <w:sz w:val="21"/>
          <w:szCs w:val="21"/>
        </w:rPr>
        <w:t>Des</w:t>
      </w:r>
      <w:r w:rsidRPr="00C61BD6">
        <w:rPr>
          <w:rFonts w:cs="Arial"/>
          <w:spacing w:val="-25"/>
          <w:w w:val="95"/>
          <w:sz w:val="21"/>
          <w:szCs w:val="21"/>
        </w:rPr>
        <w:t xml:space="preserve"> </w:t>
      </w:r>
      <w:r w:rsidRPr="00C61BD6">
        <w:rPr>
          <w:rFonts w:cs="Arial"/>
          <w:w w:val="95"/>
          <w:sz w:val="21"/>
          <w:szCs w:val="21"/>
        </w:rPr>
        <w:t>évaluations</w:t>
      </w:r>
      <w:r w:rsidRPr="00C61BD6">
        <w:rPr>
          <w:rFonts w:cs="Arial"/>
          <w:spacing w:val="-26"/>
          <w:w w:val="95"/>
          <w:sz w:val="21"/>
          <w:szCs w:val="21"/>
        </w:rPr>
        <w:t xml:space="preserve"> </w:t>
      </w:r>
      <w:r w:rsidRPr="00C61BD6">
        <w:rPr>
          <w:rFonts w:cs="Arial"/>
          <w:w w:val="95"/>
          <w:sz w:val="21"/>
          <w:szCs w:val="21"/>
        </w:rPr>
        <w:t>d'impact</w:t>
      </w:r>
      <w:r w:rsidRPr="00C61BD6">
        <w:rPr>
          <w:rFonts w:cs="Arial"/>
          <w:spacing w:val="-25"/>
          <w:w w:val="95"/>
          <w:sz w:val="21"/>
          <w:szCs w:val="21"/>
        </w:rPr>
        <w:t xml:space="preserve"> </w:t>
      </w:r>
      <w:r w:rsidRPr="00C61BD6">
        <w:rPr>
          <w:rFonts w:cs="Arial"/>
          <w:w w:val="95"/>
          <w:sz w:val="21"/>
          <w:szCs w:val="21"/>
        </w:rPr>
        <w:t>seront</w:t>
      </w:r>
      <w:r w:rsidRPr="00C61BD6">
        <w:rPr>
          <w:rFonts w:cs="Arial"/>
          <w:spacing w:val="-26"/>
          <w:w w:val="95"/>
          <w:sz w:val="21"/>
          <w:szCs w:val="21"/>
        </w:rPr>
        <w:t xml:space="preserve"> </w:t>
      </w:r>
      <w:r w:rsidRPr="00C61BD6">
        <w:rPr>
          <w:rFonts w:cs="Arial"/>
          <w:w w:val="95"/>
          <w:sz w:val="21"/>
          <w:szCs w:val="21"/>
        </w:rPr>
        <w:t>conçues</w:t>
      </w:r>
      <w:r w:rsidRPr="00C61BD6">
        <w:rPr>
          <w:rFonts w:cs="Arial"/>
          <w:spacing w:val="-27"/>
          <w:w w:val="95"/>
          <w:sz w:val="21"/>
          <w:szCs w:val="21"/>
        </w:rPr>
        <w:t xml:space="preserve"> </w:t>
      </w:r>
      <w:r w:rsidRPr="00C61BD6">
        <w:rPr>
          <w:rFonts w:cs="Arial"/>
          <w:w w:val="95"/>
          <w:sz w:val="21"/>
          <w:szCs w:val="21"/>
        </w:rPr>
        <w:t>et</w:t>
      </w:r>
      <w:r w:rsidRPr="00C61BD6">
        <w:rPr>
          <w:rFonts w:cs="Arial"/>
          <w:spacing w:val="-27"/>
          <w:w w:val="95"/>
          <w:sz w:val="21"/>
          <w:szCs w:val="21"/>
        </w:rPr>
        <w:t xml:space="preserve"> </w:t>
      </w:r>
      <w:r w:rsidRPr="00C61BD6">
        <w:rPr>
          <w:rFonts w:cs="Arial"/>
          <w:w w:val="95"/>
          <w:sz w:val="21"/>
          <w:szCs w:val="21"/>
        </w:rPr>
        <w:t>mises</w:t>
      </w:r>
      <w:r w:rsidRPr="00C61BD6">
        <w:rPr>
          <w:rFonts w:cs="Arial"/>
          <w:spacing w:val="-27"/>
          <w:w w:val="95"/>
          <w:sz w:val="21"/>
          <w:szCs w:val="21"/>
        </w:rPr>
        <w:t xml:space="preserve"> </w:t>
      </w:r>
      <w:r w:rsidRPr="00C61BD6">
        <w:rPr>
          <w:rFonts w:cs="Arial"/>
          <w:w w:val="95"/>
          <w:sz w:val="21"/>
          <w:szCs w:val="21"/>
        </w:rPr>
        <w:t>en</w:t>
      </w:r>
      <w:r w:rsidRPr="00C61BD6">
        <w:rPr>
          <w:rFonts w:cs="Arial"/>
          <w:spacing w:val="-25"/>
          <w:w w:val="95"/>
          <w:sz w:val="21"/>
          <w:szCs w:val="21"/>
        </w:rPr>
        <w:t xml:space="preserve"> </w:t>
      </w:r>
      <w:r w:rsidRPr="00C61BD6">
        <w:rPr>
          <w:rFonts w:cs="Arial"/>
          <w:w w:val="95"/>
          <w:sz w:val="21"/>
          <w:szCs w:val="21"/>
        </w:rPr>
        <w:t>œuvre</w:t>
      </w:r>
      <w:r w:rsidRPr="00C61BD6">
        <w:rPr>
          <w:rFonts w:cs="Arial"/>
          <w:spacing w:val="-25"/>
          <w:w w:val="95"/>
          <w:sz w:val="21"/>
          <w:szCs w:val="21"/>
        </w:rPr>
        <w:t xml:space="preserve"> </w:t>
      </w:r>
      <w:r w:rsidRPr="00C61BD6">
        <w:rPr>
          <w:rFonts w:cs="Arial"/>
          <w:w w:val="95"/>
          <w:sz w:val="21"/>
          <w:szCs w:val="21"/>
        </w:rPr>
        <w:t>pour</w:t>
      </w:r>
      <w:r w:rsidRPr="00C61BD6">
        <w:rPr>
          <w:rFonts w:cs="Arial"/>
          <w:spacing w:val="-26"/>
          <w:w w:val="95"/>
          <w:sz w:val="21"/>
          <w:szCs w:val="21"/>
        </w:rPr>
        <w:t xml:space="preserve"> </w:t>
      </w:r>
      <w:r w:rsidRPr="00C61BD6">
        <w:rPr>
          <w:rFonts w:cs="Arial"/>
          <w:w w:val="95"/>
          <w:sz w:val="21"/>
          <w:szCs w:val="21"/>
        </w:rPr>
        <w:t>suivre</w:t>
      </w:r>
      <w:r w:rsidRPr="00C61BD6">
        <w:rPr>
          <w:rFonts w:cs="Arial"/>
          <w:spacing w:val="-25"/>
          <w:w w:val="95"/>
          <w:sz w:val="21"/>
          <w:szCs w:val="21"/>
        </w:rPr>
        <w:t xml:space="preserve"> </w:t>
      </w:r>
      <w:r w:rsidRPr="00C61BD6">
        <w:rPr>
          <w:rFonts w:cs="Arial"/>
          <w:w w:val="95"/>
          <w:sz w:val="21"/>
          <w:szCs w:val="21"/>
        </w:rPr>
        <w:t xml:space="preserve">les </w:t>
      </w:r>
      <w:r w:rsidRPr="00C61BD6">
        <w:rPr>
          <w:rFonts w:cs="Arial"/>
          <w:sz w:val="21"/>
          <w:szCs w:val="21"/>
        </w:rPr>
        <w:t>principaux objectifs et indicateurs du projet, pour évaluer les investissements au niveau des exploitations</w:t>
      </w:r>
      <w:r w:rsidRPr="00C61BD6">
        <w:rPr>
          <w:rFonts w:cs="Arial"/>
          <w:spacing w:val="-6"/>
          <w:sz w:val="21"/>
          <w:szCs w:val="21"/>
        </w:rPr>
        <w:t xml:space="preserve"> </w:t>
      </w:r>
      <w:r w:rsidRPr="00C61BD6">
        <w:rPr>
          <w:rFonts w:cs="Arial"/>
          <w:sz w:val="21"/>
          <w:szCs w:val="21"/>
        </w:rPr>
        <w:t>et</w:t>
      </w:r>
      <w:r w:rsidRPr="00C61BD6">
        <w:rPr>
          <w:rFonts w:cs="Arial"/>
          <w:spacing w:val="-3"/>
          <w:sz w:val="21"/>
          <w:szCs w:val="21"/>
        </w:rPr>
        <w:t xml:space="preserve"> </w:t>
      </w:r>
      <w:r w:rsidRPr="00C61BD6">
        <w:rPr>
          <w:rFonts w:cs="Arial"/>
          <w:sz w:val="21"/>
          <w:szCs w:val="21"/>
        </w:rPr>
        <w:t>pour</w:t>
      </w:r>
      <w:r w:rsidRPr="00C61BD6">
        <w:rPr>
          <w:rFonts w:cs="Arial"/>
          <w:spacing w:val="-3"/>
          <w:sz w:val="21"/>
          <w:szCs w:val="21"/>
        </w:rPr>
        <w:t xml:space="preserve"> </w:t>
      </w:r>
      <w:r w:rsidRPr="00C61BD6">
        <w:rPr>
          <w:rFonts w:cs="Arial"/>
          <w:sz w:val="21"/>
          <w:szCs w:val="21"/>
        </w:rPr>
        <w:t>améliorer</w:t>
      </w:r>
      <w:r w:rsidRPr="00C61BD6">
        <w:rPr>
          <w:rFonts w:cs="Arial"/>
          <w:spacing w:val="-3"/>
          <w:sz w:val="21"/>
          <w:szCs w:val="21"/>
        </w:rPr>
        <w:t xml:space="preserve"> </w:t>
      </w:r>
      <w:r w:rsidRPr="00C61BD6">
        <w:rPr>
          <w:rFonts w:cs="Arial"/>
          <w:sz w:val="21"/>
          <w:szCs w:val="21"/>
        </w:rPr>
        <w:t>les</w:t>
      </w:r>
      <w:r w:rsidRPr="00C61BD6">
        <w:rPr>
          <w:rFonts w:cs="Arial"/>
          <w:spacing w:val="-2"/>
          <w:sz w:val="21"/>
          <w:szCs w:val="21"/>
        </w:rPr>
        <w:t xml:space="preserve"> </w:t>
      </w:r>
      <w:r w:rsidRPr="00C61BD6">
        <w:rPr>
          <w:rFonts w:cs="Arial"/>
          <w:sz w:val="21"/>
          <w:szCs w:val="21"/>
        </w:rPr>
        <w:t>interventions</w:t>
      </w:r>
      <w:r w:rsidRPr="00C61BD6">
        <w:rPr>
          <w:rFonts w:cs="Arial"/>
          <w:spacing w:val="-3"/>
          <w:sz w:val="21"/>
          <w:szCs w:val="21"/>
        </w:rPr>
        <w:t xml:space="preserve"> </w:t>
      </w:r>
      <w:r w:rsidRPr="00C61BD6">
        <w:rPr>
          <w:rFonts w:cs="Arial"/>
          <w:sz w:val="21"/>
          <w:szCs w:val="21"/>
        </w:rPr>
        <w:t>dans</w:t>
      </w:r>
      <w:r w:rsidRPr="00C61BD6">
        <w:rPr>
          <w:rFonts w:cs="Arial"/>
          <w:spacing w:val="-6"/>
          <w:sz w:val="21"/>
          <w:szCs w:val="21"/>
        </w:rPr>
        <w:t xml:space="preserve"> </w:t>
      </w:r>
      <w:r w:rsidRPr="00C61BD6">
        <w:rPr>
          <w:rFonts w:cs="Arial"/>
          <w:sz w:val="21"/>
          <w:szCs w:val="21"/>
        </w:rPr>
        <w:t>les</w:t>
      </w:r>
      <w:r w:rsidRPr="00C61BD6">
        <w:rPr>
          <w:rFonts w:cs="Arial"/>
          <w:spacing w:val="-3"/>
          <w:sz w:val="21"/>
          <w:szCs w:val="21"/>
        </w:rPr>
        <w:t xml:space="preserve"> </w:t>
      </w:r>
      <w:r w:rsidRPr="00C61BD6">
        <w:rPr>
          <w:rFonts w:cs="Arial"/>
          <w:sz w:val="21"/>
          <w:szCs w:val="21"/>
        </w:rPr>
        <w:t>phases</w:t>
      </w:r>
      <w:r w:rsidRPr="00C61BD6">
        <w:rPr>
          <w:rFonts w:cs="Arial"/>
          <w:spacing w:val="-3"/>
          <w:sz w:val="21"/>
          <w:szCs w:val="21"/>
        </w:rPr>
        <w:t xml:space="preserve"> </w:t>
      </w:r>
      <w:r w:rsidRPr="00C61BD6">
        <w:rPr>
          <w:rFonts w:cs="Arial"/>
          <w:sz w:val="21"/>
          <w:szCs w:val="21"/>
        </w:rPr>
        <w:t>futures.</w:t>
      </w:r>
      <w:r w:rsidRPr="00C61BD6">
        <w:rPr>
          <w:rFonts w:cs="Arial"/>
          <w:spacing w:val="-4"/>
          <w:sz w:val="21"/>
          <w:szCs w:val="21"/>
        </w:rPr>
        <w:t xml:space="preserve"> </w:t>
      </w:r>
      <w:r w:rsidRPr="00C61BD6">
        <w:rPr>
          <w:rFonts w:cs="Arial"/>
          <w:sz w:val="21"/>
          <w:szCs w:val="21"/>
        </w:rPr>
        <w:t>L'apprentissage</w:t>
      </w:r>
      <w:r w:rsidRPr="00C61BD6">
        <w:rPr>
          <w:rFonts w:cs="Arial"/>
          <w:spacing w:val="-3"/>
          <w:sz w:val="21"/>
          <w:szCs w:val="21"/>
        </w:rPr>
        <w:t xml:space="preserve"> </w:t>
      </w:r>
      <w:r w:rsidRPr="00C61BD6">
        <w:rPr>
          <w:rFonts w:cs="Arial"/>
          <w:sz w:val="21"/>
          <w:szCs w:val="21"/>
        </w:rPr>
        <w:t>adaptatif</w:t>
      </w:r>
      <w:r w:rsidRPr="00C61BD6">
        <w:rPr>
          <w:rFonts w:cs="Arial"/>
          <w:spacing w:val="-4"/>
          <w:sz w:val="21"/>
          <w:szCs w:val="21"/>
        </w:rPr>
        <w:t xml:space="preserve"> </w:t>
      </w:r>
      <w:r w:rsidRPr="00C61BD6">
        <w:rPr>
          <w:rFonts w:cs="Arial"/>
          <w:sz w:val="21"/>
          <w:szCs w:val="21"/>
        </w:rPr>
        <w:t>du déploiement</w:t>
      </w:r>
      <w:r w:rsidRPr="00C61BD6">
        <w:rPr>
          <w:rFonts w:cs="Arial"/>
          <w:spacing w:val="-31"/>
          <w:sz w:val="21"/>
          <w:szCs w:val="21"/>
        </w:rPr>
        <w:t xml:space="preserve"> </w:t>
      </w:r>
      <w:r w:rsidRPr="00C61BD6">
        <w:rPr>
          <w:rFonts w:cs="Arial"/>
          <w:sz w:val="21"/>
          <w:szCs w:val="21"/>
        </w:rPr>
        <w:t>opérationnel,</w:t>
      </w:r>
      <w:r w:rsidRPr="00C61BD6">
        <w:rPr>
          <w:rFonts w:cs="Arial"/>
          <w:spacing w:val="-30"/>
          <w:sz w:val="21"/>
          <w:szCs w:val="21"/>
        </w:rPr>
        <w:t xml:space="preserve"> </w:t>
      </w:r>
      <w:r w:rsidRPr="00C61BD6">
        <w:rPr>
          <w:rFonts w:cs="Arial"/>
          <w:sz w:val="21"/>
          <w:szCs w:val="21"/>
        </w:rPr>
        <w:t>avec</w:t>
      </w:r>
      <w:r w:rsidRPr="00C61BD6">
        <w:rPr>
          <w:rFonts w:cs="Arial"/>
          <w:spacing w:val="-30"/>
          <w:sz w:val="21"/>
          <w:szCs w:val="21"/>
        </w:rPr>
        <w:t xml:space="preserve"> </w:t>
      </w:r>
      <w:r w:rsidRPr="00C61BD6">
        <w:rPr>
          <w:rFonts w:cs="Arial"/>
          <w:sz w:val="21"/>
          <w:szCs w:val="21"/>
        </w:rPr>
        <w:t>la</w:t>
      </w:r>
      <w:r w:rsidRPr="00C61BD6">
        <w:rPr>
          <w:rFonts w:cs="Arial"/>
          <w:spacing w:val="-29"/>
          <w:sz w:val="21"/>
          <w:szCs w:val="21"/>
        </w:rPr>
        <w:t xml:space="preserve"> </w:t>
      </w:r>
      <w:r w:rsidRPr="00C61BD6">
        <w:rPr>
          <w:rFonts w:cs="Arial"/>
          <w:sz w:val="21"/>
          <w:szCs w:val="21"/>
        </w:rPr>
        <w:t>documentation</w:t>
      </w:r>
      <w:r w:rsidRPr="00C61BD6">
        <w:rPr>
          <w:rFonts w:cs="Arial"/>
          <w:spacing w:val="-29"/>
          <w:sz w:val="21"/>
          <w:szCs w:val="21"/>
        </w:rPr>
        <w:t xml:space="preserve"> </w:t>
      </w:r>
      <w:r w:rsidRPr="00C61BD6">
        <w:rPr>
          <w:rFonts w:cs="Arial"/>
          <w:sz w:val="21"/>
          <w:szCs w:val="21"/>
        </w:rPr>
        <w:t>nécessaire,</w:t>
      </w:r>
      <w:r w:rsidRPr="00C61BD6">
        <w:rPr>
          <w:rFonts w:cs="Arial"/>
          <w:spacing w:val="-30"/>
          <w:sz w:val="21"/>
          <w:szCs w:val="21"/>
        </w:rPr>
        <w:t xml:space="preserve"> </w:t>
      </w:r>
      <w:r w:rsidRPr="00C61BD6">
        <w:rPr>
          <w:rFonts w:cs="Arial"/>
          <w:sz w:val="21"/>
          <w:szCs w:val="21"/>
        </w:rPr>
        <w:t>est</w:t>
      </w:r>
      <w:r w:rsidRPr="00C61BD6">
        <w:rPr>
          <w:rFonts w:cs="Arial"/>
          <w:spacing w:val="-30"/>
          <w:sz w:val="21"/>
          <w:szCs w:val="21"/>
        </w:rPr>
        <w:t xml:space="preserve"> </w:t>
      </w:r>
      <w:r w:rsidRPr="00C61BD6">
        <w:rPr>
          <w:rFonts w:cs="Arial"/>
          <w:sz w:val="21"/>
          <w:szCs w:val="21"/>
        </w:rPr>
        <w:t>au</w:t>
      </w:r>
      <w:r w:rsidRPr="00C61BD6">
        <w:rPr>
          <w:rFonts w:cs="Arial"/>
          <w:spacing w:val="-30"/>
          <w:sz w:val="21"/>
          <w:szCs w:val="21"/>
        </w:rPr>
        <w:t xml:space="preserve"> </w:t>
      </w:r>
      <w:r w:rsidRPr="00C61BD6">
        <w:rPr>
          <w:rFonts w:cs="Arial"/>
          <w:sz w:val="21"/>
          <w:szCs w:val="21"/>
        </w:rPr>
        <w:t>cœur</w:t>
      </w:r>
      <w:r w:rsidRPr="00C61BD6">
        <w:rPr>
          <w:rFonts w:cs="Arial"/>
          <w:spacing w:val="-29"/>
          <w:sz w:val="21"/>
          <w:szCs w:val="21"/>
        </w:rPr>
        <w:t xml:space="preserve"> </w:t>
      </w:r>
      <w:r w:rsidRPr="00C61BD6">
        <w:rPr>
          <w:rFonts w:cs="Arial"/>
          <w:sz w:val="21"/>
          <w:szCs w:val="21"/>
        </w:rPr>
        <w:t>du</w:t>
      </w:r>
      <w:r w:rsidRPr="00C61BD6">
        <w:rPr>
          <w:rFonts w:cs="Arial"/>
          <w:spacing w:val="-30"/>
          <w:sz w:val="21"/>
          <w:szCs w:val="21"/>
        </w:rPr>
        <w:t xml:space="preserve"> </w:t>
      </w:r>
      <w:r w:rsidRPr="00C61BD6">
        <w:rPr>
          <w:rFonts w:cs="Arial"/>
          <w:sz w:val="21"/>
          <w:szCs w:val="21"/>
        </w:rPr>
        <w:t>système</w:t>
      </w:r>
      <w:r w:rsidRPr="00C61BD6">
        <w:rPr>
          <w:rFonts w:cs="Arial"/>
          <w:spacing w:val="-30"/>
          <w:sz w:val="21"/>
          <w:szCs w:val="21"/>
        </w:rPr>
        <w:t xml:space="preserve"> </w:t>
      </w:r>
      <w:r w:rsidRPr="00C61BD6">
        <w:rPr>
          <w:rFonts w:cs="Arial"/>
          <w:sz w:val="21"/>
          <w:szCs w:val="21"/>
        </w:rPr>
        <w:t>de</w:t>
      </w:r>
      <w:r w:rsidRPr="00C61BD6">
        <w:rPr>
          <w:rFonts w:cs="Arial"/>
          <w:spacing w:val="-29"/>
          <w:sz w:val="21"/>
          <w:szCs w:val="21"/>
        </w:rPr>
        <w:t xml:space="preserve"> </w:t>
      </w:r>
      <w:r w:rsidRPr="00C61BD6">
        <w:rPr>
          <w:rFonts w:cs="Arial"/>
          <w:sz w:val="21"/>
          <w:szCs w:val="21"/>
        </w:rPr>
        <w:t>suivi</w:t>
      </w:r>
      <w:r w:rsidRPr="00C61BD6">
        <w:rPr>
          <w:rFonts w:cs="Arial"/>
          <w:spacing w:val="-31"/>
          <w:sz w:val="21"/>
          <w:szCs w:val="21"/>
        </w:rPr>
        <w:t xml:space="preserve"> </w:t>
      </w:r>
      <w:r w:rsidRPr="00C61BD6">
        <w:rPr>
          <w:rFonts w:cs="Arial"/>
          <w:sz w:val="21"/>
          <w:szCs w:val="21"/>
        </w:rPr>
        <w:t>et d'évaluation du</w:t>
      </w:r>
      <w:r w:rsidRPr="00C61BD6">
        <w:rPr>
          <w:rFonts w:cs="Arial"/>
          <w:spacing w:val="-6"/>
          <w:sz w:val="21"/>
          <w:szCs w:val="21"/>
        </w:rPr>
        <w:t xml:space="preserve"> </w:t>
      </w:r>
      <w:r w:rsidRPr="00C61BD6">
        <w:rPr>
          <w:rFonts w:cs="Arial"/>
          <w:sz w:val="21"/>
          <w:szCs w:val="21"/>
        </w:rPr>
        <w:t>projet.</w:t>
      </w:r>
    </w:p>
    <w:p w14:paraId="4BB0D395" w14:textId="77777777" w:rsidR="00CC5A5F" w:rsidRPr="00C61BD6" w:rsidRDefault="00CC5A5F" w:rsidP="00CC5A5F">
      <w:pPr>
        <w:pStyle w:val="Corpsdetexte"/>
        <w:ind w:right="95"/>
        <w:rPr>
          <w:rFonts w:cs="Arial"/>
          <w:sz w:val="21"/>
          <w:szCs w:val="21"/>
        </w:rPr>
      </w:pPr>
    </w:p>
    <w:p w14:paraId="59B1CC6D" w14:textId="4402F999" w:rsidR="00CC5A5F" w:rsidRPr="00C61BD6" w:rsidRDefault="00CC5A5F" w:rsidP="002B797B">
      <w:pPr>
        <w:pStyle w:val="Corpsdetexte"/>
        <w:spacing w:line="259" w:lineRule="auto"/>
        <w:ind w:right="95"/>
        <w:rPr>
          <w:rFonts w:cs="Arial"/>
          <w:sz w:val="21"/>
          <w:szCs w:val="21"/>
        </w:rPr>
      </w:pPr>
      <w:r w:rsidRPr="00C61BD6">
        <w:rPr>
          <w:rFonts w:cs="Arial"/>
          <w:sz w:val="21"/>
          <w:szCs w:val="21"/>
        </w:rPr>
        <w:t>Les phases ultérieures établiront progressivement des liens avec les chaînes de valeur régionales, les investissements agro-industriels plus importants, les infrastructures rurales et les efforts visant à réduire</w:t>
      </w:r>
      <w:r w:rsidRPr="00C61BD6">
        <w:rPr>
          <w:rFonts w:cs="Arial"/>
          <w:spacing w:val="-8"/>
          <w:sz w:val="21"/>
          <w:szCs w:val="21"/>
        </w:rPr>
        <w:t xml:space="preserve"> </w:t>
      </w:r>
      <w:r w:rsidRPr="00C61BD6">
        <w:rPr>
          <w:rFonts w:cs="Arial"/>
          <w:sz w:val="21"/>
          <w:szCs w:val="21"/>
        </w:rPr>
        <w:t>la</w:t>
      </w:r>
      <w:r w:rsidRPr="00C61BD6">
        <w:rPr>
          <w:rFonts w:cs="Arial"/>
          <w:spacing w:val="-10"/>
          <w:sz w:val="21"/>
          <w:szCs w:val="21"/>
        </w:rPr>
        <w:t xml:space="preserve"> </w:t>
      </w:r>
      <w:r w:rsidRPr="00C61BD6">
        <w:rPr>
          <w:rFonts w:cs="Arial"/>
          <w:sz w:val="21"/>
          <w:szCs w:val="21"/>
        </w:rPr>
        <w:t>malnutrition</w:t>
      </w:r>
      <w:r w:rsidRPr="00C61BD6">
        <w:rPr>
          <w:rFonts w:cs="Arial"/>
          <w:spacing w:val="-9"/>
          <w:sz w:val="21"/>
          <w:szCs w:val="21"/>
        </w:rPr>
        <w:t xml:space="preserve"> </w:t>
      </w:r>
      <w:r w:rsidRPr="00C61BD6">
        <w:rPr>
          <w:rFonts w:cs="Arial"/>
          <w:sz w:val="21"/>
          <w:szCs w:val="21"/>
        </w:rPr>
        <w:t>et</w:t>
      </w:r>
      <w:r w:rsidRPr="00C61BD6">
        <w:rPr>
          <w:rFonts w:cs="Arial"/>
          <w:spacing w:val="-8"/>
          <w:sz w:val="21"/>
          <w:szCs w:val="21"/>
        </w:rPr>
        <w:t xml:space="preserve"> </w:t>
      </w:r>
      <w:r w:rsidRPr="00C61BD6">
        <w:rPr>
          <w:rFonts w:cs="Arial"/>
          <w:sz w:val="21"/>
          <w:szCs w:val="21"/>
        </w:rPr>
        <w:t>la</w:t>
      </w:r>
      <w:r w:rsidRPr="00C61BD6">
        <w:rPr>
          <w:rFonts w:cs="Arial"/>
          <w:spacing w:val="-10"/>
          <w:sz w:val="21"/>
          <w:szCs w:val="21"/>
        </w:rPr>
        <w:t xml:space="preserve"> </w:t>
      </w:r>
      <w:r w:rsidRPr="00C61BD6">
        <w:rPr>
          <w:rFonts w:cs="Arial"/>
          <w:sz w:val="21"/>
          <w:szCs w:val="21"/>
        </w:rPr>
        <w:t>dégradation</w:t>
      </w:r>
      <w:r w:rsidRPr="00C61BD6">
        <w:rPr>
          <w:rFonts w:cs="Arial"/>
          <w:spacing w:val="-9"/>
          <w:sz w:val="21"/>
          <w:szCs w:val="21"/>
        </w:rPr>
        <w:t xml:space="preserve"> </w:t>
      </w:r>
      <w:r w:rsidRPr="00C61BD6">
        <w:rPr>
          <w:rFonts w:cs="Arial"/>
          <w:sz w:val="21"/>
          <w:szCs w:val="21"/>
        </w:rPr>
        <w:t>des</w:t>
      </w:r>
      <w:r w:rsidRPr="00C61BD6">
        <w:rPr>
          <w:rFonts w:cs="Arial"/>
          <w:spacing w:val="-6"/>
          <w:sz w:val="21"/>
          <w:szCs w:val="21"/>
        </w:rPr>
        <w:t xml:space="preserve"> </w:t>
      </w:r>
      <w:r w:rsidRPr="00C61BD6">
        <w:rPr>
          <w:rFonts w:cs="Arial"/>
          <w:sz w:val="21"/>
          <w:szCs w:val="21"/>
        </w:rPr>
        <w:t>ressources</w:t>
      </w:r>
      <w:r w:rsidRPr="00C61BD6">
        <w:rPr>
          <w:rFonts w:cs="Arial"/>
          <w:spacing w:val="-7"/>
          <w:sz w:val="21"/>
          <w:szCs w:val="21"/>
        </w:rPr>
        <w:t xml:space="preserve"> </w:t>
      </w:r>
      <w:r w:rsidRPr="00C61BD6">
        <w:rPr>
          <w:rFonts w:cs="Arial"/>
          <w:sz w:val="21"/>
          <w:szCs w:val="21"/>
        </w:rPr>
        <w:t>naturelles.</w:t>
      </w:r>
      <w:r w:rsidRPr="00C61BD6">
        <w:rPr>
          <w:rFonts w:cs="Arial"/>
          <w:spacing w:val="-10"/>
          <w:sz w:val="21"/>
          <w:szCs w:val="21"/>
        </w:rPr>
        <w:t xml:space="preserve"> </w:t>
      </w:r>
      <w:r w:rsidRPr="00C61BD6">
        <w:rPr>
          <w:rFonts w:cs="Arial"/>
          <w:sz w:val="21"/>
          <w:szCs w:val="21"/>
        </w:rPr>
        <w:t>L</w:t>
      </w:r>
      <w:r w:rsidR="005068C4" w:rsidRPr="00C61BD6">
        <w:rPr>
          <w:rFonts w:cs="Arial"/>
          <w:sz w:val="21"/>
          <w:szCs w:val="21"/>
        </w:rPr>
        <w:t xml:space="preserve">a série </w:t>
      </w:r>
      <w:r w:rsidRPr="00C61BD6">
        <w:rPr>
          <w:rFonts w:cs="Arial"/>
          <w:sz w:val="21"/>
          <w:szCs w:val="21"/>
        </w:rPr>
        <w:t>des projets proposés</w:t>
      </w:r>
      <w:r w:rsidRPr="00C61BD6">
        <w:rPr>
          <w:rFonts w:cs="Arial"/>
          <w:spacing w:val="-10"/>
          <w:sz w:val="21"/>
          <w:szCs w:val="21"/>
        </w:rPr>
        <w:t xml:space="preserve"> </w:t>
      </w:r>
      <w:r w:rsidRPr="00C61BD6">
        <w:rPr>
          <w:rFonts w:cs="Arial"/>
          <w:sz w:val="21"/>
          <w:szCs w:val="21"/>
        </w:rPr>
        <w:t>évoluera</w:t>
      </w:r>
      <w:r w:rsidRPr="00C61BD6">
        <w:rPr>
          <w:rFonts w:cs="Arial"/>
          <w:spacing w:val="-8"/>
          <w:sz w:val="21"/>
          <w:szCs w:val="21"/>
        </w:rPr>
        <w:t xml:space="preserve"> </w:t>
      </w:r>
      <w:r w:rsidRPr="00C61BD6">
        <w:rPr>
          <w:rFonts w:cs="Arial"/>
          <w:sz w:val="21"/>
          <w:szCs w:val="21"/>
        </w:rPr>
        <w:t>vers</w:t>
      </w:r>
      <w:r w:rsidRPr="00C61BD6">
        <w:rPr>
          <w:rFonts w:cs="Arial"/>
          <w:spacing w:val="-9"/>
          <w:sz w:val="21"/>
          <w:szCs w:val="21"/>
        </w:rPr>
        <w:t xml:space="preserve"> </w:t>
      </w:r>
      <w:r w:rsidRPr="00C61BD6">
        <w:rPr>
          <w:rFonts w:cs="Arial"/>
          <w:sz w:val="21"/>
          <w:szCs w:val="21"/>
        </w:rPr>
        <w:t>une</w:t>
      </w:r>
      <w:r w:rsidRPr="00C61BD6">
        <w:rPr>
          <w:rFonts w:cs="Arial"/>
          <w:spacing w:val="-6"/>
          <w:sz w:val="21"/>
          <w:szCs w:val="21"/>
        </w:rPr>
        <w:t xml:space="preserve"> </w:t>
      </w:r>
      <w:r w:rsidRPr="00C61BD6">
        <w:rPr>
          <w:rFonts w:cs="Arial"/>
          <w:sz w:val="21"/>
          <w:szCs w:val="21"/>
        </w:rPr>
        <w:t>approche du développement de la chaîne de valeur et de la connectivité rurale basée sur le marché, en investissant davantage dans le renforcement de la résilience du secteur agricole et des zones rurales par</w:t>
      </w:r>
      <w:r w:rsidRPr="00C61BD6">
        <w:rPr>
          <w:rFonts w:cs="Arial"/>
          <w:spacing w:val="-13"/>
          <w:sz w:val="21"/>
          <w:szCs w:val="21"/>
        </w:rPr>
        <w:t xml:space="preserve"> </w:t>
      </w:r>
      <w:r w:rsidRPr="00C61BD6">
        <w:rPr>
          <w:rFonts w:cs="Arial"/>
          <w:sz w:val="21"/>
          <w:szCs w:val="21"/>
        </w:rPr>
        <w:t>une</w:t>
      </w:r>
      <w:r w:rsidRPr="00C61BD6">
        <w:rPr>
          <w:rFonts w:cs="Arial"/>
          <w:spacing w:val="-13"/>
          <w:sz w:val="21"/>
          <w:szCs w:val="21"/>
        </w:rPr>
        <w:t xml:space="preserve"> </w:t>
      </w:r>
      <w:r w:rsidRPr="00C61BD6">
        <w:rPr>
          <w:rFonts w:cs="Arial"/>
          <w:sz w:val="21"/>
          <w:szCs w:val="21"/>
        </w:rPr>
        <w:t>meilleure</w:t>
      </w:r>
      <w:r w:rsidRPr="00C61BD6">
        <w:rPr>
          <w:rFonts w:cs="Arial"/>
          <w:spacing w:val="-13"/>
          <w:sz w:val="21"/>
          <w:szCs w:val="21"/>
        </w:rPr>
        <w:t xml:space="preserve"> </w:t>
      </w:r>
      <w:r w:rsidRPr="00C61BD6">
        <w:rPr>
          <w:rFonts w:cs="Arial"/>
          <w:sz w:val="21"/>
          <w:szCs w:val="21"/>
        </w:rPr>
        <w:t>gestion</w:t>
      </w:r>
      <w:r w:rsidRPr="00C61BD6">
        <w:rPr>
          <w:rFonts w:cs="Arial"/>
          <w:spacing w:val="-13"/>
          <w:sz w:val="21"/>
          <w:szCs w:val="21"/>
        </w:rPr>
        <w:t xml:space="preserve"> </w:t>
      </w:r>
      <w:r w:rsidRPr="00C61BD6">
        <w:rPr>
          <w:rFonts w:cs="Arial"/>
          <w:sz w:val="21"/>
          <w:szCs w:val="21"/>
        </w:rPr>
        <w:t>des</w:t>
      </w:r>
      <w:r w:rsidRPr="00C61BD6">
        <w:rPr>
          <w:rFonts w:cs="Arial"/>
          <w:spacing w:val="-13"/>
          <w:sz w:val="21"/>
          <w:szCs w:val="21"/>
        </w:rPr>
        <w:t xml:space="preserve"> </w:t>
      </w:r>
      <w:r w:rsidRPr="00C61BD6">
        <w:rPr>
          <w:rFonts w:cs="Arial"/>
          <w:sz w:val="21"/>
          <w:szCs w:val="21"/>
        </w:rPr>
        <w:t>ressources</w:t>
      </w:r>
      <w:r w:rsidRPr="00C61BD6">
        <w:rPr>
          <w:rFonts w:cs="Arial"/>
          <w:spacing w:val="-12"/>
          <w:sz w:val="21"/>
          <w:szCs w:val="21"/>
        </w:rPr>
        <w:t xml:space="preserve"> </w:t>
      </w:r>
      <w:r w:rsidRPr="00C61BD6">
        <w:rPr>
          <w:rFonts w:cs="Arial"/>
          <w:sz w:val="21"/>
          <w:szCs w:val="21"/>
        </w:rPr>
        <w:t>naturelles</w:t>
      </w:r>
      <w:r w:rsidRPr="00C61BD6">
        <w:rPr>
          <w:rFonts w:cs="Arial"/>
          <w:spacing w:val="-12"/>
          <w:sz w:val="21"/>
          <w:szCs w:val="21"/>
        </w:rPr>
        <w:t xml:space="preserve"> </w:t>
      </w:r>
      <w:r w:rsidRPr="00C61BD6">
        <w:rPr>
          <w:rFonts w:cs="Arial"/>
          <w:sz w:val="21"/>
          <w:szCs w:val="21"/>
        </w:rPr>
        <w:t>au</w:t>
      </w:r>
      <w:r w:rsidRPr="00C61BD6">
        <w:rPr>
          <w:rFonts w:cs="Arial"/>
          <w:spacing w:val="-15"/>
          <w:sz w:val="21"/>
          <w:szCs w:val="21"/>
        </w:rPr>
        <w:t xml:space="preserve"> </w:t>
      </w:r>
      <w:r w:rsidRPr="00C61BD6">
        <w:rPr>
          <w:rFonts w:cs="Arial"/>
          <w:sz w:val="21"/>
          <w:szCs w:val="21"/>
        </w:rPr>
        <w:t>niveau</w:t>
      </w:r>
      <w:r w:rsidRPr="00C61BD6">
        <w:rPr>
          <w:rFonts w:cs="Arial"/>
          <w:spacing w:val="-14"/>
          <w:sz w:val="21"/>
          <w:szCs w:val="21"/>
        </w:rPr>
        <w:t xml:space="preserve"> </w:t>
      </w:r>
      <w:r w:rsidRPr="00C61BD6">
        <w:rPr>
          <w:rFonts w:cs="Arial"/>
          <w:sz w:val="21"/>
          <w:szCs w:val="21"/>
        </w:rPr>
        <w:t>du</w:t>
      </w:r>
      <w:r w:rsidRPr="00C61BD6">
        <w:rPr>
          <w:rFonts w:cs="Arial"/>
          <w:spacing w:val="-14"/>
          <w:sz w:val="21"/>
          <w:szCs w:val="21"/>
        </w:rPr>
        <w:t xml:space="preserve"> </w:t>
      </w:r>
      <w:r w:rsidRPr="00C61BD6">
        <w:rPr>
          <w:rFonts w:cs="Arial"/>
          <w:sz w:val="21"/>
          <w:szCs w:val="21"/>
        </w:rPr>
        <w:t>paysage.</w:t>
      </w:r>
      <w:r w:rsidRPr="00C61BD6">
        <w:rPr>
          <w:rFonts w:cs="Arial"/>
          <w:spacing w:val="-13"/>
          <w:sz w:val="21"/>
          <w:szCs w:val="21"/>
        </w:rPr>
        <w:t xml:space="preserve"> </w:t>
      </w:r>
      <w:r w:rsidRPr="00C61BD6">
        <w:rPr>
          <w:rFonts w:cs="Arial"/>
          <w:sz w:val="21"/>
          <w:szCs w:val="21"/>
        </w:rPr>
        <w:t>Cela</w:t>
      </w:r>
      <w:r w:rsidRPr="00C61BD6">
        <w:rPr>
          <w:rFonts w:cs="Arial"/>
          <w:spacing w:val="-13"/>
          <w:sz w:val="21"/>
          <w:szCs w:val="21"/>
        </w:rPr>
        <w:t xml:space="preserve"> </w:t>
      </w:r>
      <w:r w:rsidRPr="00C61BD6">
        <w:rPr>
          <w:rFonts w:cs="Arial"/>
          <w:sz w:val="21"/>
          <w:szCs w:val="21"/>
        </w:rPr>
        <w:t>permettra</w:t>
      </w:r>
      <w:r w:rsidRPr="00C61BD6">
        <w:rPr>
          <w:rFonts w:cs="Arial"/>
          <w:spacing w:val="-13"/>
          <w:sz w:val="21"/>
          <w:szCs w:val="21"/>
        </w:rPr>
        <w:t xml:space="preserve"> </w:t>
      </w:r>
      <w:r w:rsidRPr="00C61BD6">
        <w:rPr>
          <w:rFonts w:cs="Arial"/>
          <w:sz w:val="21"/>
          <w:szCs w:val="21"/>
        </w:rPr>
        <w:t>d'augmenter et de diversifier les revenus agricoles de manière intégrée et durable tout en préservant la base de ressources naturelles dont dépendent la production agricole et les revenus des ménages</w:t>
      </w:r>
      <w:r w:rsidRPr="00C61BD6">
        <w:rPr>
          <w:rFonts w:cs="Arial"/>
          <w:spacing w:val="-16"/>
          <w:sz w:val="21"/>
          <w:szCs w:val="21"/>
        </w:rPr>
        <w:t xml:space="preserve"> </w:t>
      </w:r>
      <w:r w:rsidRPr="00C61BD6">
        <w:rPr>
          <w:rFonts w:cs="Arial"/>
          <w:sz w:val="21"/>
          <w:szCs w:val="21"/>
        </w:rPr>
        <w:t>ruraux</w:t>
      </w:r>
      <w:r w:rsidRPr="00C61BD6">
        <w:rPr>
          <w:rStyle w:val="Appelnotedebasdep"/>
          <w:rFonts w:cs="Arial"/>
          <w:sz w:val="21"/>
          <w:szCs w:val="21"/>
        </w:rPr>
        <w:footnoteReference w:id="14"/>
      </w:r>
      <w:r w:rsidRPr="00C61BD6">
        <w:rPr>
          <w:rFonts w:cs="Arial"/>
          <w:sz w:val="21"/>
          <w:szCs w:val="21"/>
        </w:rPr>
        <w:t>.</w:t>
      </w:r>
    </w:p>
    <w:p w14:paraId="13F869BB" w14:textId="77777777" w:rsidR="002B797B" w:rsidRPr="00C61BD6" w:rsidRDefault="002B797B" w:rsidP="002B797B">
      <w:pPr>
        <w:pStyle w:val="Corpsdetexte"/>
        <w:rPr>
          <w:rFonts w:cs="Arial"/>
          <w:sz w:val="21"/>
          <w:szCs w:val="21"/>
        </w:rPr>
      </w:pPr>
    </w:p>
    <w:p w14:paraId="1310385E" w14:textId="77777777" w:rsidR="00AD2C4C" w:rsidRDefault="00AD2C4C">
      <w:pPr>
        <w:spacing w:line="240" w:lineRule="auto"/>
        <w:jc w:val="left"/>
        <w:rPr>
          <w:rFonts w:eastAsia="MS Mincho" w:cs="Arial"/>
          <w:szCs w:val="21"/>
        </w:rPr>
      </w:pPr>
      <w:r>
        <w:rPr>
          <w:rFonts w:cs="Arial"/>
          <w:szCs w:val="21"/>
        </w:rPr>
        <w:br w:type="page"/>
      </w:r>
    </w:p>
    <w:p w14:paraId="2BB8A266" w14:textId="524635A9" w:rsidR="002B797B" w:rsidRPr="00C61BD6" w:rsidRDefault="00AD2C4C" w:rsidP="002B797B">
      <w:pPr>
        <w:pStyle w:val="Corpsdetexte"/>
        <w:rPr>
          <w:rFonts w:cs="Arial"/>
          <w:sz w:val="21"/>
          <w:szCs w:val="21"/>
        </w:rPr>
      </w:pPr>
      <w:bookmarkStart w:id="242" w:name="_Toc90392969"/>
      <w:r w:rsidRPr="00C61BD6">
        <w:rPr>
          <w:rFonts w:cs="Arial"/>
          <w:sz w:val="21"/>
          <w:szCs w:val="21"/>
        </w:rPr>
        <w:t xml:space="preserve">Tableau </w:t>
      </w:r>
      <w:r w:rsidRPr="00AD2C4C">
        <w:rPr>
          <w:rFonts w:cs="Arial"/>
          <w:sz w:val="21"/>
          <w:szCs w:val="21"/>
        </w:rPr>
        <w:fldChar w:fldCharType="begin"/>
      </w:r>
      <w:r w:rsidRPr="00AD2C4C">
        <w:rPr>
          <w:rFonts w:cs="Arial"/>
          <w:sz w:val="21"/>
          <w:szCs w:val="21"/>
        </w:rPr>
        <w:instrText xml:space="preserve"> SEQ Tableau \* ARABIC </w:instrText>
      </w:r>
      <w:r w:rsidRPr="00AD2C4C">
        <w:rPr>
          <w:rFonts w:cs="Arial"/>
          <w:sz w:val="21"/>
          <w:szCs w:val="21"/>
        </w:rPr>
        <w:fldChar w:fldCharType="separate"/>
      </w:r>
      <w:r w:rsidRPr="00AD2C4C">
        <w:rPr>
          <w:rFonts w:cs="Arial"/>
          <w:noProof/>
          <w:sz w:val="21"/>
          <w:szCs w:val="21"/>
        </w:rPr>
        <w:t>1</w:t>
      </w:r>
      <w:r w:rsidRPr="00AD2C4C">
        <w:rPr>
          <w:rFonts w:cs="Arial"/>
          <w:sz w:val="21"/>
          <w:szCs w:val="21"/>
        </w:rPr>
        <w:fldChar w:fldCharType="end"/>
      </w:r>
      <w:r w:rsidRPr="00C61BD6">
        <w:rPr>
          <w:rFonts w:cs="Arial"/>
          <w:sz w:val="21"/>
          <w:szCs w:val="21"/>
        </w:rPr>
        <w:t xml:space="preserve">. </w:t>
      </w:r>
      <w:r w:rsidR="002B797B" w:rsidRPr="00C61BD6">
        <w:rPr>
          <w:rFonts w:cs="Arial"/>
          <w:sz w:val="21"/>
          <w:szCs w:val="21"/>
        </w:rPr>
        <w:t>Approche de la série des projets</w:t>
      </w:r>
      <w:bookmarkEnd w:id="242"/>
    </w:p>
    <w:p w14:paraId="617D8BD4" w14:textId="77777777" w:rsidR="002B797B" w:rsidRPr="00C61BD6" w:rsidRDefault="002B797B" w:rsidP="002B797B">
      <w:pPr>
        <w:pStyle w:val="Corpsdetexte"/>
        <w:spacing w:before="105" w:after="25"/>
        <w:rPr>
          <w:rFonts w:cs="Arial"/>
          <w:sz w:val="21"/>
          <w:szCs w:val="21"/>
        </w:rPr>
      </w:pPr>
    </w:p>
    <w:tbl>
      <w:tblPr>
        <w:tblStyle w:val="TableNormal"/>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2"/>
        <w:gridCol w:w="2607"/>
        <w:gridCol w:w="2609"/>
        <w:gridCol w:w="2673"/>
      </w:tblGrid>
      <w:tr w:rsidR="002B797B" w:rsidRPr="00C61BD6" w14:paraId="7572AD56" w14:textId="77777777" w:rsidTr="00FB62E1">
        <w:trPr>
          <w:trHeight w:val="290"/>
        </w:trPr>
        <w:tc>
          <w:tcPr>
            <w:tcW w:w="1892" w:type="dxa"/>
          </w:tcPr>
          <w:p w14:paraId="20B76961" w14:textId="77777777" w:rsidR="002B797B" w:rsidRPr="00AD2C4C" w:rsidRDefault="002B797B" w:rsidP="00FB62E1">
            <w:pPr>
              <w:pStyle w:val="TableParagraph"/>
              <w:jc w:val="both"/>
              <w:rPr>
                <w:sz w:val="20"/>
                <w:szCs w:val="20"/>
                <w:lang w:val="fr-FR"/>
              </w:rPr>
            </w:pPr>
          </w:p>
        </w:tc>
        <w:tc>
          <w:tcPr>
            <w:tcW w:w="2607" w:type="dxa"/>
            <w:shd w:val="clear" w:color="auto" w:fill="E7E6E6"/>
          </w:tcPr>
          <w:p w14:paraId="37526217" w14:textId="77777777" w:rsidR="002B797B" w:rsidRPr="00AD2C4C" w:rsidRDefault="002B797B" w:rsidP="00FB62E1">
            <w:pPr>
              <w:pStyle w:val="TableParagraph"/>
              <w:spacing w:line="265" w:lineRule="exact"/>
              <w:jc w:val="center"/>
              <w:rPr>
                <w:sz w:val="20"/>
                <w:szCs w:val="20"/>
              </w:rPr>
            </w:pPr>
            <w:r w:rsidRPr="00AD2C4C">
              <w:rPr>
                <w:sz w:val="20"/>
                <w:szCs w:val="20"/>
              </w:rPr>
              <w:t>Phase 1</w:t>
            </w:r>
          </w:p>
        </w:tc>
        <w:tc>
          <w:tcPr>
            <w:tcW w:w="2609" w:type="dxa"/>
            <w:shd w:val="clear" w:color="auto" w:fill="E7E6E6"/>
          </w:tcPr>
          <w:p w14:paraId="6E89DA81" w14:textId="77777777" w:rsidR="002B797B" w:rsidRPr="00AD2C4C" w:rsidRDefault="002B797B" w:rsidP="00FB62E1">
            <w:pPr>
              <w:pStyle w:val="TableParagraph"/>
              <w:spacing w:line="265" w:lineRule="exact"/>
              <w:ind w:left="109"/>
              <w:jc w:val="center"/>
              <w:rPr>
                <w:sz w:val="20"/>
                <w:szCs w:val="20"/>
              </w:rPr>
            </w:pPr>
            <w:r w:rsidRPr="00AD2C4C">
              <w:rPr>
                <w:sz w:val="20"/>
                <w:szCs w:val="20"/>
              </w:rPr>
              <w:t>Phase 2</w:t>
            </w:r>
          </w:p>
        </w:tc>
        <w:tc>
          <w:tcPr>
            <w:tcW w:w="2673" w:type="dxa"/>
            <w:shd w:val="clear" w:color="auto" w:fill="E7E6E6"/>
          </w:tcPr>
          <w:p w14:paraId="39907203" w14:textId="77777777" w:rsidR="002B797B" w:rsidRPr="00AD2C4C" w:rsidRDefault="002B797B" w:rsidP="00FB62E1">
            <w:pPr>
              <w:pStyle w:val="TableParagraph"/>
              <w:spacing w:line="265" w:lineRule="exact"/>
              <w:jc w:val="center"/>
              <w:rPr>
                <w:sz w:val="20"/>
                <w:szCs w:val="20"/>
              </w:rPr>
            </w:pPr>
            <w:r w:rsidRPr="00AD2C4C">
              <w:rPr>
                <w:sz w:val="20"/>
                <w:szCs w:val="20"/>
              </w:rPr>
              <w:t>Phase 3</w:t>
            </w:r>
          </w:p>
        </w:tc>
      </w:tr>
      <w:tr w:rsidR="002B797B" w:rsidRPr="00C61BD6" w14:paraId="00C2B0AA" w14:textId="77777777" w:rsidTr="002B797B">
        <w:trPr>
          <w:trHeight w:val="1253"/>
        </w:trPr>
        <w:tc>
          <w:tcPr>
            <w:tcW w:w="1892" w:type="dxa"/>
          </w:tcPr>
          <w:p w14:paraId="4B70AAB0" w14:textId="77777777" w:rsidR="002B797B" w:rsidRPr="00AD2C4C" w:rsidRDefault="002B797B" w:rsidP="00AD2C4C">
            <w:pPr>
              <w:pStyle w:val="TableParagraph"/>
              <w:jc w:val="both"/>
              <w:rPr>
                <w:sz w:val="20"/>
                <w:szCs w:val="20"/>
                <w:lang w:val="fr-FR"/>
              </w:rPr>
            </w:pPr>
          </w:p>
          <w:p w14:paraId="3C50F1E3" w14:textId="77777777" w:rsidR="002B797B" w:rsidRPr="00AD2C4C" w:rsidRDefault="002B797B" w:rsidP="00AD2C4C">
            <w:pPr>
              <w:pStyle w:val="TableParagraph"/>
              <w:jc w:val="both"/>
              <w:rPr>
                <w:sz w:val="20"/>
                <w:szCs w:val="20"/>
                <w:lang w:val="fr-FR"/>
              </w:rPr>
            </w:pPr>
          </w:p>
          <w:p w14:paraId="085C640A" w14:textId="77777777" w:rsidR="002B797B" w:rsidRPr="00AD2C4C" w:rsidRDefault="002B797B" w:rsidP="00AD2C4C">
            <w:pPr>
              <w:pStyle w:val="TableParagraph"/>
              <w:ind w:left="108"/>
              <w:rPr>
                <w:sz w:val="20"/>
                <w:szCs w:val="20"/>
                <w:lang w:val="fr-FR"/>
              </w:rPr>
            </w:pPr>
            <w:r w:rsidRPr="00AD2C4C">
              <w:rPr>
                <w:sz w:val="20"/>
                <w:szCs w:val="20"/>
                <w:lang w:val="fr-FR"/>
              </w:rPr>
              <w:t>Objectif de développement du Projet 3</w:t>
            </w:r>
          </w:p>
        </w:tc>
        <w:tc>
          <w:tcPr>
            <w:tcW w:w="2607" w:type="dxa"/>
          </w:tcPr>
          <w:p w14:paraId="5B768D8D" w14:textId="77777777" w:rsidR="002B797B" w:rsidRPr="00AD2C4C" w:rsidRDefault="002B797B" w:rsidP="00AD2C4C">
            <w:pPr>
              <w:pStyle w:val="TableParagraph"/>
              <w:ind w:left="108"/>
              <w:rPr>
                <w:sz w:val="20"/>
                <w:szCs w:val="20"/>
                <w:lang w:val="fr-FR"/>
              </w:rPr>
            </w:pPr>
            <w:r w:rsidRPr="00AD2C4C">
              <w:rPr>
                <w:sz w:val="20"/>
                <w:szCs w:val="20"/>
                <w:lang w:val="fr-FR"/>
              </w:rPr>
              <w:t>Augmenter la productivité et améliorer l'accès au marché des petits exploitants agricoles dans les régions sélectionnées.</w:t>
            </w:r>
          </w:p>
        </w:tc>
        <w:tc>
          <w:tcPr>
            <w:tcW w:w="2609" w:type="dxa"/>
          </w:tcPr>
          <w:p w14:paraId="6E2143B8" w14:textId="77777777" w:rsidR="002B797B" w:rsidRPr="00AD2C4C" w:rsidRDefault="002B797B" w:rsidP="00AD2C4C">
            <w:pPr>
              <w:pStyle w:val="TableParagraph"/>
              <w:spacing w:line="259" w:lineRule="auto"/>
              <w:ind w:left="109" w:right="91"/>
              <w:rPr>
                <w:sz w:val="20"/>
                <w:szCs w:val="20"/>
                <w:lang w:val="fr-FR"/>
              </w:rPr>
            </w:pPr>
            <w:r w:rsidRPr="00AD2C4C">
              <w:rPr>
                <w:sz w:val="20"/>
                <w:szCs w:val="20"/>
                <w:lang w:val="fr-FR"/>
              </w:rPr>
              <w:t>Accroître les</w:t>
            </w:r>
            <w:r w:rsidRPr="00AD2C4C">
              <w:rPr>
                <w:spacing w:val="-28"/>
                <w:sz w:val="20"/>
                <w:szCs w:val="20"/>
                <w:lang w:val="fr-FR"/>
              </w:rPr>
              <w:t xml:space="preserve"> </w:t>
            </w:r>
            <w:r w:rsidRPr="00AD2C4C">
              <w:rPr>
                <w:sz w:val="20"/>
                <w:szCs w:val="20"/>
                <w:lang w:val="fr-FR"/>
              </w:rPr>
              <w:t xml:space="preserve">performances des petits </w:t>
            </w:r>
            <w:r w:rsidRPr="00AD2C4C">
              <w:rPr>
                <w:spacing w:val="-3"/>
                <w:sz w:val="20"/>
                <w:szCs w:val="20"/>
                <w:lang w:val="fr-FR"/>
              </w:rPr>
              <w:t xml:space="preserve">exploitants </w:t>
            </w:r>
            <w:r w:rsidRPr="00AD2C4C">
              <w:rPr>
                <w:sz w:val="20"/>
                <w:szCs w:val="20"/>
                <w:lang w:val="fr-FR"/>
              </w:rPr>
              <w:t>agricoles et des AgriMSME et améliorer la gestion des ressources naturelles</w:t>
            </w:r>
            <w:r w:rsidRPr="00AD2C4C">
              <w:rPr>
                <w:spacing w:val="28"/>
                <w:sz w:val="20"/>
                <w:szCs w:val="20"/>
                <w:lang w:val="fr-FR"/>
              </w:rPr>
              <w:t xml:space="preserve"> </w:t>
            </w:r>
            <w:r w:rsidRPr="00AD2C4C">
              <w:rPr>
                <w:spacing w:val="-5"/>
                <w:sz w:val="20"/>
                <w:szCs w:val="20"/>
                <w:lang w:val="fr-FR"/>
              </w:rPr>
              <w:t xml:space="preserve">dans </w:t>
            </w:r>
            <w:r w:rsidRPr="00AD2C4C">
              <w:rPr>
                <w:sz w:val="20"/>
                <w:szCs w:val="20"/>
                <w:lang w:val="fr-FR"/>
              </w:rPr>
              <w:t>les régions</w:t>
            </w:r>
            <w:r w:rsidRPr="00AD2C4C">
              <w:rPr>
                <w:spacing w:val="-9"/>
                <w:sz w:val="20"/>
                <w:szCs w:val="20"/>
                <w:lang w:val="fr-FR"/>
              </w:rPr>
              <w:t xml:space="preserve"> </w:t>
            </w:r>
            <w:r w:rsidRPr="00AD2C4C">
              <w:rPr>
                <w:sz w:val="20"/>
                <w:szCs w:val="20"/>
                <w:lang w:val="fr-FR"/>
              </w:rPr>
              <w:t>sélectionnées.</w:t>
            </w:r>
          </w:p>
        </w:tc>
        <w:tc>
          <w:tcPr>
            <w:tcW w:w="2673" w:type="dxa"/>
          </w:tcPr>
          <w:p w14:paraId="0D2FE075" w14:textId="77777777" w:rsidR="002B797B" w:rsidRPr="00AD2C4C" w:rsidRDefault="002B797B" w:rsidP="00AD2C4C">
            <w:pPr>
              <w:pStyle w:val="TableParagraph"/>
              <w:ind w:left="108"/>
              <w:rPr>
                <w:sz w:val="20"/>
                <w:szCs w:val="20"/>
                <w:lang w:val="fr-FR"/>
              </w:rPr>
            </w:pPr>
            <w:r w:rsidRPr="00AD2C4C">
              <w:rPr>
                <w:sz w:val="20"/>
                <w:szCs w:val="20"/>
                <w:lang w:val="fr-FR"/>
              </w:rPr>
              <w:t>Accroître la compétitivité et la résilience du secteur agricole</w:t>
            </w:r>
          </w:p>
        </w:tc>
      </w:tr>
      <w:tr w:rsidR="002B797B" w:rsidRPr="00C61BD6" w14:paraId="085B5244" w14:textId="77777777" w:rsidTr="002B797B">
        <w:trPr>
          <w:trHeight w:val="1740"/>
        </w:trPr>
        <w:tc>
          <w:tcPr>
            <w:tcW w:w="1892" w:type="dxa"/>
          </w:tcPr>
          <w:p w14:paraId="48001A29" w14:textId="77777777" w:rsidR="002B797B" w:rsidRPr="00AD2C4C" w:rsidRDefault="002B797B" w:rsidP="00AD2C4C">
            <w:pPr>
              <w:pStyle w:val="TableParagraph"/>
              <w:jc w:val="both"/>
              <w:rPr>
                <w:sz w:val="20"/>
                <w:szCs w:val="20"/>
                <w:lang w:val="fr-FR"/>
              </w:rPr>
            </w:pPr>
          </w:p>
          <w:p w14:paraId="46F87DC6" w14:textId="77777777" w:rsidR="002B797B" w:rsidRPr="00AD2C4C" w:rsidRDefault="002B797B" w:rsidP="00AD2C4C">
            <w:pPr>
              <w:pStyle w:val="TableParagraph"/>
              <w:jc w:val="both"/>
              <w:rPr>
                <w:sz w:val="20"/>
                <w:szCs w:val="20"/>
                <w:lang w:val="fr-FR"/>
              </w:rPr>
            </w:pPr>
          </w:p>
          <w:p w14:paraId="45FDE2EE" w14:textId="77777777" w:rsidR="002B797B" w:rsidRPr="00AD2C4C" w:rsidRDefault="002B797B" w:rsidP="00AD2C4C">
            <w:pPr>
              <w:pStyle w:val="TableParagraph"/>
              <w:jc w:val="both"/>
              <w:rPr>
                <w:sz w:val="20"/>
                <w:szCs w:val="20"/>
                <w:lang w:val="fr-FR"/>
              </w:rPr>
            </w:pPr>
          </w:p>
          <w:p w14:paraId="37F7A1AC" w14:textId="77777777" w:rsidR="002B797B" w:rsidRPr="00AD2C4C" w:rsidRDefault="002B797B" w:rsidP="00AD2C4C">
            <w:pPr>
              <w:pStyle w:val="TableParagraph"/>
              <w:spacing w:line="259" w:lineRule="auto"/>
              <w:ind w:left="108" w:right="241"/>
              <w:jc w:val="both"/>
              <w:rPr>
                <w:sz w:val="20"/>
                <w:szCs w:val="20"/>
              </w:rPr>
            </w:pPr>
            <w:r w:rsidRPr="00AD2C4C">
              <w:rPr>
                <w:sz w:val="20"/>
                <w:szCs w:val="20"/>
              </w:rPr>
              <w:t>Zones géographiques</w:t>
            </w:r>
          </w:p>
        </w:tc>
        <w:tc>
          <w:tcPr>
            <w:tcW w:w="2607" w:type="dxa"/>
          </w:tcPr>
          <w:p w14:paraId="32021BD3" w14:textId="4161B940" w:rsidR="002B797B" w:rsidRPr="00AD2C4C" w:rsidRDefault="00AD2C4C" w:rsidP="00AD2C4C">
            <w:pPr>
              <w:pStyle w:val="TableParagraph"/>
              <w:ind w:left="108"/>
              <w:rPr>
                <w:sz w:val="20"/>
                <w:szCs w:val="20"/>
                <w:lang w:val="fr-FR"/>
              </w:rPr>
            </w:pPr>
            <w:r>
              <w:rPr>
                <w:sz w:val="20"/>
                <w:szCs w:val="20"/>
                <w:lang w:val="fr-FR"/>
              </w:rPr>
              <w:t xml:space="preserve">- </w:t>
            </w:r>
            <w:r w:rsidR="002B797B" w:rsidRPr="00AD2C4C">
              <w:rPr>
                <w:sz w:val="20"/>
                <w:szCs w:val="20"/>
                <w:lang w:val="fr-FR"/>
              </w:rPr>
              <w:t>Région du Kasaï (</w:t>
            </w:r>
            <w:r w:rsidR="00402896" w:rsidRPr="00AD2C4C">
              <w:rPr>
                <w:sz w:val="20"/>
                <w:szCs w:val="20"/>
                <w:lang w:val="fr-FR"/>
              </w:rPr>
              <w:t>p</w:t>
            </w:r>
            <w:r w:rsidR="002B797B" w:rsidRPr="00AD2C4C">
              <w:rPr>
                <w:sz w:val="20"/>
                <w:szCs w:val="20"/>
                <w:lang w:val="fr-FR"/>
              </w:rPr>
              <w:t>rovinces du Kasaï et du Kasaï central)</w:t>
            </w:r>
          </w:p>
          <w:p w14:paraId="0B90943B" w14:textId="71AAB8BB" w:rsidR="002B797B" w:rsidRPr="00AD2C4C" w:rsidRDefault="002B797B" w:rsidP="00AD2C4C">
            <w:pPr>
              <w:pStyle w:val="TableParagraph"/>
              <w:tabs>
                <w:tab w:val="left" w:pos="1374"/>
                <w:tab w:val="left" w:pos="1467"/>
                <w:tab w:val="left" w:pos="1936"/>
              </w:tabs>
              <w:ind w:left="108"/>
              <w:rPr>
                <w:sz w:val="20"/>
                <w:szCs w:val="20"/>
                <w:lang w:val="fr-FR"/>
              </w:rPr>
            </w:pPr>
            <w:r w:rsidRPr="00AD2C4C">
              <w:rPr>
                <w:sz w:val="20"/>
                <w:szCs w:val="20"/>
                <w:lang w:val="fr-FR"/>
              </w:rPr>
              <w:t>-Région occidentale (provinces du Kongo Central et du Kwilu) Région de l'Est (Province du Nord-Kivu)</w:t>
            </w:r>
          </w:p>
        </w:tc>
        <w:tc>
          <w:tcPr>
            <w:tcW w:w="2609" w:type="dxa"/>
          </w:tcPr>
          <w:p w14:paraId="4493622A" w14:textId="77777777" w:rsidR="002B797B" w:rsidRPr="00AD2C4C" w:rsidRDefault="002B797B" w:rsidP="00AD2C4C">
            <w:pPr>
              <w:pStyle w:val="TableParagraph"/>
              <w:ind w:left="108"/>
              <w:jc w:val="both"/>
              <w:rPr>
                <w:sz w:val="20"/>
                <w:szCs w:val="20"/>
                <w:lang w:val="fr-FR"/>
              </w:rPr>
            </w:pPr>
            <w:r w:rsidRPr="00AD2C4C">
              <w:rPr>
                <w:sz w:val="20"/>
                <w:szCs w:val="20"/>
                <w:lang w:val="fr-FR"/>
              </w:rPr>
              <w:t>-La région du Kasaï au sens large</w:t>
            </w:r>
          </w:p>
          <w:p w14:paraId="6529D114" w14:textId="77777777" w:rsidR="002B797B" w:rsidRPr="00AD2C4C" w:rsidRDefault="002B797B" w:rsidP="00AD2C4C">
            <w:pPr>
              <w:pStyle w:val="TableParagraph"/>
              <w:ind w:left="108"/>
              <w:jc w:val="both"/>
              <w:rPr>
                <w:sz w:val="20"/>
                <w:szCs w:val="20"/>
                <w:lang w:val="fr-FR"/>
              </w:rPr>
            </w:pPr>
            <w:r w:rsidRPr="00AD2C4C">
              <w:rPr>
                <w:sz w:val="20"/>
                <w:szCs w:val="20"/>
                <w:lang w:val="fr-FR"/>
              </w:rPr>
              <w:t>-La région orientale élargie Régions du Nord-ouest et du Sud-est</w:t>
            </w:r>
          </w:p>
        </w:tc>
        <w:tc>
          <w:tcPr>
            <w:tcW w:w="2673" w:type="dxa"/>
          </w:tcPr>
          <w:p w14:paraId="1046D4B8" w14:textId="77777777" w:rsidR="002B797B" w:rsidRPr="00AD2C4C" w:rsidRDefault="002B797B" w:rsidP="00AD2C4C">
            <w:pPr>
              <w:pStyle w:val="TableParagraph"/>
              <w:spacing w:line="265" w:lineRule="exact"/>
              <w:jc w:val="both"/>
              <w:rPr>
                <w:sz w:val="20"/>
                <w:szCs w:val="20"/>
              </w:rPr>
            </w:pPr>
            <w:r w:rsidRPr="00AD2C4C">
              <w:rPr>
                <w:sz w:val="20"/>
                <w:szCs w:val="20"/>
              </w:rPr>
              <w:t>National</w:t>
            </w:r>
          </w:p>
        </w:tc>
      </w:tr>
      <w:tr w:rsidR="002B797B" w:rsidRPr="00C61BD6" w14:paraId="624F5A3C" w14:textId="77777777" w:rsidTr="002B797B">
        <w:trPr>
          <w:trHeight w:val="4948"/>
        </w:trPr>
        <w:tc>
          <w:tcPr>
            <w:tcW w:w="1892" w:type="dxa"/>
          </w:tcPr>
          <w:p w14:paraId="326FAFC1" w14:textId="77777777" w:rsidR="002B797B" w:rsidRPr="00AD2C4C" w:rsidRDefault="002B797B" w:rsidP="00AD2C4C">
            <w:pPr>
              <w:pStyle w:val="TableParagraph"/>
              <w:jc w:val="both"/>
              <w:rPr>
                <w:sz w:val="20"/>
                <w:szCs w:val="20"/>
              </w:rPr>
            </w:pPr>
          </w:p>
          <w:p w14:paraId="01B649AC" w14:textId="77777777" w:rsidR="002B797B" w:rsidRPr="00AD2C4C" w:rsidRDefault="002B797B" w:rsidP="00AD2C4C">
            <w:pPr>
              <w:pStyle w:val="TableParagraph"/>
              <w:jc w:val="both"/>
              <w:rPr>
                <w:sz w:val="20"/>
                <w:szCs w:val="20"/>
              </w:rPr>
            </w:pPr>
          </w:p>
          <w:p w14:paraId="4934F4B2" w14:textId="77777777" w:rsidR="002B797B" w:rsidRPr="00AD2C4C" w:rsidRDefault="002B797B" w:rsidP="00AD2C4C">
            <w:pPr>
              <w:pStyle w:val="TableParagraph"/>
              <w:jc w:val="both"/>
              <w:rPr>
                <w:sz w:val="20"/>
                <w:szCs w:val="20"/>
              </w:rPr>
            </w:pPr>
          </w:p>
          <w:p w14:paraId="0F9C26C3" w14:textId="77777777" w:rsidR="002B797B" w:rsidRPr="00AD2C4C" w:rsidRDefault="002B797B" w:rsidP="00AD2C4C">
            <w:pPr>
              <w:pStyle w:val="TableParagraph"/>
              <w:jc w:val="both"/>
              <w:rPr>
                <w:sz w:val="20"/>
                <w:szCs w:val="20"/>
              </w:rPr>
            </w:pPr>
          </w:p>
          <w:p w14:paraId="7487C600" w14:textId="77777777" w:rsidR="002B797B" w:rsidRPr="00AD2C4C" w:rsidRDefault="002B797B" w:rsidP="00AD2C4C">
            <w:pPr>
              <w:pStyle w:val="TableParagraph"/>
              <w:jc w:val="both"/>
              <w:rPr>
                <w:sz w:val="20"/>
                <w:szCs w:val="20"/>
              </w:rPr>
            </w:pPr>
          </w:p>
          <w:p w14:paraId="17C3F2ED" w14:textId="77777777" w:rsidR="002B797B" w:rsidRPr="00AD2C4C" w:rsidRDefault="002B797B" w:rsidP="00AD2C4C">
            <w:pPr>
              <w:pStyle w:val="TableParagraph"/>
              <w:jc w:val="both"/>
              <w:rPr>
                <w:sz w:val="20"/>
                <w:szCs w:val="20"/>
              </w:rPr>
            </w:pPr>
          </w:p>
          <w:p w14:paraId="534B2A90" w14:textId="77777777" w:rsidR="002B797B" w:rsidRPr="00AD2C4C" w:rsidRDefault="002B797B" w:rsidP="00AD2C4C">
            <w:pPr>
              <w:pStyle w:val="TableParagraph"/>
              <w:jc w:val="both"/>
              <w:rPr>
                <w:sz w:val="20"/>
                <w:szCs w:val="20"/>
              </w:rPr>
            </w:pPr>
          </w:p>
          <w:p w14:paraId="05ACC68F" w14:textId="77777777" w:rsidR="002B797B" w:rsidRPr="00AD2C4C" w:rsidRDefault="002B797B" w:rsidP="00AD2C4C">
            <w:pPr>
              <w:pStyle w:val="TableParagraph"/>
              <w:jc w:val="both"/>
              <w:rPr>
                <w:sz w:val="20"/>
                <w:szCs w:val="20"/>
              </w:rPr>
            </w:pPr>
          </w:p>
          <w:p w14:paraId="504A132C" w14:textId="77777777" w:rsidR="002B797B" w:rsidRPr="00AD2C4C" w:rsidRDefault="002B797B" w:rsidP="00AD2C4C">
            <w:pPr>
              <w:pStyle w:val="TableParagraph"/>
              <w:spacing w:line="259" w:lineRule="auto"/>
              <w:ind w:left="108" w:right="525"/>
              <w:jc w:val="both"/>
              <w:rPr>
                <w:sz w:val="20"/>
                <w:szCs w:val="20"/>
              </w:rPr>
            </w:pPr>
            <w:r w:rsidRPr="00AD2C4C">
              <w:rPr>
                <w:sz w:val="20"/>
                <w:szCs w:val="20"/>
              </w:rPr>
              <w:t>Activités principales</w:t>
            </w:r>
          </w:p>
        </w:tc>
        <w:tc>
          <w:tcPr>
            <w:tcW w:w="2607" w:type="dxa"/>
          </w:tcPr>
          <w:p w14:paraId="44CE53CE" w14:textId="77777777" w:rsidR="002B797B" w:rsidRPr="00AD2C4C" w:rsidRDefault="002B797B" w:rsidP="00AD2C4C">
            <w:pPr>
              <w:pStyle w:val="TableParagraph"/>
              <w:ind w:left="108"/>
              <w:rPr>
                <w:sz w:val="20"/>
                <w:szCs w:val="20"/>
                <w:lang w:val="fr-FR"/>
              </w:rPr>
            </w:pPr>
            <w:r w:rsidRPr="00AD2C4C">
              <w:rPr>
                <w:sz w:val="20"/>
                <w:szCs w:val="20"/>
                <w:lang w:val="fr-FR"/>
              </w:rPr>
              <w:t>Soutien direct aux petits exploitants agricoles pour une productivité agricole durable (CSA</w:t>
            </w:r>
            <w:r w:rsidRPr="00AD2C4C">
              <w:rPr>
                <w:sz w:val="20"/>
                <w:szCs w:val="20"/>
                <w:lang w:val="fr-FR"/>
              </w:rPr>
              <w:tab/>
              <w:t>et NSmartAg). Soutien à l'accès au marché pour les petits</w:t>
            </w:r>
            <w:r w:rsidRPr="00AD2C4C">
              <w:rPr>
                <w:sz w:val="20"/>
                <w:szCs w:val="20"/>
                <w:lang w:val="fr-FR"/>
              </w:rPr>
              <w:tab/>
            </w:r>
            <w:r w:rsidRPr="00AD2C4C">
              <w:rPr>
                <w:sz w:val="20"/>
                <w:szCs w:val="20"/>
                <w:lang w:val="fr-FR"/>
              </w:rPr>
              <w:tab/>
              <w:t>exploitants agricoles.</w:t>
            </w:r>
          </w:p>
        </w:tc>
        <w:tc>
          <w:tcPr>
            <w:tcW w:w="2609" w:type="dxa"/>
          </w:tcPr>
          <w:p w14:paraId="3A71D0FD" w14:textId="77777777" w:rsidR="002B797B" w:rsidRPr="00AD2C4C" w:rsidRDefault="002B797B" w:rsidP="00AD2C4C">
            <w:pPr>
              <w:pStyle w:val="TableParagraph"/>
              <w:tabs>
                <w:tab w:val="left" w:pos="1059"/>
                <w:tab w:val="left" w:pos="1431"/>
                <w:tab w:val="left" w:pos="1585"/>
                <w:tab w:val="left" w:pos="1784"/>
                <w:tab w:val="left" w:pos="2278"/>
              </w:tabs>
              <w:ind w:left="108"/>
              <w:rPr>
                <w:sz w:val="20"/>
                <w:szCs w:val="20"/>
                <w:lang w:val="fr-FR"/>
              </w:rPr>
            </w:pPr>
            <w:r w:rsidRPr="00AD2C4C">
              <w:rPr>
                <w:sz w:val="20"/>
                <w:szCs w:val="20"/>
                <w:lang w:val="fr-FR"/>
              </w:rPr>
              <w:t>Soutien direct des petits exploitants agricoles à la productivité de l'agriculture durable (CSA et NSmartAg) pour les nouvelles</w:t>
            </w:r>
            <w:r w:rsidRPr="00AD2C4C">
              <w:rPr>
                <w:sz w:val="20"/>
                <w:szCs w:val="20"/>
                <w:lang w:val="fr-FR"/>
              </w:rPr>
              <w:tab/>
              <w:t>provinces. Soutien</w:t>
            </w:r>
            <w:r w:rsidRPr="00AD2C4C">
              <w:rPr>
                <w:sz w:val="20"/>
                <w:szCs w:val="20"/>
                <w:lang w:val="fr-FR"/>
              </w:rPr>
              <w:tab/>
              <w:t>à</w:t>
            </w:r>
            <w:r w:rsidRPr="00AD2C4C">
              <w:rPr>
                <w:sz w:val="20"/>
                <w:szCs w:val="20"/>
                <w:lang w:val="fr-FR"/>
              </w:rPr>
              <w:tab/>
              <w:t>l'accès</w:t>
            </w:r>
            <w:r w:rsidRPr="00AD2C4C">
              <w:rPr>
                <w:sz w:val="20"/>
                <w:szCs w:val="20"/>
                <w:lang w:val="fr-FR"/>
              </w:rPr>
              <w:tab/>
              <w:t>au marché pour les petits exploitants agricoles et les AgriMSMEs. Amélioration des pratiques de gestion des ressources naturelles dans les environnements fortement dégradés et les frontières forestières ; et développement d'expériences</w:t>
            </w:r>
            <w:r w:rsidRPr="00AD2C4C">
              <w:rPr>
                <w:sz w:val="20"/>
                <w:szCs w:val="20"/>
                <w:lang w:val="fr-FR"/>
              </w:rPr>
              <w:tab/>
              <w:t>réussies dans l'amélioration</w:t>
            </w:r>
            <w:r w:rsidRPr="00AD2C4C">
              <w:rPr>
                <w:sz w:val="20"/>
                <w:szCs w:val="20"/>
                <w:lang w:val="fr-FR"/>
              </w:rPr>
              <w:tab/>
              <w:t>de l'enregistrement</w:t>
            </w:r>
            <w:r w:rsidRPr="00AD2C4C">
              <w:rPr>
                <w:sz w:val="20"/>
                <w:szCs w:val="20"/>
                <w:lang w:val="fr-FR"/>
              </w:rPr>
              <w:tab/>
              <w:t>des</w:t>
            </w:r>
          </w:p>
          <w:p w14:paraId="3B6B5ADE" w14:textId="77777777" w:rsidR="002B797B" w:rsidRPr="00AD2C4C" w:rsidRDefault="002B797B" w:rsidP="00AD2C4C">
            <w:pPr>
              <w:pStyle w:val="TableParagraph"/>
              <w:tabs>
                <w:tab w:val="left" w:pos="781"/>
                <w:tab w:val="left" w:pos="2278"/>
              </w:tabs>
              <w:ind w:left="108"/>
              <w:rPr>
                <w:sz w:val="20"/>
                <w:szCs w:val="20"/>
                <w:lang w:val="fr-FR"/>
              </w:rPr>
            </w:pPr>
            <w:r w:rsidRPr="00AD2C4C">
              <w:rPr>
                <w:sz w:val="20"/>
                <w:szCs w:val="20"/>
                <w:lang w:val="fr-FR"/>
              </w:rPr>
              <w:t>terres.</w:t>
            </w:r>
          </w:p>
        </w:tc>
        <w:tc>
          <w:tcPr>
            <w:tcW w:w="2673" w:type="dxa"/>
          </w:tcPr>
          <w:p w14:paraId="2089D223" w14:textId="77777777" w:rsidR="002B797B" w:rsidRPr="00AD2C4C" w:rsidRDefault="002B797B" w:rsidP="00AD2C4C">
            <w:pPr>
              <w:pStyle w:val="TableParagraph"/>
              <w:ind w:left="108"/>
              <w:rPr>
                <w:sz w:val="20"/>
                <w:szCs w:val="20"/>
                <w:lang w:val="fr-FR"/>
              </w:rPr>
            </w:pPr>
            <w:r w:rsidRPr="00AD2C4C">
              <w:rPr>
                <w:sz w:val="20"/>
                <w:szCs w:val="20"/>
                <w:lang w:val="fr-FR"/>
              </w:rPr>
              <w:t>Principalement un soutien à l'accès au marché pour les petits exploitants agricoles et les PME agricoles, en mettant l'accent sur la durabilité institutionnelle et l'intégration de l'approche dans les politiques et programmes gouvernementaux. Cela comprend la planification de l'utilisation des terres qui aligne le développement agricole et la durabilité des ressources naturelles.</w:t>
            </w:r>
          </w:p>
        </w:tc>
      </w:tr>
      <w:tr w:rsidR="002B797B" w:rsidRPr="00C61BD6" w14:paraId="536777DA" w14:textId="77777777" w:rsidTr="00FB62E1">
        <w:trPr>
          <w:trHeight w:val="279"/>
        </w:trPr>
        <w:tc>
          <w:tcPr>
            <w:tcW w:w="1892" w:type="dxa"/>
          </w:tcPr>
          <w:p w14:paraId="1945A19E" w14:textId="77777777" w:rsidR="002B797B" w:rsidRPr="00AD2C4C" w:rsidRDefault="002B797B" w:rsidP="00AD2C4C">
            <w:pPr>
              <w:pStyle w:val="TableParagraph"/>
              <w:jc w:val="both"/>
              <w:rPr>
                <w:sz w:val="20"/>
                <w:szCs w:val="20"/>
              </w:rPr>
            </w:pPr>
            <w:r w:rsidRPr="00AD2C4C">
              <w:rPr>
                <w:sz w:val="20"/>
                <w:szCs w:val="20"/>
                <w:lang w:val="fr-FR"/>
              </w:rPr>
              <w:t xml:space="preserve"> </w:t>
            </w:r>
            <w:r w:rsidRPr="00AD2C4C">
              <w:rPr>
                <w:sz w:val="20"/>
                <w:szCs w:val="20"/>
              </w:rPr>
              <w:t>Cadre temporel</w:t>
            </w:r>
          </w:p>
        </w:tc>
        <w:tc>
          <w:tcPr>
            <w:tcW w:w="2607" w:type="dxa"/>
          </w:tcPr>
          <w:p w14:paraId="1F55DA81" w14:textId="77777777" w:rsidR="002B797B" w:rsidRPr="00AD2C4C" w:rsidRDefault="002B797B" w:rsidP="00AD2C4C">
            <w:pPr>
              <w:pStyle w:val="TableParagraph"/>
              <w:tabs>
                <w:tab w:val="left" w:pos="1350"/>
                <w:tab w:val="left" w:pos="1508"/>
                <w:tab w:val="left" w:pos="2317"/>
              </w:tabs>
              <w:spacing w:line="259" w:lineRule="auto"/>
              <w:ind w:right="92"/>
              <w:jc w:val="both"/>
              <w:rPr>
                <w:sz w:val="20"/>
                <w:szCs w:val="20"/>
                <w:lang w:val="fr-FR"/>
              </w:rPr>
            </w:pPr>
            <w:r w:rsidRPr="00AD2C4C">
              <w:rPr>
                <w:sz w:val="20"/>
                <w:szCs w:val="20"/>
              </w:rPr>
              <w:t xml:space="preserve"> 5 ans</w:t>
            </w:r>
          </w:p>
        </w:tc>
        <w:tc>
          <w:tcPr>
            <w:tcW w:w="2609" w:type="dxa"/>
          </w:tcPr>
          <w:p w14:paraId="3BAC51DE" w14:textId="77777777" w:rsidR="002B797B" w:rsidRPr="00AD2C4C" w:rsidRDefault="002B797B" w:rsidP="00AD2C4C">
            <w:pPr>
              <w:pStyle w:val="TableParagraph"/>
              <w:tabs>
                <w:tab w:val="left" w:pos="1059"/>
                <w:tab w:val="left" w:pos="1431"/>
                <w:tab w:val="left" w:pos="1585"/>
                <w:tab w:val="left" w:pos="1784"/>
                <w:tab w:val="left" w:pos="2278"/>
              </w:tabs>
              <w:spacing w:line="259" w:lineRule="auto"/>
              <w:ind w:left="109" w:right="90"/>
              <w:jc w:val="both"/>
              <w:rPr>
                <w:sz w:val="20"/>
                <w:szCs w:val="20"/>
                <w:lang w:val="fr-FR"/>
              </w:rPr>
            </w:pPr>
            <w:r w:rsidRPr="00AD2C4C">
              <w:rPr>
                <w:sz w:val="20"/>
                <w:szCs w:val="20"/>
              </w:rPr>
              <w:t>5 ans</w:t>
            </w:r>
          </w:p>
        </w:tc>
        <w:tc>
          <w:tcPr>
            <w:tcW w:w="2673" w:type="dxa"/>
          </w:tcPr>
          <w:p w14:paraId="5CCD84AB" w14:textId="77777777" w:rsidR="002B797B" w:rsidRPr="00AD2C4C" w:rsidRDefault="002B797B" w:rsidP="00AD2C4C">
            <w:pPr>
              <w:pStyle w:val="TableParagraph"/>
              <w:spacing w:line="259" w:lineRule="auto"/>
              <w:ind w:right="93"/>
              <w:jc w:val="both"/>
              <w:rPr>
                <w:sz w:val="20"/>
                <w:szCs w:val="20"/>
                <w:lang w:val="fr-FR"/>
              </w:rPr>
            </w:pPr>
            <w:r w:rsidRPr="00AD2C4C">
              <w:rPr>
                <w:sz w:val="20"/>
                <w:szCs w:val="20"/>
              </w:rPr>
              <w:t xml:space="preserve"> 4 ans</w:t>
            </w:r>
          </w:p>
        </w:tc>
      </w:tr>
      <w:tr w:rsidR="002B797B" w:rsidRPr="00C61BD6" w14:paraId="4650848C" w14:textId="77777777" w:rsidTr="00FB62E1">
        <w:trPr>
          <w:trHeight w:val="562"/>
        </w:trPr>
        <w:tc>
          <w:tcPr>
            <w:tcW w:w="1892" w:type="dxa"/>
          </w:tcPr>
          <w:p w14:paraId="436DB6F8" w14:textId="77777777" w:rsidR="002B797B" w:rsidRPr="00AD2C4C" w:rsidRDefault="002B797B" w:rsidP="00AD2C4C">
            <w:pPr>
              <w:pStyle w:val="TableParagraph"/>
              <w:jc w:val="both"/>
              <w:rPr>
                <w:sz w:val="20"/>
                <w:szCs w:val="20"/>
              </w:rPr>
            </w:pPr>
            <w:r w:rsidRPr="00AD2C4C">
              <w:rPr>
                <w:sz w:val="20"/>
                <w:szCs w:val="20"/>
              </w:rPr>
              <w:t xml:space="preserve"> Montant (millions  </w:t>
            </w:r>
          </w:p>
          <w:p w14:paraId="63111A97" w14:textId="77777777" w:rsidR="002B797B" w:rsidRPr="00AD2C4C" w:rsidRDefault="002B797B" w:rsidP="00AD2C4C">
            <w:pPr>
              <w:pStyle w:val="TableParagraph"/>
              <w:jc w:val="both"/>
              <w:rPr>
                <w:sz w:val="20"/>
                <w:szCs w:val="20"/>
              </w:rPr>
            </w:pPr>
            <w:r w:rsidRPr="00AD2C4C">
              <w:rPr>
                <w:sz w:val="20"/>
                <w:szCs w:val="20"/>
              </w:rPr>
              <w:t xml:space="preserve"> de dollars US)</w:t>
            </w:r>
          </w:p>
        </w:tc>
        <w:tc>
          <w:tcPr>
            <w:tcW w:w="2607" w:type="dxa"/>
          </w:tcPr>
          <w:p w14:paraId="2235EC2C" w14:textId="77777777" w:rsidR="002B797B" w:rsidRPr="00AD2C4C" w:rsidRDefault="002B797B" w:rsidP="00AD2C4C">
            <w:pPr>
              <w:pStyle w:val="TableParagraph"/>
              <w:ind w:left="108"/>
              <w:rPr>
                <w:sz w:val="20"/>
                <w:szCs w:val="20"/>
                <w:lang w:val="fr-FR"/>
              </w:rPr>
            </w:pPr>
            <w:r w:rsidRPr="00AD2C4C">
              <w:rPr>
                <w:sz w:val="20"/>
                <w:szCs w:val="20"/>
                <w:lang w:val="fr-FR"/>
              </w:rPr>
              <w:t xml:space="preserve"> 520 (dont 20 millions de  </w:t>
            </w:r>
          </w:p>
          <w:p w14:paraId="09B21B3F" w14:textId="7571753E" w:rsidR="002B797B" w:rsidRPr="00AD2C4C" w:rsidRDefault="002B797B" w:rsidP="00AD2C4C">
            <w:pPr>
              <w:pStyle w:val="TableParagraph"/>
              <w:ind w:left="108"/>
              <w:rPr>
                <w:sz w:val="20"/>
                <w:szCs w:val="20"/>
                <w:lang w:val="fr-FR"/>
              </w:rPr>
            </w:pPr>
            <w:r w:rsidRPr="00AD2C4C">
              <w:rPr>
                <w:sz w:val="20"/>
                <w:szCs w:val="20"/>
                <w:lang w:val="fr-FR"/>
              </w:rPr>
              <w:t xml:space="preserve"> </w:t>
            </w:r>
            <w:r w:rsidR="00BD5D78" w:rsidRPr="00AD2C4C">
              <w:rPr>
                <w:sz w:val="20"/>
                <w:szCs w:val="20"/>
                <w:lang w:val="fr-FR"/>
              </w:rPr>
              <w:t>Dollars</w:t>
            </w:r>
            <w:r w:rsidRPr="00AD2C4C">
              <w:rPr>
                <w:sz w:val="20"/>
                <w:szCs w:val="20"/>
                <w:lang w:val="fr-FR"/>
              </w:rPr>
              <w:t xml:space="preserve"> de fonds non </w:t>
            </w:r>
          </w:p>
          <w:p w14:paraId="10CBE966" w14:textId="03A3F6D1" w:rsidR="002B797B" w:rsidRPr="00AD2C4C" w:rsidRDefault="002B797B" w:rsidP="00AD2C4C">
            <w:pPr>
              <w:pStyle w:val="TableParagraph"/>
              <w:ind w:left="108"/>
              <w:rPr>
                <w:sz w:val="20"/>
                <w:szCs w:val="20"/>
                <w:lang w:val="fr-FR"/>
              </w:rPr>
            </w:pPr>
            <w:r w:rsidRPr="00AD2C4C">
              <w:rPr>
                <w:sz w:val="20"/>
                <w:szCs w:val="20"/>
                <w:lang w:val="fr-FR"/>
              </w:rPr>
              <w:t xml:space="preserve"> </w:t>
            </w:r>
            <w:r w:rsidR="00BD5D78" w:rsidRPr="00AD2C4C">
              <w:rPr>
                <w:sz w:val="20"/>
                <w:szCs w:val="20"/>
                <w:lang w:val="fr-FR"/>
              </w:rPr>
              <w:t>Remboursables</w:t>
            </w:r>
            <w:r w:rsidRPr="00AD2C4C">
              <w:rPr>
                <w:sz w:val="20"/>
                <w:szCs w:val="20"/>
                <w:lang w:val="fr-FR"/>
              </w:rPr>
              <w:t xml:space="preserve"> exécutés</w:t>
            </w:r>
          </w:p>
          <w:p w14:paraId="79C5B9A7" w14:textId="77777777" w:rsidR="002B797B" w:rsidRPr="00AD2C4C" w:rsidRDefault="002B797B" w:rsidP="00AD2C4C">
            <w:pPr>
              <w:pStyle w:val="TableParagraph"/>
              <w:tabs>
                <w:tab w:val="left" w:pos="1350"/>
                <w:tab w:val="left" w:pos="1508"/>
                <w:tab w:val="left" w:pos="2317"/>
              </w:tabs>
              <w:ind w:left="108"/>
              <w:rPr>
                <w:sz w:val="20"/>
                <w:szCs w:val="20"/>
                <w:lang w:val="fr-FR"/>
              </w:rPr>
            </w:pPr>
            <w:r w:rsidRPr="00AD2C4C">
              <w:rPr>
                <w:sz w:val="20"/>
                <w:szCs w:val="20"/>
                <w:lang w:val="fr-FR"/>
              </w:rPr>
              <w:t xml:space="preserve"> par le bénéficiaire)</w:t>
            </w:r>
          </w:p>
        </w:tc>
        <w:tc>
          <w:tcPr>
            <w:tcW w:w="2609" w:type="dxa"/>
          </w:tcPr>
          <w:p w14:paraId="31704670" w14:textId="77777777" w:rsidR="002B797B" w:rsidRPr="00AD2C4C" w:rsidRDefault="002B797B" w:rsidP="00AD2C4C">
            <w:pPr>
              <w:pStyle w:val="TableParagraph"/>
              <w:tabs>
                <w:tab w:val="left" w:pos="1059"/>
                <w:tab w:val="left" w:pos="1431"/>
                <w:tab w:val="left" w:pos="1585"/>
                <w:tab w:val="left" w:pos="1784"/>
                <w:tab w:val="left" w:pos="2278"/>
              </w:tabs>
              <w:ind w:left="108"/>
              <w:rPr>
                <w:sz w:val="20"/>
                <w:szCs w:val="20"/>
                <w:lang w:val="fr-FR"/>
              </w:rPr>
            </w:pPr>
            <w:r w:rsidRPr="00AD2C4C">
              <w:rPr>
                <w:sz w:val="20"/>
                <w:szCs w:val="20"/>
                <w:lang w:val="fr-FR"/>
              </w:rPr>
              <w:t>500</w:t>
            </w:r>
          </w:p>
        </w:tc>
        <w:tc>
          <w:tcPr>
            <w:tcW w:w="2673" w:type="dxa"/>
          </w:tcPr>
          <w:p w14:paraId="3B4AF973" w14:textId="77777777" w:rsidR="002B797B" w:rsidRPr="00AD2C4C" w:rsidRDefault="002B797B" w:rsidP="00AD2C4C">
            <w:pPr>
              <w:pStyle w:val="TableParagraph"/>
              <w:ind w:left="108"/>
              <w:rPr>
                <w:sz w:val="20"/>
                <w:szCs w:val="20"/>
                <w:lang w:val="fr-FR"/>
              </w:rPr>
            </w:pPr>
            <w:r w:rsidRPr="00AD2C4C">
              <w:rPr>
                <w:sz w:val="20"/>
                <w:szCs w:val="20"/>
                <w:lang w:val="fr-FR"/>
              </w:rPr>
              <w:t>500</w:t>
            </w:r>
          </w:p>
        </w:tc>
      </w:tr>
      <w:tr w:rsidR="002B797B" w:rsidRPr="00C61BD6" w14:paraId="39308C3E" w14:textId="77777777" w:rsidTr="00FB62E1">
        <w:trPr>
          <w:trHeight w:val="562"/>
        </w:trPr>
        <w:tc>
          <w:tcPr>
            <w:tcW w:w="1892" w:type="dxa"/>
          </w:tcPr>
          <w:p w14:paraId="19F9CB8C" w14:textId="77777777" w:rsidR="002B797B" w:rsidRPr="00AD2C4C" w:rsidRDefault="002B797B" w:rsidP="00AD2C4C">
            <w:pPr>
              <w:pStyle w:val="TableParagraph"/>
              <w:jc w:val="both"/>
              <w:rPr>
                <w:sz w:val="20"/>
                <w:szCs w:val="20"/>
              </w:rPr>
            </w:pPr>
            <w:r w:rsidRPr="00AD2C4C">
              <w:rPr>
                <w:sz w:val="20"/>
                <w:szCs w:val="20"/>
              </w:rPr>
              <w:t xml:space="preserve"> Autres  </w:t>
            </w:r>
          </w:p>
          <w:p w14:paraId="1F0287CA" w14:textId="77777777" w:rsidR="002B797B" w:rsidRPr="00AD2C4C" w:rsidRDefault="002B797B" w:rsidP="00AD2C4C">
            <w:pPr>
              <w:pStyle w:val="TableParagraph"/>
              <w:jc w:val="both"/>
              <w:rPr>
                <w:sz w:val="20"/>
                <w:szCs w:val="20"/>
              </w:rPr>
            </w:pPr>
            <w:r w:rsidRPr="00AD2C4C">
              <w:rPr>
                <w:sz w:val="20"/>
                <w:szCs w:val="20"/>
              </w:rPr>
              <w:t xml:space="preserve"> financements</w:t>
            </w:r>
          </w:p>
        </w:tc>
        <w:tc>
          <w:tcPr>
            <w:tcW w:w="2607" w:type="dxa"/>
          </w:tcPr>
          <w:p w14:paraId="3F200043" w14:textId="30BA0FDE" w:rsidR="002B797B" w:rsidRPr="00AD2C4C" w:rsidRDefault="002B797B" w:rsidP="00AD2C4C">
            <w:pPr>
              <w:pStyle w:val="TableParagraph"/>
              <w:ind w:left="108"/>
              <w:rPr>
                <w:sz w:val="20"/>
                <w:szCs w:val="20"/>
                <w:lang w:val="fr-FR"/>
              </w:rPr>
            </w:pPr>
            <w:r w:rsidRPr="00AD2C4C">
              <w:rPr>
                <w:sz w:val="20"/>
                <w:szCs w:val="20"/>
                <w:lang w:val="fr-FR"/>
              </w:rPr>
              <w:t>Mobilisation de capitaux privés avec l'aide de la SFI, assistance technique</w:t>
            </w:r>
          </w:p>
          <w:p w14:paraId="49B6E6CD" w14:textId="77777777" w:rsidR="002B797B" w:rsidRPr="00AD2C4C" w:rsidRDefault="002B797B" w:rsidP="00AD2C4C">
            <w:pPr>
              <w:pStyle w:val="TableParagraph"/>
              <w:tabs>
                <w:tab w:val="left" w:pos="1770"/>
              </w:tabs>
              <w:ind w:left="108"/>
              <w:rPr>
                <w:sz w:val="20"/>
                <w:szCs w:val="20"/>
                <w:lang w:val="fr-FR"/>
              </w:rPr>
            </w:pPr>
            <w:r w:rsidRPr="00AD2C4C">
              <w:rPr>
                <w:sz w:val="20"/>
                <w:szCs w:val="20"/>
                <w:lang w:val="fr-FR"/>
              </w:rPr>
              <w:t>Coordonnée d'autres</w:t>
            </w:r>
          </w:p>
          <w:p w14:paraId="08C125DC" w14:textId="77777777" w:rsidR="002B797B" w:rsidRPr="00AD2C4C" w:rsidRDefault="002B797B" w:rsidP="00AD2C4C">
            <w:pPr>
              <w:pStyle w:val="TableParagraph"/>
              <w:ind w:left="108"/>
              <w:rPr>
                <w:sz w:val="20"/>
                <w:szCs w:val="20"/>
                <w:lang w:val="fr-FR"/>
              </w:rPr>
            </w:pPr>
            <w:r w:rsidRPr="00AD2C4C">
              <w:rPr>
                <w:sz w:val="20"/>
                <w:szCs w:val="20"/>
                <w:lang w:val="fr-FR"/>
              </w:rPr>
              <w:t>donateurs (KfW, DFID).</w:t>
            </w:r>
          </w:p>
        </w:tc>
        <w:tc>
          <w:tcPr>
            <w:tcW w:w="2609" w:type="dxa"/>
          </w:tcPr>
          <w:p w14:paraId="74D62529" w14:textId="29A3AC2A" w:rsidR="002B797B" w:rsidRPr="00AD2C4C" w:rsidRDefault="00DC7C80" w:rsidP="00AD2C4C">
            <w:pPr>
              <w:pStyle w:val="TableParagraph"/>
              <w:tabs>
                <w:tab w:val="left" w:pos="920"/>
                <w:tab w:val="left" w:pos="1479"/>
                <w:tab w:val="left" w:pos="1686"/>
                <w:tab w:val="left" w:pos="1998"/>
                <w:tab w:val="left" w:pos="2192"/>
              </w:tabs>
              <w:ind w:left="108"/>
              <w:rPr>
                <w:sz w:val="20"/>
                <w:szCs w:val="20"/>
                <w:lang w:val="fr-FR"/>
              </w:rPr>
            </w:pPr>
            <w:r w:rsidRPr="00AD2C4C">
              <w:rPr>
                <w:sz w:val="20"/>
                <w:szCs w:val="20"/>
                <w:lang w:val="fr-FR"/>
              </w:rPr>
              <w:t>SFI</w:t>
            </w:r>
            <w:r w:rsidR="002B797B" w:rsidRPr="00AD2C4C">
              <w:rPr>
                <w:sz w:val="20"/>
                <w:szCs w:val="20"/>
                <w:lang w:val="fr-FR"/>
              </w:rPr>
              <w:t>, capital privé, investissements cofinancés par</w:t>
            </w:r>
            <w:r w:rsidR="002B797B" w:rsidRPr="00AD2C4C">
              <w:rPr>
                <w:sz w:val="20"/>
                <w:szCs w:val="20"/>
                <w:lang w:val="fr-FR"/>
              </w:rPr>
              <w:tab/>
              <w:t>des donateurs, quelques financements de clients.</w:t>
            </w:r>
          </w:p>
        </w:tc>
        <w:tc>
          <w:tcPr>
            <w:tcW w:w="2673" w:type="dxa"/>
          </w:tcPr>
          <w:p w14:paraId="565C9798" w14:textId="214C4CEC" w:rsidR="002B797B" w:rsidRPr="00AD2C4C" w:rsidRDefault="00DC7C80" w:rsidP="00AD2C4C">
            <w:pPr>
              <w:pStyle w:val="TableParagraph"/>
              <w:ind w:left="108"/>
              <w:rPr>
                <w:sz w:val="20"/>
                <w:szCs w:val="20"/>
                <w:lang w:val="fr-FR"/>
              </w:rPr>
            </w:pPr>
            <w:r w:rsidRPr="00AD2C4C">
              <w:rPr>
                <w:sz w:val="20"/>
                <w:szCs w:val="20"/>
                <w:lang w:val="fr-FR"/>
              </w:rPr>
              <w:t>SFI</w:t>
            </w:r>
            <w:r w:rsidR="002B797B" w:rsidRPr="00AD2C4C">
              <w:rPr>
                <w:sz w:val="20"/>
                <w:szCs w:val="20"/>
                <w:lang w:val="fr-FR"/>
              </w:rPr>
              <w:t>, capitaux privés importants et financement des clients, investissements cofinancés par les donateurs.</w:t>
            </w:r>
          </w:p>
        </w:tc>
      </w:tr>
    </w:tbl>
    <w:p w14:paraId="16810131" w14:textId="77777777" w:rsidR="002B797B" w:rsidRPr="00C61BD6" w:rsidRDefault="002B797B" w:rsidP="002B797B">
      <w:pPr>
        <w:rPr>
          <w:rFonts w:cs="Arial"/>
          <w:szCs w:val="21"/>
        </w:rPr>
      </w:pPr>
    </w:p>
    <w:p w14:paraId="6E176008" w14:textId="77777777" w:rsidR="002B797B" w:rsidRPr="00C61BD6" w:rsidRDefault="002B797B" w:rsidP="002B797B">
      <w:pPr>
        <w:pStyle w:val="Corpsdetexte"/>
        <w:spacing w:before="56"/>
        <w:rPr>
          <w:rFonts w:eastAsia="Times New Roman" w:cs="Arial"/>
          <w:b/>
          <w:sz w:val="21"/>
          <w:szCs w:val="21"/>
        </w:rPr>
      </w:pPr>
      <w:r w:rsidRPr="00C61BD6">
        <w:rPr>
          <w:rFonts w:eastAsia="Times New Roman" w:cs="Arial"/>
          <w:b/>
          <w:sz w:val="21"/>
          <w:szCs w:val="21"/>
        </w:rPr>
        <w:t>Considérations transversales</w:t>
      </w:r>
    </w:p>
    <w:p w14:paraId="11CC0BB2" w14:textId="77777777" w:rsidR="002B797B" w:rsidRPr="00C61BD6" w:rsidRDefault="002B797B" w:rsidP="002B797B">
      <w:pPr>
        <w:pStyle w:val="Corpsdetexte"/>
        <w:spacing w:before="7"/>
        <w:rPr>
          <w:rFonts w:eastAsia="Times New Roman" w:cs="Arial"/>
          <w:sz w:val="21"/>
          <w:szCs w:val="21"/>
        </w:rPr>
      </w:pPr>
    </w:p>
    <w:p w14:paraId="5BE957A5" w14:textId="77777777" w:rsidR="002B797B" w:rsidRPr="00C61BD6" w:rsidRDefault="002B797B" w:rsidP="002B797B">
      <w:pPr>
        <w:pStyle w:val="Corpsdetexte"/>
        <w:rPr>
          <w:rFonts w:eastAsia="Times New Roman" w:cs="Arial"/>
          <w:i/>
          <w:sz w:val="21"/>
          <w:szCs w:val="21"/>
        </w:rPr>
      </w:pPr>
      <w:r w:rsidRPr="00C61BD6">
        <w:rPr>
          <w:rFonts w:eastAsia="Times New Roman" w:cs="Arial"/>
          <w:i/>
          <w:sz w:val="21"/>
          <w:szCs w:val="21"/>
        </w:rPr>
        <w:t>Pandémie de COVID-19</w:t>
      </w:r>
    </w:p>
    <w:p w14:paraId="78A7A14A" w14:textId="77777777" w:rsidR="005068C4" w:rsidRPr="00C61BD6" w:rsidRDefault="005068C4" w:rsidP="002B797B">
      <w:pPr>
        <w:pStyle w:val="Corpsdetexte"/>
        <w:spacing w:before="19" w:line="259" w:lineRule="auto"/>
        <w:ind w:right="95"/>
        <w:rPr>
          <w:rFonts w:eastAsia="Times New Roman" w:cs="Arial"/>
          <w:sz w:val="21"/>
          <w:szCs w:val="21"/>
        </w:rPr>
      </w:pPr>
    </w:p>
    <w:p w14:paraId="21D446AF" w14:textId="0598B341" w:rsidR="002B797B" w:rsidRPr="00C61BD6" w:rsidRDefault="002B797B" w:rsidP="002B797B">
      <w:pPr>
        <w:pStyle w:val="Corpsdetexte"/>
        <w:spacing w:before="19" w:line="259" w:lineRule="auto"/>
        <w:ind w:right="95"/>
        <w:rPr>
          <w:rFonts w:eastAsia="Times New Roman" w:cs="Arial"/>
          <w:sz w:val="21"/>
          <w:szCs w:val="21"/>
        </w:rPr>
      </w:pPr>
      <w:r w:rsidRPr="00C61BD6">
        <w:rPr>
          <w:rFonts w:eastAsia="Times New Roman" w:cs="Arial"/>
          <w:sz w:val="21"/>
          <w:szCs w:val="21"/>
        </w:rPr>
        <w:t>La conception du projet s'inspire des leçons mondiales et locales de COVID-19 pour mieux reconstruire. Dans le contexte de la pandémie de COVID-19, les risques pour les pauvres des zones rurales sont importants étant donné la réduction de la demande de produits agricoles et les perturbations des chaînes de valeur agricoles et de l'accès aux marchés urbains dues aux fermetures, aux directives sanitaires et aux restrictions des mouvements de population. Pour aider à relever les défis de la pandémie en protégeant les pauvres et les personnes vulnérables et en préservant leurs moyens de subsistance, le projet proposé s'appuie sur des leçons qui incluent des options pour mieux reconstruire en augmentant la résilience aux chocs climatiques et autres et en assurant une reprise inclusive. Il s'agira notamment de promouvoir des approches qui renforcent la base du capital naturel (sol, eau et forêts) dans certaines zones rurales dont dépend la production agricole, rendant ainsi la production moins vulnérable aux chocs climatiques, protégeant les moyens de subsistance des populations rurales et rendant la reprise économique plus résiliente et durable. En outre, l'utilisation de données géospatiales pour identifier l'intensité de l'érosion sur les routes rurales et informer les concepteurs d'infrastructures en partenariat avec l'A</w:t>
      </w:r>
      <w:r w:rsidR="005068C4" w:rsidRPr="00C61BD6">
        <w:rPr>
          <w:rFonts w:eastAsia="Times New Roman" w:cs="Arial"/>
          <w:sz w:val="21"/>
          <w:szCs w:val="21"/>
        </w:rPr>
        <w:t xml:space="preserve">gence spatiale européenne </w:t>
      </w:r>
      <w:r w:rsidRPr="00C61BD6">
        <w:rPr>
          <w:rFonts w:eastAsia="Times New Roman" w:cs="Arial"/>
          <w:sz w:val="21"/>
          <w:szCs w:val="21"/>
        </w:rPr>
        <w:t>par le biais de l'initiative "Observation de la Terre pour le développement durable" contribuera à développer et à mettre en œuvre des outils de planification spatiale et des solutions numériques dans le cadre du projet, en s'appuyant sur des outils existants de supervision à distance comme Mapillary.</w:t>
      </w:r>
    </w:p>
    <w:p w14:paraId="67A87712" w14:textId="77777777" w:rsidR="002B797B" w:rsidRPr="00C61BD6" w:rsidRDefault="002B797B" w:rsidP="002B797B">
      <w:pPr>
        <w:pStyle w:val="Corpsdetexte"/>
        <w:spacing w:before="19" w:line="259" w:lineRule="auto"/>
        <w:ind w:right="95"/>
        <w:rPr>
          <w:rFonts w:eastAsia="Times New Roman" w:cs="Arial"/>
          <w:sz w:val="21"/>
          <w:szCs w:val="21"/>
        </w:rPr>
      </w:pPr>
    </w:p>
    <w:p w14:paraId="44ECE307" w14:textId="77777777" w:rsidR="002B797B" w:rsidRPr="00C61BD6" w:rsidRDefault="002B797B" w:rsidP="002B797B">
      <w:pPr>
        <w:pStyle w:val="Corpsdetexte"/>
        <w:rPr>
          <w:i/>
          <w:sz w:val="21"/>
          <w:szCs w:val="21"/>
        </w:rPr>
      </w:pPr>
      <w:r w:rsidRPr="00C61BD6">
        <w:rPr>
          <w:i/>
          <w:sz w:val="21"/>
          <w:szCs w:val="21"/>
        </w:rPr>
        <w:t>Engagement des citoyens</w:t>
      </w:r>
    </w:p>
    <w:p w14:paraId="4ECE5630" w14:textId="77777777" w:rsidR="002B797B" w:rsidRPr="00C61BD6" w:rsidRDefault="002B797B" w:rsidP="002B797B">
      <w:pPr>
        <w:pStyle w:val="Corpsdetexte"/>
        <w:rPr>
          <w:i/>
          <w:sz w:val="21"/>
          <w:szCs w:val="21"/>
        </w:rPr>
      </w:pPr>
    </w:p>
    <w:p w14:paraId="5CCD56B0" w14:textId="77777777" w:rsidR="002B797B" w:rsidRPr="00C61BD6" w:rsidRDefault="002B797B" w:rsidP="002B797B">
      <w:pPr>
        <w:pStyle w:val="Corpsdetexte"/>
        <w:spacing w:before="22" w:line="259" w:lineRule="auto"/>
        <w:rPr>
          <w:sz w:val="21"/>
          <w:szCs w:val="21"/>
        </w:rPr>
      </w:pPr>
      <w:r w:rsidRPr="00C61BD6">
        <w:rPr>
          <w:sz w:val="21"/>
          <w:szCs w:val="21"/>
        </w:rPr>
        <w:t>Le projet proposé a servi et continuera à servir de plateforme pour rassembler les parties prenantes du</w:t>
      </w:r>
      <w:r w:rsidRPr="00C61BD6">
        <w:rPr>
          <w:spacing w:val="-6"/>
          <w:sz w:val="21"/>
          <w:szCs w:val="21"/>
        </w:rPr>
        <w:t xml:space="preserve"> </w:t>
      </w:r>
      <w:r w:rsidRPr="00C61BD6">
        <w:rPr>
          <w:sz w:val="21"/>
          <w:szCs w:val="21"/>
        </w:rPr>
        <w:t>secteur</w:t>
      </w:r>
      <w:r w:rsidRPr="00C61BD6">
        <w:rPr>
          <w:spacing w:val="-6"/>
          <w:sz w:val="21"/>
          <w:szCs w:val="21"/>
        </w:rPr>
        <w:t xml:space="preserve"> </w:t>
      </w:r>
      <w:r w:rsidRPr="00C61BD6">
        <w:rPr>
          <w:sz w:val="21"/>
          <w:szCs w:val="21"/>
        </w:rPr>
        <w:t>aux</w:t>
      </w:r>
      <w:r w:rsidRPr="00C61BD6">
        <w:rPr>
          <w:spacing w:val="-4"/>
          <w:sz w:val="21"/>
          <w:szCs w:val="21"/>
        </w:rPr>
        <w:t xml:space="preserve"> </w:t>
      </w:r>
      <w:r w:rsidRPr="00C61BD6">
        <w:rPr>
          <w:sz w:val="21"/>
          <w:szCs w:val="21"/>
        </w:rPr>
        <w:t>niveaux</w:t>
      </w:r>
      <w:r w:rsidRPr="00C61BD6">
        <w:rPr>
          <w:spacing w:val="-6"/>
          <w:sz w:val="21"/>
          <w:szCs w:val="21"/>
        </w:rPr>
        <w:t xml:space="preserve"> </w:t>
      </w:r>
      <w:r w:rsidRPr="00C61BD6">
        <w:rPr>
          <w:sz w:val="21"/>
          <w:szCs w:val="21"/>
        </w:rPr>
        <w:t>national</w:t>
      </w:r>
      <w:r w:rsidRPr="00C61BD6">
        <w:rPr>
          <w:spacing w:val="-5"/>
          <w:sz w:val="21"/>
          <w:szCs w:val="21"/>
        </w:rPr>
        <w:t xml:space="preserve"> </w:t>
      </w:r>
      <w:r w:rsidRPr="00C61BD6">
        <w:rPr>
          <w:sz w:val="21"/>
          <w:szCs w:val="21"/>
        </w:rPr>
        <w:t>et</w:t>
      </w:r>
      <w:r w:rsidRPr="00C61BD6">
        <w:rPr>
          <w:spacing w:val="-5"/>
          <w:sz w:val="21"/>
          <w:szCs w:val="21"/>
        </w:rPr>
        <w:t xml:space="preserve"> </w:t>
      </w:r>
      <w:r w:rsidRPr="00C61BD6">
        <w:rPr>
          <w:sz w:val="21"/>
          <w:szCs w:val="21"/>
        </w:rPr>
        <w:t>local</w:t>
      </w:r>
      <w:r w:rsidRPr="00C61BD6">
        <w:rPr>
          <w:spacing w:val="-6"/>
          <w:sz w:val="21"/>
          <w:szCs w:val="21"/>
        </w:rPr>
        <w:t xml:space="preserve"> </w:t>
      </w:r>
      <w:r w:rsidRPr="00C61BD6">
        <w:rPr>
          <w:sz w:val="21"/>
          <w:szCs w:val="21"/>
        </w:rPr>
        <w:t>afin</w:t>
      </w:r>
      <w:r w:rsidRPr="00C61BD6">
        <w:rPr>
          <w:spacing w:val="-5"/>
          <w:sz w:val="21"/>
          <w:szCs w:val="21"/>
        </w:rPr>
        <w:t xml:space="preserve"> </w:t>
      </w:r>
      <w:r w:rsidRPr="00C61BD6">
        <w:rPr>
          <w:sz w:val="21"/>
          <w:szCs w:val="21"/>
        </w:rPr>
        <w:t>de</w:t>
      </w:r>
      <w:r w:rsidRPr="00C61BD6">
        <w:rPr>
          <w:spacing w:val="-5"/>
          <w:sz w:val="21"/>
          <w:szCs w:val="21"/>
        </w:rPr>
        <w:t xml:space="preserve"> </w:t>
      </w:r>
      <w:r w:rsidRPr="00C61BD6">
        <w:rPr>
          <w:sz w:val="21"/>
          <w:szCs w:val="21"/>
        </w:rPr>
        <w:t>relever</w:t>
      </w:r>
      <w:r w:rsidRPr="00C61BD6">
        <w:rPr>
          <w:spacing w:val="-7"/>
          <w:sz w:val="21"/>
          <w:szCs w:val="21"/>
        </w:rPr>
        <w:t xml:space="preserve"> </w:t>
      </w:r>
      <w:r w:rsidRPr="00C61BD6">
        <w:rPr>
          <w:sz w:val="21"/>
          <w:szCs w:val="21"/>
        </w:rPr>
        <w:t>les</w:t>
      </w:r>
      <w:r w:rsidRPr="00C61BD6">
        <w:rPr>
          <w:spacing w:val="-5"/>
          <w:sz w:val="21"/>
          <w:szCs w:val="21"/>
        </w:rPr>
        <w:t xml:space="preserve"> </w:t>
      </w:r>
      <w:r w:rsidRPr="00C61BD6">
        <w:rPr>
          <w:sz w:val="21"/>
          <w:szCs w:val="21"/>
        </w:rPr>
        <w:t>défis</w:t>
      </w:r>
      <w:r w:rsidRPr="00C61BD6">
        <w:rPr>
          <w:spacing w:val="-5"/>
          <w:sz w:val="21"/>
          <w:szCs w:val="21"/>
        </w:rPr>
        <w:t xml:space="preserve"> </w:t>
      </w:r>
      <w:r w:rsidRPr="00C61BD6">
        <w:rPr>
          <w:sz w:val="21"/>
          <w:szCs w:val="21"/>
        </w:rPr>
        <w:t>et</w:t>
      </w:r>
      <w:r w:rsidRPr="00C61BD6">
        <w:rPr>
          <w:spacing w:val="-5"/>
          <w:sz w:val="21"/>
          <w:szCs w:val="21"/>
        </w:rPr>
        <w:t xml:space="preserve"> </w:t>
      </w:r>
      <w:r w:rsidRPr="00C61BD6">
        <w:rPr>
          <w:sz w:val="21"/>
          <w:szCs w:val="21"/>
        </w:rPr>
        <w:t>les</w:t>
      </w:r>
      <w:r w:rsidRPr="00C61BD6">
        <w:rPr>
          <w:spacing w:val="-6"/>
          <w:sz w:val="21"/>
          <w:szCs w:val="21"/>
        </w:rPr>
        <w:t xml:space="preserve"> </w:t>
      </w:r>
      <w:r w:rsidRPr="00C61BD6">
        <w:rPr>
          <w:sz w:val="21"/>
          <w:szCs w:val="21"/>
        </w:rPr>
        <w:t>opportunités</w:t>
      </w:r>
      <w:r w:rsidRPr="00C61BD6">
        <w:rPr>
          <w:spacing w:val="-5"/>
          <w:sz w:val="21"/>
          <w:szCs w:val="21"/>
        </w:rPr>
        <w:t xml:space="preserve"> </w:t>
      </w:r>
      <w:r w:rsidRPr="00C61BD6">
        <w:rPr>
          <w:sz w:val="21"/>
          <w:szCs w:val="21"/>
        </w:rPr>
        <w:t>de</w:t>
      </w:r>
      <w:r w:rsidRPr="00C61BD6">
        <w:rPr>
          <w:spacing w:val="-5"/>
          <w:sz w:val="21"/>
          <w:szCs w:val="21"/>
        </w:rPr>
        <w:t xml:space="preserve"> </w:t>
      </w:r>
      <w:r w:rsidRPr="00C61BD6">
        <w:rPr>
          <w:sz w:val="21"/>
          <w:szCs w:val="21"/>
        </w:rPr>
        <w:t>développement de</w:t>
      </w:r>
      <w:r w:rsidRPr="00C61BD6">
        <w:rPr>
          <w:spacing w:val="-7"/>
          <w:sz w:val="21"/>
          <w:szCs w:val="21"/>
        </w:rPr>
        <w:t xml:space="preserve"> </w:t>
      </w:r>
      <w:r w:rsidRPr="00C61BD6">
        <w:rPr>
          <w:sz w:val="21"/>
          <w:szCs w:val="21"/>
        </w:rPr>
        <w:t>l'agriculture,</w:t>
      </w:r>
      <w:r w:rsidRPr="00C61BD6">
        <w:rPr>
          <w:spacing w:val="-8"/>
          <w:sz w:val="21"/>
          <w:szCs w:val="21"/>
        </w:rPr>
        <w:t xml:space="preserve"> </w:t>
      </w:r>
      <w:r w:rsidRPr="00C61BD6">
        <w:rPr>
          <w:sz w:val="21"/>
          <w:szCs w:val="21"/>
        </w:rPr>
        <w:t>et</w:t>
      </w:r>
      <w:r w:rsidRPr="00C61BD6">
        <w:rPr>
          <w:spacing w:val="-7"/>
          <w:sz w:val="21"/>
          <w:szCs w:val="21"/>
        </w:rPr>
        <w:t xml:space="preserve"> </w:t>
      </w:r>
      <w:r w:rsidRPr="00C61BD6">
        <w:rPr>
          <w:sz w:val="21"/>
          <w:szCs w:val="21"/>
        </w:rPr>
        <w:t>de</w:t>
      </w:r>
      <w:r w:rsidRPr="00C61BD6">
        <w:rPr>
          <w:spacing w:val="-6"/>
          <w:sz w:val="21"/>
          <w:szCs w:val="21"/>
        </w:rPr>
        <w:t xml:space="preserve"> </w:t>
      </w:r>
      <w:r w:rsidRPr="00C61BD6">
        <w:rPr>
          <w:sz w:val="21"/>
          <w:szCs w:val="21"/>
        </w:rPr>
        <w:t>renforcer</w:t>
      </w:r>
      <w:r w:rsidRPr="00C61BD6">
        <w:rPr>
          <w:spacing w:val="-8"/>
          <w:sz w:val="21"/>
          <w:szCs w:val="21"/>
        </w:rPr>
        <w:t xml:space="preserve"> </w:t>
      </w:r>
      <w:r w:rsidRPr="00C61BD6">
        <w:rPr>
          <w:sz w:val="21"/>
          <w:szCs w:val="21"/>
        </w:rPr>
        <w:t>l'engagement</w:t>
      </w:r>
      <w:r w:rsidRPr="00C61BD6">
        <w:rPr>
          <w:spacing w:val="-8"/>
          <w:sz w:val="21"/>
          <w:szCs w:val="21"/>
        </w:rPr>
        <w:t xml:space="preserve"> </w:t>
      </w:r>
      <w:r w:rsidRPr="00C61BD6">
        <w:rPr>
          <w:sz w:val="21"/>
          <w:szCs w:val="21"/>
        </w:rPr>
        <w:t>des</w:t>
      </w:r>
      <w:r w:rsidRPr="00C61BD6">
        <w:rPr>
          <w:spacing w:val="-10"/>
          <w:sz w:val="21"/>
          <w:szCs w:val="21"/>
        </w:rPr>
        <w:t xml:space="preserve"> </w:t>
      </w:r>
      <w:r w:rsidRPr="00C61BD6">
        <w:rPr>
          <w:sz w:val="21"/>
          <w:szCs w:val="21"/>
        </w:rPr>
        <w:t>citoyens.</w:t>
      </w:r>
      <w:r w:rsidRPr="00C61BD6">
        <w:rPr>
          <w:spacing w:val="-7"/>
          <w:sz w:val="21"/>
          <w:szCs w:val="21"/>
        </w:rPr>
        <w:t xml:space="preserve"> </w:t>
      </w:r>
      <w:r w:rsidRPr="00C61BD6">
        <w:rPr>
          <w:sz w:val="21"/>
          <w:szCs w:val="21"/>
        </w:rPr>
        <w:t>Le</w:t>
      </w:r>
      <w:r w:rsidRPr="00C61BD6">
        <w:rPr>
          <w:spacing w:val="-10"/>
          <w:sz w:val="21"/>
          <w:szCs w:val="21"/>
        </w:rPr>
        <w:t xml:space="preserve"> </w:t>
      </w:r>
      <w:r w:rsidRPr="00C61BD6">
        <w:rPr>
          <w:sz w:val="21"/>
          <w:szCs w:val="21"/>
        </w:rPr>
        <w:t>Ministère</w:t>
      </w:r>
      <w:r w:rsidRPr="00C61BD6">
        <w:rPr>
          <w:spacing w:val="-7"/>
          <w:sz w:val="21"/>
          <w:szCs w:val="21"/>
        </w:rPr>
        <w:t xml:space="preserve"> </w:t>
      </w:r>
      <w:r w:rsidRPr="00C61BD6">
        <w:rPr>
          <w:sz w:val="21"/>
          <w:szCs w:val="21"/>
        </w:rPr>
        <w:t>de</w:t>
      </w:r>
      <w:r w:rsidRPr="00C61BD6">
        <w:rPr>
          <w:spacing w:val="-6"/>
          <w:sz w:val="21"/>
          <w:szCs w:val="21"/>
        </w:rPr>
        <w:t xml:space="preserve"> </w:t>
      </w:r>
      <w:r w:rsidRPr="00C61BD6">
        <w:rPr>
          <w:sz w:val="21"/>
          <w:szCs w:val="21"/>
        </w:rPr>
        <w:t>l'Agriculture</w:t>
      </w:r>
      <w:r w:rsidRPr="00C61BD6">
        <w:rPr>
          <w:spacing w:val="-8"/>
          <w:sz w:val="21"/>
          <w:szCs w:val="21"/>
        </w:rPr>
        <w:t xml:space="preserve"> </w:t>
      </w:r>
      <w:r w:rsidRPr="00C61BD6">
        <w:rPr>
          <w:sz w:val="21"/>
          <w:szCs w:val="21"/>
        </w:rPr>
        <w:t>a</w:t>
      </w:r>
      <w:r w:rsidRPr="00C61BD6">
        <w:rPr>
          <w:spacing w:val="-8"/>
          <w:sz w:val="21"/>
          <w:szCs w:val="21"/>
        </w:rPr>
        <w:t xml:space="preserve"> </w:t>
      </w:r>
      <w:r w:rsidRPr="00C61BD6">
        <w:rPr>
          <w:sz w:val="21"/>
          <w:szCs w:val="21"/>
        </w:rPr>
        <w:t>mis</w:t>
      </w:r>
      <w:r w:rsidRPr="00C61BD6">
        <w:rPr>
          <w:spacing w:val="-11"/>
          <w:sz w:val="21"/>
          <w:szCs w:val="21"/>
        </w:rPr>
        <w:t xml:space="preserve"> </w:t>
      </w:r>
      <w:r w:rsidRPr="00C61BD6">
        <w:rPr>
          <w:sz w:val="21"/>
          <w:szCs w:val="21"/>
        </w:rPr>
        <w:t>en</w:t>
      </w:r>
      <w:r w:rsidRPr="00C61BD6">
        <w:rPr>
          <w:spacing w:val="-7"/>
          <w:sz w:val="21"/>
          <w:szCs w:val="21"/>
        </w:rPr>
        <w:t xml:space="preserve"> </w:t>
      </w:r>
      <w:r w:rsidRPr="00C61BD6">
        <w:rPr>
          <w:sz w:val="21"/>
          <w:szCs w:val="21"/>
        </w:rPr>
        <w:t>place un Comité Technique Préparatoire (CTP) aux niveaux national et provincial, pour servir de plateforme de partage d'informations et de coordination pour les institutions du secteur public, les organisations de la société civile, les groupes de petits exploitants agricoles, les universités, les agences des Nations Unies, le secteur privé et les donateurs. Les investissements au niveau des exploitations agricoles et des AgriMSME ont été conçus en collaboration avec les futurs bénéficiaires, et la description des composantes dans les paragraphes suivants détaille comment chaque sous-composante servira à stimuler la productivité agricole et l'accès aux marchés par les petits exploitants agricoles. Au cours des deux dernières années, une série d'ateliers, de missions techniques, de visites d'experts et de tables rondes pendant la préparation ont réuni des institutions nationales et provinciales, des opérateurs du secteur privé, des représentants des agriculteurs, la société civile et des partenaires de développement pour élaborer le projet. En outre, la communauté des partenaires de développement en RDC soutenant le secteur agricole a établi un groupe de travail des donateurs (GIBADER) qui se réunit régulièrement avec le PTC et coordonne le dialogue politique et les opérations d'investissement, et que la Banque mondiale a présidé au cours des dernières années.</w:t>
      </w:r>
    </w:p>
    <w:p w14:paraId="4C838351" w14:textId="77777777" w:rsidR="002B797B" w:rsidRPr="00C61BD6" w:rsidRDefault="002B797B" w:rsidP="002B797B">
      <w:pPr>
        <w:pStyle w:val="Corpsdetexte"/>
        <w:spacing w:before="19" w:line="259" w:lineRule="auto"/>
        <w:ind w:right="95"/>
        <w:rPr>
          <w:rFonts w:eastAsia="Times New Roman" w:cs="Arial"/>
          <w:sz w:val="21"/>
          <w:szCs w:val="21"/>
        </w:rPr>
      </w:pPr>
    </w:p>
    <w:p w14:paraId="6C518B0C" w14:textId="77777777" w:rsidR="002B797B" w:rsidRPr="00C61BD6" w:rsidRDefault="002B797B" w:rsidP="002B797B">
      <w:pPr>
        <w:pStyle w:val="Corpsdetexte"/>
        <w:spacing w:line="259" w:lineRule="auto"/>
        <w:ind w:right="-46"/>
        <w:rPr>
          <w:sz w:val="21"/>
          <w:szCs w:val="21"/>
        </w:rPr>
      </w:pPr>
      <w:r w:rsidRPr="00C61BD6">
        <w:rPr>
          <w:sz w:val="21"/>
          <w:szCs w:val="21"/>
        </w:rPr>
        <w:t>Le projet réalisera également des enquêtes sur la participation des bénéficiaires directs et des personnes affectées dans le processus d'engagement des citoyens. La première enquête sera réalisée au cours de la première année du projet, elle établira les repères qui seront suivis lors de l'examen à mi-parcours du projet. L'enquête finale sera réalisée au cours de la dernière année de la première phase. Les données de ces deux enquêtes permettront d'évaluer les opinions/utilité du processus de participation des citoyens. Un indicateur pour mesurer cette participation a été inclus dans le cadre des résultats du projet.</w:t>
      </w:r>
    </w:p>
    <w:p w14:paraId="0F503649" w14:textId="77777777" w:rsidR="002B797B" w:rsidRPr="00C61BD6" w:rsidRDefault="002B797B" w:rsidP="002B797B">
      <w:pPr>
        <w:pStyle w:val="Corpsdetexte"/>
        <w:spacing w:line="259" w:lineRule="auto"/>
        <w:ind w:right="-46"/>
        <w:rPr>
          <w:sz w:val="21"/>
          <w:szCs w:val="21"/>
        </w:rPr>
      </w:pPr>
    </w:p>
    <w:p w14:paraId="133F49CA" w14:textId="77777777" w:rsidR="002B797B" w:rsidRPr="00C61BD6" w:rsidRDefault="002B797B" w:rsidP="002B797B">
      <w:pPr>
        <w:pStyle w:val="Corpsdetexte"/>
        <w:rPr>
          <w:i/>
          <w:sz w:val="21"/>
          <w:szCs w:val="21"/>
        </w:rPr>
      </w:pPr>
      <w:r w:rsidRPr="00C61BD6">
        <w:rPr>
          <w:i/>
          <w:sz w:val="21"/>
          <w:szCs w:val="21"/>
        </w:rPr>
        <w:t>Maximiser le financement du développement et la coordination avec la Société Financière Internationale (SFI)</w:t>
      </w:r>
    </w:p>
    <w:p w14:paraId="7DFE97DB" w14:textId="77777777" w:rsidR="002B797B" w:rsidRPr="00C61BD6" w:rsidRDefault="002B797B" w:rsidP="002B797B">
      <w:pPr>
        <w:pStyle w:val="Corpsdetexte"/>
        <w:spacing w:before="7"/>
        <w:rPr>
          <w:sz w:val="21"/>
          <w:szCs w:val="21"/>
        </w:rPr>
      </w:pPr>
    </w:p>
    <w:p w14:paraId="2B14A5B8" w14:textId="1850ACF8" w:rsidR="002B797B" w:rsidRPr="00C61BD6" w:rsidRDefault="002B797B" w:rsidP="002B797B">
      <w:pPr>
        <w:pStyle w:val="Corpsdetexte"/>
        <w:spacing w:line="259" w:lineRule="auto"/>
        <w:ind w:right="95"/>
        <w:rPr>
          <w:sz w:val="21"/>
          <w:szCs w:val="21"/>
        </w:rPr>
      </w:pPr>
      <w:r w:rsidRPr="00C61BD6">
        <w:rPr>
          <w:sz w:val="21"/>
          <w:szCs w:val="21"/>
        </w:rPr>
        <w:t>La préparation du projet a également permis de développer les domaines d'intervention conjointe de la Banque mondiale et de la SFI en matière de développement agricole et d'agri-finance. L'objectif est de créer des marchés pour les agro-industries et les PME agro-commerciales et de renforcer les bases des investissements du secteur privé tout au long de la chaîne de valeur. Un large éventail d'actions dans diverses parties de l'</w:t>
      </w:r>
      <w:r w:rsidR="00402896" w:rsidRPr="00C61BD6">
        <w:rPr>
          <w:sz w:val="21"/>
          <w:szCs w:val="21"/>
        </w:rPr>
        <w:t>écosystème</w:t>
      </w:r>
      <w:r w:rsidRPr="00C61BD6">
        <w:rPr>
          <w:sz w:val="21"/>
          <w:szCs w:val="21"/>
        </w:rPr>
        <w:t xml:space="preserve"> de l'agriculture contribuera à maximiser le financement du développement dans ce secteur : (a) analyses approfondies conjointes de la Banque et de la SFI sur des chaînes de valeur sélectionnées pour aider à comprendre la cause des défaillances du marché et élaborer des recommandations concrètes sur l</w:t>
      </w:r>
      <w:r w:rsidR="005068C4" w:rsidRPr="00C61BD6">
        <w:rPr>
          <w:sz w:val="21"/>
          <w:szCs w:val="21"/>
        </w:rPr>
        <w:t>a</w:t>
      </w:r>
      <w:r w:rsidRPr="00C61BD6">
        <w:rPr>
          <w:sz w:val="21"/>
          <w:szCs w:val="21"/>
        </w:rPr>
        <w:t xml:space="preserve"> </w:t>
      </w:r>
      <w:r w:rsidR="00423F2F" w:rsidRPr="00C61BD6">
        <w:rPr>
          <w:sz w:val="21"/>
          <w:szCs w:val="21"/>
        </w:rPr>
        <w:t>Mobilisation de</w:t>
      </w:r>
      <w:r w:rsidR="005068C4" w:rsidRPr="00C61BD6">
        <w:rPr>
          <w:sz w:val="21"/>
          <w:szCs w:val="21"/>
        </w:rPr>
        <w:t xml:space="preserve"> financement pour le développemen</w:t>
      </w:r>
      <w:r w:rsidR="00423F2F" w:rsidRPr="00C61BD6">
        <w:rPr>
          <w:sz w:val="21"/>
          <w:szCs w:val="21"/>
        </w:rPr>
        <w:t>t</w:t>
      </w:r>
      <w:r w:rsidR="005068C4" w:rsidRPr="00C61BD6">
        <w:rPr>
          <w:sz w:val="21"/>
          <w:szCs w:val="21"/>
        </w:rPr>
        <w:t xml:space="preserve"> </w:t>
      </w:r>
      <w:r w:rsidR="00423F2F" w:rsidRPr="00C61BD6">
        <w:rPr>
          <w:sz w:val="21"/>
          <w:szCs w:val="21"/>
        </w:rPr>
        <w:t>(</w:t>
      </w:r>
      <w:r w:rsidRPr="00C61BD6">
        <w:rPr>
          <w:sz w:val="21"/>
          <w:szCs w:val="21"/>
        </w:rPr>
        <w:t>MFD</w:t>
      </w:r>
      <w:r w:rsidR="00423F2F" w:rsidRPr="00C61BD6">
        <w:rPr>
          <w:sz w:val="21"/>
          <w:szCs w:val="21"/>
        </w:rPr>
        <w:t>)</w:t>
      </w:r>
      <w:r w:rsidRPr="00C61BD6">
        <w:rPr>
          <w:sz w:val="21"/>
          <w:szCs w:val="21"/>
        </w:rPr>
        <w:t xml:space="preserve"> ; (b) activités de la phase 1 du projet pour aider à réduire les risques dans tous les segments de la chaîne d'approvisionnement et ouvrir la voie à l'engagement de la SFI auprès des clients du secteur privé ; (c) collaboration et partenariats directs entre le public et le privé, par le biais de plateformes mult</w:t>
      </w:r>
      <w:r w:rsidR="00423F2F" w:rsidRPr="00C61BD6">
        <w:rPr>
          <w:sz w:val="21"/>
          <w:szCs w:val="21"/>
        </w:rPr>
        <w:t>i-ministérielles, sur la base de la</w:t>
      </w:r>
      <w:r w:rsidRPr="00C61BD6">
        <w:rPr>
          <w:sz w:val="21"/>
          <w:szCs w:val="21"/>
        </w:rPr>
        <w:t xml:space="preserve"> MFD par le biais d'ateliers, de tables rondes, de conférences et d'autres forums où les informations sont échangées.</w:t>
      </w:r>
    </w:p>
    <w:p w14:paraId="522652BE" w14:textId="77777777" w:rsidR="002B797B" w:rsidRPr="00C61BD6" w:rsidRDefault="002B797B" w:rsidP="002B797B">
      <w:pPr>
        <w:pStyle w:val="Corpsdetexte"/>
        <w:spacing w:line="259" w:lineRule="auto"/>
        <w:ind w:right="-46"/>
        <w:rPr>
          <w:sz w:val="21"/>
          <w:szCs w:val="21"/>
        </w:rPr>
      </w:pPr>
    </w:p>
    <w:p w14:paraId="23412721" w14:textId="77777777" w:rsidR="002B797B" w:rsidRPr="00C61BD6" w:rsidRDefault="002B797B" w:rsidP="002B797B">
      <w:pPr>
        <w:pStyle w:val="Corpsdetexte"/>
        <w:rPr>
          <w:i/>
          <w:sz w:val="21"/>
          <w:szCs w:val="21"/>
        </w:rPr>
      </w:pPr>
      <w:r w:rsidRPr="00C61BD6">
        <w:rPr>
          <w:i/>
          <w:sz w:val="21"/>
          <w:szCs w:val="21"/>
        </w:rPr>
        <w:t>Digital</w:t>
      </w:r>
    </w:p>
    <w:p w14:paraId="1586EA3E" w14:textId="77777777" w:rsidR="002B797B" w:rsidRPr="00C61BD6" w:rsidRDefault="002B797B" w:rsidP="002B797B">
      <w:pPr>
        <w:pStyle w:val="Corpsdetexte"/>
        <w:rPr>
          <w:i/>
          <w:sz w:val="21"/>
          <w:szCs w:val="21"/>
        </w:rPr>
      </w:pPr>
    </w:p>
    <w:p w14:paraId="73D50A69" w14:textId="23F4D115" w:rsidR="002B797B" w:rsidRPr="00C61BD6" w:rsidRDefault="002B797B" w:rsidP="002B797B">
      <w:pPr>
        <w:pStyle w:val="Corpsdetexte"/>
        <w:spacing w:before="22" w:line="259" w:lineRule="auto"/>
        <w:ind w:right="95"/>
        <w:rPr>
          <w:sz w:val="21"/>
          <w:szCs w:val="21"/>
        </w:rPr>
      </w:pPr>
      <w:r w:rsidRPr="00C61BD6">
        <w:rPr>
          <w:sz w:val="21"/>
          <w:szCs w:val="21"/>
        </w:rPr>
        <w:t xml:space="preserve">Les solutions numériques ont été intégrées au projet proposé dans toutes les sous-composantes. Les outils numériques seront exploités pour : (a) la gestion de projet, en particulier pour le suivi à distance des activités de mise en œuvre du projet par le biais de l'initiative </w:t>
      </w:r>
      <w:r w:rsidR="005068C4" w:rsidRPr="00C61BD6">
        <w:rPr>
          <w:sz w:val="21"/>
          <w:szCs w:val="21"/>
        </w:rPr>
        <w:t xml:space="preserve">Surveillance et soutien géo-stratégique </w:t>
      </w:r>
      <w:r w:rsidRPr="00C61BD6">
        <w:rPr>
          <w:sz w:val="21"/>
          <w:szCs w:val="21"/>
        </w:rPr>
        <w:t>de la Banque mondiale, avec des collaborations stratégiques avec l'Agence spatiale européenne pour le suivi de la déforestation et des réseaux de transport dans les zones d'intervention ; (b) la promotion des améliorations de l'accès et de l'adoption du numérique par des institutions spécifiques du secteur public pour fournir des biens et services publics agricoles ; (c) l'accès au financement par les petits exploitants agricoles, en utilisant les technologies et les réseaux numériques pour fournir un soutien aux petits exploitants agricoles et permettre leur inclusion financière (systèmes de paiement électronique) ; et (d) le soutien à l'adoption et à l'investissement dans les technologies agricoles numériques par les PME agricoles.</w:t>
      </w:r>
    </w:p>
    <w:p w14:paraId="4EFD5FB2" w14:textId="77777777" w:rsidR="002B797B" w:rsidRPr="00C61BD6" w:rsidRDefault="002B797B" w:rsidP="002B797B">
      <w:pPr>
        <w:rPr>
          <w:rFonts w:cs="Arial"/>
          <w:szCs w:val="21"/>
        </w:rPr>
      </w:pPr>
    </w:p>
    <w:p w14:paraId="694D0BC0" w14:textId="77777777" w:rsidR="002B797B" w:rsidRPr="00C61BD6" w:rsidRDefault="002B797B" w:rsidP="002B797B">
      <w:pPr>
        <w:rPr>
          <w:i/>
          <w:szCs w:val="21"/>
        </w:rPr>
      </w:pPr>
      <w:r w:rsidRPr="00C61BD6">
        <w:rPr>
          <w:i/>
          <w:szCs w:val="21"/>
        </w:rPr>
        <w:t>Genre</w:t>
      </w:r>
    </w:p>
    <w:p w14:paraId="4BC8A7A8" w14:textId="77777777" w:rsidR="002B797B" w:rsidRPr="00C61BD6" w:rsidRDefault="002B797B" w:rsidP="002B797B">
      <w:pPr>
        <w:rPr>
          <w:i/>
          <w:szCs w:val="21"/>
        </w:rPr>
      </w:pPr>
    </w:p>
    <w:p w14:paraId="6BD4A8E0" w14:textId="7B586450" w:rsidR="002B797B" w:rsidRPr="00C61BD6" w:rsidRDefault="002B797B" w:rsidP="002B797B">
      <w:pPr>
        <w:rPr>
          <w:szCs w:val="21"/>
        </w:rPr>
      </w:pPr>
      <w:r w:rsidRPr="00C61BD6">
        <w:rPr>
          <w:szCs w:val="21"/>
        </w:rPr>
        <w:t>Les écarts entre les sexes dans le secteur de l'agriculture seront abordés en améliorant l'accès des femmes aux intrants, aux technologies et au financement, et en utilisant des approches et des méthodologies qui garantissent la pleine participation des femmes et leur bénéfice des activités et du financement du projet. La programmation sensible au genre et la sensibilisation au rôle et à la contribution</w:t>
      </w:r>
      <w:r w:rsidRPr="00C61BD6">
        <w:rPr>
          <w:spacing w:val="-5"/>
          <w:szCs w:val="21"/>
        </w:rPr>
        <w:t xml:space="preserve"> </w:t>
      </w:r>
      <w:r w:rsidRPr="00C61BD6">
        <w:rPr>
          <w:szCs w:val="21"/>
        </w:rPr>
        <w:t>significative</w:t>
      </w:r>
      <w:r w:rsidRPr="00C61BD6">
        <w:rPr>
          <w:spacing w:val="-5"/>
          <w:szCs w:val="21"/>
        </w:rPr>
        <w:t xml:space="preserve"> </w:t>
      </w:r>
      <w:r w:rsidRPr="00C61BD6">
        <w:rPr>
          <w:szCs w:val="21"/>
        </w:rPr>
        <w:t>des</w:t>
      </w:r>
      <w:r w:rsidRPr="00C61BD6">
        <w:rPr>
          <w:spacing w:val="-3"/>
          <w:szCs w:val="21"/>
        </w:rPr>
        <w:t xml:space="preserve"> </w:t>
      </w:r>
      <w:r w:rsidRPr="00C61BD6">
        <w:rPr>
          <w:szCs w:val="21"/>
        </w:rPr>
        <w:t>femmes</w:t>
      </w:r>
      <w:r w:rsidRPr="00C61BD6">
        <w:rPr>
          <w:spacing w:val="-3"/>
          <w:szCs w:val="21"/>
        </w:rPr>
        <w:t xml:space="preserve"> </w:t>
      </w:r>
      <w:r w:rsidRPr="00C61BD6">
        <w:rPr>
          <w:szCs w:val="21"/>
        </w:rPr>
        <w:t>dans</w:t>
      </w:r>
      <w:r w:rsidRPr="00C61BD6">
        <w:rPr>
          <w:spacing w:val="-6"/>
          <w:szCs w:val="21"/>
        </w:rPr>
        <w:t xml:space="preserve"> </w:t>
      </w:r>
      <w:r w:rsidRPr="00C61BD6">
        <w:rPr>
          <w:szCs w:val="21"/>
        </w:rPr>
        <w:t>le</w:t>
      </w:r>
      <w:r w:rsidRPr="00C61BD6">
        <w:rPr>
          <w:spacing w:val="-6"/>
          <w:szCs w:val="21"/>
        </w:rPr>
        <w:t xml:space="preserve"> </w:t>
      </w:r>
      <w:r w:rsidRPr="00C61BD6">
        <w:rPr>
          <w:szCs w:val="21"/>
        </w:rPr>
        <w:t>secteur</w:t>
      </w:r>
      <w:r w:rsidRPr="00C61BD6">
        <w:rPr>
          <w:spacing w:val="-9"/>
          <w:szCs w:val="21"/>
        </w:rPr>
        <w:t xml:space="preserve"> </w:t>
      </w:r>
      <w:r w:rsidRPr="00C61BD6">
        <w:rPr>
          <w:szCs w:val="21"/>
        </w:rPr>
        <w:t>agricole</w:t>
      </w:r>
      <w:r w:rsidRPr="00C61BD6">
        <w:rPr>
          <w:spacing w:val="-6"/>
          <w:szCs w:val="21"/>
        </w:rPr>
        <w:t xml:space="preserve"> </w:t>
      </w:r>
      <w:r w:rsidRPr="00C61BD6">
        <w:rPr>
          <w:szCs w:val="21"/>
        </w:rPr>
        <w:t>seront</w:t>
      </w:r>
      <w:r w:rsidRPr="00C61BD6">
        <w:rPr>
          <w:spacing w:val="-6"/>
          <w:szCs w:val="21"/>
        </w:rPr>
        <w:t xml:space="preserve"> </w:t>
      </w:r>
      <w:r w:rsidRPr="00C61BD6">
        <w:rPr>
          <w:szCs w:val="21"/>
        </w:rPr>
        <w:t>intégrées</w:t>
      </w:r>
      <w:r w:rsidRPr="00C61BD6">
        <w:rPr>
          <w:spacing w:val="-6"/>
          <w:szCs w:val="21"/>
        </w:rPr>
        <w:t xml:space="preserve"> </w:t>
      </w:r>
      <w:r w:rsidRPr="00C61BD6">
        <w:rPr>
          <w:szCs w:val="21"/>
        </w:rPr>
        <w:t>dans</w:t>
      </w:r>
      <w:r w:rsidRPr="00C61BD6">
        <w:rPr>
          <w:spacing w:val="-4"/>
          <w:szCs w:val="21"/>
        </w:rPr>
        <w:t xml:space="preserve"> </w:t>
      </w:r>
      <w:r w:rsidRPr="00C61BD6">
        <w:rPr>
          <w:szCs w:val="21"/>
        </w:rPr>
        <w:t>les</w:t>
      </w:r>
      <w:r w:rsidRPr="00C61BD6">
        <w:rPr>
          <w:spacing w:val="-5"/>
          <w:szCs w:val="21"/>
        </w:rPr>
        <w:t xml:space="preserve"> </w:t>
      </w:r>
      <w:r w:rsidRPr="00C61BD6">
        <w:rPr>
          <w:szCs w:val="21"/>
        </w:rPr>
        <w:t>campagnes</w:t>
      </w:r>
      <w:r w:rsidRPr="00C61BD6">
        <w:rPr>
          <w:spacing w:val="-5"/>
          <w:szCs w:val="21"/>
        </w:rPr>
        <w:t xml:space="preserve"> </w:t>
      </w:r>
      <w:r w:rsidRPr="00C61BD6">
        <w:rPr>
          <w:szCs w:val="21"/>
        </w:rPr>
        <w:t>de communication ainsi que dans les interventions de formation et de changement de comportement pendant toute la durée d</w:t>
      </w:r>
      <w:r w:rsidR="00423F2F" w:rsidRPr="00C61BD6">
        <w:rPr>
          <w:szCs w:val="21"/>
        </w:rPr>
        <w:t>e la série de projets</w:t>
      </w:r>
      <w:r w:rsidRPr="00C61BD6">
        <w:rPr>
          <w:szCs w:val="21"/>
        </w:rPr>
        <w:t>. Le projet proposé contribuera également à réduire le risque de violence</w:t>
      </w:r>
      <w:r w:rsidRPr="00C61BD6">
        <w:rPr>
          <w:spacing w:val="-14"/>
          <w:szCs w:val="21"/>
        </w:rPr>
        <w:t xml:space="preserve"> </w:t>
      </w:r>
      <w:r w:rsidRPr="00C61BD6">
        <w:rPr>
          <w:szCs w:val="21"/>
        </w:rPr>
        <w:t>sexiste</w:t>
      </w:r>
      <w:r w:rsidRPr="00C61BD6">
        <w:rPr>
          <w:spacing w:val="-13"/>
          <w:szCs w:val="21"/>
        </w:rPr>
        <w:t xml:space="preserve"> </w:t>
      </w:r>
      <w:r w:rsidRPr="00C61BD6">
        <w:rPr>
          <w:szCs w:val="21"/>
        </w:rPr>
        <w:t>en</w:t>
      </w:r>
      <w:r w:rsidRPr="00C61BD6">
        <w:rPr>
          <w:spacing w:val="-11"/>
          <w:szCs w:val="21"/>
        </w:rPr>
        <w:t xml:space="preserve"> </w:t>
      </w:r>
      <w:r w:rsidRPr="00C61BD6">
        <w:rPr>
          <w:szCs w:val="21"/>
        </w:rPr>
        <w:t>s'efforçant</w:t>
      </w:r>
      <w:r w:rsidRPr="00C61BD6">
        <w:rPr>
          <w:spacing w:val="-11"/>
          <w:szCs w:val="21"/>
        </w:rPr>
        <w:t xml:space="preserve"> </w:t>
      </w:r>
      <w:r w:rsidRPr="00C61BD6">
        <w:rPr>
          <w:szCs w:val="21"/>
        </w:rPr>
        <w:t>de</w:t>
      </w:r>
      <w:r w:rsidRPr="00C61BD6">
        <w:rPr>
          <w:spacing w:val="-13"/>
          <w:szCs w:val="21"/>
        </w:rPr>
        <w:t xml:space="preserve"> </w:t>
      </w:r>
      <w:r w:rsidRPr="00C61BD6">
        <w:rPr>
          <w:szCs w:val="21"/>
        </w:rPr>
        <w:t>modifier</w:t>
      </w:r>
      <w:r w:rsidRPr="00C61BD6">
        <w:rPr>
          <w:spacing w:val="-13"/>
          <w:szCs w:val="21"/>
        </w:rPr>
        <w:t xml:space="preserve"> </w:t>
      </w:r>
      <w:r w:rsidRPr="00C61BD6">
        <w:rPr>
          <w:szCs w:val="21"/>
        </w:rPr>
        <w:t>les</w:t>
      </w:r>
      <w:r w:rsidRPr="00C61BD6">
        <w:rPr>
          <w:spacing w:val="-13"/>
          <w:szCs w:val="21"/>
        </w:rPr>
        <w:t xml:space="preserve"> </w:t>
      </w:r>
      <w:r w:rsidRPr="00C61BD6">
        <w:rPr>
          <w:szCs w:val="21"/>
        </w:rPr>
        <w:t>normes</w:t>
      </w:r>
      <w:r w:rsidRPr="00C61BD6">
        <w:rPr>
          <w:spacing w:val="-16"/>
          <w:szCs w:val="21"/>
        </w:rPr>
        <w:t xml:space="preserve"> </w:t>
      </w:r>
      <w:r w:rsidRPr="00C61BD6">
        <w:rPr>
          <w:szCs w:val="21"/>
        </w:rPr>
        <w:t>et</w:t>
      </w:r>
      <w:r w:rsidRPr="00C61BD6">
        <w:rPr>
          <w:spacing w:val="-11"/>
          <w:szCs w:val="21"/>
        </w:rPr>
        <w:t xml:space="preserve"> </w:t>
      </w:r>
      <w:r w:rsidRPr="00C61BD6">
        <w:rPr>
          <w:szCs w:val="21"/>
        </w:rPr>
        <w:t>attitudes</w:t>
      </w:r>
      <w:r w:rsidRPr="00C61BD6">
        <w:rPr>
          <w:spacing w:val="-13"/>
          <w:szCs w:val="21"/>
        </w:rPr>
        <w:t xml:space="preserve"> </w:t>
      </w:r>
      <w:r w:rsidRPr="00C61BD6">
        <w:rPr>
          <w:szCs w:val="21"/>
        </w:rPr>
        <w:t>sexistes</w:t>
      </w:r>
      <w:r w:rsidRPr="00C61BD6">
        <w:rPr>
          <w:spacing w:val="-11"/>
          <w:szCs w:val="21"/>
        </w:rPr>
        <w:t xml:space="preserve"> </w:t>
      </w:r>
      <w:r w:rsidRPr="00C61BD6">
        <w:rPr>
          <w:szCs w:val="21"/>
        </w:rPr>
        <w:t>préjudiciables</w:t>
      </w:r>
      <w:r w:rsidRPr="00C61BD6">
        <w:rPr>
          <w:spacing w:val="-11"/>
          <w:szCs w:val="21"/>
        </w:rPr>
        <w:t xml:space="preserve"> </w:t>
      </w:r>
      <w:r w:rsidRPr="00C61BD6">
        <w:rPr>
          <w:szCs w:val="21"/>
        </w:rPr>
        <w:t>sous-jacentes et de renforcer l'autonomie socio-économique des agricultrices. Les lacunes en matière de genre que ce</w:t>
      </w:r>
      <w:r w:rsidR="00423F2F" w:rsidRPr="00C61BD6">
        <w:rPr>
          <w:szCs w:val="21"/>
        </w:rPr>
        <w:t>tte série de projets</w:t>
      </w:r>
      <w:r w:rsidRPr="00C61BD6">
        <w:rPr>
          <w:szCs w:val="21"/>
        </w:rPr>
        <w:t xml:space="preserve"> vise à combler ont été identifiées à l'aide du cadre général de la Stratégie de genre 2016-2023 du</w:t>
      </w:r>
      <w:r w:rsidRPr="00C61BD6">
        <w:rPr>
          <w:spacing w:val="-6"/>
          <w:szCs w:val="21"/>
        </w:rPr>
        <w:t xml:space="preserve"> </w:t>
      </w:r>
      <w:r w:rsidRPr="00C61BD6">
        <w:rPr>
          <w:szCs w:val="21"/>
        </w:rPr>
        <w:t>GBM</w:t>
      </w:r>
      <w:r w:rsidRPr="00C61BD6">
        <w:rPr>
          <w:spacing w:val="-5"/>
          <w:szCs w:val="21"/>
        </w:rPr>
        <w:t xml:space="preserve"> </w:t>
      </w:r>
      <w:r w:rsidRPr="00C61BD6">
        <w:rPr>
          <w:szCs w:val="21"/>
        </w:rPr>
        <w:t>;</w:t>
      </w:r>
      <w:r w:rsidRPr="00C61BD6">
        <w:rPr>
          <w:spacing w:val="-5"/>
          <w:szCs w:val="21"/>
        </w:rPr>
        <w:t xml:space="preserve"> </w:t>
      </w:r>
      <w:r w:rsidRPr="00C61BD6">
        <w:rPr>
          <w:szCs w:val="21"/>
        </w:rPr>
        <w:t>de</w:t>
      </w:r>
      <w:r w:rsidRPr="00C61BD6">
        <w:rPr>
          <w:spacing w:val="-5"/>
          <w:szCs w:val="21"/>
        </w:rPr>
        <w:t xml:space="preserve"> </w:t>
      </w:r>
      <w:r w:rsidRPr="00C61BD6">
        <w:rPr>
          <w:szCs w:val="21"/>
        </w:rPr>
        <w:t>la</w:t>
      </w:r>
      <w:r w:rsidRPr="00C61BD6">
        <w:rPr>
          <w:spacing w:val="-6"/>
          <w:szCs w:val="21"/>
        </w:rPr>
        <w:t xml:space="preserve"> </w:t>
      </w:r>
      <w:r w:rsidRPr="00C61BD6">
        <w:rPr>
          <w:szCs w:val="21"/>
        </w:rPr>
        <w:t>Note</w:t>
      </w:r>
      <w:r w:rsidRPr="00C61BD6">
        <w:rPr>
          <w:spacing w:val="-5"/>
          <w:szCs w:val="21"/>
        </w:rPr>
        <w:t xml:space="preserve"> </w:t>
      </w:r>
      <w:r w:rsidRPr="00C61BD6">
        <w:rPr>
          <w:szCs w:val="21"/>
        </w:rPr>
        <w:t>de</w:t>
      </w:r>
      <w:r w:rsidRPr="00C61BD6">
        <w:rPr>
          <w:spacing w:val="-5"/>
          <w:szCs w:val="21"/>
        </w:rPr>
        <w:t xml:space="preserve"> </w:t>
      </w:r>
      <w:r w:rsidRPr="00C61BD6">
        <w:rPr>
          <w:szCs w:val="21"/>
        </w:rPr>
        <w:t>suivi</w:t>
      </w:r>
      <w:r w:rsidRPr="00C61BD6">
        <w:rPr>
          <w:spacing w:val="-6"/>
          <w:szCs w:val="21"/>
        </w:rPr>
        <w:t xml:space="preserve"> </w:t>
      </w:r>
      <w:r w:rsidRPr="00C61BD6">
        <w:rPr>
          <w:szCs w:val="21"/>
        </w:rPr>
        <w:t>des</w:t>
      </w:r>
      <w:r w:rsidRPr="00C61BD6">
        <w:rPr>
          <w:spacing w:val="-5"/>
          <w:szCs w:val="21"/>
        </w:rPr>
        <w:t xml:space="preserve"> </w:t>
      </w:r>
      <w:r w:rsidRPr="00C61BD6">
        <w:rPr>
          <w:szCs w:val="21"/>
        </w:rPr>
        <w:t>pratiques</w:t>
      </w:r>
      <w:r w:rsidRPr="00C61BD6">
        <w:rPr>
          <w:spacing w:val="-5"/>
          <w:szCs w:val="21"/>
        </w:rPr>
        <w:t xml:space="preserve"> </w:t>
      </w:r>
      <w:r w:rsidRPr="00C61BD6">
        <w:rPr>
          <w:szCs w:val="21"/>
        </w:rPr>
        <w:t>globales</w:t>
      </w:r>
      <w:r w:rsidRPr="00C61BD6">
        <w:rPr>
          <w:spacing w:val="-8"/>
          <w:szCs w:val="21"/>
        </w:rPr>
        <w:t xml:space="preserve"> </w:t>
      </w:r>
      <w:r w:rsidRPr="00C61BD6">
        <w:rPr>
          <w:szCs w:val="21"/>
        </w:rPr>
        <w:t>en</w:t>
      </w:r>
      <w:r w:rsidRPr="00C61BD6">
        <w:rPr>
          <w:spacing w:val="-8"/>
          <w:szCs w:val="21"/>
        </w:rPr>
        <w:t xml:space="preserve"> </w:t>
      </w:r>
      <w:r w:rsidRPr="00C61BD6">
        <w:rPr>
          <w:szCs w:val="21"/>
        </w:rPr>
        <w:t>matière</w:t>
      </w:r>
      <w:r w:rsidRPr="00C61BD6">
        <w:rPr>
          <w:spacing w:val="-5"/>
          <w:szCs w:val="21"/>
        </w:rPr>
        <w:t xml:space="preserve"> </w:t>
      </w:r>
      <w:r w:rsidRPr="00C61BD6">
        <w:rPr>
          <w:szCs w:val="21"/>
        </w:rPr>
        <w:t>d'agriculture</w:t>
      </w:r>
      <w:r w:rsidRPr="00C61BD6">
        <w:rPr>
          <w:spacing w:val="-8"/>
          <w:szCs w:val="21"/>
        </w:rPr>
        <w:t xml:space="preserve"> </w:t>
      </w:r>
      <w:r w:rsidRPr="00C61BD6">
        <w:rPr>
          <w:szCs w:val="21"/>
        </w:rPr>
        <w:t>et</w:t>
      </w:r>
      <w:r w:rsidRPr="00C61BD6">
        <w:rPr>
          <w:spacing w:val="-5"/>
          <w:szCs w:val="21"/>
        </w:rPr>
        <w:t xml:space="preserve"> </w:t>
      </w:r>
      <w:r w:rsidRPr="00C61BD6">
        <w:rPr>
          <w:szCs w:val="21"/>
        </w:rPr>
        <w:t>d'alimentation</w:t>
      </w:r>
      <w:r w:rsidRPr="00C61BD6">
        <w:rPr>
          <w:spacing w:val="-6"/>
          <w:szCs w:val="21"/>
        </w:rPr>
        <w:t xml:space="preserve"> </w:t>
      </w:r>
      <w:r w:rsidRPr="00C61BD6">
        <w:rPr>
          <w:szCs w:val="21"/>
        </w:rPr>
        <w:t>pour</w:t>
      </w:r>
      <w:r w:rsidRPr="00C61BD6">
        <w:rPr>
          <w:spacing w:val="-6"/>
          <w:szCs w:val="21"/>
        </w:rPr>
        <w:t xml:space="preserve"> </w:t>
      </w:r>
      <w:r w:rsidRPr="00C61BD6">
        <w:rPr>
          <w:szCs w:val="21"/>
        </w:rPr>
        <w:t>les exercices 2019-2021 ; et du dépistage des risques d'exploitation et d'abus sex</w:t>
      </w:r>
      <w:r w:rsidR="005068C4" w:rsidRPr="00C61BD6">
        <w:rPr>
          <w:szCs w:val="21"/>
        </w:rPr>
        <w:t>uels et de harcèlement sexuel (</w:t>
      </w:r>
      <w:r w:rsidRPr="00C61BD6">
        <w:rPr>
          <w:szCs w:val="21"/>
        </w:rPr>
        <w:t>EA</w:t>
      </w:r>
      <w:r w:rsidR="005068C4" w:rsidRPr="00C61BD6">
        <w:rPr>
          <w:szCs w:val="21"/>
        </w:rPr>
        <w:t>S/</w:t>
      </w:r>
      <w:r w:rsidRPr="00C61BD6">
        <w:rPr>
          <w:szCs w:val="21"/>
        </w:rPr>
        <w:t>H</w:t>
      </w:r>
      <w:r w:rsidR="005068C4" w:rsidRPr="00C61BD6">
        <w:rPr>
          <w:szCs w:val="21"/>
        </w:rPr>
        <w:t>S</w:t>
      </w:r>
      <w:r w:rsidRPr="00C61BD6">
        <w:rPr>
          <w:szCs w:val="21"/>
        </w:rPr>
        <w:t>) effectué lors de la préparation du Projet. Le Projet adoptera une approche par ét</w:t>
      </w:r>
      <w:r w:rsidR="00423F2F" w:rsidRPr="00C61BD6">
        <w:rPr>
          <w:szCs w:val="21"/>
        </w:rPr>
        <w:t>apes où, pendant le lancement de la série de projets</w:t>
      </w:r>
      <w:r w:rsidRPr="00C61BD6">
        <w:rPr>
          <w:szCs w:val="21"/>
        </w:rPr>
        <w:t xml:space="preserve">, l'accent sera mis sur la sensibilisation et le renforcement des capacités des parties prenantes (tant au niveau national que provincial) pour identifier et traiter les lacunes et les contraintes auxquelles les femmes sont confrontées afin de renforcer la participation aux activités et au financement du Projet et les avantages réalisés par les femmes. Au cours de cette première phase, les progrès seront mesurés en utilisant principalement des indicateurs ventilés par </w:t>
      </w:r>
      <w:r w:rsidRPr="00C61BD6">
        <w:rPr>
          <w:w w:val="95"/>
          <w:szCs w:val="21"/>
        </w:rPr>
        <w:t>sexe.</w:t>
      </w:r>
      <w:r w:rsidRPr="00C61BD6">
        <w:rPr>
          <w:spacing w:val="-33"/>
          <w:w w:val="95"/>
          <w:szCs w:val="21"/>
        </w:rPr>
        <w:t xml:space="preserve"> </w:t>
      </w:r>
      <w:r w:rsidRPr="00C61BD6">
        <w:rPr>
          <w:w w:val="95"/>
          <w:szCs w:val="21"/>
        </w:rPr>
        <w:t>À</w:t>
      </w:r>
      <w:r w:rsidRPr="00C61BD6">
        <w:rPr>
          <w:spacing w:val="-32"/>
          <w:w w:val="95"/>
          <w:szCs w:val="21"/>
        </w:rPr>
        <w:t xml:space="preserve"> </w:t>
      </w:r>
      <w:r w:rsidRPr="00C61BD6">
        <w:rPr>
          <w:w w:val="95"/>
          <w:szCs w:val="21"/>
        </w:rPr>
        <w:t>un</w:t>
      </w:r>
      <w:r w:rsidRPr="00C61BD6">
        <w:rPr>
          <w:spacing w:val="-34"/>
          <w:w w:val="95"/>
          <w:szCs w:val="21"/>
        </w:rPr>
        <w:t xml:space="preserve"> </w:t>
      </w:r>
      <w:r w:rsidRPr="00C61BD6">
        <w:rPr>
          <w:w w:val="95"/>
          <w:szCs w:val="21"/>
        </w:rPr>
        <w:t>stade</w:t>
      </w:r>
      <w:r w:rsidRPr="00C61BD6">
        <w:rPr>
          <w:spacing w:val="-32"/>
          <w:w w:val="95"/>
          <w:szCs w:val="21"/>
        </w:rPr>
        <w:t xml:space="preserve"> </w:t>
      </w:r>
      <w:r w:rsidRPr="00C61BD6">
        <w:rPr>
          <w:w w:val="95"/>
          <w:szCs w:val="21"/>
        </w:rPr>
        <w:t>ultérieur</w:t>
      </w:r>
      <w:r w:rsidRPr="00C61BD6">
        <w:rPr>
          <w:spacing w:val="-32"/>
          <w:w w:val="95"/>
          <w:szCs w:val="21"/>
        </w:rPr>
        <w:t xml:space="preserve"> </w:t>
      </w:r>
      <w:r w:rsidRPr="00C61BD6">
        <w:rPr>
          <w:w w:val="95"/>
          <w:szCs w:val="21"/>
        </w:rPr>
        <w:t>de</w:t>
      </w:r>
      <w:r w:rsidRPr="00C61BD6">
        <w:rPr>
          <w:spacing w:val="-32"/>
          <w:w w:val="95"/>
          <w:szCs w:val="21"/>
        </w:rPr>
        <w:t xml:space="preserve"> </w:t>
      </w:r>
      <w:r w:rsidRPr="00C61BD6">
        <w:rPr>
          <w:w w:val="95"/>
          <w:szCs w:val="21"/>
        </w:rPr>
        <w:t>la</w:t>
      </w:r>
      <w:r w:rsidRPr="00C61BD6">
        <w:rPr>
          <w:spacing w:val="-34"/>
          <w:w w:val="95"/>
          <w:szCs w:val="21"/>
        </w:rPr>
        <w:t xml:space="preserve"> </w:t>
      </w:r>
      <w:r w:rsidRPr="00C61BD6">
        <w:rPr>
          <w:w w:val="95"/>
          <w:szCs w:val="21"/>
        </w:rPr>
        <w:t>mise</w:t>
      </w:r>
      <w:r w:rsidRPr="00C61BD6">
        <w:rPr>
          <w:spacing w:val="-34"/>
          <w:w w:val="95"/>
          <w:szCs w:val="21"/>
        </w:rPr>
        <w:t xml:space="preserve"> </w:t>
      </w:r>
      <w:r w:rsidRPr="00C61BD6">
        <w:rPr>
          <w:w w:val="95"/>
          <w:szCs w:val="21"/>
        </w:rPr>
        <w:t>en</w:t>
      </w:r>
      <w:r w:rsidRPr="00C61BD6">
        <w:rPr>
          <w:spacing w:val="-32"/>
          <w:w w:val="95"/>
          <w:szCs w:val="21"/>
        </w:rPr>
        <w:t xml:space="preserve"> </w:t>
      </w:r>
      <w:r w:rsidRPr="00C61BD6">
        <w:rPr>
          <w:w w:val="95"/>
          <w:szCs w:val="21"/>
        </w:rPr>
        <w:t>œuvre,</w:t>
      </w:r>
      <w:r w:rsidRPr="00C61BD6">
        <w:rPr>
          <w:spacing w:val="-31"/>
          <w:w w:val="95"/>
          <w:szCs w:val="21"/>
        </w:rPr>
        <w:t xml:space="preserve"> </w:t>
      </w:r>
      <w:r w:rsidRPr="00C61BD6">
        <w:rPr>
          <w:w w:val="95"/>
          <w:szCs w:val="21"/>
        </w:rPr>
        <w:t>ces</w:t>
      </w:r>
      <w:r w:rsidRPr="00C61BD6">
        <w:rPr>
          <w:spacing w:val="-32"/>
          <w:w w:val="95"/>
          <w:szCs w:val="21"/>
        </w:rPr>
        <w:t xml:space="preserve"> </w:t>
      </w:r>
      <w:r w:rsidRPr="00C61BD6">
        <w:rPr>
          <w:w w:val="95"/>
          <w:szCs w:val="21"/>
        </w:rPr>
        <w:t>indicateurs</w:t>
      </w:r>
      <w:r w:rsidRPr="00C61BD6">
        <w:rPr>
          <w:spacing w:val="-32"/>
          <w:w w:val="95"/>
          <w:szCs w:val="21"/>
        </w:rPr>
        <w:t xml:space="preserve"> </w:t>
      </w:r>
      <w:r w:rsidRPr="00C61BD6">
        <w:rPr>
          <w:w w:val="95"/>
          <w:szCs w:val="21"/>
        </w:rPr>
        <w:t>seront</w:t>
      </w:r>
      <w:r w:rsidRPr="00C61BD6">
        <w:rPr>
          <w:spacing w:val="-32"/>
          <w:w w:val="95"/>
          <w:szCs w:val="21"/>
        </w:rPr>
        <w:t xml:space="preserve"> </w:t>
      </w:r>
      <w:r w:rsidRPr="00C61BD6">
        <w:rPr>
          <w:w w:val="95"/>
          <w:szCs w:val="21"/>
        </w:rPr>
        <w:t>complétés</w:t>
      </w:r>
      <w:r w:rsidRPr="00C61BD6">
        <w:rPr>
          <w:spacing w:val="-33"/>
          <w:w w:val="95"/>
          <w:szCs w:val="21"/>
        </w:rPr>
        <w:t xml:space="preserve"> </w:t>
      </w:r>
      <w:r w:rsidRPr="00C61BD6">
        <w:rPr>
          <w:w w:val="95"/>
          <w:szCs w:val="21"/>
        </w:rPr>
        <w:t>par</w:t>
      </w:r>
      <w:r w:rsidRPr="00C61BD6">
        <w:rPr>
          <w:spacing w:val="-32"/>
          <w:w w:val="95"/>
          <w:szCs w:val="21"/>
        </w:rPr>
        <w:t xml:space="preserve"> </w:t>
      </w:r>
      <w:r w:rsidRPr="00C61BD6">
        <w:rPr>
          <w:w w:val="95"/>
          <w:szCs w:val="21"/>
        </w:rPr>
        <w:t>d'autres</w:t>
      </w:r>
      <w:r w:rsidRPr="00C61BD6">
        <w:rPr>
          <w:spacing w:val="-34"/>
          <w:w w:val="95"/>
          <w:szCs w:val="21"/>
        </w:rPr>
        <w:t xml:space="preserve"> </w:t>
      </w:r>
      <w:r w:rsidRPr="00C61BD6">
        <w:rPr>
          <w:w w:val="95"/>
          <w:szCs w:val="21"/>
        </w:rPr>
        <w:t xml:space="preserve">mesurant </w:t>
      </w:r>
      <w:r w:rsidRPr="00C61BD6">
        <w:rPr>
          <w:szCs w:val="21"/>
        </w:rPr>
        <w:t>l'autonomisation économique des femmes et leur implication qualitative dans toutes les activités. Les investissements</w:t>
      </w:r>
      <w:r w:rsidRPr="00C61BD6">
        <w:rPr>
          <w:spacing w:val="-9"/>
          <w:szCs w:val="21"/>
        </w:rPr>
        <w:t xml:space="preserve"> </w:t>
      </w:r>
      <w:r w:rsidRPr="00C61BD6">
        <w:rPr>
          <w:szCs w:val="21"/>
        </w:rPr>
        <w:t>dans</w:t>
      </w:r>
      <w:r w:rsidRPr="00C61BD6">
        <w:rPr>
          <w:spacing w:val="-7"/>
          <w:szCs w:val="21"/>
        </w:rPr>
        <w:t xml:space="preserve"> </w:t>
      </w:r>
      <w:r w:rsidRPr="00C61BD6">
        <w:rPr>
          <w:szCs w:val="21"/>
        </w:rPr>
        <w:t>l'agriculture</w:t>
      </w:r>
      <w:r w:rsidRPr="00C61BD6">
        <w:rPr>
          <w:spacing w:val="-7"/>
          <w:szCs w:val="21"/>
        </w:rPr>
        <w:t xml:space="preserve"> </w:t>
      </w:r>
      <w:r w:rsidRPr="00C61BD6">
        <w:rPr>
          <w:szCs w:val="21"/>
        </w:rPr>
        <w:t>et</w:t>
      </w:r>
      <w:r w:rsidRPr="00C61BD6">
        <w:rPr>
          <w:spacing w:val="-5"/>
          <w:szCs w:val="21"/>
        </w:rPr>
        <w:t xml:space="preserve"> </w:t>
      </w:r>
      <w:r w:rsidRPr="00C61BD6">
        <w:rPr>
          <w:szCs w:val="21"/>
        </w:rPr>
        <w:t>le</w:t>
      </w:r>
      <w:r w:rsidRPr="00C61BD6">
        <w:rPr>
          <w:spacing w:val="-6"/>
          <w:szCs w:val="21"/>
        </w:rPr>
        <w:t xml:space="preserve"> </w:t>
      </w:r>
      <w:r w:rsidRPr="00C61BD6">
        <w:rPr>
          <w:szCs w:val="21"/>
        </w:rPr>
        <w:t>développement</w:t>
      </w:r>
      <w:r w:rsidRPr="00C61BD6">
        <w:rPr>
          <w:spacing w:val="-6"/>
          <w:szCs w:val="21"/>
        </w:rPr>
        <w:t xml:space="preserve"> </w:t>
      </w:r>
      <w:r w:rsidRPr="00C61BD6">
        <w:rPr>
          <w:szCs w:val="21"/>
        </w:rPr>
        <w:t>de</w:t>
      </w:r>
      <w:r w:rsidRPr="00C61BD6">
        <w:rPr>
          <w:spacing w:val="-8"/>
          <w:szCs w:val="21"/>
        </w:rPr>
        <w:t xml:space="preserve"> </w:t>
      </w:r>
      <w:r w:rsidRPr="00C61BD6">
        <w:rPr>
          <w:szCs w:val="21"/>
        </w:rPr>
        <w:t>compétences</w:t>
      </w:r>
      <w:r w:rsidRPr="00C61BD6">
        <w:rPr>
          <w:spacing w:val="-6"/>
          <w:szCs w:val="21"/>
        </w:rPr>
        <w:t xml:space="preserve"> </w:t>
      </w:r>
      <w:r w:rsidRPr="00C61BD6">
        <w:rPr>
          <w:szCs w:val="21"/>
        </w:rPr>
        <w:t>à</w:t>
      </w:r>
      <w:r w:rsidRPr="00C61BD6">
        <w:rPr>
          <w:spacing w:val="-8"/>
          <w:szCs w:val="21"/>
        </w:rPr>
        <w:t xml:space="preserve"> </w:t>
      </w:r>
      <w:r w:rsidRPr="00C61BD6">
        <w:rPr>
          <w:szCs w:val="21"/>
        </w:rPr>
        <w:t>valeur</w:t>
      </w:r>
      <w:r w:rsidRPr="00C61BD6">
        <w:rPr>
          <w:spacing w:val="-9"/>
          <w:szCs w:val="21"/>
        </w:rPr>
        <w:t xml:space="preserve"> </w:t>
      </w:r>
      <w:r w:rsidRPr="00C61BD6">
        <w:rPr>
          <w:szCs w:val="21"/>
        </w:rPr>
        <w:t>ajoutée,</w:t>
      </w:r>
      <w:r w:rsidRPr="00C61BD6">
        <w:rPr>
          <w:spacing w:val="-6"/>
          <w:szCs w:val="21"/>
        </w:rPr>
        <w:t xml:space="preserve"> </w:t>
      </w:r>
      <w:r w:rsidRPr="00C61BD6">
        <w:rPr>
          <w:szCs w:val="21"/>
        </w:rPr>
        <w:t>ainsi</w:t>
      </w:r>
      <w:r w:rsidRPr="00C61BD6">
        <w:rPr>
          <w:spacing w:val="-8"/>
          <w:szCs w:val="21"/>
        </w:rPr>
        <w:t xml:space="preserve"> </w:t>
      </w:r>
      <w:r w:rsidRPr="00C61BD6">
        <w:rPr>
          <w:szCs w:val="21"/>
        </w:rPr>
        <w:t>que</w:t>
      </w:r>
      <w:r w:rsidRPr="00C61BD6">
        <w:rPr>
          <w:spacing w:val="-6"/>
          <w:szCs w:val="21"/>
        </w:rPr>
        <w:t xml:space="preserve"> </w:t>
      </w:r>
      <w:r w:rsidRPr="00C61BD6">
        <w:rPr>
          <w:szCs w:val="21"/>
        </w:rPr>
        <w:t>les opportunités d'emploi, feront un effort spécifique pour répondre aux besoins des femmes, par exemple en développant des services de vulgarisation et de formation ciblés et inclusifs pour les femmes</w:t>
      </w:r>
      <w:r w:rsidRPr="00C61BD6">
        <w:rPr>
          <w:spacing w:val="-22"/>
          <w:szCs w:val="21"/>
        </w:rPr>
        <w:t xml:space="preserve"> </w:t>
      </w:r>
      <w:r w:rsidRPr="00C61BD6">
        <w:rPr>
          <w:szCs w:val="21"/>
        </w:rPr>
        <w:t>et</w:t>
      </w:r>
      <w:r w:rsidRPr="00C61BD6">
        <w:rPr>
          <w:spacing w:val="-21"/>
          <w:szCs w:val="21"/>
        </w:rPr>
        <w:t xml:space="preserve"> </w:t>
      </w:r>
      <w:r w:rsidRPr="00C61BD6">
        <w:rPr>
          <w:szCs w:val="21"/>
        </w:rPr>
        <w:t>en</w:t>
      </w:r>
      <w:r w:rsidRPr="00C61BD6">
        <w:rPr>
          <w:spacing w:val="-20"/>
          <w:szCs w:val="21"/>
        </w:rPr>
        <w:t xml:space="preserve"> </w:t>
      </w:r>
      <w:r w:rsidRPr="00C61BD6">
        <w:rPr>
          <w:szCs w:val="21"/>
        </w:rPr>
        <w:t>ajustant</w:t>
      </w:r>
      <w:r w:rsidRPr="00C61BD6">
        <w:rPr>
          <w:spacing w:val="-20"/>
          <w:szCs w:val="21"/>
        </w:rPr>
        <w:t xml:space="preserve"> </w:t>
      </w:r>
      <w:r w:rsidRPr="00C61BD6">
        <w:rPr>
          <w:szCs w:val="21"/>
        </w:rPr>
        <w:t>les</w:t>
      </w:r>
      <w:r w:rsidRPr="00C61BD6">
        <w:rPr>
          <w:spacing w:val="-21"/>
          <w:szCs w:val="21"/>
        </w:rPr>
        <w:t xml:space="preserve"> </w:t>
      </w:r>
      <w:r w:rsidRPr="00C61BD6">
        <w:rPr>
          <w:szCs w:val="21"/>
        </w:rPr>
        <w:t>horaires</w:t>
      </w:r>
      <w:r w:rsidRPr="00C61BD6">
        <w:rPr>
          <w:spacing w:val="-20"/>
          <w:szCs w:val="21"/>
        </w:rPr>
        <w:t xml:space="preserve"> </w:t>
      </w:r>
      <w:r w:rsidRPr="00C61BD6">
        <w:rPr>
          <w:szCs w:val="21"/>
        </w:rPr>
        <w:t>pour</w:t>
      </w:r>
      <w:r w:rsidRPr="00C61BD6">
        <w:rPr>
          <w:spacing w:val="-20"/>
          <w:szCs w:val="21"/>
        </w:rPr>
        <w:t xml:space="preserve"> </w:t>
      </w:r>
      <w:r w:rsidRPr="00C61BD6">
        <w:rPr>
          <w:szCs w:val="21"/>
        </w:rPr>
        <w:t>faciliter</w:t>
      </w:r>
      <w:r w:rsidRPr="00C61BD6">
        <w:rPr>
          <w:spacing w:val="-22"/>
          <w:szCs w:val="21"/>
        </w:rPr>
        <w:t xml:space="preserve"> </w:t>
      </w:r>
      <w:r w:rsidRPr="00C61BD6">
        <w:rPr>
          <w:szCs w:val="21"/>
        </w:rPr>
        <w:t>leur</w:t>
      </w:r>
      <w:r w:rsidRPr="00C61BD6">
        <w:rPr>
          <w:spacing w:val="-20"/>
          <w:szCs w:val="21"/>
        </w:rPr>
        <w:t xml:space="preserve"> </w:t>
      </w:r>
      <w:r w:rsidRPr="00C61BD6">
        <w:rPr>
          <w:szCs w:val="21"/>
        </w:rPr>
        <w:t>participation.</w:t>
      </w:r>
      <w:r w:rsidRPr="00C61BD6">
        <w:rPr>
          <w:spacing w:val="-22"/>
          <w:szCs w:val="21"/>
        </w:rPr>
        <w:t xml:space="preserve"> </w:t>
      </w:r>
      <w:r w:rsidRPr="00C61BD6">
        <w:rPr>
          <w:szCs w:val="21"/>
        </w:rPr>
        <w:t>Le</w:t>
      </w:r>
      <w:r w:rsidRPr="00C61BD6">
        <w:rPr>
          <w:spacing w:val="-21"/>
          <w:szCs w:val="21"/>
        </w:rPr>
        <w:t xml:space="preserve"> </w:t>
      </w:r>
      <w:r w:rsidRPr="00C61BD6">
        <w:rPr>
          <w:szCs w:val="21"/>
        </w:rPr>
        <w:t>projet</w:t>
      </w:r>
      <w:r w:rsidRPr="00C61BD6">
        <w:rPr>
          <w:spacing w:val="-22"/>
          <w:szCs w:val="21"/>
        </w:rPr>
        <w:t xml:space="preserve"> </w:t>
      </w:r>
      <w:r w:rsidRPr="00C61BD6">
        <w:rPr>
          <w:szCs w:val="21"/>
        </w:rPr>
        <w:t>mettra</w:t>
      </w:r>
      <w:r w:rsidRPr="00C61BD6">
        <w:rPr>
          <w:spacing w:val="-22"/>
          <w:szCs w:val="21"/>
        </w:rPr>
        <w:t xml:space="preserve"> </w:t>
      </w:r>
      <w:r w:rsidRPr="00C61BD6">
        <w:rPr>
          <w:szCs w:val="21"/>
        </w:rPr>
        <w:t>en</w:t>
      </w:r>
      <w:r w:rsidRPr="00C61BD6">
        <w:rPr>
          <w:spacing w:val="-20"/>
          <w:szCs w:val="21"/>
        </w:rPr>
        <w:t xml:space="preserve"> </w:t>
      </w:r>
      <w:r w:rsidRPr="00C61BD6">
        <w:rPr>
          <w:szCs w:val="21"/>
        </w:rPr>
        <w:t>œuvre</w:t>
      </w:r>
      <w:r w:rsidRPr="00C61BD6">
        <w:rPr>
          <w:spacing w:val="-22"/>
          <w:szCs w:val="21"/>
        </w:rPr>
        <w:t xml:space="preserve"> </w:t>
      </w:r>
      <w:r w:rsidRPr="00C61BD6">
        <w:rPr>
          <w:szCs w:val="21"/>
        </w:rPr>
        <w:t>des interventions visant à prévenir les VBG, en plus des exi</w:t>
      </w:r>
      <w:r w:rsidR="005068C4" w:rsidRPr="00C61BD6">
        <w:rPr>
          <w:szCs w:val="21"/>
        </w:rPr>
        <w:t xml:space="preserve">gences d'atténuation du risque </w:t>
      </w:r>
      <w:r w:rsidRPr="00C61BD6">
        <w:rPr>
          <w:szCs w:val="21"/>
        </w:rPr>
        <w:t>EA</w:t>
      </w:r>
      <w:r w:rsidR="005068C4" w:rsidRPr="00C61BD6">
        <w:rPr>
          <w:szCs w:val="21"/>
        </w:rPr>
        <w:t>S/HS</w:t>
      </w:r>
      <w:r w:rsidRPr="00C61BD6">
        <w:rPr>
          <w:szCs w:val="21"/>
        </w:rPr>
        <w:t xml:space="preserve"> du Cadre environnemental et social de la Banque mondiale.</w:t>
      </w:r>
    </w:p>
    <w:p w14:paraId="585F9934" w14:textId="77777777" w:rsidR="002B797B" w:rsidRDefault="002B797B" w:rsidP="002B797B">
      <w:pPr>
        <w:rPr>
          <w:rFonts w:cs="Arial"/>
          <w:szCs w:val="21"/>
        </w:rPr>
      </w:pPr>
    </w:p>
    <w:p w14:paraId="352CA967" w14:textId="77777777" w:rsidR="003142D9" w:rsidRPr="00C61BD6" w:rsidRDefault="003142D9" w:rsidP="002B797B">
      <w:pPr>
        <w:rPr>
          <w:rFonts w:cs="Arial"/>
          <w:szCs w:val="21"/>
        </w:rPr>
      </w:pPr>
    </w:p>
    <w:p w14:paraId="6685353B" w14:textId="77777777" w:rsidR="002B797B" w:rsidRPr="00C61BD6" w:rsidRDefault="002B797B" w:rsidP="002B797B">
      <w:pPr>
        <w:rPr>
          <w:rFonts w:cs="Arial"/>
          <w:szCs w:val="21"/>
        </w:rPr>
      </w:pPr>
      <w:r w:rsidRPr="00C61BD6">
        <w:rPr>
          <w:rFonts w:cs="Arial"/>
          <w:i/>
          <w:szCs w:val="21"/>
        </w:rPr>
        <w:t>Gouvernance</w:t>
      </w:r>
    </w:p>
    <w:p w14:paraId="1F58145E" w14:textId="77777777" w:rsidR="002B797B" w:rsidRPr="00C61BD6" w:rsidRDefault="002B797B" w:rsidP="002B797B">
      <w:pPr>
        <w:rPr>
          <w:rFonts w:cs="Arial"/>
          <w:szCs w:val="21"/>
        </w:rPr>
      </w:pPr>
    </w:p>
    <w:p w14:paraId="11121E43" w14:textId="4DD0E471" w:rsidR="002B797B" w:rsidRPr="00C61BD6" w:rsidRDefault="002B797B" w:rsidP="002B797B">
      <w:pPr>
        <w:rPr>
          <w:szCs w:val="21"/>
        </w:rPr>
      </w:pPr>
      <w:r w:rsidRPr="00C61BD6">
        <w:rPr>
          <w:szCs w:val="21"/>
        </w:rPr>
        <w:t>Pour atteindre les</w:t>
      </w:r>
      <w:r w:rsidR="00423F2F" w:rsidRPr="00C61BD6">
        <w:rPr>
          <w:szCs w:val="21"/>
        </w:rPr>
        <w:t xml:space="preserve"> objectifs proposés au niveau de série de projets</w:t>
      </w:r>
      <w:r w:rsidRPr="00C61BD6">
        <w:rPr>
          <w:szCs w:val="21"/>
        </w:rPr>
        <w:t>, le projet cherche à améliorer la gouvernance et la durabilité des investissements. Le projet proposé soutient l'amélioration de la gouvernance au sein des ministères et des organismes du secteur public aux niveaux national et provincial, en particulier ceux qui sont chargés de soutenir le développement du secteur agricole, en renforçant</w:t>
      </w:r>
      <w:r w:rsidRPr="00C61BD6">
        <w:rPr>
          <w:spacing w:val="-6"/>
          <w:szCs w:val="21"/>
        </w:rPr>
        <w:t xml:space="preserve"> </w:t>
      </w:r>
      <w:r w:rsidRPr="00C61BD6">
        <w:rPr>
          <w:szCs w:val="21"/>
        </w:rPr>
        <w:t>certaines</w:t>
      </w:r>
      <w:r w:rsidRPr="00C61BD6">
        <w:rPr>
          <w:spacing w:val="-6"/>
          <w:szCs w:val="21"/>
        </w:rPr>
        <w:t xml:space="preserve"> </w:t>
      </w:r>
      <w:r w:rsidRPr="00C61BD6">
        <w:rPr>
          <w:szCs w:val="21"/>
        </w:rPr>
        <w:t>des</w:t>
      </w:r>
      <w:r w:rsidRPr="00C61BD6">
        <w:rPr>
          <w:spacing w:val="-5"/>
          <w:szCs w:val="21"/>
        </w:rPr>
        <w:t xml:space="preserve"> </w:t>
      </w:r>
      <w:r w:rsidRPr="00C61BD6">
        <w:rPr>
          <w:szCs w:val="21"/>
        </w:rPr>
        <w:t>fonctions</w:t>
      </w:r>
      <w:r w:rsidRPr="00C61BD6">
        <w:rPr>
          <w:spacing w:val="-4"/>
          <w:szCs w:val="21"/>
        </w:rPr>
        <w:t xml:space="preserve"> </w:t>
      </w:r>
      <w:r w:rsidRPr="00C61BD6">
        <w:rPr>
          <w:szCs w:val="21"/>
        </w:rPr>
        <w:t>les</w:t>
      </w:r>
      <w:r w:rsidRPr="00C61BD6">
        <w:rPr>
          <w:spacing w:val="-2"/>
          <w:szCs w:val="21"/>
        </w:rPr>
        <w:t xml:space="preserve"> </w:t>
      </w:r>
      <w:r w:rsidRPr="00C61BD6">
        <w:rPr>
          <w:szCs w:val="21"/>
        </w:rPr>
        <w:t>plus</w:t>
      </w:r>
      <w:r w:rsidRPr="00C61BD6">
        <w:rPr>
          <w:spacing w:val="-6"/>
          <w:szCs w:val="21"/>
        </w:rPr>
        <w:t xml:space="preserve"> </w:t>
      </w:r>
      <w:r w:rsidRPr="00C61BD6">
        <w:rPr>
          <w:szCs w:val="21"/>
        </w:rPr>
        <w:t>importantes</w:t>
      </w:r>
      <w:r w:rsidRPr="00C61BD6">
        <w:rPr>
          <w:spacing w:val="-4"/>
          <w:szCs w:val="21"/>
        </w:rPr>
        <w:t xml:space="preserve"> </w:t>
      </w:r>
      <w:r w:rsidRPr="00C61BD6">
        <w:rPr>
          <w:szCs w:val="21"/>
        </w:rPr>
        <w:t>des</w:t>
      </w:r>
      <w:r w:rsidRPr="00C61BD6">
        <w:rPr>
          <w:spacing w:val="-2"/>
          <w:szCs w:val="21"/>
        </w:rPr>
        <w:t xml:space="preserve"> </w:t>
      </w:r>
      <w:r w:rsidRPr="00C61BD6">
        <w:rPr>
          <w:szCs w:val="21"/>
        </w:rPr>
        <w:t>biens</w:t>
      </w:r>
      <w:r w:rsidRPr="00C61BD6">
        <w:rPr>
          <w:spacing w:val="-4"/>
          <w:szCs w:val="21"/>
        </w:rPr>
        <w:t xml:space="preserve"> </w:t>
      </w:r>
      <w:r w:rsidRPr="00C61BD6">
        <w:rPr>
          <w:szCs w:val="21"/>
        </w:rPr>
        <w:t>et</w:t>
      </w:r>
      <w:r w:rsidRPr="00C61BD6">
        <w:rPr>
          <w:spacing w:val="-3"/>
          <w:szCs w:val="21"/>
        </w:rPr>
        <w:t xml:space="preserve"> </w:t>
      </w:r>
      <w:r w:rsidRPr="00C61BD6">
        <w:rPr>
          <w:szCs w:val="21"/>
        </w:rPr>
        <w:t>services</w:t>
      </w:r>
      <w:r w:rsidRPr="00C61BD6">
        <w:rPr>
          <w:spacing w:val="-5"/>
          <w:szCs w:val="21"/>
        </w:rPr>
        <w:t xml:space="preserve"> </w:t>
      </w:r>
      <w:r w:rsidRPr="00C61BD6">
        <w:rPr>
          <w:szCs w:val="21"/>
        </w:rPr>
        <w:t>publics</w:t>
      </w:r>
      <w:r w:rsidRPr="00C61BD6">
        <w:rPr>
          <w:spacing w:val="-4"/>
          <w:szCs w:val="21"/>
        </w:rPr>
        <w:t xml:space="preserve"> </w:t>
      </w:r>
      <w:r w:rsidRPr="00C61BD6">
        <w:rPr>
          <w:szCs w:val="21"/>
        </w:rPr>
        <w:t>agricoles</w:t>
      </w:r>
      <w:r w:rsidRPr="00C61BD6">
        <w:rPr>
          <w:spacing w:val="-5"/>
          <w:szCs w:val="21"/>
        </w:rPr>
        <w:t xml:space="preserve"> </w:t>
      </w:r>
      <w:r w:rsidRPr="00C61BD6">
        <w:rPr>
          <w:szCs w:val="21"/>
        </w:rPr>
        <w:t>(comme l'amélioration des infrastructures rurales, les services de santé animale et végétale, la recherche agricole, les statistiques et le soutien aux plateformes de dialogue sectoriel multipartites). Les investissements dans les infrastructures de transport seront complétés par un soutien visant à renforcer la capacité des autorités à mettre en œuvre un système d'entretien durable. En outre, chaque</w:t>
      </w:r>
      <w:r w:rsidRPr="00C61BD6">
        <w:rPr>
          <w:spacing w:val="-11"/>
          <w:szCs w:val="21"/>
        </w:rPr>
        <w:t xml:space="preserve"> </w:t>
      </w:r>
      <w:r w:rsidRPr="00C61BD6">
        <w:rPr>
          <w:szCs w:val="21"/>
        </w:rPr>
        <w:t>sous-composante</w:t>
      </w:r>
      <w:r w:rsidRPr="00C61BD6">
        <w:rPr>
          <w:spacing w:val="-10"/>
          <w:szCs w:val="21"/>
        </w:rPr>
        <w:t xml:space="preserve"> </w:t>
      </w:r>
      <w:r w:rsidRPr="00C61BD6">
        <w:rPr>
          <w:szCs w:val="21"/>
        </w:rPr>
        <w:t>comprendra</w:t>
      </w:r>
      <w:r w:rsidRPr="00C61BD6">
        <w:rPr>
          <w:spacing w:val="-11"/>
          <w:szCs w:val="21"/>
        </w:rPr>
        <w:t xml:space="preserve"> </w:t>
      </w:r>
      <w:r w:rsidRPr="00C61BD6">
        <w:rPr>
          <w:szCs w:val="21"/>
        </w:rPr>
        <w:t>des</w:t>
      </w:r>
      <w:r w:rsidRPr="00C61BD6">
        <w:rPr>
          <w:spacing w:val="-11"/>
          <w:szCs w:val="21"/>
        </w:rPr>
        <w:t xml:space="preserve"> </w:t>
      </w:r>
      <w:r w:rsidRPr="00C61BD6">
        <w:rPr>
          <w:szCs w:val="21"/>
        </w:rPr>
        <w:t>activités</w:t>
      </w:r>
      <w:r w:rsidRPr="00C61BD6">
        <w:rPr>
          <w:spacing w:val="-10"/>
          <w:szCs w:val="21"/>
        </w:rPr>
        <w:t xml:space="preserve"> </w:t>
      </w:r>
      <w:r w:rsidRPr="00C61BD6">
        <w:rPr>
          <w:szCs w:val="21"/>
        </w:rPr>
        <w:t>visant</w:t>
      </w:r>
      <w:r w:rsidRPr="00C61BD6">
        <w:rPr>
          <w:spacing w:val="-10"/>
          <w:szCs w:val="21"/>
        </w:rPr>
        <w:t xml:space="preserve"> </w:t>
      </w:r>
      <w:r w:rsidRPr="00C61BD6">
        <w:rPr>
          <w:szCs w:val="21"/>
        </w:rPr>
        <w:t>à</w:t>
      </w:r>
      <w:r w:rsidRPr="00C61BD6">
        <w:rPr>
          <w:spacing w:val="-12"/>
          <w:szCs w:val="21"/>
        </w:rPr>
        <w:t xml:space="preserve"> </w:t>
      </w:r>
      <w:r w:rsidRPr="00C61BD6">
        <w:rPr>
          <w:szCs w:val="21"/>
        </w:rPr>
        <w:t>améliorer</w:t>
      </w:r>
      <w:r w:rsidRPr="00C61BD6">
        <w:rPr>
          <w:spacing w:val="-10"/>
          <w:szCs w:val="21"/>
        </w:rPr>
        <w:t xml:space="preserve"> </w:t>
      </w:r>
      <w:r w:rsidRPr="00C61BD6">
        <w:rPr>
          <w:szCs w:val="21"/>
        </w:rPr>
        <w:t>la</w:t>
      </w:r>
      <w:r w:rsidRPr="00C61BD6">
        <w:rPr>
          <w:spacing w:val="-11"/>
          <w:szCs w:val="21"/>
        </w:rPr>
        <w:t xml:space="preserve"> </w:t>
      </w:r>
      <w:r w:rsidRPr="00C61BD6">
        <w:rPr>
          <w:szCs w:val="21"/>
        </w:rPr>
        <w:t>gouvernance</w:t>
      </w:r>
      <w:r w:rsidRPr="00C61BD6">
        <w:rPr>
          <w:spacing w:val="-11"/>
          <w:szCs w:val="21"/>
        </w:rPr>
        <w:t xml:space="preserve"> </w:t>
      </w:r>
      <w:r w:rsidRPr="00C61BD6">
        <w:rPr>
          <w:szCs w:val="21"/>
        </w:rPr>
        <w:t>pour</w:t>
      </w:r>
      <w:r w:rsidRPr="00C61BD6">
        <w:rPr>
          <w:spacing w:val="-10"/>
          <w:szCs w:val="21"/>
        </w:rPr>
        <w:t xml:space="preserve"> </w:t>
      </w:r>
      <w:r w:rsidRPr="00C61BD6">
        <w:rPr>
          <w:szCs w:val="21"/>
        </w:rPr>
        <w:t>chacun</w:t>
      </w:r>
      <w:r w:rsidRPr="00C61BD6">
        <w:rPr>
          <w:spacing w:val="-12"/>
          <w:szCs w:val="21"/>
        </w:rPr>
        <w:t xml:space="preserve"> </w:t>
      </w:r>
      <w:r w:rsidRPr="00C61BD6">
        <w:rPr>
          <w:szCs w:val="21"/>
        </w:rPr>
        <w:t>des organismes</w:t>
      </w:r>
      <w:r w:rsidRPr="00C61BD6">
        <w:rPr>
          <w:spacing w:val="-3"/>
          <w:szCs w:val="21"/>
        </w:rPr>
        <w:t xml:space="preserve"> </w:t>
      </w:r>
      <w:r w:rsidRPr="00C61BD6">
        <w:rPr>
          <w:szCs w:val="21"/>
        </w:rPr>
        <w:t>et</w:t>
      </w:r>
      <w:r w:rsidRPr="00C61BD6">
        <w:rPr>
          <w:spacing w:val="-3"/>
          <w:szCs w:val="21"/>
        </w:rPr>
        <w:t xml:space="preserve"> </w:t>
      </w:r>
      <w:r w:rsidRPr="00C61BD6">
        <w:rPr>
          <w:szCs w:val="21"/>
        </w:rPr>
        <w:t>services</w:t>
      </w:r>
      <w:r w:rsidRPr="00C61BD6">
        <w:rPr>
          <w:spacing w:val="-2"/>
          <w:szCs w:val="21"/>
        </w:rPr>
        <w:t xml:space="preserve"> </w:t>
      </w:r>
      <w:r w:rsidRPr="00C61BD6">
        <w:rPr>
          <w:szCs w:val="21"/>
        </w:rPr>
        <w:t>soutenus</w:t>
      </w:r>
      <w:r w:rsidRPr="00C61BD6">
        <w:rPr>
          <w:spacing w:val="-1"/>
          <w:szCs w:val="21"/>
        </w:rPr>
        <w:t xml:space="preserve"> </w:t>
      </w:r>
      <w:r w:rsidRPr="00C61BD6">
        <w:rPr>
          <w:szCs w:val="21"/>
        </w:rPr>
        <w:t>afin</w:t>
      </w:r>
      <w:r w:rsidRPr="00C61BD6">
        <w:rPr>
          <w:spacing w:val="-5"/>
          <w:szCs w:val="21"/>
        </w:rPr>
        <w:t xml:space="preserve"> </w:t>
      </w:r>
      <w:r w:rsidRPr="00C61BD6">
        <w:rPr>
          <w:szCs w:val="21"/>
        </w:rPr>
        <w:t>de</w:t>
      </w:r>
      <w:r w:rsidRPr="00C61BD6">
        <w:rPr>
          <w:spacing w:val="-3"/>
          <w:szCs w:val="21"/>
        </w:rPr>
        <w:t xml:space="preserve"> </w:t>
      </w:r>
      <w:r w:rsidRPr="00C61BD6">
        <w:rPr>
          <w:szCs w:val="21"/>
        </w:rPr>
        <w:t>garantir</w:t>
      </w:r>
      <w:r w:rsidRPr="00C61BD6">
        <w:rPr>
          <w:spacing w:val="-4"/>
          <w:szCs w:val="21"/>
        </w:rPr>
        <w:t xml:space="preserve"> </w:t>
      </w:r>
      <w:r w:rsidRPr="00C61BD6">
        <w:rPr>
          <w:szCs w:val="21"/>
        </w:rPr>
        <w:t>des</w:t>
      </w:r>
      <w:r w:rsidRPr="00C61BD6">
        <w:rPr>
          <w:spacing w:val="-3"/>
          <w:szCs w:val="21"/>
        </w:rPr>
        <w:t xml:space="preserve"> </w:t>
      </w:r>
      <w:r w:rsidRPr="00C61BD6">
        <w:rPr>
          <w:szCs w:val="21"/>
        </w:rPr>
        <w:t>avantages</w:t>
      </w:r>
      <w:r w:rsidRPr="00C61BD6">
        <w:rPr>
          <w:spacing w:val="-4"/>
          <w:szCs w:val="21"/>
        </w:rPr>
        <w:t xml:space="preserve"> </w:t>
      </w:r>
      <w:r w:rsidRPr="00C61BD6">
        <w:rPr>
          <w:szCs w:val="21"/>
        </w:rPr>
        <w:t>continus</w:t>
      </w:r>
      <w:r w:rsidRPr="00C61BD6">
        <w:rPr>
          <w:spacing w:val="-3"/>
          <w:szCs w:val="21"/>
        </w:rPr>
        <w:t xml:space="preserve"> </w:t>
      </w:r>
      <w:r w:rsidRPr="00C61BD6">
        <w:rPr>
          <w:szCs w:val="21"/>
        </w:rPr>
        <w:t>au-delà</w:t>
      </w:r>
      <w:r w:rsidRPr="00C61BD6">
        <w:rPr>
          <w:spacing w:val="-2"/>
          <w:szCs w:val="21"/>
        </w:rPr>
        <w:t xml:space="preserve"> </w:t>
      </w:r>
      <w:r w:rsidRPr="00C61BD6">
        <w:rPr>
          <w:szCs w:val="21"/>
        </w:rPr>
        <w:t>de la</w:t>
      </w:r>
      <w:r w:rsidRPr="00C61BD6">
        <w:rPr>
          <w:spacing w:val="-3"/>
          <w:szCs w:val="21"/>
        </w:rPr>
        <w:t xml:space="preserve"> </w:t>
      </w:r>
      <w:r w:rsidRPr="00C61BD6">
        <w:rPr>
          <w:szCs w:val="21"/>
        </w:rPr>
        <w:t>durée</w:t>
      </w:r>
      <w:r w:rsidRPr="00C61BD6">
        <w:rPr>
          <w:spacing w:val="-3"/>
          <w:szCs w:val="21"/>
        </w:rPr>
        <w:t xml:space="preserve"> </w:t>
      </w:r>
      <w:r w:rsidRPr="00C61BD6">
        <w:rPr>
          <w:szCs w:val="21"/>
        </w:rPr>
        <w:t>du</w:t>
      </w:r>
      <w:r w:rsidRPr="00C61BD6">
        <w:rPr>
          <w:spacing w:val="-2"/>
          <w:szCs w:val="21"/>
        </w:rPr>
        <w:t xml:space="preserve"> </w:t>
      </w:r>
      <w:r w:rsidRPr="00C61BD6">
        <w:rPr>
          <w:szCs w:val="21"/>
        </w:rPr>
        <w:t>projet proposé. Par exemple, le système de certification des semences sera soutenu institutionnellement ainsi que par le développement d'une stratégie permettant aux services payants de payer progressivement les coûts de certification des</w:t>
      </w:r>
      <w:r w:rsidRPr="00C61BD6">
        <w:rPr>
          <w:spacing w:val="-8"/>
          <w:szCs w:val="21"/>
        </w:rPr>
        <w:t xml:space="preserve"> </w:t>
      </w:r>
      <w:r w:rsidRPr="00C61BD6">
        <w:rPr>
          <w:szCs w:val="21"/>
        </w:rPr>
        <w:t>semences.</w:t>
      </w:r>
    </w:p>
    <w:p w14:paraId="7F1FA815" w14:textId="77777777" w:rsidR="002B797B" w:rsidRPr="00C61BD6" w:rsidRDefault="002B797B" w:rsidP="002B797B">
      <w:pPr>
        <w:rPr>
          <w:szCs w:val="21"/>
        </w:rPr>
      </w:pPr>
    </w:p>
    <w:p w14:paraId="7C803339" w14:textId="77777777" w:rsidR="002B797B" w:rsidRPr="00C61BD6" w:rsidRDefault="002B797B" w:rsidP="002B797B">
      <w:pPr>
        <w:rPr>
          <w:i/>
          <w:szCs w:val="21"/>
        </w:rPr>
      </w:pPr>
      <w:r w:rsidRPr="00C61BD6">
        <w:rPr>
          <w:i/>
          <w:szCs w:val="21"/>
        </w:rPr>
        <w:t>Changement climatique et environnement</w:t>
      </w:r>
    </w:p>
    <w:p w14:paraId="5D3A0CD0" w14:textId="77777777" w:rsidR="002B797B" w:rsidRPr="00C61BD6" w:rsidRDefault="002B797B" w:rsidP="002B797B">
      <w:pPr>
        <w:rPr>
          <w:i/>
          <w:szCs w:val="21"/>
        </w:rPr>
      </w:pPr>
    </w:p>
    <w:p w14:paraId="170A7230" w14:textId="3E7D1FF1" w:rsidR="002B797B" w:rsidRPr="00C61BD6" w:rsidRDefault="002B797B" w:rsidP="002B797B">
      <w:pPr>
        <w:pStyle w:val="Corpsdetexte"/>
        <w:spacing w:line="259" w:lineRule="auto"/>
        <w:ind w:right="95"/>
        <w:rPr>
          <w:sz w:val="21"/>
          <w:szCs w:val="21"/>
        </w:rPr>
      </w:pPr>
      <w:r w:rsidRPr="00C61BD6">
        <w:rPr>
          <w:sz w:val="21"/>
          <w:szCs w:val="21"/>
        </w:rPr>
        <w:t>Le soutien du projet portera à la fois sur l'adaptation au changement climatique et sur les objectifs d'atténuation, notamment la dégradation des ressources naturelles et la déforestation dans les zones du projet. Dans le cadre de la sous-composante 1.1, le projet proposé investira dans l'adoption à grande</w:t>
      </w:r>
      <w:r w:rsidRPr="00C61BD6">
        <w:rPr>
          <w:spacing w:val="-6"/>
          <w:sz w:val="21"/>
          <w:szCs w:val="21"/>
        </w:rPr>
        <w:t xml:space="preserve"> </w:t>
      </w:r>
      <w:r w:rsidRPr="00C61BD6">
        <w:rPr>
          <w:sz w:val="21"/>
          <w:szCs w:val="21"/>
        </w:rPr>
        <w:t>échelle</w:t>
      </w:r>
      <w:r w:rsidRPr="00C61BD6">
        <w:rPr>
          <w:spacing w:val="-8"/>
          <w:sz w:val="21"/>
          <w:szCs w:val="21"/>
        </w:rPr>
        <w:t xml:space="preserve"> </w:t>
      </w:r>
      <w:r w:rsidRPr="00C61BD6">
        <w:rPr>
          <w:sz w:val="21"/>
          <w:szCs w:val="21"/>
        </w:rPr>
        <w:t>d'approches</w:t>
      </w:r>
      <w:r w:rsidRPr="00C61BD6">
        <w:rPr>
          <w:spacing w:val="-8"/>
          <w:sz w:val="21"/>
          <w:szCs w:val="21"/>
        </w:rPr>
        <w:t xml:space="preserve"> </w:t>
      </w:r>
      <w:r w:rsidRPr="00C61BD6">
        <w:rPr>
          <w:sz w:val="21"/>
          <w:szCs w:val="21"/>
        </w:rPr>
        <w:t>CSA</w:t>
      </w:r>
      <w:r w:rsidRPr="00C61BD6">
        <w:rPr>
          <w:spacing w:val="-9"/>
          <w:sz w:val="21"/>
          <w:szCs w:val="21"/>
        </w:rPr>
        <w:t xml:space="preserve"> </w:t>
      </w:r>
      <w:r w:rsidRPr="00C61BD6">
        <w:rPr>
          <w:sz w:val="21"/>
          <w:szCs w:val="21"/>
        </w:rPr>
        <w:t>(semences</w:t>
      </w:r>
      <w:r w:rsidRPr="00C61BD6">
        <w:rPr>
          <w:spacing w:val="-7"/>
          <w:sz w:val="21"/>
          <w:szCs w:val="21"/>
        </w:rPr>
        <w:t xml:space="preserve"> </w:t>
      </w:r>
      <w:r w:rsidRPr="00C61BD6">
        <w:rPr>
          <w:sz w:val="21"/>
          <w:szCs w:val="21"/>
        </w:rPr>
        <w:t>améliorées</w:t>
      </w:r>
      <w:r w:rsidRPr="00C61BD6">
        <w:rPr>
          <w:spacing w:val="-7"/>
          <w:sz w:val="21"/>
          <w:szCs w:val="21"/>
        </w:rPr>
        <w:t xml:space="preserve"> </w:t>
      </w:r>
      <w:r w:rsidRPr="00C61BD6">
        <w:rPr>
          <w:sz w:val="21"/>
          <w:szCs w:val="21"/>
        </w:rPr>
        <w:t>pour</w:t>
      </w:r>
      <w:r w:rsidRPr="00C61BD6">
        <w:rPr>
          <w:spacing w:val="-8"/>
          <w:sz w:val="21"/>
          <w:szCs w:val="21"/>
        </w:rPr>
        <w:t xml:space="preserve"> </w:t>
      </w:r>
      <w:r w:rsidRPr="00C61BD6">
        <w:rPr>
          <w:sz w:val="21"/>
          <w:szCs w:val="21"/>
        </w:rPr>
        <w:t>des</w:t>
      </w:r>
      <w:r w:rsidRPr="00C61BD6">
        <w:rPr>
          <w:spacing w:val="-10"/>
          <w:sz w:val="21"/>
          <w:szCs w:val="21"/>
        </w:rPr>
        <w:t xml:space="preserve"> </w:t>
      </w:r>
      <w:r w:rsidRPr="00C61BD6">
        <w:rPr>
          <w:sz w:val="21"/>
          <w:szCs w:val="21"/>
        </w:rPr>
        <w:t>variétés</w:t>
      </w:r>
      <w:r w:rsidRPr="00C61BD6">
        <w:rPr>
          <w:spacing w:val="-7"/>
          <w:sz w:val="21"/>
          <w:szCs w:val="21"/>
        </w:rPr>
        <w:t xml:space="preserve"> </w:t>
      </w:r>
      <w:r w:rsidRPr="00C61BD6">
        <w:rPr>
          <w:sz w:val="21"/>
          <w:szCs w:val="21"/>
        </w:rPr>
        <w:t>résistantes</w:t>
      </w:r>
      <w:r w:rsidRPr="00C61BD6">
        <w:rPr>
          <w:spacing w:val="-5"/>
          <w:sz w:val="21"/>
          <w:szCs w:val="21"/>
        </w:rPr>
        <w:t xml:space="preserve"> </w:t>
      </w:r>
      <w:r w:rsidRPr="00C61BD6">
        <w:rPr>
          <w:sz w:val="21"/>
          <w:szCs w:val="21"/>
        </w:rPr>
        <w:t>au</w:t>
      </w:r>
      <w:r w:rsidRPr="00C61BD6">
        <w:rPr>
          <w:spacing w:val="-9"/>
          <w:sz w:val="21"/>
          <w:szCs w:val="21"/>
        </w:rPr>
        <w:t xml:space="preserve"> </w:t>
      </w:r>
      <w:r w:rsidRPr="00C61BD6">
        <w:rPr>
          <w:sz w:val="21"/>
          <w:szCs w:val="21"/>
        </w:rPr>
        <w:t>climat,</w:t>
      </w:r>
      <w:r w:rsidRPr="00C61BD6">
        <w:rPr>
          <w:spacing w:val="-8"/>
          <w:sz w:val="21"/>
          <w:szCs w:val="21"/>
        </w:rPr>
        <w:t xml:space="preserve"> </w:t>
      </w:r>
      <w:r w:rsidRPr="00C61BD6">
        <w:rPr>
          <w:sz w:val="21"/>
          <w:szCs w:val="21"/>
        </w:rPr>
        <w:t>gestion intégrée de la fertilité des sols, conservation de l'eau, jachère améliorée et agroforesterie) afin de renforcer la résilience aux risques liés au climat, tels que les sécheresses et les inondations, et d'aider les petits exploitants agricoles à s'adapter à la variabilité et au changement climatiques accrus aujourd'hui et à l'avenir. Les paquets technologiques fournis aux petits exploitants agricoles comprennent des approches intelligentes du point de vue climatique adoptées localement et éprouvées</w:t>
      </w:r>
      <w:r w:rsidRPr="00C61BD6">
        <w:rPr>
          <w:spacing w:val="-16"/>
          <w:sz w:val="21"/>
          <w:szCs w:val="21"/>
        </w:rPr>
        <w:t xml:space="preserve"> </w:t>
      </w:r>
      <w:r w:rsidRPr="00C61BD6">
        <w:rPr>
          <w:sz w:val="21"/>
          <w:szCs w:val="21"/>
        </w:rPr>
        <w:t>(détaillées</w:t>
      </w:r>
      <w:r w:rsidRPr="00C61BD6">
        <w:rPr>
          <w:spacing w:val="-13"/>
          <w:sz w:val="21"/>
          <w:szCs w:val="21"/>
        </w:rPr>
        <w:t xml:space="preserve"> </w:t>
      </w:r>
      <w:r w:rsidRPr="00C61BD6">
        <w:rPr>
          <w:sz w:val="21"/>
          <w:szCs w:val="21"/>
        </w:rPr>
        <w:t>dans</w:t>
      </w:r>
      <w:r w:rsidRPr="00C61BD6">
        <w:rPr>
          <w:spacing w:val="-14"/>
          <w:sz w:val="21"/>
          <w:szCs w:val="21"/>
        </w:rPr>
        <w:t xml:space="preserve"> </w:t>
      </w:r>
      <w:r w:rsidRPr="00C61BD6">
        <w:rPr>
          <w:sz w:val="21"/>
          <w:szCs w:val="21"/>
        </w:rPr>
        <w:t>le</w:t>
      </w:r>
      <w:r w:rsidRPr="00C61BD6">
        <w:rPr>
          <w:spacing w:val="-13"/>
          <w:sz w:val="21"/>
          <w:szCs w:val="21"/>
        </w:rPr>
        <w:t xml:space="preserve"> </w:t>
      </w:r>
      <w:r w:rsidRPr="00C61BD6">
        <w:rPr>
          <w:sz w:val="21"/>
          <w:szCs w:val="21"/>
        </w:rPr>
        <w:t>profil</w:t>
      </w:r>
      <w:r w:rsidRPr="00C61BD6">
        <w:rPr>
          <w:spacing w:val="-14"/>
          <w:sz w:val="21"/>
          <w:szCs w:val="21"/>
        </w:rPr>
        <w:t xml:space="preserve"> </w:t>
      </w:r>
      <w:r w:rsidRPr="00C61BD6">
        <w:rPr>
          <w:sz w:val="21"/>
          <w:szCs w:val="21"/>
        </w:rPr>
        <w:t>pays</w:t>
      </w:r>
      <w:r w:rsidRPr="00C61BD6">
        <w:rPr>
          <w:spacing w:val="-14"/>
          <w:sz w:val="21"/>
          <w:szCs w:val="21"/>
        </w:rPr>
        <w:t xml:space="preserve"> </w:t>
      </w:r>
      <w:r w:rsidRPr="00C61BD6">
        <w:rPr>
          <w:sz w:val="21"/>
          <w:szCs w:val="21"/>
        </w:rPr>
        <w:t>CSA</w:t>
      </w:r>
      <w:r w:rsidRPr="00C61BD6">
        <w:rPr>
          <w:spacing w:val="-15"/>
          <w:sz w:val="21"/>
          <w:szCs w:val="21"/>
        </w:rPr>
        <w:t xml:space="preserve"> </w:t>
      </w:r>
      <w:r w:rsidRPr="00C61BD6">
        <w:rPr>
          <w:sz w:val="21"/>
          <w:szCs w:val="21"/>
        </w:rPr>
        <w:t>du</w:t>
      </w:r>
      <w:r w:rsidRPr="00C61BD6">
        <w:rPr>
          <w:spacing w:val="-15"/>
          <w:sz w:val="21"/>
          <w:szCs w:val="21"/>
        </w:rPr>
        <w:t xml:space="preserve"> </w:t>
      </w:r>
      <w:r w:rsidRPr="00C61BD6">
        <w:rPr>
          <w:sz w:val="21"/>
          <w:szCs w:val="21"/>
        </w:rPr>
        <w:t>dossier</w:t>
      </w:r>
      <w:r w:rsidRPr="00C61BD6">
        <w:rPr>
          <w:spacing w:val="-15"/>
          <w:sz w:val="21"/>
          <w:szCs w:val="21"/>
        </w:rPr>
        <w:t xml:space="preserve"> </w:t>
      </w:r>
      <w:r w:rsidRPr="00C61BD6">
        <w:rPr>
          <w:sz w:val="21"/>
          <w:szCs w:val="21"/>
        </w:rPr>
        <w:t>technique).</w:t>
      </w:r>
      <w:r w:rsidRPr="00C61BD6">
        <w:rPr>
          <w:spacing w:val="-14"/>
          <w:sz w:val="21"/>
          <w:szCs w:val="21"/>
        </w:rPr>
        <w:t xml:space="preserve"> </w:t>
      </w:r>
      <w:r w:rsidRPr="00C61BD6">
        <w:rPr>
          <w:sz w:val="21"/>
          <w:szCs w:val="21"/>
        </w:rPr>
        <w:t>Ces</w:t>
      </w:r>
      <w:r w:rsidRPr="00C61BD6">
        <w:rPr>
          <w:spacing w:val="-12"/>
          <w:sz w:val="21"/>
          <w:szCs w:val="21"/>
        </w:rPr>
        <w:t xml:space="preserve"> </w:t>
      </w:r>
      <w:r w:rsidRPr="00C61BD6">
        <w:rPr>
          <w:sz w:val="21"/>
          <w:szCs w:val="21"/>
        </w:rPr>
        <w:t>investissements</w:t>
      </w:r>
      <w:r w:rsidRPr="00C61BD6">
        <w:rPr>
          <w:spacing w:val="-13"/>
          <w:sz w:val="21"/>
          <w:szCs w:val="21"/>
        </w:rPr>
        <w:t xml:space="preserve"> </w:t>
      </w:r>
      <w:r w:rsidRPr="00C61BD6">
        <w:rPr>
          <w:sz w:val="21"/>
          <w:szCs w:val="21"/>
        </w:rPr>
        <w:t>généreront également des avantages substantiels en matière d'atténuation du climat en (a) améliorant la séquestration du carbone dans des sols plus sains et en s'attaquant aux externalités négatives de l'agriculture traditionnelle sur brûlis, et (b) en veillant à ce que les activités dans les provinces ciblées ne</w:t>
      </w:r>
      <w:r w:rsidRPr="00C61BD6">
        <w:rPr>
          <w:spacing w:val="-10"/>
          <w:sz w:val="21"/>
          <w:szCs w:val="21"/>
        </w:rPr>
        <w:t xml:space="preserve"> </w:t>
      </w:r>
      <w:r w:rsidRPr="00C61BD6">
        <w:rPr>
          <w:sz w:val="21"/>
          <w:szCs w:val="21"/>
        </w:rPr>
        <w:t>conduisent</w:t>
      </w:r>
      <w:r w:rsidRPr="00C61BD6">
        <w:rPr>
          <w:spacing w:val="-10"/>
          <w:sz w:val="21"/>
          <w:szCs w:val="21"/>
        </w:rPr>
        <w:t xml:space="preserve"> </w:t>
      </w:r>
      <w:r w:rsidRPr="00C61BD6">
        <w:rPr>
          <w:sz w:val="21"/>
          <w:szCs w:val="21"/>
        </w:rPr>
        <w:t>pas</w:t>
      </w:r>
      <w:r w:rsidRPr="00C61BD6">
        <w:rPr>
          <w:spacing w:val="-10"/>
          <w:sz w:val="21"/>
          <w:szCs w:val="21"/>
        </w:rPr>
        <w:t xml:space="preserve"> </w:t>
      </w:r>
      <w:r w:rsidRPr="00C61BD6">
        <w:rPr>
          <w:sz w:val="21"/>
          <w:szCs w:val="21"/>
        </w:rPr>
        <w:t>à</w:t>
      </w:r>
      <w:r w:rsidRPr="00C61BD6">
        <w:rPr>
          <w:spacing w:val="-11"/>
          <w:sz w:val="21"/>
          <w:szCs w:val="21"/>
        </w:rPr>
        <w:t xml:space="preserve"> </w:t>
      </w:r>
      <w:r w:rsidRPr="00C61BD6">
        <w:rPr>
          <w:sz w:val="21"/>
          <w:szCs w:val="21"/>
        </w:rPr>
        <w:t>défricher</w:t>
      </w:r>
      <w:r w:rsidRPr="00C61BD6">
        <w:rPr>
          <w:spacing w:val="-10"/>
          <w:sz w:val="21"/>
          <w:szCs w:val="21"/>
        </w:rPr>
        <w:t xml:space="preserve"> </w:t>
      </w:r>
      <w:r w:rsidRPr="00C61BD6">
        <w:rPr>
          <w:sz w:val="21"/>
          <w:szCs w:val="21"/>
        </w:rPr>
        <w:t>des</w:t>
      </w:r>
      <w:r w:rsidRPr="00C61BD6">
        <w:rPr>
          <w:spacing w:val="-10"/>
          <w:sz w:val="21"/>
          <w:szCs w:val="21"/>
        </w:rPr>
        <w:t xml:space="preserve"> </w:t>
      </w:r>
      <w:r w:rsidRPr="00C61BD6">
        <w:rPr>
          <w:sz w:val="21"/>
          <w:szCs w:val="21"/>
        </w:rPr>
        <w:t>zones</w:t>
      </w:r>
      <w:r w:rsidRPr="00C61BD6">
        <w:rPr>
          <w:spacing w:val="-10"/>
          <w:sz w:val="21"/>
          <w:szCs w:val="21"/>
        </w:rPr>
        <w:t xml:space="preserve"> </w:t>
      </w:r>
      <w:r w:rsidRPr="00C61BD6">
        <w:rPr>
          <w:sz w:val="21"/>
          <w:szCs w:val="21"/>
        </w:rPr>
        <w:t>forestières</w:t>
      </w:r>
      <w:r w:rsidRPr="00C61BD6">
        <w:rPr>
          <w:spacing w:val="-9"/>
          <w:sz w:val="21"/>
          <w:szCs w:val="21"/>
        </w:rPr>
        <w:t xml:space="preserve"> </w:t>
      </w:r>
      <w:r w:rsidRPr="00C61BD6">
        <w:rPr>
          <w:sz w:val="21"/>
          <w:szCs w:val="21"/>
        </w:rPr>
        <w:t>(en</w:t>
      </w:r>
      <w:r w:rsidRPr="00C61BD6">
        <w:rPr>
          <w:spacing w:val="-14"/>
          <w:sz w:val="21"/>
          <w:szCs w:val="21"/>
        </w:rPr>
        <w:t xml:space="preserve"> </w:t>
      </w:r>
      <w:r w:rsidRPr="00C61BD6">
        <w:rPr>
          <w:sz w:val="21"/>
          <w:szCs w:val="21"/>
        </w:rPr>
        <w:t>excluant</w:t>
      </w:r>
      <w:r w:rsidRPr="00C61BD6">
        <w:rPr>
          <w:spacing w:val="-9"/>
          <w:sz w:val="21"/>
          <w:szCs w:val="21"/>
        </w:rPr>
        <w:t xml:space="preserve"> </w:t>
      </w:r>
      <w:r w:rsidRPr="00C61BD6">
        <w:rPr>
          <w:sz w:val="21"/>
          <w:szCs w:val="21"/>
        </w:rPr>
        <w:t>les</w:t>
      </w:r>
      <w:r w:rsidRPr="00C61BD6">
        <w:rPr>
          <w:spacing w:val="-13"/>
          <w:sz w:val="21"/>
          <w:szCs w:val="21"/>
        </w:rPr>
        <w:t xml:space="preserve"> </w:t>
      </w:r>
      <w:r w:rsidRPr="00C61BD6">
        <w:rPr>
          <w:sz w:val="21"/>
          <w:szCs w:val="21"/>
        </w:rPr>
        <w:t>terres</w:t>
      </w:r>
      <w:r w:rsidRPr="00C61BD6">
        <w:rPr>
          <w:spacing w:val="-9"/>
          <w:sz w:val="21"/>
          <w:szCs w:val="21"/>
        </w:rPr>
        <w:t xml:space="preserve"> </w:t>
      </w:r>
      <w:r w:rsidRPr="00C61BD6">
        <w:rPr>
          <w:sz w:val="21"/>
          <w:szCs w:val="21"/>
        </w:rPr>
        <w:t>forestières</w:t>
      </w:r>
      <w:r w:rsidRPr="00C61BD6">
        <w:rPr>
          <w:spacing w:val="-10"/>
          <w:sz w:val="21"/>
          <w:szCs w:val="21"/>
        </w:rPr>
        <w:t xml:space="preserve"> </w:t>
      </w:r>
      <w:r w:rsidRPr="00C61BD6">
        <w:rPr>
          <w:sz w:val="21"/>
          <w:szCs w:val="21"/>
        </w:rPr>
        <w:t>du</w:t>
      </w:r>
      <w:r w:rsidRPr="00C61BD6">
        <w:rPr>
          <w:spacing w:val="-11"/>
          <w:sz w:val="21"/>
          <w:szCs w:val="21"/>
        </w:rPr>
        <w:t xml:space="preserve"> </w:t>
      </w:r>
      <w:r w:rsidRPr="00C61BD6">
        <w:rPr>
          <w:sz w:val="21"/>
          <w:szCs w:val="21"/>
        </w:rPr>
        <w:t>soutien</w:t>
      </w:r>
      <w:r w:rsidRPr="00C61BD6">
        <w:rPr>
          <w:spacing w:val="-10"/>
          <w:sz w:val="21"/>
          <w:szCs w:val="21"/>
        </w:rPr>
        <w:t xml:space="preserve"> </w:t>
      </w:r>
      <w:r w:rsidRPr="00C61BD6">
        <w:rPr>
          <w:sz w:val="21"/>
          <w:szCs w:val="21"/>
        </w:rPr>
        <w:t>fourni dans le cadre de la sous-composante 1.1) et à atténuer la pression sur les forêts en général. Les investissements dans les infrastructures rurales, la réhabilitation et l'entretien des routes, comprendront le drainage, le contrôle de l'érosion, l'entretien et la prévention, et la stabilisation des talus qui amélioreront la résilience du réseau routier rural et aideront à relier les petits exploitants agricoles aux marchés et aux activités socio-économiques. L'assistance technique aux AgriMSME, qui fournit des intrants améliorés pour les technologies CSA, est mise à l'échelle grâce au financement du secteur</w:t>
      </w:r>
      <w:r w:rsidRPr="00C61BD6">
        <w:rPr>
          <w:spacing w:val="-14"/>
          <w:sz w:val="21"/>
          <w:szCs w:val="21"/>
        </w:rPr>
        <w:t xml:space="preserve"> </w:t>
      </w:r>
      <w:r w:rsidRPr="00C61BD6">
        <w:rPr>
          <w:sz w:val="21"/>
          <w:szCs w:val="21"/>
        </w:rPr>
        <w:t>privé</w:t>
      </w:r>
      <w:r w:rsidRPr="00C61BD6">
        <w:rPr>
          <w:spacing w:val="-12"/>
          <w:sz w:val="21"/>
          <w:szCs w:val="21"/>
        </w:rPr>
        <w:t xml:space="preserve"> </w:t>
      </w:r>
      <w:r w:rsidRPr="00C61BD6">
        <w:rPr>
          <w:sz w:val="21"/>
          <w:szCs w:val="21"/>
        </w:rPr>
        <w:t>dans</w:t>
      </w:r>
      <w:r w:rsidRPr="00C61BD6">
        <w:rPr>
          <w:spacing w:val="-10"/>
          <w:sz w:val="21"/>
          <w:szCs w:val="21"/>
        </w:rPr>
        <w:t xml:space="preserve"> </w:t>
      </w:r>
      <w:r w:rsidRPr="00C61BD6">
        <w:rPr>
          <w:sz w:val="21"/>
          <w:szCs w:val="21"/>
        </w:rPr>
        <w:t>le</w:t>
      </w:r>
      <w:r w:rsidRPr="00C61BD6">
        <w:rPr>
          <w:spacing w:val="-13"/>
          <w:sz w:val="21"/>
          <w:szCs w:val="21"/>
        </w:rPr>
        <w:t xml:space="preserve"> </w:t>
      </w:r>
      <w:r w:rsidRPr="00C61BD6">
        <w:rPr>
          <w:sz w:val="21"/>
          <w:szCs w:val="21"/>
        </w:rPr>
        <w:t>cadre</w:t>
      </w:r>
      <w:r w:rsidRPr="00C61BD6">
        <w:rPr>
          <w:spacing w:val="-12"/>
          <w:sz w:val="21"/>
          <w:szCs w:val="21"/>
        </w:rPr>
        <w:t xml:space="preserve"> </w:t>
      </w:r>
      <w:r w:rsidRPr="00C61BD6">
        <w:rPr>
          <w:sz w:val="21"/>
          <w:szCs w:val="21"/>
        </w:rPr>
        <w:t>des</w:t>
      </w:r>
      <w:r w:rsidRPr="00C61BD6">
        <w:rPr>
          <w:spacing w:val="-10"/>
          <w:sz w:val="21"/>
          <w:szCs w:val="21"/>
        </w:rPr>
        <w:t xml:space="preserve"> </w:t>
      </w:r>
      <w:r w:rsidRPr="00C61BD6">
        <w:rPr>
          <w:sz w:val="21"/>
          <w:szCs w:val="21"/>
        </w:rPr>
        <w:t>sous-composantes</w:t>
      </w:r>
      <w:r w:rsidRPr="00C61BD6">
        <w:rPr>
          <w:spacing w:val="-13"/>
          <w:sz w:val="21"/>
          <w:szCs w:val="21"/>
        </w:rPr>
        <w:t xml:space="preserve"> </w:t>
      </w:r>
      <w:r w:rsidRPr="00C61BD6">
        <w:rPr>
          <w:sz w:val="21"/>
          <w:szCs w:val="21"/>
        </w:rPr>
        <w:t>1.2</w:t>
      </w:r>
      <w:r w:rsidRPr="00C61BD6">
        <w:rPr>
          <w:spacing w:val="-12"/>
          <w:sz w:val="21"/>
          <w:szCs w:val="21"/>
        </w:rPr>
        <w:t xml:space="preserve"> </w:t>
      </w:r>
      <w:r w:rsidRPr="00C61BD6">
        <w:rPr>
          <w:sz w:val="21"/>
          <w:szCs w:val="21"/>
        </w:rPr>
        <w:t>et</w:t>
      </w:r>
      <w:r w:rsidRPr="00C61BD6">
        <w:rPr>
          <w:spacing w:val="-13"/>
          <w:sz w:val="21"/>
          <w:szCs w:val="21"/>
        </w:rPr>
        <w:t xml:space="preserve"> </w:t>
      </w:r>
      <w:r w:rsidRPr="00C61BD6">
        <w:rPr>
          <w:sz w:val="21"/>
          <w:szCs w:val="21"/>
        </w:rPr>
        <w:t>2.2</w:t>
      </w:r>
      <w:r w:rsidRPr="00C61BD6">
        <w:rPr>
          <w:spacing w:val="-10"/>
          <w:sz w:val="21"/>
          <w:szCs w:val="21"/>
        </w:rPr>
        <w:t xml:space="preserve"> </w:t>
      </w:r>
      <w:r w:rsidRPr="00C61BD6">
        <w:rPr>
          <w:sz w:val="21"/>
          <w:szCs w:val="21"/>
        </w:rPr>
        <w:t>afin</w:t>
      </w:r>
      <w:r w:rsidRPr="00C61BD6">
        <w:rPr>
          <w:spacing w:val="-11"/>
          <w:sz w:val="21"/>
          <w:szCs w:val="21"/>
        </w:rPr>
        <w:t xml:space="preserve"> </w:t>
      </w:r>
      <w:r w:rsidRPr="00C61BD6">
        <w:rPr>
          <w:sz w:val="21"/>
          <w:szCs w:val="21"/>
        </w:rPr>
        <w:t>de</w:t>
      </w:r>
      <w:r w:rsidRPr="00C61BD6">
        <w:rPr>
          <w:spacing w:val="-10"/>
          <w:sz w:val="21"/>
          <w:szCs w:val="21"/>
        </w:rPr>
        <w:t xml:space="preserve"> </w:t>
      </w:r>
      <w:r w:rsidRPr="00C61BD6">
        <w:rPr>
          <w:sz w:val="21"/>
          <w:szCs w:val="21"/>
        </w:rPr>
        <w:t>faciliter</w:t>
      </w:r>
      <w:r w:rsidRPr="00C61BD6">
        <w:rPr>
          <w:spacing w:val="-10"/>
          <w:sz w:val="21"/>
          <w:szCs w:val="21"/>
        </w:rPr>
        <w:t xml:space="preserve"> </w:t>
      </w:r>
      <w:r w:rsidRPr="00C61BD6">
        <w:rPr>
          <w:sz w:val="21"/>
          <w:szCs w:val="21"/>
        </w:rPr>
        <w:t>l'adoption</w:t>
      </w:r>
      <w:r w:rsidRPr="00C61BD6">
        <w:rPr>
          <w:spacing w:val="-11"/>
          <w:sz w:val="21"/>
          <w:szCs w:val="21"/>
        </w:rPr>
        <w:t xml:space="preserve"> </w:t>
      </w:r>
      <w:r w:rsidRPr="00C61BD6">
        <w:rPr>
          <w:sz w:val="21"/>
          <w:szCs w:val="21"/>
        </w:rPr>
        <w:t>à</w:t>
      </w:r>
      <w:r w:rsidRPr="00C61BD6">
        <w:rPr>
          <w:spacing w:val="-11"/>
          <w:sz w:val="21"/>
          <w:szCs w:val="21"/>
        </w:rPr>
        <w:t xml:space="preserve"> </w:t>
      </w:r>
      <w:r w:rsidRPr="00C61BD6">
        <w:rPr>
          <w:sz w:val="21"/>
          <w:szCs w:val="21"/>
        </w:rPr>
        <w:t>grande</w:t>
      </w:r>
      <w:r w:rsidRPr="00C61BD6">
        <w:rPr>
          <w:spacing w:val="-13"/>
          <w:sz w:val="21"/>
          <w:szCs w:val="21"/>
        </w:rPr>
        <w:t xml:space="preserve"> </w:t>
      </w:r>
      <w:r w:rsidRPr="00C61BD6">
        <w:rPr>
          <w:sz w:val="21"/>
          <w:szCs w:val="21"/>
        </w:rPr>
        <w:t>échelle de pratiques résistantes au climat. Grâce au mécanisme de transfert des risques, dans le cadre de la sous-composante</w:t>
      </w:r>
      <w:r w:rsidRPr="00C61BD6">
        <w:rPr>
          <w:spacing w:val="-11"/>
          <w:sz w:val="21"/>
          <w:szCs w:val="21"/>
        </w:rPr>
        <w:t xml:space="preserve"> </w:t>
      </w:r>
      <w:r w:rsidRPr="00C61BD6">
        <w:rPr>
          <w:sz w:val="21"/>
          <w:szCs w:val="21"/>
        </w:rPr>
        <w:t>4.2,</w:t>
      </w:r>
      <w:r w:rsidRPr="00C61BD6">
        <w:rPr>
          <w:spacing w:val="-10"/>
          <w:sz w:val="21"/>
          <w:szCs w:val="21"/>
        </w:rPr>
        <w:t xml:space="preserve"> </w:t>
      </w:r>
      <w:r w:rsidRPr="00C61BD6">
        <w:rPr>
          <w:sz w:val="21"/>
          <w:szCs w:val="21"/>
        </w:rPr>
        <w:t>le</w:t>
      </w:r>
      <w:r w:rsidRPr="00C61BD6">
        <w:rPr>
          <w:spacing w:val="-11"/>
          <w:sz w:val="21"/>
          <w:szCs w:val="21"/>
        </w:rPr>
        <w:t xml:space="preserve"> </w:t>
      </w:r>
      <w:r w:rsidRPr="00C61BD6">
        <w:rPr>
          <w:sz w:val="21"/>
          <w:szCs w:val="21"/>
        </w:rPr>
        <w:t>projet</w:t>
      </w:r>
      <w:r w:rsidRPr="00C61BD6">
        <w:rPr>
          <w:spacing w:val="-10"/>
          <w:sz w:val="21"/>
          <w:szCs w:val="21"/>
        </w:rPr>
        <w:t xml:space="preserve"> </w:t>
      </w:r>
      <w:r w:rsidRPr="00C61BD6">
        <w:rPr>
          <w:sz w:val="21"/>
          <w:szCs w:val="21"/>
        </w:rPr>
        <w:t>peut</w:t>
      </w:r>
      <w:r w:rsidRPr="00C61BD6">
        <w:rPr>
          <w:spacing w:val="-11"/>
          <w:sz w:val="21"/>
          <w:szCs w:val="21"/>
        </w:rPr>
        <w:t xml:space="preserve"> </w:t>
      </w:r>
      <w:r w:rsidRPr="00C61BD6">
        <w:rPr>
          <w:sz w:val="21"/>
          <w:szCs w:val="21"/>
        </w:rPr>
        <w:t>tirer</w:t>
      </w:r>
      <w:r w:rsidRPr="00C61BD6">
        <w:rPr>
          <w:spacing w:val="-10"/>
          <w:sz w:val="21"/>
          <w:szCs w:val="21"/>
        </w:rPr>
        <w:t xml:space="preserve"> </w:t>
      </w:r>
      <w:r w:rsidRPr="00C61BD6">
        <w:rPr>
          <w:sz w:val="21"/>
          <w:szCs w:val="21"/>
        </w:rPr>
        <w:t>parti</w:t>
      </w:r>
      <w:r w:rsidRPr="00C61BD6">
        <w:rPr>
          <w:spacing w:val="-10"/>
          <w:sz w:val="21"/>
          <w:szCs w:val="21"/>
        </w:rPr>
        <w:t xml:space="preserve"> </w:t>
      </w:r>
      <w:r w:rsidRPr="00C61BD6">
        <w:rPr>
          <w:sz w:val="21"/>
          <w:szCs w:val="21"/>
        </w:rPr>
        <w:t>du</w:t>
      </w:r>
      <w:r w:rsidRPr="00C61BD6">
        <w:rPr>
          <w:spacing w:val="-12"/>
          <w:sz w:val="21"/>
          <w:szCs w:val="21"/>
        </w:rPr>
        <w:t xml:space="preserve"> </w:t>
      </w:r>
      <w:r w:rsidRPr="00C61BD6">
        <w:rPr>
          <w:sz w:val="21"/>
          <w:szCs w:val="21"/>
        </w:rPr>
        <w:t>financement</w:t>
      </w:r>
      <w:r w:rsidRPr="00C61BD6">
        <w:rPr>
          <w:spacing w:val="-10"/>
          <w:sz w:val="21"/>
          <w:szCs w:val="21"/>
        </w:rPr>
        <w:t xml:space="preserve"> </w:t>
      </w:r>
      <w:r w:rsidRPr="00C61BD6">
        <w:rPr>
          <w:sz w:val="21"/>
          <w:szCs w:val="21"/>
        </w:rPr>
        <w:t>des</w:t>
      </w:r>
      <w:r w:rsidRPr="00C61BD6">
        <w:rPr>
          <w:spacing w:val="-11"/>
          <w:sz w:val="21"/>
          <w:szCs w:val="21"/>
        </w:rPr>
        <w:t xml:space="preserve"> </w:t>
      </w:r>
      <w:r w:rsidRPr="00C61BD6">
        <w:rPr>
          <w:sz w:val="21"/>
          <w:szCs w:val="21"/>
        </w:rPr>
        <w:t>risques</w:t>
      </w:r>
      <w:r w:rsidRPr="00C61BD6">
        <w:rPr>
          <w:spacing w:val="-10"/>
          <w:sz w:val="21"/>
          <w:szCs w:val="21"/>
        </w:rPr>
        <w:t xml:space="preserve"> </w:t>
      </w:r>
      <w:r w:rsidRPr="00C61BD6">
        <w:rPr>
          <w:sz w:val="21"/>
          <w:szCs w:val="21"/>
        </w:rPr>
        <w:t>de</w:t>
      </w:r>
      <w:r w:rsidRPr="00C61BD6">
        <w:rPr>
          <w:spacing w:val="-10"/>
          <w:sz w:val="21"/>
          <w:szCs w:val="21"/>
        </w:rPr>
        <w:t xml:space="preserve"> </w:t>
      </w:r>
      <w:r w:rsidRPr="00C61BD6">
        <w:rPr>
          <w:sz w:val="21"/>
          <w:szCs w:val="21"/>
        </w:rPr>
        <w:t>catastrophe</w:t>
      </w:r>
      <w:r w:rsidRPr="00C61BD6">
        <w:rPr>
          <w:spacing w:val="-11"/>
          <w:sz w:val="21"/>
          <w:szCs w:val="21"/>
        </w:rPr>
        <w:t xml:space="preserve"> </w:t>
      </w:r>
      <w:r w:rsidRPr="00C61BD6">
        <w:rPr>
          <w:sz w:val="21"/>
          <w:szCs w:val="21"/>
        </w:rPr>
        <w:t>pour</w:t>
      </w:r>
      <w:r w:rsidRPr="00C61BD6">
        <w:rPr>
          <w:spacing w:val="-10"/>
          <w:sz w:val="21"/>
          <w:szCs w:val="21"/>
        </w:rPr>
        <w:t xml:space="preserve"> </w:t>
      </w:r>
      <w:r w:rsidRPr="00C61BD6">
        <w:rPr>
          <w:sz w:val="21"/>
          <w:szCs w:val="21"/>
        </w:rPr>
        <w:t>couvrir l'impact des principaux risques agricoles auxquels sont confrontés les petits exploitants et améliorer leur capacité d'adaptation aux chocs météorologiques et climatiques. Les innovations dans les systèmes agroalimentaires et le développement de programmes de recherche et développement (R&amp;D)</w:t>
      </w:r>
      <w:r w:rsidRPr="00C61BD6">
        <w:rPr>
          <w:spacing w:val="-11"/>
          <w:sz w:val="21"/>
          <w:szCs w:val="21"/>
        </w:rPr>
        <w:t xml:space="preserve"> </w:t>
      </w:r>
      <w:r w:rsidRPr="00C61BD6">
        <w:rPr>
          <w:sz w:val="21"/>
          <w:szCs w:val="21"/>
        </w:rPr>
        <w:t>agricoles</w:t>
      </w:r>
      <w:r w:rsidRPr="00C61BD6">
        <w:rPr>
          <w:spacing w:val="-13"/>
          <w:sz w:val="21"/>
          <w:szCs w:val="21"/>
        </w:rPr>
        <w:t xml:space="preserve"> </w:t>
      </w:r>
      <w:r w:rsidRPr="00C61BD6">
        <w:rPr>
          <w:sz w:val="21"/>
          <w:szCs w:val="21"/>
        </w:rPr>
        <w:t>en</w:t>
      </w:r>
      <w:r w:rsidRPr="00C61BD6">
        <w:rPr>
          <w:spacing w:val="-13"/>
          <w:sz w:val="21"/>
          <w:szCs w:val="21"/>
        </w:rPr>
        <w:t xml:space="preserve"> </w:t>
      </w:r>
      <w:r w:rsidRPr="00C61BD6">
        <w:rPr>
          <w:sz w:val="21"/>
          <w:szCs w:val="21"/>
        </w:rPr>
        <w:t>matière</w:t>
      </w:r>
      <w:r w:rsidRPr="00C61BD6">
        <w:rPr>
          <w:spacing w:val="-14"/>
          <w:sz w:val="21"/>
          <w:szCs w:val="21"/>
        </w:rPr>
        <w:t xml:space="preserve"> </w:t>
      </w:r>
      <w:r w:rsidRPr="00C61BD6">
        <w:rPr>
          <w:sz w:val="21"/>
          <w:szCs w:val="21"/>
        </w:rPr>
        <w:t>de</w:t>
      </w:r>
      <w:r w:rsidRPr="00C61BD6">
        <w:rPr>
          <w:spacing w:val="-10"/>
          <w:sz w:val="21"/>
          <w:szCs w:val="21"/>
        </w:rPr>
        <w:t xml:space="preserve"> </w:t>
      </w:r>
      <w:r w:rsidRPr="00C61BD6">
        <w:rPr>
          <w:sz w:val="21"/>
          <w:szCs w:val="21"/>
        </w:rPr>
        <w:t>CSA</w:t>
      </w:r>
      <w:r w:rsidRPr="00C61BD6">
        <w:rPr>
          <w:spacing w:val="-14"/>
          <w:sz w:val="21"/>
          <w:szCs w:val="21"/>
        </w:rPr>
        <w:t xml:space="preserve"> </w:t>
      </w:r>
      <w:r w:rsidRPr="00C61BD6">
        <w:rPr>
          <w:sz w:val="21"/>
          <w:szCs w:val="21"/>
        </w:rPr>
        <w:t>et</w:t>
      </w:r>
      <w:r w:rsidRPr="00C61BD6">
        <w:rPr>
          <w:spacing w:val="-12"/>
          <w:sz w:val="21"/>
          <w:szCs w:val="21"/>
        </w:rPr>
        <w:t xml:space="preserve"> </w:t>
      </w:r>
      <w:r w:rsidRPr="00C61BD6">
        <w:rPr>
          <w:sz w:val="21"/>
          <w:szCs w:val="21"/>
        </w:rPr>
        <w:t>de</w:t>
      </w:r>
      <w:r w:rsidRPr="00C61BD6">
        <w:rPr>
          <w:spacing w:val="-12"/>
          <w:sz w:val="21"/>
          <w:szCs w:val="21"/>
        </w:rPr>
        <w:t xml:space="preserve"> </w:t>
      </w:r>
      <w:r w:rsidRPr="00C61BD6">
        <w:rPr>
          <w:sz w:val="21"/>
          <w:szCs w:val="21"/>
        </w:rPr>
        <w:t>NSmartAg</w:t>
      </w:r>
      <w:r w:rsidRPr="00C61BD6">
        <w:rPr>
          <w:spacing w:val="-14"/>
          <w:sz w:val="21"/>
          <w:szCs w:val="21"/>
        </w:rPr>
        <w:t xml:space="preserve"> </w:t>
      </w:r>
      <w:r w:rsidRPr="00C61BD6">
        <w:rPr>
          <w:sz w:val="21"/>
          <w:szCs w:val="21"/>
        </w:rPr>
        <w:t>dans</w:t>
      </w:r>
      <w:r w:rsidRPr="00C61BD6">
        <w:rPr>
          <w:spacing w:val="-10"/>
          <w:sz w:val="21"/>
          <w:szCs w:val="21"/>
        </w:rPr>
        <w:t xml:space="preserve"> </w:t>
      </w:r>
      <w:r w:rsidRPr="00C61BD6">
        <w:rPr>
          <w:sz w:val="21"/>
          <w:szCs w:val="21"/>
        </w:rPr>
        <w:t>le</w:t>
      </w:r>
      <w:r w:rsidRPr="00C61BD6">
        <w:rPr>
          <w:spacing w:val="-13"/>
          <w:sz w:val="21"/>
          <w:szCs w:val="21"/>
        </w:rPr>
        <w:t xml:space="preserve"> </w:t>
      </w:r>
      <w:r w:rsidRPr="00C61BD6">
        <w:rPr>
          <w:sz w:val="21"/>
          <w:szCs w:val="21"/>
        </w:rPr>
        <w:t>cadre</w:t>
      </w:r>
      <w:r w:rsidRPr="00C61BD6">
        <w:rPr>
          <w:spacing w:val="-13"/>
          <w:sz w:val="21"/>
          <w:szCs w:val="21"/>
        </w:rPr>
        <w:t xml:space="preserve"> </w:t>
      </w:r>
      <w:r w:rsidRPr="00C61BD6">
        <w:rPr>
          <w:sz w:val="21"/>
          <w:szCs w:val="21"/>
        </w:rPr>
        <w:t>de</w:t>
      </w:r>
      <w:r w:rsidRPr="00C61BD6">
        <w:rPr>
          <w:spacing w:val="-12"/>
          <w:sz w:val="21"/>
          <w:szCs w:val="21"/>
        </w:rPr>
        <w:t xml:space="preserve"> </w:t>
      </w:r>
      <w:r w:rsidRPr="00C61BD6">
        <w:rPr>
          <w:sz w:val="21"/>
          <w:szCs w:val="21"/>
        </w:rPr>
        <w:t>la</w:t>
      </w:r>
      <w:r w:rsidRPr="00C61BD6">
        <w:rPr>
          <w:spacing w:val="-13"/>
          <w:sz w:val="21"/>
          <w:szCs w:val="21"/>
        </w:rPr>
        <w:t xml:space="preserve"> </w:t>
      </w:r>
      <w:r w:rsidRPr="00C61BD6">
        <w:rPr>
          <w:sz w:val="21"/>
          <w:szCs w:val="21"/>
        </w:rPr>
        <w:t>sous-composante</w:t>
      </w:r>
      <w:r w:rsidRPr="00C61BD6">
        <w:rPr>
          <w:spacing w:val="-12"/>
          <w:sz w:val="21"/>
          <w:szCs w:val="21"/>
        </w:rPr>
        <w:t xml:space="preserve"> </w:t>
      </w:r>
      <w:r w:rsidRPr="00C61BD6">
        <w:rPr>
          <w:sz w:val="21"/>
          <w:szCs w:val="21"/>
        </w:rPr>
        <w:t>3.1</w:t>
      </w:r>
      <w:r w:rsidRPr="00C61BD6">
        <w:rPr>
          <w:spacing w:val="-13"/>
          <w:sz w:val="21"/>
          <w:szCs w:val="21"/>
        </w:rPr>
        <w:t xml:space="preserve"> </w:t>
      </w:r>
      <w:r w:rsidRPr="00C61BD6">
        <w:rPr>
          <w:sz w:val="21"/>
          <w:szCs w:val="21"/>
        </w:rPr>
        <w:t>améliorent la prestation de services publics résistants au climat et soutiennent la résilience climatique des communautés agricoles rurales.</w:t>
      </w:r>
    </w:p>
    <w:p w14:paraId="06CB6120" w14:textId="77777777" w:rsidR="002B797B" w:rsidRDefault="002B797B" w:rsidP="002B797B">
      <w:pPr>
        <w:rPr>
          <w:rFonts w:cs="Arial"/>
          <w:szCs w:val="21"/>
        </w:rPr>
      </w:pPr>
    </w:p>
    <w:p w14:paraId="75CD03D5" w14:textId="77777777" w:rsidR="003142D9" w:rsidRDefault="003142D9" w:rsidP="002B797B">
      <w:pPr>
        <w:rPr>
          <w:rFonts w:cs="Arial"/>
          <w:szCs w:val="21"/>
        </w:rPr>
      </w:pPr>
    </w:p>
    <w:p w14:paraId="55190A5F" w14:textId="77777777" w:rsidR="003142D9" w:rsidRPr="00C61BD6" w:rsidRDefault="003142D9" w:rsidP="002B797B">
      <w:pPr>
        <w:rPr>
          <w:rFonts w:cs="Arial"/>
          <w:szCs w:val="21"/>
        </w:rPr>
      </w:pPr>
    </w:p>
    <w:p w14:paraId="4359B941" w14:textId="77777777" w:rsidR="002B797B" w:rsidRPr="00C61BD6" w:rsidRDefault="002B797B" w:rsidP="002B797B">
      <w:pPr>
        <w:rPr>
          <w:rFonts w:cs="Arial"/>
          <w:i/>
          <w:szCs w:val="21"/>
        </w:rPr>
      </w:pPr>
      <w:r w:rsidRPr="00C61BD6">
        <w:rPr>
          <w:rFonts w:cs="Arial"/>
          <w:i/>
          <w:szCs w:val="21"/>
        </w:rPr>
        <w:t>Développement territorial</w:t>
      </w:r>
    </w:p>
    <w:p w14:paraId="6424C808" w14:textId="77777777" w:rsidR="002B797B" w:rsidRPr="00C61BD6" w:rsidRDefault="002B797B" w:rsidP="002B797B">
      <w:pPr>
        <w:rPr>
          <w:rFonts w:cs="Arial"/>
          <w:i/>
          <w:szCs w:val="21"/>
        </w:rPr>
      </w:pPr>
    </w:p>
    <w:p w14:paraId="721AB771" w14:textId="53874ACA" w:rsidR="002B797B" w:rsidRPr="00C61BD6" w:rsidRDefault="002B797B" w:rsidP="002B797B">
      <w:pPr>
        <w:rPr>
          <w:szCs w:val="21"/>
        </w:rPr>
      </w:pPr>
      <w:r w:rsidRPr="00C61BD6">
        <w:rPr>
          <w:szCs w:val="21"/>
        </w:rPr>
        <w:t>Le projet proposé cherchera à maximiser son impact sur les revenus ruraux, la sécurité alimentaire et la nutrition en utilisant une approche de développement territorial, en co-localisant les activités avec les opérations actuelles et futures de la Banque mondiale en RDC. Il répondra ainsi aux besoins du pays et aux priorités du gouvernement en créant des synergies qui augmentent l'inclusion des populations vulnérables et créent ainsi une voie de sortie de la fragilité. La Banque mondiale a récemment</w:t>
      </w:r>
      <w:r w:rsidRPr="00C61BD6">
        <w:rPr>
          <w:spacing w:val="-16"/>
          <w:szCs w:val="21"/>
        </w:rPr>
        <w:t xml:space="preserve"> </w:t>
      </w:r>
      <w:r w:rsidRPr="00C61BD6">
        <w:rPr>
          <w:szCs w:val="21"/>
        </w:rPr>
        <w:t>approuvé</w:t>
      </w:r>
      <w:r w:rsidRPr="00C61BD6">
        <w:rPr>
          <w:spacing w:val="-15"/>
          <w:szCs w:val="21"/>
        </w:rPr>
        <w:t xml:space="preserve"> </w:t>
      </w:r>
      <w:r w:rsidRPr="00C61BD6">
        <w:rPr>
          <w:szCs w:val="21"/>
        </w:rPr>
        <w:t>ou</w:t>
      </w:r>
      <w:r w:rsidRPr="00C61BD6">
        <w:rPr>
          <w:spacing w:val="-14"/>
          <w:szCs w:val="21"/>
        </w:rPr>
        <w:t xml:space="preserve"> </w:t>
      </w:r>
      <w:r w:rsidRPr="00C61BD6">
        <w:rPr>
          <w:szCs w:val="21"/>
        </w:rPr>
        <w:t>prépare</w:t>
      </w:r>
      <w:r w:rsidRPr="00C61BD6">
        <w:rPr>
          <w:spacing w:val="-12"/>
          <w:szCs w:val="21"/>
        </w:rPr>
        <w:t xml:space="preserve"> </w:t>
      </w:r>
      <w:r w:rsidRPr="00C61BD6">
        <w:rPr>
          <w:szCs w:val="21"/>
        </w:rPr>
        <w:t>plusieurs</w:t>
      </w:r>
      <w:r w:rsidRPr="00C61BD6">
        <w:rPr>
          <w:spacing w:val="-15"/>
          <w:szCs w:val="21"/>
        </w:rPr>
        <w:t xml:space="preserve"> </w:t>
      </w:r>
      <w:r w:rsidRPr="00C61BD6">
        <w:rPr>
          <w:szCs w:val="21"/>
        </w:rPr>
        <w:t>opérations</w:t>
      </w:r>
      <w:r w:rsidRPr="00C61BD6">
        <w:rPr>
          <w:spacing w:val="-15"/>
          <w:szCs w:val="21"/>
        </w:rPr>
        <w:t xml:space="preserve"> </w:t>
      </w:r>
      <w:r w:rsidRPr="00C61BD6">
        <w:rPr>
          <w:szCs w:val="21"/>
        </w:rPr>
        <w:t>qui</w:t>
      </w:r>
      <w:r w:rsidRPr="00C61BD6">
        <w:rPr>
          <w:spacing w:val="-13"/>
          <w:szCs w:val="21"/>
        </w:rPr>
        <w:t xml:space="preserve"> </w:t>
      </w:r>
      <w:r w:rsidRPr="00C61BD6">
        <w:rPr>
          <w:szCs w:val="21"/>
        </w:rPr>
        <w:t>visent</w:t>
      </w:r>
      <w:r w:rsidRPr="00C61BD6">
        <w:rPr>
          <w:spacing w:val="-15"/>
          <w:szCs w:val="21"/>
        </w:rPr>
        <w:t xml:space="preserve"> </w:t>
      </w:r>
      <w:r w:rsidRPr="00C61BD6">
        <w:rPr>
          <w:szCs w:val="21"/>
        </w:rPr>
        <w:t>à</w:t>
      </w:r>
      <w:r w:rsidRPr="00C61BD6">
        <w:rPr>
          <w:spacing w:val="-14"/>
          <w:szCs w:val="21"/>
        </w:rPr>
        <w:t xml:space="preserve"> </w:t>
      </w:r>
      <w:r w:rsidRPr="00C61BD6">
        <w:rPr>
          <w:szCs w:val="21"/>
        </w:rPr>
        <w:t>augmenter</w:t>
      </w:r>
      <w:r w:rsidRPr="00C61BD6">
        <w:rPr>
          <w:spacing w:val="-12"/>
          <w:szCs w:val="21"/>
        </w:rPr>
        <w:t xml:space="preserve"> </w:t>
      </w:r>
      <w:r w:rsidRPr="00C61BD6">
        <w:rPr>
          <w:szCs w:val="21"/>
        </w:rPr>
        <w:t>les</w:t>
      </w:r>
      <w:r w:rsidRPr="00C61BD6">
        <w:rPr>
          <w:spacing w:val="-13"/>
          <w:szCs w:val="21"/>
        </w:rPr>
        <w:t xml:space="preserve"> </w:t>
      </w:r>
      <w:r w:rsidRPr="00C61BD6">
        <w:rPr>
          <w:szCs w:val="21"/>
        </w:rPr>
        <w:t>revenus</w:t>
      </w:r>
      <w:r w:rsidRPr="00C61BD6">
        <w:rPr>
          <w:spacing w:val="-15"/>
          <w:szCs w:val="21"/>
        </w:rPr>
        <w:t xml:space="preserve"> </w:t>
      </w:r>
      <w:r w:rsidRPr="00C61BD6">
        <w:rPr>
          <w:szCs w:val="21"/>
        </w:rPr>
        <w:t>des</w:t>
      </w:r>
      <w:r w:rsidRPr="00C61BD6">
        <w:rPr>
          <w:spacing w:val="-15"/>
          <w:szCs w:val="21"/>
        </w:rPr>
        <w:t xml:space="preserve"> </w:t>
      </w:r>
      <w:r w:rsidRPr="00C61BD6">
        <w:rPr>
          <w:szCs w:val="21"/>
        </w:rPr>
        <w:t>ménages à faible revenu, à réduire les coûts de transaction et à améliorer le bien-être des ménages, en particulier</w:t>
      </w:r>
      <w:r w:rsidRPr="00C61BD6">
        <w:rPr>
          <w:spacing w:val="-11"/>
          <w:szCs w:val="21"/>
        </w:rPr>
        <w:t xml:space="preserve"> </w:t>
      </w:r>
      <w:r w:rsidRPr="00C61BD6">
        <w:rPr>
          <w:szCs w:val="21"/>
        </w:rPr>
        <w:t>dans</w:t>
      </w:r>
      <w:r w:rsidRPr="00C61BD6">
        <w:rPr>
          <w:spacing w:val="-11"/>
          <w:szCs w:val="21"/>
        </w:rPr>
        <w:t xml:space="preserve"> </w:t>
      </w:r>
      <w:r w:rsidRPr="00C61BD6">
        <w:rPr>
          <w:szCs w:val="21"/>
        </w:rPr>
        <w:t>les</w:t>
      </w:r>
      <w:r w:rsidRPr="00C61BD6">
        <w:rPr>
          <w:spacing w:val="-11"/>
          <w:szCs w:val="21"/>
        </w:rPr>
        <w:t xml:space="preserve"> </w:t>
      </w:r>
      <w:r w:rsidRPr="00C61BD6">
        <w:rPr>
          <w:szCs w:val="21"/>
        </w:rPr>
        <w:t>zones</w:t>
      </w:r>
      <w:r w:rsidRPr="00C61BD6">
        <w:rPr>
          <w:spacing w:val="-11"/>
          <w:szCs w:val="21"/>
        </w:rPr>
        <w:t xml:space="preserve"> </w:t>
      </w:r>
      <w:r w:rsidRPr="00C61BD6">
        <w:rPr>
          <w:szCs w:val="21"/>
        </w:rPr>
        <w:t>rurales.</w:t>
      </w:r>
      <w:r w:rsidRPr="00C61BD6">
        <w:rPr>
          <w:spacing w:val="-11"/>
          <w:szCs w:val="21"/>
        </w:rPr>
        <w:t xml:space="preserve"> </w:t>
      </w:r>
      <w:r w:rsidRPr="00C61BD6">
        <w:rPr>
          <w:szCs w:val="21"/>
        </w:rPr>
        <w:t>Ces</w:t>
      </w:r>
      <w:r w:rsidRPr="00C61BD6">
        <w:rPr>
          <w:spacing w:val="-13"/>
          <w:szCs w:val="21"/>
        </w:rPr>
        <w:t xml:space="preserve"> </w:t>
      </w:r>
      <w:r w:rsidRPr="00C61BD6">
        <w:rPr>
          <w:szCs w:val="21"/>
        </w:rPr>
        <w:t>opérations</w:t>
      </w:r>
      <w:r w:rsidRPr="00C61BD6">
        <w:rPr>
          <w:spacing w:val="-11"/>
          <w:szCs w:val="21"/>
        </w:rPr>
        <w:t xml:space="preserve"> </w:t>
      </w:r>
      <w:r w:rsidRPr="00C61BD6">
        <w:rPr>
          <w:szCs w:val="21"/>
        </w:rPr>
        <w:t>comprennent</w:t>
      </w:r>
      <w:r w:rsidRPr="00C61BD6">
        <w:rPr>
          <w:spacing w:val="-11"/>
          <w:szCs w:val="21"/>
        </w:rPr>
        <w:t xml:space="preserve"> </w:t>
      </w:r>
      <w:r w:rsidRPr="00C61BD6">
        <w:rPr>
          <w:szCs w:val="21"/>
        </w:rPr>
        <w:t>:</w:t>
      </w:r>
      <w:r w:rsidRPr="00C61BD6">
        <w:rPr>
          <w:spacing w:val="-13"/>
          <w:szCs w:val="21"/>
        </w:rPr>
        <w:t xml:space="preserve"> </w:t>
      </w:r>
      <w:r w:rsidRPr="00C61BD6">
        <w:rPr>
          <w:szCs w:val="21"/>
        </w:rPr>
        <w:t>(a)</w:t>
      </w:r>
      <w:r w:rsidRPr="00C61BD6">
        <w:rPr>
          <w:spacing w:val="-13"/>
          <w:szCs w:val="21"/>
        </w:rPr>
        <w:t xml:space="preserve"> </w:t>
      </w:r>
      <w:r w:rsidRPr="00C61BD6">
        <w:rPr>
          <w:szCs w:val="21"/>
        </w:rPr>
        <w:t>le</w:t>
      </w:r>
      <w:r w:rsidRPr="00C61BD6">
        <w:rPr>
          <w:spacing w:val="-13"/>
          <w:szCs w:val="21"/>
        </w:rPr>
        <w:t xml:space="preserve"> </w:t>
      </w:r>
      <w:r w:rsidRPr="00C61BD6">
        <w:rPr>
          <w:szCs w:val="21"/>
        </w:rPr>
        <w:t>Projet</w:t>
      </w:r>
      <w:r w:rsidRPr="00C61BD6">
        <w:rPr>
          <w:spacing w:val="-13"/>
          <w:szCs w:val="21"/>
        </w:rPr>
        <w:t xml:space="preserve"> </w:t>
      </w:r>
      <w:r w:rsidRPr="00C61BD6">
        <w:rPr>
          <w:szCs w:val="21"/>
        </w:rPr>
        <w:t>multisectoriel</w:t>
      </w:r>
      <w:r w:rsidRPr="00C61BD6">
        <w:rPr>
          <w:spacing w:val="-12"/>
          <w:szCs w:val="21"/>
        </w:rPr>
        <w:t xml:space="preserve"> </w:t>
      </w:r>
      <w:r w:rsidRPr="00C61BD6">
        <w:rPr>
          <w:szCs w:val="21"/>
        </w:rPr>
        <w:t>de</w:t>
      </w:r>
      <w:r w:rsidRPr="00C61BD6">
        <w:rPr>
          <w:spacing w:val="-11"/>
          <w:szCs w:val="21"/>
        </w:rPr>
        <w:t xml:space="preserve"> </w:t>
      </w:r>
      <w:r w:rsidRPr="00C61BD6">
        <w:rPr>
          <w:szCs w:val="21"/>
        </w:rPr>
        <w:t>nutrition et de santé (P168756), qui comprend des kits de production alimentaire pour les ménages souffrant de malnutrition et des activités de biofortification des cultures ; (b) le Projet d'appui aux transports et à la connectivité (P161877), qui soutient les investissements routiers dans les régions du Kasaï et de l'Est (Kananga-Mbuji-Mayi, Mbuji-Mayi-Lubao et Goma-Beni), entre autres investissements dans les transports</w:t>
      </w:r>
      <w:r w:rsidRPr="00C61BD6">
        <w:rPr>
          <w:spacing w:val="-9"/>
          <w:szCs w:val="21"/>
        </w:rPr>
        <w:t xml:space="preserve"> </w:t>
      </w:r>
      <w:r w:rsidRPr="00C61BD6">
        <w:rPr>
          <w:szCs w:val="21"/>
        </w:rPr>
        <w:t>et</w:t>
      </w:r>
      <w:r w:rsidRPr="00C61BD6">
        <w:rPr>
          <w:spacing w:val="-7"/>
          <w:szCs w:val="21"/>
        </w:rPr>
        <w:t xml:space="preserve"> </w:t>
      </w:r>
      <w:r w:rsidRPr="00C61BD6">
        <w:rPr>
          <w:szCs w:val="21"/>
        </w:rPr>
        <w:t>la</w:t>
      </w:r>
      <w:r w:rsidRPr="00C61BD6">
        <w:rPr>
          <w:spacing w:val="-9"/>
          <w:szCs w:val="21"/>
        </w:rPr>
        <w:t xml:space="preserve"> </w:t>
      </w:r>
      <w:r w:rsidRPr="00C61BD6">
        <w:rPr>
          <w:szCs w:val="21"/>
        </w:rPr>
        <w:t>connectivité</w:t>
      </w:r>
      <w:r w:rsidRPr="00C61BD6">
        <w:rPr>
          <w:spacing w:val="-6"/>
          <w:szCs w:val="21"/>
        </w:rPr>
        <w:t xml:space="preserve"> </w:t>
      </w:r>
      <w:r w:rsidRPr="00C61BD6">
        <w:rPr>
          <w:szCs w:val="21"/>
        </w:rPr>
        <w:t>;</w:t>
      </w:r>
      <w:r w:rsidRPr="00C61BD6">
        <w:rPr>
          <w:spacing w:val="-6"/>
          <w:szCs w:val="21"/>
        </w:rPr>
        <w:t xml:space="preserve"> </w:t>
      </w:r>
      <w:r w:rsidRPr="00C61BD6">
        <w:rPr>
          <w:szCs w:val="21"/>
        </w:rPr>
        <w:t>(c)</w:t>
      </w:r>
      <w:r w:rsidRPr="00C61BD6">
        <w:rPr>
          <w:spacing w:val="-6"/>
          <w:szCs w:val="21"/>
        </w:rPr>
        <w:t xml:space="preserve"> </w:t>
      </w:r>
      <w:r w:rsidRPr="00C61BD6">
        <w:rPr>
          <w:szCs w:val="21"/>
        </w:rPr>
        <w:t>le</w:t>
      </w:r>
      <w:r w:rsidRPr="00C61BD6">
        <w:rPr>
          <w:spacing w:val="-6"/>
          <w:szCs w:val="21"/>
        </w:rPr>
        <w:t xml:space="preserve"> </w:t>
      </w:r>
      <w:r w:rsidRPr="00C61BD6">
        <w:rPr>
          <w:szCs w:val="21"/>
        </w:rPr>
        <w:t>projet</w:t>
      </w:r>
      <w:r w:rsidRPr="00C61BD6">
        <w:rPr>
          <w:spacing w:val="-6"/>
          <w:szCs w:val="21"/>
        </w:rPr>
        <w:t xml:space="preserve"> </w:t>
      </w:r>
      <w:r w:rsidRPr="00C61BD6">
        <w:rPr>
          <w:szCs w:val="21"/>
        </w:rPr>
        <w:t>d'infrastructure</w:t>
      </w:r>
      <w:r w:rsidRPr="00C61BD6">
        <w:rPr>
          <w:spacing w:val="-6"/>
          <w:szCs w:val="21"/>
        </w:rPr>
        <w:t xml:space="preserve"> </w:t>
      </w:r>
      <w:r w:rsidRPr="00C61BD6">
        <w:rPr>
          <w:szCs w:val="21"/>
        </w:rPr>
        <w:t>et</w:t>
      </w:r>
      <w:r w:rsidRPr="00C61BD6">
        <w:rPr>
          <w:spacing w:val="-6"/>
          <w:szCs w:val="21"/>
        </w:rPr>
        <w:t xml:space="preserve"> </w:t>
      </w:r>
      <w:r w:rsidRPr="00C61BD6">
        <w:rPr>
          <w:szCs w:val="21"/>
        </w:rPr>
        <w:t>de</w:t>
      </w:r>
      <w:r w:rsidRPr="00C61BD6">
        <w:rPr>
          <w:spacing w:val="-8"/>
          <w:szCs w:val="21"/>
        </w:rPr>
        <w:t xml:space="preserve"> </w:t>
      </w:r>
      <w:r w:rsidRPr="00C61BD6">
        <w:rPr>
          <w:szCs w:val="21"/>
        </w:rPr>
        <w:t>marchés</w:t>
      </w:r>
      <w:r w:rsidRPr="00C61BD6">
        <w:rPr>
          <w:spacing w:val="-6"/>
          <w:szCs w:val="21"/>
        </w:rPr>
        <w:t xml:space="preserve"> </w:t>
      </w:r>
      <w:r w:rsidRPr="00C61BD6">
        <w:rPr>
          <w:szCs w:val="21"/>
        </w:rPr>
        <w:t>financiers</w:t>
      </w:r>
      <w:r w:rsidRPr="00C61BD6">
        <w:rPr>
          <w:spacing w:val="-7"/>
          <w:szCs w:val="21"/>
        </w:rPr>
        <w:t xml:space="preserve"> </w:t>
      </w:r>
      <w:r w:rsidRPr="00C61BD6">
        <w:rPr>
          <w:szCs w:val="21"/>
        </w:rPr>
        <w:t>(P145554),</w:t>
      </w:r>
      <w:r w:rsidRPr="00C61BD6">
        <w:rPr>
          <w:spacing w:val="-6"/>
          <w:szCs w:val="21"/>
        </w:rPr>
        <w:t xml:space="preserve"> </w:t>
      </w:r>
      <w:r w:rsidRPr="00C61BD6">
        <w:rPr>
          <w:szCs w:val="21"/>
        </w:rPr>
        <w:t>qui</w:t>
      </w:r>
      <w:r w:rsidRPr="00C61BD6">
        <w:rPr>
          <w:spacing w:val="-7"/>
          <w:szCs w:val="21"/>
        </w:rPr>
        <w:t xml:space="preserve"> </w:t>
      </w:r>
      <w:r w:rsidRPr="00C61BD6">
        <w:rPr>
          <w:szCs w:val="21"/>
        </w:rPr>
        <w:t>vise à moderniser l'infrastructure de paiement et à accroître la disponibilité du financement à terme pour les micro, petites et moyennes entreprises (MPME) ; (d) le projet de développement et de croissance des MPME (P160806), qui soutient l'emploi et l'esprit d'entreprise dans des zones urbaines sélectionnées</w:t>
      </w:r>
      <w:r w:rsidRPr="00C61BD6">
        <w:rPr>
          <w:spacing w:val="-5"/>
          <w:szCs w:val="21"/>
        </w:rPr>
        <w:t xml:space="preserve"> </w:t>
      </w:r>
      <w:r w:rsidRPr="00C61BD6">
        <w:rPr>
          <w:szCs w:val="21"/>
        </w:rPr>
        <w:t>;</w:t>
      </w:r>
      <w:r w:rsidRPr="00C61BD6">
        <w:rPr>
          <w:spacing w:val="-4"/>
          <w:szCs w:val="21"/>
        </w:rPr>
        <w:t xml:space="preserve"> </w:t>
      </w:r>
      <w:r w:rsidRPr="00C61BD6">
        <w:rPr>
          <w:szCs w:val="21"/>
        </w:rPr>
        <w:t>et</w:t>
      </w:r>
      <w:r w:rsidRPr="00C61BD6">
        <w:rPr>
          <w:spacing w:val="-4"/>
          <w:szCs w:val="21"/>
        </w:rPr>
        <w:t xml:space="preserve"> </w:t>
      </w:r>
      <w:r w:rsidRPr="00C61BD6">
        <w:rPr>
          <w:szCs w:val="21"/>
        </w:rPr>
        <w:t>(e)</w:t>
      </w:r>
      <w:r w:rsidRPr="00C61BD6">
        <w:rPr>
          <w:spacing w:val="-2"/>
          <w:szCs w:val="21"/>
        </w:rPr>
        <w:t xml:space="preserve"> </w:t>
      </w:r>
      <w:r w:rsidRPr="00C61BD6">
        <w:rPr>
          <w:szCs w:val="21"/>
        </w:rPr>
        <w:t>le</w:t>
      </w:r>
      <w:r w:rsidRPr="00C61BD6">
        <w:rPr>
          <w:spacing w:val="-2"/>
          <w:szCs w:val="21"/>
        </w:rPr>
        <w:t xml:space="preserve"> </w:t>
      </w:r>
      <w:r w:rsidRPr="00C61BD6">
        <w:rPr>
          <w:szCs w:val="21"/>
        </w:rPr>
        <w:t>projet</w:t>
      </w:r>
      <w:r w:rsidRPr="00C61BD6">
        <w:rPr>
          <w:spacing w:val="-2"/>
          <w:szCs w:val="21"/>
        </w:rPr>
        <w:t xml:space="preserve"> </w:t>
      </w:r>
      <w:r w:rsidRPr="00C61BD6">
        <w:rPr>
          <w:szCs w:val="21"/>
        </w:rPr>
        <w:t>de</w:t>
      </w:r>
      <w:r w:rsidRPr="00C61BD6">
        <w:rPr>
          <w:spacing w:val="-4"/>
          <w:szCs w:val="21"/>
        </w:rPr>
        <w:t xml:space="preserve"> </w:t>
      </w:r>
      <w:r w:rsidRPr="00C61BD6">
        <w:rPr>
          <w:szCs w:val="21"/>
        </w:rPr>
        <w:t>stabilisation</w:t>
      </w:r>
      <w:r w:rsidRPr="00C61BD6">
        <w:rPr>
          <w:spacing w:val="-5"/>
          <w:szCs w:val="21"/>
        </w:rPr>
        <w:t xml:space="preserve"> </w:t>
      </w:r>
      <w:r w:rsidRPr="00C61BD6">
        <w:rPr>
          <w:szCs w:val="21"/>
        </w:rPr>
        <w:t>et</w:t>
      </w:r>
      <w:r w:rsidRPr="00C61BD6">
        <w:rPr>
          <w:spacing w:val="-4"/>
          <w:szCs w:val="21"/>
        </w:rPr>
        <w:t xml:space="preserve"> </w:t>
      </w:r>
      <w:r w:rsidRPr="00C61BD6">
        <w:rPr>
          <w:szCs w:val="21"/>
        </w:rPr>
        <w:t>de</w:t>
      </w:r>
      <w:r w:rsidRPr="00C61BD6">
        <w:rPr>
          <w:spacing w:val="-6"/>
          <w:szCs w:val="21"/>
        </w:rPr>
        <w:t xml:space="preserve"> </w:t>
      </w:r>
      <w:r w:rsidRPr="00C61BD6">
        <w:rPr>
          <w:szCs w:val="21"/>
        </w:rPr>
        <w:t>redressement</w:t>
      </w:r>
      <w:r w:rsidRPr="00C61BD6">
        <w:rPr>
          <w:spacing w:val="-4"/>
          <w:szCs w:val="21"/>
        </w:rPr>
        <w:t xml:space="preserve"> </w:t>
      </w:r>
      <w:r w:rsidRPr="00C61BD6">
        <w:rPr>
          <w:szCs w:val="21"/>
        </w:rPr>
        <w:t>(P175834),</w:t>
      </w:r>
      <w:r w:rsidRPr="00C61BD6">
        <w:rPr>
          <w:spacing w:val="-5"/>
          <w:szCs w:val="21"/>
        </w:rPr>
        <w:t xml:space="preserve"> </w:t>
      </w:r>
      <w:r w:rsidRPr="00C61BD6">
        <w:rPr>
          <w:szCs w:val="21"/>
        </w:rPr>
        <w:t>qui</w:t>
      </w:r>
      <w:r w:rsidRPr="00C61BD6">
        <w:rPr>
          <w:spacing w:val="-5"/>
          <w:szCs w:val="21"/>
        </w:rPr>
        <w:t xml:space="preserve"> </w:t>
      </w:r>
      <w:r w:rsidRPr="00C61BD6">
        <w:rPr>
          <w:szCs w:val="21"/>
        </w:rPr>
        <w:t>couvre</w:t>
      </w:r>
      <w:r w:rsidRPr="00C61BD6">
        <w:rPr>
          <w:spacing w:val="-4"/>
          <w:szCs w:val="21"/>
        </w:rPr>
        <w:t xml:space="preserve"> </w:t>
      </w:r>
      <w:r w:rsidRPr="00C61BD6">
        <w:rPr>
          <w:szCs w:val="21"/>
        </w:rPr>
        <w:t>les</w:t>
      </w:r>
      <w:r w:rsidRPr="00C61BD6">
        <w:rPr>
          <w:spacing w:val="-2"/>
          <w:szCs w:val="21"/>
        </w:rPr>
        <w:t xml:space="preserve"> </w:t>
      </w:r>
      <w:r w:rsidRPr="00C61BD6">
        <w:rPr>
          <w:szCs w:val="21"/>
        </w:rPr>
        <w:t>provinces de</w:t>
      </w:r>
      <w:r w:rsidRPr="00C61BD6">
        <w:rPr>
          <w:spacing w:val="-36"/>
          <w:szCs w:val="21"/>
        </w:rPr>
        <w:t xml:space="preserve"> </w:t>
      </w:r>
      <w:r w:rsidRPr="00C61BD6">
        <w:rPr>
          <w:szCs w:val="21"/>
        </w:rPr>
        <w:t>l'est</w:t>
      </w:r>
      <w:r w:rsidRPr="00C61BD6">
        <w:rPr>
          <w:spacing w:val="-35"/>
          <w:szCs w:val="21"/>
        </w:rPr>
        <w:t xml:space="preserve"> </w:t>
      </w:r>
      <w:r w:rsidRPr="00C61BD6">
        <w:rPr>
          <w:szCs w:val="21"/>
        </w:rPr>
        <w:t>de</w:t>
      </w:r>
      <w:r w:rsidRPr="00C61BD6">
        <w:rPr>
          <w:spacing w:val="-35"/>
          <w:szCs w:val="21"/>
        </w:rPr>
        <w:t xml:space="preserve"> </w:t>
      </w:r>
      <w:r w:rsidRPr="00C61BD6">
        <w:rPr>
          <w:szCs w:val="21"/>
        </w:rPr>
        <w:t>la</w:t>
      </w:r>
      <w:r w:rsidRPr="00C61BD6">
        <w:rPr>
          <w:spacing w:val="-37"/>
          <w:szCs w:val="21"/>
        </w:rPr>
        <w:t xml:space="preserve"> </w:t>
      </w:r>
      <w:r w:rsidRPr="00C61BD6">
        <w:rPr>
          <w:szCs w:val="21"/>
        </w:rPr>
        <w:t>RDC</w:t>
      </w:r>
      <w:r w:rsidRPr="00C61BD6">
        <w:rPr>
          <w:spacing w:val="-36"/>
          <w:szCs w:val="21"/>
        </w:rPr>
        <w:t xml:space="preserve"> </w:t>
      </w:r>
      <w:r w:rsidRPr="00C61BD6">
        <w:rPr>
          <w:szCs w:val="21"/>
        </w:rPr>
        <w:t>(à</w:t>
      </w:r>
      <w:r w:rsidRPr="00C61BD6">
        <w:rPr>
          <w:spacing w:val="-37"/>
          <w:szCs w:val="21"/>
        </w:rPr>
        <w:t xml:space="preserve"> </w:t>
      </w:r>
      <w:r w:rsidRPr="00C61BD6">
        <w:rPr>
          <w:szCs w:val="21"/>
        </w:rPr>
        <w:t>venir).</w:t>
      </w:r>
      <w:r w:rsidRPr="00C61BD6">
        <w:rPr>
          <w:spacing w:val="-36"/>
          <w:szCs w:val="21"/>
        </w:rPr>
        <w:t xml:space="preserve"> </w:t>
      </w:r>
      <w:r w:rsidRPr="00C61BD6">
        <w:rPr>
          <w:szCs w:val="21"/>
        </w:rPr>
        <w:t>La</w:t>
      </w:r>
      <w:r w:rsidRPr="00C61BD6">
        <w:rPr>
          <w:spacing w:val="-36"/>
          <w:szCs w:val="21"/>
        </w:rPr>
        <w:t xml:space="preserve"> </w:t>
      </w:r>
      <w:r w:rsidRPr="00C61BD6">
        <w:rPr>
          <w:szCs w:val="21"/>
        </w:rPr>
        <w:t>conception</w:t>
      </w:r>
      <w:r w:rsidRPr="00C61BD6">
        <w:rPr>
          <w:spacing w:val="-37"/>
          <w:szCs w:val="21"/>
        </w:rPr>
        <w:t xml:space="preserve"> </w:t>
      </w:r>
      <w:r w:rsidRPr="00C61BD6">
        <w:rPr>
          <w:szCs w:val="21"/>
        </w:rPr>
        <w:t>et</w:t>
      </w:r>
      <w:r w:rsidRPr="00C61BD6">
        <w:rPr>
          <w:spacing w:val="-36"/>
          <w:szCs w:val="21"/>
        </w:rPr>
        <w:t xml:space="preserve"> </w:t>
      </w:r>
      <w:r w:rsidRPr="00C61BD6">
        <w:rPr>
          <w:szCs w:val="21"/>
        </w:rPr>
        <w:t>la</w:t>
      </w:r>
      <w:r w:rsidRPr="00C61BD6">
        <w:rPr>
          <w:spacing w:val="-38"/>
          <w:szCs w:val="21"/>
        </w:rPr>
        <w:t xml:space="preserve"> </w:t>
      </w:r>
      <w:r w:rsidRPr="00C61BD6">
        <w:rPr>
          <w:szCs w:val="21"/>
        </w:rPr>
        <w:t>mise</w:t>
      </w:r>
      <w:r w:rsidRPr="00C61BD6">
        <w:rPr>
          <w:spacing w:val="-36"/>
          <w:szCs w:val="21"/>
        </w:rPr>
        <w:t xml:space="preserve"> </w:t>
      </w:r>
      <w:r w:rsidRPr="00C61BD6">
        <w:rPr>
          <w:szCs w:val="21"/>
        </w:rPr>
        <w:t>en</w:t>
      </w:r>
      <w:r w:rsidRPr="00C61BD6">
        <w:rPr>
          <w:spacing w:val="-36"/>
          <w:szCs w:val="21"/>
        </w:rPr>
        <w:t xml:space="preserve"> </w:t>
      </w:r>
      <w:r w:rsidRPr="00C61BD6">
        <w:rPr>
          <w:szCs w:val="21"/>
        </w:rPr>
        <w:t>œuvre</w:t>
      </w:r>
      <w:r w:rsidRPr="00C61BD6">
        <w:rPr>
          <w:spacing w:val="-35"/>
          <w:szCs w:val="21"/>
        </w:rPr>
        <w:t xml:space="preserve"> </w:t>
      </w:r>
      <w:r w:rsidRPr="00C61BD6">
        <w:rPr>
          <w:szCs w:val="21"/>
        </w:rPr>
        <w:t>des</w:t>
      </w:r>
      <w:r w:rsidRPr="00C61BD6">
        <w:rPr>
          <w:spacing w:val="-35"/>
          <w:szCs w:val="21"/>
        </w:rPr>
        <w:t xml:space="preserve"> </w:t>
      </w:r>
      <w:r w:rsidRPr="00C61BD6">
        <w:rPr>
          <w:szCs w:val="21"/>
        </w:rPr>
        <w:t>programmes</w:t>
      </w:r>
      <w:r w:rsidRPr="00C61BD6">
        <w:rPr>
          <w:spacing w:val="-38"/>
          <w:szCs w:val="21"/>
        </w:rPr>
        <w:t xml:space="preserve"> </w:t>
      </w:r>
      <w:r w:rsidRPr="00C61BD6">
        <w:rPr>
          <w:szCs w:val="21"/>
        </w:rPr>
        <w:t>de</w:t>
      </w:r>
      <w:r w:rsidRPr="00C61BD6">
        <w:rPr>
          <w:spacing w:val="-33"/>
          <w:szCs w:val="21"/>
        </w:rPr>
        <w:t xml:space="preserve"> </w:t>
      </w:r>
      <w:r w:rsidRPr="00C61BD6">
        <w:rPr>
          <w:szCs w:val="21"/>
        </w:rPr>
        <w:t>financement</w:t>
      </w:r>
      <w:r w:rsidRPr="00C61BD6">
        <w:rPr>
          <w:spacing w:val="-24"/>
          <w:szCs w:val="21"/>
        </w:rPr>
        <w:t xml:space="preserve"> </w:t>
      </w:r>
      <w:r w:rsidRPr="00C61BD6">
        <w:rPr>
          <w:szCs w:val="21"/>
        </w:rPr>
        <w:t>des PME</w:t>
      </w:r>
      <w:r w:rsidRPr="00C61BD6">
        <w:rPr>
          <w:spacing w:val="-7"/>
          <w:szCs w:val="21"/>
        </w:rPr>
        <w:t xml:space="preserve"> </w:t>
      </w:r>
      <w:r w:rsidRPr="00C61BD6">
        <w:rPr>
          <w:szCs w:val="21"/>
        </w:rPr>
        <w:t>prévus</w:t>
      </w:r>
      <w:r w:rsidRPr="00C61BD6">
        <w:rPr>
          <w:spacing w:val="-4"/>
          <w:szCs w:val="21"/>
        </w:rPr>
        <w:t xml:space="preserve"> </w:t>
      </w:r>
      <w:r w:rsidRPr="00C61BD6">
        <w:rPr>
          <w:szCs w:val="21"/>
        </w:rPr>
        <w:t>par</w:t>
      </w:r>
      <w:r w:rsidRPr="00C61BD6">
        <w:rPr>
          <w:spacing w:val="-5"/>
          <w:szCs w:val="21"/>
        </w:rPr>
        <w:t xml:space="preserve"> </w:t>
      </w:r>
      <w:r w:rsidRPr="00C61BD6">
        <w:rPr>
          <w:szCs w:val="21"/>
        </w:rPr>
        <w:t>le</w:t>
      </w:r>
      <w:r w:rsidRPr="00C61BD6">
        <w:rPr>
          <w:spacing w:val="-4"/>
          <w:szCs w:val="21"/>
        </w:rPr>
        <w:t xml:space="preserve"> </w:t>
      </w:r>
      <w:r w:rsidRPr="00C61BD6">
        <w:rPr>
          <w:szCs w:val="21"/>
        </w:rPr>
        <w:t>biais</w:t>
      </w:r>
      <w:r w:rsidRPr="00C61BD6">
        <w:rPr>
          <w:spacing w:val="-3"/>
          <w:szCs w:val="21"/>
        </w:rPr>
        <w:t xml:space="preserve"> </w:t>
      </w:r>
      <w:r w:rsidRPr="00C61BD6">
        <w:rPr>
          <w:szCs w:val="21"/>
        </w:rPr>
        <w:t>de</w:t>
      </w:r>
      <w:r w:rsidRPr="00C61BD6">
        <w:rPr>
          <w:spacing w:val="-8"/>
          <w:szCs w:val="21"/>
        </w:rPr>
        <w:t xml:space="preserve"> </w:t>
      </w:r>
      <w:r w:rsidRPr="00C61BD6">
        <w:rPr>
          <w:szCs w:val="21"/>
        </w:rPr>
        <w:t>garanties</w:t>
      </w:r>
      <w:r w:rsidRPr="00C61BD6">
        <w:rPr>
          <w:spacing w:val="-4"/>
          <w:szCs w:val="21"/>
        </w:rPr>
        <w:t xml:space="preserve"> </w:t>
      </w:r>
      <w:r w:rsidRPr="00C61BD6">
        <w:rPr>
          <w:szCs w:val="21"/>
        </w:rPr>
        <w:t>et</w:t>
      </w:r>
      <w:r w:rsidRPr="00C61BD6">
        <w:rPr>
          <w:spacing w:val="-4"/>
          <w:szCs w:val="21"/>
        </w:rPr>
        <w:t xml:space="preserve"> </w:t>
      </w:r>
      <w:r w:rsidRPr="00C61BD6">
        <w:rPr>
          <w:szCs w:val="21"/>
        </w:rPr>
        <w:t>d'investissements</w:t>
      </w:r>
      <w:r w:rsidRPr="00C61BD6">
        <w:rPr>
          <w:spacing w:val="-3"/>
          <w:szCs w:val="21"/>
        </w:rPr>
        <w:t xml:space="preserve"> </w:t>
      </w:r>
      <w:r w:rsidRPr="00C61BD6">
        <w:rPr>
          <w:szCs w:val="21"/>
        </w:rPr>
        <w:t>seront</w:t>
      </w:r>
      <w:r w:rsidRPr="00C61BD6">
        <w:rPr>
          <w:spacing w:val="-6"/>
          <w:szCs w:val="21"/>
        </w:rPr>
        <w:t xml:space="preserve"> </w:t>
      </w:r>
      <w:r w:rsidRPr="00C61BD6">
        <w:rPr>
          <w:szCs w:val="21"/>
        </w:rPr>
        <w:t>étroitement</w:t>
      </w:r>
      <w:r w:rsidRPr="00C61BD6">
        <w:rPr>
          <w:spacing w:val="-4"/>
          <w:szCs w:val="21"/>
        </w:rPr>
        <w:t xml:space="preserve"> </w:t>
      </w:r>
      <w:r w:rsidRPr="00C61BD6">
        <w:rPr>
          <w:szCs w:val="21"/>
        </w:rPr>
        <w:t>coordonnées</w:t>
      </w:r>
      <w:r w:rsidRPr="00C61BD6">
        <w:rPr>
          <w:spacing w:val="-7"/>
          <w:szCs w:val="21"/>
        </w:rPr>
        <w:t xml:space="preserve"> </w:t>
      </w:r>
      <w:r w:rsidRPr="00C61BD6">
        <w:rPr>
          <w:szCs w:val="21"/>
        </w:rPr>
        <w:t>avec</w:t>
      </w:r>
      <w:r w:rsidRPr="00C61BD6">
        <w:rPr>
          <w:spacing w:val="-2"/>
          <w:szCs w:val="21"/>
        </w:rPr>
        <w:t xml:space="preserve"> </w:t>
      </w:r>
      <w:r w:rsidRPr="00C61BD6">
        <w:rPr>
          <w:szCs w:val="21"/>
        </w:rPr>
        <w:t>la</w:t>
      </w:r>
      <w:r w:rsidRPr="00C61BD6">
        <w:rPr>
          <w:spacing w:val="-5"/>
          <w:szCs w:val="21"/>
        </w:rPr>
        <w:t xml:space="preserve"> </w:t>
      </w:r>
      <w:r w:rsidRPr="00C61BD6">
        <w:rPr>
          <w:szCs w:val="21"/>
        </w:rPr>
        <w:t>SFI</w:t>
      </w:r>
    </w:p>
    <w:p w14:paraId="05FC5068" w14:textId="77777777" w:rsidR="002B797B" w:rsidRPr="00C61BD6" w:rsidRDefault="002B797B" w:rsidP="002B797B">
      <w:pPr>
        <w:rPr>
          <w:rFonts w:cs="Arial"/>
          <w:i/>
          <w:szCs w:val="21"/>
        </w:rPr>
      </w:pPr>
    </w:p>
    <w:p w14:paraId="3BA55E0E" w14:textId="4EEABE48" w:rsidR="002B797B" w:rsidRPr="00C61BD6" w:rsidRDefault="002B797B" w:rsidP="002B797B">
      <w:pPr>
        <w:pStyle w:val="Corpsdetexte"/>
        <w:spacing w:line="259" w:lineRule="auto"/>
        <w:ind w:right="-46"/>
        <w:rPr>
          <w:rFonts w:eastAsia="Times New Roman"/>
          <w:sz w:val="21"/>
          <w:szCs w:val="21"/>
        </w:rPr>
      </w:pPr>
      <w:r w:rsidRPr="00C61BD6">
        <w:rPr>
          <w:rFonts w:eastAsia="Times New Roman"/>
          <w:sz w:val="21"/>
          <w:szCs w:val="21"/>
        </w:rPr>
        <w:t>Sur la base des récents travaux analytiques sur le développement territorial (P164860, P168192, P171602) entrepris par la Banque en RDC, le projet proposé a conçu le phasage des interventions à travers les provinces en suivant des critères basés sur les données sectorielles disponibles (voir le dossier technique</w:t>
      </w:r>
      <w:r w:rsidR="00423F2F" w:rsidRPr="00C61BD6">
        <w:rPr>
          <w:rFonts w:eastAsia="Times New Roman"/>
          <w:sz w:val="21"/>
          <w:szCs w:val="21"/>
        </w:rPr>
        <w:t xml:space="preserve"> </w:t>
      </w:r>
      <w:r w:rsidRPr="00C61BD6">
        <w:rPr>
          <w:rFonts w:eastAsia="Times New Roman"/>
          <w:sz w:val="21"/>
          <w:szCs w:val="21"/>
        </w:rPr>
        <w:t>pour le rapport détaillé sur le processus de sélection et la méthodologie). C'est ainsi que le nombre total de provinces a été sélectionné et que les cinq provinces qui font partie de la première phase ont été identifiées. Les critères comprennent :</w:t>
      </w:r>
    </w:p>
    <w:p w14:paraId="5216025F" w14:textId="77777777" w:rsidR="002B797B" w:rsidRPr="00C61BD6" w:rsidRDefault="002B797B" w:rsidP="002B797B">
      <w:pPr>
        <w:pStyle w:val="Corpsdetexte"/>
        <w:spacing w:line="259" w:lineRule="auto"/>
        <w:ind w:right="-46"/>
        <w:rPr>
          <w:rFonts w:eastAsia="Times New Roman"/>
          <w:sz w:val="21"/>
          <w:szCs w:val="21"/>
        </w:rPr>
      </w:pPr>
    </w:p>
    <w:p w14:paraId="3165D4B3" w14:textId="77777777" w:rsidR="002B797B" w:rsidRPr="00C61BD6" w:rsidRDefault="002B797B" w:rsidP="002B797B">
      <w:pPr>
        <w:pStyle w:val="Paragraphedeliste"/>
        <w:numPr>
          <w:ilvl w:val="0"/>
          <w:numId w:val="33"/>
        </w:numPr>
        <w:rPr>
          <w:rFonts w:cs="Arial"/>
          <w:szCs w:val="21"/>
        </w:rPr>
      </w:pPr>
      <w:r w:rsidRPr="00C61BD6">
        <w:rPr>
          <w:rFonts w:cs="Arial"/>
          <w:szCs w:val="21"/>
        </w:rPr>
        <w:t>le niveau de production agricole (mesuré par l'imagerie satellitaire sur le pourcentage d'utilisation des terres allouées à la production agricole dans une zone donnée (pixel) ;</w:t>
      </w:r>
    </w:p>
    <w:p w14:paraId="2A9D96DE" w14:textId="77777777" w:rsidR="002B797B" w:rsidRPr="00C61BD6" w:rsidRDefault="002B797B" w:rsidP="002B797B">
      <w:pPr>
        <w:pStyle w:val="Paragraphedeliste"/>
        <w:numPr>
          <w:ilvl w:val="0"/>
          <w:numId w:val="33"/>
        </w:numPr>
        <w:rPr>
          <w:rFonts w:cs="Arial"/>
          <w:szCs w:val="21"/>
        </w:rPr>
      </w:pPr>
      <w:r w:rsidRPr="00C61BD6">
        <w:rPr>
          <w:rFonts w:cs="Arial"/>
          <w:szCs w:val="21"/>
        </w:rPr>
        <w:t>les zones agricoles les plus proches des grands centres urbains (qui représentent les grands marchés de consommation alimentaire) ;</w:t>
      </w:r>
    </w:p>
    <w:p w14:paraId="7AB19331" w14:textId="46C1FB56" w:rsidR="002B797B" w:rsidRPr="00C61BD6" w:rsidRDefault="002B797B" w:rsidP="002B797B">
      <w:pPr>
        <w:pStyle w:val="Paragraphedeliste"/>
        <w:numPr>
          <w:ilvl w:val="0"/>
          <w:numId w:val="33"/>
        </w:numPr>
        <w:rPr>
          <w:rFonts w:cs="Arial"/>
          <w:szCs w:val="21"/>
        </w:rPr>
      </w:pPr>
      <w:r w:rsidRPr="00C61BD6">
        <w:rPr>
          <w:rFonts w:cs="Arial"/>
          <w:szCs w:val="21"/>
        </w:rPr>
        <w:t>les régions présentant l'écart de pauvreté rurale le plus élevé</w:t>
      </w:r>
      <w:r w:rsidR="00AD2C4C">
        <w:rPr>
          <w:rFonts w:cs="Arial"/>
          <w:szCs w:val="21"/>
        </w:rPr>
        <w:t> ;</w:t>
      </w:r>
    </w:p>
    <w:p w14:paraId="289B8ADA" w14:textId="65A5D668" w:rsidR="00AD2C4C" w:rsidRDefault="002B797B" w:rsidP="00AD2C4C">
      <w:pPr>
        <w:pStyle w:val="Paragraphedeliste"/>
        <w:numPr>
          <w:ilvl w:val="0"/>
          <w:numId w:val="33"/>
        </w:numPr>
        <w:rPr>
          <w:rFonts w:cs="Arial"/>
          <w:szCs w:val="21"/>
        </w:rPr>
      </w:pPr>
      <w:r w:rsidRPr="00AD2C4C">
        <w:rPr>
          <w:rFonts w:cs="Arial"/>
          <w:szCs w:val="21"/>
        </w:rPr>
        <w:t xml:space="preserve">les régions où l'insécurité alimentaire s'est aggravée (mesurée par l'augmentation du nombre de personnes en </w:t>
      </w:r>
      <w:r w:rsidR="007B5FCC" w:rsidRPr="00AD2C4C">
        <w:rPr>
          <w:rFonts w:cs="Arial"/>
          <w:szCs w:val="21"/>
        </w:rPr>
        <w:t xml:space="preserve">Classification intégrée de la phase de sécurité alimentaire </w:t>
      </w:r>
      <w:r w:rsidRPr="00AD2C4C">
        <w:rPr>
          <w:rFonts w:cs="Arial"/>
          <w:szCs w:val="21"/>
        </w:rPr>
        <w:t>3+4).</w:t>
      </w:r>
      <w:bookmarkStart w:id="243" w:name="_Toc44626800"/>
    </w:p>
    <w:p w14:paraId="261F44C6" w14:textId="77777777" w:rsidR="00AD2C4C" w:rsidRDefault="00AD2C4C">
      <w:pPr>
        <w:spacing w:line="240" w:lineRule="auto"/>
        <w:jc w:val="left"/>
        <w:rPr>
          <w:rFonts w:cs="Arial"/>
          <w:b/>
          <w:bCs/>
          <w:szCs w:val="21"/>
        </w:rPr>
      </w:pPr>
    </w:p>
    <w:p w14:paraId="5474FD5A" w14:textId="338B8551" w:rsidR="001C2F95" w:rsidRPr="00C61BD6" w:rsidRDefault="001C2F95" w:rsidP="001C2F95">
      <w:pPr>
        <w:pStyle w:val="Titre2"/>
        <w:numPr>
          <w:ilvl w:val="1"/>
          <w:numId w:val="4"/>
        </w:numPr>
        <w:ind w:left="851" w:hanging="425"/>
        <w:rPr>
          <w:rFonts w:cs="Arial"/>
          <w:b/>
          <w:szCs w:val="21"/>
        </w:rPr>
      </w:pPr>
      <w:bookmarkStart w:id="244" w:name="_Toc90393055"/>
      <w:bookmarkStart w:id="245" w:name="_Toc90471414"/>
      <w:r w:rsidRPr="00C61BD6">
        <w:rPr>
          <w:rFonts w:cs="Arial"/>
          <w:b/>
          <w:szCs w:val="21"/>
        </w:rPr>
        <w:t>Composantes du Projet</w:t>
      </w:r>
      <w:bookmarkEnd w:id="241"/>
      <w:bookmarkEnd w:id="243"/>
      <w:bookmarkEnd w:id="244"/>
      <w:bookmarkEnd w:id="245"/>
    </w:p>
    <w:p w14:paraId="27284F1F" w14:textId="77777777" w:rsidR="001C2F95" w:rsidRPr="00C61BD6" w:rsidRDefault="001C2F95" w:rsidP="001C2F95">
      <w:pPr>
        <w:pStyle w:val="Paragraphedeliste"/>
        <w:tabs>
          <w:tab w:val="left" w:pos="426"/>
        </w:tabs>
        <w:ind w:left="0"/>
        <w:rPr>
          <w:rFonts w:cs="Arial"/>
          <w:color w:val="222222"/>
          <w:szCs w:val="21"/>
        </w:rPr>
      </w:pPr>
    </w:p>
    <w:p w14:paraId="2EE4B58A" w14:textId="34D1C8DB" w:rsidR="0015389C" w:rsidRPr="00C61BD6" w:rsidRDefault="0015389C" w:rsidP="001C2F95">
      <w:pPr>
        <w:pStyle w:val="Paragraphedeliste"/>
        <w:tabs>
          <w:tab w:val="left" w:pos="426"/>
        </w:tabs>
        <w:ind w:left="0"/>
        <w:rPr>
          <w:w w:val="95"/>
          <w:szCs w:val="21"/>
        </w:rPr>
      </w:pPr>
      <w:r w:rsidRPr="00C61BD6">
        <w:rPr>
          <w:szCs w:val="21"/>
        </w:rPr>
        <w:t>La</w:t>
      </w:r>
      <w:r w:rsidRPr="00C61BD6">
        <w:rPr>
          <w:spacing w:val="-35"/>
          <w:szCs w:val="21"/>
        </w:rPr>
        <w:t xml:space="preserve"> </w:t>
      </w:r>
      <w:r w:rsidRPr="00C61BD6">
        <w:rPr>
          <w:szCs w:val="21"/>
        </w:rPr>
        <w:t>mise</w:t>
      </w:r>
      <w:r w:rsidRPr="00C61BD6">
        <w:rPr>
          <w:spacing w:val="-35"/>
          <w:szCs w:val="21"/>
        </w:rPr>
        <w:t xml:space="preserve"> </w:t>
      </w:r>
      <w:r w:rsidRPr="00C61BD6">
        <w:rPr>
          <w:szCs w:val="21"/>
        </w:rPr>
        <w:t>en</w:t>
      </w:r>
      <w:r w:rsidRPr="00C61BD6">
        <w:rPr>
          <w:spacing w:val="-34"/>
          <w:szCs w:val="21"/>
        </w:rPr>
        <w:t xml:space="preserve"> </w:t>
      </w:r>
      <w:r w:rsidRPr="00C61BD6">
        <w:rPr>
          <w:szCs w:val="21"/>
        </w:rPr>
        <w:t>œuvre</w:t>
      </w:r>
      <w:r w:rsidRPr="00C61BD6">
        <w:rPr>
          <w:spacing w:val="-34"/>
          <w:szCs w:val="21"/>
        </w:rPr>
        <w:t xml:space="preserve"> </w:t>
      </w:r>
      <w:r w:rsidRPr="00C61BD6">
        <w:rPr>
          <w:szCs w:val="21"/>
        </w:rPr>
        <w:t>du</w:t>
      </w:r>
      <w:r w:rsidRPr="00C61BD6">
        <w:rPr>
          <w:spacing w:val="-34"/>
          <w:szCs w:val="21"/>
        </w:rPr>
        <w:t xml:space="preserve"> </w:t>
      </w:r>
      <w:r w:rsidRPr="00C61BD6">
        <w:rPr>
          <w:szCs w:val="21"/>
        </w:rPr>
        <w:t>projet</w:t>
      </w:r>
      <w:r w:rsidRPr="00C61BD6">
        <w:rPr>
          <w:spacing w:val="-34"/>
          <w:szCs w:val="21"/>
        </w:rPr>
        <w:t xml:space="preserve"> </w:t>
      </w:r>
      <w:r w:rsidRPr="00C61BD6">
        <w:rPr>
          <w:szCs w:val="21"/>
        </w:rPr>
        <w:t>bénéficiera</w:t>
      </w:r>
      <w:r w:rsidRPr="00C61BD6">
        <w:rPr>
          <w:spacing w:val="-35"/>
          <w:szCs w:val="21"/>
        </w:rPr>
        <w:t xml:space="preserve"> </w:t>
      </w:r>
      <w:r w:rsidRPr="00C61BD6">
        <w:rPr>
          <w:szCs w:val="21"/>
        </w:rPr>
        <w:t>d'un</w:t>
      </w:r>
      <w:r w:rsidRPr="00C61BD6">
        <w:rPr>
          <w:spacing w:val="-34"/>
          <w:szCs w:val="21"/>
        </w:rPr>
        <w:t xml:space="preserve"> </w:t>
      </w:r>
      <w:r w:rsidRPr="00C61BD6">
        <w:rPr>
          <w:szCs w:val="21"/>
        </w:rPr>
        <w:t>haut</w:t>
      </w:r>
      <w:r w:rsidRPr="00C61BD6">
        <w:rPr>
          <w:spacing w:val="-34"/>
          <w:szCs w:val="21"/>
        </w:rPr>
        <w:t xml:space="preserve"> </w:t>
      </w:r>
      <w:r w:rsidRPr="00C61BD6">
        <w:rPr>
          <w:szCs w:val="21"/>
        </w:rPr>
        <w:t>niveau</w:t>
      </w:r>
      <w:r w:rsidRPr="00C61BD6">
        <w:rPr>
          <w:spacing w:val="-34"/>
          <w:szCs w:val="21"/>
        </w:rPr>
        <w:t xml:space="preserve"> </w:t>
      </w:r>
      <w:r w:rsidRPr="00C61BD6">
        <w:rPr>
          <w:szCs w:val="21"/>
        </w:rPr>
        <w:t>de</w:t>
      </w:r>
      <w:r w:rsidRPr="00C61BD6">
        <w:rPr>
          <w:spacing w:val="-35"/>
          <w:szCs w:val="21"/>
        </w:rPr>
        <w:t xml:space="preserve"> </w:t>
      </w:r>
      <w:r w:rsidRPr="00C61BD6">
        <w:rPr>
          <w:szCs w:val="21"/>
        </w:rPr>
        <w:t>préparation,</w:t>
      </w:r>
      <w:r w:rsidRPr="00C61BD6">
        <w:rPr>
          <w:spacing w:val="-34"/>
          <w:szCs w:val="21"/>
        </w:rPr>
        <w:t xml:space="preserve"> </w:t>
      </w:r>
      <w:r w:rsidRPr="00C61BD6">
        <w:rPr>
          <w:szCs w:val="21"/>
        </w:rPr>
        <w:t>ce</w:t>
      </w:r>
      <w:r w:rsidRPr="00C61BD6">
        <w:rPr>
          <w:spacing w:val="-35"/>
          <w:szCs w:val="21"/>
        </w:rPr>
        <w:t xml:space="preserve"> </w:t>
      </w:r>
      <w:r w:rsidRPr="00C61BD6">
        <w:rPr>
          <w:szCs w:val="21"/>
        </w:rPr>
        <w:t>qui</w:t>
      </w:r>
      <w:r w:rsidRPr="00C61BD6">
        <w:rPr>
          <w:spacing w:val="-35"/>
          <w:szCs w:val="21"/>
        </w:rPr>
        <w:t xml:space="preserve"> </w:t>
      </w:r>
      <w:r w:rsidRPr="00C61BD6">
        <w:rPr>
          <w:szCs w:val="21"/>
        </w:rPr>
        <w:t>permettra</w:t>
      </w:r>
      <w:r w:rsidRPr="00C61BD6">
        <w:rPr>
          <w:spacing w:val="-35"/>
          <w:szCs w:val="21"/>
        </w:rPr>
        <w:t xml:space="preserve"> </w:t>
      </w:r>
      <w:r w:rsidRPr="00C61BD6">
        <w:rPr>
          <w:szCs w:val="21"/>
        </w:rPr>
        <w:t>de</w:t>
      </w:r>
      <w:r w:rsidRPr="00C61BD6">
        <w:rPr>
          <w:spacing w:val="-33"/>
          <w:szCs w:val="21"/>
        </w:rPr>
        <w:t xml:space="preserve"> </w:t>
      </w:r>
      <w:r w:rsidRPr="00C61BD6">
        <w:rPr>
          <w:szCs w:val="21"/>
        </w:rPr>
        <w:t xml:space="preserve">réagir rapidement aux effets de la pandémie à COVID-19. Grâce à la préparation préalable et au niveau d'engagement des gouvernements nationaux et provinciaux, on s'attend à ce que 20 pour cent des </w:t>
      </w:r>
      <w:r w:rsidRPr="00C61BD6">
        <w:rPr>
          <w:w w:val="95"/>
          <w:szCs w:val="21"/>
        </w:rPr>
        <w:t>investissements</w:t>
      </w:r>
      <w:r w:rsidRPr="00C61BD6">
        <w:rPr>
          <w:spacing w:val="-30"/>
          <w:w w:val="95"/>
          <w:szCs w:val="21"/>
        </w:rPr>
        <w:t xml:space="preserve"> </w:t>
      </w:r>
      <w:r w:rsidRPr="00C61BD6">
        <w:rPr>
          <w:w w:val="95"/>
          <w:szCs w:val="21"/>
        </w:rPr>
        <w:t>des</w:t>
      </w:r>
      <w:r w:rsidRPr="00C61BD6">
        <w:rPr>
          <w:spacing w:val="-30"/>
          <w:w w:val="95"/>
          <w:szCs w:val="21"/>
        </w:rPr>
        <w:t xml:space="preserve"> </w:t>
      </w:r>
      <w:r w:rsidRPr="00C61BD6">
        <w:rPr>
          <w:w w:val="95"/>
          <w:szCs w:val="21"/>
        </w:rPr>
        <w:t>petits</w:t>
      </w:r>
      <w:r w:rsidRPr="00C61BD6">
        <w:rPr>
          <w:spacing w:val="-30"/>
          <w:w w:val="95"/>
          <w:szCs w:val="21"/>
        </w:rPr>
        <w:t xml:space="preserve"> </w:t>
      </w:r>
      <w:r w:rsidRPr="00C61BD6">
        <w:rPr>
          <w:w w:val="95"/>
          <w:szCs w:val="21"/>
        </w:rPr>
        <w:t>exploitants</w:t>
      </w:r>
      <w:r w:rsidRPr="00C61BD6">
        <w:rPr>
          <w:spacing w:val="-28"/>
          <w:w w:val="95"/>
          <w:szCs w:val="21"/>
        </w:rPr>
        <w:t xml:space="preserve"> </w:t>
      </w:r>
      <w:r w:rsidRPr="00C61BD6">
        <w:rPr>
          <w:w w:val="95"/>
          <w:szCs w:val="21"/>
        </w:rPr>
        <w:t>agricoles</w:t>
      </w:r>
      <w:r w:rsidRPr="00C61BD6">
        <w:rPr>
          <w:spacing w:val="-28"/>
          <w:w w:val="95"/>
          <w:szCs w:val="21"/>
        </w:rPr>
        <w:t xml:space="preserve"> </w:t>
      </w:r>
      <w:r w:rsidRPr="00C61BD6">
        <w:rPr>
          <w:w w:val="95"/>
          <w:szCs w:val="21"/>
        </w:rPr>
        <w:t>et</w:t>
      </w:r>
      <w:r w:rsidRPr="00C61BD6">
        <w:rPr>
          <w:spacing w:val="-28"/>
          <w:w w:val="95"/>
          <w:szCs w:val="21"/>
        </w:rPr>
        <w:t xml:space="preserve"> </w:t>
      </w:r>
      <w:r w:rsidRPr="00C61BD6">
        <w:rPr>
          <w:w w:val="95"/>
          <w:szCs w:val="21"/>
        </w:rPr>
        <w:t>des</w:t>
      </w:r>
      <w:r w:rsidRPr="00C61BD6">
        <w:rPr>
          <w:spacing w:val="-30"/>
          <w:w w:val="95"/>
          <w:szCs w:val="21"/>
        </w:rPr>
        <w:t xml:space="preserve"> </w:t>
      </w:r>
      <w:r w:rsidRPr="00C61BD6">
        <w:rPr>
          <w:w w:val="95"/>
          <w:szCs w:val="21"/>
        </w:rPr>
        <w:t>AgriMSMEs</w:t>
      </w:r>
      <w:r w:rsidRPr="00C61BD6">
        <w:rPr>
          <w:spacing w:val="-27"/>
          <w:w w:val="95"/>
          <w:szCs w:val="21"/>
        </w:rPr>
        <w:t xml:space="preserve"> </w:t>
      </w:r>
      <w:r w:rsidRPr="00C61BD6">
        <w:rPr>
          <w:w w:val="95"/>
          <w:szCs w:val="21"/>
        </w:rPr>
        <w:t>soient</w:t>
      </w:r>
      <w:r w:rsidRPr="00C61BD6">
        <w:rPr>
          <w:spacing w:val="-31"/>
          <w:w w:val="95"/>
          <w:szCs w:val="21"/>
        </w:rPr>
        <w:t xml:space="preserve"> </w:t>
      </w:r>
      <w:r w:rsidRPr="00C61BD6">
        <w:rPr>
          <w:w w:val="95"/>
          <w:szCs w:val="21"/>
        </w:rPr>
        <w:t>mis</w:t>
      </w:r>
      <w:r w:rsidRPr="00C61BD6">
        <w:rPr>
          <w:spacing w:val="-30"/>
          <w:w w:val="95"/>
          <w:szCs w:val="21"/>
        </w:rPr>
        <w:t xml:space="preserve"> </w:t>
      </w:r>
      <w:r w:rsidRPr="00C61BD6">
        <w:rPr>
          <w:w w:val="95"/>
          <w:szCs w:val="21"/>
        </w:rPr>
        <w:t>en</w:t>
      </w:r>
      <w:r w:rsidRPr="00C61BD6">
        <w:rPr>
          <w:spacing w:val="-29"/>
          <w:w w:val="95"/>
          <w:szCs w:val="21"/>
        </w:rPr>
        <w:t xml:space="preserve"> </w:t>
      </w:r>
      <w:r w:rsidRPr="00C61BD6">
        <w:rPr>
          <w:w w:val="95"/>
          <w:szCs w:val="21"/>
        </w:rPr>
        <w:t>œuvre,</w:t>
      </w:r>
      <w:r w:rsidRPr="00C61BD6">
        <w:rPr>
          <w:spacing w:val="-30"/>
          <w:w w:val="95"/>
          <w:szCs w:val="21"/>
        </w:rPr>
        <w:t xml:space="preserve"> </w:t>
      </w:r>
      <w:r w:rsidRPr="00C61BD6">
        <w:rPr>
          <w:w w:val="95"/>
          <w:szCs w:val="21"/>
        </w:rPr>
        <w:t>et</w:t>
      </w:r>
      <w:r w:rsidRPr="00C61BD6">
        <w:rPr>
          <w:spacing w:val="-29"/>
          <w:w w:val="95"/>
          <w:szCs w:val="21"/>
        </w:rPr>
        <w:t xml:space="preserve"> </w:t>
      </w:r>
      <w:r w:rsidRPr="00C61BD6">
        <w:rPr>
          <w:w w:val="95"/>
          <w:szCs w:val="21"/>
        </w:rPr>
        <w:t xml:space="preserve">qu'environ </w:t>
      </w:r>
      <w:r w:rsidRPr="00C61BD6">
        <w:rPr>
          <w:szCs w:val="21"/>
        </w:rPr>
        <w:t xml:space="preserve">la moitié des activités d'infrastructure de transport soient contractées au cours des deux premières années du projet. Cela conduira au décaissement d'environ 100 millions de dollars US au cours des </w:t>
      </w:r>
      <w:r w:rsidRPr="00C61BD6">
        <w:rPr>
          <w:w w:val="95"/>
          <w:szCs w:val="21"/>
        </w:rPr>
        <w:t>deux</w:t>
      </w:r>
      <w:r w:rsidRPr="00C61BD6">
        <w:rPr>
          <w:spacing w:val="-25"/>
          <w:w w:val="95"/>
          <w:szCs w:val="21"/>
        </w:rPr>
        <w:t xml:space="preserve"> </w:t>
      </w:r>
      <w:r w:rsidRPr="00C61BD6">
        <w:rPr>
          <w:w w:val="95"/>
          <w:szCs w:val="21"/>
        </w:rPr>
        <w:t>premières</w:t>
      </w:r>
      <w:r w:rsidRPr="00C61BD6">
        <w:rPr>
          <w:spacing w:val="-26"/>
          <w:w w:val="95"/>
          <w:szCs w:val="21"/>
        </w:rPr>
        <w:t xml:space="preserve"> </w:t>
      </w:r>
      <w:r w:rsidRPr="00C61BD6">
        <w:rPr>
          <w:w w:val="95"/>
          <w:szCs w:val="21"/>
        </w:rPr>
        <w:t>années</w:t>
      </w:r>
      <w:r w:rsidRPr="00C61BD6">
        <w:rPr>
          <w:spacing w:val="-25"/>
          <w:w w:val="95"/>
          <w:szCs w:val="21"/>
        </w:rPr>
        <w:t xml:space="preserve"> </w:t>
      </w:r>
      <w:r w:rsidRPr="00C61BD6">
        <w:rPr>
          <w:w w:val="95"/>
          <w:szCs w:val="21"/>
        </w:rPr>
        <w:t>de</w:t>
      </w:r>
      <w:r w:rsidRPr="00C61BD6">
        <w:rPr>
          <w:spacing w:val="-27"/>
          <w:w w:val="95"/>
          <w:szCs w:val="21"/>
        </w:rPr>
        <w:t xml:space="preserve"> </w:t>
      </w:r>
      <w:r w:rsidRPr="00C61BD6">
        <w:rPr>
          <w:w w:val="95"/>
          <w:szCs w:val="21"/>
        </w:rPr>
        <w:t>mise</w:t>
      </w:r>
      <w:r w:rsidRPr="00C61BD6">
        <w:rPr>
          <w:spacing w:val="-26"/>
          <w:w w:val="95"/>
          <w:szCs w:val="21"/>
        </w:rPr>
        <w:t xml:space="preserve"> </w:t>
      </w:r>
      <w:r w:rsidRPr="00C61BD6">
        <w:rPr>
          <w:w w:val="95"/>
          <w:szCs w:val="21"/>
        </w:rPr>
        <w:t>en</w:t>
      </w:r>
      <w:r w:rsidRPr="00C61BD6">
        <w:rPr>
          <w:spacing w:val="-27"/>
          <w:w w:val="95"/>
          <w:szCs w:val="21"/>
        </w:rPr>
        <w:t xml:space="preserve"> </w:t>
      </w:r>
      <w:r w:rsidRPr="00C61BD6">
        <w:rPr>
          <w:w w:val="95"/>
          <w:szCs w:val="21"/>
        </w:rPr>
        <w:t>œuvre.</w:t>
      </w:r>
      <w:r w:rsidRPr="00C61BD6">
        <w:rPr>
          <w:spacing w:val="-26"/>
          <w:w w:val="95"/>
          <w:szCs w:val="21"/>
        </w:rPr>
        <w:t xml:space="preserve"> </w:t>
      </w:r>
      <w:r w:rsidRPr="00C61BD6">
        <w:rPr>
          <w:w w:val="95"/>
          <w:szCs w:val="21"/>
        </w:rPr>
        <w:t>Plus</w:t>
      </w:r>
      <w:r w:rsidRPr="00C61BD6">
        <w:rPr>
          <w:spacing w:val="-24"/>
          <w:w w:val="95"/>
          <w:szCs w:val="21"/>
        </w:rPr>
        <w:t xml:space="preserve"> </w:t>
      </w:r>
      <w:r w:rsidRPr="00C61BD6">
        <w:rPr>
          <w:w w:val="95"/>
          <w:szCs w:val="21"/>
        </w:rPr>
        <w:t>de</w:t>
      </w:r>
      <w:r w:rsidRPr="00C61BD6">
        <w:rPr>
          <w:spacing w:val="-26"/>
          <w:w w:val="95"/>
          <w:szCs w:val="21"/>
        </w:rPr>
        <w:t xml:space="preserve"> </w:t>
      </w:r>
      <w:r w:rsidRPr="00C61BD6">
        <w:rPr>
          <w:w w:val="95"/>
          <w:szCs w:val="21"/>
        </w:rPr>
        <w:t xml:space="preserve">la </w:t>
      </w:r>
      <w:r w:rsidRPr="00C61BD6">
        <w:rPr>
          <w:szCs w:val="21"/>
        </w:rPr>
        <w:t xml:space="preserve">moitié des investissements seront consacrés aux routes rurales et au soutien direct aux petits exploitants, ce qui améliorera les moyens de subsistance et augmentera la résilience des ménages et </w:t>
      </w:r>
      <w:r w:rsidRPr="00C61BD6">
        <w:rPr>
          <w:w w:val="95"/>
          <w:szCs w:val="21"/>
        </w:rPr>
        <w:t>des</w:t>
      </w:r>
      <w:r w:rsidRPr="00C61BD6">
        <w:rPr>
          <w:spacing w:val="-20"/>
          <w:w w:val="95"/>
          <w:szCs w:val="21"/>
        </w:rPr>
        <w:t xml:space="preserve"> </w:t>
      </w:r>
      <w:r w:rsidRPr="00C61BD6">
        <w:rPr>
          <w:w w:val="95"/>
          <w:szCs w:val="21"/>
        </w:rPr>
        <w:t>communautés</w:t>
      </w:r>
      <w:r w:rsidRPr="00C61BD6">
        <w:rPr>
          <w:spacing w:val="-20"/>
          <w:w w:val="95"/>
          <w:szCs w:val="21"/>
        </w:rPr>
        <w:t xml:space="preserve"> </w:t>
      </w:r>
      <w:r w:rsidRPr="00C61BD6">
        <w:rPr>
          <w:w w:val="95"/>
          <w:szCs w:val="21"/>
        </w:rPr>
        <w:t>rurales.</w:t>
      </w:r>
    </w:p>
    <w:p w14:paraId="240DE79E" w14:textId="77777777" w:rsidR="0015389C" w:rsidRDefault="0015389C" w:rsidP="001C2F95">
      <w:pPr>
        <w:pStyle w:val="Paragraphedeliste"/>
        <w:tabs>
          <w:tab w:val="left" w:pos="426"/>
        </w:tabs>
        <w:ind w:left="0"/>
        <w:rPr>
          <w:rFonts w:cs="Arial"/>
          <w:color w:val="222222"/>
          <w:szCs w:val="21"/>
        </w:rPr>
      </w:pPr>
    </w:p>
    <w:p w14:paraId="3CAFD26D" w14:textId="77777777" w:rsidR="003142D9" w:rsidRDefault="003142D9" w:rsidP="001C2F95">
      <w:pPr>
        <w:pStyle w:val="Paragraphedeliste"/>
        <w:tabs>
          <w:tab w:val="left" w:pos="426"/>
        </w:tabs>
        <w:ind w:left="0"/>
        <w:rPr>
          <w:rFonts w:cs="Arial"/>
          <w:color w:val="222222"/>
          <w:szCs w:val="21"/>
        </w:rPr>
      </w:pPr>
    </w:p>
    <w:p w14:paraId="4028795D" w14:textId="77777777" w:rsidR="003142D9" w:rsidRPr="00C61BD6" w:rsidRDefault="003142D9" w:rsidP="001C2F95">
      <w:pPr>
        <w:pStyle w:val="Paragraphedeliste"/>
        <w:tabs>
          <w:tab w:val="left" w:pos="426"/>
        </w:tabs>
        <w:ind w:left="0"/>
        <w:rPr>
          <w:rFonts w:cs="Arial"/>
          <w:color w:val="222222"/>
          <w:szCs w:val="21"/>
        </w:rPr>
      </w:pPr>
    </w:p>
    <w:p w14:paraId="5070218A" w14:textId="77777777" w:rsidR="001C2F95" w:rsidRPr="00C61BD6" w:rsidRDefault="001C2F95" w:rsidP="001C2F95">
      <w:pPr>
        <w:pStyle w:val="Paragraphedeliste"/>
        <w:tabs>
          <w:tab w:val="left" w:pos="426"/>
        </w:tabs>
        <w:ind w:left="0"/>
        <w:rPr>
          <w:rFonts w:cs="Arial"/>
          <w:color w:val="222222"/>
          <w:szCs w:val="21"/>
        </w:rPr>
      </w:pPr>
      <w:r w:rsidRPr="00C61BD6">
        <w:rPr>
          <w:rFonts w:cs="Arial"/>
          <w:color w:val="222222"/>
          <w:szCs w:val="21"/>
        </w:rPr>
        <w:t>Le Projet comprend quatre composantes ci-dessous.</w:t>
      </w:r>
    </w:p>
    <w:p w14:paraId="78C39DB2" w14:textId="77777777" w:rsidR="001C2F95" w:rsidRPr="00C61BD6" w:rsidRDefault="001C2F95" w:rsidP="001C2F95">
      <w:pPr>
        <w:pStyle w:val="Paragraphedeliste"/>
        <w:tabs>
          <w:tab w:val="left" w:pos="426"/>
        </w:tabs>
        <w:ind w:left="0"/>
        <w:rPr>
          <w:rFonts w:cs="Arial"/>
          <w:color w:val="222222"/>
          <w:szCs w:val="21"/>
        </w:rPr>
      </w:pPr>
    </w:p>
    <w:p w14:paraId="0385AB75" w14:textId="1D0C9EF8" w:rsidR="001C2F95" w:rsidRPr="00C61BD6" w:rsidRDefault="001C2F95" w:rsidP="007B5FCC">
      <w:pPr>
        <w:pStyle w:val="Paragraphedeliste"/>
        <w:numPr>
          <w:ilvl w:val="0"/>
          <w:numId w:val="42"/>
        </w:numPr>
        <w:tabs>
          <w:tab w:val="left" w:pos="426"/>
        </w:tabs>
        <w:rPr>
          <w:rFonts w:cs="Arial"/>
          <w:i/>
          <w:color w:val="222222"/>
          <w:szCs w:val="21"/>
        </w:rPr>
      </w:pPr>
      <w:r w:rsidRPr="00C61BD6">
        <w:rPr>
          <w:rFonts w:cs="Arial"/>
          <w:i/>
          <w:color w:val="222222"/>
          <w:szCs w:val="21"/>
        </w:rPr>
        <w:t xml:space="preserve">Composante 1 : Productivité agricole </w:t>
      </w:r>
      <w:r w:rsidR="00F32DE7" w:rsidRPr="00C61BD6">
        <w:rPr>
          <w:rFonts w:cs="Arial"/>
          <w:i/>
          <w:color w:val="222222"/>
          <w:szCs w:val="21"/>
        </w:rPr>
        <w:t>(</w:t>
      </w:r>
      <w:r w:rsidR="0015389C" w:rsidRPr="00C61BD6">
        <w:rPr>
          <w:rFonts w:cs="Arial"/>
          <w:i/>
          <w:color w:val="222222"/>
          <w:szCs w:val="21"/>
        </w:rPr>
        <w:t>Total : 290 millions de dollars US : IDA : 270 millions de dollars US et GRiF</w:t>
      </w:r>
      <w:r w:rsidR="007B5FCC" w:rsidRPr="00C61BD6">
        <w:rPr>
          <w:rFonts w:cs="Arial"/>
          <w:i/>
          <w:color w:val="222222"/>
          <w:szCs w:val="21"/>
        </w:rPr>
        <w:t xml:space="preserve"> [Facilité mondiale de financement des risques]</w:t>
      </w:r>
      <w:r w:rsidR="0015389C" w:rsidRPr="00C61BD6">
        <w:rPr>
          <w:rFonts w:cs="Arial"/>
          <w:i/>
          <w:color w:val="222222"/>
          <w:szCs w:val="21"/>
        </w:rPr>
        <w:t> : 20 millions de diollars US</w:t>
      </w:r>
      <w:r w:rsidR="00F32DE7" w:rsidRPr="00C61BD6">
        <w:rPr>
          <w:rFonts w:cs="Arial"/>
          <w:i/>
          <w:color w:val="222222"/>
          <w:szCs w:val="21"/>
        </w:rPr>
        <w:t>)</w:t>
      </w:r>
      <w:r w:rsidRPr="00C61BD6">
        <w:rPr>
          <w:rFonts w:cs="Arial"/>
          <w:i/>
          <w:color w:val="222222"/>
          <w:szCs w:val="21"/>
        </w:rPr>
        <w:t xml:space="preserve"> </w:t>
      </w:r>
    </w:p>
    <w:p w14:paraId="722A8E28" w14:textId="77777777" w:rsidR="00AD2C4C" w:rsidRDefault="00AD2C4C" w:rsidP="0015389C">
      <w:pPr>
        <w:tabs>
          <w:tab w:val="left" w:pos="426"/>
        </w:tabs>
        <w:rPr>
          <w:rFonts w:cs="Arial"/>
          <w:color w:val="222222"/>
          <w:szCs w:val="21"/>
        </w:rPr>
      </w:pPr>
    </w:p>
    <w:p w14:paraId="1F63452C" w14:textId="083B6225" w:rsidR="0015389C" w:rsidRPr="00C61BD6" w:rsidRDefault="001C2F95" w:rsidP="0015389C">
      <w:pPr>
        <w:tabs>
          <w:tab w:val="left" w:pos="426"/>
        </w:tabs>
        <w:rPr>
          <w:szCs w:val="21"/>
        </w:rPr>
      </w:pPr>
      <w:r w:rsidRPr="00C61BD6">
        <w:rPr>
          <w:rFonts w:cs="Arial"/>
          <w:color w:val="222222"/>
          <w:szCs w:val="21"/>
        </w:rPr>
        <w:t xml:space="preserve">Cette composante </w:t>
      </w:r>
      <w:r w:rsidR="0015389C" w:rsidRPr="00C61BD6">
        <w:rPr>
          <w:rFonts w:cs="Arial"/>
          <w:color w:val="222222"/>
          <w:szCs w:val="21"/>
        </w:rPr>
        <w:t>soutiendra</w:t>
      </w:r>
      <w:r w:rsidRPr="00C61BD6">
        <w:rPr>
          <w:rFonts w:cs="Arial"/>
          <w:color w:val="222222"/>
          <w:szCs w:val="21"/>
        </w:rPr>
        <w:t xml:space="preserve"> l’augmentation de la productivité des petites exploitations agricoles (de cultures et de produits animaux) à travers l’adoption de technologies et de pratiques améliorées et l’accès au financement. </w:t>
      </w:r>
      <w:r w:rsidR="0015389C" w:rsidRPr="00C61BD6">
        <w:rPr>
          <w:szCs w:val="21"/>
        </w:rPr>
        <w:t>Cet accroissement de la productivité devrait contribuer directement et durablement à l'augmentation des revenus agricoles et, partant, à la réduction de la pauvreté rurale et à l'amélioration de la sécurité alimentaire des ménages ruraux.</w:t>
      </w:r>
    </w:p>
    <w:p w14:paraId="6169ACC0" w14:textId="77777777" w:rsidR="001C2F95" w:rsidRPr="00C61BD6" w:rsidRDefault="001C2F95" w:rsidP="001C2F95">
      <w:pPr>
        <w:tabs>
          <w:tab w:val="left" w:pos="426"/>
        </w:tabs>
        <w:rPr>
          <w:rFonts w:cs="Arial"/>
          <w:color w:val="222222"/>
          <w:szCs w:val="21"/>
        </w:rPr>
      </w:pPr>
    </w:p>
    <w:p w14:paraId="2E152ABA" w14:textId="71B7150C" w:rsidR="001C2F95" w:rsidRPr="00C61BD6" w:rsidRDefault="001C2F95" w:rsidP="002378EA">
      <w:pPr>
        <w:pStyle w:val="Paragraphedeliste"/>
        <w:numPr>
          <w:ilvl w:val="0"/>
          <w:numId w:val="33"/>
        </w:numPr>
        <w:tabs>
          <w:tab w:val="left" w:pos="426"/>
        </w:tabs>
        <w:rPr>
          <w:rFonts w:cs="Arial"/>
          <w:i/>
          <w:color w:val="222222"/>
          <w:szCs w:val="21"/>
        </w:rPr>
      </w:pPr>
      <w:r w:rsidRPr="00C61BD6">
        <w:rPr>
          <w:rFonts w:cs="Arial"/>
          <w:i/>
          <w:color w:val="222222"/>
          <w:szCs w:val="21"/>
        </w:rPr>
        <w:t xml:space="preserve">Sous-composante 1.1 : Soutien direct aux petits </w:t>
      </w:r>
      <w:r w:rsidR="00ED3F3C" w:rsidRPr="00C61BD6">
        <w:rPr>
          <w:rFonts w:cs="Arial"/>
          <w:i/>
          <w:color w:val="222222"/>
          <w:szCs w:val="21"/>
        </w:rPr>
        <w:t>exploitants (</w:t>
      </w:r>
      <w:r w:rsidR="00F32DE7" w:rsidRPr="00C61BD6">
        <w:rPr>
          <w:i/>
          <w:color w:val="000000"/>
          <w:szCs w:val="21"/>
        </w:rPr>
        <w:t>240 millions </w:t>
      </w:r>
      <w:r w:rsidR="004207BC" w:rsidRPr="00C61BD6">
        <w:rPr>
          <w:i/>
          <w:color w:val="000000"/>
          <w:szCs w:val="21"/>
        </w:rPr>
        <w:t xml:space="preserve">de dollars </w:t>
      </w:r>
      <w:r w:rsidR="00F32DE7" w:rsidRPr="00C61BD6">
        <w:rPr>
          <w:i/>
          <w:color w:val="000000"/>
          <w:szCs w:val="21"/>
        </w:rPr>
        <w:t>US).</w:t>
      </w:r>
    </w:p>
    <w:p w14:paraId="7D14E766" w14:textId="77777777" w:rsidR="001C2F95" w:rsidRPr="00C61BD6" w:rsidRDefault="001C2F95" w:rsidP="001C2F95">
      <w:pPr>
        <w:tabs>
          <w:tab w:val="left" w:pos="426"/>
        </w:tabs>
        <w:rPr>
          <w:rFonts w:cs="Arial"/>
          <w:color w:val="222222"/>
          <w:szCs w:val="21"/>
        </w:rPr>
      </w:pPr>
    </w:p>
    <w:p w14:paraId="423A12EE" w14:textId="77777777" w:rsidR="0015389C" w:rsidRPr="00C61BD6" w:rsidRDefault="0015389C" w:rsidP="0015389C">
      <w:pPr>
        <w:tabs>
          <w:tab w:val="left" w:pos="426"/>
        </w:tabs>
        <w:rPr>
          <w:rFonts w:cs="Arial"/>
          <w:color w:val="222222"/>
          <w:szCs w:val="21"/>
        </w:rPr>
      </w:pPr>
      <w:r w:rsidRPr="00C61BD6">
        <w:rPr>
          <w:rFonts w:cs="Arial"/>
          <w:color w:val="222222"/>
          <w:szCs w:val="21"/>
        </w:rPr>
        <w:t>Cette sous-composante soutiendra 1,7 million de petits exploitants agricoles par le biais d'un soutien direct et d'une assistance technique. L'objectif de la sous-composante est de promouvoir l'adoption de paquets technologiques validés CSA et NSmartAg (PTechs) par les petits exploitants agricoles, en particulier les femmes. Les PTechs comprennent des pratiques, des technologies et des intrants (graines, semis, races animales, services de conseil et de vulgarisation). Le processus d'admission utilisera un registre des agriculteurs. Le processus d'inscription sera ouvert à tout agriculteur dans le cadre de l'initiative gouvernementale visant à créer un registre national des agriculteurs (RNA) utilisant les dernières technologies numériques, notamment la biométrie et les identifiants numériques. L'éligibilité pour le soutien direct inclura : (a) la taille de l'exploitation ; (b) les considérations socio- environnementales (genre ; jeunes) ; (c) la formation ; (d) la localisation de la parcelle ; (v) la situation foncière. La sous-composante financera un soutien direct aux petits exploitants agricoles pour 1,7 million d'agriculteurs sous forme de bons et/ou d'argent liquide pour l'adoption des PTechs. Le montant approximatif de l'aide aux petits exploitants varie, en fonction de la PTech et de la taille minimale requise de la parcelle, entre 50 et 100 dollars par agriculteur. Les bons et l'argent seront remis aux petits exploitants agricoles par des intermédiaires financiers (banques, institutions de microfinance, et/ou fournisseurs de services de téléphonie mobile) utilisant la technologie numérique (téléphones mobiles, portefeuilles électroniques, et/ou cartes de paiement).</w:t>
      </w:r>
    </w:p>
    <w:p w14:paraId="25D10696" w14:textId="77777777" w:rsidR="001C2F95" w:rsidRPr="00C61BD6" w:rsidRDefault="001C2F95" w:rsidP="001C2F95">
      <w:pPr>
        <w:pStyle w:val="Paragraphedeliste"/>
        <w:tabs>
          <w:tab w:val="left" w:pos="426"/>
        </w:tabs>
        <w:ind w:left="0"/>
        <w:rPr>
          <w:rFonts w:cs="Arial"/>
          <w:i/>
          <w:color w:val="222222"/>
          <w:szCs w:val="21"/>
        </w:rPr>
      </w:pPr>
    </w:p>
    <w:p w14:paraId="5D415A76" w14:textId="28D2D9BF" w:rsidR="0015389C" w:rsidRPr="00C61BD6" w:rsidRDefault="0015389C" w:rsidP="001C2F95">
      <w:pPr>
        <w:pStyle w:val="Paragraphedeliste"/>
        <w:tabs>
          <w:tab w:val="left" w:pos="426"/>
        </w:tabs>
        <w:ind w:left="0"/>
        <w:rPr>
          <w:rFonts w:cs="Arial"/>
          <w:i/>
          <w:color w:val="222222"/>
          <w:szCs w:val="21"/>
        </w:rPr>
      </w:pPr>
      <w:r w:rsidRPr="00C61BD6">
        <w:rPr>
          <w:szCs w:val="21"/>
        </w:rPr>
        <w:t>Pour assurer la durabilité, les fournisseurs privés d'intrants agricoles (c'est-à-dire les MPME agro- commerciales)</w:t>
      </w:r>
      <w:r w:rsidRPr="00C61BD6">
        <w:rPr>
          <w:spacing w:val="-10"/>
          <w:szCs w:val="21"/>
        </w:rPr>
        <w:t xml:space="preserve"> </w:t>
      </w:r>
      <w:r w:rsidRPr="00C61BD6">
        <w:rPr>
          <w:szCs w:val="21"/>
        </w:rPr>
        <w:t>fourniront</w:t>
      </w:r>
      <w:r w:rsidRPr="00C61BD6">
        <w:rPr>
          <w:spacing w:val="-10"/>
          <w:szCs w:val="21"/>
        </w:rPr>
        <w:t xml:space="preserve"> </w:t>
      </w:r>
      <w:r w:rsidRPr="00C61BD6">
        <w:rPr>
          <w:szCs w:val="21"/>
        </w:rPr>
        <w:t>un</w:t>
      </w:r>
      <w:r w:rsidRPr="00C61BD6">
        <w:rPr>
          <w:spacing w:val="-11"/>
          <w:szCs w:val="21"/>
        </w:rPr>
        <w:t xml:space="preserve"> </w:t>
      </w:r>
      <w:r w:rsidRPr="00C61BD6">
        <w:rPr>
          <w:szCs w:val="21"/>
        </w:rPr>
        <w:t>soutien</w:t>
      </w:r>
      <w:r w:rsidRPr="00C61BD6">
        <w:rPr>
          <w:spacing w:val="-11"/>
          <w:szCs w:val="21"/>
        </w:rPr>
        <w:t xml:space="preserve"> </w:t>
      </w:r>
      <w:r w:rsidRPr="00C61BD6">
        <w:rPr>
          <w:szCs w:val="21"/>
        </w:rPr>
        <w:t>direct</w:t>
      </w:r>
      <w:r w:rsidRPr="00C61BD6">
        <w:rPr>
          <w:spacing w:val="-10"/>
          <w:szCs w:val="21"/>
        </w:rPr>
        <w:t xml:space="preserve"> </w:t>
      </w:r>
      <w:r w:rsidRPr="00C61BD6">
        <w:rPr>
          <w:szCs w:val="21"/>
        </w:rPr>
        <w:t>aux</w:t>
      </w:r>
      <w:r w:rsidRPr="00C61BD6">
        <w:rPr>
          <w:spacing w:val="-10"/>
          <w:szCs w:val="21"/>
        </w:rPr>
        <w:t xml:space="preserve"> </w:t>
      </w:r>
      <w:r w:rsidRPr="00C61BD6">
        <w:rPr>
          <w:szCs w:val="21"/>
        </w:rPr>
        <w:t>petits</w:t>
      </w:r>
      <w:r w:rsidRPr="00C61BD6">
        <w:rPr>
          <w:spacing w:val="-13"/>
          <w:szCs w:val="21"/>
        </w:rPr>
        <w:t xml:space="preserve"> </w:t>
      </w:r>
      <w:r w:rsidRPr="00C61BD6">
        <w:rPr>
          <w:szCs w:val="21"/>
        </w:rPr>
        <w:t>exploitants</w:t>
      </w:r>
      <w:r w:rsidRPr="00C61BD6">
        <w:rPr>
          <w:spacing w:val="-10"/>
          <w:szCs w:val="21"/>
        </w:rPr>
        <w:t xml:space="preserve"> </w:t>
      </w:r>
      <w:r w:rsidRPr="00C61BD6">
        <w:rPr>
          <w:szCs w:val="21"/>
        </w:rPr>
        <w:t>agricoles</w:t>
      </w:r>
      <w:r w:rsidRPr="00C61BD6">
        <w:rPr>
          <w:spacing w:val="-10"/>
          <w:szCs w:val="21"/>
        </w:rPr>
        <w:t xml:space="preserve"> </w:t>
      </w:r>
      <w:r w:rsidRPr="00C61BD6">
        <w:rPr>
          <w:szCs w:val="21"/>
        </w:rPr>
        <w:t>pour</w:t>
      </w:r>
      <w:r w:rsidRPr="00C61BD6">
        <w:rPr>
          <w:spacing w:val="-10"/>
          <w:szCs w:val="21"/>
        </w:rPr>
        <w:t xml:space="preserve"> </w:t>
      </w:r>
      <w:r w:rsidRPr="00C61BD6">
        <w:rPr>
          <w:szCs w:val="21"/>
        </w:rPr>
        <w:t>l'adoption</w:t>
      </w:r>
      <w:r w:rsidRPr="00C61BD6">
        <w:rPr>
          <w:spacing w:val="-11"/>
          <w:szCs w:val="21"/>
        </w:rPr>
        <w:t xml:space="preserve"> </w:t>
      </w:r>
      <w:r w:rsidRPr="00C61BD6">
        <w:rPr>
          <w:szCs w:val="21"/>
        </w:rPr>
        <w:t>des</w:t>
      </w:r>
      <w:r w:rsidRPr="00C61BD6">
        <w:rPr>
          <w:spacing w:val="-12"/>
          <w:szCs w:val="21"/>
        </w:rPr>
        <w:t xml:space="preserve"> </w:t>
      </w:r>
      <w:r w:rsidRPr="00C61BD6">
        <w:rPr>
          <w:szCs w:val="21"/>
        </w:rPr>
        <w:t>PTechs. Les bons qui seront distribués dans le cadre de cette sous-composante seront utilisés par les MPME agro-commerciales privées qui devront s'inscrire dans le registre des agro-commerciales établi par le projet. Pour être enregistrées, les MPME agro-commerciales doivent être des entités légales et suivre des formations et des normes sociales et environnementales. Étant donné que les MPME agro- commerciales auront la possibilité d'étendre leur couverture (basée sur les clients) au fur et à mesure que</w:t>
      </w:r>
      <w:r w:rsidRPr="00C61BD6">
        <w:rPr>
          <w:spacing w:val="-4"/>
          <w:szCs w:val="21"/>
        </w:rPr>
        <w:t xml:space="preserve"> </w:t>
      </w:r>
      <w:r w:rsidRPr="00C61BD6">
        <w:rPr>
          <w:szCs w:val="21"/>
        </w:rPr>
        <w:t>le</w:t>
      </w:r>
      <w:r w:rsidRPr="00C61BD6">
        <w:rPr>
          <w:spacing w:val="-3"/>
          <w:szCs w:val="21"/>
        </w:rPr>
        <w:t xml:space="preserve"> </w:t>
      </w:r>
      <w:r w:rsidRPr="00C61BD6">
        <w:rPr>
          <w:szCs w:val="21"/>
        </w:rPr>
        <w:t>projet</w:t>
      </w:r>
      <w:r w:rsidRPr="00C61BD6">
        <w:rPr>
          <w:spacing w:val="-3"/>
          <w:szCs w:val="21"/>
        </w:rPr>
        <w:t xml:space="preserve"> </w:t>
      </w:r>
      <w:r w:rsidRPr="00C61BD6">
        <w:rPr>
          <w:szCs w:val="21"/>
        </w:rPr>
        <w:t>s'étend</w:t>
      </w:r>
      <w:r w:rsidRPr="00C61BD6">
        <w:rPr>
          <w:spacing w:val="-4"/>
          <w:szCs w:val="21"/>
        </w:rPr>
        <w:t xml:space="preserve"> </w:t>
      </w:r>
      <w:r w:rsidRPr="00C61BD6">
        <w:rPr>
          <w:szCs w:val="21"/>
        </w:rPr>
        <w:t>dans</w:t>
      </w:r>
      <w:r w:rsidRPr="00C61BD6">
        <w:rPr>
          <w:spacing w:val="-3"/>
          <w:szCs w:val="21"/>
        </w:rPr>
        <w:t xml:space="preserve"> </w:t>
      </w:r>
      <w:r w:rsidRPr="00C61BD6">
        <w:rPr>
          <w:szCs w:val="21"/>
        </w:rPr>
        <w:t>les</w:t>
      </w:r>
      <w:r w:rsidRPr="00C61BD6">
        <w:rPr>
          <w:spacing w:val="-2"/>
          <w:szCs w:val="21"/>
        </w:rPr>
        <w:t xml:space="preserve"> </w:t>
      </w:r>
      <w:r w:rsidRPr="00C61BD6">
        <w:rPr>
          <w:szCs w:val="21"/>
        </w:rPr>
        <w:t>provinces</w:t>
      </w:r>
      <w:r w:rsidRPr="00C61BD6">
        <w:rPr>
          <w:spacing w:val="-5"/>
          <w:szCs w:val="21"/>
        </w:rPr>
        <w:t xml:space="preserve"> </w:t>
      </w:r>
      <w:r w:rsidRPr="00C61BD6">
        <w:rPr>
          <w:szCs w:val="21"/>
        </w:rPr>
        <w:t>ciblées,</w:t>
      </w:r>
      <w:r w:rsidRPr="00C61BD6">
        <w:rPr>
          <w:spacing w:val="-5"/>
          <w:szCs w:val="21"/>
        </w:rPr>
        <w:t xml:space="preserve"> </w:t>
      </w:r>
      <w:r w:rsidRPr="00C61BD6">
        <w:rPr>
          <w:szCs w:val="21"/>
        </w:rPr>
        <w:t>un</w:t>
      </w:r>
      <w:r w:rsidRPr="00C61BD6">
        <w:rPr>
          <w:spacing w:val="-5"/>
          <w:szCs w:val="21"/>
        </w:rPr>
        <w:t xml:space="preserve"> </w:t>
      </w:r>
      <w:r w:rsidRPr="00C61BD6">
        <w:rPr>
          <w:szCs w:val="21"/>
        </w:rPr>
        <w:t>soutien</w:t>
      </w:r>
      <w:r w:rsidRPr="00C61BD6">
        <w:rPr>
          <w:spacing w:val="-4"/>
          <w:szCs w:val="21"/>
        </w:rPr>
        <w:t xml:space="preserve"> </w:t>
      </w:r>
      <w:r w:rsidRPr="00C61BD6">
        <w:rPr>
          <w:szCs w:val="21"/>
        </w:rPr>
        <w:t>financier</w:t>
      </w:r>
      <w:r w:rsidRPr="00C61BD6">
        <w:rPr>
          <w:spacing w:val="-3"/>
          <w:szCs w:val="21"/>
        </w:rPr>
        <w:t xml:space="preserve"> </w:t>
      </w:r>
      <w:r w:rsidRPr="00C61BD6">
        <w:rPr>
          <w:szCs w:val="21"/>
        </w:rPr>
        <w:t>direct</w:t>
      </w:r>
      <w:r w:rsidRPr="00C61BD6">
        <w:rPr>
          <w:spacing w:val="-3"/>
          <w:szCs w:val="21"/>
        </w:rPr>
        <w:t xml:space="preserve"> </w:t>
      </w:r>
      <w:r w:rsidRPr="00C61BD6">
        <w:rPr>
          <w:szCs w:val="21"/>
        </w:rPr>
        <w:t>et</w:t>
      </w:r>
      <w:r w:rsidRPr="00C61BD6">
        <w:rPr>
          <w:spacing w:val="-5"/>
          <w:szCs w:val="21"/>
        </w:rPr>
        <w:t xml:space="preserve"> </w:t>
      </w:r>
      <w:r w:rsidRPr="00C61BD6">
        <w:rPr>
          <w:szCs w:val="21"/>
        </w:rPr>
        <w:t>une</w:t>
      </w:r>
      <w:r w:rsidRPr="00C61BD6">
        <w:rPr>
          <w:spacing w:val="-3"/>
          <w:szCs w:val="21"/>
        </w:rPr>
        <w:t xml:space="preserve"> </w:t>
      </w:r>
      <w:r w:rsidRPr="00C61BD6">
        <w:rPr>
          <w:szCs w:val="21"/>
        </w:rPr>
        <w:t>aide</w:t>
      </w:r>
      <w:r w:rsidRPr="00C61BD6">
        <w:rPr>
          <w:spacing w:val="-3"/>
          <w:szCs w:val="21"/>
        </w:rPr>
        <w:t xml:space="preserve"> </w:t>
      </w:r>
      <w:r w:rsidRPr="00C61BD6">
        <w:rPr>
          <w:szCs w:val="21"/>
        </w:rPr>
        <w:t>aux</w:t>
      </w:r>
      <w:r w:rsidRPr="00C61BD6">
        <w:rPr>
          <w:spacing w:val="-3"/>
          <w:szCs w:val="21"/>
        </w:rPr>
        <w:t xml:space="preserve"> </w:t>
      </w:r>
      <w:r w:rsidRPr="00C61BD6">
        <w:rPr>
          <w:szCs w:val="21"/>
        </w:rPr>
        <w:t>services</w:t>
      </w:r>
      <w:r w:rsidRPr="00C61BD6">
        <w:rPr>
          <w:spacing w:val="-3"/>
          <w:szCs w:val="21"/>
        </w:rPr>
        <w:t xml:space="preserve"> </w:t>
      </w:r>
      <w:r w:rsidRPr="00C61BD6">
        <w:rPr>
          <w:szCs w:val="21"/>
        </w:rPr>
        <w:t>de d</w:t>
      </w:r>
      <w:r w:rsidR="00402896" w:rsidRPr="00C61BD6">
        <w:rPr>
          <w:szCs w:val="21"/>
        </w:rPr>
        <w:t xml:space="preserve">éveloppement des affaires </w:t>
      </w:r>
      <w:r w:rsidRPr="00C61BD6">
        <w:rPr>
          <w:szCs w:val="21"/>
        </w:rPr>
        <w:t>seront financés dans le cadre de la sous-composante 2.2. Cette approche</w:t>
      </w:r>
      <w:r w:rsidRPr="00C61BD6">
        <w:rPr>
          <w:spacing w:val="-11"/>
          <w:szCs w:val="21"/>
        </w:rPr>
        <w:t xml:space="preserve"> </w:t>
      </w:r>
      <w:r w:rsidRPr="00C61BD6">
        <w:rPr>
          <w:szCs w:val="21"/>
        </w:rPr>
        <w:t>permettra</w:t>
      </w:r>
      <w:r w:rsidRPr="00C61BD6">
        <w:rPr>
          <w:spacing w:val="-11"/>
          <w:szCs w:val="21"/>
        </w:rPr>
        <w:t xml:space="preserve"> </w:t>
      </w:r>
      <w:r w:rsidRPr="00C61BD6">
        <w:rPr>
          <w:szCs w:val="21"/>
        </w:rPr>
        <w:t>une</w:t>
      </w:r>
      <w:r w:rsidRPr="00C61BD6">
        <w:rPr>
          <w:spacing w:val="-12"/>
          <w:szCs w:val="21"/>
        </w:rPr>
        <w:t xml:space="preserve"> </w:t>
      </w:r>
      <w:r w:rsidRPr="00C61BD6">
        <w:rPr>
          <w:szCs w:val="21"/>
        </w:rPr>
        <w:t>expansion</w:t>
      </w:r>
      <w:r w:rsidRPr="00C61BD6">
        <w:rPr>
          <w:spacing w:val="-11"/>
          <w:szCs w:val="21"/>
        </w:rPr>
        <w:t xml:space="preserve"> </w:t>
      </w:r>
      <w:r w:rsidRPr="00C61BD6">
        <w:rPr>
          <w:szCs w:val="21"/>
        </w:rPr>
        <w:t>progressive</w:t>
      </w:r>
      <w:r w:rsidRPr="00C61BD6">
        <w:rPr>
          <w:spacing w:val="-12"/>
          <w:szCs w:val="21"/>
        </w:rPr>
        <w:t xml:space="preserve"> </w:t>
      </w:r>
      <w:r w:rsidRPr="00C61BD6">
        <w:rPr>
          <w:szCs w:val="21"/>
        </w:rPr>
        <w:t>et</w:t>
      </w:r>
      <w:r w:rsidRPr="00C61BD6">
        <w:rPr>
          <w:spacing w:val="-10"/>
          <w:szCs w:val="21"/>
        </w:rPr>
        <w:t xml:space="preserve"> </w:t>
      </w:r>
      <w:r w:rsidRPr="00C61BD6">
        <w:rPr>
          <w:szCs w:val="21"/>
        </w:rPr>
        <w:t>durable</w:t>
      </w:r>
      <w:r w:rsidRPr="00C61BD6">
        <w:rPr>
          <w:spacing w:val="-10"/>
          <w:szCs w:val="21"/>
        </w:rPr>
        <w:t xml:space="preserve"> </w:t>
      </w:r>
      <w:r w:rsidRPr="00C61BD6">
        <w:rPr>
          <w:szCs w:val="21"/>
        </w:rPr>
        <w:t>de</w:t>
      </w:r>
      <w:r w:rsidRPr="00C61BD6">
        <w:rPr>
          <w:spacing w:val="-10"/>
          <w:szCs w:val="21"/>
        </w:rPr>
        <w:t xml:space="preserve"> </w:t>
      </w:r>
      <w:r w:rsidRPr="00C61BD6">
        <w:rPr>
          <w:szCs w:val="21"/>
        </w:rPr>
        <w:t>la</w:t>
      </w:r>
      <w:r w:rsidRPr="00C61BD6">
        <w:rPr>
          <w:spacing w:val="-10"/>
          <w:szCs w:val="21"/>
        </w:rPr>
        <w:t xml:space="preserve"> </w:t>
      </w:r>
      <w:r w:rsidRPr="00C61BD6">
        <w:rPr>
          <w:szCs w:val="21"/>
        </w:rPr>
        <w:t>taille</w:t>
      </w:r>
      <w:r w:rsidRPr="00C61BD6">
        <w:rPr>
          <w:spacing w:val="-10"/>
          <w:szCs w:val="21"/>
        </w:rPr>
        <w:t xml:space="preserve"> </w:t>
      </w:r>
      <w:r w:rsidRPr="00C61BD6">
        <w:rPr>
          <w:szCs w:val="21"/>
        </w:rPr>
        <w:t>du</w:t>
      </w:r>
      <w:r w:rsidRPr="00C61BD6">
        <w:rPr>
          <w:spacing w:val="-14"/>
          <w:szCs w:val="21"/>
        </w:rPr>
        <w:t xml:space="preserve"> </w:t>
      </w:r>
      <w:r w:rsidRPr="00C61BD6">
        <w:rPr>
          <w:szCs w:val="21"/>
        </w:rPr>
        <w:t>marché</w:t>
      </w:r>
      <w:r w:rsidRPr="00C61BD6">
        <w:rPr>
          <w:spacing w:val="-10"/>
          <w:szCs w:val="21"/>
        </w:rPr>
        <w:t xml:space="preserve"> </w:t>
      </w:r>
      <w:r w:rsidRPr="00C61BD6">
        <w:rPr>
          <w:szCs w:val="21"/>
        </w:rPr>
        <w:t>privé</w:t>
      </w:r>
      <w:r w:rsidRPr="00C61BD6">
        <w:rPr>
          <w:spacing w:val="-9"/>
          <w:szCs w:val="21"/>
        </w:rPr>
        <w:t xml:space="preserve"> </w:t>
      </w:r>
      <w:r w:rsidRPr="00C61BD6">
        <w:rPr>
          <w:szCs w:val="21"/>
        </w:rPr>
        <w:t>pour</w:t>
      </w:r>
      <w:r w:rsidRPr="00C61BD6">
        <w:rPr>
          <w:spacing w:val="-10"/>
          <w:szCs w:val="21"/>
        </w:rPr>
        <w:t xml:space="preserve"> </w:t>
      </w:r>
      <w:r w:rsidRPr="00C61BD6">
        <w:rPr>
          <w:szCs w:val="21"/>
        </w:rPr>
        <w:t>les</w:t>
      </w:r>
      <w:r w:rsidRPr="00C61BD6">
        <w:rPr>
          <w:spacing w:val="-10"/>
          <w:szCs w:val="21"/>
        </w:rPr>
        <w:t xml:space="preserve"> </w:t>
      </w:r>
      <w:r w:rsidRPr="00C61BD6">
        <w:rPr>
          <w:szCs w:val="21"/>
        </w:rPr>
        <w:t>intrants agricoles,</w:t>
      </w:r>
      <w:r w:rsidRPr="00C61BD6">
        <w:rPr>
          <w:spacing w:val="-3"/>
          <w:szCs w:val="21"/>
        </w:rPr>
        <w:t xml:space="preserve"> </w:t>
      </w:r>
      <w:r w:rsidRPr="00C61BD6">
        <w:rPr>
          <w:szCs w:val="21"/>
        </w:rPr>
        <w:t>les</w:t>
      </w:r>
      <w:r w:rsidRPr="00C61BD6">
        <w:rPr>
          <w:spacing w:val="-2"/>
          <w:szCs w:val="21"/>
        </w:rPr>
        <w:t xml:space="preserve"> </w:t>
      </w:r>
      <w:r w:rsidRPr="00C61BD6">
        <w:rPr>
          <w:szCs w:val="21"/>
        </w:rPr>
        <w:t>services,</w:t>
      </w:r>
      <w:r w:rsidRPr="00C61BD6">
        <w:rPr>
          <w:spacing w:val="-3"/>
          <w:szCs w:val="21"/>
        </w:rPr>
        <w:t xml:space="preserve"> </w:t>
      </w:r>
      <w:r w:rsidRPr="00C61BD6">
        <w:rPr>
          <w:szCs w:val="21"/>
        </w:rPr>
        <w:t>et</w:t>
      </w:r>
      <w:r w:rsidRPr="00C61BD6">
        <w:rPr>
          <w:spacing w:val="-3"/>
          <w:szCs w:val="21"/>
        </w:rPr>
        <w:t xml:space="preserve"> </w:t>
      </w:r>
      <w:r w:rsidRPr="00C61BD6">
        <w:rPr>
          <w:szCs w:val="21"/>
        </w:rPr>
        <w:t>la</w:t>
      </w:r>
      <w:r w:rsidRPr="00C61BD6">
        <w:rPr>
          <w:spacing w:val="-5"/>
          <w:szCs w:val="21"/>
        </w:rPr>
        <w:t xml:space="preserve"> </w:t>
      </w:r>
      <w:r w:rsidRPr="00C61BD6">
        <w:rPr>
          <w:szCs w:val="21"/>
        </w:rPr>
        <w:t>commercialisation</w:t>
      </w:r>
      <w:r w:rsidRPr="00C61BD6">
        <w:rPr>
          <w:spacing w:val="-4"/>
          <w:szCs w:val="21"/>
        </w:rPr>
        <w:t xml:space="preserve"> </w:t>
      </w:r>
      <w:r w:rsidRPr="00C61BD6">
        <w:rPr>
          <w:szCs w:val="21"/>
        </w:rPr>
        <w:t>de</w:t>
      </w:r>
      <w:r w:rsidRPr="00C61BD6">
        <w:rPr>
          <w:spacing w:val="-3"/>
          <w:szCs w:val="21"/>
        </w:rPr>
        <w:t xml:space="preserve"> </w:t>
      </w:r>
      <w:r w:rsidRPr="00C61BD6">
        <w:rPr>
          <w:szCs w:val="21"/>
        </w:rPr>
        <w:t>la</w:t>
      </w:r>
      <w:r w:rsidRPr="00C61BD6">
        <w:rPr>
          <w:spacing w:val="-4"/>
          <w:szCs w:val="21"/>
        </w:rPr>
        <w:t xml:space="preserve"> </w:t>
      </w:r>
      <w:r w:rsidRPr="00C61BD6">
        <w:rPr>
          <w:szCs w:val="21"/>
        </w:rPr>
        <w:t>production</w:t>
      </w:r>
      <w:r w:rsidRPr="00C61BD6">
        <w:rPr>
          <w:spacing w:val="-3"/>
          <w:szCs w:val="21"/>
        </w:rPr>
        <w:t xml:space="preserve"> </w:t>
      </w:r>
      <w:r w:rsidRPr="00C61BD6">
        <w:rPr>
          <w:szCs w:val="21"/>
        </w:rPr>
        <w:t>agricole</w:t>
      </w:r>
      <w:r w:rsidRPr="00C61BD6">
        <w:rPr>
          <w:spacing w:val="-3"/>
          <w:szCs w:val="21"/>
        </w:rPr>
        <w:t xml:space="preserve"> </w:t>
      </w:r>
      <w:r w:rsidRPr="00C61BD6">
        <w:rPr>
          <w:szCs w:val="21"/>
        </w:rPr>
        <w:t>des</w:t>
      </w:r>
      <w:r w:rsidRPr="00C61BD6">
        <w:rPr>
          <w:spacing w:val="-3"/>
          <w:szCs w:val="21"/>
        </w:rPr>
        <w:t xml:space="preserve"> </w:t>
      </w:r>
      <w:r w:rsidRPr="00C61BD6">
        <w:rPr>
          <w:szCs w:val="21"/>
        </w:rPr>
        <w:t>petits</w:t>
      </w:r>
      <w:r w:rsidRPr="00C61BD6">
        <w:rPr>
          <w:spacing w:val="-3"/>
          <w:szCs w:val="21"/>
        </w:rPr>
        <w:t xml:space="preserve"> </w:t>
      </w:r>
      <w:r w:rsidRPr="00C61BD6">
        <w:rPr>
          <w:szCs w:val="21"/>
        </w:rPr>
        <w:t>exploitants</w:t>
      </w:r>
      <w:r w:rsidRPr="00C61BD6">
        <w:rPr>
          <w:spacing w:val="-3"/>
          <w:szCs w:val="21"/>
        </w:rPr>
        <w:t xml:space="preserve"> </w:t>
      </w:r>
      <w:r w:rsidRPr="00C61BD6">
        <w:rPr>
          <w:szCs w:val="21"/>
        </w:rPr>
        <w:t>dans</w:t>
      </w:r>
      <w:r w:rsidRPr="00C61BD6">
        <w:rPr>
          <w:spacing w:val="-2"/>
          <w:szCs w:val="21"/>
        </w:rPr>
        <w:t xml:space="preserve"> </w:t>
      </w:r>
      <w:r w:rsidRPr="00C61BD6">
        <w:rPr>
          <w:szCs w:val="21"/>
        </w:rPr>
        <w:t>les provinces</w:t>
      </w:r>
      <w:r w:rsidRPr="00C61BD6">
        <w:rPr>
          <w:spacing w:val="-6"/>
          <w:szCs w:val="21"/>
        </w:rPr>
        <w:t xml:space="preserve"> </w:t>
      </w:r>
      <w:r w:rsidRPr="00C61BD6">
        <w:rPr>
          <w:szCs w:val="21"/>
        </w:rPr>
        <w:t>sélectionnées.</w:t>
      </w:r>
      <w:r w:rsidRPr="00C61BD6">
        <w:rPr>
          <w:spacing w:val="-6"/>
          <w:szCs w:val="21"/>
        </w:rPr>
        <w:t xml:space="preserve"> </w:t>
      </w:r>
      <w:r w:rsidRPr="00C61BD6">
        <w:rPr>
          <w:szCs w:val="21"/>
        </w:rPr>
        <w:t>En</w:t>
      </w:r>
      <w:r w:rsidRPr="00C61BD6">
        <w:rPr>
          <w:spacing w:val="-8"/>
          <w:szCs w:val="21"/>
        </w:rPr>
        <w:t xml:space="preserve"> </w:t>
      </w:r>
      <w:r w:rsidRPr="00C61BD6">
        <w:rPr>
          <w:szCs w:val="21"/>
        </w:rPr>
        <w:t>outre,</w:t>
      </w:r>
      <w:r w:rsidRPr="00C61BD6">
        <w:rPr>
          <w:spacing w:val="-5"/>
          <w:szCs w:val="21"/>
        </w:rPr>
        <w:t xml:space="preserve"> </w:t>
      </w:r>
      <w:r w:rsidRPr="00C61BD6">
        <w:rPr>
          <w:szCs w:val="21"/>
        </w:rPr>
        <w:t>un</w:t>
      </w:r>
      <w:r w:rsidRPr="00C61BD6">
        <w:rPr>
          <w:spacing w:val="-9"/>
          <w:szCs w:val="21"/>
        </w:rPr>
        <w:t xml:space="preserve"> </w:t>
      </w:r>
      <w:r w:rsidRPr="00C61BD6">
        <w:rPr>
          <w:szCs w:val="21"/>
        </w:rPr>
        <w:t>opérateur</w:t>
      </w:r>
      <w:r w:rsidRPr="00C61BD6">
        <w:rPr>
          <w:spacing w:val="-6"/>
          <w:szCs w:val="21"/>
        </w:rPr>
        <w:t xml:space="preserve"> </w:t>
      </w:r>
      <w:r w:rsidRPr="00C61BD6">
        <w:rPr>
          <w:szCs w:val="21"/>
        </w:rPr>
        <w:t>technique</w:t>
      </w:r>
      <w:r w:rsidRPr="00C61BD6">
        <w:rPr>
          <w:spacing w:val="-8"/>
          <w:szCs w:val="21"/>
        </w:rPr>
        <w:t xml:space="preserve"> </w:t>
      </w:r>
      <w:r w:rsidRPr="00C61BD6">
        <w:rPr>
          <w:szCs w:val="21"/>
        </w:rPr>
        <w:t>sera</w:t>
      </w:r>
      <w:r w:rsidRPr="00C61BD6">
        <w:rPr>
          <w:spacing w:val="-8"/>
          <w:szCs w:val="21"/>
        </w:rPr>
        <w:t xml:space="preserve"> </w:t>
      </w:r>
      <w:r w:rsidRPr="00C61BD6">
        <w:rPr>
          <w:szCs w:val="21"/>
        </w:rPr>
        <w:t>embauché</w:t>
      </w:r>
      <w:r w:rsidRPr="00C61BD6">
        <w:rPr>
          <w:spacing w:val="-8"/>
          <w:szCs w:val="21"/>
        </w:rPr>
        <w:t xml:space="preserve"> </w:t>
      </w:r>
      <w:r w:rsidRPr="00C61BD6">
        <w:rPr>
          <w:szCs w:val="21"/>
        </w:rPr>
        <w:t>(un</w:t>
      </w:r>
      <w:r w:rsidRPr="00C61BD6">
        <w:rPr>
          <w:spacing w:val="-7"/>
          <w:szCs w:val="21"/>
        </w:rPr>
        <w:t xml:space="preserve"> </w:t>
      </w:r>
      <w:r w:rsidRPr="00C61BD6">
        <w:rPr>
          <w:szCs w:val="21"/>
        </w:rPr>
        <w:t>par</w:t>
      </w:r>
      <w:r w:rsidRPr="00C61BD6">
        <w:rPr>
          <w:spacing w:val="-6"/>
          <w:szCs w:val="21"/>
        </w:rPr>
        <w:t xml:space="preserve"> </w:t>
      </w:r>
      <w:r w:rsidRPr="00C61BD6">
        <w:rPr>
          <w:szCs w:val="21"/>
        </w:rPr>
        <w:t>province)</w:t>
      </w:r>
      <w:r w:rsidRPr="00C61BD6">
        <w:rPr>
          <w:spacing w:val="-8"/>
          <w:szCs w:val="21"/>
        </w:rPr>
        <w:t xml:space="preserve"> </w:t>
      </w:r>
      <w:r w:rsidRPr="00C61BD6">
        <w:rPr>
          <w:szCs w:val="21"/>
        </w:rPr>
        <w:t>avec les fonds de cette sous-composante pour soutenir les petits exploitants agricoles dans : (a) l'enregistrement des 1,7 millions d'agriculteurs dans l'ARN ; (b) l'assistance technique et la formation de</w:t>
      </w:r>
      <w:r w:rsidRPr="00C61BD6">
        <w:rPr>
          <w:spacing w:val="-14"/>
          <w:szCs w:val="21"/>
        </w:rPr>
        <w:t xml:space="preserve"> </w:t>
      </w:r>
      <w:r w:rsidRPr="00C61BD6">
        <w:rPr>
          <w:szCs w:val="21"/>
        </w:rPr>
        <w:t>1,7</w:t>
      </w:r>
      <w:r w:rsidRPr="00C61BD6">
        <w:rPr>
          <w:spacing w:val="-15"/>
          <w:szCs w:val="21"/>
        </w:rPr>
        <w:t xml:space="preserve"> </w:t>
      </w:r>
      <w:r w:rsidRPr="00C61BD6">
        <w:rPr>
          <w:szCs w:val="21"/>
        </w:rPr>
        <w:t>millions</w:t>
      </w:r>
      <w:r w:rsidRPr="00C61BD6">
        <w:rPr>
          <w:spacing w:val="-14"/>
          <w:szCs w:val="21"/>
        </w:rPr>
        <w:t xml:space="preserve"> </w:t>
      </w:r>
      <w:r w:rsidRPr="00C61BD6">
        <w:rPr>
          <w:szCs w:val="21"/>
        </w:rPr>
        <w:t>d'agriculteurs</w:t>
      </w:r>
      <w:r w:rsidRPr="00C61BD6">
        <w:rPr>
          <w:spacing w:val="-14"/>
          <w:szCs w:val="21"/>
        </w:rPr>
        <w:t xml:space="preserve"> </w:t>
      </w:r>
      <w:r w:rsidRPr="00C61BD6">
        <w:rPr>
          <w:szCs w:val="21"/>
        </w:rPr>
        <w:t>pour</w:t>
      </w:r>
      <w:r w:rsidRPr="00C61BD6">
        <w:rPr>
          <w:spacing w:val="-13"/>
          <w:szCs w:val="21"/>
        </w:rPr>
        <w:t xml:space="preserve"> </w:t>
      </w:r>
      <w:r w:rsidRPr="00C61BD6">
        <w:rPr>
          <w:szCs w:val="21"/>
        </w:rPr>
        <w:t>choisir</w:t>
      </w:r>
      <w:r w:rsidRPr="00C61BD6">
        <w:rPr>
          <w:spacing w:val="-15"/>
          <w:szCs w:val="21"/>
        </w:rPr>
        <w:t xml:space="preserve"> </w:t>
      </w:r>
      <w:r w:rsidRPr="00C61BD6">
        <w:rPr>
          <w:szCs w:val="21"/>
        </w:rPr>
        <w:t>et</w:t>
      </w:r>
      <w:r w:rsidRPr="00C61BD6">
        <w:rPr>
          <w:spacing w:val="-14"/>
          <w:szCs w:val="21"/>
        </w:rPr>
        <w:t xml:space="preserve"> </w:t>
      </w:r>
      <w:r w:rsidRPr="00C61BD6">
        <w:rPr>
          <w:szCs w:val="21"/>
        </w:rPr>
        <w:t>mettre</w:t>
      </w:r>
      <w:r w:rsidRPr="00C61BD6">
        <w:rPr>
          <w:spacing w:val="-15"/>
          <w:szCs w:val="21"/>
        </w:rPr>
        <w:t xml:space="preserve"> </w:t>
      </w:r>
      <w:r w:rsidRPr="00C61BD6">
        <w:rPr>
          <w:szCs w:val="21"/>
        </w:rPr>
        <w:t>en</w:t>
      </w:r>
      <w:r w:rsidRPr="00C61BD6">
        <w:rPr>
          <w:spacing w:val="-14"/>
          <w:szCs w:val="21"/>
        </w:rPr>
        <w:t xml:space="preserve"> </w:t>
      </w:r>
      <w:r w:rsidRPr="00C61BD6">
        <w:rPr>
          <w:szCs w:val="21"/>
        </w:rPr>
        <w:t>œuvre</w:t>
      </w:r>
      <w:r w:rsidRPr="00C61BD6">
        <w:rPr>
          <w:spacing w:val="-14"/>
          <w:szCs w:val="21"/>
        </w:rPr>
        <w:t xml:space="preserve"> </w:t>
      </w:r>
      <w:r w:rsidRPr="00C61BD6">
        <w:rPr>
          <w:szCs w:val="21"/>
        </w:rPr>
        <w:t>les</w:t>
      </w:r>
      <w:r w:rsidRPr="00C61BD6">
        <w:rPr>
          <w:spacing w:val="-15"/>
          <w:szCs w:val="21"/>
        </w:rPr>
        <w:t xml:space="preserve"> </w:t>
      </w:r>
      <w:r w:rsidRPr="00C61BD6">
        <w:rPr>
          <w:szCs w:val="21"/>
        </w:rPr>
        <w:t>PTechs</w:t>
      </w:r>
      <w:r w:rsidRPr="00C61BD6">
        <w:rPr>
          <w:spacing w:val="-15"/>
          <w:szCs w:val="21"/>
        </w:rPr>
        <w:t xml:space="preserve"> </w:t>
      </w:r>
      <w:r w:rsidRPr="00C61BD6">
        <w:rPr>
          <w:szCs w:val="21"/>
        </w:rPr>
        <w:t>;</w:t>
      </w:r>
      <w:r w:rsidRPr="00C61BD6">
        <w:rPr>
          <w:spacing w:val="-13"/>
          <w:szCs w:val="21"/>
        </w:rPr>
        <w:t xml:space="preserve"> </w:t>
      </w:r>
      <w:r w:rsidRPr="00C61BD6">
        <w:rPr>
          <w:szCs w:val="21"/>
        </w:rPr>
        <w:t>(c)</w:t>
      </w:r>
      <w:r w:rsidRPr="00C61BD6">
        <w:rPr>
          <w:spacing w:val="-14"/>
          <w:szCs w:val="21"/>
        </w:rPr>
        <w:t xml:space="preserve"> </w:t>
      </w:r>
      <w:r w:rsidRPr="00C61BD6">
        <w:rPr>
          <w:szCs w:val="21"/>
        </w:rPr>
        <w:t>la</w:t>
      </w:r>
      <w:r w:rsidRPr="00C61BD6">
        <w:rPr>
          <w:spacing w:val="-14"/>
          <w:szCs w:val="21"/>
        </w:rPr>
        <w:t xml:space="preserve"> </w:t>
      </w:r>
      <w:r w:rsidRPr="00C61BD6">
        <w:rPr>
          <w:szCs w:val="21"/>
        </w:rPr>
        <w:t>facilitation</w:t>
      </w:r>
      <w:r w:rsidRPr="00C61BD6">
        <w:rPr>
          <w:spacing w:val="-14"/>
          <w:szCs w:val="21"/>
        </w:rPr>
        <w:t xml:space="preserve"> </w:t>
      </w:r>
      <w:r w:rsidRPr="00C61BD6">
        <w:rPr>
          <w:szCs w:val="21"/>
        </w:rPr>
        <w:t>de</w:t>
      </w:r>
      <w:r w:rsidRPr="00C61BD6">
        <w:rPr>
          <w:spacing w:val="-14"/>
          <w:szCs w:val="21"/>
        </w:rPr>
        <w:t xml:space="preserve"> </w:t>
      </w:r>
      <w:r w:rsidRPr="00C61BD6">
        <w:rPr>
          <w:szCs w:val="21"/>
        </w:rPr>
        <w:t>la livraison des bons/espèces en assurant la liaison avec l'intermédiaire financier ou le fournisseur de paiement mobile ; (d) la fourniture de conseils et d'informations aux MPME agro-commerçants pour participer au système de bons ; et (e) la mise en relation des petits agriculteurs avec les opportunités de marché (lien a</w:t>
      </w:r>
      <w:r w:rsidR="007B5FCC" w:rsidRPr="00C61BD6">
        <w:rPr>
          <w:szCs w:val="21"/>
        </w:rPr>
        <w:t>vec la sous-composante 2.2). L'opérateur technique</w:t>
      </w:r>
      <w:r w:rsidRPr="00C61BD6">
        <w:rPr>
          <w:szCs w:val="21"/>
        </w:rPr>
        <w:t xml:space="preserve"> soutiendra l'</w:t>
      </w:r>
      <w:r w:rsidR="004207BC" w:rsidRPr="00C61BD6">
        <w:rPr>
          <w:szCs w:val="21"/>
        </w:rPr>
        <w:t>Unité Nationale de C</w:t>
      </w:r>
      <w:r w:rsidRPr="00C61BD6">
        <w:rPr>
          <w:szCs w:val="21"/>
        </w:rPr>
        <w:t xml:space="preserve">oordination du </w:t>
      </w:r>
      <w:r w:rsidR="004207BC" w:rsidRPr="00C61BD6">
        <w:rPr>
          <w:szCs w:val="21"/>
        </w:rPr>
        <w:t>P</w:t>
      </w:r>
      <w:r w:rsidRPr="00C61BD6">
        <w:rPr>
          <w:szCs w:val="21"/>
        </w:rPr>
        <w:t>rojet</w:t>
      </w:r>
      <w:r w:rsidR="004207BC" w:rsidRPr="00C61BD6">
        <w:rPr>
          <w:szCs w:val="21"/>
        </w:rPr>
        <w:t xml:space="preserve"> (UNCP</w:t>
      </w:r>
      <w:r w:rsidRPr="00C61BD6">
        <w:rPr>
          <w:szCs w:val="21"/>
        </w:rPr>
        <w:t>) pour s'assurer que le mécanisme de recours en cas de griefs (</w:t>
      </w:r>
      <w:r w:rsidR="004207BC" w:rsidRPr="00C61BD6">
        <w:rPr>
          <w:szCs w:val="21"/>
        </w:rPr>
        <w:t>MGP</w:t>
      </w:r>
      <w:r w:rsidRPr="00C61BD6">
        <w:rPr>
          <w:szCs w:val="21"/>
        </w:rPr>
        <w:t>) et les mesures d'atténuation des risques environnementaux et sociaux et de réponse sont</w:t>
      </w:r>
      <w:r w:rsidR="009E1ADF" w:rsidRPr="00C61BD6">
        <w:rPr>
          <w:szCs w:val="21"/>
        </w:rPr>
        <w:t xml:space="preserve"> </w:t>
      </w:r>
      <w:r w:rsidRPr="00C61BD6">
        <w:rPr>
          <w:szCs w:val="21"/>
        </w:rPr>
        <w:t>en place, et sera les yeux sur le terrain pour identifier les risques et les problèmes liés aux conflits et à la violence, y compris la VBG.</w:t>
      </w:r>
    </w:p>
    <w:p w14:paraId="48F51D49" w14:textId="77777777" w:rsidR="0015389C" w:rsidRPr="00C61BD6" w:rsidRDefault="0015389C" w:rsidP="001C2F95">
      <w:pPr>
        <w:pStyle w:val="Paragraphedeliste"/>
        <w:tabs>
          <w:tab w:val="left" w:pos="426"/>
        </w:tabs>
        <w:ind w:left="0"/>
        <w:rPr>
          <w:rFonts w:cs="Arial"/>
          <w:i/>
          <w:color w:val="222222"/>
          <w:szCs w:val="21"/>
        </w:rPr>
      </w:pPr>
    </w:p>
    <w:p w14:paraId="4D25A8A1" w14:textId="21902201" w:rsidR="0015389C" w:rsidRDefault="0015389C" w:rsidP="001C2F95">
      <w:pPr>
        <w:pStyle w:val="Paragraphedeliste"/>
        <w:tabs>
          <w:tab w:val="left" w:pos="426"/>
        </w:tabs>
        <w:ind w:left="0"/>
        <w:rPr>
          <w:rFonts w:cs="Arial"/>
          <w:i/>
          <w:color w:val="222222"/>
          <w:szCs w:val="21"/>
        </w:rPr>
      </w:pPr>
      <w:r w:rsidRPr="00C61BD6">
        <w:rPr>
          <w:szCs w:val="21"/>
        </w:rPr>
        <w:t>Les instruments de livraison du soutien direct aux petits exploitants (bons et/ou argent) sont des subventions intelligentes ponctuelles/temporaires, qui ont prouvé leur efficacité dans les projets financés par la Banque mondiale en RDC, en ASS et en Asie du Sud, et qui ont le potentiel d'atteindre une échelle dans un grand pays comme la RDC. Les instruments choisis pour la fourniture de l'aide directe aux petits exploitants (argent comptant ou bons) varieront en fonction de la PTech proposée aux petits exploitants de régions spécifiques (les PTech sont adaptées aux conditions agroécologiques et de marché de la région). Étant donné que le marché des intrants agricoles en RDC est petit, le soutien aux petits exploitants agricoles sera déployé progressivement dans chaque province, en commençant par une zone géographique réduite pré-identifiée au cours de la première année, couvrant environ 10 000 agriculteurs. Au cours de la première année, une évaluation rapide permettra d'ajuster le projet et de le mettre à l'échelle au cours des années deux et trois, et devrait couvrir l'ensemble de la population des petits exploitants agricoles dans les provinces sélectionnées. Les PTechs comprennent des approches CSA validées en RDC visant à améliorer la fertilité et l'humidité des sols, basées sur une gestion améliorée de la conservation des sols et l'agroforesterie, les engrais verts, et de meilleures pratiques agricoles pour renforcer la résilience contre les risques liés au climat tels que la sécheresse et les inondations. Les PTechs comprennent également les technologies et pratiques NSmartAg qui augmentent la disponibilité d'aliments riches en nutriments et la rentabilité de l'exploitation, ce qui permet d'accroître les revenus et la sécurité alimentaire. Quelques exemples de PTechs CSA et NSmartAg qui seront disponibles pour adoption par les petits exploitants agricoles dans les provinces ciblées lors du déploiement initial du soutien direct aux petits exploitants agricoles comprennent : (a) les semences biofortifiées ; (b) les semences résistantes à la sécheresse ; (c) la culture des arbres fruitiers (y compris les techniques de greffage) ; (d) la gestion améliorée des jachères ; et (e) la volaille.</w:t>
      </w:r>
    </w:p>
    <w:p w14:paraId="5BBA2395" w14:textId="3684D946" w:rsidR="00AD2C4C" w:rsidRDefault="00AD2C4C">
      <w:pPr>
        <w:spacing w:line="240" w:lineRule="auto"/>
        <w:jc w:val="left"/>
        <w:rPr>
          <w:rFonts w:cs="Arial"/>
          <w:i/>
          <w:color w:val="222222"/>
          <w:szCs w:val="21"/>
        </w:rPr>
      </w:pPr>
    </w:p>
    <w:p w14:paraId="5EF66662" w14:textId="6A7F5E16" w:rsidR="001C2F95" w:rsidRPr="00C61BD6" w:rsidRDefault="001C2F95" w:rsidP="002378EA">
      <w:pPr>
        <w:pStyle w:val="Paragraphedeliste"/>
        <w:numPr>
          <w:ilvl w:val="0"/>
          <w:numId w:val="33"/>
        </w:numPr>
        <w:tabs>
          <w:tab w:val="left" w:pos="426"/>
        </w:tabs>
        <w:rPr>
          <w:rFonts w:cs="Arial"/>
          <w:i/>
          <w:color w:val="222222"/>
          <w:szCs w:val="21"/>
        </w:rPr>
      </w:pPr>
      <w:r w:rsidRPr="00C61BD6">
        <w:rPr>
          <w:rFonts w:cs="Arial"/>
          <w:i/>
          <w:color w:val="222222"/>
          <w:szCs w:val="21"/>
        </w:rPr>
        <w:t xml:space="preserve">Sous-composante 1.2 : Assistance technique et accès financier aux petits exploitants </w:t>
      </w:r>
      <w:r w:rsidR="00AD2C4C">
        <w:rPr>
          <w:rFonts w:cs="Arial"/>
          <w:i/>
          <w:color w:val="222222"/>
          <w:szCs w:val="21"/>
        </w:rPr>
        <w:t xml:space="preserve">    </w:t>
      </w:r>
      <w:r w:rsidR="00F32DE7" w:rsidRPr="00C61BD6">
        <w:rPr>
          <w:i/>
          <w:color w:val="000000"/>
          <w:szCs w:val="21"/>
        </w:rPr>
        <w:t>(10 millions </w:t>
      </w:r>
      <w:r w:rsidR="004207BC" w:rsidRPr="00C61BD6">
        <w:rPr>
          <w:i/>
          <w:color w:val="000000"/>
          <w:szCs w:val="21"/>
        </w:rPr>
        <w:t xml:space="preserve">de dollars </w:t>
      </w:r>
      <w:r w:rsidR="00F32DE7" w:rsidRPr="00C61BD6">
        <w:rPr>
          <w:i/>
          <w:color w:val="000000"/>
          <w:szCs w:val="21"/>
        </w:rPr>
        <w:t>US).</w:t>
      </w:r>
    </w:p>
    <w:p w14:paraId="2DC298CA" w14:textId="77777777" w:rsidR="001C2F95" w:rsidRPr="00C61BD6" w:rsidRDefault="001C2F95" w:rsidP="001C2F95">
      <w:pPr>
        <w:pStyle w:val="Paragraphedeliste"/>
        <w:tabs>
          <w:tab w:val="left" w:pos="426"/>
        </w:tabs>
        <w:ind w:left="0"/>
        <w:rPr>
          <w:rFonts w:cs="Arial"/>
          <w:color w:val="222222"/>
          <w:szCs w:val="21"/>
        </w:rPr>
      </w:pPr>
    </w:p>
    <w:p w14:paraId="1D6C5966" w14:textId="1C23B0C3" w:rsidR="00F32DE7" w:rsidRPr="00C61BD6" w:rsidRDefault="001C2F95" w:rsidP="001C2F95">
      <w:pPr>
        <w:pStyle w:val="Paragraphedeliste"/>
        <w:tabs>
          <w:tab w:val="left" w:pos="426"/>
        </w:tabs>
        <w:ind w:left="0"/>
        <w:rPr>
          <w:rFonts w:cs="Arial"/>
          <w:color w:val="222222"/>
          <w:szCs w:val="21"/>
        </w:rPr>
      </w:pPr>
      <w:r w:rsidRPr="00C61BD6">
        <w:rPr>
          <w:rFonts w:cs="Arial"/>
          <w:color w:val="222222"/>
          <w:szCs w:val="21"/>
        </w:rPr>
        <w:t xml:space="preserve">Cette Sous-composante </w:t>
      </w:r>
      <w:r w:rsidR="004207BC" w:rsidRPr="00C61BD6">
        <w:rPr>
          <w:rFonts w:cs="Arial"/>
          <w:color w:val="222222"/>
          <w:szCs w:val="21"/>
        </w:rPr>
        <w:t>financera</w:t>
      </w:r>
      <w:r w:rsidRPr="00C61BD6">
        <w:rPr>
          <w:rFonts w:cs="Arial"/>
          <w:color w:val="222222"/>
          <w:szCs w:val="21"/>
        </w:rPr>
        <w:t xml:space="preserve"> l’assistance technique et </w:t>
      </w:r>
      <w:r w:rsidR="004207BC" w:rsidRPr="00C61BD6">
        <w:rPr>
          <w:rFonts w:cs="Arial"/>
          <w:color w:val="222222"/>
          <w:szCs w:val="21"/>
        </w:rPr>
        <w:t>les</w:t>
      </w:r>
      <w:r w:rsidRPr="00C61BD6">
        <w:rPr>
          <w:rFonts w:cs="Arial"/>
          <w:color w:val="222222"/>
          <w:szCs w:val="21"/>
        </w:rPr>
        <w:t xml:space="preserve"> services financiers liés à la mise en œuvre de l’investissement afin de promouvoir de meilleures pratiques et d’améliorer la productivité des petits exploitants</w:t>
      </w:r>
      <w:r w:rsidR="004207BC" w:rsidRPr="00C61BD6">
        <w:rPr>
          <w:rFonts w:cs="Arial"/>
          <w:color w:val="222222"/>
          <w:szCs w:val="21"/>
        </w:rPr>
        <w:t xml:space="preserve"> agricoles</w:t>
      </w:r>
      <w:r w:rsidRPr="00C61BD6">
        <w:rPr>
          <w:rFonts w:cs="Arial"/>
          <w:color w:val="222222"/>
          <w:szCs w:val="21"/>
        </w:rPr>
        <w:t xml:space="preserve">. </w:t>
      </w:r>
    </w:p>
    <w:p w14:paraId="60AE53A0" w14:textId="77777777" w:rsidR="00F32DE7" w:rsidRPr="00C61BD6" w:rsidRDefault="00F32DE7" w:rsidP="001C2F95">
      <w:pPr>
        <w:pStyle w:val="Paragraphedeliste"/>
        <w:tabs>
          <w:tab w:val="left" w:pos="426"/>
        </w:tabs>
        <w:ind w:left="0"/>
        <w:rPr>
          <w:rFonts w:cs="Arial"/>
          <w:color w:val="222222"/>
          <w:szCs w:val="21"/>
        </w:rPr>
      </w:pPr>
    </w:p>
    <w:p w14:paraId="4AA190D1" w14:textId="3DB4065A" w:rsidR="004207BC" w:rsidRPr="00C61BD6" w:rsidRDefault="004207BC" w:rsidP="004207BC">
      <w:pPr>
        <w:pStyle w:val="Paragraphedeliste"/>
        <w:tabs>
          <w:tab w:val="left" w:pos="426"/>
        </w:tabs>
        <w:ind w:left="0"/>
        <w:rPr>
          <w:rFonts w:cs="Arial"/>
          <w:color w:val="222222"/>
          <w:szCs w:val="21"/>
        </w:rPr>
      </w:pPr>
      <w:r w:rsidRPr="00C61BD6">
        <w:rPr>
          <w:rFonts w:cs="Arial"/>
          <w:color w:val="222222"/>
          <w:szCs w:val="21"/>
        </w:rPr>
        <w:t>L'objectif de cette sous-composante est d'améliorer l'accès des petits exploitants agricoles aux services liés à la mise en œuvre des investissements de la sous-composante 1.1. Étant donné que le soutien direct des petits exploitants pour l'adoption des PTechs est un événement ponctuel, l'amélioration de l'assistance technique, de la gestion des terres (en particulier pour les pratiques agroforestières), et des services financiers assurera la durabilité des résultats de l'adoption de ces technologies et pratiques améliorées sur l'exploitation. La sous- composante financera l'assistance technique pour plus de 1 000 organisations (ONG), institutions financières, fournisseurs de services mobiles et PME agro-commerciales au service des 1,7 million d'agriculteurs bénéficiant du soutien de la sous-composante 1.1. L'assistance technique comprend le renforcement des capacités, la formation à la communication et le soutien juridique et administratif à l'écosystème des institutions liées aux petits exploitants agricoles ciblés. Elle comprendra une formation et une communication visant spécifiquement à : (a) attirer les jeunes et les femmes vers l'agriculture et l'agro-industrie, en tenant compte de leurs besoins et obstacles spécifiques ; et (b) l'utilisation et l'adoption des technologies numériques au service des petits exploitants agricoles. Cette sous-composante financera l'assistance technique aux prestataires de services financiers qui soutiennent les agriculteurs bénéficiaires et les MPME agro-industrielles, par exemple aux I</w:t>
      </w:r>
      <w:r w:rsidR="00B317ED" w:rsidRPr="00C61BD6">
        <w:rPr>
          <w:rFonts w:cs="Arial"/>
          <w:color w:val="222222"/>
          <w:szCs w:val="21"/>
        </w:rPr>
        <w:t xml:space="preserve">ntermédiaires </w:t>
      </w:r>
      <w:r w:rsidRPr="00C61BD6">
        <w:rPr>
          <w:rFonts w:cs="Arial"/>
          <w:color w:val="222222"/>
          <w:szCs w:val="21"/>
        </w:rPr>
        <w:t>F</w:t>
      </w:r>
      <w:r w:rsidR="00B317ED" w:rsidRPr="00C61BD6">
        <w:rPr>
          <w:rFonts w:cs="Arial"/>
          <w:color w:val="222222"/>
          <w:szCs w:val="21"/>
        </w:rPr>
        <w:t xml:space="preserve">inanciers </w:t>
      </w:r>
      <w:r w:rsidRPr="00C61BD6">
        <w:rPr>
          <w:rFonts w:cs="Arial"/>
          <w:color w:val="222222"/>
          <w:szCs w:val="21"/>
        </w:rPr>
        <w:t>ayant la capacité de fournir une éducation financière et une formation entrepreneuriale.</w:t>
      </w:r>
    </w:p>
    <w:p w14:paraId="1ACB1C76" w14:textId="77777777" w:rsidR="001C2F95" w:rsidRPr="00C61BD6" w:rsidRDefault="001C2F95" w:rsidP="001C2F95">
      <w:pPr>
        <w:rPr>
          <w:rFonts w:cs="Arial"/>
          <w:szCs w:val="21"/>
        </w:rPr>
      </w:pPr>
    </w:p>
    <w:p w14:paraId="2607878D" w14:textId="77777777" w:rsidR="004207BC" w:rsidRPr="00C61BD6" w:rsidRDefault="004207BC" w:rsidP="004207BC">
      <w:pPr>
        <w:pStyle w:val="Paragraphedeliste"/>
        <w:numPr>
          <w:ilvl w:val="0"/>
          <w:numId w:val="33"/>
        </w:numPr>
        <w:tabs>
          <w:tab w:val="left" w:pos="426"/>
        </w:tabs>
        <w:rPr>
          <w:rFonts w:cs="Arial"/>
          <w:i/>
          <w:color w:val="222222"/>
          <w:szCs w:val="21"/>
        </w:rPr>
      </w:pPr>
      <w:r w:rsidRPr="00C61BD6">
        <w:rPr>
          <w:rFonts w:cs="Arial"/>
          <w:i/>
          <w:color w:val="222222"/>
          <w:szCs w:val="21"/>
        </w:rPr>
        <w:t>Sous-composante 1.3 : Réponse aux urgences agricoles (Total : 40 millions de dollars US ; IDA : 20 millions de dollars US et GRiF : 20 millions de dollars US)</w:t>
      </w:r>
    </w:p>
    <w:p w14:paraId="2F8B6ACE" w14:textId="77777777" w:rsidR="004207BC" w:rsidRPr="00C61BD6" w:rsidRDefault="004207BC" w:rsidP="001C2F95">
      <w:pPr>
        <w:rPr>
          <w:rFonts w:cs="Arial"/>
          <w:szCs w:val="21"/>
        </w:rPr>
      </w:pPr>
    </w:p>
    <w:p w14:paraId="5150A4B2" w14:textId="60155B92" w:rsidR="004207BC" w:rsidRPr="00C61BD6" w:rsidRDefault="004207BC" w:rsidP="004207BC">
      <w:pPr>
        <w:pStyle w:val="Paragraphedeliste"/>
        <w:tabs>
          <w:tab w:val="left" w:pos="426"/>
        </w:tabs>
        <w:ind w:left="0"/>
        <w:rPr>
          <w:rFonts w:cs="Arial"/>
          <w:color w:val="222222"/>
          <w:szCs w:val="21"/>
        </w:rPr>
      </w:pPr>
      <w:r w:rsidRPr="00C61BD6">
        <w:rPr>
          <w:rFonts w:cs="Arial"/>
          <w:color w:val="222222"/>
          <w:szCs w:val="21"/>
        </w:rPr>
        <w:t>Cette sous-composante financera des réponses d'urgence pour sauvegarder la contribution de contrepartie des petits exploitants agricoles pendant l'adoption des PTechs dans le cadre de la sous- composante 1.1. Elle financera des transferts monétaires d'urgence en cas d'urgence éligible dans le secteur de l'agriculture, définie comme "un événement qui a causé, ou est susceptible de causer de façon imminente, un impact économique et/ou social négatif majeur pour les petits exploitants agricoles dans le cadre de la sous-composante 1.1, associé à des crises ou des catastrophes naturelles ou d'origine humaine". Les transferts monétaires d'urgence permettront de compenser la perte des contributions de contrepartie des petits exploitants agricoles pour l'adoption des PTechs. La valeur de la somme à fournir en transferts monétaires d'urgence par agriculteur sera basée sur leur contribution de contrepartie pour l'adoption de la PTech en cours d'adoption et sera versée sous forme de somme forfaitaire suite à l'occurrence d'un événement couvert, d'une gravité prédéfinie. Cette sous- composante financera également l'achat (primes et frais de courtage) de produits de transfert de risque (c.-à-d., assurance, produits dérivés) afin de démultiplier la capacité de financement des risques de catastrophe pour couvrir l'impact des principaux risques agricoles auxquels sont confrontés les petits exploitants agricoles dans le cadre de la sous-composante 1.1. Les fonds de l'IDA alloués à cette composante (20 millions de dollars US) ont un effet de levier de 1:1 sur les fonds de la Facilité mondiale de financement des risques.</w:t>
      </w:r>
    </w:p>
    <w:p w14:paraId="09E7F52B" w14:textId="77777777" w:rsidR="004207BC" w:rsidRPr="00C61BD6" w:rsidRDefault="004207BC" w:rsidP="001C2F95">
      <w:pPr>
        <w:rPr>
          <w:rFonts w:cs="Arial"/>
          <w:szCs w:val="21"/>
        </w:rPr>
      </w:pPr>
    </w:p>
    <w:p w14:paraId="3194C336" w14:textId="327A32A3" w:rsidR="004207BC" w:rsidRPr="00C61BD6" w:rsidRDefault="004207BC" w:rsidP="004207BC">
      <w:pPr>
        <w:pStyle w:val="Paragraphedeliste"/>
        <w:tabs>
          <w:tab w:val="left" w:pos="426"/>
        </w:tabs>
        <w:ind w:left="0"/>
        <w:rPr>
          <w:rFonts w:cs="Arial"/>
          <w:color w:val="222222"/>
          <w:szCs w:val="21"/>
        </w:rPr>
      </w:pPr>
      <w:r w:rsidRPr="00C61BD6">
        <w:rPr>
          <w:rFonts w:cs="Arial"/>
          <w:color w:val="222222"/>
          <w:szCs w:val="21"/>
        </w:rPr>
        <w:t xml:space="preserve">Dans le cas d'un paiement à partir du (des) produit(s) de transfert de risque à acheter dans le cadre de cette sous-composante, l'argent du paiement sera versé sur un compte spécial désigné et les décaissements à partir de ce </w:t>
      </w:r>
      <w:r w:rsidR="009E1ADF" w:rsidRPr="00C61BD6">
        <w:rPr>
          <w:rFonts w:cs="Arial"/>
          <w:color w:val="222222"/>
          <w:szCs w:val="21"/>
        </w:rPr>
        <w:t>compte spécial désigné</w:t>
      </w:r>
      <w:r w:rsidRPr="00C61BD6">
        <w:rPr>
          <w:rFonts w:cs="Arial"/>
          <w:color w:val="222222"/>
          <w:szCs w:val="21"/>
        </w:rPr>
        <w:t xml:space="preserve"> seront également sous la forme de transferts monétaires d'urgence aux petits exploitants agricoles. La description du mécanisme de financement des risques dans le cadre de cette sous-composante est présentée dans un manuel spécifique (</w:t>
      </w:r>
      <w:r w:rsidR="00B317ED" w:rsidRPr="00C61BD6">
        <w:rPr>
          <w:rFonts w:cs="Arial"/>
          <w:color w:val="222222"/>
          <w:szCs w:val="21"/>
        </w:rPr>
        <w:t>Manuel d’opération pour les urgences agricoles</w:t>
      </w:r>
      <w:r w:rsidRPr="00C61BD6">
        <w:rPr>
          <w:rFonts w:cs="Arial"/>
          <w:color w:val="222222"/>
          <w:szCs w:val="21"/>
        </w:rPr>
        <w:t xml:space="preserve">), qui est une annexe du </w:t>
      </w:r>
      <w:r w:rsidR="00B317ED" w:rsidRPr="00C61BD6">
        <w:rPr>
          <w:rFonts w:cs="Arial"/>
          <w:color w:val="222222"/>
          <w:szCs w:val="21"/>
        </w:rPr>
        <w:t>Manuel de mise en œuvre du projet</w:t>
      </w:r>
      <w:r w:rsidRPr="00C61BD6">
        <w:rPr>
          <w:rFonts w:cs="Arial"/>
          <w:color w:val="222222"/>
          <w:szCs w:val="21"/>
        </w:rPr>
        <w:t>.</w:t>
      </w:r>
    </w:p>
    <w:p w14:paraId="4A0ADBC8" w14:textId="77777777" w:rsidR="004207BC" w:rsidRPr="00C61BD6" w:rsidRDefault="004207BC" w:rsidP="001C2F95">
      <w:pPr>
        <w:rPr>
          <w:rFonts w:cs="Arial"/>
          <w:szCs w:val="21"/>
        </w:rPr>
      </w:pPr>
    </w:p>
    <w:p w14:paraId="7D0F8D97" w14:textId="2040E4EF" w:rsidR="001C2F95" w:rsidRPr="00C61BD6" w:rsidRDefault="001C2F95" w:rsidP="002378EA">
      <w:pPr>
        <w:pStyle w:val="Paragraphedeliste"/>
        <w:numPr>
          <w:ilvl w:val="0"/>
          <w:numId w:val="42"/>
        </w:numPr>
        <w:tabs>
          <w:tab w:val="left" w:pos="426"/>
        </w:tabs>
        <w:rPr>
          <w:rFonts w:cs="Arial"/>
          <w:i/>
          <w:color w:val="222222"/>
          <w:szCs w:val="21"/>
        </w:rPr>
      </w:pPr>
      <w:r w:rsidRPr="00C61BD6">
        <w:rPr>
          <w:rFonts w:cs="Arial"/>
          <w:i/>
          <w:color w:val="222222"/>
          <w:szCs w:val="21"/>
        </w:rPr>
        <w:t xml:space="preserve">Composante 2 : Accès au marché des petits exploitants </w:t>
      </w:r>
      <w:r w:rsidR="00F32DE7" w:rsidRPr="00C61BD6">
        <w:rPr>
          <w:color w:val="000000"/>
          <w:szCs w:val="21"/>
        </w:rPr>
        <w:t>(estimation : 150 millions </w:t>
      </w:r>
      <w:r w:rsidR="004207BC" w:rsidRPr="00C61BD6">
        <w:rPr>
          <w:color w:val="000000"/>
          <w:szCs w:val="21"/>
        </w:rPr>
        <w:t xml:space="preserve">de dollars </w:t>
      </w:r>
      <w:r w:rsidR="00F32DE7" w:rsidRPr="00C61BD6">
        <w:rPr>
          <w:color w:val="000000"/>
          <w:szCs w:val="21"/>
        </w:rPr>
        <w:t>US)</w:t>
      </w:r>
    </w:p>
    <w:p w14:paraId="58B7D8EF" w14:textId="77777777" w:rsidR="001C2F95" w:rsidRPr="00C61BD6" w:rsidRDefault="001C2F95" w:rsidP="001C2F95">
      <w:pPr>
        <w:rPr>
          <w:rFonts w:cs="Arial"/>
          <w:szCs w:val="21"/>
        </w:rPr>
      </w:pPr>
      <w:r w:rsidRPr="00C61BD6">
        <w:rPr>
          <w:rFonts w:cs="Arial"/>
          <w:szCs w:val="21"/>
        </w:rPr>
        <w:t xml:space="preserve"> </w:t>
      </w:r>
    </w:p>
    <w:p w14:paraId="200A2510" w14:textId="3131763C" w:rsidR="00F32DE7" w:rsidRDefault="001C2F95" w:rsidP="001C2F95">
      <w:pPr>
        <w:rPr>
          <w:rFonts w:cs="Arial"/>
          <w:szCs w:val="21"/>
        </w:rPr>
      </w:pPr>
      <w:r w:rsidRPr="00C61BD6">
        <w:rPr>
          <w:rFonts w:cs="Arial"/>
          <w:szCs w:val="21"/>
        </w:rPr>
        <w:t xml:space="preserve">Cette composante </w:t>
      </w:r>
      <w:r w:rsidR="004207BC" w:rsidRPr="00C61BD6">
        <w:rPr>
          <w:rFonts w:cs="Arial"/>
          <w:szCs w:val="21"/>
        </w:rPr>
        <w:t xml:space="preserve">soutiendra </w:t>
      </w:r>
      <w:r w:rsidRPr="00C61BD6">
        <w:rPr>
          <w:rFonts w:cs="Arial"/>
          <w:szCs w:val="21"/>
        </w:rPr>
        <w:t xml:space="preserve">la réduction des coûts de transaction pour les petits exploitants agricoles pour accéder aux marchés, ainsi que leur inclusion dans les groupes d’agriculteurs (coopératives/associations) et les agro-MPME. Les interventions soutenues dans cette composante seront également bénéfiques pour </w:t>
      </w:r>
      <w:r w:rsidR="004207BC" w:rsidRPr="00C61BD6">
        <w:rPr>
          <w:rFonts w:cs="Arial"/>
          <w:szCs w:val="21"/>
        </w:rPr>
        <w:t xml:space="preserve">renforcer la résilience climatique des communautés et soutenir </w:t>
      </w:r>
      <w:r w:rsidRPr="00C61BD6">
        <w:rPr>
          <w:rFonts w:cs="Arial"/>
          <w:szCs w:val="21"/>
        </w:rPr>
        <w:t>l’ad</w:t>
      </w:r>
      <w:r w:rsidR="004207BC" w:rsidRPr="00C61BD6">
        <w:rPr>
          <w:rFonts w:cs="Arial"/>
          <w:szCs w:val="21"/>
        </w:rPr>
        <w:t>o</w:t>
      </w:r>
      <w:r w:rsidRPr="00C61BD6">
        <w:rPr>
          <w:rFonts w:cs="Arial"/>
          <w:szCs w:val="21"/>
        </w:rPr>
        <w:t>ption</w:t>
      </w:r>
      <w:r w:rsidR="004207BC" w:rsidRPr="00C61BD6">
        <w:rPr>
          <w:rFonts w:cs="Arial"/>
          <w:szCs w:val="21"/>
        </w:rPr>
        <w:t xml:space="preserve"> des techniques et pratiques CSA et NSmartAq</w:t>
      </w:r>
      <w:r w:rsidRPr="00C61BD6">
        <w:rPr>
          <w:rFonts w:cs="Arial"/>
          <w:szCs w:val="21"/>
        </w:rPr>
        <w:t xml:space="preserve">. La composante se concentrera sur les deux domaines suivants : </w:t>
      </w:r>
    </w:p>
    <w:p w14:paraId="1CAEBB7C" w14:textId="77777777" w:rsidR="00AD2C4C" w:rsidRPr="00C61BD6" w:rsidRDefault="00AD2C4C" w:rsidP="001C2F95">
      <w:pPr>
        <w:rPr>
          <w:rFonts w:cs="Arial"/>
          <w:szCs w:val="21"/>
        </w:rPr>
      </w:pPr>
    </w:p>
    <w:p w14:paraId="710482D9" w14:textId="31B32F63" w:rsidR="001C2F95" w:rsidRPr="00C61BD6" w:rsidRDefault="001C2F95" w:rsidP="002378EA">
      <w:pPr>
        <w:pStyle w:val="Paragraphedeliste"/>
        <w:numPr>
          <w:ilvl w:val="0"/>
          <w:numId w:val="33"/>
        </w:numPr>
        <w:rPr>
          <w:rFonts w:cs="Arial"/>
          <w:i/>
          <w:szCs w:val="21"/>
        </w:rPr>
      </w:pPr>
      <w:r w:rsidRPr="00C61BD6">
        <w:rPr>
          <w:rFonts w:cs="Arial"/>
          <w:i/>
          <w:szCs w:val="21"/>
        </w:rPr>
        <w:t xml:space="preserve">Sous-composante 2.1 : Infrastructures </w:t>
      </w:r>
      <w:r w:rsidR="004207BC" w:rsidRPr="00C61BD6">
        <w:rPr>
          <w:rFonts w:cs="Arial"/>
          <w:i/>
          <w:szCs w:val="21"/>
        </w:rPr>
        <w:t xml:space="preserve">de transport </w:t>
      </w:r>
      <w:r w:rsidRPr="00C61BD6">
        <w:rPr>
          <w:rFonts w:cs="Arial"/>
          <w:i/>
          <w:szCs w:val="21"/>
        </w:rPr>
        <w:t xml:space="preserve">rural </w:t>
      </w:r>
      <w:r w:rsidR="00744484" w:rsidRPr="00C61BD6">
        <w:rPr>
          <w:i/>
          <w:color w:val="000000"/>
          <w:szCs w:val="21"/>
        </w:rPr>
        <w:t>(110 millions </w:t>
      </w:r>
      <w:r w:rsidR="004207BC" w:rsidRPr="00C61BD6">
        <w:rPr>
          <w:i/>
          <w:color w:val="000000"/>
          <w:szCs w:val="21"/>
        </w:rPr>
        <w:t xml:space="preserve">de dollars </w:t>
      </w:r>
      <w:r w:rsidR="00744484" w:rsidRPr="00C61BD6">
        <w:rPr>
          <w:i/>
          <w:color w:val="000000"/>
          <w:szCs w:val="21"/>
        </w:rPr>
        <w:t>US</w:t>
      </w:r>
      <w:r w:rsidR="00744484" w:rsidRPr="00C61BD6">
        <w:rPr>
          <w:color w:val="000000"/>
          <w:szCs w:val="21"/>
        </w:rPr>
        <w:t>).</w:t>
      </w:r>
    </w:p>
    <w:p w14:paraId="551CBF68" w14:textId="77777777" w:rsidR="001C2F95" w:rsidRPr="00C61BD6" w:rsidRDefault="001C2F95" w:rsidP="001C2F95">
      <w:pPr>
        <w:rPr>
          <w:rFonts w:cs="Arial"/>
          <w:szCs w:val="21"/>
        </w:rPr>
      </w:pPr>
    </w:p>
    <w:p w14:paraId="63D01C32" w14:textId="77777777" w:rsidR="00FB62E1" w:rsidRPr="00C61BD6" w:rsidRDefault="00FB62E1" w:rsidP="00FB62E1">
      <w:pPr>
        <w:rPr>
          <w:rFonts w:cs="Arial"/>
          <w:szCs w:val="21"/>
        </w:rPr>
      </w:pPr>
      <w:r w:rsidRPr="00C61BD6">
        <w:rPr>
          <w:rFonts w:cs="Arial"/>
          <w:szCs w:val="21"/>
        </w:rPr>
        <w:t>La sous-composante financera la réhabilitation et l'entretien de 4 000 km de voies de desserte agricoles non revêtues et de petites rampes fluviales, ainsi que l'assistance technique à l'Office des Voies de Desserte Agricole (OVDA). Le projet proposé se concentrera principalement sur l'amélioration des routes rurales prioritaires et des couloirs de transport (y compris les mesures de sécurité des rivières et les rampes d'accès aux rivières9) comme la clé pour débloquer la production agricole des petits exploitants et le potentiel commercial dans la zone du projet. Le projet utilisera la méthode d'amélioration ponctuelle10 lorsque cela sera approprié. Les travaux de génie civil prévus comprendront la construction ou la reconstruction de ponceaux, de structures de drainage et de petits ponts afin de (a) empêcher la fermeture des routes pendant la saison des pluies ; (b) améliorer l'accessibilité par tous les temps ; et (c) renforcer la résilience des infrastructures de transport rural au changement climatique. La sous-composante investira dans de petites rampes fluviales pour faciliter le chargement et le déchargement des passagers et des marchandises transportés par des canoës motorisés ou non motorisés.</w:t>
      </w:r>
    </w:p>
    <w:p w14:paraId="77BB1F97" w14:textId="77777777" w:rsidR="00FB62E1" w:rsidRPr="00C61BD6" w:rsidRDefault="00FB62E1" w:rsidP="00FB62E1">
      <w:pPr>
        <w:rPr>
          <w:rFonts w:cs="Arial"/>
          <w:szCs w:val="21"/>
        </w:rPr>
      </w:pPr>
    </w:p>
    <w:p w14:paraId="60B7CC61" w14:textId="251C0D7D" w:rsidR="00FB62E1" w:rsidRPr="00C61BD6" w:rsidRDefault="00FB62E1" w:rsidP="00FB62E1">
      <w:pPr>
        <w:rPr>
          <w:rFonts w:cs="Arial"/>
          <w:szCs w:val="21"/>
        </w:rPr>
      </w:pPr>
      <w:r w:rsidRPr="00C61BD6">
        <w:rPr>
          <w:rFonts w:cs="Arial"/>
          <w:szCs w:val="21"/>
        </w:rPr>
        <w:t>Les routes et les postes de mise à l'eau des petites rivières seront identifiés sur la base des critères suivants : (a) connexion des zones de production agricole où le soutien aux petits exploitants (Sous- composante 1.1) est fourni aux routes principales, chemins de fer et/ou voies navigables opérationnelles qui sont praticables (sûres et utilisables toute l'année) et aux principaux marchés alimentaires (population relativement dense) ; et (b) opportunités commerciales et synergies avec les investissements en cours ou futurs du secteur agricole dans la zone du Projet et d'autres interventions en matière d'infrastructures de transport et/ou de connectivité. En plus de ces critères, des consultations avec diverses parties prenantes dans chaque province (y compris les autorités locales, les organisations du secteur priv</w:t>
      </w:r>
      <w:r w:rsidR="009E1ADF" w:rsidRPr="00C61BD6">
        <w:rPr>
          <w:rFonts w:cs="Arial"/>
          <w:szCs w:val="21"/>
        </w:rPr>
        <w:t>é telles que la Fédération des E</w:t>
      </w:r>
      <w:r w:rsidRPr="00C61BD6">
        <w:rPr>
          <w:rFonts w:cs="Arial"/>
          <w:szCs w:val="21"/>
        </w:rPr>
        <w:t>ntreprises du Congo (FEC), les représentants des organisations de petits exploitants agricoles et la société civile), et les considérations techniques, environnementales et sociales (identifiées dans des études spécifiques qui seront menées pendant la préparation du projet) éclaireront la sélection des infrastructures de transport à réhabiliter. La mise en œuvre de cette sous-composante sera déléguée à une ou plusieurs agences externes (maîtrise d'ouvrage déléguée) ayant une expérience de la mise en œuvre de projets similaires dans des zones fragiles et affectées par des conflits.</w:t>
      </w:r>
    </w:p>
    <w:p w14:paraId="334961B6" w14:textId="77777777" w:rsidR="00AD2C4C" w:rsidRPr="00C61BD6" w:rsidRDefault="00AD2C4C" w:rsidP="001C2F95">
      <w:pPr>
        <w:rPr>
          <w:rFonts w:cs="Arial"/>
          <w:szCs w:val="21"/>
        </w:rPr>
      </w:pPr>
    </w:p>
    <w:p w14:paraId="65E48FCA" w14:textId="178126EF" w:rsidR="001C2F95" w:rsidRPr="00C61BD6" w:rsidRDefault="001C2F95" w:rsidP="002378EA">
      <w:pPr>
        <w:pStyle w:val="Paragraphedeliste"/>
        <w:numPr>
          <w:ilvl w:val="0"/>
          <w:numId w:val="33"/>
        </w:numPr>
        <w:rPr>
          <w:rFonts w:cs="Arial"/>
          <w:i/>
          <w:szCs w:val="21"/>
        </w:rPr>
      </w:pPr>
      <w:r w:rsidRPr="00C61BD6">
        <w:rPr>
          <w:rFonts w:cs="Arial"/>
          <w:i/>
          <w:szCs w:val="21"/>
        </w:rPr>
        <w:t xml:space="preserve">Sous-composante 2.2 : Soutien à l’inclusion des petits exploitants </w:t>
      </w:r>
      <w:r w:rsidR="00FB62E1" w:rsidRPr="00C61BD6">
        <w:rPr>
          <w:rFonts w:cs="Arial"/>
          <w:i/>
          <w:szCs w:val="21"/>
        </w:rPr>
        <w:t xml:space="preserve">agricoles </w:t>
      </w:r>
      <w:r w:rsidRPr="00C61BD6">
        <w:rPr>
          <w:rFonts w:cs="Arial"/>
          <w:i/>
          <w:szCs w:val="21"/>
        </w:rPr>
        <w:t xml:space="preserve">dans les chaînes de valeur </w:t>
      </w:r>
      <w:r w:rsidR="00744484" w:rsidRPr="00C61BD6">
        <w:rPr>
          <w:i/>
          <w:color w:val="000000"/>
          <w:szCs w:val="21"/>
        </w:rPr>
        <w:t>(40 millions </w:t>
      </w:r>
      <w:r w:rsidR="00FB62E1" w:rsidRPr="00C61BD6">
        <w:rPr>
          <w:i/>
          <w:color w:val="000000"/>
          <w:szCs w:val="21"/>
        </w:rPr>
        <w:t xml:space="preserve">de dollars </w:t>
      </w:r>
      <w:r w:rsidR="00744484" w:rsidRPr="00C61BD6">
        <w:rPr>
          <w:i/>
          <w:color w:val="000000"/>
          <w:szCs w:val="21"/>
        </w:rPr>
        <w:t>US).</w:t>
      </w:r>
    </w:p>
    <w:p w14:paraId="0C6D18E5" w14:textId="77777777" w:rsidR="001C2F95" w:rsidRPr="00C61BD6" w:rsidRDefault="001C2F95" w:rsidP="001C2F95">
      <w:pPr>
        <w:rPr>
          <w:rFonts w:cs="Arial"/>
          <w:szCs w:val="21"/>
        </w:rPr>
      </w:pPr>
    </w:p>
    <w:p w14:paraId="31018082" w14:textId="77777777" w:rsidR="00B317ED" w:rsidRPr="00C61BD6" w:rsidRDefault="00FB62E1" w:rsidP="00FB62E1">
      <w:pPr>
        <w:pStyle w:val="Corpsdetexte"/>
        <w:spacing w:line="259" w:lineRule="auto"/>
        <w:ind w:right="-46"/>
        <w:rPr>
          <w:rFonts w:eastAsia="Times New Roman" w:cs="Arial"/>
          <w:sz w:val="21"/>
          <w:szCs w:val="21"/>
        </w:rPr>
      </w:pPr>
      <w:r w:rsidRPr="00C61BD6">
        <w:rPr>
          <w:rFonts w:eastAsia="Times New Roman" w:cs="Arial"/>
          <w:sz w:val="21"/>
          <w:szCs w:val="21"/>
        </w:rPr>
        <w:t>Cette sous-composante financera (a) le déploiement de la ligne de crédit et (b) l'assistance technique pour renforcer les capacités des organisations du secteur privé fournissant des intrants agricoles dans les zones ciblées par la composante 1. Les subventions pour l'adoption des PTechs par les petits exploitants agricoles dans le cadre de la sous-composante 1.1 créent d'importantes opportunités de marché pour les PME-PMI grâce à la génération de la demande des petits exploitants agricoles et à la fourniture d'informations fiables concernant la nature de cette demande (type d'intrants et de services intégrés dans les PTechs). L'objectif de cette sous-composante est de fournir un financement et une assistance technique aux PME-PMI afin d'accroître leur capacité et l'échelle de leurs opérations dans les zones cibles pour répondre à la demande de PTechs par les petits exploitants agricoles de la sous- composante 1.1. Les bénéficiaires de cette sous-composante comprendront les PME agricoles existantes (PME agricoles locales, ONG, groupes d'agriculteurs, coopératives et autres organisations) ayant de bonnes performances mais incapables de répondre à l'ampleur de la demande de PTechs dans les provinces ciblées. Cette sous-composante sera mise en œuvre en collaboration avec la SFI afin d'identifier les opportunités pour les investisseurs privés et les entreprises qui facilitent l'accès aux marchés avant et après récolte pour les petits exploitants agricoles :</w:t>
      </w:r>
      <w:r w:rsidR="00B317ED" w:rsidRPr="00C61BD6">
        <w:rPr>
          <w:rFonts w:eastAsia="Times New Roman" w:cs="Arial"/>
          <w:sz w:val="21"/>
          <w:szCs w:val="21"/>
        </w:rPr>
        <w:t xml:space="preserve"> </w:t>
      </w:r>
    </w:p>
    <w:p w14:paraId="02AE867B" w14:textId="77777777" w:rsidR="00B317ED" w:rsidRPr="00C61BD6" w:rsidRDefault="00B317ED" w:rsidP="00FB62E1">
      <w:pPr>
        <w:pStyle w:val="Corpsdetexte"/>
        <w:spacing w:line="259" w:lineRule="auto"/>
        <w:ind w:right="-46"/>
        <w:rPr>
          <w:rFonts w:eastAsia="Times New Roman" w:cs="Arial"/>
          <w:sz w:val="21"/>
          <w:szCs w:val="21"/>
        </w:rPr>
      </w:pPr>
    </w:p>
    <w:p w14:paraId="3BBD2F71" w14:textId="03B0F792" w:rsidR="00FB62E1" w:rsidRPr="00C61BD6" w:rsidRDefault="00FB62E1" w:rsidP="00AD2C4C">
      <w:pPr>
        <w:pStyle w:val="Corpsdetexte"/>
        <w:numPr>
          <w:ilvl w:val="0"/>
          <w:numId w:val="191"/>
        </w:numPr>
        <w:spacing w:line="259" w:lineRule="auto"/>
        <w:ind w:left="709" w:right="-46" w:hanging="436"/>
        <w:rPr>
          <w:rFonts w:eastAsia="Times New Roman" w:cs="Arial"/>
          <w:sz w:val="21"/>
          <w:szCs w:val="21"/>
        </w:rPr>
      </w:pPr>
      <w:r w:rsidRPr="00C61BD6">
        <w:rPr>
          <w:rFonts w:eastAsia="Times New Roman" w:cs="Arial"/>
          <w:sz w:val="21"/>
          <w:szCs w:val="21"/>
        </w:rPr>
        <w:t>La ligne de crédit dédiée sera canalisée vers les institutions financières participantes, pour être rétrocédée aux PME agricoles éligibles, via le guichet de refi</w:t>
      </w:r>
      <w:r w:rsidR="00B317ED" w:rsidRPr="00C61BD6">
        <w:rPr>
          <w:rFonts w:eastAsia="Times New Roman" w:cs="Arial"/>
          <w:sz w:val="21"/>
          <w:szCs w:val="21"/>
        </w:rPr>
        <w:t>nancement des PME de la Banque C</w:t>
      </w:r>
      <w:r w:rsidRPr="00C61BD6">
        <w:rPr>
          <w:rFonts w:eastAsia="Times New Roman" w:cs="Arial"/>
          <w:sz w:val="21"/>
          <w:szCs w:val="21"/>
        </w:rPr>
        <w:t>entrale du Congo (BCC) mis en place avec l'aide de la Banque mondiale par le biais du projet d'infrastructure et de marchés financiers (P145554). La ligne de crédit commencera par un déploiement initial de 7 millions de dollars US et pourrait être étendue si la demande est forte. Les initiatives potentielles de la SFI, notamment les systèmes de crédit-bail et le programme de garantie des petits prêts, pourraient fournir des sources de financement supplémentaires.</w:t>
      </w:r>
    </w:p>
    <w:p w14:paraId="2C088771" w14:textId="77777777" w:rsidR="00FB62E1" w:rsidRPr="00C61BD6" w:rsidRDefault="00FB62E1" w:rsidP="00FB62E1">
      <w:pPr>
        <w:pStyle w:val="Corpsdetexte"/>
        <w:spacing w:line="259" w:lineRule="auto"/>
        <w:ind w:right="-46"/>
        <w:rPr>
          <w:rFonts w:eastAsia="Times New Roman" w:cs="Arial"/>
          <w:sz w:val="21"/>
          <w:szCs w:val="21"/>
        </w:rPr>
      </w:pPr>
    </w:p>
    <w:p w14:paraId="63D1D61E" w14:textId="6EB30416" w:rsidR="00FB62E1" w:rsidRPr="00C61BD6" w:rsidRDefault="00FB62E1" w:rsidP="00C61BD6">
      <w:pPr>
        <w:pStyle w:val="Corpsdetexte"/>
        <w:numPr>
          <w:ilvl w:val="0"/>
          <w:numId w:val="191"/>
        </w:numPr>
        <w:spacing w:line="259" w:lineRule="auto"/>
        <w:ind w:right="-46"/>
        <w:rPr>
          <w:rFonts w:eastAsia="Times New Roman" w:cs="Arial"/>
          <w:sz w:val="21"/>
          <w:szCs w:val="21"/>
        </w:rPr>
      </w:pPr>
      <w:r w:rsidRPr="00C61BD6">
        <w:rPr>
          <w:rFonts w:eastAsia="Times New Roman" w:cs="Arial"/>
          <w:sz w:val="21"/>
          <w:szCs w:val="21"/>
        </w:rPr>
        <w:t>Fournir une assistance technique aux agri-PME éligibles par le biais de bons pour renforcer leurs capacités et développer des propositions techniques et financières (plans d'affaires) pour répondre à la nouvelle demande de PTechs et de marchés de produits agricoles créés à la suite de la sous- composante 1.1. Les bons financeront des services de dév</w:t>
      </w:r>
      <w:r w:rsidR="00B317ED" w:rsidRPr="00C61BD6">
        <w:rPr>
          <w:rFonts w:eastAsia="Times New Roman" w:cs="Arial"/>
          <w:sz w:val="21"/>
          <w:szCs w:val="21"/>
        </w:rPr>
        <w:t>eloppement des entreprises</w:t>
      </w:r>
      <w:r w:rsidRPr="00C61BD6">
        <w:rPr>
          <w:rFonts w:eastAsia="Times New Roman" w:cs="Arial"/>
          <w:sz w:val="21"/>
          <w:szCs w:val="21"/>
        </w:rPr>
        <w:t xml:space="preserve"> avec uniquement des fournisseurs de BDS préqualifiés pour renforcer la capacité des agri-PME à s'engager avec les petits exploitants agricoles dans des sessions de formation et d'information sur l'adoption et l'utilisation appropriées des différents matériaux et pratiques, servant de facto d'outil de promotion.</w:t>
      </w:r>
    </w:p>
    <w:p w14:paraId="48944B92" w14:textId="77777777" w:rsidR="00FB62E1" w:rsidRPr="00C61BD6" w:rsidRDefault="00FB62E1" w:rsidP="001C2F95">
      <w:pPr>
        <w:rPr>
          <w:rFonts w:cs="Arial"/>
          <w:szCs w:val="21"/>
        </w:rPr>
      </w:pPr>
    </w:p>
    <w:p w14:paraId="7658B728" w14:textId="259BF713" w:rsidR="00FB62E1" w:rsidRPr="00C61BD6" w:rsidRDefault="00FB62E1" w:rsidP="001C2F95">
      <w:pPr>
        <w:rPr>
          <w:szCs w:val="21"/>
        </w:rPr>
      </w:pPr>
      <w:r w:rsidRPr="00C61BD6">
        <w:rPr>
          <w:szCs w:val="21"/>
        </w:rPr>
        <w:t>Cette sous-composante soutiendra également la collaboration entre le secteur public et le secteur privé pour le développement du secteur agricole et appuiera le développement des marchés des services</w:t>
      </w:r>
      <w:r w:rsidRPr="00C61BD6">
        <w:rPr>
          <w:spacing w:val="-9"/>
          <w:szCs w:val="21"/>
        </w:rPr>
        <w:t xml:space="preserve"> </w:t>
      </w:r>
      <w:r w:rsidRPr="00C61BD6">
        <w:rPr>
          <w:szCs w:val="21"/>
        </w:rPr>
        <w:t>de</w:t>
      </w:r>
      <w:r w:rsidRPr="00C61BD6">
        <w:rPr>
          <w:spacing w:val="-6"/>
          <w:szCs w:val="21"/>
        </w:rPr>
        <w:t xml:space="preserve"> </w:t>
      </w:r>
      <w:r w:rsidRPr="00C61BD6">
        <w:rPr>
          <w:szCs w:val="21"/>
        </w:rPr>
        <w:t>développement</w:t>
      </w:r>
      <w:r w:rsidRPr="00C61BD6">
        <w:rPr>
          <w:spacing w:val="-8"/>
          <w:szCs w:val="21"/>
        </w:rPr>
        <w:t xml:space="preserve"> </w:t>
      </w:r>
      <w:r w:rsidRPr="00C61BD6">
        <w:rPr>
          <w:szCs w:val="21"/>
        </w:rPr>
        <w:t>des</w:t>
      </w:r>
      <w:r w:rsidRPr="00C61BD6">
        <w:rPr>
          <w:spacing w:val="-8"/>
          <w:szCs w:val="21"/>
        </w:rPr>
        <w:t xml:space="preserve"> </w:t>
      </w:r>
      <w:r w:rsidRPr="00C61BD6">
        <w:rPr>
          <w:szCs w:val="21"/>
        </w:rPr>
        <w:t>entreprise</w:t>
      </w:r>
      <w:r w:rsidR="00B317ED" w:rsidRPr="00C61BD6">
        <w:rPr>
          <w:szCs w:val="21"/>
        </w:rPr>
        <w:t>s</w:t>
      </w:r>
      <w:r w:rsidRPr="00C61BD6">
        <w:rPr>
          <w:szCs w:val="21"/>
        </w:rPr>
        <w:t>.</w:t>
      </w:r>
      <w:r w:rsidRPr="00C61BD6">
        <w:rPr>
          <w:spacing w:val="-10"/>
          <w:szCs w:val="21"/>
        </w:rPr>
        <w:t xml:space="preserve"> </w:t>
      </w:r>
      <w:r w:rsidRPr="00C61BD6">
        <w:rPr>
          <w:szCs w:val="21"/>
        </w:rPr>
        <w:t>La</w:t>
      </w:r>
      <w:r w:rsidRPr="00C61BD6">
        <w:rPr>
          <w:spacing w:val="-9"/>
          <w:szCs w:val="21"/>
        </w:rPr>
        <w:t xml:space="preserve"> </w:t>
      </w:r>
      <w:r w:rsidRPr="00C61BD6">
        <w:rPr>
          <w:szCs w:val="21"/>
        </w:rPr>
        <w:t>collaboration</w:t>
      </w:r>
      <w:r w:rsidRPr="00C61BD6">
        <w:rPr>
          <w:spacing w:val="-10"/>
          <w:szCs w:val="21"/>
        </w:rPr>
        <w:t xml:space="preserve"> </w:t>
      </w:r>
      <w:r w:rsidRPr="00C61BD6">
        <w:rPr>
          <w:szCs w:val="21"/>
        </w:rPr>
        <w:t>entre</w:t>
      </w:r>
      <w:r w:rsidRPr="00C61BD6">
        <w:rPr>
          <w:spacing w:val="-6"/>
          <w:szCs w:val="21"/>
        </w:rPr>
        <w:t xml:space="preserve"> </w:t>
      </w:r>
      <w:r w:rsidRPr="00C61BD6">
        <w:rPr>
          <w:szCs w:val="21"/>
        </w:rPr>
        <w:t>le</w:t>
      </w:r>
      <w:r w:rsidRPr="00C61BD6">
        <w:rPr>
          <w:spacing w:val="-6"/>
          <w:szCs w:val="21"/>
        </w:rPr>
        <w:t xml:space="preserve"> </w:t>
      </w:r>
      <w:r w:rsidRPr="00C61BD6">
        <w:rPr>
          <w:szCs w:val="21"/>
        </w:rPr>
        <w:t>secteur</w:t>
      </w:r>
      <w:r w:rsidRPr="00C61BD6">
        <w:rPr>
          <w:spacing w:val="-7"/>
          <w:szCs w:val="21"/>
        </w:rPr>
        <w:t xml:space="preserve"> </w:t>
      </w:r>
      <w:r w:rsidRPr="00C61BD6">
        <w:rPr>
          <w:szCs w:val="21"/>
        </w:rPr>
        <w:t>public</w:t>
      </w:r>
      <w:r w:rsidRPr="00C61BD6">
        <w:rPr>
          <w:spacing w:val="-7"/>
          <w:szCs w:val="21"/>
        </w:rPr>
        <w:t xml:space="preserve"> </w:t>
      </w:r>
      <w:r w:rsidRPr="00C61BD6">
        <w:rPr>
          <w:szCs w:val="21"/>
        </w:rPr>
        <w:t>et</w:t>
      </w:r>
      <w:r w:rsidRPr="00C61BD6">
        <w:rPr>
          <w:spacing w:val="-6"/>
          <w:szCs w:val="21"/>
        </w:rPr>
        <w:t xml:space="preserve"> </w:t>
      </w:r>
      <w:r w:rsidRPr="00C61BD6">
        <w:rPr>
          <w:szCs w:val="21"/>
        </w:rPr>
        <w:t>le</w:t>
      </w:r>
      <w:r w:rsidRPr="00C61BD6">
        <w:rPr>
          <w:spacing w:val="-8"/>
          <w:szCs w:val="21"/>
        </w:rPr>
        <w:t xml:space="preserve"> </w:t>
      </w:r>
      <w:r w:rsidRPr="00C61BD6">
        <w:rPr>
          <w:szCs w:val="21"/>
        </w:rPr>
        <w:t>secteur privé sera renforcée par l'amélioration de la qualité et de la transparence de l'information, y compris l'information du marché sur la demande de PTechs, et les données sur les chaînes de valeur de l'agrobusiness, le travail analytique, et les améliorations du cadre des marchés publics. Le projet financera</w:t>
      </w:r>
      <w:r w:rsidRPr="00C61BD6">
        <w:rPr>
          <w:spacing w:val="-6"/>
          <w:szCs w:val="21"/>
        </w:rPr>
        <w:t xml:space="preserve"> </w:t>
      </w:r>
      <w:r w:rsidRPr="00C61BD6">
        <w:rPr>
          <w:szCs w:val="21"/>
        </w:rPr>
        <w:t>également</w:t>
      </w:r>
      <w:r w:rsidRPr="00C61BD6">
        <w:rPr>
          <w:spacing w:val="-6"/>
          <w:szCs w:val="21"/>
        </w:rPr>
        <w:t xml:space="preserve"> </w:t>
      </w:r>
      <w:r w:rsidRPr="00C61BD6">
        <w:rPr>
          <w:szCs w:val="21"/>
        </w:rPr>
        <w:t>la</w:t>
      </w:r>
      <w:r w:rsidRPr="00C61BD6">
        <w:rPr>
          <w:spacing w:val="-6"/>
          <w:szCs w:val="21"/>
        </w:rPr>
        <w:t xml:space="preserve"> </w:t>
      </w:r>
      <w:r w:rsidRPr="00C61BD6">
        <w:rPr>
          <w:szCs w:val="21"/>
        </w:rPr>
        <w:t>formation</w:t>
      </w:r>
      <w:r w:rsidRPr="00C61BD6">
        <w:rPr>
          <w:spacing w:val="-7"/>
          <w:szCs w:val="21"/>
        </w:rPr>
        <w:t xml:space="preserve"> </w:t>
      </w:r>
      <w:r w:rsidRPr="00C61BD6">
        <w:rPr>
          <w:szCs w:val="21"/>
        </w:rPr>
        <w:t>et</w:t>
      </w:r>
      <w:r w:rsidRPr="00C61BD6">
        <w:rPr>
          <w:spacing w:val="-6"/>
          <w:szCs w:val="21"/>
        </w:rPr>
        <w:t xml:space="preserve"> </w:t>
      </w:r>
      <w:r w:rsidRPr="00C61BD6">
        <w:rPr>
          <w:szCs w:val="21"/>
        </w:rPr>
        <w:t>l'assistance</w:t>
      </w:r>
      <w:r w:rsidRPr="00C61BD6">
        <w:rPr>
          <w:spacing w:val="-8"/>
          <w:szCs w:val="21"/>
        </w:rPr>
        <w:t xml:space="preserve"> </w:t>
      </w:r>
      <w:r w:rsidRPr="00C61BD6">
        <w:rPr>
          <w:szCs w:val="21"/>
        </w:rPr>
        <w:t>technique</w:t>
      </w:r>
      <w:r w:rsidRPr="00C61BD6">
        <w:rPr>
          <w:spacing w:val="-6"/>
          <w:szCs w:val="21"/>
        </w:rPr>
        <w:t xml:space="preserve"> </w:t>
      </w:r>
      <w:r w:rsidRPr="00C61BD6">
        <w:rPr>
          <w:szCs w:val="21"/>
        </w:rPr>
        <w:t>aux</w:t>
      </w:r>
      <w:r w:rsidRPr="00C61BD6">
        <w:rPr>
          <w:spacing w:val="-5"/>
          <w:szCs w:val="21"/>
        </w:rPr>
        <w:t xml:space="preserve"> </w:t>
      </w:r>
      <w:r w:rsidRPr="00C61BD6">
        <w:rPr>
          <w:szCs w:val="21"/>
        </w:rPr>
        <w:t>fournisseurs</w:t>
      </w:r>
      <w:r w:rsidRPr="00C61BD6">
        <w:rPr>
          <w:spacing w:val="-7"/>
          <w:szCs w:val="21"/>
        </w:rPr>
        <w:t xml:space="preserve"> </w:t>
      </w:r>
      <w:r w:rsidRPr="00C61BD6">
        <w:rPr>
          <w:szCs w:val="21"/>
        </w:rPr>
        <w:t>privés</w:t>
      </w:r>
      <w:r w:rsidRPr="00C61BD6">
        <w:rPr>
          <w:spacing w:val="-5"/>
          <w:szCs w:val="21"/>
        </w:rPr>
        <w:t xml:space="preserve"> </w:t>
      </w:r>
      <w:r w:rsidRPr="00C61BD6">
        <w:rPr>
          <w:szCs w:val="21"/>
        </w:rPr>
        <w:t>de</w:t>
      </w:r>
      <w:r w:rsidRPr="00C61BD6">
        <w:rPr>
          <w:spacing w:val="-6"/>
          <w:szCs w:val="21"/>
        </w:rPr>
        <w:t xml:space="preserve"> </w:t>
      </w:r>
      <w:r w:rsidR="00B317ED" w:rsidRPr="00C61BD6">
        <w:rPr>
          <w:szCs w:val="21"/>
        </w:rPr>
        <w:t>services</w:t>
      </w:r>
      <w:r w:rsidR="00B317ED" w:rsidRPr="00C61BD6">
        <w:rPr>
          <w:spacing w:val="-9"/>
          <w:szCs w:val="21"/>
        </w:rPr>
        <w:t xml:space="preserve"> </w:t>
      </w:r>
      <w:r w:rsidR="00B317ED" w:rsidRPr="00C61BD6">
        <w:rPr>
          <w:szCs w:val="21"/>
        </w:rPr>
        <w:t>de</w:t>
      </w:r>
      <w:r w:rsidR="00B317ED" w:rsidRPr="00C61BD6">
        <w:rPr>
          <w:spacing w:val="-6"/>
          <w:szCs w:val="21"/>
        </w:rPr>
        <w:t xml:space="preserve"> </w:t>
      </w:r>
      <w:r w:rsidR="00B317ED" w:rsidRPr="00C61BD6">
        <w:rPr>
          <w:szCs w:val="21"/>
        </w:rPr>
        <w:t>développement</w:t>
      </w:r>
      <w:r w:rsidR="00B317ED" w:rsidRPr="00C61BD6">
        <w:rPr>
          <w:spacing w:val="-8"/>
          <w:szCs w:val="21"/>
        </w:rPr>
        <w:t xml:space="preserve"> </w:t>
      </w:r>
      <w:r w:rsidR="00B317ED" w:rsidRPr="00C61BD6">
        <w:rPr>
          <w:szCs w:val="21"/>
        </w:rPr>
        <w:t>des</w:t>
      </w:r>
      <w:r w:rsidR="00B317ED" w:rsidRPr="00C61BD6">
        <w:rPr>
          <w:spacing w:val="-8"/>
          <w:szCs w:val="21"/>
        </w:rPr>
        <w:t xml:space="preserve"> </w:t>
      </w:r>
      <w:r w:rsidR="00B317ED" w:rsidRPr="00C61BD6">
        <w:rPr>
          <w:szCs w:val="21"/>
        </w:rPr>
        <w:t>entreprises</w:t>
      </w:r>
      <w:r w:rsidRPr="00C61BD6">
        <w:rPr>
          <w:spacing w:val="-7"/>
          <w:szCs w:val="21"/>
        </w:rPr>
        <w:t xml:space="preserve"> </w:t>
      </w:r>
      <w:r w:rsidRPr="00C61BD6">
        <w:rPr>
          <w:szCs w:val="21"/>
        </w:rPr>
        <w:t>aux</w:t>
      </w:r>
      <w:r w:rsidRPr="00C61BD6">
        <w:rPr>
          <w:spacing w:val="-5"/>
          <w:szCs w:val="21"/>
        </w:rPr>
        <w:t xml:space="preserve"> </w:t>
      </w:r>
      <w:r w:rsidRPr="00C61BD6">
        <w:rPr>
          <w:szCs w:val="21"/>
        </w:rPr>
        <w:t>niveaux provincial et local pour leur permettre de mieux fournir des services aux PME-PMI bénéficiant de la ligne de crédit et/ou des coupons électroniques. Enfin, cette sous-composante financera des pilotes d'interventions de développement de l'agribusiness et de l'agri-finance pour une mise à l'échell</w:t>
      </w:r>
      <w:r w:rsidR="009E1ADF" w:rsidRPr="00C61BD6">
        <w:rPr>
          <w:szCs w:val="21"/>
        </w:rPr>
        <w:t>e potentielle dans la phase 2 de la serié de projets.</w:t>
      </w:r>
    </w:p>
    <w:p w14:paraId="3C992030" w14:textId="6AF7B0E2" w:rsidR="00AD2C4C" w:rsidRDefault="00AD2C4C">
      <w:pPr>
        <w:spacing w:line="240" w:lineRule="auto"/>
        <w:jc w:val="left"/>
        <w:rPr>
          <w:rFonts w:cs="Arial"/>
          <w:i/>
          <w:color w:val="222222"/>
          <w:szCs w:val="21"/>
        </w:rPr>
      </w:pPr>
    </w:p>
    <w:p w14:paraId="210E00C3" w14:textId="2136564A" w:rsidR="001C2F95" w:rsidRPr="00C61BD6" w:rsidRDefault="001C2F95" w:rsidP="002378EA">
      <w:pPr>
        <w:pStyle w:val="Paragraphedeliste"/>
        <w:numPr>
          <w:ilvl w:val="0"/>
          <w:numId w:val="42"/>
        </w:numPr>
        <w:tabs>
          <w:tab w:val="left" w:pos="426"/>
        </w:tabs>
        <w:rPr>
          <w:rFonts w:cs="Arial"/>
          <w:i/>
          <w:color w:val="222222"/>
          <w:szCs w:val="21"/>
        </w:rPr>
      </w:pPr>
      <w:r w:rsidRPr="00C61BD6">
        <w:rPr>
          <w:rFonts w:cs="Arial"/>
          <w:i/>
          <w:color w:val="222222"/>
          <w:szCs w:val="21"/>
        </w:rPr>
        <w:t xml:space="preserve">Composante 3 : Biens et services publics agricoles </w:t>
      </w:r>
      <w:r w:rsidR="00744484" w:rsidRPr="00C61BD6">
        <w:rPr>
          <w:i/>
          <w:color w:val="000000"/>
          <w:szCs w:val="21"/>
        </w:rPr>
        <w:t>(estimation : 80 millions USD)</w:t>
      </w:r>
    </w:p>
    <w:p w14:paraId="313FFE13" w14:textId="77777777" w:rsidR="001C2F95" w:rsidRPr="00C61BD6" w:rsidRDefault="001C2F95" w:rsidP="001C2F95">
      <w:pPr>
        <w:rPr>
          <w:rFonts w:cs="Arial"/>
          <w:szCs w:val="21"/>
        </w:rPr>
      </w:pPr>
    </w:p>
    <w:p w14:paraId="7F02F272" w14:textId="597499F8" w:rsidR="00744484" w:rsidRPr="00C61BD6" w:rsidRDefault="001C2F95" w:rsidP="001C2F95">
      <w:pPr>
        <w:rPr>
          <w:rFonts w:cs="Arial"/>
          <w:szCs w:val="21"/>
        </w:rPr>
      </w:pPr>
      <w:r w:rsidRPr="00C61BD6">
        <w:rPr>
          <w:rFonts w:cs="Arial"/>
          <w:szCs w:val="21"/>
        </w:rPr>
        <w:t xml:space="preserve">Cette composante </w:t>
      </w:r>
      <w:r w:rsidR="00FB62E1" w:rsidRPr="00C61BD6">
        <w:rPr>
          <w:rFonts w:cs="Arial"/>
          <w:szCs w:val="21"/>
        </w:rPr>
        <w:t xml:space="preserve">offrira aux </w:t>
      </w:r>
      <w:r w:rsidR="00FB62E1" w:rsidRPr="00C61BD6">
        <w:rPr>
          <w:szCs w:val="21"/>
        </w:rPr>
        <w:t>acteurs nationaux et provinciaux des possibilités de renforcement des capacités afin</w:t>
      </w:r>
      <w:r w:rsidR="00FB62E1" w:rsidRPr="00C61BD6">
        <w:rPr>
          <w:spacing w:val="-15"/>
          <w:szCs w:val="21"/>
        </w:rPr>
        <w:t xml:space="preserve"> </w:t>
      </w:r>
      <w:r w:rsidR="00FB62E1" w:rsidRPr="00C61BD6">
        <w:rPr>
          <w:szCs w:val="21"/>
        </w:rPr>
        <w:t>de</w:t>
      </w:r>
      <w:r w:rsidR="00FB62E1" w:rsidRPr="00C61BD6">
        <w:rPr>
          <w:spacing w:val="-13"/>
          <w:szCs w:val="21"/>
        </w:rPr>
        <w:t xml:space="preserve"> </w:t>
      </w:r>
      <w:r w:rsidR="00FB62E1" w:rsidRPr="00C61BD6">
        <w:rPr>
          <w:szCs w:val="21"/>
        </w:rPr>
        <w:t>remplir</w:t>
      </w:r>
      <w:r w:rsidR="00FB62E1" w:rsidRPr="00C61BD6">
        <w:rPr>
          <w:spacing w:val="-14"/>
          <w:szCs w:val="21"/>
        </w:rPr>
        <w:t xml:space="preserve"> </w:t>
      </w:r>
      <w:r w:rsidR="00FB62E1" w:rsidRPr="00C61BD6">
        <w:rPr>
          <w:szCs w:val="21"/>
        </w:rPr>
        <w:t>des</w:t>
      </w:r>
      <w:r w:rsidR="00FB62E1" w:rsidRPr="00C61BD6">
        <w:rPr>
          <w:spacing w:val="-13"/>
          <w:szCs w:val="21"/>
        </w:rPr>
        <w:t xml:space="preserve"> </w:t>
      </w:r>
      <w:r w:rsidR="00FB62E1" w:rsidRPr="00C61BD6">
        <w:rPr>
          <w:szCs w:val="21"/>
        </w:rPr>
        <w:t>fonctions</w:t>
      </w:r>
      <w:r w:rsidR="00FB62E1" w:rsidRPr="00C61BD6">
        <w:rPr>
          <w:spacing w:val="-14"/>
          <w:szCs w:val="21"/>
        </w:rPr>
        <w:t xml:space="preserve"> </w:t>
      </w:r>
      <w:r w:rsidR="00FB62E1" w:rsidRPr="00C61BD6">
        <w:rPr>
          <w:szCs w:val="21"/>
        </w:rPr>
        <w:t>de</w:t>
      </w:r>
      <w:r w:rsidR="00FB62E1" w:rsidRPr="00C61BD6">
        <w:rPr>
          <w:spacing w:val="-14"/>
          <w:szCs w:val="21"/>
        </w:rPr>
        <w:t xml:space="preserve"> </w:t>
      </w:r>
      <w:r w:rsidR="00FB62E1" w:rsidRPr="00C61BD6">
        <w:rPr>
          <w:szCs w:val="21"/>
        </w:rPr>
        <w:t>soutien</w:t>
      </w:r>
      <w:r w:rsidR="00FB62E1" w:rsidRPr="00C61BD6">
        <w:rPr>
          <w:spacing w:val="-13"/>
          <w:szCs w:val="21"/>
        </w:rPr>
        <w:t xml:space="preserve"> </w:t>
      </w:r>
      <w:r w:rsidR="00FB62E1" w:rsidRPr="00C61BD6">
        <w:rPr>
          <w:szCs w:val="21"/>
        </w:rPr>
        <w:t>pendant</w:t>
      </w:r>
      <w:r w:rsidR="00FB62E1" w:rsidRPr="00C61BD6">
        <w:rPr>
          <w:spacing w:val="-14"/>
          <w:szCs w:val="21"/>
        </w:rPr>
        <w:t xml:space="preserve"> </w:t>
      </w:r>
      <w:r w:rsidR="00FB62E1" w:rsidRPr="00C61BD6">
        <w:rPr>
          <w:szCs w:val="21"/>
        </w:rPr>
        <w:t>la</w:t>
      </w:r>
      <w:r w:rsidR="00FB62E1" w:rsidRPr="00C61BD6">
        <w:rPr>
          <w:spacing w:val="-15"/>
          <w:szCs w:val="21"/>
        </w:rPr>
        <w:t xml:space="preserve"> </w:t>
      </w:r>
      <w:r w:rsidR="00FB62E1" w:rsidRPr="00C61BD6">
        <w:rPr>
          <w:szCs w:val="21"/>
        </w:rPr>
        <w:t>mise</w:t>
      </w:r>
      <w:r w:rsidR="00FB62E1" w:rsidRPr="00C61BD6">
        <w:rPr>
          <w:spacing w:val="-15"/>
          <w:szCs w:val="21"/>
        </w:rPr>
        <w:t xml:space="preserve"> </w:t>
      </w:r>
      <w:r w:rsidR="00FB62E1" w:rsidRPr="00C61BD6">
        <w:rPr>
          <w:szCs w:val="21"/>
        </w:rPr>
        <w:t>en</w:t>
      </w:r>
      <w:r w:rsidR="00FB62E1" w:rsidRPr="00C61BD6">
        <w:rPr>
          <w:spacing w:val="-14"/>
          <w:szCs w:val="21"/>
        </w:rPr>
        <w:t xml:space="preserve"> </w:t>
      </w:r>
      <w:r w:rsidR="00FB62E1" w:rsidRPr="00C61BD6">
        <w:rPr>
          <w:szCs w:val="21"/>
        </w:rPr>
        <w:t>œuvre</w:t>
      </w:r>
      <w:r w:rsidR="00FB62E1" w:rsidRPr="00C61BD6">
        <w:rPr>
          <w:spacing w:val="-14"/>
          <w:szCs w:val="21"/>
        </w:rPr>
        <w:t xml:space="preserve"> </w:t>
      </w:r>
      <w:r w:rsidR="00FB62E1" w:rsidRPr="00C61BD6">
        <w:rPr>
          <w:szCs w:val="21"/>
        </w:rPr>
        <w:t>du</w:t>
      </w:r>
      <w:r w:rsidR="00FB62E1" w:rsidRPr="00C61BD6">
        <w:rPr>
          <w:spacing w:val="-15"/>
          <w:szCs w:val="21"/>
        </w:rPr>
        <w:t xml:space="preserve"> </w:t>
      </w:r>
      <w:r w:rsidR="00FB62E1" w:rsidRPr="00C61BD6">
        <w:rPr>
          <w:szCs w:val="21"/>
        </w:rPr>
        <w:t>projet.</w:t>
      </w:r>
      <w:r w:rsidR="00FB62E1" w:rsidRPr="00C61BD6">
        <w:rPr>
          <w:spacing w:val="-14"/>
          <w:szCs w:val="21"/>
        </w:rPr>
        <w:t xml:space="preserve"> </w:t>
      </w:r>
      <w:r w:rsidR="00FB62E1" w:rsidRPr="00C61BD6">
        <w:rPr>
          <w:szCs w:val="21"/>
        </w:rPr>
        <w:t>Cette</w:t>
      </w:r>
      <w:r w:rsidR="00FB62E1" w:rsidRPr="00C61BD6">
        <w:rPr>
          <w:spacing w:val="-14"/>
          <w:szCs w:val="21"/>
        </w:rPr>
        <w:t xml:space="preserve"> </w:t>
      </w:r>
      <w:r w:rsidR="00FB62E1" w:rsidRPr="00C61BD6">
        <w:rPr>
          <w:szCs w:val="21"/>
        </w:rPr>
        <w:t>composante englobe un soutien pour</w:t>
      </w:r>
      <w:r w:rsidRPr="00C61BD6">
        <w:rPr>
          <w:rFonts w:cs="Arial"/>
          <w:szCs w:val="21"/>
        </w:rPr>
        <w:t xml:space="preserve"> : </w:t>
      </w:r>
      <w:r w:rsidRPr="00C61BD6">
        <w:rPr>
          <w:rFonts w:cs="Arial"/>
          <w:i/>
          <w:szCs w:val="21"/>
        </w:rPr>
        <w:t>(i)</w:t>
      </w:r>
      <w:r w:rsidRPr="00C61BD6">
        <w:rPr>
          <w:rFonts w:cs="Arial"/>
          <w:szCs w:val="21"/>
        </w:rPr>
        <w:t xml:space="preserve"> renforce</w:t>
      </w:r>
      <w:r w:rsidR="00FB62E1" w:rsidRPr="00C61BD6">
        <w:rPr>
          <w:rFonts w:cs="Arial"/>
          <w:szCs w:val="21"/>
        </w:rPr>
        <w:t>r</w:t>
      </w:r>
      <w:r w:rsidRPr="00C61BD6">
        <w:rPr>
          <w:rFonts w:cs="Arial"/>
          <w:szCs w:val="21"/>
        </w:rPr>
        <w:t xml:space="preserve"> </w:t>
      </w:r>
      <w:r w:rsidR="00FB62E1" w:rsidRPr="00C61BD6">
        <w:rPr>
          <w:rFonts w:cs="Arial"/>
          <w:szCs w:val="21"/>
        </w:rPr>
        <w:t>l</w:t>
      </w:r>
      <w:r w:rsidRPr="00C61BD6">
        <w:rPr>
          <w:rFonts w:cs="Arial"/>
          <w:szCs w:val="21"/>
        </w:rPr>
        <w:t>es capacités des ministères clés (tels que de l’Agriculture, Pêche et Élevage et du Développement Rural) aux niveaux national et provincial en vue de la fourniture de</w:t>
      </w:r>
      <w:r w:rsidR="000C6424" w:rsidRPr="00C61BD6">
        <w:rPr>
          <w:rFonts w:cs="Arial"/>
          <w:szCs w:val="21"/>
        </w:rPr>
        <w:t>s</w:t>
      </w:r>
      <w:r w:rsidRPr="00C61BD6">
        <w:rPr>
          <w:rFonts w:cs="Arial"/>
          <w:szCs w:val="21"/>
        </w:rPr>
        <w:t xml:space="preserve"> biens et services publics </w:t>
      </w:r>
      <w:r w:rsidR="000C6424" w:rsidRPr="00C61BD6">
        <w:rPr>
          <w:rFonts w:cs="Arial"/>
          <w:szCs w:val="21"/>
        </w:rPr>
        <w:t>agricoles clés</w:t>
      </w:r>
      <w:r w:rsidRPr="00C61BD6">
        <w:rPr>
          <w:rFonts w:cs="Arial"/>
          <w:szCs w:val="21"/>
        </w:rPr>
        <w:t> </w:t>
      </w:r>
      <w:r w:rsidR="00FB62E1" w:rsidRPr="00C61BD6">
        <w:rPr>
          <w:rFonts w:cs="Arial"/>
          <w:szCs w:val="21"/>
        </w:rPr>
        <w:t xml:space="preserve">aux composantes 1 et 2 </w:t>
      </w:r>
      <w:r w:rsidRPr="00C61BD6">
        <w:rPr>
          <w:rFonts w:cs="Arial"/>
          <w:szCs w:val="21"/>
        </w:rPr>
        <w:t xml:space="preserve">; et </w:t>
      </w:r>
      <w:r w:rsidRPr="00C61BD6">
        <w:rPr>
          <w:rFonts w:cs="Arial"/>
          <w:i/>
          <w:szCs w:val="21"/>
        </w:rPr>
        <w:t>(ii)</w:t>
      </w:r>
      <w:r w:rsidRPr="00C61BD6">
        <w:rPr>
          <w:rFonts w:cs="Arial"/>
          <w:szCs w:val="21"/>
        </w:rPr>
        <w:t xml:space="preserve"> la gestion, le suivi et l’évaluation du programme. </w:t>
      </w:r>
    </w:p>
    <w:p w14:paraId="2F1BED8F" w14:textId="77777777" w:rsidR="001C2F95" w:rsidRPr="00C61BD6" w:rsidRDefault="001C2F95" w:rsidP="001C2F95">
      <w:pPr>
        <w:rPr>
          <w:rFonts w:cs="Arial"/>
          <w:szCs w:val="21"/>
        </w:rPr>
      </w:pPr>
    </w:p>
    <w:p w14:paraId="5D756163" w14:textId="77777777" w:rsidR="001C2F95" w:rsidRPr="00C61BD6" w:rsidRDefault="001C2F95" w:rsidP="002378EA">
      <w:pPr>
        <w:pStyle w:val="Paragraphedeliste"/>
        <w:numPr>
          <w:ilvl w:val="0"/>
          <w:numId w:val="33"/>
        </w:numPr>
        <w:rPr>
          <w:rFonts w:cs="Arial"/>
          <w:i/>
          <w:szCs w:val="21"/>
        </w:rPr>
      </w:pPr>
      <w:r w:rsidRPr="00C61BD6">
        <w:rPr>
          <w:rFonts w:cs="Arial"/>
          <w:i/>
          <w:szCs w:val="21"/>
        </w:rPr>
        <w:t xml:space="preserve">Sous-composante 3.1 : Renforcement des capacités pour la fourniture de services publics agricoles </w:t>
      </w:r>
      <w:r w:rsidR="00744484" w:rsidRPr="00C61BD6">
        <w:rPr>
          <w:i/>
          <w:color w:val="000000"/>
          <w:szCs w:val="21"/>
        </w:rPr>
        <w:t>(estimation : 30 millions USD)</w:t>
      </w:r>
      <w:r w:rsidR="00744484" w:rsidRPr="00C61BD6">
        <w:rPr>
          <w:color w:val="000000"/>
          <w:szCs w:val="21"/>
        </w:rPr>
        <w:t>.</w:t>
      </w:r>
    </w:p>
    <w:p w14:paraId="1BBF27AE" w14:textId="77777777" w:rsidR="00FB62E1" w:rsidRPr="00C61BD6" w:rsidRDefault="00FB62E1" w:rsidP="00EC69C8">
      <w:pPr>
        <w:ind w:right="-46"/>
        <w:rPr>
          <w:rFonts w:cs="Arial"/>
          <w:szCs w:val="21"/>
        </w:rPr>
      </w:pPr>
    </w:p>
    <w:p w14:paraId="7B25F604" w14:textId="2740763A" w:rsidR="001C2F95" w:rsidRPr="00C61BD6" w:rsidRDefault="000C6424" w:rsidP="00EC69C8">
      <w:pPr>
        <w:ind w:right="-46"/>
        <w:rPr>
          <w:rFonts w:cs="Arial"/>
          <w:szCs w:val="21"/>
        </w:rPr>
      </w:pPr>
      <w:r w:rsidRPr="00C61BD6">
        <w:rPr>
          <w:rFonts w:cs="Arial"/>
          <w:szCs w:val="21"/>
        </w:rPr>
        <w:t>Cette</w:t>
      </w:r>
      <w:r w:rsidRPr="00C61BD6">
        <w:rPr>
          <w:rFonts w:cs="Arial"/>
          <w:spacing w:val="-13"/>
          <w:szCs w:val="21"/>
        </w:rPr>
        <w:t xml:space="preserve"> </w:t>
      </w:r>
      <w:r w:rsidRPr="00C61BD6">
        <w:rPr>
          <w:rFonts w:cs="Arial"/>
          <w:szCs w:val="21"/>
        </w:rPr>
        <w:t>sous-composante</w:t>
      </w:r>
      <w:r w:rsidRPr="00C61BD6">
        <w:rPr>
          <w:rFonts w:cs="Arial"/>
          <w:spacing w:val="-12"/>
          <w:szCs w:val="21"/>
        </w:rPr>
        <w:t xml:space="preserve"> </w:t>
      </w:r>
      <w:r w:rsidRPr="00C61BD6">
        <w:rPr>
          <w:rFonts w:cs="Arial"/>
          <w:szCs w:val="21"/>
        </w:rPr>
        <w:t>financera</w:t>
      </w:r>
      <w:r w:rsidRPr="00C61BD6">
        <w:rPr>
          <w:rFonts w:cs="Arial"/>
          <w:spacing w:val="-13"/>
          <w:szCs w:val="21"/>
        </w:rPr>
        <w:t xml:space="preserve"> </w:t>
      </w:r>
      <w:r w:rsidRPr="00C61BD6">
        <w:rPr>
          <w:rFonts w:cs="Arial"/>
          <w:szCs w:val="21"/>
        </w:rPr>
        <w:t>(i)</w:t>
      </w:r>
      <w:r w:rsidRPr="00C61BD6">
        <w:rPr>
          <w:rFonts w:cs="Arial"/>
          <w:spacing w:val="-13"/>
          <w:szCs w:val="21"/>
        </w:rPr>
        <w:t xml:space="preserve"> </w:t>
      </w:r>
      <w:r w:rsidRPr="00C61BD6">
        <w:rPr>
          <w:rFonts w:cs="Arial"/>
          <w:szCs w:val="21"/>
        </w:rPr>
        <w:t>la</w:t>
      </w:r>
      <w:r w:rsidRPr="00C61BD6">
        <w:rPr>
          <w:rFonts w:cs="Arial"/>
          <w:spacing w:val="-14"/>
          <w:szCs w:val="21"/>
        </w:rPr>
        <w:t xml:space="preserve"> </w:t>
      </w:r>
      <w:r w:rsidRPr="00C61BD6">
        <w:rPr>
          <w:rFonts w:cs="Arial"/>
          <w:szCs w:val="21"/>
        </w:rPr>
        <w:t>collecte</w:t>
      </w:r>
      <w:r w:rsidRPr="00C61BD6">
        <w:rPr>
          <w:rFonts w:cs="Arial"/>
          <w:spacing w:val="-12"/>
          <w:szCs w:val="21"/>
        </w:rPr>
        <w:t xml:space="preserve"> </w:t>
      </w:r>
      <w:r w:rsidRPr="00C61BD6">
        <w:rPr>
          <w:rFonts w:cs="Arial"/>
          <w:szCs w:val="21"/>
        </w:rPr>
        <w:t>de</w:t>
      </w:r>
      <w:r w:rsidRPr="00C61BD6">
        <w:rPr>
          <w:rFonts w:cs="Arial"/>
          <w:spacing w:val="-12"/>
          <w:szCs w:val="21"/>
        </w:rPr>
        <w:t xml:space="preserve"> </w:t>
      </w:r>
      <w:r w:rsidRPr="00C61BD6">
        <w:rPr>
          <w:rFonts w:cs="Arial"/>
          <w:szCs w:val="21"/>
        </w:rPr>
        <w:t>données</w:t>
      </w:r>
      <w:r w:rsidRPr="00C61BD6">
        <w:rPr>
          <w:rFonts w:cs="Arial"/>
          <w:spacing w:val="-14"/>
          <w:szCs w:val="21"/>
        </w:rPr>
        <w:t xml:space="preserve"> </w:t>
      </w:r>
      <w:r w:rsidRPr="00C61BD6">
        <w:rPr>
          <w:rFonts w:cs="Arial"/>
          <w:szCs w:val="21"/>
        </w:rPr>
        <w:t>et</w:t>
      </w:r>
      <w:r w:rsidRPr="00C61BD6">
        <w:rPr>
          <w:rFonts w:cs="Arial"/>
          <w:spacing w:val="-12"/>
          <w:szCs w:val="21"/>
        </w:rPr>
        <w:t xml:space="preserve"> </w:t>
      </w:r>
      <w:r w:rsidRPr="00C61BD6">
        <w:rPr>
          <w:rFonts w:cs="Arial"/>
          <w:szCs w:val="21"/>
        </w:rPr>
        <w:t>les</w:t>
      </w:r>
      <w:r w:rsidRPr="00C61BD6">
        <w:rPr>
          <w:rFonts w:cs="Arial"/>
          <w:spacing w:val="-15"/>
          <w:szCs w:val="21"/>
        </w:rPr>
        <w:t xml:space="preserve"> </w:t>
      </w:r>
      <w:r w:rsidRPr="00C61BD6">
        <w:rPr>
          <w:rFonts w:cs="Arial"/>
          <w:szCs w:val="21"/>
        </w:rPr>
        <w:t>études (évaluations d'impact, pilot</w:t>
      </w:r>
      <w:r w:rsidR="00B317ED" w:rsidRPr="00C61BD6">
        <w:rPr>
          <w:rFonts w:cs="Arial"/>
          <w:szCs w:val="21"/>
        </w:rPr>
        <w:t>es, diagnostics) pour étendre la série des projets</w:t>
      </w:r>
      <w:r w:rsidRPr="00C61BD6">
        <w:rPr>
          <w:rFonts w:cs="Arial"/>
          <w:szCs w:val="21"/>
        </w:rPr>
        <w:t xml:space="preserve"> dans les phases futures à d'autres provinces ; et (ii) les activités de renforcement des capacités des services publics pour intégrer la CSA, NSmartAg, les technologies numériques, les politiques et les interventions en faveur des jeunes et des femmes dans les divers biens et services publics agricoles aux niveaux national et local</w:t>
      </w:r>
      <w:r w:rsidR="00EC69C8" w:rsidRPr="00C61BD6">
        <w:rPr>
          <w:rFonts w:cs="Arial"/>
          <w:szCs w:val="21"/>
        </w:rPr>
        <w:t xml:space="preserve"> klés aux inverstissements des composantes 1 et 2. Les objectifs sont les suivants :</w:t>
      </w:r>
    </w:p>
    <w:p w14:paraId="36D3B385" w14:textId="77777777" w:rsidR="00EC69C8" w:rsidRPr="00C61BD6" w:rsidRDefault="00EC69C8" w:rsidP="00EC69C8">
      <w:pPr>
        <w:ind w:right="-46"/>
        <w:rPr>
          <w:rFonts w:cs="Arial"/>
          <w:szCs w:val="21"/>
        </w:rPr>
      </w:pPr>
    </w:p>
    <w:p w14:paraId="51B922BB" w14:textId="77777777" w:rsidR="00EC69C8" w:rsidRPr="00C61BD6" w:rsidRDefault="00EC69C8" w:rsidP="00EC69C8">
      <w:pPr>
        <w:pStyle w:val="Paragraphedeliste"/>
        <w:numPr>
          <w:ilvl w:val="0"/>
          <w:numId w:val="33"/>
        </w:numPr>
        <w:rPr>
          <w:rFonts w:cs="Arial"/>
          <w:szCs w:val="21"/>
        </w:rPr>
      </w:pPr>
      <w:r w:rsidRPr="00C61BD6">
        <w:rPr>
          <w:rFonts w:cs="Arial"/>
          <w:szCs w:val="21"/>
        </w:rPr>
        <w:t>Établir un registre des agriculteurs (investissements habilitants de la sous-composante 1.1) en finançant le matériel, les logiciels et la formation des ressources humaines pour la mise en place et le fonctionnement du registre ;</w:t>
      </w:r>
    </w:p>
    <w:p w14:paraId="4676435D" w14:textId="4D7EF0E7" w:rsidR="00EC69C8" w:rsidRPr="00C61BD6" w:rsidRDefault="00EC69C8" w:rsidP="00EC69C8">
      <w:pPr>
        <w:pStyle w:val="Paragraphedeliste"/>
        <w:numPr>
          <w:ilvl w:val="0"/>
          <w:numId w:val="33"/>
        </w:numPr>
        <w:rPr>
          <w:rFonts w:cs="Arial"/>
          <w:szCs w:val="21"/>
        </w:rPr>
      </w:pPr>
      <w:r w:rsidRPr="00C61BD6">
        <w:rPr>
          <w:rFonts w:cs="Arial"/>
          <w:szCs w:val="21"/>
        </w:rPr>
        <w:t xml:space="preserve">Renforcer le système de recherche et de vulgarisation agricole (permettant la mise en œuvre de la sous-composante 1.1) en finançant le développement de PTechs </w:t>
      </w:r>
      <w:r w:rsidR="009E1ADF" w:rsidRPr="00C61BD6">
        <w:rPr>
          <w:rFonts w:cs="Arial"/>
          <w:szCs w:val="21"/>
        </w:rPr>
        <w:t>CSA et NSmartAg par l'Institut N</w:t>
      </w:r>
      <w:r w:rsidRPr="00C61BD6">
        <w:rPr>
          <w:rFonts w:cs="Arial"/>
          <w:szCs w:val="21"/>
        </w:rPr>
        <w:t xml:space="preserve">ational de </w:t>
      </w:r>
      <w:r w:rsidR="009E1ADF" w:rsidRPr="00C61BD6">
        <w:rPr>
          <w:rFonts w:cs="Arial"/>
          <w:szCs w:val="21"/>
        </w:rPr>
        <w:t>Recherche A</w:t>
      </w:r>
      <w:r w:rsidRPr="00C61BD6">
        <w:rPr>
          <w:rFonts w:cs="Arial"/>
          <w:szCs w:val="21"/>
        </w:rPr>
        <w:t>gricole (INERA), en certifiant la qualité des intrants agricoles (SENASEM), en fournissant des formations et en développant des technologies numériques pour l'agence publique de vulgarisation (SNV) et le réseau privé (et ONG) de vulgarisateurs agricoles dans les provinces sélectionnées ;</w:t>
      </w:r>
    </w:p>
    <w:p w14:paraId="4203220C" w14:textId="77777777" w:rsidR="00EC69C8" w:rsidRPr="00C61BD6" w:rsidRDefault="00EC69C8" w:rsidP="00EC69C8">
      <w:pPr>
        <w:pStyle w:val="Paragraphedeliste"/>
        <w:numPr>
          <w:ilvl w:val="0"/>
          <w:numId w:val="33"/>
        </w:numPr>
        <w:rPr>
          <w:rFonts w:cs="Arial"/>
          <w:szCs w:val="21"/>
        </w:rPr>
      </w:pPr>
      <w:r w:rsidRPr="00C61BD6">
        <w:rPr>
          <w:rFonts w:cs="Arial"/>
          <w:szCs w:val="21"/>
        </w:rPr>
        <w:t>Renforcer les systèmes de santé animale et végétale (en soutenant les investissements de la sous- composante 1.1) en finançant des équipements clés, des formations, des outils numériques et des campagnes de vaccination dans les provinces sélectionnées ;</w:t>
      </w:r>
    </w:p>
    <w:p w14:paraId="0D3E0958" w14:textId="50400D86" w:rsidR="00EC69C8" w:rsidRPr="00C61BD6" w:rsidRDefault="00EC69C8" w:rsidP="00EC69C8">
      <w:pPr>
        <w:pStyle w:val="Paragraphedeliste"/>
        <w:numPr>
          <w:ilvl w:val="0"/>
          <w:numId w:val="33"/>
        </w:numPr>
        <w:rPr>
          <w:rFonts w:cs="Arial"/>
          <w:szCs w:val="21"/>
        </w:rPr>
      </w:pPr>
      <w:r w:rsidRPr="00C61BD6">
        <w:rPr>
          <w:rFonts w:cs="Arial"/>
          <w:szCs w:val="21"/>
        </w:rPr>
        <w:t>Renforcer la capacité de planification, de coordination, de suivi et d'évaluation du projet aux niveaux national et infranational, en mettant l'accent sur les départements de planif</w:t>
      </w:r>
      <w:r w:rsidR="00B317ED" w:rsidRPr="00C61BD6">
        <w:rPr>
          <w:rFonts w:cs="Arial"/>
          <w:szCs w:val="21"/>
        </w:rPr>
        <w:t>ication et d'analyse (DEP) des Ministères de l'A</w:t>
      </w:r>
      <w:r w:rsidRPr="00C61BD6">
        <w:rPr>
          <w:rFonts w:cs="Arial"/>
          <w:szCs w:val="21"/>
        </w:rPr>
        <w:t>griculture, du développement rural, de l'élevage et de la pêche, en menant des activités telles que des enquêtes, des évaluations des risques socio-environnementaux, des études de diagnostic, des consultations, des examens des politiques et des programmes, et en pilotant de nouvelles initiati</w:t>
      </w:r>
      <w:r w:rsidR="00B317ED" w:rsidRPr="00C61BD6">
        <w:rPr>
          <w:rFonts w:cs="Arial"/>
          <w:szCs w:val="21"/>
        </w:rPr>
        <w:t>ves pour planifier la phase 2 de la série des projets</w:t>
      </w:r>
      <w:r w:rsidRPr="00C61BD6">
        <w:rPr>
          <w:rFonts w:cs="Arial"/>
          <w:szCs w:val="21"/>
        </w:rPr>
        <w:t xml:space="preserve"> ;</w:t>
      </w:r>
    </w:p>
    <w:p w14:paraId="1FF9266C" w14:textId="796733D9" w:rsidR="00EC69C8" w:rsidRPr="00C61BD6" w:rsidRDefault="00EC69C8" w:rsidP="00EC69C8">
      <w:pPr>
        <w:pStyle w:val="Paragraphedeliste"/>
        <w:numPr>
          <w:ilvl w:val="0"/>
          <w:numId w:val="33"/>
        </w:numPr>
        <w:rPr>
          <w:rFonts w:cs="Arial"/>
          <w:szCs w:val="21"/>
        </w:rPr>
      </w:pPr>
      <w:r w:rsidRPr="00C61BD6">
        <w:rPr>
          <w:rFonts w:cs="Arial"/>
          <w:szCs w:val="21"/>
        </w:rPr>
        <w:t>Fournir des preuves rigoureuses de l'évaluation de l'impact sur l'efficacité des interventions clés soutenues par le projet afin d'informer la conception et la mise en œuvre futures de la phase 2, renforcer les capacités des institutions du secteur public aux niveaux national et provincial en matière d'aménagement du territoire, de formalisation des régimes fonciers et de gestion des paysages en proposant des formations, en développant des outils, des guides et des documents stratégiq</w:t>
      </w:r>
      <w:r w:rsidR="00B317ED" w:rsidRPr="00C61BD6">
        <w:rPr>
          <w:rFonts w:cs="Arial"/>
          <w:szCs w:val="21"/>
        </w:rPr>
        <w:t>ues pour concevoir la phase 2 de la série des projets</w:t>
      </w:r>
      <w:r w:rsidRPr="00C61BD6">
        <w:rPr>
          <w:rFonts w:cs="Arial"/>
          <w:szCs w:val="21"/>
        </w:rPr>
        <w:t>.</w:t>
      </w:r>
    </w:p>
    <w:p w14:paraId="68085FD0" w14:textId="77777777" w:rsidR="00EC69C8" w:rsidRPr="00C61BD6" w:rsidRDefault="00EC69C8" w:rsidP="00EC69C8">
      <w:pPr>
        <w:pStyle w:val="Paragraphedeliste"/>
        <w:ind w:left="786"/>
        <w:rPr>
          <w:rFonts w:cs="Arial"/>
          <w:szCs w:val="21"/>
        </w:rPr>
      </w:pPr>
    </w:p>
    <w:p w14:paraId="05575132" w14:textId="28F24D56" w:rsidR="000C6424" w:rsidRPr="00C61BD6" w:rsidRDefault="00EC69C8" w:rsidP="00EC69C8">
      <w:pPr>
        <w:rPr>
          <w:szCs w:val="21"/>
        </w:rPr>
      </w:pPr>
      <w:r w:rsidRPr="00C61BD6">
        <w:rPr>
          <w:szCs w:val="21"/>
        </w:rPr>
        <w:t>Les activités de renforcement des capacités des services publics agricoles décrites ci-dessus viseront les</w:t>
      </w:r>
      <w:r w:rsidRPr="00C61BD6">
        <w:rPr>
          <w:spacing w:val="-6"/>
          <w:szCs w:val="21"/>
        </w:rPr>
        <w:t xml:space="preserve"> </w:t>
      </w:r>
      <w:r w:rsidRPr="00C61BD6">
        <w:rPr>
          <w:szCs w:val="21"/>
        </w:rPr>
        <w:t>niveaux</w:t>
      </w:r>
      <w:r w:rsidRPr="00C61BD6">
        <w:rPr>
          <w:spacing w:val="-6"/>
          <w:szCs w:val="21"/>
        </w:rPr>
        <w:t xml:space="preserve"> </w:t>
      </w:r>
      <w:r w:rsidRPr="00C61BD6">
        <w:rPr>
          <w:szCs w:val="21"/>
        </w:rPr>
        <w:t>national</w:t>
      </w:r>
      <w:r w:rsidRPr="00C61BD6">
        <w:rPr>
          <w:spacing w:val="-9"/>
          <w:szCs w:val="21"/>
        </w:rPr>
        <w:t xml:space="preserve"> </w:t>
      </w:r>
      <w:r w:rsidRPr="00C61BD6">
        <w:rPr>
          <w:szCs w:val="21"/>
        </w:rPr>
        <w:t>et</w:t>
      </w:r>
      <w:r w:rsidRPr="00C61BD6">
        <w:rPr>
          <w:spacing w:val="-5"/>
          <w:szCs w:val="21"/>
        </w:rPr>
        <w:t xml:space="preserve"> </w:t>
      </w:r>
      <w:r w:rsidRPr="00C61BD6">
        <w:rPr>
          <w:szCs w:val="21"/>
        </w:rPr>
        <w:t>provincial</w:t>
      </w:r>
      <w:r w:rsidRPr="00C61BD6">
        <w:rPr>
          <w:spacing w:val="-6"/>
          <w:szCs w:val="21"/>
        </w:rPr>
        <w:t xml:space="preserve"> </w:t>
      </w:r>
      <w:r w:rsidRPr="00C61BD6">
        <w:rPr>
          <w:szCs w:val="21"/>
        </w:rPr>
        <w:t>dans</w:t>
      </w:r>
      <w:r w:rsidRPr="00C61BD6">
        <w:rPr>
          <w:spacing w:val="-7"/>
          <w:szCs w:val="21"/>
        </w:rPr>
        <w:t xml:space="preserve"> </w:t>
      </w:r>
      <w:r w:rsidRPr="00C61BD6">
        <w:rPr>
          <w:szCs w:val="21"/>
        </w:rPr>
        <w:t>les</w:t>
      </w:r>
      <w:r w:rsidRPr="00C61BD6">
        <w:rPr>
          <w:spacing w:val="-5"/>
          <w:szCs w:val="21"/>
        </w:rPr>
        <w:t xml:space="preserve"> </w:t>
      </w:r>
      <w:r w:rsidRPr="00C61BD6">
        <w:rPr>
          <w:szCs w:val="21"/>
        </w:rPr>
        <w:t>zones</w:t>
      </w:r>
      <w:r w:rsidRPr="00C61BD6">
        <w:rPr>
          <w:spacing w:val="-7"/>
          <w:szCs w:val="21"/>
        </w:rPr>
        <w:t xml:space="preserve"> </w:t>
      </w:r>
      <w:r w:rsidRPr="00C61BD6">
        <w:rPr>
          <w:szCs w:val="21"/>
        </w:rPr>
        <w:t>d'intervention</w:t>
      </w:r>
      <w:r w:rsidRPr="00C61BD6">
        <w:rPr>
          <w:spacing w:val="-6"/>
          <w:szCs w:val="21"/>
        </w:rPr>
        <w:t xml:space="preserve"> </w:t>
      </w:r>
      <w:r w:rsidRPr="00C61BD6">
        <w:rPr>
          <w:szCs w:val="21"/>
        </w:rPr>
        <w:t>du</w:t>
      </w:r>
      <w:r w:rsidRPr="00C61BD6">
        <w:rPr>
          <w:spacing w:val="-6"/>
          <w:szCs w:val="21"/>
        </w:rPr>
        <w:t xml:space="preserve"> </w:t>
      </w:r>
      <w:r w:rsidRPr="00C61BD6">
        <w:rPr>
          <w:szCs w:val="21"/>
        </w:rPr>
        <w:t>projet.</w:t>
      </w:r>
      <w:r w:rsidRPr="00C61BD6">
        <w:rPr>
          <w:spacing w:val="35"/>
          <w:szCs w:val="21"/>
        </w:rPr>
        <w:t xml:space="preserve"> </w:t>
      </w:r>
      <w:r w:rsidRPr="00C61BD6">
        <w:rPr>
          <w:szCs w:val="21"/>
        </w:rPr>
        <w:t>Les</w:t>
      </w:r>
      <w:r w:rsidRPr="00C61BD6">
        <w:rPr>
          <w:spacing w:val="-5"/>
          <w:szCs w:val="21"/>
        </w:rPr>
        <w:t xml:space="preserve"> </w:t>
      </w:r>
      <w:r w:rsidRPr="00C61BD6">
        <w:rPr>
          <w:szCs w:val="21"/>
        </w:rPr>
        <w:t>activités</w:t>
      </w:r>
      <w:r w:rsidRPr="00C61BD6">
        <w:rPr>
          <w:spacing w:val="-5"/>
          <w:szCs w:val="21"/>
        </w:rPr>
        <w:t xml:space="preserve"> </w:t>
      </w:r>
      <w:r w:rsidRPr="00C61BD6">
        <w:rPr>
          <w:szCs w:val="21"/>
        </w:rPr>
        <w:t>seront</w:t>
      </w:r>
      <w:r w:rsidRPr="00C61BD6">
        <w:rPr>
          <w:spacing w:val="-7"/>
          <w:szCs w:val="21"/>
        </w:rPr>
        <w:t xml:space="preserve"> </w:t>
      </w:r>
      <w:r w:rsidRPr="00C61BD6">
        <w:rPr>
          <w:szCs w:val="21"/>
        </w:rPr>
        <w:t>réalisées par des prestataires de services et/ou des membres du Groupe CGIAR et/ou des agences des Nations Unies en fonction de leurs avantages compétitifs spécifiques et des besoins</w:t>
      </w:r>
      <w:r w:rsidRPr="00C61BD6">
        <w:rPr>
          <w:spacing w:val="-13"/>
          <w:szCs w:val="21"/>
        </w:rPr>
        <w:t xml:space="preserve"> </w:t>
      </w:r>
      <w:r w:rsidRPr="00C61BD6">
        <w:rPr>
          <w:szCs w:val="21"/>
        </w:rPr>
        <w:t>identifiés.</w:t>
      </w:r>
    </w:p>
    <w:p w14:paraId="7A5BFC99" w14:textId="5D3D0B21" w:rsidR="00744484" w:rsidRPr="00C61BD6" w:rsidRDefault="001C2F95" w:rsidP="00EB7F94">
      <w:pPr>
        <w:pStyle w:val="Paragraphedeliste"/>
        <w:ind w:left="786"/>
        <w:rPr>
          <w:i/>
          <w:color w:val="000000"/>
          <w:szCs w:val="21"/>
        </w:rPr>
      </w:pPr>
      <w:r w:rsidRPr="00C61BD6">
        <w:rPr>
          <w:rFonts w:cs="Arial"/>
          <w:i/>
          <w:szCs w:val="21"/>
        </w:rPr>
        <w:t xml:space="preserve">Sous-composante 3.2 : Gestion, suivi et évaluation du programme </w:t>
      </w:r>
      <w:r w:rsidR="00744484" w:rsidRPr="00C61BD6">
        <w:rPr>
          <w:i/>
          <w:color w:val="000000"/>
          <w:szCs w:val="21"/>
        </w:rPr>
        <w:t>(50 millions </w:t>
      </w:r>
      <w:r w:rsidR="00EC69C8" w:rsidRPr="00C61BD6">
        <w:rPr>
          <w:i/>
          <w:color w:val="000000"/>
          <w:szCs w:val="21"/>
        </w:rPr>
        <w:t xml:space="preserve">de dollars </w:t>
      </w:r>
      <w:r w:rsidR="00744484" w:rsidRPr="00C61BD6">
        <w:rPr>
          <w:i/>
          <w:color w:val="000000"/>
          <w:szCs w:val="21"/>
        </w:rPr>
        <w:t>US).</w:t>
      </w:r>
    </w:p>
    <w:p w14:paraId="1E1A2DE9" w14:textId="77777777" w:rsidR="00EC69C8" w:rsidRPr="00C61BD6" w:rsidRDefault="00EC69C8" w:rsidP="00EC69C8">
      <w:pPr>
        <w:rPr>
          <w:szCs w:val="21"/>
        </w:rPr>
      </w:pPr>
    </w:p>
    <w:p w14:paraId="6D600667" w14:textId="1E6D3668" w:rsidR="00EC69C8" w:rsidRPr="00C61BD6" w:rsidRDefault="00EC69C8" w:rsidP="00EC69C8">
      <w:pPr>
        <w:rPr>
          <w:szCs w:val="21"/>
        </w:rPr>
      </w:pPr>
      <w:r w:rsidRPr="00C61BD6">
        <w:rPr>
          <w:szCs w:val="21"/>
        </w:rPr>
        <w:t xml:space="preserve">Cette sous-composante financera : (a) les </w:t>
      </w:r>
      <w:r w:rsidR="009E1ADF" w:rsidRPr="00C61BD6">
        <w:rPr>
          <w:szCs w:val="21"/>
        </w:rPr>
        <w:t>coûts de fonctionnement de l'UN</w:t>
      </w:r>
      <w:r w:rsidRPr="00C61BD6">
        <w:rPr>
          <w:szCs w:val="21"/>
        </w:rPr>
        <w:t>C</w:t>
      </w:r>
      <w:r w:rsidR="009E1ADF" w:rsidRPr="00C61BD6">
        <w:rPr>
          <w:szCs w:val="21"/>
        </w:rPr>
        <w:t>P</w:t>
      </w:r>
      <w:r w:rsidRPr="00C61BD6">
        <w:rPr>
          <w:szCs w:val="21"/>
        </w:rPr>
        <w:t xml:space="preserve"> ; (b) le suivi et l'évaluation des activités du Projet ; (c) la communication des activités du Projet à différents publics ; et (d) l'embauche de personnel, les biens, les services de consultants, les ateliers et la formation. Dans le cadre de cette sous-composante, le projet proposé assurera un suivi approprié du cadre environnemental et social. En raison de la fragilité, de l'instabilité et des conflits récurrents dans la zone du projet (phase 1), le suivi par une tierce partie pourrait être utilisé dans certaines zones. Cette sous-composante financera également une étude de base, une analyse de la fragilité et des conflits, et une évaluation de l'impact de certaines activités du projet pour informer les phases actuelles et futures.</w:t>
      </w:r>
    </w:p>
    <w:p w14:paraId="5816CE03" w14:textId="77777777" w:rsidR="00EC69C8" w:rsidRPr="00C61BD6" w:rsidRDefault="00EC69C8" w:rsidP="001C2F95">
      <w:pPr>
        <w:rPr>
          <w:rFonts w:cs="Arial"/>
          <w:szCs w:val="21"/>
        </w:rPr>
      </w:pPr>
    </w:p>
    <w:p w14:paraId="4A633482" w14:textId="145654BC" w:rsidR="001C2F95" w:rsidRPr="00C61BD6" w:rsidRDefault="001C2F95" w:rsidP="002378EA">
      <w:pPr>
        <w:pStyle w:val="Paragraphedeliste"/>
        <w:numPr>
          <w:ilvl w:val="0"/>
          <w:numId w:val="42"/>
        </w:numPr>
        <w:tabs>
          <w:tab w:val="left" w:pos="426"/>
        </w:tabs>
        <w:rPr>
          <w:rFonts w:cs="Arial"/>
          <w:i/>
          <w:color w:val="222222"/>
          <w:szCs w:val="21"/>
        </w:rPr>
      </w:pPr>
      <w:r w:rsidRPr="00C61BD6">
        <w:rPr>
          <w:rFonts w:cs="Arial"/>
          <w:i/>
          <w:color w:val="222222"/>
          <w:szCs w:val="21"/>
        </w:rPr>
        <w:t xml:space="preserve">Composante 4 : Intervention d’urgence </w:t>
      </w:r>
      <w:r w:rsidR="00CC7241" w:rsidRPr="00C61BD6">
        <w:rPr>
          <w:color w:val="000000"/>
          <w:szCs w:val="21"/>
        </w:rPr>
        <w:t>(</w:t>
      </w:r>
      <w:r w:rsidR="00EC69C8" w:rsidRPr="00C61BD6">
        <w:rPr>
          <w:color w:val="000000"/>
          <w:szCs w:val="21"/>
        </w:rPr>
        <w:t xml:space="preserve">0 dollars </w:t>
      </w:r>
      <w:r w:rsidR="00CC7241" w:rsidRPr="00C61BD6">
        <w:rPr>
          <w:color w:val="000000"/>
          <w:szCs w:val="21"/>
        </w:rPr>
        <w:t>US)</w:t>
      </w:r>
    </w:p>
    <w:p w14:paraId="5AE24906" w14:textId="77777777" w:rsidR="00D20A53" w:rsidRPr="00C61BD6" w:rsidRDefault="00D20A53" w:rsidP="001C2F95">
      <w:pPr>
        <w:rPr>
          <w:rFonts w:cs="Arial"/>
          <w:szCs w:val="21"/>
        </w:rPr>
      </w:pPr>
    </w:p>
    <w:p w14:paraId="3D845CB5" w14:textId="59EBD6DF" w:rsidR="00EC69C8" w:rsidRPr="00C61BD6" w:rsidRDefault="00EC69C8" w:rsidP="00C61BD6">
      <w:pPr>
        <w:rPr>
          <w:szCs w:val="21"/>
        </w:rPr>
      </w:pPr>
      <w:r w:rsidRPr="00C61BD6">
        <w:rPr>
          <w:szCs w:val="21"/>
        </w:rPr>
        <w:t xml:space="preserve">Ce CERC permet une réponse rapide en cas de crise ou d'urgence éligible, définie comme "un événement qui a causé, ou est susceptible de causer de manière imminente, un impact économique et/ou social négatif majeur associé à des crises ou des catastrophes naturelles ou d'origine humaine". Cette composante à zéro dollar financerait la réponse immédiate aux crises ou aux urgences dans les secteurs couverts par ce projet, qui pourraient résulter d'événements tels que des chocs climatiques, des événements météorologiques extrêmes, des parasites/épidémies de plantes et d'animaux, </w:t>
      </w:r>
      <w:r w:rsidRPr="00C61BD6">
        <w:rPr>
          <w:spacing w:val="-2"/>
          <w:szCs w:val="21"/>
        </w:rPr>
        <w:t xml:space="preserve">des </w:t>
      </w:r>
      <w:r w:rsidRPr="00C61BD6">
        <w:rPr>
          <w:szCs w:val="21"/>
        </w:rPr>
        <w:t>pandémies et des perturbations économiques et sociales. Avant d'engager les fonds de cette composante,</w:t>
      </w:r>
      <w:r w:rsidRPr="00C61BD6">
        <w:rPr>
          <w:spacing w:val="-12"/>
          <w:szCs w:val="21"/>
        </w:rPr>
        <w:t xml:space="preserve"> </w:t>
      </w:r>
      <w:r w:rsidRPr="00C61BD6">
        <w:rPr>
          <w:szCs w:val="21"/>
        </w:rPr>
        <w:t>un</w:t>
      </w:r>
      <w:r w:rsidRPr="00C61BD6">
        <w:rPr>
          <w:spacing w:val="-11"/>
          <w:szCs w:val="21"/>
        </w:rPr>
        <w:t xml:space="preserve"> </w:t>
      </w:r>
      <w:r w:rsidRPr="00C61BD6">
        <w:rPr>
          <w:szCs w:val="21"/>
        </w:rPr>
        <w:t>plan</w:t>
      </w:r>
      <w:r w:rsidRPr="00C61BD6">
        <w:rPr>
          <w:spacing w:val="-13"/>
          <w:szCs w:val="21"/>
        </w:rPr>
        <w:t xml:space="preserve"> </w:t>
      </w:r>
      <w:r w:rsidRPr="00C61BD6">
        <w:rPr>
          <w:szCs w:val="21"/>
        </w:rPr>
        <w:t>de</w:t>
      </w:r>
      <w:r w:rsidRPr="00C61BD6">
        <w:rPr>
          <w:spacing w:val="-12"/>
          <w:szCs w:val="21"/>
        </w:rPr>
        <w:t xml:space="preserve"> </w:t>
      </w:r>
      <w:r w:rsidRPr="00C61BD6">
        <w:rPr>
          <w:szCs w:val="21"/>
        </w:rPr>
        <w:t>mise</w:t>
      </w:r>
      <w:r w:rsidRPr="00C61BD6">
        <w:rPr>
          <w:spacing w:val="-11"/>
          <w:szCs w:val="21"/>
        </w:rPr>
        <w:t xml:space="preserve"> </w:t>
      </w:r>
      <w:r w:rsidRPr="00C61BD6">
        <w:rPr>
          <w:szCs w:val="21"/>
        </w:rPr>
        <w:t>en</w:t>
      </w:r>
      <w:r w:rsidRPr="00C61BD6">
        <w:rPr>
          <w:spacing w:val="-13"/>
          <w:szCs w:val="21"/>
        </w:rPr>
        <w:t xml:space="preserve"> </w:t>
      </w:r>
      <w:r w:rsidRPr="00C61BD6">
        <w:rPr>
          <w:szCs w:val="21"/>
        </w:rPr>
        <w:t>œuvre</w:t>
      </w:r>
      <w:r w:rsidRPr="00C61BD6">
        <w:rPr>
          <w:spacing w:val="-11"/>
          <w:szCs w:val="21"/>
        </w:rPr>
        <w:t xml:space="preserve"> </w:t>
      </w:r>
      <w:r w:rsidRPr="00C61BD6">
        <w:rPr>
          <w:szCs w:val="21"/>
        </w:rPr>
        <w:t>de</w:t>
      </w:r>
      <w:r w:rsidRPr="00C61BD6">
        <w:rPr>
          <w:spacing w:val="-12"/>
          <w:szCs w:val="21"/>
        </w:rPr>
        <w:t xml:space="preserve"> </w:t>
      </w:r>
      <w:r w:rsidRPr="00C61BD6">
        <w:rPr>
          <w:szCs w:val="21"/>
        </w:rPr>
        <w:t>la</w:t>
      </w:r>
      <w:r w:rsidRPr="00C61BD6">
        <w:rPr>
          <w:spacing w:val="-11"/>
          <w:szCs w:val="21"/>
        </w:rPr>
        <w:t xml:space="preserve"> </w:t>
      </w:r>
      <w:r w:rsidRPr="00C61BD6">
        <w:rPr>
          <w:szCs w:val="21"/>
        </w:rPr>
        <w:t>réponse</w:t>
      </w:r>
      <w:r w:rsidRPr="00C61BD6">
        <w:rPr>
          <w:spacing w:val="-11"/>
          <w:szCs w:val="21"/>
        </w:rPr>
        <w:t xml:space="preserve"> </w:t>
      </w:r>
      <w:r w:rsidRPr="00C61BD6">
        <w:rPr>
          <w:szCs w:val="21"/>
        </w:rPr>
        <w:t>d'urgence</w:t>
      </w:r>
      <w:r w:rsidRPr="00C61BD6">
        <w:rPr>
          <w:spacing w:val="-12"/>
          <w:szCs w:val="21"/>
        </w:rPr>
        <w:t xml:space="preserve"> </w:t>
      </w:r>
      <w:r w:rsidRPr="00C61BD6">
        <w:rPr>
          <w:szCs w:val="21"/>
        </w:rPr>
        <w:t>contingente</w:t>
      </w:r>
      <w:r w:rsidRPr="00C61BD6">
        <w:rPr>
          <w:spacing w:val="-12"/>
          <w:szCs w:val="21"/>
        </w:rPr>
        <w:t xml:space="preserve"> </w:t>
      </w:r>
      <w:r w:rsidRPr="00C61BD6">
        <w:rPr>
          <w:szCs w:val="21"/>
        </w:rPr>
        <w:t>doit</w:t>
      </w:r>
      <w:r w:rsidRPr="00C61BD6">
        <w:rPr>
          <w:spacing w:val="-12"/>
          <w:szCs w:val="21"/>
        </w:rPr>
        <w:t xml:space="preserve"> </w:t>
      </w:r>
      <w:r w:rsidRPr="00C61BD6">
        <w:rPr>
          <w:szCs w:val="21"/>
        </w:rPr>
        <w:t>être développé, qui régirait l'utilisation des fonds pour l'urgence ou les crises spécifiques. Les décaissements seront effectués sur la base du plan</w:t>
      </w:r>
      <w:r w:rsidRPr="00C61BD6">
        <w:rPr>
          <w:spacing w:val="-13"/>
          <w:szCs w:val="21"/>
        </w:rPr>
        <w:t xml:space="preserve"> </w:t>
      </w:r>
      <w:r w:rsidRPr="00C61BD6">
        <w:rPr>
          <w:szCs w:val="21"/>
        </w:rPr>
        <w:t>de</w:t>
      </w:r>
      <w:r w:rsidRPr="00C61BD6">
        <w:rPr>
          <w:spacing w:val="-12"/>
          <w:szCs w:val="21"/>
        </w:rPr>
        <w:t xml:space="preserve"> </w:t>
      </w:r>
      <w:r w:rsidRPr="00C61BD6">
        <w:rPr>
          <w:szCs w:val="21"/>
        </w:rPr>
        <w:t>mise</w:t>
      </w:r>
      <w:r w:rsidRPr="00C61BD6">
        <w:rPr>
          <w:spacing w:val="-11"/>
          <w:szCs w:val="21"/>
        </w:rPr>
        <w:t xml:space="preserve"> </w:t>
      </w:r>
      <w:r w:rsidRPr="00C61BD6">
        <w:rPr>
          <w:szCs w:val="21"/>
        </w:rPr>
        <w:t>en</w:t>
      </w:r>
      <w:r w:rsidRPr="00C61BD6">
        <w:rPr>
          <w:spacing w:val="-13"/>
          <w:szCs w:val="21"/>
        </w:rPr>
        <w:t xml:space="preserve"> </w:t>
      </w:r>
      <w:r w:rsidRPr="00C61BD6">
        <w:rPr>
          <w:szCs w:val="21"/>
        </w:rPr>
        <w:t>œuvre</w:t>
      </w:r>
      <w:r w:rsidRPr="00C61BD6">
        <w:rPr>
          <w:spacing w:val="-11"/>
          <w:szCs w:val="21"/>
        </w:rPr>
        <w:t xml:space="preserve"> </w:t>
      </w:r>
      <w:r w:rsidRPr="00C61BD6">
        <w:rPr>
          <w:szCs w:val="21"/>
        </w:rPr>
        <w:t>de</w:t>
      </w:r>
      <w:r w:rsidRPr="00C61BD6">
        <w:rPr>
          <w:spacing w:val="-12"/>
          <w:szCs w:val="21"/>
        </w:rPr>
        <w:t xml:space="preserve"> </w:t>
      </w:r>
      <w:r w:rsidRPr="00C61BD6">
        <w:rPr>
          <w:szCs w:val="21"/>
        </w:rPr>
        <w:t>la</w:t>
      </w:r>
      <w:r w:rsidRPr="00C61BD6">
        <w:rPr>
          <w:spacing w:val="-11"/>
          <w:szCs w:val="21"/>
        </w:rPr>
        <w:t xml:space="preserve"> </w:t>
      </w:r>
      <w:r w:rsidRPr="00C61BD6">
        <w:rPr>
          <w:szCs w:val="21"/>
        </w:rPr>
        <w:t>réponse</w:t>
      </w:r>
      <w:r w:rsidRPr="00C61BD6">
        <w:rPr>
          <w:spacing w:val="-11"/>
          <w:szCs w:val="21"/>
        </w:rPr>
        <w:t xml:space="preserve"> </w:t>
      </w:r>
      <w:r w:rsidRPr="00C61BD6">
        <w:rPr>
          <w:szCs w:val="21"/>
        </w:rPr>
        <w:t>d'urgence</w:t>
      </w:r>
      <w:r w:rsidRPr="00C61BD6">
        <w:rPr>
          <w:spacing w:val="-12"/>
          <w:szCs w:val="21"/>
        </w:rPr>
        <w:t xml:space="preserve"> </w:t>
      </w:r>
      <w:r w:rsidRPr="00C61BD6">
        <w:rPr>
          <w:szCs w:val="21"/>
        </w:rPr>
        <w:t>contingente approuvé, conformément aux dispositions de la politique</w:t>
      </w:r>
      <w:r w:rsidRPr="00C61BD6">
        <w:rPr>
          <w:spacing w:val="15"/>
          <w:szCs w:val="21"/>
        </w:rPr>
        <w:t xml:space="preserve"> </w:t>
      </w:r>
      <w:r w:rsidRPr="00C61BD6">
        <w:rPr>
          <w:szCs w:val="21"/>
        </w:rPr>
        <w:t>de</w:t>
      </w:r>
      <w:r w:rsidRPr="00C61BD6">
        <w:rPr>
          <w:spacing w:val="15"/>
          <w:szCs w:val="21"/>
        </w:rPr>
        <w:t xml:space="preserve"> </w:t>
      </w:r>
      <w:r w:rsidRPr="00C61BD6">
        <w:rPr>
          <w:szCs w:val="21"/>
        </w:rPr>
        <w:t>financement</w:t>
      </w:r>
      <w:r w:rsidRPr="00C61BD6">
        <w:rPr>
          <w:spacing w:val="13"/>
          <w:szCs w:val="21"/>
        </w:rPr>
        <w:t xml:space="preserve"> </w:t>
      </w:r>
      <w:r w:rsidRPr="00C61BD6">
        <w:rPr>
          <w:szCs w:val="21"/>
        </w:rPr>
        <w:t>des</w:t>
      </w:r>
      <w:r w:rsidRPr="00C61BD6">
        <w:rPr>
          <w:spacing w:val="17"/>
          <w:szCs w:val="21"/>
        </w:rPr>
        <w:t xml:space="preserve"> </w:t>
      </w:r>
      <w:r w:rsidRPr="00C61BD6">
        <w:rPr>
          <w:szCs w:val="21"/>
        </w:rPr>
        <w:t>projets</w:t>
      </w:r>
      <w:r w:rsidRPr="00C61BD6">
        <w:rPr>
          <w:spacing w:val="15"/>
          <w:szCs w:val="21"/>
        </w:rPr>
        <w:t xml:space="preserve"> </w:t>
      </w:r>
      <w:r w:rsidRPr="00C61BD6">
        <w:rPr>
          <w:szCs w:val="21"/>
        </w:rPr>
        <w:t>d'investissement</w:t>
      </w:r>
      <w:r w:rsidRPr="00C61BD6">
        <w:rPr>
          <w:spacing w:val="15"/>
          <w:szCs w:val="21"/>
        </w:rPr>
        <w:t xml:space="preserve"> </w:t>
      </w:r>
      <w:r w:rsidRPr="00C61BD6">
        <w:rPr>
          <w:szCs w:val="21"/>
        </w:rPr>
        <w:t>de</w:t>
      </w:r>
      <w:r w:rsidRPr="00C61BD6">
        <w:rPr>
          <w:spacing w:val="16"/>
          <w:szCs w:val="21"/>
        </w:rPr>
        <w:t xml:space="preserve"> </w:t>
      </w:r>
      <w:r w:rsidRPr="00C61BD6">
        <w:rPr>
          <w:szCs w:val="21"/>
        </w:rPr>
        <w:t>la</w:t>
      </w:r>
      <w:r w:rsidRPr="00C61BD6">
        <w:rPr>
          <w:spacing w:val="15"/>
          <w:szCs w:val="21"/>
        </w:rPr>
        <w:t xml:space="preserve"> </w:t>
      </w:r>
      <w:r w:rsidRPr="00C61BD6">
        <w:rPr>
          <w:szCs w:val="21"/>
        </w:rPr>
        <w:t>Banque</w:t>
      </w:r>
      <w:r w:rsidRPr="00C61BD6">
        <w:rPr>
          <w:spacing w:val="15"/>
          <w:szCs w:val="21"/>
        </w:rPr>
        <w:t xml:space="preserve"> </w:t>
      </w:r>
      <w:r w:rsidRPr="00C61BD6">
        <w:rPr>
          <w:szCs w:val="21"/>
        </w:rPr>
        <w:t>mondiale,</w:t>
      </w:r>
      <w:r w:rsidRPr="00C61BD6">
        <w:rPr>
          <w:spacing w:val="15"/>
          <w:szCs w:val="21"/>
        </w:rPr>
        <w:t xml:space="preserve"> </w:t>
      </w:r>
      <w:r w:rsidRPr="00C61BD6">
        <w:rPr>
          <w:szCs w:val="21"/>
        </w:rPr>
        <w:t>paragraphe</w:t>
      </w:r>
      <w:r w:rsidRPr="00C61BD6">
        <w:rPr>
          <w:spacing w:val="16"/>
          <w:szCs w:val="21"/>
        </w:rPr>
        <w:t xml:space="preserve"> </w:t>
      </w:r>
      <w:r w:rsidRPr="00C61BD6">
        <w:rPr>
          <w:szCs w:val="21"/>
        </w:rPr>
        <w:t>12, concernant les "projets dans des situations de besoin urgent d'assistance ou de contraintes de capacité" et sont soumis à l'évaluation, l'examen et l'approbation de la Banque mondiale. Ce CERC servira également de filet de sécurité pour les risques et les événements qui ne sont pas couverts par la sous-composante 1.3.</w:t>
      </w:r>
    </w:p>
    <w:p w14:paraId="5E5484A3" w14:textId="77777777" w:rsidR="001C2F95" w:rsidRPr="00C61BD6" w:rsidRDefault="001C2F95" w:rsidP="001C2F95">
      <w:pPr>
        <w:rPr>
          <w:rFonts w:cs="Arial"/>
          <w:color w:val="000000"/>
          <w:szCs w:val="21"/>
        </w:rPr>
      </w:pPr>
    </w:p>
    <w:p w14:paraId="1407F818" w14:textId="5016E7D1" w:rsidR="00E82670" w:rsidRPr="00C61BD6" w:rsidRDefault="00E82670" w:rsidP="001C2F95">
      <w:pPr>
        <w:rPr>
          <w:rFonts w:cs="Arial"/>
          <w:color w:val="000000"/>
          <w:szCs w:val="21"/>
        </w:rPr>
      </w:pPr>
      <w:r w:rsidRPr="00C61BD6">
        <w:rPr>
          <w:rFonts w:cs="Arial"/>
          <w:color w:val="000000"/>
          <w:szCs w:val="21"/>
        </w:rPr>
        <w:t>Le projet se propose d’appuyer les exploitants agricoles, réhabiliter des routes et des voies navigables existantes, mais sans affecter le couvert forestier.</w:t>
      </w:r>
    </w:p>
    <w:p w14:paraId="0259448B" w14:textId="77777777" w:rsidR="00E82670" w:rsidRPr="00C61BD6" w:rsidRDefault="00E82670" w:rsidP="001C2F95">
      <w:pPr>
        <w:rPr>
          <w:rFonts w:cs="Arial"/>
          <w:color w:val="000000"/>
          <w:szCs w:val="21"/>
        </w:rPr>
      </w:pPr>
    </w:p>
    <w:p w14:paraId="79F8FEDD" w14:textId="2CA5EEDE" w:rsidR="00D20A53" w:rsidRPr="00C61BD6" w:rsidRDefault="00D20A53" w:rsidP="00D20A53">
      <w:pPr>
        <w:rPr>
          <w:rFonts w:cs="Arial"/>
          <w:szCs w:val="21"/>
        </w:rPr>
      </w:pPr>
      <w:r w:rsidRPr="00C61BD6">
        <w:rPr>
          <w:rFonts w:cs="Arial"/>
          <w:szCs w:val="21"/>
        </w:rPr>
        <w:t>Il est important de signaler que le type des sous-projets (</w:t>
      </w:r>
      <w:r w:rsidR="00EB7F94" w:rsidRPr="00C61BD6">
        <w:rPr>
          <w:rFonts w:cs="Arial"/>
          <w:szCs w:val="21"/>
        </w:rPr>
        <w:t>C</w:t>
      </w:r>
      <w:r w:rsidRPr="00C61BD6">
        <w:rPr>
          <w:rFonts w:cs="Arial"/>
          <w:szCs w:val="21"/>
        </w:rPr>
        <w:t>omposante 2) concernés par le Programme sont des projets de réhabilitation des routes de desserte agricole, réhabilitation et construction des ouvrages de franchissement (pont, dalots), réhabilitation des voies navigables et construction/aménagement des ports fluviaux, réhabilitation et construction des infrastructures de commercialisation (marchés et entrepôts), construction des magasins de stockage des produits phytosanitaires et vétérinaires et travaux d’aménagement des étangs piscicoles.</w:t>
      </w:r>
      <w:r w:rsidR="00372F9C" w:rsidRPr="00C61BD6">
        <w:rPr>
          <w:rFonts w:cs="Arial"/>
          <w:szCs w:val="21"/>
        </w:rPr>
        <w:t>Le projet regroupera dans la mesure du possible les études afin de produire un nombre gérable de documents</w:t>
      </w:r>
      <w:r w:rsidR="00372F9C" w:rsidRPr="00C61BD6" w:rsidDel="00372F9C">
        <w:rPr>
          <w:rFonts w:cs="Arial"/>
          <w:szCs w:val="21"/>
        </w:rPr>
        <w:t xml:space="preserve"> </w:t>
      </w:r>
      <w:r w:rsidRPr="00C61BD6">
        <w:rPr>
          <w:rFonts w:cs="Arial"/>
          <w:szCs w:val="21"/>
        </w:rPr>
        <w:t>.</w:t>
      </w:r>
    </w:p>
    <w:p w14:paraId="605657BF" w14:textId="77777777" w:rsidR="00D20A53" w:rsidRPr="00C61BD6" w:rsidRDefault="00D20A53" w:rsidP="001C2F95">
      <w:pPr>
        <w:rPr>
          <w:rFonts w:cs="Arial"/>
          <w:szCs w:val="21"/>
        </w:rPr>
      </w:pPr>
    </w:p>
    <w:p w14:paraId="504BB6C2" w14:textId="6B542C4E" w:rsidR="00EC69C8" w:rsidRPr="00C61BD6" w:rsidRDefault="00EC69C8" w:rsidP="001C2F95">
      <w:pPr>
        <w:pStyle w:val="Titre2"/>
        <w:numPr>
          <w:ilvl w:val="1"/>
          <w:numId w:val="4"/>
        </w:numPr>
        <w:ind w:left="851" w:hanging="425"/>
        <w:rPr>
          <w:rFonts w:cs="Arial"/>
          <w:b/>
          <w:szCs w:val="21"/>
        </w:rPr>
      </w:pPr>
      <w:bookmarkStart w:id="246" w:name="_Toc44626801"/>
      <w:r w:rsidRPr="00C61BD6">
        <w:rPr>
          <w:rFonts w:cs="Arial"/>
          <w:b/>
          <w:szCs w:val="21"/>
        </w:rPr>
        <w:t xml:space="preserve"> </w:t>
      </w:r>
      <w:bookmarkStart w:id="247" w:name="_Toc90393056"/>
      <w:bookmarkStart w:id="248" w:name="_Toc90471415"/>
      <w:r w:rsidRPr="00C61BD6">
        <w:rPr>
          <w:rFonts w:cs="Arial"/>
          <w:b/>
          <w:szCs w:val="21"/>
        </w:rPr>
        <w:t>Bénéficiaires du projet</w:t>
      </w:r>
      <w:bookmarkEnd w:id="247"/>
      <w:bookmarkEnd w:id="248"/>
    </w:p>
    <w:p w14:paraId="03AEFE08" w14:textId="77777777" w:rsidR="00EC69C8" w:rsidRPr="00C61BD6" w:rsidRDefault="00EC69C8" w:rsidP="00EC69C8">
      <w:pPr>
        <w:ind w:left="851"/>
        <w:rPr>
          <w:szCs w:val="21"/>
        </w:rPr>
      </w:pPr>
    </w:p>
    <w:p w14:paraId="22783230" w14:textId="5E04C105" w:rsidR="00EC69C8" w:rsidRPr="00C61BD6" w:rsidRDefault="00EC69C8" w:rsidP="00C61BD6">
      <w:pPr>
        <w:rPr>
          <w:rFonts w:cs="Arial"/>
          <w:szCs w:val="21"/>
        </w:rPr>
      </w:pPr>
      <w:r w:rsidRPr="00C61BD6">
        <w:rPr>
          <w:rFonts w:cs="Arial"/>
          <w:szCs w:val="21"/>
        </w:rPr>
        <w:t>Le Projet touchera directement divers groupes bénéficiaires, notamment les petits exploitants agricoles, les AgriMSME, les IMF locales et les groupes d'agriculteurs, ainsi que les organisations du secteur privé. Le nombre estimé de petits exploitants agricoles qui bénéficieront des investissements du projet au cours des trois phases est estimé à 6,5 millions (2/3 du total des agriculteurs dans les provinces sélectionnées) et ½ du total des agriculteurs ruraux en RDC (</w:t>
      </w:r>
      <w:hyperlink w:anchor="_bookmark0" w:history="1">
        <w:r w:rsidRPr="00C61BD6">
          <w:rPr>
            <w:rFonts w:cs="Arial"/>
            <w:szCs w:val="21"/>
          </w:rPr>
          <w:t>Tableau</w:t>
        </w:r>
      </w:hyperlink>
      <w:r w:rsidRPr="00C61BD6">
        <w:rPr>
          <w:rFonts w:cs="Arial"/>
          <w:szCs w:val="21"/>
        </w:rPr>
        <w:t xml:space="preserve"> ). La première phase devrait toucher 1,7 million de petits exploitants agricoles dans cinq provinces sélectionnées. Les femmes et les jeunes sont des bénéficiaires ciblés, et le nombre de personnes atteintes fera l'objet d'un suivi.</w:t>
      </w:r>
    </w:p>
    <w:p w14:paraId="40C392A9" w14:textId="77777777" w:rsidR="00EC69C8" w:rsidRPr="00C61BD6" w:rsidRDefault="00EC69C8" w:rsidP="00EC69C8">
      <w:pPr>
        <w:rPr>
          <w:rFonts w:cs="Arial"/>
          <w:szCs w:val="21"/>
        </w:rPr>
      </w:pPr>
    </w:p>
    <w:p w14:paraId="16EDEDAC" w14:textId="77777777" w:rsidR="00EC69C8" w:rsidRPr="00C61BD6" w:rsidRDefault="00EC69C8" w:rsidP="00EC69C8">
      <w:pPr>
        <w:rPr>
          <w:rFonts w:cs="Arial"/>
          <w:szCs w:val="21"/>
        </w:rPr>
      </w:pPr>
      <w:r w:rsidRPr="00C61BD6">
        <w:rPr>
          <w:rFonts w:cs="Arial"/>
          <w:szCs w:val="21"/>
        </w:rPr>
        <w:t>Les bénéficiaires directs comprennent également : (a) les entrepreneurs et les locaux travaillant dans les projets d'infrastructure rurale en tant que journaliers ; (b) les utilisateurs des routes et autres infrastructures rurales ; (c) les institutions financières participantes ; (d) les fournisseurs de BDS ; (e) les fournisseurs de services publics de soutien à l'agriculture. Par exemple, le projet améliorera la capacité des fournisseurs de services financiers et non financiers des BDS et touchera 1 280 AgriMSME par le biais de lignes de crédit et de programmes de développement des capacités. Le soutien du projet dans le cadre de la composante 3 (biens et services publics agricoles) et 4 (réponse aux urgences) fournit des services qui renforcent les avantages décrits ci-dessus. En particulier, le soutien du Projet aux prestataires de services publics (R&amp;D agricole, services de vulgarisation et pilotes) contribue directement au développement et à la mise à jour des paquets de soutien aux petits exploitants agricoles. Les campagnes de vaccination permettront de préserver les gains de productivité du bétail.</w:t>
      </w:r>
    </w:p>
    <w:p w14:paraId="5A27487A" w14:textId="77777777" w:rsidR="00EC69C8" w:rsidRPr="00C61BD6" w:rsidRDefault="00EC69C8" w:rsidP="00EC69C8">
      <w:pPr>
        <w:rPr>
          <w:rFonts w:cs="Arial"/>
          <w:szCs w:val="21"/>
        </w:rPr>
      </w:pPr>
    </w:p>
    <w:p w14:paraId="175D109A" w14:textId="77777777" w:rsidR="003142D9" w:rsidRDefault="003142D9">
      <w:pPr>
        <w:spacing w:line="240" w:lineRule="auto"/>
        <w:jc w:val="left"/>
        <w:rPr>
          <w:rFonts w:cs="Arial"/>
          <w:szCs w:val="21"/>
        </w:rPr>
      </w:pPr>
      <w:bookmarkStart w:id="249" w:name="_bookmark0"/>
      <w:bookmarkEnd w:id="249"/>
      <w:r>
        <w:rPr>
          <w:rFonts w:cs="Arial"/>
          <w:szCs w:val="21"/>
        </w:rPr>
        <w:br w:type="page"/>
      </w:r>
    </w:p>
    <w:p w14:paraId="58777824" w14:textId="3B49C025" w:rsidR="00EC69C8" w:rsidRPr="00C61BD6" w:rsidRDefault="00DC7C80" w:rsidP="00DC7C80">
      <w:pPr>
        <w:rPr>
          <w:szCs w:val="21"/>
        </w:rPr>
      </w:pPr>
      <w:bookmarkStart w:id="250" w:name="_Toc90392970"/>
      <w:r w:rsidRPr="00C61BD6">
        <w:rPr>
          <w:rFonts w:cs="Arial"/>
          <w:szCs w:val="21"/>
        </w:rPr>
        <w:t xml:space="preserve">Tableau </w:t>
      </w:r>
      <w:r w:rsidRPr="00C61BD6">
        <w:rPr>
          <w:rFonts w:cs="Arial"/>
          <w:szCs w:val="21"/>
        </w:rPr>
        <w:fldChar w:fldCharType="begin"/>
      </w:r>
      <w:r w:rsidRPr="00C61BD6">
        <w:rPr>
          <w:rFonts w:cs="Arial"/>
          <w:szCs w:val="21"/>
        </w:rPr>
        <w:instrText xml:space="preserve"> SEQ Tableau \* ARABIC </w:instrText>
      </w:r>
      <w:r w:rsidRPr="00C61BD6">
        <w:rPr>
          <w:rFonts w:cs="Arial"/>
          <w:szCs w:val="21"/>
        </w:rPr>
        <w:fldChar w:fldCharType="separate"/>
      </w:r>
      <w:r w:rsidR="00AD2C4C">
        <w:rPr>
          <w:rFonts w:cs="Arial"/>
          <w:noProof/>
          <w:szCs w:val="21"/>
        </w:rPr>
        <w:t>2</w:t>
      </w:r>
      <w:r w:rsidRPr="00C61BD6">
        <w:rPr>
          <w:rFonts w:cs="Arial"/>
          <w:szCs w:val="21"/>
        </w:rPr>
        <w:fldChar w:fldCharType="end"/>
      </w:r>
      <w:r w:rsidR="00EC69C8" w:rsidRPr="00C61BD6">
        <w:rPr>
          <w:rFonts w:cs="Arial"/>
          <w:szCs w:val="21"/>
        </w:rPr>
        <w:t>. Bénéficiaires petits exploitants agricoles</w:t>
      </w:r>
      <w:bookmarkEnd w:id="250"/>
    </w:p>
    <w:p w14:paraId="4DCF383A" w14:textId="77777777" w:rsidR="00EC69C8" w:rsidRPr="00C61BD6" w:rsidRDefault="00EC69C8" w:rsidP="00EC69C8">
      <w:pPr>
        <w:rPr>
          <w:rFonts w:cs="Arial"/>
          <w:szCs w:val="21"/>
        </w:rPr>
      </w:pPr>
    </w:p>
    <w:tbl>
      <w:tblPr>
        <w:tblStyle w:val="TableNormal"/>
        <w:tblW w:w="906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5"/>
        <w:gridCol w:w="2562"/>
        <w:gridCol w:w="2555"/>
        <w:gridCol w:w="2265"/>
      </w:tblGrid>
      <w:tr w:rsidR="00EC69C8" w:rsidRPr="00C61BD6" w14:paraId="28BFA784" w14:textId="77777777" w:rsidTr="00AD2C4C">
        <w:trPr>
          <w:trHeight w:val="1161"/>
        </w:trPr>
        <w:tc>
          <w:tcPr>
            <w:tcW w:w="1685" w:type="dxa"/>
          </w:tcPr>
          <w:p w14:paraId="21ACD68C" w14:textId="77777777" w:rsidR="00EC69C8" w:rsidRPr="00AD2C4C" w:rsidRDefault="00EC69C8" w:rsidP="00220115">
            <w:pPr>
              <w:pStyle w:val="TableParagraph"/>
              <w:spacing w:line="268" w:lineRule="exact"/>
              <w:ind w:left="110"/>
              <w:jc w:val="center"/>
              <w:rPr>
                <w:sz w:val="20"/>
                <w:szCs w:val="20"/>
              </w:rPr>
            </w:pPr>
            <w:r w:rsidRPr="00AD2C4C">
              <w:rPr>
                <w:sz w:val="20"/>
                <w:szCs w:val="20"/>
              </w:rPr>
              <w:t>Province</w:t>
            </w:r>
          </w:p>
        </w:tc>
        <w:tc>
          <w:tcPr>
            <w:tcW w:w="2562" w:type="dxa"/>
          </w:tcPr>
          <w:p w14:paraId="7EAF8BA7" w14:textId="77777777" w:rsidR="00EC69C8" w:rsidRPr="00AD2C4C" w:rsidRDefault="00EC69C8" w:rsidP="00220115">
            <w:pPr>
              <w:pStyle w:val="TableParagraph"/>
              <w:tabs>
                <w:tab w:val="left" w:pos="2034"/>
              </w:tabs>
              <w:spacing w:line="268" w:lineRule="exact"/>
              <w:jc w:val="center"/>
              <w:rPr>
                <w:sz w:val="20"/>
                <w:szCs w:val="20"/>
                <w:lang w:val="fr-FR"/>
              </w:rPr>
            </w:pPr>
            <w:r w:rsidRPr="00AD2C4C">
              <w:rPr>
                <w:sz w:val="20"/>
                <w:szCs w:val="20"/>
                <w:lang w:val="fr-FR"/>
              </w:rPr>
              <w:t>Nombre total</w:t>
            </w:r>
          </w:p>
          <w:p w14:paraId="2F8D7ADB" w14:textId="682599BF" w:rsidR="00EC69C8" w:rsidRPr="00AD2C4C" w:rsidRDefault="00EC69C8" w:rsidP="00220115">
            <w:pPr>
              <w:pStyle w:val="TableParagraph"/>
              <w:tabs>
                <w:tab w:val="left" w:pos="1870"/>
              </w:tabs>
              <w:spacing w:before="19" w:line="259" w:lineRule="auto"/>
              <w:ind w:right="93"/>
              <w:jc w:val="center"/>
              <w:rPr>
                <w:sz w:val="20"/>
                <w:szCs w:val="20"/>
                <w:lang w:val="fr-FR"/>
              </w:rPr>
            </w:pPr>
            <w:r w:rsidRPr="00AD2C4C">
              <w:rPr>
                <w:sz w:val="20"/>
                <w:szCs w:val="20"/>
                <w:lang w:val="fr-FR"/>
              </w:rPr>
              <w:t xml:space="preserve">d'agriculteurs </w:t>
            </w:r>
            <w:r w:rsidRPr="00AD2C4C">
              <w:rPr>
                <w:spacing w:val="-4"/>
                <w:sz w:val="20"/>
                <w:szCs w:val="20"/>
                <w:lang w:val="fr-FR"/>
              </w:rPr>
              <w:t xml:space="preserve">ruraux </w:t>
            </w:r>
            <w:r w:rsidRPr="00AD2C4C">
              <w:rPr>
                <w:sz w:val="20"/>
                <w:szCs w:val="20"/>
                <w:lang w:val="fr-FR"/>
              </w:rPr>
              <w:t>pauvres</w:t>
            </w:r>
            <w:r w:rsidR="00371E48" w:rsidRPr="00AD2C4C">
              <w:rPr>
                <w:rStyle w:val="Appelnotedebasdep"/>
                <w:sz w:val="20"/>
                <w:szCs w:val="20"/>
                <w:lang w:val="fr-FR"/>
              </w:rPr>
              <w:footnoteReference w:id="15"/>
            </w:r>
          </w:p>
        </w:tc>
        <w:tc>
          <w:tcPr>
            <w:tcW w:w="2555" w:type="dxa"/>
          </w:tcPr>
          <w:p w14:paraId="61AF00B1" w14:textId="24110FB0" w:rsidR="00EC69C8" w:rsidRPr="00AD2C4C" w:rsidRDefault="00EC69C8" w:rsidP="00220115">
            <w:pPr>
              <w:pStyle w:val="TableParagraph"/>
              <w:tabs>
                <w:tab w:val="left" w:pos="1455"/>
              </w:tabs>
              <w:spacing w:line="259" w:lineRule="auto"/>
              <w:ind w:left="106" w:right="94"/>
              <w:jc w:val="center"/>
              <w:rPr>
                <w:sz w:val="20"/>
                <w:szCs w:val="20"/>
                <w:lang w:val="fr-FR"/>
              </w:rPr>
            </w:pPr>
            <w:r w:rsidRPr="00AD2C4C">
              <w:rPr>
                <w:sz w:val="20"/>
                <w:szCs w:val="20"/>
                <w:lang w:val="fr-FR"/>
              </w:rPr>
              <w:t>Estimation du nombre de petits</w:t>
            </w:r>
            <w:r w:rsidR="00DC7C80" w:rsidRPr="00AD2C4C">
              <w:rPr>
                <w:sz w:val="20"/>
                <w:szCs w:val="20"/>
                <w:lang w:val="fr-FR"/>
              </w:rPr>
              <w:t xml:space="preserve"> </w:t>
            </w:r>
            <w:r w:rsidRPr="00AD2C4C">
              <w:rPr>
                <w:spacing w:val="-3"/>
                <w:sz w:val="20"/>
                <w:szCs w:val="20"/>
                <w:lang w:val="fr-FR"/>
              </w:rPr>
              <w:t xml:space="preserve">exploitants </w:t>
            </w:r>
            <w:r w:rsidRPr="00AD2C4C">
              <w:rPr>
                <w:sz w:val="20"/>
                <w:szCs w:val="20"/>
                <w:lang w:val="fr-FR"/>
              </w:rPr>
              <w:t>bénéficiaires</w:t>
            </w:r>
          </w:p>
        </w:tc>
        <w:tc>
          <w:tcPr>
            <w:tcW w:w="2265" w:type="dxa"/>
          </w:tcPr>
          <w:p w14:paraId="11BA7E0A" w14:textId="77777777" w:rsidR="00EC69C8" w:rsidRPr="00AD2C4C" w:rsidRDefault="00EC69C8" w:rsidP="00220115">
            <w:pPr>
              <w:pStyle w:val="TableParagraph"/>
              <w:tabs>
                <w:tab w:val="left" w:pos="1099"/>
              </w:tabs>
              <w:spacing w:line="259" w:lineRule="auto"/>
              <w:ind w:left="108" w:right="93"/>
              <w:jc w:val="center"/>
              <w:rPr>
                <w:sz w:val="20"/>
                <w:szCs w:val="20"/>
                <w:lang w:val="fr-FR"/>
              </w:rPr>
            </w:pPr>
            <w:r w:rsidRPr="00AD2C4C">
              <w:rPr>
                <w:sz w:val="20"/>
                <w:szCs w:val="20"/>
                <w:lang w:val="fr-FR"/>
              </w:rPr>
              <w:t xml:space="preserve">Couverture (bénéficiaires / total des </w:t>
            </w:r>
            <w:r w:rsidRPr="00AD2C4C">
              <w:rPr>
                <w:spacing w:val="-3"/>
                <w:sz w:val="20"/>
                <w:szCs w:val="20"/>
                <w:lang w:val="fr-FR"/>
              </w:rPr>
              <w:t>agriculteurs</w:t>
            </w:r>
          </w:p>
          <w:p w14:paraId="3A820326" w14:textId="038B8927" w:rsidR="00EC69C8" w:rsidRPr="00AD2C4C" w:rsidRDefault="00BD5D78" w:rsidP="00220115">
            <w:pPr>
              <w:pStyle w:val="TableParagraph"/>
              <w:spacing w:line="267" w:lineRule="exact"/>
              <w:ind w:left="108"/>
              <w:jc w:val="center"/>
              <w:rPr>
                <w:sz w:val="20"/>
                <w:szCs w:val="20"/>
                <w:lang w:val="fr-FR"/>
              </w:rPr>
            </w:pPr>
            <w:r w:rsidRPr="00AD2C4C">
              <w:rPr>
                <w:sz w:val="20"/>
                <w:szCs w:val="20"/>
                <w:lang w:val="fr-FR"/>
              </w:rPr>
              <w:t>Pauvres</w:t>
            </w:r>
            <w:r w:rsidR="00EC69C8" w:rsidRPr="00AD2C4C">
              <w:rPr>
                <w:sz w:val="20"/>
                <w:szCs w:val="20"/>
                <w:lang w:val="fr-FR"/>
              </w:rPr>
              <w:t>)</w:t>
            </w:r>
          </w:p>
        </w:tc>
      </w:tr>
      <w:tr w:rsidR="00EC69C8" w:rsidRPr="00C61BD6" w14:paraId="2553B0AE" w14:textId="77777777" w:rsidTr="00AD2C4C">
        <w:trPr>
          <w:trHeight w:val="287"/>
        </w:trPr>
        <w:tc>
          <w:tcPr>
            <w:tcW w:w="1685" w:type="dxa"/>
          </w:tcPr>
          <w:p w14:paraId="5B8A3D35" w14:textId="77777777" w:rsidR="00EC69C8" w:rsidRPr="00AD2C4C" w:rsidRDefault="00EC69C8" w:rsidP="00220115">
            <w:pPr>
              <w:pStyle w:val="TableParagraph"/>
              <w:spacing w:line="265" w:lineRule="exact"/>
              <w:ind w:left="110"/>
              <w:rPr>
                <w:sz w:val="20"/>
                <w:szCs w:val="20"/>
              </w:rPr>
            </w:pPr>
            <w:r w:rsidRPr="00AD2C4C">
              <w:rPr>
                <w:sz w:val="20"/>
                <w:szCs w:val="20"/>
              </w:rPr>
              <w:t>Kwilu</w:t>
            </w:r>
          </w:p>
        </w:tc>
        <w:tc>
          <w:tcPr>
            <w:tcW w:w="2562" w:type="dxa"/>
          </w:tcPr>
          <w:p w14:paraId="615AF451" w14:textId="4C9034BB" w:rsidR="00EC69C8" w:rsidRPr="00AD2C4C" w:rsidRDefault="00EC69C8" w:rsidP="00EC69C8">
            <w:pPr>
              <w:pStyle w:val="TableParagraph"/>
              <w:spacing w:line="265" w:lineRule="exact"/>
              <w:ind w:left="106"/>
              <w:jc w:val="center"/>
              <w:rPr>
                <w:sz w:val="20"/>
                <w:szCs w:val="20"/>
              </w:rPr>
            </w:pPr>
            <w:r w:rsidRPr="00AD2C4C">
              <w:rPr>
                <w:sz w:val="20"/>
                <w:szCs w:val="20"/>
              </w:rPr>
              <w:t>897 000</w:t>
            </w:r>
          </w:p>
        </w:tc>
        <w:tc>
          <w:tcPr>
            <w:tcW w:w="2555" w:type="dxa"/>
          </w:tcPr>
          <w:p w14:paraId="795BAE00" w14:textId="12FDEB88" w:rsidR="00EC69C8" w:rsidRPr="00AD2C4C" w:rsidRDefault="00EC69C8" w:rsidP="00EC69C8">
            <w:pPr>
              <w:pStyle w:val="TableParagraph"/>
              <w:spacing w:line="265" w:lineRule="exact"/>
              <w:ind w:left="106"/>
              <w:jc w:val="center"/>
              <w:rPr>
                <w:sz w:val="20"/>
                <w:szCs w:val="20"/>
              </w:rPr>
            </w:pPr>
            <w:r w:rsidRPr="00AD2C4C">
              <w:rPr>
                <w:sz w:val="20"/>
                <w:szCs w:val="20"/>
              </w:rPr>
              <w:t>562 100</w:t>
            </w:r>
          </w:p>
        </w:tc>
        <w:tc>
          <w:tcPr>
            <w:tcW w:w="2265" w:type="dxa"/>
          </w:tcPr>
          <w:p w14:paraId="4D2F2964" w14:textId="198C46B2" w:rsidR="00EC69C8" w:rsidRPr="00AD2C4C" w:rsidRDefault="00EC69C8" w:rsidP="00EC69C8">
            <w:pPr>
              <w:pStyle w:val="TableParagraph"/>
              <w:spacing w:line="265" w:lineRule="exact"/>
              <w:ind w:left="108"/>
              <w:jc w:val="center"/>
              <w:rPr>
                <w:sz w:val="20"/>
                <w:szCs w:val="20"/>
              </w:rPr>
            </w:pPr>
            <w:r w:rsidRPr="00AD2C4C">
              <w:rPr>
                <w:sz w:val="20"/>
                <w:szCs w:val="20"/>
              </w:rPr>
              <w:t>63 %</w:t>
            </w:r>
          </w:p>
        </w:tc>
      </w:tr>
      <w:tr w:rsidR="00EC69C8" w:rsidRPr="00C61BD6" w14:paraId="73A138FC" w14:textId="77777777" w:rsidTr="00AD2C4C">
        <w:trPr>
          <w:trHeight w:val="290"/>
        </w:trPr>
        <w:tc>
          <w:tcPr>
            <w:tcW w:w="1685" w:type="dxa"/>
          </w:tcPr>
          <w:p w14:paraId="16ADC467" w14:textId="3E9F0777" w:rsidR="00EC69C8" w:rsidRPr="00AD2C4C" w:rsidRDefault="00EC69C8" w:rsidP="00EC69C8">
            <w:pPr>
              <w:pStyle w:val="TableParagraph"/>
              <w:spacing w:line="268" w:lineRule="exact"/>
              <w:ind w:left="110"/>
              <w:rPr>
                <w:sz w:val="20"/>
                <w:szCs w:val="20"/>
              </w:rPr>
            </w:pPr>
            <w:r w:rsidRPr="00AD2C4C">
              <w:rPr>
                <w:sz w:val="20"/>
                <w:szCs w:val="20"/>
              </w:rPr>
              <w:t>Nord-Kivu</w:t>
            </w:r>
          </w:p>
        </w:tc>
        <w:tc>
          <w:tcPr>
            <w:tcW w:w="2562" w:type="dxa"/>
          </w:tcPr>
          <w:p w14:paraId="235457F2" w14:textId="6BB43DD6" w:rsidR="00EC69C8" w:rsidRPr="00AD2C4C" w:rsidRDefault="00EC69C8" w:rsidP="00EC69C8">
            <w:pPr>
              <w:pStyle w:val="TableParagraph"/>
              <w:spacing w:line="265" w:lineRule="exact"/>
              <w:ind w:left="106"/>
              <w:jc w:val="center"/>
              <w:rPr>
                <w:sz w:val="20"/>
                <w:szCs w:val="20"/>
              </w:rPr>
            </w:pPr>
            <w:r w:rsidRPr="00AD2C4C">
              <w:rPr>
                <w:sz w:val="20"/>
                <w:szCs w:val="20"/>
              </w:rPr>
              <w:t>820 000</w:t>
            </w:r>
          </w:p>
        </w:tc>
        <w:tc>
          <w:tcPr>
            <w:tcW w:w="2555" w:type="dxa"/>
          </w:tcPr>
          <w:p w14:paraId="75BE9F0D" w14:textId="150A2B23" w:rsidR="00EC69C8" w:rsidRPr="00AD2C4C" w:rsidRDefault="00EC69C8" w:rsidP="00EC69C8">
            <w:pPr>
              <w:pStyle w:val="TableParagraph"/>
              <w:spacing w:line="268" w:lineRule="exact"/>
              <w:ind w:left="106"/>
              <w:jc w:val="center"/>
              <w:rPr>
                <w:sz w:val="20"/>
                <w:szCs w:val="20"/>
              </w:rPr>
            </w:pPr>
            <w:r w:rsidRPr="00AD2C4C">
              <w:rPr>
                <w:sz w:val="20"/>
                <w:szCs w:val="20"/>
              </w:rPr>
              <w:t>425 000</w:t>
            </w:r>
          </w:p>
        </w:tc>
        <w:tc>
          <w:tcPr>
            <w:tcW w:w="2265" w:type="dxa"/>
          </w:tcPr>
          <w:p w14:paraId="2CE8A225" w14:textId="3580D389" w:rsidR="00EC69C8" w:rsidRPr="00AD2C4C" w:rsidRDefault="00EC69C8" w:rsidP="00EC69C8">
            <w:pPr>
              <w:pStyle w:val="TableParagraph"/>
              <w:spacing w:line="268" w:lineRule="exact"/>
              <w:ind w:left="108"/>
              <w:jc w:val="center"/>
              <w:rPr>
                <w:sz w:val="20"/>
                <w:szCs w:val="20"/>
              </w:rPr>
            </w:pPr>
            <w:r w:rsidRPr="00AD2C4C">
              <w:rPr>
                <w:sz w:val="20"/>
                <w:szCs w:val="20"/>
              </w:rPr>
              <w:t>52 %</w:t>
            </w:r>
          </w:p>
        </w:tc>
      </w:tr>
      <w:tr w:rsidR="00EC69C8" w:rsidRPr="00C61BD6" w14:paraId="641716EC" w14:textId="77777777" w:rsidTr="00AD2C4C">
        <w:trPr>
          <w:trHeight w:val="289"/>
        </w:trPr>
        <w:tc>
          <w:tcPr>
            <w:tcW w:w="1685" w:type="dxa"/>
          </w:tcPr>
          <w:p w14:paraId="0B1409B2" w14:textId="1CC6480A" w:rsidR="00EC69C8" w:rsidRPr="00AD2C4C" w:rsidRDefault="00EC69C8" w:rsidP="00EC69C8">
            <w:pPr>
              <w:pStyle w:val="TableParagraph"/>
              <w:spacing w:line="268" w:lineRule="exact"/>
              <w:ind w:left="110"/>
              <w:rPr>
                <w:sz w:val="20"/>
                <w:szCs w:val="20"/>
              </w:rPr>
            </w:pPr>
            <w:r w:rsidRPr="00AD2C4C">
              <w:rPr>
                <w:sz w:val="20"/>
                <w:szCs w:val="20"/>
              </w:rPr>
              <w:t>Kasaï Central</w:t>
            </w:r>
          </w:p>
        </w:tc>
        <w:tc>
          <w:tcPr>
            <w:tcW w:w="2562" w:type="dxa"/>
          </w:tcPr>
          <w:p w14:paraId="1AC4A5BE" w14:textId="501BE23A" w:rsidR="00EC69C8" w:rsidRPr="00AD2C4C" w:rsidRDefault="00EC69C8" w:rsidP="00EC69C8">
            <w:pPr>
              <w:pStyle w:val="TableParagraph"/>
              <w:spacing w:line="265" w:lineRule="exact"/>
              <w:ind w:left="106"/>
              <w:jc w:val="center"/>
              <w:rPr>
                <w:sz w:val="20"/>
                <w:szCs w:val="20"/>
              </w:rPr>
            </w:pPr>
            <w:r w:rsidRPr="00AD2C4C">
              <w:rPr>
                <w:sz w:val="20"/>
                <w:szCs w:val="20"/>
              </w:rPr>
              <w:t>430 000</w:t>
            </w:r>
          </w:p>
        </w:tc>
        <w:tc>
          <w:tcPr>
            <w:tcW w:w="2555" w:type="dxa"/>
          </w:tcPr>
          <w:p w14:paraId="051726B8" w14:textId="38174144" w:rsidR="00EC69C8" w:rsidRPr="00AD2C4C" w:rsidRDefault="00EC69C8" w:rsidP="00EC69C8">
            <w:pPr>
              <w:pStyle w:val="TableParagraph"/>
              <w:spacing w:line="268" w:lineRule="exact"/>
              <w:ind w:left="106"/>
              <w:jc w:val="center"/>
              <w:rPr>
                <w:sz w:val="20"/>
                <w:szCs w:val="20"/>
              </w:rPr>
            </w:pPr>
            <w:r w:rsidRPr="00AD2C4C">
              <w:rPr>
                <w:sz w:val="20"/>
                <w:szCs w:val="20"/>
              </w:rPr>
              <w:t>408 504</w:t>
            </w:r>
          </w:p>
        </w:tc>
        <w:tc>
          <w:tcPr>
            <w:tcW w:w="2265" w:type="dxa"/>
          </w:tcPr>
          <w:p w14:paraId="64351943" w14:textId="2A400371" w:rsidR="00EC69C8" w:rsidRPr="00AD2C4C" w:rsidRDefault="00EC69C8" w:rsidP="00EC69C8">
            <w:pPr>
              <w:pStyle w:val="TableParagraph"/>
              <w:spacing w:line="268" w:lineRule="exact"/>
              <w:ind w:left="108"/>
              <w:jc w:val="center"/>
              <w:rPr>
                <w:sz w:val="20"/>
                <w:szCs w:val="20"/>
              </w:rPr>
            </w:pPr>
            <w:r w:rsidRPr="00AD2C4C">
              <w:rPr>
                <w:sz w:val="20"/>
                <w:szCs w:val="20"/>
              </w:rPr>
              <w:t>95 %</w:t>
            </w:r>
          </w:p>
        </w:tc>
      </w:tr>
      <w:tr w:rsidR="00EC69C8" w:rsidRPr="00C61BD6" w14:paraId="37782E73" w14:textId="77777777" w:rsidTr="00AD2C4C">
        <w:trPr>
          <w:trHeight w:val="290"/>
        </w:trPr>
        <w:tc>
          <w:tcPr>
            <w:tcW w:w="1685" w:type="dxa"/>
          </w:tcPr>
          <w:p w14:paraId="64D7580A" w14:textId="6874899C" w:rsidR="00EC69C8" w:rsidRPr="00AD2C4C" w:rsidRDefault="00EC69C8" w:rsidP="00EC69C8">
            <w:pPr>
              <w:pStyle w:val="TableParagraph"/>
              <w:spacing w:line="265" w:lineRule="exact"/>
              <w:ind w:left="110"/>
              <w:rPr>
                <w:sz w:val="20"/>
                <w:szCs w:val="20"/>
              </w:rPr>
            </w:pPr>
            <w:r w:rsidRPr="00AD2C4C">
              <w:rPr>
                <w:sz w:val="20"/>
                <w:szCs w:val="20"/>
              </w:rPr>
              <w:t>Kasaï</w:t>
            </w:r>
          </w:p>
        </w:tc>
        <w:tc>
          <w:tcPr>
            <w:tcW w:w="2562" w:type="dxa"/>
          </w:tcPr>
          <w:p w14:paraId="34595E96" w14:textId="4208E49B" w:rsidR="00EC69C8" w:rsidRPr="00AD2C4C" w:rsidRDefault="00EC69C8" w:rsidP="00EC69C8">
            <w:pPr>
              <w:pStyle w:val="TableParagraph"/>
              <w:spacing w:line="265" w:lineRule="exact"/>
              <w:ind w:left="106"/>
              <w:jc w:val="center"/>
              <w:rPr>
                <w:sz w:val="20"/>
                <w:szCs w:val="20"/>
              </w:rPr>
            </w:pPr>
            <w:r w:rsidRPr="00AD2C4C">
              <w:rPr>
                <w:sz w:val="20"/>
                <w:szCs w:val="20"/>
              </w:rPr>
              <w:t>513 000</w:t>
            </w:r>
          </w:p>
        </w:tc>
        <w:tc>
          <w:tcPr>
            <w:tcW w:w="2555" w:type="dxa"/>
          </w:tcPr>
          <w:p w14:paraId="638E69FF" w14:textId="0E9DBAD0" w:rsidR="00EC69C8" w:rsidRPr="00AD2C4C" w:rsidRDefault="00EC69C8" w:rsidP="00EC69C8">
            <w:pPr>
              <w:pStyle w:val="TableParagraph"/>
              <w:spacing w:line="265" w:lineRule="exact"/>
              <w:ind w:left="106"/>
              <w:jc w:val="center"/>
              <w:rPr>
                <w:sz w:val="20"/>
                <w:szCs w:val="20"/>
              </w:rPr>
            </w:pPr>
            <w:r w:rsidRPr="00AD2C4C">
              <w:rPr>
                <w:sz w:val="20"/>
                <w:szCs w:val="20"/>
              </w:rPr>
              <w:t>304 396</w:t>
            </w:r>
          </w:p>
        </w:tc>
        <w:tc>
          <w:tcPr>
            <w:tcW w:w="2265" w:type="dxa"/>
          </w:tcPr>
          <w:p w14:paraId="69853CBE" w14:textId="74D0C344" w:rsidR="00EC69C8" w:rsidRPr="00AD2C4C" w:rsidRDefault="00EC69C8" w:rsidP="00EC69C8">
            <w:pPr>
              <w:pStyle w:val="TableParagraph"/>
              <w:spacing w:line="265" w:lineRule="exact"/>
              <w:ind w:left="108"/>
              <w:jc w:val="center"/>
              <w:rPr>
                <w:sz w:val="20"/>
                <w:szCs w:val="20"/>
              </w:rPr>
            </w:pPr>
            <w:r w:rsidRPr="00AD2C4C">
              <w:rPr>
                <w:sz w:val="20"/>
                <w:szCs w:val="20"/>
              </w:rPr>
              <w:t>59 %</w:t>
            </w:r>
          </w:p>
        </w:tc>
      </w:tr>
      <w:tr w:rsidR="00EC69C8" w:rsidRPr="00C61BD6" w14:paraId="58874725" w14:textId="77777777" w:rsidTr="00AD2C4C">
        <w:trPr>
          <w:trHeight w:val="54"/>
        </w:trPr>
        <w:tc>
          <w:tcPr>
            <w:tcW w:w="1685" w:type="dxa"/>
          </w:tcPr>
          <w:p w14:paraId="189ABB0F" w14:textId="77777777" w:rsidR="00EC69C8" w:rsidRPr="00AD2C4C" w:rsidRDefault="00EC69C8" w:rsidP="00EC69C8">
            <w:pPr>
              <w:pStyle w:val="TableParagraph"/>
              <w:spacing w:line="265" w:lineRule="exact"/>
              <w:ind w:left="110"/>
              <w:jc w:val="center"/>
              <w:rPr>
                <w:b/>
                <w:sz w:val="20"/>
                <w:szCs w:val="20"/>
              </w:rPr>
            </w:pPr>
            <w:r w:rsidRPr="00AD2C4C">
              <w:rPr>
                <w:b/>
                <w:sz w:val="20"/>
                <w:szCs w:val="20"/>
              </w:rPr>
              <w:t>Total</w:t>
            </w:r>
          </w:p>
        </w:tc>
        <w:tc>
          <w:tcPr>
            <w:tcW w:w="2562" w:type="dxa"/>
          </w:tcPr>
          <w:p w14:paraId="0306FAA8" w14:textId="510C1317" w:rsidR="00EC69C8" w:rsidRPr="00AD2C4C" w:rsidRDefault="00EC69C8" w:rsidP="00EC69C8">
            <w:pPr>
              <w:pStyle w:val="TableParagraph"/>
              <w:spacing w:line="265" w:lineRule="exact"/>
              <w:ind w:left="106"/>
              <w:jc w:val="center"/>
              <w:rPr>
                <w:b/>
                <w:sz w:val="20"/>
                <w:szCs w:val="20"/>
              </w:rPr>
            </w:pPr>
            <w:r w:rsidRPr="00AD2C4C">
              <w:rPr>
                <w:b/>
                <w:sz w:val="20"/>
                <w:szCs w:val="20"/>
              </w:rPr>
              <w:t>2 660 000</w:t>
            </w:r>
          </w:p>
        </w:tc>
        <w:tc>
          <w:tcPr>
            <w:tcW w:w="2555" w:type="dxa"/>
          </w:tcPr>
          <w:p w14:paraId="3DCAA818" w14:textId="665DFCD0" w:rsidR="00EC69C8" w:rsidRPr="00AD2C4C" w:rsidRDefault="00EC69C8" w:rsidP="00EC69C8">
            <w:pPr>
              <w:pStyle w:val="TableParagraph"/>
              <w:spacing w:line="265" w:lineRule="exact"/>
              <w:ind w:left="106"/>
              <w:jc w:val="center"/>
              <w:rPr>
                <w:b/>
                <w:sz w:val="20"/>
                <w:szCs w:val="20"/>
              </w:rPr>
            </w:pPr>
            <w:r w:rsidRPr="00AD2C4C">
              <w:rPr>
                <w:b/>
                <w:sz w:val="20"/>
                <w:szCs w:val="20"/>
              </w:rPr>
              <w:t>1 700 000</w:t>
            </w:r>
          </w:p>
        </w:tc>
        <w:tc>
          <w:tcPr>
            <w:tcW w:w="2265" w:type="dxa"/>
          </w:tcPr>
          <w:p w14:paraId="229F68E1" w14:textId="07DFF0E8" w:rsidR="00EC69C8" w:rsidRPr="00AD2C4C" w:rsidRDefault="00EC69C8" w:rsidP="00EC69C8">
            <w:pPr>
              <w:pStyle w:val="TableParagraph"/>
              <w:spacing w:line="265" w:lineRule="exact"/>
              <w:ind w:left="108"/>
              <w:jc w:val="center"/>
              <w:rPr>
                <w:b/>
                <w:sz w:val="20"/>
                <w:szCs w:val="20"/>
              </w:rPr>
            </w:pPr>
            <w:r w:rsidRPr="00AD2C4C">
              <w:rPr>
                <w:b/>
                <w:sz w:val="20"/>
                <w:szCs w:val="20"/>
              </w:rPr>
              <w:t>64 %</w:t>
            </w:r>
          </w:p>
        </w:tc>
      </w:tr>
    </w:tbl>
    <w:p w14:paraId="58C13440" w14:textId="77777777" w:rsidR="00EC69C8" w:rsidRPr="00C61BD6" w:rsidRDefault="00EC69C8" w:rsidP="00EC69C8">
      <w:pPr>
        <w:pStyle w:val="Corpsdetexte"/>
        <w:spacing w:before="6"/>
        <w:rPr>
          <w:sz w:val="21"/>
          <w:szCs w:val="21"/>
        </w:rPr>
      </w:pPr>
    </w:p>
    <w:p w14:paraId="3C561778" w14:textId="77777777" w:rsidR="00EC69C8" w:rsidRPr="00C61BD6" w:rsidRDefault="00EC69C8" w:rsidP="00EC69C8">
      <w:pPr>
        <w:rPr>
          <w:szCs w:val="21"/>
        </w:rPr>
      </w:pPr>
    </w:p>
    <w:p w14:paraId="6B713724" w14:textId="77777777" w:rsidR="001C2F95" w:rsidRPr="00C61BD6" w:rsidRDefault="001C2F95" w:rsidP="001C2F95">
      <w:pPr>
        <w:pStyle w:val="Titre2"/>
        <w:numPr>
          <w:ilvl w:val="1"/>
          <w:numId w:val="4"/>
        </w:numPr>
        <w:ind w:left="851" w:hanging="425"/>
        <w:rPr>
          <w:rFonts w:cs="Arial"/>
          <w:b/>
          <w:szCs w:val="21"/>
        </w:rPr>
      </w:pPr>
      <w:bookmarkStart w:id="251" w:name="_Toc90393057"/>
      <w:bookmarkStart w:id="252" w:name="_Toc90471416"/>
      <w:r w:rsidRPr="00C61BD6">
        <w:rPr>
          <w:rFonts w:cs="Arial"/>
          <w:b/>
          <w:szCs w:val="21"/>
        </w:rPr>
        <w:t>Dispositif de la mise en œuvre du Projet</w:t>
      </w:r>
      <w:bookmarkEnd w:id="246"/>
      <w:bookmarkEnd w:id="251"/>
      <w:bookmarkEnd w:id="252"/>
    </w:p>
    <w:p w14:paraId="715D4A79" w14:textId="77777777" w:rsidR="001C2F95" w:rsidRPr="00C61BD6" w:rsidRDefault="001C2F95" w:rsidP="001C2F95">
      <w:pPr>
        <w:rPr>
          <w:rFonts w:cs="Arial"/>
          <w:szCs w:val="21"/>
        </w:rPr>
      </w:pPr>
    </w:p>
    <w:p w14:paraId="22FF0177" w14:textId="77777777" w:rsidR="001C2F95" w:rsidRPr="00C61BD6" w:rsidRDefault="001C2F95" w:rsidP="001C2F95">
      <w:pPr>
        <w:rPr>
          <w:rFonts w:cs="Arial"/>
          <w:szCs w:val="21"/>
        </w:rPr>
      </w:pPr>
      <w:r w:rsidRPr="00C61BD6">
        <w:rPr>
          <w:rFonts w:cs="Arial"/>
          <w:szCs w:val="21"/>
        </w:rPr>
        <w:t>L’Arrêté ministériel n°001/CAB/MIN/AGRI/ABC/LTN/2019 du 01 janvier 20</w:t>
      </w:r>
      <w:r w:rsidR="003D09C9" w:rsidRPr="00C61BD6">
        <w:rPr>
          <w:rFonts w:cs="Arial"/>
          <w:szCs w:val="21"/>
        </w:rPr>
        <w:t>19</w:t>
      </w:r>
      <w:r w:rsidRPr="00C61BD6">
        <w:rPr>
          <w:rFonts w:cs="Arial"/>
          <w:szCs w:val="21"/>
        </w:rPr>
        <w:t xml:space="preserve"> portant désignation des membres du Comité Technique Préparatoire et de de Suivi du nouveau Programme National de Développement Agricole est composé des membres issus des institutions suivantes :</w:t>
      </w:r>
    </w:p>
    <w:p w14:paraId="2BE7EF4C" w14:textId="77777777" w:rsidR="001C2F95" w:rsidRPr="00C61BD6" w:rsidRDefault="001C2F95" w:rsidP="001C2F95">
      <w:pPr>
        <w:rPr>
          <w:rFonts w:cs="Arial"/>
          <w:szCs w:val="21"/>
        </w:rPr>
      </w:pPr>
    </w:p>
    <w:p w14:paraId="7BD411DE" w14:textId="77777777" w:rsidR="001C2F95" w:rsidRPr="00C61BD6" w:rsidRDefault="001C2F95" w:rsidP="002378EA">
      <w:pPr>
        <w:pStyle w:val="Paragraphedeliste"/>
        <w:numPr>
          <w:ilvl w:val="0"/>
          <w:numId w:val="33"/>
        </w:numPr>
        <w:rPr>
          <w:rFonts w:cs="Arial"/>
          <w:szCs w:val="21"/>
        </w:rPr>
      </w:pPr>
      <w:r w:rsidRPr="00C61BD6">
        <w:rPr>
          <w:rFonts w:cs="Arial"/>
          <w:szCs w:val="21"/>
        </w:rPr>
        <w:t>Secrétariat Général du Ministère de l’Agriculture, Président ;</w:t>
      </w:r>
    </w:p>
    <w:p w14:paraId="11BE7AFF" w14:textId="77777777" w:rsidR="001C2F95" w:rsidRPr="00C61BD6" w:rsidRDefault="001C2F95" w:rsidP="002378EA">
      <w:pPr>
        <w:pStyle w:val="Paragraphedeliste"/>
        <w:numPr>
          <w:ilvl w:val="0"/>
          <w:numId w:val="33"/>
        </w:numPr>
        <w:rPr>
          <w:rFonts w:cs="Arial"/>
          <w:szCs w:val="21"/>
        </w:rPr>
      </w:pPr>
      <w:r w:rsidRPr="00C61BD6">
        <w:rPr>
          <w:rFonts w:cs="Arial"/>
          <w:szCs w:val="21"/>
        </w:rPr>
        <w:t>Direction d’Études et Planification (DEP) du Ministère de l’Agriculture, Directeur et Coordonnateur du CTPS ;</w:t>
      </w:r>
    </w:p>
    <w:p w14:paraId="53813A2A" w14:textId="77777777" w:rsidR="001C2F95" w:rsidRPr="00C61BD6" w:rsidRDefault="001C2F95" w:rsidP="002378EA">
      <w:pPr>
        <w:pStyle w:val="Paragraphedeliste"/>
        <w:numPr>
          <w:ilvl w:val="0"/>
          <w:numId w:val="33"/>
        </w:numPr>
        <w:rPr>
          <w:rFonts w:cs="Arial"/>
          <w:szCs w:val="21"/>
        </w:rPr>
      </w:pPr>
      <w:r w:rsidRPr="00C61BD6">
        <w:rPr>
          <w:rFonts w:cs="Arial"/>
          <w:szCs w:val="21"/>
        </w:rPr>
        <w:t>Ministère de l’Agriculture, Directeur de Cabinet ;</w:t>
      </w:r>
    </w:p>
    <w:p w14:paraId="1FA13992" w14:textId="77777777" w:rsidR="001C2F95" w:rsidRPr="00C61BD6" w:rsidRDefault="001C2F95" w:rsidP="002378EA">
      <w:pPr>
        <w:pStyle w:val="Paragraphedeliste"/>
        <w:numPr>
          <w:ilvl w:val="0"/>
          <w:numId w:val="33"/>
        </w:numPr>
        <w:rPr>
          <w:rFonts w:cs="Arial"/>
          <w:szCs w:val="21"/>
        </w:rPr>
      </w:pPr>
      <w:r w:rsidRPr="00C61BD6">
        <w:rPr>
          <w:rFonts w:cs="Arial"/>
          <w:szCs w:val="21"/>
        </w:rPr>
        <w:t>Ministère de Développement Rural ;</w:t>
      </w:r>
    </w:p>
    <w:p w14:paraId="072A677D" w14:textId="77777777" w:rsidR="001C2F95" w:rsidRPr="00C61BD6" w:rsidRDefault="001C2F95" w:rsidP="002378EA">
      <w:pPr>
        <w:pStyle w:val="Paragraphedeliste"/>
        <w:numPr>
          <w:ilvl w:val="0"/>
          <w:numId w:val="33"/>
        </w:numPr>
        <w:rPr>
          <w:rFonts w:cs="Arial"/>
          <w:szCs w:val="21"/>
        </w:rPr>
      </w:pPr>
      <w:r w:rsidRPr="00C61BD6">
        <w:rPr>
          <w:rFonts w:cs="Arial"/>
          <w:szCs w:val="21"/>
        </w:rPr>
        <w:t>Ministère de Pêche et Élevage ;</w:t>
      </w:r>
    </w:p>
    <w:p w14:paraId="00D0EAE6" w14:textId="77777777" w:rsidR="001C2F95" w:rsidRPr="00C61BD6" w:rsidRDefault="001C2F95" w:rsidP="002378EA">
      <w:pPr>
        <w:pStyle w:val="Paragraphedeliste"/>
        <w:numPr>
          <w:ilvl w:val="0"/>
          <w:numId w:val="33"/>
        </w:numPr>
        <w:rPr>
          <w:rFonts w:cs="Arial"/>
          <w:szCs w:val="21"/>
        </w:rPr>
      </w:pPr>
      <w:r w:rsidRPr="00C61BD6">
        <w:rPr>
          <w:rFonts w:cs="Arial"/>
          <w:szCs w:val="21"/>
        </w:rPr>
        <w:t>Service National de Semences (SENASEM) ;</w:t>
      </w:r>
    </w:p>
    <w:p w14:paraId="69D02DC7" w14:textId="77777777" w:rsidR="001C2F95" w:rsidRPr="00C61BD6" w:rsidRDefault="001C2F95" w:rsidP="002378EA">
      <w:pPr>
        <w:pStyle w:val="Paragraphedeliste"/>
        <w:numPr>
          <w:ilvl w:val="0"/>
          <w:numId w:val="33"/>
        </w:numPr>
        <w:rPr>
          <w:rFonts w:cs="Arial"/>
          <w:szCs w:val="21"/>
        </w:rPr>
      </w:pPr>
      <w:r w:rsidRPr="00C61BD6">
        <w:rPr>
          <w:rFonts w:cs="Arial"/>
          <w:szCs w:val="21"/>
        </w:rPr>
        <w:t>Service National de Vulgarisation (SNV) ;</w:t>
      </w:r>
    </w:p>
    <w:p w14:paraId="72791C49" w14:textId="77777777" w:rsidR="001C2F95" w:rsidRPr="00C61BD6" w:rsidRDefault="001C2F95" w:rsidP="002378EA">
      <w:pPr>
        <w:pStyle w:val="Paragraphedeliste"/>
        <w:numPr>
          <w:ilvl w:val="0"/>
          <w:numId w:val="33"/>
        </w:numPr>
        <w:rPr>
          <w:rFonts w:cs="Arial"/>
          <w:szCs w:val="21"/>
        </w:rPr>
      </w:pPr>
      <w:r w:rsidRPr="00C61BD6">
        <w:rPr>
          <w:rFonts w:cs="Arial"/>
          <w:szCs w:val="21"/>
        </w:rPr>
        <w:t>SAKSS / Agriculture ;</w:t>
      </w:r>
    </w:p>
    <w:p w14:paraId="2B3EFE87" w14:textId="77777777" w:rsidR="001C2F95" w:rsidRPr="00C61BD6" w:rsidRDefault="001C2F95" w:rsidP="002378EA">
      <w:pPr>
        <w:pStyle w:val="Paragraphedeliste"/>
        <w:numPr>
          <w:ilvl w:val="0"/>
          <w:numId w:val="33"/>
        </w:numPr>
        <w:rPr>
          <w:rFonts w:cs="Arial"/>
          <w:szCs w:val="21"/>
        </w:rPr>
      </w:pPr>
      <w:r w:rsidRPr="00C61BD6">
        <w:rPr>
          <w:rFonts w:cs="Arial"/>
          <w:szCs w:val="21"/>
        </w:rPr>
        <w:t>Institut National des Études et des Recherches Agronomiques (INERA)</w:t>
      </w:r>
    </w:p>
    <w:p w14:paraId="2AB74B00" w14:textId="77777777" w:rsidR="001C2F95" w:rsidRPr="00C61BD6" w:rsidRDefault="001C2F95" w:rsidP="002378EA">
      <w:pPr>
        <w:pStyle w:val="Paragraphedeliste"/>
        <w:numPr>
          <w:ilvl w:val="0"/>
          <w:numId w:val="33"/>
        </w:numPr>
        <w:rPr>
          <w:rFonts w:cs="Arial"/>
          <w:szCs w:val="21"/>
        </w:rPr>
      </w:pPr>
      <w:r w:rsidRPr="00C61BD6">
        <w:rPr>
          <w:rFonts w:cs="Arial"/>
          <w:szCs w:val="21"/>
        </w:rPr>
        <w:t>Cellule d’Analyse des Indicateurs de Développement / Primaire</w:t>
      </w:r>
    </w:p>
    <w:p w14:paraId="54C4FD31" w14:textId="77777777" w:rsidR="001C2F95" w:rsidRPr="00C61BD6" w:rsidRDefault="001C2F95" w:rsidP="002378EA">
      <w:pPr>
        <w:pStyle w:val="Paragraphedeliste"/>
        <w:numPr>
          <w:ilvl w:val="0"/>
          <w:numId w:val="33"/>
        </w:numPr>
        <w:rPr>
          <w:rFonts w:cs="Arial"/>
          <w:szCs w:val="21"/>
        </w:rPr>
      </w:pPr>
      <w:r w:rsidRPr="00C61BD6">
        <w:rPr>
          <w:rFonts w:cs="Arial"/>
          <w:szCs w:val="21"/>
        </w:rPr>
        <w:t>Programme National de Nutrition (PRONANUT) ;</w:t>
      </w:r>
    </w:p>
    <w:p w14:paraId="24321180" w14:textId="77777777" w:rsidR="001C2F95" w:rsidRPr="00C61BD6" w:rsidRDefault="001C2F95" w:rsidP="002378EA">
      <w:pPr>
        <w:pStyle w:val="Paragraphedeliste"/>
        <w:numPr>
          <w:ilvl w:val="0"/>
          <w:numId w:val="33"/>
        </w:numPr>
        <w:rPr>
          <w:rFonts w:cs="Arial"/>
          <w:szCs w:val="21"/>
        </w:rPr>
      </w:pPr>
      <w:r w:rsidRPr="00C61BD6">
        <w:rPr>
          <w:rFonts w:cs="Arial"/>
          <w:szCs w:val="21"/>
        </w:rPr>
        <w:t>Fédération des Entreprises au Congo (FEC) ;</w:t>
      </w:r>
    </w:p>
    <w:p w14:paraId="2FD62707" w14:textId="77777777" w:rsidR="001C2F95" w:rsidRPr="00C61BD6" w:rsidRDefault="001C2F95" w:rsidP="002378EA">
      <w:pPr>
        <w:pStyle w:val="Paragraphedeliste"/>
        <w:numPr>
          <w:ilvl w:val="0"/>
          <w:numId w:val="33"/>
        </w:numPr>
        <w:rPr>
          <w:rFonts w:cs="Arial"/>
          <w:szCs w:val="21"/>
        </w:rPr>
      </w:pPr>
      <w:r w:rsidRPr="00C61BD6">
        <w:rPr>
          <w:rFonts w:cs="Arial"/>
          <w:szCs w:val="21"/>
        </w:rPr>
        <w:t>Confédération des Producteurs Agricoles au Congo (CONAPAC) ;</w:t>
      </w:r>
    </w:p>
    <w:p w14:paraId="45A414FB" w14:textId="77777777" w:rsidR="001C2F95" w:rsidRPr="00C61BD6" w:rsidRDefault="001C2F95" w:rsidP="002378EA">
      <w:pPr>
        <w:pStyle w:val="Paragraphedeliste"/>
        <w:numPr>
          <w:ilvl w:val="0"/>
          <w:numId w:val="33"/>
        </w:numPr>
        <w:rPr>
          <w:rFonts w:cs="Arial"/>
          <w:szCs w:val="21"/>
        </w:rPr>
      </w:pPr>
      <w:r w:rsidRPr="00C61BD6">
        <w:rPr>
          <w:rFonts w:cs="Arial"/>
          <w:szCs w:val="21"/>
        </w:rPr>
        <w:t>Faculté des Sciences / UNIKIN ;</w:t>
      </w:r>
    </w:p>
    <w:p w14:paraId="42C5A811" w14:textId="77777777" w:rsidR="001C2F95" w:rsidRPr="00C61BD6" w:rsidRDefault="001C2F95" w:rsidP="002378EA">
      <w:pPr>
        <w:pStyle w:val="Paragraphedeliste"/>
        <w:numPr>
          <w:ilvl w:val="0"/>
          <w:numId w:val="33"/>
        </w:numPr>
        <w:rPr>
          <w:rFonts w:cs="Arial"/>
          <w:szCs w:val="21"/>
        </w:rPr>
      </w:pPr>
      <w:r w:rsidRPr="00C61BD6">
        <w:rPr>
          <w:rFonts w:cs="Arial"/>
          <w:szCs w:val="21"/>
        </w:rPr>
        <w:t>Faculté des Sciences Agronomiques de l’UNIKIN ;</w:t>
      </w:r>
    </w:p>
    <w:p w14:paraId="33CD6792" w14:textId="77777777" w:rsidR="001C2F95" w:rsidRPr="00C61BD6" w:rsidRDefault="001C2F95" w:rsidP="002378EA">
      <w:pPr>
        <w:pStyle w:val="Paragraphedeliste"/>
        <w:numPr>
          <w:ilvl w:val="0"/>
          <w:numId w:val="33"/>
        </w:numPr>
        <w:rPr>
          <w:rFonts w:cs="Arial"/>
          <w:szCs w:val="21"/>
        </w:rPr>
      </w:pPr>
      <w:r w:rsidRPr="00C61BD6">
        <w:rPr>
          <w:rFonts w:cs="Arial"/>
          <w:szCs w:val="21"/>
        </w:rPr>
        <w:t>Coordination du PARRSA FA ;</w:t>
      </w:r>
    </w:p>
    <w:p w14:paraId="6A0B2C3F" w14:textId="77777777" w:rsidR="001C2F95" w:rsidRPr="00C61BD6" w:rsidRDefault="001C2F95" w:rsidP="002378EA">
      <w:pPr>
        <w:pStyle w:val="Paragraphedeliste"/>
        <w:numPr>
          <w:ilvl w:val="0"/>
          <w:numId w:val="33"/>
        </w:numPr>
        <w:rPr>
          <w:rFonts w:cs="Arial"/>
          <w:szCs w:val="21"/>
        </w:rPr>
      </w:pPr>
      <w:r w:rsidRPr="00C61BD6">
        <w:rPr>
          <w:rFonts w:cs="Arial"/>
          <w:szCs w:val="21"/>
        </w:rPr>
        <w:t>Corps des Inspecteurs Nationaux ; et</w:t>
      </w:r>
    </w:p>
    <w:p w14:paraId="49AD4F6B" w14:textId="77777777" w:rsidR="001C2F95" w:rsidRPr="00C61BD6" w:rsidRDefault="001C2F95" w:rsidP="002378EA">
      <w:pPr>
        <w:pStyle w:val="Paragraphedeliste"/>
        <w:numPr>
          <w:ilvl w:val="0"/>
          <w:numId w:val="33"/>
        </w:numPr>
        <w:rPr>
          <w:rFonts w:cs="Arial"/>
          <w:szCs w:val="21"/>
        </w:rPr>
      </w:pPr>
      <w:r w:rsidRPr="00C61BD6">
        <w:rPr>
          <w:rFonts w:cs="Arial"/>
          <w:szCs w:val="21"/>
        </w:rPr>
        <w:t>Clinique Centre Agronomique et Vétérinaire Tropical de Kinshasa  CAVTK.</w:t>
      </w:r>
    </w:p>
    <w:p w14:paraId="18CC903E" w14:textId="77777777" w:rsidR="001C2F95" w:rsidRPr="00C61BD6" w:rsidRDefault="001C2F95" w:rsidP="001C2F95">
      <w:pPr>
        <w:rPr>
          <w:rFonts w:cs="Arial"/>
          <w:szCs w:val="21"/>
        </w:rPr>
      </w:pPr>
    </w:p>
    <w:p w14:paraId="2361795B" w14:textId="7CFED30B" w:rsidR="00D20A53" w:rsidRPr="00C61BD6" w:rsidRDefault="00EB7F94" w:rsidP="00371E48">
      <w:pPr>
        <w:spacing w:line="259" w:lineRule="auto"/>
        <w:rPr>
          <w:rFonts w:cs="Arial"/>
          <w:color w:val="000000"/>
          <w:szCs w:val="21"/>
        </w:rPr>
      </w:pPr>
      <w:r w:rsidRPr="00C61BD6">
        <w:rPr>
          <w:rFonts w:cs="Arial"/>
          <w:color w:val="222222"/>
          <w:szCs w:val="21"/>
        </w:rPr>
        <w:t>À</w:t>
      </w:r>
      <w:r w:rsidR="001C2F95" w:rsidRPr="00C61BD6">
        <w:rPr>
          <w:rFonts w:cs="Arial"/>
          <w:color w:val="222222"/>
          <w:szCs w:val="21"/>
        </w:rPr>
        <w:t xml:space="preserve"> ce stade, </w:t>
      </w:r>
      <w:r w:rsidR="001C2F95" w:rsidRPr="00C61BD6">
        <w:rPr>
          <w:rFonts w:cs="Arial"/>
          <w:color w:val="000000"/>
          <w:szCs w:val="21"/>
        </w:rPr>
        <w:t>le dispositif institutionnel de coordination du projet et de la gestion fiduciaire principale est sous la responsabilité globale de la Coordination du PARRSA FA en collaboration avec le Comité Technique Préparatoire et de Suivi du PNDA.</w:t>
      </w:r>
      <w:bookmarkStart w:id="253" w:name="_Toc476049900"/>
      <w:bookmarkStart w:id="254" w:name="_Toc506176070"/>
      <w:bookmarkStart w:id="255" w:name="_Toc44626802"/>
    </w:p>
    <w:p w14:paraId="56F335BF" w14:textId="77777777" w:rsidR="00371E48" w:rsidRPr="00C61BD6" w:rsidRDefault="00371E48" w:rsidP="00371E48">
      <w:pPr>
        <w:spacing w:line="259" w:lineRule="auto"/>
        <w:rPr>
          <w:rFonts w:cs="Arial"/>
          <w:b/>
          <w:bCs/>
          <w:szCs w:val="21"/>
        </w:rPr>
      </w:pPr>
    </w:p>
    <w:p w14:paraId="6D795858" w14:textId="3ABA4E25" w:rsidR="001C2F95" w:rsidRPr="00C61BD6" w:rsidRDefault="001C2F95" w:rsidP="00371E48">
      <w:pPr>
        <w:pStyle w:val="Titre2"/>
        <w:numPr>
          <w:ilvl w:val="1"/>
          <w:numId w:val="4"/>
        </w:numPr>
        <w:ind w:left="851" w:hanging="425"/>
        <w:rPr>
          <w:rFonts w:cs="Arial"/>
          <w:b/>
          <w:szCs w:val="21"/>
        </w:rPr>
      </w:pPr>
      <w:bookmarkStart w:id="256" w:name="_Toc90393058"/>
      <w:bookmarkStart w:id="257" w:name="_Toc90471417"/>
      <w:r w:rsidRPr="00C61BD6">
        <w:rPr>
          <w:rFonts w:cs="Arial"/>
          <w:b/>
          <w:szCs w:val="21"/>
        </w:rPr>
        <w:t>Coût de la mise en œuvre</w:t>
      </w:r>
      <w:bookmarkEnd w:id="253"/>
      <w:bookmarkEnd w:id="254"/>
      <w:bookmarkEnd w:id="255"/>
      <w:bookmarkEnd w:id="256"/>
      <w:bookmarkEnd w:id="257"/>
    </w:p>
    <w:p w14:paraId="633F2253" w14:textId="77777777" w:rsidR="001C2F95" w:rsidRPr="00C61BD6" w:rsidRDefault="001C2F95" w:rsidP="003259A2">
      <w:pPr>
        <w:rPr>
          <w:rFonts w:cs="Arial"/>
          <w:bCs/>
          <w:szCs w:val="21"/>
        </w:rPr>
      </w:pPr>
    </w:p>
    <w:p w14:paraId="0814BBD3" w14:textId="77777777" w:rsidR="001C2F95" w:rsidRPr="00C61BD6" w:rsidRDefault="001C2F95" w:rsidP="001C2F95">
      <w:pPr>
        <w:rPr>
          <w:rFonts w:cs="Arial"/>
          <w:bCs/>
          <w:szCs w:val="21"/>
        </w:rPr>
      </w:pPr>
      <w:r w:rsidRPr="00C61BD6">
        <w:rPr>
          <w:rFonts w:cs="Arial"/>
          <w:bCs/>
          <w:szCs w:val="21"/>
        </w:rPr>
        <w:t>Le coût de mise en œuvre du PNDA première phase de 5 ans est estimé à 500 millions de dollars américains, répartis par composante dans le tableau 2 ci-dessous.</w:t>
      </w:r>
    </w:p>
    <w:p w14:paraId="37155E89" w14:textId="2770D0BD" w:rsidR="001C2F95" w:rsidRPr="00C61BD6" w:rsidRDefault="001C2F95" w:rsidP="001C2F95">
      <w:pPr>
        <w:jc w:val="left"/>
        <w:rPr>
          <w:rFonts w:cs="Arial"/>
          <w:bCs/>
          <w:szCs w:val="21"/>
        </w:rPr>
      </w:pPr>
      <w:bookmarkStart w:id="258" w:name="_Toc90392971"/>
      <w:r w:rsidRPr="00C61BD6">
        <w:rPr>
          <w:rFonts w:cs="Arial"/>
          <w:szCs w:val="21"/>
        </w:rPr>
        <w:t xml:space="preserve">Tableau </w:t>
      </w:r>
      <w:r w:rsidRPr="00C61BD6">
        <w:rPr>
          <w:rFonts w:cs="Arial"/>
          <w:szCs w:val="21"/>
        </w:rPr>
        <w:fldChar w:fldCharType="begin"/>
      </w:r>
      <w:r w:rsidRPr="00C61BD6">
        <w:rPr>
          <w:rFonts w:cs="Arial"/>
          <w:szCs w:val="21"/>
        </w:rPr>
        <w:instrText xml:space="preserve"> SEQ Tableau \* ARABIC </w:instrText>
      </w:r>
      <w:r w:rsidRPr="00C61BD6">
        <w:rPr>
          <w:rFonts w:cs="Arial"/>
          <w:szCs w:val="21"/>
        </w:rPr>
        <w:fldChar w:fldCharType="separate"/>
      </w:r>
      <w:r w:rsidR="00DC7C80" w:rsidRPr="00C61BD6">
        <w:rPr>
          <w:rFonts w:cs="Arial"/>
          <w:noProof/>
          <w:szCs w:val="21"/>
        </w:rPr>
        <w:t>2</w:t>
      </w:r>
      <w:r w:rsidRPr="00C61BD6">
        <w:rPr>
          <w:rFonts w:cs="Arial"/>
          <w:szCs w:val="21"/>
        </w:rPr>
        <w:fldChar w:fldCharType="end"/>
      </w:r>
      <w:r w:rsidRPr="00C61BD6">
        <w:rPr>
          <w:rFonts w:cs="Arial"/>
          <w:szCs w:val="21"/>
        </w:rPr>
        <w:t>.</w:t>
      </w:r>
      <w:r w:rsidRPr="00C61BD6">
        <w:rPr>
          <w:rFonts w:cs="Arial"/>
          <w:bCs/>
          <w:szCs w:val="21"/>
        </w:rPr>
        <w:t xml:space="preserve"> Coûts du Projet par composante</w:t>
      </w:r>
      <w:bookmarkEnd w:id="258"/>
    </w:p>
    <w:p w14:paraId="49D8800A" w14:textId="77777777" w:rsidR="00AE3A4F" w:rsidRPr="00C61BD6" w:rsidRDefault="00AE3A4F" w:rsidP="001C2F95">
      <w:pPr>
        <w:rPr>
          <w:rFonts w:cs="Arial"/>
          <w:szCs w:val="21"/>
        </w:rPr>
      </w:pPr>
    </w:p>
    <w:tbl>
      <w:tblPr>
        <w:tblW w:w="9072" w:type="dxa"/>
        <w:tblInd w:w="-5" w:type="dxa"/>
        <w:tblCellMar>
          <w:left w:w="70" w:type="dxa"/>
          <w:right w:w="70" w:type="dxa"/>
        </w:tblCellMar>
        <w:tblLook w:val="04A0" w:firstRow="1" w:lastRow="0" w:firstColumn="1" w:lastColumn="0" w:noHBand="0" w:noVBand="1"/>
      </w:tblPr>
      <w:tblGrid>
        <w:gridCol w:w="6663"/>
        <w:gridCol w:w="2409"/>
      </w:tblGrid>
      <w:tr w:rsidR="001C2F95" w:rsidRPr="00C61BD6" w14:paraId="39D21D2B" w14:textId="77777777" w:rsidTr="00971FD2">
        <w:trPr>
          <w:trHeight w:val="540"/>
        </w:trPr>
        <w:tc>
          <w:tcPr>
            <w:tcW w:w="6663" w:type="dxa"/>
            <w:tcBorders>
              <w:top w:val="single" w:sz="4" w:space="0" w:color="auto"/>
              <w:left w:val="single" w:sz="4" w:space="0" w:color="auto"/>
              <w:bottom w:val="single" w:sz="4" w:space="0" w:color="auto"/>
              <w:right w:val="single" w:sz="4" w:space="0" w:color="auto"/>
            </w:tcBorders>
            <w:shd w:val="clear" w:color="000000" w:fill="C5E0B3"/>
            <w:vAlign w:val="center"/>
            <w:hideMark/>
          </w:tcPr>
          <w:p w14:paraId="11B4EA69" w14:textId="77777777" w:rsidR="001C2F95" w:rsidRPr="00C61BD6" w:rsidRDefault="001C2F95" w:rsidP="00971FD2">
            <w:pPr>
              <w:spacing w:line="240" w:lineRule="auto"/>
              <w:jc w:val="center"/>
              <w:rPr>
                <w:rFonts w:cs="Arial"/>
                <w:color w:val="000000"/>
                <w:szCs w:val="21"/>
              </w:rPr>
            </w:pPr>
            <w:r w:rsidRPr="00C61BD6">
              <w:rPr>
                <w:rFonts w:cs="Arial"/>
                <w:color w:val="000000"/>
                <w:szCs w:val="21"/>
              </w:rPr>
              <w:t>Composantes</w:t>
            </w:r>
          </w:p>
        </w:tc>
        <w:tc>
          <w:tcPr>
            <w:tcW w:w="2409" w:type="dxa"/>
            <w:tcBorders>
              <w:top w:val="single" w:sz="4" w:space="0" w:color="auto"/>
              <w:left w:val="nil"/>
              <w:bottom w:val="single" w:sz="4" w:space="0" w:color="auto"/>
              <w:right w:val="single" w:sz="4" w:space="0" w:color="auto"/>
            </w:tcBorders>
            <w:shd w:val="clear" w:color="000000" w:fill="C5E0B3"/>
            <w:vAlign w:val="center"/>
            <w:hideMark/>
          </w:tcPr>
          <w:p w14:paraId="64916B66" w14:textId="77777777" w:rsidR="001C2F95" w:rsidRPr="00C61BD6" w:rsidRDefault="001C2F95" w:rsidP="00971FD2">
            <w:pPr>
              <w:spacing w:line="240" w:lineRule="auto"/>
              <w:jc w:val="center"/>
              <w:rPr>
                <w:rFonts w:cs="Arial"/>
                <w:color w:val="000000"/>
                <w:szCs w:val="21"/>
              </w:rPr>
            </w:pPr>
            <w:r w:rsidRPr="00C61BD6">
              <w:rPr>
                <w:rFonts w:cs="Arial"/>
                <w:color w:val="000000"/>
                <w:szCs w:val="21"/>
              </w:rPr>
              <w:t>Coûts en Million USD</w:t>
            </w:r>
          </w:p>
        </w:tc>
      </w:tr>
      <w:tr w:rsidR="001C2F95" w:rsidRPr="00C61BD6" w14:paraId="050336E2" w14:textId="77777777" w:rsidTr="00971FD2">
        <w:trPr>
          <w:trHeight w:val="277"/>
        </w:trPr>
        <w:tc>
          <w:tcPr>
            <w:tcW w:w="6663" w:type="dxa"/>
            <w:tcBorders>
              <w:top w:val="nil"/>
              <w:left w:val="single" w:sz="4" w:space="0" w:color="auto"/>
              <w:bottom w:val="single" w:sz="4" w:space="0" w:color="auto"/>
              <w:right w:val="single" w:sz="4" w:space="0" w:color="auto"/>
            </w:tcBorders>
            <w:shd w:val="clear" w:color="auto" w:fill="auto"/>
            <w:vAlign w:val="center"/>
            <w:hideMark/>
          </w:tcPr>
          <w:p w14:paraId="4CB5D0CA" w14:textId="1B5ABF56" w:rsidR="001C2F95" w:rsidRPr="00C61BD6" w:rsidRDefault="001C2F95" w:rsidP="00044EF1">
            <w:pPr>
              <w:spacing w:line="240" w:lineRule="auto"/>
              <w:rPr>
                <w:rFonts w:cs="Arial"/>
                <w:color w:val="222222"/>
                <w:szCs w:val="21"/>
              </w:rPr>
            </w:pPr>
            <w:r w:rsidRPr="00C61BD6">
              <w:rPr>
                <w:rFonts w:cs="Arial"/>
                <w:color w:val="222222"/>
                <w:szCs w:val="21"/>
              </w:rPr>
              <w:t xml:space="preserve">Composante 1 : Productivité agricole </w:t>
            </w:r>
            <w:r w:rsidR="00956B53" w:rsidRPr="00C61BD6">
              <w:rPr>
                <w:rFonts w:cs="Arial"/>
                <w:color w:val="222222"/>
                <w:szCs w:val="21"/>
              </w:rPr>
              <w:t>(</w:t>
            </w:r>
            <w:r w:rsidR="00044EF1" w:rsidRPr="00C61BD6">
              <w:rPr>
                <w:rFonts w:cs="Arial"/>
                <w:color w:val="222222"/>
                <w:szCs w:val="21"/>
              </w:rPr>
              <w:t>290</w:t>
            </w:r>
            <w:r w:rsidR="00956B53" w:rsidRPr="00C61BD6">
              <w:rPr>
                <w:rFonts w:cs="Arial"/>
                <w:color w:val="222222"/>
                <w:szCs w:val="21"/>
              </w:rPr>
              <w:t xml:space="preserve"> Millions USD)</w:t>
            </w:r>
          </w:p>
        </w:tc>
        <w:tc>
          <w:tcPr>
            <w:tcW w:w="2409" w:type="dxa"/>
            <w:tcBorders>
              <w:top w:val="nil"/>
              <w:left w:val="nil"/>
              <w:bottom w:val="single" w:sz="4" w:space="0" w:color="auto"/>
              <w:right w:val="single" w:sz="4" w:space="0" w:color="auto"/>
            </w:tcBorders>
            <w:shd w:val="clear" w:color="auto" w:fill="auto"/>
            <w:vAlign w:val="center"/>
            <w:hideMark/>
          </w:tcPr>
          <w:p w14:paraId="7617AADF" w14:textId="77777777" w:rsidR="001C2F95" w:rsidRPr="00C61BD6" w:rsidRDefault="001C2F95" w:rsidP="00971FD2">
            <w:pPr>
              <w:spacing w:line="240" w:lineRule="auto"/>
              <w:jc w:val="center"/>
              <w:rPr>
                <w:rFonts w:cs="Arial"/>
                <w:color w:val="000000"/>
                <w:szCs w:val="21"/>
              </w:rPr>
            </w:pPr>
          </w:p>
        </w:tc>
      </w:tr>
      <w:tr w:rsidR="00AE3A4F" w:rsidRPr="00C61BD6" w14:paraId="6C597FD4" w14:textId="77777777" w:rsidTr="00971FD2">
        <w:trPr>
          <w:trHeight w:val="277"/>
        </w:trPr>
        <w:tc>
          <w:tcPr>
            <w:tcW w:w="6663" w:type="dxa"/>
            <w:tcBorders>
              <w:top w:val="nil"/>
              <w:left w:val="single" w:sz="4" w:space="0" w:color="auto"/>
              <w:bottom w:val="single" w:sz="4" w:space="0" w:color="auto"/>
              <w:right w:val="single" w:sz="4" w:space="0" w:color="auto"/>
            </w:tcBorders>
            <w:shd w:val="clear" w:color="auto" w:fill="auto"/>
            <w:vAlign w:val="center"/>
          </w:tcPr>
          <w:p w14:paraId="675D37F8" w14:textId="77777777" w:rsidR="00AE3A4F" w:rsidRPr="00C61BD6" w:rsidRDefault="00AE3A4F" w:rsidP="00AE3A4F">
            <w:pPr>
              <w:spacing w:line="240" w:lineRule="auto"/>
              <w:rPr>
                <w:rFonts w:cs="Arial"/>
                <w:color w:val="222222"/>
                <w:szCs w:val="21"/>
              </w:rPr>
            </w:pPr>
            <w:r w:rsidRPr="00C61BD6">
              <w:rPr>
                <w:rFonts w:cs="Arial"/>
                <w:color w:val="222222"/>
                <w:szCs w:val="21"/>
              </w:rPr>
              <w:t xml:space="preserve">Sous-composante 1.1 : Soutien direct aux petits exploitants  </w:t>
            </w:r>
          </w:p>
        </w:tc>
        <w:tc>
          <w:tcPr>
            <w:tcW w:w="2409" w:type="dxa"/>
            <w:tcBorders>
              <w:top w:val="nil"/>
              <w:left w:val="nil"/>
              <w:bottom w:val="single" w:sz="4" w:space="0" w:color="auto"/>
              <w:right w:val="single" w:sz="4" w:space="0" w:color="auto"/>
            </w:tcBorders>
            <w:shd w:val="clear" w:color="auto" w:fill="auto"/>
            <w:vAlign w:val="center"/>
          </w:tcPr>
          <w:p w14:paraId="7E3903F3" w14:textId="77777777" w:rsidR="00AE3A4F" w:rsidRPr="00C61BD6" w:rsidRDefault="00AE3A4F" w:rsidP="00AE3A4F">
            <w:pPr>
              <w:spacing w:line="240" w:lineRule="auto"/>
              <w:jc w:val="center"/>
              <w:rPr>
                <w:rFonts w:cs="Arial"/>
                <w:color w:val="000000"/>
                <w:szCs w:val="21"/>
              </w:rPr>
            </w:pPr>
            <w:r w:rsidRPr="00C61BD6">
              <w:rPr>
                <w:rFonts w:cs="Arial"/>
                <w:color w:val="000000"/>
                <w:szCs w:val="21"/>
              </w:rPr>
              <w:t xml:space="preserve">240 </w:t>
            </w:r>
          </w:p>
        </w:tc>
      </w:tr>
      <w:tr w:rsidR="00AE3A4F" w:rsidRPr="00C61BD6" w14:paraId="0330404F" w14:textId="77777777" w:rsidTr="00971FD2">
        <w:trPr>
          <w:trHeight w:val="277"/>
        </w:trPr>
        <w:tc>
          <w:tcPr>
            <w:tcW w:w="6663" w:type="dxa"/>
            <w:tcBorders>
              <w:top w:val="nil"/>
              <w:left w:val="single" w:sz="4" w:space="0" w:color="auto"/>
              <w:bottom w:val="single" w:sz="4" w:space="0" w:color="auto"/>
              <w:right w:val="single" w:sz="4" w:space="0" w:color="auto"/>
            </w:tcBorders>
            <w:shd w:val="clear" w:color="auto" w:fill="auto"/>
            <w:vAlign w:val="center"/>
          </w:tcPr>
          <w:p w14:paraId="4089E047" w14:textId="77777777" w:rsidR="00AE3A4F" w:rsidRPr="00C61BD6" w:rsidRDefault="00AE3A4F" w:rsidP="00AE3A4F">
            <w:pPr>
              <w:spacing w:line="240" w:lineRule="auto"/>
              <w:rPr>
                <w:rFonts w:cs="Arial"/>
                <w:color w:val="222222"/>
                <w:szCs w:val="21"/>
              </w:rPr>
            </w:pPr>
            <w:r w:rsidRPr="00C61BD6">
              <w:rPr>
                <w:rFonts w:cs="Arial"/>
                <w:color w:val="222222"/>
                <w:szCs w:val="21"/>
              </w:rPr>
              <w:t xml:space="preserve">Sous-composante 1.2 : Assistance technique et accès financier aux petits exploitants </w:t>
            </w:r>
          </w:p>
        </w:tc>
        <w:tc>
          <w:tcPr>
            <w:tcW w:w="2409" w:type="dxa"/>
            <w:tcBorders>
              <w:top w:val="nil"/>
              <w:left w:val="nil"/>
              <w:bottom w:val="single" w:sz="4" w:space="0" w:color="auto"/>
              <w:right w:val="single" w:sz="4" w:space="0" w:color="auto"/>
            </w:tcBorders>
            <w:shd w:val="clear" w:color="auto" w:fill="auto"/>
            <w:vAlign w:val="center"/>
          </w:tcPr>
          <w:p w14:paraId="046DCBCE" w14:textId="77777777" w:rsidR="00AE3A4F" w:rsidRPr="00C61BD6" w:rsidRDefault="00AE3A4F" w:rsidP="00AE3A4F">
            <w:pPr>
              <w:spacing w:line="240" w:lineRule="auto"/>
              <w:jc w:val="center"/>
              <w:rPr>
                <w:rFonts w:cs="Arial"/>
                <w:color w:val="000000"/>
                <w:szCs w:val="21"/>
              </w:rPr>
            </w:pPr>
            <w:r w:rsidRPr="00C61BD6">
              <w:rPr>
                <w:rFonts w:cs="Arial"/>
                <w:color w:val="000000"/>
                <w:szCs w:val="21"/>
              </w:rPr>
              <w:t>10</w:t>
            </w:r>
          </w:p>
        </w:tc>
      </w:tr>
      <w:tr w:rsidR="00044EF1" w:rsidRPr="00C61BD6" w14:paraId="60333B5F" w14:textId="77777777" w:rsidTr="00971FD2">
        <w:trPr>
          <w:trHeight w:val="409"/>
        </w:trPr>
        <w:tc>
          <w:tcPr>
            <w:tcW w:w="6663" w:type="dxa"/>
            <w:tcBorders>
              <w:top w:val="nil"/>
              <w:left w:val="single" w:sz="4" w:space="0" w:color="auto"/>
              <w:bottom w:val="single" w:sz="4" w:space="0" w:color="auto"/>
              <w:right w:val="single" w:sz="4" w:space="0" w:color="auto"/>
            </w:tcBorders>
            <w:shd w:val="clear" w:color="auto" w:fill="auto"/>
            <w:vAlign w:val="center"/>
          </w:tcPr>
          <w:p w14:paraId="613B6837" w14:textId="2C119243" w:rsidR="00044EF1" w:rsidRPr="00C61BD6" w:rsidRDefault="00044EF1" w:rsidP="00044EF1">
            <w:pPr>
              <w:spacing w:line="240" w:lineRule="auto"/>
              <w:rPr>
                <w:rFonts w:cs="Arial"/>
                <w:color w:val="222222"/>
                <w:szCs w:val="21"/>
              </w:rPr>
            </w:pPr>
            <w:r w:rsidRPr="00C61BD6">
              <w:rPr>
                <w:rFonts w:cs="Arial"/>
                <w:color w:val="222222"/>
                <w:szCs w:val="21"/>
              </w:rPr>
              <w:t>Sous-composante 1.3 : Réponse aux urgences agricoles</w:t>
            </w:r>
          </w:p>
        </w:tc>
        <w:tc>
          <w:tcPr>
            <w:tcW w:w="2409" w:type="dxa"/>
            <w:tcBorders>
              <w:top w:val="nil"/>
              <w:left w:val="nil"/>
              <w:bottom w:val="single" w:sz="4" w:space="0" w:color="auto"/>
              <w:right w:val="single" w:sz="4" w:space="0" w:color="auto"/>
            </w:tcBorders>
            <w:shd w:val="clear" w:color="auto" w:fill="auto"/>
            <w:vAlign w:val="center"/>
          </w:tcPr>
          <w:p w14:paraId="3F19EA03" w14:textId="3924EE68" w:rsidR="00044EF1" w:rsidRPr="00C61BD6" w:rsidRDefault="00044EF1" w:rsidP="00AE3A4F">
            <w:pPr>
              <w:spacing w:line="240" w:lineRule="auto"/>
              <w:jc w:val="center"/>
              <w:rPr>
                <w:rFonts w:cs="Arial"/>
                <w:color w:val="000000"/>
                <w:szCs w:val="21"/>
              </w:rPr>
            </w:pPr>
            <w:r w:rsidRPr="00C61BD6">
              <w:rPr>
                <w:rFonts w:cs="Arial"/>
                <w:color w:val="000000"/>
                <w:szCs w:val="21"/>
              </w:rPr>
              <w:t>40</w:t>
            </w:r>
          </w:p>
        </w:tc>
      </w:tr>
      <w:tr w:rsidR="00AE3A4F" w:rsidRPr="00C61BD6" w14:paraId="7DEA4B36" w14:textId="77777777" w:rsidTr="00971FD2">
        <w:trPr>
          <w:trHeight w:val="409"/>
        </w:trPr>
        <w:tc>
          <w:tcPr>
            <w:tcW w:w="6663" w:type="dxa"/>
            <w:tcBorders>
              <w:top w:val="nil"/>
              <w:left w:val="single" w:sz="4" w:space="0" w:color="auto"/>
              <w:bottom w:val="single" w:sz="4" w:space="0" w:color="auto"/>
              <w:right w:val="single" w:sz="4" w:space="0" w:color="auto"/>
            </w:tcBorders>
            <w:shd w:val="clear" w:color="auto" w:fill="auto"/>
            <w:vAlign w:val="center"/>
            <w:hideMark/>
          </w:tcPr>
          <w:p w14:paraId="6D1FB917" w14:textId="77777777" w:rsidR="00AE3A4F" w:rsidRPr="00C61BD6" w:rsidRDefault="00AE3A4F" w:rsidP="00AE3A4F">
            <w:pPr>
              <w:spacing w:line="240" w:lineRule="auto"/>
              <w:rPr>
                <w:rFonts w:cs="Arial"/>
                <w:color w:val="222222"/>
                <w:szCs w:val="21"/>
              </w:rPr>
            </w:pPr>
            <w:r w:rsidRPr="00C61BD6">
              <w:rPr>
                <w:rFonts w:cs="Arial"/>
                <w:color w:val="222222"/>
                <w:szCs w:val="21"/>
              </w:rPr>
              <w:t xml:space="preserve">Composante 2 : Accès au marché des petits exploitants </w:t>
            </w:r>
            <w:r w:rsidR="00956B53" w:rsidRPr="00C61BD6">
              <w:rPr>
                <w:rFonts w:cs="Arial"/>
                <w:color w:val="222222"/>
                <w:szCs w:val="21"/>
              </w:rPr>
              <w:t xml:space="preserve"> (150 Millions USD)</w:t>
            </w:r>
          </w:p>
        </w:tc>
        <w:tc>
          <w:tcPr>
            <w:tcW w:w="2409" w:type="dxa"/>
            <w:tcBorders>
              <w:top w:val="nil"/>
              <w:left w:val="nil"/>
              <w:bottom w:val="single" w:sz="4" w:space="0" w:color="auto"/>
              <w:right w:val="single" w:sz="4" w:space="0" w:color="auto"/>
            </w:tcBorders>
            <w:shd w:val="clear" w:color="auto" w:fill="auto"/>
            <w:vAlign w:val="center"/>
            <w:hideMark/>
          </w:tcPr>
          <w:p w14:paraId="750C8F81" w14:textId="77777777" w:rsidR="00AE3A4F" w:rsidRPr="00C61BD6" w:rsidRDefault="00AE3A4F" w:rsidP="00AE3A4F">
            <w:pPr>
              <w:spacing w:line="240" w:lineRule="auto"/>
              <w:jc w:val="center"/>
              <w:rPr>
                <w:rFonts w:cs="Arial"/>
                <w:color w:val="000000"/>
                <w:szCs w:val="21"/>
              </w:rPr>
            </w:pPr>
          </w:p>
        </w:tc>
      </w:tr>
      <w:tr w:rsidR="00AE3A4F" w:rsidRPr="00C61BD6" w14:paraId="7EDF5E35" w14:textId="77777777" w:rsidTr="00971FD2">
        <w:trPr>
          <w:trHeight w:val="409"/>
        </w:trPr>
        <w:tc>
          <w:tcPr>
            <w:tcW w:w="6663" w:type="dxa"/>
            <w:tcBorders>
              <w:top w:val="nil"/>
              <w:left w:val="single" w:sz="4" w:space="0" w:color="auto"/>
              <w:bottom w:val="single" w:sz="4" w:space="0" w:color="auto"/>
              <w:right w:val="single" w:sz="4" w:space="0" w:color="auto"/>
            </w:tcBorders>
            <w:shd w:val="clear" w:color="auto" w:fill="auto"/>
            <w:vAlign w:val="center"/>
          </w:tcPr>
          <w:p w14:paraId="2054407E" w14:textId="036B0E07" w:rsidR="00AE3A4F" w:rsidRPr="00C61BD6" w:rsidRDefault="00AE3A4F" w:rsidP="00044EF1">
            <w:pPr>
              <w:spacing w:line="240" w:lineRule="auto"/>
              <w:rPr>
                <w:rFonts w:cs="Arial"/>
                <w:color w:val="222222"/>
                <w:szCs w:val="21"/>
              </w:rPr>
            </w:pPr>
            <w:r w:rsidRPr="00C61BD6">
              <w:rPr>
                <w:rFonts w:cs="Arial"/>
                <w:color w:val="000000"/>
                <w:szCs w:val="21"/>
              </w:rPr>
              <w:t xml:space="preserve">Sous-composante 2.1 : Infrastructures </w:t>
            </w:r>
            <w:r w:rsidR="00044EF1" w:rsidRPr="00C61BD6">
              <w:rPr>
                <w:rFonts w:cs="Arial"/>
                <w:color w:val="000000"/>
                <w:szCs w:val="21"/>
              </w:rPr>
              <w:t xml:space="preserve">de transport </w:t>
            </w:r>
            <w:r w:rsidRPr="00C61BD6">
              <w:rPr>
                <w:rFonts w:cs="Arial"/>
                <w:color w:val="000000"/>
                <w:szCs w:val="21"/>
              </w:rPr>
              <w:t xml:space="preserve">rural </w:t>
            </w:r>
          </w:p>
        </w:tc>
        <w:tc>
          <w:tcPr>
            <w:tcW w:w="2409" w:type="dxa"/>
            <w:tcBorders>
              <w:top w:val="nil"/>
              <w:left w:val="nil"/>
              <w:bottom w:val="single" w:sz="4" w:space="0" w:color="auto"/>
              <w:right w:val="single" w:sz="4" w:space="0" w:color="auto"/>
            </w:tcBorders>
            <w:shd w:val="clear" w:color="auto" w:fill="auto"/>
            <w:vAlign w:val="center"/>
          </w:tcPr>
          <w:p w14:paraId="5B3AEE93" w14:textId="77777777" w:rsidR="00AE3A4F" w:rsidRPr="00C61BD6" w:rsidRDefault="00AE3A4F" w:rsidP="00AE3A4F">
            <w:pPr>
              <w:spacing w:line="240" w:lineRule="auto"/>
              <w:jc w:val="center"/>
              <w:rPr>
                <w:rFonts w:cs="Arial"/>
                <w:color w:val="000000"/>
                <w:szCs w:val="21"/>
              </w:rPr>
            </w:pPr>
            <w:r w:rsidRPr="00C61BD6">
              <w:rPr>
                <w:rFonts w:cs="Arial"/>
                <w:color w:val="000000"/>
                <w:szCs w:val="21"/>
              </w:rPr>
              <w:t xml:space="preserve">110 </w:t>
            </w:r>
          </w:p>
        </w:tc>
      </w:tr>
      <w:tr w:rsidR="00AE3A4F" w:rsidRPr="00C61BD6" w14:paraId="4F88628A" w14:textId="77777777" w:rsidTr="00971FD2">
        <w:trPr>
          <w:trHeight w:val="409"/>
        </w:trPr>
        <w:tc>
          <w:tcPr>
            <w:tcW w:w="6663" w:type="dxa"/>
            <w:tcBorders>
              <w:top w:val="nil"/>
              <w:left w:val="single" w:sz="4" w:space="0" w:color="auto"/>
              <w:bottom w:val="single" w:sz="4" w:space="0" w:color="auto"/>
              <w:right w:val="single" w:sz="4" w:space="0" w:color="auto"/>
            </w:tcBorders>
            <w:shd w:val="clear" w:color="auto" w:fill="auto"/>
            <w:vAlign w:val="center"/>
          </w:tcPr>
          <w:p w14:paraId="5A2E0B2B" w14:textId="4FC8C31B" w:rsidR="00AE3A4F" w:rsidRPr="00C61BD6" w:rsidRDefault="00AE3A4F" w:rsidP="00AE3A4F">
            <w:pPr>
              <w:spacing w:line="240" w:lineRule="auto"/>
              <w:rPr>
                <w:rFonts w:cs="Arial"/>
                <w:color w:val="222222"/>
                <w:szCs w:val="21"/>
              </w:rPr>
            </w:pPr>
            <w:r w:rsidRPr="00C61BD6">
              <w:rPr>
                <w:rFonts w:cs="Arial"/>
                <w:color w:val="000000"/>
                <w:szCs w:val="21"/>
              </w:rPr>
              <w:t xml:space="preserve">Sous-composante 2.2 : Soutien à l’inclusion des petits exploitants </w:t>
            </w:r>
            <w:r w:rsidR="00044EF1" w:rsidRPr="00C61BD6">
              <w:rPr>
                <w:rFonts w:cs="Arial"/>
                <w:color w:val="000000"/>
                <w:szCs w:val="21"/>
              </w:rPr>
              <w:t xml:space="preserve">agricoles </w:t>
            </w:r>
            <w:r w:rsidRPr="00C61BD6">
              <w:rPr>
                <w:rFonts w:cs="Arial"/>
                <w:color w:val="000000"/>
                <w:szCs w:val="21"/>
              </w:rPr>
              <w:t xml:space="preserve">dans les chaînes de valeur </w:t>
            </w:r>
          </w:p>
        </w:tc>
        <w:tc>
          <w:tcPr>
            <w:tcW w:w="2409" w:type="dxa"/>
            <w:tcBorders>
              <w:top w:val="nil"/>
              <w:left w:val="nil"/>
              <w:bottom w:val="single" w:sz="4" w:space="0" w:color="auto"/>
              <w:right w:val="single" w:sz="4" w:space="0" w:color="auto"/>
            </w:tcBorders>
            <w:shd w:val="clear" w:color="auto" w:fill="auto"/>
            <w:vAlign w:val="center"/>
          </w:tcPr>
          <w:p w14:paraId="336F4A76" w14:textId="77777777" w:rsidR="00AE3A4F" w:rsidRPr="00C61BD6" w:rsidRDefault="00AE3A4F" w:rsidP="00AE3A4F">
            <w:pPr>
              <w:spacing w:line="240" w:lineRule="auto"/>
              <w:jc w:val="center"/>
              <w:rPr>
                <w:rFonts w:cs="Arial"/>
                <w:color w:val="000000"/>
                <w:szCs w:val="21"/>
              </w:rPr>
            </w:pPr>
            <w:r w:rsidRPr="00C61BD6">
              <w:rPr>
                <w:rFonts w:cs="Arial"/>
                <w:color w:val="000000"/>
                <w:szCs w:val="21"/>
              </w:rPr>
              <w:t>40</w:t>
            </w:r>
          </w:p>
        </w:tc>
      </w:tr>
      <w:tr w:rsidR="00AE3A4F" w:rsidRPr="00C61BD6" w14:paraId="7EE59308" w14:textId="77777777" w:rsidTr="00971FD2">
        <w:trPr>
          <w:trHeight w:val="274"/>
        </w:trPr>
        <w:tc>
          <w:tcPr>
            <w:tcW w:w="6663" w:type="dxa"/>
            <w:tcBorders>
              <w:top w:val="nil"/>
              <w:left w:val="single" w:sz="4" w:space="0" w:color="auto"/>
              <w:bottom w:val="single" w:sz="4" w:space="0" w:color="auto"/>
              <w:right w:val="single" w:sz="4" w:space="0" w:color="auto"/>
            </w:tcBorders>
            <w:shd w:val="clear" w:color="auto" w:fill="auto"/>
            <w:vAlign w:val="center"/>
            <w:hideMark/>
          </w:tcPr>
          <w:p w14:paraId="3E392186" w14:textId="77777777" w:rsidR="00AE3A4F" w:rsidRPr="00C61BD6" w:rsidRDefault="00AE3A4F" w:rsidP="00AE3A4F">
            <w:pPr>
              <w:spacing w:line="240" w:lineRule="auto"/>
              <w:rPr>
                <w:rFonts w:cs="Arial"/>
                <w:color w:val="222222"/>
                <w:szCs w:val="21"/>
              </w:rPr>
            </w:pPr>
            <w:r w:rsidRPr="00C61BD6">
              <w:rPr>
                <w:rFonts w:cs="Arial"/>
                <w:color w:val="222222"/>
                <w:szCs w:val="21"/>
              </w:rPr>
              <w:t>Composante 3 : Biens et services publics agricoles</w:t>
            </w:r>
            <w:r w:rsidR="00956B53" w:rsidRPr="00C61BD6">
              <w:rPr>
                <w:rFonts w:cs="Arial"/>
                <w:color w:val="222222"/>
                <w:szCs w:val="21"/>
              </w:rPr>
              <w:t xml:space="preserve"> (80 Millions USD)</w:t>
            </w:r>
          </w:p>
        </w:tc>
        <w:tc>
          <w:tcPr>
            <w:tcW w:w="2409" w:type="dxa"/>
            <w:tcBorders>
              <w:top w:val="nil"/>
              <w:left w:val="nil"/>
              <w:bottom w:val="single" w:sz="4" w:space="0" w:color="auto"/>
              <w:right w:val="single" w:sz="4" w:space="0" w:color="auto"/>
            </w:tcBorders>
            <w:shd w:val="clear" w:color="auto" w:fill="auto"/>
            <w:vAlign w:val="center"/>
            <w:hideMark/>
          </w:tcPr>
          <w:p w14:paraId="30C7DFE8" w14:textId="77777777" w:rsidR="00AE3A4F" w:rsidRPr="00C61BD6" w:rsidRDefault="00AE3A4F" w:rsidP="00AE3A4F">
            <w:pPr>
              <w:spacing w:line="240" w:lineRule="auto"/>
              <w:jc w:val="center"/>
              <w:rPr>
                <w:rFonts w:cs="Arial"/>
                <w:color w:val="000000"/>
                <w:szCs w:val="21"/>
              </w:rPr>
            </w:pPr>
          </w:p>
        </w:tc>
      </w:tr>
      <w:tr w:rsidR="00AE3A4F" w:rsidRPr="00C61BD6" w14:paraId="0B1172D5" w14:textId="77777777" w:rsidTr="00971FD2">
        <w:trPr>
          <w:trHeight w:val="274"/>
        </w:trPr>
        <w:tc>
          <w:tcPr>
            <w:tcW w:w="6663" w:type="dxa"/>
            <w:tcBorders>
              <w:top w:val="nil"/>
              <w:left w:val="single" w:sz="4" w:space="0" w:color="auto"/>
              <w:bottom w:val="single" w:sz="4" w:space="0" w:color="auto"/>
              <w:right w:val="single" w:sz="4" w:space="0" w:color="auto"/>
            </w:tcBorders>
            <w:shd w:val="clear" w:color="auto" w:fill="auto"/>
            <w:vAlign w:val="center"/>
          </w:tcPr>
          <w:p w14:paraId="48468C3F" w14:textId="3D05D678" w:rsidR="00AE3A4F" w:rsidRPr="00C61BD6" w:rsidRDefault="00AE3A4F" w:rsidP="00044EF1">
            <w:pPr>
              <w:spacing w:line="240" w:lineRule="auto"/>
              <w:rPr>
                <w:rFonts w:cs="Arial"/>
                <w:color w:val="222222"/>
                <w:szCs w:val="21"/>
              </w:rPr>
            </w:pPr>
            <w:r w:rsidRPr="00C61BD6">
              <w:rPr>
                <w:rFonts w:cs="Arial"/>
                <w:color w:val="000000"/>
                <w:szCs w:val="21"/>
              </w:rPr>
              <w:t xml:space="preserve">Sous-composante 3.1 : Renforcement des capacités pour la </w:t>
            </w:r>
            <w:r w:rsidR="00044EF1" w:rsidRPr="00C61BD6">
              <w:rPr>
                <w:rFonts w:cs="Arial"/>
                <w:color w:val="000000"/>
                <w:szCs w:val="21"/>
              </w:rPr>
              <w:t xml:space="preserve">prestation </w:t>
            </w:r>
            <w:r w:rsidRPr="00C61BD6">
              <w:rPr>
                <w:rFonts w:cs="Arial"/>
                <w:color w:val="000000"/>
                <w:szCs w:val="21"/>
              </w:rPr>
              <w:t xml:space="preserve">de services publics agricoles </w:t>
            </w:r>
          </w:p>
        </w:tc>
        <w:tc>
          <w:tcPr>
            <w:tcW w:w="2409" w:type="dxa"/>
            <w:tcBorders>
              <w:top w:val="nil"/>
              <w:left w:val="nil"/>
              <w:bottom w:val="single" w:sz="4" w:space="0" w:color="auto"/>
              <w:right w:val="single" w:sz="4" w:space="0" w:color="auto"/>
            </w:tcBorders>
            <w:shd w:val="clear" w:color="auto" w:fill="auto"/>
            <w:vAlign w:val="center"/>
          </w:tcPr>
          <w:p w14:paraId="557F2DEB" w14:textId="77777777" w:rsidR="00AE3A4F" w:rsidRPr="00C61BD6" w:rsidRDefault="00AE3A4F" w:rsidP="00AE3A4F">
            <w:pPr>
              <w:spacing w:line="240" w:lineRule="auto"/>
              <w:jc w:val="center"/>
              <w:rPr>
                <w:rFonts w:cs="Arial"/>
                <w:color w:val="000000"/>
                <w:szCs w:val="21"/>
              </w:rPr>
            </w:pPr>
            <w:r w:rsidRPr="00C61BD6">
              <w:rPr>
                <w:rFonts w:cs="Arial"/>
                <w:color w:val="000000"/>
                <w:szCs w:val="21"/>
              </w:rPr>
              <w:t xml:space="preserve">30 </w:t>
            </w:r>
          </w:p>
        </w:tc>
      </w:tr>
      <w:tr w:rsidR="00AE3A4F" w:rsidRPr="00C61BD6" w14:paraId="364885F9" w14:textId="77777777" w:rsidTr="00971FD2">
        <w:trPr>
          <w:trHeight w:val="274"/>
        </w:trPr>
        <w:tc>
          <w:tcPr>
            <w:tcW w:w="6663" w:type="dxa"/>
            <w:tcBorders>
              <w:top w:val="nil"/>
              <w:left w:val="single" w:sz="4" w:space="0" w:color="auto"/>
              <w:bottom w:val="single" w:sz="4" w:space="0" w:color="auto"/>
              <w:right w:val="single" w:sz="4" w:space="0" w:color="auto"/>
            </w:tcBorders>
            <w:shd w:val="clear" w:color="auto" w:fill="auto"/>
            <w:vAlign w:val="center"/>
          </w:tcPr>
          <w:p w14:paraId="376EFC6B" w14:textId="77777777" w:rsidR="00AE3A4F" w:rsidRPr="00C61BD6" w:rsidRDefault="00AE3A4F" w:rsidP="00AE3A4F">
            <w:pPr>
              <w:spacing w:line="240" w:lineRule="auto"/>
              <w:rPr>
                <w:rFonts w:cs="Arial"/>
                <w:color w:val="222222"/>
                <w:szCs w:val="21"/>
              </w:rPr>
            </w:pPr>
            <w:r w:rsidRPr="00C61BD6">
              <w:rPr>
                <w:rFonts w:cs="Arial"/>
                <w:color w:val="000000"/>
                <w:szCs w:val="21"/>
              </w:rPr>
              <w:t xml:space="preserve">Sous-composante 3.2 : Gestion, suivi et évaluation du programme </w:t>
            </w:r>
          </w:p>
        </w:tc>
        <w:tc>
          <w:tcPr>
            <w:tcW w:w="2409" w:type="dxa"/>
            <w:tcBorders>
              <w:top w:val="nil"/>
              <w:left w:val="nil"/>
              <w:bottom w:val="single" w:sz="4" w:space="0" w:color="auto"/>
              <w:right w:val="single" w:sz="4" w:space="0" w:color="auto"/>
            </w:tcBorders>
            <w:shd w:val="clear" w:color="auto" w:fill="auto"/>
            <w:vAlign w:val="center"/>
          </w:tcPr>
          <w:p w14:paraId="37D660B3" w14:textId="77777777" w:rsidR="00AE3A4F" w:rsidRPr="00C61BD6" w:rsidRDefault="00AE3A4F" w:rsidP="00AE3A4F">
            <w:pPr>
              <w:spacing w:line="240" w:lineRule="auto"/>
              <w:jc w:val="center"/>
              <w:rPr>
                <w:rFonts w:cs="Arial"/>
                <w:color w:val="000000"/>
                <w:szCs w:val="21"/>
              </w:rPr>
            </w:pPr>
            <w:r w:rsidRPr="00C61BD6">
              <w:rPr>
                <w:rFonts w:cs="Arial"/>
                <w:color w:val="000000"/>
                <w:szCs w:val="21"/>
              </w:rPr>
              <w:t xml:space="preserve">50 </w:t>
            </w:r>
          </w:p>
        </w:tc>
      </w:tr>
      <w:tr w:rsidR="00AE3A4F" w:rsidRPr="00C61BD6" w14:paraId="67329948" w14:textId="77777777" w:rsidTr="00971FD2">
        <w:trPr>
          <w:trHeight w:val="270"/>
        </w:trPr>
        <w:tc>
          <w:tcPr>
            <w:tcW w:w="6663" w:type="dxa"/>
            <w:tcBorders>
              <w:top w:val="nil"/>
              <w:left w:val="single" w:sz="4" w:space="0" w:color="auto"/>
              <w:bottom w:val="single" w:sz="4" w:space="0" w:color="auto"/>
              <w:right w:val="single" w:sz="4" w:space="0" w:color="auto"/>
            </w:tcBorders>
            <w:shd w:val="clear" w:color="auto" w:fill="auto"/>
            <w:vAlign w:val="center"/>
            <w:hideMark/>
          </w:tcPr>
          <w:p w14:paraId="17487E39" w14:textId="77777777" w:rsidR="00AE3A4F" w:rsidRPr="00C61BD6" w:rsidRDefault="00AE3A4F" w:rsidP="00AE3A4F">
            <w:pPr>
              <w:spacing w:line="240" w:lineRule="auto"/>
              <w:rPr>
                <w:rFonts w:cs="Arial"/>
                <w:color w:val="222222"/>
                <w:szCs w:val="21"/>
              </w:rPr>
            </w:pPr>
            <w:r w:rsidRPr="00C61BD6">
              <w:rPr>
                <w:rFonts w:cs="Arial"/>
                <w:color w:val="222222"/>
                <w:szCs w:val="21"/>
              </w:rPr>
              <w:t xml:space="preserve">Composante 4 : Intervention d’urgence agricole </w:t>
            </w:r>
          </w:p>
        </w:tc>
        <w:tc>
          <w:tcPr>
            <w:tcW w:w="2409" w:type="dxa"/>
            <w:tcBorders>
              <w:top w:val="nil"/>
              <w:left w:val="nil"/>
              <w:bottom w:val="single" w:sz="4" w:space="0" w:color="auto"/>
              <w:right w:val="single" w:sz="4" w:space="0" w:color="auto"/>
            </w:tcBorders>
            <w:shd w:val="clear" w:color="auto" w:fill="auto"/>
            <w:vAlign w:val="center"/>
            <w:hideMark/>
          </w:tcPr>
          <w:p w14:paraId="531EFF3D" w14:textId="24018EB7" w:rsidR="00AE3A4F" w:rsidRPr="00C61BD6" w:rsidRDefault="00AE3A4F" w:rsidP="00AE3A4F">
            <w:pPr>
              <w:spacing w:line="240" w:lineRule="auto"/>
              <w:jc w:val="center"/>
              <w:rPr>
                <w:rFonts w:cs="Arial"/>
                <w:color w:val="000000"/>
                <w:szCs w:val="21"/>
              </w:rPr>
            </w:pPr>
            <w:r w:rsidRPr="00C61BD6">
              <w:rPr>
                <w:rFonts w:cs="Arial"/>
                <w:color w:val="000000"/>
                <w:szCs w:val="21"/>
              </w:rPr>
              <w:t>0</w:t>
            </w:r>
          </w:p>
        </w:tc>
      </w:tr>
      <w:tr w:rsidR="00AE3A4F" w:rsidRPr="00C61BD6" w14:paraId="473E1BB7" w14:textId="77777777" w:rsidTr="0018702B">
        <w:trPr>
          <w:trHeight w:val="493"/>
        </w:trPr>
        <w:tc>
          <w:tcPr>
            <w:tcW w:w="6663" w:type="dxa"/>
            <w:tcBorders>
              <w:top w:val="nil"/>
              <w:left w:val="single" w:sz="4" w:space="0" w:color="auto"/>
              <w:bottom w:val="single" w:sz="4" w:space="0" w:color="auto"/>
              <w:right w:val="single" w:sz="4" w:space="0" w:color="auto"/>
            </w:tcBorders>
            <w:shd w:val="clear" w:color="auto" w:fill="auto"/>
            <w:noWrap/>
            <w:vAlign w:val="center"/>
            <w:hideMark/>
          </w:tcPr>
          <w:p w14:paraId="1B2F3BFF" w14:textId="77777777" w:rsidR="00AE3A4F" w:rsidRPr="00C61BD6" w:rsidRDefault="00AE3A4F" w:rsidP="00AE3A4F">
            <w:pPr>
              <w:spacing w:line="240" w:lineRule="auto"/>
              <w:jc w:val="center"/>
              <w:rPr>
                <w:rFonts w:cs="Arial"/>
                <w:color w:val="000000"/>
                <w:szCs w:val="21"/>
              </w:rPr>
            </w:pPr>
            <w:r w:rsidRPr="00C61BD6">
              <w:rPr>
                <w:rFonts w:cs="Arial"/>
                <w:color w:val="000000"/>
                <w:szCs w:val="21"/>
              </w:rPr>
              <w:t>Total global des composantes</w:t>
            </w:r>
          </w:p>
        </w:tc>
        <w:tc>
          <w:tcPr>
            <w:tcW w:w="2409" w:type="dxa"/>
            <w:tcBorders>
              <w:top w:val="nil"/>
              <w:left w:val="nil"/>
              <w:bottom w:val="single" w:sz="4" w:space="0" w:color="auto"/>
              <w:right w:val="single" w:sz="4" w:space="0" w:color="auto"/>
            </w:tcBorders>
            <w:shd w:val="clear" w:color="auto" w:fill="auto"/>
            <w:vAlign w:val="center"/>
            <w:hideMark/>
          </w:tcPr>
          <w:p w14:paraId="7E1D5B22" w14:textId="77777777" w:rsidR="00AE3A4F" w:rsidRPr="00C61BD6" w:rsidRDefault="00AE3A4F" w:rsidP="00AE3A4F">
            <w:pPr>
              <w:spacing w:line="240" w:lineRule="auto"/>
              <w:jc w:val="center"/>
              <w:rPr>
                <w:rFonts w:cs="Arial"/>
                <w:color w:val="000000"/>
                <w:szCs w:val="21"/>
              </w:rPr>
            </w:pPr>
            <w:r w:rsidRPr="00C61BD6">
              <w:rPr>
                <w:rFonts w:cs="Arial"/>
                <w:color w:val="000000"/>
                <w:szCs w:val="21"/>
              </w:rPr>
              <w:t>500</w:t>
            </w:r>
          </w:p>
        </w:tc>
      </w:tr>
    </w:tbl>
    <w:p w14:paraId="34BA18C4" w14:textId="77777777" w:rsidR="001C2F95" w:rsidRPr="00C61BD6" w:rsidRDefault="001C2F95" w:rsidP="001C2F95">
      <w:pPr>
        <w:pStyle w:val="Titre2"/>
        <w:ind w:left="851"/>
        <w:rPr>
          <w:rFonts w:cs="Arial"/>
          <w:b/>
          <w:szCs w:val="21"/>
        </w:rPr>
      </w:pPr>
      <w:bookmarkStart w:id="259" w:name="_Toc44626803"/>
    </w:p>
    <w:p w14:paraId="6254F683" w14:textId="77777777" w:rsidR="001C2F95" w:rsidRPr="00C61BD6" w:rsidRDefault="001C2F95" w:rsidP="001C2F95">
      <w:pPr>
        <w:rPr>
          <w:rFonts w:cs="Arial"/>
          <w:szCs w:val="21"/>
        </w:rPr>
      </w:pPr>
    </w:p>
    <w:p w14:paraId="7081DB39" w14:textId="77777777" w:rsidR="001C2F95" w:rsidRPr="00C61BD6" w:rsidRDefault="001C2F95" w:rsidP="001C2F95">
      <w:pPr>
        <w:pStyle w:val="Titre2"/>
        <w:numPr>
          <w:ilvl w:val="1"/>
          <w:numId w:val="4"/>
        </w:numPr>
        <w:ind w:left="851" w:hanging="425"/>
        <w:rPr>
          <w:rFonts w:cs="Arial"/>
          <w:b/>
          <w:szCs w:val="21"/>
        </w:rPr>
      </w:pPr>
      <w:bookmarkStart w:id="260" w:name="_Toc90393059"/>
      <w:bookmarkStart w:id="261" w:name="_Toc90471418"/>
      <w:r w:rsidRPr="00C61BD6">
        <w:rPr>
          <w:rFonts w:cs="Arial"/>
          <w:b/>
          <w:szCs w:val="21"/>
        </w:rPr>
        <w:t>Zone d’intervention du PNDA</w:t>
      </w:r>
      <w:bookmarkEnd w:id="259"/>
      <w:bookmarkEnd w:id="260"/>
      <w:bookmarkEnd w:id="261"/>
    </w:p>
    <w:p w14:paraId="40C41F87" w14:textId="77777777" w:rsidR="001C2F95" w:rsidRPr="00C61BD6" w:rsidRDefault="001C2F95" w:rsidP="001C2F95">
      <w:pPr>
        <w:rPr>
          <w:rFonts w:cs="Arial"/>
          <w:bCs/>
          <w:szCs w:val="21"/>
        </w:rPr>
      </w:pPr>
    </w:p>
    <w:p w14:paraId="3EFA67C4" w14:textId="77777777" w:rsidR="001C2F95" w:rsidRPr="00C61BD6" w:rsidRDefault="001C2F95" w:rsidP="001C2F95">
      <w:pPr>
        <w:rPr>
          <w:rFonts w:cs="Arial"/>
          <w:bCs/>
          <w:szCs w:val="21"/>
        </w:rPr>
      </w:pPr>
      <w:r w:rsidRPr="00C61BD6">
        <w:rPr>
          <w:rFonts w:cs="Arial"/>
          <w:bCs/>
          <w:szCs w:val="21"/>
        </w:rPr>
        <w:t xml:space="preserve">Le PNDA pour </w:t>
      </w:r>
      <w:r w:rsidRPr="00C61BD6">
        <w:rPr>
          <w:rFonts w:cs="Arial"/>
          <w:szCs w:val="21"/>
        </w:rPr>
        <w:t xml:space="preserve">cette première phase a une durée de cinq ans et va se réaliser dans la région du Kasaï (Provinces du Kasaï et du Kasaï Central), la région de l’Ouest (Provinces du Kongo Central et du Kwilu), et la région de l’Est (Province du Nord-Kivu) </w:t>
      </w:r>
      <w:r w:rsidRPr="00C61BD6">
        <w:rPr>
          <w:rFonts w:cs="Arial"/>
          <w:bCs/>
          <w:szCs w:val="21"/>
        </w:rPr>
        <w:t>représentées dans la figure 1 ci-dessous.</w:t>
      </w:r>
    </w:p>
    <w:p w14:paraId="1C30BE0C" w14:textId="77777777" w:rsidR="003142D9" w:rsidRDefault="003142D9">
      <w:pPr>
        <w:spacing w:line="240" w:lineRule="auto"/>
        <w:jc w:val="left"/>
        <w:rPr>
          <w:rFonts w:cs="Arial"/>
          <w:color w:val="000000"/>
          <w:szCs w:val="21"/>
        </w:rPr>
      </w:pPr>
      <w:r>
        <w:rPr>
          <w:rFonts w:cs="Arial"/>
          <w:color w:val="000000"/>
          <w:szCs w:val="21"/>
        </w:rPr>
        <w:br w:type="page"/>
      </w:r>
    </w:p>
    <w:p w14:paraId="6831EE00" w14:textId="474AD095" w:rsidR="001C2F95" w:rsidRPr="00C61BD6" w:rsidRDefault="0078696E" w:rsidP="001D5C11">
      <w:pPr>
        <w:spacing w:after="160" w:line="259" w:lineRule="auto"/>
        <w:jc w:val="center"/>
        <w:rPr>
          <w:rFonts w:cs="Arial"/>
          <w:szCs w:val="21"/>
        </w:rPr>
      </w:pPr>
      <w:bookmarkStart w:id="262" w:name="_Toc90393012"/>
      <w:r w:rsidRPr="00C61BD6">
        <w:rPr>
          <w:noProof/>
          <w:szCs w:val="21"/>
        </w:rPr>
        <w:drawing>
          <wp:anchor distT="0" distB="0" distL="114300" distR="114300" simplePos="0" relativeHeight="251658255" behindDoc="1" locked="0" layoutInCell="1" allowOverlap="1" wp14:anchorId="7453F61C" wp14:editId="4505B090">
            <wp:simplePos x="0" y="0"/>
            <wp:positionH relativeFrom="column">
              <wp:posOffset>492125</wp:posOffset>
            </wp:positionH>
            <wp:positionV relativeFrom="paragraph">
              <wp:posOffset>119380</wp:posOffset>
            </wp:positionV>
            <wp:extent cx="5147945" cy="7273290"/>
            <wp:effectExtent l="0" t="0" r="0" b="0"/>
            <wp:wrapNone/>
            <wp:docPr id="200" name="Image 20" descr="C:\Users\user\Documents\PNDA MAI 2020\Carte P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C:\Users\user\Documents\PNDA MAI 2020\Carte PND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7945" cy="7273290"/>
                    </a:xfrm>
                    <a:prstGeom prst="rect">
                      <a:avLst/>
                    </a:prstGeom>
                    <a:noFill/>
                    <a:ln>
                      <a:noFill/>
                    </a:ln>
                  </pic:spPr>
                </pic:pic>
              </a:graphicData>
            </a:graphic>
            <wp14:sizeRelH relativeFrom="page">
              <wp14:pctWidth>0</wp14:pctWidth>
            </wp14:sizeRelH>
            <wp14:sizeRelV relativeFrom="page">
              <wp14:pctHeight>0</wp14:pctHeight>
            </wp14:sizeRelV>
          </wp:anchor>
        </w:drawing>
      </w:r>
      <w:r w:rsidR="001C2F95" w:rsidRPr="00C61BD6">
        <w:rPr>
          <w:rFonts w:cs="Arial"/>
          <w:color w:val="000000"/>
          <w:szCs w:val="21"/>
        </w:rPr>
        <w:t xml:space="preserve">Figure </w:t>
      </w:r>
      <w:r w:rsidR="001C2F95" w:rsidRPr="00C61BD6">
        <w:rPr>
          <w:rFonts w:cs="Arial"/>
          <w:color w:val="000000"/>
          <w:szCs w:val="21"/>
        </w:rPr>
        <w:fldChar w:fldCharType="begin"/>
      </w:r>
      <w:r w:rsidR="001C2F95" w:rsidRPr="00C61BD6">
        <w:rPr>
          <w:rFonts w:cs="Arial"/>
          <w:color w:val="000000"/>
          <w:szCs w:val="21"/>
        </w:rPr>
        <w:instrText xml:space="preserve"> SEQ Figure \* ARABIC </w:instrText>
      </w:r>
      <w:r w:rsidR="001C2F95" w:rsidRPr="00C61BD6">
        <w:rPr>
          <w:rFonts w:cs="Arial"/>
          <w:color w:val="000000"/>
          <w:szCs w:val="21"/>
        </w:rPr>
        <w:fldChar w:fldCharType="separate"/>
      </w:r>
      <w:r w:rsidR="00B95E27" w:rsidRPr="00C61BD6">
        <w:rPr>
          <w:rFonts w:cs="Arial"/>
          <w:noProof/>
          <w:color w:val="000000"/>
          <w:szCs w:val="21"/>
        </w:rPr>
        <w:t>1</w:t>
      </w:r>
      <w:r w:rsidR="001C2F95" w:rsidRPr="00C61BD6">
        <w:rPr>
          <w:rFonts w:cs="Arial"/>
          <w:noProof/>
          <w:color w:val="000000"/>
          <w:szCs w:val="21"/>
        </w:rPr>
        <w:fldChar w:fldCharType="end"/>
      </w:r>
      <w:r w:rsidR="001C2F95" w:rsidRPr="00C61BD6">
        <w:rPr>
          <w:rFonts w:cs="Arial"/>
          <w:color w:val="000000"/>
          <w:szCs w:val="21"/>
        </w:rPr>
        <w:t xml:space="preserve">. Carte localisation </w:t>
      </w:r>
      <w:r w:rsidR="001C2F95" w:rsidRPr="00C61BD6">
        <w:rPr>
          <w:rFonts w:cs="Arial"/>
          <w:szCs w:val="21"/>
        </w:rPr>
        <w:t>des Provinces concernées par le Projet.</w:t>
      </w:r>
      <w:bookmarkEnd w:id="262"/>
    </w:p>
    <w:p w14:paraId="5E84566E" w14:textId="77777777" w:rsidR="001C2F95" w:rsidRPr="00C61BD6" w:rsidRDefault="001C2F95" w:rsidP="001C2F95">
      <w:pPr>
        <w:rPr>
          <w:rFonts w:cs="Arial"/>
          <w:bCs/>
          <w:szCs w:val="21"/>
        </w:rPr>
      </w:pPr>
    </w:p>
    <w:p w14:paraId="15F4B166" w14:textId="77777777" w:rsidR="001C2F95" w:rsidRPr="00C61BD6" w:rsidRDefault="001C2F95" w:rsidP="001C2F95">
      <w:pPr>
        <w:rPr>
          <w:rFonts w:cs="Arial"/>
          <w:bCs/>
          <w:szCs w:val="21"/>
        </w:rPr>
      </w:pPr>
    </w:p>
    <w:p w14:paraId="67465E0F" w14:textId="77777777" w:rsidR="001C2F95" w:rsidRPr="00C61BD6" w:rsidRDefault="001C2F95" w:rsidP="001C2F95">
      <w:pPr>
        <w:rPr>
          <w:rFonts w:cs="Arial"/>
          <w:bCs/>
          <w:szCs w:val="21"/>
        </w:rPr>
      </w:pPr>
    </w:p>
    <w:p w14:paraId="119354A5" w14:textId="77777777" w:rsidR="001C2F95" w:rsidRPr="00C61BD6" w:rsidRDefault="001C2F95" w:rsidP="001C2F95">
      <w:pPr>
        <w:rPr>
          <w:rFonts w:cs="Arial"/>
          <w:bCs/>
          <w:szCs w:val="21"/>
        </w:rPr>
      </w:pPr>
    </w:p>
    <w:p w14:paraId="5C2306B2" w14:textId="77777777" w:rsidR="001C2F95" w:rsidRPr="00C61BD6" w:rsidRDefault="001C2F95" w:rsidP="001C2F95">
      <w:pPr>
        <w:rPr>
          <w:rFonts w:cs="Arial"/>
          <w:bCs/>
          <w:szCs w:val="21"/>
        </w:rPr>
      </w:pPr>
    </w:p>
    <w:p w14:paraId="46C4C2D0" w14:textId="77777777" w:rsidR="001C2F95" w:rsidRPr="00C61BD6" w:rsidRDefault="001C2F95" w:rsidP="001C2F95">
      <w:pPr>
        <w:rPr>
          <w:rFonts w:cs="Arial"/>
          <w:bCs/>
          <w:szCs w:val="21"/>
        </w:rPr>
      </w:pPr>
    </w:p>
    <w:p w14:paraId="057291D6" w14:textId="77777777" w:rsidR="001C2F95" w:rsidRPr="00C61BD6" w:rsidRDefault="001C2F95" w:rsidP="001C2F95">
      <w:pPr>
        <w:rPr>
          <w:rFonts w:cs="Arial"/>
          <w:bCs/>
          <w:szCs w:val="21"/>
        </w:rPr>
      </w:pPr>
    </w:p>
    <w:p w14:paraId="17518447" w14:textId="77777777" w:rsidR="001C2F95" w:rsidRPr="00C61BD6" w:rsidRDefault="001C2F95" w:rsidP="001C2F95">
      <w:pPr>
        <w:rPr>
          <w:rFonts w:cs="Arial"/>
          <w:bCs/>
          <w:szCs w:val="21"/>
        </w:rPr>
      </w:pPr>
    </w:p>
    <w:p w14:paraId="2D4C60D9" w14:textId="77777777" w:rsidR="001C2F95" w:rsidRPr="00C61BD6" w:rsidRDefault="001C2F95" w:rsidP="001C2F95">
      <w:pPr>
        <w:rPr>
          <w:rFonts w:cs="Arial"/>
          <w:bCs/>
          <w:szCs w:val="21"/>
        </w:rPr>
      </w:pPr>
    </w:p>
    <w:p w14:paraId="662C427E" w14:textId="77777777" w:rsidR="001C2F95" w:rsidRPr="00C61BD6" w:rsidRDefault="001C2F95" w:rsidP="001C2F95">
      <w:pPr>
        <w:rPr>
          <w:rFonts w:cs="Arial"/>
          <w:bCs/>
          <w:szCs w:val="21"/>
        </w:rPr>
      </w:pPr>
    </w:p>
    <w:p w14:paraId="4AFFB78F" w14:textId="77777777" w:rsidR="001C2F95" w:rsidRPr="00C61BD6" w:rsidRDefault="001C2F95" w:rsidP="001C2F95">
      <w:pPr>
        <w:rPr>
          <w:rFonts w:cs="Arial"/>
          <w:bCs/>
          <w:szCs w:val="21"/>
        </w:rPr>
      </w:pPr>
    </w:p>
    <w:p w14:paraId="4F31D658" w14:textId="77777777" w:rsidR="001C2F95" w:rsidRPr="00C61BD6" w:rsidRDefault="001C2F95" w:rsidP="001C2F95">
      <w:pPr>
        <w:rPr>
          <w:rFonts w:cs="Arial"/>
          <w:bCs/>
          <w:szCs w:val="21"/>
        </w:rPr>
      </w:pPr>
    </w:p>
    <w:p w14:paraId="45F8CF4D" w14:textId="77777777" w:rsidR="001C2F95" w:rsidRPr="00C61BD6" w:rsidRDefault="001C2F95" w:rsidP="001C2F95">
      <w:pPr>
        <w:rPr>
          <w:rFonts w:cs="Arial"/>
          <w:bCs/>
          <w:szCs w:val="21"/>
        </w:rPr>
      </w:pPr>
    </w:p>
    <w:p w14:paraId="753594F0" w14:textId="77777777" w:rsidR="001C2F95" w:rsidRPr="00C61BD6" w:rsidRDefault="001C2F95" w:rsidP="001C2F95">
      <w:pPr>
        <w:rPr>
          <w:rFonts w:cs="Arial"/>
          <w:bCs/>
          <w:szCs w:val="21"/>
        </w:rPr>
      </w:pPr>
    </w:p>
    <w:p w14:paraId="239F9E78" w14:textId="77777777" w:rsidR="001C2F95" w:rsidRPr="00C61BD6" w:rsidRDefault="001C2F95" w:rsidP="001C2F95">
      <w:pPr>
        <w:rPr>
          <w:rFonts w:cs="Arial"/>
          <w:bCs/>
          <w:szCs w:val="21"/>
        </w:rPr>
      </w:pPr>
    </w:p>
    <w:p w14:paraId="3D8F2EFF" w14:textId="77777777" w:rsidR="001C2F95" w:rsidRPr="00C61BD6" w:rsidRDefault="001C2F95" w:rsidP="001C2F95">
      <w:pPr>
        <w:rPr>
          <w:rFonts w:cs="Arial"/>
          <w:bCs/>
          <w:szCs w:val="21"/>
        </w:rPr>
      </w:pPr>
    </w:p>
    <w:p w14:paraId="390AB877" w14:textId="77777777" w:rsidR="001C2F95" w:rsidRPr="00C61BD6" w:rsidRDefault="001C2F95" w:rsidP="001C2F95">
      <w:pPr>
        <w:rPr>
          <w:rFonts w:cs="Arial"/>
          <w:bCs/>
          <w:szCs w:val="21"/>
        </w:rPr>
      </w:pPr>
    </w:p>
    <w:p w14:paraId="6B53802C" w14:textId="77777777" w:rsidR="001C2F95" w:rsidRPr="00C61BD6" w:rsidRDefault="001C2F95" w:rsidP="001C2F95">
      <w:pPr>
        <w:rPr>
          <w:rFonts w:cs="Arial"/>
          <w:bCs/>
          <w:szCs w:val="21"/>
        </w:rPr>
      </w:pPr>
    </w:p>
    <w:p w14:paraId="7D691B1B" w14:textId="77777777" w:rsidR="001C2F95" w:rsidRPr="00C61BD6" w:rsidRDefault="001C2F95" w:rsidP="001C2F95">
      <w:pPr>
        <w:rPr>
          <w:rFonts w:cs="Arial"/>
          <w:bCs/>
          <w:szCs w:val="21"/>
        </w:rPr>
      </w:pPr>
    </w:p>
    <w:p w14:paraId="4441D637" w14:textId="77777777" w:rsidR="001C2F95" w:rsidRPr="00C61BD6" w:rsidRDefault="001C2F95" w:rsidP="001C2F95">
      <w:pPr>
        <w:rPr>
          <w:rFonts w:cs="Arial"/>
          <w:bCs/>
          <w:szCs w:val="21"/>
        </w:rPr>
      </w:pPr>
    </w:p>
    <w:p w14:paraId="2CC3DC1D" w14:textId="77777777" w:rsidR="001C2F95" w:rsidRPr="00C61BD6" w:rsidRDefault="001C2F95" w:rsidP="001C2F95">
      <w:pPr>
        <w:rPr>
          <w:rFonts w:cs="Arial"/>
          <w:bCs/>
          <w:szCs w:val="21"/>
        </w:rPr>
      </w:pPr>
    </w:p>
    <w:p w14:paraId="70E02018" w14:textId="77777777" w:rsidR="001C2F95" w:rsidRPr="00C61BD6" w:rsidRDefault="001C2F95" w:rsidP="001C2F95">
      <w:pPr>
        <w:rPr>
          <w:rFonts w:cs="Arial"/>
          <w:bCs/>
          <w:szCs w:val="21"/>
        </w:rPr>
      </w:pPr>
    </w:p>
    <w:p w14:paraId="613C3792" w14:textId="77777777" w:rsidR="001C2F95" w:rsidRPr="00C61BD6" w:rsidRDefault="001C2F95" w:rsidP="001C2F95">
      <w:pPr>
        <w:rPr>
          <w:rFonts w:cs="Arial"/>
          <w:bCs/>
          <w:szCs w:val="21"/>
        </w:rPr>
      </w:pPr>
    </w:p>
    <w:p w14:paraId="5E2CC9CF" w14:textId="77777777" w:rsidR="001C2F95" w:rsidRPr="00C61BD6" w:rsidRDefault="001C2F95" w:rsidP="001C2F95">
      <w:pPr>
        <w:rPr>
          <w:rFonts w:cs="Arial"/>
          <w:bCs/>
          <w:szCs w:val="21"/>
        </w:rPr>
      </w:pPr>
    </w:p>
    <w:p w14:paraId="7746E802" w14:textId="77777777" w:rsidR="001C2F95" w:rsidRPr="00C61BD6" w:rsidRDefault="001C2F95" w:rsidP="001C2F95">
      <w:pPr>
        <w:rPr>
          <w:rFonts w:cs="Arial"/>
          <w:bCs/>
          <w:szCs w:val="21"/>
        </w:rPr>
      </w:pPr>
    </w:p>
    <w:p w14:paraId="763F7E73" w14:textId="77777777" w:rsidR="001C2F95" w:rsidRPr="00C61BD6" w:rsidRDefault="001C2F95" w:rsidP="001C2F95">
      <w:pPr>
        <w:rPr>
          <w:rFonts w:cs="Arial"/>
          <w:bCs/>
          <w:szCs w:val="21"/>
        </w:rPr>
      </w:pPr>
    </w:p>
    <w:p w14:paraId="7CE2E701" w14:textId="77777777" w:rsidR="001C2F95" w:rsidRPr="00C61BD6" w:rsidRDefault="001C2F95" w:rsidP="001C2F95">
      <w:pPr>
        <w:rPr>
          <w:rFonts w:cs="Arial"/>
          <w:bCs/>
          <w:szCs w:val="21"/>
        </w:rPr>
      </w:pPr>
    </w:p>
    <w:p w14:paraId="27C4FA7D" w14:textId="77777777" w:rsidR="001C2F95" w:rsidRPr="00C61BD6" w:rsidRDefault="001C2F95" w:rsidP="001C2F95">
      <w:pPr>
        <w:rPr>
          <w:rFonts w:cs="Arial"/>
          <w:bCs/>
          <w:szCs w:val="21"/>
        </w:rPr>
      </w:pPr>
    </w:p>
    <w:p w14:paraId="4ACA6141" w14:textId="77777777" w:rsidR="001C2F95" w:rsidRPr="00C61BD6" w:rsidRDefault="001C2F95" w:rsidP="001C2F95">
      <w:pPr>
        <w:rPr>
          <w:rFonts w:cs="Arial"/>
          <w:bCs/>
          <w:szCs w:val="21"/>
        </w:rPr>
      </w:pPr>
    </w:p>
    <w:p w14:paraId="5101DE44" w14:textId="77777777" w:rsidR="001C2F95" w:rsidRPr="00C61BD6" w:rsidRDefault="001C2F95" w:rsidP="001C2F95">
      <w:pPr>
        <w:rPr>
          <w:rFonts w:cs="Arial"/>
          <w:bCs/>
          <w:szCs w:val="21"/>
        </w:rPr>
      </w:pPr>
    </w:p>
    <w:p w14:paraId="4FB8C6DF" w14:textId="77777777" w:rsidR="001C2F95" w:rsidRPr="00C61BD6" w:rsidRDefault="001C2F95" w:rsidP="001C2F95">
      <w:pPr>
        <w:rPr>
          <w:rFonts w:cs="Arial"/>
          <w:bCs/>
          <w:szCs w:val="21"/>
        </w:rPr>
      </w:pPr>
    </w:p>
    <w:p w14:paraId="7EB22FA0" w14:textId="77777777" w:rsidR="001C2F95" w:rsidRPr="00C61BD6" w:rsidRDefault="001C2F95" w:rsidP="001C2F95">
      <w:pPr>
        <w:rPr>
          <w:rFonts w:cs="Arial"/>
          <w:bCs/>
          <w:szCs w:val="21"/>
        </w:rPr>
      </w:pPr>
    </w:p>
    <w:p w14:paraId="14DA0C6E" w14:textId="77777777" w:rsidR="001C2F95" w:rsidRPr="00C61BD6" w:rsidRDefault="001C2F95" w:rsidP="001C2F95">
      <w:pPr>
        <w:rPr>
          <w:rFonts w:cs="Arial"/>
          <w:bCs/>
          <w:szCs w:val="21"/>
        </w:rPr>
      </w:pPr>
    </w:p>
    <w:p w14:paraId="0C1BA2D1" w14:textId="77777777" w:rsidR="001C2F95" w:rsidRPr="00C61BD6" w:rsidRDefault="001C2F95" w:rsidP="001C2F95">
      <w:pPr>
        <w:rPr>
          <w:rFonts w:cs="Arial"/>
          <w:bCs/>
          <w:szCs w:val="21"/>
        </w:rPr>
      </w:pPr>
    </w:p>
    <w:p w14:paraId="1B41F103" w14:textId="77777777" w:rsidR="001C2F95" w:rsidRPr="00C61BD6" w:rsidRDefault="001C2F95" w:rsidP="001C2F95">
      <w:pPr>
        <w:rPr>
          <w:rFonts w:cs="Arial"/>
          <w:bCs/>
          <w:szCs w:val="21"/>
        </w:rPr>
      </w:pPr>
    </w:p>
    <w:p w14:paraId="4BC7C5B3" w14:textId="77777777" w:rsidR="001C2F95" w:rsidRPr="00C61BD6" w:rsidRDefault="001C2F95" w:rsidP="001C2F95">
      <w:pPr>
        <w:rPr>
          <w:rFonts w:cs="Arial"/>
          <w:bCs/>
          <w:szCs w:val="21"/>
        </w:rPr>
      </w:pPr>
    </w:p>
    <w:p w14:paraId="49F8340D" w14:textId="77777777" w:rsidR="001C2F95" w:rsidRPr="00C61BD6" w:rsidRDefault="001C2F95" w:rsidP="001C2F95">
      <w:pPr>
        <w:rPr>
          <w:rFonts w:cs="Arial"/>
          <w:bCs/>
          <w:szCs w:val="21"/>
        </w:rPr>
      </w:pPr>
    </w:p>
    <w:p w14:paraId="51F1B043" w14:textId="77777777" w:rsidR="001C2F95" w:rsidRPr="00C61BD6" w:rsidRDefault="001C2F95" w:rsidP="001C2F95">
      <w:pPr>
        <w:rPr>
          <w:rFonts w:cs="Arial"/>
          <w:bCs/>
          <w:szCs w:val="21"/>
        </w:rPr>
      </w:pPr>
    </w:p>
    <w:p w14:paraId="4003D681" w14:textId="77777777" w:rsidR="001C2F95" w:rsidRPr="00C61BD6" w:rsidRDefault="001C2F95" w:rsidP="001C2F95">
      <w:pPr>
        <w:rPr>
          <w:rFonts w:cs="Arial"/>
          <w:i/>
          <w:szCs w:val="21"/>
        </w:rPr>
      </w:pPr>
    </w:p>
    <w:p w14:paraId="05D3D886" w14:textId="77777777" w:rsidR="001D5C11" w:rsidRDefault="001D5C11" w:rsidP="001C2F95">
      <w:pPr>
        <w:jc w:val="center"/>
        <w:rPr>
          <w:rFonts w:cs="Arial"/>
          <w:i/>
          <w:szCs w:val="21"/>
        </w:rPr>
      </w:pPr>
    </w:p>
    <w:p w14:paraId="2B263EA9" w14:textId="77777777" w:rsidR="001D5C11" w:rsidRDefault="001D5C11" w:rsidP="001C2F95">
      <w:pPr>
        <w:jc w:val="center"/>
        <w:rPr>
          <w:rFonts w:cs="Arial"/>
          <w:i/>
          <w:szCs w:val="21"/>
        </w:rPr>
      </w:pPr>
    </w:p>
    <w:p w14:paraId="6E48D65F" w14:textId="77777777" w:rsidR="001C2F95" w:rsidRPr="00C61BD6" w:rsidRDefault="001C2F95" w:rsidP="001C2F95">
      <w:pPr>
        <w:jc w:val="center"/>
        <w:rPr>
          <w:rFonts w:cs="Arial"/>
          <w:b/>
          <w:szCs w:val="21"/>
          <w:highlight w:val="yellow"/>
        </w:rPr>
        <w:sectPr w:rsidR="001C2F95" w:rsidRPr="00C61BD6" w:rsidSect="003142D9">
          <w:headerReference w:type="even" r:id="rId18"/>
          <w:headerReference w:type="default" r:id="rId19"/>
          <w:footerReference w:type="even" r:id="rId20"/>
          <w:footerReference w:type="default" r:id="rId21"/>
          <w:pgSz w:w="11906" w:h="16838"/>
          <w:pgMar w:top="1276" w:right="1440" w:bottom="1276" w:left="1440" w:header="706" w:footer="0" w:gutter="0"/>
          <w:pgNumType w:start="1"/>
          <w:cols w:space="708"/>
          <w:docGrid w:linePitch="360"/>
        </w:sectPr>
      </w:pPr>
      <w:r w:rsidRPr="00C61BD6">
        <w:rPr>
          <w:rFonts w:cs="Arial"/>
          <w:i/>
          <w:szCs w:val="21"/>
        </w:rPr>
        <w:t>Source : OKAPI ENVIRONNEMENT &amp; GÉNIE CIVIL SARL, Juin 2020</w:t>
      </w:r>
      <w:bookmarkStart w:id="263" w:name="_Toc470800724"/>
      <w:bookmarkStart w:id="264" w:name="_Toc502652354"/>
    </w:p>
    <w:p w14:paraId="7B54ED99" w14:textId="77777777" w:rsidR="001C2F95" w:rsidRPr="001D5C11" w:rsidRDefault="001C2F95" w:rsidP="001C2F95">
      <w:pPr>
        <w:pStyle w:val="Titre1"/>
        <w:numPr>
          <w:ilvl w:val="0"/>
          <w:numId w:val="4"/>
        </w:numPr>
        <w:rPr>
          <w:rFonts w:cs="Arial"/>
          <w:szCs w:val="21"/>
        </w:rPr>
      </w:pPr>
      <w:bookmarkStart w:id="265" w:name="_Toc44626804"/>
      <w:bookmarkStart w:id="266" w:name="_Toc90393060"/>
      <w:bookmarkStart w:id="267" w:name="_Toc90471419"/>
      <w:r w:rsidRPr="001D5C11">
        <w:rPr>
          <w:rFonts w:cs="Arial"/>
          <w:szCs w:val="21"/>
        </w:rPr>
        <w:t>SITUATION ENVIRONNEMENTALE ET SOCIALE DANS LA ZONE DU PRO</w:t>
      </w:r>
      <w:bookmarkEnd w:id="263"/>
      <w:bookmarkEnd w:id="264"/>
      <w:bookmarkEnd w:id="265"/>
      <w:r w:rsidR="00B465EA" w:rsidRPr="001D5C11">
        <w:rPr>
          <w:rFonts w:cs="Arial"/>
          <w:szCs w:val="21"/>
        </w:rPr>
        <w:t>GRAMME</w:t>
      </w:r>
      <w:bookmarkEnd w:id="266"/>
      <w:bookmarkEnd w:id="267"/>
    </w:p>
    <w:p w14:paraId="042C06CA" w14:textId="77777777" w:rsidR="001C2F95" w:rsidRPr="001D5C11" w:rsidRDefault="001C2F95" w:rsidP="001C2F95">
      <w:pPr>
        <w:rPr>
          <w:rFonts w:cs="Arial"/>
          <w:b/>
          <w:szCs w:val="21"/>
        </w:rPr>
      </w:pPr>
    </w:p>
    <w:p w14:paraId="280D1EC5" w14:textId="77777777" w:rsidR="001C2F95" w:rsidRPr="001D5C11" w:rsidRDefault="001C2F95" w:rsidP="001C2F95">
      <w:pPr>
        <w:pStyle w:val="Titre2"/>
        <w:numPr>
          <w:ilvl w:val="1"/>
          <w:numId w:val="4"/>
        </w:numPr>
        <w:ind w:left="851" w:hanging="425"/>
        <w:rPr>
          <w:rFonts w:cs="Arial"/>
          <w:b/>
          <w:szCs w:val="21"/>
        </w:rPr>
      </w:pPr>
      <w:bookmarkStart w:id="268" w:name="_Toc44626805"/>
      <w:bookmarkStart w:id="269" w:name="_Toc90393061"/>
      <w:bookmarkStart w:id="270" w:name="_Toc90471420"/>
      <w:r w:rsidRPr="001D5C11">
        <w:rPr>
          <w:rFonts w:cs="Arial"/>
          <w:b/>
          <w:szCs w:val="21"/>
        </w:rPr>
        <w:t>Situation socio-économique des provinces concernées par le PNDA</w:t>
      </w:r>
      <w:bookmarkEnd w:id="268"/>
      <w:bookmarkEnd w:id="269"/>
      <w:bookmarkEnd w:id="270"/>
    </w:p>
    <w:p w14:paraId="1A622590" w14:textId="77777777" w:rsidR="001C2F95" w:rsidRPr="001D5C11" w:rsidRDefault="001C2F95" w:rsidP="001C2F95">
      <w:pPr>
        <w:rPr>
          <w:rFonts w:cs="Arial"/>
          <w:szCs w:val="21"/>
        </w:rPr>
      </w:pPr>
    </w:p>
    <w:p w14:paraId="4247CF6B" w14:textId="1313FE28" w:rsidR="001C2F95" w:rsidRPr="001D5C11" w:rsidRDefault="001C2F95" w:rsidP="001C2F95">
      <w:pPr>
        <w:rPr>
          <w:rFonts w:cs="Arial"/>
          <w:szCs w:val="21"/>
        </w:rPr>
      </w:pPr>
      <w:r w:rsidRPr="001D5C11">
        <w:rPr>
          <w:rFonts w:cs="Arial"/>
          <w:szCs w:val="21"/>
        </w:rPr>
        <w:t>Les tableaux 4, 5, 6</w:t>
      </w:r>
      <w:r w:rsidR="001D5C11">
        <w:rPr>
          <w:rFonts w:cs="Arial"/>
          <w:szCs w:val="21"/>
        </w:rPr>
        <w:t>,</w:t>
      </w:r>
      <w:r w:rsidRPr="001D5C11">
        <w:rPr>
          <w:rFonts w:cs="Arial"/>
          <w:szCs w:val="21"/>
        </w:rPr>
        <w:t xml:space="preserve"> </w:t>
      </w:r>
      <w:r w:rsidR="001D5C11">
        <w:rPr>
          <w:rFonts w:cs="Arial"/>
          <w:szCs w:val="21"/>
        </w:rPr>
        <w:t xml:space="preserve">7 </w:t>
      </w:r>
      <w:r w:rsidRPr="001D5C11">
        <w:rPr>
          <w:rFonts w:cs="Arial"/>
          <w:szCs w:val="21"/>
        </w:rPr>
        <w:t xml:space="preserve">et </w:t>
      </w:r>
      <w:r w:rsidR="001D5C11">
        <w:rPr>
          <w:rFonts w:cs="Arial"/>
          <w:szCs w:val="21"/>
        </w:rPr>
        <w:t>8</w:t>
      </w:r>
      <w:r w:rsidRPr="001D5C11">
        <w:rPr>
          <w:rFonts w:cs="Arial"/>
          <w:szCs w:val="21"/>
        </w:rPr>
        <w:t xml:space="preserve"> ci-dessous contiennent les résultats synthétiques de l’étude des données socioéconomiques relatives à la zone d’intervention du Projet, respectivement des provinces du Kwilu, Kongo Central, Kasaï Central, Kasaï et Nord-Kivu.</w:t>
      </w:r>
    </w:p>
    <w:p w14:paraId="57ED07FF" w14:textId="77777777" w:rsidR="001C2F95" w:rsidRPr="001D5C11" w:rsidRDefault="001C2F95" w:rsidP="001C2F95">
      <w:pPr>
        <w:rPr>
          <w:rFonts w:cs="Arial"/>
          <w:szCs w:val="21"/>
        </w:rPr>
      </w:pPr>
    </w:p>
    <w:p w14:paraId="3B58B075" w14:textId="010A07BF" w:rsidR="001C2F95" w:rsidRPr="001D5C11" w:rsidRDefault="001C2F95" w:rsidP="001C2F95">
      <w:pPr>
        <w:jc w:val="left"/>
        <w:rPr>
          <w:rFonts w:cs="Arial"/>
          <w:szCs w:val="21"/>
        </w:rPr>
      </w:pPr>
      <w:bookmarkStart w:id="271" w:name="_Toc506391526"/>
      <w:bookmarkStart w:id="272" w:name="_Toc90392972"/>
      <w:r w:rsidRPr="001D5C11">
        <w:rPr>
          <w:rFonts w:cs="Arial"/>
          <w:szCs w:val="21"/>
        </w:rPr>
        <w:t xml:space="preserve">Tableau </w:t>
      </w:r>
      <w:r w:rsidRPr="001D5C11">
        <w:rPr>
          <w:rFonts w:cs="Arial"/>
          <w:szCs w:val="21"/>
        </w:rPr>
        <w:fldChar w:fldCharType="begin"/>
      </w:r>
      <w:r w:rsidRPr="001D5C11">
        <w:rPr>
          <w:rFonts w:cs="Arial"/>
          <w:szCs w:val="21"/>
        </w:rPr>
        <w:instrText xml:space="preserve"> SEQ Tableau \* ARABIC </w:instrText>
      </w:r>
      <w:r w:rsidRPr="001D5C11">
        <w:rPr>
          <w:rFonts w:cs="Arial"/>
          <w:szCs w:val="21"/>
        </w:rPr>
        <w:fldChar w:fldCharType="separate"/>
      </w:r>
      <w:r w:rsidR="001D5C11">
        <w:rPr>
          <w:rFonts w:cs="Arial"/>
          <w:noProof/>
          <w:szCs w:val="21"/>
        </w:rPr>
        <w:t>4</w:t>
      </w:r>
      <w:r w:rsidRPr="001D5C11">
        <w:rPr>
          <w:rFonts w:cs="Arial"/>
          <w:szCs w:val="21"/>
        </w:rPr>
        <w:fldChar w:fldCharType="end"/>
      </w:r>
      <w:r w:rsidRPr="001D5C11">
        <w:rPr>
          <w:rFonts w:cs="Arial"/>
          <w:szCs w:val="21"/>
        </w:rPr>
        <w:t xml:space="preserve">. Données socio-économiques </w:t>
      </w:r>
      <w:bookmarkEnd w:id="271"/>
      <w:r w:rsidRPr="001D5C11">
        <w:rPr>
          <w:rFonts w:cs="Arial"/>
          <w:szCs w:val="21"/>
        </w:rPr>
        <w:t>de la Province du Kwilu</w:t>
      </w:r>
      <w:bookmarkEnd w:id="272"/>
    </w:p>
    <w:p w14:paraId="547644C8" w14:textId="77777777" w:rsidR="001C2F95" w:rsidRPr="00765B4C" w:rsidRDefault="001C2F95" w:rsidP="001C2F95">
      <w:pPr>
        <w:rPr>
          <w:rFonts w:cs="Arial"/>
          <w:sz w:val="20"/>
          <w:szCs w:val="20"/>
        </w:rPr>
      </w:pPr>
    </w:p>
    <w:tbl>
      <w:tblPr>
        <w:tblW w:w="13887"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2378"/>
        <w:gridCol w:w="11509"/>
      </w:tblGrid>
      <w:tr w:rsidR="001C2F95" w:rsidRPr="00765B4C" w14:paraId="1664E29F" w14:textId="77777777" w:rsidTr="00971FD2">
        <w:trPr>
          <w:trHeight w:val="414"/>
          <w:tblHeader/>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C2D69B"/>
            <w:tcMar>
              <w:left w:w="108" w:type="dxa"/>
            </w:tcMar>
          </w:tcPr>
          <w:p w14:paraId="5839830C" w14:textId="77777777" w:rsidR="001C2F95" w:rsidRPr="00765B4C" w:rsidRDefault="001C2F95" w:rsidP="00971FD2">
            <w:pPr>
              <w:jc w:val="center"/>
              <w:rPr>
                <w:rFonts w:eastAsia="Calibri" w:cs="Arial"/>
                <w:b/>
                <w:sz w:val="20"/>
                <w:szCs w:val="20"/>
              </w:rPr>
            </w:pPr>
            <w:r w:rsidRPr="00765B4C">
              <w:rPr>
                <w:rFonts w:eastAsia="Calibri" w:cs="Arial"/>
                <w:b/>
                <w:sz w:val="20"/>
                <w:szCs w:val="20"/>
              </w:rPr>
              <w:t>Secteur</w:t>
            </w:r>
          </w:p>
        </w:tc>
        <w:tc>
          <w:tcPr>
            <w:tcW w:w="11509" w:type="dxa"/>
            <w:tcBorders>
              <w:top w:val="single" w:sz="4" w:space="0" w:color="000001"/>
              <w:left w:val="single" w:sz="4" w:space="0" w:color="000001"/>
              <w:bottom w:val="single" w:sz="4" w:space="0" w:color="000001"/>
              <w:right w:val="single" w:sz="4" w:space="0" w:color="000001"/>
            </w:tcBorders>
            <w:shd w:val="clear" w:color="auto" w:fill="C2D69B"/>
          </w:tcPr>
          <w:p w14:paraId="31654DC2" w14:textId="77777777" w:rsidR="001C2F95" w:rsidRPr="00765B4C" w:rsidRDefault="001C2F95" w:rsidP="00971FD2">
            <w:pPr>
              <w:jc w:val="center"/>
              <w:rPr>
                <w:rFonts w:eastAsia="Calibri" w:cs="Arial"/>
                <w:b/>
                <w:sz w:val="20"/>
                <w:szCs w:val="20"/>
              </w:rPr>
            </w:pPr>
            <w:r w:rsidRPr="00765B4C">
              <w:rPr>
                <w:rFonts w:eastAsia="Calibri" w:cs="Arial"/>
                <w:b/>
                <w:sz w:val="20"/>
                <w:szCs w:val="20"/>
              </w:rPr>
              <w:t>Province du Kwilu</w:t>
            </w:r>
          </w:p>
        </w:tc>
      </w:tr>
      <w:tr w:rsidR="001C2F95" w:rsidRPr="00765B4C" w14:paraId="17F23428" w14:textId="77777777" w:rsidTr="00971FD2">
        <w:trPr>
          <w:trHeight w:val="276"/>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756AAC1" w14:textId="77777777" w:rsidR="001C2F95" w:rsidRPr="00765B4C" w:rsidRDefault="001C2F95" w:rsidP="00971FD2">
            <w:pPr>
              <w:rPr>
                <w:rFonts w:eastAsia="Calibri" w:cs="Arial"/>
                <w:b/>
                <w:sz w:val="20"/>
                <w:szCs w:val="20"/>
              </w:rPr>
            </w:pPr>
            <w:r w:rsidRPr="00765B4C">
              <w:rPr>
                <w:rFonts w:eastAsia="Calibri" w:cs="Arial"/>
                <w:b/>
                <w:sz w:val="20"/>
                <w:szCs w:val="20"/>
              </w:rPr>
              <w:t>Situation géographique</w:t>
            </w:r>
          </w:p>
        </w:tc>
        <w:tc>
          <w:tcPr>
            <w:tcW w:w="11509" w:type="dxa"/>
            <w:tcBorders>
              <w:top w:val="single" w:sz="4" w:space="0" w:color="000001"/>
              <w:left w:val="single" w:sz="4" w:space="0" w:color="000001"/>
              <w:bottom w:val="single" w:sz="4" w:space="0" w:color="000001"/>
              <w:right w:val="single" w:sz="4" w:space="0" w:color="000001"/>
            </w:tcBorders>
          </w:tcPr>
          <w:p w14:paraId="12E18269" w14:textId="77777777" w:rsidR="001C2F95" w:rsidRPr="00765B4C" w:rsidRDefault="001C2F95" w:rsidP="00971FD2">
            <w:pPr>
              <w:textAlignment w:val="baseline"/>
              <w:rPr>
                <w:rFonts w:cs="Arial"/>
                <w:b/>
                <w:bCs/>
                <w:i/>
                <w:color w:val="000000"/>
                <w:sz w:val="20"/>
                <w:szCs w:val="20"/>
              </w:rPr>
            </w:pPr>
            <w:r w:rsidRPr="00765B4C">
              <w:rPr>
                <w:rFonts w:cs="Arial"/>
                <w:b/>
                <w:bCs/>
                <w:i/>
                <w:color w:val="000000"/>
                <w:sz w:val="20"/>
                <w:szCs w:val="20"/>
              </w:rPr>
              <w:t>Localisation</w:t>
            </w:r>
          </w:p>
          <w:p w14:paraId="7054B6E1" w14:textId="77777777" w:rsidR="001C2F95" w:rsidRPr="00765B4C" w:rsidRDefault="001C2F95" w:rsidP="00971FD2">
            <w:pPr>
              <w:ind w:left="40"/>
              <w:textAlignment w:val="baseline"/>
              <w:rPr>
                <w:rFonts w:cs="Arial"/>
                <w:color w:val="000000"/>
                <w:sz w:val="20"/>
                <w:szCs w:val="20"/>
              </w:rPr>
            </w:pPr>
            <w:r w:rsidRPr="00765B4C">
              <w:rPr>
                <w:rFonts w:cs="Arial"/>
                <w:color w:val="000000"/>
                <w:sz w:val="20"/>
                <w:szCs w:val="20"/>
              </w:rPr>
              <w:t>La Province du Kwilu est depuis 2015 une Province de la </w:t>
            </w:r>
            <w:hyperlink r:id="rId22" w:tooltip="République démocratique du Congo" w:history="1">
              <w:r w:rsidRPr="00765B4C">
                <w:rPr>
                  <w:rFonts w:cs="Arial"/>
                  <w:color w:val="000000"/>
                  <w:sz w:val="20"/>
                  <w:szCs w:val="20"/>
                </w:rPr>
                <w:t>République Démocratique du Congo</w:t>
              </w:r>
            </w:hyperlink>
            <w:r w:rsidRPr="00765B4C">
              <w:rPr>
                <w:rFonts w:cs="Arial"/>
                <w:color w:val="000000"/>
                <w:sz w:val="20"/>
                <w:szCs w:val="20"/>
              </w:rPr>
              <w:t> à la suite de l’éclatement de la Province du </w:t>
            </w:r>
            <w:hyperlink r:id="rId23" w:tooltip="Bandundu (province)" w:history="1">
              <w:r w:rsidRPr="00765B4C">
                <w:rPr>
                  <w:rFonts w:cs="Arial"/>
                  <w:color w:val="000000"/>
                  <w:sz w:val="20"/>
                  <w:szCs w:val="20"/>
                </w:rPr>
                <w:t>Bandundu</w:t>
              </w:r>
            </w:hyperlink>
            <w:r w:rsidRPr="00765B4C">
              <w:rPr>
                <w:rFonts w:cs="Arial"/>
                <w:color w:val="000000"/>
                <w:sz w:val="20"/>
                <w:szCs w:val="20"/>
              </w:rPr>
              <w:t>. La Province du Kwilu a une superficie de 78 441 km</w:t>
            </w:r>
            <w:r w:rsidRPr="00765B4C">
              <w:rPr>
                <w:rFonts w:cs="Arial"/>
                <w:color w:val="000000"/>
                <w:sz w:val="20"/>
                <w:szCs w:val="20"/>
                <w:vertAlign w:val="superscript"/>
              </w:rPr>
              <w:t>2</w:t>
            </w:r>
            <w:r w:rsidRPr="00765B4C">
              <w:rPr>
                <w:rFonts w:cs="Arial"/>
                <w:color w:val="000000"/>
                <w:sz w:val="20"/>
                <w:szCs w:val="20"/>
              </w:rPr>
              <w:t xml:space="preserve">. Elle est limitée au Nord par le Sud de la Province de Maï-Ndombe ; à l’Est par l’Ouest de la Province du Kasaï ; au Sud par le Nord de la Province du Kwango et à l’Ouest par le l’Est de la Ville-Province de Kinshasa. Bandundu est le Chef-lieu de la Province. Le Kwilu compte 5 Territoires à savoir : Bagata, Kazamba, Lukeni, Nzinda et Lukolela. </w:t>
            </w:r>
          </w:p>
          <w:p w14:paraId="7CF8D38A" w14:textId="77777777" w:rsidR="001C2F95" w:rsidRPr="00765B4C" w:rsidRDefault="001C2F95" w:rsidP="00971FD2">
            <w:pPr>
              <w:ind w:left="40"/>
              <w:textAlignment w:val="baseline"/>
              <w:rPr>
                <w:rFonts w:cs="Arial"/>
                <w:color w:val="000000"/>
                <w:sz w:val="20"/>
                <w:szCs w:val="20"/>
              </w:rPr>
            </w:pPr>
          </w:p>
          <w:p w14:paraId="70D8546F" w14:textId="77777777" w:rsidR="001C2F95" w:rsidRPr="00765B4C" w:rsidRDefault="001C2F95" w:rsidP="00971FD2">
            <w:pPr>
              <w:ind w:left="40"/>
              <w:textAlignment w:val="baseline"/>
              <w:rPr>
                <w:rFonts w:cs="Arial"/>
                <w:b/>
                <w:i/>
                <w:color w:val="000000"/>
                <w:sz w:val="20"/>
                <w:szCs w:val="20"/>
              </w:rPr>
            </w:pPr>
            <w:r w:rsidRPr="00765B4C">
              <w:rPr>
                <w:rFonts w:cs="Arial"/>
                <w:b/>
                <w:i/>
                <w:color w:val="000000"/>
                <w:sz w:val="20"/>
                <w:szCs w:val="20"/>
              </w:rPr>
              <w:t>Climat et saison</w:t>
            </w:r>
          </w:p>
          <w:p w14:paraId="362C178B" w14:textId="77777777" w:rsidR="001C2F95" w:rsidRPr="00765B4C" w:rsidRDefault="001C2F95" w:rsidP="00971FD2">
            <w:pPr>
              <w:ind w:left="40"/>
              <w:textAlignment w:val="baseline"/>
              <w:rPr>
                <w:rFonts w:cs="Arial"/>
                <w:color w:val="000000"/>
                <w:sz w:val="20"/>
                <w:szCs w:val="20"/>
              </w:rPr>
            </w:pPr>
            <w:r w:rsidRPr="00765B4C">
              <w:rPr>
                <w:rFonts w:cs="Arial"/>
                <w:color w:val="000000"/>
                <w:sz w:val="20"/>
                <w:szCs w:val="20"/>
              </w:rPr>
              <w:t>Les coordonnées géographiques sont : 5° 02’ 01’’ Sud et 18° 50’ 01’’ Est.</w:t>
            </w:r>
          </w:p>
          <w:p w14:paraId="548FF4A7" w14:textId="77777777" w:rsidR="001C2F95" w:rsidRPr="00765B4C" w:rsidRDefault="001C2F95" w:rsidP="00971FD2">
            <w:pPr>
              <w:ind w:left="40"/>
              <w:textAlignment w:val="baseline"/>
              <w:rPr>
                <w:rFonts w:cs="Arial"/>
                <w:color w:val="000000"/>
                <w:sz w:val="20"/>
                <w:szCs w:val="20"/>
              </w:rPr>
            </w:pPr>
            <w:r w:rsidRPr="00765B4C">
              <w:rPr>
                <w:rFonts w:cs="Arial"/>
                <w:color w:val="000000"/>
                <w:sz w:val="20"/>
                <w:szCs w:val="20"/>
              </w:rPr>
              <w:t>Le climat de la Province du Kwilu appartient au type climatique ‘’AF’’ relevé dans la classification de KÖPPEN dont la hauteur mensuelle des pluies du mois le plus sec est supérieur à 60 mm. La saison sèche ne dure que deux mois à Bandundu Ville, de juin à juillet. Kikwit jouit d’un climat subéquatorial avec trois mois de saison sèche.</w:t>
            </w:r>
            <w:r w:rsidR="008454F4" w:rsidRPr="00765B4C">
              <w:rPr>
                <w:rFonts w:cs="Arial"/>
                <w:color w:val="000000"/>
                <w:sz w:val="20"/>
                <w:szCs w:val="20"/>
              </w:rPr>
              <w:t xml:space="preserve"> L</w:t>
            </w:r>
            <w:r w:rsidRPr="00765B4C">
              <w:rPr>
                <w:rFonts w:cs="Arial"/>
                <w:color w:val="000000"/>
                <w:sz w:val="20"/>
                <w:szCs w:val="20"/>
              </w:rPr>
              <w:t xml:space="preserve">es activités agricoles du PNDA sur les grandes étendues de terres, la réhabilitation des pistes rurales avec l’utilisation des carrières d’emprunts des matériaux risquent d’impacter sur l’écosystème avec la coupe des végétaux et au besoin induire au changement climatique si les mesures </w:t>
            </w:r>
            <w:r w:rsidR="008454F4" w:rsidRPr="00765B4C">
              <w:rPr>
                <w:rFonts w:cs="Arial"/>
                <w:color w:val="000000"/>
                <w:sz w:val="20"/>
                <w:szCs w:val="20"/>
              </w:rPr>
              <w:t>nécessaires</w:t>
            </w:r>
            <w:r w:rsidRPr="00765B4C">
              <w:rPr>
                <w:rFonts w:cs="Arial"/>
                <w:color w:val="000000"/>
                <w:sz w:val="20"/>
                <w:szCs w:val="20"/>
              </w:rPr>
              <w:t xml:space="preserve"> de compensation (reboisement, plantation des cultures </w:t>
            </w:r>
            <w:r w:rsidR="008454F4" w:rsidRPr="00765B4C">
              <w:rPr>
                <w:rFonts w:cs="Arial"/>
                <w:color w:val="000000"/>
                <w:sz w:val="20"/>
                <w:szCs w:val="20"/>
              </w:rPr>
              <w:t>pérennes</w:t>
            </w:r>
            <w:r w:rsidRPr="00765B4C">
              <w:rPr>
                <w:rFonts w:cs="Arial"/>
                <w:color w:val="000000"/>
                <w:sz w:val="20"/>
                <w:szCs w:val="20"/>
              </w:rPr>
              <w:t>) ne sont pas prises en compte</w:t>
            </w:r>
            <w:r w:rsidR="008454F4" w:rsidRPr="00765B4C">
              <w:rPr>
                <w:rFonts w:cs="Arial"/>
                <w:color w:val="000000"/>
                <w:sz w:val="20"/>
                <w:szCs w:val="20"/>
              </w:rPr>
              <w:t>.</w:t>
            </w:r>
            <w:r w:rsidRPr="00765B4C">
              <w:rPr>
                <w:rFonts w:cs="Arial"/>
                <w:color w:val="000000"/>
                <w:sz w:val="20"/>
                <w:szCs w:val="20"/>
              </w:rPr>
              <w:t xml:space="preserve"> </w:t>
            </w:r>
          </w:p>
          <w:p w14:paraId="31A99D9C" w14:textId="77777777" w:rsidR="001C2F95" w:rsidRPr="00765B4C" w:rsidRDefault="001C2F95" w:rsidP="00971FD2">
            <w:pPr>
              <w:textAlignment w:val="baseline"/>
              <w:rPr>
                <w:rFonts w:cs="Arial"/>
                <w:color w:val="000000"/>
                <w:sz w:val="20"/>
                <w:szCs w:val="20"/>
              </w:rPr>
            </w:pPr>
            <w:r w:rsidRPr="00765B4C">
              <w:rPr>
                <w:rFonts w:cs="Arial"/>
                <w:color w:val="000000"/>
                <w:sz w:val="20"/>
                <w:szCs w:val="20"/>
              </w:rPr>
              <w:br/>
              <w:t xml:space="preserve">Les températures moyennes annuelles observées s’élèvent à 25° C pour l’ensemble de la Province. Elles sont de 30° C dans la zone de climat équatorial et varient entre 20° C et 25° C dans la zone du climat tropical. </w:t>
            </w:r>
          </w:p>
          <w:p w14:paraId="53103593" w14:textId="77777777" w:rsidR="001C2F95" w:rsidRPr="00765B4C" w:rsidRDefault="001C2F95" w:rsidP="00971FD2">
            <w:pPr>
              <w:jc w:val="left"/>
              <w:textAlignment w:val="baseline"/>
              <w:rPr>
                <w:rFonts w:cs="Arial"/>
                <w:color w:val="000000"/>
                <w:sz w:val="20"/>
                <w:szCs w:val="20"/>
              </w:rPr>
            </w:pPr>
          </w:p>
          <w:p w14:paraId="24C8A704" w14:textId="77777777" w:rsidR="001C2F95" w:rsidRPr="00765B4C" w:rsidRDefault="001C2F95" w:rsidP="00971FD2">
            <w:pPr>
              <w:jc w:val="left"/>
              <w:textAlignment w:val="baseline"/>
              <w:rPr>
                <w:rFonts w:cs="Arial"/>
                <w:b/>
                <w:bCs/>
                <w:i/>
                <w:color w:val="333333"/>
                <w:sz w:val="20"/>
                <w:szCs w:val="20"/>
              </w:rPr>
            </w:pPr>
            <w:r w:rsidRPr="00765B4C">
              <w:rPr>
                <w:rFonts w:cs="Arial"/>
                <w:b/>
                <w:bCs/>
                <w:i/>
                <w:color w:val="000000"/>
                <w:sz w:val="20"/>
                <w:szCs w:val="20"/>
              </w:rPr>
              <w:t xml:space="preserve">Sol </w:t>
            </w:r>
            <w:r w:rsidRPr="00765B4C">
              <w:rPr>
                <w:rFonts w:cs="Arial"/>
                <w:b/>
                <w:bCs/>
                <w:i/>
                <w:sz w:val="20"/>
                <w:szCs w:val="20"/>
              </w:rPr>
              <w:t>et Relief</w:t>
            </w:r>
            <w:r w:rsidRPr="00765B4C">
              <w:rPr>
                <w:rFonts w:cs="Arial"/>
                <w:i/>
                <w:color w:val="000000"/>
                <w:sz w:val="20"/>
                <w:szCs w:val="20"/>
              </w:rPr>
              <w:t> </w:t>
            </w:r>
          </w:p>
          <w:p w14:paraId="40BC0CAF" w14:textId="77777777" w:rsidR="001C2F95" w:rsidRPr="00765B4C" w:rsidRDefault="001C2F95" w:rsidP="00971FD2">
            <w:pPr>
              <w:ind w:left="40"/>
              <w:textAlignment w:val="baseline"/>
              <w:rPr>
                <w:rFonts w:cs="Arial"/>
                <w:color w:val="000000"/>
                <w:sz w:val="20"/>
                <w:szCs w:val="20"/>
              </w:rPr>
            </w:pPr>
            <w:r w:rsidRPr="00765B4C">
              <w:rPr>
                <w:rFonts w:cs="Arial"/>
                <w:color w:val="000000"/>
                <w:sz w:val="20"/>
                <w:szCs w:val="20"/>
              </w:rPr>
              <w:t>Le sol est de nature argilo-sablonneux. Le plan topographique de la Province du Kwilu se dessine sur un schéma progressivement élevé en se déplaçant vers le Sud jusqu’à la frontière Angolaise à environ 1 000 m d’altitude et incliné au point le plus bas vers le Nord à environ 300 m d’altitude. Cette position géographique situe la province au 1/3 de sa superficie dans le cadre naturel de la Cuvette Centrale. Par ailleurs, dans le Territoire de Bulungu, le sol y est argilo-sablonneux avec un relief généralement accidenté se caractérisant par des collines, des plateaux et des plaines.</w:t>
            </w:r>
          </w:p>
          <w:p w14:paraId="62378074" w14:textId="77777777" w:rsidR="001C2F95" w:rsidRPr="00765B4C" w:rsidRDefault="001C2F95" w:rsidP="00971FD2">
            <w:pPr>
              <w:textAlignment w:val="baseline"/>
              <w:rPr>
                <w:rFonts w:cs="Arial"/>
                <w:b/>
                <w:i/>
                <w:color w:val="000000"/>
                <w:sz w:val="20"/>
                <w:szCs w:val="20"/>
              </w:rPr>
            </w:pPr>
            <w:r w:rsidRPr="00765B4C">
              <w:rPr>
                <w:rFonts w:cs="Arial"/>
                <w:b/>
                <w:i/>
                <w:color w:val="000000"/>
                <w:sz w:val="20"/>
                <w:szCs w:val="20"/>
              </w:rPr>
              <w:t>Hydrographie</w:t>
            </w:r>
          </w:p>
          <w:p w14:paraId="0647CB6B" w14:textId="77777777" w:rsidR="001C2F95" w:rsidRPr="00765B4C" w:rsidRDefault="001C2F95" w:rsidP="00971FD2">
            <w:pPr>
              <w:ind w:left="40"/>
              <w:textAlignment w:val="baseline"/>
              <w:rPr>
                <w:rFonts w:cs="Arial"/>
                <w:color w:val="000000"/>
                <w:sz w:val="20"/>
                <w:szCs w:val="20"/>
              </w:rPr>
            </w:pPr>
            <w:r w:rsidRPr="00765B4C">
              <w:rPr>
                <w:rFonts w:cs="Arial"/>
                <w:color w:val="000000"/>
                <w:sz w:val="20"/>
                <w:szCs w:val="20"/>
              </w:rPr>
              <w:t>La Province du Kwilu est baignée par les rivières suivantes : Kwango, Inzia, Kwilu et Kasaï. Les autres cours d’eau des territoires sont : Bagata, Nko, Luniungu, Luzumu, Nzalambala, Kamuthia, Mubangu, Lukwa. À Gungu : les Rivières Loange, Kwilu, Lufuku, Lutshima, Kwenge, Lubwe et Yembesi. À Masimanimba l’on rencontre les rivières Inzia, Lukula, Luie et Kwenge.</w:t>
            </w:r>
          </w:p>
          <w:p w14:paraId="0B538338" w14:textId="77777777" w:rsidR="001C2F95" w:rsidRPr="00765B4C" w:rsidRDefault="001C2F95" w:rsidP="00971FD2">
            <w:pPr>
              <w:ind w:left="40"/>
              <w:textAlignment w:val="baseline"/>
              <w:rPr>
                <w:rFonts w:cs="Arial"/>
                <w:color w:val="000000"/>
                <w:sz w:val="20"/>
                <w:szCs w:val="20"/>
              </w:rPr>
            </w:pPr>
          </w:p>
          <w:p w14:paraId="1DDDA96D" w14:textId="77777777" w:rsidR="001C2F95" w:rsidRPr="00765B4C" w:rsidRDefault="001C2F95" w:rsidP="00971FD2">
            <w:pPr>
              <w:textAlignment w:val="baseline"/>
              <w:rPr>
                <w:rFonts w:cs="Arial"/>
                <w:b/>
                <w:i/>
                <w:color w:val="000000"/>
                <w:sz w:val="20"/>
                <w:szCs w:val="20"/>
              </w:rPr>
            </w:pPr>
            <w:r w:rsidRPr="00765B4C">
              <w:rPr>
                <w:rFonts w:cs="Arial"/>
                <w:b/>
                <w:i/>
                <w:color w:val="000000"/>
                <w:sz w:val="20"/>
                <w:szCs w:val="20"/>
              </w:rPr>
              <w:t>Espèces phares de la faune</w:t>
            </w:r>
          </w:p>
          <w:p w14:paraId="5BB98945" w14:textId="77777777" w:rsidR="001C2F95" w:rsidRPr="00765B4C" w:rsidRDefault="001C2F95" w:rsidP="00971FD2">
            <w:pPr>
              <w:textAlignment w:val="baseline"/>
              <w:rPr>
                <w:rFonts w:cs="Arial"/>
                <w:color w:val="000000"/>
                <w:sz w:val="20"/>
                <w:szCs w:val="20"/>
              </w:rPr>
            </w:pPr>
            <w:r w:rsidRPr="00765B4C">
              <w:rPr>
                <w:rFonts w:cs="Arial"/>
                <w:color w:val="000000"/>
                <w:sz w:val="20"/>
                <w:szCs w:val="20"/>
              </w:rPr>
              <w:t>Léopard, buffle, antilope rouge, antilope cheval, antilope simple, et éléphant.</w:t>
            </w:r>
            <w:r w:rsidR="008454F4" w:rsidRPr="00765B4C">
              <w:rPr>
                <w:rFonts w:cs="Arial"/>
                <w:color w:val="000000"/>
                <w:sz w:val="20"/>
                <w:szCs w:val="20"/>
              </w:rPr>
              <w:t xml:space="preserve"> </w:t>
            </w:r>
            <w:r w:rsidRPr="00765B4C">
              <w:rPr>
                <w:rFonts w:cs="Arial"/>
                <w:color w:val="000000"/>
                <w:sz w:val="20"/>
                <w:szCs w:val="20"/>
              </w:rPr>
              <w:t xml:space="preserve">Il sied de signaler que les </w:t>
            </w:r>
            <w:r w:rsidR="008454F4" w:rsidRPr="00765B4C">
              <w:rPr>
                <w:rFonts w:cs="Arial"/>
                <w:color w:val="000000"/>
                <w:sz w:val="20"/>
                <w:szCs w:val="20"/>
              </w:rPr>
              <w:t>hippopotames</w:t>
            </w:r>
            <w:r w:rsidRPr="00765B4C">
              <w:rPr>
                <w:rFonts w:cs="Arial"/>
                <w:color w:val="000000"/>
                <w:sz w:val="20"/>
                <w:szCs w:val="20"/>
              </w:rPr>
              <w:t xml:space="preserve"> rencontrés dans le domaine de chasse de Mangai est un animal protégé </w:t>
            </w:r>
            <w:r w:rsidR="008454F4" w:rsidRPr="00765B4C">
              <w:rPr>
                <w:rFonts w:cs="Arial"/>
                <w:color w:val="000000"/>
                <w:sz w:val="20"/>
                <w:szCs w:val="20"/>
              </w:rPr>
              <w:t>menacé</w:t>
            </w:r>
            <w:r w:rsidRPr="00765B4C">
              <w:rPr>
                <w:rFonts w:cs="Arial"/>
                <w:color w:val="000000"/>
                <w:sz w:val="20"/>
                <w:szCs w:val="20"/>
              </w:rPr>
              <w:t xml:space="preserve"> par le braconnage.</w:t>
            </w:r>
          </w:p>
          <w:p w14:paraId="77D411A0" w14:textId="77777777" w:rsidR="001C2F95" w:rsidRPr="00765B4C" w:rsidRDefault="001C2F95" w:rsidP="00971FD2">
            <w:pPr>
              <w:textAlignment w:val="baseline"/>
              <w:rPr>
                <w:rFonts w:cs="Arial"/>
                <w:color w:val="000000"/>
                <w:sz w:val="20"/>
                <w:szCs w:val="20"/>
              </w:rPr>
            </w:pPr>
          </w:p>
          <w:p w14:paraId="1DB5271B" w14:textId="77777777" w:rsidR="001C2F95" w:rsidRPr="00765B4C" w:rsidRDefault="001C2F95" w:rsidP="00971FD2">
            <w:pPr>
              <w:textAlignment w:val="baseline"/>
              <w:rPr>
                <w:rFonts w:cs="Arial"/>
                <w:b/>
                <w:i/>
                <w:color w:val="000000"/>
                <w:sz w:val="20"/>
                <w:szCs w:val="20"/>
              </w:rPr>
            </w:pPr>
            <w:r w:rsidRPr="00765B4C">
              <w:rPr>
                <w:rFonts w:cs="Arial"/>
                <w:b/>
                <w:i/>
                <w:color w:val="000000"/>
                <w:sz w:val="20"/>
                <w:szCs w:val="20"/>
              </w:rPr>
              <w:t>Végétation</w:t>
            </w:r>
          </w:p>
          <w:p w14:paraId="49A9F393" w14:textId="77777777" w:rsidR="001C2F95" w:rsidRPr="00765B4C" w:rsidRDefault="001C2F95" w:rsidP="00971FD2">
            <w:pPr>
              <w:textAlignment w:val="baseline"/>
              <w:rPr>
                <w:rFonts w:cs="Arial"/>
                <w:color w:val="000000"/>
                <w:sz w:val="20"/>
                <w:szCs w:val="20"/>
              </w:rPr>
            </w:pPr>
            <w:r w:rsidRPr="00765B4C">
              <w:rPr>
                <w:rFonts w:cs="Arial"/>
                <w:color w:val="000000"/>
                <w:sz w:val="20"/>
                <w:szCs w:val="20"/>
              </w:rPr>
              <w:t>La végétation de la Province du Kwilu est dominée par la vue de la savane et la forêt. Dans certains territoires comme celui de Bagata on y trouve à 80 % la savane arbustive avec de rares inclusions de savanes. La densité de ces arbustes constamment soumis au passage du feu est très variable par endroits. Il en est de même pour le Territoire de Masimanimba. Elle est parfois suffisante pour fournir une fertilité acceptable aux cultures de savanes, qui dominent sur les cultures de forêt.</w:t>
            </w:r>
            <w:r w:rsidRPr="00765B4C">
              <w:rPr>
                <w:rFonts w:cs="Arial"/>
                <w:b/>
                <w:i/>
                <w:color w:val="000000"/>
                <w:sz w:val="20"/>
                <w:szCs w:val="20"/>
              </w:rPr>
              <w:t xml:space="preserve"> </w:t>
            </w:r>
            <w:r w:rsidRPr="00765B4C">
              <w:rPr>
                <w:rFonts w:cs="Arial"/>
                <w:color w:val="000000"/>
                <w:sz w:val="20"/>
                <w:szCs w:val="20"/>
              </w:rPr>
              <w:t>La forêt de la province est avant tout représentée par les galeries forestières des grandes rivières et de leurs affluents, Kwilu et Kwango. Dans ce vaste espace savanicole, on peut encore admirer des massifs de belle allure où logent les essences les plus convoitées : les wenge, lifaki, sipo, iroko, militia, mulundu, ipaki, mbwaki et tola.</w:t>
            </w:r>
            <w:r w:rsidR="008454F4" w:rsidRPr="00765B4C">
              <w:rPr>
                <w:rFonts w:cs="Arial"/>
                <w:color w:val="000000"/>
                <w:sz w:val="20"/>
                <w:szCs w:val="20"/>
              </w:rPr>
              <w:t xml:space="preserve"> </w:t>
            </w:r>
            <w:r w:rsidRPr="00765B4C">
              <w:rPr>
                <w:rFonts w:cs="Arial"/>
                <w:color w:val="000000"/>
                <w:sz w:val="20"/>
                <w:szCs w:val="20"/>
              </w:rPr>
              <w:t>Il sied de signaler que les espaces forestières ne seront pas converti</w:t>
            </w:r>
            <w:r w:rsidR="004F0CA2" w:rsidRPr="00765B4C">
              <w:rPr>
                <w:rFonts w:cs="Arial"/>
                <w:color w:val="000000"/>
                <w:sz w:val="20"/>
                <w:szCs w:val="20"/>
              </w:rPr>
              <w:t>e</w:t>
            </w:r>
            <w:r w:rsidRPr="00765B4C">
              <w:rPr>
                <w:rFonts w:cs="Arial"/>
                <w:color w:val="000000"/>
                <w:sz w:val="20"/>
                <w:szCs w:val="20"/>
              </w:rPr>
              <w:t>s aux espaces agricoles.</w:t>
            </w:r>
          </w:p>
        </w:tc>
      </w:tr>
      <w:tr w:rsidR="001C2F95" w:rsidRPr="00765B4C" w14:paraId="23EECA8B" w14:textId="77777777" w:rsidTr="00971FD2">
        <w:trPr>
          <w:trHeight w:val="2123"/>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41C7AFA2" w14:textId="77777777" w:rsidR="001C2F95" w:rsidRPr="00765B4C" w:rsidRDefault="001C2F95" w:rsidP="00971FD2">
            <w:pPr>
              <w:rPr>
                <w:rFonts w:eastAsia="Calibri" w:cs="Arial"/>
                <w:b/>
                <w:sz w:val="20"/>
                <w:szCs w:val="20"/>
              </w:rPr>
            </w:pPr>
            <w:r w:rsidRPr="00765B4C">
              <w:rPr>
                <w:rFonts w:eastAsia="Calibri" w:cs="Arial"/>
                <w:b/>
                <w:sz w:val="20"/>
                <w:szCs w:val="20"/>
              </w:rPr>
              <w:t>Populations</w:t>
            </w:r>
          </w:p>
        </w:tc>
        <w:tc>
          <w:tcPr>
            <w:tcW w:w="11509" w:type="dxa"/>
            <w:tcBorders>
              <w:top w:val="single" w:sz="4" w:space="0" w:color="000001"/>
              <w:left w:val="single" w:sz="4" w:space="0" w:color="000001"/>
              <w:bottom w:val="single" w:sz="4" w:space="0" w:color="000001"/>
              <w:right w:val="single" w:sz="4" w:space="0" w:color="000001"/>
            </w:tcBorders>
          </w:tcPr>
          <w:p w14:paraId="24A9B02C" w14:textId="77777777" w:rsidR="001C2F95" w:rsidRPr="00765B4C" w:rsidRDefault="001C2F95" w:rsidP="00971FD2">
            <w:pPr>
              <w:textAlignment w:val="baseline"/>
              <w:rPr>
                <w:rFonts w:cs="Arial"/>
                <w:color w:val="000000"/>
                <w:sz w:val="20"/>
                <w:szCs w:val="20"/>
              </w:rPr>
            </w:pPr>
            <w:r w:rsidRPr="00765B4C">
              <w:rPr>
                <w:rFonts w:cs="Arial"/>
                <w:color w:val="000000"/>
                <w:sz w:val="20"/>
                <w:szCs w:val="20"/>
              </w:rPr>
              <w:t>La Province du Kwilu est l’une des trois (3) Provinces issues du découpage de la grande Province de Bandundu ; de ce fait, elle est parmi les 26 Provinces de la République Démocratique du Congo. Elle a une superficie de 78 441 km</w:t>
            </w:r>
            <w:r w:rsidRPr="00765B4C">
              <w:rPr>
                <w:rFonts w:cs="Arial"/>
                <w:color w:val="000000"/>
                <w:sz w:val="20"/>
                <w:szCs w:val="20"/>
                <w:vertAlign w:val="superscript"/>
              </w:rPr>
              <w:t>2</w:t>
            </w:r>
            <w:r w:rsidRPr="00765B4C">
              <w:rPr>
                <w:rFonts w:cs="Arial"/>
                <w:color w:val="000000"/>
                <w:sz w:val="20"/>
                <w:szCs w:val="20"/>
              </w:rPr>
              <w:t xml:space="preserve"> et hébergent une population totale d’environ 7 567 180 habitants. </w:t>
            </w:r>
          </w:p>
          <w:p w14:paraId="1CD8450E" w14:textId="77777777" w:rsidR="001C2F95" w:rsidRPr="00765B4C" w:rsidRDefault="001C2F95" w:rsidP="00971FD2">
            <w:pPr>
              <w:textAlignment w:val="baseline"/>
              <w:rPr>
                <w:rFonts w:cs="Arial"/>
                <w:color w:val="000000"/>
                <w:sz w:val="20"/>
                <w:szCs w:val="20"/>
              </w:rPr>
            </w:pPr>
          </w:p>
          <w:p w14:paraId="2FDDDEFD" w14:textId="77777777" w:rsidR="001C2F95" w:rsidRPr="00765B4C" w:rsidRDefault="001C2F95" w:rsidP="00971FD2">
            <w:pPr>
              <w:textAlignment w:val="baseline"/>
              <w:rPr>
                <w:rFonts w:cs="Arial"/>
                <w:color w:val="000000"/>
                <w:sz w:val="20"/>
                <w:szCs w:val="20"/>
              </w:rPr>
            </w:pPr>
            <w:r w:rsidRPr="00765B4C">
              <w:rPr>
                <w:rFonts w:cs="Arial"/>
                <w:color w:val="000000"/>
                <w:sz w:val="20"/>
                <w:szCs w:val="20"/>
              </w:rPr>
              <w:t>Les Ethnies dominantes (autochtones) des Territoires qui composent la Province du Kwilu sont : Dans le Territoire de Bagata, de toutes les tribus, les Yanzi représentent 85 % de la population totale du Territoire. Ce peuple est connu pour son usage continuel des proverbes et toutes les tribus appliquent le régime matriarcal. Tandis que dans le Territoire de Bulungu, on rencontre les Mbala et les Yansi y sont majoritaires. Par contre, le Territoire de Gungu est dominé par la tribu Pende suivie de Bunda et Kwese, Wongo et Lunda. Dans le Territoire d’Idiofa, l’on rencontre les tribus Bunda, Dinga, Lele, Ngoli, Ngwili, Nzadi, Pende et Wongo. Sur le plan culturel, l</w:t>
            </w:r>
            <w:r w:rsidRPr="00765B4C">
              <w:rPr>
                <w:rFonts w:cs="Arial"/>
                <w:sz w:val="20"/>
                <w:szCs w:val="20"/>
              </w:rPr>
              <w:t>e mode de vie des femmes engendre des pratiques, des us et coutumes rétrogrades qui sont à la base des violences sexistes</w:t>
            </w:r>
          </w:p>
          <w:p w14:paraId="6DC04C86" w14:textId="77777777" w:rsidR="001C2F95" w:rsidRPr="00765B4C" w:rsidRDefault="001C2F95" w:rsidP="00971FD2">
            <w:pPr>
              <w:textAlignment w:val="baseline"/>
              <w:rPr>
                <w:rFonts w:cs="Arial"/>
                <w:color w:val="000000"/>
                <w:sz w:val="20"/>
                <w:szCs w:val="20"/>
              </w:rPr>
            </w:pPr>
          </w:p>
          <w:p w14:paraId="0544AEDD" w14:textId="77777777" w:rsidR="001C2F95" w:rsidRPr="00765B4C" w:rsidRDefault="001C2F95" w:rsidP="00971FD2">
            <w:pPr>
              <w:textAlignment w:val="baseline"/>
              <w:rPr>
                <w:rFonts w:cs="Arial"/>
                <w:color w:val="000000"/>
                <w:sz w:val="20"/>
                <w:szCs w:val="20"/>
              </w:rPr>
            </w:pPr>
            <w:r w:rsidRPr="00765B4C">
              <w:rPr>
                <w:rFonts w:cs="Arial"/>
                <w:color w:val="000000"/>
                <w:sz w:val="20"/>
                <w:szCs w:val="20"/>
              </w:rPr>
              <w:t xml:space="preserve">Les langues parlées sont : Kikongo, Lingala, Pende. Dépendant jadis de l’ancienne Province de Bandundu, le Kikongo est et reste la langue nationale la plus parlée. </w:t>
            </w:r>
          </w:p>
          <w:p w14:paraId="36F50344" w14:textId="77777777" w:rsidR="001C2F95" w:rsidRPr="00765B4C" w:rsidRDefault="001C2F95" w:rsidP="00971FD2">
            <w:pPr>
              <w:textAlignment w:val="baseline"/>
              <w:rPr>
                <w:rFonts w:cs="Arial"/>
                <w:color w:val="000000"/>
                <w:sz w:val="20"/>
                <w:szCs w:val="20"/>
              </w:rPr>
            </w:pPr>
          </w:p>
          <w:p w14:paraId="708B1D45" w14:textId="77777777" w:rsidR="001C2F95" w:rsidRPr="00765B4C" w:rsidRDefault="001C2F95" w:rsidP="00971FD2">
            <w:pPr>
              <w:textAlignment w:val="baseline"/>
              <w:rPr>
                <w:rFonts w:cs="Arial"/>
                <w:color w:val="000000"/>
                <w:sz w:val="20"/>
                <w:szCs w:val="20"/>
              </w:rPr>
            </w:pPr>
            <w:r w:rsidRPr="00765B4C">
              <w:rPr>
                <w:rFonts w:cs="Arial"/>
                <w:color w:val="000000"/>
                <w:sz w:val="20"/>
                <w:szCs w:val="20"/>
              </w:rPr>
              <w:t>Il sied de noter que les peuples autochtones ne sont pas signalés dans la Province du Kwilu.</w:t>
            </w:r>
          </w:p>
        </w:tc>
      </w:tr>
      <w:tr w:rsidR="001C2F95" w:rsidRPr="00765B4C" w14:paraId="3C0BD205"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ADCEE52" w14:textId="77777777" w:rsidR="001C2F95" w:rsidRPr="00765B4C" w:rsidRDefault="001C2F95" w:rsidP="00971FD2">
            <w:pPr>
              <w:rPr>
                <w:rFonts w:eastAsia="Calibri" w:cs="Arial"/>
                <w:b/>
                <w:sz w:val="20"/>
                <w:szCs w:val="20"/>
              </w:rPr>
            </w:pPr>
            <w:r w:rsidRPr="00765B4C">
              <w:rPr>
                <w:rFonts w:eastAsia="Calibri" w:cs="Arial"/>
                <w:b/>
                <w:sz w:val="20"/>
                <w:szCs w:val="20"/>
              </w:rPr>
              <w:t>Activités principales de la population</w:t>
            </w:r>
          </w:p>
        </w:tc>
        <w:tc>
          <w:tcPr>
            <w:tcW w:w="11509" w:type="dxa"/>
            <w:tcBorders>
              <w:top w:val="single" w:sz="4" w:space="0" w:color="000001"/>
              <w:left w:val="single" w:sz="4" w:space="0" w:color="000001"/>
              <w:bottom w:val="single" w:sz="4" w:space="0" w:color="000001"/>
              <w:right w:val="single" w:sz="4" w:space="0" w:color="000001"/>
            </w:tcBorders>
          </w:tcPr>
          <w:p w14:paraId="28AF7FA1" w14:textId="77777777" w:rsidR="001C2F95" w:rsidRPr="00765B4C" w:rsidRDefault="001C2F95" w:rsidP="00971FD2">
            <w:pPr>
              <w:textAlignment w:val="baseline"/>
              <w:rPr>
                <w:rFonts w:cs="Arial"/>
                <w:color w:val="000000"/>
                <w:sz w:val="20"/>
                <w:szCs w:val="20"/>
              </w:rPr>
            </w:pPr>
            <w:r w:rsidRPr="00765B4C">
              <w:rPr>
                <w:rFonts w:cs="Arial"/>
                <w:color w:val="000000"/>
                <w:sz w:val="20"/>
                <w:szCs w:val="20"/>
              </w:rPr>
              <w:t>Les activités principales sont :</w:t>
            </w:r>
          </w:p>
          <w:p w14:paraId="6FC01409" w14:textId="77777777" w:rsidR="001C2F95" w:rsidRPr="00765B4C" w:rsidRDefault="001C2F95" w:rsidP="00971FD2">
            <w:pPr>
              <w:textAlignment w:val="baseline"/>
              <w:rPr>
                <w:rFonts w:cs="Arial"/>
                <w:color w:val="000000"/>
                <w:sz w:val="20"/>
                <w:szCs w:val="20"/>
              </w:rPr>
            </w:pPr>
            <w:r w:rsidRPr="00765B4C">
              <w:rPr>
                <w:rFonts w:cs="Arial"/>
                <w:color w:val="000000"/>
                <w:sz w:val="20"/>
                <w:szCs w:val="20"/>
              </w:rPr>
              <w:t xml:space="preserve">La majorité de la population de Kwilu s’adonne à l’agriculture vivrière et à l’élevage. Tous les cinq Territoires produisent le manioc, le maïs, l’arachide, le millet, le soja, la courge et bien d’autres produits agricoles. La population du Kwilu utilise 5 types d’élevage : volaille, caprin, porcin, ovin et bovin </w:t>
            </w:r>
            <w:r w:rsidR="004F0CA2" w:rsidRPr="00765B4C">
              <w:rPr>
                <w:rFonts w:cs="Arial"/>
                <w:color w:val="000000"/>
                <w:sz w:val="20"/>
                <w:szCs w:val="20"/>
              </w:rPr>
              <w:t>rependus</w:t>
            </w:r>
            <w:r w:rsidRPr="00765B4C">
              <w:rPr>
                <w:rFonts w:cs="Arial"/>
                <w:color w:val="000000"/>
                <w:sz w:val="20"/>
                <w:szCs w:val="20"/>
              </w:rPr>
              <w:t xml:space="preserve"> à travers toute l’étendue de la Province. L’activité de la pêche est concentrée dans le Nord de la Province sur les Rivières Kwilu et Kwango.</w:t>
            </w:r>
          </w:p>
          <w:p w14:paraId="36CD813A" w14:textId="77777777" w:rsidR="001C2F95" w:rsidRPr="00765B4C" w:rsidRDefault="001C2F95" w:rsidP="00971FD2">
            <w:pPr>
              <w:textAlignment w:val="baseline"/>
              <w:rPr>
                <w:rFonts w:cs="Arial"/>
                <w:color w:val="000000"/>
                <w:sz w:val="20"/>
                <w:szCs w:val="20"/>
              </w:rPr>
            </w:pPr>
          </w:p>
          <w:p w14:paraId="04E34D8A" w14:textId="77777777" w:rsidR="001C2F95" w:rsidRPr="00765B4C" w:rsidRDefault="001C2F95" w:rsidP="00971FD2">
            <w:pPr>
              <w:textAlignment w:val="baseline"/>
              <w:rPr>
                <w:rFonts w:cs="Arial"/>
                <w:i/>
                <w:color w:val="000000"/>
                <w:sz w:val="20"/>
                <w:szCs w:val="20"/>
              </w:rPr>
            </w:pPr>
            <w:r w:rsidRPr="00765B4C">
              <w:rPr>
                <w:rFonts w:cs="Arial"/>
                <w:i/>
                <w:color w:val="000000"/>
                <w:sz w:val="20"/>
                <w:szCs w:val="20"/>
              </w:rPr>
              <w:t xml:space="preserve">Niveau de production agricole et manipulation des pesticides   </w:t>
            </w:r>
          </w:p>
          <w:p w14:paraId="1F2254D7" w14:textId="77777777" w:rsidR="001C2F95" w:rsidRPr="00765B4C" w:rsidRDefault="001C2F95" w:rsidP="00971FD2">
            <w:pPr>
              <w:textAlignment w:val="baseline"/>
              <w:rPr>
                <w:rFonts w:cs="Arial"/>
                <w:color w:val="000000"/>
                <w:sz w:val="20"/>
                <w:szCs w:val="20"/>
              </w:rPr>
            </w:pPr>
          </w:p>
          <w:p w14:paraId="031D8E4E" w14:textId="77777777" w:rsidR="001C2F95" w:rsidRPr="00765B4C" w:rsidRDefault="001C2F95" w:rsidP="00971FD2">
            <w:pPr>
              <w:textAlignment w:val="baseline"/>
              <w:rPr>
                <w:rFonts w:cs="Arial"/>
                <w:color w:val="000000"/>
                <w:sz w:val="20"/>
                <w:szCs w:val="20"/>
              </w:rPr>
            </w:pPr>
            <w:r w:rsidRPr="00765B4C">
              <w:rPr>
                <w:rFonts w:cs="Arial"/>
                <w:color w:val="000000"/>
                <w:sz w:val="20"/>
                <w:szCs w:val="20"/>
              </w:rPr>
              <w:t xml:space="preserve">L’agriculture dans la Province du Kwilu est largement traditionnelle, pauvre. Elle n’est pas organisée, encadrée réellement. Les opérateurs du secteur agricole ne disposent pas d’un </w:t>
            </w:r>
            <w:r w:rsidR="004F0CA2" w:rsidRPr="00765B4C">
              <w:rPr>
                <w:rFonts w:cs="Arial"/>
                <w:color w:val="000000"/>
                <w:sz w:val="20"/>
                <w:szCs w:val="20"/>
              </w:rPr>
              <w:t>vadémécum</w:t>
            </w:r>
            <w:r w:rsidRPr="00765B4C">
              <w:rPr>
                <w:rFonts w:cs="Arial"/>
                <w:color w:val="000000"/>
                <w:sz w:val="20"/>
                <w:szCs w:val="20"/>
              </w:rPr>
              <w:t xml:space="preserve"> technique pour la conduite de leurs activités agricoles. Le soutien du Gouvernement consiste parfois à la mise à disposition des tracteurs à certains dignitaires et matériels aratoires et semences aux paysans.  Cette agriculture consomme trop peu des pesticides.  </w:t>
            </w:r>
          </w:p>
          <w:p w14:paraId="1FE903C8" w14:textId="77777777" w:rsidR="001C2F95" w:rsidRPr="00765B4C" w:rsidRDefault="001C2F95" w:rsidP="00971FD2">
            <w:pPr>
              <w:textAlignment w:val="baseline"/>
              <w:rPr>
                <w:rFonts w:cs="Arial"/>
                <w:color w:val="000000"/>
                <w:sz w:val="20"/>
                <w:szCs w:val="20"/>
              </w:rPr>
            </w:pPr>
            <w:r w:rsidRPr="00765B4C">
              <w:rPr>
                <w:rFonts w:cs="Arial"/>
                <w:color w:val="000000"/>
                <w:sz w:val="20"/>
                <w:szCs w:val="20"/>
              </w:rPr>
              <w:t>S’agissant des produits phytosanitaires, tout commerçant intéressé par ce business l'entreprend même sans infrastructure et sans connaissance préalable la vente des intrants dans les villes de Kikwit et Bandundu ville ainsi qu’au niveau des chefs-lieux des territoires de la Province du Kwilu. En outre, les conditions de stockage, de transport et d’utilisation des pesticides ne sont pas respectées. Les utilisateurs (agriculteurs) ne sont pas informés par les vendeurs de la toxicité de ces produits et de mode d’emploi correcte pour améliorer leur rendement agricole. Ainsi, l’observe des insuffisances ci-après : Les fournisseurs reconditionnent et livrent parfois les pesticides dans des sachets en plastiques sans étiquettes, aucune réglementation en vigueur, Les pesticides sont utilisés de façon empirique sans essais comparatifs préalables ni évaluation d'efficacité. Aussi, la majorité des utilisateurs ont une connaissance très limitée de technique de manipulation de pesticides et de formation à cette fin non organisée</w:t>
            </w:r>
          </w:p>
          <w:p w14:paraId="4942C109" w14:textId="77777777" w:rsidR="001C2F95" w:rsidRPr="00765B4C" w:rsidRDefault="001C2F95" w:rsidP="00971FD2">
            <w:pPr>
              <w:textAlignment w:val="baseline"/>
              <w:rPr>
                <w:rFonts w:cs="Arial"/>
                <w:color w:val="000000"/>
                <w:sz w:val="20"/>
                <w:szCs w:val="20"/>
              </w:rPr>
            </w:pPr>
            <w:r w:rsidRPr="00765B4C">
              <w:rPr>
                <w:rFonts w:cs="Arial"/>
                <w:color w:val="000000"/>
                <w:sz w:val="20"/>
                <w:szCs w:val="20"/>
              </w:rPr>
              <w:t xml:space="preserve">Quelques principales menaces (zoonoses et maladies des plantes) sont : Les criquets, chenilles processionnaires, mouches des fruits, les maladies de la banane et la </w:t>
            </w:r>
            <w:r w:rsidR="008454F4" w:rsidRPr="00765B4C">
              <w:rPr>
                <w:rFonts w:cs="Arial"/>
                <w:color w:val="000000"/>
                <w:sz w:val="20"/>
                <w:szCs w:val="20"/>
              </w:rPr>
              <w:t>mosaïque</w:t>
            </w:r>
            <w:r w:rsidRPr="00765B4C">
              <w:rPr>
                <w:rFonts w:cs="Arial"/>
                <w:color w:val="000000"/>
                <w:sz w:val="20"/>
                <w:szCs w:val="20"/>
              </w:rPr>
              <w:t xml:space="preserve"> du manioc sont parmi les ravageurs et les maladies des plantes les plus destructeurs dans la région.</w:t>
            </w:r>
          </w:p>
          <w:p w14:paraId="20F45BA6" w14:textId="77777777" w:rsidR="001C2F95" w:rsidRPr="00765B4C" w:rsidRDefault="001C2F95" w:rsidP="00971FD2">
            <w:pPr>
              <w:textAlignment w:val="baseline"/>
              <w:rPr>
                <w:rFonts w:cs="Arial"/>
                <w:color w:val="000000"/>
                <w:sz w:val="20"/>
                <w:szCs w:val="20"/>
              </w:rPr>
            </w:pPr>
          </w:p>
          <w:p w14:paraId="596CBFED" w14:textId="77777777" w:rsidR="001C2F95" w:rsidRPr="00765B4C" w:rsidRDefault="001C2F95" w:rsidP="00971FD2">
            <w:pPr>
              <w:textAlignment w:val="baseline"/>
              <w:rPr>
                <w:rFonts w:cs="Arial"/>
                <w:color w:val="000000"/>
                <w:sz w:val="20"/>
                <w:szCs w:val="20"/>
              </w:rPr>
            </w:pPr>
            <w:r w:rsidRPr="00765B4C">
              <w:rPr>
                <w:rFonts w:cs="Arial"/>
                <w:color w:val="000000"/>
                <w:sz w:val="20"/>
                <w:szCs w:val="20"/>
              </w:rPr>
              <w:t>Au regard de toutes ces réalités, nous pouvons dire que l’agriculture dans la Province du Kwilu est caractérisé une productivité très en-deçà des potentialités. Les cultures ont connu des baisses importantes de production liées à la faible utilisation de semences de qualité, d’intrants et de pratiques culturales améliorées. La sensibilité de certaines variétés aux maladies a également entraîné des baisses de productivité. Il y a lieu de relancer ce secteur pour améliorer le niveau de vie de la population de cette province qui alimente également la ville province de Kinshasa.</w:t>
            </w:r>
          </w:p>
        </w:tc>
      </w:tr>
      <w:tr w:rsidR="001C2F95" w:rsidRPr="00765B4C" w14:paraId="5DCD32C4"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C84EB60" w14:textId="77777777" w:rsidR="001C2F95" w:rsidRPr="00765B4C" w:rsidRDefault="001C2F95" w:rsidP="00971FD2">
            <w:pPr>
              <w:rPr>
                <w:rFonts w:eastAsia="Calibri" w:cs="Arial"/>
                <w:b/>
                <w:sz w:val="20"/>
                <w:szCs w:val="20"/>
              </w:rPr>
            </w:pPr>
            <w:r w:rsidRPr="00765B4C">
              <w:rPr>
                <w:rFonts w:eastAsia="Calibri" w:cs="Arial"/>
                <w:b/>
                <w:sz w:val="20"/>
                <w:szCs w:val="20"/>
              </w:rPr>
              <w:t>Économie</w:t>
            </w:r>
          </w:p>
        </w:tc>
        <w:tc>
          <w:tcPr>
            <w:tcW w:w="11509" w:type="dxa"/>
            <w:tcBorders>
              <w:top w:val="single" w:sz="4" w:space="0" w:color="000001"/>
              <w:left w:val="single" w:sz="4" w:space="0" w:color="000001"/>
              <w:bottom w:val="single" w:sz="4" w:space="0" w:color="000001"/>
              <w:right w:val="single" w:sz="4" w:space="0" w:color="000001"/>
            </w:tcBorders>
          </w:tcPr>
          <w:p w14:paraId="02468863" w14:textId="77777777" w:rsidR="001C2F95" w:rsidRPr="00765B4C" w:rsidRDefault="001C2F95" w:rsidP="00971FD2">
            <w:pPr>
              <w:textAlignment w:val="baseline"/>
              <w:rPr>
                <w:rFonts w:cs="Arial"/>
                <w:color w:val="000000"/>
                <w:sz w:val="20"/>
                <w:szCs w:val="20"/>
              </w:rPr>
            </w:pPr>
            <w:r w:rsidRPr="00765B4C">
              <w:rPr>
                <w:rFonts w:cs="Arial"/>
                <w:color w:val="000000"/>
                <w:sz w:val="20"/>
                <w:szCs w:val="20"/>
              </w:rPr>
              <w:t>Le potentiel foncier de la Province reste encore intact, non prospecté, sous exploité. On y rencontre des vastes étendues de terres vacantes propices à l’agriculture, à l’élevage, etc. Deux systèmes de production agricole coexistent dans la Province ; il s’agit des exploitations de type moderne (café, hévéa, cacao, palmier éla</w:t>
            </w:r>
            <w:r w:rsidR="00643A1E" w:rsidRPr="00765B4C">
              <w:rPr>
                <w:rFonts w:cs="Arial"/>
                <w:color w:val="000000"/>
                <w:sz w:val="20"/>
                <w:szCs w:val="20"/>
              </w:rPr>
              <w:t>i</w:t>
            </w:r>
            <w:r w:rsidRPr="00765B4C">
              <w:rPr>
                <w:rFonts w:cs="Arial"/>
                <w:color w:val="000000"/>
                <w:sz w:val="20"/>
                <w:szCs w:val="20"/>
              </w:rPr>
              <w:t>s, etc.) et des exploitations de type traditionnel (familial) qui pratiquent essentiellement les cultures vivrières : le manioc, le maïs, le riz, l’arachide, le haricot et le niébé, la banane plantain, la patate douce, l’igname, la pomme de terre, le millet ainsi que les légumes et fruits divers. La femme et la jeune fille fournissent une main d’œuvre très importante pour les travaux champêtres (</w:t>
            </w:r>
            <w:r w:rsidR="008454F4" w:rsidRPr="00765B4C">
              <w:rPr>
                <w:rFonts w:cs="Arial"/>
                <w:color w:val="000000"/>
                <w:sz w:val="20"/>
                <w:szCs w:val="20"/>
              </w:rPr>
              <w:t>récolte</w:t>
            </w:r>
            <w:r w:rsidRPr="00765B4C">
              <w:rPr>
                <w:rFonts w:cs="Arial"/>
                <w:color w:val="000000"/>
                <w:sz w:val="20"/>
                <w:szCs w:val="20"/>
              </w:rPr>
              <w:t xml:space="preserve"> – transport et vente des produits agricoles sur le marché) pour la survie des ménages. Les jeunes filles n’étudient pas et sont associées à toutes les activités sociales (</w:t>
            </w:r>
            <w:r w:rsidR="008454F4" w:rsidRPr="00765B4C">
              <w:rPr>
                <w:rFonts w:cs="Arial"/>
                <w:color w:val="000000"/>
                <w:sz w:val="20"/>
                <w:szCs w:val="20"/>
              </w:rPr>
              <w:t>tâches</w:t>
            </w:r>
            <w:r w:rsidRPr="00765B4C">
              <w:rPr>
                <w:rFonts w:cs="Arial"/>
                <w:color w:val="000000"/>
                <w:sz w:val="20"/>
                <w:szCs w:val="20"/>
              </w:rPr>
              <w:t xml:space="preserve"> domestiques, soins des enfants, travail de champ, etc.) pour leur initiation.</w:t>
            </w:r>
            <w:r w:rsidR="008454F4" w:rsidRPr="00765B4C">
              <w:rPr>
                <w:rFonts w:cs="Arial"/>
                <w:color w:val="000000"/>
                <w:sz w:val="20"/>
                <w:szCs w:val="20"/>
              </w:rPr>
              <w:t xml:space="preserve"> </w:t>
            </w:r>
            <w:r w:rsidRPr="00765B4C">
              <w:rPr>
                <w:rFonts w:cs="Arial"/>
                <w:color w:val="000000"/>
                <w:sz w:val="20"/>
                <w:szCs w:val="20"/>
              </w:rPr>
              <w:t>D’une manière générale, en RDC, 58% des femmes travaillent dans le secteur agricol</w:t>
            </w:r>
            <w:r w:rsidR="008454F4" w:rsidRPr="00765B4C">
              <w:rPr>
                <w:rFonts w:cs="Arial"/>
                <w:color w:val="000000"/>
                <w:sz w:val="20"/>
                <w:szCs w:val="20"/>
              </w:rPr>
              <w:t>e</w:t>
            </w:r>
            <w:r w:rsidRPr="00765B4C">
              <w:rPr>
                <w:rFonts w:cs="Arial"/>
                <w:color w:val="000000"/>
                <w:sz w:val="20"/>
                <w:szCs w:val="20"/>
              </w:rPr>
              <w:t xml:space="preserve"> (Profil National Genre des Secteurs de l’Agriculture et du Développement Rural – République </w:t>
            </w:r>
            <w:r w:rsidR="008454F4" w:rsidRPr="00765B4C">
              <w:rPr>
                <w:rFonts w:cs="Arial"/>
                <w:color w:val="000000"/>
                <w:sz w:val="20"/>
                <w:szCs w:val="20"/>
              </w:rPr>
              <w:t>Démocratique</w:t>
            </w:r>
            <w:r w:rsidRPr="00765B4C">
              <w:rPr>
                <w:rFonts w:cs="Arial"/>
                <w:color w:val="000000"/>
                <w:sz w:val="20"/>
                <w:szCs w:val="20"/>
              </w:rPr>
              <w:t xml:space="preserve"> du Congo, Kinshasa, 2020). De ce fait le mariage précoce est très courant dans cette contrée. Pour l’élevage de type traditionnel (familial), les ménages possèdent quelques unités de petit bétail (caprins, ovins, porcins) et quelques sujets des animaux de basse-cour. La variété des eaux (fleuve, lacs, rivières, ruisseaux, eaux douces) qui forme son réseau hydrographique constitue un potentiel halieutique important pour la Province. </w:t>
            </w:r>
          </w:p>
          <w:p w14:paraId="66EAEE84" w14:textId="77777777" w:rsidR="001C2F95" w:rsidRPr="00765B4C" w:rsidRDefault="001C2F95" w:rsidP="00971FD2">
            <w:pPr>
              <w:textAlignment w:val="baseline"/>
              <w:rPr>
                <w:rFonts w:cs="Arial"/>
                <w:i/>
                <w:color w:val="000000"/>
                <w:sz w:val="20"/>
                <w:szCs w:val="20"/>
              </w:rPr>
            </w:pPr>
            <w:r w:rsidRPr="00765B4C">
              <w:rPr>
                <w:rFonts w:cs="Arial"/>
                <w:color w:val="000000"/>
                <w:sz w:val="20"/>
                <w:szCs w:val="20"/>
              </w:rPr>
              <w:t>Il sied de signaler que la Province du Kwilu n’a pas assez d’industrie de transformation des produits agricoles et de distribution. L’on rencontre l’entreprise agroindustrielle Feronia à Kikwit. On dehors de cette entreprise, l’on trouve également depuis 2014 le programme</w:t>
            </w:r>
            <w:r w:rsidRPr="00765B4C">
              <w:rPr>
                <w:rStyle w:val="Accentuation"/>
                <w:rFonts w:cs="Arial"/>
                <w:b/>
                <w:bCs/>
                <w:i w:val="0"/>
                <w:iCs w:val="0"/>
                <w:color w:val="5F6368"/>
                <w:sz w:val="20"/>
                <w:szCs w:val="20"/>
              </w:rPr>
              <w:t xml:space="preserve"> </w:t>
            </w:r>
            <w:r w:rsidRPr="00765B4C">
              <w:rPr>
                <w:rFonts w:cs="Arial"/>
                <w:color w:val="4D5156"/>
                <w:sz w:val="20"/>
                <w:szCs w:val="20"/>
                <w:shd w:val="clear" w:color="auto" w:fill="FFFFFF"/>
              </w:rPr>
              <w:t>d'appui aux pôles d'approvisionnement de Kinshasa</w:t>
            </w:r>
            <w:r w:rsidRPr="00765B4C">
              <w:rPr>
                <w:rFonts w:cs="Arial"/>
                <w:color w:val="000000"/>
                <w:sz w:val="20"/>
                <w:szCs w:val="20"/>
              </w:rPr>
              <w:t xml:space="preserve"> (PAPAKIN) qui s’occupe de l’amélioration des techniques culturales, l’éducation et l’organisation des paysans dans une partie de la province du Kwilu.</w:t>
            </w:r>
          </w:p>
        </w:tc>
      </w:tr>
      <w:tr w:rsidR="001C2F95" w:rsidRPr="00765B4C" w14:paraId="668861CB"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42180DE" w14:textId="77777777" w:rsidR="001C2F95" w:rsidRPr="00765B4C" w:rsidRDefault="001C2F95" w:rsidP="00971FD2">
            <w:pPr>
              <w:rPr>
                <w:rFonts w:eastAsia="Calibri" w:cs="Arial"/>
                <w:b/>
                <w:sz w:val="20"/>
                <w:szCs w:val="20"/>
              </w:rPr>
            </w:pPr>
            <w:r w:rsidRPr="00765B4C">
              <w:rPr>
                <w:rFonts w:eastAsia="Calibri" w:cs="Arial"/>
                <w:b/>
                <w:sz w:val="20"/>
                <w:szCs w:val="20"/>
              </w:rPr>
              <w:t>Situation sanitaire</w:t>
            </w:r>
          </w:p>
        </w:tc>
        <w:tc>
          <w:tcPr>
            <w:tcW w:w="11509" w:type="dxa"/>
            <w:tcBorders>
              <w:top w:val="single" w:sz="4" w:space="0" w:color="000001"/>
              <w:left w:val="single" w:sz="4" w:space="0" w:color="000001"/>
              <w:bottom w:val="single" w:sz="4" w:space="0" w:color="000001"/>
              <w:right w:val="single" w:sz="4" w:space="0" w:color="000001"/>
            </w:tcBorders>
          </w:tcPr>
          <w:p w14:paraId="34597B33" w14:textId="77777777" w:rsidR="001C2F95" w:rsidRPr="00765B4C" w:rsidRDefault="001C2F95" w:rsidP="00971FD2">
            <w:pPr>
              <w:textAlignment w:val="baseline"/>
              <w:rPr>
                <w:rFonts w:cs="Arial"/>
                <w:color w:val="000000"/>
                <w:sz w:val="20"/>
                <w:szCs w:val="20"/>
              </w:rPr>
            </w:pPr>
            <w:r w:rsidRPr="00765B4C">
              <w:rPr>
                <w:rFonts w:cs="Arial"/>
                <w:color w:val="000000"/>
                <w:sz w:val="20"/>
                <w:szCs w:val="20"/>
              </w:rPr>
              <w:t>Le nombre des zones de santé est de 24 dont 13 ZS cas (FBP) et 11 ZS témoins. Les structures sanitaires sont au nombre de 578, dont 254 cas (FBP) et 242 témoins (CS, HGR et ECZ). Le paludisme constitue la première cause de la morbidité (soit, 76 %,) suivi des IRA (Bronchopneumonie et Pneumonie, soit 23 %). Les mortalités déclarées pour ces maladies sont respectivement de 85 % pour le paludisme et 12 % pour les méningites. Selon le Bulletin de surveillance des décès maternels et riposte – 2019, le Kwilu accusent le taux le plus élevé de mortalité maternelle et néonatale en République démocratique du Congo. Pour l'année 2019, la Province a accusé 252 décès de femmes.  Sur le plan sanitaire, une épidémie de choléra a été déclarée en 2017 sur l’étendue de la Province. Elle a touché les Zones de Santé riveraines de la Rivière Kasaï (Bandundu, Sia, Ipamu et Mokala). En plus de l’insuffisance d’un personnel médical qualifié et motivé, la Province souffre d’une déficience en équipements et infrastructures de soins. Les structures qualifiées appuient la prise en charge des survivantes de VBG, mais le personnel formé et qualifié fait aussi défaut.</w:t>
            </w:r>
          </w:p>
          <w:p w14:paraId="67D80FFE" w14:textId="77777777" w:rsidR="001C2F95" w:rsidRPr="00765B4C" w:rsidRDefault="001C2F95" w:rsidP="00971FD2">
            <w:pPr>
              <w:textAlignment w:val="baseline"/>
              <w:rPr>
                <w:rFonts w:cs="Arial"/>
                <w:color w:val="000000"/>
                <w:sz w:val="20"/>
                <w:szCs w:val="20"/>
              </w:rPr>
            </w:pPr>
          </w:p>
          <w:p w14:paraId="66EA7384" w14:textId="77777777" w:rsidR="008454F4" w:rsidRPr="00765B4C" w:rsidRDefault="008454F4" w:rsidP="008454F4">
            <w:pPr>
              <w:textAlignment w:val="baseline"/>
              <w:rPr>
                <w:rFonts w:cs="Arial"/>
                <w:color w:val="000000"/>
                <w:sz w:val="20"/>
                <w:szCs w:val="20"/>
              </w:rPr>
            </w:pPr>
            <w:r w:rsidRPr="00765B4C">
              <w:rPr>
                <w:rFonts w:cs="Arial"/>
                <w:color w:val="000000"/>
                <w:sz w:val="20"/>
                <w:szCs w:val="20"/>
              </w:rPr>
              <w:t>Taux de mortalité maternelle : la RDC a le 17</w:t>
            </w:r>
            <w:r w:rsidRPr="00765B4C">
              <w:rPr>
                <w:rFonts w:cs="Arial"/>
                <w:color w:val="000000"/>
                <w:sz w:val="20"/>
                <w:szCs w:val="20"/>
                <w:vertAlign w:val="superscript"/>
              </w:rPr>
              <w:t>ème</w:t>
            </w:r>
            <w:r w:rsidR="004F0CA2" w:rsidRPr="00765B4C">
              <w:rPr>
                <w:rFonts w:cs="Arial"/>
                <w:color w:val="000000"/>
                <w:sz w:val="20"/>
                <w:szCs w:val="20"/>
              </w:rPr>
              <w:t xml:space="preserve"> </w:t>
            </w:r>
            <w:r w:rsidRPr="00765B4C">
              <w:rPr>
                <w:rFonts w:cs="Arial"/>
                <w:color w:val="000000"/>
                <w:sz w:val="20"/>
                <w:szCs w:val="20"/>
              </w:rPr>
              <w:t>taux de mortalité maternelle le plus élevé du monde, avec 693 morts/ 100 000 naissances (en 2015). Taux de mortalité infantile : la RDC a le 12ème taux de mortalité infantile le plus élevé du monde. Totale : 71,47 morts/1 000 naissances</w:t>
            </w:r>
          </w:p>
          <w:p w14:paraId="4B5E6C8A" w14:textId="77777777" w:rsidR="008454F4" w:rsidRPr="00765B4C" w:rsidRDefault="008454F4" w:rsidP="00971FD2">
            <w:pPr>
              <w:textAlignment w:val="baseline"/>
              <w:rPr>
                <w:rFonts w:cs="Arial"/>
                <w:color w:val="000000"/>
                <w:sz w:val="20"/>
                <w:szCs w:val="20"/>
              </w:rPr>
            </w:pPr>
          </w:p>
          <w:p w14:paraId="0076BEF5" w14:textId="77777777" w:rsidR="001C2F95" w:rsidRPr="00765B4C" w:rsidRDefault="001C2F95" w:rsidP="00971FD2">
            <w:pPr>
              <w:pStyle w:val="Paragraphedeliste"/>
              <w:ind w:left="0"/>
              <w:textAlignment w:val="baseline"/>
              <w:rPr>
                <w:rFonts w:cs="Arial"/>
                <w:color w:val="000000"/>
                <w:sz w:val="20"/>
                <w:szCs w:val="20"/>
              </w:rPr>
            </w:pPr>
            <w:r w:rsidRPr="00765B4C">
              <w:rPr>
                <w:rFonts w:cs="Arial"/>
                <w:color w:val="000000"/>
                <w:sz w:val="20"/>
                <w:szCs w:val="20"/>
              </w:rPr>
              <w:t xml:space="preserve">Maladies récurrentes : Paludisme, Infections respiratoires aigües, Anémie, Diarrhée, Malnutrition, Tuberculose, IST et VIH/SIDA etc. Le paludisme est la première cause de morbidité et de mortalité pour l’ensemble de la Province du Kwilu. Les infections respiratoires et l’anémie affectent plus les enfants de moins de 10 ans. Les femmes sont souvent taxées de </w:t>
            </w:r>
            <w:r w:rsidR="004F0CA2" w:rsidRPr="00765B4C">
              <w:rPr>
                <w:rFonts w:cs="Arial"/>
                <w:color w:val="000000"/>
                <w:sz w:val="20"/>
                <w:szCs w:val="20"/>
              </w:rPr>
              <w:t>négligentes</w:t>
            </w:r>
            <w:r w:rsidRPr="00765B4C">
              <w:rPr>
                <w:rFonts w:cs="Arial"/>
                <w:color w:val="000000"/>
                <w:sz w:val="20"/>
                <w:szCs w:val="20"/>
              </w:rPr>
              <w:t xml:space="preserve"> lorsque les enfants tombent malades ou décèdent.</w:t>
            </w:r>
            <w:r w:rsidR="004F0CA2" w:rsidRPr="00765B4C">
              <w:rPr>
                <w:rFonts w:cs="Arial"/>
                <w:color w:val="000000"/>
                <w:sz w:val="20"/>
                <w:szCs w:val="20"/>
              </w:rPr>
              <w:t xml:space="preserve"> Les femmes rurales ont de nombreux rôles, et leurs responsabilités et connaissances sont différentes de celles des hommes. Or, malgré leurs nombreuses responsabilités, les femmes ont nettement moins accès aux ressources et aux services dont elles ont besoin pour augmenter leur productivité et leurs revenus, et alléger leur fardeau de tâches ménagères. Les femmes sont handicapées par le manque d’instruction, l’inégalité des droits de propriété et l’impossibilité ou presque d’accéder aux ressources. Ces normes plantées par la communauté font que lorsqu’un enfant est malade, la femme doit attendre l’autorisation de son mari pour assurer la prise en charge.</w:t>
            </w:r>
          </w:p>
        </w:tc>
      </w:tr>
      <w:tr w:rsidR="001C2F95" w:rsidRPr="00765B4C" w14:paraId="6362EA79"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91C89B5" w14:textId="77777777" w:rsidR="001C2F95" w:rsidRPr="00765B4C" w:rsidRDefault="001C2F95" w:rsidP="00971FD2">
            <w:pPr>
              <w:rPr>
                <w:rFonts w:eastAsia="Calibri" w:cs="Arial"/>
                <w:b/>
                <w:sz w:val="20"/>
                <w:szCs w:val="20"/>
              </w:rPr>
            </w:pPr>
            <w:r w:rsidRPr="00765B4C">
              <w:rPr>
                <w:rFonts w:eastAsia="Calibri" w:cs="Arial"/>
                <w:b/>
                <w:sz w:val="20"/>
                <w:szCs w:val="20"/>
              </w:rPr>
              <w:t xml:space="preserve">Situation du COVID-19 dans la Province du Kwilu </w:t>
            </w:r>
          </w:p>
        </w:tc>
        <w:tc>
          <w:tcPr>
            <w:tcW w:w="11509" w:type="dxa"/>
            <w:tcBorders>
              <w:top w:val="single" w:sz="4" w:space="0" w:color="000001"/>
              <w:left w:val="single" w:sz="4" w:space="0" w:color="000001"/>
              <w:bottom w:val="single" w:sz="4" w:space="0" w:color="000001"/>
              <w:right w:val="single" w:sz="4" w:space="0" w:color="000001"/>
            </w:tcBorders>
          </w:tcPr>
          <w:p w14:paraId="76DBA557" w14:textId="77777777" w:rsidR="001C2F95" w:rsidRPr="00765B4C" w:rsidRDefault="001C2F95" w:rsidP="00971FD2">
            <w:pPr>
              <w:textAlignment w:val="baseline"/>
              <w:rPr>
                <w:rFonts w:cs="Arial"/>
                <w:color w:val="000000"/>
                <w:sz w:val="20"/>
                <w:szCs w:val="20"/>
              </w:rPr>
            </w:pPr>
            <w:r w:rsidRPr="00765B4C">
              <w:rPr>
                <w:rFonts w:cs="Arial"/>
                <w:color w:val="000000"/>
                <w:sz w:val="20"/>
                <w:szCs w:val="20"/>
              </w:rPr>
              <w:t>Douze (12) cas confirmés de la COVID-19 est la situation du 12 janvier 2021 dans la Province du Kwilu en RDC (Bulletin publié n°294 de Magasine Santé</w:t>
            </w:r>
            <w:r w:rsidR="004F0CA2" w:rsidRPr="00765B4C">
              <w:rPr>
                <w:rFonts w:cs="Arial"/>
                <w:color w:val="000000"/>
                <w:sz w:val="20"/>
                <w:szCs w:val="20"/>
              </w:rPr>
              <w:t xml:space="preserve"> </w:t>
            </w:r>
            <w:r w:rsidRPr="00765B4C">
              <w:rPr>
                <w:rFonts w:cs="Arial"/>
                <w:color w:val="000000"/>
                <w:sz w:val="20"/>
                <w:szCs w:val="20"/>
              </w:rPr>
              <w:t>news – situation épidémiologique COVID-19 en janvier 2021). Les cas de contaminations peuvent diminuer si la population respecte les mesures barrières.</w:t>
            </w:r>
          </w:p>
        </w:tc>
      </w:tr>
      <w:tr w:rsidR="001C2F95" w:rsidRPr="00765B4C" w14:paraId="1EC14475"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64CA0523" w14:textId="77777777" w:rsidR="001C2F95" w:rsidRPr="00765B4C" w:rsidRDefault="001C2F95" w:rsidP="00971FD2">
            <w:pPr>
              <w:rPr>
                <w:rFonts w:eastAsia="Calibri" w:cs="Arial"/>
                <w:b/>
                <w:sz w:val="20"/>
                <w:szCs w:val="20"/>
              </w:rPr>
            </w:pPr>
            <w:r w:rsidRPr="00765B4C">
              <w:rPr>
                <w:rFonts w:eastAsia="Calibri" w:cs="Arial"/>
                <w:b/>
                <w:sz w:val="20"/>
                <w:szCs w:val="20"/>
              </w:rPr>
              <w:t>Éducation</w:t>
            </w:r>
          </w:p>
        </w:tc>
        <w:tc>
          <w:tcPr>
            <w:tcW w:w="11509" w:type="dxa"/>
            <w:tcBorders>
              <w:top w:val="single" w:sz="4" w:space="0" w:color="000001"/>
              <w:left w:val="single" w:sz="4" w:space="0" w:color="000001"/>
              <w:bottom w:val="single" w:sz="4" w:space="0" w:color="000001"/>
              <w:right w:val="single" w:sz="4" w:space="0" w:color="000001"/>
            </w:tcBorders>
          </w:tcPr>
          <w:p w14:paraId="3534001C" w14:textId="77777777" w:rsidR="001C2F95" w:rsidRPr="00765B4C" w:rsidRDefault="001C2F95" w:rsidP="00971FD2">
            <w:pPr>
              <w:textAlignment w:val="baseline"/>
              <w:rPr>
                <w:rFonts w:cs="Arial"/>
                <w:sz w:val="20"/>
                <w:szCs w:val="20"/>
              </w:rPr>
            </w:pPr>
            <w:r w:rsidRPr="00765B4C">
              <w:rPr>
                <w:rFonts w:cs="Arial"/>
                <w:sz w:val="20"/>
                <w:szCs w:val="20"/>
              </w:rPr>
              <w:t>Le taux d’accès à l’école a augmenté avec le programme du Gouvernement de la RDC sur la gratuité de l’enseignement soutenue par la Banque Mondiale. Des indicateurs chiffrés ne sont pas encore disponibles. Toutefois, l’enquête MICS2-Palu, RDC 2017-2018 renseigne que le taux net de fréquentation scolaire des enfants dans la Province du Kwilu est de 50,8 %. Il sied de signaler que cette gratuité de l’enseignement va augmenter le taux de fréquentation des filles à l’école ce qui pourrait contribuer à une réduction des mariages précoces dans cette communauté.</w:t>
            </w:r>
          </w:p>
          <w:p w14:paraId="26F4F755" w14:textId="77777777" w:rsidR="001C2F95" w:rsidRPr="00765B4C" w:rsidRDefault="001C2F95" w:rsidP="00971FD2">
            <w:pPr>
              <w:textAlignment w:val="baseline"/>
              <w:rPr>
                <w:rFonts w:cs="Arial"/>
                <w:sz w:val="20"/>
                <w:szCs w:val="20"/>
              </w:rPr>
            </w:pPr>
            <w:r w:rsidRPr="00765B4C">
              <w:rPr>
                <w:rFonts w:cs="Arial"/>
                <w:sz w:val="20"/>
                <w:szCs w:val="20"/>
              </w:rPr>
              <w:t>Les infrastructures scolaires sont en nombre insuffisant et sont pour la plupart dans un état de délabrement très avancé. Presque toutes les écoles agréées en 1990 sont en pisé, sans bancs et sans équipements. La ville de Bandundu a, à elle seule, 81 écoles primaires et secondaires dont 22 dans la commune de Basoko, 39 à Mayoyo et 20 à Disasi. Il convient de relever l’insuffisance des locaux et l’état de désuétude de certaines écoles construites généralement de blocs à dobe. La ville de Kikwit compte 85 établissements scolaires dont 55 écoles primaires et 30 écoles secondaires. À cela, il faut ajouter 11 écoles maternelles, une université et quatre instituts supérieurs. Ces écoles sont inégalement réparties dans les différentes communes de la ville.</w:t>
            </w:r>
          </w:p>
        </w:tc>
      </w:tr>
      <w:tr w:rsidR="001C2F95" w:rsidRPr="00765B4C" w14:paraId="786A93BE"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76C0867" w14:textId="77777777" w:rsidR="001C2F95" w:rsidRPr="00765B4C" w:rsidRDefault="001C2F95" w:rsidP="00971FD2">
            <w:pPr>
              <w:rPr>
                <w:rFonts w:eastAsia="Calibri" w:cs="Arial"/>
                <w:b/>
                <w:sz w:val="20"/>
                <w:szCs w:val="20"/>
              </w:rPr>
            </w:pPr>
            <w:r w:rsidRPr="00765B4C">
              <w:rPr>
                <w:rFonts w:eastAsia="Calibri" w:cs="Arial"/>
                <w:b/>
                <w:sz w:val="20"/>
                <w:szCs w:val="20"/>
              </w:rPr>
              <w:t>Violences Basées sur le Genre (VBG)</w:t>
            </w:r>
          </w:p>
        </w:tc>
        <w:tc>
          <w:tcPr>
            <w:tcW w:w="11509" w:type="dxa"/>
            <w:tcBorders>
              <w:top w:val="single" w:sz="4" w:space="0" w:color="000001"/>
              <w:left w:val="single" w:sz="4" w:space="0" w:color="000001"/>
              <w:bottom w:val="single" w:sz="4" w:space="0" w:color="000001"/>
              <w:right w:val="single" w:sz="4" w:space="0" w:color="000001"/>
            </w:tcBorders>
          </w:tcPr>
          <w:p w14:paraId="068B57B3" w14:textId="77777777" w:rsidR="001C2F95" w:rsidRPr="00765B4C" w:rsidRDefault="001C2F95" w:rsidP="00902ED8">
            <w:pPr>
              <w:rPr>
                <w:rFonts w:cs="Arial"/>
                <w:color w:val="000000"/>
                <w:sz w:val="20"/>
                <w:szCs w:val="20"/>
              </w:rPr>
            </w:pPr>
            <w:r w:rsidRPr="00765B4C">
              <w:rPr>
                <w:rFonts w:cs="Arial"/>
                <w:color w:val="000000"/>
                <w:sz w:val="20"/>
                <w:szCs w:val="20"/>
              </w:rPr>
              <w:t xml:space="preserve">En 2014, le nombre de cas des VBG rapportés dans la Province était de 1 063 tandis que le nombre de cas incidents était de 1 055. En termes de descriptif, 97,5 % des cas portent sur le viol (y compris le viol collectif) contre 2,5 % pour les agressions sexuelles. Au sein des victimes, 52,8 % ont entre 26 et 40 ans. </w:t>
            </w:r>
          </w:p>
          <w:p w14:paraId="2AB0204E" w14:textId="77777777" w:rsidR="00902ED8" w:rsidRPr="00765B4C" w:rsidRDefault="00902ED8" w:rsidP="00902ED8">
            <w:pPr>
              <w:rPr>
                <w:rFonts w:cs="Arial"/>
                <w:color w:val="000000"/>
                <w:sz w:val="20"/>
                <w:szCs w:val="20"/>
              </w:rPr>
            </w:pPr>
          </w:p>
          <w:p w14:paraId="41D4259B" w14:textId="77777777" w:rsidR="00902ED8" w:rsidRPr="00765B4C" w:rsidRDefault="00902ED8" w:rsidP="00902ED8">
            <w:pPr>
              <w:rPr>
                <w:rFonts w:cs="Arial"/>
                <w:color w:val="000000"/>
                <w:sz w:val="20"/>
                <w:szCs w:val="20"/>
              </w:rPr>
            </w:pPr>
            <w:r w:rsidRPr="00765B4C">
              <w:rPr>
                <w:rFonts w:cs="Arial"/>
                <w:color w:val="000000"/>
                <w:sz w:val="20"/>
                <w:szCs w:val="20"/>
              </w:rPr>
              <w:t>Selon l’étude démographique et de santé 2013-2014, en RDC, 46 % de femmes, en union ou en rupture d’union, ont déclaré avoir subi à un moment quelconque des actes de violence physique de la part de leur mari/partenaire actuel ou le plus récent, 37 % de la violence émotionnelle et 26 % des actes de violence sexuelle. Au cours des 12 derniers mois, 30 % des femmes en union ou en rupture d’union ont été confrontées à des actes de violence physique de la part de leur mari/partenaire : dans 13 % des cas, ce comportement s’est produit souvent et dans 17 % des cas, il s’est produit parfois. Au cours de cette même période, 29 % ont subi de la violence émotionnelle : 14 % souvent et 15 % parfois, et pour 20 % des femmes, la violence au cours des 12 derniers mois s’est manifestée sous la forme sexuelle, 10 % souvent et 10 % parfois. Pratiquement la moitié des femmes en union ou l’ayant été ont subi des actes de violence physique et/ou sexuelle (51 %) et 57 % en ont subi sous les trois formes à un certain moment de leur vie. Au cours des 12 derniers mois, ces proportions sont respectivement de 37 % et 44 %.</w:t>
            </w:r>
          </w:p>
          <w:p w14:paraId="02B379EA" w14:textId="77777777" w:rsidR="00902ED8" w:rsidRPr="00765B4C" w:rsidRDefault="00902ED8" w:rsidP="00902ED8">
            <w:pPr>
              <w:rPr>
                <w:rFonts w:cs="Arial"/>
                <w:color w:val="000000"/>
                <w:sz w:val="20"/>
                <w:szCs w:val="20"/>
              </w:rPr>
            </w:pPr>
          </w:p>
          <w:p w14:paraId="3A58A7E0" w14:textId="77777777" w:rsidR="00902ED8" w:rsidRPr="00765B4C" w:rsidRDefault="00902ED8" w:rsidP="00902ED8">
            <w:pPr>
              <w:rPr>
                <w:rFonts w:cs="Arial"/>
                <w:color w:val="000000"/>
                <w:sz w:val="20"/>
                <w:szCs w:val="20"/>
              </w:rPr>
            </w:pPr>
            <w:r w:rsidRPr="00765B4C">
              <w:rPr>
                <w:rFonts w:cs="Arial"/>
                <w:color w:val="000000"/>
                <w:sz w:val="20"/>
                <w:szCs w:val="20"/>
              </w:rPr>
              <w:t>Les résultats sont également présentés selon le type d’actes de violence conjugale. On constate que l’acte physique violent le plus fréquent a consisté à gifler la femme (40 % à n’importe quel moment et 24 % au cours des 12 derniers mois) Les femmes ont déclaré ensuite dans 27 % des cas avoir été insultées ou rabaissées. Au cours des 12 derniers mois, cette proportion est de 21 %. En outre, un peu plus d’une femme sur cinq (23 %) a déclaré avoir été forcée physiquement à avoir des rapports sexuels avec son mari/partenaire alors qu’elle ne le souhaitait pas. Au cours des 12 derniers mois, cette proportion est de 17 %.</w:t>
            </w:r>
          </w:p>
          <w:p w14:paraId="762D1A1C" w14:textId="77777777" w:rsidR="00902ED8" w:rsidRPr="00765B4C" w:rsidRDefault="00902ED8" w:rsidP="00902ED8">
            <w:pPr>
              <w:rPr>
                <w:rFonts w:cs="Arial"/>
                <w:color w:val="000000"/>
                <w:sz w:val="20"/>
                <w:szCs w:val="20"/>
              </w:rPr>
            </w:pPr>
          </w:p>
          <w:p w14:paraId="3B4F9DEE" w14:textId="77777777" w:rsidR="00902ED8" w:rsidRPr="00765B4C" w:rsidRDefault="00902ED8" w:rsidP="00902ED8">
            <w:pPr>
              <w:rPr>
                <w:rFonts w:cs="Arial"/>
                <w:color w:val="000000"/>
                <w:sz w:val="20"/>
                <w:szCs w:val="20"/>
              </w:rPr>
            </w:pPr>
            <w:r w:rsidRPr="00765B4C">
              <w:rPr>
                <w:rFonts w:cs="Arial"/>
                <w:color w:val="000000"/>
                <w:sz w:val="20"/>
                <w:szCs w:val="20"/>
              </w:rPr>
              <w:t>Globalement, 53 % des femmes en union ou l’ayant été ont subi des actes de violence conjugale, physique et/ou sexuelle. Et aussi, l’âge d’entrée en union des femmes est assez précoce. En effet, 43 % de femmes âgées de 25-49 ans au moment de l’enquête étaient déjà en union avant d’atteindre l’âge de 18 ans (Tableau 4.3). Plus de trois femmes de 25-49 ans sur cinq (62 %) étaient déjà en union avant 20 ans et près de neuf sur 62 • Nuptialité et exposition au risque de grossesse dix (86 %) l’étaient avant 25 ans.</w:t>
            </w:r>
          </w:p>
        </w:tc>
      </w:tr>
      <w:tr w:rsidR="001C2F95" w:rsidRPr="00765B4C" w14:paraId="1CC0178B"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BB2C986" w14:textId="77777777" w:rsidR="001C2F95" w:rsidRPr="00765B4C" w:rsidRDefault="001C2F95" w:rsidP="00971FD2">
            <w:pPr>
              <w:jc w:val="left"/>
              <w:rPr>
                <w:rFonts w:eastAsia="Calibri" w:cs="Arial"/>
                <w:b/>
                <w:sz w:val="20"/>
                <w:szCs w:val="20"/>
              </w:rPr>
            </w:pPr>
            <w:r w:rsidRPr="00765B4C">
              <w:rPr>
                <w:rFonts w:eastAsia="Calibri" w:cs="Arial"/>
                <w:b/>
                <w:sz w:val="20"/>
                <w:szCs w:val="20"/>
              </w:rPr>
              <w:t>Infrastructures de transport</w:t>
            </w:r>
          </w:p>
        </w:tc>
        <w:tc>
          <w:tcPr>
            <w:tcW w:w="11509" w:type="dxa"/>
            <w:tcBorders>
              <w:top w:val="single" w:sz="4" w:space="0" w:color="000001"/>
              <w:left w:val="single" w:sz="4" w:space="0" w:color="000001"/>
              <w:bottom w:val="single" w:sz="4" w:space="0" w:color="000001"/>
              <w:right w:val="single" w:sz="4" w:space="0" w:color="000001"/>
            </w:tcBorders>
          </w:tcPr>
          <w:p w14:paraId="04E9E9EF" w14:textId="77777777" w:rsidR="001C2F95" w:rsidRPr="00765B4C" w:rsidRDefault="001C2F95" w:rsidP="00971FD2">
            <w:pPr>
              <w:pStyle w:val="Paragraphedeliste"/>
              <w:ind w:left="0"/>
              <w:rPr>
                <w:rFonts w:cs="Arial"/>
                <w:color w:val="000000"/>
                <w:sz w:val="20"/>
                <w:szCs w:val="20"/>
              </w:rPr>
            </w:pPr>
            <w:r w:rsidRPr="00765B4C">
              <w:rPr>
                <w:rFonts w:cs="Arial"/>
                <w:color w:val="000000"/>
                <w:sz w:val="20"/>
                <w:szCs w:val="20"/>
              </w:rPr>
              <w:t xml:space="preserve">Les routes de la Provinces de Kwilu se trouvent dans état de délabrement très avancé. La RN1 quitte Kinshasa jusqu’à Kikwit à près de 527 km. De Kikwit à Bandundu-Ville, l’on empreinte la route en terre battue en état de délabrement avancé. Les routes de desserte agricole sont également en mauvais état. Pour arriver vite au Chef-lieu de la Province, la majorité des gens utilisent la moto. Le délabrement des routes est souvent un risque des VBG du fait que les véhicules qui s’embourbent sont obligés de mettre plus de temps que prévu dans les villages avoisinants. Par la suite, les passagers sont logés dans la communauté, ce qui crée des risques d’EAS pour les jeunes filles qui ne fréquentent pas l’école et sont souvent à la recherche d’un revenu ou des activités économiques pour soutenir la famille. Des grossesses et mariages précoces sont alors les phénomènes très fréquents dans ces axes. </w:t>
            </w:r>
          </w:p>
        </w:tc>
      </w:tr>
      <w:tr w:rsidR="001C2F95" w:rsidRPr="00765B4C" w14:paraId="4F0C9F1C"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053FF4C" w14:textId="77777777" w:rsidR="001C2F95" w:rsidRPr="00765B4C" w:rsidRDefault="001C2F95" w:rsidP="00971FD2">
            <w:pPr>
              <w:rPr>
                <w:rFonts w:eastAsia="Calibri" w:cs="Arial"/>
                <w:b/>
                <w:sz w:val="20"/>
                <w:szCs w:val="20"/>
              </w:rPr>
            </w:pPr>
            <w:r w:rsidRPr="00765B4C">
              <w:rPr>
                <w:rFonts w:eastAsia="Calibri" w:cs="Arial"/>
                <w:b/>
                <w:sz w:val="20"/>
                <w:szCs w:val="20"/>
              </w:rPr>
              <w:t>Accès à l’énergie</w:t>
            </w:r>
          </w:p>
        </w:tc>
        <w:tc>
          <w:tcPr>
            <w:tcW w:w="11509" w:type="dxa"/>
            <w:tcBorders>
              <w:top w:val="single" w:sz="4" w:space="0" w:color="000001"/>
              <w:left w:val="single" w:sz="4" w:space="0" w:color="000001"/>
              <w:bottom w:val="single" w:sz="4" w:space="0" w:color="000001"/>
              <w:right w:val="single" w:sz="4" w:space="0" w:color="000001"/>
            </w:tcBorders>
          </w:tcPr>
          <w:p w14:paraId="0175CB3F" w14:textId="77777777" w:rsidR="001C2F95" w:rsidRPr="00765B4C" w:rsidRDefault="001C2F95" w:rsidP="00971FD2">
            <w:pPr>
              <w:pStyle w:val="Paragraphedeliste"/>
              <w:ind w:left="0"/>
              <w:textAlignment w:val="baseline"/>
              <w:rPr>
                <w:rFonts w:cs="Arial"/>
                <w:color w:val="000000"/>
                <w:sz w:val="20"/>
                <w:szCs w:val="20"/>
              </w:rPr>
            </w:pPr>
            <w:r w:rsidRPr="00765B4C">
              <w:rPr>
                <w:rFonts w:cs="Arial"/>
                <w:color w:val="000000"/>
                <w:sz w:val="20"/>
                <w:szCs w:val="20"/>
              </w:rPr>
              <w:t xml:space="preserve">Principales sources d’énergie : </w:t>
            </w:r>
            <w:r w:rsidRPr="00765B4C">
              <w:rPr>
                <w:rFonts w:cs="Arial"/>
                <w:i/>
                <w:color w:val="000000"/>
                <w:sz w:val="20"/>
                <w:szCs w:val="20"/>
              </w:rPr>
              <w:t>(i)</w:t>
            </w:r>
            <w:r w:rsidRPr="00765B4C">
              <w:rPr>
                <w:rFonts w:cs="Arial"/>
                <w:color w:val="000000"/>
                <w:sz w:val="20"/>
                <w:szCs w:val="20"/>
              </w:rPr>
              <w:t xml:space="preserve"> Électricité/groupe électrogène </w:t>
            </w:r>
            <w:r w:rsidRPr="00765B4C">
              <w:rPr>
                <w:rFonts w:cs="Arial"/>
                <w:i/>
                <w:color w:val="000000"/>
                <w:sz w:val="20"/>
                <w:szCs w:val="20"/>
              </w:rPr>
              <w:t>; (ii)</w:t>
            </w:r>
            <w:r w:rsidRPr="00765B4C">
              <w:rPr>
                <w:rFonts w:cs="Arial"/>
                <w:color w:val="000000"/>
                <w:sz w:val="20"/>
                <w:szCs w:val="20"/>
              </w:rPr>
              <w:t xml:space="preserve"> Solaire ; </w:t>
            </w:r>
            <w:r w:rsidRPr="00765B4C">
              <w:rPr>
                <w:rFonts w:cs="Arial"/>
                <w:i/>
                <w:color w:val="000000"/>
                <w:sz w:val="20"/>
                <w:szCs w:val="20"/>
              </w:rPr>
              <w:t xml:space="preserve">(iii) </w:t>
            </w:r>
            <w:r w:rsidRPr="00765B4C">
              <w:rPr>
                <w:rFonts w:cs="Arial"/>
                <w:color w:val="000000"/>
                <w:sz w:val="20"/>
                <w:szCs w:val="20"/>
              </w:rPr>
              <w:t xml:space="preserve">Bois ; </w:t>
            </w:r>
            <w:r w:rsidRPr="00765B4C">
              <w:rPr>
                <w:rFonts w:cs="Arial"/>
                <w:i/>
                <w:color w:val="000000"/>
                <w:sz w:val="20"/>
                <w:szCs w:val="20"/>
              </w:rPr>
              <w:t>(iv)</w:t>
            </w:r>
            <w:r w:rsidRPr="00765B4C">
              <w:rPr>
                <w:rFonts w:cs="Arial"/>
                <w:color w:val="000000"/>
                <w:sz w:val="20"/>
                <w:szCs w:val="20"/>
              </w:rPr>
              <w:t xml:space="preserve"> Pétrole.</w:t>
            </w:r>
          </w:p>
          <w:p w14:paraId="1F02F20D" w14:textId="77777777" w:rsidR="001C2F95" w:rsidRPr="00765B4C" w:rsidRDefault="001C2F95" w:rsidP="00971FD2">
            <w:pPr>
              <w:textAlignment w:val="baseline"/>
              <w:rPr>
                <w:rFonts w:cs="Arial"/>
                <w:color w:val="000000"/>
                <w:sz w:val="20"/>
                <w:szCs w:val="20"/>
              </w:rPr>
            </w:pPr>
            <w:r w:rsidRPr="00765B4C">
              <w:rPr>
                <w:rFonts w:cs="Arial"/>
                <w:color w:val="000000"/>
                <w:sz w:val="20"/>
                <w:szCs w:val="20"/>
              </w:rPr>
              <w:t xml:space="preserve">En dehors de Bandundu-Ville alimentée par le barrage d’Inga, le courant électrique est une denrée rare dans la Province du Kwilu. Les jeunes garçons et filles font le ramassage de bois pour la survie. Le plus souvent, les filles courent des risques de VBG plus </w:t>
            </w:r>
            <w:r w:rsidR="00902ED8" w:rsidRPr="00765B4C">
              <w:rPr>
                <w:rFonts w:cs="Arial"/>
                <w:color w:val="000000"/>
                <w:sz w:val="20"/>
                <w:szCs w:val="20"/>
              </w:rPr>
              <w:t>élevés</w:t>
            </w:r>
            <w:r w:rsidRPr="00765B4C">
              <w:rPr>
                <w:rFonts w:cs="Arial"/>
                <w:color w:val="000000"/>
                <w:sz w:val="20"/>
                <w:szCs w:val="20"/>
              </w:rPr>
              <w:t xml:space="preserve"> à l’occasion de cette activité. Le taux de recours principal aux combustibles et technologies propres de cuisson (dans les ménages qui déclarent cuisiner) est de 1,7 %. (Enquête MICS2-Palu, RDC 2017-2018)</w:t>
            </w:r>
          </w:p>
        </w:tc>
      </w:tr>
      <w:tr w:rsidR="001C2F95" w:rsidRPr="00765B4C" w14:paraId="1FA92B1A"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240D7F7" w14:textId="77777777" w:rsidR="001C2F95" w:rsidRPr="00765B4C" w:rsidRDefault="001C2F95" w:rsidP="00971FD2">
            <w:pPr>
              <w:rPr>
                <w:rFonts w:eastAsia="Calibri" w:cs="Arial"/>
                <w:b/>
                <w:sz w:val="20"/>
                <w:szCs w:val="20"/>
              </w:rPr>
            </w:pPr>
            <w:r w:rsidRPr="00765B4C">
              <w:rPr>
                <w:rFonts w:eastAsia="Calibri" w:cs="Arial"/>
                <w:b/>
                <w:sz w:val="20"/>
                <w:szCs w:val="20"/>
              </w:rPr>
              <w:t>Accès à l’eau</w:t>
            </w:r>
          </w:p>
        </w:tc>
        <w:tc>
          <w:tcPr>
            <w:tcW w:w="11509" w:type="dxa"/>
            <w:tcBorders>
              <w:top w:val="single" w:sz="4" w:space="0" w:color="000001"/>
              <w:left w:val="single" w:sz="4" w:space="0" w:color="000001"/>
              <w:bottom w:val="single" w:sz="4" w:space="0" w:color="000001"/>
              <w:right w:val="single" w:sz="4" w:space="0" w:color="000001"/>
            </w:tcBorders>
          </w:tcPr>
          <w:p w14:paraId="7CA9F857" w14:textId="77777777" w:rsidR="001C2F95" w:rsidRPr="00765B4C" w:rsidRDefault="001C2F95" w:rsidP="00902ED8">
            <w:pPr>
              <w:textAlignment w:val="baseline"/>
              <w:rPr>
                <w:rFonts w:cs="Arial"/>
                <w:color w:val="000000"/>
                <w:sz w:val="20"/>
                <w:szCs w:val="20"/>
              </w:rPr>
            </w:pPr>
            <w:r w:rsidRPr="00765B4C">
              <w:rPr>
                <w:rFonts w:cs="Arial"/>
                <w:color w:val="000000"/>
                <w:sz w:val="20"/>
                <w:szCs w:val="20"/>
              </w:rPr>
              <w:t xml:space="preserve">Les Villes de Bandundu et de Kikwit sont desservies en eau potable par la REGIDESO selon un horaire adapté aux conditions de travail de la société qui fonctionne à l’aide d’un groupe électrogène à Kikwit. Tandis qu’à Bandundu-Ville tous les jours grâce à l’électricité de la SNEL. Par contre à l’intérieur de la Province de Kwilu, la population s’approvisionne en eau potable à travers des sources aménagées et non aménagées, mais également dans les rivières. Cette situation expose sérieusement la population aux maladies d’origine hydrique. Le taux d’accès en eau potable est de 1,2 % sur l’ensemble de la population de la province du Kwilu (Enquête </w:t>
            </w:r>
            <w:r w:rsidRPr="00765B4C">
              <w:rPr>
                <w:rFonts w:cs="Arial"/>
                <w:sz w:val="20"/>
                <w:szCs w:val="20"/>
              </w:rPr>
              <w:t xml:space="preserve">MICS2-Palu, RDC 2017 – 2018). </w:t>
            </w:r>
            <w:r w:rsidRPr="00765B4C">
              <w:rPr>
                <w:rFonts w:cs="Arial"/>
                <w:color w:val="000000"/>
                <w:sz w:val="20"/>
                <w:szCs w:val="20"/>
              </w:rPr>
              <w:t>Les jeunes filles sont plus exposées aux risques de VBG, y compris l’EAS, dans la communauté lorsqu’elles se rendent à la rivière pour s’approvisionner en eau</w:t>
            </w:r>
            <w:r w:rsidR="00902ED8" w:rsidRPr="00765B4C">
              <w:rPr>
                <w:rFonts w:cs="Arial"/>
                <w:color w:val="000000"/>
                <w:sz w:val="20"/>
                <w:szCs w:val="20"/>
              </w:rPr>
              <w:t xml:space="preserve"> sur les sentiers non sécurisés</w:t>
            </w:r>
            <w:r w:rsidRPr="00765B4C">
              <w:rPr>
                <w:rFonts w:cs="Arial"/>
                <w:color w:val="000000"/>
                <w:sz w:val="20"/>
                <w:szCs w:val="20"/>
              </w:rPr>
              <w:t xml:space="preserve">. </w:t>
            </w:r>
            <w:r w:rsidR="00902ED8" w:rsidRPr="00765B4C">
              <w:rPr>
                <w:rFonts w:cs="Arial"/>
                <w:color w:val="000000"/>
                <w:sz w:val="20"/>
                <w:szCs w:val="20"/>
              </w:rPr>
              <w:t xml:space="preserve">Les jeunes délinquants, à l’âge de la recherche d’une expérience sexuelle leur tendent souvent des pièges pour les tirer dans la brousse afin d’abuser d’elles. Ce genre d’actes se </w:t>
            </w:r>
            <w:r w:rsidR="00D10357" w:rsidRPr="00765B4C">
              <w:rPr>
                <w:rFonts w:cs="Arial"/>
                <w:color w:val="000000"/>
                <w:sz w:val="20"/>
                <w:szCs w:val="20"/>
              </w:rPr>
              <w:t>commet</w:t>
            </w:r>
            <w:r w:rsidR="00902ED8" w:rsidRPr="00765B4C">
              <w:rPr>
                <w:rFonts w:cs="Arial"/>
                <w:color w:val="000000"/>
                <w:sz w:val="20"/>
                <w:szCs w:val="20"/>
              </w:rPr>
              <w:t xml:space="preserve"> le plus souvent collectivement.</w:t>
            </w:r>
          </w:p>
        </w:tc>
      </w:tr>
      <w:tr w:rsidR="001C2F95" w:rsidRPr="00765B4C" w14:paraId="039F856A"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7E743E9" w14:textId="77777777" w:rsidR="001C2F95" w:rsidRPr="00765B4C" w:rsidRDefault="001C2F95" w:rsidP="00971FD2">
            <w:pPr>
              <w:rPr>
                <w:rFonts w:eastAsia="Calibri" w:cs="Arial"/>
                <w:b/>
                <w:sz w:val="20"/>
                <w:szCs w:val="20"/>
              </w:rPr>
            </w:pPr>
            <w:r w:rsidRPr="00765B4C">
              <w:rPr>
                <w:rFonts w:eastAsia="Calibri" w:cs="Arial"/>
                <w:b/>
                <w:sz w:val="20"/>
                <w:szCs w:val="20"/>
              </w:rPr>
              <w:t>Communication</w:t>
            </w:r>
          </w:p>
        </w:tc>
        <w:tc>
          <w:tcPr>
            <w:tcW w:w="11509" w:type="dxa"/>
            <w:tcBorders>
              <w:top w:val="single" w:sz="4" w:space="0" w:color="000001"/>
              <w:left w:val="single" w:sz="4" w:space="0" w:color="000001"/>
              <w:bottom w:val="single" w:sz="4" w:space="0" w:color="000001"/>
              <w:right w:val="single" w:sz="4" w:space="0" w:color="000001"/>
            </w:tcBorders>
          </w:tcPr>
          <w:p w14:paraId="3E2515B7" w14:textId="77777777" w:rsidR="001C2F95" w:rsidRPr="00765B4C" w:rsidRDefault="001C2F95" w:rsidP="00D10357">
            <w:pPr>
              <w:textAlignment w:val="baseline"/>
              <w:rPr>
                <w:rFonts w:cs="Arial"/>
                <w:color w:val="000000"/>
                <w:sz w:val="20"/>
                <w:szCs w:val="20"/>
              </w:rPr>
            </w:pPr>
            <w:r w:rsidRPr="00765B4C">
              <w:rPr>
                <w:rFonts w:cs="Arial"/>
                <w:color w:val="000000"/>
                <w:sz w:val="20"/>
                <w:szCs w:val="20"/>
              </w:rPr>
              <w:t>Dans la Province du Kwilu, l’on rencontre les entreprises de communication cellulaire suivantes : Vodacom, Airtel et Orange. Tandis que quelques cybercafés fournissent la connexion Internet à la population de la province. Le secteur de la télécommunication est bien développé dans les Villes de Bandundu et Kikwit. Tous les opérateurs de télécommunication cellulaire de la République s’y bousculent à l’exception de l’opérateur Africel</w:t>
            </w:r>
            <w:r w:rsidR="00643A1E" w:rsidRPr="00765B4C">
              <w:rPr>
                <w:rFonts w:cs="Arial"/>
                <w:color w:val="000000"/>
                <w:sz w:val="20"/>
                <w:szCs w:val="20"/>
              </w:rPr>
              <w:t>l</w:t>
            </w:r>
            <w:r w:rsidRPr="00765B4C">
              <w:rPr>
                <w:rFonts w:cs="Arial"/>
                <w:color w:val="000000"/>
                <w:sz w:val="20"/>
                <w:szCs w:val="20"/>
              </w:rPr>
              <w:t xml:space="preserve"> qui n’est pas encore représenté dans la Province. Tous les services sont disponibles, de la vente des cartes prépayées, des cartes SIM et des téléphones en passant par la livraison des cartes SIM blanches jusqu’au service de transfert électronique d’argent (M-pesa, Airtel money et Orange money). Le secteur médiatique n’est pas en reste, la Ville de Bandundu est médiatiquement couverte par plusieurs Stations de radio et télévision, il s’agit de la RTNC, la Radio Concorde, la Radio SM Bandundu et la Radio RTD). Les radios communautaires sont de plus en plus présentes partout dans le Bandundu.</w:t>
            </w:r>
          </w:p>
          <w:p w14:paraId="2FBEDFAE" w14:textId="77777777" w:rsidR="00E26735" w:rsidRPr="00765B4C" w:rsidRDefault="00E26735" w:rsidP="00D10357">
            <w:pPr>
              <w:textAlignment w:val="baseline"/>
              <w:rPr>
                <w:rFonts w:cs="Arial"/>
                <w:color w:val="000000"/>
                <w:sz w:val="20"/>
                <w:szCs w:val="20"/>
              </w:rPr>
            </w:pPr>
          </w:p>
          <w:p w14:paraId="4897D3A7" w14:textId="77777777" w:rsidR="00E26735" w:rsidRPr="00765B4C" w:rsidRDefault="00E26735" w:rsidP="00D10357">
            <w:pPr>
              <w:textAlignment w:val="baseline"/>
              <w:rPr>
                <w:rFonts w:cs="Arial"/>
                <w:color w:val="000000"/>
                <w:sz w:val="20"/>
                <w:szCs w:val="20"/>
              </w:rPr>
            </w:pPr>
            <w:r w:rsidRPr="00765B4C">
              <w:rPr>
                <w:rFonts w:cs="Arial"/>
                <w:color w:val="000000"/>
                <w:sz w:val="20"/>
                <w:szCs w:val="20"/>
              </w:rPr>
              <w:t>La plupart de femmes ne maitrise pas comment manipuler le téléphone mobile par manque d’instructions. D’autres par contre bien qu’instruites, ne reçoivent pas l’autorisation du mari ou leur partenaire pour avoir accès. Les jeunes filles utilisent plus les téléphones mobiles que les femmes pour être à la mode dans les réseaux sociaux. Au point où les femmes disposant des téléphones android se laissent conduire par leurs jeunes enfants pour avoir accès à l’internet afin de communiquer.</w:t>
            </w:r>
          </w:p>
        </w:tc>
      </w:tr>
      <w:tr w:rsidR="001C2F95" w:rsidRPr="00765B4C" w14:paraId="6CBFAF7F"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9CDDB86" w14:textId="77777777" w:rsidR="001C2F95" w:rsidRPr="00765B4C" w:rsidRDefault="001C2F95" w:rsidP="00971FD2">
            <w:pPr>
              <w:rPr>
                <w:rFonts w:eastAsia="Calibri" w:cs="Arial"/>
                <w:b/>
                <w:sz w:val="20"/>
                <w:szCs w:val="20"/>
              </w:rPr>
            </w:pPr>
          </w:p>
          <w:p w14:paraId="096B5702" w14:textId="77777777" w:rsidR="001C2F95" w:rsidRPr="00765B4C" w:rsidRDefault="001C2F95" w:rsidP="00971FD2">
            <w:pPr>
              <w:rPr>
                <w:rFonts w:eastAsia="Calibri" w:cs="Arial"/>
                <w:b/>
                <w:sz w:val="20"/>
                <w:szCs w:val="20"/>
              </w:rPr>
            </w:pPr>
            <w:r w:rsidRPr="00765B4C">
              <w:rPr>
                <w:rFonts w:eastAsia="Calibri" w:cs="Arial"/>
                <w:b/>
                <w:sz w:val="20"/>
                <w:szCs w:val="20"/>
              </w:rPr>
              <w:t>ONG et Association locale</w:t>
            </w:r>
          </w:p>
        </w:tc>
        <w:tc>
          <w:tcPr>
            <w:tcW w:w="11509" w:type="dxa"/>
            <w:tcBorders>
              <w:top w:val="single" w:sz="4" w:space="0" w:color="000001"/>
              <w:left w:val="single" w:sz="4" w:space="0" w:color="000001"/>
              <w:bottom w:val="single" w:sz="4" w:space="0" w:color="000001"/>
              <w:right w:val="single" w:sz="4" w:space="0" w:color="000001"/>
            </w:tcBorders>
          </w:tcPr>
          <w:p w14:paraId="75F5AB75" w14:textId="77777777" w:rsidR="001C2F95" w:rsidRPr="00765B4C" w:rsidRDefault="001C2F95" w:rsidP="00971FD2">
            <w:pPr>
              <w:textAlignment w:val="baseline"/>
              <w:rPr>
                <w:rFonts w:cs="Arial"/>
                <w:color w:val="000000"/>
                <w:sz w:val="20"/>
                <w:szCs w:val="20"/>
              </w:rPr>
            </w:pPr>
            <w:r w:rsidRPr="00765B4C">
              <w:rPr>
                <w:rFonts w:cs="Arial"/>
                <w:color w:val="000000"/>
                <w:sz w:val="20"/>
                <w:szCs w:val="20"/>
              </w:rPr>
              <w:t xml:space="preserve">Les principaux projets et ONG rencontrés dans la Province du Kwilu sont : </w:t>
            </w:r>
            <w:r w:rsidRPr="00765B4C">
              <w:rPr>
                <w:rFonts w:cs="Arial"/>
                <w:i/>
                <w:color w:val="000000"/>
                <w:sz w:val="20"/>
                <w:szCs w:val="20"/>
              </w:rPr>
              <w:t>(i)</w:t>
            </w:r>
            <w:r w:rsidRPr="00765B4C">
              <w:rPr>
                <w:rFonts w:cs="Arial"/>
                <w:color w:val="000000"/>
                <w:sz w:val="20"/>
                <w:szCs w:val="20"/>
              </w:rPr>
              <w:t xml:space="preserve"> Projet d’encadrement des maraichers financé par la FAO ; </w:t>
            </w:r>
            <w:r w:rsidRPr="00765B4C">
              <w:rPr>
                <w:rFonts w:cs="Arial"/>
                <w:i/>
                <w:color w:val="000000"/>
                <w:sz w:val="20"/>
                <w:szCs w:val="20"/>
              </w:rPr>
              <w:t>(ii)</w:t>
            </w:r>
            <w:r w:rsidRPr="00765B4C">
              <w:rPr>
                <w:rFonts w:cs="Arial"/>
                <w:color w:val="000000"/>
                <w:sz w:val="20"/>
                <w:szCs w:val="20"/>
              </w:rPr>
              <w:t xml:space="preserve"> Projet d’appui aux institutions étatiques par la PNUD ; </w:t>
            </w:r>
            <w:r w:rsidRPr="00765B4C">
              <w:rPr>
                <w:rFonts w:cs="Arial"/>
                <w:i/>
                <w:color w:val="000000"/>
                <w:sz w:val="20"/>
                <w:szCs w:val="20"/>
              </w:rPr>
              <w:t>(iii)</w:t>
            </w:r>
            <w:r w:rsidRPr="00765B4C">
              <w:rPr>
                <w:rFonts w:cs="Arial"/>
                <w:color w:val="000000"/>
                <w:sz w:val="20"/>
                <w:szCs w:val="20"/>
              </w:rPr>
              <w:t xml:space="preserve"> Projet sur la nutrition sous financement de la Croix-Rouge ; </w:t>
            </w:r>
            <w:r w:rsidRPr="00765B4C">
              <w:rPr>
                <w:rFonts w:cs="Arial"/>
                <w:i/>
                <w:color w:val="000000"/>
                <w:sz w:val="20"/>
                <w:szCs w:val="20"/>
              </w:rPr>
              <w:t>(iv)</w:t>
            </w:r>
            <w:r w:rsidRPr="00765B4C">
              <w:rPr>
                <w:rFonts w:cs="Arial"/>
                <w:color w:val="000000"/>
                <w:sz w:val="20"/>
                <w:szCs w:val="20"/>
              </w:rPr>
              <w:t xml:space="preserve"> Projet de lutte contre le VIH/Sida par CORDAID sous financement du Fonds Mondial.</w:t>
            </w:r>
          </w:p>
        </w:tc>
      </w:tr>
      <w:tr w:rsidR="001C2F95" w:rsidRPr="00765B4C" w14:paraId="64DD4A2A"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0BC8F0E" w14:textId="77777777" w:rsidR="001C2F95" w:rsidRPr="00765B4C" w:rsidRDefault="001C2F95" w:rsidP="00971FD2">
            <w:pPr>
              <w:rPr>
                <w:rFonts w:eastAsia="Calibri" w:cs="Arial"/>
                <w:b/>
                <w:sz w:val="20"/>
                <w:szCs w:val="20"/>
              </w:rPr>
            </w:pPr>
            <w:r w:rsidRPr="00765B4C">
              <w:rPr>
                <w:rFonts w:eastAsia="Calibri" w:cs="Arial"/>
                <w:b/>
                <w:sz w:val="20"/>
                <w:szCs w:val="20"/>
              </w:rPr>
              <w:t xml:space="preserve">Aire </w:t>
            </w:r>
            <w:r w:rsidR="00E26735" w:rsidRPr="00765B4C">
              <w:rPr>
                <w:rFonts w:eastAsia="Calibri" w:cs="Arial"/>
                <w:b/>
                <w:sz w:val="20"/>
                <w:szCs w:val="20"/>
              </w:rPr>
              <w:t>protégée</w:t>
            </w:r>
            <w:r w:rsidRPr="00765B4C">
              <w:rPr>
                <w:rFonts w:eastAsia="Calibri" w:cs="Arial"/>
                <w:b/>
                <w:sz w:val="20"/>
                <w:szCs w:val="20"/>
              </w:rPr>
              <w:t xml:space="preserve"> </w:t>
            </w:r>
          </w:p>
        </w:tc>
        <w:tc>
          <w:tcPr>
            <w:tcW w:w="11509" w:type="dxa"/>
            <w:tcBorders>
              <w:top w:val="single" w:sz="4" w:space="0" w:color="000001"/>
              <w:left w:val="single" w:sz="4" w:space="0" w:color="000001"/>
              <w:bottom w:val="single" w:sz="4" w:space="0" w:color="000001"/>
              <w:right w:val="single" w:sz="4" w:space="0" w:color="000001"/>
            </w:tcBorders>
          </w:tcPr>
          <w:p w14:paraId="2CC8BF90" w14:textId="36EB47E0" w:rsidR="001C2F95" w:rsidRPr="00765B4C" w:rsidRDefault="001C2F95" w:rsidP="00971FD2">
            <w:pPr>
              <w:textAlignment w:val="baseline"/>
              <w:rPr>
                <w:rFonts w:cs="Arial"/>
                <w:color w:val="000000"/>
                <w:sz w:val="20"/>
                <w:szCs w:val="20"/>
              </w:rPr>
            </w:pPr>
            <w:r w:rsidRPr="00765B4C">
              <w:rPr>
                <w:rFonts w:cs="Arial"/>
                <w:color w:val="000000"/>
                <w:sz w:val="20"/>
                <w:szCs w:val="20"/>
              </w:rPr>
              <w:t>La province du Kwilu compte un Domaine de Chasse et Réserve à Hippopotame de Manga</w:t>
            </w:r>
            <w:r w:rsidR="001857F5" w:rsidRPr="00765B4C">
              <w:rPr>
                <w:rFonts w:cs="Arial"/>
                <w:color w:val="000000"/>
                <w:sz w:val="20"/>
                <w:szCs w:val="20"/>
              </w:rPr>
              <w:t>i</w:t>
            </w:r>
            <w:r w:rsidRPr="00765B4C">
              <w:rPr>
                <w:rFonts w:cs="Arial"/>
                <w:color w:val="000000"/>
                <w:sz w:val="20"/>
                <w:szCs w:val="20"/>
              </w:rPr>
              <w:t>. Ce Domaine de Chasse  est une aire protégée localisée au Sud-Ouest de la RDC, dans les territoires d'Idiofa en province de Kwilu et une partie de d’Oshwe dans la Province du Ma</w:t>
            </w:r>
            <w:r w:rsidR="003142D9">
              <w:rPr>
                <w:rFonts w:cs="Arial"/>
                <w:color w:val="000000"/>
                <w:sz w:val="20"/>
                <w:szCs w:val="20"/>
              </w:rPr>
              <w:t>ï</w:t>
            </w:r>
            <w:r w:rsidRPr="00765B4C">
              <w:rPr>
                <w:rFonts w:cs="Arial"/>
                <w:color w:val="000000"/>
                <w:sz w:val="20"/>
                <w:szCs w:val="20"/>
              </w:rPr>
              <w:t xml:space="preserve">-Ndombe. Il est créé en 1944 et superficie est approximativement 1 176 800 ha. Ces espèces principales sont les </w:t>
            </w:r>
            <w:hyperlink r:id="rId24" w:tooltip="Hippopotame" w:history="1">
              <w:r w:rsidRPr="00765B4C">
                <w:rPr>
                  <w:rFonts w:cs="Arial"/>
                  <w:color w:val="000000"/>
                  <w:sz w:val="20"/>
                  <w:szCs w:val="20"/>
                </w:rPr>
                <w:t>hippopotames</w:t>
              </w:r>
            </w:hyperlink>
            <w:r w:rsidRPr="00765B4C">
              <w:rPr>
                <w:rFonts w:cs="Arial"/>
                <w:color w:val="000000"/>
                <w:sz w:val="20"/>
                <w:szCs w:val="20"/>
              </w:rPr>
              <w:t xml:space="preserve">, les chimpanzés nains ou </w:t>
            </w:r>
            <w:hyperlink r:id="rId25" w:tooltip="Bonobo" w:history="1">
              <w:r w:rsidRPr="00765B4C">
                <w:rPr>
                  <w:rFonts w:cs="Arial"/>
                  <w:color w:val="000000"/>
                  <w:sz w:val="20"/>
                  <w:szCs w:val="20"/>
                </w:rPr>
                <w:t>bonobos</w:t>
              </w:r>
            </w:hyperlink>
            <w:r w:rsidRPr="00765B4C">
              <w:rPr>
                <w:rFonts w:cs="Arial"/>
                <w:color w:val="000000"/>
                <w:sz w:val="20"/>
                <w:szCs w:val="20"/>
              </w:rPr>
              <w:t xml:space="preserve">. </w:t>
            </w:r>
          </w:p>
          <w:p w14:paraId="2C69C8FC" w14:textId="77777777" w:rsidR="001C2F95" w:rsidRPr="00765B4C" w:rsidRDefault="001C2F95" w:rsidP="00971FD2">
            <w:pPr>
              <w:textAlignment w:val="baseline"/>
              <w:rPr>
                <w:rFonts w:cs="Arial"/>
                <w:color w:val="000000"/>
                <w:sz w:val="20"/>
                <w:szCs w:val="20"/>
              </w:rPr>
            </w:pPr>
          </w:p>
          <w:p w14:paraId="715044EF" w14:textId="77777777" w:rsidR="001C2F95" w:rsidRPr="00765B4C" w:rsidRDefault="001C2F95" w:rsidP="00971FD2">
            <w:pPr>
              <w:textAlignment w:val="baseline"/>
              <w:rPr>
                <w:rFonts w:cs="Arial"/>
                <w:color w:val="000000"/>
                <w:sz w:val="20"/>
                <w:szCs w:val="20"/>
              </w:rPr>
            </w:pPr>
            <w:r w:rsidRPr="00765B4C">
              <w:rPr>
                <w:rFonts w:cs="Arial"/>
                <w:color w:val="000000"/>
                <w:sz w:val="20"/>
                <w:szCs w:val="20"/>
              </w:rPr>
              <w:t>Les principales pressions que connait le domaine de chasse et réserve à hippopotame de Mangai sont :</w:t>
            </w:r>
          </w:p>
          <w:p w14:paraId="2F71796A" w14:textId="77777777" w:rsidR="001C2F95" w:rsidRPr="00765B4C" w:rsidRDefault="001C2F95" w:rsidP="00971FD2">
            <w:pPr>
              <w:textAlignment w:val="baseline"/>
              <w:rPr>
                <w:rFonts w:cs="Arial"/>
                <w:color w:val="000000"/>
                <w:sz w:val="20"/>
                <w:szCs w:val="20"/>
              </w:rPr>
            </w:pPr>
          </w:p>
          <w:p w14:paraId="2F4BA343" w14:textId="77777777" w:rsidR="001C2F95" w:rsidRPr="00765B4C" w:rsidRDefault="001C2F95" w:rsidP="002378EA">
            <w:pPr>
              <w:pStyle w:val="Paragraphedeliste"/>
              <w:numPr>
                <w:ilvl w:val="0"/>
                <w:numId w:val="33"/>
              </w:numPr>
              <w:textAlignment w:val="baseline"/>
              <w:rPr>
                <w:rFonts w:cs="Arial"/>
                <w:color w:val="000000"/>
                <w:sz w:val="20"/>
                <w:szCs w:val="20"/>
              </w:rPr>
            </w:pPr>
            <w:r w:rsidRPr="00765B4C">
              <w:rPr>
                <w:rFonts w:cs="Arial"/>
                <w:color w:val="000000"/>
                <w:sz w:val="20"/>
                <w:szCs w:val="20"/>
              </w:rPr>
              <w:t xml:space="preserve">Le braconnage ; </w:t>
            </w:r>
          </w:p>
          <w:p w14:paraId="03C30D52" w14:textId="77777777" w:rsidR="001C2F95" w:rsidRPr="00765B4C" w:rsidRDefault="001C2F95" w:rsidP="002378EA">
            <w:pPr>
              <w:pStyle w:val="Paragraphedeliste"/>
              <w:numPr>
                <w:ilvl w:val="0"/>
                <w:numId w:val="33"/>
              </w:numPr>
              <w:textAlignment w:val="baseline"/>
              <w:rPr>
                <w:rFonts w:cs="Arial"/>
                <w:color w:val="000000"/>
                <w:sz w:val="20"/>
                <w:szCs w:val="20"/>
              </w:rPr>
            </w:pPr>
            <w:r w:rsidRPr="00765B4C">
              <w:rPr>
                <w:rFonts w:cs="Arial"/>
                <w:color w:val="000000"/>
                <w:sz w:val="20"/>
                <w:szCs w:val="20"/>
              </w:rPr>
              <w:t xml:space="preserve">L’exploitation forestière (coupe de grumes) ; </w:t>
            </w:r>
          </w:p>
          <w:p w14:paraId="6CE2BD4E" w14:textId="77777777" w:rsidR="001C2F95" w:rsidRPr="00765B4C" w:rsidRDefault="001C2F95" w:rsidP="002378EA">
            <w:pPr>
              <w:pStyle w:val="Paragraphedeliste"/>
              <w:numPr>
                <w:ilvl w:val="0"/>
                <w:numId w:val="33"/>
              </w:numPr>
              <w:textAlignment w:val="baseline"/>
              <w:rPr>
                <w:rFonts w:cs="Arial"/>
                <w:color w:val="000000"/>
                <w:sz w:val="20"/>
                <w:szCs w:val="20"/>
              </w:rPr>
            </w:pPr>
            <w:r w:rsidRPr="00765B4C">
              <w:rPr>
                <w:rFonts w:cs="Arial"/>
                <w:color w:val="000000"/>
                <w:sz w:val="20"/>
                <w:szCs w:val="20"/>
              </w:rPr>
              <w:t xml:space="preserve">L’exploitation minière (on note de nos jours près de 250 exploitants dans la rivière du Kassaï) ; </w:t>
            </w:r>
          </w:p>
          <w:p w14:paraId="51855438" w14:textId="77777777" w:rsidR="001C2F95" w:rsidRPr="00765B4C" w:rsidRDefault="001C2F95" w:rsidP="002378EA">
            <w:pPr>
              <w:pStyle w:val="Paragraphedeliste"/>
              <w:numPr>
                <w:ilvl w:val="0"/>
                <w:numId w:val="33"/>
              </w:numPr>
              <w:textAlignment w:val="baseline"/>
              <w:rPr>
                <w:rFonts w:cs="Arial"/>
                <w:color w:val="000000"/>
                <w:sz w:val="20"/>
                <w:szCs w:val="20"/>
              </w:rPr>
            </w:pPr>
            <w:r w:rsidRPr="00765B4C">
              <w:rPr>
                <w:rFonts w:cs="Arial"/>
                <w:color w:val="000000"/>
                <w:sz w:val="20"/>
                <w:szCs w:val="20"/>
              </w:rPr>
              <w:t xml:space="preserve">La pêche illicite ; </w:t>
            </w:r>
          </w:p>
          <w:p w14:paraId="02FCBDFE" w14:textId="77777777" w:rsidR="001C2F95" w:rsidRPr="00765B4C" w:rsidRDefault="001C2F95" w:rsidP="002378EA">
            <w:pPr>
              <w:pStyle w:val="Paragraphedeliste"/>
              <w:numPr>
                <w:ilvl w:val="0"/>
                <w:numId w:val="33"/>
              </w:numPr>
              <w:textAlignment w:val="baseline"/>
              <w:rPr>
                <w:rFonts w:cs="Arial"/>
                <w:color w:val="000000"/>
                <w:sz w:val="20"/>
                <w:szCs w:val="20"/>
              </w:rPr>
            </w:pPr>
            <w:r w:rsidRPr="00765B4C">
              <w:rPr>
                <w:rFonts w:cs="Arial"/>
                <w:color w:val="000000"/>
                <w:sz w:val="20"/>
                <w:szCs w:val="20"/>
              </w:rPr>
              <w:t>La forte pression humaine à l’intérieur de l’AP (une installation de champs et de villages) : (https://papaco.org/wp-content/uploads/2015/09/METT-Mangai.pdf).</w:t>
            </w:r>
          </w:p>
          <w:p w14:paraId="35115DFD" w14:textId="77777777" w:rsidR="001C2F95" w:rsidRPr="00765B4C" w:rsidRDefault="001C2F95" w:rsidP="00971FD2">
            <w:pPr>
              <w:textAlignment w:val="baseline"/>
              <w:rPr>
                <w:rFonts w:cs="Arial"/>
                <w:color w:val="000000"/>
                <w:sz w:val="20"/>
                <w:szCs w:val="20"/>
              </w:rPr>
            </w:pPr>
          </w:p>
          <w:p w14:paraId="764F8CE6" w14:textId="77777777" w:rsidR="001C2F95" w:rsidRPr="00765B4C" w:rsidRDefault="001C2F95" w:rsidP="00971FD2">
            <w:pPr>
              <w:textAlignment w:val="baseline"/>
              <w:rPr>
                <w:rFonts w:cs="Arial"/>
                <w:color w:val="000000"/>
                <w:sz w:val="20"/>
                <w:szCs w:val="20"/>
              </w:rPr>
            </w:pPr>
            <w:r w:rsidRPr="00765B4C">
              <w:rPr>
                <w:rFonts w:cs="Arial"/>
                <w:color w:val="000000"/>
                <w:sz w:val="20"/>
                <w:szCs w:val="20"/>
              </w:rPr>
              <w:t>Si les activités du PNDA touche le domaine de chasse de Mangai, le PNDA travaillera en étroite collaboration avec l’ICCN et ensemble, ils vont identifier des impacts négatifs et proposera des mesures d’atténuation.</w:t>
            </w:r>
          </w:p>
        </w:tc>
      </w:tr>
    </w:tbl>
    <w:p w14:paraId="18731BC8" w14:textId="77777777" w:rsidR="001C2F95" w:rsidRPr="00765B4C" w:rsidRDefault="001C2F95" w:rsidP="001C2F95">
      <w:pPr>
        <w:spacing w:line="240" w:lineRule="auto"/>
        <w:jc w:val="left"/>
        <w:rPr>
          <w:rFonts w:cs="Arial"/>
          <w:szCs w:val="21"/>
        </w:rPr>
      </w:pPr>
    </w:p>
    <w:p w14:paraId="12FD7810" w14:textId="77777777" w:rsidR="001C2F95" w:rsidRPr="00765B4C" w:rsidRDefault="001C2F95" w:rsidP="001C2F95">
      <w:pPr>
        <w:spacing w:line="240" w:lineRule="auto"/>
        <w:jc w:val="center"/>
        <w:rPr>
          <w:rFonts w:cs="Arial"/>
          <w:szCs w:val="21"/>
        </w:rPr>
      </w:pPr>
    </w:p>
    <w:p w14:paraId="1CCAF673" w14:textId="77777777" w:rsidR="00765B4C" w:rsidRDefault="00765B4C" w:rsidP="001C2F95">
      <w:pPr>
        <w:spacing w:line="240" w:lineRule="auto"/>
        <w:jc w:val="left"/>
        <w:rPr>
          <w:rFonts w:cs="Arial"/>
          <w:szCs w:val="21"/>
        </w:rPr>
      </w:pPr>
    </w:p>
    <w:p w14:paraId="7B313A8E" w14:textId="77777777" w:rsidR="003142D9" w:rsidRDefault="003142D9" w:rsidP="001C2F95">
      <w:pPr>
        <w:spacing w:line="240" w:lineRule="auto"/>
        <w:jc w:val="left"/>
        <w:rPr>
          <w:rFonts w:cs="Arial"/>
          <w:szCs w:val="21"/>
        </w:rPr>
      </w:pPr>
    </w:p>
    <w:p w14:paraId="2AA06627" w14:textId="77777777" w:rsidR="003142D9" w:rsidRPr="00765B4C" w:rsidRDefault="003142D9" w:rsidP="001C2F95">
      <w:pPr>
        <w:spacing w:line="240" w:lineRule="auto"/>
        <w:jc w:val="left"/>
        <w:rPr>
          <w:rFonts w:cs="Arial"/>
          <w:szCs w:val="21"/>
        </w:rPr>
      </w:pPr>
    </w:p>
    <w:p w14:paraId="41D95F0D" w14:textId="661446E0" w:rsidR="001C2F95" w:rsidRPr="00765B4C" w:rsidRDefault="001C2F95" w:rsidP="001C2F95">
      <w:pPr>
        <w:spacing w:line="240" w:lineRule="auto"/>
        <w:jc w:val="left"/>
        <w:rPr>
          <w:rFonts w:cs="Arial"/>
          <w:szCs w:val="21"/>
        </w:rPr>
      </w:pPr>
      <w:bookmarkStart w:id="273" w:name="_Toc90392973"/>
      <w:r w:rsidRPr="00765B4C">
        <w:rPr>
          <w:rFonts w:cs="Arial"/>
          <w:szCs w:val="21"/>
        </w:rPr>
        <w:t xml:space="preserve">Tableau </w:t>
      </w:r>
      <w:r w:rsidRPr="00765B4C">
        <w:rPr>
          <w:rFonts w:cs="Arial"/>
          <w:szCs w:val="21"/>
        </w:rPr>
        <w:fldChar w:fldCharType="begin"/>
      </w:r>
      <w:r w:rsidRPr="00765B4C">
        <w:rPr>
          <w:rFonts w:cs="Arial"/>
          <w:szCs w:val="21"/>
        </w:rPr>
        <w:instrText xml:space="preserve"> SEQ Tableau \* ARABIC </w:instrText>
      </w:r>
      <w:r w:rsidRPr="00765B4C">
        <w:rPr>
          <w:rFonts w:cs="Arial"/>
          <w:szCs w:val="21"/>
        </w:rPr>
        <w:fldChar w:fldCharType="separate"/>
      </w:r>
      <w:r w:rsidR="00765B4C">
        <w:rPr>
          <w:rFonts w:cs="Arial"/>
          <w:noProof/>
          <w:szCs w:val="21"/>
        </w:rPr>
        <w:t>5</w:t>
      </w:r>
      <w:r w:rsidRPr="00765B4C">
        <w:rPr>
          <w:rFonts w:cs="Arial"/>
          <w:szCs w:val="21"/>
        </w:rPr>
        <w:fldChar w:fldCharType="end"/>
      </w:r>
      <w:r w:rsidRPr="00765B4C">
        <w:rPr>
          <w:rFonts w:cs="Arial"/>
          <w:szCs w:val="21"/>
        </w:rPr>
        <w:t>. Données socio-économiques de la Province du Kongo Central</w:t>
      </w:r>
      <w:bookmarkEnd w:id="273"/>
    </w:p>
    <w:p w14:paraId="4B205AF3" w14:textId="77777777" w:rsidR="001C2F95" w:rsidRPr="00765B4C" w:rsidRDefault="001C2F95" w:rsidP="001C2F95">
      <w:pPr>
        <w:rPr>
          <w:rFonts w:cs="Arial"/>
          <w:szCs w:val="21"/>
        </w:rPr>
      </w:pPr>
    </w:p>
    <w:tbl>
      <w:tblPr>
        <w:tblW w:w="13665"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2378"/>
        <w:gridCol w:w="11287"/>
      </w:tblGrid>
      <w:tr w:rsidR="001C2F95" w:rsidRPr="001857F5" w14:paraId="54F6E83B" w14:textId="77777777" w:rsidTr="00971FD2">
        <w:trPr>
          <w:trHeight w:val="414"/>
          <w:tblHeader/>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C2D69B"/>
            <w:tcMar>
              <w:left w:w="108" w:type="dxa"/>
            </w:tcMar>
          </w:tcPr>
          <w:p w14:paraId="334E0554" w14:textId="77777777" w:rsidR="001C2F95" w:rsidRPr="00765B4C" w:rsidRDefault="001C2F95" w:rsidP="00971FD2">
            <w:pPr>
              <w:jc w:val="center"/>
              <w:rPr>
                <w:rFonts w:eastAsia="Calibri" w:cs="Arial"/>
                <w:b/>
                <w:szCs w:val="21"/>
              </w:rPr>
            </w:pPr>
            <w:r w:rsidRPr="00765B4C">
              <w:rPr>
                <w:rFonts w:eastAsia="Calibri" w:cs="Arial"/>
                <w:b/>
                <w:szCs w:val="21"/>
              </w:rPr>
              <w:t>Secteur</w:t>
            </w:r>
          </w:p>
        </w:tc>
        <w:tc>
          <w:tcPr>
            <w:tcW w:w="11287" w:type="dxa"/>
            <w:tcBorders>
              <w:top w:val="single" w:sz="4" w:space="0" w:color="000001"/>
              <w:left w:val="single" w:sz="4" w:space="0" w:color="000001"/>
              <w:bottom w:val="single" w:sz="4" w:space="0" w:color="000001"/>
              <w:right w:val="single" w:sz="4" w:space="0" w:color="000001"/>
            </w:tcBorders>
            <w:shd w:val="clear" w:color="auto" w:fill="C2D69B"/>
          </w:tcPr>
          <w:p w14:paraId="532F3451" w14:textId="77777777" w:rsidR="001C2F95" w:rsidRPr="00765B4C" w:rsidRDefault="001C2F95" w:rsidP="00971FD2">
            <w:pPr>
              <w:jc w:val="center"/>
              <w:rPr>
                <w:rFonts w:eastAsia="Calibri" w:cs="Arial"/>
                <w:b/>
                <w:szCs w:val="21"/>
              </w:rPr>
            </w:pPr>
            <w:r w:rsidRPr="00765B4C">
              <w:rPr>
                <w:rFonts w:eastAsia="Calibri" w:cs="Arial"/>
                <w:b/>
                <w:szCs w:val="21"/>
              </w:rPr>
              <w:t>Province du Kongo Central</w:t>
            </w:r>
          </w:p>
        </w:tc>
      </w:tr>
      <w:tr w:rsidR="001C2F95" w:rsidRPr="001857F5" w14:paraId="1E3B3A5E" w14:textId="77777777" w:rsidTr="00971FD2">
        <w:trPr>
          <w:trHeight w:val="276"/>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F38135A" w14:textId="77777777" w:rsidR="001C2F95" w:rsidRPr="00765B4C" w:rsidRDefault="001C2F95" w:rsidP="00971FD2">
            <w:pPr>
              <w:rPr>
                <w:rFonts w:eastAsia="Calibri" w:cs="Arial"/>
                <w:b/>
                <w:szCs w:val="21"/>
              </w:rPr>
            </w:pPr>
            <w:r w:rsidRPr="00765B4C">
              <w:rPr>
                <w:rFonts w:eastAsia="Calibri" w:cs="Arial"/>
                <w:b/>
                <w:szCs w:val="21"/>
              </w:rPr>
              <w:t>Situation géographique</w:t>
            </w:r>
          </w:p>
        </w:tc>
        <w:tc>
          <w:tcPr>
            <w:tcW w:w="11287" w:type="dxa"/>
            <w:tcBorders>
              <w:top w:val="single" w:sz="4" w:space="0" w:color="000001"/>
              <w:left w:val="single" w:sz="4" w:space="0" w:color="000001"/>
              <w:bottom w:val="single" w:sz="4" w:space="0" w:color="000001"/>
              <w:right w:val="single" w:sz="4" w:space="0" w:color="000001"/>
            </w:tcBorders>
          </w:tcPr>
          <w:p w14:paraId="454B1719" w14:textId="77777777" w:rsidR="001C2F95" w:rsidRPr="00765B4C" w:rsidRDefault="001C2F95" w:rsidP="00971FD2">
            <w:pPr>
              <w:textAlignment w:val="baseline"/>
              <w:rPr>
                <w:rFonts w:cs="Arial"/>
                <w:b/>
                <w:bCs/>
                <w:color w:val="000000"/>
                <w:szCs w:val="21"/>
              </w:rPr>
            </w:pPr>
            <w:r w:rsidRPr="00765B4C">
              <w:rPr>
                <w:rFonts w:cs="Arial"/>
                <w:b/>
                <w:bCs/>
                <w:color w:val="000000"/>
                <w:szCs w:val="21"/>
              </w:rPr>
              <w:t>Localisation </w:t>
            </w:r>
          </w:p>
          <w:p w14:paraId="6CC1E4C8" w14:textId="77777777" w:rsidR="001C2F95" w:rsidRPr="00765B4C" w:rsidRDefault="001C2F95" w:rsidP="00971FD2">
            <w:pPr>
              <w:rPr>
                <w:rFonts w:cs="Arial"/>
                <w:color w:val="000000"/>
                <w:szCs w:val="21"/>
              </w:rPr>
            </w:pPr>
            <w:r w:rsidRPr="00765B4C">
              <w:rPr>
                <w:rFonts w:cs="Arial"/>
                <w:color w:val="000000"/>
                <w:szCs w:val="21"/>
              </w:rPr>
              <w:t>Le Kongo Central (en Kikongo : Kôngo ya Kati), appelé Bas-Congo avant 2015, est une Province de la République Démocratique du Congo. C'est la seule Province du pays ayant un accès à la mer.</w:t>
            </w:r>
          </w:p>
          <w:p w14:paraId="6572D087" w14:textId="77777777" w:rsidR="001C2F95" w:rsidRPr="00765B4C" w:rsidRDefault="001C2F95" w:rsidP="00971FD2">
            <w:pPr>
              <w:rPr>
                <w:rFonts w:cs="Arial"/>
                <w:color w:val="000000"/>
                <w:szCs w:val="21"/>
              </w:rPr>
            </w:pPr>
          </w:p>
          <w:p w14:paraId="00B6BF43" w14:textId="77777777" w:rsidR="001C2F95" w:rsidRPr="00765B4C" w:rsidRDefault="001C2F95" w:rsidP="00971FD2">
            <w:pPr>
              <w:rPr>
                <w:rFonts w:cs="Arial"/>
                <w:color w:val="000000"/>
                <w:szCs w:val="21"/>
              </w:rPr>
            </w:pPr>
            <w:r w:rsidRPr="00765B4C">
              <w:rPr>
                <w:rFonts w:cs="Arial"/>
                <w:color w:val="000000"/>
                <w:szCs w:val="21"/>
              </w:rPr>
              <w:t>Située au Sud-Ouest de la République Démocratique du Congo, la Province du Kongo Central s’étend sur une superficie de 53 920 km², soit 2,3 % du territoire national.</w:t>
            </w:r>
          </w:p>
          <w:p w14:paraId="7DD4163F" w14:textId="77777777" w:rsidR="001C2F95" w:rsidRPr="00765B4C" w:rsidRDefault="001C2F95" w:rsidP="00971FD2">
            <w:pPr>
              <w:rPr>
                <w:rFonts w:cs="Arial"/>
                <w:color w:val="000000"/>
                <w:szCs w:val="21"/>
              </w:rPr>
            </w:pPr>
          </w:p>
          <w:p w14:paraId="4C6675D5" w14:textId="77777777" w:rsidR="001C2F95" w:rsidRPr="00765B4C" w:rsidRDefault="001C2F95" w:rsidP="00971FD2">
            <w:pPr>
              <w:rPr>
                <w:rFonts w:cs="Arial"/>
                <w:color w:val="000000"/>
                <w:szCs w:val="21"/>
              </w:rPr>
            </w:pPr>
            <w:r w:rsidRPr="00765B4C">
              <w:rPr>
                <w:rFonts w:cs="Arial"/>
                <w:color w:val="000000"/>
                <w:szCs w:val="21"/>
              </w:rPr>
              <w:t>La Province du Kongo Central s'étend entre 4° et 6° de latitude Sud, et 12° et 16° de longitude Est et est limitée au Nord par la République du Congo, au Sud par la République d’Angola, à l’Est par la Ville-Province de Kinshasa et la Province de Kwango et enfin, à l’Ouest par l’Océan Atlantique et l’enclave Angolaise de Cabinda.</w:t>
            </w:r>
          </w:p>
          <w:p w14:paraId="11C35701" w14:textId="77777777" w:rsidR="001C2F95" w:rsidRPr="00765B4C" w:rsidRDefault="001C2F95" w:rsidP="00971FD2">
            <w:pPr>
              <w:rPr>
                <w:rFonts w:cs="Arial"/>
                <w:color w:val="000000"/>
                <w:szCs w:val="21"/>
              </w:rPr>
            </w:pPr>
          </w:p>
          <w:p w14:paraId="0DED870D" w14:textId="77777777" w:rsidR="001C2F95" w:rsidRPr="00765B4C" w:rsidRDefault="001C2F95" w:rsidP="00971FD2">
            <w:pPr>
              <w:rPr>
                <w:rFonts w:cs="Arial"/>
                <w:color w:val="000000"/>
                <w:szCs w:val="21"/>
              </w:rPr>
            </w:pPr>
            <w:r w:rsidRPr="00765B4C">
              <w:rPr>
                <w:rFonts w:cs="Arial"/>
                <w:color w:val="000000"/>
                <w:szCs w:val="21"/>
              </w:rPr>
              <w:t>La Province du Kongo Central est l'une des entités administratives les mieux structurées de la RDC. Avec une superficie d'environ 54 mille km</w:t>
            </w:r>
            <w:r w:rsidRPr="00765B4C">
              <w:rPr>
                <w:rFonts w:cs="Arial"/>
                <w:color w:val="000000"/>
                <w:szCs w:val="21"/>
                <w:vertAlign w:val="superscript"/>
              </w:rPr>
              <w:t>2</w:t>
            </w:r>
            <w:r w:rsidRPr="00765B4C">
              <w:rPr>
                <w:rFonts w:cs="Arial"/>
                <w:color w:val="000000"/>
                <w:szCs w:val="21"/>
              </w:rPr>
              <w:t>, elle compte une dizaine de Territoires (en plus du Territoire Urbain de Matadi). Déjà à l'époque de l'Etat Indépendant du Congo, sur les 11 Districts que comptait le pays en 1888, 4 appartenaient à l'actuel Kongo Central.</w:t>
            </w:r>
          </w:p>
          <w:p w14:paraId="6C62AE59" w14:textId="77777777" w:rsidR="001C2F95" w:rsidRPr="00765B4C" w:rsidRDefault="001C2F95" w:rsidP="00971FD2">
            <w:pPr>
              <w:ind w:left="40"/>
              <w:jc w:val="left"/>
              <w:textAlignment w:val="baseline"/>
              <w:rPr>
                <w:rFonts w:cs="Arial"/>
                <w:color w:val="333333"/>
                <w:szCs w:val="21"/>
              </w:rPr>
            </w:pPr>
          </w:p>
          <w:p w14:paraId="20C7881E" w14:textId="77777777" w:rsidR="001C2F95" w:rsidRPr="00765B4C" w:rsidRDefault="001C2F95" w:rsidP="00971FD2">
            <w:pPr>
              <w:textAlignment w:val="baseline"/>
              <w:rPr>
                <w:rFonts w:cs="Arial"/>
                <w:b/>
                <w:i/>
                <w:color w:val="000000"/>
                <w:szCs w:val="21"/>
              </w:rPr>
            </w:pPr>
            <w:r w:rsidRPr="00765B4C">
              <w:rPr>
                <w:rFonts w:cs="Arial"/>
                <w:b/>
                <w:i/>
                <w:color w:val="000000"/>
                <w:szCs w:val="21"/>
              </w:rPr>
              <w:t>Climat et saisons </w:t>
            </w:r>
          </w:p>
          <w:p w14:paraId="21BD9D13" w14:textId="77777777" w:rsidR="001C2F95" w:rsidRPr="00765B4C" w:rsidRDefault="001C2F95" w:rsidP="00971FD2">
            <w:pPr>
              <w:rPr>
                <w:rFonts w:cs="Arial"/>
                <w:color w:val="000000"/>
                <w:szCs w:val="21"/>
              </w:rPr>
            </w:pPr>
            <w:r w:rsidRPr="00765B4C">
              <w:rPr>
                <w:rFonts w:cs="Arial"/>
                <w:color w:val="000000"/>
                <w:szCs w:val="21"/>
              </w:rPr>
              <w:t>Son climat est de type tropical avec deux saisons : saison pluvieuse et saison sèche. Les précipitations annuelles varient entre 900 mm et 1 500 mm. Suivant la répartition locale, l’année compte cinq saisons : la grande saison des pluies ou Saison A, appelée « Masanza », de mi-octobre à décembre, la petite saison sèche ou « Kianzu ou Kundi » de janvier à février, la petite saison des pluies ou Saison B, appelée « Kintombo » de mars à mi-mai, la saison sèche ou Saison C appelée « Sivu » de mi-mai à mi-octobre. Celle-ci comporte deux variantes caractérisées par une période fraîche allant de juin à août, ainsi qu’une période très chaude dénommée « Mbangala » de septembre à mi-octobre.</w:t>
            </w:r>
          </w:p>
          <w:p w14:paraId="023FA1E5" w14:textId="77777777" w:rsidR="001C2F95" w:rsidRPr="00765B4C" w:rsidRDefault="001C2F95" w:rsidP="00971FD2">
            <w:pPr>
              <w:ind w:left="40"/>
              <w:textAlignment w:val="baseline"/>
              <w:rPr>
                <w:rFonts w:cs="Arial"/>
                <w:color w:val="000000"/>
                <w:szCs w:val="21"/>
              </w:rPr>
            </w:pPr>
          </w:p>
          <w:p w14:paraId="5E328650" w14:textId="77777777" w:rsidR="001C2F95" w:rsidRPr="00765B4C" w:rsidRDefault="001C2F95" w:rsidP="00971FD2">
            <w:pPr>
              <w:textAlignment w:val="baseline"/>
              <w:rPr>
                <w:rFonts w:cs="Arial"/>
                <w:b/>
                <w:i/>
                <w:color w:val="000000"/>
                <w:szCs w:val="21"/>
              </w:rPr>
            </w:pPr>
            <w:r w:rsidRPr="00765B4C">
              <w:rPr>
                <w:rFonts w:cs="Arial"/>
                <w:b/>
                <w:i/>
                <w:color w:val="000000"/>
                <w:szCs w:val="21"/>
              </w:rPr>
              <w:t>Hydrographie</w:t>
            </w:r>
          </w:p>
          <w:p w14:paraId="535786C7" w14:textId="77777777" w:rsidR="001C2F95" w:rsidRPr="00765B4C" w:rsidRDefault="001C2F95" w:rsidP="00971FD2">
            <w:pPr>
              <w:rPr>
                <w:rFonts w:cs="Arial"/>
                <w:color w:val="000000"/>
                <w:szCs w:val="21"/>
              </w:rPr>
            </w:pPr>
            <w:r w:rsidRPr="00765B4C">
              <w:rPr>
                <w:rFonts w:cs="Arial"/>
                <w:color w:val="000000"/>
                <w:szCs w:val="21"/>
              </w:rPr>
              <w:t>Le Kongo Central fait partie du grand Bassin du Fleuve Congo, à l'exception du Mayombe drainé par le Fleuve Shiloango. Cependant, l'apport des affluents du Kongo Central au débit du Fleuve est minime (1,5 % au maximum). De même, si le Fleuve Congo est une voie de communication principale pour la République Démocratique du Congo, la partie navigable du Kongo Central n'est que de 168 km entre Matadi et Banana. Ainsi, sur 400 km entre Kinshasa et Banana, 232 km (Kinshasa-Matadi) ne sont pas navigables à cause des chutes et des rapides.</w:t>
            </w:r>
          </w:p>
          <w:p w14:paraId="5FDA575C" w14:textId="77777777" w:rsidR="001C2F95" w:rsidRPr="00765B4C" w:rsidRDefault="001C2F95" w:rsidP="00971FD2">
            <w:pPr>
              <w:rPr>
                <w:rFonts w:cs="Arial"/>
                <w:color w:val="000000"/>
                <w:szCs w:val="21"/>
              </w:rPr>
            </w:pPr>
          </w:p>
          <w:p w14:paraId="565640CF" w14:textId="77777777" w:rsidR="001C2F95" w:rsidRPr="00765B4C" w:rsidRDefault="001C2F95" w:rsidP="00971FD2">
            <w:pPr>
              <w:rPr>
                <w:rFonts w:cs="Arial"/>
                <w:color w:val="000000"/>
                <w:szCs w:val="21"/>
              </w:rPr>
            </w:pPr>
            <w:r w:rsidRPr="00765B4C">
              <w:rPr>
                <w:rFonts w:cs="Arial"/>
                <w:color w:val="000000"/>
                <w:szCs w:val="21"/>
              </w:rPr>
              <w:t>En outre, le Fleuve Congo regorge d’un formidable potentiel hydro-électrique estimé à 100 000 Mégawatts dont 58 000 Mégawatts entre Kinshasa et Matadi sur le Territoire du Kongo Central. En dehors du Fleuve Congo, le réseau hydrographique du Kongo Central est formé de nombreuses rivières aux dimensions plus modestes dont les plus importantes sont : Inkisi, Nsele, Mfidi, Lubishi, Lumene, Bombo, Lufimi, Luidi, Lukunga, Ngufu, Mosi, Mobi, Lugunga, Kwilu, Lufu, Mfumu, Yambi, Luala, Tombe, Lunionzo, Madiadia, Luima, Sanzikua, Lukasu, Ngudi, Luozi, Luenda, Lukula, Lubuzi, Mbavu, Lemba, Luangu, Mbulu, Nkiela, Ndudi, ainsi que le Fleuve Shiloango dans le Territoire du Bas-Fleuve.</w:t>
            </w:r>
          </w:p>
          <w:p w14:paraId="46011D9D" w14:textId="77777777" w:rsidR="001C2F95" w:rsidRPr="00765B4C" w:rsidRDefault="001C2F95" w:rsidP="00971FD2">
            <w:pPr>
              <w:textAlignment w:val="baseline"/>
              <w:rPr>
                <w:rFonts w:cs="Arial"/>
                <w:color w:val="000000"/>
                <w:szCs w:val="21"/>
              </w:rPr>
            </w:pPr>
          </w:p>
          <w:p w14:paraId="33D9F6C3" w14:textId="77777777" w:rsidR="001C2F95" w:rsidRPr="00765B4C" w:rsidRDefault="001C2F95" w:rsidP="00971FD2">
            <w:pPr>
              <w:textAlignment w:val="baseline"/>
              <w:rPr>
                <w:rFonts w:cs="Arial"/>
                <w:b/>
                <w:i/>
                <w:color w:val="000000"/>
                <w:szCs w:val="21"/>
              </w:rPr>
            </w:pPr>
            <w:r w:rsidRPr="00765B4C">
              <w:rPr>
                <w:rFonts w:cs="Arial"/>
                <w:b/>
                <w:i/>
                <w:color w:val="000000"/>
                <w:szCs w:val="21"/>
              </w:rPr>
              <w:t>Relief et type de sol </w:t>
            </w:r>
          </w:p>
          <w:p w14:paraId="4BDC71CD" w14:textId="77777777" w:rsidR="001C2F95" w:rsidRPr="00765B4C" w:rsidRDefault="001C2F95" w:rsidP="00971FD2">
            <w:pPr>
              <w:rPr>
                <w:rFonts w:cs="Arial"/>
                <w:szCs w:val="21"/>
              </w:rPr>
            </w:pPr>
            <w:r w:rsidRPr="00765B4C">
              <w:rPr>
                <w:rFonts w:cs="Arial"/>
                <w:szCs w:val="21"/>
              </w:rPr>
              <w:t>Le Kongo Central a un relief très varié ; mais il est essentiellement une Province des plateaux plus ou moins vivement disséqués et jamais très élevés. L'altitude dépasse rarement 750 m. Nous pouvons distinguer quatre régions dans le Kongo Central : la région côtière, la région de Mayombe, la région des Cataractes et les confins du Kongo Central (aux abords du Kwango).</w:t>
            </w:r>
          </w:p>
          <w:p w14:paraId="6306B2F1" w14:textId="77777777" w:rsidR="001C2F95" w:rsidRPr="00765B4C" w:rsidRDefault="001C2F95" w:rsidP="00971FD2">
            <w:pPr>
              <w:rPr>
                <w:rFonts w:cs="Arial"/>
                <w:bCs/>
                <w:szCs w:val="21"/>
              </w:rPr>
            </w:pPr>
          </w:p>
          <w:p w14:paraId="130BAFDB" w14:textId="77777777" w:rsidR="001C2F95" w:rsidRPr="00765B4C" w:rsidRDefault="001C2F95" w:rsidP="00971FD2">
            <w:pPr>
              <w:rPr>
                <w:rFonts w:cs="Arial"/>
                <w:bCs/>
                <w:szCs w:val="21"/>
              </w:rPr>
            </w:pPr>
            <w:r w:rsidRPr="00765B4C">
              <w:rPr>
                <w:rFonts w:cs="Arial"/>
                <w:bCs/>
                <w:szCs w:val="21"/>
              </w:rPr>
              <w:t>La Province du Kongo Central compte quatre types de sols à savoir :</w:t>
            </w:r>
          </w:p>
          <w:p w14:paraId="4266120A" w14:textId="77777777" w:rsidR="001C2F95" w:rsidRPr="00765B4C" w:rsidRDefault="001C2F95" w:rsidP="00971FD2">
            <w:pPr>
              <w:rPr>
                <w:rFonts w:cs="Arial"/>
                <w:szCs w:val="21"/>
              </w:rPr>
            </w:pPr>
          </w:p>
          <w:p w14:paraId="60CEED49" w14:textId="77777777" w:rsidR="001C2F95" w:rsidRPr="00765B4C" w:rsidRDefault="001C2F95" w:rsidP="002378EA">
            <w:pPr>
              <w:pStyle w:val="Paragraphedeliste"/>
              <w:numPr>
                <w:ilvl w:val="0"/>
                <w:numId w:val="43"/>
              </w:numPr>
              <w:rPr>
                <w:rFonts w:cs="Arial"/>
                <w:szCs w:val="21"/>
              </w:rPr>
            </w:pPr>
            <w:r w:rsidRPr="00765B4C">
              <w:rPr>
                <w:rFonts w:cs="Arial"/>
                <w:szCs w:val="21"/>
              </w:rPr>
              <w:t xml:space="preserve">Les sols sablonneux du type arénoferral : </w:t>
            </w:r>
          </w:p>
          <w:p w14:paraId="7D71F9AF" w14:textId="77777777" w:rsidR="001C2F95" w:rsidRPr="00765B4C" w:rsidRDefault="001C2F95" w:rsidP="002378EA">
            <w:pPr>
              <w:pStyle w:val="Paragraphedeliste"/>
              <w:numPr>
                <w:ilvl w:val="0"/>
                <w:numId w:val="43"/>
              </w:numPr>
              <w:rPr>
                <w:rFonts w:cs="Arial"/>
                <w:szCs w:val="21"/>
              </w:rPr>
            </w:pPr>
            <w:r w:rsidRPr="00765B4C">
              <w:rPr>
                <w:rFonts w:cs="Arial"/>
                <w:szCs w:val="21"/>
              </w:rPr>
              <w:t>Les sols argilo-sablonneux et argileux ;</w:t>
            </w:r>
          </w:p>
          <w:p w14:paraId="1884AB8F" w14:textId="77777777" w:rsidR="001C2F95" w:rsidRPr="00765B4C" w:rsidRDefault="001C2F95" w:rsidP="002378EA">
            <w:pPr>
              <w:pStyle w:val="Paragraphedeliste"/>
              <w:numPr>
                <w:ilvl w:val="0"/>
                <w:numId w:val="43"/>
              </w:numPr>
              <w:rPr>
                <w:rFonts w:cs="Arial"/>
                <w:szCs w:val="21"/>
              </w:rPr>
            </w:pPr>
            <w:r w:rsidRPr="00765B4C">
              <w:rPr>
                <w:rFonts w:cs="Arial"/>
                <w:szCs w:val="21"/>
              </w:rPr>
              <w:t>Les sols sablo-argileux avec tâches argilo-sablonneuses se trouvent au Nord et à l'Est de Luozi (District des Cataractes), au Nord-Ouest de Mbanza-Ngungu (District des Cataractes) et dans le District de Lukaya ; ces sols sont fragiles et faiblement fertiles.</w:t>
            </w:r>
          </w:p>
          <w:p w14:paraId="34B63F87" w14:textId="77777777" w:rsidR="001977A4" w:rsidRPr="00765B4C" w:rsidRDefault="001977A4" w:rsidP="00971FD2">
            <w:pPr>
              <w:textAlignment w:val="baseline"/>
              <w:rPr>
                <w:rFonts w:cs="Arial"/>
                <w:b/>
                <w:i/>
                <w:color w:val="000000"/>
                <w:szCs w:val="21"/>
              </w:rPr>
            </w:pPr>
          </w:p>
          <w:p w14:paraId="4EAFE8D2" w14:textId="77777777" w:rsidR="001C2F95" w:rsidRPr="00765B4C" w:rsidRDefault="001C2F95" w:rsidP="00971FD2">
            <w:pPr>
              <w:textAlignment w:val="baseline"/>
              <w:rPr>
                <w:rFonts w:cs="Arial"/>
                <w:b/>
                <w:i/>
                <w:color w:val="000000"/>
                <w:szCs w:val="21"/>
              </w:rPr>
            </w:pPr>
            <w:r w:rsidRPr="00765B4C">
              <w:rPr>
                <w:rFonts w:cs="Arial"/>
                <w:b/>
                <w:i/>
                <w:color w:val="000000"/>
                <w:szCs w:val="21"/>
              </w:rPr>
              <w:t>Faune </w:t>
            </w:r>
          </w:p>
          <w:p w14:paraId="4D83A4C4" w14:textId="77777777" w:rsidR="001C2F95" w:rsidRPr="00765B4C" w:rsidRDefault="001C2F95" w:rsidP="00971FD2">
            <w:pPr>
              <w:textAlignment w:val="baseline"/>
              <w:rPr>
                <w:rFonts w:cs="Arial"/>
                <w:b/>
                <w:i/>
                <w:color w:val="000000"/>
                <w:szCs w:val="21"/>
              </w:rPr>
            </w:pPr>
            <w:r w:rsidRPr="00765B4C">
              <w:rPr>
                <w:rFonts w:cs="Arial"/>
                <w:bCs/>
                <w:szCs w:val="21"/>
              </w:rPr>
              <w:t>La Province du Kongo Central regorge d’importantes ressources fauniques, qui pour la plupart font l’objet du braconnage excessif occasionné par des chasseurs. Faute d’inventaire, les ressources fauniques de cette province sont peu connues. Mais, l’on observe sur les marchés, comme celui de la viande de brousse de Boma, des gibiers étalés par les vendeuses et vendeurs.</w:t>
            </w:r>
            <w:r w:rsidRPr="00765B4C">
              <w:rPr>
                <w:rFonts w:cs="Arial"/>
                <w:b/>
                <w:i/>
                <w:color w:val="000000"/>
                <w:szCs w:val="21"/>
              </w:rPr>
              <w:t xml:space="preserve">   </w:t>
            </w:r>
          </w:p>
          <w:p w14:paraId="4E54E34C" w14:textId="77777777" w:rsidR="001977A4" w:rsidRPr="00765B4C" w:rsidRDefault="001977A4" w:rsidP="00971FD2">
            <w:pPr>
              <w:textAlignment w:val="baseline"/>
              <w:rPr>
                <w:rFonts w:cs="Arial"/>
                <w:b/>
                <w:i/>
                <w:color w:val="000000"/>
                <w:szCs w:val="21"/>
              </w:rPr>
            </w:pPr>
          </w:p>
          <w:p w14:paraId="13B0830A" w14:textId="77777777" w:rsidR="001C2F95" w:rsidRPr="00765B4C" w:rsidRDefault="001C2F95" w:rsidP="00971FD2">
            <w:pPr>
              <w:textAlignment w:val="baseline"/>
              <w:rPr>
                <w:rFonts w:cs="Arial"/>
                <w:b/>
                <w:i/>
                <w:color w:val="000000"/>
                <w:szCs w:val="21"/>
              </w:rPr>
            </w:pPr>
            <w:r w:rsidRPr="00765B4C">
              <w:rPr>
                <w:rFonts w:cs="Arial"/>
                <w:b/>
                <w:i/>
                <w:color w:val="000000"/>
                <w:szCs w:val="21"/>
              </w:rPr>
              <w:t xml:space="preserve">Potentialités </w:t>
            </w:r>
          </w:p>
          <w:p w14:paraId="759FE109" w14:textId="77777777" w:rsidR="001C2F95" w:rsidRPr="00765B4C" w:rsidRDefault="001C2F95" w:rsidP="00971FD2">
            <w:pPr>
              <w:textAlignment w:val="baseline"/>
              <w:rPr>
                <w:rFonts w:cs="Arial"/>
                <w:bCs/>
                <w:szCs w:val="21"/>
              </w:rPr>
            </w:pPr>
            <w:r w:rsidRPr="00765B4C">
              <w:rPr>
                <w:rFonts w:cs="Arial"/>
                <w:b/>
                <w:i/>
                <w:color w:val="000000"/>
                <w:szCs w:val="21"/>
              </w:rPr>
              <w:t xml:space="preserve"> </w:t>
            </w:r>
            <w:r w:rsidRPr="00765B4C">
              <w:rPr>
                <w:rFonts w:cs="Arial"/>
                <w:bCs/>
                <w:szCs w:val="21"/>
              </w:rPr>
              <w:t xml:space="preserve">La flore de la zone du projet comprend les types de forêt cités ci haut. Cette flore constitue un puits de carbone qui contribue à la mitigation des effets des changements climatiques. Tout en servant d’habitat faunique, elle produit de la biomasse ligneuse exploitée industriellement et de manière artisanale. On en tire plusieurs produits forestiers non ligneux (PFNL) comestibles et ayant des vertus thérapeutiques.  </w:t>
            </w:r>
          </w:p>
          <w:p w14:paraId="1188FE46" w14:textId="77777777" w:rsidR="001C2F95" w:rsidRPr="00765B4C" w:rsidRDefault="001C2F95" w:rsidP="00971FD2">
            <w:pPr>
              <w:textAlignment w:val="baseline"/>
              <w:rPr>
                <w:rFonts w:cs="Arial"/>
                <w:bCs/>
                <w:szCs w:val="21"/>
              </w:rPr>
            </w:pPr>
            <w:r w:rsidRPr="00765B4C">
              <w:rPr>
                <w:rFonts w:cs="Arial"/>
                <w:bCs/>
                <w:szCs w:val="21"/>
              </w:rPr>
              <w:t xml:space="preserve"> </w:t>
            </w:r>
          </w:p>
          <w:p w14:paraId="4F8F7B67" w14:textId="77777777" w:rsidR="001C2F95" w:rsidRPr="00765B4C" w:rsidRDefault="001C2F95" w:rsidP="00971FD2">
            <w:pPr>
              <w:textAlignment w:val="baseline"/>
              <w:rPr>
                <w:rFonts w:cs="Arial"/>
                <w:bCs/>
                <w:szCs w:val="21"/>
              </w:rPr>
            </w:pPr>
            <w:r w:rsidRPr="00765B4C">
              <w:rPr>
                <w:rFonts w:cs="Arial"/>
                <w:bCs/>
                <w:szCs w:val="21"/>
              </w:rPr>
              <w:t xml:space="preserve">Tels que décrit ci-haut, la faune du Bas-Congo est riche et diversifiée, de ce fait on remarque une présence continuelle de la viande de gibiers, surtout sous forme boucanée dans le marché de la viande de brousse de Boma. </w:t>
            </w:r>
          </w:p>
          <w:p w14:paraId="4E7DEC31" w14:textId="77777777" w:rsidR="001C2F95" w:rsidRPr="00765B4C" w:rsidRDefault="001C2F95" w:rsidP="00971FD2">
            <w:pPr>
              <w:textAlignment w:val="baseline"/>
              <w:rPr>
                <w:rFonts w:cs="Arial"/>
                <w:bCs/>
                <w:szCs w:val="21"/>
              </w:rPr>
            </w:pPr>
            <w:r w:rsidRPr="00765B4C">
              <w:rPr>
                <w:rFonts w:cs="Arial"/>
                <w:bCs/>
                <w:szCs w:val="21"/>
              </w:rPr>
              <w:t xml:space="preserve"> </w:t>
            </w:r>
          </w:p>
          <w:p w14:paraId="4FDB0278" w14:textId="77777777" w:rsidR="001C2F95" w:rsidRPr="00765B4C" w:rsidRDefault="001C2F95" w:rsidP="00971FD2">
            <w:pPr>
              <w:textAlignment w:val="baseline"/>
              <w:rPr>
                <w:rFonts w:cs="Arial"/>
                <w:b/>
                <w:i/>
                <w:color w:val="000000"/>
                <w:szCs w:val="21"/>
              </w:rPr>
            </w:pPr>
            <w:r w:rsidRPr="00765B4C">
              <w:rPr>
                <w:rFonts w:cs="Arial"/>
                <w:bCs/>
                <w:szCs w:val="21"/>
              </w:rPr>
              <w:t>La population du Kongo Central consomme toutes les espèces animales comestibles de son écosystème: oiseaux, reptiles, invertébrés (escargots, insectes, larves d’insectes, chenilles, etc.).</w:t>
            </w:r>
            <w:r w:rsidRPr="00765B4C">
              <w:rPr>
                <w:rFonts w:cs="Arial"/>
                <w:b/>
                <w:i/>
                <w:color w:val="000000"/>
                <w:szCs w:val="21"/>
              </w:rPr>
              <w:t xml:space="preserve"> </w:t>
            </w:r>
          </w:p>
          <w:p w14:paraId="1FFA9A4D" w14:textId="77777777" w:rsidR="001C2F95" w:rsidRPr="00765B4C" w:rsidRDefault="001C2F95" w:rsidP="00971FD2">
            <w:pPr>
              <w:textAlignment w:val="baseline"/>
              <w:rPr>
                <w:rFonts w:cs="Arial"/>
                <w:b/>
                <w:i/>
                <w:color w:val="000000"/>
                <w:szCs w:val="21"/>
              </w:rPr>
            </w:pPr>
          </w:p>
          <w:p w14:paraId="6BFE343E" w14:textId="77777777" w:rsidR="001C2F95" w:rsidRPr="00765B4C" w:rsidRDefault="001C2F95" w:rsidP="00971FD2">
            <w:pPr>
              <w:textAlignment w:val="baseline"/>
              <w:rPr>
                <w:rFonts w:cs="Arial"/>
                <w:b/>
                <w:i/>
                <w:color w:val="000000"/>
                <w:szCs w:val="21"/>
              </w:rPr>
            </w:pPr>
            <w:r w:rsidRPr="00765B4C">
              <w:rPr>
                <w:rFonts w:cs="Arial"/>
                <w:b/>
                <w:i/>
                <w:color w:val="000000"/>
                <w:szCs w:val="21"/>
              </w:rPr>
              <w:t xml:space="preserve">Menaces </w:t>
            </w:r>
          </w:p>
          <w:p w14:paraId="1227182D" w14:textId="77777777" w:rsidR="001C2F95" w:rsidRPr="00765B4C" w:rsidRDefault="001C2F95" w:rsidP="00971FD2">
            <w:pPr>
              <w:textAlignment w:val="baseline"/>
              <w:rPr>
                <w:rFonts w:cs="Arial"/>
                <w:bCs/>
                <w:szCs w:val="21"/>
              </w:rPr>
            </w:pPr>
            <w:r w:rsidRPr="00765B4C">
              <w:rPr>
                <w:rFonts w:cs="Arial"/>
                <w:bCs/>
                <w:szCs w:val="21"/>
              </w:rPr>
              <w:t xml:space="preserve">Menace de la flore par l’agriculture : C’est la première activité destructrice des écosystèmes parce que toutes les populations rurales et même citadines y font recours pour leur survie. Les différentes pratiques agricoles non durables, avec de temps de jachère courte et l’utilisation des produits phytosanitaires entrainent une dégradation du sol jusqu’à son appauvrissement. </w:t>
            </w:r>
          </w:p>
          <w:p w14:paraId="00D72E53" w14:textId="77777777" w:rsidR="001C2F95" w:rsidRPr="00765B4C" w:rsidRDefault="001C2F95" w:rsidP="00971FD2">
            <w:pPr>
              <w:textAlignment w:val="baseline"/>
              <w:rPr>
                <w:rFonts w:cs="Arial"/>
                <w:bCs/>
                <w:szCs w:val="21"/>
              </w:rPr>
            </w:pPr>
            <w:r w:rsidRPr="00765B4C">
              <w:rPr>
                <w:rFonts w:cs="Arial"/>
                <w:bCs/>
                <w:szCs w:val="21"/>
              </w:rPr>
              <w:t xml:space="preserve"> </w:t>
            </w:r>
          </w:p>
          <w:p w14:paraId="5A18CD90" w14:textId="77777777" w:rsidR="001C2F95" w:rsidRPr="00765B4C" w:rsidRDefault="001C2F95" w:rsidP="00971FD2">
            <w:pPr>
              <w:textAlignment w:val="baseline"/>
              <w:rPr>
                <w:rFonts w:cs="Arial"/>
                <w:bCs/>
                <w:szCs w:val="21"/>
              </w:rPr>
            </w:pPr>
            <w:r w:rsidRPr="00765B4C">
              <w:rPr>
                <w:rFonts w:cs="Arial"/>
                <w:bCs/>
                <w:szCs w:val="21"/>
              </w:rPr>
              <w:t xml:space="preserve">Menace de la faune et flore par le feu de brousse : il est utilisé comme moyen de chasse de petits gibiers, mais surtout pour la culture sur brûlis. Cette pratique détruit toutes les ressources naturelles fauniques et floristiques sur son passage. Cette pratique est la plus destructrice de l’ensemble des habitats fauniques, même des espèces vivant dans le sol.  </w:t>
            </w:r>
          </w:p>
          <w:p w14:paraId="0492FBFD" w14:textId="77777777" w:rsidR="001C2F95" w:rsidRPr="00765B4C" w:rsidRDefault="001C2F95" w:rsidP="00971FD2">
            <w:pPr>
              <w:textAlignment w:val="baseline"/>
              <w:rPr>
                <w:rFonts w:cs="Arial"/>
                <w:bCs/>
                <w:szCs w:val="21"/>
              </w:rPr>
            </w:pPr>
            <w:r w:rsidRPr="00765B4C">
              <w:rPr>
                <w:rFonts w:cs="Arial"/>
                <w:b/>
                <w:i/>
                <w:color w:val="000000"/>
                <w:szCs w:val="21"/>
              </w:rPr>
              <w:t xml:space="preserve"> </w:t>
            </w:r>
            <w:r w:rsidRPr="00765B4C">
              <w:rPr>
                <w:rFonts w:cs="Arial"/>
                <w:bCs/>
                <w:szCs w:val="21"/>
              </w:rPr>
              <w:t xml:space="preserve"> </w:t>
            </w:r>
          </w:p>
          <w:p w14:paraId="15D9BC5B" w14:textId="77777777" w:rsidR="001C2F95" w:rsidRPr="00765B4C" w:rsidRDefault="001C2F95" w:rsidP="00971FD2">
            <w:pPr>
              <w:textAlignment w:val="baseline"/>
              <w:rPr>
                <w:rFonts w:cs="Arial"/>
                <w:bCs/>
                <w:szCs w:val="21"/>
              </w:rPr>
            </w:pPr>
            <w:r w:rsidRPr="00765B4C">
              <w:rPr>
                <w:rFonts w:cs="Arial"/>
                <w:bCs/>
                <w:szCs w:val="21"/>
              </w:rPr>
              <w:t>Menaces dues aux activités minières En détruisant l’écosystème forestier, les activités minières artisanales contribuent à la modification du climat et peuvent exposer le sol à l’érosion hydrique. Par ricochet, elles affectent l’habitat faunique mettant en péril certaines espèces protégées.</w:t>
            </w:r>
          </w:p>
          <w:p w14:paraId="5D1B9F50" w14:textId="77777777" w:rsidR="001C2F95" w:rsidRPr="00765B4C" w:rsidRDefault="001C2F95" w:rsidP="00971FD2">
            <w:pPr>
              <w:textAlignment w:val="baseline"/>
              <w:rPr>
                <w:rFonts w:cs="Arial"/>
                <w:bCs/>
                <w:szCs w:val="21"/>
              </w:rPr>
            </w:pPr>
          </w:p>
          <w:p w14:paraId="07BB9902" w14:textId="77777777" w:rsidR="001C2F95" w:rsidRPr="00765B4C" w:rsidRDefault="001C2F95" w:rsidP="00971FD2">
            <w:pPr>
              <w:textAlignment w:val="baseline"/>
              <w:rPr>
                <w:rFonts w:cs="Arial"/>
                <w:bCs/>
                <w:szCs w:val="21"/>
              </w:rPr>
            </w:pPr>
            <w:r w:rsidRPr="00765B4C">
              <w:rPr>
                <w:rFonts w:cs="Arial"/>
                <w:bCs/>
                <w:szCs w:val="21"/>
              </w:rPr>
              <w:t xml:space="preserve">Le prélèvement anarchique d’espèces animales comestibles dans le Kongo Central, surtout dans le territoire de Lukula et celui de Boma se fait par la chasse. La chasse affecte généralement la population des mammifères herbivores. En plus, elle concerne la capture d’oiseaux, des reptiles et des invertébrés comestibles (mollusques, insectes, etc.). Cette situation est accentuée parce que le commerce des gibiers et d’autres animaux est florissant dans cette zone.  </w:t>
            </w:r>
          </w:p>
          <w:p w14:paraId="331D6E70" w14:textId="77777777" w:rsidR="003142D9" w:rsidRDefault="003142D9" w:rsidP="00971FD2">
            <w:pPr>
              <w:textAlignment w:val="baseline"/>
              <w:rPr>
                <w:rFonts w:cs="Arial"/>
                <w:b/>
                <w:i/>
                <w:color w:val="000000"/>
                <w:szCs w:val="21"/>
              </w:rPr>
            </w:pPr>
          </w:p>
          <w:p w14:paraId="42E98624" w14:textId="0B227E01" w:rsidR="001C2F95" w:rsidRPr="00765B4C" w:rsidRDefault="001C2F95" w:rsidP="00971FD2">
            <w:pPr>
              <w:textAlignment w:val="baseline"/>
              <w:rPr>
                <w:rFonts w:cs="Arial"/>
                <w:b/>
                <w:i/>
                <w:color w:val="000000"/>
                <w:szCs w:val="21"/>
              </w:rPr>
            </w:pPr>
            <w:r w:rsidRPr="00765B4C">
              <w:rPr>
                <w:rFonts w:cs="Arial"/>
                <w:b/>
                <w:i/>
                <w:color w:val="000000"/>
                <w:szCs w:val="21"/>
              </w:rPr>
              <w:t xml:space="preserve">Ressources aquatiques (Faune aquatique) </w:t>
            </w:r>
          </w:p>
          <w:p w14:paraId="13CBF78F" w14:textId="4548B27F" w:rsidR="001C2F95" w:rsidRPr="00765B4C" w:rsidRDefault="001C2F95" w:rsidP="00971FD2">
            <w:pPr>
              <w:textAlignment w:val="baseline"/>
              <w:rPr>
                <w:rFonts w:cs="Arial"/>
                <w:bCs/>
                <w:szCs w:val="21"/>
              </w:rPr>
            </w:pPr>
            <w:r w:rsidRPr="00765B4C">
              <w:rPr>
                <w:rFonts w:cs="Arial"/>
                <w:bCs/>
                <w:szCs w:val="21"/>
              </w:rPr>
              <w:t>La Province du Kongo Central regorge d’importantes ressources aquatiques dans ses différentes rivières, fleuve et l’océan qui le borde.  Ces ressources sont exploitées de manière artisanale pour couvrir le besoin en protéines animales. La pisciculture dans cette zone n’est pas assez développée, malgré la présence de la société congolaise de pêche. Les espèces couramment vendues sur le marché dans cette zone sont : le capitaine, le Tilapia, le Silure chat, le Ngassia, le Mayoli, etc.</w:t>
            </w:r>
          </w:p>
          <w:p w14:paraId="12E4F2AF" w14:textId="77777777" w:rsidR="001C2F95" w:rsidRPr="00765B4C" w:rsidRDefault="001C2F95" w:rsidP="00971FD2">
            <w:pPr>
              <w:textAlignment w:val="baseline"/>
              <w:rPr>
                <w:rFonts w:cs="Arial"/>
                <w:b/>
                <w:i/>
                <w:color w:val="000000"/>
                <w:szCs w:val="21"/>
              </w:rPr>
            </w:pPr>
          </w:p>
          <w:p w14:paraId="743ECCDB" w14:textId="77777777" w:rsidR="001C2F95" w:rsidRPr="00765B4C" w:rsidRDefault="001C2F95" w:rsidP="00971FD2">
            <w:pPr>
              <w:textAlignment w:val="baseline"/>
              <w:rPr>
                <w:rFonts w:cs="Arial"/>
                <w:b/>
                <w:i/>
                <w:color w:val="000000"/>
                <w:szCs w:val="21"/>
              </w:rPr>
            </w:pPr>
            <w:r w:rsidRPr="00765B4C">
              <w:rPr>
                <w:rFonts w:cs="Arial"/>
                <w:b/>
                <w:i/>
                <w:color w:val="000000"/>
                <w:szCs w:val="21"/>
              </w:rPr>
              <w:t>Végétation</w:t>
            </w:r>
          </w:p>
          <w:p w14:paraId="2845F0FC" w14:textId="77777777" w:rsidR="001C2F95" w:rsidRPr="00765B4C" w:rsidRDefault="001C2F95" w:rsidP="00971FD2">
            <w:pPr>
              <w:textAlignment w:val="baseline"/>
              <w:rPr>
                <w:rFonts w:cs="Arial"/>
                <w:color w:val="000000"/>
                <w:szCs w:val="21"/>
              </w:rPr>
            </w:pPr>
            <w:r w:rsidRPr="00765B4C">
              <w:rPr>
                <w:rFonts w:cs="Arial"/>
                <w:color w:val="000000"/>
                <w:szCs w:val="21"/>
              </w:rPr>
              <w:t>La végétation du Kongo Central comprend trois types de formation naturelle distincts :</w:t>
            </w:r>
          </w:p>
          <w:p w14:paraId="1E3ABE1A" w14:textId="77777777" w:rsidR="001C2F95" w:rsidRPr="00765B4C" w:rsidRDefault="001C2F95" w:rsidP="00971FD2">
            <w:pPr>
              <w:textAlignment w:val="baseline"/>
              <w:rPr>
                <w:rFonts w:cs="Arial"/>
                <w:color w:val="000000"/>
                <w:szCs w:val="21"/>
              </w:rPr>
            </w:pPr>
          </w:p>
          <w:p w14:paraId="4E9BBB05" w14:textId="77777777" w:rsidR="001C2F95" w:rsidRPr="00765B4C" w:rsidRDefault="001C2F95" w:rsidP="002378EA">
            <w:pPr>
              <w:pStyle w:val="Paragraphedeliste"/>
              <w:numPr>
                <w:ilvl w:val="0"/>
                <w:numId w:val="43"/>
              </w:numPr>
              <w:rPr>
                <w:rFonts w:cs="Arial"/>
                <w:szCs w:val="21"/>
              </w:rPr>
            </w:pPr>
            <w:r w:rsidRPr="00765B4C">
              <w:rPr>
                <w:rFonts w:cs="Arial"/>
                <w:szCs w:val="21"/>
              </w:rPr>
              <w:t>L'hinterland côtier ou le littoral, caractérisé par une végétation de mangroves dans les terrains marécageux de l'embouchure du Fleuve Congo et de steppes dans les plateaux dominant la côte de Moanda ;</w:t>
            </w:r>
          </w:p>
          <w:p w14:paraId="476284E9" w14:textId="77777777" w:rsidR="001C2F95" w:rsidRPr="00765B4C" w:rsidRDefault="001C2F95" w:rsidP="002378EA">
            <w:pPr>
              <w:pStyle w:val="Paragraphedeliste"/>
              <w:numPr>
                <w:ilvl w:val="0"/>
                <w:numId w:val="43"/>
              </w:numPr>
              <w:rPr>
                <w:rFonts w:cs="Arial"/>
                <w:szCs w:val="21"/>
              </w:rPr>
            </w:pPr>
            <w:r w:rsidRPr="00765B4C">
              <w:rPr>
                <w:rFonts w:cs="Arial"/>
                <w:szCs w:val="21"/>
              </w:rPr>
              <w:t>Le Territoire du Bas-Fleuve recouverte par la forêt sur toute son étendue ;</w:t>
            </w:r>
          </w:p>
          <w:p w14:paraId="2991AD2C" w14:textId="77777777" w:rsidR="001C2F95" w:rsidRPr="00765B4C" w:rsidRDefault="001C2F95" w:rsidP="002378EA">
            <w:pPr>
              <w:pStyle w:val="Paragraphedeliste"/>
              <w:numPr>
                <w:ilvl w:val="0"/>
                <w:numId w:val="43"/>
              </w:numPr>
              <w:rPr>
                <w:rFonts w:cs="Arial"/>
                <w:color w:val="000000"/>
                <w:szCs w:val="21"/>
              </w:rPr>
            </w:pPr>
            <w:r w:rsidRPr="00765B4C">
              <w:rPr>
                <w:rFonts w:cs="Arial"/>
                <w:szCs w:val="21"/>
              </w:rPr>
              <w:t xml:space="preserve">Le Territoire des Cataractes et de la Lukaya, lesquels, malgré une forte pluviosité, correspondent à une région de savane entrecoupée par des lambeaux de forêt. </w:t>
            </w:r>
          </w:p>
          <w:p w14:paraId="54AD323F" w14:textId="77777777" w:rsidR="001C2F95" w:rsidRPr="00765B4C" w:rsidRDefault="001C2F95" w:rsidP="00971FD2">
            <w:pPr>
              <w:pStyle w:val="Paragraphedeliste"/>
              <w:rPr>
                <w:rFonts w:cs="Arial"/>
                <w:color w:val="000000"/>
                <w:szCs w:val="21"/>
              </w:rPr>
            </w:pPr>
          </w:p>
          <w:p w14:paraId="136D7CBF" w14:textId="77777777" w:rsidR="001C2F95" w:rsidRPr="00765B4C" w:rsidRDefault="001C2F95" w:rsidP="00971FD2">
            <w:pPr>
              <w:textAlignment w:val="baseline"/>
              <w:rPr>
                <w:rFonts w:cs="Arial"/>
                <w:bCs/>
                <w:szCs w:val="21"/>
              </w:rPr>
            </w:pPr>
            <w:r w:rsidRPr="00765B4C">
              <w:rPr>
                <w:rFonts w:cs="Arial"/>
                <w:color w:val="000000"/>
                <w:szCs w:val="21"/>
              </w:rPr>
              <w:t> </w:t>
            </w:r>
            <w:r w:rsidRPr="00765B4C">
              <w:rPr>
                <w:rFonts w:cs="Arial"/>
                <w:bCs/>
                <w:szCs w:val="21"/>
              </w:rPr>
              <w:t xml:space="preserve">Menace de la flore par le prélèvement du bois de chauffe La production de charbon de bois et l’exploitation artisanale du bois dans la province par les paysans est dictée par le besoin en : </w:t>
            </w:r>
          </w:p>
          <w:p w14:paraId="6A576767" w14:textId="77777777" w:rsidR="001C2F95" w:rsidRPr="00765B4C" w:rsidRDefault="001C2F95" w:rsidP="00971FD2">
            <w:pPr>
              <w:textAlignment w:val="baseline"/>
              <w:rPr>
                <w:rFonts w:cs="Arial"/>
                <w:b/>
                <w:i/>
                <w:color w:val="000000"/>
                <w:szCs w:val="21"/>
              </w:rPr>
            </w:pPr>
            <w:r w:rsidRPr="00765B4C">
              <w:rPr>
                <w:rFonts w:cs="Arial"/>
                <w:b/>
                <w:i/>
                <w:color w:val="000000"/>
                <w:szCs w:val="21"/>
              </w:rPr>
              <w:t xml:space="preserve"> </w:t>
            </w:r>
          </w:p>
          <w:p w14:paraId="3626C737" w14:textId="77777777" w:rsidR="001C2F95" w:rsidRPr="00765B4C" w:rsidRDefault="001C2F95" w:rsidP="002378EA">
            <w:pPr>
              <w:pStyle w:val="Paragraphedeliste"/>
              <w:numPr>
                <w:ilvl w:val="0"/>
                <w:numId w:val="43"/>
              </w:numPr>
              <w:textAlignment w:val="baseline"/>
              <w:rPr>
                <w:rFonts w:cs="Arial"/>
                <w:bCs/>
                <w:szCs w:val="21"/>
              </w:rPr>
            </w:pPr>
            <w:r w:rsidRPr="00765B4C">
              <w:rPr>
                <w:rFonts w:cs="Arial"/>
                <w:bCs/>
                <w:szCs w:val="21"/>
              </w:rPr>
              <w:t>bois de chauffe et en charbon de bois pour la cuisson des aliments et le chauffage, sans oublier les sticks de bois pour la construction des cases ; - bois d’œuvre (utilisé principalement pour fabriquer  des planches pour les meubles, chevrons, madriers et poutre pour la construction des maisons, chevrons : les pirogues, les meubles, le mortier, la construction des maisons, etc.) ;</w:t>
            </w:r>
          </w:p>
          <w:p w14:paraId="08B558EF" w14:textId="77777777" w:rsidR="001C2F95" w:rsidRPr="00765B4C" w:rsidRDefault="001C2F95" w:rsidP="002378EA">
            <w:pPr>
              <w:pStyle w:val="Paragraphedeliste"/>
              <w:numPr>
                <w:ilvl w:val="0"/>
                <w:numId w:val="43"/>
              </w:numPr>
              <w:textAlignment w:val="baseline"/>
              <w:rPr>
                <w:rFonts w:cs="Arial"/>
                <w:bCs/>
                <w:szCs w:val="21"/>
              </w:rPr>
            </w:pPr>
            <w:r w:rsidRPr="00765B4C">
              <w:rPr>
                <w:rFonts w:cs="Arial"/>
                <w:bCs/>
                <w:szCs w:val="21"/>
              </w:rPr>
              <w:t xml:space="preserve">Les conséquences de ces usages du bois sont la perte de la biodiversité et l’épuisement du stock de la biomasse ligneuse qui se caractérise par la dégradation forestière remarquable en divers lieux. </w:t>
            </w:r>
          </w:p>
          <w:p w14:paraId="30217509" w14:textId="77777777" w:rsidR="001C2F95" w:rsidRPr="00765B4C" w:rsidRDefault="001C2F95" w:rsidP="00971FD2">
            <w:pPr>
              <w:textAlignment w:val="baseline"/>
              <w:rPr>
                <w:rFonts w:cs="Arial"/>
                <w:bCs/>
                <w:szCs w:val="21"/>
              </w:rPr>
            </w:pPr>
            <w:r w:rsidRPr="00765B4C">
              <w:rPr>
                <w:rFonts w:cs="Arial"/>
                <w:bCs/>
                <w:szCs w:val="21"/>
              </w:rPr>
              <w:t xml:space="preserve"> </w:t>
            </w:r>
          </w:p>
          <w:p w14:paraId="0E939431" w14:textId="77777777" w:rsidR="001C2F95" w:rsidRPr="00765B4C" w:rsidRDefault="001C2F95" w:rsidP="00971FD2">
            <w:pPr>
              <w:textAlignment w:val="baseline"/>
              <w:rPr>
                <w:rFonts w:cs="Arial"/>
                <w:bCs/>
                <w:szCs w:val="21"/>
              </w:rPr>
            </w:pPr>
            <w:r w:rsidRPr="00765B4C">
              <w:rPr>
                <w:rFonts w:cs="Arial"/>
                <w:bCs/>
                <w:szCs w:val="21"/>
              </w:rPr>
              <w:t>Outre le prélèvement anarchique du bois par les artisanaux, l’occasion faisant le larron, ces exploitants artisanaux qui œuvrent exclusivement dans les forêts, en profitent pour faire la chasse, la cueillette, les pièges aux gibiers et le ramassage pour se nourrir pendant les heures des travaux.</w:t>
            </w:r>
          </w:p>
          <w:p w14:paraId="4EA8DEF0" w14:textId="77777777" w:rsidR="00A251AF" w:rsidRPr="00765B4C" w:rsidRDefault="00A251AF" w:rsidP="00971FD2">
            <w:pPr>
              <w:textAlignment w:val="baseline"/>
              <w:rPr>
                <w:rFonts w:cs="Arial"/>
                <w:color w:val="000000"/>
                <w:szCs w:val="21"/>
              </w:rPr>
            </w:pPr>
            <w:r w:rsidRPr="00765B4C">
              <w:rPr>
                <w:rFonts w:cs="Arial"/>
                <w:bCs/>
                <w:szCs w:val="21"/>
              </w:rPr>
              <w:t xml:space="preserve">Le PNDA devra s’assurer qu’aucun espace forestier ne soit converti </w:t>
            </w:r>
            <w:r w:rsidR="00D51E1B" w:rsidRPr="00765B4C">
              <w:rPr>
                <w:rFonts w:cs="Arial"/>
                <w:bCs/>
                <w:szCs w:val="21"/>
              </w:rPr>
              <w:t>en espace agricole.</w:t>
            </w:r>
          </w:p>
          <w:p w14:paraId="3F7D6D70" w14:textId="77777777" w:rsidR="001C2F95" w:rsidRPr="00765B4C" w:rsidRDefault="001C2F95" w:rsidP="00971FD2">
            <w:pPr>
              <w:textAlignment w:val="baseline"/>
              <w:rPr>
                <w:rFonts w:cs="Arial"/>
                <w:i/>
                <w:color w:val="000000"/>
                <w:szCs w:val="21"/>
              </w:rPr>
            </w:pPr>
            <w:r w:rsidRPr="00765B4C">
              <w:rPr>
                <w:rFonts w:cs="Arial"/>
                <w:i/>
                <w:color w:val="000000"/>
                <w:szCs w:val="21"/>
              </w:rPr>
              <w:t>Source : Centre d’analyse des indicateurs du Développement (CAID)</w:t>
            </w:r>
          </w:p>
          <w:p w14:paraId="49DC29C5" w14:textId="77777777" w:rsidR="00EB7F94" w:rsidRPr="00765B4C" w:rsidRDefault="00EB7F94" w:rsidP="00971FD2">
            <w:pPr>
              <w:textAlignment w:val="baseline"/>
              <w:rPr>
                <w:rFonts w:cs="Arial"/>
                <w:i/>
                <w:color w:val="000000"/>
                <w:szCs w:val="21"/>
              </w:rPr>
            </w:pPr>
          </w:p>
        </w:tc>
      </w:tr>
      <w:tr w:rsidR="001C2F95" w:rsidRPr="001857F5" w14:paraId="75C07AAB"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613AECC8" w14:textId="77777777" w:rsidR="001C2F95" w:rsidRPr="00765B4C" w:rsidRDefault="001C2F95" w:rsidP="00971FD2">
            <w:pPr>
              <w:rPr>
                <w:rFonts w:eastAsia="Calibri" w:cs="Arial"/>
                <w:b/>
                <w:szCs w:val="21"/>
              </w:rPr>
            </w:pPr>
            <w:r w:rsidRPr="00765B4C">
              <w:rPr>
                <w:rFonts w:eastAsia="Calibri" w:cs="Arial"/>
                <w:b/>
                <w:szCs w:val="21"/>
              </w:rPr>
              <w:t>Populations</w:t>
            </w:r>
          </w:p>
        </w:tc>
        <w:tc>
          <w:tcPr>
            <w:tcW w:w="11287" w:type="dxa"/>
            <w:tcBorders>
              <w:top w:val="single" w:sz="4" w:space="0" w:color="000001"/>
              <w:left w:val="single" w:sz="4" w:space="0" w:color="000001"/>
              <w:bottom w:val="single" w:sz="4" w:space="0" w:color="000001"/>
              <w:right w:val="single" w:sz="4" w:space="0" w:color="000001"/>
            </w:tcBorders>
          </w:tcPr>
          <w:p w14:paraId="2C9A9D2F" w14:textId="77777777" w:rsidR="001C2F95" w:rsidRPr="00765B4C" w:rsidRDefault="001C2F95" w:rsidP="00971FD2">
            <w:pPr>
              <w:textAlignment w:val="baseline"/>
              <w:rPr>
                <w:rFonts w:cs="Arial"/>
                <w:b/>
                <w:i/>
                <w:color w:val="000000"/>
                <w:szCs w:val="21"/>
              </w:rPr>
            </w:pPr>
            <w:r w:rsidRPr="00765B4C">
              <w:rPr>
                <w:rFonts w:cs="Arial"/>
                <w:b/>
                <w:i/>
                <w:color w:val="000000"/>
                <w:szCs w:val="21"/>
              </w:rPr>
              <w:t xml:space="preserve">Caractéristiques démographiques </w:t>
            </w:r>
          </w:p>
          <w:p w14:paraId="428CD676" w14:textId="77777777" w:rsidR="001C2F95" w:rsidRPr="00765B4C" w:rsidRDefault="001C2F95" w:rsidP="00971FD2">
            <w:pPr>
              <w:textAlignment w:val="baseline"/>
              <w:rPr>
                <w:rFonts w:cs="Arial"/>
                <w:color w:val="000000"/>
                <w:szCs w:val="21"/>
              </w:rPr>
            </w:pPr>
            <w:r w:rsidRPr="00765B4C">
              <w:rPr>
                <w:rFonts w:cs="Arial"/>
                <w:color w:val="000000"/>
                <w:szCs w:val="21"/>
              </w:rPr>
              <w:t>La population du Kongo Central est estimée à 5 575 000 habitants en 2016 dont 2 508 750 Hommes (45 %) et 3 066 250 Femmes (55 %) selon les projections de l’Institut National de la Statistique (INS) en 2015. Cette population est relativement jeune (53 %).  Sur le plan social, la situation des ménages se présente comme suit : 44,9 % mariés, 16 % en union libre, 4,8 % divorcés, 9 % veufs/veuves et 25,3 % célibataires selon le rapport de l’Enquête 1-2-3, 2012 de l’INS/RDC.</w:t>
            </w:r>
          </w:p>
          <w:p w14:paraId="300C4429" w14:textId="77777777" w:rsidR="001C2F95" w:rsidRPr="00765B4C" w:rsidRDefault="001C2F95" w:rsidP="00971FD2">
            <w:pPr>
              <w:textAlignment w:val="baseline"/>
              <w:rPr>
                <w:rFonts w:cs="Arial"/>
                <w:color w:val="000000"/>
                <w:szCs w:val="21"/>
              </w:rPr>
            </w:pPr>
            <w:r w:rsidRPr="00765B4C">
              <w:rPr>
                <w:rFonts w:cs="Arial"/>
                <w:color w:val="000000"/>
                <w:szCs w:val="21"/>
              </w:rPr>
              <w:t xml:space="preserve"> </w:t>
            </w:r>
          </w:p>
          <w:p w14:paraId="619FA3D2" w14:textId="77777777" w:rsidR="001C2F95" w:rsidRPr="00765B4C" w:rsidRDefault="001C2F95" w:rsidP="00971FD2">
            <w:pPr>
              <w:textAlignment w:val="baseline"/>
              <w:rPr>
                <w:rFonts w:cs="Arial"/>
                <w:color w:val="000000"/>
                <w:szCs w:val="21"/>
              </w:rPr>
            </w:pPr>
            <w:r w:rsidRPr="00765B4C">
              <w:rPr>
                <w:rFonts w:cs="Arial"/>
                <w:color w:val="000000"/>
                <w:szCs w:val="21"/>
              </w:rPr>
              <w:t xml:space="preserve">La population du Kongo Central venant de tous les coins du Congo, elle parle plusieurs langues. Les langues les plus importantes reflètent la composition de la population. Étant donné que la majorité de la population descend directement du </w:t>
            </w:r>
            <w:hyperlink r:id="rId26" w:history="1">
              <w:r w:rsidRPr="00765B4C">
                <w:rPr>
                  <w:rFonts w:cs="Arial"/>
                  <w:color w:val="000000"/>
                  <w:szCs w:val="21"/>
                </w:rPr>
                <w:t>Royaume Kongo</w:t>
              </w:r>
            </w:hyperlink>
            <w:r w:rsidRPr="00765B4C">
              <w:rPr>
                <w:rFonts w:cs="Arial"/>
                <w:color w:val="000000"/>
                <w:szCs w:val="21"/>
              </w:rPr>
              <w:t xml:space="preserve">, celle-ci parle majoritairement le </w:t>
            </w:r>
            <w:hyperlink r:id="rId27" w:history="1">
              <w:r w:rsidRPr="00765B4C">
                <w:rPr>
                  <w:rFonts w:cs="Arial"/>
                  <w:color w:val="000000"/>
                  <w:szCs w:val="21"/>
                </w:rPr>
                <w:t>Kikongo</w:t>
              </w:r>
            </w:hyperlink>
            <w:r w:rsidRPr="00765B4C">
              <w:rPr>
                <w:rFonts w:cs="Arial"/>
                <w:color w:val="000000"/>
                <w:szCs w:val="21"/>
              </w:rPr>
              <w:t xml:space="preserve"> ou ses dialectes (kiyombe, kimanianga, kindibu, kintandu, kilemfu, etc.). Le Kikongo est la langue principale de la culture populaire, de la musique, des églises, du théâtre populaire, etc. Le </w:t>
            </w:r>
            <w:hyperlink r:id="rId28" w:history="1">
              <w:r w:rsidRPr="00765B4C">
                <w:rPr>
                  <w:rFonts w:cs="Arial"/>
                  <w:color w:val="000000"/>
                  <w:szCs w:val="21"/>
                </w:rPr>
                <w:t>Lingala</w:t>
              </w:r>
            </w:hyperlink>
            <w:r w:rsidRPr="00765B4C">
              <w:rPr>
                <w:rFonts w:cs="Arial"/>
                <w:color w:val="000000"/>
                <w:szCs w:val="21"/>
              </w:rPr>
              <w:t xml:space="preserve"> reste aussi une des langues que l'on parle dans le Kongo Central.</w:t>
            </w:r>
          </w:p>
          <w:p w14:paraId="445CA1B4" w14:textId="77777777" w:rsidR="001C2F95" w:rsidRPr="00765B4C" w:rsidRDefault="001C2F95" w:rsidP="00971FD2">
            <w:pPr>
              <w:textAlignment w:val="baseline"/>
              <w:rPr>
                <w:rFonts w:cs="Arial"/>
                <w:color w:val="000000"/>
                <w:szCs w:val="21"/>
              </w:rPr>
            </w:pPr>
          </w:p>
          <w:p w14:paraId="30B45E3E" w14:textId="77777777" w:rsidR="001C2F95" w:rsidRPr="00765B4C" w:rsidRDefault="001C2F95" w:rsidP="00971FD2">
            <w:pPr>
              <w:textAlignment w:val="baseline"/>
              <w:rPr>
                <w:rFonts w:cs="Arial"/>
                <w:color w:val="000000"/>
                <w:szCs w:val="21"/>
              </w:rPr>
            </w:pPr>
            <w:r w:rsidRPr="00765B4C">
              <w:rPr>
                <w:rFonts w:cs="Arial"/>
                <w:color w:val="000000"/>
                <w:szCs w:val="21"/>
              </w:rPr>
              <w:t>Les Ethnies dominantes (autochtones) des Territoires qui composent la Province du Kongo Central sont : les Yombe, les Tandu, les Ndibu, le Nianga, etc.</w:t>
            </w:r>
          </w:p>
          <w:p w14:paraId="129040ED" w14:textId="77777777" w:rsidR="001C2F95" w:rsidRPr="00765B4C" w:rsidRDefault="001C2F95" w:rsidP="00971FD2">
            <w:pPr>
              <w:textAlignment w:val="baseline"/>
              <w:rPr>
                <w:rFonts w:cs="Arial"/>
                <w:color w:val="000000"/>
                <w:szCs w:val="21"/>
              </w:rPr>
            </w:pPr>
          </w:p>
          <w:p w14:paraId="431773C1" w14:textId="77777777" w:rsidR="001C2F95" w:rsidRPr="00765B4C" w:rsidRDefault="001C2F95" w:rsidP="00971FD2">
            <w:pPr>
              <w:textAlignment w:val="baseline"/>
              <w:rPr>
                <w:rFonts w:cs="Arial"/>
                <w:color w:val="000000"/>
                <w:szCs w:val="21"/>
              </w:rPr>
            </w:pPr>
            <w:r w:rsidRPr="00765B4C">
              <w:rPr>
                <w:rFonts w:cs="Arial"/>
                <w:color w:val="000000"/>
                <w:szCs w:val="21"/>
              </w:rPr>
              <w:t>Il sied de noter que les peuples autochtones ne sont pas signalés dans la Province du Kongo Central.</w:t>
            </w:r>
          </w:p>
        </w:tc>
      </w:tr>
      <w:tr w:rsidR="001C2F95" w:rsidRPr="001857F5" w14:paraId="0973EAB6"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42EDDDD" w14:textId="77777777" w:rsidR="001C2F95" w:rsidRPr="00765B4C" w:rsidRDefault="001C2F95" w:rsidP="00E26735">
            <w:pPr>
              <w:jc w:val="left"/>
              <w:rPr>
                <w:rFonts w:eastAsia="Calibri" w:cs="Arial"/>
                <w:b/>
                <w:szCs w:val="21"/>
              </w:rPr>
            </w:pPr>
            <w:r w:rsidRPr="00765B4C">
              <w:rPr>
                <w:rFonts w:eastAsia="Calibri" w:cs="Arial"/>
                <w:b/>
                <w:szCs w:val="21"/>
              </w:rPr>
              <w:t>Violences Basées sur le Genre (VBG)</w:t>
            </w:r>
          </w:p>
        </w:tc>
        <w:tc>
          <w:tcPr>
            <w:tcW w:w="11287" w:type="dxa"/>
            <w:tcBorders>
              <w:top w:val="single" w:sz="4" w:space="0" w:color="000001"/>
              <w:left w:val="single" w:sz="4" w:space="0" w:color="000001"/>
              <w:bottom w:val="single" w:sz="4" w:space="0" w:color="000001"/>
              <w:right w:val="single" w:sz="4" w:space="0" w:color="000001"/>
            </w:tcBorders>
          </w:tcPr>
          <w:p w14:paraId="45026F48" w14:textId="77777777" w:rsidR="001C2F95" w:rsidRPr="00765B4C" w:rsidRDefault="001C2F95" w:rsidP="00971FD2">
            <w:pPr>
              <w:textAlignment w:val="baseline"/>
              <w:rPr>
                <w:rFonts w:cs="Arial"/>
                <w:b/>
                <w:i/>
                <w:color w:val="000000"/>
                <w:szCs w:val="21"/>
              </w:rPr>
            </w:pPr>
            <w:r w:rsidRPr="00765B4C">
              <w:rPr>
                <w:rFonts w:cs="Arial"/>
                <w:color w:val="000000"/>
                <w:szCs w:val="21"/>
              </w:rPr>
              <w:t xml:space="preserve">En ce qui concerne les violences physiques </w:t>
            </w:r>
            <w:r w:rsidR="00971FD2" w:rsidRPr="00765B4C">
              <w:rPr>
                <w:rFonts w:cs="Arial"/>
                <w:b/>
                <w:i/>
                <w:color w:val="000000"/>
                <w:szCs w:val="21"/>
              </w:rPr>
              <w:t xml:space="preserve">l’Enquête Démographique et Sanitaire de la RDC (2013-2014) indique que </w:t>
            </w:r>
            <w:r w:rsidRPr="00765B4C">
              <w:rPr>
                <w:rFonts w:cs="Arial"/>
                <w:color w:val="000000"/>
                <w:szCs w:val="21"/>
              </w:rPr>
              <w:t xml:space="preserve">le Kongo Central enregistre des taux relativement plus faibles qu’au niveau national, respectivement 47 % et 52 %.  En en ce qui concerne les violences sexuelles, </w:t>
            </w:r>
            <w:r w:rsidR="00971FD2" w:rsidRPr="00765B4C">
              <w:rPr>
                <w:rFonts w:cs="Arial"/>
                <w:b/>
                <w:i/>
                <w:color w:val="000000"/>
                <w:szCs w:val="21"/>
              </w:rPr>
              <w:t>l’EDS_RDC 2013-2114 a montré que</w:t>
            </w:r>
            <w:r w:rsidR="00971FD2" w:rsidRPr="00765B4C">
              <w:rPr>
                <w:rFonts w:cs="Arial"/>
                <w:color w:val="000000"/>
                <w:szCs w:val="21"/>
              </w:rPr>
              <w:t xml:space="preserve"> </w:t>
            </w:r>
            <w:r w:rsidRPr="00765B4C">
              <w:rPr>
                <w:rFonts w:cs="Arial"/>
                <w:color w:val="000000"/>
                <w:szCs w:val="21"/>
              </w:rPr>
              <w:t xml:space="preserve">le taux au Kongo Central est de 11 % plus bas que la moyenne nationale, respectivement 16 % et 27 %. Quant aux violences physiques durant la grossesse, 6,3 % des femmes en ont été victimes. Au Kongo Central on note les violences des jeunes gens contre les jeunes garçons surtout dans la Zone de Santé de Nzanza. Les jeunes adolescents expérimentent les actes sexuels auprès des garçons dont l’âge varie entre 7 et 10. Cette Zone de Santé note beaucoup de délinquants </w:t>
            </w:r>
            <w:r w:rsidR="00971FD2" w:rsidRPr="00765B4C">
              <w:rPr>
                <w:rFonts w:cs="Arial"/>
                <w:color w:val="000000"/>
                <w:szCs w:val="21"/>
              </w:rPr>
              <w:t>juvéniles</w:t>
            </w:r>
            <w:r w:rsidRPr="00765B4C">
              <w:rPr>
                <w:rFonts w:cs="Arial"/>
                <w:color w:val="000000"/>
                <w:szCs w:val="21"/>
              </w:rPr>
              <w:t xml:space="preserve"> qui se droguent et créent de l’insécurité. Les viols et violences physiques y sont souvent enregistrés.</w:t>
            </w:r>
            <w:r w:rsidR="00971FD2" w:rsidRPr="00765B4C">
              <w:rPr>
                <w:rFonts w:cs="Arial"/>
                <w:color w:val="000000"/>
                <w:szCs w:val="21"/>
              </w:rPr>
              <w:t xml:space="preserve"> Référence rapport de l’ONG BDOM BOMA, financement du Fond Mondial NMF1, 2015-2017. Ce rapport renseigne aussi des viols anaux des jeunes délinquants dont l’âge varie entre 16 et 18 ans à l’égard des enfants de 6 à 8 ans.</w:t>
            </w:r>
          </w:p>
        </w:tc>
      </w:tr>
      <w:tr w:rsidR="001C2F95" w:rsidRPr="001857F5" w14:paraId="30D35548"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EFFFB85" w14:textId="77777777" w:rsidR="001C2F95" w:rsidRPr="00765B4C" w:rsidRDefault="001C2F95" w:rsidP="00971FD2">
            <w:pPr>
              <w:rPr>
                <w:rFonts w:eastAsia="Calibri" w:cs="Arial"/>
                <w:b/>
                <w:szCs w:val="21"/>
              </w:rPr>
            </w:pPr>
            <w:r w:rsidRPr="00765B4C">
              <w:rPr>
                <w:rFonts w:eastAsia="Calibri" w:cs="Arial"/>
                <w:b/>
                <w:szCs w:val="21"/>
              </w:rPr>
              <w:t>Activités principales de la population</w:t>
            </w:r>
          </w:p>
        </w:tc>
        <w:tc>
          <w:tcPr>
            <w:tcW w:w="11287" w:type="dxa"/>
            <w:tcBorders>
              <w:top w:val="single" w:sz="4" w:space="0" w:color="000001"/>
              <w:left w:val="single" w:sz="4" w:space="0" w:color="000001"/>
              <w:bottom w:val="single" w:sz="4" w:space="0" w:color="000001"/>
              <w:right w:val="single" w:sz="4" w:space="0" w:color="000001"/>
            </w:tcBorders>
          </w:tcPr>
          <w:p w14:paraId="7D60E804" w14:textId="77777777" w:rsidR="001C2F95" w:rsidRPr="00765B4C" w:rsidRDefault="001C2F95" w:rsidP="00971FD2">
            <w:pPr>
              <w:textAlignment w:val="baseline"/>
              <w:rPr>
                <w:rFonts w:cs="Arial"/>
                <w:color w:val="000000"/>
                <w:szCs w:val="21"/>
              </w:rPr>
            </w:pPr>
            <w:r w:rsidRPr="00765B4C">
              <w:rPr>
                <w:rFonts w:cs="Arial"/>
                <w:color w:val="000000"/>
                <w:szCs w:val="21"/>
              </w:rPr>
              <w:t>Les activités principales sont :</w:t>
            </w:r>
          </w:p>
          <w:p w14:paraId="09B1E555" w14:textId="77777777" w:rsidR="001C2F95" w:rsidRPr="00765B4C" w:rsidRDefault="001C2F95" w:rsidP="00971FD2">
            <w:pPr>
              <w:textAlignment w:val="baseline"/>
              <w:rPr>
                <w:rFonts w:cs="Arial"/>
                <w:color w:val="333333"/>
                <w:szCs w:val="21"/>
              </w:rPr>
            </w:pPr>
          </w:p>
          <w:p w14:paraId="08B7955F" w14:textId="77777777" w:rsidR="001C2F95" w:rsidRPr="00765B4C" w:rsidRDefault="001C2F95" w:rsidP="002378EA">
            <w:pPr>
              <w:numPr>
                <w:ilvl w:val="0"/>
                <w:numId w:val="34"/>
              </w:numPr>
              <w:ind w:left="479" w:hanging="270"/>
              <w:textAlignment w:val="baseline"/>
              <w:rPr>
                <w:rFonts w:cs="Arial"/>
                <w:color w:val="000000"/>
                <w:szCs w:val="21"/>
              </w:rPr>
            </w:pPr>
            <w:r w:rsidRPr="00765B4C">
              <w:rPr>
                <w:rFonts w:cs="Arial"/>
                <w:color w:val="000000"/>
                <w:szCs w:val="21"/>
              </w:rPr>
              <w:t>L’agriculture ;</w:t>
            </w:r>
          </w:p>
          <w:p w14:paraId="05EA066D" w14:textId="77777777" w:rsidR="001C2F95" w:rsidRPr="00765B4C" w:rsidRDefault="001C2F95" w:rsidP="002378EA">
            <w:pPr>
              <w:numPr>
                <w:ilvl w:val="0"/>
                <w:numId w:val="34"/>
              </w:numPr>
              <w:ind w:left="479" w:hanging="270"/>
              <w:textAlignment w:val="baseline"/>
              <w:rPr>
                <w:rFonts w:cs="Arial"/>
                <w:color w:val="000000"/>
                <w:szCs w:val="21"/>
              </w:rPr>
            </w:pPr>
            <w:r w:rsidRPr="00765B4C">
              <w:rPr>
                <w:rFonts w:cs="Arial"/>
                <w:color w:val="000000"/>
                <w:szCs w:val="21"/>
              </w:rPr>
              <w:t>La pêche ;</w:t>
            </w:r>
          </w:p>
          <w:p w14:paraId="7E053DD0" w14:textId="77777777" w:rsidR="001C2F95" w:rsidRPr="00765B4C" w:rsidRDefault="001C2F95" w:rsidP="002378EA">
            <w:pPr>
              <w:numPr>
                <w:ilvl w:val="0"/>
                <w:numId w:val="34"/>
              </w:numPr>
              <w:ind w:left="479" w:hanging="270"/>
              <w:textAlignment w:val="baseline"/>
              <w:rPr>
                <w:rFonts w:cs="Arial"/>
                <w:color w:val="000000"/>
                <w:szCs w:val="21"/>
              </w:rPr>
            </w:pPr>
            <w:r w:rsidRPr="00765B4C">
              <w:rPr>
                <w:rFonts w:cs="Arial"/>
                <w:color w:val="000000"/>
                <w:szCs w:val="21"/>
              </w:rPr>
              <w:t>L’élevage ;</w:t>
            </w:r>
          </w:p>
          <w:p w14:paraId="2A2159F0" w14:textId="77777777" w:rsidR="001C2F95" w:rsidRPr="00765B4C" w:rsidRDefault="001C2F95" w:rsidP="002378EA">
            <w:pPr>
              <w:numPr>
                <w:ilvl w:val="0"/>
                <w:numId w:val="34"/>
              </w:numPr>
              <w:ind w:left="479" w:hanging="270"/>
              <w:textAlignment w:val="baseline"/>
              <w:rPr>
                <w:rFonts w:cs="Arial"/>
                <w:color w:val="000000"/>
                <w:szCs w:val="21"/>
              </w:rPr>
            </w:pPr>
            <w:r w:rsidRPr="00765B4C">
              <w:rPr>
                <w:rFonts w:cs="Arial"/>
                <w:color w:val="000000"/>
                <w:szCs w:val="21"/>
              </w:rPr>
              <w:t>Le petit commerce.</w:t>
            </w:r>
          </w:p>
          <w:p w14:paraId="5C840BF3" w14:textId="77777777" w:rsidR="001C2F95" w:rsidRPr="00765B4C" w:rsidRDefault="001C2F95" w:rsidP="00971FD2">
            <w:pPr>
              <w:textAlignment w:val="baseline"/>
              <w:rPr>
                <w:rFonts w:cs="Arial"/>
                <w:color w:val="000000"/>
                <w:szCs w:val="21"/>
              </w:rPr>
            </w:pPr>
          </w:p>
          <w:p w14:paraId="50CB5938" w14:textId="77777777" w:rsidR="001C2F95" w:rsidRPr="00765B4C" w:rsidRDefault="001C2F95" w:rsidP="00971FD2">
            <w:pPr>
              <w:textAlignment w:val="baseline"/>
              <w:rPr>
                <w:rFonts w:cs="Arial"/>
                <w:color w:val="000000"/>
                <w:szCs w:val="21"/>
              </w:rPr>
            </w:pPr>
            <w:r w:rsidRPr="00765B4C">
              <w:rPr>
                <w:rFonts w:cs="Arial"/>
                <w:color w:val="000000"/>
                <w:szCs w:val="21"/>
              </w:rPr>
              <w:t xml:space="preserve">En effet, quoi qu'étant la plus petite Province du pays, la Province du Kongo Central dispose de 500 000 ha mécanisables, soit 100 000 ha/an si on respecte la période normale de 5 années de jachère. Ce chiffre monte à environ 250 000 ha/an si on amende le sol avec une jachère améliorante, telle que la culture des légumineuses. Aujourd'hui, moins de 1 % seulement de ces terres mécanisables sont exploitées. </w:t>
            </w:r>
          </w:p>
          <w:p w14:paraId="242AA16C" w14:textId="77777777" w:rsidR="001C2F95" w:rsidRPr="00765B4C" w:rsidRDefault="001C2F95" w:rsidP="00971FD2">
            <w:pPr>
              <w:textAlignment w:val="baseline"/>
              <w:rPr>
                <w:rFonts w:cs="Arial"/>
                <w:color w:val="000000"/>
                <w:szCs w:val="21"/>
              </w:rPr>
            </w:pPr>
          </w:p>
          <w:p w14:paraId="127F6B2D" w14:textId="77777777" w:rsidR="001C2F95" w:rsidRPr="00765B4C" w:rsidRDefault="001C2F95" w:rsidP="00971FD2">
            <w:pPr>
              <w:textAlignment w:val="baseline"/>
              <w:rPr>
                <w:rFonts w:cs="Arial"/>
                <w:color w:val="000000"/>
                <w:szCs w:val="21"/>
              </w:rPr>
            </w:pPr>
            <w:r w:rsidRPr="00765B4C">
              <w:rPr>
                <w:rFonts w:cs="Arial"/>
                <w:color w:val="000000"/>
                <w:szCs w:val="21"/>
              </w:rPr>
              <w:t>La Province du Kongo Central dispose de vastes étendues de terres propices à l'élevage du gros bétail et de très nombreux kraals abandonnés dont les activités pourraient aisément être relancées.)</w:t>
            </w:r>
          </w:p>
          <w:p w14:paraId="3D3F6701" w14:textId="77777777" w:rsidR="001C2F95" w:rsidRPr="00765B4C" w:rsidRDefault="001C2F95" w:rsidP="00971FD2">
            <w:pPr>
              <w:textAlignment w:val="baseline"/>
              <w:rPr>
                <w:rFonts w:cs="Arial"/>
                <w:b/>
                <w:i/>
                <w:color w:val="000000"/>
                <w:szCs w:val="21"/>
              </w:rPr>
            </w:pPr>
          </w:p>
          <w:p w14:paraId="445F5A0B" w14:textId="77777777" w:rsidR="001C2F95" w:rsidRPr="00765B4C" w:rsidRDefault="001C2F95" w:rsidP="00971FD2">
            <w:pPr>
              <w:textAlignment w:val="baseline"/>
              <w:rPr>
                <w:rFonts w:cs="Arial"/>
                <w:b/>
                <w:i/>
                <w:color w:val="000000"/>
                <w:szCs w:val="21"/>
              </w:rPr>
            </w:pPr>
            <w:r w:rsidRPr="00765B4C">
              <w:rPr>
                <w:rFonts w:cs="Arial"/>
                <w:b/>
                <w:i/>
                <w:color w:val="000000"/>
                <w:szCs w:val="21"/>
              </w:rPr>
              <w:t>Production industrielle du poisson :</w:t>
            </w:r>
          </w:p>
          <w:p w14:paraId="190E392E" w14:textId="77777777" w:rsidR="001C2F95" w:rsidRPr="00765B4C" w:rsidRDefault="001C2F95" w:rsidP="00971FD2">
            <w:pPr>
              <w:textAlignment w:val="baseline"/>
              <w:rPr>
                <w:rFonts w:cs="Arial"/>
                <w:color w:val="000000"/>
                <w:szCs w:val="21"/>
              </w:rPr>
            </w:pPr>
            <w:r w:rsidRPr="00765B4C">
              <w:rPr>
                <w:rFonts w:cs="Arial"/>
                <w:color w:val="000000"/>
                <w:szCs w:val="21"/>
              </w:rPr>
              <w:t>Dans ce domaine, il s'agit notamment :</w:t>
            </w:r>
          </w:p>
          <w:p w14:paraId="51B463BD" w14:textId="77777777" w:rsidR="001C2F95" w:rsidRPr="00765B4C" w:rsidRDefault="001C2F95" w:rsidP="002378EA">
            <w:pPr>
              <w:pStyle w:val="Paragraphedeliste"/>
              <w:numPr>
                <w:ilvl w:val="1"/>
                <w:numId w:val="44"/>
              </w:numPr>
              <w:ind w:left="486" w:hanging="283"/>
              <w:textAlignment w:val="baseline"/>
              <w:rPr>
                <w:rFonts w:cs="Arial"/>
                <w:color w:val="000000"/>
                <w:szCs w:val="21"/>
              </w:rPr>
            </w:pPr>
            <w:r w:rsidRPr="00765B4C">
              <w:rPr>
                <w:rFonts w:cs="Arial"/>
                <w:color w:val="000000"/>
                <w:szCs w:val="21"/>
              </w:rPr>
              <w:t>de la pêche maritime dans les eaux territoriales (côte océanique de Muanda) et fluviales (Boma, Inga, Luozi et Mpioka) qui sont très poissonneuses, mais aujourd'hui très peu exploitées ;</w:t>
            </w:r>
          </w:p>
          <w:p w14:paraId="1063352F" w14:textId="77777777" w:rsidR="001C2F95" w:rsidRPr="00765B4C" w:rsidRDefault="001C2F95" w:rsidP="002378EA">
            <w:pPr>
              <w:pStyle w:val="Paragraphedeliste"/>
              <w:numPr>
                <w:ilvl w:val="1"/>
                <w:numId w:val="44"/>
              </w:numPr>
              <w:ind w:left="486" w:hanging="283"/>
              <w:textAlignment w:val="baseline"/>
              <w:rPr>
                <w:rFonts w:cs="Arial"/>
                <w:color w:val="000000"/>
                <w:szCs w:val="21"/>
              </w:rPr>
            </w:pPr>
            <w:r w:rsidRPr="00765B4C">
              <w:rPr>
                <w:rFonts w:cs="Arial"/>
                <w:color w:val="000000"/>
                <w:szCs w:val="21"/>
              </w:rPr>
              <w:t xml:space="preserve">du rempoissonnement de nombreux étangs naturels dont regorge la Province (particulièrement dans le Territoire de Songololo) pour une exploitation industrielle et intensive ; </w:t>
            </w:r>
          </w:p>
          <w:p w14:paraId="48FC18A7" w14:textId="77777777" w:rsidR="001C2F95" w:rsidRPr="00765B4C" w:rsidRDefault="001C2F95" w:rsidP="002378EA">
            <w:pPr>
              <w:pStyle w:val="Paragraphedeliste"/>
              <w:numPr>
                <w:ilvl w:val="1"/>
                <w:numId w:val="44"/>
              </w:numPr>
              <w:ind w:left="486" w:hanging="284"/>
              <w:textAlignment w:val="baseline"/>
              <w:rPr>
                <w:rFonts w:cs="Arial"/>
                <w:color w:val="000000"/>
                <w:szCs w:val="21"/>
              </w:rPr>
            </w:pPr>
            <w:r w:rsidRPr="00765B4C">
              <w:rPr>
                <w:rFonts w:cs="Arial"/>
                <w:color w:val="000000"/>
                <w:szCs w:val="21"/>
              </w:rPr>
              <w:t>de l'aquaculture pour la production industrielle et intensive du poisson.</w:t>
            </w:r>
          </w:p>
          <w:p w14:paraId="0A4A8A93" w14:textId="77777777" w:rsidR="001C2F95" w:rsidRPr="00765B4C" w:rsidRDefault="001C2F95" w:rsidP="00971FD2">
            <w:pPr>
              <w:rPr>
                <w:rFonts w:cs="Arial"/>
                <w:color w:val="000000"/>
                <w:szCs w:val="21"/>
                <w:shd w:val="clear" w:color="auto" w:fill="FFFFFF"/>
              </w:rPr>
            </w:pPr>
          </w:p>
          <w:p w14:paraId="68B2DCF3" w14:textId="77777777" w:rsidR="001C2F95" w:rsidRPr="00765B4C" w:rsidRDefault="001C2F95" w:rsidP="00971FD2">
            <w:pPr>
              <w:textAlignment w:val="baseline"/>
              <w:rPr>
                <w:rFonts w:cs="Arial"/>
                <w:color w:val="000000"/>
                <w:szCs w:val="21"/>
              </w:rPr>
            </w:pPr>
            <w:r w:rsidRPr="00765B4C">
              <w:rPr>
                <w:rFonts w:cs="Arial"/>
                <w:color w:val="000000"/>
                <w:szCs w:val="21"/>
              </w:rPr>
              <w:t xml:space="preserve">Comme dit plus haut, la Province dispose d'un énorme potentiel de production hydro-électrique. Cependant sa desserte actuelle n'atteint que 6,2 % de l'ensemble de sa population. </w:t>
            </w:r>
          </w:p>
        </w:tc>
      </w:tr>
      <w:tr w:rsidR="001C2F95" w:rsidRPr="001857F5" w14:paraId="18439505"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67B806D" w14:textId="77777777" w:rsidR="001C2F95" w:rsidRPr="00765B4C" w:rsidRDefault="001C2F95" w:rsidP="00971FD2">
            <w:pPr>
              <w:rPr>
                <w:rFonts w:eastAsia="Calibri" w:cs="Arial"/>
                <w:b/>
                <w:szCs w:val="21"/>
              </w:rPr>
            </w:pPr>
            <w:r w:rsidRPr="00765B4C">
              <w:rPr>
                <w:rFonts w:eastAsia="Calibri" w:cs="Arial"/>
                <w:b/>
                <w:szCs w:val="21"/>
              </w:rPr>
              <w:t>Économie</w:t>
            </w:r>
          </w:p>
        </w:tc>
        <w:tc>
          <w:tcPr>
            <w:tcW w:w="11287" w:type="dxa"/>
            <w:tcBorders>
              <w:top w:val="single" w:sz="4" w:space="0" w:color="000001"/>
              <w:left w:val="single" w:sz="4" w:space="0" w:color="000001"/>
              <w:bottom w:val="single" w:sz="4" w:space="0" w:color="000001"/>
              <w:right w:val="single" w:sz="4" w:space="0" w:color="000001"/>
            </w:tcBorders>
          </w:tcPr>
          <w:p w14:paraId="3AFAA433" w14:textId="77777777" w:rsidR="001C2F95" w:rsidRPr="00765B4C" w:rsidRDefault="001C2F95" w:rsidP="00971FD2">
            <w:pPr>
              <w:textAlignment w:val="baseline"/>
              <w:rPr>
                <w:rFonts w:cs="Arial"/>
                <w:color w:val="000000"/>
                <w:szCs w:val="21"/>
              </w:rPr>
            </w:pPr>
            <w:r w:rsidRPr="00765B4C">
              <w:rPr>
                <w:rFonts w:cs="Arial"/>
                <w:color w:val="000000"/>
                <w:szCs w:val="21"/>
              </w:rPr>
              <w:t xml:space="preserve">La Province du Kongo Central se caractérise par sa dotation particulière en infrastructures de transport, un tissu industriel diversifié, d’énormes potentialités de développement agricole, une richesse énergétique incommensurable estimée à 46 913 493 Méga Volt Ampère (MVA) dont 2 176 MVA installés et 478 MVA seulement opérationnels, produits par le Barrage d’Inga et deux autres de moindre importance à savoir Zongo et Nsanga ; des réserves pétrolières probables de l’ordre de 3 milliards de barils selon le rapport annuel de la Division Provinciale de l’Énergie. </w:t>
            </w:r>
          </w:p>
          <w:p w14:paraId="3C7A00C2" w14:textId="77777777" w:rsidR="001C2F95" w:rsidRPr="00765B4C" w:rsidRDefault="001C2F95" w:rsidP="00971FD2">
            <w:pPr>
              <w:pStyle w:val="Paragraphedeliste"/>
              <w:textAlignment w:val="baseline"/>
              <w:rPr>
                <w:rFonts w:cs="Arial"/>
                <w:color w:val="000000"/>
                <w:szCs w:val="21"/>
              </w:rPr>
            </w:pPr>
            <w:r w:rsidRPr="00765B4C">
              <w:rPr>
                <w:rFonts w:cs="Arial"/>
                <w:color w:val="000000"/>
                <w:szCs w:val="21"/>
              </w:rPr>
              <w:t xml:space="preserve"> </w:t>
            </w:r>
          </w:p>
          <w:p w14:paraId="2F7BF037" w14:textId="77777777" w:rsidR="001C2F95" w:rsidRPr="00765B4C" w:rsidRDefault="001C2F95" w:rsidP="00971FD2">
            <w:pPr>
              <w:textAlignment w:val="baseline"/>
              <w:rPr>
                <w:rFonts w:cs="Arial"/>
                <w:color w:val="000000"/>
                <w:szCs w:val="21"/>
              </w:rPr>
            </w:pPr>
            <w:r w:rsidRPr="00765B4C">
              <w:rPr>
                <w:rFonts w:cs="Arial"/>
                <w:color w:val="000000"/>
                <w:szCs w:val="21"/>
              </w:rPr>
              <w:t xml:space="preserve">Dans la composition sectorielle des activités économiques de la Province, on note une forte dominance des activités du secteur primaire qui contribue à 78 % au PIB dont 55 % pour la production agricole (végétale, aquacole, animale et forestière) et 23 % pour les industries extractives (mines et hydrocarbures) ; le secteur des services contribue quant à lui à 12 % au PIB et le secteur secondaire à 10 %. </w:t>
            </w:r>
          </w:p>
          <w:p w14:paraId="40BB2A5F" w14:textId="77777777" w:rsidR="001C2F95" w:rsidRPr="00765B4C" w:rsidRDefault="001C2F95" w:rsidP="00971FD2">
            <w:pPr>
              <w:textAlignment w:val="baseline"/>
              <w:rPr>
                <w:rFonts w:cs="Arial"/>
                <w:color w:val="000000"/>
                <w:szCs w:val="21"/>
              </w:rPr>
            </w:pPr>
            <w:r w:rsidRPr="00765B4C">
              <w:rPr>
                <w:rFonts w:cs="Arial"/>
                <w:color w:val="000000"/>
                <w:szCs w:val="21"/>
              </w:rPr>
              <w:t xml:space="preserve">Le Kongo Central est une Province à grandes potentialités agricoles. Les conditions éco climatiques favorisent la culture d’une gamme variée de produits de type tropical.  </w:t>
            </w:r>
          </w:p>
          <w:p w14:paraId="675567C9" w14:textId="77777777" w:rsidR="001C2F95" w:rsidRPr="00765B4C" w:rsidRDefault="001C2F95" w:rsidP="00971FD2">
            <w:pPr>
              <w:textAlignment w:val="baseline"/>
              <w:rPr>
                <w:rFonts w:cs="Arial"/>
                <w:color w:val="000000"/>
                <w:szCs w:val="21"/>
              </w:rPr>
            </w:pPr>
          </w:p>
          <w:p w14:paraId="527B6BBA" w14:textId="77777777" w:rsidR="001C2F95" w:rsidRPr="00765B4C" w:rsidRDefault="001C2F95" w:rsidP="00971FD2">
            <w:pPr>
              <w:textAlignment w:val="baseline"/>
              <w:rPr>
                <w:rFonts w:cs="Arial"/>
                <w:color w:val="000000"/>
                <w:szCs w:val="21"/>
              </w:rPr>
            </w:pPr>
            <w:r w:rsidRPr="00765B4C">
              <w:rPr>
                <w:rFonts w:cs="Arial"/>
                <w:color w:val="000000"/>
                <w:szCs w:val="21"/>
              </w:rPr>
              <w:t>Par ailleurs, d’après les études socio-économiques menées par le Projet de Développement de Pôles de Croissance Ouest (PDPC) financées par l’appui de la Banque mondiale dans le Kongo Central, environ 50 000 agriculteurs, dont 40% de femmes, ont été directement touchés par les activités agricoles qui consistent en la fourniture des biens publics sous forme d’infrastructures physiques et institutionnelles sur tous les maillons de la chaîne de valeurs des produits agricoles en vue de l’augmentation de la productivité et de l’emploi dans ces filières.</w:t>
            </w:r>
          </w:p>
          <w:p w14:paraId="63E09303" w14:textId="77777777" w:rsidR="001C2F95" w:rsidRPr="00765B4C" w:rsidRDefault="001C2F95" w:rsidP="00971FD2">
            <w:pPr>
              <w:textAlignment w:val="baseline"/>
              <w:rPr>
                <w:rFonts w:cs="Arial"/>
                <w:color w:val="000000"/>
                <w:szCs w:val="21"/>
              </w:rPr>
            </w:pPr>
          </w:p>
          <w:p w14:paraId="3974CF21" w14:textId="77777777" w:rsidR="001C2F95" w:rsidRPr="00765B4C" w:rsidRDefault="001C2F95" w:rsidP="00971FD2">
            <w:pPr>
              <w:textAlignment w:val="baseline"/>
              <w:rPr>
                <w:rFonts w:cs="Arial"/>
                <w:color w:val="000000"/>
                <w:szCs w:val="21"/>
              </w:rPr>
            </w:pPr>
            <w:r w:rsidRPr="00765B4C">
              <w:rPr>
                <w:rFonts w:cs="Arial"/>
                <w:color w:val="000000"/>
                <w:szCs w:val="21"/>
              </w:rPr>
              <w:t>La culture est manuelle et il n’y a pas d’utilisation de variétés améliorées, ni d’engrais. Par conséquent, les rendements sont également très faibles. Malgré la présence d’unités de production modernes dans la province, le secteur informel domine les activités agricoles à hauteur de 93% contre une moyenne nationale de 91% (Enquête 123 de 2012). Actuellement les 22 pistes de desserte agricole réhabilitée dans le cadre du PDPC dans l’</w:t>
            </w:r>
            <w:r w:rsidR="00971FD2" w:rsidRPr="00765B4C">
              <w:rPr>
                <w:rFonts w:cs="Arial"/>
                <w:color w:val="000000"/>
                <w:szCs w:val="21"/>
              </w:rPr>
              <w:t xml:space="preserve">ensemble </w:t>
            </w:r>
            <w:r w:rsidRPr="00765B4C">
              <w:rPr>
                <w:rFonts w:cs="Arial"/>
                <w:color w:val="000000"/>
                <w:szCs w:val="21"/>
              </w:rPr>
              <w:t xml:space="preserve"> de la province se trouve en état de délabrement très avancé par manque d’entretien. Cette situation ne permet pas l’évacuation des produits agricoles sur le marché des grands centres de consommation tels que Matadi, Boma, Mwanda et la ville province de Kinshasa en passant par la RN1.</w:t>
            </w:r>
          </w:p>
          <w:p w14:paraId="513AF430" w14:textId="77777777" w:rsidR="001C2F95" w:rsidRPr="00765B4C" w:rsidRDefault="001C2F95" w:rsidP="00971FD2">
            <w:pPr>
              <w:pStyle w:val="Paragraphedeliste"/>
              <w:textAlignment w:val="baseline"/>
              <w:rPr>
                <w:rFonts w:cs="Arial"/>
                <w:color w:val="000000"/>
                <w:szCs w:val="21"/>
              </w:rPr>
            </w:pPr>
            <w:r w:rsidRPr="00765B4C">
              <w:rPr>
                <w:rFonts w:cs="Arial"/>
                <w:color w:val="000000"/>
                <w:szCs w:val="21"/>
              </w:rPr>
              <w:t xml:space="preserve"> </w:t>
            </w:r>
          </w:p>
          <w:p w14:paraId="5DB6AF0D" w14:textId="77777777" w:rsidR="001C2F95" w:rsidRPr="00765B4C" w:rsidRDefault="001C2F95" w:rsidP="00971FD2">
            <w:pPr>
              <w:textAlignment w:val="baseline"/>
              <w:rPr>
                <w:rFonts w:cs="Arial"/>
                <w:color w:val="000000"/>
                <w:szCs w:val="21"/>
              </w:rPr>
            </w:pPr>
            <w:r w:rsidRPr="00765B4C">
              <w:rPr>
                <w:rFonts w:cs="Arial"/>
                <w:color w:val="000000"/>
                <w:szCs w:val="21"/>
              </w:rPr>
              <w:t xml:space="preserve">Le secteur traditionnel demeure le principal pourvoyeur des produits vivriers. Les spéculations principales sont le manioc, l’arachide, le haricot, le maïs, la banane et le riz.  L’agriculture y est extensive sur de petites exploitations et se caractérise par la prépondérance des activités manuelles, l’utilisation très limitée de la fumure organique et minérale, le recours à la jachère. La femme et la jeune fille sont une main-d’œuvre très participative, les jeunes filles quoi qu’elles étudient, elles sont associées à toutes les activités de l’agriculture et la vente des poissons frais issus des eaux territoriales et fluviales. Le mariage précoce est aussi </w:t>
            </w:r>
            <w:r w:rsidR="00971FD2" w:rsidRPr="00765B4C">
              <w:rPr>
                <w:rFonts w:cs="Arial"/>
                <w:color w:val="000000"/>
                <w:szCs w:val="21"/>
              </w:rPr>
              <w:t>récurrent</w:t>
            </w:r>
            <w:r w:rsidRPr="00765B4C">
              <w:rPr>
                <w:rFonts w:cs="Arial"/>
                <w:color w:val="000000"/>
                <w:szCs w:val="21"/>
              </w:rPr>
              <w:t xml:space="preserve"> dans les endroits reculés de la Province que dans le chef</w:t>
            </w:r>
            <w:r w:rsidR="00971FD2" w:rsidRPr="00765B4C">
              <w:rPr>
                <w:rFonts w:cs="Arial"/>
                <w:color w:val="000000"/>
                <w:szCs w:val="21"/>
              </w:rPr>
              <w:t>-</w:t>
            </w:r>
            <w:r w:rsidRPr="00765B4C">
              <w:rPr>
                <w:rFonts w:cs="Arial"/>
                <w:color w:val="000000"/>
                <w:szCs w:val="21"/>
              </w:rPr>
              <w:t>lieu Matadi. Il faut noter que le Kongo Central est directement influencé par la culture de Kinshasa à cause de sa proximité. En effet 365 km relient Kinshasa à Matadi en cinq heures de route</w:t>
            </w:r>
          </w:p>
          <w:p w14:paraId="446668DA" w14:textId="77777777" w:rsidR="001C2F95" w:rsidRPr="00765B4C" w:rsidRDefault="001C2F95" w:rsidP="00971FD2">
            <w:pPr>
              <w:textAlignment w:val="baseline"/>
              <w:rPr>
                <w:rFonts w:cs="Arial"/>
                <w:color w:val="000000"/>
                <w:szCs w:val="21"/>
              </w:rPr>
            </w:pPr>
          </w:p>
          <w:p w14:paraId="27D158F3" w14:textId="77777777" w:rsidR="00971FD2" w:rsidRPr="00765B4C" w:rsidRDefault="00971FD2" w:rsidP="00971FD2">
            <w:pPr>
              <w:textAlignment w:val="baseline"/>
              <w:rPr>
                <w:rFonts w:cs="Arial"/>
                <w:color w:val="000000"/>
                <w:szCs w:val="21"/>
              </w:rPr>
            </w:pPr>
            <w:r w:rsidRPr="00765B4C">
              <w:rPr>
                <w:rFonts w:cs="Arial"/>
                <w:color w:val="333333"/>
                <w:szCs w:val="21"/>
              </w:rPr>
              <w:t>Le mariage précoce et forcé des filles adolescentes existe dans plusieurs coins de la RDC. Cette situation est liée aux us et coutumes, à la pauvreté, au manque d'accès à l'éducation de qualité des filles et au manque d'information auprès de la communauté. Bien que la loi interdisant le mariage précoce et forcé soit promulguée, la réalité sur le terrain prouve le contraire. C'est ainsi que plusieurs associations féminines luttent contre ce fléau.</w:t>
            </w:r>
          </w:p>
          <w:p w14:paraId="437C728E" w14:textId="77777777" w:rsidR="001C2F95" w:rsidRPr="00765B4C" w:rsidRDefault="001C2F95" w:rsidP="00971FD2">
            <w:pPr>
              <w:textAlignment w:val="baseline"/>
              <w:rPr>
                <w:rFonts w:cs="Arial"/>
                <w:color w:val="000000"/>
                <w:szCs w:val="21"/>
              </w:rPr>
            </w:pPr>
            <w:r w:rsidRPr="00765B4C">
              <w:rPr>
                <w:rFonts w:cs="Arial"/>
                <w:color w:val="000000"/>
                <w:szCs w:val="21"/>
              </w:rPr>
              <w:t>La production animale reste également faible malgré son potentiel. Comme pour l’agriculture, le potentiel de production animale (élevage, pisciculture, pêche et apiculture) est non négligeable. Le cheptel est constitué de façon générale de bovins, porcins, caprins, ovins et de volailles (poules, canards, pigeons, cobayes, …). Bien que le Kongo Central soit une province agropastorale par excellence, la production d’élevage reste faible et le nombre d’animaux pour type d’animal ne dépasse pas le niveau d’il y a 10 ans. Depuis la faillite de la Pêcherie Maritime du Congo (PEMARCO), la pêche et la pisciculture sont devenues des activités essentiellement artisanales qui s’exercent essentiellement sur le fleuve, avec une capacité qui ne dépasse guère 1000 tonnes par an. Les activités de pêche dans la partie du fleuve qui se situe à Luozi sont importantes avec des pêcheurs organisés en associations (Banque mondiale - 2016 : Rapport sur la situation économique de la Province du Kongo Central : Enjeux de la modernisation d'une province à fort potentiel énergétique face à la qualité de vie de sa population.)</w:t>
            </w:r>
          </w:p>
        </w:tc>
      </w:tr>
      <w:tr w:rsidR="001C2F95" w:rsidRPr="001857F5" w14:paraId="416B36C2"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3B895B7" w14:textId="77777777" w:rsidR="001C2F95" w:rsidRPr="00765B4C" w:rsidRDefault="001C2F95" w:rsidP="00971FD2">
            <w:pPr>
              <w:rPr>
                <w:rFonts w:eastAsia="Calibri" w:cs="Arial"/>
                <w:b/>
                <w:szCs w:val="21"/>
              </w:rPr>
            </w:pPr>
            <w:r w:rsidRPr="00765B4C">
              <w:rPr>
                <w:rFonts w:eastAsia="Calibri" w:cs="Arial"/>
                <w:b/>
                <w:szCs w:val="21"/>
              </w:rPr>
              <w:t>Situation sanitaire</w:t>
            </w:r>
          </w:p>
        </w:tc>
        <w:tc>
          <w:tcPr>
            <w:tcW w:w="11287" w:type="dxa"/>
            <w:tcBorders>
              <w:top w:val="single" w:sz="4" w:space="0" w:color="000001"/>
              <w:left w:val="single" w:sz="4" w:space="0" w:color="000001"/>
              <w:bottom w:val="single" w:sz="4" w:space="0" w:color="000001"/>
              <w:right w:val="single" w:sz="4" w:space="0" w:color="000001"/>
            </w:tcBorders>
          </w:tcPr>
          <w:p w14:paraId="0B547077" w14:textId="77777777" w:rsidR="001C2F95" w:rsidRPr="00765B4C" w:rsidRDefault="001C2F95" w:rsidP="00971FD2">
            <w:pPr>
              <w:textAlignment w:val="baseline"/>
              <w:rPr>
                <w:rFonts w:cs="Arial"/>
                <w:color w:val="000000"/>
                <w:szCs w:val="21"/>
              </w:rPr>
            </w:pPr>
            <w:r w:rsidRPr="00765B4C">
              <w:rPr>
                <w:rFonts w:cs="Arial"/>
                <w:color w:val="000000"/>
                <w:szCs w:val="21"/>
              </w:rPr>
              <w:t>Les résultats de l’enquête 1-2-3 montrent que la majorité des ménages, soit 58,7 %, résident à moins de vingt minutes de la structure de santé la plus proche ; dont 21,6 % résident à moins de dix minutes. Seuls         12,4 % des ménages sont à plus de cinquante minutes de marche de la structure de santé la plus proche. La structure de santé ici comprend l’Hôpital public ou privé, le Centre de Santé et le Poste de Santé.</w:t>
            </w:r>
            <w:r w:rsidRPr="00765B4C">
              <w:rPr>
                <w:rFonts w:cs="Arial"/>
                <w:szCs w:val="21"/>
              </w:rPr>
              <w:t xml:space="preserve"> </w:t>
            </w:r>
            <w:r w:rsidRPr="00765B4C">
              <w:rPr>
                <w:rFonts w:cs="Arial"/>
                <w:color w:val="000000"/>
                <w:szCs w:val="21"/>
              </w:rPr>
              <w:t xml:space="preserve">Outre le problème d’accessibilité géographique des services de santé, la majorité des femmes du Kongo Central déclarent avoir rencontré des problèmes pour accéder aux soins de santé : 22,0% des femmes déclarent s’être vu refuser la permission d’aller se soigner, 38,8% ont rencontré des problèmes de transport et enfin 72,1% ont eu des problèmes financiers (PNUD 2009 – Profile Résumé – </w:t>
            </w:r>
            <w:r w:rsidR="00971FD2" w:rsidRPr="00765B4C">
              <w:rPr>
                <w:rFonts w:cs="Arial"/>
                <w:color w:val="000000"/>
                <w:szCs w:val="21"/>
              </w:rPr>
              <w:t>pauvreté</w:t>
            </w:r>
            <w:r w:rsidRPr="00765B4C">
              <w:rPr>
                <w:rFonts w:cs="Arial"/>
                <w:color w:val="000000"/>
                <w:szCs w:val="21"/>
              </w:rPr>
              <w:t xml:space="preserve"> et condition de vie des ménages)</w:t>
            </w:r>
          </w:p>
        </w:tc>
      </w:tr>
      <w:tr w:rsidR="001C2F95" w:rsidRPr="001857F5" w14:paraId="6E396886"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49208CCA" w14:textId="77777777" w:rsidR="001C2F95" w:rsidRPr="00765B4C" w:rsidRDefault="001C2F95" w:rsidP="00971FD2">
            <w:pPr>
              <w:jc w:val="left"/>
              <w:rPr>
                <w:rFonts w:eastAsia="Calibri" w:cs="Arial"/>
                <w:b/>
                <w:szCs w:val="21"/>
              </w:rPr>
            </w:pPr>
            <w:r w:rsidRPr="00765B4C">
              <w:rPr>
                <w:rFonts w:eastAsia="Calibri" w:cs="Arial"/>
                <w:b/>
                <w:szCs w:val="21"/>
              </w:rPr>
              <w:t xml:space="preserve">Situation de la </w:t>
            </w:r>
            <w:r w:rsidR="00971FD2" w:rsidRPr="00765B4C">
              <w:rPr>
                <w:rFonts w:eastAsia="Calibri" w:cs="Arial"/>
                <w:b/>
                <w:szCs w:val="21"/>
              </w:rPr>
              <w:t>pauvreté</w:t>
            </w:r>
            <w:r w:rsidRPr="00765B4C">
              <w:rPr>
                <w:rFonts w:eastAsia="Calibri" w:cs="Arial"/>
                <w:b/>
                <w:szCs w:val="21"/>
              </w:rPr>
              <w:t xml:space="preserve"> </w:t>
            </w:r>
          </w:p>
        </w:tc>
        <w:tc>
          <w:tcPr>
            <w:tcW w:w="11287" w:type="dxa"/>
            <w:tcBorders>
              <w:top w:val="single" w:sz="4" w:space="0" w:color="000001"/>
              <w:left w:val="single" w:sz="4" w:space="0" w:color="000001"/>
              <w:bottom w:val="single" w:sz="4" w:space="0" w:color="000001"/>
              <w:right w:val="single" w:sz="4" w:space="0" w:color="000001"/>
            </w:tcBorders>
          </w:tcPr>
          <w:p w14:paraId="00C5F2D6" w14:textId="77777777" w:rsidR="001C2F95" w:rsidRPr="00765B4C" w:rsidRDefault="001C2F95" w:rsidP="00971FD2">
            <w:pPr>
              <w:textAlignment w:val="baseline"/>
              <w:rPr>
                <w:rFonts w:cs="Arial"/>
                <w:color w:val="000000"/>
                <w:szCs w:val="21"/>
              </w:rPr>
            </w:pPr>
            <w:r w:rsidRPr="00765B4C">
              <w:rPr>
                <w:rFonts w:cs="Arial"/>
                <w:color w:val="000000"/>
                <w:szCs w:val="21"/>
              </w:rPr>
              <w:t>La pauvreté demeure massive en dépit de sa diminution dans la province car près de la moitié de la population de la province est encore considérée pauvre. Les conditions de vie des ménages et les indicateurs du développement humain se sont améliorés mais les défis restent importants. Les indicateurs de développement humain et d’accès à l’électricité et à l’eau potable mettent en évidence des disparités importantes selon le milieu de résidence. Les inégalités sont importantes entre les riches et les pauvres.</w:t>
            </w:r>
          </w:p>
          <w:p w14:paraId="450199DD" w14:textId="77777777" w:rsidR="001C2F95" w:rsidRPr="00765B4C" w:rsidRDefault="001C2F95" w:rsidP="00971FD2">
            <w:pPr>
              <w:textAlignment w:val="baseline"/>
              <w:rPr>
                <w:rFonts w:cs="Arial"/>
                <w:color w:val="000000"/>
                <w:szCs w:val="21"/>
              </w:rPr>
            </w:pPr>
          </w:p>
          <w:p w14:paraId="69788DDF" w14:textId="77777777" w:rsidR="001C2F95" w:rsidRPr="00765B4C" w:rsidRDefault="001C2F95" w:rsidP="00971FD2">
            <w:pPr>
              <w:textAlignment w:val="baseline"/>
              <w:rPr>
                <w:rFonts w:cs="Arial"/>
                <w:color w:val="000000"/>
                <w:szCs w:val="21"/>
              </w:rPr>
            </w:pPr>
            <w:r w:rsidRPr="00765B4C">
              <w:rPr>
                <w:rFonts w:cs="Arial"/>
                <w:color w:val="000000"/>
                <w:szCs w:val="21"/>
              </w:rPr>
              <w:t>Ainsi, la pauvreté monétaire s’est réduite entre 2005 et 2012 dans la province du Kongo Central plus vite qu’au niveau national. L’incidence de pauvreté, ou la proportion des pauvres dans la population totale, a baissé de 12,9 points, passant de 62,2% à 49,3% entre 2005 et 2012, alors qu’au niveau national, cette baisse n’a été que de 5,3 points si on réfère aux chiffres de l’INS. Aussi, la profondeur et la sévérité de la pauvreté ont également décliné respectivement à 13,0% et 4,7% en 2012, alors qu’elles s’établissaient respectivement à 20,5% et 9,0% en 2005. Ces deux indicateurs mesurent respectivement le fossé qui sépare les pauvres de non-pauvres et le degré d’aversion d’une société pour la pauvreté et l’inégalité entre les pauvres (Banque mondiale - 2016 : Rapport sur la situation économique de la Province du Kongo Central : Enjeux de la modernisation d'une province à fort potentiel énergétique face à la qualité de vie de sa population, page 43).</w:t>
            </w:r>
          </w:p>
          <w:p w14:paraId="50E7A078" w14:textId="77777777" w:rsidR="001C2F95" w:rsidRPr="00765B4C" w:rsidRDefault="001C2F95" w:rsidP="00971FD2">
            <w:pPr>
              <w:textAlignment w:val="baseline"/>
              <w:rPr>
                <w:rFonts w:cs="Arial"/>
                <w:color w:val="000000"/>
                <w:szCs w:val="21"/>
              </w:rPr>
            </w:pPr>
          </w:p>
          <w:p w14:paraId="6103EA1E" w14:textId="77777777" w:rsidR="001C2F95" w:rsidRPr="00765B4C" w:rsidRDefault="001C2F95" w:rsidP="00971FD2">
            <w:pPr>
              <w:textAlignment w:val="baseline"/>
              <w:rPr>
                <w:rFonts w:cs="Arial"/>
                <w:color w:val="000000"/>
                <w:szCs w:val="21"/>
              </w:rPr>
            </w:pPr>
            <w:r w:rsidRPr="00765B4C">
              <w:rPr>
                <w:rFonts w:cs="Arial"/>
                <w:color w:val="000000"/>
                <w:szCs w:val="21"/>
              </w:rPr>
              <w:t>Par ailleurs, La pauvreté est plus perceptible au niveau individuel qu’à celui des ménages de la province. Contrairement au rapport de l’enquête 1-2-3 de 2005 qui n’a analysé que la pauvreté individuelle, celui de 2012 a apporté une innovation en calculant les indicateurs de pauvreté au niveau des ménages. Ce rapport indique donc que la pauvreté des ménages de la province se situe à 45,8% contre 49,3% pour les individus en 2012. Si l’on tient compte des sexes, il s’établit que les femmes dans les ménages (38,1%) sont moins pauvres que les hommes (48,2%). Cette situation, comme le souligne le rapport de l’enquête 123, met en exergue le fait qu’au sein des ménages, les individus s’organisent mieux en communautés ; ce qui permet de faire des économies d’échelles.</w:t>
            </w:r>
          </w:p>
        </w:tc>
      </w:tr>
      <w:tr w:rsidR="001C2F95" w:rsidRPr="001857F5" w14:paraId="40A6792B"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B6BBE8A" w14:textId="77777777" w:rsidR="001C2F95" w:rsidRPr="00765B4C" w:rsidRDefault="001C2F95" w:rsidP="00971FD2">
            <w:pPr>
              <w:rPr>
                <w:rFonts w:eastAsia="Calibri" w:cs="Arial"/>
                <w:b/>
                <w:szCs w:val="21"/>
              </w:rPr>
            </w:pPr>
            <w:r w:rsidRPr="00765B4C">
              <w:rPr>
                <w:rFonts w:eastAsia="Calibri" w:cs="Arial"/>
                <w:b/>
                <w:szCs w:val="21"/>
              </w:rPr>
              <w:t>Situation du COVID-19 dans la Province du Kongo Central</w:t>
            </w:r>
          </w:p>
        </w:tc>
        <w:tc>
          <w:tcPr>
            <w:tcW w:w="11287" w:type="dxa"/>
            <w:tcBorders>
              <w:top w:val="single" w:sz="4" w:space="0" w:color="000001"/>
              <w:left w:val="single" w:sz="4" w:space="0" w:color="000001"/>
              <w:bottom w:val="single" w:sz="4" w:space="0" w:color="000001"/>
              <w:right w:val="single" w:sz="4" w:space="0" w:color="000001"/>
            </w:tcBorders>
          </w:tcPr>
          <w:p w14:paraId="5F79704C" w14:textId="77777777" w:rsidR="001C2F95" w:rsidRPr="00765B4C" w:rsidRDefault="001C2F95" w:rsidP="00971FD2">
            <w:pPr>
              <w:textAlignment w:val="baseline"/>
              <w:rPr>
                <w:rFonts w:cs="Arial"/>
                <w:color w:val="000000"/>
                <w:szCs w:val="21"/>
              </w:rPr>
            </w:pPr>
            <w:r w:rsidRPr="00765B4C">
              <w:rPr>
                <w:rFonts w:cs="Arial"/>
                <w:color w:val="000000"/>
                <w:szCs w:val="21"/>
              </w:rPr>
              <w:t xml:space="preserve">Depuis le début de la pandémie à COVID-19 en RDC, la Province du Kongo Central compte 1214 cas enregistrés jusque-là jusqu’au 12 janvier 2021 sur les 20003 cas de COVID-19 enregistrés en RDC. Pour la RDC, sur les 20 003 cas confirmés de COVID-19, 14767 cas </w:t>
            </w:r>
            <w:r w:rsidR="00971FD2" w:rsidRPr="00765B4C">
              <w:rPr>
                <w:rFonts w:cs="Arial"/>
                <w:color w:val="000000"/>
                <w:szCs w:val="21"/>
              </w:rPr>
              <w:t>guéris</w:t>
            </w:r>
            <w:r w:rsidRPr="00765B4C">
              <w:rPr>
                <w:rFonts w:cs="Arial"/>
                <w:color w:val="000000"/>
                <w:szCs w:val="21"/>
              </w:rPr>
              <w:t xml:space="preserve"> et 626 cas de décès. Des mesures barrières sont observées sur toute l’étendue de la Province. Les camionneurs qui voyagent sur la Route Nationale n° 1 (RN1) entre Kinshasa et Kongo Central restent les principaux suspects qui constituent le canal de transmission. Le Kongo Central est la deuxième Province la plus touchée à cause de sa position par rapport à la Ville-Province de Kinshasa, porte d’entrée de la RDC depuis l’Océan Atlantique. Le trafic intense malgré les restrictions du Gouvernement est à la base de cette propagation de la maladie à Corona virus dans la Province du Kongo Central dont les statistiques sont dynamiques. Il sied de signaler que les femmes / filles vendeuses aux marchés, </w:t>
            </w:r>
            <w:r w:rsidR="00971FD2" w:rsidRPr="00765B4C">
              <w:rPr>
                <w:rFonts w:cs="Arial"/>
                <w:color w:val="000000"/>
                <w:szCs w:val="21"/>
              </w:rPr>
              <w:t>commerçantes</w:t>
            </w:r>
            <w:r w:rsidRPr="00765B4C">
              <w:rPr>
                <w:rFonts w:cs="Arial"/>
                <w:color w:val="000000"/>
                <w:szCs w:val="21"/>
              </w:rPr>
              <w:t xml:space="preserve"> / trafiquantes qui s’occupent en majorité pour la survie des ménages sont les plus exposées au risque de la contamination de COVID-19 dans la province du Kongo Central car dans les différents marchés, les mesures barrières et la distanciation physique ne sont pas observées.</w:t>
            </w:r>
          </w:p>
          <w:p w14:paraId="50D60E57" w14:textId="77777777" w:rsidR="00971FD2" w:rsidRPr="00765B4C" w:rsidRDefault="00971FD2" w:rsidP="00971FD2">
            <w:pPr>
              <w:textAlignment w:val="baseline"/>
              <w:rPr>
                <w:rFonts w:cs="Arial"/>
                <w:color w:val="000000"/>
                <w:szCs w:val="21"/>
              </w:rPr>
            </w:pPr>
          </w:p>
          <w:p w14:paraId="3EF10DAD" w14:textId="77777777" w:rsidR="00971FD2" w:rsidRPr="00765B4C" w:rsidRDefault="00971FD2" w:rsidP="00971FD2">
            <w:pPr>
              <w:textAlignment w:val="baseline"/>
              <w:rPr>
                <w:rFonts w:cs="Arial"/>
                <w:color w:val="000000"/>
                <w:szCs w:val="21"/>
              </w:rPr>
            </w:pPr>
            <w:r w:rsidRPr="00765B4C">
              <w:rPr>
                <w:rFonts w:cs="Arial"/>
                <w:szCs w:val="21"/>
              </w:rPr>
              <w:t>Les femmes sont principalement responsables de l'approvisionnement et de la cuisson des aliments pour la famille, l'augmentation de l'insécurité alimentaire à la suite des crises peut les exposer à un risque accru, par exemple, de la part du partenaire intime, ainsi que d'autres formes de violences domestiques dues à l'intensification des tensions au sein du ménage.</w:t>
            </w:r>
          </w:p>
        </w:tc>
      </w:tr>
      <w:tr w:rsidR="001C2F95" w:rsidRPr="001857F5" w14:paraId="2768BC06"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4D833FDC" w14:textId="77777777" w:rsidR="001C2F95" w:rsidRPr="00765B4C" w:rsidRDefault="001C2F95" w:rsidP="00971FD2">
            <w:pPr>
              <w:rPr>
                <w:rFonts w:eastAsia="Calibri" w:cs="Arial"/>
                <w:b/>
                <w:szCs w:val="21"/>
              </w:rPr>
            </w:pPr>
            <w:r w:rsidRPr="00765B4C">
              <w:rPr>
                <w:rFonts w:eastAsia="Calibri" w:cs="Arial"/>
                <w:b/>
                <w:szCs w:val="21"/>
              </w:rPr>
              <w:t>Éducation</w:t>
            </w:r>
          </w:p>
        </w:tc>
        <w:tc>
          <w:tcPr>
            <w:tcW w:w="11287" w:type="dxa"/>
            <w:tcBorders>
              <w:top w:val="single" w:sz="4" w:space="0" w:color="000001"/>
              <w:left w:val="single" w:sz="4" w:space="0" w:color="000001"/>
              <w:bottom w:val="single" w:sz="4" w:space="0" w:color="000001"/>
              <w:right w:val="single" w:sz="4" w:space="0" w:color="000001"/>
            </w:tcBorders>
          </w:tcPr>
          <w:p w14:paraId="3F35C193" w14:textId="77777777" w:rsidR="001C2F95" w:rsidRPr="00765B4C" w:rsidRDefault="001C2F95" w:rsidP="00971FD2">
            <w:pPr>
              <w:pStyle w:val="Paragraphedeliste"/>
              <w:ind w:left="0"/>
              <w:textAlignment w:val="baseline"/>
              <w:rPr>
                <w:rFonts w:cs="Arial"/>
                <w:szCs w:val="21"/>
              </w:rPr>
            </w:pPr>
            <w:r w:rsidRPr="00765B4C">
              <w:rPr>
                <w:rFonts w:cs="Arial"/>
                <w:szCs w:val="21"/>
              </w:rPr>
              <w:t>Dans la Province du Kongo Central, l’offre scolaire reste contrôlée en grande partie par les Confessions Religieuses avec près de 78 % des enfants au primaire, scolarisés dans les écoles dites conventionnées, 15 % dans les écoles de l’Etat et 7 % dans les privées selon le SIGE 2011/12.</w:t>
            </w:r>
          </w:p>
          <w:p w14:paraId="0C4FF867" w14:textId="77777777" w:rsidR="00B86CA8" w:rsidRPr="00765B4C" w:rsidRDefault="00B86CA8" w:rsidP="00971FD2">
            <w:pPr>
              <w:textAlignment w:val="baseline"/>
              <w:rPr>
                <w:rFonts w:cs="Arial"/>
                <w:szCs w:val="21"/>
              </w:rPr>
            </w:pPr>
          </w:p>
          <w:p w14:paraId="72F92C48" w14:textId="77777777" w:rsidR="001C2F95" w:rsidRPr="00765B4C" w:rsidRDefault="001C2F95" w:rsidP="00971FD2">
            <w:pPr>
              <w:textAlignment w:val="baseline"/>
              <w:rPr>
                <w:rFonts w:cs="Arial"/>
                <w:color w:val="000000"/>
                <w:szCs w:val="21"/>
              </w:rPr>
            </w:pPr>
            <w:r w:rsidRPr="00765B4C">
              <w:rPr>
                <w:rFonts w:cs="Arial"/>
                <w:szCs w:val="21"/>
              </w:rPr>
              <w:t xml:space="preserve">Selon les résultats du recensement scolaire 2013-2014, le patrimoine immobilier à l’usage de l’enseignement au niveau primaire dans le Kongo Central compte 17 238 salles de classes dont 86,9 % sont dans un état jugé bon et 56,0 % construits en matériaux durables. La Province dispose encore d’une grande capacité d’accueil, car le ratio élèves/classe est inférieur à 40. </w:t>
            </w:r>
            <w:r w:rsidRPr="00765B4C">
              <w:rPr>
                <w:rFonts w:cs="Arial"/>
                <w:color w:val="000000"/>
                <w:szCs w:val="21"/>
              </w:rPr>
              <w:t>Par contre, pour ce qui est de l’accès aux établissements scolaires dans le primaire, près de 70 % des ménages disposent d’une école primaire à moins d’une demie heure de marche de leur domicile, dont 29,5 % à moins de dix minutes de marche et ils sont seulement 12,8 % à se trouver à plus d’une heure de l’école primaire la plus proche.</w:t>
            </w:r>
          </w:p>
          <w:p w14:paraId="5C24AE15" w14:textId="77777777" w:rsidR="001C2F95" w:rsidRPr="00765B4C" w:rsidRDefault="001C2F95" w:rsidP="00971FD2">
            <w:pPr>
              <w:textAlignment w:val="baseline"/>
              <w:rPr>
                <w:rFonts w:cs="Arial"/>
                <w:szCs w:val="21"/>
              </w:rPr>
            </w:pPr>
          </w:p>
          <w:p w14:paraId="06373313" w14:textId="77777777" w:rsidR="001C2F95" w:rsidRPr="00765B4C" w:rsidRDefault="001C2F95" w:rsidP="00971FD2">
            <w:pPr>
              <w:textAlignment w:val="baseline"/>
              <w:rPr>
                <w:rFonts w:cs="Arial"/>
                <w:szCs w:val="21"/>
              </w:rPr>
            </w:pPr>
            <w:r w:rsidRPr="00765B4C">
              <w:rPr>
                <w:rFonts w:cs="Arial"/>
                <w:szCs w:val="21"/>
              </w:rPr>
              <w:t xml:space="preserve">Le taux net de fréquentation scolaire au niveau primaire est de 83,4 % pour les garçons et 80,6 % pour les filles, tandis que le taux d’alphabétisation dans la population de 15-24 ans est de 91,2 % pour les garçons et de 73,6 % pour les filles. En outre, l’enquête MICS2-Palu, RDC, 2017-2018 renseigne que le taux net de scolarisation des enfants filles et </w:t>
            </w:r>
            <w:r w:rsidR="00AB3C0C" w:rsidRPr="00765B4C">
              <w:rPr>
                <w:rFonts w:cs="Arial"/>
                <w:szCs w:val="21"/>
              </w:rPr>
              <w:t>garçons</w:t>
            </w:r>
            <w:r w:rsidRPr="00765B4C">
              <w:rPr>
                <w:rFonts w:cs="Arial"/>
                <w:szCs w:val="21"/>
              </w:rPr>
              <w:t xml:space="preserve"> dans la province du Kongo Central est de 83,1%. En outre, 50,2% de la population de la Province du Kongo Central ont atteint le niveau secondaire et 2,2% le niveau universitaire (rapport PNUD). Ce taux risque d’augmenter avec le programme de la gratuité de l’enseignement du Gouvernement financé par la Banque mondiale.</w:t>
            </w:r>
          </w:p>
          <w:p w14:paraId="0EAF1268" w14:textId="77777777" w:rsidR="001C2F95" w:rsidRPr="00765B4C" w:rsidRDefault="001C2F95" w:rsidP="00971FD2">
            <w:pPr>
              <w:textAlignment w:val="baseline"/>
              <w:rPr>
                <w:rFonts w:cs="Arial"/>
                <w:szCs w:val="21"/>
              </w:rPr>
            </w:pPr>
            <w:r w:rsidRPr="00765B4C">
              <w:rPr>
                <w:rFonts w:cs="Arial"/>
                <w:szCs w:val="21"/>
              </w:rPr>
              <w:t>Les femmes ont de plus en plus accès à l’éducation. L’analyse des données des enquêtes EDS 2007 et 2013-2014 montre qu’il y a une nette amélioration de la fréquentation nette des filles dans le primaire. Cela se confirme lorsqu’on compare les résultats précédents à ceux de l’enquête MICS 2010.</w:t>
            </w:r>
          </w:p>
          <w:p w14:paraId="6D61E397" w14:textId="77777777" w:rsidR="001C2F95" w:rsidRPr="00765B4C" w:rsidRDefault="001C2F95" w:rsidP="00971FD2">
            <w:pPr>
              <w:pStyle w:val="Paragraphedeliste"/>
              <w:ind w:left="332"/>
              <w:textAlignment w:val="baseline"/>
              <w:rPr>
                <w:rFonts w:cs="Arial"/>
                <w:szCs w:val="21"/>
              </w:rPr>
            </w:pPr>
          </w:p>
          <w:p w14:paraId="5F650074" w14:textId="77777777" w:rsidR="001C2F95" w:rsidRPr="00765B4C" w:rsidRDefault="001C2F95" w:rsidP="00971FD2">
            <w:pPr>
              <w:textAlignment w:val="baseline"/>
              <w:rPr>
                <w:rFonts w:cs="Arial"/>
                <w:szCs w:val="21"/>
              </w:rPr>
            </w:pPr>
            <w:r w:rsidRPr="00765B4C">
              <w:rPr>
                <w:rFonts w:cs="Arial"/>
                <w:szCs w:val="21"/>
              </w:rPr>
              <w:t xml:space="preserve">Bien que des efforts soient consentis au primaire dans la fréquentation des filles, au niveau secondaire, en revanche, le taux net de fréquentation des filles demeure encore très faible et se situe à 39,2 %. Les mariages précoces contribuent à cette situation. Il sied de signaler que la coutume de peuple Nekongo est à la base de mariage </w:t>
            </w:r>
            <w:r w:rsidR="00AB3C0C" w:rsidRPr="00765B4C">
              <w:rPr>
                <w:rFonts w:cs="Arial"/>
                <w:szCs w:val="21"/>
              </w:rPr>
              <w:t>précoce</w:t>
            </w:r>
            <w:r w:rsidRPr="00765B4C">
              <w:rPr>
                <w:rFonts w:cs="Arial"/>
                <w:szCs w:val="21"/>
              </w:rPr>
              <w:t>. En ce qui concerne l’élimination des disparités entre filles et garçons, l’indice de parité montre qu’il n’y a plus des disparités entre les deux sexes au primaire depuis 2007 jusqu’en 2014 ; même si la tendance semble donner beaucoup plus de filles que de garçons au primaire.</w:t>
            </w:r>
          </w:p>
          <w:p w14:paraId="40CF51DC" w14:textId="77777777" w:rsidR="001C2F95" w:rsidRPr="00765B4C" w:rsidRDefault="001C2F95" w:rsidP="00971FD2">
            <w:pPr>
              <w:textAlignment w:val="baseline"/>
              <w:rPr>
                <w:rFonts w:cs="Arial"/>
                <w:szCs w:val="21"/>
              </w:rPr>
            </w:pPr>
          </w:p>
          <w:p w14:paraId="6C843817" w14:textId="77777777" w:rsidR="001C2F95" w:rsidRPr="00765B4C" w:rsidRDefault="001C2F95" w:rsidP="00971FD2">
            <w:pPr>
              <w:textAlignment w:val="baseline"/>
              <w:rPr>
                <w:rFonts w:cs="Arial"/>
                <w:szCs w:val="21"/>
              </w:rPr>
            </w:pPr>
            <w:r w:rsidRPr="00765B4C">
              <w:rPr>
                <w:rFonts w:cs="Arial"/>
                <w:szCs w:val="21"/>
              </w:rPr>
              <w:t>En somme, avec le Programme du Gouvernement sur la gratuité de l’enseignement, l’on espère voir tous les enfants en âge scolaire fréquenter l’école sans discrimination.</w:t>
            </w:r>
          </w:p>
        </w:tc>
      </w:tr>
      <w:tr w:rsidR="001C2F95" w:rsidRPr="001857F5" w14:paraId="1F40B931"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801FAC8" w14:textId="77777777" w:rsidR="001C2F95" w:rsidRPr="00765B4C" w:rsidRDefault="001C2F95" w:rsidP="00971FD2">
            <w:pPr>
              <w:jc w:val="left"/>
              <w:rPr>
                <w:rFonts w:eastAsia="Calibri" w:cs="Arial"/>
                <w:b/>
                <w:szCs w:val="21"/>
              </w:rPr>
            </w:pPr>
            <w:r w:rsidRPr="00765B4C">
              <w:rPr>
                <w:rFonts w:eastAsia="Calibri" w:cs="Arial"/>
                <w:b/>
                <w:szCs w:val="21"/>
              </w:rPr>
              <w:t>Infrastructures de transport</w:t>
            </w:r>
          </w:p>
        </w:tc>
        <w:tc>
          <w:tcPr>
            <w:tcW w:w="11287" w:type="dxa"/>
            <w:tcBorders>
              <w:top w:val="single" w:sz="4" w:space="0" w:color="000001"/>
              <w:left w:val="single" w:sz="4" w:space="0" w:color="000001"/>
              <w:bottom w:val="single" w:sz="4" w:space="0" w:color="000001"/>
              <w:right w:val="single" w:sz="4" w:space="0" w:color="000001"/>
            </w:tcBorders>
          </w:tcPr>
          <w:p w14:paraId="7EFECB3B" w14:textId="77777777" w:rsidR="001C2F95" w:rsidRPr="00765B4C" w:rsidRDefault="001C2F95" w:rsidP="00971FD2">
            <w:pPr>
              <w:textAlignment w:val="baseline"/>
              <w:rPr>
                <w:rFonts w:cs="Arial"/>
                <w:color w:val="000000"/>
                <w:szCs w:val="21"/>
              </w:rPr>
            </w:pPr>
            <w:r w:rsidRPr="00765B4C">
              <w:rPr>
                <w:rFonts w:cs="Arial"/>
                <w:color w:val="000000"/>
                <w:szCs w:val="21"/>
              </w:rPr>
              <w:t xml:space="preserve">La Province du Kongo Central compte un réseau de 1 730 km de routes à très grande circulation, soit 1.427 km de routes nationales et 303 km de routes d'intérêt provincial. De ces routes, 612 km sont revêtus et 1 118 km ne le sont pas. Des 612 km de routes revêtues, seul le tronçon Kinshasa-Matadi (365 km) est en bon état et entretenu régulièrement grâce notamment au Fonds du Péage instauré depuis 2006. De petits marchés de fortune naissent autour de ces Postes de Péage, et la plupart des vendeurs sont des femmes ainsi que de jeunes filles qui sont donc exposées aux risques des VBG, y compris l’EAS, suite à la grande circulation qui se passe dans ces endroits. Le reste de ce réseau, soit près de 80% (247 km de routes revêtues et 1 118 km de routes non revêtues) est en mauvais ou en très mauvais état. Il demande donc une réhabilitation, mieux, un revêtement (asphaltage ou bétonnage). </w:t>
            </w:r>
          </w:p>
          <w:p w14:paraId="0FC78AF3" w14:textId="77777777" w:rsidR="001C2F95" w:rsidRPr="00765B4C" w:rsidRDefault="001C2F95" w:rsidP="00971FD2">
            <w:pPr>
              <w:textAlignment w:val="baseline"/>
              <w:rPr>
                <w:rFonts w:cs="Arial"/>
                <w:color w:val="000000"/>
                <w:szCs w:val="21"/>
              </w:rPr>
            </w:pPr>
          </w:p>
          <w:p w14:paraId="752A5122" w14:textId="77777777" w:rsidR="001C2F95" w:rsidRPr="00765B4C" w:rsidRDefault="001C2F95" w:rsidP="00971FD2">
            <w:pPr>
              <w:textAlignment w:val="baseline"/>
              <w:rPr>
                <w:rFonts w:cs="Arial"/>
                <w:color w:val="000000"/>
                <w:szCs w:val="21"/>
              </w:rPr>
            </w:pPr>
            <w:r w:rsidRPr="00765B4C">
              <w:rPr>
                <w:rFonts w:cs="Arial"/>
                <w:color w:val="000000"/>
                <w:szCs w:val="21"/>
              </w:rPr>
              <w:t>Par ailleurs, du fait de l'accroissement prévisible de l'activité économique dans certaines parties de la Province (exploitations pétrolière et minière notamment), d'autres embranchements routiers devraient être envisagés.</w:t>
            </w:r>
          </w:p>
          <w:p w14:paraId="737782C7" w14:textId="77777777" w:rsidR="001C2F95" w:rsidRPr="00765B4C" w:rsidRDefault="001C2F95" w:rsidP="00971FD2">
            <w:pPr>
              <w:textAlignment w:val="baseline"/>
              <w:rPr>
                <w:rFonts w:cs="Arial"/>
                <w:color w:val="000000"/>
                <w:szCs w:val="21"/>
              </w:rPr>
            </w:pPr>
          </w:p>
          <w:p w14:paraId="4AE10F31" w14:textId="77777777" w:rsidR="001C2F95" w:rsidRPr="00765B4C" w:rsidRDefault="001C2F95" w:rsidP="00971FD2">
            <w:pPr>
              <w:textAlignment w:val="baseline"/>
              <w:rPr>
                <w:rFonts w:cs="Arial"/>
                <w:color w:val="000000"/>
                <w:szCs w:val="21"/>
              </w:rPr>
            </w:pPr>
            <w:r w:rsidRPr="00765B4C">
              <w:rPr>
                <w:rFonts w:cs="Arial"/>
                <w:color w:val="000000"/>
                <w:szCs w:val="21"/>
              </w:rPr>
              <w:t>Il y a donc là de nombreuses opportunités d'investissement pour les capitaux à risques, les Gouvernements Central et Provincial étant disposés à accorder des concessions de très longue durée pour permettre aux investisseurs de rentabiliser leurs capitaux moyennant péage.</w:t>
            </w:r>
          </w:p>
          <w:p w14:paraId="3710B13B" w14:textId="77777777" w:rsidR="001C2F95" w:rsidRPr="00765B4C" w:rsidRDefault="001C2F95" w:rsidP="00971FD2">
            <w:pPr>
              <w:textAlignment w:val="baseline"/>
              <w:rPr>
                <w:rFonts w:cs="Arial"/>
                <w:color w:val="000000"/>
                <w:szCs w:val="21"/>
              </w:rPr>
            </w:pPr>
          </w:p>
          <w:p w14:paraId="166BE387" w14:textId="77777777" w:rsidR="001C2F95" w:rsidRPr="00765B4C" w:rsidRDefault="001C2F95" w:rsidP="00971FD2">
            <w:pPr>
              <w:textAlignment w:val="baseline"/>
              <w:rPr>
                <w:rFonts w:cs="Arial"/>
                <w:color w:val="000000"/>
                <w:szCs w:val="21"/>
              </w:rPr>
            </w:pPr>
            <w:r w:rsidRPr="00765B4C">
              <w:rPr>
                <w:rFonts w:cs="Arial"/>
                <w:color w:val="000000"/>
                <w:szCs w:val="21"/>
              </w:rPr>
              <w:t>En 2019, le Projet PDPC a réhabilité 22 pistes rurales dans tous les Territoires de la Province du Kongo Central.</w:t>
            </w:r>
          </w:p>
          <w:p w14:paraId="44046345" w14:textId="77777777" w:rsidR="001857F5" w:rsidRPr="00765B4C" w:rsidRDefault="001857F5" w:rsidP="00971FD2">
            <w:pPr>
              <w:textAlignment w:val="baseline"/>
              <w:rPr>
                <w:rFonts w:cs="Arial"/>
                <w:color w:val="000000"/>
                <w:szCs w:val="21"/>
              </w:rPr>
            </w:pPr>
          </w:p>
          <w:p w14:paraId="776134DD" w14:textId="77777777" w:rsidR="001C2F95" w:rsidRPr="00765B4C" w:rsidRDefault="001C2F95" w:rsidP="00971FD2">
            <w:pPr>
              <w:textAlignment w:val="baseline"/>
              <w:rPr>
                <w:rFonts w:cs="Arial"/>
                <w:b/>
                <w:i/>
                <w:color w:val="000000"/>
                <w:szCs w:val="21"/>
              </w:rPr>
            </w:pPr>
            <w:r w:rsidRPr="00765B4C">
              <w:rPr>
                <w:rFonts w:cs="Arial"/>
                <w:b/>
                <w:i/>
                <w:color w:val="000000"/>
                <w:szCs w:val="21"/>
              </w:rPr>
              <w:t>Chemin de fer</w:t>
            </w:r>
          </w:p>
          <w:p w14:paraId="67360A94" w14:textId="77777777" w:rsidR="001C2F95" w:rsidRPr="00765B4C" w:rsidRDefault="001C2F95" w:rsidP="00971FD2">
            <w:pPr>
              <w:textAlignment w:val="baseline"/>
              <w:rPr>
                <w:rFonts w:cs="Arial"/>
                <w:color w:val="000000"/>
                <w:szCs w:val="21"/>
              </w:rPr>
            </w:pPr>
            <w:r w:rsidRPr="00765B4C">
              <w:rPr>
                <w:rFonts w:cs="Arial"/>
                <w:color w:val="000000"/>
                <w:szCs w:val="21"/>
              </w:rPr>
              <w:t xml:space="preserve">Afin de faciliter l'évacuation des produits qui seront importés via le Port en eaux profondes de Banana et les exportations du pays (principalement celle des minerais du Haut-Katanga) par la seule voie nationale sans rupture de charge, le Gouvernement Central a pris l'option de construire deux tronçons de voie ferrée pour compléter la voie ferrée nationale : le tronçon Ilebo-Kinshasa et le tronçon Matadi-Banana. </w:t>
            </w:r>
          </w:p>
        </w:tc>
      </w:tr>
      <w:tr w:rsidR="001C2F95" w:rsidRPr="001857F5" w14:paraId="13EB1FFF"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10D5615" w14:textId="77777777" w:rsidR="001C2F95" w:rsidRPr="00765B4C" w:rsidRDefault="001C2F95" w:rsidP="00971FD2">
            <w:pPr>
              <w:rPr>
                <w:rFonts w:eastAsia="Calibri" w:cs="Arial"/>
                <w:b/>
                <w:szCs w:val="21"/>
              </w:rPr>
            </w:pPr>
            <w:r w:rsidRPr="00765B4C">
              <w:rPr>
                <w:rFonts w:eastAsia="Calibri" w:cs="Arial"/>
                <w:b/>
                <w:szCs w:val="21"/>
              </w:rPr>
              <w:t>Accès à l’énergie</w:t>
            </w:r>
          </w:p>
        </w:tc>
        <w:tc>
          <w:tcPr>
            <w:tcW w:w="11287" w:type="dxa"/>
            <w:tcBorders>
              <w:top w:val="single" w:sz="4" w:space="0" w:color="000001"/>
              <w:left w:val="single" w:sz="4" w:space="0" w:color="000001"/>
              <w:bottom w:val="single" w:sz="4" w:space="0" w:color="000001"/>
              <w:right w:val="single" w:sz="4" w:space="0" w:color="000001"/>
            </w:tcBorders>
          </w:tcPr>
          <w:p w14:paraId="47AC2FD5" w14:textId="77777777" w:rsidR="001C2F95" w:rsidRPr="00765B4C" w:rsidRDefault="001C2F95" w:rsidP="00971FD2">
            <w:pPr>
              <w:textAlignment w:val="baseline"/>
              <w:rPr>
                <w:rFonts w:cs="Arial"/>
                <w:color w:val="000000"/>
                <w:szCs w:val="21"/>
              </w:rPr>
            </w:pPr>
            <w:r w:rsidRPr="00765B4C">
              <w:rPr>
                <w:rFonts w:cs="Arial"/>
                <w:color w:val="000000"/>
                <w:szCs w:val="21"/>
              </w:rPr>
              <w:t>L’accès à l’électricité reste globalement faible dans la Province alors que le pétrole est l’énergie la plus utilisée pour l’éclairage par les ménages. En effet, 16,1 % des ménages sont connectés au réseau électrique et utilisent l’électricité comme mode d’éclairage de leurs habitations. Ce pourcentage, légèrement supérieur à la moyenne nationale de 15 %, n’a connu qu’une faible amélioration depuis 2005, quand le taux de desserte était à 15 %. Au même moment, 71,5 % des ménages utilisent le pétrole avec la lampe tempête et la lampe Coleman. Finalement, si un ménage sur dix (9,8 %) en RDC utilise une énergie d’éclairage autre que les énergies classiques, dans la Province, cette proportion n’est que de 0,2 %. Pour la cuisson des aliments, la majeure partie des ménages dans la Province utilisent le bois de chauffe (61,4 %), et 30,2 % le charbon de bois, soit au total 91,6 % d’énergie de cuisson provenant de la forêt, avec des conséquences néfastes sur l’environnement en général (source : Rapport sur la situation économique de la Province du Kongo Central : «  Enjeux de la modernisation d'une province à fort potentiel énergétique face à la qualité de vie de sa population » Groupe de la Banque Mondiale – juin 2016.</w:t>
            </w:r>
          </w:p>
          <w:p w14:paraId="33B3CDCE" w14:textId="77777777" w:rsidR="001C2F95" w:rsidRPr="00765B4C" w:rsidRDefault="001C2F95" w:rsidP="00971FD2">
            <w:pPr>
              <w:textAlignment w:val="baseline"/>
              <w:rPr>
                <w:rFonts w:cs="Arial"/>
                <w:color w:val="000000"/>
                <w:szCs w:val="21"/>
              </w:rPr>
            </w:pPr>
            <w:r w:rsidRPr="00765B4C">
              <w:rPr>
                <w:rFonts w:cs="Arial"/>
                <w:color w:val="000000"/>
                <w:szCs w:val="21"/>
              </w:rPr>
              <w:t>Les jeunes garçons et jeunes filles font le ramassage de bois pour la survie. Par la suite, les filles sont plus exposées aux risques de VBG au cours de cette activité.</w:t>
            </w:r>
          </w:p>
        </w:tc>
      </w:tr>
      <w:tr w:rsidR="001C2F95" w:rsidRPr="001857F5" w14:paraId="7BD16C1F"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E372A0A" w14:textId="77777777" w:rsidR="001C2F95" w:rsidRPr="00765B4C" w:rsidRDefault="001C2F95" w:rsidP="00971FD2">
            <w:pPr>
              <w:textAlignment w:val="baseline"/>
              <w:rPr>
                <w:rFonts w:cs="Arial"/>
                <w:b/>
                <w:iCs/>
                <w:color w:val="000000"/>
                <w:szCs w:val="21"/>
                <w:shd w:val="clear" w:color="auto" w:fill="FFFFFF"/>
              </w:rPr>
            </w:pPr>
            <w:r w:rsidRPr="00765B4C">
              <w:rPr>
                <w:rFonts w:cs="Arial"/>
                <w:b/>
                <w:iCs/>
                <w:color w:val="000000"/>
                <w:szCs w:val="21"/>
                <w:shd w:val="clear" w:color="auto" w:fill="FFFFFF"/>
              </w:rPr>
              <w:t>Accès à l’eau</w:t>
            </w:r>
          </w:p>
        </w:tc>
        <w:tc>
          <w:tcPr>
            <w:tcW w:w="11287" w:type="dxa"/>
            <w:tcBorders>
              <w:top w:val="single" w:sz="4" w:space="0" w:color="000001"/>
              <w:left w:val="single" w:sz="4" w:space="0" w:color="000001"/>
              <w:bottom w:val="single" w:sz="4" w:space="0" w:color="000001"/>
              <w:right w:val="single" w:sz="4" w:space="0" w:color="000001"/>
            </w:tcBorders>
          </w:tcPr>
          <w:p w14:paraId="6554A882" w14:textId="77777777" w:rsidR="001C2F95" w:rsidRPr="00765B4C" w:rsidRDefault="001C2F95" w:rsidP="00971FD2">
            <w:pPr>
              <w:textAlignment w:val="baseline"/>
              <w:rPr>
                <w:rFonts w:cs="Arial"/>
                <w:color w:val="000000"/>
                <w:szCs w:val="21"/>
                <w:shd w:val="clear" w:color="auto" w:fill="FFFFFF"/>
              </w:rPr>
            </w:pPr>
            <w:r w:rsidRPr="00765B4C">
              <w:rPr>
                <w:rFonts w:cs="Arial"/>
                <w:color w:val="000000"/>
                <w:szCs w:val="21"/>
                <w:shd w:val="clear" w:color="auto" w:fill="FFFFFF"/>
              </w:rPr>
              <w:t>L’accès à l’eau potable est en amélioration dans la Province, mais demeure insuffisant, en dépit de l’immense potentiel en hydrographie. Dans la Province du Kongo Central, 61,3 % des ménages utilisent une source d’eau de boisson dite améliorée ; néanmoins 38,7 % déclarent que celle-ci se trouve dans leurs parcelles, ce qui signifie que la moitié des ménages dans le Kongo Central n’ont pas un accès direct à l’eau</w:t>
            </w:r>
            <w:r w:rsidR="00AB3C0C" w:rsidRPr="00765B4C">
              <w:rPr>
                <w:rFonts w:cs="Arial"/>
                <w:color w:val="000000"/>
                <w:szCs w:val="21"/>
                <w:shd w:val="clear" w:color="auto" w:fill="FFFFFF"/>
              </w:rPr>
              <w:t xml:space="preserve"> </w:t>
            </w:r>
            <w:r w:rsidR="00AB3C0C" w:rsidRPr="00765B4C">
              <w:rPr>
                <w:rFonts w:cs="Arial"/>
                <w:color w:val="000000"/>
                <w:szCs w:val="21"/>
              </w:rPr>
              <w:t>sur des routes insécures et à des heures tardives ou aux petites heures matinales</w:t>
            </w:r>
            <w:r w:rsidRPr="00765B4C">
              <w:rPr>
                <w:rFonts w:cs="Arial"/>
                <w:color w:val="000000"/>
                <w:szCs w:val="21"/>
                <w:shd w:val="clear" w:color="auto" w:fill="FFFFFF"/>
              </w:rPr>
              <w:t xml:space="preserve">. </w:t>
            </w:r>
            <w:r w:rsidRPr="00765B4C">
              <w:rPr>
                <w:rFonts w:cs="Arial"/>
                <w:color w:val="000000"/>
                <w:szCs w:val="21"/>
              </w:rPr>
              <w:t>Les jeunes filles sont exposées aux actes des VBG, y compris l’EAS et le HS, dans la communauté lorsqu’elles se rendent à la riv</w:t>
            </w:r>
            <w:r w:rsidR="00AB3C0C" w:rsidRPr="00765B4C">
              <w:rPr>
                <w:rFonts w:cs="Arial"/>
                <w:color w:val="000000"/>
                <w:szCs w:val="21"/>
              </w:rPr>
              <w:t>i</w:t>
            </w:r>
            <w:r w:rsidRPr="00765B4C">
              <w:rPr>
                <w:rFonts w:cs="Arial"/>
                <w:color w:val="000000"/>
                <w:szCs w:val="21"/>
              </w:rPr>
              <w:t>ère pour s’approvisionner en eau. Les jeunes adolescents surprennent et harcèlent les filles sur le trajet</w:t>
            </w:r>
            <w:r w:rsidR="00AB3C0C" w:rsidRPr="00765B4C">
              <w:rPr>
                <w:rFonts w:cs="Arial"/>
                <w:color w:val="000000"/>
                <w:szCs w:val="21"/>
              </w:rPr>
              <w:t xml:space="preserve"> et parfois obligent les filles à avoir des rapports sexuels avec eux</w:t>
            </w:r>
            <w:r w:rsidRPr="00765B4C">
              <w:rPr>
                <w:rFonts w:cs="Arial"/>
                <w:color w:val="000000"/>
                <w:szCs w:val="21"/>
              </w:rPr>
              <w:t>.</w:t>
            </w:r>
          </w:p>
        </w:tc>
      </w:tr>
      <w:tr w:rsidR="001C2F95" w:rsidRPr="001857F5" w14:paraId="2CB231E2"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C2DECDB" w14:textId="77777777" w:rsidR="001C2F95" w:rsidRPr="00765B4C" w:rsidRDefault="001C2F95" w:rsidP="00971FD2">
            <w:pPr>
              <w:rPr>
                <w:rFonts w:eastAsia="Calibri" w:cs="Arial"/>
                <w:b/>
                <w:szCs w:val="21"/>
              </w:rPr>
            </w:pPr>
            <w:r w:rsidRPr="00765B4C">
              <w:rPr>
                <w:rFonts w:eastAsia="Calibri" w:cs="Arial"/>
                <w:b/>
                <w:szCs w:val="21"/>
              </w:rPr>
              <w:t>Communication</w:t>
            </w:r>
          </w:p>
        </w:tc>
        <w:tc>
          <w:tcPr>
            <w:tcW w:w="11287" w:type="dxa"/>
            <w:tcBorders>
              <w:top w:val="single" w:sz="4" w:space="0" w:color="000001"/>
              <w:left w:val="single" w:sz="4" w:space="0" w:color="000001"/>
              <w:bottom w:val="single" w:sz="4" w:space="0" w:color="000001"/>
              <w:right w:val="single" w:sz="4" w:space="0" w:color="000001"/>
            </w:tcBorders>
          </w:tcPr>
          <w:p w14:paraId="78E45051" w14:textId="77777777" w:rsidR="001C2F95" w:rsidRPr="00765B4C" w:rsidRDefault="001C2F95" w:rsidP="00971FD2">
            <w:pPr>
              <w:textAlignment w:val="baseline"/>
              <w:rPr>
                <w:rFonts w:cs="Arial"/>
                <w:color w:val="000000"/>
                <w:szCs w:val="21"/>
              </w:rPr>
            </w:pPr>
            <w:r w:rsidRPr="00765B4C">
              <w:rPr>
                <w:rFonts w:cs="Arial"/>
                <w:color w:val="000000"/>
                <w:szCs w:val="21"/>
              </w:rPr>
              <w:t xml:space="preserve">Dans la Province du Kongo Central, l’on rencontre les entreprises de télécommunication cellulaire suivantes : Vodacom, Airtel et Orange. L’on note également dans la Province du Kongo Central la présence de la fibre optique qui n’est pas encore opérationnelle sur toute l’étendue de la République. Il y a aussi quelques cybercafés qui fournissent la connexion Internet. En ce qui concerne l’accès aux technologies de l’information et de la communication par le biais de l’internet, l’enquête 123 mentionne que 66,6% des ménages peuvent utiliser les services d’un cybercafé à moins de 20 minutes de leur domicile, dont 22,2% à moins de dix minutes. Seuls 22,3% des ménages n’y ont accès qu’après plus de cinquante minutes ou plus de marche. </w:t>
            </w:r>
          </w:p>
          <w:p w14:paraId="69EA2D8F" w14:textId="77777777" w:rsidR="00AB3C0C" w:rsidRPr="00765B4C" w:rsidRDefault="00AB3C0C" w:rsidP="00971FD2">
            <w:pPr>
              <w:textAlignment w:val="baseline"/>
              <w:rPr>
                <w:rFonts w:cs="Arial"/>
                <w:color w:val="000000"/>
                <w:szCs w:val="21"/>
              </w:rPr>
            </w:pPr>
          </w:p>
          <w:p w14:paraId="57E2A3C9" w14:textId="77777777" w:rsidR="00AB3C0C" w:rsidRPr="00765B4C" w:rsidRDefault="00AB3C0C" w:rsidP="00971FD2">
            <w:pPr>
              <w:textAlignment w:val="baseline"/>
              <w:rPr>
                <w:rFonts w:cs="Arial"/>
                <w:color w:val="000000"/>
                <w:szCs w:val="21"/>
              </w:rPr>
            </w:pPr>
            <w:r w:rsidRPr="00765B4C">
              <w:rPr>
                <w:rFonts w:cs="Arial"/>
                <w:color w:val="000000"/>
                <w:szCs w:val="21"/>
              </w:rPr>
              <w:t>Le Kongo Central, étant la Province la plus proche, est très influencé par la ville Province de Kinshasa. Ce qui fait qu’au niveau des zones urbaines les femmes comme les filles ont facilement accès aux téléphones mobiles. Le grand défi reste au niveau des zones rurales où les femmes moins instruites n’ont pas accès aux téléphones mobiles ni à l’internet. Les partenaires n’autorisent pas non plus l’accès aux téléphones et doivent passer par leur partenaire pour atteindre soit un membre de la famille.</w:t>
            </w:r>
          </w:p>
        </w:tc>
      </w:tr>
      <w:tr w:rsidR="001C2F95" w:rsidRPr="001857F5" w14:paraId="13829B65"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4B30791A" w14:textId="77777777" w:rsidR="001C2F95" w:rsidRPr="00765B4C" w:rsidRDefault="001C2F95" w:rsidP="00971FD2">
            <w:pPr>
              <w:rPr>
                <w:rFonts w:eastAsia="Calibri" w:cs="Arial"/>
                <w:b/>
                <w:szCs w:val="21"/>
              </w:rPr>
            </w:pPr>
            <w:r w:rsidRPr="00765B4C">
              <w:rPr>
                <w:rFonts w:eastAsia="Calibri" w:cs="Arial"/>
                <w:b/>
                <w:szCs w:val="21"/>
              </w:rPr>
              <w:t>Aire protégée</w:t>
            </w:r>
          </w:p>
        </w:tc>
        <w:tc>
          <w:tcPr>
            <w:tcW w:w="11287" w:type="dxa"/>
            <w:tcBorders>
              <w:top w:val="single" w:sz="4" w:space="0" w:color="000001"/>
              <w:left w:val="single" w:sz="4" w:space="0" w:color="000001"/>
              <w:bottom w:val="single" w:sz="4" w:space="0" w:color="000001"/>
              <w:right w:val="single" w:sz="4" w:space="0" w:color="000001"/>
            </w:tcBorders>
          </w:tcPr>
          <w:p w14:paraId="1DA2B7A9" w14:textId="77777777" w:rsidR="001C2F95" w:rsidRPr="00765B4C" w:rsidRDefault="001C2F95" w:rsidP="00971FD2">
            <w:pPr>
              <w:textAlignment w:val="baseline"/>
              <w:rPr>
                <w:rFonts w:cs="Arial"/>
                <w:color w:val="000000"/>
                <w:szCs w:val="21"/>
              </w:rPr>
            </w:pPr>
            <w:r w:rsidRPr="00765B4C">
              <w:rPr>
                <w:rFonts w:cs="Arial"/>
                <w:color w:val="000000"/>
                <w:szCs w:val="21"/>
              </w:rPr>
              <w:t>La Province du Kongo Central regorge un seul parc national, le parc marin des mangroves et quelques réserves de chasse et de la flore, notamment celle de Luki dans le territoire de Lukula et Boma dans une partie de la forêt de May</w:t>
            </w:r>
            <w:r w:rsidR="001977A4" w:rsidRPr="00765B4C">
              <w:rPr>
                <w:rFonts w:cs="Arial"/>
                <w:color w:val="000000"/>
                <w:szCs w:val="21"/>
              </w:rPr>
              <w:t>o</w:t>
            </w:r>
            <w:r w:rsidRPr="00765B4C">
              <w:rPr>
                <w:rFonts w:cs="Arial"/>
                <w:color w:val="000000"/>
                <w:szCs w:val="21"/>
              </w:rPr>
              <w:t>mbe. L’on note également le jardin botanique de Kisantu.</w:t>
            </w:r>
          </w:p>
          <w:p w14:paraId="066C8060" w14:textId="77777777" w:rsidR="001C2F95" w:rsidRPr="00765B4C" w:rsidRDefault="001C2F95" w:rsidP="00971FD2">
            <w:pPr>
              <w:textAlignment w:val="baseline"/>
              <w:rPr>
                <w:rFonts w:cs="Arial"/>
                <w:color w:val="000000"/>
                <w:szCs w:val="21"/>
              </w:rPr>
            </w:pPr>
            <w:r w:rsidRPr="00765B4C">
              <w:rPr>
                <w:rFonts w:cs="Arial"/>
                <w:color w:val="000000"/>
                <w:szCs w:val="21"/>
              </w:rPr>
              <w:t xml:space="preserve"> </w:t>
            </w:r>
          </w:p>
          <w:p w14:paraId="0B859C46" w14:textId="77777777" w:rsidR="001C2F95" w:rsidRPr="00765B4C" w:rsidRDefault="001C2F95" w:rsidP="00971FD2">
            <w:pPr>
              <w:textAlignment w:val="baseline"/>
              <w:rPr>
                <w:rFonts w:cs="Arial"/>
                <w:color w:val="000000"/>
                <w:szCs w:val="21"/>
              </w:rPr>
            </w:pPr>
            <w:r w:rsidRPr="00765B4C">
              <w:rPr>
                <w:rFonts w:cs="Arial"/>
                <w:color w:val="000000"/>
                <w:szCs w:val="21"/>
              </w:rPr>
              <w:t xml:space="preserve">Parc Marin des Mangroves  </w:t>
            </w:r>
          </w:p>
          <w:p w14:paraId="1FC8E227" w14:textId="77777777" w:rsidR="001C2F95" w:rsidRPr="00765B4C" w:rsidRDefault="001C2F95" w:rsidP="00971FD2">
            <w:pPr>
              <w:textAlignment w:val="baseline"/>
              <w:rPr>
                <w:rFonts w:cs="Arial"/>
                <w:color w:val="000000"/>
                <w:szCs w:val="21"/>
              </w:rPr>
            </w:pPr>
          </w:p>
          <w:p w14:paraId="7898B8E6" w14:textId="77777777" w:rsidR="001C2F95" w:rsidRPr="00765B4C" w:rsidRDefault="001C2F95" w:rsidP="00971FD2">
            <w:pPr>
              <w:textAlignment w:val="baseline"/>
              <w:rPr>
                <w:rFonts w:cs="Arial"/>
                <w:color w:val="000000"/>
                <w:szCs w:val="21"/>
              </w:rPr>
            </w:pPr>
            <w:r w:rsidRPr="00765B4C">
              <w:rPr>
                <w:rFonts w:cs="Arial"/>
                <w:color w:val="000000"/>
                <w:szCs w:val="21"/>
              </w:rPr>
              <w:t xml:space="preserve">Le Parc Marin des Mangroves (PMM) est une réserve naturelle intégrale qui a été créée par l’arrêté ministériel n°0044/CM/ECN/92 du 2 mai 1992 en vue de protéger le biotope spécial du littoral atlantique et les ressources biologiques caractéristiques des zones humides dont la forêt des mangroves à palétuvier, le Lamantin, la Tortue, plusieurs espèces d’oiseaux aquatiques et, de contribuer à la promotion du tourisme dans l’axe Kinshasa – Océan. Le Parc Marin des Mangroves est situé à l’embouchure du Fleuve Congo dans la province du Kongo Central.  </w:t>
            </w:r>
          </w:p>
          <w:p w14:paraId="15FA3B61" w14:textId="77777777" w:rsidR="001C2F95" w:rsidRPr="00765B4C" w:rsidRDefault="001C2F95" w:rsidP="00971FD2">
            <w:pPr>
              <w:textAlignment w:val="baseline"/>
              <w:rPr>
                <w:rFonts w:cs="Arial"/>
                <w:color w:val="000000"/>
                <w:szCs w:val="21"/>
              </w:rPr>
            </w:pPr>
            <w:r w:rsidRPr="00765B4C">
              <w:rPr>
                <w:rFonts w:cs="Arial"/>
                <w:color w:val="000000"/>
                <w:szCs w:val="21"/>
              </w:rPr>
              <w:t xml:space="preserve"> </w:t>
            </w:r>
          </w:p>
          <w:p w14:paraId="3BC4BA67" w14:textId="77777777" w:rsidR="001C2F95" w:rsidRPr="00765B4C" w:rsidRDefault="001C2F95" w:rsidP="00971FD2">
            <w:pPr>
              <w:textAlignment w:val="baseline"/>
              <w:rPr>
                <w:rFonts w:cs="Arial"/>
                <w:color w:val="000000"/>
                <w:szCs w:val="21"/>
              </w:rPr>
            </w:pPr>
            <w:r w:rsidRPr="00765B4C">
              <w:rPr>
                <w:rFonts w:cs="Arial"/>
                <w:color w:val="000000"/>
                <w:szCs w:val="21"/>
              </w:rPr>
              <w:t xml:space="preserve">Il a une superficie de 768 km² (76 800 ha) dont 20 % sont situés dans l’océan Atlantique. Le PMM est un site RAMSAR. Le PMM est subdivisé en deux zones :   </w:t>
            </w:r>
          </w:p>
          <w:p w14:paraId="052FC3CF" w14:textId="77777777" w:rsidR="001C2F95" w:rsidRPr="00765B4C" w:rsidRDefault="001C2F95" w:rsidP="00971FD2">
            <w:pPr>
              <w:textAlignment w:val="baseline"/>
              <w:rPr>
                <w:rFonts w:cs="Arial"/>
                <w:color w:val="000000"/>
                <w:szCs w:val="21"/>
              </w:rPr>
            </w:pPr>
            <w:r w:rsidRPr="00765B4C">
              <w:rPr>
                <w:rFonts w:cs="Arial"/>
                <w:color w:val="000000"/>
                <w:szCs w:val="21"/>
              </w:rPr>
              <w:t xml:space="preserve"> </w:t>
            </w:r>
          </w:p>
          <w:p w14:paraId="14778D21" w14:textId="77777777" w:rsidR="001C2F95" w:rsidRPr="00765B4C" w:rsidRDefault="001C2F95" w:rsidP="002378EA">
            <w:pPr>
              <w:pStyle w:val="Paragraphedeliste"/>
              <w:numPr>
                <w:ilvl w:val="0"/>
                <w:numId w:val="44"/>
              </w:numPr>
              <w:textAlignment w:val="baseline"/>
              <w:rPr>
                <w:rFonts w:cs="Arial"/>
                <w:color w:val="000000"/>
                <w:szCs w:val="21"/>
              </w:rPr>
            </w:pPr>
            <w:r w:rsidRPr="00765B4C">
              <w:rPr>
                <w:rFonts w:cs="Arial"/>
                <w:color w:val="000000"/>
                <w:szCs w:val="21"/>
              </w:rPr>
              <w:t xml:space="preserve">la Zone A de protection intégrale proprement dite comprenant la majeure partie des mangroves à palétuviers et constituée d’îlots et de chenaux et,  </w:t>
            </w:r>
          </w:p>
          <w:p w14:paraId="496DF5EB" w14:textId="77777777" w:rsidR="001C2F95" w:rsidRPr="00765B4C" w:rsidRDefault="001C2F95" w:rsidP="002378EA">
            <w:pPr>
              <w:pStyle w:val="Paragraphedeliste"/>
              <w:numPr>
                <w:ilvl w:val="0"/>
                <w:numId w:val="44"/>
              </w:numPr>
              <w:textAlignment w:val="baseline"/>
              <w:rPr>
                <w:rFonts w:cs="Arial"/>
                <w:color w:val="000000"/>
                <w:szCs w:val="21"/>
              </w:rPr>
            </w:pPr>
            <w:r w:rsidRPr="00765B4C">
              <w:rPr>
                <w:rFonts w:cs="Arial"/>
                <w:color w:val="000000"/>
                <w:szCs w:val="21"/>
              </w:rPr>
              <w:t xml:space="preserve">la Zone B de protection partielle caractérisée par la savane humide dénudée avec des étangs.  </w:t>
            </w:r>
          </w:p>
          <w:p w14:paraId="1A80046D" w14:textId="77777777" w:rsidR="001C2F95" w:rsidRPr="00765B4C" w:rsidRDefault="001C2F95" w:rsidP="00971FD2">
            <w:pPr>
              <w:textAlignment w:val="baseline"/>
              <w:rPr>
                <w:rFonts w:cs="Arial"/>
                <w:color w:val="000000"/>
                <w:szCs w:val="21"/>
              </w:rPr>
            </w:pPr>
          </w:p>
          <w:p w14:paraId="3C368B16" w14:textId="77777777" w:rsidR="001C2F95" w:rsidRPr="00765B4C" w:rsidRDefault="001C2F95" w:rsidP="00971FD2">
            <w:pPr>
              <w:textAlignment w:val="baseline"/>
              <w:rPr>
                <w:rFonts w:cs="Arial"/>
                <w:color w:val="000000"/>
                <w:szCs w:val="21"/>
              </w:rPr>
            </w:pPr>
            <w:r w:rsidRPr="00765B4C">
              <w:rPr>
                <w:rFonts w:cs="Arial"/>
                <w:color w:val="000000"/>
                <w:szCs w:val="21"/>
              </w:rPr>
              <w:t>Les principales espèces du PMM sont les tortues marines et les lamantins. On note aussi la présence du Buffle, du Potamochère, du Cercopithèque (sp.), de l’Hippopotame, du Céphalophe (sp.), du Sitatunga, du Guib harnaché. Il y aurait, en outre 40 espèces de poissons et 13 espèces de reptiles. L’habitat est constitué de forêts marécageuses, de forêts périodiquement inondées, de forêts de mangroves, ainsi que de savanes.</w:t>
            </w:r>
          </w:p>
        </w:tc>
      </w:tr>
    </w:tbl>
    <w:p w14:paraId="14902159" w14:textId="77777777" w:rsidR="001C2F95" w:rsidRPr="00765B4C" w:rsidRDefault="001C2F95" w:rsidP="001C2F95">
      <w:pPr>
        <w:jc w:val="center"/>
        <w:rPr>
          <w:rFonts w:cs="Arial"/>
          <w:i/>
          <w:sz w:val="20"/>
          <w:szCs w:val="20"/>
        </w:rPr>
      </w:pPr>
      <w:r w:rsidRPr="00765B4C">
        <w:rPr>
          <w:rFonts w:cs="Arial"/>
          <w:i/>
          <w:sz w:val="20"/>
          <w:szCs w:val="20"/>
        </w:rPr>
        <w:t xml:space="preserve">Source : </w:t>
      </w:r>
      <w:hyperlink r:id="rId29" w:history="1">
        <w:r w:rsidRPr="00765B4C">
          <w:rPr>
            <w:rStyle w:val="Lienhypertexte"/>
            <w:rFonts w:cs="Arial"/>
            <w:sz w:val="20"/>
            <w:szCs w:val="20"/>
          </w:rPr>
          <w:t>https://www.caid.cd/index.php/donnees-par-province-administrative/province-de-Kongo Central/?donnees=fiche</w:t>
        </w:r>
      </w:hyperlink>
      <w:r w:rsidRPr="00765B4C">
        <w:rPr>
          <w:rFonts w:cs="Arial"/>
          <w:sz w:val="20"/>
          <w:szCs w:val="20"/>
        </w:rPr>
        <w:t xml:space="preserve"> </w:t>
      </w:r>
      <w:r w:rsidRPr="00765B4C">
        <w:rPr>
          <w:rFonts w:cs="Arial"/>
          <w:i/>
          <w:sz w:val="20"/>
          <w:szCs w:val="20"/>
        </w:rPr>
        <w:t xml:space="preserve">,01 mai 2020 </w:t>
      </w:r>
    </w:p>
    <w:p w14:paraId="775821F4" w14:textId="77777777" w:rsidR="003142D9" w:rsidRDefault="003142D9" w:rsidP="001C2F95">
      <w:pPr>
        <w:spacing w:line="240" w:lineRule="auto"/>
        <w:jc w:val="left"/>
        <w:rPr>
          <w:rFonts w:cs="Arial"/>
          <w:szCs w:val="21"/>
        </w:rPr>
      </w:pPr>
    </w:p>
    <w:p w14:paraId="59D1CBBA" w14:textId="024E1B4C" w:rsidR="001C2F95" w:rsidRPr="00765B4C" w:rsidRDefault="001C2F95" w:rsidP="001C2F95">
      <w:pPr>
        <w:spacing w:line="240" w:lineRule="auto"/>
        <w:jc w:val="left"/>
        <w:rPr>
          <w:rFonts w:cs="Arial"/>
          <w:i/>
          <w:szCs w:val="21"/>
        </w:rPr>
      </w:pPr>
      <w:bookmarkStart w:id="274" w:name="_Toc90392974"/>
      <w:r w:rsidRPr="00765B4C">
        <w:rPr>
          <w:rFonts w:cs="Arial"/>
          <w:szCs w:val="21"/>
        </w:rPr>
        <w:t xml:space="preserve">Tableau </w:t>
      </w:r>
      <w:r w:rsidRPr="00765B4C">
        <w:rPr>
          <w:rFonts w:cs="Arial"/>
          <w:szCs w:val="21"/>
        </w:rPr>
        <w:fldChar w:fldCharType="begin"/>
      </w:r>
      <w:r w:rsidRPr="00765B4C">
        <w:rPr>
          <w:rFonts w:cs="Arial"/>
          <w:szCs w:val="21"/>
        </w:rPr>
        <w:instrText xml:space="preserve"> SEQ Tableau \* ARABIC </w:instrText>
      </w:r>
      <w:r w:rsidRPr="00765B4C">
        <w:rPr>
          <w:rFonts w:cs="Arial"/>
          <w:szCs w:val="21"/>
        </w:rPr>
        <w:fldChar w:fldCharType="separate"/>
      </w:r>
      <w:r w:rsidR="00765B4C">
        <w:rPr>
          <w:rFonts w:cs="Arial"/>
          <w:noProof/>
          <w:szCs w:val="21"/>
        </w:rPr>
        <w:t>6</w:t>
      </w:r>
      <w:r w:rsidRPr="00765B4C">
        <w:rPr>
          <w:rFonts w:cs="Arial"/>
          <w:szCs w:val="21"/>
        </w:rPr>
        <w:fldChar w:fldCharType="end"/>
      </w:r>
      <w:r w:rsidRPr="00765B4C">
        <w:rPr>
          <w:rFonts w:cs="Arial"/>
          <w:szCs w:val="21"/>
        </w:rPr>
        <w:t>. Données socio-économiques de la Province du Kasaï Central</w:t>
      </w:r>
      <w:bookmarkEnd w:id="274"/>
    </w:p>
    <w:p w14:paraId="60817CD4" w14:textId="77777777" w:rsidR="001C2F95" w:rsidRPr="00765B4C" w:rsidRDefault="001C2F95" w:rsidP="001C2F95">
      <w:pPr>
        <w:jc w:val="center"/>
        <w:rPr>
          <w:rFonts w:cs="Arial"/>
          <w:i/>
          <w:szCs w:val="21"/>
        </w:rPr>
      </w:pPr>
    </w:p>
    <w:tbl>
      <w:tblPr>
        <w:tblW w:w="13665"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2378"/>
        <w:gridCol w:w="11287"/>
      </w:tblGrid>
      <w:tr w:rsidR="001C2F95" w:rsidRPr="001857F5" w14:paraId="4BE8199D" w14:textId="77777777" w:rsidTr="00971FD2">
        <w:trPr>
          <w:trHeight w:val="414"/>
          <w:tblHeader/>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C2D69B"/>
            <w:tcMar>
              <w:left w:w="108" w:type="dxa"/>
            </w:tcMar>
          </w:tcPr>
          <w:p w14:paraId="629EBE2F" w14:textId="77777777" w:rsidR="001C2F95" w:rsidRPr="00765B4C" w:rsidRDefault="001C2F95" w:rsidP="00971FD2">
            <w:pPr>
              <w:jc w:val="center"/>
              <w:rPr>
                <w:rFonts w:eastAsia="Calibri" w:cs="Arial"/>
                <w:b/>
                <w:sz w:val="20"/>
                <w:szCs w:val="20"/>
              </w:rPr>
            </w:pPr>
            <w:r w:rsidRPr="00765B4C">
              <w:rPr>
                <w:rFonts w:eastAsia="Calibri" w:cs="Arial"/>
                <w:b/>
                <w:sz w:val="20"/>
                <w:szCs w:val="20"/>
              </w:rPr>
              <w:t>Secteur</w:t>
            </w:r>
          </w:p>
        </w:tc>
        <w:tc>
          <w:tcPr>
            <w:tcW w:w="11287" w:type="dxa"/>
            <w:tcBorders>
              <w:top w:val="single" w:sz="4" w:space="0" w:color="000001"/>
              <w:left w:val="single" w:sz="4" w:space="0" w:color="000001"/>
              <w:bottom w:val="single" w:sz="4" w:space="0" w:color="000001"/>
              <w:right w:val="single" w:sz="4" w:space="0" w:color="000001"/>
            </w:tcBorders>
            <w:shd w:val="clear" w:color="auto" w:fill="C2D69B"/>
          </w:tcPr>
          <w:p w14:paraId="7EF303DC" w14:textId="77777777" w:rsidR="001C2F95" w:rsidRPr="00765B4C" w:rsidRDefault="001C2F95" w:rsidP="00971FD2">
            <w:pPr>
              <w:jc w:val="center"/>
              <w:rPr>
                <w:rFonts w:eastAsia="Calibri" w:cs="Arial"/>
                <w:b/>
                <w:sz w:val="20"/>
                <w:szCs w:val="20"/>
              </w:rPr>
            </w:pPr>
            <w:r w:rsidRPr="00765B4C">
              <w:rPr>
                <w:rFonts w:eastAsia="Calibri" w:cs="Arial"/>
                <w:b/>
                <w:sz w:val="20"/>
                <w:szCs w:val="20"/>
              </w:rPr>
              <w:t>Province du Kasaï Central</w:t>
            </w:r>
          </w:p>
        </w:tc>
      </w:tr>
      <w:tr w:rsidR="001C2F95" w:rsidRPr="001857F5" w14:paraId="276FCF41" w14:textId="77777777" w:rsidTr="00971FD2">
        <w:trPr>
          <w:trHeight w:val="276"/>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22B7E45" w14:textId="77777777" w:rsidR="001C2F95" w:rsidRPr="00765B4C" w:rsidRDefault="001C2F95" w:rsidP="00971FD2">
            <w:pPr>
              <w:rPr>
                <w:rFonts w:cs="Arial"/>
                <w:b/>
                <w:iCs/>
                <w:color w:val="000000"/>
                <w:sz w:val="20"/>
                <w:szCs w:val="20"/>
              </w:rPr>
            </w:pPr>
            <w:r w:rsidRPr="00765B4C">
              <w:rPr>
                <w:rFonts w:cs="Arial"/>
                <w:b/>
                <w:iCs/>
                <w:color w:val="000000"/>
                <w:sz w:val="20"/>
                <w:szCs w:val="20"/>
              </w:rPr>
              <w:t>Situation géographique</w:t>
            </w:r>
          </w:p>
        </w:tc>
        <w:tc>
          <w:tcPr>
            <w:tcW w:w="11287" w:type="dxa"/>
            <w:tcBorders>
              <w:top w:val="single" w:sz="4" w:space="0" w:color="000001"/>
              <w:left w:val="single" w:sz="4" w:space="0" w:color="000001"/>
              <w:bottom w:val="single" w:sz="4" w:space="0" w:color="000001"/>
              <w:right w:val="single" w:sz="4" w:space="0" w:color="000001"/>
            </w:tcBorders>
          </w:tcPr>
          <w:p w14:paraId="7997D58F" w14:textId="77777777" w:rsidR="001C2F95" w:rsidRPr="00765B4C" w:rsidRDefault="001C2F95" w:rsidP="00971FD2">
            <w:pPr>
              <w:textAlignment w:val="baseline"/>
              <w:rPr>
                <w:rFonts w:cs="Arial"/>
                <w:b/>
                <w:i/>
                <w:color w:val="000000"/>
                <w:sz w:val="20"/>
                <w:szCs w:val="20"/>
              </w:rPr>
            </w:pPr>
            <w:r w:rsidRPr="00765B4C">
              <w:rPr>
                <w:rFonts w:cs="Arial"/>
                <w:b/>
                <w:i/>
                <w:color w:val="000000"/>
                <w:sz w:val="20"/>
                <w:szCs w:val="20"/>
              </w:rPr>
              <w:t>Localisation </w:t>
            </w:r>
          </w:p>
          <w:p w14:paraId="50E8CD81" w14:textId="77777777" w:rsidR="001C2F95" w:rsidRPr="00765B4C" w:rsidRDefault="001C2F95" w:rsidP="00971FD2">
            <w:pPr>
              <w:rPr>
                <w:rFonts w:cs="Arial"/>
                <w:color w:val="000000"/>
                <w:sz w:val="20"/>
                <w:szCs w:val="20"/>
              </w:rPr>
            </w:pPr>
            <w:r w:rsidRPr="00765B4C">
              <w:rPr>
                <w:rFonts w:cs="Arial"/>
                <w:color w:val="000000"/>
                <w:sz w:val="20"/>
                <w:szCs w:val="20"/>
              </w:rPr>
              <w:t xml:space="preserve">Le Kasaï Central est depuis 2015 une Province de la </w:t>
            </w:r>
            <w:hyperlink r:id="rId30" w:tooltip="République démocratique du Congo" w:history="1">
              <w:r w:rsidRPr="00765B4C">
                <w:rPr>
                  <w:rFonts w:cs="Arial"/>
                  <w:color w:val="000000"/>
                  <w:sz w:val="20"/>
                  <w:szCs w:val="20"/>
                </w:rPr>
                <w:t>République Démocratique du Congo</w:t>
              </w:r>
            </w:hyperlink>
            <w:r w:rsidRPr="00765B4C">
              <w:rPr>
                <w:rFonts w:cs="Arial"/>
                <w:color w:val="000000"/>
                <w:sz w:val="20"/>
                <w:szCs w:val="20"/>
              </w:rPr>
              <w:t xml:space="preserve"> à la suite de l'éclatement de l’ancienne Province du </w:t>
            </w:r>
            <w:hyperlink r:id="rId31" w:tooltip="Kasaï-Occidental" w:history="1">
              <w:r w:rsidRPr="00765B4C">
                <w:rPr>
                  <w:rFonts w:cs="Arial"/>
                  <w:color w:val="000000"/>
                  <w:sz w:val="20"/>
                  <w:szCs w:val="20"/>
                </w:rPr>
                <w:t>Kasaï-Occidental</w:t>
              </w:r>
            </w:hyperlink>
            <w:r w:rsidRPr="00765B4C">
              <w:rPr>
                <w:rFonts w:cs="Arial"/>
                <w:color w:val="000000"/>
                <w:sz w:val="20"/>
                <w:szCs w:val="20"/>
              </w:rPr>
              <w:t xml:space="preserve">. Elle a pour Chef-lieu la Ville de </w:t>
            </w:r>
            <w:hyperlink r:id="rId32" w:tooltip="Kananga" w:history="1">
              <w:r w:rsidRPr="00765B4C">
                <w:rPr>
                  <w:rFonts w:cs="Arial"/>
                  <w:color w:val="000000"/>
                  <w:sz w:val="20"/>
                  <w:szCs w:val="20"/>
                </w:rPr>
                <w:t>Kananga</w:t>
              </w:r>
            </w:hyperlink>
            <w:r w:rsidRPr="00765B4C">
              <w:rPr>
                <w:rFonts w:cs="Arial"/>
                <w:color w:val="000000"/>
                <w:sz w:val="20"/>
                <w:szCs w:val="20"/>
              </w:rPr>
              <w:t xml:space="preserve">. </w:t>
            </w:r>
          </w:p>
          <w:p w14:paraId="0E209FC3" w14:textId="77777777" w:rsidR="001C2F95" w:rsidRPr="00765B4C" w:rsidRDefault="001C2F95" w:rsidP="00971FD2">
            <w:pPr>
              <w:rPr>
                <w:rFonts w:cs="Arial"/>
                <w:color w:val="000000"/>
                <w:sz w:val="20"/>
                <w:szCs w:val="20"/>
              </w:rPr>
            </w:pPr>
          </w:p>
          <w:p w14:paraId="149DC3C6" w14:textId="77777777" w:rsidR="001C2F95" w:rsidRPr="00765B4C" w:rsidRDefault="001C2F95" w:rsidP="00971FD2">
            <w:pPr>
              <w:rPr>
                <w:rFonts w:cs="Arial"/>
                <w:color w:val="000000"/>
                <w:sz w:val="20"/>
                <w:szCs w:val="20"/>
              </w:rPr>
            </w:pPr>
            <w:r w:rsidRPr="00765B4C">
              <w:rPr>
                <w:rFonts w:cs="Arial"/>
                <w:color w:val="000000"/>
                <w:sz w:val="20"/>
                <w:szCs w:val="20"/>
              </w:rPr>
              <w:t xml:space="preserve">La Province du Kasaï Central est bornée au Nord par la Province de </w:t>
            </w:r>
            <w:hyperlink r:id="rId33" w:tooltip="Sankuru (district)" w:history="1">
              <w:r w:rsidRPr="00765B4C">
                <w:rPr>
                  <w:rFonts w:cs="Arial"/>
                  <w:color w:val="000000"/>
                  <w:sz w:val="20"/>
                  <w:szCs w:val="20"/>
                </w:rPr>
                <w:t>Sankuru</w:t>
              </w:r>
            </w:hyperlink>
            <w:r w:rsidRPr="00765B4C">
              <w:rPr>
                <w:rFonts w:cs="Arial"/>
                <w:color w:val="000000"/>
                <w:sz w:val="20"/>
                <w:szCs w:val="20"/>
              </w:rPr>
              <w:t>, au Sud par la Province angolaise de Lunda Norte et de la Province du Lualaba, à l’Est par la Province du Kasaï-Oriental et à l’Ouest par la Province du Kasaï.</w:t>
            </w:r>
          </w:p>
          <w:p w14:paraId="036C44CC" w14:textId="77777777" w:rsidR="001C2F95" w:rsidRPr="00765B4C" w:rsidRDefault="001C2F95" w:rsidP="00971FD2">
            <w:pPr>
              <w:rPr>
                <w:rFonts w:cs="Arial"/>
                <w:color w:val="000000"/>
                <w:sz w:val="20"/>
                <w:szCs w:val="20"/>
              </w:rPr>
            </w:pPr>
          </w:p>
          <w:p w14:paraId="6B97EC9F" w14:textId="77777777" w:rsidR="001C2F95" w:rsidRPr="00765B4C" w:rsidRDefault="001C2F95" w:rsidP="00971FD2">
            <w:pPr>
              <w:rPr>
                <w:rFonts w:cs="Arial"/>
                <w:color w:val="000000"/>
                <w:sz w:val="20"/>
                <w:szCs w:val="20"/>
              </w:rPr>
            </w:pPr>
            <w:r w:rsidRPr="00765B4C">
              <w:rPr>
                <w:rFonts w:cs="Arial"/>
                <w:color w:val="000000"/>
                <w:sz w:val="20"/>
                <w:szCs w:val="20"/>
              </w:rPr>
              <w:t>Elle a une superficie de 58 368 km</w:t>
            </w:r>
            <w:r w:rsidRPr="00765B4C">
              <w:rPr>
                <w:rFonts w:cs="Arial"/>
                <w:color w:val="000000"/>
                <w:sz w:val="20"/>
                <w:szCs w:val="20"/>
                <w:vertAlign w:val="superscript"/>
              </w:rPr>
              <w:t>2</w:t>
            </w:r>
            <w:r w:rsidRPr="00765B4C">
              <w:rPr>
                <w:rFonts w:cs="Arial"/>
                <w:color w:val="000000"/>
                <w:sz w:val="20"/>
                <w:szCs w:val="20"/>
              </w:rPr>
              <w:t xml:space="preserve"> et est située entre les </w:t>
            </w:r>
            <w:hyperlink r:id="rId34" w:tooltip="Parallèle (géographie)" w:history="1">
              <w:r w:rsidRPr="00765B4C">
                <w:rPr>
                  <w:rFonts w:cs="Arial"/>
                  <w:color w:val="000000"/>
                  <w:sz w:val="20"/>
                  <w:szCs w:val="20"/>
                </w:rPr>
                <w:t>parallèles</w:t>
              </w:r>
            </w:hyperlink>
            <w:r w:rsidRPr="00765B4C">
              <w:rPr>
                <w:rFonts w:cs="Arial"/>
                <w:color w:val="000000"/>
                <w:sz w:val="20"/>
                <w:szCs w:val="20"/>
              </w:rPr>
              <w:t xml:space="preserve"> 2° et 8° de </w:t>
            </w:r>
            <w:hyperlink r:id="rId35" w:tooltip="Latitude" w:history="1">
              <w:r w:rsidRPr="00765B4C">
                <w:rPr>
                  <w:rFonts w:cs="Arial"/>
                  <w:color w:val="000000"/>
                  <w:sz w:val="20"/>
                  <w:szCs w:val="20"/>
                </w:rPr>
                <w:t>latitude</w:t>
              </w:r>
            </w:hyperlink>
            <w:r w:rsidRPr="00765B4C">
              <w:rPr>
                <w:rFonts w:cs="Arial"/>
                <w:color w:val="000000"/>
                <w:sz w:val="20"/>
                <w:szCs w:val="20"/>
              </w:rPr>
              <w:t xml:space="preserve"> Sud et entre les </w:t>
            </w:r>
            <w:hyperlink r:id="rId36" w:tooltip="Méridien" w:history="1">
              <w:r w:rsidRPr="00765B4C">
                <w:rPr>
                  <w:rFonts w:cs="Arial"/>
                  <w:color w:val="000000"/>
                  <w:sz w:val="20"/>
                  <w:szCs w:val="20"/>
                </w:rPr>
                <w:t>méridiens</w:t>
              </w:r>
            </w:hyperlink>
            <w:r w:rsidRPr="00765B4C">
              <w:rPr>
                <w:rFonts w:cs="Arial"/>
                <w:color w:val="000000"/>
                <w:sz w:val="20"/>
                <w:szCs w:val="20"/>
              </w:rPr>
              <w:t xml:space="preserve"> 21°30’ et 24° de </w:t>
            </w:r>
            <w:hyperlink r:id="rId37" w:tooltip="Longitude" w:history="1">
              <w:r w:rsidRPr="00765B4C">
                <w:rPr>
                  <w:rFonts w:cs="Arial"/>
                  <w:color w:val="000000"/>
                  <w:sz w:val="20"/>
                  <w:szCs w:val="20"/>
                </w:rPr>
                <w:t>longitude</w:t>
              </w:r>
            </w:hyperlink>
            <w:r w:rsidRPr="00765B4C">
              <w:rPr>
                <w:rFonts w:cs="Arial"/>
                <w:color w:val="000000"/>
                <w:sz w:val="20"/>
                <w:szCs w:val="20"/>
              </w:rPr>
              <w:t xml:space="preserve"> Est.</w:t>
            </w:r>
          </w:p>
          <w:p w14:paraId="3E5D778A" w14:textId="77777777" w:rsidR="001C2F95" w:rsidRPr="00765B4C" w:rsidRDefault="001C2F95" w:rsidP="00971FD2">
            <w:pPr>
              <w:jc w:val="left"/>
              <w:textAlignment w:val="baseline"/>
              <w:rPr>
                <w:rFonts w:cs="Arial"/>
                <w:color w:val="000000"/>
                <w:sz w:val="20"/>
                <w:szCs w:val="20"/>
              </w:rPr>
            </w:pPr>
          </w:p>
          <w:p w14:paraId="22BFB2A4" w14:textId="77777777" w:rsidR="001C2F95" w:rsidRPr="00765B4C" w:rsidRDefault="001C2F95" w:rsidP="00971FD2">
            <w:pPr>
              <w:textAlignment w:val="baseline"/>
              <w:rPr>
                <w:rFonts w:cs="Arial"/>
                <w:b/>
                <w:i/>
                <w:color w:val="000000"/>
                <w:sz w:val="20"/>
                <w:szCs w:val="20"/>
              </w:rPr>
            </w:pPr>
            <w:r w:rsidRPr="00765B4C">
              <w:rPr>
                <w:rFonts w:cs="Arial"/>
                <w:b/>
                <w:i/>
                <w:color w:val="000000"/>
                <w:sz w:val="20"/>
                <w:szCs w:val="20"/>
              </w:rPr>
              <w:t>Climat et saisons </w:t>
            </w:r>
          </w:p>
          <w:p w14:paraId="2F34F853" w14:textId="77777777" w:rsidR="001C2F95" w:rsidRPr="00765B4C" w:rsidRDefault="001C2F95" w:rsidP="00971FD2">
            <w:pPr>
              <w:rPr>
                <w:rFonts w:cs="Arial"/>
                <w:color w:val="000000"/>
                <w:sz w:val="20"/>
                <w:szCs w:val="20"/>
              </w:rPr>
            </w:pPr>
            <w:r w:rsidRPr="00765B4C">
              <w:rPr>
                <w:rFonts w:cs="Arial"/>
                <w:color w:val="000000"/>
                <w:sz w:val="20"/>
                <w:szCs w:val="20"/>
              </w:rPr>
              <w:t xml:space="preserve">Le </w:t>
            </w:r>
            <w:hyperlink r:id="rId38" w:tooltip="Climat" w:history="1">
              <w:r w:rsidRPr="00765B4C">
                <w:rPr>
                  <w:rFonts w:cs="Arial"/>
                  <w:color w:val="000000"/>
                  <w:sz w:val="20"/>
                  <w:szCs w:val="20"/>
                </w:rPr>
                <w:t>climat</w:t>
              </w:r>
            </w:hyperlink>
            <w:r w:rsidRPr="00765B4C">
              <w:rPr>
                <w:rFonts w:cs="Arial"/>
                <w:color w:val="000000"/>
                <w:sz w:val="20"/>
                <w:szCs w:val="20"/>
              </w:rPr>
              <w:t xml:space="preserve"> de la Province du Kasaï Central est du type </w:t>
            </w:r>
            <w:hyperlink r:id="rId39" w:tooltip="Climat tropical" w:history="1">
              <w:r w:rsidRPr="00765B4C">
                <w:rPr>
                  <w:rFonts w:cs="Arial"/>
                  <w:color w:val="000000"/>
                  <w:sz w:val="20"/>
                  <w:szCs w:val="20"/>
                </w:rPr>
                <w:t>tropical chaud et humide</w:t>
              </w:r>
            </w:hyperlink>
            <w:r w:rsidRPr="00765B4C">
              <w:rPr>
                <w:rFonts w:cs="Arial"/>
                <w:color w:val="000000"/>
                <w:sz w:val="20"/>
                <w:szCs w:val="20"/>
              </w:rPr>
              <w:t xml:space="preserve"> caractérisé par l’alternance des </w:t>
            </w:r>
            <w:hyperlink r:id="rId40" w:tooltip="Saison" w:history="1">
              <w:r w:rsidRPr="00765B4C">
                <w:rPr>
                  <w:rFonts w:cs="Arial"/>
                  <w:color w:val="000000"/>
                  <w:sz w:val="20"/>
                  <w:szCs w:val="20"/>
                </w:rPr>
                <w:t>saisons</w:t>
              </w:r>
            </w:hyperlink>
            <w:r w:rsidRPr="00765B4C">
              <w:rPr>
                <w:rFonts w:cs="Arial"/>
                <w:color w:val="000000"/>
                <w:sz w:val="20"/>
                <w:szCs w:val="20"/>
              </w:rPr>
              <w:t xml:space="preserve">, à savoir : la </w:t>
            </w:r>
            <w:hyperlink r:id="rId41" w:tooltip="Saison humide" w:history="1">
              <w:r w:rsidRPr="00765B4C">
                <w:rPr>
                  <w:rFonts w:cs="Arial"/>
                  <w:color w:val="000000"/>
                  <w:sz w:val="20"/>
                  <w:szCs w:val="20"/>
                </w:rPr>
                <w:t>saison des pluie</w:t>
              </w:r>
            </w:hyperlink>
            <w:r w:rsidRPr="00765B4C">
              <w:rPr>
                <w:rFonts w:cs="Arial"/>
                <w:color w:val="000000"/>
                <w:sz w:val="20"/>
                <w:szCs w:val="20"/>
              </w:rPr>
              <w:t xml:space="preserve">s et la </w:t>
            </w:r>
            <w:hyperlink r:id="rId42" w:tooltip="Saison sèche" w:history="1">
              <w:r w:rsidRPr="00765B4C">
                <w:rPr>
                  <w:rFonts w:cs="Arial"/>
                  <w:color w:val="000000"/>
                  <w:sz w:val="20"/>
                  <w:szCs w:val="20"/>
                </w:rPr>
                <w:t>saison sèche</w:t>
              </w:r>
            </w:hyperlink>
            <w:r w:rsidRPr="00765B4C">
              <w:rPr>
                <w:rFonts w:cs="Arial"/>
                <w:color w:val="000000"/>
                <w:sz w:val="20"/>
                <w:szCs w:val="20"/>
              </w:rPr>
              <w:t xml:space="preserve">. </w:t>
            </w:r>
          </w:p>
          <w:p w14:paraId="1E274B37" w14:textId="77777777" w:rsidR="001C2F95" w:rsidRPr="00765B4C" w:rsidRDefault="001C2F95" w:rsidP="00971FD2">
            <w:pPr>
              <w:textAlignment w:val="baseline"/>
              <w:rPr>
                <w:rFonts w:cs="Arial"/>
                <w:b/>
                <w:color w:val="000000"/>
                <w:sz w:val="20"/>
                <w:szCs w:val="20"/>
              </w:rPr>
            </w:pPr>
          </w:p>
          <w:p w14:paraId="647D4642" w14:textId="77777777" w:rsidR="001C2F95" w:rsidRPr="00765B4C" w:rsidRDefault="001C2F95" w:rsidP="00971FD2">
            <w:pPr>
              <w:textAlignment w:val="baseline"/>
              <w:rPr>
                <w:rFonts w:cs="Arial"/>
                <w:b/>
                <w:i/>
                <w:color w:val="000000"/>
                <w:sz w:val="20"/>
                <w:szCs w:val="20"/>
              </w:rPr>
            </w:pPr>
            <w:r w:rsidRPr="00765B4C">
              <w:rPr>
                <w:rFonts w:cs="Arial"/>
                <w:b/>
                <w:i/>
                <w:color w:val="000000"/>
                <w:sz w:val="20"/>
                <w:szCs w:val="20"/>
              </w:rPr>
              <w:t>Hydrographie</w:t>
            </w:r>
          </w:p>
          <w:p w14:paraId="34FD448B" w14:textId="77777777" w:rsidR="001C2F95" w:rsidRPr="00765B4C" w:rsidRDefault="001C2F95" w:rsidP="00971FD2">
            <w:pPr>
              <w:textAlignment w:val="baseline"/>
              <w:rPr>
                <w:rFonts w:cs="Arial"/>
                <w:color w:val="000000"/>
                <w:sz w:val="20"/>
                <w:szCs w:val="20"/>
              </w:rPr>
            </w:pPr>
            <w:r w:rsidRPr="00765B4C">
              <w:rPr>
                <w:rFonts w:cs="Arial"/>
                <w:color w:val="000000"/>
                <w:sz w:val="20"/>
                <w:szCs w:val="20"/>
              </w:rPr>
              <w:t>L’hydrographie est composée principalement de la Rivière Kasaï, alimentée elle-même par plusieurs affluents.</w:t>
            </w:r>
          </w:p>
          <w:p w14:paraId="733B57EB" w14:textId="77777777" w:rsidR="001C2F95" w:rsidRPr="00765B4C" w:rsidRDefault="001C2F95" w:rsidP="00971FD2">
            <w:pPr>
              <w:textAlignment w:val="baseline"/>
              <w:rPr>
                <w:rFonts w:cs="Arial"/>
                <w:b/>
                <w:i/>
                <w:color w:val="000000"/>
                <w:sz w:val="20"/>
                <w:szCs w:val="20"/>
              </w:rPr>
            </w:pPr>
          </w:p>
          <w:p w14:paraId="46A8C0E4" w14:textId="77777777" w:rsidR="001C2F95" w:rsidRPr="00765B4C" w:rsidRDefault="001C2F95" w:rsidP="00971FD2">
            <w:pPr>
              <w:textAlignment w:val="baseline"/>
              <w:rPr>
                <w:rFonts w:cs="Arial"/>
                <w:b/>
                <w:i/>
                <w:color w:val="000000"/>
                <w:sz w:val="20"/>
                <w:szCs w:val="20"/>
              </w:rPr>
            </w:pPr>
            <w:r w:rsidRPr="00765B4C">
              <w:rPr>
                <w:rFonts w:cs="Arial"/>
                <w:b/>
                <w:i/>
                <w:color w:val="000000"/>
                <w:sz w:val="20"/>
                <w:szCs w:val="20"/>
              </w:rPr>
              <w:t>Type de sol </w:t>
            </w:r>
          </w:p>
          <w:p w14:paraId="52FCC1AB" w14:textId="77777777" w:rsidR="001C2F95" w:rsidRPr="00765B4C" w:rsidRDefault="001C2F95" w:rsidP="00971FD2">
            <w:pPr>
              <w:textAlignment w:val="baseline"/>
              <w:rPr>
                <w:rFonts w:cs="Arial"/>
                <w:color w:val="000000"/>
                <w:sz w:val="20"/>
                <w:szCs w:val="20"/>
              </w:rPr>
            </w:pPr>
            <w:r w:rsidRPr="00765B4C">
              <w:rPr>
                <w:rFonts w:cs="Arial"/>
                <w:color w:val="000000"/>
                <w:sz w:val="20"/>
                <w:szCs w:val="20"/>
              </w:rPr>
              <w:t>Deux types de sols caractérisent la Province du Kasaï Central : le sol argilo-sablonneux qui domine tout le Territoire de Luiza et le Secteur de Tshishilu, en Territoire de Dibaya. Et le sol sablo-argileux prédominant dans le reste de la Province.</w:t>
            </w:r>
          </w:p>
          <w:p w14:paraId="459EAAF7" w14:textId="77777777" w:rsidR="001C2F95" w:rsidRPr="00765B4C" w:rsidRDefault="001C2F95" w:rsidP="00971FD2">
            <w:pPr>
              <w:textAlignment w:val="baseline"/>
              <w:rPr>
                <w:rFonts w:cs="Arial"/>
                <w:color w:val="000000"/>
                <w:sz w:val="20"/>
                <w:szCs w:val="20"/>
              </w:rPr>
            </w:pPr>
          </w:p>
          <w:p w14:paraId="7311AA82" w14:textId="77777777" w:rsidR="001C2F95" w:rsidRPr="00765B4C" w:rsidRDefault="001C2F95" w:rsidP="00971FD2">
            <w:pPr>
              <w:textAlignment w:val="baseline"/>
              <w:rPr>
                <w:rFonts w:cs="Arial"/>
                <w:color w:val="000000"/>
                <w:sz w:val="20"/>
                <w:szCs w:val="20"/>
              </w:rPr>
            </w:pPr>
            <w:r w:rsidRPr="00765B4C">
              <w:rPr>
                <w:rFonts w:cs="Arial"/>
                <w:color w:val="000000"/>
                <w:sz w:val="20"/>
                <w:szCs w:val="20"/>
              </w:rPr>
              <w:t>Faune</w:t>
            </w:r>
          </w:p>
          <w:p w14:paraId="07C722D5" w14:textId="77777777" w:rsidR="001C2F95" w:rsidRPr="00765B4C" w:rsidRDefault="001C2F95" w:rsidP="00971FD2">
            <w:pPr>
              <w:textAlignment w:val="baseline"/>
              <w:rPr>
                <w:rFonts w:cs="Arial"/>
                <w:color w:val="202124"/>
                <w:sz w:val="20"/>
                <w:szCs w:val="20"/>
                <w:shd w:val="clear" w:color="auto" w:fill="FFFFFF"/>
              </w:rPr>
            </w:pPr>
          </w:p>
          <w:p w14:paraId="7D90048A" w14:textId="77777777" w:rsidR="001C2F95" w:rsidRPr="00765B4C" w:rsidRDefault="001C2F95" w:rsidP="00971FD2">
            <w:pPr>
              <w:textAlignment w:val="baseline"/>
              <w:rPr>
                <w:rFonts w:cs="Arial"/>
                <w:color w:val="202124"/>
                <w:sz w:val="20"/>
                <w:szCs w:val="20"/>
                <w:shd w:val="clear" w:color="auto" w:fill="FFFFFF"/>
              </w:rPr>
            </w:pPr>
            <w:r w:rsidRPr="00765B4C">
              <w:rPr>
                <w:rFonts w:cs="Arial"/>
                <w:color w:val="202124"/>
                <w:sz w:val="20"/>
                <w:szCs w:val="20"/>
                <w:shd w:val="clear" w:color="auto" w:fill="FFFFFF"/>
              </w:rPr>
              <w:t xml:space="preserve">Dans ces divers biotopes, la Province du </w:t>
            </w:r>
            <w:r w:rsidR="001857F5" w:rsidRPr="00765B4C">
              <w:rPr>
                <w:rFonts w:cs="Arial"/>
                <w:color w:val="202124"/>
                <w:sz w:val="20"/>
                <w:szCs w:val="20"/>
                <w:shd w:val="clear" w:color="auto" w:fill="FFFFFF"/>
              </w:rPr>
              <w:t>Kasaï</w:t>
            </w:r>
            <w:r w:rsidRPr="00765B4C">
              <w:rPr>
                <w:rFonts w:cs="Arial"/>
                <w:color w:val="202124"/>
                <w:sz w:val="20"/>
                <w:szCs w:val="20"/>
                <w:shd w:val="clear" w:color="auto" w:fill="FFFFFF"/>
              </w:rPr>
              <w:t xml:space="preserve"> Centrale l'on </w:t>
            </w:r>
            <w:r w:rsidRPr="00765B4C">
              <w:rPr>
                <w:rFonts w:cs="Arial"/>
                <w:bCs/>
                <w:color w:val="202124"/>
                <w:sz w:val="20"/>
                <w:szCs w:val="20"/>
              </w:rPr>
              <w:t>rencontre</w:t>
            </w:r>
            <w:r w:rsidRPr="00765B4C">
              <w:rPr>
                <w:rFonts w:cs="Arial"/>
                <w:color w:val="202124"/>
                <w:sz w:val="20"/>
                <w:szCs w:val="20"/>
                <w:shd w:val="clear" w:color="auto" w:fill="FFFFFF"/>
              </w:rPr>
              <w:t xml:space="preserve"> les espèces fauniques telles que des buffles encore en abondance relative, des sitatungas, des cobes Defassa, des singes, des potamochères, et des hippopotames dans les rivières Lulua et Bushimaie. Les buffles et les hippopotames sont des animaux </w:t>
            </w:r>
            <w:r w:rsidR="00AB3C0C" w:rsidRPr="00765B4C">
              <w:rPr>
                <w:rFonts w:cs="Arial"/>
                <w:color w:val="202124"/>
                <w:sz w:val="20"/>
                <w:szCs w:val="20"/>
                <w:shd w:val="clear" w:color="auto" w:fill="FFFFFF"/>
              </w:rPr>
              <w:t>protégés</w:t>
            </w:r>
            <w:r w:rsidRPr="00765B4C">
              <w:rPr>
                <w:rFonts w:cs="Arial"/>
                <w:color w:val="202124"/>
                <w:sz w:val="20"/>
                <w:szCs w:val="20"/>
                <w:shd w:val="clear" w:color="auto" w:fill="FFFFFF"/>
              </w:rPr>
              <w:t xml:space="preserve">. </w:t>
            </w:r>
          </w:p>
          <w:p w14:paraId="190B270F" w14:textId="77777777" w:rsidR="001C2F95" w:rsidRPr="00765B4C" w:rsidRDefault="001C2F95" w:rsidP="00971FD2">
            <w:pPr>
              <w:textAlignment w:val="baseline"/>
              <w:rPr>
                <w:rFonts w:cs="Arial"/>
                <w:b/>
                <w:i/>
                <w:color w:val="000000"/>
                <w:sz w:val="20"/>
                <w:szCs w:val="20"/>
              </w:rPr>
            </w:pPr>
            <w:r w:rsidRPr="00765B4C">
              <w:rPr>
                <w:rFonts w:cs="Arial"/>
                <w:b/>
                <w:i/>
                <w:color w:val="000000"/>
                <w:sz w:val="20"/>
                <w:szCs w:val="20"/>
              </w:rPr>
              <w:t>Végétation</w:t>
            </w:r>
          </w:p>
          <w:p w14:paraId="5BE626EA" w14:textId="77777777" w:rsidR="001C2F95" w:rsidRPr="00765B4C" w:rsidRDefault="001C2F95" w:rsidP="00971FD2">
            <w:pPr>
              <w:textAlignment w:val="baseline"/>
              <w:rPr>
                <w:rFonts w:cs="Arial"/>
                <w:color w:val="000000"/>
                <w:sz w:val="20"/>
                <w:szCs w:val="20"/>
              </w:rPr>
            </w:pPr>
            <w:r w:rsidRPr="00765B4C">
              <w:rPr>
                <w:rFonts w:cs="Arial"/>
                <w:color w:val="000000"/>
                <w:sz w:val="20"/>
                <w:szCs w:val="20"/>
              </w:rPr>
              <w:t xml:space="preserve">La Province du Kasaï Central connaît deux types de </w:t>
            </w:r>
            <w:hyperlink r:id="rId43" w:tooltip="Végétation" w:history="1">
              <w:r w:rsidRPr="00765B4C">
                <w:rPr>
                  <w:rFonts w:cs="Arial"/>
                  <w:color w:val="000000"/>
                  <w:sz w:val="20"/>
                  <w:szCs w:val="20"/>
                </w:rPr>
                <w:t>végétation</w:t>
              </w:r>
            </w:hyperlink>
            <w:r w:rsidRPr="00765B4C">
              <w:rPr>
                <w:rFonts w:cs="Arial"/>
                <w:color w:val="000000"/>
                <w:sz w:val="20"/>
                <w:szCs w:val="20"/>
              </w:rPr>
              <w:t xml:space="preserve">  : la végétation forestière et la </w:t>
            </w:r>
            <w:hyperlink r:id="rId44" w:tooltip="Savane" w:history="1">
              <w:r w:rsidRPr="00765B4C">
                <w:rPr>
                  <w:rFonts w:cs="Arial"/>
                  <w:color w:val="000000"/>
                  <w:sz w:val="20"/>
                  <w:szCs w:val="20"/>
                </w:rPr>
                <w:t>savane</w:t>
              </w:r>
            </w:hyperlink>
            <w:r w:rsidRPr="00765B4C">
              <w:rPr>
                <w:rFonts w:cs="Arial"/>
                <w:color w:val="000000"/>
                <w:sz w:val="20"/>
                <w:szCs w:val="20"/>
              </w:rPr>
              <w:t xml:space="preserve"> </w:t>
            </w:r>
            <w:hyperlink r:id="rId45" w:tooltip="Guinée" w:history="1">
              <w:r w:rsidRPr="00765B4C">
                <w:rPr>
                  <w:rFonts w:cs="Arial"/>
                  <w:color w:val="000000"/>
                  <w:sz w:val="20"/>
                  <w:szCs w:val="20"/>
                </w:rPr>
                <w:t>guinéenne</w:t>
              </w:r>
            </w:hyperlink>
            <w:r w:rsidRPr="00765B4C">
              <w:rPr>
                <w:rFonts w:cs="Arial"/>
                <w:color w:val="000000"/>
                <w:sz w:val="20"/>
                <w:szCs w:val="20"/>
              </w:rPr>
              <w:t>. La première est rencontrée dans la partie Nord des Territoires de Demba et de Dimbelenge, tandis que la seconde occupe une grande partie de la Province sur le sol relativement pauvre d’une part, des terres riches du Territoire de Luiza et du Sud du Territoire de Kazumba.</w:t>
            </w:r>
          </w:p>
        </w:tc>
      </w:tr>
      <w:tr w:rsidR="001C2F95" w:rsidRPr="001857F5" w14:paraId="3FC093E9"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076EA7D7" w14:textId="77777777" w:rsidR="001C2F95" w:rsidRPr="00765B4C" w:rsidRDefault="001C2F95" w:rsidP="00971FD2">
            <w:pPr>
              <w:rPr>
                <w:rFonts w:eastAsia="Calibri" w:cs="Arial"/>
                <w:b/>
                <w:sz w:val="20"/>
                <w:szCs w:val="20"/>
              </w:rPr>
            </w:pPr>
            <w:r w:rsidRPr="00765B4C">
              <w:rPr>
                <w:rFonts w:eastAsia="Calibri" w:cs="Arial"/>
                <w:b/>
                <w:sz w:val="20"/>
                <w:szCs w:val="20"/>
              </w:rPr>
              <w:t>Populations</w:t>
            </w:r>
          </w:p>
        </w:tc>
        <w:tc>
          <w:tcPr>
            <w:tcW w:w="11287" w:type="dxa"/>
            <w:tcBorders>
              <w:top w:val="single" w:sz="4" w:space="0" w:color="000001"/>
              <w:left w:val="single" w:sz="4" w:space="0" w:color="000001"/>
              <w:bottom w:val="single" w:sz="4" w:space="0" w:color="000001"/>
              <w:right w:val="single" w:sz="4" w:space="0" w:color="000001"/>
            </w:tcBorders>
          </w:tcPr>
          <w:p w14:paraId="3B299190" w14:textId="77777777" w:rsidR="001C2F95" w:rsidRPr="00765B4C" w:rsidRDefault="001C2F95" w:rsidP="00971FD2">
            <w:pPr>
              <w:textAlignment w:val="baseline"/>
              <w:rPr>
                <w:rFonts w:cs="Arial"/>
                <w:b/>
                <w:i/>
                <w:color w:val="000000"/>
                <w:sz w:val="20"/>
                <w:szCs w:val="20"/>
              </w:rPr>
            </w:pPr>
            <w:r w:rsidRPr="00765B4C">
              <w:rPr>
                <w:rFonts w:cs="Arial"/>
                <w:b/>
                <w:i/>
                <w:color w:val="000000"/>
                <w:sz w:val="20"/>
                <w:szCs w:val="20"/>
              </w:rPr>
              <w:t xml:space="preserve">Caractéristiques démographiques </w:t>
            </w:r>
          </w:p>
          <w:p w14:paraId="44C20C77" w14:textId="77777777" w:rsidR="001C2F95" w:rsidRPr="00765B4C" w:rsidRDefault="001C2F95" w:rsidP="00971FD2">
            <w:pPr>
              <w:textAlignment w:val="baseline"/>
              <w:rPr>
                <w:rFonts w:cs="Arial"/>
                <w:color w:val="000000"/>
                <w:sz w:val="20"/>
                <w:szCs w:val="20"/>
              </w:rPr>
            </w:pPr>
            <w:r w:rsidRPr="00765B4C">
              <w:rPr>
                <w:rFonts w:cs="Arial"/>
                <w:color w:val="000000"/>
                <w:sz w:val="20"/>
                <w:szCs w:val="20"/>
              </w:rPr>
              <w:t>La Province du Kasaï Central a une superficie de 59 111 km</w:t>
            </w:r>
            <w:r w:rsidRPr="00765B4C">
              <w:rPr>
                <w:rFonts w:cs="Arial"/>
                <w:color w:val="000000"/>
                <w:sz w:val="20"/>
                <w:szCs w:val="20"/>
                <w:vertAlign w:val="superscript"/>
              </w:rPr>
              <w:t>2</w:t>
            </w:r>
            <w:r w:rsidRPr="00765B4C">
              <w:rPr>
                <w:rFonts w:cs="Arial"/>
                <w:color w:val="000000"/>
                <w:sz w:val="20"/>
                <w:szCs w:val="20"/>
              </w:rPr>
              <w:t xml:space="preserve"> et une population totale estimée à 4 563 387 habitants. Il sied de signaler que les statistiques hommes-femmes, garcons et filles, veufs et veuves ne sont pas disponibles. Cette Province est constituée de cinq Territoires, à savoir : Tshimbulu, Demba, Dibaya, Kazumba et Luiza.</w:t>
            </w:r>
          </w:p>
          <w:p w14:paraId="63651230" w14:textId="77777777" w:rsidR="001C2F95" w:rsidRPr="00765B4C" w:rsidRDefault="001C2F95" w:rsidP="00971FD2">
            <w:pPr>
              <w:textAlignment w:val="baseline"/>
              <w:rPr>
                <w:rFonts w:cs="Arial"/>
                <w:color w:val="000000"/>
                <w:sz w:val="20"/>
                <w:szCs w:val="20"/>
              </w:rPr>
            </w:pPr>
          </w:p>
          <w:p w14:paraId="377796ED" w14:textId="77777777" w:rsidR="001C2F95" w:rsidRPr="00765B4C" w:rsidRDefault="001C2F95" w:rsidP="00971FD2">
            <w:pPr>
              <w:textAlignment w:val="baseline"/>
              <w:rPr>
                <w:rFonts w:cs="Arial"/>
                <w:b/>
                <w:i/>
                <w:color w:val="000000"/>
                <w:sz w:val="20"/>
                <w:szCs w:val="20"/>
              </w:rPr>
            </w:pPr>
            <w:r w:rsidRPr="00765B4C">
              <w:rPr>
                <w:rFonts w:cs="Arial"/>
                <w:b/>
                <w:i/>
                <w:color w:val="000000"/>
                <w:sz w:val="20"/>
                <w:szCs w:val="20"/>
              </w:rPr>
              <w:t xml:space="preserve">Ethnies </w:t>
            </w:r>
          </w:p>
          <w:p w14:paraId="01E5D3A0" w14:textId="77777777" w:rsidR="001C2F95" w:rsidRPr="00765B4C" w:rsidRDefault="001C2F95" w:rsidP="00971FD2">
            <w:pPr>
              <w:textAlignment w:val="baseline"/>
              <w:rPr>
                <w:rFonts w:cs="Arial"/>
                <w:color w:val="000000"/>
                <w:sz w:val="20"/>
                <w:szCs w:val="20"/>
              </w:rPr>
            </w:pPr>
            <w:r w:rsidRPr="00765B4C">
              <w:rPr>
                <w:rFonts w:cs="Arial"/>
                <w:color w:val="000000"/>
                <w:sz w:val="20"/>
                <w:szCs w:val="20"/>
              </w:rPr>
              <w:t>Plusieurs groupes ethniques sont dénombrés dans le grand territoire de la région du Kasaï. On y rencontre des groupes ethniques dont les plus grands sont Luba, Lulua en pleine évolution comme les Babindi, Bakwa-Mputu, Bambole, Bakete, Basha, Bankutshu, les Luntu, Kuba, Kanintshina, les Leele (Bashilele), Lunda, Ndekese, Ohindo, Pende, Salampasu, Songe, Tshokwe et Tetela. Certains de ces groupes sont à cheval avec les autres Provinces voisines notamment le Kwango, le Lomami, le Lualaba, la Tshopo ainsi qu’avec la République d’Angola.</w:t>
            </w:r>
          </w:p>
          <w:p w14:paraId="68F44636" w14:textId="77777777" w:rsidR="001C2F95" w:rsidRPr="00765B4C" w:rsidRDefault="001C2F95" w:rsidP="00971FD2">
            <w:pPr>
              <w:textAlignment w:val="baseline"/>
              <w:rPr>
                <w:rFonts w:cs="Arial"/>
                <w:color w:val="000000"/>
                <w:sz w:val="20"/>
                <w:szCs w:val="20"/>
              </w:rPr>
            </w:pPr>
          </w:p>
          <w:p w14:paraId="7E368272" w14:textId="77777777" w:rsidR="001C2F95" w:rsidRPr="00765B4C" w:rsidRDefault="001C2F95" w:rsidP="00971FD2">
            <w:pPr>
              <w:textAlignment w:val="baseline"/>
              <w:rPr>
                <w:rFonts w:cs="Arial"/>
                <w:color w:val="000000"/>
                <w:sz w:val="20"/>
                <w:szCs w:val="20"/>
              </w:rPr>
            </w:pPr>
            <w:r w:rsidRPr="00765B4C">
              <w:rPr>
                <w:rFonts w:cs="Arial"/>
                <w:b/>
                <w:i/>
                <w:color w:val="000000"/>
                <w:sz w:val="20"/>
                <w:szCs w:val="20"/>
              </w:rPr>
              <w:t>Langues parlées</w:t>
            </w:r>
            <w:r w:rsidRPr="00765B4C">
              <w:rPr>
                <w:rFonts w:cs="Arial"/>
                <w:color w:val="000000"/>
                <w:sz w:val="20"/>
                <w:szCs w:val="20"/>
              </w:rPr>
              <w:t> : le Tshiluba, le Swahili, le Francais sont des langues parlées dans la Province du Kasaï Central. La langue Tshiluba domine les autres langues nationales.</w:t>
            </w:r>
          </w:p>
          <w:p w14:paraId="0C3757C9" w14:textId="77777777" w:rsidR="001C2F95" w:rsidRPr="00765B4C" w:rsidRDefault="001C2F95" w:rsidP="00971FD2">
            <w:pPr>
              <w:textAlignment w:val="baseline"/>
              <w:rPr>
                <w:rFonts w:cs="Arial"/>
                <w:color w:val="000000"/>
                <w:sz w:val="20"/>
                <w:szCs w:val="20"/>
              </w:rPr>
            </w:pPr>
          </w:p>
          <w:p w14:paraId="422F83F9" w14:textId="77777777" w:rsidR="001C2F95" w:rsidRPr="00765B4C" w:rsidRDefault="001C2F95" w:rsidP="00971FD2">
            <w:pPr>
              <w:textAlignment w:val="baseline"/>
              <w:rPr>
                <w:rFonts w:cs="Arial"/>
                <w:color w:val="000000"/>
                <w:sz w:val="20"/>
                <w:szCs w:val="20"/>
              </w:rPr>
            </w:pPr>
            <w:r w:rsidRPr="00765B4C">
              <w:rPr>
                <w:rFonts w:cs="Arial"/>
                <w:color w:val="000000"/>
                <w:sz w:val="20"/>
                <w:szCs w:val="20"/>
              </w:rPr>
              <w:t>Au sommet de la crise 1,4 million Personnes Déplacées Internes (PDIs) ont été dénombrées et environ 34 000 sont réfugiées en Angola.  La plupart des PDIs sont concentrées dans les agglomérations les plus sécurisées, au sein des familles d’accueil dans des Provinces voisines pour s’éloigner le plus possible des tensions intercommunautaires et des activités des milices ou des forces de sécurité dans leur zone d’origine. Au Kasaï Central, 584 432 déplacés ont été enregistrés par l’ONG internationale OCHA.</w:t>
            </w:r>
          </w:p>
          <w:p w14:paraId="33E6CC03" w14:textId="77777777" w:rsidR="001C2F95" w:rsidRPr="00765B4C" w:rsidRDefault="001C2F95" w:rsidP="00971FD2">
            <w:pPr>
              <w:textAlignment w:val="baseline"/>
              <w:rPr>
                <w:rFonts w:cs="Arial"/>
                <w:color w:val="000000"/>
                <w:sz w:val="20"/>
                <w:szCs w:val="20"/>
              </w:rPr>
            </w:pPr>
          </w:p>
          <w:p w14:paraId="382D5FCA" w14:textId="77777777" w:rsidR="001C2F95" w:rsidRPr="00765B4C" w:rsidRDefault="001C2F95" w:rsidP="00971FD2">
            <w:pPr>
              <w:textAlignment w:val="baseline"/>
              <w:rPr>
                <w:rFonts w:cs="Arial"/>
                <w:color w:val="000000"/>
                <w:sz w:val="20"/>
                <w:szCs w:val="20"/>
              </w:rPr>
            </w:pPr>
            <w:r w:rsidRPr="00765B4C">
              <w:rPr>
                <w:rFonts w:cs="Arial"/>
                <w:color w:val="000000"/>
                <w:sz w:val="20"/>
                <w:szCs w:val="20"/>
              </w:rPr>
              <w:t>Il sied de noter que les peuples autochtones sont  signalés dans trois Territoires de la Province du Kasaï Central. (REPALEF, 2020)</w:t>
            </w:r>
          </w:p>
        </w:tc>
      </w:tr>
      <w:tr w:rsidR="001C2F95" w:rsidRPr="001857F5" w14:paraId="15083E30"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9F72F14" w14:textId="77777777" w:rsidR="001C2F95" w:rsidRPr="00765B4C" w:rsidRDefault="001C2F95" w:rsidP="00971FD2">
            <w:pPr>
              <w:rPr>
                <w:rFonts w:eastAsia="Calibri" w:cs="Arial"/>
                <w:b/>
                <w:sz w:val="20"/>
                <w:szCs w:val="20"/>
              </w:rPr>
            </w:pPr>
            <w:r w:rsidRPr="00765B4C">
              <w:rPr>
                <w:rFonts w:eastAsia="Calibri" w:cs="Arial"/>
                <w:b/>
                <w:sz w:val="20"/>
                <w:szCs w:val="20"/>
              </w:rPr>
              <w:t>Activités principales de la population</w:t>
            </w:r>
          </w:p>
        </w:tc>
        <w:tc>
          <w:tcPr>
            <w:tcW w:w="11287" w:type="dxa"/>
            <w:tcBorders>
              <w:top w:val="single" w:sz="4" w:space="0" w:color="000001"/>
              <w:left w:val="single" w:sz="4" w:space="0" w:color="000001"/>
              <w:bottom w:val="single" w:sz="4" w:space="0" w:color="000001"/>
              <w:right w:val="single" w:sz="4" w:space="0" w:color="000001"/>
            </w:tcBorders>
          </w:tcPr>
          <w:p w14:paraId="7AD5FF82" w14:textId="77777777" w:rsidR="001C2F95" w:rsidRPr="00765B4C" w:rsidRDefault="001C2F95" w:rsidP="00971FD2">
            <w:pPr>
              <w:rPr>
                <w:rFonts w:cs="Arial"/>
                <w:color w:val="000000"/>
                <w:sz w:val="20"/>
                <w:szCs w:val="20"/>
              </w:rPr>
            </w:pPr>
            <w:r w:rsidRPr="00765B4C">
              <w:rPr>
                <w:rFonts w:cs="Arial"/>
                <w:color w:val="000000"/>
                <w:sz w:val="20"/>
                <w:szCs w:val="20"/>
              </w:rPr>
              <w:t xml:space="preserve">La Province du Kasaï Central dispose d’importantes ressources minières comme le diamant et l’or. Ainsi, l’économie de la Province est dominée par l’exploitation minière artisanale, et l’industrie minière n’y existe pas. Les recettes et taxes perçues par l’activité extractive n’ont pas d’impact significatif sur la Province.  </w:t>
            </w:r>
          </w:p>
          <w:p w14:paraId="7EB817FB" w14:textId="77777777" w:rsidR="001C2F95" w:rsidRPr="00765B4C" w:rsidRDefault="001C2F95" w:rsidP="00971FD2">
            <w:pPr>
              <w:rPr>
                <w:rFonts w:cs="Arial"/>
                <w:color w:val="000000"/>
                <w:sz w:val="20"/>
                <w:szCs w:val="20"/>
              </w:rPr>
            </w:pPr>
            <w:r w:rsidRPr="00765B4C">
              <w:rPr>
                <w:rFonts w:cs="Arial"/>
                <w:color w:val="000000"/>
                <w:sz w:val="20"/>
                <w:szCs w:val="20"/>
              </w:rPr>
              <w:t xml:space="preserve"> </w:t>
            </w:r>
          </w:p>
          <w:p w14:paraId="777CFED4" w14:textId="77777777" w:rsidR="001C2F95" w:rsidRPr="00765B4C" w:rsidRDefault="001C2F95" w:rsidP="00971FD2">
            <w:pPr>
              <w:rPr>
                <w:rFonts w:cs="Arial"/>
                <w:color w:val="000000"/>
                <w:sz w:val="20"/>
                <w:szCs w:val="20"/>
              </w:rPr>
            </w:pPr>
            <w:r w:rsidRPr="00765B4C">
              <w:rPr>
                <w:rFonts w:cs="Arial"/>
                <w:color w:val="000000"/>
                <w:sz w:val="20"/>
                <w:szCs w:val="20"/>
              </w:rPr>
              <w:t xml:space="preserve">Cependant la Province dispose également de quelques entreprises dans les branches agroalimentaire, industrie chimique (savonnerie, peinture, etc.), construction, industrie du bois. </w:t>
            </w:r>
          </w:p>
          <w:p w14:paraId="1148F498" w14:textId="77777777" w:rsidR="001C2F95" w:rsidRPr="00765B4C" w:rsidRDefault="001C2F95" w:rsidP="00971FD2">
            <w:pPr>
              <w:rPr>
                <w:rFonts w:cs="Arial"/>
                <w:color w:val="000000"/>
                <w:sz w:val="20"/>
                <w:szCs w:val="20"/>
              </w:rPr>
            </w:pPr>
          </w:p>
          <w:p w14:paraId="36DC1C26" w14:textId="77777777" w:rsidR="001C2F95" w:rsidRPr="00765B4C" w:rsidRDefault="001C2F95" w:rsidP="00971FD2">
            <w:pPr>
              <w:rPr>
                <w:rFonts w:cs="Arial"/>
                <w:color w:val="000000"/>
                <w:sz w:val="20"/>
                <w:szCs w:val="20"/>
              </w:rPr>
            </w:pPr>
            <w:r w:rsidRPr="00765B4C">
              <w:rPr>
                <w:rFonts w:cs="Arial"/>
                <w:color w:val="000000"/>
                <w:sz w:val="20"/>
                <w:szCs w:val="20"/>
              </w:rPr>
              <w:t xml:space="preserve">On observe en outre plus d’une dizaine de sites touristiques dans la Province.  </w:t>
            </w:r>
          </w:p>
          <w:p w14:paraId="3530A8BC" w14:textId="77777777" w:rsidR="001C2F95" w:rsidRPr="00765B4C" w:rsidRDefault="001C2F95" w:rsidP="00971FD2">
            <w:pPr>
              <w:rPr>
                <w:rFonts w:cs="Arial"/>
                <w:color w:val="000000"/>
                <w:sz w:val="20"/>
                <w:szCs w:val="20"/>
              </w:rPr>
            </w:pPr>
            <w:r w:rsidRPr="00765B4C">
              <w:rPr>
                <w:rFonts w:cs="Arial"/>
                <w:color w:val="000000"/>
                <w:sz w:val="20"/>
                <w:szCs w:val="20"/>
              </w:rPr>
              <w:t xml:space="preserve"> </w:t>
            </w:r>
          </w:p>
          <w:p w14:paraId="26C6005A" w14:textId="77777777" w:rsidR="001C2F95" w:rsidRPr="00765B4C" w:rsidRDefault="001C2F95" w:rsidP="00971FD2">
            <w:pPr>
              <w:rPr>
                <w:rFonts w:cs="Arial"/>
                <w:color w:val="000000"/>
                <w:sz w:val="20"/>
                <w:szCs w:val="20"/>
              </w:rPr>
            </w:pPr>
            <w:r w:rsidRPr="00765B4C">
              <w:rPr>
                <w:rFonts w:cs="Arial"/>
                <w:color w:val="000000"/>
                <w:sz w:val="20"/>
                <w:szCs w:val="20"/>
              </w:rPr>
              <w:t>Malgré cela, l’agriculture reste l’activité principale de la Province du Kasaï Central. Les principales productions sont les aliments de base (le manioc, le maïs, l’arachide, le riz, etc.) donc très souvent tournées vers l’autoconsommation.</w:t>
            </w:r>
          </w:p>
        </w:tc>
      </w:tr>
      <w:tr w:rsidR="001C2F95" w:rsidRPr="001857F5" w14:paraId="51FB2260"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8466178" w14:textId="77777777" w:rsidR="001C2F95" w:rsidRPr="00765B4C" w:rsidRDefault="001C2F95" w:rsidP="00971FD2">
            <w:pPr>
              <w:rPr>
                <w:rFonts w:eastAsia="Calibri" w:cs="Arial"/>
                <w:b/>
                <w:sz w:val="20"/>
                <w:szCs w:val="20"/>
              </w:rPr>
            </w:pPr>
            <w:r w:rsidRPr="00765B4C">
              <w:rPr>
                <w:rFonts w:eastAsia="Calibri" w:cs="Arial"/>
                <w:b/>
                <w:sz w:val="20"/>
                <w:szCs w:val="20"/>
              </w:rPr>
              <w:t>Violences Basées sur le Genre (VBG)</w:t>
            </w:r>
          </w:p>
        </w:tc>
        <w:tc>
          <w:tcPr>
            <w:tcW w:w="11287" w:type="dxa"/>
            <w:tcBorders>
              <w:top w:val="single" w:sz="4" w:space="0" w:color="000001"/>
              <w:left w:val="single" w:sz="4" w:space="0" w:color="000001"/>
              <w:bottom w:val="single" w:sz="4" w:space="0" w:color="000001"/>
              <w:right w:val="single" w:sz="4" w:space="0" w:color="000001"/>
            </w:tcBorders>
          </w:tcPr>
          <w:p w14:paraId="3F1634FA" w14:textId="77777777" w:rsidR="001C2F95" w:rsidRPr="00765B4C" w:rsidRDefault="001C2F95" w:rsidP="00971FD2">
            <w:pPr>
              <w:rPr>
                <w:rFonts w:cs="Arial"/>
                <w:color w:val="000000"/>
                <w:sz w:val="20"/>
                <w:szCs w:val="20"/>
              </w:rPr>
            </w:pPr>
            <w:r w:rsidRPr="00765B4C">
              <w:rPr>
                <w:rFonts w:cs="Arial"/>
                <w:color w:val="000000"/>
                <w:sz w:val="20"/>
                <w:szCs w:val="20"/>
              </w:rPr>
              <w:t>Les résultats des évaluations rapides montrent une situation préoccupante des VBG qui s’est aggravée depuis août 2016, à la suite à l’instabilité politique dans la Province. Exposées aux conflits armés et intercommunautaires, les femmes et les filles ont subi des violences sexuelles. Selon le dernier rapport du Fonds des Nations Unies pour la Population</w:t>
            </w:r>
            <w:r w:rsidRPr="00765B4C" w:rsidDel="000351AD">
              <w:rPr>
                <w:rFonts w:cs="Arial"/>
                <w:color w:val="000000"/>
                <w:sz w:val="20"/>
                <w:szCs w:val="20"/>
              </w:rPr>
              <w:t xml:space="preserve"> </w:t>
            </w:r>
            <w:r w:rsidRPr="00765B4C">
              <w:rPr>
                <w:rFonts w:cs="Arial"/>
                <w:color w:val="000000"/>
                <w:sz w:val="20"/>
                <w:szCs w:val="20"/>
              </w:rPr>
              <w:t>(UNFPA) (Sous-Cluster VBG, RDC) entre août 2016 et mai 2017, 656 incidents des VBG ont été rapportés dans les 49 points de prestation des services évalués dans les Provinces du Kasa</w:t>
            </w:r>
            <w:r w:rsidR="00AB3C0C" w:rsidRPr="00765B4C">
              <w:rPr>
                <w:rFonts w:cs="Arial"/>
                <w:color w:val="000000"/>
                <w:sz w:val="20"/>
                <w:szCs w:val="20"/>
              </w:rPr>
              <w:t>ï</w:t>
            </w:r>
            <w:r w:rsidRPr="00765B4C">
              <w:rPr>
                <w:rFonts w:cs="Arial"/>
                <w:color w:val="000000"/>
                <w:sz w:val="20"/>
                <w:szCs w:val="20"/>
              </w:rPr>
              <w:t xml:space="preserve">, du Kasaï Central et </w:t>
            </w:r>
            <w:r w:rsidR="00AB3C0C" w:rsidRPr="00765B4C">
              <w:rPr>
                <w:rFonts w:cs="Arial"/>
                <w:color w:val="000000"/>
                <w:sz w:val="20"/>
                <w:szCs w:val="20"/>
              </w:rPr>
              <w:t>Kasaï-Oriental</w:t>
            </w:r>
            <w:r w:rsidRPr="00765B4C">
              <w:rPr>
                <w:rFonts w:cs="Arial"/>
                <w:color w:val="000000"/>
                <w:sz w:val="20"/>
                <w:szCs w:val="20"/>
              </w:rPr>
              <w:t xml:space="preserve"> dont des cas de viol (79%), d’agression sexuelle (11 %), d’agression physique (4 %) et de mariage forcé (4 %), de violences psychologiques et émotionnelles (2 %) et de dénis des ressources, opportunités ou services (un cas a été rapporté). On note que 68% des survivants sont des mineurs, avec une majorité des filles adolescentes âgées entre 12 et 17 ans. Parmi les survivants de ces agressions, 97,4 % sont de sexe féminin et 2,6 % de sexe masculin. Parmi les Provinces portées par l’étude, la plus grande proportion des déplacés par les incidents des VBG est enregistrée dans le Kasaï Central (19,2 %) et un nombre relativement élevé des VBG commis sur les retournés accueillis sur son sol. La prise en charge médicale est confrontée à plusieurs difficultés dont l’insuffisance du personnel sanitaire formé à la gestion clinique du viol ainsi qu’à la faible disponibilité des kits post-viol. Mais également, il faut signaler le non-respect du protocole national de prise en charge médicale des survivants de violences sexuelles et l’irrégularité dans la gratuité des soins. </w:t>
            </w:r>
            <w:r w:rsidR="00AB3C0C" w:rsidRPr="00765B4C">
              <w:rPr>
                <w:rFonts w:cs="Arial"/>
                <w:color w:val="2E3436"/>
                <w:spacing w:val="3"/>
                <w:sz w:val="20"/>
                <w:szCs w:val="20"/>
                <w:shd w:val="clear" w:color="auto" w:fill="FFFFFF"/>
              </w:rPr>
              <w:t>La collecte des données relatives aux incidents pris en charge a été réalisée auprès de 49 points de prestation des services dont 21 au Kasaï Central, 22 au Kasaï Oriental et 6 au Kasaï. Leur répartition selon le domaine d’intervention permet de constater la présence de 13 structures œuvrant dans la prise en charge médico-sanitaire, 18 dans l’accompagnement psychosocial, 7 dans l’assistance juridique et judiciaire, 6 dans la protection et sécurité, tandis que 5 structures sont actives dans plus d’un domaine d’intervention à la fois. </w:t>
            </w:r>
            <w:r w:rsidRPr="00765B4C">
              <w:rPr>
                <w:rFonts w:cs="Arial"/>
                <w:color w:val="000000"/>
                <w:sz w:val="20"/>
                <w:szCs w:val="20"/>
              </w:rPr>
              <w:t>Les normes culturelles conservatrices en matière du genre constituent encore une barrière majeure pour le changement de comportement et soulignent les causes racines des actes de VBG. Pour ce faire, des supports éducatifs de sensibilisation interviendront pour appuyer la communication pour le changement social et de comportement de la communauté.</w:t>
            </w:r>
          </w:p>
        </w:tc>
      </w:tr>
      <w:tr w:rsidR="001C2F95" w:rsidRPr="001857F5" w14:paraId="5F804ADB"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A62A8A0" w14:textId="77777777" w:rsidR="001C2F95" w:rsidRPr="00765B4C" w:rsidRDefault="001C2F95" w:rsidP="00971FD2">
            <w:pPr>
              <w:rPr>
                <w:rFonts w:eastAsia="Calibri" w:cs="Arial"/>
                <w:b/>
                <w:sz w:val="20"/>
                <w:szCs w:val="20"/>
              </w:rPr>
            </w:pPr>
            <w:r w:rsidRPr="00765B4C">
              <w:rPr>
                <w:rFonts w:eastAsia="Calibri" w:cs="Arial"/>
                <w:b/>
                <w:sz w:val="20"/>
                <w:szCs w:val="20"/>
              </w:rPr>
              <w:t>Économie</w:t>
            </w:r>
          </w:p>
        </w:tc>
        <w:tc>
          <w:tcPr>
            <w:tcW w:w="11287" w:type="dxa"/>
            <w:tcBorders>
              <w:top w:val="single" w:sz="4" w:space="0" w:color="000001"/>
              <w:left w:val="single" w:sz="4" w:space="0" w:color="000001"/>
              <w:bottom w:val="single" w:sz="4" w:space="0" w:color="000001"/>
              <w:right w:val="single" w:sz="4" w:space="0" w:color="000001"/>
            </w:tcBorders>
          </w:tcPr>
          <w:p w14:paraId="25EBBD3F" w14:textId="77777777" w:rsidR="001C2F95" w:rsidRPr="00765B4C" w:rsidRDefault="001C2F95" w:rsidP="00971FD2">
            <w:pPr>
              <w:textAlignment w:val="baseline"/>
              <w:rPr>
                <w:rFonts w:cs="Arial"/>
                <w:color w:val="000000"/>
                <w:sz w:val="20"/>
                <w:szCs w:val="20"/>
              </w:rPr>
            </w:pPr>
            <w:r w:rsidRPr="00765B4C">
              <w:rPr>
                <w:rFonts w:cs="Arial"/>
                <w:color w:val="000000"/>
                <w:sz w:val="20"/>
                <w:szCs w:val="20"/>
              </w:rPr>
              <w:t xml:space="preserve">La Province du Kasaï Central démembrée avait d’énormes potentialités économiques dont la plupart ne sont pas mises en valeur. </w:t>
            </w:r>
          </w:p>
          <w:p w14:paraId="5FC7D96D" w14:textId="77777777" w:rsidR="001C2F95" w:rsidRPr="00765B4C" w:rsidRDefault="001C2F95" w:rsidP="00971FD2">
            <w:pPr>
              <w:textAlignment w:val="baseline"/>
              <w:rPr>
                <w:rFonts w:cs="Arial"/>
                <w:color w:val="000000"/>
                <w:sz w:val="20"/>
                <w:szCs w:val="20"/>
              </w:rPr>
            </w:pPr>
          </w:p>
          <w:p w14:paraId="10ED05A4" w14:textId="77777777" w:rsidR="001C2F95" w:rsidRPr="00765B4C" w:rsidRDefault="001C2F95" w:rsidP="00971FD2">
            <w:pPr>
              <w:textAlignment w:val="baseline"/>
              <w:rPr>
                <w:rFonts w:cs="Arial"/>
                <w:color w:val="000000"/>
                <w:sz w:val="20"/>
                <w:szCs w:val="20"/>
              </w:rPr>
            </w:pPr>
            <w:r w:rsidRPr="00765B4C">
              <w:rPr>
                <w:rFonts w:cs="Arial"/>
                <w:color w:val="000000"/>
                <w:sz w:val="20"/>
                <w:szCs w:val="20"/>
              </w:rPr>
              <w:t xml:space="preserve">Les activités économiques sont caractérisées par : </w:t>
            </w:r>
          </w:p>
          <w:p w14:paraId="6FFE0C4A" w14:textId="77777777" w:rsidR="001C2F95" w:rsidRPr="00765B4C" w:rsidRDefault="001C2F95" w:rsidP="00971FD2">
            <w:pPr>
              <w:textAlignment w:val="baseline"/>
              <w:rPr>
                <w:rFonts w:cs="Arial"/>
                <w:color w:val="000000"/>
                <w:sz w:val="20"/>
                <w:szCs w:val="20"/>
              </w:rPr>
            </w:pPr>
          </w:p>
          <w:p w14:paraId="002A5711" w14:textId="77777777" w:rsidR="001C2F95" w:rsidRPr="00765B4C" w:rsidRDefault="001C2F95" w:rsidP="002378EA">
            <w:pPr>
              <w:pStyle w:val="Paragraphedeliste"/>
              <w:numPr>
                <w:ilvl w:val="0"/>
                <w:numId w:val="44"/>
              </w:numPr>
              <w:textAlignment w:val="baseline"/>
              <w:rPr>
                <w:rFonts w:cs="Arial"/>
                <w:color w:val="000000"/>
                <w:sz w:val="20"/>
                <w:szCs w:val="20"/>
              </w:rPr>
            </w:pPr>
            <w:r w:rsidRPr="00765B4C">
              <w:rPr>
                <w:rFonts w:cs="Arial"/>
                <w:color w:val="000000"/>
                <w:sz w:val="20"/>
                <w:szCs w:val="20"/>
              </w:rPr>
              <w:t>L’exploitation du diamant et de l’or ;</w:t>
            </w:r>
          </w:p>
          <w:p w14:paraId="735AD51B" w14:textId="77777777" w:rsidR="001C2F95" w:rsidRPr="00765B4C" w:rsidRDefault="001C2F95" w:rsidP="002378EA">
            <w:pPr>
              <w:pStyle w:val="Paragraphedeliste"/>
              <w:numPr>
                <w:ilvl w:val="0"/>
                <w:numId w:val="44"/>
              </w:numPr>
              <w:textAlignment w:val="baseline"/>
              <w:rPr>
                <w:rFonts w:cs="Arial"/>
                <w:color w:val="000000"/>
                <w:sz w:val="20"/>
                <w:szCs w:val="20"/>
              </w:rPr>
            </w:pPr>
            <w:r w:rsidRPr="00765B4C">
              <w:rPr>
                <w:rFonts w:cs="Arial"/>
                <w:color w:val="000000"/>
                <w:sz w:val="20"/>
                <w:szCs w:val="20"/>
              </w:rPr>
              <w:t xml:space="preserve">La production agricole </w:t>
            </w:r>
            <w:r w:rsidR="00AB3C0C" w:rsidRPr="00765B4C">
              <w:rPr>
                <w:rFonts w:cs="Arial"/>
                <w:color w:val="000000"/>
                <w:sz w:val="20"/>
                <w:szCs w:val="20"/>
              </w:rPr>
              <w:t>(principale activité des femmes)</w:t>
            </w:r>
            <w:r w:rsidRPr="00765B4C">
              <w:rPr>
                <w:rFonts w:cs="Arial"/>
                <w:color w:val="000000"/>
                <w:sz w:val="20"/>
                <w:szCs w:val="20"/>
              </w:rPr>
              <w:t xml:space="preserve">: manioc, arachide et maïs, café, huile de palme ; </w:t>
            </w:r>
          </w:p>
          <w:p w14:paraId="7EAE53E8" w14:textId="77777777" w:rsidR="00AB3C0C" w:rsidRPr="00765B4C" w:rsidRDefault="001C2F95" w:rsidP="002378EA">
            <w:pPr>
              <w:pStyle w:val="Paragraphedeliste"/>
              <w:numPr>
                <w:ilvl w:val="0"/>
                <w:numId w:val="44"/>
              </w:numPr>
              <w:textAlignment w:val="baseline"/>
              <w:rPr>
                <w:rFonts w:cs="Arial"/>
                <w:color w:val="000000"/>
                <w:sz w:val="20"/>
                <w:szCs w:val="20"/>
              </w:rPr>
            </w:pPr>
            <w:r w:rsidRPr="00765B4C">
              <w:rPr>
                <w:rFonts w:cs="Arial"/>
                <w:color w:val="000000"/>
                <w:sz w:val="20"/>
                <w:szCs w:val="20"/>
              </w:rPr>
              <w:t>L’élevage de gros et petit bétail</w:t>
            </w:r>
            <w:r w:rsidR="00AB3C0C" w:rsidRPr="00765B4C">
              <w:rPr>
                <w:rFonts w:cs="Arial"/>
                <w:color w:val="000000"/>
                <w:sz w:val="20"/>
                <w:szCs w:val="20"/>
              </w:rPr>
              <w:t> ;</w:t>
            </w:r>
          </w:p>
          <w:p w14:paraId="00D5F77A" w14:textId="77777777" w:rsidR="001C2F95" w:rsidRPr="00765B4C" w:rsidRDefault="00AB3C0C" w:rsidP="002378EA">
            <w:pPr>
              <w:pStyle w:val="Paragraphedeliste"/>
              <w:numPr>
                <w:ilvl w:val="0"/>
                <w:numId w:val="44"/>
              </w:numPr>
              <w:textAlignment w:val="baseline"/>
              <w:rPr>
                <w:rFonts w:cs="Arial"/>
                <w:color w:val="000000"/>
                <w:sz w:val="20"/>
                <w:szCs w:val="20"/>
              </w:rPr>
            </w:pPr>
            <w:r w:rsidRPr="00765B4C">
              <w:rPr>
                <w:rFonts w:cs="Arial"/>
                <w:color w:val="000000"/>
                <w:sz w:val="20"/>
                <w:szCs w:val="20"/>
              </w:rPr>
              <w:t>Le petit commerce au le marché public (surtout les femmes)</w:t>
            </w:r>
            <w:r w:rsidR="001C2F95" w:rsidRPr="00765B4C">
              <w:rPr>
                <w:rFonts w:cs="Arial"/>
                <w:color w:val="000000"/>
                <w:sz w:val="20"/>
                <w:szCs w:val="20"/>
              </w:rPr>
              <w:t xml:space="preserve">. </w:t>
            </w:r>
          </w:p>
          <w:p w14:paraId="2B83B11A" w14:textId="77777777" w:rsidR="001C2F95" w:rsidRPr="00765B4C" w:rsidRDefault="001C2F95" w:rsidP="00971FD2">
            <w:pPr>
              <w:textAlignment w:val="baseline"/>
              <w:rPr>
                <w:rFonts w:cs="Arial"/>
                <w:color w:val="000000"/>
                <w:sz w:val="20"/>
                <w:szCs w:val="20"/>
              </w:rPr>
            </w:pPr>
            <w:r w:rsidRPr="00765B4C">
              <w:rPr>
                <w:rFonts w:cs="Arial"/>
                <w:color w:val="000000"/>
                <w:sz w:val="20"/>
                <w:szCs w:val="20"/>
              </w:rPr>
              <w:t xml:space="preserve"> </w:t>
            </w:r>
          </w:p>
          <w:p w14:paraId="762E0B9C" w14:textId="77777777" w:rsidR="001C2F95" w:rsidRPr="00765B4C" w:rsidRDefault="001C2F95" w:rsidP="00971FD2">
            <w:pPr>
              <w:textAlignment w:val="baseline"/>
              <w:rPr>
                <w:rFonts w:cs="Arial"/>
                <w:color w:val="000000"/>
                <w:sz w:val="20"/>
                <w:szCs w:val="20"/>
              </w:rPr>
            </w:pPr>
            <w:r w:rsidRPr="00765B4C">
              <w:rPr>
                <w:rFonts w:cs="Arial"/>
                <w:color w:val="000000"/>
                <w:sz w:val="20"/>
                <w:szCs w:val="20"/>
              </w:rPr>
              <w:t xml:space="preserve">Selon les résultats de l’Enquête nationale du type 1-2-3 de 2012, l’incidence de la pauvreté dans l’ancienne Province du Kasaï Occidental a atteint 76,6 %, soit une augmentation d’environ 20 % par rapport à l’année 2005 où elle était estimée à 55,8 %. </w:t>
            </w:r>
          </w:p>
        </w:tc>
      </w:tr>
      <w:tr w:rsidR="001C2F95" w:rsidRPr="001857F5" w14:paraId="71EF9ABD"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7C49A6F" w14:textId="77777777" w:rsidR="001C2F95" w:rsidRPr="00765B4C" w:rsidRDefault="001C2F95" w:rsidP="00971FD2">
            <w:pPr>
              <w:rPr>
                <w:rFonts w:eastAsia="Calibri" w:cs="Arial"/>
                <w:b/>
                <w:sz w:val="20"/>
                <w:szCs w:val="20"/>
              </w:rPr>
            </w:pPr>
            <w:r w:rsidRPr="00765B4C">
              <w:rPr>
                <w:rFonts w:eastAsia="Calibri" w:cs="Arial"/>
                <w:b/>
                <w:sz w:val="20"/>
                <w:szCs w:val="20"/>
              </w:rPr>
              <w:t>Situation sanitaire</w:t>
            </w:r>
          </w:p>
        </w:tc>
        <w:tc>
          <w:tcPr>
            <w:tcW w:w="11287" w:type="dxa"/>
            <w:tcBorders>
              <w:top w:val="single" w:sz="4" w:space="0" w:color="000001"/>
              <w:left w:val="single" w:sz="4" w:space="0" w:color="000001"/>
              <w:bottom w:val="single" w:sz="4" w:space="0" w:color="000001"/>
              <w:right w:val="single" w:sz="4" w:space="0" w:color="000001"/>
            </w:tcBorders>
          </w:tcPr>
          <w:p w14:paraId="2C657D3A" w14:textId="77777777" w:rsidR="001C2F95" w:rsidRPr="00765B4C" w:rsidRDefault="001C2F95" w:rsidP="00971FD2">
            <w:pPr>
              <w:textAlignment w:val="baseline"/>
              <w:rPr>
                <w:rFonts w:cs="Arial"/>
                <w:color w:val="000000"/>
                <w:sz w:val="20"/>
                <w:szCs w:val="20"/>
              </w:rPr>
            </w:pPr>
            <w:r w:rsidRPr="00765B4C">
              <w:rPr>
                <w:rFonts w:cs="Arial"/>
                <w:color w:val="000000"/>
                <w:sz w:val="20"/>
                <w:szCs w:val="20"/>
              </w:rPr>
              <w:t>Selon l’enquête 1-2-3, les infrastructures sanitaires sont jugées accessibles physiquement aux ménages du Kasaï Central puisque 84,7 % habitent dans un rayon de 2 km d’un Centre de Santé. Le Centre de Santé est l’infrastructure de santé la plus utilisée autant au Kasaï Central (48,2 %) que sur l’ensemble de la RDC (63,2 %). En revanche, les hôpitaux sont rarement fréquentés (8,2 %). Les services de soins de santé sont en nombre insuffisant face à l’effectif de la population : 40 hôpitaux pour toute la Province, 11,2 lits pour 100 000 habitants et1 médecin pour 23 656 habitants alors que la norme de l’OMS est de 1 médecin pour 10 000 habitants.</w:t>
            </w:r>
          </w:p>
          <w:p w14:paraId="4C81D8EF" w14:textId="77777777" w:rsidR="001C2F95" w:rsidRPr="00765B4C" w:rsidRDefault="001C2F95" w:rsidP="00971FD2">
            <w:pPr>
              <w:textAlignment w:val="baseline"/>
              <w:rPr>
                <w:rFonts w:cs="Arial"/>
                <w:color w:val="000000"/>
                <w:sz w:val="20"/>
                <w:szCs w:val="20"/>
              </w:rPr>
            </w:pPr>
          </w:p>
          <w:p w14:paraId="2C6C31E0" w14:textId="77777777" w:rsidR="001C2F95" w:rsidRPr="00765B4C" w:rsidRDefault="001C2F95" w:rsidP="00971FD2">
            <w:pPr>
              <w:textAlignment w:val="baseline"/>
              <w:rPr>
                <w:rFonts w:cs="Arial"/>
                <w:color w:val="000000"/>
                <w:sz w:val="20"/>
                <w:szCs w:val="20"/>
              </w:rPr>
            </w:pPr>
            <w:r w:rsidRPr="00765B4C">
              <w:rPr>
                <w:rFonts w:cs="Arial"/>
                <w:color w:val="000000"/>
                <w:sz w:val="20"/>
                <w:szCs w:val="20"/>
              </w:rPr>
              <w:t>La situation sanitaire dans la province est précaire. Elle s’est aggravée avec les deux dernières guerres  et se caractérise par les faits suivants : (i)Taux élevé de morbidité-mortalité  due, par ordre décroissant, aux pathologies suivantes : paludisme ; anémie ; diarrhée non sanglante ; méningite ; IRA ; MPE ; VIH/SIDA ; INN (y compris TNN) ; (ii) Taux élevé de morbidité-mortalité infantile par des maladies évitables au moyen de la vaccination, notamment : TBC ; rougeole ; coqueluche ; polio ; diphtérie ; tétanos ; Malnutrition protéino-énergétique élevée ; (iv) Eruption des épidémies de rougeole, monkey</w:t>
            </w:r>
            <w:r w:rsidR="00AB3C0C" w:rsidRPr="00765B4C">
              <w:rPr>
                <w:rFonts w:cs="Arial"/>
                <w:color w:val="000000"/>
                <w:sz w:val="20"/>
                <w:szCs w:val="20"/>
              </w:rPr>
              <w:t xml:space="preserve"> </w:t>
            </w:r>
            <w:r w:rsidRPr="00765B4C">
              <w:rPr>
                <w:rFonts w:cs="Arial"/>
                <w:color w:val="000000"/>
                <w:sz w:val="20"/>
                <w:szCs w:val="20"/>
              </w:rPr>
              <w:t>pox et coqueluche presque chaque année.</w:t>
            </w:r>
          </w:p>
          <w:p w14:paraId="4DC22B2D" w14:textId="77777777" w:rsidR="001C2F95" w:rsidRPr="00765B4C" w:rsidRDefault="001C2F95" w:rsidP="00971FD2">
            <w:pPr>
              <w:textAlignment w:val="baseline"/>
              <w:rPr>
                <w:rFonts w:cs="Arial"/>
                <w:color w:val="000000"/>
                <w:sz w:val="20"/>
                <w:szCs w:val="20"/>
              </w:rPr>
            </w:pPr>
          </w:p>
          <w:p w14:paraId="2CFF3E28" w14:textId="77777777" w:rsidR="001C2F95" w:rsidRPr="00765B4C" w:rsidRDefault="001C2F95" w:rsidP="00971FD2">
            <w:pPr>
              <w:textAlignment w:val="baseline"/>
              <w:rPr>
                <w:rFonts w:cs="Arial"/>
                <w:iCs/>
                <w:color w:val="000000"/>
                <w:sz w:val="20"/>
                <w:szCs w:val="20"/>
              </w:rPr>
            </w:pPr>
            <w:r w:rsidRPr="00765B4C">
              <w:rPr>
                <w:rFonts w:cs="Arial"/>
                <w:color w:val="000000"/>
                <w:sz w:val="20"/>
                <w:szCs w:val="20"/>
              </w:rPr>
              <w:t xml:space="preserve">Les résultats des évaluations rapides sur les VBG révèlent que </w:t>
            </w:r>
            <w:r w:rsidRPr="00765B4C">
              <w:rPr>
                <w:rFonts w:cs="Arial"/>
                <w:iCs/>
                <w:color w:val="000000"/>
                <w:sz w:val="20"/>
                <w:szCs w:val="20"/>
              </w:rPr>
              <w:t xml:space="preserve">le constat global fait état d’une prise en charge essentiellement non holistique, conséquence d’un mécanisme de référencement incomplet, inefficace et non suffisamment utilisé par les acteurs. L’évaluation a montré des écarts dans les méthodes de gestion des cas et l’approche « axée sur le/la survivant(e) » et en particulier dans les compétences spécifiquement pour le volet psychosocial auprès des organisations offrants la prise en charge. Les différents volets de la prise en charge multisectorielle sont globalement qualitativement faibles, la couverture géographique de la prestation des services est insuffisante par rapport aux besoins, et la documentation des cas ne respecte pas les principes d’éthique minimaux. Finalement, nombreux acteurs des VBG cartographiés ne sont pas opérationnels et se limitent souvent à un appui aux survivant(e)s concernant l’accueil et le référencement. </w:t>
            </w:r>
          </w:p>
          <w:p w14:paraId="57005215" w14:textId="77777777" w:rsidR="001C2F95" w:rsidRPr="00765B4C" w:rsidRDefault="001C2F95" w:rsidP="00971FD2">
            <w:pPr>
              <w:textAlignment w:val="baseline"/>
              <w:rPr>
                <w:rFonts w:cs="Arial"/>
                <w:iCs/>
                <w:color w:val="000000"/>
                <w:sz w:val="20"/>
                <w:szCs w:val="20"/>
              </w:rPr>
            </w:pPr>
          </w:p>
          <w:p w14:paraId="4259C965" w14:textId="77777777" w:rsidR="001C2F95" w:rsidRPr="00765B4C" w:rsidRDefault="001C2F95" w:rsidP="00971FD2">
            <w:pPr>
              <w:textAlignment w:val="baseline"/>
              <w:rPr>
                <w:rFonts w:cs="Arial"/>
                <w:color w:val="000000"/>
                <w:sz w:val="20"/>
                <w:szCs w:val="20"/>
              </w:rPr>
            </w:pPr>
            <w:r w:rsidRPr="00765B4C">
              <w:rPr>
                <w:rFonts w:cs="Arial"/>
                <w:iCs/>
                <w:color w:val="000000"/>
                <w:sz w:val="20"/>
                <w:szCs w:val="20"/>
              </w:rPr>
              <w:t xml:space="preserve">Pendant le conflit de Kamuina Nsapu, l’OMS a apporté son appui en médicaments essentiels qui a permis d'assurer la continuité dans la fourniture des services dans les Centres de Santé qui prennent gratuitement en charge les déplacés. Même les familles qui les accueillent ont été prises en compte. </w:t>
            </w:r>
            <w:r w:rsidRPr="00765B4C">
              <w:rPr>
                <w:rFonts w:cs="Arial"/>
                <w:color w:val="000000"/>
                <w:sz w:val="20"/>
                <w:szCs w:val="20"/>
              </w:rPr>
              <w:t>118 structures sanitaires ont été pillées lors de la crise qui a touché les 26 Zones de Santé de sa Province. Les personnes déplacées ainsi que la population hôte avait gratuitement accès aux soins de santé de qualité dans les Centres de Santé et dans les Hôpitaux Généraux de Référence sélectionnés par l’ONG ADRA.</w:t>
            </w:r>
          </w:p>
          <w:p w14:paraId="098FF266" w14:textId="77777777" w:rsidR="001C2F95" w:rsidRPr="00765B4C" w:rsidRDefault="001C2F95" w:rsidP="00971FD2">
            <w:pPr>
              <w:textAlignment w:val="baseline"/>
              <w:rPr>
                <w:rFonts w:cs="Arial"/>
                <w:color w:val="000000"/>
                <w:sz w:val="20"/>
                <w:szCs w:val="20"/>
              </w:rPr>
            </w:pPr>
          </w:p>
          <w:p w14:paraId="7252EA33" w14:textId="77777777" w:rsidR="001C2F95" w:rsidRPr="00765B4C" w:rsidRDefault="001C2F95" w:rsidP="00971FD2">
            <w:pPr>
              <w:textAlignment w:val="baseline"/>
              <w:rPr>
                <w:rFonts w:cs="Arial"/>
                <w:color w:val="000000"/>
                <w:sz w:val="20"/>
                <w:szCs w:val="20"/>
              </w:rPr>
            </w:pPr>
            <w:r w:rsidRPr="00765B4C">
              <w:rPr>
                <w:rFonts w:cs="Arial"/>
                <w:color w:val="000000"/>
                <w:sz w:val="20"/>
                <w:szCs w:val="20"/>
              </w:rPr>
              <w:t>À ce jour, l’accès aux soins de santé demeure précaire dans ce contexte de COVID-19.</w:t>
            </w:r>
          </w:p>
        </w:tc>
      </w:tr>
      <w:tr w:rsidR="001C2F95" w:rsidRPr="001857F5" w14:paraId="58D5BE92" w14:textId="77777777" w:rsidTr="00971FD2">
        <w:trPr>
          <w:trHeight w:val="820"/>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0103A60" w14:textId="77777777" w:rsidR="001C2F95" w:rsidRPr="00765B4C" w:rsidRDefault="001C2F95" w:rsidP="00971FD2">
            <w:pPr>
              <w:rPr>
                <w:rFonts w:eastAsia="Calibri" w:cs="Arial"/>
                <w:b/>
                <w:sz w:val="20"/>
                <w:szCs w:val="20"/>
              </w:rPr>
            </w:pPr>
            <w:r w:rsidRPr="00765B4C">
              <w:rPr>
                <w:rFonts w:eastAsia="Calibri" w:cs="Arial"/>
                <w:b/>
                <w:sz w:val="20"/>
                <w:szCs w:val="20"/>
              </w:rPr>
              <w:t>Situation du COVID-19 dans la Province du Kasaï Central</w:t>
            </w:r>
          </w:p>
        </w:tc>
        <w:tc>
          <w:tcPr>
            <w:tcW w:w="11287" w:type="dxa"/>
            <w:tcBorders>
              <w:top w:val="single" w:sz="4" w:space="0" w:color="000001"/>
              <w:left w:val="single" w:sz="4" w:space="0" w:color="000001"/>
              <w:bottom w:val="single" w:sz="4" w:space="0" w:color="000001"/>
              <w:right w:val="single" w:sz="4" w:space="0" w:color="000001"/>
            </w:tcBorders>
          </w:tcPr>
          <w:p w14:paraId="599C3623" w14:textId="77777777" w:rsidR="001C2F95" w:rsidRPr="00765B4C" w:rsidRDefault="001C2F95" w:rsidP="00971FD2">
            <w:pPr>
              <w:textAlignment w:val="baseline"/>
              <w:rPr>
                <w:rFonts w:cs="Arial"/>
                <w:color w:val="000000"/>
                <w:sz w:val="20"/>
                <w:szCs w:val="20"/>
              </w:rPr>
            </w:pPr>
            <w:r w:rsidRPr="00765B4C">
              <w:rPr>
                <w:rFonts w:cs="Arial"/>
                <w:color w:val="000000"/>
                <w:sz w:val="20"/>
                <w:szCs w:val="20"/>
              </w:rPr>
              <w:t>Depuis le début de la pandémie à COVID-19 en RDC, la Province du Kasaï Central a</w:t>
            </w:r>
            <w:r w:rsidR="00AB3C0C" w:rsidRPr="00765B4C">
              <w:rPr>
                <w:rFonts w:cs="Arial"/>
                <w:color w:val="000000"/>
                <w:sz w:val="20"/>
                <w:szCs w:val="20"/>
              </w:rPr>
              <w:t xml:space="preserve"> </w:t>
            </w:r>
            <w:r w:rsidRPr="00765B4C">
              <w:rPr>
                <w:rFonts w:cs="Arial"/>
                <w:color w:val="000000"/>
                <w:sz w:val="20"/>
                <w:szCs w:val="20"/>
              </w:rPr>
              <w:t>enregistré 16 cas confirmé de COVID-19, statistique avancée par l’INRB en date de 12 janvier 2021. Des mesures barrières et le couvre-feu qui débute de 21h00 à 5h00 sont observées sur toute l’étendue de la Province.</w:t>
            </w:r>
          </w:p>
        </w:tc>
      </w:tr>
      <w:tr w:rsidR="001C2F95" w:rsidRPr="001857F5" w14:paraId="7EA7901A"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AFCC96C" w14:textId="77777777" w:rsidR="001C2F95" w:rsidRPr="00765B4C" w:rsidRDefault="001C2F95" w:rsidP="00971FD2">
            <w:pPr>
              <w:rPr>
                <w:rFonts w:eastAsia="Calibri" w:cs="Arial"/>
                <w:b/>
                <w:sz w:val="20"/>
                <w:szCs w:val="20"/>
              </w:rPr>
            </w:pPr>
            <w:r w:rsidRPr="00765B4C">
              <w:rPr>
                <w:rFonts w:eastAsia="Calibri" w:cs="Arial"/>
                <w:b/>
                <w:sz w:val="20"/>
                <w:szCs w:val="20"/>
              </w:rPr>
              <w:t>Éducation</w:t>
            </w:r>
          </w:p>
        </w:tc>
        <w:tc>
          <w:tcPr>
            <w:tcW w:w="11287" w:type="dxa"/>
            <w:tcBorders>
              <w:top w:val="single" w:sz="4" w:space="0" w:color="000001"/>
              <w:left w:val="single" w:sz="4" w:space="0" w:color="000001"/>
              <w:bottom w:val="single" w:sz="4" w:space="0" w:color="000001"/>
              <w:right w:val="single" w:sz="4" w:space="0" w:color="000001"/>
            </w:tcBorders>
          </w:tcPr>
          <w:p w14:paraId="6EC7FAAA" w14:textId="77777777" w:rsidR="001C2F95" w:rsidRPr="00765B4C" w:rsidRDefault="001C2F95" w:rsidP="00971FD2">
            <w:pPr>
              <w:textAlignment w:val="baseline"/>
              <w:rPr>
                <w:rFonts w:cs="Arial"/>
                <w:sz w:val="20"/>
                <w:szCs w:val="20"/>
              </w:rPr>
            </w:pPr>
            <w:r w:rsidRPr="00765B4C">
              <w:rPr>
                <w:rFonts w:cs="Arial"/>
                <w:sz w:val="20"/>
                <w:szCs w:val="20"/>
              </w:rPr>
              <w:t xml:space="preserve">Le taux de fréquentation scolaire dans la Province du </w:t>
            </w:r>
            <w:r w:rsidR="00AB3C0C" w:rsidRPr="00765B4C">
              <w:rPr>
                <w:rFonts w:cs="Arial"/>
                <w:sz w:val="20"/>
                <w:szCs w:val="20"/>
              </w:rPr>
              <w:t>Kasaï</w:t>
            </w:r>
            <w:r w:rsidRPr="00765B4C">
              <w:rPr>
                <w:rFonts w:cs="Arial"/>
                <w:sz w:val="20"/>
                <w:szCs w:val="20"/>
              </w:rPr>
              <w:t xml:space="preserve"> Central est de 57,8 % (Enquête MICS2-Palu, RDC, 2017-2018). On observait vers l’année 2017, le taux de scolarisation des filles s’écarte de celui des garçons au fur et à mesure que le niveau d’instruction monte. De 49,4 % en primaire, ce taux pour les filles descend à 15,9 % au secondaire puis 0,3 % au niveau supérieur. Il en est de même pour l’accès à l’éducation puisque si on compte 9 filles pour 10 garçons au primaire, ce ratio descend à 4 sur 10 au niveau secondaire pour finir à seulement une fille pour 10 garçons au niveau supérieur. Le mariage précoce des filles est une pratique très courante dans le Kasaï Central ; ainsi, les filles n’ont pas le même accès aux études. Les normes très conservatrices soulignent la phrase « La fille n’est pas faite pour les études mais pour le ménage ». Certains jeunes garçons préfèrent exploiter les produits miniers plutôt que fréquenter l’école. Le travail d’enfant est très récurrent dans le </w:t>
            </w:r>
            <w:r w:rsidR="001857F5" w:rsidRPr="00765B4C">
              <w:rPr>
                <w:rFonts w:cs="Arial"/>
                <w:sz w:val="20"/>
                <w:szCs w:val="20"/>
              </w:rPr>
              <w:t>Kasaï</w:t>
            </w:r>
            <w:r w:rsidRPr="00765B4C">
              <w:rPr>
                <w:rFonts w:cs="Arial"/>
                <w:sz w:val="20"/>
                <w:szCs w:val="20"/>
              </w:rPr>
              <w:t>-Central, en lieu et place des études.</w:t>
            </w:r>
          </w:p>
          <w:p w14:paraId="08E84213" w14:textId="77777777" w:rsidR="001C2F95" w:rsidRPr="00765B4C" w:rsidRDefault="001C2F95" w:rsidP="00971FD2">
            <w:pPr>
              <w:textAlignment w:val="baseline"/>
              <w:rPr>
                <w:rFonts w:cs="Arial"/>
                <w:sz w:val="20"/>
                <w:szCs w:val="20"/>
              </w:rPr>
            </w:pPr>
          </w:p>
          <w:p w14:paraId="513B7F2F" w14:textId="77777777" w:rsidR="00AB3C0C" w:rsidRPr="00765B4C" w:rsidRDefault="00AB3C0C" w:rsidP="00AB3C0C">
            <w:pPr>
              <w:textAlignment w:val="baseline"/>
              <w:rPr>
                <w:rFonts w:cs="Arial"/>
                <w:sz w:val="20"/>
                <w:szCs w:val="20"/>
              </w:rPr>
            </w:pPr>
            <w:r w:rsidRPr="00765B4C">
              <w:rPr>
                <w:rFonts w:cs="Arial"/>
                <w:sz w:val="20"/>
                <w:szCs w:val="20"/>
              </w:rPr>
              <w:t xml:space="preserve">On note aussi certaines filles qui sont abusées et de fois même sollicitées en mariage par leurs enseignants ou sont victimes de harcèlement de la part de leurs enseignants. Les parents trouvent que c’est un honneur que leur fille soit mariée, mineure qu’elle soit à son enseignant. </w:t>
            </w:r>
          </w:p>
          <w:p w14:paraId="728B1553" w14:textId="77777777" w:rsidR="00AB3C0C" w:rsidRPr="00765B4C" w:rsidRDefault="00AB3C0C" w:rsidP="00971FD2">
            <w:pPr>
              <w:textAlignment w:val="baseline"/>
              <w:rPr>
                <w:rFonts w:cs="Arial"/>
                <w:sz w:val="20"/>
                <w:szCs w:val="20"/>
              </w:rPr>
            </w:pPr>
          </w:p>
          <w:p w14:paraId="5CBDF687" w14:textId="77777777" w:rsidR="001C2F95" w:rsidRPr="00765B4C" w:rsidRDefault="001C2F95" w:rsidP="00971FD2">
            <w:pPr>
              <w:textAlignment w:val="baseline"/>
              <w:rPr>
                <w:rFonts w:cs="Arial"/>
                <w:sz w:val="20"/>
                <w:szCs w:val="20"/>
              </w:rPr>
            </w:pPr>
            <w:r w:rsidRPr="00765B4C">
              <w:rPr>
                <w:rFonts w:cs="Arial"/>
                <w:sz w:val="20"/>
                <w:szCs w:val="20"/>
              </w:rPr>
              <w:t>Mais avec le Programme de la gratuité de l’enseignement décrété par le Gouvernement de la République cette dernière année scolaire 2019-2020, les indicateurs de l’accès à l’éducation vont sensiblement améliorer le taux d’alphabétisation. Cette gratuité a augmenté le taux des filles à l’école ce qui donne l’espoir d’une réduction des mariages précoces dans cette communauté.</w:t>
            </w:r>
          </w:p>
        </w:tc>
      </w:tr>
      <w:tr w:rsidR="001C2F95" w:rsidRPr="001857F5" w14:paraId="09C9DD89"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D502755" w14:textId="77777777" w:rsidR="001C2F95" w:rsidRPr="00765B4C" w:rsidRDefault="001C2F95" w:rsidP="00971FD2">
            <w:pPr>
              <w:jc w:val="left"/>
              <w:rPr>
                <w:rFonts w:eastAsia="Calibri" w:cs="Arial"/>
                <w:b/>
                <w:sz w:val="20"/>
                <w:szCs w:val="20"/>
              </w:rPr>
            </w:pPr>
            <w:r w:rsidRPr="00765B4C">
              <w:rPr>
                <w:rFonts w:eastAsia="Calibri" w:cs="Arial"/>
                <w:b/>
                <w:sz w:val="20"/>
                <w:szCs w:val="20"/>
              </w:rPr>
              <w:t>Infrastructures de transport</w:t>
            </w:r>
          </w:p>
        </w:tc>
        <w:tc>
          <w:tcPr>
            <w:tcW w:w="11287" w:type="dxa"/>
            <w:tcBorders>
              <w:top w:val="single" w:sz="4" w:space="0" w:color="000001"/>
              <w:left w:val="single" w:sz="4" w:space="0" w:color="000001"/>
              <w:bottom w:val="single" w:sz="4" w:space="0" w:color="000001"/>
              <w:right w:val="single" w:sz="4" w:space="0" w:color="000001"/>
            </w:tcBorders>
          </w:tcPr>
          <w:p w14:paraId="0701EBAE" w14:textId="77777777" w:rsidR="001C2F95" w:rsidRPr="00765B4C" w:rsidRDefault="001C2F95" w:rsidP="00971FD2">
            <w:pPr>
              <w:textAlignment w:val="baseline"/>
              <w:rPr>
                <w:rFonts w:cs="Arial"/>
                <w:color w:val="000000"/>
                <w:sz w:val="20"/>
                <w:szCs w:val="20"/>
              </w:rPr>
            </w:pPr>
            <w:r w:rsidRPr="00765B4C">
              <w:rPr>
                <w:rFonts w:cs="Arial"/>
                <w:color w:val="000000"/>
                <w:sz w:val="20"/>
                <w:szCs w:val="20"/>
              </w:rPr>
              <w:t xml:space="preserve">Dans cette Province, le transport est assuré principalement par un réseau routier qui comprend 1 977 km de routes d’intérêt national, 1 147 km de routes d’intérêt provincial et 11 486 km des routes de dessertes agricoles. L’état de dégradation de ce réseau routier constitue un frein à la mobilité des personnes et des biens dans la Province. </w:t>
            </w:r>
          </w:p>
          <w:p w14:paraId="6FBB392A" w14:textId="77777777" w:rsidR="001C2F95" w:rsidRPr="00765B4C" w:rsidRDefault="001C2F95" w:rsidP="00971FD2">
            <w:pPr>
              <w:textAlignment w:val="baseline"/>
              <w:rPr>
                <w:rFonts w:cs="Arial"/>
                <w:color w:val="000000"/>
                <w:sz w:val="20"/>
                <w:szCs w:val="20"/>
              </w:rPr>
            </w:pPr>
          </w:p>
          <w:p w14:paraId="7C8D00FB" w14:textId="77777777" w:rsidR="001C2F95" w:rsidRPr="00765B4C" w:rsidRDefault="001C2F95" w:rsidP="00971FD2">
            <w:pPr>
              <w:textAlignment w:val="baseline"/>
              <w:rPr>
                <w:rFonts w:cs="Arial"/>
                <w:color w:val="000000"/>
                <w:sz w:val="20"/>
                <w:szCs w:val="20"/>
              </w:rPr>
            </w:pPr>
            <w:r w:rsidRPr="00765B4C">
              <w:rPr>
                <w:rFonts w:cs="Arial"/>
                <w:color w:val="000000"/>
                <w:sz w:val="20"/>
                <w:szCs w:val="20"/>
              </w:rPr>
              <w:t xml:space="preserve">La Province dispose également d’une voie fluviale de près de 642 km de biefs navigables qui permet la circulation des produits au sein de la Province. </w:t>
            </w:r>
          </w:p>
          <w:p w14:paraId="486B9FC9" w14:textId="77777777" w:rsidR="001C2F95" w:rsidRPr="00765B4C" w:rsidRDefault="001C2F95" w:rsidP="00971FD2">
            <w:pPr>
              <w:textAlignment w:val="baseline"/>
              <w:rPr>
                <w:rFonts w:cs="Arial"/>
                <w:color w:val="000000"/>
                <w:sz w:val="20"/>
                <w:szCs w:val="20"/>
              </w:rPr>
            </w:pPr>
          </w:p>
          <w:p w14:paraId="63DDAC92" w14:textId="77777777" w:rsidR="001C2F95" w:rsidRPr="00765B4C" w:rsidRDefault="001C2F95" w:rsidP="00971FD2">
            <w:pPr>
              <w:textAlignment w:val="baseline"/>
              <w:rPr>
                <w:rFonts w:cs="Arial"/>
                <w:color w:val="000000"/>
                <w:sz w:val="20"/>
                <w:szCs w:val="20"/>
              </w:rPr>
            </w:pPr>
            <w:r w:rsidRPr="00765B4C">
              <w:rPr>
                <w:rFonts w:cs="Arial"/>
                <w:color w:val="000000"/>
                <w:sz w:val="20"/>
                <w:szCs w:val="20"/>
              </w:rPr>
              <w:t>Le réseau ferroviaire de l’ancienne Province est composé de la voie ferrée venant de l’Afrique du Sud, en passant par la Zambie, les Provinces du Haut-Katanga et du Lomami.</w:t>
            </w:r>
          </w:p>
          <w:p w14:paraId="4A3252FA" w14:textId="77777777" w:rsidR="001C2F95" w:rsidRPr="00765B4C" w:rsidRDefault="001C2F95" w:rsidP="00971FD2">
            <w:pPr>
              <w:textAlignment w:val="baseline"/>
              <w:rPr>
                <w:rFonts w:cs="Arial"/>
                <w:color w:val="000000"/>
                <w:sz w:val="20"/>
                <w:szCs w:val="20"/>
              </w:rPr>
            </w:pPr>
          </w:p>
          <w:p w14:paraId="07A616EB" w14:textId="77777777" w:rsidR="001C2F95" w:rsidRPr="00765B4C" w:rsidRDefault="001C2F95" w:rsidP="00AB3C0C">
            <w:pPr>
              <w:textAlignment w:val="baseline"/>
              <w:rPr>
                <w:rFonts w:cs="Arial"/>
                <w:color w:val="000000"/>
                <w:sz w:val="20"/>
                <w:szCs w:val="20"/>
              </w:rPr>
            </w:pPr>
            <w:r w:rsidRPr="00765B4C">
              <w:rPr>
                <w:rFonts w:cs="Arial"/>
                <w:color w:val="000000"/>
                <w:sz w:val="20"/>
                <w:szCs w:val="20"/>
              </w:rPr>
              <w:t xml:space="preserve">Le délabrement des routes est souvent un risque des VBG du fait que les </w:t>
            </w:r>
            <w:r w:rsidR="00AB3C0C" w:rsidRPr="00765B4C">
              <w:rPr>
                <w:rFonts w:cs="Arial"/>
                <w:color w:val="000000"/>
                <w:sz w:val="20"/>
                <w:szCs w:val="20"/>
              </w:rPr>
              <w:t xml:space="preserve">passagers des </w:t>
            </w:r>
            <w:r w:rsidRPr="00765B4C">
              <w:rPr>
                <w:rFonts w:cs="Arial"/>
                <w:color w:val="000000"/>
                <w:sz w:val="20"/>
                <w:szCs w:val="20"/>
              </w:rPr>
              <w:t xml:space="preserve">véhicules qui s’embourbent sont obligés de passer plus de temps que prévu dans les villages avoisinants, ce qui crée des risques d’EAS pour les filles qui ne fréquentent pas l’école et sont souvent à la recherche d’un revenu ou des activités </w:t>
            </w:r>
            <w:r w:rsidR="00AB3C0C" w:rsidRPr="00765B4C">
              <w:rPr>
                <w:rFonts w:cs="Arial"/>
                <w:color w:val="000000"/>
                <w:sz w:val="20"/>
                <w:szCs w:val="20"/>
              </w:rPr>
              <w:t>génératrices de revenus</w:t>
            </w:r>
            <w:r w:rsidRPr="00765B4C">
              <w:rPr>
                <w:rFonts w:cs="Arial"/>
                <w:color w:val="000000"/>
                <w:sz w:val="20"/>
                <w:szCs w:val="20"/>
              </w:rPr>
              <w:t xml:space="preserve"> pour soutenir la famille. Des grossesses et mariages précoces sont alors les phénomènes très </w:t>
            </w:r>
            <w:r w:rsidR="00AB3C0C" w:rsidRPr="00765B4C">
              <w:rPr>
                <w:rFonts w:cs="Arial"/>
                <w:color w:val="000000"/>
                <w:sz w:val="20"/>
                <w:szCs w:val="20"/>
              </w:rPr>
              <w:t>récurrents</w:t>
            </w:r>
            <w:r w:rsidRPr="00765B4C">
              <w:rPr>
                <w:rFonts w:cs="Arial"/>
                <w:color w:val="000000"/>
                <w:sz w:val="20"/>
                <w:szCs w:val="20"/>
              </w:rPr>
              <w:t xml:space="preserve"> dans certains tronçons routiers du Kasaï Central.</w:t>
            </w:r>
          </w:p>
        </w:tc>
      </w:tr>
      <w:tr w:rsidR="001C2F95" w:rsidRPr="001857F5" w14:paraId="69E00138"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0449209" w14:textId="77777777" w:rsidR="001C2F95" w:rsidRPr="00765B4C" w:rsidRDefault="001C2F95" w:rsidP="00971FD2">
            <w:pPr>
              <w:rPr>
                <w:rFonts w:eastAsia="Calibri" w:cs="Arial"/>
                <w:b/>
                <w:sz w:val="20"/>
                <w:szCs w:val="20"/>
              </w:rPr>
            </w:pPr>
            <w:r w:rsidRPr="00765B4C">
              <w:rPr>
                <w:rFonts w:eastAsia="Calibri" w:cs="Arial"/>
                <w:b/>
                <w:sz w:val="20"/>
                <w:szCs w:val="20"/>
              </w:rPr>
              <w:t>Accès à l’énergie</w:t>
            </w:r>
          </w:p>
        </w:tc>
        <w:tc>
          <w:tcPr>
            <w:tcW w:w="11287" w:type="dxa"/>
            <w:tcBorders>
              <w:top w:val="single" w:sz="4" w:space="0" w:color="000001"/>
              <w:left w:val="single" w:sz="4" w:space="0" w:color="000001"/>
              <w:bottom w:val="single" w:sz="4" w:space="0" w:color="000001"/>
              <w:right w:val="single" w:sz="4" w:space="0" w:color="000001"/>
            </w:tcBorders>
          </w:tcPr>
          <w:p w14:paraId="01A31EC4" w14:textId="77777777" w:rsidR="001C2F95" w:rsidRPr="00765B4C" w:rsidRDefault="001C2F95" w:rsidP="00971FD2">
            <w:pPr>
              <w:textAlignment w:val="baseline"/>
              <w:rPr>
                <w:rFonts w:cs="Arial"/>
                <w:color w:val="000000"/>
                <w:sz w:val="20"/>
                <w:szCs w:val="20"/>
              </w:rPr>
            </w:pPr>
            <w:r w:rsidRPr="00765B4C">
              <w:rPr>
                <w:rFonts w:cs="Arial"/>
                <w:color w:val="000000"/>
                <w:sz w:val="20"/>
                <w:szCs w:val="20"/>
              </w:rPr>
              <w:t>L’accès à l’électricité pose encore d’énormes problèmes dans cette partie du pays. En effet, seulement 5,6 % des ménages ont accès à l’électricité. En outre, le taux de recours principal aux combustibles et technologies propres de cuisson (dans les ménages qui déclarent cuisiner) est de 0,8 % (enquête MICS2-Palu, RDC 2017-2018). Ces chiffres traduisent la précarité de la vie dans la Province du Kasaï Central. Les jeunes garçons et jeunes filles font le ramassage de bois pour la survie. Par la suite, les filles sont plus exposées aux risques de VBG au cours de cette activi</w:t>
            </w:r>
            <w:r w:rsidR="00AB3C0C" w:rsidRPr="00765B4C">
              <w:rPr>
                <w:rFonts w:cs="Arial"/>
                <w:color w:val="000000"/>
                <w:sz w:val="20"/>
                <w:szCs w:val="20"/>
              </w:rPr>
              <w:t>t</w:t>
            </w:r>
            <w:r w:rsidRPr="00765B4C">
              <w:rPr>
                <w:rFonts w:cs="Arial"/>
                <w:color w:val="000000"/>
                <w:sz w:val="20"/>
                <w:szCs w:val="20"/>
              </w:rPr>
              <w:t>é.</w:t>
            </w:r>
          </w:p>
        </w:tc>
      </w:tr>
      <w:tr w:rsidR="001C2F95" w:rsidRPr="001857F5" w14:paraId="7AF28A53"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19BAE24" w14:textId="77777777" w:rsidR="001C2F95" w:rsidRPr="00765B4C" w:rsidRDefault="001C2F95" w:rsidP="00971FD2">
            <w:pPr>
              <w:textAlignment w:val="baseline"/>
              <w:rPr>
                <w:rFonts w:cs="Arial"/>
                <w:b/>
                <w:color w:val="000000"/>
                <w:sz w:val="20"/>
                <w:szCs w:val="20"/>
                <w:shd w:val="clear" w:color="auto" w:fill="FFFFFF"/>
              </w:rPr>
            </w:pPr>
            <w:r w:rsidRPr="00765B4C">
              <w:rPr>
                <w:rFonts w:cs="Arial"/>
                <w:b/>
                <w:color w:val="000000"/>
                <w:sz w:val="20"/>
                <w:szCs w:val="20"/>
                <w:shd w:val="clear" w:color="auto" w:fill="FFFFFF"/>
              </w:rPr>
              <w:t>Accès à l’eau</w:t>
            </w:r>
          </w:p>
        </w:tc>
        <w:tc>
          <w:tcPr>
            <w:tcW w:w="11287" w:type="dxa"/>
            <w:tcBorders>
              <w:top w:val="single" w:sz="4" w:space="0" w:color="000001"/>
              <w:left w:val="single" w:sz="4" w:space="0" w:color="000001"/>
              <w:bottom w:val="single" w:sz="4" w:space="0" w:color="000001"/>
              <w:right w:val="single" w:sz="4" w:space="0" w:color="000001"/>
            </w:tcBorders>
          </w:tcPr>
          <w:p w14:paraId="5C74767D" w14:textId="77777777" w:rsidR="001C2F95" w:rsidRPr="00765B4C" w:rsidRDefault="001C2F95" w:rsidP="00AB3C0C">
            <w:pPr>
              <w:textAlignment w:val="baseline"/>
              <w:rPr>
                <w:rFonts w:cs="Arial"/>
                <w:color w:val="000000"/>
                <w:sz w:val="20"/>
                <w:szCs w:val="20"/>
                <w:shd w:val="clear" w:color="auto" w:fill="FFFFFF"/>
              </w:rPr>
            </w:pPr>
            <w:r w:rsidRPr="00765B4C">
              <w:rPr>
                <w:rFonts w:cs="Arial"/>
                <w:color w:val="000000"/>
                <w:sz w:val="20"/>
                <w:szCs w:val="20"/>
                <w:shd w:val="clear" w:color="auto" w:fill="FFFFFF"/>
              </w:rPr>
              <w:t xml:space="preserve">L’accès à l’eau potable pose aussi d’énormes problèmes dans cette partie du pays où seulement 28,9 % des ménages ont accès à l’eau. En outre, 0,8 % des ménages ont accès à l’eau potable de robinet (Enquête MICS2-Palu, RDC, 2017-2018). Ces chiffres traduisent la précarité de la vie dans la Province du Kasaï Central. Cette situation de pénurie d’eau expose les femmes et jeunes filles aux risques de VBG, qui sont appelées à chercher de l’eau potable. </w:t>
            </w:r>
            <w:r w:rsidRPr="00765B4C">
              <w:rPr>
                <w:rFonts w:cs="Arial"/>
                <w:color w:val="000000"/>
                <w:sz w:val="20"/>
                <w:szCs w:val="20"/>
              </w:rPr>
              <w:t>Les jeunes femmes et filles sont exposées aux actes des VBG, y compris l’EAS et le HS, lorsqu’elles se rendent à la riv</w:t>
            </w:r>
            <w:r w:rsidR="00AB3C0C" w:rsidRPr="00765B4C">
              <w:rPr>
                <w:rFonts w:cs="Arial"/>
                <w:color w:val="000000"/>
                <w:sz w:val="20"/>
                <w:szCs w:val="20"/>
              </w:rPr>
              <w:t>i</w:t>
            </w:r>
            <w:r w:rsidRPr="00765B4C">
              <w:rPr>
                <w:rFonts w:cs="Arial"/>
                <w:color w:val="000000"/>
                <w:sz w:val="20"/>
                <w:szCs w:val="20"/>
              </w:rPr>
              <w:t>ère pour s’approvisionner en eau. Les jeunes délinquants leur tendent souvent des pièges pour les harceler</w:t>
            </w:r>
            <w:r w:rsidR="00AB3C0C" w:rsidRPr="00765B4C">
              <w:rPr>
                <w:rFonts w:cs="Arial"/>
                <w:color w:val="000000"/>
                <w:sz w:val="20"/>
                <w:szCs w:val="20"/>
              </w:rPr>
              <w:t xml:space="preserve"> et parfois obligent les filles à avoir des rapports sexuels avec eux</w:t>
            </w:r>
            <w:r w:rsidRPr="00765B4C">
              <w:rPr>
                <w:rFonts w:cs="Arial"/>
                <w:color w:val="000000"/>
                <w:sz w:val="20"/>
                <w:szCs w:val="20"/>
              </w:rPr>
              <w:t>.</w:t>
            </w:r>
          </w:p>
        </w:tc>
      </w:tr>
      <w:tr w:rsidR="001C2F95" w:rsidRPr="001857F5" w14:paraId="1C89BA0C"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45B18817" w14:textId="77777777" w:rsidR="001C2F95" w:rsidRPr="00765B4C" w:rsidRDefault="001C2F95" w:rsidP="00971FD2">
            <w:pPr>
              <w:rPr>
                <w:rFonts w:eastAsia="Calibri" w:cs="Arial"/>
                <w:b/>
                <w:sz w:val="20"/>
                <w:szCs w:val="20"/>
              </w:rPr>
            </w:pPr>
            <w:r w:rsidRPr="00765B4C">
              <w:rPr>
                <w:rFonts w:eastAsia="Calibri" w:cs="Arial"/>
                <w:b/>
                <w:sz w:val="20"/>
                <w:szCs w:val="20"/>
              </w:rPr>
              <w:t>Communication</w:t>
            </w:r>
          </w:p>
        </w:tc>
        <w:tc>
          <w:tcPr>
            <w:tcW w:w="11287" w:type="dxa"/>
            <w:tcBorders>
              <w:top w:val="single" w:sz="4" w:space="0" w:color="000001"/>
              <w:left w:val="single" w:sz="4" w:space="0" w:color="000001"/>
              <w:bottom w:val="single" w:sz="4" w:space="0" w:color="000001"/>
              <w:right w:val="single" w:sz="4" w:space="0" w:color="000001"/>
            </w:tcBorders>
          </w:tcPr>
          <w:p w14:paraId="46BEB099" w14:textId="77777777" w:rsidR="001C2F95" w:rsidRPr="00765B4C" w:rsidRDefault="001C2F95" w:rsidP="00971FD2">
            <w:pPr>
              <w:textAlignment w:val="baseline"/>
              <w:rPr>
                <w:rFonts w:cs="Arial"/>
                <w:color w:val="000000"/>
                <w:sz w:val="20"/>
                <w:szCs w:val="20"/>
              </w:rPr>
            </w:pPr>
            <w:r w:rsidRPr="00765B4C">
              <w:rPr>
                <w:rFonts w:cs="Arial"/>
                <w:color w:val="000000"/>
                <w:sz w:val="20"/>
                <w:szCs w:val="20"/>
              </w:rPr>
              <w:t xml:space="preserve">Le réseau téléphonique est composé du secteur public (Postes et Télécommunications) et du secteur privé (Airtel, Vodacom et Orange). Il y a également plus d’une trentaine des radios et de télévisions locales. Les radios communautaires sont les plus utilisées dans la communication, et elles sont l’émanation des Confessions Religieuses. Les radios les plus connues rencontrées dans la Province du </w:t>
            </w:r>
            <w:r w:rsidR="00AB3C0C" w:rsidRPr="00765B4C">
              <w:rPr>
                <w:rFonts w:cs="Arial"/>
                <w:color w:val="000000"/>
                <w:sz w:val="20"/>
                <w:szCs w:val="20"/>
              </w:rPr>
              <w:t>Kasaï</w:t>
            </w:r>
            <w:r w:rsidRPr="00765B4C">
              <w:rPr>
                <w:rFonts w:cs="Arial"/>
                <w:color w:val="000000"/>
                <w:sz w:val="20"/>
                <w:szCs w:val="20"/>
              </w:rPr>
              <w:t xml:space="preserve"> Central sont : la RTNC et la radio OKAPI, Radio Ditekemena de Tshikula, et Radio Dibaya Tabalayi de Tshimbulu, etc.</w:t>
            </w:r>
          </w:p>
        </w:tc>
      </w:tr>
      <w:tr w:rsidR="001C2F95" w:rsidRPr="001857F5" w14:paraId="010CF3DD"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6AB31761" w14:textId="77777777" w:rsidR="001C2F95" w:rsidRPr="00765B4C" w:rsidRDefault="001C2F95" w:rsidP="00971FD2">
            <w:pPr>
              <w:rPr>
                <w:rFonts w:eastAsia="Calibri" w:cs="Arial"/>
                <w:b/>
                <w:sz w:val="20"/>
                <w:szCs w:val="20"/>
              </w:rPr>
            </w:pPr>
            <w:r w:rsidRPr="00765B4C">
              <w:rPr>
                <w:rFonts w:eastAsia="Calibri" w:cs="Arial"/>
                <w:b/>
                <w:sz w:val="20"/>
                <w:szCs w:val="20"/>
              </w:rPr>
              <w:t>Aire protégée</w:t>
            </w:r>
          </w:p>
          <w:p w14:paraId="7394C6D7" w14:textId="77777777" w:rsidR="001C2F95" w:rsidRPr="00765B4C" w:rsidRDefault="001C2F95" w:rsidP="00971FD2">
            <w:pPr>
              <w:rPr>
                <w:rFonts w:eastAsia="Calibri" w:cs="Arial"/>
                <w:b/>
                <w:sz w:val="20"/>
                <w:szCs w:val="20"/>
              </w:rPr>
            </w:pPr>
          </w:p>
        </w:tc>
        <w:tc>
          <w:tcPr>
            <w:tcW w:w="11287" w:type="dxa"/>
            <w:tcBorders>
              <w:top w:val="single" w:sz="4" w:space="0" w:color="000001"/>
              <w:left w:val="single" w:sz="4" w:space="0" w:color="000001"/>
              <w:bottom w:val="single" w:sz="4" w:space="0" w:color="000001"/>
              <w:right w:val="single" w:sz="4" w:space="0" w:color="000001"/>
            </w:tcBorders>
          </w:tcPr>
          <w:p w14:paraId="2D9D27CF" w14:textId="35051B95" w:rsidR="001C2F95" w:rsidRPr="00765B4C" w:rsidRDefault="001C2F95" w:rsidP="00765B4C">
            <w:pPr>
              <w:textAlignment w:val="baseline"/>
              <w:rPr>
                <w:rFonts w:cs="Arial"/>
                <w:color w:val="000000"/>
                <w:sz w:val="20"/>
                <w:szCs w:val="20"/>
              </w:rPr>
            </w:pPr>
            <w:r w:rsidRPr="00765B4C">
              <w:rPr>
                <w:rFonts w:cs="Arial"/>
                <w:color w:val="000000"/>
                <w:sz w:val="20"/>
                <w:szCs w:val="20"/>
              </w:rPr>
              <w:t xml:space="preserve">Une partie du domaine de chasse et la réserve de Bushimaie se trouve dans la Province du Kasaï Central vers </w:t>
            </w:r>
            <w:hyperlink r:id="rId46" w:tooltip="Luiza (territoire)" w:history="1">
              <w:r w:rsidRPr="00765B4C">
                <w:rPr>
                  <w:rFonts w:cs="Arial"/>
                  <w:color w:val="000000"/>
                  <w:sz w:val="20"/>
                  <w:szCs w:val="20"/>
                </w:rPr>
                <w:t>Luiza</w:t>
              </w:r>
            </w:hyperlink>
            <w:r w:rsidRPr="00765B4C">
              <w:rPr>
                <w:rFonts w:cs="Arial"/>
                <w:color w:val="000000"/>
                <w:sz w:val="20"/>
                <w:szCs w:val="20"/>
              </w:rPr>
              <w:t xml:space="preserve"> dans la Province. Le </w:t>
            </w:r>
            <w:r w:rsidR="00765B4C">
              <w:rPr>
                <w:rFonts w:cs="Arial"/>
                <w:color w:val="000000"/>
                <w:sz w:val="20"/>
                <w:szCs w:val="20"/>
              </w:rPr>
              <w:t>D</w:t>
            </w:r>
            <w:r w:rsidRPr="00765B4C">
              <w:rPr>
                <w:rFonts w:cs="Arial"/>
                <w:color w:val="000000"/>
                <w:sz w:val="20"/>
                <w:szCs w:val="20"/>
              </w:rPr>
              <w:t>omaine est créé en 1958 et sa superficie est approximativement de 4 700 000 ha. Les principales espèces fauniques sont : l‘</w:t>
            </w:r>
            <w:hyperlink r:id="rId47" w:tooltip="Hippopotame" w:history="1">
              <w:r w:rsidRPr="00765B4C">
                <w:rPr>
                  <w:rFonts w:cs="Arial"/>
                  <w:color w:val="000000"/>
                  <w:sz w:val="20"/>
                  <w:szCs w:val="20"/>
                </w:rPr>
                <w:t>hippopotame</w:t>
              </w:r>
            </w:hyperlink>
            <w:r w:rsidRPr="00765B4C">
              <w:rPr>
                <w:rFonts w:cs="Arial"/>
                <w:color w:val="000000"/>
                <w:sz w:val="20"/>
                <w:szCs w:val="20"/>
              </w:rPr>
              <w:t xml:space="preserve">, le </w:t>
            </w:r>
            <w:hyperlink r:id="rId48" w:tooltip="Sitatunga" w:history="1">
              <w:r w:rsidRPr="00765B4C">
                <w:rPr>
                  <w:rFonts w:cs="Arial"/>
                  <w:color w:val="000000"/>
                  <w:sz w:val="20"/>
                  <w:szCs w:val="20"/>
                </w:rPr>
                <w:t>sitatunga</w:t>
              </w:r>
            </w:hyperlink>
            <w:r w:rsidRPr="00765B4C">
              <w:rPr>
                <w:rFonts w:cs="Arial"/>
                <w:color w:val="000000"/>
                <w:sz w:val="20"/>
                <w:szCs w:val="20"/>
              </w:rPr>
              <w:t xml:space="preserve">, et le </w:t>
            </w:r>
            <w:hyperlink r:id="rId49" w:tooltip="Buffle" w:history="1">
              <w:r w:rsidRPr="00765B4C">
                <w:rPr>
                  <w:rFonts w:cs="Arial"/>
                  <w:color w:val="000000"/>
                  <w:sz w:val="20"/>
                  <w:szCs w:val="20"/>
                </w:rPr>
                <w:t>buffle</w:t>
              </w:r>
            </w:hyperlink>
            <w:r w:rsidRPr="00765B4C">
              <w:rPr>
                <w:rFonts w:cs="Arial"/>
                <w:color w:val="000000"/>
                <w:sz w:val="20"/>
                <w:szCs w:val="20"/>
              </w:rPr>
              <w:t>.</w:t>
            </w:r>
          </w:p>
        </w:tc>
      </w:tr>
    </w:tbl>
    <w:p w14:paraId="68F41995" w14:textId="77777777" w:rsidR="001C2F95" w:rsidRPr="001857F5" w:rsidRDefault="001C2F95" w:rsidP="001C2F95">
      <w:pPr>
        <w:jc w:val="center"/>
        <w:rPr>
          <w:rFonts w:cs="Arial"/>
          <w:sz w:val="22"/>
        </w:rPr>
      </w:pPr>
    </w:p>
    <w:p w14:paraId="77866116" w14:textId="77777777" w:rsidR="001C2F95" w:rsidRPr="001857F5" w:rsidRDefault="001C2F95" w:rsidP="001C2F95">
      <w:pPr>
        <w:jc w:val="center"/>
        <w:rPr>
          <w:rFonts w:cs="Arial"/>
          <w:sz w:val="22"/>
        </w:rPr>
      </w:pPr>
    </w:p>
    <w:p w14:paraId="79478D3D" w14:textId="77777777" w:rsidR="001C2F95" w:rsidRPr="001857F5" w:rsidRDefault="001C2F95" w:rsidP="001C2F95">
      <w:pPr>
        <w:spacing w:line="240" w:lineRule="auto"/>
        <w:jc w:val="left"/>
        <w:rPr>
          <w:rFonts w:cs="Arial"/>
          <w:sz w:val="22"/>
        </w:rPr>
      </w:pPr>
      <w:r w:rsidRPr="001857F5">
        <w:rPr>
          <w:rFonts w:cs="Arial"/>
          <w:sz w:val="22"/>
        </w:rPr>
        <w:br w:type="page"/>
      </w:r>
    </w:p>
    <w:p w14:paraId="49024DED" w14:textId="06FD1D0A" w:rsidR="001C2F95" w:rsidRPr="00765B4C" w:rsidRDefault="001C2F95" w:rsidP="001C2F95">
      <w:pPr>
        <w:rPr>
          <w:rFonts w:cs="Arial"/>
          <w:i/>
          <w:szCs w:val="21"/>
        </w:rPr>
      </w:pPr>
      <w:bookmarkStart w:id="275" w:name="_Toc90392975"/>
      <w:r w:rsidRPr="00765B4C">
        <w:rPr>
          <w:rFonts w:cs="Arial"/>
          <w:szCs w:val="21"/>
        </w:rPr>
        <w:t xml:space="preserve">Tableau </w:t>
      </w:r>
      <w:r w:rsidRPr="009D55A6">
        <w:rPr>
          <w:rFonts w:cs="Arial"/>
          <w:szCs w:val="21"/>
        </w:rPr>
        <w:fldChar w:fldCharType="begin"/>
      </w:r>
      <w:r w:rsidRPr="00765B4C">
        <w:rPr>
          <w:rFonts w:cs="Arial"/>
          <w:szCs w:val="21"/>
        </w:rPr>
        <w:instrText xml:space="preserve"> SEQ Tableau \* ARABIC </w:instrText>
      </w:r>
      <w:r w:rsidRPr="009D55A6">
        <w:rPr>
          <w:rFonts w:cs="Arial"/>
          <w:szCs w:val="21"/>
        </w:rPr>
        <w:fldChar w:fldCharType="separate"/>
      </w:r>
      <w:r w:rsidR="00765B4C" w:rsidRPr="00765B4C">
        <w:rPr>
          <w:rFonts w:cs="Arial"/>
          <w:noProof/>
          <w:szCs w:val="21"/>
        </w:rPr>
        <w:t>7</w:t>
      </w:r>
      <w:r w:rsidRPr="009D55A6">
        <w:rPr>
          <w:rFonts w:cs="Arial"/>
          <w:szCs w:val="21"/>
        </w:rPr>
        <w:fldChar w:fldCharType="end"/>
      </w:r>
      <w:r w:rsidRPr="00765B4C">
        <w:rPr>
          <w:rFonts w:cs="Arial"/>
          <w:szCs w:val="21"/>
        </w:rPr>
        <w:t>. Données socio-économiques de la Province du Kasaï</w:t>
      </w:r>
      <w:bookmarkEnd w:id="275"/>
    </w:p>
    <w:p w14:paraId="7874652C" w14:textId="77777777" w:rsidR="001C2F95" w:rsidRPr="00765B4C" w:rsidRDefault="001C2F95" w:rsidP="001C2F95">
      <w:pPr>
        <w:jc w:val="center"/>
        <w:rPr>
          <w:rFonts w:cs="Arial"/>
          <w:i/>
          <w:szCs w:val="21"/>
        </w:rPr>
      </w:pPr>
    </w:p>
    <w:tbl>
      <w:tblPr>
        <w:tblW w:w="13665"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2378"/>
        <w:gridCol w:w="11287"/>
      </w:tblGrid>
      <w:tr w:rsidR="001C2F95" w:rsidRPr="001857F5" w14:paraId="6ED1F4D0" w14:textId="77777777" w:rsidTr="00971FD2">
        <w:trPr>
          <w:trHeight w:val="414"/>
          <w:tblHeader/>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C2D69B"/>
            <w:tcMar>
              <w:left w:w="108" w:type="dxa"/>
            </w:tcMar>
          </w:tcPr>
          <w:p w14:paraId="245A2E4A" w14:textId="77777777" w:rsidR="001C2F95" w:rsidRPr="009D55A6" w:rsidRDefault="001C2F95" w:rsidP="00971FD2">
            <w:pPr>
              <w:jc w:val="center"/>
              <w:rPr>
                <w:rFonts w:eastAsia="Calibri" w:cs="Arial"/>
                <w:b/>
                <w:sz w:val="20"/>
                <w:szCs w:val="20"/>
              </w:rPr>
            </w:pPr>
            <w:r w:rsidRPr="009D55A6">
              <w:rPr>
                <w:rFonts w:eastAsia="Calibri" w:cs="Arial"/>
                <w:b/>
                <w:sz w:val="20"/>
                <w:szCs w:val="20"/>
              </w:rPr>
              <w:t>Secteur</w:t>
            </w:r>
          </w:p>
        </w:tc>
        <w:tc>
          <w:tcPr>
            <w:tcW w:w="11287" w:type="dxa"/>
            <w:tcBorders>
              <w:top w:val="single" w:sz="4" w:space="0" w:color="000001"/>
              <w:left w:val="single" w:sz="4" w:space="0" w:color="000001"/>
              <w:bottom w:val="single" w:sz="4" w:space="0" w:color="000001"/>
              <w:right w:val="single" w:sz="4" w:space="0" w:color="000001"/>
            </w:tcBorders>
            <w:shd w:val="clear" w:color="auto" w:fill="C2D69B"/>
          </w:tcPr>
          <w:p w14:paraId="32AE968A" w14:textId="77777777" w:rsidR="001C2F95" w:rsidRPr="009D55A6" w:rsidRDefault="001C2F95" w:rsidP="00971FD2">
            <w:pPr>
              <w:jc w:val="center"/>
              <w:rPr>
                <w:rFonts w:eastAsia="Calibri" w:cs="Arial"/>
                <w:b/>
                <w:sz w:val="20"/>
                <w:szCs w:val="20"/>
              </w:rPr>
            </w:pPr>
            <w:r w:rsidRPr="009D55A6">
              <w:rPr>
                <w:rFonts w:eastAsia="Calibri" w:cs="Arial"/>
                <w:b/>
                <w:sz w:val="20"/>
                <w:szCs w:val="20"/>
              </w:rPr>
              <w:t>Province du Kasaï</w:t>
            </w:r>
          </w:p>
        </w:tc>
      </w:tr>
      <w:tr w:rsidR="001C2F95" w:rsidRPr="001857F5" w14:paraId="5FBB80FF" w14:textId="77777777" w:rsidTr="00971FD2">
        <w:trPr>
          <w:trHeight w:val="276"/>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07A9B0C0" w14:textId="77777777" w:rsidR="001C2F95" w:rsidRPr="009D55A6" w:rsidRDefault="001C2F95" w:rsidP="00971FD2">
            <w:pPr>
              <w:rPr>
                <w:rFonts w:cs="Arial"/>
                <w:b/>
                <w:iCs/>
                <w:color w:val="000000"/>
                <w:sz w:val="20"/>
                <w:szCs w:val="20"/>
              </w:rPr>
            </w:pPr>
            <w:r w:rsidRPr="009D55A6">
              <w:rPr>
                <w:rFonts w:cs="Arial"/>
                <w:b/>
                <w:iCs/>
                <w:color w:val="000000"/>
                <w:sz w:val="20"/>
                <w:szCs w:val="20"/>
              </w:rPr>
              <w:t>Situation géographique</w:t>
            </w:r>
          </w:p>
        </w:tc>
        <w:tc>
          <w:tcPr>
            <w:tcW w:w="11287" w:type="dxa"/>
            <w:tcBorders>
              <w:top w:val="single" w:sz="4" w:space="0" w:color="000001"/>
              <w:left w:val="single" w:sz="4" w:space="0" w:color="000001"/>
              <w:bottom w:val="single" w:sz="4" w:space="0" w:color="000001"/>
              <w:right w:val="single" w:sz="4" w:space="0" w:color="000001"/>
            </w:tcBorders>
          </w:tcPr>
          <w:p w14:paraId="13EE597E" w14:textId="77777777" w:rsidR="001C2F95" w:rsidRPr="009D55A6" w:rsidRDefault="001C2F95" w:rsidP="00971FD2">
            <w:pPr>
              <w:textAlignment w:val="baseline"/>
              <w:rPr>
                <w:rFonts w:cs="Arial"/>
                <w:b/>
                <w:i/>
                <w:color w:val="000000"/>
                <w:sz w:val="20"/>
                <w:szCs w:val="20"/>
              </w:rPr>
            </w:pPr>
            <w:r w:rsidRPr="009D55A6">
              <w:rPr>
                <w:rFonts w:cs="Arial"/>
                <w:b/>
                <w:i/>
                <w:color w:val="000000"/>
                <w:sz w:val="20"/>
                <w:szCs w:val="20"/>
              </w:rPr>
              <w:t>Localisation </w:t>
            </w:r>
          </w:p>
          <w:p w14:paraId="39EC02E7" w14:textId="77777777" w:rsidR="001C2F95" w:rsidRPr="009D55A6" w:rsidRDefault="001C2F95" w:rsidP="00971FD2">
            <w:pPr>
              <w:textAlignment w:val="baseline"/>
              <w:rPr>
                <w:rFonts w:cs="Arial"/>
                <w:color w:val="000000"/>
                <w:sz w:val="20"/>
                <w:szCs w:val="20"/>
              </w:rPr>
            </w:pPr>
            <w:r w:rsidRPr="009D55A6">
              <w:rPr>
                <w:rFonts w:cs="Arial"/>
                <w:color w:val="000000"/>
                <w:sz w:val="20"/>
                <w:szCs w:val="20"/>
              </w:rPr>
              <w:t xml:space="preserve">Le Kasaï est depuis 2015 une Province de la </w:t>
            </w:r>
            <w:hyperlink r:id="rId50" w:tooltip="République démocratique du Congo" w:history="1">
              <w:r w:rsidRPr="009D55A6">
                <w:rPr>
                  <w:rFonts w:cs="Arial"/>
                  <w:color w:val="000000"/>
                  <w:sz w:val="20"/>
                  <w:szCs w:val="20"/>
                </w:rPr>
                <w:t>République Démocratique du Congo</w:t>
              </w:r>
            </w:hyperlink>
            <w:r w:rsidRPr="009D55A6">
              <w:rPr>
                <w:rFonts w:cs="Arial"/>
                <w:color w:val="000000"/>
                <w:sz w:val="20"/>
                <w:szCs w:val="20"/>
              </w:rPr>
              <w:t xml:space="preserve"> à la suite de l'éclatement de l’ancienne Province du </w:t>
            </w:r>
            <w:hyperlink r:id="rId51" w:tooltip="Kasaï-Occidental" w:history="1">
              <w:r w:rsidRPr="009D55A6">
                <w:rPr>
                  <w:rFonts w:cs="Arial"/>
                  <w:color w:val="000000"/>
                  <w:sz w:val="20"/>
                  <w:szCs w:val="20"/>
                </w:rPr>
                <w:t>Kasaï Occidental</w:t>
              </w:r>
            </w:hyperlink>
            <w:r w:rsidRPr="009D55A6">
              <w:rPr>
                <w:rFonts w:cs="Arial"/>
                <w:color w:val="000000"/>
                <w:sz w:val="20"/>
                <w:szCs w:val="20"/>
              </w:rPr>
              <w:t xml:space="preserve"> Il se situe au centre du pays sur la Rivière </w:t>
            </w:r>
            <w:hyperlink r:id="rId52" w:tooltip="Kasaï (rivière)" w:history="1">
              <w:r w:rsidRPr="009D55A6">
                <w:rPr>
                  <w:rFonts w:cs="Arial"/>
                  <w:color w:val="000000"/>
                  <w:sz w:val="20"/>
                  <w:szCs w:val="20"/>
                </w:rPr>
                <w:t>Kasaï</w:t>
              </w:r>
            </w:hyperlink>
            <w:r w:rsidRPr="009D55A6">
              <w:rPr>
                <w:rFonts w:cs="Arial"/>
                <w:color w:val="000000"/>
                <w:sz w:val="20"/>
                <w:szCs w:val="20"/>
              </w:rPr>
              <w:t xml:space="preserve">. La Province est divisée en une Ville (Tshikapa) et cinq Territoires : </w:t>
            </w:r>
            <w:hyperlink r:id="rId53" w:tooltip="Dekese" w:history="1">
              <w:r w:rsidRPr="009D55A6">
                <w:rPr>
                  <w:rFonts w:cs="Arial"/>
                  <w:color w:val="000000"/>
                  <w:sz w:val="20"/>
                  <w:szCs w:val="20"/>
                </w:rPr>
                <w:t>Dekese</w:t>
              </w:r>
            </w:hyperlink>
            <w:r w:rsidRPr="009D55A6">
              <w:rPr>
                <w:rFonts w:cs="Arial"/>
                <w:color w:val="000000"/>
                <w:sz w:val="20"/>
                <w:szCs w:val="20"/>
              </w:rPr>
              <w:t xml:space="preserve">, </w:t>
            </w:r>
            <w:hyperlink r:id="rId54" w:tooltip="Ilebo" w:history="1">
              <w:r w:rsidRPr="009D55A6">
                <w:rPr>
                  <w:rFonts w:cs="Arial"/>
                  <w:color w:val="000000"/>
                  <w:sz w:val="20"/>
                  <w:szCs w:val="20"/>
                </w:rPr>
                <w:t>Ilebo</w:t>
              </w:r>
            </w:hyperlink>
            <w:r w:rsidRPr="009D55A6">
              <w:rPr>
                <w:rFonts w:cs="Arial"/>
                <w:color w:val="000000"/>
                <w:sz w:val="20"/>
                <w:szCs w:val="20"/>
              </w:rPr>
              <w:t xml:space="preserve">, </w:t>
            </w:r>
            <w:hyperlink r:id="rId55" w:tooltip="Kamonia" w:history="1">
              <w:r w:rsidRPr="009D55A6">
                <w:rPr>
                  <w:rFonts w:cs="Arial"/>
                  <w:color w:val="000000"/>
                  <w:sz w:val="20"/>
                  <w:szCs w:val="20"/>
                </w:rPr>
                <w:t>Kamonia</w:t>
              </w:r>
            </w:hyperlink>
            <w:r w:rsidRPr="009D55A6">
              <w:rPr>
                <w:rFonts w:cs="Arial"/>
                <w:color w:val="000000"/>
                <w:sz w:val="20"/>
                <w:szCs w:val="20"/>
              </w:rPr>
              <w:t xml:space="preserve">, </w:t>
            </w:r>
            <w:hyperlink r:id="rId56" w:tooltip="Luebo" w:history="1">
              <w:r w:rsidRPr="009D55A6">
                <w:rPr>
                  <w:rFonts w:cs="Arial"/>
                  <w:color w:val="000000"/>
                  <w:sz w:val="20"/>
                  <w:szCs w:val="20"/>
                </w:rPr>
                <w:t>Luebo</w:t>
              </w:r>
            </w:hyperlink>
            <w:r w:rsidRPr="009D55A6">
              <w:rPr>
                <w:rFonts w:cs="Arial"/>
                <w:color w:val="000000"/>
                <w:sz w:val="20"/>
                <w:szCs w:val="20"/>
              </w:rPr>
              <w:t xml:space="preserve"> et </w:t>
            </w:r>
            <w:hyperlink r:id="rId57" w:tooltip="Mweka" w:history="1">
              <w:r w:rsidRPr="009D55A6">
                <w:rPr>
                  <w:rFonts w:cs="Arial"/>
                  <w:color w:val="000000"/>
                  <w:sz w:val="20"/>
                  <w:szCs w:val="20"/>
                </w:rPr>
                <w:t>Mweka</w:t>
              </w:r>
            </w:hyperlink>
            <w:r w:rsidRPr="009D55A6">
              <w:rPr>
                <w:rFonts w:cs="Arial"/>
                <w:color w:val="000000"/>
                <w:sz w:val="20"/>
                <w:szCs w:val="20"/>
              </w:rPr>
              <w:t>. Les Coordonnées GPS sont : 5° 21′ 00″ Sud, 21° 25′ 00″ Est. Elle a une superficie e 95 631 km</w:t>
            </w:r>
            <w:r w:rsidRPr="009D55A6">
              <w:rPr>
                <w:rFonts w:cs="Arial"/>
                <w:color w:val="000000"/>
                <w:sz w:val="20"/>
                <w:szCs w:val="20"/>
                <w:vertAlign w:val="superscript"/>
              </w:rPr>
              <w:t>2</w:t>
            </w:r>
            <w:r w:rsidRPr="009D55A6">
              <w:rPr>
                <w:rFonts w:cs="Arial"/>
                <w:color w:val="000000"/>
                <w:sz w:val="20"/>
                <w:szCs w:val="20"/>
              </w:rPr>
              <w:t>. On notera une forte densité urbaine qui est de 2 251 habitants au km</w:t>
            </w:r>
            <w:r w:rsidRPr="009D55A6">
              <w:rPr>
                <w:rFonts w:cs="Arial"/>
                <w:color w:val="000000"/>
                <w:sz w:val="20"/>
                <w:szCs w:val="20"/>
                <w:vertAlign w:val="superscript"/>
              </w:rPr>
              <w:t>2</w:t>
            </w:r>
            <w:r w:rsidRPr="009D55A6">
              <w:rPr>
                <w:rFonts w:cs="Arial"/>
                <w:color w:val="000000"/>
                <w:sz w:val="20"/>
                <w:szCs w:val="20"/>
              </w:rPr>
              <w:t xml:space="preserve"> pour la Ville de Tshikapa à cause de l’attrait de l’exploitation du diamant.</w:t>
            </w:r>
          </w:p>
          <w:p w14:paraId="2E382060" w14:textId="77777777" w:rsidR="001C2F95" w:rsidRPr="009D55A6" w:rsidRDefault="001C2F95" w:rsidP="00971FD2">
            <w:pPr>
              <w:jc w:val="left"/>
              <w:textAlignment w:val="baseline"/>
              <w:rPr>
                <w:rFonts w:cs="Arial"/>
                <w:color w:val="000000"/>
                <w:sz w:val="20"/>
                <w:szCs w:val="20"/>
              </w:rPr>
            </w:pPr>
          </w:p>
          <w:p w14:paraId="3A3ECF27" w14:textId="77777777" w:rsidR="001C2F95" w:rsidRPr="009D55A6" w:rsidRDefault="001C2F95" w:rsidP="00971FD2">
            <w:pPr>
              <w:rPr>
                <w:rFonts w:cs="Arial"/>
                <w:color w:val="000000"/>
                <w:sz w:val="20"/>
                <w:szCs w:val="20"/>
              </w:rPr>
            </w:pPr>
            <w:r w:rsidRPr="009D55A6">
              <w:rPr>
                <w:rFonts w:cs="Arial"/>
                <w:color w:val="000000"/>
                <w:sz w:val="20"/>
                <w:szCs w:val="20"/>
              </w:rPr>
              <w:t>Située au Centre-Ouest du pays, elle est limitrophe de six Provinces congolaises (Ma</w:t>
            </w:r>
            <w:r w:rsidR="00AB3C0C" w:rsidRPr="009D55A6">
              <w:rPr>
                <w:rFonts w:cs="Arial"/>
                <w:color w:val="000000"/>
                <w:sz w:val="20"/>
                <w:szCs w:val="20"/>
              </w:rPr>
              <w:t>ï-N</w:t>
            </w:r>
            <w:r w:rsidRPr="009D55A6">
              <w:rPr>
                <w:rFonts w:cs="Arial"/>
                <w:color w:val="000000"/>
                <w:sz w:val="20"/>
                <w:szCs w:val="20"/>
              </w:rPr>
              <w:t xml:space="preserve">dombe, Tshuapa et Sankuru au Nord, </w:t>
            </w:r>
            <w:r w:rsidR="00AB3C0C" w:rsidRPr="009D55A6">
              <w:rPr>
                <w:rFonts w:cs="Arial"/>
                <w:color w:val="000000"/>
                <w:sz w:val="20"/>
                <w:szCs w:val="20"/>
              </w:rPr>
              <w:t>Kasaï</w:t>
            </w:r>
            <w:r w:rsidRPr="009D55A6">
              <w:rPr>
                <w:rFonts w:cs="Arial"/>
                <w:color w:val="000000"/>
                <w:sz w:val="20"/>
                <w:szCs w:val="20"/>
              </w:rPr>
              <w:t>-Central à l’Est, à l’Ouest le Kwilu et au Sud la Province du Kwango et d'une Province angolaise.</w:t>
            </w:r>
            <w:r w:rsidRPr="009D55A6">
              <w:rPr>
                <w:rFonts w:cs="Arial"/>
                <w:sz w:val="20"/>
                <w:szCs w:val="20"/>
              </w:rPr>
              <w:t xml:space="preserve"> </w:t>
            </w:r>
          </w:p>
          <w:p w14:paraId="169DE190" w14:textId="77777777" w:rsidR="001C2F95" w:rsidRPr="009D55A6" w:rsidRDefault="001C2F95" w:rsidP="00971FD2">
            <w:pPr>
              <w:rPr>
                <w:rFonts w:cs="Arial"/>
                <w:color w:val="000000"/>
                <w:sz w:val="20"/>
                <w:szCs w:val="20"/>
              </w:rPr>
            </w:pPr>
          </w:p>
          <w:p w14:paraId="41E31559" w14:textId="77777777" w:rsidR="001C2F95" w:rsidRPr="009D55A6" w:rsidRDefault="001C2F95" w:rsidP="00971FD2">
            <w:pPr>
              <w:textAlignment w:val="baseline"/>
              <w:rPr>
                <w:rFonts w:cs="Arial"/>
                <w:b/>
                <w:i/>
                <w:color w:val="000000"/>
                <w:sz w:val="20"/>
                <w:szCs w:val="20"/>
              </w:rPr>
            </w:pPr>
            <w:r w:rsidRPr="009D55A6">
              <w:rPr>
                <w:rFonts w:cs="Arial"/>
                <w:b/>
                <w:i/>
                <w:color w:val="000000"/>
                <w:sz w:val="20"/>
                <w:szCs w:val="20"/>
              </w:rPr>
              <w:t>Climat et saisons </w:t>
            </w:r>
          </w:p>
          <w:p w14:paraId="3FB6CE79" w14:textId="77777777" w:rsidR="001C2F95" w:rsidRPr="009D55A6" w:rsidRDefault="001C2F95" w:rsidP="00971FD2">
            <w:pPr>
              <w:textAlignment w:val="baseline"/>
              <w:rPr>
                <w:rFonts w:cs="Arial"/>
                <w:color w:val="000000"/>
                <w:sz w:val="20"/>
                <w:szCs w:val="20"/>
              </w:rPr>
            </w:pPr>
            <w:r w:rsidRPr="009D55A6">
              <w:rPr>
                <w:rFonts w:cs="Arial"/>
                <w:color w:val="000000"/>
                <w:sz w:val="20"/>
                <w:szCs w:val="20"/>
              </w:rPr>
              <w:t xml:space="preserve">La Province connaît un climat tropical équatorial dans le Nord et un climat de type soudanais dans le Sud. Elle comprend deux saisons : la saison des pluies (mi-août à mi-janvier) entrecoupée par une petite saison sèche au mois de février et la saison sèche (mi-mai à mi-août). La température moyenne varie de 16° C à 32° C. </w:t>
            </w:r>
          </w:p>
          <w:p w14:paraId="631BDB4F" w14:textId="77777777" w:rsidR="001C2F95" w:rsidRPr="009D55A6" w:rsidRDefault="001C2F95" w:rsidP="00971FD2">
            <w:pPr>
              <w:textAlignment w:val="baseline"/>
              <w:rPr>
                <w:rFonts w:cs="Arial"/>
                <w:b/>
                <w:color w:val="000000"/>
                <w:sz w:val="20"/>
                <w:szCs w:val="20"/>
              </w:rPr>
            </w:pPr>
          </w:p>
          <w:p w14:paraId="3EB9605B" w14:textId="77777777" w:rsidR="001C2F95" w:rsidRPr="009D55A6" w:rsidRDefault="001C2F95" w:rsidP="00971FD2">
            <w:pPr>
              <w:textAlignment w:val="baseline"/>
              <w:rPr>
                <w:rFonts w:cs="Arial"/>
                <w:b/>
                <w:i/>
                <w:color w:val="000000"/>
                <w:sz w:val="20"/>
                <w:szCs w:val="20"/>
              </w:rPr>
            </w:pPr>
            <w:r w:rsidRPr="009D55A6">
              <w:rPr>
                <w:rFonts w:cs="Arial"/>
                <w:b/>
                <w:i/>
                <w:color w:val="000000"/>
                <w:sz w:val="20"/>
                <w:szCs w:val="20"/>
              </w:rPr>
              <w:t>Hydrographie</w:t>
            </w:r>
          </w:p>
          <w:p w14:paraId="68B26A28" w14:textId="77777777" w:rsidR="001C2F95" w:rsidRPr="009D55A6" w:rsidRDefault="001C2F95" w:rsidP="00971FD2">
            <w:pPr>
              <w:textAlignment w:val="baseline"/>
              <w:rPr>
                <w:rFonts w:cs="Arial"/>
                <w:color w:val="000000"/>
                <w:sz w:val="20"/>
                <w:szCs w:val="20"/>
              </w:rPr>
            </w:pPr>
            <w:r w:rsidRPr="009D55A6">
              <w:rPr>
                <w:rFonts w:cs="Arial"/>
                <w:color w:val="000000"/>
                <w:sz w:val="20"/>
                <w:szCs w:val="20"/>
              </w:rPr>
              <w:t xml:space="preserve">Cette Province est couverte essentiellement par trois formations végétales : la forêt dense humide (ou équatoriale) au Nord, la forêt subéquatoriale et la savane au Sud. L’hydrographie est composée principalement de la Rivière Kasaï, alimentée elle-même par plusieurs affluents. </w:t>
            </w:r>
          </w:p>
          <w:p w14:paraId="1F9F7E57" w14:textId="77777777" w:rsidR="001C2F95" w:rsidRPr="009D55A6" w:rsidRDefault="001C2F95" w:rsidP="00971FD2">
            <w:pPr>
              <w:textAlignment w:val="baseline"/>
              <w:rPr>
                <w:rFonts w:cs="Arial"/>
                <w:b/>
                <w:i/>
                <w:color w:val="000000"/>
                <w:sz w:val="20"/>
                <w:szCs w:val="20"/>
              </w:rPr>
            </w:pPr>
          </w:p>
          <w:p w14:paraId="44BE821B" w14:textId="77777777" w:rsidR="001C2F95" w:rsidRPr="009D55A6" w:rsidRDefault="001C2F95" w:rsidP="00971FD2">
            <w:pPr>
              <w:textAlignment w:val="baseline"/>
              <w:rPr>
                <w:rFonts w:cs="Arial"/>
                <w:b/>
                <w:i/>
                <w:color w:val="000000"/>
                <w:sz w:val="20"/>
                <w:szCs w:val="20"/>
              </w:rPr>
            </w:pPr>
            <w:r w:rsidRPr="009D55A6">
              <w:rPr>
                <w:rFonts w:cs="Arial"/>
                <w:b/>
                <w:i/>
                <w:color w:val="000000"/>
                <w:sz w:val="20"/>
                <w:szCs w:val="20"/>
              </w:rPr>
              <w:t>Type de sol </w:t>
            </w:r>
          </w:p>
          <w:p w14:paraId="5B922FFB" w14:textId="77777777" w:rsidR="001C2F95" w:rsidRPr="009D55A6" w:rsidRDefault="001C2F95" w:rsidP="00971FD2">
            <w:pPr>
              <w:textAlignment w:val="baseline"/>
              <w:rPr>
                <w:rFonts w:cs="Arial"/>
                <w:color w:val="000000"/>
                <w:sz w:val="20"/>
                <w:szCs w:val="20"/>
              </w:rPr>
            </w:pPr>
            <w:r w:rsidRPr="009D55A6">
              <w:rPr>
                <w:rFonts w:cs="Arial"/>
                <w:color w:val="000000"/>
                <w:sz w:val="20"/>
                <w:szCs w:val="20"/>
              </w:rPr>
              <w:t>Deux types de sol caractérisent la Province du Kasaï qui est de nature argilo-sablonneux. Il est riche en diamant et de l’or.</w:t>
            </w:r>
          </w:p>
          <w:p w14:paraId="124798C9" w14:textId="77777777" w:rsidR="001C2F95" w:rsidRPr="009D55A6" w:rsidRDefault="001C2F95" w:rsidP="00971FD2">
            <w:pPr>
              <w:textAlignment w:val="baseline"/>
              <w:rPr>
                <w:rFonts w:cs="Arial"/>
                <w:color w:val="000000"/>
                <w:sz w:val="20"/>
                <w:szCs w:val="20"/>
              </w:rPr>
            </w:pPr>
          </w:p>
          <w:p w14:paraId="5FBD205F" w14:textId="77777777" w:rsidR="001C2F95" w:rsidRPr="009D55A6" w:rsidRDefault="001C2F95" w:rsidP="00971FD2">
            <w:pPr>
              <w:textAlignment w:val="baseline"/>
              <w:rPr>
                <w:rFonts w:cs="Arial"/>
                <w:b/>
                <w:i/>
                <w:color w:val="000000"/>
                <w:sz w:val="20"/>
                <w:szCs w:val="20"/>
              </w:rPr>
            </w:pPr>
            <w:r w:rsidRPr="009D55A6">
              <w:rPr>
                <w:rFonts w:cs="Arial"/>
                <w:b/>
                <w:i/>
                <w:color w:val="000000"/>
                <w:sz w:val="20"/>
                <w:szCs w:val="20"/>
              </w:rPr>
              <w:t>Faune </w:t>
            </w:r>
          </w:p>
          <w:p w14:paraId="758FD60B" w14:textId="77777777" w:rsidR="001C2F95" w:rsidRPr="009D55A6" w:rsidRDefault="001C2F95" w:rsidP="00971FD2">
            <w:pPr>
              <w:textAlignment w:val="baseline"/>
              <w:rPr>
                <w:rFonts w:cs="Arial"/>
                <w:b/>
                <w:i/>
                <w:color w:val="000000"/>
                <w:sz w:val="20"/>
                <w:szCs w:val="20"/>
              </w:rPr>
            </w:pPr>
            <w:r w:rsidRPr="009D55A6">
              <w:rPr>
                <w:rFonts w:cs="Arial"/>
                <w:color w:val="333333"/>
                <w:sz w:val="20"/>
                <w:szCs w:val="20"/>
                <w:shd w:val="clear" w:color="auto" w:fill="FFFFFF"/>
              </w:rPr>
              <w:t xml:space="preserve">La Province du </w:t>
            </w:r>
            <w:r w:rsidR="00AB3C0C" w:rsidRPr="009D55A6">
              <w:rPr>
                <w:rFonts w:cs="Arial"/>
                <w:color w:val="333333"/>
                <w:sz w:val="20"/>
                <w:szCs w:val="20"/>
                <w:shd w:val="clear" w:color="auto" w:fill="FFFFFF"/>
              </w:rPr>
              <w:t>Kasaï</w:t>
            </w:r>
            <w:r w:rsidRPr="009D55A6">
              <w:rPr>
                <w:rFonts w:cs="Arial"/>
                <w:color w:val="333333"/>
                <w:sz w:val="20"/>
                <w:szCs w:val="20"/>
                <w:shd w:val="clear" w:color="auto" w:fill="FFFFFF"/>
              </w:rPr>
              <w:t xml:space="preserve"> étant une province dominée par la savane et de la galerie forestière elle a une faune, riche et variée, comprend des antilopes, des guépards, des girafes, des crocodiles dans la rivière, ainsi que de nombreux oiseaux et serpents. L’on rencontre également quelques mammifères africains mis en avant tels</w:t>
            </w:r>
            <w:r w:rsidR="00AB3C0C" w:rsidRPr="009D55A6">
              <w:rPr>
                <w:rFonts w:cs="Arial"/>
                <w:color w:val="333333"/>
                <w:sz w:val="20"/>
                <w:szCs w:val="20"/>
                <w:shd w:val="clear" w:color="auto" w:fill="FFFFFF"/>
              </w:rPr>
              <w:t xml:space="preserve"> </w:t>
            </w:r>
            <w:r w:rsidRPr="009D55A6">
              <w:rPr>
                <w:rFonts w:cs="Arial"/>
                <w:color w:val="333333"/>
                <w:sz w:val="20"/>
                <w:szCs w:val="20"/>
                <w:shd w:val="clear" w:color="auto" w:fill="FFFFFF"/>
              </w:rPr>
              <w:t>que : le lion, le léopard et le buffle. Le buffle est une espèce animale menacée d'extinction.</w:t>
            </w:r>
          </w:p>
          <w:p w14:paraId="2A1355AA" w14:textId="77777777" w:rsidR="001C2F95" w:rsidRPr="009D55A6" w:rsidRDefault="001C2F95" w:rsidP="00971FD2">
            <w:pPr>
              <w:textAlignment w:val="baseline"/>
              <w:rPr>
                <w:rFonts w:cs="Arial"/>
                <w:b/>
                <w:i/>
                <w:color w:val="000000"/>
                <w:sz w:val="20"/>
                <w:szCs w:val="20"/>
              </w:rPr>
            </w:pPr>
            <w:r w:rsidRPr="009D55A6">
              <w:rPr>
                <w:rFonts w:cs="Arial"/>
                <w:b/>
                <w:i/>
                <w:color w:val="000000"/>
                <w:sz w:val="20"/>
                <w:szCs w:val="20"/>
              </w:rPr>
              <w:t>Végétation</w:t>
            </w:r>
          </w:p>
          <w:p w14:paraId="42CA235D" w14:textId="77777777" w:rsidR="001C2F95" w:rsidRPr="009D55A6" w:rsidRDefault="001C2F95" w:rsidP="00971FD2">
            <w:pPr>
              <w:textAlignment w:val="baseline"/>
              <w:rPr>
                <w:rFonts w:cs="Arial"/>
                <w:color w:val="000000"/>
                <w:sz w:val="20"/>
                <w:szCs w:val="20"/>
              </w:rPr>
            </w:pPr>
            <w:r w:rsidRPr="009D55A6">
              <w:rPr>
                <w:rFonts w:cs="Arial"/>
                <w:color w:val="000000"/>
                <w:sz w:val="20"/>
                <w:szCs w:val="20"/>
              </w:rPr>
              <w:t xml:space="preserve">La Province du Kasaï connaît deux types de </w:t>
            </w:r>
            <w:hyperlink r:id="rId58" w:tooltip="Végétation" w:history="1">
              <w:r w:rsidRPr="009D55A6">
                <w:rPr>
                  <w:rFonts w:cs="Arial"/>
                  <w:color w:val="000000"/>
                  <w:sz w:val="20"/>
                  <w:szCs w:val="20"/>
                </w:rPr>
                <w:t>végétation</w:t>
              </w:r>
            </w:hyperlink>
            <w:r w:rsidRPr="009D55A6">
              <w:rPr>
                <w:rFonts w:cs="Arial"/>
                <w:color w:val="000000"/>
                <w:sz w:val="20"/>
                <w:szCs w:val="20"/>
              </w:rPr>
              <w:t xml:space="preserve"> : la végétation forestière et la </w:t>
            </w:r>
            <w:hyperlink r:id="rId59" w:tooltip="Savane" w:history="1">
              <w:r w:rsidRPr="009D55A6">
                <w:rPr>
                  <w:rFonts w:cs="Arial"/>
                  <w:color w:val="000000"/>
                  <w:sz w:val="20"/>
                  <w:szCs w:val="20"/>
                </w:rPr>
                <w:t>savane</w:t>
              </w:r>
            </w:hyperlink>
            <w:r w:rsidRPr="009D55A6">
              <w:rPr>
                <w:rFonts w:cs="Arial"/>
                <w:color w:val="000000"/>
                <w:sz w:val="20"/>
                <w:szCs w:val="20"/>
              </w:rPr>
              <w:t xml:space="preserve"> </w:t>
            </w:r>
            <w:hyperlink r:id="rId60" w:tooltip="Guinée" w:history="1">
              <w:r w:rsidRPr="009D55A6">
                <w:rPr>
                  <w:rFonts w:cs="Arial"/>
                  <w:color w:val="000000"/>
                  <w:sz w:val="20"/>
                  <w:szCs w:val="20"/>
                </w:rPr>
                <w:t>guinéenne</w:t>
              </w:r>
            </w:hyperlink>
            <w:r w:rsidRPr="009D55A6">
              <w:rPr>
                <w:rFonts w:cs="Arial"/>
                <w:color w:val="000000"/>
                <w:sz w:val="20"/>
                <w:szCs w:val="20"/>
              </w:rPr>
              <w:t xml:space="preserve">. </w:t>
            </w:r>
          </w:p>
        </w:tc>
      </w:tr>
      <w:tr w:rsidR="001C2F95" w:rsidRPr="001857F5" w14:paraId="70458C7C"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750AB27" w14:textId="77777777" w:rsidR="001C2F95" w:rsidRPr="009D55A6" w:rsidRDefault="001C2F95" w:rsidP="00971FD2">
            <w:pPr>
              <w:rPr>
                <w:rFonts w:eastAsia="Calibri" w:cs="Arial"/>
                <w:b/>
                <w:sz w:val="20"/>
                <w:szCs w:val="20"/>
              </w:rPr>
            </w:pPr>
            <w:r w:rsidRPr="009D55A6">
              <w:rPr>
                <w:rFonts w:eastAsia="Calibri" w:cs="Arial"/>
                <w:b/>
                <w:sz w:val="20"/>
                <w:szCs w:val="20"/>
              </w:rPr>
              <w:t>Populations</w:t>
            </w:r>
          </w:p>
        </w:tc>
        <w:tc>
          <w:tcPr>
            <w:tcW w:w="11287" w:type="dxa"/>
            <w:tcBorders>
              <w:top w:val="single" w:sz="4" w:space="0" w:color="000001"/>
              <w:left w:val="single" w:sz="4" w:space="0" w:color="000001"/>
              <w:bottom w:val="single" w:sz="4" w:space="0" w:color="000001"/>
              <w:right w:val="single" w:sz="4" w:space="0" w:color="000001"/>
            </w:tcBorders>
          </w:tcPr>
          <w:p w14:paraId="2CC2BBF4" w14:textId="77777777" w:rsidR="001C2F95" w:rsidRPr="009D55A6" w:rsidRDefault="001C2F95" w:rsidP="00971FD2">
            <w:pPr>
              <w:textAlignment w:val="baseline"/>
              <w:rPr>
                <w:rFonts w:cs="Arial"/>
                <w:b/>
                <w:i/>
                <w:color w:val="000000"/>
                <w:sz w:val="20"/>
                <w:szCs w:val="20"/>
              </w:rPr>
            </w:pPr>
            <w:r w:rsidRPr="009D55A6">
              <w:rPr>
                <w:rFonts w:cs="Arial"/>
                <w:b/>
                <w:i/>
                <w:color w:val="000000"/>
                <w:sz w:val="20"/>
                <w:szCs w:val="20"/>
              </w:rPr>
              <w:t>Caractéristiques démographiques</w:t>
            </w:r>
          </w:p>
          <w:p w14:paraId="45B14FBD" w14:textId="77777777" w:rsidR="001C2F95" w:rsidRPr="009D55A6" w:rsidRDefault="001C2F95" w:rsidP="00971FD2">
            <w:pPr>
              <w:textAlignment w:val="baseline"/>
              <w:rPr>
                <w:rFonts w:cs="Arial"/>
                <w:color w:val="FF0000"/>
                <w:sz w:val="20"/>
                <w:szCs w:val="20"/>
              </w:rPr>
            </w:pPr>
            <w:r w:rsidRPr="009D55A6">
              <w:rPr>
                <w:rFonts w:cs="Arial"/>
                <w:sz w:val="20"/>
                <w:szCs w:val="20"/>
              </w:rPr>
              <w:t>La province du Kasaï a une superficie de 59 111 km</w:t>
            </w:r>
            <w:r w:rsidRPr="009D55A6">
              <w:rPr>
                <w:rFonts w:cs="Arial"/>
                <w:sz w:val="20"/>
                <w:szCs w:val="20"/>
                <w:vertAlign w:val="superscript"/>
              </w:rPr>
              <w:t>2</w:t>
            </w:r>
            <w:r w:rsidRPr="009D55A6">
              <w:rPr>
                <w:rFonts w:cs="Arial"/>
                <w:sz w:val="20"/>
                <w:szCs w:val="20"/>
              </w:rPr>
              <w:t xml:space="preserve"> et une population estimée à 4 563 387 habitants. Cette Province est constituée de cinq Territoires, à savoir : Tshimbulu, Demba, Dibaya, Kazumba et Luiza. </w:t>
            </w:r>
          </w:p>
          <w:p w14:paraId="3E4CE62B" w14:textId="77777777" w:rsidR="001C2F95" w:rsidRPr="009D55A6" w:rsidRDefault="001C2F95" w:rsidP="00971FD2">
            <w:pPr>
              <w:textAlignment w:val="baseline"/>
              <w:rPr>
                <w:rFonts w:cs="Arial"/>
                <w:color w:val="000000"/>
                <w:sz w:val="20"/>
                <w:szCs w:val="20"/>
              </w:rPr>
            </w:pPr>
          </w:p>
          <w:p w14:paraId="2726D7AA" w14:textId="77777777" w:rsidR="001C2F95" w:rsidRPr="009D55A6" w:rsidRDefault="001C2F95" w:rsidP="00971FD2">
            <w:pPr>
              <w:textAlignment w:val="baseline"/>
              <w:rPr>
                <w:rFonts w:cs="Arial"/>
                <w:b/>
                <w:i/>
                <w:color w:val="000000"/>
                <w:sz w:val="20"/>
                <w:szCs w:val="20"/>
              </w:rPr>
            </w:pPr>
            <w:r w:rsidRPr="009D55A6">
              <w:rPr>
                <w:rFonts w:cs="Arial"/>
                <w:b/>
                <w:i/>
                <w:color w:val="000000"/>
                <w:sz w:val="20"/>
                <w:szCs w:val="20"/>
              </w:rPr>
              <w:t xml:space="preserve">Ethnies </w:t>
            </w:r>
          </w:p>
          <w:p w14:paraId="182C58A5" w14:textId="77777777" w:rsidR="001C2F95" w:rsidRPr="009D55A6" w:rsidRDefault="001C2F95" w:rsidP="00971FD2">
            <w:pPr>
              <w:textAlignment w:val="baseline"/>
              <w:rPr>
                <w:rFonts w:cs="Arial"/>
                <w:color w:val="000000"/>
                <w:sz w:val="20"/>
                <w:szCs w:val="20"/>
              </w:rPr>
            </w:pPr>
            <w:r w:rsidRPr="009D55A6">
              <w:rPr>
                <w:rFonts w:cs="Arial"/>
                <w:color w:val="000000"/>
                <w:sz w:val="20"/>
                <w:szCs w:val="20"/>
              </w:rPr>
              <w:t>Plusieurs groupes ethniques sont dénombrés dans le grand territoire de la région du Kasaï. On y rencontre des groupes ethniques dont les plus importants sont Luba, Lulua en pleine évolution comme les Babindi, Bakwa-Mputu, Bambole, Bakete, Basha, Bankutshu, les Luntu, Kuba, Kanintshina, les Leele (Bashilele), Lunda, Ndengese, Ohindo, Pende, Salampasu, Songe, Tchokwe et Tetela. Certains de ces groupes sont à cheval avec les autres provinces voisines notamment le Kwango, le Lomami, Lualaba, la Tshopo ainsi qu’avec l’Angola.</w:t>
            </w:r>
          </w:p>
          <w:p w14:paraId="78517B25" w14:textId="77777777" w:rsidR="001C2F95" w:rsidRPr="009D55A6" w:rsidRDefault="001C2F95" w:rsidP="00971FD2">
            <w:pPr>
              <w:textAlignment w:val="baseline"/>
              <w:rPr>
                <w:rFonts w:cs="Arial"/>
                <w:color w:val="000000"/>
                <w:sz w:val="20"/>
                <w:szCs w:val="20"/>
              </w:rPr>
            </w:pPr>
          </w:p>
          <w:p w14:paraId="68EE2609" w14:textId="77777777" w:rsidR="001C2F95" w:rsidRPr="009D55A6" w:rsidRDefault="001C2F95" w:rsidP="00971FD2">
            <w:pPr>
              <w:textAlignment w:val="baseline"/>
              <w:rPr>
                <w:rFonts w:cs="Arial"/>
                <w:color w:val="000000"/>
                <w:sz w:val="20"/>
                <w:szCs w:val="20"/>
              </w:rPr>
            </w:pPr>
            <w:r w:rsidRPr="009D55A6">
              <w:rPr>
                <w:rFonts w:cs="Arial"/>
                <w:b/>
                <w:i/>
                <w:color w:val="000000"/>
                <w:sz w:val="20"/>
                <w:szCs w:val="20"/>
              </w:rPr>
              <w:t>Langues parlées</w:t>
            </w:r>
            <w:r w:rsidRPr="009D55A6">
              <w:rPr>
                <w:rFonts w:cs="Arial"/>
                <w:color w:val="000000"/>
                <w:sz w:val="20"/>
                <w:szCs w:val="20"/>
              </w:rPr>
              <w:t xml:space="preserve"> : le Tshiluba, le Swahili, le </w:t>
            </w:r>
            <w:r w:rsidR="00B86CA8" w:rsidRPr="009D55A6">
              <w:rPr>
                <w:rFonts w:cs="Arial"/>
                <w:color w:val="000000"/>
                <w:sz w:val="20"/>
                <w:szCs w:val="20"/>
              </w:rPr>
              <w:t>Français</w:t>
            </w:r>
            <w:r w:rsidRPr="009D55A6">
              <w:rPr>
                <w:rFonts w:cs="Arial"/>
                <w:color w:val="000000"/>
                <w:sz w:val="20"/>
                <w:szCs w:val="20"/>
              </w:rPr>
              <w:t xml:space="preserve"> sont des langues parlées dans la Province du Kasaï central. La langue Tshiluba domine les autres langues nationales.</w:t>
            </w:r>
          </w:p>
          <w:p w14:paraId="1336212E" w14:textId="77777777" w:rsidR="001C2F95" w:rsidRPr="009D55A6" w:rsidRDefault="001C2F95" w:rsidP="00971FD2">
            <w:pPr>
              <w:textAlignment w:val="baseline"/>
              <w:rPr>
                <w:rFonts w:cs="Arial"/>
                <w:color w:val="000000"/>
                <w:sz w:val="20"/>
                <w:szCs w:val="20"/>
              </w:rPr>
            </w:pPr>
          </w:p>
          <w:p w14:paraId="1EA3A97F" w14:textId="77777777" w:rsidR="001C2F95" w:rsidRPr="009D55A6" w:rsidRDefault="001C2F95" w:rsidP="00971FD2">
            <w:pPr>
              <w:textAlignment w:val="baseline"/>
              <w:rPr>
                <w:rFonts w:cs="Arial"/>
                <w:color w:val="000000"/>
                <w:sz w:val="20"/>
                <w:szCs w:val="20"/>
              </w:rPr>
            </w:pPr>
            <w:r w:rsidRPr="009D55A6">
              <w:rPr>
                <w:rFonts w:cs="Arial"/>
                <w:color w:val="000000"/>
                <w:sz w:val="20"/>
                <w:szCs w:val="20"/>
              </w:rPr>
              <w:t>Les principales aires culturelles et linguistiques dénombrées dans l’espace du Kasaï sont : la culture Kuba, la culture Luba-Kasaï, la culture Bas-Kasaï, la culture Mongo Sud-Ouest, la culture Lunda, la culture Songye et la culture Pende.</w:t>
            </w:r>
          </w:p>
          <w:p w14:paraId="07AA2111" w14:textId="77777777" w:rsidR="001C2F95" w:rsidRPr="009D55A6" w:rsidRDefault="001C2F95" w:rsidP="00971FD2">
            <w:pPr>
              <w:textAlignment w:val="baseline"/>
              <w:rPr>
                <w:rFonts w:cs="Arial"/>
                <w:color w:val="000000"/>
                <w:sz w:val="20"/>
                <w:szCs w:val="20"/>
              </w:rPr>
            </w:pPr>
          </w:p>
          <w:p w14:paraId="24C337EF" w14:textId="77777777" w:rsidR="001C2F95" w:rsidRPr="009D55A6" w:rsidRDefault="001C2F95" w:rsidP="00971FD2">
            <w:pPr>
              <w:textAlignment w:val="baseline"/>
              <w:rPr>
                <w:rFonts w:cs="Arial"/>
                <w:color w:val="000000"/>
                <w:sz w:val="20"/>
                <w:szCs w:val="20"/>
              </w:rPr>
            </w:pPr>
            <w:r w:rsidRPr="009D55A6">
              <w:rPr>
                <w:rFonts w:cs="Arial"/>
                <w:color w:val="000000"/>
                <w:sz w:val="20"/>
                <w:szCs w:val="20"/>
              </w:rPr>
              <w:t>D’après les informations récoltées, la Province du Kasaï n’a pas de populations autochtones.</w:t>
            </w:r>
          </w:p>
        </w:tc>
      </w:tr>
      <w:tr w:rsidR="001C2F95" w:rsidRPr="001857F5" w14:paraId="4491D0B0"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72B67E2" w14:textId="77777777" w:rsidR="001C2F95" w:rsidRPr="009D55A6" w:rsidRDefault="001C2F95" w:rsidP="00971FD2">
            <w:pPr>
              <w:textAlignment w:val="baseline"/>
              <w:rPr>
                <w:rFonts w:cs="Arial"/>
                <w:b/>
                <w:color w:val="000000"/>
                <w:sz w:val="20"/>
                <w:szCs w:val="20"/>
              </w:rPr>
            </w:pPr>
            <w:r w:rsidRPr="009D55A6">
              <w:rPr>
                <w:rFonts w:cs="Arial"/>
                <w:b/>
                <w:color w:val="000000"/>
                <w:sz w:val="20"/>
                <w:szCs w:val="20"/>
              </w:rPr>
              <w:t>Violences Basées sur le Genre (VBG)</w:t>
            </w:r>
          </w:p>
        </w:tc>
        <w:tc>
          <w:tcPr>
            <w:tcW w:w="11287" w:type="dxa"/>
            <w:tcBorders>
              <w:top w:val="single" w:sz="4" w:space="0" w:color="000001"/>
              <w:left w:val="single" w:sz="4" w:space="0" w:color="000001"/>
              <w:bottom w:val="single" w:sz="4" w:space="0" w:color="000001"/>
              <w:right w:val="single" w:sz="4" w:space="0" w:color="000001"/>
            </w:tcBorders>
          </w:tcPr>
          <w:p w14:paraId="173D263E" w14:textId="77777777" w:rsidR="001C2F95" w:rsidRPr="009D55A6" w:rsidRDefault="001C2F95" w:rsidP="001E6744">
            <w:pPr>
              <w:textAlignment w:val="baseline"/>
              <w:rPr>
                <w:rFonts w:cs="Arial"/>
                <w:color w:val="000000"/>
                <w:sz w:val="20"/>
                <w:szCs w:val="20"/>
              </w:rPr>
            </w:pPr>
            <w:r w:rsidRPr="009D55A6">
              <w:rPr>
                <w:rFonts w:cs="Arial"/>
                <w:color w:val="000000"/>
                <w:sz w:val="20"/>
                <w:szCs w:val="20"/>
              </w:rPr>
              <w:t xml:space="preserve">La Province du Kasaï située dans le grand Kasaï n’a pas été épargnée des affres causées par les conflits armés survenus entre la milice Kamuina-Nsapu et l’armée régulière qui ont éclaté entre août 2016 et mai 2017 dans la Province du Kasaï, à Kamonia, et qui ont fait plusieurs victimes, notamment : 1 779 jeunes filles mineures et femmes survivantes de violences sexuelles, 5 725 enfants non accompagnés, 2 210 enfants exploités abusivement par les milices et 4 603 Enfants Orphelins Vulnérables (EOV). Avec l’arrivée des humanitaires à Tshikapa, après la sensibilisation de la loi sur les violences sexuelles, </w:t>
            </w:r>
            <w:r w:rsidR="001E6744" w:rsidRPr="009D55A6">
              <w:rPr>
                <w:rFonts w:cs="Arial"/>
                <w:color w:val="000000"/>
                <w:sz w:val="20"/>
                <w:szCs w:val="20"/>
              </w:rPr>
              <w:t xml:space="preserve">la population a été informée sur les sanctions infligées à un auteur de violences basées sur le genre, delà, </w:t>
            </w:r>
            <w:r w:rsidRPr="009D55A6">
              <w:rPr>
                <w:rFonts w:cs="Arial"/>
                <w:color w:val="000000"/>
                <w:sz w:val="20"/>
                <w:szCs w:val="20"/>
              </w:rPr>
              <w:t xml:space="preserve">le mariage précoce est né au niveau de certaines familles où les parents donnent en mariage leurs filles mineures aux expatriés afin de gagner de l’argent. </w:t>
            </w:r>
            <w:r w:rsidR="001E6744" w:rsidRPr="009D55A6">
              <w:rPr>
                <w:rFonts w:cs="Arial"/>
                <w:color w:val="000000"/>
                <w:sz w:val="20"/>
                <w:szCs w:val="20"/>
              </w:rPr>
              <w:t xml:space="preserve">Et dès qu’il y a un problème, on taxe les expatriés d’auteur de viol sur mineures. </w:t>
            </w:r>
            <w:r w:rsidRPr="009D55A6">
              <w:rPr>
                <w:rFonts w:cs="Arial"/>
                <w:color w:val="000000"/>
                <w:sz w:val="20"/>
                <w:szCs w:val="20"/>
              </w:rPr>
              <w:t xml:space="preserve">Le slogan populaire qui rend les VBG le quotidien au niveau de la communauté : « Ici c’est comme ça », empêche les acteurs de prévention et réponse aux VBG de mener aisément les activités. Les normes culturelles conservatrices en matière du genre ainsi que les us et coutumes soulignent les causes racines des VBG et constituent encore une barrière pour le changement de comportement. </w:t>
            </w:r>
            <w:r w:rsidR="001E6744" w:rsidRPr="009D55A6">
              <w:rPr>
                <w:rFonts w:cs="Arial"/>
                <w:color w:val="000000"/>
                <w:sz w:val="20"/>
                <w:szCs w:val="20"/>
              </w:rPr>
              <w:t xml:space="preserve"> </w:t>
            </w:r>
          </w:p>
          <w:p w14:paraId="1FF0C389" w14:textId="77777777" w:rsidR="001E6744" w:rsidRPr="009D55A6" w:rsidRDefault="001E6744" w:rsidP="001E6744">
            <w:pPr>
              <w:textAlignment w:val="baseline"/>
              <w:rPr>
                <w:rFonts w:cs="Arial"/>
                <w:color w:val="000000"/>
                <w:sz w:val="20"/>
                <w:szCs w:val="20"/>
              </w:rPr>
            </w:pPr>
          </w:p>
          <w:p w14:paraId="728A1C48" w14:textId="77777777" w:rsidR="001E6744" w:rsidRPr="009D55A6" w:rsidRDefault="001E6744" w:rsidP="001E6744">
            <w:pPr>
              <w:textAlignment w:val="baseline"/>
              <w:rPr>
                <w:rFonts w:cs="Arial"/>
                <w:color w:val="000000"/>
                <w:sz w:val="20"/>
                <w:szCs w:val="20"/>
              </w:rPr>
            </w:pPr>
            <w:r w:rsidRPr="009D55A6">
              <w:rPr>
                <w:rFonts w:cs="Arial"/>
                <w:color w:val="000000"/>
                <w:sz w:val="20"/>
                <w:szCs w:val="20"/>
              </w:rPr>
              <w:t xml:space="preserve">Le rapport sur l’évaluation rapide des VBG au Kasaï renseignement que les services de prise en charge sont à </w:t>
            </w:r>
            <w:r w:rsidR="00EB7F94" w:rsidRPr="009D55A6">
              <w:rPr>
                <w:rFonts w:cs="Arial"/>
                <w:color w:val="000000"/>
                <w:sz w:val="20"/>
                <w:szCs w:val="20"/>
              </w:rPr>
              <w:t xml:space="preserve">    </w:t>
            </w:r>
            <w:r w:rsidRPr="009D55A6">
              <w:rPr>
                <w:rFonts w:cs="Arial"/>
                <w:color w:val="000000"/>
                <w:sz w:val="20"/>
                <w:szCs w:val="20"/>
              </w:rPr>
              <w:t>77</w:t>
            </w:r>
            <w:r w:rsidR="00EB7F94" w:rsidRPr="009D55A6">
              <w:rPr>
                <w:rFonts w:cs="Arial"/>
                <w:color w:val="000000"/>
                <w:sz w:val="20"/>
                <w:szCs w:val="20"/>
              </w:rPr>
              <w:t xml:space="preserve"> </w:t>
            </w:r>
            <w:r w:rsidRPr="009D55A6">
              <w:rPr>
                <w:rFonts w:cs="Arial"/>
                <w:color w:val="000000"/>
                <w:sz w:val="20"/>
                <w:szCs w:val="20"/>
              </w:rPr>
              <w:t>% pour la prise en charge psychosociale, 19% pour la prise en charge médicale et 22</w:t>
            </w:r>
            <w:r w:rsidR="00EB7F94" w:rsidRPr="009D55A6">
              <w:rPr>
                <w:rFonts w:cs="Arial"/>
                <w:color w:val="000000"/>
                <w:sz w:val="20"/>
                <w:szCs w:val="20"/>
              </w:rPr>
              <w:t xml:space="preserve"> </w:t>
            </w:r>
            <w:r w:rsidRPr="009D55A6">
              <w:rPr>
                <w:rFonts w:cs="Arial"/>
                <w:color w:val="000000"/>
                <w:sz w:val="20"/>
                <w:szCs w:val="20"/>
              </w:rPr>
              <w:t>% pour la prise en charge judiciaire.</w:t>
            </w:r>
          </w:p>
          <w:p w14:paraId="376BFB3B" w14:textId="77777777" w:rsidR="001E6744" w:rsidRPr="009D55A6" w:rsidRDefault="001E6744" w:rsidP="001E6744">
            <w:pPr>
              <w:textAlignment w:val="baseline"/>
              <w:rPr>
                <w:rFonts w:cs="Arial"/>
                <w:color w:val="000000"/>
                <w:sz w:val="20"/>
                <w:szCs w:val="20"/>
              </w:rPr>
            </w:pPr>
            <w:r w:rsidRPr="009D55A6">
              <w:rPr>
                <w:rFonts w:cs="Arial"/>
                <w:color w:val="000000"/>
                <w:sz w:val="20"/>
                <w:szCs w:val="20"/>
              </w:rPr>
              <w:t>Cette participation aux activités économiques, surtout la vente en ambulatoire, expose les filles et jeunes femmes aux risques des VBG. Le mariage précoce est d’usage courant dans la Province du Kasaï</w:t>
            </w:r>
          </w:p>
        </w:tc>
      </w:tr>
      <w:tr w:rsidR="001C2F95" w:rsidRPr="001857F5" w14:paraId="5B99A145"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8FFCA01" w14:textId="77777777" w:rsidR="001C2F95" w:rsidRPr="009D55A6" w:rsidRDefault="001C2F95" w:rsidP="00971FD2">
            <w:pPr>
              <w:rPr>
                <w:rFonts w:eastAsia="Calibri" w:cs="Arial"/>
                <w:b/>
                <w:sz w:val="20"/>
                <w:szCs w:val="20"/>
              </w:rPr>
            </w:pPr>
            <w:r w:rsidRPr="009D55A6">
              <w:rPr>
                <w:rFonts w:eastAsia="Calibri" w:cs="Arial"/>
                <w:b/>
                <w:sz w:val="20"/>
                <w:szCs w:val="20"/>
              </w:rPr>
              <w:t>Activités principales de la population</w:t>
            </w:r>
          </w:p>
        </w:tc>
        <w:tc>
          <w:tcPr>
            <w:tcW w:w="11287" w:type="dxa"/>
            <w:tcBorders>
              <w:top w:val="single" w:sz="4" w:space="0" w:color="000001"/>
              <w:left w:val="single" w:sz="4" w:space="0" w:color="000001"/>
              <w:bottom w:val="single" w:sz="4" w:space="0" w:color="000001"/>
              <w:right w:val="single" w:sz="4" w:space="0" w:color="000001"/>
            </w:tcBorders>
          </w:tcPr>
          <w:p w14:paraId="77F54893" w14:textId="77777777" w:rsidR="001C2F95" w:rsidRPr="009D55A6" w:rsidRDefault="001C2F95" w:rsidP="00971FD2">
            <w:pPr>
              <w:rPr>
                <w:rFonts w:cs="Arial"/>
                <w:color w:val="000000"/>
                <w:sz w:val="20"/>
                <w:szCs w:val="20"/>
              </w:rPr>
            </w:pPr>
            <w:r w:rsidRPr="009D55A6">
              <w:rPr>
                <w:rFonts w:cs="Arial"/>
                <w:color w:val="000000"/>
                <w:sz w:val="20"/>
                <w:szCs w:val="20"/>
              </w:rPr>
              <w:t xml:space="preserve">La Province du Kasaï dispose d’importantes ressources minières comme le diamant et l’or. Ainsi, l’économie de la Province est dominée par l’exploitation minière artisanale et il n’existe pas d’industrie minière. Les recettes et taxes perçues par l’activité extractive n’ont pas d’impact significatif sur la Province.  </w:t>
            </w:r>
          </w:p>
          <w:p w14:paraId="17EE22CB" w14:textId="77777777" w:rsidR="001C2F95" w:rsidRPr="009D55A6" w:rsidRDefault="001C2F95" w:rsidP="00971FD2">
            <w:pPr>
              <w:rPr>
                <w:rFonts w:cs="Arial"/>
                <w:color w:val="000000"/>
                <w:sz w:val="20"/>
                <w:szCs w:val="20"/>
              </w:rPr>
            </w:pPr>
            <w:r w:rsidRPr="009D55A6">
              <w:rPr>
                <w:rFonts w:cs="Arial"/>
                <w:color w:val="000000"/>
                <w:sz w:val="20"/>
                <w:szCs w:val="20"/>
              </w:rPr>
              <w:t xml:space="preserve"> </w:t>
            </w:r>
          </w:p>
          <w:p w14:paraId="25B99519" w14:textId="77777777" w:rsidR="001C2F95" w:rsidRPr="009D55A6" w:rsidRDefault="001C2F95" w:rsidP="00971FD2">
            <w:pPr>
              <w:rPr>
                <w:rFonts w:cs="Arial"/>
                <w:color w:val="000000"/>
                <w:sz w:val="20"/>
                <w:szCs w:val="20"/>
              </w:rPr>
            </w:pPr>
            <w:r w:rsidRPr="009D55A6">
              <w:rPr>
                <w:rFonts w:cs="Arial"/>
                <w:color w:val="000000"/>
                <w:sz w:val="20"/>
                <w:szCs w:val="20"/>
              </w:rPr>
              <w:t>Le secteur vivrier traditionnel comprend essentiellement l’agriculture. Les cultures suivantes : maïs, manioc, haricot, arachide, riz, patate douce, pomme de terre, igname, tomate, aubergine, banane, ananas, agrumes et autres fruits. Les cultures maraîchères, source de vitamines, sont pratiquées dans les périphéries des grands centres de consommation et dans les missions tenues par les religieux notamment. Dans l’ensemble de la Province, on rencontre principalement quatre cultures industrielles, le coton, le palmier à huile, le café robusta, tous cultivés t à Tshikapa.</w:t>
            </w:r>
          </w:p>
        </w:tc>
      </w:tr>
      <w:tr w:rsidR="001C2F95" w:rsidRPr="001857F5" w14:paraId="18C70611"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FCCAEF5" w14:textId="77777777" w:rsidR="001C2F95" w:rsidRPr="009D55A6" w:rsidRDefault="001C2F95" w:rsidP="00971FD2">
            <w:pPr>
              <w:rPr>
                <w:rFonts w:eastAsia="Calibri" w:cs="Arial"/>
                <w:b/>
                <w:sz w:val="20"/>
                <w:szCs w:val="20"/>
              </w:rPr>
            </w:pPr>
            <w:r w:rsidRPr="009D55A6">
              <w:rPr>
                <w:rFonts w:eastAsia="Calibri" w:cs="Arial"/>
                <w:b/>
                <w:sz w:val="20"/>
                <w:szCs w:val="20"/>
              </w:rPr>
              <w:t>Économie</w:t>
            </w:r>
          </w:p>
        </w:tc>
        <w:tc>
          <w:tcPr>
            <w:tcW w:w="11287" w:type="dxa"/>
            <w:tcBorders>
              <w:top w:val="single" w:sz="4" w:space="0" w:color="000001"/>
              <w:left w:val="single" w:sz="4" w:space="0" w:color="000001"/>
              <w:bottom w:val="single" w:sz="4" w:space="0" w:color="000001"/>
              <w:right w:val="single" w:sz="4" w:space="0" w:color="000001"/>
            </w:tcBorders>
          </w:tcPr>
          <w:p w14:paraId="5A60AD24" w14:textId="77777777" w:rsidR="001C2F95" w:rsidRPr="009D55A6" w:rsidRDefault="001C2F95" w:rsidP="00971FD2">
            <w:pPr>
              <w:textAlignment w:val="baseline"/>
              <w:rPr>
                <w:rFonts w:cs="Arial"/>
                <w:color w:val="000000"/>
                <w:sz w:val="20"/>
                <w:szCs w:val="20"/>
              </w:rPr>
            </w:pPr>
            <w:r w:rsidRPr="009D55A6">
              <w:rPr>
                <w:rFonts w:cs="Arial"/>
                <w:color w:val="000000"/>
                <w:sz w:val="20"/>
                <w:szCs w:val="20"/>
              </w:rPr>
              <w:t>Les principales activités sont l’agriculture de subsistance, le commerce, l’élevage, la chasse, la pêche et l’exploitation artisanale de diamant et de l’or.</w:t>
            </w:r>
          </w:p>
          <w:p w14:paraId="49DF2A80" w14:textId="77777777" w:rsidR="001C2F95" w:rsidRPr="009D55A6" w:rsidRDefault="001C2F95" w:rsidP="00971FD2">
            <w:pPr>
              <w:textAlignment w:val="baseline"/>
              <w:rPr>
                <w:rFonts w:cs="Arial"/>
                <w:color w:val="000000"/>
                <w:sz w:val="20"/>
                <w:szCs w:val="20"/>
              </w:rPr>
            </w:pPr>
          </w:p>
          <w:p w14:paraId="116E43F9" w14:textId="77777777" w:rsidR="001C2F95" w:rsidRPr="009D55A6" w:rsidRDefault="001C2F95" w:rsidP="00971FD2">
            <w:pPr>
              <w:textAlignment w:val="baseline"/>
              <w:rPr>
                <w:rFonts w:cs="Arial"/>
                <w:color w:val="000000"/>
                <w:sz w:val="20"/>
                <w:szCs w:val="20"/>
              </w:rPr>
            </w:pPr>
            <w:r w:rsidRPr="009D55A6">
              <w:rPr>
                <w:rFonts w:cs="Arial"/>
                <w:color w:val="000000"/>
                <w:sz w:val="20"/>
                <w:szCs w:val="20"/>
              </w:rPr>
              <w:t xml:space="preserve">Agriculture, élevage et pêche : En dépit de la réputation de diamantaire que lui confèrent la Ville et le Territoire de Tshikapa, cette Province est d’une vocation essentiellement agricole. Les 60 % de sa superficie étant constitués de terres cultivables et sa population étant à plus de 70 % agricole. Elle a hérité de l’essentiel des bassins agricoles de l’ancienne Province du Kasaï-Occidental. Ces atouts sont susceptibles d’investir cet espace en un grenier agricole de la sous-région et, améliorer sensiblement la qualité de vie de ses populations. Les principales productions agricoles sont le maïs, le café, le manioc, l’arachide, le haricot, le riz, l’huile de palme, le millet. La femme et la jeune fille sont une main d’œuvre très participative. Quoique les jeunes filles n’étudient pas, elles sont associées à toutes les activités </w:t>
            </w:r>
            <w:r w:rsidR="001E6744" w:rsidRPr="009D55A6">
              <w:rPr>
                <w:rFonts w:cs="Arial"/>
                <w:color w:val="000000"/>
                <w:sz w:val="20"/>
                <w:szCs w:val="20"/>
              </w:rPr>
              <w:t>génératrices des revenus</w:t>
            </w:r>
            <w:r w:rsidRPr="009D55A6">
              <w:rPr>
                <w:rFonts w:cs="Arial"/>
                <w:color w:val="000000"/>
                <w:sz w:val="20"/>
                <w:szCs w:val="20"/>
              </w:rPr>
              <w:t>, surtout dans l’agriculture et la vente en ambulatoire des produits vivriers. Cette participation aux activités économiques, surtout la vente en ambulatoire, expose les filles et jeunes femmes aux risques des VBG. Le mariage précoce est d’usage courant dans la Province du Kasaï.</w:t>
            </w:r>
          </w:p>
          <w:p w14:paraId="4E326845" w14:textId="77777777" w:rsidR="001C2F95" w:rsidRPr="009D55A6" w:rsidRDefault="001C2F95" w:rsidP="00971FD2">
            <w:pPr>
              <w:textAlignment w:val="baseline"/>
              <w:rPr>
                <w:rFonts w:cs="Arial"/>
                <w:color w:val="000000"/>
                <w:sz w:val="20"/>
                <w:szCs w:val="20"/>
              </w:rPr>
            </w:pPr>
          </w:p>
          <w:p w14:paraId="7ED6FD79" w14:textId="77777777" w:rsidR="001C2F95" w:rsidRPr="009D55A6" w:rsidRDefault="001C2F95" w:rsidP="00971FD2">
            <w:pPr>
              <w:textAlignment w:val="baseline"/>
              <w:rPr>
                <w:rFonts w:cs="Arial"/>
                <w:color w:val="000000"/>
                <w:sz w:val="20"/>
                <w:szCs w:val="20"/>
              </w:rPr>
            </w:pPr>
            <w:r w:rsidRPr="009D55A6">
              <w:rPr>
                <w:rFonts w:cs="Arial"/>
                <w:color w:val="000000"/>
                <w:sz w:val="20"/>
                <w:szCs w:val="20"/>
              </w:rPr>
              <w:t>La pêche pratiquée est de type artisanal. Les types d’élevage pratiqués sont : le gros bétail, le petit bétail et la basse-cour.</w:t>
            </w:r>
          </w:p>
        </w:tc>
      </w:tr>
      <w:tr w:rsidR="001C2F95" w:rsidRPr="001857F5" w14:paraId="7F949780"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6407E70" w14:textId="77777777" w:rsidR="001C2F95" w:rsidRPr="009D55A6" w:rsidRDefault="001C2F95" w:rsidP="00971FD2">
            <w:pPr>
              <w:rPr>
                <w:rFonts w:eastAsia="Calibri" w:cs="Arial"/>
                <w:b/>
                <w:sz w:val="20"/>
                <w:szCs w:val="20"/>
              </w:rPr>
            </w:pPr>
            <w:r w:rsidRPr="009D55A6">
              <w:rPr>
                <w:rFonts w:eastAsia="Calibri" w:cs="Arial"/>
                <w:b/>
                <w:sz w:val="20"/>
                <w:szCs w:val="20"/>
              </w:rPr>
              <w:t>Situation sanitaire</w:t>
            </w:r>
          </w:p>
        </w:tc>
        <w:tc>
          <w:tcPr>
            <w:tcW w:w="11287" w:type="dxa"/>
            <w:tcBorders>
              <w:top w:val="single" w:sz="4" w:space="0" w:color="000001"/>
              <w:left w:val="single" w:sz="4" w:space="0" w:color="000001"/>
              <w:bottom w:val="single" w:sz="4" w:space="0" w:color="000001"/>
              <w:right w:val="single" w:sz="4" w:space="0" w:color="000001"/>
            </w:tcBorders>
          </w:tcPr>
          <w:p w14:paraId="133F5460" w14:textId="77777777" w:rsidR="001C2F95" w:rsidRPr="009D55A6" w:rsidRDefault="001C2F95" w:rsidP="00971FD2">
            <w:pPr>
              <w:textAlignment w:val="baseline"/>
              <w:rPr>
                <w:rFonts w:cs="Arial"/>
                <w:color w:val="000000"/>
                <w:sz w:val="20"/>
                <w:szCs w:val="20"/>
              </w:rPr>
            </w:pPr>
            <w:r w:rsidRPr="009D55A6">
              <w:rPr>
                <w:rFonts w:cs="Arial"/>
                <w:color w:val="000000"/>
                <w:sz w:val="20"/>
                <w:szCs w:val="20"/>
              </w:rPr>
              <w:t>Selon l’enquête 1-2-3, les infrastructures sanitaires sont jugées accessibles physiquement aux ménages du Kasaï puisque 84,7% habitent dans un rayon de 2 km d’un Centre de Santé. Le Centre de Santé est l’infrastructure de santé la plus utilisée autant au Kasaï central (48,2 %) que sur l’ensemble de la RDC (63,2 %). En revanche, les hôpitaux sont rarement fréquentés (8,2%). Les services de soins de santé sont très insuffisants compte tenu de l’effectif de la population : 40 hôpitaux pour toute la Province, 11,2 lits pour 100 000 habitants et 1 médecin pour 23 656 habitants alors que la norme de l’OMS est de 1 médecin pour 10 000 habitants. Les maladies </w:t>
            </w:r>
            <w:r w:rsidR="001857F5" w:rsidRPr="009D55A6">
              <w:rPr>
                <w:rFonts w:cs="Arial"/>
                <w:color w:val="000000"/>
                <w:sz w:val="20"/>
                <w:szCs w:val="20"/>
              </w:rPr>
              <w:t>récurrentes</w:t>
            </w:r>
            <w:r w:rsidRPr="009D55A6">
              <w:rPr>
                <w:rFonts w:cs="Arial"/>
                <w:color w:val="000000"/>
                <w:sz w:val="20"/>
                <w:szCs w:val="20"/>
              </w:rPr>
              <w:t xml:space="preserve"> sont la tuberculose, le paludisme, les IST et le VIH/SIDA (80,9 % des personnes ont déjà entendu parler du VIH/SIDA d’après l’enquête MICS2-2017 - 2018), etc.</w:t>
            </w:r>
          </w:p>
        </w:tc>
      </w:tr>
      <w:tr w:rsidR="001C2F95" w:rsidRPr="001857F5" w14:paraId="5F84A7A7"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02850549" w14:textId="77777777" w:rsidR="001C2F95" w:rsidRPr="009D55A6" w:rsidRDefault="001C2F95" w:rsidP="00971FD2">
            <w:pPr>
              <w:rPr>
                <w:rFonts w:eastAsia="Calibri" w:cs="Arial"/>
                <w:b/>
                <w:sz w:val="20"/>
                <w:szCs w:val="20"/>
              </w:rPr>
            </w:pPr>
            <w:r w:rsidRPr="009D55A6">
              <w:rPr>
                <w:rFonts w:eastAsia="Calibri" w:cs="Arial"/>
                <w:b/>
                <w:sz w:val="20"/>
                <w:szCs w:val="20"/>
              </w:rPr>
              <w:t>Situation du COVID-19 dans la Province du Kasaï Central</w:t>
            </w:r>
          </w:p>
        </w:tc>
        <w:tc>
          <w:tcPr>
            <w:tcW w:w="11287" w:type="dxa"/>
            <w:tcBorders>
              <w:top w:val="single" w:sz="4" w:space="0" w:color="000001"/>
              <w:left w:val="single" w:sz="4" w:space="0" w:color="000001"/>
              <w:bottom w:val="single" w:sz="4" w:space="0" w:color="000001"/>
              <w:right w:val="single" w:sz="4" w:space="0" w:color="000001"/>
            </w:tcBorders>
          </w:tcPr>
          <w:p w14:paraId="442877B1" w14:textId="77777777" w:rsidR="001C2F95" w:rsidRPr="009D55A6" w:rsidRDefault="001C2F95" w:rsidP="00971FD2">
            <w:pPr>
              <w:textAlignment w:val="baseline"/>
              <w:rPr>
                <w:rFonts w:cs="Arial"/>
                <w:color w:val="000000"/>
                <w:sz w:val="20"/>
                <w:szCs w:val="20"/>
              </w:rPr>
            </w:pPr>
            <w:r w:rsidRPr="009D55A6">
              <w:rPr>
                <w:rFonts w:cs="Arial"/>
                <w:color w:val="000000"/>
                <w:sz w:val="20"/>
                <w:szCs w:val="20"/>
              </w:rPr>
              <w:t>Depuis le début de la pandémie à COVID-19 en RDC, la Province du Kasaï a un seul cas demeure confirmé du COVID-19 à la situation du 12 janvier 2021. Des mesures barrières sont observées sur toute l’étendue de la Province.</w:t>
            </w:r>
          </w:p>
        </w:tc>
      </w:tr>
      <w:tr w:rsidR="001C2F95" w:rsidRPr="001857F5" w14:paraId="2E662CBD"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F20A727" w14:textId="77777777" w:rsidR="001C2F95" w:rsidRPr="009D55A6" w:rsidRDefault="001C2F95" w:rsidP="00971FD2">
            <w:pPr>
              <w:rPr>
                <w:rFonts w:eastAsia="Calibri" w:cs="Arial"/>
                <w:b/>
                <w:sz w:val="20"/>
                <w:szCs w:val="20"/>
              </w:rPr>
            </w:pPr>
            <w:r w:rsidRPr="009D55A6">
              <w:rPr>
                <w:rFonts w:eastAsia="Calibri" w:cs="Arial"/>
                <w:b/>
                <w:sz w:val="20"/>
                <w:szCs w:val="20"/>
              </w:rPr>
              <w:t>Éducation</w:t>
            </w:r>
          </w:p>
        </w:tc>
        <w:tc>
          <w:tcPr>
            <w:tcW w:w="11287" w:type="dxa"/>
            <w:tcBorders>
              <w:top w:val="single" w:sz="4" w:space="0" w:color="000001"/>
              <w:left w:val="single" w:sz="4" w:space="0" w:color="000001"/>
              <w:bottom w:val="single" w:sz="4" w:space="0" w:color="000001"/>
              <w:right w:val="single" w:sz="4" w:space="0" w:color="000001"/>
            </w:tcBorders>
          </w:tcPr>
          <w:p w14:paraId="22B97C2E" w14:textId="77777777" w:rsidR="001C2F95" w:rsidRPr="009D55A6" w:rsidRDefault="001C2F95" w:rsidP="00971FD2">
            <w:pPr>
              <w:textAlignment w:val="baseline"/>
              <w:rPr>
                <w:rFonts w:cs="Arial"/>
                <w:sz w:val="20"/>
                <w:szCs w:val="20"/>
              </w:rPr>
            </w:pPr>
            <w:r w:rsidRPr="009D55A6">
              <w:rPr>
                <w:rFonts w:cs="Arial"/>
                <w:sz w:val="20"/>
                <w:szCs w:val="20"/>
              </w:rPr>
              <w:t>Le taux net de fréquentation scolaire dans la Province du Kasaï est de 59 % (Enquête MICS2-Palu, RDC, 2017 – 2018). On observait vers l’année 2017, le taux de scolarisation des filles s’écarte de celui des garçons au fur et à mesure que le niveau d’instruction monte. Allant de 49,4 % en primaire, ce taux pour les filles descend à 15,9 % au secondaire puis 0,3 % au niveau supérieur. Il en est de même pour l’accès à l’éducation puisque si on compte 9 filles pour 10 garçons au primaire, ce ratio descend à 4 sur 10 au niveau secondaire pour finir à seulement une fille pour 10 garçons au niveau supérieur.</w:t>
            </w:r>
          </w:p>
          <w:p w14:paraId="40DDB1AD" w14:textId="77777777" w:rsidR="001C2F95" w:rsidRPr="009D55A6" w:rsidRDefault="001C2F95" w:rsidP="00971FD2">
            <w:pPr>
              <w:textAlignment w:val="baseline"/>
              <w:rPr>
                <w:rFonts w:cs="Arial"/>
                <w:sz w:val="20"/>
                <w:szCs w:val="20"/>
              </w:rPr>
            </w:pPr>
          </w:p>
          <w:p w14:paraId="13F5FFD5" w14:textId="77777777" w:rsidR="001C2F95" w:rsidRPr="009D55A6" w:rsidRDefault="001C2F95" w:rsidP="00971FD2">
            <w:pPr>
              <w:textAlignment w:val="baseline"/>
              <w:rPr>
                <w:rFonts w:cs="Arial"/>
                <w:sz w:val="20"/>
                <w:szCs w:val="20"/>
              </w:rPr>
            </w:pPr>
            <w:r w:rsidRPr="009D55A6">
              <w:rPr>
                <w:rFonts w:cs="Arial"/>
                <w:sz w:val="20"/>
                <w:szCs w:val="20"/>
              </w:rPr>
              <w:t>Le mariage précoce des filles est une pratique très courante dans le Kasaï. Ainsi, les filles n’ont pas le même accès aux études dû à ces normes très conservatrices, ce qui soulignent la phrase, « La fille n’est pas faite pour les études, mais pour le ménage ». Certains jeunes garçons préfèrent exploiter les produits miniers que de se rendre sur le banc de l’école. Le travail d’enfant est très récurrent dans le Kasaï, en lieu et place des études.</w:t>
            </w:r>
          </w:p>
          <w:p w14:paraId="5F645AE1" w14:textId="77777777" w:rsidR="001C2F95" w:rsidRPr="009D55A6" w:rsidRDefault="001C2F95" w:rsidP="00971FD2">
            <w:pPr>
              <w:pStyle w:val="Paragraphedeliste"/>
              <w:ind w:left="332"/>
              <w:textAlignment w:val="baseline"/>
              <w:rPr>
                <w:rFonts w:cs="Arial"/>
                <w:sz w:val="20"/>
                <w:szCs w:val="20"/>
              </w:rPr>
            </w:pPr>
          </w:p>
          <w:p w14:paraId="27FF550A" w14:textId="77777777" w:rsidR="001C2F95" w:rsidRPr="009D55A6" w:rsidRDefault="001C2F95" w:rsidP="00971FD2">
            <w:pPr>
              <w:textAlignment w:val="baseline"/>
              <w:rPr>
                <w:rFonts w:cs="Arial"/>
                <w:sz w:val="20"/>
                <w:szCs w:val="20"/>
              </w:rPr>
            </w:pPr>
            <w:r w:rsidRPr="009D55A6">
              <w:rPr>
                <w:rFonts w:cs="Arial"/>
                <w:sz w:val="20"/>
                <w:szCs w:val="20"/>
              </w:rPr>
              <w:t>Mais avec le Programme de la gratuité de l’enseignement décrété par le Gouvernement de la République cette année passée, les indicateurs de l’accès à l’éducation vont sensiblement changer vers un taux d’alphabétisation élevé. Cette gratuité a amélioré le taux des filles à l’école ce qui pourrait réduire les mariages précoces dans cette communauté.</w:t>
            </w:r>
          </w:p>
          <w:p w14:paraId="096E184F" w14:textId="77777777" w:rsidR="001E6744" w:rsidRPr="009D55A6" w:rsidRDefault="001E6744" w:rsidP="00971FD2">
            <w:pPr>
              <w:textAlignment w:val="baseline"/>
              <w:rPr>
                <w:rFonts w:cs="Arial"/>
                <w:sz w:val="20"/>
                <w:szCs w:val="20"/>
              </w:rPr>
            </w:pPr>
          </w:p>
          <w:p w14:paraId="5FA7409A" w14:textId="77777777" w:rsidR="001E6744" w:rsidRPr="009D55A6" w:rsidRDefault="001E6744" w:rsidP="00971FD2">
            <w:pPr>
              <w:textAlignment w:val="baseline"/>
              <w:rPr>
                <w:rFonts w:cs="Arial"/>
                <w:sz w:val="20"/>
                <w:szCs w:val="20"/>
              </w:rPr>
            </w:pPr>
            <w:r w:rsidRPr="009D55A6">
              <w:rPr>
                <w:rFonts w:cs="Arial"/>
                <w:sz w:val="20"/>
                <w:szCs w:val="20"/>
              </w:rPr>
              <w:t>On note aussi certaines filles qui sont abusées et de fois même sollicitées en mariage par leurs enseignants ou sont victimes de harcèlement de la part de leurs enseignants. Les parents trouvent que c’est un honneur que leur fille soit mariée, mineure qu’elle soit à son enseignant.</w:t>
            </w:r>
          </w:p>
        </w:tc>
      </w:tr>
      <w:tr w:rsidR="001C2F95" w:rsidRPr="001857F5" w14:paraId="2B1780F9"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0CF0B81" w14:textId="77777777" w:rsidR="001C2F95" w:rsidRPr="009D55A6" w:rsidRDefault="001C2F95" w:rsidP="00971FD2">
            <w:pPr>
              <w:jc w:val="left"/>
              <w:rPr>
                <w:rFonts w:eastAsia="Calibri" w:cs="Arial"/>
                <w:b/>
                <w:sz w:val="20"/>
                <w:szCs w:val="20"/>
              </w:rPr>
            </w:pPr>
            <w:r w:rsidRPr="009D55A6">
              <w:rPr>
                <w:rFonts w:eastAsia="Calibri" w:cs="Arial"/>
                <w:b/>
                <w:sz w:val="20"/>
                <w:szCs w:val="20"/>
              </w:rPr>
              <w:t>Infrastructures de transport</w:t>
            </w:r>
          </w:p>
        </w:tc>
        <w:tc>
          <w:tcPr>
            <w:tcW w:w="11287" w:type="dxa"/>
            <w:tcBorders>
              <w:top w:val="single" w:sz="4" w:space="0" w:color="000001"/>
              <w:left w:val="single" w:sz="4" w:space="0" w:color="000001"/>
              <w:bottom w:val="single" w:sz="4" w:space="0" w:color="000001"/>
              <w:right w:val="single" w:sz="4" w:space="0" w:color="000001"/>
            </w:tcBorders>
          </w:tcPr>
          <w:p w14:paraId="41F91A39" w14:textId="77777777" w:rsidR="001C2F95" w:rsidRPr="009D55A6" w:rsidRDefault="001C2F95" w:rsidP="00971FD2">
            <w:pPr>
              <w:textAlignment w:val="baseline"/>
              <w:rPr>
                <w:rFonts w:cs="Arial"/>
                <w:color w:val="000000"/>
                <w:sz w:val="20"/>
                <w:szCs w:val="20"/>
              </w:rPr>
            </w:pPr>
            <w:r w:rsidRPr="009D55A6">
              <w:rPr>
                <w:rFonts w:cs="Arial"/>
                <w:color w:val="000000"/>
                <w:sz w:val="20"/>
                <w:szCs w:val="20"/>
              </w:rPr>
              <w:t xml:space="preserve">Dans cette Province, le transport est assuré principalement par un réseau routier qui comprend 1 977 km de routes d’intérêt national, 1 147 Km de routes d’intérêt provincial et 11 486 km des routes de dessertes agricoles. L’état de dégradation de ce réseau routier constitue un frein pour la mobilité des personnes et des biens dans la province. </w:t>
            </w:r>
          </w:p>
          <w:p w14:paraId="0C6FC5B1" w14:textId="77777777" w:rsidR="001C2F95" w:rsidRPr="009D55A6" w:rsidRDefault="001C2F95" w:rsidP="00971FD2">
            <w:pPr>
              <w:textAlignment w:val="baseline"/>
              <w:rPr>
                <w:rFonts w:cs="Arial"/>
                <w:color w:val="000000"/>
                <w:sz w:val="20"/>
                <w:szCs w:val="20"/>
              </w:rPr>
            </w:pPr>
          </w:p>
          <w:p w14:paraId="36FFC7A1" w14:textId="77777777" w:rsidR="001C2F95" w:rsidRPr="009D55A6" w:rsidRDefault="001C2F95" w:rsidP="00971FD2">
            <w:pPr>
              <w:textAlignment w:val="baseline"/>
              <w:rPr>
                <w:rFonts w:cs="Arial"/>
                <w:color w:val="000000"/>
                <w:sz w:val="20"/>
                <w:szCs w:val="20"/>
              </w:rPr>
            </w:pPr>
            <w:r w:rsidRPr="009D55A6">
              <w:rPr>
                <w:rFonts w:cs="Arial"/>
                <w:color w:val="000000"/>
                <w:sz w:val="20"/>
                <w:szCs w:val="20"/>
              </w:rPr>
              <w:t xml:space="preserve">Le Kasaï est plus grande rivière </w:t>
            </w:r>
            <w:r w:rsidR="001977A4" w:rsidRPr="009D55A6">
              <w:rPr>
                <w:rFonts w:cs="Arial"/>
                <w:color w:val="000000"/>
                <w:sz w:val="20"/>
                <w:szCs w:val="20"/>
              </w:rPr>
              <w:t>rencontrée</w:t>
            </w:r>
            <w:r w:rsidRPr="009D55A6">
              <w:rPr>
                <w:rFonts w:cs="Arial"/>
                <w:color w:val="000000"/>
                <w:sz w:val="20"/>
                <w:szCs w:val="20"/>
              </w:rPr>
              <w:t xml:space="preserve"> dans cette province. Elle a une longueur de 2 272 km, et de 2361 km en prenant compte la longueur depuis la source de la </w:t>
            </w:r>
            <w:hyperlink r:id="rId61" w:tooltip="Munyango (page inexistante)" w:history="1">
              <w:r w:rsidRPr="009D55A6">
                <w:rPr>
                  <w:rFonts w:cs="Arial"/>
                  <w:color w:val="000000"/>
                  <w:sz w:val="20"/>
                  <w:szCs w:val="20"/>
                </w:rPr>
                <w:t>Munyango</w:t>
              </w:r>
            </w:hyperlink>
            <w:r w:rsidRPr="009D55A6">
              <w:rPr>
                <w:rFonts w:cs="Arial"/>
                <w:color w:val="000000"/>
                <w:sz w:val="20"/>
                <w:szCs w:val="20"/>
              </w:rPr>
              <w:t xml:space="preserve">. Elle a aussi des affluents qui facilite le transport des biens et des personnes à savoir les rivières </w:t>
            </w:r>
            <w:hyperlink r:id="rId62" w:tooltip="Fimi" w:history="1">
              <w:r w:rsidRPr="009D55A6">
                <w:rPr>
                  <w:rFonts w:cs="Arial"/>
                  <w:color w:val="000000"/>
                  <w:sz w:val="20"/>
                  <w:szCs w:val="20"/>
                </w:rPr>
                <w:t>Fimi</w:t>
              </w:r>
            </w:hyperlink>
            <w:r w:rsidRPr="009D55A6">
              <w:rPr>
                <w:rFonts w:cs="Arial"/>
                <w:color w:val="000000"/>
                <w:sz w:val="20"/>
                <w:szCs w:val="20"/>
              </w:rPr>
              <w:t xml:space="preserve">, </w:t>
            </w:r>
            <w:hyperlink r:id="rId63" w:tooltip="Luete (page inexistante)" w:history="1">
              <w:r w:rsidRPr="009D55A6">
                <w:rPr>
                  <w:rFonts w:cs="Arial"/>
                  <w:color w:val="000000"/>
                  <w:sz w:val="20"/>
                  <w:szCs w:val="20"/>
                </w:rPr>
                <w:t>Luete</w:t>
              </w:r>
            </w:hyperlink>
            <w:r w:rsidRPr="009D55A6">
              <w:rPr>
                <w:rFonts w:cs="Arial"/>
                <w:color w:val="000000"/>
                <w:sz w:val="20"/>
                <w:szCs w:val="20"/>
              </w:rPr>
              <w:t xml:space="preserve">, </w:t>
            </w:r>
            <w:hyperlink r:id="rId64" w:tooltip="Lutshima (page inexistante)" w:history="1">
              <w:r w:rsidRPr="009D55A6">
                <w:rPr>
                  <w:rFonts w:cs="Arial"/>
                  <w:color w:val="000000"/>
                  <w:sz w:val="20"/>
                  <w:szCs w:val="20"/>
                </w:rPr>
                <w:t>Lutshima</w:t>
              </w:r>
            </w:hyperlink>
            <w:r w:rsidRPr="009D55A6">
              <w:rPr>
                <w:rFonts w:cs="Arial"/>
                <w:color w:val="000000"/>
                <w:sz w:val="20"/>
                <w:szCs w:val="20"/>
              </w:rPr>
              <w:t xml:space="preserve">, </w:t>
            </w:r>
            <w:hyperlink r:id="rId65" w:tooltip="Lubembe (page inexistante)" w:history="1">
              <w:r w:rsidRPr="009D55A6">
                <w:rPr>
                  <w:rFonts w:cs="Arial"/>
                  <w:color w:val="000000"/>
                  <w:sz w:val="20"/>
                  <w:szCs w:val="20"/>
                </w:rPr>
                <w:t>Lubembe</w:t>
              </w:r>
            </w:hyperlink>
            <w:r w:rsidRPr="009D55A6">
              <w:rPr>
                <w:rFonts w:cs="Arial"/>
                <w:color w:val="000000"/>
                <w:sz w:val="20"/>
                <w:szCs w:val="20"/>
              </w:rPr>
              <w:t xml:space="preserve">, </w:t>
            </w:r>
            <w:hyperlink r:id="rId66" w:tooltip="Lwachimo (cours d'eau)" w:history="1">
              <w:r w:rsidRPr="009D55A6">
                <w:rPr>
                  <w:rFonts w:cs="Arial"/>
                  <w:color w:val="000000"/>
                  <w:sz w:val="20"/>
                  <w:szCs w:val="20"/>
                </w:rPr>
                <w:t>Lwachimo</w:t>
              </w:r>
            </w:hyperlink>
            <w:r w:rsidRPr="009D55A6">
              <w:rPr>
                <w:rFonts w:cs="Arial"/>
                <w:color w:val="000000"/>
                <w:sz w:val="20"/>
                <w:szCs w:val="20"/>
              </w:rPr>
              <w:t xml:space="preserve"> ou Longatshimo</w:t>
            </w:r>
            <w:r w:rsidRPr="009D55A6">
              <w:rPr>
                <w:rFonts w:cs="Arial"/>
                <w:sz w:val="20"/>
                <w:szCs w:val="20"/>
              </w:rPr>
              <w:t xml:space="preserve"> </w:t>
            </w:r>
            <w:hyperlink r:id="rId67" w:tooltip="Tshikapa (rivière)" w:history="1">
              <w:r w:rsidRPr="009D55A6">
                <w:rPr>
                  <w:rFonts w:cs="Arial"/>
                  <w:color w:val="000000"/>
                  <w:sz w:val="20"/>
                  <w:szCs w:val="20"/>
                </w:rPr>
                <w:t>Tshikapa</w:t>
              </w:r>
            </w:hyperlink>
            <w:r w:rsidRPr="009D55A6">
              <w:rPr>
                <w:rFonts w:cs="Arial"/>
                <w:color w:val="000000"/>
                <w:sz w:val="20"/>
                <w:szCs w:val="20"/>
              </w:rPr>
              <w:t>.</w:t>
            </w:r>
          </w:p>
          <w:p w14:paraId="0D9A4B66" w14:textId="77777777" w:rsidR="001C2F95" w:rsidRPr="009D55A6" w:rsidRDefault="001C2F95" w:rsidP="00971FD2">
            <w:pPr>
              <w:textAlignment w:val="baseline"/>
              <w:rPr>
                <w:rFonts w:cs="Arial"/>
                <w:color w:val="000000"/>
                <w:sz w:val="20"/>
                <w:szCs w:val="20"/>
              </w:rPr>
            </w:pPr>
          </w:p>
          <w:p w14:paraId="734B4EB6" w14:textId="77777777" w:rsidR="001C2F95" w:rsidRPr="009D55A6" w:rsidRDefault="001C2F95" w:rsidP="00971FD2">
            <w:pPr>
              <w:textAlignment w:val="baseline"/>
              <w:rPr>
                <w:rFonts w:cs="Arial"/>
                <w:color w:val="000000"/>
                <w:sz w:val="20"/>
                <w:szCs w:val="20"/>
              </w:rPr>
            </w:pPr>
            <w:r w:rsidRPr="009D55A6">
              <w:rPr>
                <w:rFonts w:cs="Arial"/>
                <w:color w:val="000000"/>
                <w:sz w:val="20"/>
                <w:szCs w:val="20"/>
              </w:rPr>
              <w:t xml:space="preserve">Le délabrement des routes est souvent un risque des VBG du fait que les véhicules qui s’embourbent sont obligés de mettre plus de temps que prévu dans les villages avoisinants. Par la suite, les passagers sont logés dans la communauté, ce qui crée des risques d’EAS pour les filles qui ne fréquentent pas l’école et sont souvent à la recherche d’un revenu ou des activités économiques pour soutenir la famille. Des grossesses et mariages précoces sont alors les phénomènes très </w:t>
            </w:r>
            <w:r w:rsidR="001E6744" w:rsidRPr="009D55A6">
              <w:rPr>
                <w:rFonts w:cs="Arial"/>
                <w:color w:val="000000"/>
                <w:sz w:val="20"/>
                <w:szCs w:val="20"/>
              </w:rPr>
              <w:t>récurrents</w:t>
            </w:r>
            <w:r w:rsidRPr="009D55A6">
              <w:rPr>
                <w:rFonts w:cs="Arial"/>
                <w:color w:val="000000"/>
                <w:sz w:val="20"/>
                <w:szCs w:val="20"/>
              </w:rPr>
              <w:t xml:space="preserve"> dans certains tronçons du Kasaï.</w:t>
            </w:r>
          </w:p>
        </w:tc>
      </w:tr>
      <w:tr w:rsidR="001C2F95" w:rsidRPr="001857F5" w14:paraId="7817D2F8"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FBB96D1" w14:textId="77777777" w:rsidR="001C2F95" w:rsidRPr="009D55A6" w:rsidRDefault="001C2F95" w:rsidP="00971FD2">
            <w:pPr>
              <w:rPr>
                <w:rFonts w:eastAsia="Calibri" w:cs="Arial"/>
                <w:b/>
                <w:sz w:val="20"/>
                <w:szCs w:val="20"/>
              </w:rPr>
            </w:pPr>
            <w:r w:rsidRPr="009D55A6">
              <w:rPr>
                <w:rFonts w:eastAsia="Calibri" w:cs="Arial"/>
                <w:b/>
                <w:sz w:val="20"/>
                <w:szCs w:val="20"/>
              </w:rPr>
              <w:t>Accès à l’énergie</w:t>
            </w:r>
          </w:p>
        </w:tc>
        <w:tc>
          <w:tcPr>
            <w:tcW w:w="11287" w:type="dxa"/>
            <w:tcBorders>
              <w:top w:val="single" w:sz="4" w:space="0" w:color="000001"/>
              <w:left w:val="single" w:sz="4" w:space="0" w:color="000001"/>
              <w:bottom w:val="single" w:sz="4" w:space="0" w:color="000001"/>
              <w:right w:val="single" w:sz="4" w:space="0" w:color="000001"/>
            </w:tcBorders>
          </w:tcPr>
          <w:p w14:paraId="1A9598E9" w14:textId="77777777" w:rsidR="001C2F95" w:rsidRPr="009D55A6" w:rsidRDefault="001C2F95" w:rsidP="00971FD2">
            <w:pPr>
              <w:textAlignment w:val="baseline"/>
              <w:rPr>
                <w:rFonts w:cs="Arial"/>
                <w:color w:val="000000"/>
                <w:sz w:val="20"/>
                <w:szCs w:val="20"/>
              </w:rPr>
            </w:pPr>
            <w:r w:rsidRPr="009D55A6">
              <w:rPr>
                <w:rFonts w:cs="Arial"/>
                <w:color w:val="000000"/>
                <w:sz w:val="20"/>
                <w:szCs w:val="20"/>
              </w:rPr>
              <w:t>L’accès à l’électricité pose encore d’énormes problèmes dans cette partie du pays : seulement 5,6 % des ménages ont accès à l’électricité Ces chiffres traduisent la précarité de la vie dans la Province du Kasaï. Par ailleurs, l’accès à l’énergie (combustible et technologie propre pour la cuisson de la nourriture) est de 0,2 %. Les jeunes garçons et jeunes filles font le ramassage de bois pour la survie. Par la suite, les filles sont plus exposées aux risques de VBG au cours de cette activité de ramassage.</w:t>
            </w:r>
          </w:p>
        </w:tc>
      </w:tr>
      <w:tr w:rsidR="001C2F95" w:rsidRPr="001857F5" w14:paraId="32F479B1"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45057A5E" w14:textId="77777777" w:rsidR="001C2F95" w:rsidRPr="009D55A6" w:rsidRDefault="001C2F95" w:rsidP="00971FD2">
            <w:pPr>
              <w:textAlignment w:val="baseline"/>
              <w:rPr>
                <w:rFonts w:cs="Arial"/>
                <w:b/>
                <w:color w:val="000000"/>
                <w:sz w:val="20"/>
                <w:szCs w:val="20"/>
                <w:shd w:val="clear" w:color="auto" w:fill="FFFFFF"/>
              </w:rPr>
            </w:pPr>
            <w:r w:rsidRPr="009D55A6">
              <w:rPr>
                <w:rFonts w:cs="Arial"/>
                <w:b/>
                <w:color w:val="000000"/>
                <w:sz w:val="20"/>
                <w:szCs w:val="20"/>
                <w:shd w:val="clear" w:color="auto" w:fill="FFFFFF"/>
              </w:rPr>
              <w:t>Accès à l’eau</w:t>
            </w:r>
          </w:p>
        </w:tc>
        <w:tc>
          <w:tcPr>
            <w:tcW w:w="11287" w:type="dxa"/>
            <w:tcBorders>
              <w:top w:val="single" w:sz="4" w:space="0" w:color="000001"/>
              <w:left w:val="single" w:sz="4" w:space="0" w:color="000001"/>
              <w:bottom w:val="single" w:sz="4" w:space="0" w:color="000001"/>
              <w:right w:val="single" w:sz="4" w:space="0" w:color="000001"/>
            </w:tcBorders>
          </w:tcPr>
          <w:p w14:paraId="7E342ECD" w14:textId="77777777" w:rsidR="001C2F95" w:rsidRPr="009D55A6" w:rsidRDefault="001C2F95" w:rsidP="00971FD2">
            <w:pPr>
              <w:textAlignment w:val="baseline"/>
              <w:rPr>
                <w:rFonts w:cs="Arial"/>
                <w:color w:val="000000"/>
                <w:sz w:val="20"/>
                <w:szCs w:val="20"/>
                <w:shd w:val="clear" w:color="auto" w:fill="FFFFFF"/>
              </w:rPr>
            </w:pPr>
            <w:r w:rsidRPr="009D55A6">
              <w:rPr>
                <w:rFonts w:cs="Arial"/>
                <w:color w:val="000000"/>
                <w:sz w:val="20"/>
                <w:szCs w:val="20"/>
                <w:shd w:val="clear" w:color="auto" w:fill="FFFFFF"/>
              </w:rPr>
              <w:t>L’accès à l’eau potable pose encore d’énormes problèmes dans cette partie du pays 28,9 % des ménages ont accès à l’eau. Dans la Province du Kasaï, le taux d’accès à l’eau potable qui sort dans des robinets est de 0,3 %. Ces chiffres traduisent la précarité de la vie dans la province du Kasaï. Cette situation de pénurie d’eau expose les femmes et jeunes filles aux risques de VBG car elles sont appelées à chercher de l’eau potable. Par la suite, elles sont plus exposées aux risques de VBG, y compris l’EAS et le HS, dans la communauté lorsqu’elles se rendent à la rivière pour s’approvisionner en eau. Les jeunes délinquants leur tendent souvent des pièges pour les harceler.</w:t>
            </w:r>
          </w:p>
        </w:tc>
      </w:tr>
      <w:tr w:rsidR="001C2F95" w:rsidRPr="001857F5" w14:paraId="517D9126"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67ED41A8" w14:textId="77777777" w:rsidR="001C2F95" w:rsidRPr="009D55A6" w:rsidRDefault="001C2F95" w:rsidP="00971FD2">
            <w:pPr>
              <w:rPr>
                <w:rFonts w:eastAsia="Calibri" w:cs="Arial"/>
                <w:b/>
                <w:sz w:val="20"/>
                <w:szCs w:val="20"/>
              </w:rPr>
            </w:pPr>
            <w:r w:rsidRPr="009D55A6">
              <w:rPr>
                <w:rFonts w:eastAsia="Calibri" w:cs="Arial"/>
                <w:b/>
                <w:sz w:val="20"/>
                <w:szCs w:val="20"/>
              </w:rPr>
              <w:t>Communication</w:t>
            </w:r>
          </w:p>
        </w:tc>
        <w:tc>
          <w:tcPr>
            <w:tcW w:w="11287" w:type="dxa"/>
            <w:tcBorders>
              <w:top w:val="single" w:sz="4" w:space="0" w:color="000001"/>
              <w:left w:val="single" w:sz="4" w:space="0" w:color="000001"/>
              <w:bottom w:val="single" w:sz="4" w:space="0" w:color="000001"/>
              <w:right w:val="single" w:sz="4" w:space="0" w:color="000001"/>
            </w:tcBorders>
          </w:tcPr>
          <w:p w14:paraId="13FCB961" w14:textId="77777777" w:rsidR="001C2F95" w:rsidRPr="009D55A6" w:rsidRDefault="001C2F95" w:rsidP="00971FD2">
            <w:pPr>
              <w:textAlignment w:val="baseline"/>
              <w:rPr>
                <w:rFonts w:cs="Arial"/>
                <w:color w:val="000000"/>
                <w:sz w:val="20"/>
                <w:szCs w:val="20"/>
              </w:rPr>
            </w:pPr>
            <w:r w:rsidRPr="009D55A6">
              <w:rPr>
                <w:rFonts w:cs="Arial"/>
                <w:color w:val="000000"/>
                <w:sz w:val="20"/>
                <w:szCs w:val="20"/>
              </w:rPr>
              <w:t xml:space="preserve">Le réseau téléphonique est composé du secteur public (Postes et Télécommunications) et du secteur privé (Airtel, Vodacom et   Orange). Il y a également plus d’une trentaine de radios et de télévisions locales. L’on peut citer : Radio La Promesse à Kakenge, Radio Télé Kamonia, Radio Arc-en-ciel à Kamako, et Radio Kilimanjaro, Ondes du progrès, </w:t>
            </w:r>
            <w:r w:rsidR="001977A4" w:rsidRPr="009D55A6">
              <w:rPr>
                <w:rFonts w:cs="Arial"/>
                <w:color w:val="000000"/>
                <w:sz w:val="20"/>
                <w:szCs w:val="20"/>
              </w:rPr>
              <w:t>Kasaï</w:t>
            </w:r>
            <w:r w:rsidRPr="009D55A6">
              <w:rPr>
                <w:rFonts w:cs="Arial"/>
                <w:color w:val="000000"/>
                <w:sz w:val="20"/>
                <w:szCs w:val="20"/>
              </w:rPr>
              <w:t xml:space="preserve"> Horizon à Tshikapa.</w:t>
            </w:r>
          </w:p>
          <w:p w14:paraId="61606E91" w14:textId="77777777" w:rsidR="001E6744" w:rsidRPr="009D55A6" w:rsidRDefault="001E6744" w:rsidP="00971FD2">
            <w:pPr>
              <w:textAlignment w:val="baseline"/>
              <w:rPr>
                <w:rFonts w:cs="Arial"/>
                <w:color w:val="000000"/>
                <w:sz w:val="20"/>
                <w:szCs w:val="20"/>
              </w:rPr>
            </w:pPr>
          </w:p>
          <w:p w14:paraId="4B7E9095" w14:textId="77777777" w:rsidR="001E6744" w:rsidRPr="009D55A6" w:rsidRDefault="001E6744" w:rsidP="00971FD2">
            <w:pPr>
              <w:textAlignment w:val="baseline"/>
              <w:rPr>
                <w:rFonts w:cs="Arial"/>
                <w:color w:val="000000"/>
                <w:sz w:val="20"/>
                <w:szCs w:val="20"/>
              </w:rPr>
            </w:pPr>
            <w:r w:rsidRPr="009D55A6">
              <w:rPr>
                <w:rFonts w:cs="Arial"/>
                <w:color w:val="000000"/>
                <w:sz w:val="20"/>
                <w:szCs w:val="20"/>
              </w:rPr>
              <w:t>La plupart de femmes ne maitrise pas comment manipuler le téléphone mobile par manque d’instructions. D’autres par contre bien qu’instruites, ne reçoivent pas l’autorisation du mari ou leur partenaire pour avoir accès. Les jeunes filles utilisent plus les téléphones mobiles que les femmes pour être à la mode dans les réseaux sociaux. Les femmes doivent obtenir l’autorisation du partenaire pour détenir un téléphone mobile</w:t>
            </w:r>
          </w:p>
        </w:tc>
      </w:tr>
      <w:tr w:rsidR="001C2F95" w:rsidRPr="001857F5" w14:paraId="37C2A55A"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93643A8" w14:textId="77777777" w:rsidR="001C2F95" w:rsidRPr="009D55A6" w:rsidRDefault="001C2F95" w:rsidP="00971FD2">
            <w:pPr>
              <w:rPr>
                <w:rFonts w:eastAsia="Calibri" w:cs="Arial"/>
                <w:b/>
                <w:sz w:val="20"/>
                <w:szCs w:val="20"/>
              </w:rPr>
            </w:pPr>
            <w:r w:rsidRPr="009D55A6">
              <w:rPr>
                <w:rFonts w:eastAsia="Calibri" w:cs="Arial"/>
                <w:b/>
                <w:sz w:val="20"/>
                <w:szCs w:val="20"/>
              </w:rPr>
              <w:t>Aire protégée</w:t>
            </w:r>
          </w:p>
        </w:tc>
        <w:tc>
          <w:tcPr>
            <w:tcW w:w="11287" w:type="dxa"/>
            <w:tcBorders>
              <w:top w:val="single" w:sz="4" w:space="0" w:color="000001"/>
              <w:left w:val="single" w:sz="4" w:space="0" w:color="000001"/>
              <w:bottom w:val="single" w:sz="4" w:space="0" w:color="000001"/>
              <w:right w:val="single" w:sz="4" w:space="0" w:color="000001"/>
            </w:tcBorders>
          </w:tcPr>
          <w:p w14:paraId="11CE709B" w14:textId="77777777" w:rsidR="001C2F95" w:rsidRPr="009D55A6" w:rsidRDefault="001C2F95" w:rsidP="00971FD2">
            <w:pPr>
              <w:textAlignment w:val="baseline"/>
              <w:rPr>
                <w:rFonts w:cs="Arial"/>
                <w:color w:val="000000"/>
                <w:sz w:val="20"/>
                <w:szCs w:val="20"/>
              </w:rPr>
            </w:pPr>
            <w:r w:rsidRPr="009D55A6">
              <w:rPr>
                <w:rFonts w:cs="Arial"/>
                <w:color w:val="000000"/>
                <w:sz w:val="20"/>
                <w:szCs w:val="20"/>
              </w:rPr>
              <w:t>La Province du Kasaï n’a aucune aire protégée.</w:t>
            </w:r>
          </w:p>
        </w:tc>
      </w:tr>
    </w:tbl>
    <w:p w14:paraId="414E4CA1" w14:textId="77777777" w:rsidR="001C2F95" w:rsidRPr="001857F5" w:rsidRDefault="001C2F95" w:rsidP="001C2F95">
      <w:pPr>
        <w:rPr>
          <w:rFonts w:cs="Arial"/>
          <w:sz w:val="22"/>
        </w:rPr>
      </w:pPr>
    </w:p>
    <w:p w14:paraId="73DE9BA5" w14:textId="77777777" w:rsidR="001977A4" w:rsidRDefault="001977A4">
      <w:pPr>
        <w:spacing w:after="160" w:line="259" w:lineRule="auto"/>
        <w:jc w:val="left"/>
        <w:rPr>
          <w:rFonts w:cs="Arial"/>
          <w:sz w:val="22"/>
        </w:rPr>
      </w:pPr>
      <w:r>
        <w:rPr>
          <w:rFonts w:cs="Arial"/>
          <w:sz w:val="22"/>
        </w:rPr>
        <w:br w:type="page"/>
      </w:r>
    </w:p>
    <w:p w14:paraId="3E05FD01" w14:textId="38843F8B" w:rsidR="001C2F95" w:rsidRPr="009D55A6" w:rsidRDefault="001C2F95" w:rsidP="001C2F95">
      <w:pPr>
        <w:spacing w:line="240" w:lineRule="auto"/>
        <w:jc w:val="left"/>
        <w:rPr>
          <w:rFonts w:cs="Arial"/>
          <w:i/>
          <w:szCs w:val="21"/>
        </w:rPr>
      </w:pPr>
      <w:bookmarkStart w:id="276" w:name="_Toc90392976"/>
      <w:r w:rsidRPr="009D55A6">
        <w:rPr>
          <w:rFonts w:cs="Arial"/>
          <w:szCs w:val="21"/>
        </w:rPr>
        <w:t xml:space="preserve">Tableau </w:t>
      </w:r>
      <w:r w:rsidRPr="009D55A6">
        <w:rPr>
          <w:rFonts w:cs="Arial"/>
          <w:szCs w:val="21"/>
        </w:rPr>
        <w:fldChar w:fldCharType="begin"/>
      </w:r>
      <w:r w:rsidRPr="009D55A6">
        <w:rPr>
          <w:rFonts w:cs="Arial"/>
          <w:szCs w:val="21"/>
        </w:rPr>
        <w:instrText xml:space="preserve"> SEQ Tableau \* ARABIC </w:instrText>
      </w:r>
      <w:r w:rsidRPr="009D55A6">
        <w:rPr>
          <w:rFonts w:cs="Arial"/>
          <w:szCs w:val="21"/>
        </w:rPr>
        <w:fldChar w:fldCharType="separate"/>
      </w:r>
      <w:r w:rsidR="009D55A6">
        <w:rPr>
          <w:rFonts w:cs="Arial"/>
          <w:noProof/>
          <w:szCs w:val="21"/>
        </w:rPr>
        <w:t>8</w:t>
      </w:r>
      <w:r w:rsidRPr="009D55A6">
        <w:rPr>
          <w:rFonts w:cs="Arial"/>
          <w:szCs w:val="21"/>
        </w:rPr>
        <w:fldChar w:fldCharType="end"/>
      </w:r>
      <w:r w:rsidRPr="009D55A6">
        <w:rPr>
          <w:rFonts w:cs="Arial"/>
          <w:szCs w:val="21"/>
        </w:rPr>
        <w:t>. Données socio-économiques de la Province du Nord-K</w:t>
      </w:r>
      <w:r w:rsidR="00B86CA8" w:rsidRPr="009D55A6">
        <w:rPr>
          <w:rFonts w:cs="Arial"/>
          <w:szCs w:val="21"/>
        </w:rPr>
        <w:t>i</w:t>
      </w:r>
      <w:r w:rsidRPr="009D55A6">
        <w:rPr>
          <w:rFonts w:cs="Arial"/>
          <w:szCs w:val="21"/>
        </w:rPr>
        <w:t>vu</w:t>
      </w:r>
      <w:bookmarkEnd w:id="276"/>
    </w:p>
    <w:p w14:paraId="06C7F725" w14:textId="77777777" w:rsidR="001C2F95" w:rsidRPr="009D55A6" w:rsidRDefault="001C2F95" w:rsidP="001C2F95">
      <w:pPr>
        <w:rPr>
          <w:rFonts w:cs="Arial"/>
          <w:szCs w:val="21"/>
        </w:rPr>
      </w:pPr>
    </w:p>
    <w:tbl>
      <w:tblPr>
        <w:tblW w:w="13665"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2378"/>
        <w:gridCol w:w="11287"/>
      </w:tblGrid>
      <w:tr w:rsidR="001C2F95" w:rsidRPr="001857F5" w14:paraId="3193AF55" w14:textId="77777777" w:rsidTr="00971FD2">
        <w:trPr>
          <w:trHeight w:val="414"/>
          <w:tblHeader/>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C2D69B"/>
            <w:tcMar>
              <w:left w:w="108" w:type="dxa"/>
            </w:tcMar>
          </w:tcPr>
          <w:p w14:paraId="4060E982" w14:textId="77777777" w:rsidR="001C2F95" w:rsidRPr="009D55A6" w:rsidRDefault="001C2F95" w:rsidP="00971FD2">
            <w:pPr>
              <w:jc w:val="center"/>
              <w:rPr>
                <w:rFonts w:eastAsia="Calibri" w:cs="Arial"/>
                <w:b/>
                <w:sz w:val="20"/>
                <w:szCs w:val="20"/>
              </w:rPr>
            </w:pPr>
            <w:r w:rsidRPr="009D55A6">
              <w:rPr>
                <w:rFonts w:eastAsia="Calibri" w:cs="Arial"/>
                <w:b/>
                <w:sz w:val="20"/>
                <w:szCs w:val="20"/>
              </w:rPr>
              <w:t>Secteur</w:t>
            </w:r>
          </w:p>
        </w:tc>
        <w:tc>
          <w:tcPr>
            <w:tcW w:w="11287" w:type="dxa"/>
            <w:tcBorders>
              <w:top w:val="single" w:sz="4" w:space="0" w:color="000001"/>
              <w:left w:val="single" w:sz="4" w:space="0" w:color="000001"/>
              <w:bottom w:val="single" w:sz="4" w:space="0" w:color="000001"/>
              <w:right w:val="single" w:sz="4" w:space="0" w:color="000001"/>
            </w:tcBorders>
            <w:shd w:val="clear" w:color="auto" w:fill="C2D69B"/>
          </w:tcPr>
          <w:p w14:paraId="60EAFA5D" w14:textId="77777777" w:rsidR="001C2F95" w:rsidRPr="009D55A6" w:rsidRDefault="001C2F95" w:rsidP="00971FD2">
            <w:pPr>
              <w:jc w:val="center"/>
              <w:rPr>
                <w:rFonts w:eastAsia="Calibri" w:cs="Arial"/>
                <w:b/>
                <w:sz w:val="20"/>
                <w:szCs w:val="20"/>
              </w:rPr>
            </w:pPr>
            <w:r w:rsidRPr="009D55A6">
              <w:rPr>
                <w:rFonts w:eastAsia="Calibri" w:cs="Arial"/>
                <w:b/>
                <w:sz w:val="20"/>
                <w:szCs w:val="20"/>
              </w:rPr>
              <w:t>Province du Nord-Kivu</w:t>
            </w:r>
          </w:p>
        </w:tc>
      </w:tr>
      <w:tr w:rsidR="001C2F95" w:rsidRPr="001857F5" w14:paraId="556A3F20" w14:textId="77777777" w:rsidTr="00971FD2">
        <w:trPr>
          <w:trHeight w:val="276"/>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09BA18CA" w14:textId="77777777" w:rsidR="001C2F95" w:rsidRPr="009D55A6" w:rsidRDefault="001C2F95" w:rsidP="00971FD2">
            <w:pPr>
              <w:rPr>
                <w:rFonts w:cs="Arial"/>
                <w:b/>
                <w:iCs/>
                <w:color w:val="000000"/>
                <w:sz w:val="20"/>
                <w:szCs w:val="20"/>
              </w:rPr>
            </w:pPr>
            <w:r w:rsidRPr="009D55A6">
              <w:rPr>
                <w:rFonts w:cs="Arial"/>
                <w:b/>
                <w:iCs/>
                <w:color w:val="000000"/>
                <w:sz w:val="20"/>
                <w:szCs w:val="20"/>
              </w:rPr>
              <w:t>Situation géographique</w:t>
            </w:r>
          </w:p>
        </w:tc>
        <w:tc>
          <w:tcPr>
            <w:tcW w:w="11287" w:type="dxa"/>
            <w:tcBorders>
              <w:top w:val="single" w:sz="4" w:space="0" w:color="000001"/>
              <w:left w:val="single" w:sz="4" w:space="0" w:color="000001"/>
              <w:bottom w:val="single" w:sz="4" w:space="0" w:color="000001"/>
              <w:right w:val="single" w:sz="4" w:space="0" w:color="000001"/>
            </w:tcBorders>
          </w:tcPr>
          <w:p w14:paraId="4355A6BE" w14:textId="77777777" w:rsidR="001C2F95" w:rsidRPr="009D55A6" w:rsidRDefault="001C2F95" w:rsidP="00971FD2">
            <w:pPr>
              <w:textAlignment w:val="baseline"/>
              <w:rPr>
                <w:rFonts w:cs="Arial"/>
                <w:b/>
                <w:i/>
                <w:color w:val="000000"/>
                <w:sz w:val="20"/>
                <w:szCs w:val="20"/>
              </w:rPr>
            </w:pPr>
            <w:r w:rsidRPr="009D55A6">
              <w:rPr>
                <w:rFonts w:cs="Arial"/>
                <w:b/>
                <w:i/>
                <w:color w:val="000000"/>
                <w:sz w:val="20"/>
                <w:szCs w:val="20"/>
              </w:rPr>
              <w:t>Localisation </w:t>
            </w:r>
          </w:p>
          <w:p w14:paraId="47EAAB0D" w14:textId="77777777" w:rsidR="001C2F95" w:rsidRPr="009D55A6" w:rsidRDefault="001C2F95" w:rsidP="00971FD2">
            <w:pPr>
              <w:textAlignment w:val="baseline"/>
              <w:rPr>
                <w:rFonts w:cs="Arial"/>
                <w:color w:val="000000"/>
                <w:sz w:val="20"/>
                <w:szCs w:val="20"/>
              </w:rPr>
            </w:pPr>
            <w:r w:rsidRPr="009D55A6">
              <w:rPr>
                <w:rFonts w:cs="Arial"/>
                <w:color w:val="000000"/>
                <w:sz w:val="20"/>
                <w:szCs w:val="20"/>
              </w:rPr>
              <w:t>La Province du Nord-Kivu est située à cheval sur l’Equateur. Elle est comprise entre 0° 58’ de latitude Nord et       02° 03’ de latitude Sud et entre 27°14’ de longitude Ouest et 29° 58’ de longitude Est. Elle est limitée à l’Est par les Républiques de l’Ouganda et du Rwanda (Sud-Est), au Nord et à l’Ouest par la Province de Tshopo, au Sud-Ouest par la Province du Maniema et au Sud par la Province du Sud-Kivu. Sa superficie est de 59 631 km</w:t>
            </w:r>
            <w:r w:rsidRPr="009D55A6">
              <w:rPr>
                <w:rFonts w:cs="Arial"/>
                <w:color w:val="000000"/>
                <w:sz w:val="20"/>
                <w:szCs w:val="20"/>
                <w:vertAlign w:val="superscript"/>
              </w:rPr>
              <w:t>2</w:t>
            </w:r>
            <w:r w:rsidRPr="009D55A6">
              <w:rPr>
                <w:rFonts w:cs="Arial"/>
                <w:color w:val="000000"/>
                <w:sz w:val="20"/>
                <w:szCs w:val="20"/>
              </w:rPr>
              <w:t xml:space="preserve">, soit environ 2,5 % de l’étendue du territoire national. Le relief du Nord-Kivu est très accidenté. L’altitude varie de moins de 800 m à plus de 2 500 m. Certains sommets atteignent plus de 5 000 m. Ce relief est formé des plaines, des plateaux et des chaînes de montagne. Les plaines alluviales s’étendent du Nord au Sud du Lac Edouard. Il s’agit, respectivement, des plaines alluviales de la Semliki et des Rwindi- Rutshuru. Les Rives occidentales du Lac Edouard se heurtent à un escarpement abrupt, dont le prolongement vers le Sud, en bordure de la plaine des Rwindi-Rutshuru est connu sous le nom d’escarpement de Kabasha. </w:t>
            </w:r>
          </w:p>
          <w:p w14:paraId="10B0FE5F" w14:textId="77777777" w:rsidR="001C2F95" w:rsidRPr="009D55A6" w:rsidRDefault="001C2F95" w:rsidP="00971FD2">
            <w:pPr>
              <w:rPr>
                <w:rFonts w:cs="Arial"/>
                <w:color w:val="000000"/>
                <w:sz w:val="20"/>
                <w:szCs w:val="20"/>
              </w:rPr>
            </w:pPr>
          </w:p>
          <w:p w14:paraId="711B4485" w14:textId="77777777" w:rsidR="001C2F95" w:rsidRPr="009D55A6" w:rsidRDefault="001C2F95" w:rsidP="00971FD2">
            <w:pPr>
              <w:textAlignment w:val="baseline"/>
              <w:rPr>
                <w:rFonts w:cs="Arial"/>
                <w:b/>
                <w:i/>
                <w:color w:val="000000"/>
                <w:sz w:val="20"/>
                <w:szCs w:val="20"/>
              </w:rPr>
            </w:pPr>
            <w:r w:rsidRPr="009D55A6">
              <w:rPr>
                <w:rFonts w:cs="Arial"/>
                <w:b/>
                <w:i/>
                <w:color w:val="000000"/>
                <w:sz w:val="20"/>
                <w:szCs w:val="20"/>
              </w:rPr>
              <w:t>Climat et saisons </w:t>
            </w:r>
          </w:p>
          <w:p w14:paraId="3E20A37E" w14:textId="77777777" w:rsidR="001C2F95" w:rsidRPr="009D55A6" w:rsidRDefault="001C2F95" w:rsidP="00971FD2">
            <w:pPr>
              <w:textAlignment w:val="baseline"/>
              <w:rPr>
                <w:rFonts w:cs="Arial"/>
                <w:color w:val="000000"/>
                <w:sz w:val="20"/>
                <w:szCs w:val="20"/>
              </w:rPr>
            </w:pPr>
            <w:r w:rsidRPr="009D55A6">
              <w:rPr>
                <w:rFonts w:cs="Arial"/>
                <w:color w:val="000000"/>
                <w:sz w:val="20"/>
                <w:szCs w:val="20"/>
              </w:rPr>
              <w:t>Le climat d’altitude et le relief confèrent aux sols du Nord- Kivu une certaine complexité. On pourrait néanmoins diviser les sols du Nord- Kivu en trois grandes classes : les sols volcaniques récents (entre Goma et Rutshuru) ; les sols des plaines alluviales (dans les plaines de la Semliki) et les sols des roches anciennes (Rutshuru).</w:t>
            </w:r>
          </w:p>
          <w:p w14:paraId="052CF850" w14:textId="77777777" w:rsidR="001C2F95" w:rsidRPr="009D55A6" w:rsidRDefault="001C2F95" w:rsidP="00971FD2">
            <w:pPr>
              <w:textAlignment w:val="baseline"/>
              <w:rPr>
                <w:rFonts w:cs="Arial"/>
                <w:color w:val="000000"/>
                <w:sz w:val="20"/>
                <w:szCs w:val="20"/>
              </w:rPr>
            </w:pPr>
          </w:p>
          <w:p w14:paraId="293EB8E1" w14:textId="77777777" w:rsidR="001C2F95" w:rsidRPr="009D55A6" w:rsidRDefault="001C2F95" w:rsidP="00971FD2">
            <w:pPr>
              <w:textAlignment w:val="baseline"/>
              <w:rPr>
                <w:rFonts w:cs="Arial"/>
                <w:color w:val="000000"/>
                <w:sz w:val="20"/>
                <w:szCs w:val="20"/>
              </w:rPr>
            </w:pPr>
            <w:r w:rsidRPr="009D55A6">
              <w:rPr>
                <w:rFonts w:cs="Arial"/>
                <w:color w:val="000000"/>
                <w:sz w:val="20"/>
                <w:szCs w:val="20"/>
              </w:rPr>
              <w:t>L’hétérogénéité du relief amène une grande variété de climats. D’une manière générale, on observe une corrélation étroite entre l’altitude et la température moyenne. En-dessous de 1 000 m, cette température est voisine de 23° C. A 1 500 m, on enregistre quelques 19° C et à 2 000 m, 15° C environ.  La pluviométrie moyenne varie entre 1.000 mm et 2 000 mm. Les précipitations mensuelles les plus faibles sont enregistrées entre janvier et février et entre juillet et août. Quatre saisons caractérisent le climat du Nord- Kivu : deux saisons humides et deux saisons sèches.</w:t>
            </w:r>
          </w:p>
          <w:p w14:paraId="664762D5" w14:textId="77777777" w:rsidR="001C2F95" w:rsidRPr="009D55A6" w:rsidRDefault="001C2F95" w:rsidP="00971FD2">
            <w:pPr>
              <w:textAlignment w:val="baseline"/>
              <w:rPr>
                <w:rFonts w:cs="Arial"/>
                <w:b/>
                <w:color w:val="000000"/>
                <w:sz w:val="20"/>
                <w:szCs w:val="20"/>
              </w:rPr>
            </w:pPr>
          </w:p>
          <w:p w14:paraId="5BA77013" w14:textId="77777777" w:rsidR="001C2F95" w:rsidRPr="009D55A6" w:rsidRDefault="001C2F95" w:rsidP="00971FD2">
            <w:pPr>
              <w:textAlignment w:val="baseline"/>
              <w:rPr>
                <w:rFonts w:cs="Arial"/>
                <w:b/>
                <w:i/>
                <w:color w:val="000000"/>
                <w:sz w:val="20"/>
                <w:szCs w:val="20"/>
              </w:rPr>
            </w:pPr>
            <w:r w:rsidRPr="009D55A6">
              <w:rPr>
                <w:rFonts w:cs="Arial"/>
                <w:b/>
                <w:i/>
                <w:color w:val="000000"/>
                <w:sz w:val="20"/>
                <w:szCs w:val="20"/>
              </w:rPr>
              <w:t>Hydrographie</w:t>
            </w:r>
          </w:p>
          <w:p w14:paraId="41837BEB" w14:textId="77777777" w:rsidR="001C2F95" w:rsidRPr="009D55A6" w:rsidRDefault="001C2F95" w:rsidP="00971FD2">
            <w:pPr>
              <w:textAlignment w:val="baseline"/>
              <w:rPr>
                <w:rFonts w:cs="Arial"/>
                <w:color w:val="000000"/>
                <w:sz w:val="20"/>
                <w:szCs w:val="20"/>
              </w:rPr>
            </w:pPr>
            <w:r w:rsidRPr="009D55A6">
              <w:rPr>
                <w:rFonts w:cs="Arial"/>
                <w:color w:val="000000"/>
                <w:sz w:val="20"/>
                <w:szCs w:val="20"/>
              </w:rPr>
              <w:t>L‛hydrographie du Nord-Kivu est dominée par l‛existence de deux grands lacs à savoir Lac Édouard et Lac Kivu. Le Lac Édouard : il a une superficie de 2 150 km</w:t>
            </w:r>
            <w:r w:rsidRPr="009D55A6">
              <w:rPr>
                <w:rFonts w:cs="Arial"/>
                <w:color w:val="000000"/>
                <w:sz w:val="20"/>
                <w:szCs w:val="20"/>
                <w:vertAlign w:val="superscript"/>
              </w:rPr>
              <w:t>2</w:t>
            </w:r>
            <w:r w:rsidRPr="009D55A6">
              <w:rPr>
                <w:rFonts w:cs="Arial"/>
                <w:color w:val="000000"/>
                <w:sz w:val="20"/>
                <w:szCs w:val="20"/>
              </w:rPr>
              <w:t xml:space="preserve"> dont 1 630 km</w:t>
            </w:r>
            <w:r w:rsidRPr="009D55A6">
              <w:rPr>
                <w:rFonts w:cs="Arial"/>
                <w:color w:val="000000"/>
                <w:sz w:val="20"/>
                <w:szCs w:val="20"/>
                <w:vertAlign w:val="superscript"/>
              </w:rPr>
              <w:t>2</w:t>
            </w:r>
            <w:r w:rsidRPr="009D55A6">
              <w:rPr>
                <w:rFonts w:cs="Arial"/>
                <w:color w:val="000000"/>
                <w:sz w:val="20"/>
                <w:szCs w:val="20"/>
              </w:rPr>
              <w:t xml:space="preserve"> pour la partie congolaise, avec une profondeur moyenne de 30 m. ce lac est très poissonneux et constitue une source importante de revenus pour les familles riveraines. Le Lac Kivu : il est le plus haut de l‛Afrique Centrale parce qu‛il se trouve pittoresquement situé à                  1 460 m d‛altitude dans la fosse limitée par les hauts volcans des Virunga. Sa superficie est de 2 700 km</w:t>
            </w:r>
            <w:r w:rsidRPr="009D55A6">
              <w:rPr>
                <w:rFonts w:cs="Arial"/>
                <w:color w:val="000000"/>
                <w:sz w:val="20"/>
                <w:szCs w:val="20"/>
                <w:vertAlign w:val="superscript"/>
              </w:rPr>
              <w:t>2</w:t>
            </w:r>
            <w:r w:rsidRPr="009D55A6">
              <w:rPr>
                <w:rFonts w:cs="Arial"/>
                <w:color w:val="000000"/>
                <w:sz w:val="20"/>
                <w:szCs w:val="20"/>
              </w:rPr>
              <w:t xml:space="preserve"> pour la partie congolaise avec une profondeur moyenne de 285 m. Contrairement au Lac Edouard, le Lac Kivu est peu poissonneux. Les Lacs Mokotos : il s‛agit de quatre lacs dénommés respectivement Ndalaha, Lukulu, Mbalukia et Mbila. Ensemble, ils couvrent une superficie de 86 km</w:t>
            </w:r>
            <w:r w:rsidRPr="009D55A6">
              <w:rPr>
                <w:rFonts w:cs="Arial"/>
                <w:color w:val="000000"/>
                <w:sz w:val="20"/>
                <w:szCs w:val="20"/>
                <w:vertAlign w:val="superscript"/>
              </w:rPr>
              <w:t>2</w:t>
            </w:r>
            <w:r w:rsidRPr="009D55A6">
              <w:rPr>
                <w:rFonts w:cs="Arial"/>
                <w:color w:val="000000"/>
                <w:sz w:val="20"/>
                <w:szCs w:val="20"/>
              </w:rPr>
              <w:t xml:space="preserve"> et sont situés à côté du Monastère du même nom, en Chefferie de Bashali, Territoire de Masisi. Le réseau hydrographique comprend aussi les rivières suivantes : Rutshuru, Rwindi, Semliki, Osso et Lowa. </w:t>
            </w:r>
          </w:p>
          <w:p w14:paraId="6C35B93D" w14:textId="77777777" w:rsidR="001C2F95" w:rsidRPr="009D55A6" w:rsidRDefault="001C2F95" w:rsidP="00971FD2">
            <w:pPr>
              <w:textAlignment w:val="baseline"/>
              <w:rPr>
                <w:rFonts w:cs="Arial"/>
                <w:color w:val="000000"/>
                <w:sz w:val="20"/>
                <w:szCs w:val="20"/>
              </w:rPr>
            </w:pPr>
          </w:p>
          <w:p w14:paraId="64105551" w14:textId="77777777" w:rsidR="001C2F95" w:rsidRPr="009D55A6" w:rsidRDefault="001C2F95" w:rsidP="00971FD2">
            <w:pPr>
              <w:textAlignment w:val="baseline"/>
              <w:rPr>
                <w:rFonts w:cs="Arial"/>
                <w:b/>
                <w:i/>
                <w:color w:val="000000"/>
                <w:sz w:val="20"/>
                <w:szCs w:val="20"/>
              </w:rPr>
            </w:pPr>
            <w:r w:rsidRPr="009D55A6">
              <w:rPr>
                <w:rFonts w:cs="Arial"/>
                <w:b/>
                <w:i/>
                <w:color w:val="000000"/>
                <w:sz w:val="20"/>
                <w:szCs w:val="20"/>
              </w:rPr>
              <w:t>Relief et sol</w:t>
            </w:r>
          </w:p>
          <w:p w14:paraId="61A5DD84" w14:textId="77777777" w:rsidR="001C2F95" w:rsidRPr="009D55A6" w:rsidRDefault="001C2F95" w:rsidP="00971FD2">
            <w:pPr>
              <w:textAlignment w:val="baseline"/>
              <w:rPr>
                <w:rFonts w:cs="Arial"/>
                <w:color w:val="000000"/>
                <w:sz w:val="20"/>
                <w:szCs w:val="20"/>
              </w:rPr>
            </w:pPr>
            <w:r w:rsidRPr="009D55A6">
              <w:rPr>
                <w:rFonts w:cs="Arial"/>
                <w:color w:val="000000"/>
                <w:sz w:val="20"/>
                <w:szCs w:val="20"/>
              </w:rPr>
              <w:t>Le climat d‛altitude et le relief confèrent aux sols du Nord- Kivu une certaine complexité. On pourrait néanmoins diviser les sols du Nord- Kivu en trois grandes classes : Les sols volcaniques récents : provenant des coulées de lave de volcans. Les coulées récentes ne permettent pas encore à l‛agriculture de s‛y installer ; tandis que dans les coulées plus anciennes, la lave est particulièrement décomposée et forme un sol parfois encore superficiel mais très fertile. Ces sols se retrouvent entre Goma et Rutshuru. Les sols des plaines alluviales : ces sols se retrouvent dans les plaines de la Semliki et proviennent des dépôts lacustres, de la Rivière Semliki et de ses affluents. Les sols des roches anciennes : ces sols sont très profonds et riches en humus. Ils sont assez argileux et peu compacts et disposent, en surface, d‛une importante réserve de matières organiques. Le plus haut sommet est le Ruwenzori.</w:t>
            </w:r>
          </w:p>
          <w:p w14:paraId="332FE9AB" w14:textId="77777777" w:rsidR="001C2F95" w:rsidRPr="009D55A6" w:rsidRDefault="001C2F95" w:rsidP="00971FD2">
            <w:pPr>
              <w:textAlignment w:val="baseline"/>
              <w:rPr>
                <w:rFonts w:cs="Arial"/>
                <w:color w:val="000000"/>
                <w:sz w:val="20"/>
                <w:szCs w:val="20"/>
              </w:rPr>
            </w:pPr>
          </w:p>
          <w:p w14:paraId="5024215B" w14:textId="77777777" w:rsidR="001C2F95" w:rsidRPr="009D55A6" w:rsidRDefault="001C2F95" w:rsidP="00971FD2">
            <w:pPr>
              <w:textAlignment w:val="baseline"/>
              <w:rPr>
                <w:rFonts w:cs="Arial"/>
                <w:b/>
                <w:i/>
                <w:color w:val="000000"/>
                <w:sz w:val="20"/>
                <w:szCs w:val="20"/>
              </w:rPr>
            </w:pPr>
            <w:r w:rsidRPr="009D55A6">
              <w:rPr>
                <w:rFonts w:cs="Arial"/>
                <w:b/>
                <w:i/>
                <w:color w:val="000000"/>
                <w:sz w:val="20"/>
                <w:szCs w:val="20"/>
              </w:rPr>
              <w:t>Faune</w:t>
            </w:r>
          </w:p>
          <w:p w14:paraId="152090E7" w14:textId="77777777" w:rsidR="001C2F95" w:rsidRPr="009D55A6" w:rsidRDefault="001C2F95" w:rsidP="00971FD2">
            <w:pPr>
              <w:textAlignment w:val="baseline"/>
              <w:rPr>
                <w:rFonts w:cs="Arial"/>
                <w:sz w:val="20"/>
                <w:szCs w:val="20"/>
              </w:rPr>
            </w:pPr>
            <w:r w:rsidRPr="009D55A6">
              <w:rPr>
                <w:rFonts w:cs="Arial"/>
                <w:color w:val="333333"/>
                <w:sz w:val="20"/>
                <w:szCs w:val="20"/>
                <w:shd w:val="clear" w:color="auto" w:fill="FFFFFF"/>
              </w:rPr>
              <w:t xml:space="preserve">La Province du Nord-Kivu comporte divers types de végétation qui abrite également une faune diversifiée : </w:t>
            </w:r>
            <w:r w:rsidRPr="009D55A6">
              <w:rPr>
                <w:rFonts w:cs="Arial"/>
                <w:b/>
                <w:color w:val="333333"/>
                <w:sz w:val="20"/>
                <w:szCs w:val="20"/>
                <w:shd w:val="clear" w:color="auto" w:fill="FFFFFF"/>
              </w:rPr>
              <w:t>Mamifères :</w:t>
            </w:r>
            <w:r w:rsidRPr="009D55A6">
              <w:rPr>
                <w:rFonts w:cs="Arial"/>
                <w:color w:val="333333"/>
                <w:sz w:val="20"/>
                <w:szCs w:val="20"/>
                <w:shd w:val="clear" w:color="auto" w:fill="FFFFFF"/>
              </w:rPr>
              <w:t xml:space="preserve"> </w:t>
            </w:r>
            <w:r w:rsidRPr="009D55A6">
              <w:rPr>
                <w:rFonts w:cs="Arial"/>
                <w:sz w:val="20"/>
                <w:szCs w:val="20"/>
              </w:rPr>
              <w:t>Vache, Antilope, Chien, Chèvre, Singe mona de dent, Singe argenté, Singe doré</w:t>
            </w:r>
            <w:r w:rsidRPr="009D55A6">
              <w:rPr>
                <w:rFonts w:cs="Arial"/>
                <w:sz w:val="20"/>
                <w:szCs w:val="20"/>
                <w:vertAlign w:val="superscript"/>
              </w:rPr>
              <w:t>(+)</w:t>
            </w:r>
            <w:r w:rsidRPr="009D55A6">
              <w:rPr>
                <w:rFonts w:cs="Arial"/>
                <w:sz w:val="20"/>
                <w:szCs w:val="20"/>
              </w:rPr>
              <w:t>, Singe de diadème</w:t>
            </w:r>
            <w:r w:rsidRPr="009D55A6">
              <w:rPr>
                <w:rFonts w:cs="Arial"/>
                <w:sz w:val="20"/>
                <w:szCs w:val="20"/>
                <w:vertAlign w:val="superscript"/>
              </w:rPr>
              <w:t>(+)</w:t>
            </w:r>
            <w:r w:rsidRPr="009D55A6">
              <w:rPr>
                <w:rFonts w:cs="Arial"/>
                <w:sz w:val="20"/>
                <w:szCs w:val="20"/>
              </w:rPr>
              <w:t>, Singe de Brazza ou noir, Rat de Gambie, Antilopes de bois</w:t>
            </w:r>
            <w:r w:rsidRPr="009D55A6">
              <w:rPr>
                <w:rFonts w:cs="Arial"/>
                <w:sz w:val="20"/>
                <w:szCs w:val="20"/>
                <w:vertAlign w:val="superscript"/>
              </w:rPr>
              <w:t>(+)</w:t>
            </w:r>
            <w:r w:rsidRPr="009D55A6">
              <w:rPr>
                <w:rFonts w:cs="Arial"/>
                <w:sz w:val="20"/>
                <w:szCs w:val="20"/>
              </w:rPr>
              <w:t>, Cob de Fassa, Cercocebe agile, Civette, Colobe d’Angola, Gazelle, Gorille</w:t>
            </w:r>
            <w:r w:rsidRPr="009D55A6">
              <w:rPr>
                <w:rFonts w:cs="Arial"/>
                <w:sz w:val="20"/>
                <w:szCs w:val="20"/>
                <w:vertAlign w:val="superscript"/>
              </w:rPr>
              <w:t>(+)</w:t>
            </w:r>
            <w:r w:rsidRPr="009D55A6">
              <w:rPr>
                <w:rFonts w:cs="Arial"/>
                <w:sz w:val="20"/>
                <w:szCs w:val="20"/>
              </w:rPr>
              <w:t>, Chat, Hippopotame</w:t>
            </w:r>
            <w:r w:rsidRPr="009D55A6">
              <w:rPr>
                <w:rFonts w:cs="Arial"/>
                <w:sz w:val="20"/>
                <w:szCs w:val="20"/>
                <w:vertAlign w:val="superscript"/>
              </w:rPr>
              <w:t>(+)</w:t>
            </w:r>
            <w:r w:rsidRPr="009D55A6">
              <w:rPr>
                <w:rFonts w:cs="Arial"/>
                <w:sz w:val="20"/>
                <w:szCs w:val="20"/>
              </w:rPr>
              <w:t>, Antiloppe naine, Hylochère, Porc-Epic, Cob, Lièvre, Lièvre africain de savane, Eléphant de savane</w:t>
            </w:r>
            <w:r w:rsidRPr="009D55A6">
              <w:rPr>
                <w:rFonts w:cs="Arial"/>
                <w:sz w:val="20"/>
                <w:szCs w:val="20"/>
                <w:vertAlign w:val="superscript"/>
              </w:rPr>
              <w:t>(+)</w:t>
            </w:r>
            <w:r w:rsidRPr="009D55A6">
              <w:rPr>
                <w:rFonts w:cs="Arial"/>
                <w:sz w:val="20"/>
                <w:szCs w:val="20"/>
              </w:rPr>
              <w:t>, Pangolin</w:t>
            </w:r>
            <w:r w:rsidRPr="009D55A6">
              <w:rPr>
                <w:rFonts w:cs="Arial"/>
                <w:sz w:val="20"/>
                <w:szCs w:val="20"/>
                <w:vertAlign w:val="superscript"/>
              </w:rPr>
              <w:t>(+)</w:t>
            </w:r>
            <w:r w:rsidRPr="009D55A6">
              <w:rPr>
                <w:rFonts w:cs="Arial"/>
                <w:sz w:val="20"/>
                <w:szCs w:val="20"/>
              </w:rPr>
              <w:t>, Okapi</w:t>
            </w:r>
            <w:r w:rsidRPr="009D55A6">
              <w:rPr>
                <w:rFonts w:cs="Arial"/>
                <w:sz w:val="20"/>
                <w:szCs w:val="20"/>
                <w:vertAlign w:val="superscript"/>
              </w:rPr>
              <w:t>(+)</w:t>
            </w:r>
            <w:r w:rsidRPr="009D55A6">
              <w:rPr>
                <w:rFonts w:cs="Arial"/>
                <w:sz w:val="20"/>
                <w:szCs w:val="20"/>
              </w:rPr>
              <w:t>, Mouton, Chimpanzé</w:t>
            </w:r>
            <w:r w:rsidRPr="009D55A6">
              <w:rPr>
                <w:rFonts w:cs="Arial"/>
                <w:sz w:val="20"/>
                <w:szCs w:val="20"/>
                <w:vertAlign w:val="superscript"/>
              </w:rPr>
              <w:t>(+)</w:t>
            </w:r>
            <w:r w:rsidRPr="009D55A6">
              <w:rPr>
                <w:rFonts w:cs="Arial"/>
                <w:sz w:val="20"/>
                <w:szCs w:val="20"/>
              </w:rPr>
              <w:t>, Lion</w:t>
            </w:r>
            <w:r w:rsidRPr="009D55A6">
              <w:rPr>
                <w:rFonts w:cs="Arial"/>
                <w:sz w:val="20"/>
                <w:szCs w:val="20"/>
                <w:vertAlign w:val="superscript"/>
              </w:rPr>
              <w:t>(+)</w:t>
            </w:r>
            <w:r w:rsidRPr="009D55A6">
              <w:rPr>
                <w:rFonts w:cs="Arial"/>
                <w:sz w:val="20"/>
                <w:szCs w:val="20"/>
              </w:rPr>
              <w:t>, Léopard</w:t>
            </w:r>
            <w:r w:rsidRPr="009D55A6">
              <w:rPr>
                <w:rFonts w:cs="Arial"/>
                <w:sz w:val="20"/>
                <w:szCs w:val="20"/>
                <w:vertAlign w:val="superscript"/>
              </w:rPr>
              <w:t>(+)</w:t>
            </w:r>
            <w:r w:rsidRPr="009D55A6">
              <w:rPr>
                <w:rFonts w:cs="Arial"/>
                <w:sz w:val="20"/>
                <w:szCs w:val="20"/>
              </w:rPr>
              <w:t>, Babouin doguera, Chat de brousse, Phacochère, Potamochère</w:t>
            </w:r>
            <w:r w:rsidRPr="009D55A6">
              <w:rPr>
                <w:rFonts w:cs="Arial"/>
                <w:sz w:val="20"/>
                <w:szCs w:val="20"/>
                <w:vertAlign w:val="superscript"/>
              </w:rPr>
              <w:t>(+)</w:t>
            </w:r>
            <w:r w:rsidRPr="009D55A6">
              <w:rPr>
                <w:rFonts w:cs="Arial"/>
                <w:sz w:val="20"/>
                <w:szCs w:val="20"/>
              </w:rPr>
              <w:t>, Chat doré d’Afrique, Ecureil, Buffle</w:t>
            </w:r>
            <w:r w:rsidRPr="009D55A6">
              <w:rPr>
                <w:rFonts w:cs="Arial"/>
                <w:sz w:val="20"/>
                <w:szCs w:val="20"/>
                <w:vertAlign w:val="superscript"/>
              </w:rPr>
              <w:t>(+)</w:t>
            </w:r>
            <w:r w:rsidRPr="009D55A6">
              <w:rPr>
                <w:rFonts w:cs="Arial"/>
                <w:sz w:val="20"/>
                <w:szCs w:val="20"/>
              </w:rPr>
              <w:t xml:space="preserve">, Rat-taupe, Guib harnaché, Sitatunga, Aulacode, Renard ; </w:t>
            </w:r>
            <w:r w:rsidRPr="009D55A6">
              <w:rPr>
                <w:rFonts w:cs="Arial"/>
                <w:b/>
                <w:sz w:val="20"/>
                <w:szCs w:val="20"/>
              </w:rPr>
              <w:t xml:space="preserve">Reptiles : </w:t>
            </w:r>
            <w:r w:rsidRPr="009D55A6">
              <w:rPr>
                <w:rFonts w:cs="Arial"/>
                <w:sz w:val="20"/>
                <w:szCs w:val="20"/>
              </w:rPr>
              <w:t>Agame</w:t>
            </w:r>
            <w:r w:rsidRPr="009D55A6">
              <w:rPr>
                <w:rFonts w:cs="Arial"/>
                <w:sz w:val="20"/>
                <w:szCs w:val="20"/>
                <w:vertAlign w:val="superscript"/>
              </w:rPr>
              <w:t>(+)</w:t>
            </w:r>
            <w:r w:rsidRPr="009D55A6">
              <w:rPr>
                <w:rFonts w:cs="Arial"/>
                <w:sz w:val="20"/>
                <w:szCs w:val="20"/>
              </w:rPr>
              <w:t>, Vipère, Caméléon</w:t>
            </w:r>
            <w:r w:rsidRPr="009D55A6">
              <w:rPr>
                <w:rFonts w:cs="Arial"/>
                <w:sz w:val="20"/>
                <w:szCs w:val="20"/>
                <w:vertAlign w:val="superscript"/>
              </w:rPr>
              <w:t>(+)</w:t>
            </w:r>
            <w:r w:rsidRPr="009D55A6">
              <w:rPr>
                <w:rFonts w:cs="Arial"/>
                <w:sz w:val="20"/>
                <w:szCs w:val="20"/>
              </w:rPr>
              <w:t>, Gecko</w:t>
            </w:r>
            <w:r w:rsidRPr="009D55A6">
              <w:rPr>
                <w:rFonts w:cs="Arial"/>
                <w:sz w:val="20"/>
                <w:szCs w:val="20"/>
                <w:vertAlign w:val="superscript"/>
              </w:rPr>
              <w:t>(+)</w:t>
            </w:r>
            <w:r w:rsidRPr="009D55A6">
              <w:rPr>
                <w:rFonts w:cs="Arial"/>
                <w:sz w:val="20"/>
                <w:szCs w:val="20"/>
              </w:rPr>
              <w:t>, Lézard ordinaire, Lézard vert, Leazard</w:t>
            </w:r>
            <w:r w:rsidRPr="009D55A6">
              <w:rPr>
                <w:rFonts w:cs="Arial"/>
                <w:sz w:val="20"/>
                <w:szCs w:val="20"/>
                <w:vertAlign w:val="superscript"/>
              </w:rPr>
              <w:t>(+)</w:t>
            </w:r>
            <w:r w:rsidRPr="009D55A6">
              <w:rPr>
                <w:rFonts w:cs="Arial"/>
                <w:sz w:val="20"/>
                <w:szCs w:val="20"/>
              </w:rPr>
              <w:t>, Tortue</w:t>
            </w:r>
            <w:r w:rsidRPr="009D55A6">
              <w:rPr>
                <w:rFonts w:cs="Arial"/>
                <w:sz w:val="20"/>
                <w:szCs w:val="20"/>
                <w:vertAlign w:val="superscript"/>
              </w:rPr>
              <w:t>(+)</w:t>
            </w:r>
            <w:r w:rsidRPr="009D55A6">
              <w:rPr>
                <w:rFonts w:cs="Arial"/>
                <w:sz w:val="20"/>
                <w:szCs w:val="20"/>
              </w:rPr>
              <w:t>, Python, Serpent noir, Lézzard</w:t>
            </w:r>
            <w:r w:rsidRPr="009D55A6">
              <w:rPr>
                <w:rFonts w:cs="Arial"/>
                <w:sz w:val="20"/>
                <w:szCs w:val="20"/>
                <w:vertAlign w:val="superscript"/>
              </w:rPr>
              <w:t>(+)</w:t>
            </w:r>
            <w:r w:rsidRPr="009D55A6">
              <w:rPr>
                <w:rFonts w:cs="Arial"/>
                <w:sz w:val="20"/>
                <w:szCs w:val="20"/>
              </w:rPr>
              <w:t xml:space="preserve"> ; </w:t>
            </w:r>
            <w:r w:rsidRPr="009D55A6">
              <w:rPr>
                <w:rFonts w:cs="Arial"/>
                <w:b/>
                <w:sz w:val="20"/>
                <w:szCs w:val="20"/>
              </w:rPr>
              <w:t>Faune aviaire :</w:t>
            </w:r>
            <w:r w:rsidRPr="009D55A6">
              <w:rPr>
                <w:rFonts w:cs="Arial"/>
                <w:sz w:val="20"/>
                <w:szCs w:val="20"/>
              </w:rPr>
              <w:t xml:space="preserve"> Canard, Canard d'eau, Heron goliath, Hirondelles, Bec-à-sabot, Hibou, Aiglette</w:t>
            </w:r>
            <w:r w:rsidRPr="009D55A6">
              <w:rPr>
                <w:rFonts w:cs="Arial"/>
                <w:sz w:val="20"/>
                <w:szCs w:val="20"/>
                <w:vertAlign w:val="superscript"/>
              </w:rPr>
              <w:t>(+)</w:t>
            </w:r>
            <w:r w:rsidRPr="009D55A6">
              <w:rPr>
                <w:rFonts w:cs="Arial"/>
                <w:sz w:val="20"/>
                <w:szCs w:val="20"/>
              </w:rPr>
              <w:t xml:space="preserve">, Poule, iglette pécheur, Heron plongio nain, Epervier, Pintades, Bec-à-ciseaux, Perdrix, Moineau, Tisserand, Pigeon ordinaire, Pigeon sauvage, Pelican, Corbeau, Marabout, Vaneau à tête noire, Vanneau couronne, Flamant rose, Martin pécheur ; </w:t>
            </w:r>
            <w:r w:rsidRPr="009D55A6">
              <w:rPr>
                <w:rFonts w:cs="Arial"/>
                <w:b/>
                <w:sz w:val="20"/>
                <w:szCs w:val="20"/>
              </w:rPr>
              <w:t>Faune aquatique</w:t>
            </w:r>
            <w:r w:rsidRPr="009D55A6">
              <w:rPr>
                <w:rFonts w:cs="Arial"/>
                <w:sz w:val="20"/>
                <w:szCs w:val="20"/>
              </w:rPr>
              <w:t xml:space="preserve"> : Bidet, Carpes, Goujon, Crevette, Crabe, Anguille jaune, Anguille noire, Poisson chat, Grand poisson chat, Tilapia noire, Tilapia rouge ; </w:t>
            </w:r>
            <w:r w:rsidRPr="009D55A6">
              <w:rPr>
                <w:rFonts w:cs="Arial"/>
                <w:b/>
                <w:sz w:val="20"/>
                <w:szCs w:val="20"/>
              </w:rPr>
              <w:t xml:space="preserve">batraciens : </w:t>
            </w:r>
            <w:r w:rsidRPr="009D55A6">
              <w:rPr>
                <w:rFonts w:cs="Arial"/>
                <w:sz w:val="20"/>
                <w:szCs w:val="20"/>
              </w:rPr>
              <w:t xml:space="preserve">Crapaud, Grenouilles ; </w:t>
            </w:r>
            <w:r w:rsidRPr="009D55A6">
              <w:rPr>
                <w:rFonts w:cs="Arial"/>
                <w:b/>
                <w:sz w:val="20"/>
                <w:szCs w:val="20"/>
              </w:rPr>
              <w:t>Myriapoda</w:t>
            </w:r>
            <w:r w:rsidRPr="009D55A6">
              <w:rPr>
                <w:rFonts w:cs="Arial"/>
                <w:sz w:val="20"/>
                <w:szCs w:val="20"/>
              </w:rPr>
              <w:t xml:space="preserve"> : Milles pattes ; </w:t>
            </w:r>
            <w:r w:rsidRPr="009D55A6">
              <w:rPr>
                <w:rFonts w:cs="Arial"/>
                <w:b/>
                <w:sz w:val="20"/>
                <w:szCs w:val="20"/>
              </w:rPr>
              <w:t xml:space="preserve">Mollusques : </w:t>
            </w:r>
            <w:r w:rsidRPr="009D55A6">
              <w:rPr>
                <w:rFonts w:cs="Arial"/>
                <w:sz w:val="20"/>
                <w:szCs w:val="20"/>
              </w:rPr>
              <w:t xml:space="preserve">Escargots. </w:t>
            </w:r>
          </w:p>
          <w:p w14:paraId="1D63B687" w14:textId="77777777" w:rsidR="001C2F95" w:rsidRPr="009D55A6" w:rsidRDefault="001C2F95" w:rsidP="00971FD2">
            <w:pPr>
              <w:textAlignment w:val="baseline"/>
              <w:rPr>
                <w:rFonts w:cs="Arial"/>
                <w:sz w:val="20"/>
                <w:szCs w:val="20"/>
              </w:rPr>
            </w:pPr>
            <w:r w:rsidRPr="009D55A6">
              <w:rPr>
                <w:rFonts w:cs="Arial"/>
                <w:b/>
                <w:sz w:val="20"/>
                <w:szCs w:val="20"/>
              </w:rPr>
              <w:t>Légende </w:t>
            </w:r>
            <w:r w:rsidRPr="009D55A6">
              <w:rPr>
                <w:rFonts w:cs="Arial"/>
                <w:sz w:val="20"/>
                <w:szCs w:val="20"/>
              </w:rPr>
              <w:t xml:space="preserve">: </w:t>
            </w:r>
            <w:r w:rsidRPr="009D55A6">
              <w:rPr>
                <w:rFonts w:cs="Arial"/>
                <w:sz w:val="20"/>
                <w:szCs w:val="20"/>
                <w:vertAlign w:val="superscript"/>
              </w:rPr>
              <w:t>(+) </w:t>
            </w:r>
            <w:r w:rsidRPr="009D55A6">
              <w:rPr>
                <w:rFonts w:cs="Arial"/>
                <w:sz w:val="20"/>
                <w:szCs w:val="20"/>
              </w:rPr>
              <w:t xml:space="preserve">: </w:t>
            </w:r>
            <w:r w:rsidRPr="009D55A6">
              <w:rPr>
                <w:rFonts w:cs="Arial"/>
                <w:bCs/>
                <w:i/>
                <w:sz w:val="20"/>
                <w:szCs w:val="20"/>
              </w:rPr>
              <w:t>Espèces rares ou en voie de disparition</w:t>
            </w:r>
          </w:p>
          <w:p w14:paraId="155E0CE5" w14:textId="77777777" w:rsidR="001C2F95" w:rsidRPr="009D55A6" w:rsidRDefault="001C2F95" w:rsidP="00971FD2">
            <w:pPr>
              <w:textAlignment w:val="baseline"/>
              <w:rPr>
                <w:rFonts w:cs="Arial"/>
                <w:i/>
                <w:sz w:val="20"/>
                <w:szCs w:val="20"/>
              </w:rPr>
            </w:pPr>
            <w:r w:rsidRPr="009D55A6">
              <w:rPr>
                <w:rFonts w:cs="Arial"/>
                <w:i/>
                <w:sz w:val="20"/>
                <w:szCs w:val="20"/>
              </w:rPr>
              <w:t>(</w:t>
            </w:r>
            <w:r w:rsidRPr="009D55A6">
              <w:rPr>
                <w:rFonts w:cs="Arial"/>
                <w:b/>
                <w:i/>
                <w:sz w:val="20"/>
                <w:szCs w:val="20"/>
              </w:rPr>
              <w:t>Source </w:t>
            </w:r>
            <w:r w:rsidRPr="009D55A6">
              <w:rPr>
                <w:rFonts w:cs="Arial"/>
                <w:i/>
                <w:sz w:val="20"/>
                <w:szCs w:val="20"/>
              </w:rPr>
              <w:t>: Languy M. et De Merode E. (2006). Virunga-Survie du premier parc d’Afrique).</w:t>
            </w:r>
          </w:p>
          <w:p w14:paraId="54217B57" w14:textId="77777777" w:rsidR="00EB7F94" w:rsidRPr="009D55A6" w:rsidRDefault="00EB7F94" w:rsidP="00971FD2">
            <w:pPr>
              <w:textAlignment w:val="baseline"/>
              <w:rPr>
                <w:rFonts w:cs="Arial"/>
                <w:b/>
                <w:i/>
                <w:color w:val="000000"/>
                <w:sz w:val="20"/>
                <w:szCs w:val="20"/>
              </w:rPr>
            </w:pPr>
          </w:p>
          <w:p w14:paraId="2385A3C1" w14:textId="77777777" w:rsidR="001C2F95" w:rsidRPr="009D55A6" w:rsidRDefault="001C2F95" w:rsidP="00971FD2">
            <w:pPr>
              <w:textAlignment w:val="baseline"/>
              <w:rPr>
                <w:rFonts w:cs="Arial"/>
                <w:b/>
                <w:i/>
                <w:color w:val="000000"/>
                <w:sz w:val="20"/>
                <w:szCs w:val="20"/>
              </w:rPr>
            </w:pPr>
            <w:r w:rsidRPr="009D55A6">
              <w:rPr>
                <w:rFonts w:cs="Arial"/>
                <w:b/>
                <w:i/>
                <w:color w:val="000000"/>
                <w:sz w:val="20"/>
                <w:szCs w:val="20"/>
              </w:rPr>
              <w:t>Végétation</w:t>
            </w:r>
          </w:p>
          <w:p w14:paraId="58E7F336" w14:textId="77777777" w:rsidR="001C2F95" w:rsidRPr="009D55A6" w:rsidRDefault="001C2F95" w:rsidP="00971FD2">
            <w:pPr>
              <w:textAlignment w:val="baseline"/>
              <w:rPr>
                <w:rFonts w:cs="Arial"/>
                <w:color w:val="000000"/>
                <w:sz w:val="20"/>
                <w:szCs w:val="20"/>
              </w:rPr>
            </w:pPr>
            <w:r w:rsidRPr="009D55A6">
              <w:rPr>
                <w:rFonts w:cs="Arial"/>
                <w:color w:val="000000"/>
                <w:sz w:val="20"/>
                <w:szCs w:val="20"/>
              </w:rPr>
              <w:t xml:space="preserve">Les principaux types de végétation de la Province du Nord- Kivu sont : </w:t>
            </w:r>
            <w:r w:rsidRPr="009D55A6">
              <w:rPr>
                <w:rFonts w:cs="Arial"/>
                <w:i/>
                <w:color w:val="000000"/>
                <w:sz w:val="20"/>
                <w:szCs w:val="20"/>
              </w:rPr>
              <w:t>(i)</w:t>
            </w:r>
            <w:r w:rsidRPr="009D55A6">
              <w:rPr>
                <w:rFonts w:cs="Arial"/>
                <w:color w:val="000000"/>
                <w:sz w:val="20"/>
                <w:szCs w:val="20"/>
              </w:rPr>
              <w:t xml:space="preserve"> les savanes dominantes dans les plaines alluviales de la Semliki et de la Rutshuru ; </w:t>
            </w:r>
            <w:r w:rsidRPr="009D55A6">
              <w:rPr>
                <w:rFonts w:cs="Arial"/>
                <w:i/>
                <w:color w:val="000000"/>
                <w:sz w:val="20"/>
                <w:szCs w:val="20"/>
              </w:rPr>
              <w:t>(ii)</w:t>
            </w:r>
            <w:r w:rsidRPr="009D55A6">
              <w:rPr>
                <w:rFonts w:cs="Arial"/>
                <w:color w:val="000000"/>
                <w:sz w:val="20"/>
                <w:szCs w:val="20"/>
              </w:rPr>
              <w:t xml:space="preserve"> les formations climatiques sclérophylles arbustives et forestières dans la plaine des laves au Nord du Lac Kivu ; </w:t>
            </w:r>
            <w:r w:rsidRPr="009D55A6">
              <w:rPr>
                <w:rFonts w:cs="Arial"/>
                <w:i/>
                <w:color w:val="000000"/>
                <w:sz w:val="20"/>
                <w:szCs w:val="20"/>
              </w:rPr>
              <w:t xml:space="preserve">(iii) </w:t>
            </w:r>
            <w:r w:rsidRPr="009D55A6">
              <w:rPr>
                <w:rFonts w:cs="Arial"/>
                <w:color w:val="000000"/>
                <w:sz w:val="20"/>
                <w:szCs w:val="20"/>
              </w:rPr>
              <w:t xml:space="preserve">les forêts ombrophiles de montagnes essentiellement dans les massifs de Ruwenzori et Virunga ; et </w:t>
            </w:r>
            <w:r w:rsidRPr="009D55A6">
              <w:rPr>
                <w:rFonts w:cs="Arial"/>
                <w:i/>
                <w:color w:val="000000"/>
                <w:sz w:val="20"/>
                <w:szCs w:val="20"/>
              </w:rPr>
              <w:t>(iv)</w:t>
            </w:r>
            <w:r w:rsidRPr="009D55A6">
              <w:rPr>
                <w:rFonts w:cs="Arial"/>
                <w:color w:val="000000"/>
                <w:sz w:val="20"/>
                <w:szCs w:val="20"/>
              </w:rPr>
              <w:t xml:space="preserve"> la forêt équatoriale dans les Territoires de Lubero, Masisi, Walikale et Beni.</w:t>
            </w:r>
          </w:p>
        </w:tc>
      </w:tr>
      <w:tr w:rsidR="001C2F95" w:rsidRPr="001857F5" w14:paraId="79B840F2"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680486AA" w14:textId="77777777" w:rsidR="001C2F95" w:rsidRPr="009D55A6" w:rsidRDefault="001C2F95" w:rsidP="00971FD2">
            <w:pPr>
              <w:rPr>
                <w:rFonts w:eastAsia="Calibri" w:cs="Arial"/>
                <w:b/>
                <w:sz w:val="20"/>
                <w:szCs w:val="20"/>
              </w:rPr>
            </w:pPr>
            <w:r w:rsidRPr="009D55A6">
              <w:rPr>
                <w:rFonts w:eastAsia="Calibri" w:cs="Arial"/>
                <w:b/>
                <w:sz w:val="20"/>
                <w:szCs w:val="20"/>
              </w:rPr>
              <w:t>Populations</w:t>
            </w:r>
          </w:p>
        </w:tc>
        <w:tc>
          <w:tcPr>
            <w:tcW w:w="11287" w:type="dxa"/>
            <w:tcBorders>
              <w:top w:val="single" w:sz="4" w:space="0" w:color="000001"/>
              <w:left w:val="single" w:sz="4" w:space="0" w:color="000001"/>
              <w:bottom w:val="single" w:sz="4" w:space="0" w:color="000001"/>
              <w:right w:val="single" w:sz="4" w:space="0" w:color="000001"/>
            </w:tcBorders>
          </w:tcPr>
          <w:p w14:paraId="10AF1202" w14:textId="77777777" w:rsidR="001C2F95" w:rsidRPr="009D55A6" w:rsidRDefault="001C2F95" w:rsidP="00971FD2">
            <w:pPr>
              <w:textAlignment w:val="baseline"/>
              <w:rPr>
                <w:rFonts w:cs="Arial"/>
                <w:b/>
                <w:i/>
                <w:color w:val="000000"/>
                <w:sz w:val="20"/>
                <w:szCs w:val="20"/>
              </w:rPr>
            </w:pPr>
            <w:r w:rsidRPr="009D55A6">
              <w:rPr>
                <w:rFonts w:cs="Arial"/>
                <w:b/>
                <w:i/>
                <w:color w:val="000000"/>
                <w:sz w:val="20"/>
                <w:szCs w:val="20"/>
              </w:rPr>
              <w:t xml:space="preserve">Caractéristiques démographiques </w:t>
            </w:r>
          </w:p>
          <w:p w14:paraId="27529FEF" w14:textId="77777777" w:rsidR="001C2F95" w:rsidRPr="009D55A6" w:rsidRDefault="001C2F95" w:rsidP="00971FD2">
            <w:pPr>
              <w:textAlignment w:val="baseline"/>
              <w:rPr>
                <w:rFonts w:cs="Arial"/>
                <w:color w:val="000000"/>
                <w:sz w:val="20"/>
                <w:szCs w:val="20"/>
              </w:rPr>
            </w:pPr>
            <w:r w:rsidRPr="009D55A6">
              <w:rPr>
                <w:rFonts w:cs="Arial"/>
                <w:color w:val="000000"/>
                <w:sz w:val="20"/>
                <w:szCs w:val="20"/>
              </w:rPr>
              <w:t>La Province du Nord – Kivu s’étend sur une surface de 59 631 km² (soit 2,5% de la superficie nationale) avec une population de 6 655 000 hab (PNDS, 2016) et une densité de 102 habitants par km². L’espérance de vie de sa population est estimée à la naissance à 43,7 ans. Son Chef-lieu est la Ville de Goma hébergeant environ 493 993 habitants.</w:t>
            </w:r>
            <w:r w:rsidRPr="009D55A6">
              <w:rPr>
                <w:rFonts w:cs="Arial"/>
                <w:sz w:val="20"/>
                <w:szCs w:val="20"/>
              </w:rPr>
              <w:t xml:space="preserve"> </w:t>
            </w:r>
            <w:r w:rsidRPr="009D55A6">
              <w:rPr>
                <w:rFonts w:cs="Arial"/>
                <w:color w:val="000000"/>
                <w:sz w:val="20"/>
                <w:szCs w:val="20"/>
              </w:rPr>
              <w:t>Sur le plan administratif, la Province du Nord- Kivu est subdivisée en 6 Territoires (Beni, Lubero, Rutshuru, Masisi, Nyiragongo et Walikale). Goma reste le chef-lieu, 3 Villes, 10 Communes, 17 Collectivités dont 10 Chefferies et 7 Secteurs, 97 Groupements, 5 Cités, 5 178 Villages.</w:t>
            </w:r>
          </w:p>
          <w:p w14:paraId="27CE590F" w14:textId="77777777" w:rsidR="001C2F95" w:rsidRPr="009D55A6" w:rsidRDefault="001C2F95" w:rsidP="00971FD2">
            <w:pPr>
              <w:textAlignment w:val="baseline"/>
              <w:rPr>
                <w:rFonts w:cs="Arial"/>
                <w:color w:val="000000"/>
                <w:sz w:val="20"/>
                <w:szCs w:val="20"/>
              </w:rPr>
            </w:pPr>
            <w:r w:rsidRPr="009D55A6">
              <w:rPr>
                <w:rFonts w:cs="Arial"/>
                <w:color w:val="000000"/>
                <w:sz w:val="20"/>
                <w:szCs w:val="20"/>
              </w:rPr>
              <w:t>L‛afflux des réfugiés rwandais en Juillet 1994 aurait encore quadruplé ces effectifs, car les estimations des réfugiés à cette époque étaient au-delà d‛un million. Au niveau des échanges migratoires inter-régionaux, les résultats du recensement scientifique de 1984 ont montré que c‛est surtout les populations du Kasaï Oriental, à l’époque, qui déferlaient dans l‛ancien Kivu. Et aujourd‛hui pour le Nord-Kivu, ce sont toujours les mêmes Kasaïens avec les Bashi du Sud-Kivu, les Banyarwandas du Rwanda et les populations de Maniema.</w:t>
            </w:r>
          </w:p>
          <w:p w14:paraId="323B67FF" w14:textId="77777777" w:rsidR="001C2F95" w:rsidRPr="009D55A6" w:rsidRDefault="001C2F95" w:rsidP="00971FD2">
            <w:pPr>
              <w:textAlignment w:val="baseline"/>
              <w:rPr>
                <w:rFonts w:cs="Arial"/>
                <w:color w:val="000000"/>
                <w:sz w:val="20"/>
                <w:szCs w:val="20"/>
              </w:rPr>
            </w:pPr>
          </w:p>
          <w:p w14:paraId="2C11696B" w14:textId="77777777" w:rsidR="001C2F95" w:rsidRPr="009D55A6" w:rsidRDefault="001C2F95" w:rsidP="00971FD2">
            <w:pPr>
              <w:textAlignment w:val="baseline"/>
              <w:rPr>
                <w:rFonts w:cs="Arial"/>
                <w:b/>
                <w:i/>
                <w:color w:val="000000"/>
                <w:sz w:val="20"/>
                <w:szCs w:val="20"/>
              </w:rPr>
            </w:pPr>
            <w:r w:rsidRPr="009D55A6">
              <w:rPr>
                <w:rFonts w:cs="Arial"/>
                <w:b/>
                <w:i/>
                <w:color w:val="000000"/>
                <w:sz w:val="20"/>
                <w:szCs w:val="20"/>
              </w:rPr>
              <w:t xml:space="preserve">Ethnies </w:t>
            </w:r>
          </w:p>
          <w:p w14:paraId="33060829" w14:textId="77777777" w:rsidR="001C2F95" w:rsidRPr="009D55A6" w:rsidRDefault="001C2F95" w:rsidP="00971FD2">
            <w:pPr>
              <w:textAlignment w:val="baseline"/>
              <w:rPr>
                <w:rFonts w:cs="Arial"/>
                <w:color w:val="000000"/>
                <w:sz w:val="20"/>
                <w:szCs w:val="20"/>
              </w:rPr>
            </w:pPr>
            <w:r w:rsidRPr="009D55A6">
              <w:rPr>
                <w:rFonts w:cs="Arial"/>
                <w:color w:val="000000"/>
                <w:sz w:val="20"/>
                <w:szCs w:val="20"/>
              </w:rPr>
              <w:t>Les Ethnies MBOBA, TALINGA, TEMBO et MBUTE compte tenu de leur importance démographique, regroupent un pourcentage faible de la population autochtone. Et par conséquent, elles peuvent être considérées comme des groupes ethniques minoritaires dans la Province.</w:t>
            </w:r>
          </w:p>
          <w:p w14:paraId="0973E204" w14:textId="77777777" w:rsidR="001C2F95" w:rsidRPr="009D55A6" w:rsidRDefault="001C2F95" w:rsidP="00971FD2">
            <w:pPr>
              <w:textAlignment w:val="baseline"/>
              <w:rPr>
                <w:rFonts w:cs="Arial"/>
                <w:color w:val="000000"/>
                <w:sz w:val="20"/>
                <w:szCs w:val="20"/>
              </w:rPr>
            </w:pPr>
          </w:p>
          <w:p w14:paraId="3DB2741E" w14:textId="77777777" w:rsidR="001C2F95" w:rsidRPr="009D55A6" w:rsidRDefault="001C2F95" w:rsidP="00971FD2">
            <w:pPr>
              <w:textAlignment w:val="baseline"/>
              <w:rPr>
                <w:rFonts w:cs="Arial"/>
                <w:color w:val="000000"/>
                <w:sz w:val="20"/>
                <w:szCs w:val="20"/>
              </w:rPr>
            </w:pPr>
            <w:r w:rsidRPr="009D55A6">
              <w:rPr>
                <w:rFonts w:cs="Arial"/>
                <w:b/>
                <w:i/>
                <w:color w:val="000000"/>
                <w:sz w:val="20"/>
                <w:szCs w:val="20"/>
              </w:rPr>
              <w:t>Langues parlées</w:t>
            </w:r>
            <w:r w:rsidRPr="009D55A6">
              <w:rPr>
                <w:rFonts w:cs="Arial"/>
                <w:color w:val="000000"/>
                <w:sz w:val="20"/>
                <w:szCs w:val="20"/>
              </w:rPr>
              <w:t> : le Swahili et le Français.</w:t>
            </w:r>
          </w:p>
          <w:p w14:paraId="021D7360" w14:textId="77777777" w:rsidR="001C2F95" w:rsidRPr="009D55A6" w:rsidRDefault="001C2F95" w:rsidP="00971FD2">
            <w:pPr>
              <w:textAlignment w:val="baseline"/>
              <w:rPr>
                <w:rFonts w:cs="Arial"/>
                <w:color w:val="000000"/>
                <w:sz w:val="20"/>
                <w:szCs w:val="20"/>
              </w:rPr>
            </w:pPr>
          </w:p>
          <w:p w14:paraId="3EDFE080" w14:textId="77777777" w:rsidR="001C2F95" w:rsidRPr="009D55A6" w:rsidRDefault="001C2F95" w:rsidP="00971FD2">
            <w:pPr>
              <w:textAlignment w:val="baseline"/>
              <w:rPr>
                <w:rFonts w:cs="Arial"/>
                <w:b/>
                <w:i/>
                <w:color w:val="000000"/>
                <w:sz w:val="20"/>
                <w:szCs w:val="20"/>
              </w:rPr>
            </w:pPr>
            <w:r w:rsidRPr="009D55A6">
              <w:rPr>
                <w:rFonts w:cs="Arial"/>
                <w:b/>
                <w:i/>
                <w:color w:val="000000"/>
                <w:sz w:val="20"/>
                <w:szCs w:val="20"/>
              </w:rPr>
              <w:t>Populations Autochtones (PA)</w:t>
            </w:r>
          </w:p>
          <w:p w14:paraId="2DB451F0" w14:textId="77777777" w:rsidR="001C2F95" w:rsidRPr="009D55A6" w:rsidRDefault="001C2F95" w:rsidP="00971FD2">
            <w:pPr>
              <w:textAlignment w:val="baseline"/>
              <w:rPr>
                <w:rFonts w:cs="Arial"/>
                <w:color w:val="000000"/>
                <w:sz w:val="20"/>
                <w:szCs w:val="20"/>
              </w:rPr>
            </w:pPr>
            <w:r w:rsidRPr="009D55A6">
              <w:rPr>
                <w:rFonts w:cs="Arial"/>
                <w:color w:val="000000"/>
                <w:sz w:val="20"/>
                <w:szCs w:val="20"/>
              </w:rPr>
              <w:t>Il existe dans les populations autochtones de la Province du Nord- Kivu des Pypmoïdes, des Bantous et des Nilotiques. Les communautés autochtones comprennent les MBUTE qui occupent la partie forestière du Nord-Kivu où ils pratiquent la chasse et la cueillette dans le cadre d‛une vie de nomadisme. On les retrouve dans les Territoires de Masisi, Beni, Walikale, Rutshuru et Lubero. Leur mode de vie est en recul à cause de la destruction de la forêt, leur habitat naturel et aussi de l‛influence des tribus bantous voisines. Les PIRI du Territoire de Beni sont plus réceptifs à cette évolution car on rencontre de plus en plus d‛agriculteurs/-trices parmi eux.</w:t>
            </w:r>
          </w:p>
        </w:tc>
      </w:tr>
      <w:tr w:rsidR="001C2F95" w:rsidRPr="00982564" w14:paraId="1BA40185"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CA07F2C" w14:textId="77777777" w:rsidR="001C2F95" w:rsidRPr="009D55A6" w:rsidRDefault="001C2F95" w:rsidP="00971FD2">
            <w:pPr>
              <w:rPr>
                <w:rFonts w:eastAsia="Calibri" w:cs="Arial"/>
                <w:b/>
                <w:sz w:val="20"/>
                <w:szCs w:val="20"/>
              </w:rPr>
            </w:pPr>
            <w:r w:rsidRPr="009D55A6">
              <w:rPr>
                <w:rFonts w:eastAsia="Calibri" w:cs="Arial"/>
                <w:b/>
                <w:sz w:val="20"/>
                <w:szCs w:val="20"/>
              </w:rPr>
              <w:t>Situation sécuritaire</w:t>
            </w:r>
          </w:p>
        </w:tc>
        <w:tc>
          <w:tcPr>
            <w:tcW w:w="11287" w:type="dxa"/>
            <w:tcBorders>
              <w:top w:val="single" w:sz="4" w:space="0" w:color="000001"/>
              <w:left w:val="single" w:sz="4" w:space="0" w:color="000001"/>
              <w:bottom w:val="single" w:sz="4" w:space="0" w:color="000001"/>
              <w:right w:val="single" w:sz="4" w:space="0" w:color="000001"/>
            </w:tcBorders>
          </w:tcPr>
          <w:p w14:paraId="243B8D2F" w14:textId="77777777" w:rsidR="001C2F95" w:rsidRPr="009D55A6" w:rsidRDefault="001C2F95" w:rsidP="00971FD2">
            <w:pPr>
              <w:textAlignment w:val="baseline"/>
              <w:rPr>
                <w:rFonts w:cs="Arial"/>
                <w:b/>
                <w:i/>
                <w:color w:val="000000"/>
                <w:sz w:val="20"/>
                <w:szCs w:val="20"/>
              </w:rPr>
            </w:pPr>
            <w:r w:rsidRPr="009D55A6">
              <w:rPr>
                <w:rFonts w:cs="Arial"/>
                <w:color w:val="000000"/>
                <w:sz w:val="20"/>
                <w:szCs w:val="20"/>
              </w:rPr>
              <w:t xml:space="preserve">Le contexte sécuritaire extrêmement précaire est dominé par l’activisme et incursions des groupes armés contre les populations civiles, ainsi que la poursuite des opérations militaires lancées en début 2014 contre des groupes armés dans plusieurs Territoires. De manière générale, la situation sécuritaire dans la Province est marquée par : </w:t>
            </w:r>
            <w:r w:rsidRPr="009D55A6">
              <w:rPr>
                <w:rFonts w:cs="Arial"/>
                <w:i/>
                <w:color w:val="000000"/>
                <w:sz w:val="20"/>
                <w:szCs w:val="20"/>
              </w:rPr>
              <w:t xml:space="preserve">(i) </w:t>
            </w:r>
            <w:r w:rsidRPr="009D55A6">
              <w:rPr>
                <w:rFonts w:cs="Arial"/>
                <w:color w:val="000000"/>
                <w:sz w:val="20"/>
                <w:szCs w:val="20"/>
              </w:rPr>
              <w:t xml:space="preserve">De nombreux cas d’attaques de localités et villages, et de représailles contre la population civile par un grand nombre de groupes armés à travers la Province (ADF, FDLR, APLCS, Cheka, Mayi-Mayi et autres), avec une concentration particulièrement forte dans les territoires de Beni, Masisi, Lubero, Rutshuru et Walikale ; </w:t>
            </w:r>
            <w:r w:rsidRPr="009D55A6">
              <w:rPr>
                <w:rFonts w:cs="Arial"/>
                <w:i/>
                <w:color w:val="000000"/>
                <w:sz w:val="20"/>
                <w:szCs w:val="20"/>
              </w:rPr>
              <w:t xml:space="preserve">(ii) </w:t>
            </w:r>
            <w:r w:rsidRPr="009D55A6">
              <w:rPr>
                <w:rFonts w:cs="Arial"/>
                <w:color w:val="000000"/>
                <w:sz w:val="20"/>
                <w:szCs w:val="20"/>
              </w:rPr>
              <w:t xml:space="preserve">Activisme fortement accru d’hommes armés présumés ADF dans plusieurs zones  du Territoire et la Ville de Beni, avec une série d’attaques violentes contre les civils ; </w:t>
            </w:r>
            <w:r w:rsidRPr="009D55A6">
              <w:rPr>
                <w:rFonts w:cs="Arial"/>
                <w:i/>
                <w:color w:val="000000"/>
                <w:sz w:val="20"/>
                <w:szCs w:val="20"/>
              </w:rPr>
              <w:t>(iii)</w:t>
            </w:r>
            <w:r w:rsidRPr="009D55A6">
              <w:rPr>
                <w:rFonts w:cs="Arial"/>
                <w:color w:val="000000"/>
                <w:sz w:val="20"/>
                <w:szCs w:val="20"/>
              </w:rPr>
              <w:t xml:space="preserve"> Combats entre groupes armés dans les territoires de Lubero et Walikale, occasionnant de mouvements importants de population vers la zone de Pinga et vers le sud Lubero ; </w:t>
            </w:r>
            <w:r w:rsidRPr="009D55A6">
              <w:rPr>
                <w:rFonts w:cs="Arial"/>
                <w:i/>
                <w:color w:val="000000"/>
                <w:sz w:val="20"/>
                <w:szCs w:val="20"/>
              </w:rPr>
              <w:t>(iv)</w:t>
            </w:r>
            <w:r w:rsidRPr="009D55A6">
              <w:rPr>
                <w:rFonts w:cs="Arial"/>
                <w:color w:val="000000"/>
                <w:sz w:val="20"/>
                <w:szCs w:val="20"/>
              </w:rPr>
              <w:t xml:space="preserve"> Poursuite des opérations militaires des FARDC contre des groupes armés dans les Territoires de Beni, Rutshuru et Walikale ; </w:t>
            </w:r>
            <w:r w:rsidRPr="009D55A6">
              <w:rPr>
                <w:rFonts w:cs="Arial"/>
                <w:i/>
                <w:color w:val="000000"/>
                <w:sz w:val="20"/>
                <w:szCs w:val="20"/>
              </w:rPr>
              <w:t>(v)</w:t>
            </w:r>
            <w:r w:rsidRPr="009D55A6">
              <w:rPr>
                <w:rFonts w:cs="Arial"/>
                <w:color w:val="000000"/>
                <w:sz w:val="20"/>
                <w:szCs w:val="20"/>
              </w:rPr>
              <w:t xml:space="preserve"> Banditisme et insécurité dans de nombreuses parties de la Province.</w:t>
            </w:r>
          </w:p>
        </w:tc>
      </w:tr>
      <w:tr w:rsidR="001C2F95" w:rsidRPr="00982564" w14:paraId="5B5DE1D8"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DDAFCB1" w14:textId="77777777" w:rsidR="001C2F95" w:rsidRPr="009D55A6" w:rsidRDefault="001C2F95" w:rsidP="00971FD2">
            <w:pPr>
              <w:rPr>
                <w:rFonts w:eastAsia="Calibri" w:cs="Arial"/>
                <w:b/>
                <w:sz w:val="20"/>
                <w:szCs w:val="20"/>
              </w:rPr>
            </w:pPr>
            <w:r w:rsidRPr="009D55A6">
              <w:rPr>
                <w:rFonts w:eastAsia="Calibri" w:cs="Arial"/>
                <w:b/>
                <w:sz w:val="20"/>
                <w:szCs w:val="20"/>
              </w:rPr>
              <w:t>Activités principales de la population</w:t>
            </w:r>
          </w:p>
        </w:tc>
        <w:tc>
          <w:tcPr>
            <w:tcW w:w="11287" w:type="dxa"/>
            <w:tcBorders>
              <w:top w:val="single" w:sz="4" w:space="0" w:color="000001"/>
              <w:left w:val="single" w:sz="4" w:space="0" w:color="000001"/>
              <w:bottom w:val="single" w:sz="4" w:space="0" w:color="000001"/>
              <w:right w:val="single" w:sz="4" w:space="0" w:color="000001"/>
            </w:tcBorders>
          </w:tcPr>
          <w:p w14:paraId="551D070A" w14:textId="77777777" w:rsidR="001C2F95" w:rsidRPr="009D55A6" w:rsidRDefault="001C2F95" w:rsidP="00971FD2">
            <w:pPr>
              <w:spacing w:line="240" w:lineRule="auto"/>
              <w:jc w:val="left"/>
              <w:outlineLvl w:val="5"/>
              <w:rPr>
                <w:rFonts w:cs="Arial"/>
                <w:b/>
                <w:color w:val="000000"/>
                <w:sz w:val="20"/>
                <w:szCs w:val="20"/>
              </w:rPr>
            </w:pPr>
            <w:r w:rsidRPr="009D55A6">
              <w:rPr>
                <w:rFonts w:cs="Arial"/>
                <w:b/>
                <w:color w:val="000000"/>
                <w:sz w:val="20"/>
                <w:szCs w:val="20"/>
              </w:rPr>
              <w:t>Agriculture</w:t>
            </w:r>
          </w:p>
          <w:p w14:paraId="55A3E479" w14:textId="77777777" w:rsidR="001C2F95" w:rsidRPr="009D55A6" w:rsidRDefault="001C2F95" w:rsidP="00971FD2">
            <w:pPr>
              <w:spacing w:line="300" w:lineRule="atLeast"/>
              <w:rPr>
                <w:rFonts w:cs="Arial"/>
                <w:color w:val="000000"/>
                <w:sz w:val="20"/>
                <w:szCs w:val="20"/>
              </w:rPr>
            </w:pPr>
            <w:r w:rsidRPr="009D55A6">
              <w:rPr>
                <w:rFonts w:cs="Arial"/>
                <w:color w:val="000000"/>
                <w:sz w:val="20"/>
                <w:szCs w:val="20"/>
              </w:rPr>
              <w:t xml:space="preserve">Le secteur traditionnel est caractérisé </w:t>
            </w:r>
            <w:r w:rsidRPr="009D55A6">
              <w:rPr>
                <w:rFonts w:cs="Arial"/>
                <w:sz w:val="20"/>
                <w:szCs w:val="20"/>
              </w:rPr>
              <w:t>par l‛insuffisance des superficies, d‛intrants agricoles, de paysans, main-d‛œuvre. Il constitue la totalité de l‛agriculture. Ainsi, la culture du manioc est très préférée par les paysans et n‛est pas très exigeante et constitue un aliment de réserve. La pâte de manioc ou Ugali ainsi que ses feuilles constituent les légumes « Sombe » sont réguliers à chaque repas de beaucoup de ménages au Nord- Kivu. La culture de manioc est attaquée par la mosaïque et est cultivée sur toute l‛étendue de la Province. Il faudra un programme de multiplication et de diffusion des boutures saines de manioc résistantes à la mosaïque.</w:t>
            </w:r>
          </w:p>
          <w:p w14:paraId="0B80C7A2" w14:textId="77777777" w:rsidR="001C2F95" w:rsidRPr="009D55A6" w:rsidRDefault="001C2F95" w:rsidP="00971FD2">
            <w:pPr>
              <w:spacing w:line="300" w:lineRule="atLeast"/>
              <w:rPr>
                <w:rFonts w:cs="Arial"/>
                <w:color w:val="000000"/>
                <w:sz w:val="20"/>
                <w:szCs w:val="20"/>
              </w:rPr>
            </w:pPr>
            <w:r w:rsidRPr="009D55A6">
              <w:rPr>
                <w:rFonts w:cs="Arial"/>
                <w:color w:val="000000"/>
                <w:sz w:val="20"/>
                <w:szCs w:val="20"/>
              </w:rPr>
              <w:br/>
              <w:t xml:space="preserve">Le mais est souvent cultivé souvent en association avec le manioc, arachide, haricot est pratiquée sur toute l‛étendue de la Province. Le maïs constitue un aliment de base et consommé sous forme de la pâte, épis ou bouillie. Il est utilisé comme matière première dans la préparation de l‛alcool traditionnel « LOTOKO » et de la bière « MANDRAKWA ». </w:t>
            </w:r>
          </w:p>
          <w:p w14:paraId="667744E0" w14:textId="77777777" w:rsidR="001C2F95" w:rsidRPr="009D55A6" w:rsidRDefault="001C2F95" w:rsidP="00971FD2">
            <w:pPr>
              <w:spacing w:line="300" w:lineRule="atLeast"/>
              <w:rPr>
                <w:rFonts w:cs="Arial"/>
                <w:color w:val="000000"/>
                <w:sz w:val="20"/>
                <w:szCs w:val="20"/>
              </w:rPr>
            </w:pPr>
            <w:r w:rsidRPr="009D55A6">
              <w:rPr>
                <w:rFonts w:cs="Arial"/>
                <w:color w:val="000000"/>
                <w:sz w:val="20"/>
                <w:szCs w:val="20"/>
              </w:rPr>
              <w:t xml:space="preserve">La banane plantain, banane douce ou « Bisamunyu » et banane fruit sont toutes destinées à la commercialisation alimentaire. La variété amère est destinée à la fabrication de la bière de banane « le KASIKISI ». Le surplus de la production est commercialisé dans les centres urbains et les pays limitrophes Uganda et le Rwanda. </w:t>
            </w:r>
          </w:p>
          <w:p w14:paraId="089A39F8" w14:textId="77777777" w:rsidR="001C2F95" w:rsidRPr="009D55A6" w:rsidRDefault="001C2F95" w:rsidP="00971FD2">
            <w:pPr>
              <w:spacing w:line="300" w:lineRule="atLeast"/>
              <w:rPr>
                <w:rFonts w:cs="Arial"/>
                <w:color w:val="000000"/>
                <w:sz w:val="20"/>
                <w:szCs w:val="20"/>
              </w:rPr>
            </w:pPr>
            <w:r w:rsidRPr="009D55A6">
              <w:rPr>
                <w:rFonts w:cs="Arial"/>
                <w:color w:val="000000"/>
                <w:sz w:val="20"/>
                <w:szCs w:val="20"/>
              </w:rPr>
              <w:br/>
            </w:r>
            <w:r w:rsidRPr="009D55A6">
              <w:rPr>
                <w:rFonts w:cs="Arial"/>
                <w:sz w:val="20"/>
                <w:szCs w:val="20"/>
              </w:rPr>
              <w:t xml:space="preserve">L’Est de la province est </w:t>
            </w:r>
            <w:r w:rsidRPr="009D55A6">
              <w:rPr>
                <w:rFonts w:cs="Arial"/>
                <w:color w:val="000000"/>
                <w:sz w:val="20"/>
                <w:szCs w:val="20"/>
              </w:rPr>
              <w:t xml:space="preserve">propice à la culture du climat tempéré de haute altitude. Le Territoire de Lubero en est le plus grand producteur suivi du Territoire de Nyiragongo. La plus grande quantité commercialisée est acheminée vers les grands centres de consommation : Kinshasa – Kisangani – Mbuji-Mayi, etc. Les variétés les plus cultivées sont Mabouro et Gahinga en provenance du Rwanda. </w:t>
            </w:r>
          </w:p>
          <w:p w14:paraId="1FAE847C" w14:textId="77777777" w:rsidR="001C2F95" w:rsidRPr="009D55A6" w:rsidRDefault="001C2F95" w:rsidP="00971FD2">
            <w:pPr>
              <w:spacing w:line="300" w:lineRule="atLeast"/>
              <w:rPr>
                <w:rFonts w:cs="Arial"/>
                <w:color w:val="000000"/>
                <w:sz w:val="20"/>
                <w:szCs w:val="20"/>
              </w:rPr>
            </w:pPr>
            <w:r w:rsidRPr="009D55A6">
              <w:rPr>
                <w:rFonts w:cs="Arial"/>
                <w:color w:val="000000"/>
                <w:sz w:val="20"/>
                <w:szCs w:val="20"/>
              </w:rPr>
              <w:t>Les principaux légumes sont : Choux de chine, les choux rouges, le poireau, l’oignon, l‘aubergine, le concombre, la carotte, la tomate, la laitue, etc. Les Territoires les plus maraîchers sont : Lubero et Nyiragongo, les sols, le climat, le relief y sont favorables.</w:t>
            </w:r>
          </w:p>
          <w:p w14:paraId="051D5507" w14:textId="77777777" w:rsidR="001C2F95" w:rsidRPr="009D55A6" w:rsidRDefault="001C2F95" w:rsidP="00971FD2">
            <w:pPr>
              <w:spacing w:line="300" w:lineRule="atLeast"/>
              <w:rPr>
                <w:rFonts w:cs="Arial"/>
                <w:color w:val="000000"/>
                <w:sz w:val="20"/>
                <w:szCs w:val="20"/>
              </w:rPr>
            </w:pPr>
          </w:p>
          <w:p w14:paraId="5153A810" w14:textId="77777777" w:rsidR="001C2F95" w:rsidRPr="009D55A6" w:rsidRDefault="001C2F95" w:rsidP="00971FD2">
            <w:pPr>
              <w:spacing w:line="300" w:lineRule="atLeast"/>
              <w:rPr>
                <w:rFonts w:cs="Arial"/>
                <w:b/>
                <w:color w:val="000000"/>
                <w:sz w:val="20"/>
                <w:szCs w:val="20"/>
              </w:rPr>
            </w:pPr>
            <w:r w:rsidRPr="009D55A6">
              <w:rPr>
                <w:rFonts w:cs="Arial"/>
                <w:color w:val="333333"/>
                <w:sz w:val="20"/>
                <w:szCs w:val="20"/>
                <w:shd w:val="clear" w:color="auto" w:fill="FFFFFF"/>
              </w:rPr>
              <w:t>Le haricot est la légumineuse cultivée sur toute l‛étendue de la Province du Nord-Kivu. La dégénérescence de certaines variétés est une contrainte majeure.</w:t>
            </w:r>
          </w:p>
          <w:p w14:paraId="11634256" w14:textId="77777777" w:rsidR="001C2F95" w:rsidRDefault="001C2F95" w:rsidP="00971FD2">
            <w:pPr>
              <w:spacing w:line="300" w:lineRule="atLeast"/>
              <w:rPr>
                <w:rFonts w:cs="Arial"/>
                <w:b/>
                <w:color w:val="000000"/>
                <w:sz w:val="20"/>
                <w:szCs w:val="20"/>
              </w:rPr>
            </w:pPr>
          </w:p>
          <w:p w14:paraId="0B1B792B" w14:textId="77777777" w:rsidR="003142D9" w:rsidRDefault="003142D9" w:rsidP="00971FD2">
            <w:pPr>
              <w:spacing w:line="300" w:lineRule="atLeast"/>
              <w:rPr>
                <w:rFonts w:cs="Arial"/>
                <w:b/>
                <w:color w:val="000000"/>
                <w:sz w:val="20"/>
                <w:szCs w:val="20"/>
              </w:rPr>
            </w:pPr>
          </w:p>
          <w:p w14:paraId="38040CE9" w14:textId="77777777" w:rsidR="003142D9" w:rsidRPr="009D55A6" w:rsidRDefault="003142D9" w:rsidP="00971FD2">
            <w:pPr>
              <w:spacing w:line="300" w:lineRule="atLeast"/>
              <w:rPr>
                <w:rFonts w:cs="Arial"/>
                <w:b/>
                <w:color w:val="000000"/>
                <w:sz w:val="20"/>
                <w:szCs w:val="20"/>
              </w:rPr>
            </w:pPr>
          </w:p>
          <w:p w14:paraId="27F48C86" w14:textId="77777777" w:rsidR="001C2F95" w:rsidRPr="009D55A6" w:rsidRDefault="001C2F95" w:rsidP="00971FD2">
            <w:pPr>
              <w:spacing w:line="300" w:lineRule="atLeast"/>
              <w:rPr>
                <w:rFonts w:cs="Arial"/>
                <w:b/>
                <w:color w:val="000000"/>
                <w:sz w:val="20"/>
                <w:szCs w:val="20"/>
              </w:rPr>
            </w:pPr>
            <w:r w:rsidRPr="009D55A6">
              <w:rPr>
                <w:rFonts w:cs="Arial"/>
                <w:b/>
                <w:color w:val="000000"/>
                <w:sz w:val="20"/>
                <w:szCs w:val="20"/>
              </w:rPr>
              <w:t>Élevage</w:t>
            </w:r>
          </w:p>
          <w:p w14:paraId="6BBFBBC1" w14:textId="77777777" w:rsidR="001C2F95" w:rsidRPr="009D55A6" w:rsidRDefault="001C2F95" w:rsidP="00971FD2">
            <w:pPr>
              <w:spacing w:line="300" w:lineRule="atLeast"/>
              <w:rPr>
                <w:rFonts w:cs="Arial"/>
                <w:b/>
                <w:color w:val="000000"/>
                <w:sz w:val="20"/>
                <w:szCs w:val="20"/>
              </w:rPr>
            </w:pPr>
          </w:p>
          <w:p w14:paraId="3592DB77" w14:textId="77777777" w:rsidR="001C2F95" w:rsidRPr="009D55A6" w:rsidRDefault="001C2F95" w:rsidP="00971FD2">
            <w:pPr>
              <w:jc w:val="left"/>
              <w:textAlignment w:val="baseline"/>
              <w:rPr>
                <w:rFonts w:cs="Arial"/>
                <w:color w:val="000000"/>
                <w:sz w:val="20"/>
                <w:szCs w:val="20"/>
              </w:rPr>
            </w:pPr>
            <w:r w:rsidRPr="009D55A6">
              <w:rPr>
                <w:rFonts w:cs="Arial"/>
                <w:color w:val="000000"/>
                <w:sz w:val="20"/>
                <w:szCs w:val="20"/>
              </w:rPr>
              <w:t>La Province du Nord-Kivu est favorable à l‛élevage. On y pratique deux  types d‛élevage :</w:t>
            </w:r>
            <w:r w:rsidRPr="009D55A6">
              <w:rPr>
                <w:rFonts w:cs="Arial"/>
                <w:color w:val="000000"/>
                <w:sz w:val="20"/>
                <w:szCs w:val="20"/>
              </w:rPr>
              <w:br/>
              <w:t xml:space="preserve">L‛élevage traditionnel : est exercé par de petits éleveurs ayant un nombre réduit de bovins ou nomadisme avec la race Ankole rustique et résistante aux maladies. </w:t>
            </w:r>
            <w:r w:rsidRPr="009D55A6">
              <w:rPr>
                <w:rFonts w:cs="Arial"/>
                <w:color w:val="000000"/>
                <w:sz w:val="20"/>
                <w:szCs w:val="20"/>
              </w:rPr>
              <w:br/>
            </w:r>
          </w:p>
          <w:p w14:paraId="5DFA43EA" w14:textId="77777777" w:rsidR="001C2F95" w:rsidRPr="009D55A6" w:rsidRDefault="001C2F95" w:rsidP="00971FD2">
            <w:pPr>
              <w:jc w:val="left"/>
              <w:textAlignment w:val="baseline"/>
              <w:rPr>
                <w:rFonts w:cs="Arial"/>
                <w:color w:val="000000"/>
                <w:sz w:val="20"/>
                <w:szCs w:val="20"/>
              </w:rPr>
            </w:pPr>
            <w:r w:rsidRPr="009D55A6">
              <w:rPr>
                <w:rFonts w:cs="Arial"/>
                <w:color w:val="000000"/>
                <w:sz w:val="20"/>
                <w:szCs w:val="20"/>
              </w:rPr>
              <w:t xml:space="preserve">L‛élevage moderne ou élevage organisé : est constitué par les fermes de 200 têtes de bovins pratiquant l‛insémination artificielle pour l‛amélioration du bétail ou en croisement des races locales Ankole avec les races exotiques. </w:t>
            </w:r>
          </w:p>
          <w:p w14:paraId="650C401F" w14:textId="77777777" w:rsidR="001C2F95" w:rsidRPr="009D55A6" w:rsidRDefault="001C2F95" w:rsidP="00971FD2">
            <w:pPr>
              <w:jc w:val="left"/>
              <w:textAlignment w:val="baseline"/>
              <w:rPr>
                <w:rFonts w:cs="Arial"/>
                <w:b/>
                <w:i/>
                <w:color w:val="000000"/>
                <w:sz w:val="20"/>
                <w:szCs w:val="20"/>
              </w:rPr>
            </w:pPr>
          </w:p>
          <w:p w14:paraId="2204D67B" w14:textId="77777777" w:rsidR="001C2F95" w:rsidRPr="009D55A6" w:rsidRDefault="001C2F95" w:rsidP="00971FD2">
            <w:pPr>
              <w:jc w:val="left"/>
              <w:textAlignment w:val="baseline"/>
              <w:rPr>
                <w:rFonts w:cs="Arial"/>
                <w:b/>
                <w:color w:val="000000"/>
                <w:sz w:val="20"/>
                <w:szCs w:val="20"/>
              </w:rPr>
            </w:pPr>
            <w:r w:rsidRPr="009D55A6">
              <w:rPr>
                <w:rFonts w:cs="Arial"/>
                <w:b/>
                <w:color w:val="000000"/>
                <w:sz w:val="20"/>
                <w:szCs w:val="20"/>
              </w:rPr>
              <w:t xml:space="preserve">Pêche </w:t>
            </w:r>
          </w:p>
          <w:p w14:paraId="2EA4F1C5" w14:textId="77777777" w:rsidR="001C2F95" w:rsidRPr="009D55A6" w:rsidRDefault="001C2F95" w:rsidP="00971FD2">
            <w:pPr>
              <w:jc w:val="left"/>
              <w:textAlignment w:val="baseline"/>
              <w:rPr>
                <w:rFonts w:cs="Arial"/>
                <w:color w:val="000000"/>
                <w:sz w:val="20"/>
                <w:szCs w:val="20"/>
              </w:rPr>
            </w:pPr>
            <w:r w:rsidRPr="009D55A6">
              <w:rPr>
                <w:rFonts w:cs="Arial"/>
                <w:color w:val="000000"/>
                <w:sz w:val="20"/>
                <w:szCs w:val="20"/>
              </w:rPr>
              <w:t>La Province du Nord-Kivu comprend des lacs, des rivières poissonneuses pour la pratique de la pêche.</w:t>
            </w:r>
            <w:r w:rsidRPr="009D55A6">
              <w:rPr>
                <w:rFonts w:cs="Arial"/>
                <w:color w:val="000000"/>
                <w:sz w:val="20"/>
                <w:szCs w:val="20"/>
              </w:rPr>
              <w:br/>
              <w:t xml:space="preserve">Le Lac Edouard est très poissonneux avec une production annuelle estimée à 15 000 Tonnes. </w:t>
            </w:r>
            <w:r w:rsidRPr="009D55A6">
              <w:rPr>
                <w:rFonts w:cs="Arial"/>
                <w:color w:val="000000"/>
                <w:sz w:val="20"/>
                <w:szCs w:val="20"/>
              </w:rPr>
              <w:br/>
              <w:t xml:space="preserve">Les principales espèces des poissons sont : Tilapia : 60 % des ressources halieutiques. </w:t>
            </w:r>
            <w:r w:rsidRPr="009D55A6">
              <w:rPr>
                <w:rFonts w:cs="Arial"/>
                <w:color w:val="000000"/>
                <w:sz w:val="20"/>
                <w:szCs w:val="20"/>
              </w:rPr>
              <w:br/>
              <w:t xml:space="preserve">Bagrus : 10 % des ressources halieutiques </w:t>
            </w:r>
            <w:r w:rsidRPr="009D55A6">
              <w:rPr>
                <w:rFonts w:cs="Arial"/>
                <w:color w:val="000000"/>
                <w:sz w:val="20"/>
                <w:szCs w:val="20"/>
              </w:rPr>
              <w:br/>
              <w:t xml:space="preserve">Clarias : 10 % des ressources halieutiques </w:t>
            </w:r>
            <w:r w:rsidRPr="009D55A6">
              <w:rPr>
                <w:rFonts w:cs="Arial"/>
                <w:color w:val="000000"/>
                <w:sz w:val="20"/>
                <w:szCs w:val="20"/>
              </w:rPr>
              <w:br/>
              <w:t xml:space="preserve">Autres espèces : 20 % des ressources halieutiques. </w:t>
            </w:r>
            <w:r w:rsidRPr="009D55A6">
              <w:rPr>
                <w:rFonts w:cs="Arial"/>
                <w:color w:val="000000"/>
                <w:sz w:val="20"/>
                <w:szCs w:val="20"/>
              </w:rPr>
              <w:br/>
              <w:t>Le Lac Kivu est peu poissonneux. Les espèces recensées sont : Limnothrissa moidon ou SAMBAZA : 90 % Autres espèces : 10 %.</w:t>
            </w:r>
          </w:p>
          <w:p w14:paraId="08DBD82E" w14:textId="77777777" w:rsidR="001C2F95" w:rsidRPr="009D55A6" w:rsidRDefault="001C2F95" w:rsidP="00971FD2">
            <w:pPr>
              <w:jc w:val="left"/>
              <w:textAlignment w:val="baseline"/>
              <w:rPr>
                <w:rFonts w:cs="Arial"/>
                <w:color w:val="000000"/>
                <w:sz w:val="20"/>
                <w:szCs w:val="20"/>
              </w:rPr>
            </w:pPr>
          </w:p>
          <w:p w14:paraId="7501065E" w14:textId="77777777" w:rsidR="001C2F95" w:rsidRPr="009D55A6" w:rsidRDefault="001C2F95" w:rsidP="00971FD2">
            <w:pPr>
              <w:jc w:val="left"/>
              <w:textAlignment w:val="baseline"/>
              <w:rPr>
                <w:rFonts w:cs="Arial"/>
                <w:color w:val="000000"/>
                <w:sz w:val="20"/>
                <w:szCs w:val="20"/>
              </w:rPr>
            </w:pPr>
            <w:r w:rsidRPr="009D55A6">
              <w:rPr>
                <w:rFonts w:cs="Arial"/>
                <w:color w:val="000000"/>
                <w:sz w:val="20"/>
                <w:szCs w:val="20"/>
              </w:rPr>
              <w:t xml:space="preserve">Conflits en lien avec les terres et insécurité alimentaire </w:t>
            </w:r>
          </w:p>
          <w:p w14:paraId="435E440D" w14:textId="77777777" w:rsidR="001C2F95" w:rsidRPr="009D55A6" w:rsidRDefault="001C2F95" w:rsidP="00971FD2">
            <w:pPr>
              <w:jc w:val="left"/>
              <w:textAlignment w:val="baseline"/>
              <w:rPr>
                <w:rFonts w:cs="Arial"/>
                <w:color w:val="000000"/>
                <w:sz w:val="20"/>
                <w:szCs w:val="20"/>
              </w:rPr>
            </w:pPr>
          </w:p>
          <w:p w14:paraId="126582F6" w14:textId="77777777" w:rsidR="001C2F95" w:rsidRPr="009D55A6" w:rsidRDefault="001C2F95" w:rsidP="00580417">
            <w:pPr>
              <w:textAlignment w:val="baseline"/>
              <w:rPr>
                <w:rFonts w:cs="Arial"/>
                <w:color w:val="000000"/>
                <w:sz w:val="20"/>
                <w:szCs w:val="20"/>
              </w:rPr>
            </w:pPr>
            <w:r w:rsidRPr="009D55A6">
              <w:rPr>
                <w:rFonts w:cs="Arial"/>
                <w:color w:val="000000"/>
                <w:sz w:val="20"/>
                <w:szCs w:val="20"/>
              </w:rPr>
              <w:t>Dans le territoire de Beni (en particulier dans les zones au nord et à l’est d’Oicha), une autre division existe entre les « Nandes migrants », qui se sont déplacés du territoire de Lubero voisin pour s’installer dans le territoire de Beni, et les « populations d’origine » de Beni, qui comprennent des groupes minoritaires (les Vuba, les Bakapombe, les Batalinga et les Batangi) et des Nandes natifs de la région. De nombreux Nandes migrants ont été pris pour cibles durant les violences et les assassinats récents afin de permettre aux autorités locales de reprendre des terres agricoles. Dans les zones du sud du territoire de Lubero (non touchées par la flambée épidémique d’Ébola au moment de la rédaction), une autre série de conflits existe entre Nandes et Hutus concernant l’accès aux terres. En raison de la présence de milices au nord de Beni, l’agriculture dans la zone entourant Mangina constituait une importante source de nourriture pour la ville, et cet accès est désormais largement coupé à cause de la flambée épidémique d’Ébola et de l’insécurité. Des craintes concernant l’augmentation de l’insécurité alimentaire dans la ville ont été signalées.</w:t>
            </w:r>
          </w:p>
        </w:tc>
      </w:tr>
      <w:tr w:rsidR="001C2F95" w:rsidRPr="00982564" w14:paraId="59F39417"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BAE0A70" w14:textId="77777777" w:rsidR="001C2F95" w:rsidRPr="009D55A6" w:rsidRDefault="001C2F95" w:rsidP="00971FD2">
            <w:pPr>
              <w:rPr>
                <w:rFonts w:eastAsia="Calibri" w:cs="Arial"/>
                <w:b/>
                <w:sz w:val="20"/>
                <w:szCs w:val="20"/>
              </w:rPr>
            </w:pPr>
            <w:r w:rsidRPr="009D55A6">
              <w:rPr>
                <w:rFonts w:eastAsia="Calibri" w:cs="Arial"/>
                <w:b/>
                <w:sz w:val="20"/>
                <w:szCs w:val="20"/>
              </w:rPr>
              <w:t>Économie</w:t>
            </w:r>
          </w:p>
        </w:tc>
        <w:tc>
          <w:tcPr>
            <w:tcW w:w="11287" w:type="dxa"/>
            <w:tcBorders>
              <w:top w:val="single" w:sz="4" w:space="0" w:color="000001"/>
              <w:left w:val="single" w:sz="4" w:space="0" w:color="000001"/>
              <w:bottom w:val="single" w:sz="4" w:space="0" w:color="000001"/>
              <w:right w:val="single" w:sz="4" w:space="0" w:color="000001"/>
            </w:tcBorders>
          </w:tcPr>
          <w:p w14:paraId="1ED344E7" w14:textId="77777777" w:rsidR="001C2F95" w:rsidRPr="009D55A6" w:rsidRDefault="001C2F95" w:rsidP="00971FD2">
            <w:pPr>
              <w:textAlignment w:val="baseline"/>
              <w:rPr>
                <w:rFonts w:cs="Arial"/>
                <w:color w:val="000000"/>
                <w:sz w:val="20"/>
                <w:szCs w:val="20"/>
              </w:rPr>
            </w:pPr>
            <w:r w:rsidRPr="009D55A6">
              <w:rPr>
                <w:rFonts w:cs="Arial"/>
                <w:color w:val="000000"/>
                <w:sz w:val="20"/>
                <w:szCs w:val="20"/>
              </w:rPr>
              <w:t>La Province du Nord-Kivu regorge d‛un faible potentiel minier comparativement à celui d‛autres Provinces du Pays telles que le Grand Katanga, le Grand Kasaï ou l’ex Province Orientale. Cependant, ce potentiel n‛est pas négligeable ; en effet du sous-sol du Nord-Kivu, sont extraits depuis l‛époque coloniale : de la cassitérite (oxyde d‛étain), de la colombo-tantalite (oxyde mixte de tantale) et de niobium anciennement appelé colombium du wolframite, de la monazite et de l‛or.</w:t>
            </w:r>
          </w:p>
          <w:p w14:paraId="2A072012" w14:textId="77777777" w:rsidR="001C2F95" w:rsidRPr="009D55A6" w:rsidRDefault="001C2F95" w:rsidP="00971FD2">
            <w:pPr>
              <w:textAlignment w:val="baseline"/>
              <w:rPr>
                <w:rFonts w:cs="Arial"/>
                <w:color w:val="000000"/>
                <w:sz w:val="20"/>
                <w:szCs w:val="20"/>
              </w:rPr>
            </w:pPr>
          </w:p>
          <w:p w14:paraId="6E661752" w14:textId="77777777" w:rsidR="001C2F95" w:rsidRPr="009D55A6" w:rsidRDefault="001C2F95" w:rsidP="00971FD2">
            <w:pPr>
              <w:textAlignment w:val="baseline"/>
              <w:rPr>
                <w:rFonts w:cs="Arial"/>
                <w:color w:val="000000"/>
                <w:sz w:val="20"/>
                <w:szCs w:val="20"/>
              </w:rPr>
            </w:pPr>
            <w:r w:rsidRPr="009D55A6">
              <w:rPr>
                <w:rFonts w:cs="Arial"/>
                <w:color w:val="000000"/>
                <w:sz w:val="20"/>
                <w:szCs w:val="20"/>
              </w:rPr>
              <w:t>Au Nord-Kivu, l‛exploitation artisanale du coltan a connu un boom en 2000-2001, à la suite d‛une très forte augmentation des cours du tantale sur le marché mondial. En effet, alors que ce cours était de 33-45$/lb Ta2O5 en novembre 1999, il a augmenté de 60$/lb Ta2O5 en Janvier 2000 pour atteindre son plus haut niveau de l‛histoire à 350$/lb Ta2O5 en Décembre de la même année. Par la suite les cours du tantale a dégringolé en 2001 jusqu‛à moins de 20$/lb.</w:t>
            </w:r>
          </w:p>
          <w:p w14:paraId="5D999B40" w14:textId="77777777" w:rsidR="001C2F95" w:rsidRPr="009D55A6" w:rsidRDefault="001C2F95" w:rsidP="00971FD2">
            <w:pPr>
              <w:textAlignment w:val="baseline"/>
              <w:rPr>
                <w:rFonts w:cs="Arial"/>
                <w:color w:val="000000"/>
                <w:sz w:val="20"/>
                <w:szCs w:val="20"/>
              </w:rPr>
            </w:pPr>
            <w:r w:rsidRPr="009D55A6">
              <w:rPr>
                <w:rFonts w:cs="Arial"/>
                <w:color w:val="000000"/>
                <w:sz w:val="20"/>
                <w:szCs w:val="20"/>
              </w:rPr>
              <w:t xml:space="preserve">Mais, il y a lieu de noter que l’importance que revêt ces minerais dits stratégiques dans les nouveaux enjeux de l’économie mondiale de prochaines années, fait que ces minerais confèrent à la Province l’intérêt qu’autrefois elle n’avait pas aux yeux de grandes puissances mondiales. La guerre qui sévit à l’Est de la RDC depuis plusieurs années par les groupes armés interposés puise son origine dans la convoitise de ces minerais stratégiques dont les puissants de ce monde veulent à tout prix se constituer un grand stock et à moindre frais par des voies de la contrebande. </w:t>
            </w:r>
          </w:p>
          <w:p w14:paraId="68E5C6D5" w14:textId="77777777" w:rsidR="001857F5" w:rsidRPr="009D55A6" w:rsidRDefault="001857F5" w:rsidP="00971FD2">
            <w:pPr>
              <w:textAlignment w:val="baseline"/>
              <w:rPr>
                <w:rFonts w:cs="Arial"/>
                <w:color w:val="000000"/>
                <w:sz w:val="20"/>
                <w:szCs w:val="20"/>
              </w:rPr>
            </w:pPr>
          </w:p>
          <w:p w14:paraId="5209B863" w14:textId="77777777" w:rsidR="001857F5" w:rsidRPr="009D55A6" w:rsidRDefault="001857F5" w:rsidP="001857F5">
            <w:pPr>
              <w:textAlignment w:val="baseline"/>
              <w:rPr>
                <w:rFonts w:cs="Arial"/>
                <w:color w:val="000000"/>
                <w:sz w:val="20"/>
                <w:szCs w:val="20"/>
              </w:rPr>
            </w:pPr>
            <w:r w:rsidRPr="009D55A6">
              <w:rPr>
                <w:rFonts w:cs="Arial"/>
                <w:color w:val="000000"/>
                <w:sz w:val="20"/>
                <w:szCs w:val="20"/>
              </w:rPr>
              <w:t>Dans le Nord-Kivu la femme n’a pas accès à la terre. Tous les biens matériels appartiennent à l’homme et à sa famille. La femme travaille jour et nuit en transportant des grandes charges sur sa tête lors de la récolte. Mais c’est l’homme qui est le maitre de la vente et des décisions liées aux dépenses. Les us et coutumes ont un impact très négatif sur le traitement de la femme en termes de richesse et d’appropriation des ressources.</w:t>
            </w:r>
          </w:p>
        </w:tc>
      </w:tr>
      <w:tr w:rsidR="001C2F95" w:rsidRPr="00982564" w14:paraId="638161EE"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085264C" w14:textId="77777777" w:rsidR="001C2F95" w:rsidRPr="009D55A6" w:rsidRDefault="001C2F95" w:rsidP="00971FD2">
            <w:pPr>
              <w:rPr>
                <w:rFonts w:eastAsia="Calibri" w:cs="Arial"/>
                <w:b/>
                <w:sz w:val="20"/>
                <w:szCs w:val="20"/>
              </w:rPr>
            </w:pPr>
            <w:r w:rsidRPr="009D55A6">
              <w:rPr>
                <w:rFonts w:eastAsia="Calibri" w:cs="Arial"/>
                <w:b/>
                <w:sz w:val="20"/>
                <w:szCs w:val="20"/>
              </w:rPr>
              <w:t>Situation sanitaire</w:t>
            </w:r>
          </w:p>
        </w:tc>
        <w:tc>
          <w:tcPr>
            <w:tcW w:w="11287" w:type="dxa"/>
            <w:tcBorders>
              <w:top w:val="single" w:sz="4" w:space="0" w:color="000001"/>
              <w:left w:val="single" w:sz="4" w:space="0" w:color="000001"/>
              <w:bottom w:val="single" w:sz="4" w:space="0" w:color="000001"/>
              <w:right w:val="single" w:sz="4" w:space="0" w:color="000001"/>
            </w:tcBorders>
          </w:tcPr>
          <w:p w14:paraId="3F1B19AF" w14:textId="77777777" w:rsidR="001C2F95" w:rsidRPr="009D55A6" w:rsidRDefault="001C2F95" w:rsidP="00971FD2">
            <w:pPr>
              <w:textAlignment w:val="baseline"/>
              <w:rPr>
                <w:rFonts w:cs="Arial"/>
                <w:color w:val="000000"/>
                <w:sz w:val="20"/>
                <w:szCs w:val="20"/>
              </w:rPr>
            </w:pPr>
            <w:r w:rsidRPr="009D55A6">
              <w:rPr>
                <w:rFonts w:cs="Arial"/>
                <w:color w:val="000000"/>
                <w:sz w:val="20"/>
                <w:szCs w:val="20"/>
              </w:rPr>
              <w:t>Insuffisance des infrastructures sanitaires et accès difficile aux soins de santé.</w:t>
            </w:r>
          </w:p>
          <w:p w14:paraId="0DB533F5" w14:textId="77777777" w:rsidR="001C2F95" w:rsidRPr="009D55A6" w:rsidRDefault="001C2F95" w:rsidP="00971FD2">
            <w:pPr>
              <w:textAlignment w:val="baseline"/>
              <w:rPr>
                <w:rFonts w:cs="Arial"/>
                <w:color w:val="000000"/>
                <w:sz w:val="20"/>
                <w:szCs w:val="20"/>
              </w:rPr>
            </w:pPr>
            <w:r w:rsidRPr="009D55A6">
              <w:rPr>
                <w:rFonts w:cs="Arial"/>
                <w:color w:val="000000"/>
                <w:sz w:val="20"/>
                <w:szCs w:val="20"/>
              </w:rPr>
              <w:t>La capacité de desserte sanitaire en Province du Nord-Kivu est insuffisante par rapport à la population à prendre en charge. Certaines infrastructures sanitaires ont été détruites pendant la guerre et leurs équipements et médicaments pillés. L’on assiste à une marchandisation très exagérée des actes médicaux qui, parfois, sont de très mauvaise qualité. Selon MICS2, 140 enfants sur 1 000 meurent avant l’âge de 1 an et 237 sur 1 000 meurent avant l’âge de 5 ans.</w:t>
            </w:r>
          </w:p>
          <w:p w14:paraId="7B96E843" w14:textId="77777777" w:rsidR="001857F5" w:rsidRPr="009D55A6" w:rsidRDefault="001C2F95" w:rsidP="00971FD2">
            <w:pPr>
              <w:textAlignment w:val="baseline"/>
              <w:rPr>
                <w:rFonts w:cs="Arial"/>
                <w:color w:val="000000"/>
                <w:sz w:val="20"/>
                <w:szCs w:val="20"/>
              </w:rPr>
            </w:pPr>
            <w:r w:rsidRPr="009D55A6">
              <w:rPr>
                <w:rFonts w:cs="Arial"/>
                <w:color w:val="000000"/>
                <w:sz w:val="20"/>
                <w:szCs w:val="20"/>
              </w:rPr>
              <w:t xml:space="preserve">Avec l’arrivée des humanitaires, dans le cadre de porter une réponse aux affres de la guerre, plusieurs </w:t>
            </w:r>
            <w:r w:rsidR="001857F5" w:rsidRPr="009D55A6">
              <w:rPr>
                <w:rFonts w:cs="Arial"/>
                <w:color w:val="000000"/>
                <w:sz w:val="20"/>
                <w:szCs w:val="20"/>
              </w:rPr>
              <w:t>hôpitaux</w:t>
            </w:r>
            <w:r w:rsidRPr="009D55A6">
              <w:rPr>
                <w:rFonts w:cs="Arial"/>
                <w:color w:val="000000"/>
                <w:sz w:val="20"/>
                <w:szCs w:val="20"/>
              </w:rPr>
              <w:t xml:space="preserve"> et centre de santé ont été réhabilités et appuyés. Les offres de services liés aux survivantes des VBG ont été lancés, et les kits post viol pour les cas de violences sexuelles ont été rendus disponibles dans les centres de santé les plus </w:t>
            </w:r>
            <w:r w:rsidR="001857F5" w:rsidRPr="009D55A6">
              <w:rPr>
                <w:rFonts w:cs="Arial"/>
                <w:color w:val="000000"/>
                <w:sz w:val="20"/>
                <w:szCs w:val="20"/>
              </w:rPr>
              <w:t>reculés</w:t>
            </w:r>
            <w:r w:rsidRPr="009D55A6">
              <w:rPr>
                <w:rFonts w:cs="Arial"/>
                <w:color w:val="000000"/>
                <w:sz w:val="20"/>
                <w:szCs w:val="20"/>
              </w:rPr>
              <w:t xml:space="preserve"> du fait que la majorité des cas venaient des coins les plus vulnérables de la Province. </w:t>
            </w:r>
          </w:p>
          <w:p w14:paraId="67593D43" w14:textId="77777777" w:rsidR="001857F5" w:rsidRPr="009D55A6" w:rsidRDefault="001857F5" w:rsidP="00971FD2">
            <w:pPr>
              <w:textAlignment w:val="baseline"/>
              <w:rPr>
                <w:rFonts w:cs="Arial"/>
                <w:color w:val="000000"/>
                <w:sz w:val="20"/>
                <w:szCs w:val="20"/>
              </w:rPr>
            </w:pPr>
          </w:p>
          <w:p w14:paraId="659014F8" w14:textId="77777777" w:rsidR="001857F5" w:rsidRPr="009D55A6" w:rsidRDefault="001857F5" w:rsidP="001857F5">
            <w:pPr>
              <w:textAlignment w:val="baseline"/>
              <w:rPr>
                <w:rFonts w:cs="Arial"/>
                <w:color w:val="000000"/>
                <w:sz w:val="20"/>
                <w:szCs w:val="20"/>
              </w:rPr>
            </w:pPr>
            <w:r w:rsidRPr="009D55A6">
              <w:rPr>
                <w:rFonts w:cs="Arial"/>
                <w:color w:val="000000"/>
                <w:sz w:val="20"/>
                <w:szCs w:val="20"/>
              </w:rPr>
              <w:t>Le Nord Kivu est la Province qui a connu le plus grand investissement des bailleurs sur le plan sanitaire. Les femmes et filles qui jadis sent parcouraient des très longues distances pour avoir accès aux soins se sont vu alléger par la création des postes de santé et des cliniques mobiles afin d’être le plus proche possible de la population à causes des affres de guerre. Cependant les besoins en couverture sanitaire est loin d’être totale.</w:t>
            </w:r>
          </w:p>
        </w:tc>
      </w:tr>
      <w:tr w:rsidR="001C2F95" w:rsidRPr="00982564" w14:paraId="3E5411A1"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596E09E" w14:textId="77777777" w:rsidR="001C2F95" w:rsidRPr="009D55A6" w:rsidRDefault="001C2F95" w:rsidP="00971FD2">
            <w:pPr>
              <w:rPr>
                <w:rFonts w:eastAsia="Calibri" w:cs="Arial"/>
                <w:b/>
                <w:sz w:val="20"/>
                <w:szCs w:val="20"/>
              </w:rPr>
            </w:pPr>
            <w:r w:rsidRPr="009D55A6">
              <w:rPr>
                <w:rFonts w:eastAsia="Calibri" w:cs="Arial"/>
                <w:b/>
                <w:sz w:val="20"/>
                <w:szCs w:val="20"/>
              </w:rPr>
              <w:t>Situation du COVID-19 et Ebola dans la Province du Nord-Kivu</w:t>
            </w:r>
          </w:p>
        </w:tc>
        <w:tc>
          <w:tcPr>
            <w:tcW w:w="11287" w:type="dxa"/>
            <w:tcBorders>
              <w:top w:val="single" w:sz="4" w:space="0" w:color="000001"/>
              <w:left w:val="single" w:sz="4" w:space="0" w:color="000001"/>
              <w:bottom w:val="single" w:sz="4" w:space="0" w:color="000001"/>
              <w:right w:val="single" w:sz="4" w:space="0" w:color="000001"/>
            </w:tcBorders>
          </w:tcPr>
          <w:p w14:paraId="38340296" w14:textId="27C73FE2" w:rsidR="001C2F95" w:rsidRPr="009D55A6" w:rsidRDefault="001C2F95" w:rsidP="00971FD2">
            <w:pPr>
              <w:textAlignment w:val="baseline"/>
              <w:rPr>
                <w:rFonts w:cs="Arial"/>
                <w:color w:val="000000"/>
                <w:sz w:val="20"/>
                <w:szCs w:val="20"/>
              </w:rPr>
            </w:pPr>
            <w:r w:rsidRPr="009D55A6">
              <w:rPr>
                <w:rFonts w:cs="Arial"/>
                <w:color w:val="000000"/>
                <w:sz w:val="20"/>
                <w:szCs w:val="20"/>
              </w:rPr>
              <w:t>Depuis le début de la pandémie à COVID-19 en RDC, la Province du Nord-Kivu a déjà enregistré 1295 cas de la COVID-19 confirmés par l’INRB</w:t>
            </w:r>
            <w:r w:rsidR="001857F5" w:rsidRPr="009D55A6">
              <w:rPr>
                <w:rFonts w:cs="Arial"/>
                <w:color w:val="000000"/>
                <w:sz w:val="20"/>
                <w:szCs w:val="20"/>
              </w:rPr>
              <w:t xml:space="preserve"> </w:t>
            </w:r>
            <w:r w:rsidRPr="009D55A6">
              <w:rPr>
                <w:rFonts w:cs="Arial"/>
                <w:color w:val="000000"/>
                <w:sz w:val="20"/>
                <w:szCs w:val="20"/>
              </w:rPr>
              <w:t>d’après la situation du 12 janvier 2021. Des mesures barrières et le couvre-feu à partir du 21h00 à 5h00 sont observées sur toute l’étendue de la Province. Tandis qu’au 25 juin 2020, la RDC a déclaré la fin de la dixième épidémie d'Ebola. Déclarée le 1</w:t>
            </w:r>
            <w:r w:rsidRPr="009D55A6">
              <w:rPr>
                <w:rFonts w:cs="Arial"/>
                <w:color w:val="000000"/>
                <w:sz w:val="20"/>
                <w:szCs w:val="20"/>
                <w:vertAlign w:val="superscript"/>
              </w:rPr>
              <w:t>er</w:t>
            </w:r>
            <w:r w:rsidRPr="009D55A6">
              <w:rPr>
                <w:rFonts w:cs="Arial"/>
                <w:color w:val="000000"/>
                <w:sz w:val="20"/>
                <w:szCs w:val="20"/>
              </w:rPr>
              <w:t xml:space="preserve"> août 2018, elle a fait plus de 2 200 morts, la plus grave dans l'histoire du pays. </w:t>
            </w:r>
            <w:r w:rsidR="00217EDB" w:rsidRPr="009D55A6">
              <w:rPr>
                <w:rFonts w:cs="Arial"/>
                <w:color w:val="000000"/>
                <w:sz w:val="20"/>
                <w:szCs w:val="20"/>
              </w:rPr>
              <w:t xml:space="preserve">Cependant, il y a eu une réapparution du virus Ebola au Nord-Kivu signalée par l’OMS le 7 février 2021.  </w:t>
            </w:r>
            <w:r w:rsidRPr="009D55A6">
              <w:rPr>
                <w:rFonts w:cs="Arial"/>
                <w:color w:val="000000"/>
                <w:sz w:val="20"/>
                <w:szCs w:val="20"/>
              </w:rPr>
              <w:t xml:space="preserve"> </w:t>
            </w:r>
          </w:p>
        </w:tc>
      </w:tr>
      <w:tr w:rsidR="001C2F95" w:rsidRPr="00982564" w14:paraId="15734DFF"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A351EDC" w14:textId="77777777" w:rsidR="001C2F95" w:rsidRPr="009D55A6" w:rsidRDefault="001C2F95" w:rsidP="00971FD2">
            <w:pPr>
              <w:rPr>
                <w:rFonts w:eastAsia="Calibri" w:cs="Arial"/>
                <w:b/>
                <w:sz w:val="20"/>
                <w:szCs w:val="20"/>
              </w:rPr>
            </w:pPr>
            <w:r w:rsidRPr="009D55A6">
              <w:rPr>
                <w:rFonts w:eastAsia="Calibri" w:cs="Arial"/>
                <w:b/>
                <w:sz w:val="20"/>
                <w:szCs w:val="20"/>
              </w:rPr>
              <w:t>Éducation</w:t>
            </w:r>
          </w:p>
        </w:tc>
        <w:tc>
          <w:tcPr>
            <w:tcW w:w="11287" w:type="dxa"/>
            <w:tcBorders>
              <w:top w:val="single" w:sz="4" w:space="0" w:color="000001"/>
              <w:left w:val="single" w:sz="4" w:space="0" w:color="000001"/>
              <w:bottom w:val="single" w:sz="4" w:space="0" w:color="000001"/>
              <w:right w:val="single" w:sz="4" w:space="0" w:color="000001"/>
            </w:tcBorders>
          </w:tcPr>
          <w:p w14:paraId="22EDC1CE" w14:textId="77777777" w:rsidR="001C2F95" w:rsidRPr="009D55A6" w:rsidRDefault="001C2F95" w:rsidP="00971FD2">
            <w:pPr>
              <w:textAlignment w:val="baseline"/>
              <w:rPr>
                <w:rFonts w:cs="Arial"/>
                <w:color w:val="000000"/>
                <w:sz w:val="20"/>
                <w:szCs w:val="20"/>
              </w:rPr>
            </w:pPr>
            <w:r w:rsidRPr="009D55A6">
              <w:rPr>
                <w:rFonts w:cs="Arial"/>
                <w:color w:val="000000"/>
                <w:sz w:val="20"/>
                <w:szCs w:val="20"/>
              </w:rPr>
              <w:t>L’enquête MICS2-Palu, RDC, 2017-2018 renseigne que le taux de fréquentation scolaire des enfants dans la Province du Nord-Kivu est de 80,5 %. Mais suite aux conflits récurrents dans la Province, un grand nombre d’enfants sont confrontés à des ruptures fréquentes des cours, ce qui n’épargne pas la Province du Nord-Kivu de figurer sur la liste des provinces qui enregistrent des taux de non scolarisation élevés surtout en zones affectées par les conflits. L’année 2014 a été marquée par un faible accès à l’école pour un bon nombre d’enfants déplacés et retournés affectés par les conflits surtout en Territoires de Walikale (axes Walikale-Bukavu), Masisi (axes Kibabi-Katoyi-Luke, Karuba-Ngungu/Ufamandu) et récemment Beni (axe Beni-Eringeti) avec les attaques à l’arme blanche attribuées aux présumés ADF/NALU.</w:t>
            </w:r>
          </w:p>
          <w:p w14:paraId="1630B42F" w14:textId="77777777" w:rsidR="001C2F95" w:rsidRPr="009D55A6" w:rsidRDefault="001C2F95" w:rsidP="00971FD2">
            <w:pPr>
              <w:textAlignment w:val="baseline"/>
              <w:rPr>
                <w:rFonts w:cs="Arial"/>
                <w:color w:val="000000"/>
                <w:sz w:val="20"/>
                <w:szCs w:val="20"/>
              </w:rPr>
            </w:pPr>
          </w:p>
          <w:p w14:paraId="657D3954" w14:textId="77777777" w:rsidR="001C2F95" w:rsidRPr="009D55A6" w:rsidRDefault="001C2F95" w:rsidP="00971FD2">
            <w:pPr>
              <w:textAlignment w:val="baseline"/>
              <w:rPr>
                <w:rFonts w:cs="Arial"/>
                <w:color w:val="000000"/>
                <w:sz w:val="20"/>
                <w:szCs w:val="20"/>
              </w:rPr>
            </w:pPr>
            <w:r w:rsidRPr="009D55A6">
              <w:rPr>
                <w:rFonts w:cs="Arial"/>
                <w:color w:val="000000"/>
                <w:sz w:val="20"/>
                <w:szCs w:val="20"/>
              </w:rPr>
              <w:t>Au Nord-Kivu existe aussi la discrimination scolaire. Dans une famille, les garçons sont privilégiés pour accéder aux études par rapport aux filles. Les travaux ménagers et de champs concourent plus à la main-d’</w:t>
            </w:r>
            <w:r w:rsidR="001857F5" w:rsidRPr="009D55A6">
              <w:rPr>
                <w:rFonts w:cs="Arial"/>
                <w:color w:val="000000"/>
                <w:sz w:val="20"/>
                <w:szCs w:val="20"/>
              </w:rPr>
              <w:t xml:space="preserve">œuvre </w:t>
            </w:r>
            <w:r w:rsidRPr="009D55A6">
              <w:rPr>
                <w:rFonts w:cs="Arial"/>
                <w:color w:val="000000"/>
                <w:sz w:val="20"/>
                <w:szCs w:val="20"/>
              </w:rPr>
              <w:t xml:space="preserve"> féminine. </w:t>
            </w:r>
          </w:p>
          <w:p w14:paraId="100D2595" w14:textId="77777777" w:rsidR="001C2F95" w:rsidRPr="009D55A6" w:rsidRDefault="001C2F95" w:rsidP="00971FD2">
            <w:pPr>
              <w:textAlignment w:val="baseline"/>
              <w:rPr>
                <w:rFonts w:cs="Arial"/>
                <w:color w:val="000000"/>
                <w:sz w:val="20"/>
                <w:szCs w:val="20"/>
              </w:rPr>
            </w:pPr>
          </w:p>
          <w:p w14:paraId="63678557" w14:textId="77777777" w:rsidR="001C2F95" w:rsidRPr="009D55A6" w:rsidRDefault="001C2F95" w:rsidP="001857F5">
            <w:pPr>
              <w:textAlignment w:val="baseline"/>
              <w:rPr>
                <w:rFonts w:cs="Arial"/>
                <w:color w:val="000000"/>
                <w:sz w:val="20"/>
                <w:szCs w:val="20"/>
              </w:rPr>
            </w:pPr>
            <w:r w:rsidRPr="009D55A6">
              <w:rPr>
                <w:rFonts w:cs="Arial"/>
                <w:color w:val="000000"/>
                <w:sz w:val="20"/>
                <w:szCs w:val="20"/>
              </w:rPr>
              <w:t xml:space="preserve">Malgré le programme du Gouvernement sur la gratuité de l’enseignement sur toute l’étendue de la RDC, la Province du Nord-Kivu connait toujours des problèmes de l’insécurité qui ne permet pas aux élèves filles et garçons d’aller à l’école, hormis dans le </w:t>
            </w:r>
            <w:r w:rsidR="001857F5" w:rsidRPr="009D55A6">
              <w:rPr>
                <w:rFonts w:cs="Arial"/>
                <w:color w:val="000000"/>
                <w:sz w:val="20"/>
                <w:szCs w:val="20"/>
              </w:rPr>
              <w:t>C</w:t>
            </w:r>
            <w:r w:rsidRPr="009D55A6">
              <w:rPr>
                <w:rFonts w:cs="Arial"/>
                <w:color w:val="000000"/>
                <w:sz w:val="20"/>
                <w:szCs w:val="20"/>
              </w:rPr>
              <w:t>hef</w:t>
            </w:r>
            <w:r w:rsidR="001857F5" w:rsidRPr="009D55A6">
              <w:rPr>
                <w:rFonts w:cs="Arial"/>
                <w:color w:val="000000"/>
                <w:sz w:val="20"/>
                <w:szCs w:val="20"/>
              </w:rPr>
              <w:t>-</w:t>
            </w:r>
            <w:r w:rsidRPr="009D55A6">
              <w:rPr>
                <w:rFonts w:cs="Arial"/>
                <w:color w:val="000000"/>
                <w:sz w:val="20"/>
                <w:szCs w:val="20"/>
              </w:rPr>
              <w:t>lieu, Goma.</w:t>
            </w:r>
          </w:p>
        </w:tc>
      </w:tr>
      <w:tr w:rsidR="001C2F95" w:rsidRPr="00982564" w14:paraId="5B3D3982"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0383FEFD" w14:textId="77777777" w:rsidR="001C2F95" w:rsidRPr="009D55A6" w:rsidRDefault="001C2F95" w:rsidP="00971FD2">
            <w:pPr>
              <w:jc w:val="left"/>
              <w:rPr>
                <w:rFonts w:eastAsia="Calibri" w:cs="Arial"/>
                <w:b/>
                <w:sz w:val="20"/>
                <w:szCs w:val="20"/>
              </w:rPr>
            </w:pPr>
            <w:r w:rsidRPr="009D55A6">
              <w:rPr>
                <w:rFonts w:eastAsia="Calibri" w:cs="Arial"/>
                <w:b/>
                <w:sz w:val="20"/>
                <w:szCs w:val="20"/>
              </w:rPr>
              <w:t>Infrastructures de transport</w:t>
            </w:r>
          </w:p>
        </w:tc>
        <w:tc>
          <w:tcPr>
            <w:tcW w:w="11287" w:type="dxa"/>
            <w:tcBorders>
              <w:top w:val="single" w:sz="4" w:space="0" w:color="000001"/>
              <w:left w:val="single" w:sz="4" w:space="0" w:color="000001"/>
              <w:bottom w:val="single" w:sz="4" w:space="0" w:color="000001"/>
              <w:right w:val="single" w:sz="4" w:space="0" w:color="000001"/>
            </w:tcBorders>
          </w:tcPr>
          <w:p w14:paraId="79D9F118" w14:textId="77777777" w:rsidR="001C2F95" w:rsidRPr="009D55A6" w:rsidRDefault="001C2F95" w:rsidP="00971FD2">
            <w:pPr>
              <w:textAlignment w:val="baseline"/>
              <w:rPr>
                <w:rFonts w:cs="Arial"/>
                <w:color w:val="000000"/>
                <w:sz w:val="20"/>
                <w:szCs w:val="20"/>
              </w:rPr>
            </w:pPr>
            <w:r w:rsidRPr="009D55A6">
              <w:rPr>
                <w:rFonts w:cs="Arial"/>
                <w:color w:val="000000"/>
                <w:sz w:val="20"/>
                <w:szCs w:val="20"/>
              </w:rPr>
              <w:t>La Province du Nord-Kivu compte 1.709 km du réseau routier, indiquent les statistiques 2014 du ministère provincial de l’Intérieur et de la reconstruction fournis par le périodique « Soleil du Congo » paru à Kinshasa, dans son édition spéciale consacrée entièrement à cette province.</w:t>
            </w:r>
          </w:p>
          <w:p w14:paraId="390326F9" w14:textId="77777777" w:rsidR="001C2F95" w:rsidRPr="009D55A6" w:rsidRDefault="001C2F95" w:rsidP="00971FD2">
            <w:pPr>
              <w:textAlignment w:val="baseline"/>
              <w:rPr>
                <w:rFonts w:cs="Arial"/>
                <w:color w:val="000000"/>
                <w:sz w:val="20"/>
                <w:szCs w:val="20"/>
              </w:rPr>
            </w:pPr>
          </w:p>
          <w:p w14:paraId="48FADEAC" w14:textId="77777777" w:rsidR="001C2F95" w:rsidRPr="009D55A6" w:rsidRDefault="001C2F95" w:rsidP="00971FD2">
            <w:pPr>
              <w:textAlignment w:val="baseline"/>
              <w:rPr>
                <w:rFonts w:cs="Arial"/>
                <w:color w:val="000000"/>
                <w:sz w:val="20"/>
                <w:szCs w:val="20"/>
                <w:highlight w:val="yellow"/>
              </w:rPr>
            </w:pPr>
            <w:r w:rsidRPr="009D55A6">
              <w:rPr>
                <w:rFonts w:cs="Arial"/>
                <w:color w:val="000000"/>
                <w:sz w:val="20"/>
                <w:szCs w:val="20"/>
              </w:rPr>
              <w:t>Le Lac Kivu a pour exutoire la rivière Ruzizi qui alimente le Lac Tanganyika. Le lac couvre une superficie totale de 2 700 km</w:t>
            </w:r>
            <w:r w:rsidRPr="009D55A6">
              <w:rPr>
                <w:rFonts w:cs="Arial"/>
                <w:color w:val="000000"/>
                <w:sz w:val="20"/>
                <w:szCs w:val="20"/>
                <w:vertAlign w:val="superscript"/>
              </w:rPr>
              <w:t xml:space="preserve">2 </w:t>
            </w:r>
            <w:r w:rsidRPr="009D55A6">
              <w:rPr>
                <w:rFonts w:cs="Arial"/>
                <w:color w:val="000000"/>
                <w:sz w:val="20"/>
                <w:szCs w:val="20"/>
              </w:rPr>
              <w:t>de l’espace d’eau navigable. Tandis que le Lac Édouard est alimenté par les rivières Nyamugasani, Ishasha, Rutshuru et Rwindi. Ce lac a une taille de 77 km sur 40 et couvre une espace totale de 2 150 km</w:t>
            </w:r>
            <w:r w:rsidRPr="009D55A6">
              <w:rPr>
                <w:rFonts w:cs="Arial"/>
                <w:color w:val="000000"/>
                <w:sz w:val="20"/>
                <w:szCs w:val="20"/>
                <w:vertAlign w:val="superscript"/>
              </w:rPr>
              <w:t>2</w:t>
            </w:r>
            <w:r w:rsidRPr="009D55A6">
              <w:rPr>
                <w:rFonts w:cs="Arial"/>
                <w:color w:val="000000"/>
                <w:sz w:val="20"/>
                <w:szCs w:val="20"/>
              </w:rPr>
              <w:t>. L’insécurité est un problème très sérieux qui menace toutes les voies de communication.</w:t>
            </w:r>
          </w:p>
        </w:tc>
      </w:tr>
      <w:tr w:rsidR="001C2F95" w:rsidRPr="00982564" w14:paraId="23BFE08D"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6D425F0" w14:textId="77777777" w:rsidR="001C2F95" w:rsidRPr="009D55A6" w:rsidRDefault="001C2F95" w:rsidP="00971FD2">
            <w:pPr>
              <w:rPr>
                <w:rFonts w:eastAsia="Calibri" w:cs="Arial"/>
                <w:b/>
                <w:sz w:val="20"/>
                <w:szCs w:val="20"/>
              </w:rPr>
            </w:pPr>
            <w:r w:rsidRPr="009D55A6">
              <w:rPr>
                <w:rFonts w:eastAsia="Calibri" w:cs="Arial"/>
                <w:b/>
                <w:sz w:val="20"/>
                <w:szCs w:val="20"/>
              </w:rPr>
              <w:t>Accès à l’énergie</w:t>
            </w:r>
          </w:p>
        </w:tc>
        <w:tc>
          <w:tcPr>
            <w:tcW w:w="11287" w:type="dxa"/>
            <w:tcBorders>
              <w:top w:val="single" w:sz="4" w:space="0" w:color="000001"/>
              <w:left w:val="single" w:sz="4" w:space="0" w:color="000001"/>
              <w:bottom w:val="single" w:sz="4" w:space="0" w:color="000001"/>
              <w:right w:val="single" w:sz="4" w:space="0" w:color="000001"/>
            </w:tcBorders>
          </w:tcPr>
          <w:p w14:paraId="23C04FBE" w14:textId="77777777" w:rsidR="001C2F95" w:rsidRPr="009D55A6" w:rsidRDefault="001C2F95" w:rsidP="00971FD2">
            <w:pPr>
              <w:textAlignment w:val="baseline"/>
              <w:rPr>
                <w:rFonts w:cs="Arial"/>
                <w:color w:val="000000"/>
                <w:sz w:val="20"/>
                <w:szCs w:val="20"/>
              </w:rPr>
            </w:pPr>
            <w:r w:rsidRPr="009D55A6">
              <w:rPr>
                <w:rFonts w:cs="Arial"/>
                <w:color w:val="000000"/>
                <w:sz w:val="20"/>
                <w:szCs w:val="20"/>
                <w:shd w:val="clear" w:color="auto" w:fill="FFFFFF"/>
              </w:rPr>
              <w:t xml:space="preserve">En milieu rural, l‛énergie domestique est fournie en concurrence de 98 % par le bois de chauffe et les braises et     2 % par le pétrole. La Ville de GOMA est alimentée en énergie électrique par le Barrage Hydroélectrique de la Ruzizi dans le Sud- Kivu et celui de Matebe pour le compte de la société Virunga SARL. Les jeunes garçons et jeunes filles font le ramassage de bois pour la survie. </w:t>
            </w:r>
            <w:r w:rsidRPr="009D55A6">
              <w:rPr>
                <w:rFonts w:cs="Arial"/>
                <w:color w:val="000000"/>
                <w:sz w:val="20"/>
                <w:szCs w:val="20"/>
              </w:rPr>
              <w:t xml:space="preserve">Par la suite, les filles sont plus exposées aux risques de </w:t>
            </w:r>
            <w:r w:rsidRPr="009D55A6">
              <w:rPr>
                <w:rFonts w:cs="Arial"/>
                <w:color w:val="000000"/>
                <w:sz w:val="20"/>
                <w:szCs w:val="20"/>
                <w:shd w:val="clear" w:color="auto" w:fill="FFFFFF"/>
              </w:rPr>
              <w:t>VBG à l’occasion de ces activités de ramassage.</w:t>
            </w:r>
          </w:p>
        </w:tc>
      </w:tr>
      <w:tr w:rsidR="001C2F95" w:rsidRPr="00982564" w14:paraId="3CB78732"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316415D" w14:textId="77777777" w:rsidR="001C2F95" w:rsidRPr="009D55A6" w:rsidRDefault="001C2F95" w:rsidP="00971FD2">
            <w:pPr>
              <w:textAlignment w:val="baseline"/>
              <w:rPr>
                <w:rFonts w:cs="Arial"/>
                <w:b/>
                <w:color w:val="000000"/>
                <w:sz w:val="20"/>
                <w:szCs w:val="20"/>
                <w:shd w:val="clear" w:color="auto" w:fill="FFFFFF"/>
              </w:rPr>
            </w:pPr>
            <w:r w:rsidRPr="009D55A6">
              <w:rPr>
                <w:rFonts w:cs="Arial"/>
                <w:b/>
                <w:color w:val="000000"/>
                <w:sz w:val="20"/>
                <w:szCs w:val="20"/>
                <w:shd w:val="clear" w:color="auto" w:fill="FFFFFF"/>
              </w:rPr>
              <w:t>Accès à l’eau</w:t>
            </w:r>
          </w:p>
        </w:tc>
        <w:tc>
          <w:tcPr>
            <w:tcW w:w="11287" w:type="dxa"/>
            <w:tcBorders>
              <w:top w:val="single" w:sz="4" w:space="0" w:color="000001"/>
              <w:left w:val="single" w:sz="4" w:space="0" w:color="000001"/>
              <w:bottom w:val="single" w:sz="4" w:space="0" w:color="000001"/>
              <w:right w:val="single" w:sz="4" w:space="0" w:color="000001"/>
            </w:tcBorders>
          </w:tcPr>
          <w:p w14:paraId="57D652D8" w14:textId="77777777" w:rsidR="001C2F95" w:rsidRPr="009D55A6" w:rsidRDefault="001C2F95" w:rsidP="00971FD2">
            <w:pPr>
              <w:textAlignment w:val="baseline"/>
              <w:rPr>
                <w:rFonts w:cs="Arial"/>
                <w:color w:val="000000"/>
                <w:sz w:val="20"/>
                <w:szCs w:val="20"/>
                <w:shd w:val="clear" w:color="auto" w:fill="FFFFFF"/>
              </w:rPr>
            </w:pPr>
            <w:r w:rsidRPr="009D55A6">
              <w:rPr>
                <w:rFonts w:cs="Arial"/>
                <w:color w:val="000000"/>
                <w:sz w:val="20"/>
                <w:szCs w:val="20"/>
                <w:shd w:val="clear" w:color="auto" w:fill="FFFFFF"/>
              </w:rPr>
              <w:t>L’accès à l’eau potable est très difficile dans la Province du Nord-Kivu. La majorité de la population n’a pas accès à l’eau potable, ce, suite à l’insuffisance des sources d’eau aménagées en milieux ruraux et à l’incapacité de la REGIDESO de satisfaire à la demande en milieux urbains. Le taux de consommation de l’eau par la population n’est pas conforme aux normes de l’OMS et la quantité utilisée par habitant est nettement insuffisante.</w:t>
            </w:r>
            <w:r w:rsidRPr="009D55A6">
              <w:rPr>
                <w:rFonts w:cs="Arial"/>
                <w:sz w:val="20"/>
                <w:szCs w:val="20"/>
              </w:rPr>
              <w:t xml:space="preserve"> </w:t>
            </w:r>
            <w:r w:rsidRPr="009D55A6">
              <w:rPr>
                <w:rFonts w:cs="Arial"/>
                <w:color w:val="000000"/>
                <w:sz w:val="20"/>
                <w:szCs w:val="20"/>
                <w:shd w:val="clear" w:color="auto" w:fill="FFFFFF"/>
              </w:rPr>
              <w:t>Le très faible accès à l’eau potable, aux ouvrages d’assainissement ainsi que les épidémies récurrentes principalement le choléra, font du Nord-Kivu l’une des Provinces les plus vulnérables de la RDC (couverture en eau potable de 26 % et couverture en assainissement de 23 % selon les résultats de l’étude menée par la Banque Mondiale en juin 2011). La vulnérabilité aux épidémies est aggravée par les mouvements des populations liés au contexte de conflits armés, à la consommation de l’eau non traitée et au faible taux de lavage des mains aux moments clés.</w:t>
            </w:r>
          </w:p>
          <w:p w14:paraId="5434FBF0" w14:textId="77777777" w:rsidR="001C2F95" w:rsidRPr="009D55A6" w:rsidRDefault="001C2F95" w:rsidP="00971FD2">
            <w:pPr>
              <w:textAlignment w:val="baseline"/>
              <w:rPr>
                <w:rFonts w:cs="Arial"/>
                <w:color w:val="000000"/>
                <w:sz w:val="20"/>
                <w:szCs w:val="20"/>
                <w:shd w:val="clear" w:color="auto" w:fill="FFFFFF"/>
              </w:rPr>
            </w:pPr>
          </w:p>
          <w:p w14:paraId="0FB20D5E" w14:textId="77777777" w:rsidR="001C2F95" w:rsidRPr="009D55A6" w:rsidRDefault="001C2F95" w:rsidP="00971FD2">
            <w:pPr>
              <w:textAlignment w:val="baseline"/>
              <w:rPr>
                <w:rFonts w:cs="Arial"/>
                <w:color w:val="000000"/>
                <w:sz w:val="20"/>
                <w:szCs w:val="20"/>
                <w:shd w:val="clear" w:color="auto" w:fill="FFFFFF"/>
              </w:rPr>
            </w:pPr>
            <w:r w:rsidRPr="009D55A6">
              <w:rPr>
                <w:rFonts w:cs="Arial"/>
                <w:color w:val="000000"/>
                <w:sz w:val="20"/>
                <w:szCs w:val="20"/>
                <w:shd w:val="clear" w:color="auto" w:fill="FFFFFF"/>
              </w:rPr>
              <w:t>Au Nord-Kivu, la population s’approvisionne en eau du lac avec tout ce qu’elle présente comme risques du point de vue de la santé. Les jeunes filles/femmes/garçons puisent de l’eau tôt le matin et tard dans la soirée. Cette situation expose les filles/femmes aux actes des VBG, y compris l’EAS et le HS, dans la communauté lorsqu’elles se rendent au lac pour s’approvisionner en eau.</w:t>
            </w:r>
          </w:p>
        </w:tc>
      </w:tr>
      <w:tr w:rsidR="001C2F95" w:rsidRPr="00982564" w14:paraId="56DEE518"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67CA5DE8" w14:textId="77777777" w:rsidR="001C2F95" w:rsidRPr="009D55A6" w:rsidRDefault="001C2F95" w:rsidP="00971FD2">
            <w:pPr>
              <w:rPr>
                <w:rFonts w:eastAsia="Calibri" w:cs="Arial"/>
                <w:b/>
                <w:sz w:val="20"/>
                <w:szCs w:val="20"/>
              </w:rPr>
            </w:pPr>
            <w:r w:rsidRPr="009D55A6">
              <w:rPr>
                <w:rFonts w:eastAsia="Calibri" w:cs="Arial"/>
                <w:b/>
                <w:sz w:val="20"/>
                <w:szCs w:val="20"/>
              </w:rPr>
              <w:t>Communication</w:t>
            </w:r>
          </w:p>
        </w:tc>
        <w:tc>
          <w:tcPr>
            <w:tcW w:w="11287" w:type="dxa"/>
            <w:tcBorders>
              <w:top w:val="single" w:sz="4" w:space="0" w:color="000001"/>
              <w:left w:val="single" w:sz="4" w:space="0" w:color="000001"/>
              <w:bottom w:val="single" w:sz="4" w:space="0" w:color="000001"/>
              <w:right w:val="single" w:sz="4" w:space="0" w:color="000001"/>
            </w:tcBorders>
          </w:tcPr>
          <w:p w14:paraId="598177D4" w14:textId="77777777" w:rsidR="001C2F95" w:rsidRPr="009D55A6" w:rsidRDefault="001C2F95" w:rsidP="00971FD2">
            <w:pPr>
              <w:textAlignment w:val="baseline"/>
              <w:rPr>
                <w:rFonts w:cs="Arial"/>
                <w:color w:val="000000"/>
                <w:sz w:val="20"/>
                <w:szCs w:val="20"/>
              </w:rPr>
            </w:pPr>
            <w:r w:rsidRPr="009D55A6">
              <w:rPr>
                <w:rFonts w:cs="Arial"/>
                <w:color w:val="000000"/>
                <w:sz w:val="20"/>
                <w:szCs w:val="20"/>
              </w:rPr>
              <w:t>Le réseau téléphonique est composé du secteur public (Postes et Télécommunications) et du secteur privé (Airtel, Vodacom et   Orange).</w:t>
            </w:r>
            <w:r w:rsidRPr="009D55A6">
              <w:rPr>
                <w:rFonts w:cs="Arial"/>
                <w:sz w:val="20"/>
                <w:szCs w:val="20"/>
              </w:rPr>
              <w:t xml:space="preserve"> </w:t>
            </w:r>
            <w:r w:rsidRPr="009D55A6">
              <w:rPr>
                <w:rFonts w:cs="Arial"/>
                <w:color w:val="000000"/>
                <w:sz w:val="20"/>
                <w:szCs w:val="20"/>
              </w:rPr>
              <w:t>Certains utilisateurs rapportent se connecter à Internet via leur téléphone mobile mais fréquentent également les cyber-cafés dans les villes Il y a également plus d’une trentaine des radios et de télévisions locales.</w:t>
            </w:r>
          </w:p>
        </w:tc>
      </w:tr>
      <w:tr w:rsidR="001C2F95" w:rsidRPr="00982564" w14:paraId="64F2934A" w14:textId="77777777" w:rsidTr="00971FD2">
        <w:trPr>
          <w:trHeight w:val="274"/>
          <w:jc w:val="center"/>
        </w:trPr>
        <w:tc>
          <w:tcPr>
            <w:tcW w:w="237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4007A4D5" w14:textId="77777777" w:rsidR="001C2F95" w:rsidRPr="009D55A6" w:rsidRDefault="001C2F95" w:rsidP="00971FD2">
            <w:pPr>
              <w:rPr>
                <w:rFonts w:eastAsia="Calibri" w:cs="Arial"/>
                <w:b/>
                <w:sz w:val="20"/>
                <w:szCs w:val="20"/>
              </w:rPr>
            </w:pPr>
            <w:r w:rsidRPr="009D55A6">
              <w:rPr>
                <w:rFonts w:eastAsia="Calibri" w:cs="Arial"/>
                <w:b/>
                <w:sz w:val="20"/>
                <w:szCs w:val="20"/>
              </w:rPr>
              <w:t>Aire protégée</w:t>
            </w:r>
          </w:p>
        </w:tc>
        <w:tc>
          <w:tcPr>
            <w:tcW w:w="11287" w:type="dxa"/>
            <w:tcBorders>
              <w:top w:val="single" w:sz="4" w:space="0" w:color="000001"/>
              <w:left w:val="single" w:sz="4" w:space="0" w:color="000001"/>
              <w:bottom w:val="single" w:sz="4" w:space="0" w:color="000001"/>
              <w:right w:val="single" w:sz="4" w:space="0" w:color="000001"/>
            </w:tcBorders>
          </w:tcPr>
          <w:p w14:paraId="004B546D" w14:textId="77777777" w:rsidR="001C2F95" w:rsidRPr="009D55A6" w:rsidRDefault="001C2F95" w:rsidP="00971FD2">
            <w:pPr>
              <w:textAlignment w:val="baseline"/>
              <w:rPr>
                <w:rFonts w:cs="Arial"/>
                <w:color w:val="232323"/>
                <w:sz w:val="20"/>
                <w:szCs w:val="20"/>
                <w:shd w:val="clear" w:color="auto" w:fill="FFFFFF"/>
              </w:rPr>
            </w:pPr>
            <w:r w:rsidRPr="009D55A6">
              <w:rPr>
                <w:rFonts w:cs="Arial"/>
                <w:color w:val="000000"/>
                <w:sz w:val="20"/>
                <w:szCs w:val="20"/>
                <w:shd w:val="clear" w:color="auto" w:fill="FFFFFF"/>
              </w:rPr>
              <w:t xml:space="preserve">Situé en bordure du Rift Albertin, le Parc National des Virunga (PNVi) est l’une des aires protégées les plus spectaculaires d’Afrique. Des lacs aux volcans en activités, aux savanes, en passant par les forêts sèches, les forêts denses humides, les zones alpines afro-tropicales ; on peut être tenté de prétendre qu’il ne manque que le désert et la mer parmi les biomes présents dans le Parc National des Virunga. Premier Parc d’Afrique, il fut créé en 1925 pour protéger les gorilles de montagne établis sur les pentes des volcans Virunga. Il fut plus tard étendu au Nord pour inclure les plaines herbeuses de la Rwindi, le Lac Edouard, les forêts denses humides de la vallée de la Semeliki et le massif du Rwenzori avec ses neiges éternelles. </w:t>
            </w:r>
          </w:p>
        </w:tc>
      </w:tr>
    </w:tbl>
    <w:p w14:paraId="490978D7" w14:textId="77777777" w:rsidR="001C2F95" w:rsidRPr="00982564" w:rsidRDefault="001C2F95" w:rsidP="001C2F95">
      <w:pPr>
        <w:rPr>
          <w:rFonts w:cs="Arial"/>
          <w:sz w:val="22"/>
        </w:rPr>
        <w:sectPr w:rsidR="001C2F95" w:rsidRPr="00982564" w:rsidSect="00EB7F94">
          <w:pgSz w:w="16838" w:h="11906" w:orient="landscape"/>
          <w:pgMar w:top="1276" w:right="1440" w:bottom="851" w:left="1440" w:header="709" w:footer="79" w:gutter="0"/>
          <w:cols w:space="708"/>
          <w:docGrid w:linePitch="360"/>
        </w:sectPr>
      </w:pPr>
    </w:p>
    <w:p w14:paraId="5D4E58CD" w14:textId="232F8525" w:rsidR="00F7285D" w:rsidRPr="00F7285D" w:rsidRDefault="00F7285D" w:rsidP="00F7285D">
      <w:pPr>
        <w:pStyle w:val="Titre2"/>
        <w:numPr>
          <w:ilvl w:val="1"/>
          <w:numId w:val="4"/>
        </w:numPr>
        <w:ind w:left="851" w:hanging="425"/>
        <w:rPr>
          <w:rFonts w:cs="Arial"/>
          <w:b/>
          <w:szCs w:val="21"/>
        </w:rPr>
      </w:pPr>
      <w:bookmarkStart w:id="277" w:name="_Toc89921769"/>
      <w:bookmarkStart w:id="278" w:name="_Toc90393062"/>
      <w:bookmarkStart w:id="279" w:name="_Toc90471421"/>
      <w:bookmarkStart w:id="280" w:name="_Toc44626806"/>
      <w:bookmarkStart w:id="281" w:name="_Toc500754679"/>
      <w:r w:rsidRPr="00F7285D">
        <w:rPr>
          <w:b/>
          <w:szCs w:val="21"/>
        </w:rPr>
        <w:t>Brève présentation du Parc National des Virunga (PNVi) (784 368 ha)</w:t>
      </w:r>
      <w:bookmarkEnd w:id="277"/>
      <w:bookmarkEnd w:id="278"/>
      <w:bookmarkEnd w:id="279"/>
      <w:r w:rsidRPr="00F7285D">
        <w:rPr>
          <w:b/>
          <w:szCs w:val="21"/>
        </w:rPr>
        <w:t xml:space="preserve"> </w:t>
      </w:r>
    </w:p>
    <w:p w14:paraId="21B19E65" w14:textId="77777777" w:rsidR="00F7285D" w:rsidRPr="0029055B" w:rsidRDefault="00F7285D" w:rsidP="00F7285D">
      <w:pPr>
        <w:rPr>
          <w:szCs w:val="21"/>
        </w:rPr>
      </w:pPr>
    </w:p>
    <w:p w14:paraId="36164E13" w14:textId="77777777" w:rsidR="00F7285D" w:rsidRPr="0029055B" w:rsidRDefault="00F7285D" w:rsidP="00F7285D">
      <w:pPr>
        <w:rPr>
          <w:szCs w:val="21"/>
        </w:rPr>
      </w:pPr>
      <w:r w:rsidRPr="0029055B">
        <w:rPr>
          <w:szCs w:val="21"/>
        </w:rPr>
        <w:t xml:space="preserve">Créé le 21 avril 1925, le Parc National des Virunga – alors appelé Parc National Albert – s’étendait sur les volcans endormis du massif des Virunga et il avait pour vocation première la protection des gorilles de montagne Gorilla beringei beringei. En juin 1960, à l’indépendance de la RDC, le parc national des Volcans fut divisé en deux parties, portant la superficie de la partie congolaise à sa taille actuelle de 784 368 ha. Le PNVi se caractérise par une biodiversité d’une variété exceptionnelle d’habitats allant des glaciers du Mont Ruwenzori jusqu’aux savanes herbeuses, de la Rwindi en passant par la grande forêt humide de la moyenne Semliki, les forêts montagnardes, les forêts sèches de Tongo et tout un ensemble d’habitats aquatiques (marais d’altitude, lac, marécages, sources d’eau chaude), ainsi que les laves de volcans actifs. Le parc compte 218 espèces de mammifères dont 21 sont endémiques au Rift Albertin. </w:t>
      </w:r>
    </w:p>
    <w:p w14:paraId="10BE1063" w14:textId="77777777" w:rsidR="00F7285D" w:rsidRPr="0029055B" w:rsidRDefault="00F7285D" w:rsidP="00F7285D">
      <w:pPr>
        <w:rPr>
          <w:szCs w:val="21"/>
        </w:rPr>
      </w:pPr>
    </w:p>
    <w:p w14:paraId="66876581" w14:textId="77777777" w:rsidR="00F7285D" w:rsidRPr="0029055B" w:rsidRDefault="00F7285D" w:rsidP="00F7285D">
      <w:pPr>
        <w:rPr>
          <w:szCs w:val="21"/>
        </w:rPr>
      </w:pPr>
      <w:r w:rsidRPr="0029055B">
        <w:rPr>
          <w:szCs w:val="21"/>
        </w:rPr>
        <w:t xml:space="preserve">D’une manière générale, bien qu’il possède des espèces emblématiques telles que le Lion Panthera leo, le Buffle Syncerus caffer ou l’Eléphant Loxodonta africana, le PNVi est relativement peu varié en ce qui concerne les grands mammifères de savane. Mais leur abondance en temps normal est inégalée. La principale raison de cette forte biomasse était la présence de la plus grande population d’hippopotames Hippopotamus amphibius au monde, mais cette dernière a été fortement réduite au cours des dernières années de conflit. Une espèce de carnivore, le Lycaon Lycaon pictus, aurait disparu dans les années 1950. </w:t>
      </w:r>
    </w:p>
    <w:p w14:paraId="734DE0E6" w14:textId="77777777" w:rsidR="00F7285D" w:rsidRPr="0029055B" w:rsidRDefault="00F7285D" w:rsidP="00F7285D">
      <w:pPr>
        <w:rPr>
          <w:szCs w:val="21"/>
        </w:rPr>
      </w:pPr>
    </w:p>
    <w:p w14:paraId="0DB9CBFF" w14:textId="77777777" w:rsidR="00F7285D" w:rsidRPr="0029055B" w:rsidRDefault="00F7285D" w:rsidP="00F7285D">
      <w:pPr>
        <w:rPr>
          <w:szCs w:val="21"/>
        </w:rPr>
      </w:pPr>
      <w:r w:rsidRPr="0029055B">
        <w:rPr>
          <w:szCs w:val="21"/>
        </w:rPr>
        <w:t>Le parc abrite 22 espèces de primates. Le PNVi est aussi le seul parc au monde abritant trois taxons de grands singes, à savoir le Gorille de montagne Gorilla beringei beringei, le Gorille de Grauer Gorilla beringei graueri et le Chimpanzé de l’Est Pan troglodytes schweinfurtii. Le parc abrite aussi plusieurs espèces d’ongulés, et un nombre important d’espèces d’oiseaux. Les reptiles et amphibiens présentent un nombre d’espèces endémiques particulièrement élevé, avec 119 espèces de reptiles, dont 11 endémiques, et 78 espèces d’amphibiens, dont 21 endémiques. Parmi les reptiles, les tortues sont peu représentées. Le PNVi présente une richesse floristique remarquable due à sa grande diversité de biotopes et habitats naturels ainsi qu’à sa position phytogéographique à la confluence de trois zones différentes : la région guinéo-congolaise, la région afro-montagnarde et la région des lacs centrafricains. Pour les seules plantes à fleurs, on recense 2 077 plantes dont un minimum de 230 espèces endémiques. Cette grande diversité d’espèces s’accompagne d’un taux d’endémisme élevé. Ainsi, pour un total de 584 espèces recensées au Ruwenzori, 75 espèces n’existent que dans ce massif, ce qui constitue un taux d’endémisme exceptionnellement élevé de 13%.</w:t>
      </w:r>
    </w:p>
    <w:p w14:paraId="2BD3B39B" w14:textId="77777777" w:rsidR="00F7285D" w:rsidRPr="0029055B" w:rsidRDefault="00F7285D" w:rsidP="00F7285D">
      <w:pPr>
        <w:rPr>
          <w:szCs w:val="21"/>
        </w:rPr>
      </w:pPr>
    </w:p>
    <w:p w14:paraId="739DFD19" w14:textId="77777777" w:rsidR="00F7285D" w:rsidRPr="00F7285D" w:rsidRDefault="00F7285D" w:rsidP="00F7285D">
      <w:pPr>
        <w:rPr>
          <w:i/>
          <w:szCs w:val="21"/>
        </w:rPr>
      </w:pPr>
      <w:bookmarkStart w:id="282" w:name="_Toc262447564"/>
      <w:bookmarkStart w:id="283" w:name="_Toc262983231"/>
      <w:bookmarkStart w:id="284" w:name="_Toc272741596"/>
      <w:bookmarkStart w:id="285" w:name="_Toc273687035"/>
      <w:bookmarkStart w:id="286" w:name="_Toc274325652"/>
      <w:bookmarkStart w:id="287" w:name="_Toc281218492"/>
      <w:r w:rsidRPr="00F7285D">
        <w:rPr>
          <w:i/>
          <w:szCs w:val="21"/>
        </w:rPr>
        <w:t>Situation de la Flore</w:t>
      </w:r>
      <w:bookmarkEnd w:id="282"/>
      <w:bookmarkEnd w:id="283"/>
      <w:bookmarkEnd w:id="284"/>
      <w:bookmarkEnd w:id="285"/>
      <w:bookmarkEnd w:id="286"/>
      <w:bookmarkEnd w:id="287"/>
      <w:r w:rsidRPr="00F7285D">
        <w:rPr>
          <w:i/>
          <w:szCs w:val="21"/>
        </w:rPr>
        <w:t xml:space="preserve"> dans le PNVi</w:t>
      </w:r>
    </w:p>
    <w:p w14:paraId="0F03A657" w14:textId="77777777" w:rsidR="00F7285D" w:rsidRPr="0029055B" w:rsidRDefault="00F7285D" w:rsidP="00F7285D">
      <w:pPr>
        <w:rPr>
          <w:szCs w:val="21"/>
        </w:rPr>
      </w:pPr>
    </w:p>
    <w:p w14:paraId="1A110DA2" w14:textId="77777777" w:rsidR="00F7285D" w:rsidRPr="0029055B" w:rsidRDefault="00F7285D" w:rsidP="00F7285D">
      <w:pPr>
        <w:rPr>
          <w:szCs w:val="21"/>
        </w:rPr>
      </w:pPr>
      <w:r w:rsidRPr="0029055B">
        <w:rPr>
          <w:szCs w:val="21"/>
        </w:rPr>
        <w:t>La flore d’une région est l’ensemble d’espèces rencontrées pendant l’inventaire, elle dépend des facteurs anciens notamment pour le cas d’espèce du climat, de la topographie et de l’histoire génétique de la région.</w:t>
      </w:r>
    </w:p>
    <w:p w14:paraId="1B44B1E8" w14:textId="77777777" w:rsidR="00F7285D" w:rsidRPr="0029055B" w:rsidRDefault="00F7285D" w:rsidP="00F7285D">
      <w:pPr>
        <w:rPr>
          <w:szCs w:val="21"/>
        </w:rPr>
      </w:pPr>
    </w:p>
    <w:p w14:paraId="3569D1A5" w14:textId="77777777" w:rsidR="00F7285D" w:rsidRPr="0029055B" w:rsidRDefault="00F7285D" w:rsidP="00F7285D">
      <w:pPr>
        <w:rPr>
          <w:szCs w:val="21"/>
        </w:rPr>
      </w:pPr>
      <w:r w:rsidRPr="0029055B">
        <w:rPr>
          <w:szCs w:val="21"/>
        </w:rPr>
        <w:t xml:space="preserve">La flore du PNVi est riche et diversifiée et essentiellement constituée des Magnoliophyta (Angiospermes ou plantes à fleurs ayant un ovule caché), Pinophyta (Gymnospermes ou plantes à ovule ou graine nu). Environ plus de deux mille espèces existent dans l’aire du Bloc V et ses environs parmi lesquelles 230 sont endémiques au rift Albertin et 10 espèces menacées d’extinction. Le long et les alentours des sites font état de la présence de plus de 100 espèces principales, constituant les caractéristiques de la flore du Bloc. Ce sont des arbres, pour la plupart des émergents dominant et caractérisant les types de forêts du Bloc. </w:t>
      </w:r>
    </w:p>
    <w:p w14:paraId="379C81E8" w14:textId="77777777" w:rsidR="00F7285D" w:rsidRPr="0029055B" w:rsidRDefault="00F7285D" w:rsidP="00F7285D">
      <w:pPr>
        <w:rPr>
          <w:szCs w:val="21"/>
        </w:rPr>
      </w:pPr>
      <w:r w:rsidRPr="0029055B">
        <w:rPr>
          <w:szCs w:val="21"/>
        </w:rPr>
        <w:t>Les principaux groupes taxonomiques sont présentés dans le tableau 9. Nous allons dans le souci de nous conformer à l’évolution scientifique des recherches en matière de la biodiversité, adapter dans ce tableau, la classification des espèces aux modifications apportées dans le nouveau code international de la taxonomie, des ouvrages récents sur la systématique des plantes (voir bibliographie) et aux différentes réunions plénières de l’AETFAT (2007 et 2010). Par exemple les anciennes familles des Caesalpiniaceae, Fabaceae et Mimosaceae qui sont devenues des sous-familles (Caesalpinioideae, Faboideae et Mimosoideae) dans la famille des Fabaceae ; les Sterculiaceae, Tiliaceae incorporées comme sous familles (Sterculioideae, Tilioideae) dans la famille des Malvaceae, et les Capparaceae incluse actuellement dans les Brassicaceae. Mais il est important de rappeler qu’il est très difficile qu’en temps très court que nous arrivions à préciser le pourcentage de chaque espèce dans tout le périmètre du Bloc. Ce qu’il faut noter qu’il y a plus de 200 espèces végétales à proprement dites endémiques et 10 qui sont menacées d’extinction dans la région où appartient le Bloc V (Languy et De Merode, 2006).</w:t>
      </w:r>
    </w:p>
    <w:p w14:paraId="0A306864" w14:textId="77777777" w:rsidR="00F7285D" w:rsidRPr="0029055B" w:rsidRDefault="00F7285D" w:rsidP="00F7285D">
      <w:pPr>
        <w:rPr>
          <w:szCs w:val="21"/>
        </w:rPr>
      </w:pPr>
    </w:p>
    <w:p w14:paraId="7E218643" w14:textId="77777777" w:rsidR="00F7285D" w:rsidRPr="0029055B" w:rsidRDefault="00F7285D" w:rsidP="00F7285D">
      <w:pPr>
        <w:rPr>
          <w:szCs w:val="21"/>
        </w:rPr>
      </w:pPr>
      <w:bookmarkStart w:id="288" w:name="_Toc89921651"/>
      <w:bookmarkStart w:id="289" w:name="_Toc90392977"/>
      <w:r w:rsidRPr="0029055B">
        <w:rPr>
          <w:szCs w:val="21"/>
        </w:rPr>
        <w:t xml:space="preserve">Tableau </w:t>
      </w:r>
      <w:r w:rsidRPr="0029055B">
        <w:rPr>
          <w:szCs w:val="21"/>
        </w:rPr>
        <w:fldChar w:fldCharType="begin"/>
      </w:r>
      <w:r w:rsidRPr="0029055B">
        <w:rPr>
          <w:szCs w:val="21"/>
        </w:rPr>
        <w:instrText xml:space="preserve"> SEQ Tableau \* ARABIC </w:instrText>
      </w:r>
      <w:r w:rsidRPr="0029055B">
        <w:rPr>
          <w:szCs w:val="21"/>
        </w:rPr>
        <w:fldChar w:fldCharType="separate"/>
      </w:r>
      <w:r w:rsidRPr="0029055B">
        <w:rPr>
          <w:szCs w:val="21"/>
        </w:rPr>
        <w:t>9</w:t>
      </w:r>
      <w:r w:rsidRPr="0029055B">
        <w:rPr>
          <w:szCs w:val="21"/>
        </w:rPr>
        <w:fldChar w:fldCharType="end"/>
      </w:r>
      <w:r w:rsidRPr="0029055B">
        <w:rPr>
          <w:szCs w:val="21"/>
        </w:rPr>
        <w:t>. Espèces caractéristiques des principaux groupes taxonomiques de la flore rencontrée dans les périmètres du Bloc en étude.</w:t>
      </w:r>
      <w:bookmarkEnd w:id="288"/>
      <w:bookmarkEnd w:id="289"/>
    </w:p>
    <w:p w14:paraId="6728B28C" w14:textId="77777777" w:rsidR="00F7285D" w:rsidRPr="0029055B" w:rsidRDefault="00F7285D" w:rsidP="00F7285D">
      <w:pPr>
        <w:rPr>
          <w:szCs w:val="21"/>
        </w:rPr>
      </w:pPr>
    </w:p>
    <w:tbl>
      <w:tblPr>
        <w:tblW w:w="10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0"/>
        <w:gridCol w:w="2980"/>
        <w:gridCol w:w="3122"/>
        <w:gridCol w:w="1559"/>
        <w:gridCol w:w="1921"/>
      </w:tblGrid>
      <w:tr w:rsidR="00F7285D" w:rsidRPr="0029055B" w14:paraId="4ADF345F" w14:textId="77777777" w:rsidTr="008709A1">
        <w:trPr>
          <w:trHeight w:val="255"/>
          <w:jc w:val="center"/>
        </w:trPr>
        <w:tc>
          <w:tcPr>
            <w:tcW w:w="500" w:type="dxa"/>
            <w:tcBorders>
              <w:top w:val="single" w:sz="8" w:space="0" w:color="auto"/>
              <w:left w:val="single" w:sz="8" w:space="0" w:color="auto"/>
              <w:bottom w:val="single" w:sz="8" w:space="0" w:color="auto"/>
              <w:right w:val="single" w:sz="8" w:space="0" w:color="auto"/>
            </w:tcBorders>
            <w:shd w:val="clear" w:color="auto" w:fill="E2EFD9"/>
          </w:tcPr>
          <w:p w14:paraId="1F568897" w14:textId="77777777" w:rsidR="00F7285D" w:rsidRPr="0029055B" w:rsidRDefault="00F7285D" w:rsidP="008709A1">
            <w:pPr>
              <w:rPr>
                <w:szCs w:val="21"/>
              </w:rPr>
            </w:pPr>
            <w:r w:rsidRPr="0029055B">
              <w:rPr>
                <w:szCs w:val="21"/>
              </w:rPr>
              <w:t>N°</w:t>
            </w:r>
          </w:p>
        </w:tc>
        <w:tc>
          <w:tcPr>
            <w:tcW w:w="2980" w:type="dxa"/>
            <w:tcBorders>
              <w:top w:val="single" w:sz="8" w:space="0" w:color="auto"/>
              <w:left w:val="single" w:sz="8" w:space="0" w:color="auto"/>
              <w:bottom w:val="single" w:sz="8" w:space="0" w:color="auto"/>
              <w:right w:val="single" w:sz="8" w:space="0" w:color="auto"/>
            </w:tcBorders>
            <w:shd w:val="clear" w:color="auto" w:fill="E2EFD9"/>
          </w:tcPr>
          <w:p w14:paraId="55C2D9A1" w14:textId="77777777" w:rsidR="00F7285D" w:rsidRPr="0029055B" w:rsidRDefault="00F7285D" w:rsidP="008709A1">
            <w:pPr>
              <w:rPr>
                <w:szCs w:val="21"/>
              </w:rPr>
            </w:pPr>
            <w:r w:rsidRPr="0029055B">
              <w:rPr>
                <w:szCs w:val="21"/>
              </w:rPr>
              <w:t>Familles</w:t>
            </w:r>
          </w:p>
        </w:tc>
        <w:tc>
          <w:tcPr>
            <w:tcW w:w="3122" w:type="dxa"/>
            <w:tcBorders>
              <w:top w:val="single" w:sz="8" w:space="0" w:color="auto"/>
              <w:left w:val="single" w:sz="8" w:space="0" w:color="auto"/>
              <w:bottom w:val="single" w:sz="8" w:space="0" w:color="auto"/>
              <w:right w:val="single" w:sz="8" w:space="0" w:color="auto"/>
            </w:tcBorders>
            <w:shd w:val="clear" w:color="auto" w:fill="E2EFD9"/>
          </w:tcPr>
          <w:p w14:paraId="2F23C7FC" w14:textId="77777777" w:rsidR="00F7285D" w:rsidRPr="0029055B" w:rsidRDefault="00F7285D" w:rsidP="008709A1">
            <w:pPr>
              <w:rPr>
                <w:szCs w:val="21"/>
              </w:rPr>
            </w:pPr>
            <w:r w:rsidRPr="0029055B">
              <w:rPr>
                <w:szCs w:val="21"/>
              </w:rPr>
              <w:t>Noms scientifiques</w:t>
            </w:r>
          </w:p>
        </w:tc>
        <w:tc>
          <w:tcPr>
            <w:tcW w:w="1559" w:type="dxa"/>
            <w:tcBorders>
              <w:top w:val="single" w:sz="8" w:space="0" w:color="auto"/>
              <w:left w:val="single" w:sz="8" w:space="0" w:color="auto"/>
              <w:bottom w:val="single" w:sz="8" w:space="0" w:color="auto"/>
              <w:right w:val="single" w:sz="8" w:space="0" w:color="auto"/>
            </w:tcBorders>
            <w:shd w:val="clear" w:color="auto" w:fill="E2EFD9"/>
          </w:tcPr>
          <w:p w14:paraId="0ABBE7DD" w14:textId="77777777" w:rsidR="00F7285D" w:rsidRPr="0029055B" w:rsidRDefault="00F7285D" w:rsidP="008709A1">
            <w:pPr>
              <w:rPr>
                <w:szCs w:val="21"/>
              </w:rPr>
            </w:pPr>
            <w:r w:rsidRPr="0029055B">
              <w:rPr>
                <w:szCs w:val="21"/>
              </w:rPr>
              <w:t>Nom commun</w:t>
            </w:r>
          </w:p>
        </w:tc>
        <w:tc>
          <w:tcPr>
            <w:tcW w:w="1921" w:type="dxa"/>
            <w:tcBorders>
              <w:top w:val="single" w:sz="8" w:space="0" w:color="auto"/>
              <w:left w:val="single" w:sz="8" w:space="0" w:color="auto"/>
              <w:bottom w:val="single" w:sz="8" w:space="0" w:color="auto"/>
              <w:right w:val="single" w:sz="8" w:space="0" w:color="auto"/>
            </w:tcBorders>
            <w:shd w:val="clear" w:color="auto" w:fill="E2EFD9"/>
          </w:tcPr>
          <w:p w14:paraId="65BAD08A" w14:textId="77777777" w:rsidR="00F7285D" w:rsidRPr="0029055B" w:rsidRDefault="00F7285D" w:rsidP="008709A1">
            <w:pPr>
              <w:rPr>
                <w:szCs w:val="21"/>
              </w:rPr>
            </w:pPr>
            <w:r w:rsidRPr="0029055B">
              <w:rPr>
                <w:szCs w:val="21"/>
              </w:rPr>
              <w:t>Habitat</w:t>
            </w:r>
          </w:p>
        </w:tc>
      </w:tr>
      <w:tr w:rsidR="00F7285D" w:rsidRPr="0029055B" w14:paraId="572C2A1A" w14:textId="77777777" w:rsidTr="008709A1">
        <w:trPr>
          <w:trHeight w:val="255"/>
          <w:jc w:val="center"/>
        </w:trPr>
        <w:tc>
          <w:tcPr>
            <w:tcW w:w="500" w:type="dxa"/>
            <w:tcBorders>
              <w:top w:val="single" w:sz="8" w:space="0" w:color="auto"/>
              <w:left w:val="single" w:sz="8" w:space="0" w:color="auto"/>
            </w:tcBorders>
          </w:tcPr>
          <w:p w14:paraId="6FE8EC1D" w14:textId="77777777" w:rsidR="00F7285D" w:rsidRPr="0029055B" w:rsidRDefault="00F7285D" w:rsidP="008709A1">
            <w:pPr>
              <w:rPr>
                <w:szCs w:val="21"/>
              </w:rPr>
            </w:pPr>
            <w:r w:rsidRPr="0029055B">
              <w:rPr>
                <w:szCs w:val="21"/>
              </w:rPr>
              <w:t>1</w:t>
            </w:r>
          </w:p>
        </w:tc>
        <w:tc>
          <w:tcPr>
            <w:tcW w:w="2980" w:type="dxa"/>
            <w:tcBorders>
              <w:top w:val="single" w:sz="8" w:space="0" w:color="auto"/>
            </w:tcBorders>
          </w:tcPr>
          <w:p w14:paraId="55B6F8F0" w14:textId="77777777" w:rsidR="00F7285D" w:rsidRPr="0029055B" w:rsidRDefault="00F7285D" w:rsidP="008709A1">
            <w:pPr>
              <w:rPr>
                <w:szCs w:val="21"/>
              </w:rPr>
            </w:pPr>
            <w:r w:rsidRPr="0029055B">
              <w:rPr>
                <w:szCs w:val="21"/>
              </w:rPr>
              <w:t>Fabaceae/Mimosoideae</w:t>
            </w:r>
          </w:p>
        </w:tc>
        <w:tc>
          <w:tcPr>
            <w:tcW w:w="3122" w:type="dxa"/>
            <w:tcBorders>
              <w:top w:val="single" w:sz="8" w:space="0" w:color="auto"/>
            </w:tcBorders>
          </w:tcPr>
          <w:p w14:paraId="6778F84F" w14:textId="77777777" w:rsidR="00F7285D" w:rsidRPr="0029055B" w:rsidRDefault="00F7285D" w:rsidP="008709A1">
            <w:pPr>
              <w:rPr>
                <w:szCs w:val="21"/>
              </w:rPr>
            </w:pPr>
            <w:r w:rsidRPr="0029055B">
              <w:rPr>
                <w:szCs w:val="21"/>
              </w:rPr>
              <w:t>Acacia gerrardii (A)</w:t>
            </w:r>
          </w:p>
        </w:tc>
        <w:tc>
          <w:tcPr>
            <w:tcW w:w="1559" w:type="dxa"/>
            <w:tcBorders>
              <w:top w:val="single" w:sz="8" w:space="0" w:color="auto"/>
            </w:tcBorders>
          </w:tcPr>
          <w:p w14:paraId="26DAE8D6" w14:textId="77777777" w:rsidR="00F7285D" w:rsidRPr="0029055B" w:rsidRDefault="00F7285D" w:rsidP="008709A1">
            <w:pPr>
              <w:rPr>
                <w:szCs w:val="21"/>
              </w:rPr>
            </w:pPr>
          </w:p>
        </w:tc>
        <w:tc>
          <w:tcPr>
            <w:tcW w:w="1921" w:type="dxa"/>
            <w:tcBorders>
              <w:top w:val="single" w:sz="8" w:space="0" w:color="auto"/>
              <w:right w:val="single" w:sz="8" w:space="0" w:color="auto"/>
            </w:tcBorders>
          </w:tcPr>
          <w:p w14:paraId="37231011" w14:textId="77777777" w:rsidR="00F7285D" w:rsidRPr="0029055B" w:rsidRDefault="00F7285D" w:rsidP="008709A1">
            <w:pPr>
              <w:rPr>
                <w:szCs w:val="21"/>
              </w:rPr>
            </w:pPr>
            <w:r w:rsidRPr="0029055B">
              <w:rPr>
                <w:szCs w:val="21"/>
              </w:rPr>
              <w:t>Fha</w:t>
            </w:r>
          </w:p>
        </w:tc>
      </w:tr>
      <w:tr w:rsidR="00F7285D" w:rsidRPr="0029055B" w14:paraId="69383613" w14:textId="77777777" w:rsidTr="008709A1">
        <w:trPr>
          <w:trHeight w:val="255"/>
          <w:jc w:val="center"/>
        </w:trPr>
        <w:tc>
          <w:tcPr>
            <w:tcW w:w="500" w:type="dxa"/>
            <w:tcBorders>
              <w:left w:val="single" w:sz="8" w:space="0" w:color="auto"/>
            </w:tcBorders>
          </w:tcPr>
          <w:p w14:paraId="5457FDB0" w14:textId="77777777" w:rsidR="00F7285D" w:rsidRPr="0029055B" w:rsidRDefault="00F7285D" w:rsidP="008709A1">
            <w:pPr>
              <w:rPr>
                <w:szCs w:val="21"/>
              </w:rPr>
            </w:pPr>
            <w:r w:rsidRPr="0029055B">
              <w:rPr>
                <w:szCs w:val="21"/>
              </w:rPr>
              <w:t>2</w:t>
            </w:r>
          </w:p>
        </w:tc>
        <w:tc>
          <w:tcPr>
            <w:tcW w:w="2980" w:type="dxa"/>
          </w:tcPr>
          <w:p w14:paraId="4EAC2566" w14:textId="77777777" w:rsidR="00F7285D" w:rsidRPr="0029055B" w:rsidRDefault="00F7285D" w:rsidP="008709A1">
            <w:pPr>
              <w:rPr>
                <w:szCs w:val="21"/>
              </w:rPr>
            </w:pPr>
            <w:r w:rsidRPr="0029055B">
              <w:rPr>
                <w:szCs w:val="21"/>
              </w:rPr>
              <w:t>Fabaceae/Mimosoideae</w:t>
            </w:r>
          </w:p>
        </w:tc>
        <w:tc>
          <w:tcPr>
            <w:tcW w:w="3122" w:type="dxa"/>
          </w:tcPr>
          <w:p w14:paraId="3D239970" w14:textId="77777777" w:rsidR="00F7285D" w:rsidRPr="0029055B" w:rsidRDefault="00F7285D" w:rsidP="008709A1">
            <w:pPr>
              <w:rPr>
                <w:szCs w:val="21"/>
              </w:rPr>
            </w:pPr>
            <w:r w:rsidRPr="0029055B">
              <w:rPr>
                <w:szCs w:val="21"/>
              </w:rPr>
              <w:t>Acacia nefasia (A’)</w:t>
            </w:r>
          </w:p>
        </w:tc>
        <w:tc>
          <w:tcPr>
            <w:tcW w:w="1559" w:type="dxa"/>
          </w:tcPr>
          <w:p w14:paraId="19C2404C" w14:textId="77777777" w:rsidR="00F7285D" w:rsidRPr="0029055B" w:rsidRDefault="00F7285D" w:rsidP="008709A1">
            <w:pPr>
              <w:rPr>
                <w:szCs w:val="21"/>
              </w:rPr>
            </w:pPr>
          </w:p>
        </w:tc>
        <w:tc>
          <w:tcPr>
            <w:tcW w:w="1921" w:type="dxa"/>
            <w:tcBorders>
              <w:right w:val="single" w:sz="8" w:space="0" w:color="auto"/>
            </w:tcBorders>
          </w:tcPr>
          <w:p w14:paraId="4C295895" w14:textId="77777777" w:rsidR="00F7285D" w:rsidRPr="0029055B" w:rsidRDefault="00F7285D" w:rsidP="008709A1">
            <w:pPr>
              <w:rPr>
                <w:szCs w:val="21"/>
              </w:rPr>
            </w:pPr>
            <w:r w:rsidRPr="0029055B">
              <w:rPr>
                <w:szCs w:val="21"/>
              </w:rPr>
              <w:t>Fha</w:t>
            </w:r>
          </w:p>
        </w:tc>
      </w:tr>
      <w:tr w:rsidR="00F7285D" w:rsidRPr="0029055B" w14:paraId="49735E6A" w14:textId="77777777" w:rsidTr="008709A1">
        <w:trPr>
          <w:trHeight w:val="255"/>
          <w:jc w:val="center"/>
        </w:trPr>
        <w:tc>
          <w:tcPr>
            <w:tcW w:w="500" w:type="dxa"/>
            <w:tcBorders>
              <w:left w:val="single" w:sz="8" w:space="0" w:color="auto"/>
            </w:tcBorders>
          </w:tcPr>
          <w:p w14:paraId="2C7F70F6" w14:textId="77777777" w:rsidR="00F7285D" w:rsidRPr="0029055B" w:rsidRDefault="00F7285D" w:rsidP="008709A1">
            <w:pPr>
              <w:rPr>
                <w:szCs w:val="21"/>
              </w:rPr>
            </w:pPr>
            <w:r w:rsidRPr="0029055B">
              <w:rPr>
                <w:szCs w:val="21"/>
              </w:rPr>
              <w:t>3</w:t>
            </w:r>
          </w:p>
        </w:tc>
        <w:tc>
          <w:tcPr>
            <w:tcW w:w="2980" w:type="dxa"/>
          </w:tcPr>
          <w:p w14:paraId="301D6316" w14:textId="77777777" w:rsidR="00F7285D" w:rsidRPr="0029055B" w:rsidRDefault="00F7285D" w:rsidP="008709A1">
            <w:pPr>
              <w:rPr>
                <w:szCs w:val="21"/>
              </w:rPr>
            </w:pPr>
            <w:r w:rsidRPr="0029055B">
              <w:rPr>
                <w:szCs w:val="21"/>
              </w:rPr>
              <w:t>Fabaceae/Mimosoideae</w:t>
            </w:r>
          </w:p>
        </w:tc>
        <w:tc>
          <w:tcPr>
            <w:tcW w:w="3122" w:type="dxa"/>
          </w:tcPr>
          <w:p w14:paraId="726F1509" w14:textId="77777777" w:rsidR="00F7285D" w:rsidRPr="0029055B" w:rsidRDefault="00F7285D" w:rsidP="008709A1">
            <w:pPr>
              <w:rPr>
                <w:szCs w:val="21"/>
              </w:rPr>
            </w:pPr>
            <w:r w:rsidRPr="0029055B">
              <w:rPr>
                <w:szCs w:val="21"/>
              </w:rPr>
              <w:t>Acacia siberiana (A)</w:t>
            </w:r>
          </w:p>
        </w:tc>
        <w:tc>
          <w:tcPr>
            <w:tcW w:w="1559" w:type="dxa"/>
          </w:tcPr>
          <w:p w14:paraId="2A86F681" w14:textId="77777777" w:rsidR="00F7285D" w:rsidRPr="0029055B" w:rsidRDefault="00F7285D" w:rsidP="008709A1">
            <w:pPr>
              <w:rPr>
                <w:szCs w:val="21"/>
              </w:rPr>
            </w:pPr>
            <w:r w:rsidRPr="0029055B">
              <w:rPr>
                <w:szCs w:val="21"/>
              </w:rPr>
              <w:t>Uumungando</w:t>
            </w:r>
          </w:p>
        </w:tc>
        <w:tc>
          <w:tcPr>
            <w:tcW w:w="1921" w:type="dxa"/>
            <w:tcBorders>
              <w:right w:val="single" w:sz="8" w:space="0" w:color="auto"/>
            </w:tcBorders>
          </w:tcPr>
          <w:p w14:paraId="16AB6CA3" w14:textId="77777777" w:rsidR="00F7285D" w:rsidRPr="0029055B" w:rsidRDefault="00F7285D" w:rsidP="008709A1">
            <w:pPr>
              <w:rPr>
                <w:szCs w:val="21"/>
              </w:rPr>
            </w:pPr>
            <w:r w:rsidRPr="0029055B">
              <w:rPr>
                <w:szCs w:val="21"/>
              </w:rPr>
              <w:t>Fha</w:t>
            </w:r>
          </w:p>
        </w:tc>
      </w:tr>
      <w:tr w:rsidR="00F7285D" w:rsidRPr="0029055B" w14:paraId="56392915" w14:textId="77777777" w:rsidTr="008709A1">
        <w:trPr>
          <w:trHeight w:val="255"/>
          <w:jc w:val="center"/>
        </w:trPr>
        <w:tc>
          <w:tcPr>
            <w:tcW w:w="500" w:type="dxa"/>
            <w:tcBorders>
              <w:left w:val="single" w:sz="8" w:space="0" w:color="auto"/>
            </w:tcBorders>
          </w:tcPr>
          <w:p w14:paraId="69F9E0FF" w14:textId="77777777" w:rsidR="00F7285D" w:rsidRPr="0029055B" w:rsidRDefault="00F7285D" w:rsidP="008709A1">
            <w:pPr>
              <w:rPr>
                <w:szCs w:val="21"/>
              </w:rPr>
            </w:pPr>
            <w:r w:rsidRPr="0029055B">
              <w:rPr>
                <w:szCs w:val="21"/>
              </w:rPr>
              <w:t>4</w:t>
            </w:r>
          </w:p>
        </w:tc>
        <w:tc>
          <w:tcPr>
            <w:tcW w:w="2980" w:type="dxa"/>
          </w:tcPr>
          <w:p w14:paraId="32398455" w14:textId="77777777" w:rsidR="00F7285D" w:rsidRPr="0029055B" w:rsidRDefault="00F7285D" w:rsidP="008709A1">
            <w:pPr>
              <w:rPr>
                <w:szCs w:val="21"/>
              </w:rPr>
            </w:pPr>
            <w:r w:rsidRPr="0029055B">
              <w:rPr>
                <w:szCs w:val="21"/>
              </w:rPr>
              <w:t>Acanthaceae</w:t>
            </w:r>
          </w:p>
        </w:tc>
        <w:tc>
          <w:tcPr>
            <w:tcW w:w="3122" w:type="dxa"/>
          </w:tcPr>
          <w:p w14:paraId="639687B8" w14:textId="77777777" w:rsidR="00F7285D" w:rsidRPr="0029055B" w:rsidRDefault="00F7285D" w:rsidP="008709A1">
            <w:pPr>
              <w:rPr>
                <w:szCs w:val="21"/>
              </w:rPr>
            </w:pPr>
            <w:r w:rsidRPr="0029055B">
              <w:rPr>
                <w:szCs w:val="21"/>
              </w:rPr>
              <w:t>Acanthus montanus</w:t>
            </w:r>
          </w:p>
        </w:tc>
        <w:tc>
          <w:tcPr>
            <w:tcW w:w="1559" w:type="dxa"/>
          </w:tcPr>
          <w:p w14:paraId="20E18BB1" w14:textId="77777777" w:rsidR="00F7285D" w:rsidRPr="0029055B" w:rsidRDefault="00F7285D" w:rsidP="008709A1">
            <w:pPr>
              <w:rPr>
                <w:szCs w:val="21"/>
              </w:rPr>
            </w:pPr>
          </w:p>
        </w:tc>
        <w:tc>
          <w:tcPr>
            <w:tcW w:w="1921" w:type="dxa"/>
            <w:tcBorders>
              <w:right w:val="single" w:sz="8" w:space="0" w:color="auto"/>
            </w:tcBorders>
          </w:tcPr>
          <w:p w14:paraId="07B8C3B8" w14:textId="77777777" w:rsidR="00F7285D" w:rsidRPr="0029055B" w:rsidRDefault="00F7285D" w:rsidP="008709A1">
            <w:pPr>
              <w:rPr>
                <w:szCs w:val="21"/>
              </w:rPr>
            </w:pPr>
            <w:r w:rsidRPr="0029055B">
              <w:rPr>
                <w:szCs w:val="21"/>
              </w:rPr>
              <w:t>Fs</w:t>
            </w:r>
          </w:p>
        </w:tc>
      </w:tr>
      <w:tr w:rsidR="00F7285D" w:rsidRPr="0029055B" w14:paraId="0E8D5D82" w14:textId="77777777" w:rsidTr="008709A1">
        <w:trPr>
          <w:trHeight w:val="255"/>
          <w:jc w:val="center"/>
        </w:trPr>
        <w:tc>
          <w:tcPr>
            <w:tcW w:w="500" w:type="dxa"/>
            <w:tcBorders>
              <w:left w:val="single" w:sz="8" w:space="0" w:color="auto"/>
            </w:tcBorders>
          </w:tcPr>
          <w:p w14:paraId="69E9F028" w14:textId="77777777" w:rsidR="00F7285D" w:rsidRPr="0029055B" w:rsidRDefault="00F7285D" w:rsidP="008709A1">
            <w:pPr>
              <w:rPr>
                <w:szCs w:val="21"/>
              </w:rPr>
            </w:pPr>
            <w:r w:rsidRPr="0029055B">
              <w:rPr>
                <w:szCs w:val="21"/>
              </w:rPr>
              <w:t>5</w:t>
            </w:r>
          </w:p>
        </w:tc>
        <w:tc>
          <w:tcPr>
            <w:tcW w:w="2980" w:type="dxa"/>
          </w:tcPr>
          <w:p w14:paraId="4EAF0D17" w14:textId="77777777" w:rsidR="00F7285D" w:rsidRPr="0029055B" w:rsidRDefault="00F7285D" w:rsidP="008709A1">
            <w:pPr>
              <w:rPr>
                <w:szCs w:val="21"/>
              </w:rPr>
            </w:pPr>
            <w:r w:rsidRPr="0029055B">
              <w:rPr>
                <w:szCs w:val="21"/>
              </w:rPr>
              <w:t>Fabaceae/Faboideae</w:t>
            </w:r>
          </w:p>
        </w:tc>
        <w:tc>
          <w:tcPr>
            <w:tcW w:w="3122" w:type="dxa"/>
          </w:tcPr>
          <w:p w14:paraId="2C960E0A" w14:textId="77777777" w:rsidR="00F7285D" w:rsidRPr="0029055B" w:rsidRDefault="00F7285D" w:rsidP="008709A1">
            <w:pPr>
              <w:rPr>
                <w:szCs w:val="21"/>
              </w:rPr>
            </w:pPr>
            <w:r w:rsidRPr="0029055B">
              <w:rPr>
                <w:szCs w:val="21"/>
              </w:rPr>
              <w:t>Aeschynomene sp</w:t>
            </w:r>
          </w:p>
        </w:tc>
        <w:tc>
          <w:tcPr>
            <w:tcW w:w="1559" w:type="dxa"/>
          </w:tcPr>
          <w:p w14:paraId="13A55194" w14:textId="77777777" w:rsidR="00F7285D" w:rsidRPr="0029055B" w:rsidRDefault="00F7285D" w:rsidP="008709A1">
            <w:pPr>
              <w:rPr>
                <w:szCs w:val="21"/>
              </w:rPr>
            </w:pPr>
          </w:p>
        </w:tc>
        <w:tc>
          <w:tcPr>
            <w:tcW w:w="1921" w:type="dxa"/>
            <w:tcBorders>
              <w:right w:val="single" w:sz="8" w:space="0" w:color="auto"/>
            </w:tcBorders>
          </w:tcPr>
          <w:p w14:paraId="48375A3B" w14:textId="77777777" w:rsidR="00F7285D" w:rsidRPr="0029055B" w:rsidRDefault="00F7285D" w:rsidP="008709A1">
            <w:pPr>
              <w:rPr>
                <w:szCs w:val="21"/>
              </w:rPr>
            </w:pPr>
            <w:r w:rsidRPr="0029055B">
              <w:rPr>
                <w:szCs w:val="21"/>
              </w:rPr>
              <w:t>Fm</w:t>
            </w:r>
          </w:p>
        </w:tc>
      </w:tr>
      <w:tr w:rsidR="00F7285D" w:rsidRPr="0029055B" w14:paraId="4E6ACE31" w14:textId="77777777" w:rsidTr="008709A1">
        <w:trPr>
          <w:trHeight w:val="255"/>
          <w:jc w:val="center"/>
        </w:trPr>
        <w:tc>
          <w:tcPr>
            <w:tcW w:w="500" w:type="dxa"/>
            <w:tcBorders>
              <w:left w:val="single" w:sz="8" w:space="0" w:color="auto"/>
              <w:bottom w:val="single" w:sz="4" w:space="0" w:color="auto"/>
            </w:tcBorders>
          </w:tcPr>
          <w:p w14:paraId="6048F00F" w14:textId="77777777" w:rsidR="00F7285D" w:rsidRPr="0029055B" w:rsidRDefault="00F7285D" w:rsidP="008709A1">
            <w:pPr>
              <w:rPr>
                <w:szCs w:val="21"/>
              </w:rPr>
            </w:pPr>
            <w:r w:rsidRPr="0029055B">
              <w:rPr>
                <w:szCs w:val="21"/>
              </w:rPr>
              <w:t>6</w:t>
            </w:r>
          </w:p>
        </w:tc>
        <w:tc>
          <w:tcPr>
            <w:tcW w:w="2980" w:type="dxa"/>
          </w:tcPr>
          <w:p w14:paraId="692E5340" w14:textId="77777777" w:rsidR="00F7285D" w:rsidRPr="0029055B" w:rsidRDefault="00F7285D" w:rsidP="008709A1">
            <w:pPr>
              <w:rPr>
                <w:szCs w:val="21"/>
              </w:rPr>
            </w:pPr>
            <w:r w:rsidRPr="0029055B">
              <w:rPr>
                <w:szCs w:val="21"/>
              </w:rPr>
              <w:t>Zingiberaceae</w:t>
            </w:r>
          </w:p>
        </w:tc>
        <w:tc>
          <w:tcPr>
            <w:tcW w:w="3122" w:type="dxa"/>
          </w:tcPr>
          <w:p w14:paraId="313CBC5B" w14:textId="77777777" w:rsidR="00F7285D" w:rsidRPr="0029055B" w:rsidRDefault="00F7285D" w:rsidP="008709A1">
            <w:pPr>
              <w:rPr>
                <w:szCs w:val="21"/>
              </w:rPr>
            </w:pPr>
            <w:r w:rsidRPr="0029055B">
              <w:rPr>
                <w:szCs w:val="21"/>
              </w:rPr>
              <w:t>Aframomum giganteum</w:t>
            </w:r>
          </w:p>
        </w:tc>
        <w:tc>
          <w:tcPr>
            <w:tcW w:w="1559" w:type="dxa"/>
          </w:tcPr>
          <w:p w14:paraId="0212BD70" w14:textId="77777777" w:rsidR="00F7285D" w:rsidRPr="0029055B" w:rsidRDefault="00F7285D" w:rsidP="008709A1">
            <w:pPr>
              <w:rPr>
                <w:szCs w:val="21"/>
              </w:rPr>
            </w:pPr>
          </w:p>
        </w:tc>
        <w:tc>
          <w:tcPr>
            <w:tcW w:w="1921" w:type="dxa"/>
            <w:tcBorders>
              <w:bottom w:val="single" w:sz="8" w:space="0" w:color="auto"/>
              <w:right w:val="single" w:sz="8" w:space="0" w:color="auto"/>
            </w:tcBorders>
          </w:tcPr>
          <w:p w14:paraId="23FA2504" w14:textId="77777777" w:rsidR="00F7285D" w:rsidRPr="0029055B" w:rsidRDefault="00F7285D" w:rsidP="008709A1">
            <w:pPr>
              <w:rPr>
                <w:szCs w:val="21"/>
              </w:rPr>
            </w:pPr>
            <w:r w:rsidRPr="0029055B">
              <w:rPr>
                <w:szCs w:val="21"/>
              </w:rPr>
              <w:t>Fr, Fm</w:t>
            </w:r>
          </w:p>
        </w:tc>
      </w:tr>
      <w:tr w:rsidR="00F7285D" w:rsidRPr="0029055B" w14:paraId="0DBC627D" w14:textId="77777777" w:rsidTr="008709A1">
        <w:trPr>
          <w:trHeight w:val="255"/>
          <w:jc w:val="center"/>
        </w:trPr>
        <w:tc>
          <w:tcPr>
            <w:tcW w:w="500" w:type="dxa"/>
            <w:tcBorders>
              <w:top w:val="single" w:sz="4" w:space="0" w:color="auto"/>
              <w:left w:val="single" w:sz="8" w:space="0" w:color="auto"/>
              <w:bottom w:val="single" w:sz="4" w:space="0" w:color="auto"/>
            </w:tcBorders>
          </w:tcPr>
          <w:p w14:paraId="72750012" w14:textId="77777777" w:rsidR="00F7285D" w:rsidRPr="0029055B" w:rsidRDefault="00F7285D" w:rsidP="008709A1">
            <w:pPr>
              <w:rPr>
                <w:szCs w:val="21"/>
              </w:rPr>
            </w:pPr>
            <w:r w:rsidRPr="0029055B">
              <w:rPr>
                <w:szCs w:val="21"/>
              </w:rPr>
              <w:t>7</w:t>
            </w:r>
          </w:p>
        </w:tc>
        <w:tc>
          <w:tcPr>
            <w:tcW w:w="2980" w:type="dxa"/>
          </w:tcPr>
          <w:p w14:paraId="0D909D51" w14:textId="77777777" w:rsidR="00F7285D" w:rsidRPr="0029055B" w:rsidRDefault="00F7285D" w:rsidP="008709A1">
            <w:pPr>
              <w:rPr>
                <w:szCs w:val="21"/>
              </w:rPr>
            </w:pPr>
            <w:r w:rsidRPr="0029055B">
              <w:rPr>
                <w:szCs w:val="21"/>
              </w:rPr>
              <w:t>Cornaceae</w:t>
            </w:r>
          </w:p>
        </w:tc>
        <w:tc>
          <w:tcPr>
            <w:tcW w:w="3122" w:type="dxa"/>
          </w:tcPr>
          <w:p w14:paraId="7FEFD9C1" w14:textId="77777777" w:rsidR="00F7285D" w:rsidRPr="0029055B" w:rsidRDefault="00F7285D" w:rsidP="008709A1">
            <w:pPr>
              <w:rPr>
                <w:szCs w:val="21"/>
              </w:rPr>
            </w:pPr>
            <w:r w:rsidRPr="0029055B">
              <w:rPr>
                <w:szCs w:val="21"/>
              </w:rPr>
              <w:t>Afrocrania volkensii (A)</w:t>
            </w:r>
          </w:p>
        </w:tc>
        <w:tc>
          <w:tcPr>
            <w:tcW w:w="1559" w:type="dxa"/>
          </w:tcPr>
          <w:p w14:paraId="2F81BD32" w14:textId="77777777" w:rsidR="00F7285D" w:rsidRPr="0029055B" w:rsidRDefault="00F7285D" w:rsidP="008709A1">
            <w:pPr>
              <w:rPr>
                <w:szCs w:val="21"/>
              </w:rPr>
            </w:pPr>
          </w:p>
        </w:tc>
        <w:tc>
          <w:tcPr>
            <w:tcW w:w="1921" w:type="dxa"/>
            <w:tcBorders>
              <w:top w:val="single" w:sz="8" w:space="0" w:color="auto"/>
              <w:right w:val="single" w:sz="8" w:space="0" w:color="auto"/>
            </w:tcBorders>
          </w:tcPr>
          <w:p w14:paraId="1F43F936" w14:textId="77777777" w:rsidR="00F7285D" w:rsidRPr="0029055B" w:rsidRDefault="00F7285D" w:rsidP="008709A1">
            <w:pPr>
              <w:rPr>
                <w:szCs w:val="21"/>
              </w:rPr>
            </w:pPr>
            <w:r w:rsidRPr="0029055B">
              <w:rPr>
                <w:szCs w:val="21"/>
              </w:rPr>
              <w:t>Fscl</w:t>
            </w:r>
          </w:p>
        </w:tc>
      </w:tr>
      <w:tr w:rsidR="00F7285D" w:rsidRPr="0029055B" w14:paraId="11F5517D" w14:textId="77777777" w:rsidTr="008709A1">
        <w:trPr>
          <w:trHeight w:val="255"/>
          <w:jc w:val="center"/>
        </w:trPr>
        <w:tc>
          <w:tcPr>
            <w:tcW w:w="500" w:type="dxa"/>
            <w:tcBorders>
              <w:top w:val="single" w:sz="4" w:space="0" w:color="auto"/>
              <w:left w:val="single" w:sz="8" w:space="0" w:color="auto"/>
              <w:bottom w:val="single" w:sz="4" w:space="0" w:color="auto"/>
            </w:tcBorders>
          </w:tcPr>
          <w:p w14:paraId="0F1B0F09" w14:textId="77777777" w:rsidR="00F7285D" w:rsidRPr="0029055B" w:rsidRDefault="00F7285D" w:rsidP="008709A1">
            <w:pPr>
              <w:rPr>
                <w:szCs w:val="21"/>
              </w:rPr>
            </w:pPr>
            <w:r w:rsidRPr="0029055B">
              <w:rPr>
                <w:szCs w:val="21"/>
              </w:rPr>
              <w:t>8</w:t>
            </w:r>
          </w:p>
        </w:tc>
        <w:tc>
          <w:tcPr>
            <w:tcW w:w="2980" w:type="dxa"/>
          </w:tcPr>
          <w:p w14:paraId="1C1C7389" w14:textId="77777777" w:rsidR="00F7285D" w:rsidRPr="0029055B" w:rsidRDefault="00F7285D" w:rsidP="008709A1">
            <w:pPr>
              <w:rPr>
                <w:szCs w:val="21"/>
              </w:rPr>
            </w:pPr>
            <w:r w:rsidRPr="0029055B">
              <w:rPr>
                <w:szCs w:val="21"/>
              </w:rPr>
              <w:t>Fabaceae/Mimosoideae</w:t>
            </w:r>
          </w:p>
        </w:tc>
        <w:tc>
          <w:tcPr>
            <w:tcW w:w="3122" w:type="dxa"/>
          </w:tcPr>
          <w:p w14:paraId="0A890924" w14:textId="77777777" w:rsidR="00F7285D" w:rsidRPr="0029055B" w:rsidRDefault="00F7285D" w:rsidP="008709A1">
            <w:pPr>
              <w:rPr>
                <w:szCs w:val="21"/>
              </w:rPr>
            </w:pPr>
            <w:r w:rsidRPr="0029055B">
              <w:rPr>
                <w:szCs w:val="21"/>
              </w:rPr>
              <w:t>Albizzia grandibracteata (A)</w:t>
            </w:r>
          </w:p>
        </w:tc>
        <w:tc>
          <w:tcPr>
            <w:tcW w:w="1559" w:type="dxa"/>
          </w:tcPr>
          <w:p w14:paraId="463070A9" w14:textId="77777777" w:rsidR="00F7285D" w:rsidRPr="0029055B" w:rsidRDefault="00F7285D" w:rsidP="008709A1">
            <w:pPr>
              <w:rPr>
                <w:szCs w:val="21"/>
              </w:rPr>
            </w:pPr>
          </w:p>
        </w:tc>
        <w:tc>
          <w:tcPr>
            <w:tcW w:w="1921" w:type="dxa"/>
            <w:tcBorders>
              <w:bottom w:val="single" w:sz="8" w:space="0" w:color="auto"/>
              <w:right w:val="single" w:sz="8" w:space="0" w:color="auto"/>
            </w:tcBorders>
          </w:tcPr>
          <w:p w14:paraId="4B5EE148" w14:textId="77777777" w:rsidR="00F7285D" w:rsidRPr="0029055B" w:rsidRDefault="00F7285D" w:rsidP="008709A1">
            <w:pPr>
              <w:rPr>
                <w:szCs w:val="21"/>
              </w:rPr>
            </w:pPr>
            <w:r w:rsidRPr="0029055B">
              <w:rPr>
                <w:szCs w:val="21"/>
              </w:rPr>
              <w:t>Fscl</w:t>
            </w:r>
          </w:p>
        </w:tc>
      </w:tr>
      <w:tr w:rsidR="00F7285D" w:rsidRPr="0029055B" w14:paraId="5E4C512C" w14:textId="77777777" w:rsidTr="008709A1">
        <w:trPr>
          <w:trHeight w:val="255"/>
          <w:jc w:val="center"/>
        </w:trPr>
        <w:tc>
          <w:tcPr>
            <w:tcW w:w="500" w:type="dxa"/>
            <w:tcBorders>
              <w:top w:val="single" w:sz="4" w:space="0" w:color="auto"/>
              <w:left w:val="single" w:sz="8" w:space="0" w:color="auto"/>
              <w:bottom w:val="single" w:sz="8" w:space="0" w:color="auto"/>
            </w:tcBorders>
          </w:tcPr>
          <w:p w14:paraId="0B43E315" w14:textId="77777777" w:rsidR="00F7285D" w:rsidRPr="0029055B" w:rsidRDefault="00F7285D" w:rsidP="008709A1">
            <w:pPr>
              <w:rPr>
                <w:szCs w:val="21"/>
              </w:rPr>
            </w:pPr>
            <w:r w:rsidRPr="0029055B">
              <w:rPr>
                <w:szCs w:val="21"/>
              </w:rPr>
              <w:t>9</w:t>
            </w:r>
          </w:p>
        </w:tc>
        <w:tc>
          <w:tcPr>
            <w:tcW w:w="2980" w:type="dxa"/>
          </w:tcPr>
          <w:p w14:paraId="466B58B9" w14:textId="77777777" w:rsidR="00F7285D" w:rsidRPr="0029055B" w:rsidRDefault="00F7285D" w:rsidP="008709A1">
            <w:pPr>
              <w:rPr>
                <w:szCs w:val="21"/>
              </w:rPr>
            </w:pPr>
            <w:r w:rsidRPr="0029055B">
              <w:rPr>
                <w:szCs w:val="21"/>
              </w:rPr>
              <w:t>Rosaceae</w:t>
            </w:r>
          </w:p>
        </w:tc>
        <w:tc>
          <w:tcPr>
            <w:tcW w:w="3122" w:type="dxa"/>
          </w:tcPr>
          <w:p w14:paraId="1F377E9C" w14:textId="77777777" w:rsidR="00F7285D" w:rsidRPr="0029055B" w:rsidRDefault="00F7285D" w:rsidP="008709A1">
            <w:pPr>
              <w:rPr>
                <w:szCs w:val="21"/>
              </w:rPr>
            </w:pPr>
            <w:r w:rsidRPr="0029055B">
              <w:rPr>
                <w:szCs w:val="21"/>
              </w:rPr>
              <w:t>Alchemilla johnstonii</w:t>
            </w:r>
          </w:p>
        </w:tc>
        <w:tc>
          <w:tcPr>
            <w:tcW w:w="1559" w:type="dxa"/>
          </w:tcPr>
          <w:p w14:paraId="2F00F280" w14:textId="77777777" w:rsidR="00F7285D" w:rsidRPr="0029055B" w:rsidRDefault="00F7285D" w:rsidP="008709A1">
            <w:pPr>
              <w:rPr>
                <w:szCs w:val="21"/>
              </w:rPr>
            </w:pPr>
          </w:p>
        </w:tc>
        <w:tc>
          <w:tcPr>
            <w:tcW w:w="1921" w:type="dxa"/>
            <w:tcBorders>
              <w:top w:val="single" w:sz="8" w:space="0" w:color="auto"/>
              <w:right w:val="single" w:sz="8" w:space="0" w:color="auto"/>
            </w:tcBorders>
          </w:tcPr>
          <w:p w14:paraId="5263EB72" w14:textId="77777777" w:rsidR="00F7285D" w:rsidRPr="0029055B" w:rsidRDefault="00F7285D" w:rsidP="008709A1">
            <w:pPr>
              <w:rPr>
                <w:szCs w:val="21"/>
              </w:rPr>
            </w:pPr>
            <w:r w:rsidRPr="0029055B">
              <w:rPr>
                <w:szCs w:val="21"/>
              </w:rPr>
              <w:t>Valmont</w:t>
            </w:r>
          </w:p>
        </w:tc>
      </w:tr>
      <w:tr w:rsidR="00F7285D" w:rsidRPr="0029055B" w14:paraId="14C9C29F" w14:textId="77777777" w:rsidTr="008709A1">
        <w:trPr>
          <w:trHeight w:val="255"/>
          <w:jc w:val="center"/>
        </w:trPr>
        <w:tc>
          <w:tcPr>
            <w:tcW w:w="500" w:type="dxa"/>
            <w:tcBorders>
              <w:top w:val="single" w:sz="8" w:space="0" w:color="auto"/>
              <w:left w:val="single" w:sz="8" w:space="0" w:color="auto"/>
              <w:bottom w:val="single" w:sz="4" w:space="0" w:color="auto"/>
            </w:tcBorders>
          </w:tcPr>
          <w:p w14:paraId="30D3003E" w14:textId="77777777" w:rsidR="00F7285D" w:rsidRPr="0029055B" w:rsidRDefault="00F7285D" w:rsidP="008709A1">
            <w:pPr>
              <w:rPr>
                <w:szCs w:val="21"/>
              </w:rPr>
            </w:pPr>
            <w:r w:rsidRPr="0029055B">
              <w:rPr>
                <w:szCs w:val="21"/>
              </w:rPr>
              <w:t>10</w:t>
            </w:r>
          </w:p>
        </w:tc>
        <w:tc>
          <w:tcPr>
            <w:tcW w:w="2980" w:type="dxa"/>
          </w:tcPr>
          <w:p w14:paraId="29BD1CA6" w14:textId="77777777" w:rsidR="00F7285D" w:rsidRPr="0029055B" w:rsidRDefault="00F7285D" w:rsidP="008709A1">
            <w:pPr>
              <w:rPr>
                <w:szCs w:val="21"/>
              </w:rPr>
            </w:pPr>
            <w:r w:rsidRPr="0029055B">
              <w:rPr>
                <w:szCs w:val="21"/>
              </w:rPr>
              <w:t>Sapindaceae</w:t>
            </w:r>
          </w:p>
        </w:tc>
        <w:tc>
          <w:tcPr>
            <w:tcW w:w="3122" w:type="dxa"/>
          </w:tcPr>
          <w:p w14:paraId="5700C2C7" w14:textId="77777777" w:rsidR="00F7285D" w:rsidRPr="0029055B" w:rsidRDefault="00F7285D" w:rsidP="008709A1">
            <w:pPr>
              <w:rPr>
                <w:szCs w:val="21"/>
              </w:rPr>
            </w:pPr>
            <w:r w:rsidRPr="0029055B">
              <w:rPr>
                <w:szCs w:val="21"/>
              </w:rPr>
              <w:t>Allophyllus africanus</w:t>
            </w:r>
          </w:p>
        </w:tc>
        <w:tc>
          <w:tcPr>
            <w:tcW w:w="1559" w:type="dxa"/>
          </w:tcPr>
          <w:p w14:paraId="533D2827" w14:textId="77777777" w:rsidR="00F7285D" w:rsidRPr="0029055B" w:rsidRDefault="00F7285D" w:rsidP="008709A1">
            <w:pPr>
              <w:rPr>
                <w:szCs w:val="21"/>
              </w:rPr>
            </w:pPr>
          </w:p>
        </w:tc>
        <w:tc>
          <w:tcPr>
            <w:tcW w:w="1921" w:type="dxa"/>
            <w:tcBorders>
              <w:right w:val="single" w:sz="8" w:space="0" w:color="auto"/>
            </w:tcBorders>
          </w:tcPr>
          <w:p w14:paraId="6C3A5487" w14:textId="77777777" w:rsidR="00F7285D" w:rsidRPr="0029055B" w:rsidRDefault="00F7285D" w:rsidP="008709A1">
            <w:pPr>
              <w:rPr>
                <w:szCs w:val="21"/>
              </w:rPr>
            </w:pPr>
            <w:r w:rsidRPr="0029055B">
              <w:rPr>
                <w:szCs w:val="21"/>
              </w:rPr>
              <w:t>Fs</w:t>
            </w:r>
          </w:p>
        </w:tc>
      </w:tr>
      <w:tr w:rsidR="00F7285D" w:rsidRPr="0029055B" w14:paraId="514AAC59" w14:textId="77777777" w:rsidTr="008709A1">
        <w:trPr>
          <w:trHeight w:val="255"/>
          <w:jc w:val="center"/>
        </w:trPr>
        <w:tc>
          <w:tcPr>
            <w:tcW w:w="500" w:type="dxa"/>
            <w:tcBorders>
              <w:top w:val="single" w:sz="4" w:space="0" w:color="auto"/>
              <w:left w:val="single" w:sz="8" w:space="0" w:color="auto"/>
            </w:tcBorders>
          </w:tcPr>
          <w:p w14:paraId="1B3BFFBE" w14:textId="77777777" w:rsidR="00F7285D" w:rsidRPr="0029055B" w:rsidRDefault="00F7285D" w:rsidP="008709A1">
            <w:pPr>
              <w:rPr>
                <w:szCs w:val="21"/>
              </w:rPr>
            </w:pPr>
            <w:r w:rsidRPr="0029055B">
              <w:rPr>
                <w:szCs w:val="21"/>
              </w:rPr>
              <w:t>11</w:t>
            </w:r>
          </w:p>
        </w:tc>
        <w:tc>
          <w:tcPr>
            <w:tcW w:w="2980" w:type="dxa"/>
          </w:tcPr>
          <w:p w14:paraId="67CED56B" w14:textId="77777777" w:rsidR="00F7285D" w:rsidRPr="0029055B" w:rsidRDefault="00F7285D" w:rsidP="008709A1">
            <w:pPr>
              <w:rPr>
                <w:szCs w:val="21"/>
              </w:rPr>
            </w:pPr>
            <w:r w:rsidRPr="0029055B">
              <w:rPr>
                <w:szCs w:val="21"/>
              </w:rPr>
              <w:t>Annonaceae</w:t>
            </w:r>
          </w:p>
        </w:tc>
        <w:tc>
          <w:tcPr>
            <w:tcW w:w="3122" w:type="dxa"/>
          </w:tcPr>
          <w:p w14:paraId="04DE48F6" w14:textId="77777777" w:rsidR="00F7285D" w:rsidRPr="0029055B" w:rsidRDefault="00F7285D" w:rsidP="008709A1">
            <w:pPr>
              <w:rPr>
                <w:szCs w:val="21"/>
              </w:rPr>
            </w:pPr>
            <w:r w:rsidRPr="0029055B">
              <w:rPr>
                <w:szCs w:val="21"/>
              </w:rPr>
              <w:t>Annona muricata</w:t>
            </w:r>
          </w:p>
        </w:tc>
        <w:tc>
          <w:tcPr>
            <w:tcW w:w="1559" w:type="dxa"/>
          </w:tcPr>
          <w:p w14:paraId="5EA1A5BC" w14:textId="77777777" w:rsidR="00F7285D" w:rsidRPr="0029055B" w:rsidRDefault="00F7285D" w:rsidP="008709A1">
            <w:pPr>
              <w:rPr>
                <w:szCs w:val="21"/>
              </w:rPr>
            </w:pPr>
          </w:p>
        </w:tc>
        <w:tc>
          <w:tcPr>
            <w:tcW w:w="1921" w:type="dxa"/>
            <w:tcBorders>
              <w:right w:val="single" w:sz="8" w:space="0" w:color="auto"/>
            </w:tcBorders>
          </w:tcPr>
          <w:p w14:paraId="7A60091E" w14:textId="77777777" w:rsidR="00F7285D" w:rsidRPr="0029055B" w:rsidRDefault="00F7285D" w:rsidP="008709A1">
            <w:pPr>
              <w:rPr>
                <w:szCs w:val="21"/>
              </w:rPr>
            </w:pPr>
            <w:r w:rsidRPr="0029055B">
              <w:rPr>
                <w:szCs w:val="21"/>
              </w:rPr>
              <w:t>Cult</w:t>
            </w:r>
          </w:p>
        </w:tc>
      </w:tr>
      <w:tr w:rsidR="00F7285D" w:rsidRPr="0029055B" w14:paraId="1D11E3A3" w14:textId="77777777" w:rsidTr="008709A1">
        <w:trPr>
          <w:trHeight w:val="255"/>
          <w:jc w:val="center"/>
        </w:trPr>
        <w:tc>
          <w:tcPr>
            <w:tcW w:w="500" w:type="dxa"/>
            <w:tcBorders>
              <w:left w:val="single" w:sz="8" w:space="0" w:color="auto"/>
              <w:bottom w:val="single" w:sz="8" w:space="0" w:color="auto"/>
            </w:tcBorders>
          </w:tcPr>
          <w:p w14:paraId="38C2B444" w14:textId="77777777" w:rsidR="00F7285D" w:rsidRPr="0029055B" w:rsidRDefault="00F7285D" w:rsidP="008709A1">
            <w:pPr>
              <w:rPr>
                <w:szCs w:val="21"/>
              </w:rPr>
            </w:pPr>
            <w:r w:rsidRPr="0029055B">
              <w:rPr>
                <w:szCs w:val="21"/>
              </w:rPr>
              <w:t>12</w:t>
            </w:r>
          </w:p>
        </w:tc>
        <w:tc>
          <w:tcPr>
            <w:tcW w:w="2980" w:type="dxa"/>
          </w:tcPr>
          <w:p w14:paraId="208A57B1" w14:textId="77777777" w:rsidR="00F7285D" w:rsidRPr="0029055B" w:rsidRDefault="00F7285D" w:rsidP="008709A1">
            <w:pPr>
              <w:rPr>
                <w:szCs w:val="21"/>
              </w:rPr>
            </w:pPr>
            <w:r w:rsidRPr="0029055B">
              <w:rPr>
                <w:szCs w:val="21"/>
              </w:rPr>
              <w:t>Loganiaceae</w:t>
            </w:r>
          </w:p>
        </w:tc>
        <w:tc>
          <w:tcPr>
            <w:tcW w:w="3122" w:type="dxa"/>
          </w:tcPr>
          <w:p w14:paraId="7652E39C" w14:textId="77777777" w:rsidR="00F7285D" w:rsidRPr="0029055B" w:rsidRDefault="00F7285D" w:rsidP="008709A1">
            <w:pPr>
              <w:rPr>
                <w:szCs w:val="21"/>
              </w:rPr>
            </w:pPr>
            <w:r w:rsidRPr="0029055B">
              <w:rPr>
                <w:szCs w:val="21"/>
              </w:rPr>
              <w:t>Anthocleista schweinfurthii</w:t>
            </w:r>
          </w:p>
        </w:tc>
        <w:tc>
          <w:tcPr>
            <w:tcW w:w="1559" w:type="dxa"/>
          </w:tcPr>
          <w:p w14:paraId="64F2CE5B" w14:textId="77777777" w:rsidR="00F7285D" w:rsidRPr="0029055B" w:rsidRDefault="00F7285D" w:rsidP="008709A1">
            <w:pPr>
              <w:rPr>
                <w:szCs w:val="21"/>
              </w:rPr>
            </w:pPr>
          </w:p>
        </w:tc>
        <w:tc>
          <w:tcPr>
            <w:tcW w:w="1921" w:type="dxa"/>
            <w:tcBorders>
              <w:right w:val="single" w:sz="8" w:space="0" w:color="auto"/>
            </w:tcBorders>
          </w:tcPr>
          <w:p w14:paraId="51E36E78" w14:textId="77777777" w:rsidR="00F7285D" w:rsidRPr="0029055B" w:rsidRDefault="00F7285D" w:rsidP="008709A1">
            <w:pPr>
              <w:rPr>
                <w:szCs w:val="21"/>
              </w:rPr>
            </w:pPr>
            <w:r w:rsidRPr="0029055B">
              <w:rPr>
                <w:szCs w:val="21"/>
              </w:rPr>
              <w:t>Fs</w:t>
            </w:r>
          </w:p>
        </w:tc>
      </w:tr>
      <w:tr w:rsidR="00F7285D" w:rsidRPr="0029055B" w14:paraId="67B3880C" w14:textId="77777777" w:rsidTr="008709A1">
        <w:trPr>
          <w:trHeight w:val="255"/>
          <w:jc w:val="center"/>
        </w:trPr>
        <w:tc>
          <w:tcPr>
            <w:tcW w:w="500" w:type="dxa"/>
            <w:tcBorders>
              <w:top w:val="single" w:sz="8" w:space="0" w:color="auto"/>
              <w:left w:val="single" w:sz="8" w:space="0" w:color="auto"/>
            </w:tcBorders>
          </w:tcPr>
          <w:p w14:paraId="5256A939" w14:textId="77777777" w:rsidR="00F7285D" w:rsidRPr="0029055B" w:rsidRDefault="00F7285D" w:rsidP="008709A1">
            <w:pPr>
              <w:rPr>
                <w:szCs w:val="21"/>
              </w:rPr>
            </w:pPr>
            <w:r w:rsidRPr="0029055B">
              <w:rPr>
                <w:szCs w:val="21"/>
              </w:rPr>
              <w:t>13</w:t>
            </w:r>
          </w:p>
        </w:tc>
        <w:tc>
          <w:tcPr>
            <w:tcW w:w="2980" w:type="dxa"/>
          </w:tcPr>
          <w:p w14:paraId="61A6D4B5" w14:textId="77777777" w:rsidR="00F7285D" w:rsidRPr="0029055B" w:rsidRDefault="00F7285D" w:rsidP="008709A1">
            <w:pPr>
              <w:rPr>
                <w:szCs w:val="21"/>
              </w:rPr>
            </w:pPr>
            <w:r w:rsidRPr="0029055B">
              <w:rPr>
                <w:szCs w:val="21"/>
              </w:rPr>
              <w:t>Melianthaceae</w:t>
            </w:r>
          </w:p>
        </w:tc>
        <w:tc>
          <w:tcPr>
            <w:tcW w:w="3122" w:type="dxa"/>
          </w:tcPr>
          <w:p w14:paraId="583B1E43" w14:textId="77777777" w:rsidR="00F7285D" w:rsidRPr="0029055B" w:rsidRDefault="00F7285D" w:rsidP="008709A1">
            <w:pPr>
              <w:rPr>
                <w:szCs w:val="21"/>
              </w:rPr>
            </w:pPr>
            <w:r w:rsidRPr="0029055B">
              <w:rPr>
                <w:szCs w:val="21"/>
              </w:rPr>
              <w:t>Bersama sp</w:t>
            </w:r>
          </w:p>
        </w:tc>
        <w:tc>
          <w:tcPr>
            <w:tcW w:w="1559" w:type="dxa"/>
          </w:tcPr>
          <w:p w14:paraId="6F04C981" w14:textId="77777777" w:rsidR="00F7285D" w:rsidRPr="0029055B" w:rsidRDefault="00F7285D" w:rsidP="008709A1">
            <w:pPr>
              <w:rPr>
                <w:szCs w:val="21"/>
              </w:rPr>
            </w:pPr>
          </w:p>
        </w:tc>
        <w:tc>
          <w:tcPr>
            <w:tcW w:w="1921" w:type="dxa"/>
            <w:tcBorders>
              <w:right w:val="single" w:sz="8" w:space="0" w:color="auto"/>
            </w:tcBorders>
          </w:tcPr>
          <w:p w14:paraId="25B3398C" w14:textId="77777777" w:rsidR="00F7285D" w:rsidRPr="0029055B" w:rsidRDefault="00F7285D" w:rsidP="008709A1">
            <w:pPr>
              <w:rPr>
                <w:szCs w:val="21"/>
              </w:rPr>
            </w:pPr>
            <w:r w:rsidRPr="0029055B">
              <w:rPr>
                <w:szCs w:val="21"/>
              </w:rPr>
              <w:t>Fscl</w:t>
            </w:r>
          </w:p>
        </w:tc>
      </w:tr>
      <w:tr w:rsidR="00F7285D" w:rsidRPr="0029055B" w14:paraId="49BFB788" w14:textId="77777777" w:rsidTr="008709A1">
        <w:trPr>
          <w:trHeight w:val="255"/>
          <w:jc w:val="center"/>
        </w:trPr>
        <w:tc>
          <w:tcPr>
            <w:tcW w:w="500" w:type="dxa"/>
            <w:tcBorders>
              <w:left w:val="single" w:sz="8" w:space="0" w:color="auto"/>
              <w:bottom w:val="single" w:sz="8" w:space="0" w:color="auto"/>
            </w:tcBorders>
          </w:tcPr>
          <w:p w14:paraId="6D772C8B" w14:textId="77777777" w:rsidR="00F7285D" w:rsidRPr="0029055B" w:rsidRDefault="00F7285D" w:rsidP="008709A1">
            <w:pPr>
              <w:rPr>
                <w:szCs w:val="21"/>
              </w:rPr>
            </w:pPr>
            <w:r w:rsidRPr="0029055B">
              <w:rPr>
                <w:szCs w:val="21"/>
              </w:rPr>
              <w:t>14</w:t>
            </w:r>
          </w:p>
        </w:tc>
        <w:tc>
          <w:tcPr>
            <w:tcW w:w="2980" w:type="dxa"/>
          </w:tcPr>
          <w:p w14:paraId="0FF4B7D3" w14:textId="77777777" w:rsidR="00F7285D" w:rsidRPr="0029055B" w:rsidRDefault="00F7285D" w:rsidP="008709A1">
            <w:pPr>
              <w:rPr>
                <w:szCs w:val="21"/>
              </w:rPr>
            </w:pPr>
            <w:r w:rsidRPr="0029055B">
              <w:rPr>
                <w:szCs w:val="21"/>
              </w:rPr>
              <w:t>Arecaceae</w:t>
            </w:r>
          </w:p>
        </w:tc>
        <w:tc>
          <w:tcPr>
            <w:tcW w:w="3122" w:type="dxa"/>
          </w:tcPr>
          <w:p w14:paraId="3A3CDFB6" w14:textId="77777777" w:rsidR="00F7285D" w:rsidRPr="0029055B" w:rsidRDefault="00F7285D" w:rsidP="008709A1">
            <w:pPr>
              <w:rPr>
                <w:szCs w:val="21"/>
              </w:rPr>
            </w:pPr>
            <w:r w:rsidRPr="0029055B">
              <w:rPr>
                <w:szCs w:val="21"/>
              </w:rPr>
              <w:t>Borassus aethiopum</w:t>
            </w:r>
          </w:p>
        </w:tc>
        <w:tc>
          <w:tcPr>
            <w:tcW w:w="1559" w:type="dxa"/>
          </w:tcPr>
          <w:p w14:paraId="4C5F1C96" w14:textId="77777777" w:rsidR="00F7285D" w:rsidRPr="0029055B" w:rsidRDefault="00F7285D" w:rsidP="008709A1">
            <w:pPr>
              <w:rPr>
                <w:szCs w:val="21"/>
              </w:rPr>
            </w:pPr>
          </w:p>
        </w:tc>
        <w:tc>
          <w:tcPr>
            <w:tcW w:w="1921" w:type="dxa"/>
            <w:tcBorders>
              <w:right w:val="single" w:sz="8" w:space="0" w:color="auto"/>
            </w:tcBorders>
          </w:tcPr>
          <w:p w14:paraId="77D88DAA" w14:textId="77777777" w:rsidR="00F7285D" w:rsidRPr="0029055B" w:rsidRDefault="00F7285D" w:rsidP="008709A1">
            <w:pPr>
              <w:rPr>
                <w:szCs w:val="21"/>
              </w:rPr>
            </w:pPr>
            <w:r w:rsidRPr="0029055B">
              <w:rPr>
                <w:szCs w:val="21"/>
              </w:rPr>
              <w:t>Fha</w:t>
            </w:r>
          </w:p>
        </w:tc>
      </w:tr>
      <w:tr w:rsidR="00F7285D" w:rsidRPr="0029055B" w14:paraId="76B32BC3" w14:textId="77777777" w:rsidTr="008709A1">
        <w:trPr>
          <w:trHeight w:val="255"/>
          <w:jc w:val="center"/>
        </w:trPr>
        <w:tc>
          <w:tcPr>
            <w:tcW w:w="500" w:type="dxa"/>
            <w:tcBorders>
              <w:top w:val="single" w:sz="8" w:space="0" w:color="auto"/>
              <w:left w:val="single" w:sz="8" w:space="0" w:color="auto"/>
            </w:tcBorders>
          </w:tcPr>
          <w:p w14:paraId="5AF0B126" w14:textId="77777777" w:rsidR="00F7285D" w:rsidRPr="0029055B" w:rsidRDefault="00F7285D" w:rsidP="008709A1">
            <w:pPr>
              <w:rPr>
                <w:szCs w:val="21"/>
              </w:rPr>
            </w:pPr>
            <w:r w:rsidRPr="0029055B">
              <w:rPr>
                <w:szCs w:val="21"/>
              </w:rPr>
              <w:t>15</w:t>
            </w:r>
          </w:p>
        </w:tc>
        <w:tc>
          <w:tcPr>
            <w:tcW w:w="2980" w:type="dxa"/>
          </w:tcPr>
          <w:p w14:paraId="5EC8E95A" w14:textId="77777777" w:rsidR="00F7285D" w:rsidRPr="0029055B" w:rsidRDefault="00F7285D" w:rsidP="008709A1">
            <w:pPr>
              <w:rPr>
                <w:szCs w:val="21"/>
              </w:rPr>
            </w:pPr>
            <w:r w:rsidRPr="0029055B">
              <w:rPr>
                <w:szCs w:val="21"/>
              </w:rPr>
              <w:t>Mousses</w:t>
            </w:r>
          </w:p>
        </w:tc>
        <w:tc>
          <w:tcPr>
            <w:tcW w:w="3122" w:type="dxa"/>
          </w:tcPr>
          <w:p w14:paraId="5CAD06C6" w14:textId="77777777" w:rsidR="00F7285D" w:rsidRPr="0029055B" w:rsidRDefault="00F7285D" w:rsidP="008709A1">
            <w:pPr>
              <w:rPr>
                <w:szCs w:val="21"/>
              </w:rPr>
            </w:pPr>
            <w:r w:rsidRPr="0029055B">
              <w:rPr>
                <w:szCs w:val="21"/>
              </w:rPr>
              <w:t>Breutelia stuhlmannii (H)</w:t>
            </w:r>
          </w:p>
        </w:tc>
        <w:tc>
          <w:tcPr>
            <w:tcW w:w="1559" w:type="dxa"/>
          </w:tcPr>
          <w:p w14:paraId="74E9B50A" w14:textId="77777777" w:rsidR="00F7285D" w:rsidRPr="0029055B" w:rsidRDefault="00F7285D" w:rsidP="008709A1">
            <w:pPr>
              <w:rPr>
                <w:szCs w:val="21"/>
              </w:rPr>
            </w:pPr>
          </w:p>
        </w:tc>
        <w:tc>
          <w:tcPr>
            <w:tcW w:w="1921" w:type="dxa"/>
            <w:tcBorders>
              <w:right w:val="single" w:sz="8" w:space="0" w:color="auto"/>
            </w:tcBorders>
          </w:tcPr>
          <w:p w14:paraId="44D33C0A" w14:textId="77777777" w:rsidR="00F7285D" w:rsidRPr="0029055B" w:rsidRDefault="00F7285D" w:rsidP="008709A1">
            <w:pPr>
              <w:rPr>
                <w:szCs w:val="21"/>
              </w:rPr>
            </w:pPr>
            <w:r w:rsidRPr="0029055B">
              <w:rPr>
                <w:szCs w:val="21"/>
              </w:rPr>
              <w:t>Fmont</w:t>
            </w:r>
          </w:p>
        </w:tc>
      </w:tr>
      <w:tr w:rsidR="00F7285D" w:rsidRPr="0029055B" w14:paraId="25B1BCC7" w14:textId="77777777" w:rsidTr="008709A1">
        <w:trPr>
          <w:trHeight w:val="255"/>
          <w:jc w:val="center"/>
        </w:trPr>
        <w:tc>
          <w:tcPr>
            <w:tcW w:w="500" w:type="dxa"/>
            <w:tcBorders>
              <w:left w:val="single" w:sz="8" w:space="0" w:color="auto"/>
            </w:tcBorders>
          </w:tcPr>
          <w:p w14:paraId="52A2D9C4" w14:textId="77777777" w:rsidR="00F7285D" w:rsidRPr="0029055B" w:rsidRDefault="00F7285D" w:rsidP="008709A1">
            <w:pPr>
              <w:rPr>
                <w:szCs w:val="21"/>
              </w:rPr>
            </w:pPr>
            <w:r w:rsidRPr="0029055B">
              <w:rPr>
                <w:szCs w:val="21"/>
              </w:rPr>
              <w:t>16</w:t>
            </w:r>
          </w:p>
        </w:tc>
        <w:tc>
          <w:tcPr>
            <w:tcW w:w="2980" w:type="dxa"/>
          </w:tcPr>
          <w:p w14:paraId="4C890CD8" w14:textId="77777777" w:rsidR="00F7285D" w:rsidRPr="0029055B" w:rsidRDefault="00F7285D" w:rsidP="008709A1">
            <w:pPr>
              <w:rPr>
                <w:szCs w:val="21"/>
              </w:rPr>
            </w:pPr>
            <w:r w:rsidRPr="0029055B">
              <w:rPr>
                <w:szCs w:val="21"/>
              </w:rPr>
              <w:t>Brassicaceae (Capparaceae)</w:t>
            </w:r>
          </w:p>
        </w:tc>
        <w:tc>
          <w:tcPr>
            <w:tcW w:w="3122" w:type="dxa"/>
          </w:tcPr>
          <w:p w14:paraId="40BE8FBD" w14:textId="77777777" w:rsidR="00F7285D" w:rsidRPr="0029055B" w:rsidRDefault="00F7285D" w:rsidP="008709A1">
            <w:pPr>
              <w:rPr>
                <w:szCs w:val="21"/>
              </w:rPr>
            </w:pPr>
            <w:r w:rsidRPr="0029055B">
              <w:rPr>
                <w:szCs w:val="21"/>
              </w:rPr>
              <w:t>Capparis bequaertii (H)</w:t>
            </w:r>
          </w:p>
        </w:tc>
        <w:tc>
          <w:tcPr>
            <w:tcW w:w="1559" w:type="dxa"/>
          </w:tcPr>
          <w:p w14:paraId="699D1442" w14:textId="77777777" w:rsidR="00F7285D" w:rsidRPr="0029055B" w:rsidRDefault="00F7285D" w:rsidP="008709A1">
            <w:pPr>
              <w:rPr>
                <w:szCs w:val="21"/>
              </w:rPr>
            </w:pPr>
          </w:p>
        </w:tc>
        <w:tc>
          <w:tcPr>
            <w:tcW w:w="1921" w:type="dxa"/>
            <w:tcBorders>
              <w:right w:val="single" w:sz="8" w:space="0" w:color="auto"/>
            </w:tcBorders>
          </w:tcPr>
          <w:p w14:paraId="4A1F1692" w14:textId="77777777" w:rsidR="00F7285D" w:rsidRPr="0029055B" w:rsidRDefault="00F7285D" w:rsidP="008709A1">
            <w:pPr>
              <w:rPr>
                <w:szCs w:val="21"/>
              </w:rPr>
            </w:pPr>
            <w:r w:rsidRPr="0029055B">
              <w:rPr>
                <w:szCs w:val="21"/>
              </w:rPr>
              <w:t>Fsmont</w:t>
            </w:r>
          </w:p>
        </w:tc>
      </w:tr>
      <w:tr w:rsidR="00F7285D" w:rsidRPr="0029055B" w14:paraId="1980EE41" w14:textId="77777777" w:rsidTr="008709A1">
        <w:trPr>
          <w:trHeight w:val="255"/>
          <w:jc w:val="center"/>
        </w:trPr>
        <w:tc>
          <w:tcPr>
            <w:tcW w:w="500" w:type="dxa"/>
            <w:tcBorders>
              <w:left w:val="single" w:sz="8" w:space="0" w:color="auto"/>
              <w:bottom w:val="single" w:sz="4" w:space="0" w:color="auto"/>
            </w:tcBorders>
          </w:tcPr>
          <w:p w14:paraId="2EA3DAB0" w14:textId="77777777" w:rsidR="00F7285D" w:rsidRPr="0029055B" w:rsidRDefault="00F7285D" w:rsidP="008709A1">
            <w:pPr>
              <w:rPr>
                <w:szCs w:val="21"/>
              </w:rPr>
            </w:pPr>
            <w:r w:rsidRPr="0029055B">
              <w:rPr>
                <w:szCs w:val="21"/>
              </w:rPr>
              <w:t>17</w:t>
            </w:r>
          </w:p>
        </w:tc>
        <w:tc>
          <w:tcPr>
            <w:tcW w:w="2980" w:type="dxa"/>
          </w:tcPr>
          <w:p w14:paraId="5F0954D9" w14:textId="77777777" w:rsidR="00F7285D" w:rsidRPr="0029055B" w:rsidRDefault="00F7285D" w:rsidP="008709A1">
            <w:pPr>
              <w:rPr>
                <w:szCs w:val="21"/>
              </w:rPr>
            </w:pPr>
            <w:r w:rsidRPr="0029055B">
              <w:rPr>
                <w:szCs w:val="21"/>
              </w:rPr>
              <w:t>Brassicaceae (Capparaceae)</w:t>
            </w:r>
          </w:p>
        </w:tc>
        <w:tc>
          <w:tcPr>
            <w:tcW w:w="3122" w:type="dxa"/>
          </w:tcPr>
          <w:p w14:paraId="0408EA8B" w14:textId="77777777" w:rsidR="00F7285D" w:rsidRPr="0029055B" w:rsidRDefault="00F7285D" w:rsidP="008709A1">
            <w:pPr>
              <w:rPr>
                <w:szCs w:val="21"/>
              </w:rPr>
            </w:pPr>
            <w:r w:rsidRPr="0029055B">
              <w:rPr>
                <w:szCs w:val="21"/>
              </w:rPr>
              <w:t>Capparis elaeagnoides (H)</w:t>
            </w:r>
          </w:p>
        </w:tc>
        <w:tc>
          <w:tcPr>
            <w:tcW w:w="1559" w:type="dxa"/>
          </w:tcPr>
          <w:p w14:paraId="651A8493" w14:textId="77777777" w:rsidR="00F7285D" w:rsidRPr="0029055B" w:rsidRDefault="00F7285D" w:rsidP="008709A1">
            <w:pPr>
              <w:rPr>
                <w:szCs w:val="21"/>
              </w:rPr>
            </w:pPr>
          </w:p>
        </w:tc>
        <w:tc>
          <w:tcPr>
            <w:tcW w:w="1921" w:type="dxa"/>
            <w:tcBorders>
              <w:right w:val="single" w:sz="8" w:space="0" w:color="auto"/>
            </w:tcBorders>
          </w:tcPr>
          <w:p w14:paraId="455CF071" w14:textId="77777777" w:rsidR="00F7285D" w:rsidRPr="0029055B" w:rsidRDefault="00F7285D" w:rsidP="008709A1">
            <w:pPr>
              <w:rPr>
                <w:szCs w:val="21"/>
              </w:rPr>
            </w:pPr>
            <w:r w:rsidRPr="0029055B">
              <w:rPr>
                <w:szCs w:val="21"/>
              </w:rPr>
              <w:t>Fscl</w:t>
            </w:r>
          </w:p>
        </w:tc>
      </w:tr>
      <w:tr w:rsidR="00F7285D" w:rsidRPr="0029055B" w14:paraId="6B06FD02" w14:textId="77777777" w:rsidTr="008709A1">
        <w:trPr>
          <w:trHeight w:val="255"/>
          <w:jc w:val="center"/>
        </w:trPr>
        <w:tc>
          <w:tcPr>
            <w:tcW w:w="500" w:type="dxa"/>
            <w:tcBorders>
              <w:top w:val="single" w:sz="4" w:space="0" w:color="auto"/>
              <w:left w:val="single" w:sz="8" w:space="0" w:color="auto"/>
            </w:tcBorders>
          </w:tcPr>
          <w:p w14:paraId="0240E6DE" w14:textId="77777777" w:rsidR="00F7285D" w:rsidRPr="0029055B" w:rsidRDefault="00F7285D" w:rsidP="008709A1">
            <w:pPr>
              <w:rPr>
                <w:szCs w:val="21"/>
              </w:rPr>
            </w:pPr>
            <w:r w:rsidRPr="0029055B">
              <w:rPr>
                <w:szCs w:val="21"/>
              </w:rPr>
              <w:t>18</w:t>
            </w:r>
          </w:p>
        </w:tc>
        <w:tc>
          <w:tcPr>
            <w:tcW w:w="2980" w:type="dxa"/>
          </w:tcPr>
          <w:p w14:paraId="0EE58F6B" w14:textId="77777777" w:rsidR="00F7285D" w:rsidRPr="0029055B" w:rsidRDefault="00F7285D" w:rsidP="008709A1">
            <w:pPr>
              <w:rPr>
                <w:szCs w:val="21"/>
              </w:rPr>
            </w:pPr>
            <w:r w:rsidRPr="0029055B">
              <w:rPr>
                <w:szCs w:val="21"/>
              </w:rPr>
              <w:t>Meliaceae</w:t>
            </w:r>
          </w:p>
        </w:tc>
        <w:tc>
          <w:tcPr>
            <w:tcW w:w="3122" w:type="dxa"/>
          </w:tcPr>
          <w:p w14:paraId="17BBBB44" w14:textId="77777777" w:rsidR="00F7285D" w:rsidRPr="0029055B" w:rsidRDefault="00F7285D" w:rsidP="008709A1">
            <w:pPr>
              <w:rPr>
                <w:szCs w:val="21"/>
              </w:rPr>
            </w:pPr>
            <w:r w:rsidRPr="0029055B">
              <w:rPr>
                <w:szCs w:val="21"/>
              </w:rPr>
              <w:t>Carapa grandiflora (A)</w:t>
            </w:r>
          </w:p>
        </w:tc>
        <w:tc>
          <w:tcPr>
            <w:tcW w:w="1559" w:type="dxa"/>
          </w:tcPr>
          <w:p w14:paraId="180BDD72" w14:textId="77777777" w:rsidR="00F7285D" w:rsidRPr="0029055B" w:rsidRDefault="00F7285D" w:rsidP="008709A1">
            <w:pPr>
              <w:rPr>
                <w:szCs w:val="21"/>
              </w:rPr>
            </w:pPr>
          </w:p>
        </w:tc>
        <w:tc>
          <w:tcPr>
            <w:tcW w:w="1921" w:type="dxa"/>
            <w:tcBorders>
              <w:right w:val="single" w:sz="8" w:space="0" w:color="auto"/>
            </w:tcBorders>
          </w:tcPr>
          <w:p w14:paraId="1A3B2BAB" w14:textId="77777777" w:rsidR="00F7285D" w:rsidRPr="0029055B" w:rsidRDefault="00F7285D" w:rsidP="008709A1">
            <w:pPr>
              <w:rPr>
                <w:szCs w:val="21"/>
              </w:rPr>
            </w:pPr>
            <w:r w:rsidRPr="0029055B">
              <w:rPr>
                <w:szCs w:val="21"/>
              </w:rPr>
              <w:t>Fmont</w:t>
            </w:r>
          </w:p>
        </w:tc>
      </w:tr>
      <w:tr w:rsidR="00F7285D" w:rsidRPr="0029055B" w14:paraId="14FF3607" w14:textId="77777777" w:rsidTr="008709A1">
        <w:trPr>
          <w:trHeight w:val="255"/>
          <w:jc w:val="center"/>
        </w:trPr>
        <w:tc>
          <w:tcPr>
            <w:tcW w:w="500" w:type="dxa"/>
            <w:tcBorders>
              <w:left w:val="single" w:sz="8" w:space="0" w:color="auto"/>
              <w:bottom w:val="single" w:sz="4" w:space="0" w:color="auto"/>
            </w:tcBorders>
          </w:tcPr>
          <w:p w14:paraId="06253748" w14:textId="77777777" w:rsidR="00F7285D" w:rsidRPr="0029055B" w:rsidRDefault="00F7285D" w:rsidP="008709A1">
            <w:pPr>
              <w:rPr>
                <w:szCs w:val="21"/>
              </w:rPr>
            </w:pPr>
            <w:r w:rsidRPr="0029055B">
              <w:rPr>
                <w:szCs w:val="21"/>
              </w:rPr>
              <w:t>19</w:t>
            </w:r>
          </w:p>
        </w:tc>
        <w:tc>
          <w:tcPr>
            <w:tcW w:w="2980" w:type="dxa"/>
          </w:tcPr>
          <w:p w14:paraId="5CC67AE1" w14:textId="77777777" w:rsidR="00F7285D" w:rsidRPr="0029055B" w:rsidRDefault="00F7285D" w:rsidP="008709A1">
            <w:pPr>
              <w:rPr>
                <w:szCs w:val="21"/>
              </w:rPr>
            </w:pPr>
            <w:r w:rsidRPr="0029055B">
              <w:rPr>
                <w:szCs w:val="21"/>
              </w:rPr>
              <w:t>Cyperaceae</w:t>
            </w:r>
          </w:p>
        </w:tc>
        <w:tc>
          <w:tcPr>
            <w:tcW w:w="3122" w:type="dxa"/>
          </w:tcPr>
          <w:p w14:paraId="4564ECA5" w14:textId="77777777" w:rsidR="00F7285D" w:rsidRPr="0029055B" w:rsidRDefault="00F7285D" w:rsidP="008709A1">
            <w:pPr>
              <w:rPr>
                <w:szCs w:val="21"/>
              </w:rPr>
            </w:pPr>
            <w:r w:rsidRPr="0029055B">
              <w:rPr>
                <w:szCs w:val="21"/>
              </w:rPr>
              <w:t>Carex monostachya (H)</w:t>
            </w:r>
          </w:p>
        </w:tc>
        <w:tc>
          <w:tcPr>
            <w:tcW w:w="1559" w:type="dxa"/>
          </w:tcPr>
          <w:p w14:paraId="4BD746CA" w14:textId="77777777" w:rsidR="00F7285D" w:rsidRPr="0029055B" w:rsidRDefault="00F7285D" w:rsidP="008709A1">
            <w:pPr>
              <w:rPr>
                <w:szCs w:val="21"/>
              </w:rPr>
            </w:pPr>
          </w:p>
        </w:tc>
        <w:tc>
          <w:tcPr>
            <w:tcW w:w="1921" w:type="dxa"/>
            <w:tcBorders>
              <w:right w:val="single" w:sz="8" w:space="0" w:color="auto"/>
            </w:tcBorders>
          </w:tcPr>
          <w:p w14:paraId="1CC38CDA" w14:textId="77777777" w:rsidR="00F7285D" w:rsidRPr="0029055B" w:rsidRDefault="00F7285D" w:rsidP="008709A1">
            <w:pPr>
              <w:rPr>
                <w:szCs w:val="21"/>
              </w:rPr>
            </w:pPr>
            <w:r w:rsidRPr="0029055B">
              <w:rPr>
                <w:szCs w:val="21"/>
              </w:rPr>
              <w:t>Valmont</w:t>
            </w:r>
          </w:p>
        </w:tc>
      </w:tr>
      <w:tr w:rsidR="00F7285D" w:rsidRPr="0029055B" w14:paraId="54C0F977" w14:textId="77777777" w:rsidTr="008709A1">
        <w:trPr>
          <w:trHeight w:val="255"/>
          <w:jc w:val="center"/>
        </w:trPr>
        <w:tc>
          <w:tcPr>
            <w:tcW w:w="500" w:type="dxa"/>
            <w:tcBorders>
              <w:top w:val="single" w:sz="4" w:space="0" w:color="auto"/>
              <w:left w:val="single" w:sz="8" w:space="0" w:color="auto"/>
              <w:bottom w:val="single" w:sz="4" w:space="0" w:color="auto"/>
            </w:tcBorders>
          </w:tcPr>
          <w:p w14:paraId="1DC8722D" w14:textId="77777777" w:rsidR="00F7285D" w:rsidRPr="0029055B" w:rsidRDefault="00F7285D" w:rsidP="008709A1">
            <w:pPr>
              <w:rPr>
                <w:szCs w:val="21"/>
              </w:rPr>
            </w:pPr>
            <w:r w:rsidRPr="0029055B">
              <w:rPr>
                <w:szCs w:val="21"/>
              </w:rPr>
              <w:t>20</w:t>
            </w:r>
          </w:p>
        </w:tc>
        <w:tc>
          <w:tcPr>
            <w:tcW w:w="2980" w:type="dxa"/>
          </w:tcPr>
          <w:p w14:paraId="2DD0F4B3" w14:textId="77777777" w:rsidR="00F7285D" w:rsidRPr="0029055B" w:rsidRDefault="00F7285D" w:rsidP="008709A1">
            <w:pPr>
              <w:rPr>
                <w:szCs w:val="21"/>
              </w:rPr>
            </w:pPr>
            <w:r w:rsidRPr="0029055B">
              <w:rPr>
                <w:szCs w:val="21"/>
              </w:rPr>
              <w:t>Cyperaceae</w:t>
            </w:r>
          </w:p>
        </w:tc>
        <w:tc>
          <w:tcPr>
            <w:tcW w:w="3122" w:type="dxa"/>
          </w:tcPr>
          <w:p w14:paraId="44485463" w14:textId="77777777" w:rsidR="00F7285D" w:rsidRPr="0029055B" w:rsidRDefault="00F7285D" w:rsidP="008709A1">
            <w:pPr>
              <w:rPr>
                <w:szCs w:val="21"/>
              </w:rPr>
            </w:pPr>
            <w:r w:rsidRPr="0029055B">
              <w:rPr>
                <w:szCs w:val="21"/>
              </w:rPr>
              <w:t>Carex runssoroensis  (H)</w:t>
            </w:r>
          </w:p>
        </w:tc>
        <w:tc>
          <w:tcPr>
            <w:tcW w:w="1559" w:type="dxa"/>
          </w:tcPr>
          <w:p w14:paraId="25DA403E" w14:textId="77777777" w:rsidR="00F7285D" w:rsidRPr="0029055B" w:rsidRDefault="00F7285D" w:rsidP="008709A1">
            <w:pPr>
              <w:rPr>
                <w:szCs w:val="21"/>
              </w:rPr>
            </w:pPr>
          </w:p>
        </w:tc>
        <w:tc>
          <w:tcPr>
            <w:tcW w:w="1921" w:type="dxa"/>
            <w:tcBorders>
              <w:right w:val="single" w:sz="8" w:space="0" w:color="auto"/>
            </w:tcBorders>
          </w:tcPr>
          <w:p w14:paraId="40DF620A" w14:textId="77777777" w:rsidR="00F7285D" w:rsidRPr="0029055B" w:rsidRDefault="00F7285D" w:rsidP="008709A1">
            <w:pPr>
              <w:rPr>
                <w:szCs w:val="21"/>
              </w:rPr>
            </w:pPr>
            <w:r w:rsidRPr="0029055B">
              <w:rPr>
                <w:szCs w:val="21"/>
              </w:rPr>
              <w:t>Valmont</w:t>
            </w:r>
          </w:p>
        </w:tc>
      </w:tr>
      <w:tr w:rsidR="00F7285D" w:rsidRPr="0029055B" w14:paraId="18D62B6C" w14:textId="77777777" w:rsidTr="008709A1">
        <w:trPr>
          <w:trHeight w:val="255"/>
          <w:jc w:val="center"/>
        </w:trPr>
        <w:tc>
          <w:tcPr>
            <w:tcW w:w="500" w:type="dxa"/>
            <w:tcBorders>
              <w:top w:val="single" w:sz="4" w:space="0" w:color="auto"/>
              <w:left w:val="single" w:sz="8" w:space="0" w:color="auto"/>
            </w:tcBorders>
          </w:tcPr>
          <w:p w14:paraId="0A2F3049" w14:textId="77777777" w:rsidR="00F7285D" w:rsidRPr="0029055B" w:rsidRDefault="00F7285D" w:rsidP="008709A1">
            <w:pPr>
              <w:rPr>
                <w:szCs w:val="21"/>
              </w:rPr>
            </w:pPr>
            <w:r w:rsidRPr="0029055B">
              <w:rPr>
                <w:szCs w:val="21"/>
              </w:rPr>
              <w:t>21</w:t>
            </w:r>
          </w:p>
        </w:tc>
        <w:tc>
          <w:tcPr>
            <w:tcW w:w="2980" w:type="dxa"/>
          </w:tcPr>
          <w:p w14:paraId="4F5C2321" w14:textId="77777777" w:rsidR="00F7285D" w:rsidRPr="0029055B" w:rsidRDefault="00F7285D" w:rsidP="008709A1">
            <w:pPr>
              <w:rPr>
                <w:szCs w:val="21"/>
              </w:rPr>
            </w:pPr>
            <w:r w:rsidRPr="0029055B">
              <w:rPr>
                <w:szCs w:val="21"/>
              </w:rPr>
              <w:t>Fabaceae/ Caesalpinioideae</w:t>
            </w:r>
          </w:p>
        </w:tc>
        <w:tc>
          <w:tcPr>
            <w:tcW w:w="3122" w:type="dxa"/>
          </w:tcPr>
          <w:p w14:paraId="1CBC9530" w14:textId="77777777" w:rsidR="00F7285D" w:rsidRPr="0029055B" w:rsidRDefault="00F7285D" w:rsidP="008709A1">
            <w:pPr>
              <w:rPr>
                <w:szCs w:val="21"/>
              </w:rPr>
            </w:pPr>
            <w:r w:rsidRPr="0029055B">
              <w:rPr>
                <w:szCs w:val="21"/>
              </w:rPr>
              <w:t>Cassia albida</w:t>
            </w:r>
          </w:p>
        </w:tc>
        <w:tc>
          <w:tcPr>
            <w:tcW w:w="1559" w:type="dxa"/>
          </w:tcPr>
          <w:p w14:paraId="09B41102" w14:textId="77777777" w:rsidR="00F7285D" w:rsidRPr="0029055B" w:rsidRDefault="00F7285D" w:rsidP="008709A1">
            <w:pPr>
              <w:rPr>
                <w:szCs w:val="21"/>
              </w:rPr>
            </w:pPr>
            <w:r w:rsidRPr="0029055B">
              <w:rPr>
                <w:szCs w:val="21"/>
              </w:rPr>
              <w:t>Uumungando</w:t>
            </w:r>
          </w:p>
        </w:tc>
        <w:tc>
          <w:tcPr>
            <w:tcW w:w="1921" w:type="dxa"/>
            <w:tcBorders>
              <w:bottom w:val="single" w:sz="8" w:space="0" w:color="auto"/>
              <w:right w:val="single" w:sz="8" w:space="0" w:color="auto"/>
            </w:tcBorders>
          </w:tcPr>
          <w:p w14:paraId="5BFD208A" w14:textId="77777777" w:rsidR="00F7285D" w:rsidRPr="0029055B" w:rsidRDefault="00F7285D" w:rsidP="008709A1">
            <w:pPr>
              <w:rPr>
                <w:szCs w:val="21"/>
              </w:rPr>
            </w:pPr>
            <w:r w:rsidRPr="0029055B">
              <w:rPr>
                <w:szCs w:val="21"/>
              </w:rPr>
              <w:t>Cult, Fs</w:t>
            </w:r>
          </w:p>
        </w:tc>
      </w:tr>
      <w:tr w:rsidR="00F7285D" w:rsidRPr="0029055B" w14:paraId="58E180C2" w14:textId="77777777" w:rsidTr="008709A1">
        <w:trPr>
          <w:trHeight w:val="255"/>
          <w:jc w:val="center"/>
        </w:trPr>
        <w:tc>
          <w:tcPr>
            <w:tcW w:w="500" w:type="dxa"/>
            <w:tcBorders>
              <w:left w:val="single" w:sz="8" w:space="0" w:color="auto"/>
            </w:tcBorders>
          </w:tcPr>
          <w:p w14:paraId="6B4C872D" w14:textId="77777777" w:rsidR="00F7285D" w:rsidRPr="0029055B" w:rsidRDefault="00F7285D" w:rsidP="008709A1">
            <w:pPr>
              <w:rPr>
                <w:szCs w:val="21"/>
              </w:rPr>
            </w:pPr>
            <w:r w:rsidRPr="0029055B">
              <w:rPr>
                <w:szCs w:val="21"/>
              </w:rPr>
              <w:t>22</w:t>
            </w:r>
          </w:p>
        </w:tc>
        <w:tc>
          <w:tcPr>
            <w:tcW w:w="2980" w:type="dxa"/>
          </w:tcPr>
          <w:p w14:paraId="71EACB58" w14:textId="77777777" w:rsidR="00F7285D" w:rsidRPr="0029055B" w:rsidRDefault="00F7285D" w:rsidP="008709A1">
            <w:pPr>
              <w:rPr>
                <w:szCs w:val="21"/>
              </w:rPr>
            </w:pPr>
            <w:r w:rsidRPr="0029055B">
              <w:rPr>
                <w:szCs w:val="21"/>
              </w:rPr>
              <w:t>Fabaceae/ Caesalpinioideae</w:t>
            </w:r>
          </w:p>
        </w:tc>
        <w:tc>
          <w:tcPr>
            <w:tcW w:w="3122" w:type="dxa"/>
          </w:tcPr>
          <w:p w14:paraId="5787F4DD" w14:textId="77777777" w:rsidR="00F7285D" w:rsidRPr="0029055B" w:rsidRDefault="00F7285D" w:rsidP="008709A1">
            <w:pPr>
              <w:rPr>
                <w:szCs w:val="21"/>
              </w:rPr>
            </w:pPr>
            <w:r w:rsidRPr="0029055B">
              <w:rPr>
                <w:szCs w:val="21"/>
              </w:rPr>
              <w:t>Cassia gummifera</w:t>
            </w:r>
          </w:p>
        </w:tc>
        <w:tc>
          <w:tcPr>
            <w:tcW w:w="1559" w:type="dxa"/>
          </w:tcPr>
          <w:p w14:paraId="15C9B2E8" w14:textId="77777777" w:rsidR="00F7285D" w:rsidRPr="0029055B" w:rsidRDefault="00F7285D" w:rsidP="008709A1">
            <w:pPr>
              <w:rPr>
                <w:szCs w:val="21"/>
              </w:rPr>
            </w:pPr>
            <w:r w:rsidRPr="0029055B">
              <w:rPr>
                <w:szCs w:val="21"/>
              </w:rPr>
              <w:t>Uumuseheya</w:t>
            </w:r>
          </w:p>
        </w:tc>
        <w:tc>
          <w:tcPr>
            <w:tcW w:w="1921" w:type="dxa"/>
            <w:tcBorders>
              <w:top w:val="single" w:sz="8" w:space="0" w:color="auto"/>
              <w:right w:val="single" w:sz="8" w:space="0" w:color="auto"/>
            </w:tcBorders>
          </w:tcPr>
          <w:p w14:paraId="75E121FB" w14:textId="77777777" w:rsidR="00F7285D" w:rsidRPr="0029055B" w:rsidRDefault="00F7285D" w:rsidP="008709A1">
            <w:pPr>
              <w:rPr>
                <w:szCs w:val="21"/>
              </w:rPr>
            </w:pPr>
          </w:p>
        </w:tc>
      </w:tr>
      <w:tr w:rsidR="00F7285D" w:rsidRPr="0029055B" w14:paraId="09AE83E4" w14:textId="77777777" w:rsidTr="008709A1">
        <w:trPr>
          <w:trHeight w:val="255"/>
          <w:jc w:val="center"/>
        </w:trPr>
        <w:tc>
          <w:tcPr>
            <w:tcW w:w="500" w:type="dxa"/>
            <w:tcBorders>
              <w:left w:val="single" w:sz="8" w:space="0" w:color="auto"/>
            </w:tcBorders>
          </w:tcPr>
          <w:p w14:paraId="5E1585F1" w14:textId="77777777" w:rsidR="00F7285D" w:rsidRPr="0029055B" w:rsidRDefault="00F7285D" w:rsidP="008709A1">
            <w:pPr>
              <w:rPr>
                <w:szCs w:val="21"/>
              </w:rPr>
            </w:pPr>
            <w:r w:rsidRPr="0029055B">
              <w:rPr>
                <w:szCs w:val="21"/>
              </w:rPr>
              <w:t>23</w:t>
            </w:r>
          </w:p>
        </w:tc>
        <w:tc>
          <w:tcPr>
            <w:tcW w:w="2980" w:type="dxa"/>
          </w:tcPr>
          <w:p w14:paraId="7AC044DD" w14:textId="77777777" w:rsidR="00F7285D" w:rsidRPr="0029055B" w:rsidRDefault="00F7285D" w:rsidP="008709A1">
            <w:pPr>
              <w:rPr>
                <w:szCs w:val="21"/>
              </w:rPr>
            </w:pPr>
            <w:r w:rsidRPr="0029055B">
              <w:rPr>
                <w:szCs w:val="21"/>
              </w:rPr>
              <w:t>Fabaceae/ Caesalpinioideae</w:t>
            </w:r>
          </w:p>
        </w:tc>
        <w:tc>
          <w:tcPr>
            <w:tcW w:w="3122" w:type="dxa"/>
          </w:tcPr>
          <w:p w14:paraId="3D1EDC14" w14:textId="77777777" w:rsidR="00F7285D" w:rsidRPr="0029055B" w:rsidRDefault="00F7285D" w:rsidP="008709A1">
            <w:pPr>
              <w:rPr>
                <w:szCs w:val="21"/>
              </w:rPr>
            </w:pPr>
            <w:r w:rsidRPr="0029055B">
              <w:rPr>
                <w:szCs w:val="21"/>
              </w:rPr>
              <w:t>Cassia kirkii</w:t>
            </w:r>
          </w:p>
        </w:tc>
        <w:tc>
          <w:tcPr>
            <w:tcW w:w="1559" w:type="dxa"/>
          </w:tcPr>
          <w:p w14:paraId="63EDC69A" w14:textId="77777777" w:rsidR="00F7285D" w:rsidRPr="0029055B" w:rsidRDefault="00F7285D" w:rsidP="008709A1">
            <w:pPr>
              <w:rPr>
                <w:szCs w:val="21"/>
              </w:rPr>
            </w:pPr>
          </w:p>
        </w:tc>
        <w:tc>
          <w:tcPr>
            <w:tcW w:w="1921" w:type="dxa"/>
            <w:tcBorders>
              <w:right w:val="single" w:sz="8" w:space="0" w:color="auto"/>
            </w:tcBorders>
          </w:tcPr>
          <w:p w14:paraId="33E8EBE5" w14:textId="77777777" w:rsidR="00F7285D" w:rsidRPr="0029055B" w:rsidRDefault="00F7285D" w:rsidP="008709A1">
            <w:pPr>
              <w:rPr>
                <w:szCs w:val="21"/>
              </w:rPr>
            </w:pPr>
            <w:r w:rsidRPr="0029055B">
              <w:rPr>
                <w:szCs w:val="21"/>
              </w:rPr>
              <w:t xml:space="preserve">Fr, </w:t>
            </w:r>
          </w:p>
        </w:tc>
      </w:tr>
      <w:tr w:rsidR="00F7285D" w:rsidRPr="0029055B" w14:paraId="178A563C" w14:textId="77777777" w:rsidTr="008709A1">
        <w:trPr>
          <w:trHeight w:val="255"/>
          <w:jc w:val="center"/>
        </w:trPr>
        <w:tc>
          <w:tcPr>
            <w:tcW w:w="500" w:type="dxa"/>
            <w:tcBorders>
              <w:left w:val="single" w:sz="8" w:space="0" w:color="auto"/>
              <w:bottom w:val="single" w:sz="4" w:space="0" w:color="auto"/>
            </w:tcBorders>
          </w:tcPr>
          <w:p w14:paraId="07067130" w14:textId="77777777" w:rsidR="00F7285D" w:rsidRPr="0029055B" w:rsidRDefault="00F7285D" w:rsidP="008709A1">
            <w:pPr>
              <w:rPr>
                <w:szCs w:val="21"/>
              </w:rPr>
            </w:pPr>
            <w:r w:rsidRPr="0029055B">
              <w:rPr>
                <w:szCs w:val="21"/>
              </w:rPr>
              <w:t>24</w:t>
            </w:r>
          </w:p>
        </w:tc>
        <w:tc>
          <w:tcPr>
            <w:tcW w:w="2980" w:type="dxa"/>
          </w:tcPr>
          <w:p w14:paraId="1D30EA20" w14:textId="77777777" w:rsidR="00F7285D" w:rsidRPr="0029055B" w:rsidRDefault="00F7285D" w:rsidP="008709A1">
            <w:pPr>
              <w:rPr>
                <w:szCs w:val="21"/>
              </w:rPr>
            </w:pPr>
            <w:r w:rsidRPr="0029055B">
              <w:rPr>
                <w:szCs w:val="21"/>
              </w:rPr>
              <w:t>Meliaceae</w:t>
            </w:r>
          </w:p>
        </w:tc>
        <w:tc>
          <w:tcPr>
            <w:tcW w:w="3122" w:type="dxa"/>
          </w:tcPr>
          <w:p w14:paraId="78927D20" w14:textId="77777777" w:rsidR="00F7285D" w:rsidRPr="0029055B" w:rsidRDefault="00F7285D" w:rsidP="008709A1">
            <w:pPr>
              <w:rPr>
                <w:szCs w:val="21"/>
              </w:rPr>
            </w:pPr>
            <w:r w:rsidRPr="0029055B">
              <w:rPr>
                <w:szCs w:val="21"/>
              </w:rPr>
              <w:t>Cedrela cerata</w:t>
            </w:r>
          </w:p>
        </w:tc>
        <w:tc>
          <w:tcPr>
            <w:tcW w:w="1559" w:type="dxa"/>
          </w:tcPr>
          <w:p w14:paraId="26D73AF9" w14:textId="77777777" w:rsidR="00F7285D" w:rsidRPr="0029055B" w:rsidRDefault="00F7285D" w:rsidP="008709A1">
            <w:pPr>
              <w:rPr>
                <w:szCs w:val="21"/>
              </w:rPr>
            </w:pPr>
          </w:p>
        </w:tc>
        <w:tc>
          <w:tcPr>
            <w:tcW w:w="1921" w:type="dxa"/>
            <w:tcBorders>
              <w:right w:val="single" w:sz="8" w:space="0" w:color="auto"/>
            </w:tcBorders>
          </w:tcPr>
          <w:p w14:paraId="29FE3029" w14:textId="77777777" w:rsidR="00F7285D" w:rsidRPr="0029055B" w:rsidRDefault="00F7285D" w:rsidP="008709A1">
            <w:pPr>
              <w:rPr>
                <w:szCs w:val="21"/>
              </w:rPr>
            </w:pPr>
          </w:p>
        </w:tc>
      </w:tr>
      <w:tr w:rsidR="00F7285D" w:rsidRPr="0029055B" w14:paraId="00C18FFE" w14:textId="77777777" w:rsidTr="008709A1">
        <w:trPr>
          <w:trHeight w:val="255"/>
          <w:jc w:val="center"/>
        </w:trPr>
        <w:tc>
          <w:tcPr>
            <w:tcW w:w="500" w:type="dxa"/>
            <w:tcBorders>
              <w:top w:val="single" w:sz="4" w:space="0" w:color="auto"/>
              <w:left w:val="single" w:sz="8" w:space="0" w:color="auto"/>
            </w:tcBorders>
          </w:tcPr>
          <w:p w14:paraId="311AFE42" w14:textId="77777777" w:rsidR="00F7285D" w:rsidRPr="0029055B" w:rsidRDefault="00F7285D" w:rsidP="008709A1">
            <w:pPr>
              <w:rPr>
                <w:szCs w:val="21"/>
              </w:rPr>
            </w:pPr>
            <w:r w:rsidRPr="0029055B">
              <w:rPr>
                <w:szCs w:val="21"/>
              </w:rPr>
              <w:t>25</w:t>
            </w:r>
          </w:p>
        </w:tc>
        <w:tc>
          <w:tcPr>
            <w:tcW w:w="2980" w:type="dxa"/>
            <w:vAlign w:val="bottom"/>
          </w:tcPr>
          <w:p w14:paraId="7399083C" w14:textId="77777777" w:rsidR="00F7285D" w:rsidRPr="0029055B" w:rsidRDefault="00F7285D" w:rsidP="008709A1">
            <w:pPr>
              <w:rPr>
                <w:szCs w:val="21"/>
              </w:rPr>
            </w:pPr>
            <w:r w:rsidRPr="0029055B">
              <w:rPr>
                <w:szCs w:val="21"/>
              </w:rPr>
              <w:t>Poaceae</w:t>
            </w:r>
          </w:p>
        </w:tc>
        <w:tc>
          <w:tcPr>
            <w:tcW w:w="3122" w:type="dxa"/>
            <w:vAlign w:val="bottom"/>
          </w:tcPr>
          <w:p w14:paraId="50DDD2F7" w14:textId="77777777" w:rsidR="00F7285D" w:rsidRPr="0029055B" w:rsidRDefault="00F7285D" w:rsidP="008709A1">
            <w:pPr>
              <w:rPr>
                <w:szCs w:val="21"/>
              </w:rPr>
            </w:pPr>
            <w:r w:rsidRPr="0029055B">
              <w:rPr>
                <w:szCs w:val="21"/>
              </w:rPr>
              <w:t>Cenchrus ciliaris (H)</w:t>
            </w:r>
          </w:p>
        </w:tc>
        <w:tc>
          <w:tcPr>
            <w:tcW w:w="1559" w:type="dxa"/>
            <w:vAlign w:val="bottom"/>
          </w:tcPr>
          <w:p w14:paraId="68F34098" w14:textId="77777777" w:rsidR="00F7285D" w:rsidRPr="0029055B" w:rsidRDefault="00F7285D" w:rsidP="008709A1">
            <w:pPr>
              <w:rPr>
                <w:szCs w:val="21"/>
              </w:rPr>
            </w:pPr>
          </w:p>
        </w:tc>
        <w:tc>
          <w:tcPr>
            <w:tcW w:w="1921" w:type="dxa"/>
            <w:tcBorders>
              <w:right w:val="single" w:sz="8" w:space="0" w:color="auto"/>
            </w:tcBorders>
          </w:tcPr>
          <w:p w14:paraId="5701F284" w14:textId="77777777" w:rsidR="00F7285D" w:rsidRPr="0029055B" w:rsidRDefault="00F7285D" w:rsidP="008709A1">
            <w:pPr>
              <w:rPr>
                <w:szCs w:val="21"/>
              </w:rPr>
            </w:pPr>
            <w:r w:rsidRPr="0029055B">
              <w:rPr>
                <w:szCs w:val="21"/>
              </w:rPr>
              <w:t>Fhb</w:t>
            </w:r>
          </w:p>
        </w:tc>
      </w:tr>
      <w:tr w:rsidR="00F7285D" w:rsidRPr="0029055B" w14:paraId="0B91BEE3" w14:textId="77777777" w:rsidTr="008709A1">
        <w:trPr>
          <w:trHeight w:val="255"/>
          <w:jc w:val="center"/>
        </w:trPr>
        <w:tc>
          <w:tcPr>
            <w:tcW w:w="500" w:type="dxa"/>
            <w:tcBorders>
              <w:left w:val="single" w:sz="8" w:space="0" w:color="auto"/>
              <w:bottom w:val="single" w:sz="4" w:space="0" w:color="auto"/>
            </w:tcBorders>
          </w:tcPr>
          <w:p w14:paraId="1CBDB52E" w14:textId="77777777" w:rsidR="00F7285D" w:rsidRPr="0029055B" w:rsidRDefault="00F7285D" w:rsidP="008709A1">
            <w:pPr>
              <w:rPr>
                <w:szCs w:val="21"/>
              </w:rPr>
            </w:pPr>
            <w:r w:rsidRPr="0029055B">
              <w:rPr>
                <w:szCs w:val="21"/>
              </w:rPr>
              <w:t>26</w:t>
            </w:r>
          </w:p>
        </w:tc>
        <w:tc>
          <w:tcPr>
            <w:tcW w:w="2980" w:type="dxa"/>
            <w:vAlign w:val="bottom"/>
          </w:tcPr>
          <w:p w14:paraId="34DC5824" w14:textId="77777777" w:rsidR="00F7285D" w:rsidRPr="0029055B" w:rsidRDefault="00F7285D" w:rsidP="008709A1">
            <w:pPr>
              <w:rPr>
                <w:szCs w:val="21"/>
              </w:rPr>
            </w:pPr>
            <w:r w:rsidRPr="0029055B">
              <w:rPr>
                <w:szCs w:val="21"/>
              </w:rPr>
              <w:t>Poaceae</w:t>
            </w:r>
          </w:p>
        </w:tc>
        <w:tc>
          <w:tcPr>
            <w:tcW w:w="3122" w:type="dxa"/>
            <w:vAlign w:val="bottom"/>
          </w:tcPr>
          <w:p w14:paraId="042E256D" w14:textId="77777777" w:rsidR="00F7285D" w:rsidRPr="0029055B" w:rsidRDefault="00F7285D" w:rsidP="008709A1">
            <w:pPr>
              <w:rPr>
                <w:szCs w:val="21"/>
              </w:rPr>
            </w:pPr>
            <w:r w:rsidRPr="0029055B">
              <w:rPr>
                <w:szCs w:val="21"/>
              </w:rPr>
              <w:t>Chloris myriostachya (H)</w:t>
            </w:r>
          </w:p>
        </w:tc>
        <w:tc>
          <w:tcPr>
            <w:tcW w:w="1559" w:type="dxa"/>
            <w:vAlign w:val="bottom"/>
          </w:tcPr>
          <w:p w14:paraId="795E753D" w14:textId="77777777" w:rsidR="00F7285D" w:rsidRPr="0029055B" w:rsidRDefault="00F7285D" w:rsidP="008709A1">
            <w:pPr>
              <w:rPr>
                <w:szCs w:val="21"/>
              </w:rPr>
            </w:pPr>
          </w:p>
        </w:tc>
        <w:tc>
          <w:tcPr>
            <w:tcW w:w="1921" w:type="dxa"/>
            <w:tcBorders>
              <w:right w:val="single" w:sz="8" w:space="0" w:color="auto"/>
            </w:tcBorders>
          </w:tcPr>
          <w:p w14:paraId="37C494EB" w14:textId="77777777" w:rsidR="00F7285D" w:rsidRPr="0029055B" w:rsidRDefault="00F7285D" w:rsidP="008709A1">
            <w:pPr>
              <w:rPr>
                <w:szCs w:val="21"/>
              </w:rPr>
            </w:pPr>
            <w:r w:rsidRPr="0029055B">
              <w:rPr>
                <w:szCs w:val="21"/>
              </w:rPr>
              <w:t>Fhb</w:t>
            </w:r>
          </w:p>
        </w:tc>
      </w:tr>
      <w:tr w:rsidR="00F7285D" w:rsidRPr="0029055B" w14:paraId="54851C6F" w14:textId="77777777" w:rsidTr="008709A1">
        <w:trPr>
          <w:trHeight w:val="255"/>
          <w:jc w:val="center"/>
        </w:trPr>
        <w:tc>
          <w:tcPr>
            <w:tcW w:w="500" w:type="dxa"/>
            <w:tcBorders>
              <w:top w:val="single" w:sz="4" w:space="0" w:color="auto"/>
              <w:left w:val="single" w:sz="8" w:space="0" w:color="auto"/>
              <w:bottom w:val="single" w:sz="4" w:space="0" w:color="auto"/>
            </w:tcBorders>
          </w:tcPr>
          <w:p w14:paraId="7154B0D3" w14:textId="77777777" w:rsidR="00F7285D" w:rsidRPr="0029055B" w:rsidRDefault="00F7285D" w:rsidP="008709A1">
            <w:pPr>
              <w:rPr>
                <w:szCs w:val="21"/>
              </w:rPr>
            </w:pPr>
            <w:r w:rsidRPr="0029055B">
              <w:rPr>
                <w:szCs w:val="21"/>
              </w:rPr>
              <w:t>27</w:t>
            </w:r>
          </w:p>
        </w:tc>
        <w:tc>
          <w:tcPr>
            <w:tcW w:w="2980" w:type="dxa"/>
          </w:tcPr>
          <w:p w14:paraId="59108EDA" w14:textId="77777777" w:rsidR="00F7285D" w:rsidRPr="0029055B" w:rsidRDefault="00F7285D" w:rsidP="008709A1">
            <w:pPr>
              <w:rPr>
                <w:szCs w:val="21"/>
              </w:rPr>
            </w:pPr>
            <w:r w:rsidRPr="0029055B">
              <w:rPr>
                <w:szCs w:val="21"/>
              </w:rPr>
              <w:t>Ranunculaceae</w:t>
            </w:r>
          </w:p>
        </w:tc>
        <w:tc>
          <w:tcPr>
            <w:tcW w:w="3122" w:type="dxa"/>
          </w:tcPr>
          <w:p w14:paraId="6B45394E" w14:textId="77777777" w:rsidR="00F7285D" w:rsidRPr="0029055B" w:rsidRDefault="00F7285D" w:rsidP="008709A1">
            <w:pPr>
              <w:rPr>
                <w:szCs w:val="21"/>
              </w:rPr>
            </w:pPr>
            <w:r w:rsidRPr="0029055B">
              <w:rPr>
                <w:szCs w:val="21"/>
              </w:rPr>
              <w:t>Clematis wightiana (H)</w:t>
            </w:r>
          </w:p>
        </w:tc>
        <w:tc>
          <w:tcPr>
            <w:tcW w:w="1559" w:type="dxa"/>
          </w:tcPr>
          <w:p w14:paraId="59B445B1" w14:textId="77777777" w:rsidR="00F7285D" w:rsidRPr="0029055B" w:rsidRDefault="00F7285D" w:rsidP="008709A1">
            <w:pPr>
              <w:rPr>
                <w:szCs w:val="21"/>
              </w:rPr>
            </w:pPr>
          </w:p>
        </w:tc>
        <w:tc>
          <w:tcPr>
            <w:tcW w:w="1921" w:type="dxa"/>
            <w:tcBorders>
              <w:right w:val="single" w:sz="8" w:space="0" w:color="auto"/>
            </w:tcBorders>
          </w:tcPr>
          <w:p w14:paraId="73E287EA" w14:textId="77777777" w:rsidR="00F7285D" w:rsidRPr="0029055B" w:rsidRDefault="00F7285D" w:rsidP="008709A1">
            <w:pPr>
              <w:rPr>
                <w:szCs w:val="21"/>
              </w:rPr>
            </w:pPr>
            <w:r w:rsidRPr="0029055B">
              <w:rPr>
                <w:szCs w:val="21"/>
              </w:rPr>
              <w:t>Fmont</w:t>
            </w:r>
          </w:p>
        </w:tc>
      </w:tr>
      <w:tr w:rsidR="00F7285D" w:rsidRPr="0029055B" w14:paraId="45D76FDF" w14:textId="77777777" w:rsidTr="008709A1">
        <w:trPr>
          <w:trHeight w:val="255"/>
          <w:jc w:val="center"/>
        </w:trPr>
        <w:tc>
          <w:tcPr>
            <w:tcW w:w="500" w:type="dxa"/>
            <w:tcBorders>
              <w:top w:val="single" w:sz="4" w:space="0" w:color="auto"/>
              <w:left w:val="single" w:sz="8" w:space="0" w:color="auto"/>
            </w:tcBorders>
          </w:tcPr>
          <w:p w14:paraId="11A0B50E" w14:textId="77777777" w:rsidR="00F7285D" w:rsidRPr="0029055B" w:rsidRDefault="00F7285D" w:rsidP="008709A1">
            <w:pPr>
              <w:rPr>
                <w:szCs w:val="21"/>
              </w:rPr>
            </w:pPr>
            <w:r w:rsidRPr="0029055B">
              <w:rPr>
                <w:szCs w:val="21"/>
              </w:rPr>
              <w:t>28</w:t>
            </w:r>
          </w:p>
        </w:tc>
        <w:tc>
          <w:tcPr>
            <w:tcW w:w="2980" w:type="dxa"/>
          </w:tcPr>
          <w:p w14:paraId="5D4E8EAF" w14:textId="77777777" w:rsidR="00F7285D" w:rsidRPr="0029055B" w:rsidRDefault="00F7285D" w:rsidP="008709A1">
            <w:pPr>
              <w:rPr>
                <w:szCs w:val="21"/>
              </w:rPr>
            </w:pPr>
            <w:r w:rsidRPr="0029055B">
              <w:rPr>
                <w:szCs w:val="21"/>
              </w:rPr>
              <w:t>Boraginaceae</w:t>
            </w:r>
          </w:p>
        </w:tc>
        <w:tc>
          <w:tcPr>
            <w:tcW w:w="3122" w:type="dxa"/>
          </w:tcPr>
          <w:p w14:paraId="29C4BD0C" w14:textId="77777777" w:rsidR="00F7285D" w:rsidRPr="0029055B" w:rsidRDefault="00F7285D" w:rsidP="008709A1">
            <w:pPr>
              <w:rPr>
                <w:szCs w:val="21"/>
              </w:rPr>
            </w:pPr>
            <w:r w:rsidRPr="0029055B">
              <w:rPr>
                <w:szCs w:val="21"/>
              </w:rPr>
              <w:t xml:space="preserve">Cordia africana </w:t>
            </w:r>
          </w:p>
        </w:tc>
        <w:tc>
          <w:tcPr>
            <w:tcW w:w="1559" w:type="dxa"/>
          </w:tcPr>
          <w:p w14:paraId="7B95374B" w14:textId="77777777" w:rsidR="00F7285D" w:rsidRPr="0029055B" w:rsidRDefault="00F7285D" w:rsidP="008709A1">
            <w:pPr>
              <w:rPr>
                <w:szCs w:val="21"/>
              </w:rPr>
            </w:pPr>
          </w:p>
        </w:tc>
        <w:tc>
          <w:tcPr>
            <w:tcW w:w="1921" w:type="dxa"/>
            <w:tcBorders>
              <w:right w:val="single" w:sz="8" w:space="0" w:color="auto"/>
            </w:tcBorders>
          </w:tcPr>
          <w:p w14:paraId="26773275" w14:textId="77777777" w:rsidR="00F7285D" w:rsidRPr="0029055B" w:rsidRDefault="00F7285D" w:rsidP="008709A1">
            <w:pPr>
              <w:rPr>
                <w:szCs w:val="21"/>
              </w:rPr>
            </w:pPr>
            <w:r w:rsidRPr="0029055B">
              <w:rPr>
                <w:szCs w:val="21"/>
              </w:rPr>
              <w:t>Fm</w:t>
            </w:r>
          </w:p>
        </w:tc>
      </w:tr>
      <w:tr w:rsidR="00F7285D" w:rsidRPr="0029055B" w14:paraId="7A1E60CE" w14:textId="77777777" w:rsidTr="008709A1">
        <w:trPr>
          <w:trHeight w:val="255"/>
          <w:jc w:val="center"/>
        </w:trPr>
        <w:tc>
          <w:tcPr>
            <w:tcW w:w="500" w:type="dxa"/>
            <w:tcBorders>
              <w:left w:val="single" w:sz="8" w:space="0" w:color="auto"/>
            </w:tcBorders>
          </w:tcPr>
          <w:p w14:paraId="74EB8EC8" w14:textId="77777777" w:rsidR="00F7285D" w:rsidRPr="0029055B" w:rsidRDefault="00F7285D" w:rsidP="008709A1">
            <w:pPr>
              <w:rPr>
                <w:szCs w:val="21"/>
              </w:rPr>
            </w:pPr>
            <w:r w:rsidRPr="0029055B">
              <w:rPr>
                <w:szCs w:val="21"/>
              </w:rPr>
              <w:t>29</w:t>
            </w:r>
          </w:p>
        </w:tc>
        <w:tc>
          <w:tcPr>
            <w:tcW w:w="2980" w:type="dxa"/>
          </w:tcPr>
          <w:p w14:paraId="0BD18785" w14:textId="77777777" w:rsidR="00F7285D" w:rsidRPr="0029055B" w:rsidRDefault="00F7285D" w:rsidP="008709A1">
            <w:pPr>
              <w:rPr>
                <w:szCs w:val="21"/>
              </w:rPr>
            </w:pPr>
            <w:r w:rsidRPr="0029055B">
              <w:rPr>
                <w:szCs w:val="21"/>
              </w:rPr>
              <w:t>Costaceae</w:t>
            </w:r>
          </w:p>
        </w:tc>
        <w:tc>
          <w:tcPr>
            <w:tcW w:w="3122" w:type="dxa"/>
          </w:tcPr>
          <w:p w14:paraId="0048AC59" w14:textId="77777777" w:rsidR="00F7285D" w:rsidRPr="0029055B" w:rsidRDefault="00F7285D" w:rsidP="008709A1">
            <w:pPr>
              <w:rPr>
                <w:szCs w:val="21"/>
              </w:rPr>
            </w:pPr>
            <w:r w:rsidRPr="0029055B">
              <w:rPr>
                <w:szCs w:val="21"/>
              </w:rPr>
              <w:t>Costus afer</w:t>
            </w:r>
          </w:p>
        </w:tc>
        <w:tc>
          <w:tcPr>
            <w:tcW w:w="1559" w:type="dxa"/>
          </w:tcPr>
          <w:p w14:paraId="7F087A31" w14:textId="77777777" w:rsidR="00F7285D" w:rsidRPr="0029055B" w:rsidRDefault="00F7285D" w:rsidP="008709A1">
            <w:pPr>
              <w:rPr>
                <w:szCs w:val="21"/>
              </w:rPr>
            </w:pPr>
          </w:p>
        </w:tc>
        <w:tc>
          <w:tcPr>
            <w:tcW w:w="1921" w:type="dxa"/>
            <w:tcBorders>
              <w:right w:val="single" w:sz="8" w:space="0" w:color="auto"/>
            </w:tcBorders>
          </w:tcPr>
          <w:p w14:paraId="03449BEC" w14:textId="77777777" w:rsidR="00F7285D" w:rsidRPr="0029055B" w:rsidRDefault="00F7285D" w:rsidP="008709A1">
            <w:pPr>
              <w:rPr>
                <w:szCs w:val="21"/>
              </w:rPr>
            </w:pPr>
            <w:r w:rsidRPr="0029055B">
              <w:rPr>
                <w:szCs w:val="21"/>
              </w:rPr>
              <w:t xml:space="preserve">Fr, Fm </w:t>
            </w:r>
          </w:p>
        </w:tc>
      </w:tr>
      <w:tr w:rsidR="00F7285D" w:rsidRPr="0029055B" w14:paraId="0EC02681" w14:textId="77777777" w:rsidTr="008709A1">
        <w:trPr>
          <w:trHeight w:val="255"/>
          <w:jc w:val="center"/>
        </w:trPr>
        <w:tc>
          <w:tcPr>
            <w:tcW w:w="500" w:type="dxa"/>
            <w:tcBorders>
              <w:left w:val="single" w:sz="8" w:space="0" w:color="auto"/>
            </w:tcBorders>
          </w:tcPr>
          <w:p w14:paraId="7A74C841" w14:textId="77777777" w:rsidR="00F7285D" w:rsidRPr="0029055B" w:rsidRDefault="00F7285D" w:rsidP="008709A1">
            <w:pPr>
              <w:rPr>
                <w:szCs w:val="21"/>
              </w:rPr>
            </w:pPr>
            <w:r w:rsidRPr="0029055B">
              <w:rPr>
                <w:szCs w:val="21"/>
              </w:rPr>
              <w:t>30</w:t>
            </w:r>
          </w:p>
        </w:tc>
        <w:tc>
          <w:tcPr>
            <w:tcW w:w="2980" w:type="dxa"/>
          </w:tcPr>
          <w:p w14:paraId="6D335B79" w14:textId="77777777" w:rsidR="00F7285D" w:rsidRPr="0029055B" w:rsidRDefault="00F7285D" w:rsidP="008709A1">
            <w:pPr>
              <w:rPr>
                <w:szCs w:val="21"/>
              </w:rPr>
            </w:pPr>
            <w:r w:rsidRPr="0029055B">
              <w:rPr>
                <w:szCs w:val="21"/>
              </w:rPr>
              <w:t>Poaceae</w:t>
            </w:r>
          </w:p>
        </w:tc>
        <w:tc>
          <w:tcPr>
            <w:tcW w:w="3122" w:type="dxa"/>
          </w:tcPr>
          <w:p w14:paraId="66492684" w14:textId="77777777" w:rsidR="00F7285D" w:rsidRPr="0029055B" w:rsidRDefault="00F7285D" w:rsidP="008709A1">
            <w:pPr>
              <w:rPr>
                <w:szCs w:val="21"/>
              </w:rPr>
            </w:pPr>
            <w:r w:rsidRPr="0029055B">
              <w:rPr>
                <w:szCs w:val="21"/>
              </w:rPr>
              <w:t>Coix lacryma-jobi (H)</w:t>
            </w:r>
          </w:p>
        </w:tc>
        <w:tc>
          <w:tcPr>
            <w:tcW w:w="1559" w:type="dxa"/>
          </w:tcPr>
          <w:p w14:paraId="1F579602" w14:textId="77777777" w:rsidR="00F7285D" w:rsidRPr="0029055B" w:rsidRDefault="00F7285D" w:rsidP="008709A1">
            <w:pPr>
              <w:rPr>
                <w:szCs w:val="21"/>
              </w:rPr>
            </w:pPr>
          </w:p>
        </w:tc>
        <w:tc>
          <w:tcPr>
            <w:tcW w:w="1921" w:type="dxa"/>
            <w:tcBorders>
              <w:right w:val="single" w:sz="8" w:space="0" w:color="auto"/>
            </w:tcBorders>
          </w:tcPr>
          <w:p w14:paraId="7E228E75" w14:textId="77777777" w:rsidR="00F7285D" w:rsidRPr="0029055B" w:rsidRDefault="00F7285D" w:rsidP="008709A1">
            <w:pPr>
              <w:rPr>
                <w:szCs w:val="21"/>
              </w:rPr>
            </w:pPr>
            <w:r w:rsidRPr="0029055B">
              <w:rPr>
                <w:szCs w:val="21"/>
              </w:rPr>
              <w:t>FH, Fr</w:t>
            </w:r>
          </w:p>
        </w:tc>
      </w:tr>
      <w:tr w:rsidR="00F7285D" w:rsidRPr="0029055B" w14:paraId="3712D35F" w14:textId="77777777" w:rsidTr="008709A1">
        <w:trPr>
          <w:trHeight w:val="255"/>
          <w:jc w:val="center"/>
        </w:trPr>
        <w:tc>
          <w:tcPr>
            <w:tcW w:w="500" w:type="dxa"/>
            <w:tcBorders>
              <w:left w:val="single" w:sz="8" w:space="0" w:color="auto"/>
            </w:tcBorders>
          </w:tcPr>
          <w:p w14:paraId="7C91CA0C" w14:textId="77777777" w:rsidR="00F7285D" w:rsidRPr="0029055B" w:rsidRDefault="00F7285D" w:rsidP="008709A1">
            <w:pPr>
              <w:rPr>
                <w:szCs w:val="21"/>
              </w:rPr>
            </w:pPr>
            <w:r w:rsidRPr="0029055B">
              <w:rPr>
                <w:szCs w:val="21"/>
              </w:rPr>
              <w:t>31</w:t>
            </w:r>
          </w:p>
        </w:tc>
        <w:tc>
          <w:tcPr>
            <w:tcW w:w="2980" w:type="dxa"/>
          </w:tcPr>
          <w:p w14:paraId="00012E7E" w14:textId="77777777" w:rsidR="00F7285D" w:rsidRPr="0029055B" w:rsidRDefault="00F7285D" w:rsidP="008709A1">
            <w:pPr>
              <w:rPr>
                <w:szCs w:val="21"/>
              </w:rPr>
            </w:pPr>
            <w:r w:rsidRPr="0029055B">
              <w:rPr>
                <w:szCs w:val="21"/>
              </w:rPr>
              <w:t>Euphorbiaceae</w:t>
            </w:r>
          </w:p>
        </w:tc>
        <w:tc>
          <w:tcPr>
            <w:tcW w:w="3122" w:type="dxa"/>
          </w:tcPr>
          <w:p w14:paraId="48613C43" w14:textId="77777777" w:rsidR="00F7285D" w:rsidRPr="0029055B" w:rsidRDefault="00F7285D" w:rsidP="008709A1">
            <w:pPr>
              <w:rPr>
                <w:szCs w:val="21"/>
              </w:rPr>
            </w:pPr>
            <w:r w:rsidRPr="0029055B">
              <w:rPr>
                <w:szCs w:val="21"/>
              </w:rPr>
              <w:t>Croton macrostachys (A)</w:t>
            </w:r>
          </w:p>
        </w:tc>
        <w:tc>
          <w:tcPr>
            <w:tcW w:w="1559" w:type="dxa"/>
          </w:tcPr>
          <w:p w14:paraId="5551C1CA" w14:textId="77777777" w:rsidR="00F7285D" w:rsidRPr="0029055B" w:rsidRDefault="00F7285D" w:rsidP="008709A1">
            <w:pPr>
              <w:rPr>
                <w:szCs w:val="21"/>
              </w:rPr>
            </w:pPr>
          </w:p>
        </w:tc>
        <w:tc>
          <w:tcPr>
            <w:tcW w:w="1921" w:type="dxa"/>
            <w:tcBorders>
              <w:right w:val="single" w:sz="8" w:space="0" w:color="auto"/>
            </w:tcBorders>
          </w:tcPr>
          <w:p w14:paraId="3C8435DA" w14:textId="77777777" w:rsidR="00F7285D" w:rsidRPr="0029055B" w:rsidRDefault="00F7285D" w:rsidP="008709A1">
            <w:pPr>
              <w:rPr>
                <w:szCs w:val="21"/>
              </w:rPr>
            </w:pPr>
            <w:r w:rsidRPr="0029055B">
              <w:rPr>
                <w:szCs w:val="21"/>
              </w:rPr>
              <w:t>Fm</w:t>
            </w:r>
          </w:p>
        </w:tc>
      </w:tr>
      <w:tr w:rsidR="00F7285D" w:rsidRPr="0029055B" w14:paraId="70AA4A9D" w14:textId="77777777" w:rsidTr="008709A1">
        <w:trPr>
          <w:trHeight w:val="255"/>
          <w:jc w:val="center"/>
        </w:trPr>
        <w:tc>
          <w:tcPr>
            <w:tcW w:w="500" w:type="dxa"/>
            <w:tcBorders>
              <w:left w:val="single" w:sz="8" w:space="0" w:color="auto"/>
              <w:bottom w:val="single" w:sz="8" w:space="0" w:color="auto"/>
            </w:tcBorders>
          </w:tcPr>
          <w:p w14:paraId="6843C1EB" w14:textId="77777777" w:rsidR="00F7285D" w:rsidRPr="0029055B" w:rsidRDefault="00F7285D" w:rsidP="008709A1">
            <w:pPr>
              <w:rPr>
                <w:szCs w:val="21"/>
              </w:rPr>
            </w:pPr>
            <w:r w:rsidRPr="0029055B">
              <w:rPr>
                <w:szCs w:val="21"/>
              </w:rPr>
              <w:t>32</w:t>
            </w:r>
          </w:p>
        </w:tc>
        <w:tc>
          <w:tcPr>
            <w:tcW w:w="2980" w:type="dxa"/>
          </w:tcPr>
          <w:p w14:paraId="0A734F7B" w14:textId="77777777" w:rsidR="00F7285D" w:rsidRPr="0029055B" w:rsidRDefault="00F7285D" w:rsidP="008709A1">
            <w:pPr>
              <w:rPr>
                <w:szCs w:val="21"/>
              </w:rPr>
            </w:pPr>
            <w:r w:rsidRPr="0029055B">
              <w:rPr>
                <w:szCs w:val="21"/>
              </w:rPr>
              <w:t>Euphorbiaceae</w:t>
            </w:r>
          </w:p>
        </w:tc>
        <w:tc>
          <w:tcPr>
            <w:tcW w:w="3122" w:type="dxa"/>
          </w:tcPr>
          <w:p w14:paraId="04BCE5DF" w14:textId="77777777" w:rsidR="00F7285D" w:rsidRPr="0029055B" w:rsidRDefault="00F7285D" w:rsidP="008709A1">
            <w:pPr>
              <w:rPr>
                <w:szCs w:val="21"/>
              </w:rPr>
            </w:pPr>
            <w:r w:rsidRPr="0029055B">
              <w:rPr>
                <w:szCs w:val="21"/>
              </w:rPr>
              <w:t>Croton megalocarpus (A)</w:t>
            </w:r>
          </w:p>
        </w:tc>
        <w:tc>
          <w:tcPr>
            <w:tcW w:w="1559" w:type="dxa"/>
          </w:tcPr>
          <w:p w14:paraId="5DCB5ABA" w14:textId="77777777" w:rsidR="00F7285D" w:rsidRPr="0029055B" w:rsidRDefault="00F7285D" w:rsidP="008709A1">
            <w:pPr>
              <w:rPr>
                <w:szCs w:val="21"/>
              </w:rPr>
            </w:pPr>
          </w:p>
        </w:tc>
        <w:tc>
          <w:tcPr>
            <w:tcW w:w="1921" w:type="dxa"/>
            <w:tcBorders>
              <w:right w:val="single" w:sz="8" w:space="0" w:color="auto"/>
            </w:tcBorders>
          </w:tcPr>
          <w:p w14:paraId="5D646CAF" w14:textId="77777777" w:rsidR="00F7285D" w:rsidRPr="0029055B" w:rsidRDefault="00F7285D" w:rsidP="008709A1">
            <w:pPr>
              <w:rPr>
                <w:szCs w:val="21"/>
              </w:rPr>
            </w:pPr>
            <w:r w:rsidRPr="0029055B">
              <w:rPr>
                <w:szCs w:val="21"/>
              </w:rPr>
              <w:t>Fm</w:t>
            </w:r>
          </w:p>
        </w:tc>
      </w:tr>
      <w:tr w:rsidR="00F7285D" w:rsidRPr="0029055B" w14:paraId="0F1E8E74" w14:textId="77777777" w:rsidTr="008709A1">
        <w:trPr>
          <w:trHeight w:val="255"/>
          <w:jc w:val="center"/>
        </w:trPr>
        <w:tc>
          <w:tcPr>
            <w:tcW w:w="500" w:type="dxa"/>
            <w:tcBorders>
              <w:top w:val="single" w:sz="8" w:space="0" w:color="auto"/>
              <w:left w:val="single" w:sz="8" w:space="0" w:color="auto"/>
            </w:tcBorders>
          </w:tcPr>
          <w:p w14:paraId="4FFD6F75" w14:textId="77777777" w:rsidR="00F7285D" w:rsidRPr="0029055B" w:rsidRDefault="00F7285D" w:rsidP="008709A1">
            <w:pPr>
              <w:rPr>
                <w:szCs w:val="21"/>
              </w:rPr>
            </w:pPr>
            <w:r w:rsidRPr="0029055B">
              <w:rPr>
                <w:szCs w:val="21"/>
              </w:rPr>
              <w:t>33</w:t>
            </w:r>
          </w:p>
        </w:tc>
        <w:tc>
          <w:tcPr>
            <w:tcW w:w="2980" w:type="dxa"/>
          </w:tcPr>
          <w:p w14:paraId="48A9B03F" w14:textId="77777777" w:rsidR="00F7285D" w:rsidRPr="0029055B" w:rsidRDefault="00F7285D" w:rsidP="008709A1">
            <w:pPr>
              <w:rPr>
                <w:szCs w:val="21"/>
              </w:rPr>
            </w:pPr>
            <w:r w:rsidRPr="0029055B">
              <w:rPr>
                <w:szCs w:val="21"/>
              </w:rPr>
              <w:t>Euphorbiaceae</w:t>
            </w:r>
          </w:p>
        </w:tc>
        <w:tc>
          <w:tcPr>
            <w:tcW w:w="3122" w:type="dxa"/>
          </w:tcPr>
          <w:p w14:paraId="30DB4B70" w14:textId="77777777" w:rsidR="00F7285D" w:rsidRPr="0029055B" w:rsidRDefault="00F7285D" w:rsidP="008709A1">
            <w:pPr>
              <w:rPr>
                <w:szCs w:val="21"/>
              </w:rPr>
            </w:pPr>
            <w:r w:rsidRPr="0029055B">
              <w:rPr>
                <w:szCs w:val="21"/>
              </w:rPr>
              <w:t>Croton mobango (A)</w:t>
            </w:r>
          </w:p>
        </w:tc>
        <w:tc>
          <w:tcPr>
            <w:tcW w:w="1559" w:type="dxa"/>
          </w:tcPr>
          <w:p w14:paraId="67E9C666" w14:textId="77777777" w:rsidR="00F7285D" w:rsidRPr="0029055B" w:rsidRDefault="00F7285D" w:rsidP="008709A1">
            <w:pPr>
              <w:rPr>
                <w:szCs w:val="21"/>
              </w:rPr>
            </w:pPr>
          </w:p>
        </w:tc>
        <w:tc>
          <w:tcPr>
            <w:tcW w:w="1921" w:type="dxa"/>
            <w:tcBorders>
              <w:right w:val="single" w:sz="8" w:space="0" w:color="auto"/>
            </w:tcBorders>
          </w:tcPr>
          <w:p w14:paraId="0E6D3889" w14:textId="77777777" w:rsidR="00F7285D" w:rsidRPr="0029055B" w:rsidRDefault="00F7285D" w:rsidP="008709A1">
            <w:pPr>
              <w:rPr>
                <w:szCs w:val="21"/>
              </w:rPr>
            </w:pPr>
            <w:r w:rsidRPr="0029055B">
              <w:rPr>
                <w:szCs w:val="21"/>
              </w:rPr>
              <w:t>Cult</w:t>
            </w:r>
          </w:p>
        </w:tc>
      </w:tr>
      <w:tr w:rsidR="00F7285D" w:rsidRPr="0029055B" w14:paraId="6BFDA681" w14:textId="77777777" w:rsidTr="008709A1">
        <w:trPr>
          <w:trHeight w:val="255"/>
          <w:jc w:val="center"/>
        </w:trPr>
        <w:tc>
          <w:tcPr>
            <w:tcW w:w="500" w:type="dxa"/>
            <w:tcBorders>
              <w:left w:val="single" w:sz="8" w:space="0" w:color="auto"/>
            </w:tcBorders>
          </w:tcPr>
          <w:p w14:paraId="224BB1D6" w14:textId="77777777" w:rsidR="00F7285D" w:rsidRPr="0029055B" w:rsidRDefault="00F7285D" w:rsidP="008709A1">
            <w:pPr>
              <w:rPr>
                <w:szCs w:val="21"/>
              </w:rPr>
            </w:pPr>
            <w:r w:rsidRPr="0029055B">
              <w:rPr>
                <w:szCs w:val="21"/>
              </w:rPr>
              <w:t>34</w:t>
            </w:r>
          </w:p>
        </w:tc>
        <w:tc>
          <w:tcPr>
            <w:tcW w:w="2980" w:type="dxa"/>
          </w:tcPr>
          <w:p w14:paraId="4CF23356" w14:textId="77777777" w:rsidR="00F7285D" w:rsidRPr="0029055B" w:rsidRDefault="00F7285D" w:rsidP="008709A1">
            <w:pPr>
              <w:rPr>
                <w:szCs w:val="21"/>
              </w:rPr>
            </w:pPr>
            <w:r w:rsidRPr="0029055B">
              <w:rPr>
                <w:szCs w:val="21"/>
              </w:rPr>
              <w:t>Poaceae</w:t>
            </w:r>
          </w:p>
        </w:tc>
        <w:tc>
          <w:tcPr>
            <w:tcW w:w="3122" w:type="dxa"/>
          </w:tcPr>
          <w:p w14:paraId="02A846DC" w14:textId="77777777" w:rsidR="00F7285D" w:rsidRPr="0029055B" w:rsidRDefault="00F7285D" w:rsidP="008709A1">
            <w:pPr>
              <w:rPr>
                <w:szCs w:val="21"/>
              </w:rPr>
            </w:pPr>
            <w:r w:rsidRPr="0029055B">
              <w:rPr>
                <w:szCs w:val="21"/>
              </w:rPr>
              <w:t>Cymbopogon div. sp (H)</w:t>
            </w:r>
          </w:p>
        </w:tc>
        <w:tc>
          <w:tcPr>
            <w:tcW w:w="1559" w:type="dxa"/>
          </w:tcPr>
          <w:p w14:paraId="0CB30685" w14:textId="77777777" w:rsidR="00F7285D" w:rsidRPr="0029055B" w:rsidRDefault="00F7285D" w:rsidP="008709A1">
            <w:pPr>
              <w:rPr>
                <w:szCs w:val="21"/>
              </w:rPr>
            </w:pPr>
          </w:p>
        </w:tc>
        <w:tc>
          <w:tcPr>
            <w:tcW w:w="1921" w:type="dxa"/>
            <w:tcBorders>
              <w:right w:val="single" w:sz="8" w:space="0" w:color="auto"/>
            </w:tcBorders>
          </w:tcPr>
          <w:p w14:paraId="4B0DD052" w14:textId="77777777" w:rsidR="00F7285D" w:rsidRPr="0029055B" w:rsidRDefault="00F7285D" w:rsidP="008709A1">
            <w:pPr>
              <w:rPr>
                <w:szCs w:val="21"/>
              </w:rPr>
            </w:pPr>
            <w:r w:rsidRPr="0029055B">
              <w:rPr>
                <w:szCs w:val="21"/>
              </w:rPr>
              <w:t>Fhb</w:t>
            </w:r>
          </w:p>
        </w:tc>
      </w:tr>
      <w:tr w:rsidR="00F7285D" w:rsidRPr="0029055B" w14:paraId="14663E67" w14:textId="77777777" w:rsidTr="008709A1">
        <w:trPr>
          <w:trHeight w:val="255"/>
          <w:jc w:val="center"/>
        </w:trPr>
        <w:tc>
          <w:tcPr>
            <w:tcW w:w="500" w:type="dxa"/>
            <w:tcBorders>
              <w:left w:val="single" w:sz="8" w:space="0" w:color="auto"/>
            </w:tcBorders>
          </w:tcPr>
          <w:p w14:paraId="7CE993C7" w14:textId="77777777" w:rsidR="00F7285D" w:rsidRPr="0029055B" w:rsidRDefault="00F7285D" w:rsidP="008709A1">
            <w:pPr>
              <w:rPr>
                <w:szCs w:val="21"/>
              </w:rPr>
            </w:pPr>
            <w:r w:rsidRPr="0029055B">
              <w:rPr>
                <w:szCs w:val="21"/>
              </w:rPr>
              <w:t>35</w:t>
            </w:r>
          </w:p>
        </w:tc>
        <w:tc>
          <w:tcPr>
            <w:tcW w:w="2980" w:type="dxa"/>
            <w:vAlign w:val="bottom"/>
          </w:tcPr>
          <w:p w14:paraId="27D72F4F" w14:textId="77777777" w:rsidR="00F7285D" w:rsidRPr="0029055B" w:rsidRDefault="00F7285D" w:rsidP="008709A1">
            <w:pPr>
              <w:rPr>
                <w:szCs w:val="21"/>
              </w:rPr>
            </w:pPr>
            <w:r w:rsidRPr="0029055B">
              <w:rPr>
                <w:szCs w:val="21"/>
              </w:rPr>
              <w:t>Asclepiadaceae</w:t>
            </w:r>
          </w:p>
        </w:tc>
        <w:tc>
          <w:tcPr>
            <w:tcW w:w="3122" w:type="dxa"/>
            <w:vAlign w:val="bottom"/>
          </w:tcPr>
          <w:p w14:paraId="053EA07A" w14:textId="77777777" w:rsidR="00F7285D" w:rsidRPr="0029055B" w:rsidRDefault="00F7285D" w:rsidP="008709A1">
            <w:pPr>
              <w:rPr>
                <w:szCs w:val="21"/>
              </w:rPr>
            </w:pPr>
            <w:r w:rsidRPr="0029055B">
              <w:rPr>
                <w:szCs w:val="21"/>
              </w:rPr>
              <w:t>Cynanchum sarcostemoides (L)</w:t>
            </w:r>
          </w:p>
        </w:tc>
        <w:tc>
          <w:tcPr>
            <w:tcW w:w="1559" w:type="dxa"/>
            <w:vAlign w:val="bottom"/>
          </w:tcPr>
          <w:p w14:paraId="4E9F1354" w14:textId="77777777" w:rsidR="00F7285D" w:rsidRPr="0029055B" w:rsidRDefault="00F7285D" w:rsidP="008709A1">
            <w:pPr>
              <w:rPr>
                <w:szCs w:val="21"/>
              </w:rPr>
            </w:pPr>
          </w:p>
        </w:tc>
        <w:tc>
          <w:tcPr>
            <w:tcW w:w="1921" w:type="dxa"/>
            <w:tcBorders>
              <w:right w:val="single" w:sz="8" w:space="0" w:color="auto"/>
            </w:tcBorders>
          </w:tcPr>
          <w:p w14:paraId="47B56165" w14:textId="77777777" w:rsidR="00F7285D" w:rsidRPr="0029055B" w:rsidRDefault="00F7285D" w:rsidP="008709A1">
            <w:pPr>
              <w:rPr>
                <w:szCs w:val="21"/>
              </w:rPr>
            </w:pPr>
            <w:r w:rsidRPr="0029055B">
              <w:rPr>
                <w:szCs w:val="21"/>
              </w:rPr>
              <w:t>Fs, Fm</w:t>
            </w:r>
          </w:p>
        </w:tc>
      </w:tr>
      <w:tr w:rsidR="00F7285D" w:rsidRPr="0029055B" w14:paraId="3C79F091" w14:textId="77777777" w:rsidTr="008709A1">
        <w:trPr>
          <w:trHeight w:val="255"/>
          <w:jc w:val="center"/>
        </w:trPr>
        <w:tc>
          <w:tcPr>
            <w:tcW w:w="500" w:type="dxa"/>
            <w:tcBorders>
              <w:left w:val="single" w:sz="8" w:space="0" w:color="auto"/>
              <w:bottom w:val="single" w:sz="8" w:space="0" w:color="auto"/>
            </w:tcBorders>
          </w:tcPr>
          <w:p w14:paraId="3174BFAC" w14:textId="77777777" w:rsidR="00F7285D" w:rsidRPr="0029055B" w:rsidRDefault="00F7285D" w:rsidP="008709A1">
            <w:pPr>
              <w:rPr>
                <w:szCs w:val="21"/>
              </w:rPr>
            </w:pPr>
            <w:r w:rsidRPr="0029055B">
              <w:rPr>
                <w:szCs w:val="21"/>
              </w:rPr>
              <w:t>36</w:t>
            </w:r>
          </w:p>
        </w:tc>
        <w:tc>
          <w:tcPr>
            <w:tcW w:w="2980" w:type="dxa"/>
          </w:tcPr>
          <w:p w14:paraId="66EA038C" w14:textId="77777777" w:rsidR="00F7285D" w:rsidRPr="0029055B" w:rsidRDefault="00F7285D" w:rsidP="008709A1">
            <w:pPr>
              <w:rPr>
                <w:szCs w:val="21"/>
              </w:rPr>
            </w:pPr>
            <w:r w:rsidRPr="0029055B">
              <w:rPr>
                <w:szCs w:val="21"/>
              </w:rPr>
              <w:t>Poaceae</w:t>
            </w:r>
          </w:p>
        </w:tc>
        <w:tc>
          <w:tcPr>
            <w:tcW w:w="3122" w:type="dxa"/>
          </w:tcPr>
          <w:p w14:paraId="3A96F870" w14:textId="77777777" w:rsidR="00F7285D" w:rsidRPr="0029055B" w:rsidRDefault="00F7285D" w:rsidP="008709A1">
            <w:pPr>
              <w:rPr>
                <w:szCs w:val="21"/>
              </w:rPr>
            </w:pPr>
            <w:r w:rsidRPr="0029055B">
              <w:rPr>
                <w:szCs w:val="21"/>
              </w:rPr>
              <w:t>Cynodon div.sp (H)</w:t>
            </w:r>
          </w:p>
        </w:tc>
        <w:tc>
          <w:tcPr>
            <w:tcW w:w="1559" w:type="dxa"/>
          </w:tcPr>
          <w:p w14:paraId="4CC5ADB7" w14:textId="77777777" w:rsidR="00F7285D" w:rsidRPr="0029055B" w:rsidRDefault="00F7285D" w:rsidP="008709A1">
            <w:pPr>
              <w:rPr>
                <w:szCs w:val="21"/>
              </w:rPr>
            </w:pPr>
          </w:p>
        </w:tc>
        <w:tc>
          <w:tcPr>
            <w:tcW w:w="1921" w:type="dxa"/>
            <w:tcBorders>
              <w:right w:val="single" w:sz="8" w:space="0" w:color="auto"/>
            </w:tcBorders>
          </w:tcPr>
          <w:p w14:paraId="56A614D4" w14:textId="77777777" w:rsidR="00F7285D" w:rsidRPr="0029055B" w:rsidRDefault="00F7285D" w:rsidP="008709A1">
            <w:pPr>
              <w:rPr>
                <w:szCs w:val="21"/>
              </w:rPr>
            </w:pPr>
            <w:r w:rsidRPr="0029055B">
              <w:rPr>
                <w:szCs w:val="21"/>
              </w:rPr>
              <w:t>Fhb</w:t>
            </w:r>
          </w:p>
        </w:tc>
      </w:tr>
      <w:tr w:rsidR="00F7285D" w:rsidRPr="0029055B" w14:paraId="77A87BE5" w14:textId="77777777" w:rsidTr="008709A1">
        <w:trPr>
          <w:trHeight w:val="255"/>
          <w:jc w:val="center"/>
        </w:trPr>
        <w:tc>
          <w:tcPr>
            <w:tcW w:w="500" w:type="dxa"/>
            <w:tcBorders>
              <w:top w:val="single" w:sz="8" w:space="0" w:color="auto"/>
              <w:left w:val="single" w:sz="8" w:space="0" w:color="auto"/>
            </w:tcBorders>
          </w:tcPr>
          <w:p w14:paraId="2D0EC591" w14:textId="77777777" w:rsidR="00F7285D" w:rsidRPr="0029055B" w:rsidRDefault="00F7285D" w:rsidP="008709A1">
            <w:pPr>
              <w:rPr>
                <w:szCs w:val="21"/>
              </w:rPr>
            </w:pPr>
            <w:r w:rsidRPr="0029055B">
              <w:rPr>
                <w:szCs w:val="21"/>
              </w:rPr>
              <w:t>37</w:t>
            </w:r>
          </w:p>
        </w:tc>
        <w:tc>
          <w:tcPr>
            <w:tcW w:w="2980" w:type="dxa"/>
          </w:tcPr>
          <w:p w14:paraId="2ABE0BD1" w14:textId="77777777" w:rsidR="00F7285D" w:rsidRPr="0029055B" w:rsidRDefault="00F7285D" w:rsidP="008709A1">
            <w:pPr>
              <w:rPr>
                <w:szCs w:val="21"/>
              </w:rPr>
            </w:pPr>
            <w:r w:rsidRPr="0029055B">
              <w:rPr>
                <w:szCs w:val="21"/>
              </w:rPr>
              <w:t>Fabaceae/ Caesalpinioideae</w:t>
            </w:r>
          </w:p>
        </w:tc>
        <w:tc>
          <w:tcPr>
            <w:tcW w:w="3122" w:type="dxa"/>
          </w:tcPr>
          <w:p w14:paraId="57D816FC" w14:textId="77777777" w:rsidR="00F7285D" w:rsidRPr="0029055B" w:rsidRDefault="00F7285D" w:rsidP="008709A1">
            <w:pPr>
              <w:rPr>
                <w:szCs w:val="21"/>
              </w:rPr>
            </w:pPr>
            <w:r w:rsidRPr="0029055B">
              <w:rPr>
                <w:szCs w:val="21"/>
              </w:rPr>
              <w:t>Cynometra alexandri (A)</w:t>
            </w:r>
          </w:p>
        </w:tc>
        <w:tc>
          <w:tcPr>
            <w:tcW w:w="1559" w:type="dxa"/>
          </w:tcPr>
          <w:p w14:paraId="17F69505" w14:textId="77777777" w:rsidR="00F7285D" w:rsidRPr="0029055B" w:rsidRDefault="00F7285D" w:rsidP="008709A1">
            <w:pPr>
              <w:rPr>
                <w:szCs w:val="21"/>
              </w:rPr>
            </w:pPr>
          </w:p>
        </w:tc>
        <w:tc>
          <w:tcPr>
            <w:tcW w:w="1921" w:type="dxa"/>
            <w:tcBorders>
              <w:right w:val="single" w:sz="8" w:space="0" w:color="auto"/>
            </w:tcBorders>
          </w:tcPr>
          <w:p w14:paraId="69BFA1A1" w14:textId="77777777" w:rsidR="00F7285D" w:rsidRPr="0029055B" w:rsidRDefault="00F7285D" w:rsidP="008709A1">
            <w:pPr>
              <w:rPr>
                <w:szCs w:val="21"/>
              </w:rPr>
            </w:pPr>
            <w:r w:rsidRPr="0029055B">
              <w:rPr>
                <w:szCs w:val="21"/>
              </w:rPr>
              <w:t>Fm</w:t>
            </w:r>
          </w:p>
        </w:tc>
      </w:tr>
      <w:tr w:rsidR="00F7285D" w:rsidRPr="0029055B" w14:paraId="0571903E" w14:textId="77777777" w:rsidTr="008709A1">
        <w:trPr>
          <w:trHeight w:val="255"/>
          <w:jc w:val="center"/>
        </w:trPr>
        <w:tc>
          <w:tcPr>
            <w:tcW w:w="500" w:type="dxa"/>
            <w:tcBorders>
              <w:left w:val="single" w:sz="8" w:space="0" w:color="auto"/>
            </w:tcBorders>
          </w:tcPr>
          <w:p w14:paraId="15A5FB4D" w14:textId="77777777" w:rsidR="00F7285D" w:rsidRPr="0029055B" w:rsidRDefault="00F7285D" w:rsidP="008709A1">
            <w:pPr>
              <w:rPr>
                <w:szCs w:val="21"/>
              </w:rPr>
            </w:pPr>
            <w:r w:rsidRPr="0029055B">
              <w:rPr>
                <w:szCs w:val="21"/>
              </w:rPr>
              <w:t>38</w:t>
            </w:r>
          </w:p>
        </w:tc>
        <w:tc>
          <w:tcPr>
            <w:tcW w:w="2980" w:type="dxa"/>
          </w:tcPr>
          <w:p w14:paraId="1BA67D3C" w14:textId="77777777" w:rsidR="00F7285D" w:rsidRPr="0029055B" w:rsidRDefault="00F7285D" w:rsidP="008709A1">
            <w:pPr>
              <w:rPr>
                <w:szCs w:val="21"/>
              </w:rPr>
            </w:pPr>
            <w:r w:rsidRPr="0029055B">
              <w:rPr>
                <w:szCs w:val="21"/>
              </w:rPr>
              <w:t>Cyperaceae</w:t>
            </w:r>
          </w:p>
        </w:tc>
        <w:tc>
          <w:tcPr>
            <w:tcW w:w="3122" w:type="dxa"/>
          </w:tcPr>
          <w:p w14:paraId="5D1F2C7B" w14:textId="77777777" w:rsidR="00F7285D" w:rsidRPr="0029055B" w:rsidRDefault="00F7285D" w:rsidP="008709A1">
            <w:pPr>
              <w:rPr>
                <w:szCs w:val="21"/>
              </w:rPr>
            </w:pPr>
            <w:r w:rsidRPr="0029055B">
              <w:rPr>
                <w:szCs w:val="21"/>
              </w:rPr>
              <w:t>Cyperus papyrus (H)</w:t>
            </w:r>
          </w:p>
        </w:tc>
        <w:tc>
          <w:tcPr>
            <w:tcW w:w="1559" w:type="dxa"/>
          </w:tcPr>
          <w:p w14:paraId="0FFA41AE" w14:textId="77777777" w:rsidR="00F7285D" w:rsidRPr="0029055B" w:rsidRDefault="00F7285D" w:rsidP="008709A1">
            <w:pPr>
              <w:rPr>
                <w:szCs w:val="21"/>
              </w:rPr>
            </w:pPr>
          </w:p>
        </w:tc>
        <w:tc>
          <w:tcPr>
            <w:tcW w:w="1921" w:type="dxa"/>
            <w:tcBorders>
              <w:bottom w:val="single" w:sz="8" w:space="0" w:color="auto"/>
              <w:right w:val="single" w:sz="8" w:space="0" w:color="auto"/>
            </w:tcBorders>
          </w:tcPr>
          <w:p w14:paraId="0EB65F45" w14:textId="77777777" w:rsidR="00F7285D" w:rsidRPr="0029055B" w:rsidRDefault="00F7285D" w:rsidP="008709A1">
            <w:pPr>
              <w:rPr>
                <w:szCs w:val="21"/>
              </w:rPr>
            </w:pPr>
            <w:r w:rsidRPr="0029055B">
              <w:rPr>
                <w:szCs w:val="21"/>
              </w:rPr>
              <w:t>Aquat</w:t>
            </w:r>
          </w:p>
        </w:tc>
      </w:tr>
      <w:tr w:rsidR="00F7285D" w:rsidRPr="0029055B" w14:paraId="16592096" w14:textId="77777777" w:rsidTr="008709A1">
        <w:trPr>
          <w:trHeight w:val="255"/>
          <w:jc w:val="center"/>
        </w:trPr>
        <w:tc>
          <w:tcPr>
            <w:tcW w:w="500" w:type="dxa"/>
            <w:tcBorders>
              <w:left w:val="single" w:sz="8" w:space="0" w:color="auto"/>
              <w:bottom w:val="single" w:sz="8" w:space="0" w:color="auto"/>
            </w:tcBorders>
          </w:tcPr>
          <w:p w14:paraId="70B75A82" w14:textId="77777777" w:rsidR="00F7285D" w:rsidRPr="0029055B" w:rsidRDefault="00F7285D" w:rsidP="008709A1">
            <w:pPr>
              <w:rPr>
                <w:szCs w:val="21"/>
              </w:rPr>
            </w:pPr>
            <w:r w:rsidRPr="0029055B">
              <w:rPr>
                <w:szCs w:val="21"/>
              </w:rPr>
              <w:t>39</w:t>
            </w:r>
          </w:p>
        </w:tc>
        <w:tc>
          <w:tcPr>
            <w:tcW w:w="2980" w:type="dxa"/>
          </w:tcPr>
          <w:p w14:paraId="45183213" w14:textId="77777777" w:rsidR="00F7285D" w:rsidRPr="0029055B" w:rsidRDefault="00F7285D" w:rsidP="008709A1">
            <w:pPr>
              <w:rPr>
                <w:szCs w:val="21"/>
              </w:rPr>
            </w:pPr>
            <w:r w:rsidRPr="0029055B">
              <w:rPr>
                <w:szCs w:val="21"/>
              </w:rPr>
              <w:t>Fabaceae/Mimosoideae</w:t>
            </w:r>
          </w:p>
        </w:tc>
        <w:tc>
          <w:tcPr>
            <w:tcW w:w="3122" w:type="dxa"/>
          </w:tcPr>
          <w:p w14:paraId="4C45DEB0" w14:textId="77777777" w:rsidR="00F7285D" w:rsidRPr="0029055B" w:rsidRDefault="00F7285D" w:rsidP="008709A1">
            <w:pPr>
              <w:rPr>
                <w:szCs w:val="21"/>
              </w:rPr>
            </w:pPr>
            <w:r w:rsidRPr="0029055B">
              <w:rPr>
                <w:szCs w:val="21"/>
              </w:rPr>
              <w:t>Dichrostachys glomerata (A’’)</w:t>
            </w:r>
          </w:p>
        </w:tc>
        <w:tc>
          <w:tcPr>
            <w:tcW w:w="1559" w:type="dxa"/>
          </w:tcPr>
          <w:p w14:paraId="2F7CF356" w14:textId="77777777" w:rsidR="00F7285D" w:rsidRPr="0029055B" w:rsidRDefault="00F7285D" w:rsidP="008709A1">
            <w:pPr>
              <w:rPr>
                <w:szCs w:val="21"/>
              </w:rPr>
            </w:pPr>
          </w:p>
        </w:tc>
        <w:tc>
          <w:tcPr>
            <w:tcW w:w="1921" w:type="dxa"/>
            <w:tcBorders>
              <w:top w:val="single" w:sz="8" w:space="0" w:color="auto"/>
              <w:right w:val="single" w:sz="8" w:space="0" w:color="auto"/>
            </w:tcBorders>
          </w:tcPr>
          <w:p w14:paraId="678FE535" w14:textId="77777777" w:rsidR="00F7285D" w:rsidRPr="0029055B" w:rsidRDefault="00F7285D" w:rsidP="008709A1">
            <w:pPr>
              <w:rPr>
                <w:szCs w:val="21"/>
              </w:rPr>
            </w:pPr>
            <w:r w:rsidRPr="0029055B">
              <w:rPr>
                <w:szCs w:val="21"/>
              </w:rPr>
              <w:t>Fha, Fs</w:t>
            </w:r>
          </w:p>
        </w:tc>
      </w:tr>
      <w:tr w:rsidR="00F7285D" w:rsidRPr="0029055B" w14:paraId="644E718D" w14:textId="77777777" w:rsidTr="008709A1">
        <w:trPr>
          <w:trHeight w:val="255"/>
          <w:jc w:val="center"/>
        </w:trPr>
        <w:tc>
          <w:tcPr>
            <w:tcW w:w="500" w:type="dxa"/>
            <w:tcBorders>
              <w:top w:val="single" w:sz="8" w:space="0" w:color="auto"/>
              <w:left w:val="single" w:sz="8" w:space="0" w:color="auto"/>
              <w:bottom w:val="single" w:sz="8" w:space="0" w:color="auto"/>
            </w:tcBorders>
          </w:tcPr>
          <w:p w14:paraId="7443D768" w14:textId="77777777" w:rsidR="00F7285D" w:rsidRPr="0029055B" w:rsidRDefault="00F7285D" w:rsidP="008709A1">
            <w:pPr>
              <w:rPr>
                <w:szCs w:val="21"/>
              </w:rPr>
            </w:pPr>
            <w:r w:rsidRPr="0029055B">
              <w:rPr>
                <w:szCs w:val="21"/>
              </w:rPr>
              <w:t>40</w:t>
            </w:r>
          </w:p>
        </w:tc>
        <w:tc>
          <w:tcPr>
            <w:tcW w:w="2980" w:type="dxa"/>
          </w:tcPr>
          <w:p w14:paraId="69ABA478" w14:textId="77777777" w:rsidR="00F7285D" w:rsidRPr="0029055B" w:rsidRDefault="00F7285D" w:rsidP="008709A1">
            <w:pPr>
              <w:rPr>
                <w:szCs w:val="21"/>
              </w:rPr>
            </w:pPr>
            <w:r w:rsidRPr="0029055B">
              <w:rPr>
                <w:szCs w:val="21"/>
              </w:rPr>
              <w:t>Acanthaceae</w:t>
            </w:r>
          </w:p>
        </w:tc>
        <w:tc>
          <w:tcPr>
            <w:tcW w:w="3122" w:type="dxa"/>
          </w:tcPr>
          <w:p w14:paraId="78D17AD0" w14:textId="77777777" w:rsidR="00F7285D" w:rsidRPr="0029055B" w:rsidRDefault="00F7285D" w:rsidP="008709A1">
            <w:pPr>
              <w:rPr>
                <w:szCs w:val="21"/>
              </w:rPr>
            </w:pPr>
            <w:r w:rsidRPr="0029055B">
              <w:rPr>
                <w:szCs w:val="21"/>
              </w:rPr>
              <w:t>Dicliptera insignis</w:t>
            </w:r>
          </w:p>
        </w:tc>
        <w:tc>
          <w:tcPr>
            <w:tcW w:w="1559" w:type="dxa"/>
          </w:tcPr>
          <w:p w14:paraId="17617AFF" w14:textId="77777777" w:rsidR="00F7285D" w:rsidRPr="0029055B" w:rsidRDefault="00F7285D" w:rsidP="008709A1">
            <w:pPr>
              <w:rPr>
                <w:szCs w:val="21"/>
              </w:rPr>
            </w:pPr>
          </w:p>
        </w:tc>
        <w:tc>
          <w:tcPr>
            <w:tcW w:w="1921" w:type="dxa"/>
            <w:tcBorders>
              <w:right w:val="single" w:sz="8" w:space="0" w:color="auto"/>
            </w:tcBorders>
          </w:tcPr>
          <w:p w14:paraId="11B83ED0" w14:textId="77777777" w:rsidR="00F7285D" w:rsidRPr="0029055B" w:rsidRDefault="00F7285D" w:rsidP="008709A1">
            <w:pPr>
              <w:rPr>
                <w:szCs w:val="21"/>
              </w:rPr>
            </w:pPr>
            <w:r w:rsidRPr="0029055B">
              <w:rPr>
                <w:szCs w:val="21"/>
              </w:rPr>
              <w:t>Fs</w:t>
            </w:r>
          </w:p>
        </w:tc>
      </w:tr>
      <w:tr w:rsidR="00F7285D" w:rsidRPr="0029055B" w14:paraId="5897A9DA" w14:textId="77777777" w:rsidTr="008709A1">
        <w:trPr>
          <w:trHeight w:val="255"/>
          <w:jc w:val="center"/>
        </w:trPr>
        <w:tc>
          <w:tcPr>
            <w:tcW w:w="500" w:type="dxa"/>
            <w:tcBorders>
              <w:top w:val="single" w:sz="8" w:space="0" w:color="auto"/>
              <w:left w:val="single" w:sz="8" w:space="0" w:color="auto"/>
            </w:tcBorders>
          </w:tcPr>
          <w:p w14:paraId="30670CB5" w14:textId="77777777" w:rsidR="00F7285D" w:rsidRPr="0029055B" w:rsidRDefault="00F7285D" w:rsidP="008709A1">
            <w:pPr>
              <w:rPr>
                <w:szCs w:val="21"/>
              </w:rPr>
            </w:pPr>
            <w:r w:rsidRPr="0029055B">
              <w:rPr>
                <w:szCs w:val="21"/>
              </w:rPr>
              <w:t>41</w:t>
            </w:r>
          </w:p>
        </w:tc>
        <w:tc>
          <w:tcPr>
            <w:tcW w:w="2980" w:type="dxa"/>
          </w:tcPr>
          <w:p w14:paraId="7C5F5776" w14:textId="77777777" w:rsidR="00F7285D" w:rsidRPr="0029055B" w:rsidRDefault="00F7285D" w:rsidP="008709A1">
            <w:pPr>
              <w:rPr>
                <w:szCs w:val="21"/>
              </w:rPr>
            </w:pPr>
            <w:r w:rsidRPr="0029055B">
              <w:rPr>
                <w:szCs w:val="21"/>
              </w:rPr>
              <w:t>Acanthaceae</w:t>
            </w:r>
          </w:p>
        </w:tc>
        <w:tc>
          <w:tcPr>
            <w:tcW w:w="3122" w:type="dxa"/>
          </w:tcPr>
          <w:p w14:paraId="70AB56A8" w14:textId="77777777" w:rsidR="00F7285D" w:rsidRPr="0029055B" w:rsidRDefault="00F7285D" w:rsidP="008709A1">
            <w:pPr>
              <w:rPr>
                <w:szCs w:val="21"/>
              </w:rPr>
            </w:pPr>
            <w:r w:rsidRPr="0029055B">
              <w:rPr>
                <w:szCs w:val="21"/>
              </w:rPr>
              <w:t>Dicliptera umbellatum</w:t>
            </w:r>
          </w:p>
        </w:tc>
        <w:tc>
          <w:tcPr>
            <w:tcW w:w="1559" w:type="dxa"/>
          </w:tcPr>
          <w:p w14:paraId="7828508E" w14:textId="77777777" w:rsidR="00F7285D" w:rsidRPr="0029055B" w:rsidRDefault="00F7285D" w:rsidP="008709A1">
            <w:pPr>
              <w:rPr>
                <w:szCs w:val="21"/>
              </w:rPr>
            </w:pPr>
          </w:p>
        </w:tc>
        <w:tc>
          <w:tcPr>
            <w:tcW w:w="1921" w:type="dxa"/>
            <w:tcBorders>
              <w:right w:val="single" w:sz="8" w:space="0" w:color="auto"/>
            </w:tcBorders>
          </w:tcPr>
          <w:p w14:paraId="3DA75C96" w14:textId="77777777" w:rsidR="00F7285D" w:rsidRPr="0029055B" w:rsidRDefault="00F7285D" w:rsidP="008709A1">
            <w:pPr>
              <w:rPr>
                <w:szCs w:val="21"/>
              </w:rPr>
            </w:pPr>
            <w:r w:rsidRPr="0029055B">
              <w:rPr>
                <w:szCs w:val="21"/>
              </w:rPr>
              <w:t>Fs</w:t>
            </w:r>
          </w:p>
        </w:tc>
      </w:tr>
      <w:tr w:rsidR="00F7285D" w:rsidRPr="0029055B" w14:paraId="0AC1B25D" w14:textId="77777777" w:rsidTr="008709A1">
        <w:trPr>
          <w:trHeight w:val="255"/>
          <w:jc w:val="center"/>
        </w:trPr>
        <w:tc>
          <w:tcPr>
            <w:tcW w:w="500" w:type="dxa"/>
            <w:tcBorders>
              <w:left w:val="single" w:sz="8" w:space="0" w:color="auto"/>
              <w:bottom w:val="single" w:sz="4" w:space="0" w:color="auto"/>
            </w:tcBorders>
          </w:tcPr>
          <w:p w14:paraId="4D5BF559" w14:textId="77777777" w:rsidR="00F7285D" w:rsidRPr="0029055B" w:rsidRDefault="00F7285D" w:rsidP="008709A1">
            <w:pPr>
              <w:rPr>
                <w:szCs w:val="21"/>
              </w:rPr>
            </w:pPr>
            <w:r w:rsidRPr="0029055B">
              <w:rPr>
                <w:szCs w:val="21"/>
              </w:rPr>
              <w:t>42</w:t>
            </w:r>
          </w:p>
        </w:tc>
        <w:tc>
          <w:tcPr>
            <w:tcW w:w="2980" w:type="dxa"/>
          </w:tcPr>
          <w:p w14:paraId="5BE03969" w14:textId="77777777" w:rsidR="00F7285D" w:rsidRPr="0029055B" w:rsidRDefault="00F7285D" w:rsidP="008709A1">
            <w:pPr>
              <w:rPr>
                <w:szCs w:val="21"/>
              </w:rPr>
            </w:pPr>
            <w:r w:rsidRPr="0029055B">
              <w:rPr>
                <w:szCs w:val="21"/>
              </w:rPr>
              <w:t>Dracaenaceae</w:t>
            </w:r>
          </w:p>
        </w:tc>
        <w:tc>
          <w:tcPr>
            <w:tcW w:w="3122" w:type="dxa"/>
          </w:tcPr>
          <w:p w14:paraId="4407686E" w14:textId="77777777" w:rsidR="00F7285D" w:rsidRPr="0029055B" w:rsidRDefault="00F7285D" w:rsidP="008709A1">
            <w:pPr>
              <w:rPr>
                <w:szCs w:val="21"/>
              </w:rPr>
            </w:pPr>
            <w:r w:rsidRPr="0029055B">
              <w:rPr>
                <w:szCs w:val="21"/>
              </w:rPr>
              <w:t>Dracaena afromontana (A’’)</w:t>
            </w:r>
          </w:p>
        </w:tc>
        <w:tc>
          <w:tcPr>
            <w:tcW w:w="1559" w:type="dxa"/>
          </w:tcPr>
          <w:p w14:paraId="6B3E2464" w14:textId="77777777" w:rsidR="00F7285D" w:rsidRPr="0029055B" w:rsidRDefault="00F7285D" w:rsidP="008709A1">
            <w:pPr>
              <w:rPr>
                <w:szCs w:val="21"/>
              </w:rPr>
            </w:pPr>
            <w:r w:rsidRPr="0029055B">
              <w:rPr>
                <w:szCs w:val="21"/>
              </w:rPr>
              <w:t>Mukindo</w:t>
            </w:r>
          </w:p>
        </w:tc>
        <w:tc>
          <w:tcPr>
            <w:tcW w:w="1921" w:type="dxa"/>
            <w:tcBorders>
              <w:right w:val="single" w:sz="8" w:space="0" w:color="auto"/>
            </w:tcBorders>
          </w:tcPr>
          <w:p w14:paraId="4A0707C3" w14:textId="77777777" w:rsidR="00F7285D" w:rsidRPr="0029055B" w:rsidRDefault="00F7285D" w:rsidP="008709A1">
            <w:pPr>
              <w:rPr>
                <w:szCs w:val="21"/>
              </w:rPr>
            </w:pPr>
            <w:r w:rsidRPr="0029055B">
              <w:rPr>
                <w:szCs w:val="21"/>
              </w:rPr>
              <w:t>Fsmont</w:t>
            </w:r>
          </w:p>
        </w:tc>
      </w:tr>
      <w:tr w:rsidR="00F7285D" w:rsidRPr="0029055B" w14:paraId="4EA0D8BD" w14:textId="77777777" w:rsidTr="008709A1">
        <w:trPr>
          <w:trHeight w:val="255"/>
          <w:jc w:val="center"/>
        </w:trPr>
        <w:tc>
          <w:tcPr>
            <w:tcW w:w="500" w:type="dxa"/>
            <w:tcBorders>
              <w:top w:val="single" w:sz="4" w:space="0" w:color="auto"/>
              <w:left w:val="single" w:sz="8" w:space="0" w:color="auto"/>
              <w:bottom w:val="single" w:sz="4" w:space="0" w:color="auto"/>
            </w:tcBorders>
          </w:tcPr>
          <w:p w14:paraId="43E44A30" w14:textId="77777777" w:rsidR="00F7285D" w:rsidRPr="0029055B" w:rsidRDefault="00F7285D" w:rsidP="008709A1">
            <w:pPr>
              <w:rPr>
                <w:szCs w:val="21"/>
              </w:rPr>
            </w:pPr>
            <w:r w:rsidRPr="0029055B">
              <w:rPr>
                <w:szCs w:val="21"/>
              </w:rPr>
              <w:t>43</w:t>
            </w:r>
          </w:p>
        </w:tc>
        <w:tc>
          <w:tcPr>
            <w:tcW w:w="2980" w:type="dxa"/>
          </w:tcPr>
          <w:p w14:paraId="27FEFA51" w14:textId="77777777" w:rsidR="00F7285D" w:rsidRPr="0029055B" w:rsidRDefault="00F7285D" w:rsidP="008709A1">
            <w:pPr>
              <w:rPr>
                <w:szCs w:val="21"/>
              </w:rPr>
            </w:pPr>
            <w:r w:rsidRPr="0029055B">
              <w:rPr>
                <w:szCs w:val="21"/>
              </w:rPr>
              <w:t>Poaceae</w:t>
            </w:r>
          </w:p>
        </w:tc>
        <w:tc>
          <w:tcPr>
            <w:tcW w:w="3122" w:type="dxa"/>
          </w:tcPr>
          <w:p w14:paraId="7BD5B7F5" w14:textId="77777777" w:rsidR="00F7285D" w:rsidRPr="0029055B" w:rsidRDefault="00F7285D" w:rsidP="008709A1">
            <w:pPr>
              <w:rPr>
                <w:szCs w:val="21"/>
              </w:rPr>
            </w:pPr>
            <w:r w:rsidRPr="0029055B">
              <w:rPr>
                <w:szCs w:val="21"/>
              </w:rPr>
              <w:t>Echinochloa stagnima</w:t>
            </w:r>
          </w:p>
        </w:tc>
        <w:tc>
          <w:tcPr>
            <w:tcW w:w="1559" w:type="dxa"/>
          </w:tcPr>
          <w:p w14:paraId="50FF3D98" w14:textId="77777777" w:rsidR="00F7285D" w:rsidRPr="0029055B" w:rsidRDefault="00F7285D" w:rsidP="008709A1">
            <w:pPr>
              <w:rPr>
                <w:szCs w:val="21"/>
              </w:rPr>
            </w:pPr>
          </w:p>
        </w:tc>
        <w:tc>
          <w:tcPr>
            <w:tcW w:w="1921" w:type="dxa"/>
            <w:tcBorders>
              <w:bottom w:val="single" w:sz="8" w:space="0" w:color="auto"/>
              <w:right w:val="single" w:sz="8" w:space="0" w:color="auto"/>
            </w:tcBorders>
          </w:tcPr>
          <w:p w14:paraId="6AEAD957" w14:textId="77777777" w:rsidR="00F7285D" w:rsidRPr="0029055B" w:rsidRDefault="00F7285D" w:rsidP="008709A1">
            <w:pPr>
              <w:rPr>
                <w:szCs w:val="21"/>
              </w:rPr>
            </w:pPr>
            <w:r w:rsidRPr="0029055B">
              <w:rPr>
                <w:szCs w:val="21"/>
              </w:rPr>
              <w:t>aquat</w:t>
            </w:r>
          </w:p>
        </w:tc>
      </w:tr>
      <w:tr w:rsidR="00F7285D" w:rsidRPr="0029055B" w14:paraId="6357B3C3" w14:textId="77777777" w:rsidTr="008709A1">
        <w:trPr>
          <w:trHeight w:val="255"/>
          <w:jc w:val="center"/>
        </w:trPr>
        <w:tc>
          <w:tcPr>
            <w:tcW w:w="500" w:type="dxa"/>
            <w:tcBorders>
              <w:top w:val="single" w:sz="4" w:space="0" w:color="auto"/>
              <w:left w:val="single" w:sz="8" w:space="0" w:color="auto"/>
            </w:tcBorders>
          </w:tcPr>
          <w:p w14:paraId="0BA7A780" w14:textId="77777777" w:rsidR="00F7285D" w:rsidRPr="0029055B" w:rsidRDefault="00F7285D" w:rsidP="008709A1">
            <w:pPr>
              <w:rPr>
                <w:szCs w:val="21"/>
              </w:rPr>
            </w:pPr>
            <w:r w:rsidRPr="0029055B">
              <w:rPr>
                <w:szCs w:val="21"/>
              </w:rPr>
              <w:t>44</w:t>
            </w:r>
          </w:p>
        </w:tc>
        <w:tc>
          <w:tcPr>
            <w:tcW w:w="2980" w:type="dxa"/>
          </w:tcPr>
          <w:p w14:paraId="39D18F00" w14:textId="77777777" w:rsidR="00F7285D" w:rsidRPr="0029055B" w:rsidRDefault="00F7285D" w:rsidP="008709A1">
            <w:pPr>
              <w:rPr>
                <w:szCs w:val="21"/>
              </w:rPr>
            </w:pPr>
            <w:r w:rsidRPr="0029055B">
              <w:rPr>
                <w:szCs w:val="21"/>
              </w:rPr>
              <w:t>Poaceae</w:t>
            </w:r>
          </w:p>
        </w:tc>
        <w:tc>
          <w:tcPr>
            <w:tcW w:w="3122" w:type="dxa"/>
          </w:tcPr>
          <w:p w14:paraId="3767C100" w14:textId="77777777" w:rsidR="00F7285D" w:rsidRPr="0029055B" w:rsidRDefault="00F7285D" w:rsidP="008709A1">
            <w:pPr>
              <w:rPr>
                <w:szCs w:val="21"/>
              </w:rPr>
            </w:pPr>
            <w:r w:rsidRPr="0029055B">
              <w:rPr>
                <w:szCs w:val="21"/>
              </w:rPr>
              <w:t>Pseudechinolaena polystachya</w:t>
            </w:r>
          </w:p>
        </w:tc>
        <w:tc>
          <w:tcPr>
            <w:tcW w:w="1559" w:type="dxa"/>
          </w:tcPr>
          <w:p w14:paraId="2263FA37" w14:textId="77777777" w:rsidR="00F7285D" w:rsidRPr="0029055B" w:rsidRDefault="00F7285D" w:rsidP="008709A1">
            <w:pPr>
              <w:rPr>
                <w:szCs w:val="21"/>
              </w:rPr>
            </w:pPr>
          </w:p>
        </w:tc>
        <w:tc>
          <w:tcPr>
            <w:tcW w:w="1921" w:type="dxa"/>
            <w:tcBorders>
              <w:top w:val="single" w:sz="8" w:space="0" w:color="auto"/>
              <w:right w:val="single" w:sz="8" w:space="0" w:color="auto"/>
            </w:tcBorders>
          </w:tcPr>
          <w:p w14:paraId="7082C1F4" w14:textId="77777777" w:rsidR="00F7285D" w:rsidRPr="0029055B" w:rsidRDefault="00F7285D" w:rsidP="008709A1">
            <w:pPr>
              <w:rPr>
                <w:szCs w:val="21"/>
              </w:rPr>
            </w:pPr>
            <w:r w:rsidRPr="0029055B">
              <w:rPr>
                <w:szCs w:val="21"/>
              </w:rPr>
              <w:t>aquat</w:t>
            </w:r>
          </w:p>
        </w:tc>
      </w:tr>
      <w:tr w:rsidR="00F7285D" w:rsidRPr="0029055B" w14:paraId="32C9D53B" w14:textId="77777777" w:rsidTr="008709A1">
        <w:trPr>
          <w:trHeight w:val="255"/>
          <w:jc w:val="center"/>
        </w:trPr>
        <w:tc>
          <w:tcPr>
            <w:tcW w:w="500" w:type="dxa"/>
            <w:tcBorders>
              <w:left w:val="single" w:sz="8" w:space="0" w:color="auto"/>
            </w:tcBorders>
          </w:tcPr>
          <w:p w14:paraId="36981F13" w14:textId="77777777" w:rsidR="00F7285D" w:rsidRPr="0029055B" w:rsidRDefault="00F7285D" w:rsidP="008709A1">
            <w:pPr>
              <w:rPr>
                <w:szCs w:val="21"/>
              </w:rPr>
            </w:pPr>
            <w:r w:rsidRPr="0029055B">
              <w:rPr>
                <w:szCs w:val="21"/>
              </w:rPr>
              <w:t>45</w:t>
            </w:r>
          </w:p>
        </w:tc>
        <w:tc>
          <w:tcPr>
            <w:tcW w:w="2980" w:type="dxa"/>
          </w:tcPr>
          <w:p w14:paraId="04ECF093" w14:textId="77777777" w:rsidR="00F7285D" w:rsidRPr="0029055B" w:rsidRDefault="00F7285D" w:rsidP="008709A1">
            <w:pPr>
              <w:rPr>
                <w:szCs w:val="21"/>
              </w:rPr>
            </w:pPr>
            <w:r w:rsidRPr="0029055B">
              <w:rPr>
                <w:szCs w:val="21"/>
              </w:rPr>
              <w:t>Meliaceae</w:t>
            </w:r>
          </w:p>
        </w:tc>
        <w:tc>
          <w:tcPr>
            <w:tcW w:w="3122" w:type="dxa"/>
          </w:tcPr>
          <w:p w14:paraId="10D5F49F" w14:textId="77777777" w:rsidR="00F7285D" w:rsidRPr="0029055B" w:rsidRDefault="00F7285D" w:rsidP="008709A1">
            <w:pPr>
              <w:rPr>
                <w:szCs w:val="21"/>
                <w:lang w:val="en-US"/>
              </w:rPr>
            </w:pPr>
            <w:r w:rsidRPr="0029055B">
              <w:rPr>
                <w:szCs w:val="21"/>
                <w:lang w:val="en-US"/>
              </w:rPr>
              <w:t xml:space="preserve">Ekebergia capensis </w:t>
            </w:r>
          </w:p>
          <w:p w14:paraId="7B163A98" w14:textId="77777777" w:rsidR="00F7285D" w:rsidRPr="0029055B" w:rsidRDefault="00F7285D" w:rsidP="008709A1">
            <w:pPr>
              <w:rPr>
                <w:szCs w:val="21"/>
                <w:lang w:val="en-US"/>
              </w:rPr>
            </w:pPr>
            <w:r w:rsidRPr="0029055B">
              <w:rPr>
                <w:szCs w:val="21"/>
                <w:lang w:val="en-US"/>
              </w:rPr>
              <w:t>(Syn. E. ruepelliana) (A)</w:t>
            </w:r>
          </w:p>
        </w:tc>
        <w:tc>
          <w:tcPr>
            <w:tcW w:w="1559" w:type="dxa"/>
          </w:tcPr>
          <w:p w14:paraId="1ED2DA53" w14:textId="77777777" w:rsidR="00F7285D" w:rsidRPr="0029055B" w:rsidRDefault="00F7285D" w:rsidP="008709A1">
            <w:pPr>
              <w:rPr>
                <w:szCs w:val="21"/>
                <w:lang w:val="en-US"/>
              </w:rPr>
            </w:pPr>
          </w:p>
        </w:tc>
        <w:tc>
          <w:tcPr>
            <w:tcW w:w="1921" w:type="dxa"/>
            <w:tcBorders>
              <w:right w:val="single" w:sz="8" w:space="0" w:color="auto"/>
            </w:tcBorders>
          </w:tcPr>
          <w:p w14:paraId="1A0E546F" w14:textId="77777777" w:rsidR="00F7285D" w:rsidRPr="0029055B" w:rsidRDefault="00F7285D" w:rsidP="008709A1">
            <w:pPr>
              <w:rPr>
                <w:szCs w:val="21"/>
              </w:rPr>
            </w:pPr>
            <w:r w:rsidRPr="0029055B">
              <w:rPr>
                <w:szCs w:val="21"/>
              </w:rPr>
              <w:t>Fm</w:t>
            </w:r>
          </w:p>
        </w:tc>
      </w:tr>
      <w:tr w:rsidR="00F7285D" w:rsidRPr="0029055B" w14:paraId="40557DBC" w14:textId="77777777" w:rsidTr="008709A1">
        <w:trPr>
          <w:trHeight w:val="255"/>
          <w:jc w:val="center"/>
        </w:trPr>
        <w:tc>
          <w:tcPr>
            <w:tcW w:w="500" w:type="dxa"/>
            <w:tcBorders>
              <w:left w:val="single" w:sz="8" w:space="0" w:color="auto"/>
            </w:tcBorders>
          </w:tcPr>
          <w:p w14:paraId="0406070A" w14:textId="77777777" w:rsidR="00F7285D" w:rsidRPr="0029055B" w:rsidRDefault="00F7285D" w:rsidP="008709A1">
            <w:pPr>
              <w:rPr>
                <w:szCs w:val="21"/>
              </w:rPr>
            </w:pPr>
            <w:r w:rsidRPr="0029055B">
              <w:rPr>
                <w:szCs w:val="21"/>
              </w:rPr>
              <w:t>46</w:t>
            </w:r>
          </w:p>
        </w:tc>
        <w:tc>
          <w:tcPr>
            <w:tcW w:w="2980" w:type="dxa"/>
          </w:tcPr>
          <w:p w14:paraId="7648AC7F" w14:textId="77777777" w:rsidR="00F7285D" w:rsidRPr="0029055B" w:rsidRDefault="00F7285D" w:rsidP="008709A1">
            <w:pPr>
              <w:rPr>
                <w:szCs w:val="21"/>
              </w:rPr>
            </w:pPr>
            <w:r w:rsidRPr="0029055B">
              <w:rPr>
                <w:szCs w:val="21"/>
              </w:rPr>
              <w:t>Arecaceae</w:t>
            </w:r>
          </w:p>
        </w:tc>
        <w:tc>
          <w:tcPr>
            <w:tcW w:w="3122" w:type="dxa"/>
          </w:tcPr>
          <w:p w14:paraId="5D0E883C" w14:textId="77777777" w:rsidR="00F7285D" w:rsidRPr="0029055B" w:rsidRDefault="00F7285D" w:rsidP="008709A1">
            <w:pPr>
              <w:rPr>
                <w:szCs w:val="21"/>
              </w:rPr>
            </w:pPr>
            <w:r w:rsidRPr="0029055B">
              <w:rPr>
                <w:szCs w:val="21"/>
              </w:rPr>
              <w:t>Elaeis guineensis (A)</w:t>
            </w:r>
          </w:p>
        </w:tc>
        <w:tc>
          <w:tcPr>
            <w:tcW w:w="1559" w:type="dxa"/>
          </w:tcPr>
          <w:p w14:paraId="118D48A1" w14:textId="77777777" w:rsidR="00F7285D" w:rsidRPr="0029055B" w:rsidRDefault="00F7285D" w:rsidP="008709A1">
            <w:pPr>
              <w:rPr>
                <w:szCs w:val="21"/>
              </w:rPr>
            </w:pPr>
          </w:p>
        </w:tc>
        <w:tc>
          <w:tcPr>
            <w:tcW w:w="1921" w:type="dxa"/>
            <w:tcBorders>
              <w:bottom w:val="single" w:sz="8" w:space="0" w:color="auto"/>
              <w:right w:val="single" w:sz="8" w:space="0" w:color="auto"/>
            </w:tcBorders>
          </w:tcPr>
          <w:p w14:paraId="7428125D" w14:textId="77777777" w:rsidR="00F7285D" w:rsidRPr="0029055B" w:rsidRDefault="00F7285D" w:rsidP="008709A1">
            <w:pPr>
              <w:rPr>
                <w:szCs w:val="21"/>
              </w:rPr>
            </w:pPr>
            <w:r w:rsidRPr="0029055B">
              <w:rPr>
                <w:szCs w:val="21"/>
              </w:rPr>
              <w:t>Cultivée</w:t>
            </w:r>
          </w:p>
        </w:tc>
      </w:tr>
      <w:tr w:rsidR="00F7285D" w:rsidRPr="0029055B" w14:paraId="2474B679" w14:textId="77777777" w:rsidTr="008709A1">
        <w:trPr>
          <w:trHeight w:val="255"/>
          <w:jc w:val="center"/>
        </w:trPr>
        <w:tc>
          <w:tcPr>
            <w:tcW w:w="500" w:type="dxa"/>
            <w:tcBorders>
              <w:left w:val="single" w:sz="8" w:space="0" w:color="auto"/>
            </w:tcBorders>
          </w:tcPr>
          <w:p w14:paraId="2AC56A31" w14:textId="77777777" w:rsidR="00F7285D" w:rsidRPr="0029055B" w:rsidRDefault="00F7285D" w:rsidP="008709A1">
            <w:pPr>
              <w:rPr>
                <w:szCs w:val="21"/>
              </w:rPr>
            </w:pPr>
            <w:r w:rsidRPr="0029055B">
              <w:rPr>
                <w:szCs w:val="21"/>
              </w:rPr>
              <w:t>47</w:t>
            </w:r>
          </w:p>
        </w:tc>
        <w:tc>
          <w:tcPr>
            <w:tcW w:w="2980" w:type="dxa"/>
          </w:tcPr>
          <w:p w14:paraId="7287ABEB" w14:textId="77777777" w:rsidR="00F7285D" w:rsidRPr="0029055B" w:rsidRDefault="00F7285D" w:rsidP="008709A1">
            <w:pPr>
              <w:rPr>
                <w:szCs w:val="21"/>
              </w:rPr>
            </w:pPr>
            <w:r w:rsidRPr="0029055B">
              <w:rPr>
                <w:szCs w:val="21"/>
              </w:rPr>
              <w:t>Ericaceae</w:t>
            </w:r>
          </w:p>
        </w:tc>
        <w:tc>
          <w:tcPr>
            <w:tcW w:w="3122" w:type="dxa"/>
          </w:tcPr>
          <w:p w14:paraId="59DB5992" w14:textId="77777777" w:rsidR="00F7285D" w:rsidRPr="0029055B" w:rsidRDefault="00F7285D" w:rsidP="008709A1">
            <w:pPr>
              <w:rPr>
                <w:szCs w:val="21"/>
              </w:rPr>
            </w:pPr>
            <w:r w:rsidRPr="0029055B">
              <w:rPr>
                <w:szCs w:val="21"/>
              </w:rPr>
              <w:t>Erica arborea (A)</w:t>
            </w:r>
          </w:p>
        </w:tc>
        <w:tc>
          <w:tcPr>
            <w:tcW w:w="1559" w:type="dxa"/>
          </w:tcPr>
          <w:p w14:paraId="4F0811FA" w14:textId="77777777" w:rsidR="00F7285D" w:rsidRPr="0029055B" w:rsidRDefault="00F7285D" w:rsidP="008709A1">
            <w:pPr>
              <w:rPr>
                <w:szCs w:val="21"/>
              </w:rPr>
            </w:pPr>
          </w:p>
        </w:tc>
        <w:tc>
          <w:tcPr>
            <w:tcW w:w="1921" w:type="dxa"/>
            <w:tcBorders>
              <w:top w:val="single" w:sz="8" w:space="0" w:color="auto"/>
              <w:right w:val="single" w:sz="8" w:space="0" w:color="auto"/>
            </w:tcBorders>
          </w:tcPr>
          <w:p w14:paraId="03A678CB" w14:textId="77777777" w:rsidR="00F7285D" w:rsidRPr="0029055B" w:rsidRDefault="00F7285D" w:rsidP="008709A1">
            <w:pPr>
              <w:rPr>
                <w:szCs w:val="21"/>
              </w:rPr>
            </w:pPr>
            <w:r w:rsidRPr="0029055B">
              <w:rPr>
                <w:szCs w:val="21"/>
              </w:rPr>
              <w:t>Fmont</w:t>
            </w:r>
          </w:p>
        </w:tc>
      </w:tr>
      <w:tr w:rsidR="00F7285D" w:rsidRPr="0029055B" w14:paraId="5DE4BB44" w14:textId="77777777" w:rsidTr="008709A1">
        <w:trPr>
          <w:trHeight w:val="255"/>
          <w:jc w:val="center"/>
        </w:trPr>
        <w:tc>
          <w:tcPr>
            <w:tcW w:w="500" w:type="dxa"/>
            <w:tcBorders>
              <w:left w:val="single" w:sz="8" w:space="0" w:color="auto"/>
            </w:tcBorders>
          </w:tcPr>
          <w:p w14:paraId="2C8918AC" w14:textId="77777777" w:rsidR="00F7285D" w:rsidRPr="0029055B" w:rsidRDefault="00F7285D" w:rsidP="008709A1">
            <w:pPr>
              <w:rPr>
                <w:szCs w:val="21"/>
              </w:rPr>
            </w:pPr>
            <w:r w:rsidRPr="0029055B">
              <w:rPr>
                <w:szCs w:val="21"/>
              </w:rPr>
              <w:t>48</w:t>
            </w:r>
          </w:p>
        </w:tc>
        <w:tc>
          <w:tcPr>
            <w:tcW w:w="2980" w:type="dxa"/>
          </w:tcPr>
          <w:p w14:paraId="22845AB9" w14:textId="77777777" w:rsidR="00F7285D" w:rsidRPr="0029055B" w:rsidRDefault="00F7285D" w:rsidP="008709A1">
            <w:pPr>
              <w:rPr>
                <w:szCs w:val="21"/>
              </w:rPr>
            </w:pPr>
            <w:r w:rsidRPr="0029055B">
              <w:rPr>
                <w:szCs w:val="21"/>
              </w:rPr>
              <w:t>Euphorbiaceae</w:t>
            </w:r>
          </w:p>
        </w:tc>
        <w:tc>
          <w:tcPr>
            <w:tcW w:w="3122" w:type="dxa"/>
          </w:tcPr>
          <w:p w14:paraId="4A9935AF" w14:textId="77777777" w:rsidR="00F7285D" w:rsidRPr="0029055B" w:rsidRDefault="00F7285D" w:rsidP="008709A1">
            <w:pPr>
              <w:rPr>
                <w:szCs w:val="21"/>
              </w:rPr>
            </w:pPr>
            <w:r w:rsidRPr="0029055B">
              <w:rPr>
                <w:szCs w:val="21"/>
              </w:rPr>
              <w:t>Euphorbia dawei (A)</w:t>
            </w:r>
          </w:p>
        </w:tc>
        <w:tc>
          <w:tcPr>
            <w:tcW w:w="1559" w:type="dxa"/>
          </w:tcPr>
          <w:p w14:paraId="72AD698A" w14:textId="77777777" w:rsidR="00F7285D" w:rsidRPr="0029055B" w:rsidRDefault="00F7285D" w:rsidP="008709A1">
            <w:pPr>
              <w:rPr>
                <w:szCs w:val="21"/>
              </w:rPr>
            </w:pPr>
          </w:p>
        </w:tc>
        <w:tc>
          <w:tcPr>
            <w:tcW w:w="1921" w:type="dxa"/>
            <w:tcBorders>
              <w:right w:val="single" w:sz="8" w:space="0" w:color="auto"/>
            </w:tcBorders>
          </w:tcPr>
          <w:p w14:paraId="01B6D3B7" w14:textId="77777777" w:rsidR="00F7285D" w:rsidRPr="0029055B" w:rsidRDefault="00F7285D" w:rsidP="008709A1">
            <w:pPr>
              <w:rPr>
                <w:szCs w:val="21"/>
              </w:rPr>
            </w:pPr>
            <w:r w:rsidRPr="0029055B">
              <w:rPr>
                <w:szCs w:val="21"/>
              </w:rPr>
              <w:t>Fscl</w:t>
            </w:r>
          </w:p>
        </w:tc>
      </w:tr>
      <w:tr w:rsidR="00F7285D" w:rsidRPr="0029055B" w14:paraId="329E1E40" w14:textId="77777777" w:rsidTr="008709A1">
        <w:trPr>
          <w:trHeight w:val="255"/>
          <w:jc w:val="center"/>
        </w:trPr>
        <w:tc>
          <w:tcPr>
            <w:tcW w:w="500" w:type="dxa"/>
            <w:tcBorders>
              <w:left w:val="single" w:sz="8" w:space="0" w:color="auto"/>
              <w:bottom w:val="single" w:sz="4" w:space="0" w:color="auto"/>
            </w:tcBorders>
          </w:tcPr>
          <w:p w14:paraId="2AF10ADB" w14:textId="77777777" w:rsidR="00F7285D" w:rsidRPr="0029055B" w:rsidRDefault="00F7285D" w:rsidP="008709A1">
            <w:pPr>
              <w:rPr>
                <w:szCs w:val="21"/>
              </w:rPr>
            </w:pPr>
            <w:r w:rsidRPr="0029055B">
              <w:rPr>
                <w:szCs w:val="21"/>
              </w:rPr>
              <w:t>49</w:t>
            </w:r>
          </w:p>
        </w:tc>
        <w:tc>
          <w:tcPr>
            <w:tcW w:w="2980" w:type="dxa"/>
          </w:tcPr>
          <w:p w14:paraId="7C3A344B" w14:textId="77777777" w:rsidR="00F7285D" w:rsidRPr="0029055B" w:rsidRDefault="00F7285D" w:rsidP="008709A1">
            <w:pPr>
              <w:rPr>
                <w:szCs w:val="21"/>
              </w:rPr>
            </w:pPr>
            <w:r w:rsidRPr="0029055B">
              <w:rPr>
                <w:szCs w:val="21"/>
              </w:rPr>
              <w:t>Euphorbiaceae</w:t>
            </w:r>
          </w:p>
        </w:tc>
        <w:tc>
          <w:tcPr>
            <w:tcW w:w="3122" w:type="dxa"/>
          </w:tcPr>
          <w:p w14:paraId="5FF51F0D" w14:textId="77777777" w:rsidR="00F7285D" w:rsidRPr="0029055B" w:rsidRDefault="00F7285D" w:rsidP="008709A1">
            <w:pPr>
              <w:rPr>
                <w:szCs w:val="21"/>
              </w:rPr>
            </w:pPr>
            <w:r w:rsidRPr="0029055B">
              <w:rPr>
                <w:szCs w:val="21"/>
              </w:rPr>
              <w:t>Euphorbia candelabrum (a)</w:t>
            </w:r>
          </w:p>
        </w:tc>
        <w:tc>
          <w:tcPr>
            <w:tcW w:w="1559" w:type="dxa"/>
          </w:tcPr>
          <w:p w14:paraId="59B50EA9" w14:textId="77777777" w:rsidR="00F7285D" w:rsidRPr="0029055B" w:rsidRDefault="00F7285D" w:rsidP="008709A1">
            <w:pPr>
              <w:rPr>
                <w:szCs w:val="21"/>
              </w:rPr>
            </w:pPr>
          </w:p>
        </w:tc>
        <w:tc>
          <w:tcPr>
            <w:tcW w:w="1921" w:type="dxa"/>
            <w:tcBorders>
              <w:right w:val="single" w:sz="8" w:space="0" w:color="auto"/>
            </w:tcBorders>
          </w:tcPr>
          <w:p w14:paraId="12005A8A" w14:textId="77777777" w:rsidR="00F7285D" w:rsidRPr="0029055B" w:rsidRDefault="00F7285D" w:rsidP="008709A1">
            <w:pPr>
              <w:rPr>
                <w:szCs w:val="21"/>
              </w:rPr>
            </w:pPr>
            <w:r w:rsidRPr="0029055B">
              <w:rPr>
                <w:szCs w:val="21"/>
              </w:rPr>
              <w:t>Fscl</w:t>
            </w:r>
          </w:p>
        </w:tc>
      </w:tr>
      <w:tr w:rsidR="00F7285D" w:rsidRPr="0029055B" w14:paraId="560C989D" w14:textId="77777777" w:rsidTr="008709A1">
        <w:trPr>
          <w:trHeight w:val="255"/>
          <w:jc w:val="center"/>
        </w:trPr>
        <w:tc>
          <w:tcPr>
            <w:tcW w:w="500" w:type="dxa"/>
            <w:tcBorders>
              <w:top w:val="single" w:sz="4" w:space="0" w:color="auto"/>
              <w:left w:val="single" w:sz="8" w:space="0" w:color="auto"/>
              <w:bottom w:val="single" w:sz="4" w:space="0" w:color="auto"/>
            </w:tcBorders>
          </w:tcPr>
          <w:p w14:paraId="76FB46FA" w14:textId="77777777" w:rsidR="00F7285D" w:rsidRPr="0029055B" w:rsidRDefault="00F7285D" w:rsidP="008709A1">
            <w:pPr>
              <w:rPr>
                <w:szCs w:val="21"/>
              </w:rPr>
            </w:pPr>
            <w:r w:rsidRPr="0029055B">
              <w:rPr>
                <w:szCs w:val="21"/>
              </w:rPr>
              <w:t>50</w:t>
            </w:r>
          </w:p>
        </w:tc>
        <w:tc>
          <w:tcPr>
            <w:tcW w:w="2980" w:type="dxa"/>
          </w:tcPr>
          <w:p w14:paraId="20DEDAD6" w14:textId="77777777" w:rsidR="00F7285D" w:rsidRPr="0029055B" w:rsidRDefault="00F7285D" w:rsidP="008709A1">
            <w:pPr>
              <w:rPr>
                <w:szCs w:val="21"/>
              </w:rPr>
            </w:pPr>
            <w:r w:rsidRPr="0029055B">
              <w:rPr>
                <w:szCs w:val="21"/>
              </w:rPr>
              <w:t>Fabaceae/Faboideae</w:t>
            </w:r>
          </w:p>
        </w:tc>
        <w:tc>
          <w:tcPr>
            <w:tcW w:w="3122" w:type="dxa"/>
          </w:tcPr>
          <w:p w14:paraId="207DFA84" w14:textId="77777777" w:rsidR="00F7285D" w:rsidRPr="0029055B" w:rsidRDefault="00F7285D" w:rsidP="008709A1">
            <w:pPr>
              <w:rPr>
                <w:szCs w:val="21"/>
              </w:rPr>
            </w:pPr>
            <w:r w:rsidRPr="0029055B">
              <w:rPr>
                <w:szCs w:val="21"/>
              </w:rPr>
              <w:t>Erythrina abyssinica (a, A’)</w:t>
            </w:r>
          </w:p>
        </w:tc>
        <w:tc>
          <w:tcPr>
            <w:tcW w:w="1559" w:type="dxa"/>
          </w:tcPr>
          <w:p w14:paraId="1C006B54" w14:textId="77777777" w:rsidR="00F7285D" w:rsidRPr="0029055B" w:rsidRDefault="00F7285D" w:rsidP="008709A1">
            <w:pPr>
              <w:rPr>
                <w:szCs w:val="21"/>
              </w:rPr>
            </w:pPr>
            <w:r w:rsidRPr="0029055B">
              <w:rPr>
                <w:szCs w:val="21"/>
              </w:rPr>
              <w:t>Igiko, Mukove</w:t>
            </w:r>
          </w:p>
        </w:tc>
        <w:tc>
          <w:tcPr>
            <w:tcW w:w="1921" w:type="dxa"/>
            <w:tcBorders>
              <w:right w:val="single" w:sz="8" w:space="0" w:color="auto"/>
            </w:tcBorders>
          </w:tcPr>
          <w:p w14:paraId="57223308" w14:textId="77777777" w:rsidR="00F7285D" w:rsidRPr="0029055B" w:rsidRDefault="00F7285D" w:rsidP="008709A1">
            <w:pPr>
              <w:rPr>
                <w:szCs w:val="21"/>
              </w:rPr>
            </w:pPr>
            <w:r w:rsidRPr="0029055B">
              <w:rPr>
                <w:szCs w:val="21"/>
              </w:rPr>
              <w:t>Fha, Fs</w:t>
            </w:r>
          </w:p>
        </w:tc>
      </w:tr>
      <w:tr w:rsidR="00F7285D" w:rsidRPr="0029055B" w14:paraId="01986FF1" w14:textId="77777777" w:rsidTr="008709A1">
        <w:trPr>
          <w:trHeight w:val="255"/>
          <w:jc w:val="center"/>
        </w:trPr>
        <w:tc>
          <w:tcPr>
            <w:tcW w:w="500" w:type="dxa"/>
            <w:tcBorders>
              <w:top w:val="single" w:sz="4" w:space="0" w:color="auto"/>
              <w:left w:val="single" w:sz="8" w:space="0" w:color="auto"/>
              <w:bottom w:val="single" w:sz="4" w:space="0" w:color="auto"/>
            </w:tcBorders>
          </w:tcPr>
          <w:p w14:paraId="3C47AFA7" w14:textId="77777777" w:rsidR="00F7285D" w:rsidRPr="0029055B" w:rsidRDefault="00F7285D" w:rsidP="008709A1">
            <w:pPr>
              <w:rPr>
                <w:szCs w:val="21"/>
              </w:rPr>
            </w:pPr>
            <w:r w:rsidRPr="0029055B">
              <w:rPr>
                <w:szCs w:val="21"/>
              </w:rPr>
              <w:t>51</w:t>
            </w:r>
          </w:p>
        </w:tc>
        <w:tc>
          <w:tcPr>
            <w:tcW w:w="2980" w:type="dxa"/>
          </w:tcPr>
          <w:p w14:paraId="252A73BC" w14:textId="77777777" w:rsidR="00F7285D" w:rsidRPr="0029055B" w:rsidRDefault="00F7285D" w:rsidP="008709A1">
            <w:pPr>
              <w:rPr>
                <w:szCs w:val="21"/>
              </w:rPr>
            </w:pPr>
            <w:r w:rsidRPr="0029055B">
              <w:rPr>
                <w:szCs w:val="21"/>
              </w:rPr>
              <w:t>Theaceae</w:t>
            </w:r>
          </w:p>
        </w:tc>
        <w:tc>
          <w:tcPr>
            <w:tcW w:w="3122" w:type="dxa"/>
          </w:tcPr>
          <w:p w14:paraId="68A6B382" w14:textId="77777777" w:rsidR="00F7285D" w:rsidRPr="0029055B" w:rsidRDefault="00F7285D" w:rsidP="008709A1">
            <w:pPr>
              <w:rPr>
                <w:szCs w:val="21"/>
              </w:rPr>
            </w:pPr>
            <w:r w:rsidRPr="0029055B">
              <w:rPr>
                <w:szCs w:val="21"/>
              </w:rPr>
              <w:t>Ficalhoa Laurifolia (A)</w:t>
            </w:r>
          </w:p>
        </w:tc>
        <w:tc>
          <w:tcPr>
            <w:tcW w:w="1559" w:type="dxa"/>
          </w:tcPr>
          <w:p w14:paraId="5E41759D" w14:textId="77777777" w:rsidR="00F7285D" w:rsidRPr="0029055B" w:rsidRDefault="00F7285D" w:rsidP="008709A1">
            <w:pPr>
              <w:rPr>
                <w:szCs w:val="21"/>
              </w:rPr>
            </w:pPr>
          </w:p>
        </w:tc>
        <w:tc>
          <w:tcPr>
            <w:tcW w:w="1921" w:type="dxa"/>
            <w:tcBorders>
              <w:right w:val="single" w:sz="8" w:space="0" w:color="auto"/>
            </w:tcBorders>
          </w:tcPr>
          <w:p w14:paraId="1049FDC0" w14:textId="77777777" w:rsidR="00F7285D" w:rsidRPr="0029055B" w:rsidRDefault="00F7285D" w:rsidP="008709A1">
            <w:pPr>
              <w:rPr>
                <w:szCs w:val="21"/>
              </w:rPr>
            </w:pPr>
            <w:r w:rsidRPr="0029055B">
              <w:rPr>
                <w:szCs w:val="21"/>
              </w:rPr>
              <w:t>Fm</w:t>
            </w:r>
          </w:p>
        </w:tc>
      </w:tr>
      <w:tr w:rsidR="00F7285D" w:rsidRPr="0029055B" w14:paraId="5819EB11" w14:textId="77777777" w:rsidTr="008709A1">
        <w:trPr>
          <w:trHeight w:val="255"/>
          <w:jc w:val="center"/>
        </w:trPr>
        <w:tc>
          <w:tcPr>
            <w:tcW w:w="500" w:type="dxa"/>
            <w:tcBorders>
              <w:top w:val="single" w:sz="4" w:space="0" w:color="auto"/>
              <w:left w:val="single" w:sz="8" w:space="0" w:color="auto"/>
            </w:tcBorders>
          </w:tcPr>
          <w:p w14:paraId="500B2513" w14:textId="77777777" w:rsidR="00F7285D" w:rsidRPr="0029055B" w:rsidRDefault="00F7285D" w:rsidP="008709A1">
            <w:pPr>
              <w:rPr>
                <w:szCs w:val="21"/>
              </w:rPr>
            </w:pPr>
            <w:r w:rsidRPr="0029055B">
              <w:rPr>
                <w:szCs w:val="21"/>
              </w:rPr>
              <w:t>52</w:t>
            </w:r>
          </w:p>
        </w:tc>
        <w:tc>
          <w:tcPr>
            <w:tcW w:w="2980" w:type="dxa"/>
          </w:tcPr>
          <w:p w14:paraId="569A3068" w14:textId="77777777" w:rsidR="00F7285D" w:rsidRPr="0029055B" w:rsidRDefault="00F7285D" w:rsidP="008709A1">
            <w:pPr>
              <w:rPr>
                <w:szCs w:val="21"/>
              </w:rPr>
            </w:pPr>
            <w:r w:rsidRPr="0029055B">
              <w:rPr>
                <w:szCs w:val="21"/>
              </w:rPr>
              <w:t>Moraceae</w:t>
            </w:r>
          </w:p>
        </w:tc>
        <w:tc>
          <w:tcPr>
            <w:tcW w:w="3122" w:type="dxa"/>
          </w:tcPr>
          <w:p w14:paraId="743FD74D" w14:textId="77777777" w:rsidR="00F7285D" w:rsidRPr="0029055B" w:rsidRDefault="00F7285D" w:rsidP="008709A1">
            <w:pPr>
              <w:rPr>
                <w:szCs w:val="21"/>
              </w:rPr>
            </w:pPr>
            <w:r w:rsidRPr="0029055B">
              <w:rPr>
                <w:szCs w:val="21"/>
              </w:rPr>
              <w:t>Ficus polita (a)</w:t>
            </w:r>
          </w:p>
        </w:tc>
        <w:tc>
          <w:tcPr>
            <w:tcW w:w="1559" w:type="dxa"/>
          </w:tcPr>
          <w:p w14:paraId="503396CA" w14:textId="77777777" w:rsidR="00F7285D" w:rsidRPr="0029055B" w:rsidRDefault="00F7285D" w:rsidP="008709A1">
            <w:pPr>
              <w:rPr>
                <w:szCs w:val="21"/>
              </w:rPr>
            </w:pPr>
          </w:p>
        </w:tc>
        <w:tc>
          <w:tcPr>
            <w:tcW w:w="1921" w:type="dxa"/>
            <w:tcBorders>
              <w:right w:val="single" w:sz="8" w:space="0" w:color="auto"/>
            </w:tcBorders>
          </w:tcPr>
          <w:p w14:paraId="662C99EC" w14:textId="77777777" w:rsidR="00F7285D" w:rsidRPr="0029055B" w:rsidRDefault="00F7285D" w:rsidP="008709A1">
            <w:pPr>
              <w:rPr>
                <w:szCs w:val="21"/>
              </w:rPr>
            </w:pPr>
            <w:r w:rsidRPr="0029055B">
              <w:rPr>
                <w:szCs w:val="21"/>
              </w:rPr>
              <w:t>Fs</w:t>
            </w:r>
          </w:p>
        </w:tc>
      </w:tr>
      <w:tr w:rsidR="00F7285D" w:rsidRPr="0029055B" w14:paraId="56F1B135" w14:textId="77777777" w:rsidTr="008709A1">
        <w:trPr>
          <w:trHeight w:val="255"/>
          <w:jc w:val="center"/>
        </w:trPr>
        <w:tc>
          <w:tcPr>
            <w:tcW w:w="500" w:type="dxa"/>
            <w:tcBorders>
              <w:left w:val="single" w:sz="8" w:space="0" w:color="auto"/>
            </w:tcBorders>
          </w:tcPr>
          <w:p w14:paraId="755BE070" w14:textId="77777777" w:rsidR="00F7285D" w:rsidRPr="0029055B" w:rsidRDefault="00F7285D" w:rsidP="008709A1">
            <w:pPr>
              <w:rPr>
                <w:szCs w:val="21"/>
              </w:rPr>
            </w:pPr>
            <w:r w:rsidRPr="0029055B">
              <w:rPr>
                <w:szCs w:val="21"/>
              </w:rPr>
              <w:t>53</w:t>
            </w:r>
          </w:p>
        </w:tc>
        <w:tc>
          <w:tcPr>
            <w:tcW w:w="2980" w:type="dxa"/>
          </w:tcPr>
          <w:p w14:paraId="60BE0CCA" w14:textId="77777777" w:rsidR="00F7285D" w:rsidRPr="0029055B" w:rsidRDefault="00F7285D" w:rsidP="008709A1">
            <w:pPr>
              <w:rPr>
                <w:szCs w:val="21"/>
              </w:rPr>
            </w:pPr>
            <w:r w:rsidRPr="0029055B">
              <w:rPr>
                <w:szCs w:val="21"/>
              </w:rPr>
              <w:t>Moraceae</w:t>
            </w:r>
          </w:p>
        </w:tc>
        <w:tc>
          <w:tcPr>
            <w:tcW w:w="3122" w:type="dxa"/>
          </w:tcPr>
          <w:p w14:paraId="75FD94FF" w14:textId="77777777" w:rsidR="00F7285D" w:rsidRPr="0029055B" w:rsidRDefault="00F7285D" w:rsidP="008709A1">
            <w:pPr>
              <w:rPr>
                <w:szCs w:val="21"/>
              </w:rPr>
            </w:pPr>
            <w:r w:rsidRPr="0029055B">
              <w:rPr>
                <w:szCs w:val="21"/>
              </w:rPr>
              <w:t>Ficus vallus-choudae (A’)</w:t>
            </w:r>
          </w:p>
        </w:tc>
        <w:tc>
          <w:tcPr>
            <w:tcW w:w="1559" w:type="dxa"/>
          </w:tcPr>
          <w:p w14:paraId="1C49DEE5" w14:textId="77777777" w:rsidR="00F7285D" w:rsidRPr="0029055B" w:rsidRDefault="00F7285D" w:rsidP="008709A1">
            <w:pPr>
              <w:rPr>
                <w:szCs w:val="21"/>
              </w:rPr>
            </w:pPr>
          </w:p>
        </w:tc>
        <w:tc>
          <w:tcPr>
            <w:tcW w:w="1921" w:type="dxa"/>
            <w:tcBorders>
              <w:right w:val="single" w:sz="8" w:space="0" w:color="auto"/>
            </w:tcBorders>
          </w:tcPr>
          <w:p w14:paraId="58F8AC2A" w14:textId="77777777" w:rsidR="00F7285D" w:rsidRPr="0029055B" w:rsidRDefault="00F7285D" w:rsidP="008709A1">
            <w:pPr>
              <w:rPr>
                <w:szCs w:val="21"/>
              </w:rPr>
            </w:pPr>
            <w:r w:rsidRPr="0029055B">
              <w:rPr>
                <w:szCs w:val="21"/>
              </w:rPr>
              <w:t>Fr, Fmar</w:t>
            </w:r>
          </w:p>
        </w:tc>
      </w:tr>
      <w:tr w:rsidR="00F7285D" w:rsidRPr="0029055B" w14:paraId="78BA74F8" w14:textId="77777777" w:rsidTr="008709A1">
        <w:trPr>
          <w:trHeight w:val="255"/>
          <w:jc w:val="center"/>
        </w:trPr>
        <w:tc>
          <w:tcPr>
            <w:tcW w:w="500" w:type="dxa"/>
            <w:tcBorders>
              <w:left w:val="single" w:sz="8" w:space="0" w:color="auto"/>
              <w:bottom w:val="single" w:sz="4" w:space="0" w:color="auto"/>
            </w:tcBorders>
          </w:tcPr>
          <w:p w14:paraId="112811F4" w14:textId="77777777" w:rsidR="00F7285D" w:rsidRPr="0029055B" w:rsidRDefault="00F7285D" w:rsidP="008709A1">
            <w:pPr>
              <w:rPr>
                <w:szCs w:val="21"/>
              </w:rPr>
            </w:pPr>
            <w:r w:rsidRPr="0029055B">
              <w:rPr>
                <w:szCs w:val="21"/>
              </w:rPr>
              <w:t>54</w:t>
            </w:r>
          </w:p>
        </w:tc>
        <w:tc>
          <w:tcPr>
            <w:tcW w:w="2980" w:type="dxa"/>
          </w:tcPr>
          <w:p w14:paraId="49456CFF" w14:textId="77777777" w:rsidR="00F7285D" w:rsidRPr="0029055B" w:rsidRDefault="00F7285D" w:rsidP="008709A1">
            <w:pPr>
              <w:rPr>
                <w:szCs w:val="21"/>
              </w:rPr>
            </w:pPr>
            <w:r w:rsidRPr="0029055B">
              <w:rPr>
                <w:szCs w:val="21"/>
              </w:rPr>
              <w:t>Moraceae</w:t>
            </w:r>
          </w:p>
        </w:tc>
        <w:tc>
          <w:tcPr>
            <w:tcW w:w="3122" w:type="dxa"/>
          </w:tcPr>
          <w:p w14:paraId="077344B0" w14:textId="77777777" w:rsidR="00F7285D" w:rsidRPr="0029055B" w:rsidRDefault="00F7285D" w:rsidP="008709A1">
            <w:pPr>
              <w:rPr>
                <w:szCs w:val="21"/>
              </w:rPr>
            </w:pPr>
            <w:r w:rsidRPr="0029055B">
              <w:rPr>
                <w:szCs w:val="21"/>
              </w:rPr>
              <w:t>Ficus recourvata (A’)</w:t>
            </w:r>
          </w:p>
        </w:tc>
        <w:tc>
          <w:tcPr>
            <w:tcW w:w="1559" w:type="dxa"/>
          </w:tcPr>
          <w:p w14:paraId="6C1EC371" w14:textId="77777777" w:rsidR="00F7285D" w:rsidRPr="0029055B" w:rsidRDefault="00F7285D" w:rsidP="008709A1">
            <w:pPr>
              <w:rPr>
                <w:szCs w:val="21"/>
              </w:rPr>
            </w:pPr>
          </w:p>
        </w:tc>
        <w:tc>
          <w:tcPr>
            <w:tcW w:w="1921" w:type="dxa"/>
            <w:tcBorders>
              <w:right w:val="single" w:sz="8" w:space="0" w:color="auto"/>
            </w:tcBorders>
          </w:tcPr>
          <w:p w14:paraId="733CA608" w14:textId="77777777" w:rsidR="00F7285D" w:rsidRPr="0029055B" w:rsidRDefault="00F7285D" w:rsidP="008709A1">
            <w:pPr>
              <w:rPr>
                <w:szCs w:val="21"/>
              </w:rPr>
            </w:pPr>
            <w:r w:rsidRPr="0029055B">
              <w:rPr>
                <w:szCs w:val="21"/>
              </w:rPr>
              <w:t>Fs</w:t>
            </w:r>
          </w:p>
        </w:tc>
      </w:tr>
      <w:tr w:rsidR="00F7285D" w:rsidRPr="0029055B" w14:paraId="4E64C51A" w14:textId="77777777" w:rsidTr="008709A1">
        <w:trPr>
          <w:trHeight w:val="255"/>
          <w:jc w:val="center"/>
        </w:trPr>
        <w:tc>
          <w:tcPr>
            <w:tcW w:w="500" w:type="dxa"/>
            <w:tcBorders>
              <w:top w:val="single" w:sz="4" w:space="0" w:color="auto"/>
              <w:left w:val="single" w:sz="8" w:space="0" w:color="auto"/>
            </w:tcBorders>
          </w:tcPr>
          <w:p w14:paraId="242635DF" w14:textId="77777777" w:rsidR="00F7285D" w:rsidRPr="0029055B" w:rsidRDefault="00F7285D" w:rsidP="008709A1">
            <w:pPr>
              <w:rPr>
                <w:szCs w:val="21"/>
              </w:rPr>
            </w:pPr>
            <w:r w:rsidRPr="0029055B">
              <w:rPr>
                <w:szCs w:val="21"/>
              </w:rPr>
              <w:t>55</w:t>
            </w:r>
          </w:p>
        </w:tc>
        <w:tc>
          <w:tcPr>
            <w:tcW w:w="2980" w:type="dxa"/>
          </w:tcPr>
          <w:p w14:paraId="68ED7584" w14:textId="77777777" w:rsidR="00F7285D" w:rsidRPr="0029055B" w:rsidRDefault="00F7285D" w:rsidP="008709A1">
            <w:pPr>
              <w:rPr>
                <w:szCs w:val="21"/>
              </w:rPr>
            </w:pPr>
            <w:r w:rsidRPr="0029055B">
              <w:rPr>
                <w:szCs w:val="21"/>
              </w:rPr>
              <w:t>Fabaceae</w:t>
            </w:r>
          </w:p>
        </w:tc>
        <w:tc>
          <w:tcPr>
            <w:tcW w:w="3122" w:type="dxa"/>
          </w:tcPr>
          <w:p w14:paraId="78C22A0F" w14:textId="77777777" w:rsidR="00F7285D" w:rsidRPr="0029055B" w:rsidRDefault="00F7285D" w:rsidP="008709A1">
            <w:pPr>
              <w:rPr>
                <w:szCs w:val="21"/>
              </w:rPr>
            </w:pPr>
            <w:r w:rsidRPr="0029055B">
              <w:rPr>
                <w:szCs w:val="21"/>
              </w:rPr>
              <w:t>Gliricidia sepium (a)</w:t>
            </w:r>
          </w:p>
        </w:tc>
        <w:tc>
          <w:tcPr>
            <w:tcW w:w="1559" w:type="dxa"/>
          </w:tcPr>
          <w:p w14:paraId="4BD46ADF" w14:textId="77777777" w:rsidR="00F7285D" w:rsidRPr="0029055B" w:rsidRDefault="00F7285D" w:rsidP="008709A1">
            <w:pPr>
              <w:rPr>
                <w:szCs w:val="21"/>
              </w:rPr>
            </w:pPr>
          </w:p>
        </w:tc>
        <w:tc>
          <w:tcPr>
            <w:tcW w:w="1921" w:type="dxa"/>
            <w:tcBorders>
              <w:right w:val="single" w:sz="8" w:space="0" w:color="auto"/>
            </w:tcBorders>
          </w:tcPr>
          <w:p w14:paraId="2F14DCBB" w14:textId="77777777" w:rsidR="00F7285D" w:rsidRPr="0029055B" w:rsidRDefault="00F7285D" w:rsidP="008709A1">
            <w:pPr>
              <w:rPr>
                <w:szCs w:val="21"/>
              </w:rPr>
            </w:pPr>
            <w:r w:rsidRPr="0029055B">
              <w:rPr>
                <w:szCs w:val="21"/>
              </w:rPr>
              <w:t>Cult</w:t>
            </w:r>
          </w:p>
        </w:tc>
      </w:tr>
      <w:tr w:rsidR="00F7285D" w:rsidRPr="0029055B" w14:paraId="14E300D6" w14:textId="77777777" w:rsidTr="008709A1">
        <w:trPr>
          <w:trHeight w:val="255"/>
          <w:jc w:val="center"/>
        </w:trPr>
        <w:tc>
          <w:tcPr>
            <w:tcW w:w="500" w:type="dxa"/>
            <w:tcBorders>
              <w:top w:val="single" w:sz="4" w:space="0" w:color="auto"/>
              <w:left w:val="single" w:sz="8" w:space="0" w:color="auto"/>
              <w:bottom w:val="single" w:sz="4" w:space="0" w:color="auto"/>
            </w:tcBorders>
          </w:tcPr>
          <w:p w14:paraId="0AEA681D" w14:textId="77777777" w:rsidR="00F7285D" w:rsidRPr="0029055B" w:rsidRDefault="00F7285D" w:rsidP="008709A1">
            <w:pPr>
              <w:rPr>
                <w:szCs w:val="21"/>
              </w:rPr>
            </w:pPr>
            <w:r w:rsidRPr="0029055B">
              <w:rPr>
                <w:szCs w:val="21"/>
              </w:rPr>
              <w:t>56</w:t>
            </w:r>
          </w:p>
        </w:tc>
        <w:tc>
          <w:tcPr>
            <w:tcW w:w="2980" w:type="dxa"/>
          </w:tcPr>
          <w:p w14:paraId="5DA8E910" w14:textId="77777777" w:rsidR="00F7285D" w:rsidRPr="0029055B" w:rsidRDefault="00F7285D" w:rsidP="008709A1">
            <w:pPr>
              <w:rPr>
                <w:szCs w:val="21"/>
              </w:rPr>
            </w:pPr>
            <w:r w:rsidRPr="0029055B">
              <w:rPr>
                <w:szCs w:val="21"/>
              </w:rPr>
              <w:t>Malvaceae/Tilioideae</w:t>
            </w:r>
          </w:p>
        </w:tc>
        <w:tc>
          <w:tcPr>
            <w:tcW w:w="3122" w:type="dxa"/>
          </w:tcPr>
          <w:p w14:paraId="3402046C" w14:textId="77777777" w:rsidR="00F7285D" w:rsidRPr="0029055B" w:rsidRDefault="00F7285D" w:rsidP="008709A1">
            <w:pPr>
              <w:rPr>
                <w:szCs w:val="21"/>
              </w:rPr>
            </w:pPr>
            <w:r w:rsidRPr="0029055B">
              <w:rPr>
                <w:szCs w:val="21"/>
              </w:rPr>
              <w:t>Grewia bicolor (A’)</w:t>
            </w:r>
          </w:p>
        </w:tc>
        <w:tc>
          <w:tcPr>
            <w:tcW w:w="1559" w:type="dxa"/>
          </w:tcPr>
          <w:p w14:paraId="4C707581" w14:textId="77777777" w:rsidR="00F7285D" w:rsidRPr="0029055B" w:rsidRDefault="00F7285D" w:rsidP="008709A1">
            <w:pPr>
              <w:rPr>
                <w:szCs w:val="21"/>
              </w:rPr>
            </w:pPr>
          </w:p>
        </w:tc>
        <w:tc>
          <w:tcPr>
            <w:tcW w:w="1921" w:type="dxa"/>
            <w:tcBorders>
              <w:right w:val="single" w:sz="8" w:space="0" w:color="auto"/>
            </w:tcBorders>
          </w:tcPr>
          <w:p w14:paraId="1158C0A4" w14:textId="77777777" w:rsidR="00F7285D" w:rsidRPr="0029055B" w:rsidRDefault="00F7285D" w:rsidP="008709A1">
            <w:pPr>
              <w:rPr>
                <w:szCs w:val="21"/>
              </w:rPr>
            </w:pPr>
            <w:r w:rsidRPr="0029055B">
              <w:rPr>
                <w:szCs w:val="21"/>
              </w:rPr>
              <w:t>Fm</w:t>
            </w:r>
          </w:p>
        </w:tc>
      </w:tr>
      <w:tr w:rsidR="00F7285D" w:rsidRPr="0029055B" w14:paraId="1645E2CC" w14:textId="77777777" w:rsidTr="008709A1">
        <w:trPr>
          <w:trHeight w:val="255"/>
          <w:jc w:val="center"/>
        </w:trPr>
        <w:tc>
          <w:tcPr>
            <w:tcW w:w="500" w:type="dxa"/>
            <w:tcBorders>
              <w:top w:val="single" w:sz="4" w:space="0" w:color="auto"/>
              <w:left w:val="single" w:sz="8" w:space="0" w:color="auto"/>
            </w:tcBorders>
          </w:tcPr>
          <w:p w14:paraId="63A3E07D" w14:textId="77777777" w:rsidR="00F7285D" w:rsidRPr="0029055B" w:rsidRDefault="00F7285D" w:rsidP="008709A1">
            <w:pPr>
              <w:rPr>
                <w:szCs w:val="21"/>
              </w:rPr>
            </w:pPr>
            <w:r w:rsidRPr="0029055B">
              <w:rPr>
                <w:szCs w:val="21"/>
              </w:rPr>
              <w:t>57</w:t>
            </w:r>
          </w:p>
        </w:tc>
        <w:tc>
          <w:tcPr>
            <w:tcW w:w="2980" w:type="dxa"/>
          </w:tcPr>
          <w:p w14:paraId="20E817F1" w14:textId="77777777" w:rsidR="00F7285D" w:rsidRPr="0029055B" w:rsidRDefault="00F7285D" w:rsidP="008709A1">
            <w:pPr>
              <w:rPr>
                <w:szCs w:val="21"/>
              </w:rPr>
            </w:pPr>
            <w:r w:rsidRPr="0029055B">
              <w:rPr>
                <w:szCs w:val="21"/>
              </w:rPr>
              <w:t>Rosaceae</w:t>
            </w:r>
          </w:p>
        </w:tc>
        <w:tc>
          <w:tcPr>
            <w:tcW w:w="3122" w:type="dxa"/>
          </w:tcPr>
          <w:p w14:paraId="02EB4E0C" w14:textId="77777777" w:rsidR="00F7285D" w:rsidRPr="0029055B" w:rsidRDefault="00F7285D" w:rsidP="008709A1">
            <w:pPr>
              <w:rPr>
                <w:szCs w:val="21"/>
              </w:rPr>
            </w:pPr>
            <w:r w:rsidRPr="0029055B">
              <w:rPr>
                <w:szCs w:val="21"/>
              </w:rPr>
              <w:t>Hagenia abyssinica (A)</w:t>
            </w:r>
          </w:p>
        </w:tc>
        <w:tc>
          <w:tcPr>
            <w:tcW w:w="1559" w:type="dxa"/>
          </w:tcPr>
          <w:p w14:paraId="181DDF81" w14:textId="77777777" w:rsidR="00F7285D" w:rsidRPr="0029055B" w:rsidRDefault="00F7285D" w:rsidP="008709A1">
            <w:pPr>
              <w:rPr>
                <w:szCs w:val="21"/>
              </w:rPr>
            </w:pPr>
          </w:p>
        </w:tc>
        <w:tc>
          <w:tcPr>
            <w:tcW w:w="1921" w:type="dxa"/>
            <w:tcBorders>
              <w:right w:val="single" w:sz="8" w:space="0" w:color="auto"/>
            </w:tcBorders>
          </w:tcPr>
          <w:p w14:paraId="4D1413BC" w14:textId="77777777" w:rsidR="00F7285D" w:rsidRPr="0029055B" w:rsidRDefault="00F7285D" w:rsidP="008709A1">
            <w:pPr>
              <w:rPr>
                <w:szCs w:val="21"/>
              </w:rPr>
            </w:pPr>
            <w:r w:rsidRPr="0029055B">
              <w:rPr>
                <w:szCs w:val="21"/>
              </w:rPr>
              <w:t>Fmont</w:t>
            </w:r>
          </w:p>
        </w:tc>
      </w:tr>
      <w:tr w:rsidR="00F7285D" w:rsidRPr="0029055B" w14:paraId="67530B59" w14:textId="77777777" w:rsidTr="008709A1">
        <w:trPr>
          <w:trHeight w:val="255"/>
          <w:jc w:val="center"/>
        </w:trPr>
        <w:tc>
          <w:tcPr>
            <w:tcW w:w="500" w:type="dxa"/>
            <w:tcBorders>
              <w:left w:val="single" w:sz="8" w:space="0" w:color="auto"/>
            </w:tcBorders>
          </w:tcPr>
          <w:p w14:paraId="121A7B3D" w14:textId="77777777" w:rsidR="00F7285D" w:rsidRPr="0029055B" w:rsidRDefault="00F7285D" w:rsidP="008709A1">
            <w:pPr>
              <w:rPr>
                <w:szCs w:val="21"/>
              </w:rPr>
            </w:pPr>
            <w:r w:rsidRPr="0029055B">
              <w:rPr>
                <w:szCs w:val="21"/>
              </w:rPr>
              <w:t>58</w:t>
            </w:r>
          </w:p>
        </w:tc>
        <w:tc>
          <w:tcPr>
            <w:tcW w:w="2980" w:type="dxa"/>
          </w:tcPr>
          <w:p w14:paraId="1CF67F72" w14:textId="77777777" w:rsidR="00F7285D" w:rsidRPr="0029055B" w:rsidRDefault="00F7285D" w:rsidP="008709A1">
            <w:pPr>
              <w:rPr>
                <w:szCs w:val="21"/>
              </w:rPr>
            </w:pPr>
            <w:r w:rsidRPr="0029055B">
              <w:rPr>
                <w:szCs w:val="21"/>
              </w:rPr>
              <w:t>Asteraceae</w:t>
            </w:r>
          </w:p>
        </w:tc>
        <w:tc>
          <w:tcPr>
            <w:tcW w:w="3122" w:type="dxa"/>
          </w:tcPr>
          <w:p w14:paraId="3783F94E" w14:textId="77777777" w:rsidR="00F7285D" w:rsidRPr="0029055B" w:rsidRDefault="00F7285D" w:rsidP="008709A1">
            <w:pPr>
              <w:rPr>
                <w:szCs w:val="21"/>
              </w:rPr>
            </w:pPr>
            <w:r w:rsidRPr="0029055B">
              <w:rPr>
                <w:szCs w:val="21"/>
              </w:rPr>
              <w:t>Helichrysum sp (h)</w:t>
            </w:r>
          </w:p>
        </w:tc>
        <w:tc>
          <w:tcPr>
            <w:tcW w:w="1559" w:type="dxa"/>
          </w:tcPr>
          <w:p w14:paraId="5CFFE459" w14:textId="77777777" w:rsidR="00F7285D" w:rsidRPr="0029055B" w:rsidRDefault="00F7285D" w:rsidP="008709A1">
            <w:pPr>
              <w:rPr>
                <w:szCs w:val="21"/>
              </w:rPr>
            </w:pPr>
          </w:p>
        </w:tc>
        <w:tc>
          <w:tcPr>
            <w:tcW w:w="1921" w:type="dxa"/>
            <w:tcBorders>
              <w:right w:val="single" w:sz="8" w:space="0" w:color="auto"/>
            </w:tcBorders>
          </w:tcPr>
          <w:p w14:paraId="5FE82151" w14:textId="77777777" w:rsidR="00F7285D" w:rsidRPr="0029055B" w:rsidRDefault="00F7285D" w:rsidP="008709A1">
            <w:pPr>
              <w:rPr>
                <w:szCs w:val="21"/>
              </w:rPr>
            </w:pPr>
            <w:r w:rsidRPr="0029055B">
              <w:rPr>
                <w:szCs w:val="21"/>
              </w:rPr>
              <w:t>Valmont</w:t>
            </w:r>
          </w:p>
        </w:tc>
      </w:tr>
      <w:tr w:rsidR="00F7285D" w:rsidRPr="0029055B" w14:paraId="73A69631" w14:textId="77777777" w:rsidTr="008709A1">
        <w:trPr>
          <w:trHeight w:val="255"/>
          <w:jc w:val="center"/>
        </w:trPr>
        <w:tc>
          <w:tcPr>
            <w:tcW w:w="500" w:type="dxa"/>
            <w:tcBorders>
              <w:left w:val="single" w:sz="8" w:space="0" w:color="auto"/>
            </w:tcBorders>
          </w:tcPr>
          <w:p w14:paraId="77E736E3" w14:textId="77777777" w:rsidR="00F7285D" w:rsidRPr="0029055B" w:rsidRDefault="00F7285D" w:rsidP="008709A1">
            <w:pPr>
              <w:rPr>
                <w:szCs w:val="21"/>
              </w:rPr>
            </w:pPr>
            <w:r w:rsidRPr="0029055B">
              <w:rPr>
                <w:szCs w:val="21"/>
              </w:rPr>
              <w:t>59</w:t>
            </w:r>
          </w:p>
        </w:tc>
        <w:tc>
          <w:tcPr>
            <w:tcW w:w="2980" w:type="dxa"/>
            <w:tcBorders>
              <w:bottom w:val="single" w:sz="8" w:space="0" w:color="auto"/>
            </w:tcBorders>
          </w:tcPr>
          <w:p w14:paraId="7C318F55" w14:textId="77777777" w:rsidR="00F7285D" w:rsidRPr="0029055B" w:rsidRDefault="00F7285D" w:rsidP="008709A1">
            <w:pPr>
              <w:rPr>
                <w:szCs w:val="21"/>
              </w:rPr>
            </w:pPr>
            <w:r w:rsidRPr="0029055B">
              <w:rPr>
                <w:szCs w:val="21"/>
              </w:rPr>
              <w:t>Hypericaceae</w:t>
            </w:r>
          </w:p>
        </w:tc>
        <w:tc>
          <w:tcPr>
            <w:tcW w:w="3122" w:type="dxa"/>
          </w:tcPr>
          <w:p w14:paraId="1454AD3D" w14:textId="77777777" w:rsidR="00F7285D" w:rsidRPr="0029055B" w:rsidRDefault="00F7285D" w:rsidP="008709A1">
            <w:pPr>
              <w:rPr>
                <w:szCs w:val="21"/>
              </w:rPr>
            </w:pPr>
            <w:r w:rsidRPr="0029055B">
              <w:rPr>
                <w:szCs w:val="21"/>
              </w:rPr>
              <w:t>Hypericum revolutum (a)</w:t>
            </w:r>
          </w:p>
        </w:tc>
        <w:tc>
          <w:tcPr>
            <w:tcW w:w="1559" w:type="dxa"/>
          </w:tcPr>
          <w:p w14:paraId="0F86AC4B" w14:textId="77777777" w:rsidR="00F7285D" w:rsidRPr="0029055B" w:rsidRDefault="00F7285D" w:rsidP="008709A1">
            <w:pPr>
              <w:rPr>
                <w:szCs w:val="21"/>
              </w:rPr>
            </w:pPr>
          </w:p>
        </w:tc>
        <w:tc>
          <w:tcPr>
            <w:tcW w:w="1921" w:type="dxa"/>
            <w:tcBorders>
              <w:right w:val="single" w:sz="8" w:space="0" w:color="auto"/>
            </w:tcBorders>
          </w:tcPr>
          <w:p w14:paraId="3C8C7663" w14:textId="77777777" w:rsidR="00F7285D" w:rsidRPr="0029055B" w:rsidRDefault="00F7285D" w:rsidP="008709A1">
            <w:pPr>
              <w:rPr>
                <w:szCs w:val="21"/>
              </w:rPr>
            </w:pPr>
            <w:r w:rsidRPr="0029055B">
              <w:rPr>
                <w:szCs w:val="21"/>
              </w:rPr>
              <w:t>Fmont</w:t>
            </w:r>
          </w:p>
        </w:tc>
      </w:tr>
      <w:tr w:rsidR="00F7285D" w:rsidRPr="0029055B" w14:paraId="04AA0167" w14:textId="77777777" w:rsidTr="008709A1">
        <w:trPr>
          <w:trHeight w:val="255"/>
          <w:jc w:val="center"/>
        </w:trPr>
        <w:tc>
          <w:tcPr>
            <w:tcW w:w="500" w:type="dxa"/>
            <w:tcBorders>
              <w:left w:val="single" w:sz="8" w:space="0" w:color="auto"/>
            </w:tcBorders>
          </w:tcPr>
          <w:p w14:paraId="58DCDB06" w14:textId="77777777" w:rsidR="00F7285D" w:rsidRPr="0029055B" w:rsidRDefault="00F7285D" w:rsidP="008709A1">
            <w:pPr>
              <w:rPr>
                <w:szCs w:val="21"/>
              </w:rPr>
            </w:pPr>
            <w:r w:rsidRPr="0029055B">
              <w:rPr>
                <w:szCs w:val="21"/>
              </w:rPr>
              <w:t>60</w:t>
            </w:r>
          </w:p>
        </w:tc>
        <w:tc>
          <w:tcPr>
            <w:tcW w:w="2980" w:type="dxa"/>
            <w:tcBorders>
              <w:top w:val="single" w:sz="8" w:space="0" w:color="auto"/>
            </w:tcBorders>
          </w:tcPr>
          <w:p w14:paraId="2BCB4D86" w14:textId="77777777" w:rsidR="00F7285D" w:rsidRPr="0029055B" w:rsidRDefault="00F7285D" w:rsidP="008709A1">
            <w:pPr>
              <w:rPr>
                <w:szCs w:val="21"/>
              </w:rPr>
            </w:pPr>
            <w:r w:rsidRPr="0029055B">
              <w:rPr>
                <w:szCs w:val="21"/>
              </w:rPr>
              <w:t>Hyppocrateaceae</w:t>
            </w:r>
          </w:p>
        </w:tc>
        <w:tc>
          <w:tcPr>
            <w:tcW w:w="3122" w:type="dxa"/>
          </w:tcPr>
          <w:p w14:paraId="3169C713" w14:textId="77777777" w:rsidR="00F7285D" w:rsidRPr="0029055B" w:rsidRDefault="00F7285D" w:rsidP="008709A1">
            <w:pPr>
              <w:rPr>
                <w:szCs w:val="21"/>
              </w:rPr>
            </w:pPr>
            <w:r w:rsidRPr="0029055B">
              <w:rPr>
                <w:szCs w:val="21"/>
              </w:rPr>
              <w:t>Hyppocratea polyantha (L)</w:t>
            </w:r>
          </w:p>
        </w:tc>
        <w:tc>
          <w:tcPr>
            <w:tcW w:w="1559" w:type="dxa"/>
          </w:tcPr>
          <w:p w14:paraId="420702FD" w14:textId="77777777" w:rsidR="00F7285D" w:rsidRPr="0029055B" w:rsidRDefault="00F7285D" w:rsidP="008709A1">
            <w:pPr>
              <w:rPr>
                <w:szCs w:val="21"/>
              </w:rPr>
            </w:pPr>
          </w:p>
        </w:tc>
        <w:tc>
          <w:tcPr>
            <w:tcW w:w="1921" w:type="dxa"/>
            <w:tcBorders>
              <w:right w:val="single" w:sz="8" w:space="0" w:color="auto"/>
            </w:tcBorders>
          </w:tcPr>
          <w:p w14:paraId="220A6AA5" w14:textId="77777777" w:rsidR="00F7285D" w:rsidRPr="0029055B" w:rsidRDefault="00F7285D" w:rsidP="008709A1">
            <w:pPr>
              <w:rPr>
                <w:szCs w:val="21"/>
              </w:rPr>
            </w:pPr>
            <w:r w:rsidRPr="0029055B">
              <w:rPr>
                <w:szCs w:val="21"/>
              </w:rPr>
              <w:t>Fm</w:t>
            </w:r>
          </w:p>
        </w:tc>
      </w:tr>
      <w:tr w:rsidR="00F7285D" w:rsidRPr="0029055B" w14:paraId="3CFD7EC4" w14:textId="77777777" w:rsidTr="008709A1">
        <w:trPr>
          <w:trHeight w:val="255"/>
          <w:jc w:val="center"/>
        </w:trPr>
        <w:tc>
          <w:tcPr>
            <w:tcW w:w="500" w:type="dxa"/>
            <w:tcBorders>
              <w:left w:val="single" w:sz="8" w:space="0" w:color="auto"/>
            </w:tcBorders>
          </w:tcPr>
          <w:p w14:paraId="09048E82" w14:textId="77777777" w:rsidR="00F7285D" w:rsidRPr="0029055B" w:rsidRDefault="00F7285D" w:rsidP="008709A1">
            <w:pPr>
              <w:rPr>
                <w:szCs w:val="21"/>
              </w:rPr>
            </w:pPr>
            <w:r w:rsidRPr="0029055B">
              <w:rPr>
                <w:szCs w:val="21"/>
              </w:rPr>
              <w:t>61</w:t>
            </w:r>
          </w:p>
        </w:tc>
        <w:tc>
          <w:tcPr>
            <w:tcW w:w="2980" w:type="dxa"/>
          </w:tcPr>
          <w:p w14:paraId="0EDBCCA6" w14:textId="77777777" w:rsidR="00F7285D" w:rsidRPr="0029055B" w:rsidRDefault="00F7285D" w:rsidP="008709A1">
            <w:pPr>
              <w:rPr>
                <w:szCs w:val="21"/>
              </w:rPr>
            </w:pPr>
            <w:r w:rsidRPr="0029055B">
              <w:rPr>
                <w:szCs w:val="21"/>
              </w:rPr>
              <w:t>Aquifoliaceae</w:t>
            </w:r>
          </w:p>
        </w:tc>
        <w:tc>
          <w:tcPr>
            <w:tcW w:w="3122" w:type="dxa"/>
          </w:tcPr>
          <w:p w14:paraId="2146B15B" w14:textId="77777777" w:rsidR="00F7285D" w:rsidRPr="0029055B" w:rsidRDefault="00F7285D" w:rsidP="008709A1">
            <w:pPr>
              <w:rPr>
                <w:szCs w:val="21"/>
              </w:rPr>
            </w:pPr>
            <w:r w:rsidRPr="0029055B">
              <w:rPr>
                <w:szCs w:val="21"/>
              </w:rPr>
              <w:t xml:space="preserve">Ilex mitis </w:t>
            </w:r>
          </w:p>
        </w:tc>
        <w:tc>
          <w:tcPr>
            <w:tcW w:w="1559" w:type="dxa"/>
          </w:tcPr>
          <w:p w14:paraId="300EBA9D" w14:textId="77777777" w:rsidR="00F7285D" w:rsidRPr="0029055B" w:rsidRDefault="00F7285D" w:rsidP="008709A1">
            <w:pPr>
              <w:rPr>
                <w:szCs w:val="21"/>
              </w:rPr>
            </w:pPr>
          </w:p>
        </w:tc>
        <w:tc>
          <w:tcPr>
            <w:tcW w:w="1921" w:type="dxa"/>
            <w:tcBorders>
              <w:right w:val="single" w:sz="8" w:space="0" w:color="auto"/>
            </w:tcBorders>
          </w:tcPr>
          <w:p w14:paraId="4019E89C" w14:textId="77777777" w:rsidR="00F7285D" w:rsidRPr="0029055B" w:rsidRDefault="00F7285D" w:rsidP="008709A1">
            <w:pPr>
              <w:rPr>
                <w:szCs w:val="21"/>
              </w:rPr>
            </w:pPr>
            <w:r w:rsidRPr="0029055B">
              <w:rPr>
                <w:szCs w:val="21"/>
              </w:rPr>
              <w:t>Fmont</w:t>
            </w:r>
          </w:p>
        </w:tc>
      </w:tr>
      <w:tr w:rsidR="00F7285D" w:rsidRPr="0029055B" w14:paraId="42A0AF51" w14:textId="77777777" w:rsidTr="008709A1">
        <w:trPr>
          <w:trHeight w:val="255"/>
          <w:jc w:val="center"/>
        </w:trPr>
        <w:tc>
          <w:tcPr>
            <w:tcW w:w="500" w:type="dxa"/>
            <w:tcBorders>
              <w:left w:val="single" w:sz="8" w:space="0" w:color="auto"/>
            </w:tcBorders>
          </w:tcPr>
          <w:p w14:paraId="63F4F3BA" w14:textId="77777777" w:rsidR="00F7285D" w:rsidRPr="0029055B" w:rsidRDefault="00F7285D" w:rsidP="008709A1">
            <w:pPr>
              <w:rPr>
                <w:szCs w:val="21"/>
              </w:rPr>
            </w:pPr>
            <w:r w:rsidRPr="0029055B">
              <w:rPr>
                <w:szCs w:val="21"/>
              </w:rPr>
              <w:t>62</w:t>
            </w:r>
          </w:p>
        </w:tc>
        <w:tc>
          <w:tcPr>
            <w:tcW w:w="2980" w:type="dxa"/>
          </w:tcPr>
          <w:p w14:paraId="47370E32" w14:textId="77777777" w:rsidR="00F7285D" w:rsidRPr="0029055B" w:rsidRDefault="00F7285D" w:rsidP="008709A1">
            <w:pPr>
              <w:rPr>
                <w:szCs w:val="21"/>
              </w:rPr>
            </w:pPr>
            <w:r w:rsidRPr="0029055B">
              <w:rPr>
                <w:szCs w:val="21"/>
              </w:rPr>
              <w:t>Poaceae</w:t>
            </w:r>
          </w:p>
        </w:tc>
        <w:tc>
          <w:tcPr>
            <w:tcW w:w="3122" w:type="dxa"/>
          </w:tcPr>
          <w:p w14:paraId="26287606" w14:textId="77777777" w:rsidR="00F7285D" w:rsidRPr="0029055B" w:rsidRDefault="00F7285D" w:rsidP="008709A1">
            <w:pPr>
              <w:rPr>
                <w:szCs w:val="21"/>
              </w:rPr>
            </w:pPr>
            <w:r w:rsidRPr="0029055B">
              <w:rPr>
                <w:szCs w:val="21"/>
              </w:rPr>
              <w:t>Imperata cylindrica (H)</w:t>
            </w:r>
          </w:p>
        </w:tc>
        <w:tc>
          <w:tcPr>
            <w:tcW w:w="1559" w:type="dxa"/>
          </w:tcPr>
          <w:p w14:paraId="79448032" w14:textId="77777777" w:rsidR="00F7285D" w:rsidRPr="0029055B" w:rsidRDefault="00F7285D" w:rsidP="008709A1">
            <w:pPr>
              <w:rPr>
                <w:szCs w:val="21"/>
              </w:rPr>
            </w:pPr>
          </w:p>
        </w:tc>
        <w:tc>
          <w:tcPr>
            <w:tcW w:w="1921" w:type="dxa"/>
            <w:tcBorders>
              <w:right w:val="single" w:sz="8" w:space="0" w:color="auto"/>
            </w:tcBorders>
          </w:tcPr>
          <w:p w14:paraId="53F6EAF6" w14:textId="77777777" w:rsidR="00F7285D" w:rsidRPr="0029055B" w:rsidRDefault="00F7285D" w:rsidP="008709A1">
            <w:pPr>
              <w:rPr>
                <w:szCs w:val="21"/>
              </w:rPr>
            </w:pPr>
            <w:r w:rsidRPr="0029055B">
              <w:rPr>
                <w:szCs w:val="21"/>
              </w:rPr>
              <w:t>Fhb</w:t>
            </w:r>
          </w:p>
        </w:tc>
      </w:tr>
      <w:tr w:rsidR="00F7285D" w:rsidRPr="0029055B" w14:paraId="41D61A2F" w14:textId="77777777" w:rsidTr="008709A1">
        <w:trPr>
          <w:trHeight w:val="255"/>
          <w:jc w:val="center"/>
        </w:trPr>
        <w:tc>
          <w:tcPr>
            <w:tcW w:w="500" w:type="dxa"/>
            <w:tcBorders>
              <w:left w:val="single" w:sz="8" w:space="0" w:color="auto"/>
            </w:tcBorders>
          </w:tcPr>
          <w:p w14:paraId="29728900" w14:textId="77777777" w:rsidR="00F7285D" w:rsidRPr="0029055B" w:rsidRDefault="00F7285D" w:rsidP="008709A1">
            <w:pPr>
              <w:rPr>
                <w:szCs w:val="21"/>
              </w:rPr>
            </w:pPr>
            <w:r w:rsidRPr="0029055B">
              <w:rPr>
                <w:szCs w:val="21"/>
              </w:rPr>
              <w:t>63</w:t>
            </w:r>
          </w:p>
        </w:tc>
        <w:tc>
          <w:tcPr>
            <w:tcW w:w="2980" w:type="dxa"/>
          </w:tcPr>
          <w:p w14:paraId="29FE7EEC" w14:textId="77777777" w:rsidR="00F7285D" w:rsidRPr="0029055B" w:rsidRDefault="00F7285D" w:rsidP="008709A1">
            <w:pPr>
              <w:rPr>
                <w:szCs w:val="21"/>
              </w:rPr>
            </w:pPr>
            <w:r w:rsidRPr="0029055B">
              <w:rPr>
                <w:szCs w:val="21"/>
              </w:rPr>
              <w:t>Podocarpaceae</w:t>
            </w:r>
          </w:p>
        </w:tc>
        <w:tc>
          <w:tcPr>
            <w:tcW w:w="3122" w:type="dxa"/>
          </w:tcPr>
          <w:p w14:paraId="2357E6DF" w14:textId="77777777" w:rsidR="00F7285D" w:rsidRPr="0029055B" w:rsidRDefault="00F7285D" w:rsidP="008709A1">
            <w:pPr>
              <w:rPr>
                <w:szCs w:val="21"/>
              </w:rPr>
            </w:pPr>
            <w:r w:rsidRPr="0029055B">
              <w:rPr>
                <w:szCs w:val="21"/>
              </w:rPr>
              <w:t>Juniperus procera</w:t>
            </w:r>
          </w:p>
        </w:tc>
        <w:tc>
          <w:tcPr>
            <w:tcW w:w="1559" w:type="dxa"/>
          </w:tcPr>
          <w:p w14:paraId="7E40C942" w14:textId="77777777" w:rsidR="00F7285D" w:rsidRPr="0029055B" w:rsidRDefault="00F7285D" w:rsidP="008709A1">
            <w:pPr>
              <w:rPr>
                <w:szCs w:val="21"/>
              </w:rPr>
            </w:pPr>
          </w:p>
        </w:tc>
        <w:tc>
          <w:tcPr>
            <w:tcW w:w="1921" w:type="dxa"/>
            <w:tcBorders>
              <w:right w:val="single" w:sz="8" w:space="0" w:color="auto"/>
            </w:tcBorders>
          </w:tcPr>
          <w:p w14:paraId="1675D76C" w14:textId="77777777" w:rsidR="00F7285D" w:rsidRPr="0029055B" w:rsidRDefault="00F7285D" w:rsidP="008709A1">
            <w:pPr>
              <w:rPr>
                <w:szCs w:val="21"/>
              </w:rPr>
            </w:pPr>
            <w:r w:rsidRPr="0029055B">
              <w:rPr>
                <w:szCs w:val="21"/>
              </w:rPr>
              <w:t>Fmont</w:t>
            </w:r>
          </w:p>
        </w:tc>
      </w:tr>
      <w:tr w:rsidR="00F7285D" w:rsidRPr="0029055B" w14:paraId="0237E9DE" w14:textId="77777777" w:rsidTr="008709A1">
        <w:trPr>
          <w:trHeight w:val="255"/>
          <w:jc w:val="center"/>
        </w:trPr>
        <w:tc>
          <w:tcPr>
            <w:tcW w:w="500" w:type="dxa"/>
            <w:tcBorders>
              <w:left w:val="single" w:sz="8" w:space="0" w:color="auto"/>
            </w:tcBorders>
          </w:tcPr>
          <w:p w14:paraId="4DB74FA5" w14:textId="77777777" w:rsidR="00F7285D" w:rsidRPr="0029055B" w:rsidRDefault="00F7285D" w:rsidP="008709A1">
            <w:pPr>
              <w:rPr>
                <w:szCs w:val="21"/>
              </w:rPr>
            </w:pPr>
            <w:r w:rsidRPr="0029055B">
              <w:rPr>
                <w:szCs w:val="21"/>
              </w:rPr>
              <w:t>64</w:t>
            </w:r>
          </w:p>
        </w:tc>
        <w:tc>
          <w:tcPr>
            <w:tcW w:w="2980" w:type="dxa"/>
          </w:tcPr>
          <w:p w14:paraId="0C774D3A" w14:textId="77777777" w:rsidR="00F7285D" w:rsidRPr="0029055B" w:rsidRDefault="00F7285D" w:rsidP="008709A1">
            <w:pPr>
              <w:rPr>
                <w:szCs w:val="21"/>
              </w:rPr>
            </w:pPr>
            <w:r w:rsidRPr="0029055B">
              <w:rPr>
                <w:szCs w:val="21"/>
              </w:rPr>
              <w:t>Acanthaceae</w:t>
            </w:r>
          </w:p>
        </w:tc>
        <w:tc>
          <w:tcPr>
            <w:tcW w:w="3122" w:type="dxa"/>
          </w:tcPr>
          <w:p w14:paraId="57DA6D34" w14:textId="77777777" w:rsidR="00F7285D" w:rsidRPr="0029055B" w:rsidRDefault="00F7285D" w:rsidP="008709A1">
            <w:pPr>
              <w:rPr>
                <w:szCs w:val="21"/>
              </w:rPr>
            </w:pPr>
            <w:r w:rsidRPr="0029055B">
              <w:rPr>
                <w:szCs w:val="21"/>
              </w:rPr>
              <w:t>Justicia anselliana</w:t>
            </w:r>
          </w:p>
        </w:tc>
        <w:tc>
          <w:tcPr>
            <w:tcW w:w="1559" w:type="dxa"/>
          </w:tcPr>
          <w:p w14:paraId="719C5A80" w14:textId="77777777" w:rsidR="00F7285D" w:rsidRPr="0029055B" w:rsidRDefault="00F7285D" w:rsidP="008709A1">
            <w:pPr>
              <w:rPr>
                <w:szCs w:val="21"/>
              </w:rPr>
            </w:pPr>
          </w:p>
        </w:tc>
        <w:tc>
          <w:tcPr>
            <w:tcW w:w="1921" w:type="dxa"/>
            <w:tcBorders>
              <w:right w:val="single" w:sz="8" w:space="0" w:color="auto"/>
            </w:tcBorders>
          </w:tcPr>
          <w:p w14:paraId="1648CEF2" w14:textId="77777777" w:rsidR="00F7285D" w:rsidRPr="0029055B" w:rsidRDefault="00F7285D" w:rsidP="008709A1">
            <w:pPr>
              <w:rPr>
                <w:szCs w:val="21"/>
              </w:rPr>
            </w:pPr>
            <w:r w:rsidRPr="0029055B">
              <w:rPr>
                <w:szCs w:val="21"/>
              </w:rPr>
              <w:t>Valmont</w:t>
            </w:r>
          </w:p>
        </w:tc>
      </w:tr>
      <w:tr w:rsidR="00F7285D" w:rsidRPr="0029055B" w14:paraId="466CC007" w14:textId="77777777" w:rsidTr="008709A1">
        <w:trPr>
          <w:trHeight w:val="255"/>
          <w:jc w:val="center"/>
        </w:trPr>
        <w:tc>
          <w:tcPr>
            <w:tcW w:w="500" w:type="dxa"/>
            <w:tcBorders>
              <w:left w:val="single" w:sz="8" w:space="0" w:color="auto"/>
            </w:tcBorders>
          </w:tcPr>
          <w:p w14:paraId="361395DB" w14:textId="77777777" w:rsidR="00F7285D" w:rsidRPr="0029055B" w:rsidRDefault="00F7285D" w:rsidP="008709A1">
            <w:pPr>
              <w:rPr>
                <w:szCs w:val="21"/>
              </w:rPr>
            </w:pPr>
            <w:r w:rsidRPr="0029055B">
              <w:rPr>
                <w:szCs w:val="21"/>
              </w:rPr>
              <w:t>65</w:t>
            </w:r>
          </w:p>
        </w:tc>
        <w:tc>
          <w:tcPr>
            <w:tcW w:w="2980" w:type="dxa"/>
          </w:tcPr>
          <w:p w14:paraId="2868D2D8" w14:textId="77777777" w:rsidR="00F7285D" w:rsidRPr="0029055B" w:rsidRDefault="00F7285D" w:rsidP="008709A1">
            <w:pPr>
              <w:rPr>
                <w:szCs w:val="21"/>
              </w:rPr>
            </w:pPr>
            <w:r w:rsidRPr="0029055B">
              <w:rPr>
                <w:szCs w:val="21"/>
              </w:rPr>
              <w:t>Crassulaceae</w:t>
            </w:r>
          </w:p>
        </w:tc>
        <w:tc>
          <w:tcPr>
            <w:tcW w:w="3122" w:type="dxa"/>
          </w:tcPr>
          <w:p w14:paraId="586D829B" w14:textId="77777777" w:rsidR="00F7285D" w:rsidRPr="0029055B" w:rsidRDefault="00F7285D" w:rsidP="008709A1">
            <w:pPr>
              <w:rPr>
                <w:szCs w:val="21"/>
              </w:rPr>
            </w:pPr>
            <w:r w:rsidRPr="0029055B">
              <w:rPr>
                <w:szCs w:val="21"/>
              </w:rPr>
              <w:t>Kalanchoe rutshuruensis (A’)</w:t>
            </w:r>
          </w:p>
        </w:tc>
        <w:tc>
          <w:tcPr>
            <w:tcW w:w="1559" w:type="dxa"/>
          </w:tcPr>
          <w:p w14:paraId="7C3861DA" w14:textId="77777777" w:rsidR="00F7285D" w:rsidRPr="0029055B" w:rsidRDefault="00F7285D" w:rsidP="008709A1">
            <w:pPr>
              <w:rPr>
                <w:szCs w:val="21"/>
              </w:rPr>
            </w:pPr>
          </w:p>
        </w:tc>
        <w:tc>
          <w:tcPr>
            <w:tcW w:w="1921" w:type="dxa"/>
            <w:tcBorders>
              <w:right w:val="single" w:sz="8" w:space="0" w:color="auto"/>
            </w:tcBorders>
          </w:tcPr>
          <w:p w14:paraId="1A0ED777" w14:textId="77777777" w:rsidR="00F7285D" w:rsidRPr="0029055B" w:rsidRDefault="00F7285D" w:rsidP="008709A1">
            <w:pPr>
              <w:rPr>
                <w:szCs w:val="21"/>
              </w:rPr>
            </w:pPr>
            <w:r w:rsidRPr="0029055B">
              <w:rPr>
                <w:szCs w:val="21"/>
              </w:rPr>
              <w:t>Fha</w:t>
            </w:r>
          </w:p>
        </w:tc>
      </w:tr>
      <w:tr w:rsidR="00F7285D" w:rsidRPr="0029055B" w14:paraId="571ECF4E" w14:textId="77777777" w:rsidTr="008709A1">
        <w:trPr>
          <w:trHeight w:val="255"/>
          <w:jc w:val="center"/>
        </w:trPr>
        <w:tc>
          <w:tcPr>
            <w:tcW w:w="500" w:type="dxa"/>
            <w:tcBorders>
              <w:left w:val="single" w:sz="8" w:space="0" w:color="auto"/>
            </w:tcBorders>
          </w:tcPr>
          <w:p w14:paraId="550FB78A" w14:textId="77777777" w:rsidR="00F7285D" w:rsidRPr="0029055B" w:rsidRDefault="00F7285D" w:rsidP="008709A1">
            <w:pPr>
              <w:rPr>
                <w:szCs w:val="21"/>
              </w:rPr>
            </w:pPr>
            <w:r w:rsidRPr="0029055B">
              <w:rPr>
                <w:szCs w:val="21"/>
              </w:rPr>
              <w:t>66</w:t>
            </w:r>
          </w:p>
        </w:tc>
        <w:tc>
          <w:tcPr>
            <w:tcW w:w="2980" w:type="dxa"/>
          </w:tcPr>
          <w:p w14:paraId="570111A8" w14:textId="77777777" w:rsidR="00F7285D" w:rsidRPr="0029055B" w:rsidRDefault="00F7285D" w:rsidP="008709A1">
            <w:pPr>
              <w:rPr>
                <w:szCs w:val="21"/>
              </w:rPr>
            </w:pPr>
            <w:r w:rsidRPr="0029055B">
              <w:rPr>
                <w:szCs w:val="21"/>
              </w:rPr>
              <w:t>Bignogniaceae</w:t>
            </w:r>
          </w:p>
        </w:tc>
        <w:tc>
          <w:tcPr>
            <w:tcW w:w="3122" w:type="dxa"/>
          </w:tcPr>
          <w:p w14:paraId="5F0F42C8" w14:textId="77777777" w:rsidR="00F7285D" w:rsidRPr="0029055B" w:rsidRDefault="00F7285D" w:rsidP="008709A1">
            <w:pPr>
              <w:rPr>
                <w:szCs w:val="21"/>
              </w:rPr>
            </w:pPr>
            <w:r w:rsidRPr="0029055B">
              <w:rPr>
                <w:szCs w:val="21"/>
              </w:rPr>
              <w:t>Kigelia africana (A)</w:t>
            </w:r>
          </w:p>
        </w:tc>
        <w:tc>
          <w:tcPr>
            <w:tcW w:w="1559" w:type="dxa"/>
          </w:tcPr>
          <w:p w14:paraId="6781C9F2" w14:textId="77777777" w:rsidR="00F7285D" w:rsidRPr="0029055B" w:rsidRDefault="00F7285D" w:rsidP="008709A1">
            <w:pPr>
              <w:rPr>
                <w:szCs w:val="21"/>
              </w:rPr>
            </w:pPr>
          </w:p>
        </w:tc>
        <w:tc>
          <w:tcPr>
            <w:tcW w:w="1921" w:type="dxa"/>
            <w:tcBorders>
              <w:right w:val="single" w:sz="8" w:space="0" w:color="auto"/>
            </w:tcBorders>
          </w:tcPr>
          <w:p w14:paraId="792D3A34" w14:textId="77777777" w:rsidR="00F7285D" w:rsidRPr="0029055B" w:rsidRDefault="00F7285D" w:rsidP="008709A1">
            <w:pPr>
              <w:rPr>
                <w:szCs w:val="21"/>
              </w:rPr>
            </w:pPr>
            <w:r w:rsidRPr="0029055B">
              <w:rPr>
                <w:szCs w:val="21"/>
              </w:rPr>
              <w:t>Fm</w:t>
            </w:r>
          </w:p>
        </w:tc>
      </w:tr>
      <w:tr w:rsidR="00F7285D" w:rsidRPr="0029055B" w14:paraId="106E4614" w14:textId="77777777" w:rsidTr="008709A1">
        <w:trPr>
          <w:trHeight w:val="255"/>
          <w:jc w:val="center"/>
        </w:trPr>
        <w:tc>
          <w:tcPr>
            <w:tcW w:w="500" w:type="dxa"/>
            <w:tcBorders>
              <w:left w:val="single" w:sz="8" w:space="0" w:color="auto"/>
            </w:tcBorders>
          </w:tcPr>
          <w:p w14:paraId="5403CB43" w14:textId="77777777" w:rsidR="00F7285D" w:rsidRPr="0029055B" w:rsidRDefault="00F7285D" w:rsidP="008709A1">
            <w:pPr>
              <w:rPr>
                <w:szCs w:val="21"/>
              </w:rPr>
            </w:pPr>
            <w:r w:rsidRPr="0029055B">
              <w:rPr>
                <w:szCs w:val="21"/>
              </w:rPr>
              <w:t>67</w:t>
            </w:r>
          </w:p>
        </w:tc>
        <w:tc>
          <w:tcPr>
            <w:tcW w:w="2980" w:type="dxa"/>
          </w:tcPr>
          <w:p w14:paraId="3099A0B5" w14:textId="77777777" w:rsidR="00F7285D" w:rsidRPr="0029055B" w:rsidRDefault="00F7285D" w:rsidP="008709A1">
            <w:pPr>
              <w:rPr>
                <w:szCs w:val="21"/>
              </w:rPr>
            </w:pPr>
            <w:r w:rsidRPr="0029055B">
              <w:rPr>
                <w:szCs w:val="21"/>
              </w:rPr>
              <w:t>Lobeliaceae</w:t>
            </w:r>
          </w:p>
        </w:tc>
        <w:tc>
          <w:tcPr>
            <w:tcW w:w="3122" w:type="dxa"/>
          </w:tcPr>
          <w:p w14:paraId="10B711A7" w14:textId="77777777" w:rsidR="00F7285D" w:rsidRPr="0029055B" w:rsidRDefault="00F7285D" w:rsidP="008709A1">
            <w:pPr>
              <w:rPr>
                <w:szCs w:val="21"/>
              </w:rPr>
            </w:pPr>
            <w:r w:rsidRPr="0029055B">
              <w:rPr>
                <w:szCs w:val="21"/>
              </w:rPr>
              <w:t>Lobelia gibberoi (a)</w:t>
            </w:r>
          </w:p>
        </w:tc>
        <w:tc>
          <w:tcPr>
            <w:tcW w:w="1559" w:type="dxa"/>
          </w:tcPr>
          <w:p w14:paraId="5A2CFB99" w14:textId="77777777" w:rsidR="00F7285D" w:rsidRPr="0029055B" w:rsidRDefault="00F7285D" w:rsidP="008709A1">
            <w:pPr>
              <w:rPr>
                <w:szCs w:val="21"/>
              </w:rPr>
            </w:pPr>
          </w:p>
        </w:tc>
        <w:tc>
          <w:tcPr>
            <w:tcW w:w="1921" w:type="dxa"/>
            <w:tcBorders>
              <w:right w:val="single" w:sz="8" w:space="0" w:color="auto"/>
            </w:tcBorders>
          </w:tcPr>
          <w:p w14:paraId="0ABD04D0" w14:textId="77777777" w:rsidR="00F7285D" w:rsidRPr="0029055B" w:rsidRDefault="00F7285D" w:rsidP="008709A1">
            <w:pPr>
              <w:rPr>
                <w:szCs w:val="21"/>
              </w:rPr>
            </w:pPr>
            <w:r w:rsidRPr="0029055B">
              <w:rPr>
                <w:szCs w:val="21"/>
              </w:rPr>
              <w:t>Fmont</w:t>
            </w:r>
          </w:p>
        </w:tc>
      </w:tr>
      <w:tr w:rsidR="00F7285D" w:rsidRPr="0029055B" w14:paraId="593D6980" w14:textId="77777777" w:rsidTr="008709A1">
        <w:trPr>
          <w:trHeight w:val="255"/>
          <w:jc w:val="center"/>
        </w:trPr>
        <w:tc>
          <w:tcPr>
            <w:tcW w:w="500" w:type="dxa"/>
            <w:tcBorders>
              <w:left w:val="single" w:sz="8" w:space="0" w:color="auto"/>
            </w:tcBorders>
          </w:tcPr>
          <w:p w14:paraId="71832EAD" w14:textId="77777777" w:rsidR="00F7285D" w:rsidRPr="0029055B" w:rsidRDefault="00F7285D" w:rsidP="008709A1">
            <w:pPr>
              <w:rPr>
                <w:szCs w:val="21"/>
              </w:rPr>
            </w:pPr>
            <w:r w:rsidRPr="0029055B">
              <w:rPr>
                <w:szCs w:val="21"/>
              </w:rPr>
              <w:t>68</w:t>
            </w:r>
          </w:p>
        </w:tc>
        <w:tc>
          <w:tcPr>
            <w:tcW w:w="2980" w:type="dxa"/>
          </w:tcPr>
          <w:p w14:paraId="50A292A4" w14:textId="77777777" w:rsidR="00F7285D" w:rsidRPr="0029055B" w:rsidRDefault="00F7285D" w:rsidP="008709A1">
            <w:pPr>
              <w:rPr>
                <w:szCs w:val="21"/>
              </w:rPr>
            </w:pPr>
            <w:r w:rsidRPr="0029055B">
              <w:rPr>
                <w:szCs w:val="21"/>
              </w:rPr>
              <w:t>Lobeliaceae</w:t>
            </w:r>
          </w:p>
        </w:tc>
        <w:tc>
          <w:tcPr>
            <w:tcW w:w="3122" w:type="dxa"/>
          </w:tcPr>
          <w:p w14:paraId="07E077B8" w14:textId="77777777" w:rsidR="00F7285D" w:rsidRPr="0029055B" w:rsidRDefault="00F7285D" w:rsidP="008709A1">
            <w:pPr>
              <w:rPr>
                <w:szCs w:val="21"/>
              </w:rPr>
            </w:pPr>
            <w:r w:rsidRPr="0029055B">
              <w:rPr>
                <w:szCs w:val="21"/>
              </w:rPr>
              <w:t>Lobelia lanurensis (a, A)</w:t>
            </w:r>
          </w:p>
        </w:tc>
        <w:tc>
          <w:tcPr>
            <w:tcW w:w="1559" w:type="dxa"/>
          </w:tcPr>
          <w:p w14:paraId="495D9506" w14:textId="77777777" w:rsidR="00F7285D" w:rsidRPr="0029055B" w:rsidRDefault="00F7285D" w:rsidP="008709A1">
            <w:pPr>
              <w:rPr>
                <w:szCs w:val="21"/>
              </w:rPr>
            </w:pPr>
          </w:p>
        </w:tc>
        <w:tc>
          <w:tcPr>
            <w:tcW w:w="1921" w:type="dxa"/>
            <w:tcBorders>
              <w:right w:val="single" w:sz="8" w:space="0" w:color="auto"/>
            </w:tcBorders>
          </w:tcPr>
          <w:p w14:paraId="262AF673" w14:textId="77777777" w:rsidR="00F7285D" w:rsidRPr="0029055B" w:rsidRDefault="00F7285D" w:rsidP="008709A1">
            <w:pPr>
              <w:rPr>
                <w:szCs w:val="21"/>
              </w:rPr>
            </w:pPr>
            <w:r w:rsidRPr="0029055B">
              <w:rPr>
                <w:szCs w:val="21"/>
              </w:rPr>
              <w:t>Fmont</w:t>
            </w:r>
          </w:p>
        </w:tc>
      </w:tr>
      <w:tr w:rsidR="00F7285D" w:rsidRPr="0029055B" w14:paraId="502EC7B7" w14:textId="77777777" w:rsidTr="008709A1">
        <w:trPr>
          <w:trHeight w:val="255"/>
          <w:jc w:val="center"/>
        </w:trPr>
        <w:tc>
          <w:tcPr>
            <w:tcW w:w="500" w:type="dxa"/>
            <w:tcBorders>
              <w:left w:val="single" w:sz="8" w:space="0" w:color="auto"/>
            </w:tcBorders>
          </w:tcPr>
          <w:p w14:paraId="24053788" w14:textId="77777777" w:rsidR="00F7285D" w:rsidRPr="0029055B" w:rsidRDefault="00F7285D" w:rsidP="008709A1">
            <w:pPr>
              <w:rPr>
                <w:szCs w:val="21"/>
              </w:rPr>
            </w:pPr>
            <w:r w:rsidRPr="0029055B">
              <w:rPr>
                <w:szCs w:val="21"/>
              </w:rPr>
              <w:t>69</w:t>
            </w:r>
          </w:p>
        </w:tc>
        <w:tc>
          <w:tcPr>
            <w:tcW w:w="2980" w:type="dxa"/>
          </w:tcPr>
          <w:p w14:paraId="773022B0" w14:textId="77777777" w:rsidR="00F7285D" w:rsidRPr="0029055B" w:rsidRDefault="00F7285D" w:rsidP="008709A1">
            <w:pPr>
              <w:rPr>
                <w:szCs w:val="21"/>
              </w:rPr>
            </w:pPr>
            <w:r w:rsidRPr="0029055B">
              <w:rPr>
                <w:szCs w:val="21"/>
              </w:rPr>
              <w:t>Capparidaceae</w:t>
            </w:r>
          </w:p>
        </w:tc>
        <w:tc>
          <w:tcPr>
            <w:tcW w:w="3122" w:type="dxa"/>
          </w:tcPr>
          <w:p w14:paraId="0CAFA251" w14:textId="77777777" w:rsidR="00F7285D" w:rsidRPr="0029055B" w:rsidRDefault="00F7285D" w:rsidP="008709A1">
            <w:pPr>
              <w:rPr>
                <w:szCs w:val="21"/>
              </w:rPr>
            </w:pPr>
            <w:r w:rsidRPr="0029055B">
              <w:rPr>
                <w:szCs w:val="21"/>
              </w:rPr>
              <w:t>Maerua triphylla var. pubescens (Syn. M. mildbraedii) (H)</w:t>
            </w:r>
          </w:p>
        </w:tc>
        <w:tc>
          <w:tcPr>
            <w:tcW w:w="1559" w:type="dxa"/>
          </w:tcPr>
          <w:p w14:paraId="48F2B1F3" w14:textId="77777777" w:rsidR="00F7285D" w:rsidRPr="0029055B" w:rsidRDefault="00F7285D" w:rsidP="008709A1">
            <w:pPr>
              <w:rPr>
                <w:szCs w:val="21"/>
              </w:rPr>
            </w:pPr>
          </w:p>
        </w:tc>
        <w:tc>
          <w:tcPr>
            <w:tcW w:w="1921" w:type="dxa"/>
            <w:tcBorders>
              <w:right w:val="single" w:sz="8" w:space="0" w:color="auto"/>
            </w:tcBorders>
          </w:tcPr>
          <w:p w14:paraId="21A19DC8" w14:textId="77777777" w:rsidR="00F7285D" w:rsidRPr="0029055B" w:rsidRDefault="00F7285D" w:rsidP="008709A1">
            <w:pPr>
              <w:rPr>
                <w:szCs w:val="21"/>
              </w:rPr>
            </w:pPr>
            <w:r w:rsidRPr="0029055B">
              <w:rPr>
                <w:szCs w:val="21"/>
              </w:rPr>
              <w:t>Fm</w:t>
            </w:r>
          </w:p>
        </w:tc>
      </w:tr>
      <w:tr w:rsidR="00F7285D" w:rsidRPr="0029055B" w14:paraId="62555EBD" w14:textId="77777777" w:rsidTr="008709A1">
        <w:trPr>
          <w:trHeight w:val="255"/>
          <w:jc w:val="center"/>
        </w:trPr>
        <w:tc>
          <w:tcPr>
            <w:tcW w:w="500" w:type="dxa"/>
            <w:tcBorders>
              <w:left w:val="single" w:sz="8" w:space="0" w:color="auto"/>
            </w:tcBorders>
          </w:tcPr>
          <w:p w14:paraId="2DB08AF4" w14:textId="77777777" w:rsidR="00F7285D" w:rsidRPr="0029055B" w:rsidRDefault="00F7285D" w:rsidP="008709A1">
            <w:pPr>
              <w:rPr>
                <w:szCs w:val="21"/>
              </w:rPr>
            </w:pPr>
            <w:r w:rsidRPr="0029055B">
              <w:rPr>
                <w:szCs w:val="21"/>
              </w:rPr>
              <w:t>70</w:t>
            </w:r>
          </w:p>
        </w:tc>
        <w:tc>
          <w:tcPr>
            <w:tcW w:w="2980" w:type="dxa"/>
          </w:tcPr>
          <w:p w14:paraId="68CF7374" w14:textId="77777777" w:rsidR="00F7285D" w:rsidRPr="0029055B" w:rsidRDefault="00F7285D" w:rsidP="008709A1">
            <w:pPr>
              <w:rPr>
                <w:szCs w:val="21"/>
              </w:rPr>
            </w:pPr>
            <w:r w:rsidRPr="0029055B">
              <w:rPr>
                <w:szCs w:val="21"/>
              </w:rPr>
              <w:t>Bignoniaceae</w:t>
            </w:r>
          </w:p>
        </w:tc>
        <w:tc>
          <w:tcPr>
            <w:tcW w:w="3122" w:type="dxa"/>
          </w:tcPr>
          <w:p w14:paraId="798D078C" w14:textId="77777777" w:rsidR="00F7285D" w:rsidRPr="0029055B" w:rsidRDefault="00F7285D" w:rsidP="008709A1">
            <w:pPr>
              <w:rPr>
                <w:szCs w:val="21"/>
              </w:rPr>
            </w:pPr>
            <w:r w:rsidRPr="0029055B">
              <w:rPr>
                <w:szCs w:val="21"/>
              </w:rPr>
              <w:t>Markhamia platycalyx</w:t>
            </w:r>
          </w:p>
        </w:tc>
        <w:tc>
          <w:tcPr>
            <w:tcW w:w="1559" w:type="dxa"/>
          </w:tcPr>
          <w:p w14:paraId="326780F8" w14:textId="77777777" w:rsidR="00F7285D" w:rsidRPr="0029055B" w:rsidRDefault="00F7285D" w:rsidP="008709A1">
            <w:pPr>
              <w:rPr>
                <w:szCs w:val="21"/>
              </w:rPr>
            </w:pPr>
            <w:r w:rsidRPr="0029055B">
              <w:rPr>
                <w:szCs w:val="21"/>
              </w:rPr>
              <w:t>Umusave</w:t>
            </w:r>
          </w:p>
        </w:tc>
        <w:tc>
          <w:tcPr>
            <w:tcW w:w="1921" w:type="dxa"/>
            <w:tcBorders>
              <w:bottom w:val="single" w:sz="8" w:space="0" w:color="auto"/>
              <w:right w:val="single" w:sz="8" w:space="0" w:color="auto"/>
            </w:tcBorders>
          </w:tcPr>
          <w:p w14:paraId="47CB6E5A" w14:textId="77777777" w:rsidR="00F7285D" w:rsidRPr="0029055B" w:rsidRDefault="00F7285D" w:rsidP="008709A1">
            <w:pPr>
              <w:rPr>
                <w:szCs w:val="21"/>
              </w:rPr>
            </w:pPr>
            <w:r w:rsidRPr="0029055B">
              <w:rPr>
                <w:szCs w:val="21"/>
              </w:rPr>
              <w:t>Fs</w:t>
            </w:r>
          </w:p>
        </w:tc>
      </w:tr>
      <w:tr w:rsidR="00F7285D" w:rsidRPr="0029055B" w14:paraId="7B4C0C0D" w14:textId="77777777" w:rsidTr="008709A1">
        <w:trPr>
          <w:trHeight w:val="255"/>
          <w:jc w:val="center"/>
        </w:trPr>
        <w:tc>
          <w:tcPr>
            <w:tcW w:w="500" w:type="dxa"/>
            <w:tcBorders>
              <w:left w:val="single" w:sz="8" w:space="0" w:color="auto"/>
            </w:tcBorders>
          </w:tcPr>
          <w:p w14:paraId="00207605" w14:textId="77777777" w:rsidR="00F7285D" w:rsidRPr="0029055B" w:rsidRDefault="00F7285D" w:rsidP="008709A1">
            <w:pPr>
              <w:rPr>
                <w:szCs w:val="21"/>
              </w:rPr>
            </w:pPr>
            <w:r w:rsidRPr="0029055B">
              <w:rPr>
                <w:szCs w:val="21"/>
              </w:rPr>
              <w:t>71</w:t>
            </w:r>
          </w:p>
        </w:tc>
        <w:tc>
          <w:tcPr>
            <w:tcW w:w="2980" w:type="dxa"/>
          </w:tcPr>
          <w:p w14:paraId="785C4CDE" w14:textId="77777777" w:rsidR="00F7285D" w:rsidRPr="0029055B" w:rsidRDefault="00F7285D" w:rsidP="008709A1">
            <w:pPr>
              <w:rPr>
                <w:szCs w:val="21"/>
              </w:rPr>
            </w:pPr>
            <w:r w:rsidRPr="0029055B">
              <w:rPr>
                <w:szCs w:val="21"/>
              </w:rPr>
              <w:t>Cecropiaceae</w:t>
            </w:r>
          </w:p>
        </w:tc>
        <w:tc>
          <w:tcPr>
            <w:tcW w:w="3122" w:type="dxa"/>
          </w:tcPr>
          <w:p w14:paraId="07FDE38E" w14:textId="77777777" w:rsidR="00F7285D" w:rsidRPr="0029055B" w:rsidRDefault="00F7285D" w:rsidP="008709A1">
            <w:pPr>
              <w:rPr>
                <w:szCs w:val="21"/>
              </w:rPr>
            </w:pPr>
            <w:r w:rsidRPr="0029055B">
              <w:rPr>
                <w:szCs w:val="21"/>
              </w:rPr>
              <w:t>Myrianthus holstii (A)</w:t>
            </w:r>
          </w:p>
        </w:tc>
        <w:tc>
          <w:tcPr>
            <w:tcW w:w="1559" w:type="dxa"/>
          </w:tcPr>
          <w:p w14:paraId="320F66AC" w14:textId="77777777" w:rsidR="00F7285D" w:rsidRPr="0029055B" w:rsidRDefault="00F7285D" w:rsidP="008709A1">
            <w:pPr>
              <w:rPr>
                <w:szCs w:val="21"/>
              </w:rPr>
            </w:pPr>
          </w:p>
        </w:tc>
        <w:tc>
          <w:tcPr>
            <w:tcW w:w="1921" w:type="dxa"/>
            <w:tcBorders>
              <w:top w:val="single" w:sz="8" w:space="0" w:color="auto"/>
              <w:right w:val="single" w:sz="8" w:space="0" w:color="auto"/>
            </w:tcBorders>
          </w:tcPr>
          <w:p w14:paraId="13E2B525" w14:textId="77777777" w:rsidR="00F7285D" w:rsidRPr="0029055B" w:rsidRDefault="00F7285D" w:rsidP="008709A1">
            <w:pPr>
              <w:rPr>
                <w:szCs w:val="21"/>
              </w:rPr>
            </w:pPr>
            <w:r w:rsidRPr="0029055B">
              <w:rPr>
                <w:szCs w:val="21"/>
              </w:rPr>
              <w:t>Fs, Valmont</w:t>
            </w:r>
          </w:p>
        </w:tc>
      </w:tr>
      <w:tr w:rsidR="00F7285D" w:rsidRPr="0029055B" w14:paraId="12668F38" w14:textId="77777777" w:rsidTr="008709A1">
        <w:trPr>
          <w:trHeight w:val="255"/>
          <w:jc w:val="center"/>
        </w:trPr>
        <w:tc>
          <w:tcPr>
            <w:tcW w:w="500" w:type="dxa"/>
            <w:tcBorders>
              <w:left w:val="single" w:sz="8" w:space="0" w:color="auto"/>
            </w:tcBorders>
          </w:tcPr>
          <w:p w14:paraId="2F775718" w14:textId="77777777" w:rsidR="00F7285D" w:rsidRPr="0029055B" w:rsidRDefault="00F7285D" w:rsidP="008709A1">
            <w:pPr>
              <w:rPr>
                <w:szCs w:val="21"/>
              </w:rPr>
            </w:pPr>
            <w:r w:rsidRPr="0029055B">
              <w:rPr>
                <w:szCs w:val="21"/>
              </w:rPr>
              <w:t>72</w:t>
            </w:r>
          </w:p>
        </w:tc>
        <w:tc>
          <w:tcPr>
            <w:tcW w:w="2980" w:type="dxa"/>
          </w:tcPr>
          <w:p w14:paraId="1054FDAD" w14:textId="77777777" w:rsidR="00F7285D" w:rsidRPr="0029055B" w:rsidRDefault="00F7285D" w:rsidP="008709A1">
            <w:pPr>
              <w:rPr>
                <w:szCs w:val="21"/>
              </w:rPr>
            </w:pPr>
            <w:r w:rsidRPr="0029055B">
              <w:rPr>
                <w:szCs w:val="21"/>
              </w:rPr>
              <w:t>Lycopodiaceae</w:t>
            </w:r>
          </w:p>
        </w:tc>
        <w:tc>
          <w:tcPr>
            <w:tcW w:w="3122" w:type="dxa"/>
          </w:tcPr>
          <w:p w14:paraId="2794940A" w14:textId="77777777" w:rsidR="00F7285D" w:rsidRPr="0029055B" w:rsidRDefault="00F7285D" w:rsidP="008709A1">
            <w:pPr>
              <w:rPr>
                <w:szCs w:val="21"/>
              </w:rPr>
            </w:pPr>
            <w:r w:rsidRPr="0029055B">
              <w:rPr>
                <w:szCs w:val="21"/>
              </w:rPr>
              <w:t>Lycopodium clavatum (H)</w:t>
            </w:r>
          </w:p>
        </w:tc>
        <w:tc>
          <w:tcPr>
            <w:tcW w:w="1559" w:type="dxa"/>
          </w:tcPr>
          <w:p w14:paraId="0A001456" w14:textId="77777777" w:rsidR="00F7285D" w:rsidRPr="0029055B" w:rsidRDefault="00F7285D" w:rsidP="008709A1">
            <w:pPr>
              <w:rPr>
                <w:szCs w:val="21"/>
              </w:rPr>
            </w:pPr>
          </w:p>
        </w:tc>
        <w:tc>
          <w:tcPr>
            <w:tcW w:w="1921" w:type="dxa"/>
            <w:tcBorders>
              <w:right w:val="single" w:sz="8" w:space="0" w:color="auto"/>
            </w:tcBorders>
          </w:tcPr>
          <w:p w14:paraId="4018CC68" w14:textId="77777777" w:rsidR="00F7285D" w:rsidRPr="0029055B" w:rsidRDefault="00F7285D" w:rsidP="008709A1">
            <w:pPr>
              <w:rPr>
                <w:szCs w:val="21"/>
              </w:rPr>
            </w:pPr>
            <w:r w:rsidRPr="0029055B">
              <w:rPr>
                <w:szCs w:val="21"/>
              </w:rPr>
              <w:t>Fmont</w:t>
            </w:r>
          </w:p>
        </w:tc>
      </w:tr>
      <w:tr w:rsidR="00F7285D" w:rsidRPr="0029055B" w14:paraId="1AC9C20F" w14:textId="77777777" w:rsidTr="008709A1">
        <w:trPr>
          <w:trHeight w:val="255"/>
          <w:jc w:val="center"/>
        </w:trPr>
        <w:tc>
          <w:tcPr>
            <w:tcW w:w="500" w:type="dxa"/>
            <w:tcBorders>
              <w:left w:val="single" w:sz="8" w:space="0" w:color="auto"/>
            </w:tcBorders>
          </w:tcPr>
          <w:p w14:paraId="03911E3B" w14:textId="77777777" w:rsidR="00F7285D" w:rsidRPr="0029055B" w:rsidRDefault="00F7285D" w:rsidP="008709A1">
            <w:pPr>
              <w:rPr>
                <w:szCs w:val="21"/>
              </w:rPr>
            </w:pPr>
            <w:r w:rsidRPr="0029055B">
              <w:rPr>
                <w:szCs w:val="21"/>
              </w:rPr>
              <w:t>73</w:t>
            </w:r>
          </w:p>
        </w:tc>
        <w:tc>
          <w:tcPr>
            <w:tcW w:w="2980" w:type="dxa"/>
          </w:tcPr>
          <w:p w14:paraId="71416A76" w14:textId="77777777" w:rsidR="00F7285D" w:rsidRPr="0029055B" w:rsidRDefault="00F7285D" w:rsidP="008709A1">
            <w:pPr>
              <w:rPr>
                <w:szCs w:val="21"/>
              </w:rPr>
            </w:pPr>
            <w:r w:rsidRPr="0029055B">
              <w:rPr>
                <w:szCs w:val="21"/>
              </w:rPr>
              <w:t>Euphorbiaceae</w:t>
            </w:r>
          </w:p>
        </w:tc>
        <w:tc>
          <w:tcPr>
            <w:tcW w:w="3122" w:type="dxa"/>
          </w:tcPr>
          <w:p w14:paraId="759E376F" w14:textId="77777777" w:rsidR="00F7285D" w:rsidRPr="0029055B" w:rsidRDefault="00F7285D" w:rsidP="008709A1">
            <w:pPr>
              <w:rPr>
                <w:szCs w:val="21"/>
              </w:rPr>
            </w:pPr>
            <w:r w:rsidRPr="0029055B">
              <w:rPr>
                <w:szCs w:val="21"/>
              </w:rPr>
              <w:t>Newboutonia macrocalyx (A)</w:t>
            </w:r>
          </w:p>
        </w:tc>
        <w:tc>
          <w:tcPr>
            <w:tcW w:w="1559" w:type="dxa"/>
          </w:tcPr>
          <w:p w14:paraId="51C1A638" w14:textId="77777777" w:rsidR="00F7285D" w:rsidRPr="0029055B" w:rsidRDefault="00F7285D" w:rsidP="008709A1">
            <w:pPr>
              <w:rPr>
                <w:szCs w:val="21"/>
              </w:rPr>
            </w:pPr>
          </w:p>
        </w:tc>
        <w:tc>
          <w:tcPr>
            <w:tcW w:w="1921" w:type="dxa"/>
            <w:tcBorders>
              <w:right w:val="single" w:sz="8" w:space="0" w:color="auto"/>
            </w:tcBorders>
          </w:tcPr>
          <w:p w14:paraId="0D1286CB" w14:textId="77777777" w:rsidR="00F7285D" w:rsidRPr="0029055B" w:rsidRDefault="00F7285D" w:rsidP="008709A1">
            <w:pPr>
              <w:rPr>
                <w:szCs w:val="21"/>
              </w:rPr>
            </w:pPr>
            <w:r w:rsidRPr="0029055B">
              <w:rPr>
                <w:szCs w:val="21"/>
              </w:rPr>
              <w:t>Fs</w:t>
            </w:r>
          </w:p>
        </w:tc>
      </w:tr>
      <w:tr w:rsidR="00F7285D" w:rsidRPr="0029055B" w14:paraId="27D54B9E" w14:textId="77777777" w:rsidTr="008709A1">
        <w:trPr>
          <w:trHeight w:val="255"/>
          <w:jc w:val="center"/>
        </w:trPr>
        <w:tc>
          <w:tcPr>
            <w:tcW w:w="500" w:type="dxa"/>
            <w:tcBorders>
              <w:left w:val="single" w:sz="8" w:space="0" w:color="auto"/>
            </w:tcBorders>
          </w:tcPr>
          <w:p w14:paraId="492688A6" w14:textId="77777777" w:rsidR="00F7285D" w:rsidRPr="0029055B" w:rsidRDefault="00F7285D" w:rsidP="008709A1">
            <w:pPr>
              <w:rPr>
                <w:szCs w:val="21"/>
              </w:rPr>
            </w:pPr>
            <w:r w:rsidRPr="0029055B">
              <w:rPr>
                <w:szCs w:val="21"/>
              </w:rPr>
              <w:t>74</w:t>
            </w:r>
          </w:p>
        </w:tc>
        <w:tc>
          <w:tcPr>
            <w:tcW w:w="2980" w:type="dxa"/>
          </w:tcPr>
          <w:p w14:paraId="665521EB" w14:textId="77777777" w:rsidR="00F7285D" w:rsidRPr="0029055B" w:rsidRDefault="00F7285D" w:rsidP="008709A1">
            <w:pPr>
              <w:rPr>
                <w:szCs w:val="21"/>
              </w:rPr>
            </w:pPr>
            <w:r w:rsidRPr="0029055B">
              <w:rPr>
                <w:szCs w:val="21"/>
              </w:rPr>
              <w:t>Nymphaeaceae</w:t>
            </w:r>
          </w:p>
        </w:tc>
        <w:tc>
          <w:tcPr>
            <w:tcW w:w="3122" w:type="dxa"/>
          </w:tcPr>
          <w:p w14:paraId="6B031780" w14:textId="77777777" w:rsidR="00F7285D" w:rsidRPr="0029055B" w:rsidRDefault="00F7285D" w:rsidP="008709A1">
            <w:pPr>
              <w:rPr>
                <w:szCs w:val="21"/>
              </w:rPr>
            </w:pPr>
            <w:r w:rsidRPr="0029055B">
              <w:rPr>
                <w:szCs w:val="21"/>
              </w:rPr>
              <w:t>Nymphaea lotus</w:t>
            </w:r>
          </w:p>
        </w:tc>
        <w:tc>
          <w:tcPr>
            <w:tcW w:w="1559" w:type="dxa"/>
          </w:tcPr>
          <w:p w14:paraId="70A96F40" w14:textId="77777777" w:rsidR="00F7285D" w:rsidRPr="0029055B" w:rsidRDefault="00F7285D" w:rsidP="008709A1">
            <w:pPr>
              <w:rPr>
                <w:szCs w:val="21"/>
              </w:rPr>
            </w:pPr>
          </w:p>
        </w:tc>
        <w:tc>
          <w:tcPr>
            <w:tcW w:w="1921" w:type="dxa"/>
            <w:tcBorders>
              <w:right w:val="single" w:sz="8" w:space="0" w:color="auto"/>
            </w:tcBorders>
          </w:tcPr>
          <w:p w14:paraId="2F1DDDDE" w14:textId="77777777" w:rsidR="00F7285D" w:rsidRPr="0029055B" w:rsidRDefault="00F7285D" w:rsidP="008709A1">
            <w:pPr>
              <w:rPr>
                <w:szCs w:val="21"/>
              </w:rPr>
            </w:pPr>
            <w:r w:rsidRPr="0029055B">
              <w:rPr>
                <w:szCs w:val="21"/>
              </w:rPr>
              <w:t>Fmar</w:t>
            </w:r>
          </w:p>
        </w:tc>
      </w:tr>
      <w:tr w:rsidR="00F7285D" w:rsidRPr="0029055B" w14:paraId="798979FE" w14:textId="77777777" w:rsidTr="008709A1">
        <w:trPr>
          <w:trHeight w:val="255"/>
          <w:jc w:val="center"/>
        </w:trPr>
        <w:tc>
          <w:tcPr>
            <w:tcW w:w="500" w:type="dxa"/>
            <w:tcBorders>
              <w:left w:val="single" w:sz="8" w:space="0" w:color="auto"/>
              <w:bottom w:val="single" w:sz="4" w:space="0" w:color="auto"/>
            </w:tcBorders>
          </w:tcPr>
          <w:p w14:paraId="3CC2A831" w14:textId="77777777" w:rsidR="00F7285D" w:rsidRPr="0029055B" w:rsidRDefault="00F7285D" w:rsidP="008709A1">
            <w:pPr>
              <w:rPr>
                <w:szCs w:val="21"/>
              </w:rPr>
            </w:pPr>
            <w:r w:rsidRPr="0029055B">
              <w:rPr>
                <w:szCs w:val="21"/>
              </w:rPr>
              <w:t>75</w:t>
            </w:r>
          </w:p>
        </w:tc>
        <w:tc>
          <w:tcPr>
            <w:tcW w:w="2980" w:type="dxa"/>
          </w:tcPr>
          <w:p w14:paraId="12BB37B2" w14:textId="77777777" w:rsidR="00F7285D" w:rsidRPr="0029055B" w:rsidRDefault="00F7285D" w:rsidP="008709A1">
            <w:pPr>
              <w:rPr>
                <w:szCs w:val="21"/>
              </w:rPr>
            </w:pPr>
            <w:r w:rsidRPr="0029055B">
              <w:rPr>
                <w:szCs w:val="21"/>
              </w:rPr>
              <w:t>Oleaceae</w:t>
            </w:r>
          </w:p>
        </w:tc>
        <w:tc>
          <w:tcPr>
            <w:tcW w:w="3122" w:type="dxa"/>
          </w:tcPr>
          <w:p w14:paraId="33545D9D" w14:textId="77777777" w:rsidR="00F7285D" w:rsidRPr="0029055B" w:rsidRDefault="00F7285D" w:rsidP="008709A1">
            <w:pPr>
              <w:rPr>
                <w:szCs w:val="21"/>
              </w:rPr>
            </w:pPr>
            <w:r w:rsidRPr="0029055B">
              <w:rPr>
                <w:szCs w:val="21"/>
              </w:rPr>
              <w:t>Olea africana (A)</w:t>
            </w:r>
          </w:p>
        </w:tc>
        <w:tc>
          <w:tcPr>
            <w:tcW w:w="1559" w:type="dxa"/>
          </w:tcPr>
          <w:p w14:paraId="4698217B" w14:textId="77777777" w:rsidR="00F7285D" w:rsidRPr="0029055B" w:rsidRDefault="00F7285D" w:rsidP="008709A1">
            <w:pPr>
              <w:rPr>
                <w:szCs w:val="21"/>
              </w:rPr>
            </w:pPr>
            <w:r w:rsidRPr="0029055B">
              <w:rPr>
                <w:szCs w:val="21"/>
              </w:rPr>
              <w:t>Umunzenze</w:t>
            </w:r>
          </w:p>
        </w:tc>
        <w:tc>
          <w:tcPr>
            <w:tcW w:w="1921" w:type="dxa"/>
            <w:tcBorders>
              <w:right w:val="single" w:sz="8" w:space="0" w:color="auto"/>
            </w:tcBorders>
          </w:tcPr>
          <w:p w14:paraId="55495688" w14:textId="77777777" w:rsidR="00F7285D" w:rsidRPr="0029055B" w:rsidRDefault="00F7285D" w:rsidP="008709A1">
            <w:pPr>
              <w:rPr>
                <w:szCs w:val="21"/>
              </w:rPr>
            </w:pPr>
            <w:r w:rsidRPr="0029055B">
              <w:rPr>
                <w:szCs w:val="21"/>
              </w:rPr>
              <w:t>Fm</w:t>
            </w:r>
          </w:p>
        </w:tc>
      </w:tr>
      <w:tr w:rsidR="00F7285D" w:rsidRPr="0029055B" w14:paraId="3D4D90F1" w14:textId="77777777" w:rsidTr="008709A1">
        <w:trPr>
          <w:trHeight w:val="255"/>
          <w:jc w:val="center"/>
        </w:trPr>
        <w:tc>
          <w:tcPr>
            <w:tcW w:w="500" w:type="dxa"/>
            <w:tcBorders>
              <w:top w:val="single" w:sz="4" w:space="0" w:color="auto"/>
              <w:left w:val="single" w:sz="8" w:space="0" w:color="auto"/>
            </w:tcBorders>
          </w:tcPr>
          <w:p w14:paraId="2A19F644" w14:textId="77777777" w:rsidR="00F7285D" w:rsidRPr="0029055B" w:rsidRDefault="00F7285D" w:rsidP="008709A1">
            <w:pPr>
              <w:rPr>
                <w:szCs w:val="21"/>
              </w:rPr>
            </w:pPr>
            <w:r w:rsidRPr="0029055B">
              <w:rPr>
                <w:szCs w:val="21"/>
              </w:rPr>
              <w:t>76</w:t>
            </w:r>
          </w:p>
        </w:tc>
        <w:tc>
          <w:tcPr>
            <w:tcW w:w="2980" w:type="dxa"/>
          </w:tcPr>
          <w:p w14:paraId="4109653F" w14:textId="77777777" w:rsidR="00F7285D" w:rsidRPr="0029055B" w:rsidRDefault="00F7285D" w:rsidP="008709A1">
            <w:pPr>
              <w:rPr>
                <w:szCs w:val="21"/>
              </w:rPr>
            </w:pPr>
            <w:r w:rsidRPr="0029055B">
              <w:rPr>
                <w:szCs w:val="21"/>
              </w:rPr>
              <w:t>Oleaceae</w:t>
            </w:r>
          </w:p>
        </w:tc>
        <w:tc>
          <w:tcPr>
            <w:tcW w:w="3122" w:type="dxa"/>
          </w:tcPr>
          <w:p w14:paraId="207DF3DC" w14:textId="77777777" w:rsidR="00F7285D" w:rsidRPr="0029055B" w:rsidRDefault="00F7285D" w:rsidP="008709A1">
            <w:pPr>
              <w:rPr>
                <w:szCs w:val="21"/>
              </w:rPr>
            </w:pPr>
            <w:r w:rsidRPr="0029055B">
              <w:rPr>
                <w:szCs w:val="21"/>
              </w:rPr>
              <w:t>Olea chrysophylla (A)</w:t>
            </w:r>
          </w:p>
        </w:tc>
        <w:tc>
          <w:tcPr>
            <w:tcW w:w="1559" w:type="dxa"/>
          </w:tcPr>
          <w:p w14:paraId="1B010DD3" w14:textId="77777777" w:rsidR="00F7285D" w:rsidRPr="0029055B" w:rsidRDefault="00F7285D" w:rsidP="008709A1">
            <w:pPr>
              <w:rPr>
                <w:szCs w:val="21"/>
              </w:rPr>
            </w:pPr>
          </w:p>
        </w:tc>
        <w:tc>
          <w:tcPr>
            <w:tcW w:w="1921" w:type="dxa"/>
            <w:tcBorders>
              <w:right w:val="single" w:sz="8" w:space="0" w:color="auto"/>
            </w:tcBorders>
          </w:tcPr>
          <w:p w14:paraId="127C1565" w14:textId="77777777" w:rsidR="00F7285D" w:rsidRPr="0029055B" w:rsidRDefault="00F7285D" w:rsidP="008709A1">
            <w:pPr>
              <w:rPr>
                <w:szCs w:val="21"/>
              </w:rPr>
            </w:pPr>
            <w:r w:rsidRPr="0029055B">
              <w:rPr>
                <w:szCs w:val="21"/>
              </w:rPr>
              <w:t>Fmont</w:t>
            </w:r>
          </w:p>
        </w:tc>
      </w:tr>
      <w:tr w:rsidR="00F7285D" w:rsidRPr="0029055B" w14:paraId="2A6FD094" w14:textId="77777777" w:rsidTr="008709A1">
        <w:trPr>
          <w:trHeight w:val="255"/>
          <w:jc w:val="center"/>
        </w:trPr>
        <w:tc>
          <w:tcPr>
            <w:tcW w:w="500" w:type="dxa"/>
            <w:tcBorders>
              <w:left w:val="single" w:sz="8" w:space="0" w:color="auto"/>
            </w:tcBorders>
          </w:tcPr>
          <w:p w14:paraId="63BE51CE" w14:textId="77777777" w:rsidR="00F7285D" w:rsidRPr="0029055B" w:rsidRDefault="00F7285D" w:rsidP="008709A1">
            <w:pPr>
              <w:rPr>
                <w:szCs w:val="21"/>
              </w:rPr>
            </w:pPr>
            <w:r w:rsidRPr="0029055B">
              <w:rPr>
                <w:szCs w:val="21"/>
              </w:rPr>
              <w:t>77</w:t>
            </w:r>
          </w:p>
        </w:tc>
        <w:tc>
          <w:tcPr>
            <w:tcW w:w="2980" w:type="dxa"/>
          </w:tcPr>
          <w:p w14:paraId="17552707" w14:textId="77777777" w:rsidR="00F7285D" w:rsidRPr="0029055B" w:rsidRDefault="00F7285D" w:rsidP="008709A1">
            <w:pPr>
              <w:rPr>
                <w:szCs w:val="21"/>
              </w:rPr>
            </w:pPr>
            <w:r w:rsidRPr="0029055B">
              <w:rPr>
                <w:szCs w:val="21"/>
              </w:rPr>
              <w:t>Oleaceae</w:t>
            </w:r>
          </w:p>
        </w:tc>
        <w:tc>
          <w:tcPr>
            <w:tcW w:w="3122" w:type="dxa"/>
          </w:tcPr>
          <w:p w14:paraId="38C6ED31" w14:textId="77777777" w:rsidR="00F7285D" w:rsidRPr="0029055B" w:rsidRDefault="00F7285D" w:rsidP="008709A1">
            <w:pPr>
              <w:rPr>
                <w:szCs w:val="21"/>
              </w:rPr>
            </w:pPr>
            <w:r w:rsidRPr="0029055B">
              <w:rPr>
                <w:szCs w:val="21"/>
              </w:rPr>
              <w:t>Olea europea (A)</w:t>
            </w:r>
          </w:p>
        </w:tc>
        <w:tc>
          <w:tcPr>
            <w:tcW w:w="1559" w:type="dxa"/>
          </w:tcPr>
          <w:p w14:paraId="42864CBD" w14:textId="77777777" w:rsidR="00F7285D" w:rsidRPr="0029055B" w:rsidRDefault="00F7285D" w:rsidP="008709A1">
            <w:pPr>
              <w:rPr>
                <w:szCs w:val="21"/>
              </w:rPr>
            </w:pPr>
          </w:p>
        </w:tc>
        <w:tc>
          <w:tcPr>
            <w:tcW w:w="1921" w:type="dxa"/>
            <w:tcBorders>
              <w:right w:val="single" w:sz="8" w:space="0" w:color="auto"/>
            </w:tcBorders>
          </w:tcPr>
          <w:p w14:paraId="353AC3A1" w14:textId="77777777" w:rsidR="00F7285D" w:rsidRPr="0029055B" w:rsidRDefault="00F7285D" w:rsidP="008709A1">
            <w:pPr>
              <w:rPr>
                <w:szCs w:val="21"/>
              </w:rPr>
            </w:pPr>
            <w:r w:rsidRPr="0029055B">
              <w:rPr>
                <w:szCs w:val="21"/>
              </w:rPr>
              <w:t>Fscl</w:t>
            </w:r>
          </w:p>
        </w:tc>
      </w:tr>
      <w:tr w:rsidR="00F7285D" w:rsidRPr="0029055B" w14:paraId="0CA737E8" w14:textId="77777777" w:rsidTr="008709A1">
        <w:trPr>
          <w:trHeight w:val="255"/>
          <w:jc w:val="center"/>
        </w:trPr>
        <w:tc>
          <w:tcPr>
            <w:tcW w:w="500" w:type="dxa"/>
            <w:tcBorders>
              <w:left w:val="single" w:sz="8" w:space="0" w:color="auto"/>
            </w:tcBorders>
          </w:tcPr>
          <w:p w14:paraId="1EA1967C" w14:textId="77777777" w:rsidR="00F7285D" w:rsidRPr="0029055B" w:rsidRDefault="00F7285D" w:rsidP="008709A1">
            <w:pPr>
              <w:rPr>
                <w:szCs w:val="21"/>
              </w:rPr>
            </w:pPr>
            <w:r w:rsidRPr="0029055B">
              <w:rPr>
                <w:szCs w:val="21"/>
              </w:rPr>
              <w:t>78</w:t>
            </w:r>
          </w:p>
        </w:tc>
        <w:tc>
          <w:tcPr>
            <w:tcW w:w="2980" w:type="dxa"/>
          </w:tcPr>
          <w:p w14:paraId="3816C8EC" w14:textId="77777777" w:rsidR="00F7285D" w:rsidRPr="0029055B" w:rsidRDefault="00F7285D" w:rsidP="008709A1">
            <w:pPr>
              <w:rPr>
                <w:szCs w:val="21"/>
              </w:rPr>
            </w:pPr>
            <w:r w:rsidRPr="0029055B">
              <w:rPr>
                <w:szCs w:val="21"/>
              </w:rPr>
              <w:t>Oleaceae</w:t>
            </w:r>
          </w:p>
        </w:tc>
        <w:tc>
          <w:tcPr>
            <w:tcW w:w="3122" w:type="dxa"/>
          </w:tcPr>
          <w:p w14:paraId="5D26D036" w14:textId="77777777" w:rsidR="00F7285D" w:rsidRPr="0029055B" w:rsidRDefault="00F7285D" w:rsidP="008709A1">
            <w:pPr>
              <w:rPr>
                <w:szCs w:val="21"/>
              </w:rPr>
            </w:pPr>
            <w:r w:rsidRPr="0029055B">
              <w:rPr>
                <w:szCs w:val="21"/>
              </w:rPr>
              <w:t>Olea ochstetteri (A)</w:t>
            </w:r>
          </w:p>
        </w:tc>
        <w:tc>
          <w:tcPr>
            <w:tcW w:w="1559" w:type="dxa"/>
          </w:tcPr>
          <w:p w14:paraId="350E9696" w14:textId="77777777" w:rsidR="00F7285D" w:rsidRPr="0029055B" w:rsidRDefault="00F7285D" w:rsidP="008709A1">
            <w:pPr>
              <w:rPr>
                <w:szCs w:val="21"/>
              </w:rPr>
            </w:pPr>
          </w:p>
        </w:tc>
        <w:tc>
          <w:tcPr>
            <w:tcW w:w="1921" w:type="dxa"/>
            <w:tcBorders>
              <w:right w:val="single" w:sz="8" w:space="0" w:color="auto"/>
            </w:tcBorders>
          </w:tcPr>
          <w:p w14:paraId="0BB3D2B6" w14:textId="77777777" w:rsidR="00F7285D" w:rsidRPr="0029055B" w:rsidRDefault="00F7285D" w:rsidP="008709A1">
            <w:pPr>
              <w:rPr>
                <w:szCs w:val="21"/>
              </w:rPr>
            </w:pPr>
            <w:r w:rsidRPr="0029055B">
              <w:rPr>
                <w:szCs w:val="21"/>
              </w:rPr>
              <w:t>Fs</w:t>
            </w:r>
          </w:p>
        </w:tc>
      </w:tr>
      <w:tr w:rsidR="00F7285D" w:rsidRPr="0029055B" w14:paraId="0C6709FF" w14:textId="77777777" w:rsidTr="008709A1">
        <w:trPr>
          <w:trHeight w:val="255"/>
          <w:jc w:val="center"/>
        </w:trPr>
        <w:tc>
          <w:tcPr>
            <w:tcW w:w="500" w:type="dxa"/>
            <w:tcBorders>
              <w:left w:val="single" w:sz="8" w:space="0" w:color="auto"/>
              <w:bottom w:val="single" w:sz="4" w:space="0" w:color="auto"/>
            </w:tcBorders>
          </w:tcPr>
          <w:p w14:paraId="06188412" w14:textId="77777777" w:rsidR="00F7285D" w:rsidRPr="0029055B" w:rsidRDefault="00F7285D" w:rsidP="008709A1">
            <w:pPr>
              <w:rPr>
                <w:szCs w:val="21"/>
              </w:rPr>
            </w:pPr>
            <w:r w:rsidRPr="0029055B">
              <w:rPr>
                <w:szCs w:val="21"/>
              </w:rPr>
              <w:t>79</w:t>
            </w:r>
          </w:p>
        </w:tc>
        <w:tc>
          <w:tcPr>
            <w:tcW w:w="2980" w:type="dxa"/>
          </w:tcPr>
          <w:p w14:paraId="758F5045" w14:textId="77777777" w:rsidR="00F7285D" w:rsidRPr="0029055B" w:rsidRDefault="00F7285D" w:rsidP="008709A1">
            <w:pPr>
              <w:rPr>
                <w:szCs w:val="21"/>
              </w:rPr>
            </w:pPr>
            <w:r w:rsidRPr="0029055B">
              <w:rPr>
                <w:szCs w:val="21"/>
              </w:rPr>
              <w:t>Poaceae</w:t>
            </w:r>
          </w:p>
        </w:tc>
        <w:tc>
          <w:tcPr>
            <w:tcW w:w="3122" w:type="dxa"/>
          </w:tcPr>
          <w:p w14:paraId="16076DF1" w14:textId="77777777" w:rsidR="00F7285D" w:rsidRPr="0029055B" w:rsidRDefault="00F7285D" w:rsidP="008709A1">
            <w:pPr>
              <w:rPr>
                <w:szCs w:val="21"/>
              </w:rPr>
            </w:pPr>
            <w:r w:rsidRPr="0029055B">
              <w:rPr>
                <w:szCs w:val="21"/>
              </w:rPr>
              <w:t>Oplismenus hirtellus (H)</w:t>
            </w:r>
          </w:p>
        </w:tc>
        <w:tc>
          <w:tcPr>
            <w:tcW w:w="1559" w:type="dxa"/>
          </w:tcPr>
          <w:p w14:paraId="3611683B" w14:textId="77777777" w:rsidR="00F7285D" w:rsidRPr="0029055B" w:rsidRDefault="00F7285D" w:rsidP="008709A1">
            <w:pPr>
              <w:rPr>
                <w:szCs w:val="21"/>
              </w:rPr>
            </w:pPr>
          </w:p>
        </w:tc>
        <w:tc>
          <w:tcPr>
            <w:tcW w:w="1921" w:type="dxa"/>
            <w:tcBorders>
              <w:right w:val="single" w:sz="8" w:space="0" w:color="auto"/>
            </w:tcBorders>
          </w:tcPr>
          <w:p w14:paraId="54D86351" w14:textId="77777777" w:rsidR="00F7285D" w:rsidRPr="0029055B" w:rsidRDefault="00F7285D" w:rsidP="008709A1">
            <w:pPr>
              <w:rPr>
                <w:szCs w:val="21"/>
              </w:rPr>
            </w:pPr>
            <w:r w:rsidRPr="0029055B">
              <w:rPr>
                <w:szCs w:val="21"/>
              </w:rPr>
              <w:t>Fha</w:t>
            </w:r>
          </w:p>
        </w:tc>
      </w:tr>
      <w:tr w:rsidR="00F7285D" w:rsidRPr="0029055B" w14:paraId="0D2DCFAF" w14:textId="77777777" w:rsidTr="008709A1">
        <w:trPr>
          <w:trHeight w:val="255"/>
          <w:jc w:val="center"/>
        </w:trPr>
        <w:tc>
          <w:tcPr>
            <w:tcW w:w="500" w:type="dxa"/>
            <w:tcBorders>
              <w:top w:val="single" w:sz="4" w:space="0" w:color="auto"/>
              <w:left w:val="single" w:sz="8" w:space="0" w:color="auto"/>
            </w:tcBorders>
          </w:tcPr>
          <w:p w14:paraId="67F740DE" w14:textId="77777777" w:rsidR="00F7285D" w:rsidRPr="0029055B" w:rsidRDefault="00F7285D" w:rsidP="008709A1">
            <w:pPr>
              <w:rPr>
                <w:szCs w:val="21"/>
              </w:rPr>
            </w:pPr>
            <w:r w:rsidRPr="0029055B">
              <w:rPr>
                <w:szCs w:val="21"/>
              </w:rPr>
              <w:t>80</w:t>
            </w:r>
          </w:p>
        </w:tc>
        <w:tc>
          <w:tcPr>
            <w:tcW w:w="2980" w:type="dxa"/>
          </w:tcPr>
          <w:p w14:paraId="13807E8F" w14:textId="77777777" w:rsidR="00F7285D" w:rsidRPr="0029055B" w:rsidRDefault="00F7285D" w:rsidP="008709A1">
            <w:pPr>
              <w:rPr>
                <w:szCs w:val="21"/>
              </w:rPr>
            </w:pPr>
            <w:r w:rsidRPr="0029055B">
              <w:rPr>
                <w:szCs w:val="21"/>
              </w:rPr>
              <w:t xml:space="preserve">Poaceae </w:t>
            </w:r>
          </w:p>
        </w:tc>
        <w:tc>
          <w:tcPr>
            <w:tcW w:w="3122" w:type="dxa"/>
          </w:tcPr>
          <w:p w14:paraId="4383FBBB" w14:textId="77777777" w:rsidR="00F7285D" w:rsidRPr="0029055B" w:rsidRDefault="00F7285D" w:rsidP="008709A1">
            <w:pPr>
              <w:rPr>
                <w:szCs w:val="21"/>
              </w:rPr>
            </w:pPr>
            <w:r w:rsidRPr="0029055B">
              <w:rPr>
                <w:szCs w:val="21"/>
              </w:rPr>
              <w:t>Panicum maximum (H)</w:t>
            </w:r>
          </w:p>
        </w:tc>
        <w:tc>
          <w:tcPr>
            <w:tcW w:w="1559" w:type="dxa"/>
          </w:tcPr>
          <w:p w14:paraId="395D0F39" w14:textId="77777777" w:rsidR="00F7285D" w:rsidRPr="0029055B" w:rsidRDefault="00F7285D" w:rsidP="008709A1">
            <w:pPr>
              <w:rPr>
                <w:szCs w:val="21"/>
              </w:rPr>
            </w:pPr>
          </w:p>
        </w:tc>
        <w:tc>
          <w:tcPr>
            <w:tcW w:w="1921" w:type="dxa"/>
            <w:tcBorders>
              <w:right w:val="single" w:sz="8" w:space="0" w:color="auto"/>
            </w:tcBorders>
          </w:tcPr>
          <w:p w14:paraId="421DD2D3" w14:textId="77777777" w:rsidR="00F7285D" w:rsidRPr="0029055B" w:rsidRDefault="00F7285D" w:rsidP="008709A1">
            <w:pPr>
              <w:rPr>
                <w:szCs w:val="21"/>
              </w:rPr>
            </w:pPr>
            <w:r w:rsidRPr="0029055B">
              <w:rPr>
                <w:szCs w:val="21"/>
              </w:rPr>
              <w:t xml:space="preserve">Fh, Rud. </w:t>
            </w:r>
          </w:p>
        </w:tc>
      </w:tr>
      <w:tr w:rsidR="00F7285D" w:rsidRPr="0029055B" w14:paraId="350B81BC" w14:textId="77777777" w:rsidTr="008709A1">
        <w:trPr>
          <w:trHeight w:val="255"/>
          <w:jc w:val="center"/>
        </w:trPr>
        <w:tc>
          <w:tcPr>
            <w:tcW w:w="500" w:type="dxa"/>
            <w:tcBorders>
              <w:top w:val="single" w:sz="4" w:space="0" w:color="auto"/>
              <w:left w:val="single" w:sz="8" w:space="0" w:color="auto"/>
            </w:tcBorders>
          </w:tcPr>
          <w:p w14:paraId="318516AF" w14:textId="77777777" w:rsidR="00F7285D" w:rsidRPr="0029055B" w:rsidRDefault="00F7285D" w:rsidP="008709A1">
            <w:pPr>
              <w:rPr>
                <w:szCs w:val="21"/>
              </w:rPr>
            </w:pPr>
            <w:r w:rsidRPr="0029055B">
              <w:rPr>
                <w:szCs w:val="21"/>
              </w:rPr>
              <w:t>81</w:t>
            </w:r>
          </w:p>
        </w:tc>
        <w:tc>
          <w:tcPr>
            <w:tcW w:w="2980" w:type="dxa"/>
          </w:tcPr>
          <w:p w14:paraId="59C4148F" w14:textId="77777777" w:rsidR="00F7285D" w:rsidRPr="0029055B" w:rsidRDefault="00F7285D" w:rsidP="008709A1">
            <w:pPr>
              <w:rPr>
                <w:szCs w:val="21"/>
              </w:rPr>
            </w:pPr>
            <w:r w:rsidRPr="0029055B">
              <w:rPr>
                <w:szCs w:val="21"/>
              </w:rPr>
              <w:t>Solanaceae</w:t>
            </w:r>
          </w:p>
        </w:tc>
        <w:tc>
          <w:tcPr>
            <w:tcW w:w="3122" w:type="dxa"/>
          </w:tcPr>
          <w:p w14:paraId="52559BBF" w14:textId="77777777" w:rsidR="00F7285D" w:rsidRPr="0029055B" w:rsidRDefault="00F7285D" w:rsidP="008709A1">
            <w:pPr>
              <w:rPr>
                <w:szCs w:val="21"/>
              </w:rPr>
            </w:pPr>
            <w:r w:rsidRPr="0029055B">
              <w:rPr>
                <w:szCs w:val="21"/>
              </w:rPr>
              <w:t>Peucedanum kerstenii (H)</w:t>
            </w:r>
          </w:p>
        </w:tc>
        <w:tc>
          <w:tcPr>
            <w:tcW w:w="1559" w:type="dxa"/>
          </w:tcPr>
          <w:p w14:paraId="3944DA82" w14:textId="77777777" w:rsidR="00F7285D" w:rsidRPr="0029055B" w:rsidRDefault="00F7285D" w:rsidP="008709A1">
            <w:pPr>
              <w:rPr>
                <w:szCs w:val="21"/>
              </w:rPr>
            </w:pPr>
          </w:p>
        </w:tc>
        <w:tc>
          <w:tcPr>
            <w:tcW w:w="1921" w:type="dxa"/>
            <w:tcBorders>
              <w:right w:val="single" w:sz="8" w:space="0" w:color="auto"/>
            </w:tcBorders>
          </w:tcPr>
          <w:p w14:paraId="217F8B30" w14:textId="77777777" w:rsidR="00F7285D" w:rsidRPr="0029055B" w:rsidRDefault="00F7285D" w:rsidP="008709A1">
            <w:pPr>
              <w:rPr>
                <w:szCs w:val="21"/>
              </w:rPr>
            </w:pPr>
            <w:r w:rsidRPr="0029055B">
              <w:rPr>
                <w:szCs w:val="21"/>
              </w:rPr>
              <w:t>Fmont</w:t>
            </w:r>
          </w:p>
        </w:tc>
      </w:tr>
      <w:tr w:rsidR="00F7285D" w:rsidRPr="0029055B" w14:paraId="327F7B5B" w14:textId="77777777" w:rsidTr="008709A1">
        <w:trPr>
          <w:trHeight w:val="315"/>
          <w:jc w:val="center"/>
        </w:trPr>
        <w:tc>
          <w:tcPr>
            <w:tcW w:w="500" w:type="dxa"/>
            <w:tcBorders>
              <w:left w:val="single" w:sz="8" w:space="0" w:color="auto"/>
              <w:bottom w:val="single" w:sz="4" w:space="0" w:color="auto"/>
            </w:tcBorders>
            <w:noWrap/>
            <w:vAlign w:val="bottom"/>
          </w:tcPr>
          <w:p w14:paraId="157CE636" w14:textId="77777777" w:rsidR="00F7285D" w:rsidRPr="0029055B" w:rsidRDefault="00F7285D" w:rsidP="008709A1">
            <w:pPr>
              <w:rPr>
                <w:szCs w:val="21"/>
              </w:rPr>
            </w:pPr>
            <w:r w:rsidRPr="0029055B">
              <w:rPr>
                <w:szCs w:val="21"/>
              </w:rPr>
              <w:t>82</w:t>
            </w:r>
          </w:p>
        </w:tc>
        <w:tc>
          <w:tcPr>
            <w:tcW w:w="2980" w:type="dxa"/>
            <w:vAlign w:val="bottom"/>
          </w:tcPr>
          <w:p w14:paraId="73986215" w14:textId="77777777" w:rsidR="00F7285D" w:rsidRPr="0029055B" w:rsidRDefault="00F7285D" w:rsidP="008709A1">
            <w:pPr>
              <w:rPr>
                <w:szCs w:val="21"/>
              </w:rPr>
            </w:pPr>
            <w:r w:rsidRPr="0029055B">
              <w:rPr>
                <w:szCs w:val="21"/>
              </w:rPr>
              <w:t>Ericaceae</w:t>
            </w:r>
          </w:p>
        </w:tc>
        <w:tc>
          <w:tcPr>
            <w:tcW w:w="3122" w:type="dxa"/>
            <w:noWrap/>
            <w:vAlign w:val="bottom"/>
          </w:tcPr>
          <w:p w14:paraId="37F7AFDF" w14:textId="77777777" w:rsidR="00F7285D" w:rsidRPr="0029055B" w:rsidRDefault="00F7285D" w:rsidP="008709A1">
            <w:pPr>
              <w:rPr>
                <w:szCs w:val="21"/>
              </w:rPr>
            </w:pPr>
            <w:r w:rsidRPr="0029055B">
              <w:rPr>
                <w:szCs w:val="21"/>
              </w:rPr>
              <w:t>Philippia excelsa (A)</w:t>
            </w:r>
          </w:p>
        </w:tc>
        <w:tc>
          <w:tcPr>
            <w:tcW w:w="1559" w:type="dxa"/>
            <w:noWrap/>
            <w:vAlign w:val="bottom"/>
          </w:tcPr>
          <w:p w14:paraId="3422DBC0" w14:textId="77777777" w:rsidR="00F7285D" w:rsidRPr="0029055B" w:rsidRDefault="00F7285D" w:rsidP="008709A1">
            <w:pPr>
              <w:rPr>
                <w:szCs w:val="21"/>
              </w:rPr>
            </w:pPr>
          </w:p>
        </w:tc>
        <w:tc>
          <w:tcPr>
            <w:tcW w:w="1921" w:type="dxa"/>
            <w:tcBorders>
              <w:bottom w:val="single" w:sz="8" w:space="0" w:color="auto"/>
              <w:right w:val="single" w:sz="8" w:space="0" w:color="auto"/>
            </w:tcBorders>
          </w:tcPr>
          <w:p w14:paraId="38551125" w14:textId="77777777" w:rsidR="00F7285D" w:rsidRPr="0029055B" w:rsidRDefault="00F7285D" w:rsidP="008709A1">
            <w:pPr>
              <w:rPr>
                <w:szCs w:val="21"/>
              </w:rPr>
            </w:pPr>
            <w:r w:rsidRPr="0029055B">
              <w:rPr>
                <w:szCs w:val="21"/>
              </w:rPr>
              <w:t>Fmont</w:t>
            </w:r>
          </w:p>
        </w:tc>
      </w:tr>
      <w:tr w:rsidR="00F7285D" w:rsidRPr="0029055B" w14:paraId="01C001F6" w14:textId="77777777" w:rsidTr="008709A1">
        <w:trPr>
          <w:trHeight w:val="315"/>
          <w:jc w:val="center"/>
        </w:trPr>
        <w:tc>
          <w:tcPr>
            <w:tcW w:w="500" w:type="dxa"/>
            <w:tcBorders>
              <w:top w:val="single" w:sz="4" w:space="0" w:color="auto"/>
              <w:left w:val="single" w:sz="8" w:space="0" w:color="auto"/>
              <w:bottom w:val="single" w:sz="4" w:space="0" w:color="auto"/>
            </w:tcBorders>
            <w:noWrap/>
            <w:vAlign w:val="bottom"/>
          </w:tcPr>
          <w:p w14:paraId="5FAC0D66" w14:textId="77777777" w:rsidR="00F7285D" w:rsidRPr="0029055B" w:rsidRDefault="00F7285D" w:rsidP="008709A1">
            <w:pPr>
              <w:rPr>
                <w:szCs w:val="21"/>
              </w:rPr>
            </w:pPr>
            <w:r w:rsidRPr="0029055B">
              <w:rPr>
                <w:szCs w:val="21"/>
              </w:rPr>
              <w:t>83</w:t>
            </w:r>
          </w:p>
        </w:tc>
        <w:tc>
          <w:tcPr>
            <w:tcW w:w="2980" w:type="dxa"/>
            <w:vAlign w:val="bottom"/>
          </w:tcPr>
          <w:p w14:paraId="668AFCDC" w14:textId="77777777" w:rsidR="00F7285D" w:rsidRPr="0029055B" w:rsidRDefault="00F7285D" w:rsidP="008709A1">
            <w:pPr>
              <w:rPr>
                <w:szCs w:val="21"/>
              </w:rPr>
            </w:pPr>
            <w:r w:rsidRPr="0029055B">
              <w:rPr>
                <w:szCs w:val="21"/>
              </w:rPr>
              <w:t>Ericaceae</w:t>
            </w:r>
          </w:p>
        </w:tc>
        <w:tc>
          <w:tcPr>
            <w:tcW w:w="3122" w:type="dxa"/>
            <w:noWrap/>
            <w:vAlign w:val="bottom"/>
          </w:tcPr>
          <w:p w14:paraId="7D1378F5" w14:textId="77777777" w:rsidR="00F7285D" w:rsidRPr="0029055B" w:rsidRDefault="00F7285D" w:rsidP="008709A1">
            <w:pPr>
              <w:rPr>
                <w:szCs w:val="21"/>
              </w:rPr>
            </w:pPr>
            <w:r w:rsidRPr="0029055B">
              <w:rPr>
                <w:szCs w:val="21"/>
              </w:rPr>
              <w:t>Philippia johnstonii (A)</w:t>
            </w:r>
          </w:p>
        </w:tc>
        <w:tc>
          <w:tcPr>
            <w:tcW w:w="1559" w:type="dxa"/>
            <w:noWrap/>
            <w:vAlign w:val="bottom"/>
          </w:tcPr>
          <w:p w14:paraId="6F144490" w14:textId="77777777" w:rsidR="00F7285D" w:rsidRPr="0029055B" w:rsidRDefault="00F7285D" w:rsidP="008709A1">
            <w:pPr>
              <w:rPr>
                <w:szCs w:val="21"/>
              </w:rPr>
            </w:pPr>
          </w:p>
        </w:tc>
        <w:tc>
          <w:tcPr>
            <w:tcW w:w="1921" w:type="dxa"/>
            <w:tcBorders>
              <w:top w:val="single" w:sz="8" w:space="0" w:color="auto"/>
              <w:right w:val="single" w:sz="8" w:space="0" w:color="auto"/>
            </w:tcBorders>
          </w:tcPr>
          <w:p w14:paraId="7797485D" w14:textId="77777777" w:rsidR="00F7285D" w:rsidRPr="0029055B" w:rsidRDefault="00F7285D" w:rsidP="008709A1">
            <w:pPr>
              <w:rPr>
                <w:szCs w:val="21"/>
              </w:rPr>
            </w:pPr>
            <w:r w:rsidRPr="0029055B">
              <w:rPr>
                <w:szCs w:val="21"/>
              </w:rPr>
              <w:t>Fmont</w:t>
            </w:r>
          </w:p>
        </w:tc>
      </w:tr>
      <w:tr w:rsidR="00F7285D" w:rsidRPr="0029055B" w14:paraId="6099B3B2" w14:textId="77777777" w:rsidTr="008709A1">
        <w:trPr>
          <w:trHeight w:val="315"/>
          <w:jc w:val="center"/>
        </w:trPr>
        <w:tc>
          <w:tcPr>
            <w:tcW w:w="500" w:type="dxa"/>
            <w:tcBorders>
              <w:top w:val="single" w:sz="4" w:space="0" w:color="auto"/>
              <w:left w:val="single" w:sz="8" w:space="0" w:color="auto"/>
            </w:tcBorders>
            <w:noWrap/>
            <w:vAlign w:val="bottom"/>
          </w:tcPr>
          <w:p w14:paraId="3E17FCAE" w14:textId="77777777" w:rsidR="00F7285D" w:rsidRPr="0029055B" w:rsidRDefault="00F7285D" w:rsidP="008709A1">
            <w:pPr>
              <w:rPr>
                <w:szCs w:val="21"/>
              </w:rPr>
            </w:pPr>
            <w:r w:rsidRPr="0029055B">
              <w:rPr>
                <w:szCs w:val="21"/>
              </w:rPr>
              <w:t>84</w:t>
            </w:r>
          </w:p>
        </w:tc>
        <w:tc>
          <w:tcPr>
            <w:tcW w:w="2980" w:type="dxa"/>
            <w:vAlign w:val="bottom"/>
          </w:tcPr>
          <w:p w14:paraId="39456F8A" w14:textId="77777777" w:rsidR="00F7285D" w:rsidRPr="0029055B" w:rsidRDefault="00F7285D" w:rsidP="008709A1">
            <w:pPr>
              <w:rPr>
                <w:szCs w:val="21"/>
              </w:rPr>
            </w:pPr>
            <w:r w:rsidRPr="0029055B">
              <w:rPr>
                <w:szCs w:val="21"/>
              </w:rPr>
              <w:t>Ericaceae</w:t>
            </w:r>
          </w:p>
        </w:tc>
        <w:tc>
          <w:tcPr>
            <w:tcW w:w="3122" w:type="dxa"/>
            <w:noWrap/>
            <w:vAlign w:val="bottom"/>
          </w:tcPr>
          <w:p w14:paraId="37D4C0D3" w14:textId="77777777" w:rsidR="00F7285D" w:rsidRPr="0029055B" w:rsidRDefault="00F7285D" w:rsidP="008709A1">
            <w:pPr>
              <w:rPr>
                <w:szCs w:val="21"/>
              </w:rPr>
            </w:pPr>
            <w:r w:rsidRPr="0029055B">
              <w:rPr>
                <w:szCs w:val="21"/>
              </w:rPr>
              <w:t>Philippia trimera (A)</w:t>
            </w:r>
          </w:p>
        </w:tc>
        <w:tc>
          <w:tcPr>
            <w:tcW w:w="1559" w:type="dxa"/>
            <w:noWrap/>
            <w:vAlign w:val="bottom"/>
          </w:tcPr>
          <w:p w14:paraId="77F62143" w14:textId="77777777" w:rsidR="00F7285D" w:rsidRPr="0029055B" w:rsidRDefault="00F7285D" w:rsidP="008709A1">
            <w:pPr>
              <w:rPr>
                <w:szCs w:val="21"/>
              </w:rPr>
            </w:pPr>
          </w:p>
        </w:tc>
        <w:tc>
          <w:tcPr>
            <w:tcW w:w="1921" w:type="dxa"/>
            <w:tcBorders>
              <w:right w:val="single" w:sz="8" w:space="0" w:color="auto"/>
            </w:tcBorders>
          </w:tcPr>
          <w:p w14:paraId="3866F389" w14:textId="77777777" w:rsidR="00F7285D" w:rsidRPr="0029055B" w:rsidRDefault="00F7285D" w:rsidP="008709A1">
            <w:pPr>
              <w:rPr>
                <w:szCs w:val="21"/>
              </w:rPr>
            </w:pPr>
            <w:r w:rsidRPr="0029055B">
              <w:rPr>
                <w:szCs w:val="21"/>
              </w:rPr>
              <w:t>Fmont</w:t>
            </w:r>
          </w:p>
        </w:tc>
      </w:tr>
      <w:tr w:rsidR="00F7285D" w:rsidRPr="0029055B" w14:paraId="04E13637" w14:textId="77777777" w:rsidTr="008709A1">
        <w:trPr>
          <w:trHeight w:val="315"/>
          <w:jc w:val="center"/>
        </w:trPr>
        <w:tc>
          <w:tcPr>
            <w:tcW w:w="500" w:type="dxa"/>
            <w:tcBorders>
              <w:left w:val="single" w:sz="8" w:space="0" w:color="auto"/>
            </w:tcBorders>
            <w:noWrap/>
            <w:vAlign w:val="bottom"/>
          </w:tcPr>
          <w:p w14:paraId="038FA735" w14:textId="77777777" w:rsidR="00F7285D" w:rsidRPr="0029055B" w:rsidRDefault="00F7285D" w:rsidP="008709A1">
            <w:pPr>
              <w:rPr>
                <w:szCs w:val="21"/>
              </w:rPr>
            </w:pPr>
            <w:r w:rsidRPr="0029055B">
              <w:rPr>
                <w:szCs w:val="21"/>
              </w:rPr>
              <w:t>85</w:t>
            </w:r>
          </w:p>
        </w:tc>
        <w:tc>
          <w:tcPr>
            <w:tcW w:w="2980" w:type="dxa"/>
            <w:vAlign w:val="bottom"/>
          </w:tcPr>
          <w:p w14:paraId="390E532D" w14:textId="77777777" w:rsidR="00F7285D" w:rsidRPr="0029055B" w:rsidRDefault="00F7285D" w:rsidP="008709A1">
            <w:pPr>
              <w:rPr>
                <w:szCs w:val="21"/>
              </w:rPr>
            </w:pPr>
            <w:r w:rsidRPr="0029055B">
              <w:rPr>
                <w:szCs w:val="21"/>
              </w:rPr>
              <w:t>Piperaceae</w:t>
            </w:r>
          </w:p>
        </w:tc>
        <w:tc>
          <w:tcPr>
            <w:tcW w:w="3122" w:type="dxa"/>
            <w:noWrap/>
            <w:vAlign w:val="bottom"/>
          </w:tcPr>
          <w:p w14:paraId="7599C4A7" w14:textId="77777777" w:rsidR="00F7285D" w:rsidRPr="0029055B" w:rsidRDefault="00F7285D" w:rsidP="008709A1">
            <w:pPr>
              <w:rPr>
                <w:szCs w:val="21"/>
              </w:rPr>
            </w:pPr>
            <w:r w:rsidRPr="0029055B">
              <w:rPr>
                <w:szCs w:val="21"/>
              </w:rPr>
              <w:t>Pothomorphe umbellata (a)</w:t>
            </w:r>
          </w:p>
        </w:tc>
        <w:tc>
          <w:tcPr>
            <w:tcW w:w="1559" w:type="dxa"/>
            <w:noWrap/>
            <w:vAlign w:val="bottom"/>
          </w:tcPr>
          <w:p w14:paraId="271A3CAC" w14:textId="77777777" w:rsidR="00F7285D" w:rsidRPr="0029055B" w:rsidRDefault="00F7285D" w:rsidP="008709A1">
            <w:pPr>
              <w:rPr>
                <w:szCs w:val="21"/>
              </w:rPr>
            </w:pPr>
          </w:p>
        </w:tc>
        <w:tc>
          <w:tcPr>
            <w:tcW w:w="1921" w:type="dxa"/>
            <w:tcBorders>
              <w:right w:val="single" w:sz="8" w:space="0" w:color="auto"/>
            </w:tcBorders>
          </w:tcPr>
          <w:p w14:paraId="34964BA8" w14:textId="77777777" w:rsidR="00F7285D" w:rsidRPr="0029055B" w:rsidRDefault="00F7285D" w:rsidP="008709A1">
            <w:pPr>
              <w:rPr>
                <w:szCs w:val="21"/>
              </w:rPr>
            </w:pPr>
            <w:r w:rsidRPr="0029055B">
              <w:rPr>
                <w:szCs w:val="21"/>
              </w:rPr>
              <w:t>Fs, Fmont, Fr, Fmar</w:t>
            </w:r>
          </w:p>
        </w:tc>
      </w:tr>
      <w:tr w:rsidR="00F7285D" w:rsidRPr="0029055B" w14:paraId="21C894A2" w14:textId="77777777" w:rsidTr="008709A1">
        <w:trPr>
          <w:trHeight w:val="315"/>
          <w:jc w:val="center"/>
        </w:trPr>
        <w:tc>
          <w:tcPr>
            <w:tcW w:w="500" w:type="dxa"/>
            <w:tcBorders>
              <w:left w:val="single" w:sz="8" w:space="0" w:color="auto"/>
            </w:tcBorders>
            <w:noWrap/>
            <w:vAlign w:val="bottom"/>
          </w:tcPr>
          <w:p w14:paraId="4EE988B6" w14:textId="77777777" w:rsidR="00F7285D" w:rsidRPr="0029055B" w:rsidRDefault="00F7285D" w:rsidP="008709A1">
            <w:pPr>
              <w:rPr>
                <w:szCs w:val="21"/>
              </w:rPr>
            </w:pPr>
            <w:r w:rsidRPr="0029055B">
              <w:rPr>
                <w:szCs w:val="21"/>
              </w:rPr>
              <w:t>86</w:t>
            </w:r>
          </w:p>
        </w:tc>
        <w:tc>
          <w:tcPr>
            <w:tcW w:w="2980" w:type="dxa"/>
            <w:vAlign w:val="bottom"/>
          </w:tcPr>
          <w:p w14:paraId="702E98D0" w14:textId="77777777" w:rsidR="00F7285D" w:rsidRPr="0029055B" w:rsidRDefault="00F7285D" w:rsidP="008709A1">
            <w:pPr>
              <w:rPr>
                <w:szCs w:val="21"/>
              </w:rPr>
            </w:pPr>
            <w:r w:rsidRPr="0029055B">
              <w:rPr>
                <w:szCs w:val="21"/>
              </w:rPr>
              <w:t>Arecaceae</w:t>
            </w:r>
          </w:p>
        </w:tc>
        <w:tc>
          <w:tcPr>
            <w:tcW w:w="3122" w:type="dxa"/>
            <w:noWrap/>
            <w:vAlign w:val="bottom"/>
          </w:tcPr>
          <w:p w14:paraId="46A95694" w14:textId="77777777" w:rsidR="00F7285D" w:rsidRPr="0029055B" w:rsidRDefault="00F7285D" w:rsidP="008709A1">
            <w:pPr>
              <w:rPr>
                <w:szCs w:val="21"/>
              </w:rPr>
            </w:pPr>
            <w:r w:rsidRPr="0029055B">
              <w:rPr>
                <w:szCs w:val="21"/>
              </w:rPr>
              <w:t>Phoenix reclinita (a, A)</w:t>
            </w:r>
          </w:p>
        </w:tc>
        <w:tc>
          <w:tcPr>
            <w:tcW w:w="1559" w:type="dxa"/>
            <w:noWrap/>
            <w:vAlign w:val="bottom"/>
          </w:tcPr>
          <w:p w14:paraId="696B3EB6" w14:textId="77777777" w:rsidR="00F7285D" w:rsidRPr="0029055B" w:rsidRDefault="00F7285D" w:rsidP="008709A1">
            <w:pPr>
              <w:rPr>
                <w:szCs w:val="21"/>
              </w:rPr>
            </w:pPr>
          </w:p>
        </w:tc>
        <w:tc>
          <w:tcPr>
            <w:tcW w:w="1921" w:type="dxa"/>
            <w:tcBorders>
              <w:right w:val="single" w:sz="8" w:space="0" w:color="auto"/>
            </w:tcBorders>
          </w:tcPr>
          <w:p w14:paraId="5251A8E1" w14:textId="77777777" w:rsidR="00F7285D" w:rsidRPr="0029055B" w:rsidRDefault="00F7285D" w:rsidP="008709A1">
            <w:pPr>
              <w:rPr>
                <w:szCs w:val="21"/>
              </w:rPr>
            </w:pPr>
            <w:r w:rsidRPr="0029055B">
              <w:rPr>
                <w:szCs w:val="21"/>
              </w:rPr>
              <w:t>Fr, Fmar</w:t>
            </w:r>
          </w:p>
        </w:tc>
      </w:tr>
      <w:tr w:rsidR="00F7285D" w:rsidRPr="0029055B" w14:paraId="757489B7" w14:textId="77777777" w:rsidTr="008709A1">
        <w:trPr>
          <w:trHeight w:val="315"/>
          <w:jc w:val="center"/>
        </w:trPr>
        <w:tc>
          <w:tcPr>
            <w:tcW w:w="500" w:type="dxa"/>
            <w:tcBorders>
              <w:left w:val="single" w:sz="8" w:space="0" w:color="auto"/>
            </w:tcBorders>
            <w:noWrap/>
            <w:vAlign w:val="bottom"/>
          </w:tcPr>
          <w:p w14:paraId="26FADCFA" w14:textId="77777777" w:rsidR="00F7285D" w:rsidRPr="0029055B" w:rsidRDefault="00F7285D" w:rsidP="008709A1">
            <w:pPr>
              <w:rPr>
                <w:szCs w:val="21"/>
              </w:rPr>
            </w:pPr>
            <w:r w:rsidRPr="0029055B">
              <w:rPr>
                <w:szCs w:val="21"/>
              </w:rPr>
              <w:t>87</w:t>
            </w:r>
          </w:p>
        </w:tc>
        <w:tc>
          <w:tcPr>
            <w:tcW w:w="2980" w:type="dxa"/>
            <w:vAlign w:val="bottom"/>
          </w:tcPr>
          <w:p w14:paraId="00FC194C" w14:textId="77777777" w:rsidR="00F7285D" w:rsidRPr="0029055B" w:rsidRDefault="00F7285D" w:rsidP="008709A1">
            <w:pPr>
              <w:rPr>
                <w:szCs w:val="21"/>
              </w:rPr>
            </w:pPr>
            <w:r w:rsidRPr="0029055B">
              <w:rPr>
                <w:szCs w:val="21"/>
              </w:rPr>
              <w:t>Podocarpaceae</w:t>
            </w:r>
          </w:p>
        </w:tc>
        <w:tc>
          <w:tcPr>
            <w:tcW w:w="3122" w:type="dxa"/>
            <w:noWrap/>
            <w:vAlign w:val="bottom"/>
          </w:tcPr>
          <w:p w14:paraId="62632E1B" w14:textId="77777777" w:rsidR="00F7285D" w:rsidRPr="0029055B" w:rsidRDefault="00F7285D" w:rsidP="008709A1">
            <w:pPr>
              <w:rPr>
                <w:szCs w:val="21"/>
              </w:rPr>
            </w:pPr>
            <w:r w:rsidRPr="0029055B">
              <w:rPr>
                <w:szCs w:val="21"/>
              </w:rPr>
              <w:t>Podocarpus latifolius (a)</w:t>
            </w:r>
          </w:p>
        </w:tc>
        <w:tc>
          <w:tcPr>
            <w:tcW w:w="1559" w:type="dxa"/>
            <w:noWrap/>
            <w:vAlign w:val="bottom"/>
          </w:tcPr>
          <w:p w14:paraId="11ECB62D" w14:textId="77777777" w:rsidR="00F7285D" w:rsidRPr="0029055B" w:rsidRDefault="00F7285D" w:rsidP="008709A1">
            <w:pPr>
              <w:rPr>
                <w:szCs w:val="21"/>
              </w:rPr>
            </w:pPr>
          </w:p>
        </w:tc>
        <w:tc>
          <w:tcPr>
            <w:tcW w:w="1921" w:type="dxa"/>
            <w:tcBorders>
              <w:right w:val="single" w:sz="8" w:space="0" w:color="auto"/>
            </w:tcBorders>
          </w:tcPr>
          <w:p w14:paraId="41159EA9" w14:textId="77777777" w:rsidR="00F7285D" w:rsidRPr="0029055B" w:rsidRDefault="00F7285D" w:rsidP="008709A1">
            <w:pPr>
              <w:rPr>
                <w:szCs w:val="21"/>
              </w:rPr>
            </w:pPr>
            <w:r w:rsidRPr="0029055B">
              <w:rPr>
                <w:szCs w:val="21"/>
              </w:rPr>
              <w:t>Fm</w:t>
            </w:r>
          </w:p>
        </w:tc>
      </w:tr>
      <w:tr w:rsidR="00F7285D" w:rsidRPr="0029055B" w14:paraId="7DE480A3" w14:textId="77777777" w:rsidTr="008709A1">
        <w:trPr>
          <w:trHeight w:val="315"/>
          <w:jc w:val="center"/>
        </w:trPr>
        <w:tc>
          <w:tcPr>
            <w:tcW w:w="500" w:type="dxa"/>
            <w:tcBorders>
              <w:left w:val="single" w:sz="8" w:space="0" w:color="auto"/>
            </w:tcBorders>
            <w:noWrap/>
            <w:vAlign w:val="bottom"/>
          </w:tcPr>
          <w:p w14:paraId="12D426E5" w14:textId="77777777" w:rsidR="00F7285D" w:rsidRPr="0029055B" w:rsidRDefault="00F7285D" w:rsidP="008709A1">
            <w:pPr>
              <w:rPr>
                <w:szCs w:val="21"/>
              </w:rPr>
            </w:pPr>
            <w:r w:rsidRPr="0029055B">
              <w:rPr>
                <w:szCs w:val="21"/>
              </w:rPr>
              <w:t>88</w:t>
            </w:r>
          </w:p>
        </w:tc>
        <w:tc>
          <w:tcPr>
            <w:tcW w:w="2980" w:type="dxa"/>
            <w:vAlign w:val="bottom"/>
          </w:tcPr>
          <w:p w14:paraId="6FE4EAF1" w14:textId="77777777" w:rsidR="00F7285D" w:rsidRPr="0029055B" w:rsidRDefault="00F7285D" w:rsidP="008709A1">
            <w:pPr>
              <w:rPr>
                <w:szCs w:val="21"/>
              </w:rPr>
            </w:pPr>
            <w:r w:rsidRPr="0029055B">
              <w:rPr>
                <w:szCs w:val="21"/>
              </w:rPr>
              <w:t>Podocarpaceae/Pinophyta</w:t>
            </w:r>
          </w:p>
        </w:tc>
        <w:tc>
          <w:tcPr>
            <w:tcW w:w="3122" w:type="dxa"/>
            <w:noWrap/>
            <w:vAlign w:val="bottom"/>
          </w:tcPr>
          <w:p w14:paraId="3C1611E4" w14:textId="77777777" w:rsidR="00F7285D" w:rsidRPr="0029055B" w:rsidRDefault="00F7285D" w:rsidP="008709A1">
            <w:pPr>
              <w:rPr>
                <w:szCs w:val="21"/>
              </w:rPr>
            </w:pPr>
            <w:r w:rsidRPr="0029055B">
              <w:rPr>
                <w:szCs w:val="21"/>
              </w:rPr>
              <w:t>Podocarpus milanjanus (A)</w:t>
            </w:r>
          </w:p>
        </w:tc>
        <w:tc>
          <w:tcPr>
            <w:tcW w:w="1559" w:type="dxa"/>
            <w:noWrap/>
            <w:vAlign w:val="bottom"/>
          </w:tcPr>
          <w:p w14:paraId="35B938DC" w14:textId="77777777" w:rsidR="00F7285D" w:rsidRPr="0029055B" w:rsidRDefault="00F7285D" w:rsidP="008709A1">
            <w:pPr>
              <w:rPr>
                <w:szCs w:val="21"/>
              </w:rPr>
            </w:pPr>
          </w:p>
        </w:tc>
        <w:tc>
          <w:tcPr>
            <w:tcW w:w="1921" w:type="dxa"/>
            <w:tcBorders>
              <w:right w:val="single" w:sz="8" w:space="0" w:color="auto"/>
            </w:tcBorders>
          </w:tcPr>
          <w:p w14:paraId="1DC73261" w14:textId="77777777" w:rsidR="00F7285D" w:rsidRPr="0029055B" w:rsidRDefault="00F7285D" w:rsidP="008709A1">
            <w:pPr>
              <w:rPr>
                <w:szCs w:val="21"/>
              </w:rPr>
            </w:pPr>
            <w:r w:rsidRPr="0029055B">
              <w:rPr>
                <w:szCs w:val="21"/>
              </w:rPr>
              <w:t>Fm, Fsmont</w:t>
            </w:r>
          </w:p>
        </w:tc>
      </w:tr>
      <w:tr w:rsidR="00F7285D" w:rsidRPr="0029055B" w14:paraId="15B7556F" w14:textId="77777777" w:rsidTr="008709A1">
        <w:trPr>
          <w:trHeight w:val="315"/>
          <w:jc w:val="center"/>
        </w:trPr>
        <w:tc>
          <w:tcPr>
            <w:tcW w:w="500" w:type="dxa"/>
            <w:tcBorders>
              <w:left w:val="single" w:sz="8" w:space="0" w:color="auto"/>
            </w:tcBorders>
            <w:noWrap/>
            <w:vAlign w:val="bottom"/>
          </w:tcPr>
          <w:p w14:paraId="4227DF68" w14:textId="77777777" w:rsidR="00F7285D" w:rsidRPr="0029055B" w:rsidRDefault="00F7285D" w:rsidP="008709A1">
            <w:pPr>
              <w:rPr>
                <w:szCs w:val="21"/>
              </w:rPr>
            </w:pPr>
            <w:r w:rsidRPr="0029055B">
              <w:rPr>
                <w:szCs w:val="21"/>
              </w:rPr>
              <w:t>89</w:t>
            </w:r>
          </w:p>
        </w:tc>
        <w:tc>
          <w:tcPr>
            <w:tcW w:w="2980" w:type="dxa"/>
            <w:vAlign w:val="bottom"/>
          </w:tcPr>
          <w:p w14:paraId="0EB26BBB" w14:textId="77777777" w:rsidR="00F7285D" w:rsidRPr="0029055B" w:rsidRDefault="00F7285D" w:rsidP="008709A1">
            <w:pPr>
              <w:rPr>
                <w:szCs w:val="21"/>
              </w:rPr>
            </w:pPr>
            <w:r w:rsidRPr="0029055B">
              <w:rPr>
                <w:szCs w:val="21"/>
              </w:rPr>
              <w:t>Poaceae</w:t>
            </w:r>
          </w:p>
        </w:tc>
        <w:tc>
          <w:tcPr>
            <w:tcW w:w="3122" w:type="dxa"/>
            <w:noWrap/>
            <w:vAlign w:val="bottom"/>
          </w:tcPr>
          <w:p w14:paraId="6DDB9B54" w14:textId="77777777" w:rsidR="00F7285D" w:rsidRPr="0029055B" w:rsidRDefault="00F7285D" w:rsidP="008709A1">
            <w:pPr>
              <w:rPr>
                <w:szCs w:val="21"/>
              </w:rPr>
            </w:pPr>
            <w:r w:rsidRPr="0029055B">
              <w:rPr>
                <w:szCs w:val="21"/>
              </w:rPr>
              <w:t>Pennisetum polystachyion</w:t>
            </w:r>
          </w:p>
        </w:tc>
        <w:tc>
          <w:tcPr>
            <w:tcW w:w="1559" w:type="dxa"/>
            <w:noWrap/>
            <w:vAlign w:val="bottom"/>
          </w:tcPr>
          <w:p w14:paraId="1CE2E0C6" w14:textId="77777777" w:rsidR="00F7285D" w:rsidRPr="0029055B" w:rsidRDefault="00F7285D" w:rsidP="008709A1">
            <w:pPr>
              <w:rPr>
                <w:szCs w:val="21"/>
              </w:rPr>
            </w:pPr>
          </w:p>
        </w:tc>
        <w:tc>
          <w:tcPr>
            <w:tcW w:w="1921" w:type="dxa"/>
            <w:tcBorders>
              <w:right w:val="single" w:sz="8" w:space="0" w:color="auto"/>
            </w:tcBorders>
          </w:tcPr>
          <w:p w14:paraId="46D5DE20" w14:textId="77777777" w:rsidR="00F7285D" w:rsidRPr="0029055B" w:rsidRDefault="00F7285D" w:rsidP="008709A1">
            <w:pPr>
              <w:rPr>
                <w:szCs w:val="21"/>
              </w:rPr>
            </w:pPr>
            <w:r w:rsidRPr="0029055B">
              <w:rPr>
                <w:szCs w:val="21"/>
              </w:rPr>
              <w:t>FHb</w:t>
            </w:r>
          </w:p>
        </w:tc>
      </w:tr>
      <w:tr w:rsidR="00F7285D" w:rsidRPr="0029055B" w14:paraId="32A4EB69" w14:textId="77777777" w:rsidTr="008709A1">
        <w:trPr>
          <w:trHeight w:val="315"/>
          <w:jc w:val="center"/>
        </w:trPr>
        <w:tc>
          <w:tcPr>
            <w:tcW w:w="500" w:type="dxa"/>
            <w:tcBorders>
              <w:left w:val="single" w:sz="8" w:space="0" w:color="auto"/>
            </w:tcBorders>
            <w:noWrap/>
            <w:vAlign w:val="bottom"/>
          </w:tcPr>
          <w:p w14:paraId="355534B4" w14:textId="77777777" w:rsidR="00F7285D" w:rsidRPr="0029055B" w:rsidRDefault="00F7285D" w:rsidP="008709A1">
            <w:pPr>
              <w:rPr>
                <w:szCs w:val="21"/>
              </w:rPr>
            </w:pPr>
            <w:r w:rsidRPr="0029055B">
              <w:rPr>
                <w:szCs w:val="21"/>
              </w:rPr>
              <w:t>90</w:t>
            </w:r>
          </w:p>
        </w:tc>
        <w:tc>
          <w:tcPr>
            <w:tcW w:w="2980" w:type="dxa"/>
            <w:vAlign w:val="bottom"/>
          </w:tcPr>
          <w:p w14:paraId="20D3ABC5" w14:textId="77777777" w:rsidR="00F7285D" w:rsidRPr="0029055B" w:rsidRDefault="00F7285D" w:rsidP="008709A1">
            <w:pPr>
              <w:rPr>
                <w:szCs w:val="21"/>
              </w:rPr>
            </w:pPr>
            <w:r w:rsidRPr="0029055B">
              <w:rPr>
                <w:szCs w:val="21"/>
              </w:rPr>
              <w:t>Poaceae</w:t>
            </w:r>
          </w:p>
        </w:tc>
        <w:tc>
          <w:tcPr>
            <w:tcW w:w="3122" w:type="dxa"/>
            <w:noWrap/>
            <w:vAlign w:val="bottom"/>
          </w:tcPr>
          <w:p w14:paraId="737157E4" w14:textId="77777777" w:rsidR="00F7285D" w:rsidRPr="0029055B" w:rsidRDefault="00F7285D" w:rsidP="008709A1">
            <w:pPr>
              <w:rPr>
                <w:szCs w:val="21"/>
              </w:rPr>
            </w:pPr>
            <w:r w:rsidRPr="0029055B">
              <w:rPr>
                <w:szCs w:val="21"/>
              </w:rPr>
              <w:t>Pennisetum purpureum</w:t>
            </w:r>
          </w:p>
        </w:tc>
        <w:tc>
          <w:tcPr>
            <w:tcW w:w="1559" w:type="dxa"/>
            <w:noWrap/>
            <w:vAlign w:val="bottom"/>
          </w:tcPr>
          <w:p w14:paraId="5E45AFED" w14:textId="77777777" w:rsidR="00F7285D" w:rsidRPr="0029055B" w:rsidRDefault="00F7285D" w:rsidP="008709A1">
            <w:pPr>
              <w:rPr>
                <w:szCs w:val="21"/>
              </w:rPr>
            </w:pPr>
          </w:p>
        </w:tc>
        <w:tc>
          <w:tcPr>
            <w:tcW w:w="1921" w:type="dxa"/>
            <w:tcBorders>
              <w:right w:val="single" w:sz="8" w:space="0" w:color="auto"/>
            </w:tcBorders>
          </w:tcPr>
          <w:p w14:paraId="327AF8BB" w14:textId="77777777" w:rsidR="00F7285D" w:rsidRPr="0029055B" w:rsidRDefault="00F7285D" w:rsidP="008709A1">
            <w:pPr>
              <w:rPr>
                <w:szCs w:val="21"/>
              </w:rPr>
            </w:pPr>
            <w:r w:rsidRPr="0029055B">
              <w:rPr>
                <w:szCs w:val="21"/>
              </w:rPr>
              <w:t>FH, Fmar</w:t>
            </w:r>
          </w:p>
        </w:tc>
      </w:tr>
      <w:tr w:rsidR="00F7285D" w:rsidRPr="0029055B" w14:paraId="54BE412C" w14:textId="77777777" w:rsidTr="008709A1">
        <w:trPr>
          <w:trHeight w:val="315"/>
          <w:jc w:val="center"/>
        </w:trPr>
        <w:tc>
          <w:tcPr>
            <w:tcW w:w="500" w:type="dxa"/>
            <w:tcBorders>
              <w:left w:val="single" w:sz="8" w:space="0" w:color="auto"/>
            </w:tcBorders>
            <w:noWrap/>
            <w:vAlign w:val="bottom"/>
          </w:tcPr>
          <w:p w14:paraId="7BE7EDF0" w14:textId="77777777" w:rsidR="00F7285D" w:rsidRPr="0029055B" w:rsidRDefault="00F7285D" w:rsidP="008709A1">
            <w:pPr>
              <w:rPr>
                <w:szCs w:val="21"/>
              </w:rPr>
            </w:pPr>
            <w:r w:rsidRPr="0029055B">
              <w:rPr>
                <w:szCs w:val="21"/>
              </w:rPr>
              <w:t>91</w:t>
            </w:r>
          </w:p>
        </w:tc>
        <w:tc>
          <w:tcPr>
            <w:tcW w:w="2980" w:type="dxa"/>
            <w:vAlign w:val="bottom"/>
          </w:tcPr>
          <w:p w14:paraId="0BA00561" w14:textId="77777777" w:rsidR="00F7285D" w:rsidRPr="0029055B" w:rsidRDefault="00F7285D" w:rsidP="008709A1">
            <w:pPr>
              <w:rPr>
                <w:szCs w:val="21"/>
              </w:rPr>
            </w:pPr>
            <w:r w:rsidRPr="0029055B">
              <w:rPr>
                <w:szCs w:val="21"/>
              </w:rPr>
              <w:t>Sapindaceae</w:t>
            </w:r>
          </w:p>
        </w:tc>
        <w:tc>
          <w:tcPr>
            <w:tcW w:w="3122" w:type="dxa"/>
            <w:noWrap/>
            <w:vAlign w:val="bottom"/>
          </w:tcPr>
          <w:p w14:paraId="14FB1104" w14:textId="77777777" w:rsidR="00F7285D" w:rsidRPr="0029055B" w:rsidRDefault="00F7285D" w:rsidP="008709A1">
            <w:pPr>
              <w:rPr>
                <w:szCs w:val="21"/>
              </w:rPr>
            </w:pPr>
            <w:r w:rsidRPr="0029055B">
              <w:rPr>
                <w:szCs w:val="21"/>
              </w:rPr>
              <w:t>Paullinia pinnata</w:t>
            </w:r>
          </w:p>
        </w:tc>
        <w:tc>
          <w:tcPr>
            <w:tcW w:w="1559" w:type="dxa"/>
            <w:noWrap/>
            <w:vAlign w:val="bottom"/>
          </w:tcPr>
          <w:p w14:paraId="7EC87175" w14:textId="77777777" w:rsidR="00F7285D" w:rsidRPr="0029055B" w:rsidRDefault="00F7285D" w:rsidP="008709A1">
            <w:pPr>
              <w:rPr>
                <w:szCs w:val="21"/>
              </w:rPr>
            </w:pPr>
          </w:p>
        </w:tc>
        <w:tc>
          <w:tcPr>
            <w:tcW w:w="1921" w:type="dxa"/>
            <w:tcBorders>
              <w:right w:val="single" w:sz="8" w:space="0" w:color="auto"/>
            </w:tcBorders>
          </w:tcPr>
          <w:p w14:paraId="6AB59FBF" w14:textId="77777777" w:rsidR="00F7285D" w:rsidRPr="0029055B" w:rsidRDefault="00F7285D" w:rsidP="008709A1">
            <w:pPr>
              <w:rPr>
                <w:szCs w:val="21"/>
              </w:rPr>
            </w:pPr>
            <w:r w:rsidRPr="0029055B">
              <w:rPr>
                <w:szCs w:val="21"/>
              </w:rPr>
              <w:t>Fs, Fm</w:t>
            </w:r>
          </w:p>
        </w:tc>
      </w:tr>
      <w:tr w:rsidR="00F7285D" w:rsidRPr="0029055B" w14:paraId="7A9CD38E" w14:textId="77777777" w:rsidTr="008709A1">
        <w:trPr>
          <w:trHeight w:val="315"/>
          <w:jc w:val="center"/>
        </w:trPr>
        <w:tc>
          <w:tcPr>
            <w:tcW w:w="500" w:type="dxa"/>
            <w:tcBorders>
              <w:left w:val="single" w:sz="8" w:space="0" w:color="auto"/>
            </w:tcBorders>
            <w:noWrap/>
            <w:vAlign w:val="bottom"/>
          </w:tcPr>
          <w:p w14:paraId="21D70635" w14:textId="77777777" w:rsidR="00F7285D" w:rsidRPr="0029055B" w:rsidRDefault="00F7285D" w:rsidP="008709A1">
            <w:pPr>
              <w:rPr>
                <w:szCs w:val="21"/>
              </w:rPr>
            </w:pPr>
            <w:r w:rsidRPr="0029055B">
              <w:rPr>
                <w:szCs w:val="21"/>
              </w:rPr>
              <w:t>92</w:t>
            </w:r>
          </w:p>
          <w:p w14:paraId="5115F532" w14:textId="77777777" w:rsidR="00F7285D" w:rsidRPr="0029055B" w:rsidRDefault="00F7285D" w:rsidP="008709A1">
            <w:pPr>
              <w:rPr>
                <w:szCs w:val="21"/>
              </w:rPr>
            </w:pPr>
          </w:p>
        </w:tc>
        <w:tc>
          <w:tcPr>
            <w:tcW w:w="2980" w:type="dxa"/>
            <w:vAlign w:val="bottom"/>
          </w:tcPr>
          <w:p w14:paraId="526C661D" w14:textId="77777777" w:rsidR="00F7285D" w:rsidRPr="0029055B" w:rsidRDefault="00F7285D" w:rsidP="008709A1">
            <w:pPr>
              <w:rPr>
                <w:szCs w:val="21"/>
              </w:rPr>
            </w:pPr>
            <w:r w:rsidRPr="0029055B">
              <w:rPr>
                <w:szCs w:val="21"/>
              </w:rPr>
              <w:t>Rosaceae</w:t>
            </w:r>
          </w:p>
          <w:p w14:paraId="23965668" w14:textId="77777777" w:rsidR="00F7285D" w:rsidRPr="0029055B" w:rsidRDefault="00F7285D" w:rsidP="008709A1">
            <w:pPr>
              <w:rPr>
                <w:szCs w:val="21"/>
              </w:rPr>
            </w:pPr>
          </w:p>
        </w:tc>
        <w:tc>
          <w:tcPr>
            <w:tcW w:w="3122" w:type="dxa"/>
            <w:noWrap/>
            <w:vAlign w:val="bottom"/>
          </w:tcPr>
          <w:p w14:paraId="597D8E86" w14:textId="77777777" w:rsidR="00F7285D" w:rsidRPr="0029055B" w:rsidRDefault="00F7285D" w:rsidP="008709A1">
            <w:pPr>
              <w:rPr>
                <w:szCs w:val="21"/>
                <w:lang w:val="en-US"/>
              </w:rPr>
            </w:pPr>
            <w:r w:rsidRPr="0029055B">
              <w:rPr>
                <w:szCs w:val="21"/>
                <w:lang w:val="en-US"/>
              </w:rPr>
              <w:t>Prinus africana (Syn. Pygeum africanum) (a)</w:t>
            </w:r>
          </w:p>
        </w:tc>
        <w:tc>
          <w:tcPr>
            <w:tcW w:w="1559" w:type="dxa"/>
            <w:noWrap/>
            <w:vAlign w:val="bottom"/>
          </w:tcPr>
          <w:p w14:paraId="40D1941B" w14:textId="77777777" w:rsidR="00F7285D" w:rsidRPr="0029055B" w:rsidRDefault="00F7285D" w:rsidP="008709A1">
            <w:pPr>
              <w:rPr>
                <w:szCs w:val="21"/>
              </w:rPr>
            </w:pPr>
            <w:r w:rsidRPr="0029055B">
              <w:rPr>
                <w:szCs w:val="21"/>
              </w:rPr>
              <w:t xml:space="preserve">Ndunda </w:t>
            </w:r>
          </w:p>
        </w:tc>
        <w:tc>
          <w:tcPr>
            <w:tcW w:w="1921" w:type="dxa"/>
            <w:tcBorders>
              <w:right w:val="single" w:sz="8" w:space="0" w:color="auto"/>
            </w:tcBorders>
          </w:tcPr>
          <w:p w14:paraId="432B9917" w14:textId="77777777" w:rsidR="00F7285D" w:rsidRPr="0029055B" w:rsidRDefault="00F7285D" w:rsidP="008709A1">
            <w:pPr>
              <w:rPr>
                <w:szCs w:val="21"/>
              </w:rPr>
            </w:pPr>
            <w:r w:rsidRPr="0029055B">
              <w:rPr>
                <w:szCs w:val="21"/>
              </w:rPr>
              <w:t>Fs</w:t>
            </w:r>
          </w:p>
        </w:tc>
      </w:tr>
      <w:tr w:rsidR="00F7285D" w:rsidRPr="0029055B" w14:paraId="75A35A38" w14:textId="77777777" w:rsidTr="008709A1">
        <w:trPr>
          <w:trHeight w:val="315"/>
          <w:jc w:val="center"/>
        </w:trPr>
        <w:tc>
          <w:tcPr>
            <w:tcW w:w="500" w:type="dxa"/>
            <w:tcBorders>
              <w:left w:val="single" w:sz="8" w:space="0" w:color="auto"/>
            </w:tcBorders>
            <w:noWrap/>
            <w:vAlign w:val="bottom"/>
          </w:tcPr>
          <w:p w14:paraId="6D6CE45F" w14:textId="77777777" w:rsidR="00F7285D" w:rsidRPr="0029055B" w:rsidRDefault="00F7285D" w:rsidP="008709A1">
            <w:pPr>
              <w:rPr>
                <w:szCs w:val="21"/>
              </w:rPr>
            </w:pPr>
            <w:r w:rsidRPr="0029055B">
              <w:rPr>
                <w:szCs w:val="21"/>
              </w:rPr>
              <w:t>93</w:t>
            </w:r>
          </w:p>
        </w:tc>
        <w:tc>
          <w:tcPr>
            <w:tcW w:w="2980" w:type="dxa"/>
            <w:vAlign w:val="bottom"/>
          </w:tcPr>
          <w:p w14:paraId="0581FF09" w14:textId="77777777" w:rsidR="00F7285D" w:rsidRPr="0029055B" w:rsidRDefault="00F7285D" w:rsidP="008709A1">
            <w:pPr>
              <w:rPr>
                <w:szCs w:val="21"/>
              </w:rPr>
            </w:pPr>
            <w:r w:rsidRPr="0029055B">
              <w:rPr>
                <w:szCs w:val="21"/>
              </w:rPr>
              <w:t>Anacardiaceae</w:t>
            </w:r>
          </w:p>
        </w:tc>
        <w:tc>
          <w:tcPr>
            <w:tcW w:w="3122" w:type="dxa"/>
            <w:noWrap/>
            <w:vAlign w:val="bottom"/>
          </w:tcPr>
          <w:p w14:paraId="6721ACBF" w14:textId="77777777" w:rsidR="00F7285D" w:rsidRPr="0029055B" w:rsidRDefault="00F7285D" w:rsidP="008709A1">
            <w:pPr>
              <w:rPr>
                <w:szCs w:val="21"/>
              </w:rPr>
            </w:pPr>
            <w:r w:rsidRPr="0029055B">
              <w:rPr>
                <w:szCs w:val="21"/>
              </w:rPr>
              <w:t>Pseudospondias microcarpa</w:t>
            </w:r>
          </w:p>
        </w:tc>
        <w:tc>
          <w:tcPr>
            <w:tcW w:w="1559" w:type="dxa"/>
            <w:noWrap/>
            <w:vAlign w:val="bottom"/>
          </w:tcPr>
          <w:p w14:paraId="11ED093C" w14:textId="77777777" w:rsidR="00F7285D" w:rsidRPr="0029055B" w:rsidRDefault="00F7285D" w:rsidP="008709A1">
            <w:pPr>
              <w:rPr>
                <w:szCs w:val="21"/>
              </w:rPr>
            </w:pPr>
          </w:p>
        </w:tc>
        <w:tc>
          <w:tcPr>
            <w:tcW w:w="1921" w:type="dxa"/>
            <w:tcBorders>
              <w:right w:val="single" w:sz="8" w:space="0" w:color="auto"/>
            </w:tcBorders>
          </w:tcPr>
          <w:p w14:paraId="4D880136" w14:textId="77777777" w:rsidR="00F7285D" w:rsidRPr="0029055B" w:rsidRDefault="00F7285D" w:rsidP="008709A1">
            <w:pPr>
              <w:rPr>
                <w:szCs w:val="21"/>
              </w:rPr>
            </w:pPr>
            <w:r w:rsidRPr="0029055B">
              <w:rPr>
                <w:szCs w:val="21"/>
              </w:rPr>
              <w:t>Fr</w:t>
            </w:r>
          </w:p>
        </w:tc>
      </w:tr>
      <w:tr w:rsidR="00F7285D" w:rsidRPr="0029055B" w14:paraId="59A8714A" w14:textId="77777777" w:rsidTr="008709A1">
        <w:trPr>
          <w:trHeight w:val="315"/>
          <w:jc w:val="center"/>
        </w:trPr>
        <w:tc>
          <w:tcPr>
            <w:tcW w:w="500" w:type="dxa"/>
            <w:tcBorders>
              <w:left w:val="single" w:sz="8" w:space="0" w:color="auto"/>
            </w:tcBorders>
            <w:noWrap/>
            <w:vAlign w:val="bottom"/>
          </w:tcPr>
          <w:p w14:paraId="16C8FBE0" w14:textId="77777777" w:rsidR="00F7285D" w:rsidRPr="0029055B" w:rsidRDefault="00F7285D" w:rsidP="008709A1">
            <w:pPr>
              <w:rPr>
                <w:szCs w:val="21"/>
              </w:rPr>
            </w:pPr>
            <w:r w:rsidRPr="0029055B">
              <w:rPr>
                <w:szCs w:val="21"/>
              </w:rPr>
              <w:t>94</w:t>
            </w:r>
          </w:p>
        </w:tc>
        <w:tc>
          <w:tcPr>
            <w:tcW w:w="2980" w:type="dxa"/>
            <w:vAlign w:val="bottom"/>
          </w:tcPr>
          <w:p w14:paraId="377378A6" w14:textId="77777777" w:rsidR="00F7285D" w:rsidRPr="0029055B" w:rsidRDefault="00F7285D" w:rsidP="008709A1">
            <w:pPr>
              <w:rPr>
                <w:szCs w:val="21"/>
              </w:rPr>
            </w:pPr>
            <w:r w:rsidRPr="0029055B">
              <w:rPr>
                <w:szCs w:val="21"/>
              </w:rPr>
              <w:t>Dennstaedtiaceae</w:t>
            </w:r>
          </w:p>
        </w:tc>
        <w:tc>
          <w:tcPr>
            <w:tcW w:w="3122" w:type="dxa"/>
            <w:noWrap/>
            <w:vAlign w:val="bottom"/>
          </w:tcPr>
          <w:p w14:paraId="63E83B97" w14:textId="77777777" w:rsidR="00F7285D" w:rsidRPr="0029055B" w:rsidRDefault="00F7285D" w:rsidP="008709A1">
            <w:pPr>
              <w:rPr>
                <w:szCs w:val="21"/>
              </w:rPr>
            </w:pPr>
            <w:r w:rsidRPr="0029055B">
              <w:rPr>
                <w:szCs w:val="21"/>
              </w:rPr>
              <w:t>Pteridium aquilinum (H)</w:t>
            </w:r>
          </w:p>
        </w:tc>
        <w:tc>
          <w:tcPr>
            <w:tcW w:w="1559" w:type="dxa"/>
            <w:noWrap/>
            <w:vAlign w:val="bottom"/>
          </w:tcPr>
          <w:p w14:paraId="5F42EE0A" w14:textId="77777777" w:rsidR="00F7285D" w:rsidRPr="0029055B" w:rsidRDefault="00F7285D" w:rsidP="008709A1">
            <w:pPr>
              <w:rPr>
                <w:szCs w:val="21"/>
              </w:rPr>
            </w:pPr>
            <w:r w:rsidRPr="0029055B">
              <w:rPr>
                <w:szCs w:val="21"/>
              </w:rPr>
              <w:t>Hurushihe</w:t>
            </w:r>
          </w:p>
        </w:tc>
        <w:tc>
          <w:tcPr>
            <w:tcW w:w="1921" w:type="dxa"/>
            <w:tcBorders>
              <w:right w:val="single" w:sz="8" w:space="0" w:color="auto"/>
            </w:tcBorders>
          </w:tcPr>
          <w:p w14:paraId="25B2DBD6" w14:textId="77777777" w:rsidR="00F7285D" w:rsidRPr="0029055B" w:rsidRDefault="00F7285D" w:rsidP="008709A1">
            <w:pPr>
              <w:rPr>
                <w:szCs w:val="21"/>
              </w:rPr>
            </w:pPr>
            <w:r w:rsidRPr="0029055B">
              <w:rPr>
                <w:szCs w:val="21"/>
              </w:rPr>
              <w:t>Fs, Fh</w:t>
            </w:r>
          </w:p>
        </w:tc>
      </w:tr>
      <w:tr w:rsidR="00F7285D" w:rsidRPr="0029055B" w14:paraId="1E3BFDCC" w14:textId="77777777" w:rsidTr="008709A1">
        <w:trPr>
          <w:trHeight w:val="315"/>
          <w:jc w:val="center"/>
        </w:trPr>
        <w:tc>
          <w:tcPr>
            <w:tcW w:w="500" w:type="dxa"/>
            <w:tcBorders>
              <w:left w:val="single" w:sz="8" w:space="0" w:color="auto"/>
            </w:tcBorders>
            <w:noWrap/>
            <w:vAlign w:val="bottom"/>
          </w:tcPr>
          <w:p w14:paraId="2E0F07D7" w14:textId="77777777" w:rsidR="00F7285D" w:rsidRPr="0029055B" w:rsidRDefault="00F7285D" w:rsidP="008709A1">
            <w:pPr>
              <w:rPr>
                <w:szCs w:val="21"/>
              </w:rPr>
            </w:pPr>
            <w:r w:rsidRPr="0029055B">
              <w:rPr>
                <w:szCs w:val="21"/>
              </w:rPr>
              <w:t>95</w:t>
            </w:r>
          </w:p>
        </w:tc>
        <w:tc>
          <w:tcPr>
            <w:tcW w:w="2980" w:type="dxa"/>
            <w:vAlign w:val="bottom"/>
          </w:tcPr>
          <w:p w14:paraId="11AC826C" w14:textId="77777777" w:rsidR="00F7285D" w:rsidRPr="0029055B" w:rsidRDefault="00F7285D" w:rsidP="008709A1">
            <w:pPr>
              <w:rPr>
                <w:szCs w:val="21"/>
              </w:rPr>
            </w:pPr>
            <w:r w:rsidRPr="0029055B">
              <w:rPr>
                <w:szCs w:val="21"/>
              </w:rPr>
              <w:t>Malvaceae/Sterculioideae</w:t>
            </w:r>
          </w:p>
        </w:tc>
        <w:tc>
          <w:tcPr>
            <w:tcW w:w="3122" w:type="dxa"/>
            <w:noWrap/>
            <w:vAlign w:val="bottom"/>
          </w:tcPr>
          <w:p w14:paraId="22142F5F" w14:textId="77777777" w:rsidR="00F7285D" w:rsidRPr="0029055B" w:rsidRDefault="00F7285D" w:rsidP="008709A1">
            <w:pPr>
              <w:rPr>
                <w:szCs w:val="21"/>
              </w:rPr>
            </w:pPr>
            <w:r w:rsidRPr="0029055B">
              <w:rPr>
                <w:szCs w:val="21"/>
              </w:rPr>
              <w:t>Pterygota macrocarpa (A)</w:t>
            </w:r>
          </w:p>
        </w:tc>
        <w:tc>
          <w:tcPr>
            <w:tcW w:w="1559" w:type="dxa"/>
            <w:noWrap/>
            <w:vAlign w:val="bottom"/>
          </w:tcPr>
          <w:p w14:paraId="7B6A0395" w14:textId="77777777" w:rsidR="00F7285D" w:rsidRPr="0029055B" w:rsidRDefault="00F7285D" w:rsidP="008709A1">
            <w:pPr>
              <w:rPr>
                <w:szCs w:val="21"/>
              </w:rPr>
            </w:pPr>
          </w:p>
        </w:tc>
        <w:tc>
          <w:tcPr>
            <w:tcW w:w="1921" w:type="dxa"/>
            <w:tcBorders>
              <w:right w:val="single" w:sz="8" w:space="0" w:color="auto"/>
            </w:tcBorders>
          </w:tcPr>
          <w:p w14:paraId="2D18748D" w14:textId="77777777" w:rsidR="00F7285D" w:rsidRPr="0029055B" w:rsidRDefault="00F7285D" w:rsidP="008709A1">
            <w:pPr>
              <w:rPr>
                <w:szCs w:val="21"/>
              </w:rPr>
            </w:pPr>
            <w:r w:rsidRPr="0029055B">
              <w:rPr>
                <w:szCs w:val="21"/>
              </w:rPr>
              <w:t>Fm</w:t>
            </w:r>
          </w:p>
        </w:tc>
      </w:tr>
      <w:tr w:rsidR="00F7285D" w:rsidRPr="0029055B" w14:paraId="678E1C81" w14:textId="77777777" w:rsidTr="008709A1">
        <w:trPr>
          <w:trHeight w:val="315"/>
          <w:jc w:val="center"/>
        </w:trPr>
        <w:tc>
          <w:tcPr>
            <w:tcW w:w="500" w:type="dxa"/>
            <w:tcBorders>
              <w:left w:val="single" w:sz="8" w:space="0" w:color="auto"/>
            </w:tcBorders>
            <w:noWrap/>
            <w:vAlign w:val="bottom"/>
          </w:tcPr>
          <w:p w14:paraId="7E8433E7" w14:textId="77777777" w:rsidR="00F7285D" w:rsidRPr="0029055B" w:rsidRDefault="00F7285D" w:rsidP="008709A1">
            <w:pPr>
              <w:rPr>
                <w:szCs w:val="21"/>
              </w:rPr>
            </w:pPr>
            <w:r w:rsidRPr="0029055B">
              <w:rPr>
                <w:szCs w:val="21"/>
              </w:rPr>
              <w:t>96</w:t>
            </w:r>
          </w:p>
        </w:tc>
        <w:tc>
          <w:tcPr>
            <w:tcW w:w="2980" w:type="dxa"/>
            <w:vAlign w:val="bottom"/>
          </w:tcPr>
          <w:p w14:paraId="30C818FC" w14:textId="77777777" w:rsidR="00F7285D" w:rsidRPr="0029055B" w:rsidRDefault="00F7285D" w:rsidP="008709A1">
            <w:pPr>
              <w:rPr>
                <w:szCs w:val="21"/>
              </w:rPr>
            </w:pPr>
            <w:r w:rsidRPr="0029055B">
              <w:rPr>
                <w:szCs w:val="21"/>
              </w:rPr>
              <w:t>Malvaceae/Sterculioideae</w:t>
            </w:r>
          </w:p>
        </w:tc>
        <w:tc>
          <w:tcPr>
            <w:tcW w:w="3122" w:type="dxa"/>
            <w:noWrap/>
            <w:vAlign w:val="bottom"/>
          </w:tcPr>
          <w:p w14:paraId="07733CF7" w14:textId="77777777" w:rsidR="00F7285D" w:rsidRPr="0029055B" w:rsidRDefault="00F7285D" w:rsidP="008709A1">
            <w:pPr>
              <w:rPr>
                <w:szCs w:val="21"/>
              </w:rPr>
            </w:pPr>
            <w:r w:rsidRPr="0029055B">
              <w:rPr>
                <w:szCs w:val="21"/>
              </w:rPr>
              <w:t>Pterygota mildbraedii (A)</w:t>
            </w:r>
          </w:p>
        </w:tc>
        <w:tc>
          <w:tcPr>
            <w:tcW w:w="1559" w:type="dxa"/>
            <w:noWrap/>
            <w:vAlign w:val="bottom"/>
          </w:tcPr>
          <w:p w14:paraId="6AF672CB" w14:textId="77777777" w:rsidR="00F7285D" w:rsidRPr="0029055B" w:rsidRDefault="00F7285D" w:rsidP="008709A1">
            <w:pPr>
              <w:rPr>
                <w:szCs w:val="21"/>
              </w:rPr>
            </w:pPr>
          </w:p>
        </w:tc>
        <w:tc>
          <w:tcPr>
            <w:tcW w:w="1921" w:type="dxa"/>
            <w:tcBorders>
              <w:right w:val="single" w:sz="8" w:space="0" w:color="auto"/>
            </w:tcBorders>
          </w:tcPr>
          <w:p w14:paraId="0B9ED640" w14:textId="77777777" w:rsidR="00F7285D" w:rsidRPr="0029055B" w:rsidRDefault="00F7285D" w:rsidP="008709A1">
            <w:pPr>
              <w:rPr>
                <w:szCs w:val="21"/>
              </w:rPr>
            </w:pPr>
            <w:r w:rsidRPr="0029055B">
              <w:rPr>
                <w:szCs w:val="21"/>
              </w:rPr>
              <w:t>Fmar</w:t>
            </w:r>
          </w:p>
        </w:tc>
      </w:tr>
      <w:tr w:rsidR="00F7285D" w:rsidRPr="0029055B" w14:paraId="5DD12B2F" w14:textId="77777777" w:rsidTr="008709A1">
        <w:trPr>
          <w:trHeight w:val="315"/>
          <w:jc w:val="center"/>
        </w:trPr>
        <w:tc>
          <w:tcPr>
            <w:tcW w:w="500" w:type="dxa"/>
            <w:tcBorders>
              <w:left w:val="single" w:sz="8" w:space="0" w:color="auto"/>
            </w:tcBorders>
            <w:noWrap/>
            <w:vAlign w:val="bottom"/>
          </w:tcPr>
          <w:p w14:paraId="51E87719" w14:textId="77777777" w:rsidR="00F7285D" w:rsidRPr="0029055B" w:rsidRDefault="00F7285D" w:rsidP="008709A1">
            <w:pPr>
              <w:rPr>
                <w:szCs w:val="21"/>
              </w:rPr>
            </w:pPr>
            <w:r w:rsidRPr="0029055B">
              <w:rPr>
                <w:szCs w:val="21"/>
              </w:rPr>
              <w:t>97</w:t>
            </w:r>
          </w:p>
        </w:tc>
        <w:tc>
          <w:tcPr>
            <w:tcW w:w="2980" w:type="dxa"/>
            <w:vAlign w:val="bottom"/>
          </w:tcPr>
          <w:p w14:paraId="5E2DEC0C" w14:textId="77777777" w:rsidR="00F7285D" w:rsidRPr="0029055B" w:rsidRDefault="00F7285D" w:rsidP="008709A1">
            <w:pPr>
              <w:rPr>
                <w:szCs w:val="21"/>
              </w:rPr>
            </w:pPr>
            <w:r w:rsidRPr="0029055B">
              <w:rPr>
                <w:szCs w:val="21"/>
              </w:rPr>
              <w:t>Myrcinaceae</w:t>
            </w:r>
          </w:p>
        </w:tc>
        <w:tc>
          <w:tcPr>
            <w:tcW w:w="3122" w:type="dxa"/>
            <w:noWrap/>
            <w:vAlign w:val="bottom"/>
          </w:tcPr>
          <w:p w14:paraId="22C56CC4" w14:textId="77777777" w:rsidR="00F7285D" w:rsidRPr="0029055B" w:rsidRDefault="00F7285D" w:rsidP="008709A1">
            <w:pPr>
              <w:rPr>
                <w:szCs w:val="21"/>
              </w:rPr>
            </w:pPr>
            <w:r w:rsidRPr="0029055B">
              <w:rPr>
                <w:szCs w:val="21"/>
              </w:rPr>
              <w:t>Rapanea rhododendroides (A)</w:t>
            </w:r>
          </w:p>
        </w:tc>
        <w:tc>
          <w:tcPr>
            <w:tcW w:w="1559" w:type="dxa"/>
            <w:noWrap/>
            <w:vAlign w:val="bottom"/>
          </w:tcPr>
          <w:p w14:paraId="0AEA5DF8" w14:textId="77777777" w:rsidR="00F7285D" w:rsidRPr="0029055B" w:rsidRDefault="00F7285D" w:rsidP="008709A1">
            <w:pPr>
              <w:rPr>
                <w:szCs w:val="21"/>
              </w:rPr>
            </w:pPr>
          </w:p>
        </w:tc>
        <w:tc>
          <w:tcPr>
            <w:tcW w:w="1921" w:type="dxa"/>
            <w:tcBorders>
              <w:right w:val="single" w:sz="8" w:space="0" w:color="auto"/>
            </w:tcBorders>
          </w:tcPr>
          <w:p w14:paraId="5C23A080" w14:textId="77777777" w:rsidR="00F7285D" w:rsidRPr="0029055B" w:rsidRDefault="00F7285D" w:rsidP="008709A1">
            <w:pPr>
              <w:rPr>
                <w:szCs w:val="21"/>
              </w:rPr>
            </w:pPr>
            <w:r w:rsidRPr="0029055B">
              <w:rPr>
                <w:szCs w:val="21"/>
              </w:rPr>
              <w:t>Fmont, Volc</w:t>
            </w:r>
          </w:p>
        </w:tc>
      </w:tr>
      <w:tr w:rsidR="00F7285D" w:rsidRPr="0029055B" w14:paraId="544E2E9C" w14:textId="77777777" w:rsidTr="008709A1">
        <w:trPr>
          <w:trHeight w:val="315"/>
          <w:jc w:val="center"/>
        </w:trPr>
        <w:tc>
          <w:tcPr>
            <w:tcW w:w="500" w:type="dxa"/>
            <w:tcBorders>
              <w:left w:val="single" w:sz="8" w:space="0" w:color="auto"/>
            </w:tcBorders>
            <w:noWrap/>
            <w:vAlign w:val="bottom"/>
          </w:tcPr>
          <w:p w14:paraId="3C729E5D" w14:textId="77777777" w:rsidR="00F7285D" w:rsidRPr="0029055B" w:rsidRDefault="00F7285D" w:rsidP="008709A1">
            <w:pPr>
              <w:rPr>
                <w:szCs w:val="21"/>
              </w:rPr>
            </w:pPr>
            <w:r w:rsidRPr="0029055B">
              <w:rPr>
                <w:szCs w:val="21"/>
              </w:rPr>
              <w:t>98</w:t>
            </w:r>
          </w:p>
        </w:tc>
        <w:tc>
          <w:tcPr>
            <w:tcW w:w="2980" w:type="dxa"/>
            <w:vAlign w:val="bottom"/>
          </w:tcPr>
          <w:p w14:paraId="14322C08" w14:textId="77777777" w:rsidR="00F7285D" w:rsidRPr="0029055B" w:rsidRDefault="00F7285D" w:rsidP="008709A1">
            <w:pPr>
              <w:rPr>
                <w:szCs w:val="21"/>
              </w:rPr>
            </w:pPr>
            <w:r w:rsidRPr="0029055B">
              <w:rPr>
                <w:szCs w:val="21"/>
              </w:rPr>
              <w:t>Apocynaceae</w:t>
            </w:r>
          </w:p>
        </w:tc>
        <w:tc>
          <w:tcPr>
            <w:tcW w:w="3122" w:type="dxa"/>
            <w:noWrap/>
            <w:vAlign w:val="bottom"/>
          </w:tcPr>
          <w:p w14:paraId="63CFE501" w14:textId="77777777" w:rsidR="00F7285D" w:rsidRPr="0029055B" w:rsidRDefault="00F7285D" w:rsidP="008709A1">
            <w:pPr>
              <w:rPr>
                <w:szCs w:val="21"/>
              </w:rPr>
            </w:pPr>
            <w:r w:rsidRPr="0029055B">
              <w:rPr>
                <w:szCs w:val="21"/>
              </w:rPr>
              <w:t>Rauvolfia vomitoria (a)</w:t>
            </w:r>
          </w:p>
        </w:tc>
        <w:tc>
          <w:tcPr>
            <w:tcW w:w="1559" w:type="dxa"/>
            <w:noWrap/>
            <w:vAlign w:val="bottom"/>
          </w:tcPr>
          <w:p w14:paraId="399136BF" w14:textId="77777777" w:rsidR="00F7285D" w:rsidRPr="0029055B" w:rsidRDefault="00F7285D" w:rsidP="008709A1">
            <w:pPr>
              <w:rPr>
                <w:szCs w:val="21"/>
              </w:rPr>
            </w:pPr>
          </w:p>
        </w:tc>
        <w:tc>
          <w:tcPr>
            <w:tcW w:w="1921" w:type="dxa"/>
            <w:tcBorders>
              <w:right w:val="single" w:sz="8" w:space="0" w:color="auto"/>
            </w:tcBorders>
          </w:tcPr>
          <w:p w14:paraId="12EE1FFF" w14:textId="77777777" w:rsidR="00F7285D" w:rsidRPr="0029055B" w:rsidRDefault="00F7285D" w:rsidP="008709A1">
            <w:pPr>
              <w:rPr>
                <w:szCs w:val="21"/>
              </w:rPr>
            </w:pPr>
            <w:r w:rsidRPr="0029055B">
              <w:rPr>
                <w:szCs w:val="21"/>
              </w:rPr>
              <w:t>Fs</w:t>
            </w:r>
          </w:p>
        </w:tc>
      </w:tr>
      <w:tr w:rsidR="00F7285D" w:rsidRPr="0029055B" w14:paraId="15CD032B" w14:textId="77777777" w:rsidTr="008709A1">
        <w:trPr>
          <w:trHeight w:val="315"/>
          <w:jc w:val="center"/>
        </w:trPr>
        <w:tc>
          <w:tcPr>
            <w:tcW w:w="500" w:type="dxa"/>
            <w:tcBorders>
              <w:left w:val="single" w:sz="8" w:space="0" w:color="auto"/>
            </w:tcBorders>
            <w:noWrap/>
            <w:vAlign w:val="bottom"/>
          </w:tcPr>
          <w:p w14:paraId="565F009F" w14:textId="77777777" w:rsidR="00F7285D" w:rsidRPr="0029055B" w:rsidRDefault="00F7285D" w:rsidP="008709A1">
            <w:pPr>
              <w:rPr>
                <w:szCs w:val="21"/>
              </w:rPr>
            </w:pPr>
            <w:r w:rsidRPr="0029055B">
              <w:rPr>
                <w:szCs w:val="21"/>
              </w:rPr>
              <w:t>99</w:t>
            </w:r>
          </w:p>
        </w:tc>
        <w:tc>
          <w:tcPr>
            <w:tcW w:w="2980" w:type="dxa"/>
            <w:vAlign w:val="bottom"/>
          </w:tcPr>
          <w:p w14:paraId="15A7A776" w14:textId="77777777" w:rsidR="00F7285D" w:rsidRPr="0029055B" w:rsidRDefault="00F7285D" w:rsidP="008709A1">
            <w:pPr>
              <w:rPr>
                <w:szCs w:val="21"/>
              </w:rPr>
            </w:pPr>
            <w:r w:rsidRPr="0029055B">
              <w:rPr>
                <w:szCs w:val="21"/>
              </w:rPr>
              <w:t>Poaceae</w:t>
            </w:r>
          </w:p>
        </w:tc>
        <w:tc>
          <w:tcPr>
            <w:tcW w:w="3122" w:type="dxa"/>
            <w:noWrap/>
            <w:vAlign w:val="bottom"/>
          </w:tcPr>
          <w:p w14:paraId="5BD00938" w14:textId="77777777" w:rsidR="00F7285D" w:rsidRPr="0029055B" w:rsidRDefault="00F7285D" w:rsidP="008709A1">
            <w:pPr>
              <w:rPr>
                <w:szCs w:val="21"/>
              </w:rPr>
            </w:pPr>
            <w:r w:rsidRPr="0029055B">
              <w:rPr>
                <w:szCs w:val="21"/>
              </w:rPr>
              <w:t>Rynchelytrum ametisteum</w:t>
            </w:r>
          </w:p>
        </w:tc>
        <w:tc>
          <w:tcPr>
            <w:tcW w:w="1559" w:type="dxa"/>
            <w:noWrap/>
            <w:vAlign w:val="bottom"/>
          </w:tcPr>
          <w:p w14:paraId="56FEA1C1" w14:textId="77777777" w:rsidR="00F7285D" w:rsidRPr="0029055B" w:rsidRDefault="00F7285D" w:rsidP="008709A1">
            <w:pPr>
              <w:rPr>
                <w:szCs w:val="21"/>
              </w:rPr>
            </w:pPr>
          </w:p>
        </w:tc>
        <w:tc>
          <w:tcPr>
            <w:tcW w:w="1921" w:type="dxa"/>
            <w:tcBorders>
              <w:right w:val="single" w:sz="8" w:space="0" w:color="auto"/>
            </w:tcBorders>
          </w:tcPr>
          <w:p w14:paraId="01903EFC" w14:textId="77777777" w:rsidR="00F7285D" w:rsidRPr="0029055B" w:rsidRDefault="00F7285D" w:rsidP="008709A1">
            <w:pPr>
              <w:rPr>
                <w:szCs w:val="21"/>
              </w:rPr>
            </w:pPr>
            <w:r w:rsidRPr="0029055B">
              <w:rPr>
                <w:szCs w:val="21"/>
              </w:rPr>
              <w:t>Fha</w:t>
            </w:r>
          </w:p>
        </w:tc>
      </w:tr>
      <w:tr w:rsidR="00F7285D" w:rsidRPr="0029055B" w14:paraId="45063E3D" w14:textId="77777777" w:rsidTr="008709A1">
        <w:trPr>
          <w:trHeight w:val="315"/>
          <w:jc w:val="center"/>
        </w:trPr>
        <w:tc>
          <w:tcPr>
            <w:tcW w:w="500" w:type="dxa"/>
            <w:tcBorders>
              <w:left w:val="single" w:sz="8" w:space="0" w:color="auto"/>
              <w:bottom w:val="single" w:sz="8" w:space="0" w:color="auto"/>
            </w:tcBorders>
            <w:noWrap/>
            <w:vAlign w:val="bottom"/>
          </w:tcPr>
          <w:p w14:paraId="74FF563F" w14:textId="77777777" w:rsidR="00F7285D" w:rsidRPr="0029055B" w:rsidRDefault="00F7285D" w:rsidP="008709A1">
            <w:pPr>
              <w:rPr>
                <w:szCs w:val="21"/>
              </w:rPr>
            </w:pPr>
            <w:r w:rsidRPr="0029055B">
              <w:rPr>
                <w:szCs w:val="21"/>
              </w:rPr>
              <w:t>100</w:t>
            </w:r>
          </w:p>
        </w:tc>
        <w:tc>
          <w:tcPr>
            <w:tcW w:w="2980" w:type="dxa"/>
            <w:vAlign w:val="bottom"/>
          </w:tcPr>
          <w:p w14:paraId="029C9B20" w14:textId="77777777" w:rsidR="00F7285D" w:rsidRPr="0029055B" w:rsidRDefault="00F7285D" w:rsidP="008709A1">
            <w:pPr>
              <w:rPr>
                <w:szCs w:val="21"/>
              </w:rPr>
            </w:pPr>
            <w:r w:rsidRPr="0029055B">
              <w:rPr>
                <w:szCs w:val="21"/>
              </w:rPr>
              <w:t>Asclepiadaceae</w:t>
            </w:r>
          </w:p>
        </w:tc>
        <w:tc>
          <w:tcPr>
            <w:tcW w:w="3122" w:type="dxa"/>
            <w:noWrap/>
            <w:vAlign w:val="bottom"/>
          </w:tcPr>
          <w:p w14:paraId="4CF7C99B" w14:textId="77777777" w:rsidR="00F7285D" w:rsidRPr="0029055B" w:rsidRDefault="00F7285D" w:rsidP="008709A1">
            <w:pPr>
              <w:rPr>
                <w:szCs w:val="21"/>
              </w:rPr>
            </w:pPr>
            <w:r w:rsidRPr="0029055B">
              <w:rPr>
                <w:szCs w:val="21"/>
              </w:rPr>
              <w:t>Sarcostemma viminale (L)</w:t>
            </w:r>
          </w:p>
        </w:tc>
        <w:tc>
          <w:tcPr>
            <w:tcW w:w="1559" w:type="dxa"/>
            <w:noWrap/>
            <w:vAlign w:val="bottom"/>
          </w:tcPr>
          <w:p w14:paraId="58FE14E1" w14:textId="77777777" w:rsidR="00F7285D" w:rsidRPr="0029055B" w:rsidRDefault="00F7285D" w:rsidP="008709A1">
            <w:pPr>
              <w:rPr>
                <w:szCs w:val="21"/>
              </w:rPr>
            </w:pPr>
          </w:p>
        </w:tc>
        <w:tc>
          <w:tcPr>
            <w:tcW w:w="1921" w:type="dxa"/>
            <w:tcBorders>
              <w:right w:val="single" w:sz="8" w:space="0" w:color="auto"/>
            </w:tcBorders>
          </w:tcPr>
          <w:p w14:paraId="2673D6DA" w14:textId="77777777" w:rsidR="00F7285D" w:rsidRPr="0029055B" w:rsidRDefault="00F7285D" w:rsidP="008709A1">
            <w:pPr>
              <w:rPr>
                <w:szCs w:val="21"/>
              </w:rPr>
            </w:pPr>
            <w:r w:rsidRPr="0029055B">
              <w:rPr>
                <w:szCs w:val="21"/>
              </w:rPr>
              <w:t>Fs, Fm</w:t>
            </w:r>
          </w:p>
        </w:tc>
      </w:tr>
      <w:tr w:rsidR="00F7285D" w:rsidRPr="0029055B" w14:paraId="3A66BA1C" w14:textId="77777777" w:rsidTr="008709A1">
        <w:trPr>
          <w:trHeight w:val="315"/>
          <w:jc w:val="center"/>
        </w:trPr>
        <w:tc>
          <w:tcPr>
            <w:tcW w:w="500" w:type="dxa"/>
            <w:tcBorders>
              <w:top w:val="single" w:sz="8" w:space="0" w:color="auto"/>
              <w:left w:val="single" w:sz="8" w:space="0" w:color="auto"/>
            </w:tcBorders>
            <w:noWrap/>
            <w:vAlign w:val="bottom"/>
          </w:tcPr>
          <w:p w14:paraId="1B8E8A39" w14:textId="77777777" w:rsidR="00F7285D" w:rsidRPr="0029055B" w:rsidRDefault="00F7285D" w:rsidP="008709A1">
            <w:pPr>
              <w:rPr>
                <w:szCs w:val="21"/>
              </w:rPr>
            </w:pPr>
            <w:r w:rsidRPr="0029055B">
              <w:rPr>
                <w:szCs w:val="21"/>
              </w:rPr>
              <w:t>101</w:t>
            </w:r>
          </w:p>
        </w:tc>
        <w:tc>
          <w:tcPr>
            <w:tcW w:w="2980" w:type="dxa"/>
            <w:vAlign w:val="bottom"/>
          </w:tcPr>
          <w:p w14:paraId="46595AF0" w14:textId="77777777" w:rsidR="00F7285D" w:rsidRPr="0029055B" w:rsidRDefault="00F7285D" w:rsidP="008709A1">
            <w:pPr>
              <w:rPr>
                <w:szCs w:val="21"/>
              </w:rPr>
            </w:pPr>
            <w:r w:rsidRPr="0029055B">
              <w:rPr>
                <w:szCs w:val="21"/>
              </w:rPr>
              <w:t>Asclepiadaceae</w:t>
            </w:r>
          </w:p>
        </w:tc>
        <w:tc>
          <w:tcPr>
            <w:tcW w:w="3122" w:type="dxa"/>
            <w:noWrap/>
            <w:vAlign w:val="bottom"/>
          </w:tcPr>
          <w:p w14:paraId="6D0285CC" w14:textId="77777777" w:rsidR="00F7285D" w:rsidRPr="0029055B" w:rsidRDefault="00F7285D" w:rsidP="008709A1">
            <w:pPr>
              <w:rPr>
                <w:szCs w:val="21"/>
              </w:rPr>
            </w:pPr>
            <w:r w:rsidRPr="0029055B">
              <w:rPr>
                <w:szCs w:val="21"/>
              </w:rPr>
              <w:t>Cynanchum sarcostemoides (L)</w:t>
            </w:r>
          </w:p>
        </w:tc>
        <w:tc>
          <w:tcPr>
            <w:tcW w:w="1559" w:type="dxa"/>
            <w:noWrap/>
            <w:vAlign w:val="bottom"/>
          </w:tcPr>
          <w:p w14:paraId="14D3D06F" w14:textId="77777777" w:rsidR="00F7285D" w:rsidRPr="0029055B" w:rsidRDefault="00F7285D" w:rsidP="008709A1">
            <w:pPr>
              <w:rPr>
                <w:szCs w:val="21"/>
              </w:rPr>
            </w:pPr>
          </w:p>
        </w:tc>
        <w:tc>
          <w:tcPr>
            <w:tcW w:w="1921" w:type="dxa"/>
            <w:tcBorders>
              <w:bottom w:val="single" w:sz="8" w:space="0" w:color="auto"/>
              <w:right w:val="single" w:sz="8" w:space="0" w:color="auto"/>
            </w:tcBorders>
          </w:tcPr>
          <w:p w14:paraId="1CEFE667" w14:textId="77777777" w:rsidR="00F7285D" w:rsidRPr="0029055B" w:rsidRDefault="00F7285D" w:rsidP="008709A1">
            <w:pPr>
              <w:rPr>
                <w:szCs w:val="21"/>
              </w:rPr>
            </w:pPr>
            <w:r w:rsidRPr="0029055B">
              <w:rPr>
                <w:szCs w:val="21"/>
              </w:rPr>
              <w:t>Fs, Fm</w:t>
            </w:r>
          </w:p>
        </w:tc>
      </w:tr>
      <w:tr w:rsidR="00F7285D" w:rsidRPr="0029055B" w14:paraId="43CC1B7F" w14:textId="77777777" w:rsidTr="008709A1">
        <w:trPr>
          <w:trHeight w:val="315"/>
          <w:jc w:val="center"/>
        </w:trPr>
        <w:tc>
          <w:tcPr>
            <w:tcW w:w="500" w:type="dxa"/>
            <w:tcBorders>
              <w:left w:val="single" w:sz="8" w:space="0" w:color="auto"/>
            </w:tcBorders>
            <w:noWrap/>
            <w:vAlign w:val="bottom"/>
          </w:tcPr>
          <w:p w14:paraId="11FEA2F6" w14:textId="77777777" w:rsidR="00F7285D" w:rsidRPr="0029055B" w:rsidRDefault="00F7285D" w:rsidP="008709A1">
            <w:pPr>
              <w:rPr>
                <w:szCs w:val="21"/>
              </w:rPr>
            </w:pPr>
            <w:r w:rsidRPr="0029055B">
              <w:rPr>
                <w:szCs w:val="21"/>
              </w:rPr>
              <w:t>102</w:t>
            </w:r>
          </w:p>
        </w:tc>
        <w:tc>
          <w:tcPr>
            <w:tcW w:w="2980" w:type="dxa"/>
            <w:vAlign w:val="bottom"/>
          </w:tcPr>
          <w:p w14:paraId="70BE6239" w14:textId="77777777" w:rsidR="00F7285D" w:rsidRPr="0029055B" w:rsidRDefault="00F7285D" w:rsidP="008709A1">
            <w:pPr>
              <w:rPr>
                <w:szCs w:val="21"/>
              </w:rPr>
            </w:pPr>
            <w:r w:rsidRPr="0029055B">
              <w:rPr>
                <w:szCs w:val="21"/>
              </w:rPr>
              <w:t>Rhamnaceae</w:t>
            </w:r>
          </w:p>
        </w:tc>
        <w:tc>
          <w:tcPr>
            <w:tcW w:w="3122" w:type="dxa"/>
            <w:noWrap/>
            <w:vAlign w:val="bottom"/>
          </w:tcPr>
          <w:p w14:paraId="52CB2103" w14:textId="77777777" w:rsidR="00F7285D" w:rsidRPr="0029055B" w:rsidRDefault="00F7285D" w:rsidP="008709A1">
            <w:pPr>
              <w:rPr>
                <w:szCs w:val="21"/>
              </w:rPr>
            </w:pPr>
            <w:r w:rsidRPr="0029055B">
              <w:rPr>
                <w:szCs w:val="21"/>
              </w:rPr>
              <w:t>Scutia myrtina</w:t>
            </w:r>
          </w:p>
        </w:tc>
        <w:tc>
          <w:tcPr>
            <w:tcW w:w="1559" w:type="dxa"/>
            <w:noWrap/>
            <w:vAlign w:val="bottom"/>
          </w:tcPr>
          <w:p w14:paraId="55BE571E" w14:textId="77777777" w:rsidR="00F7285D" w:rsidRPr="0029055B" w:rsidRDefault="00F7285D" w:rsidP="008709A1">
            <w:pPr>
              <w:rPr>
                <w:szCs w:val="21"/>
              </w:rPr>
            </w:pPr>
          </w:p>
        </w:tc>
        <w:tc>
          <w:tcPr>
            <w:tcW w:w="1921" w:type="dxa"/>
            <w:tcBorders>
              <w:top w:val="single" w:sz="8" w:space="0" w:color="auto"/>
              <w:right w:val="single" w:sz="8" w:space="0" w:color="auto"/>
            </w:tcBorders>
          </w:tcPr>
          <w:p w14:paraId="0220EA60" w14:textId="77777777" w:rsidR="00F7285D" w:rsidRPr="0029055B" w:rsidRDefault="00F7285D" w:rsidP="008709A1">
            <w:pPr>
              <w:rPr>
                <w:szCs w:val="21"/>
              </w:rPr>
            </w:pPr>
            <w:r w:rsidRPr="0029055B">
              <w:rPr>
                <w:szCs w:val="21"/>
              </w:rPr>
              <w:t>Fscl</w:t>
            </w:r>
          </w:p>
        </w:tc>
      </w:tr>
      <w:tr w:rsidR="00F7285D" w:rsidRPr="0029055B" w14:paraId="219655CE" w14:textId="77777777" w:rsidTr="008709A1">
        <w:trPr>
          <w:trHeight w:val="315"/>
          <w:jc w:val="center"/>
        </w:trPr>
        <w:tc>
          <w:tcPr>
            <w:tcW w:w="500" w:type="dxa"/>
            <w:tcBorders>
              <w:left w:val="single" w:sz="8" w:space="0" w:color="auto"/>
            </w:tcBorders>
            <w:noWrap/>
            <w:vAlign w:val="bottom"/>
          </w:tcPr>
          <w:p w14:paraId="0847C0F1" w14:textId="77777777" w:rsidR="00F7285D" w:rsidRPr="0029055B" w:rsidRDefault="00F7285D" w:rsidP="008709A1">
            <w:pPr>
              <w:rPr>
                <w:szCs w:val="21"/>
              </w:rPr>
            </w:pPr>
            <w:r w:rsidRPr="0029055B">
              <w:rPr>
                <w:szCs w:val="21"/>
              </w:rPr>
              <w:t>103</w:t>
            </w:r>
          </w:p>
        </w:tc>
        <w:tc>
          <w:tcPr>
            <w:tcW w:w="2980" w:type="dxa"/>
            <w:vAlign w:val="bottom"/>
          </w:tcPr>
          <w:p w14:paraId="43C193F3" w14:textId="77777777" w:rsidR="00F7285D" w:rsidRPr="0029055B" w:rsidRDefault="00F7285D" w:rsidP="008709A1">
            <w:pPr>
              <w:rPr>
                <w:szCs w:val="21"/>
              </w:rPr>
            </w:pPr>
            <w:r w:rsidRPr="0029055B">
              <w:rPr>
                <w:szCs w:val="21"/>
              </w:rPr>
              <w:t>Asteraceae</w:t>
            </w:r>
          </w:p>
        </w:tc>
        <w:tc>
          <w:tcPr>
            <w:tcW w:w="3122" w:type="dxa"/>
            <w:noWrap/>
            <w:vAlign w:val="bottom"/>
          </w:tcPr>
          <w:p w14:paraId="7455A62B" w14:textId="77777777" w:rsidR="00F7285D" w:rsidRPr="0029055B" w:rsidRDefault="00F7285D" w:rsidP="008709A1">
            <w:pPr>
              <w:rPr>
                <w:szCs w:val="21"/>
              </w:rPr>
            </w:pPr>
            <w:r w:rsidRPr="0029055B">
              <w:rPr>
                <w:szCs w:val="21"/>
              </w:rPr>
              <w:t>Senecio johnstonii (H)</w:t>
            </w:r>
          </w:p>
        </w:tc>
        <w:tc>
          <w:tcPr>
            <w:tcW w:w="1559" w:type="dxa"/>
            <w:noWrap/>
            <w:vAlign w:val="bottom"/>
          </w:tcPr>
          <w:p w14:paraId="14D4B81C" w14:textId="77777777" w:rsidR="00F7285D" w:rsidRPr="0029055B" w:rsidRDefault="00F7285D" w:rsidP="008709A1">
            <w:pPr>
              <w:rPr>
                <w:szCs w:val="21"/>
              </w:rPr>
            </w:pPr>
          </w:p>
        </w:tc>
        <w:tc>
          <w:tcPr>
            <w:tcW w:w="1921" w:type="dxa"/>
            <w:tcBorders>
              <w:right w:val="single" w:sz="8" w:space="0" w:color="auto"/>
            </w:tcBorders>
          </w:tcPr>
          <w:p w14:paraId="3FA7C0A5" w14:textId="77777777" w:rsidR="00F7285D" w:rsidRPr="0029055B" w:rsidRDefault="00F7285D" w:rsidP="008709A1">
            <w:pPr>
              <w:rPr>
                <w:szCs w:val="21"/>
              </w:rPr>
            </w:pPr>
            <w:r w:rsidRPr="0029055B">
              <w:rPr>
                <w:szCs w:val="21"/>
              </w:rPr>
              <w:t>Fmont</w:t>
            </w:r>
          </w:p>
        </w:tc>
      </w:tr>
      <w:tr w:rsidR="00F7285D" w:rsidRPr="0029055B" w14:paraId="79ABFAF2" w14:textId="77777777" w:rsidTr="008709A1">
        <w:trPr>
          <w:trHeight w:val="315"/>
          <w:jc w:val="center"/>
        </w:trPr>
        <w:tc>
          <w:tcPr>
            <w:tcW w:w="500" w:type="dxa"/>
            <w:tcBorders>
              <w:left w:val="single" w:sz="8" w:space="0" w:color="auto"/>
            </w:tcBorders>
            <w:noWrap/>
            <w:vAlign w:val="bottom"/>
          </w:tcPr>
          <w:p w14:paraId="1F668DD7" w14:textId="77777777" w:rsidR="00F7285D" w:rsidRPr="0029055B" w:rsidRDefault="00F7285D" w:rsidP="008709A1">
            <w:pPr>
              <w:rPr>
                <w:szCs w:val="21"/>
              </w:rPr>
            </w:pPr>
            <w:r w:rsidRPr="0029055B">
              <w:rPr>
                <w:szCs w:val="21"/>
              </w:rPr>
              <w:t>104</w:t>
            </w:r>
          </w:p>
        </w:tc>
        <w:tc>
          <w:tcPr>
            <w:tcW w:w="2980" w:type="dxa"/>
            <w:vAlign w:val="bottom"/>
          </w:tcPr>
          <w:p w14:paraId="3C5C27F4" w14:textId="77777777" w:rsidR="00F7285D" w:rsidRPr="0029055B" w:rsidRDefault="00F7285D" w:rsidP="008709A1">
            <w:pPr>
              <w:rPr>
                <w:szCs w:val="21"/>
              </w:rPr>
            </w:pPr>
            <w:r w:rsidRPr="0029055B">
              <w:rPr>
                <w:szCs w:val="21"/>
              </w:rPr>
              <w:t>Fabaceae/Caesalpinioideae</w:t>
            </w:r>
          </w:p>
        </w:tc>
        <w:tc>
          <w:tcPr>
            <w:tcW w:w="3122" w:type="dxa"/>
            <w:noWrap/>
            <w:vAlign w:val="bottom"/>
          </w:tcPr>
          <w:p w14:paraId="367593FB" w14:textId="77777777" w:rsidR="00F7285D" w:rsidRPr="0029055B" w:rsidRDefault="00F7285D" w:rsidP="008709A1">
            <w:pPr>
              <w:rPr>
                <w:szCs w:val="21"/>
              </w:rPr>
            </w:pPr>
            <w:r w:rsidRPr="0029055B">
              <w:rPr>
                <w:szCs w:val="21"/>
              </w:rPr>
              <w:t>Senna siamea (A)</w:t>
            </w:r>
          </w:p>
        </w:tc>
        <w:tc>
          <w:tcPr>
            <w:tcW w:w="1559" w:type="dxa"/>
            <w:noWrap/>
            <w:vAlign w:val="bottom"/>
          </w:tcPr>
          <w:p w14:paraId="57BAE3F1" w14:textId="77777777" w:rsidR="00F7285D" w:rsidRPr="0029055B" w:rsidRDefault="00F7285D" w:rsidP="008709A1">
            <w:pPr>
              <w:rPr>
                <w:szCs w:val="21"/>
              </w:rPr>
            </w:pPr>
          </w:p>
        </w:tc>
        <w:tc>
          <w:tcPr>
            <w:tcW w:w="1921" w:type="dxa"/>
            <w:tcBorders>
              <w:bottom w:val="single" w:sz="8" w:space="0" w:color="auto"/>
              <w:right w:val="single" w:sz="8" w:space="0" w:color="auto"/>
            </w:tcBorders>
          </w:tcPr>
          <w:p w14:paraId="37C773A3" w14:textId="77777777" w:rsidR="00F7285D" w:rsidRPr="0029055B" w:rsidRDefault="00F7285D" w:rsidP="008709A1">
            <w:pPr>
              <w:rPr>
                <w:szCs w:val="21"/>
              </w:rPr>
            </w:pPr>
            <w:r w:rsidRPr="0029055B">
              <w:rPr>
                <w:szCs w:val="21"/>
              </w:rPr>
              <w:t>Fgal</w:t>
            </w:r>
          </w:p>
        </w:tc>
      </w:tr>
      <w:tr w:rsidR="00F7285D" w:rsidRPr="0029055B" w14:paraId="3B473799" w14:textId="77777777" w:rsidTr="008709A1">
        <w:trPr>
          <w:trHeight w:val="315"/>
          <w:jc w:val="center"/>
        </w:trPr>
        <w:tc>
          <w:tcPr>
            <w:tcW w:w="500" w:type="dxa"/>
            <w:tcBorders>
              <w:left w:val="single" w:sz="8" w:space="0" w:color="auto"/>
              <w:bottom w:val="single" w:sz="4" w:space="0" w:color="auto"/>
            </w:tcBorders>
            <w:noWrap/>
            <w:vAlign w:val="bottom"/>
          </w:tcPr>
          <w:p w14:paraId="55C701BC" w14:textId="77777777" w:rsidR="00F7285D" w:rsidRPr="0029055B" w:rsidRDefault="00F7285D" w:rsidP="008709A1">
            <w:pPr>
              <w:rPr>
                <w:szCs w:val="21"/>
              </w:rPr>
            </w:pPr>
            <w:r w:rsidRPr="0029055B">
              <w:rPr>
                <w:szCs w:val="21"/>
              </w:rPr>
              <w:t>105</w:t>
            </w:r>
          </w:p>
        </w:tc>
        <w:tc>
          <w:tcPr>
            <w:tcW w:w="2980" w:type="dxa"/>
            <w:vAlign w:val="bottom"/>
          </w:tcPr>
          <w:p w14:paraId="4E9A71D2" w14:textId="77777777" w:rsidR="00F7285D" w:rsidRPr="0029055B" w:rsidRDefault="00F7285D" w:rsidP="008709A1">
            <w:pPr>
              <w:rPr>
                <w:szCs w:val="21"/>
              </w:rPr>
            </w:pPr>
            <w:r w:rsidRPr="0029055B">
              <w:rPr>
                <w:szCs w:val="21"/>
              </w:rPr>
              <w:t>Fabaceae/Caesalpinioideae</w:t>
            </w:r>
          </w:p>
        </w:tc>
        <w:tc>
          <w:tcPr>
            <w:tcW w:w="3122" w:type="dxa"/>
            <w:noWrap/>
            <w:vAlign w:val="bottom"/>
          </w:tcPr>
          <w:p w14:paraId="160D6E0B" w14:textId="77777777" w:rsidR="00F7285D" w:rsidRPr="0029055B" w:rsidRDefault="00F7285D" w:rsidP="008709A1">
            <w:pPr>
              <w:rPr>
                <w:szCs w:val="21"/>
              </w:rPr>
            </w:pPr>
            <w:r w:rsidRPr="0029055B">
              <w:rPr>
                <w:szCs w:val="21"/>
              </w:rPr>
              <w:t>Senna spectabilis (A)</w:t>
            </w:r>
          </w:p>
        </w:tc>
        <w:tc>
          <w:tcPr>
            <w:tcW w:w="1559" w:type="dxa"/>
            <w:noWrap/>
            <w:vAlign w:val="bottom"/>
          </w:tcPr>
          <w:p w14:paraId="1C434CED" w14:textId="77777777" w:rsidR="00F7285D" w:rsidRPr="0029055B" w:rsidRDefault="00F7285D" w:rsidP="008709A1">
            <w:pPr>
              <w:rPr>
                <w:szCs w:val="21"/>
              </w:rPr>
            </w:pPr>
          </w:p>
        </w:tc>
        <w:tc>
          <w:tcPr>
            <w:tcW w:w="1921" w:type="dxa"/>
            <w:tcBorders>
              <w:top w:val="single" w:sz="8" w:space="0" w:color="auto"/>
              <w:right w:val="single" w:sz="8" w:space="0" w:color="auto"/>
            </w:tcBorders>
          </w:tcPr>
          <w:p w14:paraId="5CEAEB06" w14:textId="77777777" w:rsidR="00F7285D" w:rsidRPr="0029055B" w:rsidRDefault="00F7285D" w:rsidP="008709A1">
            <w:pPr>
              <w:rPr>
                <w:szCs w:val="21"/>
              </w:rPr>
            </w:pPr>
            <w:r w:rsidRPr="0029055B">
              <w:rPr>
                <w:szCs w:val="21"/>
              </w:rPr>
              <w:t xml:space="preserve">Cult </w:t>
            </w:r>
          </w:p>
        </w:tc>
      </w:tr>
      <w:tr w:rsidR="00F7285D" w:rsidRPr="0029055B" w14:paraId="0B28528D" w14:textId="77777777" w:rsidTr="008709A1">
        <w:trPr>
          <w:trHeight w:val="315"/>
          <w:jc w:val="center"/>
        </w:trPr>
        <w:tc>
          <w:tcPr>
            <w:tcW w:w="500" w:type="dxa"/>
            <w:tcBorders>
              <w:top w:val="single" w:sz="4" w:space="0" w:color="auto"/>
              <w:left w:val="single" w:sz="8" w:space="0" w:color="auto"/>
            </w:tcBorders>
            <w:noWrap/>
            <w:vAlign w:val="bottom"/>
          </w:tcPr>
          <w:p w14:paraId="362CAA12" w14:textId="77777777" w:rsidR="00F7285D" w:rsidRPr="0029055B" w:rsidRDefault="00F7285D" w:rsidP="008709A1">
            <w:pPr>
              <w:rPr>
                <w:szCs w:val="21"/>
              </w:rPr>
            </w:pPr>
            <w:r w:rsidRPr="0029055B">
              <w:rPr>
                <w:szCs w:val="21"/>
              </w:rPr>
              <w:t>106</w:t>
            </w:r>
          </w:p>
        </w:tc>
        <w:tc>
          <w:tcPr>
            <w:tcW w:w="2980" w:type="dxa"/>
            <w:vAlign w:val="bottom"/>
          </w:tcPr>
          <w:p w14:paraId="6A8544EF" w14:textId="77777777" w:rsidR="00F7285D" w:rsidRPr="0029055B" w:rsidRDefault="00F7285D" w:rsidP="008709A1">
            <w:pPr>
              <w:rPr>
                <w:szCs w:val="21"/>
              </w:rPr>
            </w:pPr>
            <w:r w:rsidRPr="0029055B">
              <w:rPr>
                <w:szCs w:val="21"/>
              </w:rPr>
              <w:t>Fabaceae/Faboideae</w:t>
            </w:r>
          </w:p>
        </w:tc>
        <w:tc>
          <w:tcPr>
            <w:tcW w:w="3122" w:type="dxa"/>
            <w:noWrap/>
            <w:vAlign w:val="bottom"/>
          </w:tcPr>
          <w:p w14:paraId="15B28135" w14:textId="77777777" w:rsidR="00F7285D" w:rsidRPr="0029055B" w:rsidRDefault="00F7285D" w:rsidP="008709A1">
            <w:pPr>
              <w:rPr>
                <w:szCs w:val="21"/>
              </w:rPr>
            </w:pPr>
            <w:r w:rsidRPr="0029055B">
              <w:rPr>
                <w:szCs w:val="21"/>
              </w:rPr>
              <w:t>Sesbania sesban (a)</w:t>
            </w:r>
          </w:p>
        </w:tc>
        <w:tc>
          <w:tcPr>
            <w:tcW w:w="1559" w:type="dxa"/>
            <w:noWrap/>
            <w:vAlign w:val="bottom"/>
          </w:tcPr>
          <w:p w14:paraId="7C1395CF" w14:textId="77777777" w:rsidR="00F7285D" w:rsidRPr="0029055B" w:rsidRDefault="00F7285D" w:rsidP="008709A1">
            <w:pPr>
              <w:rPr>
                <w:szCs w:val="21"/>
              </w:rPr>
            </w:pPr>
          </w:p>
        </w:tc>
        <w:tc>
          <w:tcPr>
            <w:tcW w:w="1921" w:type="dxa"/>
            <w:tcBorders>
              <w:right w:val="single" w:sz="8" w:space="0" w:color="auto"/>
            </w:tcBorders>
          </w:tcPr>
          <w:p w14:paraId="166711F3" w14:textId="77777777" w:rsidR="00F7285D" w:rsidRPr="0029055B" w:rsidRDefault="00F7285D" w:rsidP="008709A1">
            <w:pPr>
              <w:rPr>
                <w:szCs w:val="21"/>
              </w:rPr>
            </w:pPr>
            <w:r w:rsidRPr="0029055B">
              <w:rPr>
                <w:szCs w:val="21"/>
              </w:rPr>
              <w:t>Fr, Fmar</w:t>
            </w:r>
          </w:p>
        </w:tc>
      </w:tr>
      <w:tr w:rsidR="00F7285D" w:rsidRPr="0029055B" w14:paraId="2232354F" w14:textId="77777777" w:rsidTr="008709A1">
        <w:trPr>
          <w:trHeight w:val="315"/>
          <w:jc w:val="center"/>
        </w:trPr>
        <w:tc>
          <w:tcPr>
            <w:tcW w:w="500" w:type="dxa"/>
            <w:tcBorders>
              <w:left w:val="single" w:sz="8" w:space="0" w:color="auto"/>
            </w:tcBorders>
            <w:noWrap/>
            <w:vAlign w:val="bottom"/>
          </w:tcPr>
          <w:p w14:paraId="24F39256" w14:textId="77777777" w:rsidR="00F7285D" w:rsidRPr="0029055B" w:rsidRDefault="00F7285D" w:rsidP="008709A1">
            <w:pPr>
              <w:rPr>
                <w:szCs w:val="21"/>
              </w:rPr>
            </w:pPr>
            <w:r w:rsidRPr="0029055B">
              <w:rPr>
                <w:szCs w:val="21"/>
              </w:rPr>
              <w:t>107</w:t>
            </w:r>
          </w:p>
        </w:tc>
        <w:tc>
          <w:tcPr>
            <w:tcW w:w="2980" w:type="dxa"/>
            <w:vAlign w:val="bottom"/>
          </w:tcPr>
          <w:p w14:paraId="2F41C00A" w14:textId="77777777" w:rsidR="00F7285D" w:rsidRPr="0029055B" w:rsidRDefault="00F7285D" w:rsidP="008709A1">
            <w:pPr>
              <w:rPr>
                <w:szCs w:val="21"/>
              </w:rPr>
            </w:pPr>
            <w:r w:rsidRPr="0029055B">
              <w:rPr>
                <w:szCs w:val="21"/>
              </w:rPr>
              <w:t>Bignoniaceae</w:t>
            </w:r>
          </w:p>
        </w:tc>
        <w:tc>
          <w:tcPr>
            <w:tcW w:w="3122" w:type="dxa"/>
            <w:noWrap/>
            <w:vAlign w:val="bottom"/>
          </w:tcPr>
          <w:p w14:paraId="08710E76" w14:textId="77777777" w:rsidR="00F7285D" w:rsidRPr="0029055B" w:rsidRDefault="00F7285D" w:rsidP="008709A1">
            <w:pPr>
              <w:rPr>
                <w:szCs w:val="21"/>
              </w:rPr>
            </w:pPr>
            <w:r w:rsidRPr="0029055B">
              <w:rPr>
                <w:szCs w:val="21"/>
              </w:rPr>
              <w:t>Spathodea campanulata (A)</w:t>
            </w:r>
          </w:p>
        </w:tc>
        <w:tc>
          <w:tcPr>
            <w:tcW w:w="1559" w:type="dxa"/>
            <w:noWrap/>
            <w:vAlign w:val="bottom"/>
          </w:tcPr>
          <w:p w14:paraId="74447BA3" w14:textId="77777777" w:rsidR="00F7285D" w:rsidRPr="0029055B" w:rsidRDefault="00F7285D" w:rsidP="008709A1">
            <w:pPr>
              <w:rPr>
                <w:szCs w:val="21"/>
              </w:rPr>
            </w:pPr>
          </w:p>
        </w:tc>
        <w:tc>
          <w:tcPr>
            <w:tcW w:w="1921" w:type="dxa"/>
            <w:tcBorders>
              <w:right w:val="single" w:sz="8" w:space="0" w:color="auto"/>
            </w:tcBorders>
          </w:tcPr>
          <w:p w14:paraId="024813F4" w14:textId="77777777" w:rsidR="00F7285D" w:rsidRPr="0029055B" w:rsidRDefault="00F7285D" w:rsidP="008709A1">
            <w:pPr>
              <w:rPr>
                <w:szCs w:val="21"/>
              </w:rPr>
            </w:pPr>
            <w:r w:rsidRPr="0029055B">
              <w:rPr>
                <w:szCs w:val="21"/>
              </w:rPr>
              <w:t>Fs, rud.</w:t>
            </w:r>
          </w:p>
        </w:tc>
      </w:tr>
      <w:tr w:rsidR="00F7285D" w:rsidRPr="0029055B" w14:paraId="6A3FF976" w14:textId="77777777" w:rsidTr="008709A1">
        <w:trPr>
          <w:trHeight w:val="315"/>
          <w:jc w:val="center"/>
        </w:trPr>
        <w:tc>
          <w:tcPr>
            <w:tcW w:w="500" w:type="dxa"/>
            <w:tcBorders>
              <w:top w:val="single" w:sz="4" w:space="0" w:color="auto"/>
              <w:left w:val="single" w:sz="8" w:space="0" w:color="auto"/>
            </w:tcBorders>
            <w:noWrap/>
            <w:vAlign w:val="bottom"/>
          </w:tcPr>
          <w:p w14:paraId="7B33DDFB" w14:textId="77777777" w:rsidR="00F7285D" w:rsidRPr="0029055B" w:rsidRDefault="00F7285D" w:rsidP="008709A1">
            <w:pPr>
              <w:rPr>
                <w:szCs w:val="21"/>
              </w:rPr>
            </w:pPr>
            <w:r w:rsidRPr="0029055B">
              <w:rPr>
                <w:szCs w:val="21"/>
              </w:rPr>
              <w:t>108</w:t>
            </w:r>
          </w:p>
        </w:tc>
        <w:tc>
          <w:tcPr>
            <w:tcW w:w="2980" w:type="dxa"/>
            <w:vAlign w:val="bottom"/>
          </w:tcPr>
          <w:p w14:paraId="0FD7E591" w14:textId="77777777" w:rsidR="00F7285D" w:rsidRPr="0029055B" w:rsidRDefault="00F7285D" w:rsidP="008709A1">
            <w:pPr>
              <w:rPr>
                <w:szCs w:val="21"/>
              </w:rPr>
            </w:pPr>
            <w:r w:rsidRPr="0029055B">
              <w:rPr>
                <w:szCs w:val="21"/>
              </w:rPr>
              <w:t>Poaceae</w:t>
            </w:r>
          </w:p>
        </w:tc>
        <w:tc>
          <w:tcPr>
            <w:tcW w:w="3122" w:type="dxa"/>
            <w:noWrap/>
            <w:vAlign w:val="bottom"/>
          </w:tcPr>
          <w:p w14:paraId="688E970F" w14:textId="77777777" w:rsidR="00F7285D" w:rsidRPr="0029055B" w:rsidRDefault="00F7285D" w:rsidP="008709A1">
            <w:pPr>
              <w:rPr>
                <w:szCs w:val="21"/>
              </w:rPr>
            </w:pPr>
            <w:r w:rsidRPr="0029055B">
              <w:rPr>
                <w:szCs w:val="21"/>
              </w:rPr>
              <w:t>Sporobolus pyramidalis (H)</w:t>
            </w:r>
          </w:p>
        </w:tc>
        <w:tc>
          <w:tcPr>
            <w:tcW w:w="1559" w:type="dxa"/>
            <w:noWrap/>
            <w:vAlign w:val="bottom"/>
          </w:tcPr>
          <w:p w14:paraId="4145FACF" w14:textId="77777777" w:rsidR="00F7285D" w:rsidRPr="0029055B" w:rsidRDefault="00F7285D" w:rsidP="008709A1">
            <w:pPr>
              <w:rPr>
                <w:szCs w:val="21"/>
              </w:rPr>
            </w:pPr>
          </w:p>
        </w:tc>
        <w:tc>
          <w:tcPr>
            <w:tcW w:w="1921" w:type="dxa"/>
            <w:tcBorders>
              <w:right w:val="single" w:sz="8" w:space="0" w:color="auto"/>
            </w:tcBorders>
          </w:tcPr>
          <w:p w14:paraId="34B3A14E" w14:textId="77777777" w:rsidR="00F7285D" w:rsidRPr="0029055B" w:rsidRDefault="00F7285D" w:rsidP="008709A1">
            <w:pPr>
              <w:rPr>
                <w:szCs w:val="21"/>
              </w:rPr>
            </w:pPr>
            <w:r w:rsidRPr="0029055B">
              <w:rPr>
                <w:szCs w:val="21"/>
              </w:rPr>
              <w:t>Fhb</w:t>
            </w:r>
          </w:p>
        </w:tc>
      </w:tr>
      <w:tr w:rsidR="00F7285D" w:rsidRPr="0029055B" w14:paraId="1ABA5945" w14:textId="77777777" w:rsidTr="008709A1">
        <w:trPr>
          <w:trHeight w:val="315"/>
          <w:jc w:val="center"/>
        </w:trPr>
        <w:tc>
          <w:tcPr>
            <w:tcW w:w="500" w:type="dxa"/>
            <w:tcBorders>
              <w:left w:val="single" w:sz="8" w:space="0" w:color="auto"/>
            </w:tcBorders>
            <w:noWrap/>
            <w:vAlign w:val="bottom"/>
          </w:tcPr>
          <w:p w14:paraId="335212B0" w14:textId="77777777" w:rsidR="00F7285D" w:rsidRPr="0029055B" w:rsidRDefault="00F7285D" w:rsidP="008709A1">
            <w:pPr>
              <w:rPr>
                <w:szCs w:val="21"/>
              </w:rPr>
            </w:pPr>
            <w:r w:rsidRPr="0029055B">
              <w:rPr>
                <w:szCs w:val="21"/>
              </w:rPr>
              <w:t>109</w:t>
            </w:r>
          </w:p>
        </w:tc>
        <w:tc>
          <w:tcPr>
            <w:tcW w:w="2980" w:type="dxa"/>
            <w:vAlign w:val="bottom"/>
          </w:tcPr>
          <w:p w14:paraId="6EA3B636" w14:textId="77777777" w:rsidR="00F7285D" w:rsidRPr="0029055B" w:rsidRDefault="00F7285D" w:rsidP="008709A1">
            <w:pPr>
              <w:rPr>
                <w:szCs w:val="21"/>
              </w:rPr>
            </w:pPr>
            <w:r w:rsidRPr="0029055B">
              <w:rPr>
                <w:szCs w:val="21"/>
              </w:rPr>
              <w:t>Poaceae</w:t>
            </w:r>
          </w:p>
        </w:tc>
        <w:tc>
          <w:tcPr>
            <w:tcW w:w="3122" w:type="dxa"/>
            <w:noWrap/>
            <w:vAlign w:val="bottom"/>
          </w:tcPr>
          <w:p w14:paraId="19923260" w14:textId="77777777" w:rsidR="00F7285D" w:rsidRPr="0029055B" w:rsidRDefault="00F7285D" w:rsidP="008709A1">
            <w:pPr>
              <w:rPr>
                <w:szCs w:val="21"/>
              </w:rPr>
            </w:pPr>
            <w:r w:rsidRPr="0029055B">
              <w:rPr>
                <w:szCs w:val="21"/>
              </w:rPr>
              <w:t>Sporobolus spicatum (H)</w:t>
            </w:r>
          </w:p>
        </w:tc>
        <w:tc>
          <w:tcPr>
            <w:tcW w:w="1559" w:type="dxa"/>
            <w:noWrap/>
            <w:vAlign w:val="bottom"/>
          </w:tcPr>
          <w:p w14:paraId="18A350FD" w14:textId="77777777" w:rsidR="00F7285D" w:rsidRPr="0029055B" w:rsidRDefault="00F7285D" w:rsidP="008709A1">
            <w:pPr>
              <w:rPr>
                <w:szCs w:val="21"/>
              </w:rPr>
            </w:pPr>
          </w:p>
        </w:tc>
        <w:tc>
          <w:tcPr>
            <w:tcW w:w="1921" w:type="dxa"/>
            <w:tcBorders>
              <w:right w:val="single" w:sz="8" w:space="0" w:color="auto"/>
            </w:tcBorders>
          </w:tcPr>
          <w:p w14:paraId="4C66B1A8" w14:textId="77777777" w:rsidR="00F7285D" w:rsidRPr="0029055B" w:rsidRDefault="00F7285D" w:rsidP="008709A1">
            <w:pPr>
              <w:rPr>
                <w:szCs w:val="21"/>
              </w:rPr>
            </w:pPr>
            <w:r w:rsidRPr="0029055B">
              <w:rPr>
                <w:szCs w:val="21"/>
              </w:rPr>
              <w:t>Fhb</w:t>
            </w:r>
          </w:p>
        </w:tc>
      </w:tr>
      <w:tr w:rsidR="00F7285D" w:rsidRPr="0029055B" w14:paraId="1427C459" w14:textId="77777777" w:rsidTr="008709A1">
        <w:trPr>
          <w:trHeight w:val="315"/>
          <w:jc w:val="center"/>
        </w:trPr>
        <w:tc>
          <w:tcPr>
            <w:tcW w:w="500" w:type="dxa"/>
            <w:tcBorders>
              <w:left w:val="single" w:sz="8" w:space="0" w:color="auto"/>
            </w:tcBorders>
            <w:noWrap/>
            <w:vAlign w:val="bottom"/>
          </w:tcPr>
          <w:p w14:paraId="79FF5A5E" w14:textId="77777777" w:rsidR="00F7285D" w:rsidRPr="0029055B" w:rsidRDefault="00F7285D" w:rsidP="008709A1">
            <w:pPr>
              <w:rPr>
                <w:szCs w:val="21"/>
              </w:rPr>
            </w:pPr>
            <w:r w:rsidRPr="0029055B">
              <w:rPr>
                <w:szCs w:val="21"/>
              </w:rPr>
              <w:t>110</w:t>
            </w:r>
          </w:p>
        </w:tc>
        <w:tc>
          <w:tcPr>
            <w:tcW w:w="2980" w:type="dxa"/>
            <w:vAlign w:val="bottom"/>
          </w:tcPr>
          <w:p w14:paraId="543AD217" w14:textId="77777777" w:rsidR="00F7285D" w:rsidRPr="0029055B" w:rsidRDefault="00F7285D" w:rsidP="008709A1">
            <w:pPr>
              <w:rPr>
                <w:szCs w:val="21"/>
              </w:rPr>
            </w:pPr>
            <w:r w:rsidRPr="0029055B">
              <w:rPr>
                <w:szCs w:val="21"/>
              </w:rPr>
              <w:t>Poaceae</w:t>
            </w:r>
          </w:p>
        </w:tc>
        <w:tc>
          <w:tcPr>
            <w:tcW w:w="3122" w:type="dxa"/>
            <w:noWrap/>
            <w:vAlign w:val="bottom"/>
          </w:tcPr>
          <w:p w14:paraId="6F9AA5A1" w14:textId="77777777" w:rsidR="00F7285D" w:rsidRPr="0029055B" w:rsidRDefault="00F7285D" w:rsidP="008709A1">
            <w:pPr>
              <w:rPr>
                <w:szCs w:val="21"/>
              </w:rPr>
            </w:pPr>
            <w:r w:rsidRPr="0029055B">
              <w:rPr>
                <w:szCs w:val="21"/>
              </w:rPr>
              <w:t>Synanrundinaria alpinia (A)</w:t>
            </w:r>
          </w:p>
        </w:tc>
        <w:tc>
          <w:tcPr>
            <w:tcW w:w="1559" w:type="dxa"/>
            <w:noWrap/>
            <w:vAlign w:val="bottom"/>
          </w:tcPr>
          <w:p w14:paraId="1AD0F333" w14:textId="77777777" w:rsidR="00F7285D" w:rsidRPr="0029055B" w:rsidRDefault="00F7285D" w:rsidP="008709A1">
            <w:pPr>
              <w:rPr>
                <w:szCs w:val="21"/>
              </w:rPr>
            </w:pPr>
            <w:r w:rsidRPr="0029055B">
              <w:rPr>
                <w:szCs w:val="21"/>
              </w:rPr>
              <w:t xml:space="preserve">Nseke </w:t>
            </w:r>
          </w:p>
        </w:tc>
        <w:tc>
          <w:tcPr>
            <w:tcW w:w="1921" w:type="dxa"/>
            <w:tcBorders>
              <w:right w:val="single" w:sz="8" w:space="0" w:color="auto"/>
            </w:tcBorders>
          </w:tcPr>
          <w:p w14:paraId="5D0E999B" w14:textId="77777777" w:rsidR="00F7285D" w:rsidRPr="0029055B" w:rsidRDefault="00F7285D" w:rsidP="008709A1">
            <w:pPr>
              <w:rPr>
                <w:szCs w:val="21"/>
              </w:rPr>
            </w:pPr>
            <w:r w:rsidRPr="0029055B">
              <w:rPr>
                <w:szCs w:val="21"/>
              </w:rPr>
              <w:t>Fmont</w:t>
            </w:r>
          </w:p>
        </w:tc>
      </w:tr>
      <w:tr w:rsidR="00F7285D" w:rsidRPr="0029055B" w14:paraId="0C4BE507" w14:textId="77777777" w:rsidTr="008709A1">
        <w:trPr>
          <w:trHeight w:val="315"/>
          <w:jc w:val="center"/>
        </w:trPr>
        <w:tc>
          <w:tcPr>
            <w:tcW w:w="500" w:type="dxa"/>
            <w:tcBorders>
              <w:left w:val="single" w:sz="8" w:space="0" w:color="auto"/>
            </w:tcBorders>
            <w:noWrap/>
            <w:vAlign w:val="bottom"/>
          </w:tcPr>
          <w:p w14:paraId="54A45988" w14:textId="77777777" w:rsidR="00F7285D" w:rsidRPr="0029055B" w:rsidRDefault="00F7285D" w:rsidP="008709A1">
            <w:pPr>
              <w:rPr>
                <w:szCs w:val="21"/>
              </w:rPr>
            </w:pPr>
            <w:r w:rsidRPr="0029055B">
              <w:rPr>
                <w:szCs w:val="21"/>
              </w:rPr>
              <w:t>111</w:t>
            </w:r>
          </w:p>
        </w:tc>
        <w:tc>
          <w:tcPr>
            <w:tcW w:w="2980" w:type="dxa"/>
            <w:vAlign w:val="bottom"/>
          </w:tcPr>
          <w:p w14:paraId="400B9005" w14:textId="77777777" w:rsidR="00F7285D" w:rsidRPr="0029055B" w:rsidRDefault="00F7285D" w:rsidP="008709A1">
            <w:pPr>
              <w:rPr>
                <w:szCs w:val="21"/>
              </w:rPr>
            </w:pPr>
            <w:r w:rsidRPr="0029055B">
              <w:rPr>
                <w:szCs w:val="21"/>
              </w:rPr>
              <w:t>Poaceae</w:t>
            </w:r>
          </w:p>
        </w:tc>
        <w:tc>
          <w:tcPr>
            <w:tcW w:w="3122" w:type="dxa"/>
            <w:noWrap/>
            <w:vAlign w:val="bottom"/>
          </w:tcPr>
          <w:p w14:paraId="16A0F2F3" w14:textId="77777777" w:rsidR="00F7285D" w:rsidRPr="0029055B" w:rsidRDefault="00F7285D" w:rsidP="008709A1">
            <w:pPr>
              <w:rPr>
                <w:szCs w:val="21"/>
              </w:rPr>
            </w:pPr>
            <w:r w:rsidRPr="0029055B">
              <w:rPr>
                <w:szCs w:val="21"/>
              </w:rPr>
              <w:t>Synanrundinaria racemosa (A)</w:t>
            </w:r>
          </w:p>
        </w:tc>
        <w:tc>
          <w:tcPr>
            <w:tcW w:w="1559" w:type="dxa"/>
            <w:noWrap/>
            <w:vAlign w:val="bottom"/>
          </w:tcPr>
          <w:p w14:paraId="379513AB" w14:textId="77777777" w:rsidR="00F7285D" w:rsidRPr="0029055B" w:rsidRDefault="00F7285D" w:rsidP="008709A1">
            <w:pPr>
              <w:rPr>
                <w:szCs w:val="21"/>
              </w:rPr>
            </w:pPr>
            <w:r w:rsidRPr="0029055B">
              <w:rPr>
                <w:szCs w:val="21"/>
              </w:rPr>
              <w:t xml:space="preserve">Nseke </w:t>
            </w:r>
          </w:p>
        </w:tc>
        <w:tc>
          <w:tcPr>
            <w:tcW w:w="1921" w:type="dxa"/>
            <w:tcBorders>
              <w:right w:val="single" w:sz="8" w:space="0" w:color="auto"/>
            </w:tcBorders>
          </w:tcPr>
          <w:p w14:paraId="6D205438" w14:textId="77777777" w:rsidR="00F7285D" w:rsidRPr="0029055B" w:rsidRDefault="00F7285D" w:rsidP="008709A1">
            <w:pPr>
              <w:rPr>
                <w:szCs w:val="21"/>
              </w:rPr>
            </w:pPr>
            <w:r w:rsidRPr="0029055B">
              <w:rPr>
                <w:szCs w:val="21"/>
              </w:rPr>
              <w:t>Fmont</w:t>
            </w:r>
          </w:p>
        </w:tc>
      </w:tr>
      <w:tr w:rsidR="00F7285D" w:rsidRPr="0029055B" w14:paraId="541B4DA9" w14:textId="77777777" w:rsidTr="008709A1">
        <w:trPr>
          <w:trHeight w:val="315"/>
          <w:jc w:val="center"/>
        </w:trPr>
        <w:tc>
          <w:tcPr>
            <w:tcW w:w="500" w:type="dxa"/>
            <w:tcBorders>
              <w:left w:val="single" w:sz="8" w:space="0" w:color="auto"/>
              <w:bottom w:val="single" w:sz="4" w:space="0" w:color="auto"/>
            </w:tcBorders>
            <w:noWrap/>
            <w:vAlign w:val="bottom"/>
          </w:tcPr>
          <w:p w14:paraId="569DFA9C" w14:textId="77777777" w:rsidR="00F7285D" w:rsidRPr="0029055B" w:rsidRDefault="00F7285D" w:rsidP="008709A1">
            <w:pPr>
              <w:rPr>
                <w:szCs w:val="21"/>
              </w:rPr>
            </w:pPr>
            <w:r w:rsidRPr="0029055B">
              <w:rPr>
                <w:szCs w:val="21"/>
              </w:rPr>
              <w:t>112</w:t>
            </w:r>
          </w:p>
        </w:tc>
        <w:tc>
          <w:tcPr>
            <w:tcW w:w="2980" w:type="dxa"/>
            <w:vAlign w:val="bottom"/>
          </w:tcPr>
          <w:p w14:paraId="05A40DF0" w14:textId="77777777" w:rsidR="00F7285D" w:rsidRPr="0029055B" w:rsidRDefault="00F7285D" w:rsidP="008709A1">
            <w:pPr>
              <w:rPr>
                <w:szCs w:val="21"/>
              </w:rPr>
            </w:pPr>
            <w:r w:rsidRPr="0029055B">
              <w:rPr>
                <w:szCs w:val="21"/>
              </w:rPr>
              <w:t>Euphorbiaceae</w:t>
            </w:r>
          </w:p>
        </w:tc>
        <w:tc>
          <w:tcPr>
            <w:tcW w:w="3122" w:type="dxa"/>
            <w:noWrap/>
            <w:vAlign w:val="bottom"/>
          </w:tcPr>
          <w:p w14:paraId="01B76CCF" w14:textId="77777777" w:rsidR="00F7285D" w:rsidRPr="0029055B" w:rsidRDefault="00F7285D" w:rsidP="008709A1">
            <w:pPr>
              <w:rPr>
                <w:szCs w:val="21"/>
              </w:rPr>
            </w:pPr>
            <w:r w:rsidRPr="0029055B">
              <w:rPr>
                <w:szCs w:val="21"/>
              </w:rPr>
              <w:t>Synedrella nodiflora (H)</w:t>
            </w:r>
          </w:p>
        </w:tc>
        <w:tc>
          <w:tcPr>
            <w:tcW w:w="1559" w:type="dxa"/>
            <w:noWrap/>
            <w:vAlign w:val="bottom"/>
          </w:tcPr>
          <w:p w14:paraId="74D5F2A6" w14:textId="77777777" w:rsidR="00F7285D" w:rsidRPr="0029055B" w:rsidRDefault="00F7285D" w:rsidP="008709A1">
            <w:pPr>
              <w:rPr>
                <w:szCs w:val="21"/>
              </w:rPr>
            </w:pPr>
          </w:p>
        </w:tc>
        <w:tc>
          <w:tcPr>
            <w:tcW w:w="1921" w:type="dxa"/>
            <w:tcBorders>
              <w:right w:val="single" w:sz="8" w:space="0" w:color="auto"/>
            </w:tcBorders>
          </w:tcPr>
          <w:p w14:paraId="4ECAC603" w14:textId="77777777" w:rsidR="00F7285D" w:rsidRPr="0029055B" w:rsidRDefault="00F7285D" w:rsidP="008709A1">
            <w:pPr>
              <w:rPr>
                <w:szCs w:val="21"/>
              </w:rPr>
            </w:pPr>
            <w:r w:rsidRPr="0029055B">
              <w:rPr>
                <w:szCs w:val="21"/>
              </w:rPr>
              <w:t>Rud.</w:t>
            </w:r>
          </w:p>
        </w:tc>
      </w:tr>
      <w:tr w:rsidR="00F7285D" w:rsidRPr="0029055B" w14:paraId="7A46D019" w14:textId="77777777" w:rsidTr="008709A1">
        <w:trPr>
          <w:trHeight w:val="315"/>
          <w:jc w:val="center"/>
        </w:trPr>
        <w:tc>
          <w:tcPr>
            <w:tcW w:w="500" w:type="dxa"/>
            <w:tcBorders>
              <w:top w:val="single" w:sz="4" w:space="0" w:color="auto"/>
              <w:left w:val="single" w:sz="8" w:space="0" w:color="auto"/>
            </w:tcBorders>
            <w:noWrap/>
            <w:vAlign w:val="bottom"/>
          </w:tcPr>
          <w:p w14:paraId="367F2DCD" w14:textId="77777777" w:rsidR="00F7285D" w:rsidRPr="0029055B" w:rsidRDefault="00F7285D" w:rsidP="008709A1">
            <w:pPr>
              <w:rPr>
                <w:szCs w:val="21"/>
              </w:rPr>
            </w:pPr>
            <w:r w:rsidRPr="0029055B">
              <w:rPr>
                <w:szCs w:val="21"/>
              </w:rPr>
              <w:t>113</w:t>
            </w:r>
          </w:p>
        </w:tc>
        <w:tc>
          <w:tcPr>
            <w:tcW w:w="2980" w:type="dxa"/>
            <w:vAlign w:val="bottom"/>
          </w:tcPr>
          <w:p w14:paraId="480CF068" w14:textId="77777777" w:rsidR="00F7285D" w:rsidRPr="0029055B" w:rsidRDefault="00F7285D" w:rsidP="008709A1">
            <w:pPr>
              <w:rPr>
                <w:szCs w:val="21"/>
              </w:rPr>
            </w:pPr>
            <w:r w:rsidRPr="0029055B">
              <w:rPr>
                <w:szCs w:val="21"/>
              </w:rPr>
              <w:t>Apocynaceae</w:t>
            </w:r>
          </w:p>
        </w:tc>
        <w:tc>
          <w:tcPr>
            <w:tcW w:w="3122" w:type="dxa"/>
            <w:noWrap/>
            <w:vAlign w:val="bottom"/>
          </w:tcPr>
          <w:p w14:paraId="336FA4F1" w14:textId="77777777" w:rsidR="00F7285D" w:rsidRPr="0029055B" w:rsidRDefault="00F7285D" w:rsidP="008709A1">
            <w:pPr>
              <w:rPr>
                <w:szCs w:val="21"/>
              </w:rPr>
            </w:pPr>
            <w:r w:rsidRPr="0029055B">
              <w:rPr>
                <w:szCs w:val="21"/>
              </w:rPr>
              <w:t>Tabernaemontana johnstonii (a)</w:t>
            </w:r>
          </w:p>
        </w:tc>
        <w:tc>
          <w:tcPr>
            <w:tcW w:w="1559" w:type="dxa"/>
            <w:noWrap/>
            <w:vAlign w:val="bottom"/>
          </w:tcPr>
          <w:p w14:paraId="5D177F40" w14:textId="77777777" w:rsidR="00F7285D" w:rsidRPr="0029055B" w:rsidRDefault="00F7285D" w:rsidP="008709A1">
            <w:pPr>
              <w:rPr>
                <w:szCs w:val="21"/>
              </w:rPr>
            </w:pPr>
          </w:p>
        </w:tc>
        <w:tc>
          <w:tcPr>
            <w:tcW w:w="1921" w:type="dxa"/>
            <w:tcBorders>
              <w:right w:val="single" w:sz="8" w:space="0" w:color="auto"/>
            </w:tcBorders>
          </w:tcPr>
          <w:p w14:paraId="6979A1F3" w14:textId="77777777" w:rsidR="00F7285D" w:rsidRPr="0029055B" w:rsidRDefault="00F7285D" w:rsidP="008709A1">
            <w:pPr>
              <w:rPr>
                <w:szCs w:val="21"/>
              </w:rPr>
            </w:pPr>
            <w:r w:rsidRPr="0029055B">
              <w:rPr>
                <w:szCs w:val="21"/>
              </w:rPr>
              <w:t>Fsmont</w:t>
            </w:r>
          </w:p>
        </w:tc>
      </w:tr>
      <w:tr w:rsidR="00F7285D" w:rsidRPr="0029055B" w14:paraId="0BB211CF" w14:textId="77777777" w:rsidTr="008709A1">
        <w:trPr>
          <w:trHeight w:val="315"/>
          <w:jc w:val="center"/>
        </w:trPr>
        <w:tc>
          <w:tcPr>
            <w:tcW w:w="500" w:type="dxa"/>
            <w:tcBorders>
              <w:left w:val="single" w:sz="8" w:space="0" w:color="auto"/>
            </w:tcBorders>
            <w:noWrap/>
            <w:vAlign w:val="bottom"/>
          </w:tcPr>
          <w:p w14:paraId="09AA53B5" w14:textId="77777777" w:rsidR="00F7285D" w:rsidRPr="0029055B" w:rsidRDefault="00F7285D" w:rsidP="008709A1">
            <w:pPr>
              <w:rPr>
                <w:szCs w:val="21"/>
              </w:rPr>
            </w:pPr>
            <w:r w:rsidRPr="0029055B">
              <w:rPr>
                <w:szCs w:val="21"/>
              </w:rPr>
              <w:t>114</w:t>
            </w:r>
          </w:p>
        </w:tc>
        <w:tc>
          <w:tcPr>
            <w:tcW w:w="2980" w:type="dxa"/>
            <w:vAlign w:val="bottom"/>
          </w:tcPr>
          <w:p w14:paraId="665A0DB6" w14:textId="77777777" w:rsidR="00F7285D" w:rsidRPr="0029055B" w:rsidRDefault="00F7285D" w:rsidP="008709A1">
            <w:pPr>
              <w:rPr>
                <w:szCs w:val="21"/>
              </w:rPr>
            </w:pPr>
            <w:r w:rsidRPr="0029055B">
              <w:rPr>
                <w:szCs w:val="21"/>
              </w:rPr>
              <w:t>Poaceae</w:t>
            </w:r>
          </w:p>
        </w:tc>
        <w:tc>
          <w:tcPr>
            <w:tcW w:w="3122" w:type="dxa"/>
            <w:noWrap/>
            <w:vAlign w:val="bottom"/>
          </w:tcPr>
          <w:p w14:paraId="27CCD97C" w14:textId="77777777" w:rsidR="00F7285D" w:rsidRPr="0029055B" w:rsidRDefault="00F7285D" w:rsidP="008709A1">
            <w:pPr>
              <w:rPr>
                <w:szCs w:val="21"/>
              </w:rPr>
            </w:pPr>
            <w:r w:rsidRPr="0029055B">
              <w:rPr>
                <w:szCs w:val="21"/>
              </w:rPr>
              <w:t>Themeda triandra (H)</w:t>
            </w:r>
          </w:p>
        </w:tc>
        <w:tc>
          <w:tcPr>
            <w:tcW w:w="1559" w:type="dxa"/>
            <w:noWrap/>
            <w:vAlign w:val="bottom"/>
          </w:tcPr>
          <w:p w14:paraId="78C01FC4" w14:textId="77777777" w:rsidR="00F7285D" w:rsidRPr="0029055B" w:rsidRDefault="00F7285D" w:rsidP="008709A1">
            <w:pPr>
              <w:rPr>
                <w:szCs w:val="21"/>
              </w:rPr>
            </w:pPr>
          </w:p>
        </w:tc>
        <w:tc>
          <w:tcPr>
            <w:tcW w:w="1921" w:type="dxa"/>
            <w:tcBorders>
              <w:right w:val="single" w:sz="8" w:space="0" w:color="auto"/>
            </w:tcBorders>
          </w:tcPr>
          <w:p w14:paraId="7D8FAB78" w14:textId="77777777" w:rsidR="00F7285D" w:rsidRPr="0029055B" w:rsidRDefault="00F7285D" w:rsidP="008709A1">
            <w:pPr>
              <w:rPr>
                <w:szCs w:val="21"/>
              </w:rPr>
            </w:pPr>
            <w:r w:rsidRPr="0029055B">
              <w:rPr>
                <w:szCs w:val="21"/>
              </w:rPr>
              <w:t>Fhb</w:t>
            </w:r>
          </w:p>
        </w:tc>
      </w:tr>
      <w:tr w:rsidR="00F7285D" w:rsidRPr="0029055B" w14:paraId="18A5968B" w14:textId="77777777" w:rsidTr="008709A1">
        <w:trPr>
          <w:trHeight w:val="315"/>
          <w:jc w:val="center"/>
        </w:trPr>
        <w:tc>
          <w:tcPr>
            <w:tcW w:w="500" w:type="dxa"/>
            <w:tcBorders>
              <w:left w:val="single" w:sz="8" w:space="0" w:color="auto"/>
            </w:tcBorders>
            <w:noWrap/>
            <w:vAlign w:val="bottom"/>
          </w:tcPr>
          <w:p w14:paraId="4961E560" w14:textId="77777777" w:rsidR="00F7285D" w:rsidRPr="0029055B" w:rsidRDefault="00F7285D" w:rsidP="008709A1">
            <w:pPr>
              <w:rPr>
                <w:szCs w:val="21"/>
              </w:rPr>
            </w:pPr>
            <w:r w:rsidRPr="0029055B">
              <w:rPr>
                <w:szCs w:val="21"/>
              </w:rPr>
              <w:t>115</w:t>
            </w:r>
          </w:p>
        </w:tc>
        <w:tc>
          <w:tcPr>
            <w:tcW w:w="2980" w:type="dxa"/>
            <w:vAlign w:val="bottom"/>
          </w:tcPr>
          <w:p w14:paraId="4BA97009" w14:textId="77777777" w:rsidR="00F7285D" w:rsidRPr="0029055B" w:rsidRDefault="00F7285D" w:rsidP="008709A1">
            <w:pPr>
              <w:rPr>
                <w:szCs w:val="21"/>
              </w:rPr>
            </w:pPr>
            <w:r w:rsidRPr="0029055B">
              <w:rPr>
                <w:szCs w:val="21"/>
              </w:rPr>
              <w:t>Ulmaceae</w:t>
            </w:r>
          </w:p>
        </w:tc>
        <w:tc>
          <w:tcPr>
            <w:tcW w:w="3122" w:type="dxa"/>
            <w:noWrap/>
            <w:vAlign w:val="bottom"/>
          </w:tcPr>
          <w:p w14:paraId="3E3BF325" w14:textId="77777777" w:rsidR="00F7285D" w:rsidRPr="0029055B" w:rsidRDefault="00F7285D" w:rsidP="008709A1">
            <w:pPr>
              <w:rPr>
                <w:szCs w:val="21"/>
              </w:rPr>
            </w:pPr>
            <w:r w:rsidRPr="0029055B">
              <w:rPr>
                <w:szCs w:val="21"/>
              </w:rPr>
              <w:t>Trema orientalis</w:t>
            </w:r>
          </w:p>
        </w:tc>
        <w:tc>
          <w:tcPr>
            <w:tcW w:w="1559" w:type="dxa"/>
            <w:noWrap/>
            <w:vAlign w:val="bottom"/>
          </w:tcPr>
          <w:p w14:paraId="1CEB9F2C" w14:textId="77777777" w:rsidR="00F7285D" w:rsidRPr="0029055B" w:rsidRDefault="00F7285D" w:rsidP="008709A1">
            <w:pPr>
              <w:rPr>
                <w:szCs w:val="21"/>
              </w:rPr>
            </w:pPr>
          </w:p>
        </w:tc>
        <w:tc>
          <w:tcPr>
            <w:tcW w:w="1921" w:type="dxa"/>
            <w:tcBorders>
              <w:right w:val="single" w:sz="8" w:space="0" w:color="auto"/>
            </w:tcBorders>
          </w:tcPr>
          <w:p w14:paraId="16460E77" w14:textId="77777777" w:rsidR="00F7285D" w:rsidRPr="0029055B" w:rsidRDefault="00F7285D" w:rsidP="008709A1">
            <w:pPr>
              <w:rPr>
                <w:szCs w:val="21"/>
              </w:rPr>
            </w:pPr>
            <w:r w:rsidRPr="0029055B">
              <w:rPr>
                <w:szCs w:val="21"/>
              </w:rPr>
              <w:t>Valmont</w:t>
            </w:r>
          </w:p>
        </w:tc>
      </w:tr>
      <w:tr w:rsidR="00F7285D" w:rsidRPr="0029055B" w14:paraId="5B6C30FA" w14:textId="77777777" w:rsidTr="008709A1">
        <w:trPr>
          <w:trHeight w:val="315"/>
          <w:jc w:val="center"/>
        </w:trPr>
        <w:tc>
          <w:tcPr>
            <w:tcW w:w="500" w:type="dxa"/>
            <w:tcBorders>
              <w:left w:val="single" w:sz="8" w:space="0" w:color="auto"/>
            </w:tcBorders>
            <w:noWrap/>
            <w:vAlign w:val="bottom"/>
          </w:tcPr>
          <w:p w14:paraId="238D0586" w14:textId="77777777" w:rsidR="00F7285D" w:rsidRPr="0029055B" w:rsidRDefault="00F7285D" w:rsidP="008709A1">
            <w:pPr>
              <w:rPr>
                <w:szCs w:val="21"/>
              </w:rPr>
            </w:pPr>
            <w:r w:rsidRPr="0029055B">
              <w:rPr>
                <w:szCs w:val="21"/>
              </w:rPr>
              <w:t>116</w:t>
            </w:r>
          </w:p>
        </w:tc>
        <w:tc>
          <w:tcPr>
            <w:tcW w:w="2980" w:type="dxa"/>
            <w:vAlign w:val="bottom"/>
          </w:tcPr>
          <w:p w14:paraId="7419B3E7" w14:textId="77777777" w:rsidR="00F7285D" w:rsidRPr="0029055B" w:rsidRDefault="00F7285D" w:rsidP="008709A1">
            <w:pPr>
              <w:rPr>
                <w:szCs w:val="21"/>
              </w:rPr>
            </w:pPr>
            <w:r w:rsidRPr="0029055B">
              <w:rPr>
                <w:szCs w:val="21"/>
              </w:rPr>
              <w:t>Meliaceae</w:t>
            </w:r>
          </w:p>
        </w:tc>
        <w:tc>
          <w:tcPr>
            <w:tcW w:w="3122" w:type="dxa"/>
            <w:noWrap/>
            <w:vAlign w:val="bottom"/>
          </w:tcPr>
          <w:p w14:paraId="19179709" w14:textId="77777777" w:rsidR="00F7285D" w:rsidRPr="0029055B" w:rsidRDefault="00F7285D" w:rsidP="008709A1">
            <w:pPr>
              <w:rPr>
                <w:szCs w:val="21"/>
              </w:rPr>
            </w:pPr>
            <w:r w:rsidRPr="0029055B">
              <w:rPr>
                <w:szCs w:val="21"/>
              </w:rPr>
              <w:t>Trichilia volkensii (a)</w:t>
            </w:r>
          </w:p>
        </w:tc>
        <w:tc>
          <w:tcPr>
            <w:tcW w:w="1559" w:type="dxa"/>
            <w:noWrap/>
            <w:vAlign w:val="bottom"/>
          </w:tcPr>
          <w:p w14:paraId="390A0053" w14:textId="77777777" w:rsidR="00F7285D" w:rsidRPr="0029055B" w:rsidRDefault="00F7285D" w:rsidP="008709A1">
            <w:pPr>
              <w:rPr>
                <w:szCs w:val="21"/>
              </w:rPr>
            </w:pPr>
          </w:p>
        </w:tc>
        <w:tc>
          <w:tcPr>
            <w:tcW w:w="1921" w:type="dxa"/>
            <w:tcBorders>
              <w:right w:val="single" w:sz="8" w:space="0" w:color="auto"/>
            </w:tcBorders>
          </w:tcPr>
          <w:p w14:paraId="4FBB31A4" w14:textId="77777777" w:rsidR="00F7285D" w:rsidRPr="0029055B" w:rsidRDefault="00F7285D" w:rsidP="008709A1">
            <w:pPr>
              <w:rPr>
                <w:szCs w:val="21"/>
              </w:rPr>
            </w:pPr>
            <w:r w:rsidRPr="0029055B">
              <w:rPr>
                <w:szCs w:val="21"/>
              </w:rPr>
              <w:t>Fm</w:t>
            </w:r>
          </w:p>
        </w:tc>
      </w:tr>
      <w:tr w:rsidR="00F7285D" w:rsidRPr="0029055B" w14:paraId="6EC8ED03" w14:textId="77777777" w:rsidTr="008709A1">
        <w:trPr>
          <w:trHeight w:val="315"/>
          <w:jc w:val="center"/>
        </w:trPr>
        <w:tc>
          <w:tcPr>
            <w:tcW w:w="500" w:type="dxa"/>
            <w:tcBorders>
              <w:left w:val="single" w:sz="8" w:space="0" w:color="auto"/>
            </w:tcBorders>
            <w:noWrap/>
            <w:vAlign w:val="bottom"/>
          </w:tcPr>
          <w:p w14:paraId="609FBCD6" w14:textId="77777777" w:rsidR="00F7285D" w:rsidRPr="0029055B" w:rsidRDefault="00F7285D" w:rsidP="008709A1">
            <w:pPr>
              <w:rPr>
                <w:szCs w:val="21"/>
              </w:rPr>
            </w:pPr>
            <w:r w:rsidRPr="0029055B">
              <w:rPr>
                <w:szCs w:val="21"/>
              </w:rPr>
              <w:t>117</w:t>
            </w:r>
          </w:p>
        </w:tc>
        <w:tc>
          <w:tcPr>
            <w:tcW w:w="2980" w:type="dxa"/>
            <w:vAlign w:val="bottom"/>
          </w:tcPr>
          <w:p w14:paraId="6B1C4BA9" w14:textId="77777777" w:rsidR="00F7285D" w:rsidRPr="0029055B" w:rsidRDefault="00F7285D" w:rsidP="008709A1">
            <w:pPr>
              <w:rPr>
                <w:szCs w:val="21"/>
              </w:rPr>
            </w:pPr>
            <w:r w:rsidRPr="0029055B">
              <w:rPr>
                <w:szCs w:val="21"/>
              </w:rPr>
              <w:t>Asteraceae</w:t>
            </w:r>
          </w:p>
        </w:tc>
        <w:tc>
          <w:tcPr>
            <w:tcW w:w="3122" w:type="dxa"/>
            <w:noWrap/>
            <w:vAlign w:val="bottom"/>
          </w:tcPr>
          <w:p w14:paraId="378F7E24" w14:textId="77777777" w:rsidR="00F7285D" w:rsidRPr="0029055B" w:rsidRDefault="00F7285D" w:rsidP="008709A1">
            <w:pPr>
              <w:rPr>
                <w:szCs w:val="21"/>
              </w:rPr>
            </w:pPr>
            <w:r w:rsidRPr="0029055B">
              <w:rPr>
                <w:szCs w:val="21"/>
              </w:rPr>
              <w:t>Vernonia amygdalina</w:t>
            </w:r>
          </w:p>
        </w:tc>
        <w:tc>
          <w:tcPr>
            <w:tcW w:w="1559" w:type="dxa"/>
            <w:noWrap/>
            <w:vAlign w:val="bottom"/>
          </w:tcPr>
          <w:p w14:paraId="16E70CB6" w14:textId="77777777" w:rsidR="00F7285D" w:rsidRPr="0029055B" w:rsidRDefault="00F7285D" w:rsidP="008709A1">
            <w:pPr>
              <w:rPr>
                <w:szCs w:val="21"/>
              </w:rPr>
            </w:pPr>
          </w:p>
        </w:tc>
        <w:tc>
          <w:tcPr>
            <w:tcW w:w="1921" w:type="dxa"/>
            <w:tcBorders>
              <w:right w:val="single" w:sz="8" w:space="0" w:color="auto"/>
            </w:tcBorders>
          </w:tcPr>
          <w:p w14:paraId="38DF6F98" w14:textId="77777777" w:rsidR="00F7285D" w:rsidRPr="0029055B" w:rsidRDefault="00F7285D" w:rsidP="008709A1">
            <w:pPr>
              <w:rPr>
                <w:szCs w:val="21"/>
              </w:rPr>
            </w:pPr>
            <w:r w:rsidRPr="0029055B">
              <w:rPr>
                <w:szCs w:val="21"/>
              </w:rPr>
              <w:t>Fs, Rud.</w:t>
            </w:r>
          </w:p>
        </w:tc>
      </w:tr>
      <w:tr w:rsidR="00F7285D" w:rsidRPr="0029055B" w14:paraId="51EB7F31" w14:textId="77777777" w:rsidTr="008709A1">
        <w:trPr>
          <w:trHeight w:val="315"/>
          <w:jc w:val="center"/>
        </w:trPr>
        <w:tc>
          <w:tcPr>
            <w:tcW w:w="500" w:type="dxa"/>
            <w:tcBorders>
              <w:left w:val="single" w:sz="8" w:space="0" w:color="auto"/>
              <w:bottom w:val="single" w:sz="4" w:space="0" w:color="auto"/>
            </w:tcBorders>
            <w:noWrap/>
            <w:vAlign w:val="bottom"/>
          </w:tcPr>
          <w:p w14:paraId="2D398147" w14:textId="77777777" w:rsidR="00F7285D" w:rsidRPr="0029055B" w:rsidRDefault="00F7285D" w:rsidP="008709A1">
            <w:pPr>
              <w:rPr>
                <w:szCs w:val="21"/>
              </w:rPr>
            </w:pPr>
            <w:r w:rsidRPr="0029055B">
              <w:rPr>
                <w:szCs w:val="21"/>
              </w:rPr>
              <w:t>118</w:t>
            </w:r>
          </w:p>
        </w:tc>
        <w:tc>
          <w:tcPr>
            <w:tcW w:w="2980" w:type="dxa"/>
            <w:vAlign w:val="bottom"/>
          </w:tcPr>
          <w:p w14:paraId="12215DEF" w14:textId="77777777" w:rsidR="00F7285D" w:rsidRPr="0029055B" w:rsidRDefault="00F7285D" w:rsidP="008709A1">
            <w:pPr>
              <w:rPr>
                <w:szCs w:val="21"/>
              </w:rPr>
            </w:pPr>
            <w:r w:rsidRPr="0029055B">
              <w:rPr>
                <w:szCs w:val="21"/>
              </w:rPr>
              <w:t>Violaceae</w:t>
            </w:r>
          </w:p>
        </w:tc>
        <w:tc>
          <w:tcPr>
            <w:tcW w:w="3122" w:type="dxa"/>
            <w:noWrap/>
            <w:vAlign w:val="bottom"/>
          </w:tcPr>
          <w:p w14:paraId="251D44D6" w14:textId="77777777" w:rsidR="00F7285D" w:rsidRPr="0029055B" w:rsidRDefault="00F7285D" w:rsidP="008709A1">
            <w:pPr>
              <w:rPr>
                <w:szCs w:val="21"/>
              </w:rPr>
            </w:pPr>
            <w:r w:rsidRPr="0029055B">
              <w:rPr>
                <w:szCs w:val="21"/>
              </w:rPr>
              <w:t>Viola abyssinica</w:t>
            </w:r>
          </w:p>
        </w:tc>
        <w:tc>
          <w:tcPr>
            <w:tcW w:w="1559" w:type="dxa"/>
            <w:noWrap/>
            <w:vAlign w:val="bottom"/>
          </w:tcPr>
          <w:p w14:paraId="6EE68341" w14:textId="77777777" w:rsidR="00F7285D" w:rsidRPr="0029055B" w:rsidRDefault="00F7285D" w:rsidP="008709A1">
            <w:pPr>
              <w:rPr>
                <w:szCs w:val="21"/>
              </w:rPr>
            </w:pPr>
          </w:p>
        </w:tc>
        <w:tc>
          <w:tcPr>
            <w:tcW w:w="1921" w:type="dxa"/>
            <w:tcBorders>
              <w:right w:val="single" w:sz="8" w:space="0" w:color="auto"/>
            </w:tcBorders>
          </w:tcPr>
          <w:p w14:paraId="1C4659B0" w14:textId="77777777" w:rsidR="00F7285D" w:rsidRPr="0029055B" w:rsidRDefault="00F7285D" w:rsidP="008709A1">
            <w:pPr>
              <w:rPr>
                <w:szCs w:val="21"/>
              </w:rPr>
            </w:pPr>
            <w:r w:rsidRPr="0029055B">
              <w:rPr>
                <w:szCs w:val="21"/>
              </w:rPr>
              <w:t>Fmont</w:t>
            </w:r>
          </w:p>
        </w:tc>
      </w:tr>
      <w:tr w:rsidR="00F7285D" w:rsidRPr="0029055B" w14:paraId="505C898D" w14:textId="77777777" w:rsidTr="008709A1">
        <w:trPr>
          <w:trHeight w:val="315"/>
          <w:jc w:val="center"/>
        </w:trPr>
        <w:tc>
          <w:tcPr>
            <w:tcW w:w="500" w:type="dxa"/>
            <w:tcBorders>
              <w:top w:val="single" w:sz="4" w:space="0" w:color="auto"/>
              <w:left w:val="single" w:sz="8" w:space="0" w:color="auto"/>
              <w:bottom w:val="single" w:sz="8" w:space="0" w:color="auto"/>
            </w:tcBorders>
            <w:noWrap/>
            <w:vAlign w:val="bottom"/>
          </w:tcPr>
          <w:p w14:paraId="527B54DD" w14:textId="77777777" w:rsidR="00F7285D" w:rsidRPr="0029055B" w:rsidRDefault="00F7285D" w:rsidP="008709A1">
            <w:pPr>
              <w:rPr>
                <w:szCs w:val="21"/>
              </w:rPr>
            </w:pPr>
            <w:r w:rsidRPr="0029055B">
              <w:rPr>
                <w:szCs w:val="21"/>
              </w:rPr>
              <w:t>119</w:t>
            </w:r>
          </w:p>
        </w:tc>
        <w:tc>
          <w:tcPr>
            <w:tcW w:w="2980" w:type="dxa"/>
            <w:tcBorders>
              <w:bottom w:val="single" w:sz="8" w:space="0" w:color="auto"/>
            </w:tcBorders>
            <w:vAlign w:val="bottom"/>
          </w:tcPr>
          <w:p w14:paraId="607388DC" w14:textId="77777777" w:rsidR="00F7285D" w:rsidRPr="0029055B" w:rsidRDefault="00F7285D" w:rsidP="008709A1">
            <w:pPr>
              <w:rPr>
                <w:szCs w:val="21"/>
              </w:rPr>
            </w:pPr>
            <w:r w:rsidRPr="0029055B">
              <w:rPr>
                <w:szCs w:val="21"/>
              </w:rPr>
              <w:t>Lichens</w:t>
            </w:r>
          </w:p>
        </w:tc>
        <w:tc>
          <w:tcPr>
            <w:tcW w:w="3122" w:type="dxa"/>
            <w:tcBorders>
              <w:bottom w:val="single" w:sz="8" w:space="0" w:color="auto"/>
            </w:tcBorders>
            <w:noWrap/>
            <w:vAlign w:val="bottom"/>
          </w:tcPr>
          <w:p w14:paraId="4B565350" w14:textId="77777777" w:rsidR="00F7285D" w:rsidRPr="0029055B" w:rsidRDefault="00F7285D" w:rsidP="008709A1">
            <w:pPr>
              <w:rPr>
                <w:szCs w:val="21"/>
              </w:rPr>
            </w:pPr>
            <w:r w:rsidRPr="0029055B">
              <w:rPr>
                <w:szCs w:val="21"/>
              </w:rPr>
              <w:t>Usnea sp.</w:t>
            </w:r>
          </w:p>
        </w:tc>
        <w:tc>
          <w:tcPr>
            <w:tcW w:w="1559" w:type="dxa"/>
            <w:tcBorders>
              <w:bottom w:val="single" w:sz="8" w:space="0" w:color="auto"/>
            </w:tcBorders>
            <w:noWrap/>
            <w:vAlign w:val="bottom"/>
          </w:tcPr>
          <w:p w14:paraId="49C6F369" w14:textId="77777777" w:rsidR="00F7285D" w:rsidRPr="0029055B" w:rsidRDefault="00F7285D" w:rsidP="008709A1">
            <w:pPr>
              <w:rPr>
                <w:szCs w:val="21"/>
              </w:rPr>
            </w:pPr>
          </w:p>
        </w:tc>
        <w:tc>
          <w:tcPr>
            <w:tcW w:w="1921" w:type="dxa"/>
            <w:tcBorders>
              <w:bottom w:val="single" w:sz="8" w:space="0" w:color="auto"/>
              <w:right w:val="single" w:sz="8" w:space="0" w:color="auto"/>
            </w:tcBorders>
          </w:tcPr>
          <w:p w14:paraId="7074EAB1" w14:textId="77777777" w:rsidR="00F7285D" w:rsidRPr="0029055B" w:rsidRDefault="00F7285D" w:rsidP="008709A1">
            <w:pPr>
              <w:rPr>
                <w:szCs w:val="21"/>
              </w:rPr>
            </w:pPr>
            <w:r w:rsidRPr="0029055B">
              <w:rPr>
                <w:szCs w:val="21"/>
              </w:rPr>
              <w:t>Fmont</w:t>
            </w:r>
          </w:p>
        </w:tc>
      </w:tr>
    </w:tbl>
    <w:p w14:paraId="0915CCCE" w14:textId="77777777" w:rsidR="00F7285D" w:rsidRPr="0029055B" w:rsidRDefault="00F7285D" w:rsidP="00F7285D">
      <w:pPr>
        <w:rPr>
          <w:szCs w:val="21"/>
        </w:rPr>
      </w:pPr>
    </w:p>
    <w:p w14:paraId="245EA180" w14:textId="77777777" w:rsidR="00F7285D" w:rsidRPr="0029055B" w:rsidRDefault="00F7285D" w:rsidP="00F7285D">
      <w:pPr>
        <w:rPr>
          <w:szCs w:val="21"/>
        </w:rPr>
      </w:pPr>
      <w:r w:rsidRPr="0029055B">
        <w:rPr>
          <w:szCs w:val="21"/>
        </w:rPr>
        <w:t>Légendes : Morphologie : (a) : arbuste ; (A) : Arbre, (H) : Herbes ; (L) : Liane ; Habitats : Aquat : aquatique ; Fgal : Forêts galeries ; Fh : formation herbeuse (savane) (a : arborée, b : basse) ; Fm : forêt mature (adulte ou climax) ; Fmar. : Forêt marécageuse ; Fmont : Forêt montagnarde ; Fr : forêt riveraine ; Fs : forêt secondaire au sens large ; Fscl : Forêt sclérophylle ; Fsmont : Forêt secondaire de montagne ; Rud. : Rudérales ; Valmont : vallée des montagnes (Source : Hauthorne &amp; Jongkind, 2006).</w:t>
      </w:r>
    </w:p>
    <w:p w14:paraId="3F83BE62" w14:textId="77777777" w:rsidR="00F7285D" w:rsidRPr="0029055B" w:rsidRDefault="00F7285D" w:rsidP="00F7285D">
      <w:pPr>
        <w:rPr>
          <w:szCs w:val="21"/>
        </w:rPr>
      </w:pPr>
      <w:bookmarkStart w:id="290" w:name="_Toc89921652"/>
      <w:bookmarkStart w:id="291" w:name="_Toc90392978"/>
      <w:r w:rsidRPr="0029055B">
        <w:rPr>
          <w:szCs w:val="21"/>
        </w:rPr>
        <w:t xml:space="preserve">Tableau </w:t>
      </w:r>
      <w:r w:rsidRPr="0029055B">
        <w:rPr>
          <w:szCs w:val="21"/>
        </w:rPr>
        <w:fldChar w:fldCharType="begin"/>
      </w:r>
      <w:r w:rsidRPr="0029055B">
        <w:rPr>
          <w:szCs w:val="21"/>
        </w:rPr>
        <w:instrText xml:space="preserve"> SEQ Tableau \* ARABIC </w:instrText>
      </w:r>
      <w:r w:rsidRPr="0029055B">
        <w:rPr>
          <w:szCs w:val="21"/>
        </w:rPr>
        <w:fldChar w:fldCharType="separate"/>
      </w:r>
      <w:r w:rsidRPr="0029055B">
        <w:rPr>
          <w:szCs w:val="21"/>
        </w:rPr>
        <w:t>10</w:t>
      </w:r>
      <w:r w:rsidRPr="0029055B">
        <w:rPr>
          <w:szCs w:val="21"/>
        </w:rPr>
        <w:fldChar w:fldCharType="end"/>
      </w:r>
      <w:r w:rsidRPr="0029055B">
        <w:rPr>
          <w:szCs w:val="21"/>
        </w:rPr>
        <w:t>. Espèces cultivées dans le PNVi</w:t>
      </w:r>
      <w:bookmarkEnd w:id="290"/>
      <w:bookmarkEnd w:id="291"/>
    </w:p>
    <w:p w14:paraId="3C2B907D" w14:textId="77777777" w:rsidR="00F7285D" w:rsidRPr="0029055B" w:rsidRDefault="00F7285D" w:rsidP="00F7285D">
      <w:pPr>
        <w:rPr>
          <w:szCs w:val="21"/>
        </w:rPr>
      </w:pPr>
    </w:p>
    <w:tbl>
      <w:tblPr>
        <w:tblW w:w="10490"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
        <w:gridCol w:w="2125"/>
        <w:gridCol w:w="2551"/>
        <w:gridCol w:w="3261"/>
        <w:gridCol w:w="2126"/>
      </w:tblGrid>
      <w:tr w:rsidR="00F7285D" w:rsidRPr="0029055B" w14:paraId="310F6D2C" w14:textId="77777777" w:rsidTr="008709A1">
        <w:trPr>
          <w:trHeight w:val="630"/>
        </w:trPr>
        <w:tc>
          <w:tcPr>
            <w:tcW w:w="425" w:type="dxa"/>
            <w:tcBorders>
              <w:top w:val="single" w:sz="8" w:space="0" w:color="auto"/>
              <w:left w:val="single" w:sz="8" w:space="0" w:color="auto"/>
              <w:bottom w:val="single" w:sz="8" w:space="0" w:color="auto"/>
              <w:right w:val="single" w:sz="8" w:space="0" w:color="auto"/>
            </w:tcBorders>
            <w:shd w:val="clear" w:color="auto" w:fill="E2EFD9"/>
          </w:tcPr>
          <w:p w14:paraId="6E52F1E9" w14:textId="77777777" w:rsidR="00F7285D" w:rsidRPr="0029055B" w:rsidRDefault="00F7285D" w:rsidP="008709A1">
            <w:pPr>
              <w:rPr>
                <w:szCs w:val="21"/>
              </w:rPr>
            </w:pPr>
            <w:r w:rsidRPr="0029055B">
              <w:rPr>
                <w:szCs w:val="21"/>
              </w:rPr>
              <w:t>N°</w:t>
            </w:r>
          </w:p>
        </w:tc>
        <w:tc>
          <w:tcPr>
            <w:tcW w:w="2127" w:type="dxa"/>
            <w:tcBorders>
              <w:top w:val="single" w:sz="8" w:space="0" w:color="auto"/>
              <w:left w:val="single" w:sz="8" w:space="0" w:color="auto"/>
              <w:bottom w:val="single" w:sz="8" w:space="0" w:color="auto"/>
              <w:right w:val="single" w:sz="8" w:space="0" w:color="auto"/>
            </w:tcBorders>
            <w:shd w:val="clear" w:color="auto" w:fill="E2EFD9"/>
          </w:tcPr>
          <w:p w14:paraId="7F176410" w14:textId="77777777" w:rsidR="00F7285D" w:rsidRPr="0029055B" w:rsidRDefault="00F7285D" w:rsidP="008709A1">
            <w:pPr>
              <w:rPr>
                <w:szCs w:val="21"/>
              </w:rPr>
            </w:pPr>
            <w:r w:rsidRPr="0029055B">
              <w:rPr>
                <w:szCs w:val="21"/>
              </w:rPr>
              <w:t>Famille</w:t>
            </w:r>
          </w:p>
        </w:tc>
        <w:tc>
          <w:tcPr>
            <w:tcW w:w="2551" w:type="dxa"/>
            <w:tcBorders>
              <w:top w:val="single" w:sz="8" w:space="0" w:color="auto"/>
              <w:left w:val="single" w:sz="8" w:space="0" w:color="auto"/>
              <w:bottom w:val="single" w:sz="8" w:space="0" w:color="auto"/>
              <w:right w:val="single" w:sz="8" w:space="0" w:color="auto"/>
            </w:tcBorders>
            <w:shd w:val="clear" w:color="auto" w:fill="E2EFD9"/>
          </w:tcPr>
          <w:p w14:paraId="3F66B3B9" w14:textId="77777777" w:rsidR="00F7285D" w:rsidRPr="0029055B" w:rsidRDefault="00F7285D" w:rsidP="008709A1">
            <w:pPr>
              <w:rPr>
                <w:szCs w:val="21"/>
              </w:rPr>
            </w:pPr>
            <w:r w:rsidRPr="0029055B">
              <w:rPr>
                <w:szCs w:val="21"/>
              </w:rPr>
              <w:t>Noms scientifiques</w:t>
            </w:r>
          </w:p>
        </w:tc>
        <w:tc>
          <w:tcPr>
            <w:tcW w:w="3261" w:type="dxa"/>
            <w:tcBorders>
              <w:top w:val="single" w:sz="8" w:space="0" w:color="auto"/>
              <w:left w:val="single" w:sz="8" w:space="0" w:color="auto"/>
              <w:bottom w:val="single" w:sz="8" w:space="0" w:color="auto"/>
              <w:right w:val="single" w:sz="8" w:space="0" w:color="auto"/>
            </w:tcBorders>
            <w:shd w:val="clear" w:color="auto" w:fill="E2EFD9"/>
          </w:tcPr>
          <w:p w14:paraId="62098810" w14:textId="77777777" w:rsidR="00F7285D" w:rsidRPr="0029055B" w:rsidRDefault="00F7285D" w:rsidP="008709A1">
            <w:pPr>
              <w:rPr>
                <w:szCs w:val="21"/>
              </w:rPr>
            </w:pPr>
            <w:r w:rsidRPr="0029055B">
              <w:rPr>
                <w:szCs w:val="21"/>
              </w:rPr>
              <w:t xml:space="preserve">Nom commercial ou vernaculaire </w:t>
            </w:r>
          </w:p>
          <w:p w14:paraId="22B5AF12" w14:textId="77777777" w:rsidR="00F7285D" w:rsidRPr="0029055B" w:rsidRDefault="00F7285D" w:rsidP="008709A1">
            <w:pPr>
              <w:rPr>
                <w:szCs w:val="21"/>
              </w:rPr>
            </w:pPr>
            <w:r w:rsidRPr="0029055B">
              <w:rPr>
                <w:szCs w:val="21"/>
              </w:rPr>
              <w:t>(Français ou Shwahili)</w:t>
            </w:r>
          </w:p>
        </w:tc>
        <w:tc>
          <w:tcPr>
            <w:tcW w:w="2126" w:type="dxa"/>
            <w:tcBorders>
              <w:top w:val="single" w:sz="8" w:space="0" w:color="auto"/>
              <w:left w:val="single" w:sz="8" w:space="0" w:color="auto"/>
              <w:bottom w:val="single" w:sz="8" w:space="0" w:color="auto"/>
              <w:right w:val="single" w:sz="8" w:space="0" w:color="auto"/>
            </w:tcBorders>
            <w:shd w:val="clear" w:color="auto" w:fill="E2EFD9"/>
          </w:tcPr>
          <w:p w14:paraId="2F0A168A" w14:textId="77777777" w:rsidR="00F7285D" w:rsidRPr="0029055B" w:rsidRDefault="00F7285D" w:rsidP="008709A1">
            <w:pPr>
              <w:rPr>
                <w:szCs w:val="21"/>
              </w:rPr>
            </w:pPr>
            <w:r w:rsidRPr="0029055B">
              <w:rPr>
                <w:szCs w:val="21"/>
              </w:rPr>
              <w:t>Usage</w:t>
            </w:r>
          </w:p>
        </w:tc>
      </w:tr>
      <w:tr w:rsidR="00F7285D" w:rsidRPr="0029055B" w14:paraId="75B9FA82" w14:textId="77777777" w:rsidTr="008709A1">
        <w:trPr>
          <w:trHeight w:val="315"/>
        </w:trPr>
        <w:tc>
          <w:tcPr>
            <w:tcW w:w="425" w:type="dxa"/>
            <w:tcBorders>
              <w:top w:val="single" w:sz="8" w:space="0" w:color="auto"/>
              <w:left w:val="single" w:sz="8" w:space="0" w:color="auto"/>
              <w:right w:val="single" w:sz="8" w:space="0" w:color="auto"/>
            </w:tcBorders>
          </w:tcPr>
          <w:p w14:paraId="37DBFDF0" w14:textId="77777777" w:rsidR="00F7285D" w:rsidRPr="0029055B" w:rsidRDefault="00F7285D" w:rsidP="008709A1">
            <w:pPr>
              <w:rPr>
                <w:szCs w:val="21"/>
              </w:rPr>
            </w:pPr>
            <w:r w:rsidRPr="0029055B">
              <w:rPr>
                <w:szCs w:val="21"/>
              </w:rPr>
              <w:t>1.</w:t>
            </w:r>
          </w:p>
        </w:tc>
        <w:tc>
          <w:tcPr>
            <w:tcW w:w="2127" w:type="dxa"/>
            <w:tcBorders>
              <w:top w:val="single" w:sz="8" w:space="0" w:color="auto"/>
              <w:left w:val="single" w:sz="8" w:space="0" w:color="auto"/>
            </w:tcBorders>
          </w:tcPr>
          <w:p w14:paraId="0DA9A892" w14:textId="77777777" w:rsidR="00F7285D" w:rsidRPr="0029055B" w:rsidRDefault="00F7285D" w:rsidP="008709A1">
            <w:pPr>
              <w:rPr>
                <w:szCs w:val="21"/>
              </w:rPr>
            </w:pPr>
            <w:r w:rsidRPr="0029055B">
              <w:rPr>
                <w:szCs w:val="21"/>
              </w:rPr>
              <w:t>Liliaceae</w:t>
            </w:r>
          </w:p>
        </w:tc>
        <w:tc>
          <w:tcPr>
            <w:tcW w:w="2551" w:type="dxa"/>
            <w:tcBorders>
              <w:top w:val="single" w:sz="8" w:space="0" w:color="auto"/>
            </w:tcBorders>
          </w:tcPr>
          <w:p w14:paraId="40B4AE59" w14:textId="77777777" w:rsidR="00F7285D" w:rsidRPr="0029055B" w:rsidRDefault="00F7285D" w:rsidP="008709A1">
            <w:pPr>
              <w:rPr>
                <w:szCs w:val="21"/>
              </w:rPr>
            </w:pPr>
            <w:r w:rsidRPr="0029055B">
              <w:rPr>
                <w:szCs w:val="21"/>
              </w:rPr>
              <w:t>Allium cepa</w:t>
            </w:r>
          </w:p>
        </w:tc>
        <w:tc>
          <w:tcPr>
            <w:tcW w:w="3261" w:type="dxa"/>
            <w:tcBorders>
              <w:top w:val="single" w:sz="8" w:space="0" w:color="auto"/>
            </w:tcBorders>
          </w:tcPr>
          <w:p w14:paraId="6E9166D8" w14:textId="77777777" w:rsidR="00F7285D" w:rsidRPr="0029055B" w:rsidRDefault="00F7285D" w:rsidP="008709A1">
            <w:pPr>
              <w:rPr>
                <w:szCs w:val="21"/>
              </w:rPr>
            </w:pPr>
            <w:r w:rsidRPr="0029055B">
              <w:rPr>
                <w:szCs w:val="21"/>
              </w:rPr>
              <w:t>Oignon, Matungulu</w:t>
            </w:r>
          </w:p>
        </w:tc>
        <w:tc>
          <w:tcPr>
            <w:tcW w:w="2126" w:type="dxa"/>
            <w:tcBorders>
              <w:top w:val="single" w:sz="8" w:space="0" w:color="auto"/>
              <w:right w:val="single" w:sz="8" w:space="0" w:color="auto"/>
            </w:tcBorders>
          </w:tcPr>
          <w:p w14:paraId="5B23567E" w14:textId="77777777" w:rsidR="00F7285D" w:rsidRPr="0029055B" w:rsidRDefault="00F7285D" w:rsidP="008709A1">
            <w:pPr>
              <w:rPr>
                <w:szCs w:val="21"/>
              </w:rPr>
            </w:pPr>
            <w:r w:rsidRPr="0029055B">
              <w:rPr>
                <w:szCs w:val="21"/>
              </w:rPr>
              <w:t>Alimentaire</w:t>
            </w:r>
          </w:p>
        </w:tc>
      </w:tr>
      <w:tr w:rsidR="00F7285D" w:rsidRPr="0029055B" w14:paraId="65E3F972" w14:textId="77777777" w:rsidTr="008709A1">
        <w:trPr>
          <w:trHeight w:val="315"/>
        </w:trPr>
        <w:tc>
          <w:tcPr>
            <w:tcW w:w="425" w:type="dxa"/>
            <w:tcBorders>
              <w:left w:val="single" w:sz="8" w:space="0" w:color="auto"/>
              <w:right w:val="single" w:sz="8" w:space="0" w:color="auto"/>
            </w:tcBorders>
          </w:tcPr>
          <w:p w14:paraId="7ACC4C27" w14:textId="77777777" w:rsidR="00F7285D" w:rsidRPr="0029055B" w:rsidRDefault="00F7285D" w:rsidP="008709A1">
            <w:pPr>
              <w:rPr>
                <w:szCs w:val="21"/>
              </w:rPr>
            </w:pPr>
            <w:r w:rsidRPr="0029055B">
              <w:rPr>
                <w:szCs w:val="21"/>
              </w:rPr>
              <w:t>2.</w:t>
            </w:r>
          </w:p>
        </w:tc>
        <w:tc>
          <w:tcPr>
            <w:tcW w:w="2127" w:type="dxa"/>
            <w:tcBorders>
              <w:left w:val="single" w:sz="8" w:space="0" w:color="auto"/>
            </w:tcBorders>
          </w:tcPr>
          <w:p w14:paraId="0A9268FC" w14:textId="77777777" w:rsidR="00F7285D" w:rsidRPr="0029055B" w:rsidRDefault="00F7285D" w:rsidP="008709A1">
            <w:pPr>
              <w:rPr>
                <w:szCs w:val="21"/>
              </w:rPr>
            </w:pPr>
            <w:r w:rsidRPr="0029055B">
              <w:rPr>
                <w:szCs w:val="21"/>
              </w:rPr>
              <w:t>Liliaceae</w:t>
            </w:r>
          </w:p>
        </w:tc>
        <w:tc>
          <w:tcPr>
            <w:tcW w:w="2551" w:type="dxa"/>
          </w:tcPr>
          <w:p w14:paraId="2DD245EB" w14:textId="77777777" w:rsidR="00F7285D" w:rsidRPr="0029055B" w:rsidRDefault="00F7285D" w:rsidP="008709A1">
            <w:pPr>
              <w:rPr>
                <w:szCs w:val="21"/>
              </w:rPr>
            </w:pPr>
            <w:r w:rsidRPr="0029055B">
              <w:rPr>
                <w:szCs w:val="21"/>
              </w:rPr>
              <w:t>Allium porum</w:t>
            </w:r>
          </w:p>
        </w:tc>
        <w:tc>
          <w:tcPr>
            <w:tcW w:w="3261" w:type="dxa"/>
          </w:tcPr>
          <w:p w14:paraId="76D10EF3" w14:textId="77777777" w:rsidR="00F7285D" w:rsidRPr="0029055B" w:rsidRDefault="00F7285D" w:rsidP="008709A1">
            <w:pPr>
              <w:rPr>
                <w:szCs w:val="21"/>
              </w:rPr>
            </w:pPr>
            <w:r w:rsidRPr="0029055B">
              <w:rPr>
                <w:szCs w:val="21"/>
              </w:rPr>
              <w:t>Ail</w:t>
            </w:r>
          </w:p>
        </w:tc>
        <w:tc>
          <w:tcPr>
            <w:tcW w:w="2126" w:type="dxa"/>
            <w:tcBorders>
              <w:right w:val="single" w:sz="8" w:space="0" w:color="auto"/>
            </w:tcBorders>
          </w:tcPr>
          <w:p w14:paraId="4D378486" w14:textId="77777777" w:rsidR="00F7285D" w:rsidRPr="0029055B" w:rsidRDefault="00F7285D" w:rsidP="008709A1">
            <w:pPr>
              <w:rPr>
                <w:szCs w:val="21"/>
              </w:rPr>
            </w:pPr>
            <w:r w:rsidRPr="0029055B">
              <w:rPr>
                <w:szCs w:val="21"/>
              </w:rPr>
              <w:t>Alimentaire</w:t>
            </w:r>
          </w:p>
        </w:tc>
      </w:tr>
      <w:tr w:rsidR="00F7285D" w:rsidRPr="0029055B" w14:paraId="0299A0BF" w14:textId="77777777" w:rsidTr="008709A1">
        <w:trPr>
          <w:trHeight w:val="315"/>
        </w:trPr>
        <w:tc>
          <w:tcPr>
            <w:tcW w:w="425" w:type="dxa"/>
            <w:tcBorders>
              <w:left w:val="single" w:sz="8" w:space="0" w:color="auto"/>
            </w:tcBorders>
          </w:tcPr>
          <w:p w14:paraId="75E57269" w14:textId="77777777" w:rsidR="00F7285D" w:rsidRPr="0029055B" w:rsidRDefault="00F7285D" w:rsidP="008709A1">
            <w:pPr>
              <w:rPr>
                <w:szCs w:val="21"/>
              </w:rPr>
            </w:pPr>
            <w:r w:rsidRPr="0029055B">
              <w:rPr>
                <w:szCs w:val="21"/>
              </w:rPr>
              <w:t>3.</w:t>
            </w:r>
          </w:p>
        </w:tc>
        <w:tc>
          <w:tcPr>
            <w:tcW w:w="2127" w:type="dxa"/>
          </w:tcPr>
          <w:p w14:paraId="7E632AD7" w14:textId="77777777" w:rsidR="00F7285D" w:rsidRPr="0029055B" w:rsidRDefault="00F7285D" w:rsidP="008709A1">
            <w:pPr>
              <w:rPr>
                <w:szCs w:val="21"/>
              </w:rPr>
            </w:pPr>
            <w:r w:rsidRPr="0029055B">
              <w:rPr>
                <w:szCs w:val="21"/>
              </w:rPr>
              <w:t>Bromeliaceae</w:t>
            </w:r>
          </w:p>
        </w:tc>
        <w:tc>
          <w:tcPr>
            <w:tcW w:w="2551" w:type="dxa"/>
          </w:tcPr>
          <w:p w14:paraId="3D6F6E52" w14:textId="77777777" w:rsidR="00F7285D" w:rsidRPr="0029055B" w:rsidRDefault="00F7285D" w:rsidP="008709A1">
            <w:pPr>
              <w:rPr>
                <w:szCs w:val="21"/>
              </w:rPr>
            </w:pPr>
            <w:r w:rsidRPr="0029055B">
              <w:rPr>
                <w:szCs w:val="21"/>
              </w:rPr>
              <w:t>Ananas comosus</w:t>
            </w:r>
          </w:p>
        </w:tc>
        <w:tc>
          <w:tcPr>
            <w:tcW w:w="3261" w:type="dxa"/>
          </w:tcPr>
          <w:p w14:paraId="76E80F23" w14:textId="77777777" w:rsidR="00F7285D" w:rsidRPr="0029055B" w:rsidRDefault="00F7285D" w:rsidP="008709A1">
            <w:pPr>
              <w:rPr>
                <w:szCs w:val="21"/>
              </w:rPr>
            </w:pPr>
            <w:r w:rsidRPr="0029055B">
              <w:rPr>
                <w:szCs w:val="21"/>
              </w:rPr>
              <w:t xml:space="preserve">Ananas, Nanasi </w:t>
            </w:r>
          </w:p>
        </w:tc>
        <w:tc>
          <w:tcPr>
            <w:tcW w:w="2126" w:type="dxa"/>
            <w:tcBorders>
              <w:right w:val="single" w:sz="8" w:space="0" w:color="auto"/>
            </w:tcBorders>
          </w:tcPr>
          <w:p w14:paraId="3F999944" w14:textId="77777777" w:rsidR="00F7285D" w:rsidRPr="0029055B" w:rsidRDefault="00F7285D" w:rsidP="008709A1">
            <w:pPr>
              <w:rPr>
                <w:szCs w:val="21"/>
              </w:rPr>
            </w:pPr>
            <w:r w:rsidRPr="0029055B">
              <w:rPr>
                <w:szCs w:val="21"/>
              </w:rPr>
              <w:t>Alimédicinale</w:t>
            </w:r>
          </w:p>
        </w:tc>
      </w:tr>
      <w:tr w:rsidR="00F7285D" w:rsidRPr="0029055B" w14:paraId="79C2276E" w14:textId="77777777" w:rsidTr="008709A1">
        <w:trPr>
          <w:trHeight w:val="315"/>
        </w:trPr>
        <w:tc>
          <w:tcPr>
            <w:tcW w:w="425" w:type="dxa"/>
            <w:tcBorders>
              <w:left w:val="single" w:sz="8" w:space="0" w:color="auto"/>
            </w:tcBorders>
          </w:tcPr>
          <w:p w14:paraId="5AB86719" w14:textId="77777777" w:rsidR="00F7285D" w:rsidRPr="0029055B" w:rsidRDefault="00F7285D" w:rsidP="008709A1">
            <w:pPr>
              <w:rPr>
                <w:szCs w:val="21"/>
              </w:rPr>
            </w:pPr>
            <w:r w:rsidRPr="0029055B">
              <w:rPr>
                <w:szCs w:val="21"/>
              </w:rPr>
              <w:t>4.</w:t>
            </w:r>
          </w:p>
        </w:tc>
        <w:tc>
          <w:tcPr>
            <w:tcW w:w="2127" w:type="dxa"/>
          </w:tcPr>
          <w:p w14:paraId="6F580E43" w14:textId="77777777" w:rsidR="00F7285D" w:rsidRPr="0029055B" w:rsidRDefault="00F7285D" w:rsidP="008709A1">
            <w:pPr>
              <w:rPr>
                <w:szCs w:val="21"/>
              </w:rPr>
            </w:pPr>
            <w:r w:rsidRPr="0029055B">
              <w:rPr>
                <w:szCs w:val="21"/>
              </w:rPr>
              <w:t>Fabaceae/Faboideae</w:t>
            </w:r>
          </w:p>
        </w:tc>
        <w:tc>
          <w:tcPr>
            <w:tcW w:w="2551" w:type="dxa"/>
          </w:tcPr>
          <w:p w14:paraId="20280B91" w14:textId="77777777" w:rsidR="00F7285D" w:rsidRPr="0029055B" w:rsidRDefault="00F7285D" w:rsidP="008709A1">
            <w:pPr>
              <w:rPr>
                <w:szCs w:val="21"/>
              </w:rPr>
            </w:pPr>
            <w:r w:rsidRPr="0029055B">
              <w:rPr>
                <w:szCs w:val="21"/>
              </w:rPr>
              <w:t>Arachis hypogea</w:t>
            </w:r>
          </w:p>
        </w:tc>
        <w:tc>
          <w:tcPr>
            <w:tcW w:w="3261" w:type="dxa"/>
          </w:tcPr>
          <w:p w14:paraId="3B506A74" w14:textId="77777777" w:rsidR="00F7285D" w:rsidRPr="0029055B" w:rsidRDefault="00F7285D" w:rsidP="008709A1">
            <w:pPr>
              <w:rPr>
                <w:szCs w:val="21"/>
              </w:rPr>
            </w:pPr>
            <w:r w:rsidRPr="0029055B">
              <w:rPr>
                <w:szCs w:val="21"/>
              </w:rPr>
              <w:t>Arachide, Kalanga</w:t>
            </w:r>
          </w:p>
        </w:tc>
        <w:tc>
          <w:tcPr>
            <w:tcW w:w="2126" w:type="dxa"/>
            <w:tcBorders>
              <w:right w:val="single" w:sz="8" w:space="0" w:color="auto"/>
            </w:tcBorders>
          </w:tcPr>
          <w:p w14:paraId="1710C780" w14:textId="77777777" w:rsidR="00F7285D" w:rsidRPr="0029055B" w:rsidRDefault="00F7285D" w:rsidP="008709A1">
            <w:pPr>
              <w:rPr>
                <w:szCs w:val="21"/>
              </w:rPr>
            </w:pPr>
            <w:r w:rsidRPr="0029055B">
              <w:rPr>
                <w:szCs w:val="21"/>
              </w:rPr>
              <w:t>Alimentaire</w:t>
            </w:r>
          </w:p>
        </w:tc>
      </w:tr>
      <w:tr w:rsidR="00F7285D" w:rsidRPr="0029055B" w14:paraId="5637013B" w14:textId="77777777" w:rsidTr="008709A1">
        <w:trPr>
          <w:trHeight w:val="315"/>
        </w:trPr>
        <w:tc>
          <w:tcPr>
            <w:tcW w:w="425" w:type="dxa"/>
            <w:tcBorders>
              <w:left w:val="single" w:sz="8" w:space="0" w:color="auto"/>
            </w:tcBorders>
          </w:tcPr>
          <w:p w14:paraId="286F8E10" w14:textId="77777777" w:rsidR="00F7285D" w:rsidRPr="0029055B" w:rsidRDefault="00F7285D" w:rsidP="008709A1">
            <w:pPr>
              <w:rPr>
                <w:szCs w:val="21"/>
              </w:rPr>
            </w:pPr>
            <w:r w:rsidRPr="0029055B">
              <w:rPr>
                <w:szCs w:val="21"/>
              </w:rPr>
              <w:t>5.</w:t>
            </w:r>
          </w:p>
        </w:tc>
        <w:tc>
          <w:tcPr>
            <w:tcW w:w="2127" w:type="dxa"/>
          </w:tcPr>
          <w:p w14:paraId="5AA9D341" w14:textId="77777777" w:rsidR="00F7285D" w:rsidRPr="0029055B" w:rsidRDefault="00F7285D" w:rsidP="008709A1">
            <w:pPr>
              <w:rPr>
                <w:szCs w:val="21"/>
              </w:rPr>
            </w:pPr>
            <w:r w:rsidRPr="0029055B">
              <w:rPr>
                <w:szCs w:val="21"/>
              </w:rPr>
              <w:t>Fabaceae/Faboideae</w:t>
            </w:r>
          </w:p>
        </w:tc>
        <w:tc>
          <w:tcPr>
            <w:tcW w:w="2551" w:type="dxa"/>
            <w:vAlign w:val="bottom"/>
          </w:tcPr>
          <w:p w14:paraId="401A3D7B" w14:textId="77777777" w:rsidR="00F7285D" w:rsidRPr="0029055B" w:rsidRDefault="00F7285D" w:rsidP="008709A1">
            <w:pPr>
              <w:rPr>
                <w:szCs w:val="21"/>
              </w:rPr>
            </w:pPr>
            <w:r w:rsidRPr="0029055B">
              <w:rPr>
                <w:szCs w:val="21"/>
              </w:rPr>
              <w:t>Cajanus cajan</w:t>
            </w:r>
          </w:p>
        </w:tc>
        <w:tc>
          <w:tcPr>
            <w:tcW w:w="3261" w:type="dxa"/>
          </w:tcPr>
          <w:p w14:paraId="49B55B7E" w14:textId="77777777" w:rsidR="00F7285D" w:rsidRPr="0029055B" w:rsidRDefault="00F7285D" w:rsidP="008709A1">
            <w:pPr>
              <w:rPr>
                <w:szCs w:val="21"/>
              </w:rPr>
            </w:pPr>
            <w:r w:rsidRPr="0029055B">
              <w:rPr>
                <w:szCs w:val="21"/>
              </w:rPr>
              <w:t>Mandjegele</w:t>
            </w:r>
          </w:p>
        </w:tc>
        <w:tc>
          <w:tcPr>
            <w:tcW w:w="2126" w:type="dxa"/>
            <w:tcBorders>
              <w:right w:val="single" w:sz="8" w:space="0" w:color="auto"/>
            </w:tcBorders>
          </w:tcPr>
          <w:p w14:paraId="4D83D95F" w14:textId="77777777" w:rsidR="00F7285D" w:rsidRPr="0029055B" w:rsidRDefault="00F7285D" w:rsidP="008709A1">
            <w:pPr>
              <w:rPr>
                <w:szCs w:val="21"/>
              </w:rPr>
            </w:pPr>
            <w:r w:rsidRPr="0029055B">
              <w:rPr>
                <w:szCs w:val="21"/>
              </w:rPr>
              <w:t>Alimentaire</w:t>
            </w:r>
          </w:p>
        </w:tc>
      </w:tr>
      <w:tr w:rsidR="00F7285D" w:rsidRPr="0029055B" w14:paraId="17D65124" w14:textId="77777777" w:rsidTr="008709A1">
        <w:trPr>
          <w:trHeight w:val="315"/>
        </w:trPr>
        <w:tc>
          <w:tcPr>
            <w:tcW w:w="425" w:type="dxa"/>
            <w:tcBorders>
              <w:left w:val="single" w:sz="8" w:space="0" w:color="auto"/>
            </w:tcBorders>
          </w:tcPr>
          <w:p w14:paraId="1737079B" w14:textId="77777777" w:rsidR="00F7285D" w:rsidRPr="0029055B" w:rsidRDefault="00F7285D" w:rsidP="008709A1">
            <w:pPr>
              <w:rPr>
                <w:szCs w:val="21"/>
              </w:rPr>
            </w:pPr>
            <w:r w:rsidRPr="0029055B">
              <w:rPr>
                <w:szCs w:val="21"/>
              </w:rPr>
              <w:t>6.</w:t>
            </w:r>
          </w:p>
        </w:tc>
        <w:tc>
          <w:tcPr>
            <w:tcW w:w="2127" w:type="dxa"/>
          </w:tcPr>
          <w:p w14:paraId="352B909D" w14:textId="77777777" w:rsidR="00F7285D" w:rsidRPr="0029055B" w:rsidRDefault="00F7285D" w:rsidP="008709A1">
            <w:pPr>
              <w:rPr>
                <w:szCs w:val="21"/>
              </w:rPr>
            </w:pPr>
            <w:r w:rsidRPr="0029055B">
              <w:rPr>
                <w:szCs w:val="21"/>
              </w:rPr>
              <w:t>Solanaceae</w:t>
            </w:r>
          </w:p>
        </w:tc>
        <w:tc>
          <w:tcPr>
            <w:tcW w:w="2551" w:type="dxa"/>
            <w:noWrap/>
          </w:tcPr>
          <w:p w14:paraId="63579F90" w14:textId="77777777" w:rsidR="00F7285D" w:rsidRPr="0029055B" w:rsidRDefault="00F7285D" w:rsidP="008709A1">
            <w:pPr>
              <w:rPr>
                <w:szCs w:val="21"/>
              </w:rPr>
            </w:pPr>
            <w:r w:rsidRPr="0029055B">
              <w:rPr>
                <w:szCs w:val="21"/>
              </w:rPr>
              <w:t>Capsicum annuum</w:t>
            </w:r>
          </w:p>
        </w:tc>
        <w:tc>
          <w:tcPr>
            <w:tcW w:w="3261" w:type="dxa"/>
          </w:tcPr>
          <w:p w14:paraId="339150EC" w14:textId="77777777" w:rsidR="00F7285D" w:rsidRPr="0029055B" w:rsidRDefault="00F7285D" w:rsidP="008709A1">
            <w:pPr>
              <w:rPr>
                <w:szCs w:val="21"/>
              </w:rPr>
            </w:pPr>
            <w:r w:rsidRPr="0029055B">
              <w:rPr>
                <w:szCs w:val="21"/>
              </w:rPr>
              <w:t>Pili-pili</w:t>
            </w:r>
          </w:p>
        </w:tc>
        <w:tc>
          <w:tcPr>
            <w:tcW w:w="2126" w:type="dxa"/>
            <w:tcBorders>
              <w:right w:val="single" w:sz="8" w:space="0" w:color="auto"/>
            </w:tcBorders>
          </w:tcPr>
          <w:p w14:paraId="68DA4001" w14:textId="77777777" w:rsidR="00F7285D" w:rsidRPr="0029055B" w:rsidRDefault="00F7285D" w:rsidP="008709A1">
            <w:pPr>
              <w:rPr>
                <w:szCs w:val="21"/>
              </w:rPr>
            </w:pPr>
            <w:r w:rsidRPr="0029055B">
              <w:rPr>
                <w:szCs w:val="21"/>
              </w:rPr>
              <w:t>Alimentaire</w:t>
            </w:r>
          </w:p>
        </w:tc>
      </w:tr>
      <w:tr w:rsidR="00F7285D" w:rsidRPr="0029055B" w14:paraId="63CEE3E2" w14:textId="77777777" w:rsidTr="008709A1">
        <w:trPr>
          <w:trHeight w:val="315"/>
        </w:trPr>
        <w:tc>
          <w:tcPr>
            <w:tcW w:w="425" w:type="dxa"/>
            <w:tcBorders>
              <w:left w:val="single" w:sz="8" w:space="0" w:color="auto"/>
            </w:tcBorders>
          </w:tcPr>
          <w:p w14:paraId="13F37F56" w14:textId="77777777" w:rsidR="00F7285D" w:rsidRPr="0029055B" w:rsidRDefault="00F7285D" w:rsidP="008709A1">
            <w:pPr>
              <w:rPr>
                <w:szCs w:val="21"/>
              </w:rPr>
            </w:pPr>
            <w:r w:rsidRPr="0029055B">
              <w:rPr>
                <w:szCs w:val="21"/>
              </w:rPr>
              <w:t>7.</w:t>
            </w:r>
          </w:p>
        </w:tc>
        <w:tc>
          <w:tcPr>
            <w:tcW w:w="2127" w:type="dxa"/>
          </w:tcPr>
          <w:p w14:paraId="7F68D4FD" w14:textId="77777777" w:rsidR="00F7285D" w:rsidRPr="0029055B" w:rsidRDefault="00F7285D" w:rsidP="008709A1">
            <w:pPr>
              <w:rPr>
                <w:szCs w:val="21"/>
              </w:rPr>
            </w:pPr>
            <w:r w:rsidRPr="0029055B">
              <w:rPr>
                <w:szCs w:val="21"/>
              </w:rPr>
              <w:t>Solanaceae</w:t>
            </w:r>
          </w:p>
        </w:tc>
        <w:tc>
          <w:tcPr>
            <w:tcW w:w="2551" w:type="dxa"/>
            <w:vAlign w:val="bottom"/>
          </w:tcPr>
          <w:p w14:paraId="73BFEA70" w14:textId="77777777" w:rsidR="00F7285D" w:rsidRPr="0029055B" w:rsidRDefault="00F7285D" w:rsidP="008709A1">
            <w:pPr>
              <w:rPr>
                <w:szCs w:val="21"/>
              </w:rPr>
            </w:pPr>
            <w:r w:rsidRPr="0029055B">
              <w:rPr>
                <w:szCs w:val="21"/>
              </w:rPr>
              <w:t>Capsicum frutescens</w:t>
            </w:r>
          </w:p>
        </w:tc>
        <w:tc>
          <w:tcPr>
            <w:tcW w:w="3261" w:type="dxa"/>
          </w:tcPr>
          <w:p w14:paraId="2491C6B2" w14:textId="77777777" w:rsidR="00F7285D" w:rsidRPr="0029055B" w:rsidRDefault="00F7285D" w:rsidP="008709A1">
            <w:pPr>
              <w:rPr>
                <w:szCs w:val="21"/>
              </w:rPr>
            </w:pPr>
            <w:r w:rsidRPr="0029055B">
              <w:rPr>
                <w:szCs w:val="21"/>
              </w:rPr>
              <w:t>Pili-pili</w:t>
            </w:r>
          </w:p>
        </w:tc>
        <w:tc>
          <w:tcPr>
            <w:tcW w:w="2126" w:type="dxa"/>
            <w:tcBorders>
              <w:right w:val="single" w:sz="8" w:space="0" w:color="auto"/>
            </w:tcBorders>
          </w:tcPr>
          <w:p w14:paraId="078065D2" w14:textId="77777777" w:rsidR="00F7285D" w:rsidRPr="0029055B" w:rsidRDefault="00F7285D" w:rsidP="008709A1">
            <w:pPr>
              <w:rPr>
                <w:szCs w:val="21"/>
              </w:rPr>
            </w:pPr>
            <w:r w:rsidRPr="0029055B">
              <w:rPr>
                <w:szCs w:val="21"/>
              </w:rPr>
              <w:t>Alimédicinale</w:t>
            </w:r>
          </w:p>
        </w:tc>
      </w:tr>
      <w:tr w:rsidR="00F7285D" w:rsidRPr="0029055B" w14:paraId="0CED2610" w14:textId="77777777" w:rsidTr="008709A1">
        <w:trPr>
          <w:trHeight w:val="315"/>
        </w:trPr>
        <w:tc>
          <w:tcPr>
            <w:tcW w:w="425" w:type="dxa"/>
            <w:tcBorders>
              <w:left w:val="single" w:sz="8" w:space="0" w:color="auto"/>
            </w:tcBorders>
          </w:tcPr>
          <w:p w14:paraId="13093098" w14:textId="77777777" w:rsidR="00F7285D" w:rsidRPr="0029055B" w:rsidRDefault="00F7285D" w:rsidP="008709A1">
            <w:pPr>
              <w:rPr>
                <w:szCs w:val="21"/>
              </w:rPr>
            </w:pPr>
            <w:r w:rsidRPr="0029055B">
              <w:rPr>
                <w:szCs w:val="21"/>
              </w:rPr>
              <w:t>8.</w:t>
            </w:r>
          </w:p>
        </w:tc>
        <w:tc>
          <w:tcPr>
            <w:tcW w:w="2127" w:type="dxa"/>
          </w:tcPr>
          <w:p w14:paraId="6299E260" w14:textId="77777777" w:rsidR="00F7285D" w:rsidRPr="0029055B" w:rsidRDefault="00F7285D" w:rsidP="008709A1">
            <w:pPr>
              <w:rPr>
                <w:szCs w:val="21"/>
              </w:rPr>
            </w:pPr>
            <w:r w:rsidRPr="0029055B">
              <w:rPr>
                <w:szCs w:val="21"/>
              </w:rPr>
              <w:t>Caricaceae</w:t>
            </w:r>
          </w:p>
        </w:tc>
        <w:tc>
          <w:tcPr>
            <w:tcW w:w="2551" w:type="dxa"/>
            <w:noWrap/>
            <w:vAlign w:val="bottom"/>
          </w:tcPr>
          <w:p w14:paraId="448E6EB1" w14:textId="77777777" w:rsidR="00F7285D" w:rsidRPr="0029055B" w:rsidRDefault="00F7285D" w:rsidP="008709A1">
            <w:pPr>
              <w:rPr>
                <w:szCs w:val="21"/>
              </w:rPr>
            </w:pPr>
            <w:r w:rsidRPr="0029055B">
              <w:rPr>
                <w:szCs w:val="21"/>
              </w:rPr>
              <w:t>Carica papaya</w:t>
            </w:r>
          </w:p>
        </w:tc>
        <w:tc>
          <w:tcPr>
            <w:tcW w:w="3261" w:type="dxa"/>
          </w:tcPr>
          <w:p w14:paraId="273952C5" w14:textId="77777777" w:rsidR="00F7285D" w:rsidRPr="0029055B" w:rsidRDefault="00F7285D" w:rsidP="008709A1">
            <w:pPr>
              <w:rPr>
                <w:szCs w:val="21"/>
              </w:rPr>
            </w:pPr>
            <w:r w:rsidRPr="0029055B">
              <w:rPr>
                <w:szCs w:val="21"/>
              </w:rPr>
              <w:t>Pay-pay</w:t>
            </w:r>
          </w:p>
        </w:tc>
        <w:tc>
          <w:tcPr>
            <w:tcW w:w="2126" w:type="dxa"/>
            <w:tcBorders>
              <w:right w:val="single" w:sz="8" w:space="0" w:color="auto"/>
            </w:tcBorders>
          </w:tcPr>
          <w:p w14:paraId="5D291A91" w14:textId="77777777" w:rsidR="00F7285D" w:rsidRPr="0029055B" w:rsidRDefault="00F7285D" w:rsidP="008709A1">
            <w:pPr>
              <w:rPr>
                <w:szCs w:val="21"/>
              </w:rPr>
            </w:pPr>
            <w:r w:rsidRPr="0029055B">
              <w:rPr>
                <w:szCs w:val="21"/>
              </w:rPr>
              <w:t>Alimédicinale</w:t>
            </w:r>
          </w:p>
        </w:tc>
      </w:tr>
      <w:tr w:rsidR="00F7285D" w:rsidRPr="0029055B" w14:paraId="680D356F" w14:textId="77777777" w:rsidTr="008709A1">
        <w:trPr>
          <w:trHeight w:val="315"/>
        </w:trPr>
        <w:tc>
          <w:tcPr>
            <w:tcW w:w="425" w:type="dxa"/>
            <w:tcBorders>
              <w:left w:val="single" w:sz="8" w:space="0" w:color="auto"/>
            </w:tcBorders>
          </w:tcPr>
          <w:p w14:paraId="00D9F12F" w14:textId="77777777" w:rsidR="00F7285D" w:rsidRPr="0029055B" w:rsidRDefault="00F7285D" w:rsidP="008709A1">
            <w:pPr>
              <w:rPr>
                <w:szCs w:val="21"/>
              </w:rPr>
            </w:pPr>
            <w:r w:rsidRPr="0029055B">
              <w:rPr>
                <w:szCs w:val="21"/>
              </w:rPr>
              <w:t>9.</w:t>
            </w:r>
          </w:p>
        </w:tc>
        <w:tc>
          <w:tcPr>
            <w:tcW w:w="2127" w:type="dxa"/>
          </w:tcPr>
          <w:p w14:paraId="4406427C" w14:textId="77777777" w:rsidR="00F7285D" w:rsidRPr="0029055B" w:rsidRDefault="00F7285D" w:rsidP="008709A1">
            <w:pPr>
              <w:rPr>
                <w:szCs w:val="21"/>
              </w:rPr>
            </w:pPr>
            <w:r w:rsidRPr="0029055B">
              <w:rPr>
                <w:szCs w:val="21"/>
              </w:rPr>
              <w:t>Rutaceae</w:t>
            </w:r>
          </w:p>
        </w:tc>
        <w:tc>
          <w:tcPr>
            <w:tcW w:w="2551" w:type="dxa"/>
            <w:noWrap/>
            <w:vAlign w:val="bottom"/>
          </w:tcPr>
          <w:p w14:paraId="3F31618B" w14:textId="77777777" w:rsidR="00F7285D" w:rsidRPr="0029055B" w:rsidRDefault="00F7285D" w:rsidP="008709A1">
            <w:pPr>
              <w:rPr>
                <w:szCs w:val="21"/>
              </w:rPr>
            </w:pPr>
            <w:r w:rsidRPr="0029055B">
              <w:rPr>
                <w:szCs w:val="21"/>
              </w:rPr>
              <w:t>Citrus limon</w:t>
            </w:r>
          </w:p>
        </w:tc>
        <w:tc>
          <w:tcPr>
            <w:tcW w:w="3261" w:type="dxa"/>
          </w:tcPr>
          <w:p w14:paraId="6477F646" w14:textId="77777777" w:rsidR="00F7285D" w:rsidRPr="0029055B" w:rsidRDefault="00F7285D" w:rsidP="008709A1">
            <w:pPr>
              <w:rPr>
                <w:szCs w:val="21"/>
              </w:rPr>
            </w:pPr>
            <w:r w:rsidRPr="0029055B">
              <w:rPr>
                <w:szCs w:val="21"/>
              </w:rPr>
              <w:t>Ndimu</w:t>
            </w:r>
          </w:p>
        </w:tc>
        <w:tc>
          <w:tcPr>
            <w:tcW w:w="2126" w:type="dxa"/>
            <w:tcBorders>
              <w:right w:val="single" w:sz="8" w:space="0" w:color="auto"/>
            </w:tcBorders>
          </w:tcPr>
          <w:p w14:paraId="692FC108" w14:textId="77777777" w:rsidR="00F7285D" w:rsidRPr="0029055B" w:rsidRDefault="00F7285D" w:rsidP="008709A1">
            <w:pPr>
              <w:rPr>
                <w:szCs w:val="21"/>
              </w:rPr>
            </w:pPr>
            <w:r w:rsidRPr="0029055B">
              <w:rPr>
                <w:szCs w:val="21"/>
              </w:rPr>
              <w:t>Alimentaire</w:t>
            </w:r>
          </w:p>
        </w:tc>
      </w:tr>
      <w:tr w:rsidR="00F7285D" w:rsidRPr="0029055B" w14:paraId="6BE763FE" w14:textId="77777777" w:rsidTr="008709A1">
        <w:trPr>
          <w:trHeight w:val="315"/>
        </w:trPr>
        <w:tc>
          <w:tcPr>
            <w:tcW w:w="425" w:type="dxa"/>
            <w:tcBorders>
              <w:left w:val="single" w:sz="8" w:space="0" w:color="auto"/>
            </w:tcBorders>
          </w:tcPr>
          <w:p w14:paraId="5DC7C1E2" w14:textId="77777777" w:rsidR="00F7285D" w:rsidRPr="0029055B" w:rsidRDefault="00F7285D" w:rsidP="008709A1">
            <w:pPr>
              <w:rPr>
                <w:szCs w:val="21"/>
              </w:rPr>
            </w:pPr>
            <w:r w:rsidRPr="0029055B">
              <w:rPr>
                <w:szCs w:val="21"/>
              </w:rPr>
              <w:t>10.</w:t>
            </w:r>
          </w:p>
        </w:tc>
        <w:tc>
          <w:tcPr>
            <w:tcW w:w="2127" w:type="dxa"/>
          </w:tcPr>
          <w:p w14:paraId="5365DDC8" w14:textId="77777777" w:rsidR="00F7285D" w:rsidRPr="0029055B" w:rsidRDefault="00F7285D" w:rsidP="008709A1">
            <w:pPr>
              <w:rPr>
                <w:szCs w:val="21"/>
              </w:rPr>
            </w:pPr>
            <w:r w:rsidRPr="0029055B">
              <w:rPr>
                <w:szCs w:val="21"/>
              </w:rPr>
              <w:t>Arecaceae</w:t>
            </w:r>
          </w:p>
        </w:tc>
        <w:tc>
          <w:tcPr>
            <w:tcW w:w="2551" w:type="dxa"/>
            <w:noWrap/>
            <w:vAlign w:val="bottom"/>
          </w:tcPr>
          <w:p w14:paraId="05FA23F7" w14:textId="77777777" w:rsidR="00F7285D" w:rsidRPr="0029055B" w:rsidRDefault="00F7285D" w:rsidP="008709A1">
            <w:pPr>
              <w:rPr>
                <w:szCs w:val="21"/>
              </w:rPr>
            </w:pPr>
            <w:r w:rsidRPr="0029055B">
              <w:rPr>
                <w:szCs w:val="21"/>
              </w:rPr>
              <w:t>Cocos nucifera</w:t>
            </w:r>
          </w:p>
        </w:tc>
        <w:tc>
          <w:tcPr>
            <w:tcW w:w="3261" w:type="dxa"/>
            <w:vAlign w:val="bottom"/>
          </w:tcPr>
          <w:p w14:paraId="68427A31" w14:textId="77777777" w:rsidR="00F7285D" w:rsidRPr="0029055B" w:rsidRDefault="00F7285D" w:rsidP="008709A1">
            <w:pPr>
              <w:rPr>
                <w:szCs w:val="21"/>
              </w:rPr>
            </w:pPr>
            <w:r w:rsidRPr="0029055B">
              <w:rPr>
                <w:szCs w:val="21"/>
              </w:rPr>
              <w:t>Cocotier</w:t>
            </w:r>
          </w:p>
        </w:tc>
        <w:tc>
          <w:tcPr>
            <w:tcW w:w="2126" w:type="dxa"/>
            <w:tcBorders>
              <w:right w:val="single" w:sz="8" w:space="0" w:color="auto"/>
            </w:tcBorders>
          </w:tcPr>
          <w:p w14:paraId="5956A43B" w14:textId="77777777" w:rsidR="00F7285D" w:rsidRPr="0029055B" w:rsidRDefault="00F7285D" w:rsidP="008709A1">
            <w:pPr>
              <w:rPr>
                <w:szCs w:val="21"/>
              </w:rPr>
            </w:pPr>
            <w:r w:rsidRPr="0029055B">
              <w:rPr>
                <w:szCs w:val="21"/>
              </w:rPr>
              <w:t>Alimentaire</w:t>
            </w:r>
          </w:p>
        </w:tc>
      </w:tr>
      <w:tr w:rsidR="00F7285D" w:rsidRPr="0029055B" w14:paraId="5ED83F30" w14:textId="77777777" w:rsidTr="008709A1">
        <w:trPr>
          <w:trHeight w:val="315"/>
        </w:trPr>
        <w:tc>
          <w:tcPr>
            <w:tcW w:w="425" w:type="dxa"/>
            <w:tcBorders>
              <w:left w:val="single" w:sz="8" w:space="0" w:color="auto"/>
            </w:tcBorders>
          </w:tcPr>
          <w:p w14:paraId="26F3EB14" w14:textId="77777777" w:rsidR="00F7285D" w:rsidRPr="0029055B" w:rsidRDefault="00F7285D" w:rsidP="008709A1">
            <w:pPr>
              <w:rPr>
                <w:szCs w:val="21"/>
              </w:rPr>
            </w:pPr>
            <w:r w:rsidRPr="0029055B">
              <w:rPr>
                <w:szCs w:val="21"/>
              </w:rPr>
              <w:t>11.</w:t>
            </w:r>
          </w:p>
        </w:tc>
        <w:tc>
          <w:tcPr>
            <w:tcW w:w="2127" w:type="dxa"/>
          </w:tcPr>
          <w:p w14:paraId="768E3601" w14:textId="77777777" w:rsidR="00F7285D" w:rsidRPr="0029055B" w:rsidRDefault="00F7285D" w:rsidP="008709A1">
            <w:pPr>
              <w:rPr>
                <w:szCs w:val="21"/>
              </w:rPr>
            </w:pPr>
            <w:r w:rsidRPr="0029055B">
              <w:rPr>
                <w:szCs w:val="21"/>
              </w:rPr>
              <w:t>Rubiaceae</w:t>
            </w:r>
          </w:p>
        </w:tc>
        <w:tc>
          <w:tcPr>
            <w:tcW w:w="2551" w:type="dxa"/>
            <w:noWrap/>
            <w:vAlign w:val="bottom"/>
          </w:tcPr>
          <w:p w14:paraId="48BAB91A" w14:textId="77777777" w:rsidR="00F7285D" w:rsidRPr="0029055B" w:rsidRDefault="00F7285D" w:rsidP="008709A1">
            <w:pPr>
              <w:rPr>
                <w:szCs w:val="21"/>
              </w:rPr>
            </w:pPr>
            <w:r w:rsidRPr="0029055B">
              <w:rPr>
                <w:szCs w:val="21"/>
              </w:rPr>
              <w:t>Coffea arabica</w:t>
            </w:r>
          </w:p>
        </w:tc>
        <w:tc>
          <w:tcPr>
            <w:tcW w:w="3261" w:type="dxa"/>
            <w:vAlign w:val="bottom"/>
          </w:tcPr>
          <w:p w14:paraId="3E5BF449" w14:textId="77777777" w:rsidR="00F7285D" w:rsidRPr="0029055B" w:rsidRDefault="00F7285D" w:rsidP="008709A1">
            <w:pPr>
              <w:rPr>
                <w:szCs w:val="21"/>
              </w:rPr>
            </w:pPr>
            <w:r w:rsidRPr="0029055B">
              <w:rPr>
                <w:szCs w:val="21"/>
              </w:rPr>
              <w:t>Kafe, caféir</w:t>
            </w:r>
          </w:p>
        </w:tc>
        <w:tc>
          <w:tcPr>
            <w:tcW w:w="2126" w:type="dxa"/>
            <w:tcBorders>
              <w:right w:val="single" w:sz="8" w:space="0" w:color="auto"/>
            </w:tcBorders>
            <w:vAlign w:val="bottom"/>
          </w:tcPr>
          <w:p w14:paraId="68B76630" w14:textId="77777777" w:rsidR="00F7285D" w:rsidRPr="0029055B" w:rsidRDefault="00F7285D" w:rsidP="008709A1">
            <w:pPr>
              <w:rPr>
                <w:szCs w:val="21"/>
              </w:rPr>
            </w:pPr>
            <w:r w:rsidRPr="0029055B">
              <w:rPr>
                <w:szCs w:val="21"/>
              </w:rPr>
              <w:t>Stimulant et tonique</w:t>
            </w:r>
          </w:p>
        </w:tc>
      </w:tr>
      <w:tr w:rsidR="00F7285D" w:rsidRPr="0029055B" w14:paraId="005DFE57" w14:textId="77777777" w:rsidTr="008709A1">
        <w:trPr>
          <w:trHeight w:val="315"/>
        </w:trPr>
        <w:tc>
          <w:tcPr>
            <w:tcW w:w="425" w:type="dxa"/>
            <w:tcBorders>
              <w:left w:val="single" w:sz="8" w:space="0" w:color="auto"/>
            </w:tcBorders>
            <w:noWrap/>
            <w:vAlign w:val="bottom"/>
          </w:tcPr>
          <w:p w14:paraId="28FD0907" w14:textId="77777777" w:rsidR="00F7285D" w:rsidRPr="0029055B" w:rsidRDefault="00F7285D" w:rsidP="008709A1">
            <w:pPr>
              <w:rPr>
                <w:szCs w:val="21"/>
              </w:rPr>
            </w:pPr>
            <w:r w:rsidRPr="0029055B">
              <w:rPr>
                <w:szCs w:val="21"/>
              </w:rPr>
              <w:t>12.</w:t>
            </w:r>
          </w:p>
        </w:tc>
        <w:tc>
          <w:tcPr>
            <w:tcW w:w="2127" w:type="dxa"/>
          </w:tcPr>
          <w:p w14:paraId="0E501D4D" w14:textId="77777777" w:rsidR="00F7285D" w:rsidRPr="0029055B" w:rsidRDefault="00F7285D" w:rsidP="008709A1">
            <w:pPr>
              <w:rPr>
                <w:szCs w:val="21"/>
              </w:rPr>
            </w:pPr>
            <w:r w:rsidRPr="0029055B">
              <w:rPr>
                <w:szCs w:val="21"/>
              </w:rPr>
              <w:t>Rubiaceae</w:t>
            </w:r>
          </w:p>
        </w:tc>
        <w:tc>
          <w:tcPr>
            <w:tcW w:w="2551" w:type="dxa"/>
            <w:noWrap/>
            <w:vAlign w:val="bottom"/>
          </w:tcPr>
          <w:p w14:paraId="3280B896" w14:textId="77777777" w:rsidR="00F7285D" w:rsidRPr="0029055B" w:rsidRDefault="00F7285D" w:rsidP="008709A1">
            <w:pPr>
              <w:rPr>
                <w:szCs w:val="21"/>
              </w:rPr>
            </w:pPr>
            <w:r w:rsidRPr="0029055B">
              <w:rPr>
                <w:szCs w:val="21"/>
              </w:rPr>
              <w:t>Coffea robusta</w:t>
            </w:r>
          </w:p>
        </w:tc>
        <w:tc>
          <w:tcPr>
            <w:tcW w:w="3261" w:type="dxa"/>
            <w:noWrap/>
            <w:vAlign w:val="bottom"/>
          </w:tcPr>
          <w:p w14:paraId="0F363361" w14:textId="77777777" w:rsidR="00F7285D" w:rsidRPr="0029055B" w:rsidRDefault="00F7285D" w:rsidP="008709A1">
            <w:pPr>
              <w:rPr>
                <w:szCs w:val="21"/>
              </w:rPr>
            </w:pPr>
            <w:r w:rsidRPr="0029055B">
              <w:rPr>
                <w:szCs w:val="21"/>
              </w:rPr>
              <w:t>Kafe, caféier</w:t>
            </w:r>
          </w:p>
        </w:tc>
        <w:tc>
          <w:tcPr>
            <w:tcW w:w="2126" w:type="dxa"/>
            <w:tcBorders>
              <w:right w:val="single" w:sz="8" w:space="0" w:color="auto"/>
            </w:tcBorders>
            <w:vAlign w:val="bottom"/>
          </w:tcPr>
          <w:p w14:paraId="2D5DBE65" w14:textId="77777777" w:rsidR="00F7285D" w:rsidRPr="0029055B" w:rsidRDefault="00F7285D" w:rsidP="008709A1">
            <w:pPr>
              <w:rPr>
                <w:szCs w:val="21"/>
              </w:rPr>
            </w:pPr>
            <w:r w:rsidRPr="0029055B">
              <w:rPr>
                <w:szCs w:val="21"/>
              </w:rPr>
              <w:t>Stimulant et tonique</w:t>
            </w:r>
          </w:p>
        </w:tc>
      </w:tr>
      <w:tr w:rsidR="00F7285D" w:rsidRPr="0029055B" w14:paraId="5469E5CF" w14:textId="77777777" w:rsidTr="008709A1">
        <w:trPr>
          <w:trHeight w:val="315"/>
        </w:trPr>
        <w:tc>
          <w:tcPr>
            <w:tcW w:w="425" w:type="dxa"/>
            <w:tcBorders>
              <w:left w:val="single" w:sz="8" w:space="0" w:color="auto"/>
            </w:tcBorders>
            <w:noWrap/>
            <w:vAlign w:val="bottom"/>
          </w:tcPr>
          <w:p w14:paraId="30F2F452" w14:textId="77777777" w:rsidR="00F7285D" w:rsidRPr="0029055B" w:rsidRDefault="00F7285D" w:rsidP="008709A1">
            <w:pPr>
              <w:rPr>
                <w:szCs w:val="21"/>
              </w:rPr>
            </w:pPr>
            <w:r w:rsidRPr="0029055B">
              <w:rPr>
                <w:szCs w:val="21"/>
              </w:rPr>
              <w:t>13.</w:t>
            </w:r>
          </w:p>
        </w:tc>
        <w:tc>
          <w:tcPr>
            <w:tcW w:w="2127" w:type="dxa"/>
          </w:tcPr>
          <w:p w14:paraId="7393C7C7" w14:textId="77777777" w:rsidR="00F7285D" w:rsidRPr="0029055B" w:rsidRDefault="00F7285D" w:rsidP="008709A1">
            <w:pPr>
              <w:rPr>
                <w:szCs w:val="21"/>
              </w:rPr>
            </w:pPr>
            <w:r w:rsidRPr="0029055B">
              <w:rPr>
                <w:szCs w:val="21"/>
              </w:rPr>
              <w:t>Araceae</w:t>
            </w:r>
          </w:p>
        </w:tc>
        <w:tc>
          <w:tcPr>
            <w:tcW w:w="2551" w:type="dxa"/>
            <w:noWrap/>
          </w:tcPr>
          <w:p w14:paraId="07640B4B" w14:textId="77777777" w:rsidR="00F7285D" w:rsidRPr="0029055B" w:rsidRDefault="00F7285D" w:rsidP="008709A1">
            <w:pPr>
              <w:rPr>
                <w:szCs w:val="21"/>
              </w:rPr>
            </w:pPr>
            <w:r w:rsidRPr="0029055B">
              <w:rPr>
                <w:szCs w:val="21"/>
              </w:rPr>
              <w:t>Colocasia esculenta</w:t>
            </w:r>
          </w:p>
        </w:tc>
        <w:tc>
          <w:tcPr>
            <w:tcW w:w="3261" w:type="dxa"/>
            <w:noWrap/>
            <w:vAlign w:val="bottom"/>
          </w:tcPr>
          <w:p w14:paraId="2411E23D" w14:textId="77777777" w:rsidR="00F7285D" w:rsidRPr="0029055B" w:rsidRDefault="00F7285D" w:rsidP="008709A1">
            <w:pPr>
              <w:rPr>
                <w:szCs w:val="21"/>
              </w:rPr>
            </w:pPr>
            <w:r w:rsidRPr="0029055B">
              <w:rPr>
                <w:szCs w:val="21"/>
              </w:rPr>
              <w:t>Taro, Mahole</w:t>
            </w:r>
          </w:p>
        </w:tc>
        <w:tc>
          <w:tcPr>
            <w:tcW w:w="2126" w:type="dxa"/>
            <w:tcBorders>
              <w:right w:val="single" w:sz="8" w:space="0" w:color="auto"/>
            </w:tcBorders>
            <w:noWrap/>
            <w:vAlign w:val="bottom"/>
          </w:tcPr>
          <w:p w14:paraId="5D20F528" w14:textId="77777777" w:rsidR="00F7285D" w:rsidRPr="0029055B" w:rsidRDefault="00F7285D" w:rsidP="008709A1">
            <w:pPr>
              <w:rPr>
                <w:szCs w:val="21"/>
              </w:rPr>
            </w:pPr>
            <w:r w:rsidRPr="0029055B">
              <w:rPr>
                <w:szCs w:val="21"/>
              </w:rPr>
              <w:t>Alimentaire</w:t>
            </w:r>
          </w:p>
        </w:tc>
      </w:tr>
      <w:tr w:rsidR="00F7285D" w:rsidRPr="0029055B" w14:paraId="5FE81C1B" w14:textId="77777777" w:rsidTr="008709A1">
        <w:trPr>
          <w:trHeight w:val="315"/>
        </w:trPr>
        <w:tc>
          <w:tcPr>
            <w:tcW w:w="425" w:type="dxa"/>
            <w:tcBorders>
              <w:left w:val="single" w:sz="8" w:space="0" w:color="auto"/>
            </w:tcBorders>
            <w:noWrap/>
            <w:vAlign w:val="bottom"/>
          </w:tcPr>
          <w:p w14:paraId="7DA20DB6" w14:textId="77777777" w:rsidR="00F7285D" w:rsidRPr="0029055B" w:rsidRDefault="00F7285D" w:rsidP="008709A1">
            <w:pPr>
              <w:rPr>
                <w:szCs w:val="21"/>
              </w:rPr>
            </w:pPr>
            <w:r w:rsidRPr="0029055B">
              <w:rPr>
                <w:szCs w:val="21"/>
              </w:rPr>
              <w:t>14.</w:t>
            </w:r>
          </w:p>
        </w:tc>
        <w:tc>
          <w:tcPr>
            <w:tcW w:w="2127" w:type="dxa"/>
          </w:tcPr>
          <w:p w14:paraId="4CF50550" w14:textId="77777777" w:rsidR="00F7285D" w:rsidRPr="0029055B" w:rsidRDefault="00F7285D" w:rsidP="008709A1">
            <w:pPr>
              <w:rPr>
                <w:szCs w:val="21"/>
              </w:rPr>
            </w:pPr>
            <w:r w:rsidRPr="0029055B">
              <w:rPr>
                <w:szCs w:val="21"/>
              </w:rPr>
              <w:t>Arecaceae</w:t>
            </w:r>
          </w:p>
        </w:tc>
        <w:tc>
          <w:tcPr>
            <w:tcW w:w="2551" w:type="dxa"/>
            <w:noWrap/>
            <w:vAlign w:val="bottom"/>
          </w:tcPr>
          <w:p w14:paraId="6ED9B430" w14:textId="77777777" w:rsidR="00F7285D" w:rsidRPr="0029055B" w:rsidRDefault="00F7285D" w:rsidP="008709A1">
            <w:pPr>
              <w:rPr>
                <w:szCs w:val="21"/>
              </w:rPr>
            </w:pPr>
            <w:r w:rsidRPr="0029055B">
              <w:rPr>
                <w:szCs w:val="21"/>
              </w:rPr>
              <w:t>Elaeis guineensis</w:t>
            </w:r>
          </w:p>
        </w:tc>
        <w:tc>
          <w:tcPr>
            <w:tcW w:w="3261" w:type="dxa"/>
            <w:noWrap/>
            <w:vAlign w:val="bottom"/>
          </w:tcPr>
          <w:p w14:paraId="30E28562" w14:textId="77777777" w:rsidR="00F7285D" w:rsidRPr="0029055B" w:rsidRDefault="00F7285D" w:rsidP="008709A1">
            <w:pPr>
              <w:rPr>
                <w:szCs w:val="21"/>
              </w:rPr>
            </w:pPr>
            <w:r w:rsidRPr="0029055B">
              <w:rPr>
                <w:szCs w:val="21"/>
              </w:rPr>
              <w:t>Palmier à huile, Ngazi (Mahuese)</w:t>
            </w:r>
          </w:p>
        </w:tc>
        <w:tc>
          <w:tcPr>
            <w:tcW w:w="2126" w:type="dxa"/>
            <w:tcBorders>
              <w:right w:val="single" w:sz="8" w:space="0" w:color="auto"/>
            </w:tcBorders>
            <w:noWrap/>
          </w:tcPr>
          <w:p w14:paraId="7D23C276" w14:textId="77777777" w:rsidR="00F7285D" w:rsidRPr="0029055B" w:rsidRDefault="00F7285D" w:rsidP="008709A1">
            <w:pPr>
              <w:rPr>
                <w:szCs w:val="21"/>
              </w:rPr>
            </w:pPr>
            <w:r w:rsidRPr="0029055B">
              <w:rPr>
                <w:szCs w:val="21"/>
              </w:rPr>
              <w:t>Alimentaire</w:t>
            </w:r>
          </w:p>
        </w:tc>
      </w:tr>
      <w:tr w:rsidR="00F7285D" w:rsidRPr="0029055B" w14:paraId="4070CE64" w14:textId="77777777" w:rsidTr="008709A1">
        <w:trPr>
          <w:trHeight w:val="315"/>
        </w:trPr>
        <w:tc>
          <w:tcPr>
            <w:tcW w:w="425" w:type="dxa"/>
            <w:tcBorders>
              <w:left w:val="single" w:sz="8" w:space="0" w:color="auto"/>
            </w:tcBorders>
            <w:noWrap/>
            <w:vAlign w:val="bottom"/>
          </w:tcPr>
          <w:p w14:paraId="668B1FBB" w14:textId="77777777" w:rsidR="00F7285D" w:rsidRPr="0029055B" w:rsidRDefault="00F7285D" w:rsidP="008709A1">
            <w:pPr>
              <w:rPr>
                <w:szCs w:val="21"/>
              </w:rPr>
            </w:pPr>
            <w:r w:rsidRPr="0029055B">
              <w:rPr>
                <w:szCs w:val="21"/>
              </w:rPr>
              <w:t>15.</w:t>
            </w:r>
          </w:p>
        </w:tc>
        <w:tc>
          <w:tcPr>
            <w:tcW w:w="2127" w:type="dxa"/>
            <w:vAlign w:val="bottom"/>
          </w:tcPr>
          <w:p w14:paraId="024D46AB" w14:textId="77777777" w:rsidR="00F7285D" w:rsidRPr="0029055B" w:rsidRDefault="00F7285D" w:rsidP="008709A1">
            <w:pPr>
              <w:rPr>
                <w:szCs w:val="21"/>
              </w:rPr>
            </w:pPr>
            <w:r w:rsidRPr="0029055B">
              <w:rPr>
                <w:szCs w:val="21"/>
              </w:rPr>
              <w:t>Convolvulaceae</w:t>
            </w:r>
          </w:p>
        </w:tc>
        <w:tc>
          <w:tcPr>
            <w:tcW w:w="2551" w:type="dxa"/>
          </w:tcPr>
          <w:p w14:paraId="699CB9A7" w14:textId="77777777" w:rsidR="00F7285D" w:rsidRPr="0029055B" w:rsidRDefault="00F7285D" w:rsidP="008709A1">
            <w:pPr>
              <w:rPr>
                <w:szCs w:val="21"/>
              </w:rPr>
            </w:pPr>
            <w:r w:rsidRPr="0029055B">
              <w:rPr>
                <w:szCs w:val="21"/>
              </w:rPr>
              <w:t>Ipomoea batatas</w:t>
            </w:r>
          </w:p>
        </w:tc>
        <w:tc>
          <w:tcPr>
            <w:tcW w:w="3261" w:type="dxa"/>
            <w:noWrap/>
            <w:vAlign w:val="bottom"/>
          </w:tcPr>
          <w:p w14:paraId="3C8B29F7" w14:textId="77777777" w:rsidR="00F7285D" w:rsidRPr="0029055B" w:rsidRDefault="00F7285D" w:rsidP="008709A1">
            <w:pPr>
              <w:rPr>
                <w:szCs w:val="21"/>
              </w:rPr>
            </w:pPr>
            <w:r w:rsidRPr="0029055B">
              <w:rPr>
                <w:szCs w:val="21"/>
              </w:rPr>
              <w:t xml:space="preserve">Patate douce, Viazi bulaya, </w:t>
            </w:r>
          </w:p>
        </w:tc>
        <w:tc>
          <w:tcPr>
            <w:tcW w:w="2126" w:type="dxa"/>
            <w:tcBorders>
              <w:bottom w:val="single" w:sz="8" w:space="0" w:color="auto"/>
              <w:right w:val="single" w:sz="8" w:space="0" w:color="auto"/>
            </w:tcBorders>
            <w:noWrap/>
            <w:vAlign w:val="bottom"/>
          </w:tcPr>
          <w:p w14:paraId="41D5C198" w14:textId="77777777" w:rsidR="00F7285D" w:rsidRPr="0029055B" w:rsidRDefault="00F7285D" w:rsidP="008709A1">
            <w:pPr>
              <w:rPr>
                <w:szCs w:val="21"/>
              </w:rPr>
            </w:pPr>
            <w:r w:rsidRPr="0029055B">
              <w:rPr>
                <w:szCs w:val="21"/>
              </w:rPr>
              <w:t>Alimentaire</w:t>
            </w:r>
          </w:p>
        </w:tc>
      </w:tr>
      <w:tr w:rsidR="00F7285D" w:rsidRPr="0029055B" w14:paraId="12B86963" w14:textId="77777777" w:rsidTr="008709A1">
        <w:trPr>
          <w:trHeight w:val="315"/>
        </w:trPr>
        <w:tc>
          <w:tcPr>
            <w:tcW w:w="425" w:type="dxa"/>
            <w:tcBorders>
              <w:left w:val="single" w:sz="8" w:space="0" w:color="auto"/>
            </w:tcBorders>
            <w:noWrap/>
            <w:vAlign w:val="bottom"/>
          </w:tcPr>
          <w:p w14:paraId="42AABAEE" w14:textId="77777777" w:rsidR="00F7285D" w:rsidRPr="0029055B" w:rsidRDefault="00F7285D" w:rsidP="008709A1">
            <w:pPr>
              <w:rPr>
                <w:szCs w:val="21"/>
              </w:rPr>
            </w:pPr>
            <w:r w:rsidRPr="0029055B">
              <w:rPr>
                <w:szCs w:val="21"/>
              </w:rPr>
              <w:t>16.</w:t>
            </w:r>
          </w:p>
        </w:tc>
        <w:tc>
          <w:tcPr>
            <w:tcW w:w="2127" w:type="dxa"/>
            <w:vAlign w:val="bottom"/>
          </w:tcPr>
          <w:p w14:paraId="2AD205D1" w14:textId="77777777" w:rsidR="00F7285D" w:rsidRPr="0029055B" w:rsidRDefault="00F7285D" w:rsidP="008709A1">
            <w:pPr>
              <w:rPr>
                <w:szCs w:val="21"/>
              </w:rPr>
            </w:pPr>
            <w:r w:rsidRPr="0029055B">
              <w:rPr>
                <w:szCs w:val="21"/>
              </w:rPr>
              <w:t>Solanaceae</w:t>
            </w:r>
          </w:p>
        </w:tc>
        <w:tc>
          <w:tcPr>
            <w:tcW w:w="2551" w:type="dxa"/>
            <w:vAlign w:val="bottom"/>
          </w:tcPr>
          <w:p w14:paraId="5635F618" w14:textId="77777777" w:rsidR="00F7285D" w:rsidRPr="0029055B" w:rsidRDefault="00F7285D" w:rsidP="008709A1">
            <w:pPr>
              <w:rPr>
                <w:szCs w:val="21"/>
              </w:rPr>
            </w:pPr>
            <w:r w:rsidRPr="0029055B">
              <w:rPr>
                <w:szCs w:val="21"/>
              </w:rPr>
              <w:t>Lycopersicum cerasiiforme</w:t>
            </w:r>
          </w:p>
        </w:tc>
        <w:tc>
          <w:tcPr>
            <w:tcW w:w="3261" w:type="dxa"/>
            <w:noWrap/>
            <w:vAlign w:val="bottom"/>
          </w:tcPr>
          <w:p w14:paraId="6F2EE862" w14:textId="77777777" w:rsidR="00F7285D" w:rsidRPr="0029055B" w:rsidRDefault="00F7285D" w:rsidP="008709A1">
            <w:pPr>
              <w:rPr>
                <w:szCs w:val="21"/>
              </w:rPr>
            </w:pPr>
            <w:r w:rsidRPr="0029055B">
              <w:rPr>
                <w:szCs w:val="21"/>
              </w:rPr>
              <w:t>Tomate</w:t>
            </w:r>
          </w:p>
        </w:tc>
        <w:tc>
          <w:tcPr>
            <w:tcW w:w="2126" w:type="dxa"/>
            <w:tcBorders>
              <w:top w:val="single" w:sz="8" w:space="0" w:color="auto"/>
              <w:bottom w:val="single" w:sz="8" w:space="0" w:color="auto"/>
              <w:right w:val="single" w:sz="8" w:space="0" w:color="auto"/>
            </w:tcBorders>
            <w:noWrap/>
            <w:vAlign w:val="bottom"/>
          </w:tcPr>
          <w:p w14:paraId="7595E67E" w14:textId="77777777" w:rsidR="00F7285D" w:rsidRPr="0029055B" w:rsidRDefault="00F7285D" w:rsidP="008709A1">
            <w:pPr>
              <w:rPr>
                <w:szCs w:val="21"/>
              </w:rPr>
            </w:pPr>
            <w:r w:rsidRPr="0029055B">
              <w:rPr>
                <w:szCs w:val="21"/>
              </w:rPr>
              <w:t>Alimentaire</w:t>
            </w:r>
          </w:p>
        </w:tc>
      </w:tr>
      <w:tr w:rsidR="00F7285D" w:rsidRPr="0029055B" w14:paraId="38F74CF9" w14:textId="77777777" w:rsidTr="008709A1">
        <w:trPr>
          <w:trHeight w:val="315"/>
        </w:trPr>
        <w:tc>
          <w:tcPr>
            <w:tcW w:w="425" w:type="dxa"/>
            <w:tcBorders>
              <w:left w:val="single" w:sz="8" w:space="0" w:color="auto"/>
            </w:tcBorders>
            <w:noWrap/>
            <w:vAlign w:val="bottom"/>
          </w:tcPr>
          <w:p w14:paraId="47AFA6F3" w14:textId="77777777" w:rsidR="00F7285D" w:rsidRPr="0029055B" w:rsidRDefault="00F7285D" w:rsidP="008709A1">
            <w:pPr>
              <w:rPr>
                <w:szCs w:val="21"/>
              </w:rPr>
            </w:pPr>
            <w:r w:rsidRPr="0029055B">
              <w:rPr>
                <w:szCs w:val="21"/>
              </w:rPr>
              <w:t>17.</w:t>
            </w:r>
          </w:p>
        </w:tc>
        <w:tc>
          <w:tcPr>
            <w:tcW w:w="2127" w:type="dxa"/>
            <w:vAlign w:val="bottom"/>
          </w:tcPr>
          <w:p w14:paraId="38A483A8" w14:textId="77777777" w:rsidR="00F7285D" w:rsidRPr="0029055B" w:rsidRDefault="00F7285D" w:rsidP="008709A1">
            <w:pPr>
              <w:rPr>
                <w:szCs w:val="21"/>
              </w:rPr>
            </w:pPr>
            <w:r w:rsidRPr="0029055B">
              <w:rPr>
                <w:szCs w:val="21"/>
              </w:rPr>
              <w:t>Anacardiaceae</w:t>
            </w:r>
          </w:p>
        </w:tc>
        <w:tc>
          <w:tcPr>
            <w:tcW w:w="2551" w:type="dxa"/>
            <w:noWrap/>
          </w:tcPr>
          <w:p w14:paraId="1A5B9388" w14:textId="77777777" w:rsidR="00F7285D" w:rsidRPr="0029055B" w:rsidRDefault="00F7285D" w:rsidP="008709A1">
            <w:pPr>
              <w:rPr>
                <w:szCs w:val="21"/>
              </w:rPr>
            </w:pPr>
            <w:r w:rsidRPr="0029055B">
              <w:rPr>
                <w:szCs w:val="21"/>
              </w:rPr>
              <w:t>Mangifera indica</w:t>
            </w:r>
          </w:p>
        </w:tc>
        <w:tc>
          <w:tcPr>
            <w:tcW w:w="3261" w:type="dxa"/>
            <w:noWrap/>
            <w:vAlign w:val="bottom"/>
          </w:tcPr>
          <w:p w14:paraId="46379788" w14:textId="77777777" w:rsidR="00F7285D" w:rsidRPr="0029055B" w:rsidRDefault="00F7285D" w:rsidP="008709A1">
            <w:pPr>
              <w:rPr>
                <w:szCs w:val="21"/>
              </w:rPr>
            </w:pPr>
            <w:r w:rsidRPr="0029055B">
              <w:rPr>
                <w:szCs w:val="21"/>
              </w:rPr>
              <w:t>Manguier, Muti ya Ehembe</w:t>
            </w:r>
          </w:p>
        </w:tc>
        <w:tc>
          <w:tcPr>
            <w:tcW w:w="2126" w:type="dxa"/>
            <w:tcBorders>
              <w:top w:val="single" w:sz="8" w:space="0" w:color="auto"/>
              <w:right w:val="single" w:sz="8" w:space="0" w:color="auto"/>
            </w:tcBorders>
            <w:vAlign w:val="bottom"/>
          </w:tcPr>
          <w:p w14:paraId="5DBD0F0D" w14:textId="77777777" w:rsidR="00F7285D" w:rsidRPr="0029055B" w:rsidRDefault="00F7285D" w:rsidP="008709A1">
            <w:pPr>
              <w:rPr>
                <w:szCs w:val="21"/>
              </w:rPr>
            </w:pPr>
            <w:r w:rsidRPr="0029055B">
              <w:rPr>
                <w:szCs w:val="21"/>
              </w:rPr>
              <w:t>Alimentaire</w:t>
            </w:r>
          </w:p>
        </w:tc>
      </w:tr>
      <w:tr w:rsidR="00F7285D" w:rsidRPr="0029055B" w14:paraId="33609564" w14:textId="77777777" w:rsidTr="008709A1">
        <w:trPr>
          <w:trHeight w:val="315"/>
        </w:trPr>
        <w:tc>
          <w:tcPr>
            <w:tcW w:w="425" w:type="dxa"/>
            <w:tcBorders>
              <w:left w:val="single" w:sz="8" w:space="0" w:color="auto"/>
            </w:tcBorders>
            <w:noWrap/>
            <w:vAlign w:val="bottom"/>
          </w:tcPr>
          <w:p w14:paraId="0250D1D7" w14:textId="77777777" w:rsidR="00F7285D" w:rsidRPr="0029055B" w:rsidRDefault="00F7285D" w:rsidP="008709A1">
            <w:pPr>
              <w:rPr>
                <w:szCs w:val="21"/>
              </w:rPr>
            </w:pPr>
            <w:r w:rsidRPr="0029055B">
              <w:rPr>
                <w:szCs w:val="21"/>
              </w:rPr>
              <w:t>18.</w:t>
            </w:r>
          </w:p>
        </w:tc>
        <w:tc>
          <w:tcPr>
            <w:tcW w:w="2127" w:type="dxa"/>
            <w:vAlign w:val="bottom"/>
          </w:tcPr>
          <w:p w14:paraId="718ECF5D" w14:textId="77777777" w:rsidR="00F7285D" w:rsidRPr="0029055B" w:rsidRDefault="00F7285D" w:rsidP="008709A1">
            <w:pPr>
              <w:rPr>
                <w:szCs w:val="21"/>
              </w:rPr>
            </w:pPr>
            <w:r w:rsidRPr="0029055B">
              <w:rPr>
                <w:szCs w:val="21"/>
              </w:rPr>
              <w:t>Euphorbiaceae</w:t>
            </w:r>
          </w:p>
        </w:tc>
        <w:tc>
          <w:tcPr>
            <w:tcW w:w="2551" w:type="dxa"/>
            <w:vAlign w:val="bottom"/>
          </w:tcPr>
          <w:p w14:paraId="0EB60DB7" w14:textId="77777777" w:rsidR="00F7285D" w:rsidRPr="0029055B" w:rsidRDefault="00F7285D" w:rsidP="008709A1">
            <w:pPr>
              <w:rPr>
                <w:szCs w:val="21"/>
              </w:rPr>
            </w:pPr>
            <w:r w:rsidRPr="0029055B">
              <w:rPr>
                <w:szCs w:val="21"/>
              </w:rPr>
              <w:t>Manihot esculentha</w:t>
            </w:r>
          </w:p>
        </w:tc>
        <w:tc>
          <w:tcPr>
            <w:tcW w:w="3261" w:type="dxa"/>
            <w:noWrap/>
            <w:vAlign w:val="bottom"/>
          </w:tcPr>
          <w:p w14:paraId="7938D14F" w14:textId="77777777" w:rsidR="00F7285D" w:rsidRPr="0029055B" w:rsidRDefault="00F7285D" w:rsidP="008709A1">
            <w:pPr>
              <w:rPr>
                <w:szCs w:val="21"/>
              </w:rPr>
            </w:pPr>
            <w:r w:rsidRPr="0029055B">
              <w:rPr>
                <w:szCs w:val="21"/>
              </w:rPr>
              <w:t>Manioc, Mihogo</w:t>
            </w:r>
          </w:p>
        </w:tc>
        <w:tc>
          <w:tcPr>
            <w:tcW w:w="2126" w:type="dxa"/>
            <w:tcBorders>
              <w:right w:val="single" w:sz="8" w:space="0" w:color="auto"/>
            </w:tcBorders>
            <w:noWrap/>
            <w:vAlign w:val="bottom"/>
          </w:tcPr>
          <w:p w14:paraId="13C2CDDF" w14:textId="77777777" w:rsidR="00F7285D" w:rsidRPr="0029055B" w:rsidRDefault="00F7285D" w:rsidP="008709A1">
            <w:pPr>
              <w:rPr>
                <w:szCs w:val="21"/>
              </w:rPr>
            </w:pPr>
            <w:r w:rsidRPr="0029055B">
              <w:rPr>
                <w:szCs w:val="21"/>
              </w:rPr>
              <w:t>Alimentaire</w:t>
            </w:r>
          </w:p>
        </w:tc>
      </w:tr>
      <w:tr w:rsidR="00F7285D" w:rsidRPr="0029055B" w14:paraId="05035F22" w14:textId="77777777" w:rsidTr="008709A1">
        <w:trPr>
          <w:trHeight w:val="315"/>
        </w:trPr>
        <w:tc>
          <w:tcPr>
            <w:tcW w:w="425" w:type="dxa"/>
            <w:tcBorders>
              <w:left w:val="single" w:sz="8" w:space="0" w:color="auto"/>
            </w:tcBorders>
            <w:noWrap/>
            <w:vAlign w:val="bottom"/>
          </w:tcPr>
          <w:p w14:paraId="1B4FEBB5" w14:textId="77777777" w:rsidR="00F7285D" w:rsidRPr="0029055B" w:rsidRDefault="00F7285D" w:rsidP="008709A1">
            <w:pPr>
              <w:rPr>
                <w:szCs w:val="21"/>
              </w:rPr>
            </w:pPr>
            <w:r w:rsidRPr="0029055B">
              <w:rPr>
                <w:szCs w:val="21"/>
              </w:rPr>
              <w:t>19.</w:t>
            </w:r>
          </w:p>
        </w:tc>
        <w:tc>
          <w:tcPr>
            <w:tcW w:w="2127" w:type="dxa"/>
            <w:vAlign w:val="bottom"/>
          </w:tcPr>
          <w:p w14:paraId="64123214" w14:textId="77777777" w:rsidR="00F7285D" w:rsidRPr="0029055B" w:rsidRDefault="00F7285D" w:rsidP="008709A1">
            <w:pPr>
              <w:rPr>
                <w:szCs w:val="21"/>
              </w:rPr>
            </w:pPr>
            <w:r w:rsidRPr="0029055B">
              <w:rPr>
                <w:szCs w:val="21"/>
              </w:rPr>
              <w:t>Musaceae</w:t>
            </w:r>
          </w:p>
        </w:tc>
        <w:tc>
          <w:tcPr>
            <w:tcW w:w="2551" w:type="dxa"/>
            <w:noWrap/>
            <w:vAlign w:val="bottom"/>
          </w:tcPr>
          <w:p w14:paraId="2918135E" w14:textId="77777777" w:rsidR="00F7285D" w:rsidRPr="0029055B" w:rsidRDefault="00F7285D" w:rsidP="008709A1">
            <w:pPr>
              <w:rPr>
                <w:szCs w:val="21"/>
              </w:rPr>
            </w:pPr>
            <w:r w:rsidRPr="0029055B">
              <w:rPr>
                <w:szCs w:val="21"/>
              </w:rPr>
              <w:t>Musa nana</w:t>
            </w:r>
          </w:p>
        </w:tc>
        <w:tc>
          <w:tcPr>
            <w:tcW w:w="3261" w:type="dxa"/>
            <w:noWrap/>
            <w:vAlign w:val="bottom"/>
          </w:tcPr>
          <w:p w14:paraId="1BABB86B" w14:textId="77777777" w:rsidR="00F7285D" w:rsidRPr="0029055B" w:rsidRDefault="00F7285D" w:rsidP="008709A1">
            <w:pPr>
              <w:rPr>
                <w:szCs w:val="21"/>
              </w:rPr>
            </w:pPr>
            <w:r w:rsidRPr="0029055B">
              <w:rPr>
                <w:szCs w:val="21"/>
              </w:rPr>
              <w:t>Bitika</w:t>
            </w:r>
          </w:p>
        </w:tc>
        <w:tc>
          <w:tcPr>
            <w:tcW w:w="2126" w:type="dxa"/>
            <w:tcBorders>
              <w:right w:val="single" w:sz="8" w:space="0" w:color="auto"/>
            </w:tcBorders>
            <w:noWrap/>
            <w:vAlign w:val="bottom"/>
          </w:tcPr>
          <w:p w14:paraId="25CEAE59" w14:textId="77777777" w:rsidR="00F7285D" w:rsidRPr="0029055B" w:rsidRDefault="00F7285D" w:rsidP="008709A1">
            <w:pPr>
              <w:rPr>
                <w:szCs w:val="21"/>
              </w:rPr>
            </w:pPr>
            <w:r w:rsidRPr="0029055B">
              <w:rPr>
                <w:szCs w:val="21"/>
              </w:rPr>
              <w:t>Alimentaire</w:t>
            </w:r>
          </w:p>
        </w:tc>
      </w:tr>
      <w:tr w:rsidR="00F7285D" w:rsidRPr="0029055B" w14:paraId="62B58439" w14:textId="77777777" w:rsidTr="008709A1">
        <w:trPr>
          <w:trHeight w:val="315"/>
        </w:trPr>
        <w:tc>
          <w:tcPr>
            <w:tcW w:w="425" w:type="dxa"/>
            <w:tcBorders>
              <w:left w:val="single" w:sz="8" w:space="0" w:color="auto"/>
            </w:tcBorders>
            <w:noWrap/>
            <w:vAlign w:val="bottom"/>
          </w:tcPr>
          <w:p w14:paraId="6D6543CF" w14:textId="77777777" w:rsidR="00F7285D" w:rsidRPr="0029055B" w:rsidRDefault="00F7285D" w:rsidP="008709A1">
            <w:pPr>
              <w:rPr>
                <w:szCs w:val="21"/>
              </w:rPr>
            </w:pPr>
            <w:r w:rsidRPr="0029055B">
              <w:rPr>
                <w:szCs w:val="21"/>
              </w:rPr>
              <w:t>20.</w:t>
            </w:r>
          </w:p>
        </w:tc>
        <w:tc>
          <w:tcPr>
            <w:tcW w:w="2127" w:type="dxa"/>
            <w:vAlign w:val="bottom"/>
          </w:tcPr>
          <w:p w14:paraId="60E75FB2" w14:textId="77777777" w:rsidR="00F7285D" w:rsidRPr="0029055B" w:rsidRDefault="00F7285D" w:rsidP="008709A1">
            <w:pPr>
              <w:rPr>
                <w:szCs w:val="21"/>
              </w:rPr>
            </w:pPr>
            <w:r w:rsidRPr="0029055B">
              <w:rPr>
                <w:szCs w:val="21"/>
              </w:rPr>
              <w:t>Musaceae</w:t>
            </w:r>
          </w:p>
        </w:tc>
        <w:tc>
          <w:tcPr>
            <w:tcW w:w="2551" w:type="dxa"/>
          </w:tcPr>
          <w:p w14:paraId="274F277A" w14:textId="77777777" w:rsidR="00F7285D" w:rsidRPr="0029055B" w:rsidRDefault="00F7285D" w:rsidP="008709A1">
            <w:pPr>
              <w:rPr>
                <w:szCs w:val="21"/>
              </w:rPr>
            </w:pPr>
            <w:r w:rsidRPr="0029055B">
              <w:rPr>
                <w:szCs w:val="21"/>
              </w:rPr>
              <w:t>Musa paradisiaca</w:t>
            </w:r>
          </w:p>
        </w:tc>
        <w:tc>
          <w:tcPr>
            <w:tcW w:w="3261" w:type="dxa"/>
            <w:noWrap/>
            <w:vAlign w:val="bottom"/>
          </w:tcPr>
          <w:p w14:paraId="22AA37CF" w14:textId="77777777" w:rsidR="00F7285D" w:rsidRPr="0029055B" w:rsidRDefault="00F7285D" w:rsidP="008709A1">
            <w:pPr>
              <w:rPr>
                <w:szCs w:val="21"/>
              </w:rPr>
            </w:pPr>
            <w:r w:rsidRPr="0029055B">
              <w:rPr>
                <w:szCs w:val="21"/>
              </w:rPr>
              <w:t>Bitika</w:t>
            </w:r>
          </w:p>
        </w:tc>
        <w:tc>
          <w:tcPr>
            <w:tcW w:w="2126" w:type="dxa"/>
            <w:tcBorders>
              <w:right w:val="single" w:sz="8" w:space="0" w:color="auto"/>
            </w:tcBorders>
            <w:noWrap/>
            <w:vAlign w:val="bottom"/>
          </w:tcPr>
          <w:p w14:paraId="772BB46C" w14:textId="77777777" w:rsidR="00F7285D" w:rsidRPr="0029055B" w:rsidRDefault="00F7285D" w:rsidP="008709A1">
            <w:pPr>
              <w:rPr>
                <w:szCs w:val="21"/>
              </w:rPr>
            </w:pPr>
            <w:r w:rsidRPr="0029055B">
              <w:rPr>
                <w:szCs w:val="21"/>
              </w:rPr>
              <w:t>Alimentaire</w:t>
            </w:r>
          </w:p>
        </w:tc>
      </w:tr>
      <w:tr w:rsidR="00F7285D" w:rsidRPr="0029055B" w14:paraId="17150ED5" w14:textId="77777777" w:rsidTr="008709A1">
        <w:trPr>
          <w:trHeight w:val="315"/>
        </w:trPr>
        <w:tc>
          <w:tcPr>
            <w:tcW w:w="425" w:type="dxa"/>
            <w:tcBorders>
              <w:left w:val="single" w:sz="8" w:space="0" w:color="auto"/>
            </w:tcBorders>
            <w:noWrap/>
            <w:vAlign w:val="bottom"/>
          </w:tcPr>
          <w:p w14:paraId="689E7B9C" w14:textId="77777777" w:rsidR="00F7285D" w:rsidRPr="0029055B" w:rsidRDefault="00F7285D" w:rsidP="008709A1">
            <w:pPr>
              <w:rPr>
                <w:szCs w:val="21"/>
              </w:rPr>
            </w:pPr>
            <w:r w:rsidRPr="0029055B">
              <w:rPr>
                <w:szCs w:val="21"/>
              </w:rPr>
              <w:t>21.</w:t>
            </w:r>
          </w:p>
        </w:tc>
        <w:tc>
          <w:tcPr>
            <w:tcW w:w="2127" w:type="dxa"/>
            <w:vAlign w:val="bottom"/>
          </w:tcPr>
          <w:p w14:paraId="22F90802" w14:textId="77777777" w:rsidR="00F7285D" w:rsidRPr="0029055B" w:rsidRDefault="00F7285D" w:rsidP="008709A1">
            <w:pPr>
              <w:rPr>
                <w:szCs w:val="21"/>
              </w:rPr>
            </w:pPr>
            <w:r w:rsidRPr="0029055B">
              <w:rPr>
                <w:szCs w:val="21"/>
              </w:rPr>
              <w:t>Musaceae</w:t>
            </w:r>
          </w:p>
        </w:tc>
        <w:tc>
          <w:tcPr>
            <w:tcW w:w="2551" w:type="dxa"/>
            <w:noWrap/>
            <w:vAlign w:val="bottom"/>
          </w:tcPr>
          <w:p w14:paraId="46B503A0" w14:textId="77777777" w:rsidR="00F7285D" w:rsidRPr="0029055B" w:rsidRDefault="00F7285D" w:rsidP="008709A1">
            <w:pPr>
              <w:rPr>
                <w:szCs w:val="21"/>
              </w:rPr>
            </w:pPr>
            <w:r w:rsidRPr="0029055B">
              <w:rPr>
                <w:szCs w:val="21"/>
              </w:rPr>
              <w:t>Musa sapietum</w:t>
            </w:r>
          </w:p>
        </w:tc>
        <w:tc>
          <w:tcPr>
            <w:tcW w:w="3261" w:type="dxa"/>
            <w:noWrap/>
            <w:vAlign w:val="bottom"/>
          </w:tcPr>
          <w:p w14:paraId="2958F53B" w14:textId="77777777" w:rsidR="00F7285D" w:rsidRPr="0029055B" w:rsidRDefault="00F7285D" w:rsidP="008709A1">
            <w:pPr>
              <w:rPr>
                <w:szCs w:val="21"/>
              </w:rPr>
            </w:pPr>
            <w:r w:rsidRPr="0029055B">
              <w:rPr>
                <w:szCs w:val="21"/>
              </w:rPr>
              <w:t>Mizuzu</w:t>
            </w:r>
          </w:p>
        </w:tc>
        <w:tc>
          <w:tcPr>
            <w:tcW w:w="2126" w:type="dxa"/>
            <w:tcBorders>
              <w:right w:val="single" w:sz="8" w:space="0" w:color="auto"/>
            </w:tcBorders>
            <w:noWrap/>
            <w:vAlign w:val="bottom"/>
          </w:tcPr>
          <w:p w14:paraId="54C4A5AF" w14:textId="77777777" w:rsidR="00F7285D" w:rsidRPr="0029055B" w:rsidRDefault="00F7285D" w:rsidP="008709A1">
            <w:pPr>
              <w:rPr>
                <w:szCs w:val="21"/>
              </w:rPr>
            </w:pPr>
            <w:r w:rsidRPr="0029055B">
              <w:rPr>
                <w:szCs w:val="21"/>
              </w:rPr>
              <w:t>Alimentaire</w:t>
            </w:r>
          </w:p>
        </w:tc>
      </w:tr>
      <w:tr w:rsidR="00F7285D" w:rsidRPr="0029055B" w14:paraId="17CCEC12" w14:textId="77777777" w:rsidTr="008709A1">
        <w:trPr>
          <w:trHeight w:val="315"/>
        </w:trPr>
        <w:tc>
          <w:tcPr>
            <w:tcW w:w="425" w:type="dxa"/>
            <w:tcBorders>
              <w:left w:val="single" w:sz="8" w:space="0" w:color="auto"/>
              <w:bottom w:val="single" w:sz="4" w:space="0" w:color="auto"/>
            </w:tcBorders>
            <w:noWrap/>
            <w:vAlign w:val="bottom"/>
          </w:tcPr>
          <w:p w14:paraId="1DE6B635" w14:textId="77777777" w:rsidR="00F7285D" w:rsidRPr="0029055B" w:rsidRDefault="00F7285D" w:rsidP="008709A1">
            <w:pPr>
              <w:rPr>
                <w:szCs w:val="21"/>
              </w:rPr>
            </w:pPr>
            <w:r w:rsidRPr="0029055B">
              <w:rPr>
                <w:szCs w:val="21"/>
              </w:rPr>
              <w:t>22.</w:t>
            </w:r>
          </w:p>
        </w:tc>
        <w:tc>
          <w:tcPr>
            <w:tcW w:w="2127" w:type="dxa"/>
            <w:vAlign w:val="bottom"/>
          </w:tcPr>
          <w:p w14:paraId="36E8C4E7" w14:textId="77777777" w:rsidR="00F7285D" w:rsidRPr="0029055B" w:rsidRDefault="00F7285D" w:rsidP="008709A1">
            <w:pPr>
              <w:rPr>
                <w:szCs w:val="21"/>
              </w:rPr>
            </w:pPr>
            <w:r w:rsidRPr="0029055B">
              <w:rPr>
                <w:szCs w:val="21"/>
              </w:rPr>
              <w:t>Solanaceae</w:t>
            </w:r>
          </w:p>
        </w:tc>
        <w:tc>
          <w:tcPr>
            <w:tcW w:w="2551" w:type="dxa"/>
            <w:noWrap/>
            <w:vAlign w:val="bottom"/>
          </w:tcPr>
          <w:p w14:paraId="1AD6ADDC" w14:textId="77777777" w:rsidR="00F7285D" w:rsidRPr="0029055B" w:rsidRDefault="00F7285D" w:rsidP="008709A1">
            <w:pPr>
              <w:rPr>
                <w:szCs w:val="21"/>
              </w:rPr>
            </w:pPr>
            <w:r w:rsidRPr="0029055B">
              <w:rPr>
                <w:szCs w:val="21"/>
              </w:rPr>
              <w:t>Nicotiana tabacum</w:t>
            </w:r>
          </w:p>
        </w:tc>
        <w:tc>
          <w:tcPr>
            <w:tcW w:w="3261" w:type="dxa"/>
            <w:noWrap/>
            <w:vAlign w:val="bottom"/>
          </w:tcPr>
          <w:p w14:paraId="38D87F87" w14:textId="77777777" w:rsidR="00F7285D" w:rsidRPr="0029055B" w:rsidRDefault="00F7285D" w:rsidP="008709A1">
            <w:pPr>
              <w:rPr>
                <w:szCs w:val="21"/>
              </w:rPr>
            </w:pPr>
            <w:r w:rsidRPr="0029055B">
              <w:rPr>
                <w:szCs w:val="21"/>
              </w:rPr>
              <w:t>Tabac</w:t>
            </w:r>
          </w:p>
        </w:tc>
        <w:tc>
          <w:tcPr>
            <w:tcW w:w="2126" w:type="dxa"/>
            <w:tcBorders>
              <w:right w:val="single" w:sz="8" w:space="0" w:color="auto"/>
            </w:tcBorders>
            <w:noWrap/>
            <w:vAlign w:val="bottom"/>
          </w:tcPr>
          <w:p w14:paraId="64A13721" w14:textId="77777777" w:rsidR="00F7285D" w:rsidRPr="0029055B" w:rsidRDefault="00F7285D" w:rsidP="008709A1">
            <w:pPr>
              <w:rPr>
                <w:szCs w:val="21"/>
              </w:rPr>
            </w:pPr>
            <w:r w:rsidRPr="0029055B">
              <w:rPr>
                <w:szCs w:val="21"/>
              </w:rPr>
              <w:t>Stimulant</w:t>
            </w:r>
          </w:p>
        </w:tc>
      </w:tr>
      <w:tr w:rsidR="00F7285D" w:rsidRPr="0029055B" w14:paraId="0FCBCE2E" w14:textId="77777777" w:rsidTr="008709A1">
        <w:trPr>
          <w:trHeight w:val="315"/>
        </w:trPr>
        <w:tc>
          <w:tcPr>
            <w:tcW w:w="425" w:type="dxa"/>
            <w:tcBorders>
              <w:top w:val="single" w:sz="4" w:space="0" w:color="auto"/>
              <w:left w:val="single" w:sz="8" w:space="0" w:color="auto"/>
            </w:tcBorders>
            <w:noWrap/>
            <w:vAlign w:val="bottom"/>
          </w:tcPr>
          <w:p w14:paraId="2B89246A" w14:textId="77777777" w:rsidR="00F7285D" w:rsidRPr="0029055B" w:rsidRDefault="00F7285D" w:rsidP="008709A1">
            <w:pPr>
              <w:rPr>
                <w:szCs w:val="21"/>
              </w:rPr>
            </w:pPr>
            <w:r w:rsidRPr="0029055B">
              <w:rPr>
                <w:szCs w:val="21"/>
              </w:rPr>
              <w:t>23.</w:t>
            </w:r>
          </w:p>
        </w:tc>
        <w:tc>
          <w:tcPr>
            <w:tcW w:w="2127" w:type="dxa"/>
            <w:vAlign w:val="bottom"/>
          </w:tcPr>
          <w:p w14:paraId="4746C0FD" w14:textId="77777777" w:rsidR="00F7285D" w:rsidRPr="0029055B" w:rsidRDefault="00F7285D" w:rsidP="008709A1">
            <w:pPr>
              <w:rPr>
                <w:szCs w:val="21"/>
              </w:rPr>
            </w:pPr>
            <w:r w:rsidRPr="0029055B">
              <w:rPr>
                <w:szCs w:val="21"/>
              </w:rPr>
              <w:t>Lauraceae</w:t>
            </w:r>
          </w:p>
        </w:tc>
        <w:tc>
          <w:tcPr>
            <w:tcW w:w="2551" w:type="dxa"/>
            <w:vAlign w:val="bottom"/>
          </w:tcPr>
          <w:p w14:paraId="00667285" w14:textId="77777777" w:rsidR="00F7285D" w:rsidRPr="0029055B" w:rsidRDefault="00F7285D" w:rsidP="008709A1">
            <w:pPr>
              <w:rPr>
                <w:szCs w:val="21"/>
              </w:rPr>
            </w:pPr>
            <w:r w:rsidRPr="0029055B">
              <w:rPr>
                <w:szCs w:val="21"/>
              </w:rPr>
              <w:t>Persea americana</w:t>
            </w:r>
          </w:p>
        </w:tc>
        <w:tc>
          <w:tcPr>
            <w:tcW w:w="3261" w:type="dxa"/>
            <w:noWrap/>
            <w:vAlign w:val="bottom"/>
          </w:tcPr>
          <w:p w14:paraId="75440C2A" w14:textId="77777777" w:rsidR="00F7285D" w:rsidRPr="0029055B" w:rsidRDefault="00F7285D" w:rsidP="008709A1">
            <w:pPr>
              <w:rPr>
                <w:szCs w:val="21"/>
              </w:rPr>
            </w:pPr>
            <w:r w:rsidRPr="0029055B">
              <w:rPr>
                <w:szCs w:val="21"/>
              </w:rPr>
              <w:t>Muti y’avoka</w:t>
            </w:r>
          </w:p>
        </w:tc>
        <w:tc>
          <w:tcPr>
            <w:tcW w:w="2126" w:type="dxa"/>
            <w:tcBorders>
              <w:right w:val="single" w:sz="8" w:space="0" w:color="auto"/>
            </w:tcBorders>
            <w:noWrap/>
            <w:vAlign w:val="bottom"/>
          </w:tcPr>
          <w:p w14:paraId="4E939BC6" w14:textId="77777777" w:rsidR="00F7285D" w:rsidRPr="0029055B" w:rsidRDefault="00F7285D" w:rsidP="008709A1">
            <w:pPr>
              <w:rPr>
                <w:szCs w:val="21"/>
              </w:rPr>
            </w:pPr>
            <w:r w:rsidRPr="0029055B">
              <w:rPr>
                <w:szCs w:val="21"/>
              </w:rPr>
              <w:t>Alimentaire</w:t>
            </w:r>
          </w:p>
        </w:tc>
      </w:tr>
      <w:tr w:rsidR="00F7285D" w:rsidRPr="0029055B" w14:paraId="0AD1D1E5" w14:textId="77777777" w:rsidTr="008709A1">
        <w:trPr>
          <w:trHeight w:val="315"/>
        </w:trPr>
        <w:tc>
          <w:tcPr>
            <w:tcW w:w="425" w:type="dxa"/>
            <w:tcBorders>
              <w:left w:val="single" w:sz="8" w:space="0" w:color="auto"/>
            </w:tcBorders>
            <w:noWrap/>
            <w:vAlign w:val="bottom"/>
          </w:tcPr>
          <w:p w14:paraId="18B1669F" w14:textId="77777777" w:rsidR="00F7285D" w:rsidRPr="0029055B" w:rsidRDefault="00F7285D" w:rsidP="008709A1">
            <w:pPr>
              <w:rPr>
                <w:szCs w:val="21"/>
              </w:rPr>
            </w:pPr>
            <w:r w:rsidRPr="0029055B">
              <w:rPr>
                <w:szCs w:val="21"/>
              </w:rPr>
              <w:t>24.</w:t>
            </w:r>
          </w:p>
        </w:tc>
        <w:tc>
          <w:tcPr>
            <w:tcW w:w="2127" w:type="dxa"/>
            <w:vAlign w:val="bottom"/>
          </w:tcPr>
          <w:p w14:paraId="68BAA62B" w14:textId="77777777" w:rsidR="00F7285D" w:rsidRPr="0029055B" w:rsidRDefault="00F7285D" w:rsidP="008709A1">
            <w:pPr>
              <w:rPr>
                <w:szCs w:val="21"/>
              </w:rPr>
            </w:pPr>
            <w:r w:rsidRPr="0029055B">
              <w:rPr>
                <w:szCs w:val="21"/>
              </w:rPr>
              <w:t>Fabaceae/ Faboideae</w:t>
            </w:r>
          </w:p>
        </w:tc>
        <w:tc>
          <w:tcPr>
            <w:tcW w:w="2551" w:type="dxa"/>
            <w:noWrap/>
            <w:vAlign w:val="bottom"/>
          </w:tcPr>
          <w:p w14:paraId="5B85B99A" w14:textId="77777777" w:rsidR="00F7285D" w:rsidRPr="0029055B" w:rsidRDefault="00F7285D" w:rsidP="008709A1">
            <w:pPr>
              <w:rPr>
                <w:szCs w:val="21"/>
              </w:rPr>
            </w:pPr>
            <w:r w:rsidRPr="0029055B">
              <w:rPr>
                <w:szCs w:val="21"/>
              </w:rPr>
              <w:t>Phaseolus vulgaris var.</w:t>
            </w:r>
          </w:p>
        </w:tc>
        <w:tc>
          <w:tcPr>
            <w:tcW w:w="3261" w:type="dxa"/>
            <w:noWrap/>
            <w:vAlign w:val="bottom"/>
          </w:tcPr>
          <w:p w14:paraId="342E3E0F" w14:textId="77777777" w:rsidR="00F7285D" w:rsidRPr="0029055B" w:rsidRDefault="00F7285D" w:rsidP="008709A1">
            <w:pPr>
              <w:rPr>
                <w:szCs w:val="21"/>
              </w:rPr>
            </w:pPr>
            <w:r w:rsidRPr="0029055B">
              <w:rPr>
                <w:szCs w:val="21"/>
              </w:rPr>
              <w:t>Maragi</w:t>
            </w:r>
          </w:p>
        </w:tc>
        <w:tc>
          <w:tcPr>
            <w:tcW w:w="2126" w:type="dxa"/>
            <w:tcBorders>
              <w:right w:val="single" w:sz="8" w:space="0" w:color="auto"/>
            </w:tcBorders>
            <w:noWrap/>
            <w:vAlign w:val="bottom"/>
          </w:tcPr>
          <w:p w14:paraId="6D0F9B9D" w14:textId="77777777" w:rsidR="00F7285D" w:rsidRPr="0029055B" w:rsidRDefault="00F7285D" w:rsidP="008709A1">
            <w:pPr>
              <w:rPr>
                <w:szCs w:val="21"/>
              </w:rPr>
            </w:pPr>
            <w:r w:rsidRPr="0029055B">
              <w:rPr>
                <w:szCs w:val="21"/>
              </w:rPr>
              <w:t>Alimentaire</w:t>
            </w:r>
          </w:p>
        </w:tc>
      </w:tr>
      <w:tr w:rsidR="00F7285D" w:rsidRPr="0029055B" w14:paraId="07C63E27" w14:textId="77777777" w:rsidTr="008709A1">
        <w:trPr>
          <w:trHeight w:val="315"/>
        </w:trPr>
        <w:tc>
          <w:tcPr>
            <w:tcW w:w="425" w:type="dxa"/>
            <w:tcBorders>
              <w:left w:val="single" w:sz="8" w:space="0" w:color="auto"/>
            </w:tcBorders>
            <w:noWrap/>
            <w:vAlign w:val="bottom"/>
          </w:tcPr>
          <w:p w14:paraId="2E6DFB69" w14:textId="77777777" w:rsidR="00F7285D" w:rsidRPr="0029055B" w:rsidRDefault="00F7285D" w:rsidP="008709A1">
            <w:pPr>
              <w:rPr>
                <w:szCs w:val="21"/>
              </w:rPr>
            </w:pPr>
            <w:r w:rsidRPr="0029055B">
              <w:rPr>
                <w:szCs w:val="21"/>
              </w:rPr>
              <w:t>25.</w:t>
            </w:r>
          </w:p>
        </w:tc>
        <w:tc>
          <w:tcPr>
            <w:tcW w:w="2127" w:type="dxa"/>
            <w:vAlign w:val="bottom"/>
          </w:tcPr>
          <w:p w14:paraId="4C52ADFB" w14:textId="77777777" w:rsidR="00F7285D" w:rsidRPr="0029055B" w:rsidRDefault="00F7285D" w:rsidP="008709A1">
            <w:pPr>
              <w:rPr>
                <w:szCs w:val="21"/>
              </w:rPr>
            </w:pPr>
            <w:r w:rsidRPr="0029055B">
              <w:rPr>
                <w:szCs w:val="21"/>
              </w:rPr>
              <w:t>Rutaceae</w:t>
            </w:r>
          </w:p>
        </w:tc>
        <w:tc>
          <w:tcPr>
            <w:tcW w:w="2551" w:type="dxa"/>
            <w:noWrap/>
            <w:vAlign w:val="bottom"/>
          </w:tcPr>
          <w:p w14:paraId="1AE950ED" w14:textId="77777777" w:rsidR="00F7285D" w:rsidRPr="0029055B" w:rsidRDefault="00F7285D" w:rsidP="008709A1">
            <w:pPr>
              <w:rPr>
                <w:szCs w:val="21"/>
              </w:rPr>
            </w:pPr>
            <w:r w:rsidRPr="0029055B">
              <w:rPr>
                <w:szCs w:val="21"/>
              </w:rPr>
              <w:t>Psidium guajava</w:t>
            </w:r>
          </w:p>
        </w:tc>
        <w:tc>
          <w:tcPr>
            <w:tcW w:w="3261" w:type="dxa"/>
            <w:noWrap/>
            <w:vAlign w:val="bottom"/>
          </w:tcPr>
          <w:p w14:paraId="03D2464E" w14:textId="77777777" w:rsidR="00F7285D" w:rsidRPr="0029055B" w:rsidRDefault="00F7285D" w:rsidP="008709A1">
            <w:pPr>
              <w:rPr>
                <w:szCs w:val="21"/>
              </w:rPr>
            </w:pPr>
            <w:r w:rsidRPr="0029055B">
              <w:rPr>
                <w:szCs w:val="21"/>
              </w:rPr>
              <w:t>Goyavier, Mapela</w:t>
            </w:r>
          </w:p>
        </w:tc>
        <w:tc>
          <w:tcPr>
            <w:tcW w:w="2126" w:type="dxa"/>
            <w:tcBorders>
              <w:right w:val="single" w:sz="8" w:space="0" w:color="auto"/>
            </w:tcBorders>
            <w:noWrap/>
            <w:vAlign w:val="bottom"/>
          </w:tcPr>
          <w:p w14:paraId="34DFC646" w14:textId="77777777" w:rsidR="00F7285D" w:rsidRPr="0029055B" w:rsidRDefault="00F7285D" w:rsidP="008709A1">
            <w:pPr>
              <w:rPr>
                <w:szCs w:val="21"/>
              </w:rPr>
            </w:pPr>
            <w:r w:rsidRPr="0029055B">
              <w:rPr>
                <w:szCs w:val="21"/>
              </w:rPr>
              <w:t>Ali médicinale</w:t>
            </w:r>
          </w:p>
        </w:tc>
      </w:tr>
      <w:tr w:rsidR="00F7285D" w:rsidRPr="0029055B" w14:paraId="40E6D712" w14:textId="77777777" w:rsidTr="008709A1">
        <w:trPr>
          <w:trHeight w:val="315"/>
        </w:trPr>
        <w:tc>
          <w:tcPr>
            <w:tcW w:w="425" w:type="dxa"/>
            <w:tcBorders>
              <w:left w:val="single" w:sz="8" w:space="0" w:color="auto"/>
            </w:tcBorders>
            <w:noWrap/>
            <w:vAlign w:val="bottom"/>
          </w:tcPr>
          <w:p w14:paraId="5B4B2606" w14:textId="77777777" w:rsidR="00F7285D" w:rsidRPr="0029055B" w:rsidRDefault="00F7285D" w:rsidP="008709A1">
            <w:pPr>
              <w:rPr>
                <w:szCs w:val="21"/>
              </w:rPr>
            </w:pPr>
            <w:r w:rsidRPr="0029055B">
              <w:rPr>
                <w:szCs w:val="21"/>
              </w:rPr>
              <w:t>26.</w:t>
            </w:r>
          </w:p>
        </w:tc>
        <w:tc>
          <w:tcPr>
            <w:tcW w:w="2127" w:type="dxa"/>
            <w:vAlign w:val="bottom"/>
          </w:tcPr>
          <w:p w14:paraId="6CFE956F" w14:textId="77777777" w:rsidR="00F7285D" w:rsidRPr="0029055B" w:rsidRDefault="00F7285D" w:rsidP="008709A1">
            <w:pPr>
              <w:rPr>
                <w:szCs w:val="21"/>
              </w:rPr>
            </w:pPr>
            <w:r w:rsidRPr="0029055B">
              <w:rPr>
                <w:szCs w:val="21"/>
              </w:rPr>
              <w:t>Poaceae</w:t>
            </w:r>
          </w:p>
        </w:tc>
        <w:tc>
          <w:tcPr>
            <w:tcW w:w="2551" w:type="dxa"/>
            <w:noWrap/>
            <w:vAlign w:val="bottom"/>
          </w:tcPr>
          <w:p w14:paraId="7DB7BAAE" w14:textId="77777777" w:rsidR="00F7285D" w:rsidRPr="0029055B" w:rsidRDefault="00F7285D" w:rsidP="008709A1">
            <w:pPr>
              <w:rPr>
                <w:szCs w:val="21"/>
              </w:rPr>
            </w:pPr>
            <w:r w:rsidRPr="0029055B">
              <w:rPr>
                <w:szCs w:val="21"/>
              </w:rPr>
              <w:t>Saccharum officinarum</w:t>
            </w:r>
          </w:p>
        </w:tc>
        <w:tc>
          <w:tcPr>
            <w:tcW w:w="3261" w:type="dxa"/>
            <w:noWrap/>
            <w:vAlign w:val="bottom"/>
          </w:tcPr>
          <w:p w14:paraId="0C81B30E" w14:textId="77777777" w:rsidR="00F7285D" w:rsidRPr="0029055B" w:rsidRDefault="00F7285D" w:rsidP="008709A1">
            <w:pPr>
              <w:rPr>
                <w:szCs w:val="21"/>
              </w:rPr>
            </w:pPr>
            <w:r w:rsidRPr="0029055B">
              <w:rPr>
                <w:szCs w:val="21"/>
              </w:rPr>
              <w:t>Canne à sucre, Muhuwa</w:t>
            </w:r>
          </w:p>
        </w:tc>
        <w:tc>
          <w:tcPr>
            <w:tcW w:w="2126" w:type="dxa"/>
            <w:tcBorders>
              <w:right w:val="single" w:sz="8" w:space="0" w:color="auto"/>
            </w:tcBorders>
            <w:noWrap/>
            <w:vAlign w:val="bottom"/>
          </w:tcPr>
          <w:p w14:paraId="66BECDB7" w14:textId="77777777" w:rsidR="00F7285D" w:rsidRPr="0029055B" w:rsidRDefault="00F7285D" w:rsidP="008709A1">
            <w:pPr>
              <w:rPr>
                <w:szCs w:val="21"/>
              </w:rPr>
            </w:pPr>
            <w:r w:rsidRPr="0029055B">
              <w:rPr>
                <w:szCs w:val="21"/>
              </w:rPr>
              <w:t>Alimentaire</w:t>
            </w:r>
          </w:p>
        </w:tc>
      </w:tr>
      <w:tr w:rsidR="00F7285D" w:rsidRPr="0029055B" w14:paraId="2AB8A871" w14:textId="77777777" w:rsidTr="008709A1">
        <w:trPr>
          <w:trHeight w:val="315"/>
        </w:trPr>
        <w:tc>
          <w:tcPr>
            <w:tcW w:w="425" w:type="dxa"/>
            <w:tcBorders>
              <w:left w:val="single" w:sz="8" w:space="0" w:color="auto"/>
            </w:tcBorders>
            <w:noWrap/>
            <w:vAlign w:val="bottom"/>
          </w:tcPr>
          <w:p w14:paraId="72D5B576" w14:textId="77777777" w:rsidR="00F7285D" w:rsidRPr="0029055B" w:rsidRDefault="00F7285D" w:rsidP="008709A1">
            <w:pPr>
              <w:rPr>
                <w:szCs w:val="21"/>
              </w:rPr>
            </w:pPr>
            <w:r w:rsidRPr="0029055B">
              <w:rPr>
                <w:szCs w:val="21"/>
              </w:rPr>
              <w:t>27.</w:t>
            </w:r>
          </w:p>
        </w:tc>
        <w:tc>
          <w:tcPr>
            <w:tcW w:w="2127" w:type="dxa"/>
            <w:vAlign w:val="bottom"/>
          </w:tcPr>
          <w:p w14:paraId="0B9F6D9A" w14:textId="77777777" w:rsidR="00F7285D" w:rsidRPr="0029055B" w:rsidRDefault="00F7285D" w:rsidP="008709A1">
            <w:pPr>
              <w:rPr>
                <w:szCs w:val="21"/>
              </w:rPr>
            </w:pPr>
            <w:r w:rsidRPr="0029055B">
              <w:rPr>
                <w:szCs w:val="21"/>
              </w:rPr>
              <w:t>Solanaceae</w:t>
            </w:r>
          </w:p>
        </w:tc>
        <w:tc>
          <w:tcPr>
            <w:tcW w:w="2551" w:type="dxa"/>
            <w:noWrap/>
            <w:vAlign w:val="bottom"/>
          </w:tcPr>
          <w:p w14:paraId="7E3C58A0" w14:textId="77777777" w:rsidR="00F7285D" w:rsidRPr="0029055B" w:rsidRDefault="00F7285D" w:rsidP="008709A1">
            <w:pPr>
              <w:rPr>
                <w:szCs w:val="21"/>
              </w:rPr>
            </w:pPr>
            <w:r w:rsidRPr="0029055B">
              <w:rPr>
                <w:szCs w:val="21"/>
              </w:rPr>
              <w:t>Solanum torvum</w:t>
            </w:r>
          </w:p>
        </w:tc>
        <w:tc>
          <w:tcPr>
            <w:tcW w:w="3261" w:type="dxa"/>
            <w:noWrap/>
            <w:vAlign w:val="bottom"/>
          </w:tcPr>
          <w:p w14:paraId="6C20EE5B" w14:textId="77777777" w:rsidR="00F7285D" w:rsidRPr="0029055B" w:rsidRDefault="00F7285D" w:rsidP="008709A1">
            <w:pPr>
              <w:rPr>
                <w:szCs w:val="21"/>
              </w:rPr>
            </w:pPr>
            <w:r w:rsidRPr="0029055B">
              <w:rPr>
                <w:szCs w:val="21"/>
              </w:rPr>
              <w:t>Pomme de terre, Viazi (Birayi)</w:t>
            </w:r>
          </w:p>
        </w:tc>
        <w:tc>
          <w:tcPr>
            <w:tcW w:w="2126" w:type="dxa"/>
            <w:tcBorders>
              <w:right w:val="single" w:sz="8" w:space="0" w:color="auto"/>
            </w:tcBorders>
            <w:noWrap/>
            <w:vAlign w:val="bottom"/>
          </w:tcPr>
          <w:p w14:paraId="4664F931" w14:textId="77777777" w:rsidR="00F7285D" w:rsidRPr="0029055B" w:rsidRDefault="00F7285D" w:rsidP="008709A1">
            <w:pPr>
              <w:rPr>
                <w:szCs w:val="21"/>
              </w:rPr>
            </w:pPr>
            <w:r w:rsidRPr="0029055B">
              <w:rPr>
                <w:szCs w:val="21"/>
              </w:rPr>
              <w:t>Alimentaire</w:t>
            </w:r>
          </w:p>
        </w:tc>
      </w:tr>
      <w:tr w:rsidR="00F7285D" w:rsidRPr="0029055B" w14:paraId="2C66921F" w14:textId="77777777" w:rsidTr="008709A1">
        <w:trPr>
          <w:trHeight w:val="315"/>
        </w:trPr>
        <w:tc>
          <w:tcPr>
            <w:tcW w:w="425" w:type="dxa"/>
            <w:tcBorders>
              <w:left w:val="single" w:sz="8" w:space="0" w:color="auto"/>
            </w:tcBorders>
            <w:noWrap/>
            <w:vAlign w:val="bottom"/>
          </w:tcPr>
          <w:p w14:paraId="0922B026" w14:textId="77777777" w:rsidR="00F7285D" w:rsidRPr="0029055B" w:rsidRDefault="00F7285D" w:rsidP="008709A1">
            <w:pPr>
              <w:rPr>
                <w:szCs w:val="21"/>
              </w:rPr>
            </w:pPr>
            <w:r w:rsidRPr="0029055B">
              <w:rPr>
                <w:szCs w:val="21"/>
              </w:rPr>
              <w:t>28.</w:t>
            </w:r>
          </w:p>
        </w:tc>
        <w:tc>
          <w:tcPr>
            <w:tcW w:w="2127" w:type="dxa"/>
            <w:vAlign w:val="bottom"/>
          </w:tcPr>
          <w:p w14:paraId="12CC6505" w14:textId="77777777" w:rsidR="00F7285D" w:rsidRPr="0029055B" w:rsidRDefault="00F7285D" w:rsidP="008709A1">
            <w:pPr>
              <w:rPr>
                <w:szCs w:val="21"/>
              </w:rPr>
            </w:pPr>
            <w:r w:rsidRPr="0029055B">
              <w:rPr>
                <w:szCs w:val="21"/>
              </w:rPr>
              <w:t>Fabaceae/ Faboideae</w:t>
            </w:r>
          </w:p>
        </w:tc>
        <w:tc>
          <w:tcPr>
            <w:tcW w:w="2551" w:type="dxa"/>
            <w:noWrap/>
            <w:vAlign w:val="bottom"/>
          </w:tcPr>
          <w:p w14:paraId="464C21AB" w14:textId="77777777" w:rsidR="00F7285D" w:rsidRPr="0029055B" w:rsidRDefault="00F7285D" w:rsidP="008709A1">
            <w:pPr>
              <w:rPr>
                <w:szCs w:val="21"/>
              </w:rPr>
            </w:pPr>
            <w:r w:rsidRPr="0029055B">
              <w:rPr>
                <w:szCs w:val="21"/>
              </w:rPr>
              <w:t>Vigna unguiculata</w:t>
            </w:r>
          </w:p>
        </w:tc>
        <w:tc>
          <w:tcPr>
            <w:tcW w:w="3261" w:type="dxa"/>
            <w:noWrap/>
            <w:vAlign w:val="bottom"/>
          </w:tcPr>
          <w:p w14:paraId="71B48771" w14:textId="77777777" w:rsidR="00F7285D" w:rsidRPr="0029055B" w:rsidRDefault="00F7285D" w:rsidP="008709A1">
            <w:pPr>
              <w:rPr>
                <w:szCs w:val="21"/>
              </w:rPr>
            </w:pPr>
            <w:r w:rsidRPr="0029055B">
              <w:rPr>
                <w:szCs w:val="21"/>
              </w:rPr>
              <w:t>Maragi</w:t>
            </w:r>
          </w:p>
        </w:tc>
        <w:tc>
          <w:tcPr>
            <w:tcW w:w="2126" w:type="dxa"/>
            <w:tcBorders>
              <w:bottom w:val="single" w:sz="8" w:space="0" w:color="auto"/>
              <w:right w:val="single" w:sz="8" w:space="0" w:color="auto"/>
            </w:tcBorders>
            <w:noWrap/>
            <w:vAlign w:val="bottom"/>
          </w:tcPr>
          <w:p w14:paraId="35BCF097" w14:textId="77777777" w:rsidR="00F7285D" w:rsidRPr="0029055B" w:rsidRDefault="00F7285D" w:rsidP="008709A1">
            <w:pPr>
              <w:rPr>
                <w:szCs w:val="21"/>
              </w:rPr>
            </w:pPr>
            <w:r w:rsidRPr="0029055B">
              <w:rPr>
                <w:szCs w:val="21"/>
              </w:rPr>
              <w:t>Alimentaire</w:t>
            </w:r>
          </w:p>
        </w:tc>
      </w:tr>
      <w:tr w:rsidR="00F7285D" w:rsidRPr="0029055B" w14:paraId="43BA712B" w14:textId="77777777" w:rsidTr="008709A1">
        <w:trPr>
          <w:trHeight w:val="315"/>
        </w:trPr>
        <w:tc>
          <w:tcPr>
            <w:tcW w:w="425" w:type="dxa"/>
            <w:tcBorders>
              <w:left w:val="single" w:sz="8" w:space="0" w:color="auto"/>
              <w:bottom w:val="single" w:sz="8" w:space="0" w:color="auto"/>
            </w:tcBorders>
            <w:noWrap/>
            <w:vAlign w:val="bottom"/>
          </w:tcPr>
          <w:p w14:paraId="76006AC0" w14:textId="77777777" w:rsidR="00F7285D" w:rsidRPr="0029055B" w:rsidRDefault="00F7285D" w:rsidP="008709A1">
            <w:pPr>
              <w:rPr>
                <w:szCs w:val="21"/>
              </w:rPr>
            </w:pPr>
            <w:r w:rsidRPr="0029055B">
              <w:rPr>
                <w:szCs w:val="21"/>
              </w:rPr>
              <w:t>30.</w:t>
            </w:r>
          </w:p>
        </w:tc>
        <w:tc>
          <w:tcPr>
            <w:tcW w:w="2127" w:type="dxa"/>
            <w:tcBorders>
              <w:bottom w:val="single" w:sz="8" w:space="0" w:color="auto"/>
            </w:tcBorders>
            <w:vAlign w:val="bottom"/>
          </w:tcPr>
          <w:p w14:paraId="090C507F" w14:textId="77777777" w:rsidR="00F7285D" w:rsidRPr="0029055B" w:rsidRDefault="00F7285D" w:rsidP="008709A1">
            <w:pPr>
              <w:rPr>
                <w:szCs w:val="21"/>
              </w:rPr>
            </w:pPr>
            <w:r w:rsidRPr="0029055B">
              <w:rPr>
                <w:szCs w:val="21"/>
              </w:rPr>
              <w:t>Poaceae</w:t>
            </w:r>
          </w:p>
        </w:tc>
        <w:tc>
          <w:tcPr>
            <w:tcW w:w="2551" w:type="dxa"/>
            <w:tcBorders>
              <w:bottom w:val="single" w:sz="8" w:space="0" w:color="auto"/>
            </w:tcBorders>
            <w:vAlign w:val="bottom"/>
          </w:tcPr>
          <w:p w14:paraId="3878DEA5" w14:textId="77777777" w:rsidR="00F7285D" w:rsidRPr="0029055B" w:rsidRDefault="00F7285D" w:rsidP="008709A1">
            <w:pPr>
              <w:rPr>
                <w:szCs w:val="21"/>
              </w:rPr>
            </w:pPr>
            <w:r w:rsidRPr="0029055B">
              <w:rPr>
                <w:szCs w:val="21"/>
              </w:rPr>
              <w:t>Zea mays</w:t>
            </w:r>
          </w:p>
        </w:tc>
        <w:tc>
          <w:tcPr>
            <w:tcW w:w="3261" w:type="dxa"/>
            <w:tcBorders>
              <w:bottom w:val="single" w:sz="8" w:space="0" w:color="auto"/>
            </w:tcBorders>
            <w:noWrap/>
            <w:vAlign w:val="bottom"/>
          </w:tcPr>
          <w:p w14:paraId="100236DD" w14:textId="77777777" w:rsidR="00F7285D" w:rsidRPr="0029055B" w:rsidRDefault="00F7285D" w:rsidP="008709A1">
            <w:pPr>
              <w:rPr>
                <w:szCs w:val="21"/>
              </w:rPr>
            </w:pPr>
            <w:r w:rsidRPr="0029055B">
              <w:rPr>
                <w:szCs w:val="21"/>
              </w:rPr>
              <w:t xml:space="preserve">Maïs, Mihindi </w:t>
            </w:r>
          </w:p>
        </w:tc>
        <w:tc>
          <w:tcPr>
            <w:tcW w:w="2126" w:type="dxa"/>
            <w:tcBorders>
              <w:top w:val="single" w:sz="8" w:space="0" w:color="auto"/>
              <w:bottom w:val="single" w:sz="8" w:space="0" w:color="auto"/>
              <w:right w:val="single" w:sz="8" w:space="0" w:color="auto"/>
            </w:tcBorders>
            <w:noWrap/>
            <w:vAlign w:val="bottom"/>
          </w:tcPr>
          <w:p w14:paraId="3FFF645F" w14:textId="77777777" w:rsidR="00F7285D" w:rsidRPr="0029055B" w:rsidRDefault="00F7285D" w:rsidP="008709A1">
            <w:pPr>
              <w:rPr>
                <w:szCs w:val="21"/>
              </w:rPr>
            </w:pPr>
            <w:r w:rsidRPr="0029055B">
              <w:rPr>
                <w:szCs w:val="21"/>
              </w:rPr>
              <w:t>Alimentaire</w:t>
            </w:r>
          </w:p>
        </w:tc>
      </w:tr>
    </w:tbl>
    <w:p w14:paraId="62946499" w14:textId="77777777" w:rsidR="00F7285D" w:rsidRPr="0029055B" w:rsidRDefault="00F7285D" w:rsidP="00F7285D">
      <w:pPr>
        <w:rPr>
          <w:szCs w:val="21"/>
        </w:rPr>
      </w:pPr>
      <w:bookmarkStart w:id="292" w:name="_Toc272741597"/>
      <w:bookmarkStart w:id="293" w:name="_Toc273687036"/>
      <w:bookmarkStart w:id="294" w:name="_Toc274325653"/>
      <w:bookmarkStart w:id="295" w:name="_Toc281218493"/>
    </w:p>
    <w:p w14:paraId="71E42396" w14:textId="77777777" w:rsidR="00F7285D" w:rsidRPr="00F7285D" w:rsidRDefault="00F7285D" w:rsidP="00F7285D">
      <w:pPr>
        <w:rPr>
          <w:i/>
          <w:szCs w:val="21"/>
        </w:rPr>
      </w:pPr>
      <w:bookmarkStart w:id="296" w:name="_Toc88049912"/>
      <w:bookmarkStart w:id="297" w:name="_Toc88050239"/>
      <w:bookmarkStart w:id="298" w:name="_Toc88051277"/>
      <w:bookmarkStart w:id="299" w:name="_Toc89921770"/>
      <w:r w:rsidRPr="00F7285D">
        <w:rPr>
          <w:i/>
          <w:szCs w:val="21"/>
        </w:rPr>
        <w:t>Situation de la faune</w:t>
      </w:r>
      <w:bookmarkEnd w:id="292"/>
      <w:bookmarkEnd w:id="293"/>
      <w:bookmarkEnd w:id="294"/>
      <w:bookmarkEnd w:id="295"/>
      <w:r w:rsidRPr="00F7285D">
        <w:rPr>
          <w:i/>
          <w:szCs w:val="21"/>
        </w:rPr>
        <w:t xml:space="preserve"> dans le PNVi</w:t>
      </w:r>
      <w:bookmarkEnd w:id="296"/>
      <w:bookmarkEnd w:id="297"/>
      <w:bookmarkEnd w:id="298"/>
      <w:bookmarkEnd w:id="299"/>
    </w:p>
    <w:p w14:paraId="583621CF" w14:textId="77777777" w:rsidR="00F7285D" w:rsidRPr="0029055B" w:rsidRDefault="00F7285D" w:rsidP="00F7285D">
      <w:pPr>
        <w:rPr>
          <w:szCs w:val="21"/>
        </w:rPr>
      </w:pPr>
      <w:r w:rsidRPr="0029055B">
        <w:rPr>
          <w:szCs w:val="21"/>
        </w:rPr>
        <w:tab/>
      </w:r>
    </w:p>
    <w:p w14:paraId="2FBBE6D4" w14:textId="77777777" w:rsidR="00F7285D" w:rsidRPr="0029055B" w:rsidRDefault="00F7285D" w:rsidP="00F7285D">
      <w:pPr>
        <w:rPr>
          <w:szCs w:val="21"/>
        </w:rPr>
      </w:pPr>
      <w:bookmarkStart w:id="300" w:name="_Toc281218494"/>
      <w:bookmarkStart w:id="301" w:name="_Toc88049913"/>
      <w:bookmarkStart w:id="302" w:name="_Toc88050240"/>
      <w:bookmarkStart w:id="303" w:name="_Toc88051278"/>
      <w:bookmarkStart w:id="304" w:name="_Toc89921771"/>
      <w:r w:rsidRPr="0029055B">
        <w:rPr>
          <w:szCs w:val="21"/>
        </w:rPr>
        <w:t>Le PNVi comporte divers types de végétation qui abrite également une faune diversifiée, telle que reprise dans le tableau 11 ci-dessous. La faune aviaire paraissait peu diversifiée pendant nos observations.</w:t>
      </w:r>
      <w:bookmarkEnd w:id="300"/>
      <w:bookmarkEnd w:id="301"/>
      <w:bookmarkEnd w:id="302"/>
      <w:bookmarkEnd w:id="303"/>
      <w:bookmarkEnd w:id="304"/>
    </w:p>
    <w:p w14:paraId="56932AAE" w14:textId="77777777" w:rsidR="00F7285D" w:rsidRPr="0029055B" w:rsidRDefault="00F7285D" w:rsidP="00F7285D">
      <w:pPr>
        <w:rPr>
          <w:szCs w:val="21"/>
        </w:rPr>
      </w:pPr>
    </w:p>
    <w:p w14:paraId="66D942FB" w14:textId="77777777" w:rsidR="00F7285D" w:rsidRPr="0029055B" w:rsidRDefault="00F7285D" w:rsidP="00F7285D">
      <w:pPr>
        <w:rPr>
          <w:szCs w:val="21"/>
        </w:rPr>
      </w:pPr>
      <w:bookmarkStart w:id="305" w:name="_Toc281218495"/>
      <w:bookmarkStart w:id="306" w:name="_Toc88049914"/>
      <w:bookmarkStart w:id="307" w:name="_Toc88050241"/>
      <w:bookmarkStart w:id="308" w:name="_Toc88051279"/>
      <w:bookmarkStart w:id="309" w:name="_Toc89921772"/>
      <w:r w:rsidRPr="0029055B">
        <w:rPr>
          <w:szCs w:val="21"/>
        </w:rPr>
        <w:t>Par ailleurs des petits insectes de l’ordre des Coléoptères ont été rencontrés nombreux dans le Bloc, ils bourdonnent aux oreilles et attaquent les yeux surtout quand il fait chaud (voir la cité de Vitshumbi) au bord du lac Edouard. Ils sont de nature à indisposer les travailleurs pendant les travaux mais ne piquent pas souvent.</w:t>
      </w:r>
      <w:bookmarkEnd w:id="305"/>
      <w:bookmarkEnd w:id="306"/>
      <w:bookmarkEnd w:id="307"/>
      <w:bookmarkEnd w:id="308"/>
      <w:bookmarkEnd w:id="309"/>
      <w:r w:rsidRPr="0029055B">
        <w:rPr>
          <w:szCs w:val="21"/>
        </w:rPr>
        <w:t xml:space="preserve"> </w:t>
      </w:r>
    </w:p>
    <w:p w14:paraId="37EB74FF" w14:textId="77777777" w:rsidR="00F7285D" w:rsidRPr="0029055B" w:rsidRDefault="00F7285D" w:rsidP="00F7285D">
      <w:pPr>
        <w:rPr>
          <w:szCs w:val="21"/>
        </w:rPr>
      </w:pPr>
    </w:p>
    <w:p w14:paraId="5EF41DFF" w14:textId="77777777" w:rsidR="00F7285D" w:rsidRPr="0029055B" w:rsidRDefault="00F7285D" w:rsidP="00F7285D">
      <w:pPr>
        <w:rPr>
          <w:szCs w:val="21"/>
        </w:rPr>
      </w:pPr>
      <w:r w:rsidRPr="0029055B">
        <w:rPr>
          <w:szCs w:val="21"/>
        </w:rPr>
        <w:t xml:space="preserve">La faune halieutique est la plus exploitée dans le Bloc notamment dans tous les villages au bord du lac Edouard. Toutefois, au niveau de la pêcherie de Vitshumbi, on note la baisse de la production depuis les conflits armés de ces huit dernières années. La zone du lac ayant plus de frayères se situe au niveau de Lunyasenge tel que cela nous a été rapporté par les experts de la COPEVi. </w:t>
      </w:r>
    </w:p>
    <w:p w14:paraId="562FA4CA" w14:textId="77777777" w:rsidR="00F7285D" w:rsidRPr="0029055B" w:rsidRDefault="00F7285D" w:rsidP="00F7285D">
      <w:pPr>
        <w:rPr>
          <w:szCs w:val="21"/>
        </w:rPr>
      </w:pPr>
    </w:p>
    <w:p w14:paraId="7CD1BB76" w14:textId="77777777" w:rsidR="00F7285D" w:rsidRPr="0029055B" w:rsidRDefault="00F7285D" w:rsidP="00F7285D">
      <w:pPr>
        <w:rPr>
          <w:szCs w:val="21"/>
        </w:rPr>
      </w:pPr>
      <w:r w:rsidRPr="0029055B">
        <w:rPr>
          <w:szCs w:val="21"/>
        </w:rPr>
        <w:t>Les informations en notre possession font aussi état de la présence de plus de 700 espèces d’oiseaux, près de 220 espèces de mammifères dans le parc. Mais on note beaucoup d’espèces menacées d’extinction et inscrites dans l’une des catégories de la liste rouge de l’UICN.</w:t>
      </w:r>
    </w:p>
    <w:p w14:paraId="15119528" w14:textId="77777777" w:rsidR="00F7285D" w:rsidRPr="0029055B" w:rsidRDefault="00F7285D" w:rsidP="00F7285D">
      <w:pPr>
        <w:rPr>
          <w:szCs w:val="21"/>
        </w:rPr>
      </w:pPr>
    </w:p>
    <w:p w14:paraId="5E93D999" w14:textId="77777777" w:rsidR="00F7285D" w:rsidRPr="0029055B" w:rsidRDefault="00F7285D" w:rsidP="00F7285D">
      <w:pPr>
        <w:rPr>
          <w:szCs w:val="21"/>
        </w:rPr>
      </w:pPr>
      <w:bookmarkStart w:id="310" w:name="_Toc89921653"/>
      <w:bookmarkStart w:id="311" w:name="_Toc90392979"/>
      <w:r w:rsidRPr="0029055B">
        <w:rPr>
          <w:szCs w:val="21"/>
        </w:rPr>
        <w:t xml:space="preserve">Tableau </w:t>
      </w:r>
      <w:r w:rsidRPr="0029055B">
        <w:rPr>
          <w:szCs w:val="21"/>
        </w:rPr>
        <w:fldChar w:fldCharType="begin"/>
      </w:r>
      <w:r w:rsidRPr="0029055B">
        <w:rPr>
          <w:szCs w:val="21"/>
        </w:rPr>
        <w:instrText xml:space="preserve"> SEQ Tableau \* ARABIC </w:instrText>
      </w:r>
      <w:r w:rsidRPr="0029055B">
        <w:rPr>
          <w:szCs w:val="21"/>
        </w:rPr>
        <w:fldChar w:fldCharType="separate"/>
      </w:r>
      <w:r w:rsidRPr="0029055B">
        <w:rPr>
          <w:szCs w:val="21"/>
        </w:rPr>
        <w:t>11</w:t>
      </w:r>
      <w:r w:rsidRPr="0029055B">
        <w:rPr>
          <w:szCs w:val="21"/>
        </w:rPr>
        <w:fldChar w:fldCharType="end"/>
      </w:r>
      <w:r w:rsidRPr="0029055B">
        <w:rPr>
          <w:szCs w:val="21"/>
        </w:rPr>
        <w:t>. Nombre total d’espèces endémiques et d’espèces menacées d’extinction dans le PNVi pour les principales classes d’après Languy et De Merode (2006).</w:t>
      </w:r>
      <w:bookmarkEnd w:id="310"/>
      <w:bookmarkEnd w:id="311"/>
    </w:p>
    <w:p w14:paraId="690FBA04" w14:textId="77777777" w:rsidR="00F7285D" w:rsidRPr="0029055B" w:rsidRDefault="00F7285D" w:rsidP="00F7285D">
      <w:pPr>
        <w:rPr>
          <w:szCs w:val="21"/>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64"/>
        <w:gridCol w:w="2122"/>
        <w:gridCol w:w="2545"/>
        <w:gridCol w:w="2119"/>
      </w:tblGrid>
      <w:tr w:rsidR="00F7285D" w:rsidRPr="0029055B" w14:paraId="0AE05109" w14:textId="77777777" w:rsidTr="008709A1">
        <w:trPr>
          <w:jc w:val="center"/>
        </w:trPr>
        <w:tc>
          <w:tcPr>
            <w:tcW w:w="2268" w:type="dxa"/>
            <w:tcBorders>
              <w:top w:val="single" w:sz="8" w:space="0" w:color="auto"/>
              <w:left w:val="single" w:sz="8" w:space="0" w:color="auto"/>
              <w:bottom w:val="single" w:sz="8" w:space="0" w:color="auto"/>
              <w:right w:val="single" w:sz="8" w:space="0" w:color="auto"/>
            </w:tcBorders>
            <w:shd w:val="clear" w:color="auto" w:fill="E2EFD9"/>
          </w:tcPr>
          <w:p w14:paraId="1B6019D3" w14:textId="77777777" w:rsidR="00F7285D" w:rsidRPr="0029055B" w:rsidRDefault="00F7285D" w:rsidP="008709A1">
            <w:pPr>
              <w:rPr>
                <w:szCs w:val="21"/>
              </w:rPr>
            </w:pPr>
            <w:r w:rsidRPr="0029055B">
              <w:rPr>
                <w:szCs w:val="21"/>
              </w:rPr>
              <w:t>Classes</w:t>
            </w:r>
          </w:p>
        </w:tc>
        <w:tc>
          <w:tcPr>
            <w:tcW w:w="2127" w:type="dxa"/>
            <w:tcBorders>
              <w:top w:val="single" w:sz="8" w:space="0" w:color="auto"/>
              <w:left w:val="single" w:sz="8" w:space="0" w:color="auto"/>
              <w:bottom w:val="single" w:sz="8" w:space="0" w:color="auto"/>
              <w:right w:val="single" w:sz="8" w:space="0" w:color="auto"/>
            </w:tcBorders>
            <w:shd w:val="clear" w:color="auto" w:fill="E2EFD9"/>
          </w:tcPr>
          <w:p w14:paraId="50CB7C7B" w14:textId="77777777" w:rsidR="00F7285D" w:rsidRPr="0029055B" w:rsidRDefault="00F7285D" w:rsidP="008709A1">
            <w:pPr>
              <w:rPr>
                <w:szCs w:val="21"/>
              </w:rPr>
            </w:pPr>
            <w:r w:rsidRPr="0029055B">
              <w:rPr>
                <w:szCs w:val="21"/>
              </w:rPr>
              <w:t>Nombre d’espèces</w:t>
            </w:r>
          </w:p>
        </w:tc>
        <w:tc>
          <w:tcPr>
            <w:tcW w:w="2551" w:type="dxa"/>
            <w:tcBorders>
              <w:top w:val="single" w:sz="8" w:space="0" w:color="auto"/>
              <w:left w:val="single" w:sz="8" w:space="0" w:color="auto"/>
              <w:bottom w:val="single" w:sz="8" w:space="0" w:color="auto"/>
              <w:right w:val="single" w:sz="8" w:space="0" w:color="auto"/>
            </w:tcBorders>
            <w:shd w:val="clear" w:color="auto" w:fill="E2EFD9"/>
          </w:tcPr>
          <w:p w14:paraId="297369CE" w14:textId="77777777" w:rsidR="00F7285D" w:rsidRPr="0029055B" w:rsidRDefault="00F7285D" w:rsidP="008709A1">
            <w:pPr>
              <w:rPr>
                <w:szCs w:val="21"/>
              </w:rPr>
            </w:pPr>
            <w:r w:rsidRPr="0029055B">
              <w:rPr>
                <w:szCs w:val="21"/>
              </w:rPr>
              <w:t>Espèces endémiques</w:t>
            </w:r>
          </w:p>
        </w:tc>
        <w:tc>
          <w:tcPr>
            <w:tcW w:w="2124" w:type="dxa"/>
            <w:tcBorders>
              <w:top w:val="single" w:sz="8" w:space="0" w:color="auto"/>
              <w:left w:val="single" w:sz="8" w:space="0" w:color="auto"/>
              <w:bottom w:val="single" w:sz="8" w:space="0" w:color="auto"/>
              <w:right w:val="single" w:sz="8" w:space="0" w:color="auto"/>
            </w:tcBorders>
            <w:shd w:val="clear" w:color="auto" w:fill="E2EFD9"/>
          </w:tcPr>
          <w:p w14:paraId="4BAEC59F" w14:textId="77777777" w:rsidR="00F7285D" w:rsidRPr="0029055B" w:rsidRDefault="00F7285D" w:rsidP="008709A1">
            <w:pPr>
              <w:rPr>
                <w:szCs w:val="21"/>
              </w:rPr>
            </w:pPr>
            <w:r w:rsidRPr="0029055B">
              <w:rPr>
                <w:szCs w:val="21"/>
              </w:rPr>
              <w:t>Espèces menacées</w:t>
            </w:r>
          </w:p>
        </w:tc>
      </w:tr>
      <w:tr w:rsidR="00F7285D" w:rsidRPr="0029055B" w14:paraId="55DF4C8F" w14:textId="77777777" w:rsidTr="008709A1">
        <w:trPr>
          <w:jc w:val="center"/>
        </w:trPr>
        <w:tc>
          <w:tcPr>
            <w:tcW w:w="2268" w:type="dxa"/>
            <w:tcBorders>
              <w:top w:val="single" w:sz="8" w:space="0" w:color="auto"/>
              <w:left w:val="single" w:sz="8" w:space="0" w:color="auto"/>
              <w:bottom w:val="single" w:sz="8" w:space="0" w:color="auto"/>
              <w:right w:val="single" w:sz="4" w:space="0" w:color="auto"/>
            </w:tcBorders>
          </w:tcPr>
          <w:p w14:paraId="5A918BCD" w14:textId="77777777" w:rsidR="00F7285D" w:rsidRPr="0029055B" w:rsidRDefault="00F7285D" w:rsidP="008709A1">
            <w:pPr>
              <w:rPr>
                <w:szCs w:val="21"/>
              </w:rPr>
            </w:pPr>
            <w:r w:rsidRPr="0029055B">
              <w:rPr>
                <w:szCs w:val="21"/>
              </w:rPr>
              <w:t>Mammifères</w:t>
            </w:r>
          </w:p>
        </w:tc>
        <w:tc>
          <w:tcPr>
            <w:tcW w:w="2127" w:type="dxa"/>
            <w:tcBorders>
              <w:top w:val="single" w:sz="8" w:space="0" w:color="auto"/>
              <w:left w:val="single" w:sz="4" w:space="0" w:color="auto"/>
              <w:bottom w:val="single" w:sz="4" w:space="0" w:color="auto"/>
              <w:right w:val="single" w:sz="4" w:space="0" w:color="auto"/>
            </w:tcBorders>
          </w:tcPr>
          <w:p w14:paraId="1CAD26E5" w14:textId="77777777" w:rsidR="00F7285D" w:rsidRPr="0029055B" w:rsidRDefault="00F7285D" w:rsidP="008709A1">
            <w:pPr>
              <w:rPr>
                <w:szCs w:val="21"/>
              </w:rPr>
            </w:pPr>
            <w:r w:rsidRPr="0029055B">
              <w:rPr>
                <w:szCs w:val="21"/>
              </w:rPr>
              <w:t>218</w:t>
            </w:r>
          </w:p>
        </w:tc>
        <w:tc>
          <w:tcPr>
            <w:tcW w:w="2551" w:type="dxa"/>
            <w:tcBorders>
              <w:top w:val="single" w:sz="8" w:space="0" w:color="auto"/>
              <w:left w:val="single" w:sz="4" w:space="0" w:color="auto"/>
              <w:bottom w:val="single" w:sz="4" w:space="0" w:color="auto"/>
              <w:right w:val="single" w:sz="4" w:space="0" w:color="auto"/>
            </w:tcBorders>
          </w:tcPr>
          <w:p w14:paraId="39B9D67D" w14:textId="77777777" w:rsidR="00F7285D" w:rsidRPr="0029055B" w:rsidRDefault="00F7285D" w:rsidP="008709A1">
            <w:pPr>
              <w:rPr>
                <w:szCs w:val="21"/>
              </w:rPr>
            </w:pPr>
            <w:r w:rsidRPr="0029055B">
              <w:rPr>
                <w:szCs w:val="21"/>
              </w:rPr>
              <w:t>21</w:t>
            </w:r>
          </w:p>
        </w:tc>
        <w:tc>
          <w:tcPr>
            <w:tcW w:w="2124" w:type="dxa"/>
            <w:tcBorders>
              <w:top w:val="single" w:sz="8" w:space="0" w:color="auto"/>
              <w:left w:val="single" w:sz="4" w:space="0" w:color="auto"/>
              <w:bottom w:val="single" w:sz="4" w:space="0" w:color="auto"/>
              <w:right w:val="single" w:sz="8" w:space="0" w:color="auto"/>
            </w:tcBorders>
          </w:tcPr>
          <w:p w14:paraId="29665533" w14:textId="77777777" w:rsidR="00F7285D" w:rsidRPr="0029055B" w:rsidRDefault="00F7285D" w:rsidP="008709A1">
            <w:pPr>
              <w:rPr>
                <w:szCs w:val="21"/>
              </w:rPr>
            </w:pPr>
            <w:r w:rsidRPr="0029055B">
              <w:rPr>
                <w:szCs w:val="21"/>
              </w:rPr>
              <w:t>13</w:t>
            </w:r>
          </w:p>
        </w:tc>
      </w:tr>
      <w:tr w:rsidR="00F7285D" w:rsidRPr="0029055B" w14:paraId="775D814A" w14:textId="77777777" w:rsidTr="008709A1">
        <w:trPr>
          <w:jc w:val="center"/>
        </w:trPr>
        <w:tc>
          <w:tcPr>
            <w:tcW w:w="2268" w:type="dxa"/>
            <w:tcBorders>
              <w:top w:val="single" w:sz="8" w:space="0" w:color="auto"/>
              <w:left w:val="single" w:sz="8" w:space="0" w:color="auto"/>
              <w:bottom w:val="single" w:sz="4" w:space="0" w:color="auto"/>
              <w:right w:val="single" w:sz="4" w:space="0" w:color="auto"/>
            </w:tcBorders>
          </w:tcPr>
          <w:p w14:paraId="7288EB47" w14:textId="77777777" w:rsidR="00F7285D" w:rsidRPr="0029055B" w:rsidRDefault="00F7285D" w:rsidP="008709A1">
            <w:pPr>
              <w:rPr>
                <w:szCs w:val="21"/>
              </w:rPr>
            </w:pPr>
            <w:r w:rsidRPr="0029055B">
              <w:rPr>
                <w:szCs w:val="21"/>
              </w:rPr>
              <w:t xml:space="preserve">Oiseaux </w:t>
            </w:r>
          </w:p>
        </w:tc>
        <w:tc>
          <w:tcPr>
            <w:tcW w:w="2127" w:type="dxa"/>
            <w:tcBorders>
              <w:top w:val="single" w:sz="4" w:space="0" w:color="auto"/>
              <w:left w:val="single" w:sz="4" w:space="0" w:color="auto"/>
              <w:bottom w:val="single" w:sz="4" w:space="0" w:color="auto"/>
              <w:right w:val="single" w:sz="4" w:space="0" w:color="auto"/>
            </w:tcBorders>
          </w:tcPr>
          <w:p w14:paraId="09B70120" w14:textId="77777777" w:rsidR="00F7285D" w:rsidRPr="0029055B" w:rsidRDefault="00F7285D" w:rsidP="008709A1">
            <w:pPr>
              <w:rPr>
                <w:szCs w:val="21"/>
              </w:rPr>
            </w:pPr>
            <w:r w:rsidRPr="0029055B">
              <w:rPr>
                <w:szCs w:val="21"/>
              </w:rPr>
              <w:t>706</w:t>
            </w:r>
          </w:p>
        </w:tc>
        <w:tc>
          <w:tcPr>
            <w:tcW w:w="2551" w:type="dxa"/>
            <w:tcBorders>
              <w:top w:val="single" w:sz="4" w:space="0" w:color="auto"/>
              <w:left w:val="single" w:sz="4" w:space="0" w:color="auto"/>
              <w:bottom w:val="single" w:sz="4" w:space="0" w:color="auto"/>
              <w:right w:val="single" w:sz="4" w:space="0" w:color="auto"/>
            </w:tcBorders>
          </w:tcPr>
          <w:p w14:paraId="4CB2E5B1" w14:textId="77777777" w:rsidR="00F7285D" w:rsidRPr="0029055B" w:rsidRDefault="00F7285D" w:rsidP="008709A1">
            <w:pPr>
              <w:rPr>
                <w:szCs w:val="21"/>
              </w:rPr>
            </w:pPr>
            <w:r w:rsidRPr="0029055B">
              <w:rPr>
                <w:szCs w:val="21"/>
              </w:rPr>
              <w:t>25</w:t>
            </w:r>
          </w:p>
        </w:tc>
        <w:tc>
          <w:tcPr>
            <w:tcW w:w="2124" w:type="dxa"/>
            <w:tcBorders>
              <w:top w:val="single" w:sz="4" w:space="0" w:color="auto"/>
              <w:left w:val="single" w:sz="4" w:space="0" w:color="auto"/>
              <w:bottom w:val="single" w:sz="4" w:space="0" w:color="auto"/>
              <w:right w:val="single" w:sz="8" w:space="0" w:color="auto"/>
            </w:tcBorders>
          </w:tcPr>
          <w:p w14:paraId="06229291" w14:textId="77777777" w:rsidR="00F7285D" w:rsidRPr="0029055B" w:rsidRDefault="00F7285D" w:rsidP="008709A1">
            <w:pPr>
              <w:rPr>
                <w:szCs w:val="21"/>
              </w:rPr>
            </w:pPr>
            <w:r w:rsidRPr="0029055B">
              <w:rPr>
                <w:szCs w:val="21"/>
              </w:rPr>
              <w:t>11</w:t>
            </w:r>
          </w:p>
        </w:tc>
      </w:tr>
      <w:tr w:rsidR="00F7285D" w:rsidRPr="0029055B" w14:paraId="155EB7B3" w14:textId="77777777" w:rsidTr="008709A1">
        <w:trPr>
          <w:jc w:val="center"/>
        </w:trPr>
        <w:tc>
          <w:tcPr>
            <w:tcW w:w="2268" w:type="dxa"/>
            <w:tcBorders>
              <w:top w:val="single" w:sz="4" w:space="0" w:color="auto"/>
              <w:left w:val="single" w:sz="8" w:space="0" w:color="auto"/>
              <w:bottom w:val="single" w:sz="4" w:space="0" w:color="auto"/>
              <w:right w:val="single" w:sz="4" w:space="0" w:color="auto"/>
            </w:tcBorders>
          </w:tcPr>
          <w:p w14:paraId="5935F210" w14:textId="77777777" w:rsidR="00F7285D" w:rsidRPr="0029055B" w:rsidRDefault="00F7285D" w:rsidP="008709A1">
            <w:pPr>
              <w:rPr>
                <w:szCs w:val="21"/>
              </w:rPr>
            </w:pPr>
            <w:r w:rsidRPr="0029055B">
              <w:rPr>
                <w:szCs w:val="21"/>
              </w:rPr>
              <w:t>Reptiles</w:t>
            </w:r>
          </w:p>
        </w:tc>
        <w:tc>
          <w:tcPr>
            <w:tcW w:w="2127" w:type="dxa"/>
            <w:tcBorders>
              <w:top w:val="single" w:sz="4" w:space="0" w:color="auto"/>
              <w:left w:val="single" w:sz="4" w:space="0" w:color="auto"/>
              <w:bottom w:val="single" w:sz="4" w:space="0" w:color="auto"/>
              <w:right w:val="single" w:sz="4" w:space="0" w:color="auto"/>
            </w:tcBorders>
          </w:tcPr>
          <w:p w14:paraId="05942529" w14:textId="77777777" w:rsidR="00F7285D" w:rsidRPr="0029055B" w:rsidRDefault="00F7285D" w:rsidP="008709A1">
            <w:pPr>
              <w:rPr>
                <w:szCs w:val="21"/>
              </w:rPr>
            </w:pPr>
            <w:r w:rsidRPr="0029055B">
              <w:rPr>
                <w:szCs w:val="21"/>
              </w:rPr>
              <w:t>109</w:t>
            </w:r>
          </w:p>
        </w:tc>
        <w:tc>
          <w:tcPr>
            <w:tcW w:w="2551" w:type="dxa"/>
            <w:tcBorders>
              <w:top w:val="single" w:sz="4" w:space="0" w:color="auto"/>
              <w:left w:val="single" w:sz="4" w:space="0" w:color="auto"/>
              <w:bottom w:val="single" w:sz="4" w:space="0" w:color="auto"/>
              <w:right w:val="single" w:sz="4" w:space="0" w:color="auto"/>
            </w:tcBorders>
          </w:tcPr>
          <w:p w14:paraId="1F62451A" w14:textId="77777777" w:rsidR="00F7285D" w:rsidRPr="0029055B" w:rsidRDefault="00F7285D" w:rsidP="008709A1">
            <w:pPr>
              <w:rPr>
                <w:szCs w:val="21"/>
              </w:rPr>
            </w:pPr>
            <w:r w:rsidRPr="0029055B">
              <w:rPr>
                <w:szCs w:val="21"/>
              </w:rPr>
              <w:t>11</w:t>
            </w:r>
          </w:p>
        </w:tc>
        <w:tc>
          <w:tcPr>
            <w:tcW w:w="2124" w:type="dxa"/>
            <w:tcBorders>
              <w:top w:val="single" w:sz="4" w:space="0" w:color="auto"/>
              <w:left w:val="single" w:sz="4" w:space="0" w:color="auto"/>
              <w:bottom w:val="single" w:sz="4" w:space="0" w:color="auto"/>
              <w:right w:val="single" w:sz="8" w:space="0" w:color="auto"/>
            </w:tcBorders>
          </w:tcPr>
          <w:p w14:paraId="1801BA8F" w14:textId="77777777" w:rsidR="00F7285D" w:rsidRPr="0029055B" w:rsidRDefault="00F7285D" w:rsidP="008709A1">
            <w:pPr>
              <w:rPr>
                <w:szCs w:val="21"/>
              </w:rPr>
            </w:pPr>
            <w:r w:rsidRPr="0029055B">
              <w:rPr>
                <w:szCs w:val="21"/>
              </w:rPr>
              <w:t>0</w:t>
            </w:r>
          </w:p>
        </w:tc>
      </w:tr>
      <w:tr w:rsidR="00F7285D" w:rsidRPr="0029055B" w14:paraId="4E33D683" w14:textId="77777777" w:rsidTr="008709A1">
        <w:trPr>
          <w:jc w:val="center"/>
        </w:trPr>
        <w:tc>
          <w:tcPr>
            <w:tcW w:w="2268" w:type="dxa"/>
            <w:tcBorders>
              <w:top w:val="single" w:sz="4" w:space="0" w:color="auto"/>
              <w:left w:val="single" w:sz="8" w:space="0" w:color="auto"/>
              <w:bottom w:val="single" w:sz="4" w:space="0" w:color="auto"/>
              <w:right w:val="single" w:sz="4" w:space="0" w:color="auto"/>
            </w:tcBorders>
          </w:tcPr>
          <w:p w14:paraId="6DBA06E5" w14:textId="77777777" w:rsidR="00F7285D" w:rsidRPr="0029055B" w:rsidRDefault="00F7285D" w:rsidP="008709A1">
            <w:pPr>
              <w:rPr>
                <w:szCs w:val="21"/>
              </w:rPr>
            </w:pPr>
            <w:r w:rsidRPr="0029055B">
              <w:rPr>
                <w:szCs w:val="21"/>
              </w:rPr>
              <w:t>Amphibiens</w:t>
            </w:r>
          </w:p>
        </w:tc>
        <w:tc>
          <w:tcPr>
            <w:tcW w:w="2127" w:type="dxa"/>
            <w:tcBorders>
              <w:top w:val="single" w:sz="4" w:space="0" w:color="auto"/>
              <w:left w:val="single" w:sz="4" w:space="0" w:color="auto"/>
              <w:bottom w:val="single" w:sz="4" w:space="0" w:color="auto"/>
              <w:right w:val="single" w:sz="4" w:space="0" w:color="auto"/>
            </w:tcBorders>
          </w:tcPr>
          <w:p w14:paraId="14A77A3A" w14:textId="77777777" w:rsidR="00F7285D" w:rsidRPr="0029055B" w:rsidRDefault="00F7285D" w:rsidP="008709A1">
            <w:pPr>
              <w:rPr>
                <w:szCs w:val="21"/>
              </w:rPr>
            </w:pPr>
            <w:r w:rsidRPr="0029055B">
              <w:rPr>
                <w:szCs w:val="21"/>
              </w:rPr>
              <w:t>78</w:t>
            </w:r>
          </w:p>
        </w:tc>
        <w:tc>
          <w:tcPr>
            <w:tcW w:w="2551" w:type="dxa"/>
            <w:tcBorders>
              <w:top w:val="single" w:sz="4" w:space="0" w:color="auto"/>
              <w:left w:val="single" w:sz="4" w:space="0" w:color="auto"/>
              <w:bottom w:val="single" w:sz="4" w:space="0" w:color="auto"/>
              <w:right w:val="single" w:sz="4" w:space="0" w:color="auto"/>
            </w:tcBorders>
          </w:tcPr>
          <w:p w14:paraId="7808C06F" w14:textId="77777777" w:rsidR="00F7285D" w:rsidRPr="0029055B" w:rsidRDefault="00F7285D" w:rsidP="008709A1">
            <w:pPr>
              <w:rPr>
                <w:szCs w:val="21"/>
              </w:rPr>
            </w:pPr>
            <w:r w:rsidRPr="0029055B">
              <w:rPr>
                <w:szCs w:val="21"/>
              </w:rPr>
              <w:t>21</w:t>
            </w:r>
          </w:p>
        </w:tc>
        <w:tc>
          <w:tcPr>
            <w:tcW w:w="2124" w:type="dxa"/>
            <w:tcBorders>
              <w:top w:val="single" w:sz="4" w:space="0" w:color="auto"/>
              <w:left w:val="single" w:sz="4" w:space="0" w:color="auto"/>
              <w:bottom w:val="single" w:sz="4" w:space="0" w:color="auto"/>
              <w:right w:val="single" w:sz="8" w:space="0" w:color="auto"/>
            </w:tcBorders>
          </w:tcPr>
          <w:p w14:paraId="02CB5977" w14:textId="77777777" w:rsidR="00F7285D" w:rsidRPr="0029055B" w:rsidRDefault="00F7285D" w:rsidP="008709A1">
            <w:pPr>
              <w:rPr>
                <w:szCs w:val="21"/>
              </w:rPr>
            </w:pPr>
            <w:r w:rsidRPr="0029055B">
              <w:rPr>
                <w:szCs w:val="21"/>
              </w:rPr>
              <w:t>10</w:t>
            </w:r>
          </w:p>
        </w:tc>
      </w:tr>
      <w:tr w:rsidR="00F7285D" w:rsidRPr="0029055B" w14:paraId="4E6238CD" w14:textId="77777777" w:rsidTr="008709A1">
        <w:trPr>
          <w:jc w:val="center"/>
        </w:trPr>
        <w:tc>
          <w:tcPr>
            <w:tcW w:w="2268" w:type="dxa"/>
            <w:tcBorders>
              <w:top w:val="single" w:sz="4" w:space="0" w:color="auto"/>
              <w:left w:val="single" w:sz="8" w:space="0" w:color="auto"/>
              <w:bottom w:val="single" w:sz="8" w:space="0" w:color="auto"/>
              <w:right w:val="single" w:sz="4" w:space="0" w:color="auto"/>
            </w:tcBorders>
          </w:tcPr>
          <w:p w14:paraId="35B946D8" w14:textId="77777777" w:rsidR="00F7285D" w:rsidRPr="0029055B" w:rsidRDefault="00F7285D" w:rsidP="008709A1">
            <w:pPr>
              <w:rPr>
                <w:szCs w:val="21"/>
              </w:rPr>
            </w:pPr>
            <w:r w:rsidRPr="0029055B">
              <w:rPr>
                <w:szCs w:val="21"/>
              </w:rPr>
              <w:t>Poissons</w:t>
            </w:r>
          </w:p>
        </w:tc>
        <w:tc>
          <w:tcPr>
            <w:tcW w:w="2127" w:type="dxa"/>
            <w:tcBorders>
              <w:top w:val="single" w:sz="4" w:space="0" w:color="auto"/>
              <w:left w:val="single" w:sz="4" w:space="0" w:color="auto"/>
              <w:bottom w:val="single" w:sz="4" w:space="0" w:color="auto"/>
              <w:right w:val="single" w:sz="4" w:space="0" w:color="auto"/>
            </w:tcBorders>
          </w:tcPr>
          <w:p w14:paraId="1FDFA27D" w14:textId="77777777" w:rsidR="00F7285D" w:rsidRPr="0029055B" w:rsidRDefault="00F7285D" w:rsidP="008709A1">
            <w:pPr>
              <w:rPr>
                <w:szCs w:val="21"/>
              </w:rPr>
            </w:pPr>
            <w:r w:rsidRPr="0029055B">
              <w:rPr>
                <w:szCs w:val="21"/>
              </w:rPr>
              <w:t>(100)</w:t>
            </w:r>
          </w:p>
        </w:tc>
        <w:tc>
          <w:tcPr>
            <w:tcW w:w="2551" w:type="dxa"/>
            <w:tcBorders>
              <w:top w:val="single" w:sz="4" w:space="0" w:color="auto"/>
              <w:left w:val="single" w:sz="4" w:space="0" w:color="auto"/>
              <w:bottom w:val="single" w:sz="4" w:space="0" w:color="auto"/>
              <w:right w:val="single" w:sz="4" w:space="0" w:color="auto"/>
            </w:tcBorders>
          </w:tcPr>
          <w:p w14:paraId="61695CF7" w14:textId="77777777" w:rsidR="00F7285D" w:rsidRPr="0029055B" w:rsidRDefault="00F7285D" w:rsidP="008709A1">
            <w:pPr>
              <w:rPr>
                <w:szCs w:val="21"/>
              </w:rPr>
            </w:pPr>
            <w:r w:rsidRPr="0029055B">
              <w:rPr>
                <w:szCs w:val="21"/>
              </w:rPr>
              <w:t>(71)</w:t>
            </w:r>
          </w:p>
        </w:tc>
        <w:tc>
          <w:tcPr>
            <w:tcW w:w="2124" w:type="dxa"/>
            <w:tcBorders>
              <w:top w:val="single" w:sz="4" w:space="0" w:color="auto"/>
              <w:left w:val="single" w:sz="4" w:space="0" w:color="auto"/>
              <w:bottom w:val="single" w:sz="4" w:space="0" w:color="auto"/>
              <w:right w:val="single" w:sz="8" w:space="0" w:color="auto"/>
            </w:tcBorders>
          </w:tcPr>
          <w:p w14:paraId="22205B7B" w14:textId="77777777" w:rsidR="00F7285D" w:rsidRPr="0029055B" w:rsidRDefault="00F7285D" w:rsidP="008709A1">
            <w:pPr>
              <w:rPr>
                <w:szCs w:val="21"/>
              </w:rPr>
            </w:pPr>
            <w:r w:rsidRPr="0029055B">
              <w:rPr>
                <w:szCs w:val="21"/>
              </w:rPr>
              <w:t>-</w:t>
            </w:r>
          </w:p>
        </w:tc>
      </w:tr>
      <w:tr w:rsidR="00F7285D" w:rsidRPr="0029055B" w14:paraId="35FA3C6B" w14:textId="77777777" w:rsidTr="008709A1">
        <w:trPr>
          <w:trHeight w:val="219"/>
          <w:jc w:val="center"/>
        </w:trPr>
        <w:tc>
          <w:tcPr>
            <w:tcW w:w="2268" w:type="dxa"/>
            <w:tcBorders>
              <w:top w:val="single" w:sz="8" w:space="0" w:color="auto"/>
              <w:left w:val="single" w:sz="8" w:space="0" w:color="auto"/>
              <w:bottom w:val="single" w:sz="8" w:space="0" w:color="auto"/>
              <w:right w:val="single" w:sz="4" w:space="0" w:color="auto"/>
            </w:tcBorders>
          </w:tcPr>
          <w:p w14:paraId="2929F660" w14:textId="77777777" w:rsidR="00F7285D" w:rsidRPr="0029055B" w:rsidRDefault="00F7285D" w:rsidP="008709A1">
            <w:pPr>
              <w:rPr>
                <w:szCs w:val="21"/>
              </w:rPr>
            </w:pPr>
            <w:r w:rsidRPr="0029055B">
              <w:rPr>
                <w:szCs w:val="21"/>
              </w:rPr>
              <w:t>Papillons</w:t>
            </w:r>
          </w:p>
        </w:tc>
        <w:tc>
          <w:tcPr>
            <w:tcW w:w="2127" w:type="dxa"/>
            <w:tcBorders>
              <w:top w:val="single" w:sz="4" w:space="0" w:color="auto"/>
              <w:left w:val="single" w:sz="4" w:space="0" w:color="auto"/>
              <w:bottom w:val="single" w:sz="4" w:space="0" w:color="auto"/>
              <w:right w:val="single" w:sz="4" w:space="0" w:color="auto"/>
            </w:tcBorders>
          </w:tcPr>
          <w:p w14:paraId="49DD9BEA" w14:textId="77777777" w:rsidR="00F7285D" w:rsidRPr="0029055B" w:rsidRDefault="00F7285D" w:rsidP="008709A1">
            <w:pPr>
              <w:rPr>
                <w:szCs w:val="21"/>
              </w:rPr>
            </w:pPr>
            <w:r w:rsidRPr="0029055B">
              <w:rPr>
                <w:szCs w:val="21"/>
              </w:rPr>
              <w:t>?</w:t>
            </w:r>
          </w:p>
        </w:tc>
        <w:tc>
          <w:tcPr>
            <w:tcW w:w="2551" w:type="dxa"/>
            <w:tcBorders>
              <w:top w:val="single" w:sz="4" w:space="0" w:color="auto"/>
              <w:left w:val="single" w:sz="4" w:space="0" w:color="auto"/>
              <w:bottom w:val="single" w:sz="4" w:space="0" w:color="auto"/>
              <w:right w:val="single" w:sz="4" w:space="0" w:color="auto"/>
            </w:tcBorders>
          </w:tcPr>
          <w:p w14:paraId="55B32E15" w14:textId="77777777" w:rsidR="00F7285D" w:rsidRPr="0029055B" w:rsidRDefault="00F7285D" w:rsidP="008709A1">
            <w:pPr>
              <w:rPr>
                <w:szCs w:val="21"/>
              </w:rPr>
            </w:pPr>
            <w:r w:rsidRPr="0029055B">
              <w:rPr>
                <w:szCs w:val="21"/>
              </w:rPr>
              <w:t>21</w:t>
            </w:r>
          </w:p>
        </w:tc>
        <w:tc>
          <w:tcPr>
            <w:tcW w:w="2124" w:type="dxa"/>
            <w:tcBorders>
              <w:top w:val="single" w:sz="4" w:space="0" w:color="auto"/>
              <w:left w:val="single" w:sz="4" w:space="0" w:color="auto"/>
              <w:bottom w:val="single" w:sz="4" w:space="0" w:color="auto"/>
              <w:right w:val="single" w:sz="8" w:space="0" w:color="auto"/>
            </w:tcBorders>
          </w:tcPr>
          <w:p w14:paraId="55FBBFCF" w14:textId="77777777" w:rsidR="00F7285D" w:rsidRPr="0029055B" w:rsidRDefault="00F7285D" w:rsidP="008709A1">
            <w:pPr>
              <w:rPr>
                <w:szCs w:val="21"/>
              </w:rPr>
            </w:pPr>
            <w:r w:rsidRPr="0029055B">
              <w:rPr>
                <w:szCs w:val="21"/>
              </w:rPr>
              <w:t>-</w:t>
            </w:r>
          </w:p>
        </w:tc>
      </w:tr>
      <w:tr w:rsidR="00F7285D" w:rsidRPr="0029055B" w14:paraId="5560D647" w14:textId="77777777" w:rsidTr="008709A1">
        <w:trPr>
          <w:trHeight w:val="269"/>
          <w:jc w:val="center"/>
        </w:trPr>
        <w:tc>
          <w:tcPr>
            <w:tcW w:w="2268" w:type="dxa"/>
            <w:tcBorders>
              <w:top w:val="single" w:sz="8" w:space="0" w:color="auto"/>
              <w:left w:val="single" w:sz="8" w:space="0" w:color="auto"/>
              <w:bottom w:val="single" w:sz="8" w:space="0" w:color="auto"/>
              <w:right w:val="single" w:sz="4" w:space="0" w:color="auto"/>
            </w:tcBorders>
          </w:tcPr>
          <w:p w14:paraId="5BECB501" w14:textId="77777777" w:rsidR="00F7285D" w:rsidRPr="0029055B" w:rsidRDefault="00F7285D" w:rsidP="008709A1">
            <w:pPr>
              <w:rPr>
                <w:szCs w:val="21"/>
              </w:rPr>
            </w:pPr>
            <w:r w:rsidRPr="0029055B">
              <w:rPr>
                <w:szCs w:val="21"/>
              </w:rPr>
              <w:t>Plantes supérieures</w:t>
            </w:r>
          </w:p>
        </w:tc>
        <w:tc>
          <w:tcPr>
            <w:tcW w:w="2127" w:type="dxa"/>
            <w:tcBorders>
              <w:top w:val="single" w:sz="4" w:space="0" w:color="auto"/>
              <w:left w:val="single" w:sz="4" w:space="0" w:color="auto"/>
              <w:bottom w:val="single" w:sz="8" w:space="0" w:color="auto"/>
              <w:right w:val="single" w:sz="4" w:space="0" w:color="auto"/>
            </w:tcBorders>
          </w:tcPr>
          <w:p w14:paraId="22E8C2EE" w14:textId="77777777" w:rsidR="00F7285D" w:rsidRPr="0029055B" w:rsidRDefault="00F7285D" w:rsidP="008709A1">
            <w:pPr>
              <w:rPr>
                <w:szCs w:val="21"/>
              </w:rPr>
            </w:pPr>
            <w:r w:rsidRPr="0029055B">
              <w:rPr>
                <w:szCs w:val="21"/>
              </w:rPr>
              <w:t>2077</w:t>
            </w:r>
          </w:p>
        </w:tc>
        <w:tc>
          <w:tcPr>
            <w:tcW w:w="2551" w:type="dxa"/>
            <w:tcBorders>
              <w:top w:val="single" w:sz="4" w:space="0" w:color="auto"/>
              <w:left w:val="single" w:sz="4" w:space="0" w:color="auto"/>
              <w:bottom w:val="single" w:sz="8" w:space="0" w:color="auto"/>
              <w:right w:val="single" w:sz="4" w:space="0" w:color="auto"/>
            </w:tcBorders>
          </w:tcPr>
          <w:p w14:paraId="568AD696" w14:textId="77777777" w:rsidR="00F7285D" w:rsidRPr="0029055B" w:rsidRDefault="00F7285D" w:rsidP="008709A1">
            <w:pPr>
              <w:rPr>
                <w:szCs w:val="21"/>
              </w:rPr>
            </w:pPr>
            <w:r w:rsidRPr="0029055B">
              <w:rPr>
                <w:szCs w:val="21"/>
              </w:rPr>
              <w:t>230</w:t>
            </w:r>
          </w:p>
        </w:tc>
        <w:tc>
          <w:tcPr>
            <w:tcW w:w="2124" w:type="dxa"/>
            <w:tcBorders>
              <w:top w:val="single" w:sz="4" w:space="0" w:color="auto"/>
              <w:left w:val="single" w:sz="4" w:space="0" w:color="auto"/>
              <w:bottom w:val="single" w:sz="8" w:space="0" w:color="auto"/>
              <w:right w:val="single" w:sz="8" w:space="0" w:color="auto"/>
            </w:tcBorders>
          </w:tcPr>
          <w:p w14:paraId="27572630" w14:textId="77777777" w:rsidR="00F7285D" w:rsidRPr="0029055B" w:rsidRDefault="00F7285D" w:rsidP="008709A1">
            <w:pPr>
              <w:rPr>
                <w:szCs w:val="21"/>
              </w:rPr>
            </w:pPr>
            <w:r w:rsidRPr="0029055B">
              <w:rPr>
                <w:szCs w:val="21"/>
              </w:rPr>
              <w:t>10</w:t>
            </w:r>
          </w:p>
        </w:tc>
      </w:tr>
    </w:tbl>
    <w:p w14:paraId="7F094FA2" w14:textId="77777777" w:rsidR="00F7285D" w:rsidRPr="0029055B" w:rsidRDefault="00F7285D" w:rsidP="00F7285D">
      <w:pPr>
        <w:rPr>
          <w:szCs w:val="21"/>
        </w:rPr>
      </w:pPr>
    </w:p>
    <w:p w14:paraId="234104FF" w14:textId="77777777" w:rsidR="00F7285D" w:rsidRPr="0029055B" w:rsidRDefault="00F7285D" w:rsidP="00F7285D">
      <w:pPr>
        <w:rPr>
          <w:szCs w:val="21"/>
        </w:rPr>
      </w:pPr>
      <w:r w:rsidRPr="0029055B">
        <w:rPr>
          <w:szCs w:val="21"/>
        </w:rPr>
        <w:t>Parmi les 218 mammifères, on note 10 insectivores, 10 chiroptères et une dizaine de rongeurs et très peu de grands mammifères en formations herbeuses (Savanes). Le tableau 12 donne le nombre de mammifères reconnus dans la zone d’étude pour chaque ordre.</w:t>
      </w:r>
    </w:p>
    <w:p w14:paraId="106969F4" w14:textId="77777777" w:rsidR="00F7285D" w:rsidRPr="0029055B" w:rsidRDefault="00F7285D" w:rsidP="00F7285D">
      <w:pPr>
        <w:rPr>
          <w:szCs w:val="21"/>
        </w:rPr>
      </w:pPr>
    </w:p>
    <w:p w14:paraId="37127BC6" w14:textId="77777777" w:rsidR="00F7285D" w:rsidRPr="0029055B" w:rsidRDefault="00F7285D" w:rsidP="00F7285D">
      <w:pPr>
        <w:rPr>
          <w:szCs w:val="21"/>
        </w:rPr>
      </w:pPr>
      <w:bookmarkStart w:id="312" w:name="_Toc89921654"/>
      <w:bookmarkStart w:id="313" w:name="_Toc90392980"/>
      <w:r w:rsidRPr="0029055B">
        <w:rPr>
          <w:szCs w:val="21"/>
        </w:rPr>
        <w:t xml:space="preserve">Tableau </w:t>
      </w:r>
      <w:r w:rsidRPr="0029055B">
        <w:rPr>
          <w:szCs w:val="21"/>
        </w:rPr>
        <w:fldChar w:fldCharType="begin"/>
      </w:r>
      <w:r w:rsidRPr="0029055B">
        <w:rPr>
          <w:szCs w:val="21"/>
        </w:rPr>
        <w:instrText xml:space="preserve"> SEQ Tableau \* ARABIC </w:instrText>
      </w:r>
      <w:r w:rsidRPr="0029055B">
        <w:rPr>
          <w:szCs w:val="21"/>
        </w:rPr>
        <w:fldChar w:fldCharType="separate"/>
      </w:r>
      <w:r w:rsidRPr="0029055B">
        <w:rPr>
          <w:szCs w:val="21"/>
        </w:rPr>
        <w:t>12</w:t>
      </w:r>
      <w:r w:rsidRPr="0029055B">
        <w:rPr>
          <w:szCs w:val="21"/>
        </w:rPr>
        <w:fldChar w:fldCharType="end"/>
      </w:r>
      <w:r w:rsidRPr="0029055B">
        <w:rPr>
          <w:szCs w:val="21"/>
        </w:rPr>
        <w:t>. Nombre de mammifères reconnus dans le périmètre du Bloc pour chaque ordre d’après Languy et De Merode (2006).</w:t>
      </w:r>
      <w:bookmarkEnd w:id="312"/>
      <w:bookmarkEnd w:id="313"/>
    </w:p>
    <w:p w14:paraId="5B23355E" w14:textId="77777777" w:rsidR="00F7285D" w:rsidRPr="0029055B" w:rsidRDefault="00F7285D" w:rsidP="00F7285D">
      <w:pPr>
        <w:rPr>
          <w:szCs w:val="21"/>
        </w:rPr>
      </w:pPr>
      <w:r w:rsidRPr="0029055B">
        <w:rPr>
          <w:szCs w:val="21"/>
        </w:rPr>
        <w:t xml:space="preserve"> </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27"/>
        <w:gridCol w:w="2409"/>
        <w:gridCol w:w="4678"/>
      </w:tblGrid>
      <w:tr w:rsidR="00F7285D" w:rsidRPr="0029055B" w14:paraId="5A77415A" w14:textId="77777777" w:rsidTr="008709A1">
        <w:tc>
          <w:tcPr>
            <w:tcW w:w="2127" w:type="dxa"/>
            <w:tcBorders>
              <w:top w:val="single" w:sz="8" w:space="0" w:color="auto"/>
              <w:left w:val="single" w:sz="8" w:space="0" w:color="auto"/>
              <w:bottom w:val="single" w:sz="8" w:space="0" w:color="auto"/>
              <w:right w:val="single" w:sz="8" w:space="0" w:color="auto"/>
            </w:tcBorders>
            <w:shd w:val="clear" w:color="auto" w:fill="E2EFD9"/>
          </w:tcPr>
          <w:p w14:paraId="70C33A33" w14:textId="77777777" w:rsidR="00F7285D" w:rsidRPr="0029055B" w:rsidRDefault="00F7285D" w:rsidP="008709A1">
            <w:pPr>
              <w:rPr>
                <w:szCs w:val="21"/>
              </w:rPr>
            </w:pPr>
            <w:r w:rsidRPr="0029055B">
              <w:rPr>
                <w:szCs w:val="21"/>
              </w:rPr>
              <w:t>Ordres</w:t>
            </w:r>
          </w:p>
        </w:tc>
        <w:tc>
          <w:tcPr>
            <w:tcW w:w="2409" w:type="dxa"/>
            <w:tcBorders>
              <w:top w:val="single" w:sz="8" w:space="0" w:color="auto"/>
              <w:left w:val="single" w:sz="8" w:space="0" w:color="auto"/>
              <w:bottom w:val="single" w:sz="8" w:space="0" w:color="auto"/>
              <w:right w:val="single" w:sz="8" w:space="0" w:color="auto"/>
            </w:tcBorders>
            <w:shd w:val="clear" w:color="auto" w:fill="E2EFD9"/>
          </w:tcPr>
          <w:p w14:paraId="0C9CBBAE" w14:textId="77777777" w:rsidR="00F7285D" w:rsidRPr="0029055B" w:rsidRDefault="00F7285D" w:rsidP="008709A1">
            <w:pPr>
              <w:rPr>
                <w:szCs w:val="21"/>
              </w:rPr>
            </w:pPr>
            <w:r w:rsidRPr="0029055B">
              <w:rPr>
                <w:szCs w:val="21"/>
              </w:rPr>
              <w:t>Espèces confirmées</w:t>
            </w:r>
          </w:p>
        </w:tc>
        <w:tc>
          <w:tcPr>
            <w:tcW w:w="4678" w:type="dxa"/>
            <w:tcBorders>
              <w:top w:val="single" w:sz="8" w:space="0" w:color="auto"/>
              <w:left w:val="single" w:sz="8" w:space="0" w:color="auto"/>
              <w:bottom w:val="single" w:sz="8" w:space="0" w:color="auto"/>
              <w:right w:val="single" w:sz="8" w:space="0" w:color="auto"/>
            </w:tcBorders>
            <w:shd w:val="clear" w:color="auto" w:fill="E2EFD9"/>
          </w:tcPr>
          <w:p w14:paraId="73D8AD24" w14:textId="77777777" w:rsidR="00F7285D" w:rsidRPr="0029055B" w:rsidRDefault="00F7285D" w:rsidP="008709A1">
            <w:pPr>
              <w:rPr>
                <w:szCs w:val="21"/>
              </w:rPr>
            </w:pPr>
            <w:r w:rsidRPr="0029055B">
              <w:rPr>
                <w:szCs w:val="21"/>
              </w:rPr>
              <w:t>Espèces probablement supplémentaires</w:t>
            </w:r>
          </w:p>
        </w:tc>
      </w:tr>
      <w:tr w:rsidR="00F7285D" w:rsidRPr="0029055B" w14:paraId="327F9DAF" w14:textId="77777777" w:rsidTr="008709A1">
        <w:tc>
          <w:tcPr>
            <w:tcW w:w="2127" w:type="dxa"/>
            <w:tcBorders>
              <w:top w:val="single" w:sz="8" w:space="0" w:color="auto"/>
              <w:left w:val="single" w:sz="8" w:space="0" w:color="auto"/>
              <w:bottom w:val="single" w:sz="4" w:space="0" w:color="auto"/>
              <w:right w:val="single" w:sz="4" w:space="0" w:color="auto"/>
            </w:tcBorders>
          </w:tcPr>
          <w:p w14:paraId="2C12FC87" w14:textId="77777777" w:rsidR="00F7285D" w:rsidRPr="0029055B" w:rsidRDefault="00F7285D" w:rsidP="008709A1">
            <w:pPr>
              <w:rPr>
                <w:szCs w:val="21"/>
              </w:rPr>
            </w:pPr>
            <w:r w:rsidRPr="0029055B">
              <w:rPr>
                <w:szCs w:val="21"/>
              </w:rPr>
              <w:t>Tubillidentata</w:t>
            </w:r>
          </w:p>
        </w:tc>
        <w:tc>
          <w:tcPr>
            <w:tcW w:w="2409" w:type="dxa"/>
            <w:tcBorders>
              <w:top w:val="single" w:sz="8" w:space="0" w:color="auto"/>
              <w:left w:val="single" w:sz="4" w:space="0" w:color="auto"/>
              <w:bottom w:val="single" w:sz="4" w:space="0" w:color="auto"/>
              <w:right w:val="single" w:sz="4" w:space="0" w:color="auto"/>
            </w:tcBorders>
          </w:tcPr>
          <w:p w14:paraId="6F6E90EB" w14:textId="77777777" w:rsidR="00F7285D" w:rsidRPr="0029055B" w:rsidRDefault="00F7285D" w:rsidP="008709A1">
            <w:pPr>
              <w:rPr>
                <w:szCs w:val="21"/>
              </w:rPr>
            </w:pPr>
            <w:r w:rsidRPr="0029055B">
              <w:rPr>
                <w:szCs w:val="21"/>
              </w:rPr>
              <w:t>1</w:t>
            </w:r>
          </w:p>
        </w:tc>
        <w:tc>
          <w:tcPr>
            <w:tcW w:w="4678" w:type="dxa"/>
            <w:tcBorders>
              <w:top w:val="single" w:sz="8" w:space="0" w:color="auto"/>
              <w:left w:val="single" w:sz="4" w:space="0" w:color="auto"/>
              <w:bottom w:val="single" w:sz="4" w:space="0" w:color="auto"/>
              <w:right w:val="single" w:sz="8" w:space="0" w:color="auto"/>
            </w:tcBorders>
          </w:tcPr>
          <w:p w14:paraId="7FBA8B51" w14:textId="77777777" w:rsidR="00F7285D" w:rsidRPr="0029055B" w:rsidRDefault="00F7285D" w:rsidP="008709A1">
            <w:pPr>
              <w:rPr>
                <w:szCs w:val="21"/>
              </w:rPr>
            </w:pPr>
            <w:r w:rsidRPr="0029055B">
              <w:rPr>
                <w:szCs w:val="21"/>
              </w:rPr>
              <w:t>0</w:t>
            </w:r>
          </w:p>
        </w:tc>
      </w:tr>
      <w:tr w:rsidR="00F7285D" w:rsidRPr="0029055B" w14:paraId="3F6BA4FD" w14:textId="77777777" w:rsidTr="008709A1">
        <w:tc>
          <w:tcPr>
            <w:tcW w:w="2127" w:type="dxa"/>
            <w:tcBorders>
              <w:top w:val="single" w:sz="4" w:space="0" w:color="auto"/>
              <w:left w:val="single" w:sz="8" w:space="0" w:color="auto"/>
              <w:bottom w:val="single" w:sz="4" w:space="0" w:color="auto"/>
              <w:right w:val="single" w:sz="4" w:space="0" w:color="auto"/>
            </w:tcBorders>
          </w:tcPr>
          <w:p w14:paraId="64D114C5" w14:textId="77777777" w:rsidR="00F7285D" w:rsidRPr="0029055B" w:rsidRDefault="00F7285D" w:rsidP="008709A1">
            <w:pPr>
              <w:rPr>
                <w:szCs w:val="21"/>
              </w:rPr>
            </w:pPr>
            <w:r w:rsidRPr="0029055B">
              <w:rPr>
                <w:szCs w:val="21"/>
              </w:rPr>
              <w:t>Hyracoidea</w:t>
            </w:r>
          </w:p>
        </w:tc>
        <w:tc>
          <w:tcPr>
            <w:tcW w:w="2409" w:type="dxa"/>
            <w:tcBorders>
              <w:top w:val="single" w:sz="4" w:space="0" w:color="auto"/>
              <w:left w:val="single" w:sz="4" w:space="0" w:color="auto"/>
              <w:bottom w:val="single" w:sz="4" w:space="0" w:color="auto"/>
              <w:right w:val="single" w:sz="4" w:space="0" w:color="auto"/>
            </w:tcBorders>
          </w:tcPr>
          <w:p w14:paraId="4416AD5F" w14:textId="77777777" w:rsidR="00F7285D" w:rsidRPr="0029055B" w:rsidRDefault="00F7285D" w:rsidP="008709A1">
            <w:pPr>
              <w:rPr>
                <w:szCs w:val="21"/>
              </w:rPr>
            </w:pPr>
            <w:r w:rsidRPr="0029055B">
              <w:rPr>
                <w:szCs w:val="21"/>
              </w:rPr>
              <w:t>1</w:t>
            </w:r>
          </w:p>
        </w:tc>
        <w:tc>
          <w:tcPr>
            <w:tcW w:w="4678" w:type="dxa"/>
            <w:tcBorders>
              <w:top w:val="single" w:sz="4" w:space="0" w:color="auto"/>
              <w:left w:val="single" w:sz="4" w:space="0" w:color="auto"/>
              <w:bottom w:val="single" w:sz="8" w:space="0" w:color="auto"/>
              <w:right w:val="single" w:sz="8" w:space="0" w:color="auto"/>
            </w:tcBorders>
          </w:tcPr>
          <w:p w14:paraId="3505ED41" w14:textId="77777777" w:rsidR="00F7285D" w:rsidRPr="0029055B" w:rsidRDefault="00F7285D" w:rsidP="008709A1">
            <w:pPr>
              <w:rPr>
                <w:szCs w:val="21"/>
              </w:rPr>
            </w:pPr>
            <w:r w:rsidRPr="0029055B">
              <w:rPr>
                <w:szCs w:val="21"/>
              </w:rPr>
              <w:t>1</w:t>
            </w:r>
          </w:p>
        </w:tc>
      </w:tr>
      <w:tr w:rsidR="00F7285D" w:rsidRPr="0029055B" w14:paraId="6D9D51F1" w14:textId="77777777" w:rsidTr="008709A1">
        <w:tc>
          <w:tcPr>
            <w:tcW w:w="2127" w:type="dxa"/>
            <w:tcBorders>
              <w:top w:val="single" w:sz="4" w:space="0" w:color="auto"/>
              <w:left w:val="single" w:sz="8" w:space="0" w:color="auto"/>
              <w:bottom w:val="single" w:sz="4" w:space="0" w:color="auto"/>
              <w:right w:val="single" w:sz="4" w:space="0" w:color="auto"/>
            </w:tcBorders>
          </w:tcPr>
          <w:p w14:paraId="1FA5579A" w14:textId="77777777" w:rsidR="00F7285D" w:rsidRPr="0029055B" w:rsidRDefault="00F7285D" w:rsidP="008709A1">
            <w:pPr>
              <w:rPr>
                <w:szCs w:val="21"/>
              </w:rPr>
            </w:pPr>
            <w:r w:rsidRPr="0029055B">
              <w:rPr>
                <w:szCs w:val="21"/>
              </w:rPr>
              <w:t>Proboscidea</w:t>
            </w:r>
          </w:p>
        </w:tc>
        <w:tc>
          <w:tcPr>
            <w:tcW w:w="2409" w:type="dxa"/>
            <w:tcBorders>
              <w:top w:val="single" w:sz="4" w:space="0" w:color="auto"/>
              <w:left w:val="single" w:sz="4" w:space="0" w:color="auto"/>
              <w:bottom w:val="single" w:sz="4" w:space="0" w:color="auto"/>
              <w:right w:val="single" w:sz="4" w:space="0" w:color="auto"/>
            </w:tcBorders>
          </w:tcPr>
          <w:p w14:paraId="251E72AF" w14:textId="77777777" w:rsidR="00F7285D" w:rsidRPr="0029055B" w:rsidRDefault="00F7285D" w:rsidP="008709A1">
            <w:pPr>
              <w:rPr>
                <w:szCs w:val="21"/>
              </w:rPr>
            </w:pPr>
            <w:r w:rsidRPr="0029055B">
              <w:rPr>
                <w:szCs w:val="21"/>
              </w:rPr>
              <w:t>2</w:t>
            </w:r>
          </w:p>
        </w:tc>
        <w:tc>
          <w:tcPr>
            <w:tcW w:w="4678" w:type="dxa"/>
            <w:tcBorders>
              <w:top w:val="single" w:sz="8" w:space="0" w:color="auto"/>
              <w:left w:val="single" w:sz="4" w:space="0" w:color="auto"/>
              <w:bottom w:val="single" w:sz="4" w:space="0" w:color="auto"/>
              <w:right w:val="single" w:sz="8" w:space="0" w:color="auto"/>
            </w:tcBorders>
          </w:tcPr>
          <w:p w14:paraId="1C225ED8" w14:textId="77777777" w:rsidR="00F7285D" w:rsidRPr="0029055B" w:rsidRDefault="00F7285D" w:rsidP="008709A1">
            <w:pPr>
              <w:rPr>
                <w:szCs w:val="21"/>
              </w:rPr>
            </w:pPr>
            <w:r w:rsidRPr="0029055B">
              <w:rPr>
                <w:szCs w:val="21"/>
              </w:rPr>
              <w:t>0</w:t>
            </w:r>
          </w:p>
        </w:tc>
      </w:tr>
      <w:tr w:rsidR="00F7285D" w:rsidRPr="0029055B" w14:paraId="70BBB033" w14:textId="77777777" w:rsidTr="008709A1">
        <w:tc>
          <w:tcPr>
            <w:tcW w:w="2127" w:type="dxa"/>
            <w:tcBorders>
              <w:top w:val="single" w:sz="4" w:space="0" w:color="auto"/>
              <w:left w:val="single" w:sz="8" w:space="0" w:color="auto"/>
              <w:bottom w:val="single" w:sz="8" w:space="0" w:color="auto"/>
              <w:right w:val="single" w:sz="4" w:space="0" w:color="auto"/>
            </w:tcBorders>
          </w:tcPr>
          <w:p w14:paraId="475D83B6" w14:textId="77777777" w:rsidR="00F7285D" w:rsidRPr="0029055B" w:rsidRDefault="00F7285D" w:rsidP="008709A1">
            <w:pPr>
              <w:rPr>
                <w:szCs w:val="21"/>
              </w:rPr>
            </w:pPr>
            <w:r w:rsidRPr="0029055B">
              <w:rPr>
                <w:szCs w:val="21"/>
              </w:rPr>
              <w:t xml:space="preserve">Primates </w:t>
            </w:r>
          </w:p>
        </w:tc>
        <w:tc>
          <w:tcPr>
            <w:tcW w:w="2409" w:type="dxa"/>
            <w:tcBorders>
              <w:top w:val="single" w:sz="4" w:space="0" w:color="auto"/>
              <w:left w:val="single" w:sz="4" w:space="0" w:color="auto"/>
              <w:bottom w:val="single" w:sz="4" w:space="0" w:color="auto"/>
              <w:right w:val="single" w:sz="4" w:space="0" w:color="auto"/>
            </w:tcBorders>
          </w:tcPr>
          <w:p w14:paraId="6992AC04" w14:textId="77777777" w:rsidR="00F7285D" w:rsidRPr="0029055B" w:rsidRDefault="00F7285D" w:rsidP="008709A1">
            <w:pPr>
              <w:rPr>
                <w:szCs w:val="21"/>
              </w:rPr>
            </w:pPr>
            <w:r w:rsidRPr="0029055B">
              <w:rPr>
                <w:szCs w:val="21"/>
              </w:rPr>
              <w:t>22</w:t>
            </w:r>
          </w:p>
        </w:tc>
        <w:tc>
          <w:tcPr>
            <w:tcW w:w="4678" w:type="dxa"/>
            <w:tcBorders>
              <w:top w:val="single" w:sz="4" w:space="0" w:color="auto"/>
              <w:left w:val="single" w:sz="4" w:space="0" w:color="auto"/>
              <w:bottom w:val="single" w:sz="4" w:space="0" w:color="auto"/>
              <w:right w:val="single" w:sz="8" w:space="0" w:color="auto"/>
            </w:tcBorders>
          </w:tcPr>
          <w:p w14:paraId="3ADDF98F" w14:textId="77777777" w:rsidR="00F7285D" w:rsidRPr="0029055B" w:rsidRDefault="00F7285D" w:rsidP="008709A1">
            <w:pPr>
              <w:rPr>
                <w:szCs w:val="21"/>
              </w:rPr>
            </w:pPr>
            <w:r w:rsidRPr="0029055B">
              <w:rPr>
                <w:szCs w:val="21"/>
              </w:rPr>
              <w:t>0</w:t>
            </w:r>
          </w:p>
        </w:tc>
      </w:tr>
      <w:tr w:rsidR="00F7285D" w:rsidRPr="0029055B" w14:paraId="23D11346" w14:textId="77777777" w:rsidTr="008709A1">
        <w:tc>
          <w:tcPr>
            <w:tcW w:w="2127" w:type="dxa"/>
            <w:tcBorders>
              <w:top w:val="single" w:sz="8" w:space="0" w:color="auto"/>
              <w:left w:val="single" w:sz="8" w:space="0" w:color="auto"/>
              <w:bottom w:val="single" w:sz="4" w:space="0" w:color="auto"/>
              <w:right w:val="single" w:sz="4" w:space="0" w:color="auto"/>
            </w:tcBorders>
          </w:tcPr>
          <w:p w14:paraId="6B6378C7" w14:textId="77777777" w:rsidR="00F7285D" w:rsidRPr="0029055B" w:rsidRDefault="00F7285D" w:rsidP="008709A1">
            <w:pPr>
              <w:rPr>
                <w:szCs w:val="21"/>
              </w:rPr>
            </w:pPr>
            <w:r w:rsidRPr="0029055B">
              <w:rPr>
                <w:szCs w:val="21"/>
              </w:rPr>
              <w:t>Aprosoricida</w:t>
            </w:r>
          </w:p>
        </w:tc>
        <w:tc>
          <w:tcPr>
            <w:tcW w:w="2409" w:type="dxa"/>
            <w:tcBorders>
              <w:top w:val="single" w:sz="4" w:space="0" w:color="auto"/>
              <w:left w:val="single" w:sz="4" w:space="0" w:color="auto"/>
              <w:bottom w:val="single" w:sz="4" w:space="0" w:color="auto"/>
              <w:right w:val="single" w:sz="4" w:space="0" w:color="auto"/>
            </w:tcBorders>
          </w:tcPr>
          <w:p w14:paraId="621D6BFE" w14:textId="77777777" w:rsidR="00F7285D" w:rsidRPr="0029055B" w:rsidRDefault="00F7285D" w:rsidP="008709A1">
            <w:pPr>
              <w:rPr>
                <w:szCs w:val="21"/>
              </w:rPr>
            </w:pPr>
            <w:r w:rsidRPr="0029055B">
              <w:rPr>
                <w:szCs w:val="21"/>
              </w:rPr>
              <w:t>2</w:t>
            </w:r>
          </w:p>
        </w:tc>
        <w:tc>
          <w:tcPr>
            <w:tcW w:w="4678" w:type="dxa"/>
            <w:tcBorders>
              <w:top w:val="single" w:sz="4" w:space="0" w:color="auto"/>
              <w:left w:val="single" w:sz="4" w:space="0" w:color="auto"/>
              <w:bottom w:val="single" w:sz="4" w:space="0" w:color="auto"/>
              <w:right w:val="single" w:sz="8" w:space="0" w:color="auto"/>
            </w:tcBorders>
          </w:tcPr>
          <w:p w14:paraId="1DC4D94D" w14:textId="77777777" w:rsidR="00F7285D" w:rsidRPr="0029055B" w:rsidRDefault="00F7285D" w:rsidP="008709A1">
            <w:pPr>
              <w:rPr>
                <w:szCs w:val="21"/>
              </w:rPr>
            </w:pPr>
            <w:r w:rsidRPr="0029055B">
              <w:rPr>
                <w:szCs w:val="21"/>
              </w:rPr>
              <w:t>0</w:t>
            </w:r>
          </w:p>
        </w:tc>
      </w:tr>
      <w:tr w:rsidR="00F7285D" w:rsidRPr="0029055B" w14:paraId="1539E4A5" w14:textId="77777777" w:rsidTr="008709A1">
        <w:tc>
          <w:tcPr>
            <w:tcW w:w="2127" w:type="dxa"/>
            <w:tcBorders>
              <w:top w:val="single" w:sz="4" w:space="0" w:color="auto"/>
              <w:left w:val="single" w:sz="8" w:space="0" w:color="auto"/>
              <w:bottom w:val="single" w:sz="4" w:space="0" w:color="auto"/>
              <w:right w:val="single" w:sz="4" w:space="0" w:color="auto"/>
            </w:tcBorders>
          </w:tcPr>
          <w:p w14:paraId="26DD3607" w14:textId="77777777" w:rsidR="00F7285D" w:rsidRPr="0029055B" w:rsidRDefault="00F7285D" w:rsidP="008709A1">
            <w:pPr>
              <w:rPr>
                <w:szCs w:val="21"/>
              </w:rPr>
            </w:pPr>
            <w:r w:rsidRPr="0029055B">
              <w:rPr>
                <w:szCs w:val="21"/>
              </w:rPr>
              <w:t>Macroscelidea</w:t>
            </w:r>
          </w:p>
        </w:tc>
        <w:tc>
          <w:tcPr>
            <w:tcW w:w="2409" w:type="dxa"/>
            <w:tcBorders>
              <w:top w:val="single" w:sz="4" w:space="0" w:color="auto"/>
              <w:left w:val="single" w:sz="4" w:space="0" w:color="auto"/>
              <w:bottom w:val="single" w:sz="4" w:space="0" w:color="auto"/>
              <w:right w:val="single" w:sz="4" w:space="0" w:color="auto"/>
            </w:tcBorders>
          </w:tcPr>
          <w:p w14:paraId="0F6E7CF8" w14:textId="77777777" w:rsidR="00F7285D" w:rsidRPr="0029055B" w:rsidRDefault="00F7285D" w:rsidP="008709A1">
            <w:pPr>
              <w:rPr>
                <w:szCs w:val="21"/>
              </w:rPr>
            </w:pPr>
            <w:r w:rsidRPr="0029055B">
              <w:rPr>
                <w:szCs w:val="21"/>
              </w:rPr>
              <w:t>1</w:t>
            </w:r>
          </w:p>
        </w:tc>
        <w:tc>
          <w:tcPr>
            <w:tcW w:w="4678" w:type="dxa"/>
            <w:tcBorders>
              <w:top w:val="single" w:sz="4" w:space="0" w:color="auto"/>
              <w:left w:val="single" w:sz="4" w:space="0" w:color="auto"/>
              <w:bottom w:val="single" w:sz="4" w:space="0" w:color="auto"/>
              <w:right w:val="single" w:sz="8" w:space="0" w:color="auto"/>
            </w:tcBorders>
          </w:tcPr>
          <w:p w14:paraId="1CBCE214" w14:textId="77777777" w:rsidR="00F7285D" w:rsidRPr="0029055B" w:rsidRDefault="00F7285D" w:rsidP="008709A1">
            <w:pPr>
              <w:rPr>
                <w:szCs w:val="21"/>
              </w:rPr>
            </w:pPr>
            <w:r w:rsidRPr="0029055B">
              <w:rPr>
                <w:szCs w:val="21"/>
              </w:rPr>
              <w:t>0</w:t>
            </w:r>
          </w:p>
        </w:tc>
      </w:tr>
      <w:tr w:rsidR="00F7285D" w:rsidRPr="0029055B" w14:paraId="3F114686" w14:textId="77777777" w:rsidTr="008709A1">
        <w:tc>
          <w:tcPr>
            <w:tcW w:w="2127" w:type="dxa"/>
            <w:tcBorders>
              <w:top w:val="single" w:sz="4" w:space="0" w:color="auto"/>
              <w:left w:val="single" w:sz="8" w:space="0" w:color="auto"/>
              <w:bottom w:val="single" w:sz="4" w:space="0" w:color="auto"/>
              <w:right w:val="single" w:sz="4" w:space="0" w:color="auto"/>
            </w:tcBorders>
          </w:tcPr>
          <w:p w14:paraId="69055D70" w14:textId="77777777" w:rsidR="00F7285D" w:rsidRPr="0029055B" w:rsidRDefault="00F7285D" w:rsidP="008709A1">
            <w:pPr>
              <w:rPr>
                <w:szCs w:val="21"/>
              </w:rPr>
            </w:pPr>
            <w:r w:rsidRPr="0029055B">
              <w:rPr>
                <w:szCs w:val="21"/>
              </w:rPr>
              <w:t>Erinaceomorpha</w:t>
            </w:r>
          </w:p>
        </w:tc>
        <w:tc>
          <w:tcPr>
            <w:tcW w:w="2409" w:type="dxa"/>
            <w:tcBorders>
              <w:top w:val="single" w:sz="4" w:space="0" w:color="auto"/>
              <w:left w:val="single" w:sz="4" w:space="0" w:color="auto"/>
              <w:bottom w:val="single" w:sz="4" w:space="0" w:color="auto"/>
              <w:right w:val="single" w:sz="4" w:space="0" w:color="auto"/>
            </w:tcBorders>
          </w:tcPr>
          <w:p w14:paraId="0DDE872E" w14:textId="77777777" w:rsidR="00F7285D" w:rsidRPr="0029055B" w:rsidRDefault="00F7285D" w:rsidP="008709A1">
            <w:pPr>
              <w:rPr>
                <w:szCs w:val="21"/>
              </w:rPr>
            </w:pPr>
            <w:r w:rsidRPr="0029055B">
              <w:rPr>
                <w:szCs w:val="21"/>
              </w:rPr>
              <w:t>1</w:t>
            </w:r>
          </w:p>
        </w:tc>
        <w:tc>
          <w:tcPr>
            <w:tcW w:w="4678" w:type="dxa"/>
            <w:tcBorders>
              <w:top w:val="single" w:sz="4" w:space="0" w:color="auto"/>
              <w:left w:val="single" w:sz="4" w:space="0" w:color="auto"/>
              <w:bottom w:val="single" w:sz="4" w:space="0" w:color="auto"/>
              <w:right w:val="single" w:sz="8" w:space="0" w:color="auto"/>
            </w:tcBorders>
          </w:tcPr>
          <w:p w14:paraId="2CF49BFF" w14:textId="77777777" w:rsidR="00F7285D" w:rsidRPr="0029055B" w:rsidRDefault="00F7285D" w:rsidP="008709A1">
            <w:pPr>
              <w:rPr>
                <w:szCs w:val="21"/>
              </w:rPr>
            </w:pPr>
            <w:r w:rsidRPr="0029055B">
              <w:rPr>
                <w:szCs w:val="21"/>
              </w:rPr>
              <w:t>0</w:t>
            </w:r>
          </w:p>
        </w:tc>
      </w:tr>
      <w:tr w:rsidR="00F7285D" w:rsidRPr="0029055B" w14:paraId="17F5316D" w14:textId="77777777" w:rsidTr="008709A1">
        <w:tc>
          <w:tcPr>
            <w:tcW w:w="2127" w:type="dxa"/>
            <w:tcBorders>
              <w:top w:val="single" w:sz="4" w:space="0" w:color="auto"/>
              <w:left w:val="single" w:sz="8" w:space="0" w:color="auto"/>
              <w:bottom w:val="single" w:sz="4" w:space="0" w:color="auto"/>
              <w:right w:val="single" w:sz="4" w:space="0" w:color="auto"/>
            </w:tcBorders>
          </w:tcPr>
          <w:p w14:paraId="14CB6810" w14:textId="77777777" w:rsidR="00F7285D" w:rsidRPr="0029055B" w:rsidRDefault="00F7285D" w:rsidP="008709A1">
            <w:pPr>
              <w:rPr>
                <w:szCs w:val="21"/>
              </w:rPr>
            </w:pPr>
            <w:r w:rsidRPr="0029055B">
              <w:rPr>
                <w:szCs w:val="21"/>
              </w:rPr>
              <w:t>Soriciomorpha</w:t>
            </w:r>
          </w:p>
        </w:tc>
        <w:tc>
          <w:tcPr>
            <w:tcW w:w="2409" w:type="dxa"/>
            <w:tcBorders>
              <w:top w:val="single" w:sz="4" w:space="0" w:color="auto"/>
              <w:left w:val="single" w:sz="4" w:space="0" w:color="auto"/>
              <w:bottom w:val="single" w:sz="4" w:space="0" w:color="auto"/>
              <w:right w:val="single" w:sz="4" w:space="0" w:color="auto"/>
            </w:tcBorders>
          </w:tcPr>
          <w:p w14:paraId="5A63D812" w14:textId="77777777" w:rsidR="00F7285D" w:rsidRPr="0029055B" w:rsidRDefault="00F7285D" w:rsidP="008709A1">
            <w:pPr>
              <w:rPr>
                <w:szCs w:val="21"/>
              </w:rPr>
            </w:pPr>
            <w:r w:rsidRPr="0029055B">
              <w:rPr>
                <w:szCs w:val="21"/>
              </w:rPr>
              <w:t>20</w:t>
            </w:r>
          </w:p>
        </w:tc>
        <w:tc>
          <w:tcPr>
            <w:tcW w:w="4678" w:type="dxa"/>
            <w:tcBorders>
              <w:top w:val="single" w:sz="4" w:space="0" w:color="auto"/>
              <w:left w:val="single" w:sz="4" w:space="0" w:color="auto"/>
              <w:bottom w:val="single" w:sz="4" w:space="0" w:color="auto"/>
              <w:right w:val="single" w:sz="8" w:space="0" w:color="auto"/>
            </w:tcBorders>
          </w:tcPr>
          <w:p w14:paraId="43651576" w14:textId="77777777" w:rsidR="00F7285D" w:rsidRPr="0029055B" w:rsidRDefault="00F7285D" w:rsidP="008709A1">
            <w:pPr>
              <w:rPr>
                <w:szCs w:val="21"/>
              </w:rPr>
            </w:pPr>
            <w:r w:rsidRPr="0029055B">
              <w:rPr>
                <w:szCs w:val="21"/>
              </w:rPr>
              <w:t>9</w:t>
            </w:r>
          </w:p>
        </w:tc>
      </w:tr>
      <w:tr w:rsidR="00F7285D" w:rsidRPr="0029055B" w14:paraId="0719D57A" w14:textId="77777777" w:rsidTr="008709A1">
        <w:tc>
          <w:tcPr>
            <w:tcW w:w="2127" w:type="dxa"/>
            <w:tcBorders>
              <w:top w:val="single" w:sz="4" w:space="0" w:color="auto"/>
              <w:left w:val="single" w:sz="8" w:space="0" w:color="auto"/>
              <w:bottom w:val="single" w:sz="4" w:space="0" w:color="auto"/>
              <w:right w:val="single" w:sz="4" w:space="0" w:color="auto"/>
            </w:tcBorders>
          </w:tcPr>
          <w:p w14:paraId="3475E91B" w14:textId="77777777" w:rsidR="00F7285D" w:rsidRPr="0029055B" w:rsidRDefault="00F7285D" w:rsidP="008709A1">
            <w:pPr>
              <w:rPr>
                <w:szCs w:val="21"/>
              </w:rPr>
            </w:pPr>
            <w:r w:rsidRPr="0029055B">
              <w:rPr>
                <w:szCs w:val="21"/>
              </w:rPr>
              <w:t>Chiroptera</w:t>
            </w:r>
          </w:p>
        </w:tc>
        <w:tc>
          <w:tcPr>
            <w:tcW w:w="2409" w:type="dxa"/>
            <w:tcBorders>
              <w:top w:val="single" w:sz="4" w:space="0" w:color="auto"/>
              <w:left w:val="single" w:sz="4" w:space="0" w:color="auto"/>
              <w:bottom w:val="single" w:sz="4" w:space="0" w:color="auto"/>
              <w:right w:val="single" w:sz="4" w:space="0" w:color="auto"/>
            </w:tcBorders>
          </w:tcPr>
          <w:p w14:paraId="2A7C87BA" w14:textId="77777777" w:rsidR="00F7285D" w:rsidRPr="0029055B" w:rsidRDefault="00F7285D" w:rsidP="008709A1">
            <w:pPr>
              <w:rPr>
                <w:szCs w:val="21"/>
              </w:rPr>
            </w:pPr>
            <w:r w:rsidRPr="0029055B">
              <w:rPr>
                <w:szCs w:val="21"/>
              </w:rPr>
              <w:t>45</w:t>
            </w:r>
          </w:p>
        </w:tc>
        <w:tc>
          <w:tcPr>
            <w:tcW w:w="4678" w:type="dxa"/>
            <w:tcBorders>
              <w:top w:val="single" w:sz="4" w:space="0" w:color="auto"/>
              <w:left w:val="single" w:sz="4" w:space="0" w:color="auto"/>
              <w:bottom w:val="single" w:sz="4" w:space="0" w:color="auto"/>
              <w:right w:val="single" w:sz="8" w:space="0" w:color="auto"/>
            </w:tcBorders>
          </w:tcPr>
          <w:p w14:paraId="066FB906" w14:textId="77777777" w:rsidR="00F7285D" w:rsidRPr="0029055B" w:rsidRDefault="00F7285D" w:rsidP="008709A1">
            <w:pPr>
              <w:rPr>
                <w:szCs w:val="21"/>
              </w:rPr>
            </w:pPr>
            <w:r w:rsidRPr="0029055B">
              <w:rPr>
                <w:szCs w:val="21"/>
              </w:rPr>
              <w:t>8</w:t>
            </w:r>
          </w:p>
        </w:tc>
      </w:tr>
      <w:tr w:rsidR="00F7285D" w:rsidRPr="0029055B" w14:paraId="12B82C70" w14:textId="77777777" w:rsidTr="008709A1">
        <w:tc>
          <w:tcPr>
            <w:tcW w:w="2127" w:type="dxa"/>
            <w:tcBorders>
              <w:top w:val="single" w:sz="4" w:space="0" w:color="auto"/>
              <w:left w:val="single" w:sz="8" w:space="0" w:color="auto"/>
              <w:bottom w:val="single" w:sz="8" w:space="0" w:color="auto"/>
              <w:right w:val="single" w:sz="4" w:space="0" w:color="auto"/>
            </w:tcBorders>
          </w:tcPr>
          <w:p w14:paraId="051F68F0" w14:textId="77777777" w:rsidR="00F7285D" w:rsidRPr="0029055B" w:rsidRDefault="00F7285D" w:rsidP="008709A1">
            <w:pPr>
              <w:rPr>
                <w:szCs w:val="21"/>
              </w:rPr>
            </w:pPr>
            <w:r w:rsidRPr="0029055B">
              <w:rPr>
                <w:szCs w:val="21"/>
              </w:rPr>
              <w:t>Pholidota</w:t>
            </w:r>
          </w:p>
        </w:tc>
        <w:tc>
          <w:tcPr>
            <w:tcW w:w="2409" w:type="dxa"/>
            <w:tcBorders>
              <w:top w:val="single" w:sz="4" w:space="0" w:color="auto"/>
              <w:left w:val="single" w:sz="4" w:space="0" w:color="auto"/>
              <w:bottom w:val="single" w:sz="4" w:space="0" w:color="auto"/>
              <w:right w:val="single" w:sz="4" w:space="0" w:color="auto"/>
            </w:tcBorders>
          </w:tcPr>
          <w:p w14:paraId="21097AD5" w14:textId="77777777" w:rsidR="00F7285D" w:rsidRPr="0029055B" w:rsidRDefault="00F7285D" w:rsidP="008709A1">
            <w:pPr>
              <w:rPr>
                <w:szCs w:val="21"/>
              </w:rPr>
            </w:pPr>
            <w:r w:rsidRPr="0029055B">
              <w:rPr>
                <w:szCs w:val="21"/>
              </w:rPr>
              <w:t>3</w:t>
            </w:r>
          </w:p>
        </w:tc>
        <w:tc>
          <w:tcPr>
            <w:tcW w:w="4678" w:type="dxa"/>
            <w:tcBorders>
              <w:top w:val="single" w:sz="4" w:space="0" w:color="auto"/>
              <w:left w:val="single" w:sz="4" w:space="0" w:color="auto"/>
              <w:bottom w:val="single" w:sz="8" w:space="0" w:color="auto"/>
              <w:right w:val="single" w:sz="8" w:space="0" w:color="auto"/>
            </w:tcBorders>
          </w:tcPr>
          <w:p w14:paraId="03BA0756" w14:textId="77777777" w:rsidR="00F7285D" w:rsidRPr="0029055B" w:rsidRDefault="00F7285D" w:rsidP="008709A1">
            <w:pPr>
              <w:rPr>
                <w:szCs w:val="21"/>
              </w:rPr>
            </w:pPr>
            <w:r w:rsidRPr="0029055B">
              <w:rPr>
                <w:szCs w:val="21"/>
              </w:rPr>
              <w:t>0</w:t>
            </w:r>
          </w:p>
        </w:tc>
      </w:tr>
      <w:tr w:rsidR="00F7285D" w:rsidRPr="0029055B" w14:paraId="05112BB0" w14:textId="77777777" w:rsidTr="008709A1">
        <w:tc>
          <w:tcPr>
            <w:tcW w:w="2127" w:type="dxa"/>
            <w:tcBorders>
              <w:top w:val="single" w:sz="8" w:space="0" w:color="auto"/>
              <w:left w:val="single" w:sz="8" w:space="0" w:color="auto"/>
              <w:bottom w:val="single" w:sz="4" w:space="0" w:color="auto"/>
              <w:right w:val="single" w:sz="4" w:space="0" w:color="auto"/>
            </w:tcBorders>
          </w:tcPr>
          <w:p w14:paraId="3E8D6F06" w14:textId="77777777" w:rsidR="00F7285D" w:rsidRPr="0029055B" w:rsidRDefault="00F7285D" w:rsidP="008709A1">
            <w:pPr>
              <w:rPr>
                <w:szCs w:val="21"/>
              </w:rPr>
            </w:pPr>
            <w:r w:rsidRPr="0029055B">
              <w:rPr>
                <w:szCs w:val="21"/>
              </w:rPr>
              <w:t>Carnivora</w:t>
            </w:r>
          </w:p>
        </w:tc>
        <w:tc>
          <w:tcPr>
            <w:tcW w:w="2409" w:type="dxa"/>
            <w:tcBorders>
              <w:top w:val="single" w:sz="4" w:space="0" w:color="auto"/>
              <w:left w:val="single" w:sz="4" w:space="0" w:color="auto"/>
              <w:bottom w:val="single" w:sz="4" w:space="0" w:color="auto"/>
              <w:right w:val="single" w:sz="4" w:space="0" w:color="auto"/>
            </w:tcBorders>
          </w:tcPr>
          <w:p w14:paraId="52E904B5" w14:textId="77777777" w:rsidR="00F7285D" w:rsidRPr="0029055B" w:rsidRDefault="00F7285D" w:rsidP="008709A1">
            <w:pPr>
              <w:rPr>
                <w:szCs w:val="21"/>
              </w:rPr>
            </w:pPr>
            <w:r w:rsidRPr="0029055B">
              <w:rPr>
                <w:szCs w:val="21"/>
              </w:rPr>
              <w:t>24</w:t>
            </w:r>
          </w:p>
        </w:tc>
        <w:tc>
          <w:tcPr>
            <w:tcW w:w="4678" w:type="dxa"/>
            <w:tcBorders>
              <w:top w:val="single" w:sz="8" w:space="0" w:color="auto"/>
              <w:left w:val="single" w:sz="4" w:space="0" w:color="auto"/>
              <w:bottom w:val="single" w:sz="4" w:space="0" w:color="auto"/>
              <w:right w:val="single" w:sz="8" w:space="0" w:color="auto"/>
            </w:tcBorders>
          </w:tcPr>
          <w:p w14:paraId="50667130" w14:textId="77777777" w:rsidR="00F7285D" w:rsidRPr="0029055B" w:rsidRDefault="00F7285D" w:rsidP="008709A1">
            <w:pPr>
              <w:rPr>
                <w:szCs w:val="21"/>
              </w:rPr>
            </w:pPr>
            <w:r w:rsidRPr="0029055B">
              <w:rPr>
                <w:szCs w:val="21"/>
              </w:rPr>
              <w:t>1</w:t>
            </w:r>
          </w:p>
        </w:tc>
      </w:tr>
      <w:tr w:rsidR="00F7285D" w:rsidRPr="0029055B" w14:paraId="2D27963C" w14:textId="77777777" w:rsidTr="008709A1">
        <w:tc>
          <w:tcPr>
            <w:tcW w:w="2127" w:type="dxa"/>
            <w:tcBorders>
              <w:top w:val="single" w:sz="4" w:space="0" w:color="auto"/>
              <w:left w:val="single" w:sz="8" w:space="0" w:color="auto"/>
              <w:bottom w:val="single" w:sz="4" w:space="0" w:color="auto"/>
              <w:right w:val="single" w:sz="4" w:space="0" w:color="auto"/>
            </w:tcBorders>
          </w:tcPr>
          <w:p w14:paraId="7EC5ABF7" w14:textId="77777777" w:rsidR="00F7285D" w:rsidRPr="0029055B" w:rsidRDefault="00F7285D" w:rsidP="008709A1">
            <w:pPr>
              <w:rPr>
                <w:szCs w:val="21"/>
              </w:rPr>
            </w:pPr>
            <w:r w:rsidRPr="0029055B">
              <w:rPr>
                <w:szCs w:val="21"/>
              </w:rPr>
              <w:t>Artiodactyla</w:t>
            </w:r>
          </w:p>
        </w:tc>
        <w:tc>
          <w:tcPr>
            <w:tcW w:w="2409" w:type="dxa"/>
            <w:tcBorders>
              <w:top w:val="single" w:sz="4" w:space="0" w:color="auto"/>
              <w:left w:val="single" w:sz="4" w:space="0" w:color="auto"/>
              <w:bottom w:val="single" w:sz="4" w:space="0" w:color="auto"/>
              <w:right w:val="single" w:sz="4" w:space="0" w:color="auto"/>
            </w:tcBorders>
          </w:tcPr>
          <w:p w14:paraId="0063294E" w14:textId="77777777" w:rsidR="00F7285D" w:rsidRPr="0029055B" w:rsidRDefault="00F7285D" w:rsidP="008709A1">
            <w:pPr>
              <w:rPr>
                <w:szCs w:val="21"/>
              </w:rPr>
            </w:pPr>
            <w:r w:rsidRPr="0029055B">
              <w:rPr>
                <w:szCs w:val="21"/>
              </w:rPr>
              <w:t>22</w:t>
            </w:r>
          </w:p>
        </w:tc>
        <w:tc>
          <w:tcPr>
            <w:tcW w:w="4678" w:type="dxa"/>
            <w:tcBorders>
              <w:top w:val="single" w:sz="4" w:space="0" w:color="auto"/>
              <w:left w:val="single" w:sz="4" w:space="0" w:color="auto"/>
              <w:bottom w:val="single" w:sz="4" w:space="0" w:color="auto"/>
              <w:right w:val="single" w:sz="8" w:space="0" w:color="auto"/>
            </w:tcBorders>
          </w:tcPr>
          <w:p w14:paraId="77345180" w14:textId="77777777" w:rsidR="00F7285D" w:rsidRPr="0029055B" w:rsidRDefault="00F7285D" w:rsidP="008709A1">
            <w:pPr>
              <w:rPr>
                <w:szCs w:val="21"/>
              </w:rPr>
            </w:pPr>
            <w:r w:rsidRPr="0029055B">
              <w:rPr>
                <w:szCs w:val="21"/>
              </w:rPr>
              <w:t>0</w:t>
            </w:r>
          </w:p>
        </w:tc>
      </w:tr>
      <w:tr w:rsidR="00F7285D" w:rsidRPr="0029055B" w14:paraId="332E95A6" w14:textId="77777777" w:rsidTr="008709A1">
        <w:tc>
          <w:tcPr>
            <w:tcW w:w="2127" w:type="dxa"/>
            <w:tcBorders>
              <w:top w:val="single" w:sz="4" w:space="0" w:color="auto"/>
              <w:left w:val="single" w:sz="8" w:space="0" w:color="auto"/>
              <w:bottom w:val="single" w:sz="4" w:space="0" w:color="auto"/>
              <w:right w:val="single" w:sz="4" w:space="0" w:color="auto"/>
            </w:tcBorders>
          </w:tcPr>
          <w:p w14:paraId="62BB51E3" w14:textId="77777777" w:rsidR="00F7285D" w:rsidRPr="0029055B" w:rsidRDefault="00F7285D" w:rsidP="008709A1">
            <w:pPr>
              <w:rPr>
                <w:szCs w:val="21"/>
              </w:rPr>
            </w:pPr>
            <w:r w:rsidRPr="0029055B">
              <w:rPr>
                <w:szCs w:val="21"/>
              </w:rPr>
              <w:t>Rodentia</w:t>
            </w:r>
          </w:p>
        </w:tc>
        <w:tc>
          <w:tcPr>
            <w:tcW w:w="2409" w:type="dxa"/>
            <w:tcBorders>
              <w:top w:val="single" w:sz="4" w:space="0" w:color="auto"/>
              <w:left w:val="single" w:sz="4" w:space="0" w:color="auto"/>
              <w:bottom w:val="single" w:sz="4" w:space="0" w:color="auto"/>
              <w:right w:val="single" w:sz="4" w:space="0" w:color="auto"/>
            </w:tcBorders>
          </w:tcPr>
          <w:p w14:paraId="4741665A" w14:textId="77777777" w:rsidR="00F7285D" w:rsidRPr="0029055B" w:rsidRDefault="00F7285D" w:rsidP="008709A1">
            <w:pPr>
              <w:rPr>
                <w:szCs w:val="21"/>
              </w:rPr>
            </w:pPr>
            <w:r w:rsidRPr="0029055B">
              <w:rPr>
                <w:szCs w:val="21"/>
              </w:rPr>
              <w:t>73</w:t>
            </w:r>
          </w:p>
        </w:tc>
        <w:tc>
          <w:tcPr>
            <w:tcW w:w="4678" w:type="dxa"/>
            <w:tcBorders>
              <w:top w:val="single" w:sz="4" w:space="0" w:color="auto"/>
              <w:left w:val="single" w:sz="4" w:space="0" w:color="auto"/>
              <w:bottom w:val="single" w:sz="4" w:space="0" w:color="auto"/>
              <w:right w:val="single" w:sz="8" w:space="0" w:color="auto"/>
            </w:tcBorders>
          </w:tcPr>
          <w:p w14:paraId="33007252" w14:textId="77777777" w:rsidR="00F7285D" w:rsidRPr="0029055B" w:rsidRDefault="00F7285D" w:rsidP="008709A1">
            <w:pPr>
              <w:rPr>
                <w:szCs w:val="21"/>
              </w:rPr>
            </w:pPr>
            <w:r w:rsidRPr="0029055B">
              <w:rPr>
                <w:szCs w:val="21"/>
              </w:rPr>
              <w:t>7</w:t>
            </w:r>
          </w:p>
        </w:tc>
      </w:tr>
      <w:tr w:rsidR="00F7285D" w:rsidRPr="0029055B" w14:paraId="062BBAA0" w14:textId="77777777" w:rsidTr="008709A1">
        <w:tc>
          <w:tcPr>
            <w:tcW w:w="2127" w:type="dxa"/>
            <w:tcBorders>
              <w:top w:val="single" w:sz="4" w:space="0" w:color="auto"/>
              <w:left w:val="single" w:sz="8" w:space="0" w:color="auto"/>
              <w:bottom w:val="single" w:sz="8" w:space="0" w:color="auto"/>
              <w:right w:val="single" w:sz="4" w:space="0" w:color="auto"/>
            </w:tcBorders>
          </w:tcPr>
          <w:p w14:paraId="1D2FBD53" w14:textId="77777777" w:rsidR="00F7285D" w:rsidRPr="0029055B" w:rsidRDefault="00F7285D" w:rsidP="008709A1">
            <w:pPr>
              <w:rPr>
                <w:szCs w:val="21"/>
              </w:rPr>
            </w:pPr>
            <w:r w:rsidRPr="0029055B">
              <w:rPr>
                <w:szCs w:val="21"/>
              </w:rPr>
              <w:t>Total</w:t>
            </w:r>
          </w:p>
        </w:tc>
        <w:tc>
          <w:tcPr>
            <w:tcW w:w="2409" w:type="dxa"/>
            <w:tcBorders>
              <w:top w:val="single" w:sz="4" w:space="0" w:color="auto"/>
              <w:left w:val="single" w:sz="4" w:space="0" w:color="auto"/>
              <w:bottom w:val="single" w:sz="8" w:space="0" w:color="auto"/>
              <w:right w:val="single" w:sz="8" w:space="0" w:color="auto"/>
            </w:tcBorders>
          </w:tcPr>
          <w:p w14:paraId="4B7EDF96" w14:textId="77777777" w:rsidR="00F7285D" w:rsidRPr="0029055B" w:rsidRDefault="00F7285D" w:rsidP="008709A1">
            <w:pPr>
              <w:rPr>
                <w:szCs w:val="21"/>
              </w:rPr>
            </w:pPr>
            <w:r w:rsidRPr="0029055B">
              <w:rPr>
                <w:szCs w:val="21"/>
              </w:rPr>
              <w:t>218</w:t>
            </w:r>
          </w:p>
        </w:tc>
        <w:tc>
          <w:tcPr>
            <w:tcW w:w="4678" w:type="dxa"/>
            <w:tcBorders>
              <w:top w:val="single" w:sz="4" w:space="0" w:color="auto"/>
              <w:left w:val="single" w:sz="8" w:space="0" w:color="auto"/>
              <w:bottom w:val="single" w:sz="8" w:space="0" w:color="auto"/>
              <w:right w:val="single" w:sz="8" w:space="0" w:color="auto"/>
            </w:tcBorders>
          </w:tcPr>
          <w:p w14:paraId="5D544D70" w14:textId="77777777" w:rsidR="00F7285D" w:rsidRPr="0029055B" w:rsidRDefault="00F7285D" w:rsidP="008709A1">
            <w:pPr>
              <w:rPr>
                <w:szCs w:val="21"/>
              </w:rPr>
            </w:pPr>
            <w:r w:rsidRPr="0029055B">
              <w:rPr>
                <w:szCs w:val="21"/>
              </w:rPr>
              <w:t>26</w:t>
            </w:r>
          </w:p>
        </w:tc>
      </w:tr>
    </w:tbl>
    <w:p w14:paraId="56A3460B" w14:textId="77777777" w:rsidR="00F7285D" w:rsidRPr="0029055B" w:rsidRDefault="00F7285D" w:rsidP="00F7285D">
      <w:pPr>
        <w:rPr>
          <w:szCs w:val="21"/>
        </w:rPr>
      </w:pPr>
    </w:p>
    <w:p w14:paraId="50C2FD7F" w14:textId="77777777" w:rsidR="00F7285D" w:rsidRPr="0029055B" w:rsidRDefault="00F7285D" w:rsidP="00F7285D">
      <w:pPr>
        <w:rPr>
          <w:szCs w:val="21"/>
        </w:rPr>
      </w:pPr>
      <w:r w:rsidRPr="0029055B">
        <w:rPr>
          <w:szCs w:val="21"/>
        </w:rPr>
        <w:t>À l’heure actuelle, le bureau du PNVi à Rwindi confirme la diminution et la rareté de certaines espèces de ces mammifères au niveau du Parc. Il attribue la cause aux derniers conflits armés qui ont assiégé le Parc. C’est le cas des lions qui se voient rarement dont selon les agents de l’ICCN que nous avons rencontré à la Rwindi un seul couple est aujourd’hui visible autour du pont de la Rwindi non loin de la station. Les buffles y sont maintenant rares dans le Parc, quelques éléphants sont observés non loin du pont de la Rutshuru.</w:t>
      </w:r>
    </w:p>
    <w:p w14:paraId="6383C162" w14:textId="77777777" w:rsidR="00F7285D" w:rsidRPr="0029055B" w:rsidRDefault="00F7285D" w:rsidP="00F7285D">
      <w:pPr>
        <w:rPr>
          <w:szCs w:val="21"/>
        </w:rPr>
      </w:pPr>
    </w:p>
    <w:p w14:paraId="509EBB0C" w14:textId="77777777" w:rsidR="00F7285D" w:rsidRPr="0029055B" w:rsidRDefault="00F7285D" w:rsidP="00F7285D">
      <w:pPr>
        <w:rPr>
          <w:szCs w:val="21"/>
        </w:rPr>
      </w:pPr>
      <w:r w:rsidRPr="0029055B">
        <w:rPr>
          <w:szCs w:val="21"/>
        </w:rPr>
        <w:t>Pour l’ensemble de la faune de la région, le tableau 13 donne les différentes espèces leurs classes, ordres, familles, leur position selon l’IUCN, la quantité estimée et leur habitat.</w:t>
      </w:r>
    </w:p>
    <w:p w14:paraId="13840123" w14:textId="77777777" w:rsidR="00F7285D" w:rsidRDefault="00F7285D" w:rsidP="00F7285D">
      <w:pPr>
        <w:rPr>
          <w:szCs w:val="21"/>
        </w:rPr>
      </w:pPr>
    </w:p>
    <w:p w14:paraId="7C504B53" w14:textId="77777777" w:rsidR="009021F1" w:rsidRDefault="009021F1" w:rsidP="00F7285D">
      <w:pPr>
        <w:rPr>
          <w:szCs w:val="21"/>
        </w:rPr>
        <w:sectPr w:rsidR="009021F1" w:rsidSect="008709A1">
          <w:pgSz w:w="11906" w:h="16838"/>
          <w:pgMar w:top="1134" w:right="1418" w:bottom="1135" w:left="1418" w:header="708" w:footer="116" w:gutter="0"/>
          <w:cols w:space="708"/>
          <w:docGrid w:linePitch="360"/>
        </w:sectPr>
      </w:pPr>
    </w:p>
    <w:p w14:paraId="6E935489" w14:textId="2E2AE3B5" w:rsidR="009021F1" w:rsidRDefault="009021F1" w:rsidP="00F7285D">
      <w:pPr>
        <w:rPr>
          <w:szCs w:val="21"/>
        </w:rPr>
      </w:pPr>
    </w:p>
    <w:p w14:paraId="251EFF03" w14:textId="77777777" w:rsidR="009021F1" w:rsidRPr="0029055B" w:rsidRDefault="009021F1" w:rsidP="009021F1">
      <w:pPr>
        <w:rPr>
          <w:szCs w:val="21"/>
        </w:rPr>
      </w:pPr>
      <w:bookmarkStart w:id="314" w:name="_Toc89921655"/>
      <w:bookmarkStart w:id="315" w:name="_Toc90392981"/>
      <w:r w:rsidRPr="0029055B">
        <w:rPr>
          <w:szCs w:val="21"/>
        </w:rPr>
        <w:t xml:space="preserve">Tableau </w:t>
      </w:r>
      <w:r w:rsidRPr="0029055B">
        <w:rPr>
          <w:szCs w:val="21"/>
        </w:rPr>
        <w:fldChar w:fldCharType="begin"/>
      </w:r>
      <w:r w:rsidRPr="0029055B">
        <w:rPr>
          <w:szCs w:val="21"/>
        </w:rPr>
        <w:instrText xml:space="preserve"> SEQ Tableau \* ARABIC </w:instrText>
      </w:r>
      <w:r w:rsidRPr="0029055B">
        <w:rPr>
          <w:szCs w:val="21"/>
        </w:rPr>
        <w:fldChar w:fldCharType="separate"/>
      </w:r>
      <w:r w:rsidRPr="0029055B">
        <w:rPr>
          <w:szCs w:val="21"/>
        </w:rPr>
        <w:t>13</w:t>
      </w:r>
      <w:r w:rsidRPr="0029055B">
        <w:rPr>
          <w:szCs w:val="21"/>
        </w:rPr>
        <w:fldChar w:fldCharType="end"/>
      </w:r>
      <w:r w:rsidRPr="0029055B">
        <w:rPr>
          <w:szCs w:val="21"/>
        </w:rPr>
        <w:t>. Composition faunistique de la végétation rencontrée dans le PNVi</w:t>
      </w:r>
      <w:bookmarkEnd w:id="314"/>
      <w:bookmarkEnd w:id="315"/>
    </w:p>
    <w:p w14:paraId="3129D7A7" w14:textId="77777777" w:rsidR="009021F1" w:rsidRPr="0029055B" w:rsidRDefault="009021F1" w:rsidP="009021F1">
      <w:pPr>
        <w:rPr>
          <w:szCs w:val="21"/>
        </w:rPr>
      </w:pPr>
    </w:p>
    <w:tbl>
      <w:tblPr>
        <w:tblpPr w:leftFromText="141" w:rightFromText="141" w:vertAnchor="text" w:tblpY="1"/>
        <w:tblOverlap w:val="never"/>
        <w:tblW w:w="14529" w:type="dxa"/>
        <w:tblCellMar>
          <w:left w:w="70" w:type="dxa"/>
          <w:right w:w="70" w:type="dxa"/>
        </w:tblCellMar>
        <w:tblLook w:val="0000" w:firstRow="0" w:lastRow="0" w:firstColumn="0" w:lastColumn="0" w:noHBand="0" w:noVBand="0"/>
      </w:tblPr>
      <w:tblGrid>
        <w:gridCol w:w="1834"/>
        <w:gridCol w:w="1767"/>
        <w:gridCol w:w="2565"/>
        <w:gridCol w:w="2693"/>
        <w:gridCol w:w="1375"/>
        <w:gridCol w:w="1481"/>
        <w:gridCol w:w="2814"/>
      </w:tblGrid>
      <w:tr w:rsidR="009021F1" w:rsidRPr="0029055B" w14:paraId="2206A29C" w14:textId="77777777" w:rsidTr="00E637E3">
        <w:trPr>
          <w:trHeight w:val="318"/>
        </w:trPr>
        <w:tc>
          <w:tcPr>
            <w:tcW w:w="1834" w:type="dxa"/>
            <w:tcBorders>
              <w:top w:val="single" w:sz="8" w:space="0" w:color="auto"/>
              <w:left w:val="single" w:sz="8" w:space="0" w:color="auto"/>
              <w:bottom w:val="single" w:sz="8" w:space="0" w:color="auto"/>
              <w:right w:val="single" w:sz="4" w:space="0" w:color="auto"/>
            </w:tcBorders>
            <w:shd w:val="clear" w:color="auto" w:fill="B4C6E7" w:themeFill="accent1" w:themeFillTint="66"/>
          </w:tcPr>
          <w:p w14:paraId="2D42F909" w14:textId="77777777" w:rsidR="009021F1" w:rsidRPr="0029055B" w:rsidRDefault="009021F1" w:rsidP="00E637E3">
            <w:pPr>
              <w:rPr>
                <w:szCs w:val="21"/>
              </w:rPr>
            </w:pPr>
            <w:r w:rsidRPr="0029055B">
              <w:rPr>
                <w:szCs w:val="21"/>
              </w:rPr>
              <w:t>Ordre</w:t>
            </w:r>
          </w:p>
        </w:tc>
        <w:tc>
          <w:tcPr>
            <w:tcW w:w="1767" w:type="dxa"/>
            <w:tcBorders>
              <w:top w:val="single" w:sz="8" w:space="0" w:color="auto"/>
              <w:left w:val="single" w:sz="4" w:space="0" w:color="auto"/>
              <w:bottom w:val="single" w:sz="8" w:space="0" w:color="auto"/>
              <w:right w:val="single" w:sz="4" w:space="0" w:color="auto"/>
            </w:tcBorders>
            <w:shd w:val="clear" w:color="auto" w:fill="B4C6E7" w:themeFill="accent1" w:themeFillTint="66"/>
          </w:tcPr>
          <w:p w14:paraId="7D58A02A" w14:textId="77777777" w:rsidR="009021F1" w:rsidRPr="0029055B" w:rsidRDefault="009021F1" w:rsidP="00E637E3">
            <w:pPr>
              <w:rPr>
                <w:szCs w:val="21"/>
              </w:rPr>
            </w:pPr>
            <w:r w:rsidRPr="0029055B">
              <w:rPr>
                <w:szCs w:val="21"/>
              </w:rPr>
              <w:t>Famille</w:t>
            </w:r>
          </w:p>
        </w:tc>
        <w:tc>
          <w:tcPr>
            <w:tcW w:w="2565" w:type="dxa"/>
            <w:tcBorders>
              <w:top w:val="single" w:sz="8" w:space="0" w:color="auto"/>
              <w:left w:val="single" w:sz="4" w:space="0" w:color="auto"/>
              <w:bottom w:val="single" w:sz="8" w:space="0" w:color="auto"/>
              <w:right w:val="single" w:sz="4" w:space="0" w:color="auto"/>
            </w:tcBorders>
            <w:shd w:val="clear" w:color="auto" w:fill="B4C6E7" w:themeFill="accent1" w:themeFillTint="66"/>
          </w:tcPr>
          <w:p w14:paraId="4C05598D" w14:textId="77777777" w:rsidR="009021F1" w:rsidRPr="0029055B" w:rsidRDefault="009021F1" w:rsidP="00E637E3">
            <w:pPr>
              <w:rPr>
                <w:szCs w:val="21"/>
              </w:rPr>
            </w:pPr>
            <w:r w:rsidRPr="0029055B">
              <w:rPr>
                <w:szCs w:val="21"/>
              </w:rPr>
              <w:t>Noms scientifiques</w:t>
            </w:r>
          </w:p>
        </w:tc>
        <w:tc>
          <w:tcPr>
            <w:tcW w:w="2693" w:type="dxa"/>
            <w:tcBorders>
              <w:top w:val="single" w:sz="8" w:space="0" w:color="auto"/>
              <w:left w:val="nil"/>
              <w:bottom w:val="single" w:sz="8" w:space="0" w:color="auto"/>
              <w:right w:val="single" w:sz="4" w:space="0" w:color="auto"/>
            </w:tcBorders>
            <w:shd w:val="clear" w:color="auto" w:fill="B4C6E7" w:themeFill="accent1" w:themeFillTint="66"/>
          </w:tcPr>
          <w:p w14:paraId="04495E74" w14:textId="77777777" w:rsidR="009021F1" w:rsidRPr="0029055B" w:rsidRDefault="009021F1" w:rsidP="00E637E3">
            <w:pPr>
              <w:rPr>
                <w:szCs w:val="21"/>
              </w:rPr>
            </w:pPr>
            <w:r w:rsidRPr="0029055B">
              <w:rPr>
                <w:szCs w:val="21"/>
              </w:rPr>
              <w:t>Noms communs</w:t>
            </w:r>
          </w:p>
        </w:tc>
        <w:tc>
          <w:tcPr>
            <w:tcW w:w="1375" w:type="dxa"/>
            <w:tcBorders>
              <w:top w:val="single" w:sz="8" w:space="0" w:color="auto"/>
              <w:left w:val="nil"/>
              <w:bottom w:val="single" w:sz="8" w:space="0" w:color="auto"/>
              <w:right w:val="single" w:sz="4" w:space="0" w:color="auto"/>
            </w:tcBorders>
            <w:shd w:val="clear" w:color="auto" w:fill="B4C6E7" w:themeFill="accent1" w:themeFillTint="66"/>
          </w:tcPr>
          <w:p w14:paraId="0DB92EA8" w14:textId="77777777" w:rsidR="009021F1" w:rsidRPr="0029055B" w:rsidRDefault="009021F1" w:rsidP="00E637E3">
            <w:pPr>
              <w:rPr>
                <w:szCs w:val="21"/>
              </w:rPr>
            </w:pPr>
            <w:r w:rsidRPr="0029055B">
              <w:rPr>
                <w:szCs w:val="21"/>
              </w:rPr>
              <w:t>Espèces rares ou en voie de disparition</w:t>
            </w:r>
          </w:p>
        </w:tc>
        <w:tc>
          <w:tcPr>
            <w:tcW w:w="1481" w:type="dxa"/>
            <w:tcBorders>
              <w:top w:val="single" w:sz="8" w:space="0" w:color="auto"/>
              <w:left w:val="nil"/>
              <w:bottom w:val="single" w:sz="8" w:space="0" w:color="auto"/>
              <w:right w:val="single" w:sz="4" w:space="0" w:color="auto"/>
            </w:tcBorders>
            <w:shd w:val="clear" w:color="auto" w:fill="B4C6E7" w:themeFill="accent1" w:themeFillTint="66"/>
          </w:tcPr>
          <w:p w14:paraId="143FA472" w14:textId="77777777" w:rsidR="009021F1" w:rsidRPr="0029055B" w:rsidRDefault="009021F1" w:rsidP="00E637E3">
            <w:pPr>
              <w:rPr>
                <w:szCs w:val="21"/>
              </w:rPr>
            </w:pPr>
            <w:r w:rsidRPr="0029055B">
              <w:rPr>
                <w:szCs w:val="21"/>
              </w:rPr>
              <w:t>Quantité estimée</w:t>
            </w:r>
          </w:p>
        </w:tc>
        <w:tc>
          <w:tcPr>
            <w:tcW w:w="2814" w:type="dxa"/>
            <w:tcBorders>
              <w:top w:val="single" w:sz="8" w:space="0" w:color="auto"/>
              <w:left w:val="nil"/>
              <w:bottom w:val="single" w:sz="8" w:space="0" w:color="auto"/>
              <w:right w:val="single" w:sz="8" w:space="0" w:color="auto"/>
            </w:tcBorders>
            <w:shd w:val="clear" w:color="auto" w:fill="B4C6E7" w:themeFill="accent1" w:themeFillTint="66"/>
          </w:tcPr>
          <w:p w14:paraId="689472D7" w14:textId="77777777" w:rsidR="009021F1" w:rsidRPr="0029055B" w:rsidRDefault="009021F1" w:rsidP="00E637E3">
            <w:pPr>
              <w:rPr>
                <w:szCs w:val="21"/>
              </w:rPr>
            </w:pPr>
            <w:r w:rsidRPr="0029055B">
              <w:rPr>
                <w:szCs w:val="21"/>
              </w:rPr>
              <w:t>Passage ou Habitat dans le périmètre</w:t>
            </w:r>
          </w:p>
        </w:tc>
      </w:tr>
      <w:tr w:rsidR="009021F1" w:rsidRPr="0029055B" w14:paraId="4FE8F777" w14:textId="77777777" w:rsidTr="00E637E3">
        <w:trPr>
          <w:trHeight w:val="318"/>
        </w:trPr>
        <w:tc>
          <w:tcPr>
            <w:tcW w:w="14529" w:type="dxa"/>
            <w:gridSpan w:val="7"/>
            <w:tcBorders>
              <w:top w:val="nil"/>
              <w:left w:val="single" w:sz="8" w:space="0" w:color="auto"/>
              <w:bottom w:val="single" w:sz="4" w:space="0" w:color="auto"/>
              <w:right w:val="single" w:sz="8" w:space="0" w:color="auto"/>
            </w:tcBorders>
          </w:tcPr>
          <w:p w14:paraId="739901DA" w14:textId="77777777" w:rsidR="009021F1" w:rsidRPr="0029055B" w:rsidRDefault="009021F1" w:rsidP="00E637E3">
            <w:pPr>
              <w:rPr>
                <w:szCs w:val="21"/>
              </w:rPr>
            </w:pPr>
            <w:r w:rsidRPr="0029055B">
              <w:rPr>
                <w:szCs w:val="21"/>
              </w:rPr>
              <w:t>MAMMIFERES</w:t>
            </w:r>
          </w:p>
        </w:tc>
      </w:tr>
      <w:tr w:rsidR="009021F1" w:rsidRPr="0029055B" w14:paraId="5D31EB2F" w14:textId="77777777" w:rsidTr="00E637E3">
        <w:trPr>
          <w:trHeight w:val="318"/>
        </w:trPr>
        <w:tc>
          <w:tcPr>
            <w:tcW w:w="1834" w:type="dxa"/>
            <w:tcBorders>
              <w:top w:val="single" w:sz="8" w:space="0" w:color="auto"/>
              <w:left w:val="single" w:sz="8" w:space="0" w:color="auto"/>
              <w:bottom w:val="single" w:sz="4" w:space="0" w:color="auto"/>
              <w:right w:val="single" w:sz="4" w:space="0" w:color="auto"/>
            </w:tcBorders>
          </w:tcPr>
          <w:p w14:paraId="376A6008" w14:textId="77777777" w:rsidR="009021F1" w:rsidRPr="0029055B" w:rsidRDefault="009021F1" w:rsidP="00E637E3">
            <w:pPr>
              <w:rPr>
                <w:szCs w:val="21"/>
              </w:rPr>
            </w:pPr>
            <w:r w:rsidRPr="0029055B">
              <w:rPr>
                <w:szCs w:val="21"/>
              </w:rPr>
              <w:t>Artiodactyla</w:t>
            </w:r>
          </w:p>
        </w:tc>
        <w:tc>
          <w:tcPr>
            <w:tcW w:w="1767" w:type="dxa"/>
            <w:tcBorders>
              <w:top w:val="single" w:sz="8" w:space="0" w:color="auto"/>
              <w:left w:val="single" w:sz="4" w:space="0" w:color="auto"/>
              <w:bottom w:val="single" w:sz="4" w:space="0" w:color="auto"/>
              <w:right w:val="single" w:sz="4" w:space="0" w:color="auto"/>
            </w:tcBorders>
          </w:tcPr>
          <w:p w14:paraId="06F2D78B" w14:textId="77777777" w:rsidR="009021F1" w:rsidRPr="0029055B" w:rsidRDefault="009021F1" w:rsidP="00E637E3">
            <w:pPr>
              <w:rPr>
                <w:szCs w:val="21"/>
              </w:rPr>
            </w:pPr>
            <w:r w:rsidRPr="0029055B">
              <w:rPr>
                <w:szCs w:val="21"/>
              </w:rPr>
              <w:t>Bovidae</w:t>
            </w:r>
          </w:p>
        </w:tc>
        <w:tc>
          <w:tcPr>
            <w:tcW w:w="2565" w:type="dxa"/>
            <w:tcBorders>
              <w:top w:val="single" w:sz="8" w:space="0" w:color="auto"/>
              <w:left w:val="single" w:sz="4" w:space="0" w:color="auto"/>
              <w:bottom w:val="single" w:sz="4" w:space="0" w:color="auto"/>
              <w:right w:val="single" w:sz="4" w:space="0" w:color="auto"/>
            </w:tcBorders>
            <w:noWrap/>
            <w:vAlign w:val="bottom"/>
          </w:tcPr>
          <w:p w14:paraId="2D43B1A9" w14:textId="77777777" w:rsidR="009021F1" w:rsidRPr="0029055B" w:rsidRDefault="009021F1" w:rsidP="00E637E3">
            <w:pPr>
              <w:rPr>
                <w:szCs w:val="21"/>
              </w:rPr>
            </w:pPr>
            <w:r w:rsidRPr="0029055B">
              <w:rPr>
                <w:szCs w:val="21"/>
              </w:rPr>
              <w:t>Aepyceros melanpus</w:t>
            </w:r>
          </w:p>
        </w:tc>
        <w:tc>
          <w:tcPr>
            <w:tcW w:w="2693" w:type="dxa"/>
            <w:tcBorders>
              <w:top w:val="single" w:sz="8" w:space="0" w:color="auto"/>
              <w:left w:val="nil"/>
              <w:bottom w:val="single" w:sz="4" w:space="0" w:color="auto"/>
              <w:right w:val="single" w:sz="4" w:space="0" w:color="auto"/>
            </w:tcBorders>
          </w:tcPr>
          <w:p w14:paraId="190362C9" w14:textId="77777777" w:rsidR="009021F1" w:rsidRPr="0029055B" w:rsidRDefault="009021F1" w:rsidP="00E637E3">
            <w:pPr>
              <w:rPr>
                <w:szCs w:val="21"/>
              </w:rPr>
            </w:pPr>
          </w:p>
        </w:tc>
        <w:tc>
          <w:tcPr>
            <w:tcW w:w="1375" w:type="dxa"/>
            <w:tcBorders>
              <w:top w:val="single" w:sz="8" w:space="0" w:color="auto"/>
              <w:left w:val="nil"/>
              <w:bottom w:val="single" w:sz="4" w:space="0" w:color="auto"/>
              <w:right w:val="single" w:sz="4" w:space="0" w:color="auto"/>
            </w:tcBorders>
          </w:tcPr>
          <w:p w14:paraId="31F169F3" w14:textId="77777777" w:rsidR="009021F1" w:rsidRPr="0029055B" w:rsidRDefault="009021F1" w:rsidP="00E637E3">
            <w:pPr>
              <w:rPr>
                <w:szCs w:val="21"/>
              </w:rPr>
            </w:pPr>
          </w:p>
        </w:tc>
        <w:tc>
          <w:tcPr>
            <w:tcW w:w="1481" w:type="dxa"/>
            <w:tcBorders>
              <w:top w:val="single" w:sz="8" w:space="0" w:color="auto"/>
              <w:left w:val="nil"/>
              <w:bottom w:val="single" w:sz="4" w:space="0" w:color="auto"/>
              <w:right w:val="single" w:sz="4" w:space="0" w:color="auto"/>
            </w:tcBorders>
          </w:tcPr>
          <w:p w14:paraId="157A5A35" w14:textId="77777777" w:rsidR="009021F1" w:rsidRPr="0029055B" w:rsidRDefault="009021F1" w:rsidP="00E637E3">
            <w:pPr>
              <w:rPr>
                <w:szCs w:val="21"/>
              </w:rPr>
            </w:pPr>
            <w:r w:rsidRPr="0029055B">
              <w:rPr>
                <w:szCs w:val="21"/>
              </w:rPr>
              <w:t>-</w:t>
            </w:r>
          </w:p>
        </w:tc>
        <w:tc>
          <w:tcPr>
            <w:tcW w:w="2814" w:type="dxa"/>
            <w:tcBorders>
              <w:top w:val="single" w:sz="8" w:space="0" w:color="auto"/>
              <w:left w:val="nil"/>
              <w:bottom w:val="single" w:sz="4" w:space="0" w:color="auto"/>
              <w:right w:val="single" w:sz="8" w:space="0" w:color="auto"/>
            </w:tcBorders>
          </w:tcPr>
          <w:p w14:paraId="11E36F4F" w14:textId="77777777" w:rsidR="009021F1" w:rsidRPr="0029055B" w:rsidRDefault="009021F1" w:rsidP="00E637E3">
            <w:pPr>
              <w:rPr>
                <w:szCs w:val="21"/>
              </w:rPr>
            </w:pPr>
          </w:p>
        </w:tc>
      </w:tr>
      <w:tr w:rsidR="009021F1" w:rsidRPr="0029055B" w14:paraId="471E5266" w14:textId="77777777" w:rsidTr="00E637E3">
        <w:trPr>
          <w:trHeight w:val="318"/>
        </w:trPr>
        <w:tc>
          <w:tcPr>
            <w:tcW w:w="1834" w:type="dxa"/>
            <w:tcBorders>
              <w:top w:val="single" w:sz="4" w:space="0" w:color="auto"/>
              <w:left w:val="single" w:sz="8" w:space="0" w:color="auto"/>
              <w:bottom w:val="single" w:sz="4" w:space="0" w:color="auto"/>
              <w:right w:val="single" w:sz="4" w:space="0" w:color="auto"/>
            </w:tcBorders>
            <w:vAlign w:val="bottom"/>
          </w:tcPr>
          <w:p w14:paraId="5F1860D6" w14:textId="77777777" w:rsidR="009021F1" w:rsidRPr="0029055B" w:rsidRDefault="009021F1" w:rsidP="00E637E3">
            <w:pPr>
              <w:rPr>
                <w:szCs w:val="21"/>
              </w:rPr>
            </w:pPr>
            <w:r w:rsidRPr="0029055B">
              <w:rPr>
                <w:szCs w:val="21"/>
              </w:rPr>
              <w:t>Artidactyla</w:t>
            </w:r>
          </w:p>
        </w:tc>
        <w:tc>
          <w:tcPr>
            <w:tcW w:w="1767" w:type="dxa"/>
            <w:tcBorders>
              <w:top w:val="nil"/>
              <w:left w:val="single" w:sz="4" w:space="0" w:color="auto"/>
              <w:bottom w:val="single" w:sz="4" w:space="0" w:color="auto"/>
              <w:right w:val="single" w:sz="4" w:space="0" w:color="auto"/>
            </w:tcBorders>
            <w:vAlign w:val="bottom"/>
          </w:tcPr>
          <w:p w14:paraId="4547C7C3" w14:textId="77777777" w:rsidR="009021F1" w:rsidRPr="0029055B" w:rsidRDefault="009021F1" w:rsidP="00E637E3">
            <w:pPr>
              <w:rPr>
                <w:szCs w:val="21"/>
              </w:rPr>
            </w:pPr>
            <w:r w:rsidRPr="0029055B">
              <w:rPr>
                <w:szCs w:val="21"/>
              </w:rPr>
              <w:t>Bovidae</w:t>
            </w:r>
          </w:p>
        </w:tc>
        <w:tc>
          <w:tcPr>
            <w:tcW w:w="2565" w:type="dxa"/>
            <w:tcBorders>
              <w:top w:val="nil"/>
              <w:left w:val="single" w:sz="4" w:space="0" w:color="auto"/>
              <w:bottom w:val="single" w:sz="4" w:space="0" w:color="auto"/>
              <w:right w:val="single" w:sz="4" w:space="0" w:color="auto"/>
            </w:tcBorders>
            <w:noWrap/>
            <w:vAlign w:val="bottom"/>
          </w:tcPr>
          <w:p w14:paraId="6DC74B65" w14:textId="77777777" w:rsidR="009021F1" w:rsidRPr="0029055B" w:rsidRDefault="009021F1" w:rsidP="00E637E3">
            <w:pPr>
              <w:rPr>
                <w:szCs w:val="21"/>
              </w:rPr>
            </w:pPr>
          </w:p>
        </w:tc>
        <w:tc>
          <w:tcPr>
            <w:tcW w:w="2693" w:type="dxa"/>
            <w:tcBorders>
              <w:top w:val="nil"/>
              <w:left w:val="nil"/>
              <w:bottom w:val="single" w:sz="4" w:space="0" w:color="auto"/>
              <w:right w:val="single" w:sz="4" w:space="0" w:color="auto"/>
            </w:tcBorders>
            <w:vAlign w:val="bottom"/>
          </w:tcPr>
          <w:p w14:paraId="11A44D71" w14:textId="77777777" w:rsidR="009021F1" w:rsidRPr="0029055B" w:rsidRDefault="009021F1" w:rsidP="00E637E3">
            <w:pPr>
              <w:rPr>
                <w:szCs w:val="21"/>
              </w:rPr>
            </w:pPr>
            <w:r w:rsidRPr="0029055B">
              <w:rPr>
                <w:szCs w:val="21"/>
              </w:rPr>
              <w:t>Vache, Boeuf</w:t>
            </w:r>
          </w:p>
        </w:tc>
        <w:tc>
          <w:tcPr>
            <w:tcW w:w="1375" w:type="dxa"/>
            <w:tcBorders>
              <w:top w:val="nil"/>
              <w:left w:val="nil"/>
              <w:bottom w:val="single" w:sz="4" w:space="0" w:color="auto"/>
              <w:right w:val="single" w:sz="4" w:space="0" w:color="auto"/>
            </w:tcBorders>
          </w:tcPr>
          <w:p w14:paraId="673BA351" w14:textId="77777777" w:rsidR="009021F1" w:rsidRPr="0029055B" w:rsidRDefault="009021F1" w:rsidP="00E637E3">
            <w:pPr>
              <w:rPr>
                <w:szCs w:val="21"/>
              </w:rPr>
            </w:pPr>
          </w:p>
        </w:tc>
        <w:tc>
          <w:tcPr>
            <w:tcW w:w="1481" w:type="dxa"/>
            <w:tcBorders>
              <w:top w:val="nil"/>
              <w:left w:val="nil"/>
              <w:bottom w:val="single" w:sz="4" w:space="0" w:color="auto"/>
              <w:right w:val="single" w:sz="4" w:space="0" w:color="auto"/>
            </w:tcBorders>
          </w:tcPr>
          <w:p w14:paraId="75F54E43" w14:textId="77777777" w:rsidR="009021F1" w:rsidRPr="0029055B" w:rsidRDefault="009021F1" w:rsidP="00E637E3">
            <w:pPr>
              <w:rPr>
                <w:szCs w:val="21"/>
              </w:rPr>
            </w:pPr>
          </w:p>
        </w:tc>
        <w:tc>
          <w:tcPr>
            <w:tcW w:w="2814" w:type="dxa"/>
            <w:tcBorders>
              <w:top w:val="nil"/>
              <w:left w:val="nil"/>
              <w:bottom w:val="single" w:sz="4" w:space="0" w:color="auto"/>
              <w:right w:val="single" w:sz="8" w:space="0" w:color="auto"/>
            </w:tcBorders>
          </w:tcPr>
          <w:p w14:paraId="5EC8597F" w14:textId="77777777" w:rsidR="009021F1" w:rsidRPr="0029055B" w:rsidRDefault="009021F1" w:rsidP="00E637E3">
            <w:pPr>
              <w:rPr>
                <w:szCs w:val="21"/>
              </w:rPr>
            </w:pPr>
          </w:p>
        </w:tc>
      </w:tr>
      <w:tr w:rsidR="009021F1" w:rsidRPr="0029055B" w14:paraId="268F14A4" w14:textId="77777777" w:rsidTr="00E637E3">
        <w:trPr>
          <w:trHeight w:val="318"/>
        </w:trPr>
        <w:tc>
          <w:tcPr>
            <w:tcW w:w="1834" w:type="dxa"/>
            <w:tcBorders>
              <w:top w:val="nil"/>
              <w:left w:val="single" w:sz="8" w:space="0" w:color="auto"/>
              <w:bottom w:val="single" w:sz="4" w:space="0" w:color="auto"/>
              <w:right w:val="single" w:sz="4" w:space="0" w:color="auto"/>
            </w:tcBorders>
          </w:tcPr>
          <w:p w14:paraId="714BF728" w14:textId="77777777" w:rsidR="009021F1" w:rsidRPr="0029055B" w:rsidRDefault="009021F1" w:rsidP="00E637E3">
            <w:pPr>
              <w:rPr>
                <w:szCs w:val="21"/>
              </w:rPr>
            </w:pPr>
            <w:r w:rsidRPr="0029055B">
              <w:rPr>
                <w:szCs w:val="21"/>
              </w:rPr>
              <w:t>Artiodactyla</w:t>
            </w:r>
          </w:p>
        </w:tc>
        <w:tc>
          <w:tcPr>
            <w:tcW w:w="1767" w:type="dxa"/>
            <w:tcBorders>
              <w:top w:val="nil"/>
              <w:left w:val="single" w:sz="4" w:space="0" w:color="auto"/>
              <w:bottom w:val="single" w:sz="4" w:space="0" w:color="auto"/>
              <w:right w:val="single" w:sz="4" w:space="0" w:color="auto"/>
            </w:tcBorders>
          </w:tcPr>
          <w:p w14:paraId="0A55AD26" w14:textId="77777777" w:rsidR="009021F1" w:rsidRPr="0029055B" w:rsidRDefault="009021F1" w:rsidP="00E637E3">
            <w:pPr>
              <w:rPr>
                <w:szCs w:val="21"/>
              </w:rPr>
            </w:pPr>
            <w:r w:rsidRPr="0029055B">
              <w:rPr>
                <w:szCs w:val="21"/>
              </w:rPr>
              <w:t>Ovidae</w:t>
            </w:r>
          </w:p>
        </w:tc>
        <w:tc>
          <w:tcPr>
            <w:tcW w:w="2565" w:type="dxa"/>
            <w:tcBorders>
              <w:top w:val="nil"/>
              <w:left w:val="single" w:sz="4" w:space="0" w:color="auto"/>
              <w:bottom w:val="single" w:sz="4" w:space="0" w:color="auto"/>
              <w:right w:val="single" w:sz="4" w:space="0" w:color="auto"/>
            </w:tcBorders>
          </w:tcPr>
          <w:p w14:paraId="13E048C6" w14:textId="77777777" w:rsidR="009021F1" w:rsidRPr="0029055B" w:rsidRDefault="009021F1" w:rsidP="00E637E3">
            <w:pPr>
              <w:rPr>
                <w:szCs w:val="21"/>
              </w:rPr>
            </w:pPr>
            <w:r w:rsidRPr="0029055B">
              <w:rPr>
                <w:szCs w:val="21"/>
              </w:rPr>
              <w:t>Antilopes</w:t>
            </w:r>
          </w:p>
        </w:tc>
        <w:tc>
          <w:tcPr>
            <w:tcW w:w="2693" w:type="dxa"/>
            <w:tcBorders>
              <w:top w:val="nil"/>
              <w:left w:val="nil"/>
              <w:bottom w:val="single" w:sz="4" w:space="0" w:color="auto"/>
              <w:right w:val="single" w:sz="4" w:space="0" w:color="auto"/>
            </w:tcBorders>
          </w:tcPr>
          <w:p w14:paraId="1E548FBA" w14:textId="77777777" w:rsidR="009021F1" w:rsidRPr="0029055B" w:rsidRDefault="009021F1" w:rsidP="00E637E3">
            <w:pPr>
              <w:rPr>
                <w:szCs w:val="21"/>
              </w:rPr>
            </w:pPr>
            <w:r w:rsidRPr="0029055B">
              <w:rPr>
                <w:szCs w:val="21"/>
              </w:rPr>
              <w:t>Antilope, Impongo</w:t>
            </w:r>
          </w:p>
        </w:tc>
        <w:tc>
          <w:tcPr>
            <w:tcW w:w="1375" w:type="dxa"/>
            <w:tcBorders>
              <w:top w:val="nil"/>
              <w:left w:val="nil"/>
              <w:bottom w:val="single" w:sz="4" w:space="0" w:color="auto"/>
              <w:right w:val="single" w:sz="4" w:space="0" w:color="auto"/>
            </w:tcBorders>
          </w:tcPr>
          <w:p w14:paraId="2D1A8419" w14:textId="77777777" w:rsidR="009021F1" w:rsidRPr="0029055B" w:rsidRDefault="009021F1" w:rsidP="00E637E3">
            <w:pPr>
              <w:rPr>
                <w:szCs w:val="21"/>
              </w:rPr>
            </w:pPr>
          </w:p>
        </w:tc>
        <w:tc>
          <w:tcPr>
            <w:tcW w:w="1481" w:type="dxa"/>
            <w:tcBorders>
              <w:top w:val="nil"/>
              <w:left w:val="nil"/>
              <w:bottom w:val="single" w:sz="4" w:space="0" w:color="auto"/>
              <w:right w:val="single" w:sz="4" w:space="0" w:color="auto"/>
            </w:tcBorders>
          </w:tcPr>
          <w:p w14:paraId="6D4A8F64" w14:textId="77777777" w:rsidR="009021F1" w:rsidRPr="0029055B" w:rsidRDefault="009021F1" w:rsidP="00E637E3">
            <w:pPr>
              <w:rPr>
                <w:szCs w:val="21"/>
              </w:rPr>
            </w:pPr>
            <w:r w:rsidRPr="0029055B">
              <w:rPr>
                <w:szCs w:val="21"/>
              </w:rPr>
              <w:t>-</w:t>
            </w:r>
          </w:p>
        </w:tc>
        <w:tc>
          <w:tcPr>
            <w:tcW w:w="2814" w:type="dxa"/>
            <w:tcBorders>
              <w:top w:val="nil"/>
              <w:left w:val="nil"/>
              <w:bottom w:val="single" w:sz="4" w:space="0" w:color="auto"/>
              <w:right w:val="single" w:sz="8" w:space="0" w:color="auto"/>
            </w:tcBorders>
          </w:tcPr>
          <w:p w14:paraId="606BE723" w14:textId="77777777" w:rsidR="009021F1" w:rsidRPr="0029055B" w:rsidRDefault="009021F1" w:rsidP="00E637E3">
            <w:pPr>
              <w:rPr>
                <w:szCs w:val="21"/>
              </w:rPr>
            </w:pPr>
            <w:r w:rsidRPr="0029055B">
              <w:rPr>
                <w:szCs w:val="21"/>
              </w:rPr>
              <w:t>Fha</w:t>
            </w:r>
          </w:p>
        </w:tc>
      </w:tr>
      <w:tr w:rsidR="009021F1" w:rsidRPr="0029055B" w14:paraId="7A167AA1" w14:textId="77777777" w:rsidTr="00E637E3">
        <w:trPr>
          <w:trHeight w:val="318"/>
        </w:trPr>
        <w:tc>
          <w:tcPr>
            <w:tcW w:w="1834" w:type="dxa"/>
            <w:tcBorders>
              <w:top w:val="nil"/>
              <w:left w:val="single" w:sz="8" w:space="0" w:color="auto"/>
              <w:bottom w:val="single" w:sz="4" w:space="0" w:color="auto"/>
              <w:right w:val="single" w:sz="4" w:space="0" w:color="auto"/>
            </w:tcBorders>
          </w:tcPr>
          <w:p w14:paraId="5A1792C5" w14:textId="77777777" w:rsidR="009021F1" w:rsidRPr="0029055B" w:rsidRDefault="009021F1" w:rsidP="00E637E3">
            <w:pPr>
              <w:rPr>
                <w:szCs w:val="21"/>
              </w:rPr>
            </w:pPr>
            <w:r w:rsidRPr="0029055B">
              <w:rPr>
                <w:szCs w:val="21"/>
              </w:rPr>
              <w:t>Carnivora</w:t>
            </w:r>
          </w:p>
        </w:tc>
        <w:tc>
          <w:tcPr>
            <w:tcW w:w="1767" w:type="dxa"/>
            <w:tcBorders>
              <w:top w:val="nil"/>
              <w:left w:val="single" w:sz="4" w:space="0" w:color="auto"/>
              <w:bottom w:val="single" w:sz="4" w:space="0" w:color="auto"/>
              <w:right w:val="single" w:sz="4" w:space="0" w:color="auto"/>
            </w:tcBorders>
          </w:tcPr>
          <w:p w14:paraId="55667C70" w14:textId="77777777" w:rsidR="009021F1" w:rsidRPr="0029055B" w:rsidRDefault="009021F1" w:rsidP="00E637E3">
            <w:pPr>
              <w:rPr>
                <w:szCs w:val="21"/>
              </w:rPr>
            </w:pPr>
            <w:r w:rsidRPr="0029055B">
              <w:rPr>
                <w:szCs w:val="21"/>
              </w:rPr>
              <w:t>Canidae</w:t>
            </w:r>
          </w:p>
        </w:tc>
        <w:tc>
          <w:tcPr>
            <w:tcW w:w="2565" w:type="dxa"/>
            <w:tcBorders>
              <w:top w:val="nil"/>
              <w:left w:val="single" w:sz="4" w:space="0" w:color="auto"/>
              <w:bottom w:val="single" w:sz="4" w:space="0" w:color="auto"/>
              <w:right w:val="single" w:sz="4" w:space="0" w:color="auto"/>
            </w:tcBorders>
            <w:vAlign w:val="bottom"/>
          </w:tcPr>
          <w:p w14:paraId="57C0AB9A" w14:textId="77777777" w:rsidR="009021F1" w:rsidRPr="0029055B" w:rsidRDefault="009021F1" w:rsidP="00E637E3">
            <w:pPr>
              <w:rPr>
                <w:szCs w:val="21"/>
              </w:rPr>
            </w:pPr>
            <w:r w:rsidRPr="0029055B">
              <w:rPr>
                <w:szCs w:val="21"/>
              </w:rPr>
              <w:t>Canis canis</w:t>
            </w:r>
          </w:p>
        </w:tc>
        <w:tc>
          <w:tcPr>
            <w:tcW w:w="2693" w:type="dxa"/>
            <w:tcBorders>
              <w:top w:val="nil"/>
              <w:left w:val="nil"/>
              <w:bottom w:val="single" w:sz="4" w:space="0" w:color="auto"/>
              <w:right w:val="single" w:sz="4" w:space="0" w:color="auto"/>
            </w:tcBorders>
          </w:tcPr>
          <w:p w14:paraId="158427C3" w14:textId="77777777" w:rsidR="009021F1" w:rsidRPr="0029055B" w:rsidRDefault="009021F1" w:rsidP="00E637E3">
            <w:pPr>
              <w:rPr>
                <w:szCs w:val="21"/>
              </w:rPr>
            </w:pPr>
            <w:r w:rsidRPr="0029055B">
              <w:rPr>
                <w:szCs w:val="21"/>
              </w:rPr>
              <w:t>Chien, Imbwa</w:t>
            </w:r>
          </w:p>
        </w:tc>
        <w:tc>
          <w:tcPr>
            <w:tcW w:w="1375" w:type="dxa"/>
            <w:tcBorders>
              <w:top w:val="nil"/>
              <w:left w:val="nil"/>
              <w:bottom w:val="single" w:sz="4" w:space="0" w:color="auto"/>
              <w:right w:val="single" w:sz="4" w:space="0" w:color="auto"/>
            </w:tcBorders>
          </w:tcPr>
          <w:p w14:paraId="09F61E23"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41EEE454" w14:textId="77777777" w:rsidR="009021F1" w:rsidRPr="0029055B" w:rsidRDefault="009021F1" w:rsidP="00E637E3">
            <w:pPr>
              <w:rPr>
                <w:szCs w:val="21"/>
              </w:rPr>
            </w:pPr>
            <w:r w:rsidRPr="0029055B">
              <w:rPr>
                <w:szCs w:val="21"/>
              </w:rPr>
              <w:t>-</w:t>
            </w:r>
          </w:p>
        </w:tc>
        <w:tc>
          <w:tcPr>
            <w:tcW w:w="2814" w:type="dxa"/>
            <w:tcBorders>
              <w:top w:val="nil"/>
              <w:left w:val="nil"/>
              <w:bottom w:val="single" w:sz="4" w:space="0" w:color="auto"/>
              <w:right w:val="single" w:sz="8" w:space="0" w:color="auto"/>
            </w:tcBorders>
          </w:tcPr>
          <w:p w14:paraId="04BA4C87" w14:textId="77777777" w:rsidR="009021F1" w:rsidRPr="0029055B" w:rsidRDefault="009021F1" w:rsidP="00E637E3">
            <w:pPr>
              <w:rPr>
                <w:szCs w:val="21"/>
              </w:rPr>
            </w:pPr>
            <w:r w:rsidRPr="0029055B">
              <w:rPr>
                <w:szCs w:val="21"/>
              </w:rPr>
              <w:t>Domestiqué</w:t>
            </w:r>
          </w:p>
        </w:tc>
      </w:tr>
      <w:tr w:rsidR="009021F1" w:rsidRPr="0029055B" w14:paraId="3CED04FD" w14:textId="77777777" w:rsidTr="00E637E3">
        <w:trPr>
          <w:trHeight w:val="318"/>
        </w:trPr>
        <w:tc>
          <w:tcPr>
            <w:tcW w:w="1834" w:type="dxa"/>
            <w:tcBorders>
              <w:top w:val="nil"/>
              <w:left w:val="single" w:sz="8" w:space="0" w:color="auto"/>
              <w:bottom w:val="single" w:sz="4" w:space="0" w:color="auto"/>
              <w:right w:val="single" w:sz="4" w:space="0" w:color="auto"/>
            </w:tcBorders>
          </w:tcPr>
          <w:p w14:paraId="4B6B7D68" w14:textId="77777777" w:rsidR="009021F1" w:rsidRPr="0029055B" w:rsidRDefault="009021F1" w:rsidP="00E637E3">
            <w:pPr>
              <w:rPr>
                <w:szCs w:val="21"/>
              </w:rPr>
            </w:pPr>
            <w:r w:rsidRPr="0029055B">
              <w:rPr>
                <w:szCs w:val="21"/>
              </w:rPr>
              <w:t>Artiodactyla</w:t>
            </w:r>
          </w:p>
        </w:tc>
        <w:tc>
          <w:tcPr>
            <w:tcW w:w="1767" w:type="dxa"/>
            <w:tcBorders>
              <w:top w:val="nil"/>
              <w:left w:val="single" w:sz="4" w:space="0" w:color="auto"/>
              <w:bottom w:val="single" w:sz="4" w:space="0" w:color="auto"/>
              <w:right w:val="single" w:sz="4" w:space="0" w:color="auto"/>
            </w:tcBorders>
            <w:vAlign w:val="bottom"/>
          </w:tcPr>
          <w:p w14:paraId="75B6CFA0" w14:textId="77777777" w:rsidR="009021F1" w:rsidRPr="0029055B" w:rsidRDefault="009021F1" w:rsidP="00E637E3">
            <w:pPr>
              <w:rPr>
                <w:szCs w:val="21"/>
              </w:rPr>
            </w:pPr>
            <w:r w:rsidRPr="0029055B">
              <w:rPr>
                <w:szCs w:val="21"/>
              </w:rPr>
              <w:t>Capridae</w:t>
            </w:r>
          </w:p>
        </w:tc>
        <w:tc>
          <w:tcPr>
            <w:tcW w:w="2565" w:type="dxa"/>
            <w:tcBorders>
              <w:top w:val="nil"/>
              <w:left w:val="single" w:sz="4" w:space="0" w:color="auto"/>
              <w:bottom w:val="single" w:sz="4" w:space="0" w:color="auto"/>
              <w:right w:val="single" w:sz="4" w:space="0" w:color="auto"/>
            </w:tcBorders>
            <w:vAlign w:val="bottom"/>
          </w:tcPr>
          <w:p w14:paraId="01482CF5" w14:textId="77777777" w:rsidR="009021F1" w:rsidRPr="0029055B" w:rsidRDefault="009021F1" w:rsidP="00E637E3">
            <w:pPr>
              <w:rPr>
                <w:szCs w:val="21"/>
              </w:rPr>
            </w:pPr>
            <w:r w:rsidRPr="0029055B">
              <w:rPr>
                <w:szCs w:val="21"/>
              </w:rPr>
              <w:t>Capra aegagnus</w:t>
            </w:r>
          </w:p>
        </w:tc>
        <w:tc>
          <w:tcPr>
            <w:tcW w:w="2693" w:type="dxa"/>
            <w:tcBorders>
              <w:top w:val="nil"/>
              <w:left w:val="nil"/>
              <w:bottom w:val="single" w:sz="4" w:space="0" w:color="auto"/>
              <w:right w:val="single" w:sz="4" w:space="0" w:color="auto"/>
            </w:tcBorders>
            <w:vAlign w:val="bottom"/>
          </w:tcPr>
          <w:p w14:paraId="48F161FC" w14:textId="77777777" w:rsidR="009021F1" w:rsidRPr="0029055B" w:rsidRDefault="009021F1" w:rsidP="00E637E3">
            <w:pPr>
              <w:rPr>
                <w:szCs w:val="21"/>
              </w:rPr>
            </w:pPr>
            <w:r w:rsidRPr="0029055B">
              <w:rPr>
                <w:szCs w:val="21"/>
              </w:rPr>
              <w:t>Chèvre, Ihene, Buzi</w:t>
            </w:r>
          </w:p>
        </w:tc>
        <w:tc>
          <w:tcPr>
            <w:tcW w:w="1375" w:type="dxa"/>
            <w:tcBorders>
              <w:top w:val="nil"/>
              <w:left w:val="nil"/>
              <w:bottom w:val="single" w:sz="4" w:space="0" w:color="auto"/>
              <w:right w:val="single" w:sz="4" w:space="0" w:color="auto"/>
            </w:tcBorders>
          </w:tcPr>
          <w:p w14:paraId="6F48D61D"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584B0C79" w14:textId="77777777" w:rsidR="009021F1" w:rsidRPr="0029055B" w:rsidRDefault="009021F1" w:rsidP="00E637E3">
            <w:pPr>
              <w:rPr>
                <w:szCs w:val="21"/>
              </w:rPr>
            </w:pPr>
            <w:r w:rsidRPr="0029055B">
              <w:rPr>
                <w:szCs w:val="21"/>
              </w:rPr>
              <w:t>-</w:t>
            </w:r>
          </w:p>
        </w:tc>
        <w:tc>
          <w:tcPr>
            <w:tcW w:w="2814" w:type="dxa"/>
            <w:tcBorders>
              <w:top w:val="nil"/>
              <w:left w:val="nil"/>
              <w:bottom w:val="single" w:sz="4" w:space="0" w:color="auto"/>
              <w:right w:val="single" w:sz="8" w:space="0" w:color="auto"/>
            </w:tcBorders>
          </w:tcPr>
          <w:p w14:paraId="522A5433" w14:textId="77777777" w:rsidR="009021F1" w:rsidRPr="0029055B" w:rsidRDefault="009021F1" w:rsidP="00E637E3">
            <w:pPr>
              <w:rPr>
                <w:szCs w:val="21"/>
              </w:rPr>
            </w:pPr>
            <w:r w:rsidRPr="0029055B">
              <w:rPr>
                <w:szCs w:val="21"/>
              </w:rPr>
              <w:t>Domestiqué</w:t>
            </w:r>
          </w:p>
        </w:tc>
      </w:tr>
      <w:tr w:rsidR="009021F1" w:rsidRPr="0029055B" w14:paraId="375906C3" w14:textId="77777777" w:rsidTr="00E637E3">
        <w:trPr>
          <w:trHeight w:val="318"/>
        </w:trPr>
        <w:tc>
          <w:tcPr>
            <w:tcW w:w="1834" w:type="dxa"/>
            <w:tcBorders>
              <w:top w:val="nil"/>
              <w:left w:val="single" w:sz="8" w:space="0" w:color="auto"/>
              <w:bottom w:val="single" w:sz="4" w:space="0" w:color="auto"/>
              <w:right w:val="single" w:sz="4" w:space="0" w:color="auto"/>
            </w:tcBorders>
          </w:tcPr>
          <w:p w14:paraId="6BE53D4B" w14:textId="77777777" w:rsidR="009021F1" w:rsidRPr="0029055B" w:rsidRDefault="009021F1" w:rsidP="00E637E3">
            <w:pPr>
              <w:rPr>
                <w:szCs w:val="21"/>
              </w:rPr>
            </w:pPr>
            <w:r w:rsidRPr="0029055B">
              <w:rPr>
                <w:szCs w:val="21"/>
              </w:rPr>
              <w:t>Primates</w:t>
            </w:r>
          </w:p>
        </w:tc>
        <w:tc>
          <w:tcPr>
            <w:tcW w:w="1767" w:type="dxa"/>
            <w:tcBorders>
              <w:top w:val="nil"/>
              <w:left w:val="single" w:sz="4" w:space="0" w:color="auto"/>
              <w:bottom w:val="single" w:sz="4" w:space="0" w:color="auto"/>
              <w:right w:val="single" w:sz="4" w:space="0" w:color="auto"/>
            </w:tcBorders>
          </w:tcPr>
          <w:p w14:paraId="546D48DA" w14:textId="77777777" w:rsidR="009021F1" w:rsidRPr="0029055B" w:rsidRDefault="009021F1" w:rsidP="00E637E3">
            <w:pPr>
              <w:rPr>
                <w:szCs w:val="21"/>
              </w:rPr>
            </w:pPr>
            <w:r w:rsidRPr="0029055B">
              <w:rPr>
                <w:szCs w:val="21"/>
              </w:rPr>
              <w:t>Cercopithecidae</w:t>
            </w:r>
          </w:p>
        </w:tc>
        <w:tc>
          <w:tcPr>
            <w:tcW w:w="2565" w:type="dxa"/>
            <w:tcBorders>
              <w:top w:val="nil"/>
              <w:left w:val="single" w:sz="4" w:space="0" w:color="auto"/>
              <w:bottom w:val="single" w:sz="4" w:space="0" w:color="auto"/>
              <w:right w:val="single" w:sz="4" w:space="0" w:color="auto"/>
            </w:tcBorders>
          </w:tcPr>
          <w:p w14:paraId="7F90AE88" w14:textId="77777777" w:rsidR="009021F1" w:rsidRPr="0029055B" w:rsidRDefault="009021F1" w:rsidP="00E637E3">
            <w:pPr>
              <w:rPr>
                <w:szCs w:val="21"/>
              </w:rPr>
            </w:pPr>
            <w:r w:rsidRPr="0029055B">
              <w:rPr>
                <w:szCs w:val="21"/>
              </w:rPr>
              <w:t>Cercopithecus dentii</w:t>
            </w:r>
          </w:p>
        </w:tc>
        <w:tc>
          <w:tcPr>
            <w:tcW w:w="2693" w:type="dxa"/>
            <w:tcBorders>
              <w:top w:val="nil"/>
              <w:left w:val="nil"/>
              <w:bottom w:val="single" w:sz="4" w:space="0" w:color="auto"/>
              <w:right w:val="single" w:sz="4" w:space="0" w:color="auto"/>
            </w:tcBorders>
          </w:tcPr>
          <w:p w14:paraId="6C84815A" w14:textId="77777777" w:rsidR="009021F1" w:rsidRPr="0029055B" w:rsidRDefault="009021F1" w:rsidP="00E637E3">
            <w:pPr>
              <w:rPr>
                <w:szCs w:val="21"/>
              </w:rPr>
            </w:pPr>
            <w:r w:rsidRPr="0029055B">
              <w:rPr>
                <w:szCs w:val="21"/>
              </w:rPr>
              <w:t>Singe mona de dent</w:t>
            </w:r>
          </w:p>
        </w:tc>
        <w:tc>
          <w:tcPr>
            <w:tcW w:w="1375" w:type="dxa"/>
            <w:tcBorders>
              <w:top w:val="nil"/>
              <w:left w:val="nil"/>
              <w:bottom w:val="single" w:sz="4" w:space="0" w:color="auto"/>
              <w:right w:val="single" w:sz="4" w:space="0" w:color="auto"/>
            </w:tcBorders>
          </w:tcPr>
          <w:p w14:paraId="326353E8"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2796A8A6" w14:textId="77777777" w:rsidR="009021F1" w:rsidRPr="0029055B" w:rsidRDefault="009021F1" w:rsidP="00E637E3">
            <w:pPr>
              <w:rPr>
                <w:szCs w:val="21"/>
              </w:rPr>
            </w:pPr>
            <w:r w:rsidRPr="0029055B">
              <w:rPr>
                <w:szCs w:val="21"/>
              </w:rPr>
              <w:t>-</w:t>
            </w:r>
          </w:p>
        </w:tc>
        <w:tc>
          <w:tcPr>
            <w:tcW w:w="2814" w:type="dxa"/>
            <w:tcBorders>
              <w:top w:val="nil"/>
              <w:left w:val="nil"/>
              <w:bottom w:val="single" w:sz="4" w:space="0" w:color="auto"/>
              <w:right w:val="single" w:sz="8" w:space="0" w:color="auto"/>
            </w:tcBorders>
          </w:tcPr>
          <w:p w14:paraId="59D0B913" w14:textId="77777777" w:rsidR="009021F1" w:rsidRPr="0029055B" w:rsidRDefault="009021F1" w:rsidP="00E637E3">
            <w:pPr>
              <w:rPr>
                <w:szCs w:val="21"/>
              </w:rPr>
            </w:pPr>
            <w:r w:rsidRPr="0029055B">
              <w:rPr>
                <w:szCs w:val="21"/>
              </w:rPr>
              <w:t>Fm, for plaines</w:t>
            </w:r>
          </w:p>
        </w:tc>
      </w:tr>
      <w:tr w:rsidR="009021F1" w:rsidRPr="0029055B" w14:paraId="70732003" w14:textId="77777777" w:rsidTr="00E637E3">
        <w:trPr>
          <w:trHeight w:val="318"/>
        </w:trPr>
        <w:tc>
          <w:tcPr>
            <w:tcW w:w="1834" w:type="dxa"/>
            <w:tcBorders>
              <w:top w:val="nil"/>
              <w:left w:val="single" w:sz="8" w:space="0" w:color="auto"/>
              <w:bottom w:val="single" w:sz="4" w:space="0" w:color="auto"/>
              <w:right w:val="single" w:sz="4" w:space="0" w:color="auto"/>
            </w:tcBorders>
          </w:tcPr>
          <w:p w14:paraId="6D654027" w14:textId="77777777" w:rsidR="009021F1" w:rsidRPr="0029055B" w:rsidRDefault="009021F1" w:rsidP="00E637E3">
            <w:pPr>
              <w:rPr>
                <w:szCs w:val="21"/>
              </w:rPr>
            </w:pPr>
            <w:r w:rsidRPr="0029055B">
              <w:rPr>
                <w:szCs w:val="21"/>
              </w:rPr>
              <w:t>Primates</w:t>
            </w:r>
          </w:p>
        </w:tc>
        <w:tc>
          <w:tcPr>
            <w:tcW w:w="1767" w:type="dxa"/>
            <w:tcBorders>
              <w:top w:val="nil"/>
              <w:left w:val="single" w:sz="4" w:space="0" w:color="auto"/>
              <w:bottom w:val="single" w:sz="4" w:space="0" w:color="auto"/>
              <w:right w:val="single" w:sz="4" w:space="0" w:color="auto"/>
            </w:tcBorders>
          </w:tcPr>
          <w:p w14:paraId="605B05C9" w14:textId="77777777" w:rsidR="009021F1" w:rsidRPr="0029055B" w:rsidRDefault="009021F1" w:rsidP="00E637E3">
            <w:pPr>
              <w:rPr>
                <w:szCs w:val="21"/>
              </w:rPr>
            </w:pPr>
            <w:r w:rsidRPr="0029055B">
              <w:rPr>
                <w:szCs w:val="21"/>
              </w:rPr>
              <w:t>Cercopithecidae</w:t>
            </w:r>
          </w:p>
        </w:tc>
        <w:tc>
          <w:tcPr>
            <w:tcW w:w="2565" w:type="dxa"/>
            <w:tcBorders>
              <w:top w:val="nil"/>
              <w:left w:val="single" w:sz="4" w:space="0" w:color="auto"/>
              <w:bottom w:val="single" w:sz="4" w:space="0" w:color="auto"/>
              <w:right w:val="single" w:sz="4" w:space="0" w:color="auto"/>
            </w:tcBorders>
          </w:tcPr>
          <w:p w14:paraId="1EF9E655" w14:textId="77777777" w:rsidR="009021F1" w:rsidRPr="0029055B" w:rsidRDefault="009021F1" w:rsidP="00E637E3">
            <w:pPr>
              <w:rPr>
                <w:szCs w:val="21"/>
              </w:rPr>
            </w:pPr>
            <w:r w:rsidRPr="0029055B">
              <w:rPr>
                <w:szCs w:val="21"/>
              </w:rPr>
              <w:t>Cercopithecus doggetti</w:t>
            </w:r>
          </w:p>
        </w:tc>
        <w:tc>
          <w:tcPr>
            <w:tcW w:w="2693" w:type="dxa"/>
            <w:tcBorders>
              <w:top w:val="nil"/>
              <w:left w:val="nil"/>
              <w:bottom w:val="single" w:sz="4" w:space="0" w:color="auto"/>
              <w:right w:val="single" w:sz="4" w:space="0" w:color="auto"/>
            </w:tcBorders>
          </w:tcPr>
          <w:p w14:paraId="74061D72" w14:textId="77777777" w:rsidR="009021F1" w:rsidRPr="0029055B" w:rsidRDefault="009021F1" w:rsidP="00E637E3">
            <w:pPr>
              <w:rPr>
                <w:szCs w:val="21"/>
              </w:rPr>
            </w:pPr>
            <w:r w:rsidRPr="0029055B">
              <w:rPr>
                <w:szCs w:val="21"/>
              </w:rPr>
              <w:t>Singe argenté, Nkieremo</w:t>
            </w:r>
          </w:p>
        </w:tc>
        <w:tc>
          <w:tcPr>
            <w:tcW w:w="1375" w:type="dxa"/>
            <w:tcBorders>
              <w:top w:val="nil"/>
              <w:left w:val="nil"/>
              <w:bottom w:val="single" w:sz="4" w:space="0" w:color="auto"/>
              <w:right w:val="single" w:sz="4" w:space="0" w:color="auto"/>
            </w:tcBorders>
          </w:tcPr>
          <w:p w14:paraId="29A4A510"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2C5D1A06" w14:textId="77777777" w:rsidR="009021F1" w:rsidRPr="0029055B" w:rsidRDefault="009021F1" w:rsidP="00E637E3">
            <w:pPr>
              <w:rPr>
                <w:szCs w:val="21"/>
              </w:rPr>
            </w:pPr>
            <w:r w:rsidRPr="0029055B">
              <w:rPr>
                <w:szCs w:val="21"/>
              </w:rPr>
              <w:t>-</w:t>
            </w:r>
          </w:p>
        </w:tc>
        <w:tc>
          <w:tcPr>
            <w:tcW w:w="2814" w:type="dxa"/>
            <w:tcBorders>
              <w:top w:val="nil"/>
              <w:left w:val="nil"/>
              <w:bottom w:val="single" w:sz="4" w:space="0" w:color="auto"/>
              <w:right w:val="single" w:sz="8" w:space="0" w:color="auto"/>
            </w:tcBorders>
          </w:tcPr>
          <w:p w14:paraId="0ABC2F66" w14:textId="77777777" w:rsidR="009021F1" w:rsidRPr="0029055B" w:rsidRDefault="009021F1" w:rsidP="00E637E3">
            <w:pPr>
              <w:rPr>
                <w:szCs w:val="21"/>
              </w:rPr>
            </w:pPr>
            <w:r w:rsidRPr="0029055B">
              <w:rPr>
                <w:szCs w:val="21"/>
              </w:rPr>
              <w:t>For-plaines</w:t>
            </w:r>
          </w:p>
        </w:tc>
      </w:tr>
      <w:tr w:rsidR="009021F1" w:rsidRPr="0029055B" w14:paraId="031594FE" w14:textId="77777777" w:rsidTr="00E637E3">
        <w:trPr>
          <w:trHeight w:val="318"/>
        </w:trPr>
        <w:tc>
          <w:tcPr>
            <w:tcW w:w="1834" w:type="dxa"/>
            <w:tcBorders>
              <w:top w:val="single" w:sz="4" w:space="0" w:color="auto"/>
              <w:left w:val="single" w:sz="8" w:space="0" w:color="auto"/>
              <w:bottom w:val="single" w:sz="4" w:space="0" w:color="auto"/>
              <w:right w:val="single" w:sz="4" w:space="0" w:color="auto"/>
            </w:tcBorders>
          </w:tcPr>
          <w:p w14:paraId="0BA009A1" w14:textId="77777777" w:rsidR="009021F1" w:rsidRPr="0029055B" w:rsidRDefault="009021F1" w:rsidP="00E637E3">
            <w:pPr>
              <w:rPr>
                <w:szCs w:val="21"/>
              </w:rPr>
            </w:pPr>
            <w:r w:rsidRPr="0029055B">
              <w:rPr>
                <w:szCs w:val="21"/>
              </w:rPr>
              <w:t>Primates</w:t>
            </w:r>
          </w:p>
        </w:tc>
        <w:tc>
          <w:tcPr>
            <w:tcW w:w="1767" w:type="dxa"/>
            <w:tcBorders>
              <w:top w:val="nil"/>
              <w:left w:val="single" w:sz="4" w:space="0" w:color="auto"/>
              <w:bottom w:val="single" w:sz="4" w:space="0" w:color="auto"/>
              <w:right w:val="single" w:sz="4" w:space="0" w:color="auto"/>
            </w:tcBorders>
          </w:tcPr>
          <w:p w14:paraId="159E26C1" w14:textId="77777777" w:rsidR="009021F1" w:rsidRPr="0029055B" w:rsidRDefault="009021F1" w:rsidP="00E637E3">
            <w:pPr>
              <w:rPr>
                <w:szCs w:val="21"/>
              </w:rPr>
            </w:pPr>
            <w:r w:rsidRPr="0029055B">
              <w:rPr>
                <w:szCs w:val="21"/>
              </w:rPr>
              <w:t>Cercopithecidae</w:t>
            </w:r>
          </w:p>
        </w:tc>
        <w:tc>
          <w:tcPr>
            <w:tcW w:w="2565" w:type="dxa"/>
            <w:tcBorders>
              <w:top w:val="nil"/>
              <w:left w:val="single" w:sz="4" w:space="0" w:color="auto"/>
              <w:bottom w:val="single" w:sz="4" w:space="0" w:color="auto"/>
              <w:right w:val="single" w:sz="4" w:space="0" w:color="auto"/>
            </w:tcBorders>
          </w:tcPr>
          <w:p w14:paraId="6F41759B" w14:textId="77777777" w:rsidR="009021F1" w:rsidRPr="0029055B" w:rsidRDefault="009021F1" w:rsidP="00E637E3">
            <w:pPr>
              <w:rPr>
                <w:szCs w:val="21"/>
              </w:rPr>
            </w:pPr>
            <w:r w:rsidRPr="0029055B">
              <w:rPr>
                <w:szCs w:val="21"/>
              </w:rPr>
              <w:t>Cercopithecus kandti</w:t>
            </w:r>
          </w:p>
        </w:tc>
        <w:tc>
          <w:tcPr>
            <w:tcW w:w="2693" w:type="dxa"/>
            <w:tcBorders>
              <w:top w:val="nil"/>
              <w:left w:val="nil"/>
              <w:bottom w:val="single" w:sz="4" w:space="0" w:color="auto"/>
              <w:right w:val="single" w:sz="4" w:space="0" w:color="auto"/>
            </w:tcBorders>
          </w:tcPr>
          <w:p w14:paraId="3D499DB1" w14:textId="77777777" w:rsidR="009021F1" w:rsidRPr="0029055B" w:rsidRDefault="009021F1" w:rsidP="00E637E3">
            <w:pPr>
              <w:rPr>
                <w:szCs w:val="21"/>
              </w:rPr>
            </w:pPr>
            <w:r w:rsidRPr="0029055B">
              <w:rPr>
                <w:szCs w:val="21"/>
              </w:rPr>
              <w:t>Singe doré, Nkieremo</w:t>
            </w:r>
          </w:p>
        </w:tc>
        <w:tc>
          <w:tcPr>
            <w:tcW w:w="1375" w:type="dxa"/>
            <w:tcBorders>
              <w:top w:val="nil"/>
              <w:left w:val="nil"/>
              <w:bottom w:val="single" w:sz="4" w:space="0" w:color="auto"/>
              <w:right w:val="single" w:sz="4" w:space="0" w:color="auto"/>
            </w:tcBorders>
          </w:tcPr>
          <w:p w14:paraId="4C3355CF"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686FBD1D" w14:textId="77777777" w:rsidR="009021F1" w:rsidRPr="0029055B" w:rsidRDefault="009021F1" w:rsidP="00E637E3">
            <w:pPr>
              <w:rPr>
                <w:szCs w:val="21"/>
              </w:rPr>
            </w:pPr>
            <w:r w:rsidRPr="0029055B">
              <w:rPr>
                <w:szCs w:val="21"/>
              </w:rPr>
              <w:t>65 familles</w:t>
            </w:r>
          </w:p>
        </w:tc>
        <w:tc>
          <w:tcPr>
            <w:tcW w:w="2814" w:type="dxa"/>
            <w:tcBorders>
              <w:top w:val="nil"/>
              <w:left w:val="nil"/>
              <w:bottom w:val="single" w:sz="8" w:space="0" w:color="auto"/>
              <w:right w:val="single" w:sz="8" w:space="0" w:color="auto"/>
            </w:tcBorders>
          </w:tcPr>
          <w:p w14:paraId="21B6F65A" w14:textId="77777777" w:rsidR="009021F1" w:rsidRPr="0029055B" w:rsidRDefault="009021F1" w:rsidP="00E637E3">
            <w:pPr>
              <w:rPr>
                <w:szCs w:val="21"/>
              </w:rPr>
            </w:pPr>
            <w:r w:rsidRPr="0029055B">
              <w:rPr>
                <w:szCs w:val="21"/>
              </w:rPr>
              <w:t>Fs, Fha</w:t>
            </w:r>
          </w:p>
        </w:tc>
      </w:tr>
      <w:tr w:rsidR="009021F1" w:rsidRPr="0029055B" w14:paraId="13E87CE3" w14:textId="77777777" w:rsidTr="00E637E3">
        <w:trPr>
          <w:trHeight w:val="318"/>
        </w:trPr>
        <w:tc>
          <w:tcPr>
            <w:tcW w:w="1834" w:type="dxa"/>
            <w:tcBorders>
              <w:top w:val="nil"/>
              <w:left w:val="single" w:sz="8" w:space="0" w:color="auto"/>
              <w:bottom w:val="single" w:sz="4" w:space="0" w:color="auto"/>
              <w:right w:val="single" w:sz="4" w:space="0" w:color="auto"/>
            </w:tcBorders>
            <w:vAlign w:val="bottom"/>
          </w:tcPr>
          <w:p w14:paraId="6E0193E3" w14:textId="77777777" w:rsidR="009021F1" w:rsidRPr="0029055B" w:rsidRDefault="009021F1" w:rsidP="00E637E3">
            <w:pPr>
              <w:rPr>
                <w:szCs w:val="21"/>
              </w:rPr>
            </w:pPr>
            <w:r w:rsidRPr="0029055B">
              <w:rPr>
                <w:szCs w:val="21"/>
              </w:rPr>
              <w:t>Primates</w:t>
            </w:r>
          </w:p>
        </w:tc>
        <w:tc>
          <w:tcPr>
            <w:tcW w:w="1767" w:type="dxa"/>
            <w:tcBorders>
              <w:top w:val="nil"/>
              <w:left w:val="single" w:sz="4" w:space="0" w:color="auto"/>
              <w:bottom w:val="single" w:sz="4" w:space="0" w:color="auto"/>
              <w:right w:val="single" w:sz="4" w:space="0" w:color="auto"/>
            </w:tcBorders>
            <w:vAlign w:val="bottom"/>
          </w:tcPr>
          <w:p w14:paraId="4D934D79" w14:textId="77777777" w:rsidR="009021F1" w:rsidRPr="0029055B" w:rsidRDefault="009021F1" w:rsidP="00E637E3">
            <w:pPr>
              <w:rPr>
                <w:szCs w:val="21"/>
              </w:rPr>
            </w:pPr>
            <w:r w:rsidRPr="0029055B">
              <w:rPr>
                <w:szCs w:val="21"/>
              </w:rPr>
              <w:t>Cercopithecidae</w:t>
            </w:r>
          </w:p>
        </w:tc>
        <w:tc>
          <w:tcPr>
            <w:tcW w:w="2565" w:type="dxa"/>
            <w:tcBorders>
              <w:top w:val="nil"/>
              <w:left w:val="single" w:sz="4" w:space="0" w:color="auto"/>
              <w:bottom w:val="single" w:sz="4" w:space="0" w:color="auto"/>
              <w:right w:val="single" w:sz="4" w:space="0" w:color="auto"/>
            </w:tcBorders>
            <w:vAlign w:val="bottom"/>
          </w:tcPr>
          <w:p w14:paraId="270FFBFE" w14:textId="77777777" w:rsidR="009021F1" w:rsidRPr="0029055B" w:rsidRDefault="009021F1" w:rsidP="00E637E3">
            <w:pPr>
              <w:rPr>
                <w:szCs w:val="21"/>
              </w:rPr>
            </w:pPr>
            <w:r w:rsidRPr="0029055B">
              <w:rPr>
                <w:szCs w:val="21"/>
              </w:rPr>
              <w:t>Cercopithecus mittis</w:t>
            </w:r>
          </w:p>
        </w:tc>
        <w:tc>
          <w:tcPr>
            <w:tcW w:w="2693" w:type="dxa"/>
            <w:tcBorders>
              <w:top w:val="nil"/>
              <w:left w:val="nil"/>
              <w:bottom w:val="single" w:sz="4" w:space="0" w:color="auto"/>
              <w:right w:val="single" w:sz="4" w:space="0" w:color="auto"/>
            </w:tcBorders>
            <w:vAlign w:val="bottom"/>
          </w:tcPr>
          <w:p w14:paraId="2B42FB5E" w14:textId="77777777" w:rsidR="009021F1" w:rsidRPr="0029055B" w:rsidRDefault="009021F1" w:rsidP="00E637E3">
            <w:pPr>
              <w:rPr>
                <w:szCs w:val="21"/>
              </w:rPr>
            </w:pPr>
            <w:r w:rsidRPr="0029055B">
              <w:rPr>
                <w:szCs w:val="21"/>
              </w:rPr>
              <w:t>Singe de diadème</w:t>
            </w:r>
          </w:p>
        </w:tc>
        <w:tc>
          <w:tcPr>
            <w:tcW w:w="1375" w:type="dxa"/>
            <w:tcBorders>
              <w:top w:val="nil"/>
              <w:left w:val="nil"/>
              <w:bottom w:val="single" w:sz="4" w:space="0" w:color="auto"/>
              <w:right w:val="single" w:sz="4" w:space="0" w:color="auto"/>
            </w:tcBorders>
          </w:tcPr>
          <w:p w14:paraId="43B2128D"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217E770D" w14:textId="77777777" w:rsidR="009021F1" w:rsidRPr="0029055B" w:rsidRDefault="009021F1" w:rsidP="00E637E3">
            <w:pPr>
              <w:rPr>
                <w:szCs w:val="21"/>
              </w:rPr>
            </w:pPr>
            <w:r w:rsidRPr="0029055B">
              <w:rPr>
                <w:szCs w:val="21"/>
              </w:rPr>
              <w:t>-</w:t>
            </w:r>
          </w:p>
        </w:tc>
        <w:tc>
          <w:tcPr>
            <w:tcW w:w="2814" w:type="dxa"/>
            <w:tcBorders>
              <w:top w:val="single" w:sz="8" w:space="0" w:color="auto"/>
              <w:left w:val="nil"/>
              <w:bottom w:val="single" w:sz="4" w:space="0" w:color="auto"/>
              <w:right w:val="single" w:sz="8" w:space="0" w:color="auto"/>
            </w:tcBorders>
          </w:tcPr>
          <w:p w14:paraId="0BAA00AC" w14:textId="77777777" w:rsidR="009021F1" w:rsidRPr="0029055B" w:rsidRDefault="009021F1" w:rsidP="00E637E3">
            <w:pPr>
              <w:rPr>
                <w:szCs w:val="21"/>
              </w:rPr>
            </w:pPr>
            <w:r w:rsidRPr="0029055B">
              <w:rPr>
                <w:szCs w:val="21"/>
              </w:rPr>
              <w:t>Gal for, Fha</w:t>
            </w:r>
          </w:p>
        </w:tc>
      </w:tr>
      <w:tr w:rsidR="009021F1" w:rsidRPr="0029055B" w14:paraId="00D40A41" w14:textId="77777777" w:rsidTr="00E637E3">
        <w:trPr>
          <w:trHeight w:val="318"/>
        </w:trPr>
        <w:tc>
          <w:tcPr>
            <w:tcW w:w="1834" w:type="dxa"/>
            <w:tcBorders>
              <w:top w:val="nil"/>
              <w:left w:val="single" w:sz="8" w:space="0" w:color="auto"/>
              <w:bottom w:val="single" w:sz="4" w:space="0" w:color="auto"/>
              <w:right w:val="single" w:sz="4" w:space="0" w:color="auto"/>
            </w:tcBorders>
          </w:tcPr>
          <w:p w14:paraId="590BBEFE" w14:textId="77777777" w:rsidR="009021F1" w:rsidRPr="0029055B" w:rsidRDefault="009021F1" w:rsidP="00E637E3">
            <w:pPr>
              <w:rPr>
                <w:szCs w:val="21"/>
              </w:rPr>
            </w:pPr>
            <w:r w:rsidRPr="0029055B">
              <w:rPr>
                <w:szCs w:val="21"/>
              </w:rPr>
              <w:t>Primates</w:t>
            </w:r>
          </w:p>
        </w:tc>
        <w:tc>
          <w:tcPr>
            <w:tcW w:w="1767" w:type="dxa"/>
            <w:tcBorders>
              <w:top w:val="nil"/>
              <w:left w:val="single" w:sz="4" w:space="0" w:color="auto"/>
              <w:bottom w:val="single" w:sz="4" w:space="0" w:color="auto"/>
              <w:right w:val="single" w:sz="4" w:space="0" w:color="auto"/>
            </w:tcBorders>
          </w:tcPr>
          <w:p w14:paraId="32AB0EC2" w14:textId="77777777" w:rsidR="009021F1" w:rsidRPr="0029055B" w:rsidRDefault="009021F1" w:rsidP="00E637E3">
            <w:pPr>
              <w:rPr>
                <w:szCs w:val="21"/>
              </w:rPr>
            </w:pPr>
            <w:r w:rsidRPr="0029055B">
              <w:rPr>
                <w:szCs w:val="21"/>
              </w:rPr>
              <w:t>Cercopithecidae</w:t>
            </w:r>
          </w:p>
        </w:tc>
        <w:tc>
          <w:tcPr>
            <w:tcW w:w="2565" w:type="dxa"/>
            <w:tcBorders>
              <w:top w:val="nil"/>
              <w:left w:val="single" w:sz="4" w:space="0" w:color="auto"/>
              <w:bottom w:val="single" w:sz="4" w:space="0" w:color="auto"/>
              <w:right w:val="single" w:sz="4" w:space="0" w:color="auto"/>
            </w:tcBorders>
          </w:tcPr>
          <w:p w14:paraId="67620550" w14:textId="77777777" w:rsidR="009021F1" w:rsidRPr="0029055B" w:rsidRDefault="009021F1" w:rsidP="00E637E3">
            <w:pPr>
              <w:rPr>
                <w:szCs w:val="21"/>
              </w:rPr>
            </w:pPr>
            <w:r w:rsidRPr="0029055B">
              <w:rPr>
                <w:szCs w:val="21"/>
              </w:rPr>
              <w:t>Cercopithecus neglectus</w:t>
            </w:r>
          </w:p>
        </w:tc>
        <w:tc>
          <w:tcPr>
            <w:tcW w:w="2693" w:type="dxa"/>
            <w:tcBorders>
              <w:top w:val="nil"/>
              <w:left w:val="nil"/>
              <w:bottom w:val="single" w:sz="4" w:space="0" w:color="auto"/>
              <w:right w:val="single" w:sz="4" w:space="0" w:color="auto"/>
            </w:tcBorders>
            <w:vAlign w:val="bottom"/>
          </w:tcPr>
          <w:p w14:paraId="3672A9ED" w14:textId="77777777" w:rsidR="009021F1" w:rsidRPr="0029055B" w:rsidRDefault="009021F1" w:rsidP="00E637E3">
            <w:pPr>
              <w:rPr>
                <w:szCs w:val="21"/>
              </w:rPr>
            </w:pPr>
            <w:r w:rsidRPr="0029055B">
              <w:rPr>
                <w:szCs w:val="21"/>
              </w:rPr>
              <w:t>Singe de Brazza ou noir</w:t>
            </w:r>
          </w:p>
        </w:tc>
        <w:tc>
          <w:tcPr>
            <w:tcW w:w="1375" w:type="dxa"/>
            <w:tcBorders>
              <w:top w:val="nil"/>
              <w:left w:val="nil"/>
              <w:bottom w:val="single" w:sz="4" w:space="0" w:color="auto"/>
              <w:right w:val="single" w:sz="4" w:space="0" w:color="auto"/>
            </w:tcBorders>
          </w:tcPr>
          <w:p w14:paraId="67EDB719"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2596174B" w14:textId="77777777" w:rsidR="009021F1" w:rsidRPr="0029055B" w:rsidRDefault="009021F1" w:rsidP="00E637E3">
            <w:pPr>
              <w:rPr>
                <w:szCs w:val="21"/>
              </w:rPr>
            </w:pPr>
            <w:r w:rsidRPr="0029055B">
              <w:rPr>
                <w:szCs w:val="21"/>
              </w:rPr>
              <w:t>-</w:t>
            </w:r>
          </w:p>
        </w:tc>
        <w:tc>
          <w:tcPr>
            <w:tcW w:w="2814" w:type="dxa"/>
            <w:tcBorders>
              <w:top w:val="nil"/>
              <w:left w:val="nil"/>
              <w:bottom w:val="single" w:sz="4" w:space="0" w:color="auto"/>
              <w:right w:val="single" w:sz="8" w:space="0" w:color="auto"/>
            </w:tcBorders>
          </w:tcPr>
          <w:p w14:paraId="0A087097" w14:textId="77777777" w:rsidR="009021F1" w:rsidRPr="0029055B" w:rsidRDefault="009021F1" w:rsidP="00E637E3">
            <w:pPr>
              <w:rPr>
                <w:szCs w:val="21"/>
              </w:rPr>
            </w:pPr>
            <w:r w:rsidRPr="0029055B">
              <w:rPr>
                <w:szCs w:val="21"/>
              </w:rPr>
              <w:t>For Plaines</w:t>
            </w:r>
          </w:p>
        </w:tc>
      </w:tr>
      <w:tr w:rsidR="009021F1" w:rsidRPr="0029055B" w14:paraId="6D5F1C98" w14:textId="77777777" w:rsidTr="00E637E3">
        <w:trPr>
          <w:trHeight w:val="318"/>
        </w:trPr>
        <w:tc>
          <w:tcPr>
            <w:tcW w:w="1834" w:type="dxa"/>
            <w:tcBorders>
              <w:top w:val="nil"/>
              <w:left w:val="single" w:sz="8" w:space="0" w:color="auto"/>
              <w:bottom w:val="single" w:sz="4" w:space="0" w:color="auto"/>
              <w:right w:val="single" w:sz="4" w:space="0" w:color="auto"/>
            </w:tcBorders>
            <w:vAlign w:val="bottom"/>
          </w:tcPr>
          <w:p w14:paraId="619A1855" w14:textId="77777777" w:rsidR="009021F1" w:rsidRPr="0029055B" w:rsidRDefault="009021F1" w:rsidP="00E637E3">
            <w:pPr>
              <w:rPr>
                <w:szCs w:val="21"/>
              </w:rPr>
            </w:pPr>
            <w:r w:rsidRPr="0029055B">
              <w:rPr>
                <w:szCs w:val="21"/>
              </w:rPr>
              <w:t>Artiodactyla</w:t>
            </w:r>
          </w:p>
        </w:tc>
        <w:tc>
          <w:tcPr>
            <w:tcW w:w="1767" w:type="dxa"/>
            <w:tcBorders>
              <w:top w:val="nil"/>
              <w:left w:val="single" w:sz="4" w:space="0" w:color="auto"/>
              <w:bottom w:val="single" w:sz="4" w:space="0" w:color="auto"/>
              <w:right w:val="single" w:sz="4" w:space="0" w:color="auto"/>
            </w:tcBorders>
            <w:vAlign w:val="bottom"/>
          </w:tcPr>
          <w:p w14:paraId="6FA461F9" w14:textId="77777777" w:rsidR="009021F1" w:rsidRPr="0029055B" w:rsidRDefault="009021F1" w:rsidP="00E637E3">
            <w:pPr>
              <w:rPr>
                <w:szCs w:val="21"/>
              </w:rPr>
            </w:pPr>
            <w:r w:rsidRPr="0029055B">
              <w:rPr>
                <w:szCs w:val="21"/>
              </w:rPr>
              <w:t>Bovidae</w:t>
            </w:r>
          </w:p>
        </w:tc>
        <w:tc>
          <w:tcPr>
            <w:tcW w:w="2565" w:type="dxa"/>
            <w:tcBorders>
              <w:top w:val="nil"/>
              <w:left w:val="single" w:sz="4" w:space="0" w:color="auto"/>
              <w:bottom w:val="single" w:sz="4" w:space="0" w:color="auto"/>
              <w:right w:val="single" w:sz="4" w:space="0" w:color="auto"/>
            </w:tcBorders>
            <w:vAlign w:val="bottom"/>
          </w:tcPr>
          <w:p w14:paraId="104F84BF" w14:textId="77777777" w:rsidR="009021F1" w:rsidRPr="0029055B" w:rsidRDefault="009021F1" w:rsidP="00E637E3">
            <w:pPr>
              <w:rPr>
                <w:szCs w:val="21"/>
              </w:rPr>
            </w:pPr>
            <w:r w:rsidRPr="0029055B">
              <w:rPr>
                <w:szCs w:val="21"/>
              </w:rPr>
              <w:t>Cephalophus nigrifrons</w:t>
            </w:r>
          </w:p>
        </w:tc>
        <w:tc>
          <w:tcPr>
            <w:tcW w:w="2693" w:type="dxa"/>
            <w:tcBorders>
              <w:top w:val="nil"/>
              <w:left w:val="nil"/>
              <w:bottom w:val="single" w:sz="4" w:space="0" w:color="auto"/>
              <w:right w:val="single" w:sz="4" w:space="0" w:color="auto"/>
            </w:tcBorders>
            <w:vAlign w:val="bottom"/>
          </w:tcPr>
          <w:p w14:paraId="55A44D75" w14:textId="77777777" w:rsidR="009021F1" w:rsidRPr="0029055B" w:rsidRDefault="009021F1" w:rsidP="00E637E3">
            <w:pPr>
              <w:rPr>
                <w:szCs w:val="21"/>
              </w:rPr>
            </w:pPr>
            <w:r w:rsidRPr="0029055B">
              <w:rPr>
                <w:szCs w:val="21"/>
              </w:rPr>
              <w:t>Antilopes</w:t>
            </w:r>
          </w:p>
        </w:tc>
        <w:tc>
          <w:tcPr>
            <w:tcW w:w="1375" w:type="dxa"/>
            <w:tcBorders>
              <w:top w:val="nil"/>
              <w:left w:val="nil"/>
              <w:bottom w:val="single" w:sz="4" w:space="0" w:color="auto"/>
              <w:right w:val="single" w:sz="4" w:space="0" w:color="auto"/>
            </w:tcBorders>
          </w:tcPr>
          <w:p w14:paraId="1B3C5294"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7438BFC5" w14:textId="77777777" w:rsidR="009021F1" w:rsidRPr="0029055B" w:rsidRDefault="009021F1" w:rsidP="00E637E3">
            <w:pPr>
              <w:rPr>
                <w:szCs w:val="21"/>
              </w:rPr>
            </w:pPr>
            <w:r w:rsidRPr="0029055B">
              <w:rPr>
                <w:szCs w:val="21"/>
              </w:rPr>
              <w:t>-</w:t>
            </w:r>
          </w:p>
        </w:tc>
        <w:tc>
          <w:tcPr>
            <w:tcW w:w="2814" w:type="dxa"/>
            <w:tcBorders>
              <w:top w:val="nil"/>
              <w:left w:val="nil"/>
              <w:bottom w:val="single" w:sz="4" w:space="0" w:color="auto"/>
              <w:right w:val="single" w:sz="8" w:space="0" w:color="auto"/>
            </w:tcBorders>
          </w:tcPr>
          <w:p w14:paraId="4021D7C3" w14:textId="77777777" w:rsidR="009021F1" w:rsidRPr="0029055B" w:rsidRDefault="009021F1" w:rsidP="00E637E3">
            <w:pPr>
              <w:rPr>
                <w:szCs w:val="21"/>
              </w:rPr>
            </w:pPr>
            <w:r w:rsidRPr="0029055B">
              <w:rPr>
                <w:szCs w:val="21"/>
              </w:rPr>
              <w:t>Fm</w:t>
            </w:r>
          </w:p>
        </w:tc>
      </w:tr>
      <w:tr w:rsidR="009021F1" w:rsidRPr="0029055B" w14:paraId="04C2682B" w14:textId="77777777" w:rsidTr="00E637E3">
        <w:trPr>
          <w:trHeight w:val="318"/>
        </w:trPr>
        <w:tc>
          <w:tcPr>
            <w:tcW w:w="1834" w:type="dxa"/>
            <w:tcBorders>
              <w:top w:val="nil"/>
              <w:left w:val="single" w:sz="8" w:space="0" w:color="auto"/>
              <w:bottom w:val="single" w:sz="4" w:space="0" w:color="auto"/>
              <w:right w:val="single" w:sz="4" w:space="0" w:color="auto"/>
            </w:tcBorders>
            <w:vAlign w:val="bottom"/>
          </w:tcPr>
          <w:p w14:paraId="74D8DB5E" w14:textId="77777777" w:rsidR="009021F1" w:rsidRPr="0029055B" w:rsidRDefault="009021F1" w:rsidP="00E637E3">
            <w:pPr>
              <w:rPr>
                <w:szCs w:val="21"/>
              </w:rPr>
            </w:pPr>
            <w:r w:rsidRPr="0029055B">
              <w:rPr>
                <w:szCs w:val="21"/>
              </w:rPr>
              <w:t>Artiodactyla</w:t>
            </w:r>
          </w:p>
        </w:tc>
        <w:tc>
          <w:tcPr>
            <w:tcW w:w="1767" w:type="dxa"/>
            <w:tcBorders>
              <w:top w:val="nil"/>
              <w:left w:val="single" w:sz="4" w:space="0" w:color="auto"/>
              <w:bottom w:val="single" w:sz="4" w:space="0" w:color="auto"/>
              <w:right w:val="single" w:sz="4" w:space="0" w:color="auto"/>
            </w:tcBorders>
            <w:vAlign w:val="bottom"/>
          </w:tcPr>
          <w:p w14:paraId="3E649192" w14:textId="77777777" w:rsidR="009021F1" w:rsidRPr="0029055B" w:rsidRDefault="009021F1" w:rsidP="00E637E3">
            <w:pPr>
              <w:rPr>
                <w:szCs w:val="21"/>
              </w:rPr>
            </w:pPr>
            <w:r w:rsidRPr="0029055B">
              <w:rPr>
                <w:szCs w:val="21"/>
              </w:rPr>
              <w:t>Bovidae</w:t>
            </w:r>
          </w:p>
        </w:tc>
        <w:tc>
          <w:tcPr>
            <w:tcW w:w="2565" w:type="dxa"/>
            <w:tcBorders>
              <w:top w:val="nil"/>
              <w:left w:val="single" w:sz="4" w:space="0" w:color="auto"/>
              <w:bottom w:val="single" w:sz="4" w:space="0" w:color="auto"/>
              <w:right w:val="single" w:sz="4" w:space="0" w:color="auto"/>
            </w:tcBorders>
            <w:vAlign w:val="bottom"/>
          </w:tcPr>
          <w:p w14:paraId="33316196" w14:textId="77777777" w:rsidR="009021F1" w:rsidRPr="0029055B" w:rsidRDefault="009021F1" w:rsidP="00E637E3">
            <w:pPr>
              <w:rPr>
                <w:szCs w:val="21"/>
              </w:rPr>
            </w:pPr>
            <w:r w:rsidRPr="0029055B">
              <w:rPr>
                <w:szCs w:val="21"/>
              </w:rPr>
              <w:t>Cephalophus deffasa</w:t>
            </w:r>
          </w:p>
        </w:tc>
        <w:tc>
          <w:tcPr>
            <w:tcW w:w="2693" w:type="dxa"/>
            <w:tcBorders>
              <w:top w:val="nil"/>
              <w:left w:val="nil"/>
              <w:bottom w:val="single" w:sz="4" w:space="0" w:color="auto"/>
              <w:right w:val="single" w:sz="4" w:space="0" w:color="auto"/>
            </w:tcBorders>
            <w:vAlign w:val="bottom"/>
          </w:tcPr>
          <w:p w14:paraId="08797F47" w14:textId="77777777" w:rsidR="009021F1" w:rsidRPr="0029055B" w:rsidRDefault="009021F1" w:rsidP="00E637E3">
            <w:pPr>
              <w:rPr>
                <w:szCs w:val="21"/>
              </w:rPr>
            </w:pPr>
            <w:r w:rsidRPr="0029055B">
              <w:rPr>
                <w:szCs w:val="21"/>
              </w:rPr>
              <w:t>Antilopes, Cob de Fassa</w:t>
            </w:r>
          </w:p>
        </w:tc>
        <w:tc>
          <w:tcPr>
            <w:tcW w:w="1375" w:type="dxa"/>
            <w:tcBorders>
              <w:top w:val="nil"/>
              <w:left w:val="nil"/>
              <w:bottom w:val="single" w:sz="4" w:space="0" w:color="auto"/>
              <w:right w:val="single" w:sz="4" w:space="0" w:color="auto"/>
            </w:tcBorders>
          </w:tcPr>
          <w:p w14:paraId="38147AB8"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04B4B9F7" w14:textId="77777777" w:rsidR="009021F1" w:rsidRPr="0029055B" w:rsidRDefault="009021F1" w:rsidP="00E637E3">
            <w:pPr>
              <w:rPr>
                <w:szCs w:val="21"/>
              </w:rPr>
            </w:pPr>
            <w:r w:rsidRPr="0029055B">
              <w:rPr>
                <w:szCs w:val="21"/>
              </w:rPr>
              <w:t>-</w:t>
            </w:r>
          </w:p>
        </w:tc>
        <w:tc>
          <w:tcPr>
            <w:tcW w:w="2814" w:type="dxa"/>
            <w:tcBorders>
              <w:top w:val="nil"/>
              <w:left w:val="nil"/>
              <w:bottom w:val="single" w:sz="4" w:space="0" w:color="auto"/>
              <w:right w:val="single" w:sz="8" w:space="0" w:color="auto"/>
            </w:tcBorders>
          </w:tcPr>
          <w:p w14:paraId="244EF965" w14:textId="77777777" w:rsidR="009021F1" w:rsidRPr="0029055B" w:rsidRDefault="009021F1" w:rsidP="00E637E3">
            <w:pPr>
              <w:rPr>
                <w:szCs w:val="21"/>
              </w:rPr>
            </w:pPr>
            <w:r w:rsidRPr="0029055B">
              <w:rPr>
                <w:szCs w:val="21"/>
              </w:rPr>
              <w:t>Fh</w:t>
            </w:r>
          </w:p>
        </w:tc>
      </w:tr>
      <w:tr w:rsidR="009021F1" w:rsidRPr="0029055B" w14:paraId="070AB63B" w14:textId="77777777" w:rsidTr="00E637E3">
        <w:trPr>
          <w:trHeight w:val="318"/>
        </w:trPr>
        <w:tc>
          <w:tcPr>
            <w:tcW w:w="1834" w:type="dxa"/>
            <w:tcBorders>
              <w:top w:val="nil"/>
              <w:left w:val="single" w:sz="8" w:space="0" w:color="auto"/>
              <w:bottom w:val="single" w:sz="4" w:space="0" w:color="auto"/>
              <w:right w:val="single" w:sz="4" w:space="0" w:color="auto"/>
            </w:tcBorders>
            <w:vAlign w:val="bottom"/>
          </w:tcPr>
          <w:p w14:paraId="3122F03F" w14:textId="77777777" w:rsidR="009021F1" w:rsidRPr="0029055B" w:rsidRDefault="009021F1" w:rsidP="00E637E3">
            <w:pPr>
              <w:rPr>
                <w:szCs w:val="21"/>
              </w:rPr>
            </w:pPr>
            <w:r w:rsidRPr="0029055B">
              <w:rPr>
                <w:szCs w:val="21"/>
              </w:rPr>
              <w:t>Artiodactyla</w:t>
            </w:r>
          </w:p>
        </w:tc>
        <w:tc>
          <w:tcPr>
            <w:tcW w:w="1767" w:type="dxa"/>
            <w:tcBorders>
              <w:top w:val="nil"/>
              <w:left w:val="single" w:sz="4" w:space="0" w:color="auto"/>
              <w:bottom w:val="single" w:sz="4" w:space="0" w:color="auto"/>
              <w:right w:val="single" w:sz="4" w:space="0" w:color="auto"/>
            </w:tcBorders>
            <w:vAlign w:val="bottom"/>
          </w:tcPr>
          <w:p w14:paraId="24676453" w14:textId="77777777" w:rsidR="009021F1" w:rsidRPr="0029055B" w:rsidRDefault="009021F1" w:rsidP="00E637E3">
            <w:pPr>
              <w:rPr>
                <w:szCs w:val="21"/>
              </w:rPr>
            </w:pPr>
            <w:r w:rsidRPr="0029055B">
              <w:rPr>
                <w:szCs w:val="21"/>
              </w:rPr>
              <w:t>Bovidae</w:t>
            </w:r>
          </w:p>
        </w:tc>
        <w:tc>
          <w:tcPr>
            <w:tcW w:w="2565" w:type="dxa"/>
            <w:tcBorders>
              <w:top w:val="nil"/>
              <w:left w:val="single" w:sz="4" w:space="0" w:color="auto"/>
              <w:bottom w:val="single" w:sz="4" w:space="0" w:color="auto"/>
              <w:right w:val="single" w:sz="4" w:space="0" w:color="auto"/>
            </w:tcBorders>
            <w:vAlign w:val="bottom"/>
          </w:tcPr>
          <w:p w14:paraId="2D8089E9" w14:textId="77777777" w:rsidR="009021F1" w:rsidRPr="0029055B" w:rsidRDefault="009021F1" w:rsidP="00E637E3">
            <w:pPr>
              <w:rPr>
                <w:szCs w:val="21"/>
              </w:rPr>
            </w:pPr>
            <w:r w:rsidRPr="0029055B">
              <w:rPr>
                <w:szCs w:val="21"/>
              </w:rPr>
              <w:t>Cephalophus rubidus</w:t>
            </w:r>
          </w:p>
        </w:tc>
        <w:tc>
          <w:tcPr>
            <w:tcW w:w="2693" w:type="dxa"/>
            <w:tcBorders>
              <w:top w:val="nil"/>
              <w:left w:val="nil"/>
              <w:bottom w:val="single" w:sz="4" w:space="0" w:color="auto"/>
              <w:right w:val="single" w:sz="4" w:space="0" w:color="auto"/>
            </w:tcBorders>
            <w:vAlign w:val="bottom"/>
          </w:tcPr>
          <w:p w14:paraId="37378D9B" w14:textId="77777777" w:rsidR="009021F1" w:rsidRPr="0029055B" w:rsidRDefault="009021F1" w:rsidP="00E637E3">
            <w:pPr>
              <w:rPr>
                <w:szCs w:val="21"/>
              </w:rPr>
            </w:pPr>
            <w:r w:rsidRPr="0029055B">
              <w:rPr>
                <w:szCs w:val="21"/>
              </w:rPr>
              <w:t>Antilope</w:t>
            </w:r>
          </w:p>
        </w:tc>
        <w:tc>
          <w:tcPr>
            <w:tcW w:w="1375" w:type="dxa"/>
            <w:tcBorders>
              <w:top w:val="nil"/>
              <w:left w:val="nil"/>
              <w:bottom w:val="single" w:sz="4" w:space="0" w:color="auto"/>
              <w:right w:val="single" w:sz="4" w:space="0" w:color="auto"/>
            </w:tcBorders>
          </w:tcPr>
          <w:p w14:paraId="6940449B"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6194CB38" w14:textId="77777777" w:rsidR="009021F1" w:rsidRPr="0029055B" w:rsidRDefault="009021F1" w:rsidP="00E637E3">
            <w:pPr>
              <w:rPr>
                <w:szCs w:val="21"/>
              </w:rPr>
            </w:pPr>
            <w:r w:rsidRPr="0029055B">
              <w:rPr>
                <w:szCs w:val="21"/>
              </w:rPr>
              <w:t>-</w:t>
            </w:r>
          </w:p>
        </w:tc>
        <w:tc>
          <w:tcPr>
            <w:tcW w:w="2814" w:type="dxa"/>
            <w:tcBorders>
              <w:top w:val="nil"/>
              <w:left w:val="nil"/>
              <w:bottom w:val="single" w:sz="4" w:space="0" w:color="auto"/>
              <w:right w:val="single" w:sz="8" w:space="0" w:color="auto"/>
            </w:tcBorders>
          </w:tcPr>
          <w:p w14:paraId="2445062D" w14:textId="77777777" w:rsidR="009021F1" w:rsidRPr="0029055B" w:rsidRDefault="009021F1" w:rsidP="00E637E3">
            <w:pPr>
              <w:rPr>
                <w:szCs w:val="21"/>
              </w:rPr>
            </w:pPr>
            <w:r w:rsidRPr="0029055B">
              <w:rPr>
                <w:szCs w:val="21"/>
              </w:rPr>
              <w:t>Fmont à Hagenia</w:t>
            </w:r>
          </w:p>
        </w:tc>
      </w:tr>
      <w:tr w:rsidR="009021F1" w:rsidRPr="0029055B" w14:paraId="646EB5BF" w14:textId="77777777" w:rsidTr="00E637E3">
        <w:trPr>
          <w:trHeight w:val="318"/>
        </w:trPr>
        <w:tc>
          <w:tcPr>
            <w:tcW w:w="1834" w:type="dxa"/>
            <w:tcBorders>
              <w:top w:val="nil"/>
              <w:left w:val="single" w:sz="8" w:space="0" w:color="auto"/>
              <w:bottom w:val="single" w:sz="4" w:space="0" w:color="auto"/>
              <w:right w:val="single" w:sz="4" w:space="0" w:color="auto"/>
            </w:tcBorders>
            <w:vAlign w:val="bottom"/>
          </w:tcPr>
          <w:p w14:paraId="40FDACA8" w14:textId="77777777" w:rsidR="009021F1" w:rsidRPr="0029055B" w:rsidRDefault="009021F1" w:rsidP="00E637E3">
            <w:pPr>
              <w:rPr>
                <w:szCs w:val="21"/>
              </w:rPr>
            </w:pPr>
            <w:r w:rsidRPr="0029055B">
              <w:rPr>
                <w:szCs w:val="21"/>
              </w:rPr>
              <w:t>Rodentia</w:t>
            </w:r>
          </w:p>
        </w:tc>
        <w:tc>
          <w:tcPr>
            <w:tcW w:w="1767" w:type="dxa"/>
            <w:tcBorders>
              <w:top w:val="nil"/>
              <w:left w:val="single" w:sz="4" w:space="0" w:color="auto"/>
              <w:bottom w:val="single" w:sz="4" w:space="0" w:color="auto"/>
              <w:right w:val="single" w:sz="4" w:space="0" w:color="auto"/>
            </w:tcBorders>
            <w:vAlign w:val="bottom"/>
          </w:tcPr>
          <w:p w14:paraId="5ED57DD9" w14:textId="77777777" w:rsidR="009021F1" w:rsidRPr="0029055B" w:rsidRDefault="009021F1" w:rsidP="00E637E3">
            <w:pPr>
              <w:rPr>
                <w:szCs w:val="21"/>
              </w:rPr>
            </w:pPr>
            <w:r w:rsidRPr="0029055B">
              <w:rPr>
                <w:szCs w:val="21"/>
              </w:rPr>
              <w:t>Nesomyidae</w:t>
            </w:r>
          </w:p>
        </w:tc>
        <w:tc>
          <w:tcPr>
            <w:tcW w:w="2565" w:type="dxa"/>
            <w:tcBorders>
              <w:top w:val="nil"/>
              <w:left w:val="single" w:sz="4" w:space="0" w:color="auto"/>
              <w:bottom w:val="single" w:sz="4" w:space="0" w:color="auto"/>
              <w:right w:val="single" w:sz="4" w:space="0" w:color="auto"/>
            </w:tcBorders>
            <w:vAlign w:val="bottom"/>
          </w:tcPr>
          <w:p w14:paraId="3F49DF59" w14:textId="77777777" w:rsidR="009021F1" w:rsidRPr="0029055B" w:rsidRDefault="009021F1" w:rsidP="00E637E3">
            <w:pPr>
              <w:rPr>
                <w:szCs w:val="21"/>
              </w:rPr>
            </w:pPr>
            <w:r w:rsidRPr="0029055B">
              <w:rPr>
                <w:szCs w:val="21"/>
              </w:rPr>
              <w:t>Cricetomys gambianus</w:t>
            </w:r>
          </w:p>
        </w:tc>
        <w:tc>
          <w:tcPr>
            <w:tcW w:w="2693" w:type="dxa"/>
            <w:tcBorders>
              <w:top w:val="nil"/>
              <w:left w:val="nil"/>
              <w:bottom w:val="single" w:sz="4" w:space="0" w:color="auto"/>
              <w:right w:val="single" w:sz="4" w:space="0" w:color="auto"/>
            </w:tcBorders>
            <w:vAlign w:val="bottom"/>
          </w:tcPr>
          <w:p w14:paraId="100A3A4B" w14:textId="77777777" w:rsidR="009021F1" w:rsidRPr="0029055B" w:rsidRDefault="009021F1" w:rsidP="00E637E3">
            <w:pPr>
              <w:rPr>
                <w:szCs w:val="21"/>
              </w:rPr>
            </w:pPr>
            <w:r w:rsidRPr="0029055B">
              <w:rPr>
                <w:szCs w:val="21"/>
              </w:rPr>
              <w:t>Rat de gambie</w:t>
            </w:r>
          </w:p>
        </w:tc>
        <w:tc>
          <w:tcPr>
            <w:tcW w:w="1375" w:type="dxa"/>
            <w:tcBorders>
              <w:top w:val="nil"/>
              <w:left w:val="nil"/>
              <w:bottom w:val="single" w:sz="4" w:space="0" w:color="auto"/>
              <w:right w:val="single" w:sz="4" w:space="0" w:color="auto"/>
            </w:tcBorders>
          </w:tcPr>
          <w:p w14:paraId="736B045E"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6B938208" w14:textId="77777777" w:rsidR="009021F1" w:rsidRPr="0029055B" w:rsidRDefault="009021F1" w:rsidP="00E637E3">
            <w:pPr>
              <w:rPr>
                <w:szCs w:val="21"/>
              </w:rPr>
            </w:pPr>
            <w:r w:rsidRPr="0029055B">
              <w:rPr>
                <w:szCs w:val="21"/>
              </w:rPr>
              <w:t>-</w:t>
            </w:r>
          </w:p>
        </w:tc>
        <w:tc>
          <w:tcPr>
            <w:tcW w:w="2814" w:type="dxa"/>
            <w:tcBorders>
              <w:top w:val="nil"/>
              <w:left w:val="nil"/>
              <w:bottom w:val="single" w:sz="4" w:space="0" w:color="auto"/>
              <w:right w:val="single" w:sz="8" w:space="0" w:color="auto"/>
            </w:tcBorders>
          </w:tcPr>
          <w:p w14:paraId="14F05EBA" w14:textId="77777777" w:rsidR="009021F1" w:rsidRPr="0029055B" w:rsidRDefault="009021F1" w:rsidP="00E637E3">
            <w:pPr>
              <w:rPr>
                <w:szCs w:val="21"/>
              </w:rPr>
            </w:pPr>
            <w:r w:rsidRPr="0029055B">
              <w:rPr>
                <w:szCs w:val="21"/>
              </w:rPr>
              <w:t>Fh</w:t>
            </w:r>
          </w:p>
        </w:tc>
      </w:tr>
      <w:tr w:rsidR="009021F1" w:rsidRPr="0029055B" w14:paraId="1D03C5DF" w14:textId="77777777" w:rsidTr="00E637E3">
        <w:trPr>
          <w:trHeight w:val="318"/>
        </w:trPr>
        <w:tc>
          <w:tcPr>
            <w:tcW w:w="1834" w:type="dxa"/>
            <w:tcBorders>
              <w:top w:val="nil"/>
              <w:left w:val="single" w:sz="8" w:space="0" w:color="auto"/>
              <w:bottom w:val="single" w:sz="4" w:space="0" w:color="auto"/>
              <w:right w:val="single" w:sz="4" w:space="0" w:color="auto"/>
            </w:tcBorders>
            <w:vAlign w:val="bottom"/>
          </w:tcPr>
          <w:p w14:paraId="063F58BA" w14:textId="77777777" w:rsidR="009021F1" w:rsidRPr="0029055B" w:rsidRDefault="009021F1" w:rsidP="00E637E3">
            <w:pPr>
              <w:rPr>
                <w:szCs w:val="21"/>
              </w:rPr>
            </w:pPr>
            <w:r w:rsidRPr="0029055B">
              <w:rPr>
                <w:szCs w:val="21"/>
              </w:rPr>
              <w:t>Artiodactyla</w:t>
            </w:r>
          </w:p>
        </w:tc>
        <w:tc>
          <w:tcPr>
            <w:tcW w:w="1767" w:type="dxa"/>
            <w:tcBorders>
              <w:top w:val="nil"/>
              <w:left w:val="single" w:sz="4" w:space="0" w:color="auto"/>
              <w:bottom w:val="single" w:sz="4" w:space="0" w:color="auto"/>
              <w:right w:val="single" w:sz="4" w:space="0" w:color="auto"/>
            </w:tcBorders>
            <w:vAlign w:val="bottom"/>
          </w:tcPr>
          <w:p w14:paraId="473B801B" w14:textId="77777777" w:rsidR="009021F1" w:rsidRPr="0029055B" w:rsidRDefault="009021F1" w:rsidP="00E637E3">
            <w:pPr>
              <w:rPr>
                <w:szCs w:val="21"/>
              </w:rPr>
            </w:pPr>
            <w:r w:rsidRPr="0029055B">
              <w:rPr>
                <w:szCs w:val="21"/>
              </w:rPr>
              <w:t>Bovidae</w:t>
            </w:r>
          </w:p>
        </w:tc>
        <w:tc>
          <w:tcPr>
            <w:tcW w:w="2565" w:type="dxa"/>
            <w:tcBorders>
              <w:top w:val="nil"/>
              <w:left w:val="single" w:sz="4" w:space="0" w:color="auto"/>
              <w:bottom w:val="single" w:sz="4" w:space="0" w:color="auto"/>
              <w:right w:val="single" w:sz="4" w:space="0" w:color="auto"/>
            </w:tcBorders>
            <w:vAlign w:val="bottom"/>
          </w:tcPr>
          <w:p w14:paraId="50AE6FE9" w14:textId="77777777" w:rsidR="009021F1" w:rsidRPr="0029055B" w:rsidRDefault="009021F1" w:rsidP="00E637E3">
            <w:pPr>
              <w:rPr>
                <w:szCs w:val="21"/>
              </w:rPr>
            </w:pPr>
            <w:r w:rsidRPr="0029055B">
              <w:rPr>
                <w:szCs w:val="21"/>
              </w:rPr>
              <w:t>Cephalopus sylvicultor</w:t>
            </w:r>
          </w:p>
        </w:tc>
        <w:tc>
          <w:tcPr>
            <w:tcW w:w="2693" w:type="dxa"/>
            <w:tcBorders>
              <w:top w:val="nil"/>
              <w:left w:val="nil"/>
              <w:bottom w:val="single" w:sz="4" w:space="0" w:color="auto"/>
              <w:right w:val="single" w:sz="4" w:space="0" w:color="auto"/>
            </w:tcBorders>
            <w:vAlign w:val="bottom"/>
          </w:tcPr>
          <w:p w14:paraId="4F083142" w14:textId="77777777" w:rsidR="009021F1" w:rsidRPr="0029055B" w:rsidRDefault="009021F1" w:rsidP="00E637E3">
            <w:pPr>
              <w:rPr>
                <w:szCs w:val="21"/>
              </w:rPr>
            </w:pPr>
            <w:r w:rsidRPr="0029055B">
              <w:rPr>
                <w:szCs w:val="21"/>
              </w:rPr>
              <w:t>Antilopes de bois</w:t>
            </w:r>
          </w:p>
        </w:tc>
        <w:tc>
          <w:tcPr>
            <w:tcW w:w="1375" w:type="dxa"/>
            <w:tcBorders>
              <w:top w:val="nil"/>
              <w:left w:val="nil"/>
              <w:bottom w:val="single" w:sz="4" w:space="0" w:color="auto"/>
              <w:right w:val="single" w:sz="4" w:space="0" w:color="auto"/>
            </w:tcBorders>
          </w:tcPr>
          <w:p w14:paraId="0856953C"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7CA7D39E" w14:textId="77777777" w:rsidR="009021F1" w:rsidRPr="0029055B" w:rsidRDefault="009021F1" w:rsidP="00E637E3">
            <w:pPr>
              <w:rPr>
                <w:szCs w:val="21"/>
              </w:rPr>
            </w:pPr>
            <w:r w:rsidRPr="0029055B">
              <w:rPr>
                <w:szCs w:val="21"/>
              </w:rPr>
              <w:t>-</w:t>
            </w:r>
          </w:p>
        </w:tc>
        <w:tc>
          <w:tcPr>
            <w:tcW w:w="2814" w:type="dxa"/>
            <w:tcBorders>
              <w:top w:val="nil"/>
              <w:left w:val="nil"/>
              <w:bottom w:val="single" w:sz="4" w:space="0" w:color="auto"/>
              <w:right w:val="single" w:sz="8" w:space="0" w:color="auto"/>
            </w:tcBorders>
          </w:tcPr>
          <w:p w14:paraId="4D6E56C6" w14:textId="77777777" w:rsidR="009021F1" w:rsidRPr="0029055B" w:rsidRDefault="009021F1" w:rsidP="00E637E3">
            <w:pPr>
              <w:rPr>
                <w:szCs w:val="21"/>
              </w:rPr>
            </w:pPr>
            <w:r w:rsidRPr="0029055B">
              <w:rPr>
                <w:szCs w:val="21"/>
              </w:rPr>
              <w:t>Fha, Fm</w:t>
            </w:r>
          </w:p>
        </w:tc>
      </w:tr>
      <w:tr w:rsidR="009021F1" w:rsidRPr="0029055B" w14:paraId="6F401D87" w14:textId="77777777" w:rsidTr="00E637E3">
        <w:trPr>
          <w:trHeight w:val="318"/>
        </w:trPr>
        <w:tc>
          <w:tcPr>
            <w:tcW w:w="1834" w:type="dxa"/>
            <w:tcBorders>
              <w:top w:val="single" w:sz="4" w:space="0" w:color="auto"/>
              <w:left w:val="single" w:sz="8" w:space="0" w:color="auto"/>
              <w:bottom w:val="single" w:sz="4" w:space="0" w:color="auto"/>
              <w:right w:val="single" w:sz="4" w:space="0" w:color="auto"/>
            </w:tcBorders>
            <w:vAlign w:val="bottom"/>
          </w:tcPr>
          <w:p w14:paraId="34CAAA9E" w14:textId="77777777" w:rsidR="009021F1" w:rsidRPr="0029055B" w:rsidRDefault="009021F1" w:rsidP="00E637E3">
            <w:pPr>
              <w:rPr>
                <w:szCs w:val="21"/>
              </w:rPr>
            </w:pPr>
            <w:r w:rsidRPr="0029055B">
              <w:rPr>
                <w:szCs w:val="21"/>
              </w:rPr>
              <w:t>Primates</w:t>
            </w:r>
          </w:p>
        </w:tc>
        <w:tc>
          <w:tcPr>
            <w:tcW w:w="1767" w:type="dxa"/>
            <w:tcBorders>
              <w:top w:val="nil"/>
              <w:left w:val="single" w:sz="4" w:space="0" w:color="auto"/>
              <w:bottom w:val="single" w:sz="4" w:space="0" w:color="auto"/>
              <w:right w:val="single" w:sz="4" w:space="0" w:color="auto"/>
            </w:tcBorders>
            <w:vAlign w:val="bottom"/>
          </w:tcPr>
          <w:p w14:paraId="5E00487D" w14:textId="77777777" w:rsidR="009021F1" w:rsidRPr="0029055B" w:rsidRDefault="009021F1" w:rsidP="00E637E3">
            <w:pPr>
              <w:rPr>
                <w:szCs w:val="21"/>
              </w:rPr>
            </w:pPr>
            <w:r w:rsidRPr="0029055B">
              <w:rPr>
                <w:szCs w:val="21"/>
              </w:rPr>
              <w:t>Cercopithecidae</w:t>
            </w:r>
          </w:p>
        </w:tc>
        <w:tc>
          <w:tcPr>
            <w:tcW w:w="2565" w:type="dxa"/>
            <w:tcBorders>
              <w:top w:val="nil"/>
              <w:left w:val="single" w:sz="4" w:space="0" w:color="auto"/>
              <w:bottom w:val="single" w:sz="4" w:space="0" w:color="auto"/>
              <w:right w:val="single" w:sz="4" w:space="0" w:color="auto"/>
            </w:tcBorders>
            <w:vAlign w:val="bottom"/>
          </w:tcPr>
          <w:p w14:paraId="4BE9BC20" w14:textId="77777777" w:rsidR="009021F1" w:rsidRPr="0029055B" w:rsidRDefault="009021F1" w:rsidP="00E637E3">
            <w:pPr>
              <w:rPr>
                <w:szCs w:val="21"/>
              </w:rPr>
            </w:pPr>
            <w:r w:rsidRPr="0029055B">
              <w:rPr>
                <w:szCs w:val="21"/>
              </w:rPr>
              <w:t>Cercocebus agilis</w:t>
            </w:r>
          </w:p>
        </w:tc>
        <w:tc>
          <w:tcPr>
            <w:tcW w:w="2693" w:type="dxa"/>
            <w:tcBorders>
              <w:top w:val="nil"/>
              <w:left w:val="nil"/>
              <w:bottom w:val="single" w:sz="4" w:space="0" w:color="auto"/>
              <w:right w:val="single" w:sz="4" w:space="0" w:color="auto"/>
            </w:tcBorders>
            <w:vAlign w:val="bottom"/>
          </w:tcPr>
          <w:p w14:paraId="60E2F3DC" w14:textId="77777777" w:rsidR="009021F1" w:rsidRPr="0029055B" w:rsidRDefault="009021F1" w:rsidP="00E637E3">
            <w:pPr>
              <w:rPr>
                <w:szCs w:val="21"/>
              </w:rPr>
            </w:pPr>
            <w:r w:rsidRPr="0029055B">
              <w:rPr>
                <w:szCs w:val="21"/>
              </w:rPr>
              <w:t>Cercocebe agile</w:t>
            </w:r>
          </w:p>
        </w:tc>
        <w:tc>
          <w:tcPr>
            <w:tcW w:w="1375" w:type="dxa"/>
            <w:tcBorders>
              <w:top w:val="nil"/>
              <w:left w:val="nil"/>
              <w:bottom w:val="single" w:sz="4" w:space="0" w:color="auto"/>
              <w:right w:val="single" w:sz="4" w:space="0" w:color="auto"/>
            </w:tcBorders>
          </w:tcPr>
          <w:p w14:paraId="7DB22FC3"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37DF3ACF" w14:textId="77777777" w:rsidR="009021F1" w:rsidRPr="0029055B" w:rsidRDefault="009021F1" w:rsidP="00E637E3">
            <w:pPr>
              <w:rPr>
                <w:szCs w:val="21"/>
              </w:rPr>
            </w:pPr>
            <w:r w:rsidRPr="0029055B">
              <w:rPr>
                <w:szCs w:val="21"/>
              </w:rPr>
              <w:t>-</w:t>
            </w:r>
          </w:p>
        </w:tc>
        <w:tc>
          <w:tcPr>
            <w:tcW w:w="2814" w:type="dxa"/>
            <w:tcBorders>
              <w:top w:val="nil"/>
              <w:left w:val="nil"/>
              <w:bottom w:val="single" w:sz="4" w:space="0" w:color="auto"/>
              <w:right w:val="single" w:sz="8" w:space="0" w:color="auto"/>
            </w:tcBorders>
          </w:tcPr>
          <w:p w14:paraId="09DFF17E" w14:textId="77777777" w:rsidR="009021F1" w:rsidRPr="0029055B" w:rsidRDefault="009021F1" w:rsidP="00E637E3">
            <w:pPr>
              <w:rPr>
                <w:szCs w:val="21"/>
              </w:rPr>
            </w:pPr>
            <w:r w:rsidRPr="0029055B">
              <w:rPr>
                <w:szCs w:val="21"/>
              </w:rPr>
              <w:t>Fm</w:t>
            </w:r>
          </w:p>
        </w:tc>
      </w:tr>
      <w:tr w:rsidR="009021F1" w:rsidRPr="0029055B" w14:paraId="757D68F8" w14:textId="77777777" w:rsidTr="00E637E3">
        <w:trPr>
          <w:trHeight w:val="318"/>
        </w:trPr>
        <w:tc>
          <w:tcPr>
            <w:tcW w:w="1834" w:type="dxa"/>
            <w:tcBorders>
              <w:top w:val="nil"/>
              <w:left w:val="single" w:sz="8" w:space="0" w:color="auto"/>
              <w:bottom w:val="single" w:sz="4" w:space="0" w:color="auto"/>
              <w:right w:val="single" w:sz="4" w:space="0" w:color="auto"/>
            </w:tcBorders>
          </w:tcPr>
          <w:p w14:paraId="09B9AB13" w14:textId="77777777" w:rsidR="009021F1" w:rsidRPr="0029055B" w:rsidRDefault="009021F1" w:rsidP="00E637E3">
            <w:pPr>
              <w:rPr>
                <w:szCs w:val="21"/>
              </w:rPr>
            </w:pPr>
            <w:r w:rsidRPr="0029055B">
              <w:rPr>
                <w:szCs w:val="21"/>
              </w:rPr>
              <w:t>Afrosoricida</w:t>
            </w:r>
          </w:p>
        </w:tc>
        <w:tc>
          <w:tcPr>
            <w:tcW w:w="1767" w:type="dxa"/>
            <w:tcBorders>
              <w:top w:val="nil"/>
              <w:left w:val="single" w:sz="4" w:space="0" w:color="auto"/>
              <w:bottom w:val="single" w:sz="4" w:space="0" w:color="auto"/>
              <w:right w:val="single" w:sz="4" w:space="0" w:color="auto"/>
            </w:tcBorders>
          </w:tcPr>
          <w:p w14:paraId="32E4A217" w14:textId="77777777" w:rsidR="009021F1" w:rsidRPr="0029055B" w:rsidRDefault="009021F1" w:rsidP="00E637E3">
            <w:pPr>
              <w:rPr>
                <w:szCs w:val="21"/>
              </w:rPr>
            </w:pPr>
            <w:r w:rsidRPr="0029055B">
              <w:rPr>
                <w:szCs w:val="21"/>
              </w:rPr>
              <w:t xml:space="preserve">Chrysochloridae </w:t>
            </w:r>
          </w:p>
        </w:tc>
        <w:tc>
          <w:tcPr>
            <w:tcW w:w="2565" w:type="dxa"/>
            <w:tcBorders>
              <w:top w:val="nil"/>
              <w:left w:val="single" w:sz="4" w:space="0" w:color="auto"/>
              <w:bottom w:val="single" w:sz="4" w:space="0" w:color="auto"/>
              <w:right w:val="single" w:sz="4" w:space="0" w:color="auto"/>
            </w:tcBorders>
          </w:tcPr>
          <w:p w14:paraId="082B09F3" w14:textId="77777777" w:rsidR="009021F1" w:rsidRPr="0029055B" w:rsidRDefault="009021F1" w:rsidP="00E637E3">
            <w:pPr>
              <w:rPr>
                <w:szCs w:val="21"/>
              </w:rPr>
            </w:pPr>
            <w:r w:rsidRPr="0029055B">
              <w:rPr>
                <w:szCs w:val="21"/>
              </w:rPr>
              <w:t>Chrysochloris stuhlmanni</w:t>
            </w:r>
          </w:p>
          <w:p w14:paraId="76296E97" w14:textId="77777777" w:rsidR="009021F1" w:rsidRPr="0029055B" w:rsidRDefault="009021F1" w:rsidP="00E637E3">
            <w:pPr>
              <w:rPr>
                <w:szCs w:val="21"/>
              </w:rPr>
            </w:pPr>
            <w:r w:rsidRPr="0029055B">
              <w:rPr>
                <w:szCs w:val="21"/>
              </w:rPr>
              <w:t>(Lophuromys medicaudatus)</w:t>
            </w:r>
          </w:p>
        </w:tc>
        <w:tc>
          <w:tcPr>
            <w:tcW w:w="2693" w:type="dxa"/>
            <w:tcBorders>
              <w:top w:val="nil"/>
              <w:left w:val="nil"/>
              <w:bottom w:val="single" w:sz="4" w:space="0" w:color="auto"/>
              <w:right w:val="single" w:sz="4" w:space="0" w:color="auto"/>
            </w:tcBorders>
          </w:tcPr>
          <w:p w14:paraId="2E84835A" w14:textId="77777777" w:rsidR="009021F1" w:rsidRPr="0029055B" w:rsidRDefault="009021F1" w:rsidP="00E637E3">
            <w:pPr>
              <w:rPr>
                <w:szCs w:val="21"/>
              </w:rPr>
            </w:pPr>
          </w:p>
        </w:tc>
        <w:tc>
          <w:tcPr>
            <w:tcW w:w="1375" w:type="dxa"/>
            <w:tcBorders>
              <w:top w:val="nil"/>
              <w:left w:val="nil"/>
              <w:bottom w:val="single" w:sz="4" w:space="0" w:color="auto"/>
              <w:right w:val="single" w:sz="4" w:space="0" w:color="auto"/>
            </w:tcBorders>
          </w:tcPr>
          <w:p w14:paraId="2CAFEE23"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744F7167" w14:textId="77777777" w:rsidR="009021F1" w:rsidRPr="0029055B" w:rsidRDefault="009021F1" w:rsidP="00E637E3">
            <w:pPr>
              <w:rPr>
                <w:szCs w:val="21"/>
              </w:rPr>
            </w:pPr>
            <w:r w:rsidRPr="0029055B">
              <w:rPr>
                <w:szCs w:val="21"/>
              </w:rPr>
              <w:t>-</w:t>
            </w:r>
          </w:p>
        </w:tc>
        <w:tc>
          <w:tcPr>
            <w:tcW w:w="2814" w:type="dxa"/>
            <w:tcBorders>
              <w:top w:val="nil"/>
              <w:left w:val="nil"/>
              <w:bottom w:val="single" w:sz="4" w:space="0" w:color="auto"/>
              <w:right w:val="single" w:sz="8" w:space="0" w:color="auto"/>
            </w:tcBorders>
          </w:tcPr>
          <w:p w14:paraId="26BE8191" w14:textId="77777777" w:rsidR="009021F1" w:rsidRPr="0029055B" w:rsidRDefault="009021F1" w:rsidP="00E637E3">
            <w:pPr>
              <w:rPr>
                <w:szCs w:val="21"/>
              </w:rPr>
            </w:pPr>
            <w:r w:rsidRPr="0029055B">
              <w:rPr>
                <w:szCs w:val="21"/>
              </w:rPr>
              <w:t>Fm</w:t>
            </w:r>
          </w:p>
        </w:tc>
      </w:tr>
      <w:tr w:rsidR="009021F1" w:rsidRPr="0029055B" w14:paraId="433C33A3" w14:textId="77777777" w:rsidTr="00E637E3">
        <w:trPr>
          <w:trHeight w:val="318"/>
        </w:trPr>
        <w:tc>
          <w:tcPr>
            <w:tcW w:w="1834" w:type="dxa"/>
            <w:tcBorders>
              <w:top w:val="nil"/>
              <w:left w:val="single" w:sz="8" w:space="0" w:color="auto"/>
              <w:bottom w:val="single" w:sz="8" w:space="0" w:color="auto"/>
              <w:right w:val="single" w:sz="4" w:space="0" w:color="auto"/>
            </w:tcBorders>
            <w:vAlign w:val="bottom"/>
          </w:tcPr>
          <w:p w14:paraId="6730F55E" w14:textId="77777777" w:rsidR="009021F1" w:rsidRPr="0029055B" w:rsidRDefault="009021F1" w:rsidP="00E637E3">
            <w:pPr>
              <w:rPr>
                <w:szCs w:val="21"/>
              </w:rPr>
            </w:pPr>
            <w:r w:rsidRPr="0029055B">
              <w:rPr>
                <w:szCs w:val="21"/>
              </w:rPr>
              <w:t>Viveridés</w:t>
            </w:r>
          </w:p>
        </w:tc>
        <w:tc>
          <w:tcPr>
            <w:tcW w:w="1767" w:type="dxa"/>
            <w:tcBorders>
              <w:top w:val="nil"/>
              <w:left w:val="single" w:sz="4" w:space="0" w:color="auto"/>
              <w:bottom w:val="single" w:sz="4" w:space="0" w:color="auto"/>
              <w:right w:val="single" w:sz="4" w:space="0" w:color="auto"/>
            </w:tcBorders>
          </w:tcPr>
          <w:p w14:paraId="5C41F9FA" w14:textId="77777777" w:rsidR="009021F1" w:rsidRPr="0029055B" w:rsidRDefault="009021F1" w:rsidP="00E637E3">
            <w:pPr>
              <w:rPr>
                <w:szCs w:val="21"/>
              </w:rPr>
            </w:pPr>
            <w:r w:rsidRPr="0029055B">
              <w:rPr>
                <w:szCs w:val="21"/>
              </w:rPr>
              <w:t>Viveridae</w:t>
            </w:r>
          </w:p>
        </w:tc>
        <w:tc>
          <w:tcPr>
            <w:tcW w:w="2565" w:type="dxa"/>
            <w:tcBorders>
              <w:top w:val="nil"/>
              <w:left w:val="single" w:sz="4" w:space="0" w:color="auto"/>
              <w:bottom w:val="single" w:sz="4" w:space="0" w:color="auto"/>
              <w:right w:val="single" w:sz="4" w:space="0" w:color="auto"/>
            </w:tcBorders>
            <w:noWrap/>
            <w:vAlign w:val="bottom"/>
          </w:tcPr>
          <w:p w14:paraId="6A1FDC10" w14:textId="77777777" w:rsidR="009021F1" w:rsidRPr="0029055B" w:rsidRDefault="009021F1" w:rsidP="00E637E3">
            <w:pPr>
              <w:rPr>
                <w:szCs w:val="21"/>
              </w:rPr>
            </w:pPr>
            <w:r w:rsidRPr="0029055B">
              <w:rPr>
                <w:szCs w:val="21"/>
              </w:rPr>
              <w:t>Civetta civetta</w:t>
            </w:r>
          </w:p>
        </w:tc>
        <w:tc>
          <w:tcPr>
            <w:tcW w:w="2693" w:type="dxa"/>
            <w:tcBorders>
              <w:top w:val="nil"/>
              <w:left w:val="nil"/>
              <w:bottom w:val="single" w:sz="4" w:space="0" w:color="auto"/>
              <w:right w:val="single" w:sz="4" w:space="0" w:color="auto"/>
            </w:tcBorders>
          </w:tcPr>
          <w:p w14:paraId="634A2F65" w14:textId="77777777" w:rsidR="009021F1" w:rsidRPr="0029055B" w:rsidRDefault="009021F1" w:rsidP="00E637E3">
            <w:pPr>
              <w:rPr>
                <w:szCs w:val="21"/>
              </w:rPr>
            </w:pPr>
            <w:r w:rsidRPr="0029055B">
              <w:rPr>
                <w:szCs w:val="21"/>
              </w:rPr>
              <w:t>Civette, Imondo</w:t>
            </w:r>
          </w:p>
        </w:tc>
        <w:tc>
          <w:tcPr>
            <w:tcW w:w="1375" w:type="dxa"/>
            <w:tcBorders>
              <w:top w:val="nil"/>
              <w:left w:val="nil"/>
              <w:bottom w:val="single" w:sz="4" w:space="0" w:color="auto"/>
              <w:right w:val="single" w:sz="4" w:space="0" w:color="auto"/>
            </w:tcBorders>
          </w:tcPr>
          <w:p w14:paraId="300930E0"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6BA4CC87" w14:textId="77777777" w:rsidR="009021F1" w:rsidRPr="0029055B" w:rsidRDefault="009021F1" w:rsidP="00E637E3">
            <w:pPr>
              <w:rPr>
                <w:szCs w:val="21"/>
              </w:rPr>
            </w:pPr>
            <w:r w:rsidRPr="0029055B">
              <w:rPr>
                <w:szCs w:val="21"/>
              </w:rPr>
              <w:t>-</w:t>
            </w:r>
          </w:p>
        </w:tc>
        <w:tc>
          <w:tcPr>
            <w:tcW w:w="2814" w:type="dxa"/>
            <w:tcBorders>
              <w:top w:val="nil"/>
              <w:left w:val="nil"/>
              <w:bottom w:val="single" w:sz="4" w:space="0" w:color="auto"/>
              <w:right w:val="single" w:sz="8" w:space="0" w:color="auto"/>
            </w:tcBorders>
          </w:tcPr>
          <w:p w14:paraId="2C473800" w14:textId="77777777" w:rsidR="009021F1" w:rsidRPr="0029055B" w:rsidRDefault="009021F1" w:rsidP="00E637E3">
            <w:pPr>
              <w:rPr>
                <w:szCs w:val="21"/>
              </w:rPr>
            </w:pPr>
            <w:r w:rsidRPr="0029055B">
              <w:rPr>
                <w:szCs w:val="21"/>
              </w:rPr>
              <w:t>Fm, Fs, Fha</w:t>
            </w:r>
          </w:p>
        </w:tc>
      </w:tr>
      <w:tr w:rsidR="009021F1" w:rsidRPr="0029055B" w14:paraId="6ED41282" w14:textId="77777777" w:rsidTr="00E637E3">
        <w:trPr>
          <w:trHeight w:val="318"/>
        </w:trPr>
        <w:tc>
          <w:tcPr>
            <w:tcW w:w="1834" w:type="dxa"/>
            <w:tcBorders>
              <w:top w:val="single" w:sz="8" w:space="0" w:color="auto"/>
              <w:left w:val="single" w:sz="8" w:space="0" w:color="auto"/>
              <w:bottom w:val="single" w:sz="4" w:space="0" w:color="auto"/>
              <w:right w:val="single" w:sz="4" w:space="0" w:color="auto"/>
            </w:tcBorders>
            <w:vAlign w:val="bottom"/>
          </w:tcPr>
          <w:p w14:paraId="7795D3AC" w14:textId="77777777" w:rsidR="009021F1" w:rsidRPr="0029055B" w:rsidRDefault="009021F1" w:rsidP="00E637E3">
            <w:pPr>
              <w:rPr>
                <w:szCs w:val="21"/>
              </w:rPr>
            </w:pPr>
            <w:r w:rsidRPr="0029055B">
              <w:rPr>
                <w:szCs w:val="21"/>
              </w:rPr>
              <w:t>Primates</w:t>
            </w:r>
          </w:p>
        </w:tc>
        <w:tc>
          <w:tcPr>
            <w:tcW w:w="1767" w:type="dxa"/>
            <w:tcBorders>
              <w:top w:val="nil"/>
              <w:left w:val="single" w:sz="4" w:space="0" w:color="auto"/>
              <w:bottom w:val="single" w:sz="4" w:space="0" w:color="auto"/>
              <w:right w:val="single" w:sz="4" w:space="0" w:color="auto"/>
            </w:tcBorders>
          </w:tcPr>
          <w:p w14:paraId="49E6570F" w14:textId="77777777" w:rsidR="009021F1" w:rsidRPr="0029055B" w:rsidRDefault="009021F1" w:rsidP="00E637E3">
            <w:pPr>
              <w:rPr>
                <w:szCs w:val="21"/>
              </w:rPr>
            </w:pPr>
            <w:r w:rsidRPr="0029055B">
              <w:rPr>
                <w:szCs w:val="21"/>
              </w:rPr>
              <w:t>Cercopithecidae</w:t>
            </w:r>
          </w:p>
        </w:tc>
        <w:tc>
          <w:tcPr>
            <w:tcW w:w="2565" w:type="dxa"/>
            <w:tcBorders>
              <w:top w:val="nil"/>
              <w:left w:val="single" w:sz="4" w:space="0" w:color="auto"/>
              <w:bottom w:val="single" w:sz="4" w:space="0" w:color="auto"/>
              <w:right w:val="single" w:sz="4" w:space="0" w:color="auto"/>
            </w:tcBorders>
            <w:noWrap/>
            <w:vAlign w:val="bottom"/>
          </w:tcPr>
          <w:p w14:paraId="24A6B1BE" w14:textId="77777777" w:rsidR="009021F1" w:rsidRPr="0029055B" w:rsidRDefault="009021F1" w:rsidP="00E637E3">
            <w:pPr>
              <w:rPr>
                <w:szCs w:val="21"/>
              </w:rPr>
            </w:pPr>
            <w:r w:rsidRPr="0029055B">
              <w:rPr>
                <w:szCs w:val="21"/>
              </w:rPr>
              <w:t>Colobus angolensis</w:t>
            </w:r>
          </w:p>
        </w:tc>
        <w:tc>
          <w:tcPr>
            <w:tcW w:w="2693" w:type="dxa"/>
            <w:tcBorders>
              <w:top w:val="nil"/>
              <w:left w:val="nil"/>
              <w:bottom w:val="single" w:sz="4" w:space="0" w:color="auto"/>
              <w:right w:val="single" w:sz="4" w:space="0" w:color="auto"/>
            </w:tcBorders>
          </w:tcPr>
          <w:p w14:paraId="29FD90F4" w14:textId="77777777" w:rsidR="009021F1" w:rsidRPr="0029055B" w:rsidRDefault="009021F1" w:rsidP="00E637E3">
            <w:pPr>
              <w:rPr>
                <w:szCs w:val="21"/>
              </w:rPr>
            </w:pPr>
            <w:r w:rsidRPr="0029055B">
              <w:rPr>
                <w:szCs w:val="21"/>
              </w:rPr>
              <w:t>Colobe d’Angola</w:t>
            </w:r>
          </w:p>
        </w:tc>
        <w:tc>
          <w:tcPr>
            <w:tcW w:w="1375" w:type="dxa"/>
            <w:tcBorders>
              <w:top w:val="nil"/>
              <w:left w:val="nil"/>
              <w:bottom w:val="single" w:sz="4" w:space="0" w:color="auto"/>
              <w:right w:val="single" w:sz="4" w:space="0" w:color="auto"/>
            </w:tcBorders>
          </w:tcPr>
          <w:p w14:paraId="7FAEACB0"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6B23EA26" w14:textId="77777777" w:rsidR="009021F1" w:rsidRPr="0029055B" w:rsidRDefault="009021F1" w:rsidP="00E637E3">
            <w:pPr>
              <w:rPr>
                <w:szCs w:val="21"/>
              </w:rPr>
            </w:pPr>
            <w:r w:rsidRPr="0029055B">
              <w:rPr>
                <w:szCs w:val="21"/>
              </w:rPr>
              <w:t>-</w:t>
            </w:r>
          </w:p>
        </w:tc>
        <w:tc>
          <w:tcPr>
            <w:tcW w:w="2814" w:type="dxa"/>
            <w:tcBorders>
              <w:top w:val="nil"/>
              <w:left w:val="nil"/>
              <w:bottom w:val="single" w:sz="4" w:space="0" w:color="auto"/>
              <w:right w:val="single" w:sz="8" w:space="0" w:color="auto"/>
            </w:tcBorders>
          </w:tcPr>
          <w:p w14:paraId="5BDAAAB7" w14:textId="77777777" w:rsidR="009021F1" w:rsidRPr="0029055B" w:rsidRDefault="009021F1" w:rsidP="00E637E3">
            <w:pPr>
              <w:rPr>
                <w:szCs w:val="21"/>
              </w:rPr>
            </w:pPr>
            <w:r w:rsidRPr="0029055B">
              <w:rPr>
                <w:szCs w:val="21"/>
              </w:rPr>
              <w:t>Fmont</w:t>
            </w:r>
          </w:p>
        </w:tc>
      </w:tr>
      <w:tr w:rsidR="009021F1" w:rsidRPr="0029055B" w14:paraId="426EC4CF" w14:textId="77777777" w:rsidTr="00E637E3">
        <w:trPr>
          <w:trHeight w:val="318"/>
        </w:trPr>
        <w:tc>
          <w:tcPr>
            <w:tcW w:w="1834" w:type="dxa"/>
            <w:tcBorders>
              <w:top w:val="nil"/>
              <w:left w:val="single" w:sz="8" w:space="0" w:color="auto"/>
              <w:bottom w:val="single" w:sz="4" w:space="0" w:color="auto"/>
              <w:right w:val="single" w:sz="4" w:space="0" w:color="auto"/>
            </w:tcBorders>
          </w:tcPr>
          <w:p w14:paraId="58D6F1DF" w14:textId="77777777" w:rsidR="009021F1" w:rsidRPr="0029055B" w:rsidRDefault="009021F1" w:rsidP="00E637E3">
            <w:pPr>
              <w:rPr>
                <w:szCs w:val="21"/>
              </w:rPr>
            </w:pPr>
            <w:r w:rsidRPr="0029055B">
              <w:rPr>
                <w:szCs w:val="21"/>
              </w:rPr>
              <w:t>Artiodactyla</w:t>
            </w:r>
          </w:p>
        </w:tc>
        <w:tc>
          <w:tcPr>
            <w:tcW w:w="1767" w:type="dxa"/>
            <w:tcBorders>
              <w:top w:val="nil"/>
              <w:left w:val="single" w:sz="4" w:space="0" w:color="auto"/>
              <w:bottom w:val="single" w:sz="4" w:space="0" w:color="auto"/>
              <w:right w:val="single" w:sz="4" w:space="0" w:color="auto"/>
            </w:tcBorders>
          </w:tcPr>
          <w:p w14:paraId="4909E089" w14:textId="77777777" w:rsidR="009021F1" w:rsidRPr="0029055B" w:rsidRDefault="009021F1" w:rsidP="00E637E3">
            <w:pPr>
              <w:rPr>
                <w:szCs w:val="21"/>
              </w:rPr>
            </w:pPr>
            <w:r w:rsidRPr="0029055B">
              <w:rPr>
                <w:szCs w:val="21"/>
              </w:rPr>
              <w:t>Bovidae</w:t>
            </w:r>
          </w:p>
        </w:tc>
        <w:tc>
          <w:tcPr>
            <w:tcW w:w="2565" w:type="dxa"/>
            <w:tcBorders>
              <w:top w:val="nil"/>
              <w:left w:val="single" w:sz="4" w:space="0" w:color="auto"/>
              <w:bottom w:val="single" w:sz="4" w:space="0" w:color="auto"/>
              <w:right w:val="single" w:sz="4" w:space="0" w:color="auto"/>
            </w:tcBorders>
            <w:noWrap/>
            <w:vAlign w:val="bottom"/>
          </w:tcPr>
          <w:p w14:paraId="1AF7D086" w14:textId="77777777" w:rsidR="009021F1" w:rsidRPr="0029055B" w:rsidRDefault="009021F1" w:rsidP="00E637E3">
            <w:pPr>
              <w:rPr>
                <w:szCs w:val="21"/>
              </w:rPr>
            </w:pPr>
            <w:r w:rsidRPr="0029055B">
              <w:rPr>
                <w:szCs w:val="21"/>
              </w:rPr>
              <w:t>Gazella grantii</w:t>
            </w:r>
          </w:p>
        </w:tc>
        <w:tc>
          <w:tcPr>
            <w:tcW w:w="2693" w:type="dxa"/>
            <w:tcBorders>
              <w:top w:val="nil"/>
              <w:left w:val="nil"/>
              <w:bottom w:val="single" w:sz="4" w:space="0" w:color="auto"/>
              <w:right w:val="single" w:sz="4" w:space="0" w:color="auto"/>
            </w:tcBorders>
          </w:tcPr>
          <w:p w14:paraId="3007559C" w14:textId="77777777" w:rsidR="009021F1" w:rsidRPr="0029055B" w:rsidRDefault="009021F1" w:rsidP="00E637E3">
            <w:pPr>
              <w:rPr>
                <w:szCs w:val="21"/>
              </w:rPr>
            </w:pPr>
            <w:r w:rsidRPr="0029055B">
              <w:rPr>
                <w:szCs w:val="21"/>
              </w:rPr>
              <w:t>Gazelle</w:t>
            </w:r>
          </w:p>
        </w:tc>
        <w:tc>
          <w:tcPr>
            <w:tcW w:w="1375" w:type="dxa"/>
            <w:tcBorders>
              <w:top w:val="nil"/>
              <w:left w:val="nil"/>
              <w:bottom w:val="single" w:sz="4" w:space="0" w:color="auto"/>
              <w:right w:val="single" w:sz="4" w:space="0" w:color="auto"/>
            </w:tcBorders>
          </w:tcPr>
          <w:p w14:paraId="246C0C9A" w14:textId="77777777" w:rsidR="009021F1" w:rsidRPr="0029055B" w:rsidRDefault="009021F1" w:rsidP="00E637E3">
            <w:pPr>
              <w:rPr>
                <w:szCs w:val="21"/>
              </w:rPr>
            </w:pPr>
          </w:p>
        </w:tc>
        <w:tc>
          <w:tcPr>
            <w:tcW w:w="1481" w:type="dxa"/>
            <w:tcBorders>
              <w:top w:val="nil"/>
              <w:left w:val="nil"/>
              <w:bottom w:val="single" w:sz="4" w:space="0" w:color="auto"/>
              <w:right w:val="single" w:sz="4" w:space="0" w:color="auto"/>
            </w:tcBorders>
          </w:tcPr>
          <w:p w14:paraId="602C3BFF" w14:textId="77777777" w:rsidR="009021F1" w:rsidRPr="0029055B" w:rsidRDefault="009021F1" w:rsidP="00E637E3">
            <w:pPr>
              <w:rPr>
                <w:szCs w:val="21"/>
              </w:rPr>
            </w:pPr>
          </w:p>
        </w:tc>
        <w:tc>
          <w:tcPr>
            <w:tcW w:w="2814" w:type="dxa"/>
            <w:tcBorders>
              <w:top w:val="nil"/>
              <w:left w:val="nil"/>
              <w:bottom w:val="single" w:sz="4" w:space="0" w:color="auto"/>
              <w:right w:val="single" w:sz="8" w:space="0" w:color="auto"/>
            </w:tcBorders>
          </w:tcPr>
          <w:p w14:paraId="1C068D7D" w14:textId="77777777" w:rsidR="009021F1" w:rsidRPr="0029055B" w:rsidRDefault="009021F1" w:rsidP="00E637E3">
            <w:pPr>
              <w:rPr>
                <w:szCs w:val="21"/>
              </w:rPr>
            </w:pPr>
          </w:p>
        </w:tc>
      </w:tr>
      <w:tr w:rsidR="009021F1" w:rsidRPr="0029055B" w14:paraId="2A476026" w14:textId="77777777" w:rsidTr="00E637E3">
        <w:trPr>
          <w:trHeight w:val="318"/>
        </w:trPr>
        <w:tc>
          <w:tcPr>
            <w:tcW w:w="1834" w:type="dxa"/>
            <w:tcBorders>
              <w:top w:val="nil"/>
              <w:left w:val="single" w:sz="8" w:space="0" w:color="auto"/>
              <w:bottom w:val="single" w:sz="4" w:space="0" w:color="auto"/>
              <w:right w:val="single" w:sz="4" w:space="0" w:color="auto"/>
            </w:tcBorders>
          </w:tcPr>
          <w:p w14:paraId="2E810F38" w14:textId="77777777" w:rsidR="009021F1" w:rsidRPr="0029055B" w:rsidRDefault="009021F1" w:rsidP="00E637E3">
            <w:pPr>
              <w:rPr>
                <w:szCs w:val="21"/>
              </w:rPr>
            </w:pPr>
            <w:r w:rsidRPr="0029055B">
              <w:rPr>
                <w:szCs w:val="21"/>
              </w:rPr>
              <w:t>Primates</w:t>
            </w:r>
          </w:p>
        </w:tc>
        <w:tc>
          <w:tcPr>
            <w:tcW w:w="1767" w:type="dxa"/>
            <w:tcBorders>
              <w:top w:val="nil"/>
              <w:left w:val="single" w:sz="4" w:space="0" w:color="auto"/>
              <w:bottom w:val="single" w:sz="4" w:space="0" w:color="auto"/>
              <w:right w:val="single" w:sz="4" w:space="0" w:color="auto"/>
            </w:tcBorders>
          </w:tcPr>
          <w:p w14:paraId="28319EE7" w14:textId="77777777" w:rsidR="009021F1" w:rsidRPr="0029055B" w:rsidRDefault="009021F1" w:rsidP="00E637E3">
            <w:pPr>
              <w:rPr>
                <w:szCs w:val="21"/>
              </w:rPr>
            </w:pPr>
            <w:r w:rsidRPr="0029055B">
              <w:rPr>
                <w:szCs w:val="21"/>
              </w:rPr>
              <w:t>Homnidae</w:t>
            </w:r>
          </w:p>
        </w:tc>
        <w:tc>
          <w:tcPr>
            <w:tcW w:w="2565" w:type="dxa"/>
            <w:tcBorders>
              <w:top w:val="nil"/>
              <w:left w:val="single" w:sz="4" w:space="0" w:color="auto"/>
              <w:bottom w:val="single" w:sz="4" w:space="0" w:color="auto"/>
              <w:right w:val="single" w:sz="4" w:space="0" w:color="auto"/>
            </w:tcBorders>
            <w:noWrap/>
            <w:vAlign w:val="bottom"/>
          </w:tcPr>
          <w:p w14:paraId="12A9C94E" w14:textId="77777777" w:rsidR="009021F1" w:rsidRPr="0029055B" w:rsidRDefault="009021F1" w:rsidP="00E637E3">
            <w:pPr>
              <w:rPr>
                <w:szCs w:val="21"/>
              </w:rPr>
            </w:pPr>
            <w:r w:rsidRPr="0029055B">
              <w:rPr>
                <w:szCs w:val="21"/>
              </w:rPr>
              <w:t>Gorilla beringei</w:t>
            </w:r>
          </w:p>
        </w:tc>
        <w:tc>
          <w:tcPr>
            <w:tcW w:w="2693" w:type="dxa"/>
            <w:tcBorders>
              <w:top w:val="nil"/>
              <w:left w:val="nil"/>
              <w:bottom w:val="single" w:sz="4" w:space="0" w:color="auto"/>
              <w:right w:val="single" w:sz="4" w:space="0" w:color="auto"/>
            </w:tcBorders>
          </w:tcPr>
          <w:p w14:paraId="169C7075" w14:textId="77777777" w:rsidR="009021F1" w:rsidRPr="0029055B" w:rsidRDefault="009021F1" w:rsidP="00E637E3">
            <w:pPr>
              <w:rPr>
                <w:szCs w:val="21"/>
              </w:rPr>
            </w:pPr>
            <w:r w:rsidRPr="0029055B">
              <w:rPr>
                <w:szCs w:val="21"/>
              </w:rPr>
              <w:t>Gorille, Ingagi</w:t>
            </w:r>
          </w:p>
        </w:tc>
        <w:tc>
          <w:tcPr>
            <w:tcW w:w="1375" w:type="dxa"/>
            <w:tcBorders>
              <w:top w:val="nil"/>
              <w:left w:val="nil"/>
              <w:bottom w:val="single" w:sz="4" w:space="0" w:color="auto"/>
              <w:right w:val="single" w:sz="4" w:space="0" w:color="auto"/>
            </w:tcBorders>
          </w:tcPr>
          <w:p w14:paraId="0A92F80C"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43429909" w14:textId="77777777" w:rsidR="009021F1" w:rsidRPr="0029055B" w:rsidRDefault="009021F1" w:rsidP="00E637E3">
            <w:pPr>
              <w:rPr>
                <w:szCs w:val="21"/>
              </w:rPr>
            </w:pPr>
            <w:r w:rsidRPr="0029055B">
              <w:rPr>
                <w:szCs w:val="21"/>
              </w:rPr>
              <w:t>9 familles</w:t>
            </w:r>
          </w:p>
        </w:tc>
        <w:tc>
          <w:tcPr>
            <w:tcW w:w="2814" w:type="dxa"/>
            <w:tcBorders>
              <w:top w:val="nil"/>
              <w:left w:val="nil"/>
              <w:bottom w:val="single" w:sz="4" w:space="0" w:color="auto"/>
              <w:right w:val="single" w:sz="8" w:space="0" w:color="auto"/>
            </w:tcBorders>
          </w:tcPr>
          <w:p w14:paraId="6CF5BC58" w14:textId="77777777" w:rsidR="009021F1" w:rsidRPr="0029055B" w:rsidRDefault="009021F1" w:rsidP="00E637E3">
            <w:pPr>
              <w:rPr>
                <w:szCs w:val="21"/>
              </w:rPr>
            </w:pPr>
            <w:r w:rsidRPr="0029055B">
              <w:rPr>
                <w:szCs w:val="21"/>
              </w:rPr>
              <w:t>Fmont</w:t>
            </w:r>
          </w:p>
        </w:tc>
      </w:tr>
      <w:tr w:rsidR="009021F1" w:rsidRPr="0029055B" w14:paraId="76AF5A85" w14:textId="77777777" w:rsidTr="00E637E3">
        <w:trPr>
          <w:trHeight w:val="318"/>
        </w:trPr>
        <w:tc>
          <w:tcPr>
            <w:tcW w:w="1834" w:type="dxa"/>
            <w:tcBorders>
              <w:top w:val="nil"/>
              <w:left w:val="single" w:sz="8" w:space="0" w:color="auto"/>
              <w:bottom w:val="single" w:sz="4" w:space="0" w:color="auto"/>
              <w:right w:val="single" w:sz="4" w:space="0" w:color="auto"/>
            </w:tcBorders>
          </w:tcPr>
          <w:p w14:paraId="0F40661A" w14:textId="77777777" w:rsidR="009021F1" w:rsidRPr="0029055B" w:rsidRDefault="009021F1" w:rsidP="00E637E3">
            <w:pPr>
              <w:rPr>
                <w:szCs w:val="21"/>
              </w:rPr>
            </w:pPr>
            <w:r w:rsidRPr="0029055B">
              <w:rPr>
                <w:szCs w:val="21"/>
              </w:rPr>
              <w:t>Carnivora</w:t>
            </w:r>
          </w:p>
        </w:tc>
        <w:tc>
          <w:tcPr>
            <w:tcW w:w="1767" w:type="dxa"/>
            <w:tcBorders>
              <w:top w:val="nil"/>
              <w:left w:val="single" w:sz="4" w:space="0" w:color="auto"/>
              <w:bottom w:val="single" w:sz="4" w:space="0" w:color="auto"/>
              <w:right w:val="single" w:sz="4" w:space="0" w:color="auto"/>
            </w:tcBorders>
          </w:tcPr>
          <w:p w14:paraId="3499B42F" w14:textId="77777777" w:rsidR="009021F1" w:rsidRPr="0029055B" w:rsidRDefault="009021F1" w:rsidP="00E637E3">
            <w:pPr>
              <w:rPr>
                <w:szCs w:val="21"/>
              </w:rPr>
            </w:pPr>
            <w:r w:rsidRPr="0029055B">
              <w:rPr>
                <w:szCs w:val="21"/>
              </w:rPr>
              <w:t xml:space="preserve">Felidae </w:t>
            </w:r>
          </w:p>
        </w:tc>
        <w:tc>
          <w:tcPr>
            <w:tcW w:w="2565" w:type="dxa"/>
            <w:tcBorders>
              <w:top w:val="nil"/>
              <w:left w:val="single" w:sz="4" w:space="0" w:color="auto"/>
              <w:bottom w:val="single" w:sz="4" w:space="0" w:color="auto"/>
              <w:right w:val="single" w:sz="4" w:space="0" w:color="auto"/>
            </w:tcBorders>
            <w:noWrap/>
            <w:vAlign w:val="bottom"/>
          </w:tcPr>
          <w:p w14:paraId="07A24685" w14:textId="77777777" w:rsidR="009021F1" w:rsidRPr="0029055B" w:rsidRDefault="009021F1" w:rsidP="00E637E3">
            <w:pPr>
              <w:rPr>
                <w:szCs w:val="21"/>
              </w:rPr>
            </w:pPr>
            <w:r w:rsidRPr="0029055B">
              <w:rPr>
                <w:szCs w:val="21"/>
              </w:rPr>
              <w:t>Felis catus</w:t>
            </w:r>
          </w:p>
        </w:tc>
        <w:tc>
          <w:tcPr>
            <w:tcW w:w="2693" w:type="dxa"/>
            <w:tcBorders>
              <w:top w:val="nil"/>
              <w:left w:val="nil"/>
              <w:bottom w:val="single" w:sz="4" w:space="0" w:color="auto"/>
              <w:right w:val="single" w:sz="4" w:space="0" w:color="auto"/>
            </w:tcBorders>
          </w:tcPr>
          <w:p w14:paraId="77780ED1" w14:textId="77777777" w:rsidR="009021F1" w:rsidRPr="0029055B" w:rsidRDefault="009021F1" w:rsidP="00E637E3">
            <w:pPr>
              <w:rPr>
                <w:szCs w:val="21"/>
              </w:rPr>
            </w:pPr>
            <w:r w:rsidRPr="0029055B">
              <w:rPr>
                <w:szCs w:val="21"/>
              </w:rPr>
              <w:t>Chat, Pusi</w:t>
            </w:r>
          </w:p>
        </w:tc>
        <w:tc>
          <w:tcPr>
            <w:tcW w:w="1375" w:type="dxa"/>
            <w:tcBorders>
              <w:top w:val="nil"/>
              <w:left w:val="nil"/>
              <w:bottom w:val="single" w:sz="4" w:space="0" w:color="auto"/>
              <w:right w:val="single" w:sz="4" w:space="0" w:color="auto"/>
            </w:tcBorders>
          </w:tcPr>
          <w:p w14:paraId="53DD5219"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6CA371C1" w14:textId="77777777" w:rsidR="009021F1" w:rsidRPr="0029055B" w:rsidRDefault="009021F1" w:rsidP="00E637E3">
            <w:pPr>
              <w:rPr>
                <w:szCs w:val="21"/>
              </w:rPr>
            </w:pPr>
            <w:r w:rsidRPr="0029055B">
              <w:rPr>
                <w:szCs w:val="21"/>
              </w:rPr>
              <w:t>-</w:t>
            </w:r>
          </w:p>
        </w:tc>
        <w:tc>
          <w:tcPr>
            <w:tcW w:w="2814" w:type="dxa"/>
            <w:tcBorders>
              <w:top w:val="nil"/>
              <w:left w:val="nil"/>
              <w:bottom w:val="single" w:sz="4" w:space="0" w:color="auto"/>
              <w:right w:val="single" w:sz="8" w:space="0" w:color="auto"/>
            </w:tcBorders>
          </w:tcPr>
          <w:p w14:paraId="554FEFCC" w14:textId="77777777" w:rsidR="009021F1" w:rsidRPr="0029055B" w:rsidRDefault="009021F1" w:rsidP="00E637E3">
            <w:pPr>
              <w:rPr>
                <w:szCs w:val="21"/>
              </w:rPr>
            </w:pPr>
            <w:r w:rsidRPr="0029055B">
              <w:rPr>
                <w:szCs w:val="21"/>
              </w:rPr>
              <w:t>Domestiqués</w:t>
            </w:r>
          </w:p>
        </w:tc>
      </w:tr>
      <w:tr w:rsidR="009021F1" w:rsidRPr="0029055B" w14:paraId="3A8D394F" w14:textId="77777777" w:rsidTr="00E637E3">
        <w:trPr>
          <w:trHeight w:val="318"/>
        </w:trPr>
        <w:tc>
          <w:tcPr>
            <w:tcW w:w="1834" w:type="dxa"/>
            <w:tcBorders>
              <w:top w:val="nil"/>
              <w:left w:val="single" w:sz="8" w:space="0" w:color="auto"/>
              <w:bottom w:val="single" w:sz="4" w:space="0" w:color="auto"/>
              <w:right w:val="single" w:sz="4" w:space="0" w:color="auto"/>
            </w:tcBorders>
          </w:tcPr>
          <w:p w14:paraId="4030925C" w14:textId="77777777" w:rsidR="009021F1" w:rsidRPr="0029055B" w:rsidRDefault="009021F1" w:rsidP="00E637E3">
            <w:pPr>
              <w:rPr>
                <w:szCs w:val="21"/>
              </w:rPr>
            </w:pPr>
            <w:r w:rsidRPr="0029055B">
              <w:rPr>
                <w:szCs w:val="21"/>
              </w:rPr>
              <w:t>Artiodactyla</w:t>
            </w:r>
          </w:p>
        </w:tc>
        <w:tc>
          <w:tcPr>
            <w:tcW w:w="1767" w:type="dxa"/>
            <w:tcBorders>
              <w:top w:val="nil"/>
              <w:left w:val="single" w:sz="4" w:space="0" w:color="auto"/>
              <w:bottom w:val="single" w:sz="4" w:space="0" w:color="auto"/>
              <w:right w:val="single" w:sz="4" w:space="0" w:color="auto"/>
            </w:tcBorders>
          </w:tcPr>
          <w:p w14:paraId="226B9895" w14:textId="77777777" w:rsidR="009021F1" w:rsidRPr="0029055B" w:rsidRDefault="009021F1" w:rsidP="00E637E3">
            <w:pPr>
              <w:rPr>
                <w:szCs w:val="21"/>
              </w:rPr>
            </w:pPr>
            <w:r w:rsidRPr="0029055B">
              <w:rPr>
                <w:szCs w:val="21"/>
              </w:rPr>
              <w:t>Hipopotamidae</w:t>
            </w:r>
          </w:p>
        </w:tc>
        <w:tc>
          <w:tcPr>
            <w:tcW w:w="2565" w:type="dxa"/>
            <w:tcBorders>
              <w:top w:val="nil"/>
              <w:left w:val="single" w:sz="4" w:space="0" w:color="auto"/>
              <w:bottom w:val="single" w:sz="4" w:space="0" w:color="auto"/>
              <w:right w:val="single" w:sz="4" w:space="0" w:color="auto"/>
            </w:tcBorders>
            <w:noWrap/>
            <w:vAlign w:val="bottom"/>
          </w:tcPr>
          <w:p w14:paraId="14C958B5" w14:textId="77777777" w:rsidR="009021F1" w:rsidRPr="0029055B" w:rsidRDefault="009021F1" w:rsidP="00E637E3">
            <w:pPr>
              <w:rPr>
                <w:szCs w:val="21"/>
              </w:rPr>
            </w:pPr>
            <w:r w:rsidRPr="0029055B">
              <w:rPr>
                <w:szCs w:val="21"/>
              </w:rPr>
              <w:t>Hipopotamus amphibius</w:t>
            </w:r>
          </w:p>
        </w:tc>
        <w:tc>
          <w:tcPr>
            <w:tcW w:w="2693" w:type="dxa"/>
            <w:tcBorders>
              <w:top w:val="nil"/>
              <w:left w:val="nil"/>
              <w:bottom w:val="single" w:sz="4" w:space="0" w:color="auto"/>
              <w:right w:val="single" w:sz="4" w:space="0" w:color="auto"/>
            </w:tcBorders>
          </w:tcPr>
          <w:p w14:paraId="0B5CE3A9" w14:textId="77777777" w:rsidR="009021F1" w:rsidRPr="0029055B" w:rsidRDefault="009021F1" w:rsidP="00E637E3">
            <w:pPr>
              <w:rPr>
                <w:szCs w:val="21"/>
              </w:rPr>
            </w:pPr>
            <w:r w:rsidRPr="0029055B">
              <w:rPr>
                <w:szCs w:val="21"/>
              </w:rPr>
              <w:t>Hippopotame, Imvubu, Kibogo</w:t>
            </w:r>
          </w:p>
        </w:tc>
        <w:tc>
          <w:tcPr>
            <w:tcW w:w="1375" w:type="dxa"/>
            <w:tcBorders>
              <w:top w:val="nil"/>
              <w:left w:val="nil"/>
              <w:bottom w:val="single" w:sz="4" w:space="0" w:color="auto"/>
              <w:right w:val="single" w:sz="4" w:space="0" w:color="auto"/>
            </w:tcBorders>
          </w:tcPr>
          <w:p w14:paraId="05967DF3"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796A858D" w14:textId="77777777" w:rsidR="009021F1" w:rsidRPr="0029055B" w:rsidRDefault="009021F1" w:rsidP="00E637E3">
            <w:pPr>
              <w:rPr>
                <w:szCs w:val="21"/>
              </w:rPr>
            </w:pPr>
            <w:r w:rsidRPr="0029055B">
              <w:rPr>
                <w:szCs w:val="21"/>
              </w:rPr>
              <w:t>-</w:t>
            </w:r>
          </w:p>
        </w:tc>
        <w:tc>
          <w:tcPr>
            <w:tcW w:w="2814" w:type="dxa"/>
            <w:tcBorders>
              <w:top w:val="nil"/>
              <w:left w:val="nil"/>
              <w:bottom w:val="single" w:sz="4" w:space="0" w:color="auto"/>
              <w:right w:val="single" w:sz="8" w:space="0" w:color="auto"/>
            </w:tcBorders>
          </w:tcPr>
          <w:p w14:paraId="06926DDC" w14:textId="77777777" w:rsidR="009021F1" w:rsidRPr="0029055B" w:rsidRDefault="009021F1" w:rsidP="00E637E3">
            <w:pPr>
              <w:rPr>
                <w:szCs w:val="21"/>
              </w:rPr>
            </w:pPr>
            <w:r w:rsidRPr="0029055B">
              <w:rPr>
                <w:szCs w:val="21"/>
              </w:rPr>
              <w:t>L. Edouard, Riv. Rutshuru</w:t>
            </w:r>
          </w:p>
        </w:tc>
      </w:tr>
      <w:tr w:rsidR="009021F1" w:rsidRPr="0029055B" w14:paraId="7E59FE7E" w14:textId="77777777" w:rsidTr="00E637E3">
        <w:trPr>
          <w:trHeight w:val="318"/>
        </w:trPr>
        <w:tc>
          <w:tcPr>
            <w:tcW w:w="1834" w:type="dxa"/>
            <w:tcBorders>
              <w:top w:val="nil"/>
              <w:left w:val="single" w:sz="8" w:space="0" w:color="auto"/>
              <w:bottom w:val="single" w:sz="8" w:space="0" w:color="auto"/>
              <w:right w:val="single" w:sz="4" w:space="0" w:color="auto"/>
            </w:tcBorders>
          </w:tcPr>
          <w:p w14:paraId="56DC61DE" w14:textId="77777777" w:rsidR="009021F1" w:rsidRPr="0029055B" w:rsidRDefault="009021F1" w:rsidP="00E637E3">
            <w:pPr>
              <w:rPr>
                <w:szCs w:val="21"/>
              </w:rPr>
            </w:pPr>
            <w:r w:rsidRPr="0029055B">
              <w:rPr>
                <w:szCs w:val="21"/>
              </w:rPr>
              <w:t>Artiodactyle</w:t>
            </w:r>
          </w:p>
        </w:tc>
        <w:tc>
          <w:tcPr>
            <w:tcW w:w="1767" w:type="dxa"/>
            <w:tcBorders>
              <w:top w:val="nil"/>
              <w:left w:val="single" w:sz="4" w:space="0" w:color="auto"/>
              <w:bottom w:val="single" w:sz="4" w:space="0" w:color="auto"/>
              <w:right w:val="single" w:sz="4" w:space="0" w:color="auto"/>
            </w:tcBorders>
          </w:tcPr>
          <w:p w14:paraId="5FA35724" w14:textId="77777777" w:rsidR="009021F1" w:rsidRPr="0029055B" w:rsidRDefault="009021F1" w:rsidP="00E637E3">
            <w:pPr>
              <w:rPr>
                <w:szCs w:val="21"/>
              </w:rPr>
            </w:pPr>
            <w:r w:rsidRPr="0029055B">
              <w:rPr>
                <w:szCs w:val="21"/>
              </w:rPr>
              <w:t>Bovidae</w:t>
            </w:r>
          </w:p>
        </w:tc>
        <w:tc>
          <w:tcPr>
            <w:tcW w:w="2565" w:type="dxa"/>
            <w:tcBorders>
              <w:top w:val="nil"/>
              <w:left w:val="single" w:sz="4" w:space="0" w:color="auto"/>
              <w:bottom w:val="single" w:sz="4" w:space="0" w:color="auto"/>
              <w:right w:val="single" w:sz="4" w:space="0" w:color="auto"/>
            </w:tcBorders>
            <w:noWrap/>
            <w:vAlign w:val="bottom"/>
          </w:tcPr>
          <w:p w14:paraId="1852E396" w14:textId="77777777" w:rsidR="009021F1" w:rsidRPr="0029055B" w:rsidRDefault="009021F1" w:rsidP="00E637E3">
            <w:pPr>
              <w:rPr>
                <w:szCs w:val="21"/>
              </w:rPr>
            </w:pPr>
            <w:r w:rsidRPr="0029055B">
              <w:rPr>
                <w:szCs w:val="21"/>
              </w:rPr>
              <w:t>Hyalarnus harrisoni</w:t>
            </w:r>
          </w:p>
        </w:tc>
        <w:tc>
          <w:tcPr>
            <w:tcW w:w="2693" w:type="dxa"/>
            <w:tcBorders>
              <w:top w:val="nil"/>
              <w:left w:val="nil"/>
              <w:bottom w:val="single" w:sz="4" w:space="0" w:color="auto"/>
              <w:right w:val="single" w:sz="4" w:space="0" w:color="auto"/>
            </w:tcBorders>
          </w:tcPr>
          <w:p w14:paraId="3EF1AD5C" w14:textId="77777777" w:rsidR="009021F1" w:rsidRPr="0029055B" w:rsidRDefault="009021F1" w:rsidP="00E637E3">
            <w:pPr>
              <w:rPr>
                <w:szCs w:val="21"/>
              </w:rPr>
            </w:pPr>
            <w:r w:rsidRPr="0029055B">
              <w:rPr>
                <w:szCs w:val="21"/>
              </w:rPr>
              <w:t>Antiloppe naine</w:t>
            </w:r>
          </w:p>
        </w:tc>
        <w:tc>
          <w:tcPr>
            <w:tcW w:w="1375" w:type="dxa"/>
            <w:tcBorders>
              <w:top w:val="nil"/>
              <w:left w:val="nil"/>
              <w:bottom w:val="single" w:sz="4" w:space="0" w:color="auto"/>
              <w:right w:val="single" w:sz="4" w:space="0" w:color="auto"/>
            </w:tcBorders>
          </w:tcPr>
          <w:p w14:paraId="58948148"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54307F59" w14:textId="77777777" w:rsidR="009021F1" w:rsidRPr="0029055B" w:rsidRDefault="009021F1" w:rsidP="00E637E3">
            <w:pPr>
              <w:rPr>
                <w:szCs w:val="21"/>
              </w:rPr>
            </w:pPr>
            <w:r w:rsidRPr="0029055B">
              <w:rPr>
                <w:szCs w:val="21"/>
              </w:rPr>
              <w:t>-</w:t>
            </w:r>
          </w:p>
        </w:tc>
        <w:tc>
          <w:tcPr>
            <w:tcW w:w="2814" w:type="dxa"/>
            <w:tcBorders>
              <w:top w:val="nil"/>
              <w:left w:val="nil"/>
              <w:bottom w:val="single" w:sz="8" w:space="0" w:color="auto"/>
              <w:right w:val="single" w:sz="8" w:space="0" w:color="auto"/>
            </w:tcBorders>
          </w:tcPr>
          <w:p w14:paraId="63924B27" w14:textId="77777777" w:rsidR="009021F1" w:rsidRPr="0029055B" w:rsidRDefault="009021F1" w:rsidP="00E637E3">
            <w:pPr>
              <w:rPr>
                <w:szCs w:val="21"/>
              </w:rPr>
            </w:pPr>
            <w:r w:rsidRPr="0029055B">
              <w:rPr>
                <w:szCs w:val="21"/>
              </w:rPr>
              <w:t>Fm, FsFha, partout</w:t>
            </w:r>
          </w:p>
        </w:tc>
      </w:tr>
      <w:tr w:rsidR="009021F1" w:rsidRPr="0029055B" w14:paraId="67221ABF" w14:textId="77777777" w:rsidTr="00E637E3">
        <w:trPr>
          <w:trHeight w:val="318"/>
        </w:trPr>
        <w:tc>
          <w:tcPr>
            <w:tcW w:w="1834" w:type="dxa"/>
            <w:tcBorders>
              <w:top w:val="single" w:sz="8" w:space="0" w:color="auto"/>
              <w:left w:val="single" w:sz="8" w:space="0" w:color="auto"/>
              <w:bottom w:val="single" w:sz="4" w:space="0" w:color="auto"/>
              <w:right w:val="single" w:sz="4" w:space="0" w:color="auto"/>
            </w:tcBorders>
          </w:tcPr>
          <w:p w14:paraId="5D85141E" w14:textId="77777777" w:rsidR="009021F1" w:rsidRPr="0029055B" w:rsidRDefault="009021F1" w:rsidP="00E637E3">
            <w:pPr>
              <w:rPr>
                <w:szCs w:val="21"/>
              </w:rPr>
            </w:pPr>
            <w:r w:rsidRPr="0029055B">
              <w:rPr>
                <w:szCs w:val="21"/>
              </w:rPr>
              <w:t>Artiodactyla</w:t>
            </w:r>
          </w:p>
        </w:tc>
        <w:tc>
          <w:tcPr>
            <w:tcW w:w="1767" w:type="dxa"/>
            <w:tcBorders>
              <w:top w:val="nil"/>
              <w:left w:val="single" w:sz="4" w:space="0" w:color="auto"/>
              <w:bottom w:val="single" w:sz="4" w:space="0" w:color="auto"/>
              <w:right w:val="single" w:sz="4" w:space="0" w:color="auto"/>
            </w:tcBorders>
          </w:tcPr>
          <w:p w14:paraId="5561B5EA" w14:textId="77777777" w:rsidR="009021F1" w:rsidRPr="0029055B" w:rsidRDefault="009021F1" w:rsidP="00E637E3">
            <w:pPr>
              <w:rPr>
                <w:szCs w:val="21"/>
              </w:rPr>
            </w:pPr>
            <w:r w:rsidRPr="0029055B">
              <w:rPr>
                <w:szCs w:val="21"/>
              </w:rPr>
              <w:t xml:space="preserve">Suidae </w:t>
            </w:r>
          </w:p>
        </w:tc>
        <w:tc>
          <w:tcPr>
            <w:tcW w:w="2565" w:type="dxa"/>
            <w:tcBorders>
              <w:top w:val="nil"/>
              <w:left w:val="single" w:sz="4" w:space="0" w:color="auto"/>
              <w:bottom w:val="single" w:sz="4" w:space="0" w:color="auto"/>
              <w:right w:val="single" w:sz="4" w:space="0" w:color="auto"/>
            </w:tcBorders>
            <w:noWrap/>
            <w:vAlign w:val="bottom"/>
          </w:tcPr>
          <w:p w14:paraId="208CA4E1" w14:textId="77777777" w:rsidR="009021F1" w:rsidRPr="0029055B" w:rsidRDefault="009021F1" w:rsidP="00E637E3">
            <w:pPr>
              <w:rPr>
                <w:szCs w:val="21"/>
              </w:rPr>
            </w:pPr>
            <w:r w:rsidRPr="0029055B">
              <w:rPr>
                <w:szCs w:val="21"/>
              </w:rPr>
              <w:t>Hylochoerus meinertzhageni</w:t>
            </w:r>
          </w:p>
        </w:tc>
        <w:tc>
          <w:tcPr>
            <w:tcW w:w="2693" w:type="dxa"/>
            <w:tcBorders>
              <w:top w:val="nil"/>
              <w:left w:val="nil"/>
              <w:bottom w:val="single" w:sz="4" w:space="0" w:color="auto"/>
              <w:right w:val="single" w:sz="4" w:space="0" w:color="auto"/>
            </w:tcBorders>
          </w:tcPr>
          <w:p w14:paraId="4E9E2188" w14:textId="77777777" w:rsidR="009021F1" w:rsidRPr="0029055B" w:rsidRDefault="009021F1" w:rsidP="00E637E3">
            <w:pPr>
              <w:rPr>
                <w:szCs w:val="21"/>
              </w:rPr>
            </w:pPr>
            <w:r w:rsidRPr="0029055B">
              <w:rPr>
                <w:szCs w:val="21"/>
              </w:rPr>
              <w:t>Hylochère</w:t>
            </w:r>
          </w:p>
        </w:tc>
        <w:tc>
          <w:tcPr>
            <w:tcW w:w="1375" w:type="dxa"/>
            <w:tcBorders>
              <w:top w:val="nil"/>
              <w:left w:val="nil"/>
              <w:bottom w:val="single" w:sz="4" w:space="0" w:color="auto"/>
              <w:right w:val="single" w:sz="4" w:space="0" w:color="auto"/>
            </w:tcBorders>
          </w:tcPr>
          <w:p w14:paraId="2379376C"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7C4FFBFA" w14:textId="77777777" w:rsidR="009021F1" w:rsidRPr="0029055B" w:rsidRDefault="009021F1" w:rsidP="00E637E3">
            <w:pPr>
              <w:rPr>
                <w:szCs w:val="21"/>
              </w:rPr>
            </w:pPr>
            <w:r w:rsidRPr="0029055B">
              <w:rPr>
                <w:szCs w:val="21"/>
              </w:rPr>
              <w:t>-</w:t>
            </w:r>
          </w:p>
        </w:tc>
        <w:tc>
          <w:tcPr>
            <w:tcW w:w="2814" w:type="dxa"/>
            <w:tcBorders>
              <w:top w:val="single" w:sz="8" w:space="0" w:color="auto"/>
              <w:left w:val="nil"/>
              <w:bottom w:val="single" w:sz="4" w:space="0" w:color="auto"/>
              <w:right w:val="single" w:sz="8" w:space="0" w:color="auto"/>
            </w:tcBorders>
          </w:tcPr>
          <w:p w14:paraId="2382AC8B" w14:textId="77777777" w:rsidR="009021F1" w:rsidRPr="0029055B" w:rsidRDefault="009021F1" w:rsidP="00E637E3">
            <w:pPr>
              <w:rPr>
                <w:szCs w:val="21"/>
              </w:rPr>
            </w:pPr>
            <w:r w:rsidRPr="0029055B">
              <w:rPr>
                <w:szCs w:val="21"/>
              </w:rPr>
              <w:t>Gal for. Rutshuru</w:t>
            </w:r>
          </w:p>
        </w:tc>
      </w:tr>
      <w:tr w:rsidR="009021F1" w:rsidRPr="0029055B" w14:paraId="74AB3E8F" w14:textId="77777777" w:rsidTr="00E637E3">
        <w:trPr>
          <w:trHeight w:val="318"/>
        </w:trPr>
        <w:tc>
          <w:tcPr>
            <w:tcW w:w="1834" w:type="dxa"/>
            <w:tcBorders>
              <w:top w:val="single" w:sz="4" w:space="0" w:color="auto"/>
              <w:left w:val="single" w:sz="8" w:space="0" w:color="auto"/>
              <w:bottom w:val="single" w:sz="4" w:space="0" w:color="auto"/>
              <w:right w:val="single" w:sz="4" w:space="0" w:color="auto"/>
            </w:tcBorders>
          </w:tcPr>
          <w:p w14:paraId="226911D1" w14:textId="77777777" w:rsidR="009021F1" w:rsidRPr="0029055B" w:rsidRDefault="009021F1" w:rsidP="00E637E3">
            <w:pPr>
              <w:rPr>
                <w:szCs w:val="21"/>
              </w:rPr>
            </w:pPr>
            <w:r w:rsidRPr="0029055B">
              <w:rPr>
                <w:szCs w:val="21"/>
              </w:rPr>
              <w:t>Rodentia</w:t>
            </w:r>
          </w:p>
        </w:tc>
        <w:tc>
          <w:tcPr>
            <w:tcW w:w="1767" w:type="dxa"/>
            <w:tcBorders>
              <w:top w:val="nil"/>
              <w:left w:val="single" w:sz="4" w:space="0" w:color="auto"/>
              <w:bottom w:val="single" w:sz="4" w:space="0" w:color="auto"/>
              <w:right w:val="single" w:sz="4" w:space="0" w:color="auto"/>
            </w:tcBorders>
          </w:tcPr>
          <w:p w14:paraId="33DD3F24" w14:textId="77777777" w:rsidR="009021F1" w:rsidRPr="0029055B" w:rsidRDefault="009021F1" w:rsidP="00E637E3">
            <w:pPr>
              <w:rPr>
                <w:szCs w:val="21"/>
              </w:rPr>
            </w:pPr>
            <w:r w:rsidRPr="0029055B">
              <w:rPr>
                <w:szCs w:val="21"/>
              </w:rPr>
              <w:t>Hystricidae</w:t>
            </w:r>
          </w:p>
        </w:tc>
        <w:tc>
          <w:tcPr>
            <w:tcW w:w="2565" w:type="dxa"/>
            <w:tcBorders>
              <w:top w:val="nil"/>
              <w:left w:val="single" w:sz="4" w:space="0" w:color="auto"/>
              <w:bottom w:val="single" w:sz="4" w:space="0" w:color="auto"/>
              <w:right w:val="single" w:sz="4" w:space="0" w:color="auto"/>
            </w:tcBorders>
            <w:noWrap/>
            <w:vAlign w:val="bottom"/>
          </w:tcPr>
          <w:p w14:paraId="49CC151B" w14:textId="77777777" w:rsidR="009021F1" w:rsidRPr="0029055B" w:rsidRDefault="009021F1" w:rsidP="00E637E3">
            <w:pPr>
              <w:rPr>
                <w:szCs w:val="21"/>
              </w:rPr>
            </w:pPr>
            <w:r w:rsidRPr="0029055B">
              <w:rPr>
                <w:szCs w:val="21"/>
              </w:rPr>
              <w:t>Hystrix africaeaustralis</w:t>
            </w:r>
          </w:p>
        </w:tc>
        <w:tc>
          <w:tcPr>
            <w:tcW w:w="2693" w:type="dxa"/>
            <w:tcBorders>
              <w:top w:val="nil"/>
              <w:left w:val="nil"/>
              <w:bottom w:val="single" w:sz="4" w:space="0" w:color="auto"/>
              <w:right w:val="single" w:sz="4" w:space="0" w:color="auto"/>
            </w:tcBorders>
          </w:tcPr>
          <w:p w14:paraId="35527C29" w14:textId="77777777" w:rsidR="009021F1" w:rsidRPr="0029055B" w:rsidRDefault="009021F1" w:rsidP="00E637E3">
            <w:pPr>
              <w:rPr>
                <w:szCs w:val="21"/>
              </w:rPr>
            </w:pPr>
            <w:r w:rsidRPr="0029055B">
              <w:rPr>
                <w:szCs w:val="21"/>
              </w:rPr>
              <w:t>Porc-Epic</w:t>
            </w:r>
          </w:p>
        </w:tc>
        <w:tc>
          <w:tcPr>
            <w:tcW w:w="1375" w:type="dxa"/>
            <w:tcBorders>
              <w:top w:val="nil"/>
              <w:left w:val="nil"/>
              <w:bottom w:val="single" w:sz="4" w:space="0" w:color="auto"/>
              <w:right w:val="single" w:sz="4" w:space="0" w:color="auto"/>
            </w:tcBorders>
          </w:tcPr>
          <w:p w14:paraId="3871F215"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0660EA85" w14:textId="77777777" w:rsidR="009021F1" w:rsidRPr="0029055B" w:rsidRDefault="009021F1" w:rsidP="00E637E3">
            <w:pPr>
              <w:rPr>
                <w:szCs w:val="21"/>
              </w:rPr>
            </w:pPr>
            <w:r w:rsidRPr="0029055B">
              <w:rPr>
                <w:szCs w:val="21"/>
              </w:rPr>
              <w:t>-</w:t>
            </w:r>
          </w:p>
        </w:tc>
        <w:tc>
          <w:tcPr>
            <w:tcW w:w="2814" w:type="dxa"/>
            <w:tcBorders>
              <w:top w:val="nil"/>
              <w:left w:val="nil"/>
              <w:bottom w:val="single" w:sz="4" w:space="0" w:color="auto"/>
              <w:right w:val="single" w:sz="8" w:space="0" w:color="auto"/>
            </w:tcBorders>
          </w:tcPr>
          <w:p w14:paraId="4F11B074" w14:textId="77777777" w:rsidR="009021F1" w:rsidRPr="0029055B" w:rsidRDefault="009021F1" w:rsidP="00E637E3">
            <w:pPr>
              <w:rPr>
                <w:szCs w:val="21"/>
              </w:rPr>
            </w:pPr>
            <w:r w:rsidRPr="0029055B">
              <w:rPr>
                <w:szCs w:val="21"/>
              </w:rPr>
              <w:t>Fs, Fm</w:t>
            </w:r>
          </w:p>
        </w:tc>
      </w:tr>
      <w:tr w:rsidR="009021F1" w:rsidRPr="0029055B" w14:paraId="7A385372" w14:textId="77777777" w:rsidTr="00E637E3">
        <w:trPr>
          <w:trHeight w:val="318"/>
        </w:trPr>
        <w:tc>
          <w:tcPr>
            <w:tcW w:w="1834" w:type="dxa"/>
            <w:tcBorders>
              <w:top w:val="nil"/>
              <w:left w:val="single" w:sz="8" w:space="0" w:color="auto"/>
              <w:bottom w:val="single" w:sz="4" w:space="0" w:color="auto"/>
              <w:right w:val="single" w:sz="4" w:space="0" w:color="auto"/>
            </w:tcBorders>
            <w:vAlign w:val="bottom"/>
          </w:tcPr>
          <w:p w14:paraId="688BEDC8" w14:textId="77777777" w:rsidR="009021F1" w:rsidRPr="0029055B" w:rsidRDefault="009021F1" w:rsidP="00E637E3">
            <w:pPr>
              <w:rPr>
                <w:szCs w:val="21"/>
              </w:rPr>
            </w:pPr>
            <w:r w:rsidRPr="0029055B">
              <w:rPr>
                <w:szCs w:val="21"/>
              </w:rPr>
              <w:t>Artiodactyla</w:t>
            </w:r>
          </w:p>
        </w:tc>
        <w:tc>
          <w:tcPr>
            <w:tcW w:w="1767" w:type="dxa"/>
            <w:tcBorders>
              <w:top w:val="nil"/>
              <w:left w:val="single" w:sz="4" w:space="0" w:color="auto"/>
              <w:bottom w:val="single" w:sz="4" w:space="0" w:color="auto"/>
              <w:right w:val="single" w:sz="4" w:space="0" w:color="auto"/>
            </w:tcBorders>
            <w:vAlign w:val="bottom"/>
          </w:tcPr>
          <w:p w14:paraId="5B2DF8FB" w14:textId="77777777" w:rsidR="009021F1" w:rsidRPr="0029055B" w:rsidRDefault="009021F1" w:rsidP="00E637E3">
            <w:pPr>
              <w:rPr>
                <w:szCs w:val="21"/>
              </w:rPr>
            </w:pPr>
            <w:r w:rsidRPr="0029055B">
              <w:rPr>
                <w:szCs w:val="21"/>
              </w:rPr>
              <w:t>Bovidae</w:t>
            </w:r>
          </w:p>
        </w:tc>
        <w:tc>
          <w:tcPr>
            <w:tcW w:w="2565" w:type="dxa"/>
            <w:tcBorders>
              <w:top w:val="nil"/>
              <w:left w:val="single" w:sz="4" w:space="0" w:color="auto"/>
              <w:bottom w:val="single" w:sz="4" w:space="0" w:color="auto"/>
              <w:right w:val="single" w:sz="4" w:space="0" w:color="auto"/>
            </w:tcBorders>
            <w:noWrap/>
            <w:vAlign w:val="bottom"/>
          </w:tcPr>
          <w:p w14:paraId="0DB5A189" w14:textId="77777777" w:rsidR="009021F1" w:rsidRPr="0029055B" w:rsidRDefault="009021F1" w:rsidP="00E637E3">
            <w:pPr>
              <w:rPr>
                <w:szCs w:val="21"/>
              </w:rPr>
            </w:pPr>
            <w:r w:rsidRPr="0029055B">
              <w:rPr>
                <w:szCs w:val="21"/>
              </w:rPr>
              <w:t>Kobus ellipsiprymnus</w:t>
            </w:r>
          </w:p>
        </w:tc>
        <w:tc>
          <w:tcPr>
            <w:tcW w:w="2693" w:type="dxa"/>
            <w:tcBorders>
              <w:top w:val="nil"/>
              <w:left w:val="nil"/>
              <w:bottom w:val="single" w:sz="4" w:space="0" w:color="auto"/>
              <w:right w:val="single" w:sz="4" w:space="0" w:color="auto"/>
            </w:tcBorders>
            <w:vAlign w:val="bottom"/>
          </w:tcPr>
          <w:p w14:paraId="0C02AAE9" w14:textId="77777777" w:rsidR="009021F1" w:rsidRPr="0029055B" w:rsidRDefault="009021F1" w:rsidP="00E637E3">
            <w:pPr>
              <w:rPr>
                <w:szCs w:val="21"/>
              </w:rPr>
            </w:pPr>
            <w:r w:rsidRPr="0029055B">
              <w:rPr>
                <w:szCs w:val="21"/>
              </w:rPr>
              <w:t>Cob</w:t>
            </w:r>
          </w:p>
        </w:tc>
        <w:tc>
          <w:tcPr>
            <w:tcW w:w="1375" w:type="dxa"/>
            <w:tcBorders>
              <w:top w:val="nil"/>
              <w:left w:val="nil"/>
              <w:bottom w:val="single" w:sz="4" w:space="0" w:color="auto"/>
              <w:right w:val="single" w:sz="4" w:space="0" w:color="auto"/>
            </w:tcBorders>
          </w:tcPr>
          <w:p w14:paraId="5D637194"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4B0918CD" w14:textId="77777777" w:rsidR="009021F1" w:rsidRPr="0029055B" w:rsidRDefault="009021F1" w:rsidP="00E637E3">
            <w:pPr>
              <w:rPr>
                <w:szCs w:val="21"/>
              </w:rPr>
            </w:pPr>
            <w:r w:rsidRPr="0029055B">
              <w:rPr>
                <w:szCs w:val="21"/>
              </w:rPr>
              <w:t>-</w:t>
            </w:r>
          </w:p>
        </w:tc>
        <w:tc>
          <w:tcPr>
            <w:tcW w:w="2814" w:type="dxa"/>
            <w:tcBorders>
              <w:top w:val="nil"/>
              <w:left w:val="nil"/>
              <w:bottom w:val="single" w:sz="8" w:space="0" w:color="auto"/>
              <w:right w:val="single" w:sz="8" w:space="0" w:color="auto"/>
            </w:tcBorders>
          </w:tcPr>
          <w:p w14:paraId="370948BD" w14:textId="77777777" w:rsidR="009021F1" w:rsidRPr="0029055B" w:rsidRDefault="009021F1" w:rsidP="00E637E3">
            <w:pPr>
              <w:rPr>
                <w:szCs w:val="21"/>
              </w:rPr>
            </w:pPr>
            <w:r w:rsidRPr="0029055B">
              <w:rPr>
                <w:szCs w:val="21"/>
              </w:rPr>
              <w:t>Fha, Fs, Fm</w:t>
            </w:r>
          </w:p>
        </w:tc>
      </w:tr>
      <w:tr w:rsidR="009021F1" w:rsidRPr="0029055B" w14:paraId="5E2F57C1" w14:textId="77777777" w:rsidTr="00E637E3">
        <w:trPr>
          <w:trHeight w:val="318"/>
        </w:trPr>
        <w:tc>
          <w:tcPr>
            <w:tcW w:w="1834" w:type="dxa"/>
            <w:tcBorders>
              <w:top w:val="nil"/>
              <w:left w:val="single" w:sz="8" w:space="0" w:color="auto"/>
              <w:bottom w:val="single" w:sz="4" w:space="0" w:color="auto"/>
              <w:right w:val="single" w:sz="4" w:space="0" w:color="auto"/>
            </w:tcBorders>
            <w:vAlign w:val="bottom"/>
          </w:tcPr>
          <w:p w14:paraId="5DE645FB" w14:textId="77777777" w:rsidR="009021F1" w:rsidRPr="0029055B" w:rsidRDefault="009021F1" w:rsidP="00E637E3">
            <w:pPr>
              <w:rPr>
                <w:szCs w:val="21"/>
              </w:rPr>
            </w:pPr>
            <w:r w:rsidRPr="0029055B">
              <w:rPr>
                <w:szCs w:val="21"/>
              </w:rPr>
              <w:t>Artiodactyla</w:t>
            </w:r>
          </w:p>
        </w:tc>
        <w:tc>
          <w:tcPr>
            <w:tcW w:w="1767" w:type="dxa"/>
            <w:tcBorders>
              <w:top w:val="nil"/>
              <w:left w:val="single" w:sz="4" w:space="0" w:color="auto"/>
              <w:bottom w:val="single" w:sz="4" w:space="0" w:color="auto"/>
              <w:right w:val="single" w:sz="4" w:space="0" w:color="auto"/>
            </w:tcBorders>
            <w:vAlign w:val="bottom"/>
          </w:tcPr>
          <w:p w14:paraId="66179AE7" w14:textId="77777777" w:rsidR="009021F1" w:rsidRPr="0029055B" w:rsidRDefault="009021F1" w:rsidP="00E637E3">
            <w:pPr>
              <w:rPr>
                <w:szCs w:val="21"/>
              </w:rPr>
            </w:pPr>
            <w:r w:rsidRPr="0029055B">
              <w:rPr>
                <w:szCs w:val="21"/>
              </w:rPr>
              <w:t>Bovidae</w:t>
            </w:r>
          </w:p>
        </w:tc>
        <w:tc>
          <w:tcPr>
            <w:tcW w:w="2565" w:type="dxa"/>
            <w:tcBorders>
              <w:top w:val="nil"/>
              <w:left w:val="single" w:sz="4" w:space="0" w:color="auto"/>
              <w:bottom w:val="single" w:sz="4" w:space="0" w:color="auto"/>
              <w:right w:val="single" w:sz="4" w:space="0" w:color="auto"/>
            </w:tcBorders>
            <w:noWrap/>
            <w:vAlign w:val="bottom"/>
          </w:tcPr>
          <w:p w14:paraId="329E7F43" w14:textId="77777777" w:rsidR="009021F1" w:rsidRPr="0029055B" w:rsidRDefault="009021F1" w:rsidP="00E637E3">
            <w:pPr>
              <w:rPr>
                <w:szCs w:val="21"/>
              </w:rPr>
            </w:pPr>
            <w:r w:rsidRPr="0029055B">
              <w:rPr>
                <w:szCs w:val="21"/>
              </w:rPr>
              <w:t>Kobus kob</w:t>
            </w:r>
          </w:p>
        </w:tc>
        <w:tc>
          <w:tcPr>
            <w:tcW w:w="2693" w:type="dxa"/>
            <w:tcBorders>
              <w:top w:val="nil"/>
              <w:left w:val="nil"/>
              <w:bottom w:val="single" w:sz="4" w:space="0" w:color="auto"/>
              <w:right w:val="single" w:sz="4" w:space="0" w:color="auto"/>
            </w:tcBorders>
            <w:vAlign w:val="bottom"/>
          </w:tcPr>
          <w:p w14:paraId="05850409" w14:textId="77777777" w:rsidR="009021F1" w:rsidRPr="0029055B" w:rsidRDefault="009021F1" w:rsidP="00E637E3">
            <w:pPr>
              <w:rPr>
                <w:szCs w:val="21"/>
              </w:rPr>
            </w:pPr>
            <w:r w:rsidRPr="0029055B">
              <w:rPr>
                <w:szCs w:val="21"/>
              </w:rPr>
              <w:t xml:space="preserve">Cob </w:t>
            </w:r>
          </w:p>
        </w:tc>
        <w:tc>
          <w:tcPr>
            <w:tcW w:w="1375" w:type="dxa"/>
            <w:tcBorders>
              <w:top w:val="nil"/>
              <w:left w:val="nil"/>
              <w:bottom w:val="single" w:sz="4" w:space="0" w:color="auto"/>
              <w:right w:val="single" w:sz="4" w:space="0" w:color="auto"/>
            </w:tcBorders>
          </w:tcPr>
          <w:p w14:paraId="5AF886D0"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0B58C696" w14:textId="77777777" w:rsidR="009021F1" w:rsidRPr="0029055B" w:rsidRDefault="009021F1" w:rsidP="00E637E3">
            <w:pPr>
              <w:rPr>
                <w:szCs w:val="21"/>
              </w:rPr>
            </w:pPr>
            <w:r w:rsidRPr="0029055B">
              <w:rPr>
                <w:szCs w:val="21"/>
              </w:rPr>
              <w:t>-</w:t>
            </w:r>
          </w:p>
        </w:tc>
        <w:tc>
          <w:tcPr>
            <w:tcW w:w="2814" w:type="dxa"/>
            <w:tcBorders>
              <w:top w:val="single" w:sz="8" w:space="0" w:color="auto"/>
              <w:left w:val="nil"/>
              <w:bottom w:val="single" w:sz="4" w:space="0" w:color="auto"/>
              <w:right w:val="single" w:sz="8" w:space="0" w:color="auto"/>
            </w:tcBorders>
          </w:tcPr>
          <w:p w14:paraId="67C726FB" w14:textId="77777777" w:rsidR="009021F1" w:rsidRPr="0029055B" w:rsidRDefault="009021F1" w:rsidP="00E637E3">
            <w:pPr>
              <w:rPr>
                <w:szCs w:val="21"/>
              </w:rPr>
            </w:pPr>
            <w:r w:rsidRPr="0029055B">
              <w:rPr>
                <w:szCs w:val="21"/>
              </w:rPr>
              <w:t>Fha, partout</w:t>
            </w:r>
          </w:p>
        </w:tc>
      </w:tr>
      <w:tr w:rsidR="009021F1" w:rsidRPr="0029055B" w14:paraId="205EA5AC" w14:textId="77777777" w:rsidTr="00E637E3">
        <w:trPr>
          <w:trHeight w:val="318"/>
        </w:trPr>
        <w:tc>
          <w:tcPr>
            <w:tcW w:w="1834" w:type="dxa"/>
            <w:tcBorders>
              <w:top w:val="nil"/>
              <w:left w:val="single" w:sz="8" w:space="0" w:color="auto"/>
              <w:bottom w:val="single" w:sz="4" w:space="0" w:color="auto"/>
              <w:right w:val="single" w:sz="4" w:space="0" w:color="auto"/>
            </w:tcBorders>
          </w:tcPr>
          <w:p w14:paraId="59466885" w14:textId="77777777" w:rsidR="009021F1" w:rsidRPr="0029055B" w:rsidRDefault="009021F1" w:rsidP="00E637E3">
            <w:pPr>
              <w:rPr>
                <w:szCs w:val="21"/>
              </w:rPr>
            </w:pPr>
            <w:r w:rsidRPr="0029055B">
              <w:rPr>
                <w:szCs w:val="21"/>
              </w:rPr>
              <w:t>Lagomorpha</w:t>
            </w:r>
          </w:p>
        </w:tc>
        <w:tc>
          <w:tcPr>
            <w:tcW w:w="1767" w:type="dxa"/>
            <w:tcBorders>
              <w:top w:val="nil"/>
              <w:left w:val="single" w:sz="4" w:space="0" w:color="auto"/>
              <w:bottom w:val="single" w:sz="4" w:space="0" w:color="auto"/>
              <w:right w:val="single" w:sz="4" w:space="0" w:color="auto"/>
            </w:tcBorders>
          </w:tcPr>
          <w:p w14:paraId="7D24953F" w14:textId="77777777" w:rsidR="009021F1" w:rsidRPr="0029055B" w:rsidRDefault="009021F1" w:rsidP="00E637E3">
            <w:pPr>
              <w:rPr>
                <w:szCs w:val="21"/>
              </w:rPr>
            </w:pPr>
            <w:r w:rsidRPr="0029055B">
              <w:rPr>
                <w:szCs w:val="21"/>
              </w:rPr>
              <w:t>Leporidae</w:t>
            </w:r>
          </w:p>
        </w:tc>
        <w:tc>
          <w:tcPr>
            <w:tcW w:w="2565" w:type="dxa"/>
            <w:tcBorders>
              <w:top w:val="nil"/>
              <w:left w:val="single" w:sz="4" w:space="0" w:color="auto"/>
              <w:bottom w:val="single" w:sz="4" w:space="0" w:color="auto"/>
              <w:right w:val="single" w:sz="4" w:space="0" w:color="auto"/>
            </w:tcBorders>
            <w:noWrap/>
            <w:vAlign w:val="bottom"/>
          </w:tcPr>
          <w:p w14:paraId="7F7E9768" w14:textId="77777777" w:rsidR="009021F1" w:rsidRPr="0029055B" w:rsidRDefault="009021F1" w:rsidP="00E637E3">
            <w:pPr>
              <w:rPr>
                <w:szCs w:val="21"/>
              </w:rPr>
            </w:pPr>
            <w:r w:rsidRPr="0029055B">
              <w:rPr>
                <w:szCs w:val="21"/>
              </w:rPr>
              <w:t>Lepus crawshayi</w:t>
            </w:r>
          </w:p>
        </w:tc>
        <w:tc>
          <w:tcPr>
            <w:tcW w:w="2693" w:type="dxa"/>
            <w:tcBorders>
              <w:top w:val="nil"/>
              <w:left w:val="nil"/>
              <w:bottom w:val="single" w:sz="4" w:space="0" w:color="auto"/>
              <w:right w:val="single" w:sz="4" w:space="0" w:color="auto"/>
            </w:tcBorders>
          </w:tcPr>
          <w:p w14:paraId="368364FF" w14:textId="77777777" w:rsidR="009021F1" w:rsidRPr="0029055B" w:rsidRDefault="009021F1" w:rsidP="00E637E3">
            <w:pPr>
              <w:rPr>
                <w:szCs w:val="21"/>
              </w:rPr>
            </w:pPr>
            <w:r w:rsidRPr="0029055B">
              <w:rPr>
                <w:szCs w:val="21"/>
              </w:rPr>
              <w:t>Lièvre</w:t>
            </w:r>
          </w:p>
        </w:tc>
        <w:tc>
          <w:tcPr>
            <w:tcW w:w="1375" w:type="dxa"/>
            <w:tcBorders>
              <w:top w:val="nil"/>
              <w:left w:val="nil"/>
              <w:bottom w:val="single" w:sz="4" w:space="0" w:color="auto"/>
              <w:right w:val="single" w:sz="4" w:space="0" w:color="auto"/>
            </w:tcBorders>
          </w:tcPr>
          <w:p w14:paraId="69C659FC"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79770018" w14:textId="77777777" w:rsidR="009021F1" w:rsidRPr="0029055B" w:rsidRDefault="009021F1" w:rsidP="00E637E3">
            <w:pPr>
              <w:rPr>
                <w:szCs w:val="21"/>
              </w:rPr>
            </w:pPr>
            <w:r w:rsidRPr="0029055B">
              <w:rPr>
                <w:szCs w:val="21"/>
              </w:rPr>
              <w:t>-</w:t>
            </w:r>
          </w:p>
        </w:tc>
        <w:tc>
          <w:tcPr>
            <w:tcW w:w="2814" w:type="dxa"/>
            <w:tcBorders>
              <w:top w:val="nil"/>
              <w:left w:val="nil"/>
              <w:bottom w:val="single" w:sz="4" w:space="0" w:color="auto"/>
              <w:right w:val="single" w:sz="8" w:space="0" w:color="auto"/>
            </w:tcBorders>
          </w:tcPr>
          <w:p w14:paraId="654B99F8" w14:textId="77777777" w:rsidR="009021F1" w:rsidRPr="0029055B" w:rsidRDefault="009021F1" w:rsidP="00E637E3">
            <w:pPr>
              <w:rPr>
                <w:szCs w:val="21"/>
              </w:rPr>
            </w:pPr>
            <w:r w:rsidRPr="0029055B">
              <w:rPr>
                <w:szCs w:val="21"/>
              </w:rPr>
              <w:t>Fs</w:t>
            </w:r>
          </w:p>
        </w:tc>
      </w:tr>
      <w:tr w:rsidR="009021F1" w:rsidRPr="0029055B" w14:paraId="6613598B" w14:textId="77777777" w:rsidTr="00E637E3">
        <w:trPr>
          <w:trHeight w:val="318"/>
        </w:trPr>
        <w:tc>
          <w:tcPr>
            <w:tcW w:w="1834" w:type="dxa"/>
            <w:tcBorders>
              <w:top w:val="nil"/>
              <w:left w:val="single" w:sz="8" w:space="0" w:color="auto"/>
              <w:bottom w:val="single" w:sz="8" w:space="0" w:color="auto"/>
              <w:right w:val="single" w:sz="4" w:space="0" w:color="auto"/>
            </w:tcBorders>
          </w:tcPr>
          <w:p w14:paraId="6A068482" w14:textId="77777777" w:rsidR="009021F1" w:rsidRPr="0029055B" w:rsidRDefault="009021F1" w:rsidP="00E637E3">
            <w:pPr>
              <w:rPr>
                <w:szCs w:val="21"/>
              </w:rPr>
            </w:pPr>
            <w:r w:rsidRPr="0029055B">
              <w:rPr>
                <w:szCs w:val="21"/>
              </w:rPr>
              <w:t>Lagomorpha</w:t>
            </w:r>
          </w:p>
        </w:tc>
        <w:tc>
          <w:tcPr>
            <w:tcW w:w="1767" w:type="dxa"/>
            <w:tcBorders>
              <w:top w:val="nil"/>
              <w:left w:val="single" w:sz="4" w:space="0" w:color="auto"/>
              <w:bottom w:val="single" w:sz="4" w:space="0" w:color="auto"/>
              <w:right w:val="single" w:sz="4" w:space="0" w:color="auto"/>
            </w:tcBorders>
          </w:tcPr>
          <w:p w14:paraId="171664F1" w14:textId="77777777" w:rsidR="009021F1" w:rsidRPr="0029055B" w:rsidRDefault="009021F1" w:rsidP="00E637E3">
            <w:pPr>
              <w:rPr>
                <w:szCs w:val="21"/>
              </w:rPr>
            </w:pPr>
            <w:r w:rsidRPr="0029055B">
              <w:rPr>
                <w:szCs w:val="21"/>
              </w:rPr>
              <w:t>Leporidae</w:t>
            </w:r>
          </w:p>
        </w:tc>
        <w:tc>
          <w:tcPr>
            <w:tcW w:w="2565" w:type="dxa"/>
            <w:tcBorders>
              <w:top w:val="nil"/>
              <w:left w:val="single" w:sz="4" w:space="0" w:color="auto"/>
              <w:bottom w:val="single" w:sz="4" w:space="0" w:color="auto"/>
              <w:right w:val="single" w:sz="4" w:space="0" w:color="auto"/>
            </w:tcBorders>
            <w:noWrap/>
            <w:vAlign w:val="bottom"/>
          </w:tcPr>
          <w:p w14:paraId="512B32BD" w14:textId="77777777" w:rsidR="009021F1" w:rsidRPr="0029055B" w:rsidRDefault="009021F1" w:rsidP="00E637E3">
            <w:pPr>
              <w:rPr>
                <w:szCs w:val="21"/>
              </w:rPr>
            </w:pPr>
            <w:r w:rsidRPr="0029055B">
              <w:rPr>
                <w:szCs w:val="21"/>
              </w:rPr>
              <w:t>Lepus microtis</w:t>
            </w:r>
          </w:p>
        </w:tc>
        <w:tc>
          <w:tcPr>
            <w:tcW w:w="2693" w:type="dxa"/>
            <w:tcBorders>
              <w:top w:val="nil"/>
              <w:left w:val="nil"/>
              <w:bottom w:val="single" w:sz="4" w:space="0" w:color="auto"/>
              <w:right w:val="single" w:sz="4" w:space="0" w:color="auto"/>
            </w:tcBorders>
          </w:tcPr>
          <w:p w14:paraId="0146578D" w14:textId="77777777" w:rsidR="009021F1" w:rsidRPr="0029055B" w:rsidRDefault="009021F1" w:rsidP="00E637E3">
            <w:pPr>
              <w:rPr>
                <w:szCs w:val="21"/>
              </w:rPr>
            </w:pPr>
            <w:r w:rsidRPr="0029055B">
              <w:rPr>
                <w:szCs w:val="21"/>
              </w:rPr>
              <w:t>Lièvre africain de savane</w:t>
            </w:r>
          </w:p>
        </w:tc>
        <w:tc>
          <w:tcPr>
            <w:tcW w:w="1375" w:type="dxa"/>
            <w:tcBorders>
              <w:top w:val="nil"/>
              <w:left w:val="nil"/>
              <w:bottom w:val="single" w:sz="4" w:space="0" w:color="auto"/>
              <w:right w:val="single" w:sz="4" w:space="0" w:color="auto"/>
            </w:tcBorders>
          </w:tcPr>
          <w:p w14:paraId="02997C5E"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5544C1D8" w14:textId="77777777" w:rsidR="009021F1" w:rsidRPr="0029055B" w:rsidRDefault="009021F1" w:rsidP="00E637E3">
            <w:pPr>
              <w:rPr>
                <w:szCs w:val="21"/>
              </w:rPr>
            </w:pPr>
            <w:r w:rsidRPr="0029055B">
              <w:rPr>
                <w:szCs w:val="21"/>
              </w:rPr>
              <w:t>-</w:t>
            </w:r>
          </w:p>
        </w:tc>
        <w:tc>
          <w:tcPr>
            <w:tcW w:w="2814" w:type="dxa"/>
            <w:tcBorders>
              <w:top w:val="nil"/>
              <w:left w:val="nil"/>
              <w:bottom w:val="single" w:sz="4" w:space="0" w:color="auto"/>
              <w:right w:val="single" w:sz="8" w:space="0" w:color="auto"/>
            </w:tcBorders>
          </w:tcPr>
          <w:p w14:paraId="49CD5A70" w14:textId="77777777" w:rsidR="009021F1" w:rsidRPr="0029055B" w:rsidRDefault="009021F1" w:rsidP="00E637E3">
            <w:pPr>
              <w:rPr>
                <w:szCs w:val="21"/>
              </w:rPr>
            </w:pPr>
            <w:r w:rsidRPr="0029055B">
              <w:rPr>
                <w:szCs w:val="21"/>
              </w:rPr>
              <w:t>Fha, Fhb</w:t>
            </w:r>
          </w:p>
        </w:tc>
      </w:tr>
      <w:tr w:rsidR="009021F1" w:rsidRPr="0029055B" w14:paraId="7A0A63AB" w14:textId="77777777" w:rsidTr="00E637E3">
        <w:trPr>
          <w:trHeight w:val="318"/>
        </w:trPr>
        <w:tc>
          <w:tcPr>
            <w:tcW w:w="1834" w:type="dxa"/>
            <w:tcBorders>
              <w:top w:val="single" w:sz="8" w:space="0" w:color="auto"/>
              <w:left w:val="single" w:sz="8" w:space="0" w:color="auto"/>
              <w:bottom w:val="single" w:sz="4" w:space="0" w:color="auto"/>
              <w:right w:val="single" w:sz="4" w:space="0" w:color="auto"/>
            </w:tcBorders>
          </w:tcPr>
          <w:p w14:paraId="0F5F280E" w14:textId="77777777" w:rsidR="009021F1" w:rsidRPr="0029055B" w:rsidRDefault="009021F1" w:rsidP="00E637E3">
            <w:pPr>
              <w:rPr>
                <w:szCs w:val="21"/>
              </w:rPr>
            </w:pPr>
            <w:r w:rsidRPr="0029055B">
              <w:rPr>
                <w:szCs w:val="21"/>
              </w:rPr>
              <w:t xml:space="preserve">Proboscidea </w:t>
            </w:r>
          </w:p>
        </w:tc>
        <w:tc>
          <w:tcPr>
            <w:tcW w:w="1767" w:type="dxa"/>
            <w:tcBorders>
              <w:top w:val="nil"/>
              <w:left w:val="single" w:sz="4" w:space="0" w:color="auto"/>
              <w:bottom w:val="single" w:sz="4" w:space="0" w:color="auto"/>
              <w:right w:val="single" w:sz="4" w:space="0" w:color="auto"/>
            </w:tcBorders>
          </w:tcPr>
          <w:p w14:paraId="50904C8B" w14:textId="77777777" w:rsidR="009021F1" w:rsidRPr="0029055B" w:rsidRDefault="009021F1" w:rsidP="00E637E3">
            <w:pPr>
              <w:rPr>
                <w:szCs w:val="21"/>
              </w:rPr>
            </w:pPr>
            <w:r w:rsidRPr="0029055B">
              <w:rPr>
                <w:szCs w:val="21"/>
              </w:rPr>
              <w:t>Elephantidae</w:t>
            </w:r>
          </w:p>
        </w:tc>
        <w:tc>
          <w:tcPr>
            <w:tcW w:w="2565" w:type="dxa"/>
            <w:tcBorders>
              <w:top w:val="nil"/>
              <w:left w:val="single" w:sz="4" w:space="0" w:color="auto"/>
              <w:bottom w:val="single" w:sz="4" w:space="0" w:color="auto"/>
              <w:right w:val="single" w:sz="4" w:space="0" w:color="auto"/>
            </w:tcBorders>
            <w:noWrap/>
            <w:vAlign w:val="bottom"/>
          </w:tcPr>
          <w:p w14:paraId="4AD557D2" w14:textId="77777777" w:rsidR="009021F1" w:rsidRPr="0029055B" w:rsidRDefault="009021F1" w:rsidP="00E637E3">
            <w:pPr>
              <w:rPr>
                <w:szCs w:val="21"/>
              </w:rPr>
            </w:pPr>
            <w:r w:rsidRPr="0029055B">
              <w:rPr>
                <w:szCs w:val="21"/>
              </w:rPr>
              <w:t>Loxodonta africanus</w:t>
            </w:r>
          </w:p>
        </w:tc>
        <w:tc>
          <w:tcPr>
            <w:tcW w:w="2693" w:type="dxa"/>
            <w:tcBorders>
              <w:top w:val="nil"/>
              <w:left w:val="nil"/>
              <w:bottom w:val="single" w:sz="4" w:space="0" w:color="auto"/>
              <w:right w:val="single" w:sz="4" w:space="0" w:color="auto"/>
            </w:tcBorders>
          </w:tcPr>
          <w:p w14:paraId="7596FFA2" w14:textId="77777777" w:rsidR="009021F1" w:rsidRPr="0029055B" w:rsidRDefault="009021F1" w:rsidP="00E637E3">
            <w:pPr>
              <w:rPr>
                <w:szCs w:val="21"/>
              </w:rPr>
            </w:pPr>
            <w:r w:rsidRPr="0029055B">
              <w:rPr>
                <w:szCs w:val="21"/>
              </w:rPr>
              <w:t>Eléphant de savane, Inzovu</w:t>
            </w:r>
          </w:p>
        </w:tc>
        <w:tc>
          <w:tcPr>
            <w:tcW w:w="1375" w:type="dxa"/>
            <w:tcBorders>
              <w:top w:val="nil"/>
              <w:left w:val="nil"/>
              <w:bottom w:val="single" w:sz="4" w:space="0" w:color="auto"/>
              <w:right w:val="single" w:sz="4" w:space="0" w:color="auto"/>
            </w:tcBorders>
          </w:tcPr>
          <w:p w14:paraId="3CD9DCB8"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0CF543DB" w14:textId="77777777" w:rsidR="009021F1" w:rsidRPr="0029055B" w:rsidRDefault="009021F1" w:rsidP="00E637E3">
            <w:pPr>
              <w:rPr>
                <w:szCs w:val="21"/>
              </w:rPr>
            </w:pPr>
            <w:r w:rsidRPr="0029055B">
              <w:rPr>
                <w:szCs w:val="21"/>
              </w:rPr>
              <w:t>-</w:t>
            </w:r>
          </w:p>
        </w:tc>
        <w:tc>
          <w:tcPr>
            <w:tcW w:w="2814" w:type="dxa"/>
            <w:tcBorders>
              <w:top w:val="nil"/>
              <w:left w:val="nil"/>
              <w:bottom w:val="single" w:sz="4" w:space="0" w:color="auto"/>
              <w:right w:val="single" w:sz="8" w:space="0" w:color="auto"/>
            </w:tcBorders>
          </w:tcPr>
          <w:p w14:paraId="3838E733" w14:textId="77777777" w:rsidR="009021F1" w:rsidRPr="0029055B" w:rsidRDefault="009021F1" w:rsidP="00E637E3">
            <w:pPr>
              <w:rPr>
                <w:szCs w:val="21"/>
              </w:rPr>
            </w:pPr>
            <w:r w:rsidRPr="0029055B">
              <w:rPr>
                <w:szCs w:val="21"/>
              </w:rPr>
              <w:t>Fha</w:t>
            </w:r>
          </w:p>
        </w:tc>
      </w:tr>
      <w:tr w:rsidR="009021F1" w:rsidRPr="0029055B" w14:paraId="019D3B4B" w14:textId="77777777" w:rsidTr="00E637E3">
        <w:trPr>
          <w:trHeight w:val="318"/>
        </w:trPr>
        <w:tc>
          <w:tcPr>
            <w:tcW w:w="1834" w:type="dxa"/>
            <w:tcBorders>
              <w:top w:val="nil"/>
              <w:left w:val="single" w:sz="8" w:space="0" w:color="auto"/>
              <w:bottom w:val="single" w:sz="4" w:space="0" w:color="auto"/>
              <w:right w:val="single" w:sz="4" w:space="0" w:color="auto"/>
            </w:tcBorders>
          </w:tcPr>
          <w:p w14:paraId="7B9E96A5" w14:textId="77777777" w:rsidR="009021F1" w:rsidRPr="0029055B" w:rsidRDefault="009021F1" w:rsidP="00E637E3">
            <w:pPr>
              <w:rPr>
                <w:szCs w:val="21"/>
              </w:rPr>
            </w:pPr>
            <w:r w:rsidRPr="0029055B">
              <w:rPr>
                <w:szCs w:val="21"/>
              </w:rPr>
              <w:t xml:space="preserve">Proboscidea </w:t>
            </w:r>
          </w:p>
        </w:tc>
        <w:tc>
          <w:tcPr>
            <w:tcW w:w="1767" w:type="dxa"/>
            <w:tcBorders>
              <w:top w:val="nil"/>
              <w:left w:val="single" w:sz="4" w:space="0" w:color="auto"/>
              <w:bottom w:val="single" w:sz="4" w:space="0" w:color="auto"/>
              <w:right w:val="single" w:sz="4" w:space="0" w:color="auto"/>
            </w:tcBorders>
          </w:tcPr>
          <w:p w14:paraId="0E063E24" w14:textId="77777777" w:rsidR="009021F1" w:rsidRPr="0029055B" w:rsidRDefault="009021F1" w:rsidP="00E637E3">
            <w:pPr>
              <w:rPr>
                <w:szCs w:val="21"/>
              </w:rPr>
            </w:pPr>
            <w:r w:rsidRPr="0029055B">
              <w:rPr>
                <w:szCs w:val="21"/>
              </w:rPr>
              <w:t>Elephantidae</w:t>
            </w:r>
          </w:p>
        </w:tc>
        <w:tc>
          <w:tcPr>
            <w:tcW w:w="2565" w:type="dxa"/>
            <w:tcBorders>
              <w:top w:val="nil"/>
              <w:left w:val="single" w:sz="4" w:space="0" w:color="auto"/>
              <w:bottom w:val="single" w:sz="4" w:space="0" w:color="auto"/>
              <w:right w:val="single" w:sz="4" w:space="0" w:color="auto"/>
            </w:tcBorders>
            <w:noWrap/>
            <w:vAlign w:val="bottom"/>
          </w:tcPr>
          <w:p w14:paraId="208AAAD8" w14:textId="77777777" w:rsidR="009021F1" w:rsidRPr="0029055B" w:rsidRDefault="009021F1" w:rsidP="00E637E3">
            <w:pPr>
              <w:rPr>
                <w:szCs w:val="21"/>
              </w:rPr>
            </w:pPr>
            <w:r w:rsidRPr="0029055B">
              <w:rPr>
                <w:szCs w:val="21"/>
              </w:rPr>
              <w:t>Loxodonta cyclotis</w:t>
            </w:r>
          </w:p>
        </w:tc>
        <w:tc>
          <w:tcPr>
            <w:tcW w:w="2693" w:type="dxa"/>
            <w:tcBorders>
              <w:top w:val="nil"/>
              <w:left w:val="nil"/>
              <w:bottom w:val="single" w:sz="4" w:space="0" w:color="auto"/>
              <w:right w:val="single" w:sz="4" w:space="0" w:color="auto"/>
            </w:tcBorders>
          </w:tcPr>
          <w:p w14:paraId="02C8EA0D" w14:textId="77777777" w:rsidR="009021F1" w:rsidRPr="0029055B" w:rsidRDefault="009021F1" w:rsidP="00E637E3">
            <w:pPr>
              <w:rPr>
                <w:szCs w:val="21"/>
              </w:rPr>
            </w:pPr>
            <w:r w:rsidRPr="0029055B">
              <w:rPr>
                <w:szCs w:val="21"/>
              </w:rPr>
              <w:t>Eléphant de forêt, Inzovu</w:t>
            </w:r>
          </w:p>
        </w:tc>
        <w:tc>
          <w:tcPr>
            <w:tcW w:w="1375" w:type="dxa"/>
            <w:tcBorders>
              <w:top w:val="nil"/>
              <w:left w:val="nil"/>
              <w:bottom w:val="single" w:sz="4" w:space="0" w:color="auto"/>
              <w:right w:val="single" w:sz="4" w:space="0" w:color="auto"/>
            </w:tcBorders>
          </w:tcPr>
          <w:p w14:paraId="70C7B66F"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38AEA5A1" w14:textId="77777777" w:rsidR="009021F1" w:rsidRPr="0029055B" w:rsidRDefault="009021F1" w:rsidP="00E637E3">
            <w:pPr>
              <w:rPr>
                <w:szCs w:val="21"/>
              </w:rPr>
            </w:pPr>
            <w:r w:rsidRPr="0029055B">
              <w:rPr>
                <w:szCs w:val="21"/>
              </w:rPr>
              <w:t>-</w:t>
            </w:r>
          </w:p>
        </w:tc>
        <w:tc>
          <w:tcPr>
            <w:tcW w:w="2814" w:type="dxa"/>
            <w:tcBorders>
              <w:top w:val="nil"/>
              <w:left w:val="nil"/>
              <w:bottom w:val="single" w:sz="4" w:space="0" w:color="auto"/>
              <w:right w:val="single" w:sz="8" w:space="0" w:color="auto"/>
            </w:tcBorders>
          </w:tcPr>
          <w:p w14:paraId="1F14F239" w14:textId="77777777" w:rsidR="009021F1" w:rsidRPr="0029055B" w:rsidRDefault="009021F1" w:rsidP="00E637E3">
            <w:pPr>
              <w:rPr>
                <w:szCs w:val="21"/>
              </w:rPr>
            </w:pPr>
            <w:r w:rsidRPr="0029055B">
              <w:rPr>
                <w:szCs w:val="21"/>
              </w:rPr>
              <w:t>Fm</w:t>
            </w:r>
          </w:p>
        </w:tc>
      </w:tr>
      <w:tr w:rsidR="009021F1" w:rsidRPr="0029055B" w14:paraId="664A2240" w14:textId="77777777" w:rsidTr="00E637E3">
        <w:trPr>
          <w:trHeight w:val="318"/>
        </w:trPr>
        <w:tc>
          <w:tcPr>
            <w:tcW w:w="1834" w:type="dxa"/>
            <w:tcBorders>
              <w:top w:val="nil"/>
              <w:left w:val="single" w:sz="8" w:space="0" w:color="auto"/>
              <w:bottom w:val="single" w:sz="4" w:space="0" w:color="auto"/>
              <w:right w:val="single" w:sz="4" w:space="0" w:color="auto"/>
            </w:tcBorders>
          </w:tcPr>
          <w:p w14:paraId="07F863C6" w14:textId="77777777" w:rsidR="009021F1" w:rsidRPr="0029055B" w:rsidRDefault="009021F1" w:rsidP="00E637E3">
            <w:pPr>
              <w:rPr>
                <w:szCs w:val="21"/>
              </w:rPr>
            </w:pPr>
            <w:r w:rsidRPr="0029055B">
              <w:rPr>
                <w:szCs w:val="21"/>
              </w:rPr>
              <w:t>Rodentia</w:t>
            </w:r>
          </w:p>
        </w:tc>
        <w:tc>
          <w:tcPr>
            <w:tcW w:w="1767" w:type="dxa"/>
            <w:tcBorders>
              <w:top w:val="nil"/>
              <w:left w:val="single" w:sz="4" w:space="0" w:color="auto"/>
              <w:bottom w:val="single" w:sz="4" w:space="0" w:color="auto"/>
              <w:right w:val="single" w:sz="4" w:space="0" w:color="auto"/>
            </w:tcBorders>
          </w:tcPr>
          <w:p w14:paraId="5F1846E5" w14:textId="77777777" w:rsidR="009021F1" w:rsidRPr="0029055B" w:rsidRDefault="009021F1" w:rsidP="00E637E3">
            <w:pPr>
              <w:rPr>
                <w:szCs w:val="21"/>
              </w:rPr>
            </w:pPr>
            <w:r w:rsidRPr="0029055B">
              <w:rPr>
                <w:szCs w:val="21"/>
              </w:rPr>
              <w:t>Muridae</w:t>
            </w:r>
          </w:p>
        </w:tc>
        <w:tc>
          <w:tcPr>
            <w:tcW w:w="2565" w:type="dxa"/>
            <w:tcBorders>
              <w:top w:val="nil"/>
              <w:left w:val="single" w:sz="4" w:space="0" w:color="auto"/>
              <w:bottom w:val="single" w:sz="4" w:space="0" w:color="auto"/>
              <w:right w:val="single" w:sz="4" w:space="0" w:color="auto"/>
            </w:tcBorders>
            <w:noWrap/>
            <w:vAlign w:val="bottom"/>
          </w:tcPr>
          <w:p w14:paraId="4164ABBA" w14:textId="77777777" w:rsidR="009021F1" w:rsidRPr="0029055B" w:rsidRDefault="009021F1" w:rsidP="00E637E3">
            <w:pPr>
              <w:rPr>
                <w:szCs w:val="21"/>
              </w:rPr>
            </w:pPr>
            <w:r w:rsidRPr="0029055B">
              <w:rPr>
                <w:szCs w:val="21"/>
              </w:rPr>
              <w:t>Malacomys verschuenii</w:t>
            </w:r>
          </w:p>
        </w:tc>
        <w:tc>
          <w:tcPr>
            <w:tcW w:w="2693" w:type="dxa"/>
            <w:tcBorders>
              <w:top w:val="nil"/>
              <w:left w:val="nil"/>
              <w:bottom w:val="single" w:sz="4" w:space="0" w:color="auto"/>
              <w:right w:val="single" w:sz="4" w:space="0" w:color="auto"/>
            </w:tcBorders>
          </w:tcPr>
          <w:p w14:paraId="4E1CC959" w14:textId="77777777" w:rsidR="009021F1" w:rsidRPr="0029055B" w:rsidRDefault="009021F1" w:rsidP="00E637E3">
            <w:pPr>
              <w:rPr>
                <w:szCs w:val="21"/>
              </w:rPr>
            </w:pPr>
          </w:p>
        </w:tc>
        <w:tc>
          <w:tcPr>
            <w:tcW w:w="1375" w:type="dxa"/>
            <w:tcBorders>
              <w:top w:val="nil"/>
              <w:left w:val="nil"/>
              <w:bottom w:val="single" w:sz="4" w:space="0" w:color="auto"/>
              <w:right w:val="single" w:sz="4" w:space="0" w:color="auto"/>
            </w:tcBorders>
          </w:tcPr>
          <w:p w14:paraId="41653FD0"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644DD84A" w14:textId="77777777" w:rsidR="009021F1" w:rsidRPr="0029055B" w:rsidRDefault="009021F1" w:rsidP="00E637E3">
            <w:pPr>
              <w:rPr>
                <w:szCs w:val="21"/>
              </w:rPr>
            </w:pPr>
            <w:r w:rsidRPr="0029055B">
              <w:rPr>
                <w:szCs w:val="21"/>
              </w:rPr>
              <w:t>-</w:t>
            </w:r>
          </w:p>
        </w:tc>
        <w:tc>
          <w:tcPr>
            <w:tcW w:w="2814" w:type="dxa"/>
            <w:tcBorders>
              <w:top w:val="nil"/>
              <w:left w:val="nil"/>
              <w:bottom w:val="single" w:sz="4" w:space="0" w:color="auto"/>
              <w:right w:val="single" w:sz="8" w:space="0" w:color="auto"/>
            </w:tcBorders>
          </w:tcPr>
          <w:p w14:paraId="196F84E6" w14:textId="77777777" w:rsidR="009021F1" w:rsidRPr="0029055B" w:rsidRDefault="009021F1" w:rsidP="00E637E3">
            <w:pPr>
              <w:rPr>
                <w:szCs w:val="21"/>
              </w:rPr>
            </w:pPr>
            <w:r w:rsidRPr="0029055B">
              <w:rPr>
                <w:szCs w:val="21"/>
              </w:rPr>
              <w:t>Fm</w:t>
            </w:r>
          </w:p>
        </w:tc>
      </w:tr>
      <w:tr w:rsidR="009021F1" w:rsidRPr="0029055B" w14:paraId="2639A1C4" w14:textId="77777777" w:rsidTr="00E637E3">
        <w:trPr>
          <w:trHeight w:val="318"/>
        </w:trPr>
        <w:tc>
          <w:tcPr>
            <w:tcW w:w="1834" w:type="dxa"/>
            <w:tcBorders>
              <w:top w:val="nil"/>
              <w:left w:val="single" w:sz="8" w:space="0" w:color="auto"/>
              <w:bottom w:val="single" w:sz="4" w:space="0" w:color="auto"/>
              <w:right w:val="single" w:sz="4" w:space="0" w:color="auto"/>
            </w:tcBorders>
            <w:vAlign w:val="bottom"/>
          </w:tcPr>
          <w:p w14:paraId="4510E204" w14:textId="77777777" w:rsidR="009021F1" w:rsidRPr="0029055B" w:rsidRDefault="009021F1" w:rsidP="00E637E3">
            <w:pPr>
              <w:rPr>
                <w:szCs w:val="21"/>
              </w:rPr>
            </w:pPr>
            <w:r w:rsidRPr="0029055B">
              <w:rPr>
                <w:szCs w:val="21"/>
              </w:rPr>
              <w:t>Rongeurs</w:t>
            </w:r>
          </w:p>
        </w:tc>
        <w:tc>
          <w:tcPr>
            <w:tcW w:w="1767" w:type="dxa"/>
            <w:tcBorders>
              <w:top w:val="nil"/>
              <w:left w:val="single" w:sz="4" w:space="0" w:color="auto"/>
              <w:bottom w:val="single" w:sz="4" w:space="0" w:color="auto"/>
              <w:right w:val="single" w:sz="4" w:space="0" w:color="auto"/>
            </w:tcBorders>
            <w:vAlign w:val="bottom"/>
          </w:tcPr>
          <w:p w14:paraId="33BB9B74" w14:textId="77777777" w:rsidR="009021F1" w:rsidRPr="0029055B" w:rsidRDefault="009021F1" w:rsidP="00E637E3">
            <w:pPr>
              <w:rPr>
                <w:szCs w:val="21"/>
              </w:rPr>
            </w:pPr>
            <w:r w:rsidRPr="0029055B">
              <w:rPr>
                <w:szCs w:val="21"/>
              </w:rPr>
              <w:t>Sciuridae</w:t>
            </w:r>
          </w:p>
        </w:tc>
        <w:tc>
          <w:tcPr>
            <w:tcW w:w="2565" w:type="dxa"/>
            <w:tcBorders>
              <w:top w:val="nil"/>
              <w:left w:val="single" w:sz="4" w:space="0" w:color="auto"/>
              <w:bottom w:val="single" w:sz="4" w:space="0" w:color="auto"/>
              <w:right w:val="single" w:sz="4" w:space="0" w:color="auto"/>
            </w:tcBorders>
            <w:noWrap/>
            <w:vAlign w:val="bottom"/>
          </w:tcPr>
          <w:p w14:paraId="3F478F7A" w14:textId="77777777" w:rsidR="009021F1" w:rsidRPr="0029055B" w:rsidRDefault="009021F1" w:rsidP="00E637E3">
            <w:pPr>
              <w:rPr>
                <w:szCs w:val="21"/>
              </w:rPr>
            </w:pPr>
            <w:r w:rsidRPr="0029055B">
              <w:rPr>
                <w:szCs w:val="21"/>
              </w:rPr>
              <w:t>Maniis terminincki</w:t>
            </w:r>
          </w:p>
        </w:tc>
        <w:tc>
          <w:tcPr>
            <w:tcW w:w="2693" w:type="dxa"/>
            <w:tcBorders>
              <w:top w:val="nil"/>
              <w:left w:val="nil"/>
              <w:bottom w:val="single" w:sz="4" w:space="0" w:color="auto"/>
              <w:right w:val="single" w:sz="4" w:space="0" w:color="auto"/>
            </w:tcBorders>
          </w:tcPr>
          <w:p w14:paraId="37580919" w14:textId="77777777" w:rsidR="009021F1" w:rsidRPr="0029055B" w:rsidRDefault="009021F1" w:rsidP="00E637E3">
            <w:pPr>
              <w:rPr>
                <w:szCs w:val="21"/>
              </w:rPr>
            </w:pPr>
            <w:r w:rsidRPr="0029055B">
              <w:rPr>
                <w:szCs w:val="21"/>
              </w:rPr>
              <w:t>Pangolin</w:t>
            </w:r>
          </w:p>
        </w:tc>
        <w:tc>
          <w:tcPr>
            <w:tcW w:w="1375" w:type="dxa"/>
            <w:tcBorders>
              <w:top w:val="nil"/>
              <w:left w:val="nil"/>
              <w:bottom w:val="single" w:sz="4" w:space="0" w:color="auto"/>
              <w:right w:val="single" w:sz="4" w:space="0" w:color="auto"/>
            </w:tcBorders>
          </w:tcPr>
          <w:p w14:paraId="4761CC63"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0DEAD6AC" w14:textId="77777777" w:rsidR="009021F1" w:rsidRPr="0029055B" w:rsidRDefault="009021F1" w:rsidP="00E637E3">
            <w:pPr>
              <w:rPr>
                <w:szCs w:val="21"/>
              </w:rPr>
            </w:pPr>
            <w:r w:rsidRPr="0029055B">
              <w:rPr>
                <w:szCs w:val="21"/>
              </w:rPr>
              <w:t>-</w:t>
            </w:r>
          </w:p>
        </w:tc>
        <w:tc>
          <w:tcPr>
            <w:tcW w:w="2814" w:type="dxa"/>
            <w:tcBorders>
              <w:top w:val="nil"/>
              <w:left w:val="nil"/>
              <w:bottom w:val="single" w:sz="4" w:space="0" w:color="auto"/>
              <w:right w:val="single" w:sz="8" w:space="0" w:color="auto"/>
            </w:tcBorders>
          </w:tcPr>
          <w:p w14:paraId="053A3CC2" w14:textId="77777777" w:rsidR="009021F1" w:rsidRPr="0029055B" w:rsidRDefault="009021F1" w:rsidP="00E637E3">
            <w:pPr>
              <w:rPr>
                <w:szCs w:val="21"/>
              </w:rPr>
            </w:pPr>
            <w:r w:rsidRPr="0029055B">
              <w:rPr>
                <w:szCs w:val="21"/>
              </w:rPr>
              <w:t>Valmont</w:t>
            </w:r>
          </w:p>
        </w:tc>
      </w:tr>
      <w:tr w:rsidR="009021F1" w:rsidRPr="0029055B" w14:paraId="69CAD638" w14:textId="77777777" w:rsidTr="00E637E3">
        <w:trPr>
          <w:trHeight w:val="318"/>
        </w:trPr>
        <w:tc>
          <w:tcPr>
            <w:tcW w:w="1834" w:type="dxa"/>
            <w:tcBorders>
              <w:top w:val="nil"/>
              <w:left w:val="single" w:sz="8" w:space="0" w:color="auto"/>
              <w:bottom w:val="single" w:sz="4" w:space="0" w:color="auto"/>
              <w:right w:val="single" w:sz="4" w:space="0" w:color="auto"/>
            </w:tcBorders>
            <w:vAlign w:val="bottom"/>
          </w:tcPr>
          <w:p w14:paraId="0BFF9407" w14:textId="77777777" w:rsidR="009021F1" w:rsidRPr="0029055B" w:rsidRDefault="009021F1" w:rsidP="00E637E3">
            <w:pPr>
              <w:rPr>
                <w:szCs w:val="21"/>
              </w:rPr>
            </w:pPr>
            <w:r w:rsidRPr="0029055B">
              <w:rPr>
                <w:szCs w:val="21"/>
              </w:rPr>
              <w:t>Artiodactyla</w:t>
            </w:r>
          </w:p>
        </w:tc>
        <w:tc>
          <w:tcPr>
            <w:tcW w:w="1767" w:type="dxa"/>
            <w:tcBorders>
              <w:top w:val="nil"/>
              <w:left w:val="single" w:sz="4" w:space="0" w:color="auto"/>
              <w:bottom w:val="single" w:sz="4" w:space="0" w:color="auto"/>
              <w:right w:val="single" w:sz="4" w:space="0" w:color="auto"/>
            </w:tcBorders>
            <w:vAlign w:val="bottom"/>
          </w:tcPr>
          <w:p w14:paraId="66DE9061" w14:textId="77777777" w:rsidR="009021F1" w:rsidRPr="0029055B" w:rsidRDefault="009021F1" w:rsidP="00E637E3">
            <w:pPr>
              <w:rPr>
                <w:szCs w:val="21"/>
              </w:rPr>
            </w:pPr>
            <w:r w:rsidRPr="0029055B">
              <w:rPr>
                <w:szCs w:val="21"/>
              </w:rPr>
              <w:t>Giraffidae</w:t>
            </w:r>
          </w:p>
        </w:tc>
        <w:tc>
          <w:tcPr>
            <w:tcW w:w="2565" w:type="dxa"/>
            <w:tcBorders>
              <w:top w:val="nil"/>
              <w:left w:val="single" w:sz="4" w:space="0" w:color="auto"/>
              <w:bottom w:val="single" w:sz="4" w:space="0" w:color="auto"/>
              <w:right w:val="single" w:sz="4" w:space="0" w:color="auto"/>
            </w:tcBorders>
            <w:noWrap/>
            <w:vAlign w:val="bottom"/>
          </w:tcPr>
          <w:p w14:paraId="0355D027" w14:textId="77777777" w:rsidR="009021F1" w:rsidRPr="0029055B" w:rsidRDefault="009021F1" w:rsidP="00E637E3">
            <w:pPr>
              <w:rPr>
                <w:szCs w:val="21"/>
              </w:rPr>
            </w:pPr>
            <w:r w:rsidRPr="0029055B">
              <w:rPr>
                <w:szCs w:val="21"/>
              </w:rPr>
              <w:t>Okapia johnstoni</w:t>
            </w:r>
          </w:p>
        </w:tc>
        <w:tc>
          <w:tcPr>
            <w:tcW w:w="2693" w:type="dxa"/>
            <w:tcBorders>
              <w:top w:val="nil"/>
              <w:left w:val="nil"/>
              <w:bottom w:val="single" w:sz="4" w:space="0" w:color="auto"/>
              <w:right w:val="single" w:sz="4" w:space="0" w:color="auto"/>
            </w:tcBorders>
          </w:tcPr>
          <w:p w14:paraId="0E1F25C3" w14:textId="77777777" w:rsidR="009021F1" w:rsidRPr="0029055B" w:rsidRDefault="009021F1" w:rsidP="00E637E3">
            <w:pPr>
              <w:rPr>
                <w:szCs w:val="21"/>
              </w:rPr>
            </w:pPr>
            <w:r w:rsidRPr="0029055B">
              <w:rPr>
                <w:szCs w:val="21"/>
              </w:rPr>
              <w:t>Okapi</w:t>
            </w:r>
          </w:p>
        </w:tc>
        <w:tc>
          <w:tcPr>
            <w:tcW w:w="1375" w:type="dxa"/>
            <w:tcBorders>
              <w:top w:val="nil"/>
              <w:left w:val="nil"/>
              <w:bottom w:val="single" w:sz="4" w:space="0" w:color="auto"/>
              <w:right w:val="single" w:sz="4" w:space="0" w:color="auto"/>
            </w:tcBorders>
          </w:tcPr>
          <w:p w14:paraId="5BF86927"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63E6E9AA" w14:textId="77777777" w:rsidR="009021F1" w:rsidRPr="0029055B" w:rsidRDefault="009021F1" w:rsidP="00E637E3">
            <w:pPr>
              <w:rPr>
                <w:szCs w:val="21"/>
              </w:rPr>
            </w:pPr>
            <w:r w:rsidRPr="0029055B">
              <w:rPr>
                <w:szCs w:val="21"/>
              </w:rPr>
              <w:t>-</w:t>
            </w:r>
          </w:p>
        </w:tc>
        <w:tc>
          <w:tcPr>
            <w:tcW w:w="2814" w:type="dxa"/>
            <w:tcBorders>
              <w:top w:val="nil"/>
              <w:left w:val="nil"/>
              <w:bottom w:val="single" w:sz="4" w:space="0" w:color="auto"/>
              <w:right w:val="single" w:sz="8" w:space="0" w:color="auto"/>
            </w:tcBorders>
          </w:tcPr>
          <w:p w14:paraId="2C9EF933" w14:textId="77777777" w:rsidR="009021F1" w:rsidRPr="0029055B" w:rsidRDefault="009021F1" w:rsidP="00E637E3">
            <w:pPr>
              <w:rPr>
                <w:szCs w:val="21"/>
              </w:rPr>
            </w:pPr>
            <w:r w:rsidRPr="0029055B">
              <w:rPr>
                <w:szCs w:val="21"/>
              </w:rPr>
              <w:t>Fm</w:t>
            </w:r>
          </w:p>
        </w:tc>
      </w:tr>
      <w:tr w:rsidR="009021F1" w:rsidRPr="0029055B" w14:paraId="2168FD7C" w14:textId="77777777" w:rsidTr="00E637E3">
        <w:trPr>
          <w:trHeight w:val="318"/>
        </w:trPr>
        <w:tc>
          <w:tcPr>
            <w:tcW w:w="1834" w:type="dxa"/>
            <w:tcBorders>
              <w:top w:val="nil"/>
              <w:left w:val="single" w:sz="8" w:space="0" w:color="auto"/>
              <w:bottom w:val="single" w:sz="4" w:space="0" w:color="auto"/>
              <w:right w:val="single" w:sz="4" w:space="0" w:color="auto"/>
            </w:tcBorders>
            <w:vAlign w:val="bottom"/>
          </w:tcPr>
          <w:p w14:paraId="25890121" w14:textId="77777777" w:rsidR="009021F1" w:rsidRPr="0029055B" w:rsidRDefault="009021F1" w:rsidP="00E637E3">
            <w:pPr>
              <w:rPr>
                <w:szCs w:val="21"/>
              </w:rPr>
            </w:pPr>
            <w:r w:rsidRPr="0029055B">
              <w:rPr>
                <w:szCs w:val="21"/>
              </w:rPr>
              <w:t>Artiodactyla</w:t>
            </w:r>
          </w:p>
        </w:tc>
        <w:tc>
          <w:tcPr>
            <w:tcW w:w="1767" w:type="dxa"/>
            <w:tcBorders>
              <w:top w:val="nil"/>
              <w:left w:val="single" w:sz="4" w:space="0" w:color="auto"/>
              <w:bottom w:val="single" w:sz="4" w:space="0" w:color="auto"/>
              <w:right w:val="single" w:sz="4" w:space="0" w:color="auto"/>
            </w:tcBorders>
            <w:vAlign w:val="bottom"/>
          </w:tcPr>
          <w:p w14:paraId="13FD2037" w14:textId="77777777" w:rsidR="009021F1" w:rsidRPr="0029055B" w:rsidRDefault="009021F1" w:rsidP="00E637E3">
            <w:pPr>
              <w:rPr>
                <w:szCs w:val="21"/>
              </w:rPr>
            </w:pPr>
            <w:r w:rsidRPr="0029055B">
              <w:rPr>
                <w:szCs w:val="21"/>
              </w:rPr>
              <w:t>Capridae</w:t>
            </w:r>
          </w:p>
        </w:tc>
        <w:tc>
          <w:tcPr>
            <w:tcW w:w="2565" w:type="dxa"/>
            <w:tcBorders>
              <w:top w:val="nil"/>
              <w:left w:val="single" w:sz="4" w:space="0" w:color="auto"/>
              <w:bottom w:val="single" w:sz="4" w:space="0" w:color="auto"/>
              <w:right w:val="single" w:sz="4" w:space="0" w:color="auto"/>
            </w:tcBorders>
            <w:noWrap/>
            <w:vAlign w:val="bottom"/>
          </w:tcPr>
          <w:p w14:paraId="70C98D8F" w14:textId="77777777" w:rsidR="009021F1" w:rsidRPr="0029055B" w:rsidRDefault="009021F1" w:rsidP="00E637E3">
            <w:pPr>
              <w:rPr>
                <w:szCs w:val="21"/>
              </w:rPr>
            </w:pPr>
            <w:r w:rsidRPr="0029055B">
              <w:rPr>
                <w:szCs w:val="21"/>
              </w:rPr>
              <w:t>Ovis aries</w:t>
            </w:r>
          </w:p>
        </w:tc>
        <w:tc>
          <w:tcPr>
            <w:tcW w:w="2693" w:type="dxa"/>
            <w:tcBorders>
              <w:top w:val="nil"/>
              <w:left w:val="nil"/>
              <w:bottom w:val="single" w:sz="4" w:space="0" w:color="auto"/>
              <w:right w:val="single" w:sz="4" w:space="0" w:color="auto"/>
            </w:tcBorders>
            <w:vAlign w:val="bottom"/>
          </w:tcPr>
          <w:p w14:paraId="7F488DE6" w14:textId="77777777" w:rsidR="009021F1" w:rsidRPr="0029055B" w:rsidRDefault="009021F1" w:rsidP="00E637E3">
            <w:pPr>
              <w:rPr>
                <w:szCs w:val="21"/>
              </w:rPr>
            </w:pPr>
            <w:r w:rsidRPr="0029055B">
              <w:rPr>
                <w:szCs w:val="21"/>
              </w:rPr>
              <w:t>Mouton, Kondool</w:t>
            </w:r>
          </w:p>
        </w:tc>
        <w:tc>
          <w:tcPr>
            <w:tcW w:w="1375" w:type="dxa"/>
            <w:tcBorders>
              <w:top w:val="nil"/>
              <w:left w:val="nil"/>
              <w:bottom w:val="single" w:sz="4" w:space="0" w:color="auto"/>
              <w:right w:val="single" w:sz="4" w:space="0" w:color="auto"/>
            </w:tcBorders>
          </w:tcPr>
          <w:p w14:paraId="1D78A093"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37B4F029" w14:textId="77777777" w:rsidR="009021F1" w:rsidRPr="0029055B" w:rsidRDefault="009021F1" w:rsidP="00E637E3">
            <w:pPr>
              <w:rPr>
                <w:szCs w:val="21"/>
              </w:rPr>
            </w:pPr>
            <w:r w:rsidRPr="0029055B">
              <w:rPr>
                <w:szCs w:val="21"/>
              </w:rPr>
              <w:t>-</w:t>
            </w:r>
          </w:p>
        </w:tc>
        <w:tc>
          <w:tcPr>
            <w:tcW w:w="2814" w:type="dxa"/>
            <w:tcBorders>
              <w:top w:val="nil"/>
              <w:left w:val="nil"/>
              <w:bottom w:val="single" w:sz="8" w:space="0" w:color="auto"/>
              <w:right w:val="single" w:sz="8" w:space="0" w:color="auto"/>
            </w:tcBorders>
          </w:tcPr>
          <w:p w14:paraId="336E16AF" w14:textId="77777777" w:rsidR="009021F1" w:rsidRPr="0029055B" w:rsidRDefault="009021F1" w:rsidP="00E637E3">
            <w:pPr>
              <w:rPr>
                <w:szCs w:val="21"/>
              </w:rPr>
            </w:pPr>
            <w:r w:rsidRPr="0029055B">
              <w:rPr>
                <w:szCs w:val="21"/>
              </w:rPr>
              <w:t>Domestiqué</w:t>
            </w:r>
          </w:p>
        </w:tc>
      </w:tr>
      <w:tr w:rsidR="009021F1" w:rsidRPr="0029055B" w14:paraId="2E6FB225" w14:textId="77777777" w:rsidTr="00E637E3">
        <w:trPr>
          <w:trHeight w:val="318"/>
        </w:trPr>
        <w:tc>
          <w:tcPr>
            <w:tcW w:w="1834" w:type="dxa"/>
            <w:tcBorders>
              <w:top w:val="nil"/>
              <w:left w:val="single" w:sz="8" w:space="0" w:color="auto"/>
              <w:bottom w:val="single" w:sz="4" w:space="0" w:color="auto"/>
              <w:right w:val="single" w:sz="4" w:space="0" w:color="auto"/>
            </w:tcBorders>
            <w:vAlign w:val="bottom"/>
          </w:tcPr>
          <w:p w14:paraId="53D14394" w14:textId="77777777" w:rsidR="009021F1" w:rsidRPr="0029055B" w:rsidRDefault="009021F1" w:rsidP="00E637E3">
            <w:pPr>
              <w:rPr>
                <w:szCs w:val="21"/>
              </w:rPr>
            </w:pPr>
            <w:r w:rsidRPr="0029055B">
              <w:rPr>
                <w:szCs w:val="21"/>
              </w:rPr>
              <w:t>Primates</w:t>
            </w:r>
          </w:p>
        </w:tc>
        <w:tc>
          <w:tcPr>
            <w:tcW w:w="1767" w:type="dxa"/>
            <w:tcBorders>
              <w:top w:val="nil"/>
              <w:left w:val="single" w:sz="4" w:space="0" w:color="auto"/>
              <w:bottom w:val="single" w:sz="4" w:space="0" w:color="auto"/>
              <w:right w:val="single" w:sz="4" w:space="0" w:color="auto"/>
            </w:tcBorders>
            <w:vAlign w:val="bottom"/>
          </w:tcPr>
          <w:p w14:paraId="1E1A7430" w14:textId="77777777" w:rsidR="009021F1" w:rsidRPr="0029055B" w:rsidRDefault="009021F1" w:rsidP="00E637E3">
            <w:pPr>
              <w:rPr>
                <w:szCs w:val="21"/>
              </w:rPr>
            </w:pPr>
            <w:r w:rsidRPr="0029055B">
              <w:rPr>
                <w:szCs w:val="21"/>
              </w:rPr>
              <w:t>Homnidae</w:t>
            </w:r>
          </w:p>
        </w:tc>
        <w:tc>
          <w:tcPr>
            <w:tcW w:w="2565" w:type="dxa"/>
            <w:tcBorders>
              <w:top w:val="nil"/>
              <w:left w:val="single" w:sz="4" w:space="0" w:color="auto"/>
              <w:bottom w:val="single" w:sz="4" w:space="0" w:color="auto"/>
              <w:right w:val="single" w:sz="4" w:space="0" w:color="auto"/>
            </w:tcBorders>
            <w:noWrap/>
            <w:vAlign w:val="bottom"/>
          </w:tcPr>
          <w:p w14:paraId="77E80CBB" w14:textId="77777777" w:rsidR="009021F1" w:rsidRPr="0029055B" w:rsidRDefault="009021F1" w:rsidP="00E637E3">
            <w:pPr>
              <w:rPr>
                <w:szCs w:val="21"/>
              </w:rPr>
            </w:pPr>
            <w:r w:rsidRPr="0029055B">
              <w:rPr>
                <w:szCs w:val="21"/>
              </w:rPr>
              <w:t>Pan troglodytes</w:t>
            </w:r>
          </w:p>
        </w:tc>
        <w:tc>
          <w:tcPr>
            <w:tcW w:w="2693" w:type="dxa"/>
            <w:tcBorders>
              <w:top w:val="nil"/>
              <w:left w:val="nil"/>
              <w:bottom w:val="single" w:sz="4" w:space="0" w:color="auto"/>
              <w:right w:val="single" w:sz="4" w:space="0" w:color="auto"/>
            </w:tcBorders>
          </w:tcPr>
          <w:p w14:paraId="1C3D6416" w14:textId="77777777" w:rsidR="009021F1" w:rsidRPr="0029055B" w:rsidRDefault="009021F1" w:rsidP="00E637E3">
            <w:pPr>
              <w:rPr>
                <w:szCs w:val="21"/>
              </w:rPr>
            </w:pPr>
            <w:r w:rsidRPr="0029055B">
              <w:rPr>
                <w:szCs w:val="21"/>
              </w:rPr>
              <w:t>Chimpanzé, Impundu</w:t>
            </w:r>
          </w:p>
        </w:tc>
        <w:tc>
          <w:tcPr>
            <w:tcW w:w="1375" w:type="dxa"/>
            <w:tcBorders>
              <w:top w:val="nil"/>
              <w:left w:val="nil"/>
              <w:bottom w:val="single" w:sz="4" w:space="0" w:color="auto"/>
              <w:right w:val="single" w:sz="4" w:space="0" w:color="auto"/>
            </w:tcBorders>
          </w:tcPr>
          <w:p w14:paraId="7A356719"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6DC11261" w14:textId="77777777" w:rsidR="009021F1" w:rsidRPr="0029055B" w:rsidRDefault="009021F1" w:rsidP="00E637E3">
            <w:pPr>
              <w:rPr>
                <w:szCs w:val="21"/>
              </w:rPr>
            </w:pPr>
            <w:r w:rsidRPr="0029055B">
              <w:rPr>
                <w:szCs w:val="21"/>
              </w:rPr>
              <w:t>-</w:t>
            </w:r>
          </w:p>
        </w:tc>
        <w:tc>
          <w:tcPr>
            <w:tcW w:w="2814" w:type="dxa"/>
            <w:tcBorders>
              <w:top w:val="single" w:sz="8" w:space="0" w:color="auto"/>
              <w:left w:val="nil"/>
              <w:bottom w:val="single" w:sz="4" w:space="0" w:color="auto"/>
              <w:right w:val="single" w:sz="8" w:space="0" w:color="auto"/>
            </w:tcBorders>
          </w:tcPr>
          <w:p w14:paraId="22EB0D73" w14:textId="77777777" w:rsidR="009021F1" w:rsidRPr="0029055B" w:rsidRDefault="009021F1" w:rsidP="00E637E3">
            <w:pPr>
              <w:rPr>
                <w:szCs w:val="21"/>
              </w:rPr>
            </w:pPr>
            <w:r w:rsidRPr="0029055B">
              <w:rPr>
                <w:szCs w:val="21"/>
              </w:rPr>
              <w:t>Fm, Fmont, Fha</w:t>
            </w:r>
          </w:p>
        </w:tc>
      </w:tr>
      <w:tr w:rsidR="009021F1" w:rsidRPr="0029055B" w14:paraId="45B9EA9E" w14:textId="77777777" w:rsidTr="00E637E3">
        <w:trPr>
          <w:trHeight w:val="318"/>
        </w:trPr>
        <w:tc>
          <w:tcPr>
            <w:tcW w:w="1834" w:type="dxa"/>
            <w:tcBorders>
              <w:top w:val="nil"/>
              <w:left w:val="single" w:sz="8" w:space="0" w:color="auto"/>
              <w:bottom w:val="single" w:sz="4" w:space="0" w:color="auto"/>
              <w:right w:val="single" w:sz="4" w:space="0" w:color="auto"/>
            </w:tcBorders>
            <w:vAlign w:val="bottom"/>
          </w:tcPr>
          <w:p w14:paraId="0E120638" w14:textId="77777777" w:rsidR="009021F1" w:rsidRPr="0029055B" w:rsidRDefault="009021F1" w:rsidP="00E637E3">
            <w:pPr>
              <w:rPr>
                <w:szCs w:val="21"/>
              </w:rPr>
            </w:pPr>
            <w:r w:rsidRPr="0029055B">
              <w:rPr>
                <w:szCs w:val="21"/>
              </w:rPr>
              <w:t>Carnivora</w:t>
            </w:r>
          </w:p>
        </w:tc>
        <w:tc>
          <w:tcPr>
            <w:tcW w:w="1767" w:type="dxa"/>
            <w:tcBorders>
              <w:top w:val="nil"/>
              <w:left w:val="single" w:sz="4" w:space="0" w:color="auto"/>
              <w:bottom w:val="single" w:sz="4" w:space="0" w:color="auto"/>
              <w:right w:val="single" w:sz="4" w:space="0" w:color="auto"/>
            </w:tcBorders>
            <w:vAlign w:val="bottom"/>
          </w:tcPr>
          <w:p w14:paraId="64853E7A" w14:textId="77777777" w:rsidR="009021F1" w:rsidRPr="0029055B" w:rsidRDefault="009021F1" w:rsidP="00E637E3">
            <w:pPr>
              <w:rPr>
                <w:szCs w:val="21"/>
              </w:rPr>
            </w:pPr>
            <w:r w:rsidRPr="0029055B">
              <w:rPr>
                <w:szCs w:val="21"/>
              </w:rPr>
              <w:t>Felidae</w:t>
            </w:r>
          </w:p>
        </w:tc>
        <w:tc>
          <w:tcPr>
            <w:tcW w:w="2565" w:type="dxa"/>
            <w:tcBorders>
              <w:top w:val="nil"/>
              <w:left w:val="single" w:sz="4" w:space="0" w:color="auto"/>
              <w:bottom w:val="single" w:sz="4" w:space="0" w:color="auto"/>
              <w:right w:val="single" w:sz="4" w:space="0" w:color="auto"/>
            </w:tcBorders>
            <w:noWrap/>
            <w:vAlign w:val="bottom"/>
          </w:tcPr>
          <w:p w14:paraId="66BAA7A2" w14:textId="77777777" w:rsidR="009021F1" w:rsidRPr="0029055B" w:rsidRDefault="009021F1" w:rsidP="00E637E3">
            <w:pPr>
              <w:rPr>
                <w:szCs w:val="21"/>
              </w:rPr>
            </w:pPr>
            <w:r w:rsidRPr="0029055B">
              <w:rPr>
                <w:szCs w:val="21"/>
              </w:rPr>
              <w:t>Panthera leo</w:t>
            </w:r>
          </w:p>
        </w:tc>
        <w:tc>
          <w:tcPr>
            <w:tcW w:w="2693" w:type="dxa"/>
            <w:tcBorders>
              <w:top w:val="nil"/>
              <w:left w:val="nil"/>
              <w:bottom w:val="single" w:sz="4" w:space="0" w:color="auto"/>
              <w:right w:val="single" w:sz="4" w:space="0" w:color="auto"/>
            </w:tcBorders>
          </w:tcPr>
          <w:p w14:paraId="21BDDF79" w14:textId="77777777" w:rsidR="009021F1" w:rsidRPr="0029055B" w:rsidRDefault="009021F1" w:rsidP="00E637E3">
            <w:pPr>
              <w:rPr>
                <w:szCs w:val="21"/>
              </w:rPr>
            </w:pPr>
            <w:r w:rsidRPr="0029055B">
              <w:rPr>
                <w:szCs w:val="21"/>
              </w:rPr>
              <w:t>Lion, Intare, Simba</w:t>
            </w:r>
          </w:p>
        </w:tc>
        <w:tc>
          <w:tcPr>
            <w:tcW w:w="1375" w:type="dxa"/>
            <w:tcBorders>
              <w:top w:val="nil"/>
              <w:left w:val="nil"/>
              <w:bottom w:val="single" w:sz="4" w:space="0" w:color="auto"/>
              <w:right w:val="single" w:sz="4" w:space="0" w:color="auto"/>
            </w:tcBorders>
          </w:tcPr>
          <w:p w14:paraId="0C32F4D6"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19E75AFC" w14:textId="77777777" w:rsidR="009021F1" w:rsidRPr="0029055B" w:rsidRDefault="009021F1" w:rsidP="00E637E3">
            <w:pPr>
              <w:rPr>
                <w:szCs w:val="21"/>
              </w:rPr>
            </w:pPr>
            <w:r w:rsidRPr="0029055B">
              <w:rPr>
                <w:szCs w:val="21"/>
              </w:rPr>
              <w:t>1 couple</w:t>
            </w:r>
          </w:p>
        </w:tc>
        <w:tc>
          <w:tcPr>
            <w:tcW w:w="2814" w:type="dxa"/>
            <w:tcBorders>
              <w:top w:val="nil"/>
              <w:left w:val="nil"/>
              <w:bottom w:val="single" w:sz="4" w:space="0" w:color="auto"/>
              <w:right w:val="single" w:sz="8" w:space="0" w:color="auto"/>
            </w:tcBorders>
          </w:tcPr>
          <w:p w14:paraId="5B9A3396" w14:textId="77777777" w:rsidR="009021F1" w:rsidRPr="0029055B" w:rsidRDefault="009021F1" w:rsidP="00E637E3">
            <w:pPr>
              <w:rPr>
                <w:szCs w:val="21"/>
              </w:rPr>
            </w:pPr>
            <w:r w:rsidRPr="0029055B">
              <w:rPr>
                <w:szCs w:val="21"/>
              </w:rPr>
              <w:t>Fha de Rwindi</w:t>
            </w:r>
          </w:p>
        </w:tc>
      </w:tr>
      <w:tr w:rsidR="009021F1" w:rsidRPr="0029055B" w14:paraId="0E918BA4" w14:textId="77777777" w:rsidTr="00E637E3">
        <w:trPr>
          <w:trHeight w:val="318"/>
        </w:trPr>
        <w:tc>
          <w:tcPr>
            <w:tcW w:w="1834" w:type="dxa"/>
            <w:tcBorders>
              <w:top w:val="nil"/>
              <w:left w:val="single" w:sz="8" w:space="0" w:color="auto"/>
              <w:bottom w:val="single" w:sz="4" w:space="0" w:color="auto"/>
              <w:right w:val="single" w:sz="4" w:space="0" w:color="auto"/>
            </w:tcBorders>
            <w:vAlign w:val="bottom"/>
          </w:tcPr>
          <w:p w14:paraId="086A832C" w14:textId="77777777" w:rsidR="009021F1" w:rsidRPr="0029055B" w:rsidRDefault="009021F1" w:rsidP="00E637E3">
            <w:pPr>
              <w:rPr>
                <w:szCs w:val="21"/>
              </w:rPr>
            </w:pPr>
            <w:r w:rsidRPr="0029055B">
              <w:rPr>
                <w:szCs w:val="21"/>
              </w:rPr>
              <w:t>Carnivora</w:t>
            </w:r>
          </w:p>
        </w:tc>
        <w:tc>
          <w:tcPr>
            <w:tcW w:w="1767" w:type="dxa"/>
            <w:tcBorders>
              <w:top w:val="nil"/>
              <w:left w:val="single" w:sz="4" w:space="0" w:color="auto"/>
              <w:bottom w:val="single" w:sz="4" w:space="0" w:color="auto"/>
              <w:right w:val="single" w:sz="4" w:space="0" w:color="auto"/>
            </w:tcBorders>
            <w:vAlign w:val="bottom"/>
          </w:tcPr>
          <w:p w14:paraId="7936E54E" w14:textId="77777777" w:rsidR="009021F1" w:rsidRPr="0029055B" w:rsidRDefault="009021F1" w:rsidP="00E637E3">
            <w:pPr>
              <w:rPr>
                <w:szCs w:val="21"/>
              </w:rPr>
            </w:pPr>
            <w:r w:rsidRPr="0029055B">
              <w:rPr>
                <w:szCs w:val="21"/>
              </w:rPr>
              <w:t>Felidae</w:t>
            </w:r>
          </w:p>
        </w:tc>
        <w:tc>
          <w:tcPr>
            <w:tcW w:w="2565" w:type="dxa"/>
            <w:tcBorders>
              <w:top w:val="nil"/>
              <w:left w:val="single" w:sz="4" w:space="0" w:color="auto"/>
              <w:bottom w:val="single" w:sz="4" w:space="0" w:color="auto"/>
              <w:right w:val="single" w:sz="4" w:space="0" w:color="auto"/>
            </w:tcBorders>
            <w:noWrap/>
            <w:vAlign w:val="bottom"/>
          </w:tcPr>
          <w:p w14:paraId="4A07D5A0" w14:textId="77777777" w:rsidR="009021F1" w:rsidRPr="0029055B" w:rsidRDefault="009021F1" w:rsidP="00E637E3">
            <w:pPr>
              <w:rPr>
                <w:szCs w:val="21"/>
              </w:rPr>
            </w:pPr>
            <w:r w:rsidRPr="0029055B">
              <w:rPr>
                <w:szCs w:val="21"/>
              </w:rPr>
              <w:t>Panthera pardus</w:t>
            </w:r>
          </w:p>
        </w:tc>
        <w:tc>
          <w:tcPr>
            <w:tcW w:w="2693" w:type="dxa"/>
            <w:tcBorders>
              <w:top w:val="nil"/>
              <w:left w:val="nil"/>
              <w:bottom w:val="single" w:sz="4" w:space="0" w:color="auto"/>
              <w:right w:val="single" w:sz="4" w:space="0" w:color="auto"/>
            </w:tcBorders>
          </w:tcPr>
          <w:p w14:paraId="299B315F" w14:textId="77777777" w:rsidR="009021F1" w:rsidRPr="0029055B" w:rsidRDefault="009021F1" w:rsidP="00E637E3">
            <w:pPr>
              <w:rPr>
                <w:szCs w:val="21"/>
              </w:rPr>
            </w:pPr>
            <w:r w:rsidRPr="0029055B">
              <w:rPr>
                <w:szCs w:val="21"/>
              </w:rPr>
              <w:t xml:space="preserve">Léopard, Ingwe, Chuyi </w:t>
            </w:r>
          </w:p>
        </w:tc>
        <w:tc>
          <w:tcPr>
            <w:tcW w:w="1375" w:type="dxa"/>
            <w:tcBorders>
              <w:top w:val="nil"/>
              <w:left w:val="nil"/>
              <w:bottom w:val="single" w:sz="4" w:space="0" w:color="auto"/>
              <w:right w:val="single" w:sz="4" w:space="0" w:color="auto"/>
            </w:tcBorders>
          </w:tcPr>
          <w:p w14:paraId="41C1BF9C"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40E0A30E" w14:textId="77777777" w:rsidR="009021F1" w:rsidRPr="0029055B" w:rsidRDefault="009021F1" w:rsidP="00E637E3">
            <w:pPr>
              <w:rPr>
                <w:szCs w:val="21"/>
              </w:rPr>
            </w:pPr>
            <w:r w:rsidRPr="0029055B">
              <w:rPr>
                <w:szCs w:val="21"/>
              </w:rPr>
              <w:t>-</w:t>
            </w:r>
          </w:p>
        </w:tc>
        <w:tc>
          <w:tcPr>
            <w:tcW w:w="2814" w:type="dxa"/>
            <w:tcBorders>
              <w:top w:val="nil"/>
              <w:left w:val="nil"/>
              <w:bottom w:val="single" w:sz="4" w:space="0" w:color="auto"/>
              <w:right w:val="single" w:sz="8" w:space="0" w:color="auto"/>
            </w:tcBorders>
          </w:tcPr>
          <w:p w14:paraId="04DC32B2" w14:textId="77777777" w:rsidR="009021F1" w:rsidRPr="0029055B" w:rsidRDefault="009021F1" w:rsidP="00E637E3">
            <w:pPr>
              <w:rPr>
                <w:szCs w:val="21"/>
              </w:rPr>
            </w:pPr>
            <w:r w:rsidRPr="0029055B">
              <w:rPr>
                <w:szCs w:val="21"/>
              </w:rPr>
              <w:t>Fm</w:t>
            </w:r>
          </w:p>
        </w:tc>
      </w:tr>
      <w:tr w:rsidR="009021F1" w:rsidRPr="0029055B" w14:paraId="703AA6F5" w14:textId="77777777" w:rsidTr="00E637E3">
        <w:trPr>
          <w:trHeight w:val="318"/>
        </w:trPr>
        <w:tc>
          <w:tcPr>
            <w:tcW w:w="1834" w:type="dxa"/>
            <w:tcBorders>
              <w:top w:val="nil"/>
              <w:left w:val="single" w:sz="8" w:space="0" w:color="auto"/>
              <w:bottom w:val="single" w:sz="4" w:space="0" w:color="auto"/>
              <w:right w:val="single" w:sz="4" w:space="0" w:color="auto"/>
            </w:tcBorders>
            <w:vAlign w:val="bottom"/>
          </w:tcPr>
          <w:p w14:paraId="00A6D62B" w14:textId="77777777" w:rsidR="009021F1" w:rsidRPr="0029055B" w:rsidRDefault="009021F1" w:rsidP="00E637E3">
            <w:pPr>
              <w:rPr>
                <w:szCs w:val="21"/>
              </w:rPr>
            </w:pPr>
            <w:r w:rsidRPr="0029055B">
              <w:rPr>
                <w:szCs w:val="21"/>
              </w:rPr>
              <w:t>Primates</w:t>
            </w:r>
          </w:p>
        </w:tc>
        <w:tc>
          <w:tcPr>
            <w:tcW w:w="1767" w:type="dxa"/>
            <w:tcBorders>
              <w:top w:val="nil"/>
              <w:left w:val="single" w:sz="4" w:space="0" w:color="auto"/>
              <w:bottom w:val="single" w:sz="4" w:space="0" w:color="auto"/>
              <w:right w:val="single" w:sz="4" w:space="0" w:color="auto"/>
            </w:tcBorders>
            <w:vAlign w:val="bottom"/>
          </w:tcPr>
          <w:p w14:paraId="1B72DCF5" w14:textId="77777777" w:rsidR="009021F1" w:rsidRPr="0029055B" w:rsidRDefault="009021F1" w:rsidP="00E637E3">
            <w:pPr>
              <w:rPr>
                <w:szCs w:val="21"/>
              </w:rPr>
            </w:pPr>
            <w:r w:rsidRPr="0029055B">
              <w:rPr>
                <w:szCs w:val="21"/>
              </w:rPr>
              <w:t>Cercopithecidae</w:t>
            </w:r>
          </w:p>
        </w:tc>
        <w:tc>
          <w:tcPr>
            <w:tcW w:w="2565" w:type="dxa"/>
            <w:tcBorders>
              <w:top w:val="nil"/>
              <w:left w:val="single" w:sz="4" w:space="0" w:color="auto"/>
              <w:bottom w:val="single" w:sz="4" w:space="0" w:color="auto"/>
              <w:right w:val="single" w:sz="4" w:space="0" w:color="auto"/>
            </w:tcBorders>
            <w:noWrap/>
            <w:vAlign w:val="bottom"/>
          </w:tcPr>
          <w:p w14:paraId="2093525D" w14:textId="77777777" w:rsidR="009021F1" w:rsidRPr="0029055B" w:rsidRDefault="009021F1" w:rsidP="00E637E3">
            <w:pPr>
              <w:rPr>
                <w:szCs w:val="21"/>
              </w:rPr>
            </w:pPr>
            <w:r w:rsidRPr="0029055B">
              <w:rPr>
                <w:szCs w:val="21"/>
              </w:rPr>
              <w:t>Papio anubis</w:t>
            </w:r>
          </w:p>
        </w:tc>
        <w:tc>
          <w:tcPr>
            <w:tcW w:w="2693" w:type="dxa"/>
            <w:tcBorders>
              <w:top w:val="nil"/>
              <w:left w:val="nil"/>
              <w:bottom w:val="single" w:sz="4" w:space="0" w:color="auto"/>
              <w:right w:val="single" w:sz="4" w:space="0" w:color="auto"/>
            </w:tcBorders>
          </w:tcPr>
          <w:p w14:paraId="4ECB70F8" w14:textId="77777777" w:rsidR="009021F1" w:rsidRPr="0029055B" w:rsidRDefault="009021F1" w:rsidP="00E637E3">
            <w:pPr>
              <w:rPr>
                <w:szCs w:val="21"/>
              </w:rPr>
            </w:pPr>
            <w:r w:rsidRPr="0029055B">
              <w:rPr>
                <w:szCs w:val="21"/>
              </w:rPr>
              <w:t>Babouin doguera, Ikigushu</w:t>
            </w:r>
          </w:p>
        </w:tc>
        <w:tc>
          <w:tcPr>
            <w:tcW w:w="1375" w:type="dxa"/>
            <w:tcBorders>
              <w:top w:val="nil"/>
              <w:left w:val="nil"/>
              <w:bottom w:val="single" w:sz="4" w:space="0" w:color="auto"/>
              <w:right w:val="single" w:sz="4" w:space="0" w:color="auto"/>
            </w:tcBorders>
          </w:tcPr>
          <w:p w14:paraId="6DB9BE9C"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09D24709" w14:textId="77777777" w:rsidR="009021F1" w:rsidRPr="0029055B" w:rsidRDefault="009021F1" w:rsidP="00E637E3">
            <w:pPr>
              <w:rPr>
                <w:szCs w:val="21"/>
              </w:rPr>
            </w:pPr>
            <w:r w:rsidRPr="0029055B">
              <w:rPr>
                <w:szCs w:val="21"/>
              </w:rPr>
              <w:t>+ 50 familles</w:t>
            </w:r>
          </w:p>
        </w:tc>
        <w:tc>
          <w:tcPr>
            <w:tcW w:w="2814" w:type="dxa"/>
            <w:tcBorders>
              <w:top w:val="nil"/>
              <w:left w:val="nil"/>
              <w:bottom w:val="single" w:sz="4" w:space="0" w:color="auto"/>
              <w:right w:val="single" w:sz="8" w:space="0" w:color="auto"/>
            </w:tcBorders>
          </w:tcPr>
          <w:p w14:paraId="62FBC829" w14:textId="77777777" w:rsidR="009021F1" w:rsidRPr="0029055B" w:rsidRDefault="009021F1" w:rsidP="00E637E3">
            <w:pPr>
              <w:rPr>
                <w:szCs w:val="21"/>
              </w:rPr>
            </w:pPr>
            <w:r w:rsidRPr="0029055B">
              <w:rPr>
                <w:szCs w:val="21"/>
              </w:rPr>
              <w:t>Presque partout</w:t>
            </w:r>
          </w:p>
        </w:tc>
      </w:tr>
      <w:tr w:rsidR="009021F1" w:rsidRPr="0029055B" w14:paraId="7F23B234" w14:textId="77777777" w:rsidTr="00E637E3">
        <w:trPr>
          <w:trHeight w:val="318"/>
        </w:trPr>
        <w:tc>
          <w:tcPr>
            <w:tcW w:w="1834" w:type="dxa"/>
            <w:tcBorders>
              <w:top w:val="nil"/>
              <w:left w:val="single" w:sz="8" w:space="0" w:color="auto"/>
              <w:bottom w:val="single" w:sz="4" w:space="0" w:color="auto"/>
              <w:right w:val="single" w:sz="4" w:space="0" w:color="auto"/>
            </w:tcBorders>
            <w:vAlign w:val="bottom"/>
          </w:tcPr>
          <w:p w14:paraId="1523EB95" w14:textId="77777777" w:rsidR="009021F1" w:rsidRPr="0029055B" w:rsidRDefault="009021F1" w:rsidP="00E637E3">
            <w:pPr>
              <w:rPr>
                <w:szCs w:val="21"/>
              </w:rPr>
            </w:pPr>
            <w:r w:rsidRPr="0029055B">
              <w:rPr>
                <w:szCs w:val="21"/>
              </w:rPr>
              <w:t>Carnivora</w:t>
            </w:r>
          </w:p>
        </w:tc>
        <w:tc>
          <w:tcPr>
            <w:tcW w:w="1767" w:type="dxa"/>
            <w:tcBorders>
              <w:top w:val="nil"/>
              <w:left w:val="single" w:sz="4" w:space="0" w:color="auto"/>
              <w:bottom w:val="single" w:sz="4" w:space="0" w:color="auto"/>
              <w:right w:val="single" w:sz="4" w:space="0" w:color="auto"/>
            </w:tcBorders>
            <w:vAlign w:val="bottom"/>
          </w:tcPr>
          <w:p w14:paraId="1E11803C" w14:textId="77777777" w:rsidR="009021F1" w:rsidRPr="0029055B" w:rsidRDefault="009021F1" w:rsidP="00E637E3">
            <w:pPr>
              <w:rPr>
                <w:szCs w:val="21"/>
              </w:rPr>
            </w:pPr>
            <w:r w:rsidRPr="0029055B">
              <w:rPr>
                <w:szCs w:val="21"/>
              </w:rPr>
              <w:t>Felidae</w:t>
            </w:r>
          </w:p>
        </w:tc>
        <w:tc>
          <w:tcPr>
            <w:tcW w:w="2565" w:type="dxa"/>
            <w:tcBorders>
              <w:top w:val="nil"/>
              <w:left w:val="single" w:sz="4" w:space="0" w:color="auto"/>
              <w:bottom w:val="single" w:sz="4" w:space="0" w:color="auto"/>
              <w:right w:val="single" w:sz="4" w:space="0" w:color="auto"/>
            </w:tcBorders>
            <w:noWrap/>
            <w:vAlign w:val="bottom"/>
          </w:tcPr>
          <w:p w14:paraId="20712DC1" w14:textId="77777777" w:rsidR="009021F1" w:rsidRPr="0029055B" w:rsidRDefault="009021F1" w:rsidP="00E637E3">
            <w:pPr>
              <w:rPr>
                <w:szCs w:val="21"/>
              </w:rPr>
            </w:pPr>
            <w:r w:rsidRPr="0029055B">
              <w:rPr>
                <w:szCs w:val="21"/>
              </w:rPr>
              <w:t>Pardofelis aurata</w:t>
            </w:r>
          </w:p>
        </w:tc>
        <w:tc>
          <w:tcPr>
            <w:tcW w:w="2693" w:type="dxa"/>
            <w:tcBorders>
              <w:top w:val="nil"/>
              <w:left w:val="nil"/>
              <w:bottom w:val="single" w:sz="4" w:space="0" w:color="auto"/>
              <w:right w:val="single" w:sz="4" w:space="0" w:color="auto"/>
            </w:tcBorders>
          </w:tcPr>
          <w:p w14:paraId="30F5022E" w14:textId="77777777" w:rsidR="009021F1" w:rsidRPr="0029055B" w:rsidRDefault="009021F1" w:rsidP="00E637E3">
            <w:pPr>
              <w:rPr>
                <w:szCs w:val="21"/>
              </w:rPr>
            </w:pPr>
            <w:r w:rsidRPr="0029055B">
              <w:rPr>
                <w:szCs w:val="21"/>
              </w:rPr>
              <w:t>Chat de brousse</w:t>
            </w:r>
          </w:p>
        </w:tc>
        <w:tc>
          <w:tcPr>
            <w:tcW w:w="1375" w:type="dxa"/>
            <w:tcBorders>
              <w:top w:val="nil"/>
              <w:left w:val="nil"/>
              <w:bottom w:val="single" w:sz="4" w:space="0" w:color="auto"/>
              <w:right w:val="single" w:sz="4" w:space="0" w:color="auto"/>
            </w:tcBorders>
          </w:tcPr>
          <w:p w14:paraId="426179F9"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30912870" w14:textId="77777777" w:rsidR="009021F1" w:rsidRPr="0029055B" w:rsidRDefault="009021F1" w:rsidP="00E637E3">
            <w:pPr>
              <w:rPr>
                <w:szCs w:val="21"/>
              </w:rPr>
            </w:pPr>
            <w:r w:rsidRPr="0029055B">
              <w:rPr>
                <w:szCs w:val="21"/>
              </w:rPr>
              <w:t>-</w:t>
            </w:r>
          </w:p>
        </w:tc>
        <w:tc>
          <w:tcPr>
            <w:tcW w:w="2814" w:type="dxa"/>
            <w:tcBorders>
              <w:top w:val="nil"/>
              <w:left w:val="nil"/>
              <w:bottom w:val="single" w:sz="8" w:space="0" w:color="auto"/>
              <w:right w:val="single" w:sz="8" w:space="0" w:color="auto"/>
            </w:tcBorders>
          </w:tcPr>
          <w:p w14:paraId="4BC92881" w14:textId="77777777" w:rsidR="009021F1" w:rsidRPr="0029055B" w:rsidRDefault="009021F1" w:rsidP="00E637E3">
            <w:pPr>
              <w:rPr>
                <w:szCs w:val="21"/>
              </w:rPr>
            </w:pPr>
            <w:r w:rsidRPr="0029055B">
              <w:rPr>
                <w:szCs w:val="21"/>
              </w:rPr>
              <w:t>Fhb</w:t>
            </w:r>
          </w:p>
        </w:tc>
      </w:tr>
      <w:tr w:rsidR="009021F1" w:rsidRPr="0029055B" w14:paraId="0B245E52" w14:textId="77777777" w:rsidTr="00E637E3">
        <w:trPr>
          <w:trHeight w:val="318"/>
        </w:trPr>
        <w:tc>
          <w:tcPr>
            <w:tcW w:w="1834" w:type="dxa"/>
            <w:tcBorders>
              <w:top w:val="nil"/>
              <w:left w:val="single" w:sz="8" w:space="0" w:color="auto"/>
              <w:bottom w:val="single" w:sz="8" w:space="0" w:color="auto"/>
              <w:right w:val="single" w:sz="4" w:space="0" w:color="auto"/>
            </w:tcBorders>
            <w:vAlign w:val="bottom"/>
          </w:tcPr>
          <w:p w14:paraId="177870D3" w14:textId="77777777" w:rsidR="009021F1" w:rsidRPr="0029055B" w:rsidRDefault="009021F1" w:rsidP="00E637E3">
            <w:pPr>
              <w:rPr>
                <w:szCs w:val="21"/>
              </w:rPr>
            </w:pPr>
            <w:r w:rsidRPr="0029055B">
              <w:rPr>
                <w:szCs w:val="21"/>
              </w:rPr>
              <w:t>Rodentia</w:t>
            </w:r>
          </w:p>
        </w:tc>
        <w:tc>
          <w:tcPr>
            <w:tcW w:w="1767" w:type="dxa"/>
            <w:tcBorders>
              <w:top w:val="nil"/>
              <w:left w:val="single" w:sz="4" w:space="0" w:color="auto"/>
              <w:bottom w:val="single" w:sz="4" w:space="0" w:color="auto"/>
              <w:right w:val="single" w:sz="4" w:space="0" w:color="auto"/>
            </w:tcBorders>
            <w:vAlign w:val="bottom"/>
          </w:tcPr>
          <w:p w14:paraId="028D12EB" w14:textId="77777777" w:rsidR="009021F1" w:rsidRPr="0029055B" w:rsidRDefault="009021F1" w:rsidP="00E637E3">
            <w:pPr>
              <w:rPr>
                <w:szCs w:val="21"/>
              </w:rPr>
            </w:pPr>
            <w:r w:rsidRPr="0029055B">
              <w:rPr>
                <w:szCs w:val="21"/>
              </w:rPr>
              <w:t>Muridae</w:t>
            </w:r>
          </w:p>
        </w:tc>
        <w:tc>
          <w:tcPr>
            <w:tcW w:w="2565" w:type="dxa"/>
            <w:tcBorders>
              <w:top w:val="nil"/>
              <w:left w:val="single" w:sz="4" w:space="0" w:color="auto"/>
              <w:bottom w:val="single" w:sz="4" w:space="0" w:color="auto"/>
              <w:right w:val="single" w:sz="4" w:space="0" w:color="auto"/>
            </w:tcBorders>
            <w:noWrap/>
            <w:vAlign w:val="bottom"/>
          </w:tcPr>
          <w:p w14:paraId="791B60B0" w14:textId="77777777" w:rsidR="009021F1" w:rsidRPr="0029055B" w:rsidRDefault="009021F1" w:rsidP="00E637E3">
            <w:pPr>
              <w:rPr>
                <w:szCs w:val="21"/>
              </w:rPr>
            </w:pPr>
            <w:r w:rsidRPr="0029055B">
              <w:rPr>
                <w:szCs w:val="21"/>
              </w:rPr>
              <w:t>Pelomys hopkinsi</w:t>
            </w:r>
          </w:p>
        </w:tc>
        <w:tc>
          <w:tcPr>
            <w:tcW w:w="2693" w:type="dxa"/>
            <w:tcBorders>
              <w:top w:val="nil"/>
              <w:left w:val="nil"/>
              <w:bottom w:val="single" w:sz="4" w:space="0" w:color="auto"/>
              <w:right w:val="single" w:sz="4" w:space="0" w:color="auto"/>
            </w:tcBorders>
          </w:tcPr>
          <w:p w14:paraId="2A593D4C" w14:textId="77777777" w:rsidR="009021F1" w:rsidRPr="0029055B" w:rsidRDefault="009021F1" w:rsidP="00E637E3">
            <w:pPr>
              <w:rPr>
                <w:szCs w:val="21"/>
              </w:rPr>
            </w:pPr>
          </w:p>
        </w:tc>
        <w:tc>
          <w:tcPr>
            <w:tcW w:w="1375" w:type="dxa"/>
            <w:tcBorders>
              <w:top w:val="nil"/>
              <w:left w:val="nil"/>
              <w:bottom w:val="single" w:sz="4" w:space="0" w:color="auto"/>
              <w:right w:val="single" w:sz="4" w:space="0" w:color="auto"/>
            </w:tcBorders>
          </w:tcPr>
          <w:p w14:paraId="3C9152AB"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2E1D3D98" w14:textId="77777777" w:rsidR="009021F1" w:rsidRPr="0029055B" w:rsidRDefault="009021F1" w:rsidP="00E637E3">
            <w:pPr>
              <w:rPr>
                <w:szCs w:val="21"/>
              </w:rPr>
            </w:pPr>
            <w:r w:rsidRPr="0029055B">
              <w:rPr>
                <w:szCs w:val="21"/>
              </w:rPr>
              <w:t>Très rare</w:t>
            </w:r>
          </w:p>
        </w:tc>
        <w:tc>
          <w:tcPr>
            <w:tcW w:w="2814" w:type="dxa"/>
            <w:tcBorders>
              <w:top w:val="single" w:sz="8" w:space="0" w:color="auto"/>
              <w:left w:val="nil"/>
              <w:bottom w:val="single" w:sz="4" w:space="0" w:color="auto"/>
              <w:right w:val="single" w:sz="8" w:space="0" w:color="auto"/>
            </w:tcBorders>
          </w:tcPr>
          <w:p w14:paraId="32D0B108" w14:textId="77777777" w:rsidR="009021F1" w:rsidRPr="0029055B" w:rsidRDefault="009021F1" w:rsidP="00E637E3">
            <w:pPr>
              <w:rPr>
                <w:szCs w:val="21"/>
              </w:rPr>
            </w:pPr>
            <w:r w:rsidRPr="0029055B">
              <w:rPr>
                <w:szCs w:val="21"/>
              </w:rPr>
              <w:t>FM</w:t>
            </w:r>
          </w:p>
        </w:tc>
      </w:tr>
      <w:tr w:rsidR="009021F1" w:rsidRPr="0029055B" w14:paraId="2C708941" w14:textId="77777777" w:rsidTr="00E637E3">
        <w:trPr>
          <w:trHeight w:val="318"/>
        </w:trPr>
        <w:tc>
          <w:tcPr>
            <w:tcW w:w="1834" w:type="dxa"/>
            <w:tcBorders>
              <w:top w:val="single" w:sz="8" w:space="0" w:color="auto"/>
              <w:left w:val="single" w:sz="8" w:space="0" w:color="auto"/>
              <w:bottom w:val="single" w:sz="8" w:space="0" w:color="auto"/>
              <w:right w:val="single" w:sz="4" w:space="0" w:color="auto"/>
            </w:tcBorders>
            <w:vAlign w:val="bottom"/>
          </w:tcPr>
          <w:p w14:paraId="0D431E2C" w14:textId="77777777" w:rsidR="009021F1" w:rsidRPr="0029055B" w:rsidRDefault="009021F1" w:rsidP="00E637E3">
            <w:pPr>
              <w:rPr>
                <w:szCs w:val="21"/>
              </w:rPr>
            </w:pPr>
            <w:r w:rsidRPr="0029055B">
              <w:rPr>
                <w:szCs w:val="21"/>
              </w:rPr>
              <w:t>Artiodactyla</w:t>
            </w:r>
          </w:p>
        </w:tc>
        <w:tc>
          <w:tcPr>
            <w:tcW w:w="1767" w:type="dxa"/>
            <w:tcBorders>
              <w:top w:val="nil"/>
              <w:left w:val="single" w:sz="4" w:space="0" w:color="auto"/>
              <w:bottom w:val="single" w:sz="4" w:space="0" w:color="auto"/>
              <w:right w:val="single" w:sz="4" w:space="0" w:color="auto"/>
            </w:tcBorders>
            <w:vAlign w:val="bottom"/>
          </w:tcPr>
          <w:p w14:paraId="62E9422B" w14:textId="77777777" w:rsidR="009021F1" w:rsidRPr="0029055B" w:rsidRDefault="009021F1" w:rsidP="00E637E3">
            <w:pPr>
              <w:rPr>
                <w:szCs w:val="21"/>
              </w:rPr>
            </w:pPr>
            <w:r w:rsidRPr="0029055B">
              <w:rPr>
                <w:szCs w:val="21"/>
              </w:rPr>
              <w:t>Suidae</w:t>
            </w:r>
          </w:p>
        </w:tc>
        <w:tc>
          <w:tcPr>
            <w:tcW w:w="2565" w:type="dxa"/>
            <w:tcBorders>
              <w:top w:val="nil"/>
              <w:left w:val="single" w:sz="4" w:space="0" w:color="auto"/>
              <w:bottom w:val="single" w:sz="4" w:space="0" w:color="auto"/>
              <w:right w:val="single" w:sz="4" w:space="0" w:color="auto"/>
            </w:tcBorders>
            <w:noWrap/>
            <w:vAlign w:val="bottom"/>
          </w:tcPr>
          <w:p w14:paraId="299C50B3" w14:textId="77777777" w:rsidR="009021F1" w:rsidRPr="0029055B" w:rsidRDefault="009021F1" w:rsidP="00E637E3">
            <w:pPr>
              <w:rPr>
                <w:szCs w:val="21"/>
              </w:rPr>
            </w:pPr>
            <w:r w:rsidRPr="0029055B">
              <w:rPr>
                <w:szCs w:val="21"/>
              </w:rPr>
              <w:t>Phacochoerus africanus</w:t>
            </w:r>
          </w:p>
        </w:tc>
        <w:tc>
          <w:tcPr>
            <w:tcW w:w="2693" w:type="dxa"/>
            <w:tcBorders>
              <w:top w:val="nil"/>
              <w:left w:val="nil"/>
              <w:bottom w:val="single" w:sz="4" w:space="0" w:color="auto"/>
              <w:right w:val="single" w:sz="4" w:space="0" w:color="auto"/>
            </w:tcBorders>
          </w:tcPr>
          <w:p w14:paraId="6CD0BE23" w14:textId="77777777" w:rsidR="009021F1" w:rsidRPr="0029055B" w:rsidRDefault="009021F1" w:rsidP="00E637E3">
            <w:pPr>
              <w:rPr>
                <w:szCs w:val="21"/>
              </w:rPr>
            </w:pPr>
            <w:r w:rsidRPr="0029055B">
              <w:rPr>
                <w:szCs w:val="21"/>
              </w:rPr>
              <w:t>Phacochère, Inguruhe ya pori</w:t>
            </w:r>
          </w:p>
        </w:tc>
        <w:tc>
          <w:tcPr>
            <w:tcW w:w="1375" w:type="dxa"/>
            <w:tcBorders>
              <w:top w:val="nil"/>
              <w:left w:val="nil"/>
              <w:bottom w:val="single" w:sz="4" w:space="0" w:color="auto"/>
              <w:right w:val="single" w:sz="4" w:space="0" w:color="auto"/>
            </w:tcBorders>
          </w:tcPr>
          <w:p w14:paraId="1F1B4020"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7377C564" w14:textId="77777777" w:rsidR="009021F1" w:rsidRPr="0029055B" w:rsidRDefault="009021F1" w:rsidP="00E637E3">
            <w:pPr>
              <w:rPr>
                <w:szCs w:val="21"/>
              </w:rPr>
            </w:pPr>
            <w:r w:rsidRPr="0029055B">
              <w:rPr>
                <w:szCs w:val="21"/>
              </w:rPr>
              <w:t>714 familles</w:t>
            </w:r>
          </w:p>
        </w:tc>
        <w:tc>
          <w:tcPr>
            <w:tcW w:w="2814" w:type="dxa"/>
            <w:tcBorders>
              <w:top w:val="single" w:sz="4" w:space="0" w:color="auto"/>
              <w:left w:val="nil"/>
              <w:bottom w:val="single" w:sz="4" w:space="0" w:color="auto"/>
              <w:right w:val="single" w:sz="8" w:space="0" w:color="auto"/>
            </w:tcBorders>
          </w:tcPr>
          <w:p w14:paraId="54DC8F41" w14:textId="77777777" w:rsidR="009021F1" w:rsidRPr="0029055B" w:rsidRDefault="009021F1" w:rsidP="00E637E3">
            <w:pPr>
              <w:rPr>
                <w:szCs w:val="21"/>
              </w:rPr>
            </w:pPr>
            <w:r w:rsidRPr="0029055B">
              <w:rPr>
                <w:szCs w:val="21"/>
              </w:rPr>
              <w:t>Fm</w:t>
            </w:r>
          </w:p>
        </w:tc>
      </w:tr>
      <w:tr w:rsidR="009021F1" w:rsidRPr="0029055B" w14:paraId="507CC517" w14:textId="77777777" w:rsidTr="00E637E3">
        <w:trPr>
          <w:trHeight w:val="318"/>
        </w:trPr>
        <w:tc>
          <w:tcPr>
            <w:tcW w:w="1834" w:type="dxa"/>
            <w:tcBorders>
              <w:top w:val="single" w:sz="8" w:space="0" w:color="auto"/>
              <w:left w:val="single" w:sz="8" w:space="0" w:color="auto"/>
              <w:bottom w:val="single" w:sz="8" w:space="0" w:color="auto"/>
              <w:right w:val="single" w:sz="4" w:space="0" w:color="auto"/>
            </w:tcBorders>
            <w:vAlign w:val="bottom"/>
          </w:tcPr>
          <w:p w14:paraId="744E57E1" w14:textId="77777777" w:rsidR="009021F1" w:rsidRPr="0029055B" w:rsidRDefault="009021F1" w:rsidP="00E637E3">
            <w:pPr>
              <w:rPr>
                <w:szCs w:val="21"/>
              </w:rPr>
            </w:pPr>
            <w:r w:rsidRPr="0029055B">
              <w:rPr>
                <w:szCs w:val="21"/>
              </w:rPr>
              <w:t>Artiodactyla</w:t>
            </w:r>
          </w:p>
        </w:tc>
        <w:tc>
          <w:tcPr>
            <w:tcW w:w="1767" w:type="dxa"/>
            <w:tcBorders>
              <w:top w:val="nil"/>
              <w:left w:val="single" w:sz="4" w:space="0" w:color="auto"/>
              <w:bottom w:val="single" w:sz="4" w:space="0" w:color="auto"/>
              <w:right w:val="single" w:sz="4" w:space="0" w:color="auto"/>
            </w:tcBorders>
            <w:vAlign w:val="bottom"/>
          </w:tcPr>
          <w:p w14:paraId="7C8E47B3" w14:textId="77777777" w:rsidR="009021F1" w:rsidRPr="0029055B" w:rsidRDefault="009021F1" w:rsidP="00E637E3">
            <w:pPr>
              <w:rPr>
                <w:szCs w:val="21"/>
              </w:rPr>
            </w:pPr>
            <w:r w:rsidRPr="0029055B">
              <w:rPr>
                <w:szCs w:val="21"/>
              </w:rPr>
              <w:t>Suidae</w:t>
            </w:r>
          </w:p>
        </w:tc>
        <w:tc>
          <w:tcPr>
            <w:tcW w:w="2565" w:type="dxa"/>
            <w:tcBorders>
              <w:top w:val="nil"/>
              <w:left w:val="single" w:sz="4" w:space="0" w:color="auto"/>
              <w:bottom w:val="single" w:sz="4" w:space="0" w:color="auto"/>
              <w:right w:val="single" w:sz="4" w:space="0" w:color="auto"/>
            </w:tcBorders>
            <w:noWrap/>
            <w:vAlign w:val="bottom"/>
          </w:tcPr>
          <w:p w14:paraId="79618CB1" w14:textId="77777777" w:rsidR="009021F1" w:rsidRPr="0029055B" w:rsidRDefault="009021F1" w:rsidP="00E637E3">
            <w:pPr>
              <w:rPr>
                <w:szCs w:val="21"/>
              </w:rPr>
            </w:pPr>
            <w:r w:rsidRPr="0029055B">
              <w:rPr>
                <w:szCs w:val="21"/>
              </w:rPr>
              <w:t>Potamochoerus aethiopicus</w:t>
            </w:r>
          </w:p>
        </w:tc>
        <w:tc>
          <w:tcPr>
            <w:tcW w:w="2693" w:type="dxa"/>
            <w:tcBorders>
              <w:top w:val="nil"/>
              <w:left w:val="nil"/>
              <w:bottom w:val="single" w:sz="4" w:space="0" w:color="auto"/>
              <w:right w:val="single" w:sz="4" w:space="0" w:color="auto"/>
            </w:tcBorders>
          </w:tcPr>
          <w:p w14:paraId="2E5F6D72" w14:textId="77777777" w:rsidR="009021F1" w:rsidRPr="0029055B" w:rsidRDefault="009021F1" w:rsidP="00E637E3">
            <w:pPr>
              <w:rPr>
                <w:szCs w:val="21"/>
              </w:rPr>
            </w:pPr>
            <w:r w:rsidRPr="0029055B">
              <w:rPr>
                <w:szCs w:val="21"/>
              </w:rPr>
              <w:t>Potamochère, Ingurube i shamba</w:t>
            </w:r>
          </w:p>
        </w:tc>
        <w:tc>
          <w:tcPr>
            <w:tcW w:w="1375" w:type="dxa"/>
            <w:tcBorders>
              <w:top w:val="nil"/>
              <w:left w:val="nil"/>
              <w:bottom w:val="single" w:sz="4" w:space="0" w:color="auto"/>
              <w:right w:val="single" w:sz="4" w:space="0" w:color="auto"/>
            </w:tcBorders>
          </w:tcPr>
          <w:p w14:paraId="1DF66DBB"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11DC6512" w14:textId="77777777" w:rsidR="009021F1" w:rsidRPr="0029055B" w:rsidRDefault="009021F1" w:rsidP="00E637E3">
            <w:pPr>
              <w:rPr>
                <w:szCs w:val="21"/>
              </w:rPr>
            </w:pPr>
            <w:r w:rsidRPr="0029055B">
              <w:rPr>
                <w:szCs w:val="21"/>
              </w:rPr>
              <w:t>-</w:t>
            </w:r>
          </w:p>
        </w:tc>
        <w:tc>
          <w:tcPr>
            <w:tcW w:w="2814" w:type="dxa"/>
            <w:tcBorders>
              <w:top w:val="nil"/>
              <w:left w:val="nil"/>
              <w:bottom w:val="single" w:sz="4" w:space="0" w:color="auto"/>
              <w:right w:val="single" w:sz="8" w:space="0" w:color="auto"/>
            </w:tcBorders>
          </w:tcPr>
          <w:p w14:paraId="4F1E179D" w14:textId="77777777" w:rsidR="009021F1" w:rsidRPr="0029055B" w:rsidRDefault="009021F1" w:rsidP="00E637E3">
            <w:pPr>
              <w:rPr>
                <w:szCs w:val="21"/>
              </w:rPr>
            </w:pPr>
            <w:r w:rsidRPr="0029055B">
              <w:rPr>
                <w:szCs w:val="21"/>
              </w:rPr>
              <w:t>Fm</w:t>
            </w:r>
          </w:p>
        </w:tc>
      </w:tr>
      <w:tr w:rsidR="009021F1" w:rsidRPr="0029055B" w14:paraId="7084556E" w14:textId="77777777" w:rsidTr="00E637E3">
        <w:trPr>
          <w:trHeight w:val="318"/>
        </w:trPr>
        <w:tc>
          <w:tcPr>
            <w:tcW w:w="1834" w:type="dxa"/>
            <w:tcBorders>
              <w:top w:val="single" w:sz="8" w:space="0" w:color="auto"/>
              <w:left w:val="single" w:sz="8" w:space="0" w:color="auto"/>
              <w:bottom w:val="single" w:sz="4" w:space="0" w:color="auto"/>
              <w:right w:val="single" w:sz="4" w:space="0" w:color="auto"/>
            </w:tcBorders>
            <w:vAlign w:val="bottom"/>
          </w:tcPr>
          <w:p w14:paraId="5DA1E223" w14:textId="77777777" w:rsidR="009021F1" w:rsidRPr="0029055B" w:rsidRDefault="009021F1" w:rsidP="00E637E3">
            <w:pPr>
              <w:rPr>
                <w:szCs w:val="21"/>
              </w:rPr>
            </w:pPr>
            <w:r w:rsidRPr="0029055B">
              <w:rPr>
                <w:szCs w:val="21"/>
              </w:rPr>
              <w:t>Artiodactyla</w:t>
            </w:r>
          </w:p>
        </w:tc>
        <w:tc>
          <w:tcPr>
            <w:tcW w:w="1767" w:type="dxa"/>
            <w:tcBorders>
              <w:top w:val="nil"/>
              <w:left w:val="single" w:sz="4" w:space="0" w:color="auto"/>
              <w:bottom w:val="single" w:sz="4" w:space="0" w:color="auto"/>
              <w:right w:val="single" w:sz="4" w:space="0" w:color="auto"/>
            </w:tcBorders>
            <w:vAlign w:val="bottom"/>
          </w:tcPr>
          <w:p w14:paraId="266D504D" w14:textId="77777777" w:rsidR="009021F1" w:rsidRPr="0029055B" w:rsidRDefault="009021F1" w:rsidP="00E637E3">
            <w:pPr>
              <w:rPr>
                <w:szCs w:val="21"/>
              </w:rPr>
            </w:pPr>
            <w:r w:rsidRPr="0029055B">
              <w:rPr>
                <w:szCs w:val="21"/>
              </w:rPr>
              <w:t>Suidae</w:t>
            </w:r>
          </w:p>
        </w:tc>
        <w:tc>
          <w:tcPr>
            <w:tcW w:w="2565" w:type="dxa"/>
            <w:tcBorders>
              <w:top w:val="nil"/>
              <w:left w:val="single" w:sz="4" w:space="0" w:color="auto"/>
              <w:bottom w:val="single" w:sz="4" w:space="0" w:color="auto"/>
              <w:right w:val="single" w:sz="4" w:space="0" w:color="auto"/>
            </w:tcBorders>
            <w:noWrap/>
            <w:vAlign w:val="bottom"/>
          </w:tcPr>
          <w:p w14:paraId="4AAE6FEA" w14:textId="77777777" w:rsidR="009021F1" w:rsidRPr="0029055B" w:rsidRDefault="009021F1" w:rsidP="00E637E3">
            <w:pPr>
              <w:rPr>
                <w:szCs w:val="21"/>
              </w:rPr>
            </w:pPr>
            <w:r w:rsidRPr="0029055B">
              <w:rPr>
                <w:szCs w:val="21"/>
              </w:rPr>
              <w:t>Potamochoerus larvatus</w:t>
            </w:r>
          </w:p>
        </w:tc>
        <w:tc>
          <w:tcPr>
            <w:tcW w:w="2693" w:type="dxa"/>
            <w:tcBorders>
              <w:top w:val="nil"/>
              <w:left w:val="nil"/>
              <w:bottom w:val="single" w:sz="4" w:space="0" w:color="auto"/>
              <w:right w:val="single" w:sz="4" w:space="0" w:color="auto"/>
            </w:tcBorders>
          </w:tcPr>
          <w:p w14:paraId="21084AF6" w14:textId="77777777" w:rsidR="009021F1" w:rsidRPr="0029055B" w:rsidRDefault="009021F1" w:rsidP="00E637E3">
            <w:pPr>
              <w:rPr>
                <w:szCs w:val="21"/>
              </w:rPr>
            </w:pPr>
            <w:r w:rsidRPr="0029055B">
              <w:rPr>
                <w:szCs w:val="21"/>
              </w:rPr>
              <w:t xml:space="preserve">Potamochère </w:t>
            </w:r>
          </w:p>
        </w:tc>
        <w:tc>
          <w:tcPr>
            <w:tcW w:w="1375" w:type="dxa"/>
            <w:tcBorders>
              <w:top w:val="nil"/>
              <w:left w:val="nil"/>
              <w:bottom w:val="single" w:sz="4" w:space="0" w:color="auto"/>
              <w:right w:val="single" w:sz="4" w:space="0" w:color="auto"/>
            </w:tcBorders>
          </w:tcPr>
          <w:p w14:paraId="563088DF"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1EFFB41F" w14:textId="77777777" w:rsidR="009021F1" w:rsidRPr="0029055B" w:rsidRDefault="009021F1" w:rsidP="00E637E3">
            <w:pPr>
              <w:rPr>
                <w:szCs w:val="21"/>
              </w:rPr>
            </w:pPr>
            <w:r w:rsidRPr="0029055B">
              <w:rPr>
                <w:szCs w:val="21"/>
              </w:rPr>
              <w:t>-</w:t>
            </w:r>
          </w:p>
        </w:tc>
        <w:tc>
          <w:tcPr>
            <w:tcW w:w="2814" w:type="dxa"/>
            <w:tcBorders>
              <w:top w:val="nil"/>
              <w:left w:val="nil"/>
              <w:bottom w:val="single" w:sz="4" w:space="0" w:color="auto"/>
              <w:right w:val="single" w:sz="8" w:space="0" w:color="auto"/>
            </w:tcBorders>
          </w:tcPr>
          <w:p w14:paraId="52ADCC52" w14:textId="77777777" w:rsidR="009021F1" w:rsidRPr="0029055B" w:rsidRDefault="009021F1" w:rsidP="00E637E3">
            <w:pPr>
              <w:rPr>
                <w:szCs w:val="21"/>
              </w:rPr>
            </w:pPr>
            <w:r w:rsidRPr="0029055B">
              <w:rPr>
                <w:szCs w:val="21"/>
              </w:rPr>
              <w:t>Fm</w:t>
            </w:r>
          </w:p>
        </w:tc>
      </w:tr>
      <w:tr w:rsidR="009021F1" w:rsidRPr="0029055B" w14:paraId="118D9801" w14:textId="77777777" w:rsidTr="00E637E3">
        <w:trPr>
          <w:trHeight w:val="274"/>
        </w:trPr>
        <w:tc>
          <w:tcPr>
            <w:tcW w:w="1834" w:type="dxa"/>
            <w:tcBorders>
              <w:top w:val="nil"/>
              <w:left w:val="single" w:sz="8" w:space="0" w:color="auto"/>
              <w:bottom w:val="single" w:sz="4" w:space="0" w:color="auto"/>
              <w:right w:val="single" w:sz="4" w:space="0" w:color="auto"/>
            </w:tcBorders>
            <w:vAlign w:val="bottom"/>
          </w:tcPr>
          <w:p w14:paraId="1FCE4F87" w14:textId="77777777" w:rsidR="009021F1" w:rsidRPr="0029055B" w:rsidRDefault="009021F1" w:rsidP="00E637E3">
            <w:pPr>
              <w:rPr>
                <w:szCs w:val="21"/>
              </w:rPr>
            </w:pPr>
            <w:r w:rsidRPr="0029055B">
              <w:rPr>
                <w:szCs w:val="21"/>
              </w:rPr>
              <w:t>Carnivora</w:t>
            </w:r>
          </w:p>
        </w:tc>
        <w:tc>
          <w:tcPr>
            <w:tcW w:w="1767" w:type="dxa"/>
            <w:tcBorders>
              <w:top w:val="nil"/>
              <w:left w:val="single" w:sz="4" w:space="0" w:color="auto"/>
              <w:bottom w:val="single" w:sz="4" w:space="0" w:color="auto"/>
              <w:right w:val="single" w:sz="4" w:space="0" w:color="auto"/>
            </w:tcBorders>
            <w:vAlign w:val="bottom"/>
          </w:tcPr>
          <w:p w14:paraId="48CDBD8B" w14:textId="77777777" w:rsidR="009021F1" w:rsidRPr="0029055B" w:rsidRDefault="009021F1" w:rsidP="00E637E3">
            <w:pPr>
              <w:rPr>
                <w:szCs w:val="21"/>
              </w:rPr>
            </w:pPr>
            <w:r w:rsidRPr="0029055B">
              <w:rPr>
                <w:szCs w:val="21"/>
              </w:rPr>
              <w:t>Felidae</w:t>
            </w:r>
          </w:p>
        </w:tc>
        <w:tc>
          <w:tcPr>
            <w:tcW w:w="2565" w:type="dxa"/>
            <w:tcBorders>
              <w:top w:val="nil"/>
              <w:left w:val="single" w:sz="4" w:space="0" w:color="auto"/>
              <w:bottom w:val="single" w:sz="4" w:space="0" w:color="auto"/>
              <w:right w:val="single" w:sz="4" w:space="0" w:color="auto"/>
            </w:tcBorders>
            <w:noWrap/>
            <w:vAlign w:val="bottom"/>
          </w:tcPr>
          <w:p w14:paraId="17ED4CA0" w14:textId="77777777" w:rsidR="009021F1" w:rsidRPr="0029055B" w:rsidRDefault="009021F1" w:rsidP="00E637E3">
            <w:pPr>
              <w:rPr>
                <w:szCs w:val="21"/>
              </w:rPr>
            </w:pPr>
            <w:r w:rsidRPr="0029055B">
              <w:rPr>
                <w:szCs w:val="21"/>
              </w:rPr>
              <w:t>Profelis aurata</w:t>
            </w:r>
          </w:p>
        </w:tc>
        <w:tc>
          <w:tcPr>
            <w:tcW w:w="2693" w:type="dxa"/>
            <w:tcBorders>
              <w:top w:val="nil"/>
              <w:left w:val="nil"/>
              <w:bottom w:val="single" w:sz="4" w:space="0" w:color="auto"/>
              <w:right w:val="single" w:sz="4" w:space="0" w:color="auto"/>
            </w:tcBorders>
          </w:tcPr>
          <w:p w14:paraId="05A14269" w14:textId="77777777" w:rsidR="009021F1" w:rsidRPr="0029055B" w:rsidRDefault="009021F1" w:rsidP="00E637E3">
            <w:pPr>
              <w:rPr>
                <w:szCs w:val="21"/>
              </w:rPr>
            </w:pPr>
            <w:r w:rsidRPr="0029055B">
              <w:rPr>
                <w:szCs w:val="21"/>
              </w:rPr>
              <w:t>Chat doré d’Afrique</w:t>
            </w:r>
          </w:p>
        </w:tc>
        <w:tc>
          <w:tcPr>
            <w:tcW w:w="1375" w:type="dxa"/>
            <w:tcBorders>
              <w:top w:val="nil"/>
              <w:left w:val="nil"/>
              <w:bottom w:val="single" w:sz="4" w:space="0" w:color="auto"/>
              <w:right w:val="single" w:sz="4" w:space="0" w:color="auto"/>
            </w:tcBorders>
          </w:tcPr>
          <w:p w14:paraId="167D7709"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664C5348" w14:textId="77777777" w:rsidR="009021F1" w:rsidRPr="0029055B" w:rsidRDefault="009021F1" w:rsidP="00E637E3">
            <w:pPr>
              <w:rPr>
                <w:szCs w:val="21"/>
              </w:rPr>
            </w:pPr>
            <w:r w:rsidRPr="0029055B">
              <w:rPr>
                <w:szCs w:val="21"/>
              </w:rPr>
              <w:t>-</w:t>
            </w:r>
          </w:p>
        </w:tc>
        <w:tc>
          <w:tcPr>
            <w:tcW w:w="2814" w:type="dxa"/>
            <w:tcBorders>
              <w:top w:val="nil"/>
              <w:left w:val="nil"/>
              <w:bottom w:val="single" w:sz="4" w:space="0" w:color="auto"/>
              <w:right w:val="single" w:sz="8" w:space="0" w:color="auto"/>
            </w:tcBorders>
          </w:tcPr>
          <w:p w14:paraId="1923E825" w14:textId="77777777" w:rsidR="009021F1" w:rsidRPr="0029055B" w:rsidRDefault="009021F1" w:rsidP="00E637E3">
            <w:pPr>
              <w:rPr>
                <w:szCs w:val="21"/>
              </w:rPr>
            </w:pPr>
            <w:r w:rsidRPr="0029055B">
              <w:rPr>
                <w:szCs w:val="21"/>
              </w:rPr>
              <w:t>Fha</w:t>
            </w:r>
          </w:p>
        </w:tc>
      </w:tr>
      <w:tr w:rsidR="009021F1" w:rsidRPr="0029055B" w14:paraId="4880CF12" w14:textId="77777777" w:rsidTr="00E637E3">
        <w:trPr>
          <w:trHeight w:val="318"/>
        </w:trPr>
        <w:tc>
          <w:tcPr>
            <w:tcW w:w="1834" w:type="dxa"/>
            <w:tcBorders>
              <w:top w:val="nil"/>
              <w:left w:val="single" w:sz="8" w:space="0" w:color="auto"/>
              <w:bottom w:val="single" w:sz="4" w:space="0" w:color="auto"/>
              <w:right w:val="single" w:sz="4" w:space="0" w:color="auto"/>
            </w:tcBorders>
            <w:vAlign w:val="bottom"/>
          </w:tcPr>
          <w:p w14:paraId="000D1990" w14:textId="77777777" w:rsidR="009021F1" w:rsidRPr="0029055B" w:rsidRDefault="009021F1" w:rsidP="00E637E3">
            <w:pPr>
              <w:rPr>
                <w:szCs w:val="21"/>
              </w:rPr>
            </w:pPr>
            <w:r w:rsidRPr="0029055B">
              <w:rPr>
                <w:szCs w:val="21"/>
              </w:rPr>
              <w:t>Rongeurs</w:t>
            </w:r>
          </w:p>
        </w:tc>
        <w:tc>
          <w:tcPr>
            <w:tcW w:w="1767" w:type="dxa"/>
            <w:tcBorders>
              <w:top w:val="nil"/>
              <w:left w:val="single" w:sz="4" w:space="0" w:color="auto"/>
              <w:bottom w:val="single" w:sz="4" w:space="0" w:color="auto"/>
              <w:right w:val="single" w:sz="4" w:space="0" w:color="auto"/>
            </w:tcBorders>
            <w:vAlign w:val="bottom"/>
          </w:tcPr>
          <w:p w14:paraId="119A4976" w14:textId="77777777" w:rsidR="009021F1" w:rsidRPr="0029055B" w:rsidRDefault="009021F1" w:rsidP="00E637E3">
            <w:pPr>
              <w:rPr>
                <w:szCs w:val="21"/>
              </w:rPr>
            </w:pPr>
            <w:r w:rsidRPr="0029055B">
              <w:rPr>
                <w:szCs w:val="21"/>
              </w:rPr>
              <w:t>Sciuridae</w:t>
            </w:r>
          </w:p>
        </w:tc>
        <w:tc>
          <w:tcPr>
            <w:tcW w:w="2565" w:type="dxa"/>
            <w:tcBorders>
              <w:top w:val="nil"/>
              <w:left w:val="single" w:sz="4" w:space="0" w:color="auto"/>
              <w:bottom w:val="single" w:sz="4" w:space="0" w:color="auto"/>
              <w:right w:val="single" w:sz="4" w:space="0" w:color="auto"/>
            </w:tcBorders>
            <w:noWrap/>
            <w:vAlign w:val="bottom"/>
          </w:tcPr>
          <w:p w14:paraId="6700E46C" w14:textId="77777777" w:rsidR="009021F1" w:rsidRPr="0029055B" w:rsidRDefault="009021F1" w:rsidP="00E637E3">
            <w:pPr>
              <w:rPr>
                <w:szCs w:val="21"/>
              </w:rPr>
            </w:pPr>
            <w:r w:rsidRPr="0029055B">
              <w:rPr>
                <w:szCs w:val="21"/>
              </w:rPr>
              <w:t>Sciurus sp</w:t>
            </w:r>
          </w:p>
        </w:tc>
        <w:tc>
          <w:tcPr>
            <w:tcW w:w="2693" w:type="dxa"/>
            <w:tcBorders>
              <w:top w:val="nil"/>
              <w:left w:val="nil"/>
              <w:bottom w:val="single" w:sz="4" w:space="0" w:color="auto"/>
              <w:right w:val="single" w:sz="4" w:space="0" w:color="auto"/>
            </w:tcBorders>
          </w:tcPr>
          <w:p w14:paraId="2847DF57" w14:textId="77777777" w:rsidR="009021F1" w:rsidRPr="0029055B" w:rsidRDefault="009021F1" w:rsidP="00E637E3">
            <w:pPr>
              <w:rPr>
                <w:szCs w:val="21"/>
              </w:rPr>
            </w:pPr>
            <w:r w:rsidRPr="0029055B">
              <w:rPr>
                <w:szCs w:val="21"/>
              </w:rPr>
              <w:t>Ecureil</w:t>
            </w:r>
          </w:p>
        </w:tc>
        <w:tc>
          <w:tcPr>
            <w:tcW w:w="1375" w:type="dxa"/>
            <w:tcBorders>
              <w:top w:val="nil"/>
              <w:left w:val="nil"/>
              <w:bottom w:val="single" w:sz="4" w:space="0" w:color="auto"/>
              <w:right w:val="single" w:sz="4" w:space="0" w:color="auto"/>
            </w:tcBorders>
          </w:tcPr>
          <w:p w14:paraId="684FE7A4" w14:textId="77777777" w:rsidR="009021F1" w:rsidRPr="0029055B" w:rsidRDefault="009021F1" w:rsidP="00E637E3">
            <w:pPr>
              <w:rPr>
                <w:szCs w:val="21"/>
              </w:rPr>
            </w:pPr>
          </w:p>
        </w:tc>
        <w:tc>
          <w:tcPr>
            <w:tcW w:w="1481" w:type="dxa"/>
            <w:tcBorders>
              <w:top w:val="nil"/>
              <w:left w:val="nil"/>
              <w:bottom w:val="single" w:sz="4" w:space="0" w:color="auto"/>
              <w:right w:val="single" w:sz="4" w:space="0" w:color="auto"/>
            </w:tcBorders>
          </w:tcPr>
          <w:p w14:paraId="5C767304" w14:textId="77777777" w:rsidR="009021F1" w:rsidRPr="0029055B" w:rsidRDefault="009021F1" w:rsidP="00E637E3">
            <w:pPr>
              <w:rPr>
                <w:szCs w:val="21"/>
              </w:rPr>
            </w:pPr>
          </w:p>
        </w:tc>
        <w:tc>
          <w:tcPr>
            <w:tcW w:w="2814" w:type="dxa"/>
            <w:tcBorders>
              <w:top w:val="nil"/>
              <w:left w:val="nil"/>
              <w:bottom w:val="single" w:sz="4" w:space="0" w:color="auto"/>
              <w:right w:val="single" w:sz="8" w:space="0" w:color="auto"/>
            </w:tcBorders>
          </w:tcPr>
          <w:p w14:paraId="472744A2" w14:textId="77777777" w:rsidR="009021F1" w:rsidRPr="0029055B" w:rsidRDefault="009021F1" w:rsidP="00E637E3">
            <w:pPr>
              <w:rPr>
                <w:szCs w:val="21"/>
              </w:rPr>
            </w:pPr>
          </w:p>
        </w:tc>
      </w:tr>
      <w:tr w:rsidR="009021F1" w:rsidRPr="0029055B" w14:paraId="77D78CE7" w14:textId="77777777" w:rsidTr="00E637E3">
        <w:trPr>
          <w:trHeight w:val="318"/>
        </w:trPr>
        <w:tc>
          <w:tcPr>
            <w:tcW w:w="1834" w:type="dxa"/>
            <w:tcBorders>
              <w:top w:val="nil"/>
              <w:left w:val="single" w:sz="8" w:space="0" w:color="auto"/>
              <w:bottom w:val="single" w:sz="4" w:space="0" w:color="auto"/>
              <w:right w:val="single" w:sz="4" w:space="0" w:color="auto"/>
            </w:tcBorders>
            <w:vAlign w:val="bottom"/>
          </w:tcPr>
          <w:p w14:paraId="1094C5AD" w14:textId="77777777" w:rsidR="009021F1" w:rsidRPr="0029055B" w:rsidRDefault="009021F1" w:rsidP="00E637E3">
            <w:pPr>
              <w:rPr>
                <w:szCs w:val="21"/>
              </w:rPr>
            </w:pPr>
            <w:r w:rsidRPr="0029055B">
              <w:rPr>
                <w:szCs w:val="21"/>
              </w:rPr>
              <w:t xml:space="preserve">Artiodactyla </w:t>
            </w:r>
          </w:p>
        </w:tc>
        <w:tc>
          <w:tcPr>
            <w:tcW w:w="1767" w:type="dxa"/>
            <w:tcBorders>
              <w:top w:val="nil"/>
              <w:left w:val="single" w:sz="4" w:space="0" w:color="auto"/>
              <w:bottom w:val="single" w:sz="4" w:space="0" w:color="auto"/>
              <w:right w:val="single" w:sz="4" w:space="0" w:color="auto"/>
            </w:tcBorders>
            <w:vAlign w:val="bottom"/>
          </w:tcPr>
          <w:p w14:paraId="3670330C" w14:textId="77777777" w:rsidR="009021F1" w:rsidRPr="0029055B" w:rsidRDefault="009021F1" w:rsidP="00E637E3">
            <w:pPr>
              <w:rPr>
                <w:szCs w:val="21"/>
              </w:rPr>
            </w:pPr>
            <w:r w:rsidRPr="0029055B">
              <w:rPr>
                <w:szCs w:val="21"/>
              </w:rPr>
              <w:t xml:space="preserve">Bovidae </w:t>
            </w:r>
          </w:p>
        </w:tc>
        <w:tc>
          <w:tcPr>
            <w:tcW w:w="2565" w:type="dxa"/>
            <w:tcBorders>
              <w:top w:val="nil"/>
              <w:left w:val="single" w:sz="4" w:space="0" w:color="auto"/>
              <w:bottom w:val="single" w:sz="4" w:space="0" w:color="auto"/>
              <w:right w:val="single" w:sz="4" w:space="0" w:color="auto"/>
            </w:tcBorders>
            <w:noWrap/>
            <w:vAlign w:val="bottom"/>
          </w:tcPr>
          <w:p w14:paraId="09632BDA" w14:textId="77777777" w:rsidR="009021F1" w:rsidRPr="0029055B" w:rsidRDefault="009021F1" w:rsidP="00E637E3">
            <w:pPr>
              <w:rPr>
                <w:szCs w:val="21"/>
              </w:rPr>
            </w:pPr>
            <w:r w:rsidRPr="0029055B">
              <w:rPr>
                <w:szCs w:val="21"/>
              </w:rPr>
              <w:t>Syncerus caffer</w:t>
            </w:r>
          </w:p>
        </w:tc>
        <w:tc>
          <w:tcPr>
            <w:tcW w:w="2693" w:type="dxa"/>
            <w:tcBorders>
              <w:top w:val="nil"/>
              <w:left w:val="nil"/>
              <w:bottom w:val="single" w:sz="4" w:space="0" w:color="auto"/>
              <w:right w:val="single" w:sz="4" w:space="0" w:color="auto"/>
            </w:tcBorders>
          </w:tcPr>
          <w:p w14:paraId="3C961187" w14:textId="77777777" w:rsidR="009021F1" w:rsidRPr="0029055B" w:rsidRDefault="009021F1" w:rsidP="00E637E3">
            <w:pPr>
              <w:rPr>
                <w:szCs w:val="21"/>
              </w:rPr>
            </w:pPr>
            <w:r w:rsidRPr="0029055B">
              <w:rPr>
                <w:szCs w:val="21"/>
              </w:rPr>
              <w:t>buffle</w:t>
            </w:r>
          </w:p>
        </w:tc>
        <w:tc>
          <w:tcPr>
            <w:tcW w:w="1375" w:type="dxa"/>
            <w:tcBorders>
              <w:top w:val="nil"/>
              <w:left w:val="nil"/>
              <w:bottom w:val="single" w:sz="4" w:space="0" w:color="auto"/>
              <w:right w:val="single" w:sz="4" w:space="0" w:color="auto"/>
            </w:tcBorders>
          </w:tcPr>
          <w:p w14:paraId="642B3EE2"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6A1851F2" w14:textId="77777777" w:rsidR="009021F1" w:rsidRPr="0029055B" w:rsidRDefault="009021F1" w:rsidP="00E637E3">
            <w:pPr>
              <w:rPr>
                <w:szCs w:val="21"/>
              </w:rPr>
            </w:pPr>
            <w:r w:rsidRPr="0029055B">
              <w:rPr>
                <w:szCs w:val="21"/>
              </w:rPr>
              <w:t>-</w:t>
            </w:r>
          </w:p>
        </w:tc>
        <w:tc>
          <w:tcPr>
            <w:tcW w:w="2814" w:type="dxa"/>
            <w:tcBorders>
              <w:top w:val="nil"/>
              <w:left w:val="nil"/>
              <w:bottom w:val="single" w:sz="4" w:space="0" w:color="auto"/>
              <w:right w:val="single" w:sz="8" w:space="0" w:color="auto"/>
            </w:tcBorders>
          </w:tcPr>
          <w:p w14:paraId="420C95B1" w14:textId="77777777" w:rsidR="009021F1" w:rsidRPr="0029055B" w:rsidRDefault="009021F1" w:rsidP="00E637E3">
            <w:pPr>
              <w:rPr>
                <w:szCs w:val="21"/>
              </w:rPr>
            </w:pPr>
            <w:r w:rsidRPr="0029055B">
              <w:rPr>
                <w:szCs w:val="21"/>
              </w:rPr>
              <w:t>Fscl, Fha vers Nyakakoma</w:t>
            </w:r>
          </w:p>
        </w:tc>
      </w:tr>
      <w:tr w:rsidR="009021F1" w:rsidRPr="0029055B" w14:paraId="4F1B0A7A" w14:textId="77777777" w:rsidTr="00E637E3">
        <w:trPr>
          <w:trHeight w:val="318"/>
        </w:trPr>
        <w:tc>
          <w:tcPr>
            <w:tcW w:w="1834" w:type="dxa"/>
            <w:tcBorders>
              <w:top w:val="nil"/>
              <w:left w:val="single" w:sz="8" w:space="0" w:color="auto"/>
              <w:bottom w:val="single" w:sz="4" w:space="0" w:color="auto"/>
              <w:right w:val="single" w:sz="4" w:space="0" w:color="auto"/>
            </w:tcBorders>
            <w:vAlign w:val="bottom"/>
          </w:tcPr>
          <w:p w14:paraId="23455F73" w14:textId="77777777" w:rsidR="009021F1" w:rsidRPr="0029055B" w:rsidRDefault="009021F1" w:rsidP="00E637E3">
            <w:pPr>
              <w:rPr>
                <w:szCs w:val="21"/>
              </w:rPr>
            </w:pPr>
            <w:r w:rsidRPr="0029055B">
              <w:rPr>
                <w:szCs w:val="21"/>
              </w:rPr>
              <w:t>Rodentia</w:t>
            </w:r>
          </w:p>
        </w:tc>
        <w:tc>
          <w:tcPr>
            <w:tcW w:w="1767" w:type="dxa"/>
            <w:tcBorders>
              <w:top w:val="nil"/>
              <w:left w:val="single" w:sz="4" w:space="0" w:color="auto"/>
              <w:bottom w:val="single" w:sz="4" w:space="0" w:color="auto"/>
              <w:right w:val="single" w:sz="4" w:space="0" w:color="auto"/>
            </w:tcBorders>
            <w:vAlign w:val="bottom"/>
          </w:tcPr>
          <w:p w14:paraId="376B770D" w14:textId="77777777" w:rsidR="009021F1" w:rsidRPr="0029055B" w:rsidRDefault="009021F1" w:rsidP="00E637E3">
            <w:pPr>
              <w:rPr>
                <w:szCs w:val="21"/>
              </w:rPr>
            </w:pPr>
            <w:r w:rsidRPr="0029055B">
              <w:rPr>
                <w:szCs w:val="21"/>
              </w:rPr>
              <w:t>Spalacidae</w:t>
            </w:r>
          </w:p>
        </w:tc>
        <w:tc>
          <w:tcPr>
            <w:tcW w:w="2565" w:type="dxa"/>
            <w:tcBorders>
              <w:top w:val="nil"/>
              <w:left w:val="single" w:sz="4" w:space="0" w:color="auto"/>
              <w:bottom w:val="single" w:sz="4" w:space="0" w:color="auto"/>
              <w:right w:val="single" w:sz="4" w:space="0" w:color="auto"/>
            </w:tcBorders>
            <w:noWrap/>
            <w:vAlign w:val="bottom"/>
          </w:tcPr>
          <w:p w14:paraId="30C2F102" w14:textId="77777777" w:rsidR="009021F1" w:rsidRPr="0029055B" w:rsidRDefault="009021F1" w:rsidP="00E637E3">
            <w:pPr>
              <w:rPr>
                <w:szCs w:val="21"/>
              </w:rPr>
            </w:pPr>
            <w:r w:rsidRPr="0029055B">
              <w:rPr>
                <w:szCs w:val="21"/>
              </w:rPr>
              <w:t>Tachyorictes ruandae</w:t>
            </w:r>
          </w:p>
        </w:tc>
        <w:tc>
          <w:tcPr>
            <w:tcW w:w="2693" w:type="dxa"/>
            <w:tcBorders>
              <w:top w:val="nil"/>
              <w:left w:val="nil"/>
              <w:bottom w:val="single" w:sz="4" w:space="0" w:color="auto"/>
              <w:right w:val="single" w:sz="4" w:space="0" w:color="auto"/>
            </w:tcBorders>
          </w:tcPr>
          <w:p w14:paraId="41A4B7E9" w14:textId="77777777" w:rsidR="009021F1" w:rsidRPr="0029055B" w:rsidRDefault="009021F1" w:rsidP="00E637E3">
            <w:pPr>
              <w:rPr>
                <w:szCs w:val="21"/>
              </w:rPr>
            </w:pPr>
            <w:r w:rsidRPr="0029055B">
              <w:rPr>
                <w:szCs w:val="21"/>
              </w:rPr>
              <w:t>Rat-taupe</w:t>
            </w:r>
          </w:p>
        </w:tc>
        <w:tc>
          <w:tcPr>
            <w:tcW w:w="1375" w:type="dxa"/>
            <w:tcBorders>
              <w:top w:val="nil"/>
              <w:left w:val="nil"/>
              <w:bottom w:val="single" w:sz="4" w:space="0" w:color="auto"/>
              <w:right w:val="single" w:sz="4" w:space="0" w:color="auto"/>
            </w:tcBorders>
          </w:tcPr>
          <w:p w14:paraId="67304BD8"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42DA9461" w14:textId="77777777" w:rsidR="009021F1" w:rsidRPr="0029055B" w:rsidRDefault="009021F1" w:rsidP="00E637E3">
            <w:pPr>
              <w:rPr>
                <w:szCs w:val="21"/>
              </w:rPr>
            </w:pPr>
            <w:r w:rsidRPr="0029055B">
              <w:rPr>
                <w:szCs w:val="21"/>
              </w:rPr>
              <w:t>-</w:t>
            </w:r>
          </w:p>
        </w:tc>
        <w:tc>
          <w:tcPr>
            <w:tcW w:w="2814" w:type="dxa"/>
            <w:tcBorders>
              <w:top w:val="nil"/>
              <w:left w:val="nil"/>
              <w:bottom w:val="single" w:sz="4" w:space="0" w:color="auto"/>
              <w:right w:val="single" w:sz="8" w:space="0" w:color="auto"/>
            </w:tcBorders>
          </w:tcPr>
          <w:p w14:paraId="567B3131" w14:textId="77777777" w:rsidR="009021F1" w:rsidRPr="0029055B" w:rsidRDefault="009021F1" w:rsidP="00E637E3">
            <w:pPr>
              <w:rPr>
                <w:szCs w:val="21"/>
              </w:rPr>
            </w:pPr>
            <w:r w:rsidRPr="0029055B">
              <w:rPr>
                <w:szCs w:val="21"/>
              </w:rPr>
              <w:t xml:space="preserve">Souterrain </w:t>
            </w:r>
          </w:p>
        </w:tc>
      </w:tr>
      <w:tr w:rsidR="009021F1" w:rsidRPr="0029055B" w14:paraId="61391D9F" w14:textId="77777777" w:rsidTr="00E637E3">
        <w:trPr>
          <w:trHeight w:val="318"/>
        </w:trPr>
        <w:tc>
          <w:tcPr>
            <w:tcW w:w="1834" w:type="dxa"/>
            <w:tcBorders>
              <w:top w:val="nil"/>
              <w:left w:val="single" w:sz="8" w:space="0" w:color="auto"/>
              <w:bottom w:val="single" w:sz="4" w:space="0" w:color="auto"/>
              <w:right w:val="single" w:sz="4" w:space="0" w:color="auto"/>
            </w:tcBorders>
            <w:vAlign w:val="bottom"/>
          </w:tcPr>
          <w:p w14:paraId="5B6DD6D1" w14:textId="77777777" w:rsidR="009021F1" w:rsidRPr="0029055B" w:rsidRDefault="009021F1" w:rsidP="00E637E3">
            <w:pPr>
              <w:rPr>
                <w:szCs w:val="21"/>
              </w:rPr>
            </w:pPr>
            <w:r w:rsidRPr="0029055B">
              <w:rPr>
                <w:szCs w:val="21"/>
              </w:rPr>
              <w:t>Artiodactyla</w:t>
            </w:r>
          </w:p>
        </w:tc>
        <w:tc>
          <w:tcPr>
            <w:tcW w:w="1767" w:type="dxa"/>
            <w:tcBorders>
              <w:top w:val="nil"/>
              <w:left w:val="single" w:sz="4" w:space="0" w:color="auto"/>
              <w:bottom w:val="single" w:sz="4" w:space="0" w:color="auto"/>
              <w:right w:val="single" w:sz="4" w:space="0" w:color="auto"/>
            </w:tcBorders>
            <w:vAlign w:val="bottom"/>
          </w:tcPr>
          <w:p w14:paraId="1FD6EA5E" w14:textId="77777777" w:rsidR="009021F1" w:rsidRPr="0029055B" w:rsidRDefault="009021F1" w:rsidP="00E637E3">
            <w:pPr>
              <w:rPr>
                <w:szCs w:val="21"/>
              </w:rPr>
            </w:pPr>
            <w:r w:rsidRPr="0029055B">
              <w:rPr>
                <w:szCs w:val="21"/>
              </w:rPr>
              <w:t>Bovidae</w:t>
            </w:r>
          </w:p>
        </w:tc>
        <w:tc>
          <w:tcPr>
            <w:tcW w:w="2565" w:type="dxa"/>
            <w:tcBorders>
              <w:top w:val="nil"/>
              <w:left w:val="single" w:sz="4" w:space="0" w:color="auto"/>
              <w:bottom w:val="single" w:sz="4" w:space="0" w:color="auto"/>
              <w:right w:val="single" w:sz="4" w:space="0" w:color="auto"/>
            </w:tcBorders>
            <w:noWrap/>
            <w:vAlign w:val="bottom"/>
          </w:tcPr>
          <w:p w14:paraId="12E9D4D8" w14:textId="77777777" w:rsidR="009021F1" w:rsidRPr="0029055B" w:rsidRDefault="009021F1" w:rsidP="00E637E3">
            <w:pPr>
              <w:rPr>
                <w:szCs w:val="21"/>
              </w:rPr>
            </w:pPr>
            <w:r w:rsidRPr="0029055B">
              <w:rPr>
                <w:szCs w:val="21"/>
              </w:rPr>
              <w:t>Tragelaphus scriptus</w:t>
            </w:r>
          </w:p>
        </w:tc>
        <w:tc>
          <w:tcPr>
            <w:tcW w:w="2693" w:type="dxa"/>
            <w:tcBorders>
              <w:top w:val="nil"/>
              <w:left w:val="nil"/>
              <w:bottom w:val="single" w:sz="4" w:space="0" w:color="auto"/>
              <w:right w:val="single" w:sz="4" w:space="0" w:color="auto"/>
            </w:tcBorders>
          </w:tcPr>
          <w:p w14:paraId="2F971AE4" w14:textId="77777777" w:rsidR="009021F1" w:rsidRPr="0029055B" w:rsidRDefault="009021F1" w:rsidP="00E637E3">
            <w:pPr>
              <w:rPr>
                <w:szCs w:val="21"/>
              </w:rPr>
            </w:pPr>
            <w:r w:rsidRPr="0029055B">
              <w:rPr>
                <w:szCs w:val="21"/>
              </w:rPr>
              <w:t>Guib harnaché</w:t>
            </w:r>
          </w:p>
        </w:tc>
        <w:tc>
          <w:tcPr>
            <w:tcW w:w="1375" w:type="dxa"/>
            <w:tcBorders>
              <w:top w:val="nil"/>
              <w:left w:val="nil"/>
              <w:bottom w:val="single" w:sz="4" w:space="0" w:color="auto"/>
              <w:right w:val="single" w:sz="4" w:space="0" w:color="auto"/>
            </w:tcBorders>
          </w:tcPr>
          <w:p w14:paraId="52EF6E0D"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465DBEAA" w14:textId="77777777" w:rsidR="009021F1" w:rsidRPr="0029055B" w:rsidRDefault="009021F1" w:rsidP="00E637E3">
            <w:pPr>
              <w:rPr>
                <w:szCs w:val="21"/>
              </w:rPr>
            </w:pPr>
            <w:r w:rsidRPr="0029055B">
              <w:rPr>
                <w:szCs w:val="21"/>
              </w:rPr>
              <w:t>-</w:t>
            </w:r>
          </w:p>
        </w:tc>
        <w:tc>
          <w:tcPr>
            <w:tcW w:w="2814" w:type="dxa"/>
            <w:tcBorders>
              <w:top w:val="nil"/>
              <w:left w:val="nil"/>
              <w:bottom w:val="single" w:sz="4" w:space="0" w:color="auto"/>
              <w:right w:val="single" w:sz="8" w:space="0" w:color="auto"/>
            </w:tcBorders>
          </w:tcPr>
          <w:p w14:paraId="156866B6" w14:textId="77777777" w:rsidR="009021F1" w:rsidRPr="0029055B" w:rsidRDefault="009021F1" w:rsidP="00E637E3">
            <w:pPr>
              <w:rPr>
                <w:szCs w:val="21"/>
              </w:rPr>
            </w:pPr>
            <w:r w:rsidRPr="0029055B">
              <w:rPr>
                <w:szCs w:val="21"/>
              </w:rPr>
              <w:t>Fha</w:t>
            </w:r>
          </w:p>
        </w:tc>
      </w:tr>
      <w:tr w:rsidR="009021F1" w:rsidRPr="0029055B" w14:paraId="3B2503DC" w14:textId="77777777" w:rsidTr="00E637E3">
        <w:trPr>
          <w:trHeight w:val="318"/>
        </w:trPr>
        <w:tc>
          <w:tcPr>
            <w:tcW w:w="1834" w:type="dxa"/>
            <w:tcBorders>
              <w:top w:val="nil"/>
              <w:left w:val="single" w:sz="8" w:space="0" w:color="auto"/>
              <w:bottom w:val="single" w:sz="4" w:space="0" w:color="auto"/>
              <w:right w:val="single" w:sz="4" w:space="0" w:color="auto"/>
            </w:tcBorders>
            <w:vAlign w:val="bottom"/>
          </w:tcPr>
          <w:p w14:paraId="67323DDE" w14:textId="77777777" w:rsidR="009021F1" w:rsidRPr="0029055B" w:rsidRDefault="009021F1" w:rsidP="00E637E3">
            <w:pPr>
              <w:rPr>
                <w:szCs w:val="21"/>
              </w:rPr>
            </w:pPr>
            <w:r w:rsidRPr="0029055B">
              <w:rPr>
                <w:szCs w:val="21"/>
              </w:rPr>
              <w:t>Artiodactyla</w:t>
            </w:r>
          </w:p>
        </w:tc>
        <w:tc>
          <w:tcPr>
            <w:tcW w:w="1767" w:type="dxa"/>
            <w:tcBorders>
              <w:top w:val="nil"/>
              <w:left w:val="single" w:sz="4" w:space="0" w:color="auto"/>
              <w:bottom w:val="single" w:sz="4" w:space="0" w:color="auto"/>
              <w:right w:val="single" w:sz="4" w:space="0" w:color="auto"/>
            </w:tcBorders>
            <w:vAlign w:val="bottom"/>
          </w:tcPr>
          <w:p w14:paraId="0D7C5713" w14:textId="77777777" w:rsidR="009021F1" w:rsidRPr="0029055B" w:rsidRDefault="009021F1" w:rsidP="00E637E3">
            <w:pPr>
              <w:rPr>
                <w:szCs w:val="21"/>
              </w:rPr>
            </w:pPr>
            <w:r w:rsidRPr="0029055B">
              <w:rPr>
                <w:szCs w:val="21"/>
              </w:rPr>
              <w:t>Bovidae</w:t>
            </w:r>
          </w:p>
        </w:tc>
        <w:tc>
          <w:tcPr>
            <w:tcW w:w="2565" w:type="dxa"/>
            <w:tcBorders>
              <w:top w:val="nil"/>
              <w:left w:val="single" w:sz="4" w:space="0" w:color="auto"/>
              <w:bottom w:val="single" w:sz="4" w:space="0" w:color="auto"/>
              <w:right w:val="single" w:sz="4" w:space="0" w:color="auto"/>
            </w:tcBorders>
            <w:noWrap/>
            <w:vAlign w:val="bottom"/>
          </w:tcPr>
          <w:p w14:paraId="76253D2E" w14:textId="77777777" w:rsidR="009021F1" w:rsidRPr="0029055B" w:rsidRDefault="009021F1" w:rsidP="00E637E3">
            <w:pPr>
              <w:rPr>
                <w:szCs w:val="21"/>
              </w:rPr>
            </w:pPr>
            <w:r w:rsidRPr="0029055B">
              <w:rPr>
                <w:szCs w:val="21"/>
              </w:rPr>
              <w:t>Tragelaphus spekii</w:t>
            </w:r>
          </w:p>
        </w:tc>
        <w:tc>
          <w:tcPr>
            <w:tcW w:w="2693" w:type="dxa"/>
            <w:tcBorders>
              <w:top w:val="nil"/>
              <w:left w:val="nil"/>
              <w:bottom w:val="single" w:sz="4" w:space="0" w:color="auto"/>
              <w:right w:val="single" w:sz="4" w:space="0" w:color="auto"/>
            </w:tcBorders>
          </w:tcPr>
          <w:p w14:paraId="0DA90048" w14:textId="77777777" w:rsidR="009021F1" w:rsidRPr="0029055B" w:rsidRDefault="009021F1" w:rsidP="00E637E3">
            <w:pPr>
              <w:rPr>
                <w:szCs w:val="21"/>
              </w:rPr>
            </w:pPr>
            <w:r w:rsidRPr="0029055B">
              <w:rPr>
                <w:szCs w:val="21"/>
              </w:rPr>
              <w:t>Sitatunga</w:t>
            </w:r>
          </w:p>
        </w:tc>
        <w:tc>
          <w:tcPr>
            <w:tcW w:w="1375" w:type="dxa"/>
            <w:tcBorders>
              <w:top w:val="nil"/>
              <w:left w:val="nil"/>
              <w:bottom w:val="single" w:sz="4" w:space="0" w:color="auto"/>
              <w:right w:val="single" w:sz="4" w:space="0" w:color="auto"/>
            </w:tcBorders>
          </w:tcPr>
          <w:p w14:paraId="277C734B"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6C5FD35E" w14:textId="77777777" w:rsidR="009021F1" w:rsidRPr="0029055B" w:rsidRDefault="009021F1" w:rsidP="00E637E3">
            <w:pPr>
              <w:rPr>
                <w:szCs w:val="21"/>
              </w:rPr>
            </w:pPr>
            <w:r w:rsidRPr="0029055B">
              <w:rPr>
                <w:szCs w:val="21"/>
              </w:rPr>
              <w:t>-</w:t>
            </w:r>
          </w:p>
        </w:tc>
        <w:tc>
          <w:tcPr>
            <w:tcW w:w="2814" w:type="dxa"/>
            <w:tcBorders>
              <w:top w:val="nil"/>
              <w:left w:val="nil"/>
              <w:bottom w:val="single" w:sz="4" w:space="0" w:color="auto"/>
              <w:right w:val="single" w:sz="8" w:space="0" w:color="auto"/>
            </w:tcBorders>
          </w:tcPr>
          <w:p w14:paraId="333CB629" w14:textId="77777777" w:rsidR="009021F1" w:rsidRPr="0029055B" w:rsidRDefault="009021F1" w:rsidP="00E637E3">
            <w:pPr>
              <w:rPr>
                <w:szCs w:val="21"/>
              </w:rPr>
            </w:pPr>
            <w:r w:rsidRPr="0029055B">
              <w:rPr>
                <w:szCs w:val="21"/>
              </w:rPr>
              <w:t>Fha</w:t>
            </w:r>
          </w:p>
        </w:tc>
      </w:tr>
      <w:tr w:rsidR="009021F1" w:rsidRPr="0029055B" w14:paraId="198271C8" w14:textId="77777777" w:rsidTr="00E637E3">
        <w:trPr>
          <w:trHeight w:val="318"/>
        </w:trPr>
        <w:tc>
          <w:tcPr>
            <w:tcW w:w="1834" w:type="dxa"/>
            <w:tcBorders>
              <w:top w:val="nil"/>
              <w:left w:val="single" w:sz="8" w:space="0" w:color="auto"/>
              <w:bottom w:val="single" w:sz="4" w:space="0" w:color="auto"/>
              <w:right w:val="single" w:sz="4" w:space="0" w:color="auto"/>
            </w:tcBorders>
            <w:vAlign w:val="bottom"/>
          </w:tcPr>
          <w:p w14:paraId="1611D4E8" w14:textId="77777777" w:rsidR="009021F1" w:rsidRPr="0029055B" w:rsidRDefault="009021F1" w:rsidP="00E637E3">
            <w:pPr>
              <w:rPr>
                <w:szCs w:val="21"/>
              </w:rPr>
            </w:pPr>
            <w:r w:rsidRPr="0029055B">
              <w:rPr>
                <w:szCs w:val="21"/>
              </w:rPr>
              <w:t>Rodentia</w:t>
            </w:r>
          </w:p>
        </w:tc>
        <w:tc>
          <w:tcPr>
            <w:tcW w:w="1767" w:type="dxa"/>
            <w:tcBorders>
              <w:top w:val="nil"/>
              <w:left w:val="single" w:sz="4" w:space="0" w:color="auto"/>
              <w:bottom w:val="single" w:sz="4" w:space="0" w:color="auto"/>
              <w:right w:val="single" w:sz="4" w:space="0" w:color="auto"/>
            </w:tcBorders>
          </w:tcPr>
          <w:p w14:paraId="452194C8" w14:textId="77777777" w:rsidR="009021F1" w:rsidRPr="0029055B" w:rsidRDefault="009021F1" w:rsidP="00E637E3">
            <w:pPr>
              <w:rPr>
                <w:szCs w:val="21"/>
              </w:rPr>
            </w:pPr>
            <w:r w:rsidRPr="0029055B">
              <w:rPr>
                <w:szCs w:val="21"/>
              </w:rPr>
              <w:t>Muridae</w:t>
            </w:r>
          </w:p>
        </w:tc>
        <w:tc>
          <w:tcPr>
            <w:tcW w:w="2565" w:type="dxa"/>
            <w:tcBorders>
              <w:top w:val="nil"/>
              <w:left w:val="single" w:sz="4" w:space="0" w:color="auto"/>
              <w:bottom w:val="single" w:sz="4" w:space="0" w:color="auto"/>
              <w:right w:val="single" w:sz="4" w:space="0" w:color="auto"/>
            </w:tcBorders>
            <w:noWrap/>
            <w:vAlign w:val="bottom"/>
          </w:tcPr>
          <w:p w14:paraId="3455A7F4" w14:textId="77777777" w:rsidR="009021F1" w:rsidRPr="0029055B" w:rsidRDefault="009021F1" w:rsidP="00E637E3">
            <w:pPr>
              <w:rPr>
                <w:szCs w:val="21"/>
              </w:rPr>
            </w:pPr>
            <w:r w:rsidRPr="0029055B">
              <w:rPr>
                <w:szCs w:val="21"/>
              </w:rPr>
              <w:t>Tryonomys swinderianus</w:t>
            </w:r>
          </w:p>
        </w:tc>
        <w:tc>
          <w:tcPr>
            <w:tcW w:w="2693" w:type="dxa"/>
            <w:tcBorders>
              <w:top w:val="nil"/>
              <w:left w:val="nil"/>
              <w:bottom w:val="single" w:sz="4" w:space="0" w:color="auto"/>
              <w:right w:val="single" w:sz="4" w:space="0" w:color="auto"/>
            </w:tcBorders>
          </w:tcPr>
          <w:p w14:paraId="551919AD" w14:textId="77777777" w:rsidR="009021F1" w:rsidRPr="0029055B" w:rsidRDefault="009021F1" w:rsidP="00E637E3">
            <w:pPr>
              <w:rPr>
                <w:szCs w:val="21"/>
              </w:rPr>
            </w:pPr>
            <w:r w:rsidRPr="0029055B">
              <w:rPr>
                <w:szCs w:val="21"/>
              </w:rPr>
              <w:t>Aulacode</w:t>
            </w:r>
          </w:p>
        </w:tc>
        <w:tc>
          <w:tcPr>
            <w:tcW w:w="1375" w:type="dxa"/>
            <w:tcBorders>
              <w:top w:val="nil"/>
              <w:left w:val="nil"/>
              <w:bottom w:val="single" w:sz="4" w:space="0" w:color="auto"/>
              <w:right w:val="single" w:sz="4" w:space="0" w:color="auto"/>
            </w:tcBorders>
          </w:tcPr>
          <w:p w14:paraId="3EFADA1D"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388E6353" w14:textId="77777777" w:rsidR="009021F1" w:rsidRPr="0029055B" w:rsidRDefault="009021F1" w:rsidP="00E637E3">
            <w:pPr>
              <w:rPr>
                <w:szCs w:val="21"/>
              </w:rPr>
            </w:pPr>
          </w:p>
        </w:tc>
        <w:tc>
          <w:tcPr>
            <w:tcW w:w="2814" w:type="dxa"/>
            <w:tcBorders>
              <w:top w:val="nil"/>
              <w:left w:val="nil"/>
              <w:bottom w:val="single" w:sz="4" w:space="0" w:color="auto"/>
              <w:right w:val="single" w:sz="8" w:space="0" w:color="auto"/>
            </w:tcBorders>
          </w:tcPr>
          <w:p w14:paraId="49854A5B" w14:textId="77777777" w:rsidR="009021F1" w:rsidRPr="0029055B" w:rsidRDefault="009021F1" w:rsidP="00E637E3">
            <w:pPr>
              <w:rPr>
                <w:szCs w:val="21"/>
              </w:rPr>
            </w:pPr>
          </w:p>
        </w:tc>
      </w:tr>
      <w:tr w:rsidR="009021F1" w:rsidRPr="0029055B" w14:paraId="4FCF0854" w14:textId="77777777" w:rsidTr="00E637E3">
        <w:trPr>
          <w:trHeight w:val="318"/>
        </w:trPr>
        <w:tc>
          <w:tcPr>
            <w:tcW w:w="1834" w:type="dxa"/>
            <w:tcBorders>
              <w:top w:val="nil"/>
              <w:left w:val="single" w:sz="8" w:space="0" w:color="auto"/>
              <w:bottom w:val="single" w:sz="8" w:space="0" w:color="auto"/>
              <w:right w:val="single" w:sz="4" w:space="0" w:color="auto"/>
            </w:tcBorders>
          </w:tcPr>
          <w:p w14:paraId="3C53CEA3" w14:textId="77777777" w:rsidR="009021F1" w:rsidRPr="0029055B" w:rsidRDefault="009021F1" w:rsidP="00E637E3">
            <w:pPr>
              <w:rPr>
                <w:szCs w:val="21"/>
              </w:rPr>
            </w:pPr>
            <w:r w:rsidRPr="0029055B">
              <w:rPr>
                <w:szCs w:val="21"/>
              </w:rPr>
              <w:t>Viveridés</w:t>
            </w:r>
          </w:p>
        </w:tc>
        <w:tc>
          <w:tcPr>
            <w:tcW w:w="1767" w:type="dxa"/>
            <w:tcBorders>
              <w:top w:val="nil"/>
              <w:left w:val="single" w:sz="4" w:space="0" w:color="auto"/>
              <w:bottom w:val="single" w:sz="8" w:space="0" w:color="auto"/>
              <w:right w:val="single" w:sz="4" w:space="0" w:color="auto"/>
            </w:tcBorders>
          </w:tcPr>
          <w:p w14:paraId="762B19E7" w14:textId="77777777" w:rsidR="009021F1" w:rsidRPr="0029055B" w:rsidRDefault="009021F1" w:rsidP="00E637E3">
            <w:pPr>
              <w:rPr>
                <w:szCs w:val="21"/>
              </w:rPr>
            </w:pPr>
            <w:r w:rsidRPr="0029055B">
              <w:rPr>
                <w:szCs w:val="21"/>
              </w:rPr>
              <w:t>Viveridae</w:t>
            </w:r>
          </w:p>
        </w:tc>
        <w:tc>
          <w:tcPr>
            <w:tcW w:w="2565" w:type="dxa"/>
            <w:tcBorders>
              <w:top w:val="nil"/>
              <w:left w:val="single" w:sz="4" w:space="0" w:color="auto"/>
              <w:bottom w:val="single" w:sz="8" w:space="0" w:color="auto"/>
              <w:right w:val="single" w:sz="4" w:space="0" w:color="auto"/>
            </w:tcBorders>
            <w:noWrap/>
            <w:vAlign w:val="bottom"/>
          </w:tcPr>
          <w:p w14:paraId="6E8DB930" w14:textId="77777777" w:rsidR="009021F1" w:rsidRPr="0029055B" w:rsidRDefault="009021F1" w:rsidP="00E637E3">
            <w:pPr>
              <w:rPr>
                <w:szCs w:val="21"/>
              </w:rPr>
            </w:pPr>
            <w:r w:rsidRPr="0029055B">
              <w:rPr>
                <w:szCs w:val="21"/>
              </w:rPr>
              <w:t>Vulpes vulpes</w:t>
            </w:r>
          </w:p>
        </w:tc>
        <w:tc>
          <w:tcPr>
            <w:tcW w:w="2693" w:type="dxa"/>
            <w:tcBorders>
              <w:top w:val="nil"/>
              <w:left w:val="nil"/>
              <w:bottom w:val="single" w:sz="8" w:space="0" w:color="auto"/>
              <w:right w:val="single" w:sz="4" w:space="0" w:color="auto"/>
            </w:tcBorders>
          </w:tcPr>
          <w:p w14:paraId="4E065375" w14:textId="77777777" w:rsidR="009021F1" w:rsidRPr="0029055B" w:rsidRDefault="009021F1" w:rsidP="00E637E3">
            <w:pPr>
              <w:rPr>
                <w:szCs w:val="21"/>
              </w:rPr>
            </w:pPr>
            <w:r w:rsidRPr="0029055B">
              <w:rPr>
                <w:szCs w:val="21"/>
              </w:rPr>
              <w:t>Renard</w:t>
            </w:r>
          </w:p>
        </w:tc>
        <w:tc>
          <w:tcPr>
            <w:tcW w:w="1375" w:type="dxa"/>
            <w:tcBorders>
              <w:top w:val="nil"/>
              <w:left w:val="nil"/>
              <w:bottom w:val="single" w:sz="8" w:space="0" w:color="auto"/>
              <w:right w:val="single" w:sz="4" w:space="0" w:color="auto"/>
            </w:tcBorders>
          </w:tcPr>
          <w:p w14:paraId="63BC946E" w14:textId="77777777" w:rsidR="009021F1" w:rsidRPr="0029055B" w:rsidRDefault="009021F1" w:rsidP="00E637E3">
            <w:pPr>
              <w:rPr>
                <w:szCs w:val="21"/>
              </w:rPr>
            </w:pPr>
            <w:r w:rsidRPr="0029055B">
              <w:rPr>
                <w:szCs w:val="21"/>
              </w:rPr>
              <w:t>-</w:t>
            </w:r>
          </w:p>
        </w:tc>
        <w:tc>
          <w:tcPr>
            <w:tcW w:w="1481" w:type="dxa"/>
            <w:tcBorders>
              <w:top w:val="nil"/>
              <w:left w:val="nil"/>
              <w:bottom w:val="single" w:sz="8" w:space="0" w:color="auto"/>
              <w:right w:val="single" w:sz="4" w:space="0" w:color="auto"/>
            </w:tcBorders>
          </w:tcPr>
          <w:p w14:paraId="54973380" w14:textId="77777777" w:rsidR="009021F1" w:rsidRPr="0029055B" w:rsidRDefault="009021F1" w:rsidP="00E637E3">
            <w:pPr>
              <w:rPr>
                <w:szCs w:val="21"/>
              </w:rPr>
            </w:pPr>
          </w:p>
        </w:tc>
        <w:tc>
          <w:tcPr>
            <w:tcW w:w="2814" w:type="dxa"/>
            <w:tcBorders>
              <w:top w:val="nil"/>
              <w:left w:val="nil"/>
              <w:bottom w:val="single" w:sz="8" w:space="0" w:color="auto"/>
              <w:right w:val="single" w:sz="8" w:space="0" w:color="auto"/>
            </w:tcBorders>
          </w:tcPr>
          <w:p w14:paraId="479F92C9" w14:textId="77777777" w:rsidR="009021F1" w:rsidRPr="0029055B" w:rsidRDefault="009021F1" w:rsidP="00E637E3">
            <w:pPr>
              <w:rPr>
                <w:szCs w:val="21"/>
              </w:rPr>
            </w:pPr>
          </w:p>
        </w:tc>
      </w:tr>
      <w:tr w:rsidR="009021F1" w:rsidRPr="0029055B" w14:paraId="34B269A1" w14:textId="77777777" w:rsidTr="00E637E3">
        <w:trPr>
          <w:trHeight w:val="318"/>
        </w:trPr>
        <w:tc>
          <w:tcPr>
            <w:tcW w:w="14529" w:type="dxa"/>
            <w:gridSpan w:val="7"/>
            <w:tcBorders>
              <w:top w:val="nil"/>
              <w:left w:val="single" w:sz="8" w:space="0" w:color="auto"/>
              <w:bottom w:val="single" w:sz="4" w:space="0" w:color="auto"/>
              <w:right w:val="single" w:sz="8" w:space="0" w:color="auto"/>
            </w:tcBorders>
          </w:tcPr>
          <w:p w14:paraId="547F5A27" w14:textId="77777777" w:rsidR="009021F1" w:rsidRPr="0029055B" w:rsidRDefault="009021F1" w:rsidP="00E637E3">
            <w:pPr>
              <w:rPr>
                <w:szCs w:val="21"/>
              </w:rPr>
            </w:pPr>
            <w:r w:rsidRPr="0029055B">
              <w:rPr>
                <w:szCs w:val="21"/>
              </w:rPr>
              <w:t>REPTILES</w:t>
            </w:r>
          </w:p>
        </w:tc>
      </w:tr>
      <w:tr w:rsidR="009021F1" w:rsidRPr="0029055B" w14:paraId="3C86AC85" w14:textId="77777777" w:rsidTr="00E637E3">
        <w:trPr>
          <w:trHeight w:val="318"/>
        </w:trPr>
        <w:tc>
          <w:tcPr>
            <w:tcW w:w="1834" w:type="dxa"/>
            <w:tcBorders>
              <w:top w:val="single" w:sz="8" w:space="0" w:color="auto"/>
              <w:left w:val="single" w:sz="8" w:space="0" w:color="auto"/>
              <w:bottom w:val="single" w:sz="4" w:space="0" w:color="auto"/>
              <w:right w:val="single" w:sz="4" w:space="0" w:color="auto"/>
            </w:tcBorders>
            <w:vAlign w:val="bottom"/>
          </w:tcPr>
          <w:p w14:paraId="3B8B08B3" w14:textId="77777777" w:rsidR="009021F1" w:rsidRPr="0029055B" w:rsidRDefault="009021F1" w:rsidP="00E637E3">
            <w:pPr>
              <w:rPr>
                <w:szCs w:val="21"/>
              </w:rPr>
            </w:pPr>
            <w:r w:rsidRPr="0029055B">
              <w:rPr>
                <w:szCs w:val="21"/>
              </w:rPr>
              <w:t>Cheloniens</w:t>
            </w:r>
          </w:p>
        </w:tc>
        <w:tc>
          <w:tcPr>
            <w:tcW w:w="1767" w:type="dxa"/>
            <w:tcBorders>
              <w:top w:val="single" w:sz="8" w:space="0" w:color="auto"/>
              <w:left w:val="single" w:sz="4" w:space="0" w:color="auto"/>
              <w:bottom w:val="single" w:sz="4" w:space="0" w:color="auto"/>
              <w:right w:val="single" w:sz="4" w:space="0" w:color="auto"/>
            </w:tcBorders>
            <w:vAlign w:val="bottom"/>
          </w:tcPr>
          <w:p w14:paraId="5FD9923E" w14:textId="77777777" w:rsidR="009021F1" w:rsidRPr="0029055B" w:rsidRDefault="009021F1" w:rsidP="00E637E3">
            <w:pPr>
              <w:rPr>
                <w:szCs w:val="21"/>
              </w:rPr>
            </w:pPr>
            <w:r w:rsidRPr="0029055B">
              <w:rPr>
                <w:szCs w:val="21"/>
              </w:rPr>
              <w:t>Geckonidae</w:t>
            </w:r>
          </w:p>
        </w:tc>
        <w:tc>
          <w:tcPr>
            <w:tcW w:w="2565" w:type="dxa"/>
            <w:tcBorders>
              <w:top w:val="single" w:sz="8" w:space="0" w:color="auto"/>
              <w:left w:val="single" w:sz="4" w:space="0" w:color="auto"/>
              <w:bottom w:val="single" w:sz="4" w:space="0" w:color="auto"/>
              <w:right w:val="single" w:sz="4" w:space="0" w:color="auto"/>
            </w:tcBorders>
          </w:tcPr>
          <w:p w14:paraId="38CC3ED9" w14:textId="77777777" w:rsidR="009021F1" w:rsidRPr="0029055B" w:rsidRDefault="009021F1" w:rsidP="00E637E3">
            <w:pPr>
              <w:rPr>
                <w:szCs w:val="21"/>
              </w:rPr>
            </w:pPr>
            <w:r w:rsidRPr="0029055B">
              <w:rPr>
                <w:szCs w:val="21"/>
              </w:rPr>
              <w:t>Acathocerus atricollis</w:t>
            </w:r>
          </w:p>
        </w:tc>
        <w:tc>
          <w:tcPr>
            <w:tcW w:w="2693" w:type="dxa"/>
            <w:tcBorders>
              <w:top w:val="single" w:sz="8" w:space="0" w:color="auto"/>
              <w:left w:val="nil"/>
              <w:bottom w:val="single" w:sz="4" w:space="0" w:color="auto"/>
              <w:right w:val="single" w:sz="4" w:space="0" w:color="auto"/>
            </w:tcBorders>
            <w:noWrap/>
            <w:vAlign w:val="bottom"/>
          </w:tcPr>
          <w:p w14:paraId="0E93DB02" w14:textId="77777777" w:rsidR="009021F1" w:rsidRPr="0029055B" w:rsidRDefault="009021F1" w:rsidP="00E637E3">
            <w:pPr>
              <w:rPr>
                <w:szCs w:val="21"/>
              </w:rPr>
            </w:pPr>
            <w:r w:rsidRPr="0029055B">
              <w:rPr>
                <w:szCs w:val="21"/>
              </w:rPr>
              <w:t xml:space="preserve">Agame </w:t>
            </w:r>
          </w:p>
        </w:tc>
        <w:tc>
          <w:tcPr>
            <w:tcW w:w="1375" w:type="dxa"/>
            <w:tcBorders>
              <w:top w:val="single" w:sz="8" w:space="0" w:color="auto"/>
              <w:left w:val="nil"/>
              <w:bottom w:val="single" w:sz="4" w:space="0" w:color="auto"/>
              <w:right w:val="single" w:sz="4" w:space="0" w:color="auto"/>
            </w:tcBorders>
          </w:tcPr>
          <w:p w14:paraId="59459CD7" w14:textId="77777777" w:rsidR="009021F1" w:rsidRPr="0029055B" w:rsidRDefault="009021F1" w:rsidP="00E637E3">
            <w:pPr>
              <w:rPr>
                <w:szCs w:val="21"/>
              </w:rPr>
            </w:pPr>
            <w:r w:rsidRPr="0029055B">
              <w:rPr>
                <w:szCs w:val="21"/>
              </w:rPr>
              <w:t>+</w:t>
            </w:r>
          </w:p>
        </w:tc>
        <w:tc>
          <w:tcPr>
            <w:tcW w:w="1481" w:type="dxa"/>
            <w:tcBorders>
              <w:top w:val="single" w:sz="8" w:space="0" w:color="auto"/>
              <w:left w:val="nil"/>
              <w:bottom w:val="single" w:sz="4" w:space="0" w:color="auto"/>
              <w:right w:val="single" w:sz="4" w:space="0" w:color="auto"/>
            </w:tcBorders>
          </w:tcPr>
          <w:p w14:paraId="5E9EB806" w14:textId="77777777" w:rsidR="009021F1" w:rsidRPr="0029055B" w:rsidRDefault="009021F1" w:rsidP="00E637E3">
            <w:pPr>
              <w:rPr>
                <w:szCs w:val="21"/>
              </w:rPr>
            </w:pPr>
            <w:r w:rsidRPr="0029055B">
              <w:rPr>
                <w:szCs w:val="21"/>
              </w:rPr>
              <w:t>-</w:t>
            </w:r>
          </w:p>
        </w:tc>
        <w:tc>
          <w:tcPr>
            <w:tcW w:w="2814" w:type="dxa"/>
            <w:tcBorders>
              <w:top w:val="single" w:sz="8" w:space="0" w:color="auto"/>
              <w:left w:val="nil"/>
              <w:bottom w:val="single" w:sz="4" w:space="0" w:color="auto"/>
              <w:right w:val="single" w:sz="8" w:space="0" w:color="auto"/>
            </w:tcBorders>
          </w:tcPr>
          <w:p w14:paraId="0A06A8CE" w14:textId="77777777" w:rsidR="009021F1" w:rsidRPr="0029055B" w:rsidRDefault="009021F1" w:rsidP="00E637E3">
            <w:pPr>
              <w:rPr>
                <w:szCs w:val="21"/>
              </w:rPr>
            </w:pPr>
            <w:r w:rsidRPr="0029055B">
              <w:rPr>
                <w:szCs w:val="21"/>
              </w:rPr>
              <w:t>Fmont</w:t>
            </w:r>
          </w:p>
        </w:tc>
      </w:tr>
      <w:tr w:rsidR="009021F1" w:rsidRPr="0029055B" w14:paraId="7529DB7F" w14:textId="77777777" w:rsidTr="00E637E3">
        <w:trPr>
          <w:trHeight w:val="318"/>
        </w:trPr>
        <w:tc>
          <w:tcPr>
            <w:tcW w:w="1834" w:type="dxa"/>
            <w:tcBorders>
              <w:top w:val="nil"/>
              <w:left w:val="single" w:sz="8" w:space="0" w:color="auto"/>
              <w:bottom w:val="single" w:sz="4" w:space="0" w:color="auto"/>
              <w:right w:val="single" w:sz="4" w:space="0" w:color="auto"/>
            </w:tcBorders>
            <w:vAlign w:val="bottom"/>
          </w:tcPr>
          <w:p w14:paraId="15954150" w14:textId="77777777" w:rsidR="009021F1" w:rsidRPr="0029055B" w:rsidRDefault="009021F1" w:rsidP="00E637E3">
            <w:pPr>
              <w:rPr>
                <w:szCs w:val="21"/>
              </w:rPr>
            </w:pPr>
            <w:r w:rsidRPr="0029055B">
              <w:rPr>
                <w:szCs w:val="21"/>
              </w:rPr>
              <w:t>Squamates</w:t>
            </w:r>
          </w:p>
        </w:tc>
        <w:tc>
          <w:tcPr>
            <w:tcW w:w="1767" w:type="dxa"/>
            <w:tcBorders>
              <w:top w:val="nil"/>
              <w:left w:val="single" w:sz="4" w:space="0" w:color="auto"/>
              <w:bottom w:val="single" w:sz="4" w:space="0" w:color="auto"/>
              <w:right w:val="single" w:sz="4" w:space="0" w:color="auto"/>
            </w:tcBorders>
            <w:vAlign w:val="bottom"/>
          </w:tcPr>
          <w:p w14:paraId="19F7491F" w14:textId="77777777" w:rsidR="009021F1" w:rsidRPr="0029055B" w:rsidRDefault="009021F1" w:rsidP="00E637E3">
            <w:pPr>
              <w:rPr>
                <w:szCs w:val="21"/>
              </w:rPr>
            </w:pPr>
            <w:r w:rsidRPr="0029055B">
              <w:rPr>
                <w:szCs w:val="21"/>
              </w:rPr>
              <w:t>Viperidae</w:t>
            </w:r>
          </w:p>
        </w:tc>
        <w:tc>
          <w:tcPr>
            <w:tcW w:w="2565" w:type="dxa"/>
            <w:tcBorders>
              <w:top w:val="nil"/>
              <w:left w:val="single" w:sz="4" w:space="0" w:color="auto"/>
              <w:bottom w:val="single" w:sz="4" w:space="0" w:color="auto"/>
              <w:right w:val="single" w:sz="4" w:space="0" w:color="auto"/>
            </w:tcBorders>
          </w:tcPr>
          <w:p w14:paraId="3EBCE06F" w14:textId="77777777" w:rsidR="009021F1" w:rsidRPr="0029055B" w:rsidRDefault="009021F1" w:rsidP="00E637E3">
            <w:pPr>
              <w:rPr>
                <w:szCs w:val="21"/>
              </w:rPr>
            </w:pPr>
            <w:r w:rsidRPr="0029055B">
              <w:rPr>
                <w:szCs w:val="21"/>
              </w:rPr>
              <w:t>Bitis lachesis</w:t>
            </w:r>
          </w:p>
        </w:tc>
        <w:tc>
          <w:tcPr>
            <w:tcW w:w="2693" w:type="dxa"/>
            <w:tcBorders>
              <w:top w:val="nil"/>
              <w:left w:val="nil"/>
              <w:bottom w:val="single" w:sz="4" w:space="0" w:color="auto"/>
              <w:right w:val="single" w:sz="4" w:space="0" w:color="auto"/>
            </w:tcBorders>
            <w:noWrap/>
            <w:vAlign w:val="bottom"/>
          </w:tcPr>
          <w:p w14:paraId="6EFAE8AC" w14:textId="77777777" w:rsidR="009021F1" w:rsidRPr="0029055B" w:rsidRDefault="009021F1" w:rsidP="00E637E3">
            <w:pPr>
              <w:rPr>
                <w:szCs w:val="21"/>
              </w:rPr>
            </w:pPr>
            <w:r w:rsidRPr="0029055B">
              <w:rPr>
                <w:szCs w:val="21"/>
              </w:rPr>
              <w:t>Vipère, Nioka</w:t>
            </w:r>
          </w:p>
        </w:tc>
        <w:tc>
          <w:tcPr>
            <w:tcW w:w="1375" w:type="dxa"/>
            <w:tcBorders>
              <w:top w:val="nil"/>
              <w:left w:val="nil"/>
              <w:bottom w:val="single" w:sz="4" w:space="0" w:color="auto"/>
              <w:right w:val="single" w:sz="4" w:space="0" w:color="auto"/>
            </w:tcBorders>
          </w:tcPr>
          <w:p w14:paraId="2ABD1355" w14:textId="77777777" w:rsidR="009021F1" w:rsidRPr="0029055B" w:rsidRDefault="009021F1" w:rsidP="00E637E3">
            <w:pPr>
              <w:rPr>
                <w:szCs w:val="21"/>
              </w:rPr>
            </w:pPr>
          </w:p>
        </w:tc>
        <w:tc>
          <w:tcPr>
            <w:tcW w:w="1481" w:type="dxa"/>
            <w:tcBorders>
              <w:top w:val="nil"/>
              <w:left w:val="nil"/>
              <w:bottom w:val="single" w:sz="4" w:space="0" w:color="auto"/>
              <w:right w:val="single" w:sz="4" w:space="0" w:color="auto"/>
            </w:tcBorders>
          </w:tcPr>
          <w:p w14:paraId="329B7FAB" w14:textId="77777777" w:rsidR="009021F1" w:rsidRPr="0029055B" w:rsidRDefault="009021F1" w:rsidP="00E637E3">
            <w:pPr>
              <w:rPr>
                <w:szCs w:val="21"/>
              </w:rPr>
            </w:pPr>
          </w:p>
        </w:tc>
        <w:tc>
          <w:tcPr>
            <w:tcW w:w="2814" w:type="dxa"/>
            <w:tcBorders>
              <w:top w:val="nil"/>
              <w:left w:val="nil"/>
              <w:bottom w:val="single" w:sz="4" w:space="0" w:color="auto"/>
              <w:right w:val="single" w:sz="8" w:space="0" w:color="auto"/>
            </w:tcBorders>
          </w:tcPr>
          <w:p w14:paraId="127D8A28" w14:textId="77777777" w:rsidR="009021F1" w:rsidRPr="0029055B" w:rsidRDefault="009021F1" w:rsidP="00E637E3">
            <w:pPr>
              <w:rPr>
                <w:szCs w:val="21"/>
              </w:rPr>
            </w:pPr>
          </w:p>
        </w:tc>
      </w:tr>
      <w:tr w:rsidR="009021F1" w:rsidRPr="0029055B" w14:paraId="51E884FB" w14:textId="77777777" w:rsidTr="00E637E3">
        <w:trPr>
          <w:trHeight w:val="318"/>
        </w:trPr>
        <w:tc>
          <w:tcPr>
            <w:tcW w:w="1834" w:type="dxa"/>
            <w:tcBorders>
              <w:top w:val="nil"/>
              <w:left w:val="single" w:sz="8" w:space="0" w:color="auto"/>
              <w:bottom w:val="single" w:sz="4" w:space="0" w:color="auto"/>
              <w:right w:val="single" w:sz="4" w:space="0" w:color="auto"/>
            </w:tcBorders>
            <w:vAlign w:val="bottom"/>
          </w:tcPr>
          <w:p w14:paraId="61D69577" w14:textId="77777777" w:rsidR="009021F1" w:rsidRPr="0029055B" w:rsidRDefault="009021F1" w:rsidP="00E637E3">
            <w:pPr>
              <w:rPr>
                <w:szCs w:val="21"/>
              </w:rPr>
            </w:pPr>
            <w:r w:rsidRPr="0029055B">
              <w:rPr>
                <w:szCs w:val="21"/>
              </w:rPr>
              <w:t>Chéloniens</w:t>
            </w:r>
          </w:p>
        </w:tc>
        <w:tc>
          <w:tcPr>
            <w:tcW w:w="1767" w:type="dxa"/>
            <w:tcBorders>
              <w:top w:val="nil"/>
              <w:left w:val="single" w:sz="4" w:space="0" w:color="auto"/>
              <w:bottom w:val="single" w:sz="4" w:space="0" w:color="auto"/>
              <w:right w:val="single" w:sz="4" w:space="0" w:color="auto"/>
            </w:tcBorders>
            <w:vAlign w:val="bottom"/>
          </w:tcPr>
          <w:p w14:paraId="0030D9AA" w14:textId="77777777" w:rsidR="009021F1" w:rsidRPr="0029055B" w:rsidRDefault="009021F1" w:rsidP="00E637E3">
            <w:pPr>
              <w:rPr>
                <w:szCs w:val="21"/>
              </w:rPr>
            </w:pPr>
            <w:r w:rsidRPr="0029055B">
              <w:rPr>
                <w:szCs w:val="21"/>
              </w:rPr>
              <w:t>Chamaeleonidae</w:t>
            </w:r>
          </w:p>
        </w:tc>
        <w:tc>
          <w:tcPr>
            <w:tcW w:w="2565" w:type="dxa"/>
            <w:tcBorders>
              <w:top w:val="nil"/>
              <w:left w:val="single" w:sz="4" w:space="0" w:color="auto"/>
              <w:bottom w:val="single" w:sz="4" w:space="0" w:color="auto"/>
              <w:right w:val="single" w:sz="4" w:space="0" w:color="auto"/>
            </w:tcBorders>
            <w:noWrap/>
            <w:vAlign w:val="bottom"/>
          </w:tcPr>
          <w:p w14:paraId="6D1B03A8" w14:textId="77777777" w:rsidR="009021F1" w:rsidRPr="0029055B" w:rsidRDefault="009021F1" w:rsidP="00E637E3">
            <w:pPr>
              <w:rPr>
                <w:szCs w:val="21"/>
              </w:rPr>
            </w:pPr>
            <w:r w:rsidRPr="0029055B">
              <w:rPr>
                <w:szCs w:val="21"/>
              </w:rPr>
              <w:t>Chameleo carpenteri</w:t>
            </w:r>
          </w:p>
        </w:tc>
        <w:tc>
          <w:tcPr>
            <w:tcW w:w="2693" w:type="dxa"/>
            <w:tcBorders>
              <w:top w:val="nil"/>
              <w:left w:val="nil"/>
              <w:bottom w:val="single" w:sz="4" w:space="0" w:color="auto"/>
              <w:right w:val="single" w:sz="4" w:space="0" w:color="auto"/>
            </w:tcBorders>
            <w:noWrap/>
            <w:vAlign w:val="bottom"/>
          </w:tcPr>
          <w:p w14:paraId="40682703" w14:textId="77777777" w:rsidR="009021F1" w:rsidRPr="0029055B" w:rsidRDefault="009021F1" w:rsidP="00E637E3">
            <w:pPr>
              <w:rPr>
                <w:szCs w:val="21"/>
              </w:rPr>
            </w:pPr>
            <w:r w:rsidRPr="0029055B">
              <w:rPr>
                <w:szCs w:val="21"/>
              </w:rPr>
              <w:t>Caméléon, Kanyalungu</w:t>
            </w:r>
          </w:p>
        </w:tc>
        <w:tc>
          <w:tcPr>
            <w:tcW w:w="1375" w:type="dxa"/>
            <w:tcBorders>
              <w:top w:val="nil"/>
              <w:left w:val="nil"/>
              <w:bottom w:val="single" w:sz="4" w:space="0" w:color="auto"/>
              <w:right w:val="single" w:sz="4" w:space="0" w:color="auto"/>
            </w:tcBorders>
          </w:tcPr>
          <w:p w14:paraId="76AD845D"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79BBE1A9" w14:textId="77777777" w:rsidR="009021F1" w:rsidRPr="0029055B" w:rsidRDefault="009021F1" w:rsidP="00E637E3">
            <w:pPr>
              <w:rPr>
                <w:szCs w:val="21"/>
              </w:rPr>
            </w:pPr>
            <w:r w:rsidRPr="0029055B">
              <w:rPr>
                <w:szCs w:val="21"/>
              </w:rPr>
              <w:t>-</w:t>
            </w:r>
          </w:p>
        </w:tc>
        <w:tc>
          <w:tcPr>
            <w:tcW w:w="2814" w:type="dxa"/>
            <w:tcBorders>
              <w:top w:val="nil"/>
              <w:left w:val="nil"/>
              <w:bottom w:val="single" w:sz="4" w:space="0" w:color="auto"/>
              <w:right w:val="single" w:sz="8" w:space="0" w:color="auto"/>
            </w:tcBorders>
          </w:tcPr>
          <w:p w14:paraId="37CD1698" w14:textId="77777777" w:rsidR="009021F1" w:rsidRPr="0029055B" w:rsidRDefault="009021F1" w:rsidP="00E637E3">
            <w:pPr>
              <w:rPr>
                <w:szCs w:val="21"/>
              </w:rPr>
            </w:pPr>
            <w:r w:rsidRPr="0029055B">
              <w:rPr>
                <w:szCs w:val="21"/>
              </w:rPr>
              <w:t>Fmont</w:t>
            </w:r>
          </w:p>
        </w:tc>
      </w:tr>
      <w:tr w:rsidR="009021F1" w:rsidRPr="0029055B" w14:paraId="39C6637E" w14:textId="77777777" w:rsidTr="00E637E3">
        <w:trPr>
          <w:trHeight w:val="318"/>
        </w:trPr>
        <w:tc>
          <w:tcPr>
            <w:tcW w:w="1834" w:type="dxa"/>
            <w:tcBorders>
              <w:top w:val="nil"/>
              <w:left w:val="single" w:sz="8" w:space="0" w:color="auto"/>
              <w:bottom w:val="single" w:sz="8" w:space="0" w:color="auto"/>
              <w:right w:val="single" w:sz="4" w:space="0" w:color="auto"/>
            </w:tcBorders>
            <w:vAlign w:val="bottom"/>
          </w:tcPr>
          <w:p w14:paraId="60428120" w14:textId="77777777" w:rsidR="009021F1" w:rsidRPr="0029055B" w:rsidRDefault="009021F1" w:rsidP="00E637E3">
            <w:pPr>
              <w:rPr>
                <w:szCs w:val="21"/>
              </w:rPr>
            </w:pPr>
            <w:r w:rsidRPr="0029055B">
              <w:rPr>
                <w:szCs w:val="21"/>
              </w:rPr>
              <w:t>Cheloniens</w:t>
            </w:r>
          </w:p>
        </w:tc>
        <w:tc>
          <w:tcPr>
            <w:tcW w:w="1767" w:type="dxa"/>
            <w:tcBorders>
              <w:top w:val="nil"/>
              <w:left w:val="single" w:sz="4" w:space="0" w:color="auto"/>
              <w:bottom w:val="single" w:sz="4" w:space="0" w:color="auto"/>
              <w:right w:val="single" w:sz="4" w:space="0" w:color="auto"/>
            </w:tcBorders>
            <w:vAlign w:val="bottom"/>
          </w:tcPr>
          <w:p w14:paraId="726090B3" w14:textId="77777777" w:rsidR="009021F1" w:rsidRPr="0029055B" w:rsidRDefault="009021F1" w:rsidP="00E637E3">
            <w:pPr>
              <w:rPr>
                <w:szCs w:val="21"/>
              </w:rPr>
            </w:pPr>
            <w:r w:rsidRPr="0029055B">
              <w:rPr>
                <w:szCs w:val="21"/>
              </w:rPr>
              <w:t>Chameleonidae</w:t>
            </w:r>
          </w:p>
        </w:tc>
        <w:tc>
          <w:tcPr>
            <w:tcW w:w="2565" w:type="dxa"/>
            <w:tcBorders>
              <w:top w:val="nil"/>
              <w:left w:val="single" w:sz="4" w:space="0" w:color="auto"/>
              <w:bottom w:val="single" w:sz="4" w:space="0" w:color="auto"/>
              <w:right w:val="single" w:sz="4" w:space="0" w:color="auto"/>
            </w:tcBorders>
            <w:noWrap/>
            <w:vAlign w:val="bottom"/>
          </w:tcPr>
          <w:p w14:paraId="7D9C0854" w14:textId="77777777" w:rsidR="009021F1" w:rsidRPr="0029055B" w:rsidRDefault="009021F1" w:rsidP="00E637E3">
            <w:pPr>
              <w:rPr>
                <w:szCs w:val="21"/>
              </w:rPr>
            </w:pPr>
            <w:r w:rsidRPr="0029055B">
              <w:rPr>
                <w:szCs w:val="21"/>
              </w:rPr>
              <w:t>Chameleo xenorhinus</w:t>
            </w:r>
          </w:p>
        </w:tc>
        <w:tc>
          <w:tcPr>
            <w:tcW w:w="2693" w:type="dxa"/>
            <w:tcBorders>
              <w:top w:val="nil"/>
              <w:left w:val="nil"/>
              <w:bottom w:val="single" w:sz="4" w:space="0" w:color="auto"/>
              <w:right w:val="single" w:sz="4" w:space="0" w:color="auto"/>
            </w:tcBorders>
            <w:noWrap/>
            <w:vAlign w:val="bottom"/>
          </w:tcPr>
          <w:p w14:paraId="65F86E88" w14:textId="77777777" w:rsidR="009021F1" w:rsidRPr="0029055B" w:rsidRDefault="009021F1" w:rsidP="00E637E3">
            <w:pPr>
              <w:rPr>
                <w:szCs w:val="21"/>
              </w:rPr>
            </w:pPr>
            <w:r w:rsidRPr="0029055B">
              <w:rPr>
                <w:szCs w:val="21"/>
              </w:rPr>
              <w:t>Caméléon, Kanyalungu</w:t>
            </w:r>
          </w:p>
        </w:tc>
        <w:tc>
          <w:tcPr>
            <w:tcW w:w="1375" w:type="dxa"/>
            <w:tcBorders>
              <w:top w:val="nil"/>
              <w:left w:val="nil"/>
              <w:bottom w:val="single" w:sz="4" w:space="0" w:color="auto"/>
              <w:right w:val="single" w:sz="4" w:space="0" w:color="auto"/>
            </w:tcBorders>
          </w:tcPr>
          <w:p w14:paraId="06B54687"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735F6AD4" w14:textId="77777777" w:rsidR="009021F1" w:rsidRPr="0029055B" w:rsidRDefault="009021F1" w:rsidP="00E637E3">
            <w:pPr>
              <w:rPr>
                <w:szCs w:val="21"/>
              </w:rPr>
            </w:pPr>
            <w:r w:rsidRPr="0029055B">
              <w:rPr>
                <w:szCs w:val="21"/>
              </w:rPr>
              <w:t>-</w:t>
            </w:r>
          </w:p>
        </w:tc>
        <w:tc>
          <w:tcPr>
            <w:tcW w:w="2814" w:type="dxa"/>
            <w:tcBorders>
              <w:top w:val="nil"/>
              <w:left w:val="nil"/>
              <w:bottom w:val="single" w:sz="4" w:space="0" w:color="auto"/>
              <w:right w:val="single" w:sz="8" w:space="0" w:color="auto"/>
            </w:tcBorders>
          </w:tcPr>
          <w:p w14:paraId="2E92334A" w14:textId="77777777" w:rsidR="009021F1" w:rsidRPr="0029055B" w:rsidRDefault="009021F1" w:rsidP="00E637E3">
            <w:pPr>
              <w:rPr>
                <w:szCs w:val="21"/>
              </w:rPr>
            </w:pPr>
            <w:r w:rsidRPr="0029055B">
              <w:rPr>
                <w:szCs w:val="21"/>
              </w:rPr>
              <w:t>Fs, Fmont</w:t>
            </w:r>
          </w:p>
        </w:tc>
      </w:tr>
      <w:tr w:rsidR="009021F1" w:rsidRPr="0029055B" w14:paraId="0D36CA5D" w14:textId="77777777" w:rsidTr="00E637E3">
        <w:trPr>
          <w:trHeight w:val="318"/>
        </w:trPr>
        <w:tc>
          <w:tcPr>
            <w:tcW w:w="1834" w:type="dxa"/>
            <w:tcBorders>
              <w:top w:val="single" w:sz="8" w:space="0" w:color="auto"/>
              <w:left w:val="single" w:sz="8" w:space="0" w:color="auto"/>
              <w:bottom w:val="single" w:sz="4" w:space="0" w:color="auto"/>
              <w:right w:val="single" w:sz="4" w:space="0" w:color="auto"/>
            </w:tcBorders>
            <w:vAlign w:val="bottom"/>
          </w:tcPr>
          <w:p w14:paraId="0AE3A8CD" w14:textId="77777777" w:rsidR="009021F1" w:rsidRPr="0029055B" w:rsidRDefault="009021F1" w:rsidP="00E637E3">
            <w:pPr>
              <w:rPr>
                <w:szCs w:val="21"/>
              </w:rPr>
            </w:pPr>
            <w:r w:rsidRPr="0029055B">
              <w:rPr>
                <w:szCs w:val="21"/>
              </w:rPr>
              <w:t>Chéloniens</w:t>
            </w:r>
          </w:p>
        </w:tc>
        <w:tc>
          <w:tcPr>
            <w:tcW w:w="1767" w:type="dxa"/>
            <w:tcBorders>
              <w:top w:val="nil"/>
              <w:left w:val="single" w:sz="4" w:space="0" w:color="auto"/>
              <w:bottom w:val="single" w:sz="4" w:space="0" w:color="auto"/>
              <w:right w:val="single" w:sz="4" w:space="0" w:color="auto"/>
            </w:tcBorders>
            <w:vAlign w:val="bottom"/>
          </w:tcPr>
          <w:p w14:paraId="5ACF73A6" w14:textId="77777777" w:rsidR="009021F1" w:rsidRPr="0029055B" w:rsidRDefault="009021F1" w:rsidP="00E637E3">
            <w:pPr>
              <w:rPr>
                <w:szCs w:val="21"/>
              </w:rPr>
            </w:pPr>
            <w:r w:rsidRPr="0029055B">
              <w:rPr>
                <w:szCs w:val="21"/>
              </w:rPr>
              <w:t>Geckonidae</w:t>
            </w:r>
          </w:p>
        </w:tc>
        <w:tc>
          <w:tcPr>
            <w:tcW w:w="2565" w:type="dxa"/>
            <w:tcBorders>
              <w:top w:val="nil"/>
              <w:left w:val="single" w:sz="4" w:space="0" w:color="auto"/>
              <w:bottom w:val="single" w:sz="4" w:space="0" w:color="auto"/>
              <w:right w:val="single" w:sz="4" w:space="0" w:color="auto"/>
            </w:tcBorders>
            <w:noWrap/>
            <w:vAlign w:val="bottom"/>
          </w:tcPr>
          <w:p w14:paraId="63948377" w14:textId="77777777" w:rsidR="009021F1" w:rsidRPr="0029055B" w:rsidRDefault="009021F1" w:rsidP="00E637E3">
            <w:pPr>
              <w:rPr>
                <w:szCs w:val="21"/>
              </w:rPr>
            </w:pPr>
            <w:r w:rsidRPr="0029055B">
              <w:rPr>
                <w:szCs w:val="21"/>
              </w:rPr>
              <w:t>Cnemaspis quatuorseriatus</w:t>
            </w:r>
          </w:p>
        </w:tc>
        <w:tc>
          <w:tcPr>
            <w:tcW w:w="2693" w:type="dxa"/>
            <w:tcBorders>
              <w:top w:val="nil"/>
              <w:left w:val="nil"/>
              <w:bottom w:val="single" w:sz="4" w:space="0" w:color="auto"/>
              <w:right w:val="single" w:sz="4" w:space="0" w:color="auto"/>
            </w:tcBorders>
            <w:noWrap/>
            <w:vAlign w:val="bottom"/>
          </w:tcPr>
          <w:p w14:paraId="5384561A" w14:textId="77777777" w:rsidR="009021F1" w:rsidRPr="0029055B" w:rsidRDefault="009021F1" w:rsidP="00E637E3">
            <w:pPr>
              <w:rPr>
                <w:szCs w:val="21"/>
              </w:rPr>
            </w:pPr>
            <w:r w:rsidRPr="0029055B">
              <w:rPr>
                <w:szCs w:val="21"/>
              </w:rPr>
              <w:t>Gecko</w:t>
            </w:r>
          </w:p>
        </w:tc>
        <w:tc>
          <w:tcPr>
            <w:tcW w:w="1375" w:type="dxa"/>
            <w:tcBorders>
              <w:top w:val="nil"/>
              <w:left w:val="nil"/>
              <w:bottom w:val="single" w:sz="4" w:space="0" w:color="auto"/>
              <w:right w:val="single" w:sz="4" w:space="0" w:color="auto"/>
            </w:tcBorders>
          </w:tcPr>
          <w:p w14:paraId="16E8168A"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60B55F9B" w14:textId="77777777" w:rsidR="009021F1" w:rsidRPr="0029055B" w:rsidRDefault="009021F1" w:rsidP="00E637E3">
            <w:pPr>
              <w:rPr>
                <w:szCs w:val="21"/>
              </w:rPr>
            </w:pPr>
            <w:r w:rsidRPr="0029055B">
              <w:rPr>
                <w:szCs w:val="21"/>
              </w:rPr>
              <w:t>-</w:t>
            </w:r>
          </w:p>
        </w:tc>
        <w:tc>
          <w:tcPr>
            <w:tcW w:w="2814" w:type="dxa"/>
            <w:tcBorders>
              <w:top w:val="nil"/>
              <w:left w:val="nil"/>
              <w:bottom w:val="single" w:sz="4" w:space="0" w:color="auto"/>
              <w:right w:val="single" w:sz="8" w:space="0" w:color="auto"/>
            </w:tcBorders>
          </w:tcPr>
          <w:p w14:paraId="2921B558" w14:textId="77777777" w:rsidR="009021F1" w:rsidRPr="0029055B" w:rsidRDefault="009021F1" w:rsidP="00E637E3">
            <w:pPr>
              <w:rPr>
                <w:szCs w:val="21"/>
              </w:rPr>
            </w:pPr>
            <w:r w:rsidRPr="0029055B">
              <w:rPr>
                <w:szCs w:val="21"/>
              </w:rPr>
              <w:t>Fmont</w:t>
            </w:r>
          </w:p>
        </w:tc>
      </w:tr>
      <w:tr w:rsidR="009021F1" w:rsidRPr="0029055B" w14:paraId="63371857" w14:textId="77777777" w:rsidTr="00E637E3">
        <w:trPr>
          <w:trHeight w:val="318"/>
        </w:trPr>
        <w:tc>
          <w:tcPr>
            <w:tcW w:w="1834" w:type="dxa"/>
            <w:tcBorders>
              <w:top w:val="nil"/>
              <w:left w:val="single" w:sz="8" w:space="0" w:color="auto"/>
              <w:bottom w:val="single" w:sz="4" w:space="0" w:color="auto"/>
              <w:right w:val="single" w:sz="4" w:space="0" w:color="auto"/>
            </w:tcBorders>
            <w:vAlign w:val="bottom"/>
          </w:tcPr>
          <w:p w14:paraId="09FDF9A7" w14:textId="77777777" w:rsidR="009021F1" w:rsidRPr="0029055B" w:rsidRDefault="009021F1" w:rsidP="00E637E3">
            <w:pPr>
              <w:rPr>
                <w:szCs w:val="21"/>
              </w:rPr>
            </w:pPr>
            <w:r w:rsidRPr="0029055B">
              <w:rPr>
                <w:szCs w:val="21"/>
              </w:rPr>
              <w:t>Chéloniens</w:t>
            </w:r>
          </w:p>
        </w:tc>
        <w:tc>
          <w:tcPr>
            <w:tcW w:w="1767" w:type="dxa"/>
            <w:tcBorders>
              <w:top w:val="nil"/>
              <w:left w:val="single" w:sz="4" w:space="0" w:color="auto"/>
              <w:bottom w:val="single" w:sz="4" w:space="0" w:color="auto"/>
              <w:right w:val="single" w:sz="4" w:space="0" w:color="auto"/>
            </w:tcBorders>
            <w:vAlign w:val="bottom"/>
          </w:tcPr>
          <w:p w14:paraId="6F5F210E" w14:textId="77777777" w:rsidR="009021F1" w:rsidRPr="0029055B" w:rsidRDefault="009021F1" w:rsidP="00E637E3">
            <w:pPr>
              <w:rPr>
                <w:szCs w:val="21"/>
              </w:rPr>
            </w:pPr>
            <w:r w:rsidRPr="0029055B">
              <w:rPr>
                <w:szCs w:val="21"/>
              </w:rPr>
              <w:t>Geckonidae</w:t>
            </w:r>
          </w:p>
        </w:tc>
        <w:tc>
          <w:tcPr>
            <w:tcW w:w="2565" w:type="dxa"/>
            <w:tcBorders>
              <w:top w:val="nil"/>
              <w:left w:val="single" w:sz="4" w:space="0" w:color="auto"/>
              <w:bottom w:val="single" w:sz="4" w:space="0" w:color="auto"/>
              <w:right w:val="single" w:sz="4" w:space="0" w:color="auto"/>
            </w:tcBorders>
            <w:noWrap/>
            <w:vAlign w:val="bottom"/>
          </w:tcPr>
          <w:p w14:paraId="2F84086E" w14:textId="77777777" w:rsidR="009021F1" w:rsidRPr="0029055B" w:rsidRDefault="009021F1" w:rsidP="00E637E3">
            <w:pPr>
              <w:rPr>
                <w:szCs w:val="21"/>
              </w:rPr>
            </w:pPr>
            <w:r w:rsidRPr="0029055B">
              <w:rPr>
                <w:szCs w:val="21"/>
              </w:rPr>
              <w:t>Helidactylus mabuya</w:t>
            </w:r>
          </w:p>
        </w:tc>
        <w:tc>
          <w:tcPr>
            <w:tcW w:w="2693" w:type="dxa"/>
            <w:tcBorders>
              <w:top w:val="nil"/>
              <w:left w:val="nil"/>
              <w:bottom w:val="single" w:sz="4" w:space="0" w:color="auto"/>
              <w:right w:val="single" w:sz="4" w:space="0" w:color="auto"/>
            </w:tcBorders>
            <w:noWrap/>
            <w:vAlign w:val="bottom"/>
          </w:tcPr>
          <w:p w14:paraId="77441EA0" w14:textId="77777777" w:rsidR="009021F1" w:rsidRPr="0029055B" w:rsidRDefault="009021F1" w:rsidP="00E637E3">
            <w:pPr>
              <w:rPr>
                <w:szCs w:val="21"/>
              </w:rPr>
            </w:pPr>
            <w:r w:rsidRPr="0029055B">
              <w:rPr>
                <w:szCs w:val="21"/>
              </w:rPr>
              <w:t>Lézard ordinaire</w:t>
            </w:r>
          </w:p>
        </w:tc>
        <w:tc>
          <w:tcPr>
            <w:tcW w:w="1375" w:type="dxa"/>
            <w:tcBorders>
              <w:top w:val="nil"/>
              <w:left w:val="nil"/>
              <w:bottom w:val="single" w:sz="4" w:space="0" w:color="auto"/>
              <w:right w:val="single" w:sz="4" w:space="0" w:color="auto"/>
            </w:tcBorders>
          </w:tcPr>
          <w:p w14:paraId="0B57E8F3" w14:textId="77777777" w:rsidR="009021F1" w:rsidRPr="0029055B" w:rsidRDefault="009021F1" w:rsidP="00E637E3">
            <w:pPr>
              <w:rPr>
                <w:szCs w:val="21"/>
              </w:rPr>
            </w:pPr>
          </w:p>
        </w:tc>
        <w:tc>
          <w:tcPr>
            <w:tcW w:w="1481" w:type="dxa"/>
            <w:tcBorders>
              <w:top w:val="nil"/>
              <w:left w:val="nil"/>
              <w:bottom w:val="single" w:sz="4" w:space="0" w:color="auto"/>
              <w:right w:val="single" w:sz="4" w:space="0" w:color="auto"/>
            </w:tcBorders>
          </w:tcPr>
          <w:p w14:paraId="46905977" w14:textId="77777777" w:rsidR="009021F1" w:rsidRPr="0029055B" w:rsidRDefault="009021F1" w:rsidP="00E637E3">
            <w:pPr>
              <w:rPr>
                <w:szCs w:val="21"/>
              </w:rPr>
            </w:pPr>
          </w:p>
        </w:tc>
        <w:tc>
          <w:tcPr>
            <w:tcW w:w="2814" w:type="dxa"/>
            <w:tcBorders>
              <w:top w:val="nil"/>
              <w:left w:val="nil"/>
              <w:bottom w:val="single" w:sz="4" w:space="0" w:color="auto"/>
              <w:right w:val="single" w:sz="8" w:space="0" w:color="auto"/>
            </w:tcBorders>
          </w:tcPr>
          <w:p w14:paraId="2AC503FF" w14:textId="77777777" w:rsidR="009021F1" w:rsidRPr="0029055B" w:rsidRDefault="009021F1" w:rsidP="00E637E3">
            <w:pPr>
              <w:rPr>
                <w:szCs w:val="21"/>
              </w:rPr>
            </w:pPr>
          </w:p>
        </w:tc>
      </w:tr>
      <w:tr w:rsidR="009021F1" w:rsidRPr="0029055B" w14:paraId="232634FE" w14:textId="77777777" w:rsidTr="00E637E3">
        <w:trPr>
          <w:trHeight w:val="318"/>
        </w:trPr>
        <w:tc>
          <w:tcPr>
            <w:tcW w:w="1834" w:type="dxa"/>
            <w:tcBorders>
              <w:top w:val="nil"/>
              <w:left w:val="single" w:sz="8" w:space="0" w:color="auto"/>
              <w:bottom w:val="single" w:sz="4" w:space="0" w:color="auto"/>
              <w:right w:val="single" w:sz="4" w:space="0" w:color="auto"/>
            </w:tcBorders>
            <w:vAlign w:val="bottom"/>
          </w:tcPr>
          <w:p w14:paraId="53AD9F1D" w14:textId="77777777" w:rsidR="009021F1" w:rsidRPr="0029055B" w:rsidRDefault="009021F1" w:rsidP="00E637E3">
            <w:pPr>
              <w:rPr>
                <w:szCs w:val="21"/>
              </w:rPr>
            </w:pPr>
            <w:r w:rsidRPr="0029055B">
              <w:rPr>
                <w:szCs w:val="21"/>
              </w:rPr>
              <w:t>Squamates</w:t>
            </w:r>
          </w:p>
        </w:tc>
        <w:tc>
          <w:tcPr>
            <w:tcW w:w="1767" w:type="dxa"/>
            <w:tcBorders>
              <w:top w:val="nil"/>
              <w:left w:val="single" w:sz="4" w:space="0" w:color="auto"/>
              <w:bottom w:val="single" w:sz="4" w:space="0" w:color="auto"/>
              <w:right w:val="single" w:sz="4" w:space="0" w:color="auto"/>
            </w:tcBorders>
            <w:vAlign w:val="bottom"/>
          </w:tcPr>
          <w:p w14:paraId="46BE0FC0" w14:textId="77777777" w:rsidR="009021F1" w:rsidRPr="0029055B" w:rsidRDefault="009021F1" w:rsidP="00E637E3">
            <w:pPr>
              <w:rPr>
                <w:szCs w:val="21"/>
              </w:rPr>
            </w:pPr>
            <w:r w:rsidRPr="0029055B">
              <w:rPr>
                <w:szCs w:val="21"/>
              </w:rPr>
              <w:t>Lacertidae</w:t>
            </w:r>
          </w:p>
        </w:tc>
        <w:tc>
          <w:tcPr>
            <w:tcW w:w="2565" w:type="dxa"/>
            <w:tcBorders>
              <w:top w:val="nil"/>
              <w:left w:val="single" w:sz="4" w:space="0" w:color="auto"/>
              <w:bottom w:val="single" w:sz="4" w:space="0" w:color="auto"/>
              <w:right w:val="single" w:sz="4" w:space="0" w:color="auto"/>
            </w:tcBorders>
            <w:noWrap/>
            <w:vAlign w:val="bottom"/>
          </w:tcPr>
          <w:p w14:paraId="046F0807" w14:textId="77777777" w:rsidR="009021F1" w:rsidRPr="0029055B" w:rsidRDefault="009021F1" w:rsidP="00E637E3">
            <w:pPr>
              <w:rPr>
                <w:szCs w:val="21"/>
              </w:rPr>
            </w:pPr>
            <w:r w:rsidRPr="0029055B">
              <w:rPr>
                <w:szCs w:val="21"/>
              </w:rPr>
              <w:t>Lacerta viridis</w:t>
            </w:r>
          </w:p>
        </w:tc>
        <w:tc>
          <w:tcPr>
            <w:tcW w:w="2693" w:type="dxa"/>
            <w:tcBorders>
              <w:top w:val="nil"/>
              <w:left w:val="nil"/>
              <w:bottom w:val="single" w:sz="4" w:space="0" w:color="auto"/>
              <w:right w:val="single" w:sz="4" w:space="0" w:color="auto"/>
            </w:tcBorders>
            <w:noWrap/>
            <w:vAlign w:val="bottom"/>
          </w:tcPr>
          <w:p w14:paraId="3293AEC3" w14:textId="77777777" w:rsidR="009021F1" w:rsidRPr="0029055B" w:rsidRDefault="009021F1" w:rsidP="00E637E3">
            <w:pPr>
              <w:rPr>
                <w:szCs w:val="21"/>
              </w:rPr>
            </w:pPr>
            <w:r w:rsidRPr="0029055B">
              <w:rPr>
                <w:szCs w:val="21"/>
              </w:rPr>
              <w:t>Lézard vert</w:t>
            </w:r>
          </w:p>
        </w:tc>
        <w:tc>
          <w:tcPr>
            <w:tcW w:w="1375" w:type="dxa"/>
            <w:tcBorders>
              <w:top w:val="nil"/>
              <w:left w:val="nil"/>
              <w:bottom w:val="single" w:sz="4" w:space="0" w:color="auto"/>
              <w:right w:val="single" w:sz="4" w:space="0" w:color="auto"/>
            </w:tcBorders>
          </w:tcPr>
          <w:p w14:paraId="66A44DD9" w14:textId="77777777" w:rsidR="009021F1" w:rsidRPr="0029055B" w:rsidRDefault="009021F1" w:rsidP="00E637E3">
            <w:pPr>
              <w:rPr>
                <w:szCs w:val="21"/>
              </w:rPr>
            </w:pPr>
          </w:p>
        </w:tc>
        <w:tc>
          <w:tcPr>
            <w:tcW w:w="1481" w:type="dxa"/>
            <w:tcBorders>
              <w:top w:val="nil"/>
              <w:left w:val="nil"/>
              <w:bottom w:val="single" w:sz="4" w:space="0" w:color="auto"/>
              <w:right w:val="single" w:sz="4" w:space="0" w:color="auto"/>
            </w:tcBorders>
          </w:tcPr>
          <w:p w14:paraId="484B63F6" w14:textId="77777777" w:rsidR="009021F1" w:rsidRPr="0029055B" w:rsidRDefault="009021F1" w:rsidP="00E637E3">
            <w:pPr>
              <w:rPr>
                <w:szCs w:val="21"/>
              </w:rPr>
            </w:pPr>
          </w:p>
        </w:tc>
        <w:tc>
          <w:tcPr>
            <w:tcW w:w="2814" w:type="dxa"/>
            <w:tcBorders>
              <w:top w:val="nil"/>
              <w:left w:val="nil"/>
              <w:bottom w:val="single" w:sz="4" w:space="0" w:color="auto"/>
              <w:right w:val="single" w:sz="8" w:space="0" w:color="auto"/>
            </w:tcBorders>
          </w:tcPr>
          <w:p w14:paraId="0F469DF3" w14:textId="77777777" w:rsidR="009021F1" w:rsidRPr="0029055B" w:rsidRDefault="009021F1" w:rsidP="00E637E3">
            <w:pPr>
              <w:rPr>
                <w:szCs w:val="21"/>
              </w:rPr>
            </w:pPr>
          </w:p>
        </w:tc>
      </w:tr>
      <w:tr w:rsidR="009021F1" w:rsidRPr="0029055B" w14:paraId="26C797C7" w14:textId="77777777" w:rsidTr="00E637E3">
        <w:trPr>
          <w:trHeight w:val="318"/>
        </w:trPr>
        <w:tc>
          <w:tcPr>
            <w:tcW w:w="1834" w:type="dxa"/>
            <w:tcBorders>
              <w:top w:val="nil"/>
              <w:left w:val="single" w:sz="8" w:space="0" w:color="auto"/>
              <w:bottom w:val="single" w:sz="4" w:space="0" w:color="auto"/>
              <w:right w:val="single" w:sz="4" w:space="0" w:color="auto"/>
            </w:tcBorders>
            <w:vAlign w:val="bottom"/>
          </w:tcPr>
          <w:p w14:paraId="0BCBB337" w14:textId="77777777" w:rsidR="009021F1" w:rsidRPr="0029055B" w:rsidRDefault="009021F1" w:rsidP="00E637E3">
            <w:pPr>
              <w:rPr>
                <w:szCs w:val="21"/>
              </w:rPr>
            </w:pPr>
            <w:r w:rsidRPr="0029055B">
              <w:rPr>
                <w:szCs w:val="21"/>
              </w:rPr>
              <w:t>Cheloniens</w:t>
            </w:r>
          </w:p>
        </w:tc>
        <w:tc>
          <w:tcPr>
            <w:tcW w:w="1767" w:type="dxa"/>
            <w:tcBorders>
              <w:top w:val="nil"/>
              <w:left w:val="single" w:sz="4" w:space="0" w:color="auto"/>
              <w:bottom w:val="single" w:sz="4" w:space="0" w:color="auto"/>
              <w:right w:val="single" w:sz="4" w:space="0" w:color="auto"/>
            </w:tcBorders>
            <w:vAlign w:val="bottom"/>
          </w:tcPr>
          <w:p w14:paraId="20A70EA3" w14:textId="77777777" w:rsidR="009021F1" w:rsidRPr="0029055B" w:rsidRDefault="009021F1" w:rsidP="00E637E3">
            <w:pPr>
              <w:rPr>
                <w:szCs w:val="21"/>
              </w:rPr>
            </w:pPr>
            <w:r w:rsidRPr="0029055B">
              <w:rPr>
                <w:szCs w:val="21"/>
              </w:rPr>
              <w:t>Geckonidae</w:t>
            </w:r>
          </w:p>
        </w:tc>
        <w:tc>
          <w:tcPr>
            <w:tcW w:w="2565" w:type="dxa"/>
            <w:tcBorders>
              <w:top w:val="nil"/>
              <w:left w:val="single" w:sz="4" w:space="0" w:color="auto"/>
              <w:bottom w:val="single" w:sz="4" w:space="0" w:color="auto"/>
              <w:right w:val="single" w:sz="4" w:space="0" w:color="auto"/>
            </w:tcBorders>
            <w:noWrap/>
            <w:vAlign w:val="bottom"/>
          </w:tcPr>
          <w:p w14:paraId="43E94BE5" w14:textId="77777777" w:rsidR="009021F1" w:rsidRPr="0029055B" w:rsidRDefault="009021F1" w:rsidP="00E637E3">
            <w:pPr>
              <w:rPr>
                <w:szCs w:val="21"/>
              </w:rPr>
            </w:pPr>
            <w:r w:rsidRPr="0029055B">
              <w:rPr>
                <w:szCs w:val="21"/>
              </w:rPr>
              <w:t>Leptosiaphus meleagris</w:t>
            </w:r>
          </w:p>
        </w:tc>
        <w:tc>
          <w:tcPr>
            <w:tcW w:w="2693" w:type="dxa"/>
            <w:tcBorders>
              <w:top w:val="nil"/>
              <w:left w:val="nil"/>
              <w:bottom w:val="single" w:sz="4" w:space="0" w:color="auto"/>
              <w:right w:val="single" w:sz="4" w:space="0" w:color="auto"/>
            </w:tcBorders>
            <w:noWrap/>
            <w:vAlign w:val="bottom"/>
          </w:tcPr>
          <w:p w14:paraId="6811715F" w14:textId="77777777" w:rsidR="009021F1" w:rsidRPr="0029055B" w:rsidRDefault="009021F1" w:rsidP="00E637E3">
            <w:pPr>
              <w:rPr>
                <w:szCs w:val="21"/>
              </w:rPr>
            </w:pPr>
            <w:r w:rsidRPr="0029055B">
              <w:rPr>
                <w:szCs w:val="21"/>
              </w:rPr>
              <w:t>Leazard</w:t>
            </w:r>
          </w:p>
        </w:tc>
        <w:tc>
          <w:tcPr>
            <w:tcW w:w="1375" w:type="dxa"/>
            <w:tcBorders>
              <w:top w:val="nil"/>
              <w:left w:val="nil"/>
              <w:bottom w:val="single" w:sz="4" w:space="0" w:color="auto"/>
              <w:right w:val="single" w:sz="4" w:space="0" w:color="auto"/>
            </w:tcBorders>
          </w:tcPr>
          <w:p w14:paraId="003739E9"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61B53E70" w14:textId="77777777" w:rsidR="009021F1" w:rsidRPr="0029055B" w:rsidRDefault="009021F1" w:rsidP="00E637E3">
            <w:pPr>
              <w:rPr>
                <w:szCs w:val="21"/>
              </w:rPr>
            </w:pPr>
            <w:r w:rsidRPr="0029055B">
              <w:rPr>
                <w:szCs w:val="21"/>
              </w:rPr>
              <w:t>-</w:t>
            </w:r>
          </w:p>
        </w:tc>
        <w:tc>
          <w:tcPr>
            <w:tcW w:w="2814" w:type="dxa"/>
            <w:tcBorders>
              <w:top w:val="nil"/>
              <w:left w:val="nil"/>
              <w:bottom w:val="single" w:sz="8" w:space="0" w:color="auto"/>
              <w:right w:val="single" w:sz="8" w:space="0" w:color="auto"/>
            </w:tcBorders>
          </w:tcPr>
          <w:p w14:paraId="012941A2" w14:textId="77777777" w:rsidR="009021F1" w:rsidRPr="0029055B" w:rsidRDefault="009021F1" w:rsidP="00E637E3">
            <w:pPr>
              <w:rPr>
                <w:szCs w:val="21"/>
              </w:rPr>
            </w:pPr>
            <w:r w:rsidRPr="0029055B">
              <w:rPr>
                <w:szCs w:val="21"/>
              </w:rPr>
              <w:t>Fs</w:t>
            </w:r>
          </w:p>
        </w:tc>
      </w:tr>
      <w:tr w:rsidR="009021F1" w:rsidRPr="0029055B" w14:paraId="04C58C35" w14:textId="77777777" w:rsidTr="00E637E3">
        <w:trPr>
          <w:trHeight w:val="318"/>
        </w:trPr>
        <w:tc>
          <w:tcPr>
            <w:tcW w:w="1834" w:type="dxa"/>
            <w:tcBorders>
              <w:top w:val="nil"/>
              <w:left w:val="single" w:sz="8" w:space="0" w:color="auto"/>
              <w:bottom w:val="single" w:sz="4" w:space="0" w:color="auto"/>
              <w:right w:val="single" w:sz="4" w:space="0" w:color="auto"/>
            </w:tcBorders>
            <w:vAlign w:val="bottom"/>
          </w:tcPr>
          <w:p w14:paraId="52168269" w14:textId="77777777" w:rsidR="009021F1" w:rsidRPr="0029055B" w:rsidRDefault="009021F1" w:rsidP="00E637E3">
            <w:pPr>
              <w:rPr>
                <w:szCs w:val="21"/>
              </w:rPr>
            </w:pPr>
            <w:r w:rsidRPr="0029055B">
              <w:rPr>
                <w:szCs w:val="21"/>
              </w:rPr>
              <w:t>Chéloniens</w:t>
            </w:r>
          </w:p>
        </w:tc>
        <w:tc>
          <w:tcPr>
            <w:tcW w:w="1767" w:type="dxa"/>
            <w:tcBorders>
              <w:top w:val="nil"/>
              <w:left w:val="single" w:sz="4" w:space="0" w:color="auto"/>
              <w:bottom w:val="single" w:sz="4" w:space="0" w:color="auto"/>
              <w:right w:val="single" w:sz="4" w:space="0" w:color="auto"/>
            </w:tcBorders>
            <w:vAlign w:val="bottom"/>
          </w:tcPr>
          <w:p w14:paraId="4495E8AC" w14:textId="77777777" w:rsidR="009021F1" w:rsidRPr="0029055B" w:rsidRDefault="009021F1" w:rsidP="00E637E3">
            <w:pPr>
              <w:rPr>
                <w:szCs w:val="21"/>
              </w:rPr>
            </w:pPr>
            <w:r w:rsidRPr="0029055B">
              <w:rPr>
                <w:szCs w:val="21"/>
              </w:rPr>
              <w:t>Chelonidae</w:t>
            </w:r>
          </w:p>
        </w:tc>
        <w:tc>
          <w:tcPr>
            <w:tcW w:w="2565" w:type="dxa"/>
            <w:tcBorders>
              <w:top w:val="nil"/>
              <w:left w:val="single" w:sz="4" w:space="0" w:color="auto"/>
              <w:bottom w:val="single" w:sz="4" w:space="0" w:color="auto"/>
              <w:right w:val="single" w:sz="4" w:space="0" w:color="auto"/>
            </w:tcBorders>
            <w:noWrap/>
            <w:vAlign w:val="bottom"/>
          </w:tcPr>
          <w:p w14:paraId="460BEDA5" w14:textId="77777777" w:rsidR="009021F1" w:rsidRPr="0029055B" w:rsidRDefault="009021F1" w:rsidP="00E637E3">
            <w:pPr>
              <w:rPr>
                <w:szCs w:val="21"/>
              </w:rPr>
            </w:pPr>
            <w:r w:rsidRPr="0029055B">
              <w:rPr>
                <w:szCs w:val="21"/>
              </w:rPr>
              <w:t>Pelusias rhodesianus</w:t>
            </w:r>
          </w:p>
        </w:tc>
        <w:tc>
          <w:tcPr>
            <w:tcW w:w="2693" w:type="dxa"/>
            <w:tcBorders>
              <w:top w:val="nil"/>
              <w:left w:val="nil"/>
              <w:bottom w:val="single" w:sz="4" w:space="0" w:color="auto"/>
              <w:right w:val="single" w:sz="4" w:space="0" w:color="auto"/>
            </w:tcBorders>
            <w:noWrap/>
            <w:vAlign w:val="bottom"/>
          </w:tcPr>
          <w:p w14:paraId="52A8A0A4" w14:textId="77777777" w:rsidR="009021F1" w:rsidRPr="0029055B" w:rsidRDefault="009021F1" w:rsidP="00E637E3">
            <w:pPr>
              <w:rPr>
                <w:szCs w:val="21"/>
              </w:rPr>
            </w:pPr>
            <w:r w:rsidRPr="0029055B">
              <w:rPr>
                <w:szCs w:val="21"/>
              </w:rPr>
              <w:t xml:space="preserve">Tortue </w:t>
            </w:r>
          </w:p>
        </w:tc>
        <w:tc>
          <w:tcPr>
            <w:tcW w:w="1375" w:type="dxa"/>
            <w:tcBorders>
              <w:top w:val="nil"/>
              <w:left w:val="nil"/>
              <w:bottom w:val="single" w:sz="4" w:space="0" w:color="auto"/>
              <w:right w:val="single" w:sz="4" w:space="0" w:color="auto"/>
            </w:tcBorders>
          </w:tcPr>
          <w:p w14:paraId="2A279B48"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4C7CDB9E" w14:textId="77777777" w:rsidR="009021F1" w:rsidRPr="0029055B" w:rsidRDefault="009021F1" w:rsidP="00E637E3">
            <w:pPr>
              <w:rPr>
                <w:szCs w:val="21"/>
              </w:rPr>
            </w:pPr>
            <w:r w:rsidRPr="0029055B">
              <w:rPr>
                <w:szCs w:val="21"/>
              </w:rPr>
              <w:t>-</w:t>
            </w:r>
          </w:p>
        </w:tc>
        <w:tc>
          <w:tcPr>
            <w:tcW w:w="2814" w:type="dxa"/>
            <w:tcBorders>
              <w:top w:val="single" w:sz="8" w:space="0" w:color="auto"/>
              <w:left w:val="nil"/>
              <w:bottom w:val="single" w:sz="4" w:space="0" w:color="auto"/>
              <w:right w:val="single" w:sz="8" w:space="0" w:color="auto"/>
            </w:tcBorders>
          </w:tcPr>
          <w:p w14:paraId="6D021AA8" w14:textId="77777777" w:rsidR="009021F1" w:rsidRPr="0029055B" w:rsidRDefault="009021F1" w:rsidP="00E637E3">
            <w:pPr>
              <w:rPr>
                <w:szCs w:val="21"/>
              </w:rPr>
            </w:pPr>
            <w:r w:rsidRPr="0029055B">
              <w:rPr>
                <w:szCs w:val="21"/>
              </w:rPr>
              <w:t>Aquat.</w:t>
            </w:r>
          </w:p>
        </w:tc>
      </w:tr>
      <w:tr w:rsidR="009021F1" w:rsidRPr="0029055B" w14:paraId="6B6E356E" w14:textId="77777777" w:rsidTr="00E637E3">
        <w:trPr>
          <w:trHeight w:val="318"/>
        </w:trPr>
        <w:tc>
          <w:tcPr>
            <w:tcW w:w="1834" w:type="dxa"/>
            <w:tcBorders>
              <w:top w:val="nil"/>
              <w:left w:val="single" w:sz="8" w:space="0" w:color="auto"/>
              <w:bottom w:val="single" w:sz="4" w:space="0" w:color="auto"/>
              <w:right w:val="single" w:sz="4" w:space="0" w:color="auto"/>
            </w:tcBorders>
            <w:vAlign w:val="bottom"/>
          </w:tcPr>
          <w:p w14:paraId="29A07365" w14:textId="77777777" w:rsidR="009021F1" w:rsidRPr="0029055B" w:rsidRDefault="009021F1" w:rsidP="00E637E3">
            <w:pPr>
              <w:rPr>
                <w:szCs w:val="21"/>
              </w:rPr>
            </w:pPr>
            <w:r w:rsidRPr="0029055B">
              <w:rPr>
                <w:szCs w:val="21"/>
              </w:rPr>
              <w:t>Chéloniens</w:t>
            </w:r>
          </w:p>
        </w:tc>
        <w:tc>
          <w:tcPr>
            <w:tcW w:w="1767" w:type="dxa"/>
            <w:tcBorders>
              <w:top w:val="nil"/>
              <w:left w:val="single" w:sz="4" w:space="0" w:color="auto"/>
              <w:bottom w:val="single" w:sz="4" w:space="0" w:color="auto"/>
              <w:right w:val="single" w:sz="4" w:space="0" w:color="auto"/>
            </w:tcBorders>
            <w:vAlign w:val="bottom"/>
          </w:tcPr>
          <w:p w14:paraId="0B77AEA1" w14:textId="77777777" w:rsidR="009021F1" w:rsidRPr="0029055B" w:rsidRDefault="009021F1" w:rsidP="00E637E3">
            <w:pPr>
              <w:rPr>
                <w:szCs w:val="21"/>
              </w:rPr>
            </w:pPr>
            <w:r w:rsidRPr="0029055B">
              <w:rPr>
                <w:szCs w:val="21"/>
              </w:rPr>
              <w:t>Chelonidae</w:t>
            </w:r>
          </w:p>
        </w:tc>
        <w:tc>
          <w:tcPr>
            <w:tcW w:w="2565" w:type="dxa"/>
            <w:tcBorders>
              <w:top w:val="nil"/>
              <w:left w:val="single" w:sz="4" w:space="0" w:color="auto"/>
              <w:bottom w:val="single" w:sz="4" w:space="0" w:color="auto"/>
              <w:right w:val="single" w:sz="4" w:space="0" w:color="auto"/>
            </w:tcBorders>
            <w:noWrap/>
            <w:vAlign w:val="bottom"/>
          </w:tcPr>
          <w:p w14:paraId="09730E2A" w14:textId="77777777" w:rsidR="009021F1" w:rsidRPr="0029055B" w:rsidRDefault="009021F1" w:rsidP="00E637E3">
            <w:pPr>
              <w:rPr>
                <w:szCs w:val="21"/>
              </w:rPr>
            </w:pPr>
            <w:r w:rsidRPr="0029055B">
              <w:rPr>
                <w:szCs w:val="21"/>
              </w:rPr>
              <w:t>Pelusias williamsi</w:t>
            </w:r>
          </w:p>
        </w:tc>
        <w:tc>
          <w:tcPr>
            <w:tcW w:w="2693" w:type="dxa"/>
            <w:tcBorders>
              <w:top w:val="nil"/>
              <w:left w:val="nil"/>
              <w:bottom w:val="single" w:sz="4" w:space="0" w:color="auto"/>
              <w:right w:val="single" w:sz="4" w:space="0" w:color="auto"/>
            </w:tcBorders>
            <w:noWrap/>
            <w:vAlign w:val="bottom"/>
          </w:tcPr>
          <w:p w14:paraId="1DF3132A" w14:textId="77777777" w:rsidR="009021F1" w:rsidRPr="0029055B" w:rsidRDefault="009021F1" w:rsidP="00E637E3">
            <w:pPr>
              <w:rPr>
                <w:szCs w:val="21"/>
              </w:rPr>
            </w:pPr>
            <w:r w:rsidRPr="0029055B">
              <w:rPr>
                <w:szCs w:val="21"/>
              </w:rPr>
              <w:t xml:space="preserve">Tortue </w:t>
            </w:r>
          </w:p>
        </w:tc>
        <w:tc>
          <w:tcPr>
            <w:tcW w:w="1375" w:type="dxa"/>
            <w:tcBorders>
              <w:top w:val="nil"/>
              <w:left w:val="nil"/>
              <w:bottom w:val="single" w:sz="4" w:space="0" w:color="auto"/>
              <w:right w:val="single" w:sz="4" w:space="0" w:color="auto"/>
            </w:tcBorders>
          </w:tcPr>
          <w:p w14:paraId="1132E4B0"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687BF0C7" w14:textId="77777777" w:rsidR="009021F1" w:rsidRPr="0029055B" w:rsidRDefault="009021F1" w:rsidP="00E637E3">
            <w:pPr>
              <w:rPr>
                <w:szCs w:val="21"/>
              </w:rPr>
            </w:pPr>
            <w:r w:rsidRPr="0029055B">
              <w:rPr>
                <w:szCs w:val="21"/>
              </w:rPr>
              <w:t>-</w:t>
            </w:r>
          </w:p>
        </w:tc>
        <w:tc>
          <w:tcPr>
            <w:tcW w:w="2814" w:type="dxa"/>
            <w:tcBorders>
              <w:top w:val="nil"/>
              <w:left w:val="nil"/>
              <w:bottom w:val="single" w:sz="4" w:space="0" w:color="auto"/>
              <w:right w:val="single" w:sz="8" w:space="0" w:color="auto"/>
            </w:tcBorders>
          </w:tcPr>
          <w:p w14:paraId="75D0EF03" w14:textId="77777777" w:rsidR="009021F1" w:rsidRPr="0029055B" w:rsidRDefault="009021F1" w:rsidP="00E637E3">
            <w:pPr>
              <w:rPr>
                <w:szCs w:val="21"/>
              </w:rPr>
            </w:pPr>
            <w:r w:rsidRPr="0029055B">
              <w:rPr>
                <w:szCs w:val="21"/>
              </w:rPr>
              <w:t>Aquat.</w:t>
            </w:r>
          </w:p>
        </w:tc>
      </w:tr>
      <w:tr w:rsidR="009021F1" w:rsidRPr="0029055B" w14:paraId="66D3CF34" w14:textId="77777777" w:rsidTr="00E637E3">
        <w:trPr>
          <w:trHeight w:val="318"/>
        </w:trPr>
        <w:tc>
          <w:tcPr>
            <w:tcW w:w="1834" w:type="dxa"/>
            <w:tcBorders>
              <w:top w:val="nil"/>
              <w:left w:val="single" w:sz="8" w:space="0" w:color="auto"/>
              <w:bottom w:val="single" w:sz="4" w:space="0" w:color="auto"/>
              <w:right w:val="single" w:sz="4" w:space="0" w:color="auto"/>
            </w:tcBorders>
            <w:vAlign w:val="bottom"/>
          </w:tcPr>
          <w:p w14:paraId="7E04BA2A" w14:textId="77777777" w:rsidR="009021F1" w:rsidRPr="0029055B" w:rsidRDefault="009021F1" w:rsidP="00E637E3">
            <w:pPr>
              <w:rPr>
                <w:szCs w:val="21"/>
              </w:rPr>
            </w:pPr>
            <w:r w:rsidRPr="0029055B">
              <w:rPr>
                <w:szCs w:val="21"/>
              </w:rPr>
              <w:t>Squamates</w:t>
            </w:r>
          </w:p>
        </w:tc>
        <w:tc>
          <w:tcPr>
            <w:tcW w:w="1767" w:type="dxa"/>
            <w:tcBorders>
              <w:top w:val="nil"/>
              <w:left w:val="single" w:sz="4" w:space="0" w:color="auto"/>
              <w:bottom w:val="single" w:sz="4" w:space="0" w:color="auto"/>
              <w:right w:val="single" w:sz="4" w:space="0" w:color="auto"/>
            </w:tcBorders>
            <w:vAlign w:val="bottom"/>
          </w:tcPr>
          <w:p w14:paraId="1666CB2E" w14:textId="77777777" w:rsidR="009021F1" w:rsidRPr="0029055B" w:rsidRDefault="009021F1" w:rsidP="00E637E3">
            <w:pPr>
              <w:rPr>
                <w:szCs w:val="21"/>
              </w:rPr>
            </w:pPr>
            <w:r w:rsidRPr="0029055B">
              <w:rPr>
                <w:szCs w:val="21"/>
              </w:rPr>
              <w:t>Boidae</w:t>
            </w:r>
          </w:p>
        </w:tc>
        <w:tc>
          <w:tcPr>
            <w:tcW w:w="2565" w:type="dxa"/>
            <w:tcBorders>
              <w:top w:val="nil"/>
              <w:left w:val="single" w:sz="4" w:space="0" w:color="auto"/>
              <w:bottom w:val="single" w:sz="4" w:space="0" w:color="auto"/>
              <w:right w:val="single" w:sz="4" w:space="0" w:color="auto"/>
            </w:tcBorders>
            <w:vAlign w:val="bottom"/>
          </w:tcPr>
          <w:p w14:paraId="008D692C" w14:textId="77777777" w:rsidR="009021F1" w:rsidRPr="0029055B" w:rsidRDefault="009021F1" w:rsidP="00E637E3">
            <w:pPr>
              <w:rPr>
                <w:szCs w:val="21"/>
              </w:rPr>
            </w:pPr>
            <w:r w:rsidRPr="0029055B">
              <w:rPr>
                <w:szCs w:val="21"/>
              </w:rPr>
              <w:t>Python reticulates</w:t>
            </w:r>
          </w:p>
        </w:tc>
        <w:tc>
          <w:tcPr>
            <w:tcW w:w="2693" w:type="dxa"/>
            <w:tcBorders>
              <w:top w:val="nil"/>
              <w:left w:val="nil"/>
              <w:bottom w:val="single" w:sz="4" w:space="0" w:color="auto"/>
              <w:right w:val="single" w:sz="4" w:space="0" w:color="auto"/>
            </w:tcBorders>
            <w:noWrap/>
            <w:vAlign w:val="bottom"/>
          </w:tcPr>
          <w:p w14:paraId="4C087F12" w14:textId="77777777" w:rsidR="009021F1" w:rsidRPr="0029055B" w:rsidRDefault="009021F1" w:rsidP="00E637E3">
            <w:pPr>
              <w:rPr>
                <w:szCs w:val="21"/>
              </w:rPr>
            </w:pPr>
            <w:r w:rsidRPr="0029055B">
              <w:rPr>
                <w:szCs w:val="21"/>
              </w:rPr>
              <w:t>Python</w:t>
            </w:r>
          </w:p>
        </w:tc>
        <w:tc>
          <w:tcPr>
            <w:tcW w:w="1375" w:type="dxa"/>
            <w:tcBorders>
              <w:top w:val="nil"/>
              <w:left w:val="nil"/>
              <w:bottom w:val="single" w:sz="4" w:space="0" w:color="auto"/>
              <w:right w:val="single" w:sz="4" w:space="0" w:color="auto"/>
            </w:tcBorders>
          </w:tcPr>
          <w:p w14:paraId="7CFFB751" w14:textId="77777777" w:rsidR="009021F1" w:rsidRPr="0029055B" w:rsidRDefault="009021F1" w:rsidP="00E637E3">
            <w:pPr>
              <w:rPr>
                <w:szCs w:val="21"/>
              </w:rPr>
            </w:pPr>
          </w:p>
        </w:tc>
        <w:tc>
          <w:tcPr>
            <w:tcW w:w="1481" w:type="dxa"/>
            <w:tcBorders>
              <w:top w:val="nil"/>
              <w:left w:val="nil"/>
              <w:bottom w:val="single" w:sz="4" w:space="0" w:color="auto"/>
              <w:right w:val="single" w:sz="4" w:space="0" w:color="auto"/>
            </w:tcBorders>
          </w:tcPr>
          <w:p w14:paraId="7928ABAA" w14:textId="77777777" w:rsidR="009021F1" w:rsidRPr="0029055B" w:rsidRDefault="009021F1" w:rsidP="00E637E3">
            <w:pPr>
              <w:rPr>
                <w:szCs w:val="21"/>
              </w:rPr>
            </w:pPr>
          </w:p>
        </w:tc>
        <w:tc>
          <w:tcPr>
            <w:tcW w:w="2814" w:type="dxa"/>
            <w:tcBorders>
              <w:top w:val="nil"/>
              <w:left w:val="nil"/>
              <w:bottom w:val="single" w:sz="4" w:space="0" w:color="auto"/>
              <w:right w:val="single" w:sz="8" w:space="0" w:color="auto"/>
            </w:tcBorders>
          </w:tcPr>
          <w:p w14:paraId="284E81BC" w14:textId="77777777" w:rsidR="009021F1" w:rsidRPr="0029055B" w:rsidRDefault="009021F1" w:rsidP="00E637E3">
            <w:pPr>
              <w:rPr>
                <w:szCs w:val="21"/>
              </w:rPr>
            </w:pPr>
          </w:p>
        </w:tc>
      </w:tr>
      <w:tr w:rsidR="009021F1" w:rsidRPr="0029055B" w14:paraId="44965F37" w14:textId="77777777" w:rsidTr="00E637E3">
        <w:trPr>
          <w:trHeight w:val="318"/>
        </w:trPr>
        <w:tc>
          <w:tcPr>
            <w:tcW w:w="1834" w:type="dxa"/>
            <w:tcBorders>
              <w:top w:val="nil"/>
              <w:left w:val="single" w:sz="8" w:space="0" w:color="auto"/>
              <w:bottom w:val="single" w:sz="4" w:space="0" w:color="auto"/>
              <w:right w:val="single" w:sz="4" w:space="0" w:color="auto"/>
            </w:tcBorders>
          </w:tcPr>
          <w:p w14:paraId="66C0E9C9" w14:textId="77777777" w:rsidR="009021F1" w:rsidRPr="0029055B" w:rsidRDefault="009021F1" w:rsidP="00E637E3">
            <w:pPr>
              <w:rPr>
                <w:szCs w:val="21"/>
              </w:rPr>
            </w:pPr>
            <w:r w:rsidRPr="0029055B">
              <w:rPr>
                <w:szCs w:val="21"/>
              </w:rPr>
              <w:t>Squamates</w:t>
            </w:r>
          </w:p>
        </w:tc>
        <w:tc>
          <w:tcPr>
            <w:tcW w:w="1767" w:type="dxa"/>
            <w:tcBorders>
              <w:top w:val="nil"/>
              <w:left w:val="single" w:sz="4" w:space="0" w:color="auto"/>
              <w:bottom w:val="single" w:sz="4" w:space="0" w:color="auto"/>
              <w:right w:val="single" w:sz="4" w:space="0" w:color="auto"/>
            </w:tcBorders>
            <w:vAlign w:val="bottom"/>
          </w:tcPr>
          <w:p w14:paraId="11D5B371" w14:textId="77777777" w:rsidR="009021F1" w:rsidRPr="0029055B" w:rsidRDefault="009021F1" w:rsidP="00E637E3">
            <w:pPr>
              <w:rPr>
                <w:szCs w:val="21"/>
              </w:rPr>
            </w:pPr>
            <w:r w:rsidRPr="0029055B">
              <w:rPr>
                <w:szCs w:val="21"/>
              </w:rPr>
              <w:t>Colubridae</w:t>
            </w:r>
          </w:p>
        </w:tc>
        <w:tc>
          <w:tcPr>
            <w:tcW w:w="2565" w:type="dxa"/>
            <w:tcBorders>
              <w:top w:val="nil"/>
              <w:left w:val="single" w:sz="4" w:space="0" w:color="auto"/>
              <w:bottom w:val="single" w:sz="4" w:space="0" w:color="auto"/>
              <w:right w:val="single" w:sz="4" w:space="0" w:color="auto"/>
            </w:tcBorders>
          </w:tcPr>
          <w:p w14:paraId="4E51AD59" w14:textId="77777777" w:rsidR="009021F1" w:rsidRPr="0029055B" w:rsidRDefault="009021F1" w:rsidP="00E637E3">
            <w:pPr>
              <w:rPr>
                <w:szCs w:val="21"/>
              </w:rPr>
            </w:pPr>
            <w:r w:rsidRPr="0029055B">
              <w:rPr>
                <w:szCs w:val="21"/>
              </w:rPr>
              <w:t>Trasops Jackson</w:t>
            </w:r>
          </w:p>
        </w:tc>
        <w:tc>
          <w:tcPr>
            <w:tcW w:w="2693" w:type="dxa"/>
            <w:tcBorders>
              <w:top w:val="nil"/>
              <w:left w:val="nil"/>
              <w:bottom w:val="single" w:sz="4" w:space="0" w:color="auto"/>
              <w:right w:val="single" w:sz="4" w:space="0" w:color="auto"/>
            </w:tcBorders>
            <w:noWrap/>
            <w:vAlign w:val="bottom"/>
          </w:tcPr>
          <w:p w14:paraId="2E740B1F" w14:textId="77777777" w:rsidR="009021F1" w:rsidRPr="0029055B" w:rsidRDefault="009021F1" w:rsidP="00E637E3">
            <w:pPr>
              <w:rPr>
                <w:szCs w:val="21"/>
              </w:rPr>
            </w:pPr>
            <w:r w:rsidRPr="0029055B">
              <w:rPr>
                <w:szCs w:val="21"/>
              </w:rPr>
              <w:t>Serpent noir</w:t>
            </w:r>
          </w:p>
        </w:tc>
        <w:tc>
          <w:tcPr>
            <w:tcW w:w="1375" w:type="dxa"/>
            <w:tcBorders>
              <w:top w:val="nil"/>
              <w:left w:val="nil"/>
              <w:bottom w:val="single" w:sz="4" w:space="0" w:color="auto"/>
              <w:right w:val="single" w:sz="4" w:space="0" w:color="auto"/>
            </w:tcBorders>
          </w:tcPr>
          <w:p w14:paraId="34DB6B4B" w14:textId="77777777" w:rsidR="009021F1" w:rsidRPr="0029055B" w:rsidRDefault="009021F1" w:rsidP="00E637E3">
            <w:pPr>
              <w:rPr>
                <w:szCs w:val="21"/>
              </w:rPr>
            </w:pPr>
          </w:p>
        </w:tc>
        <w:tc>
          <w:tcPr>
            <w:tcW w:w="1481" w:type="dxa"/>
            <w:tcBorders>
              <w:top w:val="nil"/>
              <w:left w:val="nil"/>
              <w:bottom w:val="single" w:sz="4" w:space="0" w:color="auto"/>
              <w:right w:val="single" w:sz="4" w:space="0" w:color="auto"/>
            </w:tcBorders>
          </w:tcPr>
          <w:p w14:paraId="60AFFD94" w14:textId="77777777" w:rsidR="009021F1" w:rsidRPr="0029055B" w:rsidRDefault="009021F1" w:rsidP="00E637E3">
            <w:pPr>
              <w:rPr>
                <w:szCs w:val="21"/>
              </w:rPr>
            </w:pPr>
          </w:p>
        </w:tc>
        <w:tc>
          <w:tcPr>
            <w:tcW w:w="2814" w:type="dxa"/>
            <w:tcBorders>
              <w:top w:val="nil"/>
              <w:left w:val="nil"/>
              <w:bottom w:val="single" w:sz="4" w:space="0" w:color="auto"/>
              <w:right w:val="single" w:sz="8" w:space="0" w:color="auto"/>
            </w:tcBorders>
          </w:tcPr>
          <w:p w14:paraId="5A9FEEBB" w14:textId="77777777" w:rsidR="009021F1" w:rsidRPr="0029055B" w:rsidRDefault="009021F1" w:rsidP="00E637E3">
            <w:pPr>
              <w:rPr>
                <w:szCs w:val="21"/>
              </w:rPr>
            </w:pPr>
          </w:p>
        </w:tc>
      </w:tr>
      <w:tr w:rsidR="009021F1" w:rsidRPr="0029055B" w14:paraId="3287C06C" w14:textId="77777777" w:rsidTr="00E637E3">
        <w:trPr>
          <w:trHeight w:val="318"/>
        </w:trPr>
        <w:tc>
          <w:tcPr>
            <w:tcW w:w="1834" w:type="dxa"/>
            <w:tcBorders>
              <w:top w:val="nil"/>
              <w:left w:val="single" w:sz="8" w:space="0" w:color="auto"/>
              <w:bottom w:val="single" w:sz="4" w:space="0" w:color="auto"/>
              <w:right w:val="single" w:sz="4" w:space="0" w:color="auto"/>
            </w:tcBorders>
          </w:tcPr>
          <w:p w14:paraId="57CF8E4E" w14:textId="77777777" w:rsidR="009021F1" w:rsidRPr="0029055B" w:rsidRDefault="009021F1" w:rsidP="00E637E3">
            <w:pPr>
              <w:rPr>
                <w:szCs w:val="21"/>
              </w:rPr>
            </w:pPr>
            <w:r w:rsidRPr="0029055B">
              <w:rPr>
                <w:szCs w:val="21"/>
              </w:rPr>
              <w:t>Cheloniens</w:t>
            </w:r>
          </w:p>
        </w:tc>
        <w:tc>
          <w:tcPr>
            <w:tcW w:w="1767" w:type="dxa"/>
            <w:tcBorders>
              <w:top w:val="nil"/>
              <w:left w:val="single" w:sz="4" w:space="0" w:color="auto"/>
              <w:bottom w:val="single" w:sz="4" w:space="0" w:color="auto"/>
              <w:right w:val="single" w:sz="4" w:space="0" w:color="auto"/>
            </w:tcBorders>
            <w:vAlign w:val="bottom"/>
          </w:tcPr>
          <w:p w14:paraId="5093318F" w14:textId="77777777" w:rsidR="009021F1" w:rsidRPr="0029055B" w:rsidRDefault="009021F1" w:rsidP="00E637E3">
            <w:pPr>
              <w:rPr>
                <w:szCs w:val="21"/>
              </w:rPr>
            </w:pPr>
            <w:r w:rsidRPr="0029055B">
              <w:rPr>
                <w:szCs w:val="21"/>
              </w:rPr>
              <w:t>Geckonidae</w:t>
            </w:r>
          </w:p>
        </w:tc>
        <w:tc>
          <w:tcPr>
            <w:tcW w:w="2565" w:type="dxa"/>
            <w:tcBorders>
              <w:top w:val="nil"/>
              <w:left w:val="single" w:sz="4" w:space="0" w:color="auto"/>
              <w:bottom w:val="single" w:sz="4" w:space="0" w:color="auto"/>
              <w:right w:val="single" w:sz="4" w:space="0" w:color="auto"/>
            </w:tcBorders>
          </w:tcPr>
          <w:p w14:paraId="39E11204" w14:textId="77777777" w:rsidR="009021F1" w:rsidRPr="0029055B" w:rsidRDefault="009021F1" w:rsidP="00E637E3">
            <w:pPr>
              <w:rPr>
                <w:szCs w:val="21"/>
              </w:rPr>
            </w:pPr>
            <w:r w:rsidRPr="0029055B">
              <w:rPr>
                <w:szCs w:val="21"/>
              </w:rPr>
              <w:t>Varanus niloticus</w:t>
            </w:r>
          </w:p>
        </w:tc>
        <w:tc>
          <w:tcPr>
            <w:tcW w:w="2693" w:type="dxa"/>
            <w:tcBorders>
              <w:top w:val="nil"/>
              <w:left w:val="nil"/>
              <w:bottom w:val="single" w:sz="4" w:space="0" w:color="auto"/>
              <w:right w:val="single" w:sz="4" w:space="0" w:color="auto"/>
            </w:tcBorders>
            <w:noWrap/>
            <w:vAlign w:val="bottom"/>
          </w:tcPr>
          <w:p w14:paraId="0A7CFFD8" w14:textId="77777777" w:rsidR="009021F1" w:rsidRPr="0029055B" w:rsidRDefault="009021F1" w:rsidP="00E637E3">
            <w:pPr>
              <w:rPr>
                <w:szCs w:val="21"/>
              </w:rPr>
            </w:pPr>
            <w:r w:rsidRPr="0029055B">
              <w:rPr>
                <w:szCs w:val="21"/>
              </w:rPr>
              <w:t>Lézzard</w:t>
            </w:r>
          </w:p>
        </w:tc>
        <w:tc>
          <w:tcPr>
            <w:tcW w:w="1375" w:type="dxa"/>
            <w:tcBorders>
              <w:top w:val="nil"/>
              <w:left w:val="nil"/>
              <w:bottom w:val="single" w:sz="4" w:space="0" w:color="auto"/>
              <w:right w:val="single" w:sz="4" w:space="0" w:color="auto"/>
            </w:tcBorders>
          </w:tcPr>
          <w:p w14:paraId="786FB385"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7046DC0A" w14:textId="77777777" w:rsidR="009021F1" w:rsidRPr="0029055B" w:rsidRDefault="009021F1" w:rsidP="00E637E3">
            <w:pPr>
              <w:rPr>
                <w:szCs w:val="21"/>
              </w:rPr>
            </w:pPr>
            <w:r w:rsidRPr="0029055B">
              <w:rPr>
                <w:szCs w:val="21"/>
              </w:rPr>
              <w:t>-</w:t>
            </w:r>
          </w:p>
        </w:tc>
        <w:tc>
          <w:tcPr>
            <w:tcW w:w="2814" w:type="dxa"/>
            <w:tcBorders>
              <w:top w:val="nil"/>
              <w:left w:val="nil"/>
              <w:bottom w:val="single" w:sz="4" w:space="0" w:color="auto"/>
              <w:right w:val="single" w:sz="8" w:space="0" w:color="auto"/>
            </w:tcBorders>
          </w:tcPr>
          <w:p w14:paraId="69746D08" w14:textId="77777777" w:rsidR="009021F1" w:rsidRPr="0029055B" w:rsidRDefault="009021F1" w:rsidP="00E637E3">
            <w:pPr>
              <w:rPr>
                <w:szCs w:val="21"/>
              </w:rPr>
            </w:pPr>
            <w:r w:rsidRPr="0029055B">
              <w:rPr>
                <w:szCs w:val="21"/>
              </w:rPr>
              <w:t>Aquat.</w:t>
            </w:r>
          </w:p>
        </w:tc>
      </w:tr>
      <w:tr w:rsidR="009021F1" w:rsidRPr="0029055B" w14:paraId="4E1609C6" w14:textId="77777777" w:rsidTr="00E637E3">
        <w:trPr>
          <w:trHeight w:val="318"/>
        </w:trPr>
        <w:tc>
          <w:tcPr>
            <w:tcW w:w="1834" w:type="dxa"/>
            <w:tcBorders>
              <w:top w:val="nil"/>
              <w:left w:val="single" w:sz="8" w:space="0" w:color="auto"/>
              <w:bottom w:val="single" w:sz="4" w:space="0" w:color="auto"/>
              <w:right w:val="single" w:sz="4" w:space="0" w:color="auto"/>
            </w:tcBorders>
          </w:tcPr>
          <w:p w14:paraId="1CEDB405" w14:textId="77777777" w:rsidR="009021F1" w:rsidRPr="0029055B" w:rsidRDefault="009021F1" w:rsidP="00E637E3">
            <w:pPr>
              <w:rPr>
                <w:szCs w:val="21"/>
              </w:rPr>
            </w:pPr>
            <w:r w:rsidRPr="0029055B">
              <w:rPr>
                <w:szCs w:val="21"/>
              </w:rPr>
              <w:t>Cheloniens</w:t>
            </w:r>
          </w:p>
        </w:tc>
        <w:tc>
          <w:tcPr>
            <w:tcW w:w="1767" w:type="dxa"/>
            <w:tcBorders>
              <w:top w:val="nil"/>
              <w:left w:val="single" w:sz="4" w:space="0" w:color="auto"/>
              <w:bottom w:val="single" w:sz="4" w:space="0" w:color="auto"/>
              <w:right w:val="single" w:sz="4" w:space="0" w:color="auto"/>
            </w:tcBorders>
            <w:vAlign w:val="bottom"/>
          </w:tcPr>
          <w:p w14:paraId="661FF3EA" w14:textId="77777777" w:rsidR="009021F1" w:rsidRPr="0029055B" w:rsidRDefault="009021F1" w:rsidP="00E637E3">
            <w:pPr>
              <w:rPr>
                <w:szCs w:val="21"/>
              </w:rPr>
            </w:pPr>
            <w:r w:rsidRPr="0029055B">
              <w:rPr>
                <w:szCs w:val="21"/>
              </w:rPr>
              <w:t>Geckonidae</w:t>
            </w:r>
          </w:p>
        </w:tc>
        <w:tc>
          <w:tcPr>
            <w:tcW w:w="2565" w:type="dxa"/>
            <w:tcBorders>
              <w:top w:val="nil"/>
              <w:left w:val="single" w:sz="4" w:space="0" w:color="auto"/>
              <w:bottom w:val="single" w:sz="4" w:space="0" w:color="auto"/>
              <w:right w:val="single" w:sz="4" w:space="0" w:color="auto"/>
            </w:tcBorders>
          </w:tcPr>
          <w:p w14:paraId="72DD3883" w14:textId="77777777" w:rsidR="009021F1" w:rsidRPr="0029055B" w:rsidRDefault="009021F1" w:rsidP="00E637E3">
            <w:pPr>
              <w:rPr>
                <w:szCs w:val="21"/>
              </w:rPr>
            </w:pPr>
            <w:r w:rsidRPr="0029055B">
              <w:rPr>
                <w:szCs w:val="21"/>
              </w:rPr>
              <w:t>V. ornatus</w:t>
            </w:r>
          </w:p>
        </w:tc>
        <w:tc>
          <w:tcPr>
            <w:tcW w:w="2693" w:type="dxa"/>
            <w:tcBorders>
              <w:top w:val="nil"/>
              <w:left w:val="nil"/>
              <w:bottom w:val="single" w:sz="4" w:space="0" w:color="auto"/>
              <w:right w:val="single" w:sz="4" w:space="0" w:color="auto"/>
            </w:tcBorders>
            <w:noWrap/>
            <w:vAlign w:val="bottom"/>
          </w:tcPr>
          <w:p w14:paraId="2BCDF7FF" w14:textId="77777777" w:rsidR="009021F1" w:rsidRPr="0029055B" w:rsidRDefault="009021F1" w:rsidP="00E637E3">
            <w:pPr>
              <w:rPr>
                <w:szCs w:val="21"/>
              </w:rPr>
            </w:pPr>
            <w:r w:rsidRPr="0029055B">
              <w:rPr>
                <w:szCs w:val="21"/>
              </w:rPr>
              <w:t>Lézard</w:t>
            </w:r>
          </w:p>
        </w:tc>
        <w:tc>
          <w:tcPr>
            <w:tcW w:w="1375" w:type="dxa"/>
            <w:tcBorders>
              <w:top w:val="nil"/>
              <w:left w:val="nil"/>
              <w:bottom w:val="single" w:sz="4" w:space="0" w:color="auto"/>
              <w:right w:val="single" w:sz="4" w:space="0" w:color="auto"/>
            </w:tcBorders>
          </w:tcPr>
          <w:p w14:paraId="17AFB599"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4AD67EC1" w14:textId="77777777" w:rsidR="009021F1" w:rsidRPr="0029055B" w:rsidRDefault="009021F1" w:rsidP="00E637E3">
            <w:pPr>
              <w:rPr>
                <w:szCs w:val="21"/>
              </w:rPr>
            </w:pPr>
            <w:r w:rsidRPr="0029055B">
              <w:rPr>
                <w:szCs w:val="21"/>
              </w:rPr>
              <w:t>-</w:t>
            </w:r>
          </w:p>
        </w:tc>
        <w:tc>
          <w:tcPr>
            <w:tcW w:w="2814" w:type="dxa"/>
            <w:tcBorders>
              <w:top w:val="nil"/>
              <w:left w:val="nil"/>
              <w:bottom w:val="single" w:sz="4" w:space="0" w:color="auto"/>
              <w:right w:val="single" w:sz="8" w:space="0" w:color="auto"/>
            </w:tcBorders>
          </w:tcPr>
          <w:p w14:paraId="21C99997" w14:textId="77777777" w:rsidR="009021F1" w:rsidRPr="0029055B" w:rsidRDefault="009021F1" w:rsidP="00E637E3">
            <w:pPr>
              <w:rPr>
                <w:szCs w:val="21"/>
              </w:rPr>
            </w:pPr>
            <w:r w:rsidRPr="0029055B">
              <w:rPr>
                <w:szCs w:val="21"/>
              </w:rPr>
              <w:t>Fmont</w:t>
            </w:r>
          </w:p>
        </w:tc>
      </w:tr>
      <w:tr w:rsidR="009021F1" w:rsidRPr="0029055B" w14:paraId="16D09C46" w14:textId="77777777" w:rsidTr="00E637E3">
        <w:trPr>
          <w:trHeight w:val="318"/>
        </w:trPr>
        <w:tc>
          <w:tcPr>
            <w:tcW w:w="14529" w:type="dxa"/>
            <w:gridSpan w:val="7"/>
            <w:tcBorders>
              <w:top w:val="nil"/>
              <w:left w:val="single" w:sz="8" w:space="0" w:color="auto"/>
              <w:bottom w:val="single" w:sz="4" w:space="0" w:color="auto"/>
              <w:right w:val="single" w:sz="8" w:space="0" w:color="auto"/>
            </w:tcBorders>
          </w:tcPr>
          <w:p w14:paraId="3E81DB8E" w14:textId="77777777" w:rsidR="009021F1" w:rsidRPr="0029055B" w:rsidRDefault="009021F1" w:rsidP="00E637E3">
            <w:pPr>
              <w:rPr>
                <w:szCs w:val="21"/>
              </w:rPr>
            </w:pPr>
            <w:r w:rsidRPr="0029055B">
              <w:rPr>
                <w:szCs w:val="21"/>
              </w:rPr>
              <w:t>FAUNE AVIAIRE</w:t>
            </w:r>
          </w:p>
        </w:tc>
      </w:tr>
      <w:tr w:rsidR="009021F1" w:rsidRPr="0029055B" w14:paraId="4B6D395C" w14:textId="77777777" w:rsidTr="00E637E3">
        <w:trPr>
          <w:trHeight w:val="318"/>
        </w:trPr>
        <w:tc>
          <w:tcPr>
            <w:tcW w:w="1834" w:type="dxa"/>
            <w:tcBorders>
              <w:top w:val="single" w:sz="8" w:space="0" w:color="auto"/>
              <w:left w:val="single" w:sz="8" w:space="0" w:color="auto"/>
              <w:bottom w:val="single" w:sz="4" w:space="0" w:color="auto"/>
              <w:right w:val="single" w:sz="4" w:space="0" w:color="auto"/>
            </w:tcBorders>
          </w:tcPr>
          <w:p w14:paraId="5C07DA0F" w14:textId="77777777" w:rsidR="009021F1" w:rsidRPr="0029055B" w:rsidRDefault="009021F1" w:rsidP="00E637E3">
            <w:pPr>
              <w:rPr>
                <w:szCs w:val="21"/>
              </w:rPr>
            </w:pPr>
            <w:r w:rsidRPr="0029055B">
              <w:rPr>
                <w:szCs w:val="21"/>
              </w:rPr>
              <w:t>Strigiformes</w:t>
            </w:r>
          </w:p>
        </w:tc>
        <w:tc>
          <w:tcPr>
            <w:tcW w:w="1767" w:type="dxa"/>
            <w:tcBorders>
              <w:top w:val="single" w:sz="8" w:space="0" w:color="auto"/>
              <w:left w:val="single" w:sz="4" w:space="0" w:color="auto"/>
              <w:bottom w:val="single" w:sz="4" w:space="0" w:color="auto"/>
              <w:right w:val="single" w:sz="4" w:space="0" w:color="auto"/>
            </w:tcBorders>
            <w:vAlign w:val="bottom"/>
          </w:tcPr>
          <w:p w14:paraId="344546DE" w14:textId="77777777" w:rsidR="009021F1" w:rsidRPr="0029055B" w:rsidRDefault="009021F1" w:rsidP="00E637E3">
            <w:pPr>
              <w:rPr>
                <w:szCs w:val="21"/>
              </w:rPr>
            </w:pPr>
            <w:r w:rsidRPr="0029055B">
              <w:rPr>
                <w:szCs w:val="21"/>
              </w:rPr>
              <w:t>Strigidae</w:t>
            </w:r>
          </w:p>
        </w:tc>
        <w:tc>
          <w:tcPr>
            <w:tcW w:w="2565" w:type="dxa"/>
            <w:tcBorders>
              <w:top w:val="single" w:sz="8" w:space="0" w:color="auto"/>
              <w:left w:val="single" w:sz="4" w:space="0" w:color="auto"/>
              <w:bottom w:val="single" w:sz="4" w:space="0" w:color="auto"/>
              <w:right w:val="single" w:sz="4" w:space="0" w:color="auto"/>
            </w:tcBorders>
          </w:tcPr>
          <w:p w14:paraId="60BC8F2F" w14:textId="77777777" w:rsidR="009021F1" w:rsidRPr="0029055B" w:rsidRDefault="009021F1" w:rsidP="00E637E3">
            <w:pPr>
              <w:rPr>
                <w:szCs w:val="21"/>
              </w:rPr>
            </w:pPr>
            <w:r w:rsidRPr="0029055B">
              <w:rPr>
                <w:szCs w:val="21"/>
              </w:rPr>
              <w:t>Afropavo congensis</w:t>
            </w:r>
          </w:p>
        </w:tc>
        <w:tc>
          <w:tcPr>
            <w:tcW w:w="2693" w:type="dxa"/>
            <w:tcBorders>
              <w:top w:val="single" w:sz="8" w:space="0" w:color="auto"/>
              <w:left w:val="nil"/>
              <w:bottom w:val="single" w:sz="4" w:space="0" w:color="auto"/>
              <w:right w:val="single" w:sz="4" w:space="0" w:color="auto"/>
            </w:tcBorders>
            <w:noWrap/>
            <w:vAlign w:val="bottom"/>
          </w:tcPr>
          <w:p w14:paraId="3CCDE46D" w14:textId="77777777" w:rsidR="009021F1" w:rsidRPr="0029055B" w:rsidRDefault="009021F1" w:rsidP="00E637E3">
            <w:pPr>
              <w:rPr>
                <w:szCs w:val="21"/>
              </w:rPr>
            </w:pPr>
          </w:p>
        </w:tc>
        <w:tc>
          <w:tcPr>
            <w:tcW w:w="1375" w:type="dxa"/>
            <w:tcBorders>
              <w:top w:val="single" w:sz="8" w:space="0" w:color="auto"/>
              <w:left w:val="nil"/>
              <w:bottom w:val="single" w:sz="4" w:space="0" w:color="auto"/>
              <w:right w:val="single" w:sz="4" w:space="0" w:color="auto"/>
            </w:tcBorders>
          </w:tcPr>
          <w:p w14:paraId="41C10815" w14:textId="77777777" w:rsidR="009021F1" w:rsidRPr="0029055B" w:rsidRDefault="009021F1" w:rsidP="00E637E3">
            <w:pPr>
              <w:rPr>
                <w:szCs w:val="21"/>
              </w:rPr>
            </w:pPr>
          </w:p>
        </w:tc>
        <w:tc>
          <w:tcPr>
            <w:tcW w:w="1481" w:type="dxa"/>
            <w:tcBorders>
              <w:top w:val="single" w:sz="8" w:space="0" w:color="auto"/>
              <w:left w:val="nil"/>
              <w:bottom w:val="single" w:sz="4" w:space="0" w:color="auto"/>
              <w:right w:val="single" w:sz="4" w:space="0" w:color="auto"/>
            </w:tcBorders>
          </w:tcPr>
          <w:p w14:paraId="255FE958" w14:textId="77777777" w:rsidR="009021F1" w:rsidRPr="0029055B" w:rsidRDefault="009021F1" w:rsidP="00E637E3">
            <w:pPr>
              <w:rPr>
                <w:szCs w:val="21"/>
              </w:rPr>
            </w:pPr>
          </w:p>
        </w:tc>
        <w:tc>
          <w:tcPr>
            <w:tcW w:w="2814" w:type="dxa"/>
            <w:tcBorders>
              <w:top w:val="single" w:sz="8" w:space="0" w:color="auto"/>
              <w:left w:val="nil"/>
              <w:bottom w:val="single" w:sz="4" w:space="0" w:color="auto"/>
              <w:right w:val="single" w:sz="8" w:space="0" w:color="auto"/>
            </w:tcBorders>
          </w:tcPr>
          <w:p w14:paraId="6B879508" w14:textId="77777777" w:rsidR="009021F1" w:rsidRPr="0029055B" w:rsidRDefault="009021F1" w:rsidP="00E637E3">
            <w:pPr>
              <w:rPr>
                <w:szCs w:val="21"/>
              </w:rPr>
            </w:pPr>
          </w:p>
        </w:tc>
      </w:tr>
      <w:tr w:rsidR="009021F1" w:rsidRPr="0029055B" w14:paraId="5B132E0E" w14:textId="77777777" w:rsidTr="00E637E3">
        <w:trPr>
          <w:trHeight w:val="318"/>
        </w:trPr>
        <w:tc>
          <w:tcPr>
            <w:tcW w:w="1834" w:type="dxa"/>
            <w:tcBorders>
              <w:top w:val="nil"/>
              <w:left w:val="single" w:sz="8" w:space="0" w:color="auto"/>
              <w:bottom w:val="single" w:sz="4" w:space="0" w:color="auto"/>
              <w:right w:val="single" w:sz="4" w:space="0" w:color="auto"/>
            </w:tcBorders>
            <w:vAlign w:val="bottom"/>
          </w:tcPr>
          <w:p w14:paraId="383E562A" w14:textId="77777777" w:rsidR="009021F1" w:rsidRPr="0029055B" w:rsidRDefault="009021F1" w:rsidP="00E637E3">
            <w:pPr>
              <w:rPr>
                <w:szCs w:val="21"/>
              </w:rPr>
            </w:pPr>
            <w:r w:rsidRPr="0029055B">
              <w:rPr>
                <w:szCs w:val="21"/>
              </w:rPr>
              <w:t>Anseriformes</w:t>
            </w:r>
          </w:p>
        </w:tc>
        <w:tc>
          <w:tcPr>
            <w:tcW w:w="1767" w:type="dxa"/>
            <w:tcBorders>
              <w:top w:val="nil"/>
              <w:left w:val="single" w:sz="4" w:space="0" w:color="auto"/>
              <w:bottom w:val="single" w:sz="4" w:space="0" w:color="auto"/>
              <w:right w:val="single" w:sz="4" w:space="0" w:color="auto"/>
            </w:tcBorders>
            <w:vAlign w:val="bottom"/>
          </w:tcPr>
          <w:p w14:paraId="4A7C57A2" w14:textId="77777777" w:rsidR="009021F1" w:rsidRPr="0029055B" w:rsidRDefault="009021F1" w:rsidP="00E637E3">
            <w:pPr>
              <w:rPr>
                <w:szCs w:val="21"/>
              </w:rPr>
            </w:pPr>
            <w:r w:rsidRPr="0029055B">
              <w:rPr>
                <w:szCs w:val="21"/>
              </w:rPr>
              <w:t>Anatidae</w:t>
            </w:r>
          </w:p>
        </w:tc>
        <w:tc>
          <w:tcPr>
            <w:tcW w:w="2565" w:type="dxa"/>
            <w:tcBorders>
              <w:top w:val="nil"/>
              <w:left w:val="single" w:sz="4" w:space="0" w:color="auto"/>
              <w:bottom w:val="single" w:sz="4" w:space="0" w:color="auto"/>
              <w:right w:val="single" w:sz="4" w:space="0" w:color="auto"/>
            </w:tcBorders>
            <w:vAlign w:val="bottom"/>
          </w:tcPr>
          <w:p w14:paraId="1F3ABB8B" w14:textId="77777777" w:rsidR="009021F1" w:rsidRPr="0029055B" w:rsidRDefault="009021F1" w:rsidP="00E637E3">
            <w:pPr>
              <w:rPr>
                <w:szCs w:val="21"/>
              </w:rPr>
            </w:pPr>
            <w:r w:rsidRPr="0029055B">
              <w:rPr>
                <w:szCs w:val="21"/>
              </w:rPr>
              <w:t>Anas platyrhynchos</w:t>
            </w:r>
          </w:p>
        </w:tc>
        <w:tc>
          <w:tcPr>
            <w:tcW w:w="2693" w:type="dxa"/>
            <w:tcBorders>
              <w:top w:val="nil"/>
              <w:left w:val="nil"/>
              <w:bottom w:val="single" w:sz="4" w:space="0" w:color="auto"/>
              <w:right w:val="single" w:sz="4" w:space="0" w:color="auto"/>
            </w:tcBorders>
            <w:noWrap/>
            <w:vAlign w:val="bottom"/>
          </w:tcPr>
          <w:p w14:paraId="2B39873C" w14:textId="77777777" w:rsidR="009021F1" w:rsidRPr="0029055B" w:rsidRDefault="009021F1" w:rsidP="00E637E3">
            <w:pPr>
              <w:rPr>
                <w:szCs w:val="21"/>
              </w:rPr>
            </w:pPr>
            <w:r w:rsidRPr="0029055B">
              <w:rPr>
                <w:szCs w:val="21"/>
              </w:rPr>
              <w:t>Canard</w:t>
            </w:r>
          </w:p>
        </w:tc>
        <w:tc>
          <w:tcPr>
            <w:tcW w:w="1375" w:type="dxa"/>
            <w:tcBorders>
              <w:top w:val="nil"/>
              <w:left w:val="nil"/>
              <w:bottom w:val="single" w:sz="4" w:space="0" w:color="auto"/>
              <w:right w:val="single" w:sz="4" w:space="0" w:color="auto"/>
            </w:tcBorders>
          </w:tcPr>
          <w:p w14:paraId="5905C410"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4D3F8DA7" w14:textId="77777777" w:rsidR="009021F1" w:rsidRPr="0029055B" w:rsidRDefault="009021F1" w:rsidP="00E637E3">
            <w:pPr>
              <w:rPr>
                <w:szCs w:val="21"/>
              </w:rPr>
            </w:pPr>
            <w:r w:rsidRPr="0029055B">
              <w:rPr>
                <w:szCs w:val="21"/>
              </w:rPr>
              <w:t>-</w:t>
            </w:r>
          </w:p>
        </w:tc>
        <w:tc>
          <w:tcPr>
            <w:tcW w:w="2814" w:type="dxa"/>
            <w:tcBorders>
              <w:top w:val="nil"/>
              <w:left w:val="nil"/>
              <w:bottom w:val="single" w:sz="4" w:space="0" w:color="auto"/>
              <w:right w:val="single" w:sz="8" w:space="0" w:color="auto"/>
            </w:tcBorders>
          </w:tcPr>
          <w:p w14:paraId="1A2A1277" w14:textId="77777777" w:rsidR="009021F1" w:rsidRPr="0029055B" w:rsidRDefault="009021F1" w:rsidP="00E637E3">
            <w:pPr>
              <w:rPr>
                <w:szCs w:val="21"/>
              </w:rPr>
            </w:pPr>
            <w:r w:rsidRPr="0029055B">
              <w:rPr>
                <w:szCs w:val="21"/>
              </w:rPr>
              <w:t>Domestiqué</w:t>
            </w:r>
          </w:p>
        </w:tc>
      </w:tr>
      <w:tr w:rsidR="009021F1" w:rsidRPr="0029055B" w14:paraId="7532E476" w14:textId="77777777" w:rsidTr="00E637E3">
        <w:trPr>
          <w:trHeight w:val="318"/>
        </w:trPr>
        <w:tc>
          <w:tcPr>
            <w:tcW w:w="1834" w:type="dxa"/>
            <w:tcBorders>
              <w:top w:val="nil"/>
              <w:left w:val="single" w:sz="8" w:space="0" w:color="auto"/>
              <w:bottom w:val="single" w:sz="4" w:space="0" w:color="auto"/>
              <w:right w:val="single" w:sz="4" w:space="0" w:color="auto"/>
            </w:tcBorders>
          </w:tcPr>
          <w:p w14:paraId="09DAAC3A" w14:textId="77777777" w:rsidR="009021F1" w:rsidRPr="0029055B" w:rsidRDefault="009021F1" w:rsidP="00E637E3">
            <w:pPr>
              <w:rPr>
                <w:szCs w:val="21"/>
              </w:rPr>
            </w:pPr>
            <w:r w:rsidRPr="0029055B">
              <w:rPr>
                <w:szCs w:val="21"/>
              </w:rPr>
              <w:t>Ansériformes</w:t>
            </w:r>
          </w:p>
        </w:tc>
        <w:tc>
          <w:tcPr>
            <w:tcW w:w="1767" w:type="dxa"/>
            <w:tcBorders>
              <w:top w:val="nil"/>
              <w:left w:val="single" w:sz="4" w:space="0" w:color="auto"/>
              <w:bottom w:val="single" w:sz="4" w:space="0" w:color="auto"/>
              <w:right w:val="single" w:sz="4" w:space="0" w:color="auto"/>
            </w:tcBorders>
            <w:vAlign w:val="bottom"/>
          </w:tcPr>
          <w:p w14:paraId="250DD815" w14:textId="77777777" w:rsidR="009021F1" w:rsidRPr="0029055B" w:rsidRDefault="009021F1" w:rsidP="00E637E3">
            <w:pPr>
              <w:rPr>
                <w:szCs w:val="21"/>
              </w:rPr>
            </w:pPr>
            <w:r w:rsidRPr="0029055B">
              <w:rPr>
                <w:szCs w:val="21"/>
              </w:rPr>
              <w:t>Anatidae</w:t>
            </w:r>
          </w:p>
        </w:tc>
        <w:tc>
          <w:tcPr>
            <w:tcW w:w="2565" w:type="dxa"/>
            <w:tcBorders>
              <w:top w:val="nil"/>
              <w:left w:val="single" w:sz="4" w:space="0" w:color="auto"/>
              <w:bottom w:val="single" w:sz="4" w:space="0" w:color="auto"/>
              <w:right w:val="single" w:sz="4" w:space="0" w:color="auto"/>
            </w:tcBorders>
          </w:tcPr>
          <w:p w14:paraId="1F275B26" w14:textId="77777777" w:rsidR="009021F1" w:rsidRPr="0029055B" w:rsidRDefault="009021F1" w:rsidP="00E637E3">
            <w:pPr>
              <w:rPr>
                <w:szCs w:val="21"/>
              </w:rPr>
            </w:pPr>
            <w:r w:rsidRPr="0029055B">
              <w:rPr>
                <w:szCs w:val="21"/>
              </w:rPr>
              <w:t>Anser sp</w:t>
            </w:r>
          </w:p>
        </w:tc>
        <w:tc>
          <w:tcPr>
            <w:tcW w:w="2693" w:type="dxa"/>
            <w:tcBorders>
              <w:top w:val="nil"/>
              <w:left w:val="nil"/>
              <w:bottom w:val="single" w:sz="4" w:space="0" w:color="auto"/>
              <w:right w:val="single" w:sz="4" w:space="0" w:color="auto"/>
            </w:tcBorders>
            <w:noWrap/>
            <w:vAlign w:val="bottom"/>
          </w:tcPr>
          <w:p w14:paraId="43E07927" w14:textId="77777777" w:rsidR="009021F1" w:rsidRPr="0029055B" w:rsidRDefault="009021F1" w:rsidP="00E637E3">
            <w:pPr>
              <w:rPr>
                <w:szCs w:val="21"/>
              </w:rPr>
            </w:pPr>
            <w:r w:rsidRPr="0029055B">
              <w:rPr>
                <w:szCs w:val="21"/>
              </w:rPr>
              <w:t>Canard d'eau, Libata</w:t>
            </w:r>
          </w:p>
        </w:tc>
        <w:tc>
          <w:tcPr>
            <w:tcW w:w="1375" w:type="dxa"/>
            <w:tcBorders>
              <w:top w:val="nil"/>
              <w:left w:val="nil"/>
              <w:bottom w:val="single" w:sz="4" w:space="0" w:color="auto"/>
              <w:right w:val="single" w:sz="4" w:space="0" w:color="auto"/>
            </w:tcBorders>
          </w:tcPr>
          <w:p w14:paraId="1594976D"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0081E44D" w14:textId="77777777" w:rsidR="009021F1" w:rsidRPr="0029055B" w:rsidRDefault="009021F1" w:rsidP="00E637E3">
            <w:pPr>
              <w:rPr>
                <w:szCs w:val="21"/>
              </w:rPr>
            </w:pPr>
            <w:r w:rsidRPr="0029055B">
              <w:rPr>
                <w:szCs w:val="21"/>
              </w:rPr>
              <w:t>-</w:t>
            </w:r>
          </w:p>
        </w:tc>
        <w:tc>
          <w:tcPr>
            <w:tcW w:w="2814" w:type="dxa"/>
            <w:tcBorders>
              <w:top w:val="nil"/>
              <w:left w:val="nil"/>
              <w:bottom w:val="single" w:sz="8" w:space="0" w:color="auto"/>
              <w:right w:val="single" w:sz="8" w:space="0" w:color="auto"/>
            </w:tcBorders>
          </w:tcPr>
          <w:p w14:paraId="12201E30" w14:textId="77777777" w:rsidR="009021F1" w:rsidRPr="0029055B" w:rsidRDefault="009021F1" w:rsidP="00E637E3">
            <w:pPr>
              <w:rPr>
                <w:szCs w:val="21"/>
              </w:rPr>
            </w:pPr>
            <w:r w:rsidRPr="0029055B">
              <w:rPr>
                <w:szCs w:val="21"/>
              </w:rPr>
              <w:t xml:space="preserve">Aquat </w:t>
            </w:r>
          </w:p>
        </w:tc>
      </w:tr>
      <w:tr w:rsidR="009021F1" w:rsidRPr="0029055B" w14:paraId="4DCF3A93" w14:textId="77777777" w:rsidTr="00E637E3">
        <w:trPr>
          <w:trHeight w:val="318"/>
        </w:trPr>
        <w:tc>
          <w:tcPr>
            <w:tcW w:w="1834" w:type="dxa"/>
            <w:tcBorders>
              <w:top w:val="nil"/>
              <w:left w:val="single" w:sz="8" w:space="0" w:color="auto"/>
              <w:bottom w:val="single" w:sz="4" w:space="0" w:color="auto"/>
              <w:right w:val="single" w:sz="4" w:space="0" w:color="auto"/>
            </w:tcBorders>
          </w:tcPr>
          <w:p w14:paraId="3C738415" w14:textId="77777777" w:rsidR="009021F1" w:rsidRPr="0029055B" w:rsidRDefault="009021F1" w:rsidP="00E637E3">
            <w:pPr>
              <w:rPr>
                <w:szCs w:val="21"/>
              </w:rPr>
            </w:pPr>
          </w:p>
        </w:tc>
        <w:tc>
          <w:tcPr>
            <w:tcW w:w="1767" w:type="dxa"/>
            <w:tcBorders>
              <w:top w:val="nil"/>
              <w:left w:val="single" w:sz="4" w:space="0" w:color="auto"/>
              <w:bottom w:val="single" w:sz="4" w:space="0" w:color="auto"/>
              <w:right w:val="single" w:sz="4" w:space="0" w:color="auto"/>
            </w:tcBorders>
            <w:vAlign w:val="bottom"/>
          </w:tcPr>
          <w:p w14:paraId="369EE994" w14:textId="77777777" w:rsidR="009021F1" w:rsidRPr="0029055B" w:rsidRDefault="009021F1" w:rsidP="00E637E3">
            <w:pPr>
              <w:rPr>
                <w:szCs w:val="21"/>
              </w:rPr>
            </w:pPr>
          </w:p>
        </w:tc>
        <w:tc>
          <w:tcPr>
            <w:tcW w:w="2565" w:type="dxa"/>
            <w:tcBorders>
              <w:top w:val="nil"/>
              <w:left w:val="single" w:sz="4" w:space="0" w:color="auto"/>
              <w:bottom w:val="single" w:sz="4" w:space="0" w:color="auto"/>
              <w:right w:val="single" w:sz="4" w:space="0" w:color="auto"/>
            </w:tcBorders>
          </w:tcPr>
          <w:p w14:paraId="0973A557" w14:textId="77777777" w:rsidR="009021F1" w:rsidRPr="0029055B" w:rsidRDefault="009021F1" w:rsidP="00E637E3">
            <w:pPr>
              <w:rPr>
                <w:szCs w:val="21"/>
              </w:rPr>
            </w:pPr>
            <w:r w:rsidRPr="0029055B">
              <w:rPr>
                <w:szCs w:val="21"/>
              </w:rPr>
              <w:t>Ardea goliath</w:t>
            </w:r>
          </w:p>
        </w:tc>
        <w:tc>
          <w:tcPr>
            <w:tcW w:w="2693" w:type="dxa"/>
            <w:tcBorders>
              <w:top w:val="nil"/>
              <w:left w:val="nil"/>
              <w:bottom w:val="single" w:sz="4" w:space="0" w:color="auto"/>
              <w:right w:val="single" w:sz="4" w:space="0" w:color="auto"/>
            </w:tcBorders>
            <w:noWrap/>
            <w:vAlign w:val="bottom"/>
          </w:tcPr>
          <w:p w14:paraId="349AB487" w14:textId="77777777" w:rsidR="009021F1" w:rsidRPr="0029055B" w:rsidRDefault="009021F1" w:rsidP="00E637E3">
            <w:pPr>
              <w:rPr>
                <w:szCs w:val="21"/>
              </w:rPr>
            </w:pPr>
            <w:r w:rsidRPr="0029055B">
              <w:rPr>
                <w:szCs w:val="21"/>
              </w:rPr>
              <w:t>Heron goliath</w:t>
            </w:r>
          </w:p>
        </w:tc>
        <w:tc>
          <w:tcPr>
            <w:tcW w:w="1375" w:type="dxa"/>
            <w:tcBorders>
              <w:top w:val="nil"/>
              <w:left w:val="nil"/>
              <w:bottom w:val="single" w:sz="4" w:space="0" w:color="auto"/>
              <w:right w:val="single" w:sz="4" w:space="0" w:color="auto"/>
            </w:tcBorders>
          </w:tcPr>
          <w:p w14:paraId="2E0C622E"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2C1F4EF6" w14:textId="77777777" w:rsidR="009021F1" w:rsidRPr="0029055B" w:rsidRDefault="009021F1" w:rsidP="00E637E3">
            <w:pPr>
              <w:rPr>
                <w:szCs w:val="21"/>
              </w:rPr>
            </w:pPr>
            <w:r w:rsidRPr="0029055B">
              <w:rPr>
                <w:szCs w:val="21"/>
              </w:rPr>
              <w:t>-</w:t>
            </w:r>
          </w:p>
        </w:tc>
        <w:tc>
          <w:tcPr>
            <w:tcW w:w="2814" w:type="dxa"/>
            <w:tcBorders>
              <w:top w:val="single" w:sz="8" w:space="0" w:color="auto"/>
              <w:left w:val="nil"/>
              <w:bottom w:val="single" w:sz="4" w:space="0" w:color="auto"/>
              <w:right w:val="single" w:sz="8" w:space="0" w:color="auto"/>
            </w:tcBorders>
          </w:tcPr>
          <w:p w14:paraId="4824FB73" w14:textId="77777777" w:rsidR="009021F1" w:rsidRPr="0029055B" w:rsidRDefault="009021F1" w:rsidP="00E637E3">
            <w:pPr>
              <w:rPr>
                <w:szCs w:val="21"/>
              </w:rPr>
            </w:pPr>
            <w:r w:rsidRPr="0029055B">
              <w:rPr>
                <w:szCs w:val="21"/>
              </w:rPr>
              <w:t>Aquat</w:t>
            </w:r>
          </w:p>
        </w:tc>
      </w:tr>
      <w:tr w:rsidR="009021F1" w:rsidRPr="0029055B" w14:paraId="765DEF23" w14:textId="77777777" w:rsidTr="00E637E3">
        <w:trPr>
          <w:trHeight w:val="318"/>
        </w:trPr>
        <w:tc>
          <w:tcPr>
            <w:tcW w:w="1834" w:type="dxa"/>
            <w:tcBorders>
              <w:top w:val="nil"/>
              <w:left w:val="single" w:sz="8" w:space="0" w:color="auto"/>
              <w:bottom w:val="single" w:sz="4" w:space="0" w:color="auto"/>
              <w:right w:val="single" w:sz="4" w:space="0" w:color="auto"/>
            </w:tcBorders>
            <w:vAlign w:val="bottom"/>
          </w:tcPr>
          <w:p w14:paraId="22070467" w14:textId="77777777" w:rsidR="009021F1" w:rsidRPr="0029055B" w:rsidRDefault="009021F1" w:rsidP="00E637E3">
            <w:pPr>
              <w:rPr>
                <w:szCs w:val="21"/>
              </w:rPr>
            </w:pPr>
            <w:r w:rsidRPr="0029055B">
              <w:rPr>
                <w:szCs w:val="21"/>
              </w:rPr>
              <w:t>Passériformes</w:t>
            </w:r>
          </w:p>
        </w:tc>
        <w:tc>
          <w:tcPr>
            <w:tcW w:w="1767" w:type="dxa"/>
            <w:tcBorders>
              <w:top w:val="nil"/>
              <w:left w:val="single" w:sz="4" w:space="0" w:color="auto"/>
              <w:bottom w:val="single" w:sz="4" w:space="0" w:color="auto"/>
              <w:right w:val="single" w:sz="4" w:space="0" w:color="auto"/>
            </w:tcBorders>
            <w:vAlign w:val="bottom"/>
          </w:tcPr>
          <w:p w14:paraId="0240A595" w14:textId="77777777" w:rsidR="009021F1" w:rsidRPr="0029055B" w:rsidRDefault="009021F1" w:rsidP="00E637E3">
            <w:pPr>
              <w:rPr>
                <w:szCs w:val="21"/>
              </w:rPr>
            </w:pPr>
            <w:r w:rsidRPr="0029055B">
              <w:rPr>
                <w:szCs w:val="21"/>
              </w:rPr>
              <w:t>Hurinidae</w:t>
            </w:r>
          </w:p>
        </w:tc>
        <w:tc>
          <w:tcPr>
            <w:tcW w:w="2565" w:type="dxa"/>
            <w:tcBorders>
              <w:top w:val="nil"/>
              <w:left w:val="single" w:sz="4" w:space="0" w:color="auto"/>
              <w:bottom w:val="single" w:sz="4" w:space="0" w:color="auto"/>
              <w:right w:val="single" w:sz="4" w:space="0" w:color="auto"/>
            </w:tcBorders>
            <w:noWrap/>
            <w:vAlign w:val="bottom"/>
          </w:tcPr>
          <w:p w14:paraId="051D0785" w14:textId="77777777" w:rsidR="009021F1" w:rsidRPr="0029055B" w:rsidRDefault="009021F1" w:rsidP="00E637E3">
            <w:pPr>
              <w:rPr>
                <w:szCs w:val="21"/>
              </w:rPr>
            </w:pPr>
            <w:r w:rsidRPr="0029055B">
              <w:rPr>
                <w:szCs w:val="21"/>
              </w:rPr>
              <w:t>Atticora fasciata</w:t>
            </w:r>
          </w:p>
        </w:tc>
        <w:tc>
          <w:tcPr>
            <w:tcW w:w="2693" w:type="dxa"/>
            <w:tcBorders>
              <w:top w:val="nil"/>
              <w:left w:val="nil"/>
              <w:bottom w:val="single" w:sz="4" w:space="0" w:color="auto"/>
              <w:right w:val="single" w:sz="4" w:space="0" w:color="auto"/>
            </w:tcBorders>
            <w:noWrap/>
            <w:vAlign w:val="bottom"/>
          </w:tcPr>
          <w:p w14:paraId="45B62A3F" w14:textId="77777777" w:rsidR="009021F1" w:rsidRPr="0029055B" w:rsidRDefault="009021F1" w:rsidP="00E637E3">
            <w:pPr>
              <w:rPr>
                <w:szCs w:val="21"/>
              </w:rPr>
            </w:pPr>
            <w:r w:rsidRPr="0029055B">
              <w:rPr>
                <w:szCs w:val="21"/>
              </w:rPr>
              <w:t>Hirondelles, Intasha nyugu</w:t>
            </w:r>
          </w:p>
        </w:tc>
        <w:tc>
          <w:tcPr>
            <w:tcW w:w="1375" w:type="dxa"/>
            <w:tcBorders>
              <w:top w:val="nil"/>
              <w:left w:val="nil"/>
              <w:bottom w:val="single" w:sz="4" w:space="0" w:color="auto"/>
              <w:right w:val="single" w:sz="4" w:space="0" w:color="auto"/>
            </w:tcBorders>
          </w:tcPr>
          <w:p w14:paraId="787F94CE" w14:textId="77777777" w:rsidR="009021F1" w:rsidRPr="0029055B" w:rsidRDefault="009021F1" w:rsidP="00E637E3">
            <w:pPr>
              <w:rPr>
                <w:szCs w:val="21"/>
              </w:rPr>
            </w:pPr>
          </w:p>
        </w:tc>
        <w:tc>
          <w:tcPr>
            <w:tcW w:w="1481" w:type="dxa"/>
            <w:tcBorders>
              <w:top w:val="nil"/>
              <w:left w:val="nil"/>
              <w:bottom w:val="single" w:sz="4" w:space="0" w:color="auto"/>
              <w:right w:val="single" w:sz="4" w:space="0" w:color="auto"/>
            </w:tcBorders>
          </w:tcPr>
          <w:p w14:paraId="517CA343" w14:textId="77777777" w:rsidR="009021F1" w:rsidRPr="0029055B" w:rsidRDefault="009021F1" w:rsidP="00E637E3">
            <w:pPr>
              <w:rPr>
                <w:szCs w:val="21"/>
              </w:rPr>
            </w:pPr>
          </w:p>
        </w:tc>
        <w:tc>
          <w:tcPr>
            <w:tcW w:w="2814" w:type="dxa"/>
            <w:tcBorders>
              <w:top w:val="nil"/>
              <w:left w:val="nil"/>
              <w:bottom w:val="single" w:sz="4" w:space="0" w:color="auto"/>
              <w:right w:val="single" w:sz="8" w:space="0" w:color="auto"/>
            </w:tcBorders>
          </w:tcPr>
          <w:p w14:paraId="35902811" w14:textId="77777777" w:rsidR="009021F1" w:rsidRPr="0029055B" w:rsidRDefault="009021F1" w:rsidP="00E637E3">
            <w:pPr>
              <w:rPr>
                <w:szCs w:val="21"/>
              </w:rPr>
            </w:pPr>
          </w:p>
        </w:tc>
      </w:tr>
      <w:tr w:rsidR="009021F1" w:rsidRPr="0029055B" w14:paraId="474D845C" w14:textId="77777777" w:rsidTr="00E637E3">
        <w:trPr>
          <w:trHeight w:val="318"/>
        </w:trPr>
        <w:tc>
          <w:tcPr>
            <w:tcW w:w="1834" w:type="dxa"/>
            <w:tcBorders>
              <w:top w:val="nil"/>
              <w:left w:val="single" w:sz="8" w:space="0" w:color="auto"/>
              <w:bottom w:val="single" w:sz="4" w:space="0" w:color="auto"/>
              <w:right w:val="single" w:sz="4" w:space="0" w:color="auto"/>
            </w:tcBorders>
            <w:vAlign w:val="bottom"/>
          </w:tcPr>
          <w:p w14:paraId="0CABFF30" w14:textId="77777777" w:rsidR="009021F1" w:rsidRPr="0029055B" w:rsidRDefault="009021F1" w:rsidP="00E637E3">
            <w:pPr>
              <w:rPr>
                <w:szCs w:val="21"/>
              </w:rPr>
            </w:pPr>
          </w:p>
        </w:tc>
        <w:tc>
          <w:tcPr>
            <w:tcW w:w="1767" w:type="dxa"/>
            <w:tcBorders>
              <w:top w:val="nil"/>
              <w:left w:val="single" w:sz="4" w:space="0" w:color="auto"/>
              <w:bottom w:val="single" w:sz="4" w:space="0" w:color="auto"/>
              <w:right w:val="single" w:sz="4" w:space="0" w:color="auto"/>
            </w:tcBorders>
            <w:vAlign w:val="bottom"/>
          </w:tcPr>
          <w:p w14:paraId="3D699673" w14:textId="77777777" w:rsidR="009021F1" w:rsidRPr="0029055B" w:rsidRDefault="009021F1" w:rsidP="00E637E3">
            <w:pPr>
              <w:rPr>
                <w:szCs w:val="21"/>
              </w:rPr>
            </w:pPr>
          </w:p>
        </w:tc>
        <w:tc>
          <w:tcPr>
            <w:tcW w:w="2565" w:type="dxa"/>
            <w:tcBorders>
              <w:top w:val="nil"/>
              <w:left w:val="single" w:sz="4" w:space="0" w:color="auto"/>
              <w:bottom w:val="single" w:sz="4" w:space="0" w:color="auto"/>
              <w:right w:val="single" w:sz="4" w:space="0" w:color="auto"/>
            </w:tcBorders>
            <w:noWrap/>
            <w:vAlign w:val="bottom"/>
          </w:tcPr>
          <w:p w14:paraId="16BD9498" w14:textId="77777777" w:rsidR="009021F1" w:rsidRPr="0029055B" w:rsidRDefault="009021F1" w:rsidP="00E637E3">
            <w:pPr>
              <w:rPr>
                <w:szCs w:val="21"/>
              </w:rPr>
            </w:pPr>
            <w:r w:rsidRPr="0029055B">
              <w:rPr>
                <w:szCs w:val="21"/>
              </w:rPr>
              <w:t>Balaeniceps rex</w:t>
            </w:r>
          </w:p>
        </w:tc>
        <w:tc>
          <w:tcPr>
            <w:tcW w:w="2693" w:type="dxa"/>
            <w:tcBorders>
              <w:top w:val="nil"/>
              <w:left w:val="nil"/>
              <w:bottom w:val="single" w:sz="4" w:space="0" w:color="auto"/>
              <w:right w:val="single" w:sz="4" w:space="0" w:color="auto"/>
            </w:tcBorders>
            <w:noWrap/>
            <w:vAlign w:val="bottom"/>
          </w:tcPr>
          <w:p w14:paraId="01FA4465" w14:textId="77777777" w:rsidR="009021F1" w:rsidRPr="0029055B" w:rsidRDefault="009021F1" w:rsidP="00E637E3">
            <w:pPr>
              <w:rPr>
                <w:szCs w:val="21"/>
              </w:rPr>
            </w:pPr>
            <w:r w:rsidRPr="0029055B">
              <w:rPr>
                <w:szCs w:val="21"/>
              </w:rPr>
              <w:t>Bec-à-sabot</w:t>
            </w:r>
          </w:p>
        </w:tc>
        <w:tc>
          <w:tcPr>
            <w:tcW w:w="1375" w:type="dxa"/>
            <w:tcBorders>
              <w:top w:val="nil"/>
              <w:left w:val="nil"/>
              <w:bottom w:val="single" w:sz="4" w:space="0" w:color="auto"/>
              <w:right w:val="single" w:sz="4" w:space="0" w:color="auto"/>
            </w:tcBorders>
          </w:tcPr>
          <w:p w14:paraId="791E7A81"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214EA054" w14:textId="77777777" w:rsidR="009021F1" w:rsidRPr="0029055B" w:rsidRDefault="009021F1" w:rsidP="00E637E3">
            <w:pPr>
              <w:rPr>
                <w:szCs w:val="21"/>
              </w:rPr>
            </w:pPr>
            <w:r w:rsidRPr="0029055B">
              <w:rPr>
                <w:szCs w:val="21"/>
              </w:rPr>
              <w:t>-</w:t>
            </w:r>
          </w:p>
        </w:tc>
        <w:tc>
          <w:tcPr>
            <w:tcW w:w="2814" w:type="dxa"/>
            <w:tcBorders>
              <w:top w:val="nil"/>
              <w:left w:val="nil"/>
              <w:bottom w:val="single" w:sz="4" w:space="0" w:color="auto"/>
              <w:right w:val="single" w:sz="8" w:space="0" w:color="auto"/>
            </w:tcBorders>
          </w:tcPr>
          <w:p w14:paraId="60696B7D" w14:textId="77777777" w:rsidR="009021F1" w:rsidRPr="0029055B" w:rsidRDefault="009021F1" w:rsidP="00E637E3">
            <w:pPr>
              <w:rPr>
                <w:szCs w:val="21"/>
              </w:rPr>
            </w:pPr>
            <w:r w:rsidRPr="0029055B">
              <w:rPr>
                <w:szCs w:val="21"/>
              </w:rPr>
              <w:t>Aquat.</w:t>
            </w:r>
          </w:p>
        </w:tc>
      </w:tr>
      <w:tr w:rsidR="009021F1" w:rsidRPr="0029055B" w14:paraId="401BDF35" w14:textId="77777777" w:rsidTr="00E637E3">
        <w:trPr>
          <w:trHeight w:val="318"/>
        </w:trPr>
        <w:tc>
          <w:tcPr>
            <w:tcW w:w="1834" w:type="dxa"/>
            <w:tcBorders>
              <w:top w:val="nil"/>
              <w:left w:val="single" w:sz="8" w:space="0" w:color="auto"/>
              <w:bottom w:val="single" w:sz="4" w:space="0" w:color="auto"/>
              <w:right w:val="single" w:sz="4" w:space="0" w:color="auto"/>
            </w:tcBorders>
            <w:vAlign w:val="bottom"/>
          </w:tcPr>
          <w:p w14:paraId="03DB911F" w14:textId="77777777" w:rsidR="009021F1" w:rsidRPr="0029055B" w:rsidRDefault="009021F1" w:rsidP="00E637E3">
            <w:pPr>
              <w:rPr>
                <w:szCs w:val="21"/>
              </w:rPr>
            </w:pPr>
            <w:r w:rsidRPr="0029055B">
              <w:rPr>
                <w:szCs w:val="21"/>
              </w:rPr>
              <w:t>Strigiformes</w:t>
            </w:r>
          </w:p>
        </w:tc>
        <w:tc>
          <w:tcPr>
            <w:tcW w:w="1767" w:type="dxa"/>
            <w:tcBorders>
              <w:top w:val="nil"/>
              <w:left w:val="single" w:sz="4" w:space="0" w:color="auto"/>
              <w:bottom w:val="single" w:sz="4" w:space="0" w:color="auto"/>
              <w:right w:val="single" w:sz="4" w:space="0" w:color="auto"/>
            </w:tcBorders>
            <w:vAlign w:val="bottom"/>
          </w:tcPr>
          <w:p w14:paraId="195B019E" w14:textId="77777777" w:rsidR="009021F1" w:rsidRPr="0029055B" w:rsidRDefault="009021F1" w:rsidP="00E637E3">
            <w:pPr>
              <w:rPr>
                <w:szCs w:val="21"/>
              </w:rPr>
            </w:pPr>
            <w:r w:rsidRPr="0029055B">
              <w:rPr>
                <w:szCs w:val="21"/>
              </w:rPr>
              <w:t>Strigidae</w:t>
            </w:r>
          </w:p>
        </w:tc>
        <w:tc>
          <w:tcPr>
            <w:tcW w:w="2565" w:type="dxa"/>
            <w:tcBorders>
              <w:top w:val="nil"/>
              <w:left w:val="single" w:sz="4" w:space="0" w:color="auto"/>
              <w:bottom w:val="single" w:sz="4" w:space="0" w:color="auto"/>
              <w:right w:val="single" w:sz="4" w:space="0" w:color="auto"/>
            </w:tcBorders>
          </w:tcPr>
          <w:p w14:paraId="5359DC72" w14:textId="77777777" w:rsidR="009021F1" w:rsidRPr="0029055B" w:rsidRDefault="009021F1" w:rsidP="00E637E3">
            <w:pPr>
              <w:rPr>
                <w:szCs w:val="21"/>
              </w:rPr>
            </w:pPr>
            <w:r w:rsidRPr="0029055B">
              <w:rPr>
                <w:szCs w:val="21"/>
              </w:rPr>
              <w:t>Bubo poensis</w:t>
            </w:r>
          </w:p>
        </w:tc>
        <w:tc>
          <w:tcPr>
            <w:tcW w:w="2693" w:type="dxa"/>
            <w:tcBorders>
              <w:top w:val="nil"/>
              <w:left w:val="nil"/>
              <w:bottom w:val="single" w:sz="4" w:space="0" w:color="auto"/>
              <w:right w:val="single" w:sz="4" w:space="0" w:color="auto"/>
            </w:tcBorders>
            <w:noWrap/>
            <w:vAlign w:val="bottom"/>
          </w:tcPr>
          <w:p w14:paraId="396AD748" w14:textId="77777777" w:rsidR="009021F1" w:rsidRPr="0029055B" w:rsidRDefault="009021F1" w:rsidP="00E637E3">
            <w:pPr>
              <w:rPr>
                <w:szCs w:val="21"/>
              </w:rPr>
            </w:pPr>
            <w:r w:rsidRPr="0029055B">
              <w:rPr>
                <w:szCs w:val="21"/>
              </w:rPr>
              <w:t>Hibou</w:t>
            </w:r>
          </w:p>
        </w:tc>
        <w:tc>
          <w:tcPr>
            <w:tcW w:w="1375" w:type="dxa"/>
            <w:tcBorders>
              <w:top w:val="nil"/>
              <w:left w:val="nil"/>
              <w:bottom w:val="single" w:sz="4" w:space="0" w:color="auto"/>
              <w:right w:val="single" w:sz="4" w:space="0" w:color="auto"/>
            </w:tcBorders>
          </w:tcPr>
          <w:p w14:paraId="52D1C523" w14:textId="77777777" w:rsidR="009021F1" w:rsidRPr="0029055B" w:rsidRDefault="009021F1" w:rsidP="00E637E3">
            <w:pPr>
              <w:rPr>
                <w:szCs w:val="21"/>
              </w:rPr>
            </w:pPr>
          </w:p>
        </w:tc>
        <w:tc>
          <w:tcPr>
            <w:tcW w:w="1481" w:type="dxa"/>
            <w:tcBorders>
              <w:top w:val="nil"/>
              <w:left w:val="nil"/>
              <w:bottom w:val="single" w:sz="4" w:space="0" w:color="auto"/>
              <w:right w:val="single" w:sz="4" w:space="0" w:color="auto"/>
            </w:tcBorders>
          </w:tcPr>
          <w:p w14:paraId="5484C3B4" w14:textId="77777777" w:rsidR="009021F1" w:rsidRPr="0029055B" w:rsidRDefault="009021F1" w:rsidP="00E637E3">
            <w:pPr>
              <w:rPr>
                <w:szCs w:val="21"/>
              </w:rPr>
            </w:pPr>
          </w:p>
        </w:tc>
        <w:tc>
          <w:tcPr>
            <w:tcW w:w="2814" w:type="dxa"/>
            <w:tcBorders>
              <w:top w:val="nil"/>
              <w:left w:val="nil"/>
              <w:bottom w:val="single" w:sz="4" w:space="0" w:color="auto"/>
              <w:right w:val="single" w:sz="8" w:space="0" w:color="auto"/>
            </w:tcBorders>
          </w:tcPr>
          <w:p w14:paraId="0454B121" w14:textId="77777777" w:rsidR="009021F1" w:rsidRPr="0029055B" w:rsidRDefault="009021F1" w:rsidP="00E637E3">
            <w:pPr>
              <w:rPr>
                <w:szCs w:val="21"/>
              </w:rPr>
            </w:pPr>
          </w:p>
        </w:tc>
      </w:tr>
      <w:tr w:rsidR="009021F1" w:rsidRPr="0029055B" w14:paraId="134EF73A" w14:textId="77777777" w:rsidTr="00E637E3">
        <w:trPr>
          <w:trHeight w:val="318"/>
        </w:trPr>
        <w:tc>
          <w:tcPr>
            <w:tcW w:w="1834" w:type="dxa"/>
            <w:tcBorders>
              <w:top w:val="nil"/>
              <w:left w:val="single" w:sz="8" w:space="0" w:color="auto"/>
              <w:bottom w:val="single" w:sz="4" w:space="0" w:color="auto"/>
              <w:right w:val="single" w:sz="4" w:space="0" w:color="auto"/>
            </w:tcBorders>
            <w:vAlign w:val="bottom"/>
          </w:tcPr>
          <w:p w14:paraId="084ED225" w14:textId="77777777" w:rsidR="009021F1" w:rsidRPr="0029055B" w:rsidRDefault="009021F1" w:rsidP="00E637E3">
            <w:pPr>
              <w:rPr>
                <w:szCs w:val="21"/>
              </w:rPr>
            </w:pPr>
            <w:r w:rsidRPr="0029055B">
              <w:rPr>
                <w:szCs w:val="21"/>
              </w:rPr>
              <w:t>Strigiformes</w:t>
            </w:r>
          </w:p>
        </w:tc>
        <w:tc>
          <w:tcPr>
            <w:tcW w:w="1767" w:type="dxa"/>
            <w:tcBorders>
              <w:top w:val="nil"/>
              <w:left w:val="single" w:sz="4" w:space="0" w:color="auto"/>
              <w:bottom w:val="single" w:sz="4" w:space="0" w:color="auto"/>
              <w:right w:val="single" w:sz="4" w:space="0" w:color="auto"/>
            </w:tcBorders>
            <w:vAlign w:val="bottom"/>
          </w:tcPr>
          <w:p w14:paraId="52E07968" w14:textId="77777777" w:rsidR="009021F1" w:rsidRPr="0029055B" w:rsidRDefault="009021F1" w:rsidP="00E637E3">
            <w:pPr>
              <w:rPr>
                <w:szCs w:val="21"/>
              </w:rPr>
            </w:pPr>
            <w:r w:rsidRPr="0029055B">
              <w:rPr>
                <w:szCs w:val="21"/>
              </w:rPr>
              <w:t>Strigidae</w:t>
            </w:r>
          </w:p>
        </w:tc>
        <w:tc>
          <w:tcPr>
            <w:tcW w:w="2565" w:type="dxa"/>
            <w:tcBorders>
              <w:top w:val="nil"/>
              <w:left w:val="single" w:sz="4" w:space="0" w:color="auto"/>
              <w:bottom w:val="single" w:sz="4" w:space="0" w:color="auto"/>
              <w:right w:val="single" w:sz="4" w:space="0" w:color="auto"/>
            </w:tcBorders>
            <w:noWrap/>
            <w:vAlign w:val="bottom"/>
          </w:tcPr>
          <w:p w14:paraId="089E6BD1" w14:textId="77777777" w:rsidR="009021F1" w:rsidRPr="0029055B" w:rsidRDefault="009021F1" w:rsidP="00E637E3">
            <w:pPr>
              <w:rPr>
                <w:szCs w:val="21"/>
              </w:rPr>
            </w:pPr>
            <w:r w:rsidRPr="0029055B">
              <w:rPr>
                <w:szCs w:val="21"/>
              </w:rPr>
              <w:t xml:space="preserve">Casmerodiumaltus </w:t>
            </w:r>
          </w:p>
        </w:tc>
        <w:tc>
          <w:tcPr>
            <w:tcW w:w="2693" w:type="dxa"/>
            <w:tcBorders>
              <w:top w:val="nil"/>
              <w:left w:val="nil"/>
              <w:bottom w:val="single" w:sz="4" w:space="0" w:color="auto"/>
              <w:right w:val="single" w:sz="4" w:space="0" w:color="auto"/>
            </w:tcBorders>
            <w:noWrap/>
            <w:vAlign w:val="bottom"/>
          </w:tcPr>
          <w:p w14:paraId="409AED05" w14:textId="77777777" w:rsidR="009021F1" w:rsidRPr="0029055B" w:rsidRDefault="009021F1" w:rsidP="00E637E3">
            <w:pPr>
              <w:rPr>
                <w:szCs w:val="21"/>
              </w:rPr>
            </w:pPr>
            <w:r w:rsidRPr="0029055B">
              <w:rPr>
                <w:szCs w:val="21"/>
              </w:rPr>
              <w:t xml:space="preserve">Aiglette </w:t>
            </w:r>
          </w:p>
        </w:tc>
        <w:tc>
          <w:tcPr>
            <w:tcW w:w="1375" w:type="dxa"/>
            <w:tcBorders>
              <w:top w:val="nil"/>
              <w:left w:val="nil"/>
              <w:bottom w:val="single" w:sz="4" w:space="0" w:color="auto"/>
              <w:right w:val="single" w:sz="4" w:space="0" w:color="auto"/>
            </w:tcBorders>
          </w:tcPr>
          <w:p w14:paraId="1283A638"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5F8C7E2B" w14:textId="77777777" w:rsidR="009021F1" w:rsidRPr="0029055B" w:rsidRDefault="009021F1" w:rsidP="00E637E3">
            <w:pPr>
              <w:rPr>
                <w:szCs w:val="21"/>
              </w:rPr>
            </w:pPr>
            <w:r w:rsidRPr="0029055B">
              <w:rPr>
                <w:szCs w:val="21"/>
              </w:rPr>
              <w:t>-</w:t>
            </w:r>
          </w:p>
        </w:tc>
        <w:tc>
          <w:tcPr>
            <w:tcW w:w="2814" w:type="dxa"/>
            <w:tcBorders>
              <w:top w:val="nil"/>
              <w:left w:val="nil"/>
              <w:bottom w:val="single" w:sz="4" w:space="0" w:color="auto"/>
              <w:right w:val="single" w:sz="8" w:space="0" w:color="auto"/>
            </w:tcBorders>
          </w:tcPr>
          <w:p w14:paraId="2BD130EE" w14:textId="77777777" w:rsidR="009021F1" w:rsidRPr="0029055B" w:rsidRDefault="009021F1" w:rsidP="00E637E3">
            <w:pPr>
              <w:rPr>
                <w:szCs w:val="21"/>
              </w:rPr>
            </w:pPr>
            <w:r w:rsidRPr="0029055B">
              <w:rPr>
                <w:szCs w:val="21"/>
              </w:rPr>
              <w:t>Fm</w:t>
            </w:r>
          </w:p>
        </w:tc>
      </w:tr>
      <w:tr w:rsidR="009021F1" w:rsidRPr="0029055B" w14:paraId="28BF62F8" w14:textId="77777777" w:rsidTr="00E637E3">
        <w:trPr>
          <w:trHeight w:val="318"/>
        </w:trPr>
        <w:tc>
          <w:tcPr>
            <w:tcW w:w="1834" w:type="dxa"/>
            <w:tcBorders>
              <w:top w:val="nil"/>
              <w:left w:val="single" w:sz="8" w:space="0" w:color="auto"/>
              <w:bottom w:val="single" w:sz="4" w:space="0" w:color="auto"/>
              <w:right w:val="single" w:sz="4" w:space="0" w:color="auto"/>
            </w:tcBorders>
            <w:vAlign w:val="bottom"/>
          </w:tcPr>
          <w:p w14:paraId="576F1A9A" w14:textId="77777777" w:rsidR="009021F1" w:rsidRPr="0029055B" w:rsidRDefault="009021F1" w:rsidP="00E637E3">
            <w:pPr>
              <w:rPr>
                <w:szCs w:val="21"/>
              </w:rPr>
            </w:pPr>
            <w:r w:rsidRPr="0029055B">
              <w:rPr>
                <w:szCs w:val="21"/>
              </w:rPr>
              <w:t>Galliformes</w:t>
            </w:r>
          </w:p>
        </w:tc>
        <w:tc>
          <w:tcPr>
            <w:tcW w:w="1767" w:type="dxa"/>
            <w:tcBorders>
              <w:top w:val="nil"/>
              <w:left w:val="single" w:sz="4" w:space="0" w:color="auto"/>
              <w:bottom w:val="single" w:sz="4" w:space="0" w:color="auto"/>
              <w:right w:val="single" w:sz="4" w:space="0" w:color="auto"/>
            </w:tcBorders>
            <w:vAlign w:val="bottom"/>
          </w:tcPr>
          <w:p w14:paraId="5C5C5811" w14:textId="77777777" w:rsidR="009021F1" w:rsidRPr="0029055B" w:rsidRDefault="009021F1" w:rsidP="00E637E3">
            <w:pPr>
              <w:rPr>
                <w:szCs w:val="21"/>
              </w:rPr>
            </w:pPr>
            <w:r w:rsidRPr="0029055B">
              <w:rPr>
                <w:szCs w:val="21"/>
              </w:rPr>
              <w:t>Gallinaceae</w:t>
            </w:r>
          </w:p>
        </w:tc>
        <w:tc>
          <w:tcPr>
            <w:tcW w:w="2565" w:type="dxa"/>
            <w:tcBorders>
              <w:top w:val="nil"/>
              <w:left w:val="single" w:sz="4" w:space="0" w:color="auto"/>
              <w:bottom w:val="single" w:sz="4" w:space="0" w:color="auto"/>
              <w:right w:val="single" w:sz="4" w:space="0" w:color="auto"/>
            </w:tcBorders>
            <w:noWrap/>
            <w:vAlign w:val="bottom"/>
          </w:tcPr>
          <w:p w14:paraId="5DAB6103" w14:textId="77777777" w:rsidR="009021F1" w:rsidRPr="0029055B" w:rsidRDefault="009021F1" w:rsidP="00E637E3">
            <w:pPr>
              <w:rPr>
                <w:szCs w:val="21"/>
              </w:rPr>
            </w:pPr>
            <w:r w:rsidRPr="0029055B">
              <w:rPr>
                <w:szCs w:val="21"/>
              </w:rPr>
              <w:t>Gallus domesticus</w:t>
            </w:r>
          </w:p>
        </w:tc>
        <w:tc>
          <w:tcPr>
            <w:tcW w:w="2693" w:type="dxa"/>
            <w:tcBorders>
              <w:top w:val="nil"/>
              <w:left w:val="nil"/>
              <w:bottom w:val="single" w:sz="4" w:space="0" w:color="auto"/>
              <w:right w:val="single" w:sz="4" w:space="0" w:color="auto"/>
            </w:tcBorders>
            <w:noWrap/>
            <w:vAlign w:val="bottom"/>
          </w:tcPr>
          <w:p w14:paraId="12B58BF4" w14:textId="77777777" w:rsidR="009021F1" w:rsidRPr="0029055B" w:rsidRDefault="009021F1" w:rsidP="00E637E3">
            <w:pPr>
              <w:rPr>
                <w:szCs w:val="21"/>
              </w:rPr>
            </w:pPr>
            <w:r w:rsidRPr="0029055B">
              <w:rPr>
                <w:szCs w:val="21"/>
              </w:rPr>
              <w:t>Poule, Inkoko, Coq, Giogo</w:t>
            </w:r>
          </w:p>
        </w:tc>
        <w:tc>
          <w:tcPr>
            <w:tcW w:w="1375" w:type="dxa"/>
            <w:tcBorders>
              <w:top w:val="nil"/>
              <w:left w:val="nil"/>
              <w:bottom w:val="single" w:sz="4" w:space="0" w:color="auto"/>
              <w:right w:val="single" w:sz="4" w:space="0" w:color="auto"/>
            </w:tcBorders>
          </w:tcPr>
          <w:p w14:paraId="59C6DDA4"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3D31B9CA" w14:textId="77777777" w:rsidR="009021F1" w:rsidRPr="0029055B" w:rsidRDefault="009021F1" w:rsidP="00E637E3">
            <w:pPr>
              <w:rPr>
                <w:szCs w:val="21"/>
              </w:rPr>
            </w:pPr>
            <w:r w:rsidRPr="0029055B">
              <w:rPr>
                <w:szCs w:val="21"/>
              </w:rPr>
              <w:t>-</w:t>
            </w:r>
          </w:p>
        </w:tc>
        <w:tc>
          <w:tcPr>
            <w:tcW w:w="2814" w:type="dxa"/>
            <w:tcBorders>
              <w:top w:val="nil"/>
              <w:left w:val="nil"/>
              <w:bottom w:val="single" w:sz="4" w:space="0" w:color="auto"/>
              <w:right w:val="single" w:sz="8" w:space="0" w:color="auto"/>
            </w:tcBorders>
          </w:tcPr>
          <w:p w14:paraId="37B152B9" w14:textId="77777777" w:rsidR="009021F1" w:rsidRPr="0029055B" w:rsidRDefault="009021F1" w:rsidP="00E637E3">
            <w:pPr>
              <w:rPr>
                <w:szCs w:val="21"/>
              </w:rPr>
            </w:pPr>
            <w:r w:rsidRPr="0029055B">
              <w:rPr>
                <w:szCs w:val="21"/>
              </w:rPr>
              <w:t>Domestiqués</w:t>
            </w:r>
          </w:p>
        </w:tc>
      </w:tr>
      <w:tr w:rsidR="009021F1" w:rsidRPr="0029055B" w14:paraId="56BD5300" w14:textId="77777777" w:rsidTr="00E637E3">
        <w:trPr>
          <w:trHeight w:val="318"/>
        </w:trPr>
        <w:tc>
          <w:tcPr>
            <w:tcW w:w="1834" w:type="dxa"/>
            <w:tcBorders>
              <w:top w:val="nil"/>
              <w:left w:val="single" w:sz="8" w:space="0" w:color="auto"/>
              <w:bottom w:val="single" w:sz="4" w:space="0" w:color="auto"/>
              <w:right w:val="single" w:sz="4" w:space="0" w:color="auto"/>
            </w:tcBorders>
            <w:vAlign w:val="bottom"/>
          </w:tcPr>
          <w:p w14:paraId="51447CD0" w14:textId="77777777" w:rsidR="009021F1" w:rsidRPr="0029055B" w:rsidRDefault="009021F1" w:rsidP="00E637E3">
            <w:pPr>
              <w:rPr>
                <w:szCs w:val="21"/>
              </w:rPr>
            </w:pPr>
            <w:r w:rsidRPr="0029055B">
              <w:rPr>
                <w:szCs w:val="21"/>
              </w:rPr>
              <w:t>Strigiformes</w:t>
            </w:r>
          </w:p>
        </w:tc>
        <w:tc>
          <w:tcPr>
            <w:tcW w:w="1767" w:type="dxa"/>
            <w:tcBorders>
              <w:top w:val="nil"/>
              <w:left w:val="single" w:sz="4" w:space="0" w:color="auto"/>
              <w:bottom w:val="single" w:sz="4" w:space="0" w:color="auto"/>
              <w:right w:val="single" w:sz="4" w:space="0" w:color="auto"/>
            </w:tcBorders>
            <w:vAlign w:val="bottom"/>
          </w:tcPr>
          <w:p w14:paraId="4B7524A8" w14:textId="77777777" w:rsidR="009021F1" w:rsidRPr="0029055B" w:rsidRDefault="009021F1" w:rsidP="00E637E3">
            <w:pPr>
              <w:rPr>
                <w:szCs w:val="21"/>
              </w:rPr>
            </w:pPr>
            <w:r w:rsidRPr="0029055B">
              <w:rPr>
                <w:szCs w:val="21"/>
              </w:rPr>
              <w:t>Strigidae</w:t>
            </w:r>
          </w:p>
        </w:tc>
        <w:tc>
          <w:tcPr>
            <w:tcW w:w="2565" w:type="dxa"/>
            <w:tcBorders>
              <w:top w:val="nil"/>
              <w:left w:val="single" w:sz="4" w:space="0" w:color="auto"/>
              <w:bottom w:val="single" w:sz="4" w:space="0" w:color="auto"/>
              <w:right w:val="single" w:sz="4" w:space="0" w:color="auto"/>
            </w:tcBorders>
            <w:noWrap/>
            <w:vAlign w:val="bottom"/>
          </w:tcPr>
          <w:p w14:paraId="680C2CDA" w14:textId="77777777" w:rsidR="009021F1" w:rsidRPr="0029055B" w:rsidRDefault="009021F1" w:rsidP="00E637E3">
            <w:pPr>
              <w:rPr>
                <w:szCs w:val="21"/>
              </w:rPr>
            </w:pPr>
            <w:r w:rsidRPr="0029055B">
              <w:rPr>
                <w:szCs w:val="21"/>
              </w:rPr>
              <w:t xml:space="preserve">Haliaetus vocifer </w:t>
            </w:r>
          </w:p>
        </w:tc>
        <w:tc>
          <w:tcPr>
            <w:tcW w:w="2693" w:type="dxa"/>
            <w:tcBorders>
              <w:top w:val="nil"/>
              <w:left w:val="nil"/>
              <w:bottom w:val="single" w:sz="4" w:space="0" w:color="auto"/>
              <w:right w:val="single" w:sz="4" w:space="0" w:color="auto"/>
            </w:tcBorders>
            <w:noWrap/>
            <w:vAlign w:val="bottom"/>
          </w:tcPr>
          <w:p w14:paraId="36218FA5" w14:textId="77777777" w:rsidR="009021F1" w:rsidRPr="0029055B" w:rsidRDefault="009021F1" w:rsidP="00E637E3">
            <w:pPr>
              <w:rPr>
                <w:szCs w:val="21"/>
              </w:rPr>
            </w:pPr>
            <w:r w:rsidRPr="0029055B">
              <w:rPr>
                <w:szCs w:val="21"/>
              </w:rPr>
              <w:t>Aiglette pécheur</w:t>
            </w:r>
          </w:p>
        </w:tc>
        <w:tc>
          <w:tcPr>
            <w:tcW w:w="1375" w:type="dxa"/>
            <w:tcBorders>
              <w:top w:val="nil"/>
              <w:left w:val="nil"/>
              <w:bottom w:val="single" w:sz="4" w:space="0" w:color="auto"/>
              <w:right w:val="single" w:sz="4" w:space="0" w:color="auto"/>
            </w:tcBorders>
          </w:tcPr>
          <w:p w14:paraId="40908EB9"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04C02AA0" w14:textId="77777777" w:rsidR="009021F1" w:rsidRPr="0029055B" w:rsidRDefault="009021F1" w:rsidP="00E637E3">
            <w:pPr>
              <w:rPr>
                <w:szCs w:val="21"/>
              </w:rPr>
            </w:pPr>
            <w:r w:rsidRPr="0029055B">
              <w:rPr>
                <w:szCs w:val="21"/>
              </w:rPr>
              <w:t>-</w:t>
            </w:r>
          </w:p>
        </w:tc>
        <w:tc>
          <w:tcPr>
            <w:tcW w:w="2814" w:type="dxa"/>
            <w:tcBorders>
              <w:top w:val="nil"/>
              <w:left w:val="nil"/>
              <w:bottom w:val="single" w:sz="4" w:space="0" w:color="auto"/>
              <w:right w:val="single" w:sz="8" w:space="0" w:color="auto"/>
            </w:tcBorders>
          </w:tcPr>
          <w:p w14:paraId="5B2FE050" w14:textId="77777777" w:rsidR="009021F1" w:rsidRPr="0029055B" w:rsidRDefault="009021F1" w:rsidP="00E637E3">
            <w:pPr>
              <w:rPr>
                <w:szCs w:val="21"/>
              </w:rPr>
            </w:pPr>
            <w:r w:rsidRPr="0029055B">
              <w:rPr>
                <w:szCs w:val="21"/>
              </w:rPr>
              <w:t>Aquat</w:t>
            </w:r>
          </w:p>
        </w:tc>
      </w:tr>
      <w:tr w:rsidR="009021F1" w:rsidRPr="0029055B" w14:paraId="60C0D1E3" w14:textId="77777777" w:rsidTr="00E637E3">
        <w:trPr>
          <w:trHeight w:val="318"/>
        </w:trPr>
        <w:tc>
          <w:tcPr>
            <w:tcW w:w="1834" w:type="dxa"/>
            <w:tcBorders>
              <w:top w:val="nil"/>
              <w:left w:val="single" w:sz="8" w:space="0" w:color="auto"/>
              <w:bottom w:val="single" w:sz="4" w:space="0" w:color="auto"/>
              <w:right w:val="single" w:sz="4" w:space="0" w:color="auto"/>
            </w:tcBorders>
            <w:vAlign w:val="bottom"/>
          </w:tcPr>
          <w:p w14:paraId="3825FD18" w14:textId="77777777" w:rsidR="009021F1" w:rsidRPr="0029055B" w:rsidRDefault="009021F1" w:rsidP="00E637E3">
            <w:pPr>
              <w:rPr>
                <w:szCs w:val="21"/>
              </w:rPr>
            </w:pPr>
          </w:p>
        </w:tc>
        <w:tc>
          <w:tcPr>
            <w:tcW w:w="1767" w:type="dxa"/>
            <w:tcBorders>
              <w:top w:val="nil"/>
              <w:left w:val="single" w:sz="4" w:space="0" w:color="auto"/>
              <w:bottom w:val="single" w:sz="4" w:space="0" w:color="auto"/>
              <w:right w:val="single" w:sz="4" w:space="0" w:color="auto"/>
            </w:tcBorders>
            <w:vAlign w:val="bottom"/>
          </w:tcPr>
          <w:p w14:paraId="246B503F" w14:textId="77777777" w:rsidR="009021F1" w:rsidRPr="0029055B" w:rsidRDefault="009021F1" w:rsidP="00E637E3">
            <w:pPr>
              <w:rPr>
                <w:szCs w:val="21"/>
              </w:rPr>
            </w:pPr>
          </w:p>
        </w:tc>
        <w:tc>
          <w:tcPr>
            <w:tcW w:w="2565" w:type="dxa"/>
            <w:tcBorders>
              <w:top w:val="nil"/>
              <w:left w:val="single" w:sz="4" w:space="0" w:color="auto"/>
              <w:bottom w:val="single" w:sz="4" w:space="0" w:color="auto"/>
              <w:right w:val="single" w:sz="4" w:space="0" w:color="auto"/>
            </w:tcBorders>
            <w:noWrap/>
            <w:vAlign w:val="bottom"/>
          </w:tcPr>
          <w:p w14:paraId="43F24226" w14:textId="77777777" w:rsidR="009021F1" w:rsidRPr="0029055B" w:rsidRDefault="009021F1" w:rsidP="00E637E3">
            <w:pPr>
              <w:rPr>
                <w:szCs w:val="21"/>
              </w:rPr>
            </w:pPr>
            <w:r w:rsidRPr="0029055B">
              <w:rPr>
                <w:szCs w:val="21"/>
              </w:rPr>
              <w:t>Ixobrychus minutus</w:t>
            </w:r>
          </w:p>
        </w:tc>
        <w:tc>
          <w:tcPr>
            <w:tcW w:w="2693" w:type="dxa"/>
            <w:tcBorders>
              <w:top w:val="nil"/>
              <w:left w:val="nil"/>
              <w:bottom w:val="single" w:sz="4" w:space="0" w:color="auto"/>
              <w:right w:val="single" w:sz="4" w:space="0" w:color="auto"/>
            </w:tcBorders>
            <w:noWrap/>
            <w:vAlign w:val="bottom"/>
          </w:tcPr>
          <w:p w14:paraId="3FE08DA9" w14:textId="77777777" w:rsidR="009021F1" w:rsidRPr="0029055B" w:rsidRDefault="009021F1" w:rsidP="00E637E3">
            <w:pPr>
              <w:rPr>
                <w:szCs w:val="21"/>
              </w:rPr>
            </w:pPr>
            <w:r w:rsidRPr="0029055B">
              <w:rPr>
                <w:szCs w:val="21"/>
              </w:rPr>
              <w:t>Heron plongio nain</w:t>
            </w:r>
          </w:p>
        </w:tc>
        <w:tc>
          <w:tcPr>
            <w:tcW w:w="1375" w:type="dxa"/>
            <w:tcBorders>
              <w:top w:val="nil"/>
              <w:left w:val="nil"/>
              <w:bottom w:val="single" w:sz="4" w:space="0" w:color="auto"/>
              <w:right w:val="single" w:sz="4" w:space="0" w:color="auto"/>
            </w:tcBorders>
          </w:tcPr>
          <w:p w14:paraId="24A76EC7"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46518EBA" w14:textId="77777777" w:rsidR="009021F1" w:rsidRPr="0029055B" w:rsidRDefault="009021F1" w:rsidP="00E637E3">
            <w:pPr>
              <w:rPr>
                <w:szCs w:val="21"/>
              </w:rPr>
            </w:pPr>
            <w:r w:rsidRPr="0029055B">
              <w:rPr>
                <w:szCs w:val="21"/>
              </w:rPr>
              <w:t>-</w:t>
            </w:r>
          </w:p>
        </w:tc>
        <w:tc>
          <w:tcPr>
            <w:tcW w:w="2814" w:type="dxa"/>
            <w:tcBorders>
              <w:top w:val="nil"/>
              <w:left w:val="nil"/>
              <w:bottom w:val="single" w:sz="8" w:space="0" w:color="auto"/>
              <w:right w:val="single" w:sz="8" w:space="0" w:color="auto"/>
            </w:tcBorders>
          </w:tcPr>
          <w:p w14:paraId="41DD4585" w14:textId="77777777" w:rsidR="009021F1" w:rsidRPr="0029055B" w:rsidRDefault="009021F1" w:rsidP="00E637E3">
            <w:pPr>
              <w:rPr>
                <w:szCs w:val="21"/>
              </w:rPr>
            </w:pPr>
            <w:r w:rsidRPr="0029055B">
              <w:rPr>
                <w:szCs w:val="21"/>
              </w:rPr>
              <w:t xml:space="preserve">Aquat </w:t>
            </w:r>
          </w:p>
        </w:tc>
      </w:tr>
      <w:tr w:rsidR="009021F1" w:rsidRPr="0029055B" w14:paraId="20DAA499" w14:textId="77777777" w:rsidTr="00E637E3">
        <w:trPr>
          <w:trHeight w:val="318"/>
        </w:trPr>
        <w:tc>
          <w:tcPr>
            <w:tcW w:w="1834" w:type="dxa"/>
            <w:tcBorders>
              <w:top w:val="nil"/>
              <w:left w:val="single" w:sz="8" w:space="0" w:color="auto"/>
              <w:bottom w:val="single" w:sz="4" w:space="0" w:color="auto"/>
              <w:right w:val="single" w:sz="4" w:space="0" w:color="auto"/>
            </w:tcBorders>
            <w:vAlign w:val="bottom"/>
          </w:tcPr>
          <w:p w14:paraId="6040D1BF" w14:textId="77777777" w:rsidR="009021F1" w:rsidRPr="0029055B" w:rsidRDefault="009021F1" w:rsidP="00E637E3">
            <w:pPr>
              <w:rPr>
                <w:szCs w:val="21"/>
              </w:rPr>
            </w:pPr>
            <w:r w:rsidRPr="0029055B">
              <w:rPr>
                <w:szCs w:val="21"/>
              </w:rPr>
              <w:t>Falcomiformes</w:t>
            </w:r>
          </w:p>
        </w:tc>
        <w:tc>
          <w:tcPr>
            <w:tcW w:w="1767" w:type="dxa"/>
            <w:tcBorders>
              <w:top w:val="nil"/>
              <w:left w:val="single" w:sz="4" w:space="0" w:color="auto"/>
              <w:bottom w:val="single" w:sz="4" w:space="0" w:color="auto"/>
              <w:right w:val="single" w:sz="4" w:space="0" w:color="auto"/>
            </w:tcBorders>
            <w:vAlign w:val="bottom"/>
          </w:tcPr>
          <w:p w14:paraId="31BB75E3" w14:textId="77777777" w:rsidR="009021F1" w:rsidRPr="0029055B" w:rsidRDefault="009021F1" w:rsidP="00E637E3">
            <w:pPr>
              <w:rPr>
                <w:szCs w:val="21"/>
              </w:rPr>
            </w:pPr>
          </w:p>
        </w:tc>
        <w:tc>
          <w:tcPr>
            <w:tcW w:w="2565" w:type="dxa"/>
            <w:tcBorders>
              <w:top w:val="nil"/>
              <w:left w:val="single" w:sz="4" w:space="0" w:color="auto"/>
              <w:bottom w:val="single" w:sz="4" w:space="0" w:color="auto"/>
              <w:right w:val="single" w:sz="4" w:space="0" w:color="auto"/>
            </w:tcBorders>
            <w:noWrap/>
            <w:vAlign w:val="bottom"/>
          </w:tcPr>
          <w:p w14:paraId="7FA655B6" w14:textId="77777777" w:rsidR="009021F1" w:rsidRPr="0029055B" w:rsidRDefault="009021F1" w:rsidP="00E637E3">
            <w:pPr>
              <w:rPr>
                <w:szCs w:val="21"/>
              </w:rPr>
            </w:pPr>
            <w:r w:rsidRPr="0029055B">
              <w:rPr>
                <w:szCs w:val="21"/>
              </w:rPr>
              <w:t>Milvus migrans</w:t>
            </w:r>
          </w:p>
        </w:tc>
        <w:tc>
          <w:tcPr>
            <w:tcW w:w="2693" w:type="dxa"/>
            <w:tcBorders>
              <w:top w:val="nil"/>
              <w:left w:val="nil"/>
              <w:bottom w:val="single" w:sz="4" w:space="0" w:color="auto"/>
              <w:right w:val="single" w:sz="4" w:space="0" w:color="auto"/>
            </w:tcBorders>
            <w:noWrap/>
            <w:vAlign w:val="bottom"/>
          </w:tcPr>
          <w:p w14:paraId="2B331590" w14:textId="77777777" w:rsidR="009021F1" w:rsidRPr="0029055B" w:rsidRDefault="009021F1" w:rsidP="00E637E3">
            <w:pPr>
              <w:rPr>
                <w:szCs w:val="21"/>
              </w:rPr>
            </w:pPr>
            <w:r w:rsidRPr="0029055B">
              <w:rPr>
                <w:szCs w:val="21"/>
              </w:rPr>
              <w:t>Epervier, kabemba</w:t>
            </w:r>
          </w:p>
        </w:tc>
        <w:tc>
          <w:tcPr>
            <w:tcW w:w="1375" w:type="dxa"/>
            <w:tcBorders>
              <w:top w:val="nil"/>
              <w:left w:val="nil"/>
              <w:bottom w:val="single" w:sz="4" w:space="0" w:color="auto"/>
              <w:right w:val="single" w:sz="4" w:space="0" w:color="auto"/>
            </w:tcBorders>
          </w:tcPr>
          <w:p w14:paraId="61CF0542"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5E09ADE9" w14:textId="77777777" w:rsidR="009021F1" w:rsidRPr="0029055B" w:rsidRDefault="009021F1" w:rsidP="00E637E3">
            <w:pPr>
              <w:rPr>
                <w:szCs w:val="21"/>
              </w:rPr>
            </w:pPr>
            <w:r w:rsidRPr="0029055B">
              <w:rPr>
                <w:szCs w:val="21"/>
              </w:rPr>
              <w:t>-</w:t>
            </w:r>
          </w:p>
        </w:tc>
        <w:tc>
          <w:tcPr>
            <w:tcW w:w="2814" w:type="dxa"/>
            <w:tcBorders>
              <w:top w:val="single" w:sz="8" w:space="0" w:color="auto"/>
              <w:left w:val="nil"/>
              <w:bottom w:val="single" w:sz="4" w:space="0" w:color="auto"/>
              <w:right w:val="single" w:sz="8" w:space="0" w:color="auto"/>
            </w:tcBorders>
          </w:tcPr>
          <w:p w14:paraId="3461A3EE" w14:textId="77777777" w:rsidR="009021F1" w:rsidRPr="0029055B" w:rsidRDefault="009021F1" w:rsidP="00E637E3">
            <w:pPr>
              <w:rPr>
                <w:szCs w:val="21"/>
              </w:rPr>
            </w:pPr>
            <w:r w:rsidRPr="0029055B">
              <w:rPr>
                <w:szCs w:val="21"/>
              </w:rPr>
              <w:t>Fs</w:t>
            </w:r>
          </w:p>
        </w:tc>
      </w:tr>
      <w:tr w:rsidR="009021F1" w:rsidRPr="0029055B" w14:paraId="57DF7111" w14:textId="77777777" w:rsidTr="00E637E3">
        <w:trPr>
          <w:trHeight w:val="318"/>
        </w:trPr>
        <w:tc>
          <w:tcPr>
            <w:tcW w:w="1834" w:type="dxa"/>
            <w:tcBorders>
              <w:top w:val="nil"/>
              <w:left w:val="single" w:sz="8" w:space="0" w:color="auto"/>
              <w:bottom w:val="single" w:sz="4" w:space="0" w:color="auto"/>
              <w:right w:val="single" w:sz="4" w:space="0" w:color="auto"/>
            </w:tcBorders>
            <w:vAlign w:val="bottom"/>
          </w:tcPr>
          <w:p w14:paraId="7EE951D4" w14:textId="77777777" w:rsidR="009021F1" w:rsidRPr="0029055B" w:rsidRDefault="009021F1" w:rsidP="00E637E3">
            <w:pPr>
              <w:rPr>
                <w:szCs w:val="21"/>
              </w:rPr>
            </w:pPr>
            <w:r w:rsidRPr="0029055B">
              <w:rPr>
                <w:szCs w:val="21"/>
              </w:rPr>
              <w:t>Galliformes</w:t>
            </w:r>
          </w:p>
        </w:tc>
        <w:tc>
          <w:tcPr>
            <w:tcW w:w="1767" w:type="dxa"/>
            <w:tcBorders>
              <w:top w:val="nil"/>
              <w:left w:val="single" w:sz="4" w:space="0" w:color="auto"/>
              <w:bottom w:val="single" w:sz="4" w:space="0" w:color="auto"/>
              <w:right w:val="single" w:sz="4" w:space="0" w:color="auto"/>
            </w:tcBorders>
            <w:vAlign w:val="bottom"/>
          </w:tcPr>
          <w:p w14:paraId="57F52075" w14:textId="77777777" w:rsidR="009021F1" w:rsidRPr="0029055B" w:rsidRDefault="009021F1" w:rsidP="00E637E3">
            <w:pPr>
              <w:rPr>
                <w:szCs w:val="21"/>
              </w:rPr>
            </w:pPr>
          </w:p>
        </w:tc>
        <w:tc>
          <w:tcPr>
            <w:tcW w:w="2565" w:type="dxa"/>
            <w:tcBorders>
              <w:top w:val="nil"/>
              <w:left w:val="single" w:sz="4" w:space="0" w:color="auto"/>
              <w:bottom w:val="single" w:sz="4" w:space="0" w:color="auto"/>
              <w:right w:val="single" w:sz="4" w:space="0" w:color="auto"/>
            </w:tcBorders>
            <w:noWrap/>
            <w:vAlign w:val="bottom"/>
          </w:tcPr>
          <w:p w14:paraId="71EB1ED0" w14:textId="77777777" w:rsidR="009021F1" w:rsidRPr="0029055B" w:rsidRDefault="009021F1" w:rsidP="00E637E3">
            <w:pPr>
              <w:rPr>
                <w:szCs w:val="21"/>
              </w:rPr>
            </w:pPr>
            <w:r w:rsidRPr="0029055B">
              <w:rPr>
                <w:szCs w:val="21"/>
              </w:rPr>
              <w:t>Numidia meagris</w:t>
            </w:r>
          </w:p>
        </w:tc>
        <w:tc>
          <w:tcPr>
            <w:tcW w:w="2693" w:type="dxa"/>
            <w:tcBorders>
              <w:top w:val="nil"/>
              <w:left w:val="nil"/>
              <w:bottom w:val="single" w:sz="4" w:space="0" w:color="auto"/>
              <w:right w:val="single" w:sz="4" w:space="0" w:color="auto"/>
            </w:tcBorders>
            <w:noWrap/>
            <w:vAlign w:val="bottom"/>
          </w:tcPr>
          <w:p w14:paraId="640A0A7F" w14:textId="77777777" w:rsidR="009021F1" w:rsidRPr="0029055B" w:rsidRDefault="009021F1" w:rsidP="00E637E3">
            <w:pPr>
              <w:rPr>
                <w:szCs w:val="21"/>
              </w:rPr>
            </w:pPr>
            <w:r w:rsidRPr="0029055B">
              <w:rPr>
                <w:szCs w:val="21"/>
              </w:rPr>
              <w:t>Pintades, Inginda</w:t>
            </w:r>
          </w:p>
        </w:tc>
        <w:tc>
          <w:tcPr>
            <w:tcW w:w="1375" w:type="dxa"/>
            <w:tcBorders>
              <w:top w:val="nil"/>
              <w:left w:val="nil"/>
              <w:bottom w:val="single" w:sz="4" w:space="0" w:color="auto"/>
              <w:right w:val="single" w:sz="4" w:space="0" w:color="auto"/>
            </w:tcBorders>
          </w:tcPr>
          <w:p w14:paraId="70418A91"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1D6DD41D" w14:textId="77777777" w:rsidR="009021F1" w:rsidRPr="0029055B" w:rsidRDefault="009021F1" w:rsidP="00E637E3">
            <w:pPr>
              <w:rPr>
                <w:szCs w:val="21"/>
              </w:rPr>
            </w:pPr>
            <w:r w:rsidRPr="0029055B">
              <w:rPr>
                <w:szCs w:val="21"/>
              </w:rPr>
              <w:t>-</w:t>
            </w:r>
          </w:p>
        </w:tc>
        <w:tc>
          <w:tcPr>
            <w:tcW w:w="2814" w:type="dxa"/>
            <w:tcBorders>
              <w:top w:val="nil"/>
              <w:left w:val="nil"/>
              <w:bottom w:val="single" w:sz="8" w:space="0" w:color="auto"/>
              <w:right w:val="single" w:sz="8" w:space="0" w:color="auto"/>
            </w:tcBorders>
          </w:tcPr>
          <w:p w14:paraId="196F24B2" w14:textId="77777777" w:rsidR="009021F1" w:rsidRPr="0029055B" w:rsidRDefault="009021F1" w:rsidP="00E637E3">
            <w:pPr>
              <w:rPr>
                <w:szCs w:val="21"/>
              </w:rPr>
            </w:pPr>
            <w:r w:rsidRPr="0029055B">
              <w:rPr>
                <w:szCs w:val="21"/>
              </w:rPr>
              <w:t>Fs, Fm</w:t>
            </w:r>
          </w:p>
        </w:tc>
      </w:tr>
      <w:tr w:rsidR="009021F1" w:rsidRPr="0029055B" w14:paraId="56463528" w14:textId="77777777" w:rsidTr="00E637E3">
        <w:trPr>
          <w:trHeight w:val="318"/>
        </w:trPr>
        <w:tc>
          <w:tcPr>
            <w:tcW w:w="1834" w:type="dxa"/>
            <w:tcBorders>
              <w:top w:val="nil"/>
              <w:left w:val="single" w:sz="8" w:space="0" w:color="auto"/>
              <w:bottom w:val="single" w:sz="4" w:space="0" w:color="auto"/>
              <w:right w:val="single" w:sz="4" w:space="0" w:color="auto"/>
            </w:tcBorders>
            <w:vAlign w:val="bottom"/>
          </w:tcPr>
          <w:p w14:paraId="3201800E" w14:textId="77777777" w:rsidR="009021F1" w:rsidRPr="0029055B" w:rsidRDefault="009021F1" w:rsidP="00E637E3">
            <w:pPr>
              <w:rPr>
                <w:szCs w:val="21"/>
              </w:rPr>
            </w:pPr>
          </w:p>
        </w:tc>
        <w:tc>
          <w:tcPr>
            <w:tcW w:w="1767" w:type="dxa"/>
            <w:tcBorders>
              <w:top w:val="nil"/>
              <w:left w:val="single" w:sz="4" w:space="0" w:color="auto"/>
              <w:bottom w:val="single" w:sz="4" w:space="0" w:color="auto"/>
              <w:right w:val="single" w:sz="4" w:space="0" w:color="auto"/>
            </w:tcBorders>
            <w:vAlign w:val="bottom"/>
          </w:tcPr>
          <w:p w14:paraId="7E9A5B9E" w14:textId="77777777" w:rsidR="009021F1" w:rsidRPr="0029055B" w:rsidRDefault="009021F1" w:rsidP="00E637E3">
            <w:pPr>
              <w:rPr>
                <w:szCs w:val="21"/>
              </w:rPr>
            </w:pPr>
          </w:p>
        </w:tc>
        <w:tc>
          <w:tcPr>
            <w:tcW w:w="2565" w:type="dxa"/>
            <w:tcBorders>
              <w:top w:val="nil"/>
              <w:left w:val="single" w:sz="4" w:space="0" w:color="auto"/>
              <w:bottom w:val="single" w:sz="4" w:space="0" w:color="auto"/>
              <w:right w:val="single" w:sz="4" w:space="0" w:color="auto"/>
            </w:tcBorders>
            <w:noWrap/>
            <w:vAlign w:val="bottom"/>
          </w:tcPr>
          <w:p w14:paraId="02B9C7FE" w14:textId="77777777" w:rsidR="009021F1" w:rsidRPr="0029055B" w:rsidRDefault="009021F1" w:rsidP="00E637E3">
            <w:pPr>
              <w:rPr>
                <w:szCs w:val="21"/>
              </w:rPr>
            </w:pPr>
            <w:r w:rsidRPr="0029055B">
              <w:rPr>
                <w:szCs w:val="21"/>
              </w:rPr>
              <w:t>Rhynceps flavirostris</w:t>
            </w:r>
          </w:p>
        </w:tc>
        <w:tc>
          <w:tcPr>
            <w:tcW w:w="2693" w:type="dxa"/>
            <w:tcBorders>
              <w:top w:val="nil"/>
              <w:left w:val="nil"/>
              <w:bottom w:val="single" w:sz="4" w:space="0" w:color="auto"/>
              <w:right w:val="single" w:sz="4" w:space="0" w:color="auto"/>
            </w:tcBorders>
            <w:noWrap/>
            <w:vAlign w:val="bottom"/>
          </w:tcPr>
          <w:p w14:paraId="2C3A1E09" w14:textId="77777777" w:rsidR="009021F1" w:rsidRPr="0029055B" w:rsidRDefault="009021F1" w:rsidP="00E637E3">
            <w:pPr>
              <w:rPr>
                <w:szCs w:val="21"/>
              </w:rPr>
            </w:pPr>
            <w:r w:rsidRPr="0029055B">
              <w:rPr>
                <w:szCs w:val="21"/>
              </w:rPr>
              <w:t>Bec-à-ciseaux</w:t>
            </w:r>
          </w:p>
        </w:tc>
        <w:tc>
          <w:tcPr>
            <w:tcW w:w="1375" w:type="dxa"/>
            <w:tcBorders>
              <w:top w:val="nil"/>
              <w:left w:val="nil"/>
              <w:bottom w:val="single" w:sz="4" w:space="0" w:color="auto"/>
              <w:right w:val="single" w:sz="4" w:space="0" w:color="auto"/>
            </w:tcBorders>
          </w:tcPr>
          <w:p w14:paraId="4C9F130B"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0DAA5A53" w14:textId="77777777" w:rsidR="009021F1" w:rsidRPr="0029055B" w:rsidRDefault="009021F1" w:rsidP="00E637E3">
            <w:pPr>
              <w:rPr>
                <w:szCs w:val="21"/>
              </w:rPr>
            </w:pPr>
            <w:r w:rsidRPr="0029055B">
              <w:rPr>
                <w:szCs w:val="21"/>
              </w:rPr>
              <w:t>-</w:t>
            </w:r>
          </w:p>
        </w:tc>
        <w:tc>
          <w:tcPr>
            <w:tcW w:w="2814" w:type="dxa"/>
            <w:tcBorders>
              <w:top w:val="single" w:sz="8" w:space="0" w:color="auto"/>
              <w:left w:val="nil"/>
              <w:bottom w:val="single" w:sz="8" w:space="0" w:color="auto"/>
              <w:right w:val="single" w:sz="8" w:space="0" w:color="auto"/>
            </w:tcBorders>
          </w:tcPr>
          <w:p w14:paraId="5B57E703" w14:textId="77777777" w:rsidR="009021F1" w:rsidRPr="0029055B" w:rsidRDefault="009021F1" w:rsidP="00E637E3">
            <w:pPr>
              <w:rPr>
                <w:szCs w:val="21"/>
              </w:rPr>
            </w:pPr>
            <w:r w:rsidRPr="0029055B">
              <w:rPr>
                <w:szCs w:val="21"/>
              </w:rPr>
              <w:t>Aquat, Fh</w:t>
            </w:r>
          </w:p>
        </w:tc>
      </w:tr>
      <w:tr w:rsidR="009021F1" w:rsidRPr="0029055B" w14:paraId="2DB58A96" w14:textId="77777777" w:rsidTr="00E637E3">
        <w:trPr>
          <w:trHeight w:val="318"/>
        </w:trPr>
        <w:tc>
          <w:tcPr>
            <w:tcW w:w="1834" w:type="dxa"/>
            <w:tcBorders>
              <w:top w:val="nil"/>
              <w:left w:val="single" w:sz="8" w:space="0" w:color="auto"/>
              <w:bottom w:val="single" w:sz="4" w:space="0" w:color="auto"/>
              <w:right w:val="single" w:sz="4" w:space="0" w:color="auto"/>
            </w:tcBorders>
            <w:vAlign w:val="bottom"/>
          </w:tcPr>
          <w:p w14:paraId="5E721BEB" w14:textId="77777777" w:rsidR="009021F1" w:rsidRPr="0029055B" w:rsidRDefault="009021F1" w:rsidP="00E637E3">
            <w:pPr>
              <w:rPr>
                <w:szCs w:val="21"/>
              </w:rPr>
            </w:pPr>
            <w:r w:rsidRPr="0029055B">
              <w:rPr>
                <w:szCs w:val="21"/>
              </w:rPr>
              <w:t>Galliformes</w:t>
            </w:r>
          </w:p>
        </w:tc>
        <w:tc>
          <w:tcPr>
            <w:tcW w:w="1767" w:type="dxa"/>
            <w:tcBorders>
              <w:top w:val="nil"/>
              <w:left w:val="single" w:sz="4" w:space="0" w:color="auto"/>
              <w:bottom w:val="single" w:sz="4" w:space="0" w:color="auto"/>
              <w:right w:val="single" w:sz="4" w:space="0" w:color="auto"/>
            </w:tcBorders>
            <w:vAlign w:val="bottom"/>
          </w:tcPr>
          <w:p w14:paraId="5AA5DEC9" w14:textId="77777777" w:rsidR="009021F1" w:rsidRPr="0029055B" w:rsidRDefault="009021F1" w:rsidP="00E637E3">
            <w:pPr>
              <w:rPr>
                <w:szCs w:val="21"/>
              </w:rPr>
            </w:pPr>
            <w:r w:rsidRPr="0029055B">
              <w:rPr>
                <w:szCs w:val="21"/>
              </w:rPr>
              <w:t>Gallinaceae</w:t>
            </w:r>
          </w:p>
        </w:tc>
        <w:tc>
          <w:tcPr>
            <w:tcW w:w="2565" w:type="dxa"/>
            <w:tcBorders>
              <w:top w:val="nil"/>
              <w:left w:val="single" w:sz="4" w:space="0" w:color="auto"/>
              <w:bottom w:val="single" w:sz="4" w:space="0" w:color="auto"/>
              <w:right w:val="single" w:sz="4" w:space="0" w:color="auto"/>
            </w:tcBorders>
            <w:noWrap/>
            <w:vAlign w:val="bottom"/>
          </w:tcPr>
          <w:p w14:paraId="2860ABBF" w14:textId="77777777" w:rsidR="009021F1" w:rsidRPr="0029055B" w:rsidRDefault="009021F1" w:rsidP="00E637E3">
            <w:pPr>
              <w:rPr>
                <w:szCs w:val="21"/>
              </w:rPr>
            </w:pPr>
          </w:p>
        </w:tc>
        <w:tc>
          <w:tcPr>
            <w:tcW w:w="2693" w:type="dxa"/>
            <w:tcBorders>
              <w:top w:val="nil"/>
              <w:left w:val="nil"/>
              <w:bottom w:val="single" w:sz="4" w:space="0" w:color="auto"/>
              <w:right w:val="single" w:sz="4" w:space="0" w:color="auto"/>
            </w:tcBorders>
            <w:noWrap/>
            <w:vAlign w:val="bottom"/>
          </w:tcPr>
          <w:p w14:paraId="1FA9995A" w14:textId="77777777" w:rsidR="009021F1" w:rsidRPr="0029055B" w:rsidRDefault="009021F1" w:rsidP="00E637E3">
            <w:pPr>
              <w:rPr>
                <w:szCs w:val="21"/>
              </w:rPr>
            </w:pPr>
            <w:r w:rsidRPr="0029055B">
              <w:rPr>
                <w:szCs w:val="21"/>
              </w:rPr>
              <w:t>Perdrix, Inkwari</w:t>
            </w:r>
          </w:p>
        </w:tc>
        <w:tc>
          <w:tcPr>
            <w:tcW w:w="1375" w:type="dxa"/>
            <w:tcBorders>
              <w:top w:val="nil"/>
              <w:left w:val="nil"/>
              <w:bottom w:val="single" w:sz="4" w:space="0" w:color="auto"/>
              <w:right w:val="single" w:sz="4" w:space="0" w:color="auto"/>
            </w:tcBorders>
          </w:tcPr>
          <w:p w14:paraId="486CD8CD"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12C618C7" w14:textId="77777777" w:rsidR="009021F1" w:rsidRPr="0029055B" w:rsidRDefault="009021F1" w:rsidP="00E637E3">
            <w:pPr>
              <w:rPr>
                <w:szCs w:val="21"/>
              </w:rPr>
            </w:pPr>
            <w:r w:rsidRPr="0029055B">
              <w:rPr>
                <w:szCs w:val="21"/>
              </w:rPr>
              <w:t>- Nombreux</w:t>
            </w:r>
          </w:p>
        </w:tc>
        <w:tc>
          <w:tcPr>
            <w:tcW w:w="2814" w:type="dxa"/>
            <w:tcBorders>
              <w:top w:val="single" w:sz="8" w:space="0" w:color="auto"/>
              <w:left w:val="nil"/>
              <w:bottom w:val="single" w:sz="8" w:space="0" w:color="auto"/>
              <w:right w:val="single" w:sz="8" w:space="0" w:color="auto"/>
            </w:tcBorders>
          </w:tcPr>
          <w:p w14:paraId="54B137C6" w14:textId="77777777" w:rsidR="009021F1" w:rsidRPr="0029055B" w:rsidRDefault="009021F1" w:rsidP="00E637E3">
            <w:pPr>
              <w:rPr>
                <w:szCs w:val="21"/>
              </w:rPr>
            </w:pPr>
            <w:r w:rsidRPr="0029055B">
              <w:rPr>
                <w:szCs w:val="21"/>
              </w:rPr>
              <w:t>Fhb</w:t>
            </w:r>
          </w:p>
        </w:tc>
      </w:tr>
      <w:tr w:rsidR="009021F1" w:rsidRPr="0029055B" w14:paraId="68DD8FE8" w14:textId="77777777" w:rsidTr="00E637E3">
        <w:trPr>
          <w:trHeight w:val="318"/>
        </w:trPr>
        <w:tc>
          <w:tcPr>
            <w:tcW w:w="1834" w:type="dxa"/>
            <w:tcBorders>
              <w:top w:val="nil"/>
              <w:left w:val="single" w:sz="8" w:space="0" w:color="auto"/>
              <w:bottom w:val="single" w:sz="4" w:space="0" w:color="auto"/>
              <w:right w:val="single" w:sz="4" w:space="0" w:color="auto"/>
            </w:tcBorders>
          </w:tcPr>
          <w:p w14:paraId="2892664C" w14:textId="77777777" w:rsidR="009021F1" w:rsidRPr="0029055B" w:rsidRDefault="009021F1" w:rsidP="00E637E3">
            <w:pPr>
              <w:rPr>
                <w:szCs w:val="21"/>
              </w:rPr>
            </w:pPr>
            <w:r w:rsidRPr="0029055B">
              <w:rPr>
                <w:szCs w:val="21"/>
              </w:rPr>
              <w:t>Passeriformes</w:t>
            </w:r>
          </w:p>
        </w:tc>
        <w:tc>
          <w:tcPr>
            <w:tcW w:w="1767" w:type="dxa"/>
            <w:tcBorders>
              <w:top w:val="nil"/>
              <w:left w:val="single" w:sz="4" w:space="0" w:color="auto"/>
              <w:bottom w:val="single" w:sz="4" w:space="0" w:color="auto"/>
              <w:right w:val="single" w:sz="4" w:space="0" w:color="auto"/>
            </w:tcBorders>
            <w:vAlign w:val="bottom"/>
          </w:tcPr>
          <w:p w14:paraId="136B483B" w14:textId="77777777" w:rsidR="009021F1" w:rsidRPr="0029055B" w:rsidRDefault="009021F1" w:rsidP="00E637E3">
            <w:pPr>
              <w:rPr>
                <w:szCs w:val="21"/>
              </w:rPr>
            </w:pPr>
            <w:r w:rsidRPr="0029055B">
              <w:rPr>
                <w:szCs w:val="21"/>
              </w:rPr>
              <w:t>Hurinidae</w:t>
            </w:r>
          </w:p>
        </w:tc>
        <w:tc>
          <w:tcPr>
            <w:tcW w:w="2565" w:type="dxa"/>
            <w:tcBorders>
              <w:top w:val="nil"/>
              <w:left w:val="single" w:sz="4" w:space="0" w:color="auto"/>
              <w:bottom w:val="single" w:sz="4" w:space="0" w:color="auto"/>
              <w:right w:val="single" w:sz="4" w:space="0" w:color="auto"/>
            </w:tcBorders>
          </w:tcPr>
          <w:p w14:paraId="15BEB203" w14:textId="77777777" w:rsidR="009021F1" w:rsidRPr="0029055B" w:rsidRDefault="009021F1" w:rsidP="00E637E3">
            <w:pPr>
              <w:rPr>
                <w:szCs w:val="21"/>
              </w:rPr>
            </w:pPr>
            <w:r w:rsidRPr="0029055B">
              <w:rPr>
                <w:szCs w:val="21"/>
              </w:rPr>
              <w:t>Passer grisens</w:t>
            </w:r>
          </w:p>
        </w:tc>
        <w:tc>
          <w:tcPr>
            <w:tcW w:w="2693" w:type="dxa"/>
            <w:tcBorders>
              <w:top w:val="nil"/>
              <w:left w:val="nil"/>
              <w:bottom w:val="single" w:sz="4" w:space="0" w:color="auto"/>
              <w:right w:val="single" w:sz="4" w:space="0" w:color="auto"/>
            </w:tcBorders>
            <w:noWrap/>
            <w:vAlign w:val="bottom"/>
          </w:tcPr>
          <w:p w14:paraId="4FBFE7DE" w14:textId="77777777" w:rsidR="009021F1" w:rsidRPr="0029055B" w:rsidRDefault="009021F1" w:rsidP="00E637E3">
            <w:pPr>
              <w:rPr>
                <w:szCs w:val="21"/>
              </w:rPr>
            </w:pPr>
            <w:r w:rsidRPr="0029055B">
              <w:rPr>
                <w:szCs w:val="21"/>
              </w:rPr>
              <w:t>Moineau, Igishkibi</w:t>
            </w:r>
          </w:p>
        </w:tc>
        <w:tc>
          <w:tcPr>
            <w:tcW w:w="1375" w:type="dxa"/>
            <w:tcBorders>
              <w:top w:val="nil"/>
              <w:left w:val="nil"/>
              <w:bottom w:val="single" w:sz="4" w:space="0" w:color="auto"/>
              <w:right w:val="single" w:sz="4" w:space="0" w:color="auto"/>
            </w:tcBorders>
          </w:tcPr>
          <w:p w14:paraId="102F1421"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7923FFB7" w14:textId="77777777" w:rsidR="009021F1" w:rsidRPr="0029055B" w:rsidRDefault="009021F1" w:rsidP="00E637E3">
            <w:pPr>
              <w:rPr>
                <w:szCs w:val="21"/>
              </w:rPr>
            </w:pPr>
            <w:r w:rsidRPr="0029055B">
              <w:rPr>
                <w:szCs w:val="21"/>
              </w:rPr>
              <w:t>-</w:t>
            </w:r>
          </w:p>
        </w:tc>
        <w:tc>
          <w:tcPr>
            <w:tcW w:w="2814" w:type="dxa"/>
            <w:tcBorders>
              <w:top w:val="single" w:sz="8" w:space="0" w:color="auto"/>
              <w:left w:val="nil"/>
              <w:bottom w:val="single" w:sz="4" w:space="0" w:color="auto"/>
              <w:right w:val="single" w:sz="8" w:space="0" w:color="auto"/>
            </w:tcBorders>
          </w:tcPr>
          <w:p w14:paraId="7516057D" w14:textId="77777777" w:rsidR="009021F1" w:rsidRPr="0029055B" w:rsidRDefault="009021F1" w:rsidP="00E637E3">
            <w:pPr>
              <w:rPr>
                <w:szCs w:val="21"/>
              </w:rPr>
            </w:pPr>
            <w:r w:rsidRPr="0029055B">
              <w:rPr>
                <w:szCs w:val="21"/>
              </w:rPr>
              <w:t>Fh, Forêts</w:t>
            </w:r>
          </w:p>
        </w:tc>
      </w:tr>
      <w:tr w:rsidR="009021F1" w:rsidRPr="0029055B" w14:paraId="30A0D731" w14:textId="77777777" w:rsidTr="00E637E3">
        <w:trPr>
          <w:trHeight w:val="318"/>
        </w:trPr>
        <w:tc>
          <w:tcPr>
            <w:tcW w:w="1834" w:type="dxa"/>
            <w:tcBorders>
              <w:top w:val="nil"/>
              <w:left w:val="single" w:sz="8" w:space="0" w:color="auto"/>
              <w:bottom w:val="single" w:sz="4" w:space="0" w:color="auto"/>
              <w:right w:val="single" w:sz="4" w:space="0" w:color="auto"/>
            </w:tcBorders>
          </w:tcPr>
          <w:p w14:paraId="16E6AF18" w14:textId="77777777" w:rsidR="009021F1" w:rsidRPr="0029055B" w:rsidRDefault="009021F1" w:rsidP="00E637E3">
            <w:pPr>
              <w:rPr>
                <w:szCs w:val="21"/>
              </w:rPr>
            </w:pPr>
            <w:r w:rsidRPr="0029055B">
              <w:rPr>
                <w:szCs w:val="21"/>
              </w:rPr>
              <w:t>Passeriformes</w:t>
            </w:r>
          </w:p>
        </w:tc>
        <w:tc>
          <w:tcPr>
            <w:tcW w:w="1767" w:type="dxa"/>
            <w:tcBorders>
              <w:top w:val="nil"/>
              <w:left w:val="single" w:sz="4" w:space="0" w:color="auto"/>
              <w:bottom w:val="single" w:sz="4" w:space="0" w:color="auto"/>
              <w:right w:val="single" w:sz="4" w:space="0" w:color="auto"/>
            </w:tcBorders>
            <w:vAlign w:val="bottom"/>
          </w:tcPr>
          <w:p w14:paraId="2AD7F034" w14:textId="77777777" w:rsidR="009021F1" w:rsidRPr="0029055B" w:rsidRDefault="009021F1" w:rsidP="00E637E3">
            <w:pPr>
              <w:rPr>
                <w:szCs w:val="21"/>
              </w:rPr>
            </w:pPr>
            <w:r w:rsidRPr="0029055B">
              <w:rPr>
                <w:szCs w:val="21"/>
              </w:rPr>
              <w:t>Hurinidae</w:t>
            </w:r>
          </w:p>
        </w:tc>
        <w:tc>
          <w:tcPr>
            <w:tcW w:w="2565" w:type="dxa"/>
            <w:tcBorders>
              <w:top w:val="nil"/>
              <w:left w:val="single" w:sz="4" w:space="0" w:color="auto"/>
              <w:bottom w:val="single" w:sz="4" w:space="0" w:color="auto"/>
              <w:right w:val="single" w:sz="4" w:space="0" w:color="auto"/>
            </w:tcBorders>
          </w:tcPr>
          <w:p w14:paraId="3926D57B" w14:textId="77777777" w:rsidR="009021F1" w:rsidRPr="0029055B" w:rsidRDefault="009021F1" w:rsidP="00E637E3">
            <w:pPr>
              <w:rPr>
                <w:szCs w:val="21"/>
              </w:rPr>
            </w:pPr>
            <w:r w:rsidRPr="0029055B">
              <w:rPr>
                <w:szCs w:val="21"/>
              </w:rPr>
              <w:t>Passer luteus</w:t>
            </w:r>
          </w:p>
        </w:tc>
        <w:tc>
          <w:tcPr>
            <w:tcW w:w="2693" w:type="dxa"/>
            <w:tcBorders>
              <w:top w:val="nil"/>
              <w:left w:val="nil"/>
              <w:bottom w:val="single" w:sz="4" w:space="0" w:color="auto"/>
              <w:right w:val="single" w:sz="4" w:space="0" w:color="auto"/>
            </w:tcBorders>
            <w:noWrap/>
            <w:vAlign w:val="bottom"/>
          </w:tcPr>
          <w:p w14:paraId="21D89A50" w14:textId="77777777" w:rsidR="009021F1" w:rsidRPr="0029055B" w:rsidRDefault="009021F1" w:rsidP="00E637E3">
            <w:pPr>
              <w:rPr>
                <w:szCs w:val="21"/>
              </w:rPr>
            </w:pPr>
            <w:r w:rsidRPr="0029055B">
              <w:rPr>
                <w:szCs w:val="21"/>
              </w:rPr>
              <w:t>Tisserand</w:t>
            </w:r>
          </w:p>
        </w:tc>
        <w:tc>
          <w:tcPr>
            <w:tcW w:w="1375" w:type="dxa"/>
            <w:tcBorders>
              <w:top w:val="nil"/>
              <w:left w:val="nil"/>
              <w:bottom w:val="single" w:sz="4" w:space="0" w:color="auto"/>
              <w:right w:val="single" w:sz="4" w:space="0" w:color="auto"/>
            </w:tcBorders>
          </w:tcPr>
          <w:p w14:paraId="0DA4C59C"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053D9D49" w14:textId="77777777" w:rsidR="009021F1" w:rsidRPr="0029055B" w:rsidRDefault="009021F1" w:rsidP="00E637E3">
            <w:pPr>
              <w:rPr>
                <w:szCs w:val="21"/>
              </w:rPr>
            </w:pPr>
            <w:r w:rsidRPr="0029055B">
              <w:rPr>
                <w:szCs w:val="21"/>
              </w:rPr>
              <w:t>-</w:t>
            </w:r>
          </w:p>
        </w:tc>
        <w:tc>
          <w:tcPr>
            <w:tcW w:w="2814" w:type="dxa"/>
            <w:tcBorders>
              <w:top w:val="nil"/>
              <w:left w:val="nil"/>
              <w:bottom w:val="single" w:sz="4" w:space="0" w:color="auto"/>
              <w:right w:val="single" w:sz="8" w:space="0" w:color="auto"/>
            </w:tcBorders>
          </w:tcPr>
          <w:p w14:paraId="27C7A20F" w14:textId="77777777" w:rsidR="009021F1" w:rsidRPr="0029055B" w:rsidRDefault="009021F1" w:rsidP="00E637E3">
            <w:pPr>
              <w:rPr>
                <w:szCs w:val="21"/>
              </w:rPr>
            </w:pPr>
            <w:r w:rsidRPr="0029055B">
              <w:rPr>
                <w:szCs w:val="21"/>
              </w:rPr>
              <w:t>Forêts</w:t>
            </w:r>
          </w:p>
        </w:tc>
      </w:tr>
      <w:tr w:rsidR="009021F1" w:rsidRPr="0029055B" w14:paraId="2B2F97C7" w14:textId="77777777" w:rsidTr="00E637E3">
        <w:trPr>
          <w:trHeight w:val="318"/>
        </w:trPr>
        <w:tc>
          <w:tcPr>
            <w:tcW w:w="1834" w:type="dxa"/>
            <w:tcBorders>
              <w:top w:val="nil"/>
              <w:left w:val="single" w:sz="8" w:space="0" w:color="auto"/>
              <w:bottom w:val="single" w:sz="4" w:space="0" w:color="auto"/>
              <w:right w:val="single" w:sz="4" w:space="0" w:color="auto"/>
            </w:tcBorders>
            <w:vAlign w:val="bottom"/>
          </w:tcPr>
          <w:p w14:paraId="256C400E" w14:textId="77777777" w:rsidR="009021F1" w:rsidRPr="0029055B" w:rsidRDefault="009021F1" w:rsidP="00E637E3">
            <w:pPr>
              <w:rPr>
                <w:szCs w:val="21"/>
              </w:rPr>
            </w:pPr>
            <w:r w:rsidRPr="0029055B">
              <w:rPr>
                <w:szCs w:val="21"/>
              </w:rPr>
              <w:t>Colombiformes</w:t>
            </w:r>
          </w:p>
        </w:tc>
        <w:tc>
          <w:tcPr>
            <w:tcW w:w="1767" w:type="dxa"/>
            <w:tcBorders>
              <w:top w:val="nil"/>
              <w:left w:val="single" w:sz="4" w:space="0" w:color="auto"/>
              <w:bottom w:val="single" w:sz="4" w:space="0" w:color="auto"/>
              <w:right w:val="single" w:sz="4" w:space="0" w:color="auto"/>
            </w:tcBorders>
            <w:vAlign w:val="bottom"/>
          </w:tcPr>
          <w:p w14:paraId="44E216FA" w14:textId="77777777" w:rsidR="009021F1" w:rsidRPr="0029055B" w:rsidRDefault="009021F1" w:rsidP="00E637E3">
            <w:pPr>
              <w:rPr>
                <w:szCs w:val="21"/>
              </w:rPr>
            </w:pPr>
          </w:p>
        </w:tc>
        <w:tc>
          <w:tcPr>
            <w:tcW w:w="2565" w:type="dxa"/>
            <w:tcBorders>
              <w:top w:val="nil"/>
              <w:left w:val="single" w:sz="4" w:space="0" w:color="auto"/>
              <w:bottom w:val="single" w:sz="4" w:space="0" w:color="auto"/>
              <w:right w:val="single" w:sz="4" w:space="0" w:color="auto"/>
            </w:tcBorders>
            <w:noWrap/>
            <w:vAlign w:val="bottom"/>
          </w:tcPr>
          <w:p w14:paraId="30985002" w14:textId="77777777" w:rsidR="009021F1" w:rsidRPr="0029055B" w:rsidRDefault="009021F1" w:rsidP="00E637E3">
            <w:pPr>
              <w:rPr>
                <w:szCs w:val="21"/>
              </w:rPr>
            </w:pPr>
            <w:r w:rsidRPr="0029055B">
              <w:rPr>
                <w:szCs w:val="21"/>
              </w:rPr>
              <w:t>Turtur afer</w:t>
            </w:r>
          </w:p>
        </w:tc>
        <w:tc>
          <w:tcPr>
            <w:tcW w:w="2693" w:type="dxa"/>
            <w:tcBorders>
              <w:top w:val="nil"/>
              <w:left w:val="nil"/>
              <w:bottom w:val="single" w:sz="4" w:space="0" w:color="auto"/>
              <w:right w:val="single" w:sz="4" w:space="0" w:color="auto"/>
            </w:tcBorders>
            <w:noWrap/>
            <w:vAlign w:val="bottom"/>
          </w:tcPr>
          <w:p w14:paraId="5E4238BD" w14:textId="77777777" w:rsidR="009021F1" w:rsidRPr="0029055B" w:rsidRDefault="009021F1" w:rsidP="00E637E3">
            <w:pPr>
              <w:rPr>
                <w:szCs w:val="21"/>
              </w:rPr>
            </w:pPr>
            <w:r w:rsidRPr="0029055B">
              <w:rPr>
                <w:szCs w:val="21"/>
              </w:rPr>
              <w:t>Pigeon ordinaire</w:t>
            </w:r>
          </w:p>
        </w:tc>
        <w:tc>
          <w:tcPr>
            <w:tcW w:w="1375" w:type="dxa"/>
            <w:tcBorders>
              <w:top w:val="nil"/>
              <w:left w:val="nil"/>
              <w:bottom w:val="single" w:sz="4" w:space="0" w:color="auto"/>
              <w:right w:val="single" w:sz="4" w:space="0" w:color="auto"/>
            </w:tcBorders>
          </w:tcPr>
          <w:p w14:paraId="2D878699"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4343708D" w14:textId="77777777" w:rsidR="009021F1" w:rsidRPr="0029055B" w:rsidRDefault="009021F1" w:rsidP="00E637E3">
            <w:pPr>
              <w:rPr>
                <w:szCs w:val="21"/>
              </w:rPr>
            </w:pPr>
            <w:r w:rsidRPr="0029055B">
              <w:rPr>
                <w:szCs w:val="21"/>
              </w:rPr>
              <w:t>-</w:t>
            </w:r>
          </w:p>
        </w:tc>
        <w:tc>
          <w:tcPr>
            <w:tcW w:w="2814" w:type="dxa"/>
            <w:tcBorders>
              <w:top w:val="nil"/>
              <w:left w:val="nil"/>
              <w:bottom w:val="single" w:sz="4" w:space="0" w:color="auto"/>
              <w:right w:val="single" w:sz="8" w:space="0" w:color="auto"/>
            </w:tcBorders>
          </w:tcPr>
          <w:p w14:paraId="0D41AA51" w14:textId="77777777" w:rsidR="009021F1" w:rsidRPr="0029055B" w:rsidRDefault="009021F1" w:rsidP="00E637E3">
            <w:pPr>
              <w:rPr>
                <w:szCs w:val="21"/>
              </w:rPr>
            </w:pPr>
            <w:r w:rsidRPr="0029055B">
              <w:rPr>
                <w:szCs w:val="21"/>
              </w:rPr>
              <w:t>Domestiqué</w:t>
            </w:r>
          </w:p>
        </w:tc>
      </w:tr>
      <w:tr w:rsidR="009021F1" w:rsidRPr="0029055B" w14:paraId="6E9A9B3F" w14:textId="77777777" w:rsidTr="00E637E3">
        <w:trPr>
          <w:trHeight w:val="318"/>
        </w:trPr>
        <w:tc>
          <w:tcPr>
            <w:tcW w:w="1834" w:type="dxa"/>
            <w:tcBorders>
              <w:top w:val="nil"/>
              <w:left w:val="single" w:sz="8" w:space="0" w:color="auto"/>
              <w:bottom w:val="single" w:sz="4" w:space="0" w:color="auto"/>
              <w:right w:val="single" w:sz="4" w:space="0" w:color="auto"/>
            </w:tcBorders>
            <w:vAlign w:val="bottom"/>
          </w:tcPr>
          <w:p w14:paraId="5BDE8987" w14:textId="77777777" w:rsidR="009021F1" w:rsidRPr="0029055B" w:rsidRDefault="009021F1" w:rsidP="00E637E3">
            <w:pPr>
              <w:rPr>
                <w:szCs w:val="21"/>
              </w:rPr>
            </w:pPr>
            <w:r w:rsidRPr="0029055B">
              <w:rPr>
                <w:szCs w:val="21"/>
              </w:rPr>
              <w:t>Colombiformes</w:t>
            </w:r>
          </w:p>
        </w:tc>
        <w:tc>
          <w:tcPr>
            <w:tcW w:w="1767" w:type="dxa"/>
            <w:tcBorders>
              <w:top w:val="nil"/>
              <w:left w:val="single" w:sz="4" w:space="0" w:color="auto"/>
              <w:bottom w:val="single" w:sz="4" w:space="0" w:color="auto"/>
              <w:right w:val="single" w:sz="4" w:space="0" w:color="auto"/>
            </w:tcBorders>
            <w:vAlign w:val="bottom"/>
          </w:tcPr>
          <w:p w14:paraId="034EF0E4" w14:textId="77777777" w:rsidR="009021F1" w:rsidRPr="0029055B" w:rsidRDefault="009021F1" w:rsidP="00E637E3">
            <w:pPr>
              <w:rPr>
                <w:szCs w:val="21"/>
              </w:rPr>
            </w:pPr>
          </w:p>
        </w:tc>
        <w:tc>
          <w:tcPr>
            <w:tcW w:w="2565" w:type="dxa"/>
            <w:tcBorders>
              <w:top w:val="nil"/>
              <w:left w:val="single" w:sz="4" w:space="0" w:color="auto"/>
              <w:bottom w:val="single" w:sz="4" w:space="0" w:color="auto"/>
              <w:right w:val="single" w:sz="4" w:space="0" w:color="auto"/>
            </w:tcBorders>
            <w:noWrap/>
            <w:vAlign w:val="bottom"/>
          </w:tcPr>
          <w:p w14:paraId="067BFD13" w14:textId="77777777" w:rsidR="009021F1" w:rsidRPr="0029055B" w:rsidRDefault="009021F1" w:rsidP="00E637E3">
            <w:pPr>
              <w:rPr>
                <w:szCs w:val="21"/>
              </w:rPr>
            </w:pPr>
            <w:r w:rsidRPr="0029055B">
              <w:rPr>
                <w:szCs w:val="21"/>
              </w:rPr>
              <w:t>Turtur sp</w:t>
            </w:r>
          </w:p>
        </w:tc>
        <w:tc>
          <w:tcPr>
            <w:tcW w:w="2693" w:type="dxa"/>
            <w:tcBorders>
              <w:top w:val="nil"/>
              <w:left w:val="nil"/>
              <w:bottom w:val="single" w:sz="4" w:space="0" w:color="auto"/>
              <w:right w:val="single" w:sz="4" w:space="0" w:color="auto"/>
            </w:tcBorders>
            <w:noWrap/>
            <w:vAlign w:val="bottom"/>
          </w:tcPr>
          <w:p w14:paraId="5DA875C1" w14:textId="77777777" w:rsidR="009021F1" w:rsidRPr="0029055B" w:rsidRDefault="009021F1" w:rsidP="00E637E3">
            <w:pPr>
              <w:rPr>
                <w:szCs w:val="21"/>
              </w:rPr>
            </w:pPr>
            <w:r w:rsidRPr="0029055B">
              <w:rPr>
                <w:szCs w:val="21"/>
              </w:rPr>
              <w:t>Pigeon sauvage</w:t>
            </w:r>
          </w:p>
        </w:tc>
        <w:tc>
          <w:tcPr>
            <w:tcW w:w="1375" w:type="dxa"/>
            <w:tcBorders>
              <w:top w:val="nil"/>
              <w:left w:val="nil"/>
              <w:bottom w:val="single" w:sz="4" w:space="0" w:color="auto"/>
              <w:right w:val="single" w:sz="4" w:space="0" w:color="auto"/>
            </w:tcBorders>
          </w:tcPr>
          <w:p w14:paraId="22BA5242"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60F280C5" w14:textId="77777777" w:rsidR="009021F1" w:rsidRPr="0029055B" w:rsidRDefault="009021F1" w:rsidP="00E637E3">
            <w:pPr>
              <w:rPr>
                <w:szCs w:val="21"/>
              </w:rPr>
            </w:pPr>
            <w:r w:rsidRPr="0029055B">
              <w:rPr>
                <w:szCs w:val="21"/>
              </w:rPr>
              <w:t>-</w:t>
            </w:r>
          </w:p>
        </w:tc>
        <w:tc>
          <w:tcPr>
            <w:tcW w:w="2814" w:type="dxa"/>
            <w:tcBorders>
              <w:top w:val="nil"/>
              <w:left w:val="nil"/>
              <w:bottom w:val="single" w:sz="4" w:space="0" w:color="auto"/>
              <w:right w:val="single" w:sz="8" w:space="0" w:color="auto"/>
            </w:tcBorders>
          </w:tcPr>
          <w:p w14:paraId="5242FAC1" w14:textId="77777777" w:rsidR="009021F1" w:rsidRPr="0029055B" w:rsidRDefault="009021F1" w:rsidP="00E637E3">
            <w:pPr>
              <w:rPr>
                <w:szCs w:val="21"/>
              </w:rPr>
            </w:pPr>
            <w:r w:rsidRPr="0029055B">
              <w:rPr>
                <w:szCs w:val="21"/>
              </w:rPr>
              <w:t>Fs, Fm, Fh</w:t>
            </w:r>
          </w:p>
        </w:tc>
      </w:tr>
      <w:tr w:rsidR="009021F1" w:rsidRPr="0029055B" w14:paraId="73721429" w14:textId="77777777" w:rsidTr="00E637E3">
        <w:trPr>
          <w:trHeight w:val="318"/>
        </w:trPr>
        <w:tc>
          <w:tcPr>
            <w:tcW w:w="1834" w:type="dxa"/>
            <w:tcBorders>
              <w:top w:val="nil"/>
              <w:left w:val="single" w:sz="8" w:space="0" w:color="auto"/>
              <w:bottom w:val="single" w:sz="4" w:space="0" w:color="auto"/>
              <w:right w:val="single" w:sz="4" w:space="0" w:color="auto"/>
            </w:tcBorders>
            <w:vAlign w:val="bottom"/>
          </w:tcPr>
          <w:p w14:paraId="3C42B79F" w14:textId="77777777" w:rsidR="009021F1" w:rsidRPr="0029055B" w:rsidRDefault="009021F1" w:rsidP="00E637E3">
            <w:pPr>
              <w:rPr>
                <w:szCs w:val="21"/>
              </w:rPr>
            </w:pPr>
          </w:p>
        </w:tc>
        <w:tc>
          <w:tcPr>
            <w:tcW w:w="1767" w:type="dxa"/>
            <w:tcBorders>
              <w:top w:val="nil"/>
              <w:left w:val="single" w:sz="4" w:space="0" w:color="auto"/>
              <w:bottom w:val="single" w:sz="4" w:space="0" w:color="auto"/>
              <w:right w:val="single" w:sz="4" w:space="0" w:color="auto"/>
            </w:tcBorders>
            <w:vAlign w:val="bottom"/>
          </w:tcPr>
          <w:p w14:paraId="668B32CA" w14:textId="77777777" w:rsidR="009021F1" w:rsidRPr="0029055B" w:rsidRDefault="009021F1" w:rsidP="00E637E3">
            <w:pPr>
              <w:rPr>
                <w:szCs w:val="21"/>
              </w:rPr>
            </w:pPr>
          </w:p>
        </w:tc>
        <w:tc>
          <w:tcPr>
            <w:tcW w:w="2565" w:type="dxa"/>
            <w:tcBorders>
              <w:top w:val="nil"/>
              <w:left w:val="single" w:sz="4" w:space="0" w:color="auto"/>
              <w:bottom w:val="single" w:sz="4" w:space="0" w:color="auto"/>
              <w:right w:val="single" w:sz="4" w:space="0" w:color="auto"/>
            </w:tcBorders>
            <w:noWrap/>
            <w:vAlign w:val="bottom"/>
          </w:tcPr>
          <w:p w14:paraId="05285C08" w14:textId="77777777" w:rsidR="009021F1" w:rsidRPr="0029055B" w:rsidRDefault="009021F1" w:rsidP="00E637E3">
            <w:pPr>
              <w:rPr>
                <w:szCs w:val="21"/>
              </w:rPr>
            </w:pPr>
          </w:p>
        </w:tc>
        <w:tc>
          <w:tcPr>
            <w:tcW w:w="2693" w:type="dxa"/>
            <w:tcBorders>
              <w:top w:val="nil"/>
              <w:left w:val="nil"/>
              <w:bottom w:val="single" w:sz="4" w:space="0" w:color="auto"/>
              <w:right w:val="single" w:sz="4" w:space="0" w:color="auto"/>
            </w:tcBorders>
            <w:noWrap/>
            <w:vAlign w:val="bottom"/>
          </w:tcPr>
          <w:p w14:paraId="785F60EA" w14:textId="77777777" w:rsidR="009021F1" w:rsidRPr="0029055B" w:rsidRDefault="009021F1" w:rsidP="00E637E3">
            <w:pPr>
              <w:rPr>
                <w:szCs w:val="21"/>
              </w:rPr>
            </w:pPr>
            <w:r w:rsidRPr="0029055B">
              <w:rPr>
                <w:szCs w:val="21"/>
              </w:rPr>
              <w:t>Pelican, Ishasha</w:t>
            </w:r>
          </w:p>
        </w:tc>
        <w:tc>
          <w:tcPr>
            <w:tcW w:w="1375" w:type="dxa"/>
            <w:tcBorders>
              <w:top w:val="nil"/>
              <w:left w:val="nil"/>
              <w:bottom w:val="single" w:sz="4" w:space="0" w:color="auto"/>
              <w:right w:val="single" w:sz="4" w:space="0" w:color="auto"/>
            </w:tcBorders>
          </w:tcPr>
          <w:p w14:paraId="7E15F22E"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2AF8D49C" w14:textId="77777777" w:rsidR="009021F1" w:rsidRPr="0029055B" w:rsidRDefault="009021F1" w:rsidP="00E637E3">
            <w:pPr>
              <w:rPr>
                <w:szCs w:val="21"/>
              </w:rPr>
            </w:pPr>
            <w:r w:rsidRPr="0029055B">
              <w:rPr>
                <w:szCs w:val="21"/>
              </w:rPr>
              <w:t>-</w:t>
            </w:r>
          </w:p>
        </w:tc>
        <w:tc>
          <w:tcPr>
            <w:tcW w:w="2814" w:type="dxa"/>
            <w:tcBorders>
              <w:top w:val="nil"/>
              <w:left w:val="nil"/>
              <w:bottom w:val="single" w:sz="4" w:space="0" w:color="auto"/>
              <w:right w:val="single" w:sz="8" w:space="0" w:color="auto"/>
            </w:tcBorders>
          </w:tcPr>
          <w:p w14:paraId="27012EED" w14:textId="77777777" w:rsidR="009021F1" w:rsidRPr="0029055B" w:rsidRDefault="009021F1" w:rsidP="00E637E3">
            <w:pPr>
              <w:rPr>
                <w:szCs w:val="21"/>
              </w:rPr>
            </w:pPr>
            <w:r w:rsidRPr="0029055B">
              <w:rPr>
                <w:szCs w:val="21"/>
              </w:rPr>
              <w:t>Aquat, forêts</w:t>
            </w:r>
          </w:p>
        </w:tc>
      </w:tr>
      <w:tr w:rsidR="009021F1" w:rsidRPr="0029055B" w14:paraId="549D82D1" w14:textId="77777777" w:rsidTr="00E637E3">
        <w:trPr>
          <w:trHeight w:val="318"/>
        </w:trPr>
        <w:tc>
          <w:tcPr>
            <w:tcW w:w="1834" w:type="dxa"/>
            <w:tcBorders>
              <w:top w:val="nil"/>
              <w:left w:val="single" w:sz="8" w:space="0" w:color="auto"/>
              <w:bottom w:val="single" w:sz="4" w:space="0" w:color="auto"/>
              <w:right w:val="single" w:sz="4" w:space="0" w:color="auto"/>
            </w:tcBorders>
            <w:vAlign w:val="bottom"/>
          </w:tcPr>
          <w:p w14:paraId="7A7C4F78" w14:textId="77777777" w:rsidR="009021F1" w:rsidRPr="0029055B" w:rsidRDefault="009021F1" w:rsidP="00E637E3">
            <w:pPr>
              <w:rPr>
                <w:szCs w:val="21"/>
              </w:rPr>
            </w:pPr>
          </w:p>
        </w:tc>
        <w:tc>
          <w:tcPr>
            <w:tcW w:w="1767" w:type="dxa"/>
            <w:tcBorders>
              <w:top w:val="nil"/>
              <w:left w:val="single" w:sz="4" w:space="0" w:color="auto"/>
              <w:bottom w:val="single" w:sz="4" w:space="0" w:color="auto"/>
              <w:right w:val="single" w:sz="4" w:space="0" w:color="auto"/>
            </w:tcBorders>
            <w:vAlign w:val="bottom"/>
          </w:tcPr>
          <w:p w14:paraId="0E01A210" w14:textId="77777777" w:rsidR="009021F1" w:rsidRPr="0029055B" w:rsidRDefault="009021F1" w:rsidP="00E637E3">
            <w:pPr>
              <w:rPr>
                <w:szCs w:val="21"/>
              </w:rPr>
            </w:pPr>
          </w:p>
        </w:tc>
        <w:tc>
          <w:tcPr>
            <w:tcW w:w="2565" w:type="dxa"/>
            <w:tcBorders>
              <w:top w:val="nil"/>
              <w:left w:val="single" w:sz="4" w:space="0" w:color="auto"/>
              <w:bottom w:val="single" w:sz="4" w:space="0" w:color="auto"/>
              <w:right w:val="single" w:sz="4" w:space="0" w:color="auto"/>
            </w:tcBorders>
            <w:noWrap/>
            <w:vAlign w:val="bottom"/>
          </w:tcPr>
          <w:p w14:paraId="6FB2EFD7" w14:textId="77777777" w:rsidR="009021F1" w:rsidRPr="0029055B" w:rsidRDefault="009021F1" w:rsidP="00E637E3">
            <w:pPr>
              <w:rPr>
                <w:szCs w:val="21"/>
              </w:rPr>
            </w:pPr>
          </w:p>
        </w:tc>
        <w:tc>
          <w:tcPr>
            <w:tcW w:w="2693" w:type="dxa"/>
            <w:tcBorders>
              <w:top w:val="nil"/>
              <w:left w:val="nil"/>
              <w:bottom w:val="single" w:sz="4" w:space="0" w:color="auto"/>
              <w:right w:val="single" w:sz="4" w:space="0" w:color="auto"/>
            </w:tcBorders>
            <w:noWrap/>
            <w:vAlign w:val="bottom"/>
          </w:tcPr>
          <w:p w14:paraId="3EA7F581" w14:textId="77777777" w:rsidR="009021F1" w:rsidRPr="0029055B" w:rsidRDefault="009021F1" w:rsidP="00E637E3">
            <w:pPr>
              <w:rPr>
                <w:szCs w:val="21"/>
              </w:rPr>
            </w:pPr>
            <w:r w:rsidRPr="0029055B">
              <w:rPr>
                <w:szCs w:val="21"/>
              </w:rPr>
              <w:t>Corbeau, Kihombo-hombo.</w:t>
            </w:r>
          </w:p>
        </w:tc>
        <w:tc>
          <w:tcPr>
            <w:tcW w:w="1375" w:type="dxa"/>
            <w:tcBorders>
              <w:top w:val="nil"/>
              <w:left w:val="nil"/>
              <w:bottom w:val="single" w:sz="4" w:space="0" w:color="auto"/>
              <w:right w:val="single" w:sz="4" w:space="0" w:color="auto"/>
            </w:tcBorders>
          </w:tcPr>
          <w:p w14:paraId="4C822D01"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390562B8" w14:textId="77777777" w:rsidR="009021F1" w:rsidRPr="0029055B" w:rsidRDefault="009021F1" w:rsidP="00E637E3">
            <w:pPr>
              <w:rPr>
                <w:szCs w:val="21"/>
              </w:rPr>
            </w:pPr>
            <w:r w:rsidRPr="0029055B">
              <w:rPr>
                <w:szCs w:val="21"/>
              </w:rPr>
              <w:t>-</w:t>
            </w:r>
          </w:p>
        </w:tc>
        <w:tc>
          <w:tcPr>
            <w:tcW w:w="2814" w:type="dxa"/>
            <w:tcBorders>
              <w:top w:val="nil"/>
              <w:left w:val="nil"/>
              <w:bottom w:val="single" w:sz="4" w:space="0" w:color="auto"/>
              <w:right w:val="single" w:sz="8" w:space="0" w:color="auto"/>
            </w:tcBorders>
          </w:tcPr>
          <w:p w14:paraId="1EA90124" w14:textId="77777777" w:rsidR="009021F1" w:rsidRPr="0029055B" w:rsidRDefault="009021F1" w:rsidP="00E637E3">
            <w:pPr>
              <w:rPr>
                <w:szCs w:val="21"/>
              </w:rPr>
            </w:pPr>
            <w:r w:rsidRPr="0029055B">
              <w:rPr>
                <w:szCs w:val="21"/>
              </w:rPr>
              <w:t>Fhb</w:t>
            </w:r>
          </w:p>
        </w:tc>
      </w:tr>
      <w:tr w:rsidR="009021F1" w:rsidRPr="0029055B" w14:paraId="5720CED6" w14:textId="77777777" w:rsidTr="00E637E3">
        <w:trPr>
          <w:trHeight w:val="318"/>
        </w:trPr>
        <w:tc>
          <w:tcPr>
            <w:tcW w:w="1834" w:type="dxa"/>
            <w:tcBorders>
              <w:top w:val="nil"/>
              <w:left w:val="single" w:sz="8" w:space="0" w:color="auto"/>
              <w:bottom w:val="single" w:sz="4" w:space="0" w:color="auto"/>
              <w:right w:val="single" w:sz="4" w:space="0" w:color="auto"/>
            </w:tcBorders>
            <w:vAlign w:val="bottom"/>
          </w:tcPr>
          <w:p w14:paraId="39B0635E" w14:textId="77777777" w:rsidR="009021F1" w:rsidRPr="0029055B" w:rsidRDefault="009021F1" w:rsidP="00E637E3">
            <w:pPr>
              <w:rPr>
                <w:szCs w:val="21"/>
              </w:rPr>
            </w:pPr>
          </w:p>
        </w:tc>
        <w:tc>
          <w:tcPr>
            <w:tcW w:w="1767" w:type="dxa"/>
            <w:tcBorders>
              <w:top w:val="nil"/>
              <w:left w:val="single" w:sz="4" w:space="0" w:color="auto"/>
              <w:bottom w:val="single" w:sz="4" w:space="0" w:color="auto"/>
              <w:right w:val="single" w:sz="4" w:space="0" w:color="auto"/>
            </w:tcBorders>
            <w:vAlign w:val="bottom"/>
          </w:tcPr>
          <w:p w14:paraId="3EE0E604" w14:textId="77777777" w:rsidR="009021F1" w:rsidRPr="0029055B" w:rsidRDefault="009021F1" w:rsidP="00E637E3">
            <w:pPr>
              <w:rPr>
                <w:szCs w:val="21"/>
              </w:rPr>
            </w:pPr>
          </w:p>
        </w:tc>
        <w:tc>
          <w:tcPr>
            <w:tcW w:w="2565" w:type="dxa"/>
            <w:tcBorders>
              <w:top w:val="nil"/>
              <w:left w:val="single" w:sz="4" w:space="0" w:color="auto"/>
              <w:bottom w:val="single" w:sz="4" w:space="0" w:color="auto"/>
              <w:right w:val="single" w:sz="4" w:space="0" w:color="auto"/>
            </w:tcBorders>
            <w:noWrap/>
            <w:vAlign w:val="bottom"/>
          </w:tcPr>
          <w:p w14:paraId="54E4EB43" w14:textId="77777777" w:rsidR="009021F1" w:rsidRPr="0029055B" w:rsidRDefault="009021F1" w:rsidP="00E637E3">
            <w:pPr>
              <w:rPr>
                <w:szCs w:val="21"/>
              </w:rPr>
            </w:pPr>
          </w:p>
        </w:tc>
        <w:tc>
          <w:tcPr>
            <w:tcW w:w="2693" w:type="dxa"/>
            <w:tcBorders>
              <w:top w:val="nil"/>
              <w:left w:val="nil"/>
              <w:bottom w:val="single" w:sz="4" w:space="0" w:color="auto"/>
              <w:right w:val="single" w:sz="4" w:space="0" w:color="auto"/>
            </w:tcBorders>
            <w:noWrap/>
            <w:vAlign w:val="bottom"/>
          </w:tcPr>
          <w:p w14:paraId="6D2251F0" w14:textId="77777777" w:rsidR="009021F1" w:rsidRPr="0029055B" w:rsidRDefault="009021F1" w:rsidP="00E637E3">
            <w:pPr>
              <w:rPr>
                <w:szCs w:val="21"/>
              </w:rPr>
            </w:pPr>
            <w:r w:rsidRPr="0029055B">
              <w:rPr>
                <w:szCs w:val="21"/>
              </w:rPr>
              <w:t>Marabout, Kinyanguhi</w:t>
            </w:r>
          </w:p>
        </w:tc>
        <w:tc>
          <w:tcPr>
            <w:tcW w:w="1375" w:type="dxa"/>
            <w:tcBorders>
              <w:top w:val="nil"/>
              <w:left w:val="nil"/>
              <w:bottom w:val="single" w:sz="4" w:space="0" w:color="auto"/>
              <w:right w:val="single" w:sz="4" w:space="0" w:color="auto"/>
            </w:tcBorders>
          </w:tcPr>
          <w:p w14:paraId="58AE53E8"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32D5BE87" w14:textId="77777777" w:rsidR="009021F1" w:rsidRPr="0029055B" w:rsidRDefault="009021F1" w:rsidP="00E637E3">
            <w:pPr>
              <w:rPr>
                <w:szCs w:val="21"/>
              </w:rPr>
            </w:pPr>
            <w:r w:rsidRPr="0029055B">
              <w:rPr>
                <w:szCs w:val="21"/>
              </w:rPr>
              <w:t>-</w:t>
            </w:r>
          </w:p>
        </w:tc>
        <w:tc>
          <w:tcPr>
            <w:tcW w:w="2814" w:type="dxa"/>
            <w:tcBorders>
              <w:top w:val="nil"/>
              <w:left w:val="nil"/>
              <w:bottom w:val="single" w:sz="4" w:space="0" w:color="auto"/>
              <w:right w:val="single" w:sz="8" w:space="0" w:color="auto"/>
            </w:tcBorders>
          </w:tcPr>
          <w:p w14:paraId="4CFB1350" w14:textId="77777777" w:rsidR="009021F1" w:rsidRPr="0029055B" w:rsidRDefault="009021F1" w:rsidP="00E637E3">
            <w:pPr>
              <w:rPr>
                <w:szCs w:val="21"/>
              </w:rPr>
            </w:pPr>
            <w:r w:rsidRPr="0029055B">
              <w:rPr>
                <w:szCs w:val="21"/>
              </w:rPr>
              <w:t>Aquat, Fh</w:t>
            </w:r>
          </w:p>
        </w:tc>
      </w:tr>
      <w:tr w:rsidR="009021F1" w:rsidRPr="0029055B" w14:paraId="6770A7BF" w14:textId="77777777" w:rsidTr="00E637E3">
        <w:trPr>
          <w:trHeight w:val="318"/>
        </w:trPr>
        <w:tc>
          <w:tcPr>
            <w:tcW w:w="1834" w:type="dxa"/>
            <w:tcBorders>
              <w:top w:val="nil"/>
              <w:left w:val="single" w:sz="8" w:space="0" w:color="auto"/>
              <w:bottom w:val="single" w:sz="4" w:space="0" w:color="auto"/>
              <w:right w:val="single" w:sz="4" w:space="0" w:color="auto"/>
            </w:tcBorders>
            <w:vAlign w:val="bottom"/>
          </w:tcPr>
          <w:p w14:paraId="20ABBB5D" w14:textId="77777777" w:rsidR="009021F1" w:rsidRPr="0029055B" w:rsidRDefault="009021F1" w:rsidP="00E637E3">
            <w:pPr>
              <w:rPr>
                <w:szCs w:val="21"/>
              </w:rPr>
            </w:pPr>
          </w:p>
        </w:tc>
        <w:tc>
          <w:tcPr>
            <w:tcW w:w="1767" w:type="dxa"/>
            <w:tcBorders>
              <w:top w:val="nil"/>
              <w:left w:val="single" w:sz="4" w:space="0" w:color="auto"/>
              <w:bottom w:val="single" w:sz="4" w:space="0" w:color="auto"/>
              <w:right w:val="single" w:sz="4" w:space="0" w:color="auto"/>
            </w:tcBorders>
            <w:vAlign w:val="bottom"/>
          </w:tcPr>
          <w:p w14:paraId="773FAD88" w14:textId="77777777" w:rsidR="009021F1" w:rsidRPr="0029055B" w:rsidRDefault="009021F1" w:rsidP="00E637E3">
            <w:pPr>
              <w:rPr>
                <w:szCs w:val="21"/>
              </w:rPr>
            </w:pPr>
          </w:p>
        </w:tc>
        <w:tc>
          <w:tcPr>
            <w:tcW w:w="2565" w:type="dxa"/>
            <w:tcBorders>
              <w:top w:val="nil"/>
              <w:left w:val="single" w:sz="4" w:space="0" w:color="auto"/>
              <w:bottom w:val="single" w:sz="4" w:space="0" w:color="auto"/>
              <w:right w:val="single" w:sz="4" w:space="0" w:color="auto"/>
            </w:tcBorders>
            <w:noWrap/>
            <w:vAlign w:val="bottom"/>
          </w:tcPr>
          <w:p w14:paraId="60F136EF" w14:textId="77777777" w:rsidR="009021F1" w:rsidRPr="0029055B" w:rsidRDefault="009021F1" w:rsidP="00E637E3">
            <w:pPr>
              <w:rPr>
                <w:szCs w:val="21"/>
              </w:rPr>
            </w:pPr>
          </w:p>
        </w:tc>
        <w:tc>
          <w:tcPr>
            <w:tcW w:w="2693" w:type="dxa"/>
            <w:tcBorders>
              <w:top w:val="nil"/>
              <w:left w:val="nil"/>
              <w:bottom w:val="single" w:sz="4" w:space="0" w:color="auto"/>
              <w:right w:val="single" w:sz="4" w:space="0" w:color="auto"/>
            </w:tcBorders>
            <w:noWrap/>
            <w:vAlign w:val="bottom"/>
          </w:tcPr>
          <w:p w14:paraId="20D56AD5" w14:textId="77777777" w:rsidR="009021F1" w:rsidRPr="0029055B" w:rsidRDefault="009021F1" w:rsidP="00E637E3">
            <w:pPr>
              <w:rPr>
                <w:szCs w:val="21"/>
              </w:rPr>
            </w:pPr>
            <w:r w:rsidRPr="0029055B">
              <w:rPr>
                <w:szCs w:val="21"/>
              </w:rPr>
              <w:t>Vaneau à tête noire, Madelène</w:t>
            </w:r>
          </w:p>
        </w:tc>
        <w:tc>
          <w:tcPr>
            <w:tcW w:w="1375" w:type="dxa"/>
            <w:tcBorders>
              <w:top w:val="nil"/>
              <w:left w:val="nil"/>
              <w:bottom w:val="single" w:sz="4" w:space="0" w:color="auto"/>
              <w:right w:val="single" w:sz="4" w:space="0" w:color="auto"/>
            </w:tcBorders>
          </w:tcPr>
          <w:p w14:paraId="36703875"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0A32BA7F" w14:textId="77777777" w:rsidR="009021F1" w:rsidRPr="0029055B" w:rsidRDefault="009021F1" w:rsidP="00E637E3">
            <w:pPr>
              <w:rPr>
                <w:szCs w:val="21"/>
              </w:rPr>
            </w:pPr>
            <w:r w:rsidRPr="0029055B">
              <w:rPr>
                <w:szCs w:val="21"/>
              </w:rPr>
              <w:t>-</w:t>
            </w:r>
          </w:p>
        </w:tc>
        <w:tc>
          <w:tcPr>
            <w:tcW w:w="2814" w:type="dxa"/>
            <w:tcBorders>
              <w:top w:val="nil"/>
              <w:left w:val="nil"/>
              <w:bottom w:val="single" w:sz="4" w:space="0" w:color="auto"/>
              <w:right w:val="single" w:sz="8" w:space="0" w:color="auto"/>
            </w:tcBorders>
          </w:tcPr>
          <w:p w14:paraId="57295361" w14:textId="77777777" w:rsidR="009021F1" w:rsidRPr="0029055B" w:rsidRDefault="009021F1" w:rsidP="00E637E3">
            <w:pPr>
              <w:rPr>
                <w:szCs w:val="21"/>
              </w:rPr>
            </w:pPr>
            <w:r w:rsidRPr="0029055B">
              <w:rPr>
                <w:szCs w:val="21"/>
              </w:rPr>
              <w:t>Fha</w:t>
            </w:r>
          </w:p>
        </w:tc>
      </w:tr>
      <w:tr w:rsidR="009021F1" w:rsidRPr="0029055B" w14:paraId="0CF9F2F2" w14:textId="77777777" w:rsidTr="00E637E3">
        <w:trPr>
          <w:trHeight w:val="318"/>
        </w:trPr>
        <w:tc>
          <w:tcPr>
            <w:tcW w:w="1834" w:type="dxa"/>
            <w:tcBorders>
              <w:top w:val="nil"/>
              <w:left w:val="single" w:sz="8" w:space="0" w:color="auto"/>
              <w:bottom w:val="single" w:sz="4" w:space="0" w:color="auto"/>
              <w:right w:val="single" w:sz="4" w:space="0" w:color="auto"/>
            </w:tcBorders>
            <w:vAlign w:val="bottom"/>
          </w:tcPr>
          <w:p w14:paraId="67E03FB9" w14:textId="77777777" w:rsidR="009021F1" w:rsidRPr="0029055B" w:rsidRDefault="009021F1" w:rsidP="00E637E3">
            <w:pPr>
              <w:rPr>
                <w:szCs w:val="21"/>
              </w:rPr>
            </w:pPr>
          </w:p>
        </w:tc>
        <w:tc>
          <w:tcPr>
            <w:tcW w:w="1767" w:type="dxa"/>
            <w:tcBorders>
              <w:top w:val="nil"/>
              <w:left w:val="single" w:sz="4" w:space="0" w:color="auto"/>
              <w:bottom w:val="single" w:sz="4" w:space="0" w:color="auto"/>
              <w:right w:val="single" w:sz="4" w:space="0" w:color="auto"/>
            </w:tcBorders>
            <w:vAlign w:val="bottom"/>
          </w:tcPr>
          <w:p w14:paraId="20F98748" w14:textId="77777777" w:rsidR="009021F1" w:rsidRPr="0029055B" w:rsidRDefault="009021F1" w:rsidP="00E637E3">
            <w:pPr>
              <w:rPr>
                <w:szCs w:val="21"/>
              </w:rPr>
            </w:pPr>
          </w:p>
        </w:tc>
        <w:tc>
          <w:tcPr>
            <w:tcW w:w="2565" w:type="dxa"/>
            <w:tcBorders>
              <w:top w:val="nil"/>
              <w:left w:val="single" w:sz="4" w:space="0" w:color="auto"/>
              <w:bottom w:val="single" w:sz="4" w:space="0" w:color="auto"/>
              <w:right w:val="single" w:sz="4" w:space="0" w:color="auto"/>
            </w:tcBorders>
            <w:noWrap/>
            <w:vAlign w:val="bottom"/>
          </w:tcPr>
          <w:p w14:paraId="1FC79E4A" w14:textId="77777777" w:rsidR="009021F1" w:rsidRPr="0029055B" w:rsidRDefault="009021F1" w:rsidP="00E637E3">
            <w:pPr>
              <w:rPr>
                <w:szCs w:val="21"/>
              </w:rPr>
            </w:pPr>
          </w:p>
        </w:tc>
        <w:tc>
          <w:tcPr>
            <w:tcW w:w="2693" w:type="dxa"/>
            <w:tcBorders>
              <w:top w:val="nil"/>
              <w:left w:val="nil"/>
              <w:bottom w:val="single" w:sz="4" w:space="0" w:color="auto"/>
              <w:right w:val="single" w:sz="4" w:space="0" w:color="auto"/>
            </w:tcBorders>
            <w:noWrap/>
            <w:vAlign w:val="bottom"/>
          </w:tcPr>
          <w:p w14:paraId="48103B26" w14:textId="77777777" w:rsidR="009021F1" w:rsidRPr="0029055B" w:rsidRDefault="009021F1" w:rsidP="00E637E3">
            <w:pPr>
              <w:rPr>
                <w:szCs w:val="21"/>
              </w:rPr>
            </w:pPr>
            <w:r w:rsidRPr="0029055B">
              <w:rPr>
                <w:szCs w:val="21"/>
              </w:rPr>
              <w:t>Vanneau couronne</w:t>
            </w:r>
          </w:p>
        </w:tc>
        <w:tc>
          <w:tcPr>
            <w:tcW w:w="1375" w:type="dxa"/>
            <w:tcBorders>
              <w:top w:val="nil"/>
              <w:left w:val="nil"/>
              <w:bottom w:val="single" w:sz="4" w:space="0" w:color="auto"/>
              <w:right w:val="single" w:sz="4" w:space="0" w:color="auto"/>
            </w:tcBorders>
          </w:tcPr>
          <w:p w14:paraId="31B9F879"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467E015D" w14:textId="77777777" w:rsidR="009021F1" w:rsidRPr="0029055B" w:rsidRDefault="009021F1" w:rsidP="00E637E3">
            <w:pPr>
              <w:rPr>
                <w:szCs w:val="21"/>
              </w:rPr>
            </w:pPr>
            <w:r w:rsidRPr="0029055B">
              <w:rPr>
                <w:szCs w:val="21"/>
              </w:rPr>
              <w:t>-</w:t>
            </w:r>
          </w:p>
        </w:tc>
        <w:tc>
          <w:tcPr>
            <w:tcW w:w="2814" w:type="dxa"/>
            <w:tcBorders>
              <w:top w:val="nil"/>
              <w:left w:val="nil"/>
              <w:bottom w:val="single" w:sz="4" w:space="0" w:color="auto"/>
              <w:right w:val="single" w:sz="8" w:space="0" w:color="auto"/>
            </w:tcBorders>
          </w:tcPr>
          <w:p w14:paraId="6B072A98" w14:textId="77777777" w:rsidR="009021F1" w:rsidRPr="0029055B" w:rsidRDefault="009021F1" w:rsidP="00E637E3">
            <w:pPr>
              <w:rPr>
                <w:szCs w:val="21"/>
              </w:rPr>
            </w:pPr>
            <w:r w:rsidRPr="0029055B">
              <w:rPr>
                <w:szCs w:val="21"/>
              </w:rPr>
              <w:t>Fha</w:t>
            </w:r>
          </w:p>
        </w:tc>
      </w:tr>
      <w:tr w:rsidR="009021F1" w:rsidRPr="0029055B" w14:paraId="38C8B8BC" w14:textId="77777777" w:rsidTr="00E637E3">
        <w:trPr>
          <w:trHeight w:val="287"/>
        </w:trPr>
        <w:tc>
          <w:tcPr>
            <w:tcW w:w="1834" w:type="dxa"/>
            <w:tcBorders>
              <w:top w:val="nil"/>
              <w:left w:val="single" w:sz="8" w:space="0" w:color="auto"/>
              <w:bottom w:val="single" w:sz="4" w:space="0" w:color="auto"/>
              <w:right w:val="single" w:sz="4" w:space="0" w:color="auto"/>
            </w:tcBorders>
            <w:vAlign w:val="bottom"/>
          </w:tcPr>
          <w:p w14:paraId="6BE9ECC7" w14:textId="77777777" w:rsidR="009021F1" w:rsidRPr="0029055B" w:rsidRDefault="009021F1" w:rsidP="00E637E3">
            <w:pPr>
              <w:rPr>
                <w:szCs w:val="21"/>
              </w:rPr>
            </w:pPr>
          </w:p>
        </w:tc>
        <w:tc>
          <w:tcPr>
            <w:tcW w:w="1767" w:type="dxa"/>
            <w:tcBorders>
              <w:top w:val="nil"/>
              <w:left w:val="single" w:sz="4" w:space="0" w:color="auto"/>
              <w:bottom w:val="single" w:sz="4" w:space="0" w:color="auto"/>
              <w:right w:val="single" w:sz="4" w:space="0" w:color="auto"/>
            </w:tcBorders>
            <w:vAlign w:val="bottom"/>
          </w:tcPr>
          <w:p w14:paraId="082D7759" w14:textId="77777777" w:rsidR="009021F1" w:rsidRPr="0029055B" w:rsidRDefault="009021F1" w:rsidP="00E637E3">
            <w:pPr>
              <w:rPr>
                <w:szCs w:val="21"/>
              </w:rPr>
            </w:pPr>
          </w:p>
        </w:tc>
        <w:tc>
          <w:tcPr>
            <w:tcW w:w="2565" w:type="dxa"/>
            <w:tcBorders>
              <w:top w:val="nil"/>
              <w:left w:val="single" w:sz="4" w:space="0" w:color="auto"/>
              <w:bottom w:val="single" w:sz="4" w:space="0" w:color="auto"/>
              <w:right w:val="single" w:sz="4" w:space="0" w:color="auto"/>
            </w:tcBorders>
            <w:noWrap/>
            <w:vAlign w:val="bottom"/>
          </w:tcPr>
          <w:p w14:paraId="534837EB" w14:textId="77777777" w:rsidR="009021F1" w:rsidRPr="0029055B" w:rsidRDefault="009021F1" w:rsidP="00E637E3">
            <w:pPr>
              <w:rPr>
                <w:szCs w:val="21"/>
              </w:rPr>
            </w:pPr>
          </w:p>
        </w:tc>
        <w:tc>
          <w:tcPr>
            <w:tcW w:w="2693" w:type="dxa"/>
            <w:tcBorders>
              <w:top w:val="nil"/>
              <w:left w:val="nil"/>
              <w:bottom w:val="single" w:sz="4" w:space="0" w:color="auto"/>
              <w:right w:val="single" w:sz="4" w:space="0" w:color="auto"/>
            </w:tcBorders>
            <w:noWrap/>
            <w:vAlign w:val="bottom"/>
          </w:tcPr>
          <w:p w14:paraId="1496211E" w14:textId="77777777" w:rsidR="009021F1" w:rsidRPr="0029055B" w:rsidRDefault="009021F1" w:rsidP="00E637E3">
            <w:pPr>
              <w:rPr>
                <w:szCs w:val="21"/>
              </w:rPr>
            </w:pPr>
            <w:r w:rsidRPr="0029055B">
              <w:rPr>
                <w:szCs w:val="21"/>
              </w:rPr>
              <w:t>Flamant rose</w:t>
            </w:r>
          </w:p>
        </w:tc>
        <w:tc>
          <w:tcPr>
            <w:tcW w:w="1375" w:type="dxa"/>
            <w:tcBorders>
              <w:top w:val="nil"/>
              <w:left w:val="nil"/>
              <w:bottom w:val="single" w:sz="4" w:space="0" w:color="auto"/>
              <w:right w:val="single" w:sz="4" w:space="0" w:color="auto"/>
            </w:tcBorders>
          </w:tcPr>
          <w:p w14:paraId="5E814135"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1FAF68C5" w14:textId="77777777" w:rsidR="009021F1" w:rsidRPr="0029055B" w:rsidRDefault="009021F1" w:rsidP="00E637E3">
            <w:pPr>
              <w:rPr>
                <w:szCs w:val="21"/>
              </w:rPr>
            </w:pPr>
            <w:r w:rsidRPr="0029055B">
              <w:rPr>
                <w:szCs w:val="21"/>
              </w:rPr>
              <w:t>-</w:t>
            </w:r>
          </w:p>
        </w:tc>
        <w:tc>
          <w:tcPr>
            <w:tcW w:w="2814" w:type="dxa"/>
            <w:tcBorders>
              <w:top w:val="nil"/>
              <w:left w:val="nil"/>
              <w:bottom w:val="single" w:sz="4" w:space="0" w:color="auto"/>
              <w:right w:val="single" w:sz="8" w:space="0" w:color="auto"/>
            </w:tcBorders>
          </w:tcPr>
          <w:p w14:paraId="2753113A" w14:textId="77777777" w:rsidR="009021F1" w:rsidRPr="0029055B" w:rsidRDefault="009021F1" w:rsidP="00E637E3">
            <w:pPr>
              <w:rPr>
                <w:szCs w:val="21"/>
              </w:rPr>
            </w:pPr>
            <w:r w:rsidRPr="0029055B">
              <w:rPr>
                <w:szCs w:val="21"/>
              </w:rPr>
              <w:t>Aquat, Fh</w:t>
            </w:r>
          </w:p>
        </w:tc>
      </w:tr>
      <w:tr w:rsidR="009021F1" w:rsidRPr="0029055B" w14:paraId="3271E5BD" w14:textId="77777777" w:rsidTr="00E637E3">
        <w:trPr>
          <w:trHeight w:val="234"/>
        </w:trPr>
        <w:tc>
          <w:tcPr>
            <w:tcW w:w="1834" w:type="dxa"/>
            <w:tcBorders>
              <w:top w:val="nil"/>
              <w:left w:val="single" w:sz="8" w:space="0" w:color="auto"/>
              <w:bottom w:val="single" w:sz="4" w:space="0" w:color="auto"/>
              <w:right w:val="single" w:sz="4" w:space="0" w:color="auto"/>
            </w:tcBorders>
            <w:vAlign w:val="bottom"/>
          </w:tcPr>
          <w:p w14:paraId="0763D5E6" w14:textId="77777777" w:rsidR="009021F1" w:rsidRPr="0029055B" w:rsidRDefault="009021F1" w:rsidP="00E637E3">
            <w:pPr>
              <w:rPr>
                <w:szCs w:val="21"/>
              </w:rPr>
            </w:pPr>
          </w:p>
        </w:tc>
        <w:tc>
          <w:tcPr>
            <w:tcW w:w="1767" w:type="dxa"/>
            <w:tcBorders>
              <w:top w:val="nil"/>
              <w:left w:val="single" w:sz="4" w:space="0" w:color="auto"/>
              <w:bottom w:val="single" w:sz="4" w:space="0" w:color="auto"/>
              <w:right w:val="single" w:sz="4" w:space="0" w:color="auto"/>
            </w:tcBorders>
            <w:vAlign w:val="bottom"/>
          </w:tcPr>
          <w:p w14:paraId="1C11849D" w14:textId="77777777" w:rsidR="009021F1" w:rsidRPr="0029055B" w:rsidRDefault="009021F1" w:rsidP="00E637E3">
            <w:pPr>
              <w:rPr>
                <w:szCs w:val="21"/>
              </w:rPr>
            </w:pPr>
          </w:p>
        </w:tc>
        <w:tc>
          <w:tcPr>
            <w:tcW w:w="2565" w:type="dxa"/>
            <w:tcBorders>
              <w:top w:val="nil"/>
              <w:left w:val="single" w:sz="4" w:space="0" w:color="auto"/>
              <w:bottom w:val="single" w:sz="4" w:space="0" w:color="auto"/>
              <w:right w:val="single" w:sz="4" w:space="0" w:color="auto"/>
            </w:tcBorders>
            <w:noWrap/>
            <w:vAlign w:val="bottom"/>
          </w:tcPr>
          <w:p w14:paraId="67194D61" w14:textId="77777777" w:rsidR="009021F1" w:rsidRPr="0029055B" w:rsidRDefault="009021F1" w:rsidP="00E637E3">
            <w:pPr>
              <w:rPr>
                <w:szCs w:val="21"/>
              </w:rPr>
            </w:pPr>
          </w:p>
        </w:tc>
        <w:tc>
          <w:tcPr>
            <w:tcW w:w="2693" w:type="dxa"/>
            <w:tcBorders>
              <w:top w:val="nil"/>
              <w:left w:val="nil"/>
              <w:bottom w:val="single" w:sz="8" w:space="0" w:color="auto"/>
              <w:right w:val="single" w:sz="4" w:space="0" w:color="auto"/>
            </w:tcBorders>
            <w:noWrap/>
            <w:vAlign w:val="bottom"/>
          </w:tcPr>
          <w:p w14:paraId="50BA73FB" w14:textId="77777777" w:rsidR="009021F1" w:rsidRPr="0029055B" w:rsidRDefault="009021F1" w:rsidP="00E637E3">
            <w:pPr>
              <w:rPr>
                <w:szCs w:val="21"/>
              </w:rPr>
            </w:pPr>
            <w:r w:rsidRPr="0029055B">
              <w:rPr>
                <w:szCs w:val="21"/>
              </w:rPr>
              <w:t>Martin pécheur, Pie</w:t>
            </w:r>
          </w:p>
        </w:tc>
        <w:tc>
          <w:tcPr>
            <w:tcW w:w="1375" w:type="dxa"/>
            <w:tcBorders>
              <w:top w:val="nil"/>
              <w:left w:val="nil"/>
              <w:bottom w:val="single" w:sz="8" w:space="0" w:color="auto"/>
              <w:right w:val="single" w:sz="4" w:space="0" w:color="auto"/>
            </w:tcBorders>
          </w:tcPr>
          <w:p w14:paraId="1C0033AF" w14:textId="77777777" w:rsidR="009021F1" w:rsidRPr="0029055B" w:rsidRDefault="009021F1" w:rsidP="00E637E3">
            <w:pPr>
              <w:rPr>
                <w:szCs w:val="21"/>
              </w:rPr>
            </w:pPr>
            <w:r w:rsidRPr="0029055B">
              <w:rPr>
                <w:szCs w:val="21"/>
              </w:rPr>
              <w:t>-</w:t>
            </w:r>
          </w:p>
        </w:tc>
        <w:tc>
          <w:tcPr>
            <w:tcW w:w="1481" w:type="dxa"/>
            <w:tcBorders>
              <w:top w:val="nil"/>
              <w:left w:val="nil"/>
              <w:bottom w:val="single" w:sz="8" w:space="0" w:color="auto"/>
              <w:right w:val="single" w:sz="4" w:space="0" w:color="auto"/>
            </w:tcBorders>
          </w:tcPr>
          <w:p w14:paraId="4ECB8FB3" w14:textId="77777777" w:rsidR="009021F1" w:rsidRPr="0029055B" w:rsidRDefault="009021F1" w:rsidP="00E637E3">
            <w:pPr>
              <w:rPr>
                <w:szCs w:val="21"/>
              </w:rPr>
            </w:pPr>
            <w:r w:rsidRPr="0029055B">
              <w:rPr>
                <w:szCs w:val="21"/>
              </w:rPr>
              <w:t>-</w:t>
            </w:r>
          </w:p>
        </w:tc>
        <w:tc>
          <w:tcPr>
            <w:tcW w:w="2814" w:type="dxa"/>
            <w:tcBorders>
              <w:top w:val="nil"/>
              <w:left w:val="nil"/>
              <w:bottom w:val="single" w:sz="8" w:space="0" w:color="auto"/>
              <w:right w:val="single" w:sz="8" w:space="0" w:color="auto"/>
            </w:tcBorders>
          </w:tcPr>
          <w:p w14:paraId="725498AC" w14:textId="77777777" w:rsidR="009021F1" w:rsidRPr="0029055B" w:rsidRDefault="009021F1" w:rsidP="00E637E3">
            <w:pPr>
              <w:rPr>
                <w:szCs w:val="21"/>
              </w:rPr>
            </w:pPr>
            <w:r w:rsidRPr="0029055B">
              <w:rPr>
                <w:szCs w:val="21"/>
              </w:rPr>
              <w:t>Aquat</w:t>
            </w:r>
          </w:p>
        </w:tc>
      </w:tr>
      <w:tr w:rsidR="009021F1" w:rsidRPr="0029055B" w14:paraId="1E1B7737" w14:textId="77777777" w:rsidTr="00E637E3">
        <w:trPr>
          <w:trHeight w:val="318"/>
        </w:trPr>
        <w:tc>
          <w:tcPr>
            <w:tcW w:w="14529" w:type="dxa"/>
            <w:gridSpan w:val="7"/>
            <w:tcBorders>
              <w:top w:val="double" w:sz="4" w:space="0" w:color="auto"/>
              <w:left w:val="single" w:sz="8" w:space="0" w:color="auto"/>
              <w:bottom w:val="single" w:sz="8" w:space="0" w:color="auto"/>
              <w:right w:val="single" w:sz="8" w:space="0" w:color="auto"/>
            </w:tcBorders>
            <w:vAlign w:val="bottom"/>
          </w:tcPr>
          <w:p w14:paraId="568742D3" w14:textId="77777777" w:rsidR="009021F1" w:rsidRPr="0029055B" w:rsidRDefault="009021F1" w:rsidP="00E637E3">
            <w:pPr>
              <w:rPr>
                <w:szCs w:val="21"/>
              </w:rPr>
            </w:pPr>
            <w:r w:rsidRPr="0029055B">
              <w:rPr>
                <w:szCs w:val="21"/>
              </w:rPr>
              <w:t>FAUNE AQUATIQUE (RESSOURCES HALIEUTIQUES)</w:t>
            </w:r>
          </w:p>
        </w:tc>
      </w:tr>
      <w:tr w:rsidR="009021F1" w:rsidRPr="0029055B" w14:paraId="423E86EA" w14:textId="77777777" w:rsidTr="00E637E3">
        <w:trPr>
          <w:trHeight w:val="318"/>
        </w:trPr>
        <w:tc>
          <w:tcPr>
            <w:tcW w:w="14529" w:type="dxa"/>
            <w:gridSpan w:val="7"/>
            <w:tcBorders>
              <w:top w:val="single" w:sz="8" w:space="0" w:color="auto"/>
              <w:left w:val="single" w:sz="8" w:space="0" w:color="auto"/>
              <w:bottom w:val="single" w:sz="4" w:space="0" w:color="auto"/>
              <w:right w:val="single" w:sz="8" w:space="0" w:color="auto"/>
            </w:tcBorders>
            <w:vAlign w:val="bottom"/>
          </w:tcPr>
          <w:p w14:paraId="1EB9354D" w14:textId="77777777" w:rsidR="009021F1" w:rsidRPr="0029055B" w:rsidRDefault="009021F1" w:rsidP="00E637E3">
            <w:pPr>
              <w:rPr>
                <w:szCs w:val="21"/>
              </w:rPr>
            </w:pPr>
            <w:r w:rsidRPr="0029055B">
              <w:rPr>
                <w:szCs w:val="21"/>
              </w:rPr>
              <w:t>POISSONS</w:t>
            </w:r>
          </w:p>
        </w:tc>
      </w:tr>
      <w:tr w:rsidR="009021F1" w:rsidRPr="0029055B" w14:paraId="06D247B8" w14:textId="77777777" w:rsidTr="00E637E3">
        <w:trPr>
          <w:trHeight w:val="318"/>
        </w:trPr>
        <w:tc>
          <w:tcPr>
            <w:tcW w:w="1834" w:type="dxa"/>
            <w:tcBorders>
              <w:top w:val="single" w:sz="8" w:space="0" w:color="auto"/>
              <w:left w:val="single" w:sz="8" w:space="0" w:color="auto"/>
              <w:bottom w:val="single" w:sz="4" w:space="0" w:color="auto"/>
              <w:right w:val="single" w:sz="4" w:space="0" w:color="auto"/>
            </w:tcBorders>
            <w:vAlign w:val="bottom"/>
          </w:tcPr>
          <w:p w14:paraId="73CAA4D5" w14:textId="77777777" w:rsidR="009021F1" w:rsidRPr="0029055B" w:rsidRDefault="009021F1" w:rsidP="00E637E3">
            <w:pPr>
              <w:rPr>
                <w:szCs w:val="21"/>
              </w:rPr>
            </w:pPr>
            <w:r w:rsidRPr="0029055B">
              <w:rPr>
                <w:szCs w:val="21"/>
              </w:rPr>
              <w:t>Siluriformes</w:t>
            </w:r>
          </w:p>
        </w:tc>
        <w:tc>
          <w:tcPr>
            <w:tcW w:w="1767" w:type="dxa"/>
            <w:tcBorders>
              <w:top w:val="single" w:sz="8" w:space="0" w:color="auto"/>
              <w:left w:val="single" w:sz="4" w:space="0" w:color="auto"/>
              <w:bottom w:val="single" w:sz="4" w:space="0" w:color="auto"/>
              <w:right w:val="single" w:sz="4" w:space="0" w:color="auto"/>
            </w:tcBorders>
            <w:vAlign w:val="bottom"/>
          </w:tcPr>
          <w:p w14:paraId="402279D0" w14:textId="77777777" w:rsidR="009021F1" w:rsidRPr="0029055B" w:rsidRDefault="009021F1" w:rsidP="00E637E3">
            <w:pPr>
              <w:rPr>
                <w:szCs w:val="21"/>
              </w:rPr>
            </w:pPr>
            <w:r w:rsidRPr="0029055B">
              <w:rPr>
                <w:szCs w:val="21"/>
              </w:rPr>
              <w:t>Bagridae</w:t>
            </w:r>
          </w:p>
        </w:tc>
        <w:tc>
          <w:tcPr>
            <w:tcW w:w="2565" w:type="dxa"/>
            <w:tcBorders>
              <w:top w:val="single" w:sz="8" w:space="0" w:color="auto"/>
              <w:left w:val="single" w:sz="4" w:space="0" w:color="auto"/>
              <w:bottom w:val="single" w:sz="4" w:space="0" w:color="auto"/>
              <w:right w:val="single" w:sz="4" w:space="0" w:color="auto"/>
            </w:tcBorders>
            <w:noWrap/>
            <w:vAlign w:val="bottom"/>
          </w:tcPr>
          <w:p w14:paraId="05A7F2EA" w14:textId="77777777" w:rsidR="009021F1" w:rsidRPr="0029055B" w:rsidRDefault="009021F1" w:rsidP="00E637E3">
            <w:pPr>
              <w:rPr>
                <w:szCs w:val="21"/>
              </w:rPr>
            </w:pPr>
            <w:r w:rsidRPr="0029055B">
              <w:rPr>
                <w:szCs w:val="21"/>
              </w:rPr>
              <w:t>Bagris dogma</w:t>
            </w:r>
          </w:p>
        </w:tc>
        <w:tc>
          <w:tcPr>
            <w:tcW w:w="2693" w:type="dxa"/>
            <w:tcBorders>
              <w:top w:val="single" w:sz="8" w:space="0" w:color="auto"/>
              <w:left w:val="nil"/>
              <w:bottom w:val="single" w:sz="4" w:space="0" w:color="auto"/>
              <w:right w:val="single" w:sz="4" w:space="0" w:color="auto"/>
            </w:tcBorders>
            <w:noWrap/>
            <w:vAlign w:val="bottom"/>
          </w:tcPr>
          <w:p w14:paraId="171EA006" w14:textId="77777777" w:rsidR="009021F1" w:rsidRPr="0029055B" w:rsidRDefault="009021F1" w:rsidP="00E637E3">
            <w:pPr>
              <w:rPr>
                <w:szCs w:val="21"/>
              </w:rPr>
            </w:pPr>
            <w:r w:rsidRPr="0029055B">
              <w:rPr>
                <w:szCs w:val="21"/>
              </w:rPr>
              <w:t>Tshahulika</w:t>
            </w:r>
          </w:p>
        </w:tc>
        <w:tc>
          <w:tcPr>
            <w:tcW w:w="1375" w:type="dxa"/>
            <w:tcBorders>
              <w:top w:val="single" w:sz="8" w:space="0" w:color="auto"/>
              <w:left w:val="nil"/>
              <w:bottom w:val="single" w:sz="4" w:space="0" w:color="auto"/>
              <w:right w:val="single" w:sz="4" w:space="0" w:color="auto"/>
            </w:tcBorders>
          </w:tcPr>
          <w:p w14:paraId="0CEDD5AF" w14:textId="77777777" w:rsidR="009021F1" w:rsidRPr="0029055B" w:rsidRDefault="009021F1" w:rsidP="00E637E3">
            <w:pPr>
              <w:rPr>
                <w:szCs w:val="21"/>
              </w:rPr>
            </w:pPr>
            <w:r w:rsidRPr="0029055B">
              <w:rPr>
                <w:szCs w:val="21"/>
              </w:rPr>
              <w:t>-</w:t>
            </w:r>
          </w:p>
        </w:tc>
        <w:tc>
          <w:tcPr>
            <w:tcW w:w="1481" w:type="dxa"/>
            <w:tcBorders>
              <w:top w:val="single" w:sz="8" w:space="0" w:color="auto"/>
              <w:left w:val="nil"/>
              <w:bottom w:val="single" w:sz="4" w:space="0" w:color="auto"/>
              <w:right w:val="single" w:sz="4" w:space="0" w:color="auto"/>
            </w:tcBorders>
          </w:tcPr>
          <w:p w14:paraId="1B2B4356" w14:textId="77777777" w:rsidR="009021F1" w:rsidRPr="0029055B" w:rsidRDefault="009021F1" w:rsidP="00E637E3">
            <w:pPr>
              <w:rPr>
                <w:szCs w:val="21"/>
              </w:rPr>
            </w:pPr>
            <w:r w:rsidRPr="0029055B">
              <w:rPr>
                <w:szCs w:val="21"/>
              </w:rPr>
              <w:t>-</w:t>
            </w:r>
          </w:p>
        </w:tc>
        <w:tc>
          <w:tcPr>
            <w:tcW w:w="2814" w:type="dxa"/>
            <w:tcBorders>
              <w:top w:val="single" w:sz="8" w:space="0" w:color="auto"/>
              <w:left w:val="nil"/>
              <w:bottom w:val="single" w:sz="4" w:space="0" w:color="auto"/>
              <w:right w:val="single" w:sz="8" w:space="0" w:color="auto"/>
            </w:tcBorders>
          </w:tcPr>
          <w:p w14:paraId="65C30CE3" w14:textId="77777777" w:rsidR="009021F1" w:rsidRPr="0029055B" w:rsidRDefault="009021F1" w:rsidP="00E637E3">
            <w:pPr>
              <w:rPr>
                <w:szCs w:val="21"/>
              </w:rPr>
            </w:pPr>
            <w:r w:rsidRPr="0029055B">
              <w:rPr>
                <w:szCs w:val="21"/>
              </w:rPr>
              <w:t>Aquat</w:t>
            </w:r>
          </w:p>
        </w:tc>
      </w:tr>
      <w:tr w:rsidR="009021F1" w:rsidRPr="0029055B" w14:paraId="5985ED4A" w14:textId="77777777" w:rsidTr="00E637E3">
        <w:trPr>
          <w:trHeight w:val="318"/>
        </w:trPr>
        <w:tc>
          <w:tcPr>
            <w:tcW w:w="1834" w:type="dxa"/>
            <w:tcBorders>
              <w:top w:val="nil"/>
              <w:left w:val="single" w:sz="8" w:space="0" w:color="auto"/>
              <w:bottom w:val="single" w:sz="4" w:space="0" w:color="auto"/>
              <w:right w:val="single" w:sz="4" w:space="0" w:color="auto"/>
            </w:tcBorders>
            <w:vAlign w:val="bottom"/>
          </w:tcPr>
          <w:p w14:paraId="4C161CDC" w14:textId="77777777" w:rsidR="009021F1" w:rsidRPr="0029055B" w:rsidRDefault="009021F1" w:rsidP="00E637E3">
            <w:pPr>
              <w:rPr>
                <w:szCs w:val="21"/>
              </w:rPr>
            </w:pPr>
          </w:p>
        </w:tc>
        <w:tc>
          <w:tcPr>
            <w:tcW w:w="1767" w:type="dxa"/>
            <w:tcBorders>
              <w:top w:val="nil"/>
              <w:left w:val="single" w:sz="4" w:space="0" w:color="auto"/>
              <w:bottom w:val="single" w:sz="4" w:space="0" w:color="auto"/>
              <w:right w:val="single" w:sz="4" w:space="0" w:color="auto"/>
            </w:tcBorders>
            <w:vAlign w:val="bottom"/>
          </w:tcPr>
          <w:p w14:paraId="075DF48C" w14:textId="77777777" w:rsidR="009021F1" w:rsidRPr="0029055B" w:rsidRDefault="009021F1" w:rsidP="00E637E3">
            <w:pPr>
              <w:rPr>
                <w:szCs w:val="21"/>
              </w:rPr>
            </w:pPr>
            <w:r w:rsidRPr="0029055B">
              <w:rPr>
                <w:szCs w:val="21"/>
              </w:rPr>
              <w:t>Cyprinidae</w:t>
            </w:r>
          </w:p>
        </w:tc>
        <w:tc>
          <w:tcPr>
            <w:tcW w:w="2565" w:type="dxa"/>
            <w:tcBorders>
              <w:top w:val="nil"/>
              <w:left w:val="single" w:sz="4" w:space="0" w:color="auto"/>
              <w:bottom w:val="single" w:sz="4" w:space="0" w:color="auto"/>
              <w:right w:val="single" w:sz="4" w:space="0" w:color="auto"/>
            </w:tcBorders>
            <w:noWrap/>
            <w:vAlign w:val="bottom"/>
          </w:tcPr>
          <w:p w14:paraId="3A7B636B" w14:textId="77777777" w:rsidR="009021F1" w:rsidRPr="0029055B" w:rsidRDefault="009021F1" w:rsidP="00E637E3">
            <w:pPr>
              <w:rPr>
                <w:szCs w:val="21"/>
              </w:rPr>
            </w:pPr>
            <w:r w:rsidRPr="0029055B">
              <w:rPr>
                <w:szCs w:val="21"/>
              </w:rPr>
              <w:t>Barbus cardozoi</w:t>
            </w:r>
          </w:p>
        </w:tc>
        <w:tc>
          <w:tcPr>
            <w:tcW w:w="2693" w:type="dxa"/>
            <w:tcBorders>
              <w:top w:val="nil"/>
              <w:left w:val="nil"/>
              <w:bottom w:val="single" w:sz="4" w:space="0" w:color="auto"/>
              <w:right w:val="single" w:sz="4" w:space="0" w:color="auto"/>
            </w:tcBorders>
            <w:noWrap/>
            <w:vAlign w:val="bottom"/>
          </w:tcPr>
          <w:p w14:paraId="2AA1E16E" w14:textId="77777777" w:rsidR="009021F1" w:rsidRPr="0029055B" w:rsidRDefault="009021F1" w:rsidP="00E637E3">
            <w:pPr>
              <w:rPr>
                <w:szCs w:val="21"/>
              </w:rPr>
            </w:pPr>
            <w:r w:rsidRPr="0029055B">
              <w:rPr>
                <w:szCs w:val="21"/>
              </w:rPr>
              <w:t>Katendere</w:t>
            </w:r>
          </w:p>
        </w:tc>
        <w:tc>
          <w:tcPr>
            <w:tcW w:w="1375" w:type="dxa"/>
            <w:tcBorders>
              <w:top w:val="nil"/>
              <w:left w:val="nil"/>
              <w:bottom w:val="single" w:sz="4" w:space="0" w:color="auto"/>
              <w:right w:val="single" w:sz="4" w:space="0" w:color="auto"/>
            </w:tcBorders>
          </w:tcPr>
          <w:p w14:paraId="1F51FF79"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27C27583" w14:textId="77777777" w:rsidR="009021F1" w:rsidRPr="0029055B" w:rsidRDefault="009021F1" w:rsidP="00E637E3">
            <w:pPr>
              <w:rPr>
                <w:szCs w:val="21"/>
              </w:rPr>
            </w:pPr>
            <w:r w:rsidRPr="0029055B">
              <w:rPr>
                <w:szCs w:val="21"/>
              </w:rPr>
              <w:t>-</w:t>
            </w:r>
          </w:p>
        </w:tc>
        <w:tc>
          <w:tcPr>
            <w:tcW w:w="2814" w:type="dxa"/>
            <w:tcBorders>
              <w:top w:val="nil"/>
              <w:left w:val="nil"/>
              <w:bottom w:val="single" w:sz="4" w:space="0" w:color="auto"/>
              <w:right w:val="single" w:sz="8" w:space="0" w:color="auto"/>
            </w:tcBorders>
          </w:tcPr>
          <w:p w14:paraId="6A22F10A" w14:textId="77777777" w:rsidR="009021F1" w:rsidRPr="0029055B" w:rsidRDefault="009021F1" w:rsidP="00E637E3">
            <w:pPr>
              <w:rPr>
                <w:szCs w:val="21"/>
              </w:rPr>
            </w:pPr>
            <w:r w:rsidRPr="0029055B">
              <w:rPr>
                <w:szCs w:val="21"/>
              </w:rPr>
              <w:t xml:space="preserve">Aquat </w:t>
            </w:r>
          </w:p>
        </w:tc>
      </w:tr>
      <w:tr w:rsidR="009021F1" w:rsidRPr="0029055B" w14:paraId="1BFC149C" w14:textId="77777777" w:rsidTr="00E637E3">
        <w:trPr>
          <w:trHeight w:val="318"/>
        </w:trPr>
        <w:tc>
          <w:tcPr>
            <w:tcW w:w="1834" w:type="dxa"/>
            <w:tcBorders>
              <w:top w:val="nil"/>
              <w:left w:val="single" w:sz="8" w:space="0" w:color="auto"/>
              <w:bottom w:val="single" w:sz="4" w:space="0" w:color="auto"/>
              <w:right w:val="single" w:sz="4" w:space="0" w:color="auto"/>
            </w:tcBorders>
            <w:vAlign w:val="bottom"/>
          </w:tcPr>
          <w:p w14:paraId="01ED15DD" w14:textId="77777777" w:rsidR="009021F1" w:rsidRPr="0029055B" w:rsidRDefault="009021F1" w:rsidP="00E637E3">
            <w:pPr>
              <w:rPr>
                <w:szCs w:val="21"/>
              </w:rPr>
            </w:pPr>
          </w:p>
        </w:tc>
        <w:tc>
          <w:tcPr>
            <w:tcW w:w="1767" w:type="dxa"/>
            <w:tcBorders>
              <w:top w:val="nil"/>
              <w:left w:val="single" w:sz="4" w:space="0" w:color="auto"/>
              <w:bottom w:val="single" w:sz="4" w:space="0" w:color="auto"/>
              <w:right w:val="single" w:sz="4" w:space="0" w:color="auto"/>
            </w:tcBorders>
          </w:tcPr>
          <w:p w14:paraId="7F6C7AED" w14:textId="77777777" w:rsidR="009021F1" w:rsidRPr="0029055B" w:rsidRDefault="009021F1" w:rsidP="00E637E3">
            <w:pPr>
              <w:rPr>
                <w:szCs w:val="21"/>
              </w:rPr>
            </w:pPr>
            <w:r w:rsidRPr="0029055B">
              <w:rPr>
                <w:szCs w:val="21"/>
              </w:rPr>
              <w:t>Cyprinidae</w:t>
            </w:r>
          </w:p>
        </w:tc>
        <w:tc>
          <w:tcPr>
            <w:tcW w:w="2565" w:type="dxa"/>
            <w:tcBorders>
              <w:top w:val="nil"/>
              <w:left w:val="single" w:sz="4" w:space="0" w:color="auto"/>
              <w:bottom w:val="single" w:sz="4" w:space="0" w:color="auto"/>
              <w:right w:val="single" w:sz="4" w:space="0" w:color="auto"/>
            </w:tcBorders>
            <w:noWrap/>
            <w:vAlign w:val="bottom"/>
          </w:tcPr>
          <w:p w14:paraId="7FB4C66A" w14:textId="77777777" w:rsidR="009021F1" w:rsidRPr="0029055B" w:rsidRDefault="009021F1" w:rsidP="00E637E3">
            <w:pPr>
              <w:rPr>
                <w:szCs w:val="21"/>
              </w:rPr>
            </w:pPr>
            <w:r w:rsidRPr="0029055B">
              <w:rPr>
                <w:szCs w:val="21"/>
              </w:rPr>
              <w:t>Barbus dochmae</w:t>
            </w:r>
          </w:p>
        </w:tc>
        <w:tc>
          <w:tcPr>
            <w:tcW w:w="2693" w:type="dxa"/>
            <w:tcBorders>
              <w:top w:val="nil"/>
              <w:left w:val="nil"/>
              <w:bottom w:val="single" w:sz="4" w:space="0" w:color="auto"/>
              <w:right w:val="single" w:sz="4" w:space="0" w:color="auto"/>
            </w:tcBorders>
            <w:noWrap/>
            <w:vAlign w:val="bottom"/>
          </w:tcPr>
          <w:p w14:paraId="552CCC10" w14:textId="77777777" w:rsidR="009021F1" w:rsidRPr="0029055B" w:rsidRDefault="009021F1" w:rsidP="00E637E3">
            <w:pPr>
              <w:rPr>
                <w:szCs w:val="21"/>
              </w:rPr>
            </w:pPr>
            <w:r w:rsidRPr="0029055B">
              <w:rPr>
                <w:szCs w:val="21"/>
              </w:rPr>
              <w:t>Katendere, bidet</w:t>
            </w:r>
          </w:p>
        </w:tc>
        <w:tc>
          <w:tcPr>
            <w:tcW w:w="1375" w:type="dxa"/>
            <w:tcBorders>
              <w:top w:val="nil"/>
              <w:left w:val="nil"/>
              <w:bottom w:val="single" w:sz="4" w:space="0" w:color="auto"/>
              <w:right w:val="single" w:sz="4" w:space="0" w:color="auto"/>
            </w:tcBorders>
          </w:tcPr>
          <w:p w14:paraId="329D6FE2"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5CDA046C" w14:textId="77777777" w:rsidR="009021F1" w:rsidRPr="0029055B" w:rsidRDefault="009021F1" w:rsidP="00E637E3">
            <w:pPr>
              <w:rPr>
                <w:szCs w:val="21"/>
              </w:rPr>
            </w:pPr>
            <w:r w:rsidRPr="0029055B">
              <w:rPr>
                <w:szCs w:val="21"/>
              </w:rPr>
              <w:t>-</w:t>
            </w:r>
          </w:p>
        </w:tc>
        <w:tc>
          <w:tcPr>
            <w:tcW w:w="2814" w:type="dxa"/>
            <w:tcBorders>
              <w:top w:val="nil"/>
              <w:left w:val="nil"/>
              <w:bottom w:val="single" w:sz="4" w:space="0" w:color="auto"/>
              <w:right w:val="single" w:sz="8" w:space="0" w:color="auto"/>
            </w:tcBorders>
          </w:tcPr>
          <w:p w14:paraId="32E87C7A" w14:textId="77777777" w:rsidR="009021F1" w:rsidRPr="0029055B" w:rsidRDefault="009021F1" w:rsidP="00E637E3">
            <w:pPr>
              <w:rPr>
                <w:szCs w:val="21"/>
              </w:rPr>
            </w:pPr>
            <w:r w:rsidRPr="0029055B">
              <w:rPr>
                <w:szCs w:val="21"/>
              </w:rPr>
              <w:t>Aquat</w:t>
            </w:r>
          </w:p>
        </w:tc>
      </w:tr>
      <w:tr w:rsidR="009021F1" w:rsidRPr="0029055B" w14:paraId="64B1EB8E" w14:textId="77777777" w:rsidTr="00E637E3">
        <w:trPr>
          <w:trHeight w:val="195"/>
        </w:trPr>
        <w:tc>
          <w:tcPr>
            <w:tcW w:w="1834" w:type="dxa"/>
            <w:tcBorders>
              <w:top w:val="nil"/>
              <w:left w:val="single" w:sz="8" w:space="0" w:color="auto"/>
              <w:bottom w:val="single" w:sz="4" w:space="0" w:color="auto"/>
              <w:right w:val="single" w:sz="4" w:space="0" w:color="auto"/>
            </w:tcBorders>
            <w:vAlign w:val="bottom"/>
          </w:tcPr>
          <w:p w14:paraId="30AF78AB" w14:textId="77777777" w:rsidR="009021F1" w:rsidRPr="0029055B" w:rsidRDefault="009021F1" w:rsidP="00E637E3">
            <w:pPr>
              <w:rPr>
                <w:szCs w:val="21"/>
              </w:rPr>
            </w:pPr>
          </w:p>
        </w:tc>
        <w:tc>
          <w:tcPr>
            <w:tcW w:w="1767" w:type="dxa"/>
            <w:tcBorders>
              <w:top w:val="nil"/>
              <w:left w:val="single" w:sz="4" w:space="0" w:color="auto"/>
              <w:bottom w:val="single" w:sz="4" w:space="0" w:color="auto"/>
              <w:right w:val="single" w:sz="4" w:space="0" w:color="auto"/>
            </w:tcBorders>
          </w:tcPr>
          <w:p w14:paraId="56B50359" w14:textId="77777777" w:rsidR="009021F1" w:rsidRPr="0029055B" w:rsidRDefault="009021F1" w:rsidP="00E637E3">
            <w:pPr>
              <w:rPr>
                <w:szCs w:val="21"/>
              </w:rPr>
            </w:pPr>
            <w:r w:rsidRPr="0029055B">
              <w:rPr>
                <w:szCs w:val="21"/>
              </w:rPr>
              <w:t>Cyprinidae</w:t>
            </w:r>
          </w:p>
        </w:tc>
        <w:tc>
          <w:tcPr>
            <w:tcW w:w="2565" w:type="dxa"/>
            <w:tcBorders>
              <w:top w:val="nil"/>
              <w:left w:val="single" w:sz="4" w:space="0" w:color="auto"/>
              <w:bottom w:val="single" w:sz="4" w:space="0" w:color="auto"/>
              <w:right w:val="single" w:sz="4" w:space="0" w:color="auto"/>
            </w:tcBorders>
            <w:noWrap/>
            <w:vAlign w:val="bottom"/>
          </w:tcPr>
          <w:p w14:paraId="794E5541" w14:textId="77777777" w:rsidR="009021F1" w:rsidRPr="0029055B" w:rsidRDefault="009021F1" w:rsidP="00E637E3">
            <w:pPr>
              <w:rPr>
                <w:szCs w:val="21"/>
              </w:rPr>
            </w:pPr>
            <w:r w:rsidRPr="0029055B">
              <w:rPr>
                <w:szCs w:val="21"/>
              </w:rPr>
              <w:t>Barbus holotaenia</w:t>
            </w:r>
          </w:p>
        </w:tc>
        <w:tc>
          <w:tcPr>
            <w:tcW w:w="2693" w:type="dxa"/>
            <w:tcBorders>
              <w:top w:val="nil"/>
              <w:left w:val="nil"/>
              <w:bottom w:val="single" w:sz="4" w:space="0" w:color="auto"/>
              <w:right w:val="single" w:sz="4" w:space="0" w:color="auto"/>
            </w:tcBorders>
            <w:noWrap/>
            <w:vAlign w:val="bottom"/>
          </w:tcPr>
          <w:p w14:paraId="4D299C58" w14:textId="77777777" w:rsidR="009021F1" w:rsidRPr="0029055B" w:rsidRDefault="009021F1" w:rsidP="00E637E3">
            <w:pPr>
              <w:rPr>
                <w:szCs w:val="21"/>
              </w:rPr>
            </w:pPr>
            <w:r w:rsidRPr="0029055B">
              <w:rPr>
                <w:szCs w:val="21"/>
              </w:rPr>
              <w:t>Katendere, Bidet</w:t>
            </w:r>
          </w:p>
        </w:tc>
        <w:tc>
          <w:tcPr>
            <w:tcW w:w="1375" w:type="dxa"/>
            <w:tcBorders>
              <w:top w:val="nil"/>
              <w:left w:val="nil"/>
              <w:bottom w:val="single" w:sz="4" w:space="0" w:color="auto"/>
              <w:right w:val="single" w:sz="4" w:space="0" w:color="auto"/>
            </w:tcBorders>
          </w:tcPr>
          <w:p w14:paraId="505FAE04"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01A3A553" w14:textId="77777777" w:rsidR="009021F1" w:rsidRPr="0029055B" w:rsidRDefault="009021F1" w:rsidP="00E637E3">
            <w:pPr>
              <w:rPr>
                <w:szCs w:val="21"/>
              </w:rPr>
            </w:pPr>
            <w:r w:rsidRPr="0029055B">
              <w:rPr>
                <w:szCs w:val="21"/>
              </w:rPr>
              <w:t>-</w:t>
            </w:r>
          </w:p>
        </w:tc>
        <w:tc>
          <w:tcPr>
            <w:tcW w:w="2814" w:type="dxa"/>
            <w:tcBorders>
              <w:top w:val="nil"/>
              <w:left w:val="nil"/>
              <w:bottom w:val="single" w:sz="4" w:space="0" w:color="auto"/>
              <w:right w:val="single" w:sz="8" w:space="0" w:color="auto"/>
            </w:tcBorders>
          </w:tcPr>
          <w:p w14:paraId="7E0A1AC5" w14:textId="77777777" w:rsidR="009021F1" w:rsidRPr="0029055B" w:rsidRDefault="009021F1" w:rsidP="00E637E3">
            <w:pPr>
              <w:rPr>
                <w:szCs w:val="21"/>
              </w:rPr>
            </w:pPr>
            <w:r w:rsidRPr="0029055B">
              <w:rPr>
                <w:szCs w:val="21"/>
              </w:rPr>
              <w:t>Aquat</w:t>
            </w:r>
          </w:p>
        </w:tc>
      </w:tr>
      <w:tr w:rsidR="009021F1" w:rsidRPr="0029055B" w14:paraId="0DCA8482" w14:textId="77777777" w:rsidTr="00E637E3">
        <w:trPr>
          <w:trHeight w:val="285"/>
        </w:trPr>
        <w:tc>
          <w:tcPr>
            <w:tcW w:w="1834" w:type="dxa"/>
            <w:tcBorders>
              <w:top w:val="single" w:sz="4" w:space="0" w:color="auto"/>
              <w:left w:val="single" w:sz="8" w:space="0" w:color="auto"/>
              <w:bottom w:val="single" w:sz="4" w:space="0" w:color="auto"/>
              <w:right w:val="single" w:sz="4" w:space="0" w:color="auto"/>
            </w:tcBorders>
            <w:vAlign w:val="bottom"/>
          </w:tcPr>
          <w:p w14:paraId="18A692DC" w14:textId="77777777" w:rsidR="009021F1" w:rsidRPr="0029055B" w:rsidRDefault="009021F1" w:rsidP="00E637E3">
            <w:pPr>
              <w:rPr>
                <w:szCs w:val="21"/>
              </w:rPr>
            </w:pPr>
          </w:p>
        </w:tc>
        <w:tc>
          <w:tcPr>
            <w:tcW w:w="1767" w:type="dxa"/>
            <w:tcBorders>
              <w:top w:val="nil"/>
              <w:left w:val="single" w:sz="4" w:space="0" w:color="auto"/>
              <w:bottom w:val="single" w:sz="4" w:space="0" w:color="auto"/>
              <w:right w:val="single" w:sz="4" w:space="0" w:color="auto"/>
            </w:tcBorders>
            <w:vAlign w:val="bottom"/>
          </w:tcPr>
          <w:p w14:paraId="495CC775" w14:textId="77777777" w:rsidR="009021F1" w:rsidRPr="0029055B" w:rsidRDefault="009021F1" w:rsidP="00E637E3">
            <w:pPr>
              <w:rPr>
                <w:szCs w:val="21"/>
              </w:rPr>
            </w:pPr>
          </w:p>
        </w:tc>
        <w:tc>
          <w:tcPr>
            <w:tcW w:w="2565" w:type="dxa"/>
            <w:tcBorders>
              <w:top w:val="nil"/>
              <w:left w:val="single" w:sz="4" w:space="0" w:color="auto"/>
              <w:bottom w:val="single" w:sz="4" w:space="0" w:color="auto"/>
              <w:right w:val="single" w:sz="4" w:space="0" w:color="auto"/>
            </w:tcBorders>
            <w:noWrap/>
            <w:vAlign w:val="bottom"/>
          </w:tcPr>
          <w:p w14:paraId="075C9C90" w14:textId="77777777" w:rsidR="009021F1" w:rsidRPr="0029055B" w:rsidRDefault="009021F1" w:rsidP="00E637E3">
            <w:pPr>
              <w:rPr>
                <w:szCs w:val="21"/>
              </w:rPr>
            </w:pPr>
            <w:r w:rsidRPr="0029055B">
              <w:rPr>
                <w:szCs w:val="21"/>
              </w:rPr>
              <w:t>Chrysichtis bagrus</w:t>
            </w:r>
          </w:p>
        </w:tc>
        <w:tc>
          <w:tcPr>
            <w:tcW w:w="2693" w:type="dxa"/>
            <w:tcBorders>
              <w:top w:val="nil"/>
              <w:left w:val="nil"/>
              <w:bottom w:val="single" w:sz="4" w:space="0" w:color="auto"/>
              <w:right w:val="single" w:sz="4" w:space="0" w:color="auto"/>
            </w:tcBorders>
            <w:noWrap/>
            <w:vAlign w:val="bottom"/>
          </w:tcPr>
          <w:p w14:paraId="06EEF79D" w14:textId="77777777" w:rsidR="009021F1" w:rsidRPr="0029055B" w:rsidRDefault="009021F1" w:rsidP="00E637E3">
            <w:pPr>
              <w:rPr>
                <w:szCs w:val="21"/>
              </w:rPr>
            </w:pPr>
            <w:r w:rsidRPr="0029055B">
              <w:rPr>
                <w:szCs w:val="21"/>
              </w:rPr>
              <w:t>Kihomba</w:t>
            </w:r>
          </w:p>
        </w:tc>
        <w:tc>
          <w:tcPr>
            <w:tcW w:w="1375" w:type="dxa"/>
            <w:tcBorders>
              <w:top w:val="nil"/>
              <w:left w:val="nil"/>
              <w:bottom w:val="single" w:sz="4" w:space="0" w:color="auto"/>
              <w:right w:val="single" w:sz="4" w:space="0" w:color="auto"/>
            </w:tcBorders>
          </w:tcPr>
          <w:p w14:paraId="189DF776"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7F2B30E5" w14:textId="77777777" w:rsidR="009021F1" w:rsidRPr="0029055B" w:rsidRDefault="009021F1" w:rsidP="00E637E3">
            <w:pPr>
              <w:rPr>
                <w:szCs w:val="21"/>
              </w:rPr>
            </w:pPr>
            <w:r w:rsidRPr="0029055B">
              <w:rPr>
                <w:szCs w:val="21"/>
              </w:rPr>
              <w:t>-</w:t>
            </w:r>
          </w:p>
        </w:tc>
        <w:tc>
          <w:tcPr>
            <w:tcW w:w="2814" w:type="dxa"/>
            <w:tcBorders>
              <w:top w:val="nil"/>
              <w:left w:val="nil"/>
              <w:bottom w:val="single" w:sz="4" w:space="0" w:color="auto"/>
              <w:right w:val="single" w:sz="8" w:space="0" w:color="auto"/>
            </w:tcBorders>
          </w:tcPr>
          <w:p w14:paraId="36FFC8E3" w14:textId="77777777" w:rsidR="009021F1" w:rsidRPr="0029055B" w:rsidRDefault="009021F1" w:rsidP="00E637E3">
            <w:pPr>
              <w:rPr>
                <w:szCs w:val="21"/>
              </w:rPr>
            </w:pPr>
            <w:r w:rsidRPr="0029055B">
              <w:rPr>
                <w:szCs w:val="21"/>
              </w:rPr>
              <w:t>Aquat</w:t>
            </w:r>
          </w:p>
        </w:tc>
      </w:tr>
      <w:tr w:rsidR="009021F1" w:rsidRPr="0029055B" w14:paraId="584B6780" w14:textId="77777777" w:rsidTr="00E637E3">
        <w:trPr>
          <w:trHeight w:val="247"/>
        </w:trPr>
        <w:tc>
          <w:tcPr>
            <w:tcW w:w="1834" w:type="dxa"/>
            <w:tcBorders>
              <w:top w:val="nil"/>
              <w:left w:val="single" w:sz="8" w:space="0" w:color="auto"/>
              <w:bottom w:val="single" w:sz="4" w:space="0" w:color="auto"/>
              <w:right w:val="single" w:sz="4" w:space="0" w:color="auto"/>
            </w:tcBorders>
            <w:vAlign w:val="bottom"/>
          </w:tcPr>
          <w:p w14:paraId="2D4A331D" w14:textId="77777777" w:rsidR="009021F1" w:rsidRPr="0029055B" w:rsidRDefault="009021F1" w:rsidP="00E637E3">
            <w:pPr>
              <w:rPr>
                <w:szCs w:val="21"/>
              </w:rPr>
            </w:pPr>
            <w:r w:rsidRPr="0029055B">
              <w:rPr>
                <w:szCs w:val="21"/>
              </w:rPr>
              <w:t>Cichlidés</w:t>
            </w:r>
          </w:p>
        </w:tc>
        <w:tc>
          <w:tcPr>
            <w:tcW w:w="1767" w:type="dxa"/>
            <w:tcBorders>
              <w:top w:val="nil"/>
              <w:left w:val="single" w:sz="4" w:space="0" w:color="auto"/>
              <w:bottom w:val="single" w:sz="4" w:space="0" w:color="auto"/>
              <w:right w:val="single" w:sz="4" w:space="0" w:color="auto"/>
            </w:tcBorders>
            <w:vAlign w:val="bottom"/>
          </w:tcPr>
          <w:p w14:paraId="1297A8BE" w14:textId="77777777" w:rsidR="009021F1" w:rsidRPr="0029055B" w:rsidRDefault="009021F1" w:rsidP="00E637E3">
            <w:pPr>
              <w:rPr>
                <w:szCs w:val="21"/>
              </w:rPr>
            </w:pPr>
          </w:p>
        </w:tc>
        <w:tc>
          <w:tcPr>
            <w:tcW w:w="2565" w:type="dxa"/>
            <w:tcBorders>
              <w:top w:val="nil"/>
              <w:left w:val="single" w:sz="4" w:space="0" w:color="auto"/>
              <w:bottom w:val="single" w:sz="4" w:space="0" w:color="auto"/>
              <w:right w:val="single" w:sz="4" w:space="0" w:color="auto"/>
            </w:tcBorders>
            <w:noWrap/>
            <w:vAlign w:val="bottom"/>
          </w:tcPr>
          <w:p w14:paraId="5F314641" w14:textId="77777777" w:rsidR="009021F1" w:rsidRPr="0029055B" w:rsidRDefault="009021F1" w:rsidP="00E637E3">
            <w:pPr>
              <w:rPr>
                <w:szCs w:val="21"/>
              </w:rPr>
            </w:pPr>
            <w:r w:rsidRPr="0029055B">
              <w:rPr>
                <w:szCs w:val="21"/>
              </w:rPr>
              <w:t>Clarias lazera</w:t>
            </w:r>
          </w:p>
        </w:tc>
        <w:tc>
          <w:tcPr>
            <w:tcW w:w="2693" w:type="dxa"/>
            <w:tcBorders>
              <w:top w:val="nil"/>
              <w:left w:val="nil"/>
              <w:bottom w:val="single" w:sz="4" w:space="0" w:color="auto"/>
              <w:right w:val="single" w:sz="4" w:space="0" w:color="auto"/>
            </w:tcBorders>
            <w:noWrap/>
            <w:vAlign w:val="bottom"/>
          </w:tcPr>
          <w:p w14:paraId="00612587" w14:textId="77777777" w:rsidR="009021F1" w:rsidRPr="0029055B" w:rsidRDefault="009021F1" w:rsidP="00E637E3">
            <w:pPr>
              <w:rPr>
                <w:szCs w:val="21"/>
              </w:rPr>
            </w:pPr>
            <w:r w:rsidRPr="0029055B">
              <w:rPr>
                <w:szCs w:val="21"/>
              </w:rPr>
              <w:t>Ngolo, Kabambale</w:t>
            </w:r>
          </w:p>
        </w:tc>
        <w:tc>
          <w:tcPr>
            <w:tcW w:w="1375" w:type="dxa"/>
            <w:tcBorders>
              <w:top w:val="nil"/>
              <w:left w:val="nil"/>
              <w:bottom w:val="single" w:sz="4" w:space="0" w:color="auto"/>
              <w:right w:val="single" w:sz="4" w:space="0" w:color="auto"/>
            </w:tcBorders>
          </w:tcPr>
          <w:p w14:paraId="29E94D76"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764D8227" w14:textId="77777777" w:rsidR="009021F1" w:rsidRPr="0029055B" w:rsidRDefault="009021F1" w:rsidP="00E637E3">
            <w:pPr>
              <w:rPr>
                <w:szCs w:val="21"/>
              </w:rPr>
            </w:pPr>
            <w:r w:rsidRPr="0029055B">
              <w:rPr>
                <w:szCs w:val="21"/>
              </w:rPr>
              <w:t>-</w:t>
            </w:r>
          </w:p>
        </w:tc>
        <w:tc>
          <w:tcPr>
            <w:tcW w:w="2814" w:type="dxa"/>
            <w:tcBorders>
              <w:top w:val="nil"/>
              <w:left w:val="nil"/>
              <w:bottom w:val="single" w:sz="4" w:space="0" w:color="auto"/>
              <w:right w:val="single" w:sz="8" w:space="0" w:color="auto"/>
            </w:tcBorders>
          </w:tcPr>
          <w:p w14:paraId="16871C0A" w14:textId="77777777" w:rsidR="009021F1" w:rsidRPr="0029055B" w:rsidRDefault="009021F1" w:rsidP="00E637E3">
            <w:pPr>
              <w:rPr>
                <w:szCs w:val="21"/>
              </w:rPr>
            </w:pPr>
            <w:r w:rsidRPr="0029055B">
              <w:rPr>
                <w:szCs w:val="21"/>
              </w:rPr>
              <w:t>Aquat</w:t>
            </w:r>
          </w:p>
        </w:tc>
      </w:tr>
      <w:tr w:rsidR="009021F1" w:rsidRPr="0029055B" w14:paraId="2CC98A9B" w14:textId="77777777" w:rsidTr="00E637E3">
        <w:trPr>
          <w:trHeight w:val="278"/>
        </w:trPr>
        <w:tc>
          <w:tcPr>
            <w:tcW w:w="1834" w:type="dxa"/>
            <w:tcBorders>
              <w:top w:val="nil"/>
              <w:left w:val="single" w:sz="8" w:space="0" w:color="auto"/>
              <w:bottom w:val="single" w:sz="4" w:space="0" w:color="auto"/>
              <w:right w:val="single" w:sz="4" w:space="0" w:color="auto"/>
            </w:tcBorders>
            <w:vAlign w:val="bottom"/>
          </w:tcPr>
          <w:p w14:paraId="5FCE785C" w14:textId="77777777" w:rsidR="009021F1" w:rsidRPr="0029055B" w:rsidRDefault="009021F1" w:rsidP="00E637E3">
            <w:pPr>
              <w:rPr>
                <w:szCs w:val="21"/>
              </w:rPr>
            </w:pPr>
            <w:r w:rsidRPr="0029055B">
              <w:rPr>
                <w:szCs w:val="21"/>
              </w:rPr>
              <w:t>Cypriniformes</w:t>
            </w:r>
          </w:p>
        </w:tc>
        <w:tc>
          <w:tcPr>
            <w:tcW w:w="1767" w:type="dxa"/>
            <w:tcBorders>
              <w:top w:val="nil"/>
              <w:left w:val="single" w:sz="4" w:space="0" w:color="auto"/>
              <w:bottom w:val="single" w:sz="4" w:space="0" w:color="auto"/>
              <w:right w:val="single" w:sz="4" w:space="0" w:color="auto"/>
            </w:tcBorders>
            <w:vAlign w:val="bottom"/>
          </w:tcPr>
          <w:p w14:paraId="0EEC399E" w14:textId="77777777" w:rsidR="009021F1" w:rsidRPr="0029055B" w:rsidRDefault="009021F1" w:rsidP="00E637E3">
            <w:pPr>
              <w:rPr>
                <w:szCs w:val="21"/>
              </w:rPr>
            </w:pPr>
            <w:r w:rsidRPr="0029055B">
              <w:rPr>
                <w:szCs w:val="21"/>
              </w:rPr>
              <w:t>Cyprinidae</w:t>
            </w:r>
          </w:p>
        </w:tc>
        <w:tc>
          <w:tcPr>
            <w:tcW w:w="2565" w:type="dxa"/>
            <w:tcBorders>
              <w:top w:val="nil"/>
              <w:left w:val="single" w:sz="4" w:space="0" w:color="auto"/>
              <w:bottom w:val="single" w:sz="4" w:space="0" w:color="auto"/>
              <w:right w:val="single" w:sz="4" w:space="0" w:color="auto"/>
            </w:tcBorders>
            <w:noWrap/>
            <w:vAlign w:val="bottom"/>
          </w:tcPr>
          <w:p w14:paraId="176B0DDC" w14:textId="77777777" w:rsidR="009021F1" w:rsidRPr="0029055B" w:rsidRDefault="009021F1" w:rsidP="00E637E3">
            <w:pPr>
              <w:rPr>
                <w:szCs w:val="21"/>
              </w:rPr>
            </w:pPr>
            <w:r w:rsidRPr="0029055B">
              <w:rPr>
                <w:szCs w:val="21"/>
              </w:rPr>
              <w:t>Cyprinus carpio</w:t>
            </w:r>
          </w:p>
        </w:tc>
        <w:tc>
          <w:tcPr>
            <w:tcW w:w="2693" w:type="dxa"/>
            <w:tcBorders>
              <w:top w:val="nil"/>
              <w:left w:val="nil"/>
              <w:bottom w:val="single" w:sz="4" w:space="0" w:color="auto"/>
              <w:right w:val="single" w:sz="4" w:space="0" w:color="auto"/>
            </w:tcBorders>
            <w:noWrap/>
            <w:vAlign w:val="bottom"/>
          </w:tcPr>
          <w:p w14:paraId="00FF71E4" w14:textId="77777777" w:rsidR="009021F1" w:rsidRPr="0029055B" w:rsidRDefault="009021F1" w:rsidP="00E637E3">
            <w:pPr>
              <w:rPr>
                <w:szCs w:val="21"/>
              </w:rPr>
            </w:pPr>
            <w:r w:rsidRPr="0029055B">
              <w:rPr>
                <w:szCs w:val="21"/>
              </w:rPr>
              <w:t>carpes</w:t>
            </w:r>
          </w:p>
        </w:tc>
        <w:tc>
          <w:tcPr>
            <w:tcW w:w="1375" w:type="dxa"/>
            <w:tcBorders>
              <w:top w:val="nil"/>
              <w:left w:val="nil"/>
              <w:bottom w:val="single" w:sz="4" w:space="0" w:color="auto"/>
              <w:right w:val="single" w:sz="4" w:space="0" w:color="auto"/>
            </w:tcBorders>
          </w:tcPr>
          <w:p w14:paraId="62C0D772"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1B162348" w14:textId="77777777" w:rsidR="009021F1" w:rsidRPr="0029055B" w:rsidRDefault="009021F1" w:rsidP="00E637E3">
            <w:pPr>
              <w:rPr>
                <w:szCs w:val="21"/>
              </w:rPr>
            </w:pPr>
            <w:r w:rsidRPr="0029055B">
              <w:rPr>
                <w:szCs w:val="21"/>
              </w:rPr>
              <w:t>-</w:t>
            </w:r>
          </w:p>
        </w:tc>
        <w:tc>
          <w:tcPr>
            <w:tcW w:w="2814" w:type="dxa"/>
            <w:tcBorders>
              <w:top w:val="nil"/>
              <w:left w:val="nil"/>
              <w:bottom w:val="single" w:sz="8" w:space="0" w:color="auto"/>
              <w:right w:val="single" w:sz="8" w:space="0" w:color="auto"/>
            </w:tcBorders>
          </w:tcPr>
          <w:p w14:paraId="3B54518E" w14:textId="77777777" w:rsidR="009021F1" w:rsidRPr="0029055B" w:rsidRDefault="009021F1" w:rsidP="00E637E3">
            <w:pPr>
              <w:rPr>
                <w:szCs w:val="21"/>
              </w:rPr>
            </w:pPr>
            <w:r w:rsidRPr="0029055B">
              <w:rPr>
                <w:szCs w:val="21"/>
              </w:rPr>
              <w:t>Aquat</w:t>
            </w:r>
          </w:p>
        </w:tc>
      </w:tr>
      <w:tr w:rsidR="009021F1" w:rsidRPr="0029055B" w14:paraId="055C874A" w14:textId="77777777" w:rsidTr="00E637E3">
        <w:trPr>
          <w:trHeight w:val="259"/>
        </w:trPr>
        <w:tc>
          <w:tcPr>
            <w:tcW w:w="1834" w:type="dxa"/>
            <w:tcBorders>
              <w:top w:val="nil"/>
              <w:left w:val="single" w:sz="8" w:space="0" w:color="auto"/>
              <w:bottom w:val="single" w:sz="8" w:space="0" w:color="auto"/>
              <w:right w:val="single" w:sz="4" w:space="0" w:color="auto"/>
            </w:tcBorders>
            <w:vAlign w:val="bottom"/>
          </w:tcPr>
          <w:p w14:paraId="4AD723DD" w14:textId="77777777" w:rsidR="009021F1" w:rsidRPr="0029055B" w:rsidRDefault="009021F1" w:rsidP="00E637E3">
            <w:pPr>
              <w:rPr>
                <w:szCs w:val="21"/>
              </w:rPr>
            </w:pPr>
            <w:r w:rsidRPr="0029055B">
              <w:rPr>
                <w:szCs w:val="21"/>
              </w:rPr>
              <w:t>Cypriniformes</w:t>
            </w:r>
          </w:p>
        </w:tc>
        <w:tc>
          <w:tcPr>
            <w:tcW w:w="1767" w:type="dxa"/>
            <w:tcBorders>
              <w:top w:val="nil"/>
              <w:left w:val="single" w:sz="4" w:space="0" w:color="auto"/>
              <w:bottom w:val="single" w:sz="4" w:space="0" w:color="auto"/>
              <w:right w:val="single" w:sz="4" w:space="0" w:color="auto"/>
            </w:tcBorders>
            <w:vAlign w:val="bottom"/>
          </w:tcPr>
          <w:p w14:paraId="3A87C108" w14:textId="77777777" w:rsidR="009021F1" w:rsidRPr="0029055B" w:rsidRDefault="009021F1" w:rsidP="00E637E3">
            <w:pPr>
              <w:rPr>
                <w:szCs w:val="21"/>
              </w:rPr>
            </w:pPr>
            <w:r w:rsidRPr="0029055B">
              <w:rPr>
                <w:szCs w:val="21"/>
              </w:rPr>
              <w:t>Penaeidae</w:t>
            </w:r>
          </w:p>
        </w:tc>
        <w:tc>
          <w:tcPr>
            <w:tcW w:w="2565" w:type="dxa"/>
            <w:tcBorders>
              <w:top w:val="nil"/>
              <w:left w:val="single" w:sz="4" w:space="0" w:color="auto"/>
              <w:bottom w:val="single" w:sz="4" w:space="0" w:color="auto"/>
              <w:right w:val="single" w:sz="4" w:space="0" w:color="auto"/>
            </w:tcBorders>
            <w:noWrap/>
            <w:vAlign w:val="bottom"/>
          </w:tcPr>
          <w:p w14:paraId="05053164" w14:textId="77777777" w:rsidR="009021F1" w:rsidRPr="0029055B" w:rsidRDefault="009021F1" w:rsidP="00E637E3">
            <w:pPr>
              <w:rPr>
                <w:szCs w:val="21"/>
              </w:rPr>
            </w:pPr>
            <w:r w:rsidRPr="0029055B">
              <w:rPr>
                <w:szCs w:val="21"/>
              </w:rPr>
              <w:t>Erpetoichthys calabancus</w:t>
            </w:r>
          </w:p>
        </w:tc>
        <w:tc>
          <w:tcPr>
            <w:tcW w:w="2693" w:type="dxa"/>
            <w:tcBorders>
              <w:top w:val="nil"/>
              <w:left w:val="nil"/>
              <w:bottom w:val="single" w:sz="4" w:space="0" w:color="auto"/>
              <w:right w:val="single" w:sz="4" w:space="0" w:color="auto"/>
            </w:tcBorders>
            <w:noWrap/>
            <w:vAlign w:val="bottom"/>
          </w:tcPr>
          <w:p w14:paraId="334488DE" w14:textId="77777777" w:rsidR="009021F1" w:rsidRPr="0029055B" w:rsidRDefault="009021F1" w:rsidP="00E637E3">
            <w:pPr>
              <w:rPr>
                <w:szCs w:val="21"/>
              </w:rPr>
            </w:pPr>
          </w:p>
        </w:tc>
        <w:tc>
          <w:tcPr>
            <w:tcW w:w="1375" w:type="dxa"/>
            <w:tcBorders>
              <w:top w:val="nil"/>
              <w:left w:val="nil"/>
              <w:bottom w:val="single" w:sz="4" w:space="0" w:color="auto"/>
              <w:right w:val="single" w:sz="4" w:space="0" w:color="auto"/>
            </w:tcBorders>
          </w:tcPr>
          <w:p w14:paraId="674387AF"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24B93904" w14:textId="77777777" w:rsidR="009021F1" w:rsidRPr="0029055B" w:rsidRDefault="009021F1" w:rsidP="00E637E3">
            <w:pPr>
              <w:rPr>
                <w:szCs w:val="21"/>
              </w:rPr>
            </w:pPr>
            <w:r w:rsidRPr="0029055B">
              <w:rPr>
                <w:szCs w:val="21"/>
              </w:rPr>
              <w:t>-</w:t>
            </w:r>
          </w:p>
        </w:tc>
        <w:tc>
          <w:tcPr>
            <w:tcW w:w="2814" w:type="dxa"/>
            <w:tcBorders>
              <w:top w:val="single" w:sz="8" w:space="0" w:color="auto"/>
              <w:left w:val="nil"/>
              <w:bottom w:val="single" w:sz="4" w:space="0" w:color="auto"/>
              <w:right w:val="single" w:sz="8" w:space="0" w:color="auto"/>
            </w:tcBorders>
          </w:tcPr>
          <w:p w14:paraId="70CD0C44" w14:textId="77777777" w:rsidR="009021F1" w:rsidRPr="0029055B" w:rsidRDefault="009021F1" w:rsidP="00E637E3">
            <w:pPr>
              <w:rPr>
                <w:szCs w:val="21"/>
              </w:rPr>
            </w:pPr>
            <w:r w:rsidRPr="0029055B">
              <w:rPr>
                <w:szCs w:val="21"/>
              </w:rPr>
              <w:t>Aquat</w:t>
            </w:r>
          </w:p>
        </w:tc>
      </w:tr>
      <w:tr w:rsidR="009021F1" w:rsidRPr="0029055B" w14:paraId="5593CF7E" w14:textId="77777777" w:rsidTr="00E637E3">
        <w:trPr>
          <w:trHeight w:val="206"/>
        </w:trPr>
        <w:tc>
          <w:tcPr>
            <w:tcW w:w="1834" w:type="dxa"/>
            <w:tcBorders>
              <w:top w:val="single" w:sz="8" w:space="0" w:color="auto"/>
              <w:left w:val="single" w:sz="8" w:space="0" w:color="auto"/>
              <w:bottom w:val="single" w:sz="4" w:space="0" w:color="auto"/>
              <w:right w:val="single" w:sz="4" w:space="0" w:color="auto"/>
            </w:tcBorders>
            <w:vAlign w:val="bottom"/>
          </w:tcPr>
          <w:p w14:paraId="49BEDBA7" w14:textId="77777777" w:rsidR="009021F1" w:rsidRPr="0029055B" w:rsidRDefault="009021F1" w:rsidP="00E637E3">
            <w:pPr>
              <w:rPr>
                <w:szCs w:val="21"/>
              </w:rPr>
            </w:pPr>
            <w:r w:rsidRPr="0029055B">
              <w:rPr>
                <w:szCs w:val="21"/>
              </w:rPr>
              <w:t>Cypriniformes</w:t>
            </w:r>
          </w:p>
        </w:tc>
        <w:tc>
          <w:tcPr>
            <w:tcW w:w="1767" w:type="dxa"/>
            <w:tcBorders>
              <w:top w:val="nil"/>
              <w:left w:val="single" w:sz="4" w:space="0" w:color="auto"/>
              <w:bottom w:val="single" w:sz="4" w:space="0" w:color="auto"/>
              <w:right w:val="single" w:sz="4" w:space="0" w:color="auto"/>
            </w:tcBorders>
            <w:vAlign w:val="bottom"/>
          </w:tcPr>
          <w:p w14:paraId="39FD713B" w14:textId="77777777" w:rsidR="009021F1" w:rsidRPr="0029055B" w:rsidRDefault="009021F1" w:rsidP="00E637E3">
            <w:pPr>
              <w:rPr>
                <w:szCs w:val="21"/>
              </w:rPr>
            </w:pPr>
            <w:r w:rsidRPr="0029055B">
              <w:rPr>
                <w:szCs w:val="21"/>
              </w:rPr>
              <w:t>Cyprinidae</w:t>
            </w:r>
          </w:p>
        </w:tc>
        <w:tc>
          <w:tcPr>
            <w:tcW w:w="2565" w:type="dxa"/>
            <w:tcBorders>
              <w:top w:val="nil"/>
              <w:left w:val="single" w:sz="4" w:space="0" w:color="auto"/>
              <w:bottom w:val="single" w:sz="4" w:space="0" w:color="auto"/>
              <w:right w:val="single" w:sz="4" w:space="0" w:color="auto"/>
            </w:tcBorders>
            <w:noWrap/>
            <w:vAlign w:val="bottom"/>
          </w:tcPr>
          <w:p w14:paraId="4AEDBCEC" w14:textId="77777777" w:rsidR="009021F1" w:rsidRPr="0029055B" w:rsidRDefault="009021F1" w:rsidP="00E637E3">
            <w:pPr>
              <w:rPr>
                <w:szCs w:val="21"/>
              </w:rPr>
            </w:pPr>
            <w:r w:rsidRPr="0029055B">
              <w:rPr>
                <w:szCs w:val="21"/>
              </w:rPr>
              <w:t>Gogio golio</w:t>
            </w:r>
          </w:p>
        </w:tc>
        <w:tc>
          <w:tcPr>
            <w:tcW w:w="2693" w:type="dxa"/>
            <w:tcBorders>
              <w:top w:val="nil"/>
              <w:left w:val="nil"/>
              <w:bottom w:val="single" w:sz="4" w:space="0" w:color="auto"/>
              <w:right w:val="single" w:sz="4" w:space="0" w:color="auto"/>
            </w:tcBorders>
            <w:noWrap/>
            <w:vAlign w:val="bottom"/>
          </w:tcPr>
          <w:p w14:paraId="1D75976F" w14:textId="77777777" w:rsidR="009021F1" w:rsidRPr="0029055B" w:rsidRDefault="009021F1" w:rsidP="00E637E3">
            <w:pPr>
              <w:rPr>
                <w:szCs w:val="21"/>
              </w:rPr>
            </w:pPr>
            <w:r w:rsidRPr="0029055B">
              <w:rPr>
                <w:szCs w:val="21"/>
              </w:rPr>
              <w:t>Goujon</w:t>
            </w:r>
          </w:p>
        </w:tc>
        <w:tc>
          <w:tcPr>
            <w:tcW w:w="1375" w:type="dxa"/>
            <w:tcBorders>
              <w:top w:val="nil"/>
              <w:left w:val="nil"/>
              <w:bottom w:val="single" w:sz="4" w:space="0" w:color="auto"/>
              <w:right w:val="single" w:sz="4" w:space="0" w:color="auto"/>
            </w:tcBorders>
          </w:tcPr>
          <w:p w14:paraId="433F2DCE"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69CCFF51" w14:textId="77777777" w:rsidR="009021F1" w:rsidRPr="0029055B" w:rsidRDefault="009021F1" w:rsidP="00E637E3">
            <w:pPr>
              <w:rPr>
                <w:szCs w:val="21"/>
              </w:rPr>
            </w:pPr>
            <w:r w:rsidRPr="0029055B">
              <w:rPr>
                <w:szCs w:val="21"/>
              </w:rPr>
              <w:t>-</w:t>
            </w:r>
          </w:p>
        </w:tc>
        <w:tc>
          <w:tcPr>
            <w:tcW w:w="2814" w:type="dxa"/>
            <w:tcBorders>
              <w:top w:val="nil"/>
              <w:left w:val="nil"/>
              <w:bottom w:val="single" w:sz="4" w:space="0" w:color="auto"/>
              <w:right w:val="single" w:sz="8" w:space="0" w:color="auto"/>
            </w:tcBorders>
          </w:tcPr>
          <w:p w14:paraId="786BAB34" w14:textId="77777777" w:rsidR="009021F1" w:rsidRPr="0029055B" w:rsidRDefault="009021F1" w:rsidP="00E637E3">
            <w:pPr>
              <w:rPr>
                <w:szCs w:val="21"/>
              </w:rPr>
            </w:pPr>
            <w:r w:rsidRPr="0029055B">
              <w:rPr>
                <w:szCs w:val="21"/>
              </w:rPr>
              <w:t>Aquat</w:t>
            </w:r>
          </w:p>
        </w:tc>
      </w:tr>
      <w:tr w:rsidR="009021F1" w:rsidRPr="0029055B" w14:paraId="15BB6AA9" w14:textId="77777777" w:rsidTr="00E637E3">
        <w:trPr>
          <w:trHeight w:val="318"/>
        </w:trPr>
        <w:tc>
          <w:tcPr>
            <w:tcW w:w="1834" w:type="dxa"/>
            <w:tcBorders>
              <w:top w:val="nil"/>
              <w:left w:val="single" w:sz="8" w:space="0" w:color="auto"/>
              <w:bottom w:val="single" w:sz="4" w:space="0" w:color="auto"/>
              <w:right w:val="single" w:sz="4" w:space="0" w:color="auto"/>
            </w:tcBorders>
            <w:vAlign w:val="bottom"/>
          </w:tcPr>
          <w:p w14:paraId="228BFA4E" w14:textId="77777777" w:rsidR="009021F1" w:rsidRPr="0029055B" w:rsidRDefault="009021F1" w:rsidP="00E637E3">
            <w:pPr>
              <w:rPr>
                <w:szCs w:val="21"/>
              </w:rPr>
            </w:pPr>
            <w:r w:rsidRPr="0029055B">
              <w:rPr>
                <w:szCs w:val="21"/>
              </w:rPr>
              <w:t>Crustacés</w:t>
            </w:r>
          </w:p>
        </w:tc>
        <w:tc>
          <w:tcPr>
            <w:tcW w:w="1767" w:type="dxa"/>
            <w:tcBorders>
              <w:top w:val="nil"/>
              <w:left w:val="single" w:sz="4" w:space="0" w:color="auto"/>
              <w:bottom w:val="single" w:sz="4" w:space="0" w:color="auto"/>
              <w:right w:val="single" w:sz="4" w:space="0" w:color="auto"/>
            </w:tcBorders>
            <w:vAlign w:val="bottom"/>
          </w:tcPr>
          <w:p w14:paraId="6F0E3A88" w14:textId="77777777" w:rsidR="009021F1" w:rsidRPr="0029055B" w:rsidRDefault="009021F1" w:rsidP="00E637E3">
            <w:pPr>
              <w:rPr>
                <w:szCs w:val="21"/>
              </w:rPr>
            </w:pPr>
            <w:r w:rsidRPr="0029055B">
              <w:rPr>
                <w:szCs w:val="21"/>
              </w:rPr>
              <w:t>Carabidae</w:t>
            </w:r>
          </w:p>
        </w:tc>
        <w:tc>
          <w:tcPr>
            <w:tcW w:w="2565" w:type="dxa"/>
            <w:tcBorders>
              <w:top w:val="nil"/>
              <w:left w:val="single" w:sz="4" w:space="0" w:color="auto"/>
              <w:bottom w:val="single" w:sz="4" w:space="0" w:color="auto"/>
              <w:right w:val="single" w:sz="4" w:space="0" w:color="auto"/>
            </w:tcBorders>
            <w:noWrap/>
            <w:vAlign w:val="bottom"/>
          </w:tcPr>
          <w:p w14:paraId="0FE85617" w14:textId="77777777" w:rsidR="009021F1" w:rsidRPr="0029055B" w:rsidRDefault="009021F1" w:rsidP="00E637E3">
            <w:pPr>
              <w:rPr>
                <w:szCs w:val="21"/>
              </w:rPr>
            </w:pPr>
            <w:r w:rsidRPr="0029055B">
              <w:rPr>
                <w:szCs w:val="21"/>
              </w:rPr>
              <w:t>Grangon sp</w:t>
            </w:r>
          </w:p>
        </w:tc>
        <w:tc>
          <w:tcPr>
            <w:tcW w:w="2693" w:type="dxa"/>
            <w:tcBorders>
              <w:top w:val="nil"/>
              <w:left w:val="nil"/>
              <w:bottom w:val="single" w:sz="4" w:space="0" w:color="auto"/>
              <w:right w:val="single" w:sz="4" w:space="0" w:color="auto"/>
            </w:tcBorders>
            <w:noWrap/>
            <w:vAlign w:val="bottom"/>
          </w:tcPr>
          <w:p w14:paraId="5F3B6C5F" w14:textId="77777777" w:rsidR="009021F1" w:rsidRPr="0029055B" w:rsidRDefault="009021F1" w:rsidP="00E637E3">
            <w:pPr>
              <w:rPr>
                <w:szCs w:val="21"/>
              </w:rPr>
            </w:pPr>
            <w:r w:rsidRPr="0029055B">
              <w:rPr>
                <w:szCs w:val="21"/>
              </w:rPr>
              <w:t>Crevette, Crabe</w:t>
            </w:r>
          </w:p>
        </w:tc>
        <w:tc>
          <w:tcPr>
            <w:tcW w:w="1375" w:type="dxa"/>
            <w:tcBorders>
              <w:top w:val="nil"/>
              <w:left w:val="nil"/>
              <w:bottom w:val="single" w:sz="4" w:space="0" w:color="auto"/>
              <w:right w:val="single" w:sz="4" w:space="0" w:color="auto"/>
            </w:tcBorders>
          </w:tcPr>
          <w:p w14:paraId="05B96550"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347057A6" w14:textId="77777777" w:rsidR="009021F1" w:rsidRPr="0029055B" w:rsidRDefault="009021F1" w:rsidP="00E637E3">
            <w:pPr>
              <w:rPr>
                <w:szCs w:val="21"/>
              </w:rPr>
            </w:pPr>
            <w:r w:rsidRPr="0029055B">
              <w:rPr>
                <w:szCs w:val="21"/>
              </w:rPr>
              <w:t>-</w:t>
            </w:r>
          </w:p>
        </w:tc>
        <w:tc>
          <w:tcPr>
            <w:tcW w:w="2814" w:type="dxa"/>
            <w:tcBorders>
              <w:top w:val="nil"/>
              <w:left w:val="nil"/>
              <w:bottom w:val="single" w:sz="4" w:space="0" w:color="auto"/>
              <w:right w:val="single" w:sz="8" w:space="0" w:color="auto"/>
            </w:tcBorders>
          </w:tcPr>
          <w:p w14:paraId="54DF4DE0" w14:textId="77777777" w:rsidR="009021F1" w:rsidRPr="0029055B" w:rsidRDefault="009021F1" w:rsidP="00E637E3">
            <w:pPr>
              <w:rPr>
                <w:szCs w:val="21"/>
              </w:rPr>
            </w:pPr>
            <w:r w:rsidRPr="0029055B">
              <w:rPr>
                <w:szCs w:val="21"/>
              </w:rPr>
              <w:t>Aquat</w:t>
            </w:r>
          </w:p>
        </w:tc>
      </w:tr>
      <w:tr w:rsidR="009021F1" w:rsidRPr="0029055B" w14:paraId="6813C437" w14:textId="77777777" w:rsidTr="00E637E3">
        <w:trPr>
          <w:trHeight w:val="266"/>
        </w:trPr>
        <w:tc>
          <w:tcPr>
            <w:tcW w:w="1834" w:type="dxa"/>
            <w:tcBorders>
              <w:top w:val="nil"/>
              <w:left w:val="single" w:sz="8" w:space="0" w:color="auto"/>
              <w:bottom w:val="single" w:sz="4" w:space="0" w:color="auto"/>
              <w:right w:val="single" w:sz="4" w:space="0" w:color="auto"/>
            </w:tcBorders>
            <w:vAlign w:val="bottom"/>
          </w:tcPr>
          <w:p w14:paraId="51F79888" w14:textId="77777777" w:rsidR="009021F1" w:rsidRPr="0029055B" w:rsidRDefault="009021F1" w:rsidP="00E637E3">
            <w:pPr>
              <w:rPr>
                <w:szCs w:val="21"/>
              </w:rPr>
            </w:pPr>
          </w:p>
        </w:tc>
        <w:tc>
          <w:tcPr>
            <w:tcW w:w="1767" w:type="dxa"/>
            <w:tcBorders>
              <w:top w:val="nil"/>
              <w:left w:val="single" w:sz="4" w:space="0" w:color="auto"/>
              <w:bottom w:val="single" w:sz="4" w:space="0" w:color="auto"/>
              <w:right w:val="single" w:sz="4" w:space="0" w:color="auto"/>
            </w:tcBorders>
            <w:vAlign w:val="bottom"/>
          </w:tcPr>
          <w:p w14:paraId="22A369A8" w14:textId="77777777" w:rsidR="009021F1" w:rsidRPr="0029055B" w:rsidRDefault="009021F1" w:rsidP="00E637E3">
            <w:pPr>
              <w:rPr>
                <w:szCs w:val="21"/>
              </w:rPr>
            </w:pPr>
            <w:r w:rsidRPr="0029055B">
              <w:rPr>
                <w:szCs w:val="21"/>
              </w:rPr>
              <w:t>Mormyridae</w:t>
            </w:r>
          </w:p>
        </w:tc>
        <w:tc>
          <w:tcPr>
            <w:tcW w:w="2565" w:type="dxa"/>
            <w:tcBorders>
              <w:top w:val="nil"/>
              <w:left w:val="single" w:sz="4" w:space="0" w:color="auto"/>
              <w:bottom w:val="single" w:sz="4" w:space="0" w:color="auto"/>
              <w:right w:val="single" w:sz="4" w:space="0" w:color="auto"/>
            </w:tcBorders>
            <w:noWrap/>
            <w:vAlign w:val="bottom"/>
          </w:tcPr>
          <w:p w14:paraId="72191A1C" w14:textId="77777777" w:rsidR="009021F1" w:rsidRPr="0029055B" w:rsidRDefault="009021F1" w:rsidP="00E637E3">
            <w:pPr>
              <w:rPr>
                <w:szCs w:val="21"/>
              </w:rPr>
            </w:pPr>
            <w:r w:rsidRPr="0029055B">
              <w:rPr>
                <w:szCs w:val="21"/>
              </w:rPr>
              <w:t>Mormyrus proboscirostris</w:t>
            </w:r>
          </w:p>
        </w:tc>
        <w:tc>
          <w:tcPr>
            <w:tcW w:w="2693" w:type="dxa"/>
            <w:tcBorders>
              <w:top w:val="nil"/>
              <w:left w:val="nil"/>
              <w:bottom w:val="single" w:sz="4" w:space="0" w:color="auto"/>
              <w:right w:val="single" w:sz="4" w:space="0" w:color="auto"/>
            </w:tcBorders>
            <w:noWrap/>
            <w:vAlign w:val="bottom"/>
          </w:tcPr>
          <w:p w14:paraId="480B9A55" w14:textId="77777777" w:rsidR="009021F1" w:rsidRPr="0029055B" w:rsidRDefault="009021F1" w:rsidP="00E637E3">
            <w:pPr>
              <w:rPr>
                <w:szCs w:val="21"/>
              </w:rPr>
            </w:pPr>
            <w:r w:rsidRPr="0029055B">
              <w:rPr>
                <w:szCs w:val="21"/>
              </w:rPr>
              <w:t>Kasulibani</w:t>
            </w:r>
          </w:p>
        </w:tc>
        <w:tc>
          <w:tcPr>
            <w:tcW w:w="1375" w:type="dxa"/>
            <w:tcBorders>
              <w:top w:val="nil"/>
              <w:left w:val="nil"/>
              <w:bottom w:val="single" w:sz="4" w:space="0" w:color="auto"/>
              <w:right w:val="single" w:sz="4" w:space="0" w:color="auto"/>
            </w:tcBorders>
          </w:tcPr>
          <w:p w14:paraId="002C99F5"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4A1AEEC5" w14:textId="77777777" w:rsidR="009021F1" w:rsidRPr="0029055B" w:rsidRDefault="009021F1" w:rsidP="00E637E3">
            <w:pPr>
              <w:rPr>
                <w:szCs w:val="21"/>
              </w:rPr>
            </w:pPr>
            <w:r w:rsidRPr="0029055B">
              <w:rPr>
                <w:szCs w:val="21"/>
              </w:rPr>
              <w:t>-</w:t>
            </w:r>
          </w:p>
        </w:tc>
        <w:tc>
          <w:tcPr>
            <w:tcW w:w="2814" w:type="dxa"/>
            <w:tcBorders>
              <w:top w:val="nil"/>
              <w:left w:val="nil"/>
              <w:bottom w:val="single" w:sz="4" w:space="0" w:color="auto"/>
              <w:right w:val="single" w:sz="8" w:space="0" w:color="auto"/>
            </w:tcBorders>
          </w:tcPr>
          <w:p w14:paraId="0646E033" w14:textId="77777777" w:rsidR="009021F1" w:rsidRPr="0029055B" w:rsidRDefault="009021F1" w:rsidP="00E637E3">
            <w:pPr>
              <w:rPr>
                <w:szCs w:val="21"/>
              </w:rPr>
            </w:pPr>
            <w:r w:rsidRPr="0029055B">
              <w:rPr>
                <w:szCs w:val="21"/>
              </w:rPr>
              <w:t>Aquat</w:t>
            </w:r>
          </w:p>
        </w:tc>
      </w:tr>
      <w:tr w:rsidR="009021F1" w:rsidRPr="0029055B" w14:paraId="2031A61A" w14:textId="77777777" w:rsidTr="00E637E3">
        <w:trPr>
          <w:trHeight w:val="271"/>
        </w:trPr>
        <w:tc>
          <w:tcPr>
            <w:tcW w:w="1834" w:type="dxa"/>
            <w:tcBorders>
              <w:top w:val="nil"/>
              <w:left w:val="single" w:sz="8" w:space="0" w:color="auto"/>
              <w:bottom w:val="single" w:sz="4" w:space="0" w:color="auto"/>
              <w:right w:val="single" w:sz="4" w:space="0" w:color="auto"/>
            </w:tcBorders>
            <w:vAlign w:val="bottom"/>
          </w:tcPr>
          <w:p w14:paraId="595B5AF4" w14:textId="77777777" w:rsidR="009021F1" w:rsidRPr="0029055B" w:rsidRDefault="009021F1" w:rsidP="00E637E3">
            <w:pPr>
              <w:rPr>
                <w:szCs w:val="21"/>
              </w:rPr>
            </w:pPr>
            <w:r w:rsidRPr="0029055B">
              <w:rPr>
                <w:szCs w:val="21"/>
              </w:rPr>
              <w:t>Cichlidés</w:t>
            </w:r>
          </w:p>
        </w:tc>
        <w:tc>
          <w:tcPr>
            <w:tcW w:w="1767" w:type="dxa"/>
            <w:tcBorders>
              <w:top w:val="nil"/>
              <w:left w:val="single" w:sz="4" w:space="0" w:color="auto"/>
              <w:bottom w:val="single" w:sz="4" w:space="0" w:color="auto"/>
              <w:right w:val="single" w:sz="4" w:space="0" w:color="auto"/>
            </w:tcBorders>
            <w:vAlign w:val="bottom"/>
          </w:tcPr>
          <w:p w14:paraId="20BD2ED7" w14:textId="77777777" w:rsidR="009021F1" w:rsidRPr="0029055B" w:rsidRDefault="009021F1" w:rsidP="00E637E3">
            <w:pPr>
              <w:rPr>
                <w:szCs w:val="21"/>
              </w:rPr>
            </w:pPr>
            <w:r w:rsidRPr="0029055B">
              <w:rPr>
                <w:szCs w:val="21"/>
              </w:rPr>
              <w:t>Cichlidae</w:t>
            </w:r>
          </w:p>
        </w:tc>
        <w:tc>
          <w:tcPr>
            <w:tcW w:w="2565" w:type="dxa"/>
            <w:tcBorders>
              <w:top w:val="nil"/>
              <w:left w:val="single" w:sz="4" w:space="0" w:color="auto"/>
              <w:bottom w:val="single" w:sz="4" w:space="0" w:color="auto"/>
              <w:right w:val="single" w:sz="4" w:space="0" w:color="auto"/>
            </w:tcBorders>
            <w:noWrap/>
            <w:vAlign w:val="bottom"/>
          </w:tcPr>
          <w:p w14:paraId="14BAACAC" w14:textId="77777777" w:rsidR="009021F1" w:rsidRPr="0029055B" w:rsidRDefault="009021F1" w:rsidP="00E637E3">
            <w:pPr>
              <w:rPr>
                <w:szCs w:val="21"/>
              </w:rPr>
            </w:pPr>
            <w:r w:rsidRPr="0029055B">
              <w:rPr>
                <w:szCs w:val="21"/>
              </w:rPr>
              <w:t>Pelvicachromis pulcher</w:t>
            </w:r>
          </w:p>
        </w:tc>
        <w:tc>
          <w:tcPr>
            <w:tcW w:w="2693" w:type="dxa"/>
            <w:tcBorders>
              <w:top w:val="nil"/>
              <w:left w:val="nil"/>
              <w:bottom w:val="single" w:sz="4" w:space="0" w:color="auto"/>
              <w:right w:val="single" w:sz="4" w:space="0" w:color="auto"/>
            </w:tcBorders>
            <w:noWrap/>
            <w:vAlign w:val="bottom"/>
          </w:tcPr>
          <w:p w14:paraId="587F0FA9" w14:textId="77777777" w:rsidR="009021F1" w:rsidRPr="0029055B" w:rsidRDefault="009021F1" w:rsidP="00E637E3">
            <w:pPr>
              <w:rPr>
                <w:szCs w:val="21"/>
              </w:rPr>
            </w:pPr>
          </w:p>
        </w:tc>
        <w:tc>
          <w:tcPr>
            <w:tcW w:w="1375" w:type="dxa"/>
            <w:tcBorders>
              <w:top w:val="nil"/>
              <w:left w:val="nil"/>
              <w:bottom w:val="single" w:sz="4" w:space="0" w:color="auto"/>
              <w:right w:val="single" w:sz="4" w:space="0" w:color="auto"/>
            </w:tcBorders>
          </w:tcPr>
          <w:p w14:paraId="1D88A3AF"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1DFC2986" w14:textId="77777777" w:rsidR="009021F1" w:rsidRPr="0029055B" w:rsidRDefault="009021F1" w:rsidP="00E637E3">
            <w:pPr>
              <w:rPr>
                <w:szCs w:val="21"/>
              </w:rPr>
            </w:pPr>
            <w:r w:rsidRPr="0029055B">
              <w:rPr>
                <w:szCs w:val="21"/>
              </w:rPr>
              <w:t>-</w:t>
            </w:r>
          </w:p>
        </w:tc>
        <w:tc>
          <w:tcPr>
            <w:tcW w:w="2814" w:type="dxa"/>
            <w:tcBorders>
              <w:top w:val="nil"/>
              <w:left w:val="nil"/>
              <w:bottom w:val="single" w:sz="4" w:space="0" w:color="auto"/>
              <w:right w:val="single" w:sz="8" w:space="0" w:color="auto"/>
            </w:tcBorders>
          </w:tcPr>
          <w:p w14:paraId="6DD1AEF4" w14:textId="77777777" w:rsidR="009021F1" w:rsidRPr="0029055B" w:rsidRDefault="009021F1" w:rsidP="00E637E3">
            <w:pPr>
              <w:rPr>
                <w:szCs w:val="21"/>
              </w:rPr>
            </w:pPr>
            <w:r w:rsidRPr="0029055B">
              <w:rPr>
                <w:szCs w:val="21"/>
              </w:rPr>
              <w:t>Aquat</w:t>
            </w:r>
          </w:p>
        </w:tc>
      </w:tr>
      <w:tr w:rsidR="009021F1" w:rsidRPr="0029055B" w14:paraId="75C22676" w14:textId="77777777" w:rsidTr="00E637E3">
        <w:trPr>
          <w:trHeight w:val="274"/>
        </w:trPr>
        <w:tc>
          <w:tcPr>
            <w:tcW w:w="1834" w:type="dxa"/>
            <w:tcBorders>
              <w:top w:val="nil"/>
              <w:left w:val="single" w:sz="8" w:space="0" w:color="auto"/>
              <w:bottom w:val="single" w:sz="4" w:space="0" w:color="auto"/>
              <w:right w:val="single" w:sz="4" w:space="0" w:color="auto"/>
            </w:tcBorders>
            <w:vAlign w:val="bottom"/>
          </w:tcPr>
          <w:p w14:paraId="2BBDF6CF" w14:textId="77777777" w:rsidR="009021F1" w:rsidRPr="0029055B" w:rsidRDefault="009021F1" w:rsidP="00E637E3">
            <w:pPr>
              <w:rPr>
                <w:szCs w:val="21"/>
              </w:rPr>
            </w:pPr>
          </w:p>
        </w:tc>
        <w:tc>
          <w:tcPr>
            <w:tcW w:w="1767" w:type="dxa"/>
            <w:tcBorders>
              <w:top w:val="nil"/>
              <w:left w:val="single" w:sz="4" w:space="0" w:color="auto"/>
              <w:bottom w:val="single" w:sz="4" w:space="0" w:color="auto"/>
              <w:right w:val="single" w:sz="4" w:space="0" w:color="auto"/>
            </w:tcBorders>
            <w:vAlign w:val="bottom"/>
          </w:tcPr>
          <w:p w14:paraId="31B221FE" w14:textId="77777777" w:rsidR="009021F1" w:rsidRPr="0029055B" w:rsidRDefault="009021F1" w:rsidP="00E637E3">
            <w:pPr>
              <w:rPr>
                <w:szCs w:val="21"/>
              </w:rPr>
            </w:pPr>
            <w:r w:rsidRPr="0029055B">
              <w:rPr>
                <w:szCs w:val="21"/>
              </w:rPr>
              <w:t>Protopteridae</w:t>
            </w:r>
          </w:p>
        </w:tc>
        <w:tc>
          <w:tcPr>
            <w:tcW w:w="2565" w:type="dxa"/>
            <w:tcBorders>
              <w:top w:val="nil"/>
              <w:left w:val="single" w:sz="4" w:space="0" w:color="auto"/>
              <w:bottom w:val="single" w:sz="4" w:space="0" w:color="auto"/>
              <w:right w:val="single" w:sz="4" w:space="0" w:color="auto"/>
            </w:tcBorders>
            <w:noWrap/>
            <w:vAlign w:val="bottom"/>
          </w:tcPr>
          <w:p w14:paraId="19CEC8FE" w14:textId="77777777" w:rsidR="009021F1" w:rsidRPr="0029055B" w:rsidRDefault="009021F1" w:rsidP="00E637E3">
            <w:pPr>
              <w:rPr>
                <w:szCs w:val="21"/>
              </w:rPr>
            </w:pPr>
            <w:r w:rsidRPr="0029055B">
              <w:rPr>
                <w:szCs w:val="21"/>
              </w:rPr>
              <w:t>Protoptere aethiopicae</w:t>
            </w:r>
          </w:p>
        </w:tc>
        <w:tc>
          <w:tcPr>
            <w:tcW w:w="2693" w:type="dxa"/>
            <w:tcBorders>
              <w:top w:val="nil"/>
              <w:left w:val="nil"/>
              <w:bottom w:val="single" w:sz="4" w:space="0" w:color="auto"/>
              <w:right w:val="single" w:sz="4" w:space="0" w:color="auto"/>
            </w:tcBorders>
            <w:noWrap/>
            <w:vAlign w:val="bottom"/>
          </w:tcPr>
          <w:p w14:paraId="2D018933" w14:textId="77777777" w:rsidR="009021F1" w:rsidRPr="0029055B" w:rsidRDefault="009021F1" w:rsidP="00E637E3">
            <w:pPr>
              <w:rPr>
                <w:szCs w:val="21"/>
              </w:rPr>
            </w:pPr>
            <w:r w:rsidRPr="0029055B">
              <w:rPr>
                <w:szCs w:val="21"/>
              </w:rPr>
              <w:t>Anguille jaune, Hindue</w:t>
            </w:r>
          </w:p>
        </w:tc>
        <w:tc>
          <w:tcPr>
            <w:tcW w:w="1375" w:type="dxa"/>
            <w:tcBorders>
              <w:top w:val="nil"/>
              <w:left w:val="nil"/>
              <w:bottom w:val="single" w:sz="4" w:space="0" w:color="auto"/>
              <w:right w:val="single" w:sz="4" w:space="0" w:color="auto"/>
            </w:tcBorders>
          </w:tcPr>
          <w:p w14:paraId="2EF92399"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26D775A8" w14:textId="77777777" w:rsidR="009021F1" w:rsidRPr="0029055B" w:rsidRDefault="009021F1" w:rsidP="00E637E3">
            <w:pPr>
              <w:rPr>
                <w:szCs w:val="21"/>
              </w:rPr>
            </w:pPr>
            <w:r w:rsidRPr="0029055B">
              <w:rPr>
                <w:szCs w:val="21"/>
              </w:rPr>
              <w:t>-</w:t>
            </w:r>
          </w:p>
        </w:tc>
        <w:tc>
          <w:tcPr>
            <w:tcW w:w="2814" w:type="dxa"/>
            <w:tcBorders>
              <w:top w:val="nil"/>
              <w:left w:val="nil"/>
              <w:bottom w:val="single" w:sz="4" w:space="0" w:color="auto"/>
              <w:right w:val="single" w:sz="8" w:space="0" w:color="auto"/>
            </w:tcBorders>
          </w:tcPr>
          <w:p w14:paraId="32C9760A" w14:textId="77777777" w:rsidR="009021F1" w:rsidRPr="0029055B" w:rsidRDefault="009021F1" w:rsidP="00E637E3">
            <w:pPr>
              <w:rPr>
                <w:szCs w:val="21"/>
              </w:rPr>
            </w:pPr>
            <w:r w:rsidRPr="0029055B">
              <w:rPr>
                <w:szCs w:val="21"/>
              </w:rPr>
              <w:t>Aquat</w:t>
            </w:r>
          </w:p>
        </w:tc>
      </w:tr>
      <w:tr w:rsidR="009021F1" w:rsidRPr="0029055B" w14:paraId="2CC3BB92" w14:textId="77777777" w:rsidTr="00E637E3">
        <w:trPr>
          <w:trHeight w:val="318"/>
        </w:trPr>
        <w:tc>
          <w:tcPr>
            <w:tcW w:w="1834" w:type="dxa"/>
            <w:tcBorders>
              <w:top w:val="single" w:sz="4" w:space="0" w:color="auto"/>
              <w:left w:val="single" w:sz="8" w:space="0" w:color="auto"/>
              <w:bottom w:val="single" w:sz="4" w:space="0" w:color="auto"/>
              <w:right w:val="single" w:sz="4" w:space="0" w:color="auto"/>
            </w:tcBorders>
            <w:vAlign w:val="bottom"/>
          </w:tcPr>
          <w:p w14:paraId="344A6BFD" w14:textId="77777777" w:rsidR="009021F1" w:rsidRPr="0029055B" w:rsidRDefault="009021F1" w:rsidP="00E637E3">
            <w:pPr>
              <w:rPr>
                <w:szCs w:val="21"/>
              </w:rPr>
            </w:pPr>
          </w:p>
        </w:tc>
        <w:tc>
          <w:tcPr>
            <w:tcW w:w="1767" w:type="dxa"/>
            <w:tcBorders>
              <w:top w:val="nil"/>
              <w:left w:val="single" w:sz="4" w:space="0" w:color="auto"/>
              <w:bottom w:val="single" w:sz="4" w:space="0" w:color="auto"/>
              <w:right w:val="single" w:sz="4" w:space="0" w:color="auto"/>
            </w:tcBorders>
            <w:vAlign w:val="bottom"/>
          </w:tcPr>
          <w:p w14:paraId="261D8AC6" w14:textId="77777777" w:rsidR="009021F1" w:rsidRPr="0029055B" w:rsidRDefault="009021F1" w:rsidP="00E637E3">
            <w:pPr>
              <w:rPr>
                <w:szCs w:val="21"/>
              </w:rPr>
            </w:pPr>
            <w:r w:rsidRPr="0029055B">
              <w:rPr>
                <w:szCs w:val="21"/>
              </w:rPr>
              <w:t>Protopteridae</w:t>
            </w:r>
          </w:p>
        </w:tc>
        <w:tc>
          <w:tcPr>
            <w:tcW w:w="2565" w:type="dxa"/>
            <w:tcBorders>
              <w:top w:val="nil"/>
              <w:left w:val="single" w:sz="4" w:space="0" w:color="auto"/>
              <w:bottom w:val="single" w:sz="4" w:space="0" w:color="auto"/>
              <w:right w:val="single" w:sz="4" w:space="0" w:color="auto"/>
            </w:tcBorders>
            <w:noWrap/>
            <w:vAlign w:val="bottom"/>
          </w:tcPr>
          <w:p w14:paraId="56619ACE" w14:textId="77777777" w:rsidR="009021F1" w:rsidRPr="0029055B" w:rsidRDefault="009021F1" w:rsidP="00E637E3">
            <w:pPr>
              <w:rPr>
                <w:szCs w:val="21"/>
              </w:rPr>
            </w:pPr>
            <w:r w:rsidRPr="0029055B">
              <w:rPr>
                <w:szCs w:val="21"/>
              </w:rPr>
              <w:t>Protoptere dolloi</w:t>
            </w:r>
          </w:p>
        </w:tc>
        <w:tc>
          <w:tcPr>
            <w:tcW w:w="2693" w:type="dxa"/>
            <w:tcBorders>
              <w:top w:val="nil"/>
              <w:left w:val="nil"/>
              <w:bottom w:val="single" w:sz="4" w:space="0" w:color="auto"/>
              <w:right w:val="single" w:sz="4" w:space="0" w:color="auto"/>
            </w:tcBorders>
            <w:noWrap/>
            <w:vAlign w:val="bottom"/>
          </w:tcPr>
          <w:p w14:paraId="797CB89C" w14:textId="77777777" w:rsidR="009021F1" w:rsidRPr="0029055B" w:rsidRDefault="009021F1" w:rsidP="00E637E3">
            <w:pPr>
              <w:rPr>
                <w:szCs w:val="21"/>
              </w:rPr>
            </w:pPr>
            <w:r w:rsidRPr="0029055B">
              <w:rPr>
                <w:szCs w:val="21"/>
              </w:rPr>
              <w:t>Anguille noire, Hindue</w:t>
            </w:r>
          </w:p>
        </w:tc>
        <w:tc>
          <w:tcPr>
            <w:tcW w:w="1375" w:type="dxa"/>
            <w:tcBorders>
              <w:top w:val="nil"/>
              <w:left w:val="nil"/>
              <w:bottom w:val="single" w:sz="4" w:space="0" w:color="auto"/>
              <w:right w:val="single" w:sz="4" w:space="0" w:color="auto"/>
            </w:tcBorders>
          </w:tcPr>
          <w:p w14:paraId="40C32877"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19F4375F" w14:textId="77777777" w:rsidR="009021F1" w:rsidRPr="0029055B" w:rsidRDefault="009021F1" w:rsidP="00E637E3">
            <w:pPr>
              <w:rPr>
                <w:szCs w:val="21"/>
              </w:rPr>
            </w:pPr>
            <w:r w:rsidRPr="0029055B">
              <w:rPr>
                <w:szCs w:val="21"/>
              </w:rPr>
              <w:t>-</w:t>
            </w:r>
          </w:p>
        </w:tc>
        <w:tc>
          <w:tcPr>
            <w:tcW w:w="2814" w:type="dxa"/>
            <w:tcBorders>
              <w:top w:val="nil"/>
              <w:left w:val="nil"/>
              <w:bottom w:val="single" w:sz="4" w:space="0" w:color="auto"/>
              <w:right w:val="single" w:sz="8" w:space="0" w:color="auto"/>
            </w:tcBorders>
          </w:tcPr>
          <w:p w14:paraId="48FCFEB2" w14:textId="77777777" w:rsidR="009021F1" w:rsidRPr="0029055B" w:rsidRDefault="009021F1" w:rsidP="00E637E3">
            <w:pPr>
              <w:rPr>
                <w:szCs w:val="21"/>
              </w:rPr>
            </w:pPr>
            <w:r w:rsidRPr="0029055B">
              <w:rPr>
                <w:szCs w:val="21"/>
              </w:rPr>
              <w:t>aquat</w:t>
            </w:r>
          </w:p>
        </w:tc>
      </w:tr>
      <w:tr w:rsidR="009021F1" w:rsidRPr="0029055B" w14:paraId="4B6A1672" w14:textId="77777777" w:rsidTr="00E637E3">
        <w:trPr>
          <w:trHeight w:val="318"/>
        </w:trPr>
        <w:tc>
          <w:tcPr>
            <w:tcW w:w="1834" w:type="dxa"/>
            <w:tcBorders>
              <w:top w:val="single" w:sz="4" w:space="0" w:color="auto"/>
              <w:left w:val="single" w:sz="8" w:space="0" w:color="auto"/>
              <w:bottom w:val="single" w:sz="4" w:space="0" w:color="auto"/>
              <w:right w:val="single" w:sz="4" w:space="0" w:color="auto"/>
            </w:tcBorders>
            <w:vAlign w:val="bottom"/>
          </w:tcPr>
          <w:p w14:paraId="6BFF9FC3" w14:textId="77777777" w:rsidR="009021F1" w:rsidRPr="0029055B" w:rsidRDefault="009021F1" w:rsidP="00E637E3">
            <w:pPr>
              <w:rPr>
                <w:szCs w:val="21"/>
              </w:rPr>
            </w:pPr>
            <w:r w:rsidRPr="0029055B">
              <w:rPr>
                <w:szCs w:val="21"/>
              </w:rPr>
              <w:t>Siluriformes</w:t>
            </w:r>
          </w:p>
        </w:tc>
        <w:tc>
          <w:tcPr>
            <w:tcW w:w="1767" w:type="dxa"/>
            <w:tcBorders>
              <w:top w:val="nil"/>
              <w:left w:val="single" w:sz="4" w:space="0" w:color="auto"/>
              <w:bottom w:val="single" w:sz="4" w:space="0" w:color="auto"/>
              <w:right w:val="single" w:sz="4" w:space="0" w:color="auto"/>
            </w:tcBorders>
            <w:vAlign w:val="bottom"/>
          </w:tcPr>
          <w:p w14:paraId="48A0DFDE" w14:textId="77777777" w:rsidR="009021F1" w:rsidRPr="0029055B" w:rsidRDefault="009021F1" w:rsidP="00E637E3">
            <w:pPr>
              <w:rPr>
                <w:szCs w:val="21"/>
              </w:rPr>
            </w:pPr>
            <w:r w:rsidRPr="0029055B">
              <w:rPr>
                <w:szCs w:val="21"/>
              </w:rPr>
              <w:t>Siluridae</w:t>
            </w:r>
          </w:p>
        </w:tc>
        <w:tc>
          <w:tcPr>
            <w:tcW w:w="2565" w:type="dxa"/>
            <w:tcBorders>
              <w:top w:val="nil"/>
              <w:left w:val="single" w:sz="4" w:space="0" w:color="auto"/>
              <w:bottom w:val="single" w:sz="4" w:space="0" w:color="auto"/>
              <w:right w:val="single" w:sz="4" w:space="0" w:color="auto"/>
            </w:tcBorders>
            <w:noWrap/>
            <w:vAlign w:val="bottom"/>
          </w:tcPr>
          <w:p w14:paraId="5EB9345E" w14:textId="77777777" w:rsidR="009021F1" w:rsidRPr="0029055B" w:rsidRDefault="009021F1" w:rsidP="00E637E3">
            <w:pPr>
              <w:rPr>
                <w:szCs w:val="21"/>
              </w:rPr>
            </w:pPr>
            <w:r w:rsidRPr="0029055B">
              <w:rPr>
                <w:szCs w:val="21"/>
              </w:rPr>
              <w:t>Silurus chantrei</w:t>
            </w:r>
          </w:p>
        </w:tc>
        <w:tc>
          <w:tcPr>
            <w:tcW w:w="2693" w:type="dxa"/>
            <w:tcBorders>
              <w:top w:val="nil"/>
              <w:left w:val="nil"/>
              <w:bottom w:val="single" w:sz="4" w:space="0" w:color="auto"/>
              <w:right w:val="single" w:sz="4" w:space="0" w:color="auto"/>
            </w:tcBorders>
            <w:noWrap/>
            <w:vAlign w:val="bottom"/>
          </w:tcPr>
          <w:p w14:paraId="021AE97F" w14:textId="77777777" w:rsidR="009021F1" w:rsidRPr="0029055B" w:rsidRDefault="009021F1" w:rsidP="00E637E3">
            <w:pPr>
              <w:rPr>
                <w:szCs w:val="21"/>
              </w:rPr>
            </w:pPr>
            <w:r w:rsidRPr="0029055B">
              <w:rPr>
                <w:szCs w:val="21"/>
              </w:rPr>
              <w:t>Poisson chat</w:t>
            </w:r>
          </w:p>
        </w:tc>
        <w:tc>
          <w:tcPr>
            <w:tcW w:w="1375" w:type="dxa"/>
            <w:tcBorders>
              <w:top w:val="nil"/>
              <w:left w:val="nil"/>
              <w:bottom w:val="single" w:sz="4" w:space="0" w:color="auto"/>
              <w:right w:val="single" w:sz="4" w:space="0" w:color="auto"/>
            </w:tcBorders>
          </w:tcPr>
          <w:p w14:paraId="5D7C5D77"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071A7E25" w14:textId="77777777" w:rsidR="009021F1" w:rsidRPr="0029055B" w:rsidRDefault="009021F1" w:rsidP="00E637E3">
            <w:pPr>
              <w:rPr>
                <w:szCs w:val="21"/>
              </w:rPr>
            </w:pPr>
            <w:r w:rsidRPr="0029055B">
              <w:rPr>
                <w:szCs w:val="21"/>
              </w:rPr>
              <w:t>-</w:t>
            </w:r>
          </w:p>
        </w:tc>
        <w:tc>
          <w:tcPr>
            <w:tcW w:w="2814" w:type="dxa"/>
            <w:tcBorders>
              <w:top w:val="nil"/>
              <w:left w:val="nil"/>
              <w:bottom w:val="single" w:sz="4" w:space="0" w:color="auto"/>
              <w:right w:val="single" w:sz="8" w:space="0" w:color="auto"/>
            </w:tcBorders>
          </w:tcPr>
          <w:p w14:paraId="1E6608BE" w14:textId="77777777" w:rsidR="009021F1" w:rsidRPr="0029055B" w:rsidRDefault="009021F1" w:rsidP="00E637E3">
            <w:pPr>
              <w:rPr>
                <w:szCs w:val="21"/>
              </w:rPr>
            </w:pPr>
            <w:r w:rsidRPr="0029055B">
              <w:rPr>
                <w:szCs w:val="21"/>
              </w:rPr>
              <w:t>Aquat</w:t>
            </w:r>
          </w:p>
        </w:tc>
      </w:tr>
      <w:tr w:rsidR="009021F1" w:rsidRPr="0029055B" w14:paraId="76FCFFAA" w14:textId="77777777" w:rsidTr="00E637E3">
        <w:trPr>
          <w:trHeight w:val="318"/>
        </w:trPr>
        <w:tc>
          <w:tcPr>
            <w:tcW w:w="1834" w:type="dxa"/>
            <w:tcBorders>
              <w:top w:val="single" w:sz="4" w:space="0" w:color="auto"/>
              <w:left w:val="single" w:sz="8" w:space="0" w:color="auto"/>
              <w:bottom w:val="single" w:sz="4" w:space="0" w:color="auto"/>
              <w:right w:val="single" w:sz="4" w:space="0" w:color="auto"/>
            </w:tcBorders>
            <w:vAlign w:val="bottom"/>
          </w:tcPr>
          <w:p w14:paraId="3FEC00CF" w14:textId="77777777" w:rsidR="009021F1" w:rsidRPr="0029055B" w:rsidRDefault="009021F1" w:rsidP="00E637E3">
            <w:pPr>
              <w:rPr>
                <w:szCs w:val="21"/>
              </w:rPr>
            </w:pPr>
            <w:r w:rsidRPr="0029055B">
              <w:rPr>
                <w:szCs w:val="21"/>
              </w:rPr>
              <w:t>Siluriformes</w:t>
            </w:r>
          </w:p>
        </w:tc>
        <w:tc>
          <w:tcPr>
            <w:tcW w:w="1767" w:type="dxa"/>
            <w:tcBorders>
              <w:top w:val="nil"/>
              <w:left w:val="single" w:sz="4" w:space="0" w:color="auto"/>
              <w:bottom w:val="single" w:sz="4" w:space="0" w:color="auto"/>
              <w:right w:val="single" w:sz="4" w:space="0" w:color="auto"/>
            </w:tcBorders>
            <w:vAlign w:val="bottom"/>
          </w:tcPr>
          <w:p w14:paraId="5BE7E688" w14:textId="77777777" w:rsidR="009021F1" w:rsidRPr="0029055B" w:rsidRDefault="009021F1" w:rsidP="00E637E3">
            <w:pPr>
              <w:rPr>
                <w:szCs w:val="21"/>
              </w:rPr>
            </w:pPr>
            <w:r w:rsidRPr="0029055B">
              <w:rPr>
                <w:szCs w:val="21"/>
              </w:rPr>
              <w:t>Siluridae</w:t>
            </w:r>
          </w:p>
        </w:tc>
        <w:tc>
          <w:tcPr>
            <w:tcW w:w="2565" w:type="dxa"/>
            <w:tcBorders>
              <w:top w:val="nil"/>
              <w:left w:val="single" w:sz="4" w:space="0" w:color="auto"/>
              <w:bottom w:val="single" w:sz="4" w:space="0" w:color="auto"/>
              <w:right w:val="single" w:sz="4" w:space="0" w:color="auto"/>
            </w:tcBorders>
            <w:noWrap/>
            <w:vAlign w:val="bottom"/>
          </w:tcPr>
          <w:p w14:paraId="6A83C75F" w14:textId="77777777" w:rsidR="009021F1" w:rsidRPr="0029055B" w:rsidRDefault="009021F1" w:rsidP="00E637E3">
            <w:pPr>
              <w:rPr>
                <w:szCs w:val="21"/>
              </w:rPr>
            </w:pPr>
            <w:r w:rsidRPr="0029055B">
              <w:rPr>
                <w:szCs w:val="21"/>
              </w:rPr>
              <w:t>Silurus linnaeus</w:t>
            </w:r>
          </w:p>
        </w:tc>
        <w:tc>
          <w:tcPr>
            <w:tcW w:w="2693" w:type="dxa"/>
            <w:tcBorders>
              <w:top w:val="nil"/>
              <w:left w:val="nil"/>
              <w:bottom w:val="single" w:sz="4" w:space="0" w:color="auto"/>
              <w:right w:val="single" w:sz="4" w:space="0" w:color="auto"/>
            </w:tcBorders>
            <w:noWrap/>
            <w:vAlign w:val="bottom"/>
          </w:tcPr>
          <w:p w14:paraId="5C846ACA" w14:textId="77777777" w:rsidR="009021F1" w:rsidRPr="0029055B" w:rsidRDefault="009021F1" w:rsidP="00E637E3">
            <w:pPr>
              <w:rPr>
                <w:szCs w:val="21"/>
              </w:rPr>
            </w:pPr>
            <w:r w:rsidRPr="0029055B">
              <w:rPr>
                <w:szCs w:val="21"/>
              </w:rPr>
              <w:t>Poisson chat</w:t>
            </w:r>
          </w:p>
        </w:tc>
        <w:tc>
          <w:tcPr>
            <w:tcW w:w="1375" w:type="dxa"/>
            <w:tcBorders>
              <w:top w:val="nil"/>
              <w:left w:val="nil"/>
              <w:bottom w:val="single" w:sz="4" w:space="0" w:color="auto"/>
              <w:right w:val="single" w:sz="4" w:space="0" w:color="auto"/>
            </w:tcBorders>
          </w:tcPr>
          <w:p w14:paraId="5F01BB12"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60728CC3" w14:textId="77777777" w:rsidR="009021F1" w:rsidRPr="0029055B" w:rsidRDefault="009021F1" w:rsidP="00E637E3">
            <w:pPr>
              <w:rPr>
                <w:szCs w:val="21"/>
              </w:rPr>
            </w:pPr>
            <w:r w:rsidRPr="0029055B">
              <w:rPr>
                <w:szCs w:val="21"/>
              </w:rPr>
              <w:t>-</w:t>
            </w:r>
          </w:p>
        </w:tc>
        <w:tc>
          <w:tcPr>
            <w:tcW w:w="2814" w:type="dxa"/>
            <w:tcBorders>
              <w:top w:val="nil"/>
              <w:left w:val="nil"/>
              <w:bottom w:val="single" w:sz="4" w:space="0" w:color="auto"/>
              <w:right w:val="single" w:sz="8" w:space="0" w:color="auto"/>
            </w:tcBorders>
          </w:tcPr>
          <w:p w14:paraId="258EEBE9" w14:textId="77777777" w:rsidR="009021F1" w:rsidRPr="0029055B" w:rsidRDefault="009021F1" w:rsidP="00E637E3">
            <w:pPr>
              <w:rPr>
                <w:szCs w:val="21"/>
              </w:rPr>
            </w:pPr>
            <w:r w:rsidRPr="0029055B">
              <w:rPr>
                <w:szCs w:val="21"/>
              </w:rPr>
              <w:t>Aquat</w:t>
            </w:r>
          </w:p>
        </w:tc>
      </w:tr>
      <w:tr w:rsidR="009021F1" w:rsidRPr="0029055B" w14:paraId="35D5A20C" w14:textId="77777777" w:rsidTr="00E637E3">
        <w:trPr>
          <w:trHeight w:val="318"/>
        </w:trPr>
        <w:tc>
          <w:tcPr>
            <w:tcW w:w="1834" w:type="dxa"/>
            <w:tcBorders>
              <w:top w:val="nil"/>
              <w:left w:val="single" w:sz="8" w:space="0" w:color="auto"/>
              <w:bottom w:val="single" w:sz="4" w:space="0" w:color="auto"/>
              <w:right w:val="single" w:sz="4" w:space="0" w:color="auto"/>
            </w:tcBorders>
            <w:vAlign w:val="bottom"/>
          </w:tcPr>
          <w:p w14:paraId="62E91B89" w14:textId="77777777" w:rsidR="009021F1" w:rsidRPr="0029055B" w:rsidRDefault="009021F1" w:rsidP="00E637E3">
            <w:pPr>
              <w:rPr>
                <w:szCs w:val="21"/>
              </w:rPr>
            </w:pPr>
            <w:r w:rsidRPr="0029055B">
              <w:rPr>
                <w:szCs w:val="21"/>
              </w:rPr>
              <w:t>Siluriformes</w:t>
            </w:r>
          </w:p>
        </w:tc>
        <w:tc>
          <w:tcPr>
            <w:tcW w:w="1767" w:type="dxa"/>
            <w:tcBorders>
              <w:top w:val="nil"/>
              <w:left w:val="single" w:sz="4" w:space="0" w:color="auto"/>
              <w:bottom w:val="single" w:sz="4" w:space="0" w:color="auto"/>
              <w:right w:val="single" w:sz="4" w:space="0" w:color="auto"/>
            </w:tcBorders>
            <w:vAlign w:val="bottom"/>
          </w:tcPr>
          <w:p w14:paraId="23D23D80" w14:textId="77777777" w:rsidR="009021F1" w:rsidRPr="0029055B" w:rsidRDefault="009021F1" w:rsidP="00E637E3">
            <w:pPr>
              <w:rPr>
                <w:szCs w:val="21"/>
              </w:rPr>
            </w:pPr>
            <w:r w:rsidRPr="0029055B">
              <w:rPr>
                <w:szCs w:val="21"/>
              </w:rPr>
              <w:t>Siluridae</w:t>
            </w:r>
          </w:p>
        </w:tc>
        <w:tc>
          <w:tcPr>
            <w:tcW w:w="2565" w:type="dxa"/>
            <w:tcBorders>
              <w:top w:val="nil"/>
              <w:left w:val="single" w:sz="4" w:space="0" w:color="auto"/>
              <w:bottom w:val="single" w:sz="4" w:space="0" w:color="auto"/>
              <w:right w:val="single" w:sz="4" w:space="0" w:color="auto"/>
            </w:tcBorders>
            <w:noWrap/>
            <w:vAlign w:val="bottom"/>
          </w:tcPr>
          <w:p w14:paraId="538E0C19" w14:textId="77777777" w:rsidR="009021F1" w:rsidRPr="0029055B" w:rsidRDefault="009021F1" w:rsidP="00E637E3">
            <w:pPr>
              <w:rPr>
                <w:szCs w:val="21"/>
              </w:rPr>
            </w:pPr>
            <w:r w:rsidRPr="0029055B">
              <w:rPr>
                <w:szCs w:val="21"/>
              </w:rPr>
              <w:t>Silurus triostegus</w:t>
            </w:r>
          </w:p>
        </w:tc>
        <w:tc>
          <w:tcPr>
            <w:tcW w:w="2693" w:type="dxa"/>
            <w:tcBorders>
              <w:top w:val="nil"/>
              <w:left w:val="nil"/>
              <w:bottom w:val="single" w:sz="4" w:space="0" w:color="auto"/>
              <w:right w:val="single" w:sz="4" w:space="0" w:color="auto"/>
            </w:tcBorders>
            <w:noWrap/>
            <w:vAlign w:val="bottom"/>
          </w:tcPr>
          <w:p w14:paraId="0B73088E" w14:textId="77777777" w:rsidR="009021F1" w:rsidRPr="0029055B" w:rsidRDefault="009021F1" w:rsidP="00E637E3">
            <w:pPr>
              <w:rPr>
                <w:szCs w:val="21"/>
              </w:rPr>
            </w:pPr>
            <w:r w:rsidRPr="0029055B">
              <w:rPr>
                <w:szCs w:val="21"/>
              </w:rPr>
              <w:t>Grand poisson chat</w:t>
            </w:r>
          </w:p>
        </w:tc>
        <w:tc>
          <w:tcPr>
            <w:tcW w:w="1375" w:type="dxa"/>
            <w:tcBorders>
              <w:top w:val="nil"/>
              <w:left w:val="nil"/>
              <w:bottom w:val="single" w:sz="4" w:space="0" w:color="auto"/>
              <w:right w:val="single" w:sz="4" w:space="0" w:color="auto"/>
            </w:tcBorders>
          </w:tcPr>
          <w:p w14:paraId="571BF186"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660D7586" w14:textId="77777777" w:rsidR="009021F1" w:rsidRPr="0029055B" w:rsidRDefault="009021F1" w:rsidP="00E637E3">
            <w:pPr>
              <w:rPr>
                <w:szCs w:val="21"/>
              </w:rPr>
            </w:pPr>
            <w:r w:rsidRPr="0029055B">
              <w:rPr>
                <w:szCs w:val="21"/>
              </w:rPr>
              <w:t>-</w:t>
            </w:r>
          </w:p>
        </w:tc>
        <w:tc>
          <w:tcPr>
            <w:tcW w:w="2814" w:type="dxa"/>
            <w:tcBorders>
              <w:top w:val="nil"/>
              <w:left w:val="nil"/>
              <w:bottom w:val="single" w:sz="4" w:space="0" w:color="auto"/>
              <w:right w:val="single" w:sz="8" w:space="0" w:color="auto"/>
            </w:tcBorders>
          </w:tcPr>
          <w:p w14:paraId="2D627956" w14:textId="77777777" w:rsidR="009021F1" w:rsidRPr="0029055B" w:rsidRDefault="009021F1" w:rsidP="00E637E3">
            <w:pPr>
              <w:rPr>
                <w:szCs w:val="21"/>
              </w:rPr>
            </w:pPr>
            <w:r w:rsidRPr="0029055B">
              <w:rPr>
                <w:szCs w:val="21"/>
              </w:rPr>
              <w:t>Aquat</w:t>
            </w:r>
          </w:p>
        </w:tc>
      </w:tr>
      <w:tr w:rsidR="009021F1" w:rsidRPr="0029055B" w14:paraId="3B9AF181" w14:textId="77777777" w:rsidTr="00E637E3">
        <w:trPr>
          <w:trHeight w:val="318"/>
        </w:trPr>
        <w:tc>
          <w:tcPr>
            <w:tcW w:w="1834" w:type="dxa"/>
            <w:tcBorders>
              <w:top w:val="nil"/>
              <w:left w:val="single" w:sz="8" w:space="0" w:color="auto"/>
              <w:bottom w:val="single" w:sz="4" w:space="0" w:color="auto"/>
              <w:right w:val="single" w:sz="4" w:space="0" w:color="auto"/>
            </w:tcBorders>
            <w:vAlign w:val="bottom"/>
          </w:tcPr>
          <w:p w14:paraId="5FB67CFA" w14:textId="77777777" w:rsidR="009021F1" w:rsidRPr="0029055B" w:rsidRDefault="009021F1" w:rsidP="00E637E3">
            <w:pPr>
              <w:rPr>
                <w:szCs w:val="21"/>
              </w:rPr>
            </w:pPr>
          </w:p>
        </w:tc>
        <w:tc>
          <w:tcPr>
            <w:tcW w:w="1767" w:type="dxa"/>
            <w:tcBorders>
              <w:top w:val="nil"/>
              <w:left w:val="single" w:sz="4" w:space="0" w:color="auto"/>
              <w:bottom w:val="single" w:sz="4" w:space="0" w:color="auto"/>
              <w:right w:val="single" w:sz="4" w:space="0" w:color="auto"/>
            </w:tcBorders>
            <w:vAlign w:val="bottom"/>
          </w:tcPr>
          <w:p w14:paraId="76E55BC2" w14:textId="77777777" w:rsidR="009021F1" w:rsidRPr="0029055B" w:rsidRDefault="009021F1" w:rsidP="00E637E3">
            <w:pPr>
              <w:rPr>
                <w:szCs w:val="21"/>
              </w:rPr>
            </w:pPr>
            <w:r w:rsidRPr="0029055B">
              <w:rPr>
                <w:szCs w:val="21"/>
              </w:rPr>
              <w:t>Cichlidae</w:t>
            </w:r>
          </w:p>
        </w:tc>
        <w:tc>
          <w:tcPr>
            <w:tcW w:w="2565" w:type="dxa"/>
            <w:tcBorders>
              <w:top w:val="nil"/>
              <w:left w:val="single" w:sz="4" w:space="0" w:color="auto"/>
              <w:bottom w:val="single" w:sz="4" w:space="0" w:color="auto"/>
              <w:right w:val="single" w:sz="4" w:space="0" w:color="auto"/>
            </w:tcBorders>
            <w:noWrap/>
            <w:vAlign w:val="bottom"/>
          </w:tcPr>
          <w:p w14:paraId="57FE129E" w14:textId="77777777" w:rsidR="009021F1" w:rsidRPr="0029055B" w:rsidRDefault="009021F1" w:rsidP="00E637E3">
            <w:pPr>
              <w:rPr>
                <w:szCs w:val="21"/>
              </w:rPr>
            </w:pPr>
            <w:r w:rsidRPr="0029055B">
              <w:rPr>
                <w:szCs w:val="21"/>
              </w:rPr>
              <w:t>Tilapia fuelleobormi</w:t>
            </w:r>
          </w:p>
        </w:tc>
        <w:tc>
          <w:tcPr>
            <w:tcW w:w="2693" w:type="dxa"/>
            <w:tcBorders>
              <w:top w:val="nil"/>
              <w:left w:val="nil"/>
              <w:bottom w:val="single" w:sz="4" w:space="0" w:color="auto"/>
              <w:right w:val="single" w:sz="4" w:space="0" w:color="auto"/>
            </w:tcBorders>
            <w:noWrap/>
            <w:vAlign w:val="bottom"/>
          </w:tcPr>
          <w:p w14:paraId="491D1C07" w14:textId="77777777" w:rsidR="009021F1" w:rsidRPr="0029055B" w:rsidRDefault="009021F1" w:rsidP="00E637E3">
            <w:pPr>
              <w:rPr>
                <w:szCs w:val="21"/>
              </w:rPr>
            </w:pPr>
            <w:r w:rsidRPr="0029055B">
              <w:rPr>
                <w:szCs w:val="21"/>
              </w:rPr>
              <w:t xml:space="preserve">Bidet </w:t>
            </w:r>
          </w:p>
        </w:tc>
        <w:tc>
          <w:tcPr>
            <w:tcW w:w="1375" w:type="dxa"/>
            <w:tcBorders>
              <w:top w:val="nil"/>
              <w:left w:val="nil"/>
              <w:bottom w:val="single" w:sz="4" w:space="0" w:color="auto"/>
              <w:right w:val="single" w:sz="4" w:space="0" w:color="auto"/>
            </w:tcBorders>
          </w:tcPr>
          <w:p w14:paraId="7CC91035"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487FAF06" w14:textId="77777777" w:rsidR="009021F1" w:rsidRPr="0029055B" w:rsidRDefault="009021F1" w:rsidP="00E637E3">
            <w:pPr>
              <w:rPr>
                <w:szCs w:val="21"/>
              </w:rPr>
            </w:pPr>
            <w:r w:rsidRPr="0029055B">
              <w:rPr>
                <w:szCs w:val="21"/>
              </w:rPr>
              <w:t>-</w:t>
            </w:r>
          </w:p>
        </w:tc>
        <w:tc>
          <w:tcPr>
            <w:tcW w:w="2814" w:type="dxa"/>
            <w:tcBorders>
              <w:top w:val="nil"/>
              <w:left w:val="nil"/>
              <w:bottom w:val="single" w:sz="4" w:space="0" w:color="auto"/>
              <w:right w:val="single" w:sz="8" w:space="0" w:color="auto"/>
            </w:tcBorders>
          </w:tcPr>
          <w:p w14:paraId="656A5710" w14:textId="77777777" w:rsidR="009021F1" w:rsidRPr="0029055B" w:rsidRDefault="009021F1" w:rsidP="00E637E3">
            <w:pPr>
              <w:rPr>
                <w:szCs w:val="21"/>
              </w:rPr>
            </w:pPr>
            <w:r w:rsidRPr="0029055B">
              <w:rPr>
                <w:szCs w:val="21"/>
              </w:rPr>
              <w:t>Aquat</w:t>
            </w:r>
          </w:p>
        </w:tc>
      </w:tr>
      <w:tr w:rsidR="009021F1" w:rsidRPr="0029055B" w14:paraId="56A7F7CA" w14:textId="77777777" w:rsidTr="00E637E3">
        <w:trPr>
          <w:trHeight w:val="318"/>
        </w:trPr>
        <w:tc>
          <w:tcPr>
            <w:tcW w:w="1834" w:type="dxa"/>
            <w:tcBorders>
              <w:top w:val="nil"/>
              <w:left w:val="single" w:sz="8" w:space="0" w:color="auto"/>
              <w:bottom w:val="single" w:sz="4" w:space="0" w:color="auto"/>
              <w:right w:val="single" w:sz="4" w:space="0" w:color="auto"/>
            </w:tcBorders>
            <w:vAlign w:val="bottom"/>
          </w:tcPr>
          <w:p w14:paraId="422FC2E5" w14:textId="77777777" w:rsidR="009021F1" w:rsidRPr="0029055B" w:rsidRDefault="009021F1" w:rsidP="00E637E3">
            <w:pPr>
              <w:rPr>
                <w:szCs w:val="21"/>
              </w:rPr>
            </w:pPr>
          </w:p>
        </w:tc>
        <w:tc>
          <w:tcPr>
            <w:tcW w:w="1767" w:type="dxa"/>
            <w:tcBorders>
              <w:top w:val="nil"/>
              <w:left w:val="single" w:sz="4" w:space="0" w:color="auto"/>
              <w:bottom w:val="single" w:sz="4" w:space="0" w:color="auto"/>
              <w:right w:val="single" w:sz="4" w:space="0" w:color="auto"/>
            </w:tcBorders>
          </w:tcPr>
          <w:p w14:paraId="3D54ADA6" w14:textId="77777777" w:rsidR="009021F1" w:rsidRPr="0029055B" w:rsidRDefault="009021F1" w:rsidP="00E637E3">
            <w:pPr>
              <w:rPr>
                <w:szCs w:val="21"/>
              </w:rPr>
            </w:pPr>
            <w:r w:rsidRPr="0029055B">
              <w:rPr>
                <w:szCs w:val="21"/>
              </w:rPr>
              <w:t>Cichlidae</w:t>
            </w:r>
          </w:p>
        </w:tc>
        <w:tc>
          <w:tcPr>
            <w:tcW w:w="2565" w:type="dxa"/>
            <w:tcBorders>
              <w:top w:val="nil"/>
              <w:left w:val="single" w:sz="4" w:space="0" w:color="auto"/>
              <w:bottom w:val="single" w:sz="4" w:space="0" w:color="auto"/>
              <w:right w:val="single" w:sz="4" w:space="0" w:color="auto"/>
            </w:tcBorders>
            <w:noWrap/>
            <w:vAlign w:val="bottom"/>
          </w:tcPr>
          <w:p w14:paraId="749686B4" w14:textId="77777777" w:rsidR="009021F1" w:rsidRPr="0029055B" w:rsidRDefault="009021F1" w:rsidP="00E637E3">
            <w:pPr>
              <w:rPr>
                <w:szCs w:val="21"/>
              </w:rPr>
            </w:pPr>
            <w:r w:rsidRPr="0029055B">
              <w:rPr>
                <w:szCs w:val="21"/>
              </w:rPr>
              <w:t>Tilapia haplochromis</w:t>
            </w:r>
          </w:p>
        </w:tc>
        <w:tc>
          <w:tcPr>
            <w:tcW w:w="2693" w:type="dxa"/>
            <w:tcBorders>
              <w:top w:val="nil"/>
              <w:left w:val="nil"/>
              <w:bottom w:val="single" w:sz="4" w:space="0" w:color="auto"/>
              <w:right w:val="single" w:sz="4" w:space="0" w:color="auto"/>
            </w:tcBorders>
            <w:noWrap/>
            <w:vAlign w:val="bottom"/>
          </w:tcPr>
          <w:p w14:paraId="4DBA9995" w14:textId="77777777" w:rsidR="009021F1" w:rsidRPr="0029055B" w:rsidRDefault="009021F1" w:rsidP="00E637E3">
            <w:pPr>
              <w:rPr>
                <w:szCs w:val="21"/>
              </w:rPr>
            </w:pPr>
            <w:r w:rsidRPr="0029055B">
              <w:rPr>
                <w:szCs w:val="21"/>
              </w:rPr>
              <w:t>Bidet</w:t>
            </w:r>
          </w:p>
        </w:tc>
        <w:tc>
          <w:tcPr>
            <w:tcW w:w="1375" w:type="dxa"/>
            <w:tcBorders>
              <w:top w:val="nil"/>
              <w:left w:val="nil"/>
              <w:bottom w:val="single" w:sz="4" w:space="0" w:color="auto"/>
              <w:right w:val="single" w:sz="4" w:space="0" w:color="auto"/>
            </w:tcBorders>
          </w:tcPr>
          <w:p w14:paraId="0AA2BC14"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201601AA" w14:textId="77777777" w:rsidR="009021F1" w:rsidRPr="0029055B" w:rsidRDefault="009021F1" w:rsidP="00E637E3">
            <w:pPr>
              <w:rPr>
                <w:szCs w:val="21"/>
              </w:rPr>
            </w:pPr>
            <w:r w:rsidRPr="0029055B">
              <w:rPr>
                <w:szCs w:val="21"/>
              </w:rPr>
              <w:t>-</w:t>
            </w:r>
          </w:p>
        </w:tc>
        <w:tc>
          <w:tcPr>
            <w:tcW w:w="2814" w:type="dxa"/>
            <w:tcBorders>
              <w:top w:val="nil"/>
              <w:left w:val="nil"/>
              <w:bottom w:val="single" w:sz="4" w:space="0" w:color="auto"/>
              <w:right w:val="single" w:sz="8" w:space="0" w:color="auto"/>
            </w:tcBorders>
          </w:tcPr>
          <w:p w14:paraId="074AABA8" w14:textId="77777777" w:rsidR="009021F1" w:rsidRPr="0029055B" w:rsidRDefault="009021F1" w:rsidP="00E637E3">
            <w:pPr>
              <w:rPr>
                <w:szCs w:val="21"/>
              </w:rPr>
            </w:pPr>
            <w:r w:rsidRPr="0029055B">
              <w:rPr>
                <w:szCs w:val="21"/>
              </w:rPr>
              <w:t>Aquat</w:t>
            </w:r>
          </w:p>
        </w:tc>
      </w:tr>
      <w:tr w:rsidR="009021F1" w:rsidRPr="0029055B" w14:paraId="7219C702" w14:textId="77777777" w:rsidTr="00E637E3">
        <w:trPr>
          <w:trHeight w:val="318"/>
        </w:trPr>
        <w:tc>
          <w:tcPr>
            <w:tcW w:w="1834" w:type="dxa"/>
            <w:tcBorders>
              <w:top w:val="nil"/>
              <w:left w:val="single" w:sz="8" w:space="0" w:color="auto"/>
              <w:bottom w:val="single" w:sz="8" w:space="0" w:color="auto"/>
              <w:right w:val="single" w:sz="4" w:space="0" w:color="auto"/>
            </w:tcBorders>
            <w:vAlign w:val="bottom"/>
          </w:tcPr>
          <w:p w14:paraId="04D9DD39" w14:textId="77777777" w:rsidR="009021F1" w:rsidRPr="0029055B" w:rsidRDefault="009021F1" w:rsidP="00E637E3">
            <w:pPr>
              <w:rPr>
                <w:szCs w:val="21"/>
              </w:rPr>
            </w:pPr>
          </w:p>
        </w:tc>
        <w:tc>
          <w:tcPr>
            <w:tcW w:w="1767" w:type="dxa"/>
            <w:tcBorders>
              <w:top w:val="nil"/>
              <w:left w:val="single" w:sz="4" w:space="0" w:color="auto"/>
              <w:bottom w:val="single" w:sz="4" w:space="0" w:color="auto"/>
              <w:right w:val="single" w:sz="4" w:space="0" w:color="auto"/>
            </w:tcBorders>
          </w:tcPr>
          <w:p w14:paraId="35088935" w14:textId="77777777" w:rsidR="009021F1" w:rsidRPr="0029055B" w:rsidRDefault="009021F1" w:rsidP="00E637E3">
            <w:pPr>
              <w:rPr>
                <w:szCs w:val="21"/>
              </w:rPr>
            </w:pPr>
            <w:r w:rsidRPr="0029055B">
              <w:rPr>
                <w:szCs w:val="21"/>
              </w:rPr>
              <w:t>Cichlidae</w:t>
            </w:r>
          </w:p>
        </w:tc>
        <w:tc>
          <w:tcPr>
            <w:tcW w:w="2565" w:type="dxa"/>
            <w:tcBorders>
              <w:top w:val="nil"/>
              <w:left w:val="single" w:sz="4" w:space="0" w:color="auto"/>
              <w:bottom w:val="single" w:sz="4" w:space="0" w:color="auto"/>
              <w:right w:val="single" w:sz="4" w:space="0" w:color="auto"/>
            </w:tcBorders>
            <w:noWrap/>
            <w:vAlign w:val="bottom"/>
          </w:tcPr>
          <w:p w14:paraId="23848442" w14:textId="77777777" w:rsidR="009021F1" w:rsidRPr="0029055B" w:rsidRDefault="009021F1" w:rsidP="00E637E3">
            <w:pPr>
              <w:rPr>
                <w:szCs w:val="21"/>
              </w:rPr>
            </w:pPr>
            <w:r w:rsidRPr="0029055B">
              <w:rPr>
                <w:szCs w:val="21"/>
              </w:rPr>
              <w:t>Tilapia melanoplera</w:t>
            </w:r>
          </w:p>
        </w:tc>
        <w:tc>
          <w:tcPr>
            <w:tcW w:w="2693" w:type="dxa"/>
            <w:tcBorders>
              <w:top w:val="nil"/>
              <w:left w:val="nil"/>
              <w:bottom w:val="single" w:sz="4" w:space="0" w:color="auto"/>
              <w:right w:val="single" w:sz="4" w:space="0" w:color="auto"/>
            </w:tcBorders>
            <w:noWrap/>
            <w:vAlign w:val="bottom"/>
          </w:tcPr>
          <w:p w14:paraId="2DD28ED3" w14:textId="77777777" w:rsidR="009021F1" w:rsidRPr="0029055B" w:rsidRDefault="009021F1" w:rsidP="00E637E3">
            <w:pPr>
              <w:rPr>
                <w:szCs w:val="21"/>
              </w:rPr>
            </w:pPr>
            <w:r w:rsidRPr="0029055B">
              <w:rPr>
                <w:szCs w:val="21"/>
              </w:rPr>
              <w:t>Bidet, Tshinyamororo</w:t>
            </w:r>
          </w:p>
        </w:tc>
        <w:tc>
          <w:tcPr>
            <w:tcW w:w="1375" w:type="dxa"/>
            <w:tcBorders>
              <w:top w:val="nil"/>
              <w:left w:val="nil"/>
              <w:bottom w:val="single" w:sz="4" w:space="0" w:color="auto"/>
              <w:right w:val="single" w:sz="4" w:space="0" w:color="auto"/>
            </w:tcBorders>
          </w:tcPr>
          <w:p w14:paraId="01BE0CFF"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73054C07" w14:textId="77777777" w:rsidR="009021F1" w:rsidRPr="0029055B" w:rsidRDefault="009021F1" w:rsidP="00E637E3">
            <w:pPr>
              <w:rPr>
                <w:szCs w:val="21"/>
              </w:rPr>
            </w:pPr>
            <w:r w:rsidRPr="0029055B">
              <w:rPr>
                <w:szCs w:val="21"/>
              </w:rPr>
              <w:t>-</w:t>
            </w:r>
          </w:p>
        </w:tc>
        <w:tc>
          <w:tcPr>
            <w:tcW w:w="2814" w:type="dxa"/>
            <w:tcBorders>
              <w:top w:val="nil"/>
              <w:left w:val="nil"/>
              <w:bottom w:val="single" w:sz="4" w:space="0" w:color="auto"/>
              <w:right w:val="single" w:sz="8" w:space="0" w:color="auto"/>
            </w:tcBorders>
          </w:tcPr>
          <w:p w14:paraId="2D42ADFE" w14:textId="77777777" w:rsidR="009021F1" w:rsidRPr="0029055B" w:rsidRDefault="009021F1" w:rsidP="00E637E3">
            <w:pPr>
              <w:rPr>
                <w:szCs w:val="21"/>
              </w:rPr>
            </w:pPr>
            <w:r w:rsidRPr="0029055B">
              <w:rPr>
                <w:szCs w:val="21"/>
              </w:rPr>
              <w:t xml:space="preserve">Aquat </w:t>
            </w:r>
          </w:p>
        </w:tc>
      </w:tr>
      <w:tr w:rsidR="009021F1" w:rsidRPr="0029055B" w14:paraId="3B3DCE32" w14:textId="77777777" w:rsidTr="00E637E3">
        <w:trPr>
          <w:trHeight w:val="318"/>
        </w:trPr>
        <w:tc>
          <w:tcPr>
            <w:tcW w:w="1834" w:type="dxa"/>
            <w:tcBorders>
              <w:top w:val="single" w:sz="8" w:space="0" w:color="auto"/>
              <w:left w:val="single" w:sz="8" w:space="0" w:color="auto"/>
              <w:bottom w:val="single" w:sz="4" w:space="0" w:color="auto"/>
              <w:right w:val="single" w:sz="4" w:space="0" w:color="auto"/>
            </w:tcBorders>
            <w:vAlign w:val="bottom"/>
          </w:tcPr>
          <w:p w14:paraId="61F47A7B" w14:textId="77777777" w:rsidR="009021F1" w:rsidRPr="0029055B" w:rsidRDefault="009021F1" w:rsidP="00E637E3">
            <w:pPr>
              <w:rPr>
                <w:szCs w:val="21"/>
              </w:rPr>
            </w:pPr>
          </w:p>
        </w:tc>
        <w:tc>
          <w:tcPr>
            <w:tcW w:w="1767" w:type="dxa"/>
            <w:tcBorders>
              <w:top w:val="nil"/>
              <w:left w:val="single" w:sz="4" w:space="0" w:color="auto"/>
              <w:bottom w:val="single" w:sz="4" w:space="0" w:color="auto"/>
              <w:right w:val="single" w:sz="4" w:space="0" w:color="auto"/>
            </w:tcBorders>
          </w:tcPr>
          <w:p w14:paraId="7B0BAA1B" w14:textId="77777777" w:rsidR="009021F1" w:rsidRPr="0029055B" w:rsidRDefault="009021F1" w:rsidP="00E637E3">
            <w:pPr>
              <w:rPr>
                <w:szCs w:val="21"/>
              </w:rPr>
            </w:pPr>
            <w:r w:rsidRPr="0029055B">
              <w:rPr>
                <w:szCs w:val="21"/>
              </w:rPr>
              <w:t>Cichlidae</w:t>
            </w:r>
          </w:p>
        </w:tc>
        <w:tc>
          <w:tcPr>
            <w:tcW w:w="2565" w:type="dxa"/>
            <w:tcBorders>
              <w:top w:val="nil"/>
              <w:left w:val="single" w:sz="4" w:space="0" w:color="auto"/>
              <w:bottom w:val="single" w:sz="4" w:space="0" w:color="auto"/>
              <w:right w:val="single" w:sz="4" w:space="0" w:color="auto"/>
            </w:tcBorders>
            <w:noWrap/>
            <w:vAlign w:val="bottom"/>
          </w:tcPr>
          <w:p w14:paraId="0989BD75" w14:textId="77777777" w:rsidR="009021F1" w:rsidRPr="0029055B" w:rsidRDefault="009021F1" w:rsidP="00E637E3">
            <w:pPr>
              <w:rPr>
                <w:szCs w:val="21"/>
              </w:rPr>
            </w:pPr>
            <w:r w:rsidRPr="0029055B">
              <w:rPr>
                <w:szCs w:val="21"/>
              </w:rPr>
              <w:t>Tilapia nilotica</w:t>
            </w:r>
          </w:p>
        </w:tc>
        <w:tc>
          <w:tcPr>
            <w:tcW w:w="2693" w:type="dxa"/>
            <w:tcBorders>
              <w:top w:val="nil"/>
              <w:left w:val="nil"/>
              <w:bottom w:val="single" w:sz="4" w:space="0" w:color="auto"/>
              <w:right w:val="single" w:sz="4" w:space="0" w:color="auto"/>
            </w:tcBorders>
            <w:noWrap/>
            <w:vAlign w:val="bottom"/>
          </w:tcPr>
          <w:p w14:paraId="0435D77F" w14:textId="77777777" w:rsidR="009021F1" w:rsidRPr="0029055B" w:rsidRDefault="009021F1" w:rsidP="00E637E3">
            <w:pPr>
              <w:rPr>
                <w:szCs w:val="21"/>
              </w:rPr>
            </w:pPr>
            <w:r w:rsidRPr="0029055B">
              <w:rPr>
                <w:szCs w:val="21"/>
              </w:rPr>
              <w:t>Tilapia noire, Lihere</w:t>
            </w:r>
          </w:p>
        </w:tc>
        <w:tc>
          <w:tcPr>
            <w:tcW w:w="1375" w:type="dxa"/>
            <w:tcBorders>
              <w:top w:val="nil"/>
              <w:left w:val="nil"/>
              <w:bottom w:val="single" w:sz="4" w:space="0" w:color="auto"/>
              <w:right w:val="single" w:sz="4" w:space="0" w:color="auto"/>
            </w:tcBorders>
          </w:tcPr>
          <w:p w14:paraId="2098DA23"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22F530A1" w14:textId="77777777" w:rsidR="009021F1" w:rsidRPr="0029055B" w:rsidRDefault="009021F1" w:rsidP="00E637E3">
            <w:pPr>
              <w:rPr>
                <w:szCs w:val="21"/>
              </w:rPr>
            </w:pPr>
            <w:r w:rsidRPr="0029055B">
              <w:rPr>
                <w:szCs w:val="21"/>
              </w:rPr>
              <w:t>-</w:t>
            </w:r>
          </w:p>
        </w:tc>
        <w:tc>
          <w:tcPr>
            <w:tcW w:w="2814" w:type="dxa"/>
            <w:tcBorders>
              <w:top w:val="nil"/>
              <w:left w:val="nil"/>
              <w:bottom w:val="single" w:sz="4" w:space="0" w:color="auto"/>
              <w:right w:val="single" w:sz="8" w:space="0" w:color="auto"/>
            </w:tcBorders>
          </w:tcPr>
          <w:p w14:paraId="33576801" w14:textId="77777777" w:rsidR="009021F1" w:rsidRPr="0029055B" w:rsidRDefault="009021F1" w:rsidP="00E637E3">
            <w:pPr>
              <w:rPr>
                <w:szCs w:val="21"/>
              </w:rPr>
            </w:pPr>
            <w:r w:rsidRPr="0029055B">
              <w:rPr>
                <w:szCs w:val="21"/>
              </w:rPr>
              <w:t xml:space="preserve">Aquat </w:t>
            </w:r>
          </w:p>
        </w:tc>
      </w:tr>
      <w:tr w:rsidR="009021F1" w:rsidRPr="0029055B" w14:paraId="307D109B" w14:textId="77777777" w:rsidTr="00E637E3">
        <w:trPr>
          <w:trHeight w:val="208"/>
        </w:trPr>
        <w:tc>
          <w:tcPr>
            <w:tcW w:w="1834" w:type="dxa"/>
            <w:tcBorders>
              <w:top w:val="nil"/>
              <w:left w:val="single" w:sz="8" w:space="0" w:color="auto"/>
              <w:bottom w:val="single" w:sz="4" w:space="0" w:color="auto"/>
              <w:right w:val="single" w:sz="4" w:space="0" w:color="auto"/>
            </w:tcBorders>
            <w:vAlign w:val="bottom"/>
          </w:tcPr>
          <w:p w14:paraId="4D1C3A37" w14:textId="77777777" w:rsidR="009021F1" w:rsidRPr="0029055B" w:rsidRDefault="009021F1" w:rsidP="00E637E3">
            <w:pPr>
              <w:rPr>
                <w:szCs w:val="21"/>
              </w:rPr>
            </w:pPr>
          </w:p>
        </w:tc>
        <w:tc>
          <w:tcPr>
            <w:tcW w:w="1767" w:type="dxa"/>
            <w:tcBorders>
              <w:top w:val="nil"/>
              <w:left w:val="single" w:sz="4" w:space="0" w:color="auto"/>
              <w:bottom w:val="single" w:sz="4" w:space="0" w:color="auto"/>
              <w:right w:val="single" w:sz="4" w:space="0" w:color="auto"/>
            </w:tcBorders>
          </w:tcPr>
          <w:p w14:paraId="4EF238F4" w14:textId="77777777" w:rsidR="009021F1" w:rsidRPr="0029055B" w:rsidRDefault="009021F1" w:rsidP="00E637E3">
            <w:pPr>
              <w:rPr>
                <w:szCs w:val="21"/>
              </w:rPr>
            </w:pPr>
            <w:r w:rsidRPr="0029055B">
              <w:rPr>
                <w:szCs w:val="21"/>
              </w:rPr>
              <w:t>Cichlidae</w:t>
            </w:r>
          </w:p>
        </w:tc>
        <w:tc>
          <w:tcPr>
            <w:tcW w:w="2565" w:type="dxa"/>
            <w:tcBorders>
              <w:top w:val="nil"/>
              <w:left w:val="single" w:sz="4" w:space="0" w:color="auto"/>
              <w:bottom w:val="single" w:sz="4" w:space="0" w:color="auto"/>
              <w:right w:val="single" w:sz="4" w:space="0" w:color="auto"/>
            </w:tcBorders>
            <w:noWrap/>
            <w:vAlign w:val="bottom"/>
          </w:tcPr>
          <w:p w14:paraId="3D7FD4D6" w14:textId="77777777" w:rsidR="009021F1" w:rsidRPr="0029055B" w:rsidRDefault="009021F1" w:rsidP="00E637E3">
            <w:pPr>
              <w:rPr>
                <w:szCs w:val="21"/>
              </w:rPr>
            </w:pPr>
            <w:r w:rsidRPr="0029055B">
              <w:rPr>
                <w:szCs w:val="21"/>
              </w:rPr>
              <w:t>Tilapia seramochromis</w:t>
            </w:r>
          </w:p>
        </w:tc>
        <w:tc>
          <w:tcPr>
            <w:tcW w:w="2693" w:type="dxa"/>
            <w:tcBorders>
              <w:top w:val="nil"/>
              <w:left w:val="nil"/>
              <w:bottom w:val="single" w:sz="4" w:space="0" w:color="auto"/>
              <w:right w:val="single" w:sz="4" w:space="0" w:color="auto"/>
            </w:tcBorders>
            <w:noWrap/>
            <w:vAlign w:val="bottom"/>
          </w:tcPr>
          <w:p w14:paraId="6C14FAAB" w14:textId="77777777" w:rsidR="009021F1" w:rsidRPr="0029055B" w:rsidRDefault="009021F1" w:rsidP="00E637E3">
            <w:pPr>
              <w:rPr>
                <w:szCs w:val="21"/>
              </w:rPr>
            </w:pPr>
          </w:p>
        </w:tc>
        <w:tc>
          <w:tcPr>
            <w:tcW w:w="1375" w:type="dxa"/>
            <w:tcBorders>
              <w:top w:val="nil"/>
              <w:left w:val="nil"/>
              <w:bottom w:val="single" w:sz="4" w:space="0" w:color="auto"/>
              <w:right w:val="single" w:sz="4" w:space="0" w:color="auto"/>
            </w:tcBorders>
          </w:tcPr>
          <w:p w14:paraId="7BE165A8" w14:textId="77777777" w:rsidR="009021F1" w:rsidRPr="0029055B" w:rsidRDefault="009021F1" w:rsidP="00E637E3">
            <w:pPr>
              <w:rPr>
                <w:szCs w:val="21"/>
              </w:rPr>
            </w:pPr>
            <w:r w:rsidRPr="0029055B">
              <w:rPr>
                <w:szCs w:val="21"/>
              </w:rPr>
              <w:t>-</w:t>
            </w:r>
          </w:p>
        </w:tc>
        <w:tc>
          <w:tcPr>
            <w:tcW w:w="1481" w:type="dxa"/>
            <w:tcBorders>
              <w:top w:val="nil"/>
              <w:left w:val="nil"/>
              <w:bottom w:val="single" w:sz="4" w:space="0" w:color="auto"/>
              <w:right w:val="single" w:sz="4" w:space="0" w:color="auto"/>
            </w:tcBorders>
          </w:tcPr>
          <w:p w14:paraId="1105E1D5" w14:textId="77777777" w:rsidR="009021F1" w:rsidRPr="0029055B" w:rsidRDefault="009021F1" w:rsidP="00E637E3">
            <w:pPr>
              <w:rPr>
                <w:szCs w:val="21"/>
              </w:rPr>
            </w:pPr>
            <w:r w:rsidRPr="0029055B">
              <w:rPr>
                <w:szCs w:val="21"/>
              </w:rPr>
              <w:t>-</w:t>
            </w:r>
          </w:p>
        </w:tc>
        <w:tc>
          <w:tcPr>
            <w:tcW w:w="2814" w:type="dxa"/>
            <w:tcBorders>
              <w:top w:val="nil"/>
              <w:left w:val="nil"/>
              <w:bottom w:val="single" w:sz="4" w:space="0" w:color="auto"/>
              <w:right w:val="single" w:sz="8" w:space="0" w:color="auto"/>
            </w:tcBorders>
          </w:tcPr>
          <w:p w14:paraId="29B56F56" w14:textId="77777777" w:rsidR="009021F1" w:rsidRPr="0029055B" w:rsidRDefault="009021F1" w:rsidP="00E637E3">
            <w:pPr>
              <w:rPr>
                <w:szCs w:val="21"/>
              </w:rPr>
            </w:pPr>
            <w:r w:rsidRPr="0029055B">
              <w:rPr>
                <w:szCs w:val="21"/>
              </w:rPr>
              <w:t xml:space="preserve">Aquat </w:t>
            </w:r>
          </w:p>
        </w:tc>
      </w:tr>
      <w:tr w:rsidR="009021F1" w:rsidRPr="0029055B" w14:paraId="3F1AE24B" w14:textId="77777777" w:rsidTr="00E637E3">
        <w:trPr>
          <w:trHeight w:val="254"/>
        </w:trPr>
        <w:tc>
          <w:tcPr>
            <w:tcW w:w="1834" w:type="dxa"/>
            <w:tcBorders>
              <w:top w:val="nil"/>
              <w:left w:val="single" w:sz="8" w:space="0" w:color="auto"/>
              <w:bottom w:val="single" w:sz="8" w:space="0" w:color="auto"/>
              <w:right w:val="single" w:sz="4" w:space="0" w:color="auto"/>
            </w:tcBorders>
            <w:vAlign w:val="bottom"/>
          </w:tcPr>
          <w:p w14:paraId="48F2E665" w14:textId="77777777" w:rsidR="009021F1" w:rsidRPr="0029055B" w:rsidRDefault="009021F1" w:rsidP="00E637E3">
            <w:pPr>
              <w:rPr>
                <w:szCs w:val="21"/>
              </w:rPr>
            </w:pPr>
          </w:p>
        </w:tc>
        <w:tc>
          <w:tcPr>
            <w:tcW w:w="1767" w:type="dxa"/>
            <w:tcBorders>
              <w:top w:val="nil"/>
              <w:left w:val="single" w:sz="4" w:space="0" w:color="auto"/>
              <w:bottom w:val="single" w:sz="8" w:space="0" w:color="auto"/>
              <w:right w:val="single" w:sz="4" w:space="0" w:color="auto"/>
            </w:tcBorders>
          </w:tcPr>
          <w:p w14:paraId="297D9399" w14:textId="77777777" w:rsidR="009021F1" w:rsidRPr="0029055B" w:rsidRDefault="009021F1" w:rsidP="00E637E3">
            <w:pPr>
              <w:rPr>
                <w:szCs w:val="21"/>
              </w:rPr>
            </w:pPr>
            <w:r w:rsidRPr="0029055B">
              <w:rPr>
                <w:szCs w:val="21"/>
              </w:rPr>
              <w:t>Cichlidae</w:t>
            </w:r>
          </w:p>
        </w:tc>
        <w:tc>
          <w:tcPr>
            <w:tcW w:w="2565" w:type="dxa"/>
            <w:tcBorders>
              <w:top w:val="nil"/>
              <w:left w:val="single" w:sz="4" w:space="0" w:color="auto"/>
              <w:bottom w:val="single" w:sz="8" w:space="0" w:color="auto"/>
              <w:right w:val="single" w:sz="4" w:space="0" w:color="auto"/>
            </w:tcBorders>
            <w:noWrap/>
            <w:vAlign w:val="bottom"/>
          </w:tcPr>
          <w:p w14:paraId="5194256E" w14:textId="77777777" w:rsidR="009021F1" w:rsidRPr="0029055B" w:rsidRDefault="009021F1" w:rsidP="00E637E3">
            <w:pPr>
              <w:rPr>
                <w:szCs w:val="21"/>
              </w:rPr>
            </w:pPr>
            <w:r w:rsidRPr="0029055B">
              <w:rPr>
                <w:szCs w:val="21"/>
              </w:rPr>
              <w:t>Tilapia  regina</w:t>
            </w:r>
          </w:p>
        </w:tc>
        <w:tc>
          <w:tcPr>
            <w:tcW w:w="2693" w:type="dxa"/>
            <w:tcBorders>
              <w:top w:val="nil"/>
              <w:left w:val="nil"/>
              <w:bottom w:val="single" w:sz="8" w:space="0" w:color="auto"/>
              <w:right w:val="single" w:sz="4" w:space="0" w:color="auto"/>
            </w:tcBorders>
            <w:noWrap/>
            <w:vAlign w:val="bottom"/>
          </w:tcPr>
          <w:p w14:paraId="3B6CC66D" w14:textId="77777777" w:rsidR="009021F1" w:rsidRPr="0029055B" w:rsidRDefault="009021F1" w:rsidP="00E637E3">
            <w:pPr>
              <w:rPr>
                <w:szCs w:val="21"/>
              </w:rPr>
            </w:pPr>
            <w:r w:rsidRPr="0029055B">
              <w:rPr>
                <w:szCs w:val="21"/>
              </w:rPr>
              <w:t>Tilapia rouge</w:t>
            </w:r>
          </w:p>
        </w:tc>
        <w:tc>
          <w:tcPr>
            <w:tcW w:w="1375" w:type="dxa"/>
            <w:tcBorders>
              <w:top w:val="nil"/>
              <w:left w:val="nil"/>
              <w:bottom w:val="single" w:sz="8" w:space="0" w:color="auto"/>
              <w:right w:val="single" w:sz="4" w:space="0" w:color="auto"/>
            </w:tcBorders>
          </w:tcPr>
          <w:p w14:paraId="570518CA" w14:textId="77777777" w:rsidR="009021F1" w:rsidRPr="0029055B" w:rsidRDefault="009021F1" w:rsidP="00E637E3">
            <w:pPr>
              <w:rPr>
                <w:szCs w:val="21"/>
              </w:rPr>
            </w:pPr>
          </w:p>
        </w:tc>
        <w:tc>
          <w:tcPr>
            <w:tcW w:w="1481" w:type="dxa"/>
            <w:tcBorders>
              <w:top w:val="nil"/>
              <w:left w:val="nil"/>
              <w:bottom w:val="single" w:sz="8" w:space="0" w:color="auto"/>
              <w:right w:val="single" w:sz="4" w:space="0" w:color="auto"/>
            </w:tcBorders>
          </w:tcPr>
          <w:p w14:paraId="7994EB60" w14:textId="77777777" w:rsidR="009021F1" w:rsidRPr="0029055B" w:rsidRDefault="009021F1" w:rsidP="00E637E3">
            <w:pPr>
              <w:rPr>
                <w:szCs w:val="21"/>
              </w:rPr>
            </w:pPr>
          </w:p>
        </w:tc>
        <w:tc>
          <w:tcPr>
            <w:tcW w:w="2814" w:type="dxa"/>
            <w:tcBorders>
              <w:top w:val="nil"/>
              <w:left w:val="nil"/>
              <w:bottom w:val="single" w:sz="8" w:space="0" w:color="auto"/>
              <w:right w:val="single" w:sz="8" w:space="0" w:color="auto"/>
            </w:tcBorders>
          </w:tcPr>
          <w:p w14:paraId="6116B497" w14:textId="77777777" w:rsidR="009021F1" w:rsidRPr="0029055B" w:rsidRDefault="009021F1" w:rsidP="00E637E3">
            <w:pPr>
              <w:rPr>
                <w:szCs w:val="21"/>
              </w:rPr>
            </w:pPr>
          </w:p>
        </w:tc>
      </w:tr>
      <w:tr w:rsidR="009021F1" w:rsidRPr="0029055B" w14:paraId="0658AB63" w14:textId="77777777" w:rsidTr="00E637E3">
        <w:trPr>
          <w:trHeight w:val="318"/>
        </w:trPr>
        <w:tc>
          <w:tcPr>
            <w:tcW w:w="14529" w:type="dxa"/>
            <w:gridSpan w:val="7"/>
            <w:tcBorders>
              <w:top w:val="nil"/>
              <w:left w:val="single" w:sz="8" w:space="0" w:color="auto"/>
              <w:bottom w:val="single" w:sz="4" w:space="0" w:color="auto"/>
              <w:right w:val="single" w:sz="8" w:space="0" w:color="auto"/>
            </w:tcBorders>
            <w:vAlign w:val="bottom"/>
          </w:tcPr>
          <w:p w14:paraId="05681E22" w14:textId="77777777" w:rsidR="009021F1" w:rsidRPr="0029055B" w:rsidRDefault="009021F1" w:rsidP="00E637E3">
            <w:pPr>
              <w:rPr>
                <w:szCs w:val="21"/>
              </w:rPr>
            </w:pPr>
            <w:r w:rsidRPr="0029055B">
              <w:rPr>
                <w:szCs w:val="21"/>
              </w:rPr>
              <w:t>BATRACIENS</w:t>
            </w:r>
          </w:p>
        </w:tc>
      </w:tr>
      <w:tr w:rsidR="009021F1" w:rsidRPr="0029055B" w14:paraId="115C4824" w14:textId="77777777" w:rsidTr="00E637E3">
        <w:trPr>
          <w:trHeight w:val="251"/>
        </w:trPr>
        <w:tc>
          <w:tcPr>
            <w:tcW w:w="1834" w:type="dxa"/>
            <w:tcBorders>
              <w:top w:val="nil"/>
              <w:left w:val="single" w:sz="8" w:space="0" w:color="auto"/>
              <w:bottom w:val="single" w:sz="4" w:space="0" w:color="auto"/>
              <w:right w:val="single" w:sz="4" w:space="0" w:color="auto"/>
            </w:tcBorders>
            <w:vAlign w:val="bottom"/>
          </w:tcPr>
          <w:p w14:paraId="12B3AED0" w14:textId="77777777" w:rsidR="009021F1" w:rsidRPr="0029055B" w:rsidRDefault="009021F1" w:rsidP="00E637E3">
            <w:pPr>
              <w:rPr>
                <w:szCs w:val="21"/>
              </w:rPr>
            </w:pPr>
          </w:p>
        </w:tc>
        <w:tc>
          <w:tcPr>
            <w:tcW w:w="1767" w:type="dxa"/>
            <w:tcBorders>
              <w:top w:val="nil"/>
              <w:left w:val="single" w:sz="4" w:space="0" w:color="auto"/>
              <w:bottom w:val="single" w:sz="4" w:space="0" w:color="auto"/>
              <w:right w:val="single" w:sz="4" w:space="0" w:color="auto"/>
            </w:tcBorders>
            <w:vAlign w:val="bottom"/>
          </w:tcPr>
          <w:p w14:paraId="12461DBC" w14:textId="77777777" w:rsidR="009021F1" w:rsidRPr="0029055B" w:rsidRDefault="009021F1" w:rsidP="00E637E3">
            <w:pPr>
              <w:rPr>
                <w:szCs w:val="21"/>
              </w:rPr>
            </w:pPr>
          </w:p>
        </w:tc>
        <w:tc>
          <w:tcPr>
            <w:tcW w:w="2565" w:type="dxa"/>
            <w:tcBorders>
              <w:top w:val="nil"/>
              <w:left w:val="single" w:sz="4" w:space="0" w:color="auto"/>
              <w:bottom w:val="single" w:sz="4" w:space="0" w:color="auto"/>
              <w:right w:val="single" w:sz="4" w:space="0" w:color="auto"/>
            </w:tcBorders>
            <w:noWrap/>
            <w:vAlign w:val="bottom"/>
          </w:tcPr>
          <w:p w14:paraId="26EF634E" w14:textId="77777777" w:rsidR="009021F1" w:rsidRPr="0029055B" w:rsidRDefault="009021F1" w:rsidP="00E637E3">
            <w:pPr>
              <w:rPr>
                <w:szCs w:val="21"/>
              </w:rPr>
            </w:pPr>
            <w:r w:rsidRPr="0029055B">
              <w:rPr>
                <w:szCs w:val="21"/>
              </w:rPr>
              <w:t>Bufo bufo</w:t>
            </w:r>
          </w:p>
        </w:tc>
        <w:tc>
          <w:tcPr>
            <w:tcW w:w="2693" w:type="dxa"/>
            <w:tcBorders>
              <w:top w:val="nil"/>
              <w:left w:val="nil"/>
              <w:bottom w:val="single" w:sz="4" w:space="0" w:color="auto"/>
              <w:right w:val="single" w:sz="4" w:space="0" w:color="auto"/>
            </w:tcBorders>
            <w:noWrap/>
            <w:vAlign w:val="bottom"/>
          </w:tcPr>
          <w:p w14:paraId="48C16F0B" w14:textId="77777777" w:rsidR="009021F1" w:rsidRPr="0029055B" w:rsidRDefault="009021F1" w:rsidP="00E637E3">
            <w:pPr>
              <w:rPr>
                <w:szCs w:val="21"/>
              </w:rPr>
            </w:pPr>
            <w:r w:rsidRPr="0029055B">
              <w:rPr>
                <w:szCs w:val="21"/>
              </w:rPr>
              <w:t>Crapaud, Igikere, Tshoura</w:t>
            </w:r>
          </w:p>
        </w:tc>
        <w:tc>
          <w:tcPr>
            <w:tcW w:w="1375" w:type="dxa"/>
            <w:tcBorders>
              <w:top w:val="nil"/>
              <w:left w:val="nil"/>
              <w:bottom w:val="single" w:sz="4" w:space="0" w:color="auto"/>
              <w:right w:val="single" w:sz="4" w:space="0" w:color="auto"/>
            </w:tcBorders>
          </w:tcPr>
          <w:p w14:paraId="3FCDCC51" w14:textId="77777777" w:rsidR="009021F1" w:rsidRPr="0029055B" w:rsidRDefault="009021F1" w:rsidP="00E637E3">
            <w:pPr>
              <w:rPr>
                <w:szCs w:val="21"/>
              </w:rPr>
            </w:pPr>
          </w:p>
        </w:tc>
        <w:tc>
          <w:tcPr>
            <w:tcW w:w="1481" w:type="dxa"/>
            <w:tcBorders>
              <w:top w:val="nil"/>
              <w:left w:val="nil"/>
              <w:bottom w:val="single" w:sz="4" w:space="0" w:color="auto"/>
              <w:right w:val="single" w:sz="4" w:space="0" w:color="auto"/>
            </w:tcBorders>
          </w:tcPr>
          <w:p w14:paraId="552418AA" w14:textId="77777777" w:rsidR="009021F1" w:rsidRPr="0029055B" w:rsidRDefault="009021F1" w:rsidP="00E637E3">
            <w:pPr>
              <w:rPr>
                <w:szCs w:val="21"/>
              </w:rPr>
            </w:pPr>
          </w:p>
        </w:tc>
        <w:tc>
          <w:tcPr>
            <w:tcW w:w="2814" w:type="dxa"/>
            <w:tcBorders>
              <w:top w:val="nil"/>
              <w:left w:val="nil"/>
              <w:bottom w:val="single" w:sz="4" w:space="0" w:color="auto"/>
              <w:right w:val="single" w:sz="8" w:space="0" w:color="auto"/>
            </w:tcBorders>
          </w:tcPr>
          <w:p w14:paraId="64D31868" w14:textId="77777777" w:rsidR="009021F1" w:rsidRPr="0029055B" w:rsidRDefault="009021F1" w:rsidP="00E637E3">
            <w:pPr>
              <w:rPr>
                <w:szCs w:val="21"/>
              </w:rPr>
            </w:pPr>
          </w:p>
        </w:tc>
      </w:tr>
      <w:tr w:rsidR="009021F1" w:rsidRPr="0029055B" w14:paraId="6F326BAD" w14:textId="77777777" w:rsidTr="00E637E3">
        <w:trPr>
          <w:trHeight w:val="253"/>
        </w:trPr>
        <w:tc>
          <w:tcPr>
            <w:tcW w:w="1834" w:type="dxa"/>
            <w:tcBorders>
              <w:top w:val="single" w:sz="4" w:space="0" w:color="auto"/>
              <w:left w:val="single" w:sz="8" w:space="0" w:color="auto"/>
              <w:bottom w:val="single" w:sz="8" w:space="0" w:color="auto"/>
              <w:right w:val="single" w:sz="4" w:space="0" w:color="auto"/>
            </w:tcBorders>
            <w:vAlign w:val="bottom"/>
          </w:tcPr>
          <w:p w14:paraId="1C48584F" w14:textId="77777777" w:rsidR="009021F1" w:rsidRPr="0029055B" w:rsidRDefault="009021F1" w:rsidP="00E637E3">
            <w:pPr>
              <w:rPr>
                <w:szCs w:val="21"/>
              </w:rPr>
            </w:pPr>
            <w:r w:rsidRPr="0029055B">
              <w:rPr>
                <w:szCs w:val="21"/>
              </w:rPr>
              <w:t>Anoures</w:t>
            </w:r>
          </w:p>
        </w:tc>
        <w:tc>
          <w:tcPr>
            <w:tcW w:w="1767" w:type="dxa"/>
            <w:tcBorders>
              <w:top w:val="single" w:sz="4" w:space="0" w:color="auto"/>
              <w:left w:val="single" w:sz="4" w:space="0" w:color="auto"/>
              <w:bottom w:val="single" w:sz="8" w:space="0" w:color="auto"/>
              <w:right w:val="single" w:sz="4" w:space="0" w:color="auto"/>
            </w:tcBorders>
            <w:vAlign w:val="bottom"/>
          </w:tcPr>
          <w:p w14:paraId="1E709044" w14:textId="77777777" w:rsidR="009021F1" w:rsidRPr="0029055B" w:rsidRDefault="009021F1" w:rsidP="00E637E3">
            <w:pPr>
              <w:rPr>
                <w:szCs w:val="21"/>
              </w:rPr>
            </w:pPr>
            <w:r w:rsidRPr="0029055B">
              <w:rPr>
                <w:szCs w:val="21"/>
              </w:rPr>
              <w:t>Ranidae</w:t>
            </w:r>
          </w:p>
        </w:tc>
        <w:tc>
          <w:tcPr>
            <w:tcW w:w="2565" w:type="dxa"/>
            <w:tcBorders>
              <w:top w:val="single" w:sz="4" w:space="0" w:color="auto"/>
              <w:left w:val="single" w:sz="4" w:space="0" w:color="auto"/>
              <w:bottom w:val="single" w:sz="8" w:space="0" w:color="auto"/>
              <w:right w:val="single" w:sz="4" w:space="0" w:color="auto"/>
            </w:tcBorders>
            <w:noWrap/>
            <w:vAlign w:val="bottom"/>
          </w:tcPr>
          <w:p w14:paraId="5F5B31B4" w14:textId="77777777" w:rsidR="009021F1" w:rsidRPr="0029055B" w:rsidRDefault="009021F1" w:rsidP="00E637E3">
            <w:pPr>
              <w:rPr>
                <w:szCs w:val="21"/>
              </w:rPr>
            </w:pPr>
            <w:r w:rsidRPr="0029055B">
              <w:rPr>
                <w:szCs w:val="21"/>
              </w:rPr>
              <w:t>Rana ripicola</w:t>
            </w:r>
          </w:p>
        </w:tc>
        <w:tc>
          <w:tcPr>
            <w:tcW w:w="2693" w:type="dxa"/>
            <w:tcBorders>
              <w:top w:val="single" w:sz="4" w:space="0" w:color="auto"/>
              <w:left w:val="nil"/>
              <w:bottom w:val="single" w:sz="8" w:space="0" w:color="auto"/>
              <w:right w:val="single" w:sz="4" w:space="0" w:color="auto"/>
            </w:tcBorders>
            <w:noWrap/>
            <w:vAlign w:val="bottom"/>
          </w:tcPr>
          <w:p w14:paraId="488EBEA6" w14:textId="77777777" w:rsidR="009021F1" w:rsidRPr="0029055B" w:rsidRDefault="009021F1" w:rsidP="00E637E3">
            <w:pPr>
              <w:rPr>
                <w:szCs w:val="21"/>
              </w:rPr>
            </w:pPr>
            <w:r w:rsidRPr="0029055B">
              <w:rPr>
                <w:szCs w:val="21"/>
              </w:rPr>
              <w:t>Grenouilles, Umutibu</w:t>
            </w:r>
          </w:p>
        </w:tc>
        <w:tc>
          <w:tcPr>
            <w:tcW w:w="1375" w:type="dxa"/>
            <w:tcBorders>
              <w:top w:val="single" w:sz="4" w:space="0" w:color="auto"/>
              <w:left w:val="nil"/>
              <w:bottom w:val="single" w:sz="8" w:space="0" w:color="auto"/>
              <w:right w:val="single" w:sz="4" w:space="0" w:color="auto"/>
            </w:tcBorders>
          </w:tcPr>
          <w:p w14:paraId="2734D49A" w14:textId="77777777" w:rsidR="009021F1" w:rsidRPr="0029055B" w:rsidRDefault="009021F1" w:rsidP="00E637E3">
            <w:pPr>
              <w:rPr>
                <w:szCs w:val="21"/>
              </w:rPr>
            </w:pPr>
          </w:p>
        </w:tc>
        <w:tc>
          <w:tcPr>
            <w:tcW w:w="1481" w:type="dxa"/>
            <w:tcBorders>
              <w:top w:val="single" w:sz="4" w:space="0" w:color="auto"/>
              <w:left w:val="nil"/>
              <w:bottom w:val="single" w:sz="8" w:space="0" w:color="auto"/>
              <w:right w:val="single" w:sz="4" w:space="0" w:color="auto"/>
            </w:tcBorders>
          </w:tcPr>
          <w:p w14:paraId="30CCD9CF" w14:textId="77777777" w:rsidR="009021F1" w:rsidRPr="0029055B" w:rsidRDefault="009021F1" w:rsidP="00E637E3">
            <w:pPr>
              <w:rPr>
                <w:szCs w:val="21"/>
              </w:rPr>
            </w:pPr>
          </w:p>
        </w:tc>
        <w:tc>
          <w:tcPr>
            <w:tcW w:w="2814" w:type="dxa"/>
            <w:tcBorders>
              <w:top w:val="single" w:sz="4" w:space="0" w:color="auto"/>
              <w:left w:val="nil"/>
              <w:bottom w:val="single" w:sz="8" w:space="0" w:color="auto"/>
              <w:right w:val="single" w:sz="8" w:space="0" w:color="auto"/>
            </w:tcBorders>
          </w:tcPr>
          <w:p w14:paraId="3DCCA713" w14:textId="77777777" w:rsidR="009021F1" w:rsidRPr="0029055B" w:rsidRDefault="009021F1" w:rsidP="00E637E3">
            <w:pPr>
              <w:rPr>
                <w:szCs w:val="21"/>
              </w:rPr>
            </w:pPr>
          </w:p>
        </w:tc>
      </w:tr>
      <w:tr w:rsidR="009021F1" w:rsidRPr="0029055B" w14:paraId="19805CB8" w14:textId="77777777" w:rsidTr="00E637E3">
        <w:trPr>
          <w:trHeight w:val="172"/>
        </w:trPr>
        <w:tc>
          <w:tcPr>
            <w:tcW w:w="14529" w:type="dxa"/>
            <w:gridSpan w:val="7"/>
            <w:tcBorders>
              <w:top w:val="single" w:sz="4" w:space="0" w:color="auto"/>
              <w:left w:val="single" w:sz="8" w:space="0" w:color="auto"/>
              <w:bottom w:val="single" w:sz="4" w:space="0" w:color="auto"/>
              <w:right w:val="single" w:sz="8" w:space="0" w:color="auto"/>
            </w:tcBorders>
            <w:vAlign w:val="bottom"/>
          </w:tcPr>
          <w:p w14:paraId="7C59BBA3" w14:textId="77777777" w:rsidR="009021F1" w:rsidRPr="0029055B" w:rsidRDefault="009021F1" w:rsidP="00E637E3">
            <w:pPr>
              <w:rPr>
                <w:szCs w:val="21"/>
              </w:rPr>
            </w:pPr>
            <w:r w:rsidRPr="0029055B">
              <w:rPr>
                <w:szCs w:val="21"/>
              </w:rPr>
              <w:t>MYRIAPODA</w:t>
            </w:r>
          </w:p>
        </w:tc>
      </w:tr>
      <w:tr w:rsidR="009021F1" w:rsidRPr="0029055B" w14:paraId="1B55BDB9" w14:textId="77777777" w:rsidTr="00E637E3">
        <w:trPr>
          <w:trHeight w:val="318"/>
        </w:trPr>
        <w:tc>
          <w:tcPr>
            <w:tcW w:w="1834" w:type="dxa"/>
            <w:tcBorders>
              <w:top w:val="single" w:sz="8" w:space="0" w:color="auto"/>
              <w:left w:val="single" w:sz="8" w:space="0" w:color="auto"/>
              <w:bottom w:val="single" w:sz="8" w:space="0" w:color="auto"/>
              <w:right w:val="single" w:sz="4" w:space="0" w:color="auto"/>
            </w:tcBorders>
            <w:vAlign w:val="bottom"/>
          </w:tcPr>
          <w:p w14:paraId="6C71C619" w14:textId="77777777" w:rsidR="009021F1" w:rsidRPr="0029055B" w:rsidRDefault="009021F1" w:rsidP="00E637E3">
            <w:pPr>
              <w:rPr>
                <w:szCs w:val="21"/>
              </w:rPr>
            </w:pPr>
          </w:p>
        </w:tc>
        <w:tc>
          <w:tcPr>
            <w:tcW w:w="1767" w:type="dxa"/>
            <w:tcBorders>
              <w:top w:val="single" w:sz="8" w:space="0" w:color="auto"/>
              <w:left w:val="single" w:sz="4" w:space="0" w:color="auto"/>
              <w:bottom w:val="single" w:sz="8" w:space="0" w:color="auto"/>
              <w:right w:val="single" w:sz="4" w:space="0" w:color="auto"/>
            </w:tcBorders>
            <w:vAlign w:val="bottom"/>
          </w:tcPr>
          <w:p w14:paraId="63C9A351" w14:textId="77777777" w:rsidR="009021F1" w:rsidRPr="0029055B" w:rsidRDefault="009021F1" w:rsidP="00E637E3">
            <w:pPr>
              <w:rPr>
                <w:szCs w:val="21"/>
              </w:rPr>
            </w:pPr>
          </w:p>
        </w:tc>
        <w:tc>
          <w:tcPr>
            <w:tcW w:w="2565" w:type="dxa"/>
            <w:tcBorders>
              <w:top w:val="single" w:sz="8" w:space="0" w:color="auto"/>
              <w:left w:val="single" w:sz="4" w:space="0" w:color="auto"/>
              <w:bottom w:val="single" w:sz="8" w:space="0" w:color="auto"/>
              <w:right w:val="single" w:sz="4" w:space="0" w:color="auto"/>
            </w:tcBorders>
            <w:noWrap/>
            <w:vAlign w:val="bottom"/>
          </w:tcPr>
          <w:p w14:paraId="498B4C8B" w14:textId="77777777" w:rsidR="009021F1" w:rsidRPr="0029055B" w:rsidRDefault="009021F1" w:rsidP="00E637E3">
            <w:pPr>
              <w:rPr>
                <w:szCs w:val="21"/>
              </w:rPr>
            </w:pPr>
          </w:p>
        </w:tc>
        <w:tc>
          <w:tcPr>
            <w:tcW w:w="2693" w:type="dxa"/>
            <w:tcBorders>
              <w:top w:val="single" w:sz="8" w:space="0" w:color="auto"/>
              <w:left w:val="nil"/>
              <w:bottom w:val="single" w:sz="8" w:space="0" w:color="auto"/>
              <w:right w:val="single" w:sz="4" w:space="0" w:color="auto"/>
            </w:tcBorders>
            <w:noWrap/>
            <w:vAlign w:val="bottom"/>
          </w:tcPr>
          <w:p w14:paraId="00043C7A" w14:textId="77777777" w:rsidR="009021F1" w:rsidRPr="0029055B" w:rsidRDefault="009021F1" w:rsidP="00E637E3">
            <w:pPr>
              <w:rPr>
                <w:szCs w:val="21"/>
              </w:rPr>
            </w:pPr>
            <w:r w:rsidRPr="0029055B">
              <w:rPr>
                <w:szCs w:val="21"/>
              </w:rPr>
              <w:t>Milles pattes, Nyiongolo</w:t>
            </w:r>
          </w:p>
        </w:tc>
        <w:tc>
          <w:tcPr>
            <w:tcW w:w="1375" w:type="dxa"/>
            <w:tcBorders>
              <w:top w:val="single" w:sz="8" w:space="0" w:color="auto"/>
              <w:left w:val="nil"/>
              <w:bottom w:val="single" w:sz="8" w:space="0" w:color="auto"/>
              <w:right w:val="single" w:sz="4" w:space="0" w:color="auto"/>
            </w:tcBorders>
          </w:tcPr>
          <w:p w14:paraId="3D90CED7" w14:textId="77777777" w:rsidR="009021F1" w:rsidRPr="0029055B" w:rsidRDefault="009021F1" w:rsidP="00E637E3">
            <w:pPr>
              <w:rPr>
                <w:szCs w:val="21"/>
              </w:rPr>
            </w:pPr>
            <w:r w:rsidRPr="0029055B">
              <w:rPr>
                <w:szCs w:val="21"/>
              </w:rPr>
              <w:t>-</w:t>
            </w:r>
          </w:p>
        </w:tc>
        <w:tc>
          <w:tcPr>
            <w:tcW w:w="1481" w:type="dxa"/>
            <w:tcBorders>
              <w:top w:val="single" w:sz="8" w:space="0" w:color="auto"/>
              <w:left w:val="nil"/>
              <w:bottom w:val="single" w:sz="8" w:space="0" w:color="auto"/>
              <w:right w:val="single" w:sz="4" w:space="0" w:color="auto"/>
            </w:tcBorders>
          </w:tcPr>
          <w:p w14:paraId="775BE29F" w14:textId="77777777" w:rsidR="009021F1" w:rsidRPr="0029055B" w:rsidRDefault="009021F1" w:rsidP="00E637E3">
            <w:pPr>
              <w:rPr>
                <w:szCs w:val="21"/>
              </w:rPr>
            </w:pPr>
            <w:r w:rsidRPr="0029055B">
              <w:rPr>
                <w:szCs w:val="21"/>
              </w:rPr>
              <w:t>-</w:t>
            </w:r>
          </w:p>
        </w:tc>
        <w:tc>
          <w:tcPr>
            <w:tcW w:w="2814" w:type="dxa"/>
            <w:tcBorders>
              <w:top w:val="single" w:sz="8" w:space="0" w:color="auto"/>
              <w:left w:val="nil"/>
              <w:bottom w:val="single" w:sz="8" w:space="0" w:color="auto"/>
              <w:right w:val="single" w:sz="8" w:space="0" w:color="auto"/>
            </w:tcBorders>
          </w:tcPr>
          <w:p w14:paraId="1B11F7A2" w14:textId="77777777" w:rsidR="009021F1" w:rsidRPr="0029055B" w:rsidRDefault="009021F1" w:rsidP="00E637E3">
            <w:pPr>
              <w:rPr>
                <w:szCs w:val="21"/>
              </w:rPr>
            </w:pPr>
          </w:p>
        </w:tc>
      </w:tr>
      <w:tr w:rsidR="009021F1" w:rsidRPr="0029055B" w14:paraId="3F794395" w14:textId="77777777" w:rsidTr="00E637E3">
        <w:trPr>
          <w:trHeight w:val="318"/>
        </w:trPr>
        <w:tc>
          <w:tcPr>
            <w:tcW w:w="14529" w:type="dxa"/>
            <w:gridSpan w:val="7"/>
            <w:tcBorders>
              <w:top w:val="single" w:sz="8" w:space="0" w:color="auto"/>
              <w:left w:val="single" w:sz="8" w:space="0" w:color="auto"/>
              <w:bottom w:val="single" w:sz="4" w:space="0" w:color="auto"/>
              <w:right w:val="single" w:sz="8" w:space="0" w:color="auto"/>
            </w:tcBorders>
            <w:vAlign w:val="bottom"/>
          </w:tcPr>
          <w:p w14:paraId="435C1AB4" w14:textId="77777777" w:rsidR="009021F1" w:rsidRPr="0029055B" w:rsidRDefault="009021F1" w:rsidP="00E637E3">
            <w:pPr>
              <w:rPr>
                <w:szCs w:val="21"/>
              </w:rPr>
            </w:pPr>
            <w:r w:rsidRPr="0029055B">
              <w:rPr>
                <w:szCs w:val="21"/>
              </w:rPr>
              <w:t>MOLLUSQUES</w:t>
            </w:r>
          </w:p>
        </w:tc>
      </w:tr>
      <w:tr w:rsidR="009021F1" w:rsidRPr="0029055B" w14:paraId="4A4336D9" w14:textId="77777777" w:rsidTr="00E637E3">
        <w:trPr>
          <w:trHeight w:val="318"/>
        </w:trPr>
        <w:tc>
          <w:tcPr>
            <w:tcW w:w="1834" w:type="dxa"/>
            <w:tcBorders>
              <w:top w:val="single" w:sz="8" w:space="0" w:color="auto"/>
              <w:left w:val="single" w:sz="8" w:space="0" w:color="auto"/>
              <w:bottom w:val="single" w:sz="8" w:space="0" w:color="auto"/>
              <w:right w:val="single" w:sz="4" w:space="0" w:color="auto"/>
            </w:tcBorders>
            <w:vAlign w:val="bottom"/>
          </w:tcPr>
          <w:p w14:paraId="2A227CF4" w14:textId="77777777" w:rsidR="009021F1" w:rsidRPr="0029055B" w:rsidRDefault="009021F1" w:rsidP="00E637E3">
            <w:pPr>
              <w:rPr>
                <w:szCs w:val="21"/>
              </w:rPr>
            </w:pPr>
          </w:p>
        </w:tc>
        <w:tc>
          <w:tcPr>
            <w:tcW w:w="1767" w:type="dxa"/>
            <w:tcBorders>
              <w:top w:val="single" w:sz="8" w:space="0" w:color="auto"/>
              <w:left w:val="single" w:sz="4" w:space="0" w:color="auto"/>
              <w:bottom w:val="single" w:sz="8" w:space="0" w:color="auto"/>
              <w:right w:val="single" w:sz="4" w:space="0" w:color="auto"/>
            </w:tcBorders>
            <w:vAlign w:val="bottom"/>
          </w:tcPr>
          <w:p w14:paraId="08205D9B" w14:textId="77777777" w:rsidR="009021F1" w:rsidRPr="0029055B" w:rsidRDefault="009021F1" w:rsidP="00E637E3">
            <w:pPr>
              <w:rPr>
                <w:szCs w:val="21"/>
              </w:rPr>
            </w:pPr>
          </w:p>
        </w:tc>
        <w:tc>
          <w:tcPr>
            <w:tcW w:w="2565" w:type="dxa"/>
            <w:tcBorders>
              <w:top w:val="single" w:sz="8" w:space="0" w:color="auto"/>
              <w:left w:val="single" w:sz="4" w:space="0" w:color="auto"/>
              <w:bottom w:val="single" w:sz="8" w:space="0" w:color="auto"/>
              <w:right w:val="single" w:sz="4" w:space="0" w:color="auto"/>
            </w:tcBorders>
            <w:noWrap/>
            <w:vAlign w:val="bottom"/>
          </w:tcPr>
          <w:p w14:paraId="5CB3C94A" w14:textId="77777777" w:rsidR="009021F1" w:rsidRPr="0029055B" w:rsidRDefault="009021F1" w:rsidP="00E637E3">
            <w:pPr>
              <w:rPr>
                <w:szCs w:val="21"/>
              </w:rPr>
            </w:pPr>
          </w:p>
        </w:tc>
        <w:tc>
          <w:tcPr>
            <w:tcW w:w="2693" w:type="dxa"/>
            <w:tcBorders>
              <w:top w:val="single" w:sz="8" w:space="0" w:color="auto"/>
              <w:left w:val="single" w:sz="4" w:space="0" w:color="auto"/>
              <w:bottom w:val="single" w:sz="8" w:space="0" w:color="auto"/>
              <w:right w:val="single" w:sz="4" w:space="0" w:color="auto"/>
            </w:tcBorders>
            <w:noWrap/>
            <w:vAlign w:val="bottom"/>
          </w:tcPr>
          <w:p w14:paraId="783E0EBF" w14:textId="77777777" w:rsidR="009021F1" w:rsidRPr="0029055B" w:rsidRDefault="009021F1" w:rsidP="00E637E3">
            <w:pPr>
              <w:rPr>
                <w:szCs w:val="21"/>
              </w:rPr>
            </w:pPr>
            <w:r w:rsidRPr="0029055B">
              <w:rPr>
                <w:szCs w:val="21"/>
              </w:rPr>
              <w:t>Escargots, konokono</w:t>
            </w:r>
          </w:p>
        </w:tc>
        <w:tc>
          <w:tcPr>
            <w:tcW w:w="1375" w:type="dxa"/>
            <w:tcBorders>
              <w:top w:val="single" w:sz="8" w:space="0" w:color="auto"/>
              <w:left w:val="nil"/>
              <w:bottom w:val="single" w:sz="8" w:space="0" w:color="auto"/>
              <w:right w:val="single" w:sz="4" w:space="0" w:color="auto"/>
            </w:tcBorders>
          </w:tcPr>
          <w:p w14:paraId="7FC8A0AE" w14:textId="77777777" w:rsidR="009021F1" w:rsidRPr="0029055B" w:rsidRDefault="009021F1" w:rsidP="00E637E3">
            <w:pPr>
              <w:rPr>
                <w:szCs w:val="21"/>
              </w:rPr>
            </w:pPr>
            <w:r w:rsidRPr="0029055B">
              <w:rPr>
                <w:szCs w:val="21"/>
              </w:rPr>
              <w:t>-</w:t>
            </w:r>
          </w:p>
        </w:tc>
        <w:tc>
          <w:tcPr>
            <w:tcW w:w="1481" w:type="dxa"/>
            <w:tcBorders>
              <w:top w:val="single" w:sz="8" w:space="0" w:color="auto"/>
              <w:left w:val="nil"/>
              <w:bottom w:val="single" w:sz="8" w:space="0" w:color="auto"/>
              <w:right w:val="single" w:sz="4" w:space="0" w:color="auto"/>
            </w:tcBorders>
          </w:tcPr>
          <w:p w14:paraId="4EC9379C" w14:textId="77777777" w:rsidR="009021F1" w:rsidRPr="0029055B" w:rsidRDefault="009021F1" w:rsidP="00E637E3">
            <w:pPr>
              <w:rPr>
                <w:szCs w:val="21"/>
              </w:rPr>
            </w:pPr>
            <w:r w:rsidRPr="0029055B">
              <w:rPr>
                <w:szCs w:val="21"/>
              </w:rPr>
              <w:t>-</w:t>
            </w:r>
          </w:p>
        </w:tc>
        <w:tc>
          <w:tcPr>
            <w:tcW w:w="2814" w:type="dxa"/>
            <w:tcBorders>
              <w:top w:val="single" w:sz="8" w:space="0" w:color="auto"/>
              <w:left w:val="nil"/>
              <w:bottom w:val="single" w:sz="8" w:space="0" w:color="auto"/>
              <w:right w:val="single" w:sz="8" w:space="0" w:color="auto"/>
            </w:tcBorders>
          </w:tcPr>
          <w:p w14:paraId="18673404" w14:textId="77777777" w:rsidR="009021F1" w:rsidRPr="0029055B" w:rsidRDefault="009021F1" w:rsidP="00E637E3">
            <w:pPr>
              <w:rPr>
                <w:szCs w:val="21"/>
              </w:rPr>
            </w:pPr>
          </w:p>
        </w:tc>
      </w:tr>
    </w:tbl>
    <w:p w14:paraId="0F9C01EB" w14:textId="77777777" w:rsidR="009021F1" w:rsidRPr="0029055B" w:rsidRDefault="009021F1" w:rsidP="009021F1">
      <w:pPr>
        <w:rPr>
          <w:szCs w:val="21"/>
        </w:rPr>
      </w:pPr>
    </w:p>
    <w:p w14:paraId="6F025B1A" w14:textId="77777777" w:rsidR="009021F1" w:rsidRPr="0029055B" w:rsidRDefault="009021F1" w:rsidP="009021F1">
      <w:pPr>
        <w:rPr>
          <w:szCs w:val="21"/>
        </w:rPr>
      </w:pPr>
      <w:r w:rsidRPr="0029055B">
        <w:rPr>
          <w:szCs w:val="21"/>
        </w:rPr>
        <w:t xml:space="preserve">Légendes : cfr légende du volet Flore pour l’habitat. Source : (Languy et De Merode, 2006). </w:t>
      </w:r>
    </w:p>
    <w:p w14:paraId="3A41793B" w14:textId="3A485BBE" w:rsidR="009021F1" w:rsidRDefault="009021F1" w:rsidP="00F7285D">
      <w:pPr>
        <w:rPr>
          <w:szCs w:val="21"/>
        </w:rPr>
      </w:pPr>
    </w:p>
    <w:p w14:paraId="5A13E766" w14:textId="4CB6919B" w:rsidR="009021F1" w:rsidRDefault="009021F1" w:rsidP="009021F1">
      <w:pPr>
        <w:rPr>
          <w:szCs w:val="21"/>
        </w:rPr>
      </w:pPr>
      <w:r w:rsidRPr="0029055B">
        <w:rPr>
          <w:szCs w:val="21"/>
        </w:rPr>
        <w:t>N.B : Cette liste n’est pas exhaustive. Les insectes et beaucoup d’autres groupes d’animaux du PNVi ne sont pas encore comptabilisés.</w:t>
      </w:r>
    </w:p>
    <w:p w14:paraId="12FCB769" w14:textId="0414F14B" w:rsidR="00E637E3" w:rsidRDefault="00E637E3" w:rsidP="009021F1">
      <w:pPr>
        <w:rPr>
          <w:szCs w:val="21"/>
        </w:rPr>
      </w:pPr>
    </w:p>
    <w:p w14:paraId="32797BED" w14:textId="7993F6FB" w:rsidR="00E637E3" w:rsidRDefault="00E637E3" w:rsidP="009021F1">
      <w:pPr>
        <w:rPr>
          <w:szCs w:val="21"/>
        </w:rPr>
      </w:pPr>
    </w:p>
    <w:p w14:paraId="3C76EAC1" w14:textId="3918B36C" w:rsidR="00E637E3" w:rsidRDefault="00E637E3" w:rsidP="009021F1">
      <w:pPr>
        <w:rPr>
          <w:szCs w:val="21"/>
        </w:rPr>
      </w:pPr>
    </w:p>
    <w:p w14:paraId="03A810C0" w14:textId="61975969" w:rsidR="00E637E3" w:rsidRDefault="00E637E3" w:rsidP="009021F1">
      <w:pPr>
        <w:rPr>
          <w:szCs w:val="21"/>
        </w:rPr>
      </w:pPr>
    </w:p>
    <w:p w14:paraId="064DEBD0" w14:textId="765C35CB" w:rsidR="00E637E3" w:rsidRDefault="00E637E3" w:rsidP="009021F1">
      <w:pPr>
        <w:rPr>
          <w:szCs w:val="21"/>
        </w:rPr>
      </w:pPr>
    </w:p>
    <w:p w14:paraId="4A88A588" w14:textId="774324C0" w:rsidR="00E637E3" w:rsidRDefault="00E637E3" w:rsidP="009021F1">
      <w:pPr>
        <w:rPr>
          <w:szCs w:val="21"/>
        </w:rPr>
      </w:pPr>
    </w:p>
    <w:p w14:paraId="65E5CB7D" w14:textId="3BBC706C" w:rsidR="00E637E3" w:rsidRDefault="00E637E3" w:rsidP="009021F1">
      <w:pPr>
        <w:rPr>
          <w:szCs w:val="21"/>
        </w:rPr>
      </w:pPr>
    </w:p>
    <w:p w14:paraId="4731BC4C" w14:textId="5A117A03" w:rsidR="00E637E3" w:rsidRDefault="00E637E3" w:rsidP="009021F1">
      <w:pPr>
        <w:rPr>
          <w:szCs w:val="21"/>
        </w:rPr>
      </w:pPr>
    </w:p>
    <w:p w14:paraId="6B82AD17" w14:textId="0F3729B2" w:rsidR="00E637E3" w:rsidRDefault="00E637E3" w:rsidP="009021F1">
      <w:pPr>
        <w:rPr>
          <w:szCs w:val="21"/>
        </w:rPr>
      </w:pPr>
    </w:p>
    <w:p w14:paraId="52473927" w14:textId="11685C72" w:rsidR="00E637E3" w:rsidRDefault="00E637E3" w:rsidP="009021F1">
      <w:pPr>
        <w:rPr>
          <w:szCs w:val="21"/>
        </w:rPr>
      </w:pPr>
    </w:p>
    <w:p w14:paraId="6BAF3BA2" w14:textId="3C8F94DC" w:rsidR="00E637E3" w:rsidRDefault="00E637E3" w:rsidP="009021F1">
      <w:pPr>
        <w:rPr>
          <w:szCs w:val="21"/>
        </w:rPr>
      </w:pPr>
    </w:p>
    <w:p w14:paraId="6B4EA20C" w14:textId="42AB964D" w:rsidR="00E637E3" w:rsidRDefault="00E637E3" w:rsidP="009021F1">
      <w:pPr>
        <w:rPr>
          <w:szCs w:val="21"/>
        </w:rPr>
      </w:pPr>
    </w:p>
    <w:p w14:paraId="4BB1F033" w14:textId="0458A168" w:rsidR="00E637E3" w:rsidRDefault="00E637E3" w:rsidP="009021F1">
      <w:pPr>
        <w:rPr>
          <w:szCs w:val="21"/>
        </w:rPr>
      </w:pPr>
    </w:p>
    <w:p w14:paraId="5734D431" w14:textId="20BD4B99" w:rsidR="00E637E3" w:rsidRDefault="00E637E3" w:rsidP="009021F1">
      <w:pPr>
        <w:rPr>
          <w:szCs w:val="21"/>
        </w:rPr>
      </w:pPr>
    </w:p>
    <w:p w14:paraId="1909E05C" w14:textId="2AF0F09B" w:rsidR="00E637E3" w:rsidRDefault="00E637E3" w:rsidP="009021F1">
      <w:pPr>
        <w:rPr>
          <w:szCs w:val="21"/>
        </w:rPr>
      </w:pPr>
    </w:p>
    <w:p w14:paraId="784B3336" w14:textId="77F894B3" w:rsidR="00E637E3" w:rsidRDefault="00E637E3" w:rsidP="009021F1">
      <w:pPr>
        <w:rPr>
          <w:szCs w:val="21"/>
        </w:rPr>
      </w:pPr>
    </w:p>
    <w:p w14:paraId="166DA16C" w14:textId="06D67299" w:rsidR="00E637E3" w:rsidRDefault="00E637E3" w:rsidP="009021F1">
      <w:pPr>
        <w:rPr>
          <w:szCs w:val="21"/>
        </w:rPr>
      </w:pPr>
    </w:p>
    <w:p w14:paraId="6BF6FA32" w14:textId="7CE94D37" w:rsidR="00E637E3" w:rsidRDefault="00E637E3" w:rsidP="009021F1">
      <w:pPr>
        <w:rPr>
          <w:szCs w:val="21"/>
        </w:rPr>
      </w:pPr>
    </w:p>
    <w:p w14:paraId="1D443D54" w14:textId="5DF18D37" w:rsidR="00E637E3" w:rsidRDefault="00E637E3" w:rsidP="009021F1">
      <w:pPr>
        <w:rPr>
          <w:szCs w:val="21"/>
        </w:rPr>
      </w:pPr>
    </w:p>
    <w:p w14:paraId="16C35EAF" w14:textId="60142209" w:rsidR="00E637E3" w:rsidRDefault="00E637E3" w:rsidP="009021F1">
      <w:pPr>
        <w:rPr>
          <w:szCs w:val="21"/>
        </w:rPr>
      </w:pPr>
    </w:p>
    <w:p w14:paraId="7F6A9187" w14:textId="365DD537" w:rsidR="00E637E3" w:rsidRDefault="00E637E3" w:rsidP="009021F1">
      <w:pPr>
        <w:rPr>
          <w:szCs w:val="21"/>
        </w:rPr>
      </w:pPr>
    </w:p>
    <w:p w14:paraId="48C96B7B" w14:textId="722D38FA" w:rsidR="00E637E3" w:rsidRDefault="00E637E3" w:rsidP="009021F1">
      <w:pPr>
        <w:rPr>
          <w:szCs w:val="21"/>
        </w:rPr>
      </w:pPr>
    </w:p>
    <w:p w14:paraId="33D99055" w14:textId="77777777" w:rsidR="00E637E3" w:rsidRDefault="00E637E3" w:rsidP="009021F1">
      <w:pPr>
        <w:rPr>
          <w:szCs w:val="21"/>
        </w:rPr>
        <w:sectPr w:rsidR="00E637E3" w:rsidSect="009021F1">
          <w:pgSz w:w="16838" w:h="11906" w:orient="landscape"/>
          <w:pgMar w:top="1418" w:right="1134" w:bottom="1418" w:left="1134" w:header="568" w:footer="82" w:gutter="0"/>
          <w:cols w:space="708"/>
          <w:docGrid w:linePitch="360"/>
        </w:sectPr>
      </w:pPr>
    </w:p>
    <w:p w14:paraId="690B946B" w14:textId="77777777" w:rsidR="009021F1" w:rsidRPr="0029055B" w:rsidRDefault="009021F1" w:rsidP="009021F1">
      <w:pPr>
        <w:rPr>
          <w:szCs w:val="21"/>
        </w:rPr>
      </w:pPr>
      <w:r w:rsidRPr="0029055B">
        <w:rPr>
          <w:szCs w:val="21"/>
        </w:rPr>
        <w:t xml:space="preserve">En conclusion : le PNVi ne présente à l’heure actuelle aucune espèce végétale particulière ou phare. Mais selon la classification de l’IUCN on note un bon nombre d’espèces animales qui sont tenues d’être protégées dans le Parc et celles qui sont menacées de disparition qui peuvent également faire l’objet d’une certaine protection. En plus des espèces qui sont menacées de disparition, il existe beaucoup d’autres espèces animales qui sont confrontées à d’autres types de menaces, tel que le commerce et le braconnage illégaux, la perte de l’habitat, et les maladies. </w:t>
      </w:r>
    </w:p>
    <w:p w14:paraId="7C49AF53" w14:textId="77777777" w:rsidR="009021F1" w:rsidRPr="0029055B" w:rsidRDefault="009021F1" w:rsidP="009021F1">
      <w:pPr>
        <w:rPr>
          <w:szCs w:val="21"/>
        </w:rPr>
      </w:pPr>
    </w:p>
    <w:p w14:paraId="31D7F6EB" w14:textId="77777777" w:rsidR="009021F1" w:rsidRPr="0029055B" w:rsidRDefault="009021F1" w:rsidP="009021F1">
      <w:pPr>
        <w:rPr>
          <w:szCs w:val="21"/>
        </w:rPr>
      </w:pPr>
      <w:r w:rsidRPr="0029055B">
        <w:rPr>
          <w:szCs w:val="21"/>
        </w:rPr>
        <w:t xml:space="preserve">Il serait recommandé d’envisager des enquêtes et observations plus détaillées dans le parc pour déceler et dénombrer les différentes espèces d’animaux se trouvant dans cet état. Depuis les conflits armés qui ont secoué la zone, bon nombre d’animaux ont disparu dans le parc. D’autres ne font que se raréfier. </w:t>
      </w:r>
    </w:p>
    <w:p w14:paraId="45286146" w14:textId="77777777" w:rsidR="009021F1" w:rsidRPr="0029055B" w:rsidRDefault="009021F1" w:rsidP="009021F1">
      <w:pPr>
        <w:rPr>
          <w:szCs w:val="21"/>
        </w:rPr>
      </w:pPr>
    </w:p>
    <w:p w14:paraId="39289458" w14:textId="77777777" w:rsidR="009021F1" w:rsidRPr="0029055B" w:rsidRDefault="009021F1" w:rsidP="009021F1">
      <w:pPr>
        <w:rPr>
          <w:szCs w:val="21"/>
        </w:rPr>
      </w:pPr>
      <w:r w:rsidRPr="0029055B">
        <w:rPr>
          <w:szCs w:val="21"/>
        </w:rPr>
        <w:t>Dans le cas du lac, on note à ce jour une forte baisse de la production des poissons au niveau de la pêcherie de Vitshumbi, de Nyakakoma à la suite des pêcheurs illicites armés.</w:t>
      </w:r>
    </w:p>
    <w:p w14:paraId="64CFCC9B" w14:textId="77777777" w:rsidR="009021F1" w:rsidRPr="0029055B" w:rsidRDefault="009021F1" w:rsidP="009021F1">
      <w:pPr>
        <w:rPr>
          <w:szCs w:val="21"/>
        </w:rPr>
      </w:pPr>
    </w:p>
    <w:p w14:paraId="12E951F1" w14:textId="77777777" w:rsidR="009021F1" w:rsidRPr="0029055B" w:rsidRDefault="009021F1" w:rsidP="009021F1">
      <w:pPr>
        <w:rPr>
          <w:szCs w:val="21"/>
        </w:rPr>
      </w:pPr>
      <w:r w:rsidRPr="0029055B">
        <w:rPr>
          <w:szCs w:val="21"/>
        </w:rPr>
        <w:t xml:space="preserve">Contraintes et menaces actuelles sur le Parc et particulièrement sur la faune </w:t>
      </w:r>
    </w:p>
    <w:p w14:paraId="1BF95927" w14:textId="77777777" w:rsidR="009021F1" w:rsidRPr="0029055B" w:rsidRDefault="009021F1" w:rsidP="009021F1">
      <w:pPr>
        <w:rPr>
          <w:szCs w:val="21"/>
        </w:rPr>
      </w:pPr>
    </w:p>
    <w:p w14:paraId="47DDF566" w14:textId="77777777" w:rsidR="009021F1" w:rsidRPr="0029055B" w:rsidRDefault="009021F1" w:rsidP="009021F1">
      <w:pPr>
        <w:rPr>
          <w:szCs w:val="21"/>
        </w:rPr>
      </w:pPr>
      <w:r w:rsidRPr="0029055B">
        <w:rPr>
          <w:szCs w:val="21"/>
        </w:rPr>
        <w:t>La diversité biologique du Parc est menacée par les actions anthropiques diverses : agriculture, élevage, braconnage, feu de brousse incontrôlé, exploitation forestière pour l’énergie-bois, etc. L’afflux massif des réfugiés rwandais a eu un effet multiplicateur sur les menaces susmentionnées. Par ailleurs, avec quelques 500 gardes pour surveiller le Parc National des des Virunga, qui a une longue frontière avec le Rwanda et l’Uganda, la tâche n’est pas facile à cause de l’insuffisance des moyens financiers, matériels et/ou humains dont dispose l’Institut Congolais pour la Conservation de la Nature (ICCN). Ainsi, chaque garde est chargé en moyenne de la surveillance de plus de 1.500 hectares. Les principales contraintes sont les menaces directes (l’invasion du parc y compris par les soldats et les camps militaires, l’exploitation minière, les maladies et les éruptions volcaniques), et indirectes (la guerre, l’insécurité et l’instabilité politique, l’insuffisance de capacités des gestionnaires du Parc National, le manque d’emplois, les interférences politiques qui incitent les populations à envahir les aires protégées). Les menaces pour lesquelles le parc a été inscrit sur la liste du patrimoine mondial en péril sont : l’impact défavorable des réfugiés ; la présence de milices armées et d’occupations irrégulières ; l’augmentation du braconnage, la déforestation, la pression des villages de pêcheurs dans le parc ; l’exploration pétrolière ; l’empiètement ; le déboisement et le pâturage du bétail ; l’expansion de zones de pêche illégales ; de carrières latéritiques pour les travaux d’entretien routier ; etc.</w:t>
      </w:r>
    </w:p>
    <w:p w14:paraId="291C27CB" w14:textId="77777777" w:rsidR="009021F1" w:rsidRPr="0029055B" w:rsidRDefault="009021F1" w:rsidP="009021F1">
      <w:pPr>
        <w:rPr>
          <w:szCs w:val="21"/>
        </w:rPr>
      </w:pPr>
    </w:p>
    <w:p w14:paraId="382F5324" w14:textId="77777777" w:rsidR="009021F1" w:rsidRPr="0029055B" w:rsidRDefault="009021F1" w:rsidP="009021F1">
      <w:pPr>
        <w:rPr>
          <w:szCs w:val="21"/>
        </w:rPr>
      </w:pPr>
      <w:r w:rsidRPr="0029055B">
        <w:rPr>
          <w:szCs w:val="21"/>
        </w:rPr>
        <w:t>Bien que les activités du PNDA se feront en dehors du Parc National des Virunga (PNVi), il y a lieu de signaler les risques liés aux impacts indirects desdites telles que le braconnage, l’exploitation illicite des bois d’œuvre qui risquent de s’amplifier. Le CGES et autres études d’impacts identifieront les impacts négatifs ensemble avec l’implication totale de l’Institut Congolaise pour la Conservation de la Nature (ICCN) et proposeront des mesures appropriées d’atténuation.</w:t>
      </w:r>
    </w:p>
    <w:p w14:paraId="0A954EFE" w14:textId="77777777" w:rsidR="009021F1" w:rsidRPr="0029055B" w:rsidRDefault="009021F1" w:rsidP="009021F1">
      <w:pPr>
        <w:rPr>
          <w:szCs w:val="21"/>
        </w:rPr>
      </w:pPr>
    </w:p>
    <w:p w14:paraId="1D04219E" w14:textId="77777777" w:rsidR="009021F1" w:rsidRPr="00F7285D" w:rsidRDefault="009021F1" w:rsidP="009021F1">
      <w:pPr>
        <w:pStyle w:val="Titre2"/>
        <w:numPr>
          <w:ilvl w:val="1"/>
          <w:numId w:val="4"/>
        </w:numPr>
        <w:ind w:left="851" w:hanging="425"/>
        <w:rPr>
          <w:rFonts w:cs="Arial"/>
          <w:b/>
          <w:szCs w:val="21"/>
        </w:rPr>
      </w:pPr>
      <w:bookmarkStart w:id="316" w:name="_Toc90471422"/>
      <w:r w:rsidRPr="00F7285D">
        <w:rPr>
          <w:rFonts w:cs="Arial"/>
          <w:b/>
          <w:szCs w:val="21"/>
        </w:rPr>
        <w:t>Brève description du Parc marin de Mangroves</w:t>
      </w:r>
      <w:bookmarkEnd w:id="316"/>
    </w:p>
    <w:p w14:paraId="428A7ED8" w14:textId="77777777" w:rsidR="009021F1" w:rsidRPr="0029055B" w:rsidRDefault="009021F1" w:rsidP="009021F1">
      <w:pPr>
        <w:rPr>
          <w:szCs w:val="21"/>
        </w:rPr>
      </w:pPr>
    </w:p>
    <w:p w14:paraId="5630F324" w14:textId="77777777" w:rsidR="009021F1" w:rsidRPr="0029055B" w:rsidRDefault="009021F1" w:rsidP="009021F1">
      <w:pPr>
        <w:rPr>
          <w:szCs w:val="21"/>
        </w:rPr>
      </w:pPr>
      <w:r>
        <w:rPr>
          <w:szCs w:val="21"/>
        </w:rPr>
        <w:t>Le Parc M</w:t>
      </w:r>
      <w:r w:rsidRPr="0029055B">
        <w:rPr>
          <w:szCs w:val="21"/>
        </w:rPr>
        <w:t xml:space="preserve">arin des Mangroves est une réserve naturelle intégrale qui a été créée par l’Arrêté ministériel n° 0044/CM/ECN/92 du 2 mai 1992 en vue de protéger le biotope spécial du littoral atlantique et les ressources biologiques caractéristiques des zones humides. Cette réserve sert de point d’attraction du tourisme dans l’axe Kinshasa-Océan Atlantique. Le Parc Marin des Mangroves est situé à l’embouchure du Fleuve Congo dans la Province du Kongo Central. Il a une superficie de 768 km2 dont 20% sont situés dans l’Océan Atlantique. Le Parc Marin des Mangroves est un site Ramsar et est subdivisé en deux zones : (1) la zone A de protection intégrale, comprenant la majeure partie des mangroves à palétuviers et constituée d’îlots et de chenaux ; et (2) la zone B de protection partielle caractérisée par la savane humide dénudée avec des étangs. </w:t>
      </w:r>
    </w:p>
    <w:p w14:paraId="2EECA1A4" w14:textId="77777777" w:rsidR="009021F1" w:rsidRDefault="009021F1" w:rsidP="009021F1">
      <w:pPr>
        <w:rPr>
          <w:szCs w:val="21"/>
        </w:rPr>
      </w:pPr>
    </w:p>
    <w:p w14:paraId="4701EA31" w14:textId="77777777" w:rsidR="009021F1" w:rsidRPr="0029055B" w:rsidRDefault="009021F1" w:rsidP="009021F1">
      <w:pPr>
        <w:rPr>
          <w:szCs w:val="21"/>
        </w:rPr>
      </w:pPr>
      <w:r w:rsidRPr="0029055B">
        <w:rPr>
          <w:szCs w:val="21"/>
        </w:rPr>
        <w:t xml:space="preserve">Les principales espèces protégées du Parc marin des Mangroves sont les tortues marines, les lamantins et des oiseaux aquatiques. On note aussi la présence du buffle, du potamochère, des cercopithèques, de l’hippopotame, du céphalophe, du sitatunga et du guib harnaché. Il y aurait, en outre, 40 espèces de poissons et 13 espèces de reptiles. L’habitat est constitué de forêts marécageuses, de forêts périodiquement inondées, de forêts de mangroves, ainsi que de savanes, voir figure 2 ci-dessous.  </w:t>
      </w:r>
    </w:p>
    <w:p w14:paraId="2F823CEF" w14:textId="77777777" w:rsidR="009021F1" w:rsidRPr="0029055B" w:rsidRDefault="009021F1" w:rsidP="009021F1">
      <w:pPr>
        <w:rPr>
          <w:szCs w:val="21"/>
        </w:rPr>
      </w:pPr>
    </w:p>
    <w:p w14:paraId="32685C37" w14:textId="77777777" w:rsidR="009021F1" w:rsidRPr="0029055B" w:rsidRDefault="009021F1" w:rsidP="009021F1">
      <w:pPr>
        <w:jc w:val="center"/>
        <w:rPr>
          <w:szCs w:val="21"/>
        </w:rPr>
      </w:pPr>
      <w:r w:rsidRPr="0029055B">
        <w:rPr>
          <w:szCs w:val="21"/>
        </w:rPr>
        <w:t xml:space="preserve">Figure </w:t>
      </w:r>
      <w:r w:rsidRPr="0029055B">
        <w:rPr>
          <w:szCs w:val="21"/>
        </w:rPr>
        <w:fldChar w:fldCharType="begin"/>
      </w:r>
      <w:r w:rsidRPr="0029055B">
        <w:rPr>
          <w:szCs w:val="21"/>
        </w:rPr>
        <w:instrText xml:space="preserve"> SEQ Figure \* ARABIC </w:instrText>
      </w:r>
      <w:r w:rsidRPr="0029055B">
        <w:rPr>
          <w:szCs w:val="21"/>
        </w:rPr>
        <w:fldChar w:fldCharType="separate"/>
      </w:r>
      <w:r w:rsidRPr="0029055B">
        <w:rPr>
          <w:szCs w:val="21"/>
        </w:rPr>
        <w:t>2</w:t>
      </w:r>
      <w:r w:rsidRPr="0029055B">
        <w:rPr>
          <w:szCs w:val="21"/>
        </w:rPr>
        <w:fldChar w:fldCharType="end"/>
      </w:r>
      <w:r w:rsidRPr="0029055B">
        <w:rPr>
          <w:szCs w:val="21"/>
        </w:rPr>
        <w:t>. Parc Marin des Mangroves</w:t>
      </w:r>
    </w:p>
    <w:p w14:paraId="68A67714" w14:textId="77777777" w:rsidR="009021F1" w:rsidRPr="0029055B" w:rsidRDefault="009021F1" w:rsidP="009021F1">
      <w:pPr>
        <w:rPr>
          <w:szCs w:val="21"/>
        </w:rPr>
      </w:pPr>
      <w:r w:rsidRPr="0029055B">
        <w:rPr>
          <w:noProof/>
          <w:szCs w:val="21"/>
        </w:rPr>
        <w:drawing>
          <wp:anchor distT="0" distB="0" distL="114300" distR="114300" simplePos="0" relativeHeight="251738156" behindDoc="0" locked="0" layoutInCell="1" allowOverlap="1" wp14:anchorId="5D10A4AC" wp14:editId="628A35F8">
            <wp:simplePos x="0" y="0"/>
            <wp:positionH relativeFrom="column">
              <wp:posOffset>802005</wp:posOffset>
            </wp:positionH>
            <wp:positionV relativeFrom="paragraph">
              <wp:posOffset>57150</wp:posOffset>
            </wp:positionV>
            <wp:extent cx="4112895" cy="3086735"/>
            <wp:effectExtent l="0" t="0" r="1905" b="0"/>
            <wp:wrapNone/>
            <wp:docPr id="5251" name="Image 5251" descr="Description : D:\Pics PERENCO\DSC01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Description : D:\Pics PERENCO\DSC01352.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112895" cy="3086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3336F2" w14:textId="77777777" w:rsidR="009021F1" w:rsidRPr="0029055B" w:rsidRDefault="009021F1" w:rsidP="009021F1">
      <w:pPr>
        <w:rPr>
          <w:szCs w:val="21"/>
        </w:rPr>
      </w:pPr>
    </w:p>
    <w:p w14:paraId="28CFC558" w14:textId="77777777" w:rsidR="009021F1" w:rsidRPr="0029055B" w:rsidRDefault="009021F1" w:rsidP="009021F1">
      <w:pPr>
        <w:rPr>
          <w:szCs w:val="21"/>
        </w:rPr>
      </w:pPr>
    </w:p>
    <w:p w14:paraId="45D29C3B" w14:textId="77777777" w:rsidR="009021F1" w:rsidRPr="0029055B" w:rsidRDefault="009021F1" w:rsidP="009021F1">
      <w:pPr>
        <w:rPr>
          <w:szCs w:val="21"/>
        </w:rPr>
      </w:pPr>
    </w:p>
    <w:p w14:paraId="3BC0666A" w14:textId="77777777" w:rsidR="009021F1" w:rsidRPr="0029055B" w:rsidRDefault="009021F1" w:rsidP="009021F1">
      <w:pPr>
        <w:rPr>
          <w:szCs w:val="21"/>
        </w:rPr>
      </w:pPr>
    </w:p>
    <w:p w14:paraId="5F25C852" w14:textId="77777777" w:rsidR="009021F1" w:rsidRPr="0029055B" w:rsidRDefault="009021F1" w:rsidP="009021F1">
      <w:pPr>
        <w:rPr>
          <w:szCs w:val="21"/>
        </w:rPr>
      </w:pPr>
    </w:p>
    <w:p w14:paraId="4782ED7F" w14:textId="77777777" w:rsidR="009021F1" w:rsidRPr="0029055B" w:rsidRDefault="009021F1" w:rsidP="009021F1">
      <w:pPr>
        <w:rPr>
          <w:szCs w:val="21"/>
        </w:rPr>
      </w:pPr>
    </w:p>
    <w:p w14:paraId="04DDF6B5" w14:textId="77777777" w:rsidR="009021F1" w:rsidRPr="0029055B" w:rsidRDefault="009021F1" w:rsidP="009021F1">
      <w:pPr>
        <w:rPr>
          <w:szCs w:val="21"/>
        </w:rPr>
      </w:pPr>
    </w:p>
    <w:p w14:paraId="524E41DD" w14:textId="77777777" w:rsidR="009021F1" w:rsidRPr="0029055B" w:rsidRDefault="009021F1" w:rsidP="009021F1">
      <w:pPr>
        <w:rPr>
          <w:szCs w:val="21"/>
        </w:rPr>
      </w:pPr>
    </w:p>
    <w:p w14:paraId="1F419966" w14:textId="77777777" w:rsidR="009021F1" w:rsidRPr="0029055B" w:rsidRDefault="009021F1" w:rsidP="009021F1">
      <w:pPr>
        <w:rPr>
          <w:szCs w:val="21"/>
        </w:rPr>
      </w:pPr>
    </w:p>
    <w:p w14:paraId="32A696ED" w14:textId="77777777" w:rsidR="009021F1" w:rsidRPr="0029055B" w:rsidRDefault="009021F1" w:rsidP="009021F1">
      <w:pPr>
        <w:rPr>
          <w:szCs w:val="21"/>
        </w:rPr>
      </w:pPr>
    </w:p>
    <w:p w14:paraId="3BF8D6C4" w14:textId="77777777" w:rsidR="009021F1" w:rsidRPr="0029055B" w:rsidRDefault="009021F1" w:rsidP="009021F1">
      <w:pPr>
        <w:rPr>
          <w:szCs w:val="21"/>
        </w:rPr>
      </w:pPr>
    </w:p>
    <w:p w14:paraId="545400C8" w14:textId="77777777" w:rsidR="009021F1" w:rsidRPr="0029055B" w:rsidRDefault="009021F1" w:rsidP="009021F1">
      <w:pPr>
        <w:rPr>
          <w:szCs w:val="21"/>
        </w:rPr>
      </w:pPr>
    </w:p>
    <w:p w14:paraId="35AEE1DB" w14:textId="77777777" w:rsidR="009021F1" w:rsidRPr="0029055B" w:rsidRDefault="009021F1" w:rsidP="009021F1">
      <w:pPr>
        <w:rPr>
          <w:szCs w:val="21"/>
        </w:rPr>
      </w:pPr>
    </w:p>
    <w:p w14:paraId="111B694D" w14:textId="77777777" w:rsidR="009021F1" w:rsidRPr="0029055B" w:rsidRDefault="009021F1" w:rsidP="009021F1">
      <w:pPr>
        <w:rPr>
          <w:szCs w:val="21"/>
        </w:rPr>
      </w:pPr>
    </w:p>
    <w:p w14:paraId="63A3612C" w14:textId="77777777" w:rsidR="009021F1" w:rsidRPr="0029055B" w:rsidRDefault="009021F1" w:rsidP="009021F1">
      <w:pPr>
        <w:rPr>
          <w:szCs w:val="21"/>
        </w:rPr>
      </w:pPr>
    </w:p>
    <w:p w14:paraId="0DD3C9A7" w14:textId="77777777" w:rsidR="009021F1" w:rsidRPr="0029055B" w:rsidRDefault="009021F1" w:rsidP="009021F1">
      <w:pPr>
        <w:rPr>
          <w:szCs w:val="21"/>
        </w:rPr>
      </w:pPr>
    </w:p>
    <w:p w14:paraId="10EBB807" w14:textId="77777777" w:rsidR="009021F1" w:rsidRPr="0029055B" w:rsidRDefault="009021F1" w:rsidP="009021F1">
      <w:pPr>
        <w:rPr>
          <w:szCs w:val="21"/>
        </w:rPr>
      </w:pPr>
    </w:p>
    <w:p w14:paraId="3DFFAC66" w14:textId="77777777" w:rsidR="009021F1" w:rsidRPr="0029055B" w:rsidRDefault="009021F1" w:rsidP="009021F1">
      <w:pPr>
        <w:rPr>
          <w:szCs w:val="21"/>
        </w:rPr>
      </w:pPr>
    </w:p>
    <w:p w14:paraId="1485A651" w14:textId="77777777" w:rsidR="009021F1" w:rsidRPr="0029055B" w:rsidRDefault="009021F1" w:rsidP="009021F1">
      <w:pPr>
        <w:rPr>
          <w:szCs w:val="21"/>
        </w:rPr>
      </w:pPr>
      <w:r w:rsidRPr="0029055B">
        <w:rPr>
          <w:szCs w:val="21"/>
        </w:rPr>
        <w:t xml:space="preserve">Les trois zones fragiles d’impact possibles sont donc les suivantes : </w:t>
      </w:r>
    </w:p>
    <w:p w14:paraId="664A1C0F" w14:textId="77777777" w:rsidR="009021F1" w:rsidRPr="0029055B" w:rsidRDefault="009021F1" w:rsidP="009021F1">
      <w:pPr>
        <w:rPr>
          <w:szCs w:val="21"/>
        </w:rPr>
      </w:pPr>
    </w:p>
    <w:p w14:paraId="442352DA" w14:textId="3EBAAE44" w:rsidR="009021F1" w:rsidRPr="0029055B" w:rsidRDefault="009021F1" w:rsidP="009021F1">
      <w:pPr>
        <w:rPr>
          <w:szCs w:val="21"/>
        </w:rPr>
      </w:pPr>
      <w:r w:rsidRPr="0029055B">
        <w:rPr>
          <w:szCs w:val="21"/>
        </w:rPr>
        <w:t xml:space="preserve">Le littoral atlantique jusqu’au </w:t>
      </w:r>
      <w:r w:rsidR="00ED3F3C" w:rsidRPr="0029055B">
        <w:rPr>
          <w:szCs w:val="21"/>
        </w:rPr>
        <w:t>plateau de</w:t>
      </w:r>
      <w:r w:rsidRPr="0029055B">
        <w:rPr>
          <w:szCs w:val="21"/>
        </w:rPr>
        <w:t xml:space="preserve"> la base militaire de Kitona à cause de la nature du sol qui est sablo-argileux ; </w:t>
      </w:r>
    </w:p>
    <w:p w14:paraId="1A2E4226" w14:textId="428F0B78" w:rsidR="009021F1" w:rsidRPr="0029055B" w:rsidRDefault="009021F1" w:rsidP="009021F1">
      <w:pPr>
        <w:rPr>
          <w:szCs w:val="21"/>
        </w:rPr>
      </w:pPr>
      <w:r w:rsidRPr="0029055B">
        <w:rPr>
          <w:szCs w:val="21"/>
        </w:rPr>
        <w:t>Les parties occidentale et orientale de Moanda, à cause d’un gradient de relief qui va d’une vaste plaine plate à des petites vallées vers l’ouest, alors que les parties orientale, méridionale et septentrionales sont dominées par des vallées et des collines rocheuses </w:t>
      </w:r>
      <w:r w:rsidR="00ED3F3C" w:rsidRPr="0029055B">
        <w:rPr>
          <w:szCs w:val="21"/>
        </w:rPr>
        <w:t>; et</w:t>
      </w:r>
    </w:p>
    <w:p w14:paraId="7BAC742F" w14:textId="528A7F7D" w:rsidR="009021F1" w:rsidRPr="0029055B" w:rsidRDefault="009021F1" w:rsidP="009021F1">
      <w:pPr>
        <w:rPr>
          <w:szCs w:val="21"/>
        </w:rPr>
      </w:pPr>
      <w:r w:rsidRPr="0029055B">
        <w:rPr>
          <w:szCs w:val="21"/>
        </w:rPr>
        <w:t xml:space="preserve">Le littoral et son hinterland sont caractérisés par une végétation fragile de mangrove dans les terrains inondés et ou marécageux de l’embouchure du Fleuve Congo, les </w:t>
      </w:r>
      <w:r w:rsidR="00ED3F3C" w:rsidRPr="0029055B">
        <w:rPr>
          <w:szCs w:val="21"/>
        </w:rPr>
        <w:t>galléries forestières et</w:t>
      </w:r>
      <w:r w:rsidRPr="0029055B">
        <w:rPr>
          <w:szCs w:val="21"/>
        </w:rPr>
        <w:t xml:space="preserve"> les savanes arbustives, qui caractérisent le Parc marin des Mangroves, une réserve humide et naturelle, classée site de Ramsar. </w:t>
      </w:r>
    </w:p>
    <w:p w14:paraId="21F21AC0" w14:textId="77777777" w:rsidR="009021F1" w:rsidRPr="0029055B" w:rsidRDefault="009021F1" w:rsidP="009021F1">
      <w:pPr>
        <w:rPr>
          <w:szCs w:val="21"/>
        </w:rPr>
      </w:pPr>
    </w:p>
    <w:p w14:paraId="5FF8EBF9" w14:textId="24600C28" w:rsidR="009021F1" w:rsidRDefault="009021F1" w:rsidP="009021F1">
      <w:pPr>
        <w:rPr>
          <w:szCs w:val="21"/>
        </w:rPr>
      </w:pPr>
      <w:r w:rsidRPr="0029055B">
        <w:rPr>
          <w:szCs w:val="21"/>
        </w:rPr>
        <w:t xml:space="preserve">Jour après jour, l’équipe se bat pour maintenir l’écosystème du parc. La lutte contre le braconnage des tortues olivâtres et des lamantins constitue une des principales problématiques. Les deux kilomètres de la Plage de la Tonde, dont la gestion a été confiée à l’ICCN, permet de veiller à la reproduction des tortues qui, après avoir traversé les </w:t>
      </w:r>
      <w:r w:rsidR="0068291C" w:rsidRPr="0029055B">
        <w:rPr>
          <w:szCs w:val="21"/>
        </w:rPr>
        <w:t>océans, reviennent</w:t>
      </w:r>
      <w:r w:rsidRPr="0029055B">
        <w:rPr>
          <w:szCs w:val="21"/>
        </w:rPr>
        <w:t xml:space="preserve"> pondre sur leur propre lieu de naissance. La lutte contre la coupe anarchique de bois ainsi que celle contre l’envahissement de la côte par la construction de nouvelles habitations en sont d’autres.</w:t>
      </w:r>
    </w:p>
    <w:p w14:paraId="66C09138" w14:textId="77777777" w:rsidR="0068291C" w:rsidRPr="0029055B" w:rsidRDefault="0068291C" w:rsidP="009021F1">
      <w:pPr>
        <w:rPr>
          <w:szCs w:val="21"/>
        </w:rPr>
      </w:pPr>
    </w:p>
    <w:p w14:paraId="6B81A072" w14:textId="77777777" w:rsidR="009021F1" w:rsidRPr="0029055B" w:rsidRDefault="009021F1" w:rsidP="009021F1">
      <w:pPr>
        <w:rPr>
          <w:szCs w:val="21"/>
        </w:rPr>
      </w:pPr>
    </w:p>
    <w:p w14:paraId="66F53251" w14:textId="77777777" w:rsidR="009021F1" w:rsidRPr="00F7285D" w:rsidRDefault="009021F1" w:rsidP="009021F1"/>
    <w:p w14:paraId="679845D5" w14:textId="77777777" w:rsidR="009021F1" w:rsidRPr="00F7285D" w:rsidRDefault="009021F1" w:rsidP="009021F1"/>
    <w:p w14:paraId="57BBF89C" w14:textId="77777777" w:rsidR="009021F1" w:rsidRPr="009D55A6" w:rsidRDefault="009021F1" w:rsidP="009021F1">
      <w:pPr>
        <w:pStyle w:val="Titre2"/>
        <w:numPr>
          <w:ilvl w:val="1"/>
          <w:numId w:val="4"/>
        </w:numPr>
        <w:ind w:left="851" w:hanging="425"/>
        <w:rPr>
          <w:rFonts w:cs="Arial"/>
          <w:b/>
          <w:szCs w:val="21"/>
        </w:rPr>
      </w:pPr>
      <w:bookmarkStart w:id="317" w:name="_Toc90471423"/>
      <w:r w:rsidRPr="009D55A6">
        <w:rPr>
          <w:rFonts w:cs="Arial"/>
          <w:b/>
          <w:szCs w:val="21"/>
        </w:rPr>
        <w:t>Nombre estimatif des agriculteurs et petits exploitants agricoles rencontrés dans la zone du Programme</w:t>
      </w:r>
      <w:r>
        <w:rPr>
          <w:rFonts w:cs="Arial"/>
          <w:b/>
          <w:szCs w:val="21"/>
        </w:rPr>
        <w:t>.</w:t>
      </w:r>
      <w:bookmarkEnd w:id="317"/>
    </w:p>
    <w:p w14:paraId="613D58A7" w14:textId="77777777" w:rsidR="009021F1" w:rsidRPr="009D55A6" w:rsidRDefault="009021F1" w:rsidP="009021F1">
      <w:pPr>
        <w:ind w:left="426"/>
        <w:rPr>
          <w:szCs w:val="21"/>
        </w:rPr>
      </w:pPr>
    </w:p>
    <w:p w14:paraId="097EF2A9" w14:textId="77777777" w:rsidR="009021F1" w:rsidRPr="009D55A6" w:rsidRDefault="009021F1" w:rsidP="009021F1">
      <w:pPr>
        <w:jc w:val="center"/>
        <w:rPr>
          <w:szCs w:val="21"/>
        </w:rPr>
      </w:pPr>
      <w:r w:rsidRPr="009D55A6">
        <w:rPr>
          <w:rFonts w:cs="Arial"/>
          <w:szCs w:val="21"/>
        </w:rPr>
        <w:t xml:space="preserve">Tableau </w:t>
      </w:r>
      <w:r w:rsidRPr="009D55A6">
        <w:rPr>
          <w:rFonts w:cs="Arial"/>
          <w:szCs w:val="21"/>
        </w:rPr>
        <w:fldChar w:fldCharType="begin"/>
      </w:r>
      <w:r w:rsidRPr="009D55A6">
        <w:rPr>
          <w:rFonts w:cs="Arial"/>
          <w:szCs w:val="21"/>
        </w:rPr>
        <w:instrText xml:space="preserve"> SEQ Tableau \* ARABIC </w:instrText>
      </w:r>
      <w:r w:rsidRPr="009D55A6">
        <w:rPr>
          <w:rFonts w:cs="Arial"/>
          <w:szCs w:val="21"/>
        </w:rPr>
        <w:fldChar w:fldCharType="separate"/>
      </w:r>
      <w:r>
        <w:rPr>
          <w:rFonts w:cs="Arial"/>
          <w:noProof/>
          <w:szCs w:val="21"/>
        </w:rPr>
        <w:t>14</w:t>
      </w:r>
      <w:r w:rsidRPr="009D55A6">
        <w:rPr>
          <w:rFonts w:cs="Arial"/>
          <w:szCs w:val="21"/>
        </w:rPr>
        <w:fldChar w:fldCharType="end"/>
      </w:r>
      <w:r w:rsidRPr="009D55A6">
        <w:rPr>
          <w:rFonts w:cs="Arial"/>
          <w:szCs w:val="21"/>
        </w:rPr>
        <w:t xml:space="preserve">. </w:t>
      </w:r>
      <w:r w:rsidRPr="009D55A6">
        <w:rPr>
          <w:szCs w:val="21"/>
        </w:rPr>
        <w:t>Nombre estimatif des exploitants agricoles de la zone du Programme</w:t>
      </w:r>
    </w:p>
    <w:p w14:paraId="662FF7C3" w14:textId="77777777" w:rsidR="009021F1" w:rsidRPr="009D55A6" w:rsidRDefault="009021F1" w:rsidP="009021F1">
      <w:pPr>
        <w:pStyle w:val="Titre2"/>
        <w:rPr>
          <w:rFonts w:cs="Arial"/>
          <w:b/>
          <w:szCs w:val="21"/>
        </w:rPr>
      </w:pPr>
    </w:p>
    <w:tbl>
      <w:tblPr>
        <w:tblW w:w="7120" w:type="dxa"/>
        <w:jc w:val="center"/>
        <w:tblCellMar>
          <w:left w:w="70" w:type="dxa"/>
          <w:right w:w="70" w:type="dxa"/>
        </w:tblCellMar>
        <w:tblLook w:val="04A0" w:firstRow="1" w:lastRow="0" w:firstColumn="1" w:lastColumn="0" w:noHBand="0" w:noVBand="1"/>
      </w:tblPr>
      <w:tblGrid>
        <w:gridCol w:w="1660"/>
        <w:gridCol w:w="1820"/>
        <w:gridCol w:w="1820"/>
        <w:gridCol w:w="1820"/>
      </w:tblGrid>
      <w:tr w:rsidR="009021F1" w:rsidRPr="009B164E" w14:paraId="07F3C2ED" w14:textId="77777777" w:rsidTr="00E637E3">
        <w:trPr>
          <w:trHeight w:val="288"/>
          <w:jc w:val="center"/>
        </w:trPr>
        <w:tc>
          <w:tcPr>
            <w:tcW w:w="16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40E0C9" w14:textId="77777777" w:rsidR="009021F1" w:rsidRPr="009D55A6" w:rsidRDefault="009021F1" w:rsidP="00E637E3">
            <w:pPr>
              <w:spacing w:line="240" w:lineRule="auto"/>
              <w:jc w:val="center"/>
              <w:rPr>
                <w:rFonts w:cs="Arial"/>
                <w:color w:val="000000"/>
                <w:sz w:val="20"/>
                <w:szCs w:val="20"/>
              </w:rPr>
            </w:pPr>
            <w:r w:rsidRPr="009D55A6">
              <w:rPr>
                <w:rFonts w:cs="Arial"/>
                <w:color w:val="000000"/>
                <w:sz w:val="20"/>
                <w:szCs w:val="20"/>
              </w:rPr>
              <w:t>Province</w:t>
            </w:r>
          </w:p>
        </w:tc>
        <w:tc>
          <w:tcPr>
            <w:tcW w:w="18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FC5CE8" w14:textId="77777777" w:rsidR="009021F1" w:rsidRPr="009D55A6" w:rsidRDefault="009021F1" w:rsidP="00E637E3">
            <w:pPr>
              <w:spacing w:line="240" w:lineRule="auto"/>
              <w:jc w:val="center"/>
              <w:rPr>
                <w:rFonts w:cs="Arial"/>
                <w:color w:val="000000"/>
                <w:sz w:val="20"/>
                <w:szCs w:val="20"/>
              </w:rPr>
            </w:pPr>
            <w:r w:rsidRPr="009D55A6">
              <w:rPr>
                <w:rFonts w:cs="Arial"/>
                <w:color w:val="000000"/>
                <w:sz w:val="20"/>
                <w:szCs w:val="20"/>
              </w:rPr>
              <w:t xml:space="preserve">Nombre d’agriculteurs ruraux pauvres  </w:t>
            </w:r>
          </w:p>
        </w:tc>
        <w:tc>
          <w:tcPr>
            <w:tcW w:w="18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84FA9B" w14:textId="77777777" w:rsidR="009021F1" w:rsidRPr="009D55A6" w:rsidRDefault="009021F1" w:rsidP="00E637E3">
            <w:pPr>
              <w:spacing w:line="240" w:lineRule="auto"/>
              <w:jc w:val="center"/>
              <w:rPr>
                <w:rFonts w:cs="Arial"/>
                <w:color w:val="000000"/>
                <w:sz w:val="20"/>
                <w:szCs w:val="20"/>
              </w:rPr>
            </w:pPr>
            <w:r w:rsidRPr="009D55A6">
              <w:rPr>
                <w:rFonts w:cs="Arial"/>
                <w:color w:val="000000"/>
                <w:sz w:val="20"/>
                <w:szCs w:val="20"/>
              </w:rPr>
              <w:t xml:space="preserve">Nombre de foyers dans l’IPC 3 + 416 </w:t>
            </w:r>
          </w:p>
        </w:tc>
        <w:tc>
          <w:tcPr>
            <w:tcW w:w="18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8F13B5" w14:textId="77777777" w:rsidR="009021F1" w:rsidRPr="009D55A6" w:rsidRDefault="009021F1" w:rsidP="00E637E3">
            <w:pPr>
              <w:spacing w:line="240" w:lineRule="auto"/>
              <w:jc w:val="center"/>
              <w:rPr>
                <w:rFonts w:cs="Arial"/>
                <w:color w:val="000000"/>
                <w:sz w:val="20"/>
                <w:szCs w:val="20"/>
              </w:rPr>
            </w:pPr>
            <w:r w:rsidRPr="009D55A6">
              <w:rPr>
                <w:rFonts w:cs="Arial"/>
                <w:color w:val="000000"/>
                <w:sz w:val="20"/>
                <w:szCs w:val="20"/>
              </w:rPr>
              <w:t>Petits exploitants bénéficiaires estimés</w:t>
            </w:r>
          </w:p>
        </w:tc>
      </w:tr>
      <w:tr w:rsidR="009021F1" w:rsidRPr="009B164E" w14:paraId="143302C7" w14:textId="77777777" w:rsidTr="00E637E3">
        <w:trPr>
          <w:trHeight w:val="528"/>
          <w:jc w:val="center"/>
        </w:trPr>
        <w:tc>
          <w:tcPr>
            <w:tcW w:w="1660" w:type="dxa"/>
            <w:vMerge/>
            <w:tcBorders>
              <w:top w:val="single" w:sz="4" w:space="0" w:color="auto"/>
              <w:left w:val="single" w:sz="4" w:space="0" w:color="auto"/>
              <w:bottom w:val="single" w:sz="4" w:space="0" w:color="auto"/>
              <w:right w:val="single" w:sz="4" w:space="0" w:color="auto"/>
            </w:tcBorders>
            <w:vAlign w:val="center"/>
            <w:hideMark/>
          </w:tcPr>
          <w:p w14:paraId="2D89AC1B" w14:textId="77777777" w:rsidR="009021F1" w:rsidRPr="009D55A6" w:rsidRDefault="009021F1" w:rsidP="00E637E3">
            <w:pPr>
              <w:spacing w:line="240" w:lineRule="auto"/>
              <w:jc w:val="left"/>
              <w:rPr>
                <w:rFonts w:cs="Arial"/>
                <w:color w:val="000000"/>
                <w:sz w:val="20"/>
                <w:szCs w:val="20"/>
              </w:rPr>
            </w:pPr>
          </w:p>
        </w:tc>
        <w:tc>
          <w:tcPr>
            <w:tcW w:w="1820" w:type="dxa"/>
            <w:vMerge/>
            <w:tcBorders>
              <w:top w:val="single" w:sz="4" w:space="0" w:color="auto"/>
              <w:left w:val="single" w:sz="4" w:space="0" w:color="auto"/>
              <w:bottom w:val="single" w:sz="4" w:space="0" w:color="auto"/>
              <w:right w:val="single" w:sz="4" w:space="0" w:color="auto"/>
            </w:tcBorders>
            <w:vAlign w:val="center"/>
            <w:hideMark/>
          </w:tcPr>
          <w:p w14:paraId="159C4F85" w14:textId="77777777" w:rsidR="009021F1" w:rsidRPr="009D55A6" w:rsidRDefault="009021F1" w:rsidP="00E637E3">
            <w:pPr>
              <w:spacing w:line="240" w:lineRule="auto"/>
              <w:jc w:val="left"/>
              <w:rPr>
                <w:rFonts w:cs="Arial"/>
                <w:color w:val="000000"/>
                <w:sz w:val="20"/>
                <w:szCs w:val="20"/>
              </w:rPr>
            </w:pPr>
          </w:p>
        </w:tc>
        <w:tc>
          <w:tcPr>
            <w:tcW w:w="1820" w:type="dxa"/>
            <w:vMerge/>
            <w:tcBorders>
              <w:top w:val="single" w:sz="4" w:space="0" w:color="auto"/>
              <w:left w:val="single" w:sz="4" w:space="0" w:color="auto"/>
              <w:bottom w:val="single" w:sz="4" w:space="0" w:color="auto"/>
              <w:right w:val="single" w:sz="4" w:space="0" w:color="auto"/>
            </w:tcBorders>
            <w:vAlign w:val="center"/>
            <w:hideMark/>
          </w:tcPr>
          <w:p w14:paraId="28A34E46" w14:textId="77777777" w:rsidR="009021F1" w:rsidRPr="009D55A6" w:rsidRDefault="009021F1" w:rsidP="00E637E3">
            <w:pPr>
              <w:spacing w:line="240" w:lineRule="auto"/>
              <w:jc w:val="left"/>
              <w:rPr>
                <w:rFonts w:cs="Arial"/>
                <w:color w:val="000000"/>
                <w:sz w:val="20"/>
                <w:szCs w:val="20"/>
              </w:rPr>
            </w:pPr>
          </w:p>
        </w:tc>
        <w:tc>
          <w:tcPr>
            <w:tcW w:w="1820" w:type="dxa"/>
            <w:vMerge/>
            <w:tcBorders>
              <w:top w:val="single" w:sz="4" w:space="0" w:color="auto"/>
              <w:left w:val="single" w:sz="4" w:space="0" w:color="auto"/>
              <w:bottom w:val="single" w:sz="4" w:space="0" w:color="auto"/>
              <w:right w:val="single" w:sz="4" w:space="0" w:color="auto"/>
            </w:tcBorders>
            <w:vAlign w:val="center"/>
            <w:hideMark/>
          </w:tcPr>
          <w:p w14:paraId="1BFEACAC" w14:textId="77777777" w:rsidR="009021F1" w:rsidRPr="009D55A6" w:rsidRDefault="009021F1" w:rsidP="00E637E3">
            <w:pPr>
              <w:spacing w:line="240" w:lineRule="auto"/>
              <w:jc w:val="left"/>
              <w:rPr>
                <w:rFonts w:cs="Arial"/>
                <w:color w:val="000000"/>
                <w:sz w:val="20"/>
                <w:szCs w:val="20"/>
              </w:rPr>
            </w:pPr>
          </w:p>
        </w:tc>
      </w:tr>
      <w:tr w:rsidR="009021F1" w:rsidRPr="009B164E" w14:paraId="7CAD02BF" w14:textId="77777777" w:rsidTr="00E637E3">
        <w:trPr>
          <w:trHeight w:val="408"/>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03FE39EE" w14:textId="77777777" w:rsidR="009021F1" w:rsidRPr="009D55A6" w:rsidRDefault="009021F1" w:rsidP="00E637E3">
            <w:pPr>
              <w:spacing w:line="240" w:lineRule="auto"/>
              <w:jc w:val="left"/>
              <w:rPr>
                <w:rFonts w:cs="Arial"/>
                <w:color w:val="000000"/>
                <w:sz w:val="20"/>
                <w:szCs w:val="20"/>
              </w:rPr>
            </w:pPr>
            <w:r w:rsidRPr="009D55A6">
              <w:rPr>
                <w:rFonts w:cs="Arial"/>
                <w:color w:val="000000"/>
                <w:sz w:val="20"/>
                <w:szCs w:val="20"/>
              </w:rPr>
              <w:t>Kongo Central</w:t>
            </w:r>
          </w:p>
        </w:tc>
        <w:tc>
          <w:tcPr>
            <w:tcW w:w="1820" w:type="dxa"/>
            <w:tcBorders>
              <w:top w:val="nil"/>
              <w:left w:val="nil"/>
              <w:bottom w:val="single" w:sz="4" w:space="0" w:color="auto"/>
              <w:right w:val="single" w:sz="4" w:space="0" w:color="auto"/>
            </w:tcBorders>
            <w:shd w:val="clear" w:color="auto" w:fill="auto"/>
            <w:vAlign w:val="center"/>
            <w:hideMark/>
          </w:tcPr>
          <w:p w14:paraId="4B010453" w14:textId="77777777" w:rsidR="009021F1" w:rsidRPr="009D55A6" w:rsidRDefault="009021F1" w:rsidP="00E637E3">
            <w:pPr>
              <w:spacing w:line="240" w:lineRule="auto"/>
              <w:jc w:val="center"/>
              <w:rPr>
                <w:rFonts w:cs="Arial"/>
                <w:color w:val="000000"/>
                <w:sz w:val="20"/>
                <w:szCs w:val="20"/>
              </w:rPr>
            </w:pPr>
            <w:r w:rsidRPr="009D55A6">
              <w:rPr>
                <w:rFonts w:cs="Arial"/>
                <w:color w:val="000000"/>
                <w:sz w:val="20"/>
                <w:szCs w:val="20"/>
              </w:rPr>
              <w:t>860 000</w:t>
            </w:r>
          </w:p>
        </w:tc>
        <w:tc>
          <w:tcPr>
            <w:tcW w:w="1820" w:type="dxa"/>
            <w:tcBorders>
              <w:top w:val="nil"/>
              <w:left w:val="nil"/>
              <w:bottom w:val="single" w:sz="4" w:space="0" w:color="auto"/>
              <w:right w:val="single" w:sz="4" w:space="0" w:color="auto"/>
            </w:tcBorders>
            <w:shd w:val="clear" w:color="auto" w:fill="auto"/>
            <w:vAlign w:val="center"/>
            <w:hideMark/>
          </w:tcPr>
          <w:p w14:paraId="010FCC15" w14:textId="77777777" w:rsidR="009021F1" w:rsidRPr="009D55A6" w:rsidRDefault="009021F1" w:rsidP="00E637E3">
            <w:pPr>
              <w:spacing w:line="240" w:lineRule="auto"/>
              <w:jc w:val="center"/>
              <w:rPr>
                <w:rFonts w:cs="Arial"/>
                <w:color w:val="000000"/>
                <w:sz w:val="20"/>
                <w:szCs w:val="20"/>
              </w:rPr>
            </w:pPr>
            <w:r w:rsidRPr="009D55A6">
              <w:rPr>
                <w:rFonts w:cs="Arial"/>
                <w:color w:val="000000"/>
                <w:sz w:val="20"/>
                <w:szCs w:val="20"/>
              </w:rPr>
              <w:t>160 000</w:t>
            </w:r>
          </w:p>
        </w:tc>
        <w:tc>
          <w:tcPr>
            <w:tcW w:w="1820" w:type="dxa"/>
            <w:tcBorders>
              <w:top w:val="nil"/>
              <w:left w:val="nil"/>
              <w:bottom w:val="single" w:sz="4" w:space="0" w:color="auto"/>
              <w:right w:val="single" w:sz="4" w:space="0" w:color="auto"/>
            </w:tcBorders>
            <w:shd w:val="clear" w:color="auto" w:fill="auto"/>
            <w:vAlign w:val="center"/>
            <w:hideMark/>
          </w:tcPr>
          <w:p w14:paraId="5614F2A2" w14:textId="77777777" w:rsidR="009021F1" w:rsidRPr="009D55A6" w:rsidRDefault="009021F1" w:rsidP="00E637E3">
            <w:pPr>
              <w:spacing w:line="240" w:lineRule="auto"/>
              <w:jc w:val="center"/>
              <w:rPr>
                <w:rFonts w:cs="Arial"/>
                <w:color w:val="000000"/>
                <w:sz w:val="20"/>
                <w:szCs w:val="20"/>
              </w:rPr>
            </w:pPr>
            <w:r w:rsidRPr="009D55A6">
              <w:rPr>
                <w:rFonts w:cs="Arial"/>
                <w:color w:val="000000"/>
                <w:sz w:val="20"/>
                <w:szCs w:val="20"/>
              </w:rPr>
              <w:t>570 000</w:t>
            </w:r>
          </w:p>
        </w:tc>
      </w:tr>
      <w:tr w:rsidR="009021F1" w:rsidRPr="009B164E" w14:paraId="11CC2A73" w14:textId="77777777" w:rsidTr="00E637E3">
        <w:trPr>
          <w:trHeight w:val="408"/>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144F5326" w14:textId="77777777" w:rsidR="009021F1" w:rsidRPr="009D55A6" w:rsidRDefault="009021F1" w:rsidP="00E637E3">
            <w:pPr>
              <w:spacing w:line="240" w:lineRule="auto"/>
              <w:jc w:val="left"/>
              <w:rPr>
                <w:rFonts w:cs="Arial"/>
                <w:color w:val="000000"/>
                <w:sz w:val="20"/>
                <w:szCs w:val="20"/>
              </w:rPr>
            </w:pPr>
            <w:r w:rsidRPr="009D55A6">
              <w:rPr>
                <w:rFonts w:cs="Arial"/>
                <w:color w:val="000000"/>
                <w:sz w:val="20"/>
                <w:szCs w:val="20"/>
              </w:rPr>
              <w:t>Kwilu</w:t>
            </w:r>
          </w:p>
        </w:tc>
        <w:tc>
          <w:tcPr>
            <w:tcW w:w="1820" w:type="dxa"/>
            <w:tcBorders>
              <w:top w:val="nil"/>
              <w:left w:val="nil"/>
              <w:bottom w:val="single" w:sz="4" w:space="0" w:color="auto"/>
              <w:right w:val="single" w:sz="4" w:space="0" w:color="auto"/>
            </w:tcBorders>
            <w:shd w:val="clear" w:color="auto" w:fill="auto"/>
            <w:vAlign w:val="center"/>
            <w:hideMark/>
          </w:tcPr>
          <w:p w14:paraId="423592B9" w14:textId="77777777" w:rsidR="009021F1" w:rsidRPr="009D55A6" w:rsidRDefault="009021F1" w:rsidP="00E637E3">
            <w:pPr>
              <w:spacing w:line="240" w:lineRule="auto"/>
              <w:jc w:val="center"/>
              <w:rPr>
                <w:rFonts w:cs="Arial"/>
                <w:color w:val="000000"/>
                <w:sz w:val="20"/>
                <w:szCs w:val="20"/>
              </w:rPr>
            </w:pPr>
            <w:r w:rsidRPr="009D55A6">
              <w:rPr>
                <w:rFonts w:cs="Arial"/>
                <w:color w:val="000000"/>
                <w:sz w:val="20"/>
                <w:szCs w:val="20"/>
              </w:rPr>
              <w:t>900 000</w:t>
            </w:r>
          </w:p>
        </w:tc>
        <w:tc>
          <w:tcPr>
            <w:tcW w:w="1820" w:type="dxa"/>
            <w:tcBorders>
              <w:top w:val="nil"/>
              <w:left w:val="nil"/>
              <w:bottom w:val="single" w:sz="4" w:space="0" w:color="auto"/>
              <w:right w:val="single" w:sz="4" w:space="0" w:color="auto"/>
            </w:tcBorders>
            <w:shd w:val="clear" w:color="auto" w:fill="auto"/>
            <w:vAlign w:val="center"/>
            <w:hideMark/>
          </w:tcPr>
          <w:p w14:paraId="1C4AACB5" w14:textId="77777777" w:rsidR="009021F1" w:rsidRPr="009D55A6" w:rsidRDefault="009021F1" w:rsidP="00E637E3">
            <w:pPr>
              <w:spacing w:line="240" w:lineRule="auto"/>
              <w:jc w:val="center"/>
              <w:rPr>
                <w:rFonts w:cs="Arial"/>
                <w:color w:val="000000"/>
                <w:sz w:val="20"/>
                <w:szCs w:val="20"/>
              </w:rPr>
            </w:pPr>
            <w:r w:rsidRPr="009D55A6">
              <w:rPr>
                <w:rFonts w:cs="Arial"/>
                <w:color w:val="000000"/>
                <w:sz w:val="20"/>
                <w:szCs w:val="20"/>
              </w:rPr>
              <w:t>N/A</w:t>
            </w:r>
          </w:p>
        </w:tc>
        <w:tc>
          <w:tcPr>
            <w:tcW w:w="1820" w:type="dxa"/>
            <w:tcBorders>
              <w:top w:val="nil"/>
              <w:left w:val="nil"/>
              <w:bottom w:val="single" w:sz="4" w:space="0" w:color="auto"/>
              <w:right w:val="single" w:sz="4" w:space="0" w:color="auto"/>
            </w:tcBorders>
            <w:shd w:val="clear" w:color="auto" w:fill="auto"/>
            <w:vAlign w:val="center"/>
            <w:hideMark/>
          </w:tcPr>
          <w:p w14:paraId="77D06C00" w14:textId="77777777" w:rsidR="009021F1" w:rsidRPr="009D55A6" w:rsidRDefault="009021F1" w:rsidP="00E637E3">
            <w:pPr>
              <w:spacing w:line="240" w:lineRule="auto"/>
              <w:jc w:val="center"/>
              <w:rPr>
                <w:rFonts w:cs="Arial"/>
                <w:color w:val="000000"/>
                <w:sz w:val="20"/>
                <w:szCs w:val="20"/>
              </w:rPr>
            </w:pPr>
            <w:r w:rsidRPr="009D55A6">
              <w:rPr>
                <w:rFonts w:cs="Arial"/>
                <w:color w:val="000000"/>
                <w:sz w:val="20"/>
                <w:szCs w:val="20"/>
              </w:rPr>
              <w:t>590 000</w:t>
            </w:r>
          </w:p>
        </w:tc>
      </w:tr>
      <w:tr w:rsidR="009021F1" w:rsidRPr="009B164E" w14:paraId="79967EED" w14:textId="77777777" w:rsidTr="00E637E3">
        <w:trPr>
          <w:trHeight w:val="408"/>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6085275C" w14:textId="77777777" w:rsidR="009021F1" w:rsidRPr="009D55A6" w:rsidRDefault="009021F1" w:rsidP="00E637E3">
            <w:pPr>
              <w:spacing w:line="240" w:lineRule="auto"/>
              <w:jc w:val="left"/>
              <w:rPr>
                <w:rFonts w:cs="Arial"/>
                <w:color w:val="000000"/>
                <w:sz w:val="20"/>
                <w:szCs w:val="20"/>
              </w:rPr>
            </w:pPr>
            <w:r w:rsidRPr="009D55A6">
              <w:rPr>
                <w:rFonts w:cs="Arial"/>
                <w:color w:val="000000"/>
                <w:sz w:val="20"/>
                <w:szCs w:val="20"/>
              </w:rPr>
              <w:t>Nord Kivu</w:t>
            </w:r>
          </w:p>
        </w:tc>
        <w:tc>
          <w:tcPr>
            <w:tcW w:w="1820" w:type="dxa"/>
            <w:tcBorders>
              <w:top w:val="nil"/>
              <w:left w:val="nil"/>
              <w:bottom w:val="single" w:sz="4" w:space="0" w:color="auto"/>
              <w:right w:val="single" w:sz="4" w:space="0" w:color="auto"/>
            </w:tcBorders>
            <w:shd w:val="clear" w:color="auto" w:fill="auto"/>
            <w:vAlign w:val="center"/>
            <w:hideMark/>
          </w:tcPr>
          <w:p w14:paraId="6F43ED5B" w14:textId="77777777" w:rsidR="009021F1" w:rsidRPr="009D55A6" w:rsidRDefault="009021F1" w:rsidP="00E637E3">
            <w:pPr>
              <w:spacing w:line="240" w:lineRule="auto"/>
              <w:jc w:val="center"/>
              <w:rPr>
                <w:rFonts w:cs="Arial"/>
                <w:color w:val="000000"/>
                <w:sz w:val="20"/>
                <w:szCs w:val="20"/>
              </w:rPr>
            </w:pPr>
            <w:r w:rsidRPr="009D55A6">
              <w:rPr>
                <w:rFonts w:cs="Arial"/>
                <w:color w:val="000000"/>
                <w:sz w:val="20"/>
                <w:szCs w:val="20"/>
              </w:rPr>
              <w:t>820 000</w:t>
            </w:r>
          </w:p>
        </w:tc>
        <w:tc>
          <w:tcPr>
            <w:tcW w:w="1820" w:type="dxa"/>
            <w:tcBorders>
              <w:top w:val="nil"/>
              <w:left w:val="nil"/>
              <w:bottom w:val="single" w:sz="4" w:space="0" w:color="auto"/>
              <w:right w:val="single" w:sz="4" w:space="0" w:color="auto"/>
            </w:tcBorders>
            <w:shd w:val="clear" w:color="auto" w:fill="auto"/>
            <w:vAlign w:val="center"/>
            <w:hideMark/>
          </w:tcPr>
          <w:p w14:paraId="1BF59C58" w14:textId="77777777" w:rsidR="009021F1" w:rsidRPr="009D55A6" w:rsidRDefault="009021F1" w:rsidP="00E637E3">
            <w:pPr>
              <w:spacing w:line="240" w:lineRule="auto"/>
              <w:jc w:val="center"/>
              <w:rPr>
                <w:rFonts w:cs="Arial"/>
                <w:color w:val="000000"/>
                <w:sz w:val="20"/>
                <w:szCs w:val="20"/>
              </w:rPr>
            </w:pPr>
            <w:r w:rsidRPr="009D55A6">
              <w:rPr>
                <w:rFonts w:cs="Arial"/>
                <w:color w:val="000000"/>
                <w:sz w:val="20"/>
                <w:szCs w:val="20"/>
              </w:rPr>
              <w:t>270 000</w:t>
            </w:r>
          </w:p>
        </w:tc>
        <w:tc>
          <w:tcPr>
            <w:tcW w:w="1820" w:type="dxa"/>
            <w:tcBorders>
              <w:top w:val="nil"/>
              <w:left w:val="nil"/>
              <w:bottom w:val="single" w:sz="4" w:space="0" w:color="auto"/>
              <w:right w:val="single" w:sz="4" w:space="0" w:color="auto"/>
            </w:tcBorders>
            <w:shd w:val="clear" w:color="auto" w:fill="auto"/>
            <w:vAlign w:val="center"/>
            <w:hideMark/>
          </w:tcPr>
          <w:p w14:paraId="387B9F2E" w14:textId="77777777" w:rsidR="009021F1" w:rsidRPr="009D55A6" w:rsidRDefault="009021F1" w:rsidP="00E637E3">
            <w:pPr>
              <w:spacing w:line="240" w:lineRule="auto"/>
              <w:jc w:val="center"/>
              <w:rPr>
                <w:rFonts w:cs="Arial"/>
                <w:color w:val="000000"/>
                <w:sz w:val="20"/>
                <w:szCs w:val="20"/>
              </w:rPr>
            </w:pPr>
            <w:r w:rsidRPr="009D55A6">
              <w:rPr>
                <w:rFonts w:cs="Arial"/>
                <w:color w:val="000000"/>
                <w:sz w:val="20"/>
                <w:szCs w:val="20"/>
              </w:rPr>
              <w:t>540 000</w:t>
            </w:r>
          </w:p>
        </w:tc>
      </w:tr>
      <w:tr w:rsidR="009021F1" w:rsidRPr="009B164E" w14:paraId="6CFC9B04" w14:textId="77777777" w:rsidTr="00E637E3">
        <w:trPr>
          <w:trHeight w:val="408"/>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1D90346C" w14:textId="77777777" w:rsidR="009021F1" w:rsidRPr="009D55A6" w:rsidRDefault="009021F1" w:rsidP="00E637E3">
            <w:pPr>
              <w:spacing w:line="240" w:lineRule="auto"/>
              <w:jc w:val="left"/>
              <w:rPr>
                <w:rFonts w:cs="Arial"/>
                <w:color w:val="000000"/>
                <w:sz w:val="20"/>
                <w:szCs w:val="20"/>
              </w:rPr>
            </w:pPr>
            <w:r w:rsidRPr="009D55A6">
              <w:rPr>
                <w:rFonts w:cs="Arial"/>
                <w:color w:val="000000"/>
                <w:sz w:val="20"/>
                <w:szCs w:val="20"/>
              </w:rPr>
              <w:t>Kasaï Central</w:t>
            </w:r>
          </w:p>
        </w:tc>
        <w:tc>
          <w:tcPr>
            <w:tcW w:w="1820" w:type="dxa"/>
            <w:tcBorders>
              <w:top w:val="nil"/>
              <w:left w:val="nil"/>
              <w:bottom w:val="single" w:sz="4" w:space="0" w:color="auto"/>
              <w:right w:val="single" w:sz="4" w:space="0" w:color="auto"/>
            </w:tcBorders>
            <w:shd w:val="clear" w:color="auto" w:fill="auto"/>
            <w:vAlign w:val="center"/>
            <w:hideMark/>
          </w:tcPr>
          <w:p w14:paraId="4037E37C" w14:textId="77777777" w:rsidR="009021F1" w:rsidRPr="009D55A6" w:rsidRDefault="009021F1" w:rsidP="00E637E3">
            <w:pPr>
              <w:spacing w:line="240" w:lineRule="auto"/>
              <w:jc w:val="center"/>
              <w:rPr>
                <w:rFonts w:cs="Arial"/>
                <w:color w:val="000000"/>
                <w:sz w:val="20"/>
                <w:szCs w:val="20"/>
              </w:rPr>
            </w:pPr>
            <w:r w:rsidRPr="009D55A6">
              <w:rPr>
                <w:rFonts w:cs="Arial"/>
                <w:color w:val="000000"/>
                <w:sz w:val="20"/>
                <w:szCs w:val="20"/>
              </w:rPr>
              <w:t>430 000</w:t>
            </w:r>
          </w:p>
        </w:tc>
        <w:tc>
          <w:tcPr>
            <w:tcW w:w="1820" w:type="dxa"/>
            <w:tcBorders>
              <w:top w:val="nil"/>
              <w:left w:val="nil"/>
              <w:bottom w:val="single" w:sz="4" w:space="0" w:color="auto"/>
              <w:right w:val="single" w:sz="4" w:space="0" w:color="auto"/>
            </w:tcBorders>
            <w:shd w:val="clear" w:color="auto" w:fill="auto"/>
            <w:vAlign w:val="center"/>
            <w:hideMark/>
          </w:tcPr>
          <w:p w14:paraId="3B1ED421" w14:textId="77777777" w:rsidR="009021F1" w:rsidRPr="009D55A6" w:rsidRDefault="009021F1" w:rsidP="00E637E3">
            <w:pPr>
              <w:spacing w:line="240" w:lineRule="auto"/>
              <w:jc w:val="center"/>
              <w:rPr>
                <w:rFonts w:cs="Arial"/>
                <w:color w:val="000000"/>
                <w:sz w:val="20"/>
                <w:szCs w:val="20"/>
              </w:rPr>
            </w:pPr>
            <w:r w:rsidRPr="009D55A6">
              <w:rPr>
                <w:rFonts w:cs="Arial"/>
                <w:color w:val="000000"/>
                <w:sz w:val="20"/>
                <w:szCs w:val="20"/>
              </w:rPr>
              <w:t>N/A</w:t>
            </w:r>
          </w:p>
        </w:tc>
        <w:tc>
          <w:tcPr>
            <w:tcW w:w="1820" w:type="dxa"/>
            <w:tcBorders>
              <w:top w:val="nil"/>
              <w:left w:val="nil"/>
              <w:bottom w:val="single" w:sz="4" w:space="0" w:color="auto"/>
              <w:right w:val="single" w:sz="4" w:space="0" w:color="auto"/>
            </w:tcBorders>
            <w:shd w:val="clear" w:color="auto" w:fill="auto"/>
            <w:vAlign w:val="center"/>
            <w:hideMark/>
          </w:tcPr>
          <w:p w14:paraId="28BCC5CA" w14:textId="77777777" w:rsidR="009021F1" w:rsidRPr="009D55A6" w:rsidRDefault="009021F1" w:rsidP="00E637E3">
            <w:pPr>
              <w:spacing w:line="240" w:lineRule="auto"/>
              <w:jc w:val="center"/>
              <w:rPr>
                <w:rFonts w:cs="Arial"/>
                <w:color w:val="000000"/>
                <w:sz w:val="20"/>
                <w:szCs w:val="20"/>
              </w:rPr>
            </w:pPr>
            <w:r w:rsidRPr="009D55A6">
              <w:rPr>
                <w:rFonts w:cs="Arial"/>
                <w:color w:val="000000"/>
                <w:sz w:val="20"/>
                <w:szCs w:val="20"/>
              </w:rPr>
              <w:t>300 000</w:t>
            </w:r>
          </w:p>
        </w:tc>
      </w:tr>
      <w:tr w:rsidR="009021F1" w:rsidRPr="009B164E" w14:paraId="0EB34F75" w14:textId="77777777" w:rsidTr="00E637E3">
        <w:trPr>
          <w:trHeight w:val="408"/>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31D3D0FB" w14:textId="77777777" w:rsidR="009021F1" w:rsidRPr="009D55A6" w:rsidRDefault="009021F1" w:rsidP="00E637E3">
            <w:pPr>
              <w:spacing w:line="240" w:lineRule="auto"/>
              <w:jc w:val="left"/>
              <w:rPr>
                <w:rFonts w:cs="Arial"/>
                <w:color w:val="000000"/>
                <w:sz w:val="20"/>
                <w:szCs w:val="20"/>
              </w:rPr>
            </w:pPr>
            <w:r w:rsidRPr="009D55A6">
              <w:rPr>
                <w:rFonts w:cs="Arial"/>
                <w:color w:val="000000"/>
                <w:sz w:val="20"/>
                <w:szCs w:val="20"/>
              </w:rPr>
              <w:t>Total</w:t>
            </w:r>
          </w:p>
        </w:tc>
        <w:tc>
          <w:tcPr>
            <w:tcW w:w="1820" w:type="dxa"/>
            <w:tcBorders>
              <w:top w:val="nil"/>
              <w:left w:val="nil"/>
              <w:bottom w:val="single" w:sz="4" w:space="0" w:color="auto"/>
              <w:right w:val="single" w:sz="4" w:space="0" w:color="auto"/>
            </w:tcBorders>
            <w:shd w:val="clear" w:color="auto" w:fill="auto"/>
            <w:vAlign w:val="center"/>
            <w:hideMark/>
          </w:tcPr>
          <w:p w14:paraId="2604EFA6" w14:textId="77777777" w:rsidR="009021F1" w:rsidRPr="009D55A6" w:rsidRDefault="009021F1" w:rsidP="00E637E3">
            <w:pPr>
              <w:spacing w:line="240" w:lineRule="auto"/>
              <w:jc w:val="center"/>
              <w:rPr>
                <w:rFonts w:cs="Arial"/>
                <w:color w:val="000000"/>
                <w:sz w:val="20"/>
                <w:szCs w:val="20"/>
              </w:rPr>
            </w:pPr>
            <w:r w:rsidRPr="009D55A6">
              <w:rPr>
                <w:rFonts w:cs="Arial"/>
                <w:color w:val="000000"/>
                <w:sz w:val="20"/>
                <w:szCs w:val="20"/>
              </w:rPr>
              <w:t>3 010 000</w:t>
            </w:r>
          </w:p>
        </w:tc>
        <w:tc>
          <w:tcPr>
            <w:tcW w:w="1820" w:type="dxa"/>
            <w:tcBorders>
              <w:top w:val="nil"/>
              <w:left w:val="nil"/>
              <w:bottom w:val="single" w:sz="4" w:space="0" w:color="auto"/>
              <w:right w:val="single" w:sz="4" w:space="0" w:color="auto"/>
            </w:tcBorders>
            <w:shd w:val="clear" w:color="auto" w:fill="auto"/>
            <w:vAlign w:val="center"/>
            <w:hideMark/>
          </w:tcPr>
          <w:p w14:paraId="266A6B34" w14:textId="77777777" w:rsidR="009021F1" w:rsidRPr="009D55A6" w:rsidRDefault="009021F1" w:rsidP="00E637E3">
            <w:pPr>
              <w:spacing w:line="240" w:lineRule="auto"/>
              <w:jc w:val="center"/>
              <w:rPr>
                <w:rFonts w:cs="Arial"/>
                <w:color w:val="000000"/>
                <w:sz w:val="20"/>
                <w:szCs w:val="20"/>
              </w:rPr>
            </w:pPr>
            <w:r w:rsidRPr="009D55A6">
              <w:rPr>
                <w:rFonts w:cs="Arial"/>
                <w:color w:val="000000"/>
                <w:sz w:val="20"/>
                <w:szCs w:val="20"/>
              </w:rPr>
              <w:t>430 000</w:t>
            </w:r>
          </w:p>
        </w:tc>
        <w:tc>
          <w:tcPr>
            <w:tcW w:w="1820" w:type="dxa"/>
            <w:tcBorders>
              <w:top w:val="nil"/>
              <w:left w:val="nil"/>
              <w:bottom w:val="single" w:sz="4" w:space="0" w:color="auto"/>
              <w:right w:val="single" w:sz="4" w:space="0" w:color="auto"/>
            </w:tcBorders>
            <w:shd w:val="clear" w:color="auto" w:fill="auto"/>
            <w:vAlign w:val="center"/>
            <w:hideMark/>
          </w:tcPr>
          <w:p w14:paraId="5B9F70B2" w14:textId="77777777" w:rsidR="009021F1" w:rsidRPr="009D55A6" w:rsidRDefault="009021F1" w:rsidP="00E637E3">
            <w:pPr>
              <w:spacing w:line="240" w:lineRule="auto"/>
              <w:jc w:val="center"/>
              <w:rPr>
                <w:rFonts w:cs="Arial"/>
                <w:color w:val="000000"/>
                <w:sz w:val="20"/>
                <w:szCs w:val="20"/>
              </w:rPr>
            </w:pPr>
            <w:r w:rsidRPr="009D55A6">
              <w:rPr>
                <w:rFonts w:cs="Arial"/>
                <w:color w:val="000000"/>
                <w:sz w:val="20"/>
                <w:szCs w:val="20"/>
              </w:rPr>
              <w:t>2 000 000</w:t>
            </w:r>
          </w:p>
        </w:tc>
      </w:tr>
    </w:tbl>
    <w:p w14:paraId="0FFBF979" w14:textId="77777777" w:rsidR="009021F1" w:rsidRPr="009D55A6" w:rsidRDefault="009021F1" w:rsidP="009021F1">
      <w:pPr>
        <w:jc w:val="center"/>
        <w:rPr>
          <w:i/>
          <w:sz w:val="20"/>
          <w:szCs w:val="20"/>
        </w:rPr>
      </w:pPr>
      <w:r w:rsidRPr="009D55A6">
        <w:rPr>
          <w:i/>
          <w:sz w:val="20"/>
          <w:szCs w:val="20"/>
        </w:rPr>
        <w:t>Source : Ministère de l’Agriculture, Direction d’Etudes et Planification (DEP), Avril 2021</w:t>
      </w:r>
    </w:p>
    <w:p w14:paraId="509E52C0" w14:textId="77777777" w:rsidR="009021F1" w:rsidRPr="009D55A6" w:rsidRDefault="009021F1" w:rsidP="009021F1">
      <w:pPr>
        <w:rPr>
          <w:szCs w:val="21"/>
        </w:rPr>
      </w:pPr>
    </w:p>
    <w:p w14:paraId="64D967A4" w14:textId="77777777" w:rsidR="009021F1" w:rsidRPr="009D55A6" w:rsidRDefault="009021F1" w:rsidP="009021F1">
      <w:pPr>
        <w:pStyle w:val="Titre2"/>
        <w:numPr>
          <w:ilvl w:val="1"/>
          <w:numId w:val="4"/>
        </w:numPr>
        <w:ind w:left="851" w:hanging="425"/>
        <w:rPr>
          <w:rFonts w:cs="Arial"/>
          <w:b/>
          <w:szCs w:val="21"/>
        </w:rPr>
      </w:pPr>
      <w:bookmarkStart w:id="318" w:name="_Toc90471424"/>
      <w:r w:rsidRPr="009D55A6">
        <w:rPr>
          <w:rFonts w:cs="Arial"/>
          <w:b/>
          <w:szCs w:val="21"/>
        </w:rPr>
        <w:t>Situation de la pandémie de COVID-19 et de l’épidémie d’Ebola en RDC</w:t>
      </w:r>
      <w:bookmarkEnd w:id="318"/>
    </w:p>
    <w:p w14:paraId="0369DAE5" w14:textId="77777777" w:rsidR="009021F1" w:rsidRPr="009D55A6" w:rsidRDefault="009021F1" w:rsidP="009021F1">
      <w:pPr>
        <w:spacing w:line="240" w:lineRule="auto"/>
        <w:jc w:val="left"/>
        <w:rPr>
          <w:rFonts w:cs="Arial"/>
          <w:color w:val="333333"/>
          <w:szCs w:val="21"/>
        </w:rPr>
      </w:pPr>
    </w:p>
    <w:p w14:paraId="0EFF2E47" w14:textId="77777777" w:rsidR="009021F1" w:rsidRPr="009D55A6" w:rsidRDefault="009021F1" w:rsidP="009021F1">
      <w:pPr>
        <w:rPr>
          <w:rFonts w:cs="Arial"/>
          <w:szCs w:val="21"/>
        </w:rPr>
      </w:pPr>
      <w:r w:rsidRPr="009D55A6">
        <w:rPr>
          <w:rFonts w:cs="Arial"/>
          <w:szCs w:val="21"/>
        </w:rPr>
        <w:t>Depuis le début de l’épidémie déclarée le 10 mars 2020 au 12 janvier 2021, la RDC a enregistré un cumul des cas est de 20003 cas confirmés dont 14 767 cas guéris et 626 cas de décès. Parmi les Provinces concernées par le PNDA, l’on trouve le Kongo Central avec 1249cas ; Nord-Kivu, 1251 cas ; Kwilu, 8 cas, et Kasaï, 1 seul cas. Par ailleurs, les autres provinces touchées par la pandémie de COVID-19 sont : Kinshasa : 16277, Kasaï central : 16 cas, Haut-Katanga : 574, Ituri : 224 cas, Tshopo : 99 cas, Haut-Uélé : 94 cas, Équateur : 48 cas, Nord-Ubangi : 40 cas, Maniema : 17 cas, Sud-Ubangi : 7, Tanganyika : 6, Bas-Uélé : 6, Kasaï Oriental : 4 cas, Tshuapa : 2, Kwango : 2 ; Haut-Lomami : 2, Kasaï : 1.</w:t>
      </w:r>
    </w:p>
    <w:p w14:paraId="6E9F1E46" w14:textId="77777777" w:rsidR="009021F1" w:rsidRPr="009D55A6" w:rsidRDefault="009021F1" w:rsidP="009021F1">
      <w:pPr>
        <w:rPr>
          <w:rFonts w:cs="Arial"/>
          <w:szCs w:val="21"/>
        </w:rPr>
      </w:pPr>
    </w:p>
    <w:p w14:paraId="69596461" w14:textId="77777777" w:rsidR="009021F1" w:rsidRPr="009D55A6" w:rsidRDefault="009021F1" w:rsidP="009021F1">
      <w:pPr>
        <w:rPr>
          <w:rFonts w:cs="Arial"/>
          <w:szCs w:val="21"/>
        </w:rPr>
      </w:pPr>
      <w:r w:rsidRPr="009D55A6">
        <w:rPr>
          <w:rFonts w:cs="Arial"/>
          <w:szCs w:val="21"/>
        </w:rPr>
        <w:t>Il sied de signaler que la Ville-Province de Kinshasa est l’épicentre de COVID-19 en RDC et actuellement l’on dénombre 16277 cas confirmés. Face à cette deuxième vague, le Gouvernement de la République a déclenché un couvre - feu sur l’ensemble du pays. Le port de masque, la distanciation physique, le respect des mesures barrières restent toujours obligatoire sur toute l’étendue du territoire national.</w:t>
      </w:r>
    </w:p>
    <w:p w14:paraId="256CCE4F" w14:textId="77777777" w:rsidR="009021F1" w:rsidRPr="009D55A6" w:rsidRDefault="009021F1" w:rsidP="009021F1">
      <w:pPr>
        <w:rPr>
          <w:rFonts w:cs="Arial"/>
          <w:szCs w:val="21"/>
        </w:rPr>
      </w:pPr>
    </w:p>
    <w:p w14:paraId="5A3363D8" w14:textId="77777777" w:rsidR="009021F1" w:rsidRPr="009D55A6" w:rsidRDefault="009021F1" w:rsidP="009021F1">
      <w:pPr>
        <w:pStyle w:val="Paragraphedeliste"/>
        <w:numPr>
          <w:ilvl w:val="2"/>
          <w:numId w:val="4"/>
        </w:numPr>
        <w:rPr>
          <w:rFonts w:cs="Arial"/>
          <w:i/>
          <w:szCs w:val="21"/>
        </w:rPr>
      </w:pPr>
      <w:r w:rsidRPr="009D55A6">
        <w:rPr>
          <w:rFonts w:cs="Arial"/>
          <w:i/>
          <w:szCs w:val="21"/>
        </w:rPr>
        <w:t>Pandémie de COVID-19 en RDC et le genre</w:t>
      </w:r>
    </w:p>
    <w:p w14:paraId="008A49B0" w14:textId="77777777" w:rsidR="009021F1" w:rsidRPr="009D55A6" w:rsidRDefault="009021F1" w:rsidP="009021F1">
      <w:pPr>
        <w:rPr>
          <w:rFonts w:cs="Arial"/>
          <w:szCs w:val="21"/>
        </w:rPr>
      </w:pPr>
    </w:p>
    <w:p w14:paraId="54398DD9" w14:textId="77777777" w:rsidR="009021F1" w:rsidRPr="009D55A6" w:rsidRDefault="009021F1" w:rsidP="009021F1">
      <w:pPr>
        <w:rPr>
          <w:rFonts w:cs="Arial"/>
          <w:szCs w:val="21"/>
        </w:rPr>
      </w:pPr>
      <w:r w:rsidRPr="009D55A6">
        <w:rPr>
          <w:rFonts w:cs="Arial"/>
          <w:szCs w:val="21"/>
        </w:rPr>
        <w:t>Depuis l’entrée de la pandémie de la COVID-19 en mars 2020 en RDC, la population a un accès très limité au déplacement, au travail, à l’école, à l’église, au supermarché, etc. Cette pandémie constitue une expérience inédite dans la vie quotidienne et présente des conséquences néfastes sur la santé de la population.</w:t>
      </w:r>
    </w:p>
    <w:p w14:paraId="3F039E6B" w14:textId="77777777" w:rsidR="009021F1" w:rsidRPr="009D55A6" w:rsidRDefault="009021F1" w:rsidP="009021F1">
      <w:pPr>
        <w:rPr>
          <w:rFonts w:cs="Arial"/>
          <w:szCs w:val="21"/>
        </w:rPr>
      </w:pPr>
      <w:r w:rsidRPr="009D55A6">
        <w:rPr>
          <w:rFonts w:cs="Arial"/>
          <w:szCs w:val="21"/>
        </w:rPr>
        <w:t xml:space="preserve"> </w:t>
      </w:r>
    </w:p>
    <w:p w14:paraId="08E132FC" w14:textId="77777777" w:rsidR="009021F1" w:rsidRPr="009D55A6" w:rsidRDefault="009021F1" w:rsidP="009021F1">
      <w:pPr>
        <w:rPr>
          <w:rFonts w:cs="Arial"/>
          <w:szCs w:val="21"/>
        </w:rPr>
      </w:pPr>
      <w:r w:rsidRPr="009D55A6">
        <w:rPr>
          <w:rFonts w:cs="Arial"/>
          <w:szCs w:val="21"/>
        </w:rPr>
        <w:t>Cependant, ces conséquences ne sont pas les mêmes pour tout le monde. Comme ce fut le cas du VIH-SIDA, du SRAS, de la grippe H1N1 ou encore d’Ebola, ce sont souvent les plus vulnérables (pays, communautés, familles ou individus) qui payent la plus lourde tribu aux épidémies. Et, parmi ces populations particulièrement vulnérables, il y a les femmes et les filles.</w:t>
      </w:r>
    </w:p>
    <w:p w14:paraId="426DA54B" w14:textId="77777777" w:rsidR="009021F1" w:rsidRPr="009D55A6" w:rsidRDefault="009021F1" w:rsidP="009021F1">
      <w:pPr>
        <w:rPr>
          <w:rFonts w:cs="Arial"/>
          <w:szCs w:val="21"/>
        </w:rPr>
      </w:pPr>
    </w:p>
    <w:p w14:paraId="036B0D7C" w14:textId="77777777" w:rsidR="009021F1" w:rsidRPr="009D55A6" w:rsidRDefault="009021F1" w:rsidP="009021F1">
      <w:pPr>
        <w:rPr>
          <w:rFonts w:cs="Arial"/>
          <w:szCs w:val="21"/>
        </w:rPr>
      </w:pPr>
      <w:r w:rsidRPr="009D55A6">
        <w:rPr>
          <w:rFonts w:cs="Arial"/>
          <w:szCs w:val="21"/>
        </w:rPr>
        <w:t xml:space="preserve">Les écarts préexistants entre les sexes peuvent en effet aggraver les conséquences de la pandémie. On risque ainsi d’assister à un creusement des inégalités entre hommes et femmes pendant et après la pandémie et à une perte des progrès accomplis petit à petit depuis plusieurs décennies dans </w:t>
      </w:r>
      <w:hyperlink r:id="rId69" w:history="1">
        <w:r w:rsidRPr="009D55A6">
          <w:rPr>
            <w:rFonts w:cs="Arial"/>
            <w:szCs w:val="21"/>
          </w:rPr>
          <w:t>l’accumulation du capital humain, l’émancipation économique et la capacité de décision et d’action des femmes</w:t>
        </w:r>
      </w:hyperlink>
      <w:r w:rsidRPr="009D55A6">
        <w:rPr>
          <w:rFonts w:cs="Arial"/>
          <w:szCs w:val="21"/>
        </w:rPr>
        <w:t xml:space="preserve">. Pour concevoir des politiques qui n'ignorent pas la situation spécifique des femmes, il est important de comprendre en quoi la pandémie de COVID-19 et la crise économique qui en découle affectent diversement les deux sexes et comment l'inégalité pourrait s’en ressentir. Ces disparités sont mises en évidence dans cette analyse qui reprend les trois dimensions fondamentales de la </w:t>
      </w:r>
      <w:hyperlink r:id="rId70" w:history="1">
        <w:r w:rsidRPr="009D55A6">
          <w:rPr>
            <w:rFonts w:cs="Arial"/>
            <w:szCs w:val="21"/>
          </w:rPr>
          <w:t>stratégie du Groupe de la Banque Mondiale sur le genre et l'égalité des sexes</w:t>
        </w:r>
      </w:hyperlink>
      <w:r w:rsidRPr="009D55A6">
        <w:rPr>
          <w:rFonts w:cs="Arial"/>
          <w:szCs w:val="21"/>
        </w:rPr>
        <w:t>, à savoir les opportunités économiques, le capital humain (santé et éducation) et la capacité de décision et d'action.</w:t>
      </w:r>
    </w:p>
    <w:p w14:paraId="3CF0FC5A" w14:textId="77777777" w:rsidR="009021F1" w:rsidRPr="009D55A6" w:rsidRDefault="009021F1" w:rsidP="009021F1">
      <w:pPr>
        <w:rPr>
          <w:rFonts w:cs="Arial"/>
          <w:szCs w:val="21"/>
        </w:rPr>
      </w:pPr>
    </w:p>
    <w:p w14:paraId="040DEC47" w14:textId="77777777" w:rsidR="009021F1" w:rsidRPr="009D55A6" w:rsidRDefault="009021F1" w:rsidP="009021F1">
      <w:pPr>
        <w:rPr>
          <w:rFonts w:cs="Arial"/>
          <w:i/>
          <w:szCs w:val="21"/>
        </w:rPr>
      </w:pPr>
      <w:r w:rsidRPr="009D55A6">
        <w:rPr>
          <w:rFonts w:cs="Arial"/>
          <w:i/>
          <w:szCs w:val="21"/>
        </w:rPr>
        <w:t xml:space="preserve">Conséquences économiques de la pandémie de la COVID-19 </w:t>
      </w:r>
    </w:p>
    <w:p w14:paraId="252E22A2" w14:textId="77777777" w:rsidR="009021F1" w:rsidRPr="009D55A6" w:rsidRDefault="009021F1" w:rsidP="009021F1">
      <w:pPr>
        <w:rPr>
          <w:rFonts w:cs="Arial"/>
          <w:szCs w:val="21"/>
        </w:rPr>
      </w:pPr>
    </w:p>
    <w:p w14:paraId="75F35539" w14:textId="77777777" w:rsidR="009021F1" w:rsidRPr="009D55A6" w:rsidRDefault="009021F1" w:rsidP="009021F1">
      <w:pPr>
        <w:rPr>
          <w:rFonts w:cs="Arial"/>
          <w:szCs w:val="21"/>
        </w:rPr>
      </w:pPr>
      <w:r w:rsidRPr="009D55A6">
        <w:rPr>
          <w:rFonts w:cs="Arial"/>
          <w:szCs w:val="21"/>
        </w:rPr>
        <w:t>Le constat est le même partout dans le monde entier, en général, et en RDC, en particulier : les hommes et les femmes travaillent généralement dans des secteurs distincts. Dans celui des services, durement touché par la crise actuelle, les femmes sont surreprésentées. Elles travaillent comme réceptionnistes, femmes de ménage, hôtesses de l'air, serveuses, coiffeuses, employées de maison, etc. Mais certaines activités du secteur manufacturier sont aussi extrêmement féminisées. Par exemple, environ 80 % des femmes vendeurs des marchés et petits commerces à la sauvette sont privés d’exercer leurs activités dans le marché central de la ville Province de Kinshasa.</w:t>
      </w:r>
    </w:p>
    <w:p w14:paraId="13196AA3" w14:textId="77777777" w:rsidR="009021F1" w:rsidRPr="009D55A6" w:rsidRDefault="009021F1" w:rsidP="009021F1">
      <w:pPr>
        <w:rPr>
          <w:rFonts w:cs="Arial"/>
          <w:szCs w:val="21"/>
        </w:rPr>
      </w:pPr>
    </w:p>
    <w:p w14:paraId="511CBDAA" w14:textId="77777777" w:rsidR="009021F1" w:rsidRPr="009D55A6" w:rsidRDefault="009021F1" w:rsidP="009021F1">
      <w:pPr>
        <w:rPr>
          <w:rFonts w:cs="Arial"/>
          <w:szCs w:val="21"/>
        </w:rPr>
      </w:pPr>
      <w:r w:rsidRPr="009D55A6">
        <w:rPr>
          <w:rFonts w:cs="Arial"/>
          <w:szCs w:val="21"/>
        </w:rPr>
        <w:t xml:space="preserve">De surcroît, et dans les pays à faible revenu comme en RDC tout particulièrement, beaucoup de femmes travaillent dans le secteur informel et ne bénéficient donc pas d’une protection sociale (assurance chômage ou autres). Le taux de mortalité du coronavirus étant plus élevé chez les hommes, il est donc encore plus indispensable pour les femmes qui se retrouvent seules de pouvoir accéder à une couverture sociale ou à d'autres aides financières pour elles et leur famille. (La RDC a déjà enregistré 208 décès, statistiques renseignant la situation de décès au 26 juillet 2020). </w:t>
      </w:r>
    </w:p>
    <w:p w14:paraId="56A5036A" w14:textId="77777777" w:rsidR="009021F1" w:rsidRPr="009D55A6" w:rsidRDefault="009021F1" w:rsidP="009021F1">
      <w:pPr>
        <w:rPr>
          <w:rFonts w:cs="Arial"/>
          <w:szCs w:val="21"/>
        </w:rPr>
      </w:pPr>
    </w:p>
    <w:p w14:paraId="1380DF7D" w14:textId="77777777" w:rsidR="009021F1" w:rsidRPr="009D55A6" w:rsidRDefault="009021F1" w:rsidP="009021F1">
      <w:pPr>
        <w:rPr>
          <w:rFonts w:cs="Arial"/>
          <w:szCs w:val="21"/>
        </w:rPr>
      </w:pPr>
      <w:r w:rsidRPr="009D55A6">
        <w:rPr>
          <w:rFonts w:cs="Arial"/>
          <w:szCs w:val="21"/>
        </w:rPr>
        <w:t>Par ailleurs, le poids des tâches domestiques est très inégalement réparti entre les hommes et les femmes au sein des ménages en RDC. En temps normal et en vertu des normes sociales dominantes, les femmes et les filles assument la responsabilité de l'entretien de la maison et prennent soin des membres de la famille. Il est fort probable que le poids de ces tâches va s'alourdir en raison de la fermeture des écoles, du confinement des personnes âgées et du nombre croissant de malades au sein du foyer. Cette situation risque fortement d'inciter de nombreuses femmes à travers le monde à quitter leur emploi, en particulier quand le télétravail n’est pas possible, ce qui pourrait avoir des effets négatifs durables sur la participation des femmes au marché du travail.</w:t>
      </w:r>
    </w:p>
    <w:p w14:paraId="520A7A0D" w14:textId="77777777" w:rsidR="009021F1" w:rsidRPr="009D55A6" w:rsidRDefault="009021F1" w:rsidP="009021F1">
      <w:pPr>
        <w:rPr>
          <w:rFonts w:cs="Arial"/>
          <w:szCs w:val="21"/>
        </w:rPr>
      </w:pPr>
    </w:p>
    <w:p w14:paraId="76F9350A" w14:textId="77777777" w:rsidR="009021F1" w:rsidRPr="009D55A6" w:rsidRDefault="009021F1" w:rsidP="009021F1">
      <w:pPr>
        <w:rPr>
          <w:rFonts w:cs="Arial"/>
          <w:i/>
          <w:szCs w:val="21"/>
        </w:rPr>
      </w:pPr>
      <w:r w:rsidRPr="009D55A6">
        <w:rPr>
          <w:rFonts w:cs="Arial"/>
          <w:i/>
          <w:szCs w:val="21"/>
        </w:rPr>
        <w:t xml:space="preserve">Conséquences de la crise sur la santé </w:t>
      </w:r>
    </w:p>
    <w:p w14:paraId="5174A530" w14:textId="77777777" w:rsidR="009021F1" w:rsidRPr="009D55A6" w:rsidRDefault="009021F1" w:rsidP="009021F1">
      <w:pPr>
        <w:rPr>
          <w:rFonts w:cs="Arial"/>
          <w:szCs w:val="21"/>
        </w:rPr>
      </w:pPr>
    </w:p>
    <w:p w14:paraId="02F1F34A" w14:textId="77777777" w:rsidR="009021F1" w:rsidRPr="009D55A6" w:rsidRDefault="009021F1" w:rsidP="009021F1">
      <w:pPr>
        <w:rPr>
          <w:rFonts w:cs="Arial"/>
          <w:szCs w:val="21"/>
        </w:rPr>
      </w:pPr>
      <w:r w:rsidRPr="009D55A6">
        <w:rPr>
          <w:rFonts w:cs="Arial"/>
          <w:szCs w:val="21"/>
        </w:rPr>
        <w:t xml:space="preserve">La pandémie de la COVID-19 se répercute différemment sur le capital humain des hommes et des femmes en RDC. C'est désormais </w:t>
      </w:r>
      <w:hyperlink r:id="rId71" w:history="1">
        <w:r w:rsidRPr="009D55A6">
          <w:rPr>
            <w:rFonts w:cs="Arial"/>
            <w:szCs w:val="21"/>
          </w:rPr>
          <w:t>un fait avéré</w:t>
        </w:r>
      </w:hyperlink>
      <w:r w:rsidRPr="009D55A6">
        <w:rPr>
          <w:rFonts w:cs="Arial"/>
          <w:szCs w:val="21"/>
        </w:rPr>
        <w:t xml:space="preserve"> : les hommes courent un risque plus élevé de mourir de ce Coronavirus que les femmes. Les raisons de cette différence ne sont pas encore complètement éclaircies, mais les experts mettent en avant une </w:t>
      </w:r>
      <w:hyperlink r:id="rId72" w:history="1">
        <w:r w:rsidRPr="009D55A6">
          <w:rPr>
            <w:rFonts w:cs="Arial"/>
            <w:szCs w:val="21"/>
          </w:rPr>
          <w:t>combinaison de facteurs biologiques et comportementaux</w:t>
        </w:r>
      </w:hyperlink>
      <w:r w:rsidRPr="009D55A6">
        <w:rPr>
          <w:rFonts w:cs="Arial"/>
          <w:szCs w:val="21"/>
        </w:rPr>
        <w:t>. Cependant, s'il existe une sérieuse « vulnérabilité masculine », des menaces spécifiques pèsent aussi sur les femmes et les filles.</w:t>
      </w:r>
    </w:p>
    <w:p w14:paraId="170F10FD" w14:textId="77777777" w:rsidR="009021F1" w:rsidRPr="009D55A6" w:rsidRDefault="009021F1" w:rsidP="009021F1">
      <w:pPr>
        <w:rPr>
          <w:rFonts w:cs="Arial"/>
          <w:szCs w:val="21"/>
        </w:rPr>
      </w:pPr>
    </w:p>
    <w:p w14:paraId="380B68BE" w14:textId="77777777" w:rsidR="009021F1" w:rsidRPr="009D55A6" w:rsidRDefault="009021F1" w:rsidP="009021F1">
      <w:pPr>
        <w:rPr>
          <w:rFonts w:cs="Arial"/>
          <w:color w:val="000000"/>
          <w:szCs w:val="21"/>
          <w:shd w:val="clear" w:color="auto" w:fill="FFFFFF"/>
        </w:rPr>
      </w:pPr>
      <w:r w:rsidRPr="009D55A6">
        <w:rPr>
          <w:rFonts w:cs="Arial"/>
          <w:szCs w:val="21"/>
        </w:rPr>
        <w:t xml:space="preserve">Du fait de leur rôle d’aidante et de soignante, au sein du foyer et à l'extérieur, les femmes sont exposées de façon disproportionnée au virus. À l'échelle mondiale, </w:t>
      </w:r>
      <w:hyperlink r:id="rId73" w:history="1">
        <w:r w:rsidRPr="009D55A6">
          <w:rPr>
            <w:rFonts w:cs="Arial"/>
            <w:szCs w:val="21"/>
          </w:rPr>
          <w:t>88 % des auxiliaires de soins à la personne et 69 % des professionnels de santé sont des femmes</w:t>
        </w:r>
      </w:hyperlink>
      <w:r w:rsidRPr="009D55A6">
        <w:rPr>
          <w:rFonts w:cs="Arial"/>
          <w:szCs w:val="21"/>
        </w:rPr>
        <w:t xml:space="preserve">. Ces métiers sont en première ligne, ils supposent un contact avec le patient et ne peuvent s'exercer à distance. En Espagne, par exemple, </w:t>
      </w:r>
      <w:hyperlink r:id="rId74" w:history="1">
        <w:r w:rsidRPr="009D55A6">
          <w:rPr>
            <w:rFonts w:cs="Arial"/>
            <w:szCs w:val="21"/>
          </w:rPr>
          <w:t>71,8 % du personnel de santé infecté sont des femmes</w:t>
        </w:r>
      </w:hyperlink>
      <w:r w:rsidRPr="009D55A6">
        <w:rPr>
          <w:rFonts w:cs="Arial"/>
          <w:szCs w:val="21"/>
        </w:rPr>
        <w:t xml:space="preserve"> (a). En RDC pour le mois de mars, </w:t>
      </w:r>
      <w:r w:rsidRPr="009D55A6">
        <w:rPr>
          <w:rFonts w:cs="Arial"/>
          <w:color w:val="000000"/>
          <w:szCs w:val="21"/>
          <w:shd w:val="clear" w:color="auto" w:fill="FFFFFF"/>
        </w:rPr>
        <w:t xml:space="preserve">sur l’ensemble de personnes atteintes du Coronavirus, soit 48 cas, 78 % sont des hommes et seuls 12 % sont femmes. Si leur âge varie entre 31 et 70 ans, la plus grande majorité de porteurs est venue de l’étranger. </w:t>
      </w:r>
    </w:p>
    <w:p w14:paraId="28BE1FA9" w14:textId="77777777" w:rsidR="009021F1" w:rsidRPr="009D55A6" w:rsidRDefault="009021F1" w:rsidP="009021F1">
      <w:pPr>
        <w:rPr>
          <w:rFonts w:cs="Arial"/>
          <w:szCs w:val="21"/>
        </w:rPr>
      </w:pPr>
    </w:p>
    <w:p w14:paraId="20D159AF" w14:textId="77777777" w:rsidR="009021F1" w:rsidRPr="009D55A6" w:rsidRDefault="009021F1" w:rsidP="009021F1">
      <w:pPr>
        <w:rPr>
          <w:rFonts w:cs="Arial"/>
          <w:szCs w:val="21"/>
        </w:rPr>
      </w:pPr>
      <w:r w:rsidRPr="009D55A6">
        <w:rPr>
          <w:rFonts w:cs="Arial"/>
          <w:szCs w:val="21"/>
        </w:rPr>
        <w:t xml:space="preserve">Le redéploiement des ressources publiques compte tenu de l'urgence sanitaire peut également restreindre les services de santé sexuelle, reproductive et maternelle, en particulier lorsque les moyens des systèmes de santé sont très limités. Une hausse de la mortalité maternelle a ainsi été observée lors des précédentes épidémies </w:t>
      </w:r>
      <w:hyperlink r:id="rId75" w:history="1">
        <w:r w:rsidRPr="009D55A6">
          <w:rPr>
            <w:rFonts w:cs="Arial"/>
            <w:szCs w:val="21"/>
          </w:rPr>
          <w:t>d'Ebola</w:t>
        </w:r>
      </w:hyperlink>
      <w:r w:rsidRPr="009D55A6">
        <w:rPr>
          <w:rFonts w:cs="Arial"/>
          <w:szCs w:val="21"/>
        </w:rPr>
        <w:t xml:space="preserve"> et de SRAS, en partie liée à l'accès plus difficile aux services de santé et à la crainte d'une contagion dans les maternités. De même, ces difficultés d'accès pourraient entraîner une augmentation des grossesses non désirées, notamment </w:t>
      </w:r>
      <w:hyperlink r:id="rId76" w:history="1">
        <w:r w:rsidRPr="009D55A6">
          <w:rPr>
            <w:rFonts w:cs="Arial"/>
            <w:szCs w:val="21"/>
          </w:rPr>
          <w:t>chez les adolescentes</w:t>
        </w:r>
      </w:hyperlink>
      <w:r w:rsidRPr="009D55A6">
        <w:rPr>
          <w:rFonts w:cs="Arial"/>
          <w:szCs w:val="21"/>
        </w:rPr>
        <w:t>.</w:t>
      </w:r>
    </w:p>
    <w:p w14:paraId="1A6A4666" w14:textId="77777777" w:rsidR="009021F1" w:rsidRPr="009D55A6" w:rsidRDefault="009021F1" w:rsidP="009021F1">
      <w:pPr>
        <w:rPr>
          <w:rFonts w:cs="Arial"/>
          <w:szCs w:val="21"/>
        </w:rPr>
      </w:pPr>
    </w:p>
    <w:p w14:paraId="7A1B76E4" w14:textId="77777777" w:rsidR="009021F1" w:rsidRPr="009D55A6" w:rsidRDefault="009021F1" w:rsidP="009021F1">
      <w:pPr>
        <w:rPr>
          <w:rFonts w:cs="Arial"/>
          <w:szCs w:val="21"/>
        </w:rPr>
      </w:pPr>
      <w:r w:rsidRPr="009D55A6">
        <w:rPr>
          <w:rFonts w:cs="Arial"/>
          <w:szCs w:val="21"/>
        </w:rPr>
        <w:t xml:space="preserve">Enfin, cette crise va probablement avoir des effets néfastes sur la capacité de décision et d'action des femmes. Les </w:t>
      </w:r>
      <w:hyperlink r:id="rId77" w:history="1">
        <w:r w:rsidRPr="009D55A6">
          <w:rPr>
            <w:rFonts w:cs="Arial"/>
            <w:szCs w:val="21"/>
          </w:rPr>
          <w:t>violences à l'égard des femmes</w:t>
        </w:r>
      </w:hyperlink>
      <w:r w:rsidRPr="009D55A6">
        <w:rPr>
          <w:rFonts w:cs="Arial"/>
          <w:szCs w:val="21"/>
        </w:rPr>
        <w:t xml:space="preserve"> en sont une illustration flagrante. Les traditions patriarcales, l'incertitude économique et le stress, combinés aux mesures de confinement et à la limitation de nombreux services, ont déjà provoqué une hausse inquiétante de la violence intrafamiliale dans les pays touchés par l’épidémie comme la RDC. La situation est telle que </w:t>
      </w:r>
      <w:hyperlink r:id="rId78" w:history="1">
        <w:r w:rsidRPr="009D55A6">
          <w:rPr>
            <w:rFonts w:cs="Arial"/>
            <w:szCs w:val="21"/>
          </w:rPr>
          <w:t>le Secrétaire Général de l'ONU a exhorté les gouvernements</w:t>
        </w:r>
      </w:hyperlink>
      <w:r w:rsidRPr="009D55A6">
        <w:rPr>
          <w:rFonts w:cs="Arial"/>
          <w:szCs w:val="21"/>
        </w:rPr>
        <w:t xml:space="preserve"> à faire de la prévention et de la réparation des violences à l'encontre des femmes un élément clé de leurs plans nationaux de réponse à la crise. Par exemple : en ajoutant les centres d’hébergement à la liste des services essentiels, en mettant en place des systèmes d'alerte d'urgence dans les pharmacies et magasins d’alimentation, et en veillant à ce que l’appareil judiciaire continue de poursuivre les coupables. </w:t>
      </w:r>
    </w:p>
    <w:p w14:paraId="0AACFFBE" w14:textId="77777777" w:rsidR="009021F1" w:rsidRPr="009D55A6" w:rsidRDefault="009021F1" w:rsidP="009021F1">
      <w:pPr>
        <w:rPr>
          <w:rFonts w:cs="Arial"/>
          <w:szCs w:val="21"/>
        </w:rPr>
      </w:pPr>
    </w:p>
    <w:p w14:paraId="29DBD9B1" w14:textId="77777777" w:rsidR="009021F1" w:rsidRPr="009D55A6" w:rsidRDefault="009021F1" w:rsidP="009021F1">
      <w:pPr>
        <w:rPr>
          <w:rFonts w:cs="Arial"/>
          <w:szCs w:val="21"/>
        </w:rPr>
      </w:pPr>
      <w:r w:rsidRPr="009D55A6">
        <w:rPr>
          <w:rFonts w:cs="Arial"/>
          <w:szCs w:val="21"/>
        </w:rPr>
        <w:t xml:space="preserve">Que faire à présent ? Il faut rassembler des éléments probants pour éclairer la prise de décisions, en recensant les risques existants, en produisant très régulièrement des </w:t>
      </w:r>
      <w:hyperlink r:id="rId79" w:history="1">
        <w:r w:rsidRPr="009D55A6">
          <w:rPr>
            <w:rFonts w:cs="Arial"/>
            <w:szCs w:val="21"/>
          </w:rPr>
          <w:t>données générées</w:t>
        </w:r>
      </w:hyperlink>
      <w:r w:rsidRPr="009D55A6">
        <w:rPr>
          <w:rFonts w:cs="Arial"/>
          <w:szCs w:val="21"/>
        </w:rPr>
        <w:t xml:space="preserve"> sur les conséquences de la pandémie et en veillant à ce que les politiques publiques et les interventions mises en place répondent aux besoins des femmes comme des hommes, ainsi que cela a été exposé supra. </w:t>
      </w:r>
      <w:hyperlink r:id="rId80" w:tgtFrame="_blank" w:history="1">
        <w:r w:rsidRPr="009D55A6">
          <w:rPr>
            <w:rFonts w:cs="Arial"/>
            <w:szCs w:val="21"/>
          </w:rPr>
          <w:t>Parce que le virus ne touche pas les femmes et les hommes de la même façon, la réponse doit tenir compte de ces différences. </w:t>
        </w:r>
      </w:hyperlink>
    </w:p>
    <w:p w14:paraId="723B2195" w14:textId="77777777" w:rsidR="009021F1" w:rsidRPr="009D55A6" w:rsidRDefault="009021F1" w:rsidP="009021F1">
      <w:pPr>
        <w:rPr>
          <w:rFonts w:cs="Arial"/>
          <w:szCs w:val="21"/>
        </w:rPr>
      </w:pPr>
    </w:p>
    <w:p w14:paraId="61843981" w14:textId="77777777" w:rsidR="009021F1" w:rsidRPr="009D55A6" w:rsidRDefault="009021F1" w:rsidP="009021F1">
      <w:pPr>
        <w:pStyle w:val="Paragraphedeliste"/>
        <w:numPr>
          <w:ilvl w:val="2"/>
          <w:numId w:val="4"/>
        </w:numPr>
        <w:rPr>
          <w:rFonts w:cs="Arial"/>
          <w:i/>
          <w:szCs w:val="21"/>
        </w:rPr>
      </w:pPr>
      <w:r w:rsidRPr="009D55A6">
        <w:rPr>
          <w:rFonts w:cs="Arial"/>
          <w:i/>
          <w:szCs w:val="21"/>
        </w:rPr>
        <w:t>Situation d’Ebola en RDC</w:t>
      </w:r>
    </w:p>
    <w:p w14:paraId="289EE4C1" w14:textId="77777777" w:rsidR="009021F1" w:rsidRPr="009D55A6" w:rsidRDefault="009021F1" w:rsidP="009021F1">
      <w:pPr>
        <w:spacing w:line="240" w:lineRule="auto"/>
        <w:jc w:val="left"/>
        <w:rPr>
          <w:rFonts w:cs="Arial"/>
          <w:color w:val="222222"/>
          <w:szCs w:val="21"/>
          <w:shd w:val="clear" w:color="auto" w:fill="FFFFFF"/>
        </w:rPr>
      </w:pPr>
    </w:p>
    <w:p w14:paraId="72BA8040" w14:textId="77777777" w:rsidR="009021F1" w:rsidRPr="009D55A6" w:rsidRDefault="009021F1" w:rsidP="009021F1">
      <w:pPr>
        <w:rPr>
          <w:rFonts w:cs="Arial"/>
          <w:szCs w:val="21"/>
        </w:rPr>
      </w:pPr>
      <w:r w:rsidRPr="009D55A6">
        <w:rPr>
          <w:rFonts w:cs="Arial"/>
          <w:szCs w:val="21"/>
        </w:rPr>
        <w:t>L'épidémie d'Ebola qui a frappé le Nord-Est de la République Démocratique du Congo (RDC) est la deuxième plus grave épidémie au monde et la première dans une zone de conflit actif. Au 26 avril 2020, au total 3 316 cas confirmés ont été signalés, dont 2 277 décès.</w:t>
      </w:r>
    </w:p>
    <w:p w14:paraId="77D703AB" w14:textId="77777777" w:rsidR="009021F1" w:rsidRPr="009D55A6" w:rsidRDefault="009021F1" w:rsidP="009021F1">
      <w:pPr>
        <w:rPr>
          <w:rFonts w:cs="Arial"/>
          <w:color w:val="2A303B"/>
          <w:spacing w:val="1"/>
          <w:szCs w:val="21"/>
          <w:shd w:val="clear" w:color="auto" w:fill="FFFFFF"/>
        </w:rPr>
      </w:pPr>
    </w:p>
    <w:p w14:paraId="0EB4B108" w14:textId="77777777" w:rsidR="009021F1" w:rsidRPr="009D55A6" w:rsidRDefault="009021F1" w:rsidP="009021F1">
      <w:pPr>
        <w:rPr>
          <w:rFonts w:cs="Arial"/>
          <w:szCs w:val="21"/>
        </w:rPr>
      </w:pPr>
      <w:r w:rsidRPr="009D55A6">
        <w:rPr>
          <w:rFonts w:cs="Arial"/>
          <w:szCs w:val="21"/>
        </w:rPr>
        <w:t>Cette deuxième vague d’épidémie d’Ebola déclarée sur le sol congolais depuis le 1</w:t>
      </w:r>
      <w:r w:rsidRPr="009D55A6">
        <w:rPr>
          <w:rFonts w:cs="Arial"/>
          <w:szCs w:val="21"/>
          <w:vertAlign w:val="superscript"/>
        </w:rPr>
        <w:t>er</w:t>
      </w:r>
      <w:r w:rsidRPr="009D55A6">
        <w:rPr>
          <w:rFonts w:cs="Arial"/>
          <w:szCs w:val="21"/>
        </w:rPr>
        <w:t xml:space="preserve"> août 2018 est annoncée terminée dans la Province du Nord-Kivu le 25 juin 2020 par le Gouvernement de la RDC.  </w:t>
      </w:r>
    </w:p>
    <w:p w14:paraId="44F847C3" w14:textId="77777777" w:rsidR="009021F1" w:rsidRPr="009D55A6" w:rsidRDefault="009021F1" w:rsidP="009021F1">
      <w:pPr>
        <w:ind w:right="300"/>
        <w:textAlignment w:val="baseline"/>
        <w:rPr>
          <w:rFonts w:cs="Arial"/>
          <w:color w:val="333333"/>
          <w:szCs w:val="21"/>
        </w:rPr>
      </w:pPr>
    </w:p>
    <w:p w14:paraId="03E5E51A" w14:textId="77777777" w:rsidR="009021F1" w:rsidRPr="009D55A6" w:rsidRDefault="009021F1" w:rsidP="009021F1">
      <w:pPr>
        <w:rPr>
          <w:rFonts w:cs="Arial"/>
          <w:szCs w:val="21"/>
        </w:rPr>
      </w:pPr>
      <w:r w:rsidRPr="009D55A6">
        <w:rPr>
          <w:rFonts w:cs="Arial"/>
          <w:szCs w:val="21"/>
        </w:rPr>
        <w:t>07 février 2021 - Le Ministère de la Santé de la République Démocratique du Congoa annoncé aqu'un nouveau cas d'Ebola a été détecté à Butembo, une ville de la Province du Nord-Kivu, où une précédente épidémie avait pris fin en juin 2020.</w:t>
      </w:r>
    </w:p>
    <w:p w14:paraId="2592C115" w14:textId="77777777" w:rsidR="009021F1" w:rsidRPr="009D55A6" w:rsidRDefault="009021F1" w:rsidP="009021F1">
      <w:pPr>
        <w:rPr>
          <w:rFonts w:cs="Arial"/>
          <w:szCs w:val="21"/>
        </w:rPr>
      </w:pPr>
    </w:p>
    <w:p w14:paraId="0A0603AC" w14:textId="77777777" w:rsidR="009021F1" w:rsidRPr="009D55A6" w:rsidRDefault="009021F1" w:rsidP="009021F1">
      <w:pPr>
        <w:rPr>
          <w:rFonts w:cs="Arial"/>
          <w:szCs w:val="21"/>
        </w:rPr>
      </w:pPr>
      <w:r w:rsidRPr="009D55A6">
        <w:rPr>
          <w:rFonts w:cs="Arial"/>
          <w:szCs w:val="21"/>
        </w:rPr>
        <w:t>La branche de Butembo de l'Institut National de Recherche Biomédicale (INRB) a confirmé la présence du virus Ebola dans des échantillons prélevés sur une patiente présentant des symptômes similaires à ceux d'Ebola et qui s'était rendue dans un centre de santé local pour se faire soigner. La femme était l'épouse d'un survivant du virus Ebola. Elle est décédée depuis.  </w:t>
      </w:r>
    </w:p>
    <w:p w14:paraId="23C78413" w14:textId="77777777" w:rsidR="009021F1" w:rsidRPr="009D55A6" w:rsidRDefault="009021F1" w:rsidP="009021F1">
      <w:pPr>
        <w:rPr>
          <w:rFonts w:cs="Arial"/>
          <w:szCs w:val="21"/>
        </w:rPr>
      </w:pPr>
      <w:r w:rsidRPr="009D55A6">
        <w:rPr>
          <w:rFonts w:cs="Arial"/>
          <w:szCs w:val="21"/>
        </w:rPr>
        <w:t>Butembo était l'un des épicentres de la précédente épidémie d'Ebola dans l'est de la RDC. Il est fréquent que des cas sporadiques surviennent à la suite d'une épidémie majeure. </w:t>
      </w:r>
    </w:p>
    <w:p w14:paraId="38229549" w14:textId="77777777" w:rsidR="009021F1" w:rsidRPr="009D55A6" w:rsidRDefault="009021F1" w:rsidP="009021F1">
      <w:pPr>
        <w:rPr>
          <w:rFonts w:cs="Arial"/>
          <w:szCs w:val="21"/>
        </w:rPr>
      </w:pPr>
    </w:p>
    <w:p w14:paraId="21C5D6D5" w14:textId="77777777" w:rsidR="009021F1" w:rsidRPr="009D55A6" w:rsidRDefault="009021F1" w:rsidP="009021F1">
      <w:pPr>
        <w:rPr>
          <w:rFonts w:cs="Arial"/>
          <w:szCs w:val="21"/>
        </w:rPr>
      </w:pPr>
      <w:r w:rsidRPr="009D55A6">
        <w:rPr>
          <w:rFonts w:cs="Arial"/>
          <w:szCs w:val="21"/>
        </w:rPr>
        <w:t>Grâce aux capacités locales considérables qui ont été mises en place lors de la précédente épidémie, les autorités sanitaires de la province du Nord-Kivu dirigent la réponse actuelle avec le soutien du Ministère de la Santé et de l'Organisation Mondiale de la Santé (OMS). L'OMS a assuré la formation des techniciens de laboratoire, des personnes chargées de la recherche des contacts et des équipes de vaccination locales, et a établi un dialogue avec les groupes communautaires pour les sensibiliser à la maladie à virus Ebola et mettre en place un programme pour les survivants.</w:t>
      </w:r>
    </w:p>
    <w:p w14:paraId="3DCF5D88" w14:textId="77777777" w:rsidR="009021F1" w:rsidRPr="009D55A6" w:rsidRDefault="009021F1" w:rsidP="009021F1">
      <w:pPr>
        <w:rPr>
          <w:rFonts w:cs="Arial"/>
          <w:szCs w:val="21"/>
        </w:rPr>
      </w:pPr>
    </w:p>
    <w:p w14:paraId="5743EE11" w14:textId="77777777" w:rsidR="009021F1" w:rsidRPr="009D55A6" w:rsidRDefault="009021F1" w:rsidP="009021F1">
      <w:pPr>
        <w:rPr>
          <w:rFonts w:cs="Arial"/>
          <w:szCs w:val="21"/>
        </w:rPr>
      </w:pPr>
      <w:r w:rsidRPr="009D55A6">
        <w:rPr>
          <w:rFonts w:cs="Arial"/>
          <w:szCs w:val="21"/>
        </w:rPr>
        <w:t>Les épidémiologistes de l'OMS sont sur le terrain pour enquêter sur ce cas. Plus de 70 contacts ont déjà été identifiés. La désinfection des sites visités par les patients est également en cours.</w:t>
      </w:r>
    </w:p>
    <w:p w14:paraId="6410DCD6" w14:textId="77777777" w:rsidR="009021F1" w:rsidRPr="009D55A6" w:rsidRDefault="009021F1" w:rsidP="009021F1">
      <w:pPr>
        <w:rPr>
          <w:rFonts w:cs="Arial"/>
          <w:szCs w:val="21"/>
        </w:rPr>
      </w:pPr>
    </w:p>
    <w:p w14:paraId="75F4F5B3" w14:textId="77777777" w:rsidR="009021F1" w:rsidRPr="009D55A6" w:rsidRDefault="009021F1" w:rsidP="009021F1">
      <w:pPr>
        <w:rPr>
          <w:rFonts w:cs="Arial"/>
          <w:szCs w:val="21"/>
        </w:rPr>
      </w:pPr>
      <w:r w:rsidRPr="009D55A6">
        <w:rPr>
          <w:rFonts w:cs="Arial"/>
          <w:szCs w:val="21"/>
        </w:rPr>
        <w:t>Des échantillons prélevés sur le patient porteur du virus Ebola ont été envoyés au laboratoire principal de l'Institut National de Recherche Biomédicale à Kinshasa pour un séquençage du génome afin d'identifier la souche du virus Ebola et de déterminer son lien avec l'épidémie précédente.</w:t>
      </w:r>
    </w:p>
    <w:p w14:paraId="5182CCD0" w14:textId="77777777" w:rsidR="009021F1" w:rsidRPr="009D55A6" w:rsidRDefault="009021F1" w:rsidP="009021F1">
      <w:pPr>
        <w:rPr>
          <w:rFonts w:cs="Arial"/>
          <w:szCs w:val="21"/>
        </w:rPr>
      </w:pPr>
    </w:p>
    <w:p w14:paraId="21F819E9" w14:textId="77777777" w:rsidR="009021F1" w:rsidRPr="009D55A6" w:rsidRDefault="009021F1" w:rsidP="009021F1">
      <w:pPr>
        <w:rPr>
          <w:rFonts w:cs="Arial"/>
          <w:szCs w:val="21"/>
        </w:rPr>
      </w:pPr>
      <w:r w:rsidRPr="009D55A6">
        <w:rPr>
          <w:rFonts w:cs="Arial"/>
          <w:szCs w:val="21"/>
        </w:rPr>
        <w:t xml:space="preserve">Pour rappel, la dixième épidémie d'Ebola en RDC, qui a duré près de deux ans, était la deuxième plus importante au monde. Lorsqu'elle s'est terminée, on comptait 3 481 cas, 2 299 décès et 1 162 survivants. La réponse à l'épidémie avait été particulièrement difficile, en raison de l'insécurité qui a perturbé les efforts d'urgence. </w:t>
      </w:r>
      <w:r w:rsidRPr="009D55A6">
        <w:rPr>
          <w:rFonts w:cs="Arial"/>
          <w:i/>
          <w:szCs w:val="21"/>
        </w:rPr>
        <w:t>(</w:t>
      </w:r>
      <w:hyperlink r:id="rId81" w:history="1">
        <w:r w:rsidRPr="009D55A6">
          <w:rPr>
            <w:i/>
            <w:color w:val="0000FF"/>
            <w:szCs w:val="21"/>
            <w:u w:val="single"/>
          </w:rPr>
          <w:t>Réapparition du virus Ebola au Nord-Kivu en République démocratique du Congo | Regional Office for Africa (who.int)</w:t>
        </w:r>
      </w:hyperlink>
      <w:r w:rsidRPr="009D55A6">
        <w:rPr>
          <w:szCs w:val="21"/>
        </w:rPr>
        <w:t xml:space="preserve"> </w:t>
      </w:r>
    </w:p>
    <w:p w14:paraId="4606CB06" w14:textId="77777777" w:rsidR="009021F1" w:rsidRPr="009D55A6" w:rsidRDefault="009021F1" w:rsidP="009021F1">
      <w:pPr>
        <w:spacing w:line="240" w:lineRule="auto"/>
        <w:rPr>
          <w:rFonts w:cs="Arial"/>
          <w:szCs w:val="21"/>
        </w:rPr>
      </w:pPr>
    </w:p>
    <w:p w14:paraId="0DA774AF" w14:textId="77777777" w:rsidR="009021F1" w:rsidRPr="009D55A6" w:rsidRDefault="009021F1" w:rsidP="009021F1">
      <w:pPr>
        <w:pStyle w:val="Paragraphedeliste"/>
        <w:numPr>
          <w:ilvl w:val="2"/>
          <w:numId w:val="4"/>
        </w:numPr>
        <w:rPr>
          <w:rFonts w:cs="Arial"/>
          <w:b/>
          <w:bCs/>
          <w:szCs w:val="21"/>
        </w:rPr>
      </w:pPr>
      <w:r w:rsidRPr="009D55A6">
        <w:rPr>
          <w:rFonts w:cs="Arial"/>
          <w:i/>
          <w:szCs w:val="21"/>
        </w:rPr>
        <w:t>Implications du COVID-19 pour la préparation et la mise en œuvre du programme</w:t>
      </w:r>
      <w:r w:rsidRPr="009D55A6">
        <w:rPr>
          <w:rFonts w:cs="Arial"/>
          <w:szCs w:val="21"/>
        </w:rPr>
        <w:t xml:space="preserve"> </w:t>
      </w:r>
    </w:p>
    <w:p w14:paraId="6C340655" w14:textId="77777777" w:rsidR="009021F1" w:rsidRDefault="009021F1" w:rsidP="009021F1">
      <w:pPr>
        <w:spacing w:line="240" w:lineRule="auto"/>
        <w:rPr>
          <w:rFonts w:cs="Arial"/>
          <w:szCs w:val="21"/>
        </w:rPr>
      </w:pPr>
    </w:p>
    <w:p w14:paraId="22E3E3E4" w14:textId="77777777" w:rsidR="009021F1" w:rsidRDefault="009021F1" w:rsidP="009021F1">
      <w:pPr>
        <w:spacing w:line="240" w:lineRule="auto"/>
        <w:rPr>
          <w:rFonts w:cs="Arial"/>
          <w:szCs w:val="21"/>
        </w:rPr>
      </w:pPr>
      <w:r w:rsidRPr="009D55A6">
        <w:rPr>
          <w:rFonts w:cs="Arial"/>
          <w:szCs w:val="21"/>
        </w:rPr>
        <w:t>La République démocratique du Congo a été touchée par la pandémie à coronavirus en mars 2020. Grâce à la mobilisation du Gouvernement et de tous les acteurs nationaux et internationaux, ponctuée par une bonne mutualisation des efforts, cette pandémie demeure encore sous contrôle en RDC. Les tendances rapportées jusqu’au jeudi 04 février 2021en RDC se présente comme suit : 149 nouveaux cas de contamination par le coronavirus enregistrés, COVID-19, dont 88 à Kinshasa, 44 au Sud-Kivu, 11 dans le Haut-Katanga, 2 au Lualaba, 2 dans le Maï-Ndombe (23ème province à être touchée) et 2 au Nord-Kivu (source : données issues des laboratoires de l’INRB et validées par le Comité multisectoriel de la riposte COVID-19 de la RDC). Les tests ont été réalisés sur les 936 échantillons reçus pour l’analyse biologique à l’INRB. Le nombre total de cas positifs au nouveau coronavirus en République démocratique du Congo est de 23 371 (23 370 cas confirmés et 1 cas probable) (l’OMS, 2021)</w:t>
      </w:r>
    </w:p>
    <w:p w14:paraId="1BAA62CB" w14:textId="77777777" w:rsidR="009021F1" w:rsidRPr="009D55A6" w:rsidRDefault="009021F1" w:rsidP="009021F1">
      <w:pPr>
        <w:spacing w:line="240" w:lineRule="auto"/>
        <w:rPr>
          <w:rFonts w:cs="Arial"/>
          <w:szCs w:val="21"/>
        </w:rPr>
      </w:pPr>
    </w:p>
    <w:p w14:paraId="729CCBBA" w14:textId="77777777" w:rsidR="009021F1" w:rsidRPr="009D55A6" w:rsidRDefault="009021F1" w:rsidP="009021F1">
      <w:pPr>
        <w:spacing w:line="240" w:lineRule="auto"/>
        <w:jc w:val="left"/>
        <w:rPr>
          <w:rFonts w:cs="Arial"/>
          <w:szCs w:val="21"/>
        </w:rPr>
      </w:pPr>
      <w:r w:rsidRPr="009D55A6">
        <w:rPr>
          <w:rFonts w:cs="Arial"/>
          <w:szCs w:val="21"/>
        </w:rPr>
        <w:t>Aucun nouveau décès des cas confirmés n’a été rapporté. Total de cas mortels en RDC à la date du 04 février 2021 : 678 (677 cas mortels confirmés et un cas probable). Létalité : 3% ;</w:t>
      </w:r>
    </w:p>
    <w:p w14:paraId="04409170" w14:textId="77777777" w:rsidR="009021F1" w:rsidRDefault="009021F1" w:rsidP="009021F1">
      <w:pPr>
        <w:spacing w:line="240" w:lineRule="auto"/>
        <w:jc w:val="left"/>
        <w:rPr>
          <w:rFonts w:cs="Arial"/>
          <w:szCs w:val="21"/>
        </w:rPr>
      </w:pPr>
      <w:r w:rsidRPr="009D55A6">
        <w:rPr>
          <w:rFonts w:cs="Arial"/>
          <w:szCs w:val="21"/>
        </w:rPr>
        <w:t>Aucun patient supplémentaire n’est sorti guéri dans la journée du 04 février 2021. Total de personnes guéries du nouveau coronavirus, COVID-19 en RDC : 15 085. Taux de guérison : 64,5 %. Total de cas actifs : 7</w:t>
      </w:r>
      <w:r>
        <w:rPr>
          <w:rFonts w:cs="Arial"/>
          <w:szCs w:val="21"/>
        </w:rPr>
        <w:t> </w:t>
      </w:r>
      <w:r w:rsidRPr="009D55A6">
        <w:rPr>
          <w:rFonts w:cs="Arial"/>
          <w:szCs w:val="21"/>
        </w:rPr>
        <w:t>608.</w:t>
      </w:r>
    </w:p>
    <w:p w14:paraId="3C183AB2" w14:textId="77777777" w:rsidR="009021F1" w:rsidRPr="009D55A6" w:rsidRDefault="009021F1" w:rsidP="009021F1">
      <w:pPr>
        <w:spacing w:line="240" w:lineRule="auto"/>
        <w:jc w:val="left"/>
        <w:rPr>
          <w:rFonts w:cs="Arial"/>
          <w:szCs w:val="21"/>
        </w:rPr>
      </w:pPr>
    </w:p>
    <w:p w14:paraId="0890A3AC" w14:textId="77777777" w:rsidR="009021F1" w:rsidRDefault="009021F1" w:rsidP="009021F1">
      <w:pPr>
        <w:spacing w:line="240" w:lineRule="auto"/>
        <w:jc w:val="left"/>
        <w:rPr>
          <w:rFonts w:cs="Arial"/>
          <w:szCs w:val="21"/>
        </w:rPr>
      </w:pPr>
      <w:r w:rsidRPr="009D55A6">
        <w:rPr>
          <w:rFonts w:cs="Arial"/>
          <w:szCs w:val="21"/>
        </w:rPr>
        <w:t>Dans la zone d’intervention du programme, on enregistre : Kasaï (2 cas), Kasaï Central (17 cas), Kongo Central (1 428 cas), Kwilu (9 cas &amp; 2 décès) et Nord-Kivu (1 343 cas).</w:t>
      </w:r>
    </w:p>
    <w:p w14:paraId="2FE3AB44" w14:textId="77777777" w:rsidR="009021F1" w:rsidRPr="009D55A6" w:rsidRDefault="009021F1" w:rsidP="009021F1">
      <w:pPr>
        <w:spacing w:line="240" w:lineRule="auto"/>
        <w:jc w:val="left"/>
        <w:rPr>
          <w:rFonts w:cs="Arial"/>
          <w:szCs w:val="21"/>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22"/>
        <w:gridCol w:w="3022"/>
        <w:gridCol w:w="3023"/>
      </w:tblGrid>
      <w:tr w:rsidR="009021F1" w:rsidRPr="00FC34A6" w14:paraId="076AD17E" w14:textId="77777777" w:rsidTr="00E637E3">
        <w:trPr>
          <w:trHeight w:val="29"/>
        </w:trPr>
        <w:tc>
          <w:tcPr>
            <w:tcW w:w="3022" w:type="dxa"/>
            <w:shd w:val="clear" w:color="auto" w:fill="auto"/>
          </w:tcPr>
          <w:p w14:paraId="4C2E28DE" w14:textId="77777777" w:rsidR="009021F1" w:rsidRPr="00730A4A" w:rsidRDefault="009021F1" w:rsidP="00E637E3">
            <w:pPr>
              <w:jc w:val="center"/>
              <w:rPr>
                <w:b/>
                <w:bCs/>
                <w:sz w:val="20"/>
                <w:szCs w:val="20"/>
              </w:rPr>
            </w:pPr>
            <w:r w:rsidRPr="00730A4A">
              <w:rPr>
                <w:b/>
                <w:bCs/>
                <w:sz w:val="20"/>
                <w:szCs w:val="20"/>
              </w:rPr>
              <w:t>Revenu</w:t>
            </w:r>
          </w:p>
        </w:tc>
        <w:tc>
          <w:tcPr>
            <w:tcW w:w="3022" w:type="dxa"/>
            <w:shd w:val="clear" w:color="auto" w:fill="auto"/>
          </w:tcPr>
          <w:p w14:paraId="21E2AC56" w14:textId="77777777" w:rsidR="009021F1" w:rsidRPr="00730A4A" w:rsidRDefault="009021F1" w:rsidP="00E637E3">
            <w:pPr>
              <w:jc w:val="center"/>
              <w:rPr>
                <w:b/>
                <w:bCs/>
                <w:sz w:val="20"/>
                <w:szCs w:val="20"/>
              </w:rPr>
            </w:pPr>
            <w:r w:rsidRPr="00730A4A">
              <w:rPr>
                <w:b/>
                <w:bCs/>
                <w:sz w:val="20"/>
                <w:szCs w:val="20"/>
              </w:rPr>
              <w:t>Dépenses</w:t>
            </w:r>
          </w:p>
        </w:tc>
        <w:tc>
          <w:tcPr>
            <w:tcW w:w="3023" w:type="dxa"/>
            <w:shd w:val="clear" w:color="auto" w:fill="auto"/>
          </w:tcPr>
          <w:p w14:paraId="0FFA10FF" w14:textId="77777777" w:rsidR="009021F1" w:rsidRPr="00730A4A" w:rsidRDefault="009021F1" w:rsidP="00E637E3">
            <w:pPr>
              <w:jc w:val="center"/>
              <w:rPr>
                <w:b/>
                <w:bCs/>
                <w:sz w:val="20"/>
                <w:szCs w:val="20"/>
              </w:rPr>
            </w:pPr>
            <w:r w:rsidRPr="00730A4A">
              <w:rPr>
                <w:b/>
                <w:bCs/>
                <w:sz w:val="20"/>
                <w:szCs w:val="20"/>
              </w:rPr>
              <w:t>Accès aux services sociaux</w:t>
            </w:r>
          </w:p>
        </w:tc>
      </w:tr>
      <w:tr w:rsidR="009021F1" w:rsidRPr="00FC34A6" w14:paraId="1F7165DB" w14:textId="77777777" w:rsidTr="00E637E3">
        <w:trPr>
          <w:trHeight w:val="561"/>
        </w:trPr>
        <w:tc>
          <w:tcPr>
            <w:tcW w:w="3022" w:type="dxa"/>
            <w:shd w:val="clear" w:color="auto" w:fill="auto"/>
          </w:tcPr>
          <w:p w14:paraId="27F393DC" w14:textId="77777777" w:rsidR="009021F1" w:rsidRPr="00730A4A" w:rsidRDefault="009021F1" w:rsidP="00E637E3">
            <w:pPr>
              <w:pStyle w:val="Paragraphedeliste"/>
              <w:numPr>
                <w:ilvl w:val="0"/>
                <w:numId w:val="116"/>
              </w:numPr>
              <w:ind w:left="262" w:hanging="262"/>
              <w:rPr>
                <w:sz w:val="20"/>
                <w:szCs w:val="20"/>
              </w:rPr>
            </w:pPr>
            <w:r w:rsidRPr="00730A4A">
              <w:rPr>
                <w:sz w:val="20"/>
                <w:szCs w:val="20"/>
              </w:rPr>
              <w:t xml:space="preserve">Baisse du revenu par habitant du fait du repli de la croissance. </w:t>
            </w:r>
          </w:p>
          <w:p w14:paraId="467C2488" w14:textId="77777777" w:rsidR="009021F1" w:rsidRPr="00730A4A" w:rsidRDefault="009021F1" w:rsidP="00E637E3">
            <w:pPr>
              <w:pStyle w:val="Paragraphedeliste"/>
              <w:numPr>
                <w:ilvl w:val="0"/>
                <w:numId w:val="116"/>
              </w:numPr>
              <w:ind w:left="262" w:hanging="262"/>
              <w:rPr>
                <w:sz w:val="20"/>
                <w:szCs w:val="20"/>
              </w:rPr>
            </w:pPr>
            <w:r w:rsidRPr="00730A4A">
              <w:rPr>
                <w:sz w:val="20"/>
                <w:szCs w:val="20"/>
              </w:rPr>
              <w:t xml:space="preserve">Baisse du revenu qui affecte plus encore les ménages dont les revenus sont libellés en monnaie nationale. </w:t>
            </w:r>
          </w:p>
          <w:p w14:paraId="2392456F" w14:textId="77777777" w:rsidR="009021F1" w:rsidRPr="00730A4A" w:rsidRDefault="009021F1" w:rsidP="00E637E3">
            <w:pPr>
              <w:pStyle w:val="Paragraphedeliste"/>
              <w:numPr>
                <w:ilvl w:val="0"/>
                <w:numId w:val="116"/>
              </w:numPr>
              <w:ind w:left="262" w:hanging="262"/>
              <w:rPr>
                <w:sz w:val="20"/>
                <w:szCs w:val="20"/>
              </w:rPr>
            </w:pPr>
            <w:r w:rsidRPr="00730A4A">
              <w:rPr>
                <w:sz w:val="20"/>
                <w:szCs w:val="20"/>
              </w:rPr>
              <w:t xml:space="preserve">Pertes d’emplois dans certains secteurs d’activité ainsi qu’un accès très limité à de nouvelles embauches. </w:t>
            </w:r>
          </w:p>
          <w:p w14:paraId="3D7E6680" w14:textId="77777777" w:rsidR="009021F1" w:rsidRPr="00730A4A" w:rsidRDefault="009021F1" w:rsidP="00E637E3">
            <w:pPr>
              <w:pStyle w:val="Paragraphedeliste"/>
              <w:numPr>
                <w:ilvl w:val="0"/>
                <w:numId w:val="116"/>
              </w:numPr>
              <w:ind w:left="262" w:hanging="262"/>
              <w:rPr>
                <w:sz w:val="20"/>
                <w:szCs w:val="20"/>
              </w:rPr>
            </w:pPr>
            <w:r w:rsidRPr="00730A4A">
              <w:rPr>
                <w:sz w:val="20"/>
                <w:szCs w:val="20"/>
              </w:rPr>
              <w:t xml:space="preserve">Baisse du rendement et de la profitabilité des activités informelles développées pour assurer la survie du fait de la baisse de la demande solvable. </w:t>
            </w:r>
          </w:p>
          <w:p w14:paraId="352F18AA" w14:textId="77777777" w:rsidR="009021F1" w:rsidRPr="00730A4A" w:rsidRDefault="009021F1" w:rsidP="00E637E3">
            <w:pPr>
              <w:pStyle w:val="Paragraphedeliste"/>
              <w:numPr>
                <w:ilvl w:val="0"/>
                <w:numId w:val="116"/>
              </w:numPr>
              <w:ind w:left="262" w:hanging="262"/>
              <w:rPr>
                <w:sz w:val="20"/>
                <w:szCs w:val="20"/>
              </w:rPr>
            </w:pPr>
            <w:r w:rsidRPr="00730A4A">
              <w:rPr>
                <w:sz w:val="20"/>
                <w:szCs w:val="20"/>
              </w:rPr>
              <w:t xml:space="preserve">Accroissement du taux d’inactivité et une rupture de l’adéquation revenus – nombre de bouches à nourrir. </w:t>
            </w:r>
          </w:p>
          <w:p w14:paraId="6AD1F544" w14:textId="77777777" w:rsidR="009021F1" w:rsidRPr="00730A4A" w:rsidRDefault="009021F1" w:rsidP="00E637E3">
            <w:pPr>
              <w:pStyle w:val="Paragraphedeliste"/>
              <w:numPr>
                <w:ilvl w:val="0"/>
                <w:numId w:val="116"/>
              </w:numPr>
              <w:ind w:left="262" w:hanging="262"/>
              <w:rPr>
                <w:sz w:val="20"/>
                <w:szCs w:val="20"/>
              </w:rPr>
            </w:pPr>
            <w:r w:rsidRPr="00730A4A">
              <w:rPr>
                <w:sz w:val="20"/>
                <w:szCs w:val="20"/>
              </w:rPr>
              <w:t xml:space="preserve">Retards de paiement des salaires. </w:t>
            </w:r>
          </w:p>
          <w:p w14:paraId="13BB24CC" w14:textId="77777777" w:rsidR="009021F1" w:rsidRPr="00730A4A" w:rsidRDefault="009021F1" w:rsidP="00E637E3">
            <w:pPr>
              <w:pStyle w:val="Paragraphedeliste"/>
              <w:numPr>
                <w:ilvl w:val="0"/>
                <w:numId w:val="116"/>
              </w:numPr>
              <w:ind w:left="262" w:hanging="262"/>
              <w:rPr>
                <w:sz w:val="20"/>
                <w:szCs w:val="20"/>
              </w:rPr>
            </w:pPr>
            <w:r w:rsidRPr="00730A4A">
              <w:rPr>
                <w:sz w:val="20"/>
                <w:szCs w:val="20"/>
              </w:rPr>
              <w:t>Perte de la valeur de l’épargne constituée jadis et une dilapidation progressive des actifs accumulés.</w:t>
            </w:r>
          </w:p>
        </w:tc>
        <w:tc>
          <w:tcPr>
            <w:tcW w:w="3022" w:type="dxa"/>
            <w:shd w:val="clear" w:color="auto" w:fill="auto"/>
          </w:tcPr>
          <w:p w14:paraId="0D7F5997" w14:textId="77777777" w:rsidR="009021F1" w:rsidRPr="00730A4A" w:rsidRDefault="009021F1" w:rsidP="00E637E3">
            <w:pPr>
              <w:pStyle w:val="Paragraphedeliste"/>
              <w:numPr>
                <w:ilvl w:val="0"/>
                <w:numId w:val="116"/>
              </w:numPr>
              <w:ind w:left="262" w:hanging="262"/>
              <w:rPr>
                <w:sz w:val="20"/>
                <w:szCs w:val="20"/>
              </w:rPr>
            </w:pPr>
            <w:r w:rsidRPr="00730A4A">
              <w:rPr>
                <w:sz w:val="20"/>
                <w:szCs w:val="20"/>
              </w:rPr>
              <w:t xml:space="preserve">Perte du pouvoir d’achat en raison d’une forte inflation et d’une dépréciation monétaire rapide. </w:t>
            </w:r>
          </w:p>
          <w:p w14:paraId="699CA129" w14:textId="77777777" w:rsidR="009021F1" w:rsidRPr="00730A4A" w:rsidRDefault="009021F1" w:rsidP="00E637E3">
            <w:pPr>
              <w:pStyle w:val="Paragraphedeliste"/>
              <w:numPr>
                <w:ilvl w:val="0"/>
                <w:numId w:val="116"/>
              </w:numPr>
              <w:ind w:left="262" w:hanging="262"/>
              <w:rPr>
                <w:sz w:val="20"/>
                <w:szCs w:val="20"/>
              </w:rPr>
            </w:pPr>
            <w:r w:rsidRPr="00730A4A">
              <w:rPr>
                <w:sz w:val="20"/>
                <w:szCs w:val="20"/>
              </w:rPr>
              <w:t xml:space="preserve">Incapacité pour les chefs de ménages à répondre à leurs obligations compte tenu de la baisse du pouvoir d’achat et du nombre de bouches à nourrir. </w:t>
            </w:r>
          </w:p>
          <w:p w14:paraId="38DFA1A6" w14:textId="77777777" w:rsidR="009021F1" w:rsidRPr="00730A4A" w:rsidRDefault="009021F1" w:rsidP="00E637E3">
            <w:pPr>
              <w:pStyle w:val="Paragraphedeliste"/>
              <w:numPr>
                <w:ilvl w:val="0"/>
                <w:numId w:val="116"/>
              </w:numPr>
              <w:ind w:left="262" w:hanging="262"/>
              <w:rPr>
                <w:sz w:val="20"/>
                <w:szCs w:val="20"/>
              </w:rPr>
            </w:pPr>
            <w:r w:rsidRPr="00730A4A">
              <w:rPr>
                <w:sz w:val="20"/>
                <w:szCs w:val="20"/>
              </w:rPr>
              <w:t>Alors que les prestataires de services (écoles, centres de santé, ...) sont dans des conditions technico-financières déplorables, les ménages appauvris ont moins de capacités à supporter les frais exigés en contrepartie des prestations</w:t>
            </w:r>
          </w:p>
        </w:tc>
        <w:tc>
          <w:tcPr>
            <w:tcW w:w="3023" w:type="dxa"/>
            <w:shd w:val="clear" w:color="auto" w:fill="auto"/>
          </w:tcPr>
          <w:p w14:paraId="76492B87" w14:textId="77777777" w:rsidR="009021F1" w:rsidRPr="00730A4A" w:rsidRDefault="009021F1" w:rsidP="00E637E3">
            <w:pPr>
              <w:pStyle w:val="Paragraphedeliste"/>
              <w:numPr>
                <w:ilvl w:val="0"/>
                <w:numId w:val="116"/>
              </w:numPr>
              <w:ind w:left="262" w:hanging="262"/>
              <w:rPr>
                <w:sz w:val="20"/>
                <w:szCs w:val="20"/>
              </w:rPr>
            </w:pPr>
            <w:r w:rsidRPr="00730A4A">
              <w:rPr>
                <w:sz w:val="20"/>
                <w:szCs w:val="20"/>
              </w:rPr>
              <w:t xml:space="preserve">Difficultés de paiement de certaines factures, notamment celles du loyer, de l’eau et de l’électricité. </w:t>
            </w:r>
          </w:p>
          <w:p w14:paraId="7017CC28" w14:textId="77777777" w:rsidR="009021F1" w:rsidRPr="00730A4A" w:rsidRDefault="009021F1" w:rsidP="00E637E3">
            <w:pPr>
              <w:pStyle w:val="Paragraphedeliste"/>
              <w:numPr>
                <w:ilvl w:val="0"/>
                <w:numId w:val="116"/>
              </w:numPr>
              <w:ind w:left="262" w:hanging="262"/>
              <w:rPr>
                <w:sz w:val="20"/>
                <w:szCs w:val="20"/>
              </w:rPr>
            </w:pPr>
            <w:r w:rsidRPr="00730A4A">
              <w:rPr>
                <w:sz w:val="20"/>
                <w:szCs w:val="20"/>
              </w:rPr>
              <w:t xml:space="preserve">Incapacité pour les parents à prendre intégralement en charge les frais de scolarité de leurs enfants (minerval et autres frais). </w:t>
            </w:r>
          </w:p>
          <w:p w14:paraId="5C000CF2" w14:textId="77777777" w:rsidR="009021F1" w:rsidRPr="00730A4A" w:rsidRDefault="009021F1" w:rsidP="00E637E3">
            <w:pPr>
              <w:pStyle w:val="Paragraphedeliste"/>
              <w:numPr>
                <w:ilvl w:val="0"/>
                <w:numId w:val="116"/>
              </w:numPr>
              <w:ind w:left="262" w:hanging="262"/>
              <w:rPr>
                <w:sz w:val="20"/>
                <w:szCs w:val="20"/>
              </w:rPr>
            </w:pPr>
            <w:r w:rsidRPr="00730A4A">
              <w:rPr>
                <w:sz w:val="20"/>
                <w:szCs w:val="20"/>
              </w:rPr>
              <w:t xml:space="preserve">Accès limité à une alimentation de qualité du fait de la perte du pouvoir d’achat, de l’augmentation des prix des denrées et la baisse de l’offre alimentaire. </w:t>
            </w:r>
          </w:p>
          <w:p w14:paraId="08FD87D8" w14:textId="77777777" w:rsidR="009021F1" w:rsidRPr="00730A4A" w:rsidRDefault="009021F1" w:rsidP="00E637E3">
            <w:pPr>
              <w:pStyle w:val="Paragraphedeliste"/>
              <w:numPr>
                <w:ilvl w:val="0"/>
                <w:numId w:val="116"/>
              </w:numPr>
              <w:ind w:left="262" w:hanging="262"/>
              <w:rPr>
                <w:sz w:val="20"/>
                <w:szCs w:val="20"/>
              </w:rPr>
            </w:pPr>
            <w:r w:rsidRPr="00730A4A">
              <w:rPr>
                <w:sz w:val="20"/>
                <w:szCs w:val="20"/>
              </w:rPr>
              <w:t xml:space="preserve">Accès limité aux services de santé (y compris l’immunisation, la santé de la mère et de l’enfant) et produits pharmaceutiques du fait de la perte de pouvoir d’achat et de la baisse de la qualité des services offerts. </w:t>
            </w:r>
          </w:p>
          <w:p w14:paraId="01511A7A" w14:textId="77777777" w:rsidR="009021F1" w:rsidRPr="00730A4A" w:rsidRDefault="009021F1" w:rsidP="00E637E3">
            <w:pPr>
              <w:pStyle w:val="Paragraphedeliste"/>
              <w:numPr>
                <w:ilvl w:val="0"/>
                <w:numId w:val="116"/>
              </w:numPr>
              <w:ind w:left="262" w:hanging="262"/>
              <w:rPr>
                <w:sz w:val="20"/>
                <w:szCs w:val="20"/>
              </w:rPr>
            </w:pPr>
            <w:r w:rsidRPr="00730A4A">
              <w:rPr>
                <w:sz w:val="20"/>
                <w:szCs w:val="20"/>
              </w:rPr>
              <w:t>Accès limité à certains services publics (eau, électricité et assainissement) en raison de la baisse des investissements publics.</w:t>
            </w:r>
          </w:p>
        </w:tc>
      </w:tr>
    </w:tbl>
    <w:p w14:paraId="5C5D4A7D" w14:textId="77777777" w:rsidR="009021F1" w:rsidRDefault="009021F1" w:rsidP="009021F1">
      <w:pPr>
        <w:spacing w:line="240" w:lineRule="auto"/>
        <w:rPr>
          <w:szCs w:val="21"/>
        </w:rPr>
      </w:pPr>
    </w:p>
    <w:p w14:paraId="01FF9124" w14:textId="77777777" w:rsidR="009021F1" w:rsidRPr="009D55A6" w:rsidRDefault="009021F1" w:rsidP="009021F1">
      <w:pPr>
        <w:spacing w:line="240" w:lineRule="auto"/>
        <w:rPr>
          <w:szCs w:val="21"/>
        </w:rPr>
      </w:pPr>
      <w:r w:rsidRPr="009D55A6">
        <w:rPr>
          <w:szCs w:val="21"/>
        </w:rPr>
        <w:t>Si toutes les mesures sont appliquées et respectées, le PNDA contribuera largement au développement économique et à l’amélioration des conditions de vie des ménages de la zone du programme</w:t>
      </w:r>
    </w:p>
    <w:p w14:paraId="446FC747" w14:textId="77777777" w:rsidR="009021F1" w:rsidRDefault="009021F1" w:rsidP="009021F1">
      <w:pPr>
        <w:spacing w:before="100" w:beforeAutospacing="1" w:after="100" w:afterAutospacing="1" w:line="240" w:lineRule="auto"/>
        <w:jc w:val="left"/>
        <w:rPr>
          <w:sz w:val="20"/>
          <w:szCs w:val="20"/>
        </w:rPr>
      </w:pPr>
      <w:r>
        <w:rPr>
          <w:sz w:val="20"/>
          <w:szCs w:val="20"/>
        </w:rPr>
        <w:br w:type="page"/>
      </w:r>
    </w:p>
    <w:p w14:paraId="0F3CC74A" w14:textId="77777777" w:rsidR="009021F1" w:rsidRPr="009D55A6" w:rsidRDefault="009021F1" w:rsidP="009021F1">
      <w:pPr>
        <w:pStyle w:val="Titre1"/>
        <w:numPr>
          <w:ilvl w:val="0"/>
          <w:numId w:val="4"/>
        </w:numPr>
        <w:ind w:left="567" w:hanging="283"/>
        <w:rPr>
          <w:rFonts w:cs="Arial"/>
          <w:color w:val="000000"/>
          <w:szCs w:val="21"/>
        </w:rPr>
      </w:pPr>
      <w:bookmarkStart w:id="319" w:name="_Toc90471425"/>
      <w:r w:rsidRPr="009D55A6">
        <w:rPr>
          <w:rFonts w:cs="Arial"/>
          <w:szCs w:val="21"/>
        </w:rPr>
        <w:t>CADRE POLITIQUE, JURIDIQUE ET INSTITUTIONNEL</w:t>
      </w:r>
      <w:bookmarkEnd w:id="319"/>
    </w:p>
    <w:p w14:paraId="29B619DB" w14:textId="77777777" w:rsidR="009021F1" w:rsidRPr="009D55A6" w:rsidRDefault="009021F1" w:rsidP="009021F1">
      <w:pPr>
        <w:rPr>
          <w:rFonts w:cs="Arial"/>
          <w:szCs w:val="21"/>
        </w:rPr>
      </w:pPr>
    </w:p>
    <w:p w14:paraId="4A0AB455" w14:textId="77777777" w:rsidR="009021F1" w:rsidRPr="009D55A6" w:rsidRDefault="009021F1" w:rsidP="009021F1">
      <w:pPr>
        <w:rPr>
          <w:rFonts w:cs="Arial"/>
          <w:szCs w:val="21"/>
        </w:rPr>
      </w:pPr>
      <w:r w:rsidRPr="009D55A6">
        <w:rPr>
          <w:rFonts w:cs="Arial"/>
          <w:szCs w:val="21"/>
        </w:rPr>
        <w:t>Le présent chapitre décrit le cadre politique, juridique et institutionnel national de gestion environnementale et sociale du PNDA et présente un aperçu des Normes Environnementales et Sociales inscrites dans le nouveau Cadre Environnemental et Social de la Banque Mondiale, jugées pertinentes et applicables au Projet.</w:t>
      </w:r>
    </w:p>
    <w:p w14:paraId="17B50F8D" w14:textId="77777777" w:rsidR="009021F1" w:rsidRPr="009D55A6" w:rsidRDefault="009021F1" w:rsidP="009021F1">
      <w:pPr>
        <w:rPr>
          <w:rFonts w:cs="Arial"/>
          <w:szCs w:val="21"/>
        </w:rPr>
      </w:pPr>
    </w:p>
    <w:p w14:paraId="18225291" w14:textId="77777777" w:rsidR="009021F1" w:rsidRPr="009D55A6" w:rsidRDefault="009021F1" w:rsidP="009021F1">
      <w:pPr>
        <w:pStyle w:val="Titre2"/>
        <w:numPr>
          <w:ilvl w:val="1"/>
          <w:numId w:val="4"/>
        </w:numPr>
        <w:ind w:left="851" w:hanging="425"/>
        <w:rPr>
          <w:rFonts w:cs="Arial"/>
          <w:b/>
          <w:szCs w:val="21"/>
        </w:rPr>
      </w:pPr>
      <w:bookmarkStart w:id="320" w:name="_Toc90471426"/>
      <w:r w:rsidRPr="009D55A6">
        <w:rPr>
          <w:rFonts w:cs="Arial"/>
          <w:b/>
          <w:szCs w:val="21"/>
        </w:rPr>
        <w:t>Cadre politique et programmes en rapport avec le PNDA</w:t>
      </w:r>
      <w:bookmarkEnd w:id="320"/>
    </w:p>
    <w:p w14:paraId="77C63CF2" w14:textId="77777777" w:rsidR="009021F1" w:rsidRPr="009D55A6" w:rsidRDefault="009021F1" w:rsidP="009021F1">
      <w:pPr>
        <w:rPr>
          <w:rFonts w:cs="Arial"/>
          <w:spacing w:val="-3"/>
          <w:szCs w:val="21"/>
        </w:rPr>
      </w:pPr>
    </w:p>
    <w:p w14:paraId="0B1CF991" w14:textId="77777777" w:rsidR="009021F1" w:rsidRPr="009D55A6" w:rsidRDefault="009021F1" w:rsidP="009021F1">
      <w:pPr>
        <w:autoSpaceDE w:val="0"/>
        <w:autoSpaceDN w:val="0"/>
        <w:adjustRightInd w:val="0"/>
        <w:rPr>
          <w:rFonts w:cs="Arial"/>
          <w:bCs/>
          <w:szCs w:val="21"/>
        </w:rPr>
      </w:pPr>
      <w:r w:rsidRPr="009D55A6">
        <w:rPr>
          <w:rFonts w:cs="Arial"/>
          <w:szCs w:val="21"/>
        </w:rPr>
        <w:t xml:space="preserve">Le tableau </w:t>
      </w:r>
      <w:r>
        <w:rPr>
          <w:rFonts w:cs="Arial"/>
          <w:szCs w:val="21"/>
        </w:rPr>
        <w:t>15</w:t>
      </w:r>
      <w:r w:rsidRPr="009D55A6">
        <w:rPr>
          <w:rFonts w:cs="Arial"/>
          <w:szCs w:val="21"/>
        </w:rPr>
        <w:t xml:space="preserve"> ci-dessous se penche sur les politiques et programmes en rapport avec le PNDA. </w:t>
      </w:r>
    </w:p>
    <w:p w14:paraId="719EE7A5" w14:textId="77777777" w:rsidR="009021F1" w:rsidRPr="009D55A6" w:rsidRDefault="009021F1" w:rsidP="009021F1">
      <w:pPr>
        <w:jc w:val="left"/>
        <w:rPr>
          <w:rFonts w:cs="Arial"/>
          <w:bCs/>
          <w:sz w:val="16"/>
          <w:szCs w:val="16"/>
        </w:rPr>
      </w:pPr>
    </w:p>
    <w:p w14:paraId="78299914" w14:textId="77777777" w:rsidR="009021F1" w:rsidRPr="00982564" w:rsidRDefault="009021F1" w:rsidP="009021F1">
      <w:pPr>
        <w:jc w:val="left"/>
        <w:rPr>
          <w:rFonts w:cs="Arial"/>
          <w:bCs/>
          <w:sz w:val="22"/>
        </w:rPr>
      </w:pPr>
      <w:r w:rsidRPr="009D55A6">
        <w:rPr>
          <w:rFonts w:cs="Arial"/>
          <w:bCs/>
          <w:szCs w:val="21"/>
        </w:rPr>
        <w:t xml:space="preserve">Tableau </w:t>
      </w:r>
      <w:r w:rsidRPr="009D55A6">
        <w:rPr>
          <w:rFonts w:cs="Arial"/>
          <w:szCs w:val="21"/>
        </w:rPr>
        <w:fldChar w:fldCharType="begin"/>
      </w:r>
      <w:r w:rsidRPr="009D55A6">
        <w:rPr>
          <w:rFonts w:cs="Arial"/>
          <w:szCs w:val="21"/>
        </w:rPr>
        <w:instrText xml:space="preserve"> SEQ Tableau \* ARABIC </w:instrText>
      </w:r>
      <w:r w:rsidRPr="009D55A6">
        <w:rPr>
          <w:rFonts w:cs="Arial"/>
          <w:szCs w:val="21"/>
        </w:rPr>
        <w:fldChar w:fldCharType="separate"/>
      </w:r>
      <w:r>
        <w:rPr>
          <w:rFonts w:cs="Arial"/>
          <w:noProof/>
          <w:szCs w:val="21"/>
        </w:rPr>
        <w:t>15</w:t>
      </w:r>
      <w:r w:rsidRPr="009D55A6">
        <w:rPr>
          <w:rFonts w:cs="Arial"/>
          <w:szCs w:val="21"/>
        </w:rPr>
        <w:fldChar w:fldCharType="end"/>
      </w:r>
      <w:r w:rsidRPr="009D55A6">
        <w:rPr>
          <w:rFonts w:cs="Arial"/>
          <w:szCs w:val="21"/>
        </w:rPr>
        <w:t>.</w:t>
      </w:r>
      <w:r w:rsidRPr="009D55A6">
        <w:rPr>
          <w:rFonts w:cs="Arial"/>
          <w:bCs/>
          <w:szCs w:val="21"/>
        </w:rPr>
        <w:t xml:space="preserve"> Politiques et programmes applicables au Projet</w:t>
      </w:r>
    </w:p>
    <w:p w14:paraId="6EE28315" w14:textId="77777777" w:rsidR="009021F1" w:rsidRPr="009D55A6" w:rsidRDefault="009021F1" w:rsidP="009021F1">
      <w:pPr>
        <w:jc w:val="left"/>
        <w:rPr>
          <w:rFonts w:cs="Arial"/>
          <w:bCs/>
          <w:sz w:val="16"/>
          <w:szCs w:val="16"/>
        </w:rPr>
      </w:pPr>
    </w:p>
    <w:tbl>
      <w:tblPr>
        <w:tblpPr w:leftFromText="141" w:rightFromText="141" w:vertAnchor="text" w:tblpX="-572" w:tblpY="1"/>
        <w:tblOverlap w:val="never"/>
        <w:tblW w:w="10626" w:type="dxa"/>
        <w:tblLook w:val="04A0" w:firstRow="1" w:lastRow="0" w:firstColumn="1" w:lastColumn="0" w:noHBand="0" w:noVBand="1"/>
      </w:tblPr>
      <w:tblGrid>
        <w:gridCol w:w="2027"/>
        <w:gridCol w:w="2100"/>
        <w:gridCol w:w="3381"/>
        <w:gridCol w:w="3118"/>
      </w:tblGrid>
      <w:tr w:rsidR="009021F1" w:rsidRPr="00982564" w14:paraId="5D96FAD6" w14:textId="77777777" w:rsidTr="00E637E3">
        <w:trPr>
          <w:trHeight w:val="697"/>
          <w:tblHeader/>
        </w:trPr>
        <w:tc>
          <w:tcPr>
            <w:tcW w:w="20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CBAF59" w14:textId="77777777" w:rsidR="009021F1" w:rsidRPr="009D55A6" w:rsidRDefault="009021F1" w:rsidP="00E637E3">
            <w:pPr>
              <w:jc w:val="center"/>
              <w:rPr>
                <w:rFonts w:cs="Arial"/>
                <w:b/>
                <w:color w:val="000000"/>
                <w:sz w:val="20"/>
                <w:szCs w:val="20"/>
                <w:lang w:val="en-US" w:eastAsia="en-US"/>
              </w:rPr>
            </w:pPr>
            <w:r w:rsidRPr="009D55A6">
              <w:rPr>
                <w:rFonts w:cs="Arial"/>
                <w:b/>
                <w:color w:val="000000"/>
                <w:sz w:val="20"/>
                <w:szCs w:val="20"/>
                <w:lang w:eastAsia="en-US"/>
              </w:rPr>
              <w:t>Politiques</w:t>
            </w:r>
          </w:p>
        </w:tc>
        <w:tc>
          <w:tcPr>
            <w:tcW w:w="2100" w:type="dxa"/>
            <w:tcBorders>
              <w:top w:val="single" w:sz="4" w:space="0" w:color="auto"/>
              <w:left w:val="nil"/>
              <w:bottom w:val="single" w:sz="4" w:space="0" w:color="auto"/>
              <w:right w:val="single" w:sz="4" w:space="0" w:color="auto"/>
            </w:tcBorders>
            <w:shd w:val="clear" w:color="auto" w:fill="auto"/>
            <w:vAlign w:val="center"/>
            <w:hideMark/>
          </w:tcPr>
          <w:p w14:paraId="5B12A067" w14:textId="77777777" w:rsidR="009021F1" w:rsidRPr="009D55A6" w:rsidRDefault="009021F1" w:rsidP="00E637E3">
            <w:pPr>
              <w:jc w:val="center"/>
              <w:rPr>
                <w:rFonts w:cs="Arial"/>
                <w:b/>
                <w:color w:val="000000"/>
                <w:sz w:val="20"/>
                <w:szCs w:val="20"/>
                <w:lang w:val="en-US" w:eastAsia="en-US"/>
              </w:rPr>
            </w:pPr>
            <w:r w:rsidRPr="009D55A6">
              <w:rPr>
                <w:rFonts w:cs="Arial"/>
                <w:b/>
                <w:color w:val="000000"/>
                <w:sz w:val="20"/>
                <w:szCs w:val="20"/>
                <w:lang w:eastAsia="en-US"/>
              </w:rPr>
              <w:t>Niveau opérationnel</w:t>
            </w:r>
          </w:p>
        </w:tc>
        <w:tc>
          <w:tcPr>
            <w:tcW w:w="3381" w:type="dxa"/>
            <w:tcBorders>
              <w:top w:val="single" w:sz="4" w:space="0" w:color="auto"/>
              <w:left w:val="nil"/>
              <w:bottom w:val="single" w:sz="4" w:space="0" w:color="auto"/>
              <w:right w:val="single" w:sz="4" w:space="0" w:color="auto"/>
            </w:tcBorders>
            <w:shd w:val="clear" w:color="auto" w:fill="auto"/>
            <w:vAlign w:val="center"/>
            <w:hideMark/>
          </w:tcPr>
          <w:p w14:paraId="74A07CAA" w14:textId="77777777" w:rsidR="009021F1" w:rsidRPr="009D55A6" w:rsidRDefault="009021F1" w:rsidP="00E637E3">
            <w:pPr>
              <w:jc w:val="center"/>
              <w:rPr>
                <w:rFonts w:cs="Arial"/>
                <w:b/>
                <w:color w:val="000000"/>
                <w:sz w:val="20"/>
                <w:szCs w:val="20"/>
                <w:lang w:val="en-US" w:eastAsia="en-US"/>
              </w:rPr>
            </w:pPr>
            <w:r w:rsidRPr="009D55A6">
              <w:rPr>
                <w:rFonts w:cs="Arial"/>
                <w:b/>
                <w:color w:val="000000"/>
                <w:sz w:val="20"/>
                <w:szCs w:val="20"/>
                <w:lang w:eastAsia="en-US"/>
              </w:rPr>
              <w:t>Dispositions et orientations</w:t>
            </w:r>
          </w:p>
        </w:tc>
        <w:tc>
          <w:tcPr>
            <w:tcW w:w="3118" w:type="dxa"/>
            <w:tcBorders>
              <w:top w:val="single" w:sz="4" w:space="0" w:color="auto"/>
              <w:left w:val="nil"/>
              <w:bottom w:val="single" w:sz="4" w:space="0" w:color="auto"/>
              <w:right w:val="single" w:sz="4" w:space="0" w:color="auto"/>
            </w:tcBorders>
          </w:tcPr>
          <w:p w14:paraId="4BDB7028" w14:textId="77777777" w:rsidR="009021F1" w:rsidRPr="009D55A6" w:rsidRDefault="009021F1" w:rsidP="00E637E3">
            <w:pPr>
              <w:jc w:val="center"/>
              <w:rPr>
                <w:rFonts w:cs="Arial"/>
                <w:b/>
                <w:color w:val="000000"/>
                <w:sz w:val="20"/>
                <w:szCs w:val="20"/>
                <w:lang w:eastAsia="en-US"/>
              </w:rPr>
            </w:pPr>
          </w:p>
          <w:p w14:paraId="3C6A85AC" w14:textId="77777777" w:rsidR="009021F1" w:rsidRPr="009D55A6" w:rsidRDefault="009021F1" w:rsidP="00E637E3">
            <w:pPr>
              <w:jc w:val="center"/>
              <w:rPr>
                <w:rFonts w:cs="Arial"/>
                <w:b/>
                <w:color w:val="000000"/>
                <w:sz w:val="20"/>
                <w:szCs w:val="20"/>
                <w:lang w:eastAsia="en-US"/>
              </w:rPr>
            </w:pPr>
            <w:r w:rsidRPr="009D55A6">
              <w:rPr>
                <w:rFonts w:cs="Arial"/>
                <w:b/>
                <w:color w:val="000000"/>
                <w:sz w:val="20"/>
                <w:szCs w:val="20"/>
                <w:lang w:eastAsia="en-US"/>
              </w:rPr>
              <w:t>Pertinence dans le cadre du PNDA</w:t>
            </w:r>
          </w:p>
        </w:tc>
      </w:tr>
      <w:tr w:rsidR="009021F1" w:rsidRPr="00982564" w14:paraId="5F7783F6" w14:textId="77777777" w:rsidTr="00E637E3">
        <w:trPr>
          <w:trHeight w:val="2368"/>
        </w:trPr>
        <w:tc>
          <w:tcPr>
            <w:tcW w:w="2027" w:type="dxa"/>
            <w:vMerge w:val="restart"/>
            <w:tcBorders>
              <w:top w:val="nil"/>
              <w:left w:val="single" w:sz="4" w:space="0" w:color="auto"/>
              <w:bottom w:val="single" w:sz="4" w:space="0" w:color="000000"/>
              <w:right w:val="single" w:sz="4" w:space="0" w:color="auto"/>
            </w:tcBorders>
            <w:shd w:val="clear" w:color="auto" w:fill="auto"/>
            <w:vAlign w:val="center"/>
            <w:hideMark/>
          </w:tcPr>
          <w:p w14:paraId="0421DE67" w14:textId="77777777" w:rsidR="009021F1" w:rsidRPr="009D55A6" w:rsidRDefault="009021F1" w:rsidP="00E637E3">
            <w:pPr>
              <w:jc w:val="left"/>
              <w:rPr>
                <w:rFonts w:cs="Arial"/>
                <w:color w:val="000000"/>
                <w:sz w:val="20"/>
                <w:szCs w:val="20"/>
                <w:lang w:val="en-US" w:eastAsia="en-US"/>
              </w:rPr>
            </w:pPr>
            <w:r w:rsidRPr="009D55A6">
              <w:rPr>
                <w:rFonts w:cs="Arial"/>
                <w:color w:val="000000"/>
                <w:sz w:val="20"/>
                <w:szCs w:val="20"/>
                <w:lang w:eastAsia="en-US"/>
              </w:rPr>
              <w:t>Politique et programmes environnementaux</w:t>
            </w:r>
          </w:p>
        </w:tc>
        <w:tc>
          <w:tcPr>
            <w:tcW w:w="2100" w:type="dxa"/>
            <w:tcBorders>
              <w:top w:val="nil"/>
              <w:left w:val="nil"/>
              <w:bottom w:val="single" w:sz="4" w:space="0" w:color="auto"/>
              <w:right w:val="single" w:sz="4" w:space="0" w:color="auto"/>
            </w:tcBorders>
            <w:shd w:val="clear" w:color="auto" w:fill="auto"/>
            <w:vAlign w:val="center"/>
            <w:hideMark/>
          </w:tcPr>
          <w:p w14:paraId="225DD628" w14:textId="77777777" w:rsidR="009021F1" w:rsidRPr="009D55A6" w:rsidRDefault="009021F1" w:rsidP="00E637E3">
            <w:pPr>
              <w:jc w:val="left"/>
              <w:rPr>
                <w:rFonts w:cs="Arial"/>
                <w:color w:val="000000"/>
                <w:sz w:val="20"/>
                <w:szCs w:val="20"/>
                <w:lang w:eastAsia="en-US"/>
              </w:rPr>
            </w:pPr>
            <w:r w:rsidRPr="009D55A6">
              <w:rPr>
                <w:rFonts w:cs="Arial"/>
                <w:color w:val="000000"/>
                <w:sz w:val="20"/>
                <w:szCs w:val="20"/>
                <w:lang w:eastAsia="en-US"/>
              </w:rPr>
              <w:t>Plan National d’Actions Environnementales (PNAE)</w:t>
            </w:r>
          </w:p>
        </w:tc>
        <w:tc>
          <w:tcPr>
            <w:tcW w:w="3381" w:type="dxa"/>
            <w:tcBorders>
              <w:top w:val="nil"/>
              <w:left w:val="nil"/>
              <w:bottom w:val="single" w:sz="4" w:space="0" w:color="auto"/>
              <w:right w:val="single" w:sz="4" w:space="0" w:color="auto"/>
            </w:tcBorders>
            <w:shd w:val="clear" w:color="auto" w:fill="auto"/>
            <w:vAlign w:val="center"/>
            <w:hideMark/>
          </w:tcPr>
          <w:p w14:paraId="04ED93FA" w14:textId="77777777" w:rsidR="009021F1" w:rsidRPr="009D55A6" w:rsidRDefault="009021F1" w:rsidP="00E637E3">
            <w:pPr>
              <w:rPr>
                <w:rFonts w:cs="Arial"/>
                <w:color w:val="000000"/>
                <w:sz w:val="20"/>
                <w:szCs w:val="20"/>
                <w:lang w:eastAsia="en-US"/>
              </w:rPr>
            </w:pPr>
            <w:r w:rsidRPr="009D55A6">
              <w:rPr>
                <w:rFonts w:cs="Arial"/>
                <w:color w:val="000000"/>
                <w:sz w:val="20"/>
                <w:szCs w:val="20"/>
                <w:lang w:eastAsia="en-US"/>
              </w:rPr>
              <w:t>Le PNAE, élaboré en 1997, met un accent particulier sur la dégradation et l’érosion des sols dues aux mauvaises pratiques culturales ; la pollution de l’air et de l’atmosphère provenant, à de degrés divers, des activités agricoles et énergétiques des installations classées et des industries ; la déforestation, l’exploitation forestière illégale, le braconnage intensif et l’exploitation minière sauvage dans certaines aires protégées. Le PNAE insiste sur l’urgence d’élaborer le cadre juridique de la protection de l’environnement et de développer les procédures relatives aux ÉIES.</w:t>
            </w:r>
          </w:p>
        </w:tc>
        <w:tc>
          <w:tcPr>
            <w:tcW w:w="3118" w:type="dxa"/>
            <w:tcBorders>
              <w:top w:val="nil"/>
              <w:left w:val="nil"/>
              <w:bottom w:val="single" w:sz="4" w:space="0" w:color="auto"/>
              <w:right w:val="single" w:sz="4" w:space="0" w:color="auto"/>
            </w:tcBorders>
          </w:tcPr>
          <w:p w14:paraId="29529053" w14:textId="77777777" w:rsidR="009021F1" w:rsidRPr="009D55A6" w:rsidRDefault="009021F1" w:rsidP="00E637E3">
            <w:pPr>
              <w:rPr>
                <w:rFonts w:cs="Arial"/>
                <w:color w:val="000000"/>
                <w:sz w:val="20"/>
                <w:szCs w:val="20"/>
                <w:lang w:eastAsia="en-US"/>
              </w:rPr>
            </w:pPr>
            <w:r w:rsidRPr="009D55A6">
              <w:rPr>
                <w:rFonts w:cs="Arial"/>
                <w:color w:val="000000"/>
                <w:sz w:val="20"/>
                <w:szCs w:val="20"/>
                <w:lang w:eastAsia="en-US"/>
              </w:rPr>
              <w:t>Le PNAE est pertinent dans le cadre du PNDA dans le sens que ce dernier est un projet de développement agricole par lequel ses activités agricoles notamment les travaux d’irrigation, la réhabilitation des pistes rurales, la construction des dépôts, des marchés, etc. vont impacter plusieurs composantes de l’environnement notamment le sol, l’air, l’eau, le foret, la faune, l’homme. Le PNAE insiste sur la protection de l’environnement à travers l’élaboration des instruments de sauvegarde et la mise en application de ceux-ci selon le respect de la législation nationale en la matière</w:t>
            </w:r>
          </w:p>
        </w:tc>
      </w:tr>
      <w:tr w:rsidR="009021F1" w:rsidRPr="00982564" w14:paraId="175F36AA" w14:textId="77777777" w:rsidTr="00E637E3">
        <w:trPr>
          <w:trHeight w:val="558"/>
        </w:trPr>
        <w:tc>
          <w:tcPr>
            <w:tcW w:w="2027" w:type="dxa"/>
            <w:vMerge/>
            <w:tcBorders>
              <w:top w:val="nil"/>
              <w:left w:val="single" w:sz="4" w:space="0" w:color="auto"/>
              <w:bottom w:val="single" w:sz="4" w:space="0" w:color="000000"/>
              <w:right w:val="single" w:sz="4" w:space="0" w:color="auto"/>
            </w:tcBorders>
            <w:vAlign w:val="center"/>
            <w:hideMark/>
          </w:tcPr>
          <w:p w14:paraId="070E5CF9" w14:textId="77777777" w:rsidR="009021F1" w:rsidRPr="009D55A6" w:rsidRDefault="009021F1" w:rsidP="00E637E3">
            <w:pPr>
              <w:jc w:val="left"/>
              <w:rPr>
                <w:rFonts w:cs="Arial"/>
                <w:color w:val="000000"/>
                <w:sz w:val="20"/>
                <w:szCs w:val="20"/>
                <w:lang w:eastAsia="en-US"/>
              </w:rPr>
            </w:pPr>
          </w:p>
        </w:tc>
        <w:tc>
          <w:tcPr>
            <w:tcW w:w="2100" w:type="dxa"/>
            <w:tcBorders>
              <w:top w:val="nil"/>
              <w:left w:val="nil"/>
              <w:bottom w:val="single" w:sz="4" w:space="0" w:color="auto"/>
              <w:right w:val="single" w:sz="4" w:space="0" w:color="auto"/>
            </w:tcBorders>
            <w:shd w:val="clear" w:color="auto" w:fill="auto"/>
            <w:vAlign w:val="center"/>
            <w:hideMark/>
          </w:tcPr>
          <w:p w14:paraId="4D115F73" w14:textId="77777777" w:rsidR="009021F1" w:rsidRPr="009D55A6" w:rsidRDefault="009021F1" w:rsidP="00E637E3">
            <w:pPr>
              <w:jc w:val="left"/>
              <w:rPr>
                <w:rFonts w:cs="Arial"/>
                <w:color w:val="000000"/>
                <w:sz w:val="20"/>
                <w:szCs w:val="20"/>
                <w:lang w:eastAsia="en-US"/>
              </w:rPr>
            </w:pPr>
            <w:r w:rsidRPr="009D55A6">
              <w:rPr>
                <w:rFonts w:cs="Arial"/>
                <w:color w:val="000000"/>
                <w:sz w:val="20"/>
                <w:szCs w:val="20"/>
                <w:lang w:eastAsia="en-US"/>
              </w:rPr>
              <w:t>Stratégie nationale et le Plan d’actions de la Diversité biologique</w:t>
            </w:r>
          </w:p>
        </w:tc>
        <w:tc>
          <w:tcPr>
            <w:tcW w:w="3381" w:type="dxa"/>
            <w:tcBorders>
              <w:top w:val="nil"/>
              <w:left w:val="nil"/>
              <w:bottom w:val="single" w:sz="4" w:space="0" w:color="auto"/>
              <w:right w:val="single" w:sz="4" w:space="0" w:color="auto"/>
            </w:tcBorders>
            <w:shd w:val="clear" w:color="auto" w:fill="auto"/>
            <w:vAlign w:val="center"/>
            <w:hideMark/>
          </w:tcPr>
          <w:p w14:paraId="2E8791F3" w14:textId="77777777" w:rsidR="009021F1" w:rsidRPr="009D55A6" w:rsidRDefault="009021F1" w:rsidP="00E637E3">
            <w:pPr>
              <w:rPr>
                <w:rFonts w:cs="Arial"/>
                <w:color w:val="000000"/>
                <w:sz w:val="20"/>
                <w:szCs w:val="20"/>
                <w:lang w:eastAsia="en-US"/>
              </w:rPr>
            </w:pPr>
            <w:r w:rsidRPr="009D55A6">
              <w:rPr>
                <w:rFonts w:cs="Arial"/>
                <w:color w:val="000000"/>
                <w:sz w:val="20"/>
                <w:szCs w:val="20"/>
                <w:lang w:eastAsia="en-US"/>
              </w:rPr>
              <w:t>La Stratégie nationale et le Plan d’actions de la Diversité biologique, élaborés en 1999 et actualisés en octobre 2001 constituent un cadre de référence pour la gestion durable des ressources biologiques de la RDC. Elle définit ainsi différentes stratégies pouvant mettre un terme aux activités humaines qui ont un impact négatif sur les écosystèmes naturels, à savoir : la récolte des combustibles ligneux, la pratique de l’agriculture itinérante sur brûlis, l’exploitation de bois d’œuvre et d’industrie, la récolte des produits forestiers non ligneux, la pratique des feux de brousse et l’exploitation forestière.</w:t>
            </w:r>
          </w:p>
        </w:tc>
        <w:tc>
          <w:tcPr>
            <w:tcW w:w="3118" w:type="dxa"/>
            <w:tcBorders>
              <w:top w:val="nil"/>
              <w:left w:val="nil"/>
              <w:bottom w:val="single" w:sz="4" w:space="0" w:color="auto"/>
              <w:right w:val="single" w:sz="4" w:space="0" w:color="auto"/>
            </w:tcBorders>
          </w:tcPr>
          <w:p w14:paraId="21F6E295" w14:textId="77777777" w:rsidR="009021F1" w:rsidRPr="009D55A6" w:rsidRDefault="009021F1" w:rsidP="00E637E3">
            <w:pPr>
              <w:rPr>
                <w:rFonts w:cs="Arial"/>
                <w:color w:val="000000"/>
                <w:sz w:val="20"/>
                <w:szCs w:val="20"/>
                <w:lang w:eastAsia="en-US"/>
              </w:rPr>
            </w:pPr>
            <w:r w:rsidRPr="009D55A6">
              <w:rPr>
                <w:rFonts w:cs="Arial"/>
                <w:color w:val="000000"/>
                <w:sz w:val="20"/>
                <w:szCs w:val="20"/>
                <w:lang w:eastAsia="en-US"/>
              </w:rPr>
              <w:t xml:space="preserve">Cette politique est pertinente pour le PNDA dans le sens qu’elle prône : (i) la conservation de la biodiversité ; (ii) l’utilisation durable des ressources biologiques ; et, (iii) le partage juste et équitable des avantages résultant de l’exploitation des ressources génétiques d’une part et le PNDA étant un programme agricole, ses activités risquent de toucher les aires protégées, les grandes forêts, la diversité biologique etc. Ainsi, la politique définit les différentes stratégies pouvant mettre fin aux activités agricoles qui risquent d’impacter négativement l’environnement </w:t>
            </w:r>
          </w:p>
        </w:tc>
      </w:tr>
      <w:tr w:rsidR="009021F1" w:rsidRPr="00982564" w14:paraId="07B55637" w14:textId="77777777" w:rsidTr="00E637E3">
        <w:trPr>
          <w:trHeight w:val="557"/>
        </w:trPr>
        <w:tc>
          <w:tcPr>
            <w:tcW w:w="2027" w:type="dxa"/>
            <w:vMerge/>
            <w:tcBorders>
              <w:top w:val="nil"/>
              <w:left w:val="single" w:sz="4" w:space="0" w:color="auto"/>
              <w:bottom w:val="single" w:sz="4" w:space="0" w:color="000000"/>
              <w:right w:val="single" w:sz="4" w:space="0" w:color="auto"/>
            </w:tcBorders>
            <w:vAlign w:val="center"/>
            <w:hideMark/>
          </w:tcPr>
          <w:p w14:paraId="3AC0C4A4" w14:textId="77777777" w:rsidR="009021F1" w:rsidRPr="009D55A6" w:rsidRDefault="009021F1" w:rsidP="00E637E3">
            <w:pPr>
              <w:jc w:val="left"/>
              <w:rPr>
                <w:rFonts w:cs="Arial"/>
                <w:color w:val="000000"/>
                <w:sz w:val="20"/>
                <w:szCs w:val="20"/>
                <w:lang w:eastAsia="en-US"/>
              </w:rPr>
            </w:pPr>
          </w:p>
        </w:tc>
        <w:tc>
          <w:tcPr>
            <w:tcW w:w="2100" w:type="dxa"/>
            <w:tcBorders>
              <w:top w:val="nil"/>
              <w:left w:val="nil"/>
              <w:bottom w:val="single" w:sz="4" w:space="0" w:color="auto"/>
              <w:right w:val="single" w:sz="4" w:space="0" w:color="auto"/>
            </w:tcBorders>
            <w:shd w:val="clear" w:color="auto" w:fill="auto"/>
            <w:vAlign w:val="center"/>
            <w:hideMark/>
          </w:tcPr>
          <w:p w14:paraId="104499DA" w14:textId="77777777" w:rsidR="009021F1" w:rsidRPr="009D55A6" w:rsidRDefault="009021F1" w:rsidP="00E637E3">
            <w:pPr>
              <w:jc w:val="left"/>
              <w:rPr>
                <w:rFonts w:cs="Arial"/>
                <w:color w:val="000000"/>
                <w:sz w:val="20"/>
                <w:szCs w:val="20"/>
                <w:lang w:eastAsia="en-US"/>
              </w:rPr>
            </w:pPr>
            <w:r w:rsidRPr="009D55A6">
              <w:rPr>
                <w:rFonts w:cs="Arial"/>
                <w:color w:val="000000"/>
                <w:sz w:val="20"/>
                <w:szCs w:val="20"/>
                <w:lang w:eastAsia="en-US"/>
              </w:rPr>
              <w:t>Plan d’Actions National d’Adaptation aux changements climatiques (PANA)</w:t>
            </w:r>
          </w:p>
        </w:tc>
        <w:tc>
          <w:tcPr>
            <w:tcW w:w="3381" w:type="dxa"/>
            <w:tcBorders>
              <w:top w:val="nil"/>
              <w:left w:val="nil"/>
              <w:bottom w:val="single" w:sz="4" w:space="0" w:color="auto"/>
              <w:right w:val="single" w:sz="4" w:space="0" w:color="auto"/>
            </w:tcBorders>
            <w:shd w:val="clear" w:color="auto" w:fill="auto"/>
            <w:vAlign w:val="center"/>
            <w:hideMark/>
          </w:tcPr>
          <w:p w14:paraId="32CF049B" w14:textId="77777777" w:rsidR="009021F1" w:rsidRPr="009D55A6" w:rsidRDefault="009021F1" w:rsidP="00E637E3">
            <w:pPr>
              <w:rPr>
                <w:rFonts w:cs="Arial"/>
                <w:color w:val="000000"/>
                <w:sz w:val="20"/>
                <w:szCs w:val="20"/>
                <w:lang w:eastAsia="en-US"/>
              </w:rPr>
            </w:pPr>
            <w:r w:rsidRPr="009D55A6">
              <w:rPr>
                <w:rFonts w:cs="Arial"/>
                <w:color w:val="000000"/>
                <w:sz w:val="20"/>
                <w:szCs w:val="20"/>
                <w:lang w:eastAsia="en-US"/>
              </w:rPr>
              <w:t>Le Gouvernement de la RDC, avec l’assistance des partenaires au développement (FEM, PNUD) a élaboré le PANA en 2007. Le PANA a permis, entre autres, d’établir l’inventaire des risques climatiques les plus courants ainsi que leur tendance et les mesures d’adaptation urgentes appropriées à envisager.</w:t>
            </w:r>
          </w:p>
        </w:tc>
        <w:tc>
          <w:tcPr>
            <w:tcW w:w="3118" w:type="dxa"/>
            <w:tcBorders>
              <w:top w:val="nil"/>
              <w:left w:val="nil"/>
              <w:bottom w:val="single" w:sz="4" w:space="0" w:color="auto"/>
              <w:right w:val="single" w:sz="4" w:space="0" w:color="auto"/>
            </w:tcBorders>
          </w:tcPr>
          <w:p w14:paraId="4AF081EE" w14:textId="77777777" w:rsidR="009021F1" w:rsidRPr="009D55A6" w:rsidRDefault="009021F1" w:rsidP="00E637E3">
            <w:pPr>
              <w:rPr>
                <w:rFonts w:cs="Arial"/>
                <w:color w:val="000000"/>
                <w:sz w:val="20"/>
                <w:szCs w:val="20"/>
                <w:lang w:eastAsia="en-US"/>
              </w:rPr>
            </w:pPr>
            <w:r w:rsidRPr="009D55A6">
              <w:rPr>
                <w:rFonts w:cs="Arial"/>
                <w:color w:val="000000"/>
                <w:sz w:val="20"/>
                <w:szCs w:val="20"/>
                <w:lang w:eastAsia="en-US"/>
              </w:rPr>
              <w:t>Cette politique de PANA est pertinente pour le PNDA dans le sens que les activités champêtres, d’irrigation, d’ouverture des pistes rurales vont toucher des grandes étendues des terres et des forêts qui induiraient au changement climatique. Ainsi, le PNDA va analyser les risques climatiques et proposer des mesures d’atténuation</w:t>
            </w:r>
          </w:p>
        </w:tc>
      </w:tr>
      <w:tr w:rsidR="009021F1" w:rsidRPr="00982564" w14:paraId="296A96E8" w14:textId="77777777" w:rsidTr="00E637E3">
        <w:trPr>
          <w:trHeight w:val="1250"/>
        </w:trPr>
        <w:tc>
          <w:tcPr>
            <w:tcW w:w="2027" w:type="dxa"/>
            <w:vMerge w:val="restart"/>
            <w:tcBorders>
              <w:top w:val="nil"/>
              <w:left w:val="single" w:sz="4" w:space="0" w:color="auto"/>
              <w:right w:val="single" w:sz="4" w:space="0" w:color="auto"/>
            </w:tcBorders>
            <w:vAlign w:val="center"/>
          </w:tcPr>
          <w:p w14:paraId="52B92BC9" w14:textId="77777777" w:rsidR="009021F1" w:rsidRPr="009D55A6" w:rsidRDefault="009021F1" w:rsidP="00E637E3">
            <w:pPr>
              <w:jc w:val="left"/>
              <w:rPr>
                <w:rFonts w:cs="Arial"/>
                <w:color w:val="000000"/>
                <w:sz w:val="20"/>
                <w:szCs w:val="20"/>
                <w:lang w:eastAsia="en-US"/>
              </w:rPr>
            </w:pPr>
          </w:p>
          <w:p w14:paraId="24D19384" w14:textId="77777777" w:rsidR="009021F1" w:rsidRPr="009D55A6" w:rsidRDefault="009021F1" w:rsidP="00E637E3">
            <w:pPr>
              <w:jc w:val="left"/>
              <w:rPr>
                <w:rFonts w:cs="Arial"/>
                <w:color w:val="000000"/>
                <w:sz w:val="20"/>
                <w:szCs w:val="20"/>
                <w:lang w:eastAsia="en-US"/>
              </w:rPr>
            </w:pPr>
          </w:p>
          <w:p w14:paraId="1714EC19" w14:textId="77777777" w:rsidR="009021F1" w:rsidRPr="009D55A6" w:rsidRDefault="009021F1" w:rsidP="00E637E3">
            <w:pPr>
              <w:jc w:val="left"/>
              <w:rPr>
                <w:rFonts w:cs="Arial"/>
                <w:color w:val="000000"/>
                <w:sz w:val="20"/>
                <w:szCs w:val="20"/>
                <w:lang w:eastAsia="en-US"/>
              </w:rPr>
            </w:pPr>
          </w:p>
          <w:p w14:paraId="18B236F4" w14:textId="77777777" w:rsidR="009021F1" w:rsidRPr="009D55A6" w:rsidRDefault="009021F1" w:rsidP="00E637E3">
            <w:pPr>
              <w:jc w:val="left"/>
              <w:rPr>
                <w:rFonts w:cs="Arial"/>
                <w:color w:val="000000"/>
                <w:sz w:val="20"/>
                <w:szCs w:val="20"/>
                <w:lang w:eastAsia="en-US"/>
              </w:rPr>
            </w:pPr>
          </w:p>
          <w:p w14:paraId="07F2E724" w14:textId="77777777" w:rsidR="009021F1" w:rsidRPr="009D55A6" w:rsidRDefault="009021F1" w:rsidP="00E637E3">
            <w:pPr>
              <w:jc w:val="left"/>
              <w:rPr>
                <w:rFonts w:cs="Arial"/>
                <w:color w:val="000000"/>
                <w:sz w:val="20"/>
                <w:szCs w:val="20"/>
                <w:lang w:eastAsia="en-US"/>
              </w:rPr>
            </w:pPr>
          </w:p>
          <w:p w14:paraId="0C9A01E9" w14:textId="77777777" w:rsidR="009021F1" w:rsidRPr="009D55A6" w:rsidRDefault="009021F1" w:rsidP="00E637E3">
            <w:pPr>
              <w:jc w:val="left"/>
              <w:rPr>
                <w:rFonts w:cs="Arial"/>
                <w:color w:val="000000"/>
                <w:sz w:val="20"/>
                <w:szCs w:val="20"/>
                <w:lang w:eastAsia="en-US"/>
              </w:rPr>
            </w:pPr>
          </w:p>
          <w:p w14:paraId="0B47F31B" w14:textId="77777777" w:rsidR="009021F1" w:rsidRPr="009D55A6" w:rsidRDefault="009021F1" w:rsidP="00E637E3">
            <w:pPr>
              <w:jc w:val="left"/>
              <w:rPr>
                <w:rFonts w:cs="Arial"/>
                <w:color w:val="000000"/>
                <w:sz w:val="20"/>
                <w:szCs w:val="20"/>
                <w:lang w:eastAsia="en-US"/>
              </w:rPr>
            </w:pPr>
          </w:p>
          <w:p w14:paraId="624613C5" w14:textId="77777777" w:rsidR="009021F1" w:rsidRPr="009D55A6" w:rsidRDefault="009021F1" w:rsidP="00E637E3">
            <w:pPr>
              <w:jc w:val="left"/>
              <w:rPr>
                <w:rFonts w:cs="Arial"/>
                <w:color w:val="000000"/>
                <w:sz w:val="20"/>
                <w:szCs w:val="20"/>
                <w:lang w:eastAsia="en-US"/>
              </w:rPr>
            </w:pPr>
          </w:p>
          <w:p w14:paraId="357158EA" w14:textId="77777777" w:rsidR="009021F1" w:rsidRPr="009D55A6" w:rsidRDefault="009021F1" w:rsidP="00E637E3">
            <w:pPr>
              <w:jc w:val="left"/>
              <w:rPr>
                <w:rFonts w:cs="Arial"/>
                <w:color w:val="000000"/>
                <w:sz w:val="20"/>
                <w:szCs w:val="20"/>
                <w:lang w:eastAsia="en-US"/>
              </w:rPr>
            </w:pPr>
          </w:p>
          <w:p w14:paraId="586CD582" w14:textId="77777777" w:rsidR="009021F1" w:rsidRPr="009D55A6" w:rsidRDefault="009021F1" w:rsidP="00E637E3">
            <w:pPr>
              <w:jc w:val="left"/>
              <w:rPr>
                <w:rFonts w:cs="Arial"/>
                <w:color w:val="000000"/>
                <w:sz w:val="20"/>
                <w:szCs w:val="20"/>
                <w:lang w:eastAsia="en-US"/>
              </w:rPr>
            </w:pPr>
          </w:p>
          <w:p w14:paraId="6247C786" w14:textId="77777777" w:rsidR="009021F1" w:rsidRPr="009D55A6" w:rsidRDefault="009021F1" w:rsidP="00E637E3">
            <w:pPr>
              <w:jc w:val="left"/>
              <w:rPr>
                <w:rFonts w:cs="Arial"/>
                <w:color w:val="000000"/>
                <w:sz w:val="20"/>
                <w:szCs w:val="20"/>
                <w:lang w:eastAsia="en-US"/>
              </w:rPr>
            </w:pPr>
          </w:p>
          <w:p w14:paraId="76BE3DB6" w14:textId="77777777" w:rsidR="009021F1" w:rsidRPr="009D55A6" w:rsidRDefault="009021F1" w:rsidP="00E637E3">
            <w:pPr>
              <w:jc w:val="left"/>
              <w:rPr>
                <w:rFonts w:cs="Arial"/>
                <w:color w:val="000000"/>
                <w:sz w:val="20"/>
                <w:szCs w:val="20"/>
                <w:lang w:eastAsia="en-US"/>
              </w:rPr>
            </w:pPr>
          </w:p>
          <w:p w14:paraId="7B526DBE" w14:textId="77777777" w:rsidR="009021F1" w:rsidRPr="009D55A6" w:rsidRDefault="009021F1" w:rsidP="00E637E3">
            <w:pPr>
              <w:jc w:val="left"/>
              <w:rPr>
                <w:rFonts w:cs="Arial"/>
                <w:color w:val="000000"/>
                <w:sz w:val="20"/>
                <w:szCs w:val="20"/>
                <w:lang w:eastAsia="en-US"/>
              </w:rPr>
            </w:pPr>
          </w:p>
          <w:p w14:paraId="24491154" w14:textId="77777777" w:rsidR="009021F1" w:rsidRPr="009D55A6" w:rsidRDefault="009021F1" w:rsidP="00E637E3">
            <w:pPr>
              <w:jc w:val="left"/>
              <w:rPr>
                <w:rFonts w:cs="Arial"/>
                <w:color w:val="000000"/>
                <w:sz w:val="20"/>
                <w:szCs w:val="20"/>
                <w:lang w:eastAsia="en-US"/>
              </w:rPr>
            </w:pPr>
          </w:p>
          <w:p w14:paraId="222A8E5F" w14:textId="77777777" w:rsidR="009021F1" w:rsidRPr="009D55A6" w:rsidRDefault="009021F1" w:rsidP="00E637E3">
            <w:pPr>
              <w:jc w:val="left"/>
              <w:rPr>
                <w:rFonts w:cs="Arial"/>
                <w:color w:val="000000"/>
                <w:sz w:val="20"/>
                <w:szCs w:val="20"/>
                <w:lang w:eastAsia="en-US"/>
              </w:rPr>
            </w:pPr>
          </w:p>
          <w:p w14:paraId="55A49798" w14:textId="77777777" w:rsidR="009021F1" w:rsidRPr="009D55A6" w:rsidRDefault="009021F1" w:rsidP="00E637E3">
            <w:pPr>
              <w:jc w:val="left"/>
              <w:rPr>
                <w:rFonts w:cs="Arial"/>
                <w:color w:val="000000"/>
                <w:sz w:val="20"/>
                <w:szCs w:val="20"/>
                <w:lang w:eastAsia="en-US"/>
              </w:rPr>
            </w:pPr>
          </w:p>
          <w:p w14:paraId="26588E31" w14:textId="77777777" w:rsidR="009021F1" w:rsidRPr="009D55A6" w:rsidRDefault="009021F1" w:rsidP="00E637E3">
            <w:pPr>
              <w:jc w:val="left"/>
              <w:rPr>
                <w:rFonts w:cs="Arial"/>
                <w:color w:val="000000"/>
                <w:sz w:val="20"/>
                <w:szCs w:val="20"/>
                <w:lang w:eastAsia="en-US"/>
              </w:rPr>
            </w:pPr>
          </w:p>
          <w:p w14:paraId="2E53BDD3" w14:textId="77777777" w:rsidR="009021F1" w:rsidRPr="009D55A6" w:rsidRDefault="009021F1" w:rsidP="00E637E3">
            <w:pPr>
              <w:jc w:val="left"/>
              <w:rPr>
                <w:rFonts w:cs="Arial"/>
                <w:color w:val="000000"/>
                <w:sz w:val="20"/>
                <w:szCs w:val="20"/>
                <w:lang w:eastAsia="en-US"/>
              </w:rPr>
            </w:pPr>
          </w:p>
          <w:p w14:paraId="5DA62131" w14:textId="77777777" w:rsidR="009021F1" w:rsidRPr="009D55A6" w:rsidRDefault="009021F1" w:rsidP="00E637E3">
            <w:pPr>
              <w:jc w:val="left"/>
              <w:rPr>
                <w:rFonts w:cs="Arial"/>
                <w:color w:val="000000"/>
                <w:sz w:val="20"/>
                <w:szCs w:val="20"/>
                <w:lang w:eastAsia="en-US"/>
              </w:rPr>
            </w:pPr>
          </w:p>
          <w:p w14:paraId="495430F6" w14:textId="77777777" w:rsidR="009021F1" w:rsidRPr="009D55A6" w:rsidRDefault="009021F1" w:rsidP="00E637E3">
            <w:pPr>
              <w:jc w:val="left"/>
              <w:rPr>
                <w:rFonts w:cs="Arial"/>
                <w:color w:val="000000"/>
                <w:sz w:val="20"/>
                <w:szCs w:val="20"/>
                <w:lang w:eastAsia="en-US"/>
              </w:rPr>
            </w:pPr>
          </w:p>
          <w:p w14:paraId="3DE7373E" w14:textId="77777777" w:rsidR="009021F1" w:rsidRPr="009D55A6" w:rsidRDefault="009021F1" w:rsidP="00E637E3">
            <w:pPr>
              <w:jc w:val="left"/>
              <w:rPr>
                <w:rFonts w:cs="Arial"/>
                <w:color w:val="000000"/>
                <w:sz w:val="20"/>
                <w:szCs w:val="20"/>
                <w:lang w:eastAsia="en-US"/>
              </w:rPr>
            </w:pPr>
          </w:p>
          <w:p w14:paraId="6A3F123F" w14:textId="77777777" w:rsidR="009021F1" w:rsidRPr="009D55A6" w:rsidRDefault="009021F1" w:rsidP="00E637E3">
            <w:pPr>
              <w:jc w:val="left"/>
              <w:rPr>
                <w:rFonts w:cs="Arial"/>
                <w:color w:val="000000"/>
                <w:sz w:val="20"/>
                <w:szCs w:val="20"/>
                <w:lang w:eastAsia="en-US"/>
              </w:rPr>
            </w:pPr>
          </w:p>
          <w:p w14:paraId="10ABFB18" w14:textId="77777777" w:rsidR="009021F1" w:rsidRPr="009D55A6" w:rsidRDefault="009021F1" w:rsidP="00E637E3">
            <w:pPr>
              <w:jc w:val="left"/>
              <w:rPr>
                <w:rFonts w:cs="Arial"/>
                <w:color w:val="000000"/>
                <w:sz w:val="20"/>
                <w:szCs w:val="20"/>
                <w:lang w:eastAsia="en-US"/>
              </w:rPr>
            </w:pPr>
            <w:r w:rsidRPr="009D55A6">
              <w:rPr>
                <w:rFonts w:cs="Arial"/>
                <w:color w:val="000000"/>
                <w:sz w:val="20"/>
                <w:szCs w:val="20"/>
                <w:lang w:eastAsia="en-US"/>
              </w:rPr>
              <w:t xml:space="preserve">Politique agricole </w:t>
            </w:r>
          </w:p>
        </w:tc>
        <w:tc>
          <w:tcPr>
            <w:tcW w:w="2100" w:type="dxa"/>
            <w:tcBorders>
              <w:top w:val="nil"/>
              <w:left w:val="nil"/>
              <w:bottom w:val="single" w:sz="4" w:space="0" w:color="auto"/>
              <w:right w:val="single" w:sz="4" w:space="0" w:color="auto"/>
            </w:tcBorders>
            <w:shd w:val="clear" w:color="auto" w:fill="auto"/>
            <w:vAlign w:val="center"/>
          </w:tcPr>
          <w:p w14:paraId="30CC7307" w14:textId="77777777" w:rsidR="009021F1" w:rsidRPr="009D55A6" w:rsidRDefault="009021F1" w:rsidP="00E637E3">
            <w:pPr>
              <w:jc w:val="left"/>
              <w:rPr>
                <w:rFonts w:cs="Arial"/>
                <w:color w:val="000000"/>
                <w:sz w:val="20"/>
                <w:szCs w:val="20"/>
                <w:lang w:eastAsia="en-US"/>
              </w:rPr>
            </w:pPr>
            <w:r w:rsidRPr="009D55A6">
              <w:rPr>
                <w:rFonts w:cs="Arial"/>
                <w:color w:val="000000"/>
                <w:sz w:val="20"/>
                <w:szCs w:val="20"/>
                <w:lang w:eastAsia="en-US"/>
              </w:rPr>
              <w:t>Note de politique agricole, (septembre 2007)</w:t>
            </w:r>
          </w:p>
          <w:p w14:paraId="2E65ACEF" w14:textId="77777777" w:rsidR="009021F1" w:rsidRPr="009D55A6" w:rsidRDefault="009021F1" w:rsidP="00E637E3">
            <w:pPr>
              <w:jc w:val="left"/>
              <w:rPr>
                <w:rFonts w:cs="Arial"/>
                <w:color w:val="000000"/>
                <w:sz w:val="20"/>
                <w:szCs w:val="20"/>
                <w:lang w:eastAsia="en-US"/>
              </w:rPr>
            </w:pPr>
          </w:p>
        </w:tc>
        <w:tc>
          <w:tcPr>
            <w:tcW w:w="3381" w:type="dxa"/>
            <w:tcBorders>
              <w:top w:val="nil"/>
              <w:left w:val="nil"/>
              <w:bottom w:val="single" w:sz="4" w:space="0" w:color="auto"/>
              <w:right w:val="single" w:sz="4" w:space="0" w:color="auto"/>
            </w:tcBorders>
            <w:shd w:val="clear" w:color="auto" w:fill="auto"/>
            <w:vAlign w:val="center"/>
          </w:tcPr>
          <w:p w14:paraId="0DA81B0E" w14:textId="77777777" w:rsidR="009021F1" w:rsidRPr="009D55A6" w:rsidRDefault="009021F1" w:rsidP="00E637E3">
            <w:pPr>
              <w:rPr>
                <w:rFonts w:cs="Arial"/>
                <w:sz w:val="20"/>
                <w:szCs w:val="20"/>
              </w:rPr>
            </w:pPr>
            <w:r w:rsidRPr="009D55A6">
              <w:rPr>
                <w:rFonts w:cs="Arial"/>
                <w:sz w:val="20"/>
                <w:szCs w:val="20"/>
              </w:rPr>
              <w:t>La Note de Politique Agricole constitue un cadre de référence d’orientation et de planification pour la relance et le développement durable du secteur agricole rural. Son objectif global est d’assurer la sécurité alimentaire des populations de la RDC et de réduire la pauvreté avec pour principales cibles les Organisations des Producteurs Agricoles (OPA) des sous- secteurs de la production agricole végétale, la pêche et l’élevage.</w:t>
            </w:r>
          </w:p>
          <w:p w14:paraId="05228D7B" w14:textId="77777777" w:rsidR="009021F1" w:rsidRPr="009D55A6" w:rsidRDefault="009021F1" w:rsidP="00E637E3">
            <w:pPr>
              <w:rPr>
                <w:rFonts w:cs="Arial"/>
                <w:sz w:val="20"/>
                <w:szCs w:val="20"/>
              </w:rPr>
            </w:pPr>
          </w:p>
          <w:p w14:paraId="199A4D4D" w14:textId="77777777" w:rsidR="009021F1" w:rsidRPr="009D55A6" w:rsidRDefault="009021F1" w:rsidP="00E637E3">
            <w:pPr>
              <w:rPr>
                <w:rFonts w:cs="Arial"/>
                <w:sz w:val="20"/>
                <w:szCs w:val="20"/>
              </w:rPr>
            </w:pPr>
            <w:r w:rsidRPr="009D55A6">
              <w:rPr>
                <w:rFonts w:cs="Arial"/>
                <w:sz w:val="20"/>
                <w:szCs w:val="20"/>
              </w:rPr>
              <w:t xml:space="preserve">La politique agricole se fixe les objectifs spécifiques ci-après : </w:t>
            </w:r>
            <w:r w:rsidRPr="009D55A6">
              <w:rPr>
                <w:rFonts w:cs="Arial"/>
                <w:i/>
                <w:sz w:val="20"/>
                <w:szCs w:val="20"/>
              </w:rPr>
              <w:t>(i)</w:t>
            </w:r>
            <w:r w:rsidRPr="009D55A6">
              <w:rPr>
                <w:rFonts w:cs="Arial"/>
                <w:sz w:val="20"/>
                <w:szCs w:val="20"/>
              </w:rPr>
              <w:t xml:space="preserve"> améliorer</w:t>
            </w:r>
            <w:r w:rsidRPr="009D55A6">
              <w:rPr>
                <w:rFonts w:cs="Arial"/>
                <w:spacing w:val="-8"/>
                <w:sz w:val="20"/>
                <w:szCs w:val="20"/>
              </w:rPr>
              <w:t xml:space="preserve"> </w:t>
            </w:r>
            <w:r w:rsidRPr="009D55A6">
              <w:rPr>
                <w:rFonts w:cs="Arial"/>
                <w:sz w:val="20"/>
                <w:szCs w:val="20"/>
              </w:rPr>
              <w:t>l’accès</w:t>
            </w:r>
            <w:r w:rsidRPr="009D55A6">
              <w:rPr>
                <w:rFonts w:cs="Arial"/>
                <w:spacing w:val="-9"/>
                <w:sz w:val="20"/>
                <w:szCs w:val="20"/>
              </w:rPr>
              <w:t xml:space="preserve"> </w:t>
            </w:r>
            <w:r w:rsidRPr="009D55A6">
              <w:rPr>
                <w:rFonts w:cs="Arial"/>
                <w:sz w:val="20"/>
                <w:szCs w:val="20"/>
              </w:rPr>
              <w:t>aux</w:t>
            </w:r>
            <w:r w:rsidRPr="009D55A6">
              <w:rPr>
                <w:rFonts w:cs="Arial"/>
                <w:spacing w:val="-6"/>
                <w:sz w:val="20"/>
                <w:szCs w:val="20"/>
              </w:rPr>
              <w:t xml:space="preserve"> </w:t>
            </w:r>
            <w:r w:rsidRPr="009D55A6">
              <w:rPr>
                <w:rFonts w:cs="Arial"/>
                <w:sz w:val="20"/>
                <w:szCs w:val="20"/>
              </w:rPr>
              <w:t>marchés</w:t>
            </w:r>
            <w:r w:rsidRPr="009D55A6">
              <w:rPr>
                <w:rFonts w:cs="Arial"/>
                <w:spacing w:val="-9"/>
                <w:sz w:val="20"/>
                <w:szCs w:val="20"/>
              </w:rPr>
              <w:t xml:space="preserve"> </w:t>
            </w:r>
            <w:r w:rsidRPr="009D55A6">
              <w:rPr>
                <w:rFonts w:cs="Arial"/>
                <w:sz w:val="20"/>
                <w:szCs w:val="20"/>
              </w:rPr>
              <w:t>et</w:t>
            </w:r>
            <w:r w:rsidRPr="009D55A6">
              <w:rPr>
                <w:rFonts w:cs="Arial"/>
                <w:spacing w:val="-7"/>
                <w:sz w:val="20"/>
                <w:szCs w:val="20"/>
              </w:rPr>
              <w:t xml:space="preserve"> </w:t>
            </w:r>
            <w:r w:rsidRPr="009D55A6">
              <w:rPr>
                <w:rFonts w:cs="Arial"/>
                <w:sz w:val="20"/>
                <w:szCs w:val="20"/>
              </w:rPr>
              <w:t>la</w:t>
            </w:r>
            <w:r w:rsidRPr="009D55A6">
              <w:rPr>
                <w:rFonts w:cs="Arial"/>
                <w:spacing w:val="-7"/>
                <w:sz w:val="20"/>
                <w:szCs w:val="20"/>
              </w:rPr>
              <w:t xml:space="preserve"> </w:t>
            </w:r>
            <w:r w:rsidRPr="009D55A6">
              <w:rPr>
                <w:rFonts w:cs="Arial"/>
                <w:sz w:val="20"/>
                <w:szCs w:val="20"/>
              </w:rPr>
              <w:t>valeur</w:t>
            </w:r>
            <w:r w:rsidRPr="009D55A6">
              <w:rPr>
                <w:rFonts w:cs="Arial"/>
                <w:spacing w:val="-7"/>
                <w:sz w:val="20"/>
                <w:szCs w:val="20"/>
              </w:rPr>
              <w:t xml:space="preserve"> </w:t>
            </w:r>
            <w:r w:rsidRPr="009D55A6">
              <w:rPr>
                <w:rFonts w:cs="Arial"/>
                <w:sz w:val="20"/>
                <w:szCs w:val="20"/>
              </w:rPr>
              <w:t>ajoutée</w:t>
            </w:r>
            <w:r w:rsidRPr="009D55A6">
              <w:rPr>
                <w:rFonts w:cs="Arial"/>
                <w:spacing w:val="-6"/>
                <w:sz w:val="20"/>
                <w:szCs w:val="20"/>
              </w:rPr>
              <w:t xml:space="preserve"> </w:t>
            </w:r>
            <w:r w:rsidRPr="009D55A6">
              <w:rPr>
                <w:rFonts w:cs="Arial"/>
                <w:sz w:val="20"/>
                <w:szCs w:val="20"/>
              </w:rPr>
              <w:t>des</w:t>
            </w:r>
            <w:r w:rsidRPr="009D55A6">
              <w:rPr>
                <w:rFonts w:cs="Arial"/>
                <w:spacing w:val="-9"/>
                <w:sz w:val="20"/>
                <w:szCs w:val="20"/>
              </w:rPr>
              <w:t xml:space="preserve"> </w:t>
            </w:r>
            <w:r w:rsidRPr="009D55A6">
              <w:rPr>
                <w:rFonts w:cs="Arial"/>
                <w:sz w:val="20"/>
                <w:szCs w:val="20"/>
              </w:rPr>
              <w:t>productions</w:t>
            </w:r>
            <w:r w:rsidRPr="009D55A6">
              <w:rPr>
                <w:rFonts w:cs="Arial"/>
                <w:spacing w:val="-8"/>
                <w:sz w:val="20"/>
                <w:szCs w:val="20"/>
              </w:rPr>
              <w:t xml:space="preserve"> </w:t>
            </w:r>
            <w:r w:rsidRPr="009D55A6">
              <w:rPr>
                <w:rFonts w:cs="Arial"/>
                <w:sz w:val="20"/>
                <w:szCs w:val="20"/>
              </w:rPr>
              <w:t>agricoles</w:t>
            </w:r>
            <w:r w:rsidRPr="009D55A6">
              <w:rPr>
                <w:rFonts w:cs="Arial"/>
                <w:spacing w:val="-7"/>
                <w:sz w:val="20"/>
                <w:szCs w:val="20"/>
              </w:rPr>
              <w:t xml:space="preserve"> </w:t>
            </w:r>
            <w:r w:rsidRPr="009D55A6">
              <w:rPr>
                <w:rFonts w:cs="Arial"/>
                <w:sz w:val="20"/>
                <w:szCs w:val="20"/>
              </w:rPr>
              <w:t xml:space="preserve">; </w:t>
            </w:r>
            <w:r w:rsidRPr="009D55A6">
              <w:rPr>
                <w:rFonts w:cs="Arial"/>
                <w:i/>
                <w:sz w:val="20"/>
                <w:szCs w:val="20"/>
              </w:rPr>
              <w:t>(ii)</w:t>
            </w:r>
            <w:r w:rsidRPr="009D55A6">
              <w:rPr>
                <w:rFonts w:cs="Arial"/>
                <w:sz w:val="20"/>
                <w:szCs w:val="20"/>
              </w:rPr>
              <w:t xml:space="preserve"> améliorer la productivité du secteur agricole (production vivrière, horticole et légumière, pêche,</w:t>
            </w:r>
            <w:r w:rsidRPr="009D55A6">
              <w:rPr>
                <w:rFonts w:cs="Arial"/>
                <w:spacing w:val="-1"/>
                <w:sz w:val="20"/>
                <w:szCs w:val="20"/>
              </w:rPr>
              <w:t xml:space="preserve"> </w:t>
            </w:r>
            <w:r w:rsidRPr="009D55A6">
              <w:rPr>
                <w:rFonts w:cs="Arial"/>
                <w:sz w:val="20"/>
                <w:szCs w:val="20"/>
              </w:rPr>
              <w:t xml:space="preserve">élevage) ; </w:t>
            </w:r>
            <w:r w:rsidRPr="009D55A6">
              <w:rPr>
                <w:rFonts w:cs="Arial"/>
                <w:i/>
                <w:sz w:val="20"/>
                <w:szCs w:val="20"/>
              </w:rPr>
              <w:t>(iii)</w:t>
            </w:r>
            <w:r w:rsidRPr="009D55A6">
              <w:rPr>
                <w:rFonts w:cs="Arial"/>
                <w:sz w:val="20"/>
                <w:szCs w:val="20"/>
              </w:rPr>
              <w:t xml:space="preserve"> promouvoir des systèmes financiers décentralisés et autogérés qui s’adaptent au caractère particulier du secteur</w:t>
            </w:r>
            <w:r w:rsidRPr="009D55A6">
              <w:rPr>
                <w:rFonts w:cs="Arial"/>
                <w:spacing w:val="-6"/>
                <w:sz w:val="20"/>
                <w:szCs w:val="20"/>
              </w:rPr>
              <w:t xml:space="preserve"> </w:t>
            </w:r>
            <w:r w:rsidRPr="009D55A6">
              <w:rPr>
                <w:rFonts w:cs="Arial"/>
                <w:sz w:val="20"/>
                <w:szCs w:val="20"/>
              </w:rPr>
              <w:t xml:space="preserve">agricole ; </w:t>
            </w:r>
            <w:r w:rsidRPr="009D55A6">
              <w:rPr>
                <w:rFonts w:cs="Arial"/>
                <w:i/>
                <w:sz w:val="20"/>
                <w:szCs w:val="20"/>
              </w:rPr>
              <w:t>(iv)</w:t>
            </w:r>
            <w:r w:rsidRPr="009D55A6">
              <w:rPr>
                <w:rFonts w:cs="Arial"/>
                <w:sz w:val="20"/>
                <w:szCs w:val="20"/>
              </w:rPr>
              <w:t xml:space="preserve"> renforcer</w:t>
            </w:r>
            <w:r w:rsidRPr="009D55A6">
              <w:rPr>
                <w:rFonts w:cs="Arial"/>
                <w:spacing w:val="-13"/>
                <w:sz w:val="20"/>
                <w:szCs w:val="20"/>
              </w:rPr>
              <w:t xml:space="preserve"> </w:t>
            </w:r>
            <w:r w:rsidRPr="009D55A6">
              <w:rPr>
                <w:rFonts w:cs="Arial"/>
                <w:sz w:val="20"/>
                <w:szCs w:val="20"/>
              </w:rPr>
              <w:t>les</w:t>
            </w:r>
            <w:r w:rsidRPr="009D55A6">
              <w:rPr>
                <w:rFonts w:cs="Arial"/>
                <w:spacing w:val="-13"/>
                <w:sz w:val="20"/>
                <w:szCs w:val="20"/>
              </w:rPr>
              <w:t xml:space="preserve"> </w:t>
            </w:r>
            <w:r w:rsidRPr="009D55A6">
              <w:rPr>
                <w:rFonts w:cs="Arial"/>
                <w:sz w:val="20"/>
                <w:szCs w:val="20"/>
              </w:rPr>
              <w:t>capacités</w:t>
            </w:r>
            <w:r w:rsidRPr="009D55A6">
              <w:rPr>
                <w:rFonts w:cs="Arial"/>
                <w:spacing w:val="-13"/>
                <w:sz w:val="20"/>
                <w:szCs w:val="20"/>
              </w:rPr>
              <w:t xml:space="preserve"> </w:t>
            </w:r>
            <w:r w:rsidRPr="009D55A6">
              <w:rPr>
                <w:rFonts w:cs="Arial"/>
                <w:sz w:val="20"/>
                <w:szCs w:val="20"/>
              </w:rPr>
              <w:t>techniques</w:t>
            </w:r>
            <w:r w:rsidRPr="009D55A6">
              <w:rPr>
                <w:rFonts w:cs="Arial"/>
                <w:spacing w:val="-14"/>
                <w:sz w:val="20"/>
                <w:szCs w:val="20"/>
              </w:rPr>
              <w:t xml:space="preserve"> </w:t>
            </w:r>
            <w:r w:rsidRPr="009D55A6">
              <w:rPr>
                <w:rFonts w:cs="Arial"/>
                <w:sz w:val="20"/>
                <w:szCs w:val="20"/>
              </w:rPr>
              <w:t>et</w:t>
            </w:r>
            <w:r w:rsidRPr="009D55A6">
              <w:rPr>
                <w:rFonts w:cs="Arial"/>
                <w:spacing w:val="-12"/>
                <w:sz w:val="20"/>
                <w:szCs w:val="20"/>
              </w:rPr>
              <w:t xml:space="preserve"> </w:t>
            </w:r>
            <w:r w:rsidRPr="009D55A6">
              <w:rPr>
                <w:rFonts w:cs="Arial"/>
                <w:sz w:val="20"/>
                <w:szCs w:val="20"/>
              </w:rPr>
              <w:t>organisationnelles</w:t>
            </w:r>
            <w:r w:rsidRPr="009D55A6">
              <w:rPr>
                <w:rFonts w:cs="Arial"/>
                <w:spacing w:val="-13"/>
                <w:sz w:val="20"/>
                <w:szCs w:val="20"/>
              </w:rPr>
              <w:t xml:space="preserve"> </w:t>
            </w:r>
            <w:r w:rsidRPr="009D55A6">
              <w:rPr>
                <w:rFonts w:cs="Arial"/>
                <w:sz w:val="20"/>
                <w:szCs w:val="20"/>
              </w:rPr>
              <w:t>des</w:t>
            </w:r>
            <w:r w:rsidRPr="009D55A6">
              <w:rPr>
                <w:rFonts w:cs="Arial"/>
                <w:spacing w:val="-13"/>
                <w:sz w:val="20"/>
                <w:szCs w:val="20"/>
              </w:rPr>
              <w:t xml:space="preserve"> </w:t>
            </w:r>
            <w:r w:rsidRPr="009D55A6">
              <w:rPr>
                <w:rFonts w:cs="Arial"/>
                <w:sz w:val="20"/>
                <w:szCs w:val="20"/>
              </w:rPr>
              <w:t>institutions</w:t>
            </w:r>
            <w:r w:rsidRPr="009D55A6">
              <w:rPr>
                <w:rFonts w:cs="Arial"/>
                <w:spacing w:val="-13"/>
                <w:sz w:val="20"/>
                <w:szCs w:val="20"/>
              </w:rPr>
              <w:t xml:space="preserve"> </w:t>
            </w:r>
            <w:r w:rsidRPr="009D55A6">
              <w:rPr>
                <w:rFonts w:cs="Arial"/>
                <w:sz w:val="20"/>
                <w:szCs w:val="20"/>
              </w:rPr>
              <w:t>publiques</w:t>
            </w:r>
            <w:r w:rsidRPr="009D55A6">
              <w:rPr>
                <w:rFonts w:cs="Arial"/>
                <w:spacing w:val="-13"/>
                <w:sz w:val="20"/>
                <w:szCs w:val="20"/>
              </w:rPr>
              <w:t xml:space="preserve"> </w:t>
            </w:r>
            <w:r w:rsidRPr="009D55A6">
              <w:rPr>
                <w:rFonts w:cs="Arial"/>
                <w:sz w:val="20"/>
                <w:szCs w:val="20"/>
              </w:rPr>
              <w:t>et</w:t>
            </w:r>
            <w:r w:rsidRPr="009D55A6">
              <w:rPr>
                <w:rFonts w:cs="Arial"/>
                <w:spacing w:val="-12"/>
                <w:sz w:val="20"/>
                <w:szCs w:val="20"/>
              </w:rPr>
              <w:t xml:space="preserve"> </w:t>
            </w:r>
            <w:r w:rsidRPr="009D55A6">
              <w:rPr>
                <w:rFonts w:cs="Arial"/>
                <w:sz w:val="20"/>
                <w:szCs w:val="20"/>
              </w:rPr>
              <w:t>privées d’appui à la production</w:t>
            </w:r>
            <w:r w:rsidRPr="009D55A6">
              <w:rPr>
                <w:rFonts w:cs="Arial"/>
                <w:spacing w:val="-11"/>
                <w:sz w:val="20"/>
                <w:szCs w:val="20"/>
              </w:rPr>
              <w:t xml:space="preserve"> </w:t>
            </w:r>
            <w:r w:rsidRPr="009D55A6">
              <w:rPr>
                <w:rFonts w:cs="Arial"/>
                <w:sz w:val="20"/>
                <w:szCs w:val="20"/>
              </w:rPr>
              <w:t>agricole.</w:t>
            </w:r>
          </w:p>
          <w:p w14:paraId="4F943D7E" w14:textId="77777777" w:rsidR="009021F1" w:rsidRPr="009D55A6" w:rsidRDefault="009021F1" w:rsidP="00E637E3">
            <w:pPr>
              <w:pStyle w:val="Corpsdetexte"/>
              <w:spacing w:before="6"/>
              <w:rPr>
                <w:rFonts w:cs="Arial"/>
                <w:sz w:val="20"/>
                <w:szCs w:val="20"/>
              </w:rPr>
            </w:pPr>
          </w:p>
          <w:p w14:paraId="0507DF4C" w14:textId="77777777" w:rsidR="009021F1" w:rsidRPr="009D55A6" w:rsidRDefault="009021F1" w:rsidP="00E637E3">
            <w:pPr>
              <w:rPr>
                <w:rFonts w:cs="Arial"/>
                <w:color w:val="000000"/>
                <w:sz w:val="20"/>
                <w:szCs w:val="20"/>
                <w:lang w:eastAsia="en-US"/>
              </w:rPr>
            </w:pPr>
            <w:r w:rsidRPr="009D55A6">
              <w:rPr>
                <w:rFonts w:cs="Arial"/>
                <w:sz w:val="20"/>
                <w:szCs w:val="20"/>
              </w:rPr>
              <w:t>Ces objectifs visant la réduction de la pauvreté par la relance de la production agricole et des activités connexes sont en phase avec les Objectifs du Développement Durable (ODD).</w:t>
            </w:r>
          </w:p>
        </w:tc>
        <w:tc>
          <w:tcPr>
            <w:tcW w:w="3118" w:type="dxa"/>
            <w:tcBorders>
              <w:top w:val="nil"/>
              <w:left w:val="nil"/>
              <w:bottom w:val="single" w:sz="4" w:space="0" w:color="auto"/>
              <w:right w:val="single" w:sz="4" w:space="0" w:color="auto"/>
            </w:tcBorders>
          </w:tcPr>
          <w:p w14:paraId="1A0E15E4" w14:textId="77777777" w:rsidR="009021F1" w:rsidRPr="009D55A6" w:rsidRDefault="009021F1" w:rsidP="00E637E3">
            <w:pPr>
              <w:rPr>
                <w:rFonts w:cs="Arial"/>
                <w:sz w:val="20"/>
                <w:szCs w:val="20"/>
              </w:rPr>
            </w:pPr>
            <w:r w:rsidRPr="009D55A6">
              <w:rPr>
                <w:rFonts w:cs="Arial"/>
                <w:sz w:val="20"/>
                <w:szCs w:val="20"/>
              </w:rPr>
              <w:t>Cette politique est pertinente dans le cadre du PNDA dans le sens qu’elle donne des orientations précises au programme pour la relance du développement durable afin d’assurer la sécurité alimentaire dans les provinces concernées par le PNDA</w:t>
            </w:r>
          </w:p>
        </w:tc>
      </w:tr>
      <w:tr w:rsidR="009021F1" w:rsidRPr="00982564" w14:paraId="55496BE5" w14:textId="77777777" w:rsidTr="00E637E3">
        <w:trPr>
          <w:trHeight w:val="621"/>
        </w:trPr>
        <w:tc>
          <w:tcPr>
            <w:tcW w:w="2027" w:type="dxa"/>
            <w:vMerge/>
            <w:tcBorders>
              <w:left w:val="single" w:sz="4" w:space="0" w:color="auto"/>
              <w:right w:val="single" w:sz="4" w:space="0" w:color="auto"/>
            </w:tcBorders>
            <w:vAlign w:val="center"/>
          </w:tcPr>
          <w:p w14:paraId="792C1C44" w14:textId="77777777" w:rsidR="009021F1" w:rsidRPr="009D55A6" w:rsidRDefault="009021F1" w:rsidP="00E637E3">
            <w:pPr>
              <w:jc w:val="left"/>
              <w:rPr>
                <w:rFonts w:cs="Arial"/>
                <w:color w:val="000000"/>
                <w:sz w:val="20"/>
                <w:szCs w:val="20"/>
                <w:lang w:eastAsia="en-US"/>
              </w:rPr>
            </w:pPr>
          </w:p>
        </w:tc>
        <w:tc>
          <w:tcPr>
            <w:tcW w:w="2100" w:type="dxa"/>
            <w:tcBorders>
              <w:top w:val="nil"/>
              <w:left w:val="nil"/>
              <w:bottom w:val="single" w:sz="4" w:space="0" w:color="auto"/>
              <w:right w:val="single" w:sz="4" w:space="0" w:color="auto"/>
            </w:tcBorders>
            <w:shd w:val="clear" w:color="auto" w:fill="auto"/>
            <w:vAlign w:val="center"/>
          </w:tcPr>
          <w:p w14:paraId="2C4562AD" w14:textId="77777777" w:rsidR="009021F1" w:rsidRPr="009D55A6" w:rsidRDefault="009021F1" w:rsidP="00E637E3">
            <w:pPr>
              <w:jc w:val="left"/>
              <w:rPr>
                <w:rFonts w:cs="Arial"/>
                <w:color w:val="000000"/>
                <w:sz w:val="20"/>
                <w:szCs w:val="20"/>
                <w:lang w:eastAsia="en-US"/>
              </w:rPr>
            </w:pPr>
            <w:r w:rsidRPr="009D55A6">
              <w:rPr>
                <w:rFonts w:cs="Arial"/>
                <w:color w:val="000000"/>
                <w:sz w:val="20"/>
                <w:szCs w:val="20"/>
                <w:lang w:eastAsia="en-US"/>
              </w:rPr>
              <w:t>Stratégie sectorielle de l’agriculture et du développement rural (SSADR, mars 2010)</w:t>
            </w:r>
          </w:p>
        </w:tc>
        <w:tc>
          <w:tcPr>
            <w:tcW w:w="3381" w:type="dxa"/>
            <w:tcBorders>
              <w:top w:val="nil"/>
              <w:left w:val="nil"/>
              <w:bottom w:val="single" w:sz="4" w:space="0" w:color="auto"/>
              <w:right w:val="single" w:sz="4" w:space="0" w:color="auto"/>
            </w:tcBorders>
            <w:shd w:val="clear" w:color="auto" w:fill="auto"/>
            <w:vAlign w:val="center"/>
          </w:tcPr>
          <w:p w14:paraId="7CE757FE" w14:textId="77777777" w:rsidR="009021F1" w:rsidRPr="009D55A6" w:rsidRDefault="009021F1" w:rsidP="00E637E3">
            <w:pPr>
              <w:rPr>
                <w:rFonts w:cs="Arial"/>
                <w:sz w:val="20"/>
                <w:szCs w:val="20"/>
              </w:rPr>
            </w:pPr>
            <w:r w:rsidRPr="009D55A6">
              <w:rPr>
                <w:rFonts w:cs="Arial"/>
                <w:sz w:val="20"/>
                <w:szCs w:val="20"/>
              </w:rPr>
              <w:t>La SSADR a été formulé, avec les orientations stratégiques sont les suivantes : une recherche agricole à grande échelle ; la vulgarisation des innovations technologiques respectueuses de l’environnement ; l’affectation des budgets adéquats dans le contexte de la décentralisation ; la structuration et l’organisation du monde rural tenant compte de la dimension genre ; la mise en œuvre du plan de restructuration des services de l’agriculture et du développement rural ; la promotion des systèmes financiers adaptés à la nature des activités du secteur ; l’expansion de l’infrastructure publique pour viabiliser les sites de production ; la relance du secteur agricole pour la promotion d’une agriculture vivrière, du type familial et industriel ; l’appropriation du développement local par les communautés de base.</w:t>
            </w:r>
          </w:p>
        </w:tc>
        <w:tc>
          <w:tcPr>
            <w:tcW w:w="3118" w:type="dxa"/>
            <w:tcBorders>
              <w:top w:val="nil"/>
              <w:left w:val="nil"/>
              <w:bottom w:val="single" w:sz="4" w:space="0" w:color="auto"/>
              <w:right w:val="single" w:sz="4" w:space="0" w:color="auto"/>
            </w:tcBorders>
          </w:tcPr>
          <w:p w14:paraId="5227A09C" w14:textId="77777777" w:rsidR="009021F1" w:rsidRPr="009D55A6" w:rsidRDefault="009021F1" w:rsidP="00E637E3">
            <w:pPr>
              <w:rPr>
                <w:rFonts w:cs="Arial"/>
                <w:sz w:val="20"/>
                <w:szCs w:val="20"/>
              </w:rPr>
            </w:pPr>
            <w:r w:rsidRPr="009D55A6">
              <w:rPr>
                <w:rFonts w:cs="Arial"/>
                <w:sz w:val="20"/>
                <w:szCs w:val="20"/>
              </w:rPr>
              <w:t>Cette politique est pertinente pour le PNDA dans le sens que ce dernier introduit des innovations technologiques dans la pratique agricoles.</w:t>
            </w:r>
          </w:p>
        </w:tc>
      </w:tr>
      <w:tr w:rsidR="009021F1" w:rsidRPr="00982564" w14:paraId="03BCE057" w14:textId="77777777" w:rsidTr="00E637E3">
        <w:trPr>
          <w:trHeight w:val="1250"/>
        </w:trPr>
        <w:tc>
          <w:tcPr>
            <w:tcW w:w="2027" w:type="dxa"/>
            <w:vMerge/>
            <w:tcBorders>
              <w:left w:val="single" w:sz="4" w:space="0" w:color="auto"/>
              <w:right w:val="single" w:sz="4" w:space="0" w:color="auto"/>
            </w:tcBorders>
            <w:vAlign w:val="center"/>
          </w:tcPr>
          <w:p w14:paraId="7CBD0741" w14:textId="77777777" w:rsidR="009021F1" w:rsidRPr="009D55A6" w:rsidRDefault="009021F1" w:rsidP="00E637E3">
            <w:pPr>
              <w:jc w:val="left"/>
              <w:rPr>
                <w:rFonts w:cs="Arial"/>
                <w:color w:val="000000"/>
                <w:sz w:val="20"/>
                <w:szCs w:val="20"/>
                <w:lang w:eastAsia="en-US"/>
              </w:rPr>
            </w:pPr>
          </w:p>
        </w:tc>
        <w:tc>
          <w:tcPr>
            <w:tcW w:w="2100" w:type="dxa"/>
            <w:tcBorders>
              <w:top w:val="nil"/>
              <w:left w:val="nil"/>
              <w:bottom w:val="single" w:sz="4" w:space="0" w:color="auto"/>
              <w:right w:val="single" w:sz="4" w:space="0" w:color="auto"/>
            </w:tcBorders>
            <w:shd w:val="clear" w:color="auto" w:fill="auto"/>
            <w:vAlign w:val="center"/>
          </w:tcPr>
          <w:p w14:paraId="7ACC4B5C" w14:textId="77777777" w:rsidR="009021F1" w:rsidRPr="009D55A6" w:rsidRDefault="009021F1" w:rsidP="00E637E3">
            <w:pPr>
              <w:jc w:val="left"/>
              <w:rPr>
                <w:rFonts w:cs="Arial"/>
                <w:color w:val="000000"/>
                <w:sz w:val="20"/>
                <w:szCs w:val="20"/>
                <w:lang w:eastAsia="en-US"/>
              </w:rPr>
            </w:pPr>
            <w:r w:rsidRPr="009D55A6">
              <w:rPr>
                <w:rFonts w:cs="Arial"/>
                <w:color w:val="000000"/>
                <w:sz w:val="20"/>
                <w:szCs w:val="20"/>
                <w:lang w:eastAsia="en-US"/>
              </w:rPr>
              <w:t>Programme National de Sécurité Alimentaire (PNSA, 2009)</w:t>
            </w:r>
          </w:p>
        </w:tc>
        <w:tc>
          <w:tcPr>
            <w:tcW w:w="3381" w:type="dxa"/>
            <w:tcBorders>
              <w:top w:val="nil"/>
              <w:left w:val="nil"/>
              <w:bottom w:val="single" w:sz="4" w:space="0" w:color="auto"/>
              <w:right w:val="single" w:sz="4" w:space="0" w:color="auto"/>
            </w:tcBorders>
            <w:shd w:val="clear" w:color="auto" w:fill="auto"/>
            <w:vAlign w:val="center"/>
          </w:tcPr>
          <w:p w14:paraId="0A740747" w14:textId="77777777" w:rsidR="009021F1" w:rsidRPr="009D55A6" w:rsidRDefault="009021F1" w:rsidP="00E637E3">
            <w:pPr>
              <w:rPr>
                <w:rFonts w:cs="Arial"/>
                <w:sz w:val="20"/>
                <w:szCs w:val="20"/>
              </w:rPr>
            </w:pPr>
            <w:r w:rsidRPr="009D55A6">
              <w:rPr>
                <w:rFonts w:cs="Arial"/>
                <w:sz w:val="20"/>
                <w:szCs w:val="20"/>
              </w:rPr>
              <w:t>L’objectif global du PNSA vise à contribuer de façon durable à lutter contre l’insécurité alimentaire et à améliorer les conditions de vie des populations par l’augmentation des productions et des revenus des ménages. Les objectifs spécifiques du Programme devant permettre l’atteinte de cet objectif global sont : Accroître les volumes des productions agricoles grâce à l’amélioration de la productivité, de la diversification des productions et la sécurisation des systèmes de production ; Valoriser les produits végétaux, halieutiques, animaux et forestiers non ligneux par l’amélioration des techniques de stockage, de conservation et de transformation ; Améliorer l’accès aux denrées alimentaires et l’état nutritionnel et sanitaire des populations ; Renforcer les capacités des structures d’appui aux producteurs ; Améliorer les capacités des ménages à aborder toutes les dimensions de la sécurité alimentaire et nutritionnelle en leur sein et dans la communauté.</w:t>
            </w:r>
          </w:p>
        </w:tc>
        <w:tc>
          <w:tcPr>
            <w:tcW w:w="3118" w:type="dxa"/>
            <w:tcBorders>
              <w:top w:val="nil"/>
              <w:left w:val="nil"/>
              <w:bottom w:val="single" w:sz="4" w:space="0" w:color="auto"/>
              <w:right w:val="single" w:sz="4" w:space="0" w:color="auto"/>
            </w:tcBorders>
          </w:tcPr>
          <w:p w14:paraId="2047F634" w14:textId="77777777" w:rsidR="009021F1" w:rsidRPr="009D55A6" w:rsidRDefault="009021F1" w:rsidP="00E637E3">
            <w:pPr>
              <w:rPr>
                <w:rFonts w:cs="Arial"/>
                <w:sz w:val="20"/>
                <w:szCs w:val="20"/>
              </w:rPr>
            </w:pPr>
            <w:r w:rsidRPr="009D55A6">
              <w:rPr>
                <w:rFonts w:cs="Arial"/>
                <w:sz w:val="20"/>
                <w:szCs w:val="20"/>
              </w:rPr>
              <w:t>Le PNSA est pertinente pour le PNDA dans le sens qu’il contribue à lutter contre l’insécurité alimentaire et à améliorer les conditions de vie des populations. Cet objectif est également visé par le PNDA</w:t>
            </w:r>
          </w:p>
        </w:tc>
      </w:tr>
      <w:tr w:rsidR="009021F1" w:rsidRPr="00982564" w14:paraId="04A5ADDB" w14:textId="77777777" w:rsidTr="00E637E3">
        <w:trPr>
          <w:trHeight w:val="1250"/>
        </w:trPr>
        <w:tc>
          <w:tcPr>
            <w:tcW w:w="2027" w:type="dxa"/>
            <w:vMerge/>
            <w:tcBorders>
              <w:left w:val="single" w:sz="4" w:space="0" w:color="auto"/>
              <w:right w:val="single" w:sz="4" w:space="0" w:color="auto"/>
            </w:tcBorders>
            <w:vAlign w:val="center"/>
          </w:tcPr>
          <w:p w14:paraId="7FF72CF6" w14:textId="77777777" w:rsidR="009021F1" w:rsidRPr="009D55A6" w:rsidRDefault="009021F1" w:rsidP="00E637E3">
            <w:pPr>
              <w:jc w:val="left"/>
              <w:rPr>
                <w:rFonts w:cs="Arial"/>
                <w:color w:val="000000"/>
                <w:sz w:val="20"/>
                <w:szCs w:val="20"/>
                <w:lang w:eastAsia="en-US"/>
              </w:rPr>
            </w:pPr>
          </w:p>
        </w:tc>
        <w:tc>
          <w:tcPr>
            <w:tcW w:w="2100" w:type="dxa"/>
            <w:tcBorders>
              <w:top w:val="nil"/>
              <w:left w:val="nil"/>
              <w:bottom w:val="single" w:sz="4" w:space="0" w:color="auto"/>
              <w:right w:val="single" w:sz="4" w:space="0" w:color="auto"/>
            </w:tcBorders>
            <w:shd w:val="clear" w:color="auto" w:fill="auto"/>
            <w:vAlign w:val="center"/>
          </w:tcPr>
          <w:p w14:paraId="4884E4E2" w14:textId="77777777" w:rsidR="009021F1" w:rsidRPr="009D55A6" w:rsidRDefault="009021F1" w:rsidP="00E637E3">
            <w:pPr>
              <w:jc w:val="left"/>
              <w:rPr>
                <w:rFonts w:cs="Arial"/>
                <w:color w:val="000000"/>
                <w:sz w:val="20"/>
                <w:szCs w:val="20"/>
                <w:lang w:eastAsia="en-US"/>
              </w:rPr>
            </w:pPr>
            <w:r w:rsidRPr="009D55A6">
              <w:rPr>
                <w:rFonts w:cs="Arial"/>
                <w:color w:val="000000"/>
                <w:sz w:val="20"/>
                <w:szCs w:val="20"/>
                <w:lang w:eastAsia="en-US"/>
              </w:rPr>
              <w:t>Plans de Développement Agricole Provinciaux (PDAP)</w:t>
            </w:r>
          </w:p>
        </w:tc>
        <w:tc>
          <w:tcPr>
            <w:tcW w:w="3381" w:type="dxa"/>
            <w:tcBorders>
              <w:top w:val="nil"/>
              <w:left w:val="nil"/>
              <w:bottom w:val="single" w:sz="4" w:space="0" w:color="auto"/>
              <w:right w:val="single" w:sz="4" w:space="0" w:color="auto"/>
            </w:tcBorders>
            <w:shd w:val="clear" w:color="auto" w:fill="auto"/>
            <w:vAlign w:val="center"/>
          </w:tcPr>
          <w:p w14:paraId="2D4D9456" w14:textId="77777777" w:rsidR="009021F1" w:rsidRPr="009D55A6" w:rsidRDefault="009021F1" w:rsidP="00E637E3">
            <w:pPr>
              <w:rPr>
                <w:rFonts w:cs="Arial"/>
                <w:sz w:val="20"/>
                <w:szCs w:val="20"/>
              </w:rPr>
            </w:pPr>
            <w:r w:rsidRPr="009D55A6">
              <w:rPr>
                <w:rFonts w:cs="Arial"/>
                <w:sz w:val="20"/>
                <w:szCs w:val="20"/>
              </w:rPr>
              <w:t>Avec l’appui de la Banque africaine de développement (BAD), une étude du secteur agricole a été réalisée pour élaborer un plan directeur de développement qui permette de relancer, sur une base durable, le secteur agricole congolais. Cette étude a débouché sur la confection de Plans de Développement Agricole Provinciaux (PDAP), reflétant ainsi l’esprit de la décentralisation qui laisse une large part des initiatives de développement aux provinces, notamment au Kongo Central, Kasaï Central, Kasaï, Kwilu et Nord-Kivu</w:t>
            </w:r>
          </w:p>
        </w:tc>
        <w:tc>
          <w:tcPr>
            <w:tcW w:w="3118" w:type="dxa"/>
            <w:tcBorders>
              <w:top w:val="nil"/>
              <w:left w:val="nil"/>
              <w:bottom w:val="single" w:sz="4" w:space="0" w:color="auto"/>
              <w:right w:val="single" w:sz="4" w:space="0" w:color="auto"/>
            </w:tcBorders>
          </w:tcPr>
          <w:p w14:paraId="14405FBE" w14:textId="77777777" w:rsidR="009021F1" w:rsidRPr="009D55A6" w:rsidRDefault="009021F1" w:rsidP="00E637E3">
            <w:pPr>
              <w:rPr>
                <w:rFonts w:cs="Arial"/>
                <w:sz w:val="20"/>
                <w:szCs w:val="20"/>
              </w:rPr>
            </w:pPr>
            <w:r w:rsidRPr="009D55A6">
              <w:rPr>
                <w:rFonts w:cs="Arial"/>
                <w:sz w:val="20"/>
                <w:szCs w:val="20"/>
              </w:rPr>
              <w:t>Le PDAP est pertinente pour le PNDA dans le sens qu’ils fournissent des informations réelles (problèmes d’infrastructures agricoles, renforcement des capacités des acteurs du secteur agricole, etc.) identifiées préalablement dans le secteur agricole et propose des besoins prioritaires pour la relance agricole dans les provinces concernées par le PNDA</w:t>
            </w:r>
          </w:p>
        </w:tc>
      </w:tr>
      <w:tr w:rsidR="009021F1" w:rsidRPr="00982564" w14:paraId="67D7AE90" w14:textId="77777777" w:rsidTr="00E637E3">
        <w:trPr>
          <w:trHeight w:val="287"/>
        </w:trPr>
        <w:tc>
          <w:tcPr>
            <w:tcW w:w="2027" w:type="dxa"/>
            <w:vMerge/>
            <w:tcBorders>
              <w:left w:val="single" w:sz="4" w:space="0" w:color="auto"/>
              <w:right w:val="single" w:sz="4" w:space="0" w:color="auto"/>
            </w:tcBorders>
            <w:vAlign w:val="center"/>
          </w:tcPr>
          <w:p w14:paraId="630B5604" w14:textId="77777777" w:rsidR="009021F1" w:rsidRPr="009D55A6" w:rsidRDefault="009021F1" w:rsidP="00E637E3">
            <w:pPr>
              <w:jc w:val="left"/>
              <w:rPr>
                <w:rFonts w:cs="Arial"/>
                <w:color w:val="000000"/>
                <w:sz w:val="20"/>
                <w:szCs w:val="20"/>
                <w:lang w:eastAsia="en-US"/>
              </w:rPr>
            </w:pPr>
          </w:p>
        </w:tc>
        <w:tc>
          <w:tcPr>
            <w:tcW w:w="2100" w:type="dxa"/>
            <w:tcBorders>
              <w:top w:val="nil"/>
              <w:left w:val="nil"/>
              <w:bottom w:val="single" w:sz="4" w:space="0" w:color="auto"/>
              <w:right w:val="single" w:sz="4" w:space="0" w:color="auto"/>
            </w:tcBorders>
            <w:shd w:val="clear" w:color="auto" w:fill="auto"/>
            <w:vAlign w:val="center"/>
          </w:tcPr>
          <w:p w14:paraId="44EFBEC7" w14:textId="77777777" w:rsidR="009021F1" w:rsidRPr="009D55A6" w:rsidRDefault="009021F1" w:rsidP="00E637E3">
            <w:pPr>
              <w:jc w:val="left"/>
              <w:rPr>
                <w:rFonts w:cs="Arial"/>
                <w:color w:val="000000"/>
                <w:sz w:val="20"/>
                <w:szCs w:val="20"/>
                <w:lang w:eastAsia="en-US"/>
              </w:rPr>
            </w:pPr>
            <w:r w:rsidRPr="009D55A6">
              <w:rPr>
                <w:rFonts w:cs="Arial"/>
                <w:color w:val="000000"/>
                <w:sz w:val="20"/>
                <w:szCs w:val="20"/>
                <w:lang w:eastAsia="en-US"/>
              </w:rPr>
              <w:t>Plan National d’Investissement Agricole (PNIA)</w:t>
            </w:r>
          </w:p>
        </w:tc>
        <w:tc>
          <w:tcPr>
            <w:tcW w:w="3381" w:type="dxa"/>
            <w:tcBorders>
              <w:top w:val="nil"/>
              <w:left w:val="nil"/>
              <w:bottom w:val="single" w:sz="4" w:space="0" w:color="auto"/>
              <w:right w:val="single" w:sz="4" w:space="0" w:color="auto"/>
            </w:tcBorders>
            <w:shd w:val="clear" w:color="auto" w:fill="auto"/>
            <w:vAlign w:val="center"/>
          </w:tcPr>
          <w:p w14:paraId="3C76C4A4" w14:textId="77777777" w:rsidR="009021F1" w:rsidRPr="009D55A6" w:rsidRDefault="009021F1" w:rsidP="00E637E3">
            <w:pPr>
              <w:rPr>
                <w:rFonts w:cs="Arial"/>
                <w:sz w:val="20"/>
                <w:szCs w:val="20"/>
              </w:rPr>
            </w:pPr>
            <w:r w:rsidRPr="009D55A6">
              <w:rPr>
                <w:rFonts w:cs="Arial"/>
                <w:sz w:val="20"/>
                <w:szCs w:val="20"/>
              </w:rPr>
              <w:t>Le Plan National d’Investissement Agricole (PNIA) de la RDC est le cadre national de planification des fonds nationaux et extérieurs pour le secteur de l’agriculture et du développement rural. Il prend en compte les besoins, les acquis, les gaps à rechercher pour l’investissement et le fonctionnement du secteur sur un horizon de huit ans (2013 – 2020)</w:t>
            </w:r>
          </w:p>
        </w:tc>
        <w:tc>
          <w:tcPr>
            <w:tcW w:w="3118" w:type="dxa"/>
            <w:tcBorders>
              <w:top w:val="nil"/>
              <w:left w:val="nil"/>
              <w:bottom w:val="single" w:sz="4" w:space="0" w:color="auto"/>
              <w:right w:val="single" w:sz="4" w:space="0" w:color="auto"/>
            </w:tcBorders>
          </w:tcPr>
          <w:p w14:paraId="33629415" w14:textId="77777777" w:rsidR="009021F1" w:rsidRPr="009D55A6" w:rsidRDefault="009021F1" w:rsidP="00E637E3">
            <w:pPr>
              <w:rPr>
                <w:rFonts w:cs="Arial"/>
                <w:sz w:val="20"/>
                <w:szCs w:val="20"/>
              </w:rPr>
            </w:pPr>
            <w:r w:rsidRPr="009D55A6">
              <w:rPr>
                <w:rFonts w:cs="Arial"/>
                <w:sz w:val="20"/>
                <w:szCs w:val="20"/>
              </w:rPr>
              <w:t>Le PNIA est également pertinent pour le PNDA dans le sens qu’il fournit des besoins, les acquis, les gaps pour l’investissement national agricole de la RDC.</w:t>
            </w:r>
          </w:p>
        </w:tc>
      </w:tr>
      <w:tr w:rsidR="009021F1" w:rsidRPr="00982564" w14:paraId="32A4CBC1" w14:textId="77777777" w:rsidTr="00E637E3">
        <w:trPr>
          <w:trHeight w:val="530"/>
        </w:trPr>
        <w:tc>
          <w:tcPr>
            <w:tcW w:w="2027" w:type="dxa"/>
            <w:vMerge/>
            <w:tcBorders>
              <w:left w:val="single" w:sz="4" w:space="0" w:color="auto"/>
              <w:right w:val="single" w:sz="4" w:space="0" w:color="auto"/>
            </w:tcBorders>
            <w:shd w:val="clear" w:color="auto" w:fill="auto"/>
            <w:vAlign w:val="center"/>
          </w:tcPr>
          <w:p w14:paraId="5850A859" w14:textId="77777777" w:rsidR="009021F1" w:rsidRPr="009D55A6" w:rsidRDefault="009021F1" w:rsidP="00E637E3">
            <w:pPr>
              <w:jc w:val="left"/>
              <w:rPr>
                <w:rFonts w:cs="Arial"/>
                <w:color w:val="000000"/>
                <w:sz w:val="20"/>
                <w:szCs w:val="20"/>
                <w:lang w:eastAsia="en-US"/>
              </w:rPr>
            </w:pPr>
          </w:p>
        </w:tc>
        <w:tc>
          <w:tcPr>
            <w:tcW w:w="2100" w:type="dxa"/>
            <w:tcBorders>
              <w:top w:val="nil"/>
              <w:left w:val="nil"/>
              <w:bottom w:val="single" w:sz="4" w:space="0" w:color="auto"/>
              <w:right w:val="single" w:sz="4" w:space="0" w:color="auto"/>
            </w:tcBorders>
            <w:shd w:val="clear" w:color="auto" w:fill="auto"/>
            <w:vAlign w:val="center"/>
          </w:tcPr>
          <w:p w14:paraId="29573699" w14:textId="77777777" w:rsidR="009021F1" w:rsidRPr="009D55A6" w:rsidRDefault="009021F1" w:rsidP="00E637E3">
            <w:pPr>
              <w:jc w:val="left"/>
              <w:rPr>
                <w:rFonts w:cs="Arial"/>
                <w:color w:val="000000"/>
                <w:sz w:val="20"/>
                <w:szCs w:val="20"/>
                <w:lang w:eastAsia="en-US"/>
              </w:rPr>
            </w:pPr>
            <w:r w:rsidRPr="009D55A6">
              <w:rPr>
                <w:rFonts w:cs="Arial"/>
                <w:color w:val="000000"/>
                <w:sz w:val="20"/>
                <w:szCs w:val="20"/>
                <w:lang w:eastAsia="en-US"/>
              </w:rPr>
              <w:t>Plan d’actions pour l'amélioration de la gestion des pesticides</w:t>
            </w:r>
          </w:p>
        </w:tc>
        <w:tc>
          <w:tcPr>
            <w:tcW w:w="3381" w:type="dxa"/>
            <w:tcBorders>
              <w:top w:val="nil"/>
              <w:left w:val="nil"/>
              <w:bottom w:val="single" w:sz="4" w:space="0" w:color="auto"/>
              <w:right w:val="single" w:sz="4" w:space="0" w:color="auto"/>
            </w:tcBorders>
            <w:shd w:val="clear" w:color="auto" w:fill="auto"/>
            <w:vAlign w:val="center"/>
          </w:tcPr>
          <w:p w14:paraId="11D66460" w14:textId="77777777" w:rsidR="009021F1" w:rsidRPr="009D55A6" w:rsidRDefault="009021F1" w:rsidP="00E637E3">
            <w:pPr>
              <w:rPr>
                <w:rFonts w:cs="Arial"/>
                <w:color w:val="000000"/>
                <w:sz w:val="20"/>
                <w:szCs w:val="20"/>
                <w:lang w:eastAsia="en-US"/>
              </w:rPr>
            </w:pPr>
            <w:r w:rsidRPr="009D55A6">
              <w:rPr>
                <w:rFonts w:cs="Arial"/>
                <w:color w:val="000000"/>
                <w:sz w:val="20"/>
                <w:szCs w:val="20"/>
                <w:lang w:eastAsia="en-US"/>
              </w:rPr>
              <w:t>Pour s’adapter et répondre aux exigences internationales en matière de gestion rationnelle des pesticides, la RDC a élaboré un Plan d’actions pour l'amélioration de la gestion des pesticides dont les grandes lignes se présentent comme suit :</w:t>
            </w:r>
          </w:p>
          <w:p w14:paraId="68D573B7" w14:textId="77777777" w:rsidR="009021F1" w:rsidRPr="009D55A6" w:rsidRDefault="009021F1" w:rsidP="00E637E3">
            <w:pPr>
              <w:pStyle w:val="Paragraphedeliste"/>
              <w:numPr>
                <w:ilvl w:val="0"/>
                <w:numId w:val="101"/>
              </w:numPr>
              <w:ind w:left="155" w:hanging="142"/>
              <w:rPr>
                <w:rFonts w:cs="Arial"/>
                <w:color w:val="000000"/>
                <w:sz w:val="20"/>
                <w:szCs w:val="20"/>
                <w:lang w:eastAsia="en-US"/>
              </w:rPr>
            </w:pPr>
            <w:r w:rsidRPr="009D55A6">
              <w:rPr>
                <w:rFonts w:cs="Arial"/>
                <w:color w:val="000000"/>
                <w:sz w:val="20"/>
                <w:szCs w:val="20"/>
                <w:lang w:eastAsia="en-US"/>
              </w:rPr>
              <w:t xml:space="preserve">l'amélioration des conditions de l’exécution des attributions des services de la gestion des pesticides au niveau des provinces en s’appuyant sur l’application de la Loi portant sur principes fondamentaux relatifs à l’Agriculture et sur le Décret portant réglementation phytosanitaire ; </w:t>
            </w:r>
          </w:p>
          <w:p w14:paraId="5FC52033" w14:textId="77777777" w:rsidR="009021F1" w:rsidRPr="009D55A6" w:rsidRDefault="009021F1" w:rsidP="00E637E3">
            <w:pPr>
              <w:pStyle w:val="Paragraphedeliste"/>
              <w:numPr>
                <w:ilvl w:val="0"/>
                <w:numId w:val="101"/>
              </w:numPr>
              <w:ind w:left="155" w:hanging="142"/>
              <w:rPr>
                <w:rFonts w:cs="Arial"/>
                <w:color w:val="000000"/>
                <w:sz w:val="20"/>
                <w:szCs w:val="20"/>
                <w:lang w:eastAsia="en-US"/>
              </w:rPr>
            </w:pPr>
            <w:r w:rsidRPr="009D55A6">
              <w:rPr>
                <w:rFonts w:cs="Arial"/>
                <w:color w:val="000000"/>
                <w:sz w:val="20"/>
                <w:szCs w:val="20"/>
                <w:lang w:eastAsia="en-US"/>
              </w:rPr>
              <w:t xml:space="preserve">l'amélioration de la coordination provinciale par le renforcement de moyens de communication et de moyens d’investigation et la mise en place d’un réseau de circulation rapide de l’information ; </w:t>
            </w:r>
          </w:p>
          <w:p w14:paraId="287133DF" w14:textId="77777777" w:rsidR="009021F1" w:rsidRPr="009D55A6" w:rsidRDefault="009021F1" w:rsidP="00E637E3">
            <w:pPr>
              <w:pStyle w:val="Paragraphedeliste"/>
              <w:numPr>
                <w:ilvl w:val="0"/>
                <w:numId w:val="101"/>
              </w:numPr>
              <w:ind w:left="155" w:hanging="142"/>
              <w:rPr>
                <w:rFonts w:cs="Arial"/>
                <w:color w:val="000000"/>
                <w:sz w:val="20"/>
                <w:szCs w:val="20"/>
                <w:lang w:eastAsia="en-US"/>
              </w:rPr>
            </w:pPr>
            <w:r w:rsidRPr="009D55A6">
              <w:rPr>
                <w:rFonts w:cs="Arial"/>
                <w:color w:val="000000"/>
                <w:sz w:val="20"/>
                <w:szCs w:val="20"/>
                <w:lang w:eastAsia="en-US"/>
              </w:rPr>
              <w:t xml:space="preserve">le renforcement du réseau d’inspection et de contrôle provincial et central ; </w:t>
            </w:r>
          </w:p>
          <w:p w14:paraId="19DFC8B5" w14:textId="77777777" w:rsidR="009021F1" w:rsidRPr="009D55A6" w:rsidRDefault="009021F1" w:rsidP="00E637E3">
            <w:pPr>
              <w:pStyle w:val="Paragraphedeliste"/>
              <w:numPr>
                <w:ilvl w:val="0"/>
                <w:numId w:val="101"/>
              </w:numPr>
              <w:ind w:left="155" w:hanging="142"/>
              <w:rPr>
                <w:rFonts w:cs="Arial"/>
                <w:color w:val="000000"/>
                <w:sz w:val="20"/>
                <w:szCs w:val="20"/>
                <w:lang w:eastAsia="en-US"/>
              </w:rPr>
            </w:pPr>
            <w:r w:rsidRPr="009D55A6">
              <w:rPr>
                <w:rFonts w:cs="Arial"/>
                <w:color w:val="000000"/>
                <w:sz w:val="20"/>
                <w:szCs w:val="20"/>
                <w:lang w:eastAsia="en-US"/>
              </w:rPr>
              <w:t xml:space="preserve">la formation et le renforcement de capacité des intervenants du secteur en gestion des pesticides ; </w:t>
            </w:r>
          </w:p>
          <w:p w14:paraId="3923814D" w14:textId="77777777" w:rsidR="009021F1" w:rsidRPr="009D55A6" w:rsidRDefault="009021F1" w:rsidP="00E637E3">
            <w:pPr>
              <w:pStyle w:val="Paragraphedeliste"/>
              <w:numPr>
                <w:ilvl w:val="0"/>
                <w:numId w:val="101"/>
              </w:numPr>
              <w:ind w:left="155" w:hanging="142"/>
              <w:rPr>
                <w:rFonts w:cs="Arial"/>
                <w:color w:val="000000"/>
                <w:sz w:val="20"/>
                <w:szCs w:val="20"/>
                <w:lang w:eastAsia="en-US"/>
              </w:rPr>
            </w:pPr>
            <w:r w:rsidRPr="009D55A6">
              <w:rPr>
                <w:rFonts w:cs="Arial"/>
                <w:color w:val="000000"/>
                <w:sz w:val="20"/>
                <w:szCs w:val="20"/>
                <w:lang w:eastAsia="en-US"/>
              </w:rPr>
              <w:t>la formation et la sensibilisation des producteurs et des agriculteurs à travers les champs écoles paysans par la promotion de la gestion intégrée des pesticides (utilisation, stockage, transport et élimination des contenants et l’appui aux organisations paysannes ;</w:t>
            </w:r>
          </w:p>
          <w:p w14:paraId="22242DA2" w14:textId="77777777" w:rsidR="009021F1" w:rsidRPr="009D55A6" w:rsidRDefault="009021F1" w:rsidP="00E637E3">
            <w:pPr>
              <w:pStyle w:val="Paragraphedeliste"/>
              <w:numPr>
                <w:ilvl w:val="0"/>
                <w:numId w:val="101"/>
              </w:numPr>
              <w:ind w:left="155" w:hanging="142"/>
              <w:rPr>
                <w:rFonts w:cs="Arial"/>
                <w:color w:val="000000"/>
                <w:sz w:val="20"/>
                <w:szCs w:val="20"/>
                <w:lang w:eastAsia="en-US"/>
              </w:rPr>
            </w:pPr>
            <w:r w:rsidRPr="009D55A6">
              <w:rPr>
                <w:rFonts w:cs="Arial"/>
                <w:color w:val="000000"/>
                <w:sz w:val="20"/>
                <w:szCs w:val="20"/>
                <w:lang w:eastAsia="en-US"/>
              </w:rPr>
              <w:t>la sensibilisation et l’information des populations ;</w:t>
            </w:r>
          </w:p>
          <w:p w14:paraId="60F75E57" w14:textId="77777777" w:rsidR="009021F1" w:rsidRPr="009D55A6" w:rsidRDefault="009021F1" w:rsidP="00E637E3">
            <w:pPr>
              <w:pStyle w:val="Paragraphedeliste"/>
              <w:numPr>
                <w:ilvl w:val="0"/>
                <w:numId w:val="101"/>
              </w:numPr>
              <w:ind w:left="155" w:hanging="142"/>
              <w:rPr>
                <w:rFonts w:cs="Arial"/>
                <w:color w:val="000000"/>
                <w:sz w:val="20"/>
                <w:szCs w:val="20"/>
                <w:lang w:eastAsia="en-US"/>
              </w:rPr>
            </w:pPr>
            <w:r w:rsidRPr="009D55A6">
              <w:rPr>
                <w:rFonts w:cs="Arial"/>
                <w:color w:val="000000"/>
                <w:sz w:val="20"/>
                <w:szCs w:val="20"/>
                <w:lang w:eastAsia="en-US"/>
              </w:rPr>
              <w:t>la mise sur pied en partenariat avec le Ministère en charge de l’environnement et le secteur privé importateur des pesticides, le mécanisme de récupération et d’élimination des pesticides obsolètes.</w:t>
            </w:r>
          </w:p>
        </w:tc>
        <w:tc>
          <w:tcPr>
            <w:tcW w:w="3118" w:type="dxa"/>
            <w:tcBorders>
              <w:top w:val="nil"/>
              <w:left w:val="nil"/>
              <w:bottom w:val="single" w:sz="4" w:space="0" w:color="auto"/>
              <w:right w:val="single" w:sz="4" w:space="0" w:color="auto"/>
            </w:tcBorders>
          </w:tcPr>
          <w:p w14:paraId="0CEB1C2E" w14:textId="77777777" w:rsidR="009021F1" w:rsidRPr="009D55A6" w:rsidRDefault="009021F1" w:rsidP="00E637E3">
            <w:pPr>
              <w:rPr>
                <w:rFonts w:cs="Arial"/>
                <w:color w:val="000000"/>
                <w:sz w:val="20"/>
                <w:szCs w:val="20"/>
                <w:lang w:eastAsia="en-US"/>
              </w:rPr>
            </w:pPr>
            <w:r w:rsidRPr="009D55A6">
              <w:rPr>
                <w:rFonts w:cs="Arial"/>
                <w:color w:val="000000"/>
                <w:sz w:val="20"/>
                <w:szCs w:val="20"/>
                <w:lang w:eastAsia="en-US"/>
              </w:rPr>
              <w:t>Etant donné que le PNDA va élaborer un plan de gestion de pesticide (PGP) pour ses activités agricoles, le Plan d’actions pour l’amélioration de la gestion des pesticides va fournir au PNDA les modalités d’exécution et de gestion rationnelle de pesticide conformément aux exigences internationales</w:t>
            </w:r>
          </w:p>
        </w:tc>
      </w:tr>
      <w:tr w:rsidR="009021F1" w:rsidRPr="00982564" w14:paraId="4009A104" w14:textId="77777777" w:rsidTr="00E637E3">
        <w:trPr>
          <w:trHeight w:val="530"/>
        </w:trPr>
        <w:tc>
          <w:tcPr>
            <w:tcW w:w="2027" w:type="dxa"/>
            <w:vMerge/>
            <w:tcBorders>
              <w:left w:val="single" w:sz="4" w:space="0" w:color="auto"/>
              <w:bottom w:val="single" w:sz="4" w:space="0" w:color="auto"/>
              <w:right w:val="single" w:sz="4" w:space="0" w:color="auto"/>
            </w:tcBorders>
            <w:shd w:val="clear" w:color="auto" w:fill="auto"/>
            <w:vAlign w:val="center"/>
          </w:tcPr>
          <w:p w14:paraId="77298A0B" w14:textId="77777777" w:rsidR="009021F1" w:rsidRPr="009D55A6" w:rsidRDefault="009021F1" w:rsidP="00E637E3">
            <w:pPr>
              <w:jc w:val="left"/>
              <w:rPr>
                <w:rFonts w:cs="Arial"/>
                <w:color w:val="000000"/>
                <w:sz w:val="20"/>
                <w:szCs w:val="20"/>
                <w:lang w:eastAsia="en-US"/>
              </w:rPr>
            </w:pPr>
          </w:p>
        </w:tc>
        <w:tc>
          <w:tcPr>
            <w:tcW w:w="2100" w:type="dxa"/>
            <w:tcBorders>
              <w:top w:val="nil"/>
              <w:left w:val="nil"/>
              <w:bottom w:val="single" w:sz="4" w:space="0" w:color="auto"/>
              <w:right w:val="single" w:sz="4" w:space="0" w:color="auto"/>
            </w:tcBorders>
            <w:shd w:val="clear" w:color="auto" w:fill="auto"/>
            <w:vAlign w:val="center"/>
          </w:tcPr>
          <w:p w14:paraId="0FA1CD86" w14:textId="77777777" w:rsidR="009021F1" w:rsidRPr="009D55A6" w:rsidRDefault="009021F1" w:rsidP="00E637E3">
            <w:pPr>
              <w:jc w:val="left"/>
              <w:rPr>
                <w:rFonts w:cs="Arial"/>
                <w:color w:val="000000"/>
                <w:sz w:val="20"/>
                <w:szCs w:val="20"/>
                <w:lang w:eastAsia="en-US"/>
              </w:rPr>
            </w:pPr>
            <w:r w:rsidRPr="009D55A6">
              <w:rPr>
                <w:rFonts w:cs="Arial"/>
                <w:color w:val="000000"/>
                <w:sz w:val="20"/>
                <w:szCs w:val="20"/>
                <w:lang w:eastAsia="en-US"/>
              </w:rPr>
              <w:t xml:space="preserve">Service National des Fertilisants et Intrants Connexes </w:t>
            </w:r>
          </w:p>
          <w:p w14:paraId="4D56352B" w14:textId="77777777" w:rsidR="009021F1" w:rsidRPr="009D55A6" w:rsidRDefault="009021F1" w:rsidP="00E637E3">
            <w:pPr>
              <w:jc w:val="left"/>
              <w:rPr>
                <w:rFonts w:cs="Arial"/>
                <w:color w:val="000000"/>
                <w:sz w:val="20"/>
                <w:szCs w:val="20"/>
                <w:lang w:val="fr-BE" w:eastAsia="en-US"/>
              </w:rPr>
            </w:pPr>
          </w:p>
        </w:tc>
        <w:tc>
          <w:tcPr>
            <w:tcW w:w="3381" w:type="dxa"/>
            <w:tcBorders>
              <w:top w:val="nil"/>
              <w:left w:val="nil"/>
              <w:bottom w:val="single" w:sz="4" w:space="0" w:color="auto"/>
              <w:right w:val="single" w:sz="4" w:space="0" w:color="auto"/>
            </w:tcBorders>
            <w:shd w:val="clear" w:color="auto" w:fill="auto"/>
            <w:vAlign w:val="center"/>
          </w:tcPr>
          <w:p w14:paraId="7F4281E4" w14:textId="77777777" w:rsidR="009021F1" w:rsidRPr="009D55A6" w:rsidRDefault="009021F1" w:rsidP="00E637E3">
            <w:pPr>
              <w:autoSpaceDE w:val="0"/>
              <w:adjustRightInd w:val="0"/>
              <w:rPr>
                <w:rFonts w:cs="Arial"/>
                <w:color w:val="000000"/>
                <w:sz w:val="20"/>
                <w:szCs w:val="20"/>
                <w:lang w:eastAsia="en-US"/>
              </w:rPr>
            </w:pPr>
            <w:r w:rsidRPr="009D55A6">
              <w:rPr>
                <w:rFonts w:eastAsia="Calibri" w:cs="Arial"/>
                <w:color w:val="000000"/>
                <w:sz w:val="20"/>
                <w:szCs w:val="20"/>
                <w:lang w:val="fr-BE" w:eastAsia="en-US"/>
              </w:rPr>
              <w:t>C’est un service spécialisé relevant du Ministère de l’Agriculture et régi par l’arrêté départemental n° 001/BCE/AGRI/90 du 13 janvier 1990. L</w:t>
            </w:r>
            <w:r w:rsidRPr="009D55A6">
              <w:rPr>
                <w:rFonts w:cs="Arial"/>
                <w:sz w:val="20"/>
                <w:szCs w:val="20"/>
              </w:rPr>
              <w:t>a fonction de contrôle des engrais et pesticides et de surveillance phytosanitaire lui est normalement dévolue.</w:t>
            </w:r>
          </w:p>
        </w:tc>
        <w:tc>
          <w:tcPr>
            <w:tcW w:w="3118" w:type="dxa"/>
            <w:tcBorders>
              <w:top w:val="nil"/>
              <w:left w:val="nil"/>
              <w:bottom w:val="single" w:sz="4" w:space="0" w:color="auto"/>
              <w:right w:val="single" w:sz="4" w:space="0" w:color="auto"/>
            </w:tcBorders>
          </w:tcPr>
          <w:p w14:paraId="357E0EC6" w14:textId="77777777" w:rsidR="009021F1" w:rsidRPr="009D55A6" w:rsidRDefault="009021F1" w:rsidP="00E637E3">
            <w:pPr>
              <w:autoSpaceDE w:val="0"/>
              <w:adjustRightInd w:val="0"/>
              <w:rPr>
                <w:rFonts w:eastAsia="Calibri" w:cs="Arial"/>
                <w:color w:val="000000"/>
                <w:sz w:val="20"/>
                <w:szCs w:val="20"/>
                <w:lang w:val="fr-BE" w:eastAsia="en-US"/>
              </w:rPr>
            </w:pPr>
            <w:r w:rsidRPr="009D55A6">
              <w:rPr>
                <w:rFonts w:eastAsia="Calibri" w:cs="Arial"/>
                <w:color w:val="000000"/>
                <w:sz w:val="20"/>
                <w:szCs w:val="20"/>
                <w:lang w:val="fr-BE" w:eastAsia="en-US"/>
              </w:rPr>
              <w:t>Etant donné que les activités du PNDA vont induire à l’utilisation de fertilisants et intrants, le service National des Fertilisants et Intrants Connexes va aider le Programme à faire le contrôle des engrais et pesticides ainsi qu’une surveillance phytosanitaire d’une façon périodique.</w:t>
            </w:r>
          </w:p>
        </w:tc>
      </w:tr>
      <w:tr w:rsidR="009021F1" w:rsidRPr="00982564" w14:paraId="6587E193" w14:textId="77777777" w:rsidTr="00E637E3">
        <w:trPr>
          <w:trHeight w:val="530"/>
        </w:trPr>
        <w:tc>
          <w:tcPr>
            <w:tcW w:w="2027" w:type="dxa"/>
            <w:tcBorders>
              <w:top w:val="nil"/>
              <w:left w:val="single" w:sz="4" w:space="0" w:color="auto"/>
              <w:bottom w:val="single" w:sz="4" w:space="0" w:color="auto"/>
              <w:right w:val="single" w:sz="4" w:space="0" w:color="auto"/>
            </w:tcBorders>
            <w:shd w:val="clear" w:color="auto" w:fill="auto"/>
            <w:vAlign w:val="center"/>
            <w:hideMark/>
          </w:tcPr>
          <w:p w14:paraId="4C72DD2F" w14:textId="77777777" w:rsidR="009021F1" w:rsidRPr="009D55A6" w:rsidRDefault="009021F1" w:rsidP="00E637E3">
            <w:pPr>
              <w:jc w:val="left"/>
              <w:rPr>
                <w:rFonts w:cs="Arial"/>
                <w:color w:val="000000"/>
                <w:sz w:val="20"/>
                <w:szCs w:val="20"/>
                <w:lang w:eastAsia="en-US"/>
              </w:rPr>
            </w:pPr>
            <w:r w:rsidRPr="009D55A6">
              <w:rPr>
                <w:rFonts w:cs="Arial"/>
                <w:color w:val="000000"/>
                <w:sz w:val="20"/>
                <w:szCs w:val="20"/>
                <w:lang w:eastAsia="en-US"/>
              </w:rPr>
              <w:t>Politique et programmes économiques et sociaux</w:t>
            </w:r>
          </w:p>
        </w:tc>
        <w:tc>
          <w:tcPr>
            <w:tcW w:w="2100" w:type="dxa"/>
            <w:tcBorders>
              <w:top w:val="nil"/>
              <w:left w:val="nil"/>
              <w:bottom w:val="single" w:sz="4" w:space="0" w:color="auto"/>
              <w:right w:val="single" w:sz="4" w:space="0" w:color="auto"/>
            </w:tcBorders>
            <w:shd w:val="clear" w:color="auto" w:fill="auto"/>
            <w:vAlign w:val="center"/>
            <w:hideMark/>
          </w:tcPr>
          <w:p w14:paraId="6D9C3FE5" w14:textId="77777777" w:rsidR="009021F1" w:rsidRPr="009D55A6" w:rsidRDefault="009021F1" w:rsidP="00E637E3">
            <w:pPr>
              <w:jc w:val="left"/>
              <w:rPr>
                <w:rFonts w:cs="Arial"/>
                <w:color w:val="000000"/>
                <w:sz w:val="20"/>
                <w:szCs w:val="20"/>
                <w:lang w:eastAsia="en-US"/>
              </w:rPr>
            </w:pPr>
            <w:r w:rsidRPr="009D55A6">
              <w:rPr>
                <w:rFonts w:cs="Arial"/>
                <w:color w:val="000000"/>
                <w:sz w:val="20"/>
                <w:szCs w:val="20"/>
                <w:lang w:eastAsia="en-US"/>
              </w:rPr>
              <w:t>Document de Stratégie de Croissance et de Réduction de la Pauvreté (DSCRP)</w:t>
            </w:r>
          </w:p>
        </w:tc>
        <w:tc>
          <w:tcPr>
            <w:tcW w:w="3381" w:type="dxa"/>
            <w:tcBorders>
              <w:top w:val="nil"/>
              <w:left w:val="nil"/>
              <w:bottom w:val="single" w:sz="4" w:space="0" w:color="auto"/>
              <w:right w:val="single" w:sz="4" w:space="0" w:color="auto"/>
            </w:tcBorders>
            <w:shd w:val="clear" w:color="auto" w:fill="auto"/>
            <w:vAlign w:val="center"/>
            <w:hideMark/>
          </w:tcPr>
          <w:p w14:paraId="1E4C1CA5" w14:textId="77777777" w:rsidR="009021F1" w:rsidRPr="009D55A6" w:rsidRDefault="009021F1" w:rsidP="00E637E3">
            <w:pPr>
              <w:rPr>
                <w:rFonts w:cs="Arial"/>
                <w:color w:val="000000"/>
                <w:sz w:val="20"/>
                <w:szCs w:val="20"/>
                <w:lang w:eastAsia="en-US"/>
              </w:rPr>
            </w:pPr>
            <w:r w:rsidRPr="009D55A6">
              <w:rPr>
                <w:rFonts w:cs="Arial"/>
                <w:color w:val="000000"/>
                <w:sz w:val="20"/>
                <w:szCs w:val="20"/>
                <w:lang w:eastAsia="en-US"/>
              </w:rPr>
              <w:t>La DSCRP, deuxième génération, (élaborée en Septembre 2011), constitue le seul cadre fédérateur de l’ensemble des politiques macroéconomiques et sectorielles pour le prochain quinquennat (2011-2015). Pour assurer une stabilité durable et soutenir une croissance forte, la présente stratégie repose sur quatre (4) piliers comportant chacun des axes stratégiques clairs et des actions prioritaires pour leur mise en œuvre. Ainsi, sur la base de la vision du DSCRP 2, des piliers ont été bâtis comme suit : Pilier 1 « Renforcer la gouvernance et la paix » ; Pilier 2                       « Diversifier l’économie, accélérer la croissance et promouvoir l’emploi » ; Pilier 3 « Améliorer l’accès aux services sociaux de base et renforcer le capital humain » ; Pilier 4 « Protéger l’environnement et lutter contre les changements climatiques »</w:t>
            </w:r>
          </w:p>
        </w:tc>
        <w:tc>
          <w:tcPr>
            <w:tcW w:w="3118" w:type="dxa"/>
            <w:tcBorders>
              <w:top w:val="nil"/>
              <w:left w:val="nil"/>
              <w:bottom w:val="single" w:sz="4" w:space="0" w:color="auto"/>
              <w:right w:val="single" w:sz="4" w:space="0" w:color="auto"/>
            </w:tcBorders>
          </w:tcPr>
          <w:p w14:paraId="68F3A182" w14:textId="77777777" w:rsidR="009021F1" w:rsidRPr="009D55A6" w:rsidRDefault="009021F1" w:rsidP="00E637E3">
            <w:pPr>
              <w:rPr>
                <w:rFonts w:cs="Arial"/>
                <w:color w:val="000000"/>
                <w:sz w:val="20"/>
                <w:szCs w:val="20"/>
                <w:lang w:eastAsia="en-US"/>
              </w:rPr>
            </w:pPr>
            <w:r w:rsidRPr="009D55A6">
              <w:rPr>
                <w:rFonts w:cs="Arial"/>
                <w:color w:val="000000"/>
                <w:sz w:val="20"/>
                <w:szCs w:val="20"/>
                <w:lang w:eastAsia="en-US"/>
              </w:rPr>
              <w:t>Le DSCRP est pertinent pour le PNDA dans le sens qu’il fournit au PNDA des indicateurs objectivement vérifiable par rapport à la situation de la pauvreté observée dans chaque province concernée par le Programme envie d’orienter des actions agricoles pour améliorer le niveau de vie de la population.</w:t>
            </w:r>
          </w:p>
        </w:tc>
      </w:tr>
      <w:tr w:rsidR="009021F1" w:rsidRPr="00982564" w14:paraId="3D9C0460" w14:textId="77777777" w:rsidTr="00E637E3">
        <w:trPr>
          <w:trHeight w:val="558"/>
        </w:trPr>
        <w:tc>
          <w:tcPr>
            <w:tcW w:w="2027" w:type="dxa"/>
            <w:tcBorders>
              <w:top w:val="nil"/>
              <w:left w:val="single" w:sz="4" w:space="0" w:color="auto"/>
              <w:bottom w:val="single" w:sz="4" w:space="0" w:color="auto"/>
              <w:right w:val="single" w:sz="4" w:space="0" w:color="auto"/>
            </w:tcBorders>
            <w:shd w:val="clear" w:color="auto" w:fill="auto"/>
            <w:vAlign w:val="center"/>
            <w:hideMark/>
          </w:tcPr>
          <w:p w14:paraId="28E5AD14" w14:textId="77777777" w:rsidR="009021F1" w:rsidRPr="009D55A6" w:rsidRDefault="009021F1" w:rsidP="00E637E3">
            <w:pPr>
              <w:jc w:val="left"/>
              <w:rPr>
                <w:rFonts w:cs="Arial"/>
                <w:color w:val="000000"/>
                <w:sz w:val="20"/>
                <w:szCs w:val="20"/>
                <w:lang w:val="en-US" w:eastAsia="en-US"/>
              </w:rPr>
            </w:pPr>
            <w:r w:rsidRPr="009D55A6">
              <w:rPr>
                <w:rFonts w:cs="Arial"/>
                <w:color w:val="000000"/>
                <w:sz w:val="20"/>
                <w:szCs w:val="20"/>
                <w:lang w:eastAsia="en-US"/>
              </w:rPr>
              <w:t>Politique foncière</w:t>
            </w:r>
          </w:p>
        </w:tc>
        <w:tc>
          <w:tcPr>
            <w:tcW w:w="2100" w:type="dxa"/>
            <w:tcBorders>
              <w:top w:val="nil"/>
              <w:left w:val="nil"/>
              <w:bottom w:val="single" w:sz="4" w:space="0" w:color="auto"/>
              <w:right w:val="single" w:sz="4" w:space="0" w:color="auto"/>
            </w:tcBorders>
            <w:shd w:val="clear" w:color="auto" w:fill="auto"/>
            <w:vAlign w:val="center"/>
            <w:hideMark/>
          </w:tcPr>
          <w:p w14:paraId="0E2DA898" w14:textId="77777777" w:rsidR="009021F1" w:rsidRPr="009D55A6" w:rsidRDefault="009021F1" w:rsidP="00E637E3">
            <w:pPr>
              <w:jc w:val="left"/>
              <w:rPr>
                <w:rFonts w:cs="Arial"/>
                <w:color w:val="000000"/>
                <w:sz w:val="20"/>
                <w:szCs w:val="20"/>
                <w:lang w:val="en-US" w:eastAsia="en-US"/>
              </w:rPr>
            </w:pPr>
            <w:r w:rsidRPr="009D55A6">
              <w:rPr>
                <w:rFonts w:cs="Arial"/>
                <w:color w:val="000000"/>
                <w:sz w:val="20"/>
                <w:szCs w:val="20"/>
                <w:lang w:eastAsia="en-US"/>
              </w:rPr>
              <w:t>Programme de réforme foncière</w:t>
            </w:r>
          </w:p>
        </w:tc>
        <w:tc>
          <w:tcPr>
            <w:tcW w:w="3381" w:type="dxa"/>
            <w:tcBorders>
              <w:top w:val="nil"/>
              <w:left w:val="nil"/>
              <w:bottom w:val="single" w:sz="4" w:space="0" w:color="auto"/>
              <w:right w:val="single" w:sz="4" w:space="0" w:color="auto"/>
            </w:tcBorders>
            <w:shd w:val="clear" w:color="auto" w:fill="auto"/>
            <w:vAlign w:val="center"/>
            <w:hideMark/>
          </w:tcPr>
          <w:p w14:paraId="08A977E9" w14:textId="77777777" w:rsidR="009021F1" w:rsidRPr="009D55A6" w:rsidRDefault="009021F1" w:rsidP="00E637E3">
            <w:pPr>
              <w:rPr>
                <w:rFonts w:cs="Arial"/>
                <w:color w:val="000000"/>
                <w:sz w:val="20"/>
                <w:szCs w:val="20"/>
                <w:lang w:eastAsia="en-US"/>
              </w:rPr>
            </w:pPr>
            <w:r w:rsidRPr="009D55A6">
              <w:rPr>
                <w:rFonts w:cs="Arial"/>
                <w:color w:val="000000"/>
                <w:sz w:val="20"/>
                <w:szCs w:val="20"/>
                <w:lang w:eastAsia="en-US"/>
              </w:rPr>
              <w:t>Réformer le secteur foncier en vue de limiter, voire éradiquer les conflits fonciers et les violences d’origine foncière ; - Mieux protéger les droits fonciers des personnes physiques et morales publiques et privées avec une attention particulière aux personnes vulnérables (communautés locales, populations autochtones, femmes et enfants) ; - Stimuler l’investissement productif dans le respect de la durabilité environnementale et sociale ; - Améliorer les recettes financières d’origine foncière.</w:t>
            </w:r>
          </w:p>
        </w:tc>
        <w:tc>
          <w:tcPr>
            <w:tcW w:w="3118" w:type="dxa"/>
            <w:tcBorders>
              <w:top w:val="nil"/>
              <w:left w:val="nil"/>
              <w:bottom w:val="single" w:sz="4" w:space="0" w:color="auto"/>
              <w:right w:val="single" w:sz="4" w:space="0" w:color="auto"/>
            </w:tcBorders>
          </w:tcPr>
          <w:p w14:paraId="6869CAF5" w14:textId="77777777" w:rsidR="009021F1" w:rsidRPr="009D55A6" w:rsidRDefault="009021F1" w:rsidP="00E637E3">
            <w:pPr>
              <w:rPr>
                <w:rFonts w:cs="Arial"/>
                <w:color w:val="000000"/>
                <w:sz w:val="20"/>
                <w:szCs w:val="20"/>
                <w:lang w:eastAsia="en-US"/>
              </w:rPr>
            </w:pPr>
            <w:r w:rsidRPr="009D55A6">
              <w:rPr>
                <w:rFonts w:cs="Arial"/>
                <w:color w:val="000000"/>
                <w:sz w:val="20"/>
                <w:szCs w:val="20"/>
                <w:lang w:eastAsia="en-US"/>
              </w:rPr>
              <w:t>Etant donné que les activités agricoles du PNDA vont occuper dans grandes étendues des terres dans les milieux ruraux, ce programme de réforme foncière va fournir des informations claires pour éviter des conflits et des violences d’origine foncière pendant la mise en œuvre du PNDA</w:t>
            </w:r>
          </w:p>
        </w:tc>
      </w:tr>
      <w:tr w:rsidR="009021F1" w:rsidRPr="00982564" w14:paraId="015B8F16" w14:textId="77777777" w:rsidTr="00E637E3">
        <w:trPr>
          <w:trHeight w:val="1124"/>
        </w:trPr>
        <w:tc>
          <w:tcPr>
            <w:tcW w:w="2027" w:type="dxa"/>
            <w:vMerge w:val="restart"/>
            <w:tcBorders>
              <w:top w:val="nil"/>
              <w:left w:val="single" w:sz="4" w:space="0" w:color="auto"/>
              <w:right w:val="single" w:sz="4" w:space="0" w:color="auto"/>
            </w:tcBorders>
            <w:shd w:val="clear" w:color="auto" w:fill="auto"/>
            <w:vAlign w:val="center"/>
            <w:hideMark/>
          </w:tcPr>
          <w:p w14:paraId="2560BBE1" w14:textId="77777777" w:rsidR="009021F1" w:rsidRPr="009D55A6" w:rsidRDefault="009021F1" w:rsidP="00E637E3">
            <w:pPr>
              <w:jc w:val="left"/>
              <w:rPr>
                <w:rFonts w:cs="Arial"/>
                <w:color w:val="000000"/>
                <w:sz w:val="20"/>
                <w:szCs w:val="20"/>
                <w:lang w:eastAsia="en-US"/>
              </w:rPr>
            </w:pPr>
            <w:r w:rsidRPr="009D55A6">
              <w:rPr>
                <w:rFonts w:cs="Arial"/>
                <w:color w:val="000000"/>
                <w:sz w:val="20"/>
                <w:szCs w:val="20"/>
                <w:lang w:eastAsia="en-US"/>
              </w:rPr>
              <w:t>Politique genre, protection de la femme et de l’enfant</w:t>
            </w:r>
          </w:p>
        </w:tc>
        <w:tc>
          <w:tcPr>
            <w:tcW w:w="2100" w:type="dxa"/>
            <w:tcBorders>
              <w:top w:val="nil"/>
              <w:left w:val="nil"/>
              <w:bottom w:val="single" w:sz="4" w:space="0" w:color="auto"/>
              <w:right w:val="single" w:sz="4" w:space="0" w:color="auto"/>
            </w:tcBorders>
            <w:shd w:val="clear" w:color="auto" w:fill="auto"/>
            <w:vAlign w:val="center"/>
            <w:hideMark/>
          </w:tcPr>
          <w:p w14:paraId="0B147AE3" w14:textId="77777777" w:rsidR="009021F1" w:rsidRPr="009D55A6" w:rsidRDefault="009021F1" w:rsidP="00E637E3">
            <w:pPr>
              <w:jc w:val="left"/>
              <w:rPr>
                <w:rFonts w:cs="Arial"/>
                <w:color w:val="000000"/>
                <w:sz w:val="20"/>
                <w:szCs w:val="20"/>
                <w:lang w:eastAsia="en-US"/>
              </w:rPr>
            </w:pPr>
            <w:r w:rsidRPr="009D55A6">
              <w:rPr>
                <w:rFonts w:cs="Arial"/>
                <w:color w:val="000000"/>
                <w:sz w:val="20"/>
                <w:szCs w:val="20"/>
                <w:lang w:eastAsia="en-US"/>
              </w:rPr>
              <w:t>Stratégie nationale de lutte contre les violences basées sur le genre révisée (SNVBG), novembre 2009-2019</w:t>
            </w:r>
          </w:p>
        </w:tc>
        <w:tc>
          <w:tcPr>
            <w:tcW w:w="3381" w:type="dxa"/>
            <w:tcBorders>
              <w:top w:val="nil"/>
              <w:left w:val="nil"/>
              <w:bottom w:val="single" w:sz="4" w:space="0" w:color="auto"/>
              <w:right w:val="single" w:sz="4" w:space="0" w:color="auto"/>
            </w:tcBorders>
            <w:shd w:val="clear" w:color="auto" w:fill="auto"/>
            <w:vAlign w:val="center"/>
            <w:hideMark/>
          </w:tcPr>
          <w:p w14:paraId="2BBB0945" w14:textId="77777777" w:rsidR="009021F1" w:rsidRPr="009D55A6" w:rsidRDefault="009021F1" w:rsidP="00E637E3">
            <w:pPr>
              <w:rPr>
                <w:rFonts w:cs="Arial"/>
                <w:color w:val="000000"/>
                <w:sz w:val="20"/>
                <w:szCs w:val="20"/>
                <w:lang w:eastAsia="en-US"/>
              </w:rPr>
            </w:pPr>
            <w:r w:rsidRPr="009D55A6">
              <w:rPr>
                <w:rFonts w:cs="Arial"/>
                <w:color w:val="000000"/>
                <w:sz w:val="20"/>
                <w:szCs w:val="20"/>
                <w:lang w:eastAsia="en-US"/>
              </w:rPr>
              <w:t xml:space="preserve">L’Objectif global de la présente Stratégie Nationale de lutte contre les violences basées sur le genre révisée est de fournir au Gouvernement, à ses partenaires techniques et financiers et à l’ensemble des acteurs, un cadre de référence, d’orientation des programmes et d’activités visant à contribuer à la prévention et à l’élimination des VBG ainsi qu’à la prise en charge holistique des survivant(e)s, en vue de promouvoir et de défendre les droits humains de la femme congolaise, mais aussi sa dignité, d’améliorer ses conditions de vie, et de garantir sa contribution au développement du pays. </w:t>
            </w:r>
          </w:p>
        </w:tc>
        <w:tc>
          <w:tcPr>
            <w:tcW w:w="3118" w:type="dxa"/>
            <w:tcBorders>
              <w:top w:val="nil"/>
              <w:left w:val="nil"/>
              <w:bottom w:val="single" w:sz="4" w:space="0" w:color="auto"/>
              <w:right w:val="single" w:sz="4" w:space="0" w:color="auto"/>
            </w:tcBorders>
          </w:tcPr>
          <w:p w14:paraId="415F5563" w14:textId="77777777" w:rsidR="009021F1" w:rsidRPr="009D55A6" w:rsidRDefault="009021F1" w:rsidP="00E637E3">
            <w:pPr>
              <w:rPr>
                <w:rFonts w:cs="Arial"/>
                <w:color w:val="000000"/>
                <w:sz w:val="20"/>
                <w:szCs w:val="20"/>
                <w:lang w:eastAsia="en-US"/>
              </w:rPr>
            </w:pPr>
            <w:r w:rsidRPr="009D55A6">
              <w:rPr>
                <w:rFonts w:cs="Arial"/>
                <w:color w:val="000000"/>
                <w:sz w:val="20"/>
                <w:szCs w:val="20"/>
                <w:lang w:eastAsia="en-US"/>
              </w:rPr>
              <w:t xml:space="preserve">Cette politique est pertinente pour le PNDA dans le sens qu’elle fournit un cadre de référence et d’orientation visant à la prévention et l’élimination des VBG. Les activités agricoles vont impliquer un taux de pourcentage non négligeable des femmes. En outre, la Province du Nord-Kivu réputée par son insécurité, enregistre un nombre élevé des cas de VBG.  </w:t>
            </w:r>
          </w:p>
        </w:tc>
      </w:tr>
      <w:tr w:rsidR="009021F1" w:rsidRPr="00982564" w14:paraId="3D005A23" w14:textId="77777777" w:rsidTr="00E637E3">
        <w:trPr>
          <w:trHeight w:val="290"/>
        </w:trPr>
        <w:tc>
          <w:tcPr>
            <w:tcW w:w="2027" w:type="dxa"/>
            <w:vMerge/>
            <w:tcBorders>
              <w:left w:val="single" w:sz="4" w:space="0" w:color="auto"/>
              <w:bottom w:val="single" w:sz="4" w:space="0" w:color="auto"/>
              <w:right w:val="single" w:sz="4" w:space="0" w:color="auto"/>
            </w:tcBorders>
            <w:shd w:val="clear" w:color="auto" w:fill="auto"/>
            <w:vAlign w:val="center"/>
            <w:hideMark/>
          </w:tcPr>
          <w:p w14:paraId="308CE37C" w14:textId="77777777" w:rsidR="009021F1" w:rsidRPr="009D55A6" w:rsidRDefault="009021F1" w:rsidP="00E637E3">
            <w:pPr>
              <w:jc w:val="left"/>
              <w:rPr>
                <w:rFonts w:cs="Arial"/>
                <w:color w:val="000000"/>
                <w:sz w:val="20"/>
                <w:szCs w:val="20"/>
                <w:lang w:eastAsia="en-US"/>
              </w:rPr>
            </w:pPr>
          </w:p>
        </w:tc>
        <w:tc>
          <w:tcPr>
            <w:tcW w:w="2100" w:type="dxa"/>
            <w:tcBorders>
              <w:top w:val="nil"/>
              <w:left w:val="single" w:sz="4" w:space="0" w:color="auto"/>
              <w:bottom w:val="single" w:sz="4" w:space="0" w:color="auto"/>
              <w:right w:val="single" w:sz="4" w:space="0" w:color="auto"/>
            </w:tcBorders>
            <w:shd w:val="clear" w:color="auto" w:fill="auto"/>
            <w:vAlign w:val="center"/>
            <w:hideMark/>
          </w:tcPr>
          <w:p w14:paraId="27FFD122" w14:textId="77777777" w:rsidR="009021F1" w:rsidRPr="009D55A6" w:rsidRDefault="009021F1" w:rsidP="00E637E3">
            <w:pPr>
              <w:jc w:val="left"/>
              <w:rPr>
                <w:rFonts w:cs="Arial"/>
                <w:color w:val="000000"/>
                <w:sz w:val="20"/>
                <w:szCs w:val="20"/>
                <w:lang w:eastAsia="en-US"/>
              </w:rPr>
            </w:pPr>
            <w:r w:rsidRPr="009D55A6">
              <w:rPr>
                <w:rFonts w:cs="Arial"/>
                <w:color w:val="000000"/>
                <w:sz w:val="20"/>
                <w:szCs w:val="20"/>
                <w:lang w:eastAsia="en-US"/>
              </w:rPr>
              <w:t xml:space="preserve">Politique Nationale d’Intégration du Genre, de Promotion de la Famille et de la Protection de l’Enfant </w:t>
            </w:r>
          </w:p>
        </w:tc>
        <w:tc>
          <w:tcPr>
            <w:tcW w:w="3381" w:type="dxa"/>
            <w:tcBorders>
              <w:top w:val="nil"/>
              <w:left w:val="nil"/>
              <w:bottom w:val="single" w:sz="4" w:space="0" w:color="auto"/>
              <w:right w:val="single" w:sz="4" w:space="0" w:color="auto"/>
            </w:tcBorders>
            <w:shd w:val="clear" w:color="auto" w:fill="auto"/>
            <w:vAlign w:val="center"/>
            <w:hideMark/>
          </w:tcPr>
          <w:p w14:paraId="1C06D677" w14:textId="77777777" w:rsidR="009021F1" w:rsidRPr="009D55A6" w:rsidRDefault="009021F1" w:rsidP="00E637E3">
            <w:pPr>
              <w:rPr>
                <w:rFonts w:cs="Arial"/>
                <w:color w:val="000000"/>
                <w:sz w:val="20"/>
                <w:szCs w:val="20"/>
                <w:lang w:eastAsia="en-US"/>
              </w:rPr>
            </w:pPr>
            <w:r w:rsidRPr="009D55A6">
              <w:rPr>
                <w:rFonts w:cs="Arial"/>
                <w:color w:val="000000"/>
                <w:sz w:val="20"/>
                <w:szCs w:val="20"/>
                <w:lang w:eastAsia="en-US"/>
              </w:rPr>
              <w:t xml:space="preserve">La politique vise les objectifs suivants : </w:t>
            </w:r>
          </w:p>
          <w:p w14:paraId="4D5E4B8A" w14:textId="77777777" w:rsidR="009021F1" w:rsidRPr="009D55A6" w:rsidRDefault="009021F1" w:rsidP="00E637E3">
            <w:pPr>
              <w:pStyle w:val="Paragraphedeliste"/>
              <w:numPr>
                <w:ilvl w:val="1"/>
                <w:numId w:val="22"/>
              </w:numPr>
              <w:ind w:left="155" w:hanging="155"/>
              <w:rPr>
                <w:rFonts w:cs="Arial"/>
                <w:color w:val="000000"/>
                <w:sz w:val="20"/>
                <w:szCs w:val="20"/>
                <w:lang w:eastAsia="en-US"/>
              </w:rPr>
            </w:pPr>
            <w:r w:rsidRPr="009D55A6">
              <w:rPr>
                <w:rFonts w:cs="Arial"/>
                <w:color w:val="000000"/>
                <w:sz w:val="20"/>
                <w:szCs w:val="20"/>
                <w:lang w:eastAsia="en-US"/>
              </w:rPr>
              <w:t>Promouvoir l’accès à l’éducation et à la formation de tous, surtout des filles / femmes ;</w:t>
            </w:r>
          </w:p>
          <w:p w14:paraId="3584C716" w14:textId="77777777" w:rsidR="009021F1" w:rsidRPr="009D55A6" w:rsidRDefault="009021F1" w:rsidP="00E637E3">
            <w:pPr>
              <w:pStyle w:val="Paragraphedeliste"/>
              <w:numPr>
                <w:ilvl w:val="1"/>
                <w:numId w:val="22"/>
              </w:numPr>
              <w:ind w:left="155" w:hanging="155"/>
              <w:rPr>
                <w:rFonts w:cs="Arial"/>
                <w:color w:val="000000"/>
                <w:sz w:val="20"/>
                <w:szCs w:val="20"/>
                <w:lang w:eastAsia="en-US"/>
              </w:rPr>
            </w:pPr>
            <w:r w:rsidRPr="009D55A6">
              <w:rPr>
                <w:rFonts w:cs="Arial"/>
                <w:color w:val="000000"/>
                <w:sz w:val="20"/>
                <w:szCs w:val="20"/>
                <w:lang w:eastAsia="en-US"/>
              </w:rPr>
              <w:t xml:space="preserve">Œuvrer au renforcement du pouvoir économique des hommes et des femmes ; </w:t>
            </w:r>
          </w:p>
          <w:p w14:paraId="41D65FF9" w14:textId="77777777" w:rsidR="009021F1" w:rsidRPr="009D55A6" w:rsidRDefault="009021F1" w:rsidP="00E637E3">
            <w:pPr>
              <w:pStyle w:val="Paragraphedeliste"/>
              <w:numPr>
                <w:ilvl w:val="1"/>
                <w:numId w:val="22"/>
              </w:numPr>
              <w:ind w:left="155" w:hanging="155"/>
              <w:rPr>
                <w:rFonts w:cs="Arial"/>
                <w:color w:val="000000"/>
                <w:sz w:val="20"/>
                <w:szCs w:val="20"/>
                <w:lang w:eastAsia="en-US"/>
              </w:rPr>
            </w:pPr>
            <w:r w:rsidRPr="009D55A6">
              <w:rPr>
                <w:rFonts w:cs="Arial"/>
                <w:color w:val="000000"/>
                <w:sz w:val="20"/>
                <w:szCs w:val="20"/>
                <w:lang w:eastAsia="en-US"/>
              </w:rPr>
              <w:t xml:space="preserve">Travailler à la réduction de la vulnérabilité de la Population Congolaise en particulier celle de la femme ; </w:t>
            </w:r>
          </w:p>
          <w:p w14:paraId="582CAA26" w14:textId="77777777" w:rsidR="009021F1" w:rsidRPr="009D55A6" w:rsidRDefault="009021F1" w:rsidP="00E637E3">
            <w:pPr>
              <w:pStyle w:val="Paragraphedeliste"/>
              <w:numPr>
                <w:ilvl w:val="1"/>
                <w:numId w:val="22"/>
              </w:numPr>
              <w:ind w:left="155" w:hanging="155"/>
              <w:rPr>
                <w:rFonts w:cs="Arial"/>
                <w:color w:val="000000"/>
                <w:sz w:val="20"/>
                <w:szCs w:val="20"/>
                <w:lang w:eastAsia="en-US"/>
              </w:rPr>
            </w:pPr>
            <w:r w:rsidRPr="009D55A6">
              <w:rPr>
                <w:rFonts w:cs="Arial"/>
                <w:color w:val="000000"/>
                <w:sz w:val="20"/>
                <w:szCs w:val="20"/>
                <w:lang w:eastAsia="en-US"/>
              </w:rPr>
              <w:t>Contribuer à l’amélioration de la participation citoyenne et politique et encourager la femme dans ce secteur</w:t>
            </w:r>
          </w:p>
        </w:tc>
        <w:tc>
          <w:tcPr>
            <w:tcW w:w="3118" w:type="dxa"/>
            <w:tcBorders>
              <w:top w:val="nil"/>
              <w:left w:val="nil"/>
              <w:bottom w:val="single" w:sz="4" w:space="0" w:color="auto"/>
              <w:right w:val="single" w:sz="4" w:space="0" w:color="auto"/>
            </w:tcBorders>
          </w:tcPr>
          <w:p w14:paraId="448853B7" w14:textId="77777777" w:rsidR="009021F1" w:rsidRPr="009D55A6" w:rsidRDefault="009021F1" w:rsidP="00E637E3">
            <w:pPr>
              <w:rPr>
                <w:rFonts w:cs="Arial"/>
                <w:color w:val="000000"/>
                <w:sz w:val="20"/>
                <w:szCs w:val="20"/>
                <w:lang w:eastAsia="en-US"/>
              </w:rPr>
            </w:pPr>
            <w:r w:rsidRPr="009D55A6">
              <w:rPr>
                <w:rFonts w:cs="Arial"/>
                <w:color w:val="000000"/>
                <w:sz w:val="20"/>
                <w:szCs w:val="20"/>
                <w:lang w:eastAsia="en-US"/>
              </w:rPr>
              <w:t>Cette politique est pertinente pour le PNDA dans le sens qu’elle favorise la promotion du genre compte tenu du fait la femme joue un rôle très capitale dans la production agricole et la survie des ménages dans les milieux ruraux</w:t>
            </w:r>
          </w:p>
        </w:tc>
      </w:tr>
    </w:tbl>
    <w:p w14:paraId="518ED591" w14:textId="77777777" w:rsidR="009021F1" w:rsidRPr="003142D9" w:rsidRDefault="009021F1" w:rsidP="009021F1">
      <w:pPr>
        <w:jc w:val="left"/>
        <w:rPr>
          <w:rFonts w:cs="Arial"/>
          <w:bCs/>
          <w:szCs w:val="21"/>
        </w:rPr>
      </w:pPr>
    </w:p>
    <w:p w14:paraId="6FA4083F" w14:textId="77777777" w:rsidR="009021F1" w:rsidRPr="003142D9" w:rsidRDefault="009021F1" w:rsidP="009021F1">
      <w:pPr>
        <w:jc w:val="left"/>
        <w:rPr>
          <w:rFonts w:cs="Arial"/>
          <w:bCs/>
          <w:szCs w:val="21"/>
        </w:rPr>
      </w:pPr>
    </w:p>
    <w:p w14:paraId="02DD3A4C" w14:textId="77777777" w:rsidR="009021F1" w:rsidRPr="003142D9" w:rsidRDefault="009021F1" w:rsidP="009021F1">
      <w:pPr>
        <w:pStyle w:val="Titre2"/>
        <w:numPr>
          <w:ilvl w:val="1"/>
          <w:numId w:val="4"/>
        </w:numPr>
        <w:ind w:left="851" w:hanging="425"/>
        <w:rPr>
          <w:rFonts w:cs="Arial"/>
          <w:b/>
          <w:szCs w:val="21"/>
        </w:rPr>
      </w:pPr>
      <w:bookmarkStart w:id="321" w:name="_Toc90471427"/>
      <w:r w:rsidRPr="003142D9">
        <w:rPr>
          <w:rFonts w:cs="Arial"/>
          <w:b/>
          <w:szCs w:val="21"/>
        </w:rPr>
        <w:t>Cadre juridique applicable au PNDA</w:t>
      </w:r>
      <w:bookmarkEnd w:id="321"/>
      <w:r w:rsidRPr="003142D9">
        <w:rPr>
          <w:rFonts w:cs="Arial"/>
          <w:b/>
          <w:szCs w:val="21"/>
        </w:rPr>
        <w:t xml:space="preserve"> </w:t>
      </w:r>
    </w:p>
    <w:p w14:paraId="7C122E2D" w14:textId="77777777" w:rsidR="009021F1" w:rsidRPr="003142D9" w:rsidRDefault="009021F1" w:rsidP="009021F1">
      <w:pPr>
        <w:rPr>
          <w:rFonts w:cs="Arial"/>
          <w:szCs w:val="21"/>
        </w:rPr>
      </w:pPr>
    </w:p>
    <w:p w14:paraId="608279DF" w14:textId="77777777" w:rsidR="009021F1" w:rsidRPr="009D55A6" w:rsidRDefault="009021F1" w:rsidP="009021F1">
      <w:pPr>
        <w:pStyle w:val="Titre2"/>
        <w:numPr>
          <w:ilvl w:val="2"/>
          <w:numId w:val="4"/>
        </w:numPr>
        <w:ind w:left="1560" w:hanging="709"/>
        <w:rPr>
          <w:rFonts w:cs="Arial"/>
          <w:i/>
          <w:szCs w:val="21"/>
        </w:rPr>
      </w:pPr>
      <w:bookmarkStart w:id="322" w:name="_Toc90471428"/>
      <w:r w:rsidRPr="009D55A6">
        <w:rPr>
          <w:rFonts w:cs="Arial"/>
          <w:i/>
          <w:szCs w:val="21"/>
        </w:rPr>
        <w:t>Législation environnementale et sociale</w:t>
      </w:r>
      <w:bookmarkEnd w:id="322"/>
    </w:p>
    <w:p w14:paraId="088A44CB" w14:textId="77777777" w:rsidR="009021F1" w:rsidRPr="009D55A6" w:rsidRDefault="009021F1" w:rsidP="009021F1">
      <w:pPr>
        <w:rPr>
          <w:rFonts w:cs="Arial"/>
          <w:szCs w:val="21"/>
        </w:rPr>
      </w:pPr>
    </w:p>
    <w:p w14:paraId="3B7DDEFC" w14:textId="77777777" w:rsidR="009021F1" w:rsidRPr="009D55A6" w:rsidRDefault="009021F1" w:rsidP="009021F1">
      <w:pPr>
        <w:rPr>
          <w:rFonts w:cs="Arial"/>
          <w:i/>
          <w:szCs w:val="21"/>
        </w:rPr>
      </w:pPr>
      <w:r w:rsidRPr="009D55A6">
        <w:rPr>
          <w:rFonts w:cs="Arial"/>
          <w:i/>
          <w:szCs w:val="21"/>
        </w:rPr>
        <w:t>Constitution du 18 février 2006</w:t>
      </w:r>
    </w:p>
    <w:p w14:paraId="66E04F13" w14:textId="77777777" w:rsidR="009021F1" w:rsidRPr="009D55A6" w:rsidRDefault="009021F1" w:rsidP="009021F1">
      <w:pPr>
        <w:rPr>
          <w:rFonts w:cs="Arial"/>
          <w:szCs w:val="21"/>
        </w:rPr>
      </w:pPr>
    </w:p>
    <w:p w14:paraId="46466A76" w14:textId="77777777" w:rsidR="009021F1" w:rsidRPr="009D55A6" w:rsidRDefault="009021F1" w:rsidP="009021F1">
      <w:pPr>
        <w:rPr>
          <w:rFonts w:cs="Arial"/>
          <w:szCs w:val="21"/>
        </w:rPr>
      </w:pPr>
      <w:r w:rsidRPr="009D55A6">
        <w:rPr>
          <w:rFonts w:cs="Arial"/>
          <w:szCs w:val="21"/>
        </w:rPr>
        <w:t>La Constitution de la RDC, adoptée en février 2006, telle que modifiée à ce jour par la loi n° 11/002 du 20 janvier 2011 portant révision de certains articles de la Constitution du 18 février 2006, spécialement en son article 53 dispose que : « Toute personne a droit à un environnement sain et propice à son épanouissement intégral. Elle a le devoir de le défendre. L’État veille à la protection de l’environnement et à la santé des populations » ; aussi, en son Article 14 alinéa 4 elle dispose également que : «  </w:t>
      </w:r>
      <w:r w:rsidRPr="009D55A6">
        <w:rPr>
          <w:rFonts w:cs="Arial"/>
          <w:iCs/>
          <w:szCs w:val="21"/>
        </w:rPr>
        <w:t>La femme a droit à une représentation équitable au sein des institutions nationales, provinciales et locales. L’Etat garantit la mise en œuvre de la parité homme-femme dans lesdites institutions</w:t>
      </w:r>
      <w:r w:rsidRPr="009D55A6">
        <w:rPr>
          <w:rFonts w:cs="Arial"/>
          <w:szCs w:val="21"/>
        </w:rPr>
        <w:t> ».</w:t>
      </w:r>
    </w:p>
    <w:p w14:paraId="166F138D" w14:textId="77777777" w:rsidR="009021F1" w:rsidRPr="009D55A6" w:rsidRDefault="009021F1" w:rsidP="009021F1">
      <w:pPr>
        <w:rPr>
          <w:rFonts w:cs="Arial"/>
          <w:szCs w:val="21"/>
        </w:rPr>
      </w:pPr>
    </w:p>
    <w:p w14:paraId="3E4DC42A" w14:textId="77777777" w:rsidR="009021F1" w:rsidRPr="009D55A6" w:rsidRDefault="009021F1" w:rsidP="009021F1">
      <w:pPr>
        <w:rPr>
          <w:rFonts w:cs="Arial"/>
          <w:i/>
          <w:szCs w:val="21"/>
        </w:rPr>
      </w:pPr>
      <w:r w:rsidRPr="009D55A6">
        <w:rPr>
          <w:rFonts w:cs="Arial"/>
          <w:i/>
          <w:szCs w:val="21"/>
        </w:rPr>
        <w:t>Loi n° 11/009 du 09 juillet 2011 portant Principes fondamentaux relatifs à la protection de l’environnement</w:t>
      </w:r>
    </w:p>
    <w:p w14:paraId="486B6516" w14:textId="77777777" w:rsidR="009021F1" w:rsidRPr="009D55A6" w:rsidRDefault="009021F1" w:rsidP="009021F1">
      <w:pPr>
        <w:rPr>
          <w:rFonts w:cs="Arial"/>
          <w:szCs w:val="21"/>
        </w:rPr>
      </w:pPr>
    </w:p>
    <w:p w14:paraId="5B11D10F" w14:textId="77777777" w:rsidR="009021F1" w:rsidRPr="009D55A6" w:rsidRDefault="009021F1" w:rsidP="009021F1">
      <w:pPr>
        <w:rPr>
          <w:rFonts w:cs="Arial"/>
          <w:szCs w:val="21"/>
        </w:rPr>
      </w:pPr>
      <w:r w:rsidRPr="009D55A6">
        <w:rPr>
          <w:rFonts w:cs="Arial"/>
          <w:szCs w:val="21"/>
        </w:rPr>
        <w:t>La Loi n° 11/009 du 09 juillet 2011 portant Principes fondamentaux relatifs à la protection de l’environnement, vise à favoriser la gestion durable des ressources naturelles, à prévenir les risques, à lutter contre les formes de pollutions et nuisances, et à améliorer la qualité de la vie des populations dans le respect de l’équilibre écologique.</w:t>
      </w:r>
    </w:p>
    <w:p w14:paraId="558E2502" w14:textId="77777777" w:rsidR="009021F1" w:rsidRPr="009D55A6" w:rsidRDefault="009021F1" w:rsidP="009021F1">
      <w:pPr>
        <w:rPr>
          <w:rFonts w:cs="Arial"/>
          <w:szCs w:val="21"/>
        </w:rPr>
      </w:pPr>
    </w:p>
    <w:p w14:paraId="492EA188" w14:textId="77777777" w:rsidR="009021F1" w:rsidRPr="009D55A6" w:rsidRDefault="009021F1" w:rsidP="009021F1">
      <w:pPr>
        <w:rPr>
          <w:rFonts w:cs="Arial"/>
          <w:szCs w:val="21"/>
        </w:rPr>
      </w:pPr>
      <w:r w:rsidRPr="009D55A6">
        <w:rPr>
          <w:rFonts w:cs="Arial"/>
          <w:szCs w:val="21"/>
        </w:rPr>
        <w:t>Cette loi est pertinente pour le PNDA dans le sens qu’elle édicte les principes généraux qui servent de base aux lois particulières pour agir les différents secteurs de l’environnement notamment le secteur agricole en RDC.</w:t>
      </w:r>
    </w:p>
    <w:p w14:paraId="1CF7B626" w14:textId="77777777" w:rsidR="009021F1" w:rsidRPr="009D55A6" w:rsidRDefault="009021F1" w:rsidP="009021F1">
      <w:pPr>
        <w:rPr>
          <w:rFonts w:cs="Arial"/>
          <w:szCs w:val="21"/>
        </w:rPr>
      </w:pPr>
    </w:p>
    <w:p w14:paraId="66139E2D" w14:textId="77777777" w:rsidR="009021F1" w:rsidRPr="009D55A6" w:rsidRDefault="009021F1" w:rsidP="009021F1">
      <w:pPr>
        <w:rPr>
          <w:rFonts w:cs="Arial"/>
          <w:i/>
          <w:szCs w:val="21"/>
        </w:rPr>
      </w:pPr>
      <w:r w:rsidRPr="009D55A6">
        <w:rPr>
          <w:rFonts w:cs="Arial"/>
          <w:i/>
          <w:szCs w:val="21"/>
        </w:rPr>
        <w:t xml:space="preserve">Loi n° 11/022 du 24 décembre 2011 portant Principes fondamentaux relatifs à l’Agriculture </w:t>
      </w:r>
    </w:p>
    <w:p w14:paraId="19A82467" w14:textId="77777777" w:rsidR="009021F1" w:rsidRPr="009D55A6" w:rsidRDefault="009021F1" w:rsidP="009021F1">
      <w:pPr>
        <w:rPr>
          <w:rFonts w:cs="Arial"/>
          <w:szCs w:val="21"/>
        </w:rPr>
      </w:pPr>
      <w:r w:rsidRPr="009D55A6">
        <w:rPr>
          <w:rFonts w:cs="Arial"/>
          <w:szCs w:val="21"/>
        </w:rPr>
        <w:t xml:space="preserve"> </w:t>
      </w:r>
    </w:p>
    <w:p w14:paraId="62894727" w14:textId="77777777" w:rsidR="009021F1" w:rsidRPr="009D55A6" w:rsidRDefault="009021F1" w:rsidP="009021F1">
      <w:pPr>
        <w:rPr>
          <w:rFonts w:cs="Arial"/>
          <w:szCs w:val="21"/>
        </w:rPr>
      </w:pPr>
      <w:r w:rsidRPr="009D55A6">
        <w:rPr>
          <w:rFonts w:cs="Arial"/>
          <w:szCs w:val="21"/>
        </w:rPr>
        <w:t xml:space="preserve">Cette Loi prévoit la mise sur pied d’un régime de contrôle des organismes génétiquement modifiés et d’un régime de contrôle des pratiques agricoles pouvant entraîner des impacts sur l’environnement. </w:t>
      </w:r>
    </w:p>
    <w:p w14:paraId="477B84CD" w14:textId="77777777" w:rsidR="009021F1" w:rsidRPr="009D55A6" w:rsidRDefault="009021F1" w:rsidP="009021F1">
      <w:pPr>
        <w:rPr>
          <w:rFonts w:cs="Arial"/>
          <w:szCs w:val="21"/>
        </w:rPr>
      </w:pPr>
      <w:r w:rsidRPr="009D55A6">
        <w:rPr>
          <w:rFonts w:cs="Arial"/>
          <w:szCs w:val="21"/>
        </w:rPr>
        <w:t xml:space="preserve"> </w:t>
      </w:r>
    </w:p>
    <w:p w14:paraId="68A279F2" w14:textId="77777777" w:rsidR="009021F1" w:rsidRPr="009D55A6" w:rsidRDefault="009021F1" w:rsidP="009021F1">
      <w:pPr>
        <w:rPr>
          <w:rFonts w:cs="Arial"/>
          <w:szCs w:val="21"/>
        </w:rPr>
      </w:pPr>
      <w:r w:rsidRPr="009D55A6">
        <w:rPr>
          <w:rFonts w:cs="Arial"/>
          <w:szCs w:val="21"/>
        </w:rPr>
        <w:t xml:space="preserve">Les articles 10 à 15 du de la Loi sur l’agriculture fixent les bases de la réforme foncière agricole. Cette réforme a pour principes directeurs l’accès équitable aux terres agricoles, la sécurisation de l’exploitation et des exploitants agricoles, la promotion des investissements publics et privés de la gestion durable des ressources en terres. </w:t>
      </w:r>
    </w:p>
    <w:p w14:paraId="3C2D3213" w14:textId="77777777" w:rsidR="009021F1" w:rsidRPr="009D55A6" w:rsidRDefault="009021F1" w:rsidP="009021F1">
      <w:pPr>
        <w:rPr>
          <w:rFonts w:cs="Arial"/>
          <w:szCs w:val="21"/>
        </w:rPr>
      </w:pPr>
    </w:p>
    <w:p w14:paraId="2CE6D1BA" w14:textId="77777777" w:rsidR="009021F1" w:rsidRPr="009D55A6" w:rsidRDefault="009021F1" w:rsidP="009021F1">
      <w:pPr>
        <w:rPr>
          <w:rFonts w:cs="Arial"/>
          <w:szCs w:val="21"/>
        </w:rPr>
      </w:pPr>
      <w:r w:rsidRPr="009D55A6">
        <w:rPr>
          <w:rFonts w:cs="Arial"/>
          <w:szCs w:val="21"/>
        </w:rPr>
        <w:t xml:space="preserve">L’article 12 dispose que chaque province fixe, par édit, les superficies rurales et urbano-rurales destinées à l’usage agricole. Il s’agit donc d’un processus de planification de l’usage du territoire qui s’effectue à l’échelle provinciale, duquel découle un plan de zonage agricole. </w:t>
      </w:r>
    </w:p>
    <w:p w14:paraId="2E08A9B5" w14:textId="77777777" w:rsidR="009021F1" w:rsidRPr="009D55A6" w:rsidRDefault="009021F1" w:rsidP="009021F1">
      <w:pPr>
        <w:rPr>
          <w:rFonts w:cs="Arial"/>
          <w:szCs w:val="21"/>
        </w:rPr>
      </w:pPr>
    </w:p>
    <w:p w14:paraId="1D635621" w14:textId="77777777" w:rsidR="009021F1" w:rsidRPr="009D55A6" w:rsidRDefault="009021F1" w:rsidP="009021F1">
      <w:pPr>
        <w:rPr>
          <w:rFonts w:cs="Arial"/>
          <w:szCs w:val="21"/>
        </w:rPr>
      </w:pPr>
      <w:r w:rsidRPr="009D55A6">
        <w:rPr>
          <w:rFonts w:cs="Arial"/>
          <w:szCs w:val="21"/>
        </w:rPr>
        <w:t xml:space="preserve">L’Article 13 dispose la mise sur pied, par les gouverneurs de provinces, de cadastres agricoles visant à : </w:t>
      </w:r>
    </w:p>
    <w:p w14:paraId="06EBED82" w14:textId="77777777" w:rsidR="009021F1" w:rsidRPr="009D55A6" w:rsidRDefault="009021F1" w:rsidP="009021F1">
      <w:pPr>
        <w:rPr>
          <w:rFonts w:cs="Arial"/>
          <w:szCs w:val="21"/>
        </w:rPr>
      </w:pPr>
      <w:r w:rsidRPr="009D55A6">
        <w:rPr>
          <w:rFonts w:cs="Arial"/>
          <w:szCs w:val="21"/>
        </w:rPr>
        <w:t xml:space="preserve"> </w:t>
      </w:r>
    </w:p>
    <w:p w14:paraId="24034C93" w14:textId="77777777" w:rsidR="009021F1" w:rsidRPr="009D55A6" w:rsidRDefault="009021F1" w:rsidP="009021F1">
      <w:pPr>
        <w:pStyle w:val="Paragraphedeliste"/>
        <w:numPr>
          <w:ilvl w:val="0"/>
          <w:numId w:val="46"/>
        </w:numPr>
        <w:rPr>
          <w:rFonts w:cs="Arial"/>
          <w:szCs w:val="21"/>
        </w:rPr>
      </w:pPr>
      <w:r w:rsidRPr="009D55A6">
        <w:rPr>
          <w:rFonts w:cs="Arial"/>
          <w:szCs w:val="21"/>
        </w:rPr>
        <w:t xml:space="preserve">proposer à l’autorité foncière l’octroi de concessions d’exploitation agricole ; </w:t>
      </w:r>
    </w:p>
    <w:p w14:paraId="2D9D6DA8" w14:textId="77777777" w:rsidR="009021F1" w:rsidRPr="009D55A6" w:rsidRDefault="009021F1" w:rsidP="009021F1">
      <w:pPr>
        <w:pStyle w:val="Paragraphedeliste"/>
        <w:numPr>
          <w:ilvl w:val="0"/>
          <w:numId w:val="46"/>
        </w:numPr>
        <w:rPr>
          <w:rFonts w:cs="Arial"/>
          <w:szCs w:val="21"/>
        </w:rPr>
      </w:pPr>
      <w:r w:rsidRPr="009D55A6">
        <w:rPr>
          <w:rFonts w:cs="Arial"/>
          <w:szCs w:val="21"/>
        </w:rPr>
        <w:t xml:space="preserve">assurer la bonne administration des terres destinées à l’exploitation agricole ; </w:t>
      </w:r>
    </w:p>
    <w:p w14:paraId="0B84A019" w14:textId="77777777" w:rsidR="009021F1" w:rsidRPr="009D55A6" w:rsidRDefault="009021F1" w:rsidP="009021F1">
      <w:pPr>
        <w:pStyle w:val="Paragraphedeliste"/>
        <w:numPr>
          <w:ilvl w:val="0"/>
          <w:numId w:val="46"/>
        </w:numPr>
        <w:rPr>
          <w:rFonts w:cs="Arial"/>
          <w:szCs w:val="21"/>
        </w:rPr>
      </w:pPr>
      <w:r w:rsidRPr="009D55A6">
        <w:rPr>
          <w:rFonts w:cs="Arial"/>
          <w:szCs w:val="21"/>
        </w:rPr>
        <w:t xml:space="preserve">constater la mise en valeur des terres agricoles ; </w:t>
      </w:r>
    </w:p>
    <w:p w14:paraId="79FE9F4B" w14:textId="77777777" w:rsidR="009021F1" w:rsidRPr="009D55A6" w:rsidRDefault="009021F1" w:rsidP="009021F1">
      <w:pPr>
        <w:pStyle w:val="Paragraphedeliste"/>
        <w:numPr>
          <w:ilvl w:val="0"/>
          <w:numId w:val="46"/>
        </w:numPr>
        <w:rPr>
          <w:rFonts w:cs="Arial"/>
          <w:szCs w:val="21"/>
        </w:rPr>
      </w:pPr>
      <w:r w:rsidRPr="009D55A6">
        <w:rPr>
          <w:rFonts w:cs="Arial"/>
          <w:szCs w:val="21"/>
        </w:rPr>
        <w:t xml:space="preserve">conserver les documents cartographiques en rapport avec les terres destinées à l’exploitation agricole. </w:t>
      </w:r>
    </w:p>
    <w:p w14:paraId="3831F3A3" w14:textId="77777777" w:rsidR="009021F1" w:rsidRPr="009D55A6" w:rsidRDefault="009021F1" w:rsidP="009021F1">
      <w:pPr>
        <w:rPr>
          <w:rFonts w:cs="Arial"/>
          <w:szCs w:val="21"/>
        </w:rPr>
      </w:pPr>
      <w:r w:rsidRPr="009D55A6">
        <w:rPr>
          <w:rFonts w:cs="Arial"/>
          <w:szCs w:val="21"/>
        </w:rPr>
        <w:t xml:space="preserve"> </w:t>
      </w:r>
    </w:p>
    <w:p w14:paraId="6F5C8390" w14:textId="77777777" w:rsidR="009021F1" w:rsidRPr="009D55A6" w:rsidRDefault="009021F1" w:rsidP="009021F1">
      <w:pPr>
        <w:rPr>
          <w:rFonts w:cs="Arial"/>
          <w:szCs w:val="21"/>
        </w:rPr>
      </w:pPr>
      <w:r w:rsidRPr="009D55A6">
        <w:rPr>
          <w:rFonts w:cs="Arial"/>
          <w:szCs w:val="21"/>
        </w:rPr>
        <w:t xml:space="preserve">Les Articles 18 et 19 prévoient la reconnaissance, à chaque communauté locale, des droits fonciers coutumiers exercés collectivement ou individuellement sur ses terres conformément à la loi, et ce sans qu’il ne soit nécessaire de lui décerner un certificat d’enregistrement. L’ensemble des terres reconnues à chaque communauté locale constitue son domaine foncier de jouissance et comprend des réserves des terres de cultures, de jachère, de pâturage et de parcours, et les boisements utilisés régulièrement par la communauté locale. </w:t>
      </w:r>
    </w:p>
    <w:p w14:paraId="4B3012DD" w14:textId="77777777" w:rsidR="009021F1" w:rsidRPr="009D55A6" w:rsidRDefault="009021F1" w:rsidP="009021F1">
      <w:pPr>
        <w:rPr>
          <w:rFonts w:cs="Arial"/>
          <w:szCs w:val="21"/>
        </w:rPr>
      </w:pPr>
    </w:p>
    <w:p w14:paraId="0E508354" w14:textId="77777777" w:rsidR="009021F1" w:rsidRPr="009D55A6" w:rsidRDefault="009021F1" w:rsidP="009021F1">
      <w:pPr>
        <w:rPr>
          <w:rFonts w:cs="Arial"/>
          <w:szCs w:val="21"/>
        </w:rPr>
      </w:pPr>
      <w:r w:rsidRPr="009D55A6">
        <w:rPr>
          <w:rFonts w:cs="Arial"/>
          <w:szCs w:val="21"/>
        </w:rPr>
        <w:t>Ainsi, la présente loi est pertinente pour le PNDA dans le sens qu’elle détermine, conformément à l'article 123, point 14 de la Constitution, les principes fondamentaux relatifs à l'agriculture en RDC. Elle vise la promotion et la croissance de la production agricole en vue de garantir la sécurité alimentaire et le développement du milieu rural. Ses objectifs rejoignent également l’objectif du développement du Programme PNDA.</w:t>
      </w:r>
    </w:p>
    <w:p w14:paraId="41CAD53A" w14:textId="77777777" w:rsidR="009021F1" w:rsidRPr="009D55A6" w:rsidRDefault="009021F1" w:rsidP="009021F1">
      <w:pPr>
        <w:rPr>
          <w:rFonts w:cs="Arial"/>
          <w:szCs w:val="21"/>
        </w:rPr>
      </w:pPr>
    </w:p>
    <w:p w14:paraId="1D62F640" w14:textId="77777777" w:rsidR="009021F1" w:rsidRPr="009D55A6" w:rsidRDefault="009021F1" w:rsidP="009021F1">
      <w:pPr>
        <w:rPr>
          <w:rFonts w:cs="Arial"/>
          <w:i/>
          <w:szCs w:val="21"/>
        </w:rPr>
      </w:pPr>
      <w:r w:rsidRPr="009D55A6">
        <w:rPr>
          <w:rFonts w:cs="Arial"/>
          <w:i/>
          <w:szCs w:val="21"/>
        </w:rPr>
        <w:t>Protection de la végétation et de la faune</w:t>
      </w:r>
    </w:p>
    <w:p w14:paraId="788DC977" w14:textId="77777777" w:rsidR="009021F1" w:rsidRPr="009D55A6" w:rsidRDefault="009021F1" w:rsidP="009021F1">
      <w:pPr>
        <w:rPr>
          <w:rFonts w:cs="Arial"/>
          <w:szCs w:val="21"/>
        </w:rPr>
      </w:pPr>
    </w:p>
    <w:p w14:paraId="7276E0B9" w14:textId="77777777" w:rsidR="009021F1" w:rsidRPr="009D55A6" w:rsidRDefault="009021F1" w:rsidP="009021F1">
      <w:pPr>
        <w:rPr>
          <w:rFonts w:cs="Arial"/>
          <w:szCs w:val="21"/>
        </w:rPr>
      </w:pPr>
      <w:r w:rsidRPr="009D55A6">
        <w:rPr>
          <w:rFonts w:cs="Arial"/>
          <w:szCs w:val="21"/>
        </w:rPr>
        <w:t xml:space="preserve">La Loi n° 011-2002 du 29 août 2002 portant Code Forestier qui traite du défrichement et des problèmes d’érosion interdit : « tout acte de déboisement des zones exposées au risque d’érosion et d’inondation ; tout déboisement sur une distance de 50 mètres de part et d’autre des cours d’eau et dans un rayon de 100 mètres autour de leurs sources ». En outre le Code précise : « tout déboisement doit être compensé par un reboisement équivalent en qualité et en superficie au couvert forestier initial (…) et exige l’obtention d’un permis de déboisement pour une superficie supérieure à 2 ha ». </w:t>
      </w:r>
    </w:p>
    <w:p w14:paraId="55981B35" w14:textId="77777777" w:rsidR="009021F1" w:rsidRPr="009D55A6" w:rsidRDefault="009021F1" w:rsidP="009021F1">
      <w:pPr>
        <w:rPr>
          <w:rFonts w:cs="Arial"/>
          <w:szCs w:val="21"/>
        </w:rPr>
      </w:pPr>
    </w:p>
    <w:p w14:paraId="47589FCA" w14:textId="77777777" w:rsidR="009021F1" w:rsidRPr="009D55A6" w:rsidRDefault="009021F1" w:rsidP="009021F1">
      <w:pPr>
        <w:rPr>
          <w:rFonts w:cs="Arial"/>
          <w:szCs w:val="21"/>
        </w:rPr>
      </w:pPr>
      <w:r w:rsidRPr="009D55A6">
        <w:rPr>
          <w:rFonts w:cs="Arial"/>
          <w:color w:val="202124"/>
          <w:szCs w:val="21"/>
          <w:shd w:val="clear" w:color="auto" w:fill="FFFFFF"/>
        </w:rPr>
        <w:t>Étant donné que les activités agricoles du PNDA risquent d’impacter (risque d’empiètement) des vastes étendus des forêts et des aires protégées dans les provinces concernées (</w:t>
      </w:r>
      <w:r w:rsidRPr="009D55A6">
        <w:rPr>
          <w:rFonts w:eastAsia="MS Mincho" w:cs="Arial"/>
          <w:szCs w:val="21"/>
        </w:rPr>
        <w:t>domaine de chasse de Mangai, Bushimaie, Parc Marine de Mangrove et Parc National de Virunga)</w:t>
      </w:r>
      <w:r w:rsidRPr="009D55A6">
        <w:rPr>
          <w:rFonts w:cs="Arial"/>
          <w:color w:val="202124"/>
          <w:szCs w:val="21"/>
          <w:shd w:val="clear" w:color="auto" w:fill="FFFFFF"/>
        </w:rPr>
        <w:t xml:space="preserve">, la </w:t>
      </w:r>
      <w:r w:rsidRPr="009D55A6">
        <w:rPr>
          <w:rFonts w:cs="Arial"/>
          <w:szCs w:val="21"/>
        </w:rPr>
        <w:t>présente loi est pertinente pour le PNDA dans le sens qu’elle</w:t>
      </w:r>
      <w:r w:rsidRPr="009D55A6">
        <w:rPr>
          <w:rFonts w:cs="Arial"/>
          <w:color w:val="202124"/>
          <w:szCs w:val="21"/>
          <w:shd w:val="clear" w:color="auto" w:fill="FFFFFF"/>
        </w:rPr>
        <w:t xml:space="preserve"> définit le régime applicable à la conservation, à l'exploitation et à la mise en valeur des ressources forestières sur l'ensemble du territoire national. </w:t>
      </w:r>
    </w:p>
    <w:p w14:paraId="2DF6D290" w14:textId="77777777" w:rsidR="009021F1" w:rsidRPr="009D55A6" w:rsidRDefault="009021F1" w:rsidP="009021F1">
      <w:pPr>
        <w:rPr>
          <w:rFonts w:cs="Arial"/>
          <w:szCs w:val="21"/>
        </w:rPr>
      </w:pPr>
    </w:p>
    <w:p w14:paraId="70F8B168" w14:textId="77777777" w:rsidR="009021F1" w:rsidRPr="009D55A6" w:rsidRDefault="009021F1" w:rsidP="009021F1">
      <w:pPr>
        <w:rPr>
          <w:rFonts w:cs="Arial"/>
          <w:szCs w:val="21"/>
        </w:rPr>
      </w:pPr>
      <w:r w:rsidRPr="009D55A6">
        <w:rPr>
          <w:rFonts w:cs="Arial"/>
          <w:szCs w:val="21"/>
        </w:rPr>
        <w:t>La Loi n° 14/003 du 11 février 2014 relative à la conservation de la nature s’inscrit dans la volonté exprimée par l’article 202, point 36, litera f, de la Constitution. Elle intègre par ailleurs les dispositions des articles 203, point 18, et 204, point 23, relatives aux compétences reconnues au pouvoir central et à la province. En outre, en application des dispositions de l’article 36 de la Loi n°11/009 du 09 juillet 2011 portant principes fondamentaux relatifs à la protection de l’environnement, elle clarifie certaines règles relatives à la conservation et à la gestion durable des ressources naturelles, de la diversité biologique, des écosystèmes, des sites et monuments situés sur le territoire national.</w:t>
      </w:r>
    </w:p>
    <w:p w14:paraId="0FBACD7B" w14:textId="77777777" w:rsidR="009021F1" w:rsidRPr="009D55A6" w:rsidRDefault="009021F1" w:rsidP="009021F1">
      <w:pPr>
        <w:rPr>
          <w:rFonts w:cs="Arial"/>
          <w:szCs w:val="21"/>
        </w:rPr>
      </w:pPr>
    </w:p>
    <w:p w14:paraId="0C69B457" w14:textId="77777777" w:rsidR="009021F1" w:rsidRPr="009D55A6" w:rsidRDefault="009021F1" w:rsidP="009021F1">
      <w:pPr>
        <w:rPr>
          <w:rFonts w:cs="Arial"/>
          <w:szCs w:val="21"/>
        </w:rPr>
      </w:pPr>
      <w:r w:rsidRPr="009D55A6">
        <w:rPr>
          <w:rFonts w:cs="Arial"/>
          <w:szCs w:val="21"/>
        </w:rPr>
        <w:t>Tel qu’indiqué ci-haut, l</w:t>
      </w:r>
      <w:r w:rsidRPr="009D55A6">
        <w:rPr>
          <w:rFonts w:cs="Arial"/>
          <w:color w:val="202124"/>
          <w:szCs w:val="21"/>
          <w:shd w:val="clear" w:color="auto" w:fill="FFFFFF"/>
        </w:rPr>
        <w:t xml:space="preserve">a présente est pertinente aux activités agricoles du PNDA dans le sens qu’elle fixe, conformément à l'article 202, point 36, litera f, de la Constitution, les règles relatives à la </w:t>
      </w:r>
      <w:r w:rsidRPr="009D55A6">
        <w:rPr>
          <w:rFonts w:cs="Arial"/>
          <w:bCs/>
          <w:color w:val="202124"/>
          <w:szCs w:val="21"/>
        </w:rPr>
        <w:t>conservation</w:t>
      </w:r>
      <w:r w:rsidRPr="009D55A6">
        <w:rPr>
          <w:rFonts w:cs="Arial"/>
          <w:color w:val="202124"/>
          <w:szCs w:val="21"/>
          <w:shd w:val="clear" w:color="auto" w:fill="FFFFFF"/>
        </w:rPr>
        <w:t xml:space="preserve"> de la diversité biologique, à l'utilisation durable de ses éléments constitutifs ainsi qu'à l'accès et au partage juste et équitable des avantages découlant de l'exploitation des ressources naturelles dans les aires protégées susceptibles d’être impactées par les activités du PNDA. Il s’agit de </w:t>
      </w:r>
      <w:r w:rsidRPr="009D55A6">
        <w:rPr>
          <w:rFonts w:eastAsia="MS Mincho" w:cs="Arial"/>
          <w:szCs w:val="21"/>
        </w:rPr>
        <w:t>domaine de chasse de Mangai dans la province du Kweilu, Bushimaie dans le Kasaï, Parc Marine de Mangrove dans le Kongo Central et Parc National de Virunga dans le Nord-Kivu.</w:t>
      </w:r>
    </w:p>
    <w:p w14:paraId="4E381A1D" w14:textId="77777777" w:rsidR="009021F1" w:rsidRDefault="009021F1" w:rsidP="009021F1">
      <w:pPr>
        <w:rPr>
          <w:rFonts w:cs="Arial"/>
          <w:szCs w:val="21"/>
        </w:rPr>
      </w:pPr>
    </w:p>
    <w:p w14:paraId="594EA054" w14:textId="77777777" w:rsidR="009021F1" w:rsidRPr="009D55A6" w:rsidRDefault="009021F1" w:rsidP="009021F1">
      <w:pPr>
        <w:rPr>
          <w:rFonts w:cs="Arial"/>
          <w:i/>
          <w:szCs w:val="21"/>
        </w:rPr>
      </w:pPr>
      <w:r w:rsidRPr="009D55A6">
        <w:rPr>
          <w:rFonts w:cs="Arial"/>
          <w:i/>
          <w:szCs w:val="21"/>
        </w:rPr>
        <w:t>Autres textes liés à la gestion de ressources naturelles</w:t>
      </w:r>
    </w:p>
    <w:p w14:paraId="38698F88" w14:textId="77777777" w:rsidR="009021F1" w:rsidRPr="009D55A6" w:rsidRDefault="009021F1" w:rsidP="009021F1">
      <w:pPr>
        <w:rPr>
          <w:rFonts w:cs="Arial"/>
          <w:szCs w:val="21"/>
        </w:rPr>
      </w:pPr>
    </w:p>
    <w:p w14:paraId="44B42627" w14:textId="77777777" w:rsidR="009021F1" w:rsidRPr="009D55A6" w:rsidRDefault="009021F1" w:rsidP="009021F1">
      <w:pPr>
        <w:rPr>
          <w:rFonts w:cs="Arial"/>
          <w:szCs w:val="21"/>
        </w:rPr>
      </w:pPr>
      <w:r w:rsidRPr="009D55A6">
        <w:rPr>
          <w:rFonts w:cs="Arial"/>
          <w:szCs w:val="21"/>
        </w:rPr>
        <w:t>Loi n°82/002 du 28 mai 1982 portant réglementation de la chasse : Bien que définissant les conditions d’accès ou d’exploitation de la faune, cette loi établit la liste des espèces totalement et partiellement protégées et interdit de détériorer d’une manière irrégulière l’habitat de la faune, sauf autorisation de l’autorité locale. - Ordonnance-loi n°69-041 du 22 août 1969 relative à la conservation de la nature : Elle interdit toute activité dans les réserves naturelles intégrales. Elle prévoit que les terres domaniales situées dans les réserves intégrales ne peuvent recevoir d’affectation incompatible avec la protection de la nature. Elle y interdit de faire des fouilles, terrassements, sondages, prélèvements, matériaux et tous autres travaux de nature à modifier l’aspect du terrain ou de la végétation, de bloquer les rivières, de prélever ou de polluer directement ou indirectement les eaux. Elle permet la réalisation des infrastructures en vue d’organiser le tourisme ou de permettre le déplacement indispensable de population pour le développement économique. Elle détermine les espèces de faune totalement et partiellement protégées. - Loi n°75-04 du 22 juillet 1975 relative à la création des secteurs sauvegardés. - Décret du 26 novembre 1958 sur la conservation de la nature et l’utilisation des sols.</w:t>
      </w:r>
    </w:p>
    <w:p w14:paraId="4E288686" w14:textId="77777777" w:rsidR="009021F1" w:rsidRPr="009D55A6" w:rsidRDefault="009021F1" w:rsidP="009021F1">
      <w:pPr>
        <w:rPr>
          <w:rFonts w:cs="Arial"/>
          <w:szCs w:val="21"/>
        </w:rPr>
      </w:pPr>
    </w:p>
    <w:p w14:paraId="03BDB327" w14:textId="77777777" w:rsidR="009021F1" w:rsidRPr="009D55A6" w:rsidRDefault="009021F1" w:rsidP="009021F1">
      <w:pPr>
        <w:rPr>
          <w:rFonts w:cs="Arial"/>
          <w:szCs w:val="21"/>
        </w:rPr>
      </w:pPr>
      <w:r w:rsidRPr="009D55A6">
        <w:rPr>
          <w:rFonts w:cs="Arial"/>
          <w:szCs w:val="21"/>
        </w:rPr>
        <w:t>Le PNDA étant un Programme qui va se réaliser dans les milieux ruraux où l’on rencontre des forêts et des aires protégées riches en ressources fauniques, la Loi n° 82-002 du 28/05/1982 article 12 et 16) va aider le PNDA à vulgariser la réglementation de chasse qui est en principe ouverte et fermée selon le calendrier prévu par la loi.</w:t>
      </w:r>
    </w:p>
    <w:p w14:paraId="1F8E84EF" w14:textId="77777777" w:rsidR="009021F1" w:rsidRPr="009D55A6" w:rsidRDefault="009021F1" w:rsidP="009021F1">
      <w:pPr>
        <w:rPr>
          <w:rFonts w:cs="Arial"/>
          <w:szCs w:val="21"/>
        </w:rPr>
      </w:pPr>
    </w:p>
    <w:p w14:paraId="398E8D48" w14:textId="77777777" w:rsidR="009021F1" w:rsidRPr="009D55A6" w:rsidRDefault="009021F1" w:rsidP="009021F1">
      <w:pPr>
        <w:rPr>
          <w:rFonts w:cs="Arial"/>
          <w:i/>
          <w:szCs w:val="21"/>
        </w:rPr>
      </w:pPr>
      <w:r w:rsidRPr="009D55A6">
        <w:rPr>
          <w:rFonts w:cs="Arial"/>
          <w:i/>
          <w:szCs w:val="21"/>
        </w:rPr>
        <w:t>Protection et utilisation des ressources physiques (sols et eau)</w:t>
      </w:r>
    </w:p>
    <w:p w14:paraId="2CCECF6F" w14:textId="77777777" w:rsidR="009021F1" w:rsidRPr="009D55A6" w:rsidRDefault="009021F1" w:rsidP="009021F1">
      <w:pPr>
        <w:rPr>
          <w:rFonts w:cs="Arial"/>
          <w:szCs w:val="21"/>
        </w:rPr>
      </w:pPr>
    </w:p>
    <w:p w14:paraId="14F8ABB8" w14:textId="77777777" w:rsidR="009021F1" w:rsidRPr="009D55A6" w:rsidRDefault="009021F1" w:rsidP="009021F1">
      <w:pPr>
        <w:rPr>
          <w:rFonts w:cs="Arial"/>
          <w:szCs w:val="21"/>
        </w:rPr>
      </w:pPr>
      <w:r w:rsidRPr="009D55A6">
        <w:rPr>
          <w:rFonts w:cs="Arial"/>
          <w:szCs w:val="21"/>
        </w:rPr>
        <w:t>La Loi n° 15/026 du 31 décembre 2015 relative à l’eau dispose, en son Article 1</w:t>
      </w:r>
      <w:r w:rsidRPr="009D55A6">
        <w:rPr>
          <w:rFonts w:cs="Arial"/>
          <w:szCs w:val="21"/>
          <w:vertAlign w:val="superscript"/>
        </w:rPr>
        <w:t>er</w:t>
      </w:r>
      <w:r w:rsidRPr="009D55A6">
        <w:rPr>
          <w:rFonts w:cs="Arial"/>
          <w:szCs w:val="21"/>
        </w:rPr>
        <w:t xml:space="preserve"> qu’elle a pour objet la gestion durable et équitable des ressources en eau constituées des eaux souterraines et de surface, tant continentales que maritimes, conformément aux Articles 9 et 48 de la Constitution. Elle en définit la nature, les régimes de mise en valeur, de protection et de son utilisation comme ressource économique ainsi que de coopération interétatique pour les lacs et les cours d’eau transfrontaliers. </w:t>
      </w:r>
    </w:p>
    <w:p w14:paraId="22E075E1" w14:textId="77777777" w:rsidR="009021F1" w:rsidRPr="009D55A6" w:rsidRDefault="009021F1" w:rsidP="009021F1">
      <w:pPr>
        <w:rPr>
          <w:rFonts w:cs="Arial"/>
          <w:szCs w:val="21"/>
        </w:rPr>
      </w:pPr>
    </w:p>
    <w:p w14:paraId="18170FE2" w14:textId="77777777" w:rsidR="009021F1" w:rsidRPr="009D55A6" w:rsidRDefault="009021F1" w:rsidP="009021F1">
      <w:pPr>
        <w:rPr>
          <w:rFonts w:cs="Arial"/>
          <w:szCs w:val="21"/>
        </w:rPr>
      </w:pPr>
      <w:r w:rsidRPr="009D55A6">
        <w:rPr>
          <w:rFonts w:cs="Arial"/>
          <w:szCs w:val="21"/>
        </w:rPr>
        <w:t>Cette Loi dispose également en son article 7 que : « Sous réserve des dérogations établies par la loi, les ressources en eau et les écosystèmes aquatiques naturels font partie du domaine public. » ; quant à leur protection, il est interdit, tout rejet des déchets, substances, organismes ou espèces biologiques exotiques envahissantes susceptibles de polluer, d’altérer ou de dégrader la qualité des eaux de surface ou souterraine, tant continentales que maritimes, de nuire à leurs ressources biologiques et aux écosystèmes côtiers et de mettre en danger la santé (Article 19). Et plus spécifiquement aux eaux continentales, il est interdit sauf dérogation d’empêcher le libre écoulement des eaux de surface et des eaux souterraines ni en changer le cours (Article 20). Le projet est tenu de se conformer à ces exigences.</w:t>
      </w:r>
    </w:p>
    <w:p w14:paraId="47C90E18" w14:textId="77777777" w:rsidR="009021F1" w:rsidRPr="009D55A6" w:rsidRDefault="009021F1" w:rsidP="009021F1">
      <w:pPr>
        <w:rPr>
          <w:rFonts w:cs="Arial"/>
          <w:szCs w:val="21"/>
        </w:rPr>
      </w:pPr>
    </w:p>
    <w:p w14:paraId="072E8304" w14:textId="77777777" w:rsidR="009021F1" w:rsidRPr="009D55A6" w:rsidRDefault="009021F1" w:rsidP="009021F1">
      <w:pPr>
        <w:rPr>
          <w:rFonts w:cs="Arial"/>
          <w:szCs w:val="21"/>
        </w:rPr>
      </w:pPr>
      <w:r w:rsidRPr="009D55A6">
        <w:rPr>
          <w:rFonts w:cs="Arial"/>
          <w:szCs w:val="21"/>
        </w:rPr>
        <w:t xml:space="preserve">Les activités agricoles et de pêche du PNDA sont susceptibles d’impacter les eaux des lacs Edouard et Kivu dans la Province du Nord-Kivu ainsi que les activités de balisage des rivières affluents du Fleuve Congo non encore identifiées d’autres provinces concernées, la loi relative à l’eau </w:t>
      </w:r>
      <w:r w:rsidRPr="009D55A6">
        <w:rPr>
          <w:rFonts w:cs="Arial"/>
          <w:color w:val="202124"/>
          <w:szCs w:val="21"/>
          <w:shd w:val="clear" w:color="auto" w:fill="FFFFFF"/>
        </w:rPr>
        <w:t>définit la nature, les régimes de mise en valeur, de protection et de son utilisation comme ressource économique ainsi que de coopération interétatique pour les lacs et les cours d'eau transfrontaliers.</w:t>
      </w:r>
    </w:p>
    <w:p w14:paraId="1E64F132" w14:textId="77777777" w:rsidR="009021F1" w:rsidRPr="009D55A6" w:rsidRDefault="009021F1" w:rsidP="009021F1">
      <w:pPr>
        <w:rPr>
          <w:rFonts w:cs="Arial"/>
          <w:szCs w:val="21"/>
        </w:rPr>
      </w:pPr>
    </w:p>
    <w:p w14:paraId="2185BC3F" w14:textId="77777777" w:rsidR="009021F1" w:rsidRPr="009D55A6" w:rsidRDefault="009021F1" w:rsidP="009021F1">
      <w:pPr>
        <w:rPr>
          <w:rFonts w:cs="Arial"/>
          <w:szCs w:val="21"/>
        </w:rPr>
      </w:pPr>
      <w:r w:rsidRPr="009D55A6">
        <w:rPr>
          <w:rFonts w:cs="Arial"/>
          <w:szCs w:val="21"/>
        </w:rPr>
        <w:t>La Loi n° 007/2002 du 11 juillet 2002 portant Code Minier tel que modifiée et complétée par la Loi n°18/001 du 09 mars 2018 : tout en définissant les conditions d’ouverture et d’exploitation des gîtes de matériaux, le Code minier et son Règlement prennent en compte les préoccupations environnementales (par exemple : « Les demandes des droits miniers ou de carrières font l’objet d’une instruction cadastrale suivie des instructions techniques et environnementales ; Les contraintes d’ordre environnemental ont conduit le législateur à imposer au requérant d’un Permis d’Exploitation, de présenter, à l’appui de sa demande de Permis, une Étude d’Impact Environnemental et Social et un Plan de Gestion Environnementale et Sociale, etc. ») ;  en cas d’extraction de matériaux de construction, le Projet devra respecter les dispositions du Code minier y relatives.</w:t>
      </w:r>
    </w:p>
    <w:p w14:paraId="22936F64" w14:textId="77777777" w:rsidR="009021F1" w:rsidRPr="009D55A6" w:rsidRDefault="009021F1" w:rsidP="009021F1">
      <w:pPr>
        <w:rPr>
          <w:rFonts w:cs="Arial"/>
          <w:szCs w:val="21"/>
        </w:rPr>
      </w:pPr>
    </w:p>
    <w:p w14:paraId="0D251324" w14:textId="77777777" w:rsidR="009021F1" w:rsidRPr="009D55A6" w:rsidRDefault="009021F1" w:rsidP="009021F1">
      <w:pPr>
        <w:rPr>
          <w:rFonts w:cs="Arial"/>
          <w:bCs/>
          <w:i/>
          <w:szCs w:val="21"/>
        </w:rPr>
      </w:pPr>
      <w:r w:rsidRPr="009D55A6">
        <w:rPr>
          <w:rFonts w:cs="Arial"/>
          <w:bCs/>
          <w:i/>
          <w:szCs w:val="21"/>
        </w:rPr>
        <w:t>Textes relatifs aux mines</w:t>
      </w:r>
    </w:p>
    <w:p w14:paraId="625C0E50" w14:textId="77777777" w:rsidR="009021F1" w:rsidRPr="009D55A6" w:rsidRDefault="009021F1" w:rsidP="009021F1">
      <w:pPr>
        <w:rPr>
          <w:rFonts w:cs="Arial"/>
          <w:bCs/>
          <w:szCs w:val="21"/>
          <w:u w:val="single"/>
        </w:rPr>
      </w:pPr>
    </w:p>
    <w:p w14:paraId="009E02C9" w14:textId="77777777" w:rsidR="009021F1" w:rsidRPr="009D55A6" w:rsidRDefault="009021F1" w:rsidP="009021F1">
      <w:pPr>
        <w:rPr>
          <w:rFonts w:cs="Arial"/>
          <w:szCs w:val="21"/>
        </w:rPr>
      </w:pPr>
      <w:r w:rsidRPr="009D55A6">
        <w:rPr>
          <w:rFonts w:cs="Arial"/>
          <w:szCs w:val="21"/>
        </w:rPr>
        <w:t>La Loi n° 007/2002 du 11 juillet 2002 portant Code Minier tel que modifiée et complétée par la Loi n°18/001 du 09 mars 2018 et le Décret n°038/2003 du 26 mars 2003 portant Règlement Minier tel que modifié et complété par le Décret n°18/024 du 08 juin 2018 : tout en définissant les conditions d’ouverture et d’exploitation des gîtes de matériaux, le Code Minier et Règlement Minier prennent en compte les préoccupations environnementales (par exemple : « Les demandes des droits miniers ou de carrières font l’objet d’une instruction cadastrale suivie des instructions techniques et environnementale ; Les contraintes d’ordre environnemental ont conduit le législateur à imposer au requérant du Permis d’Exploitation,  de présenter, à l’appui de sa demande de Permis, une Étude d’Impact Environnemental et Social et un Plan de Gestion Environnementale et Sociale  (PGES), etc. »);  en cas d’extraction de matériaux de construction, le Projet devra respecter les dispositions du Code Minier y relatives.</w:t>
      </w:r>
    </w:p>
    <w:p w14:paraId="48DD85D4" w14:textId="77777777" w:rsidR="009021F1" w:rsidRPr="009D55A6" w:rsidRDefault="009021F1" w:rsidP="009021F1">
      <w:pPr>
        <w:rPr>
          <w:rFonts w:cs="Arial"/>
          <w:szCs w:val="21"/>
        </w:rPr>
      </w:pPr>
    </w:p>
    <w:p w14:paraId="7563E151" w14:textId="77777777" w:rsidR="009021F1" w:rsidRPr="009D55A6" w:rsidRDefault="009021F1" w:rsidP="009021F1">
      <w:pPr>
        <w:rPr>
          <w:rFonts w:cs="Arial"/>
          <w:szCs w:val="21"/>
        </w:rPr>
      </w:pPr>
      <w:r w:rsidRPr="009D55A6">
        <w:rPr>
          <w:rFonts w:cs="Arial"/>
          <w:szCs w:val="21"/>
        </w:rPr>
        <w:t>Étant donné que les activités de réhabilitation des pistes rurales, de construction des marchés, dépôts agricoles et abattoirs, etc. vont nécessiter l’extraction des matériaux (latérites, graviers, moellons, etc.) dans les carrières d’emprunts, cela touche le sous-sol, domaine régi par le Code Minier. Voilà pourquoi ce dernier est pertinent dans le cadre des activités du PNDA.</w:t>
      </w:r>
    </w:p>
    <w:p w14:paraId="13C7DAC9" w14:textId="77777777" w:rsidR="009021F1" w:rsidRPr="009D55A6" w:rsidRDefault="009021F1" w:rsidP="009021F1">
      <w:pPr>
        <w:rPr>
          <w:rFonts w:cs="Arial"/>
          <w:szCs w:val="21"/>
        </w:rPr>
      </w:pPr>
    </w:p>
    <w:p w14:paraId="75211C52" w14:textId="77777777" w:rsidR="009021F1" w:rsidRPr="009D55A6" w:rsidRDefault="009021F1" w:rsidP="009021F1">
      <w:pPr>
        <w:rPr>
          <w:rFonts w:cs="Arial"/>
          <w:i/>
          <w:szCs w:val="21"/>
        </w:rPr>
      </w:pPr>
      <w:r w:rsidRPr="009D55A6">
        <w:rPr>
          <w:rFonts w:cs="Arial"/>
          <w:i/>
          <w:szCs w:val="21"/>
        </w:rPr>
        <w:t>Législation sur le régime foncier, la compensation et la réinstallation</w:t>
      </w:r>
    </w:p>
    <w:p w14:paraId="124864B0" w14:textId="77777777" w:rsidR="009021F1" w:rsidRPr="009D55A6" w:rsidRDefault="009021F1" w:rsidP="009021F1">
      <w:pPr>
        <w:rPr>
          <w:rFonts w:cs="Arial"/>
          <w:szCs w:val="21"/>
        </w:rPr>
      </w:pPr>
    </w:p>
    <w:p w14:paraId="7E4B60D1" w14:textId="77777777" w:rsidR="009021F1" w:rsidRPr="009D55A6" w:rsidRDefault="009021F1" w:rsidP="009021F1">
      <w:pPr>
        <w:rPr>
          <w:rFonts w:cs="Arial"/>
          <w:szCs w:val="21"/>
        </w:rPr>
      </w:pPr>
      <w:r w:rsidRPr="009D55A6">
        <w:rPr>
          <w:rFonts w:cs="Arial"/>
          <w:szCs w:val="21"/>
        </w:rPr>
        <w:t xml:space="preserve">La Loi 73 - 021 du 20 juillet 1973 porte sur le régime général des biens, régime foncier et immobilier et régime des sûretés. Au regard de l'article 34 de la Constitution du 18 février 2006, toute décision d'expropriation relève de la compétence du pouvoir législatif. En tenant compte de cet article de la Constitution, la Loi n° 11-2004 du 26 mars 2004 décrit les procédures d'expropriation pour cause d’utilité publique qui devraient être en rigueur. </w:t>
      </w:r>
    </w:p>
    <w:p w14:paraId="2CCE2A90" w14:textId="77777777" w:rsidR="009021F1" w:rsidRPr="009D55A6" w:rsidRDefault="009021F1" w:rsidP="009021F1">
      <w:pPr>
        <w:rPr>
          <w:rFonts w:cs="Arial"/>
          <w:szCs w:val="21"/>
        </w:rPr>
      </w:pPr>
    </w:p>
    <w:p w14:paraId="7C439ADE" w14:textId="77777777" w:rsidR="009021F1" w:rsidRPr="009D55A6" w:rsidRDefault="009021F1" w:rsidP="009021F1">
      <w:pPr>
        <w:rPr>
          <w:rFonts w:cs="Arial"/>
          <w:szCs w:val="21"/>
        </w:rPr>
      </w:pPr>
      <w:r w:rsidRPr="009D55A6">
        <w:rPr>
          <w:rFonts w:cs="Arial"/>
          <w:szCs w:val="21"/>
        </w:rPr>
        <w:t>Au regard de l'article 34 de la Constitution du 18 février 2006, toute décision d'expropriation relève de la compétence du pouvoir législatif. En tenant compte de cet article de la Constitution, la loi n° 77-001 du 22/02/2002 décrit les procédures d'expropriation qui devraient être en vigueur.</w:t>
      </w:r>
    </w:p>
    <w:p w14:paraId="48993E91" w14:textId="77777777" w:rsidR="009021F1" w:rsidRPr="009D55A6" w:rsidRDefault="009021F1" w:rsidP="009021F1">
      <w:pPr>
        <w:rPr>
          <w:rFonts w:cs="Arial"/>
          <w:szCs w:val="21"/>
        </w:rPr>
      </w:pPr>
      <w:r w:rsidRPr="009D55A6">
        <w:rPr>
          <w:rFonts w:cs="Arial"/>
          <w:szCs w:val="21"/>
        </w:rPr>
        <w:t xml:space="preserve">Certaines activités du PNDA pourraient entraîner une réinstallation. Dans le cadre du Projet, un Cadre de Politique de Réinstallation (CPR) sera préparé en document séparé pour déterminer comment ces aspects seront pris en compte. En outre, certaines activités pourraient affectés les populations autochtones dans la Province du Nord-Kivu. C’est ainsi que dans le cadre du projet, un Cadre en faveur des Populations Autochtones (CPPA) sera préparé en document séparé pour prendre en compte ces aspects quant à ce. </w:t>
      </w:r>
    </w:p>
    <w:p w14:paraId="3A022DB2" w14:textId="77777777" w:rsidR="009021F1" w:rsidRDefault="009021F1" w:rsidP="009021F1">
      <w:pPr>
        <w:rPr>
          <w:rFonts w:cs="Arial"/>
          <w:szCs w:val="21"/>
        </w:rPr>
      </w:pPr>
    </w:p>
    <w:p w14:paraId="009FEA86" w14:textId="77777777" w:rsidR="009021F1" w:rsidRPr="009D55A6" w:rsidRDefault="009021F1" w:rsidP="009021F1">
      <w:pPr>
        <w:rPr>
          <w:rFonts w:cs="Arial"/>
          <w:i/>
          <w:szCs w:val="21"/>
        </w:rPr>
      </w:pPr>
      <w:r w:rsidRPr="009D55A6">
        <w:rPr>
          <w:rFonts w:cs="Arial"/>
          <w:i/>
          <w:szCs w:val="21"/>
        </w:rPr>
        <w:t>Protection des travailleurs</w:t>
      </w:r>
    </w:p>
    <w:p w14:paraId="11F4B687" w14:textId="77777777" w:rsidR="009021F1" w:rsidRPr="009D55A6" w:rsidRDefault="009021F1" w:rsidP="009021F1">
      <w:pPr>
        <w:rPr>
          <w:rFonts w:cs="Arial"/>
          <w:i/>
          <w:szCs w:val="21"/>
        </w:rPr>
      </w:pPr>
    </w:p>
    <w:p w14:paraId="740B1416" w14:textId="77777777" w:rsidR="009021F1" w:rsidRPr="009D55A6" w:rsidRDefault="009021F1" w:rsidP="009021F1">
      <w:pPr>
        <w:rPr>
          <w:rFonts w:cs="Arial"/>
          <w:szCs w:val="21"/>
        </w:rPr>
      </w:pPr>
      <w:r w:rsidRPr="009D55A6">
        <w:rPr>
          <w:rFonts w:cs="Arial"/>
          <w:szCs w:val="21"/>
        </w:rPr>
        <w:t xml:space="preserve">La Loi n° 16/010 du 15 juillet 2016 modifiant et complétant la Loi n° 015-2002 portant Code du Travail. Celui-ci vise, entre autres, à protéger la santé et la sécurité des travailleurs, à assurer un service médical, à garantir un salaire minimum et à réglementer les conditions de travail. On notera aussi </w:t>
      </w:r>
      <w:r w:rsidRPr="009D55A6">
        <w:rPr>
          <w:rFonts w:cs="Arial"/>
          <w:i/>
          <w:szCs w:val="21"/>
        </w:rPr>
        <w:t>(i)</w:t>
      </w:r>
      <w:r w:rsidRPr="009D55A6">
        <w:rPr>
          <w:rFonts w:cs="Arial"/>
          <w:szCs w:val="21"/>
        </w:rPr>
        <w:t xml:space="preserve"> l’Ordonnance n° 74/098 du 06 juin 1974 relative à la protection de la main-d’œuvre nationale contre la concurrence étrangère et </w:t>
      </w:r>
      <w:r w:rsidRPr="009D55A6">
        <w:rPr>
          <w:rFonts w:cs="Arial"/>
          <w:i/>
          <w:szCs w:val="21"/>
        </w:rPr>
        <w:t>(ii)</w:t>
      </w:r>
      <w:r w:rsidRPr="009D55A6">
        <w:rPr>
          <w:rFonts w:cs="Arial"/>
          <w:szCs w:val="21"/>
        </w:rPr>
        <w:t xml:space="preserve"> l’Arrêté départemental 78/004 bis du 3 janvier 1978 portant institution des comités d’hygiène et de sécurité dans les entreprises. Le projet devra veiller à faire respecter le Code du travail dans l’utilisation du personnel lors des travaux.</w:t>
      </w:r>
    </w:p>
    <w:p w14:paraId="680E7A6D" w14:textId="77777777" w:rsidR="009021F1" w:rsidRPr="009D55A6" w:rsidRDefault="009021F1" w:rsidP="009021F1">
      <w:pPr>
        <w:rPr>
          <w:rFonts w:cs="Arial"/>
          <w:szCs w:val="21"/>
        </w:rPr>
      </w:pPr>
    </w:p>
    <w:p w14:paraId="0E7B9585" w14:textId="77777777" w:rsidR="009021F1" w:rsidRPr="009D55A6" w:rsidRDefault="009021F1" w:rsidP="009021F1">
      <w:pPr>
        <w:rPr>
          <w:rFonts w:cs="Arial"/>
          <w:szCs w:val="21"/>
        </w:rPr>
      </w:pPr>
      <w:r w:rsidRPr="009D55A6">
        <w:rPr>
          <w:rFonts w:cs="Arial"/>
          <w:szCs w:val="21"/>
        </w:rPr>
        <w:t xml:space="preserve">Les activités du PNDA vont induire au recrutement des entreprises PME, aux sous-traitant et autres prestataires de service ainsi qu’au recrutement de la main d’œuvre locale, le présent </w:t>
      </w:r>
      <w:r w:rsidRPr="009D55A6">
        <w:rPr>
          <w:rFonts w:cs="Arial"/>
          <w:color w:val="383838"/>
          <w:szCs w:val="21"/>
          <w:shd w:val="clear" w:color="auto" w:fill="FFFFFF"/>
        </w:rPr>
        <w:t>Le présent est pertinente au PNDA dans le sens qu’il est applicable à tous les travailleurs et à tous les employeurs, y compris ceux des entreprises publiques exerçant leur activité professionnelle sur l’étendue des provinces concernées dans le cadre du PNDA en République Démocratique du Congo, quels que soient la race, le sexe, l’état civil, la religion, l’opinion politique, l’ascendance nationale, l’origine sociale, la nationalité des parties, la nature des prestations, la rémunération ou le lieu de conclusion du contrat, dès lors que ce dernier s’exécute en République Démocratique du Congo.</w:t>
      </w:r>
    </w:p>
    <w:p w14:paraId="3623D4B3" w14:textId="77777777" w:rsidR="009021F1" w:rsidRPr="009D55A6" w:rsidRDefault="009021F1" w:rsidP="009021F1">
      <w:pPr>
        <w:rPr>
          <w:rFonts w:cs="Arial"/>
          <w:szCs w:val="21"/>
        </w:rPr>
      </w:pPr>
    </w:p>
    <w:p w14:paraId="17A3B883" w14:textId="77777777" w:rsidR="009021F1" w:rsidRPr="009D55A6" w:rsidRDefault="009021F1" w:rsidP="009021F1">
      <w:pPr>
        <w:rPr>
          <w:rFonts w:cs="Arial"/>
          <w:i/>
          <w:szCs w:val="21"/>
        </w:rPr>
      </w:pPr>
      <w:r w:rsidRPr="009D55A6">
        <w:rPr>
          <w:rFonts w:cs="Arial"/>
          <w:i/>
          <w:szCs w:val="21"/>
        </w:rPr>
        <w:t>Protection de l’Énergie</w:t>
      </w:r>
    </w:p>
    <w:p w14:paraId="7EEA3920" w14:textId="77777777" w:rsidR="009021F1" w:rsidRPr="009D55A6" w:rsidRDefault="009021F1" w:rsidP="009021F1">
      <w:pPr>
        <w:rPr>
          <w:rFonts w:cs="Arial"/>
          <w:szCs w:val="21"/>
        </w:rPr>
      </w:pPr>
    </w:p>
    <w:p w14:paraId="7A9E8206" w14:textId="77777777" w:rsidR="009021F1" w:rsidRPr="009D55A6" w:rsidRDefault="009021F1" w:rsidP="009021F1">
      <w:pPr>
        <w:rPr>
          <w:rFonts w:cs="Arial"/>
          <w:szCs w:val="21"/>
        </w:rPr>
      </w:pPr>
      <w:r w:rsidRPr="009D55A6">
        <w:rPr>
          <w:rFonts w:cs="Arial"/>
          <w:szCs w:val="21"/>
        </w:rPr>
        <w:t>Loi n° 14/011 du 17 juin 2014 relative au secteur de l'électricité. L'électricité est l'un des facteurs majeurs et irréversibles qui conditionnent le développement économique, social, technologique et culturel de toutes les nations, de tous les peuples, de toutes les communautés ou de tout individu pris isolément.</w:t>
      </w:r>
    </w:p>
    <w:p w14:paraId="2DEF14B2" w14:textId="77777777" w:rsidR="009021F1" w:rsidRPr="009D55A6" w:rsidRDefault="009021F1" w:rsidP="009021F1">
      <w:pPr>
        <w:rPr>
          <w:rFonts w:cs="Arial"/>
          <w:szCs w:val="21"/>
        </w:rPr>
      </w:pPr>
    </w:p>
    <w:p w14:paraId="47F9B586" w14:textId="77777777" w:rsidR="009021F1" w:rsidRPr="009D55A6" w:rsidRDefault="009021F1" w:rsidP="009021F1">
      <w:pPr>
        <w:rPr>
          <w:rFonts w:cs="Arial"/>
          <w:szCs w:val="21"/>
        </w:rPr>
      </w:pPr>
      <w:r w:rsidRPr="009D55A6">
        <w:rPr>
          <w:rFonts w:cs="Arial"/>
          <w:szCs w:val="21"/>
        </w:rPr>
        <w:t xml:space="preserve">La présente loi est pertinente pour le PNDA dans le sens que les activités agricoles de ce dernier dans ses phases d’exécution et d’exploitation vont nécessiter l’utilisation de l’électricité (Moyenne ou haute tension) dans la transformation des produits agricoles, la conservation des viandes issues des abattoirs mais également la conservation des produits halieutiques dans des chambres froides. </w:t>
      </w:r>
    </w:p>
    <w:p w14:paraId="51B5ACBF" w14:textId="77777777" w:rsidR="009021F1" w:rsidRPr="009D55A6" w:rsidRDefault="009021F1" w:rsidP="009021F1">
      <w:pPr>
        <w:rPr>
          <w:rFonts w:cs="Arial"/>
          <w:szCs w:val="21"/>
        </w:rPr>
      </w:pPr>
    </w:p>
    <w:p w14:paraId="41B0F7C6" w14:textId="77777777" w:rsidR="009021F1" w:rsidRPr="009D55A6" w:rsidRDefault="009021F1" w:rsidP="009021F1">
      <w:pPr>
        <w:rPr>
          <w:rFonts w:cs="Arial"/>
          <w:i/>
          <w:szCs w:val="21"/>
        </w:rPr>
      </w:pPr>
      <w:r w:rsidRPr="009D55A6">
        <w:rPr>
          <w:rFonts w:cs="Arial"/>
          <w:i/>
          <w:szCs w:val="21"/>
        </w:rPr>
        <w:t>Protection des investissements</w:t>
      </w:r>
    </w:p>
    <w:p w14:paraId="3D1E3F58" w14:textId="77777777" w:rsidR="009021F1" w:rsidRPr="009D55A6" w:rsidRDefault="009021F1" w:rsidP="009021F1">
      <w:pPr>
        <w:rPr>
          <w:rFonts w:cs="Arial"/>
          <w:szCs w:val="21"/>
        </w:rPr>
      </w:pPr>
    </w:p>
    <w:p w14:paraId="4C70F9B2" w14:textId="77777777" w:rsidR="009021F1" w:rsidRPr="009D55A6" w:rsidRDefault="009021F1" w:rsidP="009021F1">
      <w:pPr>
        <w:rPr>
          <w:rFonts w:cs="Arial"/>
          <w:szCs w:val="21"/>
        </w:rPr>
      </w:pPr>
      <w:r w:rsidRPr="009D55A6">
        <w:rPr>
          <w:rFonts w:cs="Arial"/>
          <w:szCs w:val="21"/>
        </w:rPr>
        <w:t>Loi n° 004/2002 du 21 février 2002 portant Codes investissements. Le Code oblige tout investisseur de remplir les règlements nationaux couvrant la protection de l’environnement, la conservation de la nature et l’emploi. Le cadre législatif sur les questions de l’environnement touche à la Loi n° 011/2002 du code forestier à partir du 29 août 2002, et à l’Ordonnance-loi n° 69-041 du 22 août 1969 dans le respect de la conservation de la nature.</w:t>
      </w:r>
    </w:p>
    <w:p w14:paraId="2527FCA1" w14:textId="77777777" w:rsidR="009021F1" w:rsidRPr="009D55A6" w:rsidRDefault="009021F1" w:rsidP="009021F1">
      <w:pPr>
        <w:rPr>
          <w:rFonts w:cs="Arial"/>
          <w:szCs w:val="21"/>
        </w:rPr>
      </w:pPr>
    </w:p>
    <w:p w14:paraId="0A137399" w14:textId="77777777" w:rsidR="009021F1" w:rsidRPr="009D55A6" w:rsidRDefault="009021F1" w:rsidP="009021F1">
      <w:pPr>
        <w:rPr>
          <w:rFonts w:cs="Arial"/>
          <w:szCs w:val="21"/>
        </w:rPr>
      </w:pPr>
      <w:r w:rsidRPr="009D55A6">
        <w:rPr>
          <w:rFonts w:cs="Arial"/>
          <w:szCs w:val="21"/>
        </w:rPr>
        <w:t>La construction des marchés, dépôt agricoles et abattoirs ainsi des chambres froides par les PME et autres prestataires de services dans le cadre du PNDA constitue des investissements importants. Ainsi, la présente loi est pertinente pour le PNDA dans le sens qu’elle fixe les conditions, les avantages ainsi que les règles générales applicables aux investissements directs, nationaux et étrangers, réalisés en République Démocratique du Congo dans les secteurs qui ne sont pas expressément réservés à l’Etat.</w:t>
      </w:r>
    </w:p>
    <w:p w14:paraId="27467685" w14:textId="77777777" w:rsidR="009021F1" w:rsidRPr="009D55A6" w:rsidRDefault="009021F1" w:rsidP="009021F1">
      <w:pPr>
        <w:rPr>
          <w:rFonts w:cs="Arial"/>
          <w:bCs/>
          <w:szCs w:val="21"/>
        </w:rPr>
      </w:pPr>
    </w:p>
    <w:p w14:paraId="553DA029" w14:textId="77777777" w:rsidR="009021F1" w:rsidRPr="009D55A6" w:rsidRDefault="009021F1" w:rsidP="009021F1">
      <w:pPr>
        <w:rPr>
          <w:rFonts w:cs="Arial"/>
          <w:bCs/>
          <w:i/>
          <w:szCs w:val="21"/>
        </w:rPr>
      </w:pPr>
      <w:r w:rsidRPr="009D55A6">
        <w:rPr>
          <w:rFonts w:cs="Arial"/>
          <w:bCs/>
          <w:i/>
          <w:szCs w:val="21"/>
        </w:rPr>
        <w:t>Lois sur les violences basées sur le genre et la protection de l’enfant</w:t>
      </w:r>
    </w:p>
    <w:p w14:paraId="3836288D" w14:textId="77777777" w:rsidR="009021F1" w:rsidRPr="009D55A6" w:rsidRDefault="009021F1" w:rsidP="009021F1">
      <w:pPr>
        <w:rPr>
          <w:rFonts w:cs="Arial"/>
          <w:bCs/>
          <w:szCs w:val="21"/>
        </w:rPr>
      </w:pPr>
    </w:p>
    <w:p w14:paraId="10BE7308" w14:textId="77777777" w:rsidR="009021F1" w:rsidRPr="009D55A6" w:rsidRDefault="009021F1" w:rsidP="009021F1">
      <w:pPr>
        <w:rPr>
          <w:rFonts w:cs="Arial"/>
          <w:bCs/>
          <w:szCs w:val="21"/>
        </w:rPr>
      </w:pPr>
      <w:r w:rsidRPr="009D55A6">
        <w:rPr>
          <w:rFonts w:cs="Arial"/>
          <w:bCs/>
          <w:szCs w:val="21"/>
        </w:rPr>
        <w:t>La Loi 06/018 modifiant et complétant le Décret du 30 juin 1940 portant Code Pénal Congolais et la loi 06/019 modifiant et complétant le Décret du 06 août 1959 portant Code de Procédure Pénale Congolais qui répertorie les différents types de violences sexuelles et les peines prévues contre leurs auteurs des faits, y compris d’autres lois touchant les aspects de l’égalité de genre dans le Code de la Famille, le Code du Travail.</w:t>
      </w:r>
    </w:p>
    <w:p w14:paraId="754FAA28" w14:textId="77777777" w:rsidR="009021F1" w:rsidRPr="009D55A6" w:rsidRDefault="009021F1" w:rsidP="009021F1">
      <w:pPr>
        <w:rPr>
          <w:rFonts w:cs="Arial"/>
          <w:bCs/>
          <w:szCs w:val="21"/>
        </w:rPr>
      </w:pPr>
    </w:p>
    <w:p w14:paraId="0C3FBFD7" w14:textId="77777777" w:rsidR="009021F1" w:rsidRPr="009D55A6" w:rsidRDefault="009021F1" w:rsidP="009021F1">
      <w:pPr>
        <w:rPr>
          <w:rFonts w:cs="Arial"/>
          <w:bCs/>
          <w:szCs w:val="21"/>
        </w:rPr>
      </w:pPr>
      <w:r w:rsidRPr="009D55A6">
        <w:rPr>
          <w:rFonts w:cs="Arial"/>
          <w:bCs/>
          <w:szCs w:val="21"/>
        </w:rPr>
        <w:t>À cette loi il faudra associer la Loi n°09/001 du 10 janvier 2009 portant protection de l’enfant ainsi que la Loi n° 08/011 du 14 juillet 2008 portant protection des droits des personnes vivant avec le VIH/SIDA et des personnes affectées celle contre la stigmatisation et la discrimination des personnes vivant avec le VIH de la RDC qui comprennent certaines dispositions sur les violences basées sur le genre.</w:t>
      </w:r>
    </w:p>
    <w:p w14:paraId="04AF3F99" w14:textId="77777777" w:rsidR="009021F1" w:rsidRPr="009D55A6" w:rsidRDefault="009021F1" w:rsidP="009021F1">
      <w:pPr>
        <w:rPr>
          <w:rFonts w:cs="Arial"/>
          <w:bCs/>
          <w:szCs w:val="21"/>
        </w:rPr>
      </w:pPr>
    </w:p>
    <w:p w14:paraId="522795AA" w14:textId="77777777" w:rsidR="009021F1" w:rsidRPr="009D55A6" w:rsidRDefault="009021F1" w:rsidP="009021F1">
      <w:pPr>
        <w:rPr>
          <w:rFonts w:cs="Arial"/>
          <w:bCs/>
          <w:i/>
          <w:szCs w:val="21"/>
        </w:rPr>
      </w:pPr>
      <w:r w:rsidRPr="009D55A6">
        <w:rPr>
          <w:rFonts w:cs="Arial"/>
          <w:bCs/>
          <w:i/>
          <w:szCs w:val="21"/>
        </w:rPr>
        <w:t>Conventions et accords internationaux relatifs aux VBG</w:t>
      </w:r>
    </w:p>
    <w:p w14:paraId="53A586BB" w14:textId="77777777" w:rsidR="009021F1" w:rsidRPr="009D55A6" w:rsidRDefault="009021F1" w:rsidP="009021F1">
      <w:pPr>
        <w:rPr>
          <w:rFonts w:cs="Arial"/>
          <w:bCs/>
          <w:szCs w:val="21"/>
        </w:rPr>
      </w:pPr>
    </w:p>
    <w:p w14:paraId="102E83F6" w14:textId="77777777" w:rsidR="009021F1" w:rsidRPr="009D55A6" w:rsidRDefault="009021F1" w:rsidP="009021F1">
      <w:pPr>
        <w:rPr>
          <w:rFonts w:cs="Arial"/>
          <w:bCs/>
          <w:szCs w:val="21"/>
        </w:rPr>
      </w:pPr>
      <w:r w:rsidRPr="009D55A6">
        <w:rPr>
          <w:rFonts w:cs="Arial"/>
          <w:bCs/>
          <w:szCs w:val="21"/>
        </w:rPr>
        <w:t xml:space="preserve">Sur le plan international, la RDC est signataire de plusieurs Conventions internationales en matière de genre. Les Conventions internationales signées par la RDC applicables au projet sont les suivants : </w:t>
      </w:r>
    </w:p>
    <w:p w14:paraId="6389278B" w14:textId="77777777" w:rsidR="009021F1" w:rsidRPr="009D55A6" w:rsidRDefault="009021F1" w:rsidP="009021F1">
      <w:pPr>
        <w:rPr>
          <w:rFonts w:cs="Arial"/>
          <w:bCs/>
          <w:szCs w:val="21"/>
        </w:rPr>
      </w:pPr>
    </w:p>
    <w:p w14:paraId="1FBEDBA9" w14:textId="77777777" w:rsidR="009021F1" w:rsidRPr="009D55A6" w:rsidRDefault="009021F1" w:rsidP="009021F1">
      <w:pPr>
        <w:pStyle w:val="Paragraphedeliste"/>
        <w:numPr>
          <w:ilvl w:val="0"/>
          <w:numId w:val="114"/>
        </w:numPr>
        <w:rPr>
          <w:rFonts w:cs="Arial"/>
          <w:bCs/>
          <w:szCs w:val="21"/>
        </w:rPr>
      </w:pPr>
      <w:r w:rsidRPr="009D55A6">
        <w:rPr>
          <w:rFonts w:cs="Arial"/>
          <w:bCs/>
          <w:szCs w:val="21"/>
        </w:rPr>
        <w:t xml:space="preserve">Convention des Nations Unies sur l’élimination de toutes les formes de discrimination à l’égard des femmes ; </w:t>
      </w:r>
    </w:p>
    <w:p w14:paraId="77FDA5E7" w14:textId="77777777" w:rsidR="009021F1" w:rsidRPr="009D55A6" w:rsidRDefault="009021F1" w:rsidP="009021F1">
      <w:pPr>
        <w:pStyle w:val="Paragraphedeliste"/>
        <w:numPr>
          <w:ilvl w:val="0"/>
          <w:numId w:val="114"/>
        </w:numPr>
        <w:rPr>
          <w:rFonts w:cs="Arial"/>
          <w:bCs/>
          <w:szCs w:val="21"/>
        </w:rPr>
      </w:pPr>
      <w:r w:rsidRPr="009D55A6">
        <w:rPr>
          <w:rFonts w:cs="Arial"/>
          <w:bCs/>
          <w:szCs w:val="21"/>
        </w:rPr>
        <w:t xml:space="preserve">Convention des Nations Unies relative aux droits de l’enfant et à la Charte africaine des droits et du bien-être de l’enfant ; </w:t>
      </w:r>
    </w:p>
    <w:p w14:paraId="58D28202" w14:textId="77777777" w:rsidR="009021F1" w:rsidRPr="009D55A6" w:rsidRDefault="009021F1" w:rsidP="009021F1">
      <w:pPr>
        <w:pStyle w:val="Paragraphedeliste"/>
        <w:numPr>
          <w:ilvl w:val="0"/>
          <w:numId w:val="114"/>
        </w:numPr>
        <w:rPr>
          <w:rFonts w:cs="Arial"/>
          <w:bCs/>
          <w:szCs w:val="21"/>
        </w:rPr>
      </w:pPr>
      <w:r w:rsidRPr="009D55A6">
        <w:rPr>
          <w:rFonts w:cs="Arial"/>
          <w:bCs/>
          <w:szCs w:val="21"/>
        </w:rPr>
        <w:t xml:space="preserve">Déclaration sur l’élimination de la violence à l’égard des femmes (1993) ;  </w:t>
      </w:r>
    </w:p>
    <w:p w14:paraId="1ED26091" w14:textId="77777777" w:rsidR="009021F1" w:rsidRPr="009D55A6" w:rsidRDefault="009021F1" w:rsidP="009021F1">
      <w:pPr>
        <w:pStyle w:val="Paragraphedeliste"/>
        <w:numPr>
          <w:ilvl w:val="0"/>
          <w:numId w:val="114"/>
        </w:numPr>
        <w:rPr>
          <w:rFonts w:cs="Arial"/>
          <w:bCs/>
          <w:szCs w:val="21"/>
        </w:rPr>
      </w:pPr>
      <w:r w:rsidRPr="009D55A6">
        <w:rPr>
          <w:rFonts w:cs="Arial"/>
          <w:bCs/>
          <w:szCs w:val="21"/>
        </w:rPr>
        <w:t xml:space="preserve">Résolution 1325 du Conseil de sécurité des Nations Unies sur les femmes, la paix et la sécurité (2000) et résolution 1820 du Conseil de sécurité des Nations Unies sur la violence sexuelle dans les situations de conflit armé (2008) ; </w:t>
      </w:r>
    </w:p>
    <w:p w14:paraId="07CF6C5A" w14:textId="77777777" w:rsidR="009021F1" w:rsidRPr="009D55A6" w:rsidRDefault="009021F1" w:rsidP="009021F1">
      <w:pPr>
        <w:pStyle w:val="Paragraphedeliste"/>
        <w:numPr>
          <w:ilvl w:val="0"/>
          <w:numId w:val="114"/>
        </w:numPr>
        <w:rPr>
          <w:rFonts w:cs="Arial"/>
          <w:bCs/>
          <w:szCs w:val="21"/>
        </w:rPr>
      </w:pPr>
      <w:r w:rsidRPr="009D55A6">
        <w:rPr>
          <w:rFonts w:cs="Arial"/>
          <w:bCs/>
          <w:szCs w:val="21"/>
        </w:rPr>
        <w:t xml:space="preserve">Charte africaine des droits de l’homme et des peuples et le Protocole de la Charte africaine des droits des femmes en Afrique (Protocole de Maputo) (2003) ; </w:t>
      </w:r>
    </w:p>
    <w:p w14:paraId="3B7C6BB9" w14:textId="77777777" w:rsidR="009021F1" w:rsidRPr="009D55A6" w:rsidRDefault="009021F1" w:rsidP="009021F1">
      <w:pPr>
        <w:pStyle w:val="Paragraphedeliste"/>
        <w:numPr>
          <w:ilvl w:val="0"/>
          <w:numId w:val="114"/>
        </w:numPr>
        <w:rPr>
          <w:rFonts w:cs="Arial"/>
          <w:bCs/>
          <w:szCs w:val="21"/>
        </w:rPr>
      </w:pPr>
      <w:r w:rsidRPr="009D55A6">
        <w:rPr>
          <w:rFonts w:cs="Arial"/>
          <w:bCs/>
          <w:szCs w:val="21"/>
        </w:rPr>
        <w:t>Protocole sur la prévention et la répression de la violence sexuelle à l’égard des femmes et des enfants de la Conférence internationale sur la région des Grands Lacs (2006) ;</w:t>
      </w:r>
    </w:p>
    <w:p w14:paraId="2F3D666F" w14:textId="77777777" w:rsidR="009021F1" w:rsidRPr="009D55A6" w:rsidRDefault="009021F1" w:rsidP="009021F1">
      <w:pPr>
        <w:pStyle w:val="Paragraphedeliste"/>
        <w:numPr>
          <w:ilvl w:val="0"/>
          <w:numId w:val="114"/>
        </w:numPr>
        <w:rPr>
          <w:rFonts w:cs="Arial"/>
          <w:bCs/>
          <w:szCs w:val="21"/>
        </w:rPr>
      </w:pPr>
      <w:r w:rsidRPr="009D55A6">
        <w:rPr>
          <w:rFonts w:cs="Arial"/>
          <w:bCs/>
          <w:szCs w:val="21"/>
        </w:rPr>
        <w:t>Déclaration de Goma sur l’éradication de la violence sexuelle et la fin de l’impunité dans la région des Grands Lacs (2008) ;</w:t>
      </w:r>
    </w:p>
    <w:p w14:paraId="618F7C13" w14:textId="77777777" w:rsidR="009021F1" w:rsidRPr="009D55A6" w:rsidRDefault="009021F1" w:rsidP="009021F1">
      <w:pPr>
        <w:pStyle w:val="Paragraphedeliste"/>
        <w:numPr>
          <w:ilvl w:val="0"/>
          <w:numId w:val="114"/>
        </w:numPr>
        <w:rPr>
          <w:rFonts w:cs="Arial"/>
          <w:bCs/>
          <w:szCs w:val="21"/>
        </w:rPr>
      </w:pPr>
      <w:r w:rsidRPr="009D55A6">
        <w:rPr>
          <w:rFonts w:cs="Arial"/>
          <w:bCs/>
          <w:szCs w:val="21"/>
        </w:rPr>
        <w:t>Déclaration de Kampala sur la fin de l’impunité (2003) ;</w:t>
      </w:r>
    </w:p>
    <w:p w14:paraId="5897D73E" w14:textId="77777777" w:rsidR="009021F1" w:rsidRPr="009D55A6" w:rsidRDefault="009021F1" w:rsidP="009021F1">
      <w:pPr>
        <w:pStyle w:val="Paragraphedeliste"/>
        <w:numPr>
          <w:ilvl w:val="0"/>
          <w:numId w:val="114"/>
        </w:numPr>
        <w:rPr>
          <w:rFonts w:cs="Arial"/>
          <w:bCs/>
          <w:szCs w:val="21"/>
        </w:rPr>
      </w:pPr>
      <w:r w:rsidRPr="009D55A6">
        <w:rPr>
          <w:rFonts w:cs="Arial"/>
          <w:bCs/>
          <w:szCs w:val="21"/>
        </w:rPr>
        <w:t>Charte africaine des droits et du bien-être de l'enfant (Juillet 1990) ;</w:t>
      </w:r>
    </w:p>
    <w:p w14:paraId="54294668" w14:textId="77777777" w:rsidR="009021F1" w:rsidRPr="009D55A6" w:rsidRDefault="009021F1" w:rsidP="009021F1">
      <w:pPr>
        <w:pStyle w:val="Paragraphedeliste"/>
        <w:numPr>
          <w:ilvl w:val="0"/>
          <w:numId w:val="114"/>
        </w:numPr>
        <w:rPr>
          <w:rFonts w:cs="Arial"/>
          <w:bCs/>
          <w:szCs w:val="21"/>
        </w:rPr>
      </w:pPr>
      <w:r w:rsidRPr="009D55A6">
        <w:rPr>
          <w:rFonts w:cs="Arial"/>
          <w:bCs/>
          <w:szCs w:val="21"/>
        </w:rPr>
        <w:t>Convention sur l'élimination de toutes les formes de discrimination à l’égard des femmes ou la déclaration sur l’élimination de la violence contre les femmes (1981) : A été adopté le 18 Décembre 1979 par l’Assemblée générale des Nations Unies. Elle a été signée en 1980 et ratifié en 1986 par la RDC. Elle est entrée en vigueur le 3 septembre 1981 après avoir été ratifié par 20 pays ;</w:t>
      </w:r>
    </w:p>
    <w:p w14:paraId="4E7ED84D" w14:textId="77777777" w:rsidR="009021F1" w:rsidRPr="009D55A6" w:rsidRDefault="009021F1" w:rsidP="009021F1">
      <w:pPr>
        <w:pStyle w:val="Paragraphedeliste"/>
        <w:numPr>
          <w:ilvl w:val="0"/>
          <w:numId w:val="114"/>
        </w:numPr>
        <w:rPr>
          <w:rFonts w:cs="Arial"/>
          <w:bCs/>
          <w:szCs w:val="21"/>
        </w:rPr>
      </w:pPr>
      <w:r w:rsidRPr="009D55A6">
        <w:rPr>
          <w:rFonts w:cs="Arial"/>
          <w:bCs/>
          <w:szCs w:val="21"/>
        </w:rPr>
        <w:t xml:space="preserve">Résolution 2011/33 sur la Prévention, la protection et la coopération internationale contre l’utilisation de nouvelles technologies d’information pour abuser et/ou exploiter les enfants (1981) : A été adopté le 18 Décembre 1979 par l’Assemblée générale des Nations Unies. Elle a été signée en 1980 et ratifié en 1986 par la RDC. Elle est entrée en vigueur le 3 septembre 1981 après avoir été ratifié par 20 pays.   </w:t>
      </w:r>
    </w:p>
    <w:p w14:paraId="733CD79D" w14:textId="77777777" w:rsidR="009021F1" w:rsidRPr="009D55A6" w:rsidRDefault="009021F1" w:rsidP="009021F1">
      <w:pPr>
        <w:rPr>
          <w:rFonts w:cs="Arial"/>
          <w:i/>
          <w:szCs w:val="21"/>
        </w:rPr>
      </w:pPr>
    </w:p>
    <w:p w14:paraId="0028937B" w14:textId="77777777" w:rsidR="009021F1" w:rsidRPr="009D55A6" w:rsidRDefault="009021F1" w:rsidP="009021F1">
      <w:pPr>
        <w:rPr>
          <w:rFonts w:cs="Arial"/>
          <w:i/>
          <w:szCs w:val="21"/>
        </w:rPr>
      </w:pPr>
      <w:r w:rsidRPr="009D55A6">
        <w:rPr>
          <w:rFonts w:cs="Arial"/>
          <w:i/>
          <w:szCs w:val="21"/>
        </w:rPr>
        <w:t>En matière violences basées sur le genre, compris l’exploitation et abus ainsi que le harcèlement, en plus des cadres légaux de la RDC et internationaux, il faudra aussi prendre en compte la Note sur les bonnes pratiques de la BM</w:t>
      </w:r>
    </w:p>
    <w:p w14:paraId="2FAE8976" w14:textId="77777777" w:rsidR="009021F1" w:rsidRPr="009D55A6" w:rsidRDefault="009021F1" w:rsidP="009021F1">
      <w:pPr>
        <w:rPr>
          <w:rFonts w:cs="Arial"/>
          <w:i/>
          <w:szCs w:val="21"/>
        </w:rPr>
      </w:pPr>
    </w:p>
    <w:p w14:paraId="55DC3B0D" w14:textId="77777777" w:rsidR="009021F1" w:rsidRPr="009D55A6" w:rsidRDefault="009021F1" w:rsidP="009021F1">
      <w:pPr>
        <w:rPr>
          <w:rFonts w:cs="Arial"/>
          <w:i/>
          <w:iCs/>
          <w:szCs w:val="21"/>
        </w:rPr>
      </w:pPr>
      <w:r w:rsidRPr="009D55A6">
        <w:rPr>
          <w:rFonts w:cs="Arial"/>
          <w:i/>
          <w:iCs/>
          <w:szCs w:val="21"/>
        </w:rPr>
        <w:t>Note de Bonnes Pratiques : Lutter contre l’exploitation et les atteintes sexuelles ainsi que le harcèlement sexuel dans le cadre du financement de projets d’investissement comportant de grands travaux de génie civil (Banque mondiale, 2</w:t>
      </w:r>
      <w:r w:rsidRPr="009D55A6">
        <w:rPr>
          <w:rFonts w:cs="Arial"/>
          <w:i/>
          <w:iCs/>
          <w:szCs w:val="21"/>
          <w:vertAlign w:val="superscript"/>
        </w:rPr>
        <w:t>ème</w:t>
      </w:r>
      <w:r w:rsidRPr="009D55A6">
        <w:rPr>
          <w:rFonts w:cs="Arial"/>
          <w:i/>
          <w:iCs/>
          <w:szCs w:val="21"/>
        </w:rPr>
        <w:t xml:space="preserve"> éd, février 2020).</w:t>
      </w:r>
    </w:p>
    <w:p w14:paraId="7CD23903" w14:textId="77777777" w:rsidR="009021F1" w:rsidRPr="009D55A6" w:rsidRDefault="009021F1" w:rsidP="009021F1">
      <w:pPr>
        <w:rPr>
          <w:rFonts w:cs="Arial"/>
          <w:bCs/>
          <w:i/>
          <w:szCs w:val="21"/>
        </w:rPr>
      </w:pPr>
    </w:p>
    <w:p w14:paraId="27E21962" w14:textId="77777777" w:rsidR="009021F1" w:rsidRPr="009D55A6" w:rsidRDefault="009021F1" w:rsidP="009021F1">
      <w:pPr>
        <w:rPr>
          <w:rFonts w:cs="Arial"/>
          <w:bCs/>
          <w:szCs w:val="21"/>
        </w:rPr>
      </w:pPr>
      <w:r w:rsidRPr="009D55A6">
        <w:rPr>
          <w:rFonts w:cs="Arial"/>
          <w:bCs/>
          <w:szCs w:val="21"/>
        </w:rPr>
        <w:t>Cette Note de bonnes pratiques a été préparée pour aider les équipes des projets financés par la Banque mondiale à définir une approche permettant de déterminer les risques d’EAS/HS, que peuvent présenter des opérations de financement de projets d’investissement (FPI) comportant des marchés de grands travaux de génie civil, et de conseiller en conséquence les Emprunteurs sur la meilleure façon de gérer ces risques. La Note s’appuie sur l’expérience de la Banque mondiale et sur les bonnes pratiques en usage dans ce secteur au niveau international, y compris celles d’autres partenaires de développement. Si elle est destinée principalement à l’usage des équipes de projet de la Banque mondiale, elle a également pour objectif de contribuer à la constitution d’une base de connaissances grandissante sur le sujet.</w:t>
      </w:r>
    </w:p>
    <w:p w14:paraId="27F490A8" w14:textId="77777777" w:rsidR="009021F1" w:rsidRPr="009D55A6" w:rsidRDefault="009021F1" w:rsidP="009021F1">
      <w:pPr>
        <w:rPr>
          <w:rFonts w:cs="Arial"/>
          <w:i/>
          <w:szCs w:val="21"/>
        </w:rPr>
      </w:pPr>
    </w:p>
    <w:p w14:paraId="6C5E3E84" w14:textId="77777777" w:rsidR="009021F1" w:rsidRPr="009D55A6" w:rsidRDefault="009021F1" w:rsidP="009021F1">
      <w:pPr>
        <w:rPr>
          <w:rFonts w:cs="Arial"/>
          <w:i/>
          <w:szCs w:val="21"/>
        </w:rPr>
      </w:pPr>
      <w:r w:rsidRPr="009D55A6">
        <w:rPr>
          <w:rFonts w:cs="Arial"/>
          <w:i/>
          <w:szCs w:val="21"/>
        </w:rPr>
        <w:t>Protection du patrimoine culturel</w:t>
      </w:r>
    </w:p>
    <w:p w14:paraId="769144B6" w14:textId="77777777" w:rsidR="009021F1" w:rsidRPr="009D55A6" w:rsidRDefault="009021F1" w:rsidP="009021F1">
      <w:pPr>
        <w:rPr>
          <w:rFonts w:cs="Arial"/>
          <w:szCs w:val="21"/>
        </w:rPr>
      </w:pPr>
    </w:p>
    <w:p w14:paraId="3E05F693" w14:textId="77777777" w:rsidR="009021F1" w:rsidRPr="009D55A6" w:rsidRDefault="009021F1" w:rsidP="009021F1">
      <w:pPr>
        <w:rPr>
          <w:rFonts w:cs="Arial"/>
          <w:szCs w:val="21"/>
        </w:rPr>
      </w:pPr>
      <w:r w:rsidRPr="009D55A6">
        <w:rPr>
          <w:rFonts w:cs="Arial"/>
          <w:szCs w:val="21"/>
        </w:rPr>
        <w:t>L’Ordonnance-Loi n °71-016 du 15 mars 1971 relative à la protection des biens culturels prévoit que les découvertes de vestiges immobiliers ou d’objets pouvant intéresser l’art, l’histoire ou l’archéologie, qu’elles soient faites au cours des fouilles ou qu’elles soient fortuites, doivent être déclarées immédiatement par l’inventeur ou le propriétaire à l’administrateur du territoire ou au premier bourgmestre, qui en avise le ministre de la culture. Le Ministre peut, par arrêté, prescrire toutes mesures utiles à la conservation des vestiges ou objets découverts. Lors des travaux, il est possible de découvrir de façon fortuite des vestiges culturels. Dans ces cas, le projet devra se conformer aux exigences de l’Ordonnance-Loi n° 71-016.</w:t>
      </w:r>
    </w:p>
    <w:p w14:paraId="05D13402" w14:textId="77777777" w:rsidR="009021F1" w:rsidRPr="009D55A6" w:rsidRDefault="009021F1" w:rsidP="009021F1">
      <w:pPr>
        <w:rPr>
          <w:rFonts w:cs="Arial"/>
          <w:szCs w:val="21"/>
        </w:rPr>
      </w:pPr>
    </w:p>
    <w:p w14:paraId="45C4D298" w14:textId="77777777" w:rsidR="009021F1" w:rsidRPr="009D55A6" w:rsidRDefault="009021F1" w:rsidP="009021F1">
      <w:pPr>
        <w:rPr>
          <w:rFonts w:cs="Arial"/>
          <w:szCs w:val="21"/>
        </w:rPr>
      </w:pPr>
      <w:r w:rsidRPr="009D55A6">
        <w:rPr>
          <w:rFonts w:cs="Arial"/>
          <w:szCs w:val="21"/>
        </w:rPr>
        <w:t>Il sied de signaler que les activités de réhabilitation des pistes rurales, les travaux d’irrigation, les travaux champêtres à des vastes étendues des terres risquent d’impacter à la découverte fortuite et aux culturels dans les milieux ruraux. Ainsi, la présente ordonnance-loi est pertinente pour le PNDA dans le sens qu’elle fixe la procédure et toutes les mesures de la découverte fortuite des vestiges culturels en RDC.</w:t>
      </w:r>
    </w:p>
    <w:p w14:paraId="2ACFEEF5" w14:textId="77777777" w:rsidR="009021F1" w:rsidRPr="009D55A6" w:rsidRDefault="009021F1" w:rsidP="009021F1">
      <w:pPr>
        <w:rPr>
          <w:rFonts w:cs="Arial"/>
          <w:i/>
          <w:szCs w:val="21"/>
        </w:rPr>
      </w:pPr>
    </w:p>
    <w:p w14:paraId="060EE966" w14:textId="77777777" w:rsidR="009021F1" w:rsidRPr="009D55A6" w:rsidRDefault="009021F1" w:rsidP="009021F1">
      <w:pPr>
        <w:rPr>
          <w:rFonts w:cs="Arial"/>
          <w:i/>
          <w:szCs w:val="21"/>
        </w:rPr>
      </w:pPr>
      <w:r w:rsidRPr="009D55A6">
        <w:rPr>
          <w:rFonts w:cs="Arial"/>
          <w:i/>
          <w:szCs w:val="21"/>
        </w:rPr>
        <w:t xml:space="preserve">Gestion des pestes/nuisibles </w:t>
      </w:r>
    </w:p>
    <w:p w14:paraId="051CB0F8" w14:textId="77777777" w:rsidR="009021F1" w:rsidRPr="009D55A6" w:rsidRDefault="009021F1" w:rsidP="009021F1">
      <w:pPr>
        <w:suppressAutoHyphens/>
        <w:autoSpaceDN w:val="0"/>
        <w:textAlignment w:val="baseline"/>
        <w:rPr>
          <w:rFonts w:cs="Arial"/>
          <w:szCs w:val="21"/>
        </w:rPr>
      </w:pPr>
    </w:p>
    <w:p w14:paraId="38BDD570" w14:textId="77777777" w:rsidR="009021F1" w:rsidRPr="009D55A6" w:rsidRDefault="009021F1" w:rsidP="009021F1">
      <w:pPr>
        <w:suppressAutoHyphens/>
        <w:autoSpaceDN w:val="0"/>
        <w:textAlignment w:val="baseline"/>
        <w:rPr>
          <w:rFonts w:cs="Arial"/>
          <w:szCs w:val="21"/>
        </w:rPr>
      </w:pPr>
      <w:r w:rsidRPr="009D55A6">
        <w:rPr>
          <w:rFonts w:cs="Arial"/>
          <w:szCs w:val="21"/>
        </w:rPr>
        <w:t>Le Décret n° 05/162 du 18 novembre 2005 portant réglementation phytosanitaire en RDC renferme les mesures de protection des cultures contre les maladies et le danger représenté par les parasites devant l'augmentation du volume des échanges entre pays d’un côté ; et au regard des diverses recommandations formulées par la Convention Internationale pour la Protection des Végétaux (CIPV) de la FAO, la Convention sur la Biodiversité et l'Organisation Mondiale du Commerce (OMC), spécialement en ce qui concerne l'Accord sur les mesures sanitaires et phytosanitaires (SPS) de l’autre.</w:t>
      </w:r>
    </w:p>
    <w:p w14:paraId="65B1FE21" w14:textId="77777777" w:rsidR="009021F1" w:rsidRPr="009D55A6" w:rsidRDefault="009021F1" w:rsidP="009021F1">
      <w:pPr>
        <w:rPr>
          <w:rFonts w:cs="Arial"/>
          <w:szCs w:val="21"/>
        </w:rPr>
      </w:pPr>
    </w:p>
    <w:p w14:paraId="786F2D06" w14:textId="77777777" w:rsidR="009021F1" w:rsidRPr="009D55A6" w:rsidRDefault="009021F1" w:rsidP="009021F1">
      <w:pPr>
        <w:rPr>
          <w:rFonts w:cs="Arial"/>
          <w:szCs w:val="21"/>
        </w:rPr>
      </w:pPr>
      <w:r w:rsidRPr="009D55A6">
        <w:rPr>
          <w:rFonts w:cs="Arial"/>
          <w:szCs w:val="21"/>
        </w:rPr>
        <w:t>Le Décret sus évoqué régit :</w:t>
      </w:r>
    </w:p>
    <w:p w14:paraId="5C1F34BE" w14:textId="77777777" w:rsidR="009021F1" w:rsidRPr="009D55A6" w:rsidRDefault="009021F1" w:rsidP="009021F1">
      <w:pPr>
        <w:rPr>
          <w:rFonts w:cs="Arial"/>
          <w:szCs w:val="21"/>
        </w:rPr>
      </w:pPr>
    </w:p>
    <w:p w14:paraId="343736B7" w14:textId="77777777" w:rsidR="009021F1" w:rsidRPr="009D55A6" w:rsidRDefault="009021F1" w:rsidP="009021F1">
      <w:pPr>
        <w:numPr>
          <w:ilvl w:val="0"/>
          <w:numId w:val="103"/>
        </w:numPr>
        <w:suppressAutoHyphens/>
        <w:autoSpaceDE w:val="0"/>
        <w:autoSpaceDN w:val="0"/>
        <w:rPr>
          <w:rFonts w:cs="Arial"/>
          <w:szCs w:val="21"/>
        </w:rPr>
      </w:pPr>
      <w:r w:rsidRPr="009D55A6">
        <w:rPr>
          <w:rFonts w:cs="Arial"/>
          <w:szCs w:val="21"/>
        </w:rPr>
        <w:t>La protection sanitaire des végétaux et produits végétaux par la prévention et la lutte contre les organismes nuisibles tant au niveau de leur introduction qu’à celui de leur propagation sur le Territoire national ;</w:t>
      </w:r>
    </w:p>
    <w:p w14:paraId="453ACE37" w14:textId="77777777" w:rsidR="009021F1" w:rsidRPr="009D55A6" w:rsidRDefault="009021F1" w:rsidP="009021F1">
      <w:pPr>
        <w:numPr>
          <w:ilvl w:val="0"/>
          <w:numId w:val="103"/>
        </w:numPr>
        <w:suppressAutoHyphens/>
        <w:autoSpaceDE w:val="0"/>
        <w:autoSpaceDN w:val="0"/>
        <w:rPr>
          <w:rFonts w:cs="Arial"/>
          <w:szCs w:val="21"/>
        </w:rPr>
      </w:pPr>
      <w:r w:rsidRPr="009D55A6">
        <w:rPr>
          <w:rFonts w:cs="Arial"/>
          <w:szCs w:val="21"/>
        </w:rPr>
        <w:t>La diffusion et la vulgarisation des techniques appropriées de la protection phytosanitaire ;</w:t>
      </w:r>
    </w:p>
    <w:p w14:paraId="7C05F59C" w14:textId="77777777" w:rsidR="009021F1" w:rsidRPr="009D55A6" w:rsidRDefault="009021F1" w:rsidP="009021F1">
      <w:pPr>
        <w:numPr>
          <w:ilvl w:val="0"/>
          <w:numId w:val="103"/>
        </w:numPr>
        <w:suppressAutoHyphens/>
        <w:autoSpaceDE w:val="0"/>
        <w:autoSpaceDN w:val="0"/>
        <w:rPr>
          <w:rFonts w:cs="Arial"/>
          <w:szCs w:val="21"/>
        </w:rPr>
      </w:pPr>
      <w:r w:rsidRPr="009D55A6">
        <w:rPr>
          <w:rFonts w:cs="Arial"/>
          <w:szCs w:val="21"/>
        </w:rPr>
        <w:t>L’organisation de l’agrément des produits phytosanitaires et leur contrôle à l’importation, à la mise sur le marché et à leur utilisation ;</w:t>
      </w:r>
    </w:p>
    <w:p w14:paraId="0BAC5584" w14:textId="77777777" w:rsidR="009021F1" w:rsidRPr="009D55A6" w:rsidRDefault="009021F1" w:rsidP="009021F1">
      <w:pPr>
        <w:numPr>
          <w:ilvl w:val="0"/>
          <w:numId w:val="103"/>
        </w:numPr>
        <w:suppressAutoHyphens/>
        <w:autoSpaceDE w:val="0"/>
        <w:autoSpaceDN w:val="0"/>
        <w:rPr>
          <w:rFonts w:cs="Arial"/>
          <w:szCs w:val="21"/>
        </w:rPr>
      </w:pPr>
      <w:r w:rsidRPr="009D55A6">
        <w:rPr>
          <w:rFonts w:cs="Arial"/>
          <w:szCs w:val="21"/>
        </w:rPr>
        <w:t>Le contrôle à l’importation et à l’exportation des végétaux et des produits végétaux ;</w:t>
      </w:r>
    </w:p>
    <w:p w14:paraId="6D595588" w14:textId="77777777" w:rsidR="009021F1" w:rsidRPr="009D55A6" w:rsidRDefault="009021F1" w:rsidP="009021F1">
      <w:pPr>
        <w:numPr>
          <w:ilvl w:val="0"/>
          <w:numId w:val="103"/>
        </w:numPr>
        <w:suppressAutoHyphens/>
        <w:autoSpaceDE w:val="0"/>
        <w:autoSpaceDN w:val="0"/>
        <w:rPr>
          <w:rFonts w:cs="Arial"/>
          <w:szCs w:val="21"/>
        </w:rPr>
      </w:pPr>
      <w:r w:rsidRPr="009D55A6">
        <w:rPr>
          <w:rFonts w:cs="Arial"/>
          <w:szCs w:val="21"/>
        </w:rPr>
        <w:t>Le contrôle de l’état sanitaire des denrées alimentaires d’origine végétale ou minérale susceptibles de porter des germes pathogènes.</w:t>
      </w:r>
    </w:p>
    <w:p w14:paraId="17334589" w14:textId="77777777" w:rsidR="009021F1" w:rsidRPr="009D55A6" w:rsidRDefault="009021F1" w:rsidP="009021F1">
      <w:pPr>
        <w:rPr>
          <w:rFonts w:cs="Arial"/>
          <w:i/>
          <w:szCs w:val="21"/>
        </w:rPr>
      </w:pPr>
    </w:p>
    <w:p w14:paraId="24FF4774" w14:textId="77777777" w:rsidR="009021F1" w:rsidRPr="009D55A6" w:rsidRDefault="009021F1" w:rsidP="009021F1">
      <w:pPr>
        <w:rPr>
          <w:rFonts w:cs="Arial"/>
          <w:szCs w:val="21"/>
        </w:rPr>
      </w:pPr>
      <w:r w:rsidRPr="009D55A6">
        <w:rPr>
          <w:rFonts w:cs="Arial"/>
          <w:szCs w:val="21"/>
        </w:rPr>
        <w:t>Notons que les activités agricoles du PNDA induiront à l’utilisation des pesticides (engrais chimiques) et autres produits pour la lutte contre les maladies d’origine végétales. Ainsi, le présent Décret est pertinent dans le sens qu’il fixe la réglementation phytosanitaire et les mesures de protection des cultures contre les maladies et danger des parasites.</w:t>
      </w:r>
    </w:p>
    <w:p w14:paraId="7064E6D5" w14:textId="77777777" w:rsidR="009021F1" w:rsidRPr="009D55A6" w:rsidRDefault="009021F1" w:rsidP="009021F1">
      <w:pPr>
        <w:rPr>
          <w:rFonts w:cs="Arial"/>
          <w:i/>
          <w:szCs w:val="21"/>
        </w:rPr>
      </w:pPr>
    </w:p>
    <w:p w14:paraId="69F87456" w14:textId="77777777" w:rsidR="009021F1" w:rsidRPr="009D55A6" w:rsidRDefault="009021F1" w:rsidP="009021F1">
      <w:pPr>
        <w:rPr>
          <w:rFonts w:cs="Arial"/>
          <w:i/>
          <w:szCs w:val="21"/>
        </w:rPr>
      </w:pPr>
      <w:r w:rsidRPr="009D55A6">
        <w:rPr>
          <w:rFonts w:cs="Arial"/>
          <w:i/>
          <w:szCs w:val="21"/>
        </w:rPr>
        <w:t>Évaluation environnementale et sociale en RDC</w:t>
      </w:r>
    </w:p>
    <w:p w14:paraId="7B93E3ED" w14:textId="77777777" w:rsidR="009021F1" w:rsidRPr="009D55A6" w:rsidRDefault="009021F1" w:rsidP="009021F1">
      <w:pPr>
        <w:rPr>
          <w:rFonts w:cs="Arial"/>
          <w:szCs w:val="21"/>
        </w:rPr>
      </w:pPr>
    </w:p>
    <w:p w14:paraId="739BEF62" w14:textId="77777777" w:rsidR="009021F1" w:rsidRPr="009D55A6" w:rsidRDefault="009021F1" w:rsidP="009021F1">
      <w:pPr>
        <w:rPr>
          <w:rFonts w:cs="Arial"/>
          <w:szCs w:val="21"/>
        </w:rPr>
      </w:pPr>
      <w:r w:rsidRPr="009D55A6">
        <w:rPr>
          <w:rFonts w:cs="Arial"/>
          <w:szCs w:val="21"/>
        </w:rPr>
        <w:t xml:space="preserve">Le Décret n°14/030 du 18 novembre 2014 précise le cadre général de la mise en œuvre du processus de l’évaluation environnementale et sociale en RDC. </w:t>
      </w:r>
    </w:p>
    <w:p w14:paraId="403B7F35" w14:textId="77777777" w:rsidR="009021F1" w:rsidRPr="009D55A6" w:rsidRDefault="009021F1" w:rsidP="009021F1">
      <w:pPr>
        <w:spacing w:line="240" w:lineRule="auto"/>
        <w:jc w:val="left"/>
        <w:rPr>
          <w:rFonts w:cs="Arial"/>
          <w:i/>
          <w:szCs w:val="21"/>
        </w:rPr>
      </w:pPr>
      <w:r w:rsidRPr="009D55A6">
        <w:rPr>
          <w:rFonts w:cs="Arial"/>
          <w:i/>
          <w:szCs w:val="21"/>
        </w:rPr>
        <w:t>Procédures de réalisation des études d’impact environnemental et social en RDC</w:t>
      </w:r>
    </w:p>
    <w:p w14:paraId="458BF0CA" w14:textId="77777777" w:rsidR="009021F1" w:rsidRPr="009D55A6" w:rsidRDefault="009021F1" w:rsidP="009021F1">
      <w:pPr>
        <w:rPr>
          <w:rFonts w:cs="Arial"/>
          <w:szCs w:val="21"/>
        </w:rPr>
      </w:pPr>
    </w:p>
    <w:p w14:paraId="24A15BBD" w14:textId="77777777" w:rsidR="009021F1" w:rsidRPr="009D55A6" w:rsidRDefault="009021F1" w:rsidP="009021F1">
      <w:pPr>
        <w:rPr>
          <w:rFonts w:cs="Arial"/>
          <w:szCs w:val="21"/>
        </w:rPr>
      </w:pPr>
      <w:r w:rsidRPr="009D55A6">
        <w:rPr>
          <w:rFonts w:cs="Arial"/>
          <w:szCs w:val="21"/>
        </w:rPr>
        <w:t xml:space="preserve">Le Décret n° 14/019 du 02 août 2014 fixant les règles de fonctionnement des mécanismes procéduraux de la protection de l’environnement constitue le texte qui encadre toute la procédure de réalisation d’une ÉIES de manière à s’assurer qu’un projet respecte les normes existantes en matière d’environnement. Ce texte ne mentionne aucune catégorisation des ÉIES. Mais il précise que l’ÉIES devra être réalisée par le promoteur et sous sa seule responsabilité. Les termes de référence seront établis par l’administration de tutelle du secteur d’activité concerné en lien avec le promoteur du projet, sur la base des orientations générales et sectorielles qui seront alors élaborées par l’ACE. </w:t>
      </w:r>
    </w:p>
    <w:p w14:paraId="5D4919C8" w14:textId="77777777" w:rsidR="009021F1" w:rsidRPr="009D55A6" w:rsidRDefault="009021F1" w:rsidP="009021F1">
      <w:pPr>
        <w:rPr>
          <w:rFonts w:cs="Arial"/>
          <w:szCs w:val="21"/>
        </w:rPr>
      </w:pPr>
    </w:p>
    <w:p w14:paraId="586EE95E" w14:textId="77777777" w:rsidR="009021F1" w:rsidRPr="009D55A6" w:rsidRDefault="009021F1" w:rsidP="009021F1">
      <w:pPr>
        <w:rPr>
          <w:rFonts w:cs="Arial"/>
          <w:szCs w:val="21"/>
        </w:rPr>
      </w:pPr>
      <w:r w:rsidRPr="009D55A6">
        <w:rPr>
          <w:rFonts w:cs="Arial"/>
          <w:szCs w:val="21"/>
        </w:rPr>
        <w:t xml:space="preserve">La procédure de l’ÉIES se présente comme suit : </w:t>
      </w:r>
    </w:p>
    <w:p w14:paraId="31FBA194" w14:textId="77777777" w:rsidR="009021F1" w:rsidRPr="009D55A6" w:rsidRDefault="009021F1" w:rsidP="009021F1">
      <w:pPr>
        <w:rPr>
          <w:rFonts w:cs="Arial"/>
          <w:szCs w:val="21"/>
        </w:rPr>
      </w:pPr>
    </w:p>
    <w:p w14:paraId="1D7269DC" w14:textId="77777777" w:rsidR="009021F1" w:rsidRPr="009D55A6" w:rsidRDefault="009021F1" w:rsidP="009021F1">
      <w:pPr>
        <w:pStyle w:val="Paragraphedeliste"/>
        <w:numPr>
          <w:ilvl w:val="0"/>
          <w:numId w:val="20"/>
        </w:numPr>
        <w:rPr>
          <w:rFonts w:cs="Arial"/>
          <w:szCs w:val="21"/>
        </w:rPr>
      </w:pPr>
      <w:r w:rsidRPr="009D55A6">
        <w:rPr>
          <w:rFonts w:cs="Arial"/>
          <w:szCs w:val="21"/>
        </w:rPr>
        <w:t>L'Agence élabore, en collaboration avec tous les services concernés, et met à la disposition du public le Manuel d'Opérations et des Procédures de réalisation des études d'impact environnemental et social.</w:t>
      </w:r>
    </w:p>
    <w:p w14:paraId="4953CE26" w14:textId="77777777" w:rsidR="009021F1" w:rsidRPr="009D55A6" w:rsidRDefault="009021F1" w:rsidP="009021F1">
      <w:pPr>
        <w:pStyle w:val="Paragraphedeliste"/>
        <w:numPr>
          <w:ilvl w:val="0"/>
          <w:numId w:val="20"/>
        </w:numPr>
        <w:rPr>
          <w:rFonts w:cs="Arial"/>
          <w:szCs w:val="21"/>
        </w:rPr>
      </w:pPr>
      <w:r w:rsidRPr="009D55A6">
        <w:rPr>
          <w:rFonts w:cs="Arial"/>
          <w:szCs w:val="21"/>
        </w:rPr>
        <w:t>L'étude d'impact environnemental et social est à la charge du promoteur.</w:t>
      </w:r>
    </w:p>
    <w:p w14:paraId="2F186E9C" w14:textId="77777777" w:rsidR="009021F1" w:rsidRPr="009D55A6" w:rsidRDefault="009021F1" w:rsidP="009021F1">
      <w:pPr>
        <w:pStyle w:val="Paragraphedeliste"/>
        <w:numPr>
          <w:ilvl w:val="0"/>
          <w:numId w:val="20"/>
        </w:numPr>
        <w:rPr>
          <w:rFonts w:cs="Arial"/>
          <w:szCs w:val="21"/>
        </w:rPr>
      </w:pPr>
      <w:r w:rsidRPr="009D55A6">
        <w:rPr>
          <w:rFonts w:cs="Arial"/>
          <w:szCs w:val="21"/>
        </w:rPr>
        <w:t>Le promoteur recrute un bureau d'études national agréé par le Ministère de l'Environnement ou International pour la réaliser. Toutefois, à compétence égale, la priorité est accordée aux nationaux.</w:t>
      </w:r>
    </w:p>
    <w:p w14:paraId="5758123D" w14:textId="77777777" w:rsidR="009021F1" w:rsidRPr="009D55A6" w:rsidRDefault="009021F1" w:rsidP="009021F1">
      <w:pPr>
        <w:pStyle w:val="Paragraphedeliste"/>
        <w:numPr>
          <w:ilvl w:val="0"/>
          <w:numId w:val="20"/>
        </w:numPr>
        <w:rPr>
          <w:rFonts w:cs="Arial"/>
          <w:szCs w:val="21"/>
        </w:rPr>
      </w:pPr>
      <w:r w:rsidRPr="009D55A6">
        <w:rPr>
          <w:rFonts w:cs="Arial"/>
          <w:szCs w:val="21"/>
        </w:rPr>
        <w:t>Tout bureau d'études International recruté s'associe à un bureau d'études national.</w:t>
      </w:r>
    </w:p>
    <w:p w14:paraId="68C09782" w14:textId="77777777" w:rsidR="009021F1" w:rsidRPr="009D55A6" w:rsidRDefault="009021F1" w:rsidP="009021F1">
      <w:pPr>
        <w:pStyle w:val="Paragraphedeliste"/>
        <w:numPr>
          <w:ilvl w:val="0"/>
          <w:numId w:val="20"/>
        </w:numPr>
        <w:rPr>
          <w:rFonts w:cs="Arial"/>
          <w:szCs w:val="21"/>
        </w:rPr>
      </w:pPr>
      <w:r w:rsidRPr="009D55A6">
        <w:rPr>
          <w:rFonts w:cs="Arial"/>
          <w:szCs w:val="21"/>
        </w:rPr>
        <w:t>Un arrêté du ministre ayant l'environnement dans ses attributions fixe les conditions d'agrément des bureaux d'études</w:t>
      </w:r>
    </w:p>
    <w:p w14:paraId="3F813EE7" w14:textId="77777777" w:rsidR="009021F1" w:rsidRPr="009D55A6" w:rsidRDefault="009021F1" w:rsidP="009021F1">
      <w:pPr>
        <w:pStyle w:val="Paragraphedeliste"/>
        <w:numPr>
          <w:ilvl w:val="0"/>
          <w:numId w:val="20"/>
        </w:numPr>
        <w:rPr>
          <w:rFonts w:cs="Arial"/>
          <w:szCs w:val="21"/>
        </w:rPr>
      </w:pPr>
      <w:r w:rsidRPr="009D55A6">
        <w:rPr>
          <w:rFonts w:cs="Arial"/>
          <w:szCs w:val="21"/>
        </w:rPr>
        <w:t>Le promoteur adresse une demande de réalisation de l'étude d'impact environnemental et social à l'Agence se conformant aux directives contenues dans le manuel d'opérations et des procédures prévus à l'article 20 du décret repris ci-dessus.</w:t>
      </w:r>
    </w:p>
    <w:p w14:paraId="5C56F43D" w14:textId="77777777" w:rsidR="009021F1" w:rsidRPr="009D55A6" w:rsidRDefault="009021F1" w:rsidP="009021F1">
      <w:pPr>
        <w:pStyle w:val="Paragraphedeliste"/>
        <w:numPr>
          <w:ilvl w:val="0"/>
          <w:numId w:val="20"/>
        </w:numPr>
        <w:rPr>
          <w:rFonts w:cs="Arial"/>
          <w:szCs w:val="21"/>
        </w:rPr>
      </w:pPr>
      <w:r w:rsidRPr="009D55A6">
        <w:rPr>
          <w:rFonts w:cs="Arial"/>
          <w:szCs w:val="21"/>
        </w:rPr>
        <w:t>L'autorisation de la réalisation de tout projet assujetti à une étude d'impact environnemental et social est sanctionnée par la délivrance d'un Certificat Environnemental par l'Agence.</w:t>
      </w:r>
    </w:p>
    <w:p w14:paraId="0EE4BD93" w14:textId="77777777" w:rsidR="009021F1" w:rsidRPr="009D55A6" w:rsidRDefault="009021F1" w:rsidP="009021F1">
      <w:pPr>
        <w:pStyle w:val="Paragraphedeliste"/>
        <w:numPr>
          <w:ilvl w:val="0"/>
          <w:numId w:val="20"/>
        </w:numPr>
        <w:rPr>
          <w:rFonts w:cs="Arial"/>
          <w:szCs w:val="21"/>
        </w:rPr>
      </w:pPr>
      <w:r w:rsidRPr="009D55A6">
        <w:rPr>
          <w:rFonts w:cs="Arial"/>
          <w:szCs w:val="21"/>
        </w:rPr>
        <w:t>Après examen de la demande, l'Agence détermine si le projet est assujetti ou non à l'étude d'impact environnemental et social et en informe le promoteur.</w:t>
      </w:r>
    </w:p>
    <w:p w14:paraId="78497C14" w14:textId="77777777" w:rsidR="009021F1" w:rsidRPr="009D55A6" w:rsidRDefault="009021F1" w:rsidP="009021F1">
      <w:pPr>
        <w:pStyle w:val="Paragraphedeliste"/>
        <w:numPr>
          <w:ilvl w:val="0"/>
          <w:numId w:val="20"/>
        </w:numPr>
        <w:rPr>
          <w:rFonts w:cs="Arial"/>
          <w:szCs w:val="21"/>
        </w:rPr>
      </w:pPr>
      <w:r w:rsidRPr="009D55A6">
        <w:rPr>
          <w:rFonts w:cs="Arial"/>
          <w:szCs w:val="21"/>
        </w:rPr>
        <w:t>L'Agence constitue, après le dépôt de l'étude, un Panel d'experts 1 composé selon la spécificité du projet pour son évaluation. Ce Panel comprend : 4 représentants de l'établissement public compétent ; 1 représentant par Ministère concerné par le projet ; 1 représentant du Fonds National de Promotion de Service Social ; 3 personnes ressources identifiées du fait de leur expertise.</w:t>
      </w:r>
    </w:p>
    <w:p w14:paraId="3629F6A4" w14:textId="77777777" w:rsidR="009021F1" w:rsidRPr="009D55A6" w:rsidRDefault="009021F1" w:rsidP="009021F1">
      <w:pPr>
        <w:pStyle w:val="Paragraphedeliste"/>
        <w:numPr>
          <w:ilvl w:val="0"/>
          <w:numId w:val="20"/>
        </w:numPr>
        <w:rPr>
          <w:rFonts w:cs="Arial"/>
          <w:szCs w:val="21"/>
        </w:rPr>
      </w:pPr>
      <w:r w:rsidRPr="009D55A6">
        <w:rPr>
          <w:rFonts w:cs="Arial"/>
          <w:szCs w:val="21"/>
        </w:rPr>
        <w:t>L'Agence dispose d'un délai de trois mois à dater du dépôt de l'étude pour notifier au promoteur : Soit la recevabilité de l'étude, auquel cas il délivre le Certificat Environnemental ; Soit les observations à intégrer pour rendre 1 'étude recevable moyennant amendement ; Soit son rejet, auquel cas le promoteur doit reprendre son étude.</w:t>
      </w:r>
    </w:p>
    <w:p w14:paraId="02E7B04C" w14:textId="77777777" w:rsidR="009021F1" w:rsidRPr="009D55A6" w:rsidRDefault="009021F1" w:rsidP="009021F1">
      <w:pPr>
        <w:pStyle w:val="Paragraphedeliste"/>
        <w:numPr>
          <w:ilvl w:val="0"/>
          <w:numId w:val="20"/>
        </w:numPr>
        <w:rPr>
          <w:rFonts w:cs="Arial"/>
          <w:szCs w:val="21"/>
        </w:rPr>
      </w:pPr>
      <w:r w:rsidRPr="009D55A6">
        <w:rPr>
          <w:rFonts w:cs="Arial"/>
          <w:szCs w:val="21"/>
        </w:rPr>
        <w:t>Le promoteur dispose d'un délai de 30 jours à dater de la notification des observations pour les intégrer dans son étude aux fins de réexamen. Passé ce délai, l'étude est réputée rejetée.</w:t>
      </w:r>
    </w:p>
    <w:p w14:paraId="0D63085D" w14:textId="77777777" w:rsidR="009021F1" w:rsidRPr="009D55A6" w:rsidRDefault="009021F1" w:rsidP="009021F1">
      <w:pPr>
        <w:pStyle w:val="Paragraphedeliste"/>
        <w:numPr>
          <w:ilvl w:val="0"/>
          <w:numId w:val="20"/>
        </w:numPr>
        <w:rPr>
          <w:rFonts w:cs="Arial"/>
          <w:szCs w:val="21"/>
        </w:rPr>
      </w:pPr>
      <w:r w:rsidRPr="009D55A6">
        <w:rPr>
          <w:rFonts w:cs="Arial"/>
          <w:szCs w:val="21"/>
        </w:rPr>
        <w:t>Si le promoteur ne reçoit aucune suite de l'Agence dans le délai imparti à l'article 27 ci-dessus, l'étude est réputée recevable et le certificat acquis.</w:t>
      </w:r>
    </w:p>
    <w:p w14:paraId="2B448678" w14:textId="77777777" w:rsidR="009021F1" w:rsidRPr="009D55A6" w:rsidRDefault="009021F1" w:rsidP="009021F1">
      <w:pPr>
        <w:pStyle w:val="Paragraphedeliste"/>
        <w:numPr>
          <w:ilvl w:val="0"/>
          <w:numId w:val="20"/>
        </w:numPr>
        <w:rPr>
          <w:rFonts w:cs="Arial"/>
          <w:szCs w:val="21"/>
        </w:rPr>
      </w:pPr>
      <w:r w:rsidRPr="009D55A6">
        <w:rPr>
          <w:rFonts w:cs="Arial"/>
          <w:szCs w:val="21"/>
        </w:rPr>
        <w:t>Les frais liés à l'évaluation des études d'impact environnemental et social sont à charge du promoteur et payables au moment du dépôt du rapport de l'étude.</w:t>
      </w:r>
    </w:p>
    <w:p w14:paraId="7EE77A4A" w14:textId="77777777" w:rsidR="009021F1" w:rsidRPr="009D55A6" w:rsidRDefault="009021F1" w:rsidP="009021F1">
      <w:pPr>
        <w:rPr>
          <w:rFonts w:cs="Arial"/>
          <w:szCs w:val="21"/>
        </w:rPr>
      </w:pPr>
    </w:p>
    <w:p w14:paraId="114B5AC7" w14:textId="77777777" w:rsidR="009021F1" w:rsidRPr="009D55A6" w:rsidRDefault="009021F1" w:rsidP="009021F1">
      <w:pPr>
        <w:rPr>
          <w:rFonts w:cs="Arial"/>
          <w:szCs w:val="21"/>
        </w:rPr>
      </w:pPr>
      <w:r w:rsidRPr="009D55A6">
        <w:rPr>
          <w:rFonts w:cs="Arial"/>
          <w:szCs w:val="21"/>
        </w:rPr>
        <w:t>Il sied de signaler qu’il y a une absence remarquable des procédures de réalisation des études sociales dans le Décret n° 14/019 du 02 août 2014 fixant les règles de fonctionnement des mécanismes procéduraux de la protection de l’environnement.</w:t>
      </w:r>
    </w:p>
    <w:p w14:paraId="12E63B5E" w14:textId="77777777" w:rsidR="009021F1" w:rsidRPr="009D55A6" w:rsidRDefault="009021F1" w:rsidP="009021F1">
      <w:pPr>
        <w:rPr>
          <w:rFonts w:cs="Arial"/>
          <w:szCs w:val="21"/>
        </w:rPr>
      </w:pPr>
      <w:r w:rsidRPr="009D55A6">
        <w:rPr>
          <w:rFonts w:cs="Arial"/>
          <w:szCs w:val="21"/>
        </w:rPr>
        <w:t>D’autres textes se rapportent aux questions environnementales et sociales, comme présentés ci-dessous.</w:t>
      </w:r>
    </w:p>
    <w:p w14:paraId="25804C08" w14:textId="77777777" w:rsidR="009021F1" w:rsidRPr="009D55A6" w:rsidRDefault="009021F1" w:rsidP="009021F1">
      <w:pPr>
        <w:rPr>
          <w:rFonts w:cs="Arial"/>
          <w:szCs w:val="21"/>
        </w:rPr>
      </w:pPr>
    </w:p>
    <w:p w14:paraId="45F1A24D" w14:textId="77777777" w:rsidR="009021F1" w:rsidRPr="009D55A6" w:rsidRDefault="009021F1" w:rsidP="009021F1">
      <w:pPr>
        <w:rPr>
          <w:rFonts w:cs="Arial"/>
          <w:szCs w:val="21"/>
        </w:rPr>
      </w:pPr>
      <w:r w:rsidRPr="009D55A6">
        <w:rPr>
          <w:rFonts w:cs="Arial"/>
          <w:szCs w:val="21"/>
        </w:rPr>
        <w:t>Le Décret n° 13-015 du 29 mai 2013 portant Réglementation des Installations Classées ; l’Arrêté Ministériel n° 28/CAB/MIN/ECNDD/23/RBM/2016 du 22 mars 2016 fixant les conditions d’agrément d’un Bureau d’Études en évaluation environnementale et sociale ; l’Arrêté Ministériel n° 022/CAB/MIN/EDD/AAN/2017 du 06 septembre 2017 fixant les frais liés à l’évaluation des études environnementales et sociales. Dans le cadre du Projet, les dispositions relatives à cette loi devront être rigoureusement respectées.</w:t>
      </w:r>
    </w:p>
    <w:p w14:paraId="61EC442E" w14:textId="77777777" w:rsidR="009021F1" w:rsidRPr="009D55A6" w:rsidRDefault="009021F1" w:rsidP="009021F1">
      <w:pPr>
        <w:rPr>
          <w:rFonts w:cs="Arial"/>
          <w:szCs w:val="21"/>
        </w:rPr>
      </w:pPr>
    </w:p>
    <w:p w14:paraId="40007B3E" w14:textId="77777777" w:rsidR="009021F1" w:rsidRPr="009D55A6" w:rsidRDefault="009021F1" w:rsidP="009021F1">
      <w:pPr>
        <w:pStyle w:val="Titre2"/>
        <w:numPr>
          <w:ilvl w:val="2"/>
          <w:numId w:val="4"/>
        </w:numPr>
        <w:ind w:left="1560" w:hanging="709"/>
        <w:rPr>
          <w:rFonts w:cs="Arial"/>
          <w:i/>
          <w:szCs w:val="21"/>
        </w:rPr>
      </w:pPr>
      <w:bookmarkStart w:id="323" w:name="_Toc90471429"/>
      <w:r w:rsidRPr="009D55A6">
        <w:rPr>
          <w:rFonts w:cs="Arial"/>
          <w:i/>
          <w:szCs w:val="21"/>
        </w:rPr>
        <w:t>Conventions internationales en matière d’environnement et de social applicables au Projet</w:t>
      </w:r>
      <w:bookmarkEnd w:id="323"/>
    </w:p>
    <w:p w14:paraId="6D84CDE4" w14:textId="77777777" w:rsidR="009021F1" w:rsidRPr="009D55A6" w:rsidRDefault="009021F1" w:rsidP="009021F1">
      <w:pPr>
        <w:rPr>
          <w:rFonts w:cs="Arial"/>
          <w:szCs w:val="21"/>
        </w:rPr>
      </w:pPr>
    </w:p>
    <w:p w14:paraId="1ADB91E6" w14:textId="77777777" w:rsidR="009021F1" w:rsidRPr="009D55A6" w:rsidRDefault="009021F1" w:rsidP="009021F1">
      <w:pPr>
        <w:autoSpaceDE w:val="0"/>
        <w:autoSpaceDN w:val="0"/>
        <w:adjustRightInd w:val="0"/>
        <w:rPr>
          <w:rFonts w:cs="Arial"/>
          <w:szCs w:val="21"/>
        </w:rPr>
      </w:pPr>
      <w:r w:rsidRPr="009D55A6">
        <w:rPr>
          <w:rFonts w:cs="Arial"/>
          <w:szCs w:val="21"/>
        </w:rPr>
        <w:t>Au plan international, la RDC est signataire de plusieurs Conventions Internationales en matière d’environnement et aussi des aspects sociaux. Les accords multilatéraux en relation avec le projet sont repris dans le tableau 1</w:t>
      </w:r>
      <w:r>
        <w:rPr>
          <w:rFonts w:cs="Arial"/>
          <w:szCs w:val="21"/>
        </w:rPr>
        <w:t>6</w:t>
      </w:r>
      <w:r w:rsidRPr="009D55A6">
        <w:rPr>
          <w:rFonts w:cs="Arial"/>
          <w:szCs w:val="21"/>
        </w:rPr>
        <w:t xml:space="preserve"> ci-dessous.</w:t>
      </w:r>
    </w:p>
    <w:p w14:paraId="7478F7F2" w14:textId="77777777" w:rsidR="009021F1" w:rsidRPr="009D55A6" w:rsidRDefault="009021F1" w:rsidP="009021F1">
      <w:pPr>
        <w:autoSpaceDE w:val="0"/>
        <w:autoSpaceDN w:val="0"/>
        <w:adjustRightInd w:val="0"/>
        <w:rPr>
          <w:rFonts w:cs="Arial"/>
          <w:szCs w:val="21"/>
        </w:rPr>
      </w:pPr>
    </w:p>
    <w:p w14:paraId="5FCD057C" w14:textId="77777777" w:rsidR="009021F1" w:rsidRPr="009D55A6" w:rsidRDefault="009021F1" w:rsidP="009021F1">
      <w:pPr>
        <w:spacing w:line="240" w:lineRule="auto"/>
        <w:jc w:val="left"/>
        <w:rPr>
          <w:rFonts w:cs="Arial"/>
          <w:szCs w:val="21"/>
        </w:rPr>
      </w:pPr>
      <w:r w:rsidRPr="009D55A6">
        <w:rPr>
          <w:rFonts w:cs="Arial"/>
          <w:szCs w:val="21"/>
        </w:rPr>
        <w:br w:type="page"/>
      </w:r>
    </w:p>
    <w:p w14:paraId="57584894" w14:textId="77777777" w:rsidR="009021F1" w:rsidRPr="009D55A6" w:rsidRDefault="009021F1" w:rsidP="009021F1">
      <w:pPr>
        <w:autoSpaceDE w:val="0"/>
        <w:autoSpaceDN w:val="0"/>
        <w:adjustRightInd w:val="0"/>
        <w:rPr>
          <w:rFonts w:cs="Arial"/>
          <w:szCs w:val="21"/>
        </w:rPr>
        <w:sectPr w:rsidR="009021F1" w:rsidRPr="009D55A6" w:rsidSect="00E637E3">
          <w:pgSz w:w="11906" w:h="16838"/>
          <w:pgMar w:top="1134" w:right="1418" w:bottom="1134" w:left="1418" w:header="568" w:footer="82" w:gutter="0"/>
          <w:cols w:space="708"/>
          <w:docGrid w:linePitch="360"/>
        </w:sectPr>
      </w:pPr>
    </w:p>
    <w:p w14:paraId="70E52A22" w14:textId="77777777" w:rsidR="009021F1" w:rsidRPr="009D55A6" w:rsidRDefault="009021F1" w:rsidP="009021F1">
      <w:pPr>
        <w:autoSpaceDE w:val="0"/>
        <w:autoSpaceDN w:val="0"/>
        <w:adjustRightInd w:val="0"/>
        <w:rPr>
          <w:rFonts w:cs="Arial"/>
          <w:szCs w:val="21"/>
        </w:rPr>
      </w:pPr>
      <w:r w:rsidRPr="009D55A6">
        <w:rPr>
          <w:rFonts w:cs="Arial"/>
          <w:szCs w:val="21"/>
        </w:rPr>
        <w:t xml:space="preserve">Tableau </w:t>
      </w:r>
      <w:r w:rsidRPr="009D55A6">
        <w:rPr>
          <w:rFonts w:cs="Arial"/>
          <w:szCs w:val="21"/>
        </w:rPr>
        <w:fldChar w:fldCharType="begin"/>
      </w:r>
      <w:r w:rsidRPr="009D55A6">
        <w:rPr>
          <w:rFonts w:cs="Arial"/>
          <w:szCs w:val="21"/>
        </w:rPr>
        <w:instrText xml:space="preserve"> SEQ Tableau \* ARABIC </w:instrText>
      </w:r>
      <w:r w:rsidRPr="009D55A6">
        <w:rPr>
          <w:rFonts w:cs="Arial"/>
          <w:szCs w:val="21"/>
        </w:rPr>
        <w:fldChar w:fldCharType="separate"/>
      </w:r>
      <w:r>
        <w:rPr>
          <w:rFonts w:cs="Arial"/>
          <w:noProof/>
          <w:szCs w:val="21"/>
        </w:rPr>
        <w:t>16</w:t>
      </w:r>
      <w:r w:rsidRPr="009D55A6">
        <w:rPr>
          <w:rFonts w:cs="Arial"/>
          <w:szCs w:val="21"/>
        </w:rPr>
        <w:fldChar w:fldCharType="end"/>
      </w:r>
      <w:r w:rsidRPr="009D55A6">
        <w:rPr>
          <w:rFonts w:cs="Arial"/>
          <w:szCs w:val="21"/>
        </w:rPr>
        <w:t>.</w:t>
      </w:r>
      <w:r w:rsidRPr="009D55A6">
        <w:rPr>
          <w:rFonts w:cs="Arial"/>
          <w:bCs/>
          <w:szCs w:val="21"/>
        </w:rPr>
        <w:t xml:space="preserve"> </w:t>
      </w:r>
      <w:r w:rsidRPr="009D55A6">
        <w:rPr>
          <w:rFonts w:cs="Arial"/>
          <w:szCs w:val="21"/>
        </w:rPr>
        <w:t xml:space="preserve"> Conventions internationales signées par la RDC applicables au Projet</w:t>
      </w:r>
    </w:p>
    <w:p w14:paraId="228E486C" w14:textId="77777777" w:rsidR="009021F1" w:rsidRPr="009D55A6" w:rsidRDefault="009021F1" w:rsidP="009021F1">
      <w:pPr>
        <w:autoSpaceDE w:val="0"/>
        <w:autoSpaceDN w:val="0"/>
        <w:adjustRightInd w:val="0"/>
        <w:rPr>
          <w:rFonts w:cs="Arial"/>
          <w:szCs w:val="21"/>
        </w:rPr>
      </w:pPr>
    </w:p>
    <w:tbl>
      <w:tblPr>
        <w:tblW w:w="1484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4"/>
        <w:gridCol w:w="4301"/>
        <w:gridCol w:w="2353"/>
        <w:gridCol w:w="5499"/>
      </w:tblGrid>
      <w:tr w:rsidR="009021F1" w:rsidRPr="001E4043" w14:paraId="049CE212" w14:textId="77777777" w:rsidTr="00E637E3">
        <w:tc>
          <w:tcPr>
            <w:tcW w:w="2694" w:type="dxa"/>
            <w:shd w:val="clear" w:color="auto" w:fill="auto"/>
          </w:tcPr>
          <w:p w14:paraId="477D2AA1" w14:textId="77777777" w:rsidR="009021F1" w:rsidRPr="009D55A6" w:rsidRDefault="009021F1" w:rsidP="00E637E3">
            <w:pPr>
              <w:autoSpaceDE w:val="0"/>
              <w:autoSpaceDN w:val="0"/>
              <w:adjustRightInd w:val="0"/>
              <w:jc w:val="center"/>
              <w:rPr>
                <w:rFonts w:cs="Arial"/>
                <w:b/>
                <w:sz w:val="20"/>
                <w:szCs w:val="20"/>
              </w:rPr>
            </w:pPr>
          </w:p>
          <w:p w14:paraId="27D942B3" w14:textId="77777777" w:rsidR="009021F1" w:rsidRPr="009D55A6" w:rsidRDefault="009021F1" w:rsidP="00E637E3">
            <w:pPr>
              <w:autoSpaceDE w:val="0"/>
              <w:autoSpaceDN w:val="0"/>
              <w:adjustRightInd w:val="0"/>
              <w:jc w:val="center"/>
              <w:rPr>
                <w:rFonts w:cs="Arial"/>
                <w:b/>
                <w:sz w:val="20"/>
                <w:szCs w:val="20"/>
              </w:rPr>
            </w:pPr>
            <w:r w:rsidRPr="009D55A6">
              <w:rPr>
                <w:rFonts w:cs="Arial"/>
                <w:b/>
                <w:sz w:val="20"/>
                <w:szCs w:val="20"/>
              </w:rPr>
              <w:t>Nom de la Convention</w:t>
            </w:r>
          </w:p>
          <w:p w14:paraId="54E08932" w14:textId="77777777" w:rsidR="009021F1" w:rsidRPr="009D55A6" w:rsidRDefault="009021F1" w:rsidP="00E637E3">
            <w:pPr>
              <w:autoSpaceDE w:val="0"/>
              <w:autoSpaceDN w:val="0"/>
              <w:adjustRightInd w:val="0"/>
              <w:jc w:val="center"/>
              <w:rPr>
                <w:rFonts w:cs="Arial"/>
                <w:b/>
                <w:sz w:val="20"/>
                <w:szCs w:val="20"/>
              </w:rPr>
            </w:pPr>
          </w:p>
        </w:tc>
        <w:tc>
          <w:tcPr>
            <w:tcW w:w="4301" w:type="dxa"/>
            <w:shd w:val="clear" w:color="auto" w:fill="auto"/>
          </w:tcPr>
          <w:p w14:paraId="44FC1789" w14:textId="77777777" w:rsidR="009021F1" w:rsidRPr="009D55A6" w:rsidRDefault="009021F1" w:rsidP="00E637E3">
            <w:pPr>
              <w:autoSpaceDE w:val="0"/>
              <w:autoSpaceDN w:val="0"/>
              <w:adjustRightInd w:val="0"/>
              <w:jc w:val="center"/>
              <w:rPr>
                <w:rFonts w:cs="Arial"/>
                <w:b/>
                <w:sz w:val="20"/>
                <w:szCs w:val="20"/>
              </w:rPr>
            </w:pPr>
          </w:p>
          <w:p w14:paraId="161FAA7B" w14:textId="77777777" w:rsidR="009021F1" w:rsidRPr="009D55A6" w:rsidRDefault="009021F1" w:rsidP="00E637E3">
            <w:pPr>
              <w:autoSpaceDE w:val="0"/>
              <w:autoSpaceDN w:val="0"/>
              <w:adjustRightInd w:val="0"/>
              <w:jc w:val="center"/>
              <w:rPr>
                <w:rFonts w:cs="Arial"/>
                <w:b/>
                <w:sz w:val="20"/>
                <w:szCs w:val="20"/>
              </w:rPr>
            </w:pPr>
            <w:r w:rsidRPr="009D55A6">
              <w:rPr>
                <w:rFonts w:cs="Arial"/>
                <w:b/>
                <w:sz w:val="20"/>
                <w:szCs w:val="20"/>
              </w:rPr>
              <w:t>Objet</w:t>
            </w:r>
          </w:p>
        </w:tc>
        <w:tc>
          <w:tcPr>
            <w:tcW w:w="2353" w:type="dxa"/>
            <w:shd w:val="clear" w:color="auto" w:fill="auto"/>
          </w:tcPr>
          <w:p w14:paraId="57DBDDA4" w14:textId="77777777" w:rsidR="009021F1" w:rsidRPr="009D55A6" w:rsidRDefault="009021F1" w:rsidP="00E637E3">
            <w:pPr>
              <w:autoSpaceDE w:val="0"/>
              <w:autoSpaceDN w:val="0"/>
              <w:adjustRightInd w:val="0"/>
              <w:ind w:firstLine="708"/>
              <w:jc w:val="center"/>
              <w:rPr>
                <w:rFonts w:cs="Arial"/>
                <w:b/>
                <w:sz w:val="20"/>
                <w:szCs w:val="20"/>
              </w:rPr>
            </w:pPr>
          </w:p>
          <w:p w14:paraId="28D2B5D2" w14:textId="77777777" w:rsidR="009021F1" w:rsidRPr="009D55A6" w:rsidRDefault="009021F1" w:rsidP="00E637E3">
            <w:pPr>
              <w:autoSpaceDE w:val="0"/>
              <w:autoSpaceDN w:val="0"/>
              <w:adjustRightInd w:val="0"/>
              <w:jc w:val="center"/>
              <w:rPr>
                <w:rFonts w:cs="Arial"/>
                <w:b/>
                <w:sz w:val="20"/>
                <w:szCs w:val="20"/>
              </w:rPr>
            </w:pPr>
            <w:r w:rsidRPr="009D55A6">
              <w:rPr>
                <w:rFonts w:cs="Arial"/>
                <w:b/>
                <w:sz w:val="20"/>
                <w:szCs w:val="20"/>
              </w:rPr>
              <w:t>Pays /ville et date d’adoption</w:t>
            </w:r>
          </w:p>
        </w:tc>
        <w:tc>
          <w:tcPr>
            <w:tcW w:w="5499" w:type="dxa"/>
            <w:shd w:val="clear" w:color="auto" w:fill="auto"/>
          </w:tcPr>
          <w:p w14:paraId="3695F994" w14:textId="77777777" w:rsidR="009021F1" w:rsidRPr="009D55A6" w:rsidRDefault="009021F1" w:rsidP="00E637E3">
            <w:pPr>
              <w:autoSpaceDE w:val="0"/>
              <w:autoSpaceDN w:val="0"/>
              <w:adjustRightInd w:val="0"/>
              <w:jc w:val="center"/>
              <w:rPr>
                <w:rFonts w:cs="Arial"/>
                <w:b/>
                <w:sz w:val="20"/>
                <w:szCs w:val="20"/>
              </w:rPr>
            </w:pPr>
          </w:p>
          <w:p w14:paraId="329476C3" w14:textId="77777777" w:rsidR="009021F1" w:rsidRPr="009D55A6" w:rsidRDefault="009021F1" w:rsidP="00E637E3">
            <w:pPr>
              <w:autoSpaceDE w:val="0"/>
              <w:autoSpaceDN w:val="0"/>
              <w:adjustRightInd w:val="0"/>
              <w:jc w:val="center"/>
              <w:rPr>
                <w:rFonts w:cs="Arial"/>
                <w:b/>
                <w:sz w:val="20"/>
                <w:szCs w:val="20"/>
              </w:rPr>
            </w:pPr>
            <w:r w:rsidRPr="009D55A6">
              <w:rPr>
                <w:rFonts w:cs="Arial"/>
                <w:b/>
                <w:sz w:val="20"/>
                <w:szCs w:val="20"/>
              </w:rPr>
              <w:t>Pertinence pour le PNDA</w:t>
            </w:r>
          </w:p>
        </w:tc>
      </w:tr>
      <w:tr w:rsidR="009021F1" w:rsidRPr="001E4043" w14:paraId="3124E5AD" w14:textId="77777777" w:rsidTr="00E637E3">
        <w:tc>
          <w:tcPr>
            <w:tcW w:w="2694" w:type="dxa"/>
            <w:shd w:val="clear" w:color="auto" w:fill="auto"/>
          </w:tcPr>
          <w:p w14:paraId="11998E1B" w14:textId="77777777" w:rsidR="009021F1" w:rsidRPr="009D55A6" w:rsidRDefault="009021F1" w:rsidP="00E637E3">
            <w:pPr>
              <w:autoSpaceDE w:val="0"/>
              <w:autoSpaceDN w:val="0"/>
              <w:adjustRightInd w:val="0"/>
              <w:jc w:val="left"/>
              <w:rPr>
                <w:rFonts w:cs="Arial"/>
                <w:sz w:val="20"/>
                <w:szCs w:val="20"/>
              </w:rPr>
            </w:pPr>
            <w:r w:rsidRPr="009D55A6">
              <w:rPr>
                <w:rFonts w:cs="Arial"/>
                <w:sz w:val="20"/>
                <w:szCs w:val="20"/>
              </w:rPr>
              <w:t>Convention relative à la conservation de la faune et de la flore à l’état naturel.</w:t>
            </w:r>
          </w:p>
        </w:tc>
        <w:tc>
          <w:tcPr>
            <w:tcW w:w="4301" w:type="dxa"/>
            <w:shd w:val="clear" w:color="auto" w:fill="auto"/>
          </w:tcPr>
          <w:p w14:paraId="4AED52D0" w14:textId="77777777" w:rsidR="009021F1" w:rsidRPr="009D55A6" w:rsidRDefault="009021F1" w:rsidP="00E637E3">
            <w:pPr>
              <w:autoSpaceDE w:val="0"/>
              <w:autoSpaceDN w:val="0"/>
              <w:adjustRightInd w:val="0"/>
              <w:jc w:val="left"/>
              <w:rPr>
                <w:rFonts w:cs="Arial"/>
                <w:sz w:val="20"/>
                <w:szCs w:val="20"/>
              </w:rPr>
            </w:pPr>
          </w:p>
          <w:p w14:paraId="0D8EC776" w14:textId="77777777" w:rsidR="009021F1" w:rsidRPr="009D55A6" w:rsidRDefault="009021F1" w:rsidP="00E637E3">
            <w:pPr>
              <w:autoSpaceDE w:val="0"/>
              <w:autoSpaceDN w:val="0"/>
              <w:adjustRightInd w:val="0"/>
              <w:jc w:val="left"/>
              <w:rPr>
                <w:rFonts w:cs="Arial"/>
                <w:sz w:val="20"/>
                <w:szCs w:val="20"/>
              </w:rPr>
            </w:pPr>
            <w:r w:rsidRPr="009D55A6">
              <w:rPr>
                <w:rFonts w:cs="Arial"/>
                <w:sz w:val="20"/>
                <w:szCs w:val="20"/>
              </w:rPr>
              <w:t>Etablir dans les territoires des Etats parties, des parcs nationaux et des réserves naturelles intégrales (préservation de la faune et de la flore à l'état naturel)</w:t>
            </w:r>
          </w:p>
          <w:p w14:paraId="3986C1CD" w14:textId="77777777" w:rsidR="009021F1" w:rsidRPr="009D55A6" w:rsidRDefault="009021F1" w:rsidP="00E637E3">
            <w:pPr>
              <w:autoSpaceDE w:val="0"/>
              <w:autoSpaceDN w:val="0"/>
              <w:adjustRightInd w:val="0"/>
              <w:jc w:val="left"/>
              <w:rPr>
                <w:rFonts w:cs="Arial"/>
                <w:sz w:val="20"/>
                <w:szCs w:val="20"/>
              </w:rPr>
            </w:pPr>
          </w:p>
        </w:tc>
        <w:tc>
          <w:tcPr>
            <w:tcW w:w="2353" w:type="dxa"/>
            <w:tcBorders>
              <w:top w:val="nil"/>
              <w:left w:val="nil"/>
              <w:bottom w:val="single" w:sz="4" w:space="0" w:color="auto"/>
              <w:right w:val="single" w:sz="4" w:space="0" w:color="auto"/>
            </w:tcBorders>
            <w:shd w:val="clear" w:color="auto" w:fill="auto"/>
            <w:vAlign w:val="center"/>
          </w:tcPr>
          <w:p w14:paraId="01C59757" w14:textId="77777777" w:rsidR="009021F1" w:rsidRPr="009D55A6" w:rsidRDefault="009021F1" w:rsidP="00E637E3">
            <w:pPr>
              <w:autoSpaceDE w:val="0"/>
              <w:autoSpaceDN w:val="0"/>
              <w:adjustRightInd w:val="0"/>
              <w:jc w:val="left"/>
              <w:rPr>
                <w:rFonts w:cs="Arial"/>
                <w:sz w:val="20"/>
                <w:szCs w:val="20"/>
              </w:rPr>
            </w:pPr>
            <w:r w:rsidRPr="009D55A6">
              <w:rPr>
                <w:rFonts w:cs="Arial"/>
                <w:sz w:val="20"/>
                <w:szCs w:val="20"/>
              </w:rPr>
              <w:t>Londres (Angleterre), 14 janvier 1936</w:t>
            </w:r>
          </w:p>
        </w:tc>
        <w:tc>
          <w:tcPr>
            <w:tcW w:w="5499" w:type="dxa"/>
            <w:tcBorders>
              <w:top w:val="nil"/>
              <w:left w:val="nil"/>
              <w:bottom w:val="single" w:sz="4" w:space="0" w:color="auto"/>
              <w:right w:val="single" w:sz="4" w:space="0" w:color="auto"/>
            </w:tcBorders>
            <w:shd w:val="clear" w:color="auto" w:fill="auto"/>
          </w:tcPr>
          <w:p w14:paraId="144B8B1F" w14:textId="77777777" w:rsidR="009021F1" w:rsidRPr="009D55A6" w:rsidRDefault="009021F1" w:rsidP="00E637E3">
            <w:pPr>
              <w:autoSpaceDE w:val="0"/>
              <w:autoSpaceDN w:val="0"/>
              <w:adjustRightInd w:val="0"/>
              <w:jc w:val="left"/>
              <w:rPr>
                <w:rFonts w:cs="Arial"/>
                <w:sz w:val="20"/>
                <w:szCs w:val="20"/>
              </w:rPr>
            </w:pPr>
            <w:r w:rsidRPr="009D55A6">
              <w:rPr>
                <w:rFonts w:cs="Arial"/>
                <w:color w:val="000000"/>
                <w:sz w:val="20"/>
                <w:szCs w:val="20"/>
              </w:rPr>
              <w:t>Cette Convention est pertinente pour le PNDA dans le sens que les activités du Programme risque d’empiéter les aires protégées (le Parc National de Virunga (PNVi) dans le Nord-Kivu et le Domaine de chasse de Bushimaie dans le Kasaï Central vers Luiza et le Parc Salonga dans le Kasaï) et des forêts primaires dans les provinces concernées par le PNDA. Le projet est interpelé par la convention et devra veiller à leur protection.</w:t>
            </w:r>
          </w:p>
        </w:tc>
      </w:tr>
      <w:tr w:rsidR="009021F1" w:rsidRPr="001E4043" w14:paraId="741831A3" w14:textId="77777777" w:rsidTr="00E637E3">
        <w:tc>
          <w:tcPr>
            <w:tcW w:w="2694" w:type="dxa"/>
            <w:shd w:val="clear" w:color="auto" w:fill="auto"/>
          </w:tcPr>
          <w:p w14:paraId="6F8BFE47" w14:textId="77777777" w:rsidR="009021F1" w:rsidRPr="009D55A6" w:rsidRDefault="009021F1" w:rsidP="00E637E3">
            <w:pPr>
              <w:autoSpaceDE w:val="0"/>
              <w:autoSpaceDN w:val="0"/>
              <w:adjustRightInd w:val="0"/>
              <w:jc w:val="left"/>
              <w:rPr>
                <w:rFonts w:cs="Arial"/>
                <w:sz w:val="20"/>
                <w:szCs w:val="20"/>
              </w:rPr>
            </w:pPr>
            <w:r w:rsidRPr="009D55A6">
              <w:rPr>
                <w:rFonts w:cs="Arial"/>
                <w:sz w:val="20"/>
                <w:szCs w:val="20"/>
              </w:rPr>
              <w:t>Convention internationale pour la protection des végétaux.</w:t>
            </w:r>
          </w:p>
        </w:tc>
        <w:tc>
          <w:tcPr>
            <w:tcW w:w="4301" w:type="dxa"/>
            <w:shd w:val="clear" w:color="auto" w:fill="auto"/>
          </w:tcPr>
          <w:p w14:paraId="68A6E13A" w14:textId="77777777" w:rsidR="009021F1" w:rsidRPr="009D55A6" w:rsidRDefault="009021F1" w:rsidP="00E637E3">
            <w:pPr>
              <w:autoSpaceDE w:val="0"/>
              <w:autoSpaceDN w:val="0"/>
              <w:adjustRightInd w:val="0"/>
              <w:jc w:val="left"/>
              <w:rPr>
                <w:rFonts w:cs="Arial"/>
                <w:sz w:val="20"/>
                <w:szCs w:val="20"/>
              </w:rPr>
            </w:pPr>
            <w:r w:rsidRPr="009D55A6">
              <w:rPr>
                <w:rFonts w:cs="Arial"/>
                <w:sz w:val="20"/>
                <w:szCs w:val="20"/>
              </w:rPr>
              <w:t>Protection des plantes cultivées et sauvages en prévenant l'introduction et la dissémination d'organismes nuisibles</w:t>
            </w:r>
          </w:p>
        </w:tc>
        <w:tc>
          <w:tcPr>
            <w:tcW w:w="2353" w:type="dxa"/>
            <w:tcBorders>
              <w:top w:val="nil"/>
              <w:left w:val="nil"/>
              <w:bottom w:val="single" w:sz="4" w:space="0" w:color="auto"/>
              <w:right w:val="single" w:sz="4" w:space="0" w:color="auto"/>
            </w:tcBorders>
            <w:shd w:val="clear" w:color="auto" w:fill="auto"/>
            <w:vAlign w:val="center"/>
          </w:tcPr>
          <w:p w14:paraId="651B5C96" w14:textId="77777777" w:rsidR="009021F1" w:rsidRPr="009D55A6" w:rsidRDefault="009021F1" w:rsidP="00E637E3">
            <w:pPr>
              <w:autoSpaceDE w:val="0"/>
              <w:autoSpaceDN w:val="0"/>
              <w:adjustRightInd w:val="0"/>
              <w:jc w:val="left"/>
              <w:rPr>
                <w:rFonts w:cs="Arial"/>
                <w:sz w:val="20"/>
                <w:szCs w:val="20"/>
              </w:rPr>
            </w:pPr>
            <w:r w:rsidRPr="009D55A6">
              <w:rPr>
                <w:rFonts w:cs="Arial"/>
                <w:sz w:val="20"/>
                <w:szCs w:val="20"/>
              </w:rPr>
              <w:t>Rome, (Italie), 6 décembre 1951.</w:t>
            </w:r>
          </w:p>
        </w:tc>
        <w:tc>
          <w:tcPr>
            <w:tcW w:w="5499" w:type="dxa"/>
            <w:tcBorders>
              <w:top w:val="nil"/>
              <w:left w:val="nil"/>
              <w:bottom w:val="single" w:sz="4" w:space="0" w:color="auto"/>
              <w:right w:val="single" w:sz="4" w:space="0" w:color="auto"/>
            </w:tcBorders>
            <w:shd w:val="clear" w:color="auto" w:fill="auto"/>
          </w:tcPr>
          <w:p w14:paraId="65BBE39F" w14:textId="77777777" w:rsidR="009021F1" w:rsidRPr="009D55A6" w:rsidRDefault="009021F1" w:rsidP="00E637E3">
            <w:pPr>
              <w:autoSpaceDE w:val="0"/>
              <w:autoSpaceDN w:val="0"/>
              <w:adjustRightInd w:val="0"/>
              <w:jc w:val="left"/>
              <w:rPr>
                <w:rFonts w:cs="Arial"/>
                <w:sz w:val="20"/>
                <w:szCs w:val="20"/>
              </w:rPr>
            </w:pPr>
            <w:r w:rsidRPr="009D55A6">
              <w:rPr>
                <w:rFonts w:cs="Arial"/>
                <w:sz w:val="20"/>
                <w:szCs w:val="20"/>
              </w:rPr>
              <w:t>Étant donné que le PNDA est un programme agricole, cette Convention internationale est pertinente pour le PNDA dans le sens qu’elle lutte contre les ennemis des végétaux, produits végétaux et contre leur diffusion et spécialement leur introduction au-delà des frontières nationales, Le projet est interpelé par la convention et devra veiller à leur protection.</w:t>
            </w:r>
          </w:p>
        </w:tc>
      </w:tr>
      <w:tr w:rsidR="009021F1" w:rsidRPr="001E4043" w14:paraId="42C4694C" w14:textId="77777777" w:rsidTr="00E637E3">
        <w:tc>
          <w:tcPr>
            <w:tcW w:w="2694" w:type="dxa"/>
            <w:shd w:val="clear" w:color="auto" w:fill="auto"/>
          </w:tcPr>
          <w:p w14:paraId="5F35231D" w14:textId="77777777" w:rsidR="009021F1" w:rsidRPr="009D55A6" w:rsidRDefault="009021F1" w:rsidP="00E637E3">
            <w:pPr>
              <w:autoSpaceDE w:val="0"/>
              <w:autoSpaceDN w:val="0"/>
              <w:adjustRightInd w:val="0"/>
              <w:rPr>
                <w:rFonts w:cs="Arial"/>
                <w:sz w:val="20"/>
                <w:szCs w:val="20"/>
              </w:rPr>
            </w:pPr>
            <w:r w:rsidRPr="009D55A6">
              <w:rPr>
                <w:rFonts w:cs="Arial"/>
                <w:sz w:val="20"/>
                <w:szCs w:val="20"/>
              </w:rPr>
              <w:t>Convention phytosanitaire pour l’Afrique au sud du Sahara</w:t>
            </w:r>
          </w:p>
        </w:tc>
        <w:tc>
          <w:tcPr>
            <w:tcW w:w="4301" w:type="dxa"/>
            <w:shd w:val="clear" w:color="auto" w:fill="auto"/>
          </w:tcPr>
          <w:p w14:paraId="1490F4C4" w14:textId="77777777" w:rsidR="009021F1" w:rsidRPr="009D55A6" w:rsidRDefault="009021F1" w:rsidP="00E637E3">
            <w:pPr>
              <w:autoSpaceDE w:val="0"/>
              <w:autoSpaceDN w:val="0"/>
              <w:adjustRightInd w:val="0"/>
              <w:jc w:val="left"/>
              <w:rPr>
                <w:rFonts w:cs="Arial"/>
                <w:sz w:val="20"/>
                <w:szCs w:val="20"/>
              </w:rPr>
            </w:pPr>
            <w:r w:rsidRPr="009D55A6">
              <w:rPr>
                <w:rFonts w:cs="Arial"/>
                <w:sz w:val="20"/>
                <w:szCs w:val="20"/>
              </w:rPr>
              <w:t xml:space="preserve">Lutte contre les maladies des plantes qui sévissent en Afrique sub-saharienne, de les éliminer et d’empêcher des nouvelles maladies d’être introduite en Afrique, </w:t>
            </w:r>
          </w:p>
        </w:tc>
        <w:tc>
          <w:tcPr>
            <w:tcW w:w="2353" w:type="dxa"/>
            <w:shd w:val="clear" w:color="auto" w:fill="auto"/>
          </w:tcPr>
          <w:p w14:paraId="180AC5E4" w14:textId="77777777" w:rsidR="009021F1" w:rsidRPr="009D55A6" w:rsidRDefault="009021F1" w:rsidP="00E637E3">
            <w:pPr>
              <w:autoSpaceDE w:val="0"/>
              <w:autoSpaceDN w:val="0"/>
              <w:adjustRightInd w:val="0"/>
              <w:jc w:val="left"/>
              <w:rPr>
                <w:rFonts w:cs="Arial"/>
                <w:sz w:val="20"/>
                <w:szCs w:val="20"/>
              </w:rPr>
            </w:pPr>
            <w:r w:rsidRPr="009D55A6">
              <w:rPr>
                <w:rFonts w:cs="Arial"/>
                <w:sz w:val="20"/>
                <w:szCs w:val="20"/>
              </w:rPr>
              <w:t>Angleterre Londres, 29 juillet 1954.</w:t>
            </w:r>
          </w:p>
        </w:tc>
        <w:tc>
          <w:tcPr>
            <w:tcW w:w="5499" w:type="dxa"/>
            <w:shd w:val="clear" w:color="auto" w:fill="auto"/>
          </w:tcPr>
          <w:p w14:paraId="705688A1" w14:textId="77777777" w:rsidR="009021F1" w:rsidRPr="009D55A6" w:rsidRDefault="009021F1" w:rsidP="00E637E3">
            <w:pPr>
              <w:autoSpaceDE w:val="0"/>
              <w:autoSpaceDN w:val="0"/>
              <w:adjustRightInd w:val="0"/>
              <w:rPr>
                <w:rFonts w:cs="Arial"/>
                <w:sz w:val="20"/>
                <w:szCs w:val="20"/>
              </w:rPr>
            </w:pPr>
            <w:r w:rsidRPr="009D55A6">
              <w:rPr>
                <w:rFonts w:cs="Arial"/>
                <w:sz w:val="20"/>
                <w:szCs w:val="20"/>
              </w:rPr>
              <w:t>Cette Convention est pertinente pour le PNDA dans le sens qu’elle permet de lutte contre les maladies des plantes et permet aux exploitants agricoles ainsi à accroitre l’unité économique et alimentaire des plantes.</w:t>
            </w:r>
          </w:p>
        </w:tc>
      </w:tr>
      <w:tr w:rsidR="009021F1" w:rsidRPr="001E4043" w14:paraId="5B9EFB11" w14:textId="77777777" w:rsidTr="00E637E3">
        <w:tc>
          <w:tcPr>
            <w:tcW w:w="2694" w:type="dxa"/>
            <w:tcBorders>
              <w:top w:val="nil"/>
              <w:left w:val="single" w:sz="4" w:space="0" w:color="auto"/>
              <w:bottom w:val="single" w:sz="4" w:space="0" w:color="auto"/>
              <w:right w:val="single" w:sz="4" w:space="0" w:color="auto"/>
            </w:tcBorders>
            <w:shd w:val="clear" w:color="auto" w:fill="auto"/>
            <w:vAlign w:val="center"/>
          </w:tcPr>
          <w:p w14:paraId="0408562A" w14:textId="77777777" w:rsidR="009021F1" w:rsidRPr="009D55A6" w:rsidRDefault="009021F1" w:rsidP="00E637E3">
            <w:pPr>
              <w:autoSpaceDE w:val="0"/>
              <w:autoSpaceDN w:val="0"/>
              <w:adjustRightInd w:val="0"/>
              <w:jc w:val="left"/>
              <w:rPr>
                <w:rFonts w:cs="Arial"/>
                <w:sz w:val="20"/>
                <w:szCs w:val="20"/>
              </w:rPr>
            </w:pPr>
            <w:r w:rsidRPr="009D55A6">
              <w:rPr>
                <w:rFonts w:cs="Arial"/>
                <w:sz w:val="20"/>
                <w:szCs w:val="20"/>
              </w:rPr>
              <w:t>Accord de coopération concernant la quarantaine et la protection des plantes contre les parasites et les maladies</w:t>
            </w:r>
          </w:p>
        </w:tc>
        <w:tc>
          <w:tcPr>
            <w:tcW w:w="4301" w:type="dxa"/>
            <w:tcBorders>
              <w:top w:val="nil"/>
              <w:left w:val="nil"/>
              <w:bottom w:val="single" w:sz="4" w:space="0" w:color="auto"/>
              <w:right w:val="single" w:sz="4" w:space="0" w:color="auto"/>
            </w:tcBorders>
            <w:shd w:val="clear" w:color="auto" w:fill="auto"/>
            <w:vAlign w:val="center"/>
          </w:tcPr>
          <w:p w14:paraId="4EDE3CA8" w14:textId="77777777" w:rsidR="009021F1" w:rsidRPr="009D55A6" w:rsidRDefault="009021F1" w:rsidP="00E637E3">
            <w:pPr>
              <w:autoSpaceDE w:val="0"/>
              <w:autoSpaceDN w:val="0"/>
              <w:adjustRightInd w:val="0"/>
              <w:rPr>
                <w:rFonts w:cs="Arial"/>
                <w:sz w:val="20"/>
                <w:szCs w:val="20"/>
              </w:rPr>
            </w:pPr>
            <w:r w:rsidRPr="009D55A6">
              <w:rPr>
                <w:rFonts w:cs="Arial"/>
                <w:sz w:val="20"/>
                <w:szCs w:val="20"/>
              </w:rPr>
              <w:t>Mise en quarantaine et la protection des plantes contre les parasites et les maladies</w:t>
            </w:r>
          </w:p>
        </w:tc>
        <w:tc>
          <w:tcPr>
            <w:tcW w:w="2353" w:type="dxa"/>
            <w:tcBorders>
              <w:top w:val="nil"/>
              <w:left w:val="nil"/>
              <w:bottom w:val="single" w:sz="4" w:space="0" w:color="auto"/>
              <w:right w:val="single" w:sz="4" w:space="0" w:color="auto"/>
            </w:tcBorders>
            <w:shd w:val="clear" w:color="auto" w:fill="auto"/>
            <w:vAlign w:val="center"/>
          </w:tcPr>
          <w:p w14:paraId="3EC9EA19" w14:textId="77777777" w:rsidR="009021F1" w:rsidRPr="009D55A6" w:rsidRDefault="009021F1" w:rsidP="00E637E3">
            <w:pPr>
              <w:autoSpaceDE w:val="0"/>
              <w:autoSpaceDN w:val="0"/>
              <w:adjustRightInd w:val="0"/>
              <w:jc w:val="left"/>
              <w:rPr>
                <w:rFonts w:cs="Arial"/>
                <w:sz w:val="20"/>
                <w:szCs w:val="20"/>
              </w:rPr>
            </w:pPr>
            <w:r w:rsidRPr="009D55A6">
              <w:rPr>
                <w:rFonts w:cs="Arial"/>
                <w:sz w:val="20"/>
                <w:szCs w:val="20"/>
              </w:rPr>
              <w:t>Sofia (Bulgarie), 14 décembre 1959.</w:t>
            </w:r>
          </w:p>
        </w:tc>
        <w:tc>
          <w:tcPr>
            <w:tcW w:w="5499" w:type="dxa"/>
            <w:shd w:val="clear" w:color="auto" w:fill="auto"/>
          </w:tcPr>
          <w:p w14:paraId="63269E97" w14:textId="77777777" w:rsidR="009021F1" w:rsidRPr="009D55A6" w:rsidRDefault="009021F1" w:rsidP="00E637E3">
            <w:pPr>
              <w:autoSpaceDE w:val="0"/>
              <w:autoSpaceDN w:val="0"/>
              <w:adjustRightInd w:val="0"/>
              <w:rPr>
                <w:rFonts w:cs="Arial"/>
                <w:sz w:val="20"/>
                <w:szCs w:val="20"/>
              </w:rPr>
            </w:pPr>
            <w:r w:rsidRPr="009D55A6">
              <w:rPr>
                <w:rFonts w:cs="Arial"/>
                <w:sz w:val="20"/>
                <w:szCs w:val="20"/>
              </w:rPr>
              <w:t>Cet Accord est pertinent pour le PNDA dans le sens qu’il permet la mise en quarantaine et la protection des plantes contre les parasites et les maladies.</w:t>
            </w:r>
          </w:p>
        </w:tc>
      </w:tr>
      <w:tr w:rsidR="009021F1" w:rsidRPr="001E4043" w14:paraId="42531AC0" w14:textId="77777777" w:rsidTr="00E637E3">
        <w:tc>
          <w:tcPr>
            <w:tcW w:w="2694" w:type="dxa"/>
            <w:tcBorders>
              <w:top w:val="nil"/>
              <w:left w:val="single" w:sz="4" w:space="0" w:color="auto"/>
              <w:bottom w:val="single" w:sz="4" w:space="0" w:color="auto"/>
              <w:right w:val="single" w:sz="4" w:space="0" w:color="auto"/>
            </w:tcBorders>
            <w:shd w:val="clear" w:color="auto" w:fill="auto"/>
            <w:vAlign w:val="center"/>
          </w:tcPr>
          <w:p w14:paraId="7D12B0CF" w14:textId="77777777" w:rsidR="009021F1" w:rsidRPr="009D55A6" w:rsidRDefault="009021F1" w:rsidP="00E637E3">
            <w:pPr>
              <w:autoSpaceDE w:val="0"/>
              <w:autoSpaceDN w:val="0"/>
              <w:adjustRightInd w:val="0"/>
              <w:jc w:val="left"/>
              <w:rPr>
                <w:rFonts w:cs="Arial"/>
                <w:sz w:val="20"/>
                <w:szCs w:val="20"/>
              </w:rPr>
            </w:pPr>
            <w:r w:rsidRPr="009D55A6">
              <w:rPr>
                <w:rFonts w:cs="Arial"/>
                <w:sz w:val="20"/>
                <w:szCs w:val="20"/>
              </w:rPr>
              <w:t>Convention Africaine sur la conservation de la nature et des ressources naturelles.</w:t>
            </w:r>
          </w:p>
        </w:tc>
        <w:tc>
          <w:tcPr>
            <w:tcW w:w="4301" w:type="dxa"/>
            <w:tcBorders>
              <w:top w:val="nil"/>
              <w:left w:val="nil"/>
              <w:bottom w:val="single" w:sz="4" w:space="0" w:color="auto"/>
              <w:right w:val="single" w:sz="4" w:space="0" w:color="auto"/>
            </w:tcBorders>
            <w:shd w:val="clear" w:color="auto" w:fill="auto"/>
            <w:vAlign w:val="center"/>
          </w:tcPr>
          <w:p w14:paraId="5115FC25" w14:textId="77777777" w:rsidR="009021F1" w:rsidRPr="009D55A6" w:rsidRDefault="009021F1" w:rsidP="00E637E3">
            <w:pPr>
              <w:autoSpaceDE w:val="0"/>
              <w:autoSpaceDN w:val="0"/>
              <w:adjustRightInd w:val="0"/>
              <w:jc w:val="left"/>
              <w:rPr>
                <w:rFonts w:cs="Arial"/>
                <w:sz w:val="20"/>
                <w:szCs w:val="20"/>
              </w:rPr>
            </w:pPr>
            <w:r w:rsidRPr="009D55A6">
              <w:rPr>
                <w:rFonts w:cs="Arial"/>
                <w:sz w:val="20"/>
                <w:szCs w:val="20"/>
              </w:rPr>
              <w:t>Cette convention vise à prendre les mesures nécessaires pour assurer la conservation, l’utilisation et le développement des sols des eaux, de la flore et des ressources en faune en se fondant sur les principes scientifiques et en prenant en considération les intérêts de la population</w:t>
            </w:r>
          </w:p>
        </w:tc>
        <w:tc>
          <w:tcPr>
            <w:tcW w:w="2353" w:type="dxa"/>
            <w:tcBorders>
              <w:top w:val="nil"/>
              <w:left w:val="nil"/>
              <w:bottom w:val="single" w:sz="4" w:space="0" w:color="auto"/>
              <w:right w:val="single" w:sz="4" w:space="0" w:color="auto"/>
            </w:tcBorders>
            <w:shd w:val="clear" w:color="auto" w:fill="auto"/>
            <w:vAlign w:val="center"/>
          </w:tcPr>
          <w:p w14:paraId="5376F686" w14:textId="77777777" w:rsidR="009021F1" w:rsidRPr="009D55A6" w:rsidRDefault="009021F1" w:rsidP="00E637E3">
            <w:pPr>
              <w:autoSpaceDE w:val="0"/>
              <w:autoSpaceDN w:val="0"/>
              <w:adjustRightInd w:val="0"/>
              <w:jc w:val="left"/>
              <w:rPr>
                <w:rFonts w:cs="Arial"/>
                <w:sz w:val="20"/>
                <w:szCs w:val="20"/>
              </w:rPr>
            </w:pPr>
            <w:r w:rsidRPr="009D55A6">
              <w:rPr>
                <w:rFonts w:cs="Arial"/>
                <w:sz w:val="20"/>
                <w:szCs w:val="20"/>
              </w:rPr>
              <w:t>Alger, (Algérie), 15 septembre 1968</w:t>
            </w:r>
          </w:p>
        </w:tc>
        <w:tc>
          <w:tcPr>
            <w:tcW w:w="5499" w:type="dxa"/>
            <w:shd w:val="clear" w:color="auto" w:fill="auto"/>
          </w:tcPr>
          <w:p w14:paraId="15DC5FC7" w14:textId="77777777" w:rsidR="009021F1" w:rsidRPr="009D55A6" w:rsidRDefault="009021F1" w:rsidP="00E637E3">
            <w:pPr>
              <w:autoSpaceDE w:val="0"/>
              <w:autoSpaceDN w:val="0"/>
              <w:adjustRightInd w:val="0"/>
              <w:rPr>
                <w:rFonts w:cs="Arial"/>
                <w:sz w:val="20"/>
                <w:szCs w:val="20"/>
              </w:rPr>
            </w:pPr>
            <w:r w:rsidRPr="009D55A6">
              <w:rPr>
                <w:rFonts w:cs="Arial"/>
                <w:sz w:val="20"/>
                <w:szCs w:val="20"/>
              </w:rPr>
              <w:t>Cette Convention est pertinente pour le PNDA dans le sens qu’elle assure la protection de l’écosystème des provinces concernées par le PNDA</w:t>
            </w:r>
          </w:p>
        </w:tc>
      </w:tr>
      <w:tr w:rsidR="009021F1" w:rsidRPr="001E4043" w14:paraId="0ADC188F" w14:textId="77777777" w:rsidTr="00E637E3">
        <w:tc>
          <w:tcPr>
            <w:tcW w:w="2694" w:type="dxa"/>
            <w:tcBorders>
              <w:top w:val="nil"/>
              <w:left w:val="single" w:sz="4" w:space="0" w:color="auto"/>
              <w:bottom w:val="single" w:sz="4" w:space="0" w:color="auto"/>
              <w:right w:val="single" w:sz="4" w:space="0" w:color="auto"/>
            </w:tcBorders>
            <w:shd w:val="clear" w:color="auto" w:fill="auto"/>
            <w:vAlign w:val="center"/>
          </w:tcPr>
          <w:p w14:paraId="09362034" w14:textId="77777777" w:rsidR="009021F1" w:rsidRPr="009D55A6" w:rsidRDefault="009021F1" w:rsidP="00E637E3">
            <w:pPr>
              <w:autoSpaceDE w:val="0"/>
              <w:autoSpaceDN w:val="0"/>
              <w:adjustRightInd w:val="0"/>
              <w:jc w:val="left"/>
              <w:rPr>
                <w:rFonts w:cs="Arial"/>
                <w:sz w:val="20"/>
                <w:szCs w:val="20"/>
              </w:rPr>
            </w:pPr>
            <w:r w:rsidRPr="009D55A6">
              <w:rPr>
                <w:rFonts w:cs="Arial"/>
                <w:sz w:val="20"/>
                <w:szCs w:val="20"/>
              </w:rPr>
              <w:t>Convention relative aux zones humides d’importance internationale particulièrement comme habitats de la sauvagine ou (Ramsar).</w:t>
            </w:r>
          </w:p>
        </w:tc>
        <w:tc>
          <w:tcPr>
            <w:tcW w:w="4301" w:type="dxa"/>
            <w:tcBorders>
              <w:top w:val="nil"/>
              <w:left w:val="nil"/>
              <w:bottom w:val="single" w:sz="4" w:space="0" w:color="auto"/>
              <w:right w:val="single" w:sz="4" w:space="0" w:color="auto"/>
            </w:tcBorders>
            <w:shd w:val="clear" w:color="auto" w:fill="auto"/>
            <w:vAlign w:val="center"/>
          </w:tcPr>
          <w:p w14:paraId="7C7E264E" w14:textId="77777777" w:rsidR="009021F1" w:rsidRPr="009D55A6" w:rsidRDefault="009021F1" w:rsidP="00E637E3">
            <w:pPr>
              <w:autoSpaceDE w:val="0"/>
              <w:autoSpaceDN w:val="0"/>
              <w:adjustRightInd w:val="0"/>
              <w:jc w:val="left"/>
              <w:rPr>
                <w:rFonts w:cs="Arial"/>
                <w:sz w:val="20"/>
                <w:szCs w:val="20"/>
              </w:rPr>
            </w:pPr>
            <w:r w:rsidRPr="009D55A6">
              <w:rPr>
                <w:rFonts w:cs="Arial"/>
                <w:sz w:val="20"/>
                <w:szCs w:val="20"/>
              </w:rPr>
              <w:t>Assurer la conservation et l’utilisation rationnelle (maintien des caractéristiques écologiques) des zones humides et de leurs ressources</w:t>
            </w:r>
          </w:p>
        </w:tc>
        <w:tc>
          <w:tcPr>
            <w:tcW w:w="2353" w:type="dxa"/>
            <w:tcBorders>
              <w:top w:val="nil"/>
              <w:left w:val="nil"/>
              <w:bottom w:val="single" w:sz="4" w:space="0" w:color="auto"/>
              <w:right w:val="single" w:sz="4" w:space="0" w:color="auto"/>
            </w:tcBorders>
            <w:shd w:val="clear" w:color="auto" w:fill="auto"/>
            <w:vAlign w:val="center"/>
          </w:tcPr>
          <w:p w14:paraId="0E90801D" w14:textId="77777777" w:rsidR="009021F1" w:rsidRPr="009D55A6" w:rsidRDefault="009021F1" w:rsidP="00E637E3">
            <w:pPr>
              <w:autoSpaceDE w:val="0"/>
              <w:autoSpaceDN w:val="0"/>
              <w:adjustRightInd w:val="0"/>
              <w:jc w:val="left"/>
              <w:rPr>
                <w:rFonts w:cs="Arial"/>
                <w:sz w:val="20"/>
                <w:szCs w:val="20"/>
              </w:rPr>
            </w:pPr>
            <w:r w:rsidRPr="009D55A6">
              <w:rPr>
                <w:rFonts w:cs="Arial"/>
                <w:sz w:val="20"/>
                <w:szCs w:val="20"/>
              </w:rPr>
              <w:t>Ramsar (Iran), 2 février 1971</w:t>
            </w:r>
          </w:p>
        </w:tc>
        <w:tc>
          <w:tcPr>
            <w:tcW w:w="5499" w:type="dxa"/>
            <w:shd w:val="clear" w:color="auto" w:fill="auto"/>
          </w:tcPr>
          <w:p w14:paraId="588FA316" w14:textId="77777777" w:rsidR="009021F1" w:rsidRPr="009D55A6" w:rsidRDefault="009021F1" w:rsidP="00E637E3">
            <w:pPr>
              <w:autoSpaceDE w:val="0"/>
              <w:autoSpaceDN w:val="0"/>
              <w:adjustRightInd w:val="0"/>
              <w:rPr>
                <w:rFonts w:cs="Arial"/>
                <w:sz w:val="20"/>
                <w:szCs w:val="20"/>
              </w:rPr>
            </w:pPr>
          </w:p>
          <w:p w14:paraId="197078EF" w14:textId="77777777" w:rsidR="009021F1" w:rsidRPr="009D55A6" w:rsidRDefault="009021F1" w:rsidP="00E637E3">
            <w:pPr>
              <w:rPr>
                <w:rFonts w:cs="Arial"/>
                <w:sz w:val="20"/>
                <w:szCs w:val="20"/>
              </w:rPr>
            </w:pPr>
            <w:r w:rsidRPr="009D55A6">
              <w:rPr>
                <w:rFonts w:cs="Arial"/>
                <w:sz w:val="20"/>
                <w:szCs w:val="20"/>
              </w:rPr>
              <w:t>La mise en œuvre du PNDA se fera dans le strict respect de la préservation des zones humides et de leurs ressources surtout pour ses activités d’irrigation et les activités agricoles du bas-fond</w:t>
            </w:r>
          </w:p>
        </w:tc>
      </w:tr>
      <w:tr w:rsidR="009021F1" w:rsidRPr="001E4043" w14:paraId="354D62B6" w14:textId="77777777" w:rsidTr="00E637E3">
        <w:tc>
          <w:tcPr>
            <w:tcW w:w="2694" w:type="dxa"/>
            <w:tcBorders>
              <w:top w:val="nil"/>
              <w:left w:val="single" w:sz="4" w:space="0" w:color="auto"/>
              <w:bottom w:val="single" w:sz="4" w:space="0" w:color="auto"/>
              <w:right w:val="single" w:sz="4" w:space="0" w:color="auto"/>
            </w:tcBorders>
            <w:shd w:val="clear" w:color="auto" w:fill="auto"/>
            <w:vAlign w:val="center"/>
          </w:tcPr>
          <w:p w14:paraId="38A6CE1D" w14:textId="77777777" w:rsidR="009021F1" w:rsidRPr="009D55A6" w:rsidRDefault="009021F1" w:rsidP="00E637E3">
            <w:pPr>
              <w:autoSpaceDE w:val="0"/>
              <w:autoSpaceDN w:val="0"/>
              <w:adjustRightInd w:val="0"/>
              <w:jc w:val="left"/>
              <w:rPr>
                <w:rFonts w:cs="Arial"/>
                <w:sz w:val="20"/>
                <w:szCs w:val="20"/>
              </w:rPr>
            </w:pPr>
            <w:r w:rsidRPr="009D55A6">
              <w:rPr>
                <w:rFonts w:cs="Arial"/>
                <w:sz w:val="20"/>
                <w:szCs w:val="20"/>
              </w:rPr>
              <w:t>Convention relative la protection du patrimoine mondiale culturel et naturel</w:t>
            </w:r>
          </w:p>
        </w:tc>
        <w:tc>
          <w:tcPr>
            <w:tcW w:w="4301" w:type="dxa"/>
            <w:tcBorders>
              <w:top w:val="nil"/>
              <w:left w:val="nil"/>
              <w:bottom w:val="single" w:sz="4" w:space="0" w:color="auto"/>
              <w:right w:val="single" w:sz="4" w:space="0" w:color="auto"/>
            </w:tcBorders>
            <w:shd w:val="clear" w:color="auto" w:fill="auto"/>
            <w:vAlign w:val="center"/>
          </w:tcPr>
          <w:p w14:paraId="723DEFCC" w14:textId="77777777" w:rsidR="009021F1" w:rsidRPr="009D55A6" w:rsidRDefault="009021F1" w:rsidP="00E637E3">
            <w:pPr>
              <w:autoSpaceDE w:val="0"/>
              <w:autoSpaceDN w:val="0"/>
              <w:adjustRightInd w:val="0"/>
              <w:jc w:val="left"/>
              <w:rPr>
                <w:rFonts w:cs="Arial"/>
                <w:sz w:val="20"/>
                <w:szCs w:val="20"/>
              </w:rPr>
            </w:pPr>
            <w:r w:rsidRPr="009D55A6">
              <w:rPr>
                <w:rFonts w:cs="Arial"/>
                <w:sz w:val="20"/>
                <w:szCs w:val="20"/>
              </w:rPr>
              <w:t>Assurer l’identification, la protection, la conservation, la mise en valeur et la transmission aux générations futures du patrimoine culturel et naturel.</w:t>
            </w:r>
          </w:p>
        </w:tc>
        <w:tc>
          <w:tcPr>
            <w:tcW w:w="2353" w:type="dxa"/>
            <w:tcBorders>
              <w:top w:val="nil"/>
              <w:left w:val="nil"/>
              <w:bottom w:val="single" w:sz="4" w:space="0" w:color="auto"/>
              <w:right w:val="single" w:sz="4" w:space="0" w:color="auto"/>
            </w:tcBorders>
            <w:shd w:val="clear" w:color="auto" w:fill="auto"/>
            <w:vAlign w:val="center"/>
          </w:tcPr>
          <w:p w14:paraId="4D2546F7" w14:textId="77777777" w:rsidR="009021F1" w:rsidRPr="009D55A6" w:rsidRDefault="009021F1" w:rsidP="00E637E3">
            <w:pPr>
              <w:autoSpaceDE w:val="0"/>
              <w:autoSpaceDN w:val="0"/>
              <w:adjustRightInd w:val="0"/>
              <w:jc w:val="left"/>
              <w:rPr>
                <w:rFonts w:cs="Arial"/>
                <w:sz w:val="20"/>
                <w:szCs w:val="20"/>
              </w:rPr>
            </w:pPr>
            <w:r w:rsidRPr="009D55A6">
              <w:rPr>
                <w:rFonts w:cs="Arial"/>
                <w:sz w:val="20"/>
                <w:szCs w:val="20"/>
              </w:rPr>
              <w:t>Paris (France), 23 novembre 1972.</w:t>
            </w:r>
          </w:p>
        </w:tc>
        <w:tc>
          <w:tcPr>
            <w:tcW w:w="5499" w:type="dxa"/>
            <w:shd w:val="clear" w:color="auto" w:fill="auto"/>
          </w:tcPr>
          <w:p w14:paraId="2A205443" w14:textId="77777777" w:rsidR="009021F1" w:rsidRPr="009D55A6" w:rsidRDefault="009021F1" w:rsidP="00E637E3">
            <w:pPr>
              <w:autoSpaceDE w:val="0"/>
              <w:autoSpaceDN w:val="0"/>
              <w:adjustRightInd w:val="0"/>
              <w:rPr>
                <w:rFonts w:cs="Arial"/>
                <w:sz w:val="20"/>
                <w:szCs w:val="20"/>
              </w:rPr>
            </w:pPr>
            <w:r w:rsidRPr="009D55A6">
              <w:rPr>
                <w:rFonts w:cs="Arial"/>
                <w:sz w:val="20"/>
                <w:szCs w:val="20"/>
              </w:rPr>
              <w:t>La phase opérationnelle des sous-projets du PNDA avec la réalisation de travaux de fouilles ou d’excavations, pourraient ramener en surface des biens culturels.  Le PNDA intègre les mesures de protection du patrimoine culturel et naturel à travers l’élaboration des orientations pour la protection des ressources culturelles physiques dans le présent CGES</w:t>
            </w:r>
          </w:p>
        </w:tc>
      </w:tr>
      <w:tr w:rsidR="009021F1" w:rsidRPr="001E4043" w14:paraId="66A21B91" w14:textId="77777777" w:rsidTr="00E637E3">
        <w:tc>
          <w:tcPr>
            <w:tcW w:w="2694" w:type="dxa"/>
            <w:tcBorders>
              <w:top w:val="nil"/>
              <w:left w:val="single" w:sz="4" w:space="0" w:color="auto"/>
              <w:bottom w:val="single" w:sz="4" w:space="0" w:color="auto"/>
              <w:right w:val="single" w:sz="4" w:space="0" w:color="auto"/>
            </w:tcBorders>
            <w:shd w:val="clear" w:color="auto" w:fill="auto"/>
            <w:vAlign w:val="center"/>
          </w:tcPr>
          <w:p w14:paraId="74D0A7D2" w14:textId="77777777" w:rsidR="009021F1" w:rsidRPr="009D55A6" w:rsidRDefault="009021F1" w:rsidP="00E637E3">
            <w:pPr>
              <w:autoSpaceDE w:val="0"/>
              <w:autoSpaceDN w:val="0"/>
              <w:adjustRightInd w:val="0"/>
              <w:jc w:val="left"/>
              <w:rPr>
                <w:rFonts w:cs="Arial"/>
                <w:sz w:val="20"/>
                <w:szCs w:val="20"/>
              </w:rPr>
            </w:pPr>
            <w:r w:rsidRPr="009D55A6">
              <w:rPr>
                <w:rFonts w:cs="Arial"/>
                <w:sz w:val="20"/>
                <w:szCs w:val="20"/>
              </w:rPr>
              <w:t>Convention sur la conservation des espèces sauvages de flore et de faune menacées d’extinction ou (CITES).</w:t>
            </w:r>
          </w:p>
        </w:tc>
        <w:tc>
          <w:tcPr>
            <w:tcW w:w="4301" w:type="dxa"/>
            <w:tcBorders>
              <w:top w:val="nil"/>
              <w:left w:val="nil"/>
              <w:bottom w:val="single" w:sz="4" w:space="0" w:color="auto"/>
              <w:right w:val="single" w:sz="4" w:space="0" w:color="auto"/>
            </w:tcBorders>
            <w:shd w:val="clear" w:color="auto" w:fill="auto"/>
            <w:vAlign w:val="center"/>
          </w:tcPr>
          <w:p w14:paraId="03C31CFA" w14:textId="77777777" w:rsidR="009021F1" w:rsidRPr="009D55A6" w:rsidRDefault="009021F1" w:rsidP="00E637E3">
            <w:pPr>
              <w:autoSpaceDE w:val="0"/>
              <w:autoSpaceDN w:val="0"/>
              <w:adjustRightInd w:val="0"/>
              <w:jc w:val="left"/>
              <w:rPr>
                <w:rFonts w:cs="Arial"/>
                <w:sz w:val="20"/>
                <w:szCs w:val="20"/>
              </w:rPr>
            </w:pPr>
            <w:r w:rsidRPr="009D55A6">
              <w:rPr>
                <w:rFonts w:cs="Arial"/>
                <w:sz w:val="20"/>
                <w:szCs w:val="20"/>
              </w:rPr>
              <w:t>Elle a pour but de veiller à ce que le commerce international des spécimens d'animaux et de plantes sauvages ne menace pas la survie des espèces auxquelles ils appartiennent.</w:t>
            </w:r>
          </w:p>
        </w:tc>
        <w:tc>
          <w:tcPr>
            <w:tcW w:w="2353" w:type="dxa"/>
            <w:tcBorders>
              <w:top w:val="nil"/>
              <w:left w:val="nil"/>
              <w:bottom w:val="single" w:sz="4" w:space="0" w:color="auto"/>
              <w:right w:val="single" w:sz="4" w:space="0" w:color="auto"/>
            </w:tcBorders>
            <w:shd w:val="clear" w:color="auto" w:fill="auto"/>
            <w:vAlign w:val="center"/>
          </w:tcPr>
          <w:p w14:paraId="6F3B55B2" w14:textId="77777777" w:rsidR="009021F1" w:rsidRPr="009D55A6" w:rsidRDefault="009021F1" w:rsidP="00E637E3">
            <w:pPr>
              <w:autoSpaceDE w:val="0"/>
              <w:autoSpaceDN w:val="0"/>
              <w:adjustRightInd w:val="0"/>
              <w:jc w:val="left"/>
              <w:rPr>
                <w:rFonts w:cs="Arial"/>
                <w:sz w:val="20"/>
                <w:szCs w:val="20"/>
              </w:rPr>
            </w:pPr>
            <w:r w:rsidRPr="009D55A6">
              <w:rPr>
                <w:rFonts w:cs="Arial"/>
                <w:sz w:val="20"/>
                <w:szCs w:val="20"/>
              </w:rPr>
              <w:t>Washington (USA), 3 mars 1973.</w:t>
            </w:r>
          </w:p>
        </w:tc>
        <w:tc>
          <w:tcPr>
            <w:tcW w:w="5499" w:type="dxa"/>
            <w:shd w:val="clear" w:color="auto" w:fill="auto"/>
          </w:tcPr>
          <w:p w14:paraId="52537451" w14:textId="77777777" w:rsidR="009021F1" w:rsidRPr="009D55A6" w:rsidRDefault="009021F1" w:rsidP="00E637E3">
            <w:pPr>
              <w:autoSpaceDE w:val="0"/>
              <w:autoSpaceDN w:val="0"/>
              <w:adjustRightInd w:val="0"/>
              <w:rPr>
                <w:rFonts w:cs="Arial"/>
                <w:color w:val="000000"/>
                <w:sz w:val="20"/>
                <w:szCs w:val="20"/>
              </w:rPr>
            </w:pPr>
            <w:r w:rsidRPr="009D55A6">
              <w:rPr>
                <w:rFonts w:cs="Arial"/>
                <w:color w:val="000000"/>
                <w:sz w:val="20"/>
                <w:szCs w:val="20"/>
              </w:rPr>
              <w:t>Etant donné que le PNDA va se réaliser dans deux Provinces notamment le Kasaï et le Nord-Kivu qui partagent des frontières avec l’Angola, le Rwanda et l’Ouganda et compte tenu de du fait que ces deux provinces comptent des aires protégées et de Lac (PNVi</w:t>
            </w:r>
            <w:r w:rsidRPr="009D55A6">
              <w:rPr>
                <w:rFonts w:eastAsia="Calibri" w:cs="Arial"/>
                <w:color w:val="000000"/>
                <w:sz w:val="20"/>
                <w:szCs w:val="20"/>
              </w:rPr>
              <w:t xml:space="preserve"> le Domaine de chasse de Bushimaie dans le Kasaï Central vers Luiza, le Parc de Salonga vers le Kasaï et le Lac-Kivu). Pendant la phase d’exécution des sous-projets du PNDA, ce dernier veillera à l’interdiction du commerce international des animaux et des plantes sauvages. Le présent CGES prévoit des mesures conformément à la NES n°6</w:t>
            </w:r>
          </w:p>
        </w:tc>
      </w:tr>
      <w:tr w:rsidR="009021F1" w:rsidRPr="001E4043" w14:paraId="42053DF6" w14:textId="77777777" w:rsidTr="00E637E3">
        <w:tc>
          <w:tcPr>
            <w:tcW w:w="2694" w:type="dxa"/>
            <w:tcBorders>
              <w:top w:val="nil"/>
              <w:left w:val="single" w:sz="4" w:space="0" w:color="auto"/>
              <w:bottom w:val="single" w:sz="4" w:space="0" w:color="auto"/>
              <w:right w:val="single" w:sz="4" w:space="0" w:color="auto"/>
            </w:tcBorders>
            <w:shd w:val="clear" w:color="auto" w:fill="auto"/>
            <w:vAlign w:val="center"/>
          </w:tcPr>
          <w:p w14:paraId="74088933" w14:textId="77777777" w:rsidR="009021F1" w:rsidRPr="009D55A6" w:rsidRDefault="009021F1" w:rsidP="00E637E3">
            <w:pPr>
              <w:autoSpaceDE w:val="0"/>
              <w:autoSpaceDN w:val="0"/>
              <w:adjustRightInd w:val="0"/>
              <w:rPr>
                <w:rFonts w:cs="Arial"/>
                <w:sz w:val="20"/>
                <w:szCs w:val="20"/>
              </w:rPr>
            </w:pPr>
            <w:r w:rsidRPr="009D55A6">
              <w:rPr>
                <w:rFonts w:cs="Arial"/>
                <w:sz w:val="20"/>
                <w:szCs w:val="20"/>
              </w:rPr>
              <w:t>Convention sur la convention des espèces migratrices appartenant à la faune sauvage.</w:t>
            </w:r>
          </w:p>
        </w:tc>
        <w:tc>
          <w:tcPr>
            <w:tcW w:w="4301" w:type="dxa"/>
            <w:tcBorders>
              <w:top w:val="nil"/>
              <w:left w:val="nil"/>
              <w:bottom w:val="single" w:sz="4" w:space="0" w:color="auto"/>
              <w:right w:val="single" w:sz="4" w:space="0" w:color="auto"/>
            </w:tcBorders>
            <w:shd w:val="clear" w:color="auto" w:fill="auto"/>
            <w:vAlign w:val="center"/>
          </w:tcPr>
          <w:p w14:paraId="06846F94" w14:textId="77777777" w:rsidR="009021F1" w:rsidRPr="009D55A6" w:rsidRDefault="009021F1" w:rsidP="00E637E3">
            <w:pPr>
              <w:autoSpaceDE w:val="0"/>
              <w:autoSpaceDN w:val="0"/>
              <w:adjustRightInd w:val="0"/>
              <w:jc w:val="left"/>
              <w:rPr>
                <w:rFonts w:cs="Arial"/>
                <w:sz w:val="20"/>
                <w:szCs w:val="20"/>
              </w:rPr>
            </w:pPr>
            <w:r w:rsidRPr="009D55A6">
              <w:rPr>
                <w:rFonts w:cs="Arial"/>
                <w:sz w:val="20"/>
                <w:szCs w:val="20"/>
              </w:rPr>
              <w:t>La convention de Bonn a pour objectif la conservation des espèces migratrices de la faune sauvage à l'échelle mondiale. La conservation des espèces migratrices nécessite en particulier une coopération internationale pour assurer la protection de l'ensemble de leur aire de répartition</w:t>
            </w:r>
          </w:p>
        </w:tc>
        <w:tc>
          <w:tcPr>
            <w:tcW w:w="2353" w:type="dxa"/>
            <w:tcBorders>
              <w:top w:val="nil"/>
              <w:left w:val="nil"/>
              <w:bottom w:val="single" w:sz="4" w:space="0" w:color="auto"/>
              <w:right w:val="single" w:sz="4" w:space="0" w:color="auto"/>
            </w:tcBorders>
            <w:shd w:val="clear" w:color="auto" w:fill="auto"/>
            <w:vAlign w:val="center"/>
          </w:tcPr>
          <w:p w14:paraId="21B93298" w14:textId="77777777" w:rsidR="009021F1" w:rsidRPr="009D55A6" w:rsidRDefault="009021F1" w:rsidP="00E637E3">
            <w:pPr>
              <w:autoSpaceDE w:val="0"/>
              <w:autoSpaceDN w:val="0"/>
              <w:adjustRightInd w:val="0"/>
              <w:jc w:val="left"/>
              <w:rPr>
                <w:rFonts w:cs="Arial"/>
                <w:sz w:val="20"/>
                <w:szCs w:val="20"/>
              </w:rPr>
            </w:pPr>
            <w:r w:rsidRPr="009D55A6">
              <w:rPr>
                <w:rFonts w:cs="Arial"/>
                <w:sz w:val="20"/>
                <w:szCs w:val="20"/>
              </w:rPr>
              <w:t>Bonn, (Allemagne), 23 juin 1979.</w:t>
            </w:r>
          </w:p>
        </w:tc>
        <w:tc>
          <w:tcPr>
            <w:tcW w:w="5499" w:type="dxa"/>
            <w:shd w:val="clear" w:color="auto" w:fill="auto"/>
          </w:tcPr>
          <w:p w14:paraId="58D6C30A" w14:textId="77777777" w:rsidR="009021F1" w:rsidRPr="009D55A6" w:rsidRDefault="009021F1" w:rsidP="00E637E3">
            <w:pPr>
              <w:autoSpaceDE w:val="0"/>
              <w:autoSpaceDN w:val="0"/>
              <w:adjustRightInd w:val="0"/>
              <w:rPr>
                <w:rFonts w:cs="Arial"/>
                <w:color w:val="000000"/>
                <w:sz w:val="20"/>
                <w:szCs w:val="20"/>
              </w:rPr>
            </w:pPr>
            <w:r w:rsidRPr="009D55A6">
              <w:rPr>
                <w:rFonts w:eastAsia="Calibri" w:cs="Arial"/>
                <w:color w:val="000000"/>
                <w:sz w:val="20"/>
                <w:szCs w:val="20"/>
              </w:rPr>
              <w:t>Pendant la mise en œuvre des sous-projets des activités agricoles, le PNDA va veiller à la protection des espèces migratrices appartenant à la faune sauvage. Le présent CGES prévoit des mesures conformément à la NES n°6</w:t>
            </w:r>
          </w:p>
        </w:tc>
      </w:tr>
      <w:tr w:rsidR="009021F1" w:rsidRPr="001E4043" w14:paraId="5EE7BC2F" w14:textId="77777777" w:rsidTr="00E637E3">
        <w:tc>
          <w:tcPr>
            <w:tcW w:w="2694" w:type="dxa"/>
            <w:tcBorders>
              <w:top w:val="nil"/>
              <w:left w:val="single" w:sz="4" w:space="0" w:color="auto"/>
              <w:bottom w:val="single" w:sz="4" w:space="0" w:color="auto"/>
              <w:right w:val="single" w:sz="4" w:space="0" w:color="auto"/>
            </w:tcBorders>
            <w:shd w:val="clear" w:color="auto" w:fill="auto"/>
            <w:vAlign w:val="center"/>
          </w:tcPr>
          <w:p w14:paraId="5E26CC59" w14:textId="77777777" w:rsidR="009021F1" w:rsidRPr="009D55A6" w:rsidRDefault="009021F1" w:rsidP="00E637E3">
            <w:pPr>
              <w:autoSpaceDE w:val="0"/>
              <w:autoSpaceDN w:val="0"/>
              <w:adjustRightInd w:val="0"/>
              <w:rPr>
                <w:rFonts w:cs="Arial"/>
                <w:sz w:val="20"/>
                <w:szCs w:val="20"/>
              </w:rPr>
            </w:pPr>
            <w:r w:rsidRPr="009D55A6">
              <w:rPr>
                <w:rFonts w:cs="Arial"/>
                <w:sz w:val="20"/>
                <w:szCs w:val="20"/>
              </w:rPr>
              <w:t xml:space="preserve">Convention de Vienne sur la protection de la couche d’ozone </w:t>
            </w:r>
          </w:p>
        </w:tc>
        <w:tc>
          <w:tcPr>
            <w:tcW w:w="4301" w:type="dxa"/>
            <w:tcBorders>
              <w:top w:val="nil"/>
              <w:left w:val="nil"/>
              <w:bottom w:val="single" w:sz="4" w:space="0" w:color="auto"/>
              <w:right w:val="single" w:sz="4" w:space="0" w:color="auto"/>
            </w:tcBorders>
            <w:shd w:val="clear" w:color="auto" w:fill="auto"/>
            <w:vAlign w:val="center"/>
          </w:tcPr>
          <w:p w14:paraId="117A6533" w14:textId="77777777" w:rsidR="009021F1" w:rsidRPr="009D55A6" w:rsidRDefault="009021F1" w:rsidP="00E637E3">
            <w:pPr>
              <w:autoSpaceDE w:val="0"/>
              <w:autoSpaceDN w:val="0"/>
              <w:adjustRightInd w:val="0"/>
              <w:jc w:val="left"/>
              <w:rPr>
                <w:rFonts w:cs="Arial"/>
                <w:sz w:val="20"/>
                <w:szCs w:val="20"/>
              </w:rPr>
            </w:pPr>
            <w:r w:rsidRPr="009D55A6">
              <w:rPr>
                <w:rFonts w:cs="Arial"/>
                <w:sz w:val="20"/>
                <w:szCs w:val="20"/>
              </w:rPr>
              <w:t>Cette convention établit un cadre pour la coopération et la formulation des mesures convenues pour protéger la santé humaine et l’environnement contre les effets néfastes résultant des modifications de la couche d’ozone par les activités humaines.</w:t>
            </w:r>
          </w:p>
        </w:tc>
        <w:tc>
          <w:tcPr>
            <w:tcW w:w="2353" w:type="dxa"/>
            <w:tcBorders>
              <w:top w:val="nil"/>
              <w:left w:val="nil"/>
              <w:bottom w:val="single" w:sz="4" w:space="0" w:color="auto"/>
              <w:right w:val="single" w:sz="4" w:space="0" w:color="auto"/>
            </w:tcBorders>
            <w:shd w:val="clear" w:color="auto" w:fill="auto"/>
            <w:vAlign w:val="center"/>
          </w:tcPr>
          <w:p w14:paraId="1F891A77" w14:textId="77777777" w:rsidR="009021F1" w:rsidRPr="009D55A6" w:rsidRDefault="009021F1" w:rsidP="00E637E3">
            <w:pPr>
              <w:autoSpaceDE w:val="0"/>
              <w:autoSpaceDN w:val="0"/>
              <w:adjustRightInd w:val="0"/>
              <w:jc w:val="left"/>
              <w:rPr>
                <w:rFonts w:cs="Arial"/>
                <w:sz w:val="20"/>
                <w:szCs w:val="20"/>
              </w:rPr>
            </w:pPr>
            <w:r w:rsidRPr="009D55A6">
              <w:rPr>
                <w:rFonts w:cs="Arial"/>
                <w:sz w:val="20"/>
                <w:szCs w:val="20"/>
              </w:rPr>
              <w:t>Vienne, 22 mars 1985</w:t>
            </w:r>
          </w:p>
        </w:tc>
        <w:tc>
          <w:tcPr>
            <w:tcW w:w="5499" w:type="dxa"/>
            <w:shd w:val="clear" w:color="auto" w:fill="auto"/>
          </w:tcPr>
          <w:p w14:paraId="69C8FEE6" w14:textId="77777777" w:rsidR="009021F1" w:rsidRPr="009D55A6" w:rsidRDefault="009021F1" w:rsidP="00E637E3">
            <w:pPr>
              <w:autoSpaceDE w:val="0"/>
              <w:autoSpaceDN w:val="0"/>
              <w:adjustRightInd w:val="0"/>
              <w:rPr>
                <w:rFonts w:cs="Arial"/>
                <w:sz w:val="20"/>
                <w:szCs w:val="20"/>
              </w:rPr>
            </w:pPr>
            <w:r w:rsidRPr="009D55A6">
              <w:rPr>
                <w:rFonts w:cs="Arial"/>
                <w:sz w:val="20"/>
                <w:szCs w:val="20"/>
              </w:rPr>
              <w:t>La pollution de l’air pendant la mise en œuvre du PNDA sera tributaire des émissions de gaz provenant de la combustion des produits d’hydrocarbures qui peuvent impacter négativement sur la couche d’ozone. Ainsi, le PNDA est concerné par cette convention. Le présent CGES intègre des mesures de réduction des émissions de CO2 et de protection de la santé humaine et de l’environnement.</w:t>
            </w:r>
          </w:p>
        </w:tc>
      </w:tr>
      <w:tr w:rsidR="009021F1" w:rsidRPr="001E4043" w14:paraId="34B99CB9" w14:textId="77777777" w:rsidTr="00E637E3">
        <w:tc>
          <w:tcPr>
            <w:tcW w:w="2694" w:type="dxa"/>
            <w:tcBorders>
              <w:top w:val="nil"/>
              <w:left w:val="single" w:sz="4" w:space="0" w:color="auto"/>
              <w:bottom w:val="single" w:sz="4" w:space="0" w:color="auto"/>
              <w:right w:val="single" w:sz="4" w:space="0" w:color="auto"/>
            </w:tcBorders>
            <w:shd w:val="clear" w:color="auto" w:fill="auto"/>
            <w:vAlign w:val="center"/>
          </w:tcPr>
          <w:p w14:paraId="7B2B2FDC" w14:textId="77777777" w:rsidR="009021F1" w:rsidRPr="009D55A6" w:rsidRDefault="009021F1" w:rsidP="00E637E3">
            <w:pPr>
              <w:autoSpaceDE w:val="0"/>
              <w:autoSpaceDN w:val="0"/>
              <w:adjustRightInd w:val="0"/>
              <w:jc w:val="left"/>
              <w:rPr>
                <w:rFonts w:cs="Arial"/>
                <w:sz w:val="20"/>
                <w:szCs w:val="20"/>
              </w:rPr>
            </w:pPr>
            <w:r w:rsidRPr="009D55A6">
              <w:rPr>
                <w:rFonts w:cs="Arial"/>
                <w:sz w:val="20"/>
                <w:szCs w:val="20"/>
              </w:rPr>
              <w:t xml:space="preserve">Convention de Bâle sur le transport transfrontalier des déchets dangereux et leur traitement </w:t>
            </w:r>
          </w:p>
        </w:tc>
        <w:tc>
          <w:tcPr>
            <w:tcW w:w="4301" w:type="dxa"/>
            <w:tcBorders>
              <w:top w:val="nil"/>
              <w:left w:val="nil"/>
              <w:bottom w:val="single" w:sz="4" w:space="0" w:color="auto"/>
              <w:right w:val="single" w:sz="4" w:space="0" w:color="auto"/>
            </w:tcBorders>
            <w:shd w:val="clear" w:color="auto" w:fill="auto"/>
            <w:vAlign w:val="center"/>
          </w:tcPr>
          <w:p w14:paraId="42D8147E" w14:textId="77777777" w:rsidR="009021F1" w:rsidRPr="009D55A6" w:rsidRDefault="009021F1" w:rsidP="00E637E3">
            <w:pPr>
              <w:autoSpaceDE w:val="0"/>
              <w:autoSpaceDN w:val="0"/>
              <w:adjustRightInd w:val="0"/>
              <w:rPr>
                <w:rFonts w:cs="Arial"/>
                <w:sz w:val="20"/>
                <w:szCs w:val="20"/>
              </w:rPr>
            </w:pPr>
            <w:r w:rsidRPr="009D55A6">
              <w:rPr>
                <w:rFonts w:cs="Arial"/>
                <w:sz w:val="20"/>
                <w:szCs w:val="20"/>
              </w:rPr>
              <w:t>Convention de Bâle sur le contrôle des mouvements transfrontières de déchets dangereux et de leur élimination est un traité international qui a été conçu afin de réduire la circulation des déchets dangereux entre les pays</w:t>
            </w:r>
            <w:r w:rsidRPr="009D55A6">
              <w:rPr>
                <w:rFonts w:cs="Arial"/>
                <w:color w:val="202124"/>
                <w:sz w:val="20"/>
                <w:szCs w:val="20"/>
                <w:shd w:val="clear" w:color="auto" w:fill="FFFFFF"/>
              </w:rPr>
              <w:t>.</w:t>
            </w:r>
          </w:p>
        </w:tc>
        <w:tc>
          <w:tcPr>
            <w:tcW w:w="2353" w:type="dxa"/>
            <w:tcBorders>
              <w:top w:val="nil"/>
              <w:left w:val="nil"/>
              <w:bottom w:val="single" w:sz="4" w:space="0" w:color="auto"/>
              <w:right w:val="single" w:sz="4" w:space="0" w:color="auto"/>
            </w:tcBorders>
            <w:shd w:val="clear" w:color="auto" w:fill="auto"/>
            <w:vAlign w:val="center"/>
          </w:tcPr>
          <w:p w14:paraId="7696EC21" w14:textId="77777777" w:rsidR="009021F1" w:rsidRPr="009D55A6" w:rsidRDefault="009021F1" w:rsidP="00E637E3">
            <w:pPr>
              <w:autoSpaceDE w:val="0"/>
              <w:autoSpaceDN w:val="0"/>
              <w:adjustRightInd w:val="0"/>
              <w:jc w:val="left"/>
              <w:rPr>
                <w:rFonts w:cs="Arial"/>
                <w:sz w:val="20"/>
                <w:szCs w:val="20"/>
              </w:rPr>
            </w:pPr>
            <w:r w:rsidRPr="009D55A6">
              <w:rPr>
                <w:rFonts w:cs="Arial"/>
                <w:sz w:val="20"/>
                <w:szCs w:val="20"/>
              </w:rPr>
              <w:t>Suisse (Bâle) 22 mars 1989.</w:t>
            </w:r>
          </w:p>
        </w:tc>
        <w:tc>
          <w:tcPr>
            <w:tcW w:w="5499" w:type="dxa"/>
            <w:shd w:val="clear" w:color="auto" w:fill="auto"/>
          </w:tcPr>
          <w:p w14:paraId="16ED9D56" w14:textId="77777777" w:rsidR="009021F1" w:rsidRPr="009D55A6" w:rsidRDefault="009021F1" w:rsidP="00E637E3">
            <w:pPr>
              <w:autoSpaceDE w:val="0"/>
              <w:autoSpaceDN w:val="0"/>
              <w:adjustRightInd w:val="0"/>
              <w:rPr>
                <w:rFonts w:cs="Arial"/>
                <w:sz w:val="20"/>
                <w:szCs w:val="20"/>
              </w:rPr>
            </w:pPr>
            <w:r w:rsidRPr="009D55A6">
              <w:rPr>
                <w:rFonts w:cs="Arial"/>
                <w:sz w:val="20"/>
                <w:szCs w:val="20"/>
              </w:rPr>
              <w:t>La mise en œuvre des sous-projets dans les provinces frontalières du PNDA va générer des déchets dangereux avec l’utilisation des engrais chimiques et des pesticides pour les activités agricoles, les huiles et batteries usagées, etc. Donc, le PNDA est concerné par cette convention. Le présent CGES préconise des mesures idoines conformes à la NES n°3 pendant la phase de mise en œuvre du PNDA et il veillera au respect strict de cette Convention.</w:t>
            </w:r>
          </w:p>
        </w:tc>
      </w:tr>
      <w:tr w:rsidR="009021F1" w:rsidRPr="001E4043" w14:paraId="0F010AA7" w14:textId="77777777" w:rsidTr="00E637E3">
        <w:tc>
          <w:tcPr>
            <w:tcW w:w="2694" w:type="dxa"/>
            <w:tcBorders>
              <w:top w:val="nil"/>
              <w:left w:val="single" w:sz="4" w:space="0" w:color="auto"/>
              <w:bottom w:val="single" w:sz="4" w:space="0" w:color="auto"/>
              <w:right w:val="single" w:sz="4" w:space="0" w:color="auto"/>
            </w:tcBorders>
            <w:shd w:val="clear" w:color="auto" w:fill="auto"/>
            <w:vAlign w:val="center"/>
          </w:tcPr>
          <w:p w14:paraId="4FBE2CB0" w14:textId="77777777" w:rsidR="009021F1" w:rsidRPr="009D55A6" w:rsidRDefault="009021F1" w:rsidP="00E637E3">
            <w:pPr>
              <w:autoSpaceDE w:val="0"/>
              <w:autoSpaceDN w:val="0"/>
              <w:adjustRightInd w:val="0"/>
              <w:rPr>
                <w:rFonts w:cs="Arial"/>
                <w:sz w:val="20"/>
                <w:szCs w:val="20"/>
              </w:rPr>
            </w:pPr>
            <w:r w:rsidRPr="009D55A6">
              <w:rPr>
                <w:rFonts w:cs="Arial"/>
                <w:sz w:val="20"/>
                <w:szCs w:val="20"/>
              </w:rPr>
              <w:t xml:space="preserve">Accord international sur les bois tropicaux. Genève </w:t>
            </w:r>
          </w:p>
        </w:tc>
        <w:tc>
          <w:tcPr>
            <w:tcW w:w="4301" w:type="dxa"/>
            <w:tcBorders>
              <w:top w:val="nil"/>
              <w:left w:val="nil"/>
              <w:bottom w:val="single" w:sz="4" w:space="0" w:color="auto"/>
              <w:right w:val="single" w:sz="4" w:space="0" w:color="auto"/>
            </w:tcBorders>
            <w:shd w:val="clear" w:color="auto" w:fill="auto"/>
            <w:vAlign w:val="center"/>
          </w:tcPr>
          <w:p w14:paraId="4DC540B7" w14:textId="77777777" w:rsidR="009021F1" w:rsidRPr="009D55A6" w:rsidRDefault="009021F1" w:rsidP="00E637E3">
            <w:pPr>
              <w:autoSpaceDE w:val="0"/>
              <w:autoSpaceDN w:val="0"/>
              <w:adjustRightInd w:val="0"/>
              <w:rPr>
                <w:rFonts w:cs="Arial"/>
                <w:sz w:val="20"/>
                <w:szCs w:val="20"/>
              </w:rPr>
            </w:pPr>
            <w:r w:rsidRPr="009D55A6">
              <w:rPr>
                <w:rFonts w:cs="Arial"/>
                <w:sz w:val="20"/>
                <w:szCs w:val="20"/>
              </w:rPr>
              <w:t>Promouvoir l’expansion et la désertification du commerce international des bois tropicaux provenant des forêts gérées de manière durable et exploitées dans le respect de la loi ;</w:t>
            </w:r>
          </w:p>
          <w:p w14:paraId="23509216" w14:textId="77777777" w:rsidR="009021F1" w:rsidRPr="009D55A6" w:rsidRDefault="009021F1" w:rsidP="00E637E3">
            <w:pPr>
              <w:autoSpaceDE w:val="0"/>
              <w:autoSpaceDN w:val="0"/>
              <w:adjustRightInd w:val="0"/>
              <w:rPr>
                <w:rFonts w:cs="Arial"/>
                <w:sz w:val="20"/>
                <w:szCs w:val="20"/>
              </w:rPr>
            </w:pPr>
          </w:p>
          <w:p w14:paraId="65011528" w14:textId="77777777" w:rsidR="009021F1" w:rsidRPr="009D55A6" w:rsidRDefault="009021F1" w:rsidP="00E637E3">
            <w:pPr>
              <w:autoSpaceDE w:val="0"/>
              <w:autoSpaceDN w:val="0"/>
              <w:adjustRightInd w:val="0"/>
              <w:rPr>
                <w:rFonts w:cs="Arial"/>
                <w:sz w:val="20"/>
                <w:szCs w:val="20"/>
              </w:rPr>
            </w:pPr>
            <w:r w:rsidRPr="009D55A6">
              <w:rPr>
                <w:rFonts w:cs="Arial"/>
                <w:sz w:val="20"/>
                <w:szCs w:val="20"/>
              </w:rPr>
              <w:t xml:space="preserve">Promouvoir la gestion durable des forêts productrices des bois tropicaux </w:t>
            </w:r>
          </w:p>
        </w:tc>
        <w:tc>
          <w:tcPr>
            <w:tcW w:w="2353" w:type="dxa"/>
            <w:tcBorders>
              <w:top w:val="nil"/>
              <w:left w:val="nil"/>
              <w:bottom w:val="single" w:sz="4" w:space="0" w:color="auto"/>
              <w:right w:val="single" w:sz="4" w:space="0" w:color="auto"/>
            </w:tcBorders>
            <w:shd w:val="clear" w:color="auto" w:fill="auto"/>
            <w:vAlign w:val="center"/>
          </w:tcPr>
          <w:p w14:paraId="75957E16" w14:textId="77777777" w:rsidR="009021F1" w:rsidRPr="009D55A6" w:rsidRDefault="009021F1" w:rsidP="00E637E3">
            <w:pPr>
              <w:autoSpaceDE w:val="0"/>
              <w:autoSpaceDN w:val="0"/>
              <w:adjustRightInd w:val="0"/>
              <w:jc w:val="left"/>
              <w:rPr>
                <w:rFonts w:cs="Arial"/>
                <w:sz w:val="20"/>
                <w:szCs w:val="20"/>
              </w:rPr>
            </w:pPr>
            <w:r w:rsidRPr="009D55A6">
              <w:rPr>
                <w:rFonts w:cs="Arial"/>
                <w:sz w:val="20"/>
                <w:szCs w:val="20"/>
              </w:rPr>
              <w:t>(Suisse).18 novembre 1992</w:t>
            </w:r>
          </w:p>
        </w:tc>
        <w:tc>
          <w:tcPr>
            <w:tcW w:w="5499" w:type="dxa"/>
            <w:shd w:val="clear" w:color="auto" w:fill="auto"/>
          </w:tcPr>
          <w:p w14:paraId="03131B0A" w14:textId="77777777" w:rsidR="009021F1" w:rsidRPr="009D55A6" w:rsidRDefault="009021F1" w:rsidP="00E637E3">
            <w:pPr>
              <w:autoSpaceDE w:val="0"/>
              <w:autoSpaceDN w:val="0"/>
              <w:adjustRightInd w:val="0"/>
              <w:rPr>
                <w:rFonts w:cs="Arial"/>
                <w:sz w:val="20"/>
                <w:szCs w:val="20"/>
              </w:rPr>
            </w:pPr>
            <w:r w:rsidRPr="009D55A6">
              <w:rPr>
                <w:rFonts w:cs="Arial"/>
                <w:sz w:val="20"/>
                <w:szCs w:val="20"/>
              </w:rPr>
              <w:t>Pendant la phase de mise en œuvre des sous-projets agricoles et la réhabilitation des pistes rurales du PNDA dans les forêts des provinces concernées (surtout le Nord-Kivu et les Kongo Central) par le Programme risquent d’amplifier l’exploitation des bois tropicaux. Le présent CGES préconise des mesures nécessaires pour atténuer cette activité d’exploitation des bois tropicaux. Le PNDA veillera au strict respect de cette Convention.</w:t>
            </w:r>
          </w:p>
        </w:tc>
      </w:tr>
      <w:tr w:rsidR="009021F1" w:rsidRPr="001E4043" w14:paraId="3BED7283" w14:textId="77777777" w:rsidTr="00E637E3">
        <w:tc>
          <w:tcPr>
            <w:tcW w:w="2694" w:type="dxa"/>
            <w:tcBorders>
              <w:top w:val="nil"/>
              <w:left w:val="single" w:sz="4" w:space="0" w:color="auto"/>
              <w:bottom w:val="single" w:sz="4" w:space="0" w:color="auto"/>
              <w:right w:val="single" w:sz="4" w:space="0" w:color="auto"/>
            </w:tcBorders>
            <w:shd w:val="clear" w:color="auto" w:fill="auto"/>
            <w:vAlign w:val="center"/>
          </w:tcPr>
          <w:p w14:paraId="36026F1B" w14:textId="77777777" w:rsidR="009021F1" w:rsidRPr="009D55A6" w:rsidRDefault="009021F1" w:rsidP="00E637E3">
            <w:pPr>
              <w:autoSpaceDE w:val="0"/>
              <w:autoSpaceDN w:val="0"/>
              <w:adjustRightInd w:val="0"/>
              <w:rPr>
                <w:rFonts w:cs="Arial"/>
                <w:sz w:val="20"/>
                <w:szCs w:val="20"/>
              </w:rPr>
            </w:pPr>
            <w:r w:rsidRPr="009D55A6">
              <w:rPr>
                <w:rFonts w:cs="Arial"/>
                <w:sz w:val="20"/>
                <w:szCs w:val="20"/>
              </w:rPr>
              <w:t>Convention de Nations-Unies sur les changements climatiques.</w:t>
            </w:r>
          </w:p>
        </w:tc>
        <w:tc>
          <w:tcPr>
            <w:tcW w:w="4301" w:type="dxa"/>
            <w:tcBorders>
              <w:top w:val="nil"/>
              <w:left w:val="nil"/>
              <w:bottom w:val="single" w:sz="4" w:space="0" w:color="auto"/>
              <w:right w:val="single" w:sz="4" w:space="0" w:color="auto"/>
            </w:tcBorders>
            <w:shd w:val="clear" w:color="auto" w:fill="auto"/>
            <w:vAlign w:val="center"/>
          </w:tcPr>
          <w:p w14:paraId="166D1F66" w14:textId="77777777" w:rsidR="009021F1" w:rsidRPr="009D55A6" w:rsidRDefault="009021F1" w:rsidP="00E637E3">
            <w:pPr>
              <w:autoSpaceDE w:val="0"/>
              <w:autoSpaceDN w:val="0"/>
              <w:adjustRightInd w:val="0"/>
              <w:rPr>
                <w:rFonts w:cs="Arial"/>
                <w:sz w:val="20"/>
                <w:szCs w:val="20"/>
              </w:rPr>
            </w:pPr>
            <w:r w:rsidRPr="009D55A6">
              <w:rPr>
                <w:rFonts w:cs="Arial"/>
                <w:sz w:val="20"/>
                <w:szCs w:val="20"/>
              </w:rPr>
              <w:t xml:space="preserve">Stabiliser les émissions de gaz à effet de serre et fournir un cadre institutionnel de négociation.  </w:t>
            </w:r>
          </w:p>
        </w:tc>
        <w:tc>
          <w:tcPr>
            <w:tcW w:w="2353" w:type="dxa"/>
            <w:tcBorders>
              <w:top w:val="nil"/>
              <w:left w:val="nil"/>
              <w:bottom w:val="single" w:sz="4" w:space="0" w:color="auto"/>
              <w:right w:val="single" w:sz="4" w:space="0" w:color="auto"/>
            </w:tcBorders>
            <w:shd w:val="clear" w:color="auto" w:fill="auto"/>
            <w:vAlign w:val="center"/>
          </w:tcPr>
          <w:p w14:paraId="735A558E" w14:textId="77777777" w:rsidR="009021F1" w:rsidRPr="009D55A6" w:rsidRDefault="009021F1" w:rsidP="00E637E3">
            <w:pPr>
              <w:autoSpaceDE w:val="0"/>
              <w:autoSpaceDN w:val="0"/>
              <w:adjustRightInd w:val="0"/>
              <w:jc w:val="left"/>
              <w:rPr>
                <w:rFonts w:cs="Arial"/>
                <w:sz w:val="20"/>
                <w:szCs w:val="20"/>
              </w:rPr>
            </w:pPr>
            <w:r w:rsidRPr="009D55A6">
              <w:rPr>
                <w:rFonts w:cs="Arial"/>
                <w:sz w:val="20"/>
                <w:szCs w:val="20"/>
              </w:rPr>
              <w:t>Rio de Janeiro (Brésil) 4 juin 1992.</w:t>
            </w:r>
          </w:p>
        </w:tc>
        <w:tc>
          <w:tcPr>
            <w:tcW w:w="5499" w:type="dxa"/>
            <w:shd w:val="clear" w:color="auto" w:fill="auto"/>
          </w:tcPr>
          <w:p w14:paraId="6B91300E" w14:textId="77777777" w:rsidR="009021F1" w:rsidRPr="009D55A6" w:rsidRDefault="009021F1" w:rsidP="00E637E3">
            <w:pPr>
              <w:autoSpaceDE w:val="0"/>
              <w:autoSpaceDN w:val="0"/>
              <w:adjustRightInd w:val="0"/>
              <w:rPr>
                <w:rFonts w:cs="Arial"/>
                <w:sz w:val="20"/>
                <w:szCs w:val="20"/>
              </w:rPr>
            </w:pPr>
            <w:r w:rsidRPr="009D55A6">
              <w:rPr>
                <w:rFonts w:cs="Arial"/>
                <w:sz w:val="20"/>
                <w:szCs w:val="20"/>
              </w:rPr>
              <w:t>La mise en œuvre des sous-projets agricoles (a réalisation des aménagements paysagers le long ou autour de certains ouvrages, travaux champêtres, l’exploitation des carrières d’emprunt des matériaux, aménagement des pistes rurales, etc.) risque d’induire au changement climatique dans la zone du projet. Le CGES prévoit des mesures de reboisement des zones impactées pour lutter contre les changements climatiques.</w:t>
            </w:r>
          </w:p>
        </w:tc>
      </w:tr>
      <w:tr w:rsidR="009021F1" w:rsidRPr="001E4043" w14:paraId="7093CA52" w14:textId="77777777" w:rsidTr="00E637E3">
        <w:tc>
          <w:tcPr>
            <w:tcW w:w="2694" w:type="dxa"/>
            <w:tcBorders>
              <w:top w:val="nil"/>
              <w:left w:val="single" w:sz="4" w:space="0" w:color="auto"/>
              <w:bottom w:val="single" w:sz="4" w:space="0" w:color="auto"/>
              <w:right w:val="single" w:sz="4" w:space="0" w:color="auto"/>
            </w:tcBorders>
            <w:shd w:val="clear" w:color="auto" w:fill="auto"/>
            <w:vAlign w:val="center"/>
          </w:tcPr>
          <w:p w14:paraId="1F4ED4F2" w14:textId="77777777" w:rsidR="009021F1" w:rsidRPr="009D55A6" w:rsidRDefault="009021F1" w:rsidP="00E637E3">
            <w:pPr>
              <w:autoSpaceDE w:val="0"/>
              <w:autoSpaceDN w:val="0"/>
              <w:adjustRightInd w:val="0"/>
              <w:rPr>
                <w:rFonts w:cs="Arial"/>
                <w:sz w:val="20"/>
                <w:szCs w:val="20"/>
              </w:rPr>
            </w:pPr>
            <w:r w:rsidRPr="009D55A6">
              <w:rPr>
                <w:rFonts w:cs="Arial"/>
                <w:sz w:val="20"/>
                <w:szCs w:val="20"/>
              </w:rPr>
              <w:t>Convention sur la Diversité Biologique.</w:t>
            </w:r>
          </w:p>
        </w:tc>
        <w:tc>
          <w:tcPr>
            <w:tcW w:w="4301" w:type="dxa"/>
            <w:tcBorders>
              <w:top w:val="nil"/>
              <w:left w:val="nil"/>
              <w:bottom w:val="single" w:sz="4" w:space="0" w:color="auto"/>
              <w:right w:val="single" w:sz="4" w:space="0" w:color="auto"/>
            </w:tcBorders>
            <w:shd w:val="clear" w:color="auto" w:fill="auto"/>
            <w:vAlign w:val="center"/>
          </w:tcPr>
          <w:p w14:paraId="2E4C1B16" w14:textId="77777777" w:rsidR="009021F1" w:rsidRPr="009D55A6" w:rsidRDefault="009021F1" w:rsidP="00E637E3">
            <w:pPr>
              <w:autoSpaceDE w:val="0"/>
              <w:autoSpaceDN w:val="0"/>
              <w:adjustRightInd w:val="0"/>
              <w:jc w:val="left"/>
              <w:rPr>
                <w:rFonts w:cs="Arial"/>
                <w:sz w:val="20"/>
                <w:szCs w:val="20"/>
              </w:rPr>
            </w:pPr>
            <w:r w:rsidRPr="009D55A6">
              <w:rPr>
                <w:rFonts w:cs="Arial"/>
                <w:sz w:val="20"/>
                <w:szCs w:val="20"/>
              </w:rPr>
              <w:t>Ses principaux objectifs sont : la conservation de la diversité biologique, l'utilisation durable de ses éléments et le partage juste et équitable des avantages découlant de l'exploitation des ressources génétiques</w:t>
            </w:r>
          </w:p>
        </w:tc>
        <w:tc>
          <w:tcPr>
            <w:tcW w:w="2353" w:type="dxa"/>
            <w:tcBorders>
              <w:top w:val="nil"/>
              <w:left w:val="nil"/>
              <w:bottom w:val="single" w:sz="4" w:space="0" w:color="auto"/>
              <w:right w:val="single" w:sz="4" w:space="0" w:color="auto"/>
            </w:tcBorders>
            <w:shd w:val="clear" w:color="auto" w:fill="auto"/>
            <w:vAlign w:val="center"/>
          </w:tcPr>
          <w:p w14:paraId="38B7E64C" w14:textId="77777777" w:rsidR="009021F1" w:rsidRPr="009D55A6" w:rsidRDefault="009021F1" w:rsidP="00E637E3">
            <w:pPr>
              <w:autoSpaceDE w:val="0"/>
              <w:autoSpaceDN w:val="0"/>
              <w:adjustRightInd w:val="0"/>
              <w:jc w:val="left"/>
              <w:rPr>
                <w:rFonts w:cs="Arial"/>
                <w:sz w:val="20"/>
                <w:szCs w:val="20"/>
              </w:rPr>
            </w:pPr>
            <w:r w:rsidRPr="009D55A6">
              <w:rPr>
                <w:rFonts w:cs="Arial"/>
                <w:sz w:val="20"/>
                <w:szCs w:val="20"/>
              </w:rPr>
              <w:t>Rio de Janeiro (Brésil) 4 juin 1994.</w:t>
            </w:r>
          </w:p>
        </w:tc>
        <w:tc>
          <w:tcPr>
            <w:tcW w:w="5499" w:type="dxa"/>
            <w:shd w:val="clear" w:color="auto" w:fill="auto"/>
          </w:tcPr>
          <w:p w14:paraId="020ABA25" w14:textId="77777777" w:rsidR="009021F1" w:rsidRPr="009D55A6" w:rsidRDefault="009021F1" w:rsidP="00E637E3">
            <w:pPr>
              <w:autoSpaceDE w:val="0"/>
              <w:autoSpaceDN w:val="0"/>
              <w:adjustRightInd w:val="0"/>
              <w:rPr>
                <w:rFonts w:cs="Arial"/>
                <w:sz w:val="20"/>
                <w:szCs w:val="20"/>
              </w:rPr>
            </w:pPr>
            <w:r w:rsidRPr="009D55A6">
              <w:rPr>
                <w:rFonts w:cs="Arial"/>
                <w:sz w:val="20"/>
                <w:szCs w:val="20"/>
              </w:rPr>
              <w:t>Etant donné que les activités des sous-projets du PNDA risquent d’empiéter les aires protégées et les rivières et le lac qui regorgent une diversité biologique, le CGES prévoit des mesures conformes à la NES n°6.</w:t>
            </w:r>
          </w:p>
        </w:tc>
      </w:tr>
      <w:tr w:rsidR="009021F1" w:rsidRPr="001E4043" w14:paraId="514ADB23" w14:textId="77777777" w:rsidTr="00E637E3">
        <w:tc>
          <w:tcPr>
            <w:tcW w:w="2694" w:type="dxa"/>
            <w:tcBorders>
              <w:top w:val="nil"/>
              <w:left w:val="single" w:sz="4" w:space="0" w:color="auto"/>
              <w:bottom w:val="single" w:sz="4" w:space="0" w:color="auto"/>
              <w:right w:val="single" w:sz="4" w:space="0" w:color="auto"/>
            </w:tcBorders>
            <w:shd w:val="clear" w:color="auto" w:fill="auto"/>
            <w:vAlign w:val="center"/>
          </w:tcPr>
          <w:p w14:paraId="70C5A46C" w14:textId="77777777" w:rsidR="009021F1" w:rsidRPr="009D55A6" w:rsidRDefault="009021F1" w:rsidP="00E637E3">
            <w:pPr>
              <w:autoSpaceDE w:val="0"/>
              <w:autoSpaceDN w:val="0"/>
              <w:adjustRightInd w:val="0"/>
              <w:jc w:val="left"/>
              <w:rPr>
                <w:rFonts w:cs="Arial"/>
                <w:sz w:val="20"/>
                <w:szCs w:val="20"/>
              </w:rPr>
            </w:pPr>
            <w:r w:rsidRPr="009D55A6">
              <w:rPr>
                <w:rFonts w:cs="Arial"/>
                <w:sz w:val="20"/>
                <w:szCs w:val="20"/>
              </w:rPr>
              <w:t xml:space="preserve">Convention de Rotterdam sur la procédure de consentement préalable en connaissance de cause applicable à certains produits chimiques et pesticides dangereux qui font l’objet d’un commerce international </w:t>
            </w:r>
          </w:p>
        </w:tc>
        <w:tc>
          <w:tcPr>
            <w:tcW w:w="4301" w:type="dxa"/>
            <w:tcBorders>
              <w:top w:val="nil"/>
              <w:left w:val="nil"/>
              <w:bottom w:val="single" w:sz="4" w:space="0" w:color="auto"/>
              <w:right w:val="single" w:sz="4" w:space="0" w:color="auto"/>
            </w:tcBorders>
            <w:shd w:val="clear" w:color="auto" w:fill="auto"/>
            <w:vAlign w:val="center"/>
          </w:tcPr>
          <w:p w14:paraId="6941C515" w14:textId="77777777" w:rsidR="009021F1" w:rsidRPr="009D55A6" w:rsidRDefault="009021F1" w:rsidP="00E637E3">
            <w:pPr>
              <w:autoSpaceDE w:val="0"/>
              <w:autoSpaceDN w:val="0"/>
              <w:adjustRightInd w:val="0"/>
              <w:jc w:val="left"/>
              <w:rPr>
                <w:rFonts w:cs="Arial"/>
                <w:sz w:val="20"/>
                <w:szCs w:val="20"/>
              </w:rPr>
            </w:pPr>
            <w:r w:rsidRPr="009D55A6">
              <w:rPr>
                <w:rFonts w:cs="Arial"/>
                <w:sz w:val="20"/>
                <w:szCs w:val="20"/>
              </w:rPr>
              <w:t>La présente Convention a pour but d'encourager le partage des responsabilités et la coopération entre Parties dans le domaine du commerce international de certains produits chimiques dangereux, afin de protéger la santé des personnes et l'environnement contre des dommages éventuels</w:t>
            </w:r>
          </w:p>
        </w:tc>
        <w:tc>
          <w:tcPr>
            <w:tcW w:w="2353" w:type="dxa"/>
            <w:tcBorders>
              <w:top w:val="nil"/>
              <w:left w:val="nil"/>
              <w:bottom w:val="single" w:sz="4" w:space="0" w:color="auto"/>
              <w:right w:val="single" w:sz="4" w:space="0" w:color="auto"/>
            </w:tcBorders>
            <w:shd w:val="clear" w:color="auto" w:fill="auto"/>
            <w:vAlign w:val="center"/>
          </w:tcPr>
          <w:p w14:paraId="1B32AE97" w14:textId="77777777" w:rsidR="009021F1" w:rsidRPr="009D55A6" w:rsidRDefault="009021F1" w:rsidP="00E637E3">
            <w:pPr>
              <w:autoSpaceDE w:val="0"/>
              <w:autoSpaceDN w:val="0"/>
              <w:adjustRightInd w:val="0"/>
              <w:jc w:val="left"/>
              <w:rPr>
                <w:rFonts w:cs="Arial"/>
                <w:sz w:val="20"/>
                <w:szCs w:val="20"/>
              </w:rPr>
            </w:pPr>
            <w:r w:rsidRPr="009D55A6">
              <w:rPr>
                <w:rFonts w:cs="Arial"/>
                <w:sz w:val="20"/>
                <w:szCs w:val="20"/>
              </w:rPr>
              <w:t>Rotterdam, septembre 1998</w:t>
            </w:r>
          </w:p>
        </w:tc>
        <w:tc>
          <w:tcPr>
            <w:tcW w:w="5499" w:type="dxa"/>
            <w:shd w:val="clear" w:color="auto" w:fill="auto"/>
          </w:tcPr>
          <w:p w14:paraId="0260A948" w14:textId="77777777" w:rsidR="009021F1" w:rsidRPr="009D55A6" w:rsidRDefault="009021F1" w:rsidP="00E637E3">
            <w:pPr>
              <w:autoSpaceDE w:val="0"/>
              <w:autoSpaceDN w:val="0"/>
              <w:adjustRightInd w:val="0"/>
              <w:rPr>
                <w:rFonts w:cs="Arial"/>
                <w:sz w:val="20"/>
                <w:szCs w:val="20"/>
              </w:rPr>
            </w:pPr>
            <w:r w:rsidRPr="009D55A6">
              <w:rPr>
                <w:rFonts w:cs="Arial"/>
                <w:sz w:val="20"/>
                <w:szCs w:val="20"/>
              </w:rPr>
              <w:t xml:space="preserve">La mise en œuvre des sous-projets agricoles du PNDA va induire à l’utilisation certains produits chimiques et pesticides dangereux. Le présent CGES recommande l’élaboration du PGP conformément à la NES n°3 : </w:t>
            </w:r>
            <w:r w:rsidRPr="009D55A6">
              <w:rPr>
                <w:rFonts w:cs="Arial"/>
                <w:i/>
                <w:sz w:val="20"/>
                <w:szCs w:val="20"/>
              </w:rPr>
              <w:t>Utilisation rationnelle des ressources et prévention et gestion de la pollution.</w:t>
            </w:r>
          </w:p>
        </w:tc>
      </w:tr>
      <w:tr w:rsidR="009021F1" w:rsidRPr="001E4043" w14:paraId="76CCC895" w14:textId="77777777" w:rsidTr="00E637E3">
        <w:tc>
          <w:tcPr>
            <w:tcW w:w="2694" w:type="dxa"/>
            <w:tcBorders>
              <w:top w:val="nil"/>
              <w:left w:val="single" w:sz="4" w:space="0" w:color="auto"/>
              <w:bottom w:val="single" w:sz="4" w:space="0" w:color="auto"/>
              <w:right w:val="single" w:sz="4" w:space="0" w:color="auto"/>
            </w:tcBorders>
            <w:shd w:val="clear" w:color="auto" w:fill="auto"/>
            <w:vAlign w:val="center"/>
          </w:tcPr>
          <w:p w14:paraId="3FC5BF75" w14:textId="77777777" w:rsidR="009021F1" w:rsidRPr="009D55A6" w:rsidRDefault="009021F1" w:rsidP="00E637E3">
            <w:pPr>
              <w:autoSpaceDE w:val="0"/>
              <w:autoSpaceDN w:val="0"/>
              <w:adjustRightInd w:val="0"/>
              <w:rPr>
                <w:rFonts w:cs="Arial"/>
                <w:sz w:val="20"/>
                <w:szCs w:val="20"/>
              </w:rPr>
            </w:pPr>
            <w:r w:rsidRPr="009D55A6">
              <w:rPr>
                <w:rFonts w:cs="Arial"/>
                <w:sz w:val="20"/>
                <w:szCs w:val="20"/>
              </w:rPr>
              <w:t xml:space="preserve">Convention de Stockholm sur les polluants organiques persistants </w:t>
            </w:r>
          </w:p>
        </w:tc>
        <w:tc>
          <w:tcPr>
            <w:tcW w:w="4301" w:type="dxa"/>
            <w:tcBorders>
              <w:top w:val="nil"/>
              <w:left w:val="nil"/>
              <w:bottom w:val="single" w:sz="4" w:space="0" w:color="auto"/>
              <w:right w:val="single" w:sz="4" w:space="0" w:color="auto"/>
            </w:tcBorders>
            <w:shd w:val="clear" w:color="auto" w:fill="auto"/>
            <w:vAlign w:val="center"/>
          </w:tcPr>
          <w:p w14:paraId="204ED202" w14:textId="77777777" w:rsidR="009021F1" w:rsidRPr="009D55A6" w:rsidRDefault="009021F1" w:rsidP="00E637E3">
            <w:pPr>
              <w:autoSpaceDE w:val="0"/>
              <w:autoSpaceDN w:val="0"/>
              <w:adjustRightInd w:val="0"/>
              <w:jc w:val="left"/>
              <w:rPr>
                <w:rFonts w:cs="Arial"/>
                <w:sz w:val="20"/>
                <w:szCs w:val="20"/>
              </w:rPr>
            </w:pPr>
            <w:r w:rsidRPr="009D55A6">
              <w:rPr>
                <w:rFonts w:cs="Arial"/>
                <w:sz w:val="20"/>
                <w:szCs w:val="20"/>
              </w:rPr>
              <w:t>Ce traité mondial a pour objectif de protéger la santé humaine et l'environnement des conséquences néfastes des polluants organiques persistants (POP). Il vise à limiter et, à terme, à éliminer leur production, utilisation, commerce, rejet et stockage intentionnels ou non intentionnels</w:t>
            </w:r>
          </w:p>
        </w:tc>
        <w:tc>
          <w:tcPr>
            <w:tcW w:w="2353" w:type="dxa"/>
            <w:tcBorders>
              <w:top w:val="nil"/>
              <w:left w:val="nil"/>
              <w:bottom w:val="single" w:sz="4" w:space="0" w:color="auto"/>
              <w:right w:val="single" w:sz="4" w:space="0" w:color="auto"/>
            </w:tcBorders>
            <w:shd w:val="clear" w:color="auto" w:fill="auto"/>
            <w:vAlign w:val="center"/>
          </w:tcPr>
          <w:p w14:paraId="0ADB5CCA" w14:textId="77777777" w:rsidR="009021F1" w:rsidRPr="009D55A6" w:rsidRDefault="009021F1" w:rsidP="00E637E3">
            <w:pPr>
              <w:autoSpaceDE w:val="0"/>
              <w:autoSpaceDN w:val="0"/>
              <w:adjustRightInd w:val="0"/>
              <w:jc w:val="left"/>
              <w:rPr>
                <w:rFonts w:cs="Arial"/>
                <w:sz w:val="20"/>
                <w:szCs w:val="20"/>
              </w:rPr>
            </w:pPr>
            <w:r w:rsidRPr="009D55A6">
              <w:rPr>
                <w:rFonts w:cs="Arial"/>
                <w:sz w:val="20"/>
                <w:szCs w:val="20"/>
              </w:rPr>
              <w:t>Stockholm, 22 mai 2001</w:t>
            </w:r>
          </w:p>
        </w:tc>
        <w:tc>
          <w:tcPr>
            <w:tcW w:w="5499" w:type="dxa"/>
            <w:shd w:val="clear" w:color="auto" w:fill="auto"/>
          </w:tcPr>
          <w:p w14:paraId="1C835E7E" w14:textId="77777777" w:rsidR="009021F1" w:rsidRPr="009D55A6" w:rsidRDefault="009021F1" w:rsidP="00E637E3">
            <w:pPr>
              <w:autoSpaceDE w:val="0"/>
              <w:autoSpaceDN w:val="0"/>
              <w:adjustRightInd w:val="0"/>
              <w:rPr>
                <w:rFonts w:cs="Arial"/>
                <w:sz w:val="20"/>
                <w:szCs w:val="20"/>
              </w:rPr>
            </w:pPr>
            <w:r w:rsidRPr="009D55A6">
              <w:rPr>
                <w:rFonts w:cs="Arial"/>
                <w:sz w:val="20"/>
                <w:szCs w:val="20"/>
              </w:rPr>
              <w:t xml:space="preserve">La mise en œuvre des sous-projets agricoles du PNDA risque d’induire à l’utilisation certains produits chimiques et pesticides dangereux, des PCB et des hydrocarbures. Le présent CGES recommande l’élaboration du PGP conformément à la NES n°3 : </w:t>
            </w:r>
            <w:r w:rsidRPr="009D55A6">
              <w:rPr>
                <w:rFonts w:cs="Arial"/>
                <w:i/>
                <w:sz w:val="20"/>
                <w:szCs w:val="20"/>
              </w:rPr>
              <w:t>Utilisation rationnelle des ressources et prévention et gestion de la pollution.</w:t>
            </w:r>
          </w:p>
        </w:tc>
      </w:tr>
      <w:tr w:rsidR="009021F1" w:rsidRPr="001E4043" w14:paraId="0F02D49B" w14:textId="77777777" w:rsidTr="00E637E3">
        <w:tc>
          <w:tcPr>
            <w:tcW w:w="2694" w:type="dxa"/>
            <w:tcBorders>
              <w:top w:val="nil"/>
              <w:left w:val="single" w:sz="4" w:space="0" w:color="auto"/>
              <w:bottom w:val="single" w:sz="4" w:space="0" w:color="auto"/>
              <w:right w:val="single" w:sz="4" w:space="0" w:color="auto"/>
            </w:tcBorders>
            <w:shd w:val="clear" w:color="auto" w:fill="auto"/>
            <w:vAlign w:val="center"/>
          </w:tcPr>
          <w:p w14:paraId="293800E7" w14:textId="77777777" w:rsidR="009021F1" w:rsidRPr="009D55A6" w:rsidRDefault="009021F1" w:rsidP="00E637E3">
            <w:pPr>
              <w:autoSpaceDE w:val="0"/>
              <w:autoSpaceDN w:val="0"/>
              <w:adjustRightInd w:val="0"/>
              <w:rPr>
                <w:rFonts w:cs="Arial"/>
                <w:sz w:val="20"/>
                <w:szCs w:val="20"/>
              </w:rPr>
            </w:pPr>
            <w:r w:rsidRPr="009D55A6">
              <w:rPr>
                <w:rFonts w:cs="Arial"/>
                <w:sz w:val="20"/>
                <w:szCs w:val="20"/>
              </w:rPr>
              <w:t>Autorité du Bassin du Lac Kivu et de la Rivière Ruzizi (ABAKIR)</w:t>
            </w:r>
          </w:p>
        </w:tc>
        <w:tc>
          <w:tcPr>
            <w:tcW w:w="4301" w:type="dxa"/>
            <w:tcBorders>
              <w:top w:val="nil"/>
              <w:left w:val="nil"/>
              <w:bottom w:val="single" w:sz="4" w:space="0" w:color="auto"/>
              <w:right w:val="single" w:sz="4" w:space="0" w:color="auto"/>
            </w:tcBorders>
            <w:shd w:val="clear" w:color="auto" w:fill="auto"/>
            <w:vAlign w:val="center"/>
          </w:tcPr>
          <w:p w14:paraId="648772A9" w14:textId="77777777" w:rsidR="009021F1" w:rsidRPr="009D55A6" w:rsidRDefault="009021F1" w:rsidP="00E637E3">
            <w:pPr>
              <w:autoSpaceDE w:val="0"/>
              <w:autoSpaceDN w:val="0"/>
              <w:adjustRightInd w:val="0"/>
              <w:jc w:val="left"/>
              <w:rPr>
                <w:rFonts w:cs="Arial"/>
                <w:sz w:val="20"/>
                <w:szCs w:val="20"/>
              </w:rPr>
            </w:pPr>
            <w:r w:rsidRPr="009D55A6">
              <w:rPr>
                <w:rFonts w:cs="Arial"/>
                <w:sz w:val="20"/>
                <w:szCs w:val="20"/>
              </w:rPr>
              <w:t>Mettre en œuvre une politique de coopération de développement durable et de stabilisation de la Région des Grands Lacs à travers la gestion intégrée des ressources en eau du bassin du Lac Kivu et de la Rivière Ruzizi, dans toutes ses dimensions (énergétique, agriculture, pêche, transport lacustre, tourisme, biodiversité, etc.)</w:t>
            </w:r>
          </w:p>
        </w:tc>
        <w:tc>
          <w:tcPr>
            <w:tcW w:w="2353" w:type="dxa"/>
            <w:tcBorders>
              <w:top w:val="nil"/>
              <w:left w:val="nil"/>
              <w:bottom w:val="single" w:sz="4" w:space="0" w:color="auto"/>
              <w:right w:val="single" w:sz="4" w:space="0" w:color="auto"/>
            </w:tcBorders>
            <w:shd w:val="clear" w:color="auto" w:fill="auto"/>
            <w:vAlign w:val="center"/>
          </w:tcPr>
          <w:p w14:paraId="3B46A7F1" w14:textId="77777777" w:rsidR="009021F1" w:rsidRPr="009D55A6" w:rsidRDefault="009021F1" w:rsidP="00E637E3">
            <w:pPr>
              <w:autoSpaceDE w:val="0"/>
              <w:autoSpaceDN w:val="0"/>
              <w:adjustRightInd w:val="0"/>
              <w:jc w:val="left"/>
              <w:rPr>
                <w:rFonts w:cs="Arial"/>
                <w:sz w:val="20"/>
                <w:szCs w:val="20"/>
              </w:rPr>
            </w:pPr>
            <w:r w:rsidRPr="009D55A6">
              <w:rPr>
                <w:rFonts w:cs="Arial"/>
                <w:sz w:val="20"/>
                <w:szCs w:val="20"/>
              </w:rPr>
              <w:t>Kinshasa, 04 novembre 2014</w:t>
            </w:r>
          </w:p>
        </w:tc>
        <w:tc>
          <w:tcPr>
            <w:tcW w:w="5499" w:type="dxa"/>
            <w:shd w:val="clear" w:color="auto" w:fill="auto"/>
          </w:tcPr>
          <w:p w14:paraId="20A5ADA2" w14:textId="77777777" w:rsidR="009021F1" w:rsidRPr="009D55A6" w:rsidRDefault="009021F1" w:rsidP="00E637E3">
            <w:pPr>
              <w:autoSpaceDE w:val="0"/>
              <w:autoSpaceDN w:val="0"/>
              <w:adjustRightInd w:val="0"/>
              <w:rPr>
                <w:rFonts w:cs="Arial"/>
                <w:sz w:val="20"/>
                <w:szCs w:val="20"/>
              </w:rPr>
            </w:pPr>
            <w:r w:rsidRPr="009D55A6">
              <w:rPr>
                <w:rFonts w:cs="Arial"/>
                <w:sz w:val="20"/>
                <w:szCs w:val="20"/>
              </w:rPr>
              <w:t>La mise en œuvre des sous-projets agricoles du PNDA dans le Province du Nord-Kivu risque d’impacter sur le lac Kivu qui l’une des ressources régionales entre le Rwanda et la RDC. Le présent CGES prévoit des mesures pour la protection des écosystèmes marines conformément à la NES n°6 et l’OP/B.P 7.50 relative aux cours d’eau internationales</w:t>
            </w:r>
          </w:p>
        </w:tc>
      </w:tr>
      <w:tr w:rsidR="009021F1" w:rsidRPr="001E4043" w14:paraId="144C54A2" w14:textId="77777777" w:rsidTr="00E637E3">
        <w:tc>
          <w:tcPr>
            <w:tcW w:w="2694" w:type="dxa"/>
            <w:tcBorders>
              <w:top w:val="nil"/>
              <w:left w:val="single" w:sz="4" w:space="0" w:color="auto"/>
              <w:bottom w:val="single" w:sz="4" w:space="0" w:color="auto"/>
              <w:right w:val="single" w:sz="4" w:space="0" w:color="auto"/>
            </w:tcBorders>
            <w:shd w:val="clear" w:color="auto" w:fill="auto"/>
            <w:vAlign w:val="center"/>
          </w:tcPr>
          <w:p w14:paraId="7AA2ECFC" w14:textId="77777777" w:rsidR="009021F1" w:rsidRPr="009D55A6" w:rsidRDefault="009021F1" w:rsidP="00E637E3">
            <w:pPr>
              <w:autoSpaceDE w:val="0"/>
              <w:autoSpaceDN w:val="0"/>
              <w:adjustRightInd w:val="0"/>
              <w:jc w:val="left"/>
              <w:rPr>
                <w:rFonts w:cs="Arial"/>
                <w:sz w:val="20"/>
                <w:szCs w:val="20"/>
              </w:rPr>
            </w:pPr>
            <w:r w:rsidRPr="009D55A6">
              <w:rPr>
                <w:rFonts w:cs="Arial"/>
                <w:sz w:val="20"/>
                <w:szCs w:val="20"/>
              </w:rPr>
              <w:t>Accord instituant un Régime Fluvial Uniforme et créant la Commission Internationale du Bassin Congo-Oubangui-Sangha (CICOS).</w:t>
            </w:r>
          </w:p>
        </w:tc>
        <w:tc>
          <w:tcPr>
            <w:tcW w:w="4301" w:type="dxa"/>
            <w:tcBorders>
              <w:top w:val="nil"/>
              <w:left w:val="nil"/>
              <w:bottom w:val="single" w:sz="4" w:space="0" w:color="auto"/>
              <w:right w:val="single" w:sz="4" w:space="0" w:color="auto"/>
            </w:tcBorders>
            <w:shd w:val="clear" w:color="auto" w:fill="auto"/>
            <w:vAlign w:val="center"/>
          </w:tcPr>
          <w:p w14:paraId="576A85F8" w14:textId="77777777" w:rsidR="009021F1" w:rsidRPr="009D55A6" w:rsidRDefault="009021F1" w:rsidP="00E637E3">
            <w:pPr>
              <w:autoSpaceDE w:val="0"/>
              <w:autoSpaceDN w:val="0"/>
              <w:adjustRightInd w:val="0"/>
              <w:rPr>
                <w:rFonts w:cs="Arial"/>
                <w:sz w:val="20"/>
                <w:szCs w:val="20"/>
              </w:rPr>
            </w:pPr>
            <w:r w:rsidRPr="009D55A6">
              <w:rPr>
                <w:rFonts w:cs="Arial"/>
                <w:sz w:val="20"/>
                <w:szCs w:val="20"/>
              </w:rPr>
              <w:t xml:space="preserve">Cet Accord a pour objet : </w:t>
            </w:r>
          </w:p>
          <w:p w14:paraId="2CA24FD7" w14:textId="77777777" w:rsidR="009021F1" w:rsidRPr="009D55A6" w:rsidRDefault="009021F1" w:rsidP="00E637E3">
            <w:pPr>
              <w:pStyle w:val="Paragraphedeliste"/>
              <w:numPr>
                <w:ilvl w:val="0"/>
                <w:numId w:val="103"/>
              </w:numPr>
              <w:autoSpaceDE w:val="0"/>
              <w:autoSpaceDN w:val="0"/>
              <w:adjustRightInd w:val="0"/>
              <w:jc w:val="left"/>
              <w:rPr>
                <w:rFonts w:cs="Arial"/>
                <w:sz w:val="20"/>
                <w:szCs w:val="20"/>
              </w:rPr>
            </w:pPr>
            <w:r w:rsidRPr="009D55A6">
              <w:rPr>
                <w:rFonts w:cs="Arial"/>
                <w:sz w:val="20"/>
                <w:szCs w:val="20"/>
              </w:rPr>
              <w:t>D’instituer un régime fluvial uniforme de navigation sur la base des principes de liberté et d'égalité de traitement ;</w:t>
            </w:r>
          </w:p>
          <w:p w14:paraId="69DDAF4A" w14:textId="77777777" w:rsidR="009021F1" w:rsidRPr="009D55A6" w:rsidRDefault="009021F1" w:rsidP="00E637E3">
            <w:pPr>
              <w:pStyle w:val="Paragraphedeliste"/>
              <w:numPr>
                <w:ilvl w:val="0"/>
                <w:numId w:val="103"/>
              </w:numPr>
              <w:autoSpaceDE w:val="0"/>
              <w:autoSpaceDN w:val="0"/>
              <w:adjustRightInd w:val="0"/>
              <w:jc w:val="left"/>
              <w:rPr>
                <w:rFonts w:cs="Arial"/>
                <w:sz w:val="20"/>
                <w:szCs w:val="20"/>
              </w:rPr>
            </w:pPr>
            <w:r w:rsidRPr="009D55A6">
              <w:rPr>
                <w:rFonts w:cs="Arial"/>
                <w:sz w:val="20"/>
                <w:szCs w:val="20"/>
              </w:rPr>
              <w:t>D’aménager et d'exploiter le fleuve et les cours d'eau du Bassin dans le respect des principes de liberté de navigation, d'égalité de traitement des usagers, du droit de participation équitable et raisonnable aux avantages tirés de l'utilisation durable des eaux ;</w:t>
            </w:r>
          </w:p>
          <w:p w14:paraId="789A8EF5" w14:textId="77777777" w:rsidR="009021F1" w:rsidRPr="009D55A6" w:rsidRDefault="009021F1" w:rsidP="00E637E3">
            <w:pPr>
              <w:pStyle w:val="Paragraphedeliste"/>
              <w:autoSpaceDE w:val="0"/>
              <w:autoSpaceDN w:val="0"/>
              <w:adjustRightInd w:val="0"/>
              <w:ind w:left="644"/>
              <w:jc w:val="left"/>
              <w:rPr>
                <w:rFonts w:cs="Arial"/>
                <w:sz w:val="20"/>
                <w:szCs w:val="20"/>
              </w:rPr>
            </w:pPr>
          </w:p>
        </w:tc>
        <w:tc>
          <w:tcPr>
            <w:tcW w:w="2353" w:type="dxa"/>
            <w:tcBorders>
              <w:top w:val="nil"/>
              <w:left w:val="nil"/>
              <w:bottom w:val="single" w:sz="4" w:space="0" w:color="auto"/>
              <w:right w:val="single" w:sz="4" w:space="0" w:color="auto"/>
            </w:tcBorders>
            <w:shd w:val="clear" w:color="auto" w:fill="auto"/>
            <w:vAlign w:val="center"/>
          </w:tcPr>
          <w:p w14:paraId="5C6B4E7B" w14:textId="77777777" w:rsidR="009021F1" w:rsidRPr="009D55A6" w:rsidRDefault="009021F1" w:rsidP="00E637E3">
            <w:pPr>
              <w:autoSpaceDE w:val="0"/>
              <w:autoSpaceDN w:val="0"/>
              <w:adjustRightInd w:val="0"/>
              <w:jc w:val="left"/>
              <w:rPr>
                <w:rFonts w:cs="Arial"/>
                <w:sz w:val="20"/>
                <w:szCs w:val="20"/>
              </w:rPr>
            </w:pPr>
            <w:r w:rsidRPr="009D55A6">
              <w:rPr>
                <w:rFonts w:cs="Arial"/>
                <w:sz w:val="20"/>
                <w:szCs w:val="20"/>
              </w:rPr>
              <w:t>Brazzaville, 06 novembre 1999</w:t>
            </w:r>
          </w:p>
        </w:tc>
        <w:tc>
          <w:tcPr>
            <w:tcW w:w="5499" w:type="dxa"/>
            <w:shd w:val="clear" w:color="auto" w:fill="auto"/>
          </w:tcPr>
          <w:p w14:paraId="1BAE99BB" w14:textId="77777777" w:rsidR="009021F1" w:rsidRPr="009D55A6" w:rsidRDefault="009021F1" w:rsidP="00E637E3">
            <w:pPr>
              <w:autoSpaceDE w:val="0"/>
              <w:autoSpaceDN w:val="0"/>
              <w:adjustRightInd w:val="0"/>
              <w:rPr>
                <w:rFonts w:cs="Arial"/>
                <w:sz w:val="20"/>
                <w:szCs w:val="20"/>
              </w:rPr>
            </w:pPr>
            <w:r w:rsidRPr="009D55A6">
              <w:rPr>
                <w:rFonts w:cs="Arial"/>
                <w:sz w:val="20"/>
                <w:szCs w:val="20"/>
              </w:rPr>
              <w:t>La mise en œuvre des sous-projets agricoles du PNDA dans le Province du Kongo central traversée par le Fleuve Congo qui partage les frontières avec la Congo Brazza et la République d’Angola risque d’impacter sur les rivières affluentes du Fleuve Congo et le Fleuve Congo lui-même qui traverse toute la province pour se jeter dans l’océan. Le présent CGES prévoit des mesures pour la protection de l’OP/B.P 7.50 relative aux cours d’eau internationales. Le PNDA devra envoyer une notification aux états riverains avec toutes les informations sur le Programme y compris celles sur les études d’impact des activités du projet sur ce bassin versant. Le destinataire de la notification dans ce sera la Commission Internationale du Bassin Congo-Oubangui-Sangha (CICOS).</w:t>
            </w:r>
          </w:p>
        </w:tc>
      </w:tr>
      <w:tr w:rsidR="009021F1" w:rsidRPr="001E4043" w14:paraId="21B9D004" w14:textId="77777777" w:rsidTr="00E637E3">
        <w:tc>
          <w:tcPr>
            <w:tcW w:w="2694" w:type="dxa"/>
            <w:tcBorders>
              <w:top w:val="nil"/>
              <w:left w:val="single" w:sz="4" w:space="0" w:color="auto"/>
              <w:bottom w:val="single" w:sz="4" w:space="0" w:color="auto"/>
              <w:right w:val="single" w:sz="4" w:space="0" w:color="auto"/>
            </w:tcBorders>
            <w:shd w:val="clear" w:color="auto" w:fill="auto"/>
            <w:vAlign w:val="center"/>
          </w:tcPr>
          <w:p w14:paraId="4F577915" w14:textId="77777777" w:rsidR="009021F1" w:rsidRPr="009D55A6" w:rsidRDefault="009021F1" w:rsidP="00E637E3">
            <w:pPr>
              <w:autoSpaceDE w:val="0"/>
              <w:autoSpaceDN w:val="0"/>
              <w:adjustRightInd w:val="0"/>
              <w:jc w:val="left"/>
              <w:rPr>
                <w:rFonts w:cs="Arial"/>
                <w:sz w:val="20"/>
                <w:szCs w:val="20"/>
              </w:rPr>
            </w:pPr>
            <w:r w:rsidRPr="009D55A6">
              <w:rPr>
                <w:rFonts w:cs="Arial"/>
                <w:sz w:val="20"/>
                <w:szCs w:val="20"/>
              </w:rPr>
              <w:t>Convention N° 111 concernant la discrimination (emploi profession)</w:t>
            </w:r>
          </w:p>
        </w:tc>
        <w:tc>
          <w:tcPr>
            <w:tcW w:w="4301" w:type="dxa"/>
            <w:tcBorders>
              <w:top w:val="nil"/>
              <w:left w:val="nil"/>
              <w:bottom w:val="single" w:sz="4" w:space="0" w:color="auto"/>
              <w:right w:val="single" w:sz="4" w:space="0" w:color="auto"/>
            </w:tcBorders>
            <w:shd w:val="clear" w:color="auto" w:fill="auto"/>
            <w:vAlign w:val="center"/>
          </w:tcPr>
          <w:p w14:paraId="69CCF73D" w14:textId="77777777" w:rsidR="009021F1" w:rsidRPr="009D55A6" w:rsidRDefault="009021F1" w:rsidP="00E637E3">
            <w:pPr>
              <w:autoSpaceDE w:val="0"/>
              <w:autoSpaceDN w:val="0"/>
              <w:adjustRightInd w:val="0"/>
              <w:rPr>
                <w:rFonts w:cs="Arial"/>
                <w:sz w:val="20"/>
                <w:szCs w:val="20"/>
              </w:rPr>
            </w:pPr>
            <w:r w:rsidRPr="009D55A6">
              <w:rPr>
                <w:rFonts w:cs="Arial"/>
                <w:sz w:val="20"/>
                <w:szCs w:val="20"/>
              </w:rPr>
              <w:t>Cette Convention lutte contre la discrimination en matière d'emploi et de profession. la discrimination constitue une violation de droits énoncés dans la Déclaration universelle des droits de l'homme</w:t>
            </w:r>
          </w:p>
        </w:tc>
        <w:tc>
          <w:tcPr>
            <w:tcW w:w="2353" w:type="dxa"/>
            <w:tcBorders>
              <w:top w:val="nil"/>
              <w:left w:val="nil"/>
              <w:bottom w:val="single" w:sz="4" w:space="0" w:color="auto"/>
              <w:right w:val="single" w:sz="4" w:space="0" w:color="auto"/>
            </w:tcBorders>
            <w:shd w:val="clear" w:color="auto" w:fill="auto"/>
            <w:vAlign w:val="center"/>
          </w:tcPr>
          <w:p w14:paraId="7735CC7A" w14:textId="77777777" w:rsidR="009021F1" w:rsidRPr="009D55A6" w:rsidRDefault="009021F1" w:rsidP="00E637E3">
            <w:pPr>
              <w:autoSpaceDE w:val="0"/>
              <w:autoSpaceDN w:val="0"/>
              <w:adjustRightInd w:val="0"/>
              <w:jc w:val="left"/>
              <w:rPr>
                <w:rFonts w:cs="Arial"/>
                <w:sz w:val="20"/>
                <w:szCs w:val="20"/>
              </w:rPr>
            </w:pPr>
            <w:r w:rsidRPr="009D55A6">
              <w:rPr>
                <w:rFonts w:cs="Arial"/>
                <w:sz w:val="20"/>
                <w:szCs w:val="20"/>
              </w:rPr>
              <w:t>Ratifiée le 20/06/2001</w:t>
            </w:r>
          </w:p>
        </w:tc>
        <w:tc>
          <w:tcPr>
            <w:tcW w:w="5499" w:type="dxa"/>
            <w:shd w:val="clear" w:color="auto" w:fill="auto"/>
          </w:tcPr>
          <w:p w14:paraId="65F2650C" w14:textId="77777777" w:rsidR="009021F1" w:rsidRPr="009D55A6" w:rsidRDefault="009021F1" w:rsidP="00E637E3">
            <w:pPr>
              <w:autoSpaceDE w:val="0"/>
              <w:autoSpaceDN w:val="0"/>
              <w:adjustRightInd w:val="0"/>
              <w:rPr>
                <w:rFonts w:cs="Arial"/>
                <w:sz w:val="20"/>
                <w:szCs w:val="20"/>
              </w:rPr>
            </w:pPr>
            <w:r w:rsidRPr="009D55A6">
              <w:rPr>
                <w:rFonts w:cs="Arial"/>
                <w:sz w:val="20"/>
                <w:szCs w:val="20"/>
              </w:rPr>
              <w:t xml:space="preserve">La discrimination désigne : </w:t>
            </w:r>
          </w:p>
          <w:p w14:paraId="1F1B5999" w14:textId="77777777" w:rsidR="009021F1" w:rsidRPr="009D55A6" w:rsidRDefault="009021F1" w:rsidP="00E637E3">
            <w:pPr>
              <w:pStyle w:val="Paragraphedeliste"/>
              <w:numPr>
                <w:ilvl w:val="0"/>
                <w:numId w:val="103"/>
              </w:numPr>
              <w:autoSpaceDE w:val="0"/>
              <w:autoSpaceDN w:val="0"/>
              <w:adjustRightInd w:val="0"/>
              <w:jc w:val="left"/>
              <w:rPr>
                <w:rFonts w:cs="Arial"/>
                <w:sz w:val="20"/>
                <w:szCs w:val="20"/>
              </w:rPr>
            </w:pPr>
            <w:r w:rsidRPr="009D55A6">
              <w:rPr>
                <w:rFonts w:cs="Arial"/>
                <w:sz w:val="20"/>
                <w:szCs w:val="20"/>
              </w:rPr>
              <w:t>toute distinction, exclusion ou préférence fondée sur la race, la couleur, le sexe, la religion, l'opinion politique, l'ascendance nationale ou l'origine sociale, qui a pour effet de détruire ou d'altérer l'égalité de chances ou de traitement en matière d'emploi ou de profession ;</w:t>
            </w:r>
          </w:p>
          <w:p w14:paraId="77490D0F" w14:textId="77777777" w:rsidR="009021F1" w:rsidRPr="009D55A6" w:rsidRDefault="009021F1" w:rsidP="00E637E3">
            <w:pPr>
              <w:pStyle w:val="Paragraphedeliste"/>
              <w:numPr>
                <w:ilvl w:val="0"/>
                <w:numId w:val="103"/>
              </w:numPr>
              <w:autoSpaceDE w:val="0"/>
              <w:autoSpaceDN w:val="0"/>
              <w:adjustRightInd w:val="0"/>
              <w:jc w:val="left"/>
              <w:rPr>
                <w:rFonts w:cs="Arial"/>
                <w:sz w:val="20"/>
                <w:szCs w:val="20"/>
              </w:rPr>
            </w:pPr>
            <w:r w:rsidRPr="009D55A6">
              <w:rPr>
                <w:rFonts w:cs="Arial"/>
                <w:sz w:val="20"/>
                <w:szCs w:val="20"/>
              </w:rPr>
              <w:t>toute autre distinction, exclusion ou préférence ayant pour effet de détruire ou d'altérer l'égalité de chances ou de traitement en matière d'emploi ou de profession, qui pourra être spécifiée par le Membre intéressé après consultation des organisations représentatives d'employeurs et de travailleurs, s'il en existe, et d'autres organismes appropriés.</w:t>
            </w:r>
          </w:p>
          <w:p w14:paraId="4886E76B" w14:textId="77777777" w:rsidR="009021F1" w:rsidRPr="009D55A6" w:rsidRDefault="009021F1" w:rsidP="00E637E3">
            <w:pPr>
              <w:autoSpaceDE w:val="0"/>
              <w:autoSpaceDN w:val="0"/>
              <w:adjustRightInd w:val="0"/>
              <w:jc w:val="left"/>
              <w:rPr>
                <w:rFonts w:cs="Arial"/>
                <w:sz w:val="20"/>
                <w:szCs w:val="20"/>
              </w:rPr>
            </w:pPr>
          </w:p>
          <w:p w14:paraId="7A68CE28" w14:textId="77777777" w:rsidR="009021F1" w:rsidRPr="009D55A6" w:rsidRDefault="009021F1" w:rsidP="00E637E3">
            <w:pPr>
              <w:autoSpaceDE w:val="0"/>
              <w:autoSpaceDN w:val="0"/>
              <w:adjustRightInd w:val="0"/>
              <w:jc w:val="left"/>
              <w:rPr>
                <w:rFonts w:cs="Arial"/>
                <w:sz w:val="20"/>
                <w:szCs w:val="20"/>
              </w:rPr>
            </w:pPr>
            <w:r w:rsidRPr="009D55A6">
              <w:rPr>
                <w:rFonts w:cs="Arial"/>
                <w:sz w:val="20"/>
                <w:szCs w:val="20"/>
              </w:rPr>
              <w:t>Le PNDA préconise des mesures d’atténuation et veillera au respect strict de la Convention conformément à la législation nationale et à la NES n°2 du CES de la Banque mondiale.</w:t>
            </w:r>
          </w:p>
        </w:tc>
      </w:tr>
      <w:tr w:rsidR="009021F1" w:rsidRPr="001E4043" w14:paraId="6DCA53B9" w14:textId="77777777" w:rsidTr="00E637E3">
        <w:tc>
          <w:tcPr>
            <w:tcW w:w="2694" w:type="dxa"/>
            <w:tcBorders>
              <w:top w:val="nil"/>
              <w:left w:val="single" w:sz="4" w:space="0" w:color="auto"/>
              <w:bottom w:val="single" w:sz="4" w:space="0" w:color="auto"/>
              <w:right w:val="single" w:sz="4" w:space="0" w:color="auto"/>
            </w:tcBorders>
            <w:shd w:val="clear" w:color="auto" w:fill="auto"/>
            <w:vAlign w:val="center"/>
          </w:tcPr>
          <w:p w14:paraId="706DEA1D" w14:textId="77777777" w:rsidR="009021F1" w:rsidRPr="009D55A6" w:rsidRDefault="009021F1" w:rsidP="00E637E3">
            <w:pPr>
              <w:autoSpaceDE w:val="0"/>
              <w:autoSpaceDN w:val="0"/>
              <w:adjustRightInd w:val="0"/>
              <w:rPr>
                <w:rFonts w:cs="Arial"/>
                <w:sz w:val="20"/>
                <w:szCs w:val="20"/>
              </w:rPr>
            </w:pPr>
            <w:r w:rsidRPr="009D55A6">
              <w:rPr>
                <w:rFonts w:cs="Arial"/>
                <w:sz w:val="20"/>
                <w:szCs w:val="20"/>
              </w:rPr>
              <w:t>La convention (n° 138) sur l’âge minimum de l’Organisation internationale du Travail (OIT)</w:t>
            </w:r>
          </w:p>
        </w:tc>
        <w:tc>
          <w:tcPr>
            <w:tcW w:w="4301" w:type="dxa"/>
            <w:tcBorders>
              <w:top w:val="nil"/>
              <w:left w:val="nil"/>
              <w:bottom w:val="single" w:sz="4" w:space="0" w:color="auto"/>
              <w:right w:val="single" w:sz="4" w:space="0" w:color="auto"/>
            </w:tcBorders>
            <w:shd w:val="clear" w:color="auto" w:fill="auto"/>
            <w:vAlign w:val="center"/>
          </w:tcPr>
          <w:p w14:paraId="43BB515F" w14:textId="77777777" w:rsidR="009021F1" w:rsidRPr="009D55A6" w:rsidRDefault="009021F1" w:rsidP="00E637E3">
            <w:pPr>
              <w:autoSpaceDE w:val="0"/>
              <w:autoSpaceDN w:val="0"/>
              <w:adjustRightInd w:val="0"/>
              <w:rPr>
                <w:rFonts w:cs="Arial"/>
                <w:sz w:val="20"/>
                <w:szCs w:val="20"/>
              </w:rPr>
            </w:pPr>
            <w:r w:rsidRPr="009D55A6">
              <w:rPr>
                <w:rFonts w:cs="Arial"/>
                <w:sz w:val="20"/>
                <w:szCs w:val="20"/>
              </w:rPr>
              <w:t>La convention (n° 138) sur l’âge minimum de l’Organisation internationale du Travail (OIT) a pour objectif l’abolition effective du travail des enfants – travail dangereux pour la santé, la sécurité ou la moralité des enfants, interférant avec l’enseignement obligatoire ou pour lequel ils sont simplement trop jeunes.</w:t>
            </w:r>
          </w:p>
        </w:tc>
        <w:tc>
          <w:tcPr>
            <w:tcW w:w="2353" w:type="dxa"/>
            <w:tcBorders>
              <w:top w:val="nil"/>
              <w:left w:val="nil"/>
              <w:bottom w:val="single" w:sz="4" w:space="0" w:color="auto"/>
              <w:right w:val="single" w:sz="4" w:space="0" w:color="auto"/>
            </w:tcBorders>
            <w:shd w:val="clear" w:color="auto" w:fill="auto"/>
            <w:vAlign w:val="center"/>
          </w:tcPr>
          <w:p w14:paraId="042D86A7" w14:textId="77777777" w:rsidR="009021F1" w:rsidRPr="009D55A6" w:rsidRDefault="009021F1" w:rsidP="00E637E3">
            <w:pPr>
              <w:autoSpaceDE w:val="0"/>
              <w:autoSpaceDN w:val="0"/>
              <w:adjustRightInd w:val="0"/>
              <w:jc w:val="left"/>
              <w:rPr>
                <w:rFonts w:cs="Arial"/>
                <w:sz w:val="20"/>
                <w:szCs w:val="20"/>
              </w:rPr>
            </w:pPr>
            <w:r w:rsidRPr="009D55A6">
              <w:rPr>
                <w:rFonts w:cs="Arial"/>
                <w:sz w:val="20"/>
                <w:szCs w:val="20"/>
              </w:rPr>
              <w:t>Entrée en vigueur le 17 juin 1976. Elle a été ratifiée par la RDC, le 20 juin 2001</w:t>
            </w:r>
          </w:p>
        </w:tc>
        <w:tc>
          <w:tcPr>
            <w:tcW w:w="5499" w:type="dxa"/>
            <w:shd w:val="clear" w:color="auto" w:fill="auto"/>
          </w:tcPr>
          <w:p w14:paraId="61935FAD" w14:textId="77777777" w:rsidR="009021F1" w:rsidRPr="009D55A6" w:rsidRDefault="009021F1" w:rsidP="00E637E3">
            <w:pPr>
              <w:autoSpaceDE w:val="0"/>
              <w:autoSpaceDN w:val="0"/>
              <w:adjustRightInd w:val="0"/>
              <w:rPr>
                <w:rFonts w:cs="Arial"/>
                <w:sz w:val="20"/>
                <w:szCs w:val="20"/>
              </w:rPr>
            </w:pPr>
            <w:r w:rsidRPr="009D55A6">
              <w:rPr>
                <w:rFonts w:cs="Arial"/>
                <w:sz w:val="20"/>
                <w:szCs w:val="20"/>
              </w:rPr>
              <w:t>La Convention n° 138 fixe à 18 ans l’âge minimum concernant les travaux dangereux, définis comme étant tout type de travail qui, par sa nature ou les conditions dans lesquelles il s’exerce, est susceptible de compromettre la santé, la sécurité ou la moralité des enfants. Le Présent CGES préconise des mesures d’atténuation conformément à la législation nationale et à la NES n°2. Le PNDA veillera au strict respect de cette Convention.</w:t>
            </w:r>
          </w:p>
        </w:tc>
      </w:tr>
      <w:tr w:rsidR="009021F1" w:rsidRPr="001E4043" w14:paraId="3AE67268" w14:textId="77777777" w:rsidTr="00E637E3">
        <w:tc>
          <w:tcPr>
            <w:tcW w:w="2694" w:type="dxa"/>
            <w:tcBorders>
              <w:top w:val="nil"/>
              <w:left w:val="single" w:sz="4" w:space="0" w:color="auto"/>
              <w:bottom w:val="single" w:sz="4" w:space="0" w:color="auto"/>
              <w:right w:val="single" w:sz="4" w:space="0" w:color="auto"/>
            </w:tcBorders>
            <w:shd w:val="clear" w:color="auto" w:fill="auto"/>
            <w:vAlign w:val="center"/>
          </w:tcPr>
          <w:p w14:paraId="05FAE549" w14:textId="77777777" w:rsidR="009021F1" w:rsidRPr="009D55A6" w:rsidRDefault="009021F1" w:rsidP="00E637E3">
            <w:pPr>
              <w:autoSpaceDE w:val="0"/>
              <w:autoSpaceDN w:val="0"/>
              <w:adjustRightInd w:val="0"/>
              <w:jc w:val="left"/>
              <w:rPr>
                <w:rFonts w:cs="Arial"/>
                <w:sz w:val="20"/>
                <w:szCs w:val="20"/>
              </w:rPr>
            </w:pPr>
            <w:r w:rsidRPr="009D55A6">
              <w:rPr>
                <w:rFonts w:cs="Arial"/>
                <w:sz w:val="20"/>
                <w:szCs w:val="20"/>
              </w:rPr>
              <w:t>Convention sur l'élimination de toutes les formes de discrimination à l’égard des femmes ou la déclaration sur l’élimination de la violence contre les femmes</w:t>
            </w:r>
          </w:p>
        </w:tc>
        <w:tc>
          <w:tcPr>
            <w:tcW w:w="4301" w:type="dxa"/>
            <w:tcBorders>
              <w:top w:val="nil"/>
              <w:left w:val="nil"/>
              <w:bottom w:val="single" w:sz="4" w:space="0" w:color="auto"/>
              <w:right w:val="single" w:sz="4" w:space="0" w:color="auto"/>
            </w:tcBorders>
            <w:shd w:val="clear" w:color="auto" w:fill="auto"/>
            <w:vAlign w:val="center"/>
          </w:tcPr>
          <w:p w14:paraId="053AC56A" w14:textId="77777777" w:rsidR="009021F1" w:rsidRPr="009D55A6" w:rsidRDefault="009021F1" w:rsidP="00E637E3">
            <w:pPr>
              <w:autoSpaceDE w:val="0"/>
              <w:autoSpaceDN w:val="0"/>
              <w:adjustRightInd w:val="0"/>
              <w:rPr>
                <w:rFonts w:cs="Arial"/>
                <w:sz w:val="20"/>
                <w:szCs w:val="20"/>
              </w:rPr>
            </w:pPr>
            <w:r w:rsidRPr="009D55A6">
              <w:rPr>
                <w:rFonts w:cs="Arial"/>
                <w:sz w:val="20"/>
                <w:szCs w:val="20"/>
              </w:rPr>
              <w:t>Cette Convention prône les droits fondamentaux de l'homme, dans la dignité et la valeur de la personne humaine et dans l'égalité de droits des hommes et des femmes.</w:t>
            </w:r>
          </w:p>
        </w:tc>
        <w:tc>
          <w:tcPr>
            <w:tcW w:w="2353" w:type="dxa"/>
            <w:tcBorders>
              <w:top w:val="nil"/>
              <w:left w:val="nil"/>
              <w:bottom w:val="single" w:sz="4" w:space="0" w:color="auto"/>
              <w:right w:val="single" w:sz="4" w:space="0" w:color="auto"/>
            </w:tcBorders>
            <w:shd w:val="clear" w:color="auto" w:fill="auto"/>
            <w:vAlign w:val="center"/>
          </w:tcPr>
          <w:p w14:paraId="3AB42736" w14:textId="77777777" w:rsidR="009021F1" w:rsidRPr="009D55A6" w:rsidRDefault="009021F1" w:rsidP="00E637E3">
            <w:pPr>
              <w:autoSpaceDE w:val="0"/>
              <w:autoSpaceDN w:val="0"/>
              <w:adjustRightInd w:val="0"/>
              <w:jc w:val="left"/>
              <w:rPr>
                <w:rFonts w:cs="Arial"/>
                <w:sz w:val="20"/>
                <w:szCs w:val="20"/>
              </w:rPr>
            </w:pPr>
            <w:r w:rsidRPr="009D55A6">
              <w:rPr>
                <w:rFonts w:cs="Arial"/>
                <w:sz w:val="20"/>
                <w:szCs w:val="20"/>
              </w:rPr>
              <w:t>A été adoptée le 18 Décembre 1979 par l’Assemblée générale des Nations Unies. Elle a été signée en 1980 et ratifiée en 1986 par la RDC. Elle est entrée en vigueur le 3 septembre 1981 après avoir été ratifiée par 20 pays</w:t>
            </w:r>
          </w:p>
        </w:tc>
        <w:tc>
          <w:tcPr>
            <w:tcW w:w="5499" w:type="dxa"/>
            <w:shd w:val="clear" w:color="auto" w:fill="auto"/>
          </w:tcPr>
          <w:p w14:paraId="2C5102D5" w14:textId="77777777" w:rsidR="009021F1" w:rsidRPr="009D55A6" w:rsidRDefault="009021F1" w:rsidP="00E637E3">
            <w:pPr>
              <w:autoSpaceDE w:val="0"/>
              <w:autoSpaceDN w:val="0"/>
              <w:adjustRightInd w:val="0"/>
              <w:rPr>
                <w:rFonts w:cs="Arial"/>
                <w:sz w:val="20"/>
                <w:szCs w:val="20"/>
              </w:rPr>
            </w:pPr>
            <w:r w:rsidRPr="009D55A6">
              <w:rPr>
                <w:rFonts w:cs="Arial"/>
                <w:sz w:val="20"/>
                <w:szCs w:val="20"/>
              </w:rPr>
              <w:t>Étant donné le PNDA va embaucher des hommes et des femmes dans son programme, il se conformera ladite Convention, à la législation nationale et Les recommandations de la Note de bonnes pratiques pour lutter contre l’exploitation et l’abus sexuel et le harcèlement sexuel dans le cadre du financement de projets d´investissement comportant de grands travaux de génie civil (World Bank, septembre 2018) seront tenues en compte pour l´enrichissement des mesures de prévention, atténuation et réponse aux risques VBG liés au projet.</w:t>
            </w:r>
          </w:p>
        </w:tc>
      </w:tr>
      <w:tr w:rsidR="009021F1" w:rsidRPr="001E4043" w14:paraId="4CBB7E09" w14:textId="77777777" w:rsidTr="00E637E3">
        <w:trPr>
          <w:trHeight w:val="2956"/>
        </w:trPr>
        <w:tc>
          <w:tcPr>
            <w:tcW w:w="2694" w:type="dxa"/>
            <w:tcBorders>
              <w:top w:val="nil"/>
              <w:left w:val="single" w:sz="4" w:space="0" w:color="auto"/>
              <w:bottom w:val="single" w:sz="4" w:space="0" w:color="auto"/>
              <w:right w:val="single" w:sz="4" w:space="0" w:color="auto"/>
            </w:tcBorders>
            <w:shd w:val="clear" w:color="auto" w:fill="auto"/>
            <w:vAlign w:val="bottom"/>
          </w:tcPr>
          <w:p w14:paraId="35BFCF22" w14:textId="77777777" w:rsidR="009021F1" w:rsidRPr="009D55A6" w:rsidRDefault="009021F1" w:rsidP="00E637E3">
            <w:pPr>
              <w:autoSpaceDE w:val="0"/>
              <w:autoSpaceDN w:val="0"/>
              <w:adjustRightInd w:val="0"/>
              <w:jc w:val="left"/>
              <w:rPr>
                <w:rFonts w:cs="Arial"/>
                <w:sz w:val="20"/>
                <w:szCs w:val="20"/>
              </w:rPr>
            </w:pPr>
            <w:r w:rsidRPr="009D55A6">
              <w:rPr>
                <w:rFonts w:cs="Arial"/>
                <w:sz w:val="20"/>
                <w:szCs w:val="20"/>
              </w:rPr>
              <w:t xml:space="preserve">Résolution 2011/33 du 23 juillet 2011 sur la Prévention, la protection et la coopération internationale contre l’utilisation de nouvelles technologies d’information pour abus et/ou exploitation des enfants </w:t>
            </w:r>
          </w:p>
        </w:tc>
        <w:tc>
          <w:tcPr>
            <w:tcW w:w="4301" w:type="dxa"/>
            <w:tcBorders>
              <w:top w:val="nil"/>
              <w:left w:val="nil"/>
              <w:bottom w:val="single" w:sz="4" w:space="0" w:color="auto"/>
              <w:right w:val="single" w:sz="4" w:space="0" w:color="auto"/>
            </w:tcBorders>
            <w:shd w:val="clear" w:color="auto" w:fill="auto"/>
            <w:vAlign w:val="bottom"/>
          </w:tcPr>
          <w:p w14:paraId="1A7A0C8B" w14:textId="77777777" w:rsidR="009021F1" w:rsidRPr="009D55A6" w:rsidRDefault="009021F1" w:rsidP="00E637E3">
            <w:pPr>
              <w:autoSpaceDE w:val="0"/>
              <w:autoSpaceDN w:val="0"/>
              <w:adjustRightInd w:val="0"/>
              <w:rPr>
                <w:rFonts w:cs="Arial"/>
                <w:sz w:val="20"/>
                <w:szCs w:val="20"/>
              </w:rPr>
            </w:pPr>
            <w:r w:rsidRPr="009D55A6">
              <w:rPr>
                <w:rFonts w:cs="Arial"/>
                <w:sz w:val="20"/>
                <w:szCs w:val="20"/>
              </w:rPr>
              <w:t>Cette Résolution vise la prévention, la protection et la coopération internationale contre l’utilisation de nouvelles technologies d’information pour abus et/ou exploitation des enfants</w:t>
            </w:r>
          </w:p>
          <w:p w14:paraId="573FE505" w14:textId="77777777" w:rsidR="009021F1" w:rsidRPr="009D55A6" w:rsidRDefault="009021F1" w:rsidP="00E637E3">
            <w:pPr>
              <w:autoSpaceDE w:val="0"/>
              <w:autoSpaceDN w:val="0"/>
              <w:adjustRightInd w:val="0"/>
              <w:rPr>
                <w:rFonts w:cs="Arial"/>
                <w:sz w:val="20"/>
                <w:szCs w:val="20"/>
              </w:rPr>
            </w:pPr>
          </w:p>
          <w:p w14:paraId="4941D751" w14:textId="77777777" w:rsidR="009021F1" w:rsidRPr="009D55A6" w:rsidRDefault="009021F1" w:rsidP="00E637E3">
            <w:pPr>
              <w:autoSpaceDE w:val="0"/>
              <w:autoSpaceDN w:val="0"/>
              <w:adjustRightInd w:val="0"/>
              <w:rPr>
                <w:rFonts w:cs="Arial"/>
                <w:sz w:val="20"/>
                <w:szCs w:val="20"/>
              </w:rPr>
            </w:pPr>
          </w:p>
          <w:p w14:paraId="7DEE2AD8" w14:textId="77777777" w:rsidR="009021F1" w:rsidRPr="009D55A6" w:rsidRDefault="009021F1" w:rsidP="00E637E3">
            <w:pPr>
              <w:autoSpaceDE w:val="0"/>
              <w:autoSpaceDN w:val="0"/>
              <w:adjustRightInd w:val="0"/>
              <w:rPr>
                <w:rFonts w:cs="Arial"/>
                <w:sz w:val="20"/>
                <w:szCs w:val="20"/>
              </w:rPr>
            </w:pPr>
          </w:p>
          <w:p w14:paraId="34EE9A4E" w14:textId="77777777" w:rsidR="009021F1" w:rsidRPr="009D55A6" w:rsidRDefault="009021F1" w:rsidP="00E637E3">
            <w:pPr>
              <w:autoSpaceDE w:val="0"/>
              <w:autoSpaceDN w:val="0"/>
              <w:adjustRightInd w:val="0"/>
              <w:rPr>
                <w:rFonts w:cs="Arial"/>
                <w:sz w:val="20"/>
                <w:szCs w:val="20"/>
              </w:rPr>
            </w:pPr>
          </w:p>
          <w:p w14:paraId="40A2634D" w14:textId="77777777" w:rsidR="009021F1" w:rsidRPr="009D55A6" w:rsidRDefault="009021F1" w:rsidP="00E637E3">
            <w:pPr>
              <w:autoSpaceDE w:val="0"/>
              <w:autoSpaceDN w:val="0"/>
              <w:adjustRightInd w:val="0"/>
              <w:rPr>
                <w:rFonts w:cs="Arial"/>
                <w:sz w:val="20"/>
                <w:szCs w:val="20"/>
              </w:rPr>
            </w:pPr>
          </w:p>
        </w:tc>
        <w:tc>
          <w:tcPr>
            <w:tcW w:w="2353" w:type="dxa"/>
            <w:tcBorders>
              <w:top w:val="nil"/>
              <w:left w:val="nil"/>
              <w:bottom w:val="single" w:sz="4" w:space="0" w:color="auto"/>
              <w:right w:val="single" w:sz="4" w:space="0" w:color="auto"/>
            </w:tcBorders>
            <w:shd w:val="clear" w:color="auto" w:fill="auto"/>
            <w:vAlign w:val="bottom"/>
          </w:tcPr>
          <w:p w14:paraId="30C846F5" w14:textId="77777777" w:rsidR="009021F1" w:rsidRPr="009D55A6" w:rsidRDefault="009021F1" w:rsidP="00E637E3">
            <w:pPr>
              <w:spacing w:line="240" w:lineRule="auto"/>
              <w:jc w:val="left"/>
              <w:rPr>
                <w:rFonts w:cs="Arial"/>
                <w:sz w:val="20"/>
                <w:szCs w:val="20"/>
              </w:rPr>
            </w:pPr>
          </w:p>
          <w:p w14:paraId="0E56F182" w14:textId="77777777" w:rsidR="009021F1" w:rsidRPr="009D55A6" w:rsidRDefault="009021F1" w:rsidP="00E637E3">
            <w:pPr>
              <w:spacing w:line="240" w:lineRule="auto"/>
              <w:jc w:val="left"/>
              <w:rPr>
                <w:rFonts w:cs="Arial"/>
                <w:sz w:val="20"/>
                <w:szCs w:val="20"/>
              </w:rPr>
            </w:pPr>
            <w:r w:rsidRPr="009D55A6">
              <w:rPr>
                <w:rFonts w:cs="Arial"/>
                <w:sz w:val="20"/>
                <w:szCs w:val="20"/>
              </w:rPr>
              <w:t>Entrée en vigueur le 23 juillet 2011</w:t>
            </w:r>
          </w:p>
          <w:p w14:paraId="387BCD29" w14:textId="77777777" w:rsidR="009021F1" w:rsidRPr="009D55A6" w:rsidRDefault="009021F1" w:rsidP="00E637E3">
            <w:pPr>
              <w:spacing w:line="240" w:lineRule="auto"/>
              <w:jc w:val="left"/>
              <w:rPr>
                <w:rFonts w:cs="Arial"/>
                <w:sz w:val="20"/>
                <w:szCs w:val="20"/>
              </w:rPr>
            </w:pPr>
          </w:p>
          <w:p w14:paraId="007A7BEF" w14:textId="77777777" w:rsidR="009021F1" w:rsidRPr="009D55A6" w:rsidRDefault="009021F1" w:rsidP="00E637E3">
            <w:pPr>
              <w:spacing w:line="240" w:lineRule="auto"/>
              <w:jc w:val="left"/>
              <w:rPr>
                <w:rFonts w:cs="Arial"/>
                <w:sz w:val="20"/>
                <w:szCs w:val="20"/>
              </w:rPr>
            </w:pPr>
          </w:p>
          <w:p w14:paraId="75F131B9" w14:textId="77777777" w:rsidR="009021F1" w:rsidRPr="009D55A6" w:rsidRDefault="009021F1" w:rsidP="00E637E3">
            <w:pPr>
              <w:spacing w:line="240" w:lineRule="auto"/>
              <w:jc w:val="left"/>
              <w:rPr>
                <w:rFonts w:cs="Arial"/>
                <w:sz w:val="20"/>
                <w:szCs w:val="20"/>
              </w:rPr>
            </w:pPr>
          </w:p>
          <w:p w14:paraId="410D855D" w14:textId="77777777" w:rsidR="009021F1" w:rsidRPr="009D55A6" w:rsidRDefault="009021F1" w:rsidP="00E637E3">
            <w:pPr>
              <w:spacing w:line="240" w:lineRule="auto"/>
              <w:jc w:val="left"/>
              <w:rPr>
                <w:rFonts w:cs="Arial"/>
                <w:sz w:val="20"/>
                <w:szCs w:val="20"/>
              </w:rPr>
            </w:pPr>
          </w:p>
          <w:p w14:paraId="3EC2093E" w14:textId="77777777" w:rsidR="009021F1" w:rsidRPr="009D55A6" w:rsidRDefault="009021F1" w:rsidP="00E637E3">
            <w:pPr>
              <w:spacing w:line="240" w:lineRule="auto"/>
              <w:jc w:val="left"/>
              <w:rPr>
                <w:rFonts w:cs="Arial"/>
                <w:sz w:val="20"/>
                <w:szCs w:val="20"/>
              </w:rPr>
            </w:pPr>
          </w:p>
          <w:p w14:paraId="34E95BCD" w14:textId="77777777" w:rsidR="009021F1" w:rsidRPr="009D55A6" w:rsidRDefault="009021F1" w:rsidP="00E637E3">
            <w:pPr>
              <w:spacing w:line="240" w:lineRule="auto"/>
              <w:jc w:val="left"/>
              <w:rPr>
                <w:rFonts w:cs="Arial"/>
                <w:sz w:val="20"/>
                <w:szCs w:val="20"/>
              </w:rPr>
            </w:pPr>
          </w:p>
          <w:p w14:paraId="77739DDD" w14:textId="77777777" w:rsidR="009021F1" w:rsidRPr="009D55A6" w:rsidRDefault="009021F1" w:rsidP="00E637E3">
            <w:pPr>
              <w:spacing w:line="240" w:lineRule="auto"/>
              <w:jc w:val="left"/>
              <w:rPr>
                <w:rFonts w:cs="Arial"/>
                <w:sz w:val="20"/>
                <w:szCs w:val="20"/>
              </w:rPr>
            </w:pPr>
          </w:p>
          <w:p w14:paraId="297C11AF" w14:textId="77777777" w:rsidR="009021F1" w:rsidRPr="009D55A6" w:rsidRDefault="009021F1" w:rsidP="00E637E3">
            <w:pPr>
              <w:spacing w:line="240" w:lineRule="auto"/>
              <w:jc w:val="left"/>
              <w:rPr>
                <w:rFonts w:cs="Arial"/>
                <w:sz w:val="20"/>
                <w:szCs w:val="20"/>
              </w:rPr>
            </w:pPr>
          </w:p>
          <w:p w14:paraId="17BF3DB8" w14:textId="77777777" w:rsidR="009021F1" w:rsidRPr="009D55A6" w:rsidRDefault="009021F1" w:rsidP="00E637E3">
            <w:pPr>
              <w:autoSpaceDE w:val="0"/>
              <w:autoSpaceDN w:val="0"/>
              <w:adjustRightInd w:val="0"/>
              <w:jc w:val="left"/>
              <w:rPr>
                <w:rFonts w:cs="Arial"/>
                <w:sz w:val="20"/>
                <w:szCs w:val="20"/>
              </w:rPr>
            </w:pPr>
          </w:p>
        </w:tc>
        <w:tc>
          <w:tcPr>
            <w:tcW w:w="5499" w:type="dxa"/>
            <w:shd w:val="clear" w:color="auto" w:fill="auto"/>
          </w:tcPr>
          <w:p w14:paraId="1EAF78D6" w14:textId="77777777" w:rsidR="009021F1" w:rsidRPr="009D55A6" w:rsidRDefault="009021F1" w:rsidP="00E637E3">
            <w:pPr>
              <w:autoSpaceDE w:val="0"/>
              <w:autoSpaceDN w:val="0"/>
              <w:adjustRightInd w:val="0"/>
              <w:rPr>
                <w:rFonts w:cs="Arial"/>
                <w:sz w:val="20"/>
                <w:szCs w:val="20"/>
              </w:rPr>
            </w:pPr>
            <w:r w:rsidRPr="009D55A6">
              <w:rPr>
                <w:rFonts w:cs="Arial"/>
                <w:sz w:val="20"/>
                <w:szCs w:val="20"/>
              </w:rPr>
              <w:t>Le PNDA veillera au respect strict de ladite Résolution et le CGES prévoit des mesures d’atténuation conformément à la législation nationale et à la NES n°2.</w:t>
            </w:r>
          </w:p>
        </w:tc>
      </w:tr>
    </w:tbl>
    <w:p w14:paraId="4FDF065F" w14:textId="77777777" w:rsidR="009021F1" w:rsidRDefault="009021F1" w:rsidP="009021F1">
      <w:pPr>
        <w:autoSpaceDE w:val="0"/>
        <w:autoSpaceDN w:val="0"/>
        <w:adjustRightInd w:val="0"/>
        <w:rPr>
          <w:rFonts w:cs="Arial"/>
          <w:sz w:val="22"/>
        </w:rPr>
        <w:sectPr w:rsidR="009021F1" w:rsidSect="00D16A0E">
          <w:pgSz w:w="16838" w:h="11906" w:orient="landscape"/>
          <w:pgMar w:top="1418" w:right="1134" w:bottom="1418" w:left="1134" w:header="709" w:footer="79" w:gutter="0"/>
          <w:cols w:space="708"/>
          <w:docGrid w:linePitch="360"/>
        </w:sectPr>
      </w:pPr>
    </w:p>
    <w:p w14:paraId="3A0441F4" w14:textId="77777777" w:rsidR="009021F1" w:rsidRPr="009D55A6" w:rsidRDefault="009021F1" w:rsidP="009021F1">
      <w:pPr>
        <w:pStyle w:val="Titre2"/>
        <w:numPr>
          <w:ilvl w:val="2"/>
          <w:numId w:val="4"/>
        </w:numPr>
        <w:ind w:left="1560" w:hanging="709"/>
        <w:rPr>
          <w:rFonts w:cs="Arial"/>
          <w:i/>
          <w:szCs w:val="21"/>
        </w:rPr>
      </w:pPr>
      <w:bookmarkStart w:id="324" w:name="_Toc90471430"/>
      <w:r w:rsidRPr="009D55A6">
        <w:rPr>
          <w:rFonts w:cs="Arial"/>
          <w:i/>
          <w:szCs w:val="21"/>
        </w:rPr>
        <w:t>Cadre Environnemental et Social de la Banque mondiale</w:t>
      </w:r>
      <w:bookmarkEnd w:id="324"/>
    </w:p>
    <w:p w14:paraId="50630681" w14:textId="77777777" w:rsidR="009021F1" w:rsidRPr="009D55A6" w:rsidRDefault="009021F1" w:rsidP="009021F1">
      <w:pPr>
        <w:rPr>
          <w:szCs w:val="21"/>
        </w:rPr>
      </w:pPr>
    </w:p>
    <w:p w14:paraId="01FD6D0A" w14:textId="77777777" w:rsidR="009021F1" w:rsidRPr="009D55A6" w:rsidRDefault="00B22F56" w:rsidP="009021F1">
      <w:pPr>
        <w:shd w:val="clear" w:color="auto" w:fill="FFFFFF"/>
        <w:spacing w:line="240" w:lineRule="auto"/>
        <w:rPr>
          <w:rFonts w:cs="Arial"/>
          <w:color w:val="333333"/>
          <w:szCs w:val="21"/>
        </w:rPr>
      </w:pPr>
      <w:hyperlink r:id="rId82" w:tgtFrame="_blank" w:history="1">
        <w:r w:rsidR="009021F1" w:rsidRPr="009D55A6">
          <w:rPr>
            <w:rFonts w:cs="Arial"/>
            <w:color w:val="333333"/>
            <w:szCs w:val="21"/>
          </w:rPr>
          <w:t>Le Cadre environnemental et social (CES)</w:t>
        </w:r>
      </w:hyperlink>
      <w:r w:rsidR="009021F1" w:rsidRPr="009D55A6">
        <w:rPr>
          <w:rFonts w:cs="Arial"/>
          <w:color w:val="333333"/>
          <w:szCs w:val="21"/>
        </w:rPr>
        <w:t> permet à la Banque mondiale et aux Emprunteurs de mieux gérer les risques environnementaux et sociaux des projets et d’obtenir de meilleurs résultats au plan du développement. Il est entré en vigueur le 1</w:t>
      </w:r>
      <w:r w:rsidR="009021F1" w:rsidRPr="009D55A6">
        <w:rPr>
          <w:rFonts w:cs="Arial"/>
          <w:color w:val="333333"/>
          <w:szCs w:val="21"/>
          <w:vertAlign w:val="superscript"/>
        </w:rPr>
        <w:t>er</w:t>
      </w:r>
      <w:r w:rsidR="009021F1" w:rsidRPr="009D55A6">
        <w:rPr>
          <w:rFonts w:cs="Arial"/>
          <w:color w:val="333333"/>
          <w:szCs w:val="21"/>
        </w:rPr>
        <w:t> octobre 2018.</w:t>
      </w:r>
    </w:p>
    <w:p w14:paraId="724CDADE" w14:textId="77777777" w:rsidR="009021F1" w:rsidRPr="009D55A6" w:rsidRDefault="009021F1" w:rsidP="009021F1">
      <w:pPr>
        <w:shd w:val="clear" w:color="auto" w:fill="FFFFFF"/>
        <w:spacing w:line="240" w:lineRule="auto"/>
        <w:rPr>
          <w:rFonts w:cs="Arial"/>
          <w:color w:val="333333"/>
          <w:szCs w:val="21"/>
        </w:rPr>
      </w:pPr>
    </w:p>
    <w:p w14:paraId="0975665F" w14:textId="77777777" w:rsidR="009021F1" w:rsidRPr="009D55A6" w:rsidRDefault="009021F1" w:rsidP="009021F1">
      <w:pPr>
        <w:shd w:val="clear" w:color="auto" w:fill="FFFFFF"/>
        <w:spacing w:line="240" w:lineRule="auto"/>
        <w:rPr>
          <w:rFonts w:cs="Arial"/>
          <w:color w:val="333333"/>
          <w:szCs w:val="21"/>
        </w:rPr>
      </w:pPr>
      <w:r w:rsidRPr="009D55A6">
        <w:rPr>
          <w:rFonts w:cs="Arial"/>
          <w:color w:val="333333"/>
          <w:szCs w:val="21"/>
        </w:rPr>
        <w:t>Le CES traite les risques environnementaux et sociaux d’une manière approfondie et systématique ; il marque une grande évolution dans la façon dont sont abordées des questions telles que la transparence, la non-discrimination, la participation du public et l’éthique de responsabilité — y compris en élargissant le rôle des mécanismes d’examen des plaintes ; et il harmonise un peu plus les mécanismes de protection environnementale et sociale de la Banque mondiale avec ceux des autres institutions de développement.</w:t>
      </w:r>
    </w:p>
    <w:p w14:paraId="77E50E52" w14:textId="77777777" w:rsidR="009021F1" w:rsidRPr="009D55A6" w:rsidRDefault="009021F1" w:rsidP="009021F1">
      <w:pPr>
        <w:shd w:val="clear" w:color="auto" w:fill="FFFFFF"/>
        <w:spacing w:line="240" w:lineRule="auto"/>
        <w:rPr>
          <w:rFonts w:cs="Arial"/>
          <w:color w:val="333333"/>
          <w:szCs w:val="21"/>
        </w:rPr>
      </w:pPr>
    </w:p>
    <w:p w14:paraId="29634864" w14:textId="77777777" w:rsidR="009021F1" w:rsidRPr="009D55A6" w:rsidRDefault="009021F1" w:rsidP="009021F1">
      <w:pPr>
        <w:shd w:val="clear" w:color="auto" w:fill="FFFFFF"/>
        <w:spacing w:line="240" w:lineRule="auto"/>
        <w:rPr>
          <w:rFonts w:cs="Arial"/>
          <w:color w:val="333333"/>
          <w:szCs w:val="21"/>
        </w:rPr>
      </w:pPr>
      <w:r w:rsidRPr="009D55A6">
        <w:rPr>
          <w:rFonts w:cs="Arial"/>
          <w:color w:val="333333"/>
          <w:szCs w:val="21"/>
        </w:rPr>
        <w:t>Il comprend :</w:t>
      </w:r>
    </w:p>
    <w:p w14:paraId="60DCEDAE" w14:textId="77777777" w:rsidR="009021F1" w:rsidRPr="009D55A6" w:rsidRDefault="009021F1" w:rsidP="009021F1">
      <w:pPr>
        <w:shd w:val="clear" w:color="auto" w:fill="FFFFFF"/>
        <w:spacing w:line="240" w:lineRule="auto"/>
        <w:rPr>
          <w:rFonts w:cs="Arial"/>
          <w:color w:val="333333"/>
          <w:szCs w:val="21"/>
        </w:rPr>
      </w:pPr>
    </w:p>
    <w:p w14:paraId="169725BF" w14:textId="77777777" w:rsidR="009021F1" w:rsidRPr="009D55A6" w:rsidRDefault="009021F1" w:rsidP="009021F1">
      <w:pPr>
        <w:pStyle w:val="Paragraphedeliste"/>
        <w:numPr>
          <w:ilvl w:val="0"/>
          <w:numId w:val="185"/>
        </w:numPr>
        <w:rPr>
          <w:rFonts w:cs="Arial"/>
          <w:szCs w:val="21"/>
        </w:rPr>
      </w:pPr>
      <w:r w:rsidRPr="009D55A6">
        <w:rPr>
          <w:rFonts w:cs="Arial"/>
          <w:szCs w:val="21"/>
        </w:rPr>
        <w:t>la </w:t>
      </w:r>
      <w:hyperlink r:id="rId83" w:anchor="page=15&amp;zoom=80" w:history="1">
        <w:r w:rsidRPr="009D55A6">
          <w:rPr>
            <w:rFonts w:cs="Arial"/>
            <w:szCs w:val="21"/>
          </w:rPr>
          <w:t>Vision du développement durable</w:t>
        </w:r>
      </w:hyperlink>
      <w:r w:rsidRPr="009D55A6">
        <w:rPr>
          <w:rFonts w:cs="Arial"/>
          <w:szCs w:val="21"/>
        </w:rPr>
        <w:t> de la Banque mondiale ;</w:t>
      </w:r>
    </w:p>
    <w:p w14:paraId="3F8FDBB1" w14:textId="77777777" w:rsidR="009021F1" w:rsidRPr="009D55A6" w:rsidRDefault="009021F1" w:rsidP="009021F1">
      <w:pPr>
        <w:pStyle w:val="Paragraphedeliste"/>
        <w:numPr>
          <w:ilvl w:val="0"/>
          <w:numId w:val="185"/>
        </w:numPr>
        <w:rPr>
          <w:rFonts w:cs="Arial"/>
          <w:szCs w:val="21"/>
        </w:rPr>
      </w:pPr>
      <w:r w:rsidRPr="009D55A6">
        <w:rPr>
          <w:rFonts w:cs="Arial"/>
          <w:szCs w:val="21"/>
        </w:rPr>
        <w:t>la </w:t>
      </w:r>
      <w:hyperlink r:id="rId84" w:anchor="page=17&amp;zoom=80" w:history="1">
        <w:r w:rsidRPr="009D55A6">
          <w:rPr>
            <w:rFonts w:cs="Arial"/>
            <w:szCs w:val="21"/>
          </w:rPr>
          <w:t>Politique environnementale et sociale de la Banque mondiale relative au financement de projets d’investissement</w:t>
        </w:r>
      </w:hyperlink>
      <w:r w:rsidRPr="009D55A6">
        <w:rPr>
          <w:rFonts w:cs="Arial"/>
          <w:szCs w:val="21"/>
        </w:rPr>
        <w:t> (IPF), qui énonce les exigences de la Banque ; et</w:t>
      </w:r>
    </w:p>
    <w:p w14:paraId="0CEBDDD6" w14:textId="77777777" w:rsidR="009021F1" w:rsidRPr="009D55A6" w:rsidRDefault="009021F1" w:rsidP="009021F1">
      <w:pPr>
        <w:pStyle w:val="Paragraphedeliste"/>
        <w:numPr>
          <w:ilvl w:val="0"/>
          <w:numId w:val="185"/>
        </w:numPr>
        <w:rPr>
          <w:rFonts w:cs="Arial"/>
          <w:szCs w:val="21"/>
        </w:rPr>
      </w:pPr>
      <w:r w:rsidRPr="009D55A6">
        <w:rPr>
          <w:rFonts w:cs="Arial"/>
          <w:szCs w:val="21"/>
        </w:rPr>
        <w:t>les dix </w:t>
      </w:r>
      <w:hyperlink r:id="rId85" w:anchor="ess" w:history="1">
        <w:r w:rsidRPr="009D55A6">
          <w:rPr>
            <w:rFonts w:cs="Arial"/>
            <w:szCs w:val="21"/>
          </w:rPr>
          <w:t>Normes environnementales et sociales</w:t>
        </w:r>
      </w:hyperlink>
      <w:r w:rsidRPr="009D55A6">
        <w:rPr>
          <w:rFonts w:cs="Arial"/>
          <w:szCs w:val="21"/>
        </w:rPr>
        <w:t> (NES), qui énoncent les obligations des Emprunteurs.</w:t>
      </w:r>
    </w:p>
    <w:p w14:paraId="4FAA07A0" w14:textId="77777777" w:rsidR="009021F1" w:rsidRPr="009D55A6" w:rsidRDefault="00B22F56" w:rsidP="009021F1">
      <w:pPr>
        <w:pStyle w:val="Paragraphedeliste"/>
        <w:numPr>
          <w:ilvl w:val="0"/>
          <w:numId w:val="185"/>
        </w:numPr>
        <w:rPr>
          <w:rFonts w:cs="Arial"/>
          <w:szCs w:val="21"/>
        </w:rPr>
      </w:pPr>
      <w:hyperlink r:id="rId86" w:history="1">
        <w:r w:rsidR="009021F1" w:rsidRPr="009D55A6">
          <w:rPr>
            <w:rFonts w:cs="Arial"/>
            <w:szCs w:val="21"/>
          </w:rPr>
          <w:t>Directive de la Banque sur la gestion des risques et des impacts sur les personnes ou groupes défavorisés ou vulnérables</w:t>
        </w:r>
      </w:hyperlink>
    </w:p>
    <w:p w14:paraId="48F35765" w14:textId="77777777" w:rsidR="009021F1" w:rsidRPr="009D55A6" w:rsidRDefault="009021F1" w:rsidP="009021F1">
      <w:pPr>
        <w:rPr>
          <w:szCs w:val="21"/>
        </w:rPr>
      </w:pPr>
    </w:p>
    <w:p w14:paraId="3A6CA877" w14:textId="77777777" w:rsidR="009021F1" w:rsidRPr="009D55A6" w:rsidRDefault="009021F1" w:rsidP="009021F1">
      <w:pPr>
        <w:pStyle w:val="Titre2"/>
        <w:numPr>
          <w:ilvl w:val="2"/>
          <w:numId w:val="4"/>
        </w:numPr>
        <w:ind w:left="1560" w:hanging="709"/>
        <w:rPr>
          <w:rFonts w:cs="Arial"/>
          <w:i/>
          <w:szCs w:val="21"/>
        </w:rPr>
      </w:pPr>
      <w:bookmarkStart w:id="325" w:name="_Toc90471431"/>
      <w:r w:rsidRPr="009D55A6">
        <w:rPr>
          <w:rFonts w:cs="Arial"/>
          <w:i/>
          <w:szCs w:val="21"/>
        </w:rPr>
        <w:t>Normes Environnementales et Sociales pertinentes au PNDA</w:t>
      </w:r>
      <w:bookmarkEnd w:id="325"/>
    </w:p>
    <w:p w14:paraId="7587B0D9" w14:textId="77777777" w:rsidR="009021F1" w:rsidRPr="009D55A6" w:rsidRDefault="009021F1" w:rsidP="009021F1">
      <w:pPr>
        <w:rPr>
          <w:rFonts w:cs="Arial"/>
          <w:szCs w:val="21"/>
        </w:rPr>
      </w:pPr>
    </w:p>
    <w:p w14:paraId="719869F1" w14:textId="77777777" w:rsidR="009021F1" w:rsidRPr="009D55A6" w:rsidRDefault="009021F1" w:rsidP="009021F1">
      <w:pPr>
        <w:rPr>
          <w:rFonts w:cs="Arial"/>
          <w:szCs w:val="21"/>
        </w:rPr>
      </w:pPr>
      <w:r w:rsidRPr="009D55A6">
        <w:rPr>
          <w:rFonts w:cs="Arial"/>
          <w:szCs w:val="21"/>
        </w:rPr>
        <w:t xml:space="preserve">Le Projet PNDA est soumis aux exigences du nouveau CES de la Banque Mondiale, entré en vigueur le 1 octobre 2018. L’évaluation préliminaire des risques et impacts environnementaux et sociaux du Projet ont permis de le classer comme Projet à risque environnemental et social substantiel. Il est important de signaler que chaque </w:t>
      </w:r>
      <w:r w:rsidRPr="009D55A6">
        <w:rPr>
          <w:szCs w:val="21"/>
        </w:rPr>
        <w:t>norme est accompagnée d’une Note d’orientation à l’attention des emprunteurs qui sont indispensables pour leur mise en œuvre.</w:t>
      </w:r>
      <w:r w:rsidRPr="009D55A6">
        <w:rPr>
          <w:rFonts w:cs="Arial"/>
          <w:szCs w:val="21"/>
        </w:rPr>
        <w:t xml:space="preserve"> Toutes  les dix Normes environnementales et Sociales ont été jugées pertinentes pour ce Projet. Il s’agit de : </w:t>
      </w:r>
    </w:p>
    <w:p w14:paraId="7F253F27" w14:textId="77777777" w:rsidR="009021F1" w:rsidRPr="009D55A6" w:rsidRDefault="009021F1" w:rsidP="009021F1">
      <w:pPr>
        <w:rPr>
          <w:rFonts w:cs="Arial"/>
          <w:b/>
          <w:bCs/>
          <w:i/>
          <w:szCs w:val="21"/>
        </w:rPr>
      </w:pPr>
    </w:p>
    <w:p w14:paraId="52F4BE11" w14:textId="77777777" w:rsidR="009021F1" w:rsidRPr="009D55A6" w:rsidRDefault="009021F1" w:rsidP="009021F1">
      <w:pPr>
        <w:rPr>
          <w:rFonts w:cs="Arial"/>
          <w:i/>
          <w:szCs w:val="21"/>
        </w:rPr>
      </w:pPr>
      <w:r w:rsidRPr="009D55A6">
        <w:rPr>
          <w:rFonts w:cs="Arial"/>
          <w:i/>
          <w:szCs w:val="21"/>
        </w:rPr>
        <w:t>NES n°1 : Évaluation et gestion des risques et effets environnementaux et sociaux</w:t>
      </w:r>
    </w:p>
    <w:p w14:paraId="122C789B" w14:textId="77777777" w:rsidR="009021F1" w:rsidRPr="009D55A6" w:rsidRDefault="009021F1" w:rsidP="009021F1">
      <w:pPr>
        <w:rPr>
          <w:rFonts w:cs="Arial"/>
          <w:b/>
          <w:i/>
          <w:szCs w:val="21"/>
        </w:rPr>
      </w:pPr>
    </w:p>
    <w:p w14:paraId="4F1B9166" w14:textId="77777777" w:rsidR="009021F1" w:rsidRPr="009D55A6" w:rsidRDefault="009021F1" w:rsidP="009021F1">
      <w:pPr>
        <w:rPr>
          <w:rFonts w:cs="Arial"/>
          <w:szCs w:val="21"/>
        </w:rPr>
      </w:pPr>
      <w:r w:rsidRPr="009D55A6">
        <w:rPr>
          <w:rFonts w:cs="Arial"/>
          <w:szCs w:val="21"/>
        </w:rPr>
        <w:t>Elle énonce les responsabilités de l’Emprunteur en matière d’évaluation, de gestion et de suivi des risques et effets environnementaux et sociaux associés à chaque étape d’un projet, appuyé par la Banque au moyen du mécanisme de Financement de projets d’investissement en vue d’atteindre des résultats environnementaux et sociaux compatibles avec les Normes Environnementales et Sociales.</w:t>
      </w:r>
    </w:p>
    <w:p w14:paraId="6FA5CDA5" w14:textId="77777777" w:rsidR="009021F1" w:rsidRPr="009D55A6" w:rsidRDefault="009021F1" w:rsidP="009021F1">
      <w:pPr>
        <w:rPr>
          <w:rFonts w:cs="Arial"/>
          <w:szCs w:val="21"/>
        </w:rPr>
      </w:pPr>
    </w:p>
    <w:p w14:paraId="46CF19BE" w14:textId="77777777" w:rsidR="009021F1" w:rsidRPr="009D55A6" w:rsidRDefault="009021F1" w:rsidP="009021F1">
      <w:pPr>
        <w:rPr>
          <w:rFonts w:cs="Arial"/>
          <w:szCs w:val="21"/>
        </w:rPr>
      </w:pPr>
      <w:r w:rsidRPr="009D55A6">
        <w:rPr>
          <w:rFonts w:cs="Arial"/>
          <w:szCs w:val="21"/>
        </w:rPr>
        <w:t>Les objectifs de la NES 1 sont :</w:t>
      </w:r>
    </w:p>
    <w:p w14:paraId="121B6FF5" w14:textId="77777777" w:rsidR="009021F1" w:rsidRPr="009D55A6" w:rsidRDefault="009021F1" w:rsidP="009021F1">
      <w:pPr>
        <w:rPr>
          <w:rFonts w:cs="Arial"/>
          <w:szCs w:val="21"/>
        </w:rPr>
      </w:pPr>
    </w:p>
    <w:p w14:paraId="41A2CCFD" w14:textId="77777777" w:rsidR="009021F1" w:rsidRPr="009D55A6" w:rsidRDefault="009021F1" w:rsidP="009021F1">
      <w:pPr>
        <w:pStyle w:val="Paragraphedeliste"/>
        <w:numPr>
          <w:ilvl w:val="0"/>
          <w:numId w:val="96"/>
        </w:numPr>
        <w:rPr>
          <w:rFonts w:cs="Arial"/>
          <w:szCs w:val="21"/>
        </w:rPr>
      </w:pPr>
      <w:r w:rsidRPr="009D55A6">
        <w:rPr>
          <w:rFonts w:cs="Arial"/>
          <w:szCs w:val="21"/>
        </w:rPr>
        <w:t xml:space="preserve">Déterminer, évaluer et gérer les risques et effets environnementaux et sociaux du projet d’une manière compatible avec les NES ; </w:t>
      </w:r>
    </w:p>
    <w:p w14:paraId="1D9EEE96" w14:textId="77777777" w:rsidR="009021F1" w:rsidRPr="009D55A6" w:rsidRDefault="009021F1" w:rsidP="009021F1">
      <w:pPr>
        <w:pStyle w:val="Paragraphedeliste"/>
        <w:numPr>
          <w:ilvl w:val="0"/>
          <w:numId w:val="96"/>
        </w:numPr>
        <w:rPr>
          <w:rFonts w:cs="Arial"/>
          <w:szCs w:val="21"/>
        </w:rPr>
      </w:pPr>
      <w:r w:rsidRPr="009D55A6">
        <w:rPr>
          <w:rFonts w:cs="Arial"/>
          <w:szCs w:val="21"/>
        </w:rPr>
        <w:t xml:space="preserve">Adopter une approche de hiérarchie d’atténuation consistant à : a) anticiper et éviter les risques et les impacts ;  b) lorsqu’il n’est pas possible de les éviter, minimiser ou réduire les risques et les impacts à des niveaux acceptables ;  c) une fois que les risques et les impacts ont été minimisés ou réduits, les atténuer ; et  d) lorsque les impacts résiduels sont importants, les compenser ou les neutraliser dans la mesure où cela est techniquement et financièrement faisable ; </w:t>
      </w:r>
    </w:p>
    <w:p w14:paraId="7533C0D0" w14:textId="77777777" w:rsidR="009021F1" w:rsidRPr="009D55A6" w:rsidRDefault="009021F1" w:rsidP="009021F1">
      <w:pPr>
        <w:pStyle w:val="Paragraphedeliste"/>
        <w:numPr>
          <w:ilvl w:val="0"/>
          <w:numId w:val="96"/>
        </w:numPr>
        <w:rPr>
          <w:rFonts w:cs="Arial"/>
          <w:szCs w:val="21"/>
        </w:rPr>
      </w:pPr>
      <w:r w:rsidRPr="009D55A6">
        <w:rPr>
          <w:rFonts w:cs="Arial"/>
          <w:szCs w:val="21"/>
        </w:rPr>
        <w:t>Adopter des mesures différenciées de sorte que les impacts négatifs ne touchent pas de façon disproportionnée les personnes défavorisées ou vulnérables, et que celles-ci ne soient pas lésées dans le partage des avantages et opportunités de développement qu’offre le projet ;</w:t>
      </w:r>
    </w:p>
    <w:p w14:paraId="5D78E0F9" w14:textId="77777777" w:rsidR="009021F1" w:rsidRPr="009D55A6" w:rsidRDefault="009021F1" w:rsidP="009021F1">
      <w:pPr>
        <w:pStyle w:val="Paragraphedeliste"/>
        <w:numPr>
          <w:ilvl w:val="0"/>
          <w:numId w:val="96"/>
        </w:numPr>
        <w:rPr>
          <w:rFonts w:cs="Arial"/>
          <w:szCs w:val="21"/>
        </w:rPr>
      </w:pPr>
      <w:r w:rsidRPr="009D55A6">
        <w:rPr>
          <w:rFonts w:cs="Arial"/>
          <w:szCs w:val="21"/>
        </w:rPr>
        <w:t xml:space="preserve">Utiliser, chaque fois qu’il convient, les institutions, lois, procédures, réglementations et systèmes nationaux en matière environnementale et sociale pour l’évaluation, la préparation et la mise en œuvre des projets ; </w:t>
      </w:r>
    </w:p>
    <w:p w14:paraId="015BA294" w14:textId="77777777" w:rsidR="009021F1" w:rsidRPr="009D55A6" w:rsidRDefault="009021F1" w:rsidP="009021F1">
      <w:pPr>
        <w:pStyle w:val="Paragraphedeliste"/>
        <w:numPr>
          <w:ilvl w:val="0"/>
          <w:numId w:val="96"/>
        </w:numPr>
        <w:rPr>
          <w:rFonts w:cs="Arial"/>
          <w:szCs w:val="21"/>
        </w:rPr>
      </w:pPr>
      <w:r w:rsidRPr="009D55A6">
        <w:rPr>
          <w:rFonts w:cs="Arial"/>
          <w:szCs w:val="21"/>
        </w:rPr>
        <w:t xml:space="preserve">Promouvoir l’amélioration des performances environnementales et sociales d’une manière qui prend en compte et renforce les capacités de l’Emprunteur. </w:t>
      </w:r>
    </w:p>
    <w:p w14:paraId="3378AD61" w14:textId="77777777" w:rsidR="009021F1" w:rsidRPr="009D55A6" w:rsidRDefault="009021F1" w:rsidP="009021F1">
      <w:pPr>
        <w:rPr>
          <w:rFonts w:cs="Arial"/>
          <w:szCs w:val="21"/>
        </w:rPr>
      </w:pPr>
    </w:p>
    <w:p w14:paraId="37A0431F" w14:textId="77777777" w:rsidR="009021F1" w:rsidRPr="009D55A6" w:rsidRDefault="009021F1" w:rsidP="009021F1">
      <w:pPr>
        <w:rPr>
          <w:rFonts w:cs="Arial"/>
          <w:szCs w:val="21"/>
        </w:rPr>
      </w:pPr>
      <w:r w:rsidRPr="009D55A6">
        <w:rPr>
          <w:rFonts w:cs="Arial"/>
          <w:szCs w:val="21"/>
        </w:rPr>
        <w:t>Pour se conformer au Cadre Environnemental et Social de la Banque Mondiale, la présente NES énonce l’élaboration du Plan d’Engagement Environnemental et Social (PEES) dans lequel sera décrit les principales mesures et actions nécessaires pour que le projet soit en conformité avec les NES dans un délai précis. Le PEES fera partie intégrante de l’accord de financement qui prévoira, le cas échéant, l’obligation pour l’Emprunteur d’appuyer sa mise en œuvre.</w:t>
      </w:r>
    </w:p>
    <w:p w14:paraId="1A3BDC49" w14:textId="77777777" w:rsidR="009021F1" w:rsidRPr="009D55A6" w:rsidRDefault="009021F1" w:rsidP="009021F1">
      <w:pPr>
        <w:rPr>
          <w:rFonts w:cs="Arial"/>
          <w:szCs w:val="21"/>
        </w:rPr>
      </w:pPr>
    </w:p>
    <w:p w14:paraId="057E9A6A" w14:textId="77777777" w:rsidR="009021F1" w:rsidRPr="009D55A6" w:rsidRDefault="009021F1" w:rsidP="009021F1">
      <w:pPr>
        <w:rPr>
          <w:rFonts w:cs="Arial"/>
          <w:szCs w:val="21"/>
        </w:rPr>
      </w:pPr>
      <w:r w:rsidRPr="009D55A6">
        <w:rPr>
          <w:rFonts w:cs="Arial"/>
          <w:szCs w:val="21"/>
        </w:rPr>
        <w:t xml:space="preserve">Ainsi, le Gouvernement de la RDC prévoit la mise en œuvre du Projet PNDA à travers le Ministère de l’Agriculture, et la Banque mondiale a convenu d’accorder un financement au Projet. </w:t>
      </w:r>
    </w:p>
    <w:p w14:paraId="64F68955" w14:textId="77777777" w:rsidR="009021F1" w:rsidRPr="009D55A6" w:rsidRDefault="009021F1" w:rsidP="009021F1">
      <w:pPr>
        <w:rPr>
          <w:rFonts w:cs="Arial"/>
          <w:szCs w:val="21"/>
        </w:rPr>
      </w:pPr>
    </w:p>
    <w:p w14:paraId="60FF5DE4" w14:textId="77777777" w:rsidR="009021F1" w:rsidRPr="009D55A6" w:rsidRDefault="009021F1" w:rsidP="009021F1">
      <w:pPr>
        <w:rPr>
          <w:rFonts w:cs="Arial"/>
          <w:szCs w:val="21"/>
        </w:rPr>
      </w:pPr>
      <w:r w:rsidRPr="009D55A6">
        <w:rPr>
          <w:rFonts w:cs="Arial"/>
          <w:szCs w:val="21"/>
        </w:rPr>
        <w:t xml:space="preserve">Le Gouvernement de la RDC mettra en œuvre les mesures et actions concrètes qui sont nécessaires pour faire en sorte que le Projet soit exécuté dans le respect des NES de la Banque Mondiale. En effet, le PEES est un document de synthèse qui énonce ces mesures et actions. </w:t>
      </w:r>
    </w:p>
    <w:p w14:paraId="3FC1CFC4" w14:textId="77777777" w:rsidR="009021F1" w:rsidRPr="009D55A6" w:rsidRDefault="009021F1" w:rsidP="009021F1">
      <w:pPr>
        <w:rPr>
          <w:rFonts w:cs="Arial"/>
          <w:szCs w:val="21"/>
        </w:rPr>
      </w:pPr>
    </w:p>
    <w:p w14:paraId="094C672D" w14:textId="77777777" w:rsidR="009021F1" w:rsidRPr="009D55A6" w:rsidRDefault="009021F1" w:rsidP="009021F1">
      <w:pPr>
        <w:rPr>
          <w:rFonts w:cs="Arial"/>
          <w:szCs w:val="21"/>
        </w:rPr>
      </w:pPr>
      <w:r w:rsidRPr="009D55A6">
        <w:rPr>
          <w:rFonts w:cs="Arial"/>
          <w:szCs w:val="21"/>
        </w:rPr>
        <w:t xml:space="preserve">Lorsque le PEES fait référence à des plans précis ou à d’autres documents déjà établis ou qui doivent l’être, le PEES exige le respect de toutes les dispositions de ces plans ou autres documents. En particulier, le PEES exige le respect des dispositions énoncées dans le CGES, CPR, ÉIES, PGES, PAR,  etc. élaborés dans le cadre du PNDA. En outre, s’il existe ou est prévu des plans distincts ou d’autres documents préparés pour le Projet, le PEES identifiera chacun de ces plans ou autres documents par leur intitulé. </w:t>
      </w:r>
    </w:p>
    <w:p w14:paraId="531EDC13" w14:textId="77777777" w:rsidR="009021F1" w:rsidRPr="009D55A6" w:rsidRDefault="009021F1" w:rsidP="009021F1">
      <w:pPr>
        <w:rPr>
          <w:rFonts w:cs="Arial"/>
          <w:szCs w:val="21"/>
        </w:rPr>
      </w:pPr>
    </w:p>
    <w:p w14:paraId="61ED9D9E" w14:textId="77777777" w:rsidR="009021F1" w:rsidRPr="009D55A6" w:rsidRDefault="009021F1" w:rsidP="009021F1">
      <w:pPr>
        <w:rPr>
          <w:rFonts w:cs="Arial"/>
          <w:szCs w:val="21"/>
        </w:rPr>
      </w:pPr>
      <w:r w:rsidRPr="009D55A6">
        <w:rPr>
          <w:rFonts w:cs="Arial"/>
          <w:szCs w:val="21"/>
        </w:rPr>
        <w:t>Le PEES prendra en compte les conclusions de l’évaluation environnementale et sociale, les vérifications préalables effectuées par la Banque en matière environnementale et sociale et les résultats des consultations avec les parties prenantes. Il constituera un résumé précis des mesures et actions importantes qu’il faudra entreprendre pour éviter, minimiser, réduire ou autrement atténuer les risques et effets environnementaux et sociaux potentiels du Projet y compris ceux liés à l'EAS/HS. Il précisera le délai de réalisation de chaque action.</w:t>
      </w:r>
    </w:p>
    <w:p w14:paraId="73C492A2" w14:textId="77777777" w:rsidR="009021F1" w:rsidRPr="009D55A6" w:rsidRDefault="009021F1" w:rsidP="009021F1">
      <w:pPr>
        <w:rPr>
          <w:rFonts w:cs="Arial"/>
          <w:szCs w:val="21"/>
        </w:rPr>
      </w:pPr>
    </w:p>
    <w:p w14:paraId="573A41B1" w14:textId="77777777" w:rsidR="009021F1" w:rsidRDefault="009021F1" w:rsidP="009021F1">
      <w:pPr>
        <w:rPr>
          <w:rFonts w:cs="Arial"/>
          <w:szCs w:val="21"/>
        </w:rPr>
      </w:pPr>
      <w:r w:rsidRPr="009D55A6">
        <w:rPr>
          <w:rFonts w:cs="Arial"/>
          <w:szCs w:val="21"/>
        </w:rPr>
        <w:t xml:space="preserve">La mise en œuvre des mesures et actions concrètes définies dans le PEES fera l’objet d’un suivi de la part du Gouvernement de la RDC et de rapports que celui-ci communiquera à la Banque Mondiale en application des dispositions du PEES et des conditions de l’accord juridique, tandis que la Banque Mondiale assurera le suivi-évaluation de l’avancement et la réalisation de ces mesures et actions concrètes tout au long de la mise en œuvre du PNDA. </w:t>
      </w:r>
    </w:p>
    <w:p w14:paraId="70F7126B" w14:textId="77777777" w:rsidR="009021F1" w:rsidRPr="009D55A6" w:rsidRDefault="009021F1" w:rsidP="009021F1">
      <w:pPr>
        <w:rPr>
          <w:rFonts w:cs="Arial"/>
          <w:szCs w:val="21"/>
        </w:rPr>
      </w:pPr>
    </w:p>
    <w:p w14:paraId="518A7B05" w14:textId="77777777" w:rsidR="009021F1" w:rsidRPr="009D55A6" w:rsidRDefault="009021F1" w:rsidP="009021F1">
      <w:pPr>
        <w:rPr>
          <w:rFonts w:cs="Arial"/>
          <w:szCs w:val="21"/>
        </w:rPr>
      </w:pPr>
      <w:r w:rsidRPr="009D55A6">
        <w:rPr>
          <w:rFonts w:cs="Arial"/>
          <w:szCs w:val="21"/>
        </w:rPr>
        <w:t xml:space="preserve">Il sied de noter que le PEES peut être révisé selon le besoin durant la mise en œuvre du Projet, d’une façon qui rend compte de la gestion adaptative des changements ou des situations imprévues pouvant survenir dans le cadre du PNDA, ou en réponse à une évaluation de la performance du Projet réalisée en vertu du PEES lui-même. Dans de telles situations, le Gouvernement de la RDC conviendra de ces changements avec la Banque Mondiale et révisera le PEES en conséquence. L’accord sur les modifications apportées au PEES sera attesté par l’échange de lettres signées entre la Banque Mondiale et le Gouvernement de la RDC. Ce dernier publiera sans délai le PEES révisé. En fonction de la nature du Projet, le PEES peut également indiquer le montant des fonds requis pour la réalisation d’une mesure ou d’une action. </w:t>
      </w:r>
    </w:p>
    <w:p w14:paraId="489E5B3D" w14:textId="77777777" w:rsidR="009021F1" w:rsidRPr="009D55A6" w:rsidRDefault="009021F1" w:rsidP="009021F1">
      <w:pPr>
        <w:rPr>
          <w:rFonts w:cs="Arial"/>
          <w:szCs w:val="21"/>
        </w:rPr>
      </w:pPr>
    </w:p>
    <w:p w14:paraId="7E1F06A0" w14:textId="77777777" w:rsidR="009021F1" w:rsidRPr="009D55A6" w:rsidRDefault="009021F1" w:rsidP="009021F1">
      <w:pPr>
        <w:rPr>
          <w:rFonts w:cs="Arial"/>
          <w:szCs w:val="21"/>
        </w:rPr>
      </w:pPr>
      <w:r w:rsidRPr="009D55A6">
        <w:rPr>
          <w:rFonts w:cs="Arial"/>
          <w:szCs w:val="21"/>
        </w:rPr>
        <w:t xml:space="preserve">En fin, lorsque la performance même du Projet ou bien des situations imprévues ou des changements survenus dans le cadre du PNDA entraînent une évolution des risques et des effets durant sa mise en œuvre, </w:t>
      </w:r>
    </w:p>
    <w:p w14:paraId="074E35AB" w14:textId="77777777" w:rsidR="009021F1" w:rsidRPr="009D55A6" w:rsidRDefault="009021F1" w:rsidP="009021F1">
      <w:pPr>
        <w:rPr>
          <w:rFonts w:cs="Arial"/>
          <w:szCs w:val="21"/>
        </w:rPr>
      </w:pPr>
    </w:p>
    <w:p w14:paraId="5E6D993E" w14:textId="77777777" w:rsidR="009021F1" w:rsidRPr="009D55A6" w:rsidRDefault="009021F1" w:rsidP="009021F1">
      <w:pPr>
        <w:rPr>
          <w:rFonts w:cs="Arial"/>
          <w:szCs w:val="21"/>
        </w:rPr>
      </w:pPr>
      <w:r w:rsidRPr="009D55A6">
        <w:rPr>
          <w:rFonts w:cs="Arial"/>
          <w:szCs w:val="21"/>
        </w:rPr>
        <w:t>Le Gouvernement de la RDC met à disposition des fonds additionnels, le cas échéant, pour la mise en œuvre des actions et des mesures permettant de faire face à ces risques et effets, qui peuvent comprendre par exemple les risques et effets pertinents pour le Projet, comme les effets environnementaux, sanitaires et sécuritaires, l’afflux de main-d’œuvre et les violences basées sur le genre, etc.</w:t>
      </w:r>
    </w:p>
    <w:p w14:paraId="2D9CBB3D" w14:textId="77777777" w:rsidR="009021F1" w:rsidRPr="009D55A6" w:rsidRDefault="009021F1" w:rsidP="009021F1">
      <w:pPr>
        <w:rPr>
          <w:rFonts w:cs="Arial"/>
          <w:szCs w:val="21"/>
        </w:rPr>
      </w:pPr>
    </w:p>
    <w:p w14:paraId="70C7D339" w14:textId="77777777" w:rsidR="009021F1" w:rsidRPr="009D55A6" w:rsidRDefault="009021F1" w:rsidP="009021F1">
      <w:pPr>
        <w:rPr>
          <w:rFonts w:cs="Arial"/>
          <w:szCs w:val="21"/>
        </w:rPr>
      </w:pPr>
      <w:r w:rsidRPr="009D55A6">
        <w:rPr>
          <w:rFonts w:cs="Arial"/>
          <w:szCs w:val="21"/>
        </w:rPr>
        <w:t xml:space="preserve">Dans le cas du PNDA qui présente un risque environnemental et social substantiel, le Gouvernement transmettra à la Banque et rendra public, avant l’évaluation du Projet, comme convenu avec la Banque, de la documentation sur les risques et effets environnementaux et sociaux du Projet. Ces documents cités ci-haut examineront les principaux risques et effets du Projet de manière approfondie et comporteront des informations suffisamment détaillées pour servir de base à la mobilisation des parties prenantes et aux décisions de la Banque. Le Gouvernement de la RDC </w:t>
      </w:r>
      <w:r w:rsidRPr="009D55A6">
        <w:rPr>
          <w:rFonts w:cs="Arial"/>
          <w:i/>
          <w:szCs w:val="21"/>
        </w:rPr>
        <w:t>via</w:t>
      </w:r>
      <w:r w:rsidRPr="009D55A6">
        <w:rPr>
          <w:rFonts w:cs="Arial"/>
          <w:szCs w:val="21"/>
        </w:rPr>
        <w:t xml:space="preserve"> le PNDA transmettra à la Banque et rendra publics les documents définitifs ou actualisés, tel qu’indiqué dans le PEES.</w:t>
      </w:r>
    </w:p>
    <w:p w14:paraId="3CFF1729" w14:textId="77777777" w:rsidR="009021F1" w:rsidRPr="009D55A6" w:rsidRDefault="009021F1" w:rsidP="009021F1">
      <w:pPr>
        <w:autoSpaceDE w:val="0"/>
        <w:autoSpaceDN w:val="0"/>
        <w:adjustRightInd w:val="0"/>
        <w:rPr>
          <w:rFonts w:cs="Arial"/>
          <w:color w:val="000000"/>
          <w:szCs w:val="21"/>
        </w:rPr>
      </w:pPr>
    </w:p>
    <w:p w14:paraId="212857A3" w14:textId="77777777" w:rsidR="009021F1" w:rsidRPr="009D55A6" w:rsidRDefault="009021F1" w:rsidP="009021F1">
      <w:pPr>
        <w:rPr>
          <w:rFonts w:cs="Arial"/>
          <w:i/>
          <w:szCs w:val="21"/>
        </w:rPr>
      </w:pPr>
      <w:r w:rsidRPr="009D55A6">
        <w:rPr>
          <w:rFonts w:cs="Arial"/>
          <w:i/>
          <w:szCs w:val="21"/>
        </w:rPr>
        <w:t>NES n°2 : Emploi et conditions de travail</w:t>
      </w:r>
    </w:p>
    <w:p w14:paraId="23B6D698" w14:textId="77777777" w:rsidR="009021F1" w:rsidRPr="009D55A6" w:rsidRDefault="009021F1" w:rsidP="009021F1">
      <w:pPr>
        <w:rPr>
          <w:rFonts w:cs="Arial"/>
          <w:szCs w:val="21"/>
        </w:rPr>
      </w:pPr>
    </w:p>
    <w:p w14:paraId="3853388C" w14:textId="77777777" w:rsidR="009021F1" w:rsidRPr="009D55A6" w:rsidRDefault="009021F1" w:rsidP="009021F1">
      <w:pPr>
        <w:rPr>
          <w:rFonts w:cs="Arial"/>
          <w:szCs w:val="21"/>
        </w:rPr>
      </w:pPr>
      <w:r w:rsidRPr="009D55A6">
        <w:rPr>
          <w:rFonts w:cs="Arial"/>
          <w:szCs w:val="21"/>
        </w:rPr>
        <w:t>Elle reconnaît l’importance de la création d’emplois et d’activités génératrices de revenus à des fins de réduction de la pauvreté et de promotion d’une croissance économique solidaire. Les Emprunteurs peuvent promouvoir de bonnes relations entre travailleurs et employeurs et améliorer les retombées d’un projet sur le développement en traitant les travailleurs du projet de façon équitable et en leur offrant des conditions de travail saines et sûres.</w:t>
      </w:r>
    </w:p>
    <w:p w14:paraId="6BAD1698" w14:textId="77777777" w:rsidR="009021F1" w:rsidRPr="009D55A6" w:rsidRDefault="009021F1" w:rsidP="009021F1">
      <w:pPr>
        <w:rPr>
          <w:rFonts w:cs="Arial"/>
          <w:szCs w:val="21"/>
        </w:rPr>
      </w:pPr>
    </w:p>
    <w:p w14:paraId="6A48A6D9" w14:textId="77777777" w:rsidR="009021F1" w:rsidRPr="009D55A6" w:rsidRDefault="009021F1" w:rsidP="009021F1">
      <w:pPr>
        <w:rPr>
          <w:szCs w:val="21"/>
        </w:rPr>
      </w:pPr>
      <w:r w:rsidRPr="009D55A6">
        <w:rPr>
          <w:szCs w:val="21"/>
        </w:rPr>
        <w:t>Les objectifs de la NES n°2 sont :</w:t>
      </w:r>
    </w:p>
    <w:p w14:paraId="0035C6C0" w14:textId="77777777" w:rsidR="009021F1" w:rsidRPr="009D55A6" w:rsidRDefault="009021F1" w:rsidP="009021F1">
      <w:pPr>
        <w:rPr>
          <w:szCs w:val="21"/>
        </w:rPr>
      </w:pPr>
    </w:p>
    <w:p w14:paraId="2A166727" w14:textId="77777777" w:rsidR="009021F1" w:rsidRPr="009D55A6" w:rsidRDefault="009021F1" w:rsidP="009021F1">
      <w:pPr>
        <w:pStyle w:val="Paragraphedeliste"/>
        <w:numPr>
          <w:ilvl w:val="0"/>
          <w:numId w:val="96"/>
        </w:numPr>
        <w:rPr>
          <w:szCs w:val="21"/>
        </w:rPr>
      </w:pPr>
      <w:r w:rsidRPr="009D55A6">
        <w:rPr>
          <w:szCs w:val="21"/>
        </w:rPr>
        <w:t>Promouvoir la sécurité et la santé au travail ;</w:t>
      </w:r>
    </w:p>
    <w:p w14:paraId="38800DE0" w14:textId="77777777" w:rsidR="009021F1" w:rsidRPr="009D55A6" w:rsidRDefault="009021F1" w:rsidP="009021F1">
      <w:pPr>
        <w:pStyle w:val="Paragraphedeliste"/>
        <w:numPr>
          <w:ilvl w:val="0"/>
          <w:numId w:val="96"/>
        </w:numPr>
        <w:rPr>
          <w:szCs w:val="21"/>
        </w:rPr>
      </w:pPr>
      <w:r w:rsidRPr="009D55A6">
        <w:rPr>
          <w:szCs w:val="21"/>
        </w:rPr>
        <w:t>Encourager le traitement équitable, la non-discrimination et l’égalité des chances pour les travailleurs du projet ;</w:t>
      </w:r>
    </w:p>
    <w:p w14:paraId="23A10FE9" w14:textId="77777777" w:rsidR="009021F1" w:rsidRPr="009D55A6" w:rsidRDefault="009021F1" w:rsidP="009021F1">
      <w:pPr>
        <w:pStyle w:val="Paragraphedeliste"/>
        <w:numPr>
          <w:ilvl w:val="0"/>
          <w:numId w:val="96"/>
        </w:numPr>
        <w:rPr>
          <w:szCs w:val="21"/>
        </w:rPr>
      </w:pPr>
      <w:r w:rsidRPr="009D55A6">
        <w:rPr>
          <w:szCs w:val="21"/>
        </w:rPr>
        <w:t>Protéger les travailleurs du projet, notamment ceux qui sont vulnérables tels que les femmes, les personnes handicapées, les enfants (en âge de travailler, conformément à cette NES) et les travailleurs migrants, ainsi que les travailleurs contractuels, communautaires et les employés des fournisseurs principaux, le cas échéant ;</w:t>
      </w:r>
    </w:p>
    <w:p w14:paraId="74EC26B2" w14:textId="77777777" w:rsidR="009021F1" w:rsidRPr="009D55A6" w:rsidRDefault="009021F1" w:rsidP="009021F1">
      <w:pPr>
        <w:pStyle w:val="Paragraphedeliste"/>
        <w:numPr>
          <w:ilvl w:val="0"/>
          <w:numId w:val="96"/>
        </w:numPr>
        <w:rPr>
          <w:szCs w:val="21"/>
        </w:rPr>
      </w:pPr>
      <w:r w:rsidRPr="009D55A6">
        <w:rPr>
          <w:szCs w:val="21"/>
        </w:rPr>
        <w:t>Empêcher le recours à toute forme de travail forcé et au travail des enfants ;</w:t>
      </w:r>
    </w:p>
    <w:p w14:paraId="22957EB1" w14:textId="77777777" w:rsidR="009021F1" w:rsidRPr="009D55A6" w:rsidRDefault="009021F1" w:rsidP="009021F1">
      <w:pPr>
        <w:pStyle w:val="Paragraphedeliste"/>
        <w:numPr>
          <w:ilvl w:val="0"/>
          <w:numId w:val="96"/>
        </w:numPr>
        <w:rPr>
          <w:szCs w:val="21"/>
        </w:rPr>
      </w:pPr>
      <w:r w:rsidRPr="009D55A6">
        <w:rPr>
          <w:szCs w:val="21"/>
        </w:rPr>
        <w:t>Soutenir les principes de liberté d’association et de conventions collectives des travailleurs du projet en accord avec le droit national ;</w:t>
      </w:r>
    </w:p>
    <w:p w14:paraId="5C2A01E0" w14:textId="77777777" w:rsidR="009021F1" w:rsidRPr="009D55A6" w:rsidRDefault="009021F1" w:rsidP="009021F1">
      <w:pPr>
        <w:pStyle w:val="Paragraphedeliste"/>
        <w:numPr>
          <w:ilvl w:val="0"/>
          <w:numId w:val="96"/>
        </w:numPr>
        <w:rPr>
          <w:szCs w:val="21"/>
        </w:rPr>
      </w:pPr>
      <w:r w:rsidRPr="009D55A6">
        <w:rPr>
          <w:szCs w:val="21"/>
        </w:rPr>
        <w:t>Fournir aux travailleurs du projet les moyens d’évoquer les problèmes qui se posent sur leur lieu de travail.</w:t>
      </w:r>
    </w:p>
    <w:p w14:paraId="5296C358" w14:textId="77777777" w:rsidR="009021F1" w:rsidRPr="009D55A6" w:rsidRDefault="009021F1" w:rsidP="009021F1">
      <w:pPr>
        <w:rPr>
          <w:szCs w:val="21"/>
        </w:rPr>
      </w:pPr>
    </w:p>
    <w:p w14:paraId="7CD0E00E" w14:textId="77777777" w:rsidR="009021F1" w:rsidRPr="009D55A6" w:rsidRDefault="009021F1" w:rsidP="009021F1">
      <w:pPr>
        <w:rPr>
          <w:rFonts w:cs="Arial"/>
          <w:szCs w:val="21"/>
        </w:rPr>
      </w:pPr>
      <w:r w:rsidRPr="009D55A6">
        <w:rPr>
          <w:rFonts w:cs="Arial"/>
          <w:szCs w:val="21"/>
        </w:rPr>
        <w:t>Le champ d’application de la NES n°2 dépend du type de relation qui lie l’Emprunteur aux travailleurs du Projet. La NES n°2 s’applique aux travailleurs à temps plein, à temps partiel, temporaires, saisonniers et migrants, qui peuvent être des travailleurs directs du projet, des travailleurs contractuels, les personnes employées ou recrutées par les fournisseurs principaux, les membres de la communauté recrutés pour travailler sur le Projet (travailleurs communautaire).</w:t>
      </w:r>
    </w:p>
    <w:p w14:paraId="74307829" w14:textId="77777777" w:rsidR="009021F1" w:rsidRPr="009D55A6" w:rsidRDefault="009021F1" w:rsidP="009021F1">
      <w:pPr>
        <w:rPr>
          <w:rFonts w:cs="Arial"/>
          <w:szCs w:val="21"/>
        </w:rPr>
      </w:pPr>
    </w:p>
    <w:p w14:paraId="027EBF80" w14:textId="77777777" w:rsidR="009021F1" w:rsidRPr="009D55A6" w:rsidRDefault="009021F1" w:rsidP="009021F1">
      <w:pPr>
        <w:rPr>
          <w:rFonts w:cs="Arial"/>
          <w:szCs w:val="21"/>
        </w:rPr>
      </w:pPr>
      <w:r w:rsidRPr="009D55A6">
        <w:rPr>
          <w:rFonts w:cs="Arial"/>
          <w:szCs w:val="21"/>
        </w:rPr>
        <w:t xml:space="preserve">Cette norme exige que le Gouvernement de la RDC élabore et mette en œuvre des procédures de gestion de la main d’œuvre (PGMO) applicables au PNDA. Ces procédures décriront la manière dont les travailleurs du Projet seront gérés, conformément aux prescriptions du droit national et de la présente NES. Elles indiqueront de quelle façon la présente NES s’appliquera aux différentes catégories de travailleurs du projet, y compris les travailleurs directs, et les obligations que le Gouvernement de la RDC imposera aux tiers concernant la gestion de leurs employés. </w:t>
      </w:r>
    </w:p>
    <w:p w14:paraId="538535B1" w14:textId="77777777" w:rsidR="009021F1" w:rsidRPr="009D55A6" w:rsidRDefault="009021F1" w:rsidP="009021F1">
      <w:pPr>
        <w:rPr>
          <w:rFonts w:cs="Arial"/>
          <w:szCs w:val="21"/>
        </w:rPr>
      </w:pPr>
    </w:p>
    <w:p w14:paraId="386996E1" w14:textId="77777777" w:rsidR="009021F1" w:rsidRPr="009D55A6" w:rsidRDefault="009021F1" w:rsidP="009021F1">
      <w:pPr>
        <w:rPr>
          <w:rFonts w:cs="Arial"/>
          <w:szCs w:val="21"/>
        </w:rPr>
      </w:pPr>
      <w:r w:rsidRPr="009D55A6">
        <w:rPr>
          <w:rFonts w:cs="Arial"/>
          <w:szCs w:val="21"/>
        </w:rPr>
        <w:t xml:space="preserve">Elle prône entre autres : </w:t>
      </w:r>
      <w:r w:rsidRPr="009D55A6">
        <w:rPr>
          <w:rFonts w:cs="Arial"/>
          <w:i/>
          <w:szCs w:val="21"/>
        </w:rPr>
        <w:t>(i)</w:t>
      </w:r>
      <w:r w:rsidRPr="009D55A6">
        <w:rPr>
          <w:rFonts w:cs="Arial"/>
          <w:szCs w:val="21"/>
        </w:rPr>
        <w:t xml:space="preserve"> la non-discrimination et égalité des chances, y compris les proscriptions des actes de harcèlement sexuel dans l’environnement de travail ; </w:t>
      </w:r>
      <w:r w:rsidRPr="009D55A6">
        <w:rPr>
          <w:rFonts w:cs="Arial"/>
          <w:i/>
          <w:szCs w:val="21"/>
        </w:rPr>
        <w:t>(ii)</w:t>
      </w:r>
      <w:r w:rsidRPr="009D55A6">
        <w:rPr>
          <w:rFonts w:cs="Arial"/>
          <w:szCs w:val="21"/>
        </w:rPr>
        <w:t xml:space="preserve"> Organisations professionnelles ; </w:t>
      </w:r>
      <w:r w:rsidRPr="009D55A6">
        <w:rPr>
          <w:rFonts w:cs="Arial"/>
          <w:i/>
          <w:szCs w:val="21"/>
        </w:rPr>
        <w:t>(iii)</w:t>
      </w:r>
      <w:r w:rsidRPr="009D55A6">
        <w:rPr>
          <w:rFonts w:cs="Arial"/>
          <w:szCs w:val="21"/>
        </w:rPr>
        <w:t xml:space="preserve"> la proscription du travail des enfants en dehors de l’âge minimum fixe par la norme ou la loi nationale du pays ; </w:t>
      </w:r>
      <w:r w:rsidRPr="009D55A6">
        <w:rPr>
          <w:rFonts w:cs="Arial"/>
          <w:i/>
          <w:szCs w:val="21"/>
        </w:rPr>
        <w:t xml:space="preserve">(iv) </w:t>
      </w:r>
      <w:r w:rsidRPr="009D55A6">
        <w:rPr>
          <w:rFonts w:cs="Arial"/>
          <w:szCs w:val="21"/>
        </w:rPr>
        <w:t>interdiction du travail force, la possibilité pour les travailleurs de pouvoir se plaindre ; etc.</w:t>
      </w:r>
    </w:p>
    <w:p w14:paraId="45CDFC78" w14:textId="77777777" w:rsidR="009021F1" w:rsidRPr="009D55A6" w:rsidRDefault="009021F1" w:rsidP="009021F1">
      <w:pPr>
        <w:rPr>
          <w:rFonts w:cs="Arial"/>
          <w:szCs w:val="21"/>
        </w:rPr>
      </w:pPr>
    </w:p>
    <w:p w14:paraId="0A5B736B" w14:textId="77777777" w:rsidR="009021F1" w:rsidRPr="009D55A6" w:rsidRDefault="009021F1" w:rsidP="009021F1">
      <w:pPr>
        <w:rPr>
          <w:rFonts w:cs="Arial"/>
          <w:szCs w:val="21"/>
        </w:rPr>
      </w:pPr>
      <w:r w:rsidRPr="009D55A6">
        <w:rPr>
          <w:rFonts w:cs="Arial"/>
          <w:szCs w:val="21"/>
        </w:rPr>
        <w:t xml:space="preserve">S’agissant de </w:t>
      </w:r>
      <w:r w:rsidRPr="009D55A6">
        <w:rPr>
          <w:rFonts w:cs="Arial"/>
          <w:i/>
          <w:szCs w:val="21"/>
        </w:rPr>
        <w:t>la gestion des fournisseurs et prestataires,</w:t>
      </w:r>
      <w:r w:rsidRPr="009D55A6">
        <w:rPr>
          <w:rFonts w:cs="Arial"/>
          <w:szCs w:val="21"/>
        </w:rPr>
        <w:t xml:space="preserve"> le PNDA exigera que tous les fournisseurs et prestataires intervenant dans son projet se conforment aux dispositions de la NES n° 2, y compris les dispositions des procédures de gestion de la main d’œuvre. </w:t>
      </w:r>
    </w:p>
    <w:p w14:paraId="716791F5" w14:textId="77777777" w:rsidR="009021F1" w:rsidRPr="009D55A6" w:rsidRDefault="009021F1" w:rsidP="009021F1">
      <w:pPr>
        <w:rPr>
          <w:rFonts w:cs="Arial"/>
          <w:szCs w:val="21"/>
        </w:rPr>
      </w:pPr>
    </w:p>
    <w:p w14:paraId="2D5745C9" w14:textId="77777777" w:rsidR="009021F1" w:rsidRPr="009D55A6" w:rsidRDefault="009021F1" w:rsidP="009021F1">
      <w:pPr>
        <w:rPr>
          <w:rFonts w:cs="Arial"/>
          <w:szCs w:val="21"/>
        </w:rPr>
      </w:pPr>
      <w:r w:rsidRPr="009D55A6">
        <w:rPr>
          <w:rFonts w:cs="Arial"/>
          <w:szCs w:val="21"/>
        </w:rPr>
        <w:t xml:space="preserve">S’agissant des risques d’EAS/HS et du Mécanisme de Gestion des Plaintes, quelques actions pour les adresser au niveau des entreprises, et aussi au niveau du personnel de projet, méritent d’être prises en compte : </w:t>
      </w:r>
      <w:r w:rsidRPr="009D55A6">
        <w:rPr>
          <w:rFonts w:cs="Arial"/>
          <w:i/>
          <w:szCs w:val="21"/>
        </w:rPr>
        <w:t xml:space="preserve">(i) </w:t>
      </w:r>
      <w:r w:rsidRPr="009D55A6">
        <w:rPr>
          <w:rFonts w:cs="Arial"/>
          <w:szCs w:val="21"/>
        </w:rPr>
        <w:t xml:space="preserve">définir clairement les requis en matière d’EAS/HS dans une note aux travailleurs ; </w:t>
      </w:r>
      <w:r w:rsidRPr="009D55A6">
        <w:rPr>
          <w:rFonts w:cs="Arial"/>
          <w:i/>
          <w:szCs w:val="21"/>
        </w:rPr>
        <w:t>(ii)</w:t>
      </w:r>
      <w:r w:rsidRPr="009D55A6">
        <w:rPr>
          <w:rFonts w:cs="Arial"/>
          <w:szCs w:val="21"/>
        </w:rPr>
        <w:t xml:space="preserve"> inclure et expliquer clairement les exigences relatives aux codes de conduite dans la note aux travailleurs, fournir un exemplaire de code de conduite ; </w:t>
      </w:r>
      <w:r w:rsidRPr="009D55A6">
        <w:rPr>
          <w:rFonts w:cs="Arial"/>
          <w:i/>
          <w:szCs w:val="21"/>
        </w:rPr>
        <w:t>(iii)</w:t>
      </w:r>
      <w:r w:rsidRPr="009D55A6">
        <w:rPr>
          <w:rFonts w:cs="Arial"/>
          <w:szCs w:val="21"/>
        </w:rPr>
        <w:t xml:space="preserve"> inclure les closes liées à l’atténuation des risques d’EAS/HS dans le contrat (ex. en matière de santé et de sécurité au travail) ; </w:t>
      </w:r>
      <w:r w:rsidRPr="009D55A6">
        <w:rPr>
          <w:rFonts w:cs="Arial"/>
          <w:i/>
          <w:szCs w:val="21"/>
        </w:rPr>
        <w:t xml:space="preserve">(iv) </w:t>
      </w:r>
      <w:r w:rsidRPr="009D55A6">
        <w:rPr>
          <w:rFonts w:cs="Arial"/>
          <w:szCs w:val="21"/>
        </w:rPr>
        <w:t xml:space="preserve">inclure toutes les responsabilités et sanctions en matière d’EAS/HS dans les conditions particulières du contrat ; </w:t>
      </w:r>
      <w:r w:rsidRPr="009D55A6">
        <w:rPr>
          <w:rFonts w:cs="Arial"/>
          <w:i/>
          <w:szCs w:val="21"/>
        </w:rPr>
        <w:t>(v)</w:t>
      </w:r>
      <w:r w:rsidRPr="009D55A6">
        <w:rPr>
          <w:rFonts w:cs="Arial"/>
          <w:szCs w:val="21"/>
        </w:rPr>
        <w:t xml:space="preserve"> les travailleurs doivent signer un code de conduite ; </w:t>
      </w:r>
      <w:r w:rsidRPr="009D55A6">
        <w:rPr>
          <w:rFonts w:cs="Arial"/>
          <w:i/>
          <w:szCs w:val="21"/>
        </w:rPr>
        <w:t>(vi)</w:t>
      </w:r>
      <w:r w:rsidRPr="009D55A6">
        <w:rPr>
          <w:rFonts w:cs="Arial"/>
          <w:szCs w:val="21"/>
        </w:rPr>
        <w:t xml:space="preserve"> les travailleurs doivent assister et être mis à la disposition des formations ; </w:t>
      </w:r>
      <w:r w:rsidRPr="009D55A6">
        <w:rPr>
          <w:rFonts w:cs="Arial"/>
          <w:i/>
          <w:szCs w:val="21"/>
        </w:rPr>
        <w:t>(vii)</w:t>
      </w:r>
      <w:r w:rsidRPr="009D55A6">
        <w:rPr>
          <w:rFonts w:cs="Arial"/>
          <w:szCs w:val="21"/>
        </w:rPr>
        <w:t xml:space="preserve"> préciser le nombre de jours de formation et de fréquence ; </w:t>
      </w:r>
      <w:r w:rsidRPr="009D55A6">
        <w:rPr>
          <w:rFonts w:cs="Arial"/>
          <w:i/>
          <w:szCs w:val="21"/>
        </w:rPr>
        <w:t>(viii)</w:t>
      </w:r>
      <w:r w:rsidRPr="009D55A6">
        <w:rPr>
          <w:rFonts w:cs="Arial"/>
          <w:szCs w:val="21"/>
        </w:rPr>
        <w:t xml:space="preserve"> évaluer la proposition de réponse de l’entreprise en matière d’EAS/HS dans le cadre de l’évaluation des soumissions (risque modéré), </w:t>
      </w:r>
      <w:r w:rsidRPr="009D55A6">
        <w:rPr>
          <w:rFonts w:cs="Arial"/>
          <w:i/>
          <w:szCs w:val="21"/>
        </w:rPr>
        <w:t>(ix)</w:t>
      </w:r>
      <w:r w:rsidRPr="009D55A6">
        <w:rPr>
          <w:rFonts w:cs="Arial"/>
          <w:szCs w:val="21"/>
        </w:rPr>
        <w:t xml:space="preserve"> mise en place d’un mécanisme de gestion des plaintes sensibles au genre.</w:t>
      </w:r>
    </w:p>
    <w:p w14:paraId="081D0B83" w14:textId="77777777" w:rsidR="009021F1" w:rsidRPr="009D55A6" w:rsidRDefault="009021F1" w:rsidP="009021F1">
      <w:pPr>
        <w:rPr>
          <w:rFonts w:cs="Arial"/>
          <w:szCs w:val="21"/>
        </w:rPr>
      </w:pPr>
    </w:p>
    <w:p w14:paraId="5D4F4BBF" w14:textId="77777777" w:rsidR="009021F1" w:rsidRPr="009D55A6" w:rsidRDefault="009021F1" w:rsidP="009021F1">
      <w:pPr>
        <w:rPr>
          <w:rFonts w:cs="Arial"/>
          <w:szCs w:val="21"/>
        </w:rPr>
      </w:pPr>
      <w:r w:rsidRPr="009D55A6">
        <w:rPr>
          <w:rFonts w:cs="Arial"/>
          <w:szCs w:val="21"/>
        </w:rPr>
        <w:t>Il est important de signaler que le MGP et les PGMO s’appliqueront pour tous les travaux de réhabilitation des routes, d’aménagement des voies navigables et de construction des infrastructures par les entreprises qui auront à recruter la main d’œuvre locale. Par contre, l’application du MGP et du PGMO pour les exploitations familiales ne sera pas nécessaire. Cependant, leur application aux exploitants agricoles dépendra de la taille, du matériel et de la quantité de la main d’œuvre qui sera recrutée. Tout dépendra des résultats des enquêtes d’indentification des bassins de production en cours.</w:t>
      </w:r>
    </w:p>
    <w:p w14:paraId="4619D034" w14:textId="77777777" w:rsidR="009021F1" w:rsidRPr="009D55A6" w:rsidRDefault="009021F1" w:rsidP="009021F1">
      <w:pPr>
        <w:rPr>
          <w:rFonts w:cs="Arial"/>
          <w:i/>
          <w:szCs w:val="21"/>
        </w:rPr>
      </w:pPr>
    </w:p>
    <w:p w14:paraId="6755315B" w14:textId="77777777" w:rsidR="009021F1" w:rsidRPr="009D55A6" w:rsidRDefault="009021F1" w:rsidP="009021F1">
      <w:pPr>
        <w:rPr>
          <w:rFonts w:cs="Arial"/>
          <w:i/>
          <w:szCs w:val="21"/>
        </w:rPr>
      </w:pPr>
      <w:r w:rsidRPr="009D55A6">
        <w:rPr>
          <w:rFonts w:cs="Arial"/>
          <w:i/>
          <w:szCs w:val="21"/>
        </w:rPr>
        <w:t>NES n°3 : Utilisation rationnelle des ressources et prévention et gestion de la pollution</w:t>
      </w:r>
    </w:p>
    <w:p w14:paraId="4A53616D" w14:textId="77777777" w:rsidR="009021F1" w:rsidRPr="009D55A6" w:rsidRDefault="009021F1" w:rsidP="009021F1">
      <w:pPr>
        <w:rPr>
          <w:rFonts w:cs="Arial"/>
          <w:szCs w:val="21"/>
        </w:rPr>
      </w:pPr>
    </w:p>
    <w:p w14:paraId="7BCD659D" w14:textId="77777777" w:rsidR="009021F1" w:rsidRPr="009D55A6" w:rsidRDefault="009021F1" w:rsidP="009021F1">
      <w:pPr>
        <w:rPr>
          <w:rFonts w:cs="Arial"/>
          <w:szCs w:val="21"/>
        </w:rPr>
      </w:pPr>
      <w:r w:rsidRPr="009D55A6">
        <w:rPr>
          <w:rFonts w:cs="Arial"/>
          <w:szCs w:val="21"/>
        </w:rPr>
        <w:t xml:space="preserve">Elle reconnaît que l’activité économique et l’urbanisation sont souvent à l’origine de la pollution de l’air, de l’eau et des sols, et appauvrissent les ressources déjà limitées. Ces effets peuvent menacer les personnes, les services écosystémiques et l’environnement à l’échelle locale, régionale et mondiale, y compris les concentrations atmosphériques actuelles et prévisionnelles de gaz à effet de serre (GES) qui menacent le bien-être des générations actuelles et futures. </w:t>
      </w:r>
    </w:p>
    <w:p w14:paraId="11C04222" w14:textId="77777777" w:rsidR="009021F1" w:rsidRPr="009D55A6" w:rsidRDefault="009021F1" w:rsidP="009021F1">
      <w:pPr>
        <w:rPr>
          <w:szCs w:val="21"/>
        </w:rPr>
      </w:pPr>
      <w:r w:rsidRPr="009D55A6">
        <w:rPr>
          <w:szCs w:val="21"/>
        </w:rPr>
        <w:t>Les objectifs de la NES n°3 sont :</w:t>
      </w:r>
    </w:p>
    <w:p w14:paraId="17B5BCD7" w14:textId="77777777" w:rsidR="009021F1" w:rsidRPr="009D55A6" w:rsidRDefault="009021F1" w:rsidP="009021F1">
      <w:pPr>
        <w:rPr>
          <w:szCs w:val="21"/>
        </w:rPr>
      </w:pPr>
    </w:p>
    <w:p w14:paraId="321A3735" w14:textId="77777777" w:rsidR="009021F1" w:rsidRPr="009D55A6" w:rsidRDefault="009021F1" w:rsidP="009021F1">
      <w:pPr>
        <w:pStyle w:val="Paragraphedeliste"/>
        <w:numPr>
          <w:ilvl w:val="0"/>
          <w:numId w:val="96"/>
        </w:numPr>
        <w:rPr>
          <w:szCs w:val="21"/>
        </w:rPr>
      </w:pPr>
      <w:r w:rsidRPr="009D55A6">
        <w:rPr>
          <w:szCs w:val="21"/>
        </w:rPr>
        <w:t>Promouvoir l’utilisation durable des ressources, notamment l’énergie, l’eau et les matières premières ;</w:t>
      </w:r>
    </w:p>
    <w:p w14:paraId="32C4C173" w14:textId="77777777" w:rsidR="009021F1" w:rsidRPr="009D55A6" w:rsidRDefault="009021F1" w:rsidP="009021F1">
      <w:pPr>
        <w:pStyle w:val="Paragraphedeliste"/>
        <w:numPr>
          <w:ilvl w:val="0"/>
          <w:numId w:val="96"/>
        </w:numPr>
        <w:rPr>
          <w:szCs w:val="21"/>
        </w:rPr>
      </w:pPr>
      <w:r w:rsidRPr="009D55A6">
        <w:rPr>
          <w:szCs w:val="21"/>
        </w:rPr>
        <w:t>Éviter ou minimiser les impacts négatifs du projet sur la santé humaine et l’environnement en évitant ou en minimisant la pollution provenant des activités du projet ;</w:t>
      </w:r>
    </w:p>
    <w:p w14:paraId="413E2069" w14:textId="77777777" w:rsidR="009021F1" w:rsidRPr="009D55A6" w:rsidRDefault="009021F1" w:rsidP="009021F1">
      <w:pPr>
        <w:pStyle w:val="Paragraphedeliste"/>
        <w:numPr>
          <w:ilvl w:val="0"/>
          <w:numId w:val="96"/>
        </w:numPr>
        <w:rPr>
          <w:szCs w:val="21"/>
        </w:rPr>
      </w:pPr>
      <w:r w:rsidRPr="009D55A6">
        <w:rPr>
          <w:szCs w:val="21"/>
        </w:rPr>
        <w:t>Éviter ou minimiser les émissions de polluants atmosphériques à courte et longue durée de vie liées au projet ;</w:t>
      </w:r>
    </w:p>
    <w:p w14:paraId="076E2880" w14:textId="77777777" w:rsidR="009021F1" w:rsidRPr="009D55A6" w:rsidRDefault="009021F1" w:rsidP="009021F1">
      <w:pPr>
        <w:pStyle w:val="Paragraphedeliste"/>
        <w:numPr>
          <w:ilvl w:val="0"/>
          <w:numId w:val="96"/>
        </w:numPr>
        <w:rPr>
          <w:szCs w:val="21"/>
        </w:rPr>
      </w:pPr>
      <w:r w:rsidRPr="009D55A6">
        <w:rPr>
          <w:szCs w:val="21"/>
        </w:rPr>
        <w:t>Éviter ou minimiser la production de déchets dangereux et non dangereux ;</w:t>
      </w:r>
    </w:p>
    <w:p w14:paraId="28146D80" w14:textId="77777777" w:rsidR="009021F1" w:rsidRPr="009D55A6" w:rsidRDefault="009021F1" w:rsidP="009021F1">
      <w:pPr>
        <w:pStyle w:val="Paragraphedeliste"/>
        <w:numPr>
          <w:ilvl w:val="0"/>
          <w:numId w:val="96"/>
        </w:numPr>
        <w:rPr>
          <w:szCs w:val="21"/>
        </w:rPr>
      </w:pPr>
      <w:r w:rsidRPr="009D55A6">
        <w:rPr>
          <w:szCs w:val="21"/>
        </w:rPr>
        <w:t>Réduire et gérer les risques et effets liés à l’utilisation des pesticides.</w:t>
      </w:r>
    </w:p>
    <w:p w14:paraId="32B9876A" w14:textId="77777777" w:rsidR="009021F1" w:rsidRPr="009D55A6" w:rsidRDefault="009021F1" w:rsidP="009021F1">
      <w:pPr>
        <w:rPr>
          <w:rFonts w:cs="Arial"/>
          <w:szCs w:val="21"/>
        </w:rPr>
      </w:pPr>
    </w:p>
    <w:p w14:paraId="128CC507" w14:textId="77777777" w:rsidR="009021F1" w:rsidRPr="009D55A6" w:rsidRDefault="009021F1" w:rsidP="009021F1">
      <w:pPr>
        <w:rPr>
          <w:rFonts w:cs="Arial"/>
          <w:szCs w:val="21"/>
        </w:rPr>
      </w:pPr>
      <w:r w:rsidRPr="009D55A6">
        <w:rPr>
          <w:rFonts w:cs="Arial"/>
          <w:szCs w:val="21"/>
        </w:rPr>
        <w:t>Le champ d’application de la présente NES est déterminé durant l’évaluation environnementale et sociale décrite dans la NES n° 1.</w:t>
      </w:r>
    </w:p>
    <w:p w14:paraId="3D6F5703" w14:textId="77777777" w:rsidR="009021F1" w:rsidRPr="009D55A6" w:rsidRDefault="009021F1" w:rsidP="009021F1">
      <w:pPr>
        <w:rPr>
          <w:rFonts w:cs="Arial"/>
          <w:szCs w:val="21"/>
        </w:rPr>
      </w:pPr>
    </w:p>
    <w:p w14:paraId="7369F424" w14:textId="77777777" w:rsidR="009021F1" w:rsidRPr="009D55A6" w:rsidRDefault="009021F1" w:rsidP="009021F1">
      <w:pPr>
        <w:rPr>
          <w:rFonts w:cs="Arial"/>
          <w:szCs w:val="21"/>
        </w:rPr>
      </w:pPr>
      <w:r w:rsidRPr="009D55A6">
        <w:rPr>
          <w:rFonts w:cs="Arial"/>
          <w:szCs w:val="21"/>
        </w:rPr>
        <w:t>Dans le cadre de la lutte antiparasitaire dans le PNDA, conformément aux Lois du pays et à la NES n° 3 de la Banque mondiale, le Gouvernement de la RDC, a préparé un document séparé, en l’occurrence le Cadre de Gestion des Pestes et Pesticides (PGPP).</w:t>
      </w:r>
    </w:p>
    <w:p w14:paraId="42C7F20E" w14:textId="77777777" w:rsidR="009021F1" w:rsidRPr="009D55A6" w:rsidRDefault="009021F1" w:rsidP="009021F1">
      <w:pPr>
        <w:rPr>
          <w:rFonts w:cs="Arial"/>
          <w:szCs w:val="21"/>
        </w:rPr>
      </w:pPr>
    </w:p>
    <w:p w14:paraId="0B9DC8FF" w14:textId="77777777" w:rsidR="009021F1" w:rsidRPr="009D55A6" w:rsidRDefault="009021F1" w:rsidP="009021F1">
      <w:pPr>
        <w:rPr>
          <w:rFonts w:cs="Arial"/>
          <w:i/>
          <w:szCs w:val="21"/>
        </w:rPr>
      </w:pPr>
      <w:r w:rsidRPr="009D55A6">
        <w:rPr>
          <w:rFonts w:cs="Arial"/>
          <w:i/>
          <w:szCs w:val="21"/>
        </w:rPr>
        <w:t>NES n°4 : Santé et sécurité des populations</w:t>
      </w:r>
    </w:p>
    <w:p w14:paraId="3F34A42C" w14:textId="77777777" w:rsidR="009021F1" w:rsidRPr="009D55A6" w:rsidRDefault="009021F1" w:rsidP="009021F1">
      <w:pPr>
        <w:rPr>
          <w:rFonts w:cs="Arial"/>
          <w:szCs w:val="21"/>
        </w:rPr>
      </w:pPr>
    </w:p>
    <w:p w14:paraId="618AF50A" w14:textId="77777777" w:rsidR="009021F1" w:rsidRPr="009D55A6" w:rsidRDefault="009021F1" w:rsidP="009021F1">
      <w:pPr>
        <w:rPr>
          <w:rFonts w:cs="Arial"/>
          <w:szCs w:val="21"/>
        </w:rPr>
      </w:pPr>
      <w:r w:rsidRPr="009D55A6">
        <w:rPr>
          <w:rFonts w:cs="Arial"/>
          <w:szCs w:val="21"/>
        </w:rPr>
        <w:t>Elle reconnaît que les activités, le matériel et les infrastructures du projet peuvent augmenter leur exposition aux risques et effets néfastes associés au projet. En outre, celles qui subissent déjà l’impact du changement climatique peuvent connaître une accélération ou une intensification de ceux-ci à cause du projet.</w:t>
      </w:r>
    </w:p>
    <w:p w14:paraId="2AE75E4B" w14:textId="77777777" w:rsidR="009021F1" w:rsidRPr="009D55A6" w:rsidRDefault="009021F1" w:rsidP="009021F1">
      <w:pPr>
        <w:rPr>
          <w:rFonts w:cs="Arial"/>
          <w:szCs w:val="21"/>
        </w:rPr>
      </w:pPr>
    </w:p>
    <w:p w14:paraId="09193F09" w14:textId="77777777" w:rsidR="009021F1" w:rsidRPr="009D55A6" w:rsidRDefault="009021F1" w:rsidP="009021F1">
      <w:pPr>
        <w:rPr>
          <w:szCs w:val="21"/>
        </w:rPr>
      </w:pPr>
      <w:r w:rsidRPr="009D55A6">
        <w:rPr>
          <w:szCs w:val="21"/>
        </w:rPr>
        <w:t>Les objectifs de la NES n°4 sont :</w:t>
      </w:r>
    </w:p>
    <w:p w14:paraId="2894034E" w14:textId="77777777" w:rsidR="009021F1" w:rsidRPr="009D55A6" w:rsidRDefault="009021F1" w:rsidP="009021F1">
      <w:pPr>
        <w:rPr>
          <w:szCs w:val="21"/>
        </w:rPr>
      </w:pPr>
    </w:p>
    <w:p w14:paraId="514F824E" w14:textId="77777777" w:rsidR="009021F1" w:rsidRPr="009D55A6" w:rsidRDefault="009021F1" w:rsidP="009021F1">
      <w:pPr>
        <w:pStyle w:val="Paragraphedeliste"/>
        <w:numPr>
          <w:ilvl w:val="0"/>
          <w:numId w:val="96"/>
        </w:numPr>
        <w:rPr>
          <w:szCs w:val="21"/>
        </w:rPr>
      </w:pPr>
      <w:r w:rsidRPr="009D55A6">
        <w:rPr>
          <w:szCs w:val="21"/>
        </w:rPr>
        <w:t>Anticiper ou éviter les impacts néfastes sur la santé et la sécurité des populations touchées par le projet tout au long de celui-ci, que ce soit en temps normal ou dans des circonstances exceptionnelles ;</w:t>
      </w:r>
    </w:p>
    <w:p w14:paraId="7246C24D" w14:textId="77777777" w:rsidR="009021F1" w:rsidRPr="009D55A6" w:rsidRDefault="009021F1" w:rsidP="009021F1">
      <w:pPr>
        <w:pStyle w:val="Paragraphedeliste"/>
        <w:numPr>
          <w:ilvl w:val="0"/>
          <w:numId w:val="96"/>
        </w:numPr>
        <w:rPr>
          <w:szCs w:val="21"/>
        </w:rPr>
      </w:pPr>
      <w:r w:rsidRPr="009D55A6">
        <w:rPr>
          <w:szCs w:val="21"/>
        </w:rPr>
        <w:t>Encourager la prise en compte de considérations de qualité et de sécurité, et des questions de changement climatique dans la conception et la construction des infrastructures, y compris de barrages ;</w:t>
      </w:r>
    </w:p>
    <w:p w14:paraId="1F98E741" w14:textId="77777777" w:rsidR="009021F1" w:rsidRPr="009D55A6" w:rsidRDefault="009021F1" w:rsidP="009021F1">
      <w:pPr>
        <w:pStyle w:val="Paragraphedeliste"/>
        <w:numPr>
          <w:ilvl w:val="0"/>
          <w:numId w:val="96"/>
        </w:numPr>
        <w:rPr>
          <w:szCs w:val="21"/>
        </w:rPr>
      </w:pPr>
      <w:r w:rsidRPr="009D55A6">
        <w:rPr>
          <w:szCs w:val="21"/>
        </w:rPr>
        <w:t>Éviter ou minimiser l’exposition de la communauté aux risques liés à la circulation dans le cadre du projet et à la sécurité routière, aux maladies et aux matières dangereuses ;</w:t>
      </w:r>
    </w:p>
    <w:p w14:paraId="47EC7604" w14:textId="77777777" w:rsidR="009021F1" w:rsidRPr="009D55A6" w:rsidRDefault="009021F1" w:rsidP="009021F1">
      <w:pPr>
        <w:pStyle w:val="Paragraphedeliste"/>
        <w:numPr>
          <w:ilvl w:val="0"/>
          <w:numId w:val="96"/>
        </w:numPr>
        <w:rPr>
          <w:szCs w:val="21"/>
        </w:rPr>
      </w:pPr>
      <w:r w:rsidRPr="009D55A6">
        <w:rPr>
          <w:szCs w:val="21"/>
        </w:rPr>
        <w:t>Mettre en place des mesures efficaces pour faire face aux situations d’urgence ;</w:t>
      </w:r>
    </w:p>
    <w:p w14:paraId="55784348" w14:textId="77777777" w:rsidR="009021F1" w:rsidRPr="009D55A6" w:rsidRDefault="009021F1" w:rsidP="009021F1">
      <w:pPr>
        <w:pStyle w:val="Paragraphedeliste"/>
        <w:numPr>
          <w:ilvl w:val="0"/>
          <w:numId w:val="96"/>
        </w:numPr>
        <w:rPr>
          <w:szCs w:val="21"/>
        </w:rPr>
      </w:pPr>
      <w:r w:rsidRPr="009D55A6">
        <w:rPr>
          <w:szCs w:val="21"/>
        </w:rPr>
        <w:t>Veiller à ce que la protection du personnel et des biens permette d’éviter ou de minimiser les risques pour les communautés touchées par le projet.</w:t>
      </w:r>
    </w:p>
    <w:p w14:paraId="01B9F41B" w14:textId="77777777" w:rsidR="009021F1" w:rsidRPr="009D55A6" w:rsidRDefault="009021F1" w:rsidP="009021F1">
      <w:pPr>
        <w:rPr>
          <w:rFonts w:cs="Arial"/>
          <w:szCs w:val="21"/>
        </w:rPr>
      </w:pPr>
    </w:p>
    <w:p w14:paraId="55D66635" w14:textId="77777777" w:rsidR="009021F1" w:rsidRPr="009D55A6" w:rsidRDefault="009021F1" w:rsidP="009021F1">
      <w:pPr>
        <w:rPr>
          <w:rFonts w:cs="Arial"/>
          <w:szCs w:val="21"/>
        </w:rPr>
      </w:pPr>
      <w:r w:rsidRPr="009D55A6">
        <w:rPr>
          <w:rFonts w:cs="Arial"/>
          <w:szCs w:val="21"/>
        </w:rPr>
        <w:t>La NES n°4 traite des risques et effets du projet sur la santé, la sûreté et la sécurité des populations touchées par celui-ci, y compris les risques des VBG, et de la responsabilité pour le pays d’éviter ou de minimiser ces risques et effets, en portant une attention particulière aux groupes qui, du fait de leur situation particulière, peuvent être considérés comme vulnérables. Elle donne également des directives à suivre pour ce qui est de la circulation et sécurité routière, conception et sécurité des infrastructures et des équipements, ainsi que des directives à suivre en cas de besoin d’utilisation d’un personnel de sécurité.</w:t>
      </w:r>
    </w:p>
    <w:p w14:paraId="1D1BD427" w14:textId="77777777" w:rsidR="009021F1" w:rsidRPr="009D55A6" w:rsidRDefault="009021F1" w:rsidP="009021F1">
      <w:pPr>
        <w:rPr>
          <w:rFonts w:cs="Arial"/>
          <w:szCs w:val="21"/>
        </w:rPr>
      </w:pPr>
    </w:p>
    <w:p w14:paraId="4FA69EEE" w14:textId="77777777" w:rsidR="009021F1" w:rsidRPr="009D55A6" w:rsidRDefault="009021F1" w:rsidP="009021F1">
      <w:pPr>
        <w:rPr>
          <w:rFonts w:cs="Arial"/>
          <w:i/>
          <w:szCs w:val="21"/>
        </w:rPr>
      </w:pPr>
      <w:r w:rsidRPr="009D55A6">
        <w:rPr>
          <w:rFonts w:cs="Arial"/>
          <w:szCs w:val="21"/>
        </w:rPr>
        <w:t xml:space="preserve"> </w:t>
      </w:r>
      <w:r w:rsidRPr="009D55A6">
        <w:rPr>
          <w:rFonts w:cs="Arial"/>
          <w:i/>
          <w:szCs w:val="21"/>
        </w:rPr>
        <w:t>NES n°5 : Acquisition de terres, restrictions à l’utilisation de terres et réinstallation involontaire</w:t>
      </w:r>
    </w:p>
    <w:p w14:paraId="462BE43B" w14:textId="77777777" w:rsidR="009021F1" w:rsidRPr="009D55A6" w:rsidRDefault="009021F1" w:rsidP="009021F1">
      <w:pPr>
        <w:rPr>
          <w:rFonts w:cs="Arial"/>
          <w:szCs w:val="21"/>
        </w:rPr>
      </w:pPr>
    </w:p>
    <w:p w14:paraId="1CDF881F" w14:textId="77777777" w:rsidR="009021F1" w:rsidRPr="009D55A6" w:rsidRDefault="009021F1" w:rsidP="009021F1">
      <w:pPr>
        <w:rPr>
          <w:rFonts w:cs="Arial"/>
          <w:szCs w:val="21"/>
        </w:rPr>
      </w:pPr>
      <w:r w:rsidRPr="009D55A6">
        <w:rPr>
          <w:rFonts w:cs="Arial"/>
          <w:szCs w:val="21"/>
        </w:rPr>
        <w:t xml:space="preserve">Elle reconnaît que l’acquisition de terres en rapport avec le projet et l’imposition de restrictions à leur utilisation peuvent avoir des effets néfastes sur les communautés et les populations. L’acquisition de terres ou l’imposition de restrictions à l’utilisation peuvent entraîner le déplacement physique (déménagement, perte de terrain résidentiel ou de logement), le déplacement économique (perte de terres, d’actifs ou d’accès à ces actifs, qui donne notamment lieu à une perte de source de revenus ou d’autres moyens de subsistance), ou les deux. La « réinstallation involontaire » se rapporte à ces effets. La réinstallation est considérée comme involontaire lorsque les personnes ou les communautés touchées n’ont pas le droit de refuser l’acquisition de terres ou les restrictions à leur utilisation qui est à l’origine du déplacement. </w:t>
      </w:r>
    </w:p>
    <w:p w14:paraId="4675DB30" w14:textId="77777777" w:rsidR="009021F1" w:rsidRPr="009D55A6" w:rsidRDefault="009021F1" w:rsidP="009021F1">
      <w:pPr>
        <w:rPr>
          <w:rFonts w:cs="Arial"/>
          <w:szCs w:val="21"/>
        </w:rPr>
      </w:pPr>
    </w:p>
    <w:p w14:paraId="326696AE" w14:textId="77777777" w:rsidR="009021F1" w:rsidRPr="009D55A6" w:rsidRDefault="009021F1" w:rsidP="009021F1">
      <w:pPr>
        <w:rPr>
          <w:szCs w:val="21"/>
        </w:rPr>
      </w:pPr>
      <w:r w:rsidRPr="009D55A6">
        <w:rPr>
          <w:szCs w:val="21"/>
        </w:rPr>
        <w:t>Les objectifs de la NES n°5 sont :</w:t>
      </w:r>
    </w:p>
    <w:p w14:paraId="24AF6DAD" w14:textId="77777777" w:rsidR="009021F1" w:rsidRPr="009D55A6" w:rsidRDefault="009021F1" w:rsidP="009021F1">
      <w:pPr>
        <w:rPr>
          <w:szCs w:val="21"/>
        </w:rPr>
      </w:pPr>
    </w:p>
    <w:p w14:paraId="790F3EDD" w14:textId="77777777" w:rsidR="009021F1" w:rsidRPr="009D55A6" w:rsidRDefault="009021F1" w:rsidP="009021F1">
      <w:pPr>
        <w:pStyle w:val="Paragraphedeliste"/>
        <w:numPr>
          <w:ilvl w:val="0"/>
          <w:numId w:val="96"/>
        </w:numPr>
        <w:rPr>
          <w:szCs w:val="21"/>
        </w:rPr>
      </w:pPr>
      <w:r w:rsidRPr="009D55A6">
        <w:rPr>
          <w:szCs w:val="21"/>
        </w:rPr>
        <w:t>Éviter la réinstallation involontaire ou, lorsqu’elle est inévitable, la minimiser en envisageant des solutions de rechange lors de la conception du projet ;</w:t>
      </w:r>
    </w:p>
    <w:p w14:paraId="58EBAD41" w14:textId="77777777" w:rsidR="009021F1" w:rsidRPr="009D55A6" w:rsidRDefault="009021F1" w:rsidP="009021F1">
      <w:pPr>
        <w:pStyle w:val="Paragraphedeliste"/>
        <w:numPr>
          <w:ilvl w:val="0"/>
          <w:numId w:val="96"/>
        </w:numPr>
        <w:rPr>
          <w:szCs w:val="21"/>
        </w:rPr>
      </w:pPr>
      <w:r w:rsidRPr="009D55A6">
        <w:rPr>
          <w:szCs w:val="21"/>
        </w:rPr>
        <w:t>Éviter l’expulsion forcée ;</w:t>
      </w:r>
    </w:p>
    <w:p w14:paraId="646271F3" w14:textId="77777777" w:rsidR="009021F1" w:rsidRPr="009D55A6" w:rsidRDefault="009021F1" w:rsidP="009021F1">
      <w:pPr>
        <w:pStyle w:val="Paragraphedeliste"/>
        <w:numPr>
          <w:ilvl w:val="0"/>
          <w:numId w:val="96"/>
        </w:numPr>
        <w:rPr>
          <w:szCs w:val="21"/>
        </w:rPr>
      </w:pPr>
      <w:r w:rsidRPr="009D55A6">
        <w:rPr>
          <w:szCs w:val="21"/>
        </w:rPr>
        <w:t>Atténuer les effets sociaux et économiques néfastes de l’acquisition de terres ou des restrictions à l’utilisation qui en est faite, grâce aux mesures ci-après : a) assurer une indemnisation rapide au coût de remplacement des personnes spoliées de leurs biens6 et b) aider les personnes déplacées à améliorer, ou au moins rétablir en termes réels, leurs moyens de subsistance et leur niveau de vie d’avant leur déplacement ou celui d’avant le démarrage de la mise en œuvre du projet, l’option la plus avantageuse étant à retenir ;</w:t>
      </w:r>
    </w:p>
    <w:p w14:paraId="2FBA613A" w14:textId="77777777" w:rsidR="009021F1" w:rsidRPr="009D55A6" w:rsidRDefault="009021F1" w:rsidP="009021F1">
      <w:pPr>
        <w:pStyle w:val="Paragraphedeliste"/>
        <w:numPr>
          <w:ilvl w:val="0"/>
          <w:numId w:val="96"/>
        </w:numPr>
        <w:rPr>
          <w:szCs w:val="21"/>
        </w:rPr>
      </w:pPr>
      <w:r w:rsidRPr="009D55A6">
        <w:rPr>
          <w:szCs w:val="21"/>
        </w:rPr>
        <w:t>Améliorer les conditions de vie des personnes pauvres ou vulnérables qui sont déplacées physiquement en leur garantissant un logement adéquat, l’accès aux services et aux équipements, et le maintien dans les lieux ;</w:t>
      </w:r>
    </w:p>
    <w:p w14:paraId="1C30C1C5" w14:textId="77777777" w:rsidR="009021F1" w:rsidRPr="009D55A6" w:rsidRDefault="009021F1" w:rsidP="009021F1">
      <w:pPr>
        <w:pStyle w:val="Paragraphedeliste"/>
        <w:numPr>
          <w:ilvl w:val="0"/>
          <w:numId w:val="96"/>
        </w:numPr>
        <w:rPr>
          <w:szCs w:val="21"/>
        </w:rPr>
      </w:pPr>
      <w:r w:rsidRPr="009D55A6">
        <w:rPr>
          <w:szCs w:val="21"/>
        </w:rPr>
        <w:t>Concevoir et mettre en œuvre les activités de la réinstallation involontaire comme un programme de développement durable, en fournissant suffisamment de ressources d’investissement pour permettre aux personnes déplacées de tirer directement parti du projet, selon la nature de celui-ci ;</w:t>
      </w:r>
    </w:p>
    <w:p w14:paraId="158651ED" w14:textId="77777777" w:rsidR="009021F1" w:rsidRPr="009D55A6" w:rsidRDefault="009021F1" w:rsidP="009021F1">
      <w:pPr>
        <w:pStyle w:val="Paragraphedeliste"/>
        <w:numPr>
          <w:ilvl w:val="0"/>
          <w:numId w:val="96"/>
        </w:numPr>
        <w:rPr>
          <w:szCs w:val="21"/>
        </w:rPr>
      </w:pPr>
      <w:r w:rsidRPr="009D55A6">
        <w:rPr>
          <w:szCs w:val="21"/>
        </w:rPr>
        <w:t>Veiller à ce que l’information soit bien disséminée, que de réelles consultations aient lieu, et que les personnes touchées participent de manière éclairée à la planification et la mise en œuvre des activités de réinstallation.</w:t>
      </w:r>
    </w:p>
    <w:p w14:paraId="5D019CC8" w14:textId="77777777" w:rsidR="009021F1" w:rsidRPr="009D55A6" w:rsidRDefault="009021F1" w:rsidP="009021F1">
      <w:pPr>
        <w:rPr>
          <w:rFonts w:cs="Arial"/>
          <w:szCs w:val="21"/>
        </w:rPr>
      </w:pPr>
    </w:p>
    <w:p w14:paraId="21E87A87" w14:textId="77777777" w:rsidR="009021F1" w:rsidRPr="009D55A6" w:rsidRDefault="009021F1" w:rsidP="009021F1">
      <w:pPr>
        <w:rPr>
          <w:szCs w:val="21"/>
        </w:rPr>
      </w:pPr>
      <w:r w:rsidRPr="009D55A6">
        <w:rPr>
          <w:szCs w:val="21"/>
        </w:rPr>
        <w:t>La NES n°5 s’applique au déplacement physique et économique permanent ou temporaire résultant des types suivants d’acquisition de terres ou de restrictions à l’utilisation qui en est faite lorsque cette acquisition est entreprise ou ces restrictions sont imposées dans le cadre de la mise en œuvre du projet :</w:t>
      </w:r>
    </w:p>
    <w:p w14:paraId="6EB146A9" w14:textId="77777777" w:rsidR="009021F1" w:rsidRPr="009D55A6" w:rsidRDefault="009021F1" w:rsidP="009021F1">
      <w:pPr>
        <w:rPr>
          <w:szCs w:val="21"/>
        </w:rPr>
      </w:pPr>
      <w:r w:rsidRPr="009D55A6">
        <w:rPr>
          <w:szCs w:val="21"/>
        </w:rPr>
        <w:t xml:space="preserve"> </w:t>
      </w:r>
    </w:p>
    <w:p w14:paraId="21F0B563" w14:textId="77777777" w:rsidR="009021F1" w:rsidRPr="009D55A6" w:rsidRDefault="009021F1" w:rsidP="009021F1">
      <w:pPr>
        <w:pStyle w:val="Paragraphedeliste"/>
        <w:numPr>
          <w:ilvl w:val="0"/>
          <w:numId w:val="186"/>
        </w:numPr>
        <w:rPr>
          <w:szCs w:val="21"/>
        </w:rPr>
      </w:pPr>
      <w:r w:rsidRPr="009D55A6">
        <w:rPr>
          <w:szCs w:val="21"/>
        </w:rPr>
        <w:t>Droits fonciers ou droits d’usage des terres acquis ou restreints par expropriation ou par d’autres procédures obligatoires en vertu du droit national ;</w:t>
      </w:r>
    </w:p>
    <w:p w14:paraId="2A6B5156" w14:textId="77777777" w:rsidR="009021F1" w:rsidRPr="009D55A6" w:rsidRDefault="009021F1" w:rsidP="009021F1">
      <w:pPr>
        <w:pStyle w:val="Paragraphedeliste"/>
        <w:numPr>
          <w:ilvl w:val="0"/>
          <w:numId w:val="186"/>
        </w:numPr>
        <w:rPr>
          <w:rFonts w:cs="Arial"/>
          <w:szCs w:val="21"/>
        </w:rPr>
      </w:pPr>
      <w:r w:rsidRPr="009D55A6">
        <w:rPr>
          <w:szCs w:val="21"/>
        </w:rPr>
        <w:t xml:space="preserve">Droits fonciers ou droits d’usage de terres acquis ou restreints à la suite d’accords négociés avec les propriétaires fonciers ou les personnes disposant d’un droit légal sur ces terres, dans l’hypothèse où l’échec des négociations aurait abouti à une expropriation ou à toute autre procédure de ce type ; </w:t>
      </w:r>
    </w:p>
    <w:p w14:paraId="721C16D2" w14:textId="77777777" w:rsidR="009021F1" w:rsidRPr="009D55A6" w:rsidRDefault="009021F1" w:rsidP="009021F1">
      <w:pPr>
        <w:pStyle w:val="Paragraphedeliste"/>
        <w:numPr>
          <w:ilvl w:val="0"/>
          <w:numId w:val="186"/>
        </w:numPr>
        <w:rPr>
          <w:rFonts w:cs="Arial"/>
          <w:szCs w:val="21"/>
        </w:rPr>
      </w:pPr>
      <w:r w:rsidRPr="009D55A6">
        <w:rPr>
          <w:szCs w:val="21"/>
        </w:rPr>
        <w:t xml:space="preserve">Restrictions à l’utilisation de terres et limitations d’accès à des ressources naturelles qui empêchent une communauté ou certains groupes au sein de cette communauté d’exploiter des ressources situées dans des zones sur lesquelles ceux-ci ont des droits d’occupation ancestraux ou coutumiers ou des droits d’usage reconnus. Il peut s’agir de situations dans lesquelles des aires protégées, des forêts, des aires de biodiversité ou des zones tampons sont créées formellement dans le cadre du projet ; </w:t>
      </w:r>
    </w:p>
    <w:p w14:paraId="3AA47A8A" w14:textId="77777777" w:rsidR="009021F1" w:rsidRPr="009D55A6" w:rsidRDefault="009021F1" w:rsidP="009021F1">
      <w:pPr>
        <w:pStyle w:val="Paragraphedeliste"/>
        <w:numPr>
          <w:ilvl w:val="0"/>
          <w:numId w:val="186"/>
        </w:numPr>
        <w:rPr>
          <w:rFonts w:cs="Arial"/>
          <w:szCs w:val="21"/>
        </w:rPr>
      </w:pPr>
      <w:r w:rsidRPr="009D55A6">
        <w:rPr>
          <w:szCs w:val="21"/>
        </w:rPr>
        <w:t xml:space="preserve">Réinstallation de populations occupant ou utilisant des terres sans droits d’usage formels, traditionnels ou reconnus avant la date limite d’admissibilité du projet ; </w:t>
      </w:r>
    </w:p>
    <w:p w14:paraId="52FDCA89" w14:textId="77777777" w:rsidR="009021F1" w:rsidRPr="009D55A6" w:rsidRDefault="009021F1" w:rsidP="009021F1">
      <w:pPr>
        <w:pStyle w:val="Paragraphedeliste"/>
        <w:numPr>
          <w:ilvl w:val="0"/>
          <w:numId w:val="186"/>
        </w:numPr>
        <w:rPr>
          <w:rFonts w:cs="Arial"/>
          <w:szCs w:val="21"/>
        </w:rPr>
      </w:pPr>
      <w:r w:rsidRPr="009D55A6">
        <w:rPr>
          <w:szCs w:val="21"/>
        </w:rPr>
        <w:t xml:space="preserve">Déplacement de populations en raison du fait que leurs terres sont rendues inutilisables ou inaccessibles à cause du projet ; </w:t>
      </w:r>
    </w:p>
    <w:p w14:paraId="6D4FD1C4" w14:textId="77777777" w:rsidR="009021F1" w:rsidRPr="009D55A6" w:rsidRDefault="009021F1" w:rsidP="009021F1">
      <w:pPr>
        <w:pStyle w:val="Paragraphedeliste"/>
        <w:numPr>
          <w:ilvl w:val="0"/>
          <w:numId w:val="186"/>
        </w:numPr>
        <w:rPr>
          <w:rFonts w:cs="Arial"/>
          <w:szCs w:val="21"/>
        </w:rPr>
      </w:pPr>
      <w:r w:rsidRPr="009D55A6">
        <w:rPr>
          <w:szCs w:val="21"/>
        </w:rPr>
        <w:t xml:space="preserve">Restrictions à l’accès aux terres ou à l’utilisation d’autres ressources, notamment des biens collectifs et des ressources naturelles telles que les ressources marines et aquatiques, les produits forestiers ligneux et non ligneux, l’eau douce, les plantes médicinales, les zones de chasse, de cueillette, de pâturage et de culture ; </w:t>
      </w:r>
    </w:p>
    <w:p w14:paraId="2A2F50E7" w14:textId="77777777" w:rsidR="009021F1" w:rsidRPr="009D55A6" w:rsidRDefault="009021F1" w:rsidP="009021F1">
      <w:pPr>
        <w:pStyle w:val="Paragraphedeliste"/>
        <w:numPr>
          <w:ilvl w:val="0"/>
          <w:numId w:val="186"/>
        </w:numPr>
        <w:rPr>
          <w:rFonts w:cs="Arial"/>
          <w:szCs w:val="21"/>
        </w:rPr>
      </w:pPr>
      <w:r w:rsidRPr="009D55A6">
        <w:rPr>
          <w:szCs w:val="21"/>
        </w:rPr>
        <w:t>Droits fonciers ou prétentions foncières ou ressources cédées par des individus ou des communautés sans avoir reçu paiement intégral d’une indemnisation ; et</w:t>
      </w:r>
    </w:p>
    <w:p w14:paraId="743F7BC4" w14:textId="77777777" w:rsidR="009021F1" w:rsidRPr="009D55A6" w:rsidRDefault="009021F1" w:rsidP="009021F1">
      <w:pPr>
        <w:pStyle w:val="Paragraphedeliste"/>
        <w:numPr>
          <w:ilvl w:val="0"/>
          <w:numId w:val="186"/>
        </w:numPr>
        <w:rPr>
          <w:rFonts w:cs="Arial"/>
          <w:szCs w:val="21"/>
        </w:rPr>
      </w:pPr>
      <w:r w:rsidRPr="009D55A6">
        <w:rPr>
          <w:szCs w:val="21"/>
        </w:rPr>
        <w:t>Acquisition de terres ou restrictions à leur utilisation observées avant le démarrage du projet, mais qui ont été entreprises ou engagées en prévision ou en préparation du projet.</w:t>
      </w:r>
    </w:p>
    <w:p w14:paraId="427C03D7" w14:textId="77777777" w:rsidR="009021F1" w:rsidRPr="009D55A6" w:rsidRDefault="009021F1" w:rsidP="009021F1">
      <w:pPr>
        <w:rPr>
          <w:szCs w:val="21"/>
        </w:rPr>
      </w:pPr>
    </w:p>
    <w:p w14:paraId="2AAC2FD7" w14:textId="77777777" w:rsidR="009021F1" w:rsidRPr="009D55A6" w:rsidRDefault="009021F1" w:rsidP="009021F1">
      <w:pPr>
        <w:rPr>
          <w:szCs w:val="21"/>
        </w:rPr>
      </w:pPr>
      <w:r w:rsidRPr="009D55A6">
        <w:rPr>
          <w:szCs w:val="21"/>
        </w:rPr>
        <w:t xml:space="preserve">La NES n°5 ne s’applique pas aux effets sur les revenus ou les moyens de subsistance qui ne sont pas directement imputables à l’acquisition de terres ou aux restrictions à leur utilisation imposées par le projet. Ces effets seront gérés conformément aux dispositions de la NES n°1. </w:t>
      </w:r>
    </w:p>
    <w:p w14:paraId="2AB411B1" w14:textId="77777777" w:rsidR="009021F1" w:rsidRPr="009D55A6" w:rsidRDefault="009021F1" w:rsidP="009021F1">
      <w:pPr>
        <w:rPr>
          <w:szCs w:val="21"/>
        </w:rPr>
      </w:pPr>
    </w:p>
    <w:p w14:paraId="59176AD2" w14:textId="77777777" w:rsidR="009021F1" w:rsidRPr="009D55A6" w:rsidRDefault="009021F1" w:rsidP="009021F1">
      <w:pPr>
        <w:rPr>
          <w:szCs w:val="21"/>
        </w:rPr>
      </w:pPr>
      <w:r w:rsidRPr="009D55A6">
        <w:rPr>
          <w:szCs w:val="21"/>
        </w:rPr>
        <w:t>La NES n°5 ne s’applique pas aux transactions commerciales consensuelles et officielles pour lesquelles le vendeur a une véritable possibilité de refuser de vendre le terrain et de le conserver, et est pleinement informé des options qui s’offrent à lui et de leurs implications. En revanche, elle devient applicable lorsque de telles transactions foncières volontaires se traduisent par le déplacement de personnes, autres que le vendeur, qui occupent ou utilisent les terres en question ou revendiquent des droits sur ces terres.</w:t>
      </w:r>
    </w:p>
    <w:p w14:paraId="7269EAFA" w14:textId="77777777" w:rsidR="009021F1" w:rsidRPr="009D55A6" w:rsidRDefault="009021F1" w:rsidP="009021F1">
      <w:pPr>
        <w:rPr>
          <w:rFonts w:cs="Arial"/>
          <w:szCs w:val="21"/>
        </w:rPr>
      </w:pPr>
    </w:p>
    <w:p w14:paraId="64688037" w14:textId="77777777" w:rsidR="009021F1" w:rsidRPr="009D55A6" w:rsidRDefault="009021F1" w:rsidP="009021F1">
      <w:pPr>
        <w:rPr>
          <w:rFonts w:cs="Arial"/>
          <w:szCs w:val="21"/>
        </w:rPr>
      </w:pPr>
      <w:r w:rsidRPr="009D55A6">
        <w:rPr>
          <w:rFonts w:cs="Arial"/>
          <w:szCs w:val="21"/>
        </w:rPr>
        <w:t xml:space="preserve">Dans le PNDA, un Cadre de Politique de Réinstallation sera élaboré en document séparé pour permettre d’être en conformité avec cette norme. </w:t>
      </w:r>
    </w:p>
    <w:p w14:paraId="180BA084" w14:textId="77777777" w:rsidR="009021F1" w:rsidRPr="009D55A6" w:rsidRDefault="009021F1" w:rsidP="009021F1">
      <w:pPr>
        <w:ind w:left="1134" w:hanging="1134"/>
        <w:rPr>
          <w:rFonts w:cs="Arial"/>
          <w:i/>
          <w:szCs w:val="21"/>
        </w:rPr>
      </w:pPr>
    </w:p>
    <w:p w14:paraId="111995F6" w14:textId="77777777" w:rsidR="009021F1" w:rsidRPr="009D55A6" w:rsidRDefault="009021F1" w:rsidP="009021F1">
      <w:pPr>
        <w:ind w:left="1134" w:hanging="1134"/>
        <w:rPr>
          <w:rFonts w:cs="Arial"/>
          <w:szCs w:val="21"/>
        </w:rPr>
      </w:pPr>
      <w:r w:rsidRPr="009D55A6">
        <w:rPr>
          <w:rFonts w:cs="Arial"/>
          <w:i/>
          <w:szCs w:val="21"/>
        </w:rPr>
        <w:t>NES n°6 : Préservation de la biodiversité et gestion durable des ressources naturelles biologiques</w:t>
      </w:r>
    </w:p>
    <w:p w14:paraId="1D9AC613" w14:textId="77777777" w:rsidR="009021F1" w:rsidRPr="009D55A6" w:rsidRDefault="009021F1" w:rsidP="009021F1">
      <w:pPr>
        <w:rPr>
          <w:rFonts w:cs="Arial"/>
          <w:szCs w:val="21"/>
        </w:rPr>
      </w:pPr>
    </w:p>
    <w:p w14:paraId="55AD9A39" w14:textId="77777777" w:rsidR="009021F1" w:rsidRPr="009D55A6" w:rsidRDefault="009021F1" w:rsidP="009021F1">
      <w:pPr>
        <w:rPr>
          <w:rFonts w:cs="Arial"/>
          <w:szCs w:val="21"/>
        </w:rPr>
      </w:pPr>
      <w:r w:rsidRPr="009D55A6">
        <w:rPr>
          <w:rFonts w:cs="Arial"/>
          <w:szCs w:val="21"/>
        </w:rPr>
        <w:t xml:space="preserve">Elle reconnaît que la protection et la préservation de la biodiversité et la gestion durable des ressources naturelles biologiques sont fondamentales pour le développement durable. La biodiversité désigne la variabilité des organismes vivants de toute origine, y compris, entre autres, les écosystèmes terrestres, marins et autres écosystèmes aquatiques et les complexes écologiques dont ils font partie. Cela comprend la diversité au sein des espèces et entre espèces, ainsi que celle des écosystèmes. Parce que la biodiversité sous-tend souvent les services écosystémiques valorisés par les humains, des effets néfastes sur la diversité biologique peuvent avoir une incidence négative sur ces services. </w:t>
      </w:r>
    </w:p>
    <w:p w14:paraId="000255F3" w14:textId="77777777" w:rsidR="009021F1" w:rsidRDefault="009021F1" w:rsidP="009021F1">
      <w:pPr>
        <w:rPr>
          <w:szCs w:val="21"/>
        </w:rPr>
      </w:pPr>
    </w:p>
    <w:p w14:paraId="74A80B90" w14:textId="77777777" w:rsidR="009021F1" w:rsidRPr="009D55A6" w:rsidRDefault="009021F1" w:rsidP="009021F1">
      <w:pPr>
        <w:rPr>
          <w:szCs w:val="21"/>
        </w:rPr>
      </w:pPr>
      <w:r w:rsidRPr="009D55A6">
        <w:rPr>
          <w:szCs w:val="21"/>
        </w:rPr>
        <w:t>Les objectifs de la NES n°6 sont :</w:t>
      </w:r>
    </w:p>
    <w:p w14:paraId="6DD08DAB" w14:textId="77777777" w:rsidR="009021F1" w:rsidRPr="009D55A6" w:rsidRDefault="009021F1" w:rsidP="009021F1">
      <w:pPr>
        <w:rPr>
          <w:szCs w:val="21"/>
        </w:rPr>
      </w:pPr>
    </w:p>
    <w:p w14:paraId="74D7D892" w14:textId="77777777" w:rsidR="009021F1" w:rsidRPr="009D55A6" w:rsidRDefault="009021F1" w:rsidP="009021F1">
      <w:pPr>
        <w:pStyle w:val="Paragraphedeliste"/>
        <w:numPr>
          <w:ilvl w:val="0"/>
          <w:numId w:val="96"/>
        </w:numPr>
        <w:rPr>
          <w:szCs w:val="21"/>
        </w:rPr>
      </w:pPr>
      <w:r w:rsidRPr="009D55A6">
        <w:rPr>
          <w:szCs w:val="21"/>
        </w:rPr>
        <w:t>Protéger et préserver la biodiversité et les habitats ;</w:t>
      </w:r>
    </w:p>
    <w:p w14:paraId="179C5832" w14:textId="77777777" w:rsidR="009021F1" w:rsidRPr="009D55A6" w:rsidRDefault="009021F1" w:rsidP="009021F1">
      <w:pPr>
        <w:pStyle w:val="Paragraphedeliste"/>
        <w:numPr>
          <w:ilvl w:val="0"/>
          <w:numId w:val="96"/>
        </w:numPr>
        <w:rPr>
          <w:szCs w:val="21"/>
        </w:rPr>
      </w:pPr>
      <w:r w:rsidRPr="009D55A6">
        <w:rPr>
          <w:szCs w:val="21"/>
        </w:rPr>
        <w:t>Appliquer l’approche de la hiérarchie d’atténuation et le principe de précaution dans la conception et la mise en œuvre de projets susceptibles d’avoir un impact sur la biodiversité ;</w:t>
      </w:r>
    </w:p>
    <w:p w14:paraId="63F03314" w14:textId="77777777" w:rsidR="009021F1" w:rsidRPr="009D55A6" w:rsidRDefault="009021F1" w:rsidP="009021F1">
      <w:pPr>
        <w:pStyle w:val="Paragraphedeliste"/>
        <w:numPr>
          <w:ilvl w:val="0"/>
          <w:numId w:val="96"/>
        </w:numPr>
        <w:rPr>
          <w:szCs w:val="21"/>
        </w:rPr>
      </w:pPr>
      <w:r w:rsidRPr="009D55A6">
        <w:rPr>
          <w:szCs w:val="21"/>
        </w:rPr>
        <w:t>Promouvoir la gestion durable des ressources naturelles biologiques ;</w:t>
      </w:r>
    </w:p>
    <w:p w14:paraId="10E479F5" w14:textId="77777777" w:rsidR="009021F1" w:rsidRPr="009D55A6" w:rsidRDefault="009021F1" w:rsidP="009021F1">
      <w:pPr>
        <w:pStyle w:val="Paragraphedeliste"/>
        <w:numPr>
          <w:ilvl w:val="0"/>
          <w:numId w:val="96"/>
        </w:numPr>
        <w:rPr>
          <w:szCs w:val="21"/>
        </w:rPr>
      </w:pPr>
      <w:r w:rsidRPr="009D55A6">
        <w:rPr>
          <w:szCs w:val="21"/>
        </w:rPr>
        <w:t>Développer les moyens de subsistance des communautés locales, notamment des peuples autochtones, et assurer un développement économique solidaire par l’adoption de pratiques qui intègrent les besoins de conservation et les priorités en matière de développement.</w:t>
      </w:r>
    </w:p>
    <w:p w14:paraId="282770DD" w14:textId="77777777" w:rsidR="009021F1" w:rsidRPr="009D55A6" w:rsidRDefault="009021F1" w:rsidP="009021F1">
      <w:pPr>
        <w:rPr>
          <w:rFonts w:cs="Arial"/>
          <w:szCs w:val="21"/>
        </w:rPr>
      </w:pPr>
    </w:p>
    <w:p w14:paraId="0C21A55B" w14:textId="77777777" w:rsidR="009021F1" w:rsidRPr="009D55A6" w:rsidRDefault="009021F1" w:rsidP="009021F1">
      <w:pPr>
        <w:rPr>
          <w:szCs w:val="21"/>
        </w:rPr>
      </w:pPr>
      <w:r w:rsidRPr="009D55A6">
        <w:rPr>
          <w:szCs w:val="21"/>
        </w:rPr>
        <w:t>Les dispositions de la NES n°6 s’appliquent à tous les projets susceptibles d’avoir un impact sur la biodiversité ou les habitats, tel que déterminé par l’évaluation environnementale et sociale, qu’il soit positif ou négatif, direct ou indirect, ou à tous les projets dont la réussite dépend de l’état de la biodiversité. La NES n°6 s’applique également aux projets qui prévoient des activités de production primaire et/ ou d’exploitation de ressources naturelles biologiques.</w:t>
      </w:r>
    </w:p>
    <w:p w14:paraId="01D14A16" w14:textId="77777777" w:rsidR="009021F1" w:rsidRPr="009D55A6" w:rsidRDefault="009021F1" w:rsidP="009021F1">
      <w:pPr>
        <w:rPr>
          <w:szCs w:val="21"/>
        </w:rPr>
      </w:pPr>
    </w:p>
    <w:p w14:paraId="5513E00B" w14:textId="77777777" w:rsidR="009021F1" w:rsidRPr="009D55A6" w:rsidRDefault="009021F1" w:rsidP="009021F1">
      <w:pPr>
        <w:rPr>
          <w:rFonts w:cs="Arial"/>
          <w:szCs w:val="21"/>
        </w:rPr>
      </w:pPr>
      <w:r w:rsidRPr="009D55A6">
        <w:rPr>
          <w:rFonts w:cs="Arial"/>
          <w:szCs w:val="21"/>
        </w:rPr>
        <w:t>Pour se conformer à cette norme, des mesures spécifiques de préservation de la biodiversité et de gestion durable des ressources naturelles biologiques sont incluses dans ce CGES.</w:t>
      </w:r>
    </w:p>
    <w:p w14:paraId="7686ECB9" w14:textId="77777777" w:rsidR="009021F1" w:rsidRPr="009D55A6" w:rsidRDefault="009021F1" w:rsidP="009021F1">
      <w:pPr>
        <w:ind w:left="1418" w:hanging="1418"/>
        <w:rPr>
          <w:rFonts w:cs="Arial"/>
          <w:i/>
          <w:szCs w:val="21"/>
        </w:rPr>
      </w:pPr>
    </w:p>
    <w:p w14:paraId="3134672D" w14:textId="77777777" w:rsidR="009021F1" w:rsidRPr="009D55A6" w:rsidRDefault="009021F1" w:rsidP="009021F1">
      <w:pPr>
        <w:ind w:left="1418" w:hanging="1418"/>
        <w:rPr>
          <w:rFonts w:cs="Arial"/>
          <w:i/>
          <w:szCs w:val="21"/>
        </w:rPr>
      </w:pPr>
      <w:r w:rsidRPr="009D55A6">
        <w:rPr>
          <w:rFonts w:cs="Arial"/>
          <w:i/>
          <w:szCs w:val="21"/>
        </w:rPr>
        <w:t>NES n°7 : Peuples autochtones / communautés locales traditionnelles d’Afrique subsaharienne historiquement défavorisées</w:t>
      </w:r>
    </w:p>
    <w:p w14:paraId="4266E777" w14:textId="77777777" w:rsidR="009021F1" w:rsidRPr="009D55A6" w:rsidRDefault="009021F1" w:rsidP="009021F1">
      <w:pPr>
        <w:rPr>
          <w:rFonts w:cs="Arial"/>
          <w:i/>
          <w:szCs w:val="21"/>
        </w:rPr>
      </w:pPr>
    </w:p>
    <w:p w14:paraId="00CA89F7" w14:textId="77777777" w:rsidR="009021F1" w:rsidRPr="009D55A6" w:rsidRDefault="009021F1" w:rsidP="009021F1">
      <w:pPr>
        <w:rPr>
          <w:rFonts w:cs="Arial"/>
          <w:szCs w:val="21"/>
        </w:rPr>
      </w:pPr>
      <w:r w:rsidRPr="009D55A6">
        <w:rPr>
          <w:rFonts w:cs="Arial"/>
          <w:szCs w:val="21"/>
        </w:rPr>
        <w:t xml:space="preserve">La NES n° 7 veille à ce que le processus de développement favorise le plein respect des droits humains, de la dignité, des aspirations, de l'identité, de la culture et des moyens de subsistance fondés sur des ressources naturelles des Peuples autochtones / Communautés locales traditionnelles d’Afrique subsaharienne historiquement défavorisées. La NES n° 7 a également pour objectif d'éviter les impacts négatifs des projets sur les Peuples autochtones / Communautés locales traditionnelles d’Afrique subsaharienne historiquement défavorisées ou, si cela n’est pas possible, réduire, atténuer et / ou compenser ces impacts historiquement défavorisées » équivaut à tous ces autres termes et expressions. </w:t>
      </w:r>
    </w:p>
    <w:p w14:paraId="751B7203" w14:textId="77777777" w:rsidR="009021F1" w:rsidRPr="009D55A6" w:rsidRDefault="009021F1" w:rsidP="009021F1">
      <w:pPr>
        <w:rPr>
          <w:rFonts w:cs="Arial"/>
          <w:szCs w:val="21"/>
        </w:rPr>
      </w:pPr>
    </w:p>
    <w:p w14:paraId="38F1E084" w14:textId="77777777" w:rsidR="009021F1" w:rsidRPr="009D55A6" w:rsidRDefault="009021F1" w:rsidP="009021F1">
      <w:pPr>
        <w:rPr>
          <w:szCs w:val="21"/>
        </w:rPr>
      </w:pPr>
      <w:r w:rsidRPr="009D55A6">
        <w:rPr>
          <w:szCs w:val="21"/>
        </w:rPr>
        <w:t>Les objectifs de la NES n°7 sont :</w:t>
      </w:r>
    </w:p>
    <w:p w14:paraId="323EFDE6" w14:textId="77777777" w:rsidR="009021F1" w:rsidRPr="009D55A6" w:rsidRDefault="009021F1" w:rsidP="009021F1">
      <w:pPr>
        <w:rPr>
          <w:szCs w:val="21"/>
        </w:rPr>
      </w:pPr>
    </w:p>
    <w:p w14:paraId="359F2125" w14:textId="77777777" w:rsidR="009021F1" w:rsidRPr="009D55A6" w:rsidRDefault="009021F1" w:rsidP="009021F1">
      <w:pPr>
        <w:pStyle w:val="Paragraphedeliste"/>
        <w:numPr>
          <w:ilvl w:val="0"/>
          <w:numId w:val="96"/>
        </w:numPr>
        <w:rPr>
          <w:szCs w:val="21"/>
        </w:rPr>
      </w:pPr>
      <w:r w:rsidRPr="009D55A6">
        <w:rPr>
          <w:szCs w:val="21"/>
        </w:rPr>
        <w:t>S’assurer que le processus de développement favorise le plein respect des droits, de la dignité, des aspirations, de l’identité, de la culture et des moyens de subsistance reposant sur les ressources naturelles des Peuples autochtones/Communautés locales traditionnelles d’Afrique subsaharienne historiquement défavorisées ;</w:t>
      </w:r>
    </w:p>
    <w:p w14:paraId="34C751F2" w14:textId="77777777" w:rsidR="009021F1" w:rsidRPr="009D55A6" w:rsidRDefault="009021F1" w:rsidP="009021F1">
      <w:pPr>
        <w:pStyle w:val="Paragraphedeliste"/>
        <w:numPr>
          <w:ilvl w:val="0"/>
          <w:numId w:val="96"/>
        </w:numPr>
        <w:rPr>
          <w:szCs w:val="21"/>
        </w:rPr>
      </w:pPr>
      <w:r w:rsidRPr="009D55A6">
        <w:rPr>
          <w:szCs w:val="21"/>
        </w:rPr>
        <w:t>Éviter les effets néfastes des projets sur les Peuples autochtones/Communautés locales traditionnelles d’Afrique subsaharienne historiquement défavorisées, ou les minimiser, les atténuer et/ou les compenser lorsqu’il n’aura pas été possible de les éviter ;</w:t>
      </w:r>
    </w:p>
    <w:p w14:paraId="5D9F9205" w14:textId="77777777" w:rsidR="009021F1" w:rsidRPr="009D55A6" w:rsidRDefault="009021F1" w:rsidP="009021F1">
      <w:pPr>
        <w:pStyle w:val="Paragraphedeliste"/>
        <w:numPr>
          <w:ilvl w:val="0"/>
          <w:numId w:val="96"/>
        </w:numPr>
        <w:rPr>
          <w:szCs w:val="21"/>
        </w:rPr>
      </w:pPr>
      <w:r w:rsidRPr="009D55A6">
        <w:rPr>
          <w:szCs w:val="21"/>
        </w:rPr>
        <w:t>Promouvoir les avantages et opportunités du développement durable pour les Peuples autochtones/ Communautés locales traditionnelles d’Afrique</w:t>
      </w:r>
      <w:r w:rsidRPr="009D55A6">
        <w:rPr>
          <w:rFonts w:cs="Arial"/>
          <w:szCs w:val="21"/>
        </w:rPr>
        <w:t xml:space="preserve"> </w:t>
      </w:r>
      <w:r w:rsidRPr="009D55A6">
        <w:rPr>
          <w:szCs w:val="21"/>
        </w:rPr>
        <w:t>subsaharienne historiquement défavorisées d’une manière qui permette l’accès et la participation de tous et respecte leur culture ;</w:t>
      </w:r>
    </w:p>
    <w:p w14:paraId="4DB1B33D" w14:textId="77777777" w:rsidR="009021F1" w:rsidRPr="009D55A6" w:rsidRDefault="009021F1" w:rsidP="009021F1">
      <w:pPr>
        <w:pStyle w:val="Paragraphedeliste"/>
        <w:numPr>
          <w:ilvl w:val="0"/>
          <w:numId w:val="96"/>
        </w:numPr>
        <w:rPr>
          <w:szCs w:val="21"/>
        </w:rPr>
      </w:pPr>
      <w:r w:rsidRPr="009D55A6">
        <w:rPr>
          <w:szCs w:val="21"/>
        </w:rPr>
        <w:t>Améliorer la conception de projet et encourager une adhésion locale en nouant et en maintenant une relation durable avec les Peuples autochtones/Communautés locales traditionnelles d’Afrique subsaharienne historiquement défavorisées touchés par un projet, sur la base de réelles consultations menées tout au long du cycle de vie de celui-ci ;</w:t>
      </w:r>
    </w:p>
    <w:p w14:paraId="35361ACE" w14:textId="77777777" w:rsidR="009021F1" w:rsidRPr="009D55A6" w:rsidRDefault="009021F1" w:rsidP="009021F1">
      <w:pPr>
        <w:pStyle w:val="Paragraphedeliste"/>
        <w:numPr>
          <w:ilvl w:val="0"/>
          <w:numId w:val="96"/>
        </w:numPr>
        <w:rPr>
          <w:szCs w:val="21"/>
        </w:rPr>
      </w:pPr>
      <w:r w:rsidRPr="009D55A6">
        <w:rPr>
          <w:szCs w:val="21"/>
        </w:rPr>
        <w:t>Obtenir des Peuples autochtones/Communautés locales traditionnelles d’Afrique subsaharienne historiquement défavorisées concernés leur consentement préalable donné librement et en connaissance de cause (CPLCC), et ce dans les trois cas de figure décrits dans la présente NES ;</w:t>
      </w:r>
    </w:p>
    <w:p w14:paraId="77AF1D09" w14:textId="77777777" w:rsidR="009021F1" w:rsidRPr="009D55A6" w:rsidRDefault="009021F1" w:rsidP="009021F1">
      <w:pPr>
        <w:pStyle w:val="Paragraphedeliste"/>
        <w:numPr>
          <w:ilvl w:val="0"/>
          <w:numId w:val="96"/>
        </w:numPr>
        <w:rPr>
          <w:szCs w:val="21"/>
        </w:rPr>
      </w:pPr>
      <w:r w:rsidRPr="009D55A6">
        <w:rPr>
          <w:szCs w:val="21"/>
        </w:rPr>
        <w:t>Reconnaître, respecter et préserver la culture, les connaissances et les pratiques des Peuples autochtones/Communautés locales traditionnelles d’Afrique subsaharienne historiquement défavorisées, et leur donner la possibilité de s’adapter à l’évolution des circonstances suivant les modalités et les délais qui leur conviennent.</w:t>
      </w:r>
    </w:p>
    <w:p w14:paraId="13F9D80F" w14:textId="77777777" w:rsidR="009021F1" w:rsidRPr="009D55A6" w:rsidRDefault="009021F1" w:rsidP="009021F1">
      <w:pPr>
        <w:rPr>
          <w:rFonts w:cs="Arial"/>
          <w:szCs w:val="21"/>
        </w:rPr>
      </w:pPr>
    </w:p>
    <w:p w14:paraId="72E27F9A" w14:textId="77777777" w:rsidR="009021F1" w:rsidRPr="009D55A6" w:rsidRDefault="009021F1" w:rsidP="009021F1">
      <w:pPr>
        <w:rPr>
          <w:szCs w:val="21"/>
        </w:rPr>
      </w:pPr>
      <w:r w:rsidRPr="009D55A6">
        <w:rPr>
          <w:szCs w:val="21"/>
        </w:rPr>
        <w:t xml:space="preserve">La NES n° 7 s’applique à des groupes sociaux et culturels particuliers identifiés conformément aux dispositions des paragraphes 8 et 9 du présent chapitre. Dans certains pays, ces groupes sont désignés sous le nom de « Peuples autochtones ». Dans d’autres, ils peuvent être nommés différemment, par exemple : « communautés locales traditionnelles d’Afrique subsaharienne historiquement défavorisées », «minorités ethniques autochtones», « aborigènes », « tribus montagnardes », « groupes vulnérables et marginalisés », « nationalités minoritaires », « tribus répertoriées», «premières nations » ou « groupes tribaux ». Le terme « Peuples autochtones » ayant des connotations très diversifiées d’un pays à l’autre, l’Emprunteur peut demander à la Banque d’utiliser une autre terminologie selon le contexte national de l’Emprunteur. Indépendamment de la terminologie utilisée, les dispositions de la présente NES s’appliqueront à tous ces groupes. La présente NES utilise l’expression «Peuples autochtones/Communautés locales traditionnelles d’Afrique subsaharienne historiquement défavorisées», tout en reconnaissant que différentes terminologies peuvent être employées pour les désigner selon le contexte national. </w:t>
      </w:r>
    </w:p>
    <w:p w14:paraId="76463413" w14:textId="77777777" w:rsidR="009021F1" w:rsidRPr="009D55A6" w:rsidRDefault="009021F1" w:rsidP="009021F1">
      <w:pPr>
        <w:rPr>
          <w:szCs w:val="21"/>
        </w:rPr>
      </w:pPr>
    </w:p>
    <w:p w14:paraId="7E48A3ED" w14:textId="77777777" w:rsidR="009021F1" w:rsidRPr="009D55A6" w:rsidRDefault="009021F1" w:rsidP="009021F1">
      <w:pPr>
        <w:rPr>
          <w:szCs w:val="21"/>
        </w:rPr>
      </w:pPr>
      <w:r w:rsidRPr="009D55A6">
        <w:rPr>
          <w:szCs w:val="21"/>
        </w:rPr>
        <w:t>La NES n°7 s’applique chaque fois que des Peuples autochtones/Communautés locales traditionnelles d’Afrique subsaharienne historiquement défavorisées (ou tout autre nom qui leur serait donné au niveau national) sont présents dans la zone d’un projet proposé ou montrent  habitants des forêts, aux chasseurs-cueilleurs, aux communautés pastorales ou autres groupes nomades, à condition qu’ils satisfassent aux critères énoncés au paragraphe 8.</w:t>
      </w:r>
      <w:r w:rsidRPr="009D55A6">
        <w:rPr>
          <w:szCs w:val="21"/>
        </w:rPr>
        <w:t> </w:t>
      </w:r>
    </w:p>
    <w:p w14:paraId="43C5B202" w14:textId="77777777" w:rsidR="009021F1" w:rsidRPr="009D55A6" w:rsidRDefault="009021F1" w:rsidP="009021F1">
      <w:pPr>
        <w:rPr>
          <w:szCs w:val="21"/>
        </w:rPr>
      </w:pPr>
    </w:p>
    <w:p w14:paraId="124ADAC2" w14:textId="77777777" w:rsidR="009021F1" w:rsidRPr="009D55A6" w:rsidRDefault="009021F1" w:rsidP="009021F1">
      <w:pPr>
        <w:rPr>
          <w:szCs w:val="21"/>
        </w:rPr>
      </w:pPr>
      <w:r w:rsidRPr="009D55A6">
        <w:rPr>
          <w:szCs w:val="21"/>
        </w:rPr>
        <w:t>Si la Banque mondiale détermine que des Peuples autochtones/Communautés locales traditionnelles d’Afrique subsaharienne historiquement défavorisées sont présents dans la zone du projet ou démontrent un attachement collectif pour cette zone, elle peut exiger de l’Emprunteur qu’il recueille l’avis de spécialistes compétents afin de satisfaire aux exigences de la présente NES en matière de consultation, de formulation de plans ou autres. La Banque mondiale peut, lors de l’examen sélectif des projets, adopter les procédures nationales d’identification des Peuples autochtones/Communautés locales traditionnelles d’Afrique subsaharienne historiquement défavorisées (ou tout autre nom qui leur serait donné au niveau national), conformément aux dispositions des paragraphes 8 et 9, lorsque ces procédures sont conformes aux prescriptions de la présente NES.</w:t>
      </w:r>
    </w:p>
    <w:p w14:paraId="5CB70AC2" w14:textId="77777777" w:rsidR="009021F1" w:rsidRPr="009D55A6" w:rsidRDefault="009021F1" w:rsidP="009021F1">
      <w:pPr>
        <w:rPr>
          <w:szCs w:val="21"/>
        </w:rPr>
      </w:pPr>
    </w:p>
    <w:p w14:paraId="75249CD9" w14:textId="77777777" w:rsidR="009021F1" w:rsidRPr="009D55A6" w:rsidRDefault="009021F1" w:rsidP="009021F1">
      <w:pPr>
        <w:rPr>
          <w:rFonts w:cs="Arial"/>
          <w:szCs w:val="21"/>
        </w:rPr>
      </w:pPr>
      <w:r w:rsidRPr="009D55A6">
        <w:rPr>
          <w:rFonts w:cs="Arial"/>
          <w:szCs w:val="21"/>
        </w:rPr>
        <w:t>Ainsi, pour se conformer à la NES n°7, le PNDA procédera à la préparation du Cadre de Politique en faveur des Populations Autochtones (CPPA).</w:t>
      </w:r>
    </w:p>
    <w:p w14:paraId="18A23203" w14:textId="77777777" w:rsidR="009021F1" w:rsidRPr="009D55A6" w:rsidRDefault="009021F1" w:rsidP="009021F1">
      <w:pPr>
        <w:rPr>
          <w:rFonts w:cs="Arial"/>
          <w:i/>
          <w:szCs w:val="21"/>
        </w:rPr>
      </w:pPr>
    </w:p>
    <w:p w14:paraId="21655643" w14:textId="77777777" w:rsidR="009021F1" w:rsidRPr="009D55A6" w:rsidRDefault="009021F1" w:rsidP="009021F1">
      <w:pPr>
        <w:rPr>
          <w:rFonts w:cs="Arial"/>
          <w:i/>
          <w:szCs w:val="21"/>
        </w:rPr>
      </w:pPr>
      <w:r w:rsidRPr="009D55A6">
        <w:rPr>
          <w:rFonts w:cs="Arial"/>
          <w:i/>
          <w:szCs w:val="21"/>
        </w:rPr>
        <w:t>NES n° 8 : Patrimoine culturel</w:t>
      </w:r>
    </w:p>
    <w:p w14:paraId="47AB1285" w14:textId="77777777" w:rsidR="009021F1" w:rsidRPr="009D55A6" w:rsidRDefault="009021F1" w:rsidP="009021F1">
      <w:pPr>
        <w:rPr>
          <w:rFonts w:cs="Arial"/>
          <w:i/>
          <w:szCs w:val="21"/>
        </w:rPr>
      </w:pPr>
    </w:p>
    <w:p w14:paraId="08F24B6A" w14:textId="77777777" w:rsidR="009021F1" w:rsidRPr="009D55A6" w:rsidRDefault="009021F1" w:rsidP="009021F1">
      <w:pPr>
        <w:rPr>
          <w:rFonts w:cs="Arial"/>
          <w:szCs w:val="21"/>
        </w:rPr>
      </w:pPr>
      <w:r w:rsidRPr="009D55A6">
        <w:rPr>
          <w:rFonts w:cs="Arial"/>
          <w:szCs w:val="21"/>
        </w:rPr>
        <w:t>Elle reconnaît que le patrimoine culturel permet d’assurer la continuité entre le passé, le présent et l’avenir de façon tangible ou intangible. Les individus s’identifient à leur patrimoine culturel comme étant le reflet et l’expression de leurs valeurs, croyances, savoirs et traditions en constante évolution. Par ses nombreux aspects, le patrimoine culturel est important en ce qu’il est une source de précieuses informations scientifiques et historiques, un atout économique et social pour le développement, et une partie intégrante de l’identité et de la pratique culturelles d’un peuple. La NES n° 8 énonce des mesures destinées à protéger le patrimoine culturel tout au long du cycle de vie du projet.</w:t>
      </w:r>
    </w:p>
    <w:p w14:paraId="5243E5D7" w14:textId="77777777" w:rsidR="009021F1" w:rsidRPr="009D55A6" w:rsidRDefault="009021F1" w:rsidP="009021F1">
      <w:pPr>
        <w:rPr>
          <w:rFonts w:cs="Arial"/>
          <w:szCs w:val="21"/>
        </w:rPr>
      </w:pPr>
    </w:p>
    <w:p w14:paraId="11D55C20" w14:textId="77777777" w:rsidR="009021F1" w:rsidRPr="009D55A6" w:rsidRDefault="009021F1" w:rsidP="009021F1">
      <w:pPr>
        <w:rPr>
          <w:szCs w:val="21"/>
        </w:rPr>
      </w:pPr>
      <w:r w:rsidRPr="009D55A6">
        <w:rPr>
          <w:szCs w:val="21"/>
        </w:rPr>
        <w:t>Les objectifs de la NES n°8 sont :</w:t>
      </w:r>
    </w:p>
    <w:p w14:paraId="413BE422" w14:textId="77777777" w:rsidR="009021F1" w:rsidRPr="009D55A6" w:rsidRDefault="009021F1" w:rsidP="009021F1">
      <w:pPr>
        <w:rPr>
          <w:szCs w:val="21"/>
        </w:rPr>
      </w:pPr>
    </w:p>
    <w:p w14:paraId="31ABC225" w14:textId="77777777" w:rsidR="009021F1" w:rsidRPr="009D55A6" w:rsidRDefault="009021F1" w:rsidP="009021F1">
      <w:pPr>
        <w:pStyle w:val="Paragraphedeliste"/>
        <w:numPr>
          <w:ilvl w:val="0"/>
          <w:numId w:val="96"/>
        </w:numPr>
        <w:rPr>
          <w:szCs w:val="21"/>
        </w:rPr>
      </w:pPr>
      <w:r w:rsidRPr="009D55A6">
        <w:rPr>
          <w:szCs w:val="21"/>
        </w:rPr>
        <w:t>Protéger le patrimoine culturel des impacts négatifs des activités du projet et en soutenir la préservation ;</w:t>
      </w:r>
    </w:p>
    <w:p w14:paraId="2543DE75" w14:textId="77777777" w:rsidR="009021F1" w:rsidRPr="009D55A6" w:rsidRDefault="009021F1" w:rsidP="009021F1">
      <w:pPr>
        <w:pStyle w:val="Paragraphedeliste"/>
        <w:numPr>
          <w:ilvl w:val="0"/>
          <w:numId w:val="96"/>
        </w:numPr>
        <w:rPr>
          <w:szCs w:val="21"/>
        </w:rPr>
      </w:pPr>
      <w:r w:rsidRPr="009D55A6">
        <w:rPr>
          <w:szCs w:val="21"/>
        </w:rPr>
        <w:t>Considérer le patrimoine culturel comme un aspect à part entière du développement durable ;</w:t>
      </w:r>
    </w:p>
    <w:p w14:paraId="37BA0040" w14:textId="77777777" w:rsidR="009021F1" w:rsidRPr="009D55A6" w:rsidRDefault="009021F1" w:rsidP="009021F1">
      <w:pPr>
        <w:pStyle w:val="Paragraphedeliste"/>
        <w:numPr>
          <w:ilvl w:val="0"/>
          <w:numId w:val="96"/>
        </w:numPr>
        <w:rPr>
          <w:szCs w:val="21"/>
        </w:rPr>
      </w:pPr>
      <w:r w:rsidRPr="009D55A6">
        <w:rPr>
          <w:szCs w:val="21"/>
        </w:rPr>
        <w:t>Encourager l’organisation de consultations approfondies avec les parties prenantes au sujet du patrimoine culturel ;</w:t>
      </w:r>
    </w:p>
    <w:p w14:paraId="75A8779B" w14:textId="77777777" w:rsidR="009021F1" w:rsidRPr="009D55A6" w:rsidRDefault="009021F1" w:rsidP="009021F1">
      <w:pPr>
        <w:pStyle w:val="Paragraphedeliste"/>
        <w:numPr>
          <w:ilvl w:val="0"/>
          <w:numId w:val="96"/>
        </w:numPr>
        <w:rPr>
          <w:szCs w:val="21"/>
        </w:rPr>
      </w:pPr>
      <w:r w:rsidRPr="009D55A6">
        <w:rPr>
          <w:szCs w:val="21"/>
        </w:rPr>
        <w:t>Promouvoir le partage équitable des avantages découlant de l’utilisation du patrimoine culturel.</w:t>
      </w:r>
    </w:p>
    <w:p w14:paraId="5B0165C6" w14:textId="77777777" w:rsidR="009021F1" w:rsidRPr="009D55A6" w:rsidRDefault="009021F1" w:rsidP="009021F1">
      <w:pPr>
        <w:rPr>
          <w:szCs w:val="21"/>
        </w:rPr>
      </w:pPr>
    </w:p>
    <w:p w14:paraId="5FAA4F7E" w14:textId="77777777" w:rsidR="009021F1" w:rsidRPr="009D55A6" w:rsidRDefault="009021F1" w:rsidP="009021F1">
      <w:pPr>
        <w:rPr>
          <w:szCs w:val="21"/>
        </w:rPr>
      </w:pPr>
      <w:r w:rsidRPr="009D55A6">
        <w:rPr>
          <w:szCs w:val="21"/>
        </w:rPr>
        <w:t xml:space="preserve">Les dispositions de la NES n°8 s’appliqueront à tous les projets susceptibles de présenter des risques ou des effets néfastes pour le patrimoine culturel. Il s’agira notamment de projets qui : </w:t>
      </w:r>
    </w:p>
    <w:p w14:paraId="23B88A90" w14:textId="77777777" w:rsidR="009021F1" w:rsidRPr="009D55A6" w:rsidRDefault="009021F1" w:rsidP="009021F1">
      <w:pPr>
        <w:rPr>
          <w:szCs w:val="21"/>
        </w:rPr>
      </w:pPr>
    </w:p>
    <w:p w14:paraId="79A87E77" w14:textId="77777777" w:rsidR="009021F1" w:rsidRPr="009D55A6" w:rsidRDefault="009021F1" w:rsidP="009021F1">
      <w:pPr>
        <w:pStyle w:val="Paragraphedeliste"/>
        <w:numPr>
          <w:ilvl w:val="0"/>
          <w:numId w:val="187"/>
        </w:numPr>
        <w:rPr>
          <w:szCs w:val="21"/>
        </w:rPr>
      </w:pPr>
      <w:r w:rsidRPr="009D55A6">
        <w:rPr>
          <w:szCs w:val="21"/>
        </w:rPr>
        <w:t xml:space="preserve">comprennent des fouilles, des démolitions, des terrassements, des inondations ou d’autres modifications physiques de l’environnement ; </w:t>
      </w:r>
    </w:p>
    <w:p w14:paraId="5008985C" w14:textId="77777777" w:rsidR="009021F1" w:rsidRPr="009D55A6" w:rsidRDefault="009021F1" w:rsidP="009021F1">
      <w:pPr>
        <w:pStyle w:val="Paragraphedeliste"/>
        <w:numPr>
          <w:ilvl w:val="0"/>
          <w:numId w:val="187"/>
        </w:numPr>
        <w:rPr>
          <w:szCs w:val="21"/>
        </w:rPr>
      </w:pPr>
      <w:r w:rsidRPr="009D55A6">
        <w:rPr>
          <w:szCs w:val="21"/>
        </w:rPr>
        <w:t xml:space="preserve">sont situés dans une aire protégée officielle ou une zone tampon légalement définie ; </w:t>
      </w:r>
    </w:p>
    <w:p w14:paraId="74C9E872" w14:textId="77777777" w:rsidR="009021F1" w:rsidRPr="009D55A6" w:rsidRDefault="009021F1" w:rsidP="009021F1">
      <w:pPr>
        <w:pStyle w:val="Paragraphedeliste"/>
        <w:numPr>
          <w:ilvl w:val="0"/>
          <w:numId w:val="187"/>
        </w:numPr>
        <w:rPr>
          <w:szCs w:val="21"/>
        </w:rPr>
      </w:pPr>
      <w:r w:rsidRPr="009D55A6">
        <w:rPr>
          <w:szCs w:val="21"/>
        </w:rPr>
        <w:t xml:space="preserve">sont situés à l’intérieur ou à proximité d’un site du patrimoine culturel reconnu ; ou </w:t>
      </w:r>
    </w:p>
    <w:p w14:paraId="00E75441" w14:textId="77777777" w:rsidR="009021F1" w:rsidRPr="009D55A6" w:rsidRDefault="009021F1" w:rsidP="009021F1">
      <w:pPr>
        <w:pStyle w:val="Paragraphedeliste"/>
        <w:numPr>
          <w:ilvl w:val="0"/>
          <w:numId w:val="187"/>
        </w:numPr>
        <w:rPr>
          <w:szCs w:val="21"/>
        </w:rPr>
      </w:pPr>
      <w:r w:rsidRPr="009D55A6">
        <w:rPr>
          <w:szCs w:val="21"/>
        </w:rPr>
        <w:t xml:space="preserve">sont conçus dans le but spécifique de soutenir la préservation, la gestion et l’utilisation du patrimoine culturel. </w:t>
      </w:r>
    </w:p>
    <w:p w14:paraId="4597F863" w14:textId="77777777" w:rsidR="009021F1" w:rsidRPr="009D55A6" w:rsidRDefault="009021F1" w:rsidP="009021F1">
      <w:pPr>
        <w:rPr>
          <w:szCs w:val="21"/>
        </w:rPr>
      </w:pPr>
    </w:p>
    <w:p w14:paraId="7220BF56" w14:textId="77777777" w:rsidR="009021F1" w:rsidRPr="009D55A6" w:rsidRDefault="009021F1" w:rsidP="009021F1">
      <w:pPr>
        <w:rPr>
          <w:szCs w:val="21"/>
        </w:rPr>
      </w:pPr>
      <w:r w:rsidRPr="009D55A6">
        <w:rPr>
          <w:szCs w:val="21"/>
        </w:rPr>
        <w:t xml:space="preserve">Les dispositions de la NES n°8 s’appliquent au patrimoine culturel, indépendamment du fait qu’il soit juridiquement protégé ou non, ou qu’il ait été ou non identifié ou perturbé auparavant. </w:t>
      </w:r>
    </w:p>
    <w:p w14:paraId="6D593595" w14:textId="77777777" w:rsidR="009021F1" w:rsidRPr="009D55A6" w:rsidRDefault="009021F1" w:rsidP="009021F1">
      <w:pPr>
        <w:rPr>
          <w:szCs w:val="21"/>
        </w:rPr>
      </w:pPr>
    </w:p>
    <w:p w14:paraId="12699256" w14:textId="77777777" w:rsidR="009021F1" w:rsidRPr="009D55A6" w:rsidRDefault="009021F1" w:rsidP="009021F1">
      <w:pPr>
        <w:rPr>
          <w:szCs w:val="21"/>
        </w:rPr>
      </w:pPr>
      <w:r w:rsidRPr="009D55A6">
        <w:rPr>
          <w:szCs w:val="21"/>
        </w:rPr>
        <w:t>Les dispositions de la NES n°8 ne s’appliquent au patrimoine culturel immatériel que si une composante physique d’un projet aura un impact matériel sur ce patrimoine culturel, ou si un projet envisage de le mettre en valeur à des fins commerciales</w:t>
      </w:r>
    </w:p>
    <w:p w14:paraId="771FB4CC" w14:textId="77777777" w:rsidR="009021F1" w:rsidRPr="009D55A6" w:rsidRDefault="009021F1" w:rsidP="009021F1">
      <w:pPr>
        <w:rPr>
          <w:rFonts w:cs="Arial"/>
          <w:szCs w:val="21"/>
        </w:rPr>
      </w:pPr>
    </w:p>
    <w:p w14:paraId="1667E1DC" w14:textId="77777777" w:rsidR="009021F1" w:rsidRPr="009D55A6" w:rsidRDefault="009021F1" w:rsidP="009021F1">
      <w:pPr>
        <w:rPr>
          <w:rFonts w:cs="Arial"/>
          <w:szCs w:val="21"/>
        </w:rPr>
      </w:pPr>
      <w:r w:rsidRPr="009D55A6">
        <w:rPr>
          <w:rFonts w:cs="Arial"/>
          <w:szCs w:val="21"/>
        </w:rPr>
        <w:t>Pour se conformer à cette norme, des dispositions permettant de gérer les effets néfastes sur le patrimoine culturel sont incluses dans ce CGES.</w:t>
      </w:r>
    </w:p>
    <w:p w14:paraId="2A507031" w14:textId="77777777" w:rsidR="009021F1" w:rsidRPr="009D55A6" w:rsidRDefault="009021F1" w:rsidP="009021F1">
      <w:pPr>
        <w:rPr>
          <w:rFonts w:cs="Arial"/>
          <w:szCs w:val="21"/>
        </w:rPr>
      </w:pPr>
    </w:p>
    <w:p w14:paraId="6AECD546" w14:textId="77777777" w:rsidR="009021F1" w:rsidRPr="009D55A6" w:rsidRDefault="009021F1" w:rsidP="009021F1">
      <w:pPr>
        <w:rPr>
          <w:rFonts w:cs="Arial"/>
          <w:i/>
          <w:iCs/>
          <w:szCs w:val="21"/>
        </w:rPr>
      </w:pPr>
      <w:r w:rsidRPr="009D55A6">
        <w:rPr>
          <w:rFonts w:cs="Arial"/>
          <w:i/>
          <w:iCs/>
          <w:szCs w:val="21"/>
        </w:rPr>
        <w:t>NES n°9 : Intermédiaires financiers</w:t>
      </w:r>
    </w:p>
    <w:p w14:paraId="1ABED797" w14:textId="77777777" w:rsidR="009021F1" w:rsidRPr="009D55A6" w:rsidRDefault="009021F1" w:rsidP="009021F1">
      <w:pPr>
        <w:rPr>
          <w:rFonts w:cs="Arial"/>
          <w:i/>
          <w:iCs/>
          <w:szCs w:val="21"/>
        </w:rPr>
      </w:pPr>
    </w:p>
    <w:p w14:paraId="26618AC2" w14:textId="77777777" w:rsidR="009021F1" w:rsidRPr="009D55A6" w:rsidRDefault="009021F1" w:rsidP="009021F1">
      <w:pPr>
        <w:rPr>
          <w:rFonts w:cs="Arial"/>
          <w:szCs w:val="21"/>
        </w:rPr>
      </w:pPr>
      <w:r w:rsidRPr="009D55A6">
        <w:rPr>
          <w:rFonts w:cs="Arial"/>
          <w:szCs w:val="21"/>
        </w:rPr>
        <w:t>La NES n°9 reconnaît un marché de capitaux et des marchés financiers bien développés à l’échelle nationale ainsi que l’accès au financement sont importants pour le développement économique, la croissance et la réduction de la pauvreté. La Banque est déterminée à soutenir le développement durable du secteur financier et à renforcer le rôle des marchés de capitaux et des marchés financiers au niveau des pays.</w:t>
      </w:r>
    </w:p>
    <w:p w14:paraId="0714F239" w14:textId="77777777" w:rsidR="009021F1" w:rsidRPr="009D55A6" w:rsidRDefault="009021F1" w:rsidP="009021F1">
      <w:pPr>
        <w:rPr>
          <w:rFonts w:cs="Arial"/>
          <w:szCs w:val="21"/>
        </w:rPr>
      </w:pPr>
    </w:p>
    <w:p w14:paraId="499D1B98" w14:textId="77777777" w:rsidR="009021F1" w:rsidRPr="009D55A6" w:rsidRDefault="009021F1" w:rsidP="009021F1">
      <w:pPr>
        <w:rPr>
          <w:rFonts w:cs="Arial"/>
          <w:szCs w:val="21"/>
        </w:rPr>
      </w:pPr>
      <w:r w:rsidRPr="009D55A6">
        <w:rPr>
          <w:rFonts w:cs="Arial"/>
          <w:szCs w:val="21"/>
        </w:rPr>
        <w:t>Les objectifs de la NES n°9 sont :</w:t>
      </w:r>
    </w:p>
    <w:p w14:paraId="2B387A79" w14:textId="77777777" w:rsidR="009021F1" w:rsidRPr="009D55A6" w:rsidRDefault="009021F1" w:rsidP="009021F1">
      <w:pPr>
        <w:rPr>
          <w:rFonts w:cs="Arial"/>
          <w:szCs w:val="21"/>
        </w:rPr>
      </w:pPr>
    </w:p>
    <w:p w14:paraId="30BF4F25" w14:textId="77777777" w:rsidR="009021F1" w:rsidRPr="009D55A6" w:rsidRDefault="009021F1" w:rsidP="009021F1">
      <w:pPr>
        <w:pStyle w:val="Paragraphedeliste"/>
        <w:numPr>
          <w:ilvl w:val="0"/>
          <w:numId w:val="96"/>
        </w:numPr>
        <w:rPr>
          <w:rFonts w:cs="Arial"/>
          <w:szCs w:val="21"/>
        </w:rPr>
      </w:pPr>
      <w:r w:rsidRPr="009D55A6">
        <w:rPr>
          <w:rFonts w:cs="Arial"/>
          <w:szCs w:val="21"/>
        </w:rPr>
        <w:t>Définir la manière dont les IF vont évaluer et gérer les risques et effets environnementaux et sociaux associés aux sous-projets qu’ils financent ;</w:t>
      </w:r>
    </w:p>
    <w:p w14:paraId="364C1A74" w14:textId="77777777" w:rsidR="009021F1" w:rsidRPr="009D55A6" w:rsidRDefault="009021F1" w:rsidP="009021F1">
      <w:pPr>
        <w:pStyle w:val="Paragraphedeliste"/>
        <w:numPr>
          <w:ilvl w:val="0"/>
          <w:numId w:val="96"/>
        </w:numPr>
        <w:rPr>
          <w:rFonts w:cs="Arial"/>
          <w:szCs w:val="21"/>
        </w:rPr>
      </w:pPr>
      <w:r w:rsidRPr="009D55A6">
        <w:rPr>
          <w:rFonts w:cs="Arial"/>
          <w:szCs w:val="21"/>
        </w:rPr>
        <w:t>Encourager de bonnes pratiques de gestion environnementale et sociale dans les sous-projets que les IF financent ; et</w:t>
      </w:r>
    </w:p>
    <w:p w14:paraId="209FB014" w14:textId="77777777" w:rsidR="009021F1" w:rsidRPr="009D55A6" w:rsidRDefault="009021F1" w:rsidP="009021F1">
      <w:pPr>
        <w:pStyle w:val="Paragraphedeliste"/>
        <w:numPr>
          <w:ilvl w:val="0"/>
          <w:numId w:val="96"/>
        </w:numPr>
        <w:rPr>
          <w:rFonts w:cs="Arial"/>
          <w:szCs w:val="21"/>
        </w:rPr>
      </w:pPr>
      <w:r w:rsidRPr="009D55A6">
        <w:rPr>
          <w:rFonts w:cs="Arial"/>
          <w:szCs w:val="21"/>
        </w:rPr>
        <w:t>Promouvoir une bonne gestion de l’environnement et des ressources humaines dans le cadre de l’intermédiation financière.</w:t>
      </w:r>
    </w:p>
    <w:p w14:paraId="2932C43C" w14:textId="77777777" w:rsidR="009021F1" w:rsidRPr="009D55A6" w:rsidRDefault="009021F1" w:rsidP="009021F1">
      <w:pPr>
        <w:rPr>
          <w:rFonts w:cs="Arial"/>
          <w:i/>
          <w:iCs/>
          <w:szCs w:val="21"/>
        </w:rPr>
      </w:pPr>
    </w:p>
    <w:p w14:paraId="1B9F0AE4" w14:textId="77777777" w:rsidR="009021F1" w:rsidRPr="009D55A6" w:rsidRDefault="009021F1" w:rsidP="009021F1">
      <w:pPr>
        <w:rPr>
          <w:rFonts w:cs="Arial"/>
          <w:szCs w:val="21"/>
        </w:rPr>
      </w:pPr>
      <w:r w:rsidRPr="009D55A6">
        <w:rPr>
          <w:rFonts w:cs="Arial"/>
          <w:szCs w:val="21"/>
        </w:rPr>
        <w:t>Les intermédiaires financiers (IF) ont l’obligation d’assurer le suivi et la gestion des risques et effets environnementaux et sociaux de leur portefeuille et leurs sous-projets, et de surveiller le risque de portefeuille en fonction de la nature du financement intermédiaire. Le portefeuille de l’IF sera géré de différentes manières, compte tenu d’un certain nombre d’éléments parmi lesquels la capacité de l’IF et la nature et l’importance des financements à octroyer.</w:t>
      </w:r>
    </w:p>
    <w:p w14:paraId="3F717F2E" w14:textId="77777777" w:rsidR="009021F1" w:rsidRPr="009D55A6" w:rsidRDefault="009021F1" w:rsidP="009021F1">
      <w:pPr>
        <w:rPr>
          <w:rFonts w:cs="Arial"/>
          <w:szCs w:val="21"/>
        </w:rPr>
      </w:pPr>
    </w:p>
    <w:p w14:paraId="0028E3F4" w14:textId="77777777" w:rsidR="009021F1" w:rsidRPr="009D55A6" w:rsidRDefault="009021F1" w:rsidP="009021F1">
      <w:pPr>
        <w:rPr>
          <w:rFonts w:cs="Arial"/>
          <w:szCs w:val="21"/>
        </w:rPr>
      </w:pPr>
      <w:r w:rsidRPr="009D55A6">
        <w:rPr>
          <w:rFonts w:cs="Arial"/>
          <w:szCs w:val="21"/>
        </w:rPr>
        <w:t>Les IF ont l’obligation d’adopter et de maintenir, sous la forme d’un système de gestion environnementale et sociale (SGES), des systèmes, des procédures et des capacités d’évaluation, de gestion et de suivi des risques et effets environnementaux et sociaux des sous-projets, ainsi que de gérer le risque de portefeuille global d’une manière responsable.</w:t>
      </w:r>
    </w:p>
    <w:p w14:paraId="3BBDABC2" w14:textId="77777777" w:rsidR="009021F1" w:rsidRPr="009D55A6" w:rsidRDefault="009021F1" w:rsidP="009021F1">
      <w:pPr>
        <w:rPr>
          <w:rFonts w:cs="Arial"/>
          <w:i/>
          <w:iCs/>
          <w:szCs w:val="21"/>
        </w:rPr>
      </w:pPr>
    </w:p>
    <w:p w14:paraId="7672FA15" w14:textId="77777777" w:rsidR="009021F1" w:rsidRPr="009D55A6" w:rsidRDefault="009021F1" w:rsidP="009021F1">
      <w:pPr>
        <w:rPr>
          <w:rFonts w:cs="Arial"/>
          <w:szCs w:val="21"/>
        </w:rPr>
      </w:pPr>
      <w:r w:rsidRPr="009D55A6">
        <w:rPr>
          <w:rFonts w:cs="Arial"/>
          <w:szCs w:val="21"/>
        </w:rPr>
        <w:t>La présente NES s’applique aux intermédiaires financiers (IF) qui reçoivent un appui financier de la Banque. Les IF englobent des prestataires publics et privés de services financiers, y compris des banques nationales et régionales de développement, qui acheminent des ressources financières vers une diversité d’activités économiques réalisées dans tous les secteurs de l’industrie. L’intermédiation financière désigne également le fait pour des IF d’apporter des financements ou des garanties à d’autres IF. Aux fins de la présente NES, l’expression « sous-projet d’intermédiaire financier » désigne les projets financés par les IF avec l’appui de la Banque. Lorsque le projet consiste, pour un IF, en une rétrocession de prêts à un autre IF, l’expression « sous-projet d’IF» désignera les sous-projets de chaque IF suivant. </w:t>
      </w:r>
    </w:p>
    <w:p w14:paraId="33F0E03B" w14:textId="77777777" w:rsidR="009021F1" w:rsidRPr="009D55A6" w:rsidRDefault="009021F1" w:rsidP="009021F1">
      <w:pPr>
        <w:rPr>
          <w:rFonts w:cs="Arial"/>
          <w:szCs w:val="21"/>
        </w:rPr>
      </w:pPr>
      <w:r w:rsidRPr="009D55A6">
        <w:rPr>
          <w:rFonts w:cs="Arial"/>
          <w:szCs w:val="21"/>
        </w:rPr>
        <w:t>Les dispositions de la présente NES s’appliquent à tous les IF qui bénéficient de l’appui de la Banque, soit directement, soit en passant par l’Emprunteur ou par d’autres IF, ainsi qu’il suit :  a) Lorsque l’appui de la Banque est fourni à l’IF pour financer des sous-projets d’IF clairement définis, les dispositions de la présente NES s’appliqueront à chacun de ces sous-projets ;  b) Lorsque le concours de la Banque à l’IF est d’une portée générale3, les dispositions de la présente NES s’appliqueront à l’ensemble du portefeuille en préparation de l’IF à compter de la date d’entrée en vigueur de l’accord juridique .</w:t>
      </w:r>
    </w:p>
    <w:p w14:paraId="3AD700CA" w14:textId="77777777" w:rsidR="009021F1" w:rsidRPr="009D55A6" w:rsidRDefault="009021F1" w:rsidP="009021F1">
      <w:pPr>
        <w:rPr>
          <w:rFonts w:cs="Arial"/>
          <w:i/>
          <w:iCs/>
          <w:szCs w:val="21"/>
        </w:rPr>
      </w:pPr>
    </w:p>
    <w:p w14:paraId="6546188D" w14:textId="77777777" w:rsidR="009021F1" w:rsidRPr="009D55A6" w:rsidRDefault="009021F1" w:rsidP="009021F1">
      <w:pPr>
        <w:rPr>
          <w:rFonts w:cs="Arial"/>
          <w:szCs w:val="21"/>
        </w:rPr>
      </w:pPr>
      <w:r w:rsidRPr="009D55A6">
        <w:rPr>
          <w:rFonts w:cs="Arial"/>
          <w:szCs w:val="21"/>
        </w:rPr>
        <w:t>Ainsi, les IF mettront en place et maintiendront un SGES afin d’identifier, d’évaluer, de gérer et de suivre en permanence les risques et effets environnementaux et sociaux de leurs sous-projets. Le SGES sera proportionné à la nature et l’importance des risques et effets environnementaux et sociaux des sous-projets d’IF, aux types de financement et au profil de risque global agrégé au niveau du portefeuille. Lorsque l’IF peut démontrer qu’il dispose d’un SGES, il communiquera à la Banque des documents appropriés attestant de l’existence d’un tel SGES, et indiquant quels éléments (le cas échéant) doivent être renforcés ou modifiés pour répondre aux exigences de la présente NES.</w:t>
      </w:r>
    </w:p>
    <w:p w14:paraId="4D28CAE3" w14:textId="77777777" w:rsidR="009021F1" w:rsidRPr="009D55A6" w:rsidRDefault="009021F1" w:rsidP="009021F1">
      <w:pPr>
        <w:rPr>
          <w:rFonts w:cs="Arial"/>
          <w:i/>
          <w:iCs/>
          <w:szCs w:val="21"/>
        </w:rPr>
      </w:pPr>
    </w:p>
    <w:p w14:paraId="30FC555C" w14:textId="77777777" w:rsidR="009021F1" w:rsidRPr="009D55A6" w:rsidRDefault="009021F1" w:rsidP="009021F1">
      <w:pPr>
        <w:rPr>
          <w:rFonts w:cs="Arial"/>
          <w:szCs w:val="21"/>
        </w:rPr>
      </w:pPr>
      <w:r w:rsidRPr="009D55A6">
        <w:rPr>
          <w:rFonts w:cs="Arial"/>
          <w:i/>
          <w:szCs w:val="21"/>
        </w:rPr>
        <w:t>NES n°10 (Mobilisation des parties prenantes et information)</w:t>
      </w:r>
      <w:r w:rsidRPr="009D55A6">
        <w:rPr>
          <w:rFonts w:cs="Arial"/>
          <w:b/>
          <w:i/>
          <w:szCs w:val="21"/>
        </w:rPr>
        <w:t xml:space="preserve"> :</w:t>
      </w:r>
      <w:r w:rsidRPr="009D55A6">
        <w:rPr>
          <w:rFonts w:cs="Arial"/>
          <w:szCs w:val="21"/>
        </w:rPr>
        <w:t xml:space="preserve"> </w:t>
      </w:r>
    </w:p>
    <w:p w14:paraId="5B637DAA" w14:textId="77777777" w:rsidR="009021F1" w:rsidRPr="009D55A6" w:rsidRDefault="009021F1" w:rsidP="009021F1">
      <w:pPr>
        <w:rPr>
          <w:rFonts w:cs="Arial"/>
          <w:szCs w:val="21"/>
        </w:rPr>
      </w:pPr>
    </w:p>
    <w:p w14:paraId="12D8DB65" w14:textId="77777777" w:rsidR="009021F1" w:rsidRPr="009D55A6" w:rsidRDefault="009021F1" w:rsidP="009021F1">
      <w:pPr>
        <w:rPr>
          <w:rFonts w:cs="Arial"/>
          <w:szCs w:val="21"/>
        </w:rPr>
      </w:pPr>
      <w:r w:rsidRPr="009D55A6">
        <w:rPr>
          <w:rFonts w:cs="Arial"/>
          <w:szCs w:val="21"/>
        </w:rPr>
        <w:t xml:space="preserve">Elle reconnaît l’importance d’une collaboration ouverte et transparente entre l’Emprunteur et les parties prenantes du projet, élément essentiel des bonnes pratiques internationales. La mobilisation effective des parties prenantes peut améliorer la durabilité environnementale et sociale des projets, renforcer l’adhésion aux projets, et contribuer sensiblement à une conception et une mise en œuvre réussies du projet. </w:t>
      </w:r>
    </w:p>
    <w:p w14:paraId="2465761A" w14:textId="77777777" w:rsidR="009021F1" w:rsidRPr="009D55A6" w:rsidRDefault="009021F1" w:rsidP="009021F1">
      <w:pPr>
        <w:rPr>
          <w:rFonts w:cs="Arial"/>
          <w:szCs w:val="21"/>
        </w:rPr>
      </w:pPr>
    </w:p>
    <w:p w14:paraId="63709710" w14:textId="77777777" w:rsidR="009021F1" w:rsidRPr="009D55A6" w:rsidRDefault="009021F1" w:rsidP="009021F1">
      <w:pPr>
        <w:rPr>
          <w:szCs w:val="21"/>
        </w:rPr>
      </w:pPr>
      <w:r w:rsidRPr="009D55A6">
        <w:rPr>
          <w:szCs w:val="21"/>
        </w:rPr>
        <w:t>Les objectifs de la NES n°10 sont :</w:t>
      </w:r>
    </w:p>
    <w:p w14:paraId="716035EC" w14:textId="77777777" w:rsidR="009021F1" w:rsidRPr="009D55A6" w:rsidRDefault="009021F1" w:rsidP="009021F1">
      <w:pPr>
        <w:rPr>
          <w:szCs w:val="21"/>
        </w:rPr>
      </w:pPr>
    </w:p>
    <w:p w14:paraId="13019B45" w14:textId="77777777" w:rsidR="009021F1" w:rsidRPr="009D55A6" w:rsidRDefault="009021F1" w:rsidP="009021F1">
      <w:pPr>
        <w:pStyle w:val="Paragraphedeliste"/>
        <w:numPr>
          <w:ilvl w:val="0"/>
          <w:numId w:val="96"/>
        </w:numPr>
        <w:rPr>
          <w:szCs w:val="21"/>
        </w:rPr>
      </w:pPr>
      <w:r w:rsidRPr="009D55A6">
        <w:rPr>
          <w:szCs w:val="21"/>
        </w:rPr>
        <w:t>Établir une approche systématique de mobilisation des parties prenantes qui permettra aux Emprunteurs de bien identifier ces dernières et de nouer et maintenir avec elles, en particulier les parties touchées par le projet, une relation constructive ;</w:t>
      </w:r>
    </w:p>
    <w:p w14:paraId="3FAE5559" w14:textId="77777777" w:rsidR="009021F1" w:rsidRPr="009D55A6" w:rsidRDefault="009021F1" w:rsidP="009021F1">
      <w:pPr>
        <w:pStyle w:val="Paragraphedeliste"/>
        <w:numPr>
          <w:ilvl w:val="0"/>
          <w:numId w:val="96"/>
        </w:numPr>
        <w:rPr>
          <w:szCs w:val="21"/>
        </w:rPr>
      </w:pPr>
      <w:r w:rsidRPr="009D55A6">
        <w:rPr>
          <w:szCs w:val="21"/>
        </w:rPr>
        <w:t>Évaluer le niveau d’intérêt et d’adhésion des parties prenantes et permettre que leurs opinions soient prises en compte dans la conception du projet et sa performance environnementale et sociale ;</w:t>
      </w:r>
    </w:p>
    <w:p w14:paraId="1E0D026A" w14:textId="77777777" w:rsidR="009021F1" w:rsidRPr="009D55A6" w:rsidRDefault="009021F1" w:rsidP="009021F1">
      <w:pPr>
        <w:pStyle w:val="Paragraphedeliste"/>
        <w:numPr>
          <w:ilvl w:val="0"/>
          <w:numId w:val="96"/>
        </w:numPr>
        <w:rPr>
          <w:szCs w:val="21"/>
        </w:rPr>
      </w:pPr>
      <w:r w:rsidRPr="009D55A6">
        <w:rPr>
          <w:szCs w:val="21"/>
        </w:rPr>
        <w:t>Encourager la mobilisation effective de toutes les parties touchées par le projet pendant toute sa durée de vie sur les questions qui pourraient éventuellement avoir une incidence sur elles et fournir les moyens d’y parvenir ;</w:t>
      </w:r>
    </w:p>
    <w:p w14:paraId="74225021" w14:textId="77777777" w:rsidR="009021F1" w:rsidRPr="009D55A6" w:rsidRDefault="009021F1" w:rsidP="009021F1">
      <w:pPr>
        <w:pStyle w:val="Paragraphedeliste"/>
        <w:numPr>
          <w:ilvl w:val="0"/>
          <w:numId w:val="96"/>
        </w:numPr>
        <w:rPr>
          <w:szCs w:val="21"/>
        </w:rPr>
      </w:pPr>
      <w:r w:rsidRPr="009D55A6">
        <w:rPr>
          <w:szCs w:val="21"/>
        </w:rPr>
        <w:t>S’assurer que les parties prenantes reçoivent en temps voulu et de manière compréhensible, accessible et appropriée l’information relative aux risques et effets environnementaux et sociaux du projet ;</w:t>
      </w:r>
    </w:p>
    <w:p w14:paraId="636907F5" w14:textId="77777777" w:rsidR="009021F1" w:rsidRPr="009D55A6" w:rsidRDefault="009021F1" w:rsidP="009021F1">
      <w:pPr>
        <w:pStyle w:val="Paragraphedeliste"/>
        <w:numPr>
          <w:ilvl w:val="0"/>
          <w:numId w:val="96"/>
        </w:numPr>
        <w:rPr>
          <w:szCs w:val="21"/>
        </w:rPr>
      </w:pPr>
      <w:r w:rsidRPr="009D55A6">
        <w:rPr>
          <w:szCs w:val="21"/>
        </w:rPr>
        <w:t>Doter les parties touchées par le projet de moyens permettant aisément à toutes d’évoquer leurs préoccupations et de porter plainte, et aux Emprunteurs d’y répondre et de les gérer.</w:t>
      </w:r>
    </w:p>
    <w:p w14:paraId="4F633984" w14:textId="77777777" w:rsidR="009021F1" w:rsidRPr="009D55A6" w:rsidRDefault="009021F1" w:rsidP="009021F1">
      <w:pPr>
        <w:rPr>
          <w:rFonts w:cs="Arial"/>
          <w:szCs w:val="21"/>
        </w:rPr>
      </w:pPr>
    </w:p>
    <w:p w14:paraId="2CA24BEE" w14:textId="77777777" w:rsidR="009021F1" w:rsidRPr="009D55A6" w:rsidRDefault="009021F1" w:rsidP="009021F1">
      <w:pPr>
        <w:rPr>
          <w:szCs w:val="21"/>
        </w:rPr>
      </w:pPr>
      <w:r w:rsidRPr="009D55A6">
        <w:rPr>
          <w:szCs w:val="21"/>
        </w:rPr>
        <w:t xml:space="preserve">La NES n°10 s’applique à tous les projets financés par la Banque au moyen du Financement de projets d’investissement. L’Emprunteur mettra en place un processus de mobilisation des parties prenantes qui sera intégré à l’évaluation environnementale et sociale et à la conception et la mise en œuvre du projet, tel que préconisé dans la NES n°1. </w:t>
      </w:r>
    </w:p>
    <w:p w14:paraId="6947AE2B" w14:textId="77777777" w:rsidR="009021F1" w:rsidRPr="009D55A6" w:rsidRDefault="009021F1" w:rsidP="009021F1">
      <w:pPr>
        <w:rPr>
          <w:szCs w:val="21"/>
        </w:rPr>
      </w:pPr>
    </w:p>
    <w:p w14:paraId="7DF1971C" w14:textId="77777777" w:rsidR="009021F1" w:rsidRPr="009D55A6" w:rsidRDefault="009021F1" w:rsidP="009021F1">
      <w:pPr>
        <w:rPr>
          <w:szCs w:val="21"/>
        </w:rPr>
      </w:pPr>
      <w:r w:rsidRPr="009D55A6">
        <w:rPr>
          <w:szCs w:val="21"/>
        </w:rPr>
        <w:t xml:space="preserve">Aux fins de la présente NES, le terme « partie prenante » désigne les individus ou les groupes qui : </w:t>
      </w:r>
    </w:p>
    <w:p w14:paraId="383F182A" w14:textId="77777777" w:rsidR="009021F1" w:rsidRPr="009D55A6" w:rsidRDefault="009021F1" w:rsidP="009021F1">
      <w:pPr>
        <w:rPr>
          <w:szCs w:val="21"/>
        </w:rPr>
      </w:pPr>
    </w:p>
    <w:p w14:paraId="678EDAFF" w14:textId="77777777" w:rsidR="009021F1" w:rsidRPr="009D55A6" w:rsidRDefault="009021F1" w:rsidP="009021F1">
      <w:pPr>
        <w:pStyle w:val="Paragraphedeliste"/>
        <w:numPr>
          <w:ilvl w:val="0"/>
          <w:numId w:val="189"/>
        </w:numPr>
        <w:rPr>
          <w:szCs w:val="21"/>
        </w:rPr>
      </w:pPr>
      <w:r w:rsidRPr="009D55A6">
        <w:rPr>
          <w:szCs w:val="21"/>
        </w:rPr>
        <w:t xml:space="preserve">sont ou pourraient être touchés par le projet (les parties touchées par le projet) ; et </w:t>
      </w:r>
    </w:p>
    <w:p w14:paraId="6E745D5F" w14:textId="77777777" w:rsidR="009021F1" w:rsidRPr="009D55A6" w:rsidRDefault="009021F1" w:rsidP="009021F1">
      <w:pPr>
        <w:pStyle w:val="Paragraphedeliste"/>
        <w:numPr>
          <w:ilvl w:val="0"/>
          <w:numId w:val="189"/>
        </w:numPr>
        <w:rPr>
          <w:szCs w:val="21"/>
        </w:rPr>
      </w:pPr>
      <w:r w:rsidRPr="009D55A6">
        <w:rPr>
          <w:szCs w:val="21"/>
        </w:rPr>
        <w:t>peuvent avoir un intérêt dans le projet (les autres parties concernées).</w:t>
      </w:r>
    </w:p>
    <w:p w14:paraId="012F0591" w14:textId="77777777" w:rsidR="009021F1" w:rsidRPr="009D55A6" w:rsidRDefault="009021F1" w:rsidP="009021F1">
      <w:pPr>
        <w:rPr>
          <w:szCs w:val="21"/>
        </w:rPr>
      </w:pPr>
    </w:p>
    <w:p w14:paraId="03F54F7D" w14:textId="77777777" w:rsidR="009021F1" w:rsidRPr="009D55A6" w:rsidRDefault="009021F1" w:rsidP="009021F1">
      <w:pPr>
        <w:rPr>
          <w:rFonts w:cs="Arial"/>
          <w:szCs w:val="21"/>
        </w:rPr>
      </w:pPr>
      <w:r w:rsidRPr="009D55A6">
        <w:rPr>
          <w:rFonts w:cs="Arial"/>
          <w:szCs w:val="21"/>
        </w:rPr>
        <w:t>Les recommandations de la Note de bonnes pratiques pour lutter contre les violences sexistes dans le cadre du financement de projets d´investissement comportant de grands travaux de génie civil</w:t>
      </w:r>
      <w:r w:rsidRPr="009D55A6">
        <w:rPr>
          <w:rFonts w:cs="Arial"/>
          <w:szCs w:val="21"/>
          <w:vertAlign w:val="superscript"/>
        </w:rPr>
        <w:footnoteReference w:id="16"/>
      </w:r>
      <w:r w:rsidRPr="009D55A6">
        <w:rPr>
          <w:rFonts w:cs="Arial"/>
          <w:szCs w:val="21"/>
        </w:rPr>
        <w:t xml:space="preserve"> (World Bank, septembre 2018 et mis à jour en février 2021) seront tenues en compte pour l´enrichissement des mesures de prévention, atténuation et réponse aux risques VBG liés au projet.</w:t>
      </w:r>
    </w:p>
    <w:p w14:paraId="74F730A5" w14:textId="77777777" w:rsidR="009021F1" w:rsidRPr="009D55A6" w:rsidRDefault="009021F1" w:rsidP="009021F1">
      <w:pPr>
        <w:rPr>
          <w:rFonts w:cs="Arial"/>
          <w:szCs w:val="21"/>
        </w:rPr>
      </w:pPr>
    </w:p>
    <w:p w14:paraId="4A122528" w14:textId="77777777" w:rsidR="009021F1" w:rsidRPr="009D55A6" w:rsidRDefault="009021F1" w:rsidP="009021F1">
      <w:pPr>
        <w:rPr>
          <w:rFonts w:cs="Arial"/>
          <w:szCs w:val="21"/>
        </w:rPr>
      </w:pPr>
      <w:r w:rsidRPr="009D55A6">
        <w:rPr>
          <w:rFonts w:cs="Arial"/>
          <w:szCs w:val="21"/>
        </w:rPr>
        <w:t>Par ailleurs, tel qu’énoncé dans cette NES n°10, le PNDA va mettre en place un Plan de Mobilisation des Parties Prenantes et Informations et continuera à collaborer avec les acteurs concernés pendant toute la durée de vie du projet, en mettant un accent sur les consultations avec les populations vulnérables, y compris les femmes dans des conditions sûres et confidentielles, et leur fournira des informations d’une manière adaptée à la nature de leurs intérêts et aux risques et effets environnementaux et sociaux potentiels du projet. En outre, le programme mettra en place un Mécanisme de Gestion des Plaintes pour le traitement éthique et confidentiel des plaintes EAS/HS qui sera partie intégrante du PMPP et les coûts du MGP y seront inclus.</w:t>
      </w:r>
    </w:p>
    <w:p w14:paraId="352849D2" w14:textId="77777777" w:rsidR="009021F1" w:rsidRPr="009D55A6" w:rsidRDefault="009021F1" w:rsidP="009021F1">
      <w:pPr>
        <w:rPr>
          <w:rFonts w:cs="Arial"/>
          <w:szCs w:val="21"/>
        </w:rPr>
      </w:pPr>
    </w:p>
    <w:p w14:paraId="65A4D268" w14:textId="77777777" w:rsidR="009021F1" w:rsidRPr="009D55A6" w:rsidRDefault="009021F1" w:rsidP="009021F1">
      <w:pPr>
        <w:rPr>
          <w:rFonts w:cs="Arial"/>
          <w:b/>
          <w:bCs/>
          <w:i/>
          <w:iCs/>
          <w:szCs w:val="21"/>
        </w:rPr>
      </w:pPr>
      <w:r w:rsidRPr="009D55A6">
        <w:rPr>
          <w:rFonts w:cs="Arial"/>
          <w:b/>
          <w:bCs/>
          <w:i/>
          <w:iCs/>
          <w:szCs w:val="21"/>
        </w:rPr>
        <w:t>Notes d’orientation à l’attention des emprunteurs</w:t>
      </w:r>
    </w:p>
    <w:p w14:paraId="7F28C6CE" w14:textId="77777777" w:rsidR="009021F1" w:rsidRPr="009D55A6" w:rsidRDefault="009021F1" w:rsidP="009021F1">
      <w:pPr>
        <w:rPr>
          <w:rFonts w:cs="Arial"/>
          <w:szCs w:val="21"/>
        </w:rPr>
      </w:pPr>
    </w:p>
    <w:p w14:paraId="5A5FC3AC" w14:textId="77777777" w:rsidR="009021F1" w:rsidRPr="009D55A6" w:rsidRDefault="009021F1" w:rsidP="009021F1">
      <w:pPr>
        <w:rPr>
          <w:rFonts w:cs="Arial"/>
          <w:szCs w:val="21"/>
        </w:rPr>
      </w:pPr>
      <w:r w:rsidRPr="009D55A6">
        <w:rPr>
          <w:rFonts w:cs="Arial"/>
          <w:szCs w:val="21"/>
        </w:rPr>
        <w:t>Il y a lieu d’épingler également que chaque Norme environnementale et sociale (NES) sus-évoquée est accompagnée d’une Note d’orientation à l’attention des emprunteurs qui sont indispensables pour leur mise en œuvre</w:t>
      </w:r>
    </w:p>
    <w:p w14:paraId="26E27A9F" w14:textId="77777777" w:rsidR="009021F1" w:rsidRPr="009D55A6" w:rsidRDefault="009021F1" w:rsidP="009021F1">
      <w:pPr>
        <w:rPr>
          <w:rFonts w:cs="Arial"/>
          <w:szCs w:val="21"/>
        </w:rPr>
      </w:pPr>
    </w:p>
    <w:p w14:paraId="5986F722" w14:textId="77777777" w:rsidR="009021F1" w:rsidRPr="009D55A6" w:rsidRDefault="009021F1" w:rsidP="009021F1">
      <w:pPr>
        <w:rPr>
          <w:b/>
          <w:i/>
          <w:szCs w:val="21"/>
        </w:rPr>
      </w:pPr>
      <w:r w:rsidRPr="009D55A6">
        <w:rPr>
          <w:b/>
          <w:i/>
          <w:szCs w:val="21"/>
        </w:rPr>
        <w:t>Note de bonnes pratiques de la Banque mondiale</w:t>
      </w:r>
    </w:p>
    <w:p w14:paraId="29C3B73C" w14:textId="77777777" w:rsidR="009021F1" w:rsidRPr="009D55A6" w:rsidRDefault="009021F1" w:rsidP="009021F1">
      <w:pPr>
        <w:rPr>
          <w:rFonts w:cs="Arial"/>
          <w:szCs w:val="21"/>
        </w:rPr>
      </w:pPr>
    </w:p>
    <w:p w14:paraId="54593124" w14:textId="77777777" w:rsidR="009021F1" w:rsidRPr="009D55A6" w:rsidRDefault="009021F1" w:rsidP="009021F1">
      <w:pPr>
        <w:rPr>
          <w:rFonts w:cs="Arial"/>
          <w:szCs w:val="21"/>
        </w:rPr>
      </w:pPr>
      <w:r w:rsidRPr="009D55A6">
        <w:rPr>
          <w:rFonts w:cs="Arial"/>
          <w:szCs w:val="21"/>
        </w:rPr>
        <w:t>Les notes de bonnes pratiques de la Banque mondiale ont été préparées pour aider les équipes de projet à définir une approche permettant de déterminer les risques, suivant différentes thématiques, que peuvent présenter les opérations de financement de projets d’investissement, et de conseiller en conséquence les emprunteurs sur la meilleure façon de gérer ces risques. Ces notes s’appuient sur l’expérience de la Banque mondiale et sur les bonnes pratiques en usage dans ces secteurs au niveau international, y compris celles d’autres partenaires de développement. Elles doivent être lues parallèlement au CES, notamment à la Politique et aux Normes environnementales et sociales (NES n° 1 à 10) ainsi qu’aux Notes d’orientation connexes à l’intention des Emprunteurs.</w:t>
      </w:r>
    </w:p>
    <w:p w14:paraId="7CBF22B1" w14:textId="77777777" w:rsidR="009021F1" w:rsidRPr="009D55A6" w:rsidRDefault="009021F1" w:rsidP="009021F1">
      <w:pPr>
        <w:rPr>
          <w:rFonts w:cs="Arial"/>
          <w:szCs w:val="21"/>
        </w:rPr>
      </w:pPr>
      <w:r w:rsidRPr="009D55A6">
        <w:rPr>
          <w:rFonts w:cs="Arial"/>
          <w:szCs w:val="21"/>
        </w:rPr>
        <w:t xml:space="preserve">Même si ces notes sont destinées principalement à l’usage des équipes de projet de la Banque mondiale, elles ont également pour objectif de contribuer à la constitution des bases de connaissances sur ces thématiques. Sur ce, il existe les notes de bonnes pratiques de la Banque mondiale relatives : </w:t>
      </w:r>
    </w:p>
    <w:p w14:paraId="4BA2E0BA" w14:textId="77777777" w:rsidR="009021F1" w:rsidRPr="009D55A6" w:rsidRDefault="009021F1" w:rsidP="009021F1">
      <w:pPr>
        <w:rPr>
          <w:rFonts w:cs="Arial"/>
          <w:szCs w:val="21"/>
        </w:rPr>
      </w:pPr>
    </w:p>
    <w:p w14:paraId="4294264C" w14:textId="77777777" w:rsidR="009021F1" w:rsidRPr="009D55A6" w:rsidRDefault="009021F1" w:rsidP="009021F1">
      <w:pPr>
        <w:numPr>
          <w:ilvl w:val="0"/>
          <w:numId w:val="179"/>
        </w:numPr>
        <w:rPr>
          <w:rFonts w:cs="Arial"/>
          <w:szCs w:val="21"/>
        </w:rPr>
      </w:pPr>
      <w:r w:rsidRPr="009D55A6">
        <w:rPr>
          <w:rFonts w:cs="Arial"/>
          <w:i/>
          <w:iCs/>
          <w:szCs w:val="21"/>
        </w:rPr>
        <w:t>À la lutte contre l’exploitation et les abus sexuels ainsi que le harcèlement sexuel dans le cadre de projets d’investissement comportant de grands travaux de génie civil :</w:t>
      </w:r>
      <w:r w:rsidRPr="009D55A6">
        <w:rPr>
          <w:rFonts w:cs="Arial"/>
          <w:szCs w:val="21"/>
        </w:rPr>
        <w:t>  cette Note s’articule autour de trois (03) étapes clés couvrant la préparation et la mise en œuvre des projets notamment (i) identifier et évaluer les risques d’EAS/HS, y compris au travers d’une analyse sociale et d’une évaluation des capacités, (ii) agir sur les risques d’EAS/HS en définissant et en mettant en oeuvre des stratégies appropriées d’atténuation desdits risques et (iii)répondra à toutes les allégations de VBG signalées, qu’elles soient liées au projet ou non.</w:t>
      </w:r>
    </w:p>
    <w:p w14:paraId="488E0C92" w14:textId="77777777" w:rsidR="009021F1" w:rsidRPr="009D55A6" w:rsidRDefault="009021F1" w:rsidP="009021F1">
      <w:pPr>
        <w:numPr>
          <w:ilvl w:val="0"/>
          <w:numId w:val="179"/>
        </w:numPr>
        <w:rPr>
          <w:rFonts w:cs="Arial"/>
          <w:szCs w:val="21"/>
        </w:rPr>
      </w:pPr>
      <w:r w:rsidRPr="009D55A6">
        <w:rPr>
          <w:rFonts w:cs="Arial"/>
          <w:i/>
          <w:iCs/>
          <w:szCs w:val="21"/>
        </w:rPr>
        <w:t>À la santé animale et aux risques connexes</w:t>
      </w:r>
      <w:r w:rsidRPr="009D55A6">
        <w:rPr>
          <w:rFonts w:cs="Arial"/>
          <w:szCs w:val="21"/>
        </w:rPr>
        <w:t xml:space="preserve"> : Cette Note explique comment le cadre environnemental et social (CES) peut aider à identifier, évaluer et gérer les risques sanitaires liés aux projets impliquant des animaux vivants. </w:t>
      </w:r>
    </w:p>
    <w:p w14:paraId="0C852A83" w14:textId="77777777" w:rsidR="009021F1" w:rsidRPr="009D55A6" w:rsidRDefault="009021F1" w:rsidP="009021F1">
      <w:pPr>
        <w:numPr>
          <w:ilvl w:val="0"/>
          <w:numId w:val="179"/>
        </w:numPr>
        <w:rPr>
          <w:rFonts w:cs="Arial"/>
          <w:szCs w:val="21"/>
        </w:rPr>
      </w:pPr>
      <w:r w:rsidRPr="009D55A6">
        <w:rPr>
          <w:rFonts w:cs="Arial"/>
          <w:i/>
          <w:iCs/>
          <w:szCs w:val="21"/>
        </w:rPr>
        <w:t>À l’évaluation et gestion des risques et effets du recours au personnel de sécurité</w:t>
      </w:r>
      <w:r w:rsidRPr="009D55A6">
        <w:rPr>
          <w:rFonts w:cs="Arial"/>
          <w:szCs w:val="21"/>
        </w:rPr>
        <w:t> : cette Note vise à aider les équipes de projet et les spécialistes des questions environnementales et sociales travaillant avec les Emprunteurs à évaluer et gérer les risques que l’utilisation ou la présence de personnel de sécurité engagé à des fins de protection du projet ou de ses aspects connexes pourrait faire peser sur la sécurité des travailleurs du projet et des populations touchées par ses activités.</w:t>
      </w:r>
    </w:p>
    <w:p w14:paraId="6BBCA586" w14:textId="77777777" w:rsidR="009021F1" w:rsidRPr="009D55A6" w:rsidRDefault="009021F1" w:rsidP="009021F1">
      <w:pPr>
        <w:numPr>
          <w:ilvl w:val="0"/>
          <w:numId w:val="179"/>
        </w:numPr>
        <w:rPr>
          <w:rFonts w:cs="Arial"/>
          <w:szCs w:val="21"/>
        </w:rPr>
      </w:pPr>
      <w:r w:rsidRPr="009D55A6">
        <w:rPr>
          <w:rFonts w:cs="Arial"/>
          <w:i/>
          <w:iCs/>
          <w:szCs w:val="21"/>
        </w:rPr>
        <w:t>Au Genre</w:t>
      </w:r>
      <w:r w:rsidRPr="009D55A6">
        <w:rPr>
          <w:rFonts w:cs="Arial"/>
          <w:szCs w:val="21"/>
        </w:rPr>
        <w:t> : cette Note explique comment le Cadre environnemental et social (CES) au niveau des projets soutient le travail de la Banque mondiale pour combler les écarts entre les hommes et les femmes, les filles et les garçons et renforcer le leadership et la voix des femmes.</w:t>
      </w:r>
    </w:p>
    <w:p w14:paraId="3F26FFE3" w14:textId="77777777" w:rsidR="009021F1" w:rsidRPr="009D55A6" w:rsidRDefault="009021F1" w:rsidP="009021F1">
      <w:pPr>
        <w:numPr>
          <w:ilvl w:val="0"/>
          <w:numId w:val="179"/>
        </w:numPr>
        <w:rPr>
          <w:rFonts w:cs="Arial"/>
          <w:szCs w:val="21"/>
        </w:rPr>
      </w:pPr>
      <w:r w:rsidRPr="009D55A6">
        <w:rPr>
          <w:rFonts w:cs="Arial"/>
          <w:i/>
          <w:iCs/>
          <w:szCs w:val="21"/>
        </w:rPr>
        <w:t>À la non-discrimination et handicap </w:t>
      </w:r>
      <w:r w:rsidRPr="009D55A6">
        <w:rPr>
          <w:rFonts w:cs="Arial"/>
          <w:szCs w:val="21"/>
        </w:rPr>
        <w:t>: cette Note met l’accent sur les enjeux du financement des projets d’investissment liés à la discrimination fondéee sur le handicap.</w:t>
      </w:r>
    </w:p>
    <w:p w14:paraId="56338B32" w14:textId="77777777" w:rsidR="009021F1" w:rsidRPr="009D55A6" w:rsidRDefault="009021F1" w:rsidP="009021F1">
      <w:pPr>
        <w:numPr>
          <w:ilvl w:val="0"/>
          <w:numId w:val="179"/>
        </w:numPr>
        <w:rPr>
          <w:rFonts w:cs="Arial"/>
          <w:szCs w:val="21"/>
        </w:rPr>
      </w:pPr>
      <w:r w:rsidRPr="009D55A6">
        <w:rPr>
          <w:rFonts w:cs="Arial"/>
          <w:i/>
          <w:iCs/>
          <w:szCs w:val="21"/>
        </w:rPr>
        <w:t>À la non-discrimination pour orientation sexuelle et identité de genre</w:t>
      </w:r>
      <w:r w:rsidRPr="009D55A6">
        <w:rPr>
          <w:rFonts w:cs="Arial"/>
          <w:szCs w:val="21"/>
        </w:rPr>
        <w:t xml:space="preserve"> : cette Note se concentre sur les questions de financement de projets d'investissement liées à la discrimination fondée sur l'orientation sexuelle et l'identité de genre.</w:t>
      </w:r>
    </w:p>
    <w:p w14:paraId="126FCDF1" w14:textId="77777777" w:rsidR="009021F1" w:rsidRPr="009D55A6" w:rsidRDefault="009021F1" w:rsidP="009021F1">
      <w:pPr>
        <w:numPr>
          <w:ilvl w:val="0"/>
          <w:numId w:val="179"/>
        </w:numPr>
        <w:rPr>
          <w:rFonts w:cs="Arial"/>
          <w:szCs w:val="21"/>
        </w:rPr>
      </w:pPr>
      <w:r w:rsidRPr="009D55A6">
        <w:rPr>
          <w:rFonts w:cs="Arial"/>
          <w:i/>
          <w:iCs/>
          <w:szCs w:val="21"/>
        </w:rPr>
        <w:t>À la sécurité routière</w:t>
      </w:r>
      <w:r w:rsidRPr="009D55A6">
        <w:rPr>
          <w:rFonts w:cs="Arial"/>
          <w:szCs w:val="21"/>
        </w:rPr>
        <w:t> : cette Note se concentre sur la sécurité routière dans les opérations financées par la Banque mondiale.</w:t>
      </w:r>
    </w:p>
    <w:p w14:paraId="663C42AE" w14:textId="77777777" w:rsidR="009021F1" w:rsidRPr="009D55A6" w:rsidRDefault="009021F1" w:rsidP="009021F1">
      <w:pPr>
        <w:numPr>
          <w:ilvl w:val="0"/>
          <w:numId w:val="179"/>
        </w:numPr>
        <w:rPr>
          <w:rFonts w:cs="Arial"/>
          <w:szCs w:val="21"/>
        </w:rPr>
      </w:pPr>
      <w:r w:rsidRPr="009D55A6">
        <w:rPr>
          <w:rFonts w:cs="Arial"/>
          <w:i/>
          <w:iCs/>
          <w:szCs w:val="21"/>
        </w:rPr>
        <w:t>À la surveillance par des tiers</w:t>
      </w:r>
      <w:r w:rsidRPr="009D55A6">
        <w:rPr>
          <w:rFonts w:cs="Arial"/>
          <w:szCs w:val="21"/>
        </w:rPr>
        <w:t xml:space="preserve"> : cette Note propose étape par étape l’approche du personnel de la Banque pour aider les emprunteurs à l’établissement de la surveillance par des tiers lors de la mise en œuvre du projet. </w:t>
      </w:r>
    </w:p>
    <w:p w14:paraId="30D70CE4" w14:textId="77777777" w:rsidR="009021F1" w:rsidRPr="009D55A6" w:rsidRDefault="009021F1" w:rsidP="009021F1">
      <w:pPr>
        <w:rPr>
          <w:szCs w:val="21"/>
        </w:rPr>
      </w:pPr>
    </w:p>
    <w:p w14:paraId="45164E16" w14:textId="77777777" w:rsidR="009021F1" w:rsidRPr="009D55A6" w:rsidRDefault="009021F1" w:rsidP="009021F1">
      <w:pPr>
        <w:rPr>
          <w:b/>
          <w:i/>
          <w:szCs w:val="21"/>
        </w:rPr>
      </w:pPr>
      <w:r w:rsidRPr="009D55A6">
        <w:rPr>
          <w:b/>
          <w:i/>
          <w:szCs w:val="21"/>
        </w:rPr>
        <w:t>Directives environnementales, sanitaires et sécuritaires générales de l’IFC.</w:t>
      </w:r>
      <w:r w:rsidRPr="009D55A6">
        <w:rPr>
          <w:rStyle w:val="Appelnotedebasdep"/>
          <w:b/>
          <w:i/>
          <w:szCs w:val="21"/>
        </w:rPr>
        <w:footnoteReference w:id="17"/>
      </w:r>
    </w:p>
    <w:p w14:paraId="03BE71DF" w14:textId="77777777" w:rsidR="009021F1" w:rsidRPr="009D55A6" w:rsidRDefault="009021F1" w:rsidP="009021F1">
      <w:pPr>
        <w:rPr>
          <w:b/>
          <w:i/>
          <w:szCs w:val="21"/>
        </w:rPr>
      </w:pPr>
    </w:p>
    <w:p w14:paraId="3C231D40" w14:textId="77777777" w:rsidR="009021F1" w:rsidRPr="009D55A6" w:rsidRDefault="009021F1" w:rsidP="009021F1">
      <w:pPr>
        <w:rPr>
          <w:rFonts w:cs="Arial"/>
          <w:szCs w:val="21"/>
        </w:rPr>
      </w:pPr>
      <w:r w:rsidRPr="009D55A6">
        <w:rPr>
          <w:rFonts w:cs="Arial"/>
          <w:szCs w:val="21"/>
        </w:rPr>
        <w:t>Les Directives environnementales, sanitaires et sécuritaires (Directives EHS) sont à utiliser avec les Directives EHS pour les différentes branches d’activité qui présentent les questions d’ordre environnemental, sanitaire et sécuritaire propres au domaine considéré. Les projets complexes peuvent exiger l’application de plusieurs directives couvrant des branches d’activité différentes.</w:t>
      </w:r>
    </w:p>
    <w:p w14:paraId="2A2604A8" w14:textId="77777777" w:rsidR="009021F1" w:rsidRPr="009D55A6" w:rsidRDefault="009021F1" w:rsidP="009021F1">
      <w:pPr>
        <w:rPr>
          <w:rFonts w:cs="Arial"/>
          <w:szCs w:val="21"/>
        </w:rPr>
      </w:pPr>
    </w:p>
    <w:p w14:paraId="0F8D63CC" w14:textId="77777777" w:rsidR="009021F1" w:rsidRPr="009D55A6" w:rsidRDefault="009021F1" w:rsidP="009021F1">
      <w:pPr>
        <w:rPr>
          <w:szCs w:val="21"/>
        </w:rPr>
      </w:pPr>
      <w:r w:rsidRPr="009D55A6">
        <w:rPr>
          <w:rFonts w:cs="Arial"/>
          <w:szCs w:val="21"/>
        </w:rPr>
        <w:t>Les Directives EHS générales s’appliquent aux installations ou projets produisant des émissions atmosphériques à une étape quelconque de leur cycle de vie. Elles complètent les Directives EHS spécifiques aux différentes branches d’activité en donnant des informations sur les techniques de gestion des émissions qui peuvent être employées dans de nombreuses branches d’activité. Ces directives fournissent un cadre à la gestion des sources d’émissions significatives, notamment en indiquant la marche à suivre pour évaluer et suivre les impacts. Elles donnent également de plus amples informations sur la gestion des émissions pour des projets situés dans des zones où la mauvaise qualité de l’air nécessite l’établissement de normes d’émissions spécifiques à ces projets.</w:t>
      </w:r>
    </w:p>
    <w:p w14:paraId="3E3A3684" w14:textId="77777777" w:rsidR="009021F1" w:rsidRPr="009D55A6" w:rsidRDefault="009021F1" w:rsidP="009021F1">
      <w:pPr>
        <w:rPr>
          <w:rFonts w:cs="Arial"/>
          <w:szCs w:val="21"/>
        </w:rPr>
      </w:pPr>
    </w:p>
    <w:p w14:paraId="5A4A42A3" w14:textId="77777777" w:rsidR="009021F1" w:rsidRPr="009D55A6" w:rsidRDefault="009021F1" w:rsidP="009021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1"/>
        </w:rPr>
      </w:pPr>
      <w:r w:rsidRPr="009D55A6">
        <w:rPr>
          <w:b/>
          <w:i/>
          <w:szCs w:val="21"/>
        </w:rPr>
        <w:t>En plus de ces 10 normes, le Projet applique la Politique Opérationnelle PO/PB 7.50 :  Projet sur les cours d’eaux internationaux,</w:t>
      </w:r>
      <w:r w:rsidRPr="009D55A6">
        <w:rPr>
          <w:szCs w:val="21"/>
        </w:rPr>
        <w:t> qui n’a pas été modifiée avec le nouveau CES : L’objectif de cette politique est de faire en sorte que les projets financés par la Banque affectant les cours d’eaux internationaux ne puissent pas affecter : (i) les relations entre la Banque et ses emprunteurs et entre Etats (membres ou non de la Banque) ; et (ii) les cours d’eaux internationaux soient utilisés et protégés de façon efficace. La politique s’applique aux types de projets ci-après : (a) projets hydroélectriques, d’irrigation, de lutte contre l’inondation, de navigation, de drainage, d’évacuation des eaux, du domaine industriel et autres impliquant l’utilisation ou la pollution potentielle de cours d’eaux internationaux ; et (b) études détaillées et de conception de projets sous le point (a) ci-haut, y compris celles qui sont effectuées par la Banque en qualité d’agence d’exécution ou en qualité autre. Cette politique a été déclenchée parce que le Projet financera des études détaillées et des investissements sur le Fleuve Congo qui se déverse dans l’Océan à partir de la Province du Kongo Central à Moanda (République d’Angola à partir de Cabinda) et au niveau du Lac Kivu, Lac Albert et partageant les frontières avec l’Ouganda et le Rwanda pouvant impacter ces sources d’eaux internationales. Ainsi, le PNDA va procéder à la notification des pays concernés pour les informer des éventuels impacts qui pourraient surgir pendant la mise en œuvre du Projet et les mesures d’atténuations proposées.</w:t>
      </w:r>
    </w:p>
    <w:p w14:paraId="6DEB5B80" w14:textId="77777777" w:rsidR="009021F1" w:rsidRPr="009D55A6" w:rsidRDefault="009021F1" w:rsidP="009021F1">
      <w:pPr>
        <w:rPr>
          <w:rFonts w:cs="Arial"/>
          <w:szCs w:val="21"/>
        </w:rPr>
      </w:pPr>
    </w:p>
    <w:p w14:paraId="7D3B4352" w14:textId="77777777" w:rsidR="00E637E3" w:rsidRDefault="009021F1" w:rsidP="009021F1">
      <w:pPr>
        <w:rPr>
          <w:rFonts w:cs="Arial"/>
          <w:bCs/>
          <w:szCs w:val="21"/>
        </w:rPr>
        <w:sectPr w:rsidR="00E637E3" w:rsidSect="00E637E3">
          <w:pgSz w:w="11906" w:h="16838"/>
          <w:pgMar w:top="1134" w:right="1418" w:bottom="1134" w:left="1418" w:header="706" w:footer="82" w:gutter="0"/>
          <w:cols w:space="708"/>
          <w:docGrid w:linePitch="360"/>
        </w:sectPr>
      </w:pPr>
      <w:r w:rsidRPr="009D55A6">
        <w:rPr>
          <w:rFonts w:cs="Arial"/>
          <w:szCs w:val="21"/>
        </w:rPr>
        <w:t>Le Tableau 1</w:t>
      </w:r>
      <w:r>
        <w:rPr>
          <w:rFonts w:cs="Arial"/>
          <w:szCs w:val="21"/>
        </w:rPr>
        <w:t>7</w:t>
      </w:r>
      <w:r w:rsidRPr="009D55A6">
        <w:rPr>
          <w:rFonts w:cs="Arial"/>
          <w:szCs w:val="21"/>
        </w:rPr>
        <w:t xml:space="preserve"> ci-dessous présente la c</w:t>
      </w:r>
      <w:r w:rsidRPr="009D55A6">
        <w:rPr>
          <w:rFonts w:cs="Arial"/>
          <w:bCs/>
          <w:szCs w:val="21"/>
        </w:rPr>
        <w:t>omparaison entre le Cadre environnemental et Social de la RDC avec les NES de la Banque Mondiale.</w:t>
      </w:r>
    </w:p>
    <w:p w14:paraId="311BFA59" w14:textId="0678AE08" w:rsidR="009021F1" w:rsidRPr="009D55A6" w:rsidRDefault="009021F1" w:rsidP="00E637E3">
      <w:pPr>
        <w:rPr>
          <w:rFonts w:cs="Arial"/>
          <w:bCs/>
          <w:szCs w:val="21"/>
        </w:rPr>
      </w:pPr>
      <w:r w:rsidRPr="009D55A6">
        <w:rPr>
          <w:rFonts w:cs="Arial"/>
          <w:szCs w:val="21"/>
        </w:rPr>
        <w:t xml:space="preserve">Tableau </w:t>
      </w:r>
      <w:r w:rsidRPr="009D55A6">
        <w:rPr>
          <w:rFonts w:cs="Arial"/>
          <w:szCs w:val="21"/>
        </w:rPr>
        <w:fldChar w:fldCharType="begin"/>
      </w:r>
      <w:r w:rsidRPr="009D55A6">
        <w:rPr>
          <w:rFonts w:cs="Arial"/>
          <w:szCs w:val="21"/>
        </w:rPr>
        <w:instrText xml:space="preserve"> SEQ Tableau \* ARABIC </w:instrText>
      </w:r>
      <w:r w:rsidRPr="009D55A6">
        <w:rPr>
          <w:rFonts w:cs="Arial"/>
          <w:szCs w:val="21"/>
        </w:rPr>
        <w:fldChar w:fldCharType="separate"/>
      </w:r>
      <w:r>
        <w:rPr>
          <w:rFonts w:cs="Arial"/>
          <w:noProof/>
          <w:szCs w:val="21"/>
        </w:rPr>
        <w:t>17</w:t>
      </w:r>
      <w:r w:rsidRPr="009D55A6">
        <w:rPr>
          <w:rFonts w:cs="Arial"/>
          <w:noProof/>
          <w:szCs w:val="21"/>
        </w:rPr>
        <w:fldChar w:fldCharType="end"/>
      </w:r>
      <w:r w:rsidRPr="009D55A6">
        <w:rPr>
          <w:rFonts w:cs="Arial"/>
          <w:szCs w:val="21"/>
        </w:rPr>
        <w:t>.</w:t>
      </w:r>
      <w:r w:rsidRPr="009D55A6">
        <w:rPr>
          <w:rFonts w:cs="Arial"/>
          <w:bCs/>
          <w:szCs w:val="21"/>
        </w:rPr>
        <w:t xml:space="preserve"> Comparaison entre le Cadre Environnemental et Social de la RDC avec les Normes Environnementales et Sociales de la Banque Mondiale</w:t>
      </w:r>
    </w:p>
    <w:p w14:paraId="195FE866" w14:textId="77777777" w:rsidR="009021F1" w:rsidRPr="009D55A6" w:rsidRDefault="009021F1" w:rsidP="009021F1">
      <w:pPr>
        <w:autoSpaceDE w:val="0"/>
        <w:autoSpaceDN w:val="0"/>
        <w:adjustRightInd w:val="0"/>
        <w:rPr>
          <w:rFonts w:cs="Arial"/>
          <w:bCs/>
          <w:color w:val="B98C2E"/>
          <w:szCs w:val="21"/>
        </w:rPr>
      </w:pP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5670"/>
        <w:gridCol w:w="3969"/>
      </w:tblGrid>
      <w:tr w:rsidR="009021F1" w:rsidRPr="00E800E3" w14:paraId="39545FED" w14:textId="77777777" w:rsidTr="00E637E3">
        <w:trPr>
          <w:tblHeader/>
          <w:jc w:val="center"/>
        </w:trPr>
        <w:tc>
          <w:tcPr>
            <w:tcW w:w="5670" w:type="dxa"/>
            <w:shd w:val="clear" w:color="auto" w:fill="92D050"/>
            <w:vAlign w:val="center"/>
          </w:tcPr>
          <w:p w14:paraId="0F635026" w14:textId="77777777" w:rsidR="009021F1" w:rsidRPr="003142D9" w:rsidRDefault="009021F1" w:rsidP="00E637E3">
            <w:pPr>
              <w:jc w:val="center"/>
              <w:rPr>
                <w:rFonts w:eastAsia="Calibri" w:cs="Arial"/>
                <w:b/>
                <w:i/>
                <w:iCs/>
                <w:sz w:val="20"/>
                <w:szCs w:val="20"/>
              </w:rPr>
            </w:pPr>
            <w:r w:rsidRPr="003142D9">
              <w:rPr>
                <w:rFonts w:eastAsia="Calibri" w:cs="Arial"/>
                <w:b/>
                <w:i/>
                <w:iCs/>
                <w:sz w:val="20"/>
                <w:szCs w:val="20"/>
              </w:rPr>
              <w:t>Exigences des NES</w:t>
            </w:r>
          </w:p>
        </w:tc>
        <w:tc>
          <w:tcPr>
            <w:tcW w:w="5670" w:type="dxa"/>
            <w:shd w:val="clear" w:color="auto" w:fill="92D050"/>
            <w:vAlign w:val="center"/>
          </w:tcPr>
          <w:p w14:paraId="70067308" w14:textId="77777777" w:rsidR="009021F1" w:rsidRPr="003142D9" w:rsidRDefault="009021F1" w:rsidP="00E637E3">
            <w:pPr>
              <w:jc w:val="center"/>
              <w:rPr>
                <w:rFonts w:eastAsia="Calibri" w:cs="Arial"/>
                <w:b/>
                <w:i/>
                <w:iCs/>
                <w:sz w:val="20"/>
                <w:szCs w:val="20"/>
              </w:rPr>
            </w:pPr>
            <w:r w:rsidRPr="003142D9">
              <w:rPr>
                <w:rFonts w:eastAsia="Calibri" w:cs="Arial"/>
                <w:b/>
                <w:i/>
                <w:iCs/>
                <w:sz w:val="20"/>
                <w:szCs w:val="20"/>
              </w:rPr>
              <w:t>Dispositions nationales pertinentes</w:t>
            </w:r>
          </w:p>
        </w:tc>
        <w:tc>
          <w:tcPr>
            <w:tcW w:w="3969" w:type="dxa"/>
            <w:shd w:val="clear" w:color="auto" w:fill="92D050"/>
            <w:vAlign w:val="center"/>
          </w:tcPr>
          <w:p w14:paraId="4277E0B5" w14:textId="77777777" w:rsidR="009021F1" w:rsidRPr="003142D9" w:rsidRDefault="009021F1" w:rsidP="00E637E3">
            <w:pPr>
              <w:jc w:val="center"/>
              <w:rPr>
                <w:rFonts w:eastAsia="Calibri" w:cs="Arial"/>
                <w:b/>
                <w:i/>
                <w:iCs/>
                <w:sz w:val="20"/>
                <w:szCs w:val="20"/>
              </w:rPr>
            </w:pPr>
            <w:r w:rsidRPr="003142D9">
              <w:rPr>
                <w:rFonts w:eastAsia="Calibri" w:cs="Arial"/>
                <w:b/>
                <w:i/>
                <w:iCs/>
                <w:sz w:val="20"/>
                <w:szCs w:val="20"/>
              </w:rPr>
              <w:t>Observations/</w:t>
            </w:r>
          </w:p>
          <w:p w14:paraId="0BF461B0" w14:textId="77777777" w:rsidR="009021F1" w:rsidRPr="003142D9" w:rsidRDefault="009021F1" w:rsidP="00E637E3">
            <w:pPr>
              <w:jc w:val="center"/>
              <w:rPr>
                <w:rFonts w:eastAsia="Calibri" w:cs="Arial"/>
                <w:b/>
                <w:i/>
                <w:iCs/>
                <w:sz w:val="20"/>
                <w:szCs w:val="20"/>
              </w:rPr>
            </w:pPr>
            <w:r w:rsidRPr="003142D9">
              <w:rPr>
                <w:rFonts w:eastAsia="Calibri" w:cs="Arial"/>
                <w:b/>
                <w:i/>
                <w:iCs/>
                <w:sz w:val="20"/>
                <w:szCs w:val="20"/>
              </w:rPr>
              <w:t>Recommandations</w:t>
            </w:r>
          </w:p>
        </w:tc>
      </w:tr>
      <w:tr w:rsidR="009021F1" w:rsidRPr="00E800E3" w14:paraId="546B9177" w14:textId="77777777" w:rsidTr="00E637E3">
        <w:trPr>
          <w:cantSplit/>
          <w:jc w:val="center"/>
        </w:trPr>
        <w:tc>
          <w:tcPr>
            <w:tcW w:w="15309" w:type="dxa"/>
            <w:gridSpan w:val="3"/>
            <w:shd w:val="clear" w:color="auto" w:fill="C5E0B3"/>
          </w:tcPr>
          <w:p w14:paraId="74F0C968" w14:textId="77777777" w:rsidR="009021F1" w:rsidRPr="003142D9" w:rsidRDefault="009021F1" w:rsidP="00E637E3">
            <w:pPr>
              <w:spacing w:before="60" w:after="60"/>
              <w:rPr>
                <w:rFonts w:eastAsia="Calibri" w:cs="Arial"/>
                <w:b/>
                <w:bCs/>
                <w:sz w:val="20"/>
                <w:szCs w:val="20"/>
              </w:rPr>
            </w:pPr>
            <w:r w:rsidRPr="003142D9">
              <w:rPr>
                <w:rFonts w:cs="Arial"/>
                <w:b/>
                <w:bCs/>
                <w:sz w:val="20"/>
                <w:szCs w:val="20"/>
              </w:rPr>
              <w:t>NES 1.  Évaluation et gestion des risques et effets environnementaux et sociaux</w:t>
            </w:r>
          </w:p>
        </w:tc>
      </w:tr>
      <w:tr w:rsidR="009021F1" w:rsidRPr="00E800E3" w14:paraId="18D0DEFF" w14:textId="77777777" w:rsidTr="00E637E3">
        <w:trPr>
          <w:cantSplit/>
          <w:jc w:val="center"/>
        </w:trPr>
        <w:tc>
          <w:tcPr>
            <w:tcW w:w="5670" w:type="dxa"/>
          </w:tcPr>
          <w:p w14:paraId="3DB877A5" w14:textId="77777777" w:rsidR="009021F1" w:rsidRPr="003142D9" w:rsidRDefault="009021F1" w:rsidP="00E637E3">
            <w:pPr>
              <w:pStyle w:val="Tabletext0"/>
              <w:spacing w:line="276" w:lineRule="auto"/>
              <w:rPr>
                <w:rFonts w:ascii="Arial" w:hAnsi="Arial" w:cs="Arial"/>
                <w:szCs w:val="20"/>
              </w:rPr>
            </w:pPr>
          </w:p>
          <w:p w14:paraId="68D2C09E"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Répondre aux exigences de la NES de manière et dans des délais acceptables (y compris pour les installations existantes), gérer les entités associées à la mise en œuvre, déployer des personnes qualifiées, ainsi qu’à des spécialistes indépendants pour les projets à haut risque</w:t>
            </w:r>
          </w:p>
          <w:p w14:paraId="783458C4" w14:textId="77777777" w:rsidR="009021F1" w:rsidRPr="003142D9" w:rsidRDefault="009021F1" w:rsidP="00E637E3">
            <w:pPr>
              <w:rPr>
                <w:rFonts w:eastAsia="Calibri" w:cs="Arial"/>
                <w:i/>
                <w:sz w:val="20"/>
                <w:szCs w:val="20"/>
                <w:u w:val="single"/>
              </w:rPr>
            </w:pPr>
            <w:r w:rsidRPr="003142D9">
              <w:rPr>
                <w:rFonts w:cs="Arial"/>
                <w:i/>
                <w:iCs/>
                <w:sz w:val="20"/>
                <w:szCs w:val="20"/>
              </w:rPr>
              <w:t>Paragraphes 7, 10, 11, 16, 25 et 33</w:t>
            </w:r>
          </w:p>
        </w:tc>
        <w:tc>
          <w:tcPr>
            <w:tcW w:w="5670" w:type="dxa"/>
            <w:shd w:val="clear" w:color="auto" w:fill="auto"/>
            <w:vAlign w:val="center"/>
          </w:tcPr>
          <w:p w14:paraId="0B3E6293" w14:textId="77777777" w:rsidR="009021F1" w:rsidRPr="003142D9" w:rsidRDefault="009021F1" w:rsidP="00E637E3">
            <w:pPr>
              <w:rPr>
                <w:rFonts w:cs="Arial"/>
                <w:sz w:val="20"/>
                <w:szCs w:val="20"/>
              </w:rPr>
            </w:pPr>
            <w:r w:rsidRPr="003142D9">
              <w:rPr>
                <w:rFonts w:cs="Arial"/>
                <w:sz w:val="20"/>
                <w:szCs w:val="20"/>
              </w:rPr>
              <w:t>La législation congolaise ne mentionne pas cette classification des projets suivant le niveau de risque.</w:t>
            </w:r>
          </w:p>
        </w:tc>
        <w:tc>
          <w:tcPr>
            <w:tcW w:w="3969" w:type="dxa"/>
            <w:shd w:val="clear" w:color="auto" w:fill="auto"/>
            <w:vAlign w:val="center"/>
          </w:tcPr>
          <w:p w14:paraId="73584F2E" w14:textId="77777777" w:rsidR="009021F1" w:rsidRPr="003142D9" w:rsidRDefault="009021F1" w:rsidP="00E637E3">
            <w:pPr>
              <w:rPr>
                <w:rFonts w:cs="Arial"/>
                <w:sz w:val="20"/>
                <w:szCs w:val="20"/>
              </w:rPr>
            </w:pPr>
          </w:p>
          <w:p w14:paraId="1DE2973E" w14:textId="77777777" w:rsidR="009021F1" w:rsidRPr="003142D9" w:rsidRDefault="009021F1" w:rsidP="00E637E3">
            <w:pPr>
              <w:rPr>
                <w:rFonts w:eastAsia="Calibri" w:cs="Arial"/>
                <w:sz w:val="20"/>
                <w:szCs w:val="20"/>
              </w:rPr>
            </w:pPr>
            <w:r w:rsidRPr="003142D9">
              <w:rPr>
                <w:rFonts w:cs="Arial"/>
                <w:sz w:val="20"/>
                <w:szCs w:val="20"/>
              </w:rPr>
              <w:t>La loi nationale satisfait partiellement à cette exigence de la NES n°1. En effet, la Loi nationale (i) ne prévoit pas certains instruments d’évaluation environnementale et sociale de la NES 1, (ii) ne classifie pas les projets selon les 4 niveaux de risques et impacts environnementaux et sociaux Elevé, Substantiel, Modéré et Faible, (iii) ne prévoit pas une approche basée sur les risques et les résultats, (iv) ne prévoit pas la gestion adaptative, etc.</w:t>
            </w:r>
            <w:r w:rsidRPr="003142D9" w:rsidDel="008E4C7B">
              <w:rPr>
                <w:rFonts w:cs="Arial"/>
                <w:sz w:val="20"/>
                <w:szCs w:val="20"/>
              </w:rPr>
              <w:t xml:space="preserve"> </w:t>
            </w:r>
            <w:r w:rsidRPr="003142D9">
              <w:rPr>
                <w:rFonts w:cs="Arial"/>
                <w:sz w:val="20"/>
                <w:szCs w:val="20"/>
              </w:rPr>
              <w:t xml:space="preserve"> Ainsi, c’est la NES n°1 qui s’appliquera et sera suivi par la Banque mondiale.</w:t>
            </w:r>
          </w:p>
        </w:tc>
      </w:tr>
      <w:tr w:rsidR="009021F1" w:rsidRPr="00E800E3" w14:paraId="5405C285" w14:textId="77777777" w:rsidTr="00E637E3">
        <w:trPr>
          <w:cantSplit/>
          <w:jc w:val="center"/>
        </w:trPr>
        <w:tc>
          <w:tcPr>
            <w:tcW w:w="5670" w:type="dxa"/>
          </w:tcPr>
          <w:p w14:paraId="20079C54"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Convenir d'une "approche commune" pour le financement conjoint avec d'autres IFI (mesures incluses dans le PEES, divulgation d'un seul jeu de documents de projet)</w:t>
            </w:r>
          </w:p>
          <w:p w14:paraId="5F050520" w14:textId="77777777" w:rsidR="009021F1" w:rsidRPr="003142D9" w:rsidRDefault="009021F1" w:rsidP="00E637E3">
            <w:pPr>
              <w:rPr>
                <w:rFonts w:eastAsia="Calibri" w:cs="Arial"/>
                <w:i/>
                <w:sz w:val="20"/>
                <w:szCs w:val="20"/>
                <w:u w:val="single"/>
              </w:rPr>
            </w:pPr>
            <w:r w:rsidRPr="003142D9">
              <w:rPr>
                <w:rFonts w:cs="Arial"/>
                <w:i/>
                <w:iCs/>
                <w:sz w:val="20"/>
                <w:szCs w:val="20"/>
              </w:rPr>
              <w:t>Paragraphes 9, 12, 13</w:t>
            </w:r>
          </w:p>
        </w:tc>
        <w:tc>
          <w:tcPr>
            <w:tcW w:w="5670" w:type="dxa"/>
            <w:shd w:val="clear" w:color="auto" w:fill="auto"/>
            <w:vAlign w:val="center"/>
          </w:tcPr>
          <w:p w14:paraId="5EA288D2"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Non mentionné dans la législation nationale congolaise</w:t>
            </w:r>
          </w:p>
        </w:tc>
        <w:tc>
          <w:tcPr>
            <w:tcW w:w="3969" w:type="dxa"/>
            <w:shd w:val="clear" w:color="auto" w:fill="auto"/>
            <w:vAlign w:val="center"/>
          </w:tcPr>
          <w:p w14:paraId="1C67C538" w14:textId="77777777" w:rsidR="009021F1" w:rsidRPr="003142D9" w:rsidRDefault="009021F1" w:rsidP="00E637E3">
            <w:pPr>
              <w:rPr>
                <w:rFonts w:eastAsia="Calibri" w:cs="Arial"/>
                <w:sz w:val="20"/>
                <w:szCs w:val="20"/>
              </w:rPr>
            </w:pPr>
            <w:r w:rsidRPr="003142D9">
              <w:rPr>
                <w:rFonts w:cs="Arial"/>
                <w:sz w:val="20"/>
                <w:szCs w:val="20"/>
              </w:rPr>
              <w:t>La loi nationale ne satisfait pas à cette exigence de la NES n°1. Ainsi, c’est le PEES de la Banque mondiale qui s’appliquera et sera suivi par l’IDA.</w:t>
            </w:r>
          </w:p>
        </w:tc>
      </w:tr>
      <w:tr w:rsidR="009021F1" w:rsidRPr="00E800E3" w14:paraId="3D264A27" w14:textId="77777777" w:rsidTr="00E637E3">
        <w:trPr>
          <w:cantSplit/>
          <w:jc w:val="center"/>
        </w:trPr>
        <w:tc>
          <w:tcPr>
            <w:tcW w:w="5670" w:type="dxa"/>
          </w:tcPr>
          <w:p w14:paraId="7C044599"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Évaluer et gérer les installations associées et les risques de la chaîne d'approvisionnement, ou démontrer l'incapacité juridique et institutionnelle de les contrôler ou influencer.</w:t>
            </w:r>
          </w:p>
          <w:p w14:paraId="4AEF0441" w14:textId="77777777" w:rsidR="009021F1" w:rsidRPr="003142D9" w:rsidRDefault="009021F1" w:rsidP="00E637E3">
            <w:pPr>
              <w:rPr>
                <w:rFonts w:eastAsia="Calibri" w:cs="Arial"/>
                <w:i/>
                <w:sz w:val="20"/>
                <w:szCs w:val="20"/>
                <w:u w:val="single"/>
              </w:rPr>
            </w:pPr>
            <w:r w:rsidRPr="003142D9">
              <w:rPr>
                <w:rFonts w:cs="Arial"/>
                <w:i/>
                <w:iCs/>
                <w:sz w:val="20"/>
                <w:szCs w:val="20"/>
              </w:rPr>
              <w:t>Paragraphes 10, 11, 30, 32, 36</w:t>
            </w:r>
          </w:p>
          <w:p w14:paraId="4E830D40" w14:textId="77777777" w:rsidR="009021F1" w:rsidRPr="003142D9" w:rsidRDefault="009021F1" w:rsidP="00E637E3">
            <w:pPr>
              <w:rPr>
                <w:rFonts w:eastAsia="Calibri" w:cs="Arial"/>
                <w:sz w:val="20"/>
                <w:szCs w:val="20"/>
              </w:rPr>
            </w:pPr>
          </w:p>
          <w:p w14:paraId="14A02FB6" w14:textId="77777777" w:rsidR="009021F1" w:rsidRPr="003142D9" w:rsidRDefault="009021F1" w:rsidP="00E637E3">
            <w:pPr>
              <w:rPr>
                <w:rFonts w:eastAsia="Calibri" w:cs="Arial"/>
                <w:sz w:val="20"/>
                <w:szCs w:val="20"/>
              </w:rPr>
            </w:pPr>
          </w:p>
          <w:p w14:paraId="60531C54" w14:textId="77777777" w:rsidR="009021F1" w:rsidRPr="003142D9" w:rsidRDefault="009021F1" w:rsidP="00E637E3">
            <w:pPr>
              <w:rPr>
                <w:rFonts w:eastAsia="Calibri" w:cs="Arial"/>
                <w:sz w:val="20"/>
                <w:szCs w:val="20"/>
              </w:rPr>
            </w:pPr>
          </w:p>
          <w:p w14:paraId="6F7299BB" w14:textId="77777777" w:rsidR="009021F1" w:rsidRPr="003142D9" w:rsidRDefault="009021F1" w:rsidP="00E637E3">
            <w:pPr>
              <w:tabs>
                <w:tab w:val="left" w:pos="1584"/>
              </w:tabs>
              <w:rPr>
                <w:rFonts w:eastAsia="Calibri" w:cs="Arial"/>
                <w:sz w:val="20"/>
                <w:szCs w:val="20"/>
              </w:rPr>
            </w:pPr>
            <w:r w:rsidRPr="003142D9">
              <w:rPr>
                <w:rFonts w:eastAsia="Calibri" w:cs="Arial"/>
                <w:sz w:val="20"/>
                <w:szCs w:val="20"/>
              </w:rPr>
              <w:tab/>
            </w:r>
          </w:p>
        </w:tc>
        <w:tc>
          <w:tcPr>
            <w:tcW w:w="5670" w:type="dxa"/>
            <w:shd w:val="clear" w:color="auto" w:fill="auto"/>
            <w:vAlign w:val="center"/>
          </w:tcPr>
          <w:p w14:paraId="1A808542" w14:textId="77777777" w:rsidR="009021F1" w:rsidRPr="003142D9" w:rsidRDefault="009021F1" w:rsidP="00E637E3">
            <w:pPr>
              <w:rPr>
                <w:rFonts w:cs="Arial"/>
                <w:sz w:val="20"/>
                <w:szCs w:val="20"/>
              </w:rPr>
            </w:pPr>
            <w:r w:rsidRPr="003142D9">
              <w:rPr>
                <w:rFonts w:cs="Arial"/>
                <w:sz w:val="20"/>
                <w:szCs w:val="20"/>
              </w:rPr>
              <w:t>La Loi n° 11/009 du 09 juillet 2011 portant Principes fondamentaux relatifs à la protection de l’environnement, et le Décret n° 14/019 du 02 août 2014 fixant les règles de fonctionnement des mécanismes procéduraux de la protection de l’environnement déterminent les règles et procédures applicables aux études relatives à l’impact environnemental pour tout projet susceptible de porter atteinte à l’environnement</w:t>
            </w:r>
          </w:p>
        </w:tc>
        <w:tc>
          <w:tcPr>
            <w:tcW w:w="3969" w:type="dxa"/>
            <w:shd w:val="clear" w:color="auto" w:fill="auto"/>
            <w:vAlign w:val="center"/>
          </w:tcPr>
          <w:p w14:paraId="4F850539" w14:textId="77777777" w:rsidR="009021F1" w:rsidRPr="003142D9" w:rsidRDefault="009021F1" w:rsidP="00E637E3">
            <w:pPr>
              <w:rPr>
                <w:rFonts w:eastAsia="Calibri" w:cs="Arial"/>
                <w:sz w:val="20"/>
                <w:szCs w:val="20"/>
              </w:rPr>
            </w:pPr>
            <w:r w:rsidRPr="003142D9">
              <w:rPr>
                <w:rFonts w:cs="Arial"/>
                <w:sz w:val="20"/>
                <w:szCs w:val="20"/>
              </w:rPr>
              <w:t>La loi nationale satisfait à cette exigence de la NES n°1. Toutefois, la NES n°1 s’appliquera et sera suivi par la Banque mondiale</w:t>
            </w:r>
          </w:p>
        </w:tc>
      </w:tr>
      <w:tr w:rsidR="009021F1" w:rsidRPr="00E800E3" w14:paraId="41C97309" w14:textId="77777777" w:rsidTr="00E637E3">
        <w:trPr>
          <w:cantSplit/>
          <w:jc w:val="center"/>
        </w:trPr>
        <w:tc>
          <w:tcPr>
            <w:tcW w:w="5670" w:type="dxa"/>
          </w:tcPr>
          <w:p w14:paraId="00F789F9"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Utiliser le cadre de l'emprunteur lorsqu'il est substantiellement cohérent avec les NES, et comprendre, le cas échéant, des mesures de renforcement des capacités de l’emprunteur</w:t>
            </w:r>
          </w:p>
          <w:p w14:paraId="3374B3BB" w14:textId="77777777" w:rsidR="009021F1" w:rsidRPr="003142D9" w:rsidRDefault="009021F1" w:rsidP="00E637E3">
            <w:pPr>
              <w:rPr>
                <w:rFonts w:eastAsia="Calibri" w:cs="Arial"/>
                <w:i/>
                <w:sz w:val="20"/>
                <w:szCs w:val="20"/>
                <w:u w:val="single"/>
              </w:rPr>
            </w:pPr>
            <w:r w:rsidRPr="003142D9">
              <w:rPr>
                <w:rFonts w:cs="Arial"/>
                <w:i/>
                <w:iCs/>
                <w:sz w:val="20"/>
                <w:szCs w:val="20"/>
              </w:rPr>
              <w:t>Paragraphe 5, 19, 20 et 21</w:t>
            </w:r>
          </w:p>
        </w:tc>
        <w:tc>
          <w:tcPr>
            <w:tcW w:w="5670" w:type="dxa"/>
            <w:shd w:val="clear" w:color="auto" w:fill="auto"/>
            <w:vAlign w:val="center"/>
          </w:tcPr>
          <w:p w14:paraId="1F1FCF19" w14:textId="77777777" w:rsidR="009021F1" w:rsidRPr="003142D9" w:rsidRDefault="009021F1" w:rsidP="00E637E3">
            <w:pPr>
              <w:rPr>
                <w:rFonts w:cs="Arial"/>
                <w:sz w:val="20"/>
                <w:szCs w:val="20"/>
              </w:rPr>
            </w:pPr>
            <w:r w:rsidRPr="003142D9">
              <w:rPr>
                <w:rFonts w:cs="Arial"/>
                <w:sz w:val="20"/>
                <w:szCs w:val="20"/>
              </w:rPr>
              <w:t>Non mentionné dans la législation nationale congolaise</w:t>
            </w:r>
          </w:p>
        </w:tc>
        <w:tc>
          <w:tcPr>
            <w:tcW w:w="3969" w:type="dxa"/>
            <w:shd w:val="clear" w:color="auto" w:fill="auto"/>
            <w:vAlign w:val="center"/>
          </w:tcPr>
          <w:p w14:paraId="2258BFF9" w14:textId="77777777" w:rsidR="009021F1" w:rsidRPr="003142D9" w:rsidRDefault="009021F1" w:rsidP="00E637E3">
            <w:pPr>
              <w:rPr>
                <w:rFonts w:eastAsia="Calibri" w:cs="Arial"/>
                <w:sz w:val="20"/>
                <w:szCs w:val="20"/>
              </w:rPr>
            </w:pPr>
            <w:r w:rsidRPr="003142D9">
              <w:rPr>
                <w:rFonts w:cs="Arial"/>
                <w:sz w:val="20"/>
                <w:szCs w:val="20"/>
              </w:rPr>
              <w:t>La loi nationale ne satisfait pas à cette exigence de la NES n°1. Ainsi, la NES n°1  s’appliquera et sera suivi par la Banque mondiale</w:t>
            </w:r>
          </w:p>
        </w:tc>
      </w:tr>
      <w:tr w:rsidR="009021F1" w:rsidRPr="00E800E3" w14:paraId="3CB6D18E" w14:textId="77777777" w:rsidTr="00E637E3">
        <w:trPr>
          <w:cantSplit/>
          <w:jc w:val="center"/>
        </w:trPr>
        <w:tc>
          <w:tcPr>
            <w:tcW w:w="5670" w:type="dxa"/>
          </w:tcPr>
          <w:p w14:paraId="684EEB9C"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Effectuer une évaluation environnementale et sociale (EES) intégrée des impacts directs, indirects, cumulatifs, et transfrontaliers, et tenir compte du principe d’hiérarchie d'atténuation</w:t>
            </w:r>
          </w:p>
          <w:p w14:paraId="36B19ED5" w14:textId="77777777" w:rsidR="009021F1" w:rsidRPr="003142D9" w:rsidRDefault="009021F1" w:rsidP="00E637E3">
            <w:pPr>
              <w:rPr>
                <w:rFonts w:eastAsia="Calibri" w:cs="Arial"/>
                <w:i/>
                <w:sz w:val="20"/>
                <w:szCs w:val="20"/>
                <w:u w:val="single"/>
              </w:rPr>
            </w:pPr>
            <w:r w:rsidRPr="003142D9">
              <w:rPr>
                <w:rFonts w:cs="Arial"/>
                <w:i/>
                <w:iCs/>
                <w:sz w:val="20"/>
                <w:szCs w:val="20"/>
              </w:rPr>
              <w:t>Paragraphes 23 à 29, 35</w:t>
            </w:r>
          </w:p>
        </w:tc>
        <w:tc>
          <w:tcPr>
            <w:tcW w:w="5670" w:type="dxa"/>
            <w:shd w:val="clear" w:color="auto" w:fill="auto"/>
            <w:vAlign w:val="center"/>
          </w:tcPr>
          <w:p w14:paraId="57271F14" w14:textId="77777777" w:rsidR="009021F1" w:rsidRPr="003142D9" w:rsidRDefault="009021F1" w:rsidP="00E637E3">
            <w:pPr>
              <w:rPr>
                <w:rFonts w:cs="Arial"/>
                <w:sz w:val="20"/>
                <w:szCs w:val="20"/>
              </w:rPr>
            </w:pPr>
            <w:r w:rsidRPr="003142D9">
              <w:rPr>
                <w:rFonts w:cs="Arial"/>
                <w:sz w:val="20"/>
                <w:szCs w:val="20"/>
              </w:rPr>
              <w:t>La Loi n° 11/009 du 09 juillet 2011 portant Principes fondamentaux relatifs à la protection de l’environnement, et le Décret n° 14/019 du 02 août 2014 fixant les règles de fonctionnement des mécanismes procéduraux de la protection de l’environnement déterminent les règles et procédures applicables aux études relatives à l’impact environnemental pour tout projet susceptible de porter atteinte à l’environnement</w:t>
            </w:r>
          </w:p>
        </w:tc>
        <w:tc>
          <w:tcPr>
            <w:tcW w:w="3969" w:type="dxa"/>
            <w:shd w:val="clear" w:color="auto" w:fill="auto"/>
            <w:vAlign w:val="center"/>
          </w:tcPr>
          <w:p w14:paraId="12E029F8" w14:textId="77777777" w:rsidR="009021F1" w:rsidRPr="003142D9" w:rsidRDefault="009021F1" w:rsidP="00E637E3">
            <w:pPr>
              <w:rPr>
                <w:rFonts w:eastAsia="Calibri" w:cs="Arial"/>
                <w:sz w:val="20"/>
                <w:szCs w:val="20"/>
              </w:rPr>
            </w:pPr>
            <w:r w:rsidRPr="003142D9">
              <w:rPr>
                <w:rFonts w:cs="Arial"/>
                <w:sz w:val="20"/>
                <w:szCs w:val="20"/>
              </w:rPr>
              <w:t>La loi nationale satisfait à cette exigence de la NES n°1. Toutefois, la NES n°1 s’appliquera et sera suivi par la Banque mondiale</w:t>
            </w:r>
          </w:p>
        </w:tc>
      </w:tr>
      <w:tr w:rsidR="009021F1" w:rsidRPr="00E800E3" w14:paraId="2A919375" w14:textId="77777777" w:rsidTr="00E637E3">
        <w:trPr>
          <w:cantSplit/>
          <w:jc w:val="center"/>
        </w:trPr>
        <w:tc>
          <w:tcPr>
            <w:tcW w:w="5670" w:type="dxa"/>
          </w:tcPr>
          <w:p w14:paraId="4C9212D8"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Prendre en compte tous les risques et effets environnementaux et sociaux pertinents du projet, et se conformer aux dispositions pertinentes des Directives environnementales, sanitaires et sécuritaires ESS et les autres bonnes pratiques internationales en vigueur dans les secteurs d’activité (concernés BPISA)</w:t>
            </w:r>
          </w:p>
          <w:p w14:paraId="1AE9D5A4" w14:textId="77777777" w:rsidR="009021F1" w:rsidRPr="003142D9" w:rsidRDefault="009021F1" w:rsidP="00E637E3">
            <w:pPr>
              <w:rPr>
                <w:rFonts w:eastAsia="Calibri" w:cs="Arial"/>
                <w:i/>
                <w:sz w:val="20"/>
                <w:szCs w:val="20"/>
                <w:u w:val="single"/>
              </w:rPr>
            </w:pPr>
            <w:r w:rsidRPr="003142D9">
              <w:rPr>
                <w:rFonts w:cs="Arial"/>
                <w:i/>
                <w:iCs/>
                <w:sz w:val="20"/>
                <w:szCs w:val="20"/>
              </w:rPr>
              <w:t>Paragraphe 18, 26, 28</w:t>
            </w:r>
          </w:p>
        </w:tc>
        <w:tc>
          <w:tcPr>
            <w:tcW w:w="5670" w:type="dxa"/>
            <w:shd w:val="clear" w:color="auto" w:fill="auto"/>
            <w:vAlign w:val="center"/>
          </w:tcPr>
          <w:p w14:paraId="17B5C102" w14:textId="77777777" w:rsidR="009021F1" w:rsidRPr="003142D9" w:rsidRDefault="009021F1" w:rsidP="00E637E3">
            <w:pPr>
              <w:rPr>
                <w:rFonts w:cs="Arial"/>
                <w:sz w:val="20"/>
                <w:szCs w:val="20"/>
              </w:rPr>
            </w:pPr>
            <w:r w:rsidRPr="003142D9">
              <w:rPr>
                <w:rFonts w:cs="Arial"/>
                <w:sz w:val="20"/>
                <w:szCs w:val="20"/>
              </w:rPr>
              <w:t>Non mentionné dans la législation nationale congolaise</w:t>
            </w:r>
          </w:p>
        </w:tc>
        <w:tc>
          <w:tcPr>
            <w:tcW w:w="3969" w:type="dxa"/>
            <w:shd w:val="clear" w:color="auto" w:fill="auto"/>
            <w:vAlign w:val="center"/>
          </w:tcPr>
          <w:p w14:paraId="32BA27B2" w14:textId="77777777" w:rsidR="009021F1" w:rsidRPr="003142D9" w:rsidRDefault="009021F1" w:rsidP="00E637E3">
            <w:pPr>
              <w:rPr>
                <w:rFonts w:eastAsia="Calibri" w:cs="Arial"/>
                <w:sz w:val="20"/>
                <w:szCs w:val="20"/>
              </w:rPr>
            </w:pPr>
            <w:r w:rsidRPr="003142D9">
              <w:rPr>
                <w:rFonts w:cs="Arial"/>
                <w:sz w:val="20"/>
                <w:szCs w:val="20"/>
              </w:rPr>
              <w:t>La loi nationale ne satisfait pas à cette exigence de la NES n°1. Ainsi, c’est la NES n°1 qui s’appliquera et sera suivi par l’IDA.</w:t>
            </w:r>
          </w:p>
        </w:tc>
      </w:tr>
      <w:tr w:rsidR="009021F1" w:rsidRPr="00E800E3" w14:paraId="431737F3" w14:textId="77777777" w:rsidTr="00E637E3">
        <w:trPr>
          <w:cantSplit/>
          <w:jc w:val="center"/>
        </w:trPr>
        <w:tc>
          <w:tcPr>
            <w:tcW w:w="5670" w:type="dxa"/>
          </w:tcPr>
          <w:p w14:paraId="2DD2C765"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Mettre en œuvre des mesures différenciées de sorte que les impacts négatifs du projet n’affectent de manière disproportionnée les groupes défavorisés et vulnérables</w:t>
            </w:r>
          </w:p>
          <w:p w14:paraId="0A384A02" w14:textId="77777777" w:rsidR="009021F1" w:rsidRPr="003142D9" w:rsidRDefault="009021F1" w:rsidP="00E637E3">
            <w:pPr>
              <w:rPr>
                <w:rFonts w:eastAsia="Calibri" w:cs="Arial"/>
                <w:i/>
                <w:sz w:val="20"/>
                <w:szCs w:val="20"/>
                <w:u w:val="single"/>
              </w:rPr>
            </w:pPr>
            <w:r w:rsidRPr="003142D9">
              <w:rPr>
                <w:rFonts w:cs="Arial"/>
                <w:i/>
                <w:iCs/>
                <w:sz w:val="20"/>
                <w:szCs w:val="20"/>
              </w:rPr>
              <w:t>Paragraphe 28,29</w:t>
            </w:r>
          </w:p>
        </w:tc>
        <w:tc>
          <w:tcPr>
            <w:tcW w:w="5670" w:type="dxa"/>
            <w:shd w:val="clear" w:color="auto" w:fill="auto"/>
            <w:vAlign w:val="center"/>
          </w:tcPr>
          <w:p w14:paraId="2C7BD9D0" w14:textId="77777777" w:rsidR="009021F1" w:rsidRPr="003142D9" w:rsidRDefault="009021F1" w:rsidP="00E637E3">
            <w:pPr>
              <w:rPr>
                <w:rFonts w:cs="Arial"/>
                <w:sz w:val="20"/>
                <w:szCs w:val="20"/>
              </w:rPr>
            </w:pPr>
            <w:r w:rsidRPr="003142D9">
              <w:rPr>
                <w:rFonts w:cs="Arial"/>
                <w:sz w:val="20"/>
                <w:szCs w:val="20"/>
              </w:rPr>
              <w:t>La Loi n° 11/009 du 09 juillet 2011 portant Principes fondamentaux relatifs à la protection de l’environnement, et le Décret n° 14/019 du 02 août 2014 fixant les règles de fonctionnement des mécanismes procéduraux de la protection de l’environnement déterminent les règles et procédures applicables aux études relatives à l’impact environnemental pour tout projet susceptible de porter atteinte à l’environnement</w:t>
            </w:r>
          </w:p>
        </w:tc>
        <w:tc>
          <w:tcPr>
            <w:tcW w:w="3969" w:type="dxa"/>
            <w:shd w:val="clear" w:color="auto" w:fill="auto"/>
            <w:vAlign w:val="center"/>
          </w:tcPr>
          <w:p w14:paraId="265FC50D" w14:textId="77777777" w:rsidR="009021F1" w:rsidRPr="003142D9" w:rsidRDefault="009021F1" w:rsidP="00E637E3">
            <w:pPr>
              <w:rPr>
                <w:rFonts w:eastAsia="Calibri" w:cs="Arial"/>
                <w:sz w:val="20"/>
                <w:szCs w:val="20"/>
              </w:rPr>
            </w:pPr>
            <w:r w:rsidRPr="003142D9">
              <w:rPr>
                <w:rFonts w:cs="Arial"/>
                <w:sz w:val="20"/>
                <w:szCs w:val="20"/>
              </w:rPr>
              <w:t>La loi nationale satisfait à cette exigence de la NES n°1. Toutefois, la NES n°1  s’appliquera et sera suivi par la Banque mondiale</w:t>
            </w:r>
          </w:p>
        </w:tc>
      </w:tr>
      <w:tr w:rsidR="009021F1" w:rsidRPr="00E800E3" w14:paraId="40528A2D" w14:textId="77777777" w:rsidTr="00E637E3">
        <w:trPr>
          <w:cantSplit/>
          <w:jc w:val="center"/>
        </w:trPr>
        <w:tc>
          <w:tcPr>
            <w:tcW w:w="5670" w:type="dxa"/>
          </w:tcPr>
          <w:p w14:paraId="6CCA2FE7"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Élaborer, divulguer et mettre en œuvre un plan d'engagement environnemental et social (PEES)</w:t>
            </w:r>
          </w:p>
          <w:p w14:paraId="239CADD3" w14:textId="77777777" w:rsidR="009021F1" w:rsidRPr="003142D9" w:rsidRDefault="009021F1" w:rsidP="00E637E3">
            <w:pPr>
              <w:rPr>
                <w:rFonts w:eastAsia="Calibri" w:cs="Arial"/>
                <w:i/>
                <w:sz w:val="20"/>
                <w:szCs w:val="20"/>
                <w:u w:val="single"/>
              </w:rPr>
            </w:pPr>
            <w:r w:rsidRPr="003142D9">
              <w:rPr>
                <w:rFonts w:cs="Arial"/>
                <w:i/>
                <w:iCs/>
                <w:sz w:val="20"/>
                <w:szCs w:val="20"/>
              </w:rPr>
              <w:t>Paragraphes 36 à 44</w:t>
            </w:r>
          </w:p>
        </w:tc>
        <w:tc>
          <w:tcPr>
            <w:tcW w:w="5670" w:type="dxa"/>
            <w:shd w:val="clear" w:color="auto" w:fill="auto"/>
            <w:vAlign w:val="center"/>
          </w:tcPr>
          <w:p w14:paraId="4CC549B3" w14:textId="77777777" w:rsidR="009021F1" w:rsidRPr="003142D9" w:rsidRDefault="009021F1" w:rsidP="00E637E3">
            <w:pPr>
              <w:rPr>
                <w:rFonts w:cs="Arial"/>
                <w:sz w:val="20"/>
                <w:szCs w:val="20"/>
              </w:rPr>
            </w:pPr>
            <w:r w:rsidRPr="003142D9">
              <w:rPr>
                <w:rFonts w:cs="Arial"/>
                <w:sz w:val="20"/>
                <w:szCs w:val="20"/>
              </w:rPr>
              <w:t>Non mentionné dans la législation nationale congolaise</w:t>
            </w:r>
          </w:p>
        </w:tc>
        <w:tc>
          <w:tcPr>
            <w:tcW w:w="3969" w:type="dxa"/>
            <w:shd w:val="clear" w:color="auto" w:fill="auto"/>
            <w:vAlign w:val="center"/>
          </w:tcPr>
          <w:p w14:paraId="47A92DE5" w14:textId="77777777" w:rsidR="009021F1" w:rsidRPr="003142D9" w:rsidRDefault="009021F1" w:rsidP="00E637E3">
            <w:pPr>
              <w:rPr>
                <w:rFonts w:eastAsia="Calibri" w:cs="Arial"/>
                <w:sz w:val="20"/>
                <w:szCs w:val="20"/>
              </w:rPr>
            </w:pPr>
            <w:r w:rsidRPr="003142D9">
              <w:rPr>
                <w:rFonts w:cs="Arial"/>
                <w:sz w:val="20"/>
                <w:szCs w:val="20"/>
              </w:rPr>
              <w:t>La loi nationale ne satisfait pas à cette exigence de la NES n°1. Ainsi, c’est le PEES de la Banque mondiale qui s’appliquera et sera suivi par l’IDA.</w:t>
            </w:r>
          </w:p>
        </w:tc>
      </w:tr>
      <w:tr w:rsidR="009021F1" w:rsidRPr="00E800E3" w14:paraId="78E77EBC" w14:textId="77777777" w:rsidTr="00E637E3">
        <w:trPr>
          <w:cantSplit/>
          <w:jc w:val="center"/>
        </w:trPr>
        <w:tc>
          <w:tcPr>
            <w:tcW w:w="5670" w:type="dxa"/>
          </w:tcPr>
          <w:p w14:paraId="398BADF9"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Assurer le suivi, y compris par des tiers, mettre en œuvre des mesures préventives et correctives, notifier la Banque tout incident ou accident en lien avec le projet susceptible d’avoir des conséquences graves</w:t>
            </w:r>
          </w:p>
          <w:p w14:paraId="3E9E0A31" w14:textId="77777777" w:rsidR="009021F1" w:rsidRPr="003142D9" w:rsidRDefault="009021F1" w:rsidP="00E637E3">
            <w:pPr>
              <w:rPr>
                <w:rFonts w:eastAsia="Calibri" w:cs="Arial"/>
                <w:i/>
                <w:sz w:val="20"/>
                <w:szCs w:val="20"/>
                <w:u w:val="single"/>
              </w:rPr>
            </w:pPr>
            <w:r w:rsidRPr="003142D9">
              <w:rPr>
                <w:rFonts w:cs="Arial"/>
                <w:i/>
                <w:iCs/>
                <w:sz w:val="20"/>
                <w:szCs w:val="20"/>
              </w:rPr>
              <w:t>Paragraphe 45-50</w:t>
            </w:r>
          </w:p>
        </w:tc>
        <w:tc>
          <w:tcPr>
            <w:tcW w:w="5670" w:type="dxa"/>
            <w:shd w:val="clear" w:color="auto" w:fill="auto"/>
            <w:vAlign w:val="center"/>
          </w:tcPr>
          <w:p w14:paraId="4FF9C062" w14:textId="77777777" w:rsidR="009021F1" w:rsidRPr="003142D9" w:rsidRDefault="009021F1" w:rsidP="00E637E3">
            <w:pPr>
              <w:rPr>
                <w:rFonts w:cs="Arial"/>
                <w:sz w:val="20"/>
                <w:szCs w:val="20"/>
              </w:rPr>
            </w:pPr>
            <w:r w:rsidRPr="003142D9">
              <w:rPr>
                <w:rFonts w:cs="Arial"/>
                <w:sz w:val="20"/>
                <w:szCs w:val="20"/>
              </w:rPr>
              <w:t>Non mentionné dans la législation nationale congolaise</w:t>
            </w:r>
          </w:p>
        </w:tc>
        <w:tc>
          <w:tcPr>
            <w:tcW w:w="3969" w:type="dxa"/>
            <w:shd w:val="clear" w:color="auto" w:fill="auto"/>
            <w:vAlign w:val="center"/>
          </w:tcPr>
          <w:p w14:paraId="3B564D7D" w14:textId="77777777" w:rsidR="009021F1" w:rsidRPr="003142D9" w:rsidRDefault="009021F1" w:rsidP="00E637E3">
            <w:pPr>
              <w:rPr>
                <w:rFonts w:eastAsia="Calibri" w:cs="Arial"/>
                <w:sz w:val="20"/>
                <w:szCs w:val="20"/>
              </w:rPr>
            </w:pPr>
            <w:r w:rsidRPr="003142D9">
              <w:rPr>
                <w:rFonts w:cs="Arial"/>
                <w:sz w:val="20"/>
                <w:szCs w:val="20"/>
              </w:rPr>
              <w:t>La loi nationale ne satisfait pas à cette exigence de la NES n°1. Ainsi, c’est le NES n°1 qui s’appliquera et sera suivi par l’IDA.</w:t>
            </w:r>
          </w:p>
        </w:tc>
      </w:tr>
      <w:tr w:rsidR="009021F1" w:rsidRPr="00E800E3" w14:paraId="40539C91" w14:textId="77777777" w:rsidTr="00E637E3">
        <w:trPr>
          <w:cantSplit/>
          <w:jc w:val="center"/>
        </w:trPr>
        <w:tc>
          <w:tcPr>
            <w:tcW w:w="5670" w:type="dxa"/>
          </w:tcPr>
          <w:p w14:paraId="63F5F9B1"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Mobiliser les parties prenantes et rendre public des informations sur les risques, et effets environnementaux et sociaux du projet, avant l’évaluation du projet</w:t>
            </w:r>
          </w:p>
          <w:p w14:paraId="6E78DDD4" w14:textId="77777777" w:rsidR="009021F1" w:rsidRPr="003142D9" w:rsidRDefault="009021F1" w:rsidP="00E637E3">
            <w:pPr>
              <w:rPr>
                <w:rFonts w:eastAsia="Calibri" w:cs="Arial"/>
                <w:i/>
                <w:sz w:val="20"/>
                <w:szCs w:val="20"/>
                <w:u w:val="single"/>
              </w:rPr>
            </w:pPr>
            <w:r w:rsidRPr="003142D9">
              <w:rPr>
                <w:rFonts w:cs="Arial"/>
                <w:i/>
                <w:iCs/>
                <w:sz w:val="20"/>
                <w:szCs w:val="20"/>
              </w:rPr>
              <w:t>Paragraphes 51-53</w:t>
            </w:r>
          </w:p>
        </w:tc>
        <w:tc>
          <w:tcPr>
            <w:tcW w:w="5670" w:type="dxa"/>
            <w:shd w:val="clear" w:color="auto" w:fill="auto"/>
            <w:vAlign w:val="center"/>
          </w:tcPr>
          <w:p w14:paraId="2DE308C0" w14:textId="77777777" w:rsidR="009021F1" w:rsidRPr="003142D9" w:rsidRDefault="009021F1" w:rsidP="00E637E3">
            <w:pPr>
              <w:rPr>
                <w:rFonts w:cs="Arial"/>
                <w:sz w:val="20"/>
                <w:szCs w:val="20"/>
              </w:rPr>
            </w:pPr>
            <w:r w:rsidRPr="003142D9">
              <w:rPr>
                <w:rFonts w:cs="Arial"/>
                <w:sz w:val="20"/>
                <w:szCs w:val="20"/>
              </w:rPr>
              <w:t>La Loi n° 11/009 du 09 juillet 2011 portant Principes fondamentaux relatifs à la protection de l’environnement, et le Décret n° 14/019 du 02 août 2014 fixant les règles de fonctionnement des mécanismes procéduraux de la protection de l’environnement déterminent les règles et procédures applicables aux études relatives à l’impact environnemental pour tout projet susceptible de porter atteinte à l’environnement</w:t>
            </w:r>
          </w:p>
        </w:tc>
        <w:tc>
          <w:tcPr>
            <w:tcW w:w="3969" w:type="dxa"/>
            <w:shd w:val="clear" w:color="auto" w:fill="auto"/>
            <w:vAlign w:val="center"/>
          </w:tcPr>
          <w:p w14:paraId="79D3759A" w14:textId="77777777" w:rsidR="009021F1" w:rsidRPr="003142D9" w:rsidRDefault="009021F1" w:rsidP="00E637E3">
            <w:pPr>
              <w:rPr>
                <w:rFonts w:eastAsia="Calibri" w:cs="Arial"/>
                <w:sz w:val="20"/>
                <w:szCs w:val="20"/>
              </w:rPr>
            </w:pPr>
            <w:r w:rsidRPr="003142D9">
              <w:rPr>
                <w:rFonts w:cs="Arial"/>
                <w:sz w:val="20"/>
                <w:szCs w:val="20"/>
              </w:rPr>
              <w:t>La loi nationale satisfait à cette exigence de la NES n°1. Toutefois, la NES n°1 s’appliquera et sera suivi par la Banque mondiale</w:t>
            </w:r>
          </w:p>
        </w:tc>
      </w:tr>
      <w:tr w:rsidR="009021F1" w:rsidRPr="00E800E3" w14:paraId="241F46A9" w14:textId="77777777" w:rsidTr="00E637E3">
        <w:trPr>
          <w:jc w:val="center"/>
        </w:trPr>
        <w:tc>
          <w:tcPr>
            <w:tcW w:w="5670" w:type="dxa"/>
            <w:shd w:val="clear" w:color="auto" w:fill="C5E0B3"/>
            <w:vAlign w:val="center"/>
          </w:tcPr>
          <w:p w14:paraId="62AA37D2" w14:textId="77777777" w:rsidR="009021F1" w:rsidRPr="003142D9" w:rsidRDefault="009021F1" w:rsidP="00E637E3">
            <w:pPr>
              <w:spacing w:before="60" w:after="60"/>
              <w:rPr>
                <w:rFonts w:eastAsia="Calibri" w:cs="Arial"/>
                <w:b/>
                <w:bCs/>
                <w:sz w:val="20"/>
                <w:szCs w:val="20"/>
              </w:rPr>
            </w:pPr>
            <w:r w:rsidRPr="003142D9">
              <w:rPr>
                <w:rFonts w:eastAsia="Calibri" w:cs="Arial"/>
                <w:b/>
                <w:bCs/>
                <w:sz w:val="20"/>
                <w:szCs w:val="20"/>
              </w:rPr>
              <w:t>NES 2.  Emploi et conditions de travail</w:t>
            </w:r>
          </w:p>
        </w:tc>
        <w:tc>
          <w:tcPr>
            <w:tcW w:w="5670" w:type="dxa"/>
            <w:shd w:val="clear" w:color="auto" w:fill="C5E0B3"/>
          </w:tcPr>
          <w:p w14:paraId="372C68A1" w14:textId="77777777" w:rsidR="009021F1" w:rsidRPr="003142D9" w:rsidRDefault="009021F1" w:rsidP="00E637E3">
            <w:pPr>
              <w:spacing w:before="60" w:after="60"/>
              <w:rPr>
                <w:rFonts w:eastAsia="Calibri" w:cs="Arial"/>
                <w:b/>
                <w:bCs/>
                <w:sz w:val="20"/>
                <w:szCs w:val="20"/>
              </w:rPr>
            </w:pPr>
          </w:p>
        </w:tc>
        <w:tc>
          <w:tcPr>
            <w:tcW w:w="3969" w:type="dxa"/>
            <w:shd w:val="clear" w:color="auto" w:fill="C5E0B3"/>
            <w:vAlign w:val="center"/>
          </w:tcPr>
          <w:p w14:paraId="3DB6AD33" w14:textId="77777777" w:rsidR="009021F1" w:rsidRPr="003142D9" w:rsidRDefault="009021F1" w:rsidP="00E637E3">
            <w:pPr>
              <w:spacing w:before="60" w:after="60"/>
              <w:rPr>
                <w:rFonts w:eastAsia="Calibri" w:cs="Arial"/>
                <w:b/>
                <w:bCs/>
                <w:sz w:val="20"/>
                <w:szCs w:val="20"/>
              </w:rPr>
            </w:pPr>
          </w:p>
        </w:tc>
      </w:tr>
      <w:tr w:rsidR="009021F1" w:rsidRPr="00E800E3" w14:paraId="015896E5" w14:textId="77777777" w:rsidTr="00E637E3">
        <w:trPr>
          <w:cantSplit/>
          <w:jc w:val="center"/>
        </w:trPr>
        <w:tc>
          <w:tcPr>
            <w:tcW w:w="5670" w:type="dxa"/>
          </w:tcPr>
          <w:p w14:paraId="5EE67FA9"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Identifier les travailleurs du projet à temps plein, à temps partiel, temporaires, saisonniers et migrants (directs, contractuels, employés des principaux fournisseurs, travailleurs communautaires)</w:t>
            </w:r>
          </w:p>
          <w:p w14:paraId="4BBC4E0F" w14:textId="77777777" w:rsidR="009021F1" w:rsidRPr="003142D9" w:rsidRDefault="009021F1" w:rsidP="00E637E3">
            <w:pPr>
              <w:autoSpaceDE w:val="0"/>
              <w:autoSpaceDN w:val="0"/>
              <w:adjustRightInd w:val="0"/>
              <w:rPr>
                <w:rFonts w:eastAsia="Calibri" w:cs="Arial"/>
                <w:sz w:val="20"/>
                <w:szCs w:val="20"/>
              </w:rPr>
            </w:pPr>
            <w:r w:rsidRPr="003142D9">
              <w:rPr>
                <w:rFonts w:cs="Arial"/>
                <w:i/>
                <w:iCs/>
                <w:sz w:val="20"/>
                <w:szCs w:val="20"/>
              </w:rPr>
              <w:t>Paragraphes 3 à 8</w:t>
            </w:r>
          </w:p>
        </w:tc>
        <w:tc>
          <w:tcPr>
            <w:tcW w:w="5670" w:type="dxa"/>
            <w:shd w:val="clear" w:color="auto" w:fill="auto"/>
            <w:vAlign w:val="center"/>
          </w:tcPr>
          <w:p w14:paraId="120B8339" w14:textId="77777777" w:rsidR="009021F1" w:rsidRPr="003142D9" w:rsidRDefault="009021F1" w:rsidP="00E637E3">
            <w:pPr>
              <w:autoSpaceDE w:val="0"/>
              <w:autoSpaceDN w:val="0"/>
              <w:adjustRightInd w:val="0"/>
              <w:rPr>
                <w:rFonts w:cs="Arial"/>
                <w:sz w:val="20"/>
                <w:szCs w:val="20"/>
              </w:rPr>
            </w:pPr>
            <w:r w:rsidRPr="003142D9">
              <w:rPr>
                <w:rFonts w:cs="Arial"/>
                <w:sz w:val="20"/>
                <w:szCs w:val="20"/>
              </w:rPr>
              <w:t>Non mentionné dans la législation nationale congolaise</w:t>
            </w:r>
          </w:p>
        </w:tc>
        <w:tc>
          <w:tcPr>
            <w:tcW w:w="3969" w:type="dxa"/>
            <w:shd w:val="clear" w:color="auto" w:fill="auto"/>
            <w:vAlign w:val="center"/>
          </w:tcPr>
          <w:p w14:paraId="5EB5D927" w14:textId="77777777" w:rsidR="009021F1" w:rsidRPr="003142D9" w:rsidRDefault="009021F1" w:rsidP="00E637E3">
            <w:pPr>
              <w:rPr>
                <w:rFonts w:cs="Arial"/>
                <w:sz w:val="20"/>
                <w:szCs w:val="20"/>
              </w:rPr>
            </w:pPr>
            <w:r w:rsidRPr="003142D9">
              <w:rPr>
                <w:rFonts w:cs="Arial"/>
                <w:sz w:val="20"/>
                <w:szCs w:val="20"/>
              </w:rPr>
              <w:t>La loi nationale ne satisfait pas à cette exigence de la NES n°2. Ainsi, c’est le NES n°2 qui s’appliquera et sera suivi par l’IDA.</w:t>
            </w:r>
          </w:p>
        </w:tc>
      </w:tr>
      <w:tr w:rsidR="009021F1" w:rsidRPr="00E800E3" w14:paraId="5CFEE735" w14:textId="77777777" w:rsidTr="00E637E3">
        <w:trPr>
          <w:cantSplit/>
          <w:jc w:val="center"/>
        </w:trPr>
        <w:tc>
          <w:tcPr>
            <w:tcW w:w="5670" w:type="dxa"/>
            <w:shd w:val="clear" w:color="auto" w:fill="auto"/>
            <w:vAlign w:val="center"/>
          </w:tcPr>
          <w:p w14:paraId="3EA18DFB" w14:textId="77777777" w:rsidR="009021F1" w:rsidRPr="003142D9" w:rsidRDefault="009021F1" w:rsidP="00E637E3">
            <w:pPr>
              <w:pStyle w:val="Tabletext0"/>
              <w:spacing w:line="276" w:lineRule="auto"/>
              <w:rPr>
                <w:rFonts w:cs="Arial"/>
                <w:b/>
                <w:i/>
                <w:szCs w:val="20"/>
              </w:rPr>
            </w:pPr>
            <w:r w:rsidRPr="003142D9">
              <w:rPr>
                <w:rFonts w:ascii="Arial" w:hAnsi="Arial" w:cs="Arial"/>
                <w:b/>
                <w:i/>
                <w:szCs w:val="20"/>
              </w:rPr>
              <w:t>Non-discrimination et égalité des chances</w:t>
            </w:r>
          </w:p>
          <w:p w14:paraId="56D0B844" w14:textId="77777777" w:rsidR="009021F1" w:rsidRPr="003142D9" w:rsidRDefault="009021F1" w:rsidP="00E637E3">
            <w:pPr>
              <w:pStyle w:val="Tabletext0"/>
              <w:spacing w:line="276" w:lineRule="auto"/>
              <w:rPr>
                <w:rFonts w:cs="Arial"/>
                <w:szCs w:val="20"/>
              </w:rPr>
            </w:pPr>
          </w:p>
          <w:p w14:paraId="2039E518"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La NES n°2 dispose que l’Emprunteur fondera la relation de travail sur le principe de l’égalité des chances et de traitement, et ne prendra aucune mesure discriminatoire concernant un aspect quelconque de la relation de travail…</w:t>
            </w:r>
          </w:p>
        </w:tc>
        <w:tc>
          <w:tcPr>
            <w:tcW w:w="5670" w:type="dxa"/>
            <w:shd w:val="clear" w:color="auto" w:fill="auto"/>
            <w:vAlign w:val="center"/>
          </w:tcPr>
          <w:p w14:paraId="68167BC5" w14:textId="77777777" w:rsidR="009021F1" w:rsidRPr="003142D9" w:rsidRDefault="009021F1" w:rsidP="00E637E3">
            <w:pPr>
              <w:pStyle w:val="Tabletext0"/>
              <w:spacing w:line="276" w:lineRule="auto"/>
              <w:rPr>
                <w:rFonts w:cs="Arial"/>
                <w:szCs w:val="20"/>
              </w:rPr>
            </w:pPr>
            <w:r w:rsidRPr="003142D9">
              <w:rPr>
                <w:rFonts w:ascii="Arial" w:hAnsi="Arial" w:cs="Arial"/>
                <w:szCs w:val="20"/>
              </w:rPr>
              <w:t>L’une des innovations les plus importantes de la Loi n°15/2002 du 16 octobre 2002 portant Code du Travail est le renforcement des mesures antidiscriminatoires à l’égard des femmes et des personnes avec handicap.</w:t>
            </w:r>
          </w:p>
        </w:tc>
        <w:tc>
          <w:tcPr>
            <w:tcW w:w="3969" w:type="dxa"/>
            <w:shd w:val="clear" w:color="auto" w:fill="auto"/>
            <w:vAlign w:val="center"/>
          </w:tcPr>
          <w:p w14:paraId="41971B4B" w14:textId="77777777" w:rsidR="009021F1" w:rsidRPr="003142D9" w:rsidRDefault="009021F1" w:rsidP="00E637E3">
            <w:pPr>
              <w:pStyle w:val="Tabletext0"/>
              <w:spacing w:line="276" w:lineRule="auto"/>
              <w:rPr>
                <w:rFonts w:cs="Arial"/>
                <w:szCs w:val="20"/>
              </w:rPr>
            </w:pPr>
            <w:r w:rsidRPr="003142D9">
              <w:rPr>
                <w:rFonts w:ascii="Arial" w:hAnsi="Arial" w:cs="Arial"/>
                <w:szCs w:val="20"/>
              </w:rPr>
              <w:t>La loi nationale satisfait cette exigence de la NES n°2.</w:t>
            </w:r>
          </w:p>
        </w:tc>
      </w:tr>
      <w:tr w:rsidR="009021F1" w:rsidRPr="00E800E3" w14:paraId="5D410AF8" w14:textId="77777777" w:rsidTr="00E637E3">
        <w:trPr>
          <w:cantSplit/>
          <w:jc w:val="center"/>
        </w:trPr>
        <w:tc>
          <w:tcPr>
            <w:tcW w:w="5670" w:type="dxa"/>
          </w:tcPr>
          <w:p w14:paraId="39F8C9BA"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Établir des procédures écrites de gestion de la main d’œuvre qui s’appliquent au projet, y compris les conditions de travail et d’emploi</w:t>
            </w:r>
          </w:p>
          <w:p w14:paraId="185FA683" w14:textId="77777777" w:rsidR="009021F1" w:rsidRPr="003142D9" w:rsidRDefault="009021F1" w:rsidP="00E637E3">
            <w:pPr>
              <w:autoSpaceDE w:val="0"/>
              <w:autoSpaceDN w:val="0"/>
              <w:adjustRightInd w:val="0"/>
              <w:rPr>
                <w:rFonts w:eastAsia="Calibri" w:cs="Arial"/>
                <w:sz w:val="20"/>
                <w:szCs w:val="20"/>
              </w:rPr>
            </w:pPr>
            <w:r w:rsidRPr="003142D9">
              <w:rPr>
                <w:rFonts w:cs="Arial"/>
                <w:i/>
                <w:iCs/>
                <w:sz w:val="20"/>
                <w:szCs w:val="20"/>
              </w:rPr>
              <w:t>Paragraphes 9 à 12</w:t>
            </w:r>
          </w:p>
        </w:tc>
        <w:tc>
          <w:tcPr>
            <w:tcW w:w="5670" w:type="dxa"/>
            <w:shd w:val="clear" w:color="auto" w:fill="auto"/>
            <w:vAlign w:val="center"/>
          </w:tcPr>
          <w:p w14:paraId="28839D13" w14:textId="77777777" w:rsidR="009021F1" w:rsidRPr="003142D9" w:rsidRDefault="009021F1" w:rsidP="00E637E3">
            <w:pPr>
              <w:autoSpaceDE w:val="0"/>
              <w:autoSpaceDN w:val="0"/>
              <w:adjustRightInd w:val="0"/>
              <w:rPr>
                <w:rFonts w:cs="Arial"/>
                <w:sz w:val="20"/>
                <w:szCs w:val="20"/>
              </w:rPr>
            </w:pPr>
            <w:r w:rsidRPr="003142D9">
              <w:rPr>
                <w:rFonts w:cs="Arial"/>
                <w:sz w:val="20"/>
                <w:szCs w:val="20"/>
              </w:rPr>
              <w:t>La Loi n° 16/010 du 15 juillet 2016 modifiant et complétant la Loi n° 015-2002 portant Code du Travail constitue le texte de base régissant les conditions de travail et d’emploi en RDC et elle a été publiée au Journal Officiel après son adoption (numéro spécial du 25 octobre 2002).</w:t>
            </w:r>
          </w:p>
        </w:tc>
        <w:tc>
          <w:tcPr>
            <w:tcW w:w="3969" w:type="dxa"/>
            <w:shd w:val="clear" w:color="auto" w:fill="auto"/>
            <w:vAlign w:val="center"/>
          </w:tcPr>
          <w:p w14:paraId="5C2D9F31" w14:textId="77777777" w:rsidR="009021F1" w:rsidRPr="003142D9" w:rsidRDefault="009021F1" w:rsidP="00E637E3">
            <w:pPr>
              <w:rPr>
                <w:rFonts w:cs="Arial"/>
                <w:sz w:val="20"/>
                <w:szCs w:val="20"/>
              </w:rPr>
            </w:pPr>
            <w:r w:rsidRPr="003142D9">
              <w:rPr>
                <w:rFonts w:cs="Arial"/>
                <w:sz w:val="20"/>
                <w:szCs w:val="20"/>
              </w:rPr>
              <w:t>La loi nationale satisfait partiellement à cette exigence de la NES n°2. Néanmoins, une Procédure de Gestion de la Main-d’Œuvre (PGMO) suivant les exigences de la NES n°2 sera produite. Ainsi, c’est la NES n°2 qui s’appliquera et sera suivi par la Banque mondiale</w:t>
            </w:r>
          </w:p>
        </w:tc>
      </w:tr>
      <w:tr w:rsidR="009021F1" w:rsidRPr="00E800E3" w14:paraId="18A8C2F4" w14:textId="77777777" w:rsidTr="00E637E3">
        <w:trPr>
          <w:cantSplit/>
          <w:jc w:val="center"/>
        </w:trPr>
        <w:tc>
          <w:tcPr>
            <w:tcW w:w="5670" w:type="dxa"/>
          </w:tcPr>
          <w:p w14:paraId="234EA2B7"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Assurer la non-discrimination et l'égalité des chances, prévenir la discrimination, et prendre des mesures pour protéger les personnes vulnérables</w:t>
            </w:r>
          </w:p>
          <w:p w14:paraId="1AC4F90F" w14:textId="77777777" w:rsidR="009021F1" w:rsidRPr="003142D9" w:rsidRDefault="009021F1" w:rsidP="00E637E3">
            <w:pPr>
              <w:autoSpaceDE w:val="0"/>
              <w:autoSpaceDN w:val="0"/>
              <w:adjustRightInd w:val="0"/>
              <w:rPr>
                <w:rFonts w:eastAsia="Calibri" w:cs="Arial"/>
                <w:sz w:val="20"/>
                <w:szCs w:val="20"/>
              </w:rPr>
            </w:pPr>
            <w:r w:rsidRPr="003142D9">
              <w:rPr>
                <w:rFonts w:cs="Arial"/>
                <w:i/>
                <w:iCs/>
                <w:sz w:val="20"/>
                <w:szCs w:val="20"/>
              </w:rPr>
              <w:t>Paragraphes 13-15</w:t>
            </w:r>
          </w:p>
        </w:tc>
        <w:tc>
          <w:tcPr>
            <w:tcW w:w="5670" w:type="dxa"/>
            <w:shd w:val="clear" w:color="auto" w:fill="auto"/>
            <w:vAlign w:val="center"/>
          </w:tcPr>
          <w:p w14:paraId="11937F3B" w14:textId="77777777" w:rsidR="009021F1" w:rsidRPr="003142D9" w:rsidRDefault="009021F1" w:rsidP="00E637E3">
            <w:pPr>
              <w:autoSpaceDE w:val="0"/>
              <w:autoSpaceDN w:val="0"/>
              <w:adjustRightInd w:val="0"/>
              <w:rPr>
                <w:rFonts w:cs="Arial"/>
                <w:sz w:val="20"/>
                <w:szCs w:val="20"/>
              </w:rPr>
            </w:pPr>
            <w:r w:rsidRPr="003142D9">
              <w:rPr>
                <w:rFonts w:cs="Arial"/>
                <w:sz w:val="20"/>
                <w:szCs w:val="20"/>
              </w:rPr>
              <w:t>L’une des innovations les plus importantes de la Loi n° 16/010 du 15 juillet 2016 modifiant et complétant la Loi n° 015-2002 portant Code du Travail est le renforcement des mesures antidiscriminatoires à l’égard des femmes et des personnes avec handicap.</w:t>
            </w:r>
          </w:p>
        </w:tc>
        <w:tc>
          <w:tcPr>
            <w:tcW w:w="3969" w:type="dxa"/>
            <w:shd w:val="clear" w:color="auto" w:fill="auto"/>
            <w:vAlign w:val="center"/>
          </w:tcPr>
          <w:p w14:paraId="6284B88C" w14:textId="77777777" w:rsidR="009021F1" w:rsidRPr="003142D9" w:rsidRDefault="009021F1" w:rsidP="00E637E3">
            <w:pPr>
              <w:rPr>
                <w:rFonts w:cs="Arial"/>
                <w:sz w:val="20"/>
                <w:szCs w:val="20"/>
              </w:rPr>
            </w:pPr>
            <w:r w:rsidRPr="003142D9">
              <w:rPr>
                <w:rFonts w:cs="Arial"/>
                <w:sz w:val="20"/>
                <w:szCs w:val="20"/>
              </w:rPr>
              <w:t>La loi nationale satisfait à cette exigence de la NES n°2. Toutefois, la NES n°2  s’appliquera et sera suivi par la Banque mondiale</w:t>
            </w:r>
          </w:p>
        </w:tc>
      </w:tr>
      <w:tr w:rsidR="009021F1" w:rsidRPr="00E800E3" w14:paraId="4C21BBE5" w14:textId="77777777" w:rsidTr="00E637E3">
        <w:trPr>
          <w:cantSplit/>
          <w:jc w:val="center"/>
        </w:trPr>
        <w:tc>
          <w:tcPr>
            <w:tcW w:w="5670" w:type="dxa"/>
          </w:tcPr>
          <w:p w14:paraId="1D4BDA4B"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Respecter le rôle des organisations de travailleurs dans les pays où le droit national reconnaît le droit des travailleurs à se constituer en association</w:t>
            </w:r>
          </w:p>
          <w:p w14:paraId="020225F3" w14:textId="77777777" w:rsidR="009021F1" w:rsidRPr="003142D9" w:rsidRDefault="009021F1" w:rsidP="00E637E3">
            <w:pPr>
              <w:autoSpaceDE w:val="0"/>
              <w:autoSpaceDN w:val="0"/>
              <w:adjustRightInd w:val="0"/>
              <w:rPr>
                <w:rFonts w:eastAsia="Calibri" w:cs="Arial"/>
                <w:sz w:val="20"/>
                <w:szCs w:val="20"/>
              </w:rPr>
            </w:pPr>
            <w:r w:rsidRPr="003142D9">
              <w:rPr>
                <w:rFonts w:cs="Arial"/>
                <w:i/>
                <w:iCs/>
                <w:sz w:val="20"/>
                <w:szCs w:val="20"/>
              </w:rPr>
              <w:t>Paragraphe 16</w:t>
            </w:r>
          </w:p>
        </w:tc>
        <w:tc>
          <w:tcPr>
            <w:tcW w:w="5670" w:type="dxa"/>
            <w:shd w:val="clear" w:color="auto" w:fill="auto"/>
            <w:vAlign w:val="center"/>
          </w:tcPr>
          <w:p w14:paraId="27767F52" w14:textId="77777777" w:rsidR="009021F1" w:rsidRPr="003142D9" w:rsidRDefault="009021F1" w:rsidP="00E637E3">
            <w:pPr>
              <w:autoSpaceDE w:val="0"/>
              <w:autoSpaceDN w:val="0"/>
              <w:adjustRightInd w:val="0"/>
              <w:rPr>
                <w:rFonts w:cs="Arial"/>
                <w:sz w:val="20"/>
                <w:szCs w:val="20"/>
              </w:rPr>
            </w:pPr>
            <w:r w:rsidRPr="003142D9">
              <w:rPr>
                <w:rFonts w:cs="Arial"/>
                <w:sz w:val="20"/>
                <w:szCs w:val="20"/>
              </w:rPr>
              <w:t xml:space="preserve">L’article 249 du Code du travail donne le droit aux travailleurs d’avoir une représentation dans les établissements de toute nature est assurée par une délégation élue. </w:t>
            </w:r>
          </w:p>
          <w:p w14:paraId="07FF2E6F" w14:textId="77777777" w:rsidR="009021F1" w:rsidRPr="003142D9" w:rsidRDefault="009021F1" w:rsidP="00E637E3">
            <w:pPr>
              <w:autoSpaceDE w:val="0"/>
              <w:autoSpaceDN w:val="0"/>
              <w:adjustRightInd w:val="0"/>
              <w:rPr>
                <w:rFonts w:cs="Arial"/>
                <w:sz w:val="20"/>
                <w:szCs w:val="20"/>
              </w:rPr>
            </w:pPr>
          </w:p>
        </w:tc>
        <w:tc>
          <w:tcPr>
            <w:tcW w:w="3969" w:type="dxa"/>
            <w:shd w:val="clear" w:color="auto" w:fill="auto"/>
            <w:vAlign w:val="center"/>
          </w:tcPr>
          <w:p w14:paraId="63A500EF" w14:textId="77777777" w:rsidR="009021F1" w:rsidRPr="003142D9" w:rsidRDefault="009021F1" w:rsidP="00E637E3">
            <w:pPr>
              <w:rPr>
                <w:rFonts w:cs="Arial"/>
                <w:sz w:val="20"/>
                <w:szCs w:val="20"/>
              </w:rPr>
            </w:pPr>
            <w:r w:rsidRPr="003142D9">
              <w:rPr>
                <w:rFonts w:cs="Arial"/>
                <w:sz w:val="20"/>
                <w:szCs w:val="20"/>
              </w:rPr>
              <w:t>La loi nationale satisfait à cette exigence de la NES n°2. Toutefois, la NES n°2  s’appliquera et sera suivi par la Banque mondiale</w:t>
            </w:r>
          </w:p>
        </w:tc>
      </w:tr>
      <w:tr w:rsidR="009021F1" w:rsidRPr="00E800E3" w14:paraId="2CBD7660" w14:textId="77777777" w:rsidTr="00E637E3">
        <w:trPr>
          <w:cantSplit/>
          <w:jc w:val="center"/>
        </w:trPr>
        <w:tc>
          <w:tcPr>
            <w:tcW w:w="5670" w:type="dxa"/>
          </w:tcPr>
          <w:p w14:paraId="45322FAF"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Ne pas employer les enfants n’ayant pas atteint l’âge minimum et ne pas avoir recours au travail forcé.</w:t>
            </w:r>
          </w:p>
          <w:p w14:paraId="315C3134" w14:textId="77777777" w:rsidR="009021F1" w:rsidRPr="003142D9" w:rsidRDefault="009021F1" w:rsidP="00E637E3">
            <w:pPr>
              <w:autoSpaceDE w:val="0"/>
              <w:autoSpaceDN w:val="0"/>
              <w:adjustRightInd w:val="0"/>
              <w:rPr>
                <w:rFonts w:eastAsia="Calibri" w:cs="Arial"/>
                <w:sz w:val="20"/>
                <w:szCs w:val="20"/>
              </w:rPr>
            </w:pPr>
            <w:r w:rsidRPr="003142D9">
              <w:rPr>
                <w:rFonts w:cs="Arial"/>
                <w:i/>
                <w:iCs/>
                <w:sz w:val="20"/>
                <w:szCs w:val="20"/>
              </w:rPr>
              <w:t>Paragraphe 17-20</w:t>
            </w:r>
          </w:p>
        </w:tc>
        <w:tc>
          <w:tcPr>
            <w:tcW w:w="5670" w:type="dxa"/>
            <w:shd w:val="clear" w:color="auto" w:fill="auto"/>
            <w:vAlign w:val="center"/>
          </w:tcPr>
          <w:p w14:paraId="38D86F8F"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La Loi modifiant et complétant la loi n° 015-2002 portant Code du travail, fixe de capacité de contracter à 18 ans.</w:t>
            </w:r>
          </w:p>
          <w:p w14:paraId="623C885B" w14:textId="77777777" w:rsidR="009021F1" w:rsidRPr="003142D9" w:rsidRDefault="009021F1" w:rsidP="00E637E3">
            <w:pPr>
              <w:autoSpaceDE w:val="0"/>
              <w:autoSpaceDN w:val="0"/>
              <w:adjustRightInd w:val="0"/>
              <w:rPr>
                <w:rFonts w:cs="Arial"/>
                <w:sz w:val="20"/>
                <w:szCs w:val="20"/>
              </w:rPr>
            </w:pPr>
          </w:p>
        </w:tc>
        <w:tc>
          <w:tcPr>
            <w:tcW w:w="3969" w:type="dxa"/>
            <w:shd w:val="clear" w:color="auto" w:fill="auto"/>
            <w:vAlign w:val="center"/>
          </w:tcPr>
          <w:p w14:paraId="4747E8DE" w14:textId="77777777" w:rsidR="009021F1" w:rsidRPr="003142D9" w:rsidRDefault="009021F1" w:rsidP="00E637E3">
            <w:pPr>
              <w:rPr>
                <w:rFonts w:cs="Arial"/>
                <w:sz w:val="20"/>
                <w:szCs w:val="20"/>
              </w:rPr>
            </w:pPr>
            <w:r w:rsidRPr="003142D9">
              <w:rPr>
                <w:rFonts w:cs="Arial"/>
                <w:sz w:val="20"/>
                <w:szCs w:val="20"/>
              </w:rPr>
              <w:t>La loi nationale satisfait à cette exigence de la NES n°2. Toutefois, la NES n°2  s’appliquera et sera suivi par la Banque mondiale</w:t>
            </w:r>
          </w:p>
        </w:tc>
      </w:tr>
      <w:tr w:rsidR="009021F1" w:rsidRPr="00E800E3" w14:paraId="28E374C9" w14:textId="77777777" w:rsidTr="00E637E3">
        <w:trPr>
          <w:cantSplit/>
          <w:jc w:val="center"/>
        </w:trPr>
        <w:tc>
          <w:tcPr>
            <w:tcW w:w="5670" w:type="dxa"/>
          </w:tcPr>
          <w:p w14:paraId="7B72FFA9"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Mettre à disposition de tous les travailleurs un mécanisme de gestion des plaintes.  Ce mécanisme est distinct de celui requis par la NES10 et n’est pas applicable aux travailleurs communautaires)</w:t>
            </w:r>
          </w:p>
          <w:p w14:paraId="05C6FED8" w14:textId="77777777" w:rsidR="009021F1" w:rsidRPr="003142D9" w:rsidRDefault="009021F1" w:rsidP="00E637E3">
            <w:pPr>
              <w:autoSpaceDE w:val="0"/>
              <w:autoSpaceDN w:val="0"/>
              <w:adjustRightInd w:val="0"/>
              <w:rPr>
                <w:rFonts w:eastAsia="Calibri" w:cs="Arial"/>
                <w:sz w:val="20"/>
                <w:szCs w:val="20"/>
              </w:rPr>
            </w:pPr>
            <w:r w:rsidRPr="003142D9">
              <w:rPr>
                <w:rFonts w:cs="Arial"/>
                <w:i/>
                <w:iCs/>
                <w:sz w:val="20"/>
                <w:szCs w:val="20"/>
              </w:rPr>
              <w:t>Paragraphes 21-23, 33, 36</w:t>
            </w:r>
          </w:p>
        </w:tc>
        <w:tc>
          <w:tcPr>
            <w:tcW w:w="5670" w:type="dxa"/>
            <w:shd w:val="clear" w:color="auto" w:fill="auto"/>
            <w:vAlign w:val="center"/>
          </w:tcPr>
          <w:p w14:paraId="3E2B4F1A" w14:textId="77777777" w:rsidR="009021F1" w:rsidRPr="003142D9" w:rsidRDefault="009021F1" w:rsidP="00E637E3">
            <w:pPr>
              <w:rPr>
                <w:rFonts w:cs="Arial"/>
                <w:sz w:val="20"/>
                <w:szCs w:val="20"/>
              </w:rPr>
            </w:pPr>
            <w:r w:rsidRPr="003142D9">
              <w:rPr>
                <w:rFonts w:cs="Arial"/>
                <w:sz w:val="20"/>
                <w:szCs w:val="20"/>
              </w:rPr>
              <w:t>La législation nationale ne mentionne pas ce mécanisme de gestion des plaintes pour les travailleurs mais la Loi n°15/2002 du 16 octobre 2002 portant Code du Travail, en son article 62, Chapitre VI, Section I, dispose que : … Ne constitue pas de motifs valables de licenciement notamment … le fait d’avoir déposé une plainte ou participé à des procédures engagées contre un employeur en raison de violations alléguées de la législation, ou présenté un recours devant les autorités administratives compétentes,</w:t>
            </w:r>
          </w:p>
        </w:tc>
        <w:tc>
          <w:tcPr>
            <w:tcW w:w="3969" w:type="dxa"/>
            <w:shd w:val="clear" w:color="auto" w:fill="auto"/>
            <w:vAlign w:val="center"/>
          </w:tcPr>
          <w:p w14:paraId="1E867FD9" w14:textId="77777777" w:rsidR="009021F1" w:rsidRPr="003142D9" w:rsidRDefault="009021F1" w:rsidP="00E637E3">
            <w:pPr>
              <w:rPr>
                <w:rFonts w:cs="Arial"/>
                <w:sz w:val="20"/>
                <w:szCs w:val="20"/>
              </w:rPr>
            </w:pPr>
            <w:r w:rsidRPr="003142D9">
              <w:rPr>
                <w:rFonts w:cs="Arial"/>
                <w:sz w:val="20"/>
                <w:szCs w:val="20"/>
              </w:rPr>
              <w:t>La loi nationale prend en compte implicitement cette exigence de la NES n°2 et donc elle satisfait partiellement. Il sera nécessaire donc de prendre en compte le mécanisme de gestion des plaintes pour les travailleurs. C’est la NES n°2 qui va s’appliquer</w:t>
            </w:r>
          </w:p>
        </w:tc>
      </w:tr>
      <w:tr w:rsidR="009021F1" w:rsidRPr="00E800E3" w14:paraId="3FD1577A" w14:textId="77777777" w:rsidTr="00E637E3">
        <w:trPr>
          <w:cantSplit/>
          <w:jc w:val="center"/>
        </w:trPr>
        <w:tc>
          <w:tcPr>
            <w:tcW w:w="5670" w:type="dxa"/>
          </w:tcPr>
          <w:p w14:paraId="39040B67"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Appliquer les mesures relatives à la santé et la sécurité au travail en tenant compte des DESS</w:t>
            </w:r>
          </w:p>
          <w:p w14:paraId="6B3633B9" w14:textId="77777777" w:rsidR="009021F1" w:rsidRPr="003142D9" w:rsidRDefault="009021F1" w:rsidP="00E637E3">
            <w:pPr>
              <w:autoSpaceDE w:val="0"/>
              <w:autoSpaceDN w:val="0"/>
              <w:adjustRightInd w:val="0"/>
              <w:rPr>
                <w:rFonts w:eastAsia="Calibri" w:cs="Arial"/>
                <w:sz w:val="20"/>
                <w:szCs w:val="20"/>
              </w:rPr>
            </w:pPr>
            <w:r w:rsidRPr="003142D9">
              <w:rPr>
                <w:rFonts w:cs="Arial"/>
                <w:i/>
                <w:iCs/>
                <w:sz w:val="20"/>
                <w:szCs w:val="20"/>
              </w:rPr>
              <w:t>Paragraphes 24-30</w:t>
            </w:r>
          </w:p>
        </w:tc>
        <w:tc>
          <w:tcPr>
            <w:tcW w:w="5670" w:type="dxa"/>
            <w:shd w:val="clear" w:color="auto" w:fill="auto"/>
            <w:vAlign w:val="center"/>
          </w:tcPr>
          <w:p w14:paraId="196B4116" w14:textId="77777777" w:rsidR="009021F1" w:rsidRPr="003142D9" w:rsidRDefault="009021F1" w:rsidP="00E637E3">
            <w:pPr>
              <w:rPr>
                <w:rFonts w:cs="Arial"/>
                <w:sz w:val="20"/>
                <w:szCs w:val="20"/>
              </w:rPr>
            </w:pPr>
            <w:r w:rsidRPr="003142D9">
              <w:rPr>
                <w:rFonts w:cs="Arial"/>
                <w:sz w:val="20"/>
                <w:szCs w:val="20"/>
              </w:rPr>
              <w:t>La Loi n° 16/010 du 15 juillet 2016 modifiant et complétant la Loi n° 015-2002 portant Code du Travail. Celui-ci vise, entre autres, à protéger la santé et la sécurité des travailleurs, à assurer un service médical, à garantir un salaire minimum et à réglementer les conditions de travail. On notera aussi (i) l’Ordonnance n° 74/098 du 06 juin 1974 relative à la protection de la main-d’œuvre nationale contre la concurrence étrangère et (ii) l’Arrêté départemental 78/004 bis du 3 janvier 1978 portant institution des comités d’hygiène et de sécurité dans les entreprises. Le projet devra veiller à faire respecter le Code du travail dans l’utilisation du personnel lors des travaux ;</w:t>
            </w:r>
          </w:p>
          <w:p w14:paraId="42ACACA7" w14:textId="77777777" w:rsidR="009021F1" w:rsidRPr="003142D9" w:rsidRDefault="009021F1" w:rsidP="00E637E3">
            <w:pPr>
              <w:autoSpaceDE w:val="0"/>
              <w:autoSpaceDN w:val="0"/>
              <w:adjustRightInd w:val="0"/>
              <w:rPr>
                <w:rFonts w:cs="Arial"/>
                <w:sz w:val="20"/>
                <w:szCs w:val="20"/>
              </w:rPr>
            </w:pPr>
          </w:p>
        </w:tc>
        <w:tc>
          <w:tcPr>
            <w:tcW w:w="3969" w:type="dxa"/>
            <w:shd w:val="clear" w:color="auto" w:fill="auto"/>
            <w:vAlign w:val="center"/>
          </w:tcPr>
          <w:p w14:paraId="75685D54" w14:textId="77777777" w:rsidR="009021F1" w:rsidRPr="003142D9" w:rsidRDefault="009021F1" w:rsidP="00E637E3">
            <w:pPr>
              <w:rPr>
                <w:rFonts w:cs="Arial"/>
                <w:sz w:val="20"/>
                <w:szCs w:val="20"/>
              </w:rPr>
            </w:pPr>
            <w:r w:rsidRPr="003142D9">
              <w:rPr>
                <w:rFonts w:cs="Arial"/>
                <w:sz w:val="20"/>
                <w:szCs w:val="20"/>
              </w:rPr>
              <w:t>La loi nationale satisfait à cette exigence de la NES n°2. Ainsi, la NES n°2  s’appliquera et sera suivi par la Banque mondiale</w:t>
            </w:r>
          </w:p>
        </w:tc>
      </w:tr>
      <w:tr w:rsidR="009021F1" w:rsidRPr="00E800E3" w14:paraId="451E9321" w14:textId="77777777" w:rsidTr="00E637E3">
        <w:trPr>
          <w:cantSplit/>
          <w:jc w:val="center"/>
        </w:trPr>
        <w:tc>
          <w:tcPr>
            <w:tcW w:w="5670" w:type="dxa"/>
          </w:tcPr>
          <w:p w14:paraId="5D15B5D1"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Gérer les travailleurs contractuels des tiers et vérifier la fiabilité des entités contractantes</w:t>
            </w:r>
          </w:p>
          <w:p w14:paraId="24ECEC3E" w14:textId="77777777" w:rsidR="009021F1" w:rsidRPr="003142D9" w:rsidRDefault="009021F1" w:rsidP="00E637E3">
            <w:pPr>
              <w:autoSpaceDE w:val="0"/>
              <w:autoSpaceDN w:val="0"/>
              <w:adjustRightInd w:val="0"/>
              <w:rPr>
                <w:rFonts w:eastAsia="Calibri" w:cs="Arial"/>
                <w:sz w:val="20"/>
                <w:szCs w:val="20"/>
              </w:rPr>
            </w:pPr>
            <w:r w:rsidRPr="003142D9">
              <w:rPr>
                <w:rFonts w:cs="Arial"/>
                <w:i/>
                <w:iCs/>
                <w:sz w:val="20"/>
                <w:szCs w:val="20"/>
              </w:rPr>
              <w:t>Paragraphes 31-32</w:t>
            </w:r>
          </w:p>
        </w:tc>
        <w:tc>
          <w:tcPr>
            <w:tcW w:w="5670" w:type="dxa"/>
            <w:shd w:val="clear" w:color="auto" w:fill="auto"/>
            <w:vAlign w:val="center"/>
          </w:tcPr>
          <w:p w14:paraId="302FCDC8" w14:textId="77777777" w:rsidR="009021F1" w:rsidRPr="003142D9" w:rsidRDefault="009021F1" w:rsidP="00E637E3">
            <w:pPr>
              <w:rPr>
                <w:rFonts w:cs="Arial"/>
                <w:sz w:val="20"/>
                <w:szCs w:val="20"/>
              </w:rPr>
            </w:pPr>
            <w:r w:rsidRPr="003142D9">
              <w:rPr>
                <w:rFonts w:cs="Arial"/>
                <w:sz w:val="20"/>
                <w:szCs w:val="20"/>
              </w:rPr>
              <w:t>(i) l’Ordonnance n° 74/098 du 06 juin 1974 relative à la protection de la main-d’œuvre nationale contre la concurrence étrangère et (ii) l’Arrêté départemental 78/004 bis du 3 janvier 1978 portant institution des comités d’hygiène et de sécurité dans les entreprises. Le projet devra veiller à faire respecter le Code du travail dans l’utilisation du personnel lors des travaux ;</w:t>
            </w:r>
          </w:p>
          <w:p w14:paraId="34F64188" w14:textId="77777777" w:rsidR="009021F1" w:rsidRPr="003142D9" w:rsidRDefault="009021F1" w:rsidP="00E637E3">
            <w:pPr>
              <w:autoSpaceDE w:val="0"/>
              <w:autoSpaceDN w:val="0"/>
              <w:adjustRightInd w:val="0"/>
              <w:rPr>
                <w:rFonts w:cs="Arial"/>
                <w:sz w:val="20"/>
                <w:szCs w:val="20"/>
              </w:rPr>
            </w:pPr>
          </w:p>
        </w:tc>
        <w:tc>
          <w:tcPr>
            <w:tcW w:w="3969" w:type="dxa"/>
            <w:shd w:val="clear" w:color="auto" w:fill="auto"/>
            <w:vAlign w:val="center"/>
          </w:tcPr>
          <w:p w14:paraId="663CCA02" w14:textId="77777777" w:rsidR="009021F1" w:rsidRPr="003142D9" w:rsidRDefault="009021F1" w:rsidP="00E637E3">
            <w:pPr>
              <w:rPr>
                <w:rFonts w:cs="Arial"/>
                <w:sz w:val="20"/>
                <w:szCs w:val="20"/>
              </w:rPr>
            </w:pPr>
            <w:r w:rsidRPr="003142D9">
              <w:rPr>
                <w:rFonts w:cs="Arial"/>
                <w:sz w:val="20"/>
                <w:szCs w:val="20"/>
              </w:rPr>
              <w:t>La loi nationale satisfait à cette exigence de la NES n°2. Ainsi, la NES n°2  s’appliquera et sera suivi par la Banque mondiale</w:t>
            </w:r>
          </w:p>
        </w:tc>
      </w:tr>
      <w:tr w:rsidR="009021F1" w:rsidRPr="00E800E3" w14:paraId="4ACBB90D" w14:textId="77777777" w:rsidTr="00E637E3">
        <w:trPr>
          <w:cantSplit/>
          <w:jc w:val="center"/>
        </w:trPr>
        <w:tc>
          <w:tcPr>
            <w:tcW w:w="5670" w:type="dxa"/>
          </w:tcPr>
          <w:p w14:paraId="40FF421D"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Appliquera les dispositions pertinentes de la présente NES d’une manière proportionnée aux activités spécifiques auxquelles contribuent les travailleurs communautaires, et la nature des risques et effets potentiels</w:t>
            </w:r>
          </w:p>
          <w:p w14:paraId="1B98264F" w14:textId="77777777" w:rsidR="009021F1" w:rsidRPr="003142D9" w:rsidRDefault="009021F1" w:rsidP="00E637E3">
            <w:pPr>
              <w:autoSpaceDE w:val="0"/>
              <w:autoSpaceDN w:val="0"/>
              <w:adjustRightInd w:val="0"/>
              <w:rPr>
                <w:rFonts w:eastAsia="Calibri" w:cs="Arial"/>
                <w:sz w:val="20"/>
                <w:szCs w:val="20"/>
              </w:rPr>
            </w:pPr>
            <w:r w:rsidRPr="003142D9">
              <w:rPr>
                <w:rFonts w:cs="Arial"/>
                <w:i/>
                <w:iCs/>
                <w:sz w:val="20"/>
                <w:szCs w:val="20"/>
              </w:rPr>
              <w:t>Paragraphes 34 à 38</w:t>
            </w:r>
          </w:p>
        </w:tc>
        <w:tc>
          <w:tcPr>
            <w:tcW w:w="5670" w:type="dxa"/>
            <w:shd w:val="clear" w:color="auto" w:fill="auto"/>
            <w:vAlign w:val="center"/>
          </w:tcPr>
          <w:p w14:paraId="37025B06" w14:textId="77777777" w:rsidR="009021F1" w:rsidRPr="003142D9" w:rsidRDefault="009021F1" w:rsidP="00E637E3">
            <w:pPr>
              <w:autoSpaceDE w:val="0"/>
              <w:autoSpaceDN w:val="0"/>
              <w:adjustRightInd w:val="0"/>
              <w:rPr>
                <w:rFonts w:cs="Arial"/>
                <w:sz w:val="20"/>
                <w:szCs w:val="20"/>
              </w:rPr>
            </w:pPr>
            <w:r w:rsidRPr="003142D9">
              <w:rPr>
                <w:rFonts w:cs="Arial"/>
                <w:sz w:val="20"/>
                <w:szCs w:val="20"/>
              </w:rPr>
              <w:t>Non mentionné dans la législation nationale congolaise</w:t>
            </w:r>
          </w:p>
        </w:tc>
        <w:tc>
          <w:tcPr>
            <w:tcW w:w="3969" w:type="dxa"/>
            <w:shd w:val="clear" w:color="auto" w:fill="auto"/>
            <w:vAlign w:val="center"/>
          </w:tcPr>
          <w:p w14:paraId="706AC31A" w14:textId="77777777" w:rsidR="009021F1" w:rsidRPr="003142D9" w:rsidRDefault="009021F1" w:rsidP="00E637E3">
            <w:pPr>
              <w:rPr>
                <w:rFonts w:cs="Arial"/>
                <w:sz w:val="20"/>
                <w:szCs w:val="20"/>
              </w:rPr>
            </w:pPr>
            <w:r w:rsidRPr="003142D9">
              <w:rPr>
                <w:rFonts w:cs="Arial"/>
                <w:sz w:val="20"/>
                <w:szCs w:val="20"/>
              </w:rPr>
              <w:t>La loi nationale ne satisfait pas à cette exigence de la NES n°2. Ainsi, c’est le NES n°2 qui s’appliquera et sera suivi par l’IDA.</w:t>
            </w:r>
          </w:p>
        </w:tc>
      </w:tr>
      <w:tr w:rsidR="009021F1" w:rsidRPr="00E800E3" w14:paraId="0CCBCE8C" w14:textId="77777777" w:rsidTr="00E637E3">
        <w:trPr>
          <w:cantSplit/>
          <w:jc w:val="center"/>
        </w:trPr>
        <w:tc>
          <w:tcPr>
            <w:tcW w:w="5670" w:type="dxa"/>
          </w:tcPr>
          <w:p w14:paraId="04870443"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Gérer les risques associés aux fournisseurs principaux</w:t>
            </w:r>
          </w:p>
          <w:p w14:paraId="4ABB3E54" w14:textId="77777777" w:rsidR="009021F1" w:rsidRPr="003142D9" w:rsidRDefault="009021F1" w:rsidP="00E637E3">
            <w:pPr>
              <w:autoSpaceDE w:val="0"/>
              <w:autoSpaceDN w:val="0"/>
              <w:adjustRightInd w:val="0"/>
              <w:rPr>
                <w:rFonts w:eastAsia="Calibri" w:cs="Arial"/>
                <w:sz w:val="20"/>
                <w:szCs w:val="20"/>
              </w:rPr>
            </w:pPr>
            <w:r w:rsidRPr="003142D9">
              <w:rPr>
                <w:rFonts w:cs="Arial"/>
                <w:i/>
                <w:iCs/>
                <w:sz w:val="20"/>
                <w:szCs w:val="20"/>
              </w:rPr>
              <w:t>Paragraphe 39</w:t>
            </w:r>
          </w:p>
        </w:tc>
        <w:tc>
          <w:tcPr>
            <w:tcW w:w="5670" w:type="dxa"/>
            <w:shd w:val="clear" w:color="auto" w:fill="auto"/>
            <w:vAlign w:val="center"/>
          </w:tcPr>
          <w:p w14:paraId="0C52FB01" w14:textId="77777777" w:rsidR="009021F1" w:rsidRPr="003142D9" w:rsidRDefault="009021F1" w:rsidP="00E637E3">
            <w:pPr>
              <w:autoSpaceDE w:val="0"/>
              <w:autoSpaceDN w:val="0"/>
              <w:adjustRightInd w:val="0"/>
              <w:rPr>
                <w:rFonts w:cs="Arial"/>
                <w:sz w:val="20"/>
                <w:szCs w:val="20"/>
              </w:rPr>
            </w:pPr>
            <w:r w:rsidRPr="003142D9">
              <w:rPr>
                <w:rFonts w:cs="Arial"/>
                <w:sz w:val="20"/>
                <w:szCs w:val="20"/>
              </w:rPr>
              <w:t>Non mentionné dans la législation nationale congolaise</w:t>
            </w:r>
          </w:p>
        </w:tc>
        <w:tc>
          <w:tcPr>
            <w:tcW w:w="3969" w:type="dxa"/>
            <w:shd w:val="clear" w:color="auto" w:fill="auto"/>
            <w:vAlign w:val="center"/>
          </w:tcPr>
          <w:p w14:paraId="66740AB6" w14:textId="77777777" w:rsidR="009021F1" w:rsidRPr="003142D9" w:rsidRDefault="009021F1" w:rsidP="00E637E3">
            <w:pPr>
              <w:rPr>
                <w:rFonts w:cs="Arial"/>
                <w:sz w:val="20"/>
                <w:szCs w:val="20"/>
              </w:rPr>
            </w:pPr>
            <w:r w:rsidRPr="003142D9">
              <w:rPr>
                <w:rFonts w:cs="Arial"/>
                <w:sz w:val="20"/>
                <w:szCs w:val="20"/>
              </w:rPr>
              <w:t>La loi nationale ne satisfait pas à cette exigence de la NES n°2. Ainsi, c’est le NES n°2 qui s’appliquera et sera suivi par l’IDA.</w:t>
            </w:r>
          </w:p>
        </w:tc>
      </w:tr>
      <w:tr w:rsidR="009021F1" w:rsidRPr="00E800E3" w14:paraId="2D0234DF" w14:textId="77777777" w:rsidTr="00E637E3">
        <w:trPr>
          <w:jc w:val="center"/>
        </w:trPr>
        <w:tc>
          <w:tcPr>
            <w:tcW w:w="15309" w:type="dxa"/>
            <w:gridSpan w:val="3"/>
            <w:shd w:val="clear" w:color="auto" w:fill="C5E0B3"/>
            <w:vAlign w:val="center"/>
          </w:tcPr>
          <w:p w14:paraId="01BF8FF4" w14:textId="77777777" w:rsidR="009021F1" w:rsidRPr="003142D9" w:rsidRDefault="009021F1" w:rsidP="00E637E3">
            <w:pPr>
              <w:keepNext/>
              <w:keepLines/>
              <w:spacing w:before="60" w:after="60"/>
              <w:rPr>
                <w:rFonts w:eastAsia="Calibri" w:cs="Arial"/>
                <w:b/>
                <w:bCs/>
                <w:sz w:val="20"/>
                <w:szCs w:val="20"/>
              </w:rPr>
            </w:pPr>
            <w:r w:rsidRPr="003142D9">
              <w:rPr>
                <w:rFonts w:eastAsia="Calibri" w:cs="Arial"/>
                <w:b/>
                <w:bCs/>
                <w:sz w:val="20"/>
                <w:szCs w:val="20"/>
              </w:rPr>
              <w:t>NES 3.  Utilisation rationnelle des ressources et prévention et gestion de la pollution ;</w:t>
            </w:r>
          </w:p>
        </w:tc>
      </w:tr>
      <w:tr w:rsidR="009021F1" w:rsidRPr="00E800E3" w14:paraId="1DEFCD53" w14:textId="77777777" w:rsidTr="00E637E3">
        <w:trPr>
          <w:cantSplit/>
          <w:jc w:val="center"/>
        </w:trPr>
        <w:tc>
          <w:tcPr>
            <w:tcW w:w="5670" w:type="dxa"/>
          </w:tcPr>
          <w:p w14:paraId="48B30F74" w14:textId="77777777" w:rsidR="009021F1" w:rsidRPr="003142D9" w:rsidRDefault="009021F1" w:rsidP="00E637E3">
            <w:pPr>
              <w:autoSpaceDE w:val="0"/>
              <w:autoSpaceDN w:val="0"/>
              <w:adjustRightInd w:val="0"/>
              <w:rPr>
                <w:rFonts w:cs="Arial"/>
                <w:sz w:val="20"/>
                <w:szCs w:val="20"/>
              </w:rPr>
            </w:pPr>
            <w:r w:rsidRPr="003142D9">
              <w:rPr>
                <w:rFonts w:cs="Arial"/>
                <w:sz w:val="20"/>
                <w:szCs w:val="20"/>
              </w:rPr>
              <w:t>Adopter les mesures indiquées dans les Directives ESS pour optimiser l’utilisation de l’énergie lorsque cela est techniquement et financièrement possible</w:t>
            </w:r>
          </w:p>
          <w:p w14:paraId="1864A7B7" w14:textId="77777777" w:rsidR="009021F1" w:rsidRPr="003142D9" w:rsidRDefault="009021F1" w:rsidP="00E637E3">
            <w:pPr>
              <w:autoSpaceDE w:val="0"/>
              <w:autoSpaceDN w:val="0"/>
              <w:adjustRightInd w:val="0"/>
              <w:rPr>
                <w:rFonts w:cs="Arial"/>
                <w:sz w:val="20"/>
                <w:szCs w:val="20"/>
              </w:rPr>
            </w:pPr>
            <w:r w:rsidRPr="003142D9">
              <w:rPr>
                <w:rFonts w:cs="Arial"/>
                <w:sz w:val="20"/>
                <w:szCs w:val="20"/>
              </w:rPr>
              <w:t>Paragraphe 6</w:t>
            </w:r>
          </w:p>
        </w:tc>
        <w:tc>
          <w:tcPr>
            <w:tcW w:w="5670" w:type="dxa"/>
            <w:shd w:val="clear" w:color="auto" w:fill="auto"/>
            <w:vAlign w:val="center"/>
          </w:tcPr>
          <w:p w14:paraId="6882D166" w14:textId="77777777" w:rsidR="009021F1" w:rsidRPr="003142D9" w:rsidRDefault="009021F1" w:rsidP="00E637E3">
            <w:pPr>
              <w:autoSpaceDE w:val="0"/>
              <w:autoSpaceDN w:val="0"/>
              <w:adjustRightInd w:val="0"/>
              <w:rPr>
                <w:rFonts w:cs="Arial"/>
                <w:sz w:val="20"/>
                <w:szCs w:val="20"/>
              </w:rPr>
            </w:pPr>
            <w:r w:rsidRPr="003142D9">
              <w:rPr>
                <w:rFonts w:cs="Arial"/>
                <w:sz w:val="20"/>
                <w:szCs w:val="20"/>
              </w:rPr>
              <w:t>La Loi n°11/009 du 09 juillet 2011 portant Principes fondamentaux relatifs à la protection de l’environnement, traite dans son chapitre 5 de la conservation et la gestion durables des ressources naturelles. Ces éléments sont pris en compte dans l’évaluation environnementale et sociale du projet.</w:t>
            </w:r>
          </w:p>
          <w:p w14:paraId="7DA81F8D" w14:textId="77777777" w:rsidR="009021F1" w:rsidRPr="003142D9" w:rsidRDefault="009021F1" w:rsidP="00E637E3">
            <w:pPr>
              <w:autoSpaceDE w:val="0"/>
              <w:autoSpaceDN w:val="0"/>
              <w:adjustRightInd w:val="0"/>
              <w:rPr>
                <w:rFonts w:cs="Arial"/>
                <w:sz w:val="20"/>
                <w:szCs w:val="20"/>
              </w:rPr>
            </w:pPr>
          </w:p>
          <w:p w14:paraId="35CF5AD6" w14:textId="77777777" w:rsidR="009021F1" w:rsidRPr="003142D9" w:rsidRDefault="009021F1" w:rsidP="00E637E3">
            <w:pPr>
              <w:autoSpaceDE w:val="0"/>
              <w:autoSpaceDN w:val="0"/>
              <w:adjustRightInd w:val="0"/>
              <w:rPr>
                <w:rFonts w:cs="Arial"/>
                <w:sz w:val="20"/>
                <w:szCs w:val="20"/>
              </w:rPr>
            </w:pPr>
            <w:r w:rsidRPr="003142D9">
              <w:rPr>
                <w:rFonts w:cs="Arial"/>
                <w:sz w:val="20"/>
                <w:szCs w:val="20"/>
              </w:rPr>
              <w:t>Loi n° 18-031 modifiant et complétant la loi 14-011 du 17 juin 2014 relative au secteur de l'électricité. Loi n° 15/026 du 31 décembre 2015 relative à l’eau.</w:t>
            </w:r>
          </w:p>
        </w:tc>
        <w:tc>
          <w:tcPr>
            <w:tcW w:w="3969" w:type="dxa"/>
            <w:shd w:val="clear" w:color="auto" w:fill="auto"/>
            <w:vAlign w:val="center"/>
          </w:tcPr>
          <w:p w14:paraId="6EDC8BE5" w14:textId="77777777" w:rsidR="009021F1" w:rsidRPr="003142D9" w:rsidRDefault="009021F1" w:rsidP="00E637E3">
            <w:pPr>
              <w:rPr>
                <w:rFonts w:eastAsia="Calibri" w:cs="Arial"/>
                <w:sz w:val="20"/>
                <w:szCs w:val="20"/>
              </w:rPr>
            </w:pPr>
            <w:r w:rsidRPr="003142D9">
              <w:rPr>
                <w:rFonts w:cs="Arial"/>
                <w:sz w:val="20"/>
                <w:szCs w:val="20"/>
              </w:rPr>
              <w:t>La loi nationale satisfait à ces exigences de la NES n°3. Toutefois, la NES n°3 s’appliquera et sera suivi par la Banque mondiale</w:t>
            </w:r>
          </w:p>
        </w:tc>
      </w:tr>
      <w:tr w:rsidR="009021F1" w:rsidRPr="00E800E3" w14:paraId="0C833198" w14:textId="77777777" w:rsidTr="00E637E3">
        <w:trPr>
          <w:cantSplit/>
          <w:jc w:val="center"/>
        </w:trPr>
        <w:tc>
          <w:tcPr>
            <w:tcW w:w="5670" w:type="dxa"/>
          </w:tcPr>
          <w:p w14:paraId="13A4A9D2"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Adopter des mesures pour éviter ou réduire la surconsommation d’eau, lorsque cela est techniquement et financièrement possible.</w:t>
            </w:r>
          </w:p>
          <w:p w14:paraId="2F138766" w14:textId="77777777" w:rsidR="009021F1" w:rsidRPr="003142D9" w:rsidRDefault="009021F1" w:rsidP="00E637E3">
            <w:pPr>
              <w:autoSpaceDE w:val="0"/>
              <w:autoSpaceDN w:val="0"/>
              <w:adjustRightInd w:val="0"/>
              <w:rPr>
                <w:rFonts w:eastAsia="Calibri" w:cs="Arial"/>
                <w:sz w:val="20"/>
                <w:szCs w:val="20"/>
              </w:rPr>
            </w:pPr>
            <w:r w:rsidRPr="003142D9">
              <w:rPr>
                <w:rFonts w:cs="Arial"/>
                <w:i/>
                <w:iCs/>
                <w:sz w:val="20"/>
                <w:szCs w:val="20"/>
              </w:rPr>
              <w:t>Paragraphe 7 à 9</w:t>
            </w:r>
          </w:p>
        </w:tc>
        <w:tc>
          <w:tcPr>
            <w:tcW w:w="5670" w:type="dxa"/>
            <w:shd w:val="clear" w:color="auto" w:fill="auto"/>
            <w:vAlign w:val="center"/>
          </w:tcPr>
          <w:p w14:paraId="1B3E310B" w14:textId="77777777" w:rsidR="009021F1" w:rsidRPr="003142D9" w:rsidRDefault="009021F1" w:rsidP="00E637E3">
            <w:pPr>
              <w:autoSpaceDE w:val="0"/>
              <w:autoSpaceDN w:val="0"/>
              <w:adjustRightInd w:val="0"/>
              <w:rPr>
                <w:rFonts w:cs="Arial"/>
                <w:sz w:val="20"/>
                <w:szCs w:val="20"/>
              </w:rPr>
            </w:pPr>
            <w:r w:rsidRPr="003142D9">
              <w:rPr>
                <w:rFonts w:cs="Arial"/>
                <w:sz w:val="20"/>
                <w:szCs w:val="20"/>
              </w:rPr>
              <w:t>La Loi n°11/009 du 09 juillet 2011 portant Principes fondamentaux relatifs à la protection de l’environnement, traite dans son chapitre 5 de la conservation et la gestion durables des ressources naturelles. Ces éléments sont pris en compte dans l’évaluation environnementale et sociale du projet.</w:t>
            </w:r>
          </w:p>
          <w:p w14:paraId="3BEC366F" w14:textId="77777777" w:rsidR="009021F1" w:rsidRPr="003142D9" w:rsidRDefault="009021F1" w:rsidP="00E637E3">
            <w:pPr>
              <w:autoSpaceDE w:val="0"/>
              <w:autoSpaceDN w:val="0"/>
              <w:adjustRightInd w:val="0"/>
              <w:rPr>
                <w:rFonts w:cs="Arial"/>
                <w:sz w:val="20"/>
                <w:szCs w:val="20"/>
              </w:rPr>
            </w:pPr>
            <w:r w:rsidRPr="003142D9">
              <w:rPr>
                <w:rFonts w:cs="Arial"/>
                <w:sz w:val="20"/>
                <w:szCs w:val="20"/>
              </w:rPr>
              <w:t>Loi n° 15/026 du 31 décembre 2015 relative à l’eau</w:t>
            </w:r>
          </w:p>
        </w:tc>
        <w:tc>
          <w:tcPr>
            <w:tcW w:w="3969" w:type="dxa"/>
            <w:shd w:val="clear" w:color="auto" w:fill="auto"/>
            <w:vAlign w:val="center"/>
          </w:tcPr>
          <w:p w14:paraId="6FF10614" w14:textId="77777777" w:rsidR="009021F1" w:rsidRPr="003142D9" w:rsidRDefault="009021F1" w:rsidP="00E637E3">
            <w:pPr>
              <w:rPr>
                <w:rFonts w:eastAsia="Calibri" w:cs="Arial"/>
                <w:sz w:val="20"/>
                <w:szCs w:val="20"/>
              </w:rPr>
            </w:pPr>
            <w:r w:rsidRPr="003142D9">
              <w:rPr>
                <w:rFonts w:cs="Arial"/>
                <w:sz w:val="20"/>
                <w:szCs w:val="20"/>
              </w:rPr>
              <w:t>La loi nationale satisfait à ces exigences de la NES n°3. Toutefois, la NES n°3 s’appliquera et sera suivi par la Banque mondiale</w:t>
            </w:r>
          </w:p>
        </w:tc>
      </w:tr>
      <w:tr w:rsidR="009021F1" w:rsidRPr="00E800E3" w14:paraId="42FE1B90" w14:textId="77777777" w:rsidTr="00E637E3">
        <w:trPr>
          <w:cantSplit/>
          <w:jc w:val="center"/>
        </w:trPr>
        <w:tc>
          <w:tcPr>
            <w:tcW w:w="5670" w:type="dxa"/>
          </w:tcPr>
          <w:p w14:paraId="20123F4E"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Adopter les mesures indiquées dans les Directives ESS et dans d’autres BPISA pour encourager l’utilisation rationnelle des matières premières lorsque cela est techniquement et financièrement possible.</w:t>
            </w:r>
          </w:p>
          <w:p w14:paraId="771357D1" w14:textId="77777777" w:rsidR="009021F1" w:rsidRPr="003142D9" w:rsidRDefault="009021F1" w:rsidP="00E637E3">
            <w:pPr>
              <w:autoSpaceDE w:val="0"/>
              <w:autoSpaceDN w:val="0"/>
              <w:adjustRightInd w:val="0"/>
              <w:rPr>
                <w:rFonts w:eastAsia="Calibri" w:cs="Arial"/>
                <w:sz w:val="20"/>
                <w:szCs w:val="20"/>
              </w:rPr>
            </w:pPr>
            <w:r w:rsidRPr="003142D9">
              <w:rPr>
                <w:rFonts w:cs="Arial"/>
                <w:i/>
                <w:iCs/>
                <w:sz w:val="20"/>
                <w:szCs w:val="20"/>
              </w:rPr>
              <w:t>Paragraphe 10</w:t>
            </w:r>
          </w:p>
        </w:tc>
        <w:tc>
          <w:tcPr>
            <w:tcW w:w="5670" w:type="dxa"/>
            <w:shd w:val="clear" w:color="auto" w:fill="auto"/>
            <w:vAlign w:val="center"/>
          </w:tcPr>
          <w:p w14:paraId="3C1CEDE1" w14:textId="77777777" w:rsidR="009021F1" w:rsidRPr="003142D9" w:rsidRDefault="009021F1" w:rsidP="00E637E3">
            <w:pPr>
              <w:autoSpaceDE w:val="0"/>
              <w:autoSpaceDN w:val="0"/>
              <w:adjustRightInd w:val="0"/>
              <w:rPr>
                <w:rFonts w:cs="Arial"/>
                <w:sz w:val="20"/>
                <w:szCs w:val="20"/>
              </w:rPr>
            </w:pPr>
            <w:r w:rsidRPr="003142D9">
              <w:rPr>
                <w:rFonts w:cs="Arial"/>
                <w:sz w:val="20"/>
                <w:szCs w:val="20"/>
              </w:rPr>
              <w:t>Non mentionné dans la législation nationale congolaise</w:t>
            </w:r>
          </w:p>
        </w:tc>
        <w:tc>
          <w:tcPr>
            <w:tcW w:w="3969" w:type="dxa"/>
            <w:shd w:val="clear" w:color="auto" w:fill="auto"/>
            <w:vAlign w:val="center"/>
          </w:tcPr>
          <w:p w14:paraId="3CDE9B71" w14:textId="77777777" w:rsidR="009021F1" w:rsidRPr="003142D9" w:rsidRDefault="009021F1" w:rsidP="00E637E3">
            <w:pPr>
              <w:rPr>
                <w:rFonts w:eastAsia="Calibri" w:cs="Arial"/>
                <w:sz w:val="20"/>
                <w:szCs w:val="20"/>
              </w:rPr>
            </w:pPr>
            <w:r w:rsidRPr="003142D9">
              <w:rPr>
                <w:rFonts w:cs="Arial"/>
                <w:sz w:val="20"/>
                <w:szCs w:val="20"/>
              </w:rPr>
              <w:t>La loi nationale ne satisfait pas à cette exigence de la NES n°3. Ainsi, c’est le NES n°3 qui s’appliquera et sera suivi par l’IDA.</w:t>
            </w:r>
          </w:p>
        </w:tc>
      </w:tr>
      <w:tr w:rsidR="009021F1" w:rsidRPr="00E800E3" w14:paraId="78AE517F" w14:textId="77777777" w:rsidTr="00E637E3">
        <w:trPr>
          <w:cantSplit/>
          <w:jc w:val="center"/>
        </w:trPr>
        <w:tc>
          <w:tcPr>
            <w:tcW w:w="5670" w:type="dxa"/>
          </w:tcPr>
          <w:p w14:paraId="2974312A"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Éviter de rejeter des polluants dans l’air, l’eau et les sols de façon régulière, sinon éviter, limiter et contrôlera la concentration ou le débit massique de ces rejets sur la base des normes nationales ou des Directives ESS</w:t>
            </w:r>
          </w:p>
          <w:p w14:paraId="698EE788" w14:textId="77777777" w:rsidR="009021F1" w:rsidRPr="003142D9" w:rsidRDefault="009021F1" w:rsidP="00E637E3">
            <w:pPr>
              <w:autoSpaceDE w:val="0"/>
              <w:autoSpaceDN w:val="0"/>
              <w:adjustRightInd w:val="0"/>
              <w:rPr>
                <w:rFonts w:eastAsia="Calibri" w:cs="Arial"/>
                <w:sz w:val="20"/>
                <w:szCs w:val="20"/>
              </w:rPr>
            </w:pPr>
            <w:r w:rsidRPr="003142D9">
              <w:rPr>
                <w:rFonts w:cs="Arial"/>
                <w:i/>
                <w:iCs/>
                <w:sz w:val="20"/>
                <w:szCs w:val="20"/>
              </w:rPr>
              <w:t>Paragraphe 11</w:t>
            </w:r>
          </w:p>
        </w:tc>
        <w:tc>
          <w:tcPr>
            <w:tcW w:w="5670" w:type="dxa"/>
            <w:shd w:val="clear" w:color="auto" w:fill="auto"/>
            <w:vAlign w:val="center"/>
          </w:tcPr>
          <w:p w14:paraId="2A552CFE"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La Loi n°11/009 du 09 juillet 2011 portant Principes fondamentaux relatifs à la protection de l’environnement, traite dans son chapitre 5 de la conservation et la gestion durables des ressources naturelles. Elle traite aussi dans son chapitre 6 de la prévention et de la lutte contre les pollutions et nuisances. Ces éléments sont pris en compte dans l’évaluation environnementale et sociale du projet.</w:t>
            </w:r>
          </w:p>
        </w:tc>
        <w:tc>
          <w:tcPr>
            <w:tcW w:w="3969" w:type="dxa"/>
            <w:shd w:val="clear" w:color="auto" w:fill="auto"/>
            <w:vAlign w:val="center"/>
          </w:tcPr>
          <w:p w14:paraId="20ABC4EC" w14:textId="77777777" w:rsidR="009021F1" w:rsidRPr="003142D9" w:rsidRDefault="009021F1" w:rsidP="00E637E3">
            <w:pPr>
              <w:rPr>
                <w:rFonts w:eastAsia="Calibri" w:cs="Arial"/>
                <w:sz w:val="20"/>
                <w:szCs w:val="20"/>
              </w:rPr>
            </w:pPr>
            <w:r w:rsidRPr="003142D9">
              <w:rPr>
                <w:rFonts w:cs="Arial"/>
                <w:sz w:val="20"/>
                <w:szCs w:val="20"/>
              </w:rPr>
              <w:t>La loi nationale satisfait à ces exigences de la NES n°3. Toutefois, la NES n°3 s’appliquera et sera suivi par la Banque mondiale</w:t>
            </w:r>
          </w:p>
        </w:tc>
      </w:tr>
      <w:tr w:rsidR="009021F1" w:rsidRPr="00E800E3" w14:paraId="3A552D0F" w14:textId="77777777" w:rsidTr="00E637E3">
        <w:trPr>
          <w:cantSplit/>
          <w:jc w:val="center"/>
        </w:trPr>
        <w:tc>
          <w:tcPr>
            <w:tcW w:w="5670" w:type="dxa"/>
          </w:tcPr>
          <w:p w14:paraId="52796514"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Si la pollution historique peut poser un risque important pour les communautés, les travailleurs et l’environnement, identifier les parties responsables et entreprendra une évaluation des risques</w:t>
            </w:r>
          </w:p>
          <w:p w14:paraId="1627987E" w14:textId="77777777" w:rsidR="009021F1" w:rsidRPr="003142D9" w:rsidRDefault="009021F1" w:rsidP="00E637E3">
            <w:pPr>
              <w:autoSpaceDE w:val="0"/>
              <w:autoSpaceDN w:val="0"/>
              <w:adjustRightInd w:val="0"/>
              <w:rPr>
                <w:rFonts w:eastAsia="Calibri" w:cs="Arial"/>
                <w:sz w:val="20"/>
                <w:szCs w:val="20"/>
              </w:rPr>
            </w:pPr>
            <w:r w:rsidRPr="003142D9">
              <w:rPr>
                <w:rFonts w:cs="Arial"/>
                <w:i/>
                <w:iCs/>
                <w:sz w:val="20"/>
                <w:szCs w:val="20"/>
              </w:rPr>
              <w:t>Paragraphe 12</w:t>
            </w:r>
          </w:p>
        </w:tc>
        <w:tc>
          <w:tcPr>
            <w:tcW w:w="5670" w:type="dxa"/>
            <w:shd w:val="clear" w:color="auto" w:fill="auto"/>
            <w:vAlign w:val="center"/>
          </w:tcPr>
          <w:p w14:paraId="0811E6A7" w14:textId="77777777" w:rsidR="009021F1" w:rsidRPr="003142D9" w:rsidRDefault="009021F1" w:rsidP="00E637E3">
            <w:pPr>
              <w:autoSpaceDE w:val="0"/>
              <w:autoSpaceDN w:val="0"/>
              <w:adjustRightInd w:val="0"/>
              <w:rPr>
                <w:rFonts w:cs="Arial"/>
                <w:sz w:val="20"/>
                <w:szCs w:val="20"/>
              </w:rPr>
            </w:pPr>
            <w:r w:rsidRPr="003142D9">
              <w:rPr>
                <w:rFonts w:cs="Arial"/>
                <w:sz w:val="20"/>
                <w:szCs w:val="20"/>
              </w:rPr>
              <w:t>La Loi n°11/009 du 09 juillet 2011 portant Principes fondamentaux relatifs à la protection de l’environnement,  traite dans son chapitre 6 de la prévention et de la lutte contre les pollutions et nuisances. Ces éléments sont pris en compte dans l’évaluation environnementale et sociale du projet.</w:t>
            </w:r>
          </w:p>
        </w:tc>
        <w:tc>
          <w:tcPr>
            <w:tcW w:w="3969" w:type="dxa"/>
            <w:shd w:val="clear" w:color="auto" w:fill="auto"/>
            <w:vAlign w:val="center"/>
          </w:tcPr>
          <w:p w14:paraId="31CA5615" w14:textId="77777777" w:rsidR="009021F1" w:rsidRPr="003142D9" w:rsidRDefault="009021F1" w:rsidP="00E637E3">
            <w:pPr>
              <w:rPr>
                <w:rFonts w:eastAsia="Calibri" w:cs="Arial"/>
                <w:sz w:val="20"/>
                <w:szCs w:val="20"/>
              </w:rPr>
            </w:pPr>
            <w:r w:rsidRPr="003142D9">
              <w:rPr>
                <w:rFonts w:cs="Arial"/>
                <w:sz w:val="20"/>
                <w:szCs w:val="20"/>
              </w:rPr>
              <w:t>La loi nationale satisfait à ces exigences de la NES n°3. Toutefois, la NES n°3 s’appliquera et sera suivi par la Banque mondiale</w:t>
            </w:r>
          </w:p>
        </w:tc>
      </w:tr>
      <w:tr w:rsidR="009021F1" w:rsidRPr="00E800E3" w14:paraId="240E743E" w14:textId="77777777" w:rsidTr="00E637E3">
        <w:trPr>
          <w:cantSplit/>
          <w:jc w:val="center"/>
        </w:trPr>
        <w:tc>
          <w:tcPr>
            <w:tcW w:w="5670" w:type="dxa"/>
          </w:tcPr>
          <w:p w14:paraId="70AE7296"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Tenir compte les facteurs pertinents de facteurs tels que : les conditions ambiantes, la capacité d’assimilation, l’utilisation des terres, la proximité de zones de biodiversité, impacts cumulatifs et l’impact du changement climatique</w:t>
            </w:r>
          </w:p>
          <w:p w14:paraId="6F6ED209" w14:textId="77777777" w:rsidR="009021F1" w:rsidRPr="003142D9" w:rsidRDefault="009021F1" w:rsidP="00E637E3">
            <w:pPr>
              <w:autoSpaceDE w:val="0"/>
              <w:autoSpaceDN w:val="0"/>
              <w:adjustRightInd w:val="0"/>
              <w:rPr>
                <w:rFonts w:eastAsia="Calibri" w:cs="Arial"/>
                <w:sz w:val="20"/>
                <w:szCs w:val="20"/>
              </w:rPr>
            </w:pPr>
            <w:r w:rsidRPr="003142D9">
              <w:rPr>
                <w:rFonts w:cs="Arial"/>
                <w:i/>
                <w:iCs/>
                <w:sz w:val="20"/>
                <w:szCs w:val="20"/>
              </w:rPr>
              <w:t>Paragraphe 13</w:t>
            </w:r>
          </w:p>
        </w:tc>
        <w:tc>
          <w:tcPr>
            <w:tcW w:w="5670" w:type="dxa"/>
            <w:shd w:val="clear" w:color="auto" w:fill="auto"/>
            <w:vAlign w:val="center"/>
          </w:tcPr>
          <w:p w14:paraId="097C92B1" w14:textId="77777777" w:rsidR="009021F1" w:rsidRPr="003142D9" w:rsidRDefault="009021F1" w:rsidP="00E637E3">
            <w:pPr>
              <w:autoSpaceDE w:val="0"/>
              <w:autoSpaceDN w:val="0"/>
              <w:adjustRightInd w:val="0"/>
              <w:rPr>
                <w:rFonts w:cs="Arial"/>
                <w:sz w:val="20"/>
                <w:szCs w:val="20"/>
              </w:rPr>
            </w:pPr>
            <w:r w:rsidRPr="003142D9">
              <w:rPr>
                <w:rFonts w:cs="Arial"/>
                <w:sz w:val="20"/>
                <w:szCs w:val="20"/>
              </w:rPr>
              <w:t>La Loi n°11/009 du 09 juillet 2011 portant Principes fondamentaux relatifs à la protection de l’environnement, traite dans son chapitre 5 de la conservation et la gestion durables des ressources naturelles. Elle traite aussi dans son chapitre 6 de la prévention et de la lutte contre les pollutions et nuisances. Ces éléments sont pris en compte dans l’évaluation environnementale et sociale du projet.</w:t>
            </w:r>
          </w:p>
        </w:tc>
        <w:tc>
          <w:tcPr>
            <w:tcW w:w="3969" w:type="dxa"/>
            <w:shd w:val="clear" w:color="auto" w:fill="auto"/>
            <w:vAlign w:val="center"/>
          </w:tcPr>
          <w:p w14:paraId="0B1447AD" w14:textId="77777777" w:rsidR="009021F1" w:rsidRPr="003142D9" w:rsidRDefault="009021F1" w:rsidP="00E637E3">
            <w:pPr>
              <w:rPr>
                <w:rFonts w:eastAsia="Calibri" w:cs="Arial"/>
                <w:sz w:val="20"/>
                <w:szCs w:val="20"/>
              </w:rPr>
            </w:pPr>
            <w:r w:rsidRPr="003142D9">
              <w:rPr>
                <w:rFonts w:cs="Arial"/>
                <w:sz w:val="20"/>
                <w:szCs w:val="20"/>
              </w:rPr>
              <w:t>La loi nationale satisfait à ces exigences de la NES n°3. Toutefois, la NES n°3 s’appliquera et sera suivi par la Banque mondiale</w:t>
            </w:r>
          </w:p>
        </w:tc>
      </w:tr>
      <w:tr w:rsidR="009021F1" w:rsidRPr="00E800E3" w14:paraId="02795EB7" w14:textId="77777777" w:rsidTr="00E637E3">
        <w:trPr>
          <w:cantSplit/>
          <w:jc w:val="center"/>
        </w:trPr>
        <w:tc>
          <w:tcPr>
            <w:tcW w:w="5670" w:type="dxa"/>
          </w:tcPr>
          <w:p w14:paraId="598E316F"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Éviter ou réduire les émissions atmosphériques pendant la conception, la construction et l’exploitation du projet</w:t>
            </w:r>
          </w:p>
          <w:p w14:paraId="3F0B5108" w14:textId="77777777" w:rsidR="009021F1" w:rsidRPr="003142D9" w:rsidRDefault="009021F1" w:rsidP="00E637E3">
            <w:pPr>
              <w:autoSpaceDE w:val="0"/>
              <w:autoSpaceDN w:val="0"/>
              <w:adjustRightInd w:val="0"/>
              <w:rPr>
                <w:rFonts w:eastAsia="Calibri" w:cs="Arial"/>
                <w:sz w:val="20"/>
                <w:szCs w:val="20"/>
              </w:rPr>
            </w:pPr>
            <w:r w:rsidRPr="003142D9">
              <w:rPr>
                <w:rFonts w:cs="Arial"/>
                <w:i/>
                <w:iCs/>
                <w:sz w:val="20"/>
                <w:szCs w:val="20"/>
              </w:rPr>
              <w:t>Paragraphe 15</w:t>
            </w:r>
          </w:p>
        </w:tc>
        <w:tc>
          <w:tcPr>
            <w:tcW w:w="5670" w:type="dxa"/>
            <w:shd w:val="clear" w:color="auto" w:fill="auto"/>
            <w:vAlign w:val="center"/>
          </w:tcPr>
          <w:p w14:paraId="3030745A" w14:textId="77777777" w:rsidR="009021F1" w:rsidRPr="003142D9" w:rsidRDefault="009021F1" w:rsidP="00E637E3">
            <w:pPr>
              <w:autoSpaceDE w:val="0"/>
              <w:autoSpaceDN w:val="0"/>
              <w:adjustRightInd w:val="0"/>
              <w:rPr>
                <w:rFonts w:cs="Arial"/>
                <w:sz w:val="20"/>
                <w:szCs w:val="20"/>
              </w:rPr>
            </w:pPr>
            <w:r w:rsidRPr="003142D9">
              <w:rPr>
                <w:rFonts w:cs="Arial"/>
                <w:sz w:val="20"/>
                <w:szCs w:val="20"/>
              </w:rPr>
              <w:t>La Loi n°11/009 du 09 juillet 2011 portant Principes fondamentaux relatifs à la protection de l’environnement, traite dans son chapitre 5 de la conservation et la gestion durables des ressources naturelles. Elle traite aussi dans son chapitre 6 de la prévention et de la lutte contre les pollutions et nuisances. Ces éléments sont pris en compte dans l’évaluation environnementale et sociale du projet.</w:t>
            </w:r>
          </w:p>
        </w:tc>
        <w:tc>
          <w:tcPr>
            <w:tcW w:w="3969" w:type="dxa"/>
            <w:shd w:val="clear" w:color="auto" w:fill="auto"/>
            <w:vAlign w:val="center"/>
          </w:tcPr>
          <w:p w14:paraId="4DEC6F5F" w14:textId="77777777" w:rsidR="009021F1" w:rsidRPr="003142D9" w:rsidRDefault="009021F1" w:rsidP="00E637E3">
            <w:pPr>
              <w:rPr>
                <w:rFonts w:eastAsia="Calibri" w:cs="Arial"/>
                <w:sz w:val="20"/>
                <w:szCs w:val="20"/>
              </w:rPr>
            </w:pPr>
            <w:r w:rsidRPr="003142D9">
              <w:rPr>
                <w:rFonts w:cs="Arial"/>
                <w:sz w:val="20"/>
                <w:szCs w:val="20"/>
              </w:rPr>
              <w:t>La loi nationale satisfait à ces exigences de la NES n°3. Toutefois, la NES n°3 s’appliquera et sera suivi par la Banque mondiale</w:t>
            </w:r>
          </w:p>
        </w:tc>
      </w:tr>
      <w:tr w:rsidR="009021F1" w:rsidRPr="00E800E3" w14:paraId="4E3C03E7" w14:textId="77777777" w:rsidTr="00E637E3">
        <w:trPr>
          <w:cantSplit/>
          <w:jc w:val="center"/>
        </w:trPr>
        <w:tc>
          <w:tcPr>
            <w:tcW w:w="5670" w:type="dxa"/>
          </w:tcPr>
          <w:p w14:paraId="053345BC"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Identifier et estimer les émissions brutes de gaz à effet de serre (GES) résultant du projet, lorsque cette estimation est techniquement et financièrement réalisable.  Au besoin la Banque mondiale peur fournir une assistance</w:t>
            </w:r>
          </w:p>
          <w:p w14:paraId="1B06FA12" w14:textId="77777777" w:rsidR="009021F1" w:rsidRPr="003142D9" w:rsidRDefault="009021F1" w:rsidP="00E637E3">
            <w:pPr>
              <w:autoSpaceDE w:val="0"/>
              <w:autoSpaceDN w:val="0"/>
              <w:adjustRightInd w:val="0"/>
              <w:rPr>
                <w:rFonts w:eastAsia="Calibri" w:cs="Arial"/>
                <w:sz w:val="20"/>
                <w:szCs w:val="20"/>
              </w:rPr>
            </w:pPr>
            <w:r w:rsidRPr="003142D9">
              <w:rPr>
                <w:rFonts w:cs="Arial"/>
                <w:i/>
                <w:iCs/>
                <w:sz w:val="20"/>
                <w:szCs w:val="20"/>
              </w:rPr>
              <w:t>Paragraphe 16</w:t>
            </w:r>
          </w:p>
        </w:tc>
        <w:tc>
          <w:tcPr>
            <w:tcW w:w="5670" w:type="dxa"/>
            <w:shd w:val="clear" w:color="auto" w:fill="auto"/>
            <w:vAlign w:val="center"/>
          </w:tcPr>
          <w:p w14:paraId="75B4348E" w14:textId="77777777" w:rsidR="009021F1" w:rsidRPr="003142D9" w:rsidRDefault="009021F1" w:rsidP="00E637E3">
            <w:pPr>
              <w:autoSpaceDE w:val="0"/>
              <w:autoSpaceDN w:val="0"/>
              <w:adjustRightInd w:val="0"/>
              <w:rPr>
                <w:rFonts w:cs="Arial"/>
                <w:sz w:val="20"/>
                <w:szCs w:val="20"/>
              </w:rPr>
            </w:pPr>
            <w:r w:rsidRPr="003142D9">
              <w:rPr>
                <w:rFonts w:cs="Arial"/>
                <w:sz w:val="20"/>
                <w:szCs w:val="20"/>
              </w:rPr>
              <w:t>La Loi n°11/009 du 09 juillet 2011 portant Principes fondamentaux relatifs à la protection de l’environnement, traite aussi dans son chapitre 6 de la prévention et de la lutte contre les pollutions et nuisances. Ces éléments sont pris en compte dans l’évaluation environnementale et sociale du projet.</w:t>
            </w:r>
          </w:p>
        </w:tc>
        <w:tc>
          <w:tcPr>
            <w:tcW w:w="3969" w:type="dxa"/>
            <w:shd w:val="clear" w:color="auto" w:fill="auto"/>
            <w:vAlign w:val="center"/>
          </w:tcPr>
          <w:p w14:paraId="1D512D1A" w14:textId="77777777" w:rsidR="009021F1" w:rsidRPr="003142D9" w:rsidRDefault="009021F1" w:rsidP="00E637E3">
            <w:pPr>
              <w:rPr>
                <w:rFonts w:eastAsia="Calibri" w:cs="Arial"/>
                <w:sz w:val="20"/>
                <w:szCs w:val="20"/>
              </w:rPr>
            </w:pPr>
            <w:r w:rsidRPr="003142D9">
              <w:rPr>
                <w:rFonts w:cs="Arial"/>
                <w:sz w:val="20"/>
                <w:szCs w:val="20"/>
              </w:rPr>
              <w:t>La loi nationale satisfait à ces exigences de la NES n°3. Toutefois, la NES n°3 s’appliquera et sera suivi par la Banque mondiale</w:t>
            </w:r>
          </w:p>
        </w:tc>
      </w:tr>
      <w:tr w:rsidR="009021F1" w:rsidRPr="00E800E3" w14:paraId="53EB1806" w14:textId="77777777" w:rsidTr="00E637E3">
        <w:trPr>
          <w:cantSplit/>
          <w:jc w:val="center"/>
        </w:trPr>
        <w:tc>
          <w:tcPr>
            <w:tcW w:w="5670" w:type="dxa"/>
          </w:tcPr>
          <w:p w14:paraId="6F6E9D5E"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Éviter ou minimiser la production de déchets dangereux et non dangereux, réutiliser, recycler et récupérer ces déchets, se conformer aux dispositions en vigueur en matière de stockage, de transport et d’élimination</w:t>
            </w:r>
          </w:p>
          <w:p w14:paraId="019800EF" w14:textId="77777777" w:rsidR="009021F1" w:rsidRPr="003142D9" w:rsidRDefault="009021F1" w:rsidP="00E637E3">
            <w:pPr>
              <w:autoSpaceDE w:val="0"/>
              <w:autoSpaceDN w:val="0"/>
              <w:adjustRightInd w:val="0"/>
              <w:rPr>
                <w:rFonts w:eastAsia="Calibri" w:cs="Arial"/>
                <w:sz w:val="20"/>
                <w:szCs w:val="20"/>
              </w:rPr>
            </w:pPr>
            <w:r w:rsidRPr="003142D9">
              <w:rPr>
                <w:rFonts w:cs="Arial"/>
                <w:i/>
                <w:iCs/>
                <w:sz w:val="20"/>
                <w:szCs w:val="20"/>
              </w:rPr>
              <w:t>Paragraphes 17 à 20</w:t>
            </w:r>
          </w:p>
        </w:tc>
        <w:tc>
          <w:tcPr>
            <w:tcW w:w="5670" w:type="dxa"/>
            <w:shd w:val="clear" w:color="auto" w:fill="auto"/>
            <w:vAlign w:val="center"/>
          </w:tcPr>
          <w:p w14:paraId="3F6885F3" w14:textId="77777777" w:rsidR="009021F1" w:rsidRPr="003142D9" w:rsidRDefault="009021F1" w:rsidP="00E637E3">
            <w:pPr>
              <w:autoSpaceDE w:val="0"/>
              <w:autoSpaceDN w:val="0"/>
              <w:adjustRightInd w:val="0"/>
              <w:rPr>
                <w:rFonts w:cs="Arial"/>
                <w:sz w:val="20"/>
                <w:szCs w:val="20"/>
              </w:rPr>
            </w:pPr>
            <w:r w:rsidRPr="003142D9">
              <w:rPr>
                <w:rFonts w:cs="Arial"/>
                <w:sz w:val="20"/>
                <w:szCs w:val="20"/>
              </w:rPr>
              <w:t>La Loi n°11/009 du 09 juillet 2011 portant Principes fondamentaux relatifs à la protection de l’environnement, traite dans son chapitre 5 de la conservation et la gestion durables des ressources naturelles. Elle traite aussi dans son chapitre 6 de la prévention et de la lutte contre les pollutions et nuisances. Ces éléments sont pris en compte dans l’évaluation environnementale et sociale du projet.</w:t>
            </w:r>
          </w:p>
        </w:tc>
        <w:tc>
          <w:tcPr>
            <w:tcW w:w="3969" w:type="dxa"/>
            <w:shd w:val="clear" w:color="auto" w:fill="auto"/>
            <w:vAlign w:val="center"/>
          </w:tcPr>
          <w:p w14:paraId="27E78CCD" w14:textId="77777777" w:rsidR="009021F1" w:rsidRPr="003142D9" w:rsidRDefault="009021F1" w:rsidP="00E637E3">
            <w:pPr>
              <w:rPr>
                <w:rFonts w:cs="Arial"/>
                <w:sz w:val="20"/>
                <w:szCs w:val="20"/>
              </w:rPr>
            </w:pPr>
            <w:r w:rsidRPr="003142D9">
              <w:rPr>
                <w:rFonts w:cs="Arial"/>
                <w:sz w:val="20"/>
                <w:szCs w:val="20"/>
              </w:rPr>
              <w:t>Les lois nationales ne satisfont pas entièrement cette exigence de la NES n°3.</w:t>
            </w:r>
          </w:p>
          <w:p w14:paraId="79116B63" w14:textId="77777777" w:rsidR="009021F1" w:rsidRPr="003142D9" w:rsidRDefault="009021F1" w:rsidP="00E637E3">
            <w:pPr>
              <w:rPr>
                <w:rFonts w:cs="Arial"/>
                <w:sz w:val="20"/>
                <w:szCs w:val="20"/>
              </w:rPr>
            </w:pPr>
            <w:r w:rsidRPr="003142D9">
              <w:rPr>
                <w:rFonts w:cs="Arial"/>
                <w:sz w:val="20"/>
                <w:szCs w:val="20"/>
              </w:rPr>
              <w:t>La promotion des moyens de lutte intégrée et de lutte alternative n’est pas suffisamment vulgarisée. L’accent est mis sur la lutte chimique et l’utilisation des produits phytosanitaires homologués.</w:t>
            </w:r>
          </w:p>
          <w:p w14:paraId="2C51A9C8" w14:textId="77777777" w:rsidR="009021F1" w:rsidRPr="003142D9" w:rsidRDefault="009021F1" w:rsidP="00E637E3">
            <w:pPr>
              <w:rPr>
                <w:rFonts w:eastAsia="Calibri" w:cs="Arial"/>
                <w:sz w:val="20"/>
                <w:szCs w:val="20"/>
              </w:rPr>
            </w:pPr>
            <w:r w:rsidRPr="003142D9">
              <w:rPr>
                <w:rFonts w:cs="Arial"/>
                <w:sz w:val="20"/>
                <w:szCs w:val="20"/>
              </w:rPr>
              <w:t>Dans le cas du PNDA, un Plan de gestion des nuisibles a été préparé et sera mis en œuvre pour veiller à promouvoir la lutte intégrée à travers des actions de renforcement de capacités et des sensibilisations. Toutefois, la NES n°3  s’appliquera et sera suivi par la Banque mondiale</w:t>
            </w:r>
          </w:p>
        </w:tc>
      </w:tr>
      <w:tr w:rsidR="009021F1" w:rsidRPr="00E800E3" w14:paraId="1010AFDF" w14:textId="77777777" w:rsidTr="00E637E3">
        <w:trPr>
          <w:cantSplit/>
          <w:jc w:val="center"/>
        </w:trPr>
        <w:tc>
          <w:tcPr>
            <w:tcW w:w="5670" w:type="dxa"/>
          </w:tcPr>
          <w:p w14:paraId="7D058B1F"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Pour tout projet présentant des enjeux importants en matière de lutte antiparasitaire ou de gestion des pesticides, préparer un plan de lutte contre les nuisible, en utilisant des stratégies combinées de gestion intégrée es nuisibles et des vecteurs</w:t>
            </w:r>
          </w:p>
          <w:p w14:paraId="58B72882" w14:textId="77777777" w:rsidR="009021F1" w:rsidRPr="003142D9" w:rsidRDefault="009021F1" w:rsidP="00E637E3">
            <w:pPr>
              <w:pStyle w:val="Tabletext0"/>
              <w:spacing w:line="276" w:lineRule="auto"/>
              <w:rPr>
                <w:rFonts w:ascii="Arial" w:hAnsi="Arial" w:cs="Arial"/>
                <w:i/>
                <w:iCs/>
                <w:szCs w:val="20"/>
              </w:rPr>
            </w:pPr>
            <w:r w:rsidRPr="003142D9">
              <w:rPr>
                <w:rFonts w:ascii="Arial" w:hAnsi="Arial" w:cs="Arial"/>
                <w:i/>
                <w:iCs/>
                <w:szCs w:val="20"/>
              </w:rPr>
              <w:t>Paragraphes 22 à 25</w:t>
            </w:r>
          </w:p>
        </w:tc>
        <w:tc>
          <w:tcPr>
            <w:tcW w:w="5670" w:type="dxa"/>
            <w:shd w:val="clear" w:color="auto" w:fill="auto"/>
            <w:vAlign w:val="center"/>
          </w:tcPr>
          <w:p w14:paraId="0599F3FF" w14:textId="77777777" w:rsidR="009021F1" w:rsidRPr="003142D9" w:rsidRDefault="009021F1" w:rsidP="00E637E3">
            <w:pPr>
              <w:rPr>
                <w:rFonts w:cs="Arial"/>
                <w:sz w:val="20"/>
                <w:szCs w:val="20"/>
              </w:rPr>
            </w:pPr>
            <w:r w:rsidRPr="003142D9">
              <w:rPr>
                <w:rFonts w:cs="Arial"/>
                <w:sz w:val="20"/>
                <w:szCs w:val="20"/>
              </w:rPr>
              <w:t>Il s’agit des textes réglementaires nationaux dont les dispositions s’appliquent directement ou indirectement aux activités liées à la gestion des pestes et pesticides :</w:t>
            </w:r>
          </w:p>
          <w:p w14:paraId="7E323F45" w14:textId="77777777" w:rsidR="009021F1" w:rsidRPr="003142D9" w:rsidRDefault="009021F1" w:rsidP="00E637E3">
            <w:pPr>
              <w:rPr>
                <w:rFonts w:cs="Arial"/>
                <w:sz w:val="20"/>
                <w:szCs w:val="20"/>
              </w:rPr>
            </w:pPr>
          </w:p>
          <w:p w14:paraId="68B23EC3" w14:textId="77777777" w:rsidR="009021F1" w:rsidRPr="003142D9" w:rsidRDefault="009021F1" w:rsidP="00E637E3">
            <w:pPr>
              <w:pStyle w:val="Paragraphedeliste"/>
              <w:numPr>
                <w:ilvl w:val="0"/>
                <w:numId w:val="102"/>
              </w:numPr>
              <w:suppressAutoHyphens/>
              <w:autoSpaceDE w:val="0"/>
              <w:autoSpaceDN w:val="0"/>
              <w:ind w:left="317" w:hanging="283"/>
              <w:contextualSpacing w:val="0"/>
              <w:textAlignment w:val="baseline"/>
              <w:rPr>
                <w:rFonts w:cs="Arial"/>
                <w:sz w:val="20"/>
                <w:szCs w:val="20"/>
              </w:rPr>
            </w:pPr>
            <w:r w:rsidRPr="003142D9">
              <w:rPr>
                <w:rFonts w:cs="Arial"/>
                <w:sz w:val="20"/>
                <w:szCs w:val="20"/>
              </w:rPr>
              <w:t xml:space="preserve">La Loi n° 11/009 du 09 juillet 2011 portant Principes fondamentaux relatifs à la protection de l’environnement dispose </w:t>
            </w:r>
            <w:r w:rsidRPr="003142D9">
              <w:rPr>
                <w:rFonts w:cs="Arial"/>
                <w:sz w:val="20"/>
                <w:szCs w:val="20"/>
                <w:lang w:val="fr-RE"/>
              </w:rPr>
              <w:t>dans son Chapitre 6, sections 3 et 4, respectivement des questions de la gestion de la gestion des produits chimiques, et de déchets.</w:t>
            </w:r>
          </w:p>
          <w:p w14:paraId="191EB30E" w14:textId="77777777" w:rsidR="009021F1" w:rsidRPr="003142D9" w:rsidRDefault="009021F1" w:rsidP="00E637E3">
            <w:pPr>
              <w:pStyle w:val="Paragraphedeliste"/>
              <w:suppressAutoHyphens/>
              <w:autoSpaceDE w:val="0"/>
              <w:autoSpaceDN w:val="0"/>
              <w:ind w:left="317"/>
              <w:contextualSpacing w:val="0"/>
              <w:textAlignment w:val="baseline"/>
              <w:rPr>
                <w:rFonts w:cs="Arial"/>
                <w:sz w:val="20"/>
                <w:szCs w:val="20"/>
              </w:rPr>
            </w:pPr>
          </w:p>
          <w:p w14:paraId="49C7EF5C" w14:textId="77777777" w:rsidR="009021F1" w:rsidRPr="003142D9" w:rsidRDefault="009021F1" w:rsidP="00E637E3">
            <w:pPr>
              <w:pStyle w:val="Paragraphedeliste"/>
              <w:suppressAutoHyphens/>
              <w:autoSpaceDE w:val="0"/>
              <w:autoSpaceDN w:val="0"/>
              <w:ind w:left="317"/>
              <w:contextualSpacing w:val="0"/>
              <w:textAlignment w:val="baseline"/>
              <w:rPr>
                <w:rFonts w:cs="Arial"/>
                <w:sz w:val="20"/>
                <w:szCs w:val="20"/>
                <w:lang w:val="fr-RE"/>
              </w:rPr>
            </w:pPr>
            <w:r w:rsidRPr="003142D9">
              <w:rPr>
                <w:rFonts w:cs="Arial"/>
                <w:sz w:val="20"/>
                <w:szCs w:val="20"/>
                <w:lang w:val="fr-RE"/>
              </w:rPr>
              <w:t xml:space="preserve">Cette Loi dispose qu’en son Article 53 que : « L’Etat prend des mesures appropriées pour prévenir, atténuer et éliminer les effets nuisibles sur l’environnement et la santé des produits chimiques, des pesticides dangereux et des polluants organiques persistants ». </w:t>
            </w:r>
          </w:p>
          <w:p w14:paraId="16367D02" w14:textId="77777777" w:rsidR="009021F1" w:rsidRPr="003142D9" w:rsidRDefault="009021F1" w:rsidP="00E637E3">
            <w:pPr>
              <w:rPr>
                <w:rFonts w:cs="Arial"/>
                <w:sz w:val="20"/>
                <w:szCs w:val="20"/>
                <w:lang w:val="fr-RE"/>
              </w:rPr>
            </w:pPr>
          </w:p>
          <w:p w14:paraId="43666E5F" w14:textId="77777777" w:rsidR="009021F1" w:rsidRPr="003142D9" w:rsidRDefault="009021F1" w:rsidP="00E637E3">
            <w:pPr>
              <w:pStyle w:val="Paragraphedeliste"/>
              <w:numPr>
                <w:ilvl w:val="0"/>
                <w:numId w:val="102"/>
              </w:numPr>
              <w:suppressAutoHyphens/>
              <w:autoSpaceDE w:val="0"/>
              <w:autoSpaceDN w:val="0"/>
              <w:ind w:left="317" w:hanging="283"/>
              <w:contextualSpacing w:val="0"/>
              <w:textAlignment w:val="baseline"/>
              <w:rPr>
                <w:rFonts w:cs="Arial"/>
                <w:sz w:val="20"/>
                <w:szCs w:val="20"/>
              </w:rPr>
            </w:pPr>
            <w:r w:rsidRPr="003142D9">
              <w:rPr>
                <w:rFonts w:cs="Arial"/>
                <w:sz w:val="20"/>
                <w:szCs w:val="20"/>
              </w:rPr>
              <w:t>La Loi n° 11/022 du 24 décembre 2011 portant Principes fondamentaux relatifs à l’Agriculture prend en charge de façon globale les conditions de gestion des pesticides au niveau de toute la filière (importation, stockage, transport, utilisation, élimination des contenants, …). </w:t>
            </w:r>
          </w:p>
          <w:p w14:paraId="4BA518A3" w14:textId="77777777" w:rsidR="009021F1" w:rsidRPr="003142D9" w:rsidRDefault="009021F1" w:rsidP="00E637E3">
            <w:pPr>
              <w:pStyle w:val="Paragraphedeliste"/>
              <w:suppressAutoHyphens/>
              <w:autoSpaceDE w:val="0"/>
              <w:autoSpaceDN w:val="0"/>
              <w:ind w:left="317"/>
              <w:contextualSpacing w:val="0"/>
              <w:textAlignment w:val="baseline"/>
              <w:rPr>
                <w:rFonts w:cs="Arial"/>
                <w:sz w:val="20"/>
                <w:szCs w:val="20"/>
              </w:rPr>
            </w:pPr>
          </w:p>
          <w:p w14:paraId="17AF1529" w14:textId="77777777" w:rsidR="009021F1" w:rsidRPr="003142D9" w:rsidRDefault="009021F1" w:rsidP="00E637E3">
            <w:pPr>
              <w:pStyle w:val="Paragraphedeliste"/>
              <w:numPr>
                <w:ilvl w:val="0"/>
                <w:numId w:val="102"/>
              </w:numPr>
              <w:suppressAutoHyphens/>
              <w:autoSpaceDE w:val="0"/>
              <w:autoSpaceDN w:val="0"/>
              <w:ind w:left="317" w:hanging="283"/>
              <w:contextualSpacing w:val="0"/>
              <w:textAlignment w:val="baseline"/>
              <w:rPr>
                <w:rFonts w:cs="Arial"/>
                <w:sz w:val="20"/>
                <w:szCs w:val="20"/>
              </w:rPr>
            </w:pPr>
            <w:r w:rsidRPr="003142D9">
              <w:rPr>
                <w:rFonts w:cs="Arial"/>
                <w:sz w:val="20"/>
                <w:szCs w:val="20"/>
              </w:rPr>
              <w:t xml:space="preserve">Le Décret n°05/162 du 18 novembre 2005 portant réglementation phytosanitaire en République Démocratique du Congo. </w:t>
            </w:r>
          </w:p>
          <w:p w14:paraId="32CB879C" w14:textId="77777777" w:rsidR="009021F1" w:rsidRPr="003142D9" w:rsidRDefault="009021F1" w:rsidP="00E637E3">
            <w:pPr>
              <w:rPr>
                <w:rFonts w:cs="Arial"/>
                <w:sz w:val="20"/>
                <w:szCs w:val="20"/>
              </w:rPr>
            </w:pPr>
          </w:p>
          <w:p w14:paraId="451E2A9D" w14:textId="77777777" w:rsidR="009021F1" w:rsidRPr="003142D9" w:rsidRDefault="009021F1" w:rsidP="00E637E3">
            <w:pPr>
              <w:rPr>
                <w:rFonts w:cs="Arial"/>
                <w:color w:val="383838"/>
                <w:sz w:val="20"/>
                <w:szCs w:val="20"/>
              </w:rPr>
            </w:pPr>
            <w:r w:rsidRPr="003142D9">
              <w:rPr>
                <w:rFonts w:cs="Arial"/>
                <w:sz w:val="20"/>
                <w:szCs w:val="20"/>
              </w:rPr>
              <w:t xml:space="preserve">Instruments : EIES est exigée pour (i) </w:t>
            </w:r>
            <w:r w:rsidRPr="003142D9">
              <w:rPr>
                <w:rFonts w:cs="Arial"/>
                <w:color w:val="383838"/>
                <w:sz w:val="20"/>
                <w:szCs w:val="20"/>
              </w:rPr>
              <w:t>d'aménagement ou réhabilitation hydro agricole ou agricole de plus de cinq cent hectares (500 ha) ; (ii) projet d'épandage de produits chimiques, de par son envergure de porter atteinte à l'environnement et à la santé</w:t>
            </w:r>
          </w:p>
          <w:p w14:paraId="315592B1" w14:textId="77777777" w:rsidR="009021F1" w:rsidRPr="003142D9" w:rsidRDefault="009021F1" w:rsidP="00E637E3">
            <w:pPr>
              <w:rPr>
                <w:rFonts w:cs="Arial"/>
                <w:color w:val="383838"/>
                <w:sz w:val="20"/>
                <w:szCs w:val="20"/>
              </w:rPr>
            </w:pPr>
            <w:r w:rsidRPr="003142D9">
              <w:rPr>
                <w:rFonts w:cs="Arial"/>
                <w:color w:val="383838"/>
                <w:sz w:val="20"/>
                <w:szCs w:val="20"/>
              </w:rPr>
              <w:t>Humaine ; (iii) toute unité de stockage de pesticides, de produits chimiques, pharmaceutiques d'une capacité supérieure à dix tonnes</w:t>
            </w:r>
          </w:p>
          <w:p w14:paraId="3AE958FB" w14:textId="77777777" w:rsidR="009021F1" w:rsidRPr="003142D9" w:rsidRDefault="009021F1" w:rsidP="00E637E3">
            <w:pPr>
              <w:rPr>
                <w:rFonts w:cs="Arial"/>
                <w:color w:val="383838"/>
                <w:sz w:val="20"/>
                <w:szCs w:val="20"/>
              </w:rPr>
            </w:pPr>
            <w:r w:rsidRPr="003142D9">
              <w:rPr>
                <w:rFonts w:cs="Arial"/>
                <w:color w:val="383838"/>
                <w:sz w:val="20"/>
                <w:szCs w:val="20"/>
              </w:rPr>
              <w:t>(10 T) ; (iv) toute unité de récupération, d'élimination ou de traitement de déchets domestiques, industriels et autres déchets à</w:t>
            </w:r>
          </w:p>
          <w:p w14:paraId="2507765E" w14:textId="77777777" w:rsidR="009021F1" w:rsidRPr="003142D9" w:rsidRDefault="009021F1" w:rsidP="00E637E3">
            <w:pPr>
              <w:rPr>
                <w:rFonts w:cs="Arial"/>
                <w:sz w:val="20"/>
                <w:szCs w:val="20"/>
              </w:rPr>
            </w:pPr>
            <w:r w:rsidRPr="003142D9">
              <w:rPr>
                <w:rFonts w:cs="Arial"/>
                <w:color w:val="383838"/>
                <w:sz w:val="20"/>
                <w:szCs w:val="20"/>
              </w:rPr>
              <w:t>Caractère dangereux ; etc.</w:t>
            </w:r>
          </w:p>
        </w:tc>
        <w:tc>
          <w:tcPr>
            <w:tcW w:w="3969" w:type="dxa"/>
            <w:shd w:val="clear" w:color="auto" w:fill="auto"/>
            <w:vAlign w:val="center"/>
          </w:tcPr>
          <w:p w14:paraId="2A54BE2E" w14:textId="77777777" w:rsidR="009021F1" w:rsidRPr="003142D9" w:rsidRDefault="009021F1" w:rsidP="00E637E3">
            <w:pPr>
              <w:rPr>
                <w:rFonts w:eastAsia="Calibri" w:cs="Arial"/>
                <w:sz w:val="20"/>
                <w:szCs w:val="20"/>
              </w:rPr>
            </w:pPr>
          </w:p>
        </w:tc>
      </w:tr>
      <w:tr w:rsidR="009021F1" w:rsidRPr="00E800E3" w14:paraId="5663CEC2" w14:textId="77777777" w:rsidTr="00E637E3">
        <w:trPr>
          <w:jc w:val="center"/>
        </w:trPr>
        <w:tc>
          <w:tcPr>
            <w:tcW w:w="15309" w:type="dxa"/>
            <w:gridSpan w:val="3"/>
            <w:shd w:val="clear" w:color="auto" w:fill="C5E0B3"/>
            <w:vAlign w:val="center"/>
          </w:tcPr>
          <w:p w14:paraId="6B37CA96" w14:textId="77777777" w:rsidR="009021F1" w:rsidRPr="003142D9" w:rsidRDefault="009021F1" w:rsidP="00E637E3">
            <w:pPr>
              <w:keepNext/>
              <w:keepLines/>
              <w:spacing w:before="60" w:after="60"/>
              <w:rPr>
                <w:rFonts w:eastAsia="Calibri" w:cs="Arial"/>
                <w:b/>
                <w:bCs/>
                <w:sz w:val="20"/>
                <w:szCs w:val="20"/>
              </w:rPr>
            </w:pPr>
            <w:r w:rsidRPr="003142D9">
              <w:rPr>
                <w:rFonts w:eastAsia="Calibri" w:cs="Arial"/>
                <w:b/>
                <w:bCs/>
                <w:sz w:val="20"/>
                <w:szCs w:val="20"/>
              </w:rPr>
              <w:t>NES4.  Santé et sécurité des populations</w:t>
            </w:r>
          </w:p>
        </w:tc>
      </w:tr>
      <w:tr w:rsidR="009021F1" w:rsidRPr="00E800E3" w14:paraId="4D323890" w14:textId="77777777" w:rsidTr="00E637E3">
        <w:trPr>
          <w:jc w:val="center"/>
        </w:trPr>
        <w:tc>
          <w:tcPr>
            <w:tcW w:w="5670" w:type="dxa"/>
          </w:tcPr>
          <w:p w14:paraId="4DFFC277"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Évaluer les risques et effets sur la santé et la sécurité des populations touchées par le projet tout au long de celui-ci, y compris les personnes qui peuvent être considérées comme vulnérables en raison de leur situation particulière.</w:t>
            </w:r>
          </w:p>
          <w:p w14:paraId="67D42ED6" w14:textId="77777777" w:rsidR="009021F1" w:rsidRPr="003142D9" w:rsidRDefault="009021F1" w:rsidP="00E637E3">
            <w:pPr>
              <w:autoSpaceDE w:val="0"/>
              <w:autoSpaceDN w:val="0"/>
              <w:adjustRightInd w:val="0"/>
              <w:rPr>
                <w:rFonts w:eastAsia="Calibri" w:cs="Arial"/>
                <w:sz w:val="20"/>
                <w:szCs w:val="20"/>
              </w:rPr>
            </w:pPr>
            <w:r w:rsidRPr="003142D9">
              <w:rPr>
                <w:rFonts w:cs="Arial"/>
                <w:i/>
                <w:iCs/>
                <w:sz w:val="20"/>
                <w:szCs w:val="20"/>
              </w:rPr>
              <w:t>Paragraphe 5</w:t>
            </w:r>
          </w:p>
        </w:tc>
        <w:tc>
          <w:tcPr>
            <w:tcW w:w="5670" w:type="dxa"/>
            <w:shd w:val="clear" w:color="auto" w:fill="auto"/>
            <w:vAlign w:val="center"/>
          </w:tcPr>
          <w:p w14:paraId="5215BF41" w14:textId="77777777" w:rsidR="009021F1" w:rsidRPr="003142D9" w:rsidRDefault="009021F1" w:rsidP="00E637E3">
            <w:pPr>
              <w:autoSpaceDE w:val="0"/>
              <w:autoSpaceDN w:val="0"/>
              <w:adjustRightInd w:val="0"/>
              <w:rPr>
                <w:rFonts w:cs="Arial"/>
                <w:sz w:val="20"/>
                <w:szCs w:val="20"/>
              </w:rPr>
            </w:pPr>
            <w:r w:rsidRPr="003142D9">
              <w:rPr>
                <w:rFonts w:cs="Arial"/>
                <w:sz w:val="20"/>
                <w:szCs w:val="20"/>
              </w:rPr>
              <w:t>Les dispositions de la Loi n° 11/009 du 09 juillet 2011 portant Principes fondamentaux relatifs à la protection de l’environnement, relatives à l’évaluation environnementale et sociale prennent en compte la santé et la sécurité des communautés.</w:t>
            </w:r>
          </w:p>
        </w:tc>
        <w:tc>
          <w:tcPr>
            <w:tcW w:w="3969" w:type="dxa"/>
            <w:shd w:val="clear" w:color="auto" w:fill="auto"/>
            <w:vAlign w:val="center"/>
          </w:tcPr>
          <w:p w14:paraId="2756EF97" w14:textId="77777777" w:rsidR="009021F1" w:rsidRPr="003142D9" w:rsidRDefault="009021F1" w:rsidP="00E637E3">
            <w:pPr>
              <w:spacing w:before="100" w:beforeAutospacing="1" w:after="100" w:afterAutospacing="1"/>
              <w:rPr>
                <w:rFonts w:cs="Arial"/>
                <w:color w:val="000000"/>
                <w:sz w:val="20"/>
                <w:szCs w:val="20"/>
              </w:rPr>
            </w:pPr>
            <w:r w:rsidRPr="003142D9">
              <w:rPr>
                <w:rFonts w:cs="Arial"/>
                <w:sz w:val="20"/>
                <w:szCs w:val="20"/>
              </w:rPr>
              <w:t>La loi nationale satisfait à ces exigences de la NES n°4 mais avec un besoin de renforcement des dispositions relatives au personnel chargé de la sécurité. Toutefois, la NES n°4  s’appliquera et sera suivi par la Banque mondiale</w:t>
            </w:r>
          </w:p>
        </w:tc>
      </w:tr>
      <w:tr w:rsidR="009021F1" w:rsidRPr="00E800E3" w14:paraId="0652E72E" w14:textId="77777777" w:rsidTr="00E637E3">
        <w:trPr>
          <w:jc w:val="center"/>
        </w:trPr>
        <w:tc>
          <w:tcPr>
            <w:tcW w:w="5670" w:type="dxa"/>
          </w:tcPr>
          <w:p w14:paraId="1AB0DBCF"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Assurer la conception, la construction, l’exploitation et le démantèlement des structures du projet, conformément aux dispositions nationales, aux Directives ESS et aux autres BPISA, par des professionnels compétents et certifiés, et tenir compte du changement climatique</w:t>
            </w:r>
          </w:p>
          <w:p w14:paraId="0DED5278" w14:textId="77777777" w:rsidR="009021F1" w:rsidRPr="003142D9" w:rsidRDefault="009021F1" w:rsidP="00E637E3">
            <w:pPr>
              <w:autoSpaceDE w:val="0"/>
              <w:autoSpaceDN w:val="0"/>
              <w:adjustRightInd w:val="0"/>
              <w:rPr>
                <w:rFonts w:eastAsia="Calibri" w:cs="Arial"/>
                <w:sz w:val="20"/>
                <w:szCs w:val="20"/>
              </w:rPr>
            </w:pPr>
            <w:r w:rsidRPr="003142D9">
              <w:rPr>
                <w:rFonts w:cs="Arial"/>
                <w:i/>
                <w:iCs/>
                <w:sz w:val="20"/>
                <w:szCs w:val="20"/>
              </w:rPr>
              <w:t>Paragraphes 6 à 8</w:t>
            </w:r>
          </w:p>
        </w:tc>
        <w:tc>
          <w:tcPr>
            <w:tcW w:w="5670" w:type="dxa"/>
            <w:shd w:val="clear" w:color="auto" w:fill="auto"/>
            <w:vAlign w:val="center"/>
          </w:tcPr>
          <w:p w14:paraId="648176E5" w14:textId="77777777" w:rsidR="009021F1" w:rsidRPr="003142D9" w:rsidRDefault="009021F1" w:rsidP="00E637E3">
            <w:pPr>
              <w:autoSpaceDE w:val="0"/>
              <w:autoSpaceDN w:val="0"/>
              <w:adjustRightInd w:val="0"/>
              <w:rPr>
                <w:rFonts w:cs="Arial"/>
                <w:sz w:val="20"/>
                <w:szCs w:val="20"/>
              </w:rPr>
            </w:pPr>
            <w:r w:rsidRPr="003142D9">
              <w:rPr>
                <w:rFonts w:cs="Arial"/>
                <w:sz w:val="20"/>
                <w:szCs w:val="20"/>
              </w:rPr>
              <w:t>Non mentionné dans la législation nationale congolaise</w:t>
            </w:r>
          </w:p>
        </w:tc>
        <w:tc>
          <w:tcPr>
            <w:tcW w:w="3969" w:type="dxa"/>
            <w:shd w:val="clear" w:color="auto" w:fill="auto"/>
            <w:vAlign w:val="center"/>
          </w:tcPr>
          <w:p w14:paraId="55BB1CF6" w14:textId="77777777" w:rsidR="009021F1" w:rsidRPr="003142D9" w:rsidRDefault="009021F1" w:rsidP="00E637E3">
            <w:pPr>
              <w:spacing w:before="100" w:beforeAutospacing="1" w:after="100" w:afterAutospacing="1"/>
              <w:rPr>
                <w:rFonts w:cs="Arial"/>
                <w:color w:val="000000"/>
                <w:sz w:val="20"/>
                <w:szCs w:val="20"/>
              </w:rPr>
            </w:pPr>
            <w:r w:rsidRPr="003142D9">
              <w:rPr>
                <w:rFonts w:cs="Arial"/>
                <w:sz w:val="20"/>
                <w:szCs w:val="20"/>
              </w:rPr>
              <w:t>La loi nationale ne satisfait pas à cette exigence de la NES n°4. Ainsi, c’est le NES n°4 qui s’appliquera et sera suivi par l’IDA.</w:t>
            </w:r>
          </w:p>
        </w:tc>
      </w:tr>
      <w:tr w:rsidR="009021F1" w:rsidRPr="00E800E3" w14:paraId="645B10AE" w14:textId="77777777" w:rsidTr="00E637E3">
        <w:trPr>
          <w:jc w:val="center"/>
        </w:trPr>
        <w:tc>
          <w:tcPr>
            <w:tcW w:w="5670" w:type="dxa"/>
          </w:tcPr>
          <w:p w14:paraId="357B9313"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Anticiper et minimiser les risques et effets que les services offerts aux communautés par le projet peuvent avoir sur leur santé et leur sécurité, et appliquer le principe d'accès universel lorsque cela est possible.</w:t>
            </w:r>
          </w:p>
          <w:p w14:paraId="60C5FEB1" w14:textId="77777777" w:rsidR="009021F1" w:rsidRPr="003142D9" w:rsidRDefault="009021F1" w:rsidP="00E637E3">
            <w:pPr>
              <w:autoSpaceDE w:val="0"/>
              <w:autoSpaceDN w:val="0"/>
              <w:adjustRightInd w:val="0"/>
              <w:rPr>
                <w:rFonts w:eastAsia="Calibri" w:cs="Arial"/>
                <w:sz w:val="20"/>
                <w:szCs w:val="20"/>
              </w:rPr>
            </w:pPr>
            <w:r w:rsidRPr="003142D9">
              <w:rPr>
                <w:rFonts w:cs="Arial"/>
                <w:i/>
                <w:iCs/>
                <w:sz w:val="20"/>
                <w:szCs w:val="20"/>
              </w:rPr>
              <w:t>Paragraphe 9</w:t>
            </w:r>
          </w:p>
        </w:tc>
        <w:tc>
          <w:tcPr>
            <w:tcW w:w="5670" w:type="dxa"/>
            <w:shd w:val="clear" w:color="auto" w:fill="auto"/>
            <w:vAlign w:val="center"/>
          </w:tcPr>
          <w:p w14:paraId="26C8AE62" w14:textId="77777777" w:rsidR="009021F1" w:rsidRPr="003142D9" w:rsidRDefault="009021F1" w:rsidP="00E637E3">
            <w:pPr>
              <w:autoSpaceDE w:val="0"/>
              <w:autoSpaceDN w:val="0"/>
              <w:adjustRightInd w:val="0"/>
              <w:rPr>
                <w:rFonts w:cs="Arial"/>
                <w:sz w:val="20"/>
                <w:szCs w:val="20"/>
              </w:rPr>
            </w:pPr>
            <w:r w:rsidRPr="003142D9">
              <w:rPr>
                <w:rFonts w:cs="Arial"/>
                <w:sz w:val="20"/>
                <w:szCs w:val="20"/>
              </w:rPr>
              <w:t>L’article 40 de la Loi N°11/009 du 09 juillet 2011 portant principes fondamentaux relatifs à la protection de l’environnement, dispose que tout exploitant d’une installation classée élabore et met en œuvre des mesures de sécurité industrielle appropriées et établit un plan d’urgence décrivant les mesures nécessaires pour maîtriser les accidents industriels et limiter leurs conséquences pour l’environnement et la santé. Ce plan d’urgence est porté à la connaissance des autorités administratives compétentes et des populations avoisinantes. Est sournoise à l’autorisation, toute installation dont l’existence ou l’exploitation présente des dangers, des inconvénients, ou des incommodités graves pour la sante, la sécurité, la salubrité publique, le voisinage, l'environnement ou la conservation des sites et monuments</w:t>
            </w:r>
          </w:p>
        </w:tc>
        <w:tc>
          <w:tcPr>
            <w:tcW w:w="3969" w:type="dxa"/>
            <w:shd w:val="clear" w:color="auto" w:fill="auto"/>
            <w:vAlign w:val="center"/>
          </w:tcPr>
          <w:p w14:paraId="7BD6B685" w14:textId="77777777" w:rsidR="009021F1" w:rsidRPr="003142D9" w:rsidRDefault="009021F1" w:rsidP="00E637E3">
            <w:pPr>
              <w:spacing w:before="60" w:after="60"/>
              <w:rPr>
                <w:rFonts w:cs="Arial"/>
                <w:sz w:val="20"/>
                <w:szCs w:val="20"/>
              </w:rPr>
            </w:pPr>
            <w:r w:rsidRPr="003142D9">
              <w:rPr>
                <w:rFonts w:cs="Arial"/>
                <w:sz w:val="20"/>
                <w:szCs w:val="20"/>
              </w:rPr>
              <w:t>Le cadre national n’aborde pas explicitement les risques de sécurité routière, les aspects services Eco systémiques, accès universel et d’utilisation du personnel de sécurité, et le projet devra s’assurer que ces exigences si requises sont bien prises en compte dans les instruments E&amp;S à préparer. Il existe des similitudes sur le plan de l’évaluation des dangers, gestion de la prise en compte des mesures d’urgence et des atteintes à la santé, sécurité, la protection des populations avoisinantes. Ainsi, la NES n°4 sera appliquée et suivie par la Banque mondiale.</w:t>
            </w:r>
          </w:p>
          <w:p w14:paraId="7725131C" w14:textId="77777777" w:rsidR="009021F1" w:rsidRPr="003142D9" w:rsidRDefault="009021F1" w:rsidP="00E637E3">
            <w:pPr>
              <w:spacing w:before="100" w:beforeAutospacing="1" w:after="100" w:afterAutospacing="1"/>
              <w:rPr>
                <w:rFonts w:cs="Arial"/>
                <w:color w:val="000000"/>
                <w:sz w:val="20"/>
                <w:szCs w:val="20"/>
              </w:rPr>
            </w:pPr>
          </w:p>
        </w:tc>
      </w:tr>
      <w:tr w:rsidR="009021F1" w:rsidRPr="00E800E3" w14:paraId="3A38475B" w14:textId="77777777" w:rsidTr="00E637E3">
        <w:trPr>
          <w:jc w:val="center"/>
        </w:trPr>
        <w:tc>
          <w:tcPr>
            <w:tcW w:w="5670" w:type="dxa"/>
          </w:tcPr>
          <w:p w14:paraId="149BD8A0"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Identifier, évaluer et surveiller les risques du projet liés à la circulation et à la sécurité routière, améliorer la sécurité des conducteurs et des véhicules du projet, et éviter que des personnes étrangères au projet soient victimes d’accidents</w:t>
            </w:r>
          </w:p>
          <w:p w14:paraId="39D23DCE" w14:textId="77777777" w:rsidR="009021F1" w:rsidRPr="003142D9" w:rsidRDefault="009021F1" w:rsidP="00E637E3">
            <w:pPr>
              <w:autoSpaceDE w:val="0"/>
              <w:autoSpaceDN w:val="0"/>
              <w:adjustRightInd w:val="0"/>
              <w:rPr>
                <w:rFonts w:eastAsia="Calibri" w:cs="Arial"/>
                <w:sz w:val="20"/>
                <w:szCs w:val="20"/>
              </w:rPr>
            </w:pPr>
            <w:r w:rsidRPr="003142D9">
              <w:rPr>
                <w:rFonts w:cs="Arial"/>
                <w:i/>
                <w:iCs/>
                <w:sz w:val="20"/>
                <w:szCs w:val="20"/>
              </w:rPr>
              <w:t>Paragraphes 10 à 12</w:t>
            </w:r>
          </w:p>
        </w:tc>
        <w:tc>
          <w:tcPr>
            <w:tcW w:w="5670" w:type="dxa"/>
            <w:shd w:val="clear" w:color="auto" w:fill="auto"/>
            <w:vAlign w:val="center"/>
          </w:tcPr>
          <w:p w14:paraId="5199CCD8" w14:textId="77777777" w:rsidR="009021F1" w:rsidRPr="003142D9" w:rsidRDefault="009021F1" w:rsidP="00E637E3">
            <w:pPr>
              <w:autoSpaceDE w:val="0"/>
              <w:autoSpaceDN w:val="0"/>
              <w:adjustRightInd w:val="0"/>
              <w:rPr>
                <w:rFonts w:cs="Arial"/>
                <w:sz w:val="20"/>
                <w:szCs w:val="20"/>
              </w:rPr>
            </w:pPr>
            <w:r w:rsidRPr="003142D9">
              <w:rPr>
                <w:rFonts w:cs="Arial"/>
                <w:sz w:val="20"/>
                <w:szCs w:val="20"/>
              </w:rPr>
              <w:t>Les dispositions de la Loi n° 11/009 du 09 juillet 2011 portant Principes fondamentaux relatifs à la protection de l’environnement et la loi 78-022 du 30 août 1978 portant nouveau Code de la route qui régit la circulation routière en RDC abordent partiellement la sécurité routière.</w:t>
            </w:r>
          </w:p>
          <w:p w14:paraId="14545F7A" w14:textId="77777777" w:rsidR="009021F1" w:rsidRPr="003142D9" w:rsidRDefault="009021F1" w:rsidP="00E637E3">
            <w:pPr>
              <w:autoSpaceDE w:val="0"/>
              <w:autoSpaceDN w:val="0"/>
              <w:adjustRightInd w:val="0"/>
              <w:rPr>
                <w:rFonts w:cs="Arial"/>
                <w:sz w:val="20"/>
                <w:szCs w:val="20"/>
              </w:rPr>
            </w:pPr>
          </w:p>
        </w:tc>
        <w:tc>
          <w:tcPr>
            <w:tcW w:w="3969" w:type="dxa"/>
            <w:shd w:val="clear" w:color="auto" w:fill="auto"/>
            <w:vAlign w:val="center"/>
          </w:tcPr>
          <w:p w14:paraId="03DF791B" w14:textId="77777777" w:rsidR="009021F1" w:rsidRPr="003142D9" w:rsidRDefault="009021F1" w:rsidP="00E637E3">
            <w:pPr>
              <w:spacing w:before="60" w:after="60"/>
              <w:rPr>
                <w:rFonts w:cs="Arial"/>
                <w:sz w:val="20"/>
                <w:szCs w:val="20"/>
              </w:rPr>
            </w:pPr>
            <w:r w:rsidRPr="003142D9">
              <w:rPr>
                <w:rFonts w:cs="Arial"/>
                <w:sz w:val="20"/>
                <w:szCs w:val="20"/>
              </w:rPr>
              <w:t>Le cadre national n’aborde pas explicitement les risques de sécurité routière, les aspects services Eco systémiques, accès universel et d’utilisation du personnel de sécurité, et le projet devra s’assurer que ces exigences si requises sont bien prises en compte dans les instruments E&amp;S à préparer. Il existe des similitudes sur le plan de l’évaluation des dangers, gestion de la prise en compte des mesures d’urgence et des atteintes à la santé, sécurité, la protection des populations avoisinantes. Ainsi, la NES n°4 sera appliquée et suivie par la Banque mondiale.</w:t>
            </w:r>
          </w:p>
          <w:p w14:paraId="2F35B39D" w14:textId="77777777" w:rsidR="009021F1" w:rsidRPr="003142D9" w:rsidRDefault="009021F1" w:rsidP="00E637E3">
            <w:pPr>
              <w:spacing w:before="100" w:beforeAutospacing="1" w:after="100" w:afterAutospacing="1"/>
              <w:rPr>
                <w:rFonts w:cs="Arial"/>
                <w:color w:val="000000"/>
                <w:sz w:val="20"/>
                <w:szCs w:val="20"/>
              </w:rPr>
            </w:pPr>
          </w:p>
        </w:tc>
      </w:tr>
      <w:tr w:rsidR="009021F1" w:rsidRPr="00E800E3" w14:paraId="6CBF31FB" w14:textId="77777777" w:rsidTr="00E637E3">
        <w:trPr>
          <w:jc w:val="center"/>
        </w:trPr>
        <w:tc>
          <w:tcPr>
            <w:tcW w:w="5670" w:type="dxa"/>
          </w:tcPr>
          <w:p w14:paraId="1C16462D"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Identifier les risques et effets potentiels du projet sur les services écosystémiques qui pourraient être exacerbés par le changement climatique, et compromettre sur la santé et la sécurité des populations touchées</w:t>
            </w:r>
          </w:p>
          <w:p w14:paraId="1D8EF734" w14:textId="77777777" w:rsidR="009021F1" w:rsidRPr="003142D9" w:rsidRDefault="009021F1" w:rsidP="00E637E3">
            <w:pPr>
              <w:autoSpaceDE w:val="0"/>
              <w:autoSpaceDN w:val="0"/>
              <w:adjustRightInd w:val="0"/>
              <w:rPr>
                <w:rFonts w:eastAsia="Calibri" w:cs="Arial"/>
                <w:sz w:val="20"/>
                <w:szCs w:val="20"/>
              </w:rPr>
            </w:pPr>
            <w:r w:rsidRPr="003142D9">
              <w:rPr>
                <w:rFonts w:cs="Arial"/>
                <w:i/>
                <w:iCs/>
                <w:sz w:val="20"/>
                <w:szCs w:val="20"/>
              </w:rPr>
              <w:t>Paragraphe 14</w:t>
            </w:r>
          </w:p>
        </w:tc>
        <w:tc>
          <w:tcPr>
            <w:tcW w:w="5670" w:type="dxa"/>
            <w:shd w:val="clear" w:color="auto" w:fill="auto"/>
            <w:vAlign w:val="center"/>
          </w:tcPr>
          <w:p w14:paraId="10AE4AFA" w14:textId="77777777" w:rsidR="009021F1" w:rsidRPr="003142D9" w:rsidRDefault="009021F1" w:rsidP="00E637E3">
            <w:pPr>
              <w:autoSpaceDE w:val="0"/>
              <w:autoSpaceDN w:val="0"/>
              <w:adjustRightInd w:val="0"/>
              <w:rPr>
                <w:rFonts w:cs="Arial"/>
                <w:sz w:val="20"/>
                <w:szCs w:val="20"/>
              </w:rPr>
            </w:pPr>
            <w:r w:rsidRPr="003142D9">
              <w:rPr>
                <w:rFonts w:cs="Arial"/>
                <w:sz w:val="20"/>
                <w:szCs w:val="20"/>
              </w:rPr>
              <w:t>Non mentionné dans la législation nationale congolaise</w:t>
            </w:r>
          </w:p>
        </w:tc>
        <w:tc>
          <w:tcPr>
            <w:tcW w:w="3969" w:type="dxa"/>
            <w:shd w:val="clear" w:color="auto" w:fill="auto"/>
            <w:vAlign w:val="center"/>
          </w:tcPr>
          <w:p w14:paraId="097F1E6F" w14:textId="77777777" w:rsidR="009021F1" w:rsidRPr="003142D9" w:rsidRDefault="009021F1" w:rsidP="00E637E3">
            <w:pPr>
              <w:spacing w:before="100" w:beforeAutospacing="1" w:after="100" w:afterAutospacing="1"/>
              <w:rPr>
                <w:rFonts w:cs="Arial"/>
                <w:color w:val="000000"/>
                <w:sz w:val="20"/>
                <w:szCs w:val="20"/>
              </w:rPr>
            </w:pPr>
            <w:r w:rsidRPr="003142D9">
              <w:rPr>
                <w:rFonts w:cs="Arial"/>
                <w:sz w:val="20"/>
                <w:szCs w:val="20"/>
              </w:rPr>
              <w:t>La loi nationale ne satisfait pas à cette exigence de la NES n°4. Ainsi, c’est le NES n°4 qui s’appliquera et sera suivi par l’IDA.</w:t>
            </w:r>
          </w:p>
        </w:tc>
      </w:tr>
      <w:tr w:rsidR="009021F1" w:rsidRPr="00E800E3" w14:paraId="26E642AE" w14:textId="77777777" w:rsidTr="00E637E3">
        <w:trPr>
          <w:jc w:val="center"/>
        </w:trPr>
        <w:tc>
          <w:tcPr>
            <w:tcW w:w="5670" w:type="dxa"/>
          </w:tcPr>
          <w:p w14:paraId="7DED6A15"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Éviter ou minimiser la propagation de maladies transmissibles qui peuvent être associées à l’afflux de main-d’œuvre temporaire ou permanente sur le projet.</w:t>
            </w:r>
          </w:p>
          <w:p w14:paraId="180BAA3B" w14:textId="77777777" w:rsidR="009021F1" w:rsidRPr="003142D9" w:rsidRDefault="009021F1" w:rsidP="00E637E3">
            <w:pPr>
              <w:autoSpaceDE w:val="0"/>
              <w:autoSpaceDN w:val="0"/>
              <w:adjustRightInd w:val="0"/>
              <w:rPr>
                <w:rFonts w:eastAsia="Calibri" w:cs="Arial"/>
                <w:sz w:val="20"/>
                <w:szCs w:val="20"/>
              </w:rPr>
            </w:pPr>
            <w:r w:rsidRPr="003142D9">
              <w:rPr>
                <w:rFonts w:cs="Arial"/>
                <w:i/>
                <w:iCs/>
                <w:sz w:val="20"/>
                <w:szCs w:val="20"/>
              </w:rPr>
              <w:t>Paragraphe 15 et 16</w:t>
            </w:r>
          </w:p>
        </w:tc>
        <w:tc>
          <w:tcPr>
            <w:tcW w:w="5670" w:type="dxa"/>
            <w:shd w:val="clear" w:color="auto" w:fill="auto"/>
            <w:vAlign w:val="center"/>
          </w:tcPr>
          <w:p w14:paraId="128E63FE" w14:textId="77777777" w:rsidR="009021F1" w:rsidRPr="003142D9" w:rsidRDefault="009021F1" w:rsidP="00E637E3">
            <w:pPr>
              <w:spacing w:before="100" w:beforeAutospacing="1" w:after="100" w:afterAutospacing="1"/>
              <w:rPr>
                <w:rFonts w:cs="Arial"/>
                <w:sz w:val="20"/>
                <w:szCs w:val="20"/>
              </w:rPr>
            </w:pPr>
            <w:r w:rsidRPr="003142D9">
              <w:rPr>
                <w:rFonts w:cs="Arial"/>
                <w:sz w:val="20"/>
                <w:szCs w:val="20"/>
              </w:rPr>
              <w:t>Loi n° 08/011 du 14 juillet 2008 portant protection des droits des personnes vivant avec le VIH/SIDA et des personnes affectées et Ordonnance n° 20/014 du 24 mars 2020 portant proclamation de l’état d’urgence sanitaire pour faire face à l'épidémie de COVID-19 aborde la situation de la propagation des maladies transmissible</w:t>
            </w:r>
          </w:p>
        </w:tc>
        <w:tc>
          <w:tcPr>
            <w:tcW w:w="3969" w:type="dxa"/>
            <w:shd w:val="clear" w:color="auto" w:fill="auto"/>
            <w:vAlign w:val="center"/>
          </w:tcPr>
          <w:p w14:paraId="7B9EB07B" w14:textId="77777777" w:rsidR="009021F1" w:rsidRPr="003142D9" w:rsidRDefault="009021F1" w:rsidP="00E637E3">
            <w:pPr>
              <w:spacing w:before="100" w:beforeAutospacing="1" w:after="100" w:afterAutospacing="1"/>
              <w:rPr>
                <w:rFonts w:cs="Arial"/>
                <w:sz w:val="20"/>
                <w:szCs w:val="20"/>
              </w:rPr>
            </w:pPr>
            <w:r w:rsidRPr="003142D9">
              <w:rPr>
                <w:rFonts w:cs="Arial"/>
                <w:sz w:val="20"/>
                <w:szCs w:val="20"/>
              </w:rPr>
              <w:t>Les lois nationales satisfont à cette exigence de la NES n°4. Ainsi, c’est le NES n°4 qui s’appliquera et sera suivi par l’IDA.</w:t>
            </w:r>
          </w:p>
          <w:p w14:paraId="11E55B25" w14:textId="77777777" w:rsidR="009021F1" w:rsidRPr="003142D9" w:rsidRDefault="009021F1" w:rsidP="00E637E3">
            <w:pPr>
              <w:spacing w:before="100" w:beforeAutospacing="1" w:after="100" w:afterAutospacing="1"/>
              <w:rPr>
                <w:rFonts w:cs="Arial"/>
                <w:color w:val="000000"/>
                <w:sz w:val="20"/>
                <w:szCs w:val="20"/>
              </w:rPr>
            </w:pPr>
            <w:r w:rsidRPr="003142D9">
              <w:rPr>
                <w:rFonts w:cs="Arial"/>
                <w:sz w:val="20"/>
                <w:szCs w:val="20"/>
              </w:rPr>
              <w:t>le PNDA suivra les dernières directives de la BM relatives à la COVID-19</w:t>
            </w:r>
          </w:p>
        </w:tc>
      </w:tr>
      <w:tr w:rsidR="009021F1" w:rsidRPr="00E800E3" w14:paraId="388DFD07" w14:textId="77777777" w:rsidTr="00E637E3">
        <w:trPr>
          <w:jc w:val="center"/>
        </w:trPr>
        <w:tc>
          <w:tcPr>
            <w:tcW w:w="5670" w:type="dxa"/>
          </w:tcPr>
          <w:p w14:paraId="6A98D571"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Éviter que les populations soient exposées aux matières et substances dangereuses qui peuvent être émises par le projet ou minimisera leur exposition à ces matières et substances</w:t>
            </w:r>
          </w:p>
          <w:p w14:paraId="04412DCA" w14:textId="77777777" w:rsidR="009021F1" w:rsidRPr="003142D9" w:rsidRDefault="009021F1" w:rsidP="00E637E3">
            <w:pPr>
              <w:autoSpaceDE w:val="0"/>
              <w:autoSpaceDN w:val="0"/>
              <w:adjustRightInd w:val="0"/>
              <w:rPr>
                <w:rFonts w:eastAsia="Calibri" w:cs="Arial"/>
                <w:sz w:val="20"/>
                <w:szCs w:val="20"/>
              </w:rPr>
            </w:pPr>
            <w:r w:rsidRPr="003142D9">
              <w:rPr>
                <w:rFonts w:cs="Arial"/>
                <w:i/>
                <w:iCs/>
                <w:sz w:val="20"/>
                <w:szCs w:val="20"/>
              </w:rPr>
              <w:t>Paragraphe 17 et 178</w:t>
            </w:r>
          </w:p>
        </w:tc>
        <w:tc>
          <w:tcPr>
            <w:tcW w:w="5670" w:type="dxa"/>
            <w:shd w:val="clear" w:color="auto" w:fill="auto"/>
            <w:vAlign w:val="center"/>
          </w:tcPr>
          <w:p w14:paraId="53865AC6" w14:textId="77777777" w:rsidR="009021F1" w:rsidRPr="003142D9" w:rsidRDefault="009021F1" w:rsidP="00E637E3">
            <w:pPr>
              <w:spacing w:before="60" w:after="60"/>
              <w:rPr>
                <w:rFonts w:cs="Arial"/>
                <w:sz w:val="20"/>
                <w:szCs w:val="20"/>
              </w:rPr>
            </w:pPr>
            <w:r w:rsidRPr="003142D9">
              <w:rPr>
                <w:rFonts w:cs="Arial"/>
                <w:sz w:val="20"/>
                <w:szCs w:val="20"/>
              </w:rPr>
              <w:t>Conformément à l’article 123 point 15 de la Constitution du 18 février 2006, la Loi cadre N°11/009 du 09 juillet 2011 est destinée à prévenir les risques et lutter contre toutes les formes de pollutions et nuisances, et l’Article 53 stipule que l’Etat prend des mesures appropriées pour prévenir, atténuer et éliminer les effets nuisibles sur l’environnement et la santé des produits chimiques, des pesticides dangereux et des polluants organiques persistants. La Section 4 est dédiée a la gestion des déchets.</w:t>
            </w:r>
            <w:r w:rsidRPr="003142D9">
              <w:rPr>
                <w:rFonts w:cs="Arial"/>
                <w:b/>
                <w:bCs/>
                <w:sz w:val="20"/>
                <w:szCs w:val="20"/>
              </w:rPr>
              <w:t xml:space="preserve"> </w:t>
            </w:r>
          </w:p>
          <w:p w14:paraId="64554734" w14:textId="77777777" w:rsidR="009021F1" w:rsidRPr="003142D9" w:rsidRDefault="009021F1" w:rsidP="00E637E3">
            <w:pPr>
              <w:autoSpaceDE w:val="0"/>
              <w:autoSpaceDN w:val="0"/>
              <w:adjustRightInd w:val="0"/>
              <w:rPr>
                <w:rFonts w:cs="Arial"/>
                <w:sz w:val="20"/>
                <w:szCs w:val="20"/>
              </w:rPr>
            </w:pPr>
          </w:p>
        </w:tc>
        <w:tc>
          <w:tcPr>
            <w:tcW w:w="3969" w:type="dxa"/>
            <w:shd w:val="clear" w:color="auto" w:fill="auto"/>
            <w:vAlign w:val="center"/>
          </w:tcPr>
          <w:p w14:paraId="36997799" w14:textId="77777777" w:rsidR="009021F1" w:rsidRPr="003142D9" w:rsidRDefault="009021F1" w:rsidP="00E637E3">
            <w:pPr>
              <w:spacing w:before="100" w:beforeAutospacing="1" w:after="100" w:afterAutospacing="1"/>
              <w:rPr>
                <w:rFonts w:cs="Arial"/>
                <w:color w:val="000000"/>
                <w:sz w:val="20"/>
                <w:szCs w:val="20"/>
              </w:rPr>
            </w:pPr>
            <w:r w:rsidRPr="003142D9">
              <w:rPr>
                <w:rFonts w:cs="Arial"/>
                <w:sz w:val="20"/>
                <w:szCs w:val="20"/>
              </w:rPr>
              <w:t>La loi nationale satisfait à cette exigence de la NES n°4. Ainsi, c’est le NES n°4 qui s’appliquera et sera suivi par l’IDA.</w:t>
            </w:r>
          </w:p>
        </w:tc>
      </w:tr>
      <w:tr w:rsidR="009021F1" w:rsidRPr="00E800E3" w14:paraId="3740B1BA" w14:textId="77777777" w:rsidTr="00E637E3">
        <w:trPr>
          <w:jc w:val="center"/>
        </w:trPr>
        <w:tc>
          <w:tcPr>
            <w:tcW w:w="5670" w:type="dxa"/>
          </w:tcPr>
          <w:p w14:paraId="3A30C438"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Formuler et mettre en œuvre des mesures permettant de gérer les situations d’urgence, y compris l’évaluation des risques et dangers (ERD) et la préparation d’un Plan d’intervention d’urgence (PIU) en coordination avec les autorités locales compétentes et la communauté touchée</w:t>
            </w:r>
          </w:p>
          <w:p w14:paraId="7BE4678A" w14:textId="77777777" w:rsidR="009021F1" w:rsidRPr="003142D9" w:rsidRDefault="009021F1" w:rsidP="00E637E3">
            <w:pPr>
              <w:autoSpaceDE w:val="0"/>
              <w:autoSpaceDN w:val="0"/>
              <w:adjustRightInd w:val="0"/>
              <w:rPr>
                <w:rFonts w:eastAsia="Calibri" w:cs="Arial"/>
                <w:sz w:val="20"/>
                <w:szCs w:val="20"/>
              </w:rPr>
            </w:pPr>
            <w:r w:rsidRPr="003142D9">
              <w:rPr>
                <w:rFonts w:cs="Arial"/>
                <w:i/>
                <w:iCs/>
                <w:sz w:val="20"/>
                <w:szCs w:val="20"/>
              </w:rPr>
              <w:t>Paragraphe 19 à 23</w:t>
            </w:r>
          </w:p>
        </w:tc>
        <w:tc>
          <w:tcPr>
            <w:tcW w:w="5670" w:type="dxa"/>
            <w:shd w:val="clear" w:color="auto" w:fill="auto"/>
            <w:vAlign w:val="center"/>
          </w:tcPr>
          <w:p w14:paraId="0465191D" w14:textId="77777777" w:rsidR="009021F1" w:rsidRPr="003142D9" w:rsidRDefault="009021F1" w:rsidP="00E637E3">
            <w:pPr>
              <w:autoSpaceDE w:val="0"/>
              <w:autoSpaceDN w:val="0"/>
              <w:adjustRightInd w:val="0"/>
              <w:rPr>
                <w:rFonts w:cs="Arial"/>
                <w:sz w:val="20"/>
                <w:szCs w:val="20"/>
              </w:rPr>
            </w:pPr>
            <w:r w:rsidRPr="003142D9">
              <w:rPr>
                <w:rFonts w:cs="Arial"/>
                <w:sz w:val="20"/>
                <w:szCs w:val="20"/>
              </w:rPr>
              <w:t>L’article 40 de la Loi N°11/009 du 09 juillet 2011 portant principes fondamentaux relatifs à la protection de l’environnement, dispose que tout exploitant d’une installation classée élabore et met en œuvre des mesures de sécurité industrielle appropriées et établit un plan d’urgence décrivant les mesures nécessaires pour maîtriser les accidents industriels et limiter leurs conséquences pour l’environnement et la santé. Ce plan d’urgence est porté à la connaissance des autorités administratives compétentes et des populations avoisinantes. Est sournoise à l’autorisation, toute installation dont l’existence ou l’exploitation présente des dangers, des inconvénients, ou des incommodités graves pour la santé, la sécurité, la salubrité publique, le voisinage, l'environnement ou la conservation des sites et monuments.</w:t>
            </w:r>
          </w:p>
        </w:tc>
        <w:tc>
          <w:tcPr>
            <w:tcW w:w="3969" w:type="dxa"/>
            <w:shd w:val="clear" w:color="auto" w:fill="auto"/>
            <w:vAlign w:val="center"/>
          </w:tcPr>
          <w:p w14:paraId="35812A4E" w14:textId="77777777" w:rsidR="009021F1" w:rsidRPr="003142D9" w:rsidRDefault="009021F1" w:rsidP="00E637E3">
            <w:pPr>
              <w:spacing w:before="100" w:beforeAutospacing="1" w:after="100" w:afterAutospacing="1"/>
              <w:rPr>
                <w:rFonts w:cs="Arial"/>
                <w:color w:val="000000"/>
                <w:sz w:val="20"/>
                <w:szCs w:val="20"/>
              </w:rPr>
            </w:pPr>
            <w:r w:rsidRPr="003142D9">
              <w:rPr>
                <w:rFonts w:cs="Arial"/>
                <w:sz w:val="20"/>
                <w:szCs w:val="20"/>
              </w:rPr>
              <w:t>La loi nationale satisfait à cette exigence de la NES n°4. Ainsi, c’est le NES n°4 qui s’appliquera et sera suivi par l’IDA</w:t>
            </w:r>
          </w:p>
        </w:tc>
      </w:tr>
      <w:tr w:rsidR="009021F1" w:rsidRPr="00E800E3" w14:paraId="6ECF9230" w14:textId="77777777" w:rsidTr="00E637E3">
        <w:trPr>
          <w:jc w:val="center"/>
        </w:trPr>
        <w:tc>
          <w:tcPr>
            <w:tcW w:w="5670" w:type="dxa"/>
          </w:tcPr>
          <w:p w14:paraId="47EEF9AC"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Évaluer les risques posés par les dispositifs de sécurité, tant à l’intérieur qu’à l’extérieur du site du projet, encouragera les autorités compétentes à publier les dispositifs de sécurité applicables</w:t>
            </w:r>
          </w:p>
          <w:p w14:paraId="35ED11CD" w14:textId="77777777" w:rsidR="009021F1" w:rsidRPr="003142D9" w:rsidRDefault="009021F1" w:rsidP="00E637E3">
            <w:pPr>
              <w:autoSpaceDE w:val="0"/>
              <w:autoSpaceDN w:val="0"/>
              <w:adjustRightInd w:val="0"/>
              <w:rPr>
                <w:rFonts w:eastAsia="Calibri" w:cs="Arial"/>
                <w:sz w:val="20"/>
                <w:szCs w:val="20"/>
              </w:rPr>
            </w:pPr>
            <w:r w:rsidRPr="003142D9">
              <w:rPr>
                <w:rFonts w:cs="Arial"/>
                <w:i/>
                <w:iCs/>
                <w:sz w:val="20"/>
                <w:szCs w:val="20"/>
              </w:rPr>
              <w:t>Paragraphe 24-27</w:t>
            </w:r>
          </w:p>
        </w:tc>
        <w:tc>
          <w:tcPr>
            <w:tcW w:w="5670" w:type="dxa"/>
            <w:shd w:val="clear" w:color="auto" w:fill="auto"/>
            <w:vAlign w:val="center"/>
          </w:tcPr>
          <w:p w14:paraId="62D0C8E7" w14:textId="77777777" w:rsidR="009021F1" w:rsidRPr="003142D9" w:rsidRDefault="009021F1" w:rsidP="00E637E3">
            <w:pPr>
              <w:autoSpaceDE w:val="0"/>
              <w:autoSpaceDN w:val="0"/>
              <w:adjustRightInd w:val="0"/>
              <w:rPr>
                <w:rFonts w:cs="Arial"/>
                <w:sz w:val="20"/>
                <w:szCs w:val="20"/>
              </w:rPr>
            </w:pPr>
            <w:r w:rsidRPr="003142D9">
              <w:rPr>
                <w:rFonts w:cs="Arial"/>
                <w:sz w:val="20"/>
                <w:szCs w:val="20"/>
              </w:rPr>
              <w:t>Les dispositions de la Loi n° 11/009 du 09 juillet 2011 portant Principes fondamentaux relatifs à la protection de l’environnement et la loi 78-022 du 30 août 1978 portant nouveau Code de la route qui régit la circulation routière en RDC abordent partiellement la sécurité routière.</w:t>
            </w:r>
          </w:p>
          <w:p w14:paraId="7EB8212D" w14:textId="77777777" w:rsidR="009021F1" w:rsidRPr="003142D9" w:rsidRDefault="009021F1" w:rsidP="00E637E3">
            <w:pPr>
              <w:autoSpaceDE w:val="0"/>
              <w:autoSpaceDN w:val="0"/>
              <w:adjustRightInd w:val="0"/>
              <w:rPr>
                <w:rFonts w:cs="Arial"/>
                <w:sz w:val="20"/>
                <w:szCs w:val="20"/>
              </w:rPr>
            </w:pPr>
          </w:p>
        </w:tc>
        <w:tc>
          <w:tcPr>
            <w:tcW w:w="3969" w:type="dxa"/>
            <w:shd w:val="clear" w:color="auto" w:fill="auto"/>
            <w:vAlign w:val="center"/>
          </w:tcPr>
          <w:p w14:paraId="78DDC4B0" w14:textId="77777777" w:rsidR="009021F1" w:rsidRPr="003142D9" w:rsidRDefault="009021F1" w:rsidP="00E637E3">
            <w:pPr>
              <w:spacing w:before="60" w:after="60"/>
              <w:rPr>
                <w:rFonts w:cs="Arial"/>
                <w:color w:val="000000"/>
                <w:sz w:val="20"/>
                <w:szCs w:val="20"/>
              </w:rPr>
            </w:pPr>
            <w:r w:rsidRPr="003142D9">
              <w:rPr>
                <w:rFonts w:cs="Arial"/>
                <w:sz w:val="20"/>
                <w:szCs w:val="20"/>
              </w:rPr>
              <w:t>Le cadre national n’aborde pas explicitement les risques de sécurité routière, les aspects services Eco systémiques, accès universel et d’utilisation du personnel de sécurité, et le projet devra s’assurer que ces exigences si requises sont bien prises en compte dans les instruments E&amp;S à préparer. Il existe des similitudes sur le plan de l’évaluation des dangers, gestion de la prise en compte des mesures d’urgence et des atteintes à la santé, sécurité, la protection des populations avoisinantes. Ainsi, la NES n°4 sera appliquée et suivie par la Banque mondiale.</w:t>
            </w:r>
          </w:p>
        </w:tc>
      </w:tr>
      <w:tr w:rsidR="009021F1" w:rsidRPr="00E800E3" w14:paraId="6854E656" w14:textId="77777777" w:rsidTr="00E637E3">
        <w:trPr>
          <w:jc w:val="center"/>
        </w:trPr>
        <w:tc>
          <w:tcPr>
            <w:tcW w:w="5670" w:type="dxa"/>
          </w:tcPr>
          <w:p w14:paraId="2C283E30"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Recrutera des professionnels expérimentés et compétents pour superviser la conception et la construction de nouveaux barrages, et adopter et mettre en œuvre les mesures de sécurité des barrages.</w:t>
            </w:r>
          </w:p>
          <w:p w14:paraId="1EE68FEE" w14:textId="77777777" w:rsidR="009021F1" w:rsidRPr="003142D9" w:rsidRDefault="009021F1" w:rsidP="00E637E3">
            <w:pPr>
              <w:autoSpaceDE w:val="0"/>
              <w:autoSpaceDN w:val="0"/>
              <w:adjustRightInd w:val="0"/>
              <w:rPr>
                <w:rFonts w:eastAsia="Calibri" w:cs="Arial"/>
                <w:sz w:val="20"/>
                <w:szCs w:val="20"/>
              </w:rPr>
            </w:pPr>
            <w:r w:rsidRPr="003142D9">
              <w:rPr>
                <w:rFonts w:cs="Arial"/>
                <w:i/>
                <w:iCs/>
                <w:sz w:val="20"/>
                <w:szCs w:val="20"/>
              </w:rPr>
              <w:t>Annexe 1</w:t>
            </w:r>
          </w:p>
        </w:tc>
        <w:tc>
          <w:tcPr>
            <w:tcW w:w="5670" w:type="dxa"/>
            <w:shd w:val="clear" w:color="auto" w:fill="auto"/>
            <w:vAlign w:val="center"/>
          </w:tcPr>
          <w:p w14:paraId="0E2C64CC" w14:textId="77777777" w:rsidR="009021F1" w:rsidRPr="003142D9" w:rsidRDefault="009021F1" w:rsidP="00E637E3">
            <w:pPr>
              <w:spacing w:before="60" w:after="60"/>
              <w:rPr>
                <w:rFonts w:cs="Arial"/>
                <w:sz w:val="20"/>
                <w:szCs w:val="20"/>
              </w:rPr>
            </w:pPr>
            <w:r w:rsidRPr="003142D9">
              <w:rPr>
                <w:rFonts w:cs="Arial"/>
                <w:sz w:val="20"/>
                <w:szCs w:val="20"/>
              </w:rPr>
              <w:t>L’article 34 de la loi sur l’électricité requiert la mobilisation des experts indépendants pour la certification des installations électriques de production, de transport et de distribution suivant les puissances ou tensions exploitées sont agréés par le ministre afin d'exercer, à charge de l'opérateur, le contrôle ou l'inspection technique de conformité requis dans le cadre de la présente loi et de ses mesures d'exécution.</w:t>
            </w:r>
          </w:p>
        </w:tc>
        <w:tc>
          <w:tcPr>
            <w:tcW w:w="3969" w:type="dxa"/>
            <w:shd w:val="clear" w:color="auto" w:fill="auto"/>
            <w:vAlign w:val="center"/>
          </w:tcPr>
          <w:p w14:paraId="58239696" w14:textId="77777777" w:rsidR="009021F1" w:rsidRPr="003142D9" w:rsidRDefault="009021F1" w:rsidP="00E637E3">
            <w:pPr>
              <w:spacing w:before="100" w:beforeAutospacing="1" w:after="100" w:afterAutospacing="1"/>
              <w:rPr>
                <w:rFonts w:cs="Arial"/>
                <w:color w:val="000000"/>
                <w:sz w:val="20"/>
                <w:szCs w:val="20"/>
              </w:rPr>
            </w:pPr>
            <w:r w:rsidRPr="003142D9">
              <w:rPr>
                <w:rFonts w:cs="Arial"/>
                <w:sz w:val="20"/>
                <w:szCs w:val="20"/>
              </w:rPr>
              <w:t>La loi nationale satisfait à cette exigence de la NES n°4. Ainsi, c’est le NES n°4 qui s’appliquera et sera suivi par l’IDA.</w:t>
            </w:r>
          </w:p>
        </w:tc>
      </w:tr>
      <w:tr w:rsidR="009021F1" w:rsidRPr="00E800E3" w14:paraId="7991E36A" w14:textId="77777777" w:rsidTr="00E637E3">
        <w:trPr>
          <w:jc w:val="center"/>
        </w:trPr>
        <w:tc>
          <w:tcPr>
            <w:tcW w:w="15309" w:type="dxa"/>
            <w:gridSpan w:val="3"/>
            <w:shd w:val="clear" w:color="auto" w:fill="C5E0B3"/>
            <w:vAlign w:val="center"/>
          </w:tcPr>
          <w:p w14:paraId="1C155606" w14:textId="77777777" w:rsidR="009021F1" w:rsidRPr="003142D9" w:rsidRDefault="009021F1" w:rsidP="00E637E3">
            <w:pPr>
              <w:spacing w:before="60" w:after="60"/>
              <w:rPr>
                <w:rFonts w:eastAsia="Calibri" w:cs="Arial"/>
                <w:b/>
                <w:bCs/>
                <w:sz w:val="20"/>
                <w:szCs w:val="20"/>
              </w:rPr>
            </w:pPr>
            <w:r w:rsidRPr="003142D9">
              <w:rPr>
                <w:rFonts w:eastAsia="Calibri" w:cs="Arial"/>
                <w:b/>
                <w:bCs/>
                <w:sz w:val="20"/>
                <w:szCs w:val="20"/>
              </w:rPr>
              <w:t>NES 5.  Acquisition de terres, restrictions à l’utilisation de terres et réinstallation involontaire ;</w:t>
            </w:r>
          </w:p>
        </w:tc>
      </w:tr>
      <w:tr w:rsidR="009021F1" w:rsidRPr="00E800E3" w14:paraId="7A389778" w14:textId="77777777" w:rsidTr="00E637E3">
        <w:trPr>
          <w:jc w:val="center"/>
        </w:trPr>
        <w:tc>
          <w:tcPr>
            <w:tcW w:w="5670" w:type="dxa"/>
          </w:tcPr>
          <w:p w14:paraId="6CCE6566"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Éviter la réinstallation involontaire ou, lorsqu’elle est inévitable, la minimiser en envisageant des solutions de rechange lors de la conception du projet, et éviter l’expulsion forcée</w:t>
            </w:r>
          </w:p>
          <w:p w14:paraId="4514D8B0" w14:textId="77777777" w:rsidR="009021F1" w:rsidRPr="003142D9" w:rsidRDefault="009021F1" w:rsidP="00E637E3">
            <w:pPr>
              <w:rPr>
                <w:rFonts w:eastAsia="Calibri" w:cs="Arial"/>
                <w:i/>
                <w:sz w:val="20"/>
                <w:szCs w:val="20"/>
                <w:u w:val="single"/>
              </w:rPr>
            </w:pPr>
            <w:r w:rsidRPr="003142D9">
              <w:rPr>
                <w:rFonts w:cs="Arial"/>
                <w:i/>
                <w:iCs/>
                <w:sz w:val="20"/>
                <w:szCs w:val="20"/>
              </w:rPr>
              <w:t>Paragraphe 2</w:t>
            </w:r>
          </w:p>
        </w:tc>
        <w:tc>
          <w:tcPr>
            <w:tcW w:w="5670" w:type="dxa"/>
            <w:vMerge w:val="restart"/>
            <w:shd w:val="clear" w:color="auto" w:fill="auto"/>
            <w:vAlign w:val="center"/>
          </w:tcPr>
          <w:p w14:paraId="4BC9C1A9" w14:textId="77777777" w:rsidR="009021F1" w:rsidRPr="003142D9" w:rsidRDefault="009021F1" w:rsidP="00E637E3">
            <w:pPr>
              <w:spacing w:before="60" w:after="60"/>
              <w:rPr>
                <w:rFonts w:cs="Arial"/>
                <w:sz w:val="20"/>
                <w:szCs w:val="20"/>
              </w:rPr>
            </w:pPr>
            <w:r w:rsidRPr="003142D9">
              <w:rPr>
                <w:rFonts w:cs="Arial"/>
                <w:sz w:val="20"/>
                <w:szCs w:val="20"/>
              </w:rPr>
              <w:t>Loi n° 77-001 du 22 février 1977 sur l’expropriation pour cause d’utilité publique n’est pas explicite sur les aspects expulsion forcée, l’évitement de la réinstallation forcée, etc. Par ailleurs, les personnes éligibles à une compensation sont les propriétaires d’un immeuble ; les titulaires de droits réels immobiliers et fonciers ; les titulaires des droits de créance ayant pour objet l’acquisition ou la jouissance d’un immeuble ; les titulaires de droits des communautés locales sur les terres domaniales (article premier Loi n° 77-001 du 22 février 1977).</w:t>
            </w:r>
          </w:p>
          <w:p w14:paraId="1617558D" w14:textId="77777777" w:rsidR="009021F1" w:rsidRPr="003142D9" w:rsidRDefault="009021F1" w:rsidP="00E637E3">
            <w:pPr>
              <w:rPr>
                <w:rFonts w:cs="Arial"/>
                <w:sz w:val="20"/>
                <w:szCs w:val="20"/>
              </w:rPr>
            </w:pPr>
          </w:p>
        </w:tc>
        <w:tc>
          <w:tcPr>
            <w:tcW w:w="3969" w:type="dxa"/>
            <w:shd w:val="clear" w:color="auto" w:fill="auto"/>
            <w:vAlign w:val="center"/>
          </w:tcPr>
          <w:p w14:paraId="1839BDF1" w14:textId="77777777" w:rsidR="009021F1" w:rsidRPr="003142D9" w:rsidRDefault="009021F1" w:rsidP="00E637E3">
            <w:pPr>
              <w:rPr>
                <w:rFonts w:eastAsia="Calibri" w:cs="Arial"/>
                <w:sz w:val="20"/>
                <w:szCs w:val="20"/>
              </w:rPr>
            </w:pPr>
          </w:p>
        </w:tc>
      </w:tr>
      <w:tr w:rsidR="009021F1" w:rsidRPr="00E800E3" w14:paraId="5D52D7A9" w14:textId="77777777" w:rsidTr="00E637E3">
        <w:trPr>
          <w:jc w:val="center"/>
        </w:trPr>
        <w:tc>
          <w:tcPr>
            <w:tcW w:w="5670" w:type="dxa"/>
          </w:tcPr>
          <w:p w14:paraId="6817DD63"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Atténuer les effets sociaux et économiques néfastes de l’acquisition de terres ou des restrictions à leur utilisation, en assurant une indemnisation rapide au coût de remplacement des personnes spoliées de leurs biens, et aider les personnes déplacées à rétablir ou améliorer leurs moyens de subsistance et leur niveau de vie d’avant le projet</w:t>
            </w:r>
          </w:p>
          <w:p w14:paraId="76951679" w14:textId="77777777" w:rsidR="009021F1" w:rsidRPr="003142D9" w:rsidRDefault="009021F1" w:rsidP="00E637E3">
            <w:pPr>
              <w:rPr>
                <w:rFonts w:eastAsia="Calibri" w:cs="Arial"/>
                <w:i/>
                <w:sz w:val="20"/>
                <w:szCs w:val="20"/>
                <w:u w:val="single"/>
              </w:rPr>
            </w:pPr>
            <w:r w:rsidRPr="003142D9">
              <w:rPr>
                <w:rFonts w:cs="Arial"/>
                <w:i/>
                <w:iCs/>
                <w:sz w:val="20"/>
                <w:szCs w:val="20"/>
              </w:rPr>
              <w:t>Paragraphes 2</w:t>
            </w:r>
          </w:p>
        </w:tc>
        <w:tc>
          <w:tcPr>
            <w:tcW w:w="5670" w:type="dxa"/>
            <w:vMerge/>
            <w:shd w:val="clear" w:color="auto" w:fill="auto"/>
            <w:vAlign w:val="center"/>
          </w:tcPr>
          <w:p w14:paraId="508C154B" w14:textId="77777777" w:rsidR="009021F1" w:rsidRPr="003142D9" w:rsidRDefault="009021F1" w:rsidP="00E637E3">
            <w:pPr>
              <w:rPr>
                <w:rFonts w:cs="Arial"/>
                <w:sz w:val="20"/>
                <w:szCs w:val="20"/>
              </w:rPr>
            </w:pPr>
          </w:p>
        </w:tc>
        <w:tc>
          <w:tcPr>
            <w:tcW w:w="3969" w:type="dxa"/>
            <w:shd w:val="clear" w:color="auto" w:fill="auto"/>
            <w:vAlign w:val="center"/>
          </w:tcPr>
          <w:p w14:paraId="2919C978" w14:textId="77777777" w:rsidR="009021F1" w:rsidRPr="003142D9" w:rsidRDefault="009021F1" w:rsidP="00E637E3">
            <w:pPr>
              <w:rPr>
                <w:rFonts w:eastAsia="Calibri" w:cs="Arial"/>
                <w:sz w:val="20"/>
                <w:szCs w:val="20"/>
              </w:rPr>
            </w:pPr>
            <w:r w:rsidRPr="003142D9">
              <w:rPr>
                <w:rFonts w:cs="Arial"/>
                <w:sz w:val="20"/>
                <w:szCs w:val="20"/>
              </w:rPr>
              <w:t>La loi nationale satisfait à cette exigence de la NES n°5 Ainsi, c’est le NES n°5 qui s’appliquera et sera suivi par l’IDA.</w:t>
            </w:r>
          </w:p>
        </w:tc>
      </w:tr>
      <w:tr w:rsidR="009021F1" w:rsidRPr="00E800E3" w14:paraId="4B26E619" w14:textId="77777777" w:rsidTr="00E637E3">
        <w:trPr>
          <w:cantSplit/>
          <w:jc w:val="center"/>
        </w:trPr>
        <w:tc>
          <w:tcPr>
            <w:tcW w:w="5670" w:type="dxa"/>
          </w:tcPr>
          <w:p w14:paraId="4E284AC8"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Ne pas appliquer le NES5 aux effets qui ne sont pas directement imputables à l’acquisition de terres ou aux restrictions à leur utilisation imposée par le projet, mais plutôt gérer ces effets conformément à la NES1</w:t>
            </w:r>
          </w:p>
          <w:p w14:paraId="7AC9B312" w14:textId="77777777" w:rsidR="009021F1" w:rsidRPr="003142D9" w:rsidRDefault="009021F1" w:rsidP="00E637E3">
            <w:pPr>
              <w:rPr>
                <w:rFonts w:eastAsia="Calibri" w:cs="Arial"/>
                <w:i/>
                <w:sz w:val="20"/>
                <w:szCs w:val="20"/>
                <w:u w:val="single"/>
              </w:rPr>
            </w:pPr>
            <w:r w:rsidRPr="003142D9">
              <w:rPr>
                <w:rFonts w:cs="Arial"/>
                <w:i/>
                <w:iCs/>
                <w:sz w:val="20"/>
                <w:szCs w:val="20"/>
              </w:rPr>
              <w:t>Paragraphes 5 à 9</w:t>
            </w:r>
          </w:p>
        </w:tc>
        <w:tc>
          <w:tcPr>
            <w:tcW w:w="5670" w:type="dxa"/>
            <w:shd w:val="clear" w:color="auto" w:fill="auto"/>
            <w:vAlign w:val="center"/>
          </w:tcPr>
          <w:p w14:paraId="26E7A045" w14:textId="77777777" w:rsidR="009021F1" w:rsidRPr="003142D9" w:rsidRDefault="009021F1" w:rsidP="00E637E3">
            <w:pPr>
              <w:rPr>
                <w:rFonts w:cs="Arial"/>
                <w:sz w:val="20"/>
                <w:szCs w:val="20"/>
              </w:rPr>
            </w:pPr>
            <w:r w:rsidRPr="003142D9">
              <w:rPr>
                <w:rFonts w:cs="Arial"/>
                <w:sz w:val="20"/>
                <w:szCs w:val="20"/>
              </w:rPr>
              <w:t>Non mentionné dans la législation nationale congolaise</w:t>
            </w:r>
          </w:p>
        </w:tc>
        <w:tc>
          <w:tcPr>
            <w:tcW w:w="3969" w:type="dxa"/>
            <w:shd w:val="clear" w:color="auto" w:fill="auto"/>
            <w:vAlign w:val="center"/>
          </w:tcPr>
          <w:p w14:paraId="1EFC2BBE" w14:textId="77777777" w:rsidR="009021F1" w:rsidRPr="003142D9" w:rsidRDefault="009021F1" w:rsidP="00E637E3">
            <w:pPr>
              <w:rPr>
                <w:rFonts w:eastAsia="Calibri" w:cs="Arial"/>
                <w:sz w:val="20"/>
                <w:szCs w:val="20"/>
              </w:rPr>
            </w:pPr>
            <w:r w:rsidRPr="003142D9">
              <w:rPr>
                <w:rFonts w:cs="Arial"/>
                <w:sz w:val="20"/>
                <w:szCs w:val="20"/>
              </w:rPr>
              <w:t>La loi nationale ne satisfait pas à cette exigence de la NES n°5. Ainsi, c’est le NES n°5 qui s’appliquera et sera suivi par l’IDA.</w:t>
            </w:r>
          </w:p>
        </w:tc>
      </w:tr>
      <w:tr w:rsidR="009021F1" w:rsidRPr="00E800E3" w14:paraId="2487224B" w14:textId="77777777" w:rsidTr="00E637E3">
        <w:trPr>
          <w:cantSplit/>
          <w:jc w:val="center"/>
        </w:trPr>
        <w:tc>
          <w:tcPr>
            <w:tcW w:w="5670" w:type="dxa"/>
          </w:tcPr>
          <w:p w14:paraId="2E563143"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Démontrera que l’acquisition forcée de terres ou les restrictions à leur utilisation se limitent aux besoins directs du projet, et étudier des variantes de conception du projet afin d’éviter ou de minimiser l’acquisition de terres ou les restrictions à leur utilisation</w:t>
            </w:r>
          </w:p>
          <w:p w14:paraId="3BACAB8F" w14:textId="77777777" w:rsidR="009021F1" w:rsidRPr="003142D9" w:rsidRDefault="009021F1" w:rsidP="00E637E3">
            <w:pPr>
              <w:rPr>
                <w:rFonts w:eastAsia="Calibri" w:cs="Arial"/>
                <w:i/>
                <w:sz w:val="20"/>
                <w:szCs w:val="20"/>
                <w:u w:val="single"/>
              </w:rPr>
            </w:pPr>
            <w:r w:rsidRPr="003142D9">
              <w:rPr>
                <w:rFonts w:cs="Arial"/>
                <w:i/>
                <w:iCs/>
                <w:sz w:val="20"/>
                <w:szCs w:val="20"/>
              </w:rPr>
              <w:t>Paragraphes 11</w:t>
            </w:r>
          </w:p>
        </w:tc>
        <w:tc>
          <w:tcPr>
            <w:tcW w:w="5670" w:type="dxa"/>
            <w:shd w:val="clear" w:color="auto" w:fill="auto"/>
            <w:vAlign w:val="center"/>
          </w:tcPr>
          <w:p w14:paraId="6A3E6D14" w14:textId="77777777" w:rsidR="009021F1" w:rsidRPr="003142D9" w:rsidRDefault="009021F1" w:rsidP="00E637E3">
            <w:pPr>
              <w:rPr>
                <w:rFonts w:cs="Arial"/>
                <w:sz w:val="20"/>
                <w:szCs w:val="20"/>
              </w:rPr>
            </w:pPr>
            <w:r w:rsidRPr="003142D9">
              <w:rPr>
                <w:rFonts w:cs="Arial"/>
                <w:sz w:val="20"/>
                <w:szCs w:val="20"/>
              </w:rPr>
              <w:t>Non mentionné dans la législation nationale congolaise</w:t>
            </w:r>
          </w:p>
        </w:tc>
        <w:tc>
          <w:tcPr>
            <w:tcW w:w="3969" w:type="dxa"/>
            <w:shd w:val="clear" w:color="auto" w:fill="auto"/>
            <w:vAlign w:val="center"/>
          </w:tcPr>
          <w:p w14:paraId="77EB9A30" w14:textId="77777777" w:rsidR="009021F1" w:rsidRPr="003142D9" w:rsidRDefault="009021F1" w:rsidP="00E637E3">
            <w:pPr>
              <w:rPr>
                <w:rFonts w:eastAsia="Calibri" w:cs="Arial"/>
                <w:sz w:val="20"/>
                <w:szCs w:val="20"/>
              </w:rPr>
            </w:pPr>
            <w:r w:rsidRPr="003142D9">
              <w:rPr>
                <w:rFonts w:cs="Arial"/>
                <w:sz w:val="20"/>
                <w:szCs w:val="20"/>
              </w:rPr>
              <w:t>La loi nationale ne satisfait pas à cette exigence de la NES n°5. Ainsi, c’est le NES n°5 qui s’appliquera et sera suivi par l’IDA</w:t>
            </w:r>
          </w:p>
        </w:tc>
      </w:tr>
      <w:tr w:rsidR="009021F1" w:rsidRPr="00E800E3" w14:paraId="398C86E3" w14:textId="77777777" w:rsidTr="00E637E3">
        <w:trPr>
          <w:cantSplit/>
          <w:jc w:val="center"/>
        </w:trPr>
        <w:tc>
          <w:tcPr>
            <w:tcW w:w="5670" w:type="dxa"/>
          </w:tcPr>
          <w:p w14:paraId="6F3B5EA6"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Ne prendre possession des terres et des actifs connexes que lorsque les indemnisations auront été versées conformément aux dispositions de la présente NES et, le cas échéant, lorsque les personnes déplacées auront été réinstallées et les indemnités de déplacement leur auront été versées en sus des indemnisations</w:t>
            </w:r>
          </w:p>
          <w:p w14:paraId="53AB0A7A" w14:textId="77777777" w:rsidR="009021F1" w:rsidRPr="003142D9" w:rsidRDefault="009021F1" w:rsidP="00E637E3">
            <w:pPr>
              <w:rPr>
                <w:rFonts w:eastAsia="Calibri" w:cs="Arial"/>
                <w:i/>
                <w:sz w:val="20"/>
                <w:szCs w:val="20"/>
                <w:u w:val="single"/>
              </w:rPr>
            </w:pPr>
            <w:r w:rsidRPr="003142D9">
              <w:rPr>
                <w:rFonts w:cs="Arial"/>
                <w:i/>
                <w:iCs/>
                <w:sz w:val="20"/>
                <w:szCs w:val="20"/>
              </w:rPr>
              <w:t>Paragraphes 15 et 16</w:t>
            </w:r>
          </w:p>
        </w:tc>
        <w:tc>
          <w:tcPr>
            <w:tcW w:w="5670" w:type="dxa"/>
            <w:shd w:val="clear" w:color="auto" w:fill="auto"/>
            <w:vAlign w:val="center"/>
          </w:tcPr>
          <w:p w14:paraId="63BDD40B" w14:textId="77777777" w:rsidR="009021F1" w:rsidRPr="003142D9" w:rsidRDefault="009021F1" w:rsidP="00E637E3">
            <w:pPr>
              <w:rPr>
                <w:rFonts w:cs="Arial"/>
                <w:sz w:val="20"/>
                <w:szCs w:val="20"/>
              </w:rPr>
            </w:pPr>
            <w:r w:rsidRPr="003142D9">
              <w:rPr>
                <w:rFonts w:cs="Arial"/>
                <w:sz w:val="20"/>
                <w:szCs w:val="20"/>
              </w:rPr>
              <w:t>Non mentionné dans la législation nationale congolaise</w:t>
            </w:r>
          </w:p>
        </w:tc>
        <w:tc>
          <w:tcPr>
            <w:tcW w:w="3969" w:type="dxa"/>
            <w:shd w:val="clear" w:color="auto" w:fill="auto"/>
            <w:vAlign w:val="center"/>
          </w:tcPr>
          <w:p w14:paraId="047C8F27" w14:textId="77777777" w:rsidR="009021F1" w:rsidRPr="003142D9" w:rsidRDefault="009021F1" w:rsidP="00E637E3">
            <w:pPr>
              <w:rPr>
                <w:rFonts w:eastAsia="Calibri" w:cs="Arial"/>
                <w:sz w:val="20"/>
                <w:szCs w:val="20"/>
              </w:rPr>
            </w:pPr>
            <w:r w:rsidRPr="003142D9">
              <w:rPr>
                <w:rFonts w:cs="Arial"/>
                <w:sz w:val="20"/>
                <w:szCs w:val="20"/>
              </w:rPr>
              <w:t>La loi nationale ne satisfait pas à cette exigence de la NES n°5. Ainsi, c’est le NES n°5 qui s’appliquera et sera suivi par l’IDA.</w:t>
            </w:r>
          </w:p>
        </w:tc>
      </w:tr>
      <w:tr w:rsidR="009021F1" w:rsidRPr="00E800E3" w14:paraId="1C15075A" w14:textId="77777777" w:rsidTr="00E637E3">
        <w:trPr>
          <w:cantSplit/>
          <w:jc w:val="center"/>
        </w:trPr>
        <w:tc>
          <w:tcPr>
            <w:tcW w:w="5670" w:type="dxa"/>
          </w:tcPr>
          <w:p w14:paraId="5F1F8363"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Veiller à ce qu’un mécanisme de gestion des plaintes soit en place le plus tôt possible pendant la phase de préparation du projet, conformément aux dispositions de la NES10, afin de gérer les préoccupations soulevées par les personnes déplacées</w:t>
            </w:r>
          </w:p>
          <w:p w14:paraId="57004D65" w14:textId="77777777" w:rsidR="009021F1" w:rsidRPr="003142D9" w:rsidRDefault="009021F1" w:rsidP="00E637E3">
            <w:pPr>
              <w:rPr>
                <w:rFonts w:eastAsia="Calibri" w:cs="Arial"/>
                <w:i/>
                <w:sz w:val="20"/>
                <w:szCs w:val="20"/>
                <w:u w:val="single"/>
              </w:rPr>
            </w:pPr>
            <w:r w:rsidRPr="003142D9">
              <w:rPr>
                <w:rFonts w:cs="Arial"/>
                <w:i/>
                <w:iCs/>
                <w:sz w:val="20"/>
                <w:szCs w:val="20"/>
              </w:rPr>
              <w:t>Paragraphe 19</w:t>
            </w:r>
          </w:p>
        </w:tc>
        <w:tc>
          <w:tcPr>
            <w:tcW w:w="5670" w:type="dxa"/>
            <w:shd w:val="clear" w:color="auto" w:fill="auto"/>
            <w:vAlign w:val="center"/>
          </w:tcPr>
          <w:p w14:paraId="41A61321"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L’article 11 de la Loi n° 77-001 du 22 février 1977 dispose que les réclamations, observations et accords auxquels la décision d’expropriation donne lieu, ainsi que les prix, indemnités ou compensations dûment justifiés, que les personnes intéressées réclament, doivent être portés à la connaissance de l’autorité qui a pris la décision d’expropriation, dans le délai d’un mois à dater de l’avis de réception ou du récépissé prévus aux articles 7 et 8 qui précèdent. Négociation à travers les structures étatiques pour s’entendre sur le montant de l’indemnisation. Dans le cas contraire, la phase judiciaire est mise en œuvre.</w:t>
            </w:r>
          </w:p>
        </w:tc>
        <w:tc>
          <w:tcPr>
            <w:tcW w:w="3969" w:type="dxa"/>
            <w:shd w:val="clear" w:color="auto" w:fill="auto"/>
            <w:vAlign w:val="center"/>
          </w:tcPr>
          <w:p w14:paraId="1B38A0FF" w14:textId="77777777" w:rsidR="009021F1" w:rsidRPr="003142D9" w:rsidRDefault="009021F1" w:rsidP="00E637E3">
            <w:pPr>
              <w:autoSpaceDE w:val="0"/>
              <w:autoSpaceDN w:val="0"/>
              <w:rPr>
                <w:rFonts w:cs="Arial"/>
                <w:sz w:val="20"/>
                <w:szCs w:val="20"/>
              </w:rPr>
            </w:pPr>
            <w:r w:rsidRPr="003142D9">
              <w:rPr>
                <w:rFonts w:cs="Arial"/>
                <w:sz w:val="20"/>
                <w:szCs w:val="20"/>
              </w:rPr>
              <w:t>Deux modalités différentes sur le plan des principes mais dans la réalité les mécanismes de résolution de conflit rejoignent ceux exigés par la Banque mondiale. Ainsi, les exigences de la Norme 5 de la Banque mondiale s’appliqueront</w:t>
            </w:r>
          </w:p>
          <w:p w14:paraId="66851F77" w14:textId="77777777" w:rsidR="009021F1" w:rsidRPr="003142D9" w:rsidRDefault="009021F1" w:rsidP="00E637E3">
            <w:pPr>
              <w:rPr>
                <w:rFonts w:eastAsia="Calibri" w:cs="Arial"/>
                <w:sz w:val="20"/>
                <w:szCs w:val="20"/>
              </w:rPr>
            </w:pPr>
          </w:p>
        </w:tc>
      </w:tr>
      <w:tr w:rsidR="009021F1" w:rsidRPr="00E800E3" w14:paraId="55604469" w14:textId="77777777" w:rsidTr="00E637E3">
        <w:trPr>
          <w:cantSplit/>
          <w:jc w:val="center"/>
        </w:trPr>
        <w:tc>
          <w:tcPr>
            <w:tcW w:w="5670" w:type="dxa"/>
          </w:tcPr>
          <w:p w14:paraId="6DC7C97B"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Dans le cadre de l’évaluation environnementale et sociale, recenser les personnes touchées par le projet, faire l’inventaire des terres et des biens concernés, identifier les personnes éligibles à être indemnisées ou aidées, et dissuader celles qui ne rempliront pas les conditions requises à cette fin, et préparer un plan de réinstallation proportionné aux risques et effets associés</w:t>
            </w:r>
          </w:p>
          <w:p w14:paraId="24895FF5" w14:textId="77777777" w:rsidR="009021F1" w:rsidRPr="003142D9" w:rsidRDefault="009021F1" w:rsidP="00E637E3">
            <w:pPr>
              <w:rPr>
                <w:rFonts w:eastAsia="Calibri" w:cs="Arial"/>
                <w:i/>
                <w:sz w:val="20"/>
                <w:szCs w:val="20"/>
                <w:u w:val="single"/>
              </w:rPr>
            </w:pPr>
            <w:r w:rsidRPr="003142D9">
              <w:rPr>
                <w:rFonts w:cs="Arial"/>
                <w:i/>
                <w:iCs/>
                <w:sz w:val="20"/>
                <w:szCs w:val="20"/>
              </w:rPr>
              <w:t>Paragraphes 20 à 25</w:t>
            </w:r>
          </w:p>
        </w:tc>
        <w:tc>
          <w:tcPr>
            <w:tcW w:w="5670" w:type="dxa"/>
            <w:shd w:val="clear" w:color="auto" w:fill="auto"/>
            <w:vAlign w:val="center"/>
          </w:tcPr>
          <w:p w14:paraId="4532FF9D" w14:textId="77777777" w:rsidR="009021F1" w:rsidRPr="003142D9" w:rsidRDefault="009021F1" w:rsidP="00E637E3">
            <w:pPr>
              <w:spacing w:before="60" w:after="60"/>
              <w:rPr>
                <w:rFonts w:cs="Arial"/>
                <w:sz w:val="20"/>
                <w:szCs w:val="20"/>
              </w:rPr>
            </w:pPr>
            <w:r w:rsidRPr="003142D9">
              <w:rPr>
                <w:rFonts w:cs="Arial"/>
                <w:sz w:val="20"/>
                <w:szCs w:val="20"/>
              </w:rPr>
              <w:t>Les personnes éligibles à une compensation sont les propriétaires d’un immeuble ; les titulaires de droits réels immobiliers et fonciers ; les titulaires des droits de créance ayant pour objet l’acquisition ou la jouissance d’un immeuble ; les titulaires de droits des communautés locales sur les terres domaniales (article premier Loi n° 77-001 du 22 février 1977).</w:t>
            </w:r>
          </w:p>
          <w:p w14:paraId="5084FA0F" w14:textId="77777777" w:rsidR="009021F1" w:rsidRPr="003142D9" w:rsidRDefault="009021F1" w:rsidP="00E637E3">
            <w:pPr>
              <w:rPr>
                <w:rFonts w:cs="Arial"/>
                <w:sz w:val="20"/>
                <w:szCs w:val="20"/>
              </w:rPr>
            </w:pPr>
          </w:p>
          <w:p w14:paraId="1879EAFE" w14:textId="77777777" w:rsidR="009021F1" w:rsidRPr="003142D9" w:rsidRDefault="009021F1" w:rsidP="00E637E3">
            <w:pPr>
              <w:rPr>
                <w:sz w:val="20"/>
                <w:szCs w:val="20"/>
              </w:rPr>
            </w:pPr>
            <w:r w:rsidRPr="003142D9">
              <w:rPr>
                <w:rFonts w:cs="Arial"/>
                <w:sz w:val="20"/>
                <w:szCs w:val="20"/>
              </w:rPr>
              <w:t xml:space="preserve">L’EIES exige le recensement </w:t>
            </w:r>
            <w:r w:rsidRPr="003142D9">
              <w:rPr>
                <w:rFonts w:eastAsia="Arial" w:cs="Arial"/>
                <w:w w:val="105"/>
                <w:sz w:val="20"/>
                <w:szCs w:val="20"/>
              </w:rPr>
              <w:t>des personnes touchées par le projet, faire l’inventaire des terres et des biens concernés, identifier les personnes éligibles à être expropriées.</w:t>
            </w:r>
          </w:p>
        </w:tc>
        <w:tc>
          <w:tcPr>
            <w:tcW w:w="3969" w:type="dxa"/>
            <w:shd w:val="clear" w:color="auto" w:fill="auto"/>
            <w:vAlign w:val="center"/>
          </w:tcPr>
          <w:p w14:paraId="1838C813" w14:textId="77777777" w:rsidR="009021F1" w:rsidRPr="003142D9" w:rsidRDefault="009021F1" w:rsidP="00E637E3">
            <w:pPr>
              <w:rPr>
                <w:rFonts w:eastAsia="Calibri" w:cs="Arial"/>
                <w:sz w:val="20"/>
                <w:szCs w:val="20"/>
              </w:rPr>
            </w:pPr>
            <w:r w:rsidRPr="003142D9">
              <w:rPr>
                <w:rFonts w:cs="Arial"/>
                <w:sz w:val="20"/>
                <w:szCs w:val="20"/>
              </w:rPr>
              <w:t>La loi nationale satisfait cette exigence de la NES n°5. Ainsi, la NES n°5 s’appliquera</w:t>
            </w:r>
          </w:p>
        </w:tc>
      </w:tr>
      <w:tr w:rsidR="009021F1" w:rsidRPr="00E800E3" w14:paraId="1E1EA62A" w14:textId="77777777" w:rsidTr="00E637E3">
        <w:trPr>
          <w:cantSplit/>
          <w:jc w:val="center"/>
        </w:trPr>
        <w:tc>
          <w:tcPr>
            <w:tcW w:w="5670" w:type="dxa"/>
          </w:tcPr>
          <w:p w14:paraId="692D633B"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Offrir aux personnes concernées par un déplacement physique le choix entre un bien de remplacement d’une valeur égale ou supérieure, avec sécurité de jouissance, ou une indemnisation financière au coût de remplacement, ainsi qu’un appui temporaire afin de rétablir leur capacité à gagner leur vie, leur niveau de production et de vie.</w:t>
            </w:r>
          </w:p>
          <w:p w14:paraId="0D44CEA4" w14:textId="77777777" w:rsidR="009021F1" w:rsidRPr="003142D9" w:rsidRDefault="009021F1" w:rsidP="00E637E3">
            <w:pPr>
              <w:rPr>
                <w:rFonts w:eastAsia="Calibri" w:cs="Arial"/>
                <w:i/>
                <w:sz w:val="20"/>
                <w:szCs w:val="20"/>
                <w:u w:val="single"/>
              </w:rPr>
            </w:pPr>
            <w:r w:rsidRPr="003142D9">
              <w:rPr>
                <w:rFonts w:cs="Arial"/>
                <w:i/>
                <w:iCs/>
                <w:sz w:val="20"/>
                <w:szCs w:val="20"/>
              </w:rPr>
              <w:t>Paragraphes 26 à 32</w:t>
            </w:r>
          </w:p>
        </w:tc>
        <w:tc>
          <w:tcPr>
            <w:tcW w:w="5670" w:type="dxa"/>
            <w:shd w:val="clear" w:color="auto" w:fill="auto"/>
          </w:tcPr>
          <w:p w14:paraId="23B814E4" w14:textId="77777777" w:rsidR="009021F1" w:rsidRPr="003142D9" w:rsidRDefault="009021F1" w:rsidP="00E637E3">
            <w:pPr>
              <w:pStyle w:val="Tabletext0"/>
              <w:spacing w:line="276" w:lineRule="auto"/>
              <w:rPr>
                <w:rFonts w:ascii="Arial" w:hAnsi="Arial" w:cs="Arial"/>
                <w:szCs w:val="20"/>
              </w:rPr>
            </w:pPr>
          </w:p>
          <w:p w14:paraId="680621DA" w14:textId="77777777" w:rsidR="009021F1" w:rsidRPr="003142D9" w:rsidRDefault="009021F1" w:rsidP="00E637E3">
            <w:pPr>
              <w:pStyle w:val="Tabletext0"/>
              <w:spacing w:line="276" w:lineRule="auto"/>
              <w:rPr>
                <w:rFonts w:ascii="Arial" w:hAnsi="Arial" w:cs="Arial"/>
                <w:szCs w:val="20"/>
              </w:rPr>
            </w:pPr>
          </w:p>
          <w:p w14:paraId="4E4D9CC8" w14:textId="77777777" w:rsidR="009021F1" w:rsidRPr="003142D9" w:rsidRDefault="009021F1" w:rsidP="00E637E3">
            <w:pPr>
              <w:pStyle w:val="Tabletext0"/>
              <w:spacing w:line="276" w:lineRule="auto"/>
              <w:rPr>
                <w:rFonts w:ascii="Arial" w:hAnsi="Arial" w:cs="Arial"/>
                <w:szCs w:val="20"/>
              </w:rPr>
            </w:pPr>
          </w:p>
          <w:p w14:paraId="128496C6" w14:textId="77777777" w:rsidR="009021F1" w:rsidRPr="003142D9" w:rsidRDefault="009021F1" w:rsidP="00E637E3">
            <w:pPr>
              <w:pStyle w:val="Tabletext0"/>
              <w:spacing w:line="276" w:lineRule="auto"/>
              <w:rPr>
                <w:rFonts w:ascii="Arial" w:eastAsia="Times New Roman" w:hAnsi="Arial" w:cs="Arial"/>
                <w:szCs w:val="20"/>
              </w:rPr>
            </w:pPr>
            <w:r w:rsidRPr="003142D9">
              <w:rPr>
                <w:rFonts w:ascii="Arial" w:hAnsi="Arial" w:cs="Arial"/>
                <w:szCs w:val="20"/>
              </w:rPr>
              <w:t>Non mentionné dans la législation nationale</w:t>
            </w:r>
          </w:p>
        </w:tc>
        <w:tc>
          <w:tcPr>
            <w:tcW w:w="3969" w:type="dxa"/>
            <w:shd w:val="clear" w:color="auto" w:fill="auto"/>
            <w:vAlign w:val="center"/>
          </w:tcPr>
          <w:p w14:paraId="0398F5E9" w14:textId="77777777" w:rsidR="009021F1" w:rsidRPr="003142D9" w:rsidRDefault="009021F1" w:rsidP="00E637E3">
            <w:pPr>
              <w:rPr>
                <w:rFonts w:eastAsia="Calibri" w:cs="Arial"/>
                <w:sz w:val="20"/>
                <w:szCs w:val="20"/>
              </w:rPr>
            </w:pPr>
            <w:r w:rsidRPr="003142D9">
              <w:rPr>
                <w:rFonts w:cs="Arial"/>
                <w:sz w:val="20"/>
                <w:szCs w:val="20"/>
              </w:rPr>
              <w:t>La loi nationale ne satisfait pas à cette exigence de la NES n°5. Ainsi, c’est le NES n°5 qui s’appliquera et sera suivi par l’IDA.</w:t>
            </w:r>
          </w:p>
        </w:tc>
      </w:tr>
      <w:tr w:rsidR="009021F1" w:rsidRPr="00E800E3" w14:paraId="3A725FEB" w14:textId="77777777" w:rsidTr="00E637E3">
        <w:trPr>
          <w:cantSplit/>
          <w:jc w:val="center"/>
        </w:trPr>
        <w:tc>
          <w:tcPr>
            <w:tcW w:w="5670" w:type="dxa"/>
          </w:tcPr>
          <w:p w14:paraId="18D96DC8"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Au besoin, mettre en œuvre un plan contenant des mesures pour aider les personnes touchées à améliorer, ou tout au moins rétablir, leurs revenus ou moyens de subsistance, et faire en sorte ces prestations soient accordées d’une manière transparente, cohérente et équitable.</w:t>
            </w:r>
          </w:p>
          <w:p w14:paraId="685540EF" w14:textId="77777777" w:rsidR="009021F1" w:rsidRPr="003142D9" w:rsidRDefault="009021F1" w:rsidP="00E637E3">
            <w:pPr>
              <w:rPr>
                <w:rFonts w:eastAsia="Calibri" w:cs="Arial"/>
                <w:i/>
                <w:sz w:val="20"/>
                <w:szCs w:val="20"/>
                <w:u w:val="single"/>
              </w:rPr>
            </w:pPr>
            <w:r w:rsidRPr="003142D9">
              <w:rPr>
                <w:rFonts w:cs="Arial"/>
                <w:i/>
                <w:iCs/>
                <w:sz w:val="20"/>
                <w:szCs w:val="20"/>
              </w:rPr>
              <w:t>Paragraphes 33 à 36</w:t>
            </w:r>
          </w:p>
        </w:tc>
        <w:tc>
          <w:tcPr>
            <w:tcW w:w="5670" w:type="dxa"/>
            <w:shd w:val="clear" w:color="auto" w:fill="auto"/>
          </w:tcPr>
          <w:p w14:paraId="29A90244" w14:textId="77777777" w:rsidR="009021F1" w:rsidRPr="003142D9" w:rsidRDefault="009021F1" w:rsidP="00E637E3">
            <w:pPr>
              <w:pStyle w:val="Tabletext0"/>
              <w:spacing w:line="276" w:lineRule="auto"/>
              <w:rPr>
                <w:rFonts w:ascii="Arial" w:hAnsi="Arial" w:cs="Arial"/>
                <w:szCs w:val="20"/>
              </w:rPr>
            </w:pPr>
          </w:p>
          <w:p w14:paraId="53C8C4B1" w14:textId="77777777" w:rsidR="009021F1" w:rsidRPr="003142D9" w:rsidRDefault="009021F1" w:rsidP="00E637E3">
            <w:pPr>
              <w:pStyle w:val="Tabletext0"/>
              <w:spacing w:line="276" w:lineRule="auto"/>
              <w:rPr>
                <w:rFonts w:ascii="Arial" w:hAnsi="Arial" w:cs="Arial"/>
                <w:szCs w:val="20"/>
              </w:rPr>
            </w:pPr>
          </w:p>
          <w:p w14:paraId="582E99E8" w14:textId="77777777" w:rsidR="009021F1" w:rsidRPr="003142D9" w:rsidRDefault="009021F1" w:rsidP="00E637E3">
            <w:pPr>
              <w:pStyle w:val="Tabletext0"/>
              <w:spacing w:line="276" w:lineRule="auto"/>
              <w:rPr>
                <w:rFonts w:ascii="Arial" w:hAnsi="Arial" w:cs="Arial"/>
                <w:szCs w:val="20"/>
              </w:rPr>
            </w:pPr>
          </w:p>
          <w:p w14:paraId="0ED350CC" w14:textId="77777777" w:rsidR="009021F1" w:rsidRPr="003142D9" w:rsidRDefault="009021F1" w:rsidP="00E637E3">
            <w:pPr>
              <w:rPr>
                <w:rFonts w:cs="Arial"/>
                <w:sz w:val="20"/>
                <w:szCs w:val="20"/>
              </w:rPr>
            </w:pPr>
            <w:r w:rsidRPr="003142D9">
              <w:rPr>
                <w:rFonts w:cs="Arial"/>
                <w:sz w:val="20"/>
                <w:szCs w:val="20"/>
              </w:rPr>
              <w:t>Non mentionné dans la législation nationale</w:t>
            </w:r>
          </w:p>
        </w:tc>
        <w:tc>
          <w:tcPr>
            <w:tcW w:w="3969" w:type="dxa"/>
            <w:shd w:val="clear" w:color="auto" w:fill="auto"/>
          </w:tcPr>
          <w:p w14:paraId="5BCF4AB8" w14:textId="77777777" w:rsidR="009021F1" w:rsidRPr="003142D9" w:rsidRDefault="009021F1" w:rsidP="00E637E3">
            <w:pPr>
              <w:autoSpaceDE w:val="0"/>
              <w:autoSpaceDN w:val="0"/>
              <w:rPr>
                <w:rFonts w:eastAsia="Calibri" w:cs="Arial"/>
                <w:sz w:val="20"/>
                <w:szCs w:val="20"/>
              </w:rPr>
            </w:pPr>
            <w:r w:rsidRPr="003142D9">
              <w:rPr>
                <w:rFonts w:cs="Arial"/>
                <w:sz w:val="20"/>
                <w:szCs w:val="20"/>
              </w:rPr>
              <w:t>La loi nationale ne satisfait pas à cette exigence de la NES n°5. Ainsi, c’est le NES n°5 qui s’appliquera et sera suivi par l’IDA.</w:t>
            </w:r>
          </w:p>
        </w:tc>
      </w:tr>
      <w:tr w:rsidR="009021F1" w:rsidRPr="00E800E3" w14:paraId="119F5DFD" w14:textId="77777777" w:rsidTr="00E637E3">
        <w:trPr>
          <w:cantSplit/>
          <w:jc w:val="center"/>
        </w:trPr>
        <w:tc>
          <w:tcPr>
            <w:tcW w:w="5670" w:type="dxa"/>
          </w:tcPr>
          <w:p w14:paraId="50D68380"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Assurer la collaboration entre l’entité chargée de la mise en œuvre du projet et toute autre agence publique ou autorité ou entité locale chargée de l’acquisition de terres, de la planification de la réinstallation, ou de la mise à disposition de l’aide nécessaire, et au besoin demander l’assistance technique ou l’aide financière de la Banque mondiale</w:t>
            </w:r>
          </w:p>
          <w:p w14:paraId="507FAA21" w14:textId="77777777" w:rsidR="009021F1" w:rsidRPr="003142D9" w:rsidRDefault="009021F1" w:rsidP="00E637E3">
            <w:pPr>
              <w:rPr>
                <w:rFonts w:eastAsia="Calibri" w:cs="Arial"/>
                <w:i/>
                <w:sz w:val="20"/>
                <w:szCs w:val="20"/>
                <w:u w:val="single"/>
              </w:rPr>
            </w:pPr>
            <w:r w:rsidRPr="003142D9">
              <w:rPr>
                <w:rFonts w:cs="Arial"/>
                <w:i/>
                <w:iCs/>
                <w:sz w:val="20"/>
                <w:szCs w:val="20"/>
              </w:rPr>
              <w:t>Paragraphes 37 à 39</w:t>
            </w:r>
          </w:p>
        </w:tc>
        <w:tc>
          <w:tcPr>
            <w:tcW w:w="5670" w:type="dxa"/>
            <w:shd w:val="clear" w:color="auto" w:fill="auto"/>
          </w:tcPr>
          <w:p w14:paraId="4CAE8BA7" w14:textId="77777777" w:rsidR="009021F1" w:rsidRPr="003142D9" w:rsidRDefault="009021F1" w:rsidP="00E637E3">
            <w:pPr>
              <w:pStyle w:val="Tabletext0"/>
              <w:spacing w:line="276" w:lineRule="auto"/>
              <w:rPr>
                <w:rFonts w:ascii="Arial" w:hAnsi="Arial" w:cs="Arial"/>
                <w:szCs w:val="20"/>
              </w:rPr>
            </w:pPr>
          </w:p>
          <w:p w14:paraId="5F307370" w14:textId="77777777" w:rsidR="009021F1" w:rsidRPr="003142D9" w:rsidRDefault="009021F1" w:rsidP="00E637E3">
            <w:pPr>
              <w:pStyle w:val="Tabletext0"/>
              <w:spacing w:line="276" w:lineRule="auto"/>
              <w:rPr>
                <w:rFonts w:ascii="Arial" w:hAnsi="Arial" w:cs="Arial"/>
                <w:szCs w:val="20"/>
              </w:rPr>
            </w:pPr>
          </w:p>
          <w:p w14:paraId="60C96D7F" w14:textId="77777777" w:rsidR="009021F1" w:rsidRPr="003142D9" w:rsidRDefault="009021F1" w:rsidP="00E637E3">
            <w:pPr>
              <w:pStyle w:val="Tabletext0"/>
              <w:spacing w:line="276" w:lineRule="auto"/>
              <w:rPr>
                <w:rFonts w:ascii="Arial" w:hAnsi="Arial" w:cs="Arial"/>
                <w:szCs w:val="20"/>
              </w:rPr>
            </w:pPr>
          </w:p>
          <w:p w14:paraId="2A7A8ADD" w14:textId="77777777" w:rsidR="009021F1" w:rsidRPr="003142D9" w:rsidRDefault="009021F1" w:rsidP="00E637E3">
            <w:pPr>
              <w:rPr>
                <w:rFonts w:cs="Arial"/>
                <w:sz w:val="20"/>
                <w:szCs w:val="20"/>
              </w:rPr>
            </w:pPr>
            <w:r w:rsidRPr="003142D9">
              <w:rPr>
                <w:rFonts w:cs="Arial"/>
                <w:sz w:val="20"/>
                <w:szCs w:val="20"/>
              </w:rPr>
              <w:t>Non mentionné dans la législation nationale</w:t>
            </w:r>
          </w:p>
        </w:tc>
        <w:tc>
          <w:tcPr>
            <w:tcW w:w="3969" w:type="dxa"/>
            <w:shd w:val="clear" w:color="auto" w:fill="auto"/>
          </w:tcPr>
          <w:p w14:paraId="3A2DFF13" w14:textId="77777777" w:rsidR="009021F1" w:rsidRPr="003142D9" w:rsidRDefault="009021F1" w:rsidP="00E637E3">
            <w:pPr>
              <w:rPr>
                <w:rFonts w:eastAsia="Calibri" w:cs="Arial"/>
                <w:sz w:val="20"/>
                <w:szCs w:val="20"/>
              </w:rPr>
            </w:pPr>
            <w:r w:rsidRPr="003142D9">
              <w:rPr>
                <w:rFonts w:cs="Arial"/>
                <w:sz w:val="20"/>
                <w:szCs w:val="20"/>
              </w:rPr>
              <w:t>La loi nationale ne satisfait pas à cette exigence de la NES n°5. Ainsi, c’est le NES n°5 qui s’appliquera et sera suivi par l’IDA.</w:t>
            </w:r>
          </w:p>
        </w:tc>
      </w:tr>
      <w:tr w:rsidR="009021F1" w:rsidRPr="00E800E3" w14:paraId="5F3FA506" w14:textId="77777777" w:rsidTr="00E637E3">
        <w:trPr>
          <w:cantSplit/>
          <w:jc w:val="center"/>
        </w:trPr>
        <w:tc>
          <w:tcPr>
            <w:tcW w:w="15309" w:type="dxa"/>
            <w:gridSpan w:val="3"/>
            <w:shd w:val="clear" w:color="auto" w:fill="C5E0B3"/>
            <w:vAlign w:val="center"/>
          </w:tcPr>
          <w:p w14:paraId="29E55D79" w14:textId="77777777" w:rsidR="009021F1" w:rsidRPr="003142D9" w:rsidRDefault="009021F1" w:rsidP="00E637E3">
            <w:pPr>
              <w:spacing w:before="60" w:after="60"/>
              <w:rPr>
                <w:rFonts w:eastAsia="Calibri" w:cs="Arial"/>
                <w:b/>
                <w:bCs/>
                <w:sz w:val="20"/>
                <w:szCs w:val="20"/>
              </w:rPr>
            </w:pPr>
            <w:r w:rsidRPr="003142D9">
              <w:rPr>
                <w:rFonts w:eastAsia="Calibri" w:cs="Arial"/>
                <w:b/>
                <w:bCs/>
                <w:sz w:val="20"/>
                <w:szCs w:val="20"/>
              </w:rPr>
              <w:t>NES 6.  Préservation de la biodiversité et gestion durable des ressources naturelles biologiques ;</w:t>
            </w:r>
          </w:p>
        </w:tc>
      </w:tr>
      <w:tr w:rsidR="009021F1" w:rsidRPr="00E800E3" w14:paraId="05342589" w14:textId="77777777" w:rsidTr="00E637E3">
        <w:trPr>
          <w:cantSplit/>
          <w:jc w:val="center"/>
        </w:trPr>
        <w:tc>
          <w:tcPr>
            <w:tcW w:w="5670" w:type="dxa"/>
          </w:tcPr>
          <w:p w14:paraId="27AACE9E"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Déterminera les risques et effets potentiels du projet sur les habitats et la biodiversité qu’ils abritent, évaluer ces risques et effets du projet, et les gérer selon le principe de la hiérarchie d’atténuation et les BPISA.</w:t>
            </w:r>
          </w:p>
          <w:p w14:paraId="5EC54B67"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i/>
                <w:iCs/>
                <w:szCs w:val="20"/>
              </w:rPr>
              <w:t>Paragraphe 10 à 12</w:t>
            </w:r>
          </w:p>
        </w:tc>
        <w:tc>
          <w:tcPr>
            <w:tcW w:w="5670" w:type="dxa"/>
            <w:shd w:val="clear" w:color="auto" w:fill="auto"/>
            <w:vAlign w:val="center"/>
          </w:tcPr>
          <w:p w14:paraId="51EA9D9C" w14:textId="77777777" w:rsidR="009021F1" w:rsidRPr="003142D9" w:rsidRDefault="009021F1" w:rsidP="00E637E3">
            <w:pPr>
              <w:pStyle w:val="Tabletext0"/>
              <w:spacing w:line="276" w:lineRule="auto"/>
              <w:rPr>
                <w:rFonts w:ascii="Arial" w:hAnsi="Arial" w:cs="Arial"/>
                <w:szCs w:val="20"/>
                <w:lang w:eastAsia="fr-FR"/>
              </w:rPr>
            </w:pPr>
            <w:r w:rsidRPr="003142D9">
              <w:rPr>
                <w:rFonts w:ascii="Arial" w:hAnsi="Arial" w:cs="Arial"/>
                <w:szCs w:val="20"/>
              </w:rPr>
              <w:t>La Loi n° 11/009 du 09 juillet 2011 portant Principes fondamentaux relatifs à la protection de l’environnement, et le Décret n° 14/019 du 02 août 2014 fixant les règles de fonctionnement des mécanismes procéduraux de la protection de l’environnement et mettent un accent particulier sur les habitats naturels. Aussi, il est stipulé en son article 32 que l’Etat, la Province et l’Entité Territoriale Décentralisée assurent, dans les limites de leurs compétences respectives, la conservation et la gestion durable de la diversité biologique</w:t>
            </w:r>
          </w:p>
        </w:tc>
        <w:tc>
          <w:tcPr>
            <w:tcW w:w="3969" w:type="dxa"/>
            <w:shd w:val="clear" w:color="auto" w:fill="auto"/>
            <w:vAlign w:val="center"/>
          </w:tcPr>
          <w:p w14:paraId="30AD58CB" w14:textId="77777777" w:rsidR="009021F1" w:rsidRPr="003142D9" w:rsidRDefault="009021F1" w:rsidP="00E637E3">
            <w:pPr>
              <w:rPr>
                <w:rFonts w:eastAsia="Calibri" w:cs="Arial"/>
                <w:sz w:val="20"/>
                <w:szCs w:val="20"/>
              </w:rPr>
            </w:pPr>
            <w:r w:rsidRPr="003142D9">
              <w:rPr>
                <w:rFonts w:eastAsia="Calibri" w:cs="Arial"/>
                <w:sz w:val="20"/>
                <w:szCs w:val="20"/>
              </w:rPr>
              <w:t>La loi nationale satisfait partiellement à cette NES n°6. Donc la NES n°6 s’appliquera</w:t>
            </w:r>
          </w:p>
        </w:tc>
      </w:tr>
      <w:tr w:rsidR="009021F1" w:rsidRPr="00E800E3" w14:paraId="4E85EAA8" w14:textId="77777777" w:rsidTr="00E637E3">
        <w:trPr>
          <w:cantSplit/>
          <w:jc w:val="center"/>
        </w:trPr>
        <w:tc>
          <w:tcPr>
            <w:tcW w:w="5670" w:type="dxa"/>
          </w:tcPr>
          <w:p w14:paraId="3C90BEAE"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Lorsque la stratégie d’atténuation comprend un système de compensation, faire intervenir les parties concernées et des experts qualifiés, et démontrer que ce système entrainera de préférence un gain net de biodiversité, et qu’il sera techniquement et financièrement viable à long terme</w:t>
            </w:r>
          </w:p>
          <w:p w14:paraId="17EFDEBF"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i/>
                <w:iCs/>
                <w:szCs w:val="20"/>
              </w:rPr>
              <w:t>Paragraphes 13 à 16</w:t>
            </w:r>
          </w:p>
        </w:tc>
        <w:tc>
          <w:tcPr>
            <w:tcW w:w="5670" w:type="dxa"/>
            <w:shd w:val="clear" w:color="auto" w:fill="auto"/>
          </w:tcPr>
          <w:p w14:paraId="68410E71" w14:textId="77777777" w:rsidR="009021F1" w:rsidRPr="003142D9" w:rsidRDefault="009021F1" w:rsidP="00E637E3">
            <w:pPr>
              <w:pStyle w:val="Tabletext0"/>
              <w:spacing w:line="276" w:lineRule="auto"/>
              <w:rPr>
                <w:rFonts w:ascii="Arial" w:hAnsi="Arial" w:cs="Arial"/>
                <w:szCs w:val="20"/>
              </w:rPr>
            </w:pPr>
          </w:p>
          <w:p w14:paraId="22D3E2B7" w14:textId="77777777" w:rsidR="009021F1" w:rsidRPr="003142D9" w:rsidRDefault="009021F1" w:rsidP="00E637E3">
            <w:pPr>
              <w:pStyle w:val="Tabletext0"/>
              <w:spacing w:line="276" w:lineRule="auto"/>
              <w:rPr>
                <w:rFonts w:ascii="Arial" w:hAnsi="Arial" w:cs="Arial"/>
                <w:szCs w:val="20"/>
              </w:rPr>
            </w:pPr>
          </w:p>
          <w:p w14:paraId="35AD3BE8" w14:textId="77777777" w:rsidR="009021F1" w:rsidRPr="003142D9" w:rsidRDefault="009021F1" w:rsidP="00E637E3">
            <w:pPr>
              <w:pStyle w:val="Tabletext0"/>
              <w:spacing w:line="276" w:lineRule="auto"/>
              <w:rPr>
                <w:rFonts w:ascii="Arial" w:hAnsi="Arial" w:cs="Arial"/>
                <w:szCs w:val="20"/>
              </w:rPr>
            </w:pPr>
          </w:p>
          <w:p w14:paraId="51DFFA50" w14:textId="77777777" w:rsidR="009021F1" w:rsidRPr="003142D9" w:rsidRDefault="009021F1" w:rsidP="00E637E3">
            <w:pPr>
              <w:pStyle w:val="Tabletext0"/>
              <w:spacing w:line="276" w:lineRule="auto"/>
              <w:rPr>
                <w:rFonts w:ascii="Arial" w:hAnsi="Arial" w:cs="Arial"/>
                <w:szCs w:val="20"/>
                <w:lang w:eastAsia="fr-FR"/>
              </w:rPr>
            </w:pPr>
            <w:r w:rsidRPr="003142D9">
              <w:rPr>
                <w:rFonts w:ascii="Arial" w:hAnsi="Arial" w:cs="Arial"/>
                <w:szCs w:val="20"/>
              </w:rPr>
              <w:t>Non mentionné dans la législation nationale</w:t>
            </w:r>
          </w:p>
        </w:tc>
        <w:tc>
          <w:tcPr>
            <w:tcW w:w="3969" w:type="dxa"/>
            <w:shd w:val="clear" w:color="auto" w:fill="auto"/>
            <w:vAlign w:val="center"/>
          </w:tcPr>
          <w:p w14:paraId="1892B066" w14:textId="77777777" w:rsidR="009021F1" w:rsidRPr="003142D9" w:rsidRDefault="009021F1" w:rsidP="00E637E3">
            <w:pPr>
              <w:rPr>
                <w:rFonts w:eastAsia="Calibri" w:cs="Arial"/>
                <w:sz w:val="20"/>
                <w:szCs w:val="20"/>
              </w:rPr>
            </w:pPr>
            <w:r w:rsidRPr="003142D9">
              <w:rPr>
                <w:rFonts w:eastAsia="Calibri" w:cs="Arial"/>
                <w:sz w:val="20"/>
                <w:szCs w:val="20"/>
              </w:rPr>
              <w:t>La loi nationale ne satisfait pas à cette NES n°6. Donc la NES n°6 s’appliquera</w:t>
            </w:r>
          </w:p>
        </w:tc>
      </w:tr>
      <w:tr w:rsidR="009021F1" w:rsidRPr="00E800E3" w14:paraId="26F1BE8D" w14:textId="77777777" w:rsidTr="00E637E3">
        <w:trPr>
          <w:cantSplit/>
          <w:jc w:val="center"/>
        </w:trPr>
        <w:tc>
          <w:tcPr>
            <w:tcW w:w="5670" w:type="dxa"/>
          </w:tcPr>
          <w:p w14:paraId="02881251"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Éviter ou minimiser les impacts sur la biodiversité des habitats modifiés et mettre en œuvre des mesures d’atténuation selon le cas.</w:t>
            </w:r>
          </w:p>
          <w:p w14:paraId="39335464"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i/>
                <w:iCs/>
                <w:szCs w:val="20"/>
              </w:rPr>
              <w:t>Paragraphes 19 et 20</w:t>
            </w:r>
          </w:p>
        </w:tc>
        <w:tc>
          <w:tcPr>
            <w:tcW w:w="5670" w:type="dxa"/>
            <w:shd w:val="clear" w:color="auto" w:fill="auto"/>
            <w:vAlign w:val="center"/>
          </w:tcPr>
          <w:p w14:paraId="01394532" w14:textId="77777777" w:rsidR="009021F1" w:rsidRPr="003142D9" w:rsidRDefault="009021F1" w:rsidP="00E637E3">
            <w:pPr>
              <w:pStyle w:val="Tabletext0"/>
              <w:spacing w:line="276" w:lineRule="auto"/>
              <w:rPr>
                <w:rFonts w:ascii="Arial" w:hAnsi="Arial" w:cs="Arial"/>
                <w:szCs w:val="20"/>
                <w:lang w:eastAsia="fr-FR"/>
              </w:rPr>
            </w:pPr>
            <w:r w:rsidRPr="003142D9">
              <w:rPr>
                <w:rFonts w:ascii="Arial" w:hAnsi="Arial" w:cs="Arial"/>
                <w:szCs w:val="20"/>
              </w:rPr>
              <w:t>La Loi n° 11/009 du 09 juillet 2011 portant Principes fondamentaux relatifs à la protection de l’environnement, et le Décret n° 14/019 du 02 août 2014 fixant les règles de fonctionnement des mécanismes procéduraux de la protection de l’environnement et mettent un accent particulier sur les habitats naturels</w:t>
            </w:r>
          </w:p>
        </w:tc>
        <w:tc>
          <w:tcPr>
            <w:tcW w:w="3969" w:type="dxa"/>
            <w:shd w:val="clear" w:color="auto" w:fill="auto"/>
            <w:vAlign w:val="center"/>
          </w:tcPr>
          <w:p w14:paraId="0D203083" w14:textId="77777777" w:rsidR="009021F1" w:rsidRPr="003142D9" w:rsidRDefault="009021F1" w:rsidP="00E637E3">
            <w:pPr>
              <w:rPr>
                <w:rFonts w:eastAsia="Calibri" w:cs="Arial"/>
                <w:sz w:val="20"/>
                <w:szCs w:val="20"/>
              </w:rPr>
            </w:pPr>
            <w:r w:rsidRPr="003142D9">
              <w:rPr>
                <w:rFonts w:cs="Arial"/>
                <w:sz w:val="20"/>
                <w:szCs w:val="20"/>
              </w:rPr>
              <w:t>La loi satisfait à cette NES n°6 Les exigences de la Norme 6 s’appliqueront</w:t>
            </w:r>
          </w:p>
        </w:tc>
      </w:tr>
      <w:tr w:rsidR="009021F1" w:rsidRPr="00E800E3" w14:paraId="6831F8F9" w14:textId="77777777" w:rsidTr="00E637E3">
        <w:trPr>
          <w:cantSplit/>
          <w:jc w:val="center"/>
        </w:trPr>
        <w:tc>
          <w:tcPr>
            <w:tcW w:w="5670" w:type="dxa"/>
          </w:tcPr>
          <w:p w14:paraId="2327E59A"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Éviter les impacts négatifs sur les habitats naturels, sauf s’il n’existe aucune autre solution technique, et alors mettre en place des mesures d’atténuation appropriées selon principe de la hiérarchie d’atténuation, et au besoin compenser la selon le principe « d’équivalence ou d’amélioration écologique ».</w:t>
            </w:r>
          </w:p>
          <w:p w14:paraId="4CA013E2"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i/>
                <w:iCs/>
                <w:szCs w:val="20"/>
              </w:rPr>
              <w:t>Paragraphes 19-à 22</w:t>
            </w:r>
          </w:p>
        </w:tc>
        <w:tc>
          <w:tcPr>
            <w:tcW w:w="5670" w:type="dxa"/>
            <w:shd w:val="clear" w:color="auto" w:fill="auto"/>
          </w:tcPr>
          <w:p w14:paraId="34279982" w14:textId="77777777" w:rsidR="009021F1" w:rsidRPr="003142D9" w:rsidRDefault="009021F1" w:rsidP="00E637E3">
            <w:pPr>
              <w:pStyle w:val="Tabletext0"/>
              <w:spacing w:line="276" w:lineRule="auto"/>
              <w:rPr>
                <w:rFonts w:ascii="Arial" w:hAnsi="Arial" w:cs="Arial"/>
                <w:szCs w:val="20"/>
              </w:rPr>
            </w:pPr>
          </w:p>
          <w:p w14:paraId="6E38EEA2" w14:textId="77777777" w:rsidR="009021F1" w:rsidRPr="003142D9" w:rsidRDefault="009021F1" w:rsidP="00E637E3">
            <w:pPr>
              <w:pStyle w:val="Tabletext0"/>
              <w:spacing w:line="276" w:lineRule="auto"/>
              <w:rPr>
                <w:rFonts w:ascii="Arial" w:hAnsi="Arial" w:cs="Arial"/>
                <w:szCs w:val="20"/>
              </w:rPr>
            </w:pPr>
          </w:p>
          <w:p w14:paraId="1927B7F6" w14:textId="77777777" w:rsidR="009021F1" w:rsidRPr="003142D9" w:rsidRDefault="009021F1" w:rsidP="00E637E3">
            <w:pPr>
              <w:pStyle w:val="Tabletext0"/>
              <w:spacing w:line="276" w:lineRule="auto"/>
              <w:rPr>
                <w:rFonts w:ascii="Arial" w:hAnsi="Arial" w:cs="Arial"/>
                <w:szCs w:val="20"/>
              </w:rPr>
            </w:pPr>
          </w:p>
          <w:p w14:paraId="23C91CA1" w14:textId="77777777" w:rsidR="009021F1" w:rsidRPr="003142D9" w:rsidRDefault="009021F1" w:rsidP="00E637E3">
            <w:pPr>
              <w:pStyle w:val="Tabletext0"/>
              <w:spacing w:line="276" w:lineRule="auto"/>
              <w:rPr>
                <w:rFonts w:ascii="Arial" w:hAnsi="Arial" w:cs="Arial"/>
                <w:szCs w:val="20"/>
                <w:lang w:eastAsia="fr-FR"/>
              </w:rPr>
            </w:pPr>
            <w:r w:rsidRPr="003142D9">
              <w:rPr>
                <w:rFonts w:ascii="Arial" w:hAnsi="Arial" w:cs="Arial"/>
                <w:szCs w:val="20"/>
              </w:rPr>
              <w:t>Non mentionné dans la législation nationale</w:t>
            </w:r>
          </w:p>
        </w:tc>
        <w:tc>
          <w:tcPr>
            <w:tcW w:w="3969" w:type="dxa"/>
            <w:shd w:val="clear" w:color="auto" w:fill="auto"/>
          </w:tcPr>
          <w:p w14:paraId="755C122B" w14:textId="77777777" w:rsidR="009021F1" w:rsidRPr="003142D9" w:rsidRDefault="009021F1" w:rsidP="00E637E3">
            <w:pPr>
              <w:rPr>
                <w:rFonts w:eastAsia="Calibri" w:cs="Arial"/>
                <w:sz w:val="20"/>
                <w:szCs w:val="20"/>
              </w:rPr>
            </w:pPr>
            <w:r w:rsidRPr="003142D9">
              <w:rPr>
                <w:rFonts w:eastAsia="Calibri" w:cs="Arial"/>
                <w:sz w:val="20"/>
                <w:szCs w:val="20"/>
              </w:rPr>
              <w:t>La loi nationale ne satisfait pas à cette NES n°6. Donc la NES n°6 s’appliquera</w:t>
            </w:r>
          </w:p>
        </w:tc>
      </w:tr>
      <w:tr w:rsidR="009021F1" w:rsidRPr="00E800E3" w14:paraId="6A4DF8FD" w14:textId="77777777" w:rsidTr="00E637E3">
        <w:trPr>
          <w:cantSplit/>
          <w:jc w:val="center"/>
        </w:trPr>
        <w:tc>
          <w:tcPr>
            <w:tcW w:w="5670" w:type="dxa"/>
          </w:tcPr>
          <w:p w14:paraId="60296450"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Mettre en œuvre aucune activité du susceptible d’avoir une incidence négative sur une zone d’habitat critique, à moins de démontrer que toutes les conditions décrites dans la NES6 ont été remplies</w:t>
            </w:r>
          </w:p>
          <w:p w14:paraId="2EFA3492"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i/>
                <w:iCs/>
                <w:szCs w:val="20"/>
              </w:rPr>
              <w:t>Paragraphes 23 et 24</w:t>
            </w:r>
          </w:p>
        </w:tc>
        <w:tc>
          <w:tcPr>
            <w:tcW w:w="5670" w:type="dxa"/>
            <w:shd w:val="clear" w:color="auto" w:fill="auto"/>
          </w:tcPr>
          <w:p w14:paraId="4FBF80E8" w14:textId="77777777" w:rsidR="009021F1" w:rsidRPr="003142D9" w:rsidRDefault="009021F1" w:rsidP="00E637E3">
            <w:pPr>
              <w:pStyle w:val="Tabletext0"/>
              <w:spacing w:line="276" w:lineRule="auto"/>
              <w:rPr>
                <w:rFonts w:ascii="Arial" w:hAnsi="Arial" w:cs="Arial"/>
                <w:szCs w:val="20"/>
              </w:rPr>
            </w:pPr>
          </w:p>
          <w:p w14:paraId="00C12325" w14:textId="77777777" w:rsidR="009021F1" w:rsidRPr="003142D9" w:rsidRDefault="009021F1" w:rsidP="00E637E3">
            <w:pPr>
              <w:pStyle w:val="Tabletext0"/>
              <w:spacing w:line="276" w:lineRule="auto"/>
              <w:rPr>
                <w:rFonts w:ascii="Arial" w:hAnsi="Arial" w:cs="Arial"/>
                <w:szCs w:val="20"/>
              </w:rPr>
            </w:pPr>
          </w:p>
          <w:p w14:paraId="0C6DF446" w14:textId="77777777" w:rsidR="009021F1" w:rsidRPr="003142D9" w:rsidRDefault="009021F1" w:rsidP="00E637E3">
            <w:pPr>
              <w:pStyle w:val="Tabletext0"/>
              <w:spacing w:line="276" w:lineRule="auto"/>
              <w:rPr>
                <w:rFonts w:ascii="Arial" w:hAnsi="Arial" w:cs="Arial"/>
                <w:szCs w:val="20"/>
              </w:rPr>
            </w:pPr>
          </w:p>
          <w:p w14:paraId="7140CCE3" w14:textId="77777777" w:rsidR="009021F1" w:rsidRPr="003142D9" w:rsidRDefault="009021F1" w:rsidP="00E637E3">
            <w:pPr>
              <w:pStyle w:val="Tabletext0"/>
              <w:spacing w:line="276" w:lineRule="auto"/>
              <w:rPr>
                <w:rFonts w:ascii="Arial" w:hAnsi="Arial" w:cs="Arial"/>
                <w:szCs w:val="20"/>
                <w:lang w:eastAsia="fr-FR"/>
              </w:rPr>
            </w:pPr>
            <w:r w:rsidRPr="003142D9">
              <w:rPr>
                <w:rFonts w:ascii="Arial" w:hAnsi="Arial" w:cs="Arial"/>
                <w:szCs w:val="20"/>
              </w:rPr>
              <w:t>Non mentionné dans la législation nationale</w:t>
            </w:r>
          </w:p>
        </w:tc>
        <w:tc>
          <w:tcPr>
            <w:tcW w:w="3969" w:type="dxa"/>
            <w:shd w:val="clear" w:color="auto" w:fill="auto"/>
          </w:tcPr>
          <w:p w14:paraId="5E01134A" w14:textId="77777777" w:rsidR="009021F1" w:rsidRPr="003142D9" w:rsidRDefault="009021F1" w:rsidP="00E637E3">
            <w:pPr>
              <w:rPr>
                <w:rFonts w:eastAsia="Calibri" w:cs="Arial"/>
                <w:sz w:val="20"/>
                <w:szCs w:val="20"/>
              </w:rPr>
            </w:pPr>
            <w:r w:rsidRPr="003142D9">
              <w:rPr>
                <w:rFonts w:eastAsia="Calibri" w:cs="Arial"/>
                <w:sz w:val="20"/>
                <w:szCs w:val="20"/>
              </w:rPr>
              <w:t>La loi nationale ne satisfait pas à cette NES n°6. Donc la NES n°6 s’appliquera</w:t>
            </w:r>
          </w:p>
        </w:tc>
      </w:tr>
      <w:tr w:rsidR="009021F1" w:rsidRPr="00E800E3" w14:paraId="21BF6636" w14:textId="77777777" w:rsidTr="00E637E3">
        <w:trPr>
          <w:cantSplit/>
          <w:jc w:val="center"/>
        </w:trPr>
        <w:tc>
          <w:tcPr>
            <w:tcW w:w="5670" w:type="dxa"/>
          </w:tcPr>
          <w:p w14:paraId="4C55EC75"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Veiller à ce que les activités du projet soient compatibles avec le statut juridique des zones protégées affectées et leurs objectifs d’aménagement, et appliquer le principe de hiérarchie d’atténuation afin d’atténuer les effets qui pourraient compromettre à leur intégrité, nuire aux objectifs de conservation, ou réduire l’importance de la biodiversité</w:t>
            </w:r>
          </w:p>
          <w:p w14:paraId="175D2996"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i/>
                <w:iCs/>
                <w:szCs w:val="20"/>
              </w:rPr>
              <w:t>Paragraphes 26 et 27</w:t>
            </w:r>
          </w:p>
        </w:tc>
        <w:tc>
          <w:tcPr>
            <w:tcW w:w="5670" w:type="dxa"/>
            <w:shd w:val="clear" w:color="auto" w:fill="auto"/>
          </w:tcPr>
          <w:p w14:paraId="6C11143D" w14:textId="77777777" w:rsidR="009021F1" w:rsidRPr="003142D9" w:rsidRDefault="009021F1" w:rsidP="00E637E3">
            <w:pPr>
              <w:pStyle w:val="Tabletext0"/>
              <w:spacing w:line="276" w:lineRule="auto"/>
              <w:rPr>
                <w:rFonts w:ascii="Arial" w:hAnsi="Arial" w:cs="Arial"/>
                <w:szCs w:val="20"/>
              </w:rPr>
            </w:pPr>
          </w:p>
          <w:p w14:paraId="66426391" w14:textId="77777777" w:rsidR="009021F1" w:rsidRPr="003142D9" w:rsidRDefault="009021F1" w:rsidP="00E637E3">
            <w:pPr>
              <w:pStyle w:val="Tabletext0"/>
              <w:spacing w:line="276" w:lineRule="auto"/>
              <w:rPr>
                <w:rFonts w:ascii="Arial" w:hAnsi="Arial" w:cs="Arial"/>
                <w:szCs w:val="20"/>
              </w:rPr>
            </w:pPr>
          </w:p>
          <w:p w14:paraId="1BF291D0" w14:textId="77777777" w:rsidR="009021F1" w:rsidRPr="003142D9" w:rsidRDefault="009021F1" w:rsidP="00E637E3">
            <w:pPr>
              <w:pStyle w:val="Tabletext0"/>
              <w:spacing w:line="276" w:lineRule="auto"/>
              <w:rPr>
                <w:rFonts w:ascii="Arial" w:hAnsi="Arial" w:cs="Arial"/>
                <w:szCs w:val="20"/>
              </w:rPr>
            </w:pPr>
          </w:p>
          <w:p w14:paraId="43D08DC3" w14:textId="77777777" w:rsidR="009021F1" w:rsidRPr="003142D9" w:rsidRDefault="009021F1" w:rsidP="00E637E3">
            <w:pPr>
              <w:pStyle w:val="Tabletext0"/>
              <w:spacing w:line="276" w:lineRule="auto"/>
              <w:rPr>
                <w:rFonts w:ascii="Arial" w:hAnsi="Arial" w:cs="Arial"/>
                <w:szCs w:val="20"/>
                <w:lang w:eastAsia="fr-FR"/>
              </w:rPr>
            </w:pPr>
            <w:r w:rsidRPr="003142D9">
              <w:rPr>
                <w:rFonts w:ascii="Arial" w:hAnsi="Arial" w:cs="Arial"/>
                <w:szCs w:val="20"/>
              </w:rPr>
              <w:t>Non mentionné dans la législation nationale</w:t>
            </w:r>
          </w:p>
        </w:tc>
        <w:tc>
          <w:tcPr>
            <w:tcW w:w="3969" w:type="dxa"/>
            <w:shd w:val="clear" w:color="auto" w:fill="auto"/>
          </w:tcPr>
          <w:p w14:paraId="32DB4A55" w14:textId="77777777" w:rsidR="009021F1" w:rsidRPr="003142D9" w:rsidRDefault="009021F1" w:rsidP="00E637E3">
            <w:pPr>
              <w:rPr>
                <w:rFonts w:eastAsia="Calibri" w:cs="Arial"/>
                <w:sz w:val="20"/>
                <w:szCs w:val="20"/>
              </w:rPr>
            </w:pPr>
            <w:r w:rsidRPr="003142D9">
              <w:rPr>
                <w:rFonts w:eastAsia="Calibri" w:cs="Arial"/>
                <w:sz w:val="20"/>
                <w:szCs w:val="20"/>
              </w:rPr>
              <w:t>La loi nationale ne satisfait pas à cette NES n°6. Donc la NES n°6 s’appliquera</w:t>
            </w:r>
          </w:p>
        </w:tc>
      </w:tr>
      <w:tr w:rsidR="009021F1" w:rsidRPr="00E800E3" w14:paraId="7A480F72" w14:textId="77777777" w:rsidTr="00E637E3">
        <w:trPr>
          <w:cantSplit/>
          <w:jc w:val="center"/>
        </w:trPr>
        <w:tc>
          <w:tcPr>
            <w:tcW w:w="5670" w:type="dxa"/>
          </w:tcPr>
          <w:p w14:paraId="46C0FC76"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Ne pas introduire intentionnellement de nouvelles espèces exotiques, à moins qu’elles soient ces espèces soient introduites conformément au cadre réglementaire en vigueur, et prévenir que le projet propage les espèces exotiques déjà présentes vers de nouvelles zones</w:t>
            </w:r>
          </w:p>
          <w:p w14:paraId="74A20259"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i/>
                <w:iCs/>
                <w:szCs w:val="20"/>
              </w:rPr>
              <w:t>Paragraphes 28 à 30</w:t>
            </w:r>
          </w:p>
        </w:tc>
        <w:tc>
          <w:tcPr>
            <w:tcW w:w="5670" w:type="dxa"/>
            <w:shd w:val="clear" w:color="auto" w:fill="auto"/>
          </w:tcPr>
          <w:p w14:paraId="0640F51D" w14:textId="77777777" w:rsidR="009021F1" w:rsidRPr="003142D9" w:rsidRDefault="009021F1" w:rsidP="00E637E3">
            <w:pPr>
              <w:pStyle w:val="Tabletext0"/>
              <w:spacing w:line="276" w:lineRule="auto"/>
              <w:rPr>
                <w:rFonts w:ascii="Arial" w:hAnsi="Arial" w:cs="Arial"/>
                <w:szCs w:val="20"/>
              </w:rPr>
            </w:pPr>
          </w:p>
          <w:p w14:paraId="050818DA" w14:textId="77777777" w:rsidR="009021F1" w:rsidRPr="003142D9" w:rsidRDefault="009021F1" w:rsidP="00E637E3">
            <w:pPr>
              <w:pStyle w:val="Tabletext0"/>
              <w:spacing w:line="276" w:lineRule="auto"/>
              <w:rPr>
                <w:rFonts w:ascii="Arial" w:hAnsi="Arial" w:cs="Arial"/>
                <w:szCs w:val="20"/>
              </w:rPr>
            </w:pPr>
          </w:p>
          <w:p w14:paraId="22AE2955" w14:textId="77777777" w:rsidR="009021F1" w:rsidRPr="003142D9" w:rsidRDefault="009021F1" w:rsidP="00E637E3">
            <w:pPr>
              <w:pStyle w:val="Tabletext0"/>
              <w:spacing w:line="276" w:lineRule="auto"/>
              <w:rPr>
                <w:rFonts w:ascii="Arial" w:hAnsi="Arial" w:cs="Arial"/>
                <w:szCs w:val="20"/>
              </w:rPr>
            </w:pPr>
          </w:p>
          <w:p w14:paraId="0E7455F5" w14:textId="77777777" w:rsidR="009021F1" w:rsidRPr="003142D9" w:rsidRDefault="009021F1" w:rsidP="00E637E3">
            <w:pPr>
              <w:pStyle w:val="Tabletext0"/>
              <w:spacing w:line="276" w:lineRule="auto"/>
              <w:rPr>
                <w:rFonts w:ascii="Arial" w:hAnsi="Arial" w:cs="Arial"/>
                <w:szCs w:val="20"/>
                <w:lang w:eastAsia="fr-FR"/>
              </w:rPr>
            </w:pPr>
            <w:r w:rsidRPr="003142D9">
              <w:rPr>
                <w:rFonts w:ascii="Arial" w:hAnsi="Arial" w:cs="Arial"/>
                <w:szCs w:val="20"/>
              </w:rPr>
              <w:t>Non mentionné dans la législation nationale</w:t>
            </w:r>
          </w:p>
        </w:tc>
        <w:tc>
          <w:tcPr>
            <w:tcW w:w="3969" w:type="dxa"/>
            <w:shd w:val="clear" w:color="auto" w:fill="auto"/>
          </w:tcPr>
          <w:p w14:paraId="201254B3" w14:textId="77777777" w:rsidR="009021F1" w:rsidRPr="003142D9" w:rsidRDefault="009021F1" w:rsidP="00E637E3">
            <w:pPr>
              <w:rPr>
                <w:rFonts w:eastAsia="Calibri" w:cs="Arial"/>
                <w:sz w:val="20"/>
                <w:szCs w:val="20"/>
              </w:rPr>
            </w:pPr>
            <w:r w:rsidRPr="003142D9">
              <w:rPr>
                <w:rFonts w:eastAsia="Calibri" w:cs="Arial"/>
                <w:sz w:val="20"/>
                <w:szCs w:val="20"/>
              </w:rPr>
              <w:t>La loi nationale ne satisfait pas à cette NES n°6. Donc la NES n°6 s’appliquera</w:t>
            </w:r>
          </w:p>
        </w:tc>
      </w:tr>
      <w:tr w:rsidR="009021F1" w:rsidRPr="00E800E3" w14:paraId="08CFAA42" w14:textId="77777777" w:rsidTr="00E637E3">
        <w:trPr>
          <w:cantSplit/>
          <w:jc w:val="center"/>
        </w:trPr>
        <w:tc>
          <w:tcPr>
            <w:tcW w:w="5670" w:type="dxa"/>
          </w:tcPr>
          <w:p w14:paraId="39858000"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Évaluer si les projets incluant la production primaire et l’exploitation de ressources naturelles sont globalement durables, ainsi que leurs effets potentiels sur les habitats locaux, avoisinants ou écologiquement associés, sur la biodiversité et sur les communautés locales, y compris les peuples autochtones.</w:t>
            </w:r>
          </w:p>
          <w:p w14:paraId="518C55F1"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i/>
                <w:iCs/>
                <w:szCs w:val="20"/>
              </w:rPr>
              <w:t>Paragraphes 31 à 34</w:t>
            </w:r>
          </w:p>
        </w:tc>
        <w:tc>
          <w:tcPr>
            <w:tcW w:w="5670" w:type="dxa"/>
            <w:shd w:val="clear" w:color="auto" w:fill="auto"/>
            <w:vAlign w:val="center"/>
          </w:tcPr>
          <w:p w14:paraId="0FC9E581" w14:textId="77777777" w:rsidR="009021F1" w:rsidRPr="003142D9" w:rsidRDefault="009021F1" w:rsidP="00E637E3">
            <w:pPr>
              <w:pStyle w:val="Tabletext0"/>
              <w:spacing w:line="276" w:lineRule="auto"/>
              <w:rPr>
                <w:rFonts w:ascii="Arial" w:hAnsi="Arial" w:cs="Arial"/>
                <w:szCs w:val="20"/>
                <w:lang w:eastAsia="fr-FR"/>
              </w:rPr>
            </w:pPr>
            <w:r w:rsidRPr="003142D9">
              <w:rPr>
                <w:rFonts w:ascii="Arial" w:hAnsi="Arial" w:cs="Arial"/>
                <w:szCs w:val="20"/>
              </w:rPr>
              <w:t>La Loi n° 14/003 du 11 février 2014 relative à la conservation de la nature fixe les règles relatives à la conservation de la diversité biologique, à l’utilisation durable de ses éléments constitutifs ainsi qu’à l’accès et au partage juste et équitable des avantages découlant de l’exploitation des ressources biologiques et génétiques. Elle concourt à assurer notamment la conservation des écosystèmes et des habitats naturels, la protection des espèces de faune et de flore sauvages ainsi que le développement durable dans les aires protégées.</w:t>
            </w:r>
          </w:p>
        </w:tc>
        <w:tc>
          <w:tcPr>
            <w:tcW w:w="3969" w:type="dxa"/>
            <w:shd w:val="clear" w:color="auto" w:fill="auto"/>
            <w:vAlign w:val="center"/>
          </w:tcPr>
          <w:p w14:paraId="4F764F5E" w14:textId="77777777" w:rsidR="009021F1" w:rsidRPr="003142D9" w:rsidRDefault="009021F1" w:rsidP="00E637E3">
            <w:pPr>
              <w:rPr>
                <w:rFonts w:eastAsia="Calibri" w:cs="Arial"/>
                <w:sz w:val="20"/>
                <w:szCs w:val="20"/>
              </w:rPr>
            </w:pPr>
            <w:r w:rsidRPr="003142D9">
              <w:rPr>
                <w:rFonts w:eastAsia="Calibri" w:cs="Arial"/>
                <w:sz w:val="20"/>
                <w:szCs w:val="20"/>
              </w:rPr>
              <w:t>La loi nationale satisfait à cette NES n°6. Donc la NES n°6 s’appliquera</w:t>
            </w:r>
          </w:p>
        </w:tc>
      </w:tr>
      <w:tr w:rsidR="009021F1" w:rsidRPr="00E800E3" w14:paraId="1AB804A6" w14:textId="77777777" w:rsidTr="00E637E3">
        <w:trPr>
          <w:cantSplit/>
          <w:jc w:val="center"/>
        </w:trPr>
        <w:tc>
          <w:tcPr>
            <w:tcW w:w="5670" w:type="dxa"/>
          </w:tcPr>
          <w:p w14:paraId="21C3690A"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Exiger que l’exploitation des ressources naturelles biologiques soit gérée d’une manière durable, y compris d’être soumise à un système indépendant de certification forestière pour les projets industriels, et d’accords de gestion forestière conjointe lorsque le projet n’est associé directement à une exploitation industrielle</w:t>
            </w:r>
          </w:p>
          <w:p w14:paraId="60A16DE9"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i/>
                <w:iCs/>
                <w:szCs w:val="20"/>
              </w:rPr>
              <w:t>Paragraphes 35-36</w:t>
            </w:r>
          </w:p>
        </w:tc>
        <w:tc>
          <w:tcPr>
            <w:tcW w:w="5670" w:type="dxa"/>
            <w:shd w:val="clear" w:color="auto" w:fill="auto"/>
            <w:vAlign w:val="center"/>
          </w:tcPr>
          <w:p w14:paraId="2C027636" w14:textId="77777777" w:rsidR="009021F1" w:rsidRPr="003142D9" w:rsidRDefault="009021F1" w:rsidP="00E637E3">
            <w:pPr>
              <w:rPr>
                <w:rFonts w:cs="Arial"/>
                <w:sz w:val="20"/>
                <w:szCs w:val="20"/>
              </w:rPr>
            </w:pPr>
            <w:r w:rsidRPr="003142D9">
              <w:rPr>
                <w:rFonts w:cs="Arial"/>
                <w:sz w:val="20"/>
                <w:szCs w:val="20"/>
              </w:rPr>
              <w:t xml:space="preserve">La Loi 011-2002 du 29 août 2002 portant Code Forestier qui traite du défrichement et des problèmes d’érosion. Le code précise : « tout déboisement doit être compensé par un reboisement équivalent en qualité et en superficie au couvert forestier initial (…) et exige l’obtention d’un permis de déboisement pour une superficie supérieure à 2 ha ». </w:t>
            </w:r>
          </w:p>
          <w:p w14:paraId="757DC50A" w14:textId="77777777" w:rsidR="009021F1" w:rsidRPr="003142D9" w:rsidRDefault="009021F1" w:rsidP="00E637E3">
            <w:pPr>
              <w:rPr>
                <w:rFonts w:cs="Arial"/>
                <w:sz w:val="20"/>
                <w:szCs w:val="20"/>
              </w:rPr>
            </w:pPr>
          </w:p>
          <w:p w14:paraId="74FCFF26" w14:textId="77777777" w:rsidR="009021F1" w:rsidRPr="003142D9" w:rsidRDefault="009021F1" w:rsidP="00E637E3">
            <w:pPr>
              <w:pStyle w:val="Tabletext0"/>
              <w:spacing w:line="276" w:lineRule="auto"/>
              <w:rPr>
                <w:rFonts w:ascii="Arial" w:hAnsi="Arial" w:cs="Arial"/>
                <w:szCs w:val="20"/>
                <w:lang w:eastAsia="fr-FR"/>
              </w:rPr>
            </w:pPr>
            <w:r w:rsidRPr="003142D9">
              <w:rPr>
                <w:rFonts w:ascii="Arial" w:hAnsi="Arial" w:cs="Arial"/>
                <w:szCs w:val="20"/>
              </w:rPr>
              <w:t>La Loi n° 14/003 du 11 février 2014 relative à la conservation de la nature fixe les règles relatives à la conservation de la diversité biologique, à l’utilisation durable de ses éléments constitutifs ainsi qu’à l’accès et au partage juste et équitable des avantages découlant de l’exploitation des ressources biologiques et génétiques. Elle concourt à assurer notamment la conservation des écosystèmes et des habitats naturels, la protection des espèces de faune et de flore sauvages ainsi que le développement durable dans les aires protégées</w:t>
            </w:r>
          </w:p>
        </w:tc>
        <w:tc>
          <w:tcPr>
            <w:tcW w:w="3969" w:type="dxa"/>
            <w:shd w:val="clear" w:color="auto" w:fill="auto"/>
            <w:vAlign w:val="center"/>
          </w:tcPr>
          <w:p w14:paraId="28D55203" w14:textId="77777777" w:rsidR="009021F1" w:rsidRPr="003142D9" w:rsidRDefault="009021F1" w:rsidP="00E637E3">
            <w:pPr>
              <w:rPr>
                <w:rFonts w:eastAsia="Calibri" w:cs="Arial"/>
                <w:sz w:val="20"/>
                <w:szCs w:val="20"/>
              </w:rPr>
            </w:pPr>
            <w:r w:rsidRPr="003142D9">
              <w:rPr>
                <w:rFonts w:eastAsia="Calibri" w:cs="Arial"/>
                <w:sz w:val="20"/>
                <w:szCs w:val="20"/>
              </w:rPr>
              <w:t>La loi nationale satisfait à cette NES n°6. Donc la NES n°6 s’appliquera</w:t>
            </w:r>
          </w:p>
        </w:tc>
      </w:tr>
      <w:tr w:rsidR="009021F1" w:rsidRPr="00E800E3" w14:paraId="215CF970" w14:textId="77777777" w:rsidTr="00E637E3">
        <w:trPr>
          <w:cantSplit/>
          <w:jc w:val="center"/>
        </w:trPr>
        <w:tc>
          <w:tcPr>
            <w:tcW w:w="5670" w:type="dxa"/>
          </w:tcPr>
          <w:p w14:paraId="209719B1"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Pour les fournisseurs principaux de ressources naturelles, contrôler les lieux de provenance, confirmer qu’ils ne contribuent pas d’une manière substantielle à la conversion ou la dégradation d’habitats naturels ou critiques, et sinon les remplacer</w:t>
            </w:r>
          </w:p>
          <w:p w14:paraId="5FC1566B"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i/>
                <w:iCs/>
                <w:szCs w:val="20"/>
              </w:rPr>
              <w:t>Paragraphes 38 à 40</w:t>
            </w:r>
          </w:p>
        </w:tc>
        <w:tc>
          <w:tcPr>
            <w:tcW w:w="5670" w:type="dxa"/>
            <w:shd w:val="clear" w:color="auto" w:fill="auto"/>
          </w:tcPr>
          <w:p w14:paraId="171D2CC7" w14:textId="77777777" w:rsidR="009021F1" w:rsidRPr="003142D9" w:rsidRDefault="009021F1" w:rsidP="00E637E3">
            <w:pPr>
              <w:pStyle w:val="Tabletext0"/>
              <w:spacing w:line="276" w:lineRule="auto"/>
              <w:rPr>
                <w:rFonts w:ascii="Arial" w:hAnsi="Arial" w:cs="Arial"/>
                <w:szCs w:val="20"/>
              </w:rPr>
            </w:pPr>
          </w:p>
          <w:p w14:paraId="554B82F7" w14:textId="77777777" w:rsidR="009021F1" w:rsidRPr="003142D9" w:rsidRDefault="009021F1" w:rsidP="00E637E3">
            <w:pPr>
              <w:pStyle w:val="Tabletext0"/>
              <w:spacing w:line="276" w:lineRule="auto"/>
              <w:rPr>
                <w:rFonts w:ascii="Arial" w:hAnsi="Arial" w:cs="Arial"/>
                <w:szCs w:val="20"/>
              </w:rPr>
            </w:pPr>
          </w:p>
          <w:p w14:paraId="4CEC322B" w14:textId="77777777" w:rsidR="009021F1" w:rsidRPr="003142D9" w:rsidRDefault="009021F1" w:rsidP="00E637E3">
            <w:pPr>
              <w:pStyle w:val="Tabletext0"/>
              <w:spacing w:line="276" w:lineRule="auto"/>
              <w:rPr>
                <w:rFonts w:ascii="Arial" w:hAnsi="Arial" w:cs="Arial"/>
                <w:szCs w:val="20"/>
              </w:rPr>
            </w:pPr>
          </w:p>
          <w:p w14:paraId="1C4D7FCD" w14:textId="77777777" w:rsidR="009021F1" w:rsidRPr="003142D9" w:rsidRDefault="009021F1" w:rsidP="00E637E3">
            <w:pPr>
              <w:pStyle w:val="Tabletext0"/>
              <w:spacing w:line="276" w:lineRule="auto"/>
              <w:rPr>
                <w:rFonts w:ascii="Arial" w:hAnsi="Arial" w:cs="Arial"/>
                <w:szCs w:val="20"/>
                <w:lang w:eastAsia="fr-FR"/>
              </w:rPr>
            </w:pPr>
            <w:r w:rsidRPr="003142D9">
              <w:rPr>
                <w:rFonts w:ascii="Arial" w:hAnsi="Arial" w:cs="Arial"/>
                <w:szCs w:val="20"/>
              </w:rPr>
              <w:t>Non mentionné dans la législation nationale</w:t>
            </w:r>
          </w:p>
        </w:tc>
        <w:tc>
          <w:tcPr>
            <w:tcW w:w="3969" w:type="dxa"/>
            <w:shd w:val="clear" w:color="auto" w:fill="auto"/>
            <w:vAlign w:val="center"/>
          </w:tcPr>
          <w:p w14:paraId="642CAFB1" w14:textId="77777777" w:rsidR="009021F1" w:rsidRPr="003142D9" w:rsidRDefault="009021F1" w:rsidP="00E637E3">
            <w:pPr>
              <w:rPr>
                <w:rFonts w:eastAsia="Calibri" w:cs="Arial"/>
                <w:sz w:val="20"/>
                <w:szCs w:val="20"/>
              </w:rPr>
            </w:pPr>
            <w:r w:rsidRPr="003142D9">
              <w:rPr>
                <w:rFonts w:cs="Arial"/>
                <w:sz w:val="20"/>
                <w:szCs w:val="20"/>
              </w:rPr>
              <w:t xml:space="preserve">La loi nationale ne satisfait pas à la NES n°6. Les exigences de la Norme 6 s’appliqueront </w:t>
            </w:r>
          </w:p>
        </w:tc>
      </w:tr>
      <w:tr w:rsidR="009021F1" w:rsidRPr="00E800E3" w14:paraId="7247C6F4" w14:textId="77777777" w:rsidTr="00E637E3">
        <w:trPr>
          <w:cantSplit/>
          <w:jc w:val="center"/>
        </w:trPr>
        <w:tc>
          <w:tcPr>
            <w:tcW w:w="15309" w:type="dxa"/>
            <w:gridSpan w:val="3"/>
            <w:shd w:val="clear" w:color="auto" w:fill="C5E0B3"/>
            <w:vAlign w:val="center"/>
          </w:tcPr>
          <w:p w14:paraId="06D9F2E4" w14:textId="77777777" w:rsidR="009021F1" w:rsidRPr="003142D9" w:rsidRDefault="009021F1" w:rsidP="00E637E3">
            <w:pPr>
              <w:spacing w:before="60" w:after="60"/>
              <w:rPr>
                <w:rFonts w:eastAsia="Calibri" w:cs="Arial"/>
                <w:b/>
                <w:bCs/>
                <w:sz w:val="20"/>
                <w:szCs w:val="20"/>
              </w:rPr>
            </w:pPr>
            <w:r w:rsidRPr="003142D9">
              <w:rPr>
                <w:rFonts w:eastAsia="Calibri" w:cs="Arial"/>
                <w:b/>
                <w:bCs/>
                <w:sz w:val="20"/>
                <w:szCs w:val="20"/>
              </w:rPr>
              <w:t>NES 7.  Peuples autochtones/Communautés locales traditionnelles d’Afrique subsaharienne historiquement défavorisées</w:t>
            </w:r>
          </w:p>
        </w:tc>
      </w:tr>
      <w:tr w:rsidR="009021F1" w:rsidRPr="00E800E3" w14:paraId="3E898530" w14:textId="77777777" w:rsidTr="00E637E3">
        <w:trPr>
          <w:cantSplit/>
          <w:jc w:val="center"/>
        </w:trPr>
        <w:tc>
          <w:tcPr>
            <w:tcW w:w="5670" w:type="dxa"/>
          </w:tcPr>
          <w:p w14:paraId="46A86C56"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Déterminer la présence ou l'attachement des peuples autochtones (y compris les communautés locales traditionnelles d'Afrique subsaharienne historiquement mal desservies)</w:t>
            </w:r>
          </w:p>
          <w:p w14:paraId="4650F616" w14:textId="77777777" w:rsidR="009021F1" w:rsidRPr="003142D9" w:rsidRDefault="009021F1" w:rsidP="00E637E3">
            <w:pPr>
              <w:rPr>
                <w:rFonts w:cs="Arial"/>
                <w:sz w:val="20"/>
                <w:szCs w:val="20"/>
              </w:rPr>
            </w:pPr>
            <w:r w:rsidRPr="003142D9">
              <w:rPr>
                <w:rFonts w:cs="Arial"/>
                <w:i/>
                <w:iCs/>
                <w:sz w:val="20"/>
                <w:szCs w:val="20"/>
              </w:rPr>
              <w:t>Paragraphes 1, 6, 8, et 10</w:t>
            </w:r>
          </w:p>
        </w:tc>
        <w:tc>
          <w:tcPr>
            <w:tcW w:w="5670" w:type="dxa"/>
            <w:shd w:val="clear" w:color="auto" w:fill="auto"/>
          </w:tcPr>
          <w:p w14:paraId="2AFD717A" w14:textId="77777777" w:rsidR="009021F1" w:rsidRPr="003142D9" w:rsidRDefault="009021F1" w:rsidP="00E637E3">
            <w:pPr>
              <w:pStyle w:val="Tabletext0"/>
              <w:spacing w:line="276" w:lineRule="auto"/>
              <w:rPr>
                <w:rFonts w:ascii="Arial" w:hAnsi="Arial" w:cs="Arial"/>
                <w:szCs w:val="20"/>
              </w:rPr>
            </w:pPr>
          </w:p>
          <w:p w14:paraId="57F713BC"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Non mentionné dans la législation nationale</w:t>
            </w:r>
          </w:p>
          <w:p w14:paraId="3CBCF8E6" w14:textId="77777777" w:rsidR="009021F1" w:rsidRPr="003142D9" w:rsidRDefault="009021F1" w:rsidP="00E637E3">
            <w:pPr>
              <w:pStyle w:val="Tabletext0"/>
              <w:spacing w:line="276" w:lineRule="auto"/>
              <w:rPr>
                <w:rFonts w:ascii="Arial" w:hAnsi="Arial" w:cs="Arial"/>
                <w:szCs w:val="20"/>
                <w:lang w:eastAsia="fr-FR"/>
              </w:rPr>
            </w:pPr>
          </w:p>
        </w:tc>
        <w:tc>
          <w:tcPr>
            <w:tcW w:w="3969" w:type="dxa"/>
            <w:shd w:val="clear" w:color="auto" w:fill="auto"/>
            <w:vAlign w:val="center"/>
          </w:tcPr>
          <w:p w14:paraId="38A57515" w14:textId="77777777" w:rsidR="009021F1" w:rsidRPr="003142D9" w:rsidRDefault="009021F1" w:rsidP="00E637E3">
            <w:pPr>
              <w:rPr>
                <w:rFonts w:eastAsia="Calibri" w:cs="Arial"/>
                <w:sz w:val="20"/>
                <w:szCs w:val="20"/>
              </w:rPr>
            </w:pPr>
            <w:r w:rsidRPr="003142D9">
              <w:rPr>
                <w:rFonts w:cs="Arial"/>
                <w:sz w:val="20"/>
                <w:szCs w:val="20"/>
              </w:rPr>
              <w:t>La loi nationale ne satisfait pas à la NES n°7. Les exigences de la Norme 7 s’appliqueront</w:t>
            </w:r>
          </w:p>
        </w:tc>
      </w:tr>
      <w:tr w:rsidR="009021F1" w:rsidRPr="00E800E3" w14:paraId="56B84D67" w14:textId="77777777" w:rsidTr="00E637E3">
        <w:trPr>
          <w:cantSplit/>
          <w:jc w:val="center"/>
        </w:trPr>
        <w:tc>
          <w:tcPr>
            <w:tcW w:w="5670" w:type="dxa"/>
          </w:tcPr>
          <w:p w14:paraId="3CC7651E"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Reconnaître que les peuples indigènes sont souvent désavantagés par les modèles traditionnels de développement</w:t>
            </w:r>
          </w:p>
          <w:p w14:paraId="487F1234" w14:textId="77777777" w:rsidR="009021F1" w:rsidRPr="003142D9" w:rsidRDefault="009021F1" w:rsidP="00E637E3">
            <w:pPr>
              <w:rPr>
                <w:rFonts w:cs="Arial"/>
                <w:sz w:val="20"/>
                <w:szCs w:val="20"/>
              </w:rPr>
            </w:pPr>
            <w:r w:rsidRPr="003142D9">
              <w:rPr>
                <w:rFonts w:cs="Arial"/>
                <w:i/>
                <w:iCs/>
                <w:sz w:val="20"/>
                <w:szCs w:val="20"/>
              </w:rPr>
              <w:t>Paragraphes 3, 4, 19, 35, et 36</w:t>
            </w:r>
          </w:p>
        </w:tc>
        <w:tc>
          <w:tcPr>
            <w:tcW w:w="5670" w:type="dxa"/>
            <w:shd w:val="clear" w:color="auto" w:fill="auto"/>
          </w:tcPr>
          <w:p w14:paraId="4DEA3AB8" w14:textId="77777777" w:rsidR="009021F1" w:rsidRPr="003142D9" w:rsidRDefault="009021F1" w:rsidP="00E637E3">
            <w:pPr>
              <w:pStyle w:val="Tabletext0"/>
              <w:spacing w:line="276" w:lineRule="auto"/>
              <w:rPr>
                <w:rFonts w:ascii="Arial" w:hAnsi="Arial" w:cs="Arial"/>
                <w:szCs w:val="20"/>
              </w:rPr>
            </w:pPr>
          </w:p>
          <w:p w14:paraId="2DDB78EA"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Non mentionné dans la législation nationale</w:t>
            </w:r>
          </w:p>
          <w:p w14:paraId="57BA7B34" w14:textId="77777777" w:rsidR="009021F1" w:rsidRPr="003142D9" w:rsidRDefault="009021F1" w:rsidP="00E637E3">
            <w:pPr>
              <w:autoSpaceDE w:val="0"/>
              <w:autoSpaceDN w:val="0"/>
              <w:adjustRightInd w:val="0"/>
              <w:rPr>
                <w:rFonts w:eastAsia="Calibri" w:cs="Arial"/>
                <w:sz w:val="20"/>
                <w:szCs w:val="20"/>
              </w:rPr>
            </w:pPr>
          </w:p>
        </w:tc>
        <w:tc>
          <w:tcPr>
            <w:tcW w:w="3969" w:type="dxa"/>
            <w:shd w:val="clear" w:color="auto" w:fill="auto"/>
          </w:tcPr>
          <w:p w14:paraId="28155DB2" w14:textId="77777777" w:rsidR="009021F1" w:rsidRPr="003142D9" w:rsidRDefault="009021F1" w:rsidP="00E637E3">
            <w:pPr>
              <w:rPr>
                <w:rFonts w:eastAsia="Calibri" w:cs="Arial"/>
                <w:sz w:val="20"/>
                <w:szCs w:val="20"/>
              </w:rPr>
            </w:pPr>
            <w:r w:rsidRPr="003142D9">
              <w:rPr>
                <w:rFonts w:cs="Arial"/>
                <w:sz w:val="20"/>
                <w:szCs w:val="20"/>
              </w:rPr>
              <w:t>La loi nationale ne satisfait pas à la NES n°7. Les exigences de la Norme 7 s’appliqueront</w:t>
            </w:r>
          </w:p>
        </w:tc>
      </w:tr>
      <w:tr w:rsidR="009021F1" w:rsidRPr="00E800E3" w14:paraId="12016F83" w14:textId="77777777" w:rsidTr="00E637E3">
        <w:trPr>
          <w:cantSplit/>
          <w:jc w:val="center"/>
        </w:trPr>
        <w:tc>
          <w:tcPr>
            <w:tcW w:w="5670" w:type="dxa"/>
          </w:tcPr>
          <w:p w14:paraId="777E5D27"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Évaluer les risques et les impacts des projets en veillant à ce que l'évaluation soit sensible aux contextes autochtones et à ce que la conception et les modalités de mise en œuvre des projets fassent l'objet d'une consultation</w:t>
            </w:r>
          </w:p>
          <w:p w14:paraId="45C8A138" w14:textId="77777777" w:rsidR="009021F1" w:rsidRPr="003142D9" w:rsidRDefault="009021F1" w:rsidP="00E637E3">
            <w:pPr>
              <w:rPr>
                <w:rFonts w:cs="Arial"/>
                <w:sz w:val="20"/>
                <w:szCs w:val="20"/>
              </w:rPr>
            </w:pPr>
            <w:r w:rsidRPr="003142D9">
              <w:rPr>
                <w:rFonts w:cs="Arial"/>
                <w:i/>
                <w:iCs/>
                <w:sz w:val="20"/>
                <w:szCs w:val="20"/>
              </w:rPr>
              <w:t>Paragraphes 5, 11, 12, 18, et 20</w:t>
            </w:r>
          </w:p>
        </w:tc>
        <w:tc>
          <w:tcPr>
            <w:tcW w:w="5670" w:type="dxa"/>
            <w:shd w:val="clear" w:color="auto" w:fill="auto"/>
          </w:tcPr>
          <w:p w14:paraId="3CDDCB85" w14:textId="77777777" w:rsidR="009021F1" w:rsidRPr="003142D9" w:rsidRDefault="009021F1" w:rsidP="00E637E3">
            <w:pPr>
              <w:pStyle w:val="Tabletext0"/>
              <w:spacing w:line="276" w:lineRule="auto"/>
              <w:rPr>
                <w:rFonts w:ascii="Arial" w:hAnsi="Arial" w:cs="Arial"/>
                <w:szCs w:val="20"/>
              </w:rPr>
            </w:pPr>
          </w:p>
          <w:p w14:paraId="23D56F8E"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Non mentionné dans la législation nationale</w:t>
            </w:r>
          </w:p>
          <w:p w14:paraId="4E2563F1" w14:textId="77777777" w:rsidR="009021F1" w:rsidRPr="003142D9" w:rsidRDefault="009021F1" w:rsidP="00E637E3">
            <w:pPr>
              <w:autoSpaceDE w:val="0"/>
              <w:autoSpaceDN w:val="0"/>
              <w:adjustRightInd w:val="0"/>
              <w:rPr>
                <w:rFonts w:eastAsia="Calibri" w:cs="Arial"/>
                <w:sz w:val="20"/>
                <w:szCs w:val="20"/>
              </w:rPr>
            </w:pPr>
          </w:p>
        </w:tc>
        <w:tc>
          <w:tcPr>
            <w:tcW w:w="3969" w:type="dxa"/>
            <w:shd w:val="clear" w:color="auto" w:fill="auto"/>
          </w:tcPr>
          <w:p w14:paraId="0B77E7BA" w14:textId="77777777" w:rsidR="009021F1" w:rsidRPr="003142D9" w:rsidRDefault="009021F1" w:rsidP="00E637E3">
            <w:pPr>
              <w:rPr>
                <w:rFonts w:eastAsia="Calibri" w:cs="Arial"/>
                <w:sz w:val="20"/>
                <w:szCs w:val="20"/>
              </w:rPr>
            </w:pPr>
            <w:r w:rsidRPr="003142D9">
              <w:rPr>
                <w:rFonts w:cs="Arial"/>
                <w:sz w:val="20"/>
                <w:szCs w:val="20"/>
              </w:rPr>
              <w:t>La loi nationale ne satisfait pas à la NES n°7. Les exigences de la Norme 7 s’appliqueront</w:t>
            </w:r>
          </w:p>
        </w:tc>
      </w:tr>
      <w:tr w:rsidR="009021F1" w:rsidRPr="00E800E3" w14:paraId="5A142D62" w14:textId="77777777" w:rsidTr="00E637E3">
        <w:trPr>
          <w:cantSplit/>
          <w:jc w:val="center"/>
        </w:trPr>
        <w:tc>
          <w:tcPr>
            <w:tcW w:w="5670" w:type="dxa"/>
          </w:tcPr>
          <w:p w14:paraId="5C1FBD1E"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Identifier des mesures d'atténuation répondant aux objectifs et aux préférences des autochtones</w:t>
            </w:r>
          </w:p>
          <w:p w14:paraId="48A72182" w14:textId="77777777" w:rsidR="009021F1" w:rsidRPr="003142D9" w:rsidRDefault="009021F1" w:rsidP="00E637E3">
            <w:pPr>
              <w:rPr>
                <w:rFonts w:cs="Arial"/>
                <w:sz w:val="20"/>
                <w:szCs w:val="20"/>
              </w:rPr>
            </w:pPr>
            <w:r w:rsidRPr="003142D9">
              <w:rPr>
                <w:rFonts w:cs="Arial"/>
                <w:i/>
                <w:iCs/>
                <w:sz w:val="20"/>
                <w:szCs w:val="20"/>
              </w:rPr>
              <w:t>Paragraphes 13, 18, 21, et 22</w:t>
            </w:r>
          </w:p>
        </w:tc>
        <w:tc>
          <w:tcPr>
            <w:tcW w:w="5670" w:type="dxa"/>
            <w:shd w:val="clear" w:color="auto" w:fill="auto"/>
          </w:tcPr>
          <w:p w14:paraId="4EBD4A7F" w14:textId="77777777" w:rsidR="009021F1" w:rsidRPr="003142D9" w:rsidRDefault="009021F1" w:rsidP="00E637E3">
            <w:pPr>
              <w:pStyle w:val="Tabletext0"/>
              <w:spacing w:line="276" w:lineRule="auto"/>
              <w:rPr>
                <w:rFonts w:ascii="Arial" w:hAnsi="Arial" w:cs="Arial"/>
                <w:szCs w:val="20"/>
              </w:rPr>
            </w:pPr>
          </w:p>
          <w:p w14:paraId="4EDFD4E9"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Non mentionné dans la législation nationale</w:t>
            </w:r>
          </w:p>
          <w:p w14:paraId="7BF7C243" w14:textId="77777777" w:rsidR="009021F1" w:rsidRPr="003142D9" w:rsidRDefault="009021F1" w:rsidP="00E637E3">
            <w:pPr>
              <w:autoSpaceDE w:val="0"/>
              <w:autoSpaceDN w:val="0"/>
              <w:adjustRightInd w:val="0"/>
              <w:rPr>
                <w:rFonts w:eastAsia="Calibri" w:cs="Arial"/>
                <w:sz w:val="20"/>
                <w:szCs w:val="20"/>
              </w:rPr>
            </w:pPr>
          </w:p>
        </w:tc>
        <w:tc>
          <w:tcPr>
            <w:tcW w:w="3969" w:type="dxa"/>
            <w:shd w:val="clear" w:color="auto" w:fill="auto"/>
          </w:tcPr>
          <w:p w14:paraId="6AE47973" w14:textId="77777777" w:rsidR="009021F1" w:rsidRPr="003142D9" w:rsidRDefault="009021F1" w:rsidP="00E637E3">
            <w:pPr>
              <w:rPr>
                <w:rFonts w:eastAsia="Calibri" w:cs="Arial"/>
                <w:sz w:val="20"/>
                <w:szCs w:val="20"/>
              </w:rPr>
            </w:pPr>
            <w:r w:rsidRPr="003142D9">
              <w:rPr>
                <w:rFonts w:cs="Arial"/>
                <w:sz w:val="20"/>
                <w:szCs w:val="20"/>
              </w:rPr>
              <w:t>La loi nationale ne satisfait pas à la NES n°7. Les exigences de la Norme 7 s’appliqueront</w:t>
            </w:r>
          </w:p>
        </w:tc>
      </w:tr>
      <w:tr w:rsidR="009021F1" w:rsidRPr="00E800E3" w14:paraId="43F8F0E8" w14:textId="77777777" w:rsidTr="00E637E3">
        <w:trPr>
          <w:cantSplit/>
          <w:jc w:val="center"/>
        </w:trPr>
        <w:tc>
          <w:tcPr>
            <w:tcW w:w="5670" w:type="dxa"/>
          </w:tcPr>
          <w:p w14:paraId="531DE523"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Préparer un plan pour les populations autochtones (plan de développement communautaire intégré lorsque les groupes sont divers, ou intégrer la planification dans la conception lorsque les bénéficiaires sont uniques)</w:t>
            </w:r>
          </w:p>
          <w:p w14:paraId="3CEC5611" w14:textId="77777777" w:rsidR="009021F1" w:rsidRPr="003142D9" w:rsidRDefault="009021F1" w:rsidP="00E637E3">
            <w:pPr>
              <w:rPr>
                <w:rFonts w:cs="Arial"/>
                <w:sz w:val="20"/>
                <w:szCs w:val="20"/>
              </w:rPr>
            </w:pPr>
            <w:r w:rsidRPr="003142D9">
              <w:rPr>
                <w:rFonts w:cs="Arial"/>
                <w:i/>
                <w:iCs/>
                <w:sz w:val="20"/>
                <w:szCs w:val="20"/>
              </w:rPr>
              <w:t>Paragraphes 14, 15, et 17</w:t>
            </w:r>
          </w:p>
        </w:tc>
        <w:tc>
          <w:tcPr>
            <w:tcW w:w="5670" w:type="dxa"/>
            <w:shd w:val="clear" w:color="auto" w:fill="auto"/>
          </w:tcPr>
          <w:p w14:paraId="51AEA8A9" w14:textId="77777777" w:rsidR="009021F1" w:rsidRPr="003142D9" w:rsidRDefault="009021F1" w:rsidP="00E637E3">
            <w:pPr>
              <w:pStyle w:val="Tabletext0"/>
              <w:spacing w:line="276" w:lineRule="auto"/>
              <w:rPr>
                <w:rFonts w:ascii="Arial" w:hAnsi="Arial" w:cs="Arial"/>
                <w:szCs w:val="20"/>
              </w:rPr>
            </w:pPr>
          </w:p>
          <w:p w14:paraId="3489371C" w14:textId="77777777" w:rsidR="009021F1" w:rsidRPr="003142D9" w:rsidRDefault="009021F1" w:rsidP="00E637E3">
            <w:pPr>
              <w:pStyle w:val="Tabletext0"/>
              <w:spacing w:line="276" w:lineRule="auto"/>
              <w:rPr>
                <w:rFonts w:ascii="Arial" w:hAnsi="Arial" w:cs="Arial"/>
                <w:szCs w:val="20"/>
              </w:rPr>
            </w:pPr>
          </w:p>
          <w:p w14:paraId="0F13ED3D"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Non mentionné dans la législation nationale</w:t>
            </w:r>
          </w:p>
          <w:p w14:paraId="0A80FC41" w14:textId="77777777" w:rsidR="009021F1" w:rsidRPr="003142D9" w:rsidRDefault="009021F1" w:rsidP="00E637E3">
            <w:pPr>
              <w:autoSpaceDE w:val="0"/>
              <w:autoSpaceDN w:val="0"/>
              <w:adjustRightInd w:val="0"/>
              <w:rPr>
                <w:rFonts w:eastAsia="Calibri" w:cs="Arial"/>
                <w:sz w:val="20"/>
                <w:szCs w:val="20"/>
              </w:rPr>
            </w:pPr>
          </w:p>
        </w:tc>
        <w:tc>
          <w:tcPr>
            <w:tcW w:w="3969" w:type="dxa"/>
            <w:shd w:val="clear" w:color="auto" w:fill="auto"/>
          </w:tcPr>
          <w:p w14:paraId="1159FAD8" w14:textId="77777777" w:rsidR="009021F1" w:rsidRPr="003142D9" w:rsidRDefault="009021F1" w:rsidP="00E637E3">
            <w:pPr>
              <w:rPr>
                <w:rFonts w:eastAsia="Calibri" w:cs="Arial"/>
                <w:sz w:val="20"/>
                <w:szCs w:val="20"/>
              </w:rPr>
            </w:pPr>
            <w:r w:rsidRPr="003142D9">
              <w:rPr>
                <w:rFonts w:cs="Arial"/>
                <w:sz w:val="20"/>
                <w:szCs w:val="20"/>
              </w:rPr>
              <w:t>La loi nationale ne satisfait pas à la NES n°7. Les exigences de la Norme 7 s’appliqueront</w:t>
            </w:r>
          </w:p>
        </w:tc>
      </w:tr>
      <w:tr w:rsidR="009021F1" w:rsidRPr="00E800E3" w14:paraId="31CF9AB8" w14:textId="77777777" w:rsidTr="00E637E3">
        <w:trPr>
          <w:cantSplit/>
          <w:jc w:val="center"/>
        </w:trPr>
        <w:tc>
          <w:tcPr>
            <w:tcW w:w="5670" w:type="dxa"/>
          </w:tcPr>
          <w:p w14:paraId="403ED636"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Engager un processus de mobilisation tel que prévu dans la NES 10, qui comprendra une analyse des parties prenantes et la formulation de plans de mobilisation, la diffusion d’informations ainsi que des consultations approfondies, d’une manière adaptée à la culture locale.</w:t>
            </w:r>
          </w:p>
          <w:p w14:paraId="45ACBEF7" w14:textId="77777777" w:rsidR="009021F1" w:rsidRPr="003142D9" w:rsidRDefault="009021F1" w:rsidP="00E637E3">
            <w:pPr>
              <w:rPr>
                <w:rFonts w:cs="Arial"/>
                <w:sz w:val="20"/>
                <w:szCs w:val="20"/>
              </w:rPr>
            </w:pPr>
            <w:r w:rsidRPr="003142D9">
              <w:rPr>
                <w:rFonts w:cs="Arial"/>
                <w:i/>
                <w:iCs/>
                <w:sz w:val="20"/>
                <w:szCs w:val="20"/>
              </w:rPr>
              <w:t>Paragraphe 23</w:t>
            </w:r>
          </w:p>
        </w:tc>
        <w:tc>
          <w:tcPr>
            <w:tcW w:w="5670" w:type="dxa"/>
            <w:shd w:val="clear" w:color="auto" w:fill="auto"/>
          </w:tcPr>
          <w:p w14:paraId="0F26F269" w14:textId="77777777" w:rsidR="009021F1" w:rsidRPr="003142D9" w:rsidRDefault="009021F1" w:rsidP="00E637E3">
            <w:pPr>
              <w:pStyle w:val="Tabletext0"/>
              <w:spacing w:line="276" w:lineRule="auto"/>
              <w:rPr>
                <w:rFonts w:ascii="Arial" w:hAnsi="Arial" w:cs="Arial"/>
                <w:szCs w:val="20"/>
              </w:rPr>
            </w:pPr>
          </w:p>
          <w:p w14:paraId="642E501A" w14:textId="77777777" w:rsidR="009021F1" w:rsidRPr="003142D9" w:rsidRDefault="009021F1" w:rsidP="00E637E3">
            <w:pPr>
              <w:pStyle w:val="Tabletext0"/>
              <w:spacing w:line="276" w:lineRule="auto"/>
              <w:rPr>
                <w:rFonts w:ascii="Arial" w:hAnsi="Arial" w:cs="Arial"/>
                <w:szCs w:val="20"/>
              </w:rPr>
            </w:pPr>
          </w:p>
          <w:p w14:paraId="5FC3EADB"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Non mentionné dans la législation nationale</w:t>
            </w:r>
          </w:p>
          <w:p w14:paraId="7A15C599" w14:textId="77777777" w:rsidR="009021F1" w:rsidRPr="003142D9" w:rsidRDefault="009021F1" w:rsidP="00E637E3">
            <w:pPr>
              <w:autoSpaceDE w:val="0"/>
              <w:autoSpaceDN w:val="0"/>
              <w:adjustRightInd w:val="0"/>
              <w:rPr>
                <w:rFonts w:eastAsia="Calibri" w:cs="Arial"/>
                <w:sz w:val="20"/>
                <w:szCs w:val="20"/>
              </w:rPr>
            </w:pPr>
          </w:p>
        </w:tc>
        <w:tc>
          <w:tcPr>
            <w:tcW w:w="3969" w:type="dxa"/>
            <w:shd w:val="clear" w:color="auto" w:fill="auto"/>
          </w:tcPr>
          <w:p w14:paraId="304A69F5" w14:textId="77777777" w:rsidR="009021F1" w:rsidRPr="003142D9" w:rsidRDefault="009021F1" w:rsidP="00E637E3">
            <w:pPr>
              <w:rPr>
                <w:rFonts w:eastAsia="Calibri" w:cs="Arial"/>
                <w:sz w:val="20"/>
                <w:szCs w:val="20"/>
              </w:rPr>
            </w:pPr>
            <w:r w:rsidRPr="003142D9">
              <w:rPr>
                <w:rFonts w:cs="Arial"/>
                <w:sz w:val="20"/>
                <w:szCs w:val="20"/>
              </w:rPr>
              <w:t>La loi nationale ne satisfait pas à la NES n°7. Les exigences de la Norme 7 s’appliqueront</w:t>
            </w:r>
          </w:p>
        </w:tc>
      </w:tr>
      <w:tr w:rsidR="009021F1" w:rsidRPr="00E800E3" w14:paraId="7321BEA7" w14:textId="77777777" w:rsidTr="00E637E3">
        <w:trPr>
          <w:cantSplit/>
          <w:jc w:val="center"/>
        </w:trPr>
        <w:tc>
          <w:tcPr>
            <w:tcW w:w="5670" w:type="dxa"/>
          </w:tcPr>
          <w:p w14:paraId="046F5FF6"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Obtenir un consentement libre, préalable et éclairé (CPLCC) pour les projets ayant un impact sur les terres, les ressources ou le patrimoine culturel des populations indigènes, ou entraînant une relocalisation</w:t>
            </w:r>
          </w:p>
          <w:p w14:paraId="3FC10F0C" w14:textId="77777777" w:rsidR="009021F1" w:rsidRPr="003142D9" w:rsidRDefault="009021F1" w:rsidP="00E637E3">
            <w:pPr>
              <w:rPr>
                <w:rFonts w:cs="Arial"/>
                <w:sz w:val="20"/>
                <w:szCs w:val="20"/>
              </w:rPr>
            </w:pPr>
            <w:r w:rsidRPr="003142D9">
              <w:rPr>
                <w:rFonts w:cs="Arial"/>
                <w:i/>
                <w:iCs/>
                <w:sz w:val="20"/>
                <w:szCs w:val="20"/>
              </w:rPr>
              <w:t>Paragraphes 24 à 28</w:t>
            </w:r>
          </w:p>
        </w:tc>
        <w:tc>
          <w:tcPr>
            <w:tcW w:w="5670" w:type="dxa"/>
            <w:shd w:val="clear" w:color="auto" w:fill="auto"/>
          </w:tcPr>
          <w:p w14:paraId="6C6B1F6A" w14:textId="77777777" w:rsidR="009021F1" w:rsidRPr="003142D9" w:rsidRDefault="009021F1" w:rsidP="00E637E3">
            <w:pPr>
              <w:pStyle w:val="Tabletext0"/>
              <w:spacing w:line="276" w:lineRule="auto"/>
              <w:rPr>
                <w:rFonts w:ascii="Arial" w:hAnsi="Arial" w:cs="Arial"/>
                <w:szCs w:val="20"/>
              </w:rPr>
            </w:pPr>
          </w:p>
          <w:p w14:paraId="64A12077" w14:textId="77777777" w:rsidR="009021F1" w:rsidRPr="003142D9" w:rsidRDefault="009021F1" w:rsidP="00E637E3">
            <w:pPr>
              <w:pStyle w:val="Tabletext0"/>
              <w:spacing w:line="276" w:lineRule="auto"/>
              <w:rPr>
                <w:rFonts w:ascii="Arial" w:hAnsi="Arial" w:cs="Arial"/>
                <w:szCs w:val="20"/>
              </w:rPr>
            </w:pPr>
          </w:p>
          <w:p w14:paraId="146751EB"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Non mentionné dans la législation nationale</w:t>
            </w:r>
          </w:p>
          <w:p w14:paraId="5ABE724C" w14:textId="77777777" w:rsidR="009021F1" w:rsidRPr="003142D9" w:rsidRDefault="009021F1" w:rsidP="00E637E3">
            <w:pPr>
              <w:autoSpaceDE w:val="0"/>
              <w:autoSpaceDN w:val="0"/>
              <w:adjustRightInd w:val="0"/>
              <w:rPr>
                <w:rFonts w:eastAsia="Calibri" w:cs="Arial"/>
                <w:sz w:val="20"/>
                <w:szCs w:val="20"/>
              </w:rPr>
            </w:pPr>
          </w:p>
        </w:tc>
        <w:tc>
          <w:tcPr>
            <w:tcW w:w="3969" w:type="dxa"/>
            <w:shd w:val="clear" w:color="auto" w:fill="auto"/>
          </w:tcPr>
          <w:p w14:paraId="5733A3DA" w14:textId="77777777" w:rsidR="009021F1" w:rsidRPr="003142D9" w:rsidRDefault="009021F1" w:rsidP="00E637E3">
            <w:pPr>
              <w:rPr>
                <w:rFonts w:eastAsia="Calibri" w:cs="Arial"/>
                <w:sz w:val="20"/>
                <w:szCs w:val="20"/>
              </w:rPr>
            </w:pPr>
            <w:r w:rsidRPr="003142D9">
              <w:rPr>
                <w:rFonts w:cs="Arial"/>
                <w:sz w:val="20"/>
                <w:szCs w:val="20"/>
              </w:rPr>
              <w:t>La loi nationale ne satisfait pas à la NES n°7. Les exigences de la Norme 7 s’appliqueront</w:t>
            </w:r>
          </w:p>
        </w:tc>
      </w:tr>
      <w:tr w:rsidR="009021F1" w:rsidRPr="00E800E3" w14:paraId="3C671FBB" w14:textId="77777777" w:rsidTr="00E637E3">
        <w:trPr>
          <w:cantSplit/>
          <w:jc w:val="center"/>
        </w:trPr>
        <w:tc>
          <w:tcPr>
            <w:tcW w:w="5670" w:type="dxa"/>
          </w:tcPr>
          <w:p w14:paraId="709C126A"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Éviter la délocalisation des terres traditionnelles et préparer des plans pour la reconnaissance de la propriété légale</w:t>
            </w:r>
          </w:p>
          <w:p w14:paraId="2E7B4F31" w14:textId="77777777" w:rsidR="009021F1" w:rsidRPr="003142D9" w:rsidRDefault="009021F1" w:rsidP="00E637E3">
            <w:pPr>
              <w:rPr>
                <w:rFonts w:cs="Arial"/>
                <w:sz w:val="20"/>
                <w:szCs w:val="20"/>
              </w:rPr>
            </w:pPr>
            <w:r w:rsidRPr="003142D9">
              <w:rPr>
                <w:rFonts w:cs="Arial"/>
                <w:i/>
                <w:iCs/>
                <w:sz w:val="20"/>
                <w:szCs w:val="20"/>
              </w:rPr>
              <w:t>Paragraphes 29 à 31</w:t>
            </w:r>
          </w:p>
        </w:tc>
        <w:tc>
          <w:tcPr>
            <w:tcW w:w="5670" w:type="dxa"/>
            <w:shd w:val="clear" w:color="auto" w:fill="auto"/>
          </w:tcPr>
          <w:p w14:paraId="4B99C6D1" w14:textId="77777777" w:rsidR="009021F1" w:rsidRPr="003142D9" w:rsidRDefault="009021F1" w:rsidP="00E637E3">
            <w:pPr>
              <w:pStyle w:val="Tabletext0"/>
              <w:spacing w:line="276" w:lineRule="auto"/>
              <w:rPr>
                <w:rFonts w:ascii="Arial" w:hAnsi="Arial" w:cs="Arial"/>
                <w:szCs w:val="20"/>
              </w:rPr>
            </w:pPr>
          </w:p>
          <w:p w14:paraId="656D2CB8"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Non mentionné dans la législation nationale</w:t>
            </w:r>
          </w:p>
          <w:p w14:paraId="28598528" w14:textId="77777777" w:rsidR="009021F1" w:rsidRPr="003142D9" w:rsidRDefault="009021F1" w:rsidP="00E637E3">
            <w:pPr>
              <w:autoSpaceDE w:val="0"/>
              <w:autoSpaceDN w:val="0"/>
              <w:adjustRightInd w:val="0"/>
              <w:rPr>
                <w:rFonts w:eastAsia="Calibri" w:cs="Arial"/>
                <w:sz w:val="20"/>
                <w:szCs w:val="20"/>
              </w:rPr>
            </w:pPr>
          </w:p>
        </w:tc>
        <w:tc>
          <w:tcPr>
            <w:tcW w:w="3969" w:type="dxa"/>
            <w:shd w:val="clear" w:color="auto" w:fill="auto"/>
          </w:tcPr>
          <w:p w14:paraId="0D56221B" w14:textId="77777777" w:rsidR="009021F1" w:rsidRPr="003142D9" w:rsidRDefault="009021F1" w:rsidP="00E637E3">
            <w:pPr>
              <w:rPr>
                <w:rFonts w:eastAsia="Calibri" w:cs="Arial"/>
                <w:sz w:val="20"/>
                <w:szCs w:val="20"/>
              </w:rPr>
            </w:pPr>
            <w:r w:rsidRPr="003142D9">
              <w:rPr>
                <w:rFonts w:cs="Arial"/>
                <w:sz w:val="20"/>
                <w:szCs w:val="20"/>
              </w:rPr>
              <w:t>La loi nationale ne satisfait pas à la NES n°7. Les exigences de la Norme 7 s’appliqueront</w:t>
            </w:r>
          </w:p>
        </w:tc>
      </w:tr>
      <w:tr w:rsidR="009021F1" w:rsidRPr="00E800E3" w14:paraId="1A3D48AD" w14:textId="77777777" w:rsidTr="00E637E3">
        <w:trPr>
          <w:cantSplit/>
          <w:jc w:val="center"/>
        </w:trPr>
        <w:tc>
          <w:tcPr>
            <w:tcW w:w="5670" w:type="dxa"/>
          </w:tcPr>
          <w:p w14:paraId="5B390C11"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Éviter les impacts significatifs sur le patrimoine culturel et obtenir le CPLCC si l'on propose une utilisation commerciale</w:t>
            </w:r>
          </w:p>
          <w:p w14:paraId="3690DECA" w14:textId="77777777" w:rsidR="009021F1" w:rsidRPr="003142D9" w:rsidRDefault="009021F1" w:rsidP="00E637E3">
            <w:pPr>
              <w:rPr>
                <w:rFonts w:cs="Arial"/>
                <w:sz w:val="20"/>
                <w:szCs w:val="20"/>
              </w:rPr>
            </w:pPr>
            <w:r w:rsidRPr="003142D9">
              <w:rPr>
                <w:rFonts w:cs="Arial"/>
                <w:i/>
                <w:iCs/>
                <w:sz w:val="20"/>
                <w:szCs w:val="20"/>
              </w:rPr>
              <w:t>Paragraphe 33</w:t>
            </w:r>
          </w:p>
        </w:tc>
        <w:tc>
          <w:tcPr>
            <w:tcW w:w="5670" w:type="dxa"/>
            <w:shd w:val="clear" w:color="auto" w:fill="auto"/>
          </w:tcPr>
          <w:p w14:paraId="6EBFB376" w14:textId="77777777" w:rsidR="009021F1" w:rsidRPr="003142D9" w:rsidRDefault="009021F1" w:rsidP="00E637E3">
            <w:pPr>
              <w:pStyle w:val="Tabletext0"/>
              <w:spacing w:line="276" w:lineRule="auto"/>
              <w:rPr>
                <w:rFonts w:ascii="Arial" w:hAnsi="Arial" w:cs="Arial"/>
                <w:szCs w:val="20"/>
              </w:rPr>
            </w:pPr>
          </w:p>
          <w:p w14:paraId="4B54AC07"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Non mentionné dans la législation nationale</w:t>
            </w:r>
          </w:p>
          <w:p w14:paraId="0A58739E" w14:textId="77777777" w:rsidR="009021F1" w:rsidRPr="003142D9" w:rsidRDefault="009021F1" w:rsidP="00E637E3">
            <w:pPr>
              <w:autoSpaceDE w:val="0"/>
              <w:autoSpaceDN w:val="0"/>
              <w:adjustRightInd w:val="0"/>
              <w:rPr>
                <w:rFonts w:eastAsia="Calibri" w:cs="Arial"/>
                <w:sz w:val="20"/>
                <w:szCs w:val="20"/>
              </w:rPr>
            </w:pPr>
          </w:p>
        </w:tc>
        <w:tc>
          <w:tcPr>
            <w:tcW w:w="3969" w:type="dxa"/>
            <w:shd w:val="clear" w:color="auto" w:fill="auto"/>
          </w:tcPr>
          <w:p w14:paraId="7E583D86" w14:textId="77777777" w:rsidR="009021F1" w:rsidRPr="003142D9" w:rsidRDefault="009021F1" w:rsidP="00E637E3">
            <w:pPr>
              <w:rPr>
                <w:rFonts w:eastAsia="Calibri" w:cs="Arial"/>
                <w:sz w:val="20"/>
                <w:szCs w:val="20"/>
              </w:rPr>
            </w:pPr>
            <w:r w:rsidRPr="003142D9">
              <w:rPr>
                <w:rFonts w:cs="Arial"/>
                <w:sz w:val="20"/>
                <w:szCs w:val="20"/>
              </w:rPr>
              <w:t>La loi nationale ne satisfait pas à la NES n°7. Les exigences de la Norme 7 s’appliqueront</w:t>
            </w:r>
          </w:p>
        </w:tc>
      </w:tr>
      <w:tr w:rsidR="009021F1" w:rsidRPr="00E800E3" w14:paraId="3DF50407" w14:textId="77777777" w:rsidTr="00E637E3">
        <w:trPr>
          <w:cantSplit/>
          <w:jc w:val="center"/>
        </w:trPr>
        <w:tc>
          <w:tcPr>
            <w:tcW w:w="5670" w:type="dxa"/>
          </w:tcPr>
          <w:p w14:paraId="3C19C63A"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Mettre en place un mécanisme de gestion des plaintes culturellement adapté selon la NES 10, et tenir compte de la disponibilité de voies de recours judiciaires et de mécanismes coutumiers de règlement des conflits</w:t>
            </w:r>
          </w:p>
          <w:p w14:paraId="43D66D72" w14:textId="77777777" w:rsidR="009021F1" w:rsidRPr="003142D9" w:rsidRDefault="009021F1" w:rsidP="00E637E3">
            <w:pPr>
              <w:rPr>
                <w:rFonts w:cs="Arial"/>
                <w:sz w:val="20"/>
                <w:szCs w:val="20"/>
              </w:rPr>
            </w:pPr>
            <w:r w:rsidRPr="003142D9">
              <w:rPr>
                <w:rFonts w:cs="Arial"/>
                <w:i/>
                <w:iCs/>
                <w:sz w:val="20"/>
                <w:szCs w:val="20"/>
              </w:rPr>
              <w:t>Paragraphe 33</w:t>
            </w:r>
          </w:p>
        </w:tc>
        <w:tc>
          <w:tcPr>
            <w:tcW w:w="5670" w:type="dxa"/>
            <w:shd w:val="clear" w:color="auto" w:fill="auto"/>
          </w:tcPr>
          <w:p w14:paraId="1431881B" w14:textId="77777777" w:rsidR="009021F1" w:rsidRPr="003142D9" w:rsidRDefault="009021F1" w:rsidP="00E637E3">
            <w:pPr>
              <w:pStyle w:val="Tabletext0"/>
              <w:spacing w:line="276" w:lineRule="auto"/>
              <w:rPr>
                <w:rFonts w:ascii="Arial" w:hAnsi="Arial" w:cs="Arial"/>
                <w:szCs w:val="20"/>
              </w:rPr>
            </w:pPr>
          </w:p>
          <w:p w14:paraId="4B3F378B"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Non mentionné dans la législation nationale</w:t>
            </w:r>
          </w:p>
          <w:p w14:paraId="5342B120" w14:textId="77777777" w:rsidR="009021F1" w:rsidRPr="003142D9" w:rsidRDefault="009021F1" w:rsidP="00E637E3">
            <w:pPr>
              <w:autoSpaceDE w:val="0"/>
              <w:autoSpaceDN w:val="0"/>
              <w:adjustRightInd w:val="0"/>
              <w:rPr>
                <w:rFonts w:eastAsia="Calibri" w:cs="Arial"/>
                <w:sz w:val="20"/>
                <w:szCs w:val="20"/>
              </w:rPr>
            </w:pPr>
          </w:p>
        </w:tc>
        <w:tc>
          <w:tcPr>
            <w:tcW w:w="3969" w:type="dxa"/>
            <w:shd w:val="clear" w:color="auto" w:fill="auto"/>
          </w:tcPr>
          <w:p w14:paraId="40920C77" w14:textId="77777777" w:rsidR="009021F1" w:rsidRPr="003142D9" w:rsidRDefault="009021F1" w:rsidP="00E637E3">
            <w:pPr>
              <w:rPr>
                <w:rFonts w:eastAsia="Calibri" w:cs="Arial"/>
                <w:sz w:val="20"/>
                <w:szCs w:val="20"/>
              </w:rPr>
            </w:pPr>
            <w:r w:rsidRPr="003142D9">
              <w:rPr>
                <w:rFonts w:cs="Arial"/>
                <w:sz w:val="20"/>
                <w:szCs w:val="20"/>
              </w:rPr>
              <w:t>La loi nationale ne satisfait pas à la NES n°7. Les exigences de la Norme 7 s’appliqueront</w:t>
            </w:r>
          </w:p>
        </w:tc>
      </w:tr>
      <w:tr w:rsidR="009021F1" w:rsidRPr="00E800E3" w14:paraId="02F9A64A" w14:textId="77777777" w:rsidTr="00E637E3">
        <w:trPr>
          <w:cantSplit/>
          <w:jc w:val="center"/>
        </w:trPr>
        <w:tc>
          <w:tcPr>
            <w:tcW w:w="15309" w:type="dxa"/>
            <w:gridSpan w:val="3"/>
            <w:shd w:val="clear" w:color="auto" w:fill="C5E0B3"/>
          </w:tcPr>
          <w:p w14:paraId="7BA84F5D" w14:textId="77777777" w:rsidR="009021F1" w:rsidRPr="003142D9" w:rsidRDefault="009021F1" w:rsidP="00E637E3">
            <w:pPr>
              <w:spacing w:before="60" w:after="60"/>
              <w:rPr>
                <w:rFonts w:eastAsia="Calibri" w:cs="Arial"/>
                <w:b/>
                <w:bCs/>
                <w:sz w:val="20"/>
                <w:szCs w:val="20"/>
              </w:rPr>
            </w:pPr>
            <w:r w:rsidRPr="003142D9">
              <w:rPr>
                <w:rFonts w:eastAsia="Calibri" w:cs="Arial"/>
                <w:b/>
                <w:bCs/>
                <w:sz w:val="20"/>
                <w:szCs w:val="20"/>
              </w:rPr>
              <w:t>NES 8. Patrimoine culturel</w:t>
            </w:r>
          </w:p>
        </w:tc>
      </w:tr>
      <w:tr w:rsidR="009021F1" w:rsidRPr="00E800E3" w14:paraId="2DC4F8EA" w14:textId="77777777" w:rsidTr="00E637E3">
        <w:trPr>
          <w:cantSplit/>
          <w:jc w:val="center"/>
        </w:trPr>
        <w:tc>
          <w:tcPr>
            <w:tcW w:w="5670" w:type="dxa"/>
          </w:tcPr>
          <w:p w14:paraId="3E6D0FF8"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Inclure le patrimoine culturel dans l’évaluation environnementale et sociale, éviter les impacts négatifs sur le patrimoine culturel, sinon prévoir la mise en œuvre de mesures pour gérer ces impacts, et au besoin, élaborer un Plan de gestion du patrimoine culturel</w:t>
            </w:r>
          </w:p>
          <w:p w14:paraId="790A6194" w14:textId="77777777" w:rsidR="009021F1" w:rsidRPr="003142D9" w:rsidRDefault="009021F1" w:rsidP="00E637E3">
            <w:pPr>
              <w:rPr>
                <w:rFonts w:cs="Arial"/>
                <w:sz w:val="20"/>
                <w:szCs w:val="20"/>
                <w:lang w:eastAsia="x-none"/>
              </w:rPr>
            </w:pPr>
            <w:r w:rsidRPr="003142D9">
              <w:rPr>
                <w:rFonts w:cs="Arial"/>
                <w:i/>
                <w:iCs/>
                <w:sz w:val="20"/>
                <w:szCs w:val="20"/>
              </w:rPr>
              <w:t>Paragraphes 8  et 9</w:t>
            </w:r>
          </w:p>
        </w:tc>
        <w:tc>
          <w:tcPr>
            <w:tcW w:w="5670" w:type="dxa"/>
            <w:shd w:val="clear" w:color="auto" w:fill="auto"/>
            <w:vAlign w:val="center"/>
          </w:tcPr>
          <w:p w14:paraId="1E4E5C5C" w14:textId="77777777" w:rsidR="009021F1" w:rsidRPr="003142D9" w:rsidRDefault="009021F1" w:rsidP="00E637E3">
            <w:pPr>
              <w:pStyle w:val="Tabletext0"/>
              <w:spacing w:line="276" w:lineRule="auto"/>
              <w:rPr>
                <w:rFonts w:ascii="Arial" w:hAnsi="Arial" w:cs="Arial"/>
                <w:szCs w:val="20"/>
              </w:rPr>
            </w:pPr>
            <w:r w:rsidRPr="003142D9">
              <w:rPr>
                <w:rFonts w:ascii="Arial" w:eastAsia="Calibri" w:hAnsi="Arial" w:cs="Arial"/>
                <w:szCs w:val="20"/>
              </w:rPr>
              <w:t>L’Ordonnance-loi n° 71-016 du 15 mars 1971 relative à la protection des biens culturels prévoit que les découvertes de vestiges immobiliers ou d’objets pouvant intéresser l’art, l’histoire ou l’archéologie, qu’elles soient faites au cours des fouilles ou qu’elles soient fortuites, doivent être déclarées immédiatement par l’inventeur ou le propriétaire à l’administrateur du territoire ou au premier bourgmestre, qui en avise le ministre de la culture.</w:t>
            </w:r>
          </w:p>
        </w:tc>
        <w:tc>
          <w:tcPr>
            <w:tcW w:w="3969" w:type="dxa"/>
            <w:shd w:val="clear" w:color="auto" w:fill="auto"/>
            <w:vAlign w:val="center"/>
          </w:tcPr>
          <w:p w14:paraId="3F39F6FC" w14:textId="77777777" w:rsidR="009021F1" w:rsidRPr="003142D9" w:rsidRDefault="009021F1" w:rsidP="00E637E3">
            <w:pPr>
              <w:rPr>
                <w:rFonts w:cs="Arial"/>
                <w:sz w:val="20"/>
                <w:szCs w:val="20"/>
              </w:rPr>
            </w:pPr>
            <w:r w:rsidRPr="003142D9">
              <w:rPr>
                <w:rFonts w:eastAsia="Calibri" w:cs="Arial"/>
                <w:sz w:val="20"/>
                <w:szCs w:val="20"/>
              </w:rPr>
              <w:t>La loi nationale satisfait à cette NES n°8. Donc la NES n°8 s’appliquera</w:t>
            </w:r>
          </w:p>
        </w:tc>
      </w:tr>
      <w:tr w:rsidR="009021F1" w:rsidRPr="00E800E3" w14:paraId="3F58A9B5" w14:textId="77777777" w:rsidTr="00E637E3">
        <w:trPr>
          <w:cantSplit/>
          <w:jc w:val="center"/>
        </w:trPr>
        <w:tc>
          <w:tcPr>
            <w:tcW w:w="5670" w:type="dxa"/>
          </w:tcPr>
          <w:p w14:paraId="788DFAE7"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Inclure une procédure de découverte fortuite dans tous les marchés et contrats de construction du projet comprenant des fouilles, des démolitions, des terrassements, des inondations et d’autres modifications physiques de l’environnement, en cas de découverte, durant les activités du projet, d’un patrimoine culturel inconnu auparavant.</w:t>
            </w:r>
          </w:p>
          <w:p w14:paraId="79DF5E36" w14:textId="77777777" w:rsidR="009021F1" w:rsidRPr="003142D9" w:rsidRDefault="009021F1" w:rsidP="00E637E3">
            <w:pPr>
              <w:rPr>
                <w:rFonts w:cs="Arial"/>
                <w:sz w:val="20"/>
                <w:szCs w:val="20"/>
                <w:lang w:eastAsia="x-none"/>
              </w:rPr>
            </w:pPr>
            <w:r w:rsidRPr="003142D9">
              <w:rPr>
                <w:rFonts w:cs="Arial"/>
                <w:i/>
                <w:iCs/>
                <w:sz w:val="20"/>
                <w:szCs w:val="20"/>
              </w:rPr>
              <w:t>Paragraphe 11</w:t>
            </w:r>
          </w:p>
        </w:tc>
        <w:tc>
          <w:tcPr>
            <w:tcW w:w="5670" w:type="dxa"/>
            <w:shd w:val="clear" w:color="auto" w:fill="auto"/>
            <w:vAlign w:val="center"/>
          </w:tcPr>
          <w:p w14:paraId="092E25D9" w14:textId="77777777" w:rsidR="009021F1" w:rsidRPr="003142D9" w:rsidRDefault="009021F1" w:rsidP="00E637E3">
            <w:pPr>
              <w:rPr>
                <w:rFonts w:cs="Arial"/>
                <w:sz w:val="20"/>
                <w:szCs w:val="20"/>
              </w:rPr>
            </w:pPr>
            <w:r w:rsidRPr="003142D9">
              <w:rPr>
                <w:rFonts w:eastAsia="Calibri" w:cs="Arial"/>
                <w:sz w:val="20"/>
                <w:szCs w:val="20"/>
              </w:rPr>
              <w:t>L’Ordonnance-loi n° 71-016 du 15 mars 1971 relative à la protection des biens culturels prévoit que les découvertes de vestiges immobiliers ou d’objets pouvant intéresser l’art, l’histoire ou l’archéologie, qu’elles soient faites au cours des fouilles ou qu’elles soient fortuites, doivent être déclarées immédiatement par l’inventeur ou le propriétaire à l’administrateur du territoire ou au premier bourgmestre, qui en avise le ministre de la culture.</w:t>
            </w:r>
          </w:p>
        </w:tc>
        <w:tc>
          <w:tcPr>
            <w:tcW w:w="3969" w:type="dxa"/>
            <w:shd w:val="clear" w:color="auto" w:fill="auto"/>
            <w:vAlign w:val="center"/>
          </w:tcPr>
          <w:p w14:paraId="4A6E9C6B" w14:textId="77777777" w:rsidR="009021F1" w:rsidRPr="003142D9" w:rsidRDefault="009021F1" w:rsidP="00E637E3">
            <w:pPr>
              <w:pStyle w:val="Tabletext0"/>
              <w:spacing w:line="276" w:lineRule="auto"/>
              <w:rPr>
                <w:rFonts w:ascii="Arial" w:eastAsia="Calibri" w:hAnsi="Arial" w:cs="Arial"/>
                <w:szCs w:val="20"/>
              </w:rPr>
            </w:pPr>
            <w:r w:rsidRPr="003142D9">
              <w:rPr>
                <w:rFonts w:ascii="Arial" w:eastAsia="Calibri" w:hAnsi="Arial" w:cs="Arial"/>
                <w:szCs w:val="20"/>
              </w:rPr>
              <w:t>La loi nationale satisfait à cette disposition de la NES n°8, mais pour être en conformité avec cette politique, des dispositions sont prises dans le CGES pour protéger les sites culturels et les éventuelles découvertes archéologiques, voire Annexe 3 sur les clauses environnementales et sociales à insérer dans les DAO et les marchés de travaux.</w:t>
            </w:r>
            <w:r w:rsidRPr="003142D9">
              <w:rPr>
                <w:rFonts w:ascii="Arial" w:hAnsi="Arial" w:cs="Arial"/>
                <w:szCs w:val="20"/>
              </w:rPr>
              <w:t xml:space="preserve"> Ainsi, les exigences de la NES n°8 s’appliqueront.</w:t>
            </w:r>
          </w:p>
          <w:p w14:paraId="1073A39E" w14:textId="77777777" w:rsidR="009021F1" w:rsidRPr="003142D9" w:rsidRDefault="009021F1" w:rsidP="00E637E3">
            <w:pPr>
              <w:rPr>
                <w:rFonts w:cs="Arial"/>
                <w:sz w:val="20"/>
                <w:szCs w:val="20"/>
              </w:rPr>
            </w:pPr>
          </w:p>
        </w:tc>
      </w:tr>
      <w:tr w:rsidR="009021F1" w:rsidRPr="00E800E3" w14:paraId="1827CC0E" w14:textId="77777777" w:rsidTr="00E637E3">
        <w:trPr>
          <w:cantSplit/>
          <w:jc w:val="center"/>
        </w:trPr>
        <w:tc>
          <w:tcPr>
            <w:tcW w:w="5670" w:type="dxa"/>
          </w:tcPr>
          <w:p w14:paraId="47735F44"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Identifier, conformément à la NES 10, toutes les parties concernées par le patrimoine culturel connu ou susceptible d’être découvert durant le projet, et tenir des consultations approfondies avec les parties prenantes, conformément à la NES 10.</w:t>
            </w:r>
          </w:p>
          <w:p w14:paraId="301A9DBA" w14:textId="77777777" w:rsidR="009021F1" w:rsidRPr="003142D9" w:rsidRDefault="009021F1" w:rsidP="00E637E3">
            <w:pPr>
              <w:rPr>
                <w:rFonts w:cs="Arial"/>
                <w:sz w:val="20"/>
                <w:szCs w:val="20"/>
                <w:lang w:eastAsia="x-none"/>
              </w:rPr>
            </w:pPr>
            <w:r w:rsidRPr="003142D9">
              <w:rPr>
                <w:rFonts w:cs="Arial"/>
                <w:i/>
                <w:iCs/>
                <w:sz w:val="20"/>
                <w:szCs w:val="20"/>
              </w:rPr>
              <w:t>Paragraphe 13 et 14</w:t>
            </w:r>
          </w:p>
        </w:tc>
        <w:tc>
          <w:tcPr>
            <w:tcW w:w="5670" w:type="dxa"/>
            <w:shd w:val="clear" w:color="auto" w:fill="auto"/>
          </w:tcPr>
          <w:p w14:paraId="0821C33D" w14:textId="77777777" w:rsidR="009021F1" w:rsidRPr="003142D9" w:rsidRDefault="009021F1" w:rsidP="00E637E3">
            <w:pPr>
              <w:pStyle w:val="Tabletext0"/>
              <w:spacing w:line="276" w:lineRule="auto"/>
              <w:rPr>
                <w:rFonts w:ascii="Arial" w:hAnsi="Arial" w:cs="Arial"/>
                <w:szCs w:val="20"/>
              </w:rPr>
            </w:pPr>
          </w:p>
          <w:p w14:paraId="124BA666" w14:textId="77777777" w:rsidR="009021F1" w:rsidRPr="003142D9" w:rsidRDefault="009021F1" w:rsidP="00E637E3">
            <w:pPr>
              <w:pStyle w:val="Tabletext0"/>
              <w:spacing w:line="276" w:lineRule="auto"/>
              <w:rPr>
                <w:rFonts w:ascii="Arial" w:hAnsi="Arial" w:cs="Arial"/>
                <w:szCs w:val="20"/>
              </w:rPr>
            </w:pPr>
          </w:p>
          <w:p w14:paraId="7B3B431C"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Non mentionné dans la législation nationale</w:t>
            </w:r>
          </w:p>
          <w:p w14:paraId="2B8A81E2" w14:textId="77777777" w:rsidR="009021F1" w:rsidRPr="003142D9" w:rsidRDefault="009021F1" w:rsidP="00E637E3">
            <w:pPr>
              <w:rPr>
                <w:rFonts w:cs="Arial"/>
                <w:sz w:val="20"/>
                <w:szCs w:val="20"/>
              </w:rPr>
            </w:pPr>
          </w:p>
        </w:tc>
        <w:tc>
          <w:tcPr>
            <w:tcW w:w="3969" w:type="dxa"/>
            <w:shd w:val="clear" w:color="auto" w:fill="auto"/>
            <w:vAlign w:val="center"/>
          </w:tcPr>
          <w:p w14:paraId="7BA5868D" w14:textId="77777777" w:rsidR="009021F1" w:rsidRPr="003142D9" w:rsidRDefault="009021F1" w:rsidP="00E637E3">
            <w:pPr>
              <w:rPr>
                <w:rFonts w:cs="Arial"/>
                <w:sz w:val="20"/>
                <w:szCs w:val="20"/>
              </w:rPr>
            </w:pPr>
            <w:r w:rsidRPr="003142D9">
              <w:rPr>
                <w:rFonts w:cs="Arial"/>
                <w:sz w:val="20"/>
                <w:szCs w:val="20"/>
              </w:rPr>
              <w:t xml:space="preserve">La loi nationale ne satisfait pas à la NES n°8. Donc les exigences de la Norme 8 s’appliqueront </w:t>
            </w:r>
          </w:p>
        </w:tc>
      </w:tr>
      <w:tr w:rsidR="009021F1" w:rsidRPr="00E800E3" w14:paraId="53CDE4BC" w14:textId="77777777" w:rsidTr="00E637E3">
        <w:trPr>
          <w:cantSplit/>
          <w:jc w:val="center"/>
        </w:trPr>
        <w:tc>
          <w:tcPr>
            <w:tcW w:w="5670" w:type="dxa"/>
          </w:tcPr>
          <w:p w14:paraId="49CC003D"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Lorsque le site du projet abrite un patrimoine culturel ou bloque l’accès à des sites du patrimoine culturel accessibles auparavant, autoriser l’accès continu aux sites culturels, ou ouvrir une autre voie d’accès.</w:t>
            </w:r>
          </w:p>
          <w:p w14:paraId="3232051E" w14:textId="77777777" w:rsidR="009021F1" w:rsidRPr="003142D9" w:rsidRDefault="009021F1" w:rsidP="00E637E3">
            <w:pPr>
              <w:rPr>
                <w:rFonts w:cs="Arial"/>
                <w:sz w:val="20"/>
                <w:szCs w:val="20"/>
                <w:lang w:eastAsia="x-none"/>
              </w:rPr>
            </w:pPr>
            <w:r w:rsidRPr="003142D9">
              <w:rPr>
                <w:rFonts w:cs="Arial"/>
                <w:i/>
                <w:iCs/>
                <w:sz w:val="20"/>
                <w:szCs w:val="20"/>
              </w:rPr>
              <w:t>Paragraphes 16</w:t>
            </w:r>
          </w:p>
        </w:tc>
        <w:tc>
          <w:tcPr>
            <w:tcW w:w="5670" w:type="dxa"/>
            <w:shd w:val="clear" w:color="auto" w:fill="auto"/>
          </w:tcPr>
          <w:p w14:paraId="43FB2B63" w14:textId="77777777" w:rsidR="009021F1" w:rsidRPr="003142D9" w:rsidRDefault="009021F1" w:rsidP="00E637E3">
            <w:pPr>
              <w:pStyle w:val="Tabletext0"/>
              <w:spacing w:line="276" w:lineRule="auto"/>
              <w:rPr>
                <w:rFonts w:ascii="Arial" w:hAnsi="Arial" w:cs="Arial"/>
                <w:szCs w:val="20"/>
              </w:rPr>
            </w:pPr>
          </w:p>
          <w:p w14:paraId="15BC467D" w14:textId="77777777" w:rsidR="009021F1" w:rsidRPr="003142D9" w:rsidRDefault="009021F1" w:rsidP="00E637E3">
            <w:pPr>
              <w:pStyle w:val="Tabletext0"/>
              <w:spacing w:line="276" w:lineRule="auto"/>
              <w:rPr>
                <w:rFonts w:ascii="Arial" w:hAnsi="Arial" w:cs="Arial"/>
                <w:szCs w:val="20"/>
              </w:rPr>
            </w:pPr>
          </w:p>
          <w:p w14:paraId="72E8F4DC"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Non mentionné dans la législation nationale</w:t>
            </w:r>
          </w:p>
          <w:p w14:paraId="6E0698C0" w14:textId="77777777" w:rsidR="009021F1" w:rsidRPr="003142D9" w:rsidRDefault="009021F1" w:rsidP="00E637E3">
            <w:pPr>
              <w:rPr>
                <w:rFonts w:cs="Arial"/>
                <w:sz w:val="20"/>
                <w:szCs w:val="20"/>
              </w:rPr>
            </w:pPr>
          </w:p>
        </w:tc>
        <w:tc>
          <w:tcPr>
            <w:tcW w:w="3969" w:type="dxa"/>
            <w:shd w:val="clear" w:color="auto" w:fill="auto"/>
          </w:tcPr>
          <w:p w14:paraId="0E1EEF45" w14:textId="77777777" w:rsidR="009021F1" w:rsidRPr="003142D9" w:rsidRDefault="009021F1" w:rsidP="00E637E3">
            <w:pPr>
              <w:rPr>
                <w:rFonts w:cs="Arial"/>
                <w:sz w:val="20"/>
                <w:szCs w:val="20"/>
              </w:rPr>
            </w:pPr>
            <w:r w:rsidRPr="003142D9">
              <w:rPr>
                <w:rFonts w:cs="Arial"/>
                <w:sz w:val="20"/>
                <w:szCs w:val="20"/>
              </w:rPr>
              <w:t xml:space="preserve">La loi nationale ne satisfait pas à la NES n°8. Donc les exigences de la Norme 8 s’appliqueront </w:t>
            </w:r>
          </w:p>
        </w:tc>
      </w:tr>
      <w:tr w:rsidR="009021F1" w:rsidRPr="00E800E3" w14:paraId="6F92176C" w14:textId="77777777" w:rsidTr="00E637E3">
        <w:trPr>
          <w:cantSplit/>
          <w:jc w:val="center"/>
        </w:trPr>
        <w:tc>
          <w:tcPr>
            <w:tcW w:w="5670" w:type="dxa"/>
          </w:tcPr>
          <w:p w14:paraId="1CCCE2C1"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Dresser l’inventaire de toutes les aires protégées touchées par le projet qui abritent un patrimoine culturel classé</w:t>
            </w:r>
          </w:p>
          <w:p w14:paraId="7B23D383" w14:textId="77777777" w:rsidR="009021F1" w:rsidRPr="003142D9" w:rsidRDefault="009021F1" w:rsidP="00E637E3">
            <w:pPr>
              <w:rPr>
                <w:rFonts w:cs="Arial"/>
                <w:sz w:val="20"/>
                <w:szCs w:val="20"/>
                <w:lang w:eastAsia="x-none"/>
              </w:rPr>
            </w:pPr>
            <w:r w:rsidRPr="003142D9">
              <w:rPr>
                <w:rFonts w:cs="Arial"/>
                <w:i/>
                <w:iCs/>
                <w:sz w:val="20"/>
                <w:szCs w:val="20"/>
              </w:rPr>
              <w:t>Paragraphes 17</w:t>
            </w:r>
          </w:p>
        </w:tc>
        <w:tc>
          <w:tcPr>
            <w:tcW w:w="5670" w:type="dxa"/>
            <w:shd w:val="clear" w:color="auto" w:fill="auto"/>
          </w:tcPr>
          <w:p w14:paraId="28763AC8" w14:textId="77777777" w:rsidR="009021F1" w:rsidRPr="003142D9" w:rsidRDefault="009021F1" w:rsidP="00E637E3">
            <w:pPr>
              <w:pStyle w:val="Tabletext0"/>
              <w:spacing w:line="276" w:lineRule="auto"/>
              <w:rPr>
                <w:rFonts w:ascii="Arial" w:hAnsi="Arial" w:cs="Arial"/>
                <w:szCs w:val="20"/>
              </w:rPr>
            </w:pPr>
          </w:p>
          <w:p w14:paraId="5AB9DD9A"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Non mentionné dans la législation nationale</w:t>
            </w:r>
          </w:p>
          <w:p w14:paraId="277739B5" w14:textId="77777777" w:rsidR="009021F1" w:rsidRPr="003142D9" w:rsidRDefault="009021F1" w:rsidP="00E637E3">
            <w:pPr>
              <w:rPr>
                <w:rFonts w:cs="Arial"/>
                <w:sz w:val="20"/>
                <w:szCs w:val="20"/>
              </w:rPr>
            </w:pPr>
          </w:p>
        </w:tc>
        <w:tc>
          <w:tcPr>
            <w:tcW w:w="3969" w:type="dxa"/>
            <w:shd w:val="clear" w:color="auto" w:fill="auto"/>
          </w:tcPr>
          <w:p w14:paraId="23EDA9A6" w14:textId="77777777" w:rsidR="009021F1" w:rsidRPr="003142D9" w:rsidRDefault="009021F1" w:rsidP="00E637E3">
            <w:pPr>
              <w:rPr>
                <w:rFonts w:cs="Arial"/>
                <w:sz w:val="20"/>
                <w:szCs w:val="20"/>
              </w:rPr>
            </w:pPr>
            <w:r w:rsidRPr="003142D9">
              <w:rPr>
                <w:rFonts w:cs="Arial"/>
                <w:sz w:val="20"/>
                <w:szCs w:val="20"/>
              </w:rPr>
              <w:t xml:space="preserve">La loi nationale ne satisfait pas à la NES n°8. Donc les exigences de la Norme 8 s’appliqueront </w:t>
            </w:r>
          </w:p>
        </w:tc>
      </w:tr>
      <w:tr w:rsidR="009021F1" w:rsidRPr="00E800E3" w14:paraId="37F2A971" w14:textId="77777777" w:rsidTr="00E637E3">
        <w:trPr>
          <w:cantSplit/>
          <w:jc w:val="center"/>
        </w:trPr>
        <w:tc>
          <w:tcPr>
            <w:tcW w:w="5670" w:type="dxa"/>
          </w:tcPr>
          <w:p w14:paraId="52998D6F"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Lorsqu’il existe une forte probabilité d’activité humaine passée dans la zone du projet, procéder à une recherche documentaire et des enquêtes de terrain pour enregistrer, cartographier et étudier les vestiges archéologiques, garder trace écrite de l’emplacement de sites découverts, et transmettre les informations aux institutions nationales ou locales concernées.</w:t>
            </w:r>
          </w:p>
          <w:p w14:paraId="67D3B742" w14:textId="77777777" w:rsidR="009021F1" w:rsidRPr="003142D9" w:rsidRDefault="009021F1" w:rsidP="00E637E3">
            <w:pPr>
              <w:rPr>
                <w:rFonts w:cs="Arial"/>
                <w:sz w:val="20"/>
                <w:szCs w:val="20"/>
                <w:lang w:eastAsia="x-none"/>
              </w:rPr>
            </w:pPr>
            <w:r w:rsidRPr="003142D9">
              <w:rPr>
                <w:rFonts w:cs="Arial"/>
                <w:i/>
                <w:iCs/>
                <w:sz w:val="20"/>
                <w:szCs w:val="20"/>
              </w:rPr>
              <w:t>Paragraphes 18 à 20</w:t>
            </w:r>
          </w:p>
        </w:tc>
        <w:tc>
          <w:tcPr>
            <w:tcW w:w="5670" w:type="dxa"/>
            <w:shd w:val="clear" w:color="auto" w:fill="auto"/>
          </w:tcPr>
          <w:p w14:paraId="402A5A4F" w14:textId="77777777" w:rsidR="009021F1" w:rsidRPr="003142D9" w:rsidRDefault="009021F1" w:rsidP="00E637E3">
            <w:pPr>
              <w:pStyle w:val="Tabletext0"/>
              <w:spacing w:line="276" w:lineRule="auto"/>
              <w:rPr>
                <w:rFonts w:ascii="Arial" w:hAnsi="Arial" w:cs="Arial"/>
                <w:szCs w:val="20"/>
              </w:rPr>
            </w:pPr>
          </w:p>
          <w:p w14:paraId="33D761CA" w14:textId="77777777" w:rsidR="009021F1" w:rsidRPr="003142D9" w:rsidRDefault="009021F1" w:rsidP="00E637E3">
            <w:pPr>
              <w:pStyle w:val="Tabletext0"/>
              <w:spacing w:line="276" w:lineRule="auto"/>
              <w:rPr>
                <w:rFonts w:ascii="Arial" w:hAnsi="Arial" w:cs="Arial"/>
                <w:szCs w:val="20"/>
              </w:rPr>
            </w:pPr>
          </w:p>
          <w:p w14:paraId="68CF5B19" w14:textId="77777777" w:rsidR="009021F1" w:rsidRPr="003142D9" w:rsidRDefault="009021F1" w:rsidP="00E637E3">
            <w:pPr>
              <w:pStyle w:val="Tabletext0"/>
              <w:spacing w:line="276" w:lineRule="auto"/>
              <w:rPr>
                <w:rFonts w:ascii="Arial" w:hAnsi="Arial" w:cs="Arial"/>
                <w:szCs w:val="20"/>
              </w:rPr>
            </w:pPr>
          </w:p>
          <w:p w14:paraId="75E6AA51"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Non mentionné dans la législation nationale</w:t>
            </w:r>
          </w:p>
          <w:p w14:paraId="2D20D645" w14:textId="77777777" w:rsidR="009021F1" w:rsidRPr="003142D9" w:rsidRDefault="009021F1" w:rsidP="00E637E3">
            <w:pPr>
              <w:rPr>
                <w:rFonts w:cs="Arial"/>
                <w:sz w:val="20"/>
                <w:szCs w:val="20"/>
              </w:rPr>
            </w:pPr>
          </w:p>
        </w:tc>
        <w:tc>
          <w:tcPr>
            <w:tcW w:w="3969" w:type="dxa"/>
            <w:shd w:val="clear" w:color="auto" w:fill="auto"/>
          </w:tcPr>
          <w:p w14:paraId="5FC8DDD2" w14:textId="77777777" w:rsidR="009021F1" w:rsidRPr="003142D9" w:rsidRDefault="009021F1" w:rsidP="00E637E3">
            <w:pPr>
              <w:rPr>
                <w:rFonts w:cs="Arial"/>
                <w:sz w:val="20"/>
                <w:szCs w:val="20"/>
              </w:rPr>
            </w:pPr>
            <w:r w:rsidRPr="003142D9">
              <w:rPr>
                <w:rFonts w:cs="Arial"/>
                <w:sz w:val="20"/>
                <w:szCs w:val="20"/>
              </w:rPr>
              <w:t xml:space="preserve">La loi nationale ne satisfait pas à la NES n°8. Donc les exigences de la Norme 8 s’appliqueront </w:t>
            </w:r>
          </w:p>
        </w:tc>
      </w:tr>
      <w:tr w:rsidR="009021F1" w:rsidRPr="00E800E3" w14:paraId="28E81A6D" w14:textId="77777777" w:rsidTr="00E637E3">
        <w:trPr>
          <w:cantSplit/>
          <w:jc w:val="center"/>
        </w:trPr>
        <w:tc>
          <w:tcPr>
            <w:tcW w:w="5670" w:type="dxa"/>
          </w:tcPr>
          <w:p w14:paraId="735B19F5"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Définir des mesures d’atténuation appropriées pour remédier aux impacts négatifs sur le patrimoine bâti, préserver l’authenticité des formes, des matériaux et des techniques de construction, ainsi que l’environnement physique et visuel des structures historiques.</w:t>
            </w:r>
          </w:p>
          <w:p w14:paraId="08FFB7E8" w14:textId="77777777" w:rsidR="009021F1" w:rsidRPr="003142D9" w:rsidRDefault="009021F1" w:rsidP="00E637E3">
            <w:pPr>
              <w:rPr>
                <w:rFonts w:cs="Arial"/>
                <w:sz w:val="20"/>
                <w:szCs w:val="20"/>
                <w:lang w:eastAsia="x-none"/>
              </w:rPr>
            </w:pPr>
            <w:r w:rsidRPr="003142D9">
              <w:rPr>
                <w:rFonts w:cs="Arial"/>
                <w:i/>
                <w:iCs/>
                <w:sz w:val="20"/>
                <w:szCs w:val="20"/>
              </w:rPr>
              <w:t>Paragraphes 21 à 23</w:t>
            </w:r>
          </w:p>
        </w:tc>
        <w:tc>
          <w:tcPr>
            <w:tcW w:w="5670" w:type="dxa"/>
            <w:shd w:val="clear" w:color="auto" w:fill="auto"/>
          </w:tcPr>
          <w:p w14:paraId="553EE1F9" w14:textId="77777777" w:rsidR="009021F1" w:rsidRPr="003142D9" w:rsidRDefault="009021F1" w:rsidP="00E637E3">
            <w:pPr>
              <w:pStyle w:val="Tabletext0"/>
              <w:spacing w:line="276" w:lineRule="auto"/>
              <w:rPr>
                <w:rFonts w:ascii="Arial" w:hAnsi="Arial" w:cs="Arial"/>
                <w:szCs w:val="20"/>
              </w:rPr>
            </w:pPr>
          </w:p>
          <w:p w14:paraId="686FEB1E"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Non mentionné dans la législation nationale</w:t>
            </w:r>
          </w:p>
          <w:p w14:paraId="289BB9B0" w14:textId="77777777" w:rsidR="009021F1" w:rsidRPr="003142D9" w:rsidRDefault="009021F1" w:rsidP="00E637E3">
            <w:pPr>
              <w:rPr>
                <w:rFonts w:cs="Arial"/>
                <w:sz w:val="20"/>
                <w:szCs w:val="20"/>
              </w:rPr>
            </w:pPr>
          </w:p>
        </w:tc>
        <w:tc>
          <w:tcPr>
            <w:tcW w:w="3969" w:type="dxa"/>
            <w:shd w:val="clear" w:color="auto" w:fill="auto"/>
          </w:tcPr>
          <w:p w14:paraId="792F5BF7" w14:textId="77777777" w:rsidR="009021F1" w:rsidRPr="003142D9" w:rsidRDefault="009021F1" w:rsidP="00E637E3">
            <w:pPr>
              <w:rPr>
                <w:rFonts w:cs="Arial"/>
                <w:sz w:val="20"/>
                <w:szCs w:val="20"/>
              </w:rPr>
            </w:pPr>
            <w:r w:rsidRPr="003142D9">
              <w:rPr>
                <w:rFonts w:cs="Arial"/>
                <w:sz w:val="20"/>
                <w:szCs w:val="20"/>
              </w:rPr>
              <w:t xml:space="preserve">La loi nationale ne satisfait pas à la NES n°8. Donc les exigences de la Norme 8 s’appliqueront </w:t>
            </w:r>
          </w:p>
        </w:tc>
      </w:tr>
      <w:tr w:rsidR="009021F1" w:rsidRPr="00E800E3" w14:paraId="48544AFF" w14:textId="77777777" w:rsidTr="00E637E3">
        <w:trPr>
          <w:cantSplit/>
          <w:jc w:val="center"/>
        </w:trPr>
        <w:tc>
          <w:tcPr>
            <w:tcW w:w="5670" w:type="dxa"/>
          </w:tcPr>
          <w:p w14:paraId="6B4A9FA3"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Identifier, à travers la recherche et des consultations avec les parties concernées, les éléments naturels d’importance pour le patrimoine culturel qui pourraient être touchés par le projet, les populations qui valorisent ces éléments et les individus ou groupes qui sont habilités à représenter ces populations.</w:t>
            </w:r>
          </w:p>
          <w:p w14:paraId="28DB1A77" w14:textId="77777777" w:rsidR="009021F1" w:rsidRPr="003142D9" w:rsidRDefault="009021F1" w:rsidP="00E637E3">
            <w:pPr>
              <w:rPr>
                <w:rFonts w:cs="Arial"/>
                <w:sz w:val="20"/>
                <w:szCs w:val="20"/>
                <w:lang w:eastAsia="x-none"/>
              </w:rPr>
            </w:pPr>
            <w:r w:rsidRPr="003142D9">
              <w:rPr>
                <w:rFonts w:cs="Arial"/>
                <w:i/>
                <w:iCs/>
                <w:sz w:val="20"/>
                <w:szCs w:val="20"/>
              </w:rPr>
              <w:t>Paragraphes 24 à 26</w:t>
            </w:r>
          </w:p>
        </w:tc>
        <w:tc>
          <w:tcPr>
            <w:tcW w:w="5670" w:type="dxa"/>
            <w:shd w:val="clear" w:color="auto" w:fill="auto"/>
          </w:tcPr>
          <w:p w14:paraId="78931095" w14:textId="77777777" w:rsidR="009021F1" w:rsidRPr="003142D9" w:rsidRDefault="009021F1" w:rsidP="00E637E3">
            <w:pPr>
              <w:pStyle w:val="Tabletext0"/>
              <w:spacing w:line="276" w:lineRule="auto"/>
              <w:rPr>
                <w:rFonts w:ascii="Arial" w:hAnsi="Arial" w:cs="Arial"/>
                <w:szCs w:val="20"/>
              </w:rPr>
            </w:pPr>
          </w:p>
          <w:p w14:paraId="3CF01DAA"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Non mentionné dans la législation nationale</w:t>
            </w:r>
          </w:p>
          <w:p w14:paraId="62AECE35" w14:textId="77777777" w:rsidR="009021F1" w:rsidRPr="003142D9" w:rsidRDefault="009021F1" w:rsidP="00E637E3">
            <w:pPr>
              <w:rPr>
                <w:rFonts w:cs="Arial"/>
                <w:sz w:val="20"/>
                <w:szCs w:val="20"/>
              </w:rPr>
            </w:pPr>
          </w:p>
        </w:tc>
        <w:tc>
          <w:tcPr>
            <w:tcW w:w="3969" w:type="dxa"/>
            <w:shd w:val="clear" w:color="auto" w:fill="auto"/>
          </w:tcPr>
          <w:p w14:paraId="6729C415" w14:textId="77777777" w:rsidR="009021F1" w:rsidRPr="003142D9" w:rsidRDefault="009021F1" w:rsidP="00E637E3">
            <w:pPr>
              <w:rPr>
                <w:rFonts w:cs="Arial"/>
                <w:sz w:val="20"/>
                <w:szCs w:val="20"/>
              </w:rPr>
            </w:pPr>
            <w:r w:rsidRPr="003142D9">
              <w:rPr>
                <w:rFonts w:cs="Arial"/>
                <w:sz w:val="20"/>
                <w:szCs w:val="20"/>
              </w:rPr>
              <w:t xml:space="preserve">La loi nationale ne satisfait pas à la NES n°8. Donc les exigences de la Norme 8 s’appliqueront </w:t>
            </w:r>
          </w:p>
        </w:tc>
      </w:tr>
      <w:tr w:rsidR="009021F1" w:rsidRPr="00E800E3" w14:paraId="45163F90" w14:textId="77777777" w:rsidTr="00E637E3">
        <w:trPr>
          <w:cantSplit/>
          <w:jc w:val="center"/>
        </w:trPr>
        <w:tc>
          <w:tcPr>
            <w:tcW w:w="5670" w:type="dxa"/>
          </w:tcPr>
          <w:p w14:paraId="64CDEBA8"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Prendre des mesures pour se prémunir contre le vol et le trafic illicite d’objets du patrimoine culturel mobilier touché par le projet, et informera les autorités compétentes de toute activité de cette nature.</w:t>
            </w:r>
          </w:p>
          <w:p w14:paraId="4AD66FC3" w14:textId="77777777" w:rsidR="009021F1" w:rsidRPr="003142D9" w:rsidRDefault="009021F1" w:rsidP="00E637E3">
            <w:pPr>
              <w:rPr>
                <w:rFonts w:cs="Arial"/>
                <w:sz w:val="20"/>
                <w:szCs w:val="20"/>
                <w:lang w:eastAsia="x-none"/>
              </w:rPr>
            </w:pPr>
            <w:r w:rsidRPr="003142D9">
              <w:rPr>
                <w:rFonts w:cs="Arial"/>
                <w:i/>
                <w:iCs/>
                <w:sz w:val="20"/>
                <w:szCs w:val="20"/>
              </w:rPr>
              <w:t>Paragraphes 27 et 28</w:t>
            </w:r>
          </w:p>
        </w:tc>
        <w:tc>
          <w:tcPr>
            <w:tcW w:w="5670" w:type="dxa"/>
            <w:shd w:val="clear" w:color="auto" w:fill="auto"/>
          </w:tcPr>
          <w:p w14:paraId="1F8A5C9D" w14:textId="77777777" w:rsidR="009021F1" w:rsidRPr="003142D9" w:rsidRDefault="009021F1" w:rsidP="00E637E3">
            <w:pPr>
              <w:pStyle w:val="Tabletext0"/>
              <w:spacing w:line="276" w:lineRule="auto"/>
              <w:rPr>
                <w:rFonts w:ascii="Arial" w:hAnsi="Arial" w:cs="Arial"/>
                <w:szCs w:val="20"/>
              </w:rPr>
            </w:pPr>
          </w:p>
          <w:p w14:paraId="1A0FC589" w14:textId="77777777" w:rsidR="009021F1" w:rsidRPr="003142D9" w:rsidRDefault="009021F1" w:rsidP="00E637E3">
            <w:pPr>
              <w:pStyle w:val="Tabletext0"/>
              <w:spacing w:line="276" w:lineRule="auto"/>
              <w:rPr>
                <w:rFonts w:ascii="Arial" w:hAnsi="Arial" w:cs="Arial"/>
                <w:szCs w:val="20"/>
              </w:rPr>
            </w:pPr>
          </w:p>
          <w:p w14:paraId="6A19CBB8"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Non mentionné dans la législation nationale</w:t>
            </w:r>
          </w:p>
          <w:p w14:paraId="7AA93F76" w14:textId="77777777" w:rsidR="009021F1" w:rsidRPr="003142D9" w:rsidRDefault="009021F1" w:rsidP="00E637E3">
            <w:pPr>
              <w:rPr>
                <w:rFonts w:cs="Arial"/>
                <w:sz w:val="20"/>
                <w:szCs w:val="20"/>
              </w:rPr>
            </w:pPr>
          </w:p>
        </w:tc>
        <w:tc>
          <w:tcPr>
            <w:tcW w:w="3969" w:type="dxa"/>
            <w:shd w:val="clear" w:color="auto" w:fill="auto"/>
          </w:tcPr>
          <w:p w14:paraId="49F4881B" w14:textId="77777777" w:rsidR="009021F1" w:rsidRPr="003142D9" w:rsidRDefault="009021F1" w:rsidP="00E637E3">
            <w:pPr>
              <w:rPr>
                <w:rFonts w:cs="Arial"/>
                <w:sz w:val="20"/>
                <w:szCs w:val="20"/>
              </w:rPr>
            </w:pPr>
            <w:r w:rsidRPr="003142D9">
              <w:rPr>
                <w:rFonts w:cs="Arial"/>
                <w:sz w:val="20"/>
                <w:szCs w:val="20"/>
              </w:rPr>
              <w:t xml:space="preserve">La loi nationale ne satisfait pas à la NES n°8. Donc les exigences de la Norme 8 s’appliqueront </w:t>
            </w:r>
          </w:p>
        </w:tc>
      </w:tr>
      <w:tr w:rsidR="009021F1" w:rsidRPr="00E800E3" w14:paraId="5D395F07" w14:textId="77777777" w:rsidTr="00E637E3">
        <w:trPr>
          <w:cantSplit/>
          <w:jc w:val="center"/>
        </w:trPr>
        <w:tc>
          <w:tcPr>
            <w:tcW w:w="5670" w:type="dxa"/>
          </w:tcPr>
          <w:p w14:paraId="0191434B"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Ne procéder à une lise en valeur de patrimoine culturel à des fins commerciales qu'après des consultations approfondies, un partage juste et équitable des avantages issus de la mise en valeur, et la définition de mesures d’atténuation</w:t>
            </w:r>
          </w:p>
          <w:p w14:paraId="3CCF4EC4"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i/>
                <w:iCs/>
                <w:szCs w:val="20"/>
              </w:rPr>
              <w:t>Paragraphe 29</w:t>
            </w:r>
          </w:p>
        </w:tc>
        <w:tc>
          <w:tcPr>
            <w:tcW w:w="5670" w:type="dxa"/>
            <w:shd w:val="clear" w:color="auto" w:fill="auto"/>
          </w:tcPr>
          <w:p w14:paraId="780D89B8" w14:textId="77777777" w:rsidR="009021F1" w:rsidRPr="003142D9" w:rsidRDefault="009021F1" w:rsidP="00E637E3">
            <w:pPr>
              <w:pStyle w:val="Tabletext0"/>
              <w:spacing w:line="276" w:lineRule="auto"/>
              <w:rPr>
                <w:rFonts w:ascii="Arial" w:hAnsi="Arial" w:cs="Arial"/>
                <w:szCs w:val="20"/>
              </w:rPr>
            </w:pPr>
          </w:p>
          <w:p w14:paraId="3A695F51" w14:textId="77777777" w:rsidR="009021F1" w:rsidRPr="003142D9" w:rsidRDefault="009021F1" w:rsidP="00E637E3">
            <w:pPr>
              <w:pStyle w:val="Tabletext0"/>
              <w:spacing w:line="276" w:lineRule="auto"/>
              <w:rPr>
                <w:rFonts w:ascii="Arial" w:hAnsi="Arial" w:cs="Arial"/>
                <w:szCs w:val="20"/>
              </w:rPr>
            </w:pPr>
          </w:p>
          <w:p w14:paraId="777A697C"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Non mentionné dans la législation nationale</w:t>
            </w:r>
          </w:p>
          <w:p w14:paraId="2E2DA9B1" w14:textId="77777777" w:rsidR="009021F1" w:rsidRPr="003142D9" w:rsidRDefault="009021F1" w:rsidP="00E637E3">
            <w:pPr>
              <w:rPr>
                <w:rFonts w:cs="Arial"/>
                <w:sz w:val="20"/>
                <w:szCs w:val="20"/>
              </w:rPr>
            </w:pPr>
          </w:p>
        </w:tc>
        <w:tc>
          <w:tcPr>
            <w:tcW w:w="3969" w:type="dxa"/>
            <w:shd w:val="clear" w:color="auto" w:fill="auto"/>
          </w:tcPr>
          <w:p w14:paraId="28D3B7A8" w14:textId="77777777" w:rsidR="009021F1" w:rsidRPr="003142D9" w:rsidRDefault="009021F1" w:rsidP="00E637E3">
            <w:pPr>
              <w:rPr>
                <w:rFonts w:cs="Arial"/>
                <w:sz w:val="20"/>
                <w:szCs w:val="20"/>
              </w:rPr>
            </w:pPr>
            <w:r w:rsidRPr="003142D9">
              <w:rPr>
                <w:rFonts w:cs="Arial"/>
                <w:sz w:val="20"/>
                <w:szCs w:val="20"/>
              </w:rPr>
              <w:t xml:space="preserve">La loi nationale ne satisfait pas à la NES n°8. Donc les exigences de la Norme 8 s’appliqueront </w:t>
            </w:r>
          </w:p>
        </w:tc>
      </w:tr>
      <w:tr w:rsidR="009021F1" w:rsidRPr="00E800E3" w14:paraId="6F57D0CE" w14:textId="77777777" w:rsidTr="00E637E3">
        <w:trPr>
          <w:cantSplit/>
          <w:jc w:val="center"/>
        </w:trPr>
        <w:tc>
          <w:tcPr>
            <w:tcW w:w="15309" w:type="dxa"/>
            <w:gridSpan w:val="3"/>
            <w:shd w:val="clear" w:color="auto" w:fill="C5E0B3"/>
          </w:tcPr>
          <w:p w14:paraId="7CFF75D1" w14:textId="77777777" w:rsidR="009021F1" w:rsidRPr="003142D9" w:rsidRDefault="009021F1" w:rsidP="00E637E3">
            <w:pPr>
              <w:spacing w:before="60" w:after="60"/>
              <w:jc w:val="left"/>
              <w:rPr>
                <w:rFonts w:cs="Arial"/>
                <w:sz w:val="20"/>
                <w:szCs w:val="20"/>
              </w:rPr>
            </w:pPr>
            <w:r w:rsidRPr="003142D9">
              <w:rPr>
                <w:rFonts w:eastAsia="Calibri" w:cs="Arial"/>
                <w:b/>
                <w:bCs/>
                <w:sz w:val="20"/>
                <w:szCs w:val="20"/>
              </w:rPr>
              <w:t>NES 9.  Mobilisation des parties prenantes et information</w:t>
            </w:r>
          </w:p>
        </w:tc>
      </w:tr>
      <w:tr w:rsidR="009021F1" w:rsidRPr="00E800E3" w14:paraId="214C0068" w14:textId="77777777" w:rsidTr="00E637E3">
        <w:trPr>
          <w:cantSplit/>
          <w:jc w:val="center"/>
        </w:trPr>
        <w:tc>
          <w:tcPr>
            <w:tcW w:w="5670" w:type="dxa"/>
          </w:tcPr>
          <w:p w14:paraId="16F24EAC"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 xml:space="preserve">Définir la manière dont les IF vont évaluer et gérer les risques et effets environnementaux et sociaux associés aux sous-projets qu’ils financent. </w:t>
            </w:r>
          </w:p>
        </w:tc>
        <w:tc>
          <w:tcPr>
            <w:tcW w:w="5670" w:type="dxa"/>
            <w:shd w:val="clear" w:color="auto" w:fill="auto"/>
          </w:tcPr>
          <w:p w14:paraId="68C0DC3F" w14:textId="77777777" w:rsidR="009021F1" w:rsidRPr="003142D9" w:rsidRDefault="009021F1" w:rsidP="00E637E3">
            <w:pPr>
              <w:pStyle w:val="Tabletext0"/>
              <w:spacing w:line="276" w:lineRule="auto"/>
              <w:rPr>
                <w:rFonts w:ascii="Arial" w:hAnsi="Arial" w:cs="Arial"/>
                <w:szCs w:val="20"/>
              </w:rPr>
            </w:pPr>
          </w:p>
          <w:p w14:paraId="49CE4CD4" w14:textId="77777777" w:rsidR="009021F1" w:rsidRPr="003142D9" w:rsidRDefault="009021F1" w:rsidP="00E637E3">
            <w:pPr>
              <w:pStyle w:val="Tabletext0"/>
              <w:spacing w:line="276" w:lineRule="auto"/>
              <w:rPr>
                <w:rFonts w:ascii="Arial" w:hAnsi="Arial" w:cs="Arial"/>
                <w:szCs w:val="20"/>
              </w:rPr>
            </w:pPr>
          </w:p>
          <w:p w14:paraId="0A664918"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Non mentionné dans la législation nationale</w:t>
            </w:r>
          </w:p>
          <w:p w14:paraId="110EDCA9" w14:textId="77777777" w:rsidR="009021F1" w:rsidRPr="003142D9" w:rsidRDefault="009021F1" w:rsidP="00E637E3">
            <w:pPr>
              <w:pStyle w:val="Tabletext0"/>
              <w:spacing w:line="276" w:lineRule="auto"/>
              <w:rPr>
                <w:rFonts w:ascii="Arial" w:hAnsi="Arial" w:cs="Arial"/>
                <w:szCs w:val="20"/>
              </w:rPr>
            </w:pPr>
          </w:p>
        </w:tc>
        <w:tc>
          <w:tcPr>
            <w:tcW w:w="3969" w:type="dxa"/>
            <w:shd w:val="clear" w:color="auto" w:fill="auto"/>
          </w:tcPr>
          <w:p w14:paraId="0234090E" w14:textId="77777777" w:rsidR="009021F1" w:rsidRPr="003142D9" w:rsidRDefault="009021F1" w:rsidP="00E637E3">
            <w:pPr>
              <w:rPr>
                <w:rFonts w:cs="Arial"/>
                <w:sz w:val="20"/>
                <w:szCs w:val="20"/>
              </w:rPr>
            </w:pPr>
            <w:r w:rsidRPr="003142D9">
              <w:rPr>
                <w:rFonts w:cs="Arial"/>
                <w:sz w:val="20"/>
                <w:szCs w:val="20"/>
              </w:rPr>
              <w:t>La loi nationale ne satisfait pas à cette exigence de la NES n° 9. Ainsi donc, la NES n°9 s’appliquera et sera suivi par la Banque mondiale</w:t>
            </w:r>
          </w:p>
        </w:tc>
      </w:tr>
      <w:tr w:rsidR="009021F1" w:rsidRPr="00E800E3" w14:paraId="1AD6727A" w14:textId="77777777" w:rsidTr="00E637E3">
        <w:trPr>
          <w:cantSplit/>
          <w:jc w:val="center"/>
        </w:trPr>
        <w:tc>
          <w:tcPr>
            <w:tcW w:w="5670" w:type="dxa"/>
          </w:tcPr>
          <w:p w14:paraId="7BB85099"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 xml:space="preserve">Encourager de bonnes pratiques de gestion environnementale et sociale dans les sous-projets que les IF financent. </w:t>
            </w:r>
          </w:p>
        </w:tc>
        <w:tc>
          <w:tcPr>
            <w:tcW w:w="5670" w:type="dxa"/>
            <w:shd w:val="clear" w:color="auto" w:fill="auto"/>
          </w:tcPr>
          <w:p w14:paraId="68F904FA" w14:textId="77777777" w:rsidR="009021F1" w:rsidRPr="003142D9" w:rsidRDefault="009021F1" w:rsidP="00E637E3">
            <w:pPr>
              <w:pStyle w:val="Tabletext0"/>
              <w:spacing w:line="276" w:lineRule="auto"/>
              <w:rPr>
                <w:rFonts w:ascii="Arial" w:hAnsi="Arial" w:cs="Arial"/>
                <w:szCs w:val="20"/>
              </w:rPr>
            </w:pPr>
          </w:p>
          <w:p w14:paraId="3440CD5A" w14:textId="77777777" w:rsidR="009021F1" w:rsidRPr="003142D9" w:rsidRDefault="009021F1" w:rsidP="00E637E3">
            <w:pPr>
              <w:pStyle w:val="Tabletext0"/>
              <w:spacing w:line="276" w:lineRule="auto"/>
              <w:rPr>
                <w:rFonts w:ascii="Arial" w:hAnsi="Arial" w:cs="Arial"/>
                <w:szCs w:val="20"/>
              </w:rPr>
            </w:pPr>
          </w:p>
          <w:p w14:paraId="3512CA11"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Non mentionné dans la législation nationale</w:t>
            </w:r>
          </w:p>
          <w:p w14:paraId="2CDEB5E2" w14:textId="77777777" w:rsidR="009021F1" w:rsidRPr="003142D9" w:rsidRDefault="009021F1" w:rsidP="00E637E3">
            <w:pPr>
              <w:pStyle w:val="Tabletext0"/>
              <w:spacing w:line="276" w:lineRule="auto"/>
              <w:rPr>
                <w:rFonts w:ascii="Arial" w:hAnsi="Arial" w:cs="Arial"/>
                <w:szCs w:val="20"/>
              </w:rPr>
            </w:pPr>
          </w:p>
        </w:tc>
        <w:tc>
          <w:tcPr>
            <w:tcW w:w="3969" w:type="dxa"/>
            <w:shd w:val="clear" w:color="auto" w:fill="auto"/>
          </w:tcPr>
          <w:p w14:paraId="76F4726B" w14:textId="77777777" w:rsidR="009021F1" w:rsidRPr="003142D9" w:rsidRDefault="009021F1" w:rsidP="00E637E3">
            <w:pPr>
              <w:rPr>
                <w:rFonts w:cs="Arial"/>
                <w:sz w:val="20"/>
                <w:szCs w:val="20"/>
              </w:rPr>
            </w:pPr>
            <w:r w:rsidRPr="003142D9">
              <w:rPr>
                <w:rFonts w:cs="Arial"/>
                <w:sz w:val="20"/>
                <w:szCs w:val="20"/>
              </w:rPr>
              <w:t>La loi nationale ne satisfait pas à cette exigence de la NES n° 9. Ainsi donc, la NES n°9 s’appliquera et sera suivi par la Banque mondiale</w:t>
            </w:r>
          </w:p>
        </w:tc>
      </w:tr>
      <w:tr w:rsidR="009021F1" w:rsidRPr="00E800E3" w14:paraId="1ED93A36" w14:textId="77777777" w:rsidTr="00E637E3">
        <w:trPr>
          <w:cantSplit/>
          <w:jc w:val="center"/>
        </w:trPr>
        <w:tc>
          <w:tcPr>
            <w:tcW w:w="5670" w:type="dxa"/>
          </w:tcPr>
          <w:p w14:paraId="2FF272AF"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Promouvoir une bonne gestion de l’environnement et des ressources humaines dans le cadre de l’intermédiation financière</w:t>
            </w:r>
          </w:p>
        </w:tc>
        <w:tc>
          <w:tcPr>
            <w:tcW w:w="5670" w:type="dxa"/>
            <w:shd w:val="clear" w:color="auto" w:fill="auto"/>
          </w:tcPr>
          <w:p w14:paraId="03267E8B" w14:textId="77777777" w:rsidR="009021F1" w:rsidRPr="003142D9" w:rsidRDefault="009021F1" w:rsidP="00E637E3">
            <w:pPr>
              <w:pStyle w:val="Tabletext0"/>
              <w:spacing w:line="276" w:lineRule="auto"/>
              <w:rPr>
                <w:rFonts w:ascii="Arial" w:hAnsi="Arial" w:cs="Arial"/>
                <w:szCs w:val="20"/>
              </w:rPr>
            </w:pPr>
          </w:p>
          <w:p w14:paraId="76D13B3D" w14:textId="77777777" w:rsidR="009021F1" w:rsidRPr="003142D9" w:rsidRDefault="009021F1" w:rsidP="00E637E3">
            <w:pPr>
              <w:pStyle w:val="Tabletext0"/>
              <w:spacing w:line="276" w:lineRule="auto"/>
              <w:rPr>
                <w:rFonts w:ascii="Arial" w:hAnsi="Arial" w:cs="Arial"/>
                <w:szCs w:val="20"/>
              </w:rPr>
            </w:pPr>
          </w:p>
          <w:p w14:paraId="53DA7B76"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Non mentionné dans la législation nationale</w:t>
            </w:r>
          </w:p>
          <w:p w14:paraId="7FBF48C9" w14:textId="77777777" w:rsidR="009021F1" w:rsidRPr="003142D9" w:rsidRDefault="009021F1" w:rsidP="00E637E3">
            <w:pPr>
              <w:pStyle w:val="Tabletext0"/>
              <w:spacing w:line="276" w:lineRule="auto"/>
              <w:rPr>
                <w:rFonts w:ascii="Arial" w:hAnsi="Arial" w:cs="Arial"/>
                <w:szCs w:val="20"/>
              </w:rPr>
            </w:pPr>
          </w:p>
        </w:tc>
        <w:tc>
          <w:tcPr>
            <w:tcW w:w="3969" w:type="dxa"/>
            <w:shd w:val="clear" w:color="auto" w:fill="auto"/>
          </w:tcPr>
          <w:p w14:paraId="68584EF0" w14:textId="77777777" w:rsidR="009021F1" w:rsidRPr="003142D9" w:rsidRDefault="009021F1" w:rsidP="00E637E3">
            <w:pPr>
              <w:rPr>
                <w:rFonts w:cs="Arial"/>
                <w:sz w:val="20"/>
                <w:szCs w:val="20"/>
              </w:rPr>
            </w:pPr>
            <w:r w:rsidRPr="003142D9">
              <w:rPr>
                <w:rFonts w:cs="Arial"/>
                <w:sz w:val="20"/>
                <w:szCs w:val="20"/>
              </w:rPr>
              <w:t>La loi nationale ne satisfait pas à cette exigence de la NES n° 9. Ainsi donc, la NES n°9 s’appliquera et sera suivi par la Banque mondiale</w:t>
            </w:r>
          </w:p>
        </w:tc>
      </w:tr>
      <w:tr w:rsidR="009021F1" w:rsidRPr="00E800E3" w14:paraId="67C74061" w14:textId="77777777" w:rsidTr="00E637E3">
        <w:trPr>
          <w:cantSplit/>
          <w:jc w:val="center"/>
        </w:trPr>
        <w:tc>
          <w:tcPr>
            <w:tcW w:w="15309" w:type="dxa"/>
            <w:gridSpan w:val="3"/>
            <w:shd w:val="clear" w:color="auto" w:fill="C5E0B3"/>
          </w:tcPr>
          <w:p w14:paraId="0E9AE81C" w14:textId="77777777" w:rsidR="009021F1" w:rsidRPr="003142D9" w:rsidRDefault="009021F1" w:rsidP="00E637E3">
            <w:pPr>
              <w:spacing w:before="60" w:after="60"/>
              <w:rPr>
                <w:rFonts w:eastAsia="Calibri" w:cs="Arial"/>
                <w:b/>
                <w:bCs/>
                <w:sz w:val="20"/>
                <w:szCs w:val="20"/>
              </w:rPr>
            </w:pPr>
            <w:r w:rsidRPr="003142D9">
              <w:rPr>
                <w:rFonts w:eastAsia="Calibri" w:cs="Arial"/>
                <w:b/>
                <w:bCs/>
                <w:sz w:val="20"/>
                <w:szCs w:val="20"/>
              </w:rPr>
              <w:t>NES 10.  Mobilisation des parties prenantes et information</w:t>
            </w:r>
          </w:p>
        </w:tc>
      </w:tr>
      <w:tr w:rsidR="009021F1" w:rsidRPr="00E800E3" w14:paraId="669947A8" w14:textId="77777777" w:rsidTr="00E637E3">
        <w:trPr>
          <w:cantSplit/>
          <w:jc w:val="center"/>
        </w:trPr>
        <w:tc>
          <w:tcPr>
            <w:tcW w:w="5670" w:type="dxa"/>
          </w:tcPr>
          <w:p w14:paraId="61FDAAA5"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Mettre en place un processus de mobilisation des parties prenantes qui sera intégré à l’évaluation environnementale et sociale et à la conception et la mise en œuvre du projet, tel que préconisé dans la NES 1.</w:t>
            </w:r>
          </w:p>
          <w:p w14:paraId="5B885AE0" w14:textId="77777777" w:rsidR="009021F1" w:rsidRPr="003142D9" w:rsidRDefault="009021F1" w:rsidP="00E637E3">
            <w:pPr>
              <w:tabs>
                <w:tab w:val="center" w:pos="4320"/>
                <w:tab w:val="right" w:pos="8640"/>
              </w:tabs>
              <w:autoSpaceDE w:val="0"/>
              <w:autoSpaceDN w:val="0"/>
              <w:adjustRightInd w:val="0"/>
              <w:rPr>
                <w:rFonts w:cs="Arial"/>
                <w:i/>
                <w:sz w:val="20"/>
                <w:szCs w:val="20"/>
                <w:u w:val="single"/>
              </w:rPr>
            </w:pPr>
            <w:r w:rsidRPr="003142D9">
              <w:rPr>
                <w:rFonts w:cs="Arial"/>
                <w:i/>
                <w:iCs/>
                <w:sz w:val="20"/>
                <w:szCs w:val="20"/>
              </w:rPr>
              <w:t>Paragraphe 4</w:t>
            </w:r>
          </w:p>
        </w:tc>
        <w:tc>
          <w:tcPr>
            <w:tcW w:w="5670" w:type="dxa"/>
            <w:shd w:val="clear" w:color="auto" w:fill="auto"/>
            <w:vAlign w:val="center"/>
          </w:tcPr>
          <w:p w14:paraId="19132289" w14:textId="77777777" w:rsidR="009021F1" w:rsidRPr="003142D9" w:rsidRDefault="009021F1" w:rsidP="00E637E3">
            <w:pPr>
              <w:rPr>
                <w:rFonts w:cs="Arial"/>
                <w:sz w:val="20"/>
                <w:szCs w:val="20"/>
              </w:rPr>
            </w:pPr>
            <w:r w:rsidRPr="003142D9">
              <w:rPr>
                <w:rFonts w:cs="Arial"/>
                <w:sz w:val="20"/>
                <w:szCs w:val="20"/>
              </w:rPr>
              <w:t>La Loi n° 11/009 du 09 juillet 2011 en son Article 24 dispose que « Tout projet ou toute activité susceptible d’avoir un impact sur l’environnement est assujetti à une enquête publique préalable.</w:t>
            </w:r>
          </w:p>
          <w:p w14:paraId="0E20AF79" w14:textId="77777777" w:rsidR="009021F1" w:rsidRPr="003142D9" w:rsidRDefault="009021F1" w:rsidP="00E637E3">
            <w:pPr>
              <w:rPr>
                <w:rFonts w:cs="Arial"/>
                <w:sz w:val="20"/>
                <w:szCs w:val="20"/>
              </w:rPr>
            </w:pPr>
            <w:r w:rsidRPr="003142D9">
              <w:rPr>
                <w:rFonts w:cs="Arial"/>
                <w:sz w:val="20"/>
                <w:szCs w:val="20"/>
              </w:rPr>
              <w:t>L’enquête publique a pour objet :</w:t>
            </w:r>
          </w:p>
          <w:p w14:paraId="16F8764C" w14:textId="77777777" w:rsidR="009021F1" w:rsidRPr="003142D9" w:rsidRDefault="009021F1" w:rsidP="00E637E3">
            <w:pPr>
              <w:rPr>
                <w:rFonts w:cs="Arial"/>
                <w:sz w:val="20"/>
                <w:szCs w:val="20"/>
              </w:rPr>
            </w:pPr>
            <w:r w:rsidRPr="003142D9">
              <w:rPr>
                <w:rFonts w:cs="Arial"/>
                <w:sz w:val="20"/>
                <w:szCs w:val="20"/>
              </w:rPr>
              <w:t>a) d’informer le public en général et la population locale en particulier sur le projet ou l’activité ;</w:t>
            </w:r>
          </w:p>
          <w:p w14:paraId="54DF0412" w14:textId="77777777" w:rsidR="009021F1" w:rsidRPr="003142D9" w:rsidRDefault="009021F1" w:rsidP="00E637E3">
            <w:pPr>
              <w:rPr>
                <w:rFonts w:cs="Arial"/>
                <w:sz w:val="20"/>
                <w:szCs w:val="20"/>
              </w:rPr>
            </w:pPr>
            <w:r w:rsidRPr="003142D9">
              <w:rPr>
                <w:rFonts w:cs="Arial"/>
                <w:sz w:val="20"/>
                <w:szCs w:val="20"/>
              </w:rPr>
              <w:t>b) de recueillir les informations sur la nature et l’étendue des droits que pourraient détenir des tiers sur la zone affectée par le projet ou l’activité ;</w:t>
            </w:r>
          </w:p>
          <w:p w14:paraId="0AAC04CD" w14:textId="77777777" w:rsidR="009021F1" w:rsidRPr="003142D9" w:rsidRDefault="009021F1" w:rsidP="00E637E3">
            <w:pPr>
              <w:rPr>
                <w:rFonts w:cs="Arial"/>
                <w:sz w:val="20"/>
                <w:szCs w:val="20"/>
              </w:rPr>
            </w:pPr>
            <w:r w:rsidRPr="003142D9">
              <w:rPr>
                <w:rFonts w:cs="Arial"/>
                <w:sz w:val="20"/>
                <w:szCs w:val="20"/>
              </w:rPr>
              <w:t>c) collecter les appréciations, suggestions et contre-propositions, afin de permettre à l’autorité compétente de disposer de tous les éléments nécessaires à sa décision.</w:t>
            </w:r>
          </w:p>
          <w:p w14:paraId="0440F349"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Un décret délibéré en conseil des ministres fixe le déroulement et la sanction de l’enquête publique</w:t>
            </w:r>
          </w:p>
        </w:tc>
        <w:tc>
          <w:tcPr>
            <w:tcW w:w="3969" w:type="dxa"/>
            <w:shd w:val="clear" w:color="auto" w:fill="auto"/>
            <w:vAlign w:val="center"/>
          </w:tcPr>
          <w:p w14:paraId="4AC1DD95" w14:textId="77777777" w:rsidR="009021F1" w:rsidRPr="003142D9" w:rsidRDefault="009021F1" w:rsidP="00E637E3">
            <w:pPr>
              <w:autoSpaceDE w:val="0"/>
              <w:autoSpaceDN w:val="0"/>
              <w:rPr>
                <w:rFonts w:cs="Arial"/>
                <w:sz w:val="20"/>
                <w:szCs w:val="20"/>
              </w:rPr>
            </w:pPr>
            <w:r w:rsidRPr="003142D9">
              <w:rPr>
                <w:rFonts w:cs="Arial"/>
                <w:sz w:val="20"/>
                <w:szCs w:val="20"/>
              </w:rPr>
              <w:t>La législation nationale ne précise pas les types de projets soumis à enquête publique. Un plan de mobilisation des parties prenantes sera produit pour le Programme et adapté au fur et mesure selon l’évolution du Projet et ses besoins en communications Ainsi, la NES n°10 s’appliquera et sera suivi par la Banque mondiale</w:t>
            </w:r>
          </w:p>
          <w:p w14:paraId="0A5E8176" w14:textId="77777777" w:rsidR="009021F1" w:rsidRPr="003142D9" w:rsidRDefault="009021F1" w:rsidP="00E637E3">
            <w:pPr>
              <w:rPr>
                <w:rFonts w:eastAsia="Calibri" w:cs="Arial"/>
                <w:sz w:val="20"/>
                <w:szCs w:val="20"/>
              </w:rPr>
            </w:pPr>
          </w:p>
        </w:tc>
      </w:tr>
      <w:tr w:rsidR="009021F1" w:rsidRPr="00E800E3" w14:paraId="7FBD7E53" w14:textId="77777777" w:rsidTr="00E637E3">
        <w:trPr>
          <w:cantSplit/>
          <w:jc w:val="center"/>
        </w:trPr>
        <w:tc>
          <w:tcPr>
            <w:tcW w:w="5670" w:type="dxa"/>
          </w:tcPr>
          <w:p w14:paraId="215EF64A"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Mobiliser les parties prenantes pendant toute la durée de vie du projet, le plus tôt possible pendant l’élaboration du projet, et selon un calendrier qui permette des consultations approfondies avec les parties prenantes sur la conception du projet, et proportionner la nature, la portée et la fréquence de cette mobilisation à l’envergure et aux risques du projet.</w:t>
            </w:r>
          </w:p>
          <w:p w14:paraId="531B2AD5" w14:textId="77777777" w:rsidR="009021F1" w:rsidRPr="003142D9" w:rsidRDefault="009021F1" w:rsidP="00E637E3">
            <w:pPr>
              <w:tabs>
                <w:tab w:val="center" w:pos="4320"/>
                <w:tab w:val="right" w:pos="8640"/>
              </w:tabs>
              <w:autoSpaceDE w:val="0"/>
              <w:autoSpaceDN w:val="0"/>
              <w:adjustRightInd w:val="0"/>
              <w:rPr>
                <w:rFonts w:cs="Arial"/>
                <w:i/>
                <w:sz w:val="20"/>
                <w:szCs w:val="20"/>
                <w:u w:val="single"/>
              </w:rPr>
            </w:pPr>
            <w:r w:rsidRPr="003142D9">
              <w:rPr>
                <w:rFonts w:cs="Arial"/>
                <w:i/>
                <w:iCs/>
                <w:sz w:val="20"/>
                <w:szCs w:val="20"/>
              </w:rPr>
              <w:t>Paragraphe 6</w:t>
            </w:r>
          </w:p>
        </w:tc>
        <w:tc>
          <w:tcPr>
            <w:tcW w:w="5670" w:type="dxa"/>
            <w:shd w:val="clear" w:color="auto" w:fill="auto"/>
          </w:tcPr>
          <w:p w14:paraId="5446FED3" w14:textId="77777777" w:rsidR="009021F1" w:rsidRPr="003142D9" w:rsidRDefault="009021F1" w:rsidP="00E637E3">
            <w:pPr>
              <w:pStyle w:val="Tabletext0"/>
              <w:spacing w:line="276" w:lineRule="auto"/>
              <w:rPr>
                <w:rFonts w:ascii="Arial" w:hAnsi="Arial" w:cs="Arial"/>
                <w:szCs w:val="20"/>
              </w:rPr>
            </w:pPr>
          </w:p>
          <w:p w14:paraId="42AACF80" w14:textId="77777777" w:rsidR="009021F1" w:rsidRPr="003142D9" w:rsidRDefault="009021F1" w:rsidP="00E637E3">
            <w:pPr>
              <w:pStyle w:val="Tabletext0"/>
              <w:spacing w:line="276" w:lineRule="auto"/>
              <w:rPr>
                <w:rFonts w:ascii="Arial" w:hAnsi="Arial" w:cs="Arial"/>
                <w:szCs w:val="20"/>
              </w:rPr>
            </w:pPr>
          </w:p>
          <w:p w14:paraId="2DE73C17"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Non mentionné dans la législation nationale</w:t>
            </w:r>
          </w:p>
          <w:p w14:paraId="1AF908FD" w14:textId="77777777" w:rsidR="009021F1" w:rsidRPr="003142D9" w:rsidRDefault="009021F1" w:rsidP="00E637E3">
            <w:pPr>
              <w:tabs>
                <w:tab w:val="center" w:pos="4320"/>
                <w:tab w:val="right" w:pos="8640"/>
              </w:tabs>
              <w:autoSpaceDE w:val="0"/>
              <w:autoSpaceDN w:val="0"/>
              <w:adjustRightInd w:val="0"/>
              <w:rPr>
                <w:rFonts w:eastAsia="Calibri" w:cs="Arial"/>
                <w:iCs/>
                <w:sz w:val="20"/>
                <w:szCs w:val="20"/>
              </w:rPr>
            </w:pPr>
          </w:p>
        </w:tc>
        <w:tc>
          <w:tcPr>
            <w:tcW w:w="3969" w:type="dxa"/>
            <w:shd w:val="clear" w:color="auto" w:fill="auto"/>
          </w:tcPr>
          <w:p w14:paraId="5EDA8216" w14:textId="77777777" w:rsidR="009021F1" w:rsidRPr="003142D9" w:rsidRDefault="009021F1" w:rsidP="00E637E3">
            <w:pPr>
              <w:rPr>
                <w:rFonts w:eastAsia="Calibri" w:cs="Arial"/>
                <w:sz w:val="20"/>
                <w:szCs w:val="20"/>
              </w:rPr>
            </w:pPr>
            <w:r w:rsidRPr="003142D9">
              <w:rPr>
                <w:rFonts w:cs="Arial"/>
                <w:sz w:val="20"/>
                <w:szCs w:val="20"/>
              </w:rPr>
              <w:t>La loi nationale ne satisfait pas à cette exigence de la NES n° 10. Ainsi donc, la NES n°10 s’appliquera et sera suivi par la Banque mondiale</w:t>
            </w:r>
          </w:p>
        </w:tc>
      </w:tr>
      <w:tr w:rsidR="009021F1" w:rsidRPr="00E800E3" w14:paraId="51659358" w14:textId="77777777" w:rsidTr="00E637E3">
        <w:trPr>
          <w:cantSplit/>
          <w:jc w:val="center"/>
        </w:trPr>
        <w:tc>
          <w:tcPr>
            <w:tcW w:w="5670" w:type="dxa"/>
          </w:tcPr>
          <w:p w14:paraId="23A42B6B"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Mener des consultations approfondies avec l’ensemble des parties prenantes, leur communiquer des informations à jour, pertinentes, compréhensibles et accessibles, et les consulter d’une manière adaptée à leur culture et libre de toute manipulation, interférence, coercition, discrimination et intimidation.</w:t>
            </w:r>
          </w:p>
          <w:p w14:paraId="6C2265AF" w14:textId="77777777" w:rsidR="009021F1" w:rsidRPr="003142D9" w:rsidRDefault="009021F1" w:rsidP="00E637E3">
            <w:pPr>
              <w:tabs>
                <w:tab w:val="center" w:pos="4320"/>
                <w:tab w:val="right" w:pos="8640"/>
              </w:tabs>
              <w:autoSpaceDE w:val="0"/>
              <w:autoSpaceDN w:val="0"/>
              <w:adjustRightInd w:val="0"/>
              <w:rPr>
                <w:rFonts w:cs="Arial"/>
                <w:i/>
                <w:sz w:val="20"/>
                <w:szCs w:val="20"/>
                <w:u w:val="single"/>
              </w:rPr>
            </w:pPr>
            <w:r w:rsidRPr="003142D9">
              <w:rPr>
                <w:rFonts w:cs="Arial"/>
                <w:i/>
                <w:iCs/>
                <w:sz w:val="20"/>
                <w:szCs w:val="20"/>
              </w:rPr>
              <w:t>Paragraphes 7</w:t>
            </w:r>
          </w:p>
        </w:tc>
        <w:tc>
          <w:tcPr>
            <w:tcW w:w="5670" w:type="dxa"/>
            <w:shd w:val="clear" w:color="auto" w:fill="auto"/>
          </w:tcPr>
          <w:p w14:paraId="7EA3E527" w14:textId="77777777" w:rsidR="009021F1" w:rsidRPr="003142D9" w:rsidRDefault="009021F1" w:rsidP="00E637E3">
            <w:pPr>
              <w:pStyle w:val="Tabletext0"/>
              <w:spacing w:line="276" w:lineRule="auto"/>
              <w:rPr>
                <w:rFonts w:ascii="Arial" w:hAnsi="Arial" w:cs="Arial"/>
                <w:szCs w:val="20"/>
              </w:rPr>
            </w:pPr>
          </w:p>
          <w:p w14:paraId="709B0FA9" w14:textId="77777777" w:rsidR="009021F1" w:rsidRPr="003142D9" w:rsidRDefault="009021F1" w:rsidP="00E637E3">
            <w:pPr>
              <w:pStyle w:val="Tabletext0"/>
              <w:spacing w:line="276" w:lineRule="auto"/>
              <w:rPr>
                <w:rFonts w:ascii="Arial" w:hAnsi="Arial" w:cs="Arial"/>
                <w:szCs w:val="20"/>
              </w:rPr>
            </w:pPr>
          </w:p>
          <w:p w14:paraId="07B4C866"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Non mentionné dans la législation nationale</w:t>
            </w:r>
          </w:p>
          <w:p w14:paraId="3D78AA3A" w14:textId="77777777" w:rsidR="009021F1" w:rsidRPr="003142D9" w:rsidRDefault="009021F1" w:rsidP="00E637E3">
            <w:pPr>
              <w:tabs>
                <w:tab w:val="center" w:pos="4320"/>
                <w:tab w:val="right" w:pos="8640"/>
              </w:tabs>
              <w:autoSpaceDE w:val="0"/>
              <w:autoSpaceDN w:val="0"/>
              <w:adjustRightInd w:val="0"/>
              <w:rPr>
                <w:rFonts w:eastAsia="Calibri" w:cs="Arial"/>
                <w:iCs/>
                <w:sz w:val="20"/>
                <w:szCs w:val="20"/>
              </w:rPr>
            </w:pPr>
          </w:p>
        </w:tc>
        <w:tc>
          <w:tcPr>
            <w:tcW w:w="3969" w:type="dxa"/>
            <w:shd w:val="clear" w:color="auto" w:fill="auto"/>
          </w:tcPr>
          <w:p w14:paraId="59273D40" w14:textId="77777777" w:rsidR="009021F1" w:rsidRPr="003142D9" w:rsidRDefault="009021F1" w:rsidP="00E637E3">
            <w:pPr>
              <w:rPr>
                <w:rFonts w:eastAsia="Calibri" w:cs="Arial"/>
                <w:sz w:val="20"/>
                <w:szCs w:val="20"/>
              </w:rPr>
            </w:pPr>
            <w:r w:rsidRPr="003142D9">
              <w:rPr>
                <w:rFonts w:cs="Arial"/>
                <w:sz w:val="20"/>
                <w:szCs w:val="20"/>
              </w:rPr>
              <w:t>La loi nationale ne satisfait pas à cette exigence de la NES n° 10. Ainsi donc, la NES n°10 s’appliquera et sera suivi par la Banque mondiale</w:t>
            </w:r>
          </w:p>
        </w:tc>
      </w:tr>
      <w:tr w:rsidR="009021F1" w:rsidRPr="00E800E3" w14:paraId="234D2AF5" w14:textId="77777777" w:rsidTr="00E637E3">
        <w:trPr>
          <w:cantSplit/>
          <w:jc w:val="center"/>
        </w:trPr>
        <w:tc>
          <w:tcPr>
            <w:tcW w:w="5670" w:type="dxa"/>
          </w:tcPr>
          <w:p w14:paraId="40D281AB"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Maintenir et publier dans le cadre de l’évaluation environnementale et sociale, un recueil de documents rendant compte de la mobilisation des parties prenantes, y compris une présentation des parties prenantes consultées, un résumé des réactions obtenues, et une brève explication de la manière dont ces réactions ont été prises en compte ou non.</w:t>
            </w:r>
          </w:p>
          <w:p w14:paraId="66C549C5" w14:textId="77777777" w:rsidR="009021F1" w:rsidRPr="003142D9" w:rsidRDefault="009021F1" w:rsidP="00E637E3">
            <w:pPr>
              <w:tabs>
                <w:tab w:val="center" w:pos="4320"/>
                <w:tab w:val="right" w:pos="8640"/>
              </w:tabs>
              <w:autoSpaceDE w:val="0"/>
              <w:autoSpaceDN w:val="0"/>
              <w:adjustRightInd w:val="0"/>
              <w:rPr>
                <w:rFonts w:cs="Arial"/>
                <w:i/>
                <w:sz w:val="20"/>
                <w:szCs w:val="20"/>
                <w:u w:val="single"/>
              </w:rPr>
            </w:pPr>
            <w:r w:rsidRPr="003142D9">
              <w:rPr>
                <w:rFonts w:cs="Arial"/>
                <w:i/>
                <w:iCs/>
                <w:sz w:val="20"/>
                <w:szCs w:val="20"/>
              </w:rPr>
              <w:t>Paragraphe 9</w:t>
            </w:r>
          </w:p>
        </w:tc>
        <w:tc>
          <w:tcPr>
            <w:tcW w:w="5670" w:type="dxa"/>
            <w:shd w:val="clear" w:color="auto" w:fill="auto"/>
          </w:tcPr>
          <w:p w14:paraId="39AC03CD" w14:textId="77777777" w:rsidR="009021F1" w:rsidRPr="003142D9" w:rsidRDefault="009021F1" w:rsidP="00E637E3">
            <w:pPr>
              <w:pStyle w:val="Tabletext0"/>
              <w:spacing w:line="276" w:lineRule="auto"/>
              <w:rPr>
                <w:rFonts w:ascii="Arial" w:hAnsi="Arial" w:cs="Arial"/>
                <w:szCs w:val="20"/>
              </w:rPr>
            </w:pPr>
          </w:p>
          <w:p w14:paraId="171AA545" w14:textId="77777777" w:rsidR="009021F1" w:rsidRPr="003142D9" w:rsidRDefault="009021F1" w:rsidP="00E637E3">
            <w:pPr>
              <w:pStyle w:val="Tabletext0"/>
              <w:spacing w:line="276" w:lineRule="auto"/>
              <w:rPr>
                <w:rFonts w:ascii="Arial" w:hAnsi="Arial" w:cs="Arial"/>
                <w:szCs w:val="20"/>
              </w:rPr>
            </w:pPr>
          </w:p>
          <w:p w14:paraId="7442FAB7"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Non mentionné dans la législation nationale</w:t>
            </w:r>
          </w:p>
          <w:p w14:paraId="48993697" w14:textId="77777777" w:rsidR="009021F1" w:rsidRPr="003142D9" w:rsidRDefault="009021F1" w:rsidP="00E637E3">
            <w:pPr>
              <w:tabs>
                <w:tab w:val="center" w:pos="4320"/>
                <w:tab w:val="right" w:pos="8640"/>
              </w:tabs>
              <w:autoSpaceDE w:val="0"/>
              <w:autoSpaceDN w:val="0"/>
              <w:adjustRightInd w:val="0"/>
              <w:rPr>
                <w:rFonts w:eastAsia="Calibri" w:cs="Arial"/>
                <w:iCs/>
                <w:sz w:val="20"/>
                <w:szCs w:val="20"/>
              </w:rPr>
            </w:pPr>
          </w:p>
        </w:tc>
        <w:tc>
          <w:tcPr>
            <w:tcW w:w="3969" w:type="dxa"/>
            <w:shd w:val="clear" w:color="auto" w:fill="auto"/>
          </w:tcPr>
          <w:p w14:paraId="38D01F4A" w14:textId="77777777" w:rsidR="009021F1" w:rsidRPr="003142D9" w:rsidRDefault="009021F1" w:rsidP="00E637E3">
            <w:pPr>
              <w:rPr>
                <w:rFonts w:eastAsia="Calibri" w:cs="Arial"/>
                <w:sz w:val="20"/>
                <w:szCs w:val="20"/>
              </w:rPr>
            </w:pPr>
            <w:r w:rsidRPr="003142D9">
              <w:rPr>
                <w:rFonts w:cs="Arial"/>
                <w:sz w:val="20"/>
                <w:szCs w:val="20"/>
              </w:rPr>
              <w:t>La loi nationale ne satisfait pas à cette exigence de la NES n° 10. Ainsi donc, la NES n°10 s’appliquera et sera suivi par la Banque mondiale</w:t>
            </w:r>
          </w:p>
        </w:tc>
      </w:tr>
      <w:tr w:rsidR="009021F1" w:rsidRPr="00E800E3" w14:paraId="05185D6E" w14:textId="77777777" w:rsidTr="00E637E3">
        <w:trPr>
          <w:cantSplit/>
          <w:jc w:val="center"/>
        </w:trPr>
        <w:tc>
          <w:tcPr>
            <w:tcW w:w="5670" w:type="dxa"/>
          </w:tcPr>
          <w:p w14:paraId="6275C102"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Identifier les différentes parties prenantes, aussi bien les parties touchées par le projet que les autres parties concernées, notamment les individus ou les groupes qui, en raison de leur situation particulière, peuvent être défavorisés ou vulnérables</w:t>
            </w:r>
          </w:p>
          <w:p w14:paraId="5A7A58EB" w14:textId="77777777" w:rsidR="009021F1" w:rsidRPr="003142D9" w:rsidRDefault="009021F1" w:rsidP="00E637E3">
            <w:pPr>
              <w:tabs>
                <w:tab w:val="center" w:pos="4320"/>
                <w:tab w:val="right" w:pos="8640"/>
              </w:tabs>
              <w:autoSpaceDE w:val="0"/>
              <w:autoSpaceDN w:val="0"/>
              <w:adjustRightInd w:val="0"/>
              <w:rPr>
                <w:rFonts w:cs="Arial"/>
                <w:i/>
                <w:sz w:val="20"/>
                <w:szCs w:val="20"/>
                <w:u w:val="single"/>
              </w:rPr>
            </w:pPr>
            <w:r w:rsidRPr="003142D9">
              <w:rPr>
                <w:rFonts w:cs="Arial"/>
                <w:i/>
                <w:iCs/>
                <w:sz w:val="20"/>
                <w:szCs w:val="20"/>
              </w:rPr>
              <w:t>Paragraphes 10 à 12</w:t>
            </w:r>
          </w:p>
        </w:tc>
        <w:tc>
          <w:tcPr>
            <w:tcW w:w="5670" w:type="dxa"/>
            <w:shd w:val="clear" w:color="auto" w:fill="auto"/>
          </w:tcPr>
          <w:p w14:paraId="22B21E7E" w14:textId="77777777" w:rsidR="009021F1" w:rsidRPr="003142D9" w:rsidRDefault="009021F1" w:rsidP="00E637E3">
            <w:pPr>
              <w:pStyle w:val="Tabletext0"/>
              <w:spacing w:line="276" w:lineRule="auto"/>
              <w:rPr>
                <w:rFonts w:ascii="Arial" w:hAnsi="Arial" w:cs="Arial"/>
                <w:szCs w:val="20"/>
              </w:rPr>
            </w:pPr>
          </w:p>
          <w:p w14:paraId="26488990" w14:textId="77777777" w:rsidR="009021F1" w:rsidRPr="003142D9" w:rsidRDefault="009021F1" w:rsidP="00E637E3">
            <w:pPr>
              <w:pStyle w:val="Tabletext0"/>
              <w:spacing w:line="276" w:lineRule="auto"/>
              <w:rPr>
                <w:rFonts w:ascii="Arial" w:hAnsi="Arial" w:cs="Arial"/>
                <w:szCs w:val="20"/>
              </w:rPr>
            </w:pPr>
          </w:p>
          <w:p w14:paraId="47D21F38"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Non mentionné dans la législation nationale</w:t>
            </w:r>
          </w:p>
          <w:p w14:paraId="6304933D" w14:textId="77777777" w:rsidR="009021F1" w:rsidRPr="003142D9" w:rsidRDefault="009021F1" w:rsidP="00E637E3">
            <w:pPr>
              <w:tabs>
                <w:tab w:val="center" w:pos="4320"/>
                <w:tab w:val="right" w:pos="8640"/>
              </w:tabs>
              <w:autoSpaceDE w:val="0"/>
              <w:autoSpaceDN w:val="0"/>
              <w:adjustRightInd w:val="0"/>
              <w:rPr>
                <w:rFonts w:eastAsia="Calibri" w:cs="Arial"/>
                <w:iCs/>
                <w:sz w:val="20"/>
                <w:szCs w:val="20"/>
              </w:rPr>
            </w:pPr>
          </w:p>
        </w:tc>
        <w:tc>
          <w:tcPr>
            <w:tcW w:w="3969" w:type="dxa"/>
            <w:shd w:val="clear" w:color="auto" w:fill="auto"/>
          </w:tcPr>
          <w:p w14:paraId="41917A94" w14:textId="77777777" w:rsidR="009021F1" w:rsidRPr="003142D9" w:rsidRDefault="009021F1" w:rsidP="00E637E3">
            <w:pPr>
              <w:rPr>
                <w:rFonts w:eastAsia="Calibri" w:cs="Arial"/>
                <w:sz w:val="20"/>
                <w:szCs w:val="20"/>
              </w:rPr>
            </w:pPr>
            <w:r w:rsidRPr="003142D9">
              <w:rPr>
                <w:rFonts w:cs="Arial"/>
                <w:sz w:val="20"/>
                <w:szCs w:val="20"/>
              </w:rPr>
              <w:t>La loi nationale ne satisfait pas à cette exigence de la NES n° 9. Ainsi donc, la NES n°10 s’appliquera et sera suivi par la Banque mondiale</w:t>
            </w:r>
          </w:p>
        </w:tc>
      </w:tr>
      <w:tr w:rsidR="009021F1" w:rsidRPr="00E800E3" w14:paraId="62A1187C" w14:textId="77777777" w:rsidTr="00E637E3">
        <w:trPr>
          <w:cantSplit/>
          <w:jc w:val="center"/>
        </w:trPr>
        <w:tc>
          <w:tcPr>
            <w:tcW w:w="5670" w:type="dxa"/>
          </w:tcPr>
          <w:p w14:paraId="12C4FA63"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Élaborer, mettre en œuvre et rendre public un Plan de mobilisation des parties prenantes (PMPP) proportionné à la nature et l’envergure du projet, qui décrive les mesures prises pour lever les obstacles à la participation, et les modalités pour la prise en compte des points de vue de groupes touchés différemment.</w:t>
            </w:r>
          </w:p>
          <w:p w14:paraId="29C66F00" w14:textId="77777777" w:rsidR="009021F1" w:rsidRPr="003142D9" w:rsidRDefault="009021F1" w:rsidP="00E637E3">
            <w:pPr>
              <w:tabs>
                <w:tab w:val="center" w:pos="4320"/>
                <w:tab w:val="right" w:pos="8640"/>
              </w:tabs>
              <w:autoSpaceDE w:val="0"/>
              <w:autoSpaceDN w:val="0"/>
              <w:adjustRightInd w:val="0"/>
              <w:rPr>
                <w:rFonts w:cs="Arial"/>
                <w:i/>
                <w:sz w:val="20"/>
                <w:szCs w:val="20"/>
                <w:u w:val="single"/>
              </w:rPr>
            </w:pPr>
            <w:r w:rsidRPr="003142D9">
              <w:rPr>
                <w:rFonts w:cs="Arial"/>
                <w:i/>
                <w:iCs/>
                <w:sz w:val="20"/>
                <w:szCs w:val="20"/>
              </w:rPr>
              <w:t>Paragraphes 13 à 18</w:t>
            </w:r>
          </w:p>
        </w:tc>
        <w:tc>
          <w:tcPr>
            <w:tcW w:w="5670" w:type="dxa"/>
            <w:shd w:val="clear" w:color="auto" w:fill="auto"/>
          </w:tcPr>
          <w:p w14:paraId="3C9D0DF8" w14:textId="77777777" w:rsidR="009021F1" w:rsidRPr="003142D9" w:rsidRDefault="009021F1" w:rsidP="00E637E3">
            <w:pPr>
              <w:pStyle w:val="Tabletext0"/>
              <w:spacing w:line="276" w:lineRule="auto"/>
              <w:rPr>
                <w:rFonts w:ascii="Arial" w:hAnsi="Arial" w:cs="Arial"/>
                <w:szCs w:val="20"/>
              </w:rPr>
            </w:pPr>
          </w:p>
          <w:p w14:paraId="702DBB0F" w14:textId="77777777" w:rsidR="009021F1" w:rsidRPr="003142D9" w:rsidRDefault="009021F1" w:rsidP="00E637E3">
            <w:pPr>
              <w:pStyle w:val="Tabletext0"/>
              <w:spacing w:line="276" w:lineRule="auto"/>
              <w:rPr>
                <w:rFonts w:ascii="Arial" w:hAnsi="Arial" w:cs="Arial"/>
                <w:szCs w:val="20"/>
              </w:rPr>
            </w:pPr>
          </w:p>
          <w:p w14:paraId="256E11BB"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Non mentionné dans la législation nationale</w:t>
            </w:r>
          </w:p>
          <w:p w14:paraId="0AAB0057" w14:textId="77777777" w:rsidR="009021F1" w:rsidRPr="003142D9" w:rsidRDefault="009021F1" w:rsidP="00E637E3">
            <w:pPr>
              <w:tabs>
                <w:tab w:val="center" w:pos="4320"/>
                <w:tab w:val="right" w:pos="8640"/>
              </w:tabs>
              <w:autoSpaceDE w:val="0"/>
              <w:autoSpaceDN w:val="0"/>
              <w:adjustRightInd w:val="0"/>
              <w:rPr>
                <w:rFonts w:eastAsia="Calibri" w:cs="Arial"/>
                <w:iCs/>
                <w:sz w:val="20"/>
                <w:szCs w:val="20"/>
              </w:rPr>
            </w:pPr>
          </w:p>
        </w:tc>
        <w:tc>
          <w:tcPr>
            <w:tcW w:w="3969" w:type="dxa"/>
            <w:shd w:val="clear" w:color="auto" w:fill="auto"/>
          </w:tcPr>
          <w:p w14:paraId="5D38AF11" w14:textId="77777777" w:rsidR="009021F1" w:rsidRPr="003142D9" w:rsidRDefault="009021F1" w:rsidP="00E637E3">
            <w:pPr>
              <w:rPr>
                <w:rFonts w:eastAsia="Calibri" w:cs="Arial"/>
                <w:sz w:val="20"/>
                <w:szCs w:val="20"/>
              </w:rPr>
            </w:pPr>
            <w:r w:rsidRPr="003142D9">
              <w:rPr>
                <w:rFonts w:cs="Arial"/>
                <w:sz w:val="20"/>
                <w:szCs w:val="20"/>
              </w:rPr>
              <w:t>La loi nationale ne satisfait pas à cette exigence de la NES n° 9. Ainsi donc, la NES n°10 s’appliquera et sera suivi par la Banque mondiale</w:t>
            </w:r>
          </w:p>
        </w:tc>
      </w:tr>
      <w:tr w:rsidR="009021F1" w:rsidRPr="00E800E3" w14:paraId="4E32A2E6" w14:textId="77777777" w:rsidTr="00E637E3">
        <w:trPr>
          <w:cantSplit/>
          <w:jc w:val="center"/>
        </w:trPr>
        <w:tc>
          <w:tcPr>
            <w:tcW w:w="5670" w:type="dxa"/>
          </w:tcPr>
          <w:p w14:paraId="593529CF"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Rendre publiques les informations sur le projet pour permettre aux parties prenantes de comprendre les risques et ses effets potentiels, ainsi que les possibilités qu’il pourrait offrir.</w:t>
            </w:r>
          </w:p>
          <w:p w14:paraId="6791BF17" w14:textId="77777777" w:rsidR="009021F1" w:rsidRPr="003142D9" w:rsidRDefault="009021F1" w:rsidP="00E637E3">
            <w:pPr>
              <w:tabs>
                <w:tab w:val="center" w:pos="4320"/>
                <w:tab w:val="right" w:pos="8640"/>
              </w:tabs>
              <w:autoSpaceDE w:val="0"/>
              <w:autoSpaceDN w:val="0"/>
              <w:adjustRightInd w:val="0"/>
              <w:rPr>
                <w:rFonts w:cs="Arial"/>
                <w:i/>
                <w:sz w:val="20"/>
                <w:szCs w:val="20"/>
                <w:u w:val="single"/>
              </w:rPr>
            </w:pPr>
            <w:r w:rsidRPr="003142D9">
              <w:rPr>
                <w:rFonts w:cs="Arial"/>
                <w:i/>
                <w:iCs/>
                <w:sz w:val="20"/>
                <w:szCs w:val="20"/>
              </w:rPr>
              <w:t>Paragraphe 19 et 20</w:t>
            </w:r>
          </w:p>
        </w:tc>
        <w:tc>
          <w:tcPr>
            <w:tcW w:w="5670" w:type="dxa"/>
            <w:shd w:val="clear" w:color="auto" w:fill="auto"/>
          </w:tcPr>
          <w:p w14:paraId="5D5CCDD7" w14:textId="77777777" w:rsidR="009021F1" w:rsidRPr="003142D9" w:rsidRDefault="009021F1" w:rsidP="00E637E3">
            <w:pPr>
              <w:pStyle w:val="Tabletext0"/>
              <w:spacing w:line="276" w:lineRule="auto"/>
              <w:rPr>
                <w:rFonts w:ascii="Arial" w:hAnsi="Arial" w:cs="Arial"/>
                <w:szCs w:val="20"/>
              </w:rPr>
            </w:pPr>
          </w:p>
          <w:p w14:paraId="4C518DF1" w14:textId="77777777" w:rsidR="009021F1" w:rsidRPr="003142D9" w:rsidRDefault="009021F1" w:rsidP="00E637E3">
            <w:pPr>
              <w:pStyle w:val="Tabletext0"/>
              <w:spacing w:line="276" w:lineRule="auto"/>
              <w:rPr>
                <w:rFonts w:ascii="Arial" w:hAnsi="Arial" w:cs="Arial"/>
                <w:szCs w:val="20"/>
              </w:rPr>
            </w:pPr>
          </w:p>
          <w:p w14:paraId="6FBF3269"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Non mentionné dans la législation nationale</w:t>
            </w:r>
          </w:p>
          <w:p w14:paraId="14FDDA83" w14:textId="77777777" w:rsidR="009021F1" w:rsidRPr="003142D9" w:rsidRDefault="009021F1" w:rsidP="00E637E3">
            <w:pPr>
              <w:pStyle w:val="Tabletext0"/>
              <w:spacing w:line="276" w:lineRule="auto"/>
              <w:rPr>
                <w:rFonts w:ascii="Arial" w:hAnsi="Arial" w:cs="Arial"/>
                <w:szCs w:val="20"/>
              </w:rPr>
            </w:pPr>
          </w:p>
        </w:tc>
        <w:tc>
          <w:tcPr>
            <w:tcW w:w="3969" w:type="dxa"/>
            <w:shd w:val="clear" w:color="auto" w:fill="auto"/>
          </w:tcPr>
          <w:p w14:paraId="69B48A83" w14:textId="77777777" w:rsidR="009021F1" w:rsidRPr="003142D9" w:rsidRDefault="009021F1" w:rsidP="00E637E3">
            <w:pPr>
              <w:rPr>
                <w:rFonts w:eastAsia="Calibri" w:cs="Arial"/>
                <w:sz w:val="20"/>
                <w:szCs w:val="20"/>
              </w:rPr>
            </w:pPr>
            <w:r w:rsidRPr="003142D9">
              <w:rPr>
                <w:rFonts w:cs="Arial"/>
                <w:sz w:val="20"/>
                <w:szCs w:val="20"/>
              </w:rPr>
              <w:t>La loi nationale ne satisfait pas à cette exigence de la NES n° 10. Ainsi donc, la NES n°10 s’appliquera et sera suivi par la Banque mondiale</w:t>
            </w:r>
          </w:p>
        </w:tc>
      </w:tr>
      <w:tr w:rsidR="009021F1" w:rsidRPr="00E800E3" w14:paraId="3EB69ED0" w14:textId="77777777" w:rsidTr="00E637E3">
        <w:trPr>
          <w:cantSplit/>
          <w:jc w:val="center"/>
        </w:trPr>
        <w:tc>
          <w:tcPr>
            <w:tcW w:w="5670" w:type="dxa"/>
          </w:tcPr>
          <w:p w14:paraId="07A02D32"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Entreprendre des consultations approfondies qui offrent la possibilité aux parties prenantes de donner leur avis sur les risques, les effets et les mesures d’atténuation du projet, de façon continue, au fur et à mesure de l’évolution des enjeux, des impacts et des possibilités.</w:t>
            </w:r>
          </w:p>
          <w:p w14:paraId="26F29043" w14:textId="77777777" w:rsidR="009021F1" w:rsidRPr="003142D9" w:rsidRDefault="009021F1" w:rsidP="00E637E3">
            <w:pPr>
              <w:tabs>
                <w:tab w:val="center" w:pos="4320"/>
                <w:tab w:val="right" w:pos="8640"/>
              </w:tabs>
              <w:autoSpaceDE w:val="0"/>
              <w:autoSpaceDN w:val="0"/>
              <w:adjustRightInd w:val="0"/>
              <w:rPr>
                <w:rFonts w:cs="Arial"/>
                <w:i/>
                <w:sz w:val="20"/>
                <w:szCs w:val="20"/>
                <w:u w:val="single"/>
              </w:rPr>
            </w:pPr>
            <w:r w:rsidRPr="003142D9">
              <w:rPr>
                <w:rFonts w:cs="Arial"/>
                <w:i/>
                <w:iCs/>
                <w:sz w:val="20"/>
                <w:szCs w:val="20"/>
              </w:rPr>
              <w:t>Paragraphes 21 et 22</w:t>
            </w:r>
          </w:p>
        </w:tc>
        <w:tc>
          <w:tcPr>
            <w:tcW w:w="5670" w:type="dxa"/>
            <w:shd w:val="clear" w:color="auto" w:fill="auto"/>
          </w:tcPr>
          <w:p w14:paraId="42951D8D" w14:textId="77777777" w:rsidR="009021F1" w:rsidRPr="003142D9" w:rsidRDefault="009021F1" w:rsidP="00E637E3">
            <w:pPr>
              <w:pStyle w:val="Tabletext0"/>
              <w:spacing w:line="276" w:lineRule="auto"/>
              <w:rPr>
                <w:rFonts w:ascii="Arial" w:hAnsi="Arial" w:cs="Arial"/>
                <w:szCs w:val="20"/>
              </w:rPr>
            </w:pPr>
          </w:p>
          <w:p w14:paraId="6D9B8170" w14:textId="77777777" w:rsidR="009021F1" w:rsidRPr="003142D9" w:rsidRDefault="009021F1" w:rsidP="00E637E3">
            <w:pPr>
              <w:pStyle w:val="Tabletext0"/>
              <w:spacing w:line="276" w:lineRule="auto"/>
              <w:rPr>
                <w:rFonts w:ascii="Arial" w:hAnsi="Arial" w:cs="Arial"/>
                <w:szCs w:val="20"/>
              </w:rPr>
            </w:pPr>
          </w:p>
          <w:p w14:paraId="01C19004"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Non mentionné dans la législation nationale</w:t>
            </w:r>
          </w:p>
          <w:p w14:paraId="79BE9356" w14:textId="77777777" w:rsidR="009021F1" w:rsidRPr="003142D9" w:rsidRDefault="009021F1" w:rsidP="00E637E3">
            <w:pPr>
              <w:tabs>
                <w:tab w:val="center" w:pos="4320"/>
                <w:tab w:val="right" w:pos="8640"/>
              </w:tabs>
              <w:autoSpaceDE w:val="0"/>
              <w:autoSpaceDN w:val="0"/>
              <w:adjustRightInd w:val="0"/>
              <w:rPr>
                <w:rFonts w:eastAsia="Calibri" w:cs="Arial"/>
                <w:iCs/>
                <w:sz w:val="20"/>
                <w:szCs w:val="20"/>
              </w:rPr>
            </w:pPr>
          </w:p>
        </w:tc>
        <w:tc>
          <w:tcPr>
            <w:tcW w:w="3969" w:type="dxa"/>
            <w:shd w:val="clear" w:color="auto" w:fill="auto"/>
          </w:tcPr>
          <w:p w14:paraId="1F2738B1" w14:textId="77777777" w:rsidR="009021F1" w:rsidRPr="003142D9" w:rsidRDefault="009021F1" w:rsidP="00E637E3">
            <w:pPr>
              <w:rPr>
                <w:rFonts w:eastAsia="Calibri" w:cs="Arial"/>
                <w:sz w:val="20"/>
                <w:szCs w:val="20"/>
              </w:rPr>
            </w:pPr>
            <w:r w:rsidRPr="003142D9">
              <w:rPr>
                <w:rFonts w:cs="Arial"/>
                <w:sz w:val="20"/>
                <w:szCs w:val="20"/>
              </w:rPr>
              <w:t>La loi nationale ne satisfait pas à cette exigence de la NES n° 10. Ainsi donc, la NES n°10 s’appliquera et sera suivi par la Banque mondiale</w:t>
            </w:r>
          </w:p>
        </w:tc>
      </w:tr>
      <w:tr w:rsidR="009021F1" w:rsidRPr="00E800E3" w14:paraId="0F36A5AD" w14:textId="77777777" w:rsidTr="00E637E3">
        <w:trPr>
          <w:cantSplit/>
          <w:jc w:val="center"/>
        </w:trPr>
        <w:tc>
          <w:tcPr>
            <w:tcW w:w="5670" w:type="dxa"/>
          </w:tcPr>
          <w:p w14:paraId="7EF77A75"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Continuer de mobiliser les parties prenantes conformément au PMPP pendant toute la durée du projet, solliciter les réactions des parties prenantes sur la mise en œuvre des mesures d’atténuation énoncées dans le PEES, et publier un PEES révisé indiquant toute mesure d’atténuation supplémentaire</w:t>
            </w:r>
          </w:p>
          <w:p w14:paraId="7721E618" w14:textId="77777777" w:rsidR="009021F1" w:rsidRPr="003142D9" w:rsidRDefault="009021F1" w:rsidP="00E637E3">
            <w:pPr>
              <w:tabs>
                <w:tab w:val="center" w:pos="4320"/>
                <w:tab w:val="right" w:pos="8640"/>
              </w:tabs>
              <w:autoSpaceDE w:val="0"/>
              <w:autoSpaceDN w:val="0"/>
              <w:adjustRightInd w:val="0"/>
              <w:rPr>
                <w:rFonts w:cs="Arial"/>
                <w:i/>
                <w:sz w:val="20"/>
                <w:szCs w:val="20"/>
                <w:u w:val="single"/>
              </w:rPr>
            </w:pPr>
            <w:r w:rsidRPr="003142D9">
              <w:rPr>
                <w:rFonts w:cs="Arial"/>
                <w:i/>
                <w:iCs/>
                <w:sz w:val="20"/>
                <w:szCs w:val="20"/>
              </w:rPr>
              <w:t>Paragraphe 23 à 25</w:t>
            </w:r>
          </w:p>
        </w:tc>
        <w:tc>
          <w:tcPr>
            <w:tcW w:w="5670" w:type="dxa"/>
            <w:shd w:val="clear" w:color="auto" w:fill="auto"/>
          </w:tcPr>
          <w:p w14:paraId="6A850FD7" w14:textId="77777777" w:rsidR="009021F1" w:rsidRPr="003142D9" w:rsidRDefault="009021F1" w:rsidP="00E637E3">
            <w:pPr>
              <w:pStyle w:val="Tabletext0"/>
              <w:spacing w:line="276" w:lineRule="auto"/>
              <w:rPr>
                <w:rFonts w:ascii="Arial" w:hAnsi="Arial" w:cs="Arial"/>
                <w:szCs w:val="20"/>
              </w:rPr>
            </w:pPr>
          </w:p>
          <w:p w14:paraId="0DBDA551" w14:textId="77777777" w:rsidR="009021F1" w:rsidRPr="003142D9" w:rsidRDefault="009021F1" w:rsidP="00E637E3">
            <w:pPr>
              <w:pStyle w:val="Tabletext0"/>
              <w:spacing w:line="276" w:lineRule="auto"/>
              <w:rPr>
                <w:rFonts w:ascii="Arial" w:hAnsi="Arial" w:cs="Arial"/>
                <w:szCs w:val="20"/>
              </w:rPr>
            </w:pPr>
          </w:p>
          <w:p w14:paraId="3F7BD1B8"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Non mentionné dans la législation nationale</w:t>
            </w:r>
          </w:p>
          <w:p w14:paraId="0C2949A7" w14:textId="77777777" w:rsidR="009021F1" w:rsidRPr="003142D9" w:rsidRDefault="009021F1" w:rsidP="00E637E3">
            <w:pPr>
              <w:tabs>
                <w:tab w:val="center" w:pos="4320"/>
                <w:tab w:val="right" w:pos="8640"/>
              </w:tabs>
              <w:autoSpaceDE w:val="0"/>
              <w:autoSpaceDN w:val="0"/>
              <w:adjustRightInd w:val="0"/>
              <w:rPr>
                <w:rFonts w:eastAsia="Calibri" w:cs="Arial"/>
                <w:iCs/>
                <w:sz w:val="20"/>
                <w:szCs w:val="20"/>
              </w:rPr>
            </w:pPr>
          </w:p>
        </w:tc>
        <w:tc>
          <w:tcPr>
            <w:tcW w:w="3969" w:type="dxa"/>
            <w:shd w:val="clear" w:color="auto" w:fill="auto"/>
          </w:tcPr>
          <w:p w14:paraId="26FB3BEC" w14:textId="77777777" w:rsidR="009021F1" w:rsidRPr="003142D9" w:rsidRDefault="009021F1" w:rsidP="00E637E3">
            <w:pPr>
              <w:rPr>
                <w:rFonts w:eastAsia="Calibri" w:cs="Arial"/>
                <w:sz w:val="20"/>
                <w:szCs w:val="20"/>
              </w:rPr>
            </w:pPr>
            <w:r w:rsidRPr="003142D9">
              <w:rPr>
                <w:rFonts w:cs="Arial"/>
                <w:sz w:val="20"/>
                <w:szCs w:val="20"/>
              </w:rPr>
              <w:t>La loi nationale ne satisfait pas à cette exigence de la NES n° 10. Ainsi donc, la NES n°10 s’appliquera et sera suivi par la Banque mondiale</w:t>
            </w:r>
          </w:p>
        </w:tc>
      </w:tr>
      <w:tr w:rsidR="009021F1" w:rsidRPr="00E800E3" w14:paraId="2DB5C94D" w14:textId="77777777" w:rsidTr="00E637E3">
        <w:trPr>
          <w:cantSplit/>
          <w:jc w:val="center"/>
        </w:trPr>
        <w:tc>
          <w:tcPr>
            <w:tcW w:w="5670" w:type="dxa"/>
          </w:tcPr>
          <w:p w14:paraId="3E7EA8A0"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Mettre en œuvre un mécanisme de gestion des plaintes proportionné aux risques et aux effets néfastes potentiels du projet, accessible et ouvert à tous, rapide, efficace, transparent, respectueux de la culture locale, sans frais ni rétribution.</w:t>
            </w:r>
          </w:p>
          <w:p w14:paraId="1C17E69B" w14:textId="77777777" w:rsidR="009021F1" w:rsidRPr="003142D9" w:rsidRDefault="009021F1" w:rsidP="00E637E3">
            <w:pPr>
              <w:tabs>
                <w:tab w:val="center" w:pos="4320"/>
                <w:tab w:val="right" w:pos="8640"/>
              </w:tabs>
              <w:autoSpaceDE w:val="0"/>
              <w:autoSpaceDN w:val="0"/>
              <w:adjustRightInd w:val="0"/>
              <w:rPr>
                <w:rFonts w:cs="Arial"/>
                <w:i/>
                <w:sz w:val="20"/>
                <w:szCs w:val="20"/>
                <w:u w:val="single"/>
              </w:rPr>
            </w:pPr>
            <w:r w:rsidRPr="003142D9">
              <w:rPr>
                <w:rFonts w:cs="Arial"/>
                <w:i/>
                <w:iCs/>
                <w:sz w:val="20"/>
                <w:szCs w:val="20"/>
              </w:rPr>
              <w:t>Paragraphes 26 et 27</w:t>
            </w:r>
          </w:p>
        </w:tc>
        <w:tc>
          <w:tcPr>
            <w:tcW w:w="5670" w:type="dxa"/>
            <w:shd w:val="clear" w:color="auto" w:fill="auto"/>
          </w:tcPr>
          <w:p w14:paraId="5BF69209" w14:textId="77777777" w:rsidR="009021F1" w:rsidRPr="003142D9" w:rsidRDefault="009021F1" w:rsidP="00E637E3">
            <w:pPr>
              <w:pStyle w:val="Tabletext0"/>
              <w:spacing w:line="276" w:lineRule="auto"/>
              <w:rPr>
                <w:rFonts w:ascii="Arial" w:hAnsi="Arial" w:cs="Arial"/>
                <w:szCs w:val="20"/>
              </w:rPr>
            </w:pPr>
          </w:p>
          <w:p w14:paraId="1D4D5949" w14:textId="77777777" w:rsidR="009021F1" w:rsidRPr="003142D9" w:rsidRDefault="009021F1" w:rsidP="00E637E3">
            <w:pPr>
              <w:pStyle w:val="Tabletext0"/>
              <w:spacing w:line="276" w:lineRule="auto"/>
              <w:rPr>
                <w:rFonts w:ascii="Arial" w:hAnsi="Arial" w:cs="Arial"/>
                <w:szCs w:val="20"/>
              </w:rPr>
            </w:pPr>
          </w:p>
          <w:p w14:paraId="3B66FC38" w14:textId="77777777" w:rsidR="009021F1" w:rsidRPr="003142D9" w:rsidRDefault="009021F1" w:rsidP="00E637E3">
            <w:pPr>
              <w:pStyle w:val="Tabletext0"/>
              <w:spacing w:line="276" w:lineRule="auto"/>
              <w:rPr>
                <w:rFonts w:ascii="Arial" w:hAnsi="Arial" w:cs="Arial"/>
                <w:szCs w:val="20"/>
              </w:rPr>
            </w:pPr>
            <w:r w:rsidRPr="003142D9">
              <w:rPr>
                <w:rFonts w:ascii="Arial" w:hAnsi="Arial" w:cs="Arial"/>
                <w:szCs w:val="20"/>
              </w:rPr>
              <w:t>Non mentionné dans la législation nationale</w:t>
            </w:r>
          </w:p>
          <w:p w14:paraId="78E6BABF" w14:textId="77777777" w:rsidR="009021F1" w:rsidRPr="003142D9" w:rsidRDefault="009021F1" w:rsidP="00E637E3">
            <w:pPr>
              <w:tabs>
                <w:tab w:val="center" w:pos="4320"/>
                <w:tab w:val="right" w:pos="8640"/>
              </w:tabs>
              <w:autoSpaceDE w:val="0"/>
              <w:autoSpaceDN w:val="0"/>
              <w:adjustRightInd w:val="0"/>
              <w:rPr>
                <w:rFonts w:eastAsia="Calibri" w:cs="Arial"/>
                <w:iCs/>
                <w:sz w:val="20"/>
                <w:szCs w:val="20"/>
              </w:rPr>
            </w:pPr>
          </w:p>
        </w:tc>
        <w:tc>
          <w:tcPr>
            <w:tcW w:w="3969" w:type="dxa"/>
            <w:shd w:val="clear" w:color="auto" w:fill="auto"/>
          </w:tcPr>
          <w:p w14:paraId="46971963" w14:textId="77777777" w:rsidR="009021F1" w:rsidRPr="003142D9" w:rsidRDefault="009021F1" w:rsidP="00E637E3">
            <w:pPr>
              <w:rPr>
                <w:rFonts w:eastAsia="Calibri" w:cs="Arial"/>
                <w:sz w:val="20"/>
                <w:szCs w:val="20"/>
              </w:rPr>
            </w:pPr>
            <w:r w:rsidRPr="003142D9">
              <w:rPr>
                <w:rFonts w:cs="Arial"/>
                <w:sz w:val="20"/>
                <w:szCs w:val="20"/>
              </w:rPr>
              <w:t>La loi nationale ne satisfait pas à cette exigence de la NES n° 9. Ainsi donc, la NES n°9 s’appliquera et sera suivi par la Banque mondiale</w:t>
            </w:r>
          </w:p>
        </w:tc>
      </w:tr>
    </w:tbl>
    <w:p w14:paraId="31F85CC0" w14:textId="77777777" w:rsidR="009021F1" w:rsidRDefault="009021F1" w:rsidP="009021F1">
      <w:pPr>
        <w:autoSpaceDE w:val="0"/>
        <w:autoSpaceDN w:val="0"/>
        <w:adjustRightInd w:val="0"/>
        <w:rPr>
          <w:rFonts w:cs="Arial"/>
          <w:bCs/>
          <w:color w:val="B98C2E"/>
          <w:sz w:val="22"/>
        </w:rPr>
      </w:pPr>
    </w:p>
    <w:p w14:paraId="200AFA0F" w14:textId="77777777" w:rsidR="009021F1" w:rsidRPr="003142D9" w:rsidRDefault="009021F1" w:rsidP="009021F1">
      <w:pPr>
        <w:autoSpaceDE w:val="0"/>
        <w:autoSpaceDN w:val="0"/>
        <w:adjustRightInd w:val="0"/>
        <w:ind w:left="426" w:hanging="426"/>
        <w:rPr>
          <w:rFonts w:cs="Arial"/>
          <w:bCs/>
          <w:color w:val="B98C2E"/>
          <w:szCs w:val="21"/>
        </w:rPr>
      </w:pPr>
      <w:r w:rsidRPr="003142D9">
        <w:rPr>
          <w:rFonts w:cs="Arial"/>
          <w:szCs w:val="21"/>
        </w:rPr>
        <w:t xml:space="preserve">N.B.  Le risque environnemental du PNDA est jugé substantiel selon la note conceptuelle. Ainsi, tout sous projet à risque élevé sur le plan environnemental ne sera pas financé par le Programme. (Voir chapitre 6. </w:t>
      </w:r>
      <w:r w:rsidRPr="003142D9">
        <w:rPr>
          <w:bCs/>
          <w:szCs w:val="21"/>
        </w:rPr>
        <w:t>Procédures de Gestion des Risques et Impacts Environnementaux et Sociaux</w:t>
      </w:r>
      <w:r w:rsidRPr="003142D9">
        <w:rPr>
          <w:rFonts w:cs="Arial"/>
          <w:szCs w:val="21"/>
        </w:rPr>
        <w:t>)</w:t>
      </w:r>
    </w:p>
    <w:p w14:paraId="6027CFCA" w14:textId="77777777" w:rsidR="009021F1" w:rsidRDefault="009021F1" w:rsidP="009021F1">
      <w:pPr>
        <w:autoSpaceDE w:val="0"/>
        <w:autoSpaceDN w:val="0"/>
        <w:adjustRightInd w:val="0"/>
        <w:rPr>
          <w:rFonts w:cs="Arial"/>
          <w:bCs/>
          <w:color w:val="B98C2E"/>
          <w:sz w:val="22"/>
        </w:rPr>
      </w:pPr>
    </w:p>
    <w:p w14:paraId="00C1936A" w14:textId="77777777" w:rsidR="00E637E3" w:rsidRDefault="00E637E3" w:rsidP="009021F1">
      <w:pPr>
        <w:pStyle w:val="Titre2"/>
        <w:numPr>
          <w:ilvl w:val="1"/>
          <w:numId w:val="4"/>
        </w:numPr>
        <w:ind w:left="851" w:hanging="425"/>
        <w:rPr>
          <w:rFonts w:cs="Arial"/>
          <w:sz w:val="22"/>
          <w:szCs w:val="22"/>
          <w:highlight w:val="yellow"/>
        </w:rPr>
        <w:sectPr w:rsidR="00E637E3" w:rsidSect="00E637E3">
          <w:pgSz w:w="16838" w:h="11906" w:orient="landscape"/>
          <w:pgMar w:top="1418" w:right="1134" w:bottom="1418" w:left="1134" w:header="709" w:footer="79" w:gutter="0"/>
          <w:cols w:space="708"/>
          <w:docGrid w:linePitch="360"/>
        </w:sectPr>
      </w:pPr>
    </w:p>
    <w:p w14:paraId="35261E1A" w14:textId="77777777" w:rsidR="009021F1" w:rsidRPr="00E33B7D" w:rsidRDefault="009021F1" w:rsidP="009021F1">
      <w:pPr>
        <w:pStyle w:val="Titre2"/>
        <w:numPr>
          <w:ilvl w:val="1"/>
          <w:numId w:val="4"/>
        </w:numPr>
        <w:ind w:left="851" w:hanging="425"/>
        <w:rPr>
          <w:rFonts w:cs="Arial"/>
          <w:b/>
          <w:szCs w:val="21"/>
        </w:rPr>
      </w:pPr>
      <w:bookmarkStart w:id="326" w:name="_Toc90471432"/>
      <w:r w:rsidRPr="00E33B7D">
        <w:rPr>
          <w:rFonts w:cs="Arial"/>
          <w:b/>
          <w:szCs w:val="21"/>
        </w:rPr>
        <w:t>Cadre institutionnel de gestion environnementale et sociale</w:t>
      </w:r>
      <w:bookmarkEnd w:id="326"/>
      <w:r w:rsidRPr="00E33B7D">
        <w:rPr>
          <w:rFonts w:cs="Arial"/>
          <w:b/>
          <w:szCs w:val="21"/>
        </w:rPr>
        <w:t xml:space="preserve"> </w:t>
      </w:r>
    </w:p>
    <w:p w14:paraId="125DA9C8" w14:textId="77777777" w:rsidR="009021F1" w:rsidRPr="00E33B7D" w:rsidRDefault="009021F1" w:rsidP="009021F1">
      <w:pPr>
        <w:rPr>
          <w:rFonts w:cs="Arial"/>
          <w:spacing w:val="-5"/>
          <w:szCs w:val="21"/>
        </w:rPr>
      </w:pPr>
    </w:p>
    <w:p w14:paraId="2E472B6F" w14:textId="77777777" w:rsidR="009021F1" w:rsidRPr="00E33B7D" w:rsidRDefault="009021F1" w:rsidP="009021F1">
      <w:pPr>
        <w:rPr>
          <w:rFonts w:cs="Arial"/>
          <w:spacing w:val="-5"/>
          <w:szCs w:val="21"/>
        </w:rPr>
      </w:pPr>
      <w:r w:rsidRPr="00E33B7D">
        <w:rPr>
          <w:rFonts w:cs="Arial"/>
          <w:spacing w:val="-5"/>
          <w:szCs w:val="21"/>
        </w:rPr>
        <w:t>Conformément à l’Ordonnance Présidentielle n°20/017 du 27 mars 2020 fixant les attributions des ministères en RDC, les Ministères ci-après ont des attributions en rapport avec la présente :</w:t>
      </w:r>
    </w:p>
    <w:p w14:paraId="7B5A09A0" w14:textId="77777777" w:rsidR="009021F1" w:rsidRPr="00E33B7D" w:rsidRDefault="009021F1" w:rsidP="009021F1">
      <w:pPr>
        <w:rPr>
          <w:rFonts w:cs="Arial"/>
          <w:spacing w:val="-5"/>
          <w:szCs w:val="21"/>
        </w:rPr>
      </w:pPr>
    </w:p>
    <w:p w14:paraId="48304A31" w14:textId="77777777" w:rsidR="009021F1" w:rsidRPr="00E33B7D" w:rsidRDefault="009021F1" w:rsidP="009021F1">
      <w:pPr>
        <w:pStyle w:val="Titre2"/>
        <w:numPr>
          <w:ilvl w:val="2"/>
          <w:numId w:val="4"/>
        </w:numPr>
        <w:ind w:left="1560" w:hanging="709"/>
        <w:rPr>
          <w:rFonts w:cs="Arial"/>
          <w:i/>
          <w:szCs w:val="21"/>
        </w:rPr>
      </w:pPr>
      <w:bookmarkStart w:id="327" w:name="_Toc90471433"/>
      <w:r w:rsidRPr="00E33B7D">
        <w:rPr>
          <w:rFonts w:cs="Arial"/>
          <w:i/>
          <w:szCs w:val="21"/>
        </w:rPr>
        <w:t>Ministère de l’Agriculture</w:t>
      </w:r>
      <w:bookmarkEnd w:id="327"/>
    </w:p>
    <w:p w14:paraId="7F9B186F" w14:textId="77777777" w:rsidR="009021F1" w:rsidRPr="00E33B7D" w:rsidRDefault="009021F1" w:rsidP="009021F1">
      <w:pPr>
        <w:rPr>
          <w:rFonts w:cs="Arial"/>
          <w:szCs w:val="21"/>
          <w:u w:val="single"/>
        </w:rPr>
      </w:pPr>
    </w:p>
    <w:p w14:paraId="7C0543F8" w14:textId="77777777" w:rsidR="009021F1" w:rsidRPr="00E33B7D" w:rsidRDefault="009021F1" w:rsidP="009021F1">
      <w:pPr>
        <w:rPr>
          <w:rFonts w:cs="Arial"/>
          <w:szCs w:val="21"/>
        </w:rPr>
      </w:pPr>
      <w:r w:rsidRPr="00E33B7D">
        <w:rPr>
          <w:rFonts w:cs="Arial"/>
          <w:szCs w:val="21"/>
        </w:rPr>
        <w:t>Il est le Ministère de tutelle du PNDA. Il a dans ses attributions :</w:t>
      </w:r>
    </w:p>
    <w:p w14:paraId="710D85CA" w14:textId="77777777" w:rsidR="009021F1" w:rsidRPr="00E33B7D" w:rsidRDefault="009021F1" w:rsidP="009021F1">
      <w:pPr>
        <w:rPr>
          <w:rFonts w:cs="Arial"/>
          <w:szCs w:val="21"/>
        </w:rPr>
      </w:pPr>
    </w:p>
    <w:p w14:paraId="2ED28A99" w14:textId="77777777" w:rsidR="009021F1" w:rsidRPr="00E33B7D" w:rsidRDefault="009021F1" w:rsidP="009021F1">
      <w:pPr>
        <w:pStyle w:val="Paragraphedeliste"/>
        <w:numPr>
          <w:ilvl w:val="1"/>
          <w:numId w:val="22"/>
        </w:numPr>
        <w:rPr>
          <w:rFonts w:cs="Arial"/>
          <w:szCs w:val="21"/>
        </w:rPr>
      </w:pPr>
      <w:r w:rsidRPr="00E33B7D">
        <w:rPr>
          <w:rFonts w:cs="Arial"/>
          <w:szCs w:val="21"/>
        </w:rPr>
        <w:t>Production agricole et autosuffisance alimentaire ;</w:t>
      </w:r>
    </w:p>
    <w:p w14:paraId="5E1BDEEE" w14:textId="77777777" w:rsidR="009021F1" w:rsidRPr="00E33B7D" w:rsidRDefault="009021F1" w:rsidP="009021F1">
      <w:pPr>
        <w:pStyle w:val="Paragraphedeliste"/>
        <w:numPr>
          <w:ilvl w:val="1"/>
          <w:numId w:val="22"/>
        </w:numPr>
        <w:rPr>
          <w:rFonts w:cs="Arial"/>
          <w:szCs w:val="21"/>
        </w:rPr>
      </w:pPr>
      <w:r w:rsidRPr="00E33B7D">
        <w:rPr>
          <w:rFonts w:cs="Arial"/>
          <w:szCs w:val="21"/>
        </w:rPr>
        <w:t>Planification des objectifs nationaux de production dans les domaines de l’agriculture, et de l’agroforesterie ;</w:t>
      </w:r>
    </w:p>
    <w:p w14:paraId="6E443802" w14:textId="77777777" w:rsidR="009021F1" w:rsidRPr="00E33B7D" w:rsidRDefault="009021F1" w:rsidP="009021F1">
      <w:pPr>
        <w:pStyle w:val="Paragraphedeliste"/>
        <w:numPr>
          <w:ilvl w:val="1"/>
          <w:numId w:val="22"/>
        </w:numPr>
        <w:rPr>
          <w:rFonts w:cs="Arial"/>
          <w:szCs w:val="21"/>
        </w:rPr>
      </w:pPr>
      <w:r w:rsidRPr="00E33B7D">
        <w:rPr>
          <w:rFonts w:cs="Arial"/>
          <w:szCs w:val="21"/>
        </w:rPr>
        <w:t>Promotion et encadrement des Associations et Coopératives agricoles ;</w:t>
      </w:r>
    </w:p>
    <w:p w14:paraId="4A25A5FA" w14:textId="77777777" w:rsidR="009021F1" w:rsidRPr="00E33B7D" w:rsidRDefault="009021F1" w:rsidP="009021F1">
      <w:pPr>
        <w:pStyle w:val="Paragraphedeliste"/>
        <w:numPr>
          <w:ilvl w:val="1"/>
          <w:numId w:val="22"/>
        </w:numPr>
        <w:rPr>
          <w:rFonts w:cs="Arial"/>
          <w:szCs w:val="21"/>
        </w:rPr>
      </w:pPr>
      <w:r w:rsidRPr="00E33B7D">
        <w:rPr>
          <w:rFonts w:cs="Arial"/>
          <w:szCs w:val="21"/>
        </w:rPr>
        <w:t>Conception, exécution, suivi et évaluation des programmes et projets de développement agricole ;</w:t>
      </w:r>
    </w:p>
    <w:p w14:paraId="215D4E66" w14:textId="77777777" w:rsidR="009021F1" w:rsidRPr="00E33B7D" w:rsidRDefault="009021F1" w:rsidP="009021F1">
      <w:pPr>
        <w:pStyle w:val="Paragraphedeliste"/>
        <w:numPr>
          <w:ilvl w:val="1"/>
          <w:numId w:val="22"/>
        </w:numPr>
        <w:rPr>
          <w:rFonts w:cs="Arial"/>
          <w:szCs w:val="21"/>
        </w:rPr>
      </w:pPr>
      <w:r w:rsidRPr="00E33B7D">
        <w:rPr>
          <w:rFonts w:cs="Arial"/>
          <w:szCs w:val="21"/>
        </w:rPr>
        <w:t>Promotion des produits de l’agriculture destinés à l’alimentation intérieure, à l’industrie nationale et à l’exportation ;</w:t>
      </w:r>
    </w:p>
    <w:p w14:paraId="13956C16" w14:textId="77777777" w:rsidR="009021F1" w:rsidRPr="00E33B7D" w:rsidRDefault="009021F1" w:rsidP="009021F1">
      <w:pPr>
        <w:pStyle w:val="Paragraphedeliste"/>
        <w:numPr>
          <w:ilvl w:val="1"/>
          <w:numId w:val="22"/>
        </w:numPr>
        <w:rPr>
          <w:rFonts w:cs="Arial"/>
          <w:szCs w:val="21"/>
        </w:rPr>
      </w:pPr>
      <w:r w:rsidRPr="00E33B7D">
        <w:rPr>
          <w:rFonts w:cs="Arial"/>
          <w:szCs w:val="21"/>
        </w:rPr>
        <w:t>Surveillance phytosanitaire et gestion de la quarantaine végétale à l’intérieur du pays et aux postes frontaliers et mise à jour permanente des mesures réglementaires y relatives ;</w:t>
      </w:r>
    </w:p>
    <w:p w14:paraId="666030FA" w14:textId="77777777" w:rsidR="009021F1" w:rsidRPr="00E33B7D" w:rsidRDefault="009021F1" w:rsidP="009021F1">
      <w:pPr>
        <w:pStyle w:val="Paragraphedeliste"/>
        <w:numPr>
          <w:ilvl w:val="1"/>
          <w:numId w:val="22"/>
        </w:numPr>
        <w:rPr>
          <w:rFonts w:cs="Arial"/>
          <w:szCs w:val="21"/>
        </w:rPr>
      </w:pPr>
      <w:r w:rsidRPr="00E33B7D">
        <w:rPr>
          <w:rFonts w:cs="Arial"/>
          <w:szCs w:val="21"/>
        </w:rPr>
        <w:t>Orientation et appui des opérateurs économiques intéressés à investir dans les secteurs de l’agriculture vers les sites à hautes potentialités de production, de manière à minimiser les coûts d’exploitation ; et</w:t>
      </w:r>
    </w:p>
    <w:p w14:paraId="1343CE60" w14:textId="77777777" w:rsidR="009021F1" w:rsidRPr="00E33B7D" w:rsidRDefault="009021F1" w:rsidP="009021F1">
      <w:pPr>
        <w:pStyle w:val="Paragraphedeliste"/>
        <w:numPr>
          <w:ilvl w:val="1"/>
          <w:numId w:val="22"/>
        </w:numPr>
        <w:rPr>
          <w:rFonts w:cs="Arial"/>
          <w:szCs w:val="21"/>
        </w:rPr>
      </w:pPr>
      <w:r w:rsidRPr="00E33B7D">
        <w:rPr>
          <w:rFonts w:cs="Arial"/>
          <w:szCs w:val="21"/>
        </w:rPr>
        <w:t>Collecte, analyse et publication des données statistiques d’agriculture sous forme d’annuaire.</w:t>
      </w:r>
    </w:p>
    <w:p w14:paraId="2B50ED67" w14:textId="77777777" w:rsidR="009021F1" w:rsidRPr="00E33B7D" w:rsidRDefault="009021F1" w:rsidP="009021F1">
      <w:pPr>
        <w:pStyle w:val="Paragraphedeliste"/>
        <w:rPr>
          <w:rFonts w:cs="Arial"/>
          <w:szCs w:val="21"/>
        </w:rPr>
      </w:pPr>
    </w:p>
    <w:p w14:paraId="5AB0488E" w14:textId="77777777" w:rsidR="009021F1" w:rsidRPr="00E33B7D" w:rsidRDefault="009021F1" w:rsidP="009021F1">
      <w:pPr>
        <w:pStyle w:val="Titre2"/>
        <w:rPr>
          <w:rFonts w:cs="Arial"/>
          <w:i/>
          <w:szCs w:val="21"/>
        </w:rPr>
      </w:pPr>
      <w:bookmarkStart w:id="328" w:name="_Toc90471434"/>
      <w:r w:rsidRPr="00E33B7D">
        <w:rPr>
          <w:rFonts w:cs="Arial"/>
          <w:i/>
          <w:szCs w:val="21"/>
        </w:rPr>
        <w:t>Comité Technique Préparatoire du PNDA</w:t>
      </w:r>
      <w:bookmarkEnd w:id="328"/>
    </w:p>
    <w:p w14:paraId="37DC5C02" w14:textId="77777777" w:rsidR="009021F1" w:rsidRPr="00E33B7D" w:rsidRDefault="009021F1" w:rsidP="009021F1">
      <w:pPr>
        <w:rPr>
          <w:szCs w:val="21"/>
        </w:rPr>
      </w:pPr>
    </w:p>
    <w:p w14:paraId="1BC28C33" w14:textId="77777777" w:rsidR="009021F1" w:rsidRPr="00E33B7D" w:rsidRDefault="009021F1" w:rsidP="009021F1">
      <w:pPr>
        <w:rPr>
          <w:rFonts w:cs="Arial"/>
          <w:szCs w:val="21"/>
        </w:rPr>
      </w:pPr>
      <w:r w:rsidRPr="00E33B7D">
        <w:rPr>
          <w:rFonts w:cs="Arial"/>
          <w:szCs w:val="21"/>
        </w:rPr>
        <w:t>Le Comité Technique Préparatoire et de Suivi du PNDA</w:t>
      </w:r>
      <w:r w:rsidRPr="00E33B7D">
        <w:rPr>
          <w:rFonts w:eastAsia="Calibri" w:cs="Arial"/>
          <w:iCs/>
          <w:szCs w:val="21"/>
        </w:rPr>
        <w:t xml:space="preserve"> sous tutelle de la Division d’Etudes et Planification (DEP) du Ministère de l’agriculture </w:t>
      </w:r>
      <w:r w:rsidRPr="00E33B7D">
        <w:rPr>
          <w:rFonts w:cs="Arial"/>
          <w:szCs w:val="21"/>
        </w:rPr>
        <w:t xml:space="preserve">va assurer, en collaboration avec l’UNCP/PARRSA, la préparation technique et le suivi du PNDA. Le CTPS veillera à l’inscription et à la budgétisation des diligences environnementales et sociales dans les Plans de Travail et Budget Annuels (PTBA). Il effectuera également des missions de supervision sur le terrain afin de vérifier la prise en compte des aspects environnementaux et sociaux. </w:t>
      </w:r>
    </w:p>
    <w:p w14:paraId="11894158" w14:textId="77777777" w:rsidR="009021F1" w:rsidRPr="00E33B7D" w:rsidRDefault="009021F1" w:rsidP="009021F1">
      <w:pPr>
        <w:rPr>
          <w:szCs w:val="21"/>
        </w:rPr>
      </w:pPr>
    </w:p>
    <w:p w14:paraId="599C8504" w14:textId="77777777" w:rsidR="009021F1" w:rsidRPr="00E33B7D" w:rsidRDefault="009021F1" w:rsidP="009021F1">
      <w:pPr>
        <w:pStyle w:val="Titre2"/>
        <w:rPr>
          <w:rFonts w:cs="Arial"/>
          <w:i/>
          <w:szCs w:val="21"/>
        </w:rPr>
      </w:pPr>
      <w:bookmarkStart w:id="329" w:name="_Toc90471435"/>
      <w:r w:rsidRPr="00E33B7D">
        <w:rPr>
          <w:rFonts w:cs="Arial"/>
          <w:i/>
          <w:szCs w:val="21"/>
        </w:rPr>
        <w:t>Unité Nationale de Coordination du Projet</w:t>
      </w:r>
      <w:bookmarkEnd w:id="329"/>
      <w:r w:rsidRPr="00E33B7D">
        <w:rPr>
          <w:rFonts w:cs="Arial"/>
          <w:i/>
          <w:szCs w:val="21"/>
        </w:rPr>
        <w:t xml:space="preserve"> </w:t>
      </w:r>
    </w:p>
    <w:p w14:paraId="64A7BF32" w14:textId="77777777" w:rsidR="009021F1" w:rsidRPr="00E33B7D" w:rsidRDefault="009021F1" w:rsidP="009021F1">
      <w:pPr>
        <w:autoSpaceDE w:val="0"/>
        <w:autoSpaceDN w:val="0"/>
        <w:adjustRightInd w:val="0"/>
        <w:rPr>
          <w:rFonts w:eastAsia="Calibri" w:cs="Arial"/>
          <w:i/>
          <w:color w:val="000000"/>
          <w:szCs w:val="21"/>
          <w:u w:val="single"/>
        </w:rPr>
      </w:pPr>
    </w:p>
    <w:p w14:paraId="125ECBB7" w14:textId="77777777" w:rsidR="009021F1" w:rsidRPr="00E33B7D" w:rsidRDefault="009021F1" w:rsidP="009021F1">
      <w:pPr>
        <w:autoSpaceDE w:val="0"/>
        <w:autoSpaceDN w:val="0"/>
        <w:adjustRightInd w:val="0"/>
        <w:rPr>
          <w:rFonts w:eastAsia="Calibri" w:cs="Arial"/>
          <w:iCs/>
          <w:szCs w:val="21"/>
        </w:rPr>
      </w:pPr>
      <w:r w:rsidRPr="00E33B7D">
        <w:rPr>
          <w:rFonts w:eastAsia="Calibri" w:cs="Arial"/>
          <w:iCs/>
          <w:szCs w:val="21"/>
        </w:rPr>
        <w:t>L’UNCP sous tutelle du Ministère de l’agriculture, aura les responsabilités à la fois technique et fiduciaire pour la mise en œuvre du Projet.</w:t>
      </w:r>
    </w:p>
    <w:p w14:paraId="59B9EA32" w14:textId="77777777" w:rsidR="009021F1" w:rsidRPr="00E33B7D" w:rsidRDefault="009021F1" w:rsidP="009021F1">
      <w:pPr>
        <w:autoSpaceDE w:val="0"/>
        <w:autoSpaceDN w:val="0"/>
        <w:adjustRightInd w:val="0"/>
        <w:rPr>
          <w:rFonts w:eastAsia="Calibri" w:cs="Arial"/>
          <w:color w:val="000000"/>
          <w:szCs w:val="21"/>
          <w:highlight w:val="yellow"/>
        </w:rPr>
      </w:pPr>
    </w:p>
    <w:p w14:paraId="4C5A5B47" w14:textId="77777777" w:rsidR="009021F1" w:rsidRPr="00E33B7D" w:rsidRDefault="009021F1" w:rsidP="009021F1">
      <w:pPr>
        <w:autoSpaceDE w:val="0"/>
        <w:autoSpaceDN w:val="0"/>
        <w:adjustRightInd w:val="0"/>
        <w:rPr>
          <w:rFonts w:eastAsia="Calibri" w:cs="Arial"/>
          <w:color w:val="000000"/>
          <w:szCs w:val="21"/>
        </w:rPr>
      </w:pPr>
      <w:r w:rsidRPr="00E33B7D">
        <w:rPr>
          <w:rFonts w:eastAsia="Calibri" w:cs="Arial"/>
          <w:szCs w:val="21"/>
        </w:rPr>
        <w:t xml:space="preserve">L’UNCP </w:t>
      </w:r>
      <w:r w:rsidRPr="00E33B7D">
        <w:rPr>
          <w:rFonts w:eastAsia="Calibri" w:cs="Arial"/>
          <w:color w:val="000000"/>
          <w:szCs w:val="21"/>
        </w:rPr>
        <w:t>est chargée de :</w:t>
      </w:r>
    </w:p>
    <w:p w14:paraId="416C87D6" w14:textId="77777777" w:rsidR="009021F1" w:rsidRPr="00E33B7D" w:rsidRDefault="009021F1" w:rsidP="009021F1">
      <w:pPr>
        <w:autoSpaceDE w:val="0"/>
        <w:autoSpaceDN w:val="0"/>
        <w:adjustRightInd w:val="0"/>
        <w:rPr>
          <w:rFonts w:eastAsia="Calibri" w:cs="Arial"/>
          <w:color w:val="000000"/>
          <w:szCs w:val="21"/>
          <w:highlight w:val="yellow"/>
        </w:rPr>
      </w:pPr>
    </w:p>
    <w:p w14:paraId="7BA3FCCC" w14:textId="77777777" w:rsidR="009021F1" w:rsidRPr="00E33B7D" w:rsidRDefault="009021F1" w:rsidP="009021F1">
      <w:pPr>
        <w:numPr>
          <w:ilvl w:val="0"/>
          <w:numId w:val="36"/>
        </w:numPr>
        <w:autoSpaceDE w:val="0"/>
        <w:autoSpaceDN w:val="0"/>
        <w:adjustRightInd w:val="0"/>
        <w:rPr>
          <w:rFonts w:eastAsia="Calibri" w:cs="Arial"/>
          <w:szCs w:val="21"/>
        </w:rPr>
      </w:pPr>
      <w:r w:rsidRPr="00E33B7D">
        <w:rPr>
          <w:rFonts w:eastAsia="Calibri" w:cs="Arial"/>
          <w:szCs w:val="21"/>
        </w:rPr>
        <w:t>L’assurance de la gestion technique et la gestion fiduciaire des activités du projet. À ce titre, elle aura son propre compte dédié pour la gestion du Projet ;</w:t>
      </w:r>
    </w:p>
    <w:p w14:paraId="5D261911" w14:textId="77777777" w:rsidR="009021F1" w:rsidRPr="00E33B7D" w:rsidRDefault="009021F1" w:rsidP="009021F1">
      <w:pPr>
        <w:numPr>
          <w:ilvl w:val="0"/>
          <w:numId w:val="36"/>
        </w:numPr>
        <w:shd w:val="clear" w:color="auto" w:fill="FFFFFF"/>
        <w:rPr>
          <w:rFonts w:cs="Arial"/>
          <w:bCs/>
          <w:color w:val="1E1E1E"/>
          <w:szCs w:val="21"/>
        </w:rPr>
      </w:pPr>
      <w:r w:rsidRPr="00E33B7D">
        <w:rPr>
          <w:rFonts w:cs="Arial"/>
          <w:bCs/>
          <w:color w:val="1E1E1E"/>
          <w:szCs w:val="21"/>
        </w:rPr>
        <w:t>La gestion et du suivi des activités du Projet.</w:t>
      </w:r>
    </w:p>
    <w:p w14:paraId="199C7DDD" w14:textId="77777777" w:rsidR="009021F1" w:rsidRPr="00E33B7D" w:rsidRDefault="009021F1" w:rsidP="009021F1">
      <w:pPr>
        <w:autoSpaceDE w:val="0"/>
        <w:autoSpaceDN w:val="0"/>
        <w:adjustRightInd w:val="0"/>
        <w:rPr>
          <w:rFonts w:cs="Arial"/>
          <w:szCs w:val="21"/>
        </w:rPr>
      </w:pPr>
    </w:p>
    <w:p w14:paraId="23955536" w14:textId="77777777" w:rsidR="009021F1" w:rsidRPr="00E33B7D" w:rsidRDefault="009021F1" w:rsidP="009021F1">
      <w:pPr>
        <w:autoSpaceDE w:val="0"/>
        <w:autoSpaceDN w:val="0"/>
        <w:adjustRightInd w:val="0"/>
        <w:rPr>
          <w:rFonts w:eastAsia="Calibri" w:cs="Arial"/>
          <w:iCs/>
          <w:szCs w:val="21"/>
        </w:rPr>
      </w:pPr>
      <w:r w:rsidRPr="00E33B7D">
        <w:rPr>
          <w:rFonts w:eastAsia="Calibri" w:cs="Arial"/>
          <w:iCs/>
          <w:szCs w:val="21"/>
        </w:rPr>
        <w:t>Il sied de signaler qu’actuellement l’Unité Nationale de Coordination du PARRSA</w:t>
      </w:r>
      <w:r w:rsidRPr="00E33B7D">
        <w:rPr>
          <w:rFonts w:eastAsia="Calibri" w:cs="Arial"/>
          <w:szCs w:val="21"/>
        </w:rPr>
        <w:t xml:space="preserve"> en collaboration avec le Comité Technique mis en place</w:t>
      </w:r>
      <w:r w:rsidRPr="00E33B7D">
        <w:rPr>
          <w:rFonts w:eastAsia="Calibri" w:cs="Arial"/>
          <w:iCs/>
          <w:szCs w:val="21"/>
        </w:rPr>
        <w:t xml:space="preserve"> est chargée de la préparation du PNDA.</w:t>
      </w:r>
    </w:p>
    <w:p w14:paraId="32F2CEDC" w14:textId="77777777" w:rsidR="009021F1" w:rsidRPr="00E33B7D" w:rsidRDefault="009021F1" w:rsidP="009021F1">
      <w:pPr>
        <w:autoSpaceDE w:val="0"/>
        <w:autoSpaceDN w:val="0"/>
        <w:adjustRightInd w:val="0"/>
        <w:rPr>
          <w:rFonts w:cs="Arial"/>
          <w:bCs/>
          <w:szCs w:val="21"/>
        </w:rPr>
      </w:pPr>
    </w:p>
    <w:p w14:paraId="27F6AA63" w14:textId="77777777" w:rsidR="009021F1" w:rsidRPr="00E33B7D" w:rsidRDefault="009021F1" w:rsidP="009021F1">
      <w:pPr>
        <w:autoSpaceDE w:val="0"/>
        <w:autoSpaceDN w:val="0"/>
        <w:adjustRightInd w:val="0"/>
        <w:rPr>
          <w:rFonts w:cs="Arial"/>
          <w:bCs/>
          <w:szCs w:val="21"/>
        </w:rPr>
      </w:pPr>
      <w:r w:rsidRPr="00E33B7D">
        <w:rPr>
          <w:rFonts w:cs="Arial"/>
          <w:bCs/>
          <w:szCs w:val="21"/>
        </w:rPr>
        <w:t>Par ailleurs, l</w:t>
      </w:r>
      <w:r w:rsidRPr="00E33B7D">
        <w:rPr>
          <w:rFonts w:cs="Arial"/>
          <w:bCs/>
          <w:szCs w:val="21"/>
          <w:lang w:val="it-IT"/>
        </w:rPr>
        <w:t>’UNCP/PNDA dispose d'une Unité Environnementale et Sociale (UES) composée d’un spécialiste environnementaliste, d’un spécialiste en développement social et d’un expert en violence et basée sur le genre. L’Unité Environnementale et Sociale de l’UNCP est chargée du suivi et de gestion des aspects environnementaux et sociaux du PNDA. En dehors du Coordonnateur du Projet, elle est composée des experts clés suivants :</w:t>
      </w:r>
      <w:r w:rsidRPr="00E33B7D">
        <w:rPr>
          <w:rFonts w:cs="Arial"/>
          <w:bCs/>
          <w:szCs w:val="21"/>
        </w:rPr>
        <w:t xml:space="preserve"> </w:t>
      </w:r>
    </w:p>
    <w:p w14:paraId="3CF350FC" w14:textId="77777777" w:rsidR="009021F1" w:rsidRPr="00E33B7D" w:rsidRDefault="009021F1" w:rsidP="009021F1">
      <w:pPr>
        <w:autoSpaceDE w:val="0"/>
        <w:autoSpaceDN w:val="0"/>
        <w:adjustRightInd w:val="0"/>
        <w:rPr>
          <w:rFonts w:cs="Arial"/>
          <w:bCs/>
          <w:szCs w:val="21"/>
        </w:rPr>
      </w:pPr>
    </w:p>
    <w:p w14:paraId="5D76B627" w14:textId="77777777" w:rsidR="009021F1" w:rsidRPr="00E33B7D" w:rsidRDefault="009021F1" w:rsidP="009021F1">
      <w:pPr>
        <w:numPr>
          <w:ilvl w:val="0"/>
          <w:numId w:val="107"/>
        </w:numPr>
        <w:ind w:left="720"/>
        <w:rPr>
          <w:rFonts w:cs="Arial"/>
          <w:color w:val="000000"/>
          <w:szCs w:val="21"/>
        </w:rPr>
      </w:pPr>
      <w:r w:rsidRPr="00E33B7D">
        <w:rPr>
          <w:rFonts w:cs="Arial"/>
          <w:color w:val="000000"/>
          <w:szCs w:val="21"/>
        </w:rPr>
        <w:t>Le Spécialiste en Sauvegardes Environnementales, le Spécialiste en Sauvegardes Sociales et l’Expert VBG (SSE/PNDA, SSS/PNDA et EVBG/PNDA en phase de préparation. En phase de mise en œuvre du programme,  ils vont s’assurer de la mise en œuvre de toutes les mesures de sauvegardes environnementale et sociale pendant la durée du programme : (i) ils rempliront les fiches de sélection environnementale et sociale et procéderont à la détermination du niveau de risque E&amp;S approprié et orienteront les études à réaliser (EIES, NIES, PGES, PAR, PSR) avec l’appui de la Banque mondiale, (ii) ils effectueront également le choix des mesures d’atténuation appropriées en cas de non-nécessité d’élaborer des PGES pour les sous-projets, (iii) ils s’ assureront de l’intégration de toutes les clauses environnementales et sociales dans les dossiers d’ appel d’ offre (DAO), ainsi que les contrats des entreprises ; (iv) ils assureront aussi la coordination du suivi des aspects environnementaux et sociaux, du MGP ainsi que de l’audit de conformité du projet avec les mesures environnementales et sociales proposées ; (v) l’EVBG assurera l’application du plan d’action VBG du PNDA.</w:t>
      </w:r>
    </w:p>
    <w:p w14:paraId="2E36D182" w14:textId="77777777" w:rsidR="009021F1" w:rsidRPr="00E33B7D" w:rsidRDefault="009021F1" w:rsidP="009021F1">
      <w:pPr>
        <w:autoSpaceDE w:val="0"/>
        <w:autoSpaceDN w:val="0"/>
        <w:adjustRightInd w:val="0"/>
        <w:rPr>
          <w:rFonts w:eastAsia="Calibri" w:cs="Arial"/>
          <w:iCs/>
          <w:szCs w:val="21"/>
        </w:rPr>
      </w:pPr>
    </w:p>
    <w:p w14:paraId="08102BD1" w14:textId="77777777" w:rsidR="009021F1" w:rsidRPr="00E33B7D" w:rsidRDefault="009021F1" w:rsidP="009021F1">
      <w:pPr>
        <w:numPr>
          <w:ilvl w:val="0"/>
          <w:numId w:val="107"/>
        </w:numPr>
        <w:ind w:left="720"/>
        <w:rPr>
          <w:rFonts w:cs="Arial"/>
          <w:color w:val="000000"/>
          <w:szCs w:val="21"/>
        </w:rPr>
      </w:pPr>
      <w:r w:rsidRPr="00E33B7D">
        <w:rPr>
          <w:rFonts w:cs="Arial"/>
          <w:color w:val="000000"/>
          <w:szCs w:val="21"/>
        </w:rPr>
        <w:t>Le Responsable technique de l’activité éligible au Programme PNDA (Chargé de projet) est responsable de : l’identification de la localisation/site et principales caractéristiques techniques du sous-projet et de ’intégration dans le dossier d’appel d’offres (DAO) du sous-projet, de toutes les mesures de la phase des travaux pouvant être contractualisées avec l’entreprise </w:t>
      </w:r>
    </w:p>
    <w:p w14:paraId="6F6D9E41" w14:textId="77777777" w:rsidR="009021F1" w:rsidRPr="00E33B7D" w:rsidRDefault="009021F1" w:rsidP="009021F1">
      <w:pPr>
        <w:pStyle w:val="Paragraphedeliste"/>
        <w:rPr>
          <w:rFonts w:cs="Arial"/>
          <w:color w:val="000000"/>
          <w:szCs w:val="21"/>
        </w:rPr>
      </w:pPr>
    </w:p>
    <w:p w14:paraId="5B5D1FB1" w14:textId="77777777" w:rsidR="009021F1" w:rsidRPr="00E33B7D" w:rsidRDefault="009021F1" w:rsidP="009021F1">
      <w:pPr>
        <w:numPr>
          <w:ilvl w:val="0"/>
          <w:numId w:val="107"/>
        </w:numPr>
        <w:ind w:left="720"/>
        <w:rPr>
          <w:rFonts w:cs="Arial"/>
          <w:color w:val="000000"/>
          <w:szCs w:val="21"/>
        </w:rPr>
      </w:pPr>
      <w:r w:rsidRPr="00E33B7D">
        <w:rPr>
          <w:rFonts w:cs="Arial"/>
          <w:color w:val="000000"/>
          <w:szCs w:val="21"/>
        </w:rPr>
        <w:t xml:space="preserve">Le Spécialiste en passation de marchés </w:t>
      </w:r>
      <w:r w:rsidRPr="00E33B7D">
        <w:rPr>
          <w:rFonts w:cs="Arial"/>
          <w:szCs w:val="21"/>
        </w:rPr>
        <w:t xml:space="preserve">(du PNDA en phase de préparation et en phase de mise en œuvre, en concertation avec les spécialistes environnemental et social du PNDA) </w:t>
      </w:r>
      <w:r w:rsidRPr="00E33B7D">
        <w:rPr>
          <w:rFonts w:cs="Arial"/>
          <w:color w:val="000000"/>
          <w:szCs w:val="21"/>
        </w:rPr>
        <w:t>: veille à l’inclusion des activités suivantes dans les plans de passation des marchés et prépare les documents contractuels y relatifs (étude s, intégration des mesures dans le dossier d’appel d’offres ; PGES entreprise, exécution/Mise en œuvre des mesures ; renforcement des capacités ; surveillance et audit).</w:t>
      </w:r>
    </w:p>
    <w:p w14:paraId="1E95C1B7" w14:textId="77777777" w:rsidR="009021F1" w:rsidRPr="00E33B7D" w:rsidRDefault="009021F1" w:rsidP="009021F1">
      <w:pPr>
        <w:pStyle w:val="Paragraphedeliste"/>
        <w:spacing w:after="200"/>
        <w:rPr>
          <w:rFonts w:cs="Arial"/>
          <w:szCs w:val="21"/>
        </w:rPr>
      </w:pPr>
    </w:p>
    <w:p w14:paraId="723538FB" w14:textId="77777777" w:rsidR="009021F1" w:rsidRPr="00E33B7D" w:rsidRDefault="009021F1" w:rsidP="009021F1">
      <w:pPr>
        <w:pStyle w:val="Paragraphedeliste"/>
        <w:numPr>
          <w:ilvl w:val="0"/>
          <w:numId w:val="108"/>
        </w:numPr>
        <w:spacing w:after="200"/>
        <w:rPr>
          <w:rFonts w:cs="Arial"/>
          <w:szCs w:val="21"/>
        </w:rPr>
      </w:pPr>
      <w:r w:rsidRPr="00E33B7D">
        <w:rPr>
          <w:rFonts w:cs="Arial"/>
          <w:szCs w:val="21"/>
        </w:rPr>
        <w:t>Le Responsable des finances </w:t>
      </w:r>
      <w:r w:rsidRPr="00E33B7D">
        <w:rPr>
          <w:rFonts w:cs="Arial"/>
          <w:color w:val="000000"/>
          <w:szCs w:val="21"/>
        </w:rPr>
        <w:t xml:space="preserve">de la </w:t>
      </w:r>
      <w:r w:rsidRPr="00E33B7D">
        <w:rPr>
          <w:rFonts w:cs="Arial"/>
          <w:szCs w:val="21"/>
        </w:rPr>
        <w:t xml:space="preserve">(du PNDA en phase de préparation et en phase de mise en œuvre) : inclut dans les états financiers les provisions budgétaires relatives à l’Exécution/Mise en œuvre des mesures et à la Surveillance de la mise en œuvre des mesures environnementales et sociales </w:t>
      </w:r>
    </w:p>
    <w:p w14:paraId="7ED7FB87" w14:textId="77777777" w:rsidR="009021F1" w:rsidRPr="00E33B7D" w:rsidRDefault="009021F1" w:rsidP="009021F1">
      <w:pPr>
        <w:pStyle w:val="Paragraphedeliste"/>
        <w:spacing w:after="200"/>
        <w:rPr>
          <w:rFonts w:cs="Arial"/>
          <w:szCs w:val="21"/>
        </w:rPr>
      </w:pPr>
    </w:p>
    <w:p w14:paraId="3ED95E1B" w14:textId="77777777" w:rsidR="009021F1" w:rsidRPr="00E33B7D" w:rsidRDefault="009021F1" w:rsidP="009021F1">
      <w:pPr>
        <w:pStyle w:val="Paragraphedeliste"/>
        <w:numPr>
          <w:ilvl w:val="0"/>
          <w:numId w:val="108"/>
        </w:numPr>
        <w:spacing w:after="200"/>
        <w:rPr>
          <w:rFonts w:cs="Arial"/>
          <w:szCs w:val="21"/>
        </w:rPr>
      </w:pPr>
      <w:r w:rsidRPr="00E33B7D">
        <w:rPr>
          <w:rFonts w:cs="Arial"/>
          <w:szCs w:val="21"/>
        </w:rPr>
        <w:t>Le Spécialiste en suivi-évaluation (du PNDA en phase de préparation et en phase de mise en œuvre) : il participe à la Surveillance interne de la mise en œuvre des mesures environnementales et sociales, au Suivi environnemental et social et à l’Audit de mise en œuvre des mesures environnementales et sociales.</w:t>
      </w:r>
    </w:p>
    <w:p w14:paraId="33FC1996" w14:textId="77777777" w:rsidR="009021F1" w:rsidRPr="00E33B7D" w:rsidRDefault="009021F1" w:rsidP="009021F1">
      <w:pPr>
        <w:autoSpaceDE w:val="0"/>
        <w:autoSpaceDN w:val="0"/>
        <w:adjustRightInd w:val="0"/>
        <w:rPr>
          <w:rFonts w:eastAsia="Calibri" w:cs="Arial"/>
          <w:iCs/>
          <w:szCs w:val="21"/>
        </w:rPr>
      </w:pPr>
      <w:r w:rsidRPr="00E33B7D">
        <w:rPr>
          <w:rFonts w:eastAsia="Calibri" w:cs="Arial"/>
          <w:iCs/>
          <w:szCs w:val="21"/>
        </w:rPr>
        <w:t xml:space="preserve">Quelques Directions normatives </w:t>
      </w:r>
    </w:p>
    <w:p w14:paraId="696E58EB" w14:textId="77777777" w:rsidR="009021F1" w:rsidRPr="00E33B7D" w:rsidRDefault="009021F1" w:rsidP="009021F1">
      <w:pPr>
        <w:autoSpaceDE w:val="0"/>
        <w:autoSpaceDN w:val="0"/>
        <w:adjustRightInd w:val="0"/>
        <w:rPr>
          <w:rFonts w:cs="Arial"/>
          <w:b/>
          <w:i/>
          <w:szCs w:val="21"/>
        </w:rPr>
      </w:pPr>
    </w:p>
    <w:p w14:paraId="49562FDF" w14:textId="77777777" w:rsidR="009021F1" w:rsidRPr="00E33B7D" w:rsidRDefault="009021F1" w:rsidP="009021F1">
      <w:pPr>
        <w:autoSpaceDE w:val="0"/>
        <w:autoSpaceDN w:val="0"/>
        <w:adjustRightInd w:val="0"/>
        <w:rPr>
          <w:rFonts w:eastAsia="Calibri" w:cs="Arial"/>
          <w:iCs/>
          <w:szCs w:val="21"/>
        </w:rPr>
      </w:pPr>
      <w:r w:rsidRPr="00E33B7D">
        <w:rPr>
          <w:rFonts w:cs="Arial"/>
          <w:szCs w:val="21"/>
        </w:rPr>
        <w:t>Le tableau ci-dessous contient les Directions normatives et leurs missions respectives.</w:t>
      </w:r>
      <w:r w:rsidRPr="00E33B7D">
        <w:rPr>
          <w:rFonts w:cs="Arial"/>
          <w:b/>
          <w:i/>
          <w:szCs w:val="21"/>
        </w:rPr>
        <w:br w:type="page"/>
      </w:r>
    </w:p>
    <w:p w14:paraId="0A776B8F" w14:textId="77777777" w:rsidR="009021F1" w:rsidRPr="00E33B7D" w:rsidRDefault="009021F1" w:rsidP="009021F1">
      <w:pPr>
        <w:spacing w:line="240" w:lineRule="auto"/>
        <w:jc w:val="left"/>
        <w:rPr>
          <w:rFonts w:cs="Arial"/>
          <w:i/>
          <w:w w:val="90"/>
          <w:szCs w:val="21"/>
          <w:u w:val="single"/>
        </w:rPr>
      </w:pPr>
      <w:r w:rsidRPr="00E33B7D">
        <w:rPr>
          <w:rFonts w:cs="Arial"/>
          <w:szCs w:val="21"/>
        </w:rPr>
        <w:t xml:space="preserve">Tableau </w:t>
      </w:r>
      <w:r w:rsidRPr="00E33B7D">
        <w:rPr>
          <w:rFonts w:cs="Arial"/>
          <w:szCs w:val="21"/>
        </w:rPr>
        <w:fldChar w:fldCharType="begin"/>
      </w:r>
      <w:r w:rsidRPr="00E33B7D">
        <w:rPr>
          <w:rFonts w:cs="Arial"/>
          <w:szCs w:val="21"/>
        </w:rPr>
        <w:instrText xml:space="preserve"> SEQ Tableau \* ARABIC </w:instrText>
      </w:r>
      <w:r w:rsidRPr="00E33B7D">
        <w:rPr>
          <w:rFonts w:cs="Arial"/>
          <w:szCs w:val="21"/>
        </w:rPr>
        <w:fldChar w:fldCharType="separate"/>
      </w:r>
      <w:r>
        <w:rPr>
          <w:rFonts w:cs="Arial"/>
          <w:noProof/>
          <w:szCs w:val="21"/>
        </w:rPr>
        <w:t>18</w:t>
      </w:r>
      <w:r w:rsidRPr="00E33B7D">
        <w:rPr>
          <w:rFonts w:cs="Arial"/>
          <w:noProof/>
          <w:szCs w:val="21"/>
        </w:rPr>
        <w:fldChar w:fldCharType="end"/>
      </w:r>
      <w:r w:rsidRPr="00E33B7D">
        <w:rPr>
          <w:rFonts w:cs="Arial"/>
          <w:szCs w:val="21"/>
        </w:rPr>
        <w:t>.</w:t>
      </w:r>
      <w:r w:rsidRPr="00E33B7D">
        <w:rPr>
          <w:rFonts w:cs="Arial"/>
          <w:bCs/>
          <w:szCs w:val="21"/>
        </w:rPr>
        <w:t xml:space="preserve"> Directions normatives et leurs missions</w:t>
      </w:r>
    </w:p>
    <w:p w14:paraId="226615DB" w14:textId="77777777" w:rsidR="009021F1" w:rsidRPr="00E33B7D" w:rsidRDefault="009021F1" w:rsidP="009021F1">
      <w:pPr>
        <w:rPr>
          <w:rFonts w:cs="Arial"/>
          <w:spacing w:val="-5"/>
          <w:szCs w:val="21"/>
        </w:rPr>
      </w:pPr>
    </w:p>
    <w:tbl>
      <w:tblPr>
        <w:tblW w:w="8931" w:type="dxa"/>
        <w:tblInd w:w="-5" w:type="dxa"/>
        <w:tblCellMar>
          <w:left w:w="70" w:type="dxa"/>
          <w:right w:w="70" w:type="dxa"/>
        </w:tblCellMar>
        <w:tblLook w:val="04A0" w:firstRow="1" w:lastRow="0" w:firstColumn="1" w:lastColumn="0" w:noHBand="0" w:noVBand="1"/>
      </w:tblPr>
      <w:tblGrid>
        <w:gridCol w:w="4111"/>
        <w:gridCol w:w="4820"/>
      </w:tblGrid>
      <w:tr w:rsidR="009021F1" w:rsidRPr="00982564" w14:paraId="5798FFB8" w14:textId="77777777" w:rsidTr="00E637E3">
        <w:trPr>
          <w:trHeight w:val="546"/>
          <w:tblHeader/>
        </w:trPr>
        <w:tc>
          <w:tcPr>
            <w:tcW w:w="4111"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41614248" w14:textId="77777777" w:rsidR="009021F1" w:rsidRPr="00E33B7D" w:rsidRDefault="009021F1" w:rsidP="00E637E3">
            <w:pPr>
              <w:spacing w:line="240" w:lineRule="auto"/>
              <w:jc w:val="center"/>
              <w:rPr>
                <w:rFonts w:cs="Arial"/>
                <w:color w:val="000000"/>
                <w:sz w:val="20"/>
                <w:szCs w:val="20"/>
              </w:rPr>
            </w:pPr>
            <w:r w:rsidRPr="00E33B7D">
              <w:rPr>
                <w:rFonts w:cs="Arial"/>
                <w:color w:val="000000"/>
                <w:sz w:val="20"/>
                <w:szCs w:val="20"/>
              </w:rPr>
              <w:t>Direction normatives</w:t>
            </w:r>
          </w:p>
        </w:tc>
        <w:tc>
          <w:tcPr>
            <w:tcW w:w="4820" w:type="dxa"/>
            <w:tcBorders>
              <w:top w:val="single" w:sz="4" w:space="0" w:color="auto"/>
              <w:left w:val="nil"/>
              <w:bottom w:val="single" w:sz="4" w:space="0" w:color="auto"/>
              <w:right w:val="single" w:sz="4" w:space="0" w:color="auto"/>
            </w:tcBorders>
            <w:shd w:val="clear" w:color="auto" w:fill="BDD6EE"/>
            <w:vAlign w:val="center"/>
            <w:hideMark/>
          </w:tcPr>
          <w:p w14:paraId="4B38A82F" w14:textId="77777777" w:rsidR="009021F1" w:rsidRPr="00E33B7D" w:rsidRDefault="009021F1" w:rsidP="00E637E3">
            <w:pPr>
              <w:spacing w:line="240" w:lineRule="auto"/>
              <w:jc w:val="center"/>
              <w:rPr>
                <w:rFonts w:cs="Arial"/>
                <w:color w:val="000000"/>
                <w:sz w:val="20"/>
                <w:szCs w:val="20"/>
              </w:rPr>
            </w:pPr>
            <w:r w:rsidRPr="00E33B7D">
              <w:rPr>
                <w:rFonts w:cs="Arial"/>
                <w:color w:val="000000"/>
                <w:sz w:val="20"/>
                <w:szCs w:val="20"/>
              </w:rPr>
              <w:t>Missions</w:t>
            </w:r>
          </w:p>
        </w:tc>
      </w:tr>
      <w:tr w:rsidR="009021F1" w:rsidRPr="00982564" w14:paraId="7DF14F10" w14:textId="77777777" w:rsidTr="00E637E3">
        <w:trPr>
          <w:trHeight w:val="1137"/>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23971E39" w14:textId="77777777" w:rsidR="009021F1" w:rsidRPr="00E33B7D" w:rsidRDefault="009021F1" w:rsidP="00E637E3">
            <w:pPr>
              <w:spacing w:line="240" w:lineRule="auto"/>
              <w:rPr>
                <w:rFonts w:cs="Arial"/>
                <w:color w:val="000000"/>
                <w:sz w:val="20"/>
                <w:szCs w:val="20"/>
              </w:rPr>
            </w:pPr>
            <w:r w:rsidRPr="00E33B7D">
              <w:rPr>
                <w:rFonts w:cs="Arial"/>
                <w:color w:val="000000"/>
                <w:sz w:val="20"/>
                <w:szCs w:val="20"/>
              </w:rPr>
              <w:t>Direction de la Production et Protection des Végétaux (DPPV)</w:t>
            </w:r>
          </w:p>
        </w:tc>
        <w:tc>
          <w:tcPr>
            <w:tcW w:w="4820" w:type="dxa"/>
            <w:tcBorders>
              <w:top w:val="nil"/>
              <w:left w:val="nil"/>
              <w:bottom w:val="single" w:sz="4" w:space="0" w:color="auto"/>
              <w:right w:val="single" w:sz="4" w:space="0" w:color="auto"/>
            </w:tcBorders>
            <w:shd w:val="clear" w:color="auto" w:fill="auto"/>
            <w:vAlign w:val="center"/>
            <w:hideMark/>
          </w:tcPr>
          <w:p w14:paraId="776F2527" w14:textId="77777777" w:rsidR="009021F1" w:rsidRPr="00E33B7D" w:rsidRDefault="009021F1" w:rsidP="00E637E3">
            <w:pPr>
              <w:spacing w:line="240" w:lineRule="auto"/>
              <w:jc w:val="left"/>
              <w:rPr>
                <w:rFonts w:cs="Arial"/>
                <w:color w:val="000000"/>
                <w:sz w:val="20"/>
                <w:szCs w:val="20"/>
              </w:rPr>
            </w:pPr>
            <w:r w:rsidRPr="00E33B7D">
              <w:rPr>
                <w:rFonts w:cs="Arial"/>
                <w:color w:val="000000"/>
                <w:sz w:val="20"/>
                <w:szCs w:val="20"/>
              </w:rPr>
              <w:t>Contribuer à la conception et à l’élaboration de la politique nationale en matière de production et protection végétales, assurer l’encadrement de la production et protection végétales.</w:t>
            </w:r>
          </w:p>
        </w:tc>
      </w:tr>
      <w:tr w:rsidR="009021F1" w:rsidRPr="00982564" w14:paraId="2373FBA1" w14:textId="77777777" w:rsidTr="00E637E3">
        <w:trPr>
          <w:trHeight w:val="1276"/>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2D73096E" w14:textId="77777777" w:rsidR="009021F1" w:rsidRPr="00E33B7D" w:rsidRDefault="009021F1" w:rsidP="00E637E3">
            <w:pPr>
              <w:spacing w:line="240" w:lineRule="auto"/>
              <w:rPr>
                <w:rFonts w:cs="Arial"/>
                <w:color w:val="000000"/>
                <w:sz w:val="20"/>
                <w:szCs w:val="20"/>
              </w:rPr>
            </w:pPr>
            <w:r w:rsidRPr="00E33B7D">
              <w:rPr>
                <w:rFonts w:cs="Arial"/>
                <w:color w:val="000000"/>
                <w:sz w:val="20"/>
                <w:szCs w:val="20"/>
              </w:rPr>
              <w:t>Direction de la Production et Santé Animales (DPSA)</w:t>
            </w:r>
          </w:p>
        </w:tc>
        <w:tc>
          <w:tcPr>
            <w:tcW w:w="4820" w:type="dxa"/>
            <w:tcBorders>
              <w:top w:val="nil"/>
              <w:left w:val="nil"/>
              <w:bottom w:val="single" w:sz="4" w:space="0" w:color="auto"/>
              <w:right w:val="single" w:sz="4" w:space="0" w:color="auto"/>
            </w:tcBorders>
            <w:shd w:val="clear" w:color="auto" w:fill="auto"/>
            <w:vAlign w:val="center"/>
            <w:hideMark/>
          </w:tcPr>
          <w:p w14:paraId="313D9B1A" w14:textId="77777777" w:rsidR="009021F1" w:rsidRPr="00E33B7D" w:rsidRDefault="009021F1" w:rsidP="00E637E3">
            <w:pPr>
              <w:spacing w:line="240" w:lineRule="auto"/>
              <w:jc w:val="left"/>
              <w:rPr>
                <w:rFonts w:cs="Arial"/>
                <w:color w:val="000000"/>
                <w:sz w:val="20"/>
                <w:szCs w:val="20"/>
              </w:rPr>
            </w:pPr>
            <w:r w:rsidRPr="00E33B7D">
              <w:rPr>
                <w:rFonts w:cs="Arial"/>
                <w:color w:val="000000"/>
                <w:sz w:val="20"/>
                <w:szCs w:val="20"/>
              </w:rPr>
              <w:t>Contribuer à la conception et à l’élaboration de la politique nationale en matière d’élevage production et santé animales) et en suivre l’exécution, assurer l’encadrement de la production animale.</w:t>
            </w:r>
          </w:p>
        </w:tc>
      </w:tr>
      <w:tr w:rsidR="009021F1" w:rsidRPr="00982564" w14:paraId="2F8B888A" w14:textId="77777777" w:rsidTr="00E637E3">
        <w:trPr>
          <w:trHeight w:val="684"/>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33891865" w14:textId="77777777" w:rsidR="009021F1" w:rsidRPr="00E33B7D" w:rsidRDefault="009021F1" w:rsidP="00E637E3">
            <w:pPr>
              <w:spacing w:line="240" w:lineRule="auto"/>
              <w:jc w:val="left"/>
              <w:rPr>
                <w:rFonts w:cs="Arial"/>
                <w:color w:val="000000"/>
                <w:sz w:val="20"/>
                <w:szCs w:val="20"/>
              </w:rPr>
            </w:pPr>
            <w:r w:rsidRPr="00E33B7D">
              <w:rPr>
                <w:rFonts w:cs="Arial"/>
                <w:color w:val="000000"/>
                <w:sz w:val="20"/>
                <w:szCs w:val="20"/>
              </w:rPr>
              <w:t>Direction des Pêches (DP)</w:t>
            </w:r>
          </w:p>
        </w:tc>
        <w:tc>
          <w:tcPr>
            <w:tcW w:w="4820" w:type="dxa"/>
            <w:tcBorders>
              <w:top w:val="nil"/>
              <w:left w:val="nil"/>
              <w:bottom w:val="single" w:sz="4" w:space="0" w:color="auto"/>
              <w:right w:val="single" w:sz="4" w:space="0" w:color="auto"/>
            </w:tcBorders>
            <w:shd w:val="clear" w:color="auto" w:fill="auto"/>
            <w:vAlign w:val="center"/>
            <w:hideMark/>
          </w:tcPr>
          <w:p w14:paraId="2D79AA6B" w14:textId="77777777" w:rsidR="009021F1" w:rsidRPr="00E33B7D" w:rsidRDefault="009021F1" w:rsidP="00E637E3">
            <w:pPr>
              <w:spacing w:line="240" w:lineRule="auto"/>
              <w:jc w:val="left"/>
              <w:rPr>
                <w:rFonts w:cs="Arial"/>
                <w:color w:val="000000"/>
                <w:sz w:val="20"/>
                <w:szCs w:val="20"/>
              </w:rPr>
            </w:pPr>
            <w:r w:rsidRPr="00E33B7D">
              <w:rPr>
                <w:rFonts w:cs="Arial"/>
                <w:color w:val="000000"/>
                <w:sz w:val="20"/>
                <w:szCs w:val="20"/>
              </w:rPr>
              <w:t>Contribuer à la conception et à la définition de la politique nationale en matière de pêche et en suivre l’application.</w:t>
            </w:r>
          </w:p>
        </w:tc>
      </w:tr>
      <w:tr w:rsidR="009021F1" w:rsidRPr="00982564" w14:paraId="4E81D6EA" w14:textId="77777777" w:rsidTr="00E637E3">
        <w:trPr>
          <w:trHeight w:val="1205"/>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1701DC6B" w14:textId="77777777" w:rsidR="009021F1" w:rsidRPr="00E33B7D" w:rsidRDefault="009021F1" w:rsidP="00E637E3">
            <w:pPr>
              <w:spacing w:line="240" w:lineRule="auto"/>
              <w:jc w:val="left"/>
              <w:rPr>
                <w:rFonts w:cs="Arial"/>
                <w:color w:val="000000"/>
                <w:sz w:val="20"/>
                <w:szCs w:val="20"/>
              </w:rPr>
            </w:pPr>
            <w:r w:rsidRPr="00E33B7D">
              <w:rPr>
                <w:rFonts w:cs="Arial"/>
                <w:color w:val="000000"/>
                <w:sz w:val="20"/>
                <w:szCs w:val="20"/>
              </w:rPr>
              <w:t>Direction des Marchés, Prix et Crédits de Campagne (DMPCC)</w:t>
            </w:r>
          </w:p>
        </w:tc>
        <w:tc>
          <w:tcPr>
            <w:tcW w:w="4820" w:type="dxa"/>
            <w:tcBorders>
              <w:top w:val="nil"/>
              <w:left w:val="nil"/>
              <w:bottom w:val="single" w:sz="4" w:space="0" w:color="auto"/>
              <w:right w:val="single" w:sz="4" w:space="0" w:color="auto"/>
            </w:tcBorders>
            <w:shd w:val="clear" w:color="auto" w:fill="auto"/>
            <w:vAlign w:val="center"/>
            <w:hideMark/>
          </w:tcPr>
          <w:p w14:paraId="3D71B6E2" w14:textId="77777777" w:rsidR="009021F1" w:rsidRPr="00E33B7D" w:rsidRDefault="009021F1" w:rsidP="00E637E3">
            <w:pPr>
              <w:spacing w:line="240" w:lineRule="auto"/>
              <w:rPr>
                <w:rFonts w:cs="Arial"/>
                <w:color w:val="000000"/>
                <w:sz w:val="20"/>
                <w:szCs w:val="20"/>
              </w:rPr>
            </w:pPr>
            <w:r w:rsidRPr="00E33B7D">
              <w:rPr>
                <w:rFonts w:cs="Arial"/>
                <w:color w:val="000000"/>
                <w:sz w:val="20"/>
                <w:szCs w:val="20"/>
              </w:rPr>
              <w:t>Chargée du suivi de la commercialisation agricole en général avec ses divisions des prix agricoles, des études commerciales, des infrastructures commerciales et de financement agricole.</w:t>
            </w:r>
          </w:p>
        </w:tc>
      </w:tr>
      <w:tr w:rsidR="009021F1" w:rsidRPr="00982564" w14:paraId="1A5DC3F2" w14:textId="77777777" w:rsidTr="00E637E3">
        <w:trPr>
          <w:trHeight w:val="629"/>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661EAE8A" w14:textId="77777777" w:rsidR="009021F1" w:rsidRPr="00E33B7D" w:rsidRDefault="009021F1" w:rsidP="00E637E3">
            <w:pPr>
              <w:spacing w:line="240" w:lineRule="auto"/>
              <w:jc w:val="left"/>
              <w:rPr>
                <w:rFonts w:cs="Arial"/>
                <w:color w:val="000000"/>
                <w:sz w:val="20"/>
                <w:szCs w:val="20"/>
              </w:rPr>
            </w:pPr>
            <w:r w:rsidRPr="00E33B7D">
              <w:rPr>
                <w:rFonts w:cs="Arial"/>
                <w:color w:val="000000"/>
                <w:sz w:val="20"/>
                <w:szCs w:val="20"/>
              </w:rPr>
              <w:t>Direction de l’Inspection</w:t>
            </w:r>
          </w:p>
        </w:tc>
        <w:tc>
          <w:tcPr>
            <w:tcW w:w="4820" w:type="dxa"/>
            <w:tcBorders>
              <w:top w:val="nil"/>
              <w:left w:val="nil"/>
              <w:bottom w:val="single" w:sz="4" w:space="0" w:color="auto"/>
              <w:right w:val="single" w:sz="4" w:space="0" w:color="auto"/>
            </w:tcBorders>
            <w:shd w:val="clear" w:color="auto" w:fill="auto"/>
            <w:vAlign w:val="center"/>
            <w:hideMark/>
          </w:tcPr>
          <w:p w14:paraId="421AD4AD" w14:textId="77777777" w:rsidR="009021F1" w:rsidRPr="00E33B7D" w:rsidRDefault="009021F1" w:rsidP="00E637E3">
            <w:pPr>
              <w:spacing w:line="240" w:lineRule="auto"/>
              <w:jc w:val="left"/>
              <w:rPr>
                <w:rFonts w:cs="Arial"/>
                <w:color w:val="000000"/>
                <w:sz w:val="20"/>
                <w:szCs w:val="20"/>
              </w:rPr>
            </w:pPr>
            <w:r w:rsidRPr="00E33B7D">
              <w:rPr>
                <w:rFonts w:cs="Arial"/>
                <w:color w:val="000000"/>
                <w:sz w:val="20"/>
                <w:szCs w:val="20"/>
              </w:rPr>
              <w:t>Chargée du contrôle technique, administratif et financier de tous les services du Ministère.</w:t>
            </w:r>
          </w:p>
        </w:tc>
      </w:tr>
      <w:tr w:rsidR="009021F1" w:rsidRPr="00982564" w14:paraId="46977ECA" w14:textId="77777777" w:rsidTr="00E637E3">
        <w:trPr>
          <w:trHeight w:val="1545"/>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1A32DF40" w14:textId="77777777" w:rsidR="009021F1" w:rsidRPr="00E33B7D" w:rsidRDefault="009021F1" w:rsidP="00E637E3">
            <w:pPr>
              <w:spacing w:line="240" w:lineRule="auto"/>
              <w:jc w:val="left"/>
              <w:rPr>
                <w:rFonts w:cs="Arial"/>
                <w:color w:val="000000"/>
                <w:sz w:val="20"/>
                <w:szCs w:val="20"/>
              </w:rPr>
            </w:pPr>
            <w:r w:rsidRPr="00E33B7D">
              <w:rPr>
                <w:rFonts w:cs="Arial"/>
                <w:color w:val="000000"/>
                <w:sz w:val="20"/>
                <w:szCs w:val="20"/>
              </w:rPr>
              <w:t>Direction de l’Administration Générale des Projets (DAGP)</w:t>
            </w:r>
          </w:p>
        </w:tc>
        <w:tc>
          <w:tcPr>
            <w:tcW w:w="4820" w:type="dxa"/>
            <w:tcBorders>
              <w:top w:val="nil"/>
              <w:left w:val="nil"/>
              <w:bottom w:val="single" w:sz="4" w:space="0" w:color="auto"/>
              <w:right w:val="single" w:sz="4" w:space="0" w:color="auto"/>
            </w:tcBorders>
            <w:shd w:val="clear" w:color="auto" w:fill="auto"/>
            <w:vAlign w:val="center"/>
            <w:hideMark/>
          </w:tcPr>
          <w:p w14:paraId="2CAB66E7" w14:textId="77777777" w:rsidR="009021F1" w:rsidRPr="00E33B7D" w:rsidRDefault="009021F1" w:rsidP="00E637E3">
            <w:pPr>
              <w:spacing w:line="240" w:lineRule="auto"/>
              <w:jc w:val="left"/>
              <w:rPr>
                <w:rFonts w:cs="Arial"/>
                <w:color w:val="000000"/>
                <w:sz w:val="20"/>
                <w:szCs w:val="20"/>
              </w:rPr>
            </w:pPr>
            <w:r w:rsidRPr="00E33B7D">
              <w:rPr>
                <w:rFonts w:cs="Arial"/>
                <w:color w:val="000000"/>
                <w:sz w:val="20"/>
                <w:szCs w:val="20"/>
              </w:rPr>
              <w:t>Contribuer à l’exécution des activités de suivi et d’évaluation des programmes agricoles exécutés avec l’appui et l’encadrement de l’Etat notamment avec ses divisions suivi-évaluation des projets de production végétale et des projets production animale aquacole et pêche.</w:t>
            </w:r>
          </w:p>
        </w:tc>
      </w:tr>
      <w:tr w:rsidR="009021F1" w:rsidRPr="00982564" w14:paraId="3BCF4588" w14:textId="77777777" w:rsidTr="00E637E3">
        <w:trPr>
          <w:trHeight w:val="857"/>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3CE7E12D" w14:textId="77777777" w:rsidR="009021F1" w:rsidRPr="00E33B7D" w:rsidRDefault="009021F1" w:rsidP="00E637E3">
            <w:pPr>
              <w:spacing w:line="240" w:lineRule="auto"/>
              <w:jc w:val="left"/>
              <w:rPr>
                <w:rFonts w:cs="Arial"/>
                <w:color w:val="000000"/>
                <w:sz w:val="20"/>
                <w:szCs w:val="20"/>
              </w:rPr>
            </w:pPr>
            <w:r w:rsidRPr="00E33B7D">
              <w:rPr>
                <w:rFonts w:cs="Arial"/>
                <w:color w:val="000000"/>
                <w:sz w:val="20"/>
                <w:szCs w:val="20"/>
              </w:rPr>
              <w:t>Division Urbaine du genre de l’enfant et famille</w:t>
            </w:r>
          </w:p>
        </w:tc>
        <w:tc>
          <w:tcPr>
            <w:tcW w:w="4820" w:type="dxa"/>
            <w:tcBorders>
              <w:top w:val="nil"/>
              <w:left w:val="nil"/>
              <w:bottom w:val="single" w:sz="4" w:space="0" w:color="auto"/>
              <w:right w:val="single" w:sz="4" w:space="0" w:color="auto"/>
            </w:tcBorders>
            <w:shd w:val="clear" w:color="auto" w:fill="auto"/>
            <w:vAlign w:val="center"/>
            <w:hideMark/>
          </w:tcPr>
          <w:p w14:paraId="26B6545D" w14:textId="77777777" w:rsidR="009021F1" w:rsidRPr="00E33B7D" w:rsidRDefault="009021F1" w:rsidP="00E637E3">
            <w:pPr>
              <w:spacing w:line="240" w:lineRule="auto"/>
              <w:jc w:val="left"/>
              <w:rPr>
                <w:rFonts w:cs="Arial"/>
                <w:color w:val="000000"/>
                <w:sz w:val="20"/>
                <w:szCs w:val="20"/>
              </w:rPr>
            </w:pPr>
            <w:r w:rsidRPr="00E33B7D">
              <w:rPr>
                <w:rFonts w:cs="Arial"/>
                <w:color w:val="000000"/>
                <w:sz w:val="20"/>
                <w:szCs w:val="20"/>
              </w:rPr>
              <w:t>Appuyer les activités de lutte contre les violences basées sur le genre en tant qu’organe technique du Ministère du Genre.</w:t>
            </w:r>
          </w:p>
        </w:tc>
      </w:tr>
    </w:tbl>
    <w:p w14:paraId="19AB52C4" w14:textId="77777777" w:rsidR="009021F1" w:rsidRPr="00E33B7D" w:rsidRDefault="009021F1" w:rsidP="009021F1">
      <w:pPr>
        <w:autoSpaceDE w:val="0"/>
        <w:autoSpaceDN w:val="0"/>
        <w:adjustRightInd w:val="0"/>
        <w:rPr>
          <w:rFonts w:eastAsia="Calibri" w:cs="Arial"/>
          <w:iCs/>
          <w:szCs w:val="21"/>
        </w:rPr>
      </w:pPr>
    </w:p>
    <w:p w14:paraId="5C92F34E" w14:textId="77777777" w:rsidR="009021F1" w:rsidRPr="00E33B7D" w:rsidRDefault="009021F1" w:rsidP="009021F1">
      <w:pPr>
        <w:autoSpaceDE w:val="0"/>
        <w:autoSpaceDN w:val="0"/>
        <w:adjustRightInd w:val="0"/>
        <w:rPr>
          <w:rFonts w:eastAsia="Calibri" w:cs="Arial"/>
          <w:iCs/>
          <w:szCs w:val="21"/>
        </w:rPr>
      </w:pPr>
      <w:r w:rsidRPr="00E33B7D">
        <w:rPr>
          <w:rFonts w:eastAsia="Calibri" w:cs="Arial"/>
          <w:iCs/>
          <w:szCs w:val="21"/>
        </w:rPr>
        <w:t>Il s’agit souvent de structures mises en place dans le cadre de projets, dont l’objectif initial est de renforcer certaines activités spécifiques des directions normatives, mais qui ont été érigées en Services nationaux au terme du financement extérieur dont elles étaient bénéficiaires. On distingue actuellement :</w:t>
      </w:r>
    </w:p>
    <w:p w14:paraId="0C8CE9D4" w14:textId="77777777" w:rsidR="009021F1" w:rsidRPr="00E33B7D" w:rsidRDefault="009021F1" w:rsidP="009021F1">
      <w:pPr>
        <w:autoSpaceDE w:val="0"/>
        <w:autoSpaceDN w:val="0"/>
        <w:adjustRightInd w:val="0"/>
        <w:rPr>
          <w:rFonts w:eastAsia="Calibri" w:cs="Arial"/>
          <w:iCs/>
          <w:szCs w:val="21"/>
        </w:rPr>
      </w:pPr>
    </w:p>
    <w:p w14:paraId="14F33279" w14:textId="77777777" w:rsidR="009021F1" w:rsidRPr="00E33B7D" w:rsidRDefault="009021F1" w:rsidP="009021F1">
      <w:pPr>
        <w:pStyle w:val="Paragraphedeliste"/>
        <w:numPr>
          <w:ilvl w:val="0"/>
          <w:numId w:val="36"/>
        </w:numPr>
        <w:autoSpaceDE w:val="0"/>
        <w:autoSpaceDN w:val="0"/>
        <w:adjustRightInd w:val="0"/>
        <w:rPr>
          <w:rFonts w:eastAsia="Calibri" w:cs="Arial"/>
          <w:iCs/>
          <w:szCs w:val="21"/>
        </w:rPr>
      </w:pPr>
      <w:r w:rsidRPr="00E33B7D">
        <w:rPr>
          <w:rFonts w:eastAsia="Calibri" w:cs="Arial"/>
          <w:iCs/>
          <w:szCs w:val="21"/>
        </w:rPr>
        <w:t>Service National de Vulgarisation (SNV)</w:t>
      </w:r>
    </w:p>
    <w:p w14:paraId="50E4183C" w14:textId="77777777" w:rsidR="009021F1" w:rsidRPr="00E33B7D" w:rsidRDefault="009021F1" w:rsidP="009021F1">
      <w:pPr>
        <w:autoSpaceDE w:val="0"/>
        <w:autoSpaceDN w:val="0"/>
        <w:adjustRightInd w:val="0"/>
        <w:rPr>
          <w:rFonts w:eastAsia="Calibri" w:cs="Arial"/>
          <w:iCs/>
          <w:szCs w:val="21"/>
        </w:rPr>
      </w:pPr>
    </w:p>
    <w:p w14:paraId="59828C30" w14:textId="77777777" w:rsidR="009021F1" w:rsidRPr="00E33B7D" w:rsidRDefault="009021F1" w:rsidP="009021F1">
      <w:pPr>
        <w:autoSpaceDE w:val="0"/>
        <w:autoSpaceDN w:val="0"/>
        <w:adjustRightInd w:val="0"/>
        <w:rPr>
          <w:rFonts w:eastAsia="Calibri" w:cs="Arial"/>
          <w:iCs/>
          <w:szCs w:val="21"/>
        </w:rPr>
      </w:pPr>
      <w:r w:rsidRPr="00E33B7D">
        <w:rPr>
          <w:rFonts w:eastAsia="Calibri" w:cs="Arial"/>
          <w:iCs/>
          <w:szCs w:val="21"/>
        </w:rPr>
        <w:t>Il est régi par l’Arrêté ministériel n° 0045/BCE/DDR/89 du 06/6/89 du Département du Développement Rural portant création d’un Service National de Vulgarisation. Le SNV dispose dans chacune de ces 5 provinces concernées par le PNDA d’une Coordination provinciale comportant 4 cellules. Ses missions portent sur la coordination, l’harmonisation et l’appui aux actions de vulgarisation en milieu rural.</w:t>
      </w:r>
    </w:p>
    <w:p w14:paraId="0048F7D7" w14:textId="77777777" w:rsidR="009021F1" w:rsidRPr="00E33B7D" w:rsidRDefault="009021F1" w:rsidP="009021F1">
      <w:pPr>
        <w:autoSpaceDE w:val="0"/>
        <w:autoSpaceDN w:val="0"/>
        <w:adjustRightInd w:val="0"/>
        <w:rPr>
          <w:rFonts w:eastAsia="Calibri" w:cs="Arial"/>
          <w:iCs/>
          <w:szCs w:val="21"/>
        </w:rPr>
      </w:pPr>
    </w:p>
    <w:p w14:paraId="0A58A3E3" w14:textId="77777777" w:rsidR="009021F1" w:rsidRPr="00E33B7D" w:rsidRDefault="009021F1" w:rsidP="009021F1">
      <w:pPr>
        <w:autoSpaceDE w:val="0"/>
        <w:autoSpaceDN w:val="0"/>
        <w:adjustRightInd w:val="0"/>
        <w:rPr>
          <w:rFonts w:eastAsia="Calibri" w:cs="Arial"/>
          <w:iCs/>
          <w:szCs w:val="21"/>
        </w:rPr>
      </w:pPr>
      <w:r w:rsidRPr="00E33B7D">
        <w:rPr>
          <w:rFonts w:eastAsia="Calibri" w:cs="Arial"/>
          <w:iCs/>
          <w:szCs w:val="21"/>
        </w:rPr>
        <w:t>Les activités du PNDA en ce qui concerne notamment les techniques agricoles, l’utilisation pertinente des engrais et des produits phytosanitaires nécessite un programme de vulgarisation efficace auquel peut participer le SNV.</w:t>
      </w:r>
    </w:p>
    <w:p w14:paraId="0593F876" w14:textId="77777777" w:rsidR="009021F1" w:rsidRPr="00E33B7D" w:rsidRDefault="009021F1" w:rsidP="009021F1">
      <w:pPr>
        <w:autoSpaceDE w:val="0"/>
        <w:autoSpaceDN w:val="0"/>
        <w:adjustRightInd w:val="0"/>
        <w:rPr>
          <w:rFonts w:eastAsia="Calibri" w:cs="Arial"/>
          <w:iCs/>
          <w:szCs w:val="21"/>
        </w:rPr>
      </w:pPr>
    </w:p>
    <w:p w14:paraId="18AF832E" w14:textId="77777777" w:rsidR="009021F1" w:rsidRPr="00E33B7D" w:rsidRDefault="009021F1" w:rsidP="009021F1">
      <w:pPr>
        <w:pStyle w:val="Paragraphedeliste"/>
        <w:numPr>
          <w:ilvl w:val="0"/>
          <w:numId w:val="36"/>
        </w:numPr>
        <w:autoSpaceDE w:val="0"/>
        <w:autoSpaceDN w:val="0"/>
        <w:adjustRightInd w:val="0"/>
        <w:rPr>
          <w:rFonts w:eastAsia="Calibri" w:cs="Arial"/>
          <w:iCs/>
          <w:szCs w:val="21"/>
        </w:rPr>
      </w:pPr>
      <w:r w:rsidRPr="00E33B7D">
        <w:rPr>
          <w:rFonts w:eastAsia="Calibri" w:cs="Arial"/>
          <w:iCs/>
          <w:szCs w:val="21"/>
        </w:rPr>
        <w:t>Service National des Semences (SENASEM)</w:t>
      </w:r>
    </w:p>
    <w:p w14:paraId="20482866" w14:textId="77777777" w:rsidR="009021F1" w:rsidRPr="00E33B7D" w:rsidRDefault="009021F1" w:rsidP="009021F1">
      <w:pPr>
        <w:autoSpaceDE w:val="0"/>
        <w:autoSpaceDN w:val="0"/>
        <w:adjustRightInd w:val="0"/>
        <w:rPr>
          <w:rFonts w:eastAsia="Calibri" w:cs="Arial"/>
          <w:iCs/>
          <w:szCs w:val="21"/>
        </w:rPr>
      </w:pPr>
    </w:p>
    <w:p w14:paraId="0B4295D8" w14:textId="77777777" w:rsidR="009021F1" w:rsidRPr="00E33B7D" w:rsidRDefault="009021F1" w:rsidP="009021F1">
      <w:pPr>
        <w:autoSpaceDE w:val="0"/>
        <w:autoSpaceDN w:val="0"/>
        <w:adjustRightInd w:val="0"/>
        <w:rPr>
          <w:rFonts w:eastAsia="Calibri" w:cs="Arial"/>
          <w:iCs/>
          <w:szCs w:val="21"/>
        </w:rPr>
      </w:pPr>
      <w:r w:rsidRPr="00E33B7D">
        <w:rPr>
          <w:rFonts w:eastAsia="Calibri" w:cs="Arial"/>
          <w:iCs/>
          <w:szCs w:val="21"/>
        </w:rPr>
        <w:t>Il est régi par l’arrêté ministériel n° 30/CAB/MIN/AGRIDAL/1995 du 29 juin 1995 portant restructuration du Service National des Semences « SENASEM » qui fait suite à l’arrêté départemental n° 003 portant Création et organisation d’un Service National des Semences. Le SENASEM dispose dans chacune des 11 provinces (suivant l’ancien découpage) d’une Coordination provinciale comportant 3 cellules. Ses missions portent sur l’appui à la production des semences, le contrôle et la certification</w:t>
      </w:r>
    </w:p>
    <w:p w14:paraId="147B2935" w14:textId="77777777" w:rsidR="009021F1" w:rsidRPr="00E33B7D" w:rsidRDefault="009021F1" w:rsidP="009021F1">
      <w:pPr>
        <w:autoSpaceDE w:val="0"/>
        <w:autoSpaceDN w:val="0"/>
        <w:adjustRightInd w:val="0"/>
        <w:rPr>
          <w:rFonts w:eastAsia="Calibri" w:cs="Arial"/>
          <w:iCs/>
          <w:szCs w:val="21"/>
        </w:rPr>
      </w:pPr>
    </w:p>
    <w:p w14:paraId="53E89066" w14:textId="77777777" w:rsidR="009021F1" w:rsidRPr="00E33B7D" w:rsidRDefault="009021F1" w:rsidP="009021F1">
      <w:pPr>
        <w:autoSpaceDE w:val="0"/>
        <w:autoSpaceDN w:val="0"/>
        <w:adjustRightInd w:val="0"/>
        <w:rPr>
          <w:rFonts w:eastAsia="Calibri" w:cs="Arial"/>
          <w:iCs/>
          <w:szCs w:val="21"/>
        </w:rPr>
      </w:pPr>
      <w:r w:rsidRPr="00E33B7D">
        <w:rPr>
          <w:rFonts w:eastAsia="Calibri" w:cs="Arial"/>
          <w:iCs/>
          <w:szCs w:val="21"/>
        </w:rPr>
        <w:t>Le PNDA prévoit la promotion des semences améliorées au niveau des Organisation des Professionnels Agricoles (OPA) de l’aire du projet et interpelle les compétences du SENASEM.</w:t>
      </w:r>
    </w:p>
    <w:p w14:paraId="1BF87119" w14:textId="77777777" w:rsidR="009021F1" w:rsidRPr="00E33B7D" w:rsidRDefault="009021F1" w:rsidP="009021F1">
      <w:pPr>
        <w:autoSpaceDE w:val="0"/>
        <w:autoSpaceDN w:val="0"/>
        <w:adjustRightInd w:val="0"/>
        <w:rPr>
          <w:rFonts w:eastAsia="Calibri" w:cs="Arial"/>
          <w:iCs/>
          <w:szCs w:val="21"/>
        </w:rPr>
      </w:pPr>
    </w:p>
    <w:p w14:paraId="25178FF8" w14:textId="77777777" w:rsidR="009021F1" w:rsidRPr="00E33B7D" w:rsidRDefault="009021F1" w:rsidP="009021F1">
      <w:pPr>
        <w:pStyle w:val="Paragraphedeliste"/>
        <w:numPr>
          <w:ilvl w:val="0"/>
          <w:numId w:val="36"/>
        </w:numPr>
        <w:autoSpaceDE w:val="0"/>
        <w:autoSpaceDN w:val="0"/>
        <w:adjustRightInd w:val="0"/>
        <w:rPr>
          <w:rFonts w:eastAsia="Calibri" w:cs="Arial"/>
          <w:iCs/>
          <w:szCs w:val="21"/>
        </w:rPr>
      </w:pPr>
      <w:r w:rsidRPr="00E33B7D">
        <w:rPr>
          <w:rFonts w:eastAsia="Calibri" w:cs="Arial"/>
          <w:iCs/>
          <w:szCs w:val="21"/>
        </w:rPr>
        <w:t>Service National des Fertilisants et Intrants Connexes (SENAFIC)</w:t>
      </w:r>
    </w:p>
    <w:p w14:paraId="13FAE64D" w14:textId="77777777" w:rsidR="009021F1" w:rsidRPr="00E33B7D" w:rsidRDefault="009021F1" w:rsidP="009021F1">
      <w:pPr>
        <w:autoSpaceDE w:val="0"/>
        <w:autoSpaceDN w:val="0"/>
        <w:adjustRightInd w:val="0"/>
        <w:rPr>
          <w:rFonts w:eastAsia="Calibri" w:cs="Arial"/>
          <w:iCs/>
          <w:szCs w:val="21"/>
        </w:rPr>
      </w:pPr>
    </w:p>
    <w:p w14:paraId="1B61DD35" w14:textId="77777777" w:rsidR="009021F1" w:rsidRPr="00E33B7D" w:rsidRDefault="009021F1" w:rsidP="009021F1">
      <w:pPr>
        <w:autoSpaceDE w:val="0"/>
        <w:autoSpaceDN w:val="0"/>
        <w:adjustRightInd w:val="0"/>
        <w:rPr>
          <w:rFonts w:eastAsia="Calibri" w:cs="Arial"/>
          <w:iCs/>
          <w:szCs w:val="21"/>
        </w:rPr>
      </w:pPr>
      <w:r w:rsidRPr="00E33B7D">
        <w:rPr>
          <w:rFonts w:eastAsia="Calibri" w:cs="Arial"/>
          <w:iCs/>
          <w:szCs w:val="21"/>
        </w:rPr>
        <w:t>Il est régi par l’arrêté départemental n°001/BCE/AGRI/90 du 13 janvier 1990. Ses missions portent sur :</w:t>
      </w:r>
    </w:p>
    <w:p w14:paraId="14700DCD" w14:textId="77777777" w:rsidR="009021F1" w:rsidRPr="00E33B7D" w:rsidRDefault="009021F1" w:rsidP="009021F1">
      <w:pPr>
        <w:autoSpaceDE w:val="0"/>
        <w:autoSpaceDN w:val="0"/>
        <w:adjustRightInd w:val="0"/>
        <w:rPr>
          <w:rFonts w:eastAsia="Calibri" w:cs="Arial"/>
          <w:iCs/>
          <w:szCs w:val="21"/>
        </w:rPr>
      </w:pPr>
    </w:p>
    <w:p w14:paraId="29CE3941" w14:textId="77777777" w:rsidR="009021F1" w:rsidRPr="00E33B7D" w:rsidRDefault="009021F1" w:rsidP="009021F1">
      <w:pPr>
        <w:pStyle w:val="Paragraphedeliste"/>
        <w:numPr>
          <w:ilvl w:val="0"/>
          <w:numId w:val="36"/>
        </w:numPr>
        <w:autoSpaceDE w:val="0"/>
        <w:autoSpaceDN w:val="0"/>
        <w:adjustRightInd w:val="0"/>
        <w:rPr>
          <w:rFonts w:eastAsia="Calibri" w:cs="Arial"/>
          <w:iCs/>
          <w:szCs w:val="21"/>
        </w:rPr>
      </w:pPr>
      <w:r w:rsidRPr="00E33B7D">
        <w:rPr>
          <w:rFonts w:eastAsia="Calibri" w:cs="Arial"/>
          <w:iCs/>
          <w:szCs w:val="21"/>
        </w:rPr>
        <w:t>la proposition de la politique nationale en matière de fertilité des sols ;</w:t>
      </w:r>
    </w:p>
    <w:p w14:paraId="67774CE6" w14:textId="77777777" w:rsidR="009021F1" w:rsidRPr="00E33B7D" w:rsidRDefault="009021F1" w:rsidP="009021F1">
      <w:pPr>
        <w:pStyle w:val="Paragraphedeliste"/>
        <w:numPr>
          <w:ilvl w:val="0"/>
          <w:numId w:val="36"/>
        </w:numPr>
        <w:autoSpaceDE w:val="0"/>
        <w:autoSpaceDN w:val="0"/>
        <w:adjustRightInd w:val="0"/>
        <w:rPr>
          <w:rFonts w:eastAsia="Calibri" w:cs="Arial"/>
          <w:iCs/>
          <w:szCs w:val="21"/>
        </w:rPr>
      </w:pPr>
      <w:r w:rsidRPr="00E33B7D">
        <w:rPr>
          <w:rFonts w:eastAsia="Calibri" w:cs="Arial"/>
          <w:iCs/>
          <w:szCs w:val="21"/>
        </w:rPr>
        <w:t>la gestion et la distribution des fertilisants et intrants connexes (engrais, inoculums, pesticides et matériels agricoles) ;</w:t>
      </w:r>
    </w:p>
    <w:p w14:paraId="66CE0F09" w14:textId="77777777" w:rsidR="009021F1" w:rsidRPr="00E33B7D" w:rsidRDefault="009021F1" w:rsidP="009021F1">
      <w:pPr>
        <w:pStyle w:val="Paragraphedeliste"/>
        <w:numPr>
          <w:ilvl w:val="0"/>
          <w:numId w:val="36"/>
        </w:numPr>
        <w:autoSpaceDE w:val="0"/>
        <w:autoSpaceDN w:val="0"/>
        <w:adjustRightInd w:val="0"/>
        <w:rPr>
          <w:rFonts w:eastAsia="Calibri" w:cs="Arial"/>
          <w:iCs/>
          <w:szCs w:val="21"/>
        </w:rPr>
      </w:pPr>
      <w:r w:rsidRPr="00E33B7D">
        <w:rPr>
          <w:rFonts w:eastAsia="Calibri" w:cs="Arial"/>
          <w:iCs/>
          <w:szCs w:val="21"/>
        </w:rPr>
        <w:t>l’introduction et la vulgarisation des fertilisants et intrants connexes ;</w:t>
      </w:r>
    </w:p>
    <w:p w14:paraId="0A23B34D" w14:textId="77777777" w:rsidR="009021F1" w:rsidRPr="00E33B7D" w:rsidRDefault="009021F1" w:rsidP="009021F1">
      <w:pPr>
        <w:pStyle w:val="Paragraphedeliste"/>
        <w:numPr>
          <w:ilvl w:val="0"/>
          <w:numId w:val="36"/>
        </w:numPr>
        <w:autoSpaceDE w:val="0"/>
        <w:autoSpaceDN w:val="0"/>
        <w:adjustRightInd w:val="0"/>
        <w:rPr>
          <w:rFonts w:eastAsia="Calibri" w:cs="Arial"/>
          <w:iCs/>
          <w:szCs w:val="21"/>
        </w:rPr>
      </w:pPr>
      <w:r w:rsidRPr="00E33B7D">
        <w:rPr>
          <w:rFonts w:eastAsia="Calibri" w:cs="Arial"/>
          <w:iCs/>
          <w:szCs w:val="21"/>
        </w:rPr>
        <w:t>la formation du personnel technique spécialisé dans la fertilité des sols, la nutrition des plantes et la vulgarisation des fertilisants ;</w:t>
      </w:r>
    </w:p>
    <w:p w14:paraId="16A23B16" w14:textId="77777777" w:rsidR="009021F1" w:rsidRPr="00E33B7D" w:rsidRDefault="009021F1" w:rsidP="009021F1">
      <w:pPr>
        <w:pStyle w:val="Paragraphedeliste"/>
        <w:numPr>
          <w:ilvl w:val="0"/>
          <w:numId w:val="36"/>
        </w:numPr>
        <w:autoSpaceDE w:val="0"/>
        <w:autoSpaceDN w:val="0"/>
        <w:adjustRightInd w:val="0"/>
        <w:rPr>
          <w:rFonts w:eastAsia="Calibri" w:cs="Arial"/>
          <w:iCs/>
          <w:szCs w:val="21"/>
        </w:rPr>
      </w:pPr>
      <w:r w:rsidRPr="00E33B7D">
        <w:rPr>
          <w:rFonts w:eastAsia="Calibri" w:cs="Arial"/>
          <w:iCs/>
          <w:szCs w:val="21"/>
        </w:rPr>
        <w:t>l’élaboration et la proposition de la législation relative aux fertilisants, aux pesticides et le suivi du respect de ces normes.</w:t>
      </w:r>
    </w:p>
    <w:p w14:paraId="68C1719D" w14:textId="77777777" w:rsidR="009021F1" w:rsidRPr="00E33B7D" w:rsidRDefault="009021F1" w:rsidP="009021F1">
      <w:pPr>
        <w:autoSpaceDE w:val="0"/>
        <w:autoSpaceDN w:val="0"/>
        <w:adjustRightInd w:val="0"/>
        <w:rPr>
          <w:rFonts w:eastAsia="Calibri" w:cs="Arial"/>
          <w:iCs/>
          <w:szCs w:val="21"/>
        </w:rPr>
      </w:pPr>
    </w:p>
    <w:p w14:paraId="60307DD5" w14:textId="77777777" w:rsidR="009021F1" w:rsidRPr="00E33B7D" w:rsidRDefault="009021F1" w:rsidP="009021F1">
      <w:pPr>
        <w:autoSpaceDE w:val="0"/>
        <w:autoSpaceDN w:val="0"/>
        <w:adjustRightInd w:val="0"/>
        <w:rPr>
          <w:rFonts w:eastAsia="Calibri" w:cs="Arial"/>
          <w:iCs/>
          <w:szCs w:val="21"/>
        </w:rPr>
      </w:pPr>
      <w:r w:rsidRPr="00E33B7D">
        <w:rPr>
          <w:rFonts w:eastAsia="Calibri" w:cs="Arial"/>
          <w:iCs/>
          <w:szCs w:val="21"/>
        </w:rPr>
        <w:t>Dans le cadre de l’acquisition, la distribution et l’utilisation des pesticides dans le cadre du PNDA, le SENAFIC est un acteur à impliquer.</w:t>
      </w:r>
    </w:p>
    <w:p w14:paraId="3F584080" w14:textId="77777777" w:rsidR="009021F1" w:rsidRPr="00E33B7D" w:rsidRDefault="009021F1" w:rsidP="009021F1">
      <w:pPr>
        <w:rPr>
          <w:rFonts w:cs="Arial"/>
          <w:spacing w:val="-5"/>
          <w:szCs w:val="21"/>
        </w:rPr>
      </w:pPr>
    </w:p>
    <w:p w14:paraId="37AF4C76" w14:textId="77777777" w:rsidR="009021F1" w:rsidRPr="00E33B7D" w:rsidRDefault="009021F1" w:rsidP="009021F1">
      <w:pPr>
        <w:pStyle w:val="Titre2"/>
        <w:numPr>
          <w:ilvl w:val="2"/>
          <w:numId w:val="4"/>
        </w:numPr>
        <w:rPr>
          <w:rFonts w:cs="Arial"/>
          <w:i/>
          <w:szCs w:val="21"/>
        </w:rPr>
      </w:pPr>
      <w:bookmarkStart w:id="330" w:name="_Toc90471436"/>
      <w:r w:rsidRPr="00E33B7D">
        <w:rPr>
          <w:rFonts w:cs="Arial"/>
          <w:i/>
          <w:szCs w:val="21"/>
        </w:rPr>
        <w:t>Ministère de la Pêche et Élevage</w:t>
      </w:r>
      <w:bookmarkEnd w:id="330"/>
    </w:p>
    <w:p w14:paraId="5B151C2A" w14:textId="77777777" w:rsidR="009021F1" w:rsidRPr="00E33B7D" w:rsidRDefault="009021F1" w:rsidP="009021F1">
      <w:pPr>
        <w:rPr>
          <w:rFonts w:cs="Arial"/>
          <w:spacing w:val="-5"/>
          <w:szCs w:val="21"/>
        </w:rPr>
      </w:pPr>
    </w:p>
    <w:p w14:paraId="53E6542B" w14:textId="77777777" w:rsidR="009021F1" w:rsidRPr="00E33B7D" w:rsidRDefault="009021F1" w:rsidP="009021F1">
      <w:pPr>
        <w:rPr>
          <w:rFonts w:cs="Arial"/>
          <w:spacing w:val="-5"/>
          <w:szCs w:val="21"/>
        </w:rPr>
      </w:pPr>
      <w:r w:rsidRPr="00E33B7D">
        <w:rPr>
          <w:rFonts w:cs="Arial"/>
          <w:spacing w:val="-5"/>
          <w:szCs w:val="21"/>
        </w:rPr>
        <w:t>Le Ministère de la Pêche et Élevage a pour attribution :</w:t>
      </w:r>
    </w:p>
    <w:p w14:paraId="4637D874" w14:textId="77777777" w:rsidR="009021F1" w:rsidRPr="00E33B7D" w:rsidRDefault="009021F1" w:rsidP="009021F1">
      <w:pPr>
        <w:rPr>
          <w:rFonts w:cs="Arial"/>
          <w:spacing w:val="-5"/>
          <w:szCs w:val="21"/>
        </w:rPr>
      </w:pPr>
    </w:p>
    <w:p w14:paraId="6777A405" w14:textId="77777777" w:rsidR="009021F1" w:rsidRPr="00E33B7D" w:rsidRDefault="009021F1" w:rsidP="009021F1">
      <w:pPr>
        <w:pStyle w:val="Paragraphedeliste"/>
        <w:numPr>
          <w:ilvl w:val="1"/>
          <w:numId w:val="22"/>
        </w:numPr>
        <w:rPr>
          <w:rFonts w:cs="Arial"/>
          <w:spacing w:val="-5"/>
          <w:szCs w:val="21"/>
        </w:rPr>
      </w:pPr>
      <w:r w:rsidRPr="00E33B7D">
        <w:rPr>
          <w:rFonts w:cs="Arial"/>
          <w:spacing w:val="-5"/>
          <w:szCs w:val="21"/>
        </w:rPr>
        <w:t>Production animale et halieutique et autosuffisance alimentaire ;</w:t>
      </w:r>
    </w:p>
    <w:p w14:paraId="73DC3166" w14:textId="77777777" w:rsidR="009021F1" w:rsidRPr="00E33B7D" w:rsidRDefault="009021F1" w:rsidP="009021F1">
      <w:pPr>
        <w:pStyle w:val="Paragraphedeliste"/>
        <w:numPr>
          <w:ilvl w:val="1"/>
          <w:numId w:val="22"/>
        </w:numPr>
        <w:rPr>
          <w:rFonts w:cs="Arial"/>
          <w:spacing w:val="-5"/>
          <w:szCs w:val="21"/>
        </w:rPr>
      </w:pPr>
      <w:r w:rsidRPr="00E33B7D">
        <w:rPr>
          <w:rFonts w:cs="Arial"/>
          <w:spacing w:val="-5"/>
          <w:szCs w:val="21"/>
        </w:rPr>
        <w:t>Planification des objectifs nationaux de production dans les domaines de la pêche, de l’aquaculture, de la pisciculture et de l’élevage ;</w:t>
      </w:r>
    </w:p>
    <w:p w14:paraId="6160113C" w14:textId="77777777" w:rsidR="009021F1" w:rsidRPr="00E33B7D" w:rsidRDefault="009021F1" w:rsidP="009021F1">
      <w:pPr>
        <w:pStyle w:val="Paragraphedeliste"/>
        <w:numPr>
          <w:ilvl w:val="1"/>
          <w:numId w:val="22"/>
        </w:numPr>
        <w:rPr>
          <w:rFonts w:cs="Arial"/>
          <w:spacing w:val="-5"/>
          <w:szCs w:val="21"/>
        </w:rPr>
      </w:pPr>
      <w:r w:rsidRPr="00E33B7D">
        <w:rPr>
          <w:rFonts w:cs="Arial"/>
          <w:spacing w:val="-5"/>
          <w:szCs w:val="21"/>
        </w:rPr>
        <w:t>Agrément et contrôle des dispensaires, cliniques, laboratoire et pharmacie vétérinaires ;</w:t>
      </w:r>
    </w:p>
    <w:p w14:paraId="3D821C50" w14:textId="77777777" w:rsidR="009021F1" w:rsidRPr="00E33B7D" w:rsidRDefault="009021F1" w:rsidP="009021F1">
      <w:pPr>
        <w:pStyle w:val="Paragraphedeliste"/>
        <w:numPr>
          <w:ilvl w:val="1"/>
          <w:numId w:val="22"/>
        </w:numPr>
        <w:rPr>
          <w:rFonts w:cs="Arial"/>
          <w:spacing w:val="-5"/>
          <w:szCs w:val="21"/>
        </w:rPr>
      </w:pPr>
      <w:r w:rsidRPr="00E33B7D">
        <w:rPr>
          <w:rFonts w:cs="Arial"/>
          <w:spacing w:val="-5"/>
          <w:szCs w:val="21"/>
        </w:rPr>
        <w:t>Promotion et encadrement des paysans, éleveurs, pêcheurs, associations et coopératives avicoles, piscicoles, aquacoles et pastorales ;</w:t>
      </w:r>
    </w:p>
    <w:p w14:paraId="43850A05" w14:textId="77777777" w:rsidR="009021F1" w:rsidRPr="00E33B7D" w:rsidRDefault="009021F1" w:rsidP="009021F1">
      <w:pPr>
        <w:pStyle w:val="Paragraphedeliste"/>
        <w:numPr>
          <w:ilvl w:val="1"/>
          <w:numId w:val="22"/>
        </w:numPr>
        <w:rPr>
          <w:rFonts w:cs="Arial"/>
          <w:spacing w:val="-5"/>
          <w:szCs w:val="21"/>
        </w:rPr>
      </w:pPr>
      <w:r w:rsidRPr="00E33B7D">
        <w:rPr>
          <w:rFonts w:cs="Arial"/>
          <w:spacing w:val="-5"/>
          <w:szCs w:val="21"/>
        </w:rPr>
        <w:t>Conception, exécution, suivi et évaluation des programmes avicole, piscicole, aquacole et pastorale ;</w:t>
      </w:r>
    </w:p>
    <w:p w14:paraId="61DE3D4D" w14:textId="77777777" w:rsidR="009021F1" w:rsidRPr="00E33B7D" w:rsidRDefault="009021F1" w:rsidP="009021F1">
      <w:pPr>
        <w:pStyle w:val="Paragraphedeliste"/>
        <w:numPr>
          <w:ilvl w:val="1"/>
          <w:numId w:val="22"/>
        </w:numPr>
        <w:rPr>
          <w:rFonts w:cs="Arial"/>
          <w:spacing w:val="-5"/>
          <w:szCs w:val="21"/>
        </w:rPr>
      </w:pPr>
      <w:r w:rsidRPr="00E33B7D">
        <w:rPr>
          <w:rFonts w:cs="Arial"/>
          <w:spacing w:val="-5"/>
          <w:szCs w:val="21"/>
        </w:rPr>
        <w:t>Promotion des produits de la pêche et de l’élevage destinés à l’alimentation intérieure, à l’industrie nationale et à l’exportation ;</w:t>
      </w:r>
    </w:p>
    <w:p w14:paraId="25E2AADC" w14:textId="77777777" w:rsidR="009021F1" w:rsidRPr="00E33B7D" w:rsidRDefault="009021F1" w:rsidP="009021F1">
      <w:pPr>
        <w:pStyle w:val="Paragraphedeliste"/>
        <w:numPr>
          <w:ilvl w:val="1"/>
          <w:numId w:val="22"/>
        </w:numPr>
        <w:rPr>
          <w:rFonts w:cs="Arial"/>
          <w:spacing w:val="-5"/>
          <w:szCs w:val="21"/>
        </w:rPr>
      </w:pPr>
      <w:r w:rsidRPr="00E33B7D">
        <w:rPr>
          <w:rFonts w:cs="Arial"/>
          <w:spacing w:val="-5"/>
          <w:szCs w:val="21"/>
        </w:rPr>
        <w:t>Surveillance zoo-sanitaire et gestion de la quarantaine animale et halieutique et mise à jour permanente des mesures réglementaires y relatives ;</w:t>
      </w:r>
    </w:p>
    <w:p w14:paraId="03C18561" w14:textId="77777777" w:rsidR="009021F1" w:rsidRPr="00E33B7D" w:rsidRDefault="009021F1" w:rsidP="009021F1">
      <w:pPr>
        <w:pStyle w:val="Paragraphedeliste"/>
        <w:numPr>
          <w:ilvl w:val="1"/>
          <w:numId w:val="22"/>
        </w:numPr>
        <w:rPr>
          <w:rFonts w:cs="Arial"/>
          <w:spacing w:val="-5"/>
          <w:szCs w:val="21"/>
        </w:rPr>
      </w:pPr>
      <w:r w:rsidRPr="00E33B7D">
        <w:rPr>
          <w:rFonts w:cs="Arial"/>
          <w:spacing w:val="-5"/>
          <w:szCs w:val="21"/>
        </w:rPr>
        <w:t>Orientation et appui des opérations économiques intéressés à investir dans les secteurs de la pêche et de l’élevage vers les sites à hautes potentialités de production, de manière à minimiser les couts d’exploitation ;</w:t>
      </w:r>
    </w:p>
    <w:p w14:paraId="32268A58" w14:textId="77777777" w:rsidR="009021F1" w:rsidRPr="00E33B7D" w:rsidRDefault="009021F1" w:rsidP="009021F1">
      <w:pPr>
        <w:pStyle w:val="Paragraphedeliste"/>
        <w:numPr>
          <w:ilvl w:val="1"/>
          <w:numId w:val="22"/>
        </w:numPr>
        <w:rPr>
          <w:rFonts w:cs="Arial"/>
          <w:spacing w:val="-5"/>
          <w:szCs w:val="21"/>
        </w:rPr>
      </w:pPr>
      <w:r w:rsidRPr="00E33B7D">
        <w:rPr>
          <w:rFonts w:cs="Arial"/>
          <w:spacing w:val="-5"/>
          <w:szCs w:val="21"/>
        </w:rPr>
        <w:t>Collecte, analyse et publication des données statistiques de pêche et d’élevage, sous forme d’annuaire ;</w:t>
      </w:r>
    </w:p>
    <w:p w14:paraId="0B961CFA" w14:textId="77777777" w:rsidR="009021F1" w:rsidRPr="00E33B7D" w:rsidRDefault="009021F1" w:rsidP="009021F1">
      <w:pPr>
        <w:pStyle w:val="Paragraphedeliste"/>
        <w:numPr>
          <w:ilvl w:val="1"/>
          <w:numId w:val="22"/>
        </w:numPr>
        <w:rPr>
          <w:rFonts w:cs="Arial"/>
          <w:spacing w:val="-5"/>
          <w:szCs w:val="21"/>
        </w:rPr>
      </w:pPr>
      <w:r w:rsidRPr="00E33B7D">
        <w:rPr>
          <w:rFonts w:cs="Arial"/>
          <w:spacing w:val="-5"/>
          <w:szCs w:val="21"/>
        </w:rPr>
        <w:t>Réglementation de la pêche en collaboration avec le Ministère ayant l’environnement dans ses attributions.</w:t>
      </w:r>
    </w:p>
    <w:p w14:paraId="18E24F7B" w14:textId="77777777" w:rsidR="009021F1" w:rsidRPr="00E33B7D" w:rsidRDefault="009021F1" w:rsidP="009021F1">
      <w:pPr>
        <w:pStyle w:val="Titre1"/>
        <w:rPr>
          <w:rFonts w:cs="Arial"/>
          <w:b w:val="0"/>
          <w:szCs w:val="21"/>
          <w:u w:val="single"/>
        </w:rPr>
      </w:pPr>
    </w:p>
    <w:p w14:paraId="3D0FDF0D" w14:textId="77777777" w:rsidR="009021F1" w:rsidRDefault="009021F1" w:rsidP="009021F1">
      <w:pPr>
        <w:spacing w:line="240" w:lineRule="auto"/>
        <w:jc w:val="left"/>
        <w:rPr>
          <w:rFonts w:cs="Arial"/>
          <w:bCs/>
          <w:i/>
          <w:szCs w:val="21"/>
        </w:rPr>
      </w:pPr>
      <w:r>
        <w:rPr>
          <w:rFonts w:cs="Arial"/>
          <w:b/>
          <w:i/>
          <w:szCs w:val="21"/>
        </w:rPr>
        <w:br w:type="page"/>
      </w:r>
    </w:p>
    <w:p w14:paraId="24ECC67F" w14:textId="77777777" w:rsidR="009021F1" w:rsidRPr="00E33B7D" w:rsidRDefault="009021F1" w:rsidP="009021F1">
      <w:pPr>
        <w:pStyle w:val="Titre1"/>
        <w:rPr>
          <w:rFonts w:cs="Arial"/>
          <w:b w:val="0"/>
          <w:i/>
          <w:szCs w:val="21"/>
        </w:rPr>
      </w:pPr>
      <w:bookmarkStart w:id="331" w:name="_Toc90471437"/>
      <w:r w:rsidRPr="00E33B7D">
        <w:rPr>
          <w:rFonts w:cs="Arial"/>
          <w:b w:val="0"/>
          <w:i/>
          <w:szCs w:val="21"/>
        </w:rPr>
        <w:t xml:space="preserve">Direction de la Production et Santé Animale </w:t>
      </w:r>
      <w:r w:rsidRPr="00E33B7D">
        <w:rPr>
          <w:rFonts w:cs="Arial"/>
          <w:b w:val="0"/>
          <w:i/>
          <w:color w:val="000000"/>
          <w:szCs w:val="21"/>
        </w:rPr>
        <w:t>(</w:t>
      </w:r>
      <w:r w:rsidRPr="00E33B7D">
        <w:rPr>
          <w:rFonts w:cs="Arial"/>
          <w:b w:val="0"/>
          <w:i/>
          <w:szCs w:val="21"/>
        </w:rPr>
        <w:t>DPSA)</w:t>
      </w:r>
      <w:bookmarkEnd w:id="331"/>
    </w:p>
    <w:p w14:paraId="2A87C8A2" w14:textId="77777777" w:rsidR="009021F1" w:rsidRPr="00E33B7D" w:rsidRDefault="009021F1" w:rsidP="009021F1">
      <w:pPr>
        <w:rPr>
          <w:rFonts w:cs="Arial"/>
          <w:szCs w:val="21"/>
        </w:rPr>
      </w:pPr>
      <w:r w:rsidRPr="00E33B7D">
        <w:rPr>
          <w:rFonts w:cs="Arial"/>
          <w:szCs w:val="21"/>
        </w:rPr>
        <w:t xml:space="preserve"> </w:t>
      </w:r>
    </w:p>
    <w:p w14:paraId="3628C82B" w14:textId="77777777" w:rsidR="009021F1" w:rsidRPr="00E33B7D" w:rsidRDefault="009021F1" w:rsidP="009021F1">
      <w:pPr>
        <w:rPr>
          <w:rFonts w:cs="Arial"/>
          <w:szCs w:val="21"/>
        </w:rPr>
      </w:pPr>
      <w:r w:rsidRPr="00E33B7D">
        <w:rPr>
          <w:rFonts w:cs="Arial"/>
          <w:szCs w:val="21"/>
        </w:rPr>
        <w:t xml:space="preserve">La </w:t>
      </w:r>
      <w:r w:rsidRPr="00E33B7D">
        <w:rPr>
          <w:rFonts w:cs="Arial"/>
          <w:color w:val="000000"/>
          <w:szCs w:val="21"/>
        </w:rPr>
        <w:t xml:space="preserve">Direction de la Production et Santé Animale </w:t>
      </w:r>
      <w:r w:rsidRPr="00E33B7D">
        <w:rPr>
          <w:rFonts w:cs="Arial"/>
          <w:szCs w:val="21"/>
        </w:rPr>
        <w:t>est une Direction normative. Sa mission consiste à</w:t>
      </w:r>
      <w:r w:rsidRPr="00E33B7D">
        <w:rPr>
          <w:rFonts w:cs="Arial"/>
          <w:i/>
          <w:szCs w:val="21"/>
        </w:rPr>
        <w:t xml:space="preserve"> (i)</w:t>
      </w:r>
      <w:r w:rsidRPr="00E33B7D">
        <w:rPr>
          <w:rFonts w:cs="Arial"/>
          <w:szCs w:val="21"/>
        </w:rPr>
        <w:t xml:space="preserve"> contribuer à la conception et à l’élaboration de la politique nationale en matière d’élevage (production et santé animale) et en suivre l’exécution et </w:t>
      </w:r>
      <w:r w:rsidRPr="00E33B7D">
        <w:rPr>
          <w:rFonts w:cs="Arial"/>
          <w:i/>
          <w:szCs w:val="21"/>
        </w:rPr>
        <w:t>(ii)</w:t>
      </w:r>
      <w:r w:rsidRPr="00E33B7D">
        <w:rPr>
          <w:rFonts w:cs="Arial"/>
          <w:szCs w:val="21"/>
        </w:rPr>
        <w:t xml:space="preserve"> assurer l’encadrement de la production animale. Elle a en son sein une Division qui s’occupe de la Santé et de l’Hygiène animale. </w:t>
      </w:r>
    </w:p>
    <w:p w14:paraId="5593E0E0" w14:textId="77777777" w:rsidR="009021F1" w:rsidRPr="00E33B7D" w:rsidRDefault="009021F1" w:rsidP="009021F1">
      <w:pPr>
        <w:rPr>
          <w:rFonts w:cs="Arial"/>
          <w:spacing w:val="-5"/>
          <w:szCs w:val="21"/>
        </w:rPr>
      </w:pPr>
    </w:p>
    <w:p w14:paraId="2526E79D" w14:textId="77777777" w:rsidR="009021F1" w:rsidRPr="00E33B7D" w:rsidRDefault="009021F1" w:rsidP="009021F1">
      <w:pPr>
        <w:autoSpaceDE w:val="0"/>
        <w:autoSpaceDN w:val="0"/>
        <w:adjustRightInd w:val="0"/>
        <w:jc w:val="left"/>
        <w:rPr>
          <w:rFonts w:cs="Arial"/>
          <w:bCs/>
          <w:i/>
          <w:szCs w:val="21"/>
        </w:rPr>
      </w:pPr>
      <w:r w:rsidRPr="00E33B7D">
        <w:rPr>
          <w:rFonts w:cs="Arial"/>
          <w:bCs/>
          <w:i/>
          <w:szCs w:val="21"/>
        </w:rPr>
        <w:t>Service National de Promotion et de Développement de la Pêche (SENADEP)</w:t>
      </w:r>
    </w:p>
    <w:p w14:paraId="60903DA3" w14:textId="77777777" w:rsidR="009021F1" w:rsidRPr="00E33B7D" w:rsidRDefault="009021F1" w:rsidP="009021F1">
      <w:pPr>
        <w:autoSpaceDE w:val="0"/>
        <w:autoSpaceDN w:val="0"/>
        <w:adjustRightInd w:val="0"/>
        <w:rPr>
          <w:rFonts w:eastAsia="Calibri" w:cs="Arial"/>
          <w:iCs/>
          <w:szCs w:val="21"/>
        </w:rPr>
      </w:pPr>
    </w:p>
    <w:p w14:paraId="18997A9F" w14:textId="77777777" w:rsidR="009021F1" w:rsidRPr="00E33B7D" w:rsidRDefault="009021F1" w:rsidP="009021F1">
      <w:pPr>
        <w:autoSpaceDE w:val="0"/>
        <w:autoSpaceDN w:val="0"/>
        <w:adjustRightInd w:val="0"/>
        <w:rPr>
          <w:rFonts w:eastAsia="Calibri" w:cs="Arial"/>
          <w:iCs/>
          <w:szCs w:val="21"/>
        </w:rPr>
      </w:pPr>
      <w:r w:rsidRPr="00E33B7D">
        <w:rPr>
          <w:rFonts w:eastAsia="Calibri" w:cs="Arial"/>
          <w:iCs/>
          <w:szCs w:val="21"/>
        </w:rPr>
        <w:t>Il est régi par l’Arrêté Départemental n° 0083 du 02 Août 1988 portant création d’un Service National de Promotion et de Développement de la Pêche. Ses missions portent sur l’encadrement des pêcheurs sur toute l’étendue du territoire national.</w:t>
      </w:r>
    </w:p>
    <w:p w14:paraId="5301E886" w14:textId="77777777" w:rsidR="009021F1" w:rsidRPr="00E33B7D" w:rsidRDefault="009021F1" w:rsidP="009021F1">
      <w:pPr>
        <w:rPr>
          <w:rFonts w:cs="Arial"/>
          <w:spacing w:val="-5"/>
          <w:szCs w:val="21"/>
        </w:rPr>
      </w:pPr>
    </w:p>
    <w:p w14:paraId="0B423074" w14:textId="77777777" w:rsidR="009021F1" w:rsidRPr="00E33B7D" w:rsidRDefault="009021F1" w:rsidP="009021F1">
      <w:pPr>
        <w:pStyle w:val="Titre2"/>
        <w:numPr>
          <w:ilvl w:val="2"/>
          <w:numId w:val="4"/>
        </w:numPr>
        <w:ind w:left="1560" w:hanging="709"/>
        <w:rPr>
          <w:rFonts w:cs="Arial"/>
          <w:i/>
          <w:szCs w:val="21"/>
        </w:rPr>
      </w:pPr>
      <w:bookmarkStart w:id="332" w:name="_Toc90471438"/>
      <w:r w:rsidRPr="00E33B7D">
        <w:rPr>
          <w:rFonts w:cs="Arial"/>
          <w:i/>
          <w:szCs w:val="21"/>
        </w:rPr>
        <w:t>Ministère du Développement Rural</w:t>
      </w:r>
      <w:bookmarkEnd w:id="332"/>
    </w:p>
    <w:p w14:paraId="05498878" w14:textId="77777777" w:rsidR="009021F1" w:rsidRPr="00E33B7D" w:rsidRDefault="009021F1" w:rsidP="009021F1">
      <w:pPr>
        <w:rPr>
          <w:rFonts w:cs="Arial"/>
          <w:szCs w:val="21"/>
        </w:rPr>
      </w:pPr>
    </w:p>
    <w:p w14:paraId="71050B27" w14:textId="77777777" w:rsidR="009021F1" w:rsidRPr="00E33B7D" w:rsidRDefault="009021F1" w:rsidP="009021F1">
      <w:pPr>
        <w:rPr>
          <w:rFonts w:cs="Arial"/>
          <w:szCs w:val="21"/>
        </w:rPr>
      </w:pPr>
      <w:r w:rsidRPr="00E33B7D">
        <w:rPr>
          <w:rFonts w:cs="Arial"/>
          <w:szCs w:val="21"/>
        </w:rPr>
        <w:t>Le Ministère du Développement Rural a pour attribution :</w:t>
      </w:r>
    </w:p>
    <w:p w14:paraId="6989D3C6" w14:textId="77777777" w:rsidR="009021F1" w:rsidRPr="00E33B7D" w:rsidRDefault="009021F1" w:rsidP="009021F1">
      <w:pPr>
        <w:rPr>
          <w:rFonts w:cs="Arial"/>
          <w:szCs w:val="21"/>
        </w:rPr>
      </w:pPr>
    </w:p>
    <w:p w14:paraId="678E2F77" w14:textId="77777777" w:rsidR="009021F1" w:rsidRPr="00E33B7D" w:rsidRDefault="009021F1" w:rsidP="009021F1">
      <w:pPr>
        <w:pStyle w:val="Paragraphedeliste"/>
        <w:numPr>
          <w:ilvl w:val="1"/>
          <w:numId w:val="22"/>
        </w:numPr>
        <w:rPr>
          <w:rFonts w:cs="Arial"/>
          <w:szCs w:val="21"/>
        </w:rPr>
      </w:pPr>
      <w:r w:rsidRPr="00E33B7D">
        <w:rPr>
          <w:rFonts w:cs="Arial"/>
          <w:szCs w:val="21"/>
        </w:rPr>
        <w:t>Élaboration et suivi des projets de développement dans les campagnes, milieux ruraux et péri urbains ;</w:t>
      </w:r>
    </w:p>
    <w:p w14:paraId="54BFCE95" w14:textId="77777777" w:rsidR="009021F1" w:rsidRPr="00E33B7D" w:rsidRDefault="009021F1" w:rsidP="009021F1">
      <w:pPr>
        <w:pStyle w:val="Paragraphedeliste"/>
        <w:numPr>
          <w:ilvl w:val="1"/>
          <w:numId w:val="22"/>
        </w:numPr>
        <w:rPr>
          <w:rFonts w:cs="Arial"/>
          <w:szCs w:val="21"/>
        </w:rPr>
      </w:pPr>
      <w:r w:rsidRPr="00E33B7D">
        <w:rPr>
          <w:rFonts w:cs="Arial"/>
          <w:szCs w:val="21"/>
        </w:rPr>
        <w:t>Organisation et encadrement des paysans dans des coopératives et associations en milieu rural, en collaboration avec le ministère ayant l’Agriculture dans ses attributions ;</w:t>
      </w:r>
    </w:p>
    <w:p w14:paraId="5D65089D" w14:textId="77777777" w:rsidR="009021F1" w:rsidRPr="00E33B7D" w:rsidRDefault="009021F1" w:rsidP="009021F1">
      <w:pPr>
        <w:pStyle w:val="Paragraphedeliste"/>
        <w:numPr>
          <w:ilvl w:val="1"/>
          <w:numId w:val="22"/>
        </w:numPr>
        <w:rPr>
          <w:rFonts w:cs="Arial"/>
          <w:szCs w:val="21"/>
        </w:rPr>
      </w:pPr>
      <w:r w:rsidRPr="00E33B7D">
        <w:rPr>
          <w:rFonts w:cs="Arial"/>
          <w:szCs w:val="21"/>
        </w:rPr>
        <w:t>Élaboration et conduite des politiques et stratégies de développement rural ;</w:t>
      </w:r>
    </w:p>
    <w:p w14:paraId="08084AC0" w14:textId="77777777" w:rsidR="009021F1" w:rsidRPr="00E33B7D" w:rsidRDefault="009021F1" w:rsidP="009021F1">
      <w:pPr>
        <w:pStyle w:val="Paragraphedeliste"/>
        <w:numPr>
          <w:ilvl w:val="1"/>
          <w:numId w:val="22"/>
        </w:numPr>
        <w:rPr>
          <w:rFonts w:cs="Arial"/>
          <w:szCs w:val="21"/>
        </w:rPr>
      </w:pPr>
      <w:r w:rsidRPr="00E33B7D">
        <w:rPr>
          <w:rFonts w:cs="Arial"/>
          <w:szCs w:val="21"/>
        </w:rPr>
        <w:t>Organisation et encadrement de la population rurale pour l’accroissement de la production agricole, en collaboration avec le ministère ayant l’Agriculture dans ses attributions ;</w:t>
      </w:r>
    </w:p>
    <w:p w14:paraId="412867D0" w14:textId="77777777" w:rsidR="009021F1" w:rsidRPr="00E33B7D" w:rsidRDefault="009021F1" w:rsidP="009021F1">
      <w:pPr>
        <w:pStyle w:val="Paragraphedeliste"/>
        <w:numPr>
          <w:ilvl w:val="1"/>
          <w:numId w:val="22"/>
        </w:numPr>
        <w:rPr>
          <w:rFonts w:cs="Arial"/>
          <w:szCs w:val="21"/>
        </w:rPr>
      </w:pPr>
      <w:r w:rsidRPr="00E33B7D">
        <w:rPr>
          <w:rFonts w:cs="Arial"/>
          <w:szCs w:val="21"/>
        </w:rPr>
        <w:t>Aménagement et équipement de l’espace rural ;</w:t>
      </w:r>
    </w:p>
    <w:p w14:paraId="46237C04" w14:textId="77777777" w:rsidR="009021F1" w:rsidRPr="00E33B7D" w:rsidRDefault="009021F1" w:rsidP="009021F1">
      <w:pPr>
        <w:pStyle w:val="Paragraphedeliste"/>
        <w:numPr>
          <w:ilvl w:val="1"/>
          <w:numId w:val="22"/>
        </w:numPr>
        <w:rPr>
          <w:rFonts w:cs="Arial"/>
          <w:szCs w:val="21"/>
        </w:rPr>
      </w:pPr>
      <w:r w:rsidRPr="00E33B7D">
        <w:rPr>
          <w:rFonts w:cs="Arial"/>
          <w:szCs w:val="21"/>
        </w:rPr>
        <w:t>Coordination et intégration des programmes de développement en milieu rural ;</w:t>
      </w:r>
    </w:p>
    <w:p w14:paraId="5A597D0B" w14:textId="77777777" w:rsidR="009021F1" w:rsidRPr="00E33B7D" w:rsidRDefault="009021F1" w:rsidP="009021F1">
      <w:pPr>
        <w:pStyle w:val="Paragraphedeliste"/>
        <w:numPr>
          <w:ilvl w:val="1"/>
          <w:numId w:val="22"/>
        </w:numPr>
        <w:rPr>
          <w:rFonts w:cs="Arial"/>
          <w:szCs w:val="21"/>
        </w:rPr>
      </w:pPr>
      <w:r w:rsidRPr="00E33B7D">
        <w:rPr>
          <w:rFonts w:cs="Arial"/>
          <w:szCs w:val="21"/>
        </w:rPr>
        <w:t>Promotion du bien-être social des populations rurales par la sensibilisation et l’animation rurales ;</w:t>
      </w:r>
    </w:p>
    <w:p w14:paraId="361EF5CC" w14:textId="77777777" w:rsidR="009021F1" w:rsidRPr="00E33B7D" w:rsidRDefault="009021F1" w:rsidP="009021F1">
      <w:pPr>
        <w:pStyle w:val="Paragraphedeliste"/>
        <w:numPr>
          <w:ilvl w:val="1"/>
          <w:numId w:val="22"/>
        </w:numPr>
        <w:rPr>
          <w:rFonts w:cs="Arial"/>
          <w:szCs w:val="21"/>
        </w:rPr>
      </w:pPr>
      <w:r w:rsidRPr="00E33B7D">
        <w:rPr>
          <w:rFonts w:cs="Arial"/>
          <w:szCs w:val="21"/>
        </w:rPr>
        <w:t>Promotion et soutien de la pêche en milieu rural ;</w:t>
      </w:r>
    </w:p>
    <w:p w14:paraId="5CC8750A" w14:textId="77777777" w:rsidR="009021F1" w:rsidRPr="00E33B7D" w:rsidRDefault="009021F1" w:rsidP="009021F1">
      <w:pPr>
        <w:pStyle w:val="Paragraphedeliste"/>
        <w:numPr>
          <w:ilvl w:val="1"/>
          <w:numId w:val="22"/>
        </w:numPr>
        <w:rPr>
          <w:rFonts w:cs="Arial"/>
          <w:szCs w:val="21"/>
        </w:rPr>
      </w:pPr>
      <w:r w:rsidRPr="00E33B7D">
        <w:rPr>
          <w:rFonts w:cs="Arial"/>
          <w:szCs w:val="21"/>
        </w:rPr>
        <w:t>Aménagement, construction, réhabilitation, entretien des infrastructures socio-économiques de base en milieu rural et péri urbain dont :</w:t>
      </w:r>
    </w:p>
    <w:p w14:paraId="113EE9FC" w14:textId="77777777" w:rsidR="009021F1" w:rsidRPr="00E33B7D" w:rsidRDefault="009021F1" w:rsidP="009021F1">
      <w:pPr>
        <w:pStyle w:val="Paragraphedeliste"/>
        <w:numPr>
          <w:ilvl w:val="0"/>
          <w:numId w:val="47"/>
        </w:numPr>
        <w:rPr>
          <w:rFonts w:cs="Arial"/>
          <w:szCs w:val="21"/>
        </w:rPr>
      </w:pPr>
      <w:r w:rsidRPr="00E33B7D">
        <w:rPr>
          <w:rFonts w:cs="Arial"/>
          <w:szCs w:val="21"/>
        </w:rPr>
        <w:t>Voies de desserte agricole et cours d’eau ;</w:t>
      </w:r>
    </w:p>
    <w:p w14:paraId="35A32ADC" w14:textId="77777777" w:rsidR="009021F1" w:rsidRPr="00E33B7D" w:rsidRDefault="009021F1" w:rsidP="009021F1">
      <w:pPr>
        <w:pStyle w:val="Paragraphedeliste"/>
        <w:numPr>
          <w:ilvl w:val="0"/>
          <w:numId w:val="47"/>
        </w:numPr>
        <w:rPr>
          <w:rFonts w:cs="Arial"/>
          <w:szCs w:val="21"/>
        </w:rPr>
      </w:pPr>
      <w:r w:rsidRPr="00E33B7D">
        <w:rPr>
          <w:rFonts w:cs="Arial"/>
          <w:szCs w:val="21"/>
        </w:rPr>
        <w:t>Sources d’eau, adduction granitaire et forage des puits ; et</w:t>
      </w:r>
    </w:p>
    <w:p w14:paraId="4FB00A3F" w14:textId="77777777" w:rsidR="009021F1" w:rsidRPr="00E33B7D" w:rsidRDefault="009021F1" w:rsidP="009021F1">
      <w:pPr>
        <w:pStyle w:val="Paragraphedeliste"/>
        <w:numPr>
          <w:ilvl w:val="0"/>
          <w:numId w:val="47"/>
        </w:numPr>
        <w:rPr>
          <w:rFonts w:cs="Arial"/>
          <w:szCs w:val="21"/>
        </w:rPr>
      </w:pPr>
      <w:r w:rsidRPr="00E33B7D">
        <w:rPr>
          <w:rFonts w:cs="Arial"/>
          <w:szCs w:val="21"/>
        </w:rPr>
        <w:t>Électrification rurale, en collaboration avec les ministères ayant les Travaux Publics et Infrastructures ainsi que l’Electricité dans leurs attributions.</w:t>
      </w:r>
    </w:p>
    <w:p w14:paraId="2F85E1F0" w14:textId="77777777" w:rsidR="009021F1" w:rsidRPr="00E33B7D" w:rsidRDefault="009021F1" w:rsidP="009021F1">
      <w:pPr>
        <w:rPr>
          <w:rFonts w:cs="Arial"/>
          <w:i/>
          <w:szCs w:val="21"/>
        </w:rPr>
      </w:pPr>
    </w:p>
    <w:p w14:paraId="3E397FDE" w14:textId="77777777" w:rsidR="009021F1" w:rsidRPr="00E33B7D" w:rsidRDefault="009021F1" w:rsidP="009021F1">
      <w:pPr>
        <w:rPr>
          <w:rFonts w:cs="Arial"/>
          <w:i/>
          <w:szCs w:val="21"/>
        </w:rPr>
      </w:pPr>
      <w:r w:rsidRPr="00E33B7D">
        <w:rPr>
          <w:rFonts w:cs="Arial"/>
          <w:i/>
          <w:szCs w:val="21"/>
        </w:rPr>
        <w:t xml:space="preserve">Service National d’Information Rurale (SNIR) </w:t>
      </w:r>
    </w:p>
    <w:p w14:paraId="3EEB2CA8" w14:textId="77777777" w:rsidR="009021F1" w:rsidRPr="00E33B7D" w:rsidRDefault="009021F1" w:rsidP="009021F1">
      <w:pPr>
        <w:rPr>
          <w:rFonts w:cs="Arial"/>
          <w:szCs w:val="21"/>
        </w:rPr>
      </w:pPr>
    </w:p>
    <w:p w14:paraId="5F1D0E08" w14:textId="77777777" w:rsidR="009021F1" w:rsidRPr="00E33B7D" w:rsidRDefault="009021F1" w:rsidP="009021F1">
      <w:pPr>
        <w:rPr>
          <w:rFonts w:cs="Arial"/>
          <w:szCs w:val="21"/>
        </w:rPr>
      </w:pPr>
      <w:r w:rsidRPr="00E33B7D">
        <w:rPr>
          <w:rFonts w:cs="Arial"/>
          <w:szCs w:val="21"/>
        </w:rPr>
        <w:t xml:space="preserve">Le Service National d’Information Rural a pour mission d’assurer la diffusion des informations et communications appropriées pour le développement des milieux ruraux : </w:t>
      </w:r>
      <w:r w:rsidRPr="00E33B7D">
        <w:rPr>
          <w:rFonts w:cs="Arial"/>
          <w:i/>
          <w:szCs w:val="21"/>
        </w:rPr>
        <w:t>(i)</w:t>
      </w:r>
      <w:r w:rsidRPr="00E33B7D">
        <w:rPr>
          <w:rFonts w:cs="Arial"/>
          <w:szCs w:val="21"/>
        </w:rPr>
        <w:t xml:space="preserve"> concevoir, exécuter ou faire exécuter les programmes d’informations rurales ; </w:t>
      </w:r>
      <w:r w:rsidRPr="00E33B7D">
        <w:rPr>
          <w:rFonts w:cs="Arial"/>
          <w:i/>
          <w:szCs w:val="21"/>
        </w:rPr>
        <w:t>(ii)</w:t>
      </w:r>
      <w:r w:rsidRPr="00E33B7D">
        <w:rPr>
          <w:rFonts w:cs="Arial"/>
          <w:szCs w:val="21"/>
        </w:rPr>
        <w:t xml:space="preserve"> concevoir, exécuter ou faire exécuter les travaux d’édition, de production et de diffusion du matériel audiovisuel par la vulgarisation agricole et l’animation animale ; </w:t>
      </w:r>
      <w:r w:rsidRPr="00E33B7D">
        <w:rPr>
          <w:rFonts w:cs="Arial"/>
          <w:i/>
          <w:szCs w:val="21"/>
        </w:rPr>
        <w:t>(iii)</w:t>
      </w:r>
      <w:r w:rsidRPr="00E33B7D">
        <w:rPr>
          <w:rFonts w:cs="Arial"/>
          <w:szCs w:val="21"/>
        </w:rPr>
        <w:t xml:space="preserve"> mettre à la disposition de l’administration et autres intervenants de terrain des informations fiables leur permettant de jouer efficacement leurs rôles par la conciliation des actions avec les particularités de chaque milieu.</w:t>
      </w:r>
    </w:p>
    <w:p w14:paraId="78B04369" w14:textId="77777777" w:rsidR="009021F1" w:rsidRPr="00E33B7D" w:rsidRDefault="009021F1" w:rsidP="009021F1">
      <w:pPr>
        <w:rPr>
          <w:rFonts w:cs="Arial"/>
          <w:i/>
          <w:szCs w:val="21"/>
        </w:rPr>
      </w:pPr>
      <w:r w:rsidRPr="00E33B7D">
        <w:rPr>
          <w:rFonts w:cs="Arial"/>
          <w:i/>
          <w:szCs w:val="21"/>
        </w:rPr>
        <w:t>Service National des Énergies Nouvelles (SENEN)</w:t>
      </w:r>
    </w:p>
    <w:p w14:paraId="1D1712AD" w14:textId="77777777" w:rsidR="009021F1" w:rsidRPr="00E33B7D" w:rsidRDefault="009021F1" w:rsidP="009021F1">
      <w:pPr>
        <w:rPr>
          <w:rFonts w:cs="Arial"/>
          <w:szCs w:val="21"/>
        </w:rPr>
      </w:pPr>
    </w:p>
    <w:p w14:paraId="19343052" w14:textId="77777777" w:rsidR="009021F1" w:rsidRPr="00E33B7D" w:rsidRDefault="009021F1" w:rsidP="009021F1">
      <w:pPr>
        <w:rPr>
          <w:rFonts w:cs="Arial"/>
          <w:szCs w:val="21"/>
        </w:rPr>
      </w:pPr>
      <w:r w:rsidRPr="00E33B7D">
        <w:rPr>
          <w:rFonts w:cs="Arial"/>
          <w:szCs w:val="21"/>
        </w:rPr>
        <w:t xml:space="preserve">Le Service National des Énergies Nouvelles a pour mission de : </w:t>
      </w:r>
      <w:r w:rsidRPr="00E33B7D">
        <w:rPr>
          <w:rFonts w:cs="Arial"/>
          <w:i/>
          <w:szCs w:val="21"/>
        </w:rPr>
        <w:t>(i)</w:t>
      </w:r>
      <w:r w:rsidRPr="00E33B7D">
        <w:rPr>
          <w:rFonts w:cs="Arial"/>
          <w:szCs w:val="21"/>
        </w:rPr>
        <w:t xml:space="preserve"> définir la politique et les normes en matière d’énergie non traditionnelle en milieu rural ; </w:t>
      </w:r>
      <w:r w:rsidRPr="00E33B7D">
        <w:rPr>
          <w:rFonts w:cs="Arial"/>
          <w:i/>
          <w:szCs w:val="21"/>
        </w:rPr>
        <w:t>(ii)</w:t>
      </w:r>
      <w:r w:rsidRPr="00E33B7D">
        <w:rPr>
          <w:rFonts w:cs="Arial"/>
          <w:szCs w:val="21"/>
        </w:rPr>
        <w:t xml:space="preserve"> planifier les objectifs nationaux de production et d’utilisation de ces énergies ; </w:t>
      </w:r>
      <w:r w:rsidRPr="00E33B7D">
        <w:rPr>
          <w:rFonts w:cs="Arial"/>
          <w:i/>
          <w:szCs w:val="21"/>
        </w:rPr>
        <w:t>(iii)</w:t>
      </w:r>
      <w:r w:rsidRPr="00E33B7D">
        <w:rPr>
          <w:rFonts w:cs="Arial"/>
          <w:szCs w:val="21"/>
        </w:rPr>
        <w:t xml:space="preserve">  faire profiter aux communautés rurales des ressources énergies non traditionnelles et assurer l’encadrement des producteurs et des utilisateurs de ces énergies ; </w:t>
      </w:r>
      <w:r w:rsidRPr="00E33B7D">
        <w:rPr>
          <w:rFonts w:cs="Arial"/>
          <w:i/>
          <w:szCs w:val="21"/>
        </w:rPr>
        <w:t>(iv)</w:t>
      </w:r>
      <w:r w:rsidRPr="00E33B7D">
        <w:rPr>
          <w:rFonts w:cs="Arial"/>
          <w:szCs w:val="21"/>
        </w:rPr>
        <w:t xml:space="preserve"> promouvoir la recherche en matière des énergies nouvelles et renouvelables.</w:t>
      </w:r>
    </w:p>
    <w:p w14:paraId="022E797B" w14:textId="77777777" w:rsidR="009021F1" w:rsidRPr="00E33B7D" w:rsidRDefault="009021F1" w:rsidP="009021F1">
      <w:pPr>
        <w:rPr>
          <w:rFonts w:cs="Arial"/>
          <w:szCs w:val="21"/>
        </w:rPr>
      </w:pPr>
    </w:p>
    <w:p w14:paraId="4BF7264B" w14:textId="77777777" w:rsidR="009021F1" w:rsidRPr="00E33B7D" w:rsidRDefault="009021F1" w:rsidP="009021F1">
      <w:pPr>
        <w:rPr>
          <w:rFonts w:cs="Arial"/>
          <w:i/>
          <w:szCs w:val="21"/>
        </w:rPr>
      </w:pPr>
      <w:r w:rsidRPr="00E33B7D">
        <w:rPr>
          <w:rFonts w:cs="Arial"/>
          <w:i/>
          <w:szCs w:val="21"/>
        </w:rPr>
        <w:t>Service National des Coopératives et Organisations Paysannes (SNCOOP)</w:t>
      </w:r>
    </w:p>
    <w:p w14:paraId="6384F771" w14:textId="77777777" w:rsidR="009021F1" w:rsidRPr="00E33B7D" w:rsidRDefault="009021F1" w:rsidP="009021F1">
      <w:pPr>
        <w:rPr>
          <w:rFonts w:cs="Arial"/>
          <w:szCs w:val="21"/>
        </w:rPr>
      </w:pPr>
    </w:p>
    <w:p w14:paraId="7F15A5FB" w14:textId="77777777" w:rsidR="009021F1" w:rsidRPr="00E33B7D" w:rsidRDefault="009021F1" w:rsidP="009021F1">
      <w:pPr>
        <w:rPr>
          <w:rFonts w:cs="Arial"/>
          <w:szCs w:val="21"/>
        </w:rPr>
      </w:pPr>
      <w:r w:rsidRPr="00E33B7D">
        <w:rPr>
          <w:rFonts w:cs="Arial"/>
          <w:szCs w:val="21"/>
        </w:rPr>
        <w:t xml:space="preserve">Le Service National des Coopératives et Organisations Paysannes a pour mission de : </w:t>
      </w:r>
      <w:r w:rsidRPr="00E33B7D">
        <w:rPr>
          <w:rFonts w:cs="Arial"/>
          <w:i/>
          <w:szCs w:val="21"/>
        </w:rPr>
        <w:t>(i)</w:t>
      </w:r>
      <w:r w:rsidRPr="00E33B7D">
        <w:rPr>
          <w:rFonts w:cs="Arial"/>
          <w:szCs w:val="21"/>
        </w:rPr>
        <w:t xml:space="preserve"> encourager le développement des Coopératives sur l’ensemble du territoire national ; </w:t>
      </w:r>
      <w:r w:rsidRPr="00E33B7D">
        <w:rPr>
          <w:rFonts w:cs="Arial"/>
          <w:i/>
          <w:szCs w:val="21"/>
        </w:rPr>
        <w:t xml:space="preserve">(ii) </w:t>
      </w:r>
      <w:r w:rsidRPr="00E33B7D">
        <w:rPr>
          <w:rFonts w:cs="Arial"/>
          <w:szCs w:val="21"/>
        </w:rPr>
        <w:t xml:space="preserve">mettre en place les structures d’orientation, de consultation et d’appui technique et financier des mouvements coopératifs sur l’ensemble du territoire national ; </w:t>
      </w:r>
      <w:r w:rsidRPr="00E33B7D">
        <w:rPr>
          <w:rFonts w:cs="Arial"/>
          <w:i/>
          <w:szCs w:val="21"/>
        </w:rPr>
        <w:t xml:space="preserve">(iii) </w:t>
      </w:r>
      <w:r w:rsidRPr="00E33B7D">
        <w:rPr>
          <w:rFonts w:cs="Arial"/>
          <w:szCs w:val="21"/>
        </w:rPr>
        <w:t xml:space="preserve">favoriser la création des organisations autres que les Coopératives sur l’ensemble du territoire national ; </w:t>
      </w:r>
      <w:r w:rsidRPr="00E33B7D">
        <w:rPr>
          <w:rFonts w:cs="Arial"/>
          <w:i/>
          <w:szCs w:val="21"/>
        </w:rPr>
        <w:t xml:space="preserve">(iv) </w:t>
      </w:r>
      <w:r w:rsidRPr="00E33B7D">
        <w:rPr>
          <w:rFonts w:cs="Arial"/>
          <w:szCs w:val="21"/>
        </w:rPr>
        <w:t>immatriculer toutes les Coopératives au niveau national.</w:t>
      </w:r>
    </w:p>
    <w:p w14:paraId="7C8D78A7" w14:textId="77777777" w:rsidR="009021F1" w:rsidRPr="00E33B7D" w:rsidRDefault="009021F1" w:rsidP="009021F1">
      <w:pPr>
        <w:rPr>
          <w:rFonts w:cs="Arial"/>
          <w:i/>
          <w:spacing w:val="-5"/>
          <w:szCs w:val="21"/>
        </w:rPr>
      </w:pPr>
    </w:p>
    <w:p w14:paraId="5A5AA337" w14:textId="77777777" w:rsidR="009021F1" w:rsidRPr="00E33B7D" w:rsidRDefault="009021F1" w:rsidP="009021F1">
      <w:pPr>
        <w:rPr>
          <w:rFonts w:cs="Arial"/>
          <w:i/>
          <w:spacing w:val="-5"/>
          <w:szCs w:val="21"/>
        </w:rPr>
      </w:pPr>
      <w:r w:rsidRPr="00E33B7D">
        <w:rPr>
          <w:rFonts w:cs="Arial"/>
          <w:i/>
          <w:spacing w:val="-5"/>
          <w:szCs w:val="21"/>
        </w:rPr>
        <w:t>Office des Voies de Dessertes Agricoles (OVDA)</w:t>
      </w:r>
    </w:p>
    <w:p w14:paraId="62345B41" w14:textId="77777777" w:rsidR="009021F1" w:rsidRPr="00E33B7D" w:rsidRDefault="009021F1" w:rsidP="009021F1">
      <w:pPr>
        <w:rPr>
          <w:rFonts w:cs="Arial"/>
          <w:szCs w:val="21"/>
        </w:rPr>
      </w:pPr>
    </w:p>
    <w:p w14:paraId="0D9DCA7F" w14:textId="77777777" w:rsidR="009021F1" w:rsidRPr="00E33B7D" w:rsidRDefault="009021F1" w:rsidP="009021F1">
      <w:pPr>
        <w:rPr>
          <w:rFonts w:cs="Arial"/>
          <w:szCs w:val="21"/>
        </w:rPr>
      </w:pPr>
      <w:r w:rsidRPr="00E33B7D">
        <w:rPr>
          <w:rFonts w:cs="Arial"/>
          <w:szCs w:val="21"/>
        </w:rPr>
        <w:t>Créé par le Décret n° 20/008 du 1</w:t>
      </w:r>
      <w:r w:rsidRPr="00E33B7D">
        <w:rPr>
          <w:rFonts w:cs="Arial"/>
          <w:szCs w:val="21"/>
          <w:vertAlign w:val="superscript"/>
        </w:rPr>
        <w:t>er</w:t>
      </w:r>
      <w:r w:rsidRPr="00E33B7D">
        <w:rPr>
          <w:rFonts w:cs="Arial"/>
          <w:szCs w:val="21"/>
        </w:rPr>
        <w:t xml:space="preserve"> avril 2020 portant création, organisation et fonctionnement de l’Office des Voies de Desserte Agricole, en sigle « OVDA ».</w:t>
      </w:r>
    </w:p>
    <w:p w14:paraId="796E239B" w14:textId="77777777" w:rsidR="009021F1" w:rsidRPr="00E33B7D" w:rsidRDefault="009021F1" w:rsidP="009021F1">
      <w:pPr>
        <w:rPr>
          <w:rFonts w:cs="Arial"/>
          <w:szCs w:val="21"/>
        </w:rPr>
      </w:pPr>
    </w:p>
    <w:p w14:paraId="1158D75D" w14:textId="77777777" w:rsidR="009021F1" w:rsidRPr="00E33B7D" w:rsidRDefault="009021F1" w:rsidP="009021F1">
      <w:pPr>
        <w:shd w:val="clear" w:color="auto" w:fill="FFFFFF"/>
        <w:spacing w:line="240" w:lineRule="auto"/>
        <w:rPr>
          <w:rFonts w:cs="Arial"/>
          <w:color w:val="000000"/>
          <w:szCs w:val="21"/>
        </w:rPr>
      </w:pPr>
      <w:r w:rsidRPr="00E33B7D">
        <w:rPr>
          <w:rFonts w:cs="Arial"/>
          <w:color w:val="000000"/>
          <w:szCs w:val="21"/>
        </w:rPr>
        <w:t>On</w:t>
      </w:r>
      <w:r w:rsidRPr="00E33B7D">
        <w:rPr>
          <w:rFonts w:cs="Arial"/>
          <w:color w:val="000000"/>
          <w:spacing w:val="2"/>
          <w:szCs w:val="21"/>
        </w:rPr>
        <w:t> </w:t>
      </w:r>
      <w:r w:rsidRPr="00E33B7D">
        <w:rPr>
          <w:rFonts w:cs="Arial"/>
          <w:color w:val="000000"/>
          <w:szCs w:val="21"/>
        </w:rPr>
        <w:t>e</w:t>
      </w:r>
      <w:r w:rsidRPr="00E33B7D">
        <w:rPr>
          <w:rFonts w:cs="Arial"/>
          <w:color w:val="000000"/>
          <w:spacing w:val="-2"/>
          <w:szCs w:val="21"/>
        </w:rPr>
        <w:t>n</w:t>
      </w:r>
      <w:r w:rsidRPr="00E33B7D">
        <w:rPr>
          <w:rFonts w:cs="Arial"/>
          <w:color w:val="000000"/>
          <w:spacing w:val="1"/>
          <w:szCs w:val="21"/>
        </w:rPr>
        <w:t>t</w:t>
      </w:r>
      <w:r w:rsidRPr="00E33B7D">
        <w:rPr>
          <w:rFonts w:cs="Arial"/>
          <w:color w:val="000000"/>
          <w:szCs w:val="21"/>
        </w:rPr>
        <w:t>end p</w:t>
      </w:r>
      <w:r w:rsidRPr="00E33B7D">
        <w:rPr>
          <w:rFonts w:cs="Arial"/>
          <w:color w:val="000000"/>
          <w:spacing w:val="-2"/>
          <w:szCs w:val="21"/>
        </w:rPr>
        <w:t>a</w:t>
      </w:r>
      <w:r w:rsidRPr="00E33B7D">
        <w:rPr>
          <w:rFonts w:cs="Arial"/>
          <w:color w:val="000000"/>
          <w:szCs w:val="21"/>
        </w:rPr>
        <w:t>r</w:t>
      </w:r>
      <w:r w:rsidRPr="00E33B7D">
        <w:rPr>
          <w:rFonts w:cs="Arial"/>
          <w:color w:val="000000"/>
          <w:spacing w:val="3"/>
          <w:szCs w:val="21"/>
        </w:rPr>
        <w:t> </w:t>
      </w:r>
      <w:r w:rsidRPr="00E33B7D">
        <w:rPr>
          <w:rFonts w:cs="Arial"/>
          <w:color w:val="000000"/>
          <w:szCs w:val="21"/>
        </w:rPr>
        <w:t>« </w:t>
      </w:r>
      <w:r w:rsidRPr="00E33B7D">
        <w:rPr>
          <w:rFonts w:cs="Arial"/>
          <w:color w:val="000000"/>
          <w:spacing w:val="-2"/>
          <w:szCs w:val="21"/>
        </w:rPr>
        <w:t>v</w:t>
      </w:r>
      <w:r w:rsidRPr="00E33B7D">
        <w:rPr>
          <w:rFonts w:cs="Arial"/>
          <w:color w:val="000000"/>
          <w:szCs w:val="21"/>
        </w:rPr>
        <w:t>o</w:t>
      </w:r>
      <w:r w:rsidRPr="00E33B7D">
        <w:rPr>
          <w:rFonts w:cs="Arial"/>
          <w:color w:val="000000"/>
          <w:spacing w:val="1"/>
          <w:szCs w:val="21"/>
        </w:rPr>
        <w:t>i</w:t>
      </w:r>
      <w:r w:rsidRPr="00E33B7D">
        <w:rPr>
          <w:rFonts w:cs="Arial"/>
          <w:color w:val="000000"/>
          <w:szCs w:val="21"/>
        </w:rPr>
        <w:t>es de</w:t>
      </w:r>
      <w:r w:rsidRPr="00E33B7D">
        <w:rPr>
          <w:rFonts w:cs="Arial"/>
          <w:color w:val="000000"/>
          <w:spacing w:val="1"/>
          <w:szCs w:val="21"/>
        </w:rPr>
        <w:t> </w:t>
      </w:r>
      <w:r w:rsidRPr="00E33B7D">
        <w:rPr>
          <w:rFonts w:cs="Arial"/>
          <w:color w:val="000000"/>
          <w:szCs w:val="21"/>
        </w:rPr>
        <w:t>de</w:t>
      </w:r>
      <w:r w:rsidRPr="00E33B7D">
        <w:rPr>
          <w:rFonts w:cs="Arial"/>
          <w:color w:val="000000"/>
          <w:spacing w:val="-2"/>
          <w:szCs w:val="21"/>
        </w:rPr>
        <w:t>s</w:t>
      </w:r>
      <w:r w:rsidRPr="00E33B7D">
        <w:rPr>
          <w:rFonts w:cs="Arial"/>
          <w:color w:val="000000"/>
          <w:spacing w:val="1"/>
          <w:szCs w:val="21"/>
        </w:rPr>
        <w:t>s</w:t>
      </w:r>
      <w:r w:rsidRPr="00E33B7D">
        <w:rPr>
          <w:rFonts w:cs="Arial"/>
          <w:color w:val="000000"/>
          <w:szCs w:val="21"/>
        </w:rPr>
        <w:t>e</w:t>
      </w:r>
      <w:r w:rsidRPr="00E33B7D">
        <w:rPr>
          <w:rFonts w:cs="Arial"/>
          <w:color w:val="000000"/>
          <w:spacing w:val="-2"/>
          <w:szCs w:val="21"/>
        </w:rPr>
        <w:t>r</w:t>
      </w:r>
      <w:r w:rsidRPr="00E33B7D">
        <w:rPr>
          <w:rFonts w:cs="Arial"/>
          <w:color w:val="000000"/>
          <w:spacing w:val="1"/>
          <w:szCs w:val="21"/>
        </w:rPr>
        <w:t>t</w:t>
      </w:r>
      <w:r w:rsidRPr="00E33B7D">
        <w:rPr>
          <w:rFonts w:cs="Arial"/>
          <w:color w:val="000000"/>
          <w:szCs w:val="21"/>
        </w:rPr>
        <w:t>e</w:t>
      </w:r>
      <w:r w:rsidRPr="00E33B7D">
        <w:rPr>
          <w:rFonts w:cs="Arial"/>
          <w:color w:val="000000"/>
          <w:spacing w:val="-2"/>
          <w:szCs w:val="21"/>
        </w:rPr>
        <w:t> </w:t>
      </w:r>
      <w:r w:rsidRPr="00E33B7D">
        <w:rPr>
          <w:rFonts w:cs="Arial"/>
          <w:color w:val="000000"/>
          <w:szCs w:val="21"/>
        </w:rPr>
        <w:t>a</w:t>
      </w:r>
      <w:r w:rsidRPr="00E33B7D">
        <w:rPr>
          <w:rFonts w:cs="Arial"/>
          <w:color w:val="000000"/>
          <w:spacing w:val="-2"/>
          <w:szCs w:val="21"/>
        </w:rPr>
        <w:t>g</w:t>
      </w:r>
      <w:r w:rsidRPr="00E33B7D">
        <w:rPr>
          <w:rFonts w:cs="Arial"/>
          <w:color w:val="000000"/>
          <w:spacing w:val="1"/>
          <w:szCs w:val="21"/>
        </w:rPr>
        <w:t>ri</w:t>
      </w:r>
      <w:r w:rsidRPr="00E33B7D">
        <w:rPr>
          <w:rFonts w:cs="Arial"/>
          <w:color w:val="000000"/>
          <w:szCs w:val="21"/>
        </w:rPr>
        <w:t>c</w:t>
      </w:r>
      <w:r w:rsidRPr="00E33B7D">
        <w:rPr>
          <w:rFonts w:cs="Arial"/>
          <w:color w:val="000000"/>
          <w:spacing w:val="-2"/>
          <w:szCs w:val="21"/>
        </w:rPr>
        <w:t>o</w:t>
      </w:r>
      <w:r w:rsidRPr="00E33B7D">
        <w:rPr>
          <w:rFonts w:cs="Arial"/>
          <w:color w:val="000000"/>
          <w:spacing w:val="1"/>
          <w:szCs w:val="21"/>
        </w:rPr>
        <w:t>l</w:t>
      </w:r>
      <w:r w:rsidRPr="00E33B7D">
        <w:rPr>
          <w:rFonts w:cs="Arial"/>
          <w:color w:val="000000"/>
          <w:szCs w:val="21"/>
        </w:rPr>
        <w:t>e</w:t>
      </w:r>
      <w:r w:rsidRPr="00E33B7D">
        <w:rPr>
          <w:rFonts w:cs="Arial"/>
          <w:color w:val="000000"/>
          <w:spacing w:val="-2"/>
          <w:szCs w:val="21"/>
        </w:rPr>
        <w:t> </w:t>
      </w:r>
      <w:r w:rsidRPr="00E33B7D">
        <w:rPr>
          <w:rFonts w:cs="Arial"/>
          <w:color w:val="000000"/>
          <w:szCs w:val="21"/>
        </w:rPr>
        <w:t>:</w:t>
      </w:r>
    </w:p>
    <w:p w14:paraId="184ACD8D" w14:textId="77777777" w:rsidR="009021F1" w:rsidRPr="00E33B7D" w:rsidRDefault="009021F1" w:rsidP="009021F1">
      <w:pPr>
        <w:shd w:val="clear" w:color="auto" w:fill="FFFFFF"/>
        <w:spacing w:line="240" w:lineRule="auto"/>
        <w:rPr>
          <w:rFonts w:cs="Arial"/>
          <w:color w:val="383838"/>
          <w:szCs w:val="21"/>
        </w:rPr>
      </w:pPr>
    </w:p>
    <w:p w14:paraId="08BC47A2" w14:textId="77777777" w:rsidR="009021F1" w:rsidRPr="00E33B7D" w:rsidRDefault="009021F1" w:rsidP="009021F1">
      <w:pPr>
        <w:pStyle w:val="Paragraphedeliste"/>
        <w:numPr>
          <w:ilvl w:val="1"/>
          <w:numId w:val="22"/>
        </w:numPr>
        <w:jc w:val="left"/>
        <w:rPr>
          <w:rFonts w:cs="Arial"/>
          <w:szCs w:val="21"/>
        </w:rPr>
      </w:pPr>
      <w:r w:rsidRPr="00E33B7D">
        <w:rPr>
          <w:rFonts w:cs="Arial"/>
          <w:szCs w:val="21"/>
        </w:rPr>
        <w:t>les  routes  d'intérêt  local  classées  au  niveau  des territoires  connectées  au résenational  ou provincial ;</w:t>
      </w:r>
    </w:p>
    <w:p w14:paraId="3A14C82D" w14:textId="77777777" w:rsidR="009021F1" w:rsidRPr="00E33B7D" w:rsidRDefault="009021F1" w:rsidP="009021F1">
      <w:pPr>
        <w:pStyle w:val="Paragraphedeliste"/>
        <w:numPr>
          <w:ilvl w:val="1"/>
          <w:numId w:val="22"/>
        </w:numPr>
        <w:rPr>
          <w:rFonts w:cs="Arial"/>
          <w:szCs w:val="21"/>
        </w:rPr>
      </w:pPr>
      <w:r w:rsidRPr="00E33B7D">
        <w:rPr>
          <w:rFonts w:cs="Arial"/>
          <w:szCs w:val="21"/>
        </w:rPr>
        <w:t>les cours d'eau navigable d'intérêt local (mouillage 1,20 m HE - 0,80 m BE et 0,90 m HE - 0,40m BE), les pistes d’atterrissage en milieu rural dont la longueur est comprise entre 800 et 1000 m.</w:t>
      </w:r>
    </w:p>
    <w:p w14:paraId="4A503446" w14:textId="77777777" w:rsidR="009021F1" w:rsidRPr="00E33B7D" w:rsidRDefault="009021F1" w:rsidP="009021F1">
      <w:pPr>
        <w:pStyle w:val="Paragraphedeliste"/>
        <w:numPr>
          <w:ilvl w:val="1"/>
          <w:numId w:val="22"/>
        </w:numPr>
        <w:jc w:val="left"/>
        <w:rPr>
          <w:rFonts w:cs="Arial"/>
          <w:szCs w:val="21"/>
        </w:rPr>
      </w:pPr>
      <w:r w:rsidRPr="00E33B7D">
        <w:rPr>
          <w:rFonts w:cs="Arial"/>
          <w:szCs w:val="21"/>
        </w:rPr>
        <w:t>Ces voies permettent les échanges entre les milieux ruraux, centres de production, et les centres de consommation.</w:t>
      </w:r>
    </w:p>
    <w:p w14:paraId="01F237AD" w14:textId="77777777" w:rsidR="009021F1" w:rsidRPr="00E33B7D" w:rsidRDefault="009021F1" w:rsidP="009021F1">
      <w:pPr>
        <w:pStyle w:val="Paragraphedeliste"/>
        <w:numPr>
          <w:ilvl w:val="1"/>
          <w:numId w:val="22"/>
        </w:numPr>
        <w:jc w:val="left"/>
        <w:rPr>
          <w:rFonts w:cs="Arial"/>
          <w:szCs w:val="21"/>
        </w:rPr>
      </w:pPr>
      <w:r w:rsidRPr="00E33B7D">
        <w:rPr>
          <w:rFonts w:cs="Arial"/>
          <w:szCs w:val="21"/>
        </w:rPr>
        <w:t>Elles  concernent  aussi  les  voies  qui relient les centres de production aux centres périurbains.</w:t>
      </w:r>
    </w:p>
    <w:p w14:paraId="444E9DF2" w14:textId="77777777" w:rsidR="009021F1" w:rsidRPr="00E33B7D" w:rsidRDefault="009021F1" w:rsidP="009021F1">
      <w:pPr>
        <w:rPr>
          <w:rFonts w:cs="Arial"/>
          <w:spacing w:val="-5"/>
          <w:szCs w:val="21"/>
        </w:rPr>
      </w:pPr>
    </w:p>
    <w:p w14:paraId="170E2C4E" w14:textId="77777777" w:rsidR="009021F1" w:rsidRPr="00E33B7D" w:rsidRDefault="009021F1" w:rsidP="009021F1">
      <w:pPr>
        <w:shd w:val="clear" w:color="auto" w:fill="FFFFFF"/>
        <w:spacing w:line="240" w:lineRule="auto"/>
        <w:jc w:val="left"/>
        <w:rPr>
          <w:rFonts w:cs="Arial"/>
          <w:color w:val="383838"/>
          <w:szCs w:val="21"/>
        </w:rPr>
      </w:pPr>
      <w:r w:rsidRPr="00E33B7D">
        <w:rPr>
          <w:rFonts w:cs="Arial"/>
          <w:color w:val="000000"/>
          <w:szCs w:val="21"/>
        </w:rPr>
        <w:t>L</w:t>
      </w:r>
      <w:r w:rsidRPr="00E33B7D">
        <w:rPr>
          <w:rFonts w:cs="Arial"/>
          <w:color w:val="000000"/>
          <w:spacing w:val="-4"/>
          <w:szCs w:val="21"/>
        </w:rPr>
        <w:t>'</w:t>
      </w:r>
      <w:r w:rsidRPr="00E33B7D">
        <w:rPr>
          <w:rFonts w:cs="Arial"/>
          <w:color w:val="000000"/>
          <w:spacing w:val="-1"/>
          <w:szCs w:val="21"/>
        </w:rPr>
        <w:t>O</w:t>
      </w:r>
      <w:r w:rsidRPr="00E33B7D">
        <w:rPr>
          <w:rFonts w:cs="Arial"/>
          <w:color w:val="000000"/>
          <w:spacing w:val="2"/>
          <w:szCs w:val="21"/>
        </w:rPr>
        <w:t>V</w:t>
      </w:r>
      <w:r w:rsidRPr="00E33B7D">
        <w:rPr>
          <w:rFonts w:cs="Arial"/>
          <w:color w:val="000000"/>
          <w:spacing w:val="-1"/>
          <w:szCs w:val="21"/>
        </w:rPr>
        <w:t>D</w:t>
      </w:r>
      <w:r w:rsidRPr="00E33B7D">
        <w:rPr>
          <w:rFonts w:cs="Arial"/>
          <w:color w:val="000000"/>
          <w:szCs w:val="21"/>
        </w:rPr>
        <w:t>A</w:t>
      </w:r>
      <w:r w:rsidRPr="00E33B7D">
        <w:rPr>
          <w:rFonts w:cs="Arial"/>
          <w:color w:val="000000"/>
          <w:spacing w:val="-1"/>
          <w:szCs w:val="21"/>
        </w:rPr>
        <w:t> </w:t>
      </w:r>
      <w:r w:rsidRPr="00E33B7D">
        <w:rPr>
          <w:rFonts w:cs="Arial"/>
          <w:color w:val="000000"/>
          <w:szCs w:val="21"/>
        </w:rPr>
        <w:t>a</w:t>
      </w:r>
      <w:r w:rsidRPr="00E33B7D">
        <w:rPr>
          <w:rFonts w:cs="Arial"/>
          <w:color w:val="000000"/>
          <w:spacing w:val="1"/>
          <w:szCs w:val="21"/>
        </w:rPr>
        <w:t> </w:t>
      </w:r>
      <w:r w:rsidRPr="00E33B7D">
        <w:rPr>
          <w:rFonts w:cs="Arial"/>
          <w:color w:val="000000"/>
          <w:szCs w:val="21"/>
        </w:rPr>
        <w:t>po</w:t>
      </w:r>
      <w:r w:rsidRPr="00E33B7D">
        <w:rPr>
          <w:rFonts w:cs="Arial"/>
          <w:color w:val="000000"/>
          <w:spacing w:val="-2"/>
          <w:szCs w:val="21"/>
        </w:rPr>
        <w:t>u</w:t>
      </w:r>
      <w:r w:rsidRPr="00E33B7D">
        <w:rPr>
          <w:rFonts w:cs="Arial"/>
          <w:color w:val="000000"/>
          <w:szCs w:val="21"/>
        </w:rPr>
        <w:t>r</w:t>
      </w:r>
      <w:r w:rsidRPr="00E33B7D">
        <w:rPr>
          <w:rFonts w:cs="Arial"/>
          <w:color w:val="000000"/>
          <w:spacing w:val="-1"/>
          <w:szCs w:val="21"/>
        </w:rPr>
        <w:t> </w:t>
      </w:r>
      <w:r w:rsidRPr="00E33B7D">
        <w:rPr>
          <w:rFonts w:cs="Arial"/>
          <w:color w:val="000000"/>
          <w:spacing w:val="-4"/>
          <w:szCs w:val="21"/>
        </w:rPr>
        <w:t>m</w:t>
      </w:r>
      <w:r w:rsidRPr="00E33B7D">
        <w:rPr>
          <w:rFonts w:cs="Arial"/>
          <w:color w:val="000000"/>
          <w:spacing w:val="1"/>
          <w:szCs w:val="21"/>
        </w:rPr>
        <w:t>issi</w:t>
      </w:r>
      <w:r w:rsidRPr="00E33B7D">
        <w:rPr>
          <w:rFonts w:cs="Arial"/>
          <w:color w:val="000000"/>
          <w:szCs w:val="21"/>
        </w:rPr>
        <w:t>ons</w:t>
      </w:r>
      <w:r w:rsidRPr="00E33B7D">
        <w:rPr>
          <w:rFonts w:cs="Arial"/>
          <w:color w:val="000000"/>
          <w:spacing w:val="1"/>
          <w:szCs w:val="21"/>
        </w:rPr>
        <w:t> </w:t>
      </w:r>
      <w:r w:rsidRPr="00E33B7D">
        <w:rPr>
          <w:rFonts w:cs="Arial"/>
          <w:color w:val="000000"/>
          <w:spacing w:val="-2"/>
          <w:szCs w:val="21"/>
        </w:rPr>
        <w:t>d</w:t>
      </w:r>
      <w:r w:rsidRPr="00E33B7D">
        <w:rPr>
          <w:rFonts w:cs="Arial"/>
          <w:color w:val="000000"/>
          <w:szCs w:val="21"/>
        </w:rPr>
        <w:t>e</w:t>
      </w:r>
      <w:r w:rsidRPr="00E33B7D">
        <w:rPr>
          <w:rFonts w:cs="Arial"/>
          <w:color w:val="000000"/>
          <w:spacing w:val="1"/>
          <w:szCs w:val="21"/>
        </w:rPr>
        <w:t> </w:t>
      </w:r>
      <w:r w:rsidRPr="00E33B7D">
        <w:rPr>
          <w:rFonts w:cs="Arial"/>
          <w:color w:val="000000"/>
          <w:szCs w:val="21"/>
        </w:rPr>
        <w:t>:</w:t>
      </w:r>
    </w:p>
    <w:p w14:paraId="15C65939" w14:textId="77777777" w:rsidR="009021F1" w:rsidRPr="00E33B7D" w:rsidRDefault="009021F1" w:rsidP="009021F1">
      <w:pPr>
        <w:shd w:val="clear" w:color="auto" w:fill="FFFFFF"/>
        <w:spacing w:line="240" w:lineRule="auto"/>
        <w:jc w:val="left"/>
        <w:rPr>
          <w:rFonts w:cs="Arial"/>
          <w:color w:val="383838"/>
          <w:szCs w:val="21"/>
        </w:rPr>
      </w:pPr>
    </w:p>
    <w:p w14:paraId="75598B9D" w14:textId="77777777" w:rsidR="009021F1" w:rsidRPr="00E33B7D" w:rsidRDefault="009021F1" w:rsidP="009021F1">
      <w:pPr>
        <w:pStyle w:val="Paragraphedeliste"/>
        <w:numPr>
          <w:ilvl w:val="1"/>
          <w:numId w:val="22"/>
        </w:numPr>
        <w:jc w:val="left"/>
        <w:rPr>
          <w:rFonts w:cs="Arial"/>
          <w:szCs w:val="21"/>
        </w:rPr>
      </w:pPr>
      <w:r w:rsidRPr="00E33B7D">
        <w:rPr>
          <w:rFonts w:cs="Arial"/>
          <w:szCs w:val="21"/>
        </w:rPr>
        <w:t>Construire réhabiliter et entretenir les routes d'intérêt local ;</w:t>
      </w:r>
    </w:p>
    <w:p w14:paraId="074DF0D0" w14:textId="77777777" w:rsidR="009021F1" w:rsidRPr="00E33B7D" w:rsidRDefault="009021F1" w:rsidP="009021F1">
      <w:pPr>
        <w:pStyle w:val="Paragraphedeliste"/>
        <w:numPr>
          <w:ilvl w:val="1"/>
          <w:numId w:val="22"/>
        </w:numPr>
        <w:jc w:val="left"/>
        <w:rPr>
          <w:rFonts w:cs="Arial"/>
          <w:szCs w:val="21"/>
        </w:rPr>
      </w:pPr>
      <w:r w:rsidRPr="00E33B7D">
        <w:rPr>
          <w:rFonts w:cs="Arial"/>
          <w:szCs w:val="21"/>
        </w:rPr>
        <w:t>Aménager  et  entretenir  les  cours  d'eau  d'intérêt local (de 3e et 4e catégories)      destinés à assurer les échanges entre les centres de production agricole et les centres de consommation ;</w:t>
      </w:r>
    </w:p>
    <w:p w14:paraId="541C08E5" w14:textId="77777777" w:rsidR="009021F1" w:rsidRPr="00E33B7D" w:rsidRDefault="009021F1" w:rsidP="009021F1">
      <w:pPr>
        <w:pStyle w:val="Paragraphedeliste"/>
        <w:numPr>
          <w:ilvl w:val="1"/>
          <w:numId w:val="22"/>
        </w:numPr>
        <w:jc w:val="left"/>
        <w:rPr>
          <w:rFonts w:cs="Arial"/>
          <w:szCs w:val="21"/>
        </w:rPr>
      </w:pPr>
      <w:r w:rsidRPr="00E33B7D">
        <w:rPr>
          <w:rFonts w:cs="Arial"/>
          <w:szCs w:val="21"/>
        </w:rPr>
        <w:t>Promouvoir un partenariat entre le pouvoir public, propriétaire des infrastructures (maître d'ouvrage), les bailleurs de fonds apportant l'appui financier et les opérateurs de développement, principaux usagers des voies de desserte agricole, ainsi que les bénéficiaires ;</w:t>
      </w:r>
    </w:p>
    <w:p w14:paraId="528E0EE9" w14:textId="77777777" w:rsidR="009021F1" w:rsidRPr="00E33B7D" w:rsidRDefault="009021F1" w:rsidP="009021F1">
      <w:pPr>
        <w:pStyle w:val="Paragraphedeliste"/>
        <w:numPr>
          <w:ilvl w:val="1"/>
          <w:numId w:val="22"/>
        </w:numPr>
        <w:jc w:val="left"/>
        <w:rPr>
          <w:rFonts w:cs="Arial"/>
          <w:szCs w:val="21"/>
        </w:rPr>
      </w:pPr>
      <w:r w:rsidRPr="00E33B7D">
        <w:rPr>
          <w:rFonts w:cs="Arial"/>
          <w:szCs w:val="21"/>
        </w:rPr>
        <w:t>Former, installer  et  fédérer  à  la  base  (Territoire, Commune rurale, Secteur ou chefferie) les Comités Locaux d'Entretien et de Réhabilitation (CLER) comme organes de gestion des patrimoines routiers et fluviaux jouissant d'une reconnaissance juridique ; et</w:t>
      </w:r>
    </w:p>
    <w:p w14:paraId="2EDED2B1" w14:textId="77777777" w:rsidR="009021F1" w:rsidRPr="00E33B7D" w:rsidRDefault="009021F1" w:rsidP="009021F1">
      <w:pPr>
        <w:pStyle w:val="Paragraphedeliste"/>
        <w:numPr>
          <w:ilvl w:val="1"/>
          <w:numId w:val="22"/>
        </w:numPr>
        <w:jc w:val="left"/>
        <w:rPr>
          <w:rFonts w:cs="Arial"/>
          <w:szCs w:val="21"/>
        </w:rPr>
      </w:pPr>
      <w:r w:rsidRPr="00E33B7D">
        <w:rPr>
          <w:rFonts w:cs="Arial"/>
          <w:szCs w:val="21"/>
        </w:rPr>
        <w:t>Promouvoir les bonnes pratiques de l'utilisation du réseau routier.</w:t>
      </w:r>
    </w:p>
    <w:p w14:paraId="3545A62B" w14:textId="77777777" w:rsidR="009021F1" w:rsidRPr="00E33B7D" w:rsidRDefault="009021F1" w:rsidP="009021F1">
      <w:pPr>
        <w:rPr>
          <w:rFonts w:cs="Arial"/>
          <w:spacing w:val="-5"/>
          <w:szCs w:val="21"/>
        </w:rPr>
      </w:pPr>
    </w:p>
    <w:p w14:paraId="4C049F9B" w14:textId="77777777" w:rsidR="009021F1" w:rsidRPr="00E33B7D" w:rsidRDefault="009021F1" w:rsidP="009021F1">
      <w:pPr>
        <w:rPr>
          <w:rFonts w:cs="Arial"/>
          <w:spacing w:val="-5"/>
          <w:szCs w:val="21"/>
        </w:rPr>
      </w:pPr>
      <w:r w:rsidRPr="00E33B7D">
        <w:rPr>
          <w:rFonts w:cs="Arial"/>
          <w:spacing w:val="-5"/>
          <w:szCs w:val="21"/>
        </w:rPr>
        <w:t>Dans le cadre du PNDA, l’OVDA sera impliqué dans le cadre de la réhabilitation des pistes rurales et leur entretien.</w:t>
      </w:r>
    </w:p>
    <w:p w14:paraId="686BCAEF" w14:textId="77777777" w:rsidR="009021F1" w:rsidRPr="00E33B7D" w:rsidRDefault="009021F1" w:rsidP="009021F1">
      <w:pPr>
        <w:rPr>
          <w:rFonts w:cs="Arial"/>
          <w:spacing w:val="-5"/>
          <w:szCs w:val="21"/>
        </w:rPr>
      </w:pPr>
    </w:p>
    <w:p w14:paraId="0A55138F" w14:textId="77777777" w:rsidR="009021F1" w:rsidRPr="00E33B7D" w:rsidRDefault="009021F1" w:rsidP="009021F1">
      <w:pPr>
        <w:pStyle w:val="Titre2"/>
        <w:numPr>
          <w:ilvl w:val="2"/>
          <w:numId w:val="4"/>
        </w:numPr>
        <w:ind w:left="1560" w:hanging="709"/>
        <w:rPr>
          <w:rFonts w:cs="Arial"/>
          <w:i/>
          <w:szCs w:val="21"/>
        </w:rPr>
      </w:pPr>
      <w:bookmarkStart w:id="333" w:name="_Toc90471439"/>
      <w:r w:rsidRPr="00E33B7D">
        <w:rPr>
          <w:rFonts w:cs="Arial"/>
          <w:i/>
          <w:szCs w:val="21"/>
        </w:rPr>
        <w:t>Ministère de l’Environnement et Développement Durable</w:t>
      </w:r>
      <w:bookmarkEnd w:id="333"/>
      <w:r w:rsidRPr="00E33B7D">
        <w:rPr>
          <w:rFonts w:cs="Arial"/>
          <w:i/>
          <w:szCs w:val="21"/>
        </w:rPr>
        <w:t xml:space="preserve"> </w:t>
      </w:r>
    </w:p>
    <w:p w14:paraId="7CDC1B87" w14:textId="77777777" w:rsidR="009021F1" w:rsidRPr="00E33B7D" w:rsidRDefault="009021F1" w:rsidP="009021F1">
      <w:pPr>
        <w:rPr>
          <w:rFonts w:cs="Arial"/>
          <w:szCs w:val="21"/>
        </w:rPr>
      </w:pPr>
    </w:p>
    <w:p w14:paraId="23190E4B" w14:textId="77777777" w:rsidR="009021F1" w:rsidRPr="00E33B7D" w:rsidRDefault="009021F1" w:rsidP="009021F1">
      <w:pPr>
        <w:rPr>
          <w:rFonts w:cs="Arial"/>
          <w:szCs w:val="21"/>
        </w:rPr>
      </w:pPr>
      <w:r w:rsidRPr="00E33B7D">
        <w:rPr>
          <w:rFonts w:cs="Arial"/>
          <w:szCs w:val="21"/>
        </w:rPr>
        <w:t xml:space="preserve">Le Ministère de l’Environnement </w:t>
      </w:r>
      <w:r w:rsidRPr="00E33B7D">
        <w:rPr>
          <w:rFonts w:cs="Arial"/>
          <w:iCs/>
          <w:szCs w:val="21"/>
        </w:rPr>
        <w:t>et Développement Durable</w:t>
      </w:r>
      <w:r w:rsidRPr="00E33B7D">
        <w:rPr>
          <w:rFonts w:cs="Arial"/>
          <w:szCs w:val="21"/>
        </w:rPr>
        <w:t xml:space="preserve"> prépare et met en œuvre la politique du Gouvernement dans les domaines de l’environnement et de la protection de la nature. À ce titre, il est directement responsable de la lutte contre les pollutions de toute nature et de la lutte contre la désertification, de la protection et de la régénération des sols, des forêts et autres espaces boisés, de l’exploitation rationnelle des ressources forestières, ainsi que de la défense des espèces animales et végétales et des milieux naturels. Il a autorité sur les parcs et sur les réserves. </w:t>
      </w:r>
    </w:p>
    <w:p w14:paraId="13461DA7" w14:textId="77777777" w:rsidR="009021F1" w:rsidRPr="00E33B7D" w:rsidRDefault="009021F1" w:rsidP="009021F1">
      <w:pPr>
        <w:rPr>
          <w:rFonts w:cs="Arial"/>
          <w:szCs w:val="21"/>
        </w:rPr>
      </w:pPr>
    </w:p>
    <w:p w14:paraId="03EC514F" w14:textId="77777777" w:rsidR="009021F1" w:rsidRPr="00E33B7D" w:rsidRDefault="009021F1" w:rsidP="009021F1">
      <w:pPr>
        <w:rPr>
          <w:rFonts w:cs="Arial"/>
          <w:szCs w:val="21"/>
        </w:rPr>
      </w:pPr>
      <w:r w:rsidRPr="00E33B7D">
        <w:rPr>
          <w:rFonts w:cs="Arial"/>
          <w:szCs w:val="21"/>
        </w:rPr>
        <w:t>Le MEDD compte en son sein des Directions et des Cellules. Il s’agit de la Direction de la Gestion forestière, de la Direction de la Conservation de la nature, de la Direction de Contrôle et de Vérification Interne (DCVI) pour la gestion et le suivi des activités aux postes de contrôle faunique et floristique, de la Direction du Développement Durable et de la Direction de l’Assainissement. D’autres structures sont rattachées au MEDD au niveau provincial, on note les Coordinations Provinciales de l’Environnement et les Coordinations Urbaines de l’Environnement.</w:t>
      </w:r>
    </w:p>
    <w:p w14:paraId="1BF7FBAC" w14:textId="77777777" w:rsidR="009021F1" w:rsidRPr="00E33B7D" w:rsidRDefault="009021F1" w:rsidP="009021F1">
      <w:pPr>
        <w:rPr>
          <w:rFonts w:cs="Arial"/>
          <w:szCs w:val="21"/>
        </w:rPr>
      </w:pPr>
      <w:r w:rsidRPr="00E33B7D">
        <w:rPr>
          <w:rFonts w:cs="Arial"/>
          <w:szCs w:val="21"/>
        </w:rPr>
        <w:t xml:space="preserve">Dans la conduite et le suivi des procédures des ÉIES, le MEDD s’appuie sur l’ACE. </w:t>
      </w:r>
    </w:p>
    <w:p w14:paraId="137EC343" w14:textId="77777777" w:rsidR="009021F1" w:rsidRPr="00E33B7D" w:rsidRDefault="009021F1" w:rsidP="009021F1">
      <w:pPr>
        <w:rPr>
          <w:rFonts w:cs="Arial"/>
          <w:szCs w:val="21"/>
        </w:rPr>
      </w:pPr>
    </w:p>
    <w:p w14:paraId="0115A9A6" w14:textId="77777777" w:rsidR="009021F1" w:rsidRPr="00E33B7D" w:rsidRDefault="009021F1" w:rsidP="009021F1">
      <w:pPr>
        <w:pStyle w:val="Titre2"/>
        <w:rPr>
          <w:rFonts w:cs="Arial"/>
          <w:i/>
          <w:szCs w:val="21"/>
        </w:rPr>
      </w:pPr>
      <w:bookmarkStart w:id="334" w:name="_Toc90471440"/>
      <w:r w:rsidRPr="00E33B7D">
        <w:rPr>
          <w:rFonts w:cs="Arial"/>
          <w:i/>
          <w:szCs w:val="21"/>
        </w:rPr>
        <w:t>Agence Congolaise de l’Environnement</w:t>
      </w:r>
      <w:bookmarkEnd w:id="334"/>
      <w:r w:rsidRPr="00E33B7D">
        <w:rPr>
          <w:rFonts w:cs="Arial"/>
          <w:i/>
          <w:szCs w:val="21"/>
        </w:rPr>
        <w:t xml:space="preserve"> </w:t>
      </w:r>
    </w:p>
    <w:p w14:paraId="371A03A5" w14:textId="77777777" w:rsidR="009021F1" w:rsidRPr="00E33B7D" w:rsidRDefault="009021F1" w:rsidP="009021F1">
      <w:pPr>
        <w:rPr>
          <w:rFonts w:cs="Arial"/>
          <w:szCs w:val="21"/>
        </w:rPr>
      </w:pPr>
    </w:p>
    <w:p w14:paraId="7C0AAF93" w14:textId="77777777" w:rsidR="009021F1" w:rsidRPr="00E33B7D" w:rsidRDefault="009021F1" w:rsidP="009021F1">
      <w:pPr>
        <w:rPr>
          <w:rFonts w:cs="Arial"/>
          <w:szCs w:val="21"/>
        </w:rPr>
      </w:pPr>
      <w:r w:rsidRPr="00E33B7D">
        <w:rPr>
          <w:rFonts w:cs="Arial"/>
          <w:szCs w:val="21"/>
        </w:rPr>
        <w:t>Le Décret n° 14/030 du 18 novembre 2014 fixant les statuts d’un Établissement Public dénommé Agence Congolaise de l’Environnement.</w:t>
      </w:r>
    </w:p>
    <w:p w14:paraId="40FE8F84" w14:textId="77777777" w:rsidR="009021F1" w:rsidRPr="00E33B7D" w:rsidRDefault="009021F1" w:rsidP="009021F1">
      <w:pPr>
        <w:rPr>
          <w:rFonts w:cs="Arial"/>
          <w:szCs w:val="21"/>
        </w:rPr>
      </w:pPr>
    </w:p>
    <w:p w14:paraId="00D49133" w14:textId="77777777" w:rsidR="009021F1" w:rsidRPr="00E33B7D" w:rsidRDefault="009021F1" w:rsidP="009021F1">
      <w:pPr>
        <w:rPr>
          <w:rFonts w:cs="Arial"/>
          <w:szCs w:val="21"/>
        </w:rPr>
      </w:pPr>
      <w:r w:rsidRPr="00E33B7D">
        <w:rPr>
          <w:rFonts w:cs="Arial"/>
          <w:szCs w:val="21"/>
        </w:rPr>
        <w:t>L’Agence est régie par la Loi n° 08/009 du 07 juillet 2008 portant dispositions générales applicables aux Établissements Publics et par le Décret sus évoqué.</w:t>
      </w:r>
    </w:p>
    <w:p w14:paraId="75D3079F" w14:textId="77777777" w:rsidR="009021F1" w:rsidRPr="00E33B7D" w:rsidRDefault="009021F1" w:rsidP="009021F1">
      <w:pPr>
        <w:rPr>
          <w:rFonts w:cs="Arial"/>
          <w:szCs w:val="21"/>
        </w:rPr>
      </w:pPr>
    </w:p>
    <w:p w14:paraId="3BD86483" w14:textId="77777777" w:rsidR="009021F1" w:rsidRPr="00E33B7D" w:rsidRDefault="009021F1" w:rsidP="009021F1">
      <w:pPr>
        <w:rPr>
          <w:rFonts w:cs="Arial"/>
          <w:szCs w:val="21"/>
        </w:rPr>
      </w:pPr>
      <w:r w:rsidRPr="00E33B7D">
        <w:rPr>
          <w:rFonts w:cs="Arial"/>
          <w:szCs w:val="21"/>
        </w:rPr>
        <w:t>L’Agence a pour objet l’évaluation et l’approbation de l’ensemble des études environnementales et sociales ainsi que le suivi de leur mise en œuvre.</w:t>
      </w:r>
    </w:p>
    <w:p w14:paraId="7794BD71" w14:textId="77777777" w:rsidR="009021F1" w:rsidRPr="00E33B7D" w:rsidRDefault="009021F1" w:rsidP="009021F1">
      <w:pPr>
        <w:rPr>
          <w:rFonts w:cs="Arial"/>
          <w:szCs w:val="21"/>
        </w:rPr>
      </w:pPr>
    </w:p>
    <w:p w14:paraId="20349FAC" w14:textId="77777777" w:rsidR="009021F1" w:rsidRPr="00E33B7D" w:rsidRDefault="009021F1" w:rsidP="009021F1">
      <w:pPr>
        <w:rPr>
          <w:rFonts w:cs="Arial"/>
          <w:szCs w:val="21"/>
        </w:rPr>
      </w:pPr>
      <w:r w:rsidRPr="00E33B7D">
        <w:rPr>
          <w:rFonts w:cs="Arial"/>
          <w:szCs w:val="21"/>
        </w:rPr>
        <w:t xml:space="preserve">Sans préjudice des dispositions de l’article 71 de la Loi n°11/009 du 09 juillet 2011 portant principes fondamentaux relatifs à la protection de l’environnement, elle veille à la prise en compte de la protection de l’environnement dans l’exécution de tout projet de développement, d’infrastructures ou d’exploitation de toute activités industrielle, commerciale, agricole, forestière, minière, de télécommunication ou autre, susceptible d’avoir un impact sur l’environnement. Elle dispose des compétences humaines requises dans le domaine des Évaluations et Études d’Impacts sur l’Environnement, pour mener à bien sa mission. Toutefois, ses capacités matérielles et financières sont relativement réduites pour lui permettre d’assurer correctement l’accomplissement de sa mission. </w:t>
      </w:r>
    </w:p>
    <w:p w14:paraId="1DDE5AA2" w14:textId="77777777" w:rsidR="009021F1" w:rsidRPr="00E33B7D" w:rsidRDefault="009021F1" w:rsidP="009021F1">
      <w:pPr>
        <w:rPr>
          <w:rFonts w:cs="Arial"/>
          <w:szCs w:val="21"/>
        </w:rPr>
      </w:pPr>
    </w:p>
    <w:p w14:paraId="7647C7D3" w14:textId="77777777" w:rsidR="009021F1" w:rsidRPr="00E33B7D" w:rsidRDefault="009021F1" w:rsidP="009021F1">
      <w:pPr>
        <w:pStyle w:val="Titre2"/>
        <w:rPr>
          <w:rFonts w:cs="Arial"/>
          <w:i/>
          <w:szCs w:val="21"/>
        </w:rPr>
      </w:pPr>
      <w:bookmarkStart w:id="335" w:name="_Toc90471441"/>
      <w:r w:rsidRPr="00E33B7D">
        <w:rPr>
          <w:rFonts w:cs="Arial"/>
          <w:i/>
          <w:szCs w:val="21"/>
        </w:rPr>
        <w:t>Institut Congolais pour la Conservation de la Nature</w:t>
      </w:r>
      <w:bookmarkEnd w:id="335"/>
      <w:r w:rsidRPr="00E33B7D">
        <w:rPr>
          <w:rFonts w:cs="Arial"/>
          <w:i/>
          <w:szCs w:val="21"/>
        </w:rPr>
        <w:t xml:space="preserve"> </w:t>
      </w:r>
    </w:p>
    <w:p w14:paraId="3AC9D4BA" w14:textId="77777777" w:rsidR="009021F1" w:rsidRPr="00E33B7D" w:rsidRDefault="009021F1" w:rsidP="009021F1">
      <w:pPr>
        <w:autoSpaceDE w:val="0"/>
        <w:autoSpaceDN w:val="0"/>
        <w:adjustRightInd w:val="0"/>
        <w:rPr>
          <w:rFonts w:eastAsia="Calibri" w:cs="Arial"/>
          <w:color w:val="000000"/>
          <w:szCs w:val="21"/>
        </w:rPr>
      </w:pPr>
    </w:p>
    <w:p w14:paraId="6BF2ACC6" w14:textId="77777777" w:rsidR="009021F1" w:rsidRPr="00E33B7D" w:rsidRDefault="009021F1" w:rsidP="009021F1">
      <w:pPr>
        <w:pStyle w:val="oknormal"/>
        <w:rPr>
          <w:lang w:bidi="ar-SA"/>
        </w:rPr>
      </w:pPr>
      <w:r w:rsidRPr="00E33B7D">
        <w:rPr>
          <w:lang w:bidi="ar-SA"/>
        </w:rPr>
        <w:t>L’Institut Congolais pour la Conservation de la Nature (ICCN) a été transformé en un Établissement Public par le Décret n °10/15 du 10 avril 2010 qui fixe ses statuts et définit son objet social. Il est désormais également régi par la Loi n°08/09 du 7 juillet 2008 portant dispositions générales applicables aux établissements publics. Il dispose toujours d’une personnalité juridique propre et d’une autonomie de gestion financière et administrative.</w:t>
      </w:r>
    </w:p>
    <w:p w14:paraId="57DB1387" w14:textId="77777777" w:rsidR="009021F1" w:rsidRPr="00E33B7D" w:rsidRDefault="009021F1" w:rsidP="009021F1">
      <w:pPr>
        <w:pStyle w:val="oknormal"/>
        <w:rPr>
          <w:lang w:bidi="ar-SA"/>
        </w:rPr>
      </w:pPr>
    </w:p>
    <w:p w14:paraId="0A88F597" w14:textId="77777777" w:rsidR="009021F1" w:rsidRPr="00E33B7D" w:rsidRDefault="009021F1" w:rsidP="009021F1">
      <w:pPr>
        <w:pStyle w:val="oknormal"/>
        <w:rPr>
          <w:lang w:bidi="ar-SA"/>
        </w:rPr>
      </w:pPr>
      <w:r w:rsidRPr="00E33B7D">
        <w:rPr>
          <w:lang w:bidi="ar-SA"/>
        </w:rPr>
        <w:t xml:space="preserve">Son objet fixé par décret est la conservation de la nature dans les aires protégées in et ex situ. </w:t>
      </w:r>
    </w:p>
    <w:p w14:paraId="434269A3" w14:textId="77777777" w:rsidR="009021F1" w:rsidRPr="00E33B7D" w:rsidRDefault="009021F1" w:rsidP="009021F1">
      <w:pPr>
        <w:pStyle w:val="oknormal"/>
        <w:rPr>
          <w:lang w:bidi="ar-SA"/>
        </w:rPr>
      </w:pPr>
    </w:p>
    <w:p w14:paraId="65DB6C80" w14:textId="77777777" w:rsidR="009021F1" w:rsidRPr="00E33B7D" w:rsidRDefault="009021F1" w:rsidP="009021F1">
      <w:pPr>
        <w:pStyle w:val="oknormal"/>
        <w:rPr>
          <w:lang w:bidi="ar-SA"/>
        </w:rPr>
      </w:pPr>
      <w:r w:rsidRPr="00E33B7D">
        <w:rPr>
          <w:lang w:bidi="ar-SA"/>
        </w:rPr>
        <w:t>À ce titre il est chargé notamment :</w:t>
      </w:r>
    </w:p>
    <w:p w14:paraId="2DDE65FC" w14:textId="77777777" w:rsidR="009021F1" w:rsidRPr="00E33B7D" w:rsidRDefault="009021F1" w:rsidP="009021F1">
      <w:pPr>
        <w:pStyle w:val="oknormal"/>
        <w:rPr>
          <w:lang w:bidi="ar-SA"/>
        </w:rPr>
      </w:pPr>
    </w:p>
    <w:p w14:paraId="47FB3536" w14:textId="77777777" w:rsidR="009021F1" w:rsidRPr="00E33B7D" w:rsidRDefault="009021F1" w:rsidP="009021F1">
      <w:pPr>
        <w:pStyle w:val="okpuce1"/>
        <w:numPr>
          <w:ilvl w:val="0"/>
          <w:numId w:val="38"/>
        </w:numPr>
        <w:ind w:left="567" w:hanging="283"/>
      </w:pPr>
      <w:r w:rsidRPr="00E33B7D">
        <w:t>D’assurer la protection de la faune et de la flore ;</w:t>
      </w:r>
    </w:p>
    <w:p w14:paraId="0B352918" w14:textId="77777777" w:rsidR="009021F1" w:rsidRPr="00E33B7D" w:rsidRDefault="009021F1" w:rsidP="009021F1">
      <w:pPr>
        <w:pStyle w:val="okpuce1"/>
        <w:numPr>
          <w:ilvl w:val="0"/>
          <w:numId w:val="38"/>
        </w:numPr>
        <w:ind w:left="567" w:hanging="283"/>
      </w:pPr>
      <w:r w:rsidRPr="00E33B7D">
        <w:t>De valoriser la biodiversité en favorisant la recherche scientifique et en facilitant les activités d’écotourisme conformément à la législation en vigueur et dans le respect des principes fondamentaux de la conservation ;</w:t>
      </w:r>
    </w:p>
    <w:p w14:paraId="11763458" w14:textId="77777777" w:rsidR="009021F1" w:rsidRPr="00E33B7D" w:rsidRDefault="009021F1" w:rsidP="009021F1">
      <w:pPr>
        <w:pStyle w:val="okpuce1"/>
        <w:numPr>
          <w:ilvl w:val="0"/>
          <w:numId w:val="38"/>
        </w:numPr>
        <w:ind w:left="567" w:hanging="283"/>
      </w:pPr>
      <w:r w:rsidRPr="00E33B7D">
        <w:t>De réaliser ou faire réaliser les études et d’en assurer la vulgarisation à des fins scientifiques et didactiques dans le domaine de la conservation.</w:t>
      </w:r>
    </w:p>
    <w:p w14:paraId="7EC2D767" w14:textId="77777777" w:rsidR="009021F1" w:rsidRPr="00E33B7D" w:rsidRDefault="009021F1" w:rsidP="009021F1">
      <w:pPr>
        <w:pStyle w:val="oknormal"/>
      </w:pPr>
    </w:p>
    <w:p w14:paraId="13CE768B" w14:textId="77777777" w:rsidR="009021F1" w:rsidRPr="00E33B7D" w:rsidRDefault="009021F1" w:rsidP="009021F1">
      <w:pPr>
        <w:pStyle w:val="oknormal"/>
      </w:pPr>
      <w:r w:rsidRPr="00E33B7D">
        <w:t xml:space="preserve">La vision nouvelle dont est doté l’ICCN est libellée comme suit : Assurer la conservation et la gestion efficace et durable de la biodiversité dans le réseau national d’aires protégées de la RDC, en coopération avec les communautés locales et les autres partenaires pour le bien-être des populations congolaises et de toute l’humanité ». </w:t>
      </w:r>
    </w:p>
    <w:p w14:paraId="72A66A2A" w14:textId="77777777" w:rsidR="009021F1" w:rsidRPr="00E33B7D" w:rsidRDefault="009021F1" w:rsidP="009021F1">
      <w:pPr>
        <w:pStyle w:val="oknormal"/>
      </w:pPr>
    </w:p>
    <w:p w14:paraId="7543CBE2" w14:textId="77777777" w:rsidR="009021F1" w:rsidRPr="00E33B7D" w:rsidRDefault="009021F1" w:rsidP="009021F1">
      <w:pPr>
        <w:autoSpaceDE w:val="0"/>
        <w:autoSpaceDN w:val="0"/>
        <w:adjustRightInd w:val="0"/>
        <w:rPr>
          <w:rFonts w:eastAsia="Calibri" w:cs="Arial"/>
          <w:color w:val="000000"/>
          <w:szCs w:val="21"/>
        </w:rPr>
      </w:pPr>
      <w:r w:rsidRPr="00E33B7D">
        <w:rPr>
          <w:rFonts w:eastAsia="Calibri" w:cs="Arial"/>
          <w:color w:val="000000"/>
          <w:szCs w:val="21"/>
        </w:rPr>
        <w:t>Dans le cadre du PNDA, l’ICCN sera associé pour s’assurer qu’aucune activité du Projet ne puisse impacter le Domaine Chasse d’Idiofa et la Réserve à hippopotames de Mangai (DCRHM) ont été créés par les Arrêtés n°205/Agri du 14 juin 1940 et 414/Agri du 3 juillet 1944, le Parc National de Virunga (PNVi) dans le Nord-Kivu et le Domaine de chasse de Bushimaie dans le Kasaï Central vers Luiza et</w:t>
      </w:r>
      <w:r w:rsidRPr="00E33B7D">
        <w:rPr>
          <w:rFonts w:cs="Arial"/>
          <w:szCs w:val="21"/>
        </w:rPr>
        <w:t xml:space="preserve"> </w:t>
      </w:r>
      <w:r w:rsidRPr="00E33B7D">
        <w:rPr>
          <w:rFonts w:eastAsia="Calibri" w:cs="Arial"/>
          <w:color w:val="000000"/>
          <w:szCs w:val="21"/>
        </w:rPr>
        <w:t xml:space="preserve">le Parc Salonga dans le Kasaï. </w:t>
      </w:r>
    </w:p>
    <w:p w14:paraId="44F19C68" w14:textId="77777777" w:rsidR="009021F1" w:rsidRPr="00E33B7D" w:rsidRDefault="009021F1" w:rsidP="009021F1">
      <w:pPr>
        <w:autoSpaceDE w:val="0"/>
        <w:autoSpaceDN w:val="0"/>
        <w:adjustRightInd w:val="0"/>
        <w:rPr>
          <w:rFonts w:eastAsia="Calibri" w:cs="Arial"/>
          <w:color w:val="000000"/>
          <w:szCs w:val="21"/>
        </w:rPr>
      </w:pPr>
    </w:p>
    <w:p w14:paraId="040A0CA3" w14:textId="77777777" w:rsidR="009021F1" w:rsidRPr="00E33B7D" w:rsidRDefault="009021F1" w:rsidP="009021F1">
      <w:pPr>
        <w:pStyle w:val="Titre2"/>
        <w:numPr>
          <w:ilvl w:val="2"/>
          <w:numId w:val="4"/>
        </w:numPr>
        <w:ind w:left="1560" w:hanging="709"/>
        <w:rPr>
          <w:rFonts w:cs="Arial"/>
          <w:i/>
          <w:szCs w:val="21"/>
        </w:rPr>
      </w:pPr>
      <w:bookmarkStart w:id="336" w:name="_Toc90471442"/>
      <w:r w:rsidRPr="00E33B7D">
        <w:rPr>
          <w:rFonts w:cs="Arial"/>
          <w:i/>
          <w:szCs w:val="21"/>
        </w:rPr>
        <w:t>Agence Congolaise de Transition Écologique et Développement Durable (ACTEDD)</w:t>
      </w:r>
      <w:bookmarkEnd w:id="336"/>
    </w:p>
    <w:p w14:paraId="10938E4D" w14:textId="77777777" w:rsidR="009021F1" w:rsidRPr="00E33B7D" w:rsidRDefault="009021F1" w:rsidP="009021F1">
      <w:pPr>
        <w:rPr>
          <w:rFonts w:cs="Arial"/>
          <w:szCs w:val="21"/>
        </w:rPr>
      </w:pPr>
    </w:p>
    <w:p w14:paraId="07C6E596" w14:textId="77777777" w:rsidR="009021F1" w:rsidRPr="00E33B7D" w:rsidRDefault="009021F1" w:rsidP="009021F1">
      <w:pPr>
        <w:autoSpaceDE w:val="0"/>
        <w:autoSpaceDN w:val="0"/>
        <w:adjustRightInd w:val="0"/>
        <w:rPr>
          <w:rFonts w:eastAsia="Calibri" w:cs="Arial"/>
          <w:color w:val="000000"/>
          <w:szCs w:val="21"/>
        </w:rPr>
      </w:pPr>
      <w:r w:rsidRPr="00E33B7D">
        <w:rPr>
          <w:rFonts w:eastAsia="Calibri" w:cs="Arial"/>
          <w:color w:val="000000"/>
          <w:szCs w:val="21"/>
        </w:rPr>
        <w:t>L’Ordonnance n° 01/013 du 28 février 2020 portant création de l’Agence Congolaise de Transition Écologique et Développement Durable. Elle a pour mission de concevoir, de coordonner et d’implémenter les politiques nationales relatives à la transition écologique en RDC.</w:t>
      </w:r>
    </w:p>
    <w:p w14:paraId="74625526" w14:textId="77777777" w:rsidR="009021F1" w:rsidRPr="00E33B7D" w:rsidRDefault="009021F1" w:rsidP="009021F1">
      <w:pPr>
        <w:autoSpaceDE w:val="0"/>
        <w:autoSpaceDN w:val="0"/>
        <w:adjustRightInd w:val="0"/>
        <w:rPr>
          <w:rFonts w:eastAsia="Calibri" w:cs="Arial"/>
          <w:color w:val="000000"/>
          <w:szCs w:val="21"/>
        </w:rPr>
      </w:pPr>
    </w:p>
    <w:p w14:paraId="7B6992B4" w14:textId="77777777" w:rsidR="009021F1" w:rsidRPr="00E33B7D" w:rsidRDefault="009021F1" w:rsidP="009021F1">
      <w:pPr>
        <w:autoSpaceDE w:val="0"/>
        <w:autoSpaceDN w:val="0"/>
        <w:adjustRightInd w:val="0"/>
        <w:rPr>
          <w:rFonts w:eastAsia="Calibri" w:cs="Arial"/>
          <w:color w:val="000000"/>
          <w:szCs w:val="21"/>
        </w:rPr>
      </w:pPr>
      <w:r w:rsidRPr="00E33B7D">
        <w:rPr>
          <w:rFonts w:eastAsia="Calibri" w:cs="Arial"/>
          <w:color w:val="000000"/>
          <w:szCs w:val="21"/>
        </w:rPr>
        <w:t>Cette Agence est chargée d’étudier, d’analyser et évaluer toutes les questions qui lui sont soumises par le Président de la République en rapport avec la transition écologique et le développement durable. Elle devra aussi établir les indicateurs nationaux de performance de développement durable pour mesurer l’avancement de la transition écologique.</w:t>
      </w:r>
    </w:p>
    <w:p w14:paraId="1C2E05FE" w14:textId="77777777" w:rsidR="009021F1" w:rsidRPr="00E33B7D" w:rsidRDefault="009021F1" w:rsidP="009021F1">
      <w:pPr>
        <w:autoSpaceDE w:val="0"/>
        <w:autoSpaceDN w:val="0"/>
        <w:adjustRightInd w:val="0"/>
        <w:rPr>
          <w:rFonts w:eastAsia="Calibri" w:cs="Arial"/>
          <w:color w:val="000000"/>
          <w:szCs w:val="21"/>
        </w:rPr>
      </w:pPr>
    </w:p>
    <w:p w14:paraId="2CA8ABD4" w14:textId="77777777" w:rsidR="009021F1" w:rsidRPr="00E33B7D" w:rsidRDefault="009021F1" w:rsidP="009021F1">
      <w:pPr>
        <w:pStyle w:val="Titre2"/>
        <w:numPr>
          <w:ilvl w:val="2"/>
          <w:numId w:val="4"/>
        </w:numPr>
        <w:ind w:left="1560" w:hanging="709"/>
        <w:rPr>
          <w:rFonts w:cs="Arial"/>
          <w:i/>
          <w:szCs w:val="21"/>
        </w:rPr>
      </w:pPr>
      <w:bookmarkStart w:id="337" w:name="_Toc90471443"/>
      <w:r w:rsidRPr="00E33B7D">
        <w:rPr>
          <w:rFonts w:cs="Arial"/>
          <w:i/>
          <w:szCs w:val="21"/>
        </w:rPr>
        <w:t>Ministère des Affaires Foncières</w:t>
      </w:r>
      <w:bookmarkEnd w:id="337"/>
    </w:p>
    <w:p w14:paraId="5DD4B397" w14:textId="77777777" w:rsidR="009021F1" w:rsidRPr="00E33B7D" w:rsidRDefault="009021F1" w:rsidP="009021F1">
      <w:pPr>
        <w:pStyle w:val="Corpsdetexte"/>
        <w:spacing w:before="6" w:line="276" w:lineRule="auto"/>
        <w:rPr>
          <w:rFonts w:cs="Arial"/>
          <w:i/>
          <w:sz w:val="21"/>
          <w:szCs w:val="21"/>
        </w:rPr>
      </w:pPr>
    </w:p>
    <w:p w14:paraId="43FA7DF3" w14:textId="77777777" w:rsidR="009021F1" w:rsidRPr="00E33B7D" w:rsidRDefault="009021F1" w:rsidP="009021F1">
      <w:pPr>
        <w:pStyle w:val="Corpsdetexte"/>
        <w:spacing w:line="276" w:lineRule="auto"/>
        <w:ind w:right="-46"/>
        <w:rPr>
          <w:rFonts w:cs="Arial"/>
          <w:sz w:val="21"/>
          <w:szCs w:val="21"/>
        </w:rPr>
      </w:pPr>
      <w:r w:rsidRPr="00E33B7D">
        <w:rPr>
          <w:rFonts w:cs="Arial"/>
          <w:sz w:val="21"/>
          <w:szCs w:val="21"/>
        </w:rPr>
        <w:t>Le Ministère des Affaires Foncières a pour attribution :</w:t>
      </w:r>
    </w:p>
    <w:p w14:paraId="7BBEA1CD" w14:textId="77777777" w:rsidR="009021F1" w:rsidRPr="00E33B7D" w:rsidRDefault="009021F1" w:rsidP="009021F1">
      <w:pPr>
        <w:pStyle w:val="Corpsdetexte"/>
        <w:spacing w:line="276" w:lineRule="auto"/>
        <w:ind w:right="1012"/>
        <w:rPr>
          <w:rFonts w:cs="Arial"/>
          <w:sz w:val="21"/>
          <w:szCs w:val="21"/>
        </w:rPr>
      </w:pPr>
    </w:p>
    <w:p w14:paraId="5B521D19" w14:textId="77777777" w:rsidR="009021F1" w:rsidRPr="00E33B7D" w:rsidRDefault="009021F1" w:rsidP="009021F1">
      <w:pPr>
        <w:pStyle w:val="okpuce1"/>
        <w:numPr>
          <w:ilvl w:val="0"/>
          <w:numId w:val="38"/>
        </w:numPr>
        <w:ind w:left="567" w:hanging="283"/>
      </w:pPr>
      <w:r w:rsidRPr="00E33B7D">
        <w:t>Application et vulgarisation de la législation foncière et immobilière ;</w:t>
      </w:r>
    </w:p>
    <w:p w14:paraId="78332A03" w14:textId="77777777" w:rsidR="009021F1" w:rsidRPr="00E33B7D" w:rsidRDefault="009021F1" w:rsidP="009021F1">
      <w:pPr>
        <w:pStyle w:val="okpuce1"/>
        <w:numPr>
          <w:ilvl w:val="0"/>
          <w:numId w:val="38"/>
        </w:numPr>
        <w:ind w:left="567" w:hanging="283"/>
      </w:pPr>
      <w:r w:rsidRPr="00E33B7D">
        <w:t>Notariat en matière foncière et cadastrale ;</w:t>
      </w:r>
    </w:p>
    <w:p w14:paraId="5DDF9E70" w14:textId="77777777" w:rsidR="009021F1" w:rsidRPr="00E33B7D" w:rsidRDefault="009021F1" w:rsidP="009021F1">
      <w:pPr>
        <w:pStyle w:val="okpuce1"/>
        <w:numPr>
          <w:ilvl w:val="0"/>
          <w:numId w:val="38"/>
        </w:numPr>
        <w:ind w:left="567" w:hanging="283"/>
      </w:pPr>
      <w:r w:rsidRPr="00E33B7D">
        <w:t>Gestion et octroi des titres immobiliers ;</w:t>
      </w:r>
    </w:p>
    <w:p w14:paraId="66CE1783" w14:textId="77777777" w:rsidR="009021F1" w:rsidRPr="00E33B7D" w:rsidRDefault="009021F1" w:rsidP="009021F1">
      <w:pPr>
        <w:pStyle w:val="okpuce1"/>
        <w:numPr>
          <w:ilvl w:val="0"/>
          <w:numId w:val="38"/>
        </w:numPr>
        <w:ind w:left="567" w:hanging="283"/>
      </w:pPr>
      <w:r w:rsidRPr="00E33B7D">
        <w:t>Lotissement en collaboration avec le Ministère de l’Urbanisme et Habitat ;</w:t>
      </w:r>
    </w:p>
    <w:p w14:paraId="0B68DADA" w14:textId="77777777" w:rsidR="009021F1" w:rsidRPr="00E33B7D" w:rsidRDefault="009021F1" w:rsidP="009021F1">
      <w:pPr>
        <w:pStyle w:val="okpuce1"/>
        <w:numPr>
          <w:ilvl w:val="0"/>
          <w:numId w:val="38"/>
        </w:numPr>
        <w:ind w:left="567" w:hanging="283"/>
      </w:pPr>
      <w:r w:rsidRPr="00E33B7D">
        <w:t>Octroi des parcelles en vue de la mise en valeur.</w:t>
      </w:r>
    </w:p>
    <w:p w14:paraId="50A0A400" w14:textId="77777777" w:rsidR="009021F1" w:rsidRPr="00E33B7D" w:rsidRDefault="009021F1" w:rsidP="009021F1">
      <w:pPr>
        <w:rPr>
          <w:rFonts w:cs="Arial"/>
          <w:szCs w:val="21"/>
        </w:rPr>
      </w:pPr>
    </w:p>
    <w:p w14:paraId="3DC086CA" w14:textId="77777777" w:rsidR="009021F1" w:rsidRPr="00E33B7D" w:rsidRDefault="009021F1" w:rsidP="009021F1">
      <w:pPr>
        <w:rPr>
          <w:rFonts w:cs="Arial"/>
          <w:i/>
          <w:szCs w:val="21"/>
        </w:rPr>
      </w:pPr>
      <w:r w:rsidRPr="00E33B7D">
        <w:rPr>
          <w:rFonts w:cs="Arial"/>
          <w:szCs w:val="21"/>
        </w:rPr>
        <w:t>Aux</w:t>
      </w:r>
      <w:r w:rsidRPr="00E33B7D">
        <w:rPr>
          <w:rFonts w:cs="Arial"/>
          <w:spacing w:val="-17"/>
          <w:szCs w:val="21"/>
        </w:rPr>
        <w:t xml:space="preserve"> </w:t>
      </w:r>
      <w:r w:rsidRPr="00E33B7D">
        <w:rPr>
          <w:rFonts w:cs="Arial"/>
          <w:szCs w:val="21"/>
        </w:rPr>
        <w:t>termes</w:t>
      </w:r>
      <w:r w:rsidRPr="00E33B7D">
        <w:rPr>
          <w:rFonts w:cs="Arial"/>
          <w:spacing w:val="-18"/>
          <w:szCs w:val="21"/>
        </w:rPr>
        <w:t xml:space="preserve"> </w:t>
      </w:r>
      <w:r w:rsidRPr="00E33B7D">
        <w:rPr>
          <w:rFonts w:cs="Arial"/>
          <w:szCs w:val="21"/>
        </w:rPr>
        <w:t>de</w:t>
      </w:r>
      <w:r w:rsidRPr="00E33B7D">
        <w:rPr>
          <w:rFonts w:cs="Arial"/>
          <w:spacing w:val="-18"/>
          <w:szCs w:val="21"/>
        </w:rPr>
        <w:t xml:space="preserve"> </w:t>
      </w:r>
      <w:r w:rsidRPr="00E33B7D">
        <w:rPr>
          <w:rFonts w:cs="Arial"/>
          <w:szCs w:val="21"/>
        </w:rPr>
        <w:t>l’article</w:t>
      </w:r>
      <w:r w:rsidRPr="00E33B7D">
        <w:rPr>
          <w:rFonts w:cs="Arial"/>
          <w:spacing w:val="-17"/>
          <w:szCs w:val="21"/>
        </w:rPr>
        <w:t xml:space="preserve"> </w:t>
      </w:r>
      <w:r w:rsidRPr="00E33B7D">
        <w:rPr>
          <w:rFonts w:cs="Arial"/>
          <w:szCs w:val="21"/>
        </w:rPr>
        <w:t>181</w:t>
      </w:r>
      <w:r w:rsidRPr="00E33B7D">
        <w:rPr>
          <w:rFonts w:cs="Arial"/>
          <w:spacing w:val="-17"/>
          <w:szCs w:val="21"/>
        </w:rPr>
        <w:t xml:space="preserve"> </w:t>
      </w:r>
      <w:r w:rsidRPr="00E33B7D">
        <w:rPr>
          <w:rFonts w:cs="Arial"/>
          <w:szCs w:val="21"/>
        </w:rPr>
        <w:t>de</w:t>
      </w:r>
      <w:r w:rsidRPr="00E33B7D">
        <w:rPr>
          <w:rFonts w:cs="Arial"/>
          <w:spacing w:val="-19"/>
          <w:szCs w:val="21"/>
        </w:rPr>
        <w:t xml:space="preserve"> </w:t>
      </w:r>
      <w:r w:rsidRPr="00E33B7D">
        <w:rPr>
          <w:rFonts w:cs="Arial"/>
          <w:szCs w:val="21"/>
        </w:rPr>
        <w:t>la</w:t>
      </w:r>
      <w:r w:rsidRPr="00E33B7D">
        <w:rPr>
          <w:rFonts w:cs="Arial"/>
          <w:spacing w:val="-17"/>
          <w:szCs w:val="21"/>
        </w:rPr>
        <w:t xml:space="preserve"> </w:t>
      </w:r>
      <w:r w:rsidRPr="00E33B7D">
        <w:rPr>
          <w:rFonts w:cs="Arial"/>
          <w:szCs w:val="21"/>
        </w:rPr>
        <w:t>Loi</w:t>
      </w:r>
      <w:r w:rsidRPr="00E33B7D">
        <w:rPr>
          <w:rFonts w:cs="Arial"/>
          <w:spacing w:val="-19"/>
          <w:szCs w:val="21"/>
        </w:rPr>
        <w:t xml:space="preserve"> </w:t>
      </w:r>
      <w:r w:rsidRPr="00E33B7D">
        <w:rPr>
          <w:rFonts w:cs="Arial"/>
          <w:szCs w:val="21"/>
        </w:rPr>
        <w:t>foncière,</w:t>
      </w:r>
      <w:r w:rsidRPr="00E33B7D">
        <w:rPr>
          <w:rFonts w:cs="Arial"/>
          <w:spacing w:val="-18"/>
          <w:szCs w:val="21"/>
        </w:rPr>
        <w:t xml:space="preserve"> </w:t>
      </w:r>
      <w:r w:rsidRPr="00E33B7D">
        <w:rPr>
          <w:rFonts w:cs="Arial"/>
          <w:szCs w:val="21"/>
        </w:rPr>
        <w:t>ce</w:t>
      </w:r>
      <w:r w:rsidRPr="00E33B7D">
        <w:rPr>
          <w:rFonts w:cs="Arial"/>
          <w:spacing w:val="-18"/>
          <w:szCs w:val="21"/>
        </w:rPr>
        <w:t xml:space="preserve"> </w:t>
      </w:r>
      <w:r w:rsidRPr="00E33B7D">
        <w:rPr>
          <w:rFonts w:cs="Arial"/>
          <w:szCs w:val="21"/>
        </w:rPr>
        <w:t>ministère</w:t>
      </w:r>
      <w:r w:rsidRPr="00E33B7D">
        <w:rPr>
          <w:rFonts w:cs="Arial"/>
          <w:spacing w:val="-17"/>
          <w:szCs w:val="21"/>
        </w:rPr>
        <w:t xml:space="preserve"> </w:t>
      </w:r>
      <w:r w:rsidRPr="00E33B7D">
        <w:rPr>
          <w:rFonts w:cs="Arial"/>
          <w:szCs w:val="21"/>
        </w:rPr>
        <w:t>a</w:t>
      </w:r>
      <w:r w:rsidRPr="00E33B7D">
        <w:rPr>
          <w:rFonts w:cs="Arial"/>
          <w:spacing w:val="-17"/>
          <w:szCs w:val="21"/>
        </w:rPr>
        <w:t xml:space="preserve"> </w:t>
      </w:r>
      <w:r w:rsidRPr="00E33B7D">
        <w:rPr>
          <w:rFonts w:cs="Arial"/>
          <w:szCs w:val="21"/>
        </w:rPr>
        <w:t>dans</w:t>
      </w:r>
      <w:r w:rsidRPr="00E33B7D">
        <w:rPr>
          <w:rFonts w:cs="Arial"/>
          <w:spacing w:val="-18"/>
          <w:szCs w:val="21"/>
        </w:rPr>
        <w:t xml:space="preserve"> </w:t>
      </w:r>
      <w:r w:rsidRPr="00E33B7D">
        <w:rPr>
          <w:rFonts w:cs="Arial"/>
          <w:szCs w:val="21"/>
        </w:rPr>
        <w:t>ses</w:t>
      </w:r>
      <w:r w:rsidRPr="00E33B7D">
        <w:rPr>
          <w:rFonts w:cs="Arial"/>
          <w:spacing w:val="-18"/>
          <w:szCs w:val="21"/>
        </w:rPr>
        <w:t xml:space="preserve"> </w:t>
      </w:r>
      <w:r w:rsidRPr="00E33B7D">
        <w:rPr>
          <w:rFonts w:cs="Arial"/>
          <w:szCs w:val="21"/>
        </w:rPr>
        <w:t>attributions</w:t>
      </w:r>
      <w:r w:rsidRPr="00E33B7D">
        <w:rPr>
          <w:rFonts w:cs="Arial"/>
          <w:spacing w:val="-18"/>
          <w:szCs w:val="21"/>
        </w:rPr>
        <w:t xml:space="preserve"> </w:t>
      </w:r>
      <w:r w:rsidRPr="00E33B7D">
        <w:rPr>
          <w:rFonts w:cs="Arial"/>
          <w:szCs w:val="21"/>
        </w:rPr>
        <w:t>l’application</w:t>
      </w:r>
      <w:r w:rsidRPr="00E33B7D">
        <w:rPr>
          <w:rFonts w:cs="Arial"/>
          <w:spacing w:val="-18"/>
          <w:szCs w:val="21"/>
        </w:rPr>
        <w:t xml:space="preserve"> </w:t>
      </w:r>
      <w:r w:rsidRPr="00E33B7D">
        <w:rPr>
          <w:rFonts w:cs="Arial"/>
          <w:szCs w:val="21"/>
        </w:rPr>
        <w:t>de</w:t>
      </w:r>
      <w:r w:rsidRPr="00E33B7D">
        <w:rPr>
          <w:rFonts w:cs="Arial"/>
          <w:spacing w:val="-18"/>
          <w:szCs w:val="21"/>
        </w:rPr>
        <w:t xml:space="preserve"> </w:t>
      </w:r>
      <w:r w:rsidRPr="00E33B7D">
        <w:rPr>
          <w:rFonts w:cs="Arial"/>
          <w:szCs w:val="21"/>
        </w:rPr>
        <w:t>la politique</w:t>
      </w:r>
      <w:r w:rsidRPr="00E33B7D">
        <w:rPr>
          <w:rFonts w:cs="Arial"/>
          <w:spacing w:val="-24"/>
          <w:szCs w:val="21"/>
        </w:rPr>
        <w:t xml:space="preserve"> </w:t>
      </w:r>
      <w:r w:rsidRPr="00E33B7D">
        <w:rPr>
          <w:rFonts w:cs="Arial"/>
          <w:szCs w:val="21"/>
        </w:rPr>
        <w:t>de</w:t>
      </w:r>
      <w:r w:rsidRPr="00E33B7D">
        <w:rPr>
          <w:rFonts w:cs="Arial"/>
          <w:spacing w:val="-25"/>
          <w:szCs w:val="21"/>
        </w:rPr>
        <w:t xml:space="preserve"> </w:t>
      </w:r>
      <w:r w:rsidRPr="00E33B7D">
        <w:rPr>
          <w:rFonts w:cs="Arial"/>
          <w:szCs w:val="21"/>
        </w:rPr>
        <w:t>l’Etat</w:t>
      </w:r>
      <w:r w:rsidRPr="00E33B7D">
        <w:rPr>
          <w:rFonts w:cs="Arial"/>
          <w:spacing w:val="-26"/>
          <w:szCs w:val="21"/>
        </w:rPr>
        <w:t xml:space="preserve"> </w:t>
      </w:r>
      <w:r w:rsidRPr="00E33B7D">
        <w:rPr>
          <w:rFonts w:cs="Arial"/>
          <w:szCs w:val="21"/>
        </w:rPr>
        <w:t>en</w:t>
      </w:r>
      <w:r w:rsidRPr="00E33B7D">
        <w:rPr>
          <w:rFonts w:cs="Arial"/>
          <w:spacing w:val="-23"/>
          <w:szCs w:val="21"/>
        </w:rPr>
        <w:t xml:space="preserve"> </w:t>
      </w:r>
      <w:r w:rsidRPr="00E33B7D">
        <w:rPr>
          <w:rFonts w:cs="Arial"/>
          <w:szCs w:val="21"/>
        </w:rPr>
        <w:t>matière</w:t>
      </w:r>
      <w:r w:rsidRPr="00E33B7D">
        <w:rPr>
          <w:rFonts w:cs="Arial"/>
          <w:spacing w:val="-24"/>
          <w:szCs w:val="21"/>
        </w:rPr>
        <w:t xml:space="preserve"> </w:t>
      </w:r>
      <w:r w:rsidRPr="00E33B7D">
        <w:rPr>
          <w:rFonts w:cs="Arial"/>
          <w:szCs w:val="21"/>
        </w:rPr>
        <w:t>d’affectation</w:t>
      </w:r>
      <w:r w:rsidRPr="00E33B7D">
        <w:rPr>
          <w:rFonts w:cs="Arial"/>
          <w:spacing w:val="-24"/>
          <w:szCs w:val="21"/>
        </w:rPr>
        <w:t xml:space="preserve"> </w:t>
      </w:r>
      <w:r w:rsidRPr="00E33B7D">
        <w:rPr>
          <w:rFonts w:cs="Arial"/>
          <w:szCs w:val="21"/>
        </w:rPr>
        <w:t>et</w:t>
      </w:r>
      <w:r w:rsidRPr="00E33B7D">
        <w:rPr>
          <w:rFonts w:cs="Arial"/>
          <w:spacing w:val="-25"/>
          <w:szCs w:val="21"/>
        </w:rPr>
        <w:t xml:space="preserve"> </w:t>
      </w:r>
      <w:r w:rsidRPr="00E33B7D">
        <w:rPr>
          <w:rFonts w:cs="Arial"/>
          <w:szCs w:val="21"/>
        </w:rPr>
        <w:t>de</w:t>
      </w:r>
      <w:r w:rsidRPr="00E33B7D">
        <w:rPr>
          <w:rFonts w:cs="Arial"/>
          <w:spacing w:val="-24"/>
          <w:szCs w:val="21"/>
        </w:rPr>
        <w:t xml:space="preserve"> </w:t>
      </w:r>
      <w:r w:rsidRPr="00E33B7D">
        <w:rPr>
          <w:rFonts w:cs="Arial"/>
          <w:szCs w:val="21"/>
        </w:rPr>
        <w:t>distribution</w:t>
      </w:r>
      <w:r w:rsidRPr="00E33B7D">
        <w:rPr>
          <w:rFonts w:cs="Arial"/>
          <w:spacing w:val="-24"/>
          <w:szCs w:val="21"/>
        </w:rPr>
        <w:t xml:space="preserve"> </w:t>
      </w:r>
      <w:r w:rsidRPr="00E33B7D">
        <w:rPr>
          <w:rFonts w:cs="Arial"/>
          <w:szCs w:val="21"/>
        </w:rPr>
        <w:t>des</w:t>
      </w:r>
      <w:r w:rsidRPr="00E33B7D">
        <w:rPr>
          <w:rFonts w:cs="Arial"/>
          <w:spacing w:val="-25"/>
          <w:szCs w:val="21"/>
        </w:rPr>
        <w:t xml:space="preserve"> </w:t>
      </w:r>
      <w:r w:rsidRPr="00E33B7D">
        <w:rPr>
          <w:rFonts w:cs="Arial"/>
          <w:szCs w:val="21"/>
        </w:rPr>
        <w:t>terres.</w:t>
      </w:r>
      <w:r w:rsidRPr="00E33B7D">
        <w:rPr>
          <w:rFonts w:cs="Arial"/>
          <w:spacing w:val="-24"/>
          <w:szCs w:val="21"/>
        </w:rPr>
        <w:t xml:space="preserve"> </w:t>
      </w:r>
      <w:r w:rsidRPr="00E33B7D">
        <w:rPr>
          <w:rFonts w:cs="Arial"/>
          <w:szCs w:val="21"/>
        </w:rPr>
        <w:t>Malheureusement,</w:t>
      </w:r>
      <w:r w:rsidRPr="00E33B7D">
        <w:rPr>
          <w:rFonts w:cs="Arial"/>
          <w:spacing w:val="-24"/>
          <w:szCs w:val="21"/>
        </w:rPr>
        <w:t xml:space="preserve"> </w:t>
      </w:r>
      <w:r w:rsidRPr="00E33B7D">
        <w:rPr>
          <w:rFonts w:cs="Arial"/>
          <w:szCs w:val="21"/>
        </w:rPr>
        <w:t>il</w:t>
      </w:r>
      <w:r w:rsidRPr="00E33B7D">
        <w:rPr>
          <w:rFonts w:cs="Arial"/>
          <w:spacing w:val="-25"/>
          <w:szCs w:val="21"/>
        </w:rPr>
        <w:t xml:space="preserve"> </w:t>
      </w:r>
      <w:r w:rsidRPr="00E33B7D">
        <w:rPr>
          <w:rFonts w:cs="Arial"/>
          <w:szCs w:val="21"/>
        </w:rPr>
        <w:t>n’existe pas</w:t>
      </w:r>
      <w:r w:rsidRPr="00E33B7D">
        <w:rPr>
          <w:rFonts w:cs="Arial"/>
          <w:spacing w:val="-18"/>
          <w:szCs w:val="21"/>
        </w:rPr>
        <w:t xml:space="preserve"> </w:t>
      </w:r>
      <w:r w:rsidRPr="00E33B7D">
        <w:rPr>
          <w:rFonts w:cs="Arial"/>
          <w:szCs w:val="21"/>
        </w:rPr>
        <w:t>de</w:t>
      </w:r>
      <w:r w:rsidRPr="00E33B7D">
        <w:rPr>
          <w:rFonts w:cs="Arial"/>
          <w:spacing w:val="-17"/>
          <w:szCs w:val="21"/>
        </w:rPr>
        <w:t xml:space="preserve"> </w:t>
      </w:r>
      <w:r w:rsidRPr="00E33B7D">
        <w:rPr>
          <w:rFonts w:cs="Arial"/>
          <w:szCs w:val="21"/>
        </w:rPr>
        <w:t>plans</w:t>
      </w:r>
      <w:r w:rsidRPr="00E33B7D">
        <w:rPr>
          <w:rFonts w:cs="Arial"/>
          <w:spacing w:val="-18"/>
          <w:szCs w:val="21"/>
        </w:rPr>
        <w:t xml:space="preserve"> </w:t>
      </w:r>
      <w:r w:rsidRPr="00E33B7D">
        <w:rPr>
          <w:rFonts w:cs="Arial"/>
          <w:szCs w:val="21"/>
        </w:rPr>
        <w:t>d’utilisation</w:t>
      </w:r>
      <w:r w:rsidRPr="00E33B7D">
        <w:rPr>
          <w:rFonts w:cs="Arial"/>
          <w:spacing w:val="-16"/>
          <w:szCs w:val="21"/>
        </w:rPr>
        <w:t xml:space="preserve"> </w:t>
      </w:r>
      <w:r w:rsidRPr="00E33B7D">
        <w:rPr>
          <w:rFonts w:cs="Arial"/>
          <w:szCs w:val="21"/>
        </w:rPr>
        <w:t>des</w:t>
      </w:r>
      <w:r w:rsidRPr="00E33B7D">
        <w:rPr>
          <w:rFonts w:cs="Arial"/>
          <w:spacing w:val="-18"/>
          <w:szCs w:val="21"/>
        </w:rPr>
        <w:t xml:space="preserve"> </w:t>
      </w:r>
      <w:r w:rsidRPr="00E33B7D">
        <w:rPr>
          <w:rFonts w:cs="Arial"/>
          <w:szCs w:val="21"/>
        </w:rPr>
        <w:t>terres</w:t>
      </w:r>
      <w:r w:rsidRPr="00E33B7D">
        <w:rPr>
          <w:rFonts w:cs="Arial"/>
          <w:spacing w:val="-17"/>
          <w:szCs w:val="21"/>
        </w:rPr>
        <w:t xml:space="preserve"> </w:t>
      </w:r>
      <w:r w:rsidRPr="00E33B7D">
        <w:rPr>
          <w:rFonts w:cs="Arial"/>
          <w:szCs w:val="21"/>
        </w:rPr>
        <w:t>et</w:t>
      </w:r>
      <w:r w:rsidRPr="00E33B7D">
        <w:rPr>
          <w:rFonts w:cs="Arial"/>
          <w:spacing w:val="-17"/>
          <w:szCs w:val="21"/>
        </w:rPr>
        <w:t xml:space="preserve"> </w:t>
      </w:r>
      <w:r w:rsidRPr="00E33B7D">
        <w:rPr>
          <w:rFonts w:cs="Arial"/>
          <w:szCs w:val="21"/>
        </w:rPr>
        <w:t>des</w:t>
      </w:r>
      <w:r w:rsidRPr="00E33B7D">
        <w:rPr>
          <w:rFonts w:cs="Arial"/>
          <w:spacing w:val="-18"/>
          <w:szCs w:val="21"/>
        </w:rPr>
        <w:t xml:space="preserve"> </w:t>
      </w:r>
      <w:r w:rsidRPr="00E33B7D">
        <w:rPr>
          <w:rFonts w:cs="Arial"/>
          <w:szCs w:val="21"/>
        </w:rPr>
        <w:t>mesures</w:t>
      </w:r>
      <w:r w:rsidRPr="00E33B7D">
        <w:rPr>
          <w:rFonts w:cs="Arial"/>
          <w:spacing w:val="-16"/>
          <w:szCs w:val="21"/>
        </w:rPr>
        <w:t xml:space="preserve"> </w:t>
      </w:r>
      <w:r w:rsidRPr="00E33B7D">
        <w:rPr>
          <w:rFonts w:cs="Arial"/>
          <w:szCs w:val="21"/>
        </w:rPr>
        <w:t>de</w:t>
      </w:r>
      <w:r w:rsidRPr="00E33B7D">
        <w:rPr>
          <w:rFonts w:cs="Arial"/>
          <w:spacing w:val="-16"/>
          <w:szCs w:val="21"/>
        </w:rPr>
        <w:t xml:space="preserve"> </w:t>
      </w:r>
      <w:r w:rsidRPr="00E33B7D">
        <w:rPr>
          <w:rFonts w:cs="Arial"/>
          <w:szCs w:val="21"/>
        </w:rPr>
        <w:t>conservation</w:t>
      </w:r>
      <w:r w:rsidRPr="00E33B7D">
        <w:rPr>
          <w:rFonts w:cs="Arial"/>
          <w:spacing w:val="-17"/>
          <w:szCs w:val="21"/>
        </w:rPr>
        <w:t xml:space="preserve"> </w:t>
      </w:r>
      <w:r w:rsidRPr="00E33B7D">
        <w:rPr>
          <w:rFonts w:cs="Arial"/>
          <w:szCs w:val="21"/>
        </w:rPr>
        <w:t>et</w:t>
      </w:r>
      <w:r w:rsidRPr="00E33B7D">
        <w:rPr>
          <w:rFonts w:cs="Arial"/>
          <w:spacing w:val="-17"/>
          <w:szCs w:val="21"/>
        </w:rPr>
        <w:t xml:space="preserve"> </w:t>
      </w:r>
      <w:r w:rsidRPr="00E33B7D">
        <w:rPr>
          <w:rFonts w:cs="Arial"/>
          <w:szCs w:val="21"/>
        </w:rPr>
        <w:t>d’amélioration</w:t>
      </w:r>
      <w:r w:rsidRPr="00E33B7D">
        <w:rPr>
          <w:rFonts w:cs="Arial"/>
          <w:spacing w:val="-17"/>
          <w:szCs w:val="21"/>
        </w:rPr>
        <w:t xml:space="preserve"> </w:t>
      </w:r>
      <w:r w:rsidRPr="00E33B7D">
        <w:rPr>
          <w:rFonts w:cs="Arial"/>
          <w:szCs w:val="21"/>
        </w:rPr>
        <w:t>des</w:t>
      </w:r>
      <w:r w:rsidRPr="00E33B7D">
        <w:rPr>
          <w:rFonts w:cs="Arial"/>
          <w:spacing w:val="-18"/>
          <w:szCs w:val="21"/>
        </w:rPr>
        <w:t xml:space="preserve"> </w:t>
      </w:r>
      <w:r w:rsidRPr="00E33B7D">
        <w:rPr>
          <w:rFonts w:cs="Arial"/>
          <w:szCs w:val="21"/>
        </w:rPr>
        <w:t>sols</w:t>
      </w:r>
      <w:r w:rsidRPr="00E33B7D">
        <w:rPr>
          <w:rFonts w:cs="Arial"/>
          <w:spacing w:val="-18"/>
          <w:szCs w:val="21"/>
        </w:rPr>
        <w:t xml:space="preserve"> </w:t>
      </w:r>
      <w:r w:rsidRPr="00E33B7D">
        <w:rPr>
          <w:rFonts w:cs="Arial"/>
          <w:szCs w:val="21"/>
        </w:rPr>
        <w:t>en</w:t>
      </w:r>
      <w:r w:rsidRPr="00E33B7D">
        <w:rPr>
          <w:rFonts w:cs="Arial"/>
          <w:spacing w:val="-16"/>
          <w:szCs w:val="21"/>
        </w:rPr>
        <w:t xml:space="preserve"> </w:t>
      </w:r>
      <w:r w:rsidRPr="00E33B7D">
        <w:rPr>
          <w:rFonts w:cs="Arial"/>
          <w:szCs w:val="21"/>
        </w:rPr>
        <w:t>vue de combattre la mauvaise utilisation des sols, le déboisement et l’érosion des zones fragiles, notamment</w:t>
      </w:r>
      <w:r w:rsidRPr="00E33B7D">
        <w:rPr>
          <w:rFonts w:cs="Arial"/>
          <w:spacing w:val="-8"/>
          <w:szCs w:val="21"/>
        </w:rPr>
        <w:t xml:space="preserve"> </w:t>
      </w:r>
      <w:r w:rsidRPr="00E33B7D">
        <w:rPr>
          <w:rFonts w:cs="Arial"/>
          <w:szCs w:val="21"/>
        </w:rPr>
        <w:t>les</w:t>
      </w:r>
      <w:r w:rsidRPr="00E33B7D">
        <w:rPr>
          <w:rFonts w:cs="Arial"/>
          <w:spacing w:val="-8"/>
          <w:szCs w:val="21"/>
        </w:rPr>
        <w:t xml:space="preserve"> </w:t>
      </w:r>
      <w:r w:rsidRPr="00E33B7D">
        <w:rPr>
          <w:rFonts w:cs="Arial"/>
          <w:szCs w:val="21"/>
        </w:rPr>
        <w:t>montagnes,</w:t>
      </w:r>
      <w:r w:rsidRPr="00E33B7D">
        <w:rPr>
          <w:rFonts w:cs="Arial"/>
          <w:spacing w:val="-7"/>
          <w:szCs w:val="21"/>
        </w:rPr>
        <w:t xml:space="preserve"> </w:t>
      </w:r>
      <w:r w:rsidRPr="00E33B7D">
        <w:rPr>
          <w:rFonts w:cs="Arial"/>
          <w:szCs w:val="21"/>
        </w:rPr>
        <w:t>les</w:t>
      </w:r>
      <w:r w:rsidRPr="00E33B7D">
        <w:rPr>
          <w:rFonts w:cs="Arial"/>
          <w:spacing w:val="-8"/>
          <w:szCs w:val="21"/>
        </w:rPr>
        <w:t xml:space="preserve"> </w:t>
      </w:r>
      <w:r w:rsidRPr="00E33B7D">
        <w:rPr>
          <w:rFonts w:cs="Arial"/>
          <w:szCs w:val="21"/>
        </w:rPr>
        <w:t>périmètres</w:t>
      </w:r>
      <w:r w:rsidRPr="00E33B7D">
        <w:rPr>
          <w:rFonts w:cs="Arial"/>
          <w:spacing w:val="-6"/>
          <w:szCs w:val="21"/>
        </w:rPr>
        <w:t xml:space="preserve"> </w:t>
      </w:r>
      <w:r w:rsidRPr="00E33B7D">
        <w:rPr>
          <w:rFonts w:cs="Arial"/>
          <w:szCs w:val="21"/>
        </w:rPr>
        <w:t>définis</w:t>
      </w:r>
      <w:r w:rsidRPr="00E33B7D">
        <w:rPr>
          <w:rFonts w:cs="Arial"/>
          <w:spacing w:val="-9"/>
          <w:szCs w:val="21"/>
        </w:rPr>
        <w:t xml:space="preserve"> </w:t>
      </w:r>
      <w:r w:rsidRPr="00E33B7D">
        <w:rPr>
          <w:rFonts w:cs="Arial"/>
          <w:szCs w:val="21"/>
        </w:rPr>
        <w:t>des</w:t>
      </w:r>
      <w:r w:rsidRPr="00E33B7D">
        <w:rPr>
          <w:rFonts w:cs="Arial"/>
          <w:spacing w:val="-5"/>
          <w:szCs w:val="21"/>
        </w:rPr>
        <w:t xml:space="preserve"> </w:t>
      </w:r>
      <w:r w:rsidRPr="00E33B7D">
        <w:rPr>
          <w:rFonts w:cs="Arial"/>
          <w:szCs w:val="21"/>
        </w:rPr>
        <w:t>cours</w:t>
      </w:r>
      <w:r w:rsidRPr="00E33B7D">
        <w:rPr>
          <w:rFonts w:cs="Arial"/>
          <w:spacing w:val="-9"/>
          <w:szCs w:val="21"/>
        </w:rPr>
        <w:t xml:space="preserve"> </w:t>
      </w:r>
      <w:r w:rsidRPr="00E33B7D">
        <w:rPr>
          <w:rFonts w:cs="Arial"/>
          <w:szCs w:val="21"/>
        </w:rPr>
        <w:t>d’eau</w:t>
      </w:r>
      <w:r w:rsidRPr="00E33B7D">
        <w:rPr>
          <w:rFonts w:cs="Arial"/>
          <w:spacing w:val="-6"/>
          <w:szCs w:val="21"/>
        </w:rPr>
        <w:t xml:space="preserve"> </w:t>
      </w:r>
      <w:r w:rsidRPr="00E33B7D">
        <w:rPr>
          <w:rFonts w:cs="Arial"/>
          <w:szCs w:val="21"/>
        </w:rPr>
        <w:t>et</w:t>
      </w:r>
      <w:r w:rsidRPr="00E33B7D">
        <w:rPr>
          <w:rFonts w:cs="Arial"/>
          <w:spacing w:val="-7"/>
          <w:szCs w:val="21"/>
        </w:rPr>
        <w:t xml:space="preserve"> </w:t>
      </w:r>
      <w:r w:rsidRPr="00E33B7D">
        <w:rPr>
          <w:rFonts w:cs="Arial"/>
          <w:szCs w:val="21"/>
        </w:rPr>
        <w:t>le</w:t>
      </w:r>
      <w:r w:rsidRPr="00E33B7D">
        <w:rPr>
          <w:rFonts w:cs="Arial"/>
          <w:spacing w:val="-6"/>
          <w:szCs w:val="21"/>
        </w:rPr>
        <w:t xml:space="preserve"> </w:t>
      </w:r>
      <w:r w:rsidRPr="00E33B7D">
        <w:rPr>
          <w:rFonts w:cs="Arial"/>
          <w:szCs w:val="21"/>
        </w:rPr>
        <w:t>littoral.</w:t>
      </w:r>
    </w:p>
    <w:p w14:paraId="1DFFD7B7" w14:textId="77777777" w:rsidR="009021F1" w:rsidRPr="00E33B7D" w:rsidRDefault="009021F1" w:rsidP="009021F1">
      <w:pPr>
        <w:autoSpaceDE w:val="0"/>
        <w:autoSpaceDN w:val="0"/>
        <w:adjustRightInd w:val="0"/>
        <w:rPr>
          <w:rFonts w:eastAsia="Calibri" w:cs="Arial"/>
          <w:color w:val="000000"/>
          <w:szCs w:val="21"/>
        </w:rPr>
      </w:pPr>
    </w:p>
    <w:p w14:paraId="7B034345" w14:textId="77777777" w:rsidR="009021F1" w:rsidRPr="00E33B7D" w:rsidRDefault="009021F1" w:rsidP="009021F1">
      <w:pPr>
        <w:pStyle w:val="Titre2"/>
        <w:numPr>
          <w:ilvl w:val="2"/>
          <w:numId w:val="4"/>
        </w:numPr>
        <w:ind w:left="1560" w:hanging="709"/>
        <w:rPr>
          <w:rFonts w:cs="Arial"/>
          <w:i/>
          <w:szCs w:val="21"/>
        </w:rPr>
      </w:pPr>
      <w:bookmarkStart w:id="338" w:name="_Toc90471444"/>
      <w:r w:rsidRPr="00E33B7D">
        <w:rPr>
          <w:rFonts w:cs="Arial"/>
          <w:i/>
          <w:szCs w:val="21"/>
        </w:rPr>
        <w:t>Ministère de la Santé</w:t>
      </w:r>
      <w:bookmarkEnd w:id="338"/>
      <w:r w:rsidRPr="00E33B7D">
        <w:rPr>
          <w:rFonts w:cs="Arial"/>
          <w:i/>
          <w:szCs w:val="21"/>
        </w:rPr>
        <w:t xml:space="preserve"> </w:t>
      </w:r>
    </w:p>
    <w:p w14:paraId="4738AC52" w14:textId="77777777" w:rsidR="009021F1" w:rsidRPr="00E33B7D" w:rsidRDefault="009021F1" w:rsidP="009021F1">
      <w:pPr>
        <w:tabs>
          <w:tab w:val="left" w:pos="426"/>
          <w:tab w:val="left" w:pos="567"/>
        </w:tabs>
        <w:contextualSpacing/>
        <w:rPr>
          <w:rFonts w:cs="Arial"/>
          <w:b/>
          <w:i/>
          <w:szCs w:val="21"/>
          <w:u w:val="single"/>
        </w:rPr>
      </w:pPr>
    </w:p>
    <w:p w14:paraId="6437A22C" w14:textId="77777777" w:rsidR="009021F1" w:rsidRPr="00E33B7D" w:rsidRDefault="009021F1" w:rsidP="009021F1">
      <w:pPr>
        <w:autoSpaceDE w:val="0"/>
        <w:autoSpaceDN w:val="0"/>
        <w:adjustRightInd w:val="0"/>
        <w:rPr>
          <w:rFonts w:eastAsia="Calibri" w:cs="Arial"/>
          <w:color w:val="000000"/>
          <w:szCs w:val="21"/>
        </w:rPr>
      </w:pPr>
      <w:r w:rsidRPr="00E33B7D">
        <w:rPr>
          <w:rFonts w:eastAsia="Calibri" w:cs="Arial"/>
          <w:color w:val="000000"/>
          <w:szCs w:val="21"/>
        </w:rPr>
        <w:t>L’action de ce Ministère dans le PNDA consiste à la mise en place d’un programme de sensibilisation de lutte contre le Paludisme, le VIH/SIDA, les IST et les différents modes de prévention, ainsi que la prise en charge médicale des cas de VBG.</w:t>
      </w:r>
    </w:p>
    <w:p w14:paraId="455570C3" w14:textId="77777777" w:rsidR="009021F1" w:rsidRPr="00E33B7D" w:rsidRDefault="009021F1" w:rsidP="009021F1">
      <w:pPr>
        <w:autoSpaceDE w:val="0"/>
        <w:autoSpaceDN w:val="0"/>
        <w:adjustRightInd w:val="0"/>
        <w:rPr>
          <w:rFonts w:eastAsia="Calibri" w:cs="Arial"/>
          <w:color w:val="000000"/>
          <w:szCs w:val="21"/>
        </w:rPr>
      </w:pPr>
    </w:p>
    <w:p w14:paraId="79D3CF90" w14:textId="77777777" w:rsidR="009021F1" w:rsidRPr="00E33B7D" w:rsidRDefault="009021F1" w:rsidP="009021F1">
      <w:pPr>
        <w:autoSpaceDE w:val="0"/>
        <w:autoSpaceDN w:val="0"/>
        <w:adjustRightInd w:val="0"/>
        <w:rPr>
          <w:rFonts w:eastAsia="Calibri" w:cs="Arial"/>
          <w:color w:val="000000"/>
          <w:szCs w:val="21"/>
        </w:rPr>
      </w:pPr>
      <w:r w:rsidRPr="00E33B7D">
        <w:rPr>
          <w:rFonts w:eastAsia="Calibri" w:cs="Arial"/>
          <w:color w:val="000000"/>
          <w:szCs w:val="21"/>
        </w:rPr>
        <w:t>En outre, le Ministère de la santé publique a mis en place un comité multisectoriel de riposte (CMR) contre le COVID-19 en RDC et vient de mettre en place le Fonds national de solidarité contre le Covid-19 (FNSCC) qui a pour mission de rechercher et collecter des moyens financiers destinés à servir sous forme d’aide, assistance ou soutien aux personnes physiques ou morales, personnels médicaux soignants, services médicaux ou hospitaliers.</w:t>
      </w:r>
    </w:p>
    <w:p w14:paraId="4DCEC8A3" w14:textId="77777777" w:rsidR="009021F1" w:rsidRDefault="009021F1" w:rsidP="009021F1">
      <w:pPr>
        <w:tabs>
          <w:tab w:val="left" w:pos="426"/>
          <w:tab w:val="left" w:pos="567"/>
        </w:tabs>
        <w:contextualSpacing/>
        <w:rPr>
          <w:rFonts w:cs="Arial"/>
          <w:b/>
          <w:i/>
          <w:szCs w:val="21"/>
          <w:u w:val="single"/>
        </w:rPr>
      </w:pPr>
    </w:p>
    <w:p w14:paraId="10F402D7" w14:textId="77777777" w:rsidR="009021F1" w:rsidRPr="00E33B7D" w:rsidRDefault="009021F1" w:rsidP="009021F1">
      <w:pPr>
        <w:tabs>
          <w:tab w:val="left" w:pos="426"/>
          <w:tab w:val="left" w:pos="567"/>
        </w:tabs>
        <w:contextualSpacing/>
        <w:rPr>
          <w:rFonts w:cs="Arial"/>
          <w:b/>
          <w:i/>
          <w:szCs w:val="21"/>
          <w:u w:val="single"/>
        </w:rPr>
      </w:pPr>
    </w:p>
    <w:p w14:paraId="7C1D9B9D" w14:textId="77777777" w:rsidR="009021F1" w:rsidRPr="00E33B7D" w:rsidRDefault="009021F1" w:rsidP="009021F1">
      <w:pPr>
        <w:pStyle w:val="Titre2"/>
        <w:rPr>
          <w:rFonts w:cs="Arial"/>
          <w:i/>
          <w:szCs w:val="21"/>
        </w:rPr>
      </w:pPr>
      <w:bookmarkStart w:id="339" w:name="_Toc90471445"/>
      <w:r w:rsidRPr="00E33B7D">
        <w:rPr>
          <w:rFonts w:cs="Arial"/>
          <w:i/>
          <w:szCs w:val="21"/>
        </w:rPr>
        <w:t>Fonds National de Solidarité Contre la COVID-19</w:t>
      </w:r>
      <w:bookmarkEnd w:id="339"/>
    </w:p>
    <w:p w14:paraId="16E7C801" w14:textId="77777777" w:rsidR="009021F1" w:rsidRPr="00E33B7D" w:rsidRDefault="009021F1" w:rsidP="009021F1">
      <w:pPr>
        <w:rPr>
          <w:rFonts w:cs="Arial"/>
          <w:bCs/>
          <w:szCs w:val="21"/>
        </w:rPr>
      </w:pPr>
    </w:p>
    <w:p w14:paraId="54F08C7A" w14:textId="77777777" w:rsidR="009021F1" w:rsidRPr="00E33B7D" w:rsidRDefault="009021F1" w:rsidP="009021F1">
      <w:pPr>
        <w:rPr>
          <w:rFonts w:cs="Arial"/>
          <w:bCs/>
          <w:szCs w:val="21"/>
        </w:rPr>
      </w:pPr>
      <w:r w:rsidRPr="00E33B7D">
        <w:rPr>
          <w:rFonts w:cs="Arial"/>
          <w:bCs/>
          <w:szCs w:val="21"/>
        </w:rPr>
        <w:t>Le Fonds National de Solidarité Contre la COVID-19 (FNSCC) a été créé par l’Ordonnance</w:t>
      </w:r>
      <w:r>
        <w:rPr>
          <w:rFonts w:cs="Arial"/>
          <w:bCs/>
          <w:szCs w:val="21"/>
        </w:rPr>
        <w:t xml:space="preserve">             </w:t>
      </w:r>
      <w:r w:rsidRPr="00E33B7D">
        <w:rPr>
          <w:rFonts w:cs="Arial"/>
          <w:bCs/>
          <w:szCs w:val="21"/>
        </w:rPr>
        <w:t xml:space="preserve">  n° 20/018 du 6 avril 2020. Il a pour principale mission de de rechercher et collecter des moyens financiers destinés à servir sous forme d’aide, assistance ou soutien aux personnes physiques ou morales, personnels médicaux soignants, services médicaux ou hospitaliers. </w:t>
      </w:r>
    </w:p>
    <w:p w14:paraId="2B4A146A" w14:textId="77777777" w:rsidR="009021F1" w:rsidRPr="00E33B7D" w:rsidRDefault="009021F1" w:rsidP="009021F1">
      <w:pPr>
        <w:rPr>
          <w:rFonts w:cs="Arial"/>
          <w:bCs/>
          <w:szCs w:val="21"/>
        </w:rPr>
      </w:pPr>
    </w:p>
    <w:p w14:paraId="53FDF628" w14:textId="77777777" w:rsidR="009021F1" w:rsidRPr="00E33B7D" w:rsidRDefault="009021F1" w:rsidP="009021F1">
      <w:pPr>
        <w:rPr>
          <w:rFonts w:cs="Arial"/>
          <w:bCs/>
          <w:szCs w:val="21"/>
        </w:rPr>
      </w:pPr>
      <w:r w:rsidRPr="00E33B7D">
        <w:rPr>
          <w:rFonts w:cs="Arial"/>
          <w:bCs/>
          <w:szCs w:val="21"/>
        </w:rPr>
        <w:t>Il vise également d’appuyer les entreprises et autres structures exerçant une activité économique qui seraient particulièrement touchés par les conséquences économiques, financières et sociales de la propagation de la COVID-19 et des mesures prises pour en limiter la propagation. </w:t>
      </w:r>
    </w:p>
    <w:p w14:paraId="50D93997" w14:textId="77777777" w:rsidR="009021F1" w:rsidRPr="00E33B7D" w:rsidRDefault="009021F1" w:rsidP="009021F1">
      <w:pPr>
        <w:rPr>
          <w:rFonts w:cs="Arial"/>
          <w:bCs/>
          <w:szCs w:val="21"/>
        </w:rPr>
      </w:pPr>
    </w:p>
    <w:p w14:paraId="388346A0" w14:textId="77777777" w:rsidR="009021F1" w:rsidRPr="00E33B7D" w:rsidRDefault="009021F1" w:rsidP="009021F1">
      <w:pPr>
        <w:rPr>
          <w:rFonts w:cs="Arial"/>
          <w:bCs/>
          <w:szCs w:val="21"/>
        </w:rPr>
      </w:pPr>
      <w:r w:rsidRPr="00E33B7D">
        <w:rPr>
          <w:rFonts w:cs="Arial"/>
          <w:bCs/>
          <w:szCs w:val="21"/>
        </w:rPr>
        <w:t>Par ailleurs, le Fonds est chargé de centraliser toutes les donations financières nécessaires à la riposte contre la pandémie de COVID-19, précise l’ordonnance présidentielle. </w:t>
      </w:r>
    </w:p>
    <w:p w14:paraId="1F3929C4" w14:textId="77777777" w:rsidR="009021F1" w:rsidRPr="00E33B7D" w:rsidRDefault="009021F1" w:rsidP="009021F1">
      <w:pPr>
        <w:rPr>
          <w:rFonts w:cs="Arial"/>
          <w:bCs/>
          <w:szCs w:val="21"/>
        </w:rPr>
      </w:pPr>
    </w:p>
    <w:p w14:paraId="6F03FC2C" w14:textId="77777777" w:rsidR="009021F1" w:rsidRPr="00E33B7D" w:rsidRDefault="009021F1" w:rsidP="009021F1">
      <w:pPr>
        <w:rPr>
          <w:rFonts w:eastAsia="Calibri" w:cs="Arial"/>
          <w:color w:val="000000"/>
          <w:szCs w:val="21"/>
        </w:rPr>
      </w:pPr>
      <w:r w:rsidRPr="00E33B7D">
        <w:rPr>
          <w:rFonts w:cs="Arial"/>
          <w:bCs/>
          <w:szCs w:val="21"/>
        </w:rPr>
        <w:t>Cette structure temporaire est créée pour la durée de l’Etat d’urgence sanitaire proclamée par l’Ordonnance Présidentielle n° 20/014 du 24 mars 2020. Sa durée d’intervention sera prolongée automatiquement en cas de prolongation de l’Etat d’urgence sanitaire et à durée équivalente. Il est chargé également de soutenir financièrement les agents de santé et des communautés locales pour qu’ils aient accès partout aux dernières informations scientifiques pour pouvoir se protéger, prévenir l’infection, endiguer sa propagation et dispenses des soins à ceux qui en ont besoin de manière à réduire l’impact de la COVID-19 sur les femmes, les enfants et les vulnérables. </w:t>
      </w:r>
    </w:p>
    <w:p w14:paraId="06EE1821" w14:textId="77777777" w:rsidR="009021F1" w:rsidRPr="00E33B7D" w:rsidRDefault="009021F1" w:rsidP="009021F1">
      <w:pPr>
        <w:autoSpaceDE w:val="0"/>
        <w:autoSpaceDN w:val="0"/>
        <w:adjustRightInd w:val="0"/>
        <w:rPr>
          <w:rFonts w:eastAsia="Calibri" w:cs="Arial"/>
          <w:color w:val="000000"/>
          <w:szCs w:val="21"/>
        </w:rPr>
      </w:pPr>
    </w:p>
    <w:p w14:paraId="77204C14" w14:textId="77777777" w:rsidR="009021F1" w:rsidRPr="00E33B7D" w:rsidRDefault="009021F1" w:rsidP="009021F1">
      <w:pPr>
        <w:pStyle w:val="Titre2"/>
        <w:numPr>
          <w:ilvl w:val="2"/>
          <w:numId w:val="4"/>
        </w:numPr>
        <w:ind w:left="1560" w:hanging="709"/>
        <w:rPr>
          <w:rFonts w:cs="Arial"/>
          <w:i/>
          <w:szCs w:val="21"/>
        </w:rPr>
      </w:pPr>
      <w:bookmarkStart w:id="340" w:name="_Toc90471446"/>
      <w:r w:rsidRPr="00E33B7D">
        <w:rPr>
          <w:rFonts w:cs="Arial"/>
          <w:i/>
          <w:szCs w:val="21"/>
        </w:rPr>
        <w:t>Ministère des Affaires Sociales</w:t>
      </w:r>
      <w:bookmarkEnd w:id="340"/>
    </w:p>
    <w:p w14:paraId="2D138DE8" w14:textId="77777777" w:rsidR="009021F1" w:rsidRPr="00E33B7D" w:rsidRDefault="009021F1" w:rsidP="009021F1">
      <w:pPr>
        <w:ind w:left="-142"/>
        <w:rPr>
          <w:rFonts w:cs="Arial"/>
          <w:szCs w:val="21"/>
          <w:lang w:val="en-US"/>
        </w:rPr>
      </w:pPr>
    </w:p>
    <w:p w14:paraId="6237D3D2" w14:textId="77777777" w:rsidR="009021F1" w:rsidRPr="00E33B7D" w:rsidRDefault="009021F1" w:rsidP="009021F1">
      <w:pPr>
        <w:outlineLvl w:val="0"/>
        <w:rPr>
          <w:rFonts w:cs="Arial"/>
          <w:b/>
          <w:bCs/>
          <w:kern w:val="36"/>
          <w:szCs w:val="21"/>
        </w:rPr>
      </w:pPr>
      <w:bookmarkStart w:id="341" w:name="_Toc90471447"/>
      <w:r w:rsidRPr="00E33B7D">
        <w:rPr>
          <w:rFonts w:cs="Arial"/>
          <w:szCs w:val="21"/>
        </w:rPr>
        <w:t>Le Ministère des Affaires Sociales a pour attribution :</w:t>
      </w:r>
      <w:bookmarkEnd w:id="341"/>
      <w:r w:rsidRPr="00E33B7D">
        <w:rPr>
          <w:rFonts w:cs="Arial"/>
          <w:szCs w:val="21"/>
        </w:rPr>
        <w:t> </w:t>
      </w:r>
      <w:r w:rsidRPr="00E33B7D">
        <w:rPr>
          <w:rFonts w:cs="Arial"/>
          <w:b/>
          <w:bCs/>
          <w:kern w:val="36"/>
          <w:szCs w:val="21"/>
        </w:rPr>
        <w:t xml:space="preserve"> </w:t>
      </w:r>
    </w:p>
    <w:p w14:paraId="12C617A1" w14:textId="77777777" w:rsidR="009021F1" w:rsidRPr="00E33B7D" w:rsidRDefault="009021F1" w:rsidP="009021F1">
      <w:pPr>
        <w:rPr>
          <w:rFonts w:cs="Arial"/>
          <w:szCs w:val="21"/>
        </w:rPr>
      </w:pPr>
    </w:p>
    <w:p w14:paraId="54852406" w14:textId="77777777" w:rsidR="009021F1" w:rsidRPr="00E33B7D" w:rsidRDefault="009021F1" w:rsidP="009021F1">
      <w:pPr>
        <w:pStyle w:val="Paragraphedeliste"/>
        <w:numPr>
          <w:ilvl w:val="0"/>
          <w:numId w:val="45"/>
        </w:numPr>
        <w:rPr>
          <w:rFonts w:cs="Arial"/>
          <w:szCs w:val="21"/>
        </w:rPr>
      </w:pPr>
      <w:r w:rsidRPr="00E33B7D">
        <w:rPr>
          <w:rFonts w:cs="Arial"/>
          <w:szCs w:val="21"/>
        </w:rPr>
        <w:t>Organisation, administration et gestion des centres d’actions sociales tels que les centres de promotion sociale, les orphelinats, les homes et les auspices de vieillards, les centres d’apprentissage professionnel pour les personnes vivant avec handicap ;</w:t>
      </w:r>
    </w:p>
    <w:p w14:paraId="12C3DE49" w14:textId="77777777" w:rsidR="009021F1" w:rsidRPr="00E33B7D" w:rsidRDefault="009021F1" w:rsidP="009021F1">
      <w:pPr>
        <w:pStyle w:val="Paragraphedeliste"/>
        <w:numPr>
          <w:ilvl w:val="0"/>
          <w:numId w:val="45"/>
        </w:numPr>
        <w:rPr>
          <w:rFonts w:cs="Arial"/>
          <w:szCs w:val="21"/>
        </w:rPr>
      </w:pPr>
      <w:r w:rsidRPr="00E33B7D">
        <w:rPr>
          <w:rFonts w:cs="Arial"/>
          <w:szCs w:val="21"/>
        </w:rPr>
        <w:t>Assistance sociale aux populations nécessiteuses ;</w:t>
      </w:r>
    </w:p>
    <w:p w14:paraId="7F3363C4" w14:textId="77777777" w:rsidR="009021F1" w:rsidRPr="00E33B7D" w:rsidRDefault="009021F1" w:rsidP="009021F1">
      <w:pPr>
        <w:pStyle w:val="Paragraphedeliste"/>
        <w:numPr>
          <w:ilvl w:val="0"/>
          <w:numId w:val="45"/>
        </w:numPr>
        <w:rPr>
          <w:rFonts w:cs="Arial"/>
          <w:szCs w:val="21"/>
        </w:rPr>
      </w:pPr>
      <w:r w:rsidRPr="00E33B7D">
        <w:rPr>
          <w:rFonts w:cs="Arial"/>
          <w:szCs w:val="21"/>
        </w:rPr>
        <w:t>Tutelle et reclassement des enfants en situation particulièrement difficile ;</w:t>
      </w:r>
    </w:p>
    <w:p w14:paraId="718760D1" w14:textId="77777777" w:rsidR="009021F1" w:rsidRPr="00E33B7D" w:rsidRDefault="009021F1" w:rsidP="009021F1">
      <w:pPr>
        <w:pStyle w:val="Paragraphedeliste"/>
        <w:numPr>
          <w:ilvl w:val="0"/>
          <w:numId w:val="45"/>
        </w:numPr>
        <w:rPr>
          <w:rFonts w:cs="Arial"/>
          <w:szCs w:val="21"/>
        </w:rPr>
      </w:pPr>
      <w:r w:rsidRPr="00E33B7D">
        <w:rPr>
          <w:rFonts w:cs="Arial"/>
          <w:szCs w:val="21"/>
        </w:rPr>
        <w:t>Collaboration à l’élaboration des projets pilotes de lutte contre la pauvreté ;</w:t>
      </w:r>
    </w:p>
    <w:p w14:paraId="719A33A0" w14:textId="77777777" w:rsidR="009021F1" w:rsidRPr="00E33B7D" w:rsidRDefault="009021F1" w:rsidP="009021F1">
      <w:pPr>
        <w:pStyle w:val="Paragraphedeliste"/>
        <w:numPr>
          <w:ilvl w:val="0"/>
          <w:numId w:val="45"/>
        </w:numPr>
        <w:rPr>
          <w:rFonts w:cs="Arial"/>
          <w:szCs w:val="21"/>
        </w:rPr>
      </w:pPr>
      <w:r w:rsidRPr="00E33B7D">
        <w:rPr>
          <w:rFonts w:cs="Arial"/>
          <w:szCs w:val="21"/>
        </w:rPr>
        <w:t>Protection et insertion sociale des groupes vulnérables ;</w:t>
      </w:r>
    </w:p>
    <w:p w14:paraId="43BB6B26" w14:textId="77777777" w:rsidR="009021F1" w:rsidRPr="00E33B7D" w:rsidRDefault="009021F1" w:rsidP="009021F1">
      <w:pPr>
        <w:pStyle w:val="Paragraphedeliste"/>
        <w:numPr>
          <w:ilvl w:val="0"/>
          <w:numId w:val="45"/>
        </w:numPr>
        <w:rPr>
          <w:rFonts w:cs="Arial"/>
          <w:szCs w:val="21"/>
        </w:rPr>
      </w:pPr>
      <w:r w:rsidRPr="00E33B7D">
        <w:rPr>
          <w:rFonts w:cs="Arial"/>
          <w:szCs w:val="21"/>
        </w:rPr>
        <w:t>Collaboration à l’organisation de l’enseignement spécial au profit des enfants vivant avec handicap ;</w:t>
      </w:r>
    </w:p>
    <w:p w14:paraId="080A6B8C" w14:textId="77777777" w:rsidR="009021F1" w:rsidRPr="00E33B7D" w:rsidRDefault="009021F1" w:rsidP="009021F1">
      <w:pPr>
        <w:pStyle w:val="Paragraphedeliste"/>
        <w:numPr>
          <w:ilvl w:val="0"/>
          <w:numId w:val="45"/>
        </w:numPr>
        <w:rPr>
          <w:rFonts w:cs="Arial"/>
          <w:szCs w:val="21"/>
        </w:rPr>
      </w:pPr>
      <w:r w:rsidRPr="00E33B7D">
        <w:rPr>
          <w:rFonts w:cs="Arial"/>
          <w:szCs w:val="21"/>
        </w:rPr>
        <w:t>Organisation de l’éducation non formelle en collaboration avec les ministères ayant en charge l’enseignement primaire et secondaire, professionnel ainsi que la jeunesse et les sports.</w:t>
      </w:r>
    </w:p>
    <w:p w14:paraId="12CC8C10" w14:textId="77777777" w:rsidR="009021F1" w:rsidRPr="00E33B7D" w:rsidRDefault="009021F1" w:rsidP="009021F1">
      <w:pPr>
        <w:pStyle w:val="Paragraphedeliste"/>
        <w:rPr>
          <w:rFonts w:cs="Arial"/>
          <w:szCs w:val="21"/>
        </w:rPr>
      </w:pPr>
    </w:p>
    <w:p w14:paraId="4C26101D" w14:textId="77777777" w:rsidR="009021F1" w:rsidRPr="00E33B7D" w:rsidRDefault="009021F1" w:rsidP="009021F1">
      <w:pPr>
        <w:pStyle w:val="Titre2"/>
        <w:rPr>
          <w:rFonts w:cs="Arial"/>
          <w:i/>
          <w:szCs w:val="21"/>
        </w:rPr>
      </w:pPr>
      <w:bookmarkStart w:id="342" w:name="_Toc90471448"/>
      <w:r w:rsidRPr="00E33B7D">
        <w:rPr>
          <w:rFonts w:cs="Arial"/>
          <w:i/>
          <w:szCs w:val="21"/>
        </w:rPr>
        <w:t>Fonds National de Promotion et de Service Social (FNPSS)</w:t>
      </w:r>
      <w:bookmarkEnd w:id="342"/>
      <w:r w:rsidRPr="00E33B7D">
        <w:rPr>
          <w:rFonts w:cs="Arial"/>
          <w:i/>
          <w:szCs w:val="21"/>
        </w:rPr>
        <w:t xml:space="preserve"> </w:t>
      </w:r>
    </w:p>
    <w:p w14:paraId="6B44FB41" w14:textId="77777777" w:rsidR="009021F1" w:rsidRPr="00E33B7D" w:rsidRDefault="009021F1" w:rsidP="009021F1">
      <w:pPr>
        <w:pStyle w:val="Titre2"/>
        <w:rPr>
          <w:rFonts w:cs="Arial"/>
          <w:szCs w:val="21"/>
        </w:rPr>
      </w:pPr>
    </w:p>
    <w:p w14:paraId="5067DAD5" w14:textId="77777777" w:rsidR="009021F1" w:rsidRPr="00E33B7D" w:rsidRDefault="009021F1" w:rsidP="009021F1">
      <w:pPr>
        <w:pStyle w:val="Titre2"/>
        <w:rPr>
          <w:rFonts w:cs="Arial"/>
          <w:szCs w:val="21"/>
        </w:rPr>
      </w:pPr>
      <w:bookmarkStart w:id="343" w:name="_Toc90471449"/>
      <w:r w:rsidRPr="00E33B7D">
        <w:rPr>
          <w:rFonts w:cs="Arial"/>
          <w:szCs w:val="21"/>
        </w:rPr>
        <w:t>Le Fonds National de Promotion et de Service Social (FNPSS) est un Etablissement Public à caractère technique, financier, social et humanitaire. Il est doté de la personnalité juridique et jouit d’une autonomie administrative et financière.</w:t>
      </w:r>
      <w:bookmarkEnd w:id="343"/>
      <w:r w:rsidRPr="00E33B7D">
        <w:rPr>
          <w:rFonts w:cs="Arial"/>
          <w:szCs w:val="21"/>
        </w:rPr>
        <w:t xml:space="preserve"> </w:t>
      </w:r>
    </w:p>
    <w:p w14:paraId="3B42FEB6" w14:textId="77777777" w:rsidR="009021F1" w:rsidRPr="00E33B7D" w:rsidRDefault="009021F1" w:rsidP="009021F1">
      <w:pPr>
        <w:rPr>
          <w:rFonts w:cs="Arial"/>
          <w:szCs w:val="21"/>
        </w:rPr>
      </w:pPr>
    </w:p>
    <w:p w14:paraId="14326416" w14:textId="77777777" w:rsidR="009021F1" w:rsidRPr="00E33B7D" w:rsidRDefault="009021F1" w:rsidP="009021F1">
      <w:pPr>
        <w:pStyle w:val="Titre2"/>
        <w:rPr>
          <w:rFonts w:cs="Arial"/>
          <w:szCs w:val="21"/>
        </w:rPr>
      </w:pPr>
      <w:bookmarkStart w:id="344" w:name="_Toc90471450"/>
      <w:r w:rsidRPr="00E33B7D">
        <w:rPr>
          <w:rFonts w:cs="Arial"/>
          <w:szCs w:val="21"/>
        </w:rPr>
        <w:t>Il est régi par le Décret n°13/007 du 23 Janvier 2013. Il a pour mission :</w:t>
      </w:r>
      <w:bookmarkEnd w:id="344"/>
      <w:r w:rsidRPr="00E33B7D">
        <w:rPr>
          <w:rFonts w:cs="Arial"/>
          <w:szCs w:val="21"/>
        </w:rPr>
        <w:t xml:space="preserve"> </w:t>
      </w:r>
    </w:p>
    <w:p w14:paraId="6C365CE8" w14:textId="77777777" w:rsidR="009021F1" w:rsidRPr="00E33B7D" w:rsidRDefault="009021F1" w:rsidP="009021F1">
      <w:pPr>
        <w:rPr>
          <w:rFonts w:cs="Arial"/>
          <w:szCs w:val="21"/>
        </w:rPr>
      </w:pPr>
    </w:p>
    <w:p w14:paraId="7C9723F8" w14:textId="77777777" w:rsidR="009021F1" w:rsidRPr="00E33B7D" w:rsidRDefault="009021F1" w:rsidP="009021F1">
      <w:pPr>
        <w:pStyle w:val="Paragraphedeliste"/>
        <w:numPr>
          <w:ilvl w:val="0"/>
          <w:numId w:val="45"/>
        </w:numPr>
        <w:rPr>
          <w:rFonts w:cs="Arial"/>
          <w:szCs w:val="21"/>
        </w:rPr>
      </w:pPr>
      <w:r w:rsidRPr="00E33B7D">
        <w:rPr>
          <w:rFonts w:cs="Arial"/>
          <w:szCs w:val="21"/>
        </w:rPr>
        <w:t xml:space="preserve">Appuyer l’action sociale et humanitaire du Gouvernement dans le cadre de la politique sociale et humanitaire telle que définie par le Ministère des Affaires Sociales, Action Humanitaire et Solidarité Nationale ; </w:t>
      </w:r>
    </w:p>
    <w:p w14:paraId="4D4BCC51" w14:textId="77777777" w:rsidR="009021F1" w:rsidRPr="00E33B7D" w:rsidRDefault="009021F1" w:rsidP="009021F1">
      <w:pPr>
        <w:pStyle w:val="Paragraphedeliste"/>
        <w:numPr>
          <w:ilvl w:val="0"/>
          <w:numId w:val="45"/>
        </w:numPr>
        <w:rPr>
          <w:rFonts w:cs="Arial"/>
          <w:szCs w:val="21"/>
        </w:rPr>
      </w:pPr>
      <w:r w:rsidRPr="00E33B7D">
        <w:rPr>
          <w:rFonts w:cs="Arial"/>
          <w:szCs w:val="21"/>
        </w:rPr>
        <w:t xml:space="preserve">Jouer le rôle d’interface pour l’appui aux structures de prise en charge du Ministère des Affaires Sociales, Action Humanitaire et Solidarité Nationale et des partenaires et intervenants sociaux et humanitaires ; </w:t>
      </w:r>
    </w:p>
    <w:p w14:paraId="6FEA1691" w14:textId="77777777" w:rsidR="009021F1" w:rsidRPr="00E33B7D" w:rsidRDefault="009021F1" w:rsidP="009021F1">
      <w:pPr>
        <w:pStyle w:val="Paragraphedeliste"/>
        <w:numPr>
          <w:ilvl w:val="0"/>
          <w:numId w:val="45"/>
        </w:numPr>
        <w:rPr>
          <w:rFonts w:cs="Arial"/>
          <w:szCs w:val="21"/>
        </w:rPr>
      </w:pPr>
      <w:r w:rsidRPr="00E33B7D">
        <w:rPr>
          <w:rFonts w:cs="Arial"/>
          <w:szCs w:val="21"/>
        </w:rPr>
        <w:t xml:space="preserve">Organiser la plate-forme de l’aide sociale et humanitaire ; </w:t>
      </w:r>
    </w:p>
    <w:p w14:paraId="02709C09" w14:textId="77777777" w:rsidR="009021F1" w:rsidRPr="00E33B7D" w:rsidRDefault="009021F1" w:rsidP="009021F1">
      <w:pPr>
        <w:pStyle w:val="Paragraphedeliste"/>
        <w:numPr>
          <w:ilvl w:val="0"/>
          <w:numId w:val="45"/>
        </w:numPr>
        <w:rPr>
          <w:rFonts w:cs="Arial"/>
          <w:szCs w:val="21"/>
        </w:rPr>
      </w:pPr>
      <w:r w:rsidRPr="00E33B7D">
        <w:rPr>
          <w:rFonts w:cs="Arial"/>
          <w:szCs w:val="21"/>
        </w:rPr>
        <w:t xml:space="preserve">Prendre en charge des opérations de lancement des projets de relèvement social ; </w:t>
      </w:r>
    </w:p>
    <w:p w14:paraId="351EB35A" w14:textId="77777777" w:rsidR="009021F1" w:rsidRPr="00E33B7D" w:rsidRDefault="009021F1" w:rsidP="009021F1">
      <w:pPr>
        <w:pStyle w:val="Paragraphedeliste"/>
        <w:numPr>
          <w:ilvl w:val="0"/>
          <w:numId w:val="45"/>
        </w:numPr>
        <w:rPr>
          <w:rFonts w:cs="Arial"/>
          <w:szCs w:val="21"/>
        </w:rPr>
      </w:pPr>
      <w:r w:rsidRPr="00E33B7D">
        <w:rPr>
          <w:rFonts w:cs="Arial"/>
          <w:szCs w:val="21"/>
        </w:rPr>
        <w:t xml:space="preserve">Mobiliser des fonds nécessaires à la réalisation des actions à caractère social et humanitaire ; </w:t>
      </w:r>
    </w:p>
    <w:p w14:paraId="75D3525F" w14:textId="77777777" w:rsidR="009021F1" w:rsidRPr="00E33B7D" w:rsidRDefault="009021F1" w:rsidP="009021F1">
      <w:pPr>
        <w:pStyle w:val="Paragraphedeliste"/>
        <w:numPr>
          <w:ilvl w:val="0"/>
          <w:numId w:val="45"/>
        </w:numPr>
        <w:rPr>
          <w:rFonts w:cs="Arial"/>
          <w:szCs w:val="21"/>
        </w:rPr>
      </w:pPr>
      <w:r w:rsidRPr="00E33B7D">
        <w:rPr>
          <w:rFonts w:cs="Arial"/>
          <w:szCs w:val="21"/>
        </w:rPr>
        <w:t xml:space="preserve">Gérer la caisse de solidarité nationale ; </w:t>
      </w:r>
    </w:p>
    <w:p w14:paraId="470BECB7" w14:textId="77777777" w:rsidR="009021F1" w:rsidRPr="00E33B7D" w:rsidRDefault="009021F1" w:rsidP="009021F1">
      <w:pPr>
        <w:pStyle w:val="Paragraphedeliste"/>
        <w:numPr>
          <w:ilvl w:val="0"/>
          <w:numId w:val="45"/>
        </w:numPr>
        <w:rPr>
          <w:rFonts w:cs="Arial"/>
          <w:szCs w:val="21"/>
        </w:rPr>
      </w:pPr>
      <w:r w:rsidRPr="00E33B7D">
        <w:rPr>
          <w:rFonts w:cs="Arial"/>
          <w:szCs w:val="21"/>
        </w:rPr>
        <w:t xml:space="preserve">Participer aux actions de promotion sociale ; </w:t>
      </w:r>
    </w:p>
    <w:p w14:paraId="2F84F908" w14:textId="77777777" w:rsidR="009021F1" w:rsidRPr="00E33B7D" w:rsidRDefault="009021F1" w:rsidP="009021F1">
      <w:pPr>
        <w:pStyle w:val="Paragraphedeliste"/>
        <w:numPr>
          <w:ilvl w:val="0"/>
          <w:numId w:val="45"/>
        </w:numPr>
        <w:rPr>
          <w:rFonts w:cs="Arial"/>
          <w:szCs w:val="21"/>
        </w:rPr>
      </w:pPr>
      <w:r w:rsidRPr="00E33B7D">
        <w:rPr>
          <w:rFonts w:cs="Arial"/>
          <w:szCs w:val="21"/>
        </w:rPr>
        <w:t xml:space="preserve">Octroyer de l’aide sous forme de dons en matériels ou en espèce et des prêts gardant un caractère exceptionnel ; </w:t>
      </w:r>
    </w:p>
    <w:p w14:paraId="1B526580" w14:textId="77777777" w:rsidR="009021F1" w:rsidRPr="00E33B7D" w:rsidRDefault="009021F1" w:rsidP="009021F1">
      <w:pPr>
        <w:pStyle w:val="Paragraphedeliste"/>
        <w:numPr>
          <w:ilvl w:val="0"/>
          <w:numId w:val="45"/>
        </w:numPr>
        <w:rPr>
          <w:rFonts w:cs="Arial"/>
          <w:szCs w:val="21"/>
        </w:rPr>
      </w:pPr>
      <w:r w:rsidRPr="00E33B7D">
        <w:rPr>
          <w:rFonts w:cs="Arial"/>
          <w:szCs w:val="21"/>
        </w:rPr>
        <w:t xml:space="preserve">Servir de banque sociale de proximité pour la promotion et la protection des personnes nécessiteuses et défavorisées ; </w:t>
      </w:r>
    </w:p>
    <w:p w14:paraId="430C9ED1" w14:textId="77777777" w:rsidR="009021F1" w:rsidRPr="00E33B7D" w:rsidRDefault="009021F1" w:rsidP="009021F1">
      <w:pPr>
        <w:pStyle w:val="Paragraphedeliste"/>
        <w:numPr>
          <w:ilvl w:val="0"/>
          <w:numId w:val="45"/>
        </w:numPr>
        <w:rPr>
          <w:rFonts w:cs="Arial"/>
          <w:szCs w:val="21"/>
        </w:rPr>
      </w:pPr>
      <w:r w:rsidRPr="00E33B7D">
        <w:rPr>
          <w:rFonts w:cs="Arial"/>
          <w:szCs w:val="21"/>
        </w:rPr>
        <w:t xml:space="preserve">Émettre des avis techniques sur les projets à caractère social et humanitaire ; </w:t>
      </w:r>
    </w:p>
    <w:p w14:paraId="56357E0F" w14:textId="77777777" w:rsidR="009021F1" w:rsidRPr="00E33B7D" w:rsidRDefault="009021F1" w:rsidP="009021F1">
      <w:pPr>
        <w:pStyle w:val="Paragraphedeliste"/>
        <w:numPr>
          <w:ilvl w:val="0"/>
          <w:numId w:val="45"/>
        </w:numPr>
        <w:rPr>
          <w:rFonts w:cs="Arial"/>
          <w:szCs w:val="21"/>
        </w:rPr>
      </w:pPr>
      <w:r w:rsidRPr="00E33B7D">
        <w:rPr>
          <w:rFonts w:cs="Arial"/>
          <w:szCs w:val="21"/>
        </w:rPr>
        <w:t xml:space="preserve">Servir d’organe consultatif pour les questions relatives aux facilités administratives ; fiscales et douanières au profit des partenaires et intervenants sociaux et humanitaires ; </w:t>
      </w:r>
    </w:p>
    <w:p w14:paraId="5D31DFE3" w14:textId="77777777" w:rsidR="009021F1" w:rsidRPr="00E33B7D" w:rsidRDefault="009021F1" w:rsidP="009021F1">
      <w:pPr>
        <w:pStyle w:val="Paragraphedeliste"/>
        <w:numPr>
          <w:ilvl w:val="0"/>
          <w:numId w:val="45"/>
        </w:numPr>
        <w:rPr>
          <w:rFonts w:cs="Arial"/>
          <w:szCs w:val="21"/>
        </w:rPr>
      </w:pPr>
      <w:r w:rsidRPr="00E33B7D">
        <w:rPr>
          <w:rFonts w:cs="Arial"/>
          <w:szCs w:val="21"/>
        </w:rPr>
        <w:t xml:space="preserve">Tenir la gestion de l’Observatoire de la Vulnérabilité Sociale et de la banque de données des partenaires et des intervenants dans le domaine social et humanitaire. </w:t>
      </w:r>
    </w:p>
    <w:p w14:paraId="5D66EA85" w14:textId="77777777" w:rsidR="009021F1" w:rsidRPr="00E33B7D" w:rsidRDefault="009021F1" w:rsidP="009021F1">
      <w:pPr>
        <w:pStyle w:val="Titre2"/>
        <w:rPr>
          <w:rFonts w:cs="Arial"/>
          <w:i/>
          <w:szCs w:val="21"/>
        </w:rPr>
      </w:pPr>
    </w:p>
    <w:p w14:paraId="503FCF1A" w14:textId="77777777" w:rsidR="009021F1" w:rsidRPr="00E33B7D" w:rsidRDefault="009021F1" w:rsidP="009021F1">
      <w:pPr>
        <w:pStyle w:val="Titre2"/>
        <w:rPr>
          <w:rFonts w:cs="Arial"/>
          <w:i/>
          <w:szCs w:val="21"/>
        </w:rPr>
      </w:pPr>
      <w:bookmarkStart w:id="345" w:name="_Toc90471451"/>
      <w:r w:rsidRPr="00E33B7D">
        <w:rPr>
          <w:rFonts w:cs="Arial"/>
          <w:i/>
          <w:szCs w:val="21"/>
        </w:rPr>
        <w:t>Programme National d'appui à la Protection Sociale (PNPS)</w:t>
      </w:r>
      <w:bookmarkEnd w:id="345"/>
    </w:p>
    <w:p w14:paraId="3AF8E9AB" w14:textId="77777777" w:rsidR="009021F1" w:rsidRPr="00E33B7D" w:rsidRDefault="009021F1" w:rsidP="009021F1">
      <w:pPr>
        <w:autoSpaceDE w:val="0"/>
        <w:autoSpaceDN w:val="0"/>
        <w:adjustRightInd w:val="0"/>
        <w:rPr>
          <w:rFonts w:eastAsia="Calibri" w:cs="Arial"/>
          <w:color w:val="000000"/>
          <w:szCs w:val="21"/>
          <w:highlight w:val="yellow"/>
        </w:rPr>
      </w:pPr>
    </w:p>
    <w:p w14:paraId="7A291B10" w14:textId="77777777" w:rsidR="009021F1" w:rsidRPr="00E33B7D" w:rsidRDefault="009021F1" w:rsidP="009021F1">
      <w:pPr>
        <w:autoSpaceDE w:val="0"/>
        <w:autoSpaceDN w:val="0"/>
        <w:adjustRightInd w:val="0"/>
        <w:rPr>
          <w:rFonts w:eastAsia="Calibri" w:cs="Arial"/>
          <w:color w:val="000000"/>
          <w:szCs w:val="21"/>
        </w:rPr>
      </w:pPr>
      <w:r w:rsidRPr="00E33B7D">
        <w:rPr>
          <w:rFonts w:eastAsia="Calibri" w:cs="Arial"/>
          <w:color w:val="000000"/>
          <w:szCs w:val="21"/>
        </w:rPr>
        <w:t xml:space="preserve">Depuis novembre 2005, le Gouvernement congolais a mis en place le Programme National d’appui à la Protection Sociale avec cinq (5) missions : </w:t>
      </w:r>
      <w:r w:rsidRPr="00E33B7D">
        <w:rPr>
          <w:rFonts w:eastAsia="Calibri" w:cs="Arial"/>
          <w:i/>
          <w:color w:val="000000"/>
          <w:szCs w:val="21"/>
        </w:rPr>
        <w:t>(i)</w:t>
      </w:r>
      <w:r w:rsidRPr="00E33B7D">
        <w:rPr>
          <w:rFonts w:eastAsia="Calibri" w:cs="Arial"/>
          <w:color w:val="000000"/>
          <w:szCs w:val="21"/>
        </w:rPr>
        <w:t xml:space="preserve"> étendre la couverture de la protection sociale ; </w:t>
      </w:r>
      <w:r w:rsidRPr="00E33B7D">
        <w:rPr>
          <w:rFonts w:eastAsia="Calibri" w:cs="Arial"/>
          <w:i/>
          <w:color w:val="000000"/>
          <w:szCs w:val="21"/>
        </w:rPr>
        <w:t>(ii)</w:t>
      </w:r>
      <w:r w:rsidRPr="00E33B7D">
        <w:rPr>
          <w:rFonts w:eastAsia="Calibri" w:cs="Arial"/>
          <w:color w:val="000000"/>
          <w:szCs w:val="21"/>
        </w:rPr>
        <w:t xml:space="preserve"> améliorer la qualité des prestations sociales ; </w:t>
      </w:r>
      <w:r w:rsidRPr="00E33B7D">
        <w:rPr>
          <w:rFonts w:eastAsia="Calibri" w:cs="Arial"/>
          <w:i/>
          <w:color w:val="000000"/>
          <w:szCs w:val="21"/>
        </w:rPr>
        <w:t>(iii)</w:t>
      </w:r>
      <w:r w:rsidRPr="00E33B7D">
        <w:rPr>
          <w:rFonts w:eastAsia="Calibri" w:cs="Arial"/>
          <w:color w:val="000000"/>
          <w:szCs w:val="21"/>
        </w:rPr>
        <w:t xml:space="preserve"> mettre en place et gérer un système de couverture des soins de santé, </w:t>
      </w:r>
      <w:r w:rsidRPr="00E33B7D">
        <w:rPr>
          <w:rFonts w:eastAsia="Calibri" w:cs="Arial"/>
          <w:i/>
          <w:color w:val="000000"/>
          <w:szCs w:val="21"/>
        </w:rPr>
        <w:t>(iv)</w:t>
      </w:r>
      <w:r w:rsidRPr="00E33B7D">
        <w:rPr>
          <w:rFonts w:eastAsia="Calibri" w:cs="Arial"/>
          <w:color w:val="000000"/>
          <w:szCs w:val="21"/>
        </w:rPr>
        <w:t xml:space="preserve"> concourir aux travaux de réforme avec la commission ad hoc ; et </w:t>
      </w:r>
      <w:r w:rsidRPr="00E33B7D">
        <w:rPr>
          <w:rFonts w:eastAsia="Calibri" w:cs="Arial"/>
          <w:i/>
          <w:color w:val="000000"/>
          <w:szCs w:val="21"/>
        </w:rPr>
        <w:t>(v)</w:t>
      </w:r>
      <w:r w:rsidRPr="00E33B7D">
        <w:rPr>
          <w:rFonts w:eastAsia="Calibri" w:cs="Arial"/>
          <w:color w:val="000000"/>
          <w:szCs w:val="21"/>
        </w:rPr>
        <w:t xml:space="preserve"> rendre effective la protection sociale pour tous. La formulation de la Politique Nationale de Protection Sociale est l’une des missions confiées au Conseil du PNPS dont le Ministre de la Prévoyance Sociale est le Président.</w:t>
      </w:r>
    </w:p>
    <w:p w14:paraId="16001BC4" w14:textId="77777777" w:rsidR="009021F1" w:rsidRPr="00E33B7D" w:rsidRDefault="009021F1" w:rsidP="009021F1">
      <w:pPr>
        <w:autoSpaceDE w:val="0"/>
        <w:autoSpaceDN w:val="0"/>
        <w:adjustRightInd w:val="0"/>
        <w:rPr>
          <w:rFonts w:eastAsia="Calibri" w:cs="Arial"/>
          <w:color w:val="000000"/>
          <w:szCs w:val="21"/>
        </w:rPr>
      </w:pPr>
    </w:p>
    <w:p w14:paraId="1D35F7DC" w14:textId="77777777" w:rsidR="009021F1" w:rsidRPr="00E33B7D" w:rsidRDefault="009021F1" w:rsidP="009021F1">
      <w:pPr>
        <w:autoSpaceDE w:val="0"/>
        <w:autoSpaceDN w:val="0"/>
        <w:adjustRightInd w:val="0"/>
        <w:rPr>
          <w:rFonts w:eastAsia="Calibri" w:cs="Arial"/>
          <w:color w:val="000000"/>
          <w:szCs w:val="21"/>
        </w:rPr>
      </w:pPr>
      <w:r w:rsidRPr="00E33B7D">
        <w:rPr>
          <w:rFonts w:eastAsia="Calibri" w:cs="Arial"/>
          <w:color w:val="000000"/>
          <w:szCs w:val="21"/>
        </w:rPr>
        <w:t xml:space="preserve">La Politique Nationale de Protection Sociale de la RDC, adoptée par le Conseil du PNPS, vise une protection efficace des couches sociales les plus vulnérables et les plus démunies, à l’horizon 2030, en leur octroyant, notamment, des soins de santé de qualité, un revenu minimum, une alimentation saine et équilibrée, dans le cadre du Socle national de Protection Sociale. </w:t>
      </w:r>
    </w:p>
    <w:p w14:paraId="3A727B9A" w14:textId="77777777" w:rsidR="009021F1" w:rsidRPr="00E33B7D" w:rsidRDefault="009021F1" w:rsidP="009021F1">
      <w:pPr>
        <w:autoSpaceDE w:val="0"/>
        <w:autoSpaceDN w:val="0"/>
        <w:adjustRightInd w:val="0"/>
        <w:rPr>
          <w:rFonts w:eastAsia="Calibri" w:cs="Arial"/>
          <w:color w:val="000000"/>
          <w:szCs w:val="21"/>
        </w:rPr>
      </w:pPr>
    </w:p>
    <w:p w14:paraId="54FCA420" w14:textId="77777777" w:rsidR="009021F1" w:rsidRPr="00E33B7D" w:rsidRDefault="009021F1" w:rsidP="009021F1">
      <w:pPr>
        <w:autoSpaceDE w:val="0"/>
        <w:autoSpaceDN w:val="0"/>
        <w:adjustRightInd w:val="0"/>
        <w:rPr>
          <w:rFonts w:eastAsia="Calibri" w:cs="Arial"/>
          <w:color w:val="000000"/>
          <w:szCs w:val="21"/>
        </w:rPr>
      </w:pPr>
      <w:r w:rsidRPr="00E33B7D">
        <w:rPr>
          <w:rFonts w:eastAsia="Calibri" w:cs="Arial"/>
          <w:color w:val="000000"/>
          <w:szCs w:val="21"/>
        </w:rPr>
        <w:t>Par ailleurs, dans le cadre du PNDA, le PNPS appuiera l’UNCP et assurera la coordination et l’orientation générale du Programme dans le cadre de la réinstallation involontaire des populations et des biens qui seront touchés par le PNDA.</w:t>
      </w:r>
    </w:p>
    <w:p w14:paraId="7B315004" w14:textId="77777777" w:rsidR="009021F1" w:rsidRPr="00E33B7D" w:rsidRDefault="009021F1" w:rsidP="009021F1">
      <w:pPr>
        <w:autoSpaceDE w:val="0"/>
        <w:autoSpaceDN w:val="0"/>
        <w:adjustRightInd w:val="0"/>
        <w:rPr>
          <w:rFonts w:eastAsia="Calibri" w:cs="Arial"/>
          <w:iCs/>
          <w:szCs w:val="21"/>
        </w:rPr>
      </w:pPr>
    </w:p>
    <w:p w14:paraId="2DD794FA" w14:textId="77777777" w:rsidR="009021F1" w:rsidRPr="00E33B7D" w:rsidRDefault="009021F1" w:rsidP="009021F1">
      <w:pPr>
        <w:pStyle w:val="Titre2"/>
        <w:numPr>
          <w:ilvl w:val="2"/>
          <w:numId w:val="4"/>
        </w:numPr>
        <w:ind w:left="1560" w:hanging="709"/>
        <w:rPr>
          <w:rFonts w:cs="Arial"/>
          <w:i/>
          <w:szCs w:val="21"/>
        </w:rPr>
      </w:pPr>
      <w:bookmarkStart w:id="346" w:name="_Toc90471452"/>
      <w:r w:rsidRPr="00E33B7D">
        <w:rPr>
          <w:rFonts w:cs="Arial"/>
          <w:i/>
          <w:szCs w:val="21"/>
        </w:rPr>
        <w:t>Ministère de l’Emploi, Travail et Prévoyance Sociale</w:t>
      </w:r>
      <w:bookmarkEnd w:id="346"/>
    </w:p>
    <w:p w14:paraId="427B0779" w14:textId="77777777" w:rsidR="009021F1" w:rsidRPr="00E33B7D" w:rsidRDefault="009021F1" w:rsidP="009021F1">
      <w:pPr>
        <w:tabs>
          <w:tab w:val="left" w:pos="426"/>
          <w:tab w:val="left" w:pos="567"/>
        </w:tabs>
        <w:contextualSpacing/>
        <w:rPr>
          <w:rFonts w:cs="Arial"/>
          <w:szCs w:val="21"/>
        </w:rPr>
      </w:pPr>
    </w:p>
    <w:p w14:paraId="04DA7FD5" w14:textId="77777777" w:rsidR="009021F1" w:rsidRPr="00E33B7D" w:rsidRDefault="009021F1" w:rsidP="009021F1">
      <w:pPr>
        <w:autoSpaceDE w:val="0"/>
        <w:autoSpaceDN w:val="0"/>
        <w:adjustRightInd w:val="0"/>
        <w:rPr>
          <w:rFonts w:eastAsia="Calibri" w:cs="Arial"/>
          <w:color w:val="000000"/>
          <w:szCs w:val="21"/>
        </w:rPr>
      </w:pPr>
      <w:r w:rsidRPr="00E33B7D">
        <w:rPr>
          <w:rFonts w:eastAsia="Calibri" w:cs="Arial"/>
          <w:color w:val="000000"/>
          <w:szCs w:val="21"/>
        </w:rPr>
        <w:t xml:space="preserve">Le Ministère en charge de l’Emploi, Travail et Prévoyance Sociale assure le contrôle de l’application des lois du travail, notamment le respect des rémunérations minimales, conformité des modèles de contrat de travail et des mesures de protection sociale des travailleurs de tous les secteurs, agricole y compris. </w:t>
      </w:r>
    </w:p>
    <w:p w14:paraId="4D66BDCF" w14:textId="77777777" w:rsidR="009021F1" w:rsidRPr="00E33B7D" w:rsidRDefault="009021F1" w:rsidP="009021F1">
      <w:pPr>
        <w:autoSpaceDE w:val="0"/>
        <w:autoSpaceDN w:val="0"/>
        <w:adjustRightInd w:val="0"/>
        <w:rPr>
          <w:rFonts w:eastAsia="Calibri" w:cs="Arial"/>
          <w:color w:val="000000"/>
          <w:szCs w:val="21"/>
        </w:rPr>
      </w:pPr>
    </w:p>
    <w:p w14:paraId="798C8736" w14:textId="77777777" w:rsidR="009021F1" w:rsidRPr="00E33B7D" w:rsidRDefault="009021F1" w:rsidP="009021F1">
      <w:pPr>
        <w:pStyle w:val="Titre2"/>
        <w:numPr>
          <w:ilvl w:val="2"/>
          <w:numId w:val="4"/>
        </w:numPr>
        <w:ind w:left="1560" w:hanging="709"/>
        <w:rPr>
          <w:rFonts w:cs="Arial"/>
          <w:i/>
          <w:szCs w:val="21"/>
        </w:rPr>
      </w:pPr>
      <w:bookmarkStart w:id="347" w:name="_Toc90471453"/>
      <w:r w:rsidRPr="00E33B7D">
        <w:rPr>
          <w:rFonts w:cs="Arial"/>
          <w:i/>
          <w:szCs w:val="21"/>
        </w:rPr>
        <w:t>Ministère du Genre, Famille et Enfant</w:t>
      </w:r>
      <w:bookmarkEnd w:id="347"/>
    </w:p>
    <w:p w14:paraId="1F2C1ABB" w14:textId="77777777" w:rsidR="009021F1" w:rsidRPr="00E33B7D" w:rsidRDefault="009021F1" w:rsidP="009021F1">
      <w:pPr>
        <w:autoSpaceDE w:val="0"/>
        <w:autoSpaceDN w:val="0"/>
        <w:adjustRightInd w:val="0"/>
        <w:contextualSpacing/>
        <w:rPr>
          <w:rFonts w:eastAsia="Calibri" w:cs="Arial"/>
          <w:szCs w:val="21"/>
          <w:lang w:eastAsia="en-US"/>
        </w:rPr>
      </w:pPr>
    </w:p>
    <w:p w14:paraId="7A0A3200" w14:textId="77777777" w:rsidR="009021F1" w:rsidRPr="00E33B7D" w:rsidRDefault="009021F1" w:rsidP="009021F1">
      <w:pPr>
        <w:autoSpaceDE w:val="0"/>
        <w:autoSpaceDN w:val="0"/>
        <w:adjustRightInd w:val="0"/>
        <w:contextualSpacing/>
        <w:rPr>
          <w:rFonts w:eastAsia="Calibri" w:cs="Arial"/>
          <w:szCs w:val="21"/>
          <w:lang w:eastAsia="en-US"/>
        </w:rPr>
      </w:pPr>
      <w:r w:rsidRPr="00E33B7D">
        <w:rPr>
          <w:rFonts w:eastAsia="Calibri" w:cs="Arial"/>
          <w:szCs w:val="21"/>
          <w:lang w:eastAsia="en-US"/>
        </w:rPr>
        <w:t>Le Ministère va appuyer le PNDA suivant le Décret n° 09/38 du 10 octobre 2009 portant création, organisation et fonctionnement de l’Agence Nationale de lutte contre les violences faites à la femme, à la jeune et petite fille, mise en place, cette structure nationale devant coordonner toutes les actions en rapport avec la lutte contre les violences faites à la femme, jeune et petite fille en République Démocratique du Congo, en sigle, AVIFEM.</w:t>
      </w:r>
    </w:p>
    <w:p w14:paraId="742D216F" w14:textId="77777777" w:rsidR="009021F1" w:rsidRPr="00E33B7D" w:rsidRDefault="009021F1" w:rsidP="009021F1">
      <w:pPr>
        <w:autoSpaceDE w:val="0"/>
        <w:autoSpaceDN w:val="0"/>
        <w:adjustRightInd w:val="0"/>
        <w:contextualSpacing/>
        <w:rPr>
          <w:rFonts w:eastAsia="Calibri" w:cs="Arial"/>
          <w:szCs w:val="21"/>
          <w:lang w:eastAsia="en-US"/>
        </w:rPr>
      </w:pPr>
    </w:p>
    <w:p w14:paraId="02688DD9" w14:textId="77777777" w:rsidR="009021F1" w:rsidRPr="00E33B7D" w:rsidRDefault="009021F1" w:rsidP="009021F1">
      <w:pPr>
        <w:autoSpaceDE w:val="0"/>
        <w:autoSpaceDN w:val="0"/>
        <w:adjustRightInd w:val="0"/>
        <w:contextualSpacing/>
        <w:rPr>
          <w:rFonts w:eastAsia="Calibri" w:cs="Arial"/>
          <w:szCs w:val="21"/>
          <w:lang w:eastAsia="en-US"/>
        </w:rPr>
      </w:pPr>
      <w:r w:rsidRPr="00E33B7D">
        <w:rPr>
          <w:rFonts w:eastAsia="Calibri" w:cs="Arial"/>
          <w:szCs w:val="21"/>
          <w:lang w:eastAsia="en-US"/>
        </w:rPr>
        <w:t>Sa mission générale est l’exécution de la stratégie nationale de lutte contre toutes les formes de VBG, spécialement faites à la femme, à la jeune et petite fille. A ce titre il est notamment chargé de :</w:t>
      </w:r>
    </w:p>
    <w:p w14:paraId="00166E51" w14:textId="77777777" w:rsidR="009021F1" w:rsidRPr="00E33B7D" w:rsidRDefault="009021F1" w:rsidP="009021F1">
      <w:pPr>
        <w:autoSpaceDE w:val="0"/>
        <w:autoSpaceDN w:val="0"/>
        <w:adjustRightInd w:val="0"/>
        <w:contextualSpacing/>
        <w:rPr>
          <w:rFonts w:eastAsia="Calibri" w:cs="Arial"/>
          <w:szCs w:val="21"/>
          <w:lang w:eastAsia="en-US"/>
        </w:rPr>
      </w:pPr>
    </w:p>
    <w:p w14:paraId="7792BA8B" w14:textId="77777777" w:rsidR="009021F1" w:rsidRPr="00E33B7D" w:rsidRDefault="009021F1" w:rsidP="009021F1">
      <w:pPr>
        <w:pStyle w:val="Paragraphedeliste"/>
        <w:numPr>
          <w:ilvl w:val="0"/>
          <w:numId w:val="45"/>
        </w:numPr>
        <w:rPr>
          <w:rFonts w:cs="Arial"/>
          <w:szCs w:val="21"/>
        </w:rPr>
      </w:pPr>
      <w:r w:rsidRPr="00E33B7D">
        <w:rPr>
          <w:rFonts w:cs="Arial"/>
          <w:szCs w:val="21"/>
        </w:rPr>
        <w:t>Assurer la vulgarisation des lois ;</w:t>
      </w:r>
    </w:p>
    <w:p w14:paraId="530B6245" w14:textId="77777777" w:rsidR="009021F1" w:rsidRPr="00E33B7D" w:rsidRDefault="009021F1" w:rsidP="009021F1">
      <w:pPr>
        <w:pStyle w:val="Paragraphedeliste"/>
        <w:numPr>
          <w:ilvl w:val="0"/>
          <w:numId w:val="45"/>
        </w:numPr>
        <w:rPr>
          <w:rFonts w:cs="Arial"/>
          <w:szCs w:val="21"/>
        </w:rPr>
      </w:pPr>
      <w:r w:rsidRPr="00E33B7D">
        <w:rPr>
          <w:rFonts w:cs="Arial"/>
          <w:szCs w:val="21"/>
        </w:rPr>
        <w:t>Renforcer la prévention et la protection ;</w:t>
      </w:r>
    </w:p>
    <w:p w14:paraId="76C5E308" w14:textId="77777777" w:rsidR="009021F1" w:rsidRPr="00E33B7D" w:rsidRDefault="009021F1" w:rsidP="009021F1">
      <w:pPr>
        <w:pStyle w:val="Paragraphedeliste"/>
        <w:numPr>
          <w:ilvl w:val="0"/>
          <w:numId w:val="45"/>
        </w:numPr>
        <w:rPr>
          <w:rFonts w:cs="Arial"/>
          <w:szCs w:val="21"/>
        </w:rPr>
      </w:pPr>
      <w:r w:rsidRPr="00E33B7D">
        <w:rPr>
          <w:rFonts w:cs="Arial"/>
          <w:szCs w:val="21"/>
        </w:rPr>
        <w:t>Lutter contre l’impunité ;</w:t>
      </w:r>
    </w:p>
    <w:p w14:paraId="20A38E50" w14:textId="77777777" w:rsidR="009021F1" w:rsidRPr="00E33B7D" w:rsidRDefault="009021F1" w:rsidP="009021F1">
      <w:pPr>
        <w:pStyle w:val="Paragraphedeliste"/>
        <w:numPr>
          <w:ilvl w:val="0"/>
          <w:numId w:val="45"/>
        </w:numPr>
        <w:rPr>
          <w:rFonts w:cs="Arial"/>
          <w:szCs w:val="21"/>
        </w:rPr>
      </w:pPr>
      <w:r w:rsidRPr="00E33B7D">
        <w:rPr>
          <w:rFonts w:cs="Arial"/>
          <w:szCs w:val="21"/>
        </w:rPr>
        <w:t>Appuyer les réformes de la sécurité et de la justice ;</w:t>
      </w:r>
    </w:p>
    <w:p w14:paraId="3D9755D3" w14:textId="77777777" w:rsidR="009021F1" w:rsidRPr="00E33B7D" w:rsidRDefault="009021F1" w:rsidP="009021F1">
      <w:pPr>
        <w:pStyle w:val="Paragraphedeliste"/>
        <w:numPr>
          <w:ilvl w:val="0"/>
          <w:numId w:val="45"/>
        </w:numPr>
        <w:rPr>
          <w:rFonts w:cs="Arial"/>
          <w:szCs w:val="21"/>
        </w:rPr>
      </w:pPr>
      <w:r w:rsidRPr="00E33B7D">
        <w:rPr>
          <w:rFonts w:cs="Arial"/>
          <w:szCs w:val="21"/>
        </w:rPr>
        <w:t>Formuler les réponses aux besoins des survivant(e)s ; et</w:t>
      </w:r>
    </w:p>
    <w:p w14:paraId="71C4536B" w14:textId="77777777" w:rsidR="009021F1" w:rsidRPr="00E33B7D" w:rsidRDefault="009021F1" w:rsidP="009021F1">
      <w:pPr>
        <w:pStyle w:val="Paragraphedeliste"/>
        <w:numPr>
          <w:ilvl w:val="0"/>
          <w:numId w:val="45"/>
        </w:numPr>
        <w:rPr>
          <w:rFonts w:cs="Arial"/>
          <w:szCs w:val="21"/>
        </w:rPr>
      </w:pPr>
      <w:r w:rsidRPr="00E33B7D">
        <w:rPr>
          <w:rFonts w:cs="Arial"/>
          <w:szCs w:val="21"/>
        </w:rPr>
        <w:t>Gérer efficacement les données et les informations.</w:t>
      </w:r>
    </w:p>
    <w:p w14:paraId="13C132EC" w14:textId="77777777" w:rsidR="009021F1" w:rsidRPr="00E33B7D" w:rsidRDefault="009021F1" w:rsidP="009021F1">
      <w:pPr>
        <w:autoSpaceDE w:val="0"/>
        <w:autoSpaceDN w:val="0"/>
        <w:adjustRightInd w:val="0"/>
        <w:rPr>
          <w:rFonts w:eastAsia="Calibri" w:cs="Arial"/>
          <w:color w:val="000000"/>
          <w:szCs w:val="21"/>
        </w:rPr>
      </w:pPr>
    </w:p>
    <w:p w14:paraId="75CB55BB" w14:textId="77777777" w:rsidR="009021F1" w:rsidRPr="00E33B7D" w:rsidRDefault="009021F1" w:rsidP="009021F1">
      <w:pPr>
        <w:pStyle w:val="Titre2"/>
        <w:numPr>
          <w:ilvl w:val="2"/>
          <w:numId w:val="4"/>
        </w:numPr>
        <w:ind w:left="1560" w:hanging="709"/>
        <w:rPr>
          <w:rFonts w:cs="Arial"/>
          <w:i/>
          <w:szCs w:val="21"/>
        </w:rPr>
      </w:pPr>
      <w:bookmarkStart w:id="348" w:name="_Toc90471454"/>
      <w:r w:rsidRPr="00E33B7D">
        <w:rPr>
          <w:rFonts w:cs="Arial"/>
          <w:i/>
          <w:szCs w:val="21"/>
        </w:rPr>
        <w:t>Ministère des Transports et Voies de Communications</w:t>
      </w:r>
      <w:bookmarkEnd w:id="348"/>
    </w:p>
    <w:p w14:paraId="14A4EA83" w14:textId="77777777" w:rsidR="009021F1" w:rsidRPr="00E33B7D" w:rsidRDefault="009021F1" w:rsidP="009021F1">
      <w:pPr>
        <w:autoSpaceDE w:val="0"/>
        <w:autoSpaceDN w:val="0"/>
        <w:adjustRightInd w:val="0"/>
        <w:rPr>
          <w:rFonts w:eastAsia="Calibri" w:cs="Arial"/>
          <w:color w:val="000000"/>
          <w:szCs w:val="21"/>
        </w:rPr>
      </w:pPr>
    </w:p>
    <w:p w14:paraId="15C55592" w14:textId="77777777" w:rsidR="009021F1" w:rsidRPr="00E33B7D" w:rsidRDefault="009021F1" w:rsidP="009021F1">
      <w:pPr>
        <w:autoSpaceDE w:val="0"/>
        <w:autoSpaceDN w:val="0"/>
        <w:adjustRightInd w:val="0"/>
        <w:rPr>
          <w:rFonts w:eastAsia="Calibri" w:cs="Arial"/>
          <w:color w:val="000000"/>
          <w:szCs w:val="21"/>
        </w:rPr>
      </w:pPr>
      <w:r w:rsidRPr="00E33B7D">
        <w:rPr>
          <w:rFonts w:eastAsia="Calibri" w:cs="Arial"/>
          <w:color w:val="000000"/>
          <w:szCs w:val="21"/>
        </w:rPr>
        <w:t>Le ministère de transport sera impliqué dans le cadre du PNDA sur les activités de balisage des rivières et autres cours pour faciliter l’évacuation des produits agricoles dans les centres de consommation.</w:t>
      </w:r>
    </w:p>
    <w:p w14:paraId="4E707B6F" w14:textId="77777777" w:rsidR="009021F1" w:rsidRPr="00E33B7D" w:rsidRDefault="009021F1" w:rsidP="009021F1">
      <w:pPr>
        <w:autoSpaceDE w:val="0"/>
        <w:autoSpaceDN w:val="0"/>
        <w:adjustRightInd w:val="0"/>
        <w:rPr>
          <w:rFonts w:eastAsia="Calibri" w:cs="Arial"/>
          <w:color w:val="000000"/>
          <w:szCs w:val="21"/>
        </w:rPr>
      </w:pPr>
    </w:p>
    <w:p w14:paraId="4C3C3068" w14:textId="77777777" w:rsidR="009021F1" w:rsidRPr="00E33B7D" w:rsidRDefault="009021F1" w:rsidP="009021F1">
      <w:pPr>
        <w:autoSpaceDE w:val="0"/>
        <w:autoSpaceDN w:val="0"/>
        <w:adjustRightInd w:val="0"/>
        <w:rPr>
          <w:rFonts w:eastAsia="Calibri" w:cs="Arial"/>
          <w:color w:val="000000"/>
          <w:szCs w:val="21"/>
        </w:rPr>
      </w:pPr>
      <w:r w:rsidRPr="00E33B7D">
        <w:rPr>
          <w:rFonts w:eastAsia="Calibri" w:cs="Arial"/>
          <w:color w:val="000000"/>
          <w:szCs w:val="21"/>
        </w:rPr>
        <w:t>Ainsi, le Ministère de transport a pour mission :</w:t>
      </w:r>
    </w:p>
    <w:p w14:paraId="3C19F2E1" w14:textId="77777777" w:rsidR="009021F1" w:rsidRPr="00E33B7D" w:rsidRDefault="009021F1" w:rsidP="009021F1">
      <w:pPr>
        <w:autoSpaceDE w:val="0"/>
        <w:autoSpaceDN w:val="0"/>
        <w:adjustRightInd w:val="0"/>
        <w:rPr>
          <w:rFonts w:eastAsia="Calibri" w:cs="Arial"/>
          <w:color w:val="000000"/>
          <w:szCs w:val="21"/>
        </w:rPr>
      </w:pPr>
    </w:p>
    <w:p w14:paraId="4A876732" w14:textId="77777777" w:rsidR="009021F1" w:rsidRPr="00E33B7D" w:rsidRDefault="009021F1" w:rsidP="009021F1">
      <w:pPr>
        <w:pStyle w:val="Paragraphedeliste"/>
        <w:numPr>
          <w:ilvl w:val="0"/>
          <w:numId w:val="45"/>
        </w:numPr>
        <w:rPr>
          <w:rFonts w:cs="Arial"/>
          <w:szCs w:val="21"/>
        </w:rPr>
      </w:pPr>
      <w:r w:rsidRPr="00E33B7D">
        <w:rPr>
          <w:rFonts w:cs="Arial"/>
          <w:szCs w:val="21"/>
        </w:rPr>
        <w:t>Organisation et gestion des transports (transport aérien, terrestre, fluvial, lacustre et maritime) ;</w:t>
      </w:r>
    </w:p>
    <w:p w14:paraId="478ED19D" w14:textId="77777777" w:rsidR="009021F1" w:rsidRPr="00E33B7D" w:rsidRDefault="009021F1" w:rsidP="009021F1">
      <w:pPr>
        <w:pStyle w:val="Paragraphedeliste"/>
        <w:numPr>
          <w:ilvl w:val="0"/>
          <w:numId w:val="45"/>
        </w:numPr>
        <w:rPr>
          <w:rFonts w:cs="Arial"/>
          <w:szCs w:val="21"/>
        </w:rPr>
      </w:pPr>
      <w:r w:rsidRPr="00E33B7D">
        <w:rPr>
          <w:rFonts w:cs="Arial"/>
          <w:szCs w:val="21"/>
        </w:rPr>
        <w:t>Aéronautique civile ;</w:t>
      </w:r>
    </w:p>
    <w:p w14:paraId="4D0C55D1" w14:textId="77777777" w:rsidR="009021F1" w:rsidRPr="00E33B7D" w:rsidRDefault="009021F1" w:rsidP="009021F1">
      <w:pPr>
        <w:pStyle w:val="Paragraphedeliste"/>
        <w:numPr>
          <w:ilvl w:val="0"/>
          <w:numId w:val="45"/>
        </w:numPr>
        <w:rPr>
          <w:rFonts w:cs="Arial"/>
          <w:szCs w:val="21"/>
        </w:rPr>
      </w:pPr>
      <w:r w:rsidRPr="00E33B7D">
        <w:rPr>
          <w:rFonts w:cs="Arial"/>
          <w:szCs w:val="21"/>
        </w:rPr>
        <w:t>Météorologie ;</w:t>
      </w:r>
    </w:p>
    <w:p w14:paraId="6D450E56" w14:textId="77777777" w:rsidR="009021F1" w:rsidRPr="00E33B7D" w:rsidRDefault="009021F1" w:rsidP="009021F1">
      <w:pPr>
        <w:pStyle w:val="Paragraphedeliste"/>
        <w:numPr>
          <w:ilvl w:val="0"/>
          <w:numId w:val="45"/>
        </w:numPr>
        <w:rPr>
          <w:rFonts w:cs="Arial"/>
          <w:szCs w:val="21"/>
        </w:rPr>
      </w:pPr>
      <w:r w:rsidRPr="00E33B7D">
        <w:rPr>
          <w:rFonts w:cs="Arial"/>
          <w:szCs w:val="21"/>
        </w:rPr>
        <w:t>Marine marchande ;</w:t>
      </w:r>
    </w:p>
    <w:p w14:paraId="0D43EA2A" w14:textId="77777777" w:rsidR="009021F1" w:rsidRPr="00E33B7D" w:rsidRDefault="009021F1" w:rsidP="009021F1">
      <w:pPr>
        <w:pStyle w:val="Paragraphedeliste"/>
        <w:numPr>
          <w:ilvl w:val="0"/>
          <w:numId w:val="45"/>
        </w:numPr>
        <w:rPr>
          <w:rFonts w:cs="Arial"/>
          <w:szCs w:val="21"/>
        </w:rPr>
      </w:pPr>
      <w:r w:rsidRPr="00E33B7D">
        <w:rPr>
          <w:rFonts w:cs="Arial"/>
          <w:szCs w:val="21"/>
        </w:rPr>
        <w:t>Exploitation des infrastructures routières, ferroviaires, maritimes, fluviales, lacustres,</w:t>
      </w:r>
    </w:p>
    <w:p w14:paraId="017AF68C" w14:textId="77777777" w:rsidR="009021F1" w:rsidRPr="00E33B7D" w:rsidRDefault="009021F1" w:rsidP="009021F1">
      <w:pPr>
        <w:pStyle w:val="Paragraphedeliste"/>
        <w:rPr>
          <w:rFonts w:cs="Arial"/>
          <w:szCs w:val="21"/>
        </w:rPr>
      </w:pPr>
      <w:r w:rsidRPr="00E33B7D">
        <w:rPr>
          <w:rFonts w:cs="Arial"/>
          <w:szCs w:val="21"/>
        </w:rPr>
        <w:t>Aéroportuaires et de météorologie ;</w:t>
      </w:r>
    </w:p>
    <w:p w14:paraId="65510F8E" w14:textId="77777777" w:rsidR="009021F1" w:rsidRPr="00E33B7D" w:rsidRDefault="009021F1" w:rsidP="009021F1">
      <w:pPr>
        <w:pStyle w:val="Paragraphedeliste"/>
        <w:numPr>
          <w:ilvl w:val="0"/>
          <w:numId w:val="45"/>
        </w:numPr>
        <w:rPr>
          <w:rFonts w:cs="Arial"/>
          <w:szCs w:val="21"/>
        </w:rPr>
      </w:pPr>
      <w:r w:rsidRPr="00E33B7D">
        <w:rPr>
          <w:rFonts w:cs="Arial"/>
          <w:szCs w:val="21"/>
        </w:rPr>
        <w:t>Equipements des transports routier, ferroviaire, maritime, fluvial et lacustre et de l’aviation civile ;</w:t>
      </w:r>
    </w:p>
    <w:p w14:paraId="71CEAB5A" w14:textId="77777777" w:rsidR="009021F1" w:rsidRPr="00E33B7D" w:rsidRDefault="009021F1" w:rsidP="009021F1">
      <w:pPr>
        <w:pStyle w:val="Paragraphedeliste"/>
        <w:numPr>
          <w:ilvl w:val="0"/>
          <w:numId w:val="45"/>
        </w:numPr>
        <w:rPr>
          <w:rFonts w:cs="Arial"/>
          <w:szCs w:val="21"/>
        </w:rPr>
      </w:pPr>
      <w:r w:rsidRPr="00E33B7D">
        <w:rPr>
          <w:rFonts w:cs="Arial"/>
          <w:szCs w:val="21"/>
        </w:rPr>
        <w:t>Qualification du personnel technique en transport routier, ferroviaire, maritime, fluvial et lacustre et de l’aviation civile ;</w:t>
      </w:r>
    </w:p>
    <w:p w14:paraId="20908F29" w14:textId="77777777" w:rsidR="009021F1" w:rsidRPr="00E33B7D" w:rsidRDefault="009021F1" w:rsidP="009021F1">
      <w:pPr>
        <w:pStyle w:val="Paragraphedeliste"/>
        <w:numPr>
          <w:ilvl w:val="0"/>
          <w:numId w:val="45"/>
        </w:numPr>
        <w:rPr>
          <w:rFonts w:cs="Arial"/>
          <w:szCs w:val="21"/>
        </w:rPr>
      </w:pPr>
      <w:r w:rsidRPr="00E33B7D">
        <w:rPr>
          <w:rFonts w:cs="Arial"/>
          <w:szCs w:val="21"/>
        </w:rPr>
        <w:t>Élaboration de la politique nationale des transports ;</w:t>
      </w:r>
    </w:p>
    <w:p w14:paraId="64D0EE49" w14:textId="77777777" w:rsidR="009021F1" w:rsidRPr="00E33B7D" w:rsidRDefault="009021F1" w:rsidP="009021F1">
      <w:pPr>
        <w:pStyle w:val="Paragraphedeliste"/>
        <w:numPr>
          <w:ilvl w:val="0"/>
          <w:numId w:val="45"/>
        </w:numPr>
        <w:rPr>
          <w:rFonts w:cs="Arial"/>
          <w:szCs w:val="21"/>
        </w:rPr>
      </w:pPr>
      <w:r w:rsidRPr="00E33B7D">
        <w:rPr>
          <w:rFonts w:cs="Arial"/>
          <w:szCs w:val="21"/>
        </w:rPr>
        <w:t>Développement coordonné de tous les moyens et équipements des transports publics</w:t>
      </w:r>
    </w:p>
    <w:p w14:paraId="3E5250EB" w14:textId="77777777" w:rsidR="009021F1" w:rsidRPr="00E33B7D" w:rsidRDefault="009021F1" w:rsidP="009021F1">
      <w:pPr>
        <w:pStyle w:val="Paragraphedeliste"/>
        <w:numPr>
          <w:ilvl w:val="0"/>
          <w:numId w:val="45"/>
        </w:numPr>
        <w:rPr>
          <w:rFonts w:cs="Arial"/>
          <w:szCs w:val="21"/>
        </w:rPr>
      </w:pPr>
      <w:r w:rsidRPr="00E33B7D">
        <w:rPr>
          <w:rFonts w:cs="Arial"/>
          <w:szCs w:val="21"/>
        </w:rPr>
        <w:t>Promotion de l’inter-modalité des transports et ses plateformes ;</w:t>
      </w:r>
    </w:p>
    <w:p w14:paraId="76F71E82" w14:textId="77777777" w:rsidR="009021F1" w:rsidRPr="00E33B7D" w:rsidRDefault="009021F1" w:rsidP="009021F1">
      <w:pPr>
        <w:pStyle w:val="Paragraphedeliste"/>
        <w:numPr>
          <w:ilvl w:val="0"/>
          <w:numId w:val="45"/>
        </w:numPr>
        <w:rPr>
          <w:rFonts w:cs="Arial"/>
          <w:szCs w:val="21"/>
        </w:rPr>
      </w:pPr>
      <w:r w:rsidRPr="00E33B7D">
        <w:rPr>
          <w:rFonts w:cs="Arial"/>
          <w:szCs w:val="21"/>
        </w:rPr>
        <w:t>Étude pour l’organisation et le développement des activités du sous-secteur des auxiliaires des transports (commissionnaires en douane, transitaires, courtiers, affréteurs, agents de fret, consignataires, groupeurs, emballeurs, manutentionnaires, agents de voyage, agents portuaires, etc.) ;</w:t>
      </w:r>
    </w:p>
    <w:p w14:paraId="015A6AF3" w14:textId="77777777" w:rsidR="009021F1" w:rsidRPr="00E33B7D" w:rsidRDefault="009021F1" w:rsidP="009021F1">
      <w:pPr>
        <w:pStyle w:val="Paragraphedeliste"/>
        <w:numPr>
          <w:ilvl w:val="0"/>
          <w:numId w:val="45"/>
        </w:numPr>
        <w:rPr>
          <w:rFonts w:cs="Arial"/>
          <w:szCs w:val="21"/>
        </w:rPr>
      </w:pPr>
      <w:r w:rsidRPr="00E33B7D">
        <w:rPr>
          <w:rFonts w:cs="Arial"/>
          <w:szCs w:val="21"/>
        </w:rPr>
        <w:t>Octroi des titres d’exploitation et de sécurité de transport et auxiliaires.</w:t>
      </w:r>
    </w:p>
    <w:p w14:paraId="04C59A5D" w14:textId="77777777" w:rsidR="009021F1" w:rsidRPr="00E33B7D" w:rsidRDefault="009021F1" w:rsidP="009021F1">
      <w:pPr>
        <w:pStyle w:val="Paragraphedeliste"/>
        <w:numPr>
          <w:ilvl w:val="0"/>
          <w:numId w:val="45"/>
        </w:numPr>
        <w:rPr>
          <w:rFonts w:cs="Arial"/>
          <w:szCs w:val="21"/>
        </w:rPr>
      </w:pPr>
      <w:r w:rsidRPr="00E33B7D">
        <w:rPr>
          <w:rFonts w:cs="Arial"/>
          <w:szCs w:val="21"/>
        </w:rPr>
        <w:t>Étude et élaboration des normes en matière de conditionnement et d’emballage des marchandises pour le transport, la manutention et le stockage.</w:t>
      </w:r>
    </w:p>
    <w:p w14:paraId="2BBF8A19" w14:textId="77777777" w:rsidR="009021F1" w:rsidRPr="00E33B7D" w:rsidRDefault="009021F1" w:rsidP="009021F1">
      <w:pPr>
        <w:autoSpaceDE w:val="0"/>
        <w:autoSpaceDN w:val="0"/>
        <w:adjustRightInd w:val="0"/>
        <w:rPr>
          <w:rFonts w:eastAsia="Calibri" w:cs="Arial"/>
          <w:color w:val="000000"/>
          <w:szCs w:val="21"/>
        </w:rPr>
      </w:pPr>
    </w:p>
    <w:p w14:paraId="6E21BBC7" w14:textId="77777777" w:rsidR="009021F1" w:rsidRPr="00E33B7D" w:rsidRDefault="009021F1" w:rsidP="009021F1">
      <w:pPr>
        <w:pStyle w:val="Titre2"/>
        <w:numPr>
          <w:ilvl w:val="2"/>
          <w:numId w:val="4"/>
        </w:numPr>
        <w:ind w:left="1560" w:hanging="709"/>
        <w:rPr>
          <w:rFonts w:cs="Arial"/>
          <w:i/>
          <w:szCs w:val="21"/>
        </w:rPr>
      </w:pPr>
      <w:bookmarkStart w:id="349" w:name="_Toc90471455"/>
      <w:r w:rsidRPr="00E33B7D">
        <w:rPr>
          <w:rFonts w:cs="Arial"/>
          <w:i/>
          <w:szCs w:val="21"/>
        </w:rPr>
        <w:t>5. Ministère des Infrastructures et Travaux Publics</w:t>
      </w:r>
      <w:bookmarkEnd w:id="349"/>
    </w:p>
    <w:p w14:paraId="1F2DA1EA" w14:textId="77777777" w:rsidR="009021F1" w:rsidRPr="00E33B7D" w:rsidRDefault="009021F1" w:rsidP="009021F1">
      <w:pPr>
        <w:rPr>
          <w:rFonts w:cs="Arial"/>
          <w:szCs w:val="21"/>
        </w:rPr>
      </w:pPr>
    </w:p>
    <w:p w14:paraId="34A95D5C" w14:textId="77777777" w:rsidR="009021F1" w:rsidRPr="00E33B7D" w:rsidRDefault="009021F1" w:rsidP="009021F1">
      <w:pPr>
        <w:rPr>
          <w:rFonts w:cs="Arial"/>
          <w:szCs w:val="21"/>
        </w:rPr>
      </w:pPr>
      <w:r w:rsidRPr="00E33B7D">
        <w:rPr>
          <w:rFonts w:cs="Arial"/>
          <w:szCs w:val="21"/>
        </w:rPr>
        <w:t xml:space="preserve">Le ministère des infrastructures et travaux publics a pour mission : </w:t>
      </w:r>
    </w:p>
    <w:p w14:paraId="606F539C" w14:textId="77777777" w:rsidR="009021F1" w:rsidRPr="00E33B7D" w:rsidRDefault="009021F1" w:rsidP="009021F1">
      <w:pPr>
        <w:rPr>
          <w:rFonts w:cs="Arial"/>
          <w:szCs w:val="21"/>
        </w:rPr>
      </w:pPr>
    </w:p>
    <w:p w14:paraId="29E76290" w14:textId="77777777" w:rsidR="009021F1" w:rsidRPr="00E33B7D" w:rsidRDefault="009021F1" w:rsidP="009021F1">
      <w:pPr>
        <w:pStyle w:val="Paragraphedeliste"/>
        <w:numPr>
          <w:ilvl w:val="0"/>
          <w:numId w:val="45"/>
        </w:numPr>
        <w:rPr>
          <w:rFonts w:cs="Arial"/>
          <w:szCs w:val="21"/>
        </w:rPr>
      </w:pPr>
      <w:r w:rsidRPr="00E33B7D">
        <w:rPr>
          <w:rFonts w:cs="Arial"/>
          <w:szCs w:val="21"/>
        </w:rPr>
        <w:t>Conception, construction, modernisation, développement, aménagement et entretien des infrastructures routières, portuaires, aéroportuaires, ferroviaires, hydroélectriques non concédées, scolaires, sanitaires, sociales, touristiques et sportives, des bâtiments et des édifices publics en collaboration, le cas échéant, avec les Ministères sectoriels concernés par les projets d’infrastructures ;</w:t>
      </w:r>
    </w:p>
    <w:p w14:paraId="2CBCEE74" w14:textId="77777777" w:rsidR="009021F1" w:rsidRPr="00E33B7D" w:rsidRDefault="009021F1" w:rsidP="009021F1">
      <w:pPr>
        <w:pStyle w:val="Paragraphedeliste"/>
        <w:numPr>
          <w:ilvl w:val="0"/>
          <w:numId w:val="45"/>
        </w:numPr>
        <w:rPr>
          <w:rFonts w:cs="Arial"/>
          <w:szCs w:val="21"/>
        </w:rPr>
      </w:pPr>
      <w:r w:rsidRPr="00E33B7D">
        <w:rPr>
          <w:rFonts w:cs="Arial"/>
          <w:szCs w:val="21"/>
        </w:rPr>
        <w:t>Conception, construction, aménagement et entretien des ouvrages à caractère national de drainage, d’assainissement et de lutte antiérosive ;</w:t>
      </w:r>
    </w:p>
    <w:p w14:paraId="67149E32" w14:textId="77777777" w:rsidR="009021F1" w:rsidRPr="00E33B7D" w:rsidRDefault="009021F1" w:rsidP="009021F1">
      <w:pPr>
        <w:pStyle w:val="Paragraphedeliste"/>
        <w:numPr>
          <w:ilvl w:val="0"/>
          <w:numId w:val="45"/>
        </w:numPr>
        <w:rPr>
          <w:rFonts w:cs="Arial"/>
          <w:szCs w:val="21"/>
        </w:rPr>
      </w:pPr>
      <w:r w:rsidRPr="00E33B7D">
        <w:rPr>
          <w:rFonts w:cs="Arial"/>
          <w:szCs w:val="21"/>
        </w:rPr>
        <w:t>Préparation, passation, contrôle et surveillance des marchés publics relatifs aux études et aux travaux de génie civil financés par le Gouvernement et les partenaires extérieurs, en collaboration avec les Ministères ayant les Finances, le Budget et le Plan dans leurs attributions ;</w:t>
      </w:r>
    </w:p>
    <w:p w14:paraId="1D05DE00" w14:textId="77777777" w:rsidR="009021F1" w:rsidRPr="00E33B7D" w:rsidRDefault="009021F1" w:rsidP="009021F1">
      <w:pPr>
        <w:pStyle w:val="Paragraphedeliste"/>
        <w:numPr>
          <w:ilvl w:val="0"/>
          <w:numId w:val="45"/>
        </w:numPr>
        <w:rPr>
          <w:rFonts w:cs="Arial"/>
          <w:szCs w:val="21"/>
        </w:rPr>
      </w:pPr>
      <w:r w:rsidRPr="00E33B7D">
        <w:rPr>
          <w:rFonts w:cs="Arial"/>
          <w:szCs w:val="21"/>
        </w:rPr>
        <w:t>Surveillance et contrôle technique et financier des études et des travaux en régie et à l’entreprise ;</w:t>
      </w:r>
    </w:p>
    <w:p w14:paraId="052266D1" w14:textId="77777777" w:rsidR="009021F1" w:rsidRPr="00E33B7D" w:rsidRDefault="009021F1" w:rsidP="009021F1">
      <w:pPr>
        <w:pStyle w:val="Paragraphedeliste"/>
        <w:numPr>
          <w:ilvl w:val="0"/>
          <w:numId w:val="45"/>
        </w:numPr>
        <w:rPr>
          <w:rFonts w:cs="Arial"/>
          <w:szCs w:val="21"/>
        </w:rPr>
      </w:pPr>
      <w:r w:rsidRPr="00E33B7D">
        <w:rPr>
          <w:rFonts w:cs="Arial"/>
          <w:szCs w:val="21"/>
        </w:rPr>
        <w:t>Expertise et contre-expertise en matière d’études portant sur les travaux publics et les biens mobiliers de l’État ;</w:t>
      </w:r>
    </w:p>
    <w:p w14:paraId="13CF17FA" w14:textId="77777777" w:rsidR="009021F1" w:rsidRPr="00E33B7D" w:rsidRDefault="009021F1" w:rsidP="009021F1">
      <w:pPr>
        <w:pStyle w:val="Paragraphedeliste"/>
        <w:numPr>
          <w:ilvl w:val="0"/>
          <w:numId w:val="45"/>
        </w:numPr>
        <w:rPr>
          <w:rFonts w:cs="Arial"/>
          <w:szCs w:val="21"/>
        </w:rPr>
      </w:pPr>
      <w:r w:rsidRPr="00E33B7D">
        <w:rPr>
          <w:rFonts w:cs="Arial"/>
          <w:szCs w:val="21"/>
        </w:rPr>
        <w:t>Promotion des matériaux et des techniques de construction ;</w:t>
      </w:r>
    </w:p>
    <w:p w14:paraId="0AD78034" w14:textId="77777777" w:rsidR="009021F1" w:rsidRPr="00E33B7D" w:rsidRDefault="009021F1" w:rsidP="009021F1">
      <w:pPr>
        <w:pStyle w:val="Paragraphedeliste"/>
        <w:numPr>
          <w:ilvl w:val="0"/>
          <w:numId w:val="45"/>
        </w:numPr>
        <w:rPr>
          <w:rFonts w:cs="Arial"/>
          <w:szCs w:val="21"/>
        </w:rPr>
      </w:pPr>
      <w:r w:rsidRPr="00E33B7D">
        <w:rPr>
          <w:rFonts w:cs="Arial"/>
          <w:szCs w:val="21"/>
        </w:rPr>
        <w:t>Enregistrement et agrément d’entreprises, bureaux d’études et indépendants du secteur de la construction ;</w:t>
      </w:r>
    </w:p>
    <w:p w14:paraId="085E0F14" w14:textId="77777777" w:rsidR="009021F1" w:rsidRPr="00E33B7D" w:rsidRDefault="009021F1" w:rsidP="009021F1">
      <w:pPr>
        <w:pStyle w:val="Paragraphedeliste"/>
        <w:numPr>
          <w:ilvl w:val="0"/>
          <w:numId w:val="45"/>
        </w:numPr>
        <w:rPr>
          <w:rFonts w:cs="Arial"/>
          <w:szCs w:val="21"/>
        </w:rPr>
      </w:pPr>
      <w:r w:rsidRPr="00E33B7D">
        <w:rPr>
          <w:rFonts w:cs="Arial"/>
          <w:szCs w:val="21"/>
        </w:rPr>
        <w:t>Inventaire, analyse et interprétation des données sur les infrastructures et les équipements ;</w:t>
      </w:r>
    </w:p>
    <w:p w14:paraId="1B7530FC" w14:textId="77777777" w:rsidR="009021F1" w:rsidRPr="00E33B7D" w:rsidRDefault="009021F1" w:rsidP="009021F1">
      <w:pPr>
        <w:pStyle w:val="Paragraphedeliste"/>
        <w:numPr>
          <w:ilvl w:val="0"/>
          <w:numId w:val="45"/>
        </w:numPr>
        <w:rPr>
          <w:rFonts w:cs="Arial"/>
          <w:szCs w:val="21"/>
        </w:rPr>
      </w:pPr>
      <w:r w:rsidRPr="00E33B7D">
        <w:rPr>
          <w:rFonts w:cs="Arial"/>
          <w:szCs w:val="21"/>
        </w:rPr>
        <w:t>Elaboration des normes en matière de construction ;</w:t>
      </w:r>
    </w:p>
    <w:p w14:paraId="79E4E84B" w14:textId="77777777" w:rsidR="009021F1" w:rsidRPr="00E33B7D" w:rsidRDefault="009021F1" w:rsidP="009021F1">
      <w:pPr>
        <w:pStyle w:val="Paragraphedeliste"/>
        <w:numPr>
          <w:ilvl w:val="0"/>
          <w:numId w:val="45"/>
        </w:numPr>
        <w:rPr>
          <w:rFonts w:cs="Arial"/>
          <w:szCs w:val="21"/>
        </w:rPr>
      </w:pPr>
      <w:r w:rsidRPr="00E33B7D">
        <w:rPr>
          <w:rFonts w:cs="Arial"/>
          <w:szCs w:val="21"/>
        </w:rPr>
        <w:t>Contrôle de l’application des normes légales, réglementaires ou techniques relatives à la construction ;</w:t>
      </w:r>
    </w:p>
    <w:p w14:paraId="5DB080A7" w14:textId="77777777" w:rsidR="009021F1" w:rsidRPr="00E33B7D" w:rsidRDefault="009021F1" w:rsidP="009021F1">
      <w:pPr>
        <w:pStyle w:val="Paragraphedeliste"/>
        <w:numPr>
          <w:ilvl w:val="0"/>
          <w:numId w:val="45"/>
        </w:numPr>
        <w:rPr>
          <w:rFonts w:cs="Arial"/>
          <w:szCs w:val="21"/>
        </w:rPr>
      </w:pPr>
      <w:r w:rsidRPr="00E33B7D">
        <w:rPr>
          <w:rFonts w:cs="Arial"/>
          <w:szCs w:val="21"/>
        </w:rPr>
        <w:t>Conception de la politique de reconstruction en collaboration avec les Ministères concernés ;</w:t>
      </w:r>
    </w:p>
    <w:p w14:paraId="574466CD" w14:textId="77777777" w:rsidR="009021F1" w:rsidRPr="00E33B7D" w:rsidRDefault="009021F1" w:rsidP="009021F1">
      <w:pPr>
        <w:pStyle w:val="Paragraphedeliste"/>
        <w:numPr>
          <w:ilvl w:val="0"/>
          <w:numId w:val="45"/>
        </w:numPr>
        <w:rPr>
          <w:rFonts w:cs="Arial"/>
          <w:szCs w:val="21"/>
        </w:rPr>
      </w:pPr>
      <w:r w:rsidRPr="00E33B7D">
        <w:rPr>
          <w:rFonts w:cs="Arial"/>
          <w:szCs w:val="21"/>
        </w:rPr>
        <w:t>Gestion du parc automobile de l’État ;</w:t>
      </w:r>
    </w:p>
    <w:p w14:paraId="7628A208" w14:textId="77777777" w:rsidR="009021F1" w:rsidRPr="00E33B7D" w:rsidRDefault="009021F1" w:rsidP="009021F1">
      <w:pPr>
        <w:pStyle w:val="Paragraphedeliste"/>
        <w:numPr>
          <w:ilvl w:val="0"/>
          <w:numId w:val="45"/>
        </w:numPr>
        <w:rPr>
          <w:rFonts w:cs="Arial"/>
          <w:szCs w:val="21"/>
        </w:rPr>
      </w:pPr>
      <w:r w:rsidRPr="00E33B7D">
        <w:rPr>
          <w:rFonts w:cs="Arial"/>
          <w:szCs w:val="21"/>
        </w:rPr>
        <w:t>Gestion des stocks et suivi de la consommation des hydrocarbures de l’État ;</w:t>
      </w:r>
    </w:p>
    <w:p w14:paraId="0FDD0BC3" w14:textId="77777777" w:rsidR="009021F1" w:rsidRPr="00E33B7D" w:rsidRDefault="009021F1" w:rsidP="009021F1">
      <w:pPr>
        <w:pStyle w:val="Paragraphedeliste"/>
        <w:numPr>
          <w:ilvl w:val="0"/>
          <w:numId w:val="45"/>
        </w:numPr>
        <w:rPr>
          <w:rFonts w:cs="Arial"/>
          <w:szCs w:val="21"/>
        </w:rPr>
      </w:pPr>
      <w:r w:rsidRPr="00E33B7D">
        <w:rPr>
          <w:rFonts w:cs="Arial"/>
          <w:szCs w:val="21"/>
        </w:rPr>
        <w:t>Gestion du patrimoine immobilier du domaine public de l’État ainsi que de tous les équipements y relatifs.</w:t>
      </w:r>
    </w:p>
    <w:p w14:paraId="2E18FF3F" w14:textId="77777777" w:rsidR="009021F1" w:rsidRPr="00E33B7D" w:rsidRDefault="009021F1" w:rsidP="009021F1">
      <w:pPr>
        <w:autoSpaceDE w:val="0"/>
        <w:autoSpaceDN w:val="0"/>
        <w:adjustRightInd w:val="0"/>
        <w:rPr>
          <w:rFonts w:eastAsia="Calibri" w:cs="Arial"/>
          <w:color w:val="000000"/>
          <w:szCs w:val="21"/>
        </w:rPr>
      </w:pPr>
    </w:p>
    <w:p w14:paraId="1004F1B3" w14:textId="77777777" w:rsidR="009021F1" w:rsidRPr="00E33B7D" w:rsidRDefault="009021F1" w:rsidP="009021F1">
      <w:pPr>
        <w:pStyle w:val="Titre2"/>
        <w:numPr>
          <w:ilvl w:val="2"/>
          <w:numId w:val="4"/>
        </w:numPr>
        <w:ind w:left="1560" w:hanging="709"/>
        <w:rPr>
          <w:rFonts w:cs="Arial"/>
          <w:i/>
          <w:szCs w:val="21"/>
        </w:rPr>
      </w:pPr>
      <w:bookmarkStart w:id="350" w:name="_Toc90471456"/>
      <w:r w:rsidRPr="00E33B7D">
        <w:rPr>
          <w:rFonts w:cs="Arial"/>
          <w:i/>
          <w:szCs w:val="21"/>
        </w:rPr>
        <w:t>Ministère des Classes Moyennes, Petites et Moyennes Entreprises, Artisanat</w:t>
      </w:r>
      <w:bookmarkEnd w:id="350"/>
    </w:p>
    <w:p w14:paraId="28B92364" w14:textId="77777777" w:rsidR="009021F1" w:rsidRPr="00E33B7D" w:rsidRDefault="009021F1" w:rsidP="009021F1">
      <w:pPr>
        <w:shd w:val="clear" w:color="auto" w:fill="FFFFFF"/>
        <w:spacing w:line="240" w:lineRule="auto"/>
        <w:rPr>
          <w:rFonts w:cs="Arial"/>
          <w:bCs/>
          <w:color w:val="000000"/>
          <w:szCs w:val="21"/>
        </w:rPr>
      </w:pPr>
    </w:p>
    <w:p w14:paraId="618F721E" w14:textId="77777777" w:rsidR="009021F1" w:rsidRPr="00E33B7D" w:rsidRDefault="009021F1" w:rsidP="009021F1">
      <w:pPr>
        <w:shd w:val="clear" w:color="auto" w:fill="FFFFFF"/>
        <w:spacing w:line="240" w:lineRule="auto"/>
        <w:rPr>
          <w:rFonts w:cs="Arial"/>
          <w:bCs/>
          <w:color w:val="000000"/>
          <w:szCs w:val="21"/>
        </w:rPr>
      </w:pPr>
      <w:r w:rsidRPr="00E33B7D">
        <w:rPr>
          <w:rFonts w:cs="Arial"/>
          <w:bCs/>
          <w:color w:val="000000"/>
          <w:szCs w:val="21"/>
        </w:rPr>
        <w:t>Le ministère de PME a pour mission :</w:t>
      </w:r>
    </w:p>
    <w:p w14:paraId="5719CAFA" w14:textId="77777777" w:rsidR="009021F1" w:rsidRPr="00E33B7D" w:rsidRDefault="009021F1" w:rsidP="009021F1">
      <w:pPr>
        <w:shd w:val="clear" w:color="auto" w:fill="FFFFFF"/>
        <w:spacing w:line="240" w:lineRule="auto"/>
        <w:rPr>
          <w:rFonts w:cs="Arial"/>
          <w:color w:val="383838"/>
          <w:szCs w:val="21"/>
        </w:rPr>
      </w:pPr>
    </w:p>
    <w:p w14:paraId="138CD01C" w14:textId="77777777" w:rsidR="009021F1" w:rsidRPr="00E33B7D" w:rsidRDefault="009021F1" w:rsidP="009021F1">
      <w:pPr>
        <w:pStyle w:val="Paragraphedeliste"/>
        <w:numPr>
          <w:ilvl w:val="0"/>
          <w:numId w:val="45"/>
        </w:numPr>
        <w:rPr>
          <w:rFonts w:cs="Arial"/>
          <w:szCs w:val="21"/>
        </w:rPr>
      </w:pPr>
      <w:r w:rsidRPr="00E33B7D">
        <w:rPr>
          <w:rFonts w:cs="Arial"/>
          <w:szCs w:val="21"/>
        </w:rPr>
        <w:t>Mise en œuvre de la politique de promotion des classes moyennes ;</w:t>
      </w:r>
    </w:p>
    <w:p w14:paraId="1C187C3E" w14:textId="77777777" w:rsidR="009021F1" w:rsidRPr="00E33B7D" w:rsidRDefault="009021F1" w:rsidP="009021F1">
      <w:pPr>
        <w:pStyle w:val="Paragraphedeliste"/>
        <w:numPr>
          <w:ilvl w:val="0"/>
          <w:numId w:val="45"/>
        </w:numPr>
        <w:rPr>
          <w:rFonts w:cs="Arial"/>
          <w:szCs w:val="21"/>
        </w:rPr>
      </w:pPr>
      <w:r w:rsidRPr="00E33B7D">
        <w:rPr>
          <w:rFonts w:cs="Arial"/>
          <w:szCs w:val="21"/>
        </w:rPr>
        <w:t>de la culture de l’entrepreneuriat et de l’artisanat,</w:t>
      </w:r>
    </w:p>
    <w:p w14:paraId="72632798" w14:textId="77777777" w:rsidR="009021F1" w:rsidRPr="00E33B7D" w:rsidRDefault="009021F1" w:rsidP="009021F1">
      <w:pPr>
        <w:pStyle w:val="Paragraphedeliste"/>
        <w:numPr>
          <w:ilvl w:val="0"/>
          <w:numId w:val="45"/>
        </w:numPr>
        <w:rPr>
          <w:rFonts w:cs="Arial"/>
          <w:szCs w:val="21"/>
        </w:rPr>
      </w:pPr>
      <w:r w:rsidRPr="00E33B7D">
        <w:rPr>
          <w:rFonts w:cs="Arial"/>
          <w:szCs w:val="21"/>
        </w:rPr>
        <w:t>des incubateurs des Petites et Moyennes Entreprises et Artisanat (PMEA) ;</w:t>
      </w:r>
    </w:p>
    <w:p w14:paraId="60F2E096" w14:textId="77777777" w:rsidR="009021F1" w:rsidRPr="00E33B7D" w:rsidRDefault="009021F1" w:rsidP="009021F1">
      <w:pPr>
        <w:pStyle w:val="Paragraphedeliste"/>
        <w:numPr>
          <w:ilvl w:val="0"/>
          <w:numId w:val="45"/>
        </w:numPr>
        <w:rPr>
          <w:rFonts w:cs="Arial"/>
          <w:szCs w:val="21"/>
        </w:rPr>
      </w:pPr>
      <w:r w:rsidRPr="00E33B7D">
        <w:rPr>
          <w:rFonts w:cs="Arial"/>
          <w:szCs w:val="21"/>
        </w:rPr>
        <w:t>de la sous-traitance dans le secteur privé ;</w:t>
      </w:r>
    </w:p>
    <w:p w14:paraId="609EC9C2" w14:textId="77777777" w:rsidR="009021F1" w:rsidRPr="00E33B7D" w:rsidRDefault="009021F1" w:rsidP="009021F1">
      <w:pPr>
        <w:pStyle w:val="Paragraphedeliste"/>
        <w:numPr>
          <w:ilvl w:val="0"/>
          <w:numId w:val="45"/>
        </w:numPr>
        <w:rPr>
          <w:rFonts w:cs="Arial"/>
          <w:szCs w:val="21"/>
        </w:rPr>
      </w:pPr>
      <w:r w:rsidRPr="00E33B7D">
        <w:rPr>
          <w:rFonts w:cs="Arial"/>
          <w:szCs w:val="21"/>
        </w:rPr>
        <w:t>des chambres des artisans ;</w:t>
      </w:r>
    </w:p>
    <w:p w14:paraId="46AF0D90" w14:textId="77777777" w:rsidR="009021F1" w:rsidRPr="00E33B7D" w:rsidRDefault="009021F1" w:rsidP="009021F1">
      <w:pPr>
        <w:pStyle w:val="Paragraphedeliste"/>
        <w:numPr>
          <w:ilvl w:val="0"/>
          <w:numId w:val="45"/>
        </w:numPr>
        <w:rPr>
          <w:rFonts w:cs="Arial"/>
          <w:szCs w:val="21"/>
        </w:rPr>
      </w:pPr>
      <w:r w:rsidRPr="00E33B7D">
        <w:rPr>
          <w:rFonts w:cs="Arial"/>
          <w:szCs w:val="21"/>
        </w:rPr>
        <w:t>des organisations professionnelles des PME ;</w:t>
      </w:r>
    </w:p>
    <w:p w14:paraId="44A83158" w14:textId="77777777" w:rsidR="009021F1" w:rsidRPr="00E33B7D" w:rsidRDefault="009021F1" w:rsidP="009021F1">
      <w:pPr>
        <w:pStyle w:val="Paragraphedeliste"/>
        <w:numPr>
          <w:ilvl w:val="0"/>
          <w:numId w:val="45"/>
        </w:numPr>
        <w:rPr>
          <w:rFonts w:cs="Arial"/>
          <w:szCs w:val="21"/>
        </w:rPr>
      </w:pPr>
      <w:r w:rsidRPr="00E33B7D">
        <w:rPr>
          <w:rFonts w:cs="Arial"/>
          <w:szCs w:val="21"/>
        </w:rPr>
        <w:t>de l’usage des normes et des poids par les PMEA ;</w:t>
      </w:r>
    </w:p>
    <w:p w14:paraId="0379C341" w14:textId="77777777" w:rsidR="009021F1" w:rsidRPr="00E33B7D" w:rsidRDefault="009021F1" w:rsidP="009021F1">
      <w:pPr>
        <w:pStyle w:val="Paragraphedeliste"/>
        <w:numPr>
          <w:ilvl w:val="0"/>
          <w:numId w:val="45"/>
        </w:numPr>
        <w:rPr>
          <w:rFonts w:cs="Arial"/>
          <w:szCs w:val="21"/>
        </w:rPr>
      </w:pPr>
      <w:r w:rsidRPr="00E33B7D">
        <w:rPr>
          <w:rFonts w:cs="Arial"/>
          <w:szCs w:val="21"/>
        </w:rPr>
        <w:t>Définition, promotion et développement des moyens alternatifs et innovants de financement des PMEA en collaboration avec le Ministère ayant les Finances dans ses attributions ;</w:t>
      </w:r>
    </w:p>
    <w:p w14:paraId="7144569F" w14:textId="77777777" w:rsidR="009021F1" w:rsidRPr="00E33B7D" w:rsidRDefault="009021F1" w:rsidP="009021F1">
      <w:pPr>
        <w:pStyle w:val="Paragraphedeliste"/>
        <w:numPr>
          <w:ilvl w:val="0"/>
          <w:numId w:val="45"/>
        </w:numPr>
        <w:rPr>
          <w:rFonts w:cs="Arial"/>
          <w:szCs w:val="21"/>
        </w:rPr>
      </w:pPr>
      <w:r w:rsidRPr="00E33B7D">
        <w:rPr>
          <w:rFonts w:cs="Arial"/>
          <w:szCs w:val="21"/>
        </w:rPr>
        <w:t>Identification, recensement et accompagnement des PMEA en collaboration avec le Ministère en charge de l’Economie nationale ;</w:t>
      </w:r>
    </w:p>
    <w:p w14:paraId="65BC12F0" w14:textId="77777777" w:rsidR="009021F1" w:rsidRPr="00E33B7D" w:rsidRDefault="009021F1" w:rsidP="009021F1">
      <w:pPr>
        <w:pStyle w:val="Paragraphedeliste"/>
        <w:numPr>
          <w:ilvl w:val="0"/>
          <w:numId w:val="45"/>
        </w:numPr>
        <w:rPr>
          <w:rFonts w:cs="Arial"/>
          <w:szCs w:val="21"/>
        </w:rPr>
      </w:pPr>
      <w:r w:rsidRPr="00E33B7D">
        <w:rPr>
          <w:rFonts w:cs="Arial"/>
          <w:szCs w:val="21"/>
        </w:rPr>
        <w:t>Identification, organisation, encadrement et intégration de l'économie informelle, en collaboration avec le Ministère ayant l'Economie dans ses attributions ;</w:t>
      </w:r>
    </w:p>
    <w:p w14:paraId="7B2F60B8" w14:textId="77777777" w:rsidR="009021F1" w:rsidRPr="00E33B7D" w:rsidRDefault="009021F1" w:rsidP="009021F1">
      <w:pPr>
        <w:pStyle w:val="Paragraphedeliste"/>
        <w:numPr>
          <w:ilvl w:val="0"/>
          <w:numId w:val="45"/>
        </w:numPr>
        <w:rPr>
          <w:rFonts w:cs="Arial"/>
          <w:szCs w:val="21"/>
        </w:rPr>
      </w:pPr>
      <w:r w:rsidRPr="00E33B7D">
        <w:rPr>
          <w:rFonts w:cs="Arial"/>
          <w:szCs w:val="21"/>
        </w:rPr>
        <w:t>Inspection technique des Petites et Moyennes Entreprises et Artisanat.</w:t>
      </w:r>
    </w:p>
    <w:p w14:paraId="639E6362" w14:textId="77777777" w:rsidR="009021F1" w:rsidRPr="00E33B7D" w:rsidRDefault="009021F1" w:rsidP="009021F1">
      <w:pPr>
        <w:autoSpaceDE w:val="0"/>
        <w:autoSpaceDN w:val="0"/>
        <w:adjustRightInd w:val="0"/>
        <w:rPr>
          <w:rFonts w:eastAsia="Calibri" w:cs="Arial"/>
          <w:color w:val="000000"/>
          <w:szCs w:val="21"/>
        </w:rPr>
      </w:pPr>
    </w:p>
    <w:p w14:paraId="4E57A036" w14:textId="77777777" w:rsidR="009021F1" w:rsidRPr="00E33B7D" w:rsidRDefault="009021F1" w:rsidP="009021F1">
      <w:pPr>
        <w:pStyle w:val="Titre2"/>
        <w:numPr>
          <w:ilvl w:val="2"/>
          <w:numId w:val="4"/>
        </w:numPr>
        <w:ind w:left="1560" w:hanging="709"/>
        <w:rPr>
          <w:rFonts w:cs="Arial"/>
          <w:i/>
          <w:szCs w:val="21"/>
        </w:rPr>
      </w:pPr>
      <w:bookmarkStart w:id="351" w:name="_Toc90471457"/>
      <w:r w:rsidRPr="00E33B7D">
        <w:rPr>
          <w:rFonts w:cs="Arial"/>
          <w:i/>
          <w:szCs w:val="21"/>
        </w:rPr>
        <w:t>Autres Ministères Provinciaux impliqués dans la gestion environnementale et sociale du Projet</w:t>
      </w:r>
      <w:bookmarkEnd w:id="351"/>
    </w:p>
    <w:p w14:paraId="12AA09E4" w14:textId="77777777" w:rsidR="009021F1" w:rsidRPr="00E33B7D" w:rsidRDefault="009021F1" w:rsidP="009021F1">
      <w:pPr>
        <w:rPr>
          <w:rFonts w:cs="Arial"/>
          <w:szCs w:val="21"/>
        </w:rPr>
      </w:pPr>
    </w:p>
    <w:p w14:paraId="204A343D" w14:textId="77777777" w:rsidR="009021F1" w:rsidRPr="00E33B7D" w:rsidRDefault="009021F1" w:rsidP="009021F1">
      <w:pPr>
        <w:rPr>
          <w:rFonts w:cs="Arial"/>
          <w:szCs w:val="21"/>
        </w:rPr>
      </w:pPr>
      <w:r w:rsidRPr="00E33B7D">
        <w:rPr>
          <w:rFonts w:cs="Arial"/>
          <w:szCs w:val="21"/>
        </w:rPr>
        <w:t xml:space="preserve">La gestion environnementale et sociale des activités du Projet interpelle aussi les institutions suivantes : </w:t>
      </w:r>
    </w:p>
    <w:p w14:paraId="59C2DBC7" w14:textId="77777777" w:rsidR="009021F1" w:rsidRPr="00E33B7D" w:rsidRDefault="009021F1" w:rsidP="009021F1">
      <w:pPr>
        <w:rPr>
          <w:rFonts w:cs="Arial"/>
          <w:szCs w:val="21"/>
        </w:rPr>
      </w:pPr>
    </w:p>
    <w:p w14:paraId="23765668" w14:textId="77777777" w:rsidR="009021F1" w:rsidRPr="00E33B7D" w:rsidRDefault="009021F1" w:rsidP="009021F1">
      <w:pPr>
        <w:pStyle w:val="Paragraphedeliste"/>
        <w:numPr>
          <w:ilvl w:val="0"/>
          <w:numId w:val="45"/>
        </w:numPr>
        <w:rPr>
          <w:rFonts w:cs="Arial"/>
          <w:szCs w:val="21"/>
        </w:rPr>
      </w:pPr>
      <w:r w:rsidRPr="00E33B7D">
        <w:rPr>
          <w:rFonts w:cs="Arial"/>
          <w:szCs w:val="21"/>
        </w:rPr>
        <w:t>Ministère Provincial de l’Agriculture ;</w:t>
      </w:r>
    </w:p>
    <w:p w14:paraId="0DDDA9F4" w14:textId="77777777" w:rsidR="009021F1" w:rsidRPr="00E33B7D" w:rsidRDefault="009021F1" w:rsidP="009021F1">
      <w:pPr>
        <w:pStyle w:val="Paragraphedeliste"/>
        <w:numPr>
          <w:ilvl w:val="0"/>
          <w:numId w:val="45"/>
        </w:numPr>
        <w:rPr>
          <w:rFonts w:cs="Arial"/>
          <w:szCs w:val="21"/>
        </w:rPr>
      </w:pPr>
      <w:r w:rsidRPr="00E33B7D">
        <w:rPr>
          <w:rFonts w:cs="Arial"/>
          <w:szCs w:val="21"/>
        </w:rPr>
        <w:t>Ministère Provincial de la Santé Publique qui coordonne la lutte contre le VIH/SIDA, à travers le Programme National de Lutte contre le SIDA et les IST, ainsi que la réponse médicale aux cas de VBG ;</w:t>
      </w:r>
    </w:p>
    <w:p w14:paraId="0BCDA4C6" w14:textId="77777777" w:rsidR="009021F1" w:rsidRPr="00E33B7D" w:rsidRDefault="009021F1" w:rsidP="009021F1">
      <w:pPr>
        <w:pStyle w:val="Paragraphedeliste"/>
        <w:numPr>
          <w:ilvl w:val="0"/>
          <w:numId w:val="45"/>
        </w:numPr>
        <w:rPr>
          <w:rFonts w:cs="Arial"/>
          <w:szCs w:val="21"/>
        </w:rPr>
      </w:pPr>
      <w:r w:rsidRPr="00E33B7D">
        <w:rPr>
          <w:rFonts w:cs="Arial"/>
          <w:szCs w:val="21"/>
        </w:rPr>
        <w:t>Ministère Provincial des Infrastructures, Travaux Publics et Reconstruction à travers la   conception, la construction, la modernisation, le développement, l’aménagement et l’entretien des infrastructures routières, aéroportuaires, scolaires, sanitaires, sociales, touristiques et sportives, des bâtiments et des édifices publics ;</w:t>
      </w:r>
    </w:p>
    <w:p w14:paraId="6B36FD12" w14:textId="77777777" w:rsidR="009021F1" w:rsidRPr="00E33B7D" w:rsidRDefault="009021F1" w:rsidP="009021F1">
      <w:pPr>
        <w:pStyle w:val="Paragraphedeliste"/>
        <w:numPr>
          <w:ilvl w:val="0"/>
          <w:numId w:val="45"/>
        </w:numPr>
        <w:rPr>
          <w:rFonts w:cs="Arial"/>
          <w:szCs w:val="21"/>
        </w:rPr>
      </w:pPr>
      <w:r w:rsidRPr="00E33B7D">
        <w:rPr>
          <w:rFonts w:cs="Arial"/>
          <w:szCs w:val="21"/>
        </w:rPr>
        <w:t>Ministère Provincial du Développement Rural ;</w:t>
      </w:r>
    </w:p>
    <w:p w14:paraId="37977DC5" w14:textId="77777777" w:rsidR="009021F1" w:rsidRPr="00E33B7D" w:rsidRDefault="009021F1" w:rsidP="009021F1">
      <w:pPr>
        <w:pStyle w:val="Paragraphedeliste"/>
        <w:numPr>
          <w:ilvl w:val="0"/>
          <w:numId w:val="45"/>
        </w:numPr>
        <w:rPr>
          <w:rFonts w:cs="Arial"/>
          <w:szCs w:val="21"/>
        </w:rPr>
      </w:pPr>
      <w:r w:rsidRPr="00E33B7D">
        <w:rPr>
          <w:rFonts w:cs="Arial"/>
          <w:szCs w:val="21"/>
        </w:rPr>
        <w:t>Ministère Provincial du Genre, de l’Enfant et de la Famille, concernant la prévention et réponse aux VBG.</w:t>
      </w:r>
    </w:p>
    <w:p w14:paraId="49C0CD80" w14:textId="77777777" w:rsidR="009021F1" w:rsidRPr="00E33B7D" w:rsidRDefault="009021F1" w:rsidP="009021F1">
      <w:pPr>
        <w:ind w:left="720"/>
        <w:rPr>
          <w:rFonts w:cs="Arial"/>
          <w:szCs w:val="21"/>
        </w:rPr>
      </w:pPr>
    </w:p>
    <w:p w14:paraId="049886AA" w14:textId="77777777" w:rsidR="009021F1" w:rsidRPr="00E33B7D" w:rsidRDefault="009021F1" w:rsidP="009021F1">
      <w:pPr>
        <w:pStyle w:val="Titre2"/>
        <w:numPr>
          <w:ilvl w:val="2"/>
          <w:numId w:val="4"/>
        </w:numPr>
        <w:ind w:left="1560" w:hanging="709"/>
        <w:rPr>
          <w:rFonts w:cs="Arial"/>
          <w:i/>
          <w:szCs w:val="21"/>
        </w:rPr>
      </w:pPr>
      <w:bookmarkStart w:id="352" w:name="_Toc90471458"/>
      <w:r w:rsidRPr="00E33B7D">
        <w:rPr>
          <w:rFonts w:cs="Arial"/>
          <w:i/>
          <w:szCs w:val="21"/>
        </w:rPr>
        <w:t>Administrations locales</w:t>
      </w:r>
      <w:bookmarkEnd w:id="352"/>
      <w:r w:rsidRPr="00E33B7D">
        <w:rPr>
          <w:rFonts w:cs="Arial"/>
          <w:i/>
          <w:szCs w:val="21"/>
        </w:rPr>
        <w:t> </w:t>
      </w:r>
    </w:p>
    <w:p w14:paraId="6A72CF18" w14:textId="77777777" w:rsidR="009021F1" w:rsidRPr="00E33B7D" w:rsidRDefault="009021F1" w:rsidP="009021F1">
      <w:pPr>
        <w:pStyle w:val="Style1"/>
        <w:kinsoku w:val="0"/>
        <w:autoSpaceDE/>
        <w:autoSpaceDN/>
        <w:adjustRightInd/>
        <w:spacing w:line="276" w:lineRule="auto"/>
        <w:ind w:right="72"/>
        <w:jc w:val="both"/>
        <w:rPr>
          <w:rFonts w:ascii="Arial" w:hAnsi="Arial" w:cs="Arial"/>
          <w:sz w:val="21"/>
          <w:szCs w:val="21"/>
        </w:rPr>
      </w:pPr>
    </w:p>
    <w:p w14:paraId="517FB36B" w14:textId="77777777" w:rsidR="009021F1" w:rsidRPr="00E33B7D" w:rsidRDefault="009021F1" w:rsidP="009021F1">
      <w:pPr>
        <w:pStyle w:val="Style1"/>
        <w:kinsoku w:val="0"/>
        <w:autoSpaceDE/>
        <w:autoSpaceDN/>
        <w:adjustRightInd/>
        <w:spacing w:line="276" w:lineRule="auto"/>
        <w:ind w:right="72"/>
        <w:jc w:val="both"/>
        <w:rPr>
          <w:rStyle w:val="CharacterStyle1"/>
          <w:rFonts w:ascii="Arial" w:hAnsi="Arial" w:cs="Arial"/>
          <w:sz w:val="21"/>
          <w:szCs w:val="21"/>
        </w:rPr>
      </w:pPr>
      <w:r w:rsidRPr="00E33B7D">
        <w:rPr>
          <w:rFonts w:ascii="Arial" w:hAnsi="Arial" w:cs="Arial"/>
          <w:sz w:val="21"/>
          <w:szCs w:val="21"/>
        </w:rPr>
        <w:t>Les Ordonnances portant création et organisation des collectivités locales et des circonscriptions administratives attribuent des compétences aux collectivités en ce qui concerne la gestion de leur environnement (</w:t>
      </w:r>
      <w:r w:rsidRPr="00E33B7D">
        <w:rPr>
          <w:rStyle w:val="CharacterStyle1"/>
          <w:rFonts w:ascii="Arial" w:hAnsi="Arial" w:cs="Arial"/>
          <w:spacing w:val="1"/>
          <w:sz w:val="21"/>
          <w:szCs w:val="21"/>
        </w:rPr>
        <w:t xml:space="preserve">Décret-loi du 02 juillet 1998 portant organisation territoriale et administrative de la </w:t>
      </w:r>
      <w:r w:rsidRPr="00E33B7D">
        <w:rPr>
          <w:rStyle w:val="CharacterStyle1"/>
          <w:rFonts w:ascii="Arial" w:hAnsi="Arial" w:cs="Arial"/>
          <w:spacing w:val="5"/>
          <w:sz w:val="21"/>
          <w:szCs w:val="21"/>
        </w:rPr>
        <w:t>République Démocratique du Congo)</w:t>
      </w:r>
      <w:r w:rsidRPr="00E33B7D">
        <w:rPr>
          <w:rFonts w:ascii="Arial" w:hAnsi="Arial" w:cs="Arial"/>
          <w:sz w:val="21"/>
          <w:szCs w:val="21"/>
        </w:rPr>
        <w:t xml:space="preserve">. Selon ce Décret, les entités </w:t>
      </w:r>
      <w:r w:rsidRPr="00E33B7D">
        <w:rPr>
          <w:rStyle w:val="CharacterStyle1"/>
          <w:rFonts w:ascii="Arial" w:hAnsi="Arial" w:cs="Arial"/>
          <w:spacing w:val="5"/>
          <w:sz w:val="21"/>
          <w:szCs w:val="21"/>
        </w:rPr>
        <w:t xml:space="preserve">administratives décentralisées dotées de la personnalité </w:t>
      </w:r>
      <w:r w:rsidRPr="00E33B7D">
        <w:rPr>
          <w:rStyle w:val="CharacterStyle1"/>
          <w:rFonts w:ascii="Arial" w:hAnsi="Arial" w:cs="Arial"/>
          <w:spacing w:val="1"/>
          <w:sz w:val="21"/>
          <w:szCs w:val="21"/>
        </w:rPr>
        <w:t>juridique</w:t>
      </w:r>
      <w:r w:rsidRPr="00E33B7D">
        <w:rPr>
          <w:rFonts w:ascii="Arial" w:hAnsi="Arial" w:cs="Arial"/>
          <w:sz w:val="21"/>
          <w:szCs w:val="21"/>
        </w:rPr>
        <w:t xml:space="preserve"> sont </w:t>
      </w:r>
      <w:r w:rsidRPr="00E33B7D">
        <w:rPr>
          <w:rStyle w:val="CharacterStyle1"/>
          <w:rFonts w:ascii="Arial" w:hAnsi="Arial" w:cs="Arial"/>
          <w:spacing w:val="1"/>
          <w:sz w:val="21"/>
          <w:szCs w:val="21"/>
        </w:rPr>
        <w:t xml:space="preserve">la province, la ville, le territoire et la commune. </w:t>
      </w:r>
      <w:r w:rsidRPr="00E33B7D">
        <w:rPr>
          <w:rStyle w:val="CharacterStyle1"/>
          <w:rFonts w:ascii="Arial" w:hAnsi="Arial" w:cs="Arial"/>
          <w:sz w:val="21"/>
          <w:szCs w:val="21"/>
        </w:rPr>
        <w:t xml:space="preserve">Ce Décret-loi établit la répartition des attributions spécifiques par secteur d’activités entre le Pouvoir Central et les </w:t>
      </w:r>
      <w:r w:rsidRPr="00E33B7D">
        <w:rPr>
          <w:rStyle w:val="CharacterStyle1"/>
          <w:rFonts w:ascii="Arial" w:hAnsi="Arial" w:cs="Arial"/>
          <w:spacing w:val="3"/>
          <w:sz w:val="21"/>
          <w:szCs w:val="21"/>
        </w:rPr>
        <w:t xml:space="preserve">entités administratives décentralisées. Ces dernières se sont vues attribuées entre autres les compétences </w:t>
      </w:r>
      <w:r w:rsidRPr="00E33B7D">
        <w:rPr>
          <w:rStyle w:val="CharacterStyle1"/>
          <w:rFonts w:ascii="Arial" w:hAnsi="Arial" w:cs="Arial"/>
          <w:sz w:val="21"/>
          <w:szCs w:val="21"/>
        </w:rPr>
        <w:t>environnementales suivantes :</w:t>
      </w:r>
    </w:p>
    <w:p w14:paraId="2B12F8B3" w14:textId="77777777" w:rsidR="009021F1" w:rsidRPr="00E33B7D" w:rsidRDefault="009021F1" w:rsidP="009021F1">
      <w:pPr>
        <w:pStyle w:val="Style1"/>
        <w:kinsoku w:val="0"/>
        <w:autoSpaceDE/>
        <w:autoSpaceDN/>
        <w:adjustRightInd/>
        <w:spacing w:line="276" w:lineRule="auto"/>
        <w:ind w:right="72"/>
        <w:jc w:val="both"/>
        <w:rPr>
          <w:rStyle w:val="CharacterStyle1"/>
          <w:rFonts w:ascii="Arial" w:hAnsi="Arial" w:cs="Arial"/>
          <w:sz w:val="21"/>
          <w:szCs w:val="21"/>
        </w:rPr>
      </w:pPr>
    </w:p>
    <w:p w14:paraId="11DBA2ED" w14:textId="77777777" w:rsidR="009021F1" w:rsidRPr="00E33B7D" w:rsidRDefault="009021F1" w:rsidP="009021F1">
      <w:pPr>
        <w:numPr>
          <w:ilvl w:val="0"/>
          <w:numId w:val="23"/>
        </w:numPr>
        <w:suppressAutoHyphens/>
        <w:rPr>
          <w:rFonts w:cs="Arial"/>
          <w:szCs w:val="21"/>
        </w:rPr>
      </w:pPr>
      <w:r w:rsidRPr="00E33B7D">
        <w:rPr>
          <w:rFonts w:cs="Arial"/>
          <w:szCs w:val="21"/>
        </w:rPr>
        <w:t>La lutte anti - vectorielle et, particulièrement, la désinsectisation sous toutes ses formes ;</w:t>
      </w:r>
    </w:p>
    <w:p w14:paraId="320624E8" w14:textId="77777777" w:rsidR="009021F1" w:rsidRPr="00E33B7D" w:rsidRDefault="009021F1" w:rsidP="009021F1">
      <w:pPr>
        <w:numPr>
          <w:ilvl w:val="0"/>
          <w:numId w:val="23"/>
        </w:numPr>
        <w:suppressAutoHyphens/>
        <w:rPr>
          <w:rFonts w:cs="Arial"/>
          <w:szCs w:val="21"/>
        </w:rPr>
      </w:pPr>
      <w:r w:rsidRPr="00E33B7D">
        <w:rPr>
          <w:rFonts w:cs="Arial"/>
          <w:szCs w:val="21"/>
        </w:rPr>
        <w:t xml:space="preserve">La protection des sites classés installés dans les entités locales ainsi que celle des monuments ; </w:t>
      </w:r>
    </w:p>
    <w:p w14:paraId="30C2A4B6" w14:textId="77777777" w:rsidR="009021F1" w:rsidRPr="00E33B7D" w:rsidRDefault="009021F1" w:rsidP="009021F1">
      <w:pPr>
        <w:numPr>
          <w:ilvl w:val="0"/>
          <w:numId w:val="23"/>
        </w:numPr>
        <w:suppressAutoHyphens/>
        <w:rPr>
          <w:rFonts w:cs="Arial"/>
          <w:szCs w:val="21"/>
        </w:rPr>
      </w:pPr>
      <w:r w:rsidRPr="00E33B7D">
        <w:rPr>
          <w:rFonts w:cs="Arial"/>
          <w:szCs w:val="21"/>
        </w:rPr>
        <w:t>La sensibilisation de la population aux problèmes de l’hygiène du milieu ;</w:t>
      </w:r>
    </w:p>
    <w:p w14:paraId="36359815" w14:textId="77777777" w:rsidR="009021F1" w:rsidRPr="00E33B7D" w:rsidRDefault="009021F1" w:rsidP="009021F1">
      <w:pPr>
        <w:numPr>
          <w:ilvl w:val="0"/>
          <w:numId w:val="23"/>
        </w:numPr>
        <w:suppressAutoHyphens/>
        <w:rPr>
          <w:rFonts w:cs="Arial"/>
          <w:szCs w:val="21"/>
        </w:rPr>
      </w:pPr>
      <w:r w:rsidRPr="00E33B7D">
        <w:rPr>
          <w:rFonts w:cs="Arial"/>
          <w:szCs w:val="21"/>
        </w:rPr>
        <w:t>La délivrance des permis d’exploitation et de contrôle des établissements dangereux, insalubres et incommodes de la catégorie III ;</w:t>
      </w:r>
    </w:p>
    <w:p w14:paraId="41183FC9" w14:textId="77777777" w:rsidR="009021F1" w:rsidRPr="00E33B7D" w:rsidRDefault="009021F1" w:rsidP="009021F1">
      <w:pPr>
        <w:numPr>
          <w:ilvl w:val="0"/>
          <w:numId w:val="23"/>
        </w:numPr>
        <w:suppressAutoHyphens/>
        <w:rPr>
          <w:rFonts w:cs="Arial"/>
          <w:szCs w:val="21"/>
        </w:rPr>
      </w:pPr>
      <w:r w:rsidRPr="00E33B7D">
        <w:rPr>
          <w:rFonts w:cs="Arial"/>
          <w:szCs w:val="21"/>
        </w:rPr>
        <w:t>Le drainage et le curage des collecteurs et égouts des eaux usées ;</w:t>
      </w:r>
    </w:p>
    <w:p w14:paraId="5A53D9E9" w14:textId="77777777" w:rsidR="009021F1" w:rsidRPr="00E33B7D" w:rsidRDefault="009021F1" w:rsidP="009021F1">
      <w:pPr>
        <w:numPr>
          <w:ilvl w:val="0"/>
          <w:numId w:val="23"/>
        </w:numPr>
        <w:suppressAutoHyphens/>
        <w:rPr>
          <w:rFonts w:cs="Arial"/>
          <w:szCs w:val="21"/>
        </w:rPr>
      </w:pPr>
      <w:r w:rsidRPr="00E33B7D">
        <w:rPr>
          <w:rFonts w:cs="Arial"/>
          <w:szCs w:val="21"/>
        </w:rPr>
        <w:t xml:space="preserve">Le nettoiement, la collecte et l’évacuation des ordures ménagères et immondices. </w:t>
      </w:r>
    </w:p>
    <w:p w14:paraId="5DDB9BF4" w14:textId="77777777" w:rsidR="009021F1" w:rsidRPr="00E33B7D" w:rsidRDefault="009021F1" w:rsidP="009021F1">
      <w:pPr>
        <w:rPr>
          <w:rFonts w:cs="Arial"/>
          <w:szCs w:val="21"/>
        </w:rPr>
      </w:pPr>
    </w:p>
    <w:p w14:paraId="4CFAD773" w14:textId="77777777" w:rsidR="009021F1" w:rsidRPr="00E33B7D" w:rsidRDefault="009021F1" w:rsidP="009021F1">
      <w:pPr>
        <w:rPr>
          <w:rFonts w:cs="Arial"/>
          <w:szCs w:val="21"/>
        </w:rPr>
      </w:pPr>
      <w:r w:rsidRPr="00E33B7D">
        <w:rPr>
          <w:rFonts w:cs="Arial"/>
          <w:szCs w:val="21"/>
        </w:rPr>
        <w:t>Il faut tout de même relever la faiblesse des capacités d’intervention et de gestion environnementale et sociale de ces collectivités, notamment en termes de suivi de la mise en œuvre des projets qui s’exécutent sur leur territoire.</w:t>
      </w:r>
    </w:p>
    <w:p w14:paraId="4E2841A0" w14:textId="77777777" w:rsidR="009021F1" w:rsidRPr="00E33B7D" w:rsidRDefault="009021F1" w:rsidP="009021F1">
      <w:pPr>
        <w:rPr>
          <w:rFonts w:cs="Arial"/>
          <w:szCs w:val="21"/>
        </w:rPr>
      </w:pPr>
    </w:p>
    <w:p w14:paraId="796A71B6" w14:textId="77777777" w:rsidR="009021F1" w:rsidRPr="00E33B7D" w:rsidRDefault="009021F1" w:rsidP="009021F1">
      <w:pPr>
        <w:pStyle w:val="Titre2"/>
        <w:numPr>
          <w:ilvl w:val="2"/>
          <w:numId w:val="4"/>
        </w:numPr>
        <w:ind w:left="1560" w:hanging="709"/>
        <w:rPr>
          <w:rFonts w:cs="Arial"/>
          <w:i/>
          <w:szCs w:val="21"/>
          <w:u w:val="single"/>
        </w:rPr>
      </w:pPr>
      <w:bookmarkStart w:id="353" w:name="_Toc90471459"/>
      <w:r w:rsidRPr="00E33B7D">
        <w:rPr>
          <w:rFonts w:cs="Arial"/>
          <w:i/>
          <w:szCs w:val="21"/>
        </w:rPr>
        <w:t>Acteurs Non Gouvernementaux</w:t>
      </w:r>
      <w:bookmarkEnd w:id="353"/>
    </w:p>
    <w:p w14:paraId="0399441D" w14:textId="77777777" w:rsidR="009021F1" w:rsidRPr="00E33B7D" w:rsidRDefault="009021F1" w:rsidP="009021F1">
      <w:pPr>
        <w:rPr>
          <w:rFonts w:cs="Arial"/>
          <w:bCs/>
          <w:szCs w:val="21"/>
        </w:rPr>
      </w:pPr>
    </w:p>
    <w:p w14:paraId="29D6BCB7" w14:textId="77777777" w:rsidR="009021F1" w:rsidRPr="00E33B7D" w:rsidRDefault="009021F1" w:rsidP="009021F1">
      <w:pPr>
        <w:rPr>
          <w:rFonts w:cs="Arial"/>
          <w:szCs w:val="21"/>
        </w:rPr>
      </w:pPr>
      <w:r w:rsidRPr="00E33B7D">
        <w:rPr>
          <w:rFonts w:cs="Arial"/>
          <w:bCs/>
          <w:szCs w:val="21"/>
        </w:rPr>
        <w:t xml:space="preserve">En RDC, les activités des ONG sont régies par la Loi n° 004/2001 du 20 juillet 2001 portant dispositions générales applicables aux Associations sans but lucratif et aux </w:t>
      </w:r>
      <w:r w:rsidRPr="00E33B7D">
        <w:rPr>
          <w:rFonts w:cs="Arial"/>
          <w:color w:val="000000"/>
          <w:szCs w:val="21"/>
        </w:rPr>
        <w:t>É</w:t>
      </w:r>
      <w:r w:rsidRPr="00E33B7D">
        <w:rPr>
          <w:rFonts w:cs="Arial"/>
          <w:bCs/>
          <w:szCs w:val="21"/>
        </w:rPr>
        <w:t xml:space="preserve">tablissements d’utilité publique. Les ONG participent à la conception et à la mise en œuvre de la politique de développement à la base. Plusieurs ONG et Réseaux d’ONG </w:t>
      </w:r>
      <w:r w:rsidRPr="00E33B7D">
        <w:rPr>
          <w:rFonts w:cs="Arial"/>
          <w:szCs w:val="21"/>
        </w:rPr>
        <w:t xml:space="preserve">nationales et internationales </w:t>
      </w:r>
      <w:r w:rsidRPr="00E33B7D">
        <w:rPr>
          <w:rFonts w:cs="Arial"/>
          <w:bCs/>
          <w:szCs w:val="21"/>
        </w:rPr>
        <w:t xml:space="preserve">évoluent dans le secteur de l’environnement et </w:t>
      </w:r>
      <w:r w:rsidRPr="00E33B7D">
        <w:rPr>
          <w:rFonts w:cs="Arial"/>
          <w:szCs w:val="21"/>
        </w:rPr>
        <w:t>accompagnent les secteurs de développement dans plusieurs domaines : renforcement des capacités, information, sensibilisation, mobilisation et accompagnement social ; protection. Ces structures de proximité peuvent jouer un rôle important dans le suivi de la mise en œuvre du Projet. Les ONG de lutte contre les VBG et celles de lutte contre les IST et le VIH/SIDA ainsi que celles qui luttent contre la COVID-19 seront impliquées totalement dans la mise en œuvre du PNDA.</w:t>
      </w:r>
    </w:p>
    <w:p w14:paraId="2E128A74" w14:textId="77777777" w:rsidR="009021F1" w:rsidRPr="00E33B7D" w:rsidRDefault="009021F1" w:rsidP="009021F1">
      <w:pPr>
        <w:rPr>
          <w:rFonts w:cs="Arial"/>
          <w:i/>
          <w:szCs w:val="21"/>
        </w:rPr>
      </w:pPr>
    </w:p>
    <w:p w14:paraId="1856530B" w14:textId="77777777" w:rsidR="009021F1" w:rsidRPr="00E33B7D" w:rsidRDefault="009021F1" w:rsidP="009021F1">
      <w:pPr>
        <w:rPr>
          <w:szCs w:val="21"/>
        </w:rPr>
      </w:pPr>
      <w:r w:rsidRPr="00E33B7D">
        <w:rPr>
          <w:szCs w:val="21"/>
        </w:rPr>
        <w:t>Les autres acteurs non gouvernementaux œuvrant dans les Provinces concernées par le PNDA sont :</w:t>
      </w:r>
    </w:p>
    <w:p w14:paraId="42BC8ABD" w14:textId="77777777" w:rsidR="009021F1" w:rsidRPr="00E33B7D" w:rsidRDefault="009021F1" w:rsidP="009021F1">
      <w:pPr>
        <w:rPr>
          <w:szCs w:val="21"/>
        </w:rPr>
      </w:pPr>
    </w:p>
    <w:p w14:paraId="562341E9" w14:textId="77777777" w:rsidR="009021F1" w:rsidRPr="00E33B7D" w:rsidRDefault="009021F1" w:rsidP="009021F1">
      <w:pPr>
        <w:pStyle w:val="Paragraphedeliste"/>
        <w:numPr>
          <w:ilvl w:val="0"/>
          <w:numId w:val="142"/>
        </w:numPr>
        <w:spacing w:after="120" w:line="0" w:lineRule="atLeast"/>
        <w:contextualSpacing w:val="0"/>
        <w:rPr>
          <w:szCs w:val="21"/>
        </w:rPr>
      </w:pPr>
      <w:r w:rsidRPr="00E33B7D">
        <w:rPr>
          <w:szCs w:val="21"/>
        </w:rPr>
        <w:t>Les deux clusters l'Organisation pour l'alimentation et l'agriculture (FAO) et le Programme alimentaire mondial des Nations Unies (PAM), le Fonds international de développement agricole (FIDA) qui finance le Projet d’Appui au secteur agricole dans la Province du Nord-Kivu pour renforcer la coopération et le partenariat pour coordonner les réponses de sécurité alimentaire, la disponibilité, l'accès et l'utilisation de la nourriture ;</w:t>
      </w:r>
    </w:p>
    <w:p w14:paraId="21A46BE7" w14:textId="77777777" w:rsidR="009021F1" w:rsidRPr="00E33B7D" w:rsidRDefault="009021F1" w:rsidP="009021F1">
      <w:pPr>
        <w:pStyle w:val="Paragraphedeliste"/>
        <w:numPr>
          <w:ilvl w:val="0"/>
          <w:numId w:val="142"/>
        </w:numPr>
        <w:spacing w:after="120" w:line="0" w:lineRule="atLeast"/>
        <w:contextualSpacing w:val="0"/>
        <w:rPr>
          <w:szCs w:val="21"/>
        </w:rPr>
      </w:pPr>
      <w:r w:rsidRPr="00E33B7D">
        <w:rPr>
          <w:szCs w:val="21"/>
        </w:rPr>
        <w:t>Les deux clusters l</w:t>
      </w:r>
      <w:r w:rsidRPr="00E33B7D">
        <w:rPr>
          <w:rFonts w:cs="Arial"/>
          <w:color w:val="4D5156"/>
          <w:szCs w:val="21"/>
          <w:shd w:val="clear" w:color="auto" w:fill="FFFFFF"/>
        </w:rPr>
        <w:t>e Fonds des Nations Unies pour l'enfance (</w:t>
      </w:r>
      <w:r w:rsidRPr="00E33B7D">
        <w:rPr>
          <w:szCs w:val="21"/>
        </w:rPr>
        <w:t xml:space="preserve">UNICEF) et Coopération Internationale (COOPI), une ONG italienne pour surveiller les taux de malnutrition et intervient en cas de besoin ; </w:t>
      </w:r>
    </w:p>
    <w:p w14:paraId="3BCC31BE" w14:textId="77777777" w:rsidR="009021F1" w:rsidRPr="00E33B7D" w:rsidRDefault="009021F1" w:rsidP="009021F1">
      <w:pPr>
        <w:pStyle w:val="Paragraphedeliste"/>
        <w:numPr>
          <w:ilvl w:val="0"/>
          <w:numId w:val="142"/>
        </w:numPr>
        <w:spacing w:after="120" w:line="0" w:lineRule="atLeast"/>
        <w:contextualSpacing w:val="0"/>
        <w:rPr>
          <w:szCs w:val="21"/>
        </w:rPr>
      </w:pPr>
      <w:r w:rsidRPr="00E33B7D">
        <w:rPr>
          <w:szCs w:val="21"/>
        </w:rPr>
        <w:t>Le Programme National de Nutrition (PRONANUT) au niveau national et l’agence d'exécution du comité national multisectoriel de nutrition (CNMN) pour coordonner la mise en œuvre des CNMN provinciaux. ;</w:t>
      </w:r>
    </w:p>
    <w:p w14:paraId="239D220A" w14:textId="77777777" w:rsidR="009021F1" w:rsidRPr="00E33B7D" w:rsidRDefault="009021F1" w:rsidP="009021F1">
      <w:pPr>
        <w:pStyle w:val="Paragraphedeliste"/>
        <w:numPr>
          <w:ilvl w:val="0"/>
          <w:numId w:val="142"/>
        </w:numPr>
        <w:spacing w:after="120" w:line="0" w:lineRule="atLeast"/>
        <w:contextualSpacing w:val="0"/>
        <w:rPr>
          <w:szCs w:val="21"/>
        </w:rPr>
      </w:pPr>
      <w:r w:rsidRPr="00E33B7D">
        <w:rPr>
          <w:szCs w:val="21"/>
        </w:rPr>
        <w:t>l'Institut International d'Agriculture Tropicale (IITA) a pour mission qui consiste à offrir un partenariat de recherche de premier plan qui facilite des solutions agricoles contre la faim, la pauvreté et la dégradation des ressources naturelles dans les tropiques.</w:t>
      </w:r>
    </w:p>
    <w:p w14:paraId="5E2F8F34" w14:textId="77777777" w:rsidR="009021F1" w:rsidRPr="00E33B7D" w:rsidRDefault="009021F1" w:rsidP="009021F1">
      <w:pPr>
        <w:rPr>
          <w:rFonts w:cs="Arial"/>
          <w:i/>
          <w:szCs w:val="21"/>
        </w:rPr>
      </w:pPr>
    </w:p>
    <w:p w14:paraId="6195B939" w14:textId="77777777" w:rsidR="009021F1" w:rsidRPr="00E33B7D" w:rsidRDefault="009021F1" w:rsidP="009021F1">
      <w:pPr>
        <w:rPr>
          <w:rFonts w:cs="Arial"/>
          <w:i/>
          <w:szCs w:val="21"/>
        </w:rPr>
      </w:pPr>
      <w:r w:rsidRPr="00E33B7D">
        <w:rPr>
          <w:rFonts w:cs="Arial"/>
          <w:i/>
          <w:szCs w:val="21"/>
        </w:rPr>
        <w:t xml:space="preserve">Réseau des Populations Autochtones et Locales pour la Gestion Durable des Ecosystèmes Forestiers (REPALEF) </w:t>
      </w:r>
    </w:p>
    <w:p w14:paraId="47EF98CC" w14:textId="77777777" w:rsidR="009021F1" w:rsidRPr="00E33B7D" w:rsidRDefault="009021F1" w:rsidP="009021F1">
      <w:pPr>
        <w:rPr>
          <w:rFonts w:cs="Arial"/>
          <w:szCs w:val="21"/>
        </w:rPr>
      </w:pPr>
      <w:r w:rsidRPr="00E33B7D">
        <w:rPr>
          <w:rFonts w:cs="Arial"/>
          <w:szCs w:val="21"/>
        </w:rPr>
        <w:t xml:space="preserve"> </w:t>
      </w:r>
    </w:p>
    <w:p w14:paraId="4DC5A2D3" w14:textId="77777777" w:rsidR="009021F1" w:rsidRPr="00E33B7D" w:rsidRDefault="009021F1" w:rsidP="009021F1">
      <w:pPr>
        <w:rPr>
          <w:rFonts w:cs="Arial"/>
          <w:szCs w:val="21"/>
        </w:rPr>
      </w:pPr>
      <w:r w:rsidRPr="00E33B7D">
        <w:rPr>
          <w:rFonts w:cs="Arial"/>
          <w:szCs w:val="21"/>
        </w:rPr>
        <w:t xml:space="preserve">Le REPALEF, plateforme des réseaux et organisations des peuples autochtones, est une ONGD nationale qui œuvre pour une gestion durable des écosystèmes en RDC. Il regroupe actuellement (directement ou indirectement) plus de 40 organisations de défense ou de promotion des PA. Il dispose dans chaque province des Points Focaux provinciaux ainsi que des correspondants, dans chaque Province, de ses organisations membres où l’on rencontre les PA. Le REPALEF dispose ainsi de relais dans la Province du Nord-Kivu où l’on rencontre des PA dans le cadre du PNDA. </w:t>
      </w:r>
    </w:p>
    <w:p w14:paraId="320454E4" w14:textId="77777777" w:rsidR="009021F1" w:rsidRPr="00E33B7D" w:rsidRDefault="009021F1" w:rsidP="009021F1">
      <w:pPr>
        <w:rPr>
          <w:rFonts w:cs="Arial"/>
          <w:szCs w:val="21"/>
        </w:rPr>
      </w:pPr>
    </w:p>
    <w:p w14:paraId="6B39794E" w14:textId="77777777" w:rsidR="009021F1" w:rsidRPr="00E33B7D" w:rsidRDefault="009021F1" w:rsidP="009021F1">
      <w:pPr>
        <w:rPr>
          <w:rFonts w:cs="Arial"/>
          <w:szCs w:val="21"/>
        </w:rPr>
      </w:pPr>
      <w:r w:rsidRPr="00E33B7D">
        <w:rPr>
          <w:rFonts w:cs="Arial"/>
          <w:szCs w:val="21"/>
        </w:rPr>
        <w:t>Dans le cadre du PNDA, le REPALEF va accompagner les PA dans l’élaboration du Cadre de Politique en faveur des Peuples Autochtones et Plan en faveur des Peuples Autochtones ainsi que dans la phase de sa mise en œuvre.</w:t>
      </w:r>
    </w:p>
    <w:p w14:paraId="16EF944F" w14:textId="77777777" w:rsidR="009021F1" w:rsidRPr="00E33B7D" w:rsidRDefault="009021F1" w:rsidP="009021F1">
      <w:pPr>
        <w:rPr>
          <w:rFonts w:cs="Arial"/>
          <w:szCs w:val="21"/>
        </w:rPr>
      </w:pPr>
    </w:p>
    <w:p w14:paraId="00194EA1" w14:textId="77777777" w:rsidR="009021F1" w:rsidRPr="00E33B7D" w:rsidRDefault="009021F1" w:rsidP="009021F1">
      <w:pPr>
        <w:pStyle w:val="Titre2"/>
        <w:numPr>
          <w:ilvl w:val="2"/>
          <w:numId w:val="4"/>
        </w:numPr>
        <w:ind w:left="1560" w:hanging="709"/>
        <w:rPr>
          <w:rFonts w:cs="Arial"/>
          <w:i/>
          <w:szCs w:val="21"/>
        </w:rPr>
      </w:pPr>
      <w:bookmarkStart w:id="354" w:name="_Toc90471460"/>
      <w:r w:rsidRPr="00E33B7D">
        <w:rPr>
          <w:rFonts w:cs="Arial"/>
          <w:i/>
          <w:szCs w:val="21"/>
        </w:rPr>
        <w:t>Quelques institutions intermédiaires financiers (les IF – banques, institutions de micro - finance, coopératives d'épargne et de crédit)</w:t>
      </w:r>
      <w:bookmarkEnd w:id="354"/>
    </w:p>
    <w:p w14:paraId="65EA253E" w14:textId="77777777" w:rsidR="009021F1" w:rsidRPr="00E33B7D" w:rsidRDefault="009021F1" w:rsidP="009021F1">
      <w:pPr>
        <w:rPr>
          <w:rFonts w:cs="Arial"/>
          <w:szCs w:val="21"/>
        </w:rPr>
      </w:pPr>
    </w:p>
    <w:p w14:paraId="62A3A28D" w14:textId="77777777" w:rsidR="009021F1" w:rsidRPr="00E33B7D" w:rsidRDefault="009021F1" w:rsidP="009021F1">
      <w:pPr>
        <w:pStyle w:val="Titre2"/>
        <w:rPr>
          <w:rFonts w:cs="Arial"/>
          <w:i/>
          <w:szCs w:val="21"/>
        </w:rPr>
      </w:pPr>
      <w:bookmarkStart w:id="355" w:name="_Toc90471461"/>
      <w:r w:rsidRPr="00E33B7D">
        <w:rPr>
          <w:rFonts w:cs="Arial"/>
          <w:i/>
          <w:szCs w:val="21"/>
        </w:rPr>
        <w:t>Banque Centrale du Congo (BCC)</w:t>
      </w:r>
      <w:bookmarkEnd w:id="355"/>
    </w:p>
    <w:p w14:paraId="3A9FD955" w14:textId="77777777" w:rsidR="009021F1" w:rsidRPr="00E33B7D" w:rsidRDefault="009021F1" w:rsidP="009021F1">
      <w:pPr>
        <w:autoSpaceDE w:val="0"/>
        <w:autoSpaceDN w:val="0"/>
        <w:adjustRightInd w:val="0"/>
        <w:rPr>
          <w:rFonts w:cs="Arial"/>
          <w:color w:val="202122"/>
          <w:szCs w:val="21"/>
          <w:shd w:val="clear" w:color="auto" w:fill="FFFFFF"/>
        </w:rPr>
      </w:pPr>
    </w:p>
    <w:p w14:paraId="2161711D" w14:textId="77777777" w:rsidR="009021F1" w:rsidRPr="00E33B7D" w:rsidRDefault="009021F1" w:rsidP="009021F1">
      <w:pPr>
        <w:rPr>
          <w:rFonts w:cs="Arial"/>
          <w:szCs w:val="21"/>
        </w:rPr>
      </w:pPr>
      <w:r w:rsidRPr="00E33B7D">
        <w:rPr>
          <w:rFonts w:cs="Arial"/>
          <w:szCs w:val="21"/>
        </w:rPr>
        <w:t>La Banque centrale du Congo a été créée le 30 juillet 1951 sous le nom de Banque Centrale du Congo et du Ruanda-Urundi. Au 30 juillet 2001 la Banque Centrale avait totalisé 50 ans d’existence durant lesquels elle a traversé deux périodes radicalement distinctes dont la première se rapporte à l’époque coloniale et la seconde se situe après l’accession du pays à la souveraineté nationale.</w:t>
      </w:r>
    </w:p>
    <w:p w14:paraId="323D3A35" w14:textId="77777777" w:rsidR="009021F1" w:rsidRPr="00E33B7D" w:rsidRDefault="009021F1" w:rsidP="009021F1">
      <w:pPr>
        <w:rPr>
          <w:rFonts w:cs="Arial"/>
          <w:szCs w:val="21"/>
        </w:rPr>
      </w:pPr>
    </w:p>
    <w:p w14:paraId="71EEC078" w14:textId="77777777" w:rsidR="009021F1" w:rsidRPr="00E33B7D" w:rsidRDefault="009021F1" w:rsidP="009021F1">
      <w:pPr>
        <w:rPr>
          <w:rFonts w:cs="Arial"/>
          <w:szCs w:val="21"/>
        </w:rPr>
      </w:pPr>
      <w:r w:rsidRPr="00E33B7D">
        <w:rPr>
          <w:rFonts w:cs="Arial"/>
          <w:szCs w:val="21"/>
        </w:rPr>
        <w:t>Aux termes de la Loi n°005/2002 du 07 mai 2002 portant constitution, organisation et fonctionnement de la Banque Centrale du Congo, il est dévolu à cette dernière les missions suivantes :</w:t>
      </w:r>
    </w:p>
    <w:p w14:paraId="6F5AA4CA" w14:textId="77777777" w:rsidR="009021F1" w:rsidRPr="00E33B7D" w:rsidRDefault="009021F1" w:rsidP="009021F1">
      <w:pPr>
        <w:rPr>
          <w:rFonts w:cs="Arial"/>
          <w:szCs w:val="21"/>
        </w:rPr>
      </w:pPr>
    </w:p>
    <w:p w14:paraId="0370DA7D" w14:textId="77777777" w:rsidR="009021F1" w:rsidRPr="00E33B7D" w:rsidRDefault="009021F1" w:rsidP="009021F1">
      <w:pPr>
        <w:pStyle w:val="Paragraphedeliste"/>
        <w:numPr>
          <w:ilvl w:val="0"/>
          <w:numId w:val="45"/>
        </w:numPr>
        <w:rPr>
          <w:rFonts w:cs="Arial"/>
          <w:szCs w:val="21"/>
        </w:rPr>
      </w:pPr>
      <w:r w:rsidRPr="00E33B7D">
        <w:rPr>
          <w:rFonts w:cs="Arial"/>
          <w:szCs w:val="21"/>
        </w:rPr>
        <w:t>Mettre en œuvre la politique monétaire du pays dont l’objectif principal est d’assurer la stabilité du niveau général des prix donc, assurer la stabilité interne et externe de la monnaie nationale ;</w:t>
      </w:r>
    </w:p>
    <w:p w14:paraId="1B7A9FB1" w14:textId="77777777" w:rsidR="009021F1" w:rsidRPr="00E33B7D" w:rsidRDefault="009021F1" w:rsidP="009021F1">
      <w:pPr>
        <w:pStyle w:val="Paragraphedeliste"/>
        <w:numPr>
          <w:ilvl w:val="0"/>
          <w:numId w:val="45"/>
        </w:numPr>
        <w:rPr>
          <w:rFonts w:cs="Arial"/>
          <w:szCs w:val="21"/>
        </w:rPr>
      </w:pPr>
      <w:r w:rsidRPr="00E33B7D">
        <w:rPr>
          <w:rFonts w:cs="Arial"/>
          <w:szCs w:val="21"/>
        </w:rPr>
        <w:t>Détenir et gérer les réserves officielles de la République ;</w:t>
      </w:r>
    </w:p>
    <w:p w14:paraId="4A4CF835" w14:textId="77777777" w:rsidR="009021F1" w:rsidRPr="00E33B7D" w:rsidRDefault="009021F1" w:rsidP="009021F1">
      <w:pPr>
        <w:pStyle w:val="Paragraphedeliste"/>
        <w:numPr>
          <w:ilvl w:val="0"/>
          <w:numId w:val="45"/>
        </w:numPr>
        <w:rPr>
          <w:rFonts w:cs="Arial"/>
          <w:szCs w:val="21"/>
        </w:rPr>
      </w:pPr>
      <w:r w:rsidRPr="00E33B7D">
        <w:rPr>
          <w:rFonts w:cs="Arial"/>
          <w:szCs w:val="21"/>
        </w:rPr>
        <w:t>Edicter les normes et règlements concernant les opérations sur les devises étrangères ;</w:t>
      </w:r>
    </w:p>
    <w:p w14:paraId="05DAD7DC" w14:textId="77777777" w:rsidR="009021F1" w:rsidRPr="00E33B7D" w:rsidRDefault="009021F1" w:rsidP="009021F1">
      <w:pPr>
        <w:pStyle w:val="Paragraphedeliste"/>
        <w:numPr>
          <w:ilvl w:val="0"/>
          <w:numId w:val="45"/>
        </w:numPr>
        <w:rPr>
          <w:rFonts w:cs="Arial"/>
          <w:szCs w:val="21"/>
        </w:rPr>
      </w:pPr>
      <w:r w:rsidRPr="00E33B7D">
        <w:rPr>
          <w:rFonts w:cs="Arial"/>
          <w:szCs w:val="21"/>
        </w:rPr>
        <w:t>Participer à la négociation de tout accord international comportant des modalités de paiement et en assurer l’exécution ;</w:t>
      </w:r>
    </w:p>
    <w:p w14:paraId="3797B4CA" w14:textId="77777777" w:rsidR="009021F1" w:rsidRPr="00E33B7D" w:rsidRDefault="009021F1" w:rsidP="009021F1">
      <w:pPr>
        <w:pStyle w:val="Paragraphedeliste"/>
        <w:numPr>
          <w:ilvl w:val="0"/>
          <w:numId w:val="45"/>
        </w:numPr>
        <w:rPr>
          <w:rFonts w:cs="Arial"/>
          <w:szCs w:val="21"/>
        </w:rPr>
      </w:pPr>
      <w:r w:rsidRPr="00E33B7D">
        <w:rPr>
          <w:rFonts w:cs="Arial"/>
          <w:szCs w:val="21"/>
        </w:rPr>
        <w:t>Elaborer la réglementation et contrôler les établissements de crédit, les institutions de micro - finance et les autres intermédiaires financiers ;</w:t>
      </w:r>
    </w:p>
    <w:p w14:paraId="51FF871E" w14:textId="77777777" w:rsidR="009021F1" w:rsidRPr="00E33B7D" w:rsidRDefault="009021F1" w:rsidP="009021F1">
      <w:pPr>
        <w:pStyle w:val="Paragraphedeliste"/>
        <w:numPr>
          <w:ilvl w:val="0"/>
          <w:numId w:val="45"/>
        </w:numPr>
        <w:rPr>
          <w:rFonts w:cs="Arial"/>
          <w:szCs w:val="21"/>
        </w:rPr>
      </w:pPr>
      <w:r w:rsidRPr="00E33B7D">
        <w:rPr>
          <w:rFonts w:cs="Arial"/>
          <w:szCs w:val="21"/>
        </w:rPr>
        <w:t>Promouvoir le bon fonctionnement des systèmes de compensation et de paiement ;</w:t>
      </w:r>
    </w:p>
    <w:p w14:paraId="52EF6CA7" w14:textId="77777777" w:rsidR="009021F1" w:rsidRPr="00E33B7D" w:rsidRDefault="009021F1" w:rsidP="009021F1">
      <w:pPr>
        <w:pStyle w:val="Paragraphedeliste"/>
        <w:numPr>
          <w:ilvl w:val="0"/>
          <w:numId w:val="45"/>
        </w:numPr>
        <w:rPr>
          <w:rFonts w:cs="Arial"/>
          <w:szCs w:val="21"/>
        </w:rPr>
      </w:pPr>
      <w:r w:rsidRPr="00E33B7D">
        <w:rPr>
          <w:rFonts w:cs="Arial"/>
          <w:szCs w:val="21"/>
        </w:rPr>
        <w:t>Promouvoir le développement des marchés monétaires et des capitaux.</w:t>
      </w:r>
    </w:p>
    <w:p w14:paraId="46282BF1" w14:textId="77777777" w:rsidR="009021F1" w:rsidRPr="00E33B7D" w:rsidRDefault="009021F1" w:rsidP="009021F1">
      <w:pPr>
        <w:jc w:val="left"/>
        <w:rPr>
          <w:rFonts w:cs="Arial"/>
          <w:szCs w:val="21"/>
        </w:rPr>
      </w:pPr>
    </w:p>
    <w:p w14:paraId="0E2A9E43" w14:textId="77777777" w:rsidR="009021F1" w:rsidRPr="00E33B7D" w:rsidRDefault="009021F1" w:rsidP="009021F1">
      <w:pPr>
        <w:spacing w:line="240" w:lineRule="auto"/>
        <w:rPr>
          <w:rFonts w:cs="Arial"/>
          <w:color w:val="323232"/>
          <w:szCs w:val="21"/>
        </w:rPr>
      </w:pPr>
      <w:r w:rsidRPr="00E33B7D">
        <w:rPr>
          <w:rFonts w:cs="Arial"/>
          <w:color w:val="323232"/>
          <w:szCs w:val="21"/>
        </w:rPr>
        <w:t>Sans préjudice de l’objectif principal de stabilité du niveau général de prix, la BCC, accomplie toutes les missions d’une Banque Centrale, notamment :</w:t>
      </w:r>
    </w:p>
    <w:p w14:paraId="14061E6C" w14:textId="77777777" w:rsidR="009021F1" w:rsidRPr="00E33B7D" w:rsidRDefault="009021F1" w:rsidP="009021F1">
      <w:pPr>
        <w:spacing w:line="240" w:lineRule="auto"/>
        <w:jc w:val="left"/>
        <w:rPr>
          <w:rFonts w:cs="Arial"/>
          <w:color w:val="323232"/>
          <w:szCs w:val="21"/>
        </w:rPr>
      </w:pPr>
    </w:p>
    <w:p w14:paraId="49C9E3E9" w14:textId="77777777" w:rsidR="009021F1" w:rsidRPr="00E33B7D" w:rsidRDefault="009021F1" w:rsidP="009021F1">
      <w:pPr>
        <w:pStyle w:val="Paragraphedeliste"/>
        <w:numPr>
          <w:ilvl w:val="0"/>
          <w:numId w:val="45"/>
        </w:numPr>
        <w:rPr>
          <w:rFonts w:cs="Arial"/>
          <w:szCs w:val="21"/>
        </w:rPr>
      </w:pPr>
      <w:r w:rsidRPr="00E33B7D">
        <w:rPr>
          <w:rFonts w:cs="Arial"/>
          <w:szCs w:val="21"/>
        </w:rPr>
        <w:t>Institut d’émission : la Banque Centrale est seule habilitée sur le territoire national, à émettre des billets et pièces de monnaie ayant cours légal, libellés dans l’unité monétaire de la RDC, le Franc Congolais ou dans ses sous-unités. Elle assure la stabilité interne et externe de monnaie nationale.</w:t>
      </w:r>
    </w:p>
    <w:p w14:paraId="613930D8" w14:textId="77777777" w:rsidR="009021F1" w:rsidRPr="00E33B7D" w:rsidRDefault="009021F1" w:rsidP="009021F1">
      <w:pPr>
        <w:pStyle w:val="Paragraphedeliste"/>
        <w:numPr>
          <w:ilvl w:val="0"/>
          <w:numId w:val="45"/>
        </w:numPr>
        <w:rPr>
          <w:rFonts w:cs="Arial"/>
          <w:szCs w:val="21"/>
        </w:rPr>
      </w:pPr>
      <w:r w:rsidRPr="00E33B7D">
        <w:rPr>
          <w:rFonts w:cs="Arial"/>
          <w:szCs w:val="21"/>
        </w:rPr>
        <w:t>Banque des Banques : La BCC contrôle le système bancaire et la distribution du crédit par les institutions financières bancaires et non bancaires.</w:t>
      </w:r>
    </w:p>
    <w:p w14:paraId="6A13A815" w14:textId="77777777" w:rsidR="009021F1" w:rsidRPr="00E33B7D" w:rsidRDefault="009021F1" w:rsidP="009021F1">
      <w:pPr>
        <w:pStyle w:val="Paragraphedeliste"/>
        <w:numPr>
          <w:ilvl w:val="0"/>
          <w:numId w:val="45"/>
        </w:numPr>
        <w:rPr>
          <w:rFonts w:cs="Arial"/>
          <w:szCs w:val="21"/>
        </w:rPr>
      </w:pPr>
      <w:r w:rsidRPr="00E33B7D">
        <w:rPr>
          <w:rFonts w:cs="Arial"/>
          <w:szCs w:val="21"/>
        </w:rPr>
        <w:t>Caissier de l’Etat : suivant la convention du caissier de la République Démocratique du Congo, la BCC accepte et effectue les paiements pour le compte de l’Etat. Elle peut, à cette fin, désigner les Etablissements de crédit habilités à agir en son nom et pour compte dans les localités où elle n’est pas représentée. Elle assure le service de la dette publique et administre tout compte spécial de l’Etat, en accord avec le ministère intéressé. En sus, elle achète, vend, décaisse, transfère, perçoit ou détient pour compte de l’Etat tous chèques, lettres de change, valeurs mobilières et autres valeurs. Elle perçoit le produit, en principal et/ou intérêt, résultant de la vente de toute valeur pour compte de l’Etat ou revenant à l’Etat en sa qualité de détenteur de valeurs.</w:t>
      </w:r>
    </w:p>
    <w:p w14:paraId="0F2410C3" w14:textId="77777777" w:rsidR="009021F1" w:rsidRPr="00E33B7D" w:rsidRDefault="009021F1" w:rsidP="009021F1">
      <w:pPr>
        <w:pStyle w:val="Paragraphedeliste"/>
        <w:numPr>
          <w:ilvl w:val="0"/>
          <w:numId w:val="45"/>
        </w:numPr>
        <w:rPr>
          <w:rFonts w:cs="Arial"/>
          <w:szCs w:val="21"/>
        </w:rPr>
      </w:pPr>
      <w:r w:rsidRPr="00E33B7D">
        <w:rPr>
          <w:rFonts w:cs="Arial"/>
          <w:szCs w:val="21"/>
        </w:rPr>
        <w:t>Conseiller de l’Etat : en sa qualité de conseiller du gouvernement en matière économique, monétaire et financière ; la BCC peut d’office ou à la demande du gouvernement émettre des avis ou des conseils sur toute politique ou mesure que le gouvernement envisage de prendre.</w:t>
      </w:r>
    </w:p>
    <w:p w14:paraId="75A3C83A" w14:textId="77777777" w:rsidR="009021F1" w:rsidRPr="00E33B7D" w:rsidRDefault="009021F1" w:rsidP="009021F1">
      <w:pPr>
        <w:pStyle w:val="Paragraphedeliste"/>
        <w:numPr>
          <w:ilvl w:val="0"/>
          <w:numId w:val="45"/>
        </w:numPr>
        <w:rPr>
          <w:rFonts w:cs="Arial"/>
          <w:szCs w:val="21"/>
        </w:rPr>
      </w:pPr>
      <w:r w:rsidRPr="00E33B7D">
        <w:rPr>
          <w:rFonts w:cs="Arial"/>
          <w:szCs w:val="21"/>
        </w:rPr>
        <w:t>Gestionnaire des Réserves Officielles en Or et en Devises de la République : la BCC détient et gère les réserves en or et devises de la République Démocratique du Congo.</w:t>
      </w:r>
    </w:p>
    <w:p w14:paraId="27454C89" w14:textId="77777777" w:rsidR="009021F1" w:rsidRPr="00E33B7D" w:rsidRDefault="009021F1" w:rsidP="009021F1">
      <w:pPr>
        <w:pStyle w:val="Paragraphedeliste"/>
        <w:numPr>
          <w:ilvl w:val="0"/>
          <w:numId w:val="45"/>
        </w:numPr>
        <w:rPr>
          <w:rFonts w:cs="Arial"/>
          <w:szCs w:val="21"/>
        </w:rPr>
      </w:pPr>
      <w:r w:rsidRPr="00E33B7D">
        <w:rPr>
          <w:rFonts w:cs="Arial"/>
          <w:szCs w:val="21"/>
        </w:rPr>
        <w:t>Superviser des intermédiaires financiers : la BCC a, outre les missions précitées, la fonction d’élaborer la réglementation et de contrôler les établissements et de contrôler les établissements de crédit, les institutions de Micro Finance et les autres intermédiaires financiers.</w:t>
      </w:r>
    </w:p>
    <w:p w14:paraId="2895FA2A" w14:textId="77777777" w:rsidR="009021F1" w:rsidRPr="00E33B7D" w:rsidRDefault="009021F1" w:rsidP="009021F1">
      <w:pPr>
        <w:rPr>
          <w:rFonts w:cs="Arial"/>
          <w:szCs w:val="21"/>
        </w:rPr>
      </w:pPr>
    </w:p>
    <w:p w14:paraId="1CAAE14C" w14:textId="77777777" w:rsidR="009021F1" w:rsidRPr="00E33B7D" w:rsidRDefault="009021F1" w:rsidP="009021F1">
      <w:pPr>
        <w:rPr>
          <w:rFonts w:cs="Arial"/>
          <w:szCs w:val="21"/>
        </w:rPr>
      </w:pPr>
      <w:r w:rsidRPr="00E33B7D">
        <w:rPr>
          <w:rFonts w:cs="Arial"/>
          <w:szCs w:val="21"/>
        </w:rPr>
        <w:t>Dans le cadre du PNDA, les provinces du Kwilu, Kasaï Central, et Nord-Kivu ont des directions provinciales notamment dans les villes de Bandundu, Goma, Kananga et les villes de Kikwit, Matadi ont des Agences autonomes.</w:t>
      </w:r>
    </w:p>
    <w:p w14:paraId="6291D163" w14:textId="77777777" w:rsidR="009021F1" w:rsidRPr="00E33B7D" w:rsidRDefault="009021F1" w:rsidP="009021F1">
      <w:pPr>
        <w:pStyle w:val="Titre2"/>
        <w:rPr>
          <w:rFonts w:cs="Arial"/>
          <w:b/>
          <w:i/>
          <w:szCs w:val="21"/>
        </w:rPr>
      </w:pPr>
    </w:p>
    <w:p w14:paraId="0F1AA653" w14:textId="77777777" w:rsidR="009021F1" w:rsidRPr="00E33B7D" w:rsidRDefault="009021F1" w:rsidP="009021F1">
      <w:pPr>
        <w:pStyle w:val="Titre2"/>
        <w:rPr>
          <w:rFonts w:cs="Arial"/>
          <w:i/>
          <w:szCs w:val="21"/>
        </w:rPr>
      </w:pPr>
      <w:bookmarkStart w:id="356" w:name="_Toc90471462"/>
      <w:r w:rsidRPr="00E33B7D">
        <w:rPr>
          <w:rFonts w:cs="Arial"/>
          <w:i/>
          <w:szCs w:val="21"/>
        </w:rPr>
        <w:t>EQUITY BCDC</w:t>
      </w:r>
      <w:bookmarkEnd w:id="356"/>
    </w:p>
    <w:p w14:paraId="0C6B6C16" w14:textId="77777777" w:rsidR="009021F1" w:rsidRPr="00E33B7D" w:rsidRDefault="009021F1" w:rsidP="009021F1">
      <w:pPr>
        <w:autoSpaceDE w:val="0"/>
        <w:autoSpaceDN w:val="0"/>
        <w:adjustRightInd w:val="0"/>
        <w:rPr>
          <w:rFonts w:eastAsia="Calibri" w:cs="Arial"/>
          <w:color w:val="000000"/>
          <w:szCs w:val="21"/>
        </w:rPr>
      </w:pPr>
    </w:p>
    <w:p w14:paraId="101E48BC" w14:textId="77777777" w:rsidR="009021F1" w:rsidRPr="00E33B7D" w:rsidRDefault="009021F1" w:rsidP="009021F1">
      <w:pPr>
        <w:rPr>
          <w:rFonts w:cs="Arial"/>
          <w:szCs w:val="21"/>
        </w:rPr>
      </w:pPr>
      <w:r w:rsidRPr="00E33B7D">
        <w:rPr>
          <w:rFonts w:cs="Arial"/>
          <w:szCs w:val="21"/>
        </w:rPr>
        <w:t xml:space="preserve">La Banque commerciale du Congo (BCDC) est une des premières banques de la </w:t>
      </w:r>
      <w:hyperlink r:id="rId87" w:tooltip="République démocratique du Congo" w:history="1">
        <w:r w:rsidRPr="00E33B7D">
          <w:rPr>
            <w:rFonts w:cs="Arial"/>
            <w:szCs w:val="21"/>
          </w:rPr>
          <w:t>République démocratique du Congo</w:t>
        </w:r>
      </w:hyperlink>
      <w:r w:rsidRPr="00E33B7D">
        <w:rPr>
          <w:rFonts w:cs="Arial"/>
          <w:szCs w:val="21"/>
        </w:rPr>
        <w:t xml:space="preserve">. Fondée en </w:t>
      </w:r>
      <w:hyperlink r:id="rId88" w:tooltip="1909" w:history="1">
        <w:r w:rsidRPr="00E33B7D">
          <w:rPr>
            <w:rFonts w:cs="Arial"/>
            <w:szCs w:val="21"/>
          </w:rPr>
          <w:t>1909</w:t>
        </w:r>
      </w:hyperlink>
      <w:r w:rsidRPr="00E33B7D">
        <w:rPr>
          <w:rFonts w:cs="Arial"/>
          <w:szCs w:val="21"/>
        </w:rPr>
        <w:t xml:space="preserve">, elle est l'une des banques les plus importantes et actives de la </w:t>
      </w:r>
      <w:hyperlink r:id="rId89" w:tooltip="République démocratique du Congo" w:history="1">
        <w:r w:rsidRPr="00E33B7D">
          <w:rPr>
            <w:rFonts w:cs="Arial"/>
            <w:szCs w:val="21"/>
          </w:rPr>
          <w:t>RDC</w:t>
        </w:r>
      </w:hyperlink>
      <w:r w:rsidRPr="00E33B7D">
        <w:rPr>
          <w:rFonts w:cs="Arial"/>
          <w:szCs w:val="21"/>
        </w:rPr>
        <w:t xml:space="preserve">. Sa clientèle englobe des particuliers, des petites et moyennes entreprises, des grandes sociétés ainsi que des organismes gouvernementaux. Hormis les services bancaires de base, la BCDC propose de nombreux autres services, tels que la </w:t>
      </w:r>
      <w:hyperlink r:id="rId90" w:tooltip="Banque électronique" w:history="1">
        <w:r w:rsidRPr="00E33B7D">
          <w:rPr>
            <w:rFonts w:cs="Arial"/>
            <w:szCs w:val="21"/>
          </w:rPr>
          <w:t>banque électronique</w:t>
        </w:r>
      </w:hyperlink>
      <w:r w:rsidRPr="00E33B7D">
        <w:rPr>
          <w:rFonts w:cs="Arial"/>
          <w:szCs w:val="21"/>
        </w:rPr>
        <w:t xml:space="preserve">, </w:t>
      </w:r>
      <w:hyperlink r:id="rId91" w:tooltip="Western Union" w:history="1">
        <w:r w:rsidRPr="00E33B7D">
          <w:rPr>
            <w:rFonts w:cs="Arial"/>
            <w:szCs w:val="21"/>
          </w:rPr>
          <w:t>Western Union</w:t>
        </w:r>
      </w:hyperlink>
      <w:r w:rsidRPr="00E33B7D">
        <w:rPr>
          <w:rFonts w:cs="Arial"/>
          <w:szCs w:val="21"/>
        </w:rPr>
        <w:t xml:space="preserve">, </w:t>
      </w:r>
      <w:hyperlink r:id="rId92" w:tooltip="MasterCard (carte bancaire)" w:history="1">
        <w:r w:rsidRPr="00E33B7D">
          <w:rPr>
            <w:rFonts w:cs="Arial"/>
            <w:szCs w:val="21"/>
          </w:rPr>
          <w:t>MasterCard</w:t>
        </w:r>
      </w:hyperlink>
      <w:r w:rsidRPr="00E33B7D">
        <w:rPr>
          <w:rFonts w:cs="Arial"/>
          <w:szCs w:val="21"/>
        </w:rPr>
        <w:t xml:space="preserve">. </w:t>
      </w:r>
    </w:p>
    <w:p w14:paraId="74D9055F" w14:textId="77777777" w:rsidR="009021F1" w:rsidRPr="00E33B7D" w:rsidRDefault="009021F1" w:rsidP="009021F1">
      <w:pPr>
        <w:rPr>
          <w:szCs w:val="21"/>
        </w:rPr>
      </w:pPr>
    </w:p>
    <w:p w14:paraId="44B00CBD" w14:textId="77777777" w:rsidR="009021F1" w:rsidRPr="00E33B7D" w:rsidRDefault="009021F1" w:rsidP="009021F1">
      <w:pPr>
        <w:rPr>
          <w:rFonts w:cs="Arial"/>
          <w:szCs w:val="21"/>
        </w:rPr>
      </w:pPr>
      <w:r w:rsidRPr="00E33B7D">
        <w:rPr>
          <w:rFonts w:cs="Arial"/>
          <w:szCs w:val="21"/>
        </w:rPr>
        <w:t xml:space="preserve">Equity Bank Congo SA opère en RDC depuis 2005 (jusqu'à Septembre 2015). Elle est une banque commerciale de la République démocratique du Congo. Son objectif est de faciliter l'accès aux services bancaires à tous, et de financer les petites, moyennes et grandes entreprises congolaises. Elle propose une gamme complète de services innovants et adaptés. </w:t>
      </w:r>
    </w:p>
    <w:p w14:paraId="30E598FC" w14:textId="77777777" w:rsidR="009021F1" w:rsidRPr="00E33B7D" w:rsidRDefault="009021F1" w:rsidP="009021F1">
      <w:pPr>
        <w:rPr>
          <w:szCs w:val="21"/>
        </w:rPr>
      </w:pPr>
    </w:p>
    <w:p w14:paraId="732ACBB8" w14:textId="77777777" w:rsidR="009021F1" w:rsidRPr="00E33B7D" w:rsidRDefault="009021F1" w:rsidP="009021F1">
      <w:pPr>
        <w:rPr>
          <w:rFonts w:cs="Arial"/>
          <w:szCs w:val="21"/>
        </w:rPr>
      </w:pPr>
      <w:r w:rsidRPr="00E33B7D">
        <w:rPr>
          <w:szCs w:val="21"/>
        </w:rPr>
        <w:t xml:space="preserve">À la suite de la fusion, la nouvelle banque EQUITY BCDC devient la deuxième plus grande banque de la République Démocratique du Congo. le 30 décembre 2020 : Equity Group holdings Plc, en sigle EGH, a reçu l'approbation de la Banque Centrale du Congo pour la fusion des deux filiales Equity Bank Congo en sigle EBC et la Banque Commerciale du Congo en sigle BCDC, en une seule entité. La nouvelle banque est connue sous le nom de EQUITY BANQUE COMMERCIALE DU CONGO S.A. (en sigle EQUITY BCDC). </w:t>
      </w:r>
      <w:r w:rsidRPr="00E33B7D">
        <w:rPr>
          <w:rFonts w:cs="Arial"/>
          <w:szCs w:val="21"/>
        </w:rPr>
        <w:t xml:space="preserve">Avec cette fusion, l’institution va opérer dans toutes les provinces concernées par le PNDA.  </w:t>
      </w:r>
    </w:p>
    <w:p w14:paraId="4BD63952" w14:textId="77777777" w:rsidR="009021F1" w:rsidRDefault="009021F1" w:rsidP="009021F1">
      <w:pPr>
        <w:rPr>
          <w:rFonts w:cs="Arial"/>
          <w:szCs w:val="21"/>
        </w:rPr>
      </w:pPr>
    </w:p>
    <w:p w14:paraId="7461D2C8" w14:textId="77777777" w:rsidR="009021F1" w:rsidRDefault="009021F1" w:rsidP="009021F1">
      <w:pPr>
        <w:rPr>
          <w:rFonts w:cs="Arial"/>
          <w:szCs w:val="21"/>
        </w:rPr>
      </w:pPr>
    </w:p>
    <w:p w14:paraId="67E0343F" w14:textId="77777777" w:rsidR="009021F1" w:rsidRPr="00E33B7D" w:rsidRDefault="009021F1" w:rsidP="009021F1">
      <w:pPr>
        <w:rPr>
          <w:rFonts w:cs="Arial"/>
          <w:szCs w:val="21"/>
        </w:rPr>
      </w:pPr>
    </w:p>
    <w:p w14:paraId="1F413CD1" w14:textId="77777777" w:rsidR="009021F1" w:rsidRPr="00E33B7D" w:rsidRDefault="009021F1" w:rsidP="009021F1">
      <w:pPr>
        <w:pStyle w:val="Titre2"/>
        <w:rPr>
          <w:rFonts w:cs="Arial"/>
          <w:i/>
          <w:szCs w:val="21"/>
        </w:rPr>
      </w:pPr>
      <w:bookmarkStart w:id="357" w:name="_Toc90471463"/>
      <w:r w:rsidRPr="00E33B7D">
        <w:rPr>
          <w:rFonts w:cs="Arial"/>
          <w:i/>
          <w:szCs w:val="21"/>
        </w:rPr>
        <w:t>RAWBANK SARL</w:t>
      </w:r>
      <w:bookmarkEnd w:id="357"/>
    </w:p>
    <w:p w14:paraId="24C6CEEE" w14:textId="77777777" w:rsidR="009021F1" w:rsidRPr="00E33B7D" w:rsidRDefault="009021F1" w:rsidP="009021F1">
      <w:pPr>
        <w:spacing w:line="240" w:lineRule="auto"/>
        <w:rPr>
          <w:rFonts w:cs="Arial"/>
          <w:b/>
          <w:bCs/>
          <w:color w:val="202122"/>
          <w:szCs w:val="21"/>
        </w:rPr>
      </w:pPr>
    </w:p>
    <w:p w14:paraId="79FD525B" w14:textId="77777777" w:rsidR="009021F1" w:rsidRPr="00E33B7D" w:rsidRDefault="009021F1" w:rsidP="009021F1">
      <w:pPr>
        <w:rPr>
          <w:rFonts w:cs="Arial"/>
          <w:szCs w:val="21"/>
        </w:rPr>
      </w:pPr>
      <w:r w:rsidRPr="00E33B7D">
        <w:rPr>
          <w:rFonts w:cs="Arial"/>
          <w:szCs w:val="21"/>
        </w:rPr>
        <w:t xml:space="preserve">RAWBANK est une </w:t>
      </w:r>
      <w:hyperlink r:id="rId93" w:tooltip="Banque" w:history="1">
        <w:r w:rsidRPr="00E33B7D">
          <w:rPr>
            <w:rFonts w:cs="Arial"/>
            <w:szCs w:val="21"/>
          </w:rPr>
          <w:t>banque</w:t>
        </w:r>
      </w:hyperlink>
      <w:r w:rsidRPr="00E33B7D">
        <w:rPr>
          <w:rFonts w:cs="Arial"/>
          <w:szCs w:val="21"/>
        </w:rPr>
        <w:t xml:space="preserve"> commerciale de la </w:t>
      </w:r>
      <w:hyperlink r:id="rId94" w:tooltip="République démocratique du Congo" w:history="1">
        <w:r w:rsidRPr="00E33B7D">
          <w:rPr>
            <w:rFonts w:cs="Arial"/>
            <w:szCs w:val="21"/>
          </w:rPr>
          <w:t>République démocratique du Congo</w:t>
        </w:r>
      </w:hyperlink>
      <w:r w:rsidRPr="00E33B7D">
        <w:rPr>
          <w:rFonts w:cs="Arial"/>
          <w:szCs w:val="21"/>
        </w:rPr>
        <w:t xml:space="preserve">, qui occupe une place significative dans le secteur bancaire congolais par son total actif, son total des dépôts et son total des crédits. Elle a été créée en 2002 et a son siège social à </w:t>
      </w:r>
      <w:hyperlink r:id="rId95" w:tooltip="Kinshasa" w:history="1">
        <w:r w:rsidRPr="00E33B7D">
          <w:rPr>
            <w:rFonts w:cs="Arial"/>
            <w:szCs w:val="21"/>
          </w:rPr>
          <w:t>Kinshasa</w:t>
        </w:r>
      </w:hyperlink>
      <w:r w:rsidRPr="00E33B7D">
        <w:rPr>
          <w:rFonts w:cs="Arial"/>
          <w:szCs w:val="21"/>
        </w:rPr>
        <w:t>.</w:t>
      </w:r>
    </w:p>
    <w:p w14:paraId="064D5B5B" w14:textId="77777777" w:rsidR="009021F1" w:rsidRPr="00E33B7D" w:rsidRDefault="009021F1" w:rsidP="009021F1">
      <w:pPr>
        <w:spacing w:line="240" w:lineRule="auto"/>
        <w:rPr>
          <w:rFonts w:cs="Arial"/>
          <w:color w:val="000000"/>
          <w:szCs w:val="21"/>
        </w:rPr>
      </w:pPr>
    </w:p>
    <w:p w14:paraId="60B673EB" w14:textId="77777777" w:rsidR="009021F1" w:rsidRPr="00E33B7D" w:rsidRDefault="009021F1" w:rsidP="009021F1">
      <w:pPr>
        <w:spacing w:line="240" w:lineRule="auto"/>
        <w:rPr>
          <w:rFonts w:cs="Arial"/>
          <w:color w:val="000000"/>
          <w:szCs w:val="21"/>
        </w:rPr>
      </w:pPr>
      <w:r w:rsidRPr="00E33B7D">
        <w:rPr>
          <w:rFonts w:cs="Arial"/>
          <w:color w:val="000000"/>
          <w:szCs w:val="21"/>
        </w:rPr>
        <w:t>La RAWBANK a comme objectif :</w:t>
      </w:r>
    </w:p>
    <w:p w14:paraId="5289F19C" w14:textId="77777777" w:rsidR="009021F1" w:rsidRPr="00E33B7D" w:rsidRDefault="009021F1" w:rsidP="009021F1">
      <w:pPr>
        <w:spacing w:line="240" w:lineRule="auto"/>
        <w:rPr>
          <w:rFonts w:cs="Arial"/>
          <w:color w:val="000000"/>
          <w:szCs w:val="21"/>
        </w:rPr>
      </w:pPr>
    </w:p>
    <w:p w14:paraId="1106D573" w14:textId="77777777" w:rsidR="009021F1" w:rsidRPr="00E33B7D" w:rsidRDefault="009021F1" w:rsidP="009021F1">
      <w:pPr>
        <w:pStyle w:val="Paragraphedeliste"/>
        <w:numPr>
          <w:ilvl w:val="0"/>
          <w:numId w:val="45"/>
        </w:numPr>
        <w:rPr>
          <w:rFonts w:cs="Arial"/>
          <w:szCs w:val="21"/>
        </w:rPr>
      </w:pPr>
      <w:r w:rsidRPr="00E33B7D">
        <w:rPr>
          <w:rFonts w:cs="Arial"/>
          <w:szCs w:val="21"/>
        </w:rPr>
        <w:t>Le placement, l'achat, la gestion, la garde et la vente des valeurs mobilières et de tout actif financier ;</w:t>
      </w:r>
    </w:p>
    <w:p w14:paraId="4E376635" w14:textId="77777777" w:rsidR="009021F1" w:rsidRPr="00E33B7D" w:rsidRDefault="009021F1" w:rsidP="009021F1">
      <w:pPr>
        <w:pStyle w:val="Paragraphedeliste"/>
        <w:numPr>
          <w:ilvl w:val="0"/>
          <w:numId w:val="45"/>
        </w:numPr>
        <w:rPr>
          <w:rFonts w:cs="Arial"/>
          <w:szCs w:val="21"/>
        </w:rPr>
      </w:pPr>
      <w:r w:rsidRPr="00E33B7D">
        <w:rPr>
          <w:rFonts w:cs="Arial"/>
          <w:szCs w:val="21"/>
        </w:rPr>
        <w:t>D'effectuer toutes les opérations de banque, bourse, de financement de trésorerie, de commission ainsi que toutes les opérations sur or métaux précieux ;</w:t>
      </w:r>
    </w:p>
    <w:p w14:paraId="3E58D965" w14:textId="77777777" w:rsidR="009021F1" w:rsidRPr="00E33B7D" w:rsidRDefault="009021F1" w:rsidP="009021F1">
      <w:pPr>
        <w:pStyle w:val="Paragraphedeliste"/>
        <w:numPr>
          <w:ilvl w:val="0"/>
          <w:numId w:val="45"/>
        </w:numPr>
        <w:rPr>
          <w:rFonts w:cs="Arial"/>
          <w:szCs w:val="21"/>
        </w:rPr>
      </w:pPr>
      <w:r w:rsidRPr="00E33B7D">
        <w:rPr>
          <w:rFonts w:cs="Arial"/>
          <w:szCs w:val="21"/>
        </w:rPr>
        <w:t>Le conseil et l'assistance en matière de gestion financière ainsi que tous services destinés à faciliter la création et le développement des entreprises.</w:t>
      </w:r>
    </w:p>
    <w:p w14:paraId="7198BEDF" w14:textId="77777777" w:rsidR="009021F1" w:rsidRPr="00E33B7D" w:rsidRDefault="009021F1" w:rsidP="009021F1">
      <w:pPr>
        <w:pStyle w:val="Paragraphedeliste"/>
        <w:numPr>
          <w:ilvl w:val="0"/>
          <w:numId w:val="45"/>
        </w:numPr>
        <w:rPr>
          <w:rFonts w:cs="Arial"/>
          <w:szCs w:val="21"/>
        </w:rPr>
      </w:pPr>
      <w:r w:rsidRPr="00E33B7D">
        <w:rPr>
          <w:rFonts w:cs="Arial"/>
          <w:szCs w:val="21"/>
        </w:rPr>
        <w:t>La représentation de titres de commissionnaires, du mandataire ou l'agent, de toutes personnes physiques ou morales ;</w:t>
      </w:r>
    </w:p>
    <w:p w14:paraId="0BDF6049" w14:textId="77777777" w:rsidR="009021F1" w:rsidRPr="00E33B7D" w:rsidRDefault="009021F1" w:rsidP="009021F1">
      <w:pPr>
        <w:pStyle w:val="Paragraphedeliste"/>
        <w:numPr>
          <w:ilvl w:val="0"/>
          <w:numId w:val="45"/>
        </w:numPr>
        <w:rPr>
          <w:rFonts w:cs="Arial"/>
          <w:szCs w:val="21"/>
        </w:rPr>
      </w:pPr>
      <w:r w:rsidRPr="00E33B7D">
        <w:rPr>
          <w:rFonts w:cs="Arial"/>
          <w:szCs w:val="21"/>
        </w:rPr>
        <w:t>Effectuer toute action ou toute opération pour tiers ;</w:t>
      </w:r>
    </w:p>
    <w:p w14:paraId="137D79F5" w14:textId="77777777" w:rsidR="009021F1" w:rsidRPr="00E33B7D" w:rsidRDefault="009021F1" w:rsidP="009021F1">
      <w:pPr>
        <w:pStyle w:val="Paragraphedeliste"/>
        <w:numPr>
          <w:ilvl w:val="0"/>
          <w:numId w:val="45"/>
        </w:numPr>
        <w:rPr>
          <w:rFonts w:cs="Arial"/>
          <w:szCs w:val="21"/>
        </w:rPr>
      </w:pPr>
      <w:r w:rsidRPr="00E33B7D">
        <w:rPr>
          <w:rFonts w:cs="Arial"/>
          <w:szCs w:val="21"/>
        </w:rPr>
        <w:t>Acquisition, construction ou location de tout immeuble utile à son fonctionnement, et à la réalisation de son objet social ou bien-être de son personnel ;</w:t>
      </w:r>
    </w:p>
    <w:p w14:paraId="4FBC70A3" w14:textId="77777777" w:rsidR="009021F1" w:rsidRPr="00E33B7D" w:rsidRDefault="009021F1" w:rsidP="009021F1">
      <w:pPr>
        <w:pStyle w:val="Paragraphedeliste"/>
        <w:numPr>
          <w:ilvl w:val="0"/>
          <w:numId w:val="45"/>
        </w:numPr>
        <w:rPr>
          <w:rFonts w:cs="Arial"/>
          <w:szCs w:val="21"/>
        </w:rPr>
      </w:pPr>
      <w:r w:rsidRPr="00E33B7D">
        <w:rPr>
          <w:rFonts w:cs="Arial"/>
          <w:szCs w:val="21"/>
        </w:rPr>
        <w:t>La participation par voie de création des sociétés nouvelles, de souscription ou l'achat des titres ou droit sociaux, de fusion, de prise de location gérance ou autrement.</w:t>
      </w:r>
    </w:p>
    <w:p w14:paraId="0B3A05BE" w14:textId="77777777" w:rsidR="009021F1" w:rsidRPr="00E33B7D" w:rsidRDefault="009021F1" w:rsidP="009021F1">
      <w:pPr>
        <w:rPr>
          <w:rFonts w:cs="Arial"/>
          <w:color w:val="4D5156"/>
          <w:szCs w:val="21"/>
          <w:shd w:val="clear" w:color="auto" w:fill="FFFFFF"/>
        </w:rPr>
      </w:pPr>
    </w:p>
    <w:p w14:paraId="4BFB0C69" w14:textId="77777777" w:rsidR="009021F1" w:rsidRPr="00E33B7D" w:rsidRDefault="009021F1" w:rsidP="009021F1">
      <w:pPr>
        <w:rPr>
          <w:rFonts w:cs="Arial"/>
          <w:szCs w:val="21"/>
        </w:rPr>
      </w:pPr>
      <w:r w:rsidRPr="00E33B7D">
        <w:rPr>
          <w:rFonts w:cs="Arial"/>
          <w:szCs w:val="21"/>
        </w:rPr>
        <w:t>La RAWBANK focalise son activité sur les gros importateurs ainsi que les exportateurs « soft ou hard commodités » ; elle est également résolue à soutenir activement les entreprises publiques dans leurs transactions avec l'étranger et à favoriser les opérations financières des organismes internationaux, des organisations non gouvernementales. En dehors de la ville de Kinshasa, la RAWBANK a aussi ses directions provinciales dans les provinces concernées par le PNDA notamment : les provinces de Kwilu, Kongo central, Kasaï central, Kasaï et le Nord-Kivu.</w:t>
      </w:r>
    </w:p>
    <w:p w14:paraId="7917EF6F" w14:textId="77777777" w:rsidR="009021F1" w:rsidRPr="00E33B7D" w:rsidRDefault="009021F1" w:rsidP="009021F1">
      <w:pPr>
        <w:rPr>
          <w:rFonts w:cs="Arial"/>
          <w:szCs w:val="21"/>
        </w:rPr>
      </w:pPr>
    </w:p>
    <w:p w14:paraId="2649669E" w14:textId="77777777" w:rsidR="009021F1" w:rsidRPr="00E33B7D" w:rsidRDefault="009021F1" w:rsidP="009021F1">
      <w:pPr>
        <w:rPr>
          <w:rFonts w:cs="Arial"/>
          <w:szCs w:val="21"/>
        </w:rPr>
      </w:pPr>
      <w:r w:rsidRPr="00E33B7D">
        <w:rPr>
          <w:rFonts w:cs="Arial"/>
          <w:szCs w:val="21"/>
        </w:rPr>
        <w:t>Toutes ces trois banques peuvent jouer le rôle des intermédiaires financiers pour financer les activités des petits exploitants agricoles dans le cadre du PNDA conformément à la Norme n°9.</w:t>
      </w:r>
    </w:p>
    <w:p w14:paraId="68F28773" w14:textId="77777777" w:rsidR="009021F1" w:rsidRPr="00E33B7D" w:rsidRDefault="009021F1" w:rsidP="009021F1">
      <w:pPr>
        <w:rPr>
          <w:rFonts w:cs="Arial"/>
          <w:szCs w:val="21"/>
        </w:rPr>
      </w:pPr>
    </w:p>
    <w:p w14:paraId="3B432EA1" w14:textId="77777777" w:rsidR="009021F1" w:rsidRPr="00E33B7D" w:rsidRDefault="009021F1" w:rsidP="009021F1">
      <w:pPr>
        <w:rPr>
          <w:rFonts w:cs="Arial"/>
          <w:i/>
          <w:szCs w:val="21"/>
        </w:rPr>
      </w:pPr>
      <w:r w:rsidRPr="00E33B7D">
        <w:rPr>
          <w:rFonts w:cs="Arial"/>
          <w:i/>
          <w:szCs w:val="21"/>
        </w:rPr>
        <w:t xml:space="preserve">Associations des producteurs/productrices et coopératives agricoles </w:t>
      </w:r>
    </w:p>
    <w:p w14:paraId="1B60A6E4" w14:textId="77777777" w:rsidR="009021F1" w:rsidRPr="00E33B7D" w:rsidRDefault="009021F1" w:rsidP="009021F1">
      <w:pPr>
        <w:rPr>
          <w:rFonts w:cs="Arial"/>
          <w:color w:val="4D5156"/>
          <w:szCs w:val="21"/>
          <w:shd w:val="clear" w:color="auto" w:fill="FFFFFF"/>
        </w:rPr>
      </w:pPr>
    </w:p>
    <w:p w14:paraId="65EF287B" w14:textId="77777777" w:rsidR="009021F1" w:rsidRPr="00E33B7D" w:rsidRDefault="009021F1" w:rsidP="009021F1">
      <w:pPr>
        <w:rPr>
          <w:rFonts w:cs="Arial"/>
          <w:szCs w:val="21"/>
          <w:shd w:val="clear" w:color="auto" w:fill="FFFFFF"/>
        </w:rPr>
      </w:pPr>
      <w:r w:rsidRPr="00E33B7D">
        <w:rPr>
          <w:rFonts w:cs="Arial"/>
          <w:szCs w:val="21"/>
          <w:shd w:val="clear" w:color="auto" w:fill="FFFFFF"/>
        </w:rPr>
        <w:t>Les organisations d'agriculteurs et de producteurs sont des institutions importantes en mesure de fournir différents services à leurs membres, de faciliter l'accès aux marchés et de donner aux petits exploitants les moyens de participer à l'élaboration des politiques. Elles ont un rôle clé à jouer dans une transformation inclusive et durable dans le cadre du PNDA.</w:t>
      </w:r>
    </w:p>
    <w:p w14:paraId="22F0E49B" w14:textId="77777777" w:rsidR="009021F1" w:rsidRPr="00E33B7D" w:rsidRDefault="009021F1" w:rsidP="009021F1">
      <w:pPr>
        <w:rPr>
          <w:rFonts w:cs="Arial"/>
          <w:szCs w:val="21"/>
          <w:highlight w:val="yellow"/>
        </w:rPr>
      </w:pPr>
    </w:p>
    <w:p w14:paraId="0E7ED3B2" w14:textId="77777777" w:rsidR="009021F1" w:rsidRPr="00E33B7D" w:rsidRDefault="009021F1" w:rsidP="009021F1">
      <w:pPr>
        <w:rPr>
          <w:rFonts w:cs="Arial"/>
          <w:szCs w:val="21"/>
          <w:shd w:val="clear" w:color="auto" w:fill="FFFFFF"/>
        </w:rPr>
      </w:pPr>
      <w:r w:rsidRPr="00E33B7D">
        <w:rPr>
          <w:rFonts w:cs="Arial"/>
          <w:szCs w:val="21"/>
          <w:shd w:val="clear" w:color="auto" w:fill="FFFFFF"/>
        </w:rPr>
        <w:t>Dans la Province du Nord-Kivu, l’on rencontre les coopératives telles que La Coopérative Centrale du Nord Kivu (COOCENKI), Coopérative des Concessionnaires du Nord-Kivu (CCNK), Coopérative des Cultivateurs de Kibirizi, (COOCUKI), Coopérative des Producteurs Agricoles pour le Développement de Rutshuru (COOPADERU), Coopérative des Producteurs Agricoles de Kinyandonyi-Rutshuru, (COOPAKIRU) Coopérative pour le Développement de l’Elevage et de l’Agriculture à Kiseguro (COODELA).</w:t>
      </w:r>
    </w:p>
    <w:p w14:paraId="328C0EC9" w14:textId="77777777" w:rsidR="009021F1" w:rsidRPr="00E33B7D" w:rsidRDefault="009021F1" w:rsidP="009021F1">
      <w:pPr>
        <w:rPr>
          <w:rFonts w:cs="Arial"/>
          <w:bCs/>
          <w:szCs w:val="21"/>
        </w:rPr>
      </w:pPr>
    </w:p>
    <w:p w14:paraId="421FF48F" w14:textId="77777777" w:rsidR="009021F1" w:rsidRPr="00E33B7D" w:rsidRDefault="009021F1" w:rsidP="009021F1">
      <w:pPr>
        <w:rPr>
          <w:rFonts w:cs="Arial"/>
          <w:bCs/>
          <w:szCs w:val="21"/>
        </w:rPr>
      </w:pPr>
      <w:r w:rsidRPr="00E33B7D">
        <w:rPr>
          <w:rFonts w:cs="Arial"/>
          <w:bCs/>
          <w:szCs w:val="21"/>
        </w:rPr>
        <w:t>En plus, on a tous les Ministères Provinciaux ayant en charge les attributions, au niveau des provinces, des Ministères Centraux cités ci-haut.</w:t>
      </w:r>
    </w:p>
    <w:p w14:paraId="5EF5ECFC" w14:textId="77777777" w:rsidR="009021F1" w:rsidRDefault="009021F1" w:rsidP="009021F1">
      <w:pPr>
        <w:rPr>
          <w:rFonts w:cs="Arial"/>
          <w:szCs w:val="21"/>
          <w:highlight w:val="yellow"/>
        </w:rPr>
      </w:pPr>
    </w:p>
    <w:p w14:paraId="1B9173FD" w14:textId="77777777" w:rsidR="009021F1" w:rsidRDefault="009021F1" w:rsidP="009021F1">
      <w:pPr>
        <w:rPr>
          <w:rFonts w:cs="Arial"/>
          <w:szCs w:val="21"/>
          <w:highlight w:val="yellow"/>
        </w:rPr>
      </w:pPr>
    </w:p>
    <w:p w14:paraId="361B6EBA" w14:textId="77777777" w:rsidR="009021F1" w:rsidRDefault="009021F1" w:rsidP="009021F1">
      <w:pPr>
        <w:rPr>
          <w:rFonts w:cs="Arial"/>
          <w:szCs w:val="21"/>
          <w:highlight w:val="yellow"/>
        </w:rPr>
      </w:pPr>
    </w:p>
    <w:p w14:paraId="5573A9CA" w14:textId="77777777" w:rsidR="009021F1" w:rsidRPr="00E33B7D" w:rsidRDefault="009021F1" w:rsidP="009021F1">
      <w:pPr>
        <w:rPr>
          <w:rFonts w:cs="Arial"/>
          <w:szCs w:val="21"/>
          <w:highlight w:val="yellow"/>
        </w:rPr>
      </w:pPr>
    </w:p>
    <w:p w14:paraId="51458A84" w14:textId="77777777" w:rsidR="009021F1" w:rsidRPr="00E33B7D" w:rsidRDefault="009021F1" w:rsidP="009021F1">
      <w:pPr>
        <w:pStyle w:val="Titre2"/>
        <w:numPr>
          <w:ilvl w:val="1"/>
          <w:numId w:val="4"/>
        </w:numPr>
        <w:ind w:left="851" w:hanging="425"/>
        <w:rPr>
          <w:rFonts w:cs="Arial"/>
          <w:b/>
          <w:szCs w:val="21"/>
        </w:rPr>
      </w:pPr>
      <w:bookmarkStart w:id="358" w:name="_Toc90471464"/>
      <w:r w:rsidRPr="00E33B7D">
        <w:rPr>
          <w:rFonts w:cs="Arial"/>
          <w:b/>
          <w:szCs w:val="21"/>
        </w:rPr>
        <w:t>Analyse des capacités de gestion environnementale et sociale</w:t>
      </w:r>
      <w:bookmarkEnd w:id="358"/>
    </w:p>
    <w:p w14:paraId="73DFC583" w14:textId="77777777" w:rsidR="009021F1" w:rsidRPr="00E33B7D" w:rsidRDefault="009021F1" w:rsidP="009021F1">
      <w:pPr>
        <w:pStyle w:val="Lgende"/>
        <w:rPr>
          <w:rFonts w:cs="Arial"/>
          <w:szCs w:val="21"/>
        </w:rPr>
      </w:pPr>
    </w:p>
    <w:p w14:paraId="6AA93171" w14:textId="77777777" w:rsidR="009021F1" w:rsidRPr="00E33B7D" w:rsidRDefault="009021F1" w:rsidP="009021F1">
      <w:pPr>
        <w:rPr>
          <w:rFonts w:cs="Arial"/>
          <w:bCs/>
          <w:szCs w:val="21"/>
        </w:rPr>
      </w:pPr>
      <w:r w:rsidRPr="00E33B7D">
        <w:rPr>
          <w:rFonts w:cs="Arial"/>
          <w:bCs/>
          <w:szCs w:val="21"/>
        </w:rPr>
        <w:t>L’analyse de la gestion environnementale tirée des programmes antérieurement exécutés a révélé que les capacités environnementales et sociales sont variées selon les acteurs concernés ou impliqués par le projet.</w:t>
      </w:r>
    </w:p>
    <w:p w14:paraId="77DAA9D1" w14:textId="77777777" w:rsidR="009021F1" w:rsidRPr="00E33B7D" w:rsidRDefault="009021F1" w:rsidP="009021F1">
      <w:pPr>
        <w:rPr>
          <w:rFonts w:cs="Arial"/>
          <w:bCs/>
          <w:szCs w:val="21"/>
        </w:rPr>
      </w:pPr>
    </w:p>
    <w:p w14:paraId="1AB1BB1A" w14:textId="77777777" w:rsidR="009021F1" w:rsidRPr="00E33B7D" w:rsidRDefault="009021F1" w:rsidP="009021F1">
      <w:pPr>
        <w:rPr>
          <w:rFonts w:cs="Arial"/>
          <w:bCs/>
          <w:szCs w:val="21"/>
        </w:rPr>
      </w:pPr>
      <w:r w:rsidRPr="00E33B7D">
        <w:rPr>
          <w:rFonts w:cs="Arial"/>
          <w:bCs/>
          <w:szCs w:val="21"/>
        </w:rPr>
        <w:t>L’UNCP a mis en place une Unité de gestion environnementale et sociale composée de trois Spécialistes en sauvegardes (Environnement, Social et VBG). Cependant, leurs capacités devront être renforcées notamment sur certaines normes du nouveau CES.</w:t>
      </w:r>
    </w:p>
    <w:p w14:paraId="2F6397CF" w14:textId="77777777" w:rsidR="009021F1" w:rsidRPr="00E33B7D" w:rsidRDefault="009021F1" w:rsidP="009021F1">
      <w:pPr>
        <w:rPr>
          <w:rFonts w:cs="Arial"/>
          <w:bCs/>
          <w:szCs w:val="21"/>
        </w:rPr>
      </w:pPr>
    </w:p>
    <w:p w14:paraId="1AC39EFE" w14:textId="77777777" w:rsidR="009021F1" w:rsidRPr="00E33B7D" w:rsidRDefault="009021F1" w:rsidP="009021F1">
      <w:pPr>
        <w:rPr>
          <w:rFonts w:cs="Arial"/>
          <w:bCs/>
          <w:szCs w:val="21"/>
        </w:rPr>
      </w:pPr>
      <w:r w:rsidRPr="00E33B7D">
        <w:rPr>
          <w:rFonts w:cs="Arial"/>
          <w:bCs/>
          <w:szCs w:val="21"/>
        </w:rPr>
        <w:t xml:space="preserve">L’ACE dispose des compétences humaines requises dans le domaine des Évaluations et Études d’Impacts sur l’Environnement, pour mener à bien sa mission. Toutefois, ses capacités matérielles et financières sont relativement réduites pour lui permettre d’assurer correctement l’accomplissement de sa mission, notamment concernant la validation des TDR, la validation des rapports des ÉIES, le suivi des PGES.  Dans ces domaines, l’Agence devrait être appuyée par le programme. Il faut préciser que l’ACE reçoit des ressources conséquentes des projets pour leur supervision. </w:t>
      </w:r>
    </w:p>
    <w:p w14:paraId="5DB731FD" w14:textId="77777777" w:rsidR="009021F1" w:rsidRPr="00E33B7D" w:rsidRDefault="009021F1" w:rsidP="009021F1">
      <w:pPr>
        <w:rPr>
          <w:rFonts w:cs="Arial"/>
          <w:bCs/>
          <w:szCs w:val="21"/>
        </w:rPr>
      </w:pPr>
    </w:p>
    <w:p w14:paraId="5805AE32" w14:textId="77777777" w:rsidR="009021F1" w:rsidRPr="00E33B7D" w:rsidRDefault="009021F1" w:rsidP="009021F1">
      <w:pPr>
        <w:rPr>
          <w:rFonts w:cs="Arial"/>
          <w:bCs/>
          <w:szCs w:val="21"/>
        </w:rPr>
      </w:pPr>
      <w:r w:rsidRPr="00E33B7D">
        <w:rPr>
          <w:rFonts w:cs="Arial"/>
          <w:bCs/>
          <w:szCs w:val="21"/>
        </w:rPr>
        <w:t>À l’Office des Voies de Desserte Agricole, il existe une Division Environnement. Au niveau provincial, l’OVDA dispose d’antennes locales qui souffrent de capacités pour bien gérer les aspects environnementaux et sociaux dans la surveillance des projets d’infrastructures rurales. Dans le cadre du Programme, l’OVDA devra être renforcé en capacité.</w:t>
      </w:r>
    </w:p>
    <w:p w14:paraId="6CF89498" w14:textId="77777777" w:rsidR="009021F1" w:rsidRPr="00E33B7D" w:rsidRDefault="009021F1" w:rsidP="009021F1">
      <w:pPr>
        <w:rPr>
          <w:rFonts w:cs="Arial"/>
          <w:bCs/>
          <w:szCs w:val="21"/>
        </w:rPr>
      </w:pPr>
    </w:p>
    <w:p w14:paraId="176982A8" w14:textId="77777777" w:rsidR="009021F1" w:rsidRPr="00E33B7D" w:rsidRDefault="009021F1" w:rsidP="009021F1">
      <w:pPr>
        <w:rPr>
          <w:rFonts w:cs="Arial"/>
          <w:bCs/>
          <w:szCs w:val="21"/>
          <w:lang w:val="fr-CD"/>
        </w:rPr>
      </w:pPr>
      <w:r w:rsidRPr="00E33B7D">
        <w:rPr>
          <w:rFonts w:cs="Arial"/>
          <w:bCs/>
          <w:szCs w:val="21"/>
          <w:lang w:val="fr-CD"/>
        </w:rPr>
        <w:t xml:space="preserve">En dehors des Coordinations Provinciales de l’Environnement (CPE), les Inspections Provinciales de l’Agricultures, Divisions des Ministères provinciaux, l’Administration locale (Villes, Territoires, Secteurs, Groupements et Villages manquent de capacités dans la planification et la gestion environnementale et sociale des projets. À ce niveau, des renforcent sont nécessaires pour les agents de ces structures qui seront impliquées dans le </w:t>
      </w:r>
      <w:r w:rsidRPr="00E33B7D">
        <w:rPr>
          <w:rFonts w:cs="Arial"/>
          <w:bCs/>
          <w:szCs w:val="21"/>
        </w:rPr>
        <w:t>PNDA</w:t>
      </w:r>
      <w:r w:rsidRPr="00E33B7D">
        <w:rPr>
          <w:rFonts w:cs="Arial"/>
          <w:bCs/>
          <w:szCs w:val="21"/>
          <w:lang w:val="fr-CD"/>
        </w:rPr>
        <w:t>.</w:t>
      </w:r>
    </w:p>
    <w:p w14:paraId="45C62F30" w14:textId="77777777" w:rsidR="009021F1" w:rsidRPr="00E33B7D" w:rsidRDefault="009021F1" w:rsidP="009021F1">
      <w:pPr>
        <w:rPr>
          <w:rFonts w:cs="Arial"/>
          <w:bCs/>
          <w:szCs w:val="21"/>
          <w:lang w:val="fr-CD"/>
        </w:rPr>
      </w:pPr>
    </w:p>
    <w:p w14:paraId="5F0D1B34" w14:textId="77777777" w:rsidR="009021F1" w:rsidRPr="00E33B7D" w:rsidRDefault="009021F1" w:rsidP="009021F1">
      <w:pPr>
        <w:pStyle w:val="Sansinterligne"/>
        <w:jc w:val="both"/>
        <w:rPr>
          <w:rFonts w:ascii="Arial" w:hAnsi="Arial" w:cs="Arial"/>
          <w:bCs/>
          <w:sz w:val="21"/>
          <w:szCs w:val="21"/>
          <w:lang w:val="fr-FR"/>
        </w:rPr>
      </w:pPr>
      <w:r w:rsidRPr="00E33B7D">
        <w:rPr>
          <w:rFonts w:ascii="Arial" w:hAnsi="Arial" w:cs="Arial"/>
          <w:sz w:val="21"/>
          <w:szCs w:val="21"/>
          <w:lang w:val="fr-FR"/>
        </w:rPr>
        <w:t>Les intermédiaires fiduciaires (la Banque centrale du Congo, les Banques commerciales et coopératives) ne disposent</w:t>
      </w:r>
      <w:r w:rsidRPr="00E33B7D">
        <w:rPr>
          <w:rFonts w:ascii="Arial" w:eastAsia="Calibri" w:hAnsi="Arial" w:cs="Arial"/>
          <w:sz w:val="21"/>
          <w:szCs w:val="21"/>
          <w:lang w:val="fr-FR"/>
        </w:rPr>
        <w:t xml:space="preserve"> </w:t>
      </w:r>
      <w:r w:rsidRPr="00E33B7D">
        <w:rPr>
          <w:rFonts w:ascii="Arial" w:hAnsi="Arial" w:cs="Arial"/>
          <w:sz w:val="21"/>
          <w:szCs w:val="21"/>
          <w:lang w:val="fr-FR"/>
        </w:rPr>
        <w:t>d</w:t>
      </w:r>
      <w:r w:rsidRPr="00E33B7D">
        <w:rPr>
          <w:rFonts w:ascii="Arial" w:eastAsia="Calibri" w:hAnsi="Arial" w:cs="Arial"/>
          <w:sz w:val="21"/>
          <w:szCs w:val="21"/>
          <w:lang w:val="fr-FR"/>
        </w:rPr>
        <w:t xml:space="preserve">e </w:t>
      </w:r>
      <w:r w:rsidRPr="00E33B7D">
        <w:rPr>
          <w:rFonts w:ascii="Arial" w:hAnsi="Arial" w:cs="Arial"/>
          <w:sz w:val="21"/>
          <w:szCs w:val="21"/>
          <w:lang w:val="fr-FR"/>
        </w:rPr>
        <w:t xml:space="preserve">l’expertise sur la gestion </w:t>
      </w:r>
      <w:r w:rsidRPr="00E33B7D">
        <w:rPr>
          <w:rFonts w:ascii="Arial" w:eastAsia="Calibri" w:hAnsi="Arial" w:cs="Arial"/>
          <w:sz w:val="21"/>
          <w:szCs w:val="21"/>
          <w:lang w:val="fr-FR"/>
        </w:rPr>
        <w:t xml:space="preserve">environnementale. </w:t>
      </w:r>
      <w:r w:rsidRPr="00E33B7D">
        <w:rPr>
          <w:rFonts w:ascii="Arial" w:hAnsi="Arial" w:cs="Arial"/>
          <w:bCs/>
          <w:sz w:val="21"/>
          <w:szCs w:val="21"/>
          <w:lang w:val="fr-FR"/>
        </w:rPr>
        <w:t>Pour les besoins du Programme, ses banques devraient recevoir un renforcement des capacités afin d’intégrer la dimension environnementale et sociale dans leurs systèmes de pour un bon suivi des activités qu’elles vont donner des crédits aux petits exploitants agricoles et autres.</w:t>
      </w:r>
    </w:p>
    <w:p w14:paraId="14D980C5" w14:textId="77777777" w:rsidR="009021F1" w:rsidRPr="00E33B7D" w:rsidRDefault="009021F1" w:rsidP="009021F1">
      <w:pPr>
        <w:pStyle w:val="Sansinterligne"/>
        <w:jc w:val="both"/>
        <w:rPr>
          <w:rFonts w:ascii="Arial" w:hAnsi="Arial" w:cs="Arial"/>
          <w:sz w:val="21"/>
          <w:szCs w:val="21"/>
          <w:lang w:val="fr-FR"/>
        </w:rPr>
      </w:pPr>
    </w:p>
    <w:p w14:paraId="772DC81A" w14:textId="77777777" w:rsidR="009021F1" w:rsidRPr="00E33B7D" w:rsidRDefault="009021F1" w:rsidP="009021F1">
      <w:pPr>
        <w:pStyle w:val="Sansinterligne"/>
        <w:jc w:val="both"/>
        <w:rPr>
          <w:rFonts w:ascii="Arial" w:hAnsi="Arial" w:cs="Arial"/>
          <w:bCs/>
          <w:sz w:val="21"/>
          <w:szCs w:val="21"/>
          <w:lang w:val="fr-FR"/>
        </w:rPr>
      </w:pPr>
      <w:r w:rsidRPr="00E33B7D">
        <w:rPr>
          <w:rFonts w:ascii="Arial" w:hAnsi="Arial" w:cs="Arial"/>
          <w:sz w:val="21"/>
          <w:szCs w:val="21"/>
          <w:lang w:val="fr-FR"/>
        </w:rPr>
        <w:t xml:space="preserve">Les Entreprises de PTP et PME disposent de l’expérience dans la réalisation des travaux en génie civil, mais manque d’expérience dans la prise en compte des aspects de sauvegardes environnementale et sociale dans l’exécution des travaux. </w:t>
      </w:r>
      <w:r w:rsidRPr="00E33B7D">
        <w:rPr>
          <w:rFonts w:ascii="Arial" w:hAnsi="Arial" w:cs="Arial"/>
          <w:bCs/>
          <w:sz w:val="21"/>
          <w:szCs w:val="21"/>
          <w:lang w:val="fr-FR"/>
        </w:rPr>
        <w:t>Pour les besoins du projet, elles devraient recevoir un renforcement des capacités sur les NES pour la bonne mise en œuvre des Plans de gestion environnementale et sociale des activités du Programme.</w:t>
      </w:r>
    </w:p>
    <w:p w14:paraId="326272AD" w14:textId="77777777" w:rsidR="009021F1" w:rsidRPr="00E33B7D" w:rsidRDefault="009021F1" w:rsidP="009021F1">
      <w:pPr>
        <w:pStyle w:val="Sansinterligne"/>
        <w:jc w:val="both"/>
        <w:rPr>
          <w:rFonts w:ascii="Arial" w:hAnsi="Arial" w:cs="Arial"/>
          <w:sz w:val="21"/>
          <w:szCs w:val="21"/>
          <w:lang w:val="fr-FR"/>
        </w:rPr>
      </w:pPr>
    </w:p>
    <w:p w14:paraId="05D6199D" w14:textId="77777777" w:rsidR="009021F1" w:rsidRPr="00E33B7D" w:rsidRDefault="009021F1" w:rsidP="009021F1">
      <w:pPr>
        <w:pStyle w:val="Sansinterligne"/>
        <w:jc w:val="both"/>
        <w:rPr>
          <w:rFonts w:ascii="Arial" w:hAnsi="Arial" w:cs="Arial"/>
          <w:bCs/>
          <w:sz w:val="21"/>
          <w:szCs w:val="21"/>
          <w:lang w:val="fr-FR"/>
        </w:rPr>
      </w:pPr>
      <w:r w:rsidRPr="00E33B7D">
        <w:rPr>
          <w:rFonts w:ascii="Arial" w:hAnsi="Arial" w:cs="Arial"/>
          <w:sz w:val="21"/>
          <w:szCs w:val="21"/>
          <w:lang w:val="fr-FR"/>
        </w:rPr>
        <w:t>Les ONG et Mouvements associatifs (Associations des femmes et jeunes au niveau des territoires, Associations de producteurs/trices et coopératives agricoles) ne disposent</w:t>
      </w:r>
      <w:r w:rsidRPr="00E33B7D">
        <w:rPr>
          <w:rFonts w:ascii="Arial" w:eastAsia="Calibri" w:hAnsi="Arial" w:cs="Arial"/>
          <w:sz w:val="21"/>
          <w:szCs w:val="21"/>
          <w:lang w:val="fr-FR"/>
        </w:rPr>
        <w:t xml:space="preserve"> </w:t>
      </w:r>
      <w:r w:rsidRPr="00E33B7D">
        <w:rPr>
          <w:rFonts w:ascii="Arial" w:hAnsi="Arial" w:cs="Arial"/>
          <w:sz w:val="21"/>
          <w:szCs w:val="21"/>
          <w:lang w:val="fr-FR"/>
        </w:rPr>
        <w:t>d</w:t>
      </w:r>
      <w:r w:rsidRPr="00E33B7D">
        <w:rPr>
          <w:rFonts w:ascii="Arial" w:eastAsia="Calibri" w:hAnsi="Arial" w:cs="Arial"/>
          <w:sz w:val="21"/>
          <w:szCs w:val="21"/>
          <w:lang w:val="fr-FR"/>
        </w:rPr>
        <w:t xml:space="preserve">e </w:t>
      </w:r>
      <w:r w:rsidRPr="00E33B7D">
        <w:rPr>
          <w:rFonts w:ascii="Arial" w:hAnsi="Arial" w:cs="Arial"/>
          <w:sz w:val="21"/>
          <w:szCs w:val="21"/>
          <w:lang w:val="fr-FR"/>
        </w:rPr>
        <w:t xml:space="preserve">l’expertise sur la gestion </w:t>
      </w:r>
      <w:r w:rsidRPr="00E33B7D">
        <w:rPr>
          <w:rFonts w:ascii="Arial" w:eastAsia="Calibri" w:hAnsi="Arial" w:cs="Arial"/>
          <w:sz w:val="21"/>
          <w:szCs w:val="21"/>
          <w:lang w:val="fr-FR"/>
        </w:rPr>
        <w:t xml:space="preserve">environnementale. Cependant, ils connaissent des difficultés de fonctionnement (capacités limitées, faiblesse des moyens matériels et logistiques, non motivation des membres, etc.) qui constituent un handicap dans l’accomplissement de leur mission. </w:t>
      </w:r>
      <w:r w:rsidRPr="00E33B7D">
        <w:rPr>
          <w:rFonts w:ascii="Arial" w:hAnsi="Arial" w:cs="Arial"/>
          <w:bCs/>
          <w:sz w:val="21"/>
          <w:szCs w:val="21"/>
          <w:lang w:val="fr-FR"/>
        </w:rPr>
        <w:t>Pour les besoins du projet, les structures devraient recevoir un renforcement des capacités sur le suivi environnemental et social des activités qui se déroulent dans leurs rayons d’action.</w:t>
      </w:r>
    </w:p>
    <w:p w14:paraId="01A14972" w14:textId="77777777" w:rsidR="009021F1" w:rsidRPr="00E33B7D" w:rsidRDefault="009021F1" w:rsidP="009021F1">
      <w:pPr>
        <w:pStyle w:val="Lgende"/>
        <w:rPr>
          <w:rFonts w:cs="Arial"/>
          <w:szCs w:val="21"/>
        </w:rPr>
      </w:pPr>
    </w:p>
    <w:p w14:paraId="238B50BD" w14:textId="77777777" w:rsidR="009021F1" w:rsidRPr="00E33B7D" w:rsidRDefault="009021F1" w:rsidP="009021F1">
      <w:pPr>
        <w:spacing w:line="240" w:lineRule="auto"/>
        <w:jc w:val="left"/>
        <w:rPr>
          <w:rFonts w:cs="Arial"/>
          <w:i/>
          <w:szCs w:val="21"/>
        </w:rPr>
      </w:pPr>
      <w:r w:rsidRPr="00E33B7D">
        <w:rPr>
          <w:rFonts w:cs="Arial"/>
          <w:i/>
          <w:szCs w:val="21"/>
        </w:rPr>
        <w:t>Recommandations pour la gestion environnementale et sociale du PNDA</w:t>
      </w:r>
    </w:p>
    <w:p w14:paraId="32A53097" w14:textId="77777777" w:rsidR="009021F1" w:rsidRPr="00E33B7D" w:rsidRDefault="009021F1" w:rsidP="009021F1">
      <w:pPr>
        <w:rPr>
          <w:rFonts w:cs="Arial"/>
          <w:bCs/>
          <w:szCs w:val="21"/>
        </w:rPr>
      </w:pPr>
    </w:p>
    <w:p w14:paraId="0645CC3D" w14:textId="77777777" w:rsidR="009021F1" w:rsidRPr="00E33B7D" w:rsidRDefault="009021F1" w:rsidP="009021F1">
      <w:pPr>
        <w:rPr>
          <w:rFonts w:cs="Arial"/>
          <w:bCs/>
          <w:szCs w:val="21"/>
        </w:rPr>
      </w:pPr>
      <w:r w:rsidRPr="00E33B7D">
        <w:rPr>
          <w:rFonts w:cs="Arial"/>
          <w:bCs/>
          <w:szCs w:val="21"/>
        </w:rPr>
        <w:t xml:space="preserve">Au total, la fonction environnementale et sociale nécessite d’être renforcée au sein de ces institutions, et au sein des coopératives agricoles bénéficiaires/associations des producteurs/trices pour garantir la durabilité des activités du Programme. Dans cette perspective, les capacités des agents de ces différentes institutions devront être davantage renforcées, notamment sur le plan du suivi environnemental et social des activités, en rapport avec le Nouveau Cadre Environnementale et Sociale de la Banque mondiale. </w:t>
      </w:r>
    </w:p>
    <w:p w14:paraId="3EB904E8" w14:textId="77777777" w:rsidR="009021F1" w:rsidRPr="00E33B7D" w:rsidRDefault="009021F1" w:rsidP="009021F1">
      <w:pPr>
        <w:rPr>
          <w:rFonts w:cs="Arial"/>
          <w:szCs w:val="21"/>
        </w:rPr>
      </w:pPr>
    </w:p>
    <w:p w14:paraId="5AFE1813" w14:textId="77777777" w:rsidR="009021F1" w:rsidRPr="00E33B7D" w:rsidRDefault="009021F1" w:rsidP="009021F1">
      <w:pPr>
        <w:rPr>
          <w:rFonts w:cs="Arial"/>
          <w:szCs w:val="21"/>
        </w:rPr>
      </w:pPr>
      <w:r w:rsidRPr="00E33B7D">
        <w:rPr>
          <w:rFonts w:cs="Arial"/>
          <w:bCs/>
          <w:szCs w:val="21"/>
        </w:rPr>
        <w:t xml:space="preserve">Le renforcement portera aussi sur la </w:t>
      </w:r>
      <w:r w:rsidRPr="00E33B7D">
        <w:rPr>
          <w:rFonts w:cs="Arial"/>
          <w:szCs w:val="21"/>
        </w:rPr>
        <w:t xml:space="preserve">formation des autres acteurs impliqués et la sensibilisation des populations dans les cinq provinces concernées par le </w:t>
      </w:r>
      <w:r w:rsidRPr="00E33B7D">
        <w:rPr>
          <w:rFonts w:cs="Arial"/>
          <w:bCs/>
          <w:szCs w:val="21"/>
        </w:rPr>
        <w:t>Programme</w:t>
      </w:r>
      <w:r w:rsidRPr="00E33B7D">
        <w:rPr>
          <w:rFonts w:cs="Arial"/>
          <w:szCs w:val="21"/>
        </w:rPr>
        <w:t>. Ces actions d’appui technique, de formation et de sensibilisation visent à rendre opérationnelle la stratégie de gestion environnementale et sociale du PNDA et de protéger l’environnement agricole, les infrastructures de desserte agricole, la santé et la sécurité des populations bénéficiaires.</w:t>
      </w:r>
    </w:p>
    <w:p w14:paraId="60EE86B0" w14:textId="77777777" w:rsidR="009021F1" w:rsidRPr="00E33B7D" w:rsidRDefault="009021F1" w:rsidP="009021F1">
      <w:pPr>
        <w:pStyle w:val="WB-Numbered"/>
        <w:numPr>
          <w:ilvl w:val="0"/>
          <w:numId w:val="0"/>
        </w:numPr>
        <w:spacing w:after="0"/>
        <w:rPr>
          <w:rFonts w:ascii="Arial" w:hAnsi="Arial" w:cs="Arial"/>
          <w:sz w:val="21"/>
          <w:szCs w:val="21"/>
          <w:lang w:val="fr-FR"/>
        </w:rPr>
      </w:pPr>
    </w:p>
    <w:p w14:paraId="39B1FC75" w14:textId="77777777" w:rsidR="009021F1" w:rsidRPr="00E33B7D" w:rsidRDefault="009021F1" w:rsidP="009021F1">
      <w:pPr>
        <w:pStyle w:val="Titre2"/>
        <w:numPr>
          <w:ilvl w:val="1"/>
          <w:numId w:val="4"/>
        </w:numPr>
        <w:ind w:left="851" w:hanging="425"/>
        <w:rPr>
          <w:rFonts w:cs="Arial"/>
          <w:b/>
          <w:szCs w:val="21"/>
        </w:rPr>
      </w:pPr>
      <w:bookmarkStart w:id="359" w:name="_Toc90471465"/>
      <w:r w:rsidRPr="00E33B7D">
        <w:rPr>
          <w:rFonts w:cs="Arial"/>
          <w:b/>
          <w:szCs w:val="21"/>
        </w:rPr>
        <w:t>Activités de renforcement des capacités des acteurs responsables de la mise en œuvre du CGES</w:t>
      </w:r>
      <w:bookmarkEnd w:id="359"/>
    </w:p>
    <w:p w14:paraId="7C2EEB44" w14:textId="77777777" w:rsidR="009021F1" w:rsidRPr="00E33B7D" w:rsidRDefault="009021F1" w:rsidP="009021F1">
      <w:pPr>
        <w:rPr>
          <w:rFonts w:cs="Arial"/>
          <w:szCs w:val="21"/>
        </w:rPr>
      </w:pPr>
    </w:p>
    <w:p w14:paraId="2F049CF2" w14:textId="77777777" w:rsidR="009021F1" w:rsidRPr="00E33B7D" w:rsidRDefault="009021F1" w:rsidP="009021F1">
      <w:pPr>
        <w:rPr>
          <w:rFonts w:cs="Arial"/>
          <w:szCs w:val="21"/>
        </w:rPr>
      </w:pPr>
      <w:r w:rsidRPr="00E33B7D">
        <w:rPr>
          <w:rFonts w:cs="Arial"/>
          <w:szCs w:val="21"/>
        </w:rPr>
        <w:t>Au vu de ce qui précède, la gestion environnementale et sociale des activités du PNDA nécessite d’être renforcée par les mesures décrites ci-dessous pour permettre au Projet d’être en phase avec les exigences environnementales et sociales nationales et internationales.</w:t>
      </w:r>
    </w:p>
    <w:p w14:paraId="5F05B286" w14:textId="77777777" w:rsidR="009021F1" w:rsidRPr="00E33B7D" w:rsidRDefault="009021F1" w:rsidP="009021F1">
      <w:pPr>
        <w:rPr>
          <w:rFonts w:cs="Arial"/>
          <w:szCs w:val="21"/>
        </w:rPr>
      </w:pPr>
    </w:p>
    <w:p w14:paraId="789EAADF" w14:textId="77777777" w:rsidR="009021F1" w:rsidRPr="00E33B7D" w:rsidRDefault="009021F1" w:rsidP="009021F1">
      <w:pPr>
        <w:pStyle w:val="Paragraphedeliste"/>
        <w:keepNext/>
        <w:numPr>
          <w:ilvl w:val="0"/>
          <w:numId w:val="11"/>
        </w:numPr>
        <w:tabs>
          <w:tab w:val="left" w:pos="720"/>
        </w:tabs>
        <w:contextualSpacing w:val="0"/>
        <w:jc w:val="left"/>
        <w:outlineLvl w:val="2"/>
        <w:rPr>
          <w:rFonts w:cs="Arial"/>
          <w:vanish/>
          <w:szCs w:val="21"/>
          <w:u w:val="single"/>
        </w:rPr>
      </w:pPr>
      <w:bookmarkStart w:id="360" w:name="_Toc90471466"/>
      <w:bookmarkEnd w:id="360"/>
    </w:p>
    <w:p w14:paraId="7A0E384D" w14:textId="77777777" w:rsidR="009021F1" w:rsidRPr="00E33B7D" w:rsidRDefault="009021F1" w:rsidP="009021F1">
      <w:pPr>
        <w:pStyle w:val="Paragraphedeliste"/>
        <w:keepNext/>
        <w:numPr>
          <w:ilvl w:val="0"/>
          <w:numId w:val="11"/>
        </w:numPr>
        <w:tabs>
          <w:tab w:val="left" w:pos="720"/>
        </w:tabs>
        <w:contextualSpacing w:val="0"/>
        <w:jc w:val="left"/>
        <w:outlineLvl w:val="2"/>
        <w:rPr>
          <w:rFonts w:cs="Arial"/>
          <w:vanish/>
          <w:szCs w:val="21"/>
          <w:u w:val="single"/>
        </w:rPr>
      </w:pPr>
      <w:bookmarkStart w:id="361" w:name="_Toc90471467"/>
      <w:bookmarkEnd w:id="361"/>
    </w:p>
    <w:p w14:paraId="0E92D597" w14:textId="77777777" w:rsidR="009021F1" w:rsidRPr="00E33B7D" w:rsidRDefault="009021F1" w:rsidP="009021F1">
      <w:pPr>
        <w:pStyle w:val="Paragraphedeliste"/>
        <w:keepNext/>
        <w:numPr>
          <w:ilvl w:val="0"/>
          <w:numId w:val="11"/>
        </w:numPr>
        <w:tabs>
          <w:tab w:val="left" w:pos="720"/>
        </w:tabs>
        <w:contextualSpacing w:val="0"/>
        <w:jc w:val="left"/>
        <w:outlineLvl w:val="2"/>
        <w:rPr>
          <w:rFonts w:cs="Arial"/>
          <w:vanish/>
          <w:szCs w:val="21"/>
          <w:u w:val="single"/>
        </w:rPr>
      </w:pPr>
      <w:bookmarkStart w:id="362" w:name="_Toc90471468"/>
      <w:bookmarkEnd w:id="362"/>
    </w:p>
    <w:p w14:paraId="3218BFD3" w14:textId="77777777" w:rsidR="009021F1" w:rsidRPr="00E33B7D" w:rsidRDefault="009021F1" w:rsidP="009021F1">
      <w:pPr>
        <w:pStyle w:val="Paragraphedeliste"/>
        <w:keepNext/>
        <w:numPr>
          <w:ilvl w:val="0"/>
          <w:numId w:val="11"/>
        </w:numPr>
        <w:tabs>
          <w:tab w:val="left" w:pos="720"/>
        </w:tabs>
        <w:contextualSpacing w:val="0"/>
        <w:jc w:val="left"/>
        <w:outlineLvl w:val="2"/>
        <w:rPr>
          <w:rFonts w:cs="Arial"/>
          <w:vanish/>
          <w:szCs w:val="21"/>
          <w:u w:val="single"/>
        </w:rPr>
      </w:pPr>
      <w:bookmarkStart w:id="363" w:name="_Toc90471469"/>
      <w:bookmarkEnd w:id="363"/>
    </w:p>
    <w:p w14:paraId="7A83BD71" w14:textId="77777777" w:rsidR="009021F1" w:rsidRPr="00E33B7D" w:rsidRDefault="009021F1" w:rsidP="009021F1">
      <w:pPr>
        <w:pStyle w:val="Paragraphedeliste"/>
        <w:keepNext/>
        <w:numPr>
          <w:ilvl w:val="0"/>
          <w:numId w:val="11"/>
        </w:numPr>
        <w:tabs>
          <w:tab w:val="left" w:pos="720"/>
        </w:tabs>
        <w:contextualSpacing w:val="0"/>
        <w:jc w:val="left"/>
        <w:outlineLvl w:val="2"/>
        <w:rPr>
          <w:rFonts w:cs="Arial"/>
          <w:vanish/>
          <w:szCs w:val="21"/>
          <w:u w:val="single"/>
        </w:rPr>
      </w:pPr>
      <w:bookmarkStart w:id="364" w:name="_Toc90471470"/>
      <w:bookmarkEnd w:id="364"/>
    </w:p>
    <w:p w14:paraId="2B07964E" w14:textId="77777777" w:rsidR="009021F1" w:rsidRPr="00E33B7D" w:rsidRDefault="009021F1" w:rsidP="009021F1">
      <w:pPr>
        <w:pStyle w:val="Paragraphedeliste"/>
        <w:keepNext/>
        <w:numPr>
          <w:ilvl w:val="0"/>
          <w:numId w:val="11"/>
        </w:numPr>
        <w:tabs>
          <w:tab w:val="left" w:pos="720"/>
        </w:tabs>
        <w:contextualSpacing w:val="0"/>
        <w:jc w:val="left"/>
        <w:outlineLvl w:val="2"/>
        <w:rPr>
          <w:rFonts w:cs="Arial"/>
          <w:vanish/>
          <w:szCs w:val="21"/>
          <w:u w:val="single"/>
        </w:rPr>
      </w:pPr>
      <w:bookmarkStart w:id="365" w:name="_Toc90471471"/>
      <w:bookmarkEnd w:id="365"/>
    </w:p>
    <w:p w14:paraId="5D1E0AB9" w14:textId="77777777" w:rsidR="009021F1" w:rsidRPr="00E33B7D" w:rsidRDefault="009021F1" w:rsidP="009021F1">
      <w:pPr>
        <w:pStyle w:val="Paragraphedeliste"/>
        <w:keepNext/>
        <w:numPr>
          <w:ilvl w:val="1"/>
          <w:numId w:val="11"/>
        </w:numPr>
        <w:tabs>
          <w:tab w:val="left" w:pos="720"/>
        </w:tabs>
        <w:contextualSpacing w:val="0"/>
        <w:jc w:val="left"/>
        <w:outlineLvl w:val="2"/>
        <w:rPr>
          <w:rFonts w:cs="Arial"/>
          <w:vanish/>
          <w:szCs w:val="21"/>
          <w:u w:val="single"/>
        </w:rPr>
      </w:pPr>
      <w:bookmarkStart w:id="366" w:name="_Toc90471472"/>
      <w:bookmarkEnd w:id="366"/>
    </w:p>
    <w:p w14:paraId="648E339F" w14:textId="77777777" w:rsidR="009021F1" w:rsidRPr="00E33B7D" w:rsidRDefault="009021F1" w:rsidP="009021F1">
      <w:pPr>
        <w:pStyle w:val="Paragraphedeliste"/>
        <w:keepNext/>
        <w:numPr>
          <w:ilvl w:val="1"/>
          <w:numId w:val="11"/>
        </w:numPr>
        <w:tabs>
          <w:tab w:val="left" w:pos="720"/>
        </w:tabs>
        <w:contextualSpacing w:val="0"/>
        <w:jc w:val="left"/>
        <w:outlineLvl w:val="2"/>
        <w:rPr>
          <w:rFonts w:cs="Arial"/>
          <w:vanish/>
          <w:szCs w:val="21"/>
          <w:u w:val="single"/>
        </w:rPr>
      </w:pPr>
      <w:bookmarkStart w:id="367" w:name="_Toc90471473"/>
      <w:bookmarkEnd w:id="367"/>
    </w:p>
    <w:p w14:paraId="3E5F417D" w14:textId="77777777" w:rsidR="009021F1" w:rsidRPr="00E33B7D" w:rsidRDefault="009021F1" w:rsidP="009021F1">
      <w:pPr>
        <w:pStyle w:val="Paragraphedeliste"/>
        <w:keepNext/>
        <w:numPr>
          <w:ilvl w:val="1"/>
          <w:numId w:val="13"/>
        </w:numPr>
        <w:tabs>
          <w:tab w:val="left" w:pos="720"/>
        </w:tabs>
        <w:contextualSpacing w:val="0"/>
        <w:jc w:val="left"/>
        <w:outlineLvl w:val="2"/>
        <w:rPr>
          <w:rFonts w:cs="Arial"/>
          <w:vanish/>
          <w:szCs w:val="21"/>
          <w:u w:val="single"/>
        </w:rPr>
      </w:pPr>
      <w:bookmarkStart w:id="368" w:name="_Toc90471474"/>
      <w:bookmarkEnd w:id="368"/>
    </w:p>
    <w:p w14:paraId="6760335F" w14:textId="77777777" w:rsidR="009021F1" w:rsidRPr="00E33B7D" w:rsidRDefault="009021F1" w:rsidP="009021F1">
      <w:pPr>
        <w:pStyle w:val="Paragraphedeliste"/>
        <w:keepNext/>
        <w:numPr>
          <w:ilvl w:val="1"/>
          <w:numId w:val="13"/>
        </w:numPr>
        <w:tabs>
          <w:tab w:val="left" w:pos="720"/>
        </w:tabs>
        <w:contextualSpacing w:val="0"/>
        <w:jc w:val="left"/>
        <w:outlineLvl w:val="2"/>
        <w:rPr>
          <w:rFonts w:cs="Arial"/>
          <w:vanish/>
          <w:szCs w:val="21"/>
          <w:u w:val="single"/>
        </w:rPr>
      </w:pPr>
      <w:bookmarkStart w:id="369" w:name="_Toc90471475"/>
      <w:bookmarkEnd w:id="369"/>
    </w:p>
    <w:p w14:paraId="709FB0FB" w14:textId="77777777" w:rsidR="009021F1" w:rsidRPr="00E33B7D" w:rsidRDefault="009021F1" w:rsidP="009021F1">
      <w:pPr>
        <w:pStyle w:val="Paragraphedeliste"/>
        <w:keepNext/>
        <w:numPr>
          <w:ilvl w:val="0"/>
          <w:numId w:val="15"/>
        </w:numPr>
        <w:contextualSpacing w:val="0"/>
        <w:jc w:val="left"/>
        <w:outlineLvl w:val="2"/>
        <w:rPr>
          <w:rFonts w:cs="Arial"/>
          <w:vanish/>
          <w:szCs w:val="21"/>
          <w:u w:val="single"/>
        </w:rPr>
      </w:pPr>
      <w:bookmarkStart w:id="370" w:name="_Toc90471476"/>
      <w:bookmarkEnd w:id="370"/>
    </w:p>
    <w:p w14:paraId="3955757C" w14:textId="77777777" w:rsidR="009021F1" w:rsidRPr="00E33B7D" w:rsidRDefault="009021F1" w:rsidP="009021F1">
      <w:pPr>
        <w:pStyle w:val="Paragraphedeliste"/>
        <w:keepNext/>
        <w:numPr>
          <w:ilvl w:val="0"/>
          <w:numId w:val="15"/>
        </w:numPr>
        <w:contextualSpacing w:val="0"/>
        <w:jc w:val="left"/>
        <w:outlineLvl w:val="2"/>
        <w:rPr>
          <w:rFonts w:cs="Arial"/>
          <w:vanish/>
          <w:szCs w:val="21"/>
          <w:u w:val="single"/>
        </w:rPr>
      </w:pPr>
      <w:bookmarkStart w:id="371" w:name="_Toc90471477"/>
      <w:bookmarkEnd w:id="371"/>
    </w:p>
    <w:p w14:paraId="1E88E9E5" w14:textId="77777777" w:rsidR="009021F1" w:rsidRPr="00E33B7D" w:rsidRDefault="009021F1" w:rsidP="009021F1">
      <w:pPr>
        <w:pStyle w:val="Paragraphedeliste"/>
        <w:keepNext/>
        <w:numPr>
          <w:ilvl w:val="1"/>
          <w:numId w:val="15"/>
        </w:numPr>
        <w:contextualSpacing w:val="0"/>
        <w:jc w:val="left"/>
        <w:outlineLvl w:val="2"/>
        <w:rPr>
          <w:rFonts w:cs="Arial"/>
          <w:vanish/>
          <w:szCs w:val="21"/>
          <w:u w:val="single"/>
        </w:rPr>
      </w:pPr>
      <w:bookmarkStart w:id="372" w:name="_Toc90471478"/>
      <w:bookmarkEnd w:id="372"/>
    </w:p>
    <w:p w14:paraId="0581B37D" w14:textId="77777777" w:rsidR="009021F1" w:rsidRPr="00E33B7D" w:rsidRDefault="009021F1" w:rsidP="009021F1">
      <w:pPr>
        <w:pStyle w:val="Titre2"/>
        <w:numPr>
          <w:ilvl w:val="2"/>
          <w:numId w:val="4"/>
        </w:numPr>
        <w:ind w:left="1560" w:hanging="709"/>
        <w:rPr>
          <w:rFonts w:cs="Arial"/>
          <w:i/>
          <w:szCs w:val="21"/>
        </w:rPr>
      </w:pPr>
      <w:bookmarkStart w:id="373" w:name="_Toc90471479"/>
      <w:r w:rsidRPr="00E33B7D">
        <w:rPr>
          <w:rFonts w:cs="Arial"/>
          <w:i/>
          <w:szCs w:val="21"/>
        </w:rPr>
        <w:t>Mesures de renforcement institutionnel</w:t>
      </w:r>
      <w:bookmarkEnd w:id="373"/>
    </w:p>
    <w:p w14:paraId="5BCF65DA" w14:textId="77777777" w:rsidR="009021F1" w:rsidRPr="00E33B7D" w:rsidRDefault="009021F1" w:rsidP="009021F1">
      <w:pPr>
        <w:rPr>
          <w:szCs w:val="21"/>
        </w:rPr>
      </w:pPr>
    </w:p>
    <w:p w14:paraId="3E8332D0" w14:textId="77777777" w:rsidR="009021F1" w:rsidRPr="00E33B7D" w:rsidRDefault="009021F1" w:rsidP="009021F1">
      <w:pPr>
        <w:numPr>
          <w:ilvl w:val="0"/>
          <w:numId w:val="31"/>
        </w:numPr>
        <w:tabs>
          <w:tab w:val="clear" w:pos="360"/>
          <w:tab w:val="num" w:pos="540"/>
        </w:tabs>
        <w:ind w:left="540" w:hanging="270"/>
        <w:rPr>
          <w:rFonts w:cs="Arial"/>
          <w:szCs w:val="21"/>
        </w:rPr>
      </w:pPr>
      <w:r w:rsidRPr="00E33B7D">
        <w:rPr>
          <w:rFonts w:cs="Arial"/>
          <w:bCs/>
          <w:i/>
          <w:szCs w:val="21"/>
        </w:rPr>
        <w:t xml:space="preserve">Renforcement des capacités du Comité Technique Préparatoire de Suivi </w:t>
      </w:r>
    </w:p>
    <w:p w14:paraId="4A412E81" w14:textId="77777777" w:rsidR="009021F1" w:rsidRPr="00E33B7D" w:rsidRDefault="009021F1" w:rsidP="009021F1">
      <w:pPr>
        <w:ind w:left="540"/>
        <w:rPr>
          <w:rFonts w:cs="Arial"/>
          <w:szCs w:val="21"/>
        </w:rPr>
      </w:pPr>
    </w:p>
    <w:p w14:paraId="41A1D5A4" w14:textId="77777777" w:rsidR="009021F1" w:rsidRPr="00E33B7D" w:rsidRDefault="009021F1" w:rsidP="009021F1">
      <w:pPr>
        <w:ind w:left="540"/>
        <w:rPr>
          <w:rFonts w:cs="Arial"/>
          <w:szCs w:val="21"/>
        </w:rPr>
      </w:pPr>
      <w:r w:rsidRPr="00E33B7D">
        <w:rPr>
          <w:rFonts w:cs="Arial"/>
          <w:szCs w:val="21"/>
        </w:rPr>
        <w:t xml:space="preserve">Le CTPS va inclure dans son effectif, </w:t>
      </w:r>
      <w:r w:rsidRPr="00E33B7D">
        <w:rPr>
          <w:rFonts w:cs="Arial"/>
          <w:bCs/>
          <w:szCs w:val="21"/>
        </w:rPr>
        <w:t>l’ACE du MEDD</w:t>
      </w:r>
      <w:r w:rsidRPr="00E33B7D">
        <w:rPr>
          <w:rFonts w:cs="Arial"/>
          <w:szCs w:val="21"/>
        </w:rPr>
        <w:t>, ce qui permettra de mieux prendre en compte les orientations stratégiques d’ordre environnemental et d’assurer le respect des normes environnementales et sociales.</w:t>
      </w:r>
    </w:p>
    <w:p w14:paraId="788DD90E" w14:textId="77777777" w:rsidR="009021F1" w:rsidRPr="00E33B7D" w:rsidRDefault="009021F1" w:rsidP="009021F1">
      <w:pPr>
        <w:ind w:left="540"/>
        <w:rPr>
          <w:rFonts w:cs="Arial"/>
          <w:szCs w:val="21"/>
        </w:rPr>
      </w:pPr>
    </w:p>
    <w:p w14:paraId="74CCDE2D" w14:textId="77777777" w:rsidR="009021F1" w:rsidRPr="00E33B7D" w:rsidRDefault="009021F1" w:rsidP="009021F1">
      <w:pPr>
        <w:ind w:left="540"/>
        <w:rPr>
          <w:rFonts w:cs="Arial"/>
          <w:szCs w:val="21"/>
        </w:rPr>
      </w:pPr>
      <w:r w:rsidRPr="00E33B7D">
        <w:rPr>
          <w:rFonts w:cs="Arial"/>
          <w:szCs w:val="21"/>
        </w:rPr>
        <w:t>Quant au Comité de Pilotage du PNDA, il sera mis en place pour piloter et surveiller la mise en œuvre du Projet ; on y trouvera à son sein l’Agence Congolaise de l’Environnement (ACE) qui jouera un rôle important de suivi environnemental et social. Il sied de signaler l’UNCP/PNDA a déjà recruté un SSE et un SSS et d’un Spécialiste en VBG au sein de l’équipe de la mise en œuvre du Programme.</w:t>
      </w:r>
    </w:p>
    <w:p w14:paraId="72745A5B" w14:textId="77777777" w:rsidR="009021F1" w:rsidRPr="00E33B7D" w:rsidRDefault="009021F1" w:rsidP="009021F1">
      <w:pPr>
        <w:autoSpaceDE w:val="0"/>
        <w:autoSpaceDN w:val="0"/>
        <w:adjustRightInd w:val="0"/>
        <w:rPr>
          <w:rFonts w:cs="Arial"/>
          <w:bCs/>
          <w:szCs w:val="21"/>
        </w:rPr>
      </w:pPr>
    </w:p>
    <w:p w14:paraId="74BB588E" w14:textId="77777777" w:rsidR="009021F1" w:rsidRPr="00E33B7D" w:rsidRDefault="009021F1" w:rsidP="009021F1">
      <w:pPr>
        <w:numPr>
          <w:ilvl w:val="0"/>
          <w:numId w:val="31"/>
        </w:numPr>
        <w:tabs>
          <w:tab w:val="clear" w:pos="360"/>
          <w:tab w:val="num" w:pos="540"/>
        </w:tabs>
        <w:ind w:left="540" w:hanging="270"/>
        <w:rPr>
          <w:rFonts w:cs="Arial"/>
          <w:bCs/>
          <w:i/>
          <w:szCs w:val="21"/>
        </w:rPr>
      </w:pPr>
      <w:r w:rsidRPr="00E33B7D">
        <w:rPr>
          <w:rFonts w:cs="Arial"/>
          <w:bCs/>
          <w:i/>
          <w:szCs w:val="21"/>
        </w:rPr>
        <w:t>Renforcement de l’expertise environnementale et sociale du PNDA</w:t>
      </w:r>
    </w:p>
    <w:p w14:paraId="52413765" w14:textId="77777777" w:rsidR="009021F1" w:rsidRPr="00E33B7D" w:rsidRDefault="009021F1" w:rsidP="009021F1">
      <w:pPr>
        <w:ind w:left="540"/>
        <w:rPr>
          <w:rFonts w:cs="Arial"/>
          <w:szCs w:val="21"/>
        </w:rPr>
      </w:pPr>
    </w:p>
    <w:p w14:paraId="2AF7089E" w14:textId="77777777" w:rsidR="009021F1" w:rsidRPr="00E33B7D" w:rsidRDefault="009021F1" w:rsidP="009021F1">
      <w:pPr>
        <w:ind w:left="540"/>
        <w:rPr>
          <w:rFonts w:cs="Arial"/>
          <w:szCs w:val="21"/>
        </w:rPr>
      </w:pPr>
      <w:r w:rsidRPr="00E33B7D">
        <w:rPr>
          <w:rFonts w:cs="Arial"/>
          <w:szCs w:val="21"/>
        </w:rPr>
        <w:t>L’UNCP va recruter un SSE, un SSS et un SVBG qui vont assurer la « fonction environnementale et sociale » dans la préparation et le suivi de la mise en œuvre des activités relatives à leur secteur. Ces Spécialistes seront formés en gestion environnementale et sociale ainsi qu’en matière de prévention et réponse aux VBG et à la COVID-19, mais aussi en moyens d’intervention et de suivi par le PNDA, pour leur permettre de remplir les fonctions qui leur sont dévolues dans le Projet.</w:t>
      </w:r>
    </w:p>
    <w:p w14:paraId="62125097" w14:textId="77777777" w:rsidR="009021F1" w:rsidRPr="00E33B7D" w:rsidRDefault="009021F1" w:rsidP="009021F1">
      <w:pPr>
        <w:autoSpaceDE w:val="0"/>
        <w:autoSpaceDN w:val="0"/>
        <w:adjustRightInd w:val="0"/>
        <w:rPr>
          <w:rFonts w:cs="Arial"/>
          <w:szCs w:val="21"/>
        </w:rPr>
      </w:pPr>
    </w:p>
    <w:p w14:paraId="73AA9DB9" w14:textId="77777777" w:rsidR="009021F1" w:rsidRPr="00E33B7D" w:rsidRDefault="009021F1" w:rsidP="009021F1">
      <w:pPr>
        <w:numPr>
          <w:ilvl w:val="0"/>
          <w:numId w:val="31"/>
        </w:numPr>
        <w:tabs>
          <w:tab w:val="clear" w:pos="360"/>
          <w:tab w:val="num" w:pos="540"/>
        </w:tabs>
        <w:ind w:left="540" w:hanging="270"/>
        <w:rPr>
          <w:rFonts w:cs="Arial"/>
          <w:bCs/>
          <w:i/>
          <w:szCs w:val="21"/>
        </w:rPr>
      </w:pPr>
      <w:r w:rsidRPr="00E33B7D">
        <w:rPr>
          <w:rFonts w:cs="Arial"/>
          <w:bCs/>
          <w:i/>
          <w:szCs w:val="21"/>
        </w:rPr>
        <w:t>Renforcement de l’expertise environnementale et sociale des Intermédiaires financiers</w:t>
      </w:r>
    </w:p>
    <w:p w14:paraId="7371BF7C" w14:textId="77777777" w:rsidR="009021F1" w:rsidRPr="00E33B7D" w:rsidRDefault="009021F1" w:rsidP="009021F1">
      <w:pPr>
        <w:ind w:left="540"/>
        <w:rPr>
          <w:rFonts w:cs="Arial"/>
          <w:szCs w:val="21"/>
        </w:rPr>
      </w:pPr>
    </w:p>
    <w:p w14:paraId="6DCBECDC" w14:textId="77777777" w:rsidR="009021F1" w:rsidRPr="00E33B7D" w:rsidRDefault="009021F1" w:rsidP="009021F1">
      <w:pPr>
        <w:rPr>
          <w:rFonts w:cs="Arial"/>
          <w:szCs w:val="21"/>
        </w:rPr>
      </w:pPr>
      <w:r w:rsidRPr="00E33B7D">
        <w:rPr>
          <w:rFonts w:cs="Arial"/>
          <w:szCs w:val="21"/>
        </w:rPr>
        <w:t xml:space="preserve">Après la mise en place du système de gestion environnementale et sociale (SGES) des intermédiaires financiers, il sera nécessaire de procéder au renforcement des capacités des experts des IF sur le CES et le suivi environnemental et social des activités financées par les IF aux petits exploitants agricoles et aux coopératives et associations agricoles. </w:t>
      </w:r>
    </w:p>
    <w:p w14:paraId="434A94A8" w14:textId="77777777" w:rsidR="009021F1" w:rsidRPr="00E33B7D" w:rsidRDefault="009021F1" w:rsidP="009021F1">
      <w:pPr>
        <w:rPr>
          <w:rFonts w:cs="Arial"/>
          <w:szCs w:val="21"/>
        </w:rPr>
      </w:pPr>
      <w:r w:rsidRPr="00E33B7D">
        <w:rPr>
          <w:rFonts w:cs="Arial"/>
          <w:szCs w:val="21"/>
        </w:rPr>
        <w:t>A défaut, les Intermédiaires financiers peuvent s’attacher des services des consultants / bureaux spécialisés en gestion environnementale et sociale pour assurer le suivi environnemental et social, sous la supervision de l’UNCP.</w:t>
      </w:r>
    </w:p>
    <w:p w14:paraId="1F35B7B1" w14:textId="77777777" w:rsidR="009021F1" w:rsidRDefault="009021F1" w:rsidP="009021F1">
      <w:pPr>
        <w:rPr>
          <w:rFonts w:cs="Arial"/>
          <w:bCs/>
          <w:i/>
          <w:szCs w:val="21"/>
        </w:rPr>
      </w:pPr>
    </w:p>
    <w:p w14:paraId="6AD4BFCA" w14:textId="77777777" w:rsidR="009021F1" w:rsidRDefault="009021F1" w:rsidP="009021F1">
      <w:pPr>
        <w:rPr>
          <w:rFonts w:cs="Arial"/>
          <w:bCs/>
          <w:i/>
          <w:szCs w:val="21"/>
        </w:rPr>
      </w:pPr>
    </w:p>
    <w:p w14:paraId="7ECE94F3" w14:textId="77777777" w:rsidR="009021F1" w:rsidRDefault="009021F1" w:rsidP="009021F1">
      <w:pPr>
        <w:rPr>
          <w:rFonts w:cs="Arial"/>
          <w:bCs/>
          <w:i/>
          <w:szCs w:val="21"/>
        </w:rPr>
      </w:pPr>
    </w:p>
    <w:p w14:paraId="5635361F" w14:textId="77777777" w:rsidR="009021F1" w:rsidRPr="00E33B7D" w:rsidRDefault="009021F1" w:rsidP="009021F1">
      <w:pPr>
        <w:rPr>
          <w:rFonts w:cs="Arial"/>
          <w:bCs/>
          <w:i/>
          <w:szCs w:val="21"/>
        </w:rPr>
      </w:pPr>
    </w:p>
    <w:p w14:paraId="526A293D" w14:textId="77777777" w:rsidR="009021F1" w:rsidRPr="00E33B7D" w:rsidRDefault="009021F1" w:rsidP="009021F1">
      <w:pPr>
        <w:numPr>
          <w:ilvl w:val="0"/>
          <w:numId w:val="31"/>
        </w:numPr>
        <w:tabs>
          <w:tab w:val="clear" w:pos="360"/>
          <w:tab w:val="num" w:pos="540"/>
        </w:tabs>
        <w:ind w:left="540" w:hanging="270"/>
        <w:rPr>
          <w:rFonts w:cs="Arial"/>
          <w:bCs/>
          <w:i/>
          <w:szCs w:val="21"/>
        </w:rPr>
      </w:pPr>
      <w:r w:rsidRPr="00E33B7D">
        <w:rPr>
          <w:rFonts w:cs="Arial"/>
          <w:bCs/>
          <w:i/>
          <w:szCs w:val="21"/>
        </w:rPr>
        <w:t>Renforcement de l’expertise environnementale et sociale des provinces, communes et services techniques</w:t>
      </w:r>
    </w:p>
    <w:p w14:paraId="4DBCEB2A" w14:textId="77777777" w:rsidR="009021F1" w:rsidRPr="00E33B7D" w:rsidRDefault="009021F1" w:rsidP="009021F1">
      <w:pPr>
        <w:ind w:left="540"/>
        <w:rPr>
          <w:rFonts w:cs="Arial"/>
          <w:szCs w:val="21"/>
        </w:rPr>
      </w:pPr>
    </w:p>
    <w:p w14:paraId="63969A93" w14:textId="77777777" w:rsidR="009021F1" w:rsidRPr="00E33B7D" w:rsidRDefault="009021F1" w:rsidP="009021F1">
      <w:pPr>
        <w:rPr>
          <w:rFonts w:cs="Arial"/>
          <w:szCs w:val="21"/>
        </w:rPr>
      </w:pPr>
      <w:r w:rsidRPr="00E33B7D">
        <w:rPr>
          <w:rFonts w:cs="Arial"/>
          <w:szCs w:val="21"/>
        </w:rPr>
        <w:t xml:space="preserve">Il s’agira de renforcer les capacités des services techniques aux niveaux provinciaux, municipaux et locaux pour qu’ils puissent remplir correctement la « fonction environnementale et sociale » au sein des communes ciblées, territoires et collectivités en termes de gestion/entretien des ouvrages, mais aussi de sensibilisation, de contrôle et de suivi du respect de la réglementation environnementale et sociale nationale. Cette mesure vise à assurer une plus grande implication des communes dans la réalisation des sous-projets. Au sein de chaque province/commune/territoire/collectivité, il sera procédé à la désignation d’un Point Focal Environnement et Social (PFES province/Commune/Territoire) au sein des services techniques, pour suivre ces aspects environnementaux et sociaux. </w:t>
      </w:r>
    </w:p>
    <w:p w14:paraId="23B4DDF5" w14:textId="77777777" w:rsidR="009021F1" w:rsidRPr="00E33B7D" w:rsidRDefault="009021F1" w:rsidP="009021F1">
      <w:pPr>
        <w:pStyle w:val="WB-Numbered"/>
        <w:numPr>
          <w:ilvl w:val="0"/>
          <w:numId w:val="0"/>
        </w:numPr>
        <w:spacing w:after="0"/>
        <w:rPr>
          <w:rFonts w:ascii="Arial" w:hAnsi="Arial" w:cs="Arial"/>
          <w:sz w:val="21"/>
          <w:szCs w:val="21"/>
          <w:lang w:val="fr-FR"/>
        </w:rPr>
      </w:pPr>
    </w:p>
    <w:p w14:paraId="6CB3D0B3" w14:textId="77777777" w:rsidR="009021F1" w:rsidRPr="00E33B7D" w:rsidRDefault="009021F1" w:rsidP="009021F1">
      <w:pPr>
        <w:pStyle w:val="Titre2"/>
        <w:numPr>
          <w:ilvl w:val="2"/>
          <w:numId w:val="4"/>
        </w:numPr>
        <w:ind w:left="1560" w:hanging="709"/>
        <w:rPr>
          <w:rFonts w:cs="Arial"/>
          <w:b/>
          <w:szCs w:val="21"/>
          <w:u w:val="single"/>
        </w:rPr>
      </w:pPr>
      <w:bookmarkStart w:id="374" w:name="_Toc90471480"/>
      <w:r w:rsidRPr="00E33B7D">
        <w:rPr>
          <w:rFonts w:cs="Arial"/>
          <w:i/>
          <w:szCs w:val="21"/>
        </w:rPr>
        <w:t>Formation des acteurs impliqués dans la mise en œuvre du PNDA</w:t>
      </w:r>
      <w:bookmarkEnd w:id="374"/>
    </w:p>
    <w:p w14:paraId="495A54EB" w14:textId="77777777" w:rsidR="009021F1" w:rsidRPr="00E33B7D" w:rsidRDefault="009021F1" w:rsidP="009021F1">
      <w:pPr>
        <w:rPr>
          <w:rFonts w:cs="Arial"/>
          <w:bCs/>
          <w:szCs w:val="21"/>
        </w:rPr>
      </w:pPr>
    </w:p>
    <w:p w14:paraId="297898CF" w14:textId="77777777" w:rsidR="009021F1" w:rsidRPr="00E33B7D" w:rsidRDefault="009021F1" w:rsidP="009021F1">
      <w:pPr>
        <w:rPr>
          <w:rFonts w:cs="Arial"/>
          <w:szCs w:val="21"/>
        </w:rPr>
      </w:pPr>
      <w:r w:rsidRPr="00E33B7D">
        <w:rPr>
          <w:rFonts w:cs="Arial"/>
          <w:bCs/>
          <w:szCs w:val="21"/>
        </w:rPr>
        <w:t>Il s’agit des Spécialistes de l’UNCP/PNDA (</w:t>
      </w:r>
      <w:r w:rsidRPr="00E33B7D">
        <w:rPr>
          <w:rFonts w:cs="Arial"/>
          <w:szCs w:val="21"/>
        </w:rPr>
        <w:t xml:space="preserve">SSE, SSS et SVBG, Chefs de Projet, Responsables Techniques, Responsable </w:t>
      </w:r>
      <w:r w:rsidRPr="00E33B7D">
        <w:rPr>
          <w:rFonts w:cs="Arial"/>
          <w:bCs/>
          <w:szCs w:val="21"/>
        </w:rPr>
        <w:t>Suivi-Évaluation ; etc.), des PFES des communes et territoires, des membres</w:t>
      </w:r>
      <w:r w:rsidRPr="00E33B7D">
        <w:rPr>
          <w:rFonts w:cs="Arial"/>
          <w:szCs w:val="21"/>
        </w:rPr>
        <w:t xml:space="preserve"> du Comité de Pilotage, des</w:t>
      </w:r>
      <w:r w:rsidRPr="00E33B7D">
        <w:rPr>
          <w:rFonts w:cs="Arial"/>
          <w:bCs/>
          <w:szCs w:val="21"/>
        </w:rPr>
        <w:t xml:space="preserve"> Agences d’Exécution, les IF, et des PME présélectionnées pour la mise en œuvre du Projet. Ces acteurs </w:t>
      </w:r>
      <w:r w:rsidRPr="00E33B7D">
        <w:rPr>
          <w:rFonts w:cs="Arial"/>
          <w:szCs w:val="21"/>
        </w:rPr>
        <w:t xml:space="preserve">ont la responsabilité </w:t>
      </w:r>
      <w:r w:rsidRPr="00E33B7D">
        <w:rPr>
          <w:rFonts w:cs="Arial"/>
          <w:bCs/>
          <w:szCs w:val="21"/>
        </w:rPr>
        <w:t xml:space="preserve">d'assurer l'intégration de </w:t>
      </w:r>
      <w:r w:rsidRPr="00E33B7D">
        <w:rPr>
          <w:rFonts w:cs="Arial"/>
          <w:szCs w:val="21"/>
        </w:rPr>
        <w:t xml:space="preserve">la dimension environnementale et sociale dans les réalisations des sous-projets. Ils assurent chacun </w:t>
      </w:r>
      <w:r w:rsidRPr="00E33B7D">
        <w:rPr>
          <w:rFonts w:cs="Arial"/>
          <w:bCs/>
          <w:szCs w:val="21"/>
        </w:rPr>
        <w:t xml:space="preserve">en </w:t>
      </w:r>
      <w:r w:rsidRPr="00E33B7D">
        <w:rPr>
          <w:rFonts w:cs="Arial"/>
          <w:szCs w:val="21"/>
        </w:rPr>
        <w:t xml:space="preserve">ce qui </w:t>
      </w:r>
      <w:r w:rsidRPr="00E33B7D">
        <w:rPr>
          <w:rFonts w:cs="Arial"/>
          <w:bCs/>
          <w:szCs w:val="21"/>
        </w:rPr>
        <w:t xml:space="preserve">le concerne les </w:t>
      </w:r>
      <w:r w:rsidRPr="00E33B7D">
        <w:rPr>
          <w:rFonts w:cs="Arial"/>
          <w:szCs w:val="21"/>
        </w:rPr>
        <w:t xml:space="preserve">études, l’exécution, le suivi ou le contrôle environnemental et social, y compris celui d’EAS/HS et COVID-19, la supervision des sous-projets. La formation vise à renforcer leur compétence en matière d'évaluation environnementale et sociale, de contrôle environnemental et social des travaux et de suivi environnemental et social et celui d’EAS/HS et de COVID-19 afin qu'ils puissent jouer leur rôle respectif de manière plus efficace dans la mise en œuvre des sous-projets. </w:t>
      </w:r>
    </w:p>
    <w:p w14:paraId="128B0416" w14:textId="77777777" w:rsidR="009021F1" w:rsidRPr="00E33B7D" w:rsidRDefault="009021F1" w:rsidP="009021F1">
      <w:pPr>
        <w:rPr>
          <w:rFonts w:cs="Arial"/>
          <w:szCs w:val="21"/>
        </w:rPr>
      </w:pPr>
    </w:p>
    <w:p w14:paraId="7A286D05" w14:textId="77777777" w:rsidR="009021F1" w:rsidRPr="00E33B7D" w:rsidRDefault="009021F1" w:rsidP="009021F1">
      <w:pPr>
        <w:pStyle w:val="Commentaire"/>
        <w:spacing w:line="276" w:lineRule="auto"/>
        <w:rPr>
          <w:sz w:val="21"/>
          <w:szCs w:val="21"/>
          <w:lang w:val="fr-FR"/>
        </w:rPr>
      </w:pPr>
      <w:r w:rsidRPr="00E33B7D">
        <w:rPr>
          <w:sz w:val="21"/>
          <w:szCs w:val="21"/>
          <w:lang w:val="fr-FR"/>
        </w:rPr>
        <w:t xml:space="preserve">Il s’agira d’organiser </w:t>
      </w:r>
      <w:r w:rsidRPr="00E33B7D">
        <w:rPr>
          <w:i/>
          <w:sz w:val="21"/>
          <w:szCs w:val="21"/>
          <w:lang w:val="fr-FR"/>
        </w:rPr>
        <w:t xml:space="preserve">(i) </w:t>
      </w:r>
      <w:r w:rsidRPr="00E33B7D">
        <w:rPr>
          <w:sz w:val="21"/>
          <w:szCs w:val="21"/>
          <w:lang w:val="fr-FR"/>
        </w:rPr>
        <w:t xml:space="preserve">un atelier national de formation pour les Responsables Environnement (OVDA, SNHR, ICCN, etc.) et </w:t>
      </w:r>
      <w:r w:rsidRPr="00E33B7D">
        <w:rPr>
          <w:i/>
          <w:sz w:val="21"/>
          <w:szCs w:val="21"/>
          <w:lang w:val="fr-FR"/>
        </w:rPr>
        <w:t>(ii)</w:t>
      </w:r>
      <w:r w:rsidRPr="00E33B7D">
        <w:rPr>
          <w:sz w:val="21"/>
          <w:szCs w:val="21"/>
          <w:lang w:val="fr-FR"/>
        </w:rPr>
        <w:t xml:space="preserve"> cinq ateliers provinciaux (un dans chaque province) pour les</w:t>
      </w:r>
      <w:r w:rsidRPr="00E33B7D">
        <w:rPr>
          <w:spacing w:val="-14"/>
          <w:sz w:val="21"/>
          <w:szCs w:val="21"/>
          <w:lang w:val="fr-FR"/>
        </w:rPr>
        <w:t xml:space="preserve"> </w:t>
      </w:r>
      <w:r w:rsidRPr="00E33B7D">
        <w:rPr>
          <w:sz w:val="21"/>
          <w:szCs w:val="21"/>
          <w:lang w:val="fr-FR"/>
        </w:rPr>
        <w:t>membres</w:t>
      </w:r>
      <w:r w:rsidRPr="00E33B7D">
        <w:rPr>
          <w:spacing w:val="-14"/>
          <w:sz w:val="21"/>
          <w:szCs w:val="21"/>
          <w:lang w:val="fr-FR"/>
        </w:rPr>
        <w:t xml:space="preserve"> </w:t>
      </w:r>
      <w:r w:rsidRPr="00E33B7D">
        <w:rPr>
          <w:sz w:val="21"/>
          <w:szCs w:val="21"/>
          <w:lang w:val="fr-FR"/>
        </w:rPr>
        <w:t>des</w:t>
      </w:r>
      <w:r w:rsidRPr="00E33B7D">
        <w:rPr>
          <w:spacing w:val="-13"/>
          <w:sz w:val="21"/>
          <w:szCs w:val="21"/>
          <w:lang w:val="fr-FR"/>
        </w:rPr>
        <w:t xml:space="preserve"> </w:t>
      </w:r>
      <w:r w:rsidRPr="00E33B7D">
        <w:rPr>
          <w:sz w:val="21"/>
          <w:szCs w:val="21"/>
          <w:lang w:val="fr-FR"/>
        </w:rPr>
        <w:t>autres</w:t>
      </w:r>
      <w:r w:rsidRPr="00E33B7D">
        <w:rPr>
          <w:spacing w:val="-13"/>
          <w:sz w:val="21"/>
          <w:szCs w:val="21"/>
          <w:lang w:val="fr-FR"/>
        </w:rPr>
        <w:t xml:space="preserve"> </w:t>
      </w:r>
      <w:r w:rsidRPr="00E33B7D">
        <w:rPr>
          <w:sz w:val="21"/>
          <w:szCs w:val="21"/>
          <w:lang w:val="fr-FR"/>
        </w:rPr>
        <w:t>services</w:t>
      </w:r>
      <w:r w:rsidRPr="00E33B7D">
        <w:rPr>
          <w:spacing w:val="-13"/>
          <w:sz w:val="21"/>
          <w:szCs w:val="21"/>
          <w:lang w:val="fr-FR"/>
        </w:rPr>
        <w:t xml:space="preserve"> </w:t>
      </w:r>
      <w:r w:rsidRPr="00E33B7D">
        <w:rPr>
          <w:sz w:val="21"/>
          <w:szCs w:val="21"/>
          <w:lang w:val="fr-FR"/>
        </w:rPr>
        <w:t>techniques,</w:t>
      </w:r>
      <w:r w:rsidRPr="00E33B7D">
        <w:rPr>
          <w:spacing w:val="-13"/>
          <w:sz w:val="21"/>
          <w:szCs w:val="21"/>
          <w:lang w:val="fr-FR"/>
        </w:rPr>
        <w:t xml:space="preserve"> </w:t>
      </w:r>
      <w:r w:rsidRPr="00E33B7D">
        <w:rPr>
          <w:sz w:val="21"/>
          <w:szCs w:val="21"/>
          <w:lang w:val="fr-FR"/>
        </w:rPr>
        <w:t>pour</w:t>
      </w:r>
      <w:r w:rsidRPr="00E33B7D">
        <w:rPr>
          <w:spacing w:val="-13"/>
          <w:sz w:val="21"/>
          <w:szCs w:val="21"/>
          <w:lang w:val="fr-FR"/>
        </w:rPr>
        <w:t xml:space="preserve"> </w:t>
      </w:r>
      <w:r w:rsidRPr="00E33B7D">
        <w:rPr>
          <w:sz w:val="21"/>
          <w:szCs w:val="21"/>
          <w:lang w:val="fr-FR"/>
        </w:rPr>
        <w:t>leur</w:t>
      </w:r>
      <w:r w:rsidRPr="00E33B7D">
        <w:rPr>
          <w:spacing w:val="-13"/>
          <w:sz w:val="21"/>
          <w:szCs w:val="21"/>
          <w:lang w:val="fr-FR"/>
        </w:rPr>
        <w:t xml:space="preserve"> </w:t>
      </w:r>
      <w:r w:rsidRPr="00E33B7D">
        <w:rPr>
          <w:sz w:val="21"/>
          <w:szCs w:val="21"/>
          <w:lang w:val="fr-FR"/>
        </w:rPr>
        <w:t>permettre</w:t>
      </w:r>
      <w:r w:rsidRPr="00E33B7D">
        <w:rPr>
          <w:spacing w:val="-12"/>
          <w:sz w:val="21"/>
          <w:szCs w:val="21"/>
          <w:lang w:val="fr-FR"/>
        </w:rPr>
        <w:t xml:space="preserve"> </w:t>
      </w:r>
      <w:r w:rsidRPr="00E33B7D">
        <w:rPr>
          <w:sz w:val="21"/>
          <w:szCs w:val="21"/>
          <w:lang w:val="fr-FR"/>
        </w:rPr>
        <w:t>de</w:t>
      </w:r>
      <w:r w:rsidRPr="00E33B7D">
        <w:rPr>
          <w:spacing w:val="-13"/>
          <w:sz w:val="21"/>
          <w:szCs w:val="21"/>
          <w:lang w:val="fr-FR"/>
        </w:rPr>
        <w:t xml:space="preserve"> </w:t>
      </w:r>
      <w:r w:rsidRPr="00E33B7D">
        <w:rPr>
          <w:sz w:val="21"/>
          <w:szCs w:val="21"/>
          <w:lang w:val="fr-FR"/>
        </w:rPr>
        <w:t>s’imprégner</w:t>
      </w:r>
      <w:r w:rsidRPr="00E33B7D">
        <w:rPr>
          <w:spacing w:val="-13"/>
          <w:sz w:val="21"/>
          <w:szCs w:val="21"/>
          <w:lang w:val="fr-FR"/>
        </w:rPr>
        <w:t xml:space="preserve"> </w:t>
      </w:r>
      <w:r w:rsidRPr="00E33B7D">
        <w:rPr>
          <w:sz w:val="21"/>
          <w:szCs w:val="21"/>
          <w:lang w:val="fr-FR"/>
        </w:rPr>
        <w:t>des</w:t>
      </w:r>
      <w:r w:rsidRPr="00E33B7D">
        <w:rPr>
          <w:spacing w:val="-13"/>
          <w:sz w:val="21"/>
          <w:szCs w:val="21"/>
          <w:lang w:val="fr-FR"/>
        </w:rPr>
        <w:t xml:space="preserve"> </w:t>
      </w:r>
      <w:r w:rsidRPr="00E33B7D">
        <w:rPr>
          <w:sz w:val="21"/>
          <w:szCs w:val="21"/>
          <w:lang w:val="fr-FR"/>
        </w:rPr>
        <w:t>dispositions</w:t>
      </w:r>
      <w:r w:rsidRPr="00E33B7D">
        <w:rPr>
          <w:spacing w:val="-14"/>
          <w:sz w:val="21"/>
          <w:szCs w:val="21"/>
          <w:lang w:val="fr-FR"/>
        </w:rPr>
        <w:t xml:space="preserve"> </w:t>
      </w:r>
      <w:r w:rsidRPr="00E33B7D">
        <w:rPr>
          <w:sz w:val="21"/>
          <w:szCs w:val="21"/>
          <w:lang w:val="fr-FR"/>
        </w:rPr>
        <w:t>du CGES,</w:t>
      </w:r>
      <w:r w:rsidRPr="00E33B7D">
        <w:rPr>
          <w:spacing w:val="-21"/>
          <w:sz w:val="21"/>
          <w:szCs w:val="21"/>
          <w:lang w:val="fr-FR"/>
        </w:rPr>
        <w:t xml:space="preserve"> </w:t>
      </w:r>
      <w:r w:rsidRPr="00E33B7D">
        <w:rPr>
          <w:sz w:val="21"/>
          <w:szCs w:val="21"/>
          <w:lang w:val="fr-FR"/>
        </w:rPr>
        <w:t>de</w:t>
      </w:r>
      <w:r w:rsidRPr="00E33B7D">
        <w:rPr>
          <w:spacing w:val="-21"/>
          <w:sz w:val="21"/>
          <w:szCs w:val="21"/>
          <w:lang w:val="fr-FR"/>
        </w:rPr>
        <w:t xml:space="preserve"> </w:t>
      </w:r>
      <w:r w:rsidRPr="00E33B7D">
        <w:rPr>
          <w:sz w:val="21"/>
          <w:szCs w:val="21"/>
          <w:lang w:val="fr-FR"/>
        </w:rPr>
        <w:t>la</w:t>
      </w:r>
      <w:r w:rsidRPr="00E33B7D">
        <w:rPr>
          <w:spacing w:val="-20"/>
          <w:sz w:val="21"/>
          <w:szCs w:val="21"/>
          <w:lang w:val="fr-FR"/>
        </w:rPr>
        <w:t xml:space="preserve"> </w:t>
      </w:r>
      <w:r w:rsidRPr="00E33B7D">
        <w:rPr>
          <w:sz w:val="21"/>
          <w:szCs w:val="21"/>
          <w:lang w:val="fr-FR"/>
        </w:rPr>
        <w:t>procédure</w:t>
      </w:r>
      <w:r w:rsidRPr="00E33B7D">
        <w:rPr>
          <w:spacing w:val="-21"/>
          <w:sz w:val="21"/>
          <w:szCs w:val="21"/>
          <w:lang w:val="fr-FR"/>
        </w:rPr>
        <w:t xml:space="preserve"> </w:t>
      </w:r>
      <w:r w:rsidRPr="00E33B7D">
        <w:rPr>
          <w:sz w:val="21"/>
          <w:szCs w:val="21"/>
          <w:lang w:val="fr-FR"/>
        </w:rPr>
        <w:t>de</w:t>
      </w:r>
      <w:r w:rsidRPr="00E33B7D">
        <w:rPr>
          <w:spacing w:val="-22"/>
          <w:sz w:val="21"/>
          <w:szCs w:val="21"/>
          <w:lang w:val="fr-FR"/>
        </w:rPr>
        <w:t xml:space="preserve"> </w:t>
      </w:r>
      <w:r w:rsidRPr="00E33B7D">
        <w:rPr>
          <w:sz w:val="21"/>
          <w:szCs w:val="21"/>
          <w:lang w:val="fr-FR"/>
        </w:rPr>
        <w:t>sélection</w:t>
      </w:r>
      <w:r w:rsidRPr="00E33B7D">
        <w:rPr>
          <w:spacing w:val="-20"/>
          <w:sz w:val="21"/>
          <w:szCs w:val="21"/>
          <w:lang w:val="fr-FR"/>
        </w:rPr>
        <w:t xml:space="preserve"> </w:t>
      </w:r>
      <w:r w:rsidRPr="00E33B7D">
        <w:rPr>
          <w:sz w:val="21"/>
          <w:szCs w:val="21"/>
          <w:lang w:val="fr-FR"/>
        </w:rPr>
        <w:t>environnementale</w:t>
      </w:r>
      <w:r w:rsidRPr="00E33B7D">
        <w:rPr>
          <w:spacing w:val="-21"/>
          <w:sz w:val="21"/>
          <w:szCs w:val="21"/>
          <w:lang w:val="fr-FR"/>
        </w:rPr>
        <w:t xml:space="preserve"> </w:t>
      </w:r>
      <w:r w:rsidRPr="00E33B7D">
        <w:rPr>
          <w:sz w:val="21"/>
          <w:szCs w:val="21"/>
          <w:lang w:val="fr-FR"/>
        </w:rPr>
        <w:t>et</w:t>
      </w:r>
      <w:r w:rsidRPr="00E33B7D">
        <w:rPr>
          <w:spacing w:val="-20"/>
          <w:sz w:val="21"/>
          <w:szCs w:val="21"/>
          <w:lang w:val="fr-FR"/>
        </w:rPr>
        <w:t xml:space="preserve"> </w:t>
      </w:r>
      <w:r w:rsidRPr="00E33B7D">
        <w:rPr>
          <w:sz w:val="21"/>
          <w:szCs w:val="21"/>
          <w:lang w:val="fr-FR"/>
        </w:rPr>
        <w:t>des</w:t>
      </w:r>
      <w:r w:rsidRPr="00E33B7D">
        <w:rPr>
          <w:spacing w:val="-21"/>
          <w:sz w:val="21"/>
          <w:szCs w:val="21"/>
          <w:lang w:val="fr-FR"/>
        </w:rPr>
        <w:t xml:space="preserve"> </w:t>
      </w:r>
      <w:r w:rsidRPr="00E33B7D">
        <w:rPr>
          <w:sz w:val="21"/>
          <w:szCs w:val="21"/>
          <w:lang w:val="fr-FR"/>
        </w:rPr>
        <w:t>responsabilités</w:t>
      </w:r>
      <w:r w:rsidRPr="00E33B7D">
        <w:rPr>
          <w:spacing w:val="-22"/>
          <w:sz w:val="21"/>
          <w:szCs w:val="21"/>
          <w:lang w:val="fr-FR"/>
        </w:rPr>
        <w:t xml:space="preserve"> </w:t>
      </w:r>
      <w:r w:rsidRPr="00E33B7D">
        <w:rPr>
          <w:sz w:val="21"/>
          <w:szCs w:val="21"/>
          <w:lang w:val="fr-FR"/>
        </w:rPr>
        <w:t>dans</w:t>
      </w:r>
      <w:r w:rsidRPr="00E33B7D">
        <w:rPr>
          <w:spacing w:val="-21"/>
          <w:sz w:val="21"/>
          <w:szCs w:val="21"/>
          <w:lang w:val="fr-FR"/>
        </w:rPr>
        <w:t xml:space="preserve"> </w:t>
      </w:r>
      <w:r w:rsidRPr="00E33B7D">
        <w:rPr>
          <w:sz w:val="21"/>
          <w:szCs w:val="21"/>
          <w:lang w:val="fr-FR"/>
        </w:rPr>
        <w:t>la</w:t>
      </w:r>
      <w:r w:rsidRPr="00E33B7D">
        <w:rPr>
          <w:spacing w:val="-21"/>
          <w:sz w:val="21"/>
          <w:szCs w:val="21"/>
          <w:lang w:val="fr-FR"/>
        </w:rPr>
        <w:t xml:space="preserve"> </w:t>
      </w:r>
      <w:r w:rsidRPr="00E33B7D">
        <w:rPr>
          <w:sz w:val="21"/>
          <w:szCs w:val="21"/>
          <w:lang w:val="fr-FR"/>
        </w:rPr>
        <w:t>mise</w:t>
      </w:r>
      <w:r w:rsidRPr="00E33B7D">
        <w:rPr>
          <w:spacing w:val="-21"/>
          <w:sz w:val="21"/>
          <w:szCs w:val="21"/>
          <w:lang w:val="fr-FR"/>
        </w:rPr>
        <w:t xml:space="preserve"> </w:t>
      </w:r>
      <w:r w:rsidRPr="00E33B7D">
        <w:rPr>
          <w:sz w:val="21"/>
          <w:szCs w:val="21"/>
          <w:lang w:val="fr-FR"/>
        </w:rPr>
        <w:t>en</w:t>
      </w:r>
      <w:r w:rsidRPr="00E33B7D">
        <w:rPr>
          <w:spacing w:val="-21"/>
          <w:sz w:val="21"/>
          <w:szCs w:val="21"/>
          <w:lang w:val="fr-FR"/>
        </w:rPr>
        <w:t xml:space="preserve"> </w:t>
      </w:r>
      <w:r w:rsidRPr="00E33B7D">
        <w:rPr>
          <w:sz w:val="21"/>
          <w:szCs w:val="21"/>
          <w:lang w:val="fr-FR"/>
        </w:rPr>
        <w:t>œuvre. Au cas où la situation de COVID-19 persiste avec des restrictions pour l’organisation des ateliers ne dépassant pas 10 à 20 personnes, le PNDA sera obligé d’organiser un programme de formation en ligne ou virtuelle. Il sied de signaler que les spécialistes du projet doivent être formés en premier lieu, suivi par d’autres acteurs au moment où ils commencent leurs tâches.</w:t>
      </w:r>
    </w:p>
    <w:p w14:paraId="7BEB5F62" w14:textId="77777777" w:rsidR="009021F1" w:rsidRPr="00E33B7D" w:rsidRDefault="009021F1" w:rsidP="009021F1">
      <w:pPr>
        <w:autoSpaceDE w:val="0"/>
        <w:autoSpaceDN w:val="0"/>
        <w:adjustRightInd w:val="0"/>
        <w:rPr>
          <w:rFonts w:cs="Arial"/>
          <w:szCs w:val="21"/>
        </w:rPr>
      </w:pPr>
    </w:p>
    <w:p w14:paraId="0FB73B80" w14:textId="77777777" w:rsidR="009021F1" w:rsidRPr="00E33B7D" w:rsidRDefault="009021F1" w:rsidP="009021F1">
      <w:pPr>
        <w:autoSpaceDE w:val="0"/>
        <w:autoSpaceDN w:val="0"/>
        <w:adjustRightInd w:val="0"/>
        <w:rPr>
          <w:rFonts w:cs="Arial"/>
          <w:szCs w:val="21"/>
        </w:rPr>
      </w:pPr>
      <w:r w:rsidRPr="00E33B7D">
        <w:rPr>
          <w:rFonts w:cs="Arial"/>
          <w:szCs w:val="21"/>
        </w:rPr>
        <w:t xml:space="preserve">Les sujets seront centrés autour : </w:t>
      </w:r>
      <w:r w:rsidRPr="00E33B7D">
        <w:rPr>
          <w:rFonts w:cs="Arial"/>
          <w:i/>
          <w:szCs w:val="21"/>
        </w:rPr>
        <w:t>(i)</w:t>
      </w:r>
      <w:r w:rsidRPr="00E33B7D">
        <w:rPr>
          <w:rFonts w:cs="Arial"/>
          <w:szCs w:val="21"/>
        </w:rPr>
        <w:t xml:space="preserve"> des enjeux environnementaux et sociaux des travaux d’infrastructures et les procédures d’évaluation environnementale ; </w:t>
      </w:r>
      <w:r w:rsidRPr="00E33B7D">
        <w:rPr>
          <w:rFonts w:cs="Arial"/>
          <w:i/>
          <w:szCs w:val="21"/>
        </w:rPr>
        <w:t>(ii)</w:t>
      </w:r>
      <w:r w:rsidRPr="00E33B7D">
        <w:rPr>
          <w:rFonts w:cs="Arial"/>
          <w:szCs w:val="21"/>
        </w:rPr>
        <w:t xml:space="preserve"> de l’hygiène et la sécurité des travaux de construction/réhabilitation ; </w:t>
      </w:r>
      <w:r w:rsidRPr="00E33B7D">
        <w:rPr>
          <w:rFonts w:cs="Arial"/>
          <w:i/>
          <w:szCs w:val="21"/>
        </w:rPr>
        <w:t>(iii)</w:t>
      </w:r>
      <w:r w:rsidRPr="00E33B7D">
        <w:rPr>
          <w:rFonts w:cs="Arial"/>
          <w:szCs w:val="21"/>
        </w:rPr>
        <w:t xml:space="preserve"> des réglementations environnementales appropriées ; </w:t>
      </w:r>
      <w:r w:rsidRPr="00E33B7D">
        <w:rPr>
          <w:rFonts w:cs="Arial"/>
          <w:i/>
          <w:szCs w:val="21"/>
        </w:rPr>
        <w:t>(iv)</w:t>
      </w:r>
      <w:r w:rsidRPr="00E33B7D">
        <w:rPr>
          <w:rFonts w:cs="Arial"/>
          <w:szCs w:val="21"/>
        </w:rPr>
        <w:t xml:space="preserve"> des risques d’EAS/HS et COVID-19. La formation devra permettre aussi de familiariser les acteurs sur la réglementation nationale en matière d'évaluation environnementale et sociale ; les NES du nouveau CES, les directives et les outils de sauvegarde de la Banque Mondiale ; les bonnes pratiques environnementales et sociales, le manuel de bonne pratique dans la prévention et réponse à l’EAS/HS ; le contrôle environnemental des chantiers et le suivi environnemental et social. Des formateurs qualifiés seraient recrutés par l’UNCP/PNDA et cette dernière pourra aussi recourir à l’assistance de l’ACE pour conduire ces formations, si besoin avec l’appui des consultants nationaux ou internationaux en évaluation environnementale et sociale.</w:t>
      </w:r>
    </w:p>
    <w:p w14:paraId="03724B96" w14:textId="77777777" w:rsidR="009021F1" w:rsidRPr="00E33B7D" w:rsidRDefault="009021F1" w:rsidP="009021F1">
      <w:pPr>
        <w:autoSpaceDE w:val="0"/>
        <w:autoSpaceDN w:val="0"/>
        <w:adjustRightInd w:val="0"/>
        <w:rPr>
          <w:rFonts w:cs="Arial"/>
          <w:szCs w:val="21"/>
        </w:rPr>
      </w:pPr>
    </w:p>
    <w:p w14:paraId="52CA61CE" w14:textId="77777777" w:rsidR="009021F1" w:rsidRPr="00E33B7D" w:rsidRDefault="009021F1" w:rsidP="009021F1">
      <w:pPr>
        <w:autoSpaceDE w:val="0"/>
        <w:autoSpaceDN w:val="0"/>
        <w:adjustRightInd w:val="0"/>
        <w:rPr>
          <w:rFonts w:cs="Arial"/>
          <w:szCs w:val="21"/>
        </w:rPr>
      </w:pPr>
      <w:r w:rsidRPr="00E33B7D">
        <w:rPr>
          <w:szCs w:val="21"/>
        </w:rPr>
        <w:t>Le</w:t>
      </w:r>
      <w:r w:rsidRPr="00E33B7D">
        <w:rPr>
          <w:spacing w:val="-21"/>
          <w:szCs w:val="21"/>
        </w:rPr>
        <w:t xml:space="preserve"> </w:t>
      </w:r>
      <w:r w:rsidRPr="00E33B7D">
        <w:rPr>
          <w:szCs w:val="21"/>
        </w:rPr>
        <w:t>programme</w:t>
      </w:r>
      <w:r w:rsidRPr="00E33B7D">
        <w:rPr>
          <w:spacing w:val="-20"/>
          <w:szCs w:val="21"/>
        </w:rPr>
        <w:t xml:space="preserve"> </w:t>
      </w:r>
      <w:r w:rsidRPr="00E33B7D">
        <w:rPr>
          <w:szCs w:val="21"/>
        </w:rPr>
        <w:t>de</w:t>
      </w:r>
      <w:r w:rsidRPr="00E33B7D">
        <w:rPr>
          <w:spacing w:val="-21"/>
          <w:szCs w:val="21"/>
        </w:rPr>
        <w:t xml:space="preserve"> </w:t>
      </w:r>
      <w:r w:rsidRPr="00E33B7D">
        <w:rPr>
          <w:szCs w:val="21"/>
        </w:rPr>
        <w:t>renforcement</w:t>
      </w:r>
      <w:r w:rsidRPr="00E33B7D">
        <w:rPr>
          <w:spacing w:val="-21"/>
          <w:szCs w:val="21"/>
        </w:rPr>
        <w:t xml:space="preserve"> </w:t>
      </w:r>
      <w:r w:rsidRPr="00E33B7D">
        <w:rPr>
          <w:szCs w:val="21"/>
        </w:rPr>
        <w:t>des</w:t>
      </w:r>
      <w:r w:rsidRPr="00E33B7D">
        <w:rPr>
          <w:spacing w:val="-21"/>
          <w:szCs w:val="21"/>
        </w:rPr>
        <w:t xml:space="preserve"> </w:t>
      </w:r>
      <w:r w:rsidRPr="00E33B7D">
        <w:rPr>
          <w:szCs w:val="21"/>
        </w:rPr>
        <w:t>capacités</w:t>
      </w:r>
      <w:r w:rsidRPr="00E33B7D">
        <w:rPr>
          <w:spacing w:val="-20"/>
          <w:szCs w:val="21"/>
        </w:rPr>
        <w:t xml:space="preserve"> </w:t>
      </w:r>
      <w:r w:rsidRPr="00E33B7D">
        <w:rPr>
          <w:szCs w:val="21"/>
        </w:rPr>
        <w:t>devra</w:t>
      </w:r>
      <w:r w:rsidRPr="00E33B7D">
        <w:rPr>
          <w:spacing w:val="-20"/>
          <w:szCs w:val="21"/>
        </w:rPr>
        <w:t xml:space="preserve"> </w:t>
      </w:r>
      <w:r w:rsidRPr="00E33B7D">
        <w:rPr>
          <w:szCs w:val="21"/>
        </w:rPr>
        <w:t>être</w:t>
      </w:r>
      <w:r w:rsidRPr="00E33B7D">
        <w:rPr>
          <w:spacing w:val="-21"/>
          <w:szCs w:val="21"/>
        </w:rPr>
        <w:t xml:space="preserve"> </w:t>
      </w:r>
      <w:r w:rsidRPr="00E33B7D">
        <w:rPr>
          <w:szCs w:val="21"/>
        </w:rPr>
        <w:t>conduit</w:t>
      </w:r>
      <w:r w:rsidRPr="00E33B7D">
        <w:rPr>
          <w:spacing w:val="-21"/>
          <w:szCs w:val="21"/>
        </w:rPr>
        <w:t xml:space="preserve"> </w:t>
      </w:r>
      <w:r w:rsidRPr="00E33B7D">
        <w:rPr>
          <w:szCs w:val="21"/>
        </w:rPr>
        <w:t>pour</w:t>
      </w:r>
      <w:r w:rsidRPr="00E33B7D">
        <w:rPr>
          <w:spacing w:val="-22"/>
          <w:szCs w:val="21"/>
        </w:rPr>
        <w:t xml:space="preserve"> </w:t>
      </w:r>
      <w:r w:rsidRPr="00E33B7D">
        <w:rPr>
          <w:szCs w:val="21"/>
        </w:rPr>
        <w:t>assurer</w:t>
      </w:r>
      <w:r w:rsidRPr="00E33B7D">
        <w:rPr>
          <w:spacing w:val="-19"/>
          <w:szCs w:val="21"/>
        </w:rPr>
        <w:t xml:space="preserve"> </w:t>
      </w:r>
      <w:r w:rsidRPr="00E33B7D">
        <w:rPr>
          <w:szCs w:val="21"/>
        </w:rPr>
        <w:t>la</w:t>
      </w:r>
      <w:r w:rsidRPr="00E33B7D">
        <w:rPr>
          <w:spacing w:val="-21"/>
          <w:szCs w:val="21"/>
        </w:rPr>
        <w:t xml:space="preserve"> </w:t>
      </w:r>
      <w:r w:rsidRPr="00E33B7D">
        <w:rPr>
          <w:szCs w:val="21"/>
        </w:rPr>
        <w:t>pérennité</w:t>
      </w:r>
      <w:r w:rsidRPr="00E33B7D">
        <w:rPr>
          <w:spacing w:val="-21"/>
          <w:szCs w:val="21"/>
        </w:rPr>
        <w:t xml:space="preserve"> </w:t>
      </w:r>
      <w:r w:rsidRPr="00E33B7D">
        <w:rPr>
          <w:szCs w:val="21"/>
        </w:rPr>
        <w:t>des</w:t>
      </w:r>
      <w:r w:rsidRPr="00E33B7D">
        <w:rPr>
          <w:spacing w:val="-21"/>
          <w:szCs w:val="21"/>
        </w:rPr>
        <w:t xml:space="preserve"> </w:t>
      </w:r>
      <w:r w:rsidRPr="00E33B7D">
        <w:rPr>
          <w:szCs w:val="21"/>
        </w:rPr>
        <w:t>mesures prises. L’objectif est de poursuivre et de renforcer la dynamique de formation de l’ensemble des acteurs interpelés dans la gestion environnementale et sociale des projets, de manière à avoir une masse critique d’experts en évaluation et gestion environnementale et sociale, compte tenu de la faiblesse actuelle des capacités</w:t>
      </w:r>
      <w:r w:rsidRPr="00E33B7D">
        <w:rPr>
          <w:spacing w:val="-13"/>
          <w:szCs w:val="21"/>
        </w:rPr>
        <w:t xml:space="preserve"> </w:t>
      </w:r>
      <w:r w:rsidRPr="00E33B7D">
        <w:rPr>
          <w:szCs w:val="21"/>
        </w:rPr>
        <w:t>institutionnelles.</w:t>
      </w:r>
    </w:p>
    <w:p w14:paraId="3916EB09" w14:textId="77777777" w:rsidR="009021F1" w:rsidRPr="00E33B7D" w:rsidRDefault="009021F1" w:rsidP="009021F1">
      <w:pPr>
        <w:spacing w:line="259" w:lineRule="auto"/>
        <w:jc w:val="left"/>
        <w:rPr>
          <w:szCs w:val="21"/>
        </w:rPr>
      </w:pPr>
      <w:r w:rsidRPr="00E33B7D">
        <w:rPr>
          <w:szCs w:val="21"/>
        </w:rPr>
        <w:t xml:space="preserve">Tableau </w:t>
      </w:r>
      <w:r w:rsidRPr="00E33B7D">
        <w:rPr>
          <w:szCs w:val="21"/>
        </w:rPr>
        <w:fldChar w:fldCharType="begin"/>
      </w:r>
      <w:r w:rsidRPr="00E33B7D">
        <w:rPr>
          <w:szCs w:val="21"/>
        </w:rPr>
        <w:instrText xml:space="preserve"> SEQ Tableau \* ARABIC </w:instrText>
      </w:r>
      <w:r w:rsidRPr="00E33B7D">
        <w:rPr>
          <w:szCs w:val="21"/>
        </w:rPr>
        <w:fldChar w:fldCharType="separate"/>
      </w:r>
      <w:r>
        <w:rPr>
          <w:noProof/>
          <w:szCs w:val="21"/>
        </w:rPr>
        <w:t>19</w:t>
      </w:r>
      <w:r w:rsidRPr="00E33B7D">
        <w:rPr>
          <w:szCs w:val="21"/>
        </w:rPr>
        <w:fldChar w:fldCharType="end"/>
      </w:r>
      <w:r w:rsidRPr="00E33B7D">
        <w:rPr>
          <w:szCs w:val="21"/>
        </w:rPr>
        <w:t>. Modules suivants devront être développés lors de ces formations :</w:t>
      </w:r>
    </w:p>
    <w:p w14:paraId="3F4391E2" w14:textId="77777777" w:rsidR="009021F1" w:rsidRPr="00E33B7D" w:rsidRDefault="009021F1" w:rsidP="009021F1">
      <w:pPr>
        <w:rPr>
          <w:szCs w:val="21"/>
          <w:lang w:eastAsia="en-US"/>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7"/>
      </w:tblGrid>
      <w:tr w:rsidR="009021F1" w:rsidRPr="007179F2" w14:paraId="28D1B330" w14:textId="77777777" w:rsidTr="00E637E3">
        <w:trPr>
          <w:tblHeader/>
        </w:trPr>
        <w:tc>
          <w:tcPr>
            <w:tcW w:w="9067" w:type="dxa"/>
          </w:tcPr>
          <w:p w14:paraId="1E406E3C" w14:textId="77777777" w:rsidR="009021F1" w:rsidRPr="00E33B7D" w:rsidRDefault="009021F1" w:rsidP="00E637E3">
            <w:pPr>
              <w:pStyle w:val="Pieddepage"/>
              <w:rPr>
                <w:rFonts w:ascii="Arial" w:hAnsi="Arial" w:cs="Arial"/>
                <w:bCs/>
                <w:color w:val="000000"/>
              </w:rPr>
            </w:pPr>
            <w:r w:rsidRPr="00E33B7D">
              <w:rPr>
                <w:rFonts w:ascii="Arial" w:hAnsi="Arial" w:cs="Arial"/>
                <w:bCs/>
                <w:color w:val="000000"/>
              </w:rPr>
              <w:t>Thèmes de formation</w:t>
            </w:r>
          </w:p>
        </w:tc>
      </w:tr>
      <w:tr w:rsidR="009021F1" w:rsidRPr="007179F2" w14:paraId="1993CCAE" w14:textId="77777777" w:rsidTr="00E637E3">
        <w:tc>
          <w:tcPr>
            <w:tcW w:w="9067" w:type="dxa"/>
          </w:tcPr>
          <w:p w14:paraId="0FD4058B" w14:textId="77777777" w:rsidR="009021F1" w:rsidRPr="00E33B7D" w:rsidRDefault="009021F1" w:rsidP="00E637E3">
            <w:pPr>
              <w:pStyle w:val="Pieddepage"/>
              <w:rPr>
                <w:rFonts w:ascii="Arial" w:hAnsi="Arial" w:cs="Arial"/>
                <w:i/>
              </w:rPr>
            </w:pPr>
            <w:r w:rsidRPr="00E33B7D">
              <w:rPr>
                <w:rFonts w:ascii="Arial" w:hAnsi="Arial" w:cs="Arial"/>
                <w:i/>
              </w:rPr>
              <w:t>Processus d’évaluation environnementale et sociale</w:t>
            </w:r>
          </w:p>
          <w:p w14:paraId="53E55573" w14:textId="77777777" w:rsidR="009021F1" w:rsidRPr="00E33B7D" w:rsidRDefault="009021F1" w:rsidP="00E637E3">
            <w:pPr>
              <w:numPr>
                <w:ilvl w:val="0"/>
                <w:numId w:val="30"/>
              </w:numPr>
              <w:tabs>
                <w:tab w:val="clear" w:pos="360"/>
              </w:tabs>
              <w:ind w:hanging="291"/>
              <w:rPr>
                <w:rFonts w:cs="Arial"/>
                <w:sz w:val="20"/>
                <w:szCs w:val="20"/>
              </w:rPr>
            </w:pPr>
            <w:r w:rsidRPr="00E33B7D">
              <w:rPr>
                <w:rFonts w:cs="Arial"/>
                <w:sz w:val="20"/>
                <w:szCs w:val="20"/>
              </w:rPr>
              <w:t>Processus de sélection et catégorisation environnementale et sociale des sous-projets ;</w:t>
            </w:r>
          </w:p>
          <w:p w14:paraId="200C0036" w14:textId="77777777" w:rsidR="009021F1" w:rsidRPr="00E33B7D" w:rsidRDefault="009021F1" w:rsidP="00E637E3">
            <w:pPr>
              <w:numPr>
                <w:ilvl w:val="0"/>
                <w:numId w:val="30"/>
              </w:numPr>
              <w:rPr>
                <w:rFonts w:cs="Arial"/>
                <w:sz w:val="20"/>
                <w:szCs w:val="20"/>
              </w:rPr>
            </w:pPr>
            <w:r w:rsidRPr="00E33B7D">
              <w:rPr>
                <w:rFonts w:cs="Arial"/>
                <w:sz w:val="20"/>
                <w:szCs w:val="20"/>
              </w:rPr>
              <w:t>Principes et cadre d'analyse et de mise en œuvre de l'évaluation environnementale ;</w:t>
            </w:r>
          </w:p>
          <w:p w14:paraId="0770CC85" w14:textId="77777777" w:rsidR="009021F1" w:rsidRPr="00E33B7D" w:rsidRDefault="009021F1" w:rsidP="00E637E3">
            <w:pPr>
              <w:numPr>
                <w:ilvl w:val="0"/>
                <w:numId w:val="30"/>
              </w:numPr>
              <w:tabs>
                <w:tab w:val="clear" w:pos="360"/>
              </w:tabs>
              <w:ind w:hanging="291"/>
              <w:rPr>
                <w:rFonts w:cs="Arial"/>
                <w:sz w:val="20"/>
                <w:szCs w:val="20"/>
              </w:rPr>
            </w:pPr>
            <w:r w:rsidRPr="00E33B7D">
              <w:rPr>
                <w:rFonts w:cs="Arial"/>
                <w:sz w:val="20"/>
                <w:szCs w:val="20"/>
              </w:rPr>
              <w:t>Bonne connaissance des procédures d’organisation et de conduite des ÉIES ;</w:t>
            </w:r>
          </w:p>
          <w:p w14:paraId="0D62C6F0" w14:textId="77777777" w:rsidR="009021F1" w:rsidRPr="00E33B7D" w:rsidRDefault="009021F1" w:rsidP="00E637E3">
            <w:pPr>
              <w:numPr>
                <w:ilvl w:val="0"/>
                <w:numId w:val="30"/>
              </w:numPr>
              <w:tabs>
                <w:tab w:val="clear" w:pos="360"/>
              </w:tabs>
              <w:ind w:hanging="291"/>
              <w:rPr>
                <w:rFonts w:cs="Arial"/>
                <w:sz w:val="20"/>
                <w:szCs w:val="20"/>
              </w:rPr>
            </w:pPr>
            <w:r w:rsidRPr="00E33B7D">
              <w:rPr>
                <w:rFonts w:cs="Arial"/>
                <w:sz w:val="20"/>
                <w:szCs w:val="20"/>
              </w:rPr>
              <w:t>Appréciation objective du contenu des rapports d’ÉIES ;</w:t>
            </w:r>
          </w:p>
          <w:p w14:paraId="217696A4" w14:textId="77777777" w:rsidR="009021F1" w:rsidRPr="00E33B7D" w:rsidRDefault="009021F1" w:rsidP="00E637E3">
            <w:pPr>
              <w:numPr>
                <w:ilvl w:val="0"/>
                <w:numId w:val="30"/>
              </w:numPr>
              <w:tabs>
                <w:tab w:val="clear" w:pos="360"/>
              </w:tabs>
              <w:ind w:hanging="291"/>
              <w:rPr>
                <w:rFonts w:cs="Arial"/>
                <w:sz w:val="20"/>
                <w:szCs w:val="20"/>
              </w:rPr>
            </w:pPr>
            <w:r w:rsidRPr="00E33B7D">
              <w:rPr>
                <w:rFonts w:cs="Arial"/>
                <w:sz w:val="20"/>
                <w:szCs w:val="20"/>
              </w:rPr>
              <w:t>Connaissance des procédures environnementales et sociales de la Banque Mondiale ;</w:t>
            </w:r>
          </w:p>
          <w:p w14:paraId="5D7DE6EC" w14:textId="77777777" w:rsidR="009021F1" w:rsidRPr="00E33B7D" w:rsidRDefault="009021F1" w:rsidP="00E637E3">
            <w:pPr>
              <w:numPr>
                <w:ilvl w:val="0"/>
                <w:numId w:val="30"/>
              </w:numPr>
              <w:tabs>
                <w:tab w:val="clear" w:pos="360"/>
              </w:tabs>
              <w:ind w:hanging="291"/>
              <w:rPr>
                <w:rFonts w:cs="Arial"/>
                <w:sz w:val="20"/>
                <w:szCs w:val="20"/>
              </w:rPr>
            </w:pPr>
            <w:r w:rsidRPr="00E33B7D">
              <w:rPr>
                <w:rFonts w:cs="Arial"/>
                <w:sz w:val="20"/>
                <w:szCs w:val="20"/>
              </w:rPr>
              <w:t>Politiques, procédures et législation en matière environnementale en RDC</w:t>
            </w:r>
          </w:p>
          <w:p w14:paraId="4210C14D" w14:textId="77777777" w:rsidR="009021F1" w:rsidRPr="00E33B7D" w:rsidRDefault="009021F1" w:rsidP="00E637E3">
            <w:pPr>
              <w:numPr>
                <w:ilvl w:val="0"/>
                <w:numId w:val="30"/>
              </w:numPr>
              <w:tabs>
                <w:tab w:val="clear" w:pos="360"/>
              </w:tabs>
              <w:ind w:hanging="291"/>
              <w:rPr>
                <w:rFonts w:cs="Arial"/>
                <w:sz w:val="20"/>
                <w:szCs w:val="20"/>
              </w:rPr>
            </w:pPr>
            <w:r w:rsidRPr="00E33B7D">
              <w:rPr>
                <w:rFonts w:cs="Arial"/>
                <w:sz w:val="20"/>
                <w:szCs w:val="20"/>
              </w:rPr>
              <w:t>Connaissance du processus de suivi de la mise en œuvre des EIES, PAR et PPA ;</w:t>
            </w:r>
          </w:p>
          <w:p w14:paraId="17D49173" w14:textId="77777777" w:rsidR="009021F1" w:rsidRPr="00E33B7D" w:rsidRDefault="009021F1" w:rsidP="00E637E3">
            <w:pPr>
              <w:numPr>
                <w:ilvl w:val="0"/>
                <w:numId w:val="30"/>
              </w:numPr>
              <w:tabs>
                <w:tab w:val="clear" w:pos="360"/>
              </w:tabs>
              <w:ind w:hanging="291"/>
              <w:rPr>
                <w:rFonts w:cs="Arial"/>
                <w:sz w:val="20"/>
                <w:szCs w:val="20"/>
              </w:rPr>
            </w:pPr>
            <w:r w:rsidRPr="00E33B7D">
              <w:rPr>
                <w:rFonts w:cs="Arial"/>
                <w:sz w:val="20"/>
                <w:szCs w:val="20"/>
              </w:rPr>
              <w:t>Rédaction des TDR ;</w:t>
            </w:r>
          </w:p>
          <w:p w14:paraId="50DCA086" w14:textId="77777777" w:rsidR="009021F1" w:rsidRPr="00E33B7D" w:rsidRDefault="009021F1" w:rsidP="00E637E3">
            <w:pPr>
              <w:numPr>
                <w:ilvl w:val="0"/>
                <w:numId w:val="30"/>
              </w:numPr>
              <w:tabs>
                <w:tab w:val="clear" w:pos="360"/>
              </w:tabs>
              <w:ind w:hanging="291"/>
              <w:rPr>
                <w:rFonts w:cs="Arial"/>
                <w:sz w:val="20"/>
                <w:szCs w:val="20"/>
              </w:rPr>
            </w:pPr>
            <w:r w:rsidRPr="00E33B7D">
              <w:rPr>
                <w:rFonts w:cs="Arial"/>
                <w:sz w:val="20"/>
                <w:szCs w:val="20"/>
              </w:rPr>
              <w:t>Code de bonne conduite qui interdit aussi de façon explicite les actes d’EAS/HS et énumère des sanctions applicables ;</w:t>
            </w:r>
          </w:p>
          <w:p w14:paraId="3B0713EA" w14:textId="77777777" w:rsidR="009021F1" w:rsidRPr="00E33B7D" w:rsidRDefault="009021F1" w:rsidP="00E637E3">
            <w:pPr>
              <w:numPr>
                <w:ilvl w:val="0"/>
                <w:numId w:val="30"/>
              </w:numPr>
              <w:tabs>
                <w:tab w:val="clear" w:pos="360"/>
              </w:tabs>
              <w:ind w:hanging="291"/>
              <w:rPr>
                <w:rFonts w:cs="Arial"/>
                <w:sz w:val="20"/>
                <w:szCs w:val="20"/>
              </w:rPr>
            </w:pPr>
            <w:r w:rsidRPr="00E33B7D">
              <w:rPr>
                <w:rFonts w:cs="Arial"/>
                <w:sz w:val="20"/>
                <w:szCs w:val="20"/>
              </w:rPr>
              <w:t>VBG, y compris l’EAS/HS : les définitions des actes, les normes de genre, les causes et conséquences, les typologies possibles, le référencement aux services de prise en charge, et les mesures d’atténuation des risques d’EAS/HS dans le cadre du Projet, parmi d’autres</w:t>
            </w:r>
          </w:p>
        </w:tc>
      </w:tr>
      <w:tr w:rsidR="009021F1" w:rsidRPr="007179F2" w14:paraId="5176716B" w14:textId="77777777" w:rsidTr="00E637E3">
        <w:tc>
          <w:tcPr>
            <w:tcW w:w="9067" w:type="dxa"/>
          </w:tcPr>
          <w:p w14:paraId="561FEC6D" w14:textId="77777777" w:rsidR="009021F1" w:rsidRPr="00E33B7D" w:rsidRDefault="009021F1" w:rsidP="00E637E3">
            <w:pPr>
              <w:pStyle w:val="Pieddepage"/>
              <w:rPr>
                <w:rFonts w:ascii="Arial" w:hAnsi="Arial" w:cs="Arial"/>
                <w:i/>
              </w:rPr>
            </w:pPr>
            <w:r w:rsidRPr="00E33B7D">
              <w:rPr>
                <w:rFonts w:ascii="Arial" w:hAnsi="Arial" w:cs="Arial"/>
                <w:i/>
              </w:rPr>
              <w:t>Engagement des Parties Prenantes et Communications</w:t>
            </w:r>
          </w:p>
          <w:p w14:paraId="21BDFACD" w14:textId="77777777" w:rsidR="009021F1" w:rsidRPr="00E33B7D" w:rsidRDefault="009021F1" w:rsidP="00E637E3">
            <w:pPr>
              <w:numPr>
                <w:ilvl w:val="0"/>
                <w:numId w:val="30"/>
              </w:numPr>
              <w:tabs>
                <w:tab w:val="clear" w:pos="360"/>
              </w:tabs>
              <w:ind w:hanging="291"/>
              <w:rPr>
                <w:rFonts w:cs="Arial"/>
                <w:sz w:val="20"/>
                <w:szCs w:val="20"/>
              </w:rPr>
            </w:pPr>
            <w:r w:rsidRPr="00E33B7D">
              <w:rPr>
                <w:rFonts w:cs="Arial"/>
                <w:sz w:val="20"/>
                <w:szCs w:val="20"/>
              </w:rPr>
              <w:t>Identification des parties prenantes au programme ;</w:t>
            </w:r>
          </w:p>
          <w:p w14:paraId="104B3EDA" w14:textId="77777777" w:rsidR="009021F1" w:rsidRPr="00E33B7D" w:rsidRDefault="009021F1" w:rsidP="00E637E3">
            <w:pPr>
              <w:numPr>
                <w:ilvl w:val="0"/>
                <w:numId w:val="30"/>
              </w:numPr>
              <w:tabs>
                <w:tab w:val="clear" w:pos="360"/>
              </w:tabs>
              <w:ind w:hanging="291"/>
              <w:rPr>
                <w:rFonts w:cs="Arial"/>
                <w:sz w:val="20"/>
                <w:szCs w:val="20"/>
              </w:rPr>
            </w:pPr>
            <w:r w:rsidRPr="00E33B7D">
              <w:rPr>
                <w:rFonts w:cs="Arial"/>
                <w:sz w:val="20"/>
                <w:szCs w:val="20"/>
              </w:rPr>
              <w:t>Identification des besoins des parties prenantes ;</w:t>
            </w:r>
          </w:p>
          <w:p w14:paraId="31B6E366" w14:textId="77777777" w:rsidR="009021F1" w:rsidRPr="00E33B7D" w:rsidRDefault="009021F1" w:rsidP="00E637E3">
            <w:pPr>
              <w:numPr>
                <w:ilvl w:val="0"/>
                <w:numId w:val="30"/>
              </w:numPr>
              <w:tabs>
                <w:tab w:val="clear" w:pos="360"/>
              </w:tabs>
              <w:ind w:hanging="291"/>
              <w:rPr>
                <w:rFonts w:cs="Arial"/>
                <w:sz w:val="20"/>
                <w:szCs w:val="20"/>
              </w:rPr>
            </w:pPr>
            <w:r w:rsidRPr="00E33B7D">
              <w:rPr>
                <w:sz w:val="20"/>
                <w:szCs w:val="20"/>
              </w:rPr>
              <w:t>Formations pour l’utilisation de technologies intelligentes pour le suivi des risques sécuritaires sur le Programme ;</w:t>
            </w:r>
          </w:p>
          <w:p w14:paraId="503E8E5B" w14:textId="77777777" w:rsidR="009021F1" w:rsidRPr="00E33B7D" w:rsidRDefault="009021F1" w:rsidP="00E637E3">
            <w:pPr>
              <w:numPr>
                <w:ilvl w:val="0"/>
                <w:numId w:val="30"/>
              </w:numPr>
              <w:tabs>
                <w:tab w:val="clear" w:pos="360"/>
              </w:tabs>
              <w:ind w:hanging="291"/>
              <w:rPr>
                <w:rFonts w:cs="Arial"/>
                <w:sz w:val="20"/>
                <w:szCs w:val="20"/>
              </w:rPr>
            </w:pPr>
            <w:r w:rsidRPr="00E33B7D">
              <w:rPr>
                <w:rFonts w:cs="Arial"/>
                <w:sz w:val="20"/>
                <w:szCs w:val="20"/>
              </w:rPr>
              <w:t>Formation sur l’engagement citoyen ;</w:t>
            </w:r>
          </w:p>
          <w:p w14:paraId="0AE80BC8" w14:textId="77777777" w:rsidR="009021F1" w:rsidRPr="00E33B7D" w:rsidRDefault="009021F1" w:rsidP="00E637E3">
            <w:pPr>
              <w:numPr>
                <w:ilvl w:val="0"/>
                <w:numId w:val="30"/>
              </w:numPr>
              <w:tabs>
                <w:tab w:val="clear" w:pos="360"/>
              </w:tabs>
              <w:ind w:hanging="291"/>
              <w:rPr>
                <w:rFonts w:cs="Arial"/>
                <w:sz w:val="20"/>
                <w:szCs w:val="20"/>
              </w:rPr>
            </w:pPr>
            <w:r w:rsidRPr="00E33B7D">
              <w:rPr>
                <w:rFonts w:cs="Arial"/>
                <w:sz w:val="20"/>
                <w:szCs w:val="20"/>
              </w:rPr>
              <w:t xml:space="preserve">Elaboration et mise en œuvre des PMPP et MGP ; </w:t>
            </w:r>
          </w:p>
          <w:p w14:paraId="0318BF84" w14:textId="77777777" w:rsidR="009021F1" w:rsidRPr="00E33B7D" w:rsidRDefault="009021F1" w:rsidP="00E637E3">
            <w:pPr>
              <w:numPr>
                <w:ilvl w:val="0"/>
                <w:numId w:val="30"/>
              </w:numPr>
              <w:tabs>
                <w:tab w:val="clear" w:pos="360"/>
              </w:tabs>
              <w:ind w:hanging="291"/>
              <w:rPr>
                <w:rFonts w:cs="Arial"/>
                <w:sz w:val="20"/>
                <w:szCs w:val="20"/>
              </w:rPr>
            </w:pPr>
            <w:r w:rsidRPr="00E33B7D">
              <w:rPr>
                <w:rFonts w:cs="Arial"/>
                <w:sz w:val="20"/>
                <w:szCs w:val="20"/>
              </w:rPr>
              <w:t>Diffusion des informations ;</w:t>
            </w:r>
          </w:p>
          <w:p w14:paraId="6777E5D8" w14:textId="77777777" w:rsidR="009021F1" w:rsidRPr="00E33B7D" w:rsidRDefault="009021F1" w:rsidP="00E637E3">
            <w:pPr>
              <w:numPr>
                <w:ilvl w:val="0"/>
                <w:numId w:val="30"/>
              </w:numPr>
              <w:tabs>
                <w:tab w:val="clear" w:pos="360"/>
              </w:tabs>
              <w:ind w:hanging="291"/>
              <w:rPr>
                <w:rFonts w:cs="Arial"/>
                <w:sz w:val="20"/>
                <w:szCs w:val="20"/>
              </w:rPr>
            </w:pPr>
            <w:r w:rsidRPr="00E33B7D">
              <w:rPr>
                <w:rFonts w:cs="Arial"/>
                <w:sz w:val="20"/>
                <w:szCs w:val="20"/>
              </w:rPr>
              <w:t>Consultations approfondies ; et</w:t>
            </w:r>
          </w:p>
          <w:p w14:paraId="7DB986D4" w14:textId="77777777" w:rsidR="009021F1" w:rsidRPr="00E33B7D" w:rsidRDefault="009021F1" w:rsidP="00E637E3">
            <w:pPr>
              <w:numPr>
                <w:ilvl w:val="0"/>
                <w:numId w:val="30"/>
              </w:numPr>
              <w:tabs>
                <w:tab w:val="clear" w:pos="360"/>
              </w:tabs>
              <w:ind w:hanging="291"/>
              <w:rPr>
                <w:rFonts w:cs="Arial"/>
                <w:iCs/>
                <w:sz w:val="20"/>
                <w:szCs w:val="20"/>
              </w:rPr>
            </w:pPr>
            <w:r w:rsidRPr="00E33B7D">
              <w:rPr>
                <w:rFonts w:cs="Arial"/>
                <w:sz w:val="20"/>
                <w:szCs w:val="20"/>
              </w:rPr>
              <w:t>Messages clés à communiquer aux Parties prenantes.</w:t>
            </w:r>
          </w:p>
        </w:tc>
      </w:tr>
      <w:tr w:rsidR="009021F1" w:rsidRPr="007179F2" w14:paraId="7A3373C9" w14:textId="77777777" w:rsidTr="00E637E3">
        <w:tc>
          <w:tcPr>
            <w:tcW w:w="9067" w:type="dxa"/>
          </w:tcPr>
          <w:p w14:paraId="47EA0032" w14:textId="77777777" w:rsidR="009021F1" w:rsidRPr="00E33B7D" w:rsidRDefault="009021F1" w:rsidP="00E637E3">
            <w:pPr>
              <w:pStyle w:val="Pieddepage"/>
              <w:rPr>
                <w:rFonts w:ascii="Arial" w:hAnsi="Arial" w:cs="Arial"/>
                <w:i/>
              </w:rPr>
            </w:pPr>
            <w:r w:rsidRPr="00E33B7D">
              <w:rPr>
                <w:rFonts w:ascii="Arial" w:hAnsi="Arial" w:cs="Arial"/>
                <w:i/>
              </w:rPr>
              <w:t>Formation sur le suivi environnemental et social</w:t>
            </w:r>
          </w:p>
          <w:p w14:paraId="77164E56" w14:textId="77777777" w:rsidR="009021F1" w:rsidRPr="00E33B7D" w:rsidRDefault="009021F1" w:rsidP="00E637E3">
            <w:pPr>
              <w:numPr>
                <w:ilvl w:val="0"/>
                <w:numId w:val="30"/>
              </w:numPr>
              <w:tabs>
                <w:tab w:val="clear" w:pos="360"/>
              </w:tabs>
              <w:ind w:hanging="291"/>
              <w:rPr>
                <w:rFonts w:cs="Arial"/>
                <w:sz w:val="20"/>
                <w:szCs w:val="20"/>
              </w:rPr>
            </w:pPr>
            <w:r w:rsidRPr="00E33B7D">
              <w:rPr>
                <w:rFonts w:cs="Arial"/>
                <w:sz w:val="20"/>
                <w:szCs w:val="20"/>
              </w:rPr>
              <w:t>Méthodologie de suivi environnemental et social ;</w:t>
            </w:r>
          </w:p>
          <w:p w14:paraId="2DC820B8" w14:textId="77777777" w:rsidR="009021F1" w:rsidRPr="00E33B7D" w:rsidRDefault="009021F1" w:rsidP="00E637E3">
            <w:pPr>
              <w:numPr>
                <w:ilvl w:val="0"/>
                <w:numId w:val="30"/>
              </w:numPr>
              <w:tabs>
                <w:tab w:val="clear" w:pos="360"/>
              </w:tabs>
              <w:ind w:hanging="291"/>
              <w:rPr>
                <w:rFonts w:cs="Arial"/>
                <w:sz w:val="20"/>
                <w:szCs w:val="20"/>
              </w:rPr>
            </w:pPr>
            <w:r w:rsidRPr="00E33B7D">
              <w:rPr>
                <w:rFonts w:cs="Arial"/>
                <w:sz w:val="20"/>
                <w:szCs w:val="20"/>
              </w:rPr>
              <w:t>Indicateurs de suivi/évaluation environnemental et social ;</w:t>
            </w:r>
          </w:p>
          <w:p w14:paraId="719C06D6" w14:textId="77777777" w:rsidR="009021F1" w:rsidRPr="00E33B7D" w:rsidRDefault="009021F1" w:rsidP="00E637E3">
            <w:pPr>
              <w:numPr>
                <w:ilvl w:val="0"/>
                <w:numId w:val="30"/>
              </w:numPr>
              <w:tabs>
                <w:tab w:val="clear" w:pos="360"/>
              </w:tabs>
              <w:ind w:hanging="291"/>
              <w:rPr>
                <w:rFonts w:cs="Arial"/>
                <w:sz w:val="20"/>
                <w:szCs w:val="20"/>
              </w:rPr>
            </w:pPr>
            <w:r w:rsidRPr="00E33B7D">
              <w:rPr>
                <w:rFonts w:cs="Arial"/>
                <w:sz w:val="20"/>
                <w:szCs w:val="20"/>
              </w:rPr>
              <w:t>Respect et application des lois et règlements sur l’environnement ;</w:t>
            </w:r>
          </w:p>
          <w:p w14:paraId="09BF3156" w14:textId="77777777" w:rsidR="009021F1" w:rsidRPr="00E33B7D" w:rsidRDefault="009021F1" w:rsidP="00E637E3">
            <w:pPr>
              <w:numPr>
                <w:ilvl w:val="0"/>
                <w:numId w:val="30"/>
              </w:numPr>
              <w:tabs>
                <w:tab w:val="clear" w:pos="360"/>
              </w:tabs>
              <w:ind w:hanging="291"/>
              <w:rPr>
                <w:rFonts w:cs="Arial"/>
                <w:sz w:val="20"/>
                <w:szCs w:val="20"/>
              </w:rPr>
            </w:pPr>
            <w:r w:rsidRPr="00E33B7D">
              <w:rPr>
                <w:rFonts w:cs="Arial"/>
                <w:sz w:val="20"/>
                <w:szCs w:val="20"/>
              </w:rPr>
              <w:t>Sensibilisation des populations sur la protection et la gestion de l’environnement ;</w:t>
            </w:r>
          </w:p>
          <w:p w14:paraId="06D471CF" w14:textId="77777777" w:rsidR="009021F1" w:rsidRPr="00E33B7D" w:rsidRDefault="009021F1" w:rsidP="00E637E3">
            <w:pPr>
              <w:numPr>
                <w:ilvl w:val="0"/>
                <w:numId w:val="30"/>
              </w:numPr>
              <w:tabs>
                <w:tab w:val="clear" w:pos="360"/>
              </w:tabs>
              <w:ind w:hanging="291"/>
              <w:rPr>
                <w:rFonts w:cs="Arial"/>
                <w:sz w:val="20"/>
                <w:szCs w:val="20"/>
              </w:rPr>
            </w:pPr>
            <w:r w:rsidRPr="00E33B7D">
              <w:rPr>
                <w:rFonts w:cs="Arial"/>
                <w:sz w:val="20"/>
                <w:szCs w:val="20"/>
              </w:rPr>
              <w:t>Les mesures d’atténuation des risques d’EAS/HS ;</w:t>
            </w:r>
          </w:p>
          <w:p w14:paraId="1F1EC334" w14:textId="77777777" w:rsidR="009021F1" w:rsidRPr="00E33B7D" w:rsidRDefault="009021F1" w:rsidP="00E637E3">
            <w:pPr>
              <w:numPr>
                <w:ilvl w:val="0"/>
                <w:numId w:val="30"/>
              </w:numPr>
              <w:tabs>
                <w:tab w:val="clear" w:pos="360"/>
              </w:tabs>
              <w:ind w:hanging="291"/>
              <w:rPr>
                <w:rFonts w:cs="Arial"/>
                <w:sz w:val="20"/>
                <w:szCs w:val="20"/>
              </w:rPr>
            </w:pPr>
            <w:r w:rsidRPr="00E33B7D">
              <w:rPr>
                <w:rFonts w:cs="Arial"/>
                <w:sz w:val="20"/>
                <w:szCs w:val="20"/>
              </w:rPr>
              <w:t>Effectivité de la prise en compte du genre.</w:t>
            </w:r>
          </w:p>
        </w:tc>
      </w:tr>
      <w:tr w:rsidR="009021F1" w:rsidRPr="007179F2" w14:paraId="7F5A6EE5" w14:textId="77777777" w:rsidTr="00E637E3">
        <w:tc>
          <w:tcPr>
            <w:tcW w:w="9067" w:type="dxa"/>
          </w:tcPr>
          <w:p w14:paraId="22EDD451" w14:textId="77777777" w:rsidR="009021F1" w:rsidRPr="00E33B7D" w:rsidRDefault="009021F1" w:rsidP="00E637E3">
            <w:pPr>
              <w:pStyle w:val="Pieddepage"/>
              <w:rPr>
                <w:rFonts w:ascii="Arial" w:hAnsi="Arial" w:cs="Arial"/>
                <w:i/>
              </w:rPr>
            </w:pPr>
            <w:r w:rsidRPr="00E33B7D">
              <w:rPr>
                <w:rFonts w:ascii="Arial" w:hAnsi="Arial" w:cs="Arial"/>
                <w:i/>
              </w:rPr>
              <w:t>Formation sur les impacts et risques environnementaux et sociaux</w:t>
            </w:r>
          </w:p>
          <w:p w14:paraId="18F6E94A" w14:textId="77777777" w:rsidR="009021F1" w:rsidRPr="00E33B7D" w:rsidRDefault="009021F1" w:rsidP="00E637E3">
            <w:pPr>
              <w:numPr>
                <w:ilvl w:val="0"/>
                <w:numId w:val="30"/>
              </w:numPr>
              <w:tabs>
                <w:tab w:val="clear" w:pos="360"/>
              </w:tabs>
              <w:ind w:hanging="291"/>
              <w:rPr>
                <w:rFonts w:cs="Arial"/>
                <w:sz w:val="20"/>
                <w:szCs w:val="20"/>
              </w:rPr>
            </w:pPr>
            <w:r w:rsidRPr="00E33B7D">
              <w:rPr>
                <w:rFonts w:cs="Arial"/>
                <w:sz w:val="20"/>
                <w:szCs w:val="20"/>
              </w:rPr>
              <w:t>Étude d'impact environnemental et social – processus administratif ;</w:t>
            </w:r>
          </w:p>
          <w:p w14:paraId="536088C2" w14:textId="77777777" w:rsidR="009021F1" w:rsidRPr="00E33B7D" w:rsidRDefault="009021F1" w:rsidP="00E637E3">
            <w:pPr>
              <w:numPr>
                <w:ilvl w:val="0"/>
                <w:numId w:val="30"/>
              </w:numPr>
              <w:tabs>
                <w:tab w:val="clear" w:pos="360"/>
              </w:tabs>
              <w:ind w:hanging="291"/>
              <w:rPr>
                <w:rFonts w:cs="Arial"/>
                <w:sz w:val="20"/>
                <w:szCs w:val="20"/>
              </w:rPr>
            </w:pPr>
            <w:r w:rsidRPr="00E33B7D">
              <w:rPr>
                <w:rFonts w:cs="Arial"/>
                <w:sz w:val="20"/>
                <w:szCs w:val="20"/>
              </w:rPr>
              <w:t>Étude d'impact environnemental et social – participation du public ;</w:t>
            </w:r>
          </w:p>
          <w:p w14:paraId="396B6241" w14:textId="77777777" w:rsidR="009021F1" w:rsidRPr="00E33B7D" w:rsidRDefault="009021F1" w:rsidP="00E637E3">
            <w:pPr>
              <w:numPr>
                <w:ilvl w:val="0"/>
                <w:numId w:val="30"/>
              </w:numPr>
              <w:tabs>
                <w:tab w:val="clear" w:pos="360"/>
              </w:tabs>
              <w:ind w:hanging="291"/>
              <w:rPr>
                <w:rFonts w:cs="Arial"/>
                <w:sz w:val="20"/>
                <w:szCs w:val="20"/>
              </w:rPr>
            </w:pPr>
            <w:r w:rsidRPr="00E33B7D">
              <w:rPr>
                <w:rFonts w:cs="Arial"/>
                <w:sz w:val="20"/>
                <w:szCs w:val="20"/>
              </w:rPr>
              <w:t>Étude d'impact environnemental et social – processus pratique ;</w:t>
            </w:r>
          </w:p>
          <w:p w14:paraId="67A5210A" w14:textId="77777777" w:rsidR="009021F1" w:rsidRPr="00E33B7D" w:rsidRDefault="009021F1" w:rsidP="00E637E3">
            <w:pPr>
              <w:numPr>
                <w:ilvl w:val="0"/>
                <w:numId w:val="30"/>
              </w:numPr>
              <w:tabs>
                <w:tab w:val="clear" w:pos="360"/>
              </w:tabs>
              <w:ind w:hanging="291"/>
              <w:rPr>
                <w:rFonts w:cs="Arial"/>
                <w:sz w:val="20"/>
                <w:szCs w:val="20"/>
              </w:rPr>
            </w:pPr>
            <w:r w:rsidRPr="00E33B7D">
              <w:rPr>
                <w:rFonts w:cs="Arial"/>
                <w:sz w:val="20"/>
                <w:szCs w:val="20"/>
              </w:rPr>
              <w:t>Démarche d’identification des dangers et d’évaluation des risques ;</w:t>
            </w:r>
          </w:p>
          <w:p w14:paraId="44F17D23" w14:textId="77777777" w:rsidR="009021F1" w:rsidRPr="00E33B7D" w:rsidRDefault="009021F1" w:rsidP="00E637E3">
            <w:pPr>
              <w:numPr>
                <w:ilvl w:val="0"/>
                <w:numId w:val="30"/>
              </w:numPr>
              <w:tabs>
                <w:tab w:val="clear" w:pos="360"/>
              </w:tabs>
              <w:ind w:hanging="291"/>
              <w:rPr>
                <w:rFonts w:cs="Arial"/>
                <w:i/>
                <w:sz w:val="20"/>
                <w:szCs w:val="20"/>
              </w:rPr>
            </w:pPr>
            <w:r w:rsidRPr="00E33B7D">
              <w:rPr>
                <w:rFonts w:cs="Arial"/>
                <w:sz w:val="20"/>
                <w:szCs w:val="20"/>
              </w:rPr>
              <w:t>Les principaux outils d’analyse et de maîtrise des risques.</w:t>
            </w:r>
          </w:p>
        </w:tc>
      </w:tr>
      <w:tr w:rsidR="009021F1" w:rsidRPr="007179F2" w14:paraId="6FA369F6" w14:textId="77777777" w:rsidTr="00E637E3">
        <w:tc>
          <w:tcPr>
            <w:tcW w:w="9067" w:type="dxa"/>
          </w:tcPr>
          <w:p w14:paraId="4B5D3676" w14:textId="77777777" w:rsidR="009021F1" w:rsidRPr="00E33B7D" w:rsidRDefault="009021F1" w:rsidP="00E637E3">
            <w:pPr>
              <w:pStyle w:val="Pieddepage"/>
              <w:rPr>
                <w:rFonts w:ascii="Arial" w:hAnsi="Arial" w:cs="Arial"/>
                <w:i/>
              </w:rPr>
            </w:pPr>
            <w:r w:rsidRPr="00E33B7D">
              <w:rPr>
                <w:rFonts w:ascii="Arial" w:hAnsi="Arial" w:cs="Arial"/>
                <w:i/>
              </w:rPr>
              <w:t>Module de formation sur le foncier</w:t>
            </w:r>
          </w:p>
          <w:p w14:paraId="51FF1CAA" w14:textId="77777777" w:rsidR="009021F1" w:rsidRPr="00E33B7D" w:rsidRDefault="009021F1" w:rsidP="00E637E3">
            <w:pPr>
              <w:numPr>
                <w:ilvl w:val="0"/>
                <w:numId w:val="30"/>
              </w:numPr>
              <w:tabs>
                <w:tab w:val="clear" w:pos="360"/>
              </w:tabs>
              <w:ind w:hanging="291"/>
              <w:rPr>
                <w:rFonts w:cs="Arial"/>
                <w:sz w:val="20"/>
                <w:szCs w:val="20"/>
              </w:rPr>
            </w:pPr>
            <w:r w:rsidRPr="00E33B7D">
              <w:rPr>
                <w:rFonts w:cs="Arial"/>
                <w:sz w:val="20"/>
                <w:szCs w:val="20"/>
              </w:rPr>
              <w:t>Les différents statuts des terres (moderne et traditionnel) ;</w:t>
            </w:r>
          </w:p>
          <w:p w14:paraId="42FB90C1" w14:textId="77777777" w:rsidR="009021F1" w:rsidRPr="00E33B7D" w:rsidRDefault="009021F1" w:rsidP="00E637E3">
            <w:pPr>
              <w:numPr>
                <w:ilvl w:val="0"/>
                <w:numId w:val="30"/>
              </w:numPr>
              <w:tabs>
                <w:tab w:val="clear" w:pos="360"/>
              </w:tabs>
              <w:ind w:hanging="291"/>
              <w:rPr>
                <w:rFonts w:cs="Arial"/>
                <w:sz w:val="20"/>
                <w:szCs w:val="20"/>
              </w:rPr>
            </w:pPr>
            <w:r w:rsidRPr="00E33B7D">
              <w:rPr>
                <w:rFonts w:cs="Arial"/>
                <w:sz w:val="20"/>
                <w:szCs w:val="20"/>
              </w:rPr>
              <w:t>Les modes d’accès à la terre ;</w:t>
            </w:r>
          </w:p>
          <w:p w14:paraId="47ED24A3" w14:textId="77777777" w:rsidR="009021F1" w:rsidRPr="00E33B7D" w:rsidRDefault="009021F1" w:rsidP="00E637E3">
            <w:pPr>
              <w:numPr>
                <w:ilvl w:val="0"/>
                <w:numId w:val="30"/>
              </w:numPr>
              <w:tabs>
                <w:tab w:val="clear" w:pos="360"/>
              </w:tabs>
              <w:ind w:hanging="291"/>
              <w:rPr>
                <w:rFonts w:cs="Arial"/>
                <w:sz w:val="20"/>
                <w:szCs w:val="20"/>
              </w:rPr>
            </w:pPr>
            <w:r w:rsidRPr="00E33B7D">
              <w:rPr>
                <w:rFonts w:cs="Arial"/>
                <w:sz w:val="20"/>
                <w:szCs w:val="20"/>
              </w:rPr>
              <w:t>Le règlement des conflits fonciers, notamment entre agriculteurs et éleveurs.</w:t>
            </w:r>
          </w:p>
        </w:tc>
      </w:tr>
      <w:tr w:rsidR="009021F1" w:rsidRPr="007179F2" w14:paraId="7A16D2EB" w14:textId="77777777" w:rsidTr="00E637E3">
        <w:tc>
          <w:tcPr>
            <w:tcW w:w="9067" w:type="dxa"/>
          </w:tcPr>
          <w:p w14:paraId="6B250005" w14:textId="77777777" w:rsidR="009021F1" w:rsidRPr="00E33B7D" w:rsidRDefault="009021F1" w:rsidP="00E637E3">
            <w:pPr>
              <w:pStyle w:val="Pieddepage"/>
              <w:rPr>
                <w:rFonts w:ascii="Arial" w:hAnsi="Arial" w:cs="Arial"/>
                <w:i/>
              </w:rPr>
            </w:pPr>
            <w:r w:rsidRPr="00E33B7D">
              <w:rPr>
                <w:rFonts w:ascii="Arial" w:hAnsi="Arial" w:cs="Arial"/>
                <w:i/>
              </w:rPr>
              <w:t>Audit environnemental et social des projets</w:t>
            </w:r>
          </w:p>
          <w:p w14:paraId="057EB130" w14:textId="77777777" w:rsidR="009021F1" w:rsidRPr="00E33B7D" w:rsidRDefault="009021F1" w:rsidP="00E637E3">
            <w:pPr>
              <w:numPr>
                <w:ilvl w:val="0"/>
                <w:numId w:val="30"/>
              </w:numPr>
              <w:tabs>
                <w:tab w:val="clear" w:pos="360"/>
              </w:tabs>
              <w:ind w:hanging="291"/>
              <w:rPr>
                <w:rFonts w:cs="Arial"/>
                <w:sz w:val="20"/>
                <w:szCs w:val="20"/>
              </w:rPr>
            </w:pPr>
            <w:r w:rsidRPr="00E33B7D">
              <w:rPr>
                <w:rFonts w:cs="Arial"/>
                <w:sz w:val="20"/>
                <w:szCs w:val="20"/>
              </w:rPr>
              <w:t>Comment préparer une mission d’audit ;</w:t>
            </w:r>
          </w:p>
          <w:p w14:paraId="68602B2B" w14:textId="77777777" w:rsidR="009021F1" w:rsidRPr="00E33B7D" w:rsidRDefault="009021F1" w:rsidP="00E637E3">
            <w:pPr>
              <w:numPr>
                <w:ilvl w:val="0"/>
                <w:numId w:val="30"/>
              </w:numPr>
              <w:tabs>
                <w:tab w:val="clear" w:pos="360"/>
              </w:tabs>
              <w:ind w:hanging="291"/>
              <w:rPr>
                <w:rFonts w:cs="Arial"/>
                <w:sz w:val="20"/>
                <w:szCs w:val="20"/>
              </w:rPr>
            </w:pPr>
            <w:r w:rsidRPr="00E33B7D">
              <w:rPr>
                <w:rFonts w:cs="Arial"/>
                <w:sz w:val="20"/>
                <w:szCs w:val="20"/>
              </w:rPr>
              <w:t>Comment effectuer l’audit et le suivi environnemental et social ;</w:t>
            </w:r>
          </w:p>
          <w:p w14:paraId="4C64FB52" w14:textId="77777777" w:rsidR="009021F1" w:rsidRPr="00E33B7D" w:rsidRDefault="009021F1" w:rsidP="00E637E3">
            <w:pPr>
              <w:numPr>
                <w:ilvl w:val="0"/>
                <w:numId w:val="30"/>
              </w:numPr>
              <w:tabs>
                <w:tab w:val="clear" w:pos="360"/>
              </w:tabs>
              <w:ind w:hanging="291"/>
              <w:rPr>
                <w:rFonts w:cs="Arial"/>
                <w:sz w:val="20"/>
                <w:szCs w:val="20"/>
              </w:rPr>
            </w:pPr>
            <w:r w:rsidRPr="00E33B7D">
              <w:rPr>
                <w:rFonts w:cs="Arial"/>
                <w:sz w:val="20"/>
                <w:szCs w:val="20"/>
              </w:rPr>
              <w:t>Bonne connaissance de la conduite de chantier ;</w:t>
            </w:r>
          </w:p>
          <w:p w14:paraId="590A4571" w14:textId="77777777" w:rsidR="009021F1" w:rsidRPr="00E33B7D" w:rsidRDefault="009021F1" w:rsidP="00E637E3">
            <w:pPr>
              <w:numPr>
                <w:ilvl w:val="0"/>
                <w:numId w:val="30"/>
              </w:numPr>
              <w:tabs>
                <w:tab w:val="clear" w:pos="360"/>
              </w:tabs>
              <w:ind w:hanging="291"/>
              <w:rPr>
                <w:rFonts w:cs="Arial"/>
                <w:i/>
                <w:sz w:val="20"/>
                <w:szCs w:val="20"/>
              </w:rPr>
            </w:pPr>
            <w:r w:rsidRPr="00E33B7D">
              <w:rPr>
                <w:rFonts w:cs="Arial"/>
                <w:sz w:val="20"/>
                <w:szCs w:val="20"/>
              </w:rPr>
              <w:t>Contenu d’un rapport d’audit environnemental et social.</w:t>
            </w:r>
          </w:p>
        </w:tc>
      </w:tr>
      <w:tr w:rsidR="009021F1" w:rsidRPr="007179F2" w14:paraId="5C2D9E3F" w14:textId="77777777" w:rsidTr="00E637E3">
        <w:tc>
          <w:tcPr>
            <w:tcW w:w="9067" w:type="dxa"/>
          </w:tcPr>
          <w:p w14:paraId="58A67D87" w14:textId="77777777" w:rsidR="009021F1" w:rsidRPr="00E33B7D" w:rsidRDefault="009021F1" w:rsidP="00E637E3">
            <w:pPr>
              <w:pStyle w:val="Pieddepage"/>
              <w:rPr>
                <w:rFonts w:ascii="Arial" w:hAnsi="Arial" w:cs="Arial"/>
                <w:i/>
              </w:rPr>
            </w:pPr>
            <w:r w:rsidRPr="00E33B7D">
              <w:rPr>
                <w:rFonts w:ascii="Arial" w:hAnsi="Arial" w:cs="Arial"/>
                <w:i/>
              </w:rPr>
              <w:t>Santé, hygiène et sécurité</w:t>
            </w:r>
          </w:p>
          <w:p w14:paraId="062A7D23" w14:textId="77777777" w:rsidR="009021F1" w:rsidRPr="00E33B7D" w:rsidRDefault="009021F1" w:rsidP="00E637E3">
            <w:pPr>
              <w:numPr>
                <w:ilvl w:val="0"/>
                <w:numId w:val="30"/>
              </w:numPr>
              <w:tabs>
                <w:tab w:val="clear" w:pos="360"/>
              </w:tabs>
              <w:ind w:hanging="291"/>
              <w:rPr>
                <w:rFonts w:cs="Arial"/>
                <w:sz w:val="20"/>
                <w:szCs w:val="20"/>
              </w:rPr>
            </w:pPr>
            <w:r w:rsidRPr="00E33B7D">
              <w:rPr>
                <w:rFonts w:cs="Arial"/>
                <w:sz w:val="20"/>
                <w:szCs w:val="20"/>
              </w:rPr>
              <w:t>Les principes généraux de la sécurité ;</w:t>
            </w:r>
          </w:p>
          <w:p w14:paraId="270F5A12" w14:textId="77777777" w:rsidR="009021F1" w:rsidRPr="00E33B7D" w:rsidRDefault="009021F1" w:rsidP="00E637E3">
            <w:pPr>
              <w:numPr>
                <w:ilvl w:val="0"/>
                <w:numId w:val="30"/>
              </w:numPr>
              <w:tabs>
                <w:tab w:val="clear" w:pos="360"/>
              </w:tabs>
              <w:ind w:hanging="291"/>
              <w:rPr>
                <w:rFonts w:cs="Arial"/>
                <w:sz w:val="20"/>
                <w:szCs w:val="20"/>
              </w:rPr>
            </w:pPr>
            <w:r w:rsidRPr="00E33B7D">
              <w:rPr>
                <w:rFonts w:cs="Arial"/>
                <w:sz w:val="20"/>
                <w:szCs w:val="20"/>
              </w:rPr>
              <w:t>Mesures de protection ;</w:t>
            </w:r>
          </w:p>
          <w:p w14:paraId="12FF1A6A" w14:textId="77777777" w:rsidR="009021F1" w:rsidRPr="00E33B7D" w:rsidRDefault="009021F1" w:rsidP="00E637E3">
            <w:pPr>
              <w:numPr>
                <w:ilvl w:val="0"/>
                <w:numId w:val="30"/>
              </w:numPr>
              <w:tabs>
                <w:tab w:val="clear" w:pos="360"/>
              </w:tabs>
              <w:ind w:hanging="291"/>
              <w:rPr>
                <w:rFonts w:cs="Arial"/>
                <w:sz w:val="20"/>
                <w:szCs w:val="20"/>
              </w:rPr>
            </w:pPr>
            <w:r w:rsidRPr="00E33B7D">
              <w:rPr>
                <w:rFonts w:cs="Arial"/>
                <w:sz w:val="20"/>
                <w:szCs w:val="20"/>
              </w:rPr>
              <w:t>Équipements de protection individuelle ;</w:t>
            </w:r>
          </w:p>
          <w:p w14:paraId="5FA51EFC" w14:textId="77777777" w:rsidR="009021F1" w:rsidRPr="00E33B7D" w:rsidRDefault="009021F1" w:rsidP="00E637E3">
            <w:pPr>
              <w:numPr>
                <w:ilvl w:val="0"/>
                <w:numId w:val="30"/>
              </w:numPr>
              <w:tabs>
                <w:tab w:val="clear" w:pos="360"/>
              </w:tabs>
              <w:ind w:hanging="291"/>
              <w:rPr>
                <w:rFonts w:cs="Arial"/>
                <w:sz w:val="20"/>
                <w:szCs w:val="20"/>
              </w:rPr>
            </w:pPr>
            <w:r w:rsidRPr="00E33B7D">
              <w:rPr>
                <w:rFonts w:cs="Arial"/>
                <w:sz w:val="20"/>
                <w:szCs w:val="20"/>
              </w:rPr>
              <w:t>Gestion des risques en milieu du travail, y compris les risques de harcèlement sexuel ;</w:t>
            </w:r>
          </w:p>
          <w:p w14:paraId="5CA29884" w14:textId="77777777" w:rsidR="009021F1" w:rsidRPr="00E33B7D" w:rsidRDefault="009021F1" w:rsidP="00E637E3">
            <w:pPr>
              <w:numPr>
                <w:ilvl w:val="0"/>
                <w:numId w:val="30"/>
              </w:numPr>
              <w:tabs>
                <w:tab w:val="clear" w:pos="360"/>
              </w:tabs>
              <w:ind w:hanging="291"/>
              <w:rPr>
                <w:rFonts w:cs="Arial"/>
                <w:sz w:val="20"/>
                <w:szCs w:val="20"/>
              </w:rPr>
            </w:pPr>
            <w:r w:rsidRPr="00E33B7D">
              <w:rPr>
                <w:rFonts w:cs="Arial"/>
                <w:sz w:val="20"/>
                <w:szCs w:val="20"/>
              </w:rPr>
              <w:t>Prévention des accidents de travail ;</w:t>
            </w:r>
          </w:p>
          <w:p w14:paraId="64C1DA2A" w14:textId="77777777" w:rsidR="009021F1" w:rsidRPr="00E33B7D" w:rsidRDefault="009021F1" w:rsidP="00E637E3">
            <w:pPr>
              <w:numPr>
                <w:ilvl w:val="0"/>
                <w:numId w:val="30"/>
              </w:numPr>
              <w:tabs>
                <w:tab w:val="clear" w:pos="360"/>
              </w:tabs>
              <w:ind w:hanging="291"/>
              <w:rPr>
                <w:rFonts w:cs="Arial"/>
                <w:sz w:val="20"/>
                <w:szCs w:val="20"/>
              </w:rPr>
            </w:pPr>
            <w:r w:rsidRPr="00E33B7D">
              <w:rPr>
                <w:rFonts w:cs="Arial"/>
                <w:sz w:val="20"/>
                <w:szCs w:val="20"/>
              </w:rPr>
              <w:t>Règles d’hygiène, santé et sécurité</w:t>
            </w:r>
          </w:p>
          <w:p w14:paraId="7BDB71C5" w14:textId="77777777" w:rsidR="009021F1" w:rsidRPr="00E33B7D" w:rsidRDefault="009021F1" w:rsidP="00E637E3">
            <w:pPr>
              <w:numPr>
                <w:ilvl w:val="0"/>
                <w:numId w:val="30"/>
              </w:numPr>
              <w:tabs>
                <w:tab w:val="clear" w:pos="360"/>
              </w:tabs>
              <w:ind w:hanging="291"/>
              <w:rPr>
                <w:rFonts w:cs="Arial"/>
                <w:sz w:val="20"/>
                <w:szCs w:val="20"/>
              </w:rPr>
            </w:pPr>
            <w:r w:rsidRPr="00E33B7D">
              <w:rPr>
                <w:rFonts w:cs="Arial"/>
                <w:sz w:val="20"/>
                <w:szCs w:val="20"/>
              </w:rPr>
              <w:t>La formation et éducation sur la prévention d’accidents par restes d’explosifs de guerre pendant les travaux de génie civil ;</w:t>
            </w:r>
          </w:p>
          <w:p w14:paraId="2CA87DB7" w14:textId="77777777" w:rsidR="009021F1" w:rsidRPr="00E33B7D" w:rsidRDefault="009021F1" w:rsidP="00E637E3">
            <w:pPr>
              <w:numPr>
                <w:ilvl w:val="0"/>
                <w:numId w:val="30"/>
              </w:numPr>
              <w:tabs>
                <w:tab w:val="clear" w:pos="360"/>
              </w:tabs>
              <w:ind w:hanging="291"/>
              <w:rPr>
                <w:rFonts w:cs="Arial"/>
                <w:sz w:val="20"/>
                <w:szCs w:val="20"/>
              </w:rPr>
            </w:pPr>
            <w:r w:rsidRPr="00E33B7D">
              <w:rPr>
                <w:rFonts w:cs="Arial"/>
                <w:sz w:val="20"/>
                <w:szCs w:val="20"/>
              </w:rPr>
              <w:t>Gestion des déchets solides et liquides ;</w:t>
            </w:r>
          </w:p>
          <w:p w14:paraId="56EBA5BA" w14:textId="77777777" w:rsidR="009021F1" w:rsidRPr="00E33B7D" w:rsidRDefault="009021F1" w:rsidP="00E637E3">
            <w:pPr>
              <w:numPr>
                <w:ilvl w:val="0"/>
                <w:numId w:val="30"/>
              </w:numPr>
              <w:tabs>
                <w:tab w:val="clear" w:pos="360"/>
              </w:tabs>
              <w:ind w:hanging="291"/>
              <w:rPr>
                <w:rFonts w:cs="Arial"/>
                <w:sz w:val="20"/>
                <w:szCs w:val="20"/>
              </w:rPr>
            </w:pPr>
            <w:r w:rsidRPr="00E33B7D">
              <w:rPr>
                <w:rFonts w:cs="Arial"/>
                <w:sz w:val="20"/>
                <w:szCs w:val="20"/>
              </w:rPr>
              <w:t>Lutte contre la contamination de la COVID-19 (avec un module</w:t>
            </w:r>
            <w:r w:rsidRPr="00E33B7D">
              <w:rPr>
                <w:sz w:val="20"/>
                <w:szCs w:val="20"/>
              </w:rPr>
              <w:t xml:space="preserve"> sur comment travailler sous les conditions de pandémie (mesures de protections, prévention et traitement à suivre par les acteurs du projet et à apprendre aux bénéficiaires)</w:t>
            </w:r>
          </w:p>
          <w:p w14:paraId="2941BF04" w14:textId="77777777" w:rsidR="009021F1" w:rsidRPr="00E33B7D" w:rsidRDefault="009021F1" w:rsidP="00E637E3">
            <w:pPr>
              <w:numPr>
                <w:ilvl w:val="0"/>
                <w:numId w:val="30"/>
              </w:numPr>
              <w:tabs>
                <w:tab w:val="clear" w:pos="360"/>
              </w:tabs>
              <w:ind w:hanging="291"/>
              <w:rPr>
                <w:rFonts w:cs="Arial"/>
                <w:sz w:val="20"/>
                <w:szCs w:val="20"/>
              </w:rPr>
            </w:pPr>
            <w:r w:rsidRPr="00E33B7D">
              <w:rPr>
                <w:rFonts w:cs="Arial"/>
                <w:sz w:val="20"/>
                <w:szCs w:val="20"/>
              </w:rPr>
              <w:t>Lutte contre la contamination d’Ebola ;</w:t>
            </w:r>
          </w:p>
          <w:p w14:paraId="5A49CC40" w14:textId="77777777" w:rsidR="009021F1" w:rsidRPr="00E33B7D" w:rsidRDefault="009021F1" w:rsidP="00E637E3">
            <w:pPr>
              <w:numPr>
                <w:ilvl w:val="0"/>
                <w:numId w:val="30"/>
              </w:numPr>
              <w:tabs>
                <w:tab w:val="clear" w:pos="360"/>
              </w:tabs>
              <w:ind w:hanging="291"/>
              <w:rPr>
                <w:rFonts w:cs="Arial"/>
                <w:sz w:val="20"/>
                <w:szCs w:val="20"/>
              </w:rPr>
            </w:pPr>
            <w:r w:rsidRPr="00E33B7D">
              <w:rPr>
                <w:sz w:val="20"/>
                <w:szCs w:val="20"/>
              </w:rPr>
              <w:t>Lutte contre les IST et VIH/SIDA</w:t>
            </w:r>
            <w:r w:rsidRPr="00E33B7D">
              <w:rPr>
                <w:rFonts w:cs="Arial"/>
                <w:sz w:val="20"/>
                <w:szCs w:val="20"/>
              </w:rPr>
              <w:t>.</w:t>
            </w:r>
          </w:p>
        </w:tc>
      </w:tr>
      <w:tr w:rsidR="009021F1" w:rsidRPr="007179F2" w14:paraId="534919FA" w14:textId="77777777" w:rsidTr="00E637E3">
        <w:tc>
          <w:tcPr>
            <w:tcW w:w="9067" w:type="dxa"/>
          </w:tcPr>
          <w:p w14:paraId="5D1CBF69" w14:textId="77777777" w:rsidR="009021F1" w:rsidRPr="00E33B7D" w:rsidRDefault="009021F1" w:rsidP="00E637E3">
            <w:pPr>
              <w:pStyle w:val="Pieddepage"/>
              <w:rPr>
                <w:rFonts w:ascii="Arial" w:hAnsi="Arial" w:cs="Arial"/>
                <w:i/>
              </w:rPr>
            </w:pPr>
            <w:r w:rsidRPr="00E33B7D">
              <w:rPr>
                <w:rFonts w:ascii="Arial" w:hAnsi="Arial" w:cs="Arial"/>
                <w:i/>
              </w:rPr>
              <w:t>Modules de formation sur la gestion des pesticides</w:t>
            </w:r>
          </w:p>
          <w:p w14:paraId="32E807E5" w14:textId="77777777" w:rsidR="009021F1" w:rsidRPr="00E33B7D" w:rsidRDefault="009021F1" w:rsidP="00E637E3">
            <w:pPr>
              <w:numPr>
                <w:ilvl w:val="0"/>
                <w:numId w:val="30"/>
              </w:numPr>
              <w:tabs>
                <w:tab w:val="clear" w:pos="360"/>
              </w:tabs>
              <w:ind w:hanging="291"/>
              <w:rPr>
                <w:rFonts w:cs="Arial"/>
                <w:sz w:val="20"/>
                <w:szCs w:val="20"/>
              </w:rPr>
            </w:pPr>
            <w:r w:rsidRPr="00E33B7D">
              <w:rPr>
                <w:rFonts w:cs="Arial"/>
                <w:sz w:val="20"/>
                <w:szCs w:val="20"/>
              </w:rPr>
              <w:t>Information sur les risques ; conseils de santé et de sécurité ;</w:t>
            </w:r>
          </w:p>
          <w:p w14:paraId="0A83B37D" w14:textId="77777777" w:rsidR="009021F1" w:rsidRPr="00E33B7D" w:rsidRDefault="009021F1" w:rsidP="00E637E3">
            <w:pPr>
              <w:numPr>
                <w:ilvl w:val="0"/>
                <w:numId w:val="30"/>
              </w:numPr>
              <w:tabs>
                <w:tab w:val="clear" w:pos="360"/>
              </w:tabs>
              <w:ind w:hanging="291"/>
              <w:rPr>
                <w:rFonts w:cs="Arial"/>
                <w:sz w:val="20"/>
                <w:szCs w:val="20"/>
              </w:rPr>
            </w:pPr>
            <w:r w:rsidRPr="00E33B7D">
              <w:rPr>
                <w:rFonts w:cs="Arial"/>
                <w:sz w:val="20"/>
                <w:szCs w:val="20"/>
              </w:rPr>
              <w:t>Connaissances de base sur les procédures de manipulation et de gestion des risques ;</w:t>
            </w:r>
          </w:p>
          <w:p w14:paraId="798966F9" w14:textId="77777777" w:rsidR="009021F1" w:rsidRPr="00E33B7D" w:rsidRDefault="009021F1" w:rsidP="00E637E3">
            <w:pPr>
              <w:numPr>
                <w:ilvl w:val="0"/>
                <w:numId w:val="30"/>
              </w:numPr>
              <w:tabs>
                <w:tab w:val="clear" w:pos="360"/>
              </w:tabs>
              <w:ind w:hanging="291"/>
              <w:rPr>
                <w:rFonts w:cs="Arial"/>
                <w:sz w:val="20"/>
                <w:szCs w:val="20"/>
              </w:rPr>
            </w:pPr>
            <w:r w:rsidRPr="00E33B7D">
              <w:rPr>
                <w:rFonts w:cs="Arial"/>
                <w:sz w:val="20"/>
                <w:szCs w:val="20"/>
              </w:rPr>
              <w:t>Port des équipements de protection et de sécurité ;</w:t>
            </w:r>
          </w:p>
          <w:p w14:paraId="274050E0" w14:textId="77777777" w:rsidR="009021F1" w:rsidRPr="00E33B7D" w:rsidRDefault="009021F1" w:rsidP="00E637E3">
            <w:pPr>
              <w:numPr>
                <w:ilvl w:val="0"/>
                <w:numId w:val="30"/>
              </w:numPr>
              <w:tabs>
                <w:tab w:val="clear" w:pos="360"/>
              </w:tabs>
              <w:ind w:hanging="291"/>
              <w:rPr>
                <w:rFonts w:cs="Arial"/>
                <w:sz w:val="20"/>
                <w:szCs w:val="20"/>
              </w:rPr>
            </w:pPr>
            <w:r w:rsidRPr="00E33B7D">
              <w:rPr>
                <w:rFonts w:cs="Arial"/>
                <w:sz w:val="20"/>
                <w:szCs w:val="20"/>
              </w:rPr>
              <w:t>Risques liés au stockage et au transport des pesticides ;</w:t>
            </w:r>
          </w:p>
          <w:p w14:paraId="696B62EF" w14:textId="77777777" w:rsidR="009021F1" w:rsidRPr="00E33B7D" w:rsidRDefault="009021F1" w:rsidP="00E637E3">
            <w:pPr>
              <w:numPr>
                <w:ilvl w:val="0"/>
                <w:numId w:val="30"/>
              </w:numPr>
              <w:tabs>
                <w:tab w:val="clear" w:pos="360"/>
              </w:tabs>
              <w:ind w:hanging="291"/>
              <w:rPr>
                <w:rFonts w:cs="Arial"/>
                <w:sz w:val="20"/>
                <w:szCs w:val="20"/>
              </w:rPr>
            </w:pPr>
            <w:r w:rsidRPr="00E33B7D">
              <w:rPr>
                <w:rFonts w:cs="Arial"/>
                <w:sz w:val="20"/>
                <w:szCs w:val="20"/>
              </w:rPr>
              <w:t>Procédures de manipulation et gestion des emballages et pesticides usagés ;</w:t>
            </w:r>
          </w:p>
          <w:p w14:paraId="57BF688E" w14:textId="77777777" w:rsidR="009021F1" w:rsidRPr="00E33B7D" w:rsidRDefault="009021F1" w:rsidP="00E637E3">
            <w:pPr>
              <w:numPr>
                <w:ilvl w:val="0"/>
                <w:numId w:val="30"/>
              </w:numPr>
              <w:tabs>
                <w:tab w:val="clear" w:pos="360"/>
              </w:tabs>
              <w:ind w:hanging="291"/>
              <w:rPr>
                <w:rFonts w:cs="Arial"/>
                <w:sz w:val="20"/>
                <w:szCs w:val="20"/>
              </w:rPr>
            </w:pPr>
            <w:r w:rsidRPr="00E33B7D">
              <w:rPr>
                <w:rFonts w:cs="Arial"/>
                <w:sz w:val="20"/>
                <w:szCs w:val="20"/>
              </w:rPr>
              <w:t>Mesures d’urgence et de secours en cas d’intoxication ;</w:t>
            </w:r>
          </w:p>
          <w:p w14:paraId="651AE17B" w14:textId="77777777" w:rsidR="009021F1" w:rsidRPr="00E33B7D" w:rsidRDefault="009021F1" w:rsidP="00E637E3">
            <w:pPr>
              <w:numPr>
                <w:ilvl w:val="0"/>
                <w:numId w:val="30"/>
              </w:numPr>
              <w:tabs>
                <w:tab w:val="clear" w:pos="360"/>
              </w:tabs>
              <w:ind w:hanging="291"/>
              <w:rPr>
                <w:rFonts w:cs="Arial"/>
                <w:sz w:val="20"/>
                <w:szCs w:val="20"/>
              </w:rPr>
            </w:pPr>
            <w:r w:rsidRPr="00E33B7D">
              <w:rPr>
                <w:rFonts w:cs="Arial"/>
                <w:sz w:val="20"/>
                <w:szCs w:val="20"/>
              </w:rPr>
              <w:t>Analyses, contrôle, surveillance et suivi.</w:t>
            </w:r>
          </w:p>
        </w:tc>
      </w:tr>
      <w:tr w:rsidR="009021F1" w:rsidRPr="007179F2" w14:paraId="7876C663" w14:textId="77777777" w:rsidTr="00E637E3">
        <w:tc>
          <w:tcPr>
            <w:tcW w:w="9067" w:type="dxa"/>
          </w:tcPr>
          <w:p w14:paraId="3676740C" w14:textId="77777777" w:rsidR="009021F1" w:rsidRPr="00E33B7D" w:rsidRDefault="009021F1" w:rsidP="00E637E3">
            <w:pPr>
              <w:pStyle w:val="Pieddepage"/>
              <w:rPr>
                <w:rFonts w:ascii="Arial" w:hAnsi="Arial" w:cs="Arial"/>
                <w:i/>
              </w:rPr>
            </w:pPr>
            <w:r w:rsidRPr="00E33B7D">
              <w:rPr>
                <w:rFonts w:ascii="Arial" w:hAnsi="Arial" w:cs="Arial"/>
                <w:i/>
              </w:rPr>
              <w:t>Mécanisme de gestion des plaintes</w:t>
            </w:r>
          </w:p>
          <w:p w14:paraId="794EBD3C" w14:textId="77777777" w:rsidR="009021F1" w:rsidRPr="00E33B7D" w:rsidRDefault="009021F1" w:rsidP="00E637E3">
            <w:pPr>
              <w:numPr>
                <w:ilvl w:val="0"/>
                <w:numId w:val="30"/>
              </w:numPr>
              <w:tabs>
                <w:tab w:val="clear" w:pos="360"/>
              </w:tabs>
              <w:ind w:hanging="291"/>
              <w:rPr>
                <w:rFonts w:cs="Arial"/>
                <w:sz w:val="20"/>
                <w:szCs w:val="20"/>
              </w:rPr>
            </w:pPr>
            <w:r w:rsidRPr="00E33B7D">
              <w:rPr>
                <w:rFonts w:cs="Arial"/>
                <w:sz w:val="20"/>
                <w:szCs w:val="20"/>
              </w:rPr>
              <w:t>Coordination du mécanisme de gestion des plaintes globales ;</w:t>
            </w:r>
          </w:p>
          <w:p w14:paraId="5CBE8E92" w14:textId="77777777" w:rsidR="009021F1" w:rsidRPr="00E33B7D" w:rsidRDefault="009021F1" w:rsidP="00E637E3">
            <w:pPr>
              <w:numPr>
                <w:ilvl w:val="0"/>
                <w:numId w:val="30"/>
              </w:numPr>
              <w:tabs>
                <w:tab w:val="clear" w:pos="360"/>
              </w:tabs>
              <w:ind w:hanging="291"/>
              <w:rPr>
                <w:rFonts w:cs="Arial"/>
                <w:sz w:val="20"/>
                <w:szCs w:val="20"/>
              </w:rPr>
            </w:pPr>
            <w:r w:rsidRPr="00E33B7D">
              <w:rPr>
                <w:rFonts w:cs="Arial"/>
                <w:sz w:val="20"/>
                <w:szCs w:val="20"/>
              </w:rPr>
              <w:t>Mise en place des procédures spécifiques à la gestion éthique et confidentielle des plaintes liées à l’EAS/HS ;</w:t>
            </w:r>
          </w:p>
          <w:p w14:paraId="157066E9" w14:textId="77777777" w:rsidR="009021F1" w:rsidRPr="00E33B7D" w:rsidRDefault="009021F1" w:rsidP="00E637E3">
            <w:pPr>
              <w:numPr>
                <w:ilvl w:val="0"/>
                <w:numId w:val="30"/>
              </w:numPr>
              <w:tabs>
                <w:tab w:val="clear" w:pos="360"/>
              </w:tabs>
              <w:ind w:hanging="291"/>
              <w:rPr>
                <w:rFonts w:cs="Arial"/>
                <w:sz w:val="20"/>
                <w:szCs w:val="20"/>
              </w:rPr>
            </w:pPr>
            <w:r w:rsidRPr="00E33B7D">
              <w:rPr>
                <w:rFonts w:cs="Arial"/>
                <w:sz w:val="20"/>
                <w:szCs w:val="20"/>
              </w:rPr>
              <w:t>Procédure d’enregistrement et de traitement ;</w:t>
            </w:r>
          </w:p>
          <w:p w14:paraId="1428B364" w14:textId="77777777" w:rsidR="009021F1" w:rsidRPr="00E33B7D" w:rsidRDefault="009021F1" w:rsidP="00E637E3">
            <w:pPr>
              <w:numPr>
                <w:ilvl w:val="0"/>
                <w:numId w:val="30"/>
              </w:numPr>
              <w:tabs>
                <w:tab w:val="clear" w:pos="360"/>
              </w:tabs>
              <w:ind w:hanging="291"/>
              <w:rPr>
                <w:rFonts w:cs="Arial"/>
                <w:i/>
                <w:sz w:val="20"/>
                <w:szCs w:val="20"/>
              </w:rPr>
            </w:pPr>
            <w:r w:rsidRPr="00E33B7D">
              <w:rPr>
                <w:rFonts w:cs="Arial"/>
                <w:sz w:val="20"/>
                <w:szCs w:val="20"/>
              </w:rPr>
              <w:t>Niveau de traitement, types d’instances et composition.</w:t>
            </w:r>
            <w:r w:rsidRPr="00E33B7D">
              <w:rPr>
                <w:rFonts w:cs="Arial"/>
                <w:i/>
                <w:sz w:val="20"/>
                <w:szCs w:val="20"/>
              </w:rPr>
              <w:t xml:space="preserve"> </w:t>
            </w:r>
          </w:p>
        </w:tc>
      </w:tr>
    </w:tbl>
    <w:p w14:paraId="7FA5B39B" w14:textId="77777777" w:rsidR="009021F1" w:rsidRPr="00E33B7D" w:rsidRDefault="009021F1" w:rsidP="009021F1">
      <w:pPr>
        <w:rPr>
          <w:szCs w:val="21"/>
        </w:rPr>
      </w:pPr>
    </w:p>
    <w:p w14:paraId="12E83407" w14:textId="77777777" w:rsidR="009021F1" w:rsidRPr="00E33B7D" w:rsidRDefault="009021F1" w:rsidP="009021F1">
      <w:pPr>
        <w:pStyle w:val="Titre2"/>
        <w:numPr>
          <w:ilvl w:val="2"/>
          <w:numId w:val="4"/>
        </w:numPr>
        <w:ind w:left="1560" w:hanging="709"/>
        <w:rPr>
          <w:rFonts w:cs="Arial"/>
          <w:i/>
          <w:szCs w:val="21"/>
        </w:rPr>
      </w:pPr>
      <w:bookmarkStart w:id="375" w:name="_Toc90471481"/>
      <w:r w:rsidRPr="00E33B7D">
        <w:rPr>
          <w:rFonts w:cs="Arial"/>
          <w:i/>
          <w:szCs w:val="21"/>
        </w:rPr>
        <w:t>Programmes de sensibilisation et de mobilisation au niveau provincial/communal/territorial</w:t>
      </w:r>
      <w:bookmarkEnd w:id="375"/>
    </w:p>
    <w:p w14:paraId="7120A79D" w14:textId="77777777" w:rsidR="009021F1" w:rsidRPr="00E33B7D" w:rsidRDefault="009021F1" w:rsidP="009021F1">
      <w:pPr>
        <w:rPr>
          <w:rFonts w:cs="Arial"/>
          <w:szCs w:val="21"/>
        </w:rPr>
      </w:pPr>
    </w:p>
    <w:p w14:paraId="0CCB1F49" w14:textId="77777777" w:rsidR="009021F1" w:rsidRPr="00E33B7D" w:rsidRDefault="009021F1" w:rsidP="009021F1">
      <w:pPr>
        <w:pStyle w:val="Paragraphedeliste"/>
        <w:keepNext/>
        <w:numPr>
          <w:ilvl w:val="1"/>
          <w:numId w:val="11"/>
        </w:numPr>
        <w:tabs>
          <w:tab w:val="left" w:pos="720"/>
        </w:tabs>
        <w:spacing w:before="240" w:after="120"/>
        <w:contextualSpacing w:val="0"/>
        <w:jc w:val="left"/>
        <w:outlineLvl w:val="2"/>
        <w:rPr>
          <w:rFonts w:cs="Arial"/>
          <w:vanish/>
          <w:szCs w:val="21"/>
          <w:u w:val="single"/>
        </w:rPr>
      </w:pPr>
      <w:bookmarkStart w:id="376" w:name="_Toc90471482"/>
      <w:bookmarkEnd w:id="376"/>
    </w:p>
    <w:p w14:paraId="677BE0B3" w14:textId="77777777" w:rsidR="009021F1" w:rsidRPr="00E33B7D" w:rsidRDefault="009021F1" w:rsidP="009021F1">
      <w:pPr>
        <w:pStyle w:val="Paragraphedeliste"/>
        <w:keepNext/>
        <w:numPr>
          <w:ilvl w:val="1"/>
          <w:numId w:val="11"/>
        </w:numPr>
        <w:tabs>
          <w:tab w:val="left" w:pos="720"/>
        </w:tabs>
        <w:spacing w:before="240" w:after="120"/>
        <w:contextualSpacing w:val="0"/>
        <w:jc w:val="left"/>
        <w:outlineLvl w:val="2"/>
        <w:rPr>
          <w:rFonts w:cs="Arial"/>
          <w:vanish/>
          <w:szCs w:val="21"/>
          <w:u w:val="single"/>
        </w:rPr>
      </w:pPr>
      <w:bookmarkStart w:id="377" w:name="_Toc90471483"/>
      <w:bookmarkEnd w:id="377"/>
    </w:p>
    <w:p w14:paraId="1668212D" w14:textId="77777777" w:rsidR="009021F1" w:rsidRPr="00E33B7D" w:rsidRDefault="009021F1" w:rsidP="009021F1">
      <w:pPr>
        <w:pStyle w:val="Paragraphedeliste"/>
        <w:keepNext/>
        <w:numPr>
          <w:ilvl w:val="1"/>
          <w:numId w:val="11"/>
        </w:numPr>
        <w:tabs>
          <w:tab w:val="left" w:pos="720"/>
        </w:tabs>
        <w:spacing w:before="240" w:after="120"/>
        <w:contextualSpacing w:val="0"/>
        <w:jc w:val="left"/>
        <w:outlineLvl w:val="2"/>
        <w:rPr>
          <w:rFonts w:cs="Arial"/>
          <w:vanish/>
          <w:szCs w:val="21"/>
          <w:u w:val="single"/>
        </w:rPr>
      </w:pPr>
      <w:bookmarkStart w:id="378" w:name="_Toc90471484"/>
      <w:bookmarkEnd w:id="378"/>
    </w:p>
    <w:p w14:paraId="33CD6F46" w14:textId="77777777" w:rsidR="009021F1" w:rsidRPr="00E33B7D" w:rsidRDefault="009021F1" w:rsidP="009021F1">
      <w:pPr>
        <w:pStyle w:val="Paragraphedeliste"/>
        <w:keepNext/>
        <w:numPr>
          <w:ilvl w:val="1"/>
          <w:numId w:val="15"/>
        </w:numPr>
        <w:tabs>
          <w:tab w:val="left" w:pos="720"/>
        </w:tabs>
        <w:spacing w:before="240" w:after="120"/>
        <w:contextualSpacing w:val="0"/>
        <w:jc w:val="left"/>
        <w:outlineLvl w:val="2"/>
        <w:rPr>
          <w:rFonts w:cs="Arial"/>
          <w:vanish/>
          <w:szCs w:val="21"/>
          <w:u w:val="single"/>
        </w:rPr>
      </w:pPr>
      <w:bookmarkStart w:id="379" w:name="_Toc90471485"/>
      <w:bookmarkEnd w:id="379"/>
    </w:p>
    <w:p w14:paraId="6B32A58C" w14:textId="77777777" w:rsidR="009021F1" w:rsidRPr="00E33B7D" w:rsidRDefault="009021F1" w:rsidP="009021F1">
      <w:pPr>
        <w:pStyle w:val="Paragraphedeliste"/>
        <w:keepNext/>
        <w:numPr>
          <w:ilvl w:val="0"/>
          <w:numId w:val="16"/>
        </w:numPr>
        <w:spacing w:before="240" w:after="120"/>
        <w:contextualSpacing w:val="0"/>
        <w:jc w:val="left"/>
        <w:outlineLvl w:val="2"/>
        <w:rPr>
          <w:rFonts w:cs="Arial"/>
          <w:vanish/>
          <w:szCs w:val="21"/>
          <w:u w:val="single"/>
        </w:rPr>
      </w:pPr>
      <w:bookmarkStart w:id="380" w:name="_Toc90471486"/>
      <w:bookmarkEnd w:id="380"/>
    </w:p>
    <w:p w14:paraId="1105D2E4" w14:textId="77777777" w:rsidR="009021F1" w:rsidRPr="00E33B7D" w:rsidRDefault="009021F1" w:rsidP="009021F1">
      <w:pPr>
        <w:pStyle w:val="Paragraphedeliste"/>
        <w:keepNext/>
        <w:numPr>
          <w:ilvl w:val="0"/>
          <w:numId w:val="16"/>
        </w:numPr>
        <w:spacing w:before="240" w:after="120"/>
        <w:contextualSpacing w:val="0"/>
        <w:jc w:val="left"/>
        <w:outlineLvl w:val="2"/>
        <w:rPr>
          <w:rFonts w:cs="Arial"/>
          <w:vanish/>
          <w:szCs w:val="21"/>
          <w:u w:val="single"/>
        </w:rPr>
      </w:pPr>
      <w:bookmarkStart w:id="381" w:name="_Toc90471487"/>
      <w:bookmarkEnd w:id="381"/>
    </w:p>
    <w:p w14:paraId="27781F04" w14:textId="77777777" w:rsidR="009021F1" w:rsidRPr="00E33B7D" w:rsidRDefault="009021F1" w:rsidP="009021F1">
      <w:pPr>
        <w:pStyle w:val="Paragraphedeliste"/>
        <w:keepNext/>
        <w:numPr>
          <w:ilvl w:val="1"/>
          <w:numId w:val="16"/>
        </w:numPr>
        <w:spacing w:before="240" w:after="120"/>
        <w:contextualSpacing w:val="0"/>
        <w:jc w:val="left"/>
        <w:outlineLvl w:val="2"/>
        <w:rPr>
          <w:rFonts w:cs="Arial"/>
          <w:vanish/>
          <w:szCs w:val="21"/>
          <w:u w:val="single"/>
        </w:rPr>
      </w:pPr>
      <w:bookmarkStart w:id="382" w:name="_Toc90471488"/>
      <w:bookmarkEnd w:id="382"/>
    </w:p>
    <w:p w14:paraId="464A9A0B" w14:textId="77777777" w:rsidR="009021F1" w:rsidRPr="00E33B7D" w:rsidRDefault="009021F1" w:rsidP="009021F1">
      <w:pPr>
        <w:pStyle w:val="Titre2"/>
        <w:rPr>
          <w:rFonts w:cs="Arial"/>
          <w:i/>
          <w:szCs w:val="21"/>
        </w:rPr>
      </w:pPr>
      <w:bookmarkStart w:id="383" w:name="_Toc90471489"/>
      <w:r w:rsidRPr="00E33B7D">
        <w:rPr>
          <w:rFonts w:cs="Arial"/>
          <w:i/>
          <w:szCs w:val="21"/>
        </w:rPr>
        <w:t>Surveillance environnementale et sociale</w:t>
      </w:r>
      <w:bookmarkEnd w:id="383"/>
    </w:p>
    <w:p w14:paraId="37047DAD" w14:textId="77777777" w:rsidR="009021F1" w:rsidRPr="00E33B7D" w:rsidRDefault="009021F1" w:rsidP="009021F1">
      <w:pPr>
        <w:autoSpaceDE w:val="0"/>
        <w:autoSpaceDN w:val="0"/>
        <w:adjustRightInd w:val="0"/>
        <w:rPr>
          <w:rFonts w:eastAsia="Calibri" w:cs="Arial"/>
          <w:szCs w:val="21"/>
        </w:rPr>
      </w:pPr>
    </w:p>
    <w:p w14:paraId="42561BFB" w14:textId="77777777" w:rsidR="009021F1" w:rsidRPr="00E33B7D" w:rsidRDefault="009021F1" w:rsidP="009021F1">
      <w:pPr>
        <w:rPr>
          <w:szCs w:val="21"/>
        </w:rPr>
      </w:pPr>
      <w:r w:rsidRPr="00E33B7D">
        <w:rPr>
          <w:szCs w:val="21"/>
        </w:rPr>
        <w:t xml:space="preserve">Dans un souci d’appropriation et de pérennisation des acquis du Projet par les communautés de base dans les municipalités ciblées, PNDA, en rapport avec les provinces/communes/territoires, accompagnera le processus de préparation et de mise en œuvre des activités du PNDA par des séances d’information, de sensibilisation et de formation pour un changement de comportement. </w:t>
      </w:r>
    </w:p>
    <w:p w14:paraId="7C7C469E" w14:textId="77777777" w:rsidR="009021F1" w:rsidRPr="00E33B7D" w:rsidRDefault="009021F1" w:rsidP="009021F1">
      <w:pPr>
        <w:rPr>
          <w:szCs w:val="21"/>
        </w:rPr>
      </w:pPr>
    </w:p>
    <w:p w14:paraId="46AE24D1" w14:textId="77777777" w:rsidR="009021F1" w:rsidRPr="00E33B7D" w:rsidRDefault="009021F1" w:rsidP="009021F1">
      <w:pPr>
        <w:rPr>
          <w:szCs w:val="21"/>
        </w:rPr>
      </w:pPr>
      <w:r w:rsidRPr="00E33B7D">
        <w:rPr>
          <w:szCs w:val="21"/>
        </w:rPr>
        <w:t xml:space="preserve">Le SSE, le SSS et le SVBG coordonneront la mise en œuvre des campagnes d’information et de sensibilisation auprès des communes/territoires/collectivités et villages bénéficiaires, en rapport avec les PFES Territoires, notamment sur la nature des travaux et les enjeux environnementaux et sociaux lors de la mise en œuvre des activités du PNDA. Dans ce processus, les comités locaux, les chefs de quartiers, les chefs des villages, les ONG locales et autres associations de quartiers y compris les associations des femmes devront être impliqués au premier plan. </w:t>
      </w:r>
    </w:p>
    <w:p w14:paraId="21C744DD" w14:textId="77777777" w:rsidR="009021F1" w:rsidRPr="00E33B7D" w:rsidRDefault="009021F1" w:rsidP="009021F1">
      <w:pPr>
        <w:rPr>
          <w:szCs w:val="21"/>
        </w:rPr>
      </w:pPr>
    </w:p>
    <w:p w14:paraId="74A98B14" w14:textId="77777777" w:rsidR="009021F1" w:rsidRPr="00E33B7D" w:rsidRDefault="009021F1" w:rsidP="009021F1">
      <w:pPr>
        <w:rPr>
          <w:szCs w:val="21"/>
        </w:rPr>
      </w:pPr>
      <w:r w:rsidRPr="00E33B7D">
        <w:rPr>
          <w:szCs w:val="21"/>
        </w:rPr>
        <w:t xml:space="preserve">Une ONG avec une expertise confirmée dans ce domaine devrait être retenue pour effectuer ces prestations. Les objectifs spécifiques de cette prestation sont de : préparer la population à assurer l'entretien et la gestion des infrastructures; sensibiliser la population sur les aspects d’hygiène – santé, y compris COVID-19 ; les IST et le VIH/SIDA ; sensibiliser les agents communaux/territoriaux concernés par l'entretien des infrastructures ; assurer le suivi et l'accompagnement des solutions mises en place ; assurer l’interface entre les différents acteurs du Projet (élus locaux, population, associations, entreprises) et gérer les conflits ; organiser des séances d'information dans les quartiers des communes/territoires/villages ciblés ; organiser des assemblées populaires dans chaque communes/territoires/villages; sensibiliser les ménages par le biais des animateurs locaux préalablement formés ; organiser des émissions de stations radios locales; mettre en place des affiches d’information, etc. </w:t>
      </w:r>
    </w:p>
    <w:p w14:paraId="27497255" w14:textId="77777777" w:rsidR="009021F1" w:rsidRPr="00E33B7D" w:rsidRDefault="009021F1" w:rsidP="009021F1">
      <w:pPr>
        <w:rPr>
          <w:szCs w:val="21"/>
        </w:rPr>
      </w:pPr>
    </w:p>
    <w:p w14:paraId="47B3E84B" w14:textId="77777777" w:rsidR="009021F1" w:rsidRPr="00E33B7D" w:rsidRDefault="009021F1" w:rsidP="009021F1">
      <w:pPr>
        <w:rPr>
          <w:szCs w:val="21"/>
        </w:rPr>
      </w:pPr>
      <w:r w:rsidRPr="00E33B7D">
        <w:rPr>
          <w:szCs w:val="21"/>
        </w:rPr>
        <w:t>Il sied de signaler que les ONG spécialisées en VBG réaliseront la sensibilisation sur les aspects liés aux VBG, y compris l’EAS et le HS, en faveur des hommes et des femmes dans les communautés, ainsi que des consultations indépendantes avec les femmes lors des groupes de discussion réservés aux femmes et animées par des femmes, et fourniront des services directs, ainsi que des référencements des survivant(e)s d’EAS/HS auprès des prestataires de services.</w:t>
      </w:r>
    </w:p>
    <w:p w14:paraId="5BE34EAD" w14:textId="77777777" w:rsidR="009021F1" w:rsidRPr="00E33B7D" w:rsidRDefault="009021F1" w:rsidP="009021F1">
      <w:pPr>
        <w:rPr>
          <w:szCs w:val="21"/>
        </w:rPr>
      </w:pPr>
    </w:p>
    <w:p w14:paraId="3A4E1CFD" w14:textId="77777777" w:rsidR="009021F1" w:rsidRPr="00E33B7D" w:rsidRDefault="009021F1" w:rsidP="009021F1">
      <w:pPr>
        <w:rPr>
          <w:szCs w:val="21"/>
        </w:rPr>
      </w:pPr>
      <w:r w:rsidRPr="00E33B7D">
        <w:rPr>
          <w:szCs w:val="21"/>
        </w:rPr>
        <w:t>Les ONG spécialisées en VBG assureront également des campagnes de sensibilisation sur les concepts de base sur l’EAS/HS, les comportements interdits dans le contenu du code de bonne conduite des entreprises et de travailleurs engagés au Projet, et aussi les procédures dans le MGP pour la gestion éthique et confidentielle des plaintes d’EAS/HS.</w:t>
      </w:r>
    </w:p>
    <w:p w14:paraId="61BADD17" w14:textId="77777777" w:rsidR="009021F1" w:rsidRPr="00E33B7D" w:rsidRDefault="009021F1" w:rsidP="009021F1">
      <w:pPr>
        <w:rPr>
          <w:szCs w:val="21"/>
        </w:rPr>
      </w:pPr>
    </w:p>
    <w:p w14:paraId="58C0AA9F" w14:textId="77777777" w:rsidR="009021F1" w:rsidRPr="00E33B7D" w:rsidRDefault="009021F1" w:rsidP="009021F1">
      <w:pPr>
        <w:rPr>
          <w:szCs w:val="21"/>
        </w:rPr>
      </w:pPr>
      <w:r w:rsidRPr="00E33B7D">
        <w:rPr>
          <w:szCs w:val="21"/>
        </w:rPr>
        <w:t>Avant les séances de sensibilisation, les sensibilisateurs/-trices devront avoir assez d’information sur la cartographie de différents services susceptibles d’accueillir les survivant(e)s pour les référencements en cas d’incidents d’EAS/HS. L’information, l’éducation et la Communication pour le Changement de Comportement (CCC) doivent être axées principalement sur les problèmes environnementaux et sociaux (dont l’EAS/HS) liés aux sous-projets du PNDA ainsi que sur les stratégies à adopter pour y faire face. Ces interventions doivent viser à modifier qualitativement et de façon durable le comportement de la population communale. Leur mise en œuvre réussie suppose une implication dynamique des services communaux et de toutes les composantes de la communauté. Dans cette optique, les élus locaux et leurs équipes techniques doivent être davantage encadrés pour mieux prendre en charge les activités de CCC. La production de matériel pédagogique doit être développée et il importe d’utiliser rationnellement tous les canaux et supports d’information existants pour la transmission de messages appropriés. Les structures fédératives des ONG, les comités locaux, les chefs de quartier, et autres OCB seront aussi mises à contribution dans la sensibilisation des populations.</w:t>
      </w:r>
    </w:p>
    <w:p w14:paraId="725E8BD9" w14:textId="77777777" w:rsidR="009021F1" w:rsidRPr="00E33B7D" w:rsidRDefault="009021F1" w:rsidP="009021F1">
      <w:pPr>
        <w:rPr>
          <w:szCs w:val="21"/>
        </w:rPr>
      </w:pPr>
    </w:p>
    <w:p w14:paraId="3027E7DD" w14:textId="77777777" w:rsidR="009021F1" w:rsidRPr="00E33B7D" w:rsidRDefault="009021F1" w:rsidP="009021F1">
      <w:pPr>
        <w:pStyle w:val="Lgende"/>
        <w:rPr>
          <w:szCs w:val="21"/>
        </w:rPr>
      </w:pPr>
      <w:r w:rsidRPr="00E33B7D">
        <w:rPr>
          <w:szCs w:val="21"/>
        </w:rPr>
        <w:t xml:space="preserve">Tableau </w:t>
      </w:r>
      <w:r w:rsidRPr="00E33B7D">
        <w:rPr>
          <w:szCs w:val="21"/>
        </w:rPr>
        <w:fldChar w:fldCharType="begin"/>
      </w:r>
      <w:r w:rsidRPr="00E33B7D">
        <w:rPr>
          <w:szCs w:val="21"/>
        </w:rPr>
        <w:instrText xml:space="preserve"> SEQ Tableau \* ARABIC </w:instrText>
      </w:r>
      <w:r w:rsidRPr="00E33B7D">
        <w:rPr>
          <w:szCs w:val="21"/>
        </w:rPr>
        <w:fldChar w:fldCharType="separate"/>
      </w:r>
      <w:r>
        <w:rPr>
          <w:noProof/>
          <w:szCs w:val="21"/>
        </w:rPr>
        <w:t>20</w:t>
      </w:r>
      <w:r w:rsidRPr="00E33B7D">
        <w:rPr>
          <w:szCs w:val="21"/>
        </w:rPr>
        <w:fldChar w:fldCharType="end"/>
      </w:r>
      <w:r w:rsidRPr="00E33B7D">
        <w:rPr>
          <w:szCs w:val="21"/>
        </w:rPr>
        <w:t>. Information et Sensibilisation</w:t>
      </w:r>
    </w:p>
    <w:p w14:paraId="05F6CFA6" w14:textId="77777777" w:rsidR="009021F1" w:rsidRPr="00E33B7D" w:rsidRDefault="009021F1" w:rsidP="009021F1">
      <w:pPr>
        <w:rPr>
          <w:szCs w:val="21"/>
          <w:lang w:eastAsia="en-US"/>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3260"/>
        <w:gridCol w:w="2054"/>
      </w:tblGrid>
      <w:tr w:rsidR="009021F1" w:rsidRPr="00E33B7D" w14:paraId="0CEADFE3" w14:textId="77777777" w:rsidTr="00E637E3">
        <w:trPr>
          <w:trHeight w:val="310"/>
        </w:trPr>
        <w:tc>
          <w:tcPr>
            <w:tcW w:w="3686" w:type="dxa"/>
          </w:tcPr>
          <w:p w14:paraId="6888B5EB" w14:textId="77777777" w:rsidR="009021F1" w:rsidRPr="00E33B7D" w:rsidRDefault="009021F1" w:rsidP="00E637E3">
            <w:pPr>
              <w:jc w:val="center"/>
              <w:rPr>
                <w:bCs/>
                <w:sz w:val="20"/>
                <w:szCs w:val="20"/>
              </w:rPr>
            </w:pPr>
            <w:r w:rsidRPr="00E33B7D">
              <w:rPr>
                <w:bCs/>
                <w:sz w:val="20"/>
                <w:szCs w:val="20"/>
              </w:rPr>
              <w:t>Acteurs concernés</w:t>
            </w:r>
          </w:p>
        </w:tc>
        <w:tc>
          <w:tcPr>
            <w:tcW w:w="3260" w:type="dxa"/>
          </w:tcPr>
          <w:p w14:paraId="5FB7F56D" w14:textId="77777777" w:rsidR="009021F1" w:rsidRPr="00E33B7D" w:rsidRDefault="009021F1" w:rsidP="00E637E3">
            <w:pPr>
              <w:jc w:val="center"/>
              <w:rPr>
                <w:bCs/>
                <w:sz w:val="20"/>
                <w:szCs w:val="20"/>
              </w:rPr>
            </w:pPr>
            <w:r w:rsidRPr="00E33B7D">
              <w:rPr>
                <w:bCs/>
                <w:sz w:val="20"/>
                <w:szCs w:val="20"/>
              </w:rPr>
              <w:t>Thèmes</w:t>
            </w:r>
          </w:p>
        </w:tc>
        <w:tc>
          <w:tcPr>
            <w:tcW w:w="2054" w:type="dxa"/>
          </w:tcPr>
          <w:p w14:paraId="2F4F3682" w14:textId="77777777" w:rsidR="009021F1" w:rsidRPr="00E33B7D" w:rsidRDefault="009021F1" w:rsidP="00E637E3">
            <w:pPr>
              <w:jc w:val="center"/>
              <w:rPr>
                <w:bCs/>
                <w:sz w:val="20"/>
                <w:szCs w:val="20"/>
              </w:rPr>
            </w:pPr>
            <w:r w:rsidRPr="00E33B7D">
              <w:rPr>
                <w:bCs/>
                <w:sz w:val="20"/>
                <w:szCs w:val="20"/>
              </w:rPr>
              <w:t>Quantité</w:t>
            </w:r>
          </w:p>
        </w:tc>
      </w:tr>
      <w:tr w:rsidR="009021F1" w:rsidRPr="00E33B7D" w14:paraId="4278018D" w14:textId="77777777" w:rsidTr="00E637E3">
        <w:trPr>
          <w:trHeight w:val="1341"/>
        </w:trPr>
        <w:tc>
          <w:tcPr>
            <w:tcW w:w="3686" w:type="dxa"/>
          </w:tcPr>
          <w:p w14:paraId="299BC5F5" w14:textId="77777777" w:rsidR="009021F1" w:rsidRPr="00E33B7D" w:rsidRDefault="009021F1" w:rsidP="00E637E3">
            <w:pPr>
              <w:numPr>
                <w:ilvl w:val="0"/>
                <w:numId w:val="30"/>
              </w:numPr>
              <w:tabs>
                <w:tab w:val="clear" w:pos="360"/>
              </w:tabs>
              <w:ind w:hanging="291"/>
              <w:jc w:val="left"/>
              <w:rPr>
                <w:rFonts w:cs="Arial"/>
                <w:sz w:val="20"/>
                <w:szCs w:val="20"/>
              </w:rPr>
            </w:pPr>
            <w:r w:rsidRPr="00E33B7D">
              <w:rPr>
                <w:rFonts w:cs="Arial"/>
                <w:sz w:val="20"/>
                <w:szCs w:val="20"/>
              </w:rPr>
              <w:t xml:space="preserve">Populations, </w:t>
            </w:r>
          </w:p>
          <w:p w14:paraId="58060E36" w14:textId="77777777" w:rsidR="009021F1" w:rsidRPr="00E33B7D" w:rsidRDefault="009021F1" w:rsidP="00E637E3">
            <w:pPr>
              <w:numPr>
                <w:ilvl w:val="0"/>
                <w:numId w:val="30"/>
              </w:numPr>
              <w:tabs>
                <w:tab w:val="clear" w:pos="360"/>
              </w:tabs>
              <w:ind w:hanging="291"/>
              <w:jc w:val="left"/>
              <w:rPr>
                <w:rFonts w:cs="Arial"/>
                <w:sz w:val="20"/>
                <w:szCs w:val="20"/>
              </w:rPr>
            </w:pPr>
            <w:r w:rsidRPr="00E33B7D">
              <w:rPr>
                <w:rFonts w:cs="Arial"/>
                <w:sz w:val="20"/>
                <w:szCs w:val="20"/>
              </w:rPr>
              <w:t>Membres des Conseils municipaux</w:t>
            </w:r>
          </w:p>
          <w:p w14:paraId="7B5C0F05" w14:textId="77777777" w:rsidR="009021F1" w:rsidRPr="00E33B7D" w:rsidRDefault="009021F1" w:rsidP="00E637E3">
            <w:pPr>
              <w:numPr>
                <w:ilvl w:val="0"/>
                <w:numId w:val="30"/>
              </w:numPr>
              <w:tabs>
                <w:tab w:val="clear" w:pos="360"/>
              </w:tabs>
              <w:ind w:hanging="291"/>
              <w:jc w:val="left"/>
              <w:rPr>
                <w:sz w:val="20"/>
                <w:szCs w:val="20"/>
                <w:lang w:val="fr-CA"/>
              </w:rPr>
            </w:pPr>
            <w:r w:rsidRPr="00E33B7D">
              <w:rPr>
                <w:rFonts w:cs="Arial"/>
                <w:sz w:val="20"/>
                <w:szCs w:val="20"/>
              </w:rPr>
              <w:t>Associations locales y compris celles des femmes (comités locaux ; chefs de quartiers, ONG locales et ONG spécialisées pour la réalisation de la sensibilisation de lutte contre les VBG, etc.)</w:t>
            </w:r>
          </w:p>
        </w:tc>
        <w:tc>
          <w:tcPr>
            <w:tcW w:w="3260" w:type="dxa"/>
          </w:tcPr>
          <w:p w14:paraId="15B9381E" w14:textId="77777777" w:rsidR="009021F1" w:rsidRPr="00E33B7D" w:rsidRDefault="009021F1" w:rsidP="00E637E3">
            <w:pPr>
              <w:numPr>
                <w:ilvl w:val="0"/>
                <w:numId w:val="30"/>
              </w:numPr>
              <w:tabs>
                <w:tab w:val="clear" w:pos="360"/>
              </w:tabs>
              <w:ind w:hanging="291"/>
              <w:jc w:val="left"/>
              <w:rPr>
                <w:rFonts w:cs="Arial"/>
                <w:sz w:val="20"/>
                <w:szCs w:val="20"/>
              </w:rPr>
            </w:pPr>
            <w:r w:rsidRPr="00E33B7D">
              <w:rPr>
                <w:rFonts w:cs="Arial"/>
                <w:sz w:val="20"/>
                <w:szCs w:val="20"/>
              </w:rPr>
              <w:t>Campagnes d’information et de sensibilisation sur la nature des travaux, l’implication des acteurs locaux, les enjeux environnementaux et sociaux ;</w:t>
            </w:r>
          </w:p>
          <w:p w14:paraId="7DAA8FC4" w14:textId="77777777" w:rsidR="009021F1" w:rsidRPr="00E33B7D" w:rsidRDefault="009021F1" w:rsidP="00E637E3">
            <w:pPr>
              <w:numPr>
                <w:ilvl w:val="0"/>
                <w:numId w:val="30"/>
              </w:numPr>
              <w:tabs>
                <w:tab w:val="clear" w:pos="360"/>
              </w:tabs>
              <w:ind w:hanging="291"/>
              <w:jc w:val="left"/>
              <w:rPr>
                <w:rFonts w:cs="Arial"/>
                <w:sz w:val="20"/>
                <w:szCs w:val="20"/>
              </w:rPr>
            </w:pPr>
            <w:r w:rsidRPr="00E33B7D">
              <w:rPr>
                <w:rFonts w:cs="Arial"/>
                <w:sz w:val="20"/>
                <w:szCs w:val="20"/>
              </w:rPr>
              <w:t>Sensibilisation sur la sécurité et l’hygiène et le COVID-19 lors des travaux ;</w:t>
            </w:r>
          </w:p>
          <w:p w14:paraId="135A4D3D" w14:textId="77777777" w:rsidR="009021F1" w:rsidRPr="00E33B7D" w:rsidRDefault="009021F1" w:rsidP="00E637E3">
            <w:pPr>
              <w:numPr>
                <w:ilvl w:val="0"/>
                <w:numId w:val="30"/>
              </w:numPr>
              <w:tabs>
                <w:tab w:val="clear" w:pos="360"/>
              </w:tabs>
              <w:ind w:hanging="291"/>
              <w:jc w:val="left"/>
              <w:rPr>
                <w:rFonts w:cs="Arial"/>
                <w:sz w:val="20"/>
                <w:szCs w:val="20"/>
              </w:rPr>
            </w:pPr>
            <w:r w:rsidRPr="00E33B7D">
              <w:rPr>
                <w:rFonts w:cs="Arial"/>
                <w:sz w:val="20"/>
                <w:szCs w:val="20"/>
              </w:rPr>
              <w:t>Sensibilisation sur la lutte contre les IST et VIH/SIDA</w:t>
            </w:r>
          </w:p>
          <w:p w14:paraId="0A51DA88" w14:textId="77777777" w:rsidR="009021F1" w:rsidRPr="00E33B7D" w:rsidRDefault="009021F1" w:rsidP="00E637E3">
            <w:pPr>
              <w:numPr>
                <w:ilvl w:val="0"/>
                <w:numId w:val="30"/>
              </w:numPr>
              <w:tabs>
                <w:tab w:val="clear" w:pos="360"/>
              </w:tabs>
              <w:ind w:hanging="291"/>
              <w:jc w:val="left"/>
              <w:rPr>
                <w:rFonts w:cs="Arial"/>
                <w:sz w:val="20"/>
                <w:szCs w:val="20"/>
              </w:rPr>
            </w:pPr>
            <w:r w:rsidRPr="00E33B7D">
              <w:rPr>
                <w:rFonts w:cs="Arial"/>
                <w:sz w:val="20"/>
                <w:szCs w:val="20"/>
              </w:rPr>
              <w:t>Sensibilisation à la gestion des risques et catastrophes ;</w:t>
            </w:r>
          </w:p>
          <w:p w14:paraId="01393DD2" w14:textId="77777777" w:rsidR="009021F1" w:rsidRPr="00E33B7D" w:rsidRDefault="009021F1" w:rsidP="00E637E3">
            <w:pPr>
              <w:numPr>
                <w:ilvl w:val="0"/>
                <w:numId w:val="30"/>
              </w:numPr>
              <w:tabs>
                <w:tab w:val="clear" w:pos="360"/>
              </w:tabs>
              <w:ind w:hanging="291"/>
              <w:jc w:val="left"/>
              <w:rPr>
                <w:sz w:val="20"/>
                <w:szCs w:val="20"/>
                <w:lang w:val="fr-CA"/>
              </w:rPr>
            </w:pPr>
            <w:r w:rsidRPr="00E33B7D">
              <w:rPr>
                <w:rFonts w:cs="Arial"/>
                <w:sz w:val="20"/>
                <w:szCs w:val="20"/>
              </w:rPr>
              <w:t>Sensibilisation sur les causes et conséquences, les définitions et typologies possibles, les services disponibles, et les mesures d’atténuation des risques d’EAS/HS, parmi d’autres.</w:t>
            </w:r>
          </w:p>
        </w:tc>
        <w:tc>
          <w:tcPr>
            <w:tcW w:w="2054" w:type="dxa"/>
          </w:tcPr>
          <w:p w14:paraId="0C054D6D" w14:textId="77777777" w:rsidR="009021F1" w:rsidRPr="00E33B7D" w:rsidRDefault="009021F1" w:rsidP="00E637E3">
            <w:pPr>
              <w:jc w:val="left"/>
              <w:rPr>
                <w:sz w:val="20"/>
                <w:szCs w:val="20"/>
              </w:rPr>
            </w:pPr>
            <w:r w:rsidRPr="00E33B7D">
              <w:rPr>
                <w:sz w:val="20"/>
                <w:szCs w:val="20"/>
              </w:rPr>
              <w:t>5 campagnes dans chaque Commune et Territoire ciblés.</w:t>
            </w:r>
          </w:p>
        </w:tc>
      </w:tr>
    </w:tbl>
    <w:p w14:paraId="10E050FC" w14:textId="77777777" w:rsidR="009021F1" w:rsidRPr="00E33B7D" w:rsidRDefault="009021F1" w:rsidP="009021F1">
      <w:pPr>
        <w:pStyle w:val="Titre2"/>
        <w:numPr>
          <w:ilvl w:val="1"/>
          <w:numId w:val="4"/>
        </w:numPr>
        <w:ind w:left="851" w:hanging="425"/>
        <w:rPr>
          <w:rFonts w:cs="Arial"/>
          <w:b/>
          <w:szCs w:val="21"/>
        </w:rPr>
      </w:pPr>
      <w:bookmarkStart w:id="384" w:name="_Toc90471490"/>
      <w:r w:rsidRPr="00E33B7D">
        <w:rPr>
          <w:rFonts w:cs="Arial"/>
          <w:b/>
          <w:szCs w:val="21"/>
        </w:rPr>
        <w:t>Procédure de gestion environnementale et sociale en cas de situation d’urgence</w:t>
      </w:r>
      <w:bookmarkEnd w:id="384"/>
      <w:r w:rsidRPr="00E33B7D">
        <w:rPr>
          <w:rFonts w:cs="Arial"/>
          <w:b/>
          <w:szCs w:val="21"/>
        </w:rPr>
        <w:t xml:space="preserve"> </w:t>
      </w:r>
    </w:p>
    <w:p w14:paraId="088F8BBF" w14:textId="77777777" w:rsidR="009021F1" w:rsidRPr="00E33B7D" w:rsidRDefault="009021F1" w:rsidP="009021F1">
      <w:pPr>
        <w:rPr>
          <w:i/>
          <w:szCs w:val="21"/>
          <w:highlight w:val="yellow"/>
        </w:rPr>
      </w:pPr>
    </w:p>
    <w:p w14:paraId="05F0DAB5" w14:textId="77777777" w:rsidR="009021F1" w:rsidRPr="00E33B7D" w:rsidRDefault="009021F1" w:rsidP="009021F1">
      <w:pPr>
        <w:pStyle w:val="Titre2"/>
        <w:numPr>
          <w:ilvl w:val="2"/>
          <w:numId w:val="4"/>
        </w:numPr>
        <w:ind w:left="1560" w:hanging="709"/>
        <w:rPr>
          <w:rFonts w:cs="Arial"/>
          <w:iCs/>
          <w:szCs w:val="21"/>
        </w:rPr>
      </w:pPr>
      <w:bookmarkStart w:id="385" w:name="_Toc90471491"/>
      <w:r w:rsidRPr="00E33B7D">
        <w:rPr>
          <w:rFonts w:cs="Arial"/>
          <w:iCs/>
          <w:szCs w:val="21"/>
        </w:rPr>
        <w:t>Arrangement institutionnel pour la mise en œuvre de la CERC</w:t>
      </w:r>
      <w:bookmarkEnd w:id="385"/>
    </w:p>
    <w:p w14:paraId="04030DB3" w14:textId="77777777" w:rsidR="009021F1" w:rsidRPr="00E33B7D" w:rsidRDefault="009021F1" w:rsidP="009021F1">
      <w:pPr>
        <w:rPr>
          <w:szCs w:val="21"/>
          <w:highlight w:val="yellow"/>
        </w:rPr>
      </w:pPr>
    </w:p>
    <w:p w14:paraId="04314B7F" w14:textId="77777777" w:rsidR="009021F1" w:rsidRPr="00E33B7D" w:rsidRDefault="009021F1" w:rsidP="009021F1">
      <w:pPr>
        <w:rPr>
          <w:rFonts w:cs="Arial"/>
          <w:szCs w:val="21"/>
        </w:rPr>
      </w:pPr>
      <w:r w:rsidRPr="00E33B7D">
        <w:rPr>
          <w:rFonts w:cs="Arial"/>
          <w:szCs w:val="21"/>
        </w:rPr>
        <w:t>Comme mentionné ci-dessus, l’UNCP/PNDA est responsable de la mise en œuvre du sous-projet. Elle va préparer le dossier d'activation de la Composante CERC, y compris la déclaration de la catastrophe, la dernière évaluation d'impacts du rapport de situation et la liste des biens et travaux à inclure dans le Plan d'Actions d'Urgence (PAU/EAP).</w:t>
      </w:r>
    </w:p>
    <w:p w14:paraId="7229F4D7" w14:textId="77777777" w:rsidR="009021F1" w:rsidRPr="00E33B7D" w:rsidRDefault="009021F1" w:rsidP="009021F1">
      <w:pPr>
        <w:rPr>
          <w:rFonts w:cs="Arial"/>
          <w:szCs w:val="21"/>
        </w:rPr>
      </w:pPr>
    </w:p>
    <w:p w14:paraId="4EA2D4AA" w14:textId="77777777" w:rsidR="009021F1" w:rsidRPr="00E33B7D" w:rsidRDefault="009021F1" w:rsidP="009021F1">
      <w:pPr>
        <w:rPr>
          <w:rFonts w:cs="Arial"/>
          <w:szCs w:val="21"/>
        </w:rPr>
      </w:pPr>
      <w:r w:rsidRPr="00E33B7D">
        <w:rPr>
          <w:rFonts w:cs="Arial"/>
          <w:szCs w:val="21"/>
        </w:rPr>
        <w:t>Le tableau ci-dessous présente les étapes, actions à mener et la responsabilité institutionnelle de la mise en œuvre de la Composante CERC.</w:t>
      </w:r>
    </w:p>
    <w:p w14:paraId="57C561A3" w14:textId="77777777" w:rsidR="009021F1" w:rsidRPr="00E33B7D" w:rsidRDefault="009021F1" w:rsidP="009021F1">
      <w:pPr>
        <w:rPr>
          <w:rFonts w:cs="Arial"/>
          <w:szCs w:val="21"/>
        </w:rPr>
      </w:pPr>
    </w:p>
    <w:p w14:paraId="4A3F88ED" w14:textId="77777777" w:rsidR="009021F1" w:rsidRPr="00E33B7D" w:rsidRDefault="009021F1" w:rsidP="009021F1">
      <w:pPr>
        <w:rPr>
          <w:rFonts w:cs="Arial"/>
          <w:szCs w:val="21"/>
        </w:rPr>
      </w:pPr>
      <w:r w:rsidRPr="00E33B7D">
        <w:rPr>
          <w:rFonts w:cs="Arial"/>
          <w:szCs w:val="21"/>
        </w:rPr>
        <w:t xml:space="preserve">Tableau </w:t>
      </w:r>
      <w:r w:rsidRPr="00E33B7D">
        <w:rPr>
          <w:rFonts w:cs="Arial"/>
          <w:szCs w:val="21"/>
        </w:rPr>
        <w:fldChar w:fldCharType="begin"/>
      </w:r>
      <w:r w:rsidRPr="00E33B7D">
        <w:rPr>
          <w:rFonts w:cs="Arial"/>
          <w:szCs w:val="21"/>
        </w:rPr>
        <w:instrText xml:space="preserve"> SEQ Tableau \* ARABIC </w:instrText>
      </w:r>
      <w:r w:rsidRPr="00E33B7D">
        <w:rPr>
          <w:rFonts w:cs="Arial"/>
          <w:szCs w:val="21"/>
        </w:rPr>
        <w:fldChar w:fldCharType="separate"/>
      </w:r>
      <w:r>
        <w:rPr>
          <w:rFonts w:cs="Arial"/>
          <w:noProof/>
          <w:szCs w:val="21"/>
        </w:rPr>
        <w:t>21</w:t>
      </w:r>
      <w:r w:rsidRPr="00E33B7D">
        <w:rPr>
          <w:rFonts w:cs="Arial"/>
          <w:szCs w:val="21"/>
        </w:rPr>
        <w:fldChar w:fldCharType="end"/>
      </w:r>
      <w:r w:rsidRPr="00E33B7D">
        <w:rPr>
          <w:rFonts w:cs="Arial"/>
          <w:szCs w:val="21"/>
        </w:rPr>
        <w:t>. Étapes de mise en œuvre de CERC</w:t>
      </w:r>
    </w:p>
    <w:p w14:paraId="0274B65B" w14:textId="77777777" w:rsidR="009021F1" w:rsidRPr="00E33B7D" w:rsidRDefault="009021F1" w:rsidP="009021F1">
      <w:pPr>
        <w:rPr>
          <w:rFonts w:cs="Arial"/>
          <w:szCs w:val="21"/>
        </w:rPr>
      </w:pPr>
    </w:p>
    <w:tbl>
      <w:tblPr>
        <w:tblpPr w:leftFromText="180" w:rightFromText="180" w:vertAnchor="text" w:tblpX="-289" w:tblpY="1"/>
        <w:tblOverlap w:val="neve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379"/>
        <w:gridCol w:w="2657"/>
      </w:tblGrid>
      <w:tr w:rsidR="009021F1" w:rsidRPr="00EF43F1" w14:paraId="7410F32E" w14:textId="77777777" w:rsidTr="00E637E3">
        <w:trPr>
          <w:trHeight w:val="276"/>
          <w:tblHeader/>
        </w:trPr>
        <w:tc>
          <w:tcPr>
            <w:tcW w:w="1129" w:type="dxa"/>
            <w:shd w:val="clear" w:color="auto" w:fill="auto"/>
            <w:vAlign w:val="center"/>
          </w:tcPr>
          <w:p w14:paraId="528474C2" w14:textId="77777777" w:rsidR="009021F1" w:rsidRPr="00E33B7D" w:rsidRDefault="009021F1" w:rsidP="00E637E3">
            <w:pPr>
              <w:jc w:val="center"/>
              <w:rPr>
                <w:rFonts w:cs="Arial"/>
                <w:b/>
                <w:bCs/>
                <w:sz w:val="20"/>
                <w:szCs w:val="20"/>
              </w:rPr>
            </w:pPr>
            <w:r w:rsidRPr="00E33B7D">
              <w:rPr>
                <w:rFonts w:cs="Arial"/>
                <w:b/>
                <w:bCs/>
                <w:sz w:val="20"/>
                <w:szCs w:val="20"/>
              </w:rPr>
              <w:t>ÉTAPE</w:t>
            </w:r>
          </w:p>
        </w:tc>
        <w:tc>
          <w:tcPr>
            <w:tcW w:w="6379" w:type="dxa"/>
            <w:shd w:val="clear" w:color="auto" w:fill="auto"/>
          </w:tcPr>
          <w:p w14:paraId="3E801D0E" w14:textId="77777777" w:rsidR="009021F1" w:rsidRPr="00E33B7D" w:rsidRDefault="009021F1" w:rsidP="00E637E3">
            <w:pPr>
              <w:jc w:val="center"/>
              <w:rPr>
                <w:rFonts w:cs="Arial"/>
                <w:b/>
                <w:bCs/>
                <w:sz w:val="20"/>
                <w:szCs w:val="20"/>
              </w:rPr>
            </w:pPr>
            <w:r w:rsidRPr="00E33B7D">
              <w:rPr>
                <w:rFonts w:cs="Arial"/>
                <w:b/>
                <w:bCs/>
                <w:sz w:val="20"/>
                <w:szCs w:val="20"/>
              </w:rPr>
              <w:t>ACTIONS</w:t>
            </w:r>
          </w:p>
        </w:tc>
        <w:tc>
          <w:tcPr>
            <w:tcW w:w="2657" w:type="dxa"/>
            <w:shd w:val="clear" w:color="auto" w:fill="auto"/>
          </w:tcPr>
          <w:p w14:paraId="53E7861D" w14:textId="77777777" w:rsidR="009021F1" w:rsidRPr="00E33B7D" w:rsidRDefault="009021F1" w:rsidP="00E637E3">
            <w:pPr>
              <w:jc w:val="center"/>
              <w:rPr>
                <w:rFonts w:cs="Arial"/>
                <w:b/>
                <w:bCs/>
                <w:sz w:val="20"/>
                <w:szCs w:val="20"/>
              </w:rPr>
            </w:pPr>
            <w:r w:rsidRPr="00E33B7D">
              <w:rPr>
                <w:rFonts w:cs="Arial"/>
                <w:b/>
                <w:bCs/>
                <w:sz w:val="20"/>
                <w:szCs w:val="20"/>
              </w:rPr>
              <w:t>RESPONSABLE</w:t>
            </w:r>
          </w:p>
        </w:tc>
      </w:tr>
      <w:tr w:rsidR="009021F1" w:rsidRPr="00EF43F1" w14:paraId="25E9C31E" w14:textId="77777777" w:rsidTr="00E637E3">
        <w:trPr>
          <w:trHeight w:val="1828"/>
        </w:trPr>
        <w:tc>
          <w:tcPr>
            <w:tcW w:w="1129" w:type="dxa"/>
            <w:shd w:val="clear" w:color="auto" w:fill="auto"/>
            <w:vAlign w:val="center"/>
          </w:tcPr>
          <w:p w14:paraId="494E1416" w14:textId="77777777" w:rsidR="009021F1" w:rsidRPr="00E33B7D" w:rsidRDefault="009021F1" w:rsidP="00E637E3">
            <w:pPr>
              <w:rPr>
                <w:rFonts w:cs="Arial"/>
                <w:sz w:val="20"/>
                <w:szCs w:val="20"/>
              </w:rPr>
            </w:pPr>
          </w:p>
          <w:p w14:paraId="53656AE1" w14:textId="77777777" w:rsidR="009021F1" w:rsidRPr="00E33B7D" w:rsidRDefault="009021F1" w:rsidP="00E637E3">
            <w:pPr>
              <w:rPr>
                <w:rFonts w:cs="Arial"/>
                <w:sz w:val="20"/>
                <w:szCs w:val="20"/>
              </w:rPr>
            </w:pPr>
          </w:p>
          <w:p w14:paraId="74C2203D" w14:textId="77777777" w:rsidR="009021F1" w:rsidRPr="00E33B7D" w:rsidRDefault="009021F1" w:rsidP="00E637E3">
            <w:pPr>
              <w:rPr>
                <w:rFonts w:cs="Arial"/>
                <w:sz w:val="20"/>
                <w:szCs w:val="20"/>
              </w:rPr>
            </w:pPr>
          </w:p>
          <w:p w14:paraId="565BB095" w14:textId="77777777" w:rsidR="009021F1" w:rsidRPr="00E33B7D" w:rsidRDefault="009021F1" w:rsidP="00E637E3">
            <w:pPr>
              <w:rPr>
                <w:rFonts w:cs="Arial"/>
                <w:sz w:val="20"/>
                <w:szCs w:val="20"/>
              </w:rPr>
            </w:pPr>
          </w:p>
          <w:p w14:paraId="169217AD" w14:textId="77777777" w:rsidR="009021F1" w:rsidRPr="00E33B7D" w:rsidRDefault="009021F1" w:rsidP="00E637E3">
            <w:pPr>
              <w:rPr>
                <w:rFonts w:cs="Arial"/>
                <w:sz w:val="20"/>
                <w:szCs w:val="20"/>
              </w:rPr>
            </w:pPr>
          </w:p>
          <w:p w14:paraId="7DA30FA0" w14:textId="77777777" w:rsidR="009021F1" w:rsidRPr="00E33B7D" w:rsidRDefault="009021F1" w:rsidP="00E637E3">
            <w:pPr>
              <w:rPr>
                <w:rFonts w:cs="Arial"/>
                <w:sz w:val="20"/>
                <w:szCs w:val="20"/>
              </w:rPr>
            </w:pPr>
            <w:r w:rsidRPr="00E33B7D">
              <w:rPr>
                <w:rFonts w:cs="Arial"/>
                <w:sz w:val="20"/>
                <w:szCs w:val="20"/>
              </w:rPr>
              <w:t>Étape 1</w:t>
            </w:r>
          </w:p>
        </w:tc>
        <w:tc>
          <w:tcPr>
            <w:tcW w:w="6379" w:type="dxa"/>
            <w:shd w:val="clear" w:color="auto" w:fill="auto"/>
          </w:tcPr>
          <w:p w14:paraId="739B6DC6" w14:textId="77777777" w:rsidR="009021F1" w:rsidRPr="00E33B7D" w:rsidRDefault="009021F1" w:rsidP="00E637E3">
            <w:pPr>
              <w:rPr>
                <w:rFonts w:cs="Arial"/>
                <w:sz w:val="20"/>
                <w:szCs w:val="20"/>
              </w:rPr>
            </w:pPr>
            <w:r w:rsidRPr="00E33B7D">
              <w:rPr>
                <w:rFonts w:cs="Arial"/>
                <w:sz w:val="20"/>
                <w:szCs w:val="20"/>
              </w:rPr>
              <w:t>Décision de déclencher la CERC : En cas de déclaration officielle d’urgence sur la base d’une évaluation préliminaire des dommages et des besoins urgents, le Ministère des Finances (Gouverneur-pays), sur demande du Ministère de l’Agriculture et/ou du Ministère de Pêche et Elevage informera la Banque Mondiale de son intérêt à déclencher la CERC.</w:t>
            </w:r>
          </w:p>
        </w:tc>
        <w:tc>
          <w:tcPr>
            <w:tcW w:w="2657" w:type="dxa"/>
            <w:shd w:val="clear" w:color="auto" w:fill="auto"/>
          </w:tcPr>
          <w:p w14:paraId="2CCF407D" w14:textId="77777777" w:rsidR="009021F1" w:rsidRPr="00E33B7D" w:rsidRDefault="009021F1" w:rsidP="00E637E3">
            <w:pPr>
              <w:rPr>
                <w:rFonts w:cs="Arial"/>
                <w:sz w:val="20"/>
                <w:szCs w:val="20"/>
              </w:rPr>
            </w:pPr>
            <w:r w:rsidRPr="00E33B7D">
              <w:rPr>
                <w:rFonts w:cs="Arial"/>
                <w:sz w:val="20"/>
                <w:szCs w:val="20"/>
              </w:rPr>
              <w:t>Ministère des Finances, Ministère de l’Agriculture et le Ministère de Pêche et Elevage.</w:t>
            </w:r>
          </w:p>
        </w:tc>
      </w:tr>
      <w:tr w:rsidR="009021F1" w:rsidRPr="00EF43F1" w14:paraId="2CFC90A7" w14:textId="77777777" w:rsidTr="00E637E3">
        <w:trPr>
          <w:trHeight w:val="2975"/>
        </w:trPr>
        <w:tc>
          <w:tcPr>
            <w:tcW w:w="1129" w:type="dxa"/>
            <w:shd w:val="clear" w:color="auto" w:fill="auto"/>
            <w:vAlign w:val="center"/>
          </w:tcPr>
          <w:p w14:paraId="13EF2939" w14:textId="77777777" w:rsidR="009021F1" w:rsidRPr="00E33B7D" w:rsidRDefault="009021F1" w:rsidP="00E637E3">
            <w:pPr>
              <w:rPr>
                <w:rFonts w:cs="Arial"/>
                <w:sz w:val="20"/>
                <w:szCs w:val="20"/>
              </w:rPr>
            </w:pPr>
            <w:r w:rsidRPr="00E33B7D">
              <w:rPr>
                <w:rFonts w:cs="Arial"/>
                <w:sz w:val="20"/>
                <w:szCs w:val="20"/>
              </w:rPr>
              <w:t>Étape 2.</w:t>
            </w:r>
          </w:p>
        </w:tc>
        <w:tc>
          <w:tcPr>
            <w:tcW w:w="6379" w:type="dxa"/>
            <w:shd w:val="clear" w:color="auto" w:fill="auto"/>
          </w:tcPr>
          <w:p w14:paraId="590D2295" w14:textId="77777777" w:rsidR="009021F1" w:rsidRPr="00E33B7D" w:rsidRDefault="009021F1" w:rsidP="00E637E3">
            <w:pPr>
              <w:rPr>
                <w:rFonts w:cs="Arial"/>
                <w:sz w:val="20"/>
                <w:szCs w:val="20"/>
              </w:rPr>
            </w:pPr>
            <w:r w:rsidRPr="00E33B7D">
              <w:rPr>
                <w:rFonts w:cs="Arial"/>
                <w:sz w:val="20"/>
                <w:szCs w:val="20"/>
              </w:rPr>
              <w:t xml:space="preserve">Identification des activités d’urgence : Suite à la décision du Ministère des Finances de déclencher la CERC, ce dernier sollicitera le soutien de la Banque Mondiale par le biais du Ministère de l’Agriculture et le Ministère de Pêche et Elevage via l’UNCP/PNDA, dans la sélection d’une liste d’activités d’intervention d’urgence issue de la liste positive basée sur les résultats de l’évaluation préliminaire des dommages et des besoins urgents. Des informations récapitulatives seront préparées sur les activités proposées, notamment la nature et le montant des biens, le lieu et le type des services/des travaux d’urgence proposés et leurs spécifications techniques préliminaires ainsi que les coûts estimés. </w:t>
            </w:r>
          </w:p>
        </w:tc>
        <w:tc>
          <w:tcPr>
            <w:tcW w:w="2657" w:type="dxa"/>
            <w:shd w:val="clear" w:color="auto" w:fill="auto"/>
          </w:tcPr>
          <w:p w14:paraId="67F494C7" w14:textId="77777777" w:rsidR="009021F1" w:rsidRPr="00E33B7D" w:rsidRDefault="009021F1" w:rsidP="00E637E3">
            <w:pPr>
              <w:rPr>
                <w:rFonts w:cs="Arial"/>
                <w:sz w:val="20"/>
                <w:szCs w:val="20"/>
              </w:rPr>
            </w:pPr>
            <w:r w:rsidRPr="00E33B7D">
              <w:rPr>
                <w:rFonts w:cs="Arial"/>
                <w:sz w:val="20"/>
                <w:szCs w:val="20"/>
              </w:rPr>
              <w:t>Ministère de l’Agriculture et le Ministère de Pêche et Elevage, UNCP/PNDA et la Banque Mondiale.</w:t>
            </w:r>
          </w:p>
        </w:tc>
      </w:tr>
      <w:tr w:rsidR="009021F1" w:rsidRPr="00EF43F1" w14:paraId="6A2893C4" w14:textId="77777777" w:rsidTr="00E637E3">
        <w:trPr>
          <w:trHeight w:val="1401"/>
        </w:trPr>
        <w:tc>
          <w:tcPr>
            <w:tcW w:w="1129" w:type="dxa"/>
            <w:shd w:val="clear" w:color="auto" w:fill="auto"/>
            <w:vAlign w:val="center"/>
          </w:tcPr>
          <w:p w14:paraId="704621E5" w14:textId="77777777" w:rsidR="009021F1" w:rsidRPr="00E33B7D" w:rsidRDefault="009021F1" w:rsidP="00E637E3">
            <w:pPr>
              <w:rPr>
                <w:rFonts w:cs="Arial"/>
                <w:sz w:val="20"/>
                <w:szCs w:val="20"/>
              </w:rPr>
            </w:pPr>
          </w:p>
          <w:p w14:paraId="4D8F361E" w14:textId="77777777" w:rsidR="009021F1" w:rsidRPr="00E33B7D" w:rsidRDefault="009021F1" w:rsidP="00E637E3">
            <w:pPr>
              <w:rPr>
                <w:rFonts w:cs="Arial"/>
                <w:sz w:val="20"/>
                <w:szCs w:val="20"/>
              </w:rPr>
            </w:pPr>
            <w:r w:rsidRPr="00E33B7D">
              <w:rPr>
                <w:rFonts w:cs="Arial"/>
                <w:sz w:val="20"/>
                <w:szCs w:val="20"/>
              </w:rPr>
              <w:t>Étape 3.</w:t>
            </w:r>
          </w:p>
        </w:tc>
        <w:tc>
          <w:tcPr>
            <w:tcW w:w="6379" w:type="dxa"/>
            <w:shd w:val="clear" w:color="auto" w:fill="auto"/>
          </w:tcPr>
          <w:p w14:paraId="0A1BF458" w14:textId="77777777" w:rsidR="009021F1" w:rsidRPr="00E33B7D" w:rsidRDefault="009021F1" w:rsidP="00E637E3">
            <w:pPr>
              <w:rPr>
                <w:rFonts w:cs="Arial"/>
                <w:sz w:val="20"/>
                <w:szCs w:val="20"/>
              </w:rPr>
            </w:pPr>
            <w:r w:rsidRPr="00E33B7D">
              <w:rPr>
                <w:rFonts w:cs="Arial"/>
                <w:sz w:val="20"/>
                <w:szCs w:val="20"/>
              </w:rPr>
              <w:t>Demande d’activation : le Ministre en charge des finances enverra à la Banque Mondiale une lettre demandant l’activation de la CERC. Cette lettre comprendra la description de l’événement, les besoins, l’indication de la source de financement et le montant à réaffecter ainsi que la liste des activités à réaliser en réponse à l’urgence.</w:t>
            </w:r>
          </w:p>
        </w:tc>
        <w:tc>
          <w:tcPr>
            <w:tcW w:w="2657" w:type="dxa"/>
            <w:shd w:val="clear" w:color="auto" w:fill="auto"/>
          </w:tcPr>
          <w:p w14:paraId="6D798678" w14:textId="77777777" w:rsidR="009021F1" w:rsidRPr="00E33B7D" w:rsidRDefault="009021F1" w:rsidP="00E637E3">
            <w:pPr>
              <w:rPr>
                <w:rFonts w:cs="Arial"/>
                <w:sz w:val="20"/>
                <w:szCs w:val="20"/>
              </w:rPr>
            </w:pPr>
            <w:r w:rsidRPr="00E33B7D">
              <w:rPr>
                <w:rFonts w:cs="Arial"/>
                <w:sz w:val="20"/>
                <w:szCs w:val="20"/>
              </w:rPr>
              <w:t>Ministère des Finances et l’UNCP/PNDA</w:t>
            </w:r>
          </w:p>
        </w:tc>
      </w:tr>
      <w:tr w:rsidR="009021F1" w:rsidRPr="00EF43F1" w14:paraId="178AF7BE" w14:textId="77777777" w:rsidTr="00E637E3">
        <w:trPr>
          <w:trHeight w:val="786"/>
        </w:trPr>
        <w:tc>
          <w:tcPr>
            <w:tcW w:w="1129" w:type="dxa"/>
            <w:shd w:val="clear" w:color="auto" w:fill="auto"/>
          </w:tcPr>
          <w:p w14:paraId="31B9AEE1" w14:textId="77777777" w:rsidR="009021F1" w:rsidRPr="00E33B7D" w:rsidRDefault="009021F1" w:rsidP="00E637E3">
            <w:pPr>
              <w:rPr>
                <w:rFonts w:cs="Arial"/>
                <w:sz w:val="20"/>
                <w:szCs w:val="20"/>
              </w:rPr>
            </w:pPr>
          </w:p>
          <w:p w14:paraId="3B76BE10" w14:textId="77777777" w:rsidR="009021F1" w:rsidRPr="00E33B7D" w:rsidRDefault="009021F1" w:rsidP="00E637E3">
            <w:pPr>
              <w:rPr>
                <w:rFonts w:cs="Arial"/>
                <w:sz w:val="20"/>
                <w:szCs w:val="20"/>
              </w:rPr>
            </w:pPr>
            <w:r w:rsidRPr="00E33B7D">
              <w:rPr>
                <w:rFonts w:cs="Arial"/>
                <w:sz w:val="20"/>
                <w:szCs w:val="20"/>
              </w:rPr>
              <w:t>Étape 4.</w:t>
            </w:r>
          </w:p>
        </w:tc>
        <w:tc>
          <w:tcPr>
            <w:tcW w:w="6379" w:type="dxa"/>
            <w:shd w:val="clear" w:color="auto" w:fill="auto"/>
          </w:tcPr>
          <w:p w14:paraId="55663ADC" w14:textId="77777777" w:rsidR="009021F1" w:rsidRPr="00E33B7D" w:rsidRDefault="009021F1" w:rsidP="00E637E3">
            <w:pPr>
              <w:rPr>
                <w:rFonts w:cs="Arial"/>
                <w:sz w:val="20"/>
                <w:szCs w:val="20"/>
              </w:rPr>
            </w:pPr>
            <w:r w:rsidRPr="00E33B7D">
              <w:rPr>
                <w:rFonts w:cs="Arial"/>
                <w:sz w:val="20"/>
                <w:szCs w:val="20"/>
              </w:rPr>
              <w:t xml:space="preserve">Examen et approbation tacite de la Banque Mondiale : La Banque Mondiale, après examen positif de la demande d’activation, ne formule aucune objection.  </w:t>
            </w:r>
          </w:p>
        </w:tc>
        <w:tc>
          <w:tcPr>
            <w:tcW w:w="2657" w:type="dxa"/>
            <w:shd w:val="clear" w:color="auto" w:fill="auto"/>
          </w:tcPr>
          <w:p w14:paraId="4DECFBF6" w14:textId="77777777" w:rsidR="009021F1" w:rsidRPr="00E33B7D" w:rsidRDefault="009021F1" w:rsidP="00E637E3">
            <w:pPr>
              <w:rPr>
                <w:rFonts w:cs="Arial"/>
                <w:sz w:val="20"/>
                <w:szCs w:val="20"/>
              </w:rPr>
            </w:pPr>
            <w:r w:rsidRPr="00E33B7D">
              <w:rPr>
                <w:rFonts w:cs="Arial"/>
                <w:sz w:val="20"/>
                <w:szCs w:val="20"/>
              </w:rPr>
              <w:t>Banque Mondiale</w:t>
            </w:r>
          </w:p>
        </w:tc>
      </w:tr>
      <w:tr w:rsidR="009021F1" w:rsidRPr="00EF43F1" w14:paraId="237E6F77" w14:textId="77777777" w:rsidTr="00E637E3">
        <w:trPr>
          <w:trHeight w:val="513"/>
        </w:trPr>
        <w:tc>
          <w:tcPr>
            <w:tcW w:w="1129" w:type="dxa"/>
            <w:shd w:val="clear" w:color="auto" w:fill="auto"/>
          </w:tcPr>
          <w:p w14:paraId="494EF2AA" w14:textId="77777777" w:rsidR="009021F1" w:rsidRPr="00E33B7D" w:rsidRDefault="009021F1" w:rsidP="00E637E3">
            <w:pPr>
              <w:rPr>
                <w:rFonts w:cs="Arial"/>
                <w:sz w:val="20"/>
                <w:szCs w:val="20"/>
              </w:rPr>
            </w:pPr>
            <w:r w:rsidRPr="00E33B7D">
              <w:rPr>
                <w:rFonts w:cs="Arial"/>
                <w:sz w:val="20"/>
                <w:szCs w:val="20"/>
              </w:rPr>
              <w:t>Étape 5.</w:t>
            </w:r>
          </w:p>
        </w:tc>
        <w:tc>
          <w:tcPr>
            <w:tcW w:w="6379" w:type="dxa"/>
            <w:shd w:val="clear" w:color="auto" w:fill="auto"/>
          </w:tcPr>
          <w:p w14:paraId="74C037E6" w14:textId="77777777" w:rsidR="009021F1" w:rsidRPr="00E33B7D" w:rsidRDefault="009021F1" w:rsidP="00E637E3">
            <w:pPr>
              <w:rPr>
                <w:rFonts w:cs="Arial"/>
                <w:sz w:val="20"/>
                <w:szCs w:val="20"/>
              </w:rPr>
            </w:pPr>
            <w:r w:rsidRPr="00E33B7D">
              <w:rPr>
                <w:rFonts w:cs="Arial"/>
                <w:sz w:val="20"/>
                <w:szCs w:val="20"/>
              </w:rPr>
              <w:t>Réaffectation : La Banque Mondiale traite la réaffectation des fonds des composantes du Projet à la CERC</w:t>
            </w:r>
          </w:p>
        </w:tc>
        <w:tc>
          <w:tcPr>
            <w:tcW w:w="2657" w:type="dxa"/>
            <w:shd w:val="clear" w:color="auto" w:fill="auto"/>
          </w:tcPr>
          <w:p w14:paraId="0D2D7216" w14:textId="77777777" w:rsidR="009021F1" w:rsidRPr="00E33B7D" w:rsidRDefault="009021F1" w:rsidP="00E637E3">
            <w:pPr>
              <w:rPr>
                <w:rFonts w:cs="Arial"/>
                <w:sz w:val="20"/>
                <w:szCs w:val="20"/>
              </w:rPr>
            </w:pPr>
            <w:r w:rsidRPr="00E33B7D">
              <w:rPr>
                <w:rFonts w:cs="Arial"/>
                <w:sz w:val="20"/>
                <w:szCs w:val="20"/>
              </w:rPr>
              <w:t>Banque Mondiale</w:t>
            </w:r>
          </w:p>
        </w:tc>
      </w:tr>
      <w:tr w:rsidR="009021F1" w:rsidRPr="00EF43F1" w14:paraId="625F4C84" w14:textId="77777777" w:rsidTr="00E637E3">
        <w:trPr>
          <w:trHeight w:val="1124"/>
        </w:trPr>
        <w:tc>
          <w:tcPr>
            <w:tcW w:w="1129" w:type="dxa"/>
            <w:shd w:val="clear" w:color="auto" w:fill="auto"/>
            <w:vAlign w:val="center"/>
          </w:tcPr>
          <w:p w14:paraId="4486E7EB" w14:textId="77777777" w:rsidR="009021F1" w:rsidRPr="00E33B7D" w:rsidRDefault="009021F1" w:rsidP="00E637E3">
            <w:pPr>
              <w:rPr>
                <w:rFonts w:cs="Arial"/>
                <w:sz w:val="20"/>
                <w:szCs w:val="20"/>
              </w:rPr>
            </w:pPr>
          </w:p>
          <w:p w14:paraId="067C0B59" w14:textId="77777777" w:rsidR="009021F1" w:rsidRPr="00E33B7D" w:rsidRDefault="009021F1" w:rsidP="00E637E3">
            <w:pPr>
              <w:rPr>
                <w:rFonts w:cs="Arial"/>
                <w:sz w:val="20"/>
                <w:szCs w:val="20"/>
              </w:rPr>
            </w:pPr>
          </w:p>
          <w:p w14:paraId="5FCC1B2A" w14:textId="77777777" w:rsidR="009021F1" w:rsidRPr="00E33B7D" w:rsidRDefault="009021F1" w:rsidP="00E637E3">
            <w:pPr>
              <w:rPr>
                <w:rFonts w:cs="Arial"/>
                <w:sz w:val="20"/>
                <w:szCs w:val="20"/>
              </w:rPr>
            </w:pPr>
          </w:p>
          <w:p w14:paraId="343AFF30" w14:textId="77777777" w:rsidR="009021F1" w:rsidRPr="00E33B7D" w:rsidRDefault="009021F1" w:rsidP="00E637E3">
            <w:pPr>
              <w:rPr>
                <w:rFonts w:cs="Arial"/>
                <w:sz w:val="20"/>
                <w:szCs w:val="20"/>
              </w:rPr>
            </w:pPr>
          </w:p>
          <w:p w14:paraId="565CA19D" w14:textId="77777777" w:rsidR="009021F1" w:rsidRPr="00E33B7D" w:rsidRDefault="009021F1" w:rsidP="00E637E3">
            <w:pPr>
              <w:rPr>
                <w:rFonts w:cs="Arial"/>
                <w:sz w:val="20"/>
                <w:szCs w:val="20"/>
              </w:rPr>
            </w:pPr>
          </w:p>
          <w:p w14:paraId="3AB0E152" w14:textId="77777777" w:rsidR="009021F1" w:rsidRPr="00E33B7D" w:rsidRDefault="009021F1" w:rsidP="00E637E3">
            <w:pPr>
              <w:rPr>
                <w:rFonts w:cs="Arial"/>
                <w:sz w:val="20"/>
                <w:szCs w:val="20"/>
              </w:rPr>
            </w:pPr>
          </w:p>
          <w:p w14:paraId="2EC0E619" w14:textId="77777777" w:rsidR="009021F1" w:rsidRPr="00E33B7D" w:rsidRDefault="009021F1" w:rsidP="00E637E3">
            <w:pPr>
              <w:rPr>
                <w:rFonts w:cs="Arial"/>
                <w:sz w:val="20"/>
                <w:szCs w:val="20"/>
              </w:rPr>
            </w:pPr>
          </w:p>
          <w:p w14:paraId="394828B8" w14:textId="77777777" w:rsidR="009021F1" w:rsidRPr="00E33B7D" w:rsidRDefault="009021F1" w:rsidP="00E637E3">
            <w:pPr>
              <w:rPr>
                <w:rFonts w:cs="Arial"/>
                <w:sz w:val="20"/>
                <w:szCs w:val="20"/>
              </w:rPr>
            </w:pPr>
          </w:p>
          <w:p w14:paraId="204EFA4E" w14:textId="77777777" w:rsidR="009021F1" w:rsidRPr="00E33B7D" w:rsidRDefault="009021F1" w:rsidP="00E637E3">
            <w:pPr>
              <w:rPr>
                <w:rFonts w:cs="Arial"/>
                <w:sz w:val="20"/>
                <w:szCs w:val="20"/>
              </w:rPr>
            </w:pPr>
          </w:p>
          <w:p w14:paraId="10E5458D" w14:textId="77777777" w:rsidR="009021F1" w:rsidRPr="00E33B7D" w:rsidRDefault="009021F1" w:rsidP="00E637E3">
            <w:pPr>
              <w:rPr>
                <w:rFonts w:cs="Arial"/>
                <w:sz w:val="20"/>
                <w:szCs w:val="20"/>
              </w:rPr>
            </w:pPr>
          </w:p>
          <w:p w14:paraId="46A9E313" w14:textId="77777777" w:rsidR="009021F1" w:rsidRPr="00E33B7D" w:rsidRDefault="009021F1" w:rsidP="00E637E3">
            <w:pPr>
              <w:rPr>
                <w:rFonts w:cs="Arial"/>
                <w:sz w:val="20"/>
                <w:szCs w:val="20"/>
              </w:rPr>
            </w:pPr>
          </w:p>
          <w:p w14:paraId="7E793A39" w14:textId="77777777" w:rsidR="009021F1" w:rsidRPr="00E33B7D" w:rsidRDefault="009021F1" w:rsidP="00E637E3">
            <w:pPr>
              <w:rPr>
                <w:rFonts w:cs="Arial"/>
                <w:sz w:val="20"/>
                <w:szCs w:val="20"/>
              </w:rPr>
            </w:pPr>
          </w:p>
          <w:p w14:paraId="0BBB933F" w14:textId="77777777" w:rsidR="009021F1" w:rsidRPr="00E33B7D" w:rsidRDefault="009021F1" w:rsidP="00E637E3">
            <w:pPr>
              <w:rPr>
                <w:rFonts w:cs="Arial"/>
                <w:sz w:val="20"/>
                <w:szCs w:val="20"/>
              </w:rPr>
            </w:pPr>
            <w:r w:rsidRPr="00E33B7D">
              <w:rPr>
                <w:rFonts w:cs="Arial"/>
                <w:sz w:val="20"/>
                <w:szCs w:val="20"/>
              </w:rPr>
              <w:t>Étape 6</w:t>
            </w:r>
          </w:p>
        </w:tc>
        <w:tc>
          <w:tcPr>
            <w:tcW w:w="6379" w:type="dxa"/>
            <w:shd w:val="clear" w:color="auto" w:fill="auto"/>
          </w:tcPr>
          <w:p w14:paraId="360C9926" w14:textId="77777777" w:rsidR="009021F1" w:rsidRPr="00E33B7D" w:rsidRDefault="009021F1" w:rsidP="00E637E3">
            <w:pPr>
              <w:rPr>
                <w:rFonts w:cs="Arial"/>
                <w:sz w:val="20"/>
                <w:szCs w:val="20"/>
              </w:rPr>
            </w:pPr>
            <w:r w:rsidRPr="00E33B7D">
              <w:rPr>
                <w:rFonts w:cs="Arial"/>
                <w:sz w:val="20"/>
                <w:szCs w:val="20"/>
              </w:rPr>
              <w:t xml:space="preserve">Mise en œuvre des activités d’urgence : L’UNCP/PNDA commence la mise en œuvre des activités d’urgence approuvées. </w:t>
            </w:r>
          </w:p>
          <w:p w14:paraId="1C5C28AA" w14:textId="77777777" w:rsidR="009021F1" w:rsidRPr="00E33B7D" w:rsidRDefault="009021F1" w:rsidP="00E637E3">
            <w:pPr>
              <w:rPr>
                <w:rFonts w:cs="Arial"/>
                <w:sz w:val="20"/>
                <w:szCs w:val="20"/>
              </w:rPr>
            </w:pPr>
            <w:r w:rsidRPr="00E33B7D">
              <w:rPr>
                <w:rFonts w:cs="Arial"/>
                <w:sz w:val="20"/>
                <w:szCs w:val="20"/>
              </w:rPr>
              <w:t>a. Passation des marchés : Les principales activités de cette étape comprennent, entre autres, (i) l’analyse des capacités et des méthodes de mise en œuvre de la passation des marchés, ii) la préparation des spécifications techniques et des devis quantitatifs pour les biens critiques, les travaux et les services hors conseils, (iii) le recrutement des consultants dans le cadre de la mise en œuvre des sous-projets d’urgence, et (iv) l’achat des biens, travaux et services hors conseils pour la mise en œuvre des activités d’urgence.  b. Gestion financière et rapports d’avancement : L’UNCP/PNDA suivra les procédures de gestion financière et de reporting du Projet telles que définies dans l’Accord de financement et détaillées dans le Manuel opérationnel du Projet.  c. Normes environnementales et sociales (NES) : le spécialiste environnement, le spécialiste social et le spécialiste en VBG de l’UNCP seront responsables de la mise en œuvre des activités financées par le CERC du PNDA en conformité avec les NES</w:t>
            </w:r>
          </w:p>
          <w:p w14:paraId="1690BDC7" w14:textId="77777777" w:rsidR="009021F1" w:rsidRPr="00E33B7D" w:rsidRDefault="009021F1" w:rsidP="00E637E3">
            <w:pPr>
              <w:rPr>
                <w:rFonts w:cs="Arial"/>
                <w:sz w:val="20"/>
                <w:szCs w:val="20"/>
              </w:rPr>
            </w:pPr>
            <w:r w:rsidRPr="00E33B7D">
              <w:rPr>
                <w:rFonts w:cs="Arial"/>
                <w:sz w:val="20"/>
                <w:szCs w:val="20"/>
              </w:rPr>
              <w:t xml:space="preserve">d. Suivi et évaluation : Les mécanismes de supervision et de reporting établis pour le Projet seront également appliqués. Les activités de suivi intègreront la mise en application du CGES-CERC. Un cabinet externe d’audit financier contrôlera annuellement les états financiers de l’ensemble du Projet </w:t>
            </w:r>
          </w:p>
        </w:tc>
        <w:tc>
          <w:tcPr>
            <w:tcW w:w="2657" w:type="dxa"/>
            <w:shd w:val="clear" w:color="auto" w:fill="auto"/>
          </w:tcPr>
          <w:p w14:paraId="49CD41BA" w14:textId="77777777" w:rsidR="009021F1" w:rsidRPr="00E33B7D" w:rsidRDefault="009021F1" w:rsidP="00E637E3">
            <w:pPr>
              <w:rPr>
                <w:rFonts w:cs="Arial"/>
                <w:sz w:val="20"/>
                <w:szCs w:val="20"/>
              </w:rPr>
            </w:pPr>
            <w:r w:rsidRPr="00E33B7D">
              <w:rPr>
                <w:rFonts w:cs="Arial"/>
                <w:sz w:val="20"/>
                <w:szCs w:val="20"/>
              </w:rPr>
              <w:t>UNCP/PNDA</w:t>
            </w:r>
          </w:p>
        </w:tc>
      </w:tr>
      <w:tr w:rsidR="009021F1" w:rsidRPr="00EF43F1" w14:paraId="70FDFA73" w14:textId="77777777" w:rsidTr="00E637E3">
        <w:trPr>
          <w:trHeight w:val="770"/>
        </w:trPr>
        <w:tc>
          <w:tcPr>
            <w:tcW w:w="1129" w:type="dxa"/>
            <w:shd w:val="clear" w:color="auto" w:fill="auto"/>
          </w:tcPr>
          <w:p w14:paraId="7D075CE2" w14:textId="77777777" w:rsidR="009021F1" w:rsidRPr="00E33B7D" w:rsidRDefault="009021F1" w:rsidP="00E637E3">
            <w:pPr>
              <w:rPr>
                <w:rFonts w:cs="Arial"/>
                <w:sz w:val="20"/>
                <w:szCs w:val="20"/>
              </w:rPr>
            </w:pPr>
          </w:p>
          <w:p w14:paraId="1E8350C0" w14:textId="77777777" w:rsidR="009021F1" w:rsidRPr="00E33B7D" w:rsidRDefault="009021F1" w:rsidP="00E637E3">
            <w:pPr>
              <w:rPr>
                <w:rFonts w:cs="Arial"/>
                <w:sz w:val="20"/>
                <w:szCs w:val="20"/>
              </w:rPr>
            </w:pPr>
            <w:r w:rsidRPr="00E33B7D">
              <w:rPr>
                <w:rFonts w:cs="Arial"/>
                <w:sz w:val="20"/>
                <w:szCs w:val="20"/>
              </w:rPr>
              <w:t>Étape 7.</w:t>
            </w:r>
          </w:p>
        </w:tc>
        <w:tc>
          <w:tcPr>
            <w:tcW w:w="6379" w:type="dxa"/>
            <w:shd w:val="clear" w:color="auto" w:fill="auto"/>
          </w:tcPr>
          <w:p w14:paraId="2EBD98F6" w14:textId="77777777" w:rsidR="009021F1" w:rsidRPr="00E33B7D" w:rsidRDefault="009021F1" w:rsidP="00E637E3">
            <w:pPr>
              <w:rPr>
                <w:rFonts w:cs="Arial"/>
                <w:sz w:val="20"/>
                <w:szCs w:val="20"/>
              </w:rPr>
            </w:pPr>
            <w:r w:rsidRPr="00E33B7D">
              <w:rPr>
                <w:rFonts w:cs="Arial"/>
                <w:sz w:val="20"/>
                <w:szCs w:val="20"/>
              </w:rPr>
              <w:t>Reporting final : un rapport final sera préparé par l’UNCP/PNDA lorsque toutes les activités d’urgence seront terminées et soumises à la Banque Mondiale</w:t>
            </w:r>
          </w:p>
        </w:tc>
        <w:tc>
          <w:tcPr>
            <w:tcW w:w="2657" w:type="dxa"/>
            <w:shd w:val="clear" w:color="auto" w:fill="auto"/>
          </w:tcPr>
          <w:p w14:paraId="3AA1EC96" w14:textId="77777777" w:rsidR="009021F1" w:rsidRPr="00E33B7D" w:rsidRDefault="009021F1" w:rsidP="00E637E3">
            <w:pPr>
              <w:rPr>
                <w:rFonts w:cs="Arial"/>
                <w:sz w:val="20"/>
                <w:szCs w:val="20"/>
              </w:rPr>
            </w:pPr>
            <w:r w:rsidRPr="00E33B7D">
              <w:rPr>
                <w:rFonts w:cs="Arial"/>
                <w:sz w:val="20"/>
                <w:szCs w:val="20"/>
              </w:rPr>
              <w:t>UNCP/PNDA</w:t>
            </w:r>
          </w:p>
        </w:tc>
      </w:tr>
    </w:tbl>
    <w:p w14:paraId="5A7E0450" w14:textId="77777777" w:rsidR="009021F1" w:rsidRPr="001A549E" w:rsidRDefault="009021F1" w:rsidP="009021F1">
      <w:pPr>
        <w:rPr>
          <w:rFonts w:cs="Arial"/>
          <w:sz w:val="22"/>
        </w:rPr>
      </w:pPr>
    </w:p>
    <w:p w14:paraId="2F7858B1" w14:textId="77777777" w:rsidR="009021F1" w:rsidRDefault="009021F1" w:rsidP="009021F1">
      <w:pPr>
        <w:pStyle w:val="WB-Numbered"/>
        <w:numPr>
          <w:ilvl w:val="0"/>
          <w:numId w:val="0"/>
        </w:numPr>
        <w:spacing w:after="0"/>
        <w:rPr>
          <w:rFonts w:ascii="Arial" w:hAnsi="Arial" w:cs="Arial"/>
          <w:sz w:val="21"/>
          <w:szCs w:val="21"/>
          <w:lang w:val="fr-FR"/>
        </w:rPr>
      </w:pPr>
    </w:p>
    <w:p w14:paraId="36EF39CB" w14:textId="77777777" w:rsidR="009021F1" w:rsidRPr="00A67A74" w:rsidRDefault="009021F1" w:rsidP="009021F1">
      <w:pPr>
        <w:rPr>
          <w:rFonts w:cs="Arial"/>
          <w:szCs w:val="21"/>
        </w:rPr>
      </w:pPr>
    </w:p>
    <w:p w14:paraId="12890321" w14:textId="77777777" w:rsidR="009021F1" w:rsidRPr="00A67A74" w:rsidRDefault="009021F1" w:rsidP="009021F1">
      <w:pPr>
        <w:rPr>
          <w:rFonts w:cs="Arial"/>
          <w:szCs w:val="21"/>
        </w:rPr>
      </w:pPr>
    </w:p>
    <w:p w14:paraId="2D49CF6C" w14:textId="77777777" w:rsidR="009021F1" w:rsidRDefault="009021F1" w:rsidP="009021F1">
      <w:pPr>
        <w:spacing w:after="160" w:line="259" w:lineRule="auto"/>
        <w:jc w:val="left"/>
        <w:rPr>
          <w:rFonts w:cs="Arial"/>
          <w:b/>
          <w:bCs/>
          <w:sz w:val="22"/>
        </w:rPr>
      </w:pPr>
      <w:r>
        <w:rPr>
          <w:rFonts w:cs="Arial"/>
          <w:sz w:val="22"/>
        </w:rPr>
        <w:br w:type="page"/>
      </w:r>
    </w:p>
    <w:p w14:paraId="03A73230" w14:textId="77777777" w:rsidR="009021F1" w:rsidRPr="002541DD" w:rsidRDefault="009021F1" w:rsidP="009021F1">
      <w:pPr>
        <w:pStyle w:val="Titre1"/>
        <w:numPr>
          <w:ilvl w:val="0"/>
          <w:numId w:val="4"/>
        </w:numPr>
        <w:ind w:left="567" w:hanging="283"/>
        <w:rPr>
          <w:rFonts w:cs="Arial"/>
          <w:sz w:val="22"/>
          <w:szCs w:val="22"/>
        </w:rPr>
      </w:pPr>
      <w:bookmarkStart w:id="386" w:name="_Toc90471492"/>
      <w:r w:rsidRPr="002541DD">
        <w:rPr>
          <w:rFonts w:cs="Arial"/>
          <w:sz w:val="22"/>
          <w:szCs w:val="22"/>
        </w:rPr>
        <w:t>RISQUES ET IMPACTS ENVIRONNEMENTAUX ET SOCIAUX POTENTIELS DU PR</w:t>
      </w:r>
      <w:r>
        <w:rPr>
          <w:rFonts w:cs="Arial"/>
          <w:sz w:val="22"/>
          <w:szCs w:val="22"/>
        </w:rPr>
        <w:t>OGRAMME</w:t>
      </w:r>
      <w:bookmarkEnd w:id="386"/>
    </w:p>
    <w:p w14:paraId="403D07A5" w14:textId="77777777" w:rsidR="009021F1" w:rsidRPr="00114059" w:rsidRDefault="009021F1" w:rsidP="009021F1">
      <w:pPr>
        <w:adjustRightInd w:val="0"/>
        <w:ind w:right="-1"/>
        <w:rPr>
          <w:rFonts w:eastAsia="Calibri" w:cs="Arial"/>
          <w:szCs w:val="21"/>
        </w:rPr>
      </w:pPr>
    </w:p>
    <w:p w14:paraId="005B253A" w14:textId="77777777" w:rsidR="009021F1" w:rsidRPr="00114059" w:rsidRDefault="009021F1" w:rsidP="009021F1">
      <w:pPr>
        <w:pStyle w:val="Titre2"/>
        <w:numPr>
          <w:ilvl w:val="1"/>
          <w:numId w:val="4"/>
        </w:numPr>
        <w:ind w:left="851" w:hanging="425"/>
        <w:rPr>
          <w:rFonts w:cs="Arial"/>
          <w:b/>
          <w:szCs w:val="21"/>
        </w:rPr>
      </w:pPr>
      <w:bookmarkStart w:id="387" w:name="_Toc90471493"/>
      <w:r w:rsidRPr="00114059">
        <w:rPr>
          <w:rFonts w:cs="Arial"/>
          <w:b/>
          <w:szCs w:val="21"/>
        </w:rPr>
        <w:t>Impacts environnementaux et sociaux positifs potentiels</w:t>
      </w:r>
      <w:bookmarkEnd w:id="387"/>
    </w:p>
    <w:p w14:paraId="43AFE535" w14:textId="77777777" w:rsidR="009021F1" w:rsidRPr="00114059" w:rsidRDefault="009021F1" w:rsidP="009021F1">
      <w:pPr>
        <w:rPr>
          <w:rFonts w:cs="Arial"/>
          <w:szCs w:val="21"/>
        </w:rPr>
      </w:pPr>
    </w:p>
    <w:p w14:paraId="4DF8F281" w14:textId="77777777" w:rsidR="009021F1" w:rsidRPr="00114059" w:rsidRDefault="009021F1" w:rsidP="009021F1">
      <w:pPr>
        <w:pStyle w:val="Titre2"/>
        <w:numPr>
          <w:ilvl w:val="2"/>
          <w:numId w:val="4"/>
        </w:numPr>
        <w:ind w:left="1560" w:hanging="709"/>
        <w:rPr>
          <w:rFonts w:cs="Arial"/>
          <w:i/>
          <w:szCs w:val="21"/>
        </w:rPr>
      </w:pPr>
      <w:bookmarkStart w:id="388" w:name="_Toc90471494"/>
      <w:r w:rsidRPr="00114059">
        <w:rPr>
          <w:rFonts w:cs="Arial"/>
          <w:i/>
          <w:szCs w:val="21"/>
        </w:rPr>
        <w:t>Impacts positifs potentiels globaux communs à toutes les composantes</w:t>
      </w:r>
      <w:bookmarkEnd w:id="388"/>
    </w:p>
    <w:p w14:paraId="627C1554" w14:textId="77777777" w:rsidR="009021F1" w:rsidRPr="00114059" w:rsidRDefault="009021F1" w:rsidP="009021F1">
      <w:pPr>
        <w:rPr>
          <w:rFonts w:cs="Arial"/>
          <w:szCs w:val="21"/>
        </w:rPr>
      </w:pPr>
    </w:p>
    <w:p w14:paraId="4D4B28E2" w14:textId="77777777" w:rsidR="009021F1" w:rsidRPr="00114059" w:rsidRDefault="009021F1" w:rsidP="009021F1">
      <w:pPr>
        <w:pStyle w:val="Titre4"/>
        <w:spacing w:before="0" w:after="0"/>
        <w:ind w:left="0" w:firstLine="0"/>
        <w:rPr>
          <w:rFonts w:ascii="Arial" w:hAnsi="Arial" w:cs="Arial"/>
          <w:b w:val="0"/>
          <w:i/>
          <w:color w:val="000000"/>
          <w:sz w:val="21"/>
          <w:szCs w:val="21"/>
        </w:rPr>
      </w:pPr>
      <w:r w:rsidRPr="00114059">
        <w:rPr>
          <w:rFonts w:ascii="Arial" w:hAnsi="Arial" w:cs="Arial"/>
          <w:b w:val="0"/>
          <w:i/>
          <w:sz w:val="21"/>
          <w:szCs w:val="21"/>
        </w:rPr>
        <w:t xml:space="preserve">Création d’emplois et </w:t>
      </w:r>
      <w:r w:rsidRPr="00114059">
        <w:rPr>
          <w:rFonts w:ascii="Arial" w:hAnsi="Arial" w:cs="Arial"/>
          <w:b w:val="0"/>
          <w:i/>
          <w:color w:val="000000"/>
          <w:sz w:val="21"/>
          <w:szCs w:val="21"/>
        </w:rPr>
        <w:t>contribution à la lutte contre la pauvreté</w:t>
      </w:r>
    </w:p>
    <w:p w14:paraId="576C391F" w14:textId="77777777" w:rsidR="009021F1" w:rsidRPr="00114059" w:rsidRDefault="009021F1" w:rsidP="009021F1">
      <w:pPr>
        <w:rPr>
          <w:rFonts w:cs="Arial"/>
          <w:color w:val="000000"/>
          <w:szCs w:val="21"/>
          <w:u w:val="single"/>
        </w:rPr>
      </w:pPr>
    </w:p>
    <w:p w14:paraId="6DD83DFD" w14:textId="77777777" w:rsidR="009021F1" w:rsidRPr="00114059" w:rsidRDefault="009021F1" w:rsidP="009021F1">
      <w:pPr>
        <w:rPr>
          <w:rFonts w:cs="Arial"/>
          <w:color w:val="000000"/>
          <w:szCs w:val="21"/>
        </w:rPr>
      </w:pPr>
      <w:r w:rsidRPr="00114059">
        <w:rPr>
          <w:rFonts w:cs="Arial"/>
          <w:color w:val="000000"/>
          <w:szCs w:val="21"/>
        </w:rPr>
        <w:t>Pour tous les sous-projets, durant les phases d‘exécution et d’exploitation, les activités généreront des impacts positifs ci-dessous :</w:t>
      </w:r>
    </w:p>
    <w:p w14:paraId="1BCF0A0C" w14:textId="77777777" w:rsidR="009021F1" w:rsidRPr="00114059" w:rsidRDefault="009021F1" w:rsidP="009021F1">
      <w:pPr>
        <w:rPr>
          <w:rFonts w:cs="Arial"/>
          <w:color w:val="000000"/>
          <w:szCs w:val="21"/>
        </w:rPr>
      </w:pPr>
    </w:p>
    <w:p w14:paraId="70C14101" w14:textId="77777777" w:rsidR="009021F1" w:rsidRPr="00114059" w:rsidRDefault="009021F1" w:rsidP="009021F1">
      <w:pPr>
        <w:pStyle w:val="Paragraphedeliste"/>
        <w:numPr>
          <w:ilvl w:val="0"/>
          <w:numId w:val="104"/>
        </w:numPr>
        <w:rPr>
          <w:rFonts w:cs="Arial"/>
          <w:color w:val="000000"/>
          <w:szCs w:val="21"/>
        </w:rPr>
      </w:pPr>
      <w:r w:rsidRPr="00114059">
        <w:rPr>
          <w:rFonts w:cs="Arial"/>
          <w:color w:val="000000"/>
          <w:szCs w:val="21"/>
        </w:rPr>
        <w:t xml:space="preserve">Création d'emplois temporaires et permanents dans les zones d’intervention notamment les </w:t>
      </w:r>
      <w:r w:rsidRPr="00114059">
        <w:rPr>
          <w:color w:val="000000"/>
          <w:szCs w:val="21"/>
        </w:rPr>
        <w:t xml:space="preserve">travaux à Haute Intensité de Main-d’œuvre </w:t>
      </w:r>
      <w:r w:rsidRPr="00114059">
        <w:rPr>
          <w:rFonts w:cs="Arial"/>
          <w:color w:val="000000"/>
          <w:szCs w:val="21"/>
        </w:rPr>
        <w:t>(</w:t>
      </w:r>
      <w:r w:rsidRPr="00114059">
        <w:rPr>
          <w:color w:val="000000"/>
          <w:szCs w:val="21"/>
        </w:rPr>
        <w:t>HIMO), avec un quota de 30 % réservé aux femmes et jeunes filles majeures ;</w:t>
      </w:r>
    </w:p>
    <w:p w14:paraId="40E7AA9D" w14:textId="77777777" w:rsidR="009021F1" w:rsidRPr="00114059" w:rsidRDefault="009021F1" w:rsidP="009021F1">
      <w:pPr>
        <w:pStyle w:val="Paragraphedeliste"/>
        <w:numPr>
          <w:ilvl w:val="0"/>
          <w:numId w:val="104"/>
        </w:numPr>
        <w:rPr>
          <w:rFonts w:cs="Arial"/>
          <w:color w:val="000000"/>
          <w:szCs w:val="21"/>
        </w:rPr>
      </w:pPr>
      <w:r w:rsidRPr="00114059">
        <w:rPr>
          <w:rFonts w:cs="Arial"/>
          <w:color w:val="000000"/>
          <w:szCs w:val="21"/>
        </w:rPr>
        <w:t xml:space="preserve">Accroissement de la productivité et de la production agricoles ; </w:t>
      </w:r>
    </w:p>
    <w:p w14:paraId="12892E91" w14:textId="77777777" w:rsidR="009021F1" w:rsidRPr="00114059" w:rsidRDefault="009021F1" w:rsidP="009021F1">
      <w:pPr>
        <w:pStyle w:val="Paragraphedeliste"/>
        <w:numPr>
          <w:ilvl w:val="0"/>
          <w:numId w:val="104"/>
        </w:numPr>
        <w:rPr>
          <w:rFonts w:cs="Arial"/>
          <w:color w:val="000000"/>
          <w:szCs w:val="21"/>
        </w:rPr>
      </w:pPr>
      <w:r w:rsidRPr="00114059">
        <w:rPr>
          <w:rFonts w:cs="Arial"/>
          <w:color w:val="000000"/>
          <w:szCs w:val="21"/>
        </w:rPr>
        <w:t xml:space="preserve">Augmentation des revenus des petits exploitants et attirer davantage d’emplois dans le secteur agricole ; </w:t>
      </w:r>
    </w:p>
    <w:p w14:paraId="33CC28E0" w14:textId="77777777" w:rsidR="009021F1" w:rsidRPr="00114059" w:rsidRDefault="009021F1" w:rsidP="009021F1">
      <w:pPr>
        <w:pStyle w:val="Paragraphedeliste"/>
        <w:numPr>
          <w:ilvl w:val="0"/>
          <w:numId w:val="104"/>
        </w:numPr>
        <w:rPr>
          <w:rFonts w:cs="Arial"/>
          <w:color w:val="000000"/>
          <w:szCs w:val="21"/>
        </w:rPr>
      </w:pPr>
      <w:r w:rsidRPr="00114059">
        <w:rPr>
          <w:rFonts w:cs="Arial"/>
          <w:color w:val="000000"/>
          <w:szCs w:val="21"/>
        </w:rPr>
        <w:t>Les aménagements agricoles vont contribuer de façon importante à la préservation des ressources naturelles, avec l’agroforesterie. Aussi, la vulgarisation de techniques agricoles nouvelles contribuera à l’optimisation des rendements sans un accroissement des terres de culture ;</w:t>
      </w:r>
    </w:p>
    <w:p w14:paraId="3A48D5B1" w14:textId="77777777" w:rsidR="009021F1" w:rsidRPr="00114059" w:rsidRDefault="009021F1" w:rsidP="009021F1">
      <w:pPr>
        <w:pStyle w:val="Paragraphedeliste"/>
        <w:numPr>
          <w:ilvl w:val="0"/>
          <w:numId w:val="104"/>
        </w:numPr>
        <w:rPr>
          <w:rFonts w:cs="Arial"/>
          <w:color w:val="000000"/>
          <w:szCs w:val="21"/>
        </w:rPr>
      </w:pPr>
      <w:r w:rsidRPr="00114059">
        <w:rPr>
          <w:rFonts w:cs="Arial"/>
          <w:color w:val="000000"/>
          <w:szCs w:val="21"/>
        </w:rPr>
        <w:t>L’appui au système d’élevage : les activités d’embouche (bovine ; porcine ; ovine ; caprine) et de cultures fourragères permettront d’alléger la pression du bétail sur les ressources végétales et réduiront la dégradation des habitats naturels ;</w:t>
      </w:r>
    </w:p>
    <w:p w14:paraId="173AC99C" w14:textId="77777777" w:rsidR="009021F1" w:rsidRPr="00114059" w:rsidRDefault="009021F1" w:rsidP="009021F1">
      <w:pPr>
        <w:pStyle w:val="Paragraphedeliste"/>
        <w:numPr>
          <w:ilvl w:val="0"/>
          <w:numId w:val="104"/>
        </w:numPr>
        <w:rPr>
          <w:rFonts w:cs="Arial"/>
          <w:color w:val="000000"/>
          <w:szCs w:val="21"/>
        </w:rPr>
      </w:pPr>
      <w:r w:rsidRPr="00114059">
        <w:rPr>
          <w:rFonts w:cs="Arial"/>
          <w:color w:val="000000"/>
          <w:szCs w:val="21"/>
        </w:rPr>
        <w:t>L’appui au système d’élevage (poulaillers, bergeries, porcheries et étables améliorés) permettra la production de lisier et d’amendement organique pouvant améliorer les sols pauvres ou usagés, et intensifier les activités agricoles en lieu et place des engrais chimiques. Le projet permettra aussi de sécuriser les activités d’élevage et l’accès des animaux aux ressources pastorales et partant les productions agricoles ; de prévenir et d’éradiquer les conflits entre agriculteurs et éleveurs de la zone ;</w:t>
      </w:r>
    </w:p>
    <w:p w14:paraId="45552523" w14:textId="77777777" w:rsidR="009021F1" w:rsidRPr="00114059" w:rsidRDefault="009021F1" w:rsidP="009021F1">
      <w:pPr>
        <w:pStyle w:val="Paragraphedeliste"/>
        <w:numPr>
          <w:ilvl w:val="0"/>
          <w:numId w:val="104"/>
        </w:numPr>
        <w:rPr>
          <w:rFonts w:cs="Arial"/>
          <w:color w:val="000000"/>
          <w:szCs w:val="21"/>
        </w:rPr>
      </w:pPr>
      <w:r w:rsidRPr="00114059">
        <w:rPr>
          <w:rFonts w:cs="Arial"/>
          <w:color w:val="000000"/>
          <w:szCs w:val="21"/>
        </w:rPr>
        <w:t>Le développement de la pisciculture permettra de réduire l’impact des activités sur les ressources halieutiques des cours d’eau qui sont difficile de capture tout en générant des revenus aux producteur ;</w:t>
      </w:r>
    </w:p>
    <w:p w14:paraId="6E7E83C8" w14:textId="77777777" w:rsidR="009021F1" w:rsidRPr="00114059" w:rsidRDefault="009021F1" w:rsidP="009021F1">
      <w:pPr>
        <w:pStyle w:val="Paragraphedeliste"/>
        <w:numPr>
          <w:ilvl w:val="0"/>
          <w:numId w:val="104"/>
        </w:numPr>
        <w:rPr>
          <w:rFonts w:cs="Arial"/>
          <w:color w:val="000000"/>
          <w:szCs w:val="21"/>
        </w:rPr>
      </w:pPr>
      <w:r w:rsidRPr="00114059">
        <w:rPr>
          <w:color w:val="000000"/>
          <w:szCs w:val="21"/>
        </w:rPr>
        <w:t>Les marchés qui seront réhabilités constituent des points de convergence de la production locale en vue de sa commercialisation et de sa valorisation ;</w:t>
      </w:r>
    </w:p>
    <w:p w14:paraId="06928838" w14:textId="77777777" w:rsidR="009021F1" w:rsidRPr="00114059" w:rsidRDefault="009021F1" w:rsidP="009021F1">
      <w:pPr>
        <w:pStyle w:val="Paragraphedeliste"/>
        <w:numPr>
          <w:ilvl w:val="0"/>
          <w:numId w:val="104"/>
        </w:numPr>
        <w:rPr>
          <w:rFonts w:cs="Arial"/>
          <w:color w:val="000000"/>
          <w:szCs w:val="21"/>
        </w:rPr>
      </w:pPr>
      <w:r w:rsidRPr="00114059">
        <w:rPr>
          <w:color w:val="000000"/>
          <w:szCs w:val="21"/>
        </w:rPr>
        <w:t xml:space="preserve">La lutte contre la pauvreté à travers l'augmentation du revenu résultant de la création d'emplois. </w:t>
      </w:r>
    </w:p>
    <w:p w14:paraId="3E8089DC" w14:textId="77777777" w:rsidR="009021F1" w:rsidRPr="00114059" w:rsidRDefault="009021F1" w:rsidP="009021F1">
      <w:pPr>
        <w:rPr>
          <w:rFonts w:cs="Arial"/>
          <w:color w:val="000000"/>
          <w:szCs w:val="21"/>
        </w:rPr>
      </w:pPr>
    </w:p>
    <w:p w14:paraId="64359BA1" w14:textId="77777777" w:rsidR="009021F1" w:rsidRPr="00114059" w:rsidRDefault="009021F1" w:rsidP="009021F1">
      <w:pPr>
        <w:pStyle w:val="Titre4"/>
        <w:spacing w:before="0" w:after="0"/>
        <w:ind w:left="0" w:firstLine="0"/>
        <w:rPr>
          <w:rFonts w:ascii="Arial" w:hAnsi="Arial" w:cs="Arial"/>
          <w:b w:val="0"/>
          <w:i/>
          <w:color w:val="000000"/>
          <w:sz w:val="21"/>
          <w:szCs w:val="21"/>
          <w:u w:val="single"/>
        </w:rPr>
      </w:pPr>
      <w:r w:rsidRPr="00114059">
        <w:rPr>
          <w:rFonts w:ascii="Arial" w:hAnsi="Arial" w:cs="Arial"/>
          <w:b w:val="0"/>
          <w:i/>
          <w:color w:val="000000"/>
          <w:sz w:val="21"/>
          <w:szCs w:val="21"/>
        </w:rPr>
        <w:t>Amélioration du cadre et des conditions de vie</w:t>
      </w:r>
    </w:p>
    <w:p w14:paraId="77A0601A" w14:textId="77777777" w:rsidR="009021F1" w:rsidRPr="00114059" w:rsidRDefault="009021F1" w:rsidP="009021F1">
      <w:pPr>
        <w:rPr>
          <w:rFonts w:cs="Arial"/>
          <w:color w:val="000000"/>
          <w:szCs w:val="21"/>
        </w:rPr>
      </w:pPr>
    </w:p>
    <w:p w14:paraId="5E93C5DF" w14:textId="77777777" w:rsidR="009021F1" w:rsidRPr="00114059" w:rsidRDefault="009021F1" w:rsidP="009021F1">
      <w:pPr>
        <w:rPr>
          <w:rFonts w:cs="Arial"/>
          <w:color w:val="000000"/>
          <w:szCs w:val="21"/>
        </w:rPr>
      </w:pPr>
      <w:r w:rsidRPr="00114059">
        <w:rPr>
          <w:rFonts w:cs="Arial"/>
          <w:color w:val="000000"/>
          <w:szCs w:val="21"/>
        </w:rPr>
        <w:t>En phases d’exécution et d’exploitation de manière globale, le programme proposé visera à maximiser son impact sur les revenus en milieu rural, la sécurité alimentaire et la nutrition en utilisant une approche de développement territorial et des activités co-localisées avec les opérations en cours et futures financés par la Banque mondiale en RDC. Le programme répondra donc aux besoins du pays et aux priorités du Gouvernement, les interventions complémentaires aux opérations clés en cours de mise en œuvre ou prévues dans les zones du projet. Le PNDA vise à accroître les ressources des ménages à faible revenu, à réduire les coûts de transaction et à améliorer le bien-être des ménages, en particulier dans les zones rurales.</w:t>
      </w:r>
    </w:p>
    <w:p w14:paraId="661AE2BD" w14:textId="77777777" w:rsidR="009021F1" w:rsidRPr="00114059" w:rsidRDefault="009021F1" w:rsidP="009021F1">
      <w:pPr>
        <w:rPr>
          <w:rFonts w:cs="Arial"/>
          <w:szCs w:val="21"/>
        </w:rPr>
      </w:pPr>
    </w:p>
    <w:p w14:paraId="307947A0" w14:textId="77777777" w:rsidR="009021F1" w:rsidRPr="00114059" w:rsidRDefault="009021F1" w:rsidP="009021F1">
      <w:pPr>
        <w:rPr>
          <w:rFonts w:cs="Arial"/>
          <w:i/>
          <w:szCs w:val="21"/>
        </w:rPr>
      </w:pPr>
      <w:r w:rsidRPr="00114059">
        <w:rPr>
          <w:rFonts w:cs="Arial"/>
          <w:i/>
          <w:szCs w:val="21"/>
        </w:rPr>
        <w:t>Sécurisation alimentaire et lutte contre la malnutrition</w:t>
      </w:r>
    </w:p>
    <w:p w14:paraId="37BD8C3C" w14:textId="77777777" w:rsidR="009021F1" w:rsidRPr="00114059" w:rsidRDefault="009021F1" w:rsidP="009021F1">
      <w:pPr>
        <w:rPr>
          <w:rFonts w:cs="Arial"/>
          <w:szCs w:val="21"/>
        </w:rPr>
      </w:pPr>
    </w:p>
    <w:p w14:paraId="7DB99BBB" w14:textId="77777777" w:rsidR="009021F1" w:rsidRPr="00114059" w:rsidRDefault="009021F1" w:rsidP="009021F1">
      <w:pPr>
        <w:rPr>
          <w:rFonts w:cs="Arial"/>
          <w:szCs w:val="21"/>
        </w:rPr>
      </w:pPr>
      <w:r w:rsidRPr="00114059">
        <w:rPr>
          <w:rFonts w:cs="Arial"/>
          <w:szCs w:val="21"/>
        </w:rPr>
        <w:t xml:space="preserve">La majorité des ménages ont comme source principale de revenus, l’agriculture. Le Programme va contribuer à réduire l’insécurité alimentaire et la malnutrition d’abord au niveau local, ensuite au niveau national. Le programme s’attaquera à la malnutrition, y compris aux carences en micronutriments, dans toutes les zones d’intervention par : </w:t>
      </w:r>
      <w:r w:rsidRPr="00114059">
        <w:rPr>
          <w:rFonts w:cs="Arial"/>
          <w:i/>
          <w:szCs w:val="21"/>
        </w:rPr>
        <w:t>(i)</w:t>
      </w:r>
      <w:r w:rsidRPr="00114059">
        <w:rPr>
          <w:rFonts w:cs="Arial"/>
          <w:szCs w:val="21"/>
        </w:rPr>
        <w:t xml:space="preserve"> la localisation avec le Projet Multisectoriel de Nutrition et de Santé (PMNS) ; et </w:t>
      </w:r>
      <w:r w:rsidRPr="00114059">
        <w:rPr>
          <w:rFonts w:cs="Arial"/>
          <w:i/>
          <w:szCs w:val="21"/>
        </w:rPr>
        <w:t xml:space="preserve">(ii) </w:t>
      </w:r>
      <w:r w:rsidRPr="00114059">
        <w:rPr>
          <w:rFonts w:cs="Arial"/>
          <w:szCs w:val="21"/>
        </w:rPr>
        <w:t xml:space="preserve">des interventions en faveur d’une agriculture intelligente face à la nutrition (AIN). Une série de technologies et de pratiques AIN est en cours d’identification dans le cadre de la préparation du Projet. </w:t>
      </w:r>
    </w:p>
    <w:p w14:paraId="54984F24" w14:textId="77777777" w:rsidR="009021F1" w:rsidRPr="00114059" w:rsidRDefault="009021F1" w:rsidP="009021F1">
      <w:pPr>
        <w:rPr>
          <w:rFonts w:cs="Arial"/>
          <w:szCs w:val="21"/>
        </w:rPr>
      </w:pPr>
    </w:p>
    <w:p w14:paraId="7220FBCE" w14:textId="77777777" w:rsidR="009021F1" w:rsidRPr="00114059" w:rsidRDefault="009021F1" w:rsidP="009021F1">
      <w:pPr>
        <w:rPr>
          <w:rFonts w:cs="Arial"/>
          <w:i/>
          <w:szCs w:val="21"/>
        </w:rPr>
      </w:pPr>
      <w:r w:rsidRPr="00114059">
        <w:rPr>
          <w:rFonts w:cs="Arial"/>
          <w:i/>
          <w:szCs w:val="21"/>
        </w:rPr>
        <w:t>Réhabilitation des routes rurales</w:t>
      </w:r>
    </w:p>
    <w:p w14:paraId="766904F8" w14:textId="77777777" w:rsidR="009021F1" w:rsidRPr="00114059" w:rsidRDefault="009021F1" w:rsidP="009021F1">
      <w:pPr>
        <w:rPr>
          <w:rFonts w:cs="Arial"/>
          <w:szCs w:val="21"/>
        </w:rPr>
      </w:pPr>
    </w:p>
    <w:p w14:paraId="35F0971B" w14:textId="77777777" w:rsidR="009021F1" w:rsidRPr="00114059" w:rsidRDefault="009021F1" w:rsidP="009021F1">
      <w:pPr>
        <w:rPr>
          <w:rFonts w:cs="Arial"/>
          <w:szCs w:val="21"/>
        </w:rPr>
      </w:pPr>
      <w:r w:rsidRPr="00114059">
        <w:rPr>
          <w:rFonts w:cs="Arial"/>
          <w:szCs w:val="21"/>
        </w:rPr>
        <w:t xml:space="preserve">Le programme visera l’amélioration des routes rurales et les corridors de transport prioritaires (y compris les mesures de sécurité fluviale et les sites de lancement dans les voies navigables), afin de libérer le potentiel de production et de commerce des petits exploitants agricoles dans la zone du Projet, en fonction des critères suivants : </w:t>
      </w:r>
      <w:r w:rsidRPr="00114059">
        <w:rPr>
          <w:rFonts w:cs="Arial"/>
          <w:i/>
          <w:szCs w:val="21"/>
        </w:rPr>
        <w:t>(i)</w:t>
      </w:r>
      <w:r w:rsidRPr="00114059">
        <w:rPr>
          <w:rFonts w:cs="Arial"/>
          <w:szCs w:val="21"/>
        </w:rPr>
        <w:t xml:space="preserve"> ces corridors sont connectés aux routes principales, voies ferrées et/ou voies navigables opérationnelles (sûres et utilisables toute l’année) ; </w:t>
      </w:r>
      <w:r w:rsidRPr="00114059">
        <w:rPr>
          <w:rFonts w:cs="Arial"/>
          <w:i/>
          <w:szCs w:val="21"/>
        </w:rPr>
        <w:t xml:space="preserve">(ii) </w:t>
      </w:r>
      <w:r w:rsidRPr="00114059">
        <w:rPr>
          <w:rFonts w:cs="Arial"/>
          <w:szCs w:val="21"/>
        </w:rPr>
        <w:t xml:space="preserve">ils conduisent à des zones à fort potentiel agricole et à une population relativement dense ; et </w:t>
      </w:r>
      <w:r w:rsidRPr="00114059">
        <w:rPr>
          <w:rFonts w:cs="Arial"/>
          <w:i/>
          <w:szCs w:val="21"/>
        </w:rPr>
        <w:t>(iii)</w:t>
      </w:r>
      <w:r w:rsidRPr="00114059">
        <w:rPr>
          <w:rFonts w:cs="Arial"/>
          <w:szCs w:val="21"/>
        </w:rPr>
        <w:t xml:space="preserve"> ils recherchent des synergies avec les investissements en cours ou futurs du secteur agricole et d’autres interventions dans les infrastructures de transport et/ou de connectivité.</w:t>
      </w:r>
    </w:p>
    <w:p w14:paraId="69E1A7C5" w14:textId="77777777" w:rsidR="009021F1" w:rsidRPr="00114059" w:rsidRDefault="009021F1" w:rsidP="009021F1">
      <w:pPr>
        <w:rPr>
          <w:rFonts w:cs="Arial"/>
          <w:szCs w:val="21"/>
        </w:rPr>
      </w:pPr>
    </w:p>
    <w:p w14:paraId="10EE1CEA" w14:textId="77777777" w:rsidR="009021F1" w:rsidRPr="00114059" w:rsidRDefault="009021F1" w:rsidP="009021F1">
      <w:pPr>
        <w:rPr>
          <w:rFonts w:cs="Arial"/>
          <w:i/>
          <w:szCs w:val="21"/>
        </w:rPr>
      </w:pPr>
      <w:r w:rsidRPr="00114059">
        <w:rPr>
          <w:rFonts w:cs="Arial"/>
          <w:i/>
          <w:szCs w:val="21"/>
        </w:rPr>
        <w:t xml:space="preserve">Amélioration de la santé et l’hygiène en milieu rural </w:t>
      </w:r>
    </w:p>
    <w:p w14:paraId="19D80983" w14:textId="77777777" w:rsidR="009021F1" w:rsidRPr="00114059" w:rsidRDefault="009021F1" w:rsidP="009021F1">
      <w:pPr>
        <w:rPr>
          <w:rFonts w:cs="Arial"/>
          <w:szCs w:val="21"/>
        </w:rPr>
      </w:pPr>
    </w:p>
    <w:p w14:paraId="0FF1AB87" w14:textId="77777777" w:rsidR="009021F1" w:rsidRPr="00114059" w:rsidRDefault="009021F1" w:rsidP="009021F1">
      <w:pPr>
        <w:rPr>
          <w:rFonts w:cs="Arial"/>
          <w:szCs w:val="21"/>
        </w:rPr>
      </w:pPr>
      <w:r w:rsidRPr="00114059">
        <w:rPr>
          <w:rFonts w:cs="Arial"/>
          <w:szCs w:val="21"/>
        </w:rPr>
        <w:t>L’autosuffisance alimentaire est une des bases de la bonne santé des populations car dans la situation de précarité, la faim constitue un des facteurs de fragilisation et d’exposition aux risques de maladies. Le Programme visant l’atteinte de la sécurité alimentaire contribue à l’amélioration des conditions de vie des producteurs agricoles dans les zones couvertes par le Projet. À travers le développement des capacités des producteurs agricoles, le Projet garantira des formations sur les règles élémentaires d’hygiène surtout avec la pandémie de COVID-19. L’impact du Projet dans le milieu rural sera positif et bénéfique à cette frange de la population.</w:t>
      </w:r>
    </w:p>
    <w:p w14:paraId="454E11B7" w14:textId="77777777" w:rsidR="009021F1" w:rsidRPr="00114059" w:rsidRDefault="009021F1" w:rsidP="009021F1">
      <w:pPr>
        <w:rPr>
          <w:rFonts w:cs="Arial"/>
          <w:szCs w:val="21"/>
          <w:lang w:eastAsia="en-US"/>
        </w:rPr>
      </w:pPr>
    </w:p>
    <w:p w14:paraId="5F0A71BF" w14:textId="77777777" w:rsidR="009021F1" w:rsidRPr="00114059" w:rsidRDefault="009021F1" w:rsidP="009021F1">
      <w:pPr>
        <w:pStyle w:val="Titre4"/>
        <w:spacing w:before="0" w:after="0"/>
        <w:ind w:left="0" w:firstLine="0"/>
        <w:rPr>
          <w:rFonts w:ascii="Arial" w:hAnsi="Arial" w:cs="Arial"/>
          <w:b w:val="0"/>
          <w:i/>
          <w:sz w:val="21"/>
          <w:szCs w:val="21"/>
        </w:rPr>
      </w:pPr>
      <w:r w:rsidRPr="00114059">
        <w:rPr>
          <w:rFonts w:ascii="Arial" w:hAnsi="Arial" w:cs="Arial"/>
          <w:b w:val="0"/>
          <w:i/>
          <w:sz w:val="21"/>
          <w:szCs w:val="21"/>
        </w:rPr>
        <w:t>Sécurisation foncière (impact sur le système foncier)</w:t>
      </w:r>
    </w:p>
    <w:p w14:paraId="2EBA852E" w14:textId="77777777" w:rsidR="009021F1" w:rsidRPr="00114059" w:rsidRDefault="009021F1" w:rsidP="009021F1">
      <w:pPr>
        <w:rPr>
          <w:rFonts w:cs="Arial"/>
          <w:szCs w:val="21"/>
        </w:rPr>
      </w:pPr>
    </w:p>
    <w:p w14:paraId="4493F28E" w14:textId="77777777" w:rsidR="009021F1" w:rsidRPr="00114059" w:rsidRDefault="009021F1" w:rsidP="009021F1">
      <w:pPr>
        <w:rPr>
          <w:rFonts w:cs="Arial"/>
          <w:szCs w:val="21"/>
        </w:rPr>
      </w:pPr>
      <w:r w:rsidRPr="00114059">
        <w:rPr>
          <w:rFonts w:cs="Arial"/>
          <w:szCs w:val="21"/>
        </w:rPr>
        <w:t xml:space="preserve">Les activités prévues par le Programme auront donc des impacts positifs majeurs en termes de sécurisation des espaces affectés aux infrastructures. Cela éviterait l’envahissement ou l’encombrement de ces dernières, et, donc, induira une réduction importante des conflits et </w:t>
      </w:r>
      <w:r w:rsidRPr="00114059">
        <w:rPr>
          <w:szCs w:val="21"/>
        </w:rPr>
        <w:t>contribuera positivement à une gestion rationnelle et durable du terroir</w:t>
      </w:r>
      <w:r w:rsidRPr="00114059">
        <w:rPr>
          <w:rFonts w:cs="Arial"/>
          <w:szCs w:val="21"/>
        </w:rPr>
        <w:t xml:space="preserve">. Le PNDA va financer l’amélioration du Cadre Juridique Foncière de la RDC </w:t>
      </w:r>
    </w:p>
    <w:p w14:paraId="7ACCF7F1" w14:textId="77777777" w:rsidR="009021F1" w:rsidRPr="00114059" w:rsidRDefault="009021F1" w:rsidP="009021F1">
      <w:pPr>
        <w:rPr>
          <w:rFonts w:cs="Arial"/>
          <w:szCs w:val="21"/>
        </w:rPr>
      </w:pPr>
    </w:p>
    <w:p w14:paraId="2450C7E5" w14:textId="77777777" w:rsidR="009021F1" w:rsidRPr="00114059" w:rsidRDefault="009021F1" w:rsidP="009021F1">
      <w:pPr>
        <w:rPr>
          <w:rFonts w:cs="Arial"/>
          <w:i/>
          <w:szCs w:val="21"/>
        </w:rPr>
      </w:pPr>
      <w:r w:rsidRPr="00114059">
        <w:rPr>
          <w:rFonts w:cs="Arial"/>
          <w:bCs/>
          <w:i/>
          <w:szCs w:val="21"/>
          <w:lang w:eastAsia="en-US"/>
        </w:rPr>
        <w:t>Création d’emplois et occupation des producteurs</w:t>
      </w:r>
      <w:r w:rsidRPr="00114059">
        <w:rPr>
          <w:rFonts w:cs="Arial"/>
          <w:i/>
          <w:szCs w:val="21"/>
        </w:rPr>
        <w:t xml:space="preserve"> </w:t>
      </w:r>
    </w:p>
    <w:p w14:paraId="4A117308" w14:textId="77777777" w:rsidR="009021F1" w:rsidRPr="00114059" w:rsidRDefault="009021F1" w:rsidP="009021F1">
      <w:pPr>
        <w:rPr>
          <w:rFonts w:cs="Arial"/>
          <w:szCs w:val="21"/>
        </w:rPr>
      </w:pPr>
    </w:p>
    <w:p w14:paraId="1A76E7C1" w14:textId="77777777" w:rsidR="009021F1" w:rsidRPr="00114059" w:rsidRDefault="009021F1" w:rsidP="009021F1">
      <w:pPr>
        <w:rPr>
          <w:rFonts w:cs="Arial"/>
          <w:szCs w:val="21"/>
        </w:rPr>
      </w:pPr>
      <w:r w:rsidRPr="00114059">
        <w:rPr>
          <w:rFonts w:cs="Arial"/>
          <w:szCs w:val="21"/>
        </w:rPr>
        <w:t>Parmi les impacts sociaux, on note également la réduction, voire l’arrêt de l’exode rural, une augmentation des revenus des couches vulnérables notamment les femmes et les jeunes du fait qu’ils pourraient s’adonner à des activités que le Projet pourrait financer et contribuer ainsi à la lutte contre la délinquance. Le Projet va permettre la création d’emplois directs permanents et temporaires aussi bien en phase d’exécution qu’en phase d’exploitation. L’embauche en priorité de la main-d’œuvre non qualifiée issue des communautés locales, avec un accent mis sur les femmes et les jeunes, contribuera à la lutte contre le chômage local et contre la pauvreté.  Par ailleurs, le Projet va s’accompagner du développement des métiers suivants : utilisation, entretien et réparation des matériels agricoles ; conducteurs d’engins agricoles ; la mise en valeur des parcelles irriguées, la production, le groupage, le conditionnement, la transformation et la commercialisation des produits agricoles.</w:t>
      </w:r>
    </w:p>
    <w:p w14:paraId="5EA59587" w14:textId="77777777" w:rsidR="009021F1" w:rsidRPr="00114059" w:rsidRDefault="009021F1" w:rsidP="009021F1">
      <w:pPr>
        <w:rPr>
          <w:rFonts w:cs="Arial"/>
          <w:szCs w:val="21"/>
        </w:rPr>
      </w:pPr>
    </w:p>
    <w:p w14:paraId="116641A6" w14:textId="77777777" w:rsidR="009021F1" w:rsidRPr="00114059" w:rsidRDefault="009021F1" w:rsidP="009021F1">
      <w:pPr>
        <w:rPr>
          <w:rFonts w:cs="Arial"/>
          <w:i/>
          <w:szCs w:val="21"/>
        </w:rPr>
      </w:pPr>
      <w:r w:rsidRPr="00114059">
        <w:rPr>
          <w:rFonts w:cs="Arial"/>
          <w:i/>
          <w:szCs w:val="21"/>
        </w:rPr>
        <w:t xml:space="preserve">Financement des activités agropastorales </w:t>
      </w:r>
    </w:p>
    <w:p w14:paraId="1AF13C79" w14:textId="77777777" w:rsidR="009021F1" w:rsidRPr="00114059" w:rsidRDefault="009021F1" w:rsidP="009021F1">
      <w:pPr>
        <w:rPr>
          <w:rFonts w:cs="Arial"/>
          <w:color w:val="202124"/>
          <w:szCs w:val="21"/>
          <w:shd w:val="clear" w:color="auto" w:fill="FFFFFF"/>
        </w:rPr>
      </w:pPr>
    </w:p>
    <w:p w14:paraId="33A9A628" w14:textId="77777777" w:rsidR="009021F1" w:rsidRPr="00114059" w:rsidRDefault="009021F1" w:rsidP="009021F1">
      <w:pPr>
        <w:rPr>
          <w:rFonts w:cs="Arial"/>
          <w:szCs w:val="21"/>
        </w:rPr>
      </w:pPr>
      <w:r w:rsidRPr="00114059">
        <w:rPr>
          <w:rFonts w:cs="Arial"/>
          <w:szCs w:val="21"/>
        </w:rPr>
        <w:t>Le financement des activités agropastorales par les intermédiaires financiers va favoriser la croissance incontestable des entreprises agricoles dans les provinces concernées par le PNDA. Ce financement des activités agropastoraux vont supprimer les obstacles à la circulation des capitaux et donneront une impulsion sans précédent aux marchés financiers afin d’améliorer les activités agropastorales dans la zone du PNDA. Bref, ce financement par IF apportera une fluidité des investissements en fonction des perspectives économiques rencontrées dans la zone du PNDA. Il y aura une réduction du risque et la réduction des coûts constituent les principaux avantages de l'intermédiation financière, qui, de ce fait, favorise l'épargne et l'investissement.</w:t>
      </w:r>
    </w:p>
    <w:p w14:paraId="0E5808DA" w14:textId="77777777" w:rsidR="009021F1" w:rsidRPr="00114059" w:rsidRDefault="009021F1" w:rsidP="009021F1">
      <w:pPr>
        <w:rPr>
          <w:rFonts w:cs="Arial"/>
          <w:szCs w:val="21"/>
        </w:rPr>
      </w:pPr>
    </w:p>
    <w:p w14:paraId="62584F23" w14:textId="77777777" w:rsidR="009021F1" w:rsidRPr="00114059" w:rsidRDefault="009021F1" w:rsidP="009021F1">
      <w:pPr>
        <w:pStyle w:val="Titre2"/>
        <w:numPr>
          <w:ilvl w:val="2"/>
          <w:numId w:val="4"/>
        </w:numPr>
        <w:ind w:left="1560" w:hanging="709"/>
        <w:rPr>
          <w:rFonts w:cs="Arial"/>
          <w:i/>
          <w:szCs w:val="21"/>
        </w:rPr>
      </w:pPr>
      <w:bookmarkStart w:id="389" w:name="_Toc90471495"/>
      <w:r w:rsidRPr="00114059">
        <w:rPr>
          <w:rFonts w:cs="Arial"/>
          <w:i/>
          <w:szCs w:val="21"/>
        </w:rPr>
        <w:t>Impacts positifs des catégories des sous-projets</w:t>
      </w:r>
      <w:bookmarkEnd w:id="389"/>
    </w:p>
    <w:p w14:paraId="70E0D78A" w14:textId="77777777" w:rsidR="009021F1" w:rsidRPr="00114059" w:rsidRDefault="009021F1" w:rsidP="009021F1">
      <w:pPr>
        <w:rPr>
          <w:szCs w:val="21"/>
          <w:lang w:eastAsia="en-US"/>
        </w:rPr>
      </w:pPr>
    </w:p>
    <w:p w14:paraId="7CB9C390" w14:textId="77777777" w:rsidR="009021F1" w:rsidRPr="00114059" w:rsidRDefault="009021F1" w:rsidP="009021F1">
      <w:pPr>
        <w:rPr>
          <w:rFonts w:cs="Arial"/>
          <w:szCs w:val="21"/>
        </w:rPr>
      </w:pPr>
      <w:r w:rsidRPr="00114059">
        <w:rPr>
          <w:rFonts w:cs="Arial"/>
          <w:szCs w:val="21"/>
        </w:rPr>
        <w:t>Ce tableau des impacts positifs par composante, sous composante et activités est proposé ci-dessous et pourrait être amendé.</w:t>
      </w:r>
    </w:p>
    <w:p w14:paraId="7D906405" w14:textId="77777777" w:rsidR="009021F1" w:rsidRPr="00114059" w:rsidRDefault="009021F1" w:rsidP="009021F1">
      <w:pPr>
        <w:rPr>
          <w:szCs w:val="21"/>
        </w:rPr>
      </w:pPr>
    </w:p>
    <w:p w14:paraId="275A05A2" w14:textId="77777777" w:rsidR="009021F1" w:rsidRPr="00114059" w:rsidRDefault="009021F1" w:rsidP="009021F1">
      <w:pPr>
        <w:rPr>
          <w:rFonts w:cs="Arial"/>
          <w:szCs w:val="21"/>
        </w:rPr>
      </w:pPr>
      <w:r w:rsidRPr="00114059">
        <w:rPr>
          <w:rFonts w:cs="Arial"/>
          <w:szCs w:val="21"/>
        </w:rPr>
        <w:t xml:space="preserve">Tableau </w:t>
      </w:r>
      <w:r w:rsidRPr="00114059">
        <w:rPr>
          <w:rFonts w:cs="Arial"/>
          <w:szCs w:val="21"/>
        </w:rPr>
        <w:fldChar w:fldCharType="begin"/>
      </w:r>
      <w:r w:rsidRPr="00114059">
        <w:rPr>
          <w:rFonts w:cs="Arial"/>
          <w:szCs w:val="21"/>
        </w:rPr>
        <w:instrText xml:space="preserve"> SEQ Tableau \* ARABIC </w:instrText>
      </w:r>
      <w:r w:rsidRPr="00114059">
        <w:rPr>
          <w:rFonts w:cs="Arial"/>
          <w:szCs w:val="21"/>
        </w:rPr>
        <w:fldChar w:fldCharType="separate"/>
      </w:r>
      <w:r>
        <w:rPr>
          <w:rFonts w:cs="Arial"/>
          <w:noProof/>
          <w:szCs w:val="21"/>
        </w:rPr>
        <w:t>22</w:t>
      </w:r>
      <w:r w:rsidRPr="00114059">
        <w:rPr>
          <w:rFonts w:cs="Arial"/>
          <w:szCs w:val="21"/>
        </w:rPr>
        <w:fldChar w:fldCharType="end"/>
      </w:r>
      <w:r w:rsidRPr="00114059">
        <w:rPr>
          <w:rFonts w:cs="Arial"/>
          <w:szCs w:val="21"/>
        </w:rPr>
        <w:t>. Impacts positifs</w:t>
      </w:r>
    </w:p>
    <w:p w14:paraId="4396EE65" w14:textId="77777777" w:rsidR="009021F1" w:rsidRPr="00114059" w:rsidRDefault="009021F1" w:rsidP="009021F1">
      <w:pPr>
        <w:rPr>
          <w:rFonts w:cs="Arial"/>
          <w:szCs w:val="21"/>
        </w:rPr>
      </w:pPr>
    </w:p>
    <w:tbl>
      <w:tblPr>
        <w:tblW w:w="1049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0"/>
        <w:gridCol w:w="1831"/>
        <w:gridCol w:w="3073"/>
        <w:gridCol w:w="3796"/>
      </w:tblGrid>
      <w:tr w:rsidR="009021F1" w:rsidRPr="009A7F3A" w14:paraId="44B5E74F" w14:textId="77777777" w:rsidTr="00E637E3">
        <w:trPr>
          <w:trHeight w:val="501"/>
          <w:tblHeader/>
        </w:trPr>
        <w:tc>
          <w:tcPr>
            <w:tcW w:w="1790" w:type="dxa"/>
            <w:shd w:val="clear" w:color="auto" w:fill="auto"/>
          </w:tcPr>
          <w:p w14:paraId="10446AAB" w14:textId="77777777" w:rsidR="009021F1" w:rsidRPr="00114059" w:rsidRDefault="009021F1" w:rsidP="00E637E3">
            <w:pPr>
              <w:spacing w:line="240" w:lineRule="auto"/>
              <w:jc w:val="center"/>
              <w:rPr>
                <w:rFonts w:cs="Arial"/>
                <w:sz w:val="20"/>
                <w:szCs w:val="20"/>
                <w:lang w:eastAsia="en-US"/>
              </w:rPr>
            </w:pPr>
            <w:r w:rsidRPr="00114059">
              <w:rPr>
                <w:rFonts w:cs="Arial"/>
                <w:b/>
                <w:sz w:val="20"/>
                <w:szCs w:val="20"/>
                <w:lang w:eastAsia="en-US"/>
              </w:rPr>
              <w:t>Composante du projet</w:t>
            </w:r>
          </w:p>
        </w:tc>
        <w:tc>
          <w:tcPr>
            <w:tcW w:w="1831" w:type="dxa"/>
            <w:shd w:val="clear" w:color="auto" w:fill="auto"/>
          </w:tcPr>
          <w:p w14:paraId="2BBCCAA9" w14:textId="77777777" w:rsidR="009021F1" w:rsidRPr="00114059" w:rsidRDefault="009021F1" w:rsidP="00E637E3">
            <w:pPr>
              <w:spacing w:line="240" w:lineRule="auto"/>
              <w:jc w:val="center"/>
              <w:rPr>
                <w:rFonts w:cs="Arial"/>
                <w:sz w:val="20"/>
                <w:szCs w:val="20"/>
                <w:lang w:eastAsia="en-US"/>
              </w:rPr>
            </w:pPr>
            <w:r w:rsidRPr="00114059">
              <w:rPr>
                <w:rFonts w:cs="Arial"/>
                <w:b/>
                <w:sz w:val="20"/>
                <w:szCs w:val="20"/>
                <w:lang w:eastAsia="en-US"/>
              </w:rPr>
              <w:t>Sous composante</w:t>
            </w:r>
          </w:p>
        </w:tc>
        <w:tc>
          <w:tcPr>
            <w:tcW w:w="3073" w:type="dxa"/>
            <w:shd w:val="clear" w:color="auto" w:fill="auto"/>
          </w:tcPr>
          <w:p w14:paraId="04B77324" w14:textId="77777777" w:rsidR="009021F1" w:rsidRPr="00114059" w:rsidRDefault="009021F1" w:rsidP="00E637E3">
            <w:pPr>
              <w:spacing w:line="240" w:lineRule="auto"/>
              <w:jc w:val="center"/>
              <w:rPr>
                <w:rFonts w:cs="Arial"/>
                <w:b/>
                <w:sz w:val="20"/>
                <w:szCs w:val="20"/>
                <w:lang w:eastAsia="en-US"/>
              </w:rPr>
            </w:pPr>
          </w:p>
          <w:p w14:paraId="0CC8D2F8" w14:textId="77777777" w:rsidR="009021F1" w:rsidRPr="00114059" w:rsidRDefault="009021F1" w:rsidP="00E637E3">
            <w:pPr>
              <w:spacing w:line="240" w:lineRule="auto"/>
              <w:jc w:val="center"/>
              <w:rPr>
                <w:rFonts w:cs="Arial"/>
                <w:sz w:val="20"/>
                <w:szCs w:val="20"/>
                <w:lang w:eastAsia="en-US"/>
              </w:rPr>
            </w:pPr>
            <w:r w:rsidRPr="00114059">
              <w:rPr>
                <w:rFonts w:cs="Arial"/>
                <w:b/>
                <w:sz w:val="20"/>
                <w:szCs w:val="20"/>
                <w:lang w:eastAsia="en-US"/>
              </w:rPr>
              <w:t>Activités</w:t>
            </w:r>
          </w:p>
        </w:tc>
        <w:tc>
          <w:tcPr>
            <w:tcW w:w="3796" w:type="dxa"/>
            <w:shd w:val="clear" w:color="auto" w:fill="auto"/>
          </w:tcPr>
          <w:p w14:paraId="0F5231FD" w14:textId="77777777" w:rsidR="009021F1" w:rsidRPr="00114059" w:rsidRDefault="009021F1" w:rsidP="00E637E3">
            <w:pPr>
              <w:spacing w:line="240" w:lineRule="auto"/>
              <w:jc w:val="center"/>
              <w:rPr>
                <w:rFonts w:cs="Arial"/>
                <w:b/>
                <w:sz w:val="20"/>
                <w:szCs w:val="20"/>
                <w:lang w:eastAsia="en-US"/>
              </w:rPr>
            </w:pPr>
          </w:p>
          <w:p w14:paraId="5F546BBC" w14:textId="77777777" w:rsidR="009021F1" w:rsidRPr="00114059" w:rsidRDefault="009021F1" w:rsidP="00E637E3">
            <w:pPr>
              <w:spacing w:line="240" w:lineRule="auto"/>
              <w:jc w:val="center"/>
              <w:rPr>
                <w:rFonts w:cs="Arial"/>
                <w:sz w:val="20"/>
                <w:szCs w:val="20"/>
                <w:lang w:eastAsia="en-US"/>
              </w:rPr>
            </w:pPr>
            <w:r w:rsidRPr="00114059">
              <w:rPr>
                <w:rFonts w:cs="Arial"/>
                <w:b/>
                <w:sz w:val="20"/>
                <w:szCs w:val="20"/>
                <w:lang w:eastAsia="en-US"/>
              </w:rPr>
              <w:t>Impacts positifs</w:t>
            </w:r>
          </w:p>
        </w:tc>
      </w:tr>
      <w:tr w:rsidR="009021F1" w:rsidRPr="009A7F3A" w14:paraId="36C6D12E" w14:textId="77777777" w:rsidTr="00E637E3">
        <w:trPr>
          <w:trHeight w:val="5819"/>
        </w:trPr>
        <w:tc>
          <w:tcPr>
            <w:tcW w:w="1790" w:type="dxa"/>
            <w:vMerge w:val="restart"/>
            <w:shd w:val="clear" w:color="auto" w:fill="auto"/>
            <w:vAlign w:val="center"/>
          </w:tcPr>
          <w:p w14:paraId="11779DA4" w14:textId="77777777" w:rsidR="009021F1" w:rsidRPr="00114059" w:rsidRDefault="009021F1" w:rsidP="00E637E3">
            <w:pPr>
              <w:numPr>
                <w:ilvl w:val="0"/>
                <w:numId w:val="98"/>
              </w:numPr>
              <w:autoSpaceDN w:val="0"/>
              <w:spacing w:line="240" w:lineRule="auto"/>
              <w:ind w:left="313" w:hanging="284"/>
              <w:rPr>
                <w:rFonts w:cs="Arial"/>
                <w:sz w:val="20"/>
                <w:szCs w:val="20"/>
              </w:rPr>
            </w:pPr>
            <w:r w:rsidRPr="00114059">
              <w:rPr>
                <w:rFonts w:cs="Arial"/>
                <w:sz w:val="20"/>
                <w:szCs w:val="20"/>
              </w:rPr>
              <w:t>Productivité agricole</w:t>
            </w:r>
          </w:p>
          <w:p w14:paraId="34E74B2F" w14:textId="77777777" w:rsidR="009021F1" w:rsidRPr="00114059" w:rsidRDefault="009021F1" w:rsidP="00E637E3">
            <w:pPr>
              <w:spacing w:line="240" w:lineRule="auto"/>
              <w:rPr>
                <w:rFonts w:cs="Arial"/>
                <w:sz w:val="20"/>
                <w:szCs w:val="20"/>
                <w:lang w:eastAsia="en-US"/>
              </w:rPr>
            </w:pPr>
          </w:p>
        </w:tc>
        <w:tc>
          <w:tcPr>
            <w:tcW w:w="1831" w:type="dxa"/>
            <w:shd w:val="clear" w:color="auto" w:fill="auto"/>
            <w:vAlign w:val="center"/>
          </w:tcPr>
          <w:p w14:paraId="283C232A" w14:textId="77777777" w:rsidR="009021F1" w:rsidRPr="00114059" w:rsidRDefault="009021F1" w:rsidP="00E637E3">
            <w:pPr>
              <w:spacing w:line="240" w:lineRule="auto"/>
              <w:rPr>
                <w:rFonts w:cs="Arial"/>
                <w:sz w:val="20"/>
                <w:szCs w:val="20"/>
                <w:lang w:eastAsia="en-US"/>
              </w:rPr>
            </w:pPr>
            <w:r w:rsidRPr="00114059">
              <w:rPr>
                <w:rFonts w:cs="Arial"/>
                <w:sz w:val="20"/>
                <w:szCs w:val="20"/>
                <w:lang w:eastAsia="en-US"/>
              </w:rPr>
              <w:t>Soutien direct aux petits exploitants</w:t>
            </w:r>
          </w:p>
        </w:tc>
        <w:tc>
          <w:tcPr>
            <w:tcW w:w="3073" w:type="dxa"/>
            <w:shd w:val="clear" w:color="auto" w:fill="auto"/>
            <w:vAlign w:val="center"/>
          </w:tcPr>
          <w:p w14:paraId="261DDAFA" w14:textId="77777777" w:rsidR="009021F1" w:rsidRPr="00114059" w:rsidRDefault="009021F1" w:rsidP="00E637E3">
            <w:pPr>
              <w:spacing w:line="240" w:lineRule="auto"/>
              <w:rPr>
                <w:rFonts w:cs="Arial"/>
                <w:sz w:val="20"/>
                <w:szCs w:val="20"/>
                <w:lang w:eastAsia="en-US"/>
              </w:rPr>
            </w:pPr>
            <w:r w:rsidRPr="00114059">
              <w:rPr>
                <w:rFonts w:cs="Arial"/>
                <w:color w:val="222222"/>
                <w:sz w:val="20"/>
                <w:szCs w:val="20"/>
              </w:rPr>
              <w:t>Aide directe aux petits exploitants agricoles pour adoption des pratiques, technologies et intrants CSA (agriculture intelligente face au climat) et AIN (agriculture intelligente face à la nutrition) (semences, plants, races animales, services de conseil et de vulgarisation).</w:t>
            </w:r>
          </w:p>
        </w:tc>
        <w:tc>
          <w:tcPr>
            <w:tcW w:w="3796" w:type="dxa"/>
            <w:shd w:val="clear" w:color="auto" w:fill="auto"/>
          </w:tcPr>
          <w:p w14:paraId="62665EB1" w14:textId="77777777" w:rsidR="009021F1" w:rsidRPr="00114059" w:rsidRDefault="009021F1" w:rsidP="00E637E3">
            <w:pPr>
              <w:numPr>
                <w:ilvl w:val="0"/>
                <w:numId w:val="97"/>
              </w:numPr>
              <w:suppressAutoHyphens/>
              <w:autoSpaceDN w:val="0"/>
              <w:spacing w:line="240" w:lineRule="auto"/>
              <w:ind w:left="176" w:hanging="142"/>
              <w:textAlignment w:val="baseline"/>
              <w:rPr>
                <w:rFonts w:cs="Arial"/>
                <w:sz w:val="20"/>
                <w:szCs w:val="20"/>
                <w:lang w:eastAsia="en-US"/>
              </w:rPr>
            </w:pPr>
            <w:r w:rsidRPr="00114059">
              <w:rPr>
                <w:rFonts w:cs="Arial"/>
                <w:sz w:val="20"/>
                <w:szCs w:val="20"/>
                <w:lang w:eastAsia="en-US"/>
              </w:rPr>
              <w:t>Création des bases des données pour les opérateurs agricoles dans les provinces concernées par le PNDA ;</w:t>
            </w:r>
          </w:p>
          <w:p w14:paraId="0C4B9D25" w14:textId="77777777" w:rsidR="009021F1" w:rsidRPr="00114059" w:rsidRDefault="009021F1" w:rsidP="00E637E3">
            <w:pPr>
              <w:numPr>
                <w:ilvl w:val="0"/>
                <w:numId w:val="97"/>
              </w:numPr>
              <w:suppressAutoHyphens/>
              <w:autoSpaceDN w:val="0"/>
              <w:spacing w:line="240" w:lineRule="auto"/>
              <w:ind w:left="176" w:hanging="142"/>
              <w:textAlignment w:val="baseline"/>
              <w:rPr>
                <w:rFonts w:cs="Arial"/>
                <w:sz w:val="20"/>
                <w:szCs w:val="20"/>
                <w:lang w:eastAsia="en-US"/>
              </w:rPr>
            </w:pPr>
            <w:r w:rsidRPr="00114059">
              <w:rPr>
                <w:rFonts w:cs="Arial"/>
                <w:sz w:val="20"/>
                <w:szCs w:val="20"/>
                <w:lang w:eastAsia="en-US"/>
              </w:rPr>
              <w:t>50 pour cent des bénéficiaires de l’aide directe devront être des femmes, tel qu’indiqué dans le document de programme ;</w:t>
            </w:r>
          </w:p>
          <w:p w14:paraId="4BD85D0C" w14:textId="77777777" w:rsidR="009021F1" w:rsidRPr="00114059" w:rsidRDefault="009021F1" w:rsidP="00E637E3">
            <w:pPr>
              <w:numPr>
                <w:ilvl w:val="0"/>
                <w:numId w:val="97"/>
              </w:numPr>
              <w:suppressAutoHyphens/>
              <w:autoSpaceDN w:val="0"/>
              <w:spacing w:line="240" w:lineRule="auto"/>
              <w:ind w:left="176" w:hanging="142"/>
              <w:textAlignment w:val="baseline"/>
              <w:rPr>
                <w:rFonts w:cs="Arial"/>
                <w:sz w:val="20"/>
                <w:szCs w:val="20"/>
                <w:lang w:eastAsia="en-US"/>
              </w:rPr>
            </w:pPr>
            <w:r w:rsidRPr="00114059">
              <w:rPr>
                <w:rFonts w:cs="Arial"/>
                <w:sz w:val="20"/>
                <w:szCs w:val="20"/>
                <w:lang w:eastAsia="en-US"/>
              </w:rPr>
              <w:t>Conception des instruments de prestation du soutien direct aux agriculteurs</w:t>
            </w:r>
          </w:p>
          <w:p w14:paraId="46766F93" w14:textId="77777777" w:rsidR="009021F1" w:rsidRPr="00114059" w:rsidRDefault="009021F1" w:rsidP="00E637E3">
            <w:pPr>
              <w:numPr>
                <w:ilvl w:val="0"/>
                <w:numId w:val="97"/>
              </w:numPr>
              <w:suppressAutoHyphens/>
              <w:autoSpaceDN w:val="0"/>
              <w:spacing w:line="240" w:lineRule="auto"/>
              <w:ind w:left="176" w:hanging="142"/>
              <w:textAlignment w:val="baseline"/>
              <w:rPr>
                <w:rFonts w:cs="Arial"/>
                <w:sz w:val="20"/>
                <w:szCs w:val="20"/>
                <w:lang w:eastAsia="en-US"/>
              </w:rPr>
            </w:pPr>
            <w:r w:rsidRPr="00114059">
              <w:rPr>
                <w:rFonts w:cs="Arial"/>
                <w:color w:val="222222"/>
                <w:sz w:val="20"/>
                <w:szCs w:val="20"/>
              </w:rPr>
              <w:t xml:space="preserve">Développement de l’agriculture intelligente face au climat (CSA), telles que l’agroforesterie, les systèmes d’irrigation à la ferme, l’agriculture de conservation et l’application de fumier, </w:t>
            </w:r>
          </w:p>
          <w:p w14:paraId="48A3288D" w14:textId="77777777" w:rsidR="009021F1" w:rsidRPr="00114059" w:rsidRDefault="009021F1" w:rsidP="00E637E3">
            <w:pPr>
              <w:numPr>
                <w:ilvl w:val="0"/>
                <w:numId w:val="97"/>
              </w:numPr>
              <w:suppressAutoHyphens/>
              <w:autoSpaceDN w:val="0"/>
              <w:spacing w:line="240" w:lineRule="auto"/>
              <w:ind w:left="176" w:hanging="142"/>
              <w:textAlignment w:val="baseline"/>
              <w:rPr>
                <w:rFonts w:cs="Arial"/>
                <w:sz w:val="20"/>
                <w:szCs w:val="20"/>
                <w:lang w:eastAsia="en-US"/>
              </w:rPr>
            </w:pPr>
            <w:r w:rsidRPr="00114059">
              <w:rPr>
                <w:rFonts w:cs="Arial"/>
                <w:color w:val="222222"/>
                <w:sz w:val="20"/>
                <w:szCs w:val="20"/>
              </w:rPr>
              <w:t>Renforcement des capacités sur la technique moderne agricole aux petits exploitants sur la résilience face aux risques liés au changement climatique, tels que la sécheresse et les inondations</w:t>
            </w:r>
          </w:p>
          <w:p w14:paraId="3657945F" w14:textId="77777777" w:rsidR="009021F1" w:rsidRPr="00114059" w:rsidRDefault="009021F1" w:rsidP="00E637E3">
            <w:pPr>
              <w:numPr>
                <w:ilvl w:val="0"/>
                <w:numId w:val="97"/>
              </w:numPr>
              <w:suppressAutoHyphens/>
              <w:autoSpaceDN w:val="0"/>
              <w:spacing w:line="240" w:lineRule="auto"/>
              <w:ind w:left="176" w:hanging="142"/>
              <w:textAlignment w:val="baseline"/>
              <w:rPr>
                <w:rFonts w:cs="Arial"/>
                <w:color w:val="222222"/>
                <w:sz w:val="20"/>
                <w:szCs w:val="20"/>
              </w:rPr>
            </w:pPr>
            <w:r w:rsidRPr="00114059">
              <w:rPr>
                <w:rFonts w:cs="Arial"/>
                <w:color w:val="222222"/>
                <w:sz w:val="20"/>
                <w:szCs w:val="20"/>
              </w:rPr>
              <w:t>Développement de l’agriculture Intelligente face à la Nutrition</w:t>
            </w:r>
          </w:p>
          <w:p w14:paraId="58E3D09C" w14:textId="77777777" w:rsidR="009021F1" w:rsidRPr="00114059" w:rsidRDefault="009021F1" w:rsidP="00E637E3">
            <w:pPr>
              <w:numPr>
                <w:ilvl w:val="0"/>
                <w:numId w:val="97"/>
              </w:numPr>
              <w:suppressAutoHyphens/>
              <w:autoSpaceDN w:val="0"/>
              <w:spacing w:line="240" w:lineRule="auto"/>
              <w:ind w:left="176" w:hanging="142"/>
              <w:textAlignment w:val="baseline"/>
              <w:rPr>
                <w:rFonts w:cs="Arial"/>
                <w:sz w:val="20"/>
                <w:szCs w:val="20"/>
                <w:lang w:eastAsia="en-US"/>
              </w:rPr>
            </w:pPr>
            <w:r w:rsidRPr="00114059">
              <w:rPr>
                <w:rFonts w:cs="Arial"/>
                <w:color w:val="222222"/>
                <w:sz w:val="20"/>
                <w:szCs w:val="20"/>
              </w:rPr>
              <w:t>Fourniture d’intrants agricoles et des services aux petits exploitants</w:t>
            </w:r>
          </w:p>
        </w:tc>
      </w:tr>
      <w:tr w:rsidR="009021F1" w:rsidRPr="009A7F3A" w14:paraId="64301501" w14:textId="77777777" w:rsidTr="00E637E3">
        <w:trPr>
          <w:trHeight w:val="143"/>
        </w:trPr>
        <w:tc>
          <w:tcPr>
            <w:tcW w:w="1790" w:type="dxa"/>
            <w:vMerge/>
            <w:shd w:val="clear" w:color="auto" w:fill="auto"/>
          </w:tcPr>
          <w:p w14:paraId="0453A9C1" w14:textId="77777777" w:rsidR="009021F1" w:rsidRPr="00114059" w:rsidRDefault="009021F1" w:rsidP="00E637E3">
            <w:pPr>
              <w:spacing w:line="240" w:lineRule="auto"/>
              <w:rPr>
                <w:rFonts w:cs="Arial"/>
                <w:sz w:val="20"/>
                <w:szCs w:val="20"/>
                <w:lang w:eastAsia="en-US"/>
              </w:rPr>
            </w:pPr>
          </w:p>
        </w:tc>
        <w:tc>
          <w:tcPr>
            <w:tcW w:w="1831" w:type="dxa"/>
            <w:shd w:val="clear" w:color="auto" w:fill="auto"/>
            <w:vAlign w:val="center"/>
          </w:tcPr>
          <w:p w14:paraId="18A41500" w14:textId="77777777" w:rsidR="009021F1" w:rsidRPr="00114059" w:rsidRDefault="009021F1" w:rsidP="00E637E3">
            <w:pPr>
              <w:spacing w:line="240" w:lineRule="auto"/>
              <w:rPr>
                <w:rFonts w:cs="Arial"/>
                <w:sz w:val="20"/>
                <w:szCs w:val="20"/>
                <w:lang w:eastAsia="en-US"/>
              </w:rPr>
            </w:pPr>
            <w:r w:rsidRPr="00114059">
              <w:rPr>
                <w:rFonts w:cs="Arial"/>
                <w:color w:val="222222"/>
                <w:sz w:val="20"/>
                <w:szCs w:val="20"/>
              </w:rPr>
              <w:t>Assistance technique et accès financier aux petits exploitants</w:t>
            </w:r>
          </w:p>
        </w:tc>
        <w:tc>
          <w:tcPr>
            <w:tcW w:w="3073" w:type="dxa"/>
            <w:shd w:val="clear" w:color="auto" w:fill="auto"/>
            <w:vAlign w:val="center"/>
          </w:tcPr>
          <w:p w14:paraId="69C66A34" w14:textId="77777777" w:rsidR="009021F1" w:rsidRPr="00114059" w:rsidRDefault="009021F1" w:rsidP="00E637E3">
            <w:pPr>
              <w:spacing w:line="240" w:lineRule="auto"/>
              <w:rPr>
                <w:rFonts w:cs="Arial"/>
                <w:sz w:val="20"/>
                <w:szCs w:val="20"/>
                <w:lang w:eastAsia="en-US"/>
              </w:rPr>
            </w:pPr>
            <w:r w:rsidRPr="00114059">
              <w:rPr>
                <w:rFonts w:cs="Arial"/>
                <w:color w:val="222222"/>
                <w:sz w:val="20"/>
                <w:szCs w:val="20"/>
              </w:rPr>
              <w:t>Accès à l’assistance technique et aux services financiers, promotion de meilleures pratiques et amélioration de la productivité des petits exploitants</w:t>
            </w:r>
          </w:p>
        </w:tc>
        <w:tc>
          <w:tcPr>
            <w:tcW w:w="3796" w:type="dxa"/>
            <w:shd w:val="clear" w:color="auto" w:fill="auto"/>
          </w:tcPr>
          <w:p w14:paraId="7BE5387C" w14:textId="77777777" w:rsidR="009021F1" w:rsidRPr="00114059" w:rsidRDefault="009021F1" w:rsidP="00E637E3">
            <w:pPr>
              <w:numPr>
                <w:ilvl w:val="0"/>
                <w:numId w:val="97"/>
              </w:numPr>
              <w:suppressAutoHyphens/>
              <w:autoSpaceDN w:val="0"/>
              <w:spacing w:line="240" w:lineRule="auto"/>
              <w:ind w:left="176" w:hanging="142"/>
              <w:textAlignment w:val="baseline"/>
              <w:rPr>
                <w:rFonts w:cs="Arial"/>
                <w:sz w:val="20"/>
                <w:szCs w:val="20"/>
                <w:lang w:eastAsia="en-US"/>
              </w:rPr>
            </w:pPr>
            <w:r w:rsidRPr="00114059">
              <w:rPr>
                <w:rFonts w:cs="Arial"/>
                <w:color w:val="222222"/>
                <w:sz w:val="20"/>
                <w:szCs w:val="20"/>
              </w:rPr>
              <w:t xml:space="preserve">Renforcement des capacités des fournisseurs de : </w:t>
            </w:r>
            <w:r w:rsidRPr="00114059">
              <w:rPr>
                <w:rFonts w:cs="Arial"/>
                <w:i/>
                <w:color w:val="222222"/>
                <w:sz w:val="20"/>
                <w:szCs w:val="20"/>
              </w:rPr>
              <w:t>(i)</w:t>
            </w:r>
            <w:r w:rsidRPr="00114059">
              <w:rPr>
                <w:rFonts w:cs="Arial"/>
                <w:color w:val="222222"/>
                <w:sz w:val="20"/>
                <w:szCs w:val="20"/>
              </w:rPr>
              <w:t xml:space="preserve"> l’assistance technique aux petits exploitants (publics, privés, ONG), </w:t>
            </w:r>
            <w:r w:rsidRPr="00114059">
              <w:rPr>
                <w:rFonts w:cs="Arial"/>
                <w:i/>
                <w:color w:val="222222"/>
                <w:sz w:val="20"/>
                <w:szCs w:val="20"/>
              </w:rPr>
              <w:t>(ii)</w:t>
            </w:r>
            <w:r w:rsidRPr="00114059">
              <w:rPr>
                <w:rFonts w:cs="Arial"/>
                <w:color w:val="222222"/>
                <w:sz w:val="20"/>
                <w:szCs w:val="20"/>
              </w:rPr>
              <w:t xml:space="preserve"> les services l’administration/d’enregistrement foncier et </w:t>
            </w:r>
            <w:r w:rsidRPr="00114059">
              <w:rPr>
                <w:rFonts w:cs="Arial"/>
                <w:i/>
                <w:color w:val="222222"/>
                <w:sz w:val="20"/>
                <w:szCs w:val="20"/>
              </w:rPr>
              <w:t>(iii)</w:t>
            </w:r>
            <w:r w:rsidRPr="00114059">
              <w:rPr>
                <w:rFonts w:cs="Arial"/>
                <w:color w:val="222222"/>
                <w:sz w:val="20"/>
                <w:szCs w:val="20"/>
              </w:rPr>
              <w:t xml:space="preserve"> les services financiers, tels que les groupes Associations Villageoises d’Epargne et de Crédits (AVEC) - petites caisses villageoises autogérées ;</w:t>
            </w:r>
          </w:p>
          <w:p w14:paraId="23B4E6F5" w14:textId="77777777" w:rsidR="009021F1" w:rsidRPr="00114059" w:rsidRDefault="009021F1" w:rsidP="00E637E3">
            <w:pPr>
              <w:numPr>
                <w:ilvl w:val="0"/>
                <w:numId w:val="97"/>
              </w:numPr>
              <w:suppressAutoHyphens/>
              <w:autoSpaceDN w:val="0"/>
              <w:spacing w:line="240" w:lineRule="auto"/>
              <w:ind w:left="176" w:hanging="142"/>
              <w:textAlignment w:val="baseline"/>
              <w:rPr>
                <w:rFonts w:cs="Arial"/>
                <w:sz w:val="20"/>
                <w:szCs w:val="20"/>
                <w:lang w:eastAsia="en-US"/>
              </w:rPr>
            </w:pPr>
            <w:r w:rsidRPr="00114059">
              <w:rPr>
                <w:rFonts w:cs="Arial"/>
                <w:color w:val="222222"/>
                <w:sz w:val="20"/>
                <w:szCs w:val="20"/>
              </w:rPr>
              <w:t>Soutien d’accès des agriculteurs aux services d’enregistrement des régimes fonciers conventionnels et alternatifs ;</w:t>
            </w:r>
          </w:p>
          <w:p w14:paraId="6E0D0CDC" w14:textId="77777777" w:rsidR="009021F1" w:rsidRPr="00114059" w:rsidRDefault="009021F1" w:rsidP="00E637E3">
            <w:pPr>
              <w:numPr>
                <w:ilvl w:val="0"/>
                <w:numId w:val="97"/>
              </w:numPr>
              <w:suppressAutoHyphens/>
              <w:autoSpaceDN w:val="0"/>
              <w:spacing w:line="240" w:lineRule="auto"/>
              <w:ind w:left="176" w:hanging="142"/>
              <w:textAlignment w:val="baseline"/>
              <w:rPr>
                <w:rFonts w:cs="Arial"/>
                <w:sz w:val="20"/>
                <w:szCs w:val="20"/>
                <w:lang w:eastAsia="en-US"/>
              </w:rPr>
            </w:pPr>
            <w:r w:rsidRPr="00114059">
              <w:rPr>
                <w:rFonts w:cs="Arial"/>
                <w:sz w:val="20"/>
                <w:szCs w:val="20"/>
                <w:lang w:eastAsia="en-US"/>
              </w:rPr>
              <w:t>Meilleure gestion des activités ;</w:t>
            </w:r>
          </w:p>
          <w:p w14:paraId="05B3352F" w14:textId="77777777" w:rsidR="009021F1" w:rsidRPr="00114059" w:rsidRDefault="009021F1" w:rsidP="00E637E3">
            <w:pPr>
              <w:numPr>
                <w:ilvl w:val="0"/>
                <w:numId w:val="97"/>
              </w:numPr>
              <w:suppressAutoHyphens/>
              <w:autoSpaceDN w:val="0"/>
              <w:spacing w:line="240" w:lineRule="auto"/>
              <w:ind w:left="176" w:hanging="142"/>
              <w:textAlignment w:val="baseline"/>
              <w:rPr>
                <w:rFonts w:cs="Arial"/>
                <w:sz w:val="20"/>
                <w:szCs w:val="20"/>
                <w:lang w:eastAsia="en-US"/>
              </w:rPr>
            </w:pPr>
            <w:r w:rsidRPr="00114059">
              <w:rPr>
                <w:rFonts w:cs="Arial"/>
                <w:sz w:val="20"/>
                <w:szCs w:val="20"/>
                <w:lang w:eastAsia="en-US"/>
              </w:rPr>
              <w:t xml:space="preserve">Redynamisation des productions agricoles, pastorales et halieutiques ; </w:t>
            </w:r>
          </w:p>
          <w:p w14:paraId="470BF6DC" w14:textId="77777777" w:rsidR="009021F1" w:rsidRPr="00114059" w:rsidRDefault="009021F1" w:rsidP="00E637E3">
            <w:pPr>
              <w:numPr>
                <w:ilvl w:val="0"/>
                <w:numId w:val="97"/>
              </w:numPr>
              <w:suppressAutoHyphens/>
              <w:autoSpaceDN w:val="0"/>
              <w:spacing w:line="240" w:lineRule="auto"/>
              <w:ind w:left="176" w:hanging="142"/>
              <w:textAlignment w:val="baseline"/>
              <w:rPr>
                <w:rFonts w:cs="Arial"/>
                <w:sz w:val="20"/>
                <w:szCs w:val="20"/>
                <w:lang w:eastAsia="en-US"/>
              </w:rPr>
            </w:pPr>
            <w:r w:rsidRPr="00114059">
              <w:rPr>
                <w:rFonts w:cs="Arial"/>
                <w:sz w:val="20"/>
                <w:szCs w:val="20"/>
                <w:lang w:eastAsia="en-US"/>
              </w:rPr>
              <w:t>Promotion du secteur privé rural ;</w:t>
            </w:r>
          </w:p>
          <w:p w14:paraId="310A24E6" w14:textId="77777777" w:rsidR="009021F1" w:rsidRPr="00114059" w:rsidRDefault="009021F1" w:rsidP="00E637E3">
            <w:pPr>
              <w:numPr>
                <w:ilvl w:val="0"/>
                <w:numId w:val="97"/>
              </w:numPr>
              <w:suppressAutoHyphens/>
              <w:autoSpaceDN w:val="0"/>
              <w:spacing w:line="240" w:lineRule="auto"/>
              <w:ind w:left="176" w:hanging="142"/>
              <w:textAlignment w:val="baseline"/>
              <w:rPr>
                <w:rFonts w:cs="Arial"/>
                <w:sz w:val="20"/>
                <w:szCs w:val="20"/>
                <w:lang w:eastAsia="en-US"/>
              </w:rPr>
            </w:pPr>
            <w:r w:rsidRPr="00114059">
              <w:rPr>
                <w:rFonts w:cs="Arial"/>
                <w:sz w:val="20"/>
                <w:szCs w:val="20"/>
                <w:lang w:eastAsia="en-US"/>
              </w:rPr>
              <w:t xml:space="preserve">Contribution à la sécurité alimentaire ; </w:t>
            </w:r>
          </w:p>
          <w:p w14:paraId="6D365043" w14:textId="77777777" w:rsidR="009021F1" w:rsidRPr="00114059" w:rsidRDefault="009021F1" w:rsidP="00E637E3">
            <w:pPr>
              <w:numPr>
                <w:ilvl w:val="0"/>
                <w:numId w:val="97"/>
              </w:numPr>
              <w:suppressAutoHyphens/>
              <w:autoSpaceDN w:val="0"/>
              <w:spacing w:line="240" w:lineRule="auto"/>
              <w:ind w:left="176" w:hanging="142"/>
              <w:textAlignment w:val="baseline"/>
              <w:rPr>
                <w:rFonts w:cs="Arial"/>
                <w:sz w:val="20"/>
                <w:szCs w:val="20"/>
                <w:lang w:eastAsia="en-US"/>
              </w:rPr>
            </w:pPr>
            <w:r w:rsidRPr="00114059">
              <w:rPr>
                <w:rFonts w:cs="Arial"/>
                <w:sz w:val="20"/>
                <w:szCs w:val="20"/>
                <w:lang w:eastAsia="en-US"/>
              </w:rPr>
              <w:t xml:space="preserve">Création de nouveaux débouchés et valorisation des emplois agricoles (réduction du chômage et de l’exode des jeunes ; </w:t>
            </w:r>
          </w:p>
          <w:p w14:paraId="57B209D5" w14:textId="77777777" w:rsidR="009021F1" w:rsidRPr="00114059" w:rsidRDefault="009021F1" w:rsidP="00E637E3">
            <w:pPr>
              <w:numPr>
                <w:ilvl w:val="0"/>
                <w:numId w:val="97"/>
              </w:numPr>
              <w:suppressAutoHyphens/>
              <w:autoSpaceDN w:val="0"/>
              <w:spacing w:line="240" w:lineRule="auto"/>
              <w:ind w:left="176" w:hanging="142"/>
              <w:textAlignment w:val="baseline"/>
              <w:rPr>
                <w:rFonts w:cs="Arial"/>
                <w:sz w:val="20"/>
                <w:szCs w:val="20"/>
              </w:rPr>
            </w:pPr>
            <w:r w:rsidRPr="00114059">
              <w:rPr>
                <w:rFonts w:cs="Arial"/>
                <w:sz w:val="20"/>
                <w:szCs w:val="20"/>
                <w:lang w:eastAsia="en-US"/>
              </w:rPr>
              <w:t>Opportunités d’emplois locaux.</w:t>
            </w:r>
          </w:p>
        </w:tc>
      </w:tr>
      <w:tr w:rsidR="009021F1" w:rsidRPr="009A7F3A" w14:paraId="342CB4B1" w14:textId="77777777" w:rsidTr="00E637E3">
        <w:trPr>
          <w:trHeight w:val="143"/>
        </w:trPr>
        <w:tc>
          <w:tcPr>
            <w:tcW w:w="1790" w:type="dxa"/>
            <w:vMerge w:val="restart"/>
            <w:shd w:val="clear" w:color="auto" w:fill="auto"/>
            <w:vAlign w:val="center"/>
          </w:tcPr>
          <w:p w14:paraId="23A2C565" w14:textId="77777777" w:rsidR="009021F1" w:rsidRPr="00114059" w:rsidRDefault="009021F1" w:rsidP="00E637E3">
            <w:pPr>
              <w:numPr>
                <w:ilvl w:val="0"/>
                <w:numId w:val="98"/>
              </w:numPr>
              <w:autoSpaceDN w:val="0"/>
              <w:spacing w:line="240" w:lineRule="auto"/>
              <w:ind w:left="313" w:hanging="284"/>
              <w:rPr>
                <w:rFonts w:cs="Arial"/>
                <w:sz w:val="20"/>
                <w:szCs w:val="20"/>
              </w:rPr>
            </w:pPr>
            <w:r w:rsidRPr="00114059">
              <w:rPr>
                <w:rFonts w:cs="Arial"/>
                <w:sz w:val="20"/>
                <w:szCs w:val="20"/>
              </w:rPr>
              <w:t xml:space="preserve">Accès au marché des petits exploitants </w:t>
            </w:r>
          </w:p>
        </w:tc>
        <w:tc>
          <w:tcPr>
            <w:tcW w:w="1831" w:type="dxa"/>
            <w:shd w:val="clear" w:color="auto" w:fill="auto"/>
            <w:vAlign w:val="center"/>
          </w:tcPr>
          <w:p w14:paraId="367B7B19" w14:textId="77777777" w:rsidR="009021F1" w:rsidRPr="00114059" w:rsidRDefault="009021F1" w:rsidP="00E637E3">
            <w:pPr>
              <w:spacing w:line="240" w:lineRule="auto"/>
              <w:rPr>
                <w:rFonts w:cs="Arial"/>
                <w:color w:val="222222"/>
                <w:sz w:val="20"/>
                <w:szCs w:val="20"/>
              </w:rPr>
            </w:pPr>
            <w:r w:rsidRPr="00114059">
              <w:rPr>
                <w:rFonts w:cs="Arial"/>
                <w:i/>
                <w:sz w:val="20"/>
                <w:szCs w:val="20"/>
              </w:rPr>
              <w:t>Institutions Intermédiaires Financiers</w:t>
            </w:r>
          </w:p>
        </w:tc>
        <w:tc>
          <w:tcPr>
            <w:tcW w:w="3073" w:type="dxa"/>
            <w:shd w:val="clear" w:color="auto" w:fill="auto"/>
            <w:vAlign w:val="center"/>
          </w:tcPr>
          <w:p w14:paraId="3A2E4BE5" w14:textId="77777777" w:rsidR="009021F1" w:rsidRPr="00114059" w:rsidRDefault="009021F1" w:rsidP="00E637E3">
            <w:pPr>
              <w:rPr>
                <w:rFonts w:cs="Arial"/>
                <w:sz w:val="20"/>
                <w:szCs w:val="20"/>
              </w:rPr>
            </w:pPr>
            <w:r w:rsidRPr="00114059">
              <w:rPr>
                <w:rFonts w:cs="Arial"/>
                <w:sz w:val="20"/>
                <w:szCs w:val="20"/>
              </w:rPr>
              <w:t>Financement des activités des petits exploitants agricoles conformément à la Norme n°9.</w:t>
            </w:r>
          </w:p>
          <w:p w14:paraId="1D22538E" w14:textId="77777777" w:rsidR="009021F1" w:rsidRPr="00114059" w:rsidRDefault="009021F1" w:rsidP="00E637E3">
            <w:pPr>
              <w:spacing w:line="240" w:lineRule="auto"/>
              <w:rPr>
                <w:rFonts w:cs="Arial"/>
                <w:sz w:val="20"/>
                <w:szCs w:val="20"/>
                <w:lang w:eastAsia="en-US"/>
              </w:rPr>
            </w:pPr>
          </w:p>
        </w:tc>
        <w:tc>
          <w:tcPr>
            <w:tcW w:w="3796" w:type="dxa"/>
            <w:shd w:val="clear" w:color="auto" w:fill="auto"/>
          </w:tcPr>
          <w:p w14:paraId="48EC2D60" w14:textId="77777777" w:rsidR="009021F1" w:rsidRPr="00114059" w:rsidRDefault="009021F1" w:rsidP="00E637E3">
            <w:pPr>
              <w:numPr>
                <w:ilvl w:val="0"/>
                <w:numId w:val="97"/>
              </w:numPr>
              <w:suppressAutoHyphens/>
              <w:autoSpaceDN w:val="0"/>
              <w:spacing w:line="240" w:lineRule="auto"/>
              <w:ind w:left="176" w:hanging="142"/>
              <w:textAlignment w:val="baseline"/>
              <w:rPr>
                <w:rFonts w:cs="Arial"/>
                <w:sz w:val="20"/>
                <w:szCs w:val="20"/>
                <w:lang w:eastAsia="en-US"/>
              </w:rPr>
            </w:pPr>
            <w:r w:rsidRPr="00114059">
              <w:rPr>
                <w:rFonts w:cs="Arial"/>
                <w:sz w:val="20"/>
                <w:szCs w:val="20"/>
                <w:lang w:eastAsia="en-US"/>
              </w:rPr>
              <w:t xml:space="preserve">Garantir et sécuriser le transfert de fonds destinés en mettant </w:t>
            </w:r>
            <w:r w:rsidRPr="00114059">
              <w:rPr>
                <w:rFonts w:cs="Arial"/>
                <w:sz w:val="20"/>
                <w:szCs w:val="20"/>
              </w:rPr>
              <w:t xml:space="preserve">à la disposition des exploitants de nombreux autres services, tels que la </w:t>
            </w:r>
            <w:hyperlink r:id="rId96" w:tooltip="Banque électronique" w:history="1">
              <w:r w:rsidRPr="00114059">
                <w:rPr>
                  <w:rFonts w:cs="Arial"/>
                  <w:sz w:val="20"/>
                  <w:szCs w:val="20"/>
                </w:rPr>
                <w:t>banque électronique</w:t>
              </w:r>
            </w:hyperlink>
            <w:r w:rsidRPr="00114059">
              <w:rPr>
                <w:rFonts w:cs="Arial"/>
                <w:sz w:val="20"/>
                <w:szCs w:val="20"/>
              </w:rPr>
              <w:t xml:space="preserve">, </w:t>
            </w:r>
            <w:hyperlink r:id="rId97" w:tooltip="Western Union" w:history="1">
              <w:r w:rsidRPr="00114059">
                <w:rPr>
                  <w:rFonts w:cs="Arial"/>
                  <w:sz w:val="20"/>
                  <w:szCs w:val="20"/>
                </w:rPr>
                <w:t>Western Union</w:t>
              </w:r>
            </w:hyperlink>
            <w:r w:rsidRPr="00114059">
              <w:rPr>
                <w:rFonts w:cs="Arial"/>
                <w:sz w:val="20"/>
                <w:szCs w:val="20"/>
              </w:rPr>
              <w:t xml:space="preserve">, </w:t>
            </w:r>
            <w:hyperlink r:id="rId98" w:tooltip="MasterCard (carte bancaire)" w:history="1">
              <w:r w:rsidRPr="00114059">
                <w:rPr>
                  <w:rFonts w:cs="Arial"/>
                  <w:sz w:val="20"/>
                  <w:szCs w:val="20"/>
                </w:rPr>
                <w:t>MasterCard</w:t>
              </w:r>
            </w:hyperlink>
            <w:r w:rsidRPr="00114059">
              <w:rPr>
                <w:rFonts w:cs="Arial"/>
                <w:sz w:val="20"/>
                <w:szCs w:val="20"/>
                <w:lang w:eastAsia="en-US"/>
              </w:rPr>
              <w:t xml:space="preserve"> </w:t>
            </w:r>
          </w:p>
          <w:p w14:paraId="27959DF5" w14:textId="77777777" w:rsidR="009021F1" w:rsidRPr="00114059" w:rsidRDefault="009021F1" w:rsidP="00E637E3">
            <w:pPr>
              <w:numPr>
                <w:ilvl w:val="0"/>
                <w:numId w:val="97"/>
              </w:numPr>
              <w:suppressAutoHyphens/>
              <w:autoSpaceDN w:val="0"/>
              <w:spacing w:line="240" w:lineRule="auto"/>
              <w:ind w:left="176" w:hanging="142"/>
              <w:textAlignment w:val="baseline"/>
              <w:rPr>
                <w:rFonts w:cs="Arial"/>
                <w:sz w:val="20"/>
                <w:szCs w:val="20"/>
                <w:lang w:eastAsia="en-US"/>
              </w:rPr>
            </w:pPr>
            <w:r w:rsidRPr="00114059">
              <w:rPr>
                <w:rFonts w:cs="Arial"/>
                <w:sz w:val="20"/>
                <w:szCs w:val="20"/>
                <w:lang w:eastAsia="en-US"/>
              </w:rPr>
              <w:t>Assurer les opérations de paiement des indemnisations des PAP,</w:t>
            </w:r>
          </w:p>
          <w:p w14:paraId="31D990ED" w14:textId="77777777" w:rsidR="009021F1" w:rsidRPr="00114059" w:rsidRDefault="009021F1" w:rsidP="00E637E3">
            <w:pPr>
              <w:numPr>
                <w:ilvl w:val="0"/>
                <w:numId w:val="97"/>
              </w:numPr>
              <w:suppressAutoHyphens/>
              <w:autoSpaceDN w:val="0"/>
              <w:spacing w:line="240" w:lineRule="auto"/>
              <w:ind w:left="176" w:hanging="142"/>
              <w:textAlignment w:val="baseline"/>
              <w:rPr>
                <w:rFonts w:cs="Arial"/>
                <w:sz w:val="20"/>
                <w:szCs w:val="20"/>
                <w:lang w:eastAsia="en-US"/>
              </w:rPr>
            </w:pPr>
            <w:r w:rsidRPr="00114059">
              <w:rPr>
                <w:rFonts w:cs="Arial"/>
                <w:sz w:val="20"/>
                <w:szCs w:val="20"/>
              </w:rPr>
              <w:t xml:space="preserve">Faciliter l'accès aux services bancaires à tous, et de financer les petites, moyennes et grandes entreprises </w:t>
            </w:r>
          </w:p>
          <w:p w14:paraId="0299B489" w14:textId="77777777" w:rsidR="009021F1" w:rsidRPr="00114059" w:rsidRDefault="009021F1" w:rsidP="00E637E3">
            <w:pPr>
              <w:numPr>
                <w:ilvl w:val="0"/>
                <w:numId w:val="97"/>
              </w:numPr>
              <w:suppressAutoHyphens/>
              <w:autoSpaceDN w:val="0"/>
              <w:spacing w:line="240" w:lineRule="auto"/>
              <w:ind w:left="176" w:hanging="142"/>
              <w:textAlignment w:val="baseline"/>
              <w:rPr>
                <w:rFonts w:cs="Arial"/>
                <w:sz w:val="20"/>
                <w:szCs w:val="20"/>
                <w:lang w:eastAsia="en-US"/>
              </w:rPr>
            </w:pPr>
            <w:r w:rsidRPr="00114059">
              <w:rPr>
                <w:rFonts w:cs="Arial"/>
                <w:sz w:val="20"/>
                <w:szCs w:val="20"/>
                <w:lang w:eastAsia="en-US"/>
              </w:rPr>
              <w:t>Faciliter l’octroi des crédits agricoles aux exploitants avec des intérêts raisonnables</w:t>
            </w:r>
          </w:p>
          <w:p w14:paraId="5DAF967A" w14:textId="77777777" w:rsidR="009021F1" w:rsidRPr="00114059" w:rsidRDefault="009021F1" w:rsidP="00E637E3">
            <w:pPr>
              <w:numPr>
                <w:ilvl w:val="0"/>
                <w:numId w:val="97"/>
              </w:numPr>
              <w:suppressAutoHyphens/>
              <w:autoSpaceDN w:val="0"/>
              <w:spacing w:line="240" w:lineRule="auto"/>
              <w:ind w:left="176" w:hanging="142"/>
              <w:textAlignment w:val="baseline"/>
              <w:rPr>
                <w:rFonts w:cs="Arial"/>
                <w:sz w:val="20"/>
                <w:szCs w:val="20"/>
              </w:rPr>
            </w:pPr>
            <w:r w:rsidRPr="00114059">
              <w:rPr>
                <w:rFonts w:cs="Arial"/>
                <w:sz w:val="20"/>
                <w:szCs w:val="20"/>
                <w:lang w:eastAsia="en-US"/>
              </w:rPr>
              <w:t xml:space="preserve">Prodiguer des conseils et l'assister les bénéficiaires en matière de gestion financière </w:t>
            </w:r>
          </w:p>
        </w:tc>
      </w:tr>
      <w:tr w:rsidR="009021F1" w:rsidRPr="009A7F3A" w14:paraId="1B9C7431" w14:textId="77777777" w:rsidTr="00E637E3">
        <w:trPr>
          <w:trHeight w:val="143"/>
        </w:trPr>
        <w:tc>
          <w:tcPr>
            <w:tcW w:w="1790" w:type="dxa"/>
            <w:vMerge/>
            <w:shd w:val="clear" w:color="auto" w:fill="auto"/>
            <w:vAlign w:val="center"/>
          </w:tcPr>
          <w:p w14:paraId="321CCA23" w14:textId="77777777" w:rsidR="009021F1" w:rsidRPr="00114059" w:rsidRDefault="009021F1" w:rsidP="00E637E3">
            <w:pPr>
              <w:numPr>
                <w:ilvl w:val="0"/>
                <w:numId w:val="98"/>
              </w:numPr>
              <w:autoSpaceDN w:val="0"/>
              <w:spacing w:line="240" w:lineRule="auto"/>
              <w:ind w:left="313" w:hanging="284"/>
              <w:rPr>
                <w:rFonts w:cs="Arial"/>
                <w:sz w:val="20"/>
                <w:szCs w:val="20"/>
                <w:lang w:eastAsia="en-US"/>
              </w:rPr>
            </w:pPr>
          </w:p>
        </w:tc>
        <w:tc>
          <w:tcPr>
            <w:tcW w:w="1831" w:type="dxa"/>
            <w:vMerge w:val="restart"/>
            <w:shd w:val="clear" w:color="auto" w:fill="auto"/>
            <w:vAlign w:val="center"/>
          </w:tcPr>
          <w:p w14:paraId="15836068" w14:textId="77777777" w:rsidR="009021F1" w:rsidRPr="00114059" w:rsidRDefault="009021F1" w:rsidP="00E637E3">
            <w:pPr>
              <w:spacing w:line="240" w:lineRule="auto"/>
              <w:rPr>
                <w:rFonts w:cs="Arial"/>
                <w:color w:val="222222"/>
                <w:sz w:val="20"/>
                <w:szCs w:val="20"/>
              </w:rPr>
            </w:pPr>
            <w:r w:rsidRPr="00114059">
              <w:rPr>
                <w:rFonts w:cs="Arial"/>
                <w:color w:val="222222"/>
                <w:sz w:val="20"/>
                <w:szCs w:val="20"/>
              </w:rPr>
              <w:t>Infrastructures rurales</w:t>
            </w:r>
          </w:p>
        </w:tc>
        <w:tc>
          <w:tcPr>
            <w:tcW w:w="3073" w:type="dxa"/>
            <w:shd w:val="clear" w:color="auto" w:fill="auto"/>
            <w:vAlign w:val="center"/>
          </w:tcPr>
          <w:p w14:paraId="6C163864" w14:textId="77777777" w:rsidR="009021F1" w:rsidRPr="00114059" w:rsidRDefault="009021F1" w:rsidP="00E637E3">
            <w:pPr>
              <w:spacing w:line="240" w:lineRule="auto"/>
              <w:rPr>
                <w:rFonts w:cs="Arial"/>
                <w:sz w:val="20"/>
                <w:szCs w:val="20"/>
                <w:lang w:eastAsia="en-US"/>
              </w:rPr>
            </w:pPr>
            <w:r w:rsidRPr="00114059">
              <w:rPr>
                <w:rFonts w:cs="Arial"/>
                <w:sz w:val="20"/>
                <w:szCs w:val="20"/>
                <w:lang w:eastAsia="en-US"/>
              </w:rPr>
              <w:t>Routes rurales</w:t>
            </w:r>
          </w:p>
        </w:tc>
        <w:tc>
          <w:tcPr>
            <w:tcW w:w="3796" w:type="dxa"/>
            <w:shd w:val="clear" w:color="auto" w:fill="auto"/>
          </w:tcPr>
          <w:p w14:paraId="2B7E4087" w14:textId="77777777" w:rsidR="009021F1" w:rsidRPr="00114059" w:rsidRDefault="009021F1" w:rsidP="00E637E3">
            <w:pPr>
              <w:numPr>
                <w:ilvl w:val="0"/>
                <w:numId w:val="97"/>
              </w:numPr>
              <w:suppressAutoHyphens/>
              <w:autoSpaceDN w:val="0"/>
              <w:spacing w:line="240" w:lineRule="auto"/>
              <w:ind w:left="176" w:hanging="142"/>
              <w:textAlignment w:val="baseline"/>
              <w:rPr>
                <w:rFonts w:cs="Arial"/>
                <w:sz w:val="20"/>
                <w:szCs w:val="20"/>
                <w:lang w:eastAsia="en-US"/>
              </w:rPr>
            </w:pPr>
            <w:r w:rsidRPr="00114059">
              <w:rPr>
                <w:rFonts w:cs="Arial"/>
                <w:sz w:val="20"/>
                <w:szCs w:val="20"/>
              </w:rPr>
              <w:t>Amélioration des routes rurales et les corridors de transport prioritaires (y compris les mesures de sécurité fluviale et les sites de lancement dans les voies navigables) afin de libérer le potentiel de production et de commerce des petits exploitants agricoles dans la zone du programme ;</w:t>
            </w:r>
          </w:p>
          <w:p w14:paraId="257E399C" w14:textId="77777777" w:rsidR="009021F1" w:rsidRPr="00114059" w:rsidRDefault="009021F1" w:rsidP="00E637E3">
            <w:pPr>
              <w:numPr>
                <w:ilvl w:val="0"/>
                <w:numId w:val="97"/>
              </w:numPr>
              <w:suppressAutoHyphens/>
              <w:autoSpaceDN w:val="0"/>
              <w:spacing w:line="240" w:lineRule="auto"/>
              <w:ind w:left="176" w:hanging="142"/>
              <w:textAlignment w:val="baseline"/>
              <w:rPr>
                <w:rFonts w:cs="Arial"/>
                <w:sz w:val="20"/>
                <w:szCs w:val="20"/>
                <w:lang w:eastAsia="en-US"/>
              </w:rPr>
            </w:pPr>
            <w:r w:rsidRPr="00114059">
              <w:rPr>
                <w:rFonts w:cs="Arial"/>
                <w:sz w:val="20"/>
                <w:szCs w:val="20"/>
              </w:rPr>
              <w:t>Facilitation d’évacuation des produits agricoles suite à la réhabilitation des corridors connectés aux routes principales, voies ferrées et/ou voies navigables opérationnelles dans la zone du Projet ;</w:t>
            </w:r>
          </w:p>
          <w:p w14:paraId="7674E2D8" w14:textId="77777777" w:rsidR="009021F1" w:rsidRPr="00114059" w:rsidRDefault="009021F1" w:rsidP="00E637E3">
            <w:pPr>
              <w:numPr>
                <w:ilvl w:val="0"/>
                <w:numId w:val="97"/>
              </w:numPr>
              <w:suppressAutoHyphens/>
              <w:autoSpaceDN w:val="0"/>
              <w:spacing w:line="240" w:lineRule="auto"/>
              <w:ind w:left="176" w:hanging="142"/>
              <w:textAlignment w:val="baseline"/>
              <w:rPr>
                <w:rFonts w:cs="Arial"/>
                <w:sz w:val="20"/>
                <w:szCs w:val="20"/>
                <w:lang w:eastAsia="en-US"/>
              </w:rPr>
            </w:pPr>
            <w:r w:rsidRPr="00114059">
              <w:rPr>
                <w:rFonts w:cs="Arial"/>
                <w:sz w:val="20"/>
                <w:szCs w:val="20"/>
              </w:rPr>
              <w:t>Amélioration de la productivité animale par la construction des abattoirs dans la zone du Projet</w:t>
            </w:r>
          </w:p>
          <w:p w14:paraId="7D2F7C1D" w14:textId="77777777" w:rsidR="009021F1" w:rsidRPr="00114059" w:rsidRDefault="009021F1" w:rsidP="00E637E3">
            <w:pPr>
              <w:numPr>
                <w:ilvl w:val="0"/>
                <w:numId w:val="97"/>
              </w:numPr>
              <w:suppressAutoHyphens/>
              <w:autoSpaceDN w:val="0"/>
              <w:spacing w:line="240" w:lineRule="auto"/>
              <w:ind w:left="176" w:hanging="142"/>
              <w:textAlignment w:val="baseline"/>
              <w:rPr>
                <w:rFonts w:cs="Arial"/>
                <w:sz w:val="20"/>
                <w:szCs w:val="20"/>
                <w:lang w:eastAsia="en-US"/>
              </w:rPr>
            </w:pPr>
            <w:r w:rsidRPr="00114059">
              <w:rPr>
                <w:rFonts w:cs="Arial"/>
                <w:sz w:val="20"/>
                <w:szCs w:val="20"/>
              </w:rPr>
              <w:t>Renforcement des capacités des institutions locales afin d’assurer une gestion et une maintenance appropriée et durable des routes rurales dans la zone du Projet ;</w:t>
            </w:r>
          </w:p>
          <w:p w14:paraId="21B96A49" w14:textId="77777777" w:rsidR="009021F1" w:rsidRPr="00114059" w:rsidRDefault="009021F1" w:rsidP="00E637E3">
            <w:pPr>
              <w:numPr>
                <w:ilvl w:val="0"/>
                <w:numId w:val="97"/>
              </w:numPr>
              <w:suppressAutoHyphens/>
              <w:autoSpaceDN w:val="0"/>
              <w:spacing w:line="240" w:lineRule="auto"/>
              <w:ind w:left="176" w:hanging="142"/>
              <w:textAlignment w:val="baseline"/>
              <w:rPr>
                <w:rFonts w:cs="Arial"/>
                <w:sz w:val="20"/>
                <w:szCs w:val="20"/>
                <w:lang w:eastAsia="en-US"/>
              </w:rPr>
            </w:pPr>
            <w:r w:rsidRPr="00114059">
              <w:rPr>
                <w:rFonts w:cs="Arial"/>
                <w:sz w:val="20"/>
                <w:szCs w:val="20"/>
                <w:lang w:eastAsia="en-US"/>
              </w:rPr>
              <w:t>Accès facile aux marchés communautaires et abattoirs</w:t>
            </w:r>
          </w:p>
          <w:p w14:paraId="612F2ED6" w14:textId="77777777" w:rsidR="009021F1" w:rsidRPr="00114059" w:rsidRDefault="009021F1" w:rsidP="00E637E3">
            <w:pPr>
              <w:numPr>
                <w:ilvl w:val="0"/>
                <w:numId w:val="97"/>
              </w:numPr>
              <w:suppressAutoHyphens/>
              <w:autoSpaceDN w:val="0"/>
              <w:spacing w:line="240" w:lineRule="auto"/>
              <w:ind w:left="176" w:hanging="142"/>
              <w:textAlignment w:val="baseline"/>
              <w:rPr>
                <w:rFonts w:cs="Arial"/>
                <w:sz w:val="20"/>
                <w:szCs w:val="20"/>
                <w:lang w:eastAsia="en-US"/>
              </w:rPr>
            </w:pPr>
            <w:r w:rsidRPr="00114059">
              <w:rPr>
                <w:rFonts w:cs="Arial"/>
                <w:sz w:val="20"/>
                <w:szCs w:val="20"/>
                <w:lang w:eastAsia="en-US"/>
              </w:rPr>
              <w:t>Création d’emploi pour les jeunes du milieu rural à travers le recrutement de la main d’œuvre locale pour les travaux des infrastructures notamment le HIMO</w:t>
            </w:r>
          </w:p>
          <w:p w14:paraId="6A24AA0C" w14:textId="77777777" w:rsidR="009021F1" w:rsidRPr="00114059" w:rsidRDefault="009021F1" w:rsidP="00E637E3">
            <w:pPr>
              <w:numPr>
                <w:ilvl w:val="0"/>
                <w:numId w:val="97"/>
              </w:numPr>
              <w:suppressAutoHyphens/>
              <w:autoSpaceDN w:val="0"/>
              <w:spacing w:line="240" w:lineRule="auto"/>
              <w:ind w:left="176" w:hanging="142"/>
              <w:textAlignment w:val="baseline"/>
              <w:rPr>
                <w:rFonts w:cs="Arial"/>
                <w:sz w:val="20"/>
                <w:szCs w:val="20"/>
                <w:lang w:eastAsia="en-US"/>
              </w:rPr>
            </w:pPr>
            <w:r w:rsidRPr="00114059">
              <w:rPr>
                <w:rFonts w:cs="Arial"/>
                <w:sz w:val="20"/>
                <w:szCs w:val="20"/>
                <w:lang w:eastAsia="en-US"/>
              </w:rPr>
              <w:t xml:space="preserve">L’utilisation des intermédiaires financiers </w:t>
            </w:r>
          </w:p>
        </w:tc>
      </w:tr>
      <w:tr w:rsidR="009021F1" w:rsidRPr="009A7F3A" w14:paraId="641DF426" w14:textId="77777777" w:rsidTr="00E637E3">
        <w:trPr>
          <w:trHeight w:val="143"/>
        </w:trPr>
        <w:tc>
          <w:tcPr>
            <w:tcW w:w="1790" w:type="dxa"/>
            <w:vMerge/>
            <w:shd w:val="clear" w:color="auto" w:fill="auto"/>
          </w:tcPr>
          <w:p w14:paraId="5C222981" w14:textId="77777777" w:rsidR="009021F1" w:rsidRPr="00114059" w:rsidRDefault="009021F1" w:rsidP="00E637E3">
            <w:pPr>
              <w:autoSpaceDN w:val="0"/>
              <w:spacing w:line="240" w:lineRule="auto"/>
              <w:rPr>
                <w:rFonts w:cs="Arial"/>
                <w:b/>
                <w:sz w:val="20"/>
                <w:szCs w:val="20"/>
              </w:rPr>
            </w:pPr>
          </w:p>
        </w:tc>
        <w:tc>
          <w:tcPr>
            <w:tcW w:w="1831" w:type="dxa"/>
            <w:vMerge/>
            <w:shd w:val="clear" w:color="auto" w:fill="auto"/>
          </w:tcPr>
          <w:p w14:paraId="259F326D" w14:textId="77777777" w:rsidR="009021F1" w:rsidRPr="00114059" w:rsidRDefault="009021F1" w:rsidP="00E637E3">
            <w:pPr>
              <w:spacing w:line="240" w:lineRule="auto"/>
              <w:rPr>
                <w:rFonts w:cs="Arial"/>
                <w:color w:val="222222"/>
                <w:sz w:val="20"/>
                <w:szCs w:val="20"/>
              </w:rPr>
            </w:pPr>
          </w:p>
        </w:tc>
        <w:tc>
          <w:tcPr>
            <w:tcW w:w="3073" w:type="dxa"/>
            <w:shd w:val="clear" w:color="auto" w:fill="auto"/>
            <w:vAlign w:val="center"/>
          </w:tcPr>
          <w:p w14:paraId="675E3D09" w14:textId="77777777" w:rsidR="009021F1" w:rsidRPr="00114059" w:rsidRDefault="009021F1" w:rsidP="00E637E3">
            <w:pPr>
              <w:spacing w:line="240" w:lineRule="auto"/>
              <w:rPr>
                <w:rFonts w:cs="Arial"/>
                <w:sz w:val="20"/>
                <w:szCs w:val="20"/>
                <w:lang w:eastAsia="en-US"/>
              </w:rPr>
            </w:pPr>
            <w:r w:rsidRPr="00114059">
              <w:rPr>
                <w:rFonts w:cs="Arial"/>
                <w:sz w:val="20"/>
                <w:szCs w:val="20"/>
                <w:lang w:eastAsia="en-US"/>
              </w:rPr>
              <w:t>Unités de transformation</w:t>
            </w:r>
          </w:p>
        </w:tc>
        <w:tc>
          <w:tcPr>
            <w:tcW w:w="3796" w:type="dxa"/>
            <w:shd w:val="clear" w:color="auto" w:fill="auto"/>
          </w:tcPr>
          <w:p w14:paraId="25588060" w14:textId="77777777" w:rsidR="009021F1" w:rsidRPr="00114059" w:rsidRDefault="009021F1" w:rsidP="00E637E3">
            <w:pPr>
              <w:numPr>
                <w:ilvl w:val="0"/>
                <w:numId w:val="97"/>
              </w:numPr>
              <w:suppressAutoHyphens/>
              <w:autoSpaceDN w:val="0"/>
              <w:spacing w:line="240" w:lineRule="auto"/>
              <w:ind w:left="176" w:hanging="142"/>
              <w:textAlignment w:val="baseline"/>
              <w:rPr>
                <w:rFonts w:cs="Arial"/>
                <w:sz w:val="20"/>
                <w:szCs w:val="20"/>
                <w:lang w:eastAsia="en-US"/>
              </w:rPr>
            </w:pPr>
            <w:r w:rsidRPr="00114059">
              <w:rPr>
                <w:rFonts w:cs="Arial"/>
                <w:sz w:val="20"/>
                <w:szCs w:val="20"/>
                <w:lang w:eastAsia="en-US"/>
              </w:rPr>
              <w:t>Valorisation des productions agricoles locales ;</w:t>
            </w:r>
          </w:p>
          <w:p w14:paraId="4F41B140" w14:textId="77777777" w:rsidR="009021F1" w:rsidRPr="00114059" w:rsidRDefault="009021F1" w:rsidP="00E637E3">
            <w:pPr>
              <w:numPr>
                <w:ilvl w:val="0"/>
                <w:numId w:val="97"/>
              </w:numPr>
              <w:suppressAutoHyphens/>
              <w:autoSpaceDN w:val="0"/>
              <w:spacing w:line="240" w:lineRule="auto"/>
              <w:ind w:left="176" w:hanging="142"/>
              <w:textAlignment w:val="baseline"/>
              <w:rPr>
                <w:rFonts w:cs="Arial"/>
                <w:sz w:val="20"/>
                <w:szCs w:val="20"/>
                <w:lang w:eastAsia="en-US"/>
              </w:rPr>
            </w:pPr>
            <w:r w:rsidRPr="00114059">
              <w:rPr>
                <w:rFonts w:cs="Arial"/>
                <w:sz w:val="20"/>
                <w:szCs w:val="20"/>
                <w:lang w:eastAsia="en-US"/>
              </w:rPr>
              <w:t>Limitation des pertes ;</w:t>
            </w:r>
          </w:p>
          <w:p w14:paraId="2639BDF1" w14:textId="77777777" w:rsidR="009021F1" w:rsidRPr="00114059" w:rsidRDefault="009021F1" w:rsidP="00E637E3">
            <w:pPr>
              <w:numPr>
                <w:ilvl w:val="0"/>
                <w:numId w:val="97"/>
              </w:numPr>
              <w:suppressAutoHyphens/>
              <w:autoSpaceDN w:val="0"/>
              <w:spacing w:line="240" w:lineRule="auto"/>
              <w:ind w:left="176" w:hanging="142"/>
              <w:textAlignment w:val="baseline"/>
              <w:rPr>
                <w:rFonts w:cs="Arial"/>
                <w:sz w:val="20"/>
                <w:szCs w:val="20"/>
                <w:lang w:eastAsia="en-US"/>
              </w:rPr>
            </w:pPr>
            <w:r w:rsidRPr="00114059">
              <w:rPr>
                <w:rFonts w:cs="Arial"/>
                <w:sz w:val="20"/>
                <w:szCs w:val="20"/>
                <w:lang w:eastAsia="en-US"/>
              </w:rPr>
              <w:t>Bonne conservation des produits agricoles, halieutiques et animaliers ;</w:t>
            </w:r>
          </w:p>
          <w:p w14:paraId="10388A4A" w14:textId="77777777" w:rsidR="009021F1" w:rsidRPr="00114059" w:rsidRDefault="009021F1" w:rsidP="00E637E3">
            <w:pPr>
              <w:numPr>
                <w:ilvl w:val="0"/>
                <w:numId w:val="97"/>
              </w:numPr>
              <w:suppressAutoHyphens/>
              <w:autoSpaceDN w:val="0"/>
              <w:spacing w:line="240" w:lineRule="auto"/>
              <w:ind w:left="176" w:hanging="142"/>
              <w:textAlignment w:val="baseline"/>
              <w:rPr>
                <w:rFonts w:cs="Arial"/>
                <w:sz w:val="20"/>
                <w:szCs w:val="20"/>
                <w:lang w:eastAsia="en-US"/>
              </w:rPr>
            </w:pPr>
            <w:r w:rsidRPr="00114059">
              <w:rPr>
                <w:rFonts w:cs="Arial"/>
                <w:sz w:val="20"/>
                <w:szCs w:val="20"/>
                <w:lang w:eastAsia="en-US"/>
              </w:rPr>
              <w:t>Création d’emplois locaux</w:t>
            </w:r>
          </w:p>
        </w:tc>
      </w:tr>
      <w:tr w:rsidR="009021F1" w:rsidRPr="009A7F3A" w14:paraId="3EA05C87" w14:textId="77777777" w:rsidTr="00E637E3">
        <w:trPr>
          <w:trHeight w:val="143"/>
        </w:trPr>
        <w:tc>
          <w:tcPr>
            <w:tcW w:w="1790" w:type="dxa"/>
            <w:vMerge/>
            <w:shd w:val="clear" w:color="auto" w:fill="auto"/>
          </w:tcPr>
          <w:p w14:paraId="6C2C49A4" w14:textId="77777777" w:rsidR="009021F1" w:rsidRPr="00114059" w:rsidRDefault="009021F1" w:rsidP="00E637E3">
            <w:pPr>
              <w:autoSpaceDN w:val="0"/>
              <w:spacing w:line="240" w:lineRule="auto"/>
              <w:rPr>
                <w:rFonts w:cs="Arial"/>
                <w:b/>
                <w:sz w:val="20"/>
                <w:szCs w:val="20"/>
              </w:rPr>
            </w:pPr>
          </w:p>
        </w:tc>
        <w:tc>
          <w:tcPr>
            <w:tcW w:w="1831" w:type="dxa"/>
            <w:vMerge/>
            <w:shd w:val="clear" w:color="auto" w:fill="auto"/>
          </w:tcPr>
          <w:p w14:paraId="7A1211BC" w14:textId="77777777" w:rsidR="009021F1" w:rsidRPr="00114059" w:rsidRDefault="009021F1" w:rsidP="00E637E3">
            <w:pPr>
              <w:spacing w:line="240" w:lineRule="auto"/>
              <w:rPr>
                <w:rFonts w:cs="Arial"/>
                <w:color w:val="222222"/>
                <w:sz w:val="20"/>
                <w:szCs w:val="20"/>
              </w:rPr>
            </w:pPr>
          </w:p>
        </w:tc>
        <w:tc>
          <w:tcPr>
            <w:tcW w:w="3073" w:type="dxa"/>
            <w:shd w:val="clear" w:color="auto" w:fill="auto"/>
            <w:vAlign w:val="center"/>
          </w:tcPr>
          <w:p w14:paraId="223F4E90" w14:textId="77777777" w:rsidR="009021F1" w:rsidRPr="00114059" w:rsidRDefault="009021F1" w:rsidP="00E637E3">
            <w:pPr>
              <w:spacing w:line="240" w:lineRule="auto"/>
              <w:rPr>
                <w:rFonts w:cs="Arial"/>
                <w:sz w:val="20"/>
                <w:szCs w:val="20"/>
                <w:lang w:eastAsia="en-US"/>
              </w:rPr>
            </w:pPr>
            <w:r w:rsidRPr="00114059">
              <w:rPr>
                <w:rFonts w:cs="Arial"/>
                <w:sz w:val="20"/>
                <w:szCs w:val="20"/>
                <w:lang w:eastAsia="en-US"/>
              </w:rPr>
              <w:t>Magasins de stockage</w:t>
            </w:r>
          </w:p>
        </w:tc>
        <w:tc>
          <w:tcPr>
            <w:tcW w:w="3796" w:type="dxa"/>
            <w:shd w:val="clear" w:color="auto" w:fill="auto"/>
          </w:tcPr>
          <w:p w14:paraId="71B5A820" w14:textId="77777777" w:rsidR="009021F1" w:rsidRPr="00114059" w:rsidRDefault="009021F1" w:rsidP="00E637E3">
            <w:pPr>
              <w:numPr>
                <w:ilvl w:val="0"/>
                <w:numId w:val="97"/>
              </w:numPr>
              <w:suppressAutoHyphens/>
              <w:autoSpaceDN w:val="0"/>
              <w:spacing w:line="240" w:lineRule="auto"/>
              <w:ind w:left="176" w:hanging="142"/>
              <w:textAlignment w:val="baseline"/>
              <w:rPr>
                <w:rFonts w:cs="Arial"/>
                <w:sz w:val="20"/>
                <w:szCs w:val="20"/>
                <w:lang w:eastAsia="en-US"/>
              </w:rPr>
            </w:pPr>
            <w:r w:rsidRPr="00114059">
              <w:rPr>
                <w:rFonts w:cs="Arial"/>
                <w:sz w:val="20"/>
                <w:szCs w:val="20"/>
                <w:lang w:eastAsia="en-US"/>
              </w:rPr>
              <w:t>Construction de magasin induirait à un bon entreposage et conservation des récoltes agricoles ;</w:t>
            </w:r>
          </w:p>
          <w:p w14:paraId="60FFCE35" w14:textId="77777777" w:rsidR="009021F1" w:rsidRPr="00114059" w:rsidRDefault="009021F1" w:rsidP="00E637E3">
            <w:pPr>
              <w:numPr>
                <w:ilvl w:val="0"/>
                <w:numId w:val="97"/>
              </w:numPr>
              <w:suppressAutoHyphens/>
              <w:autoSpaceDN w:val="0"/>
              <w:spacing w:line="240" w:lineRule="auto"/>
              <w:ind w:left="176" w:hanging="142"/>
              <w:textAlignment w:val="baseline"/>
              <w:rPr>
                <w:rFonts w:cs="Arial"/>
                <w:sz w:val="20"/>
                <w:szCs w:val="20"/>
                <w:lang w:eastAsia="en-US"/>
              </w:rPr>
            </w:pPr>
            <w:r w:rsidRPr="00114059">
              <w:rPr>
                <w:rFonts w:cs="Arial"/>
                <w:sz w:val="20"/>
                <w:szCs w:val="20"/>
                <w:lang w:eastAsia="en-US"/>
              </w:rPr>
              <w:t>Construction de magasin de stockage va induire à un bon stockage des semences et des intrants agricoles ;</w:t>
            </w:r>
          </w:p>
          <w:p w14:paraId="5096A763" w14:textId="77777777" w:rsidR="009021F1" w:rsidRPr="00114059" w:rsidRDefault="009021F1" w:rsidP="00E637E3">
            <w:pPr>
              <w:numPr>
                <w:ilvl w:val="0"/>
                <w:numId w:val="97"/>
              </w:numPr>
              <w:suppressAutoHyphens/>
              <w:autoSpaceDN w:val="0"/>
              <w:spacing w:line="240" w:lineRule="auto"/>
              <w:ind w:left="176" w:hanging="142"/>
              <w:textAlignment w:val="baseline"/>
              <w:rPr>
                <w:rFonts w:cs="Arial"/>
                <w:sz w:val="20"/>
                <w:szCs w:val="20"/>
                <w:lang w:eastAsia="en-US"/>
              </w:rPr>
            </w:pPr>
            <w:r w:rsidRPr="00114059">
              <w:rPr>
                <w:rFonts w:cs="Arial"/>
                <w:sz w:val="20"/>
                <w:szCs w:val="20"/>
                <w:lang w:eastAsia="en-US"/>
              </w:rPr>
              <w:t>Augmentation de la durée de conservation des semences et des intrants agricoles.</w:t>
            </w:r>
          </w:p>
        </w:tc>
      </w:tr>
      <w:tr w:rsidR="009021F1" w:rsidRPr="009A7F3A" w14:paraId="1C889B69" w14:textId="77777777" w:rsidTr="00E637E3">
        <w:trPr>
          <w:trHeight w:val="143"/>
        </w:trPr>
        <w:tc>
          <w:tcPr>
            <w:tcW w:w="1790" w:type="dxa"/>
            <w:vMerge/>
            <w:shd w:val="clear" w:color="auto" w:fill="auto"/>
          </w:tcPr>
          <w:p w14:paraId="290A7F89" w14:textId="77777777" w:rsidR="009021F1" w:rsidRPr="00114059" w:rsidRDefault="009021F1" w:rsidP="00E637E3">
            <w:pPr>
              <w:autoSpaceDN w:val="0"/>
              <w:spacing w:line="240" w:lineRule="auto"/>
              <w:rPr>
                <w:rFonts w:cs="Arial"/>
                <w:b/>
                <w:sz w:val="20"/>
                <w:szCs w:val="20"/>
              </w:rPr>
            </w:pPr>
          </w:p>
        </w:tc>
        <w:tc>
          <w:tcPr>
            <w:tcW w:w="1831" w:type="dxa"/>
            <w:vMerge/>
            <w:shd w:val="clear" w:color="auto" w:fill="auto"/>
          </w:tcPr>
          <w:p w14:paraId="12CB721B" w14:textId="77777777" w:rsidR="009021F1" w:rsidRPr="00114059" w:rsidRDefault="009021F1" w:rsidP="00E637E3">
            <w:pPr>
              <w:spacing w:line="240" w:lineRule="auto"/>
              <w:rPr>
                <w:rFonts w:cs="Arial"/>
                <w:color w:val="222222"/>
                <w:sz w:val="20"/>
                <w:szCs w:val="20"/>
              </w:rPr>
            </w:pPr>
          </w:p>
        </w:tc>
        <w:tc>
          <w:tcPr>
            <w:tcW w:w="3073" w:type="dxa"/>
            <w:shd w:val="clear" w:color="auto" w:fill="auto"/>
            <w:vAlign w:val="center"/>
          </w:tcPr>
          <w:p w14:paraId="21E5264A" w14:textId="77777777" w:rsidR="009021F1" w:rsidRPr="00114059" w:rsidRDefault="009021F1" w:rsidP="00E637E3">
            <w:pPr>
              <w:spacing w:line="240" w:lineRule="auto"/>
              <w:rPr>
                <w:rFonts w:cs="Arial"/>
                <w:sz w:val="20"/>
                <w:szCs w:val="20"/>
                <w:lang w:eastAsia="en-US"/>
              </w:rPr>
            </w:pPr>
            <w:r w:rsidRPr="00114059">
              <w:rPr>
                <w:rFonts w:cs="Arial"/>
                <w:sz w:val="20"/>
                <w:szCs w:val="20"/>
                <w:lang w:eastAsia="en-US"/>
              </w:rPr>
              <w:t>Marché</w:t>
            </w:r>
          </w:p>
        </w:tc>
        <w:tc>
          <w:tcPr>
            <w:tcW w:w="3796" w:type="dxa"/>
            <w:shd w:val="clear" w:color="auto" w:fill="auto"/>
          </w:tcPr>
          <w:p w14:paraId="6EFAAC5D" w14:textId="77777777" w:rsidR="009021F1" w:rsidRPr="00114059" w:rsidRDefault="009021F1" w:rsidP="00E637E3">
            <w:pPr>
              <w:numPr>
                <w:ilvl w:val="0"/>
                <w:numId w:val="97"/>
              </w:numPr>
              <w:suppressAutoHyphens/>
              <w:autoSpaceDN w:val="0"/>
              <w:spacing w:line="240" w:lineRule="auto"/>
              <w:ind w:left="176" w:hanging="142"/>
              <w:textAlignment w:val="baseline"/>
              <w:rPr>
                <w:rFonts w:cs="Arial"/>
                <w:sz w:val="20"/>
                <w:szCs w:val="20"/>
                <w:lang w:eastAsia="en-US"/>
              </w:rPr>
            </w:pPr>
            <w:r w:rsidRPr="00114059">
              <w:rPr>
                <w:rFonts w:cs="Arial"/>
                <w:sz w:val="20"/>
                <w:szCs w:val="20"/>
                <w:lang w:eastAsia="en-US"/>
              </w:rPr>
              <w:t>Vente des produits agricoles et halieutiques ;</w:t>
            </w:r>
          </w:p>
          <w:p w14:paraId="21B35091" w14:textId="77777777" w:rsidR="009021F1" w:rsidRPr="00114059" w:rsidRDefault="009021F1" w:rsidP="00E637E3">
            <w:pPr>
              <w:numPr>
                <w:ilvl w:val="0"/>
                <w:numId w:val="97"/>
              </w:numPr>
              <w:suppressAutoHyphens/>
              <w:autoSpaceDN w:val="0"/>
              <w:spacing w:line="240" w:lineRule="auto"/>
              <w:ind w:left="176" w:hanging="142"/>
              <w:textAlignment w:val="baseline"/>
              <w:rPr>
                <w:rFonts w:cs="Arial"/>
                <w:sz w:val="20"/>
                <w:szCs w:val="20"/>
                <w:lang w:eastAsia="en-US"/>
              </w:rPr>
            </w:pPr>
            <w:r w:rsidRPr="00114059">
              <w:rPr>
                <w:rFonts w:cs="Arial"/>
                <w:sz w:val="20"/>
                <w:szCs w:val="20"/>
                <w:lang w:eastAsia="en-US"/>
              </w:rPr>
              <w:t>Création d’emploi ;</w:t>
            </w:r>
          </w:p>
          <w:p w14:paraId="772689FD" w14:textId="77777777" w:rsidR="009021F1" w:rsidRPr="00114059" w:rsidRDefault="009021F1" w:rsidP="00E637E3">
            <w:pPr>
              <w:numPr>
                <w:ilvl w:val="0"/>
                <w:numId w:val="97"/>
              </w:numPr>
              <w:suppressAutoHyphens/>
              <w:autoSpaceDN w:val="0"/>
              <w:spacing w:line="240" w:lineRule="auto"/>
              <w:ind w:left="176" w:hanging="142"/>
              <w:textAlignment w:val="baseline"/>
              <w:rPr>
                <w:rFonts w:cs="Arial"/>
                <w:sz w:val="20"/>
                <w:szCs w:val="20"/>
                <w:lang w:eastAsia="en-US"/>
              </w:rPr>
            </w:pPr>
            <w:r w:rsidRPr="00114059">
              <w:rPr>
                <w:rFonts w:cs="Arial"/>
                <w:sz w:val="20"/>
                <w:szCs w:val="20"/>
                <w:lang w:eastAsia="en-US"/>
              </w:rPr>
              <w:t>Augmentation des revenus des producteurs et vendeurs des produits agricoles suite aux crédits accordés par les IF aux petits exploitants agricoles.</w:t>
            </w:r>
          </w:p>
        </w:tc>
      </w:tr>
      <w:tr w:rsidR="009021F1" w:rsidRPr="009A7F3A" w14:paraId="21D32F1A" w14:textId="77777777" w:rsidTr="00E637E3">
        <w:trPr>
          <w:trHeight w:val="143"/>
        </w:trPr>
        <w:tc>
          <w:tcPr>
            <w:tcW w:w="1790" w:type="dxa"/>
            <w:vMerge/>
            <w:shd w:val="clear" w:color="auto" w:fill="auto"/>
          </w:tcPr>
          <w:p w14:paraId="3FBEBF38" w14:textId="77777777" w:rsidR="009021F1" w:rsidRPr="00114059" w:rsidRDefault="009021F1" w:rsidP="00E637E3">
            <w:pPr>
              <w:spacing w:line="240" w:lineRule="auto"/>
              <w:rPr>
                <w:rFonts w:cs="Arial"/>
                <w:b/>
                <w:sz w:val="20"/>
                <w:szCs w:val="20"/>
                <w:lang w:eastAsia="en-US"/>
              </w:rPr>
            </w:pPr>
          </w:p>
        </w:tc>
        <w:tc>
          <w:tcPr>
            <w:tcW w:w="1831" w:type="dxa"/>
            <w:shd w:val="clear" w:color="auto" w:fill="auto"/>
            <w:vAlign w:val="center"/>
          </w:tcPr>
          <w:p w14:paraId="13BAAA67" w14:textId="77777777" w:rsidR="009021F1" w:rsidRPr="00114059" w:rsidRDefault="009021F1" w:rsidP="00E637E3">
            <w:pPr>
              <w:spacing w:line="240" w:lineRule="auto"/>
              <w:rPr>
                <w:rFonts w:cs="Arial"/>
                <w:sz w:val="20"/>
                <w:szCs w:val="20"/>
              </w:rPr>
            </w:pPr>
            <w:r w:rsidRPr="00114059">
              <w:rPr>
                <w:rFonts w:cs="Arial"/>
                <w:color w:val="222222"/>
                <w:sz w:val="20"/>
                <w:szCs w:val="20"/>
              </w:rPr>
              <w:t>Soutien à l’inclusion des petits exploitants dans les chaînes de valeur</w:t>
            </w:r>
          </w:p>
        </w:tc>
        <w:tc>
          <w:tcPr>
            <w:tcW w:w="3073" w:type="dxa"/>
            <w:shd w:val="clear" w:color="auto" w:fill="auto"/>
            <w:vAlign w:val="center"/>
          </w:tcPr>
          <w:p w14:paraId="7B27E9D6" w14:textId="77777777" w:rsidR="009021F1" w:rsidRPr="00114059" w:rsidDel="00CA5C3A" w:rsidRDefault="009021F1" w:rsidP="00E637E3">
            <w:pPr>
              <w:spacing w:line="240" w:lineRule="auto"/>
              <w:rPr>
                <w:rFonts w:cs="Arial"/>
                <w:sz w:val="20"/>
                <w:szCs w:val="20"/>
                <w:lang w:eastAsia="en-US"/>
              </w:rPr>
            </w:pPr>
            <w:r w:rsidRPr="00114059">
              <w:rPr>
                <w:rFonts w:cs="Arial"/>
                <w:sz w:val="20"/>
                <w:szCs w:val="20"/>
              </w:rPr>
              <w:t>Subventions de contrepartie basées sur une approche axée sur la demande aux groupes de petits exploitants agricoles (coopératives/associations) et aux agro-MPME qui travailleront avec les petits exploitants agricoles bénéficiaires</w:t>
            </w:r>
          </w:p>
        </w:tc>
        <w:tc>
          <w:tcPr>
            <w:tcW w:w="3796" w:type="dxa"/>
            <w:shd w:val="clear" w:color="auto" w:fill="auto"/>
          </w:tcPr>
          <w:p w14:paraId="4542AE54" w14:textId="77777777" w:rsidR="009021F1" w:rsidRPr="00114059" w:rsidRDefault="009021F1" w:rsidP="00E637E3">
            <w:pPr>
              <w:numPr>
                <w:ilvl w:val="0"/>
                <w:numId w:val="97"/>
              </w:numPr>
              <w:suppressAutoHyphens/>
              <w:autoSpaceDN w:val="0"/>
              <w:spacing w:line="240" w:lineRule="auto"/>
              <w:ind w:left="176" w:hanging="142"/>
              <w:textAlignment w:val="baseline"/>
              <w:rPr>
                <w:rFonts w:cs="Arial"/>
                <w:sz w:val="20"/>
                <w:szCs w:val="20"/>
                <w:lang w:eastAsia="en-US"/>
              </w:rPr>
            </w:pPr>
            <w:r w:rsidRPr="00114059">
              <w:rPr>
                <w:rFonts w:cs="Arial"/>
                <w:sz w:val="20"/>
                <w:szCs w:val="20"/>
              </w:rPr>
              <w:t>Promotion des groupes de petits exploitants agricoles (coopératives/associations) et des agro-MPME qui travailleront avec les petits exploitants agricoles bénéficiaires</w:t>
            </w:r>
          </w:p>
          <w:p w14:paraId="2A26A276" w14:textId="77777777" w:rsidR="009021F1" w:rsidRPr="00114059" w:rsidRDefault="009021F1" w:rsidP="00E637E3">
            <w:pPr>
              <w:numPr>
                <w:ilvl w:val="0"/>
                <w:numId w:val="97"/>
              </w:numPr>
              <w:suppressAutoHyphens/>
              <w:autoSpaceDN w:val="0"/>
              <w:spacing w:line="240" w:lineRule="auto"/>
              <w:ind w:left="176" w:hanging="142"/>
              <w:textAlignment w:val="baseline"/>
              <w:rPr>
                <w:rFonts w:cs="Arial"/>
                <w:sz w:val="20"/>
                <w:szCs w:val="20"/>
                <w:lang w:eastAsia="en-US"/>
              </w:rPr>
            </w:pPr>
            <w:r w:rsidRPr="00114059">
              <w:rPr>
                <w:rFonts w:cs="Arial"/>
                <w:sz w:val="20"/>
                <w:szCs w:val="20"/>
              </w:rPr>
              <w:t>Appui en intrants et de services agricoles (activités pré-récolte) comme les machines agricoles, semences, engrais, irrigation à la ferme, assistance technique</w:t>
            </w:r>
          </w:p>
          <w:p w14:paraId="27334975" w14:textId="77777777" w:rsidR="009021F1" w:rsidRPr="00114059" w:rsidRDefault="009021F1" w:rsidP="00E637E3">
            <w:pPr>
              <w:numPr>
                <w:ilvl w:val="0"/>
                <w:numId w:val="97"/>
              </w:numPr>
              <w:suppressAutoHyphens/>
              <w:autoSpaceDN w:val="0"/>
              <w:spacing w:line="240" w:lineRule="auto"/>
              <w:ind w:left="176" w:hanging="142"/>
              <w:textAlignment w:val="baseline"/>
              <w:rPr>
                <w:rFonts w:cs="Arial"/>
                <w:sz w:val="20"/>
                <w:szCs w:val="20"/>
                <w:lang w:eastAsia="en-US"/>
              </w:rPr>
            </w:pPr>
            <w:r w:rsidRPr="00114059">
              <w:rPr>
                <w:rFonts w:cs="Arial"/>
                <w:sz w:val="20"/>
                <w:szCs w:val="20"/>
              </w:rPr>
              <w:t>Bonne transformation, le transport et/ou la commercialisation de produits agricoles (activités post récolte) ;</w:t>
            </w:r>
          </w:p>
          <w:p w14:paraId="7595D701" w14:textId="77777777" w:rsidR="009021F1" w:rsidRPr="00114059" w:rsidRDefault="009021F1" w:rsidP="00E637E3">
            <w:pPr>
              <w:numPr>
                <w:ilvl w:val="0"/>
                <w:numId w:val="97"/>
              </w:numPr>
              <w:suppressAutoHyphens/>
              <w:autoSpaceDN w:val="0"/>
              <w:spacing w:line="240" w:lineRule="auto"/>
              <w:ind w:left="176" w:hanging="142"/>
              <w:textAlignment w:val="baseline"/>
              <w:rPr>
                <w:rFonts w:cs="Arial"/>
                <w:sz w:val="20"/>
                <w:szCs w:val="20"/>
                <w:lang w:eastAsia="en-US"/>
              </w:rPr>
            </w:pPr>
            <w:r w:rsidRPr="00114059">
              <w:rPr>
                <w:rFonts w:cs="Arial"/>
                <w:sz w:val="20"/>
                <w:szCs w:val="20"/>
              </w:rPr>
              <w:t>Favoriser l’adhésion et la participation des femmes ainsi que des jeunes agriculteurs (âgés de 18 à 35 ans) aux activités du Programme ;</w:t>
            </w:r>
          </w:p>
          <w:p w14:paraId="106648D6" w14:textId="77777777" w:rsidR="009021F1" w:rsidRPr="00114059" w:rsidRDefault="009021F1" w:rsidP="00E637E3">
            <w:pPr>
              <w:numPr>
                <w:ilvl w:val="0"/>
                <w:numId w:val="97"/>
              </w:numPr>
              <w:suppressAutoHyphens/>
              <w:autoSpaceDN w:val="0"/>
              <w:spacing w:line="240" w:lineRule="auto"/>
              <w:ind w:left="176" w:hanging="142"/>
              <w:textAlignment w:val="baseline"/>
              <w:rPr>
                <w:rFonts w:cs="Arial"/>
                <w:sz w:val="20"/>
                <w:szCs w:val="20"/>
                <w:lang w:eastAsia="en-US"/>
              </w:rPr>
            </w:pPr>
            <w:r w:rsidRPr="00114059">
              <w:rPr>
                <w:rFonts w:cs="Arial"/>
                <w:sz w:val="20"/>
                <w:szCs w:val="20"/>
              </w:rPr>
              <w:t>Aider les petits exploitants à être mieux intégrés dans les chaînes de valeur par la création de marché d’intrants et de produits agricoles locaux durables ;</w:t>
            </w:r>
          </w:p>
          <w:p w14:paraId="3F04FCCE" w14:textId="77777777" w:rsidR="009021F1" w:rsidRPr="00114059" w:rsidRDefault="009021F1" w:rsidP="00E637E3">
            <w:pPr>
              <w:numPr>
                <w:ilvl w:val="0"/>
                <w:numId w:val="97"/>
              </w:numPr>
              <w:suppressAutoHyphens/>
              <w:autoSpaceDN w:val="0"/>
              <w:spacing w:line="240" w:lineRule="auto"/>
              <w:ind w:left="176" w:hanging="142"/>
              <w:textAlignment w:val="baseline"/>
              <w:rPr>
                <w:rFonts w:cs="Arial"/>
                <w:sz w:val="20"/>
                <w:szCs w:val="20"/>
              </w:rPr>
            </w:pPr>
            <w:r w:rsidRPr="00114059">
              <w:rPr>
                <w:rFonts w:cs="Arial"/>
                <w:sz w:val="20"/>
                <w:szCs w:val="20"/>
              </w:rPr>
              <w:t>Commercialisation de produits agro-alimentaires</w:t>
            </w:r>
          </w:p>
          <w:p w14:paraId="3D63341E" w14:textId="77777777" w:rsidR="009021F1" w:rsidRPr="00114059" w:rsidRDefault="009021F1" w:rsidP="00E637E3">
            <w:pPr>
              <w:numPr>
                <w:ilvl w:val="0"/>
                <w:numId w:val="97"/>
              </w:numPr>
              <w:suppressAutoHyphens/>
              <w:autoSpaceDN w:val="0"/>
              <w:spacing w:line="240" w:lineRule="auto"/>
              <w:ind w:left="176" w:hanging="142"/>
              <w:textAlignment w:val="baseline"/>
              <w:rPr>
                <w:rFonts w:cs="Arial"/>
                <w:sz w:val="20"/>
                <w:szCs w:val="20"/>
              </w:rPr>
            </w:pPr>
            <w:r w:rsidRPr="00114059">
              <w:rPr>
                <w:rFonts w:cs="Arial"/>
                <w:sz w:val="20"/>
                <w:szCs w:val="20"/>
              </w:rPr>
              <w:t xml:space="preserve">Octroi des crédits par les IF aux petits exploitants agricoles </w:t>
            </w:r>
          </w:p>
        </w:tc>
      </w:tr>
      <w:tr w:rsidR="009021F1" w:rsidRPr="009A7F3A" w14:paraId="76BCDBD8" w14:textId="77777777" w:rsidTr="00E637E3">
        <w:trPr>
          <w:trHeight w:val="6838"/>
        </w:trPr>
        <w:tc>
          <w:tcPr>
            <w:tcW w:w="1790" w:type="dxa"/>
            <w:vMerge w:val="restart"/>
            <w:shd w:val="clear" w:color="auto" w:fill="auto"/>
            <w:vAlign w:val="center"/>
          </w:tcPr>
          <w:p w14:paraId="3DC2C7DF" w14:textId="77777777" w:rsidR="009021F1" w:rsidRPr="00114059" w:rsidRDefault="009021F1" w:rsidP="00E637E3">
            <w:pPr>
              <w:numPr>
                <w:ilvl w:val="0"/>
                <w:numId w:val="98"/>
              </w:numPr>
              <w:autoSpaceDN w:val="0"/>
              <w:spacing w:line="240" w:lineRule="auto"/>
              <w:ind w:left="313" w:hanging="284"/>
              <w:rPr>
                <w:rFonts w:cs="Arial"/>
                <w:b/>
                <w:sz w:val="20"/>
                <w:szCs w:val="20"/>
              </w:rPr>
            </w:pPr>
            <w:r w:rsidRPr="00114059">
              <w:rPr>
                <w:rFonts w:cs="Arial"/>
                <w:sz w:val="20"/>
                <w:szCs w:val="20"/>
              </w:rPr>
              <w:t>Biens et services publics agricoles</w:t>
            </w:r>
          </w:p>
        </w:tc>
        <w:tc>
          <w:tcPr>
            <w:tcW w:w="1831" w:type="dxa"/>
            <w:shd w:val="clear" w:color="auto" w:fill="auto"/>
            <w:vAlign w:val="center"/>
          </w:tcPr>
          <w:p w14:paraId="747A7E2A" w14:textId="77777777" w:rsidR="009021F1" w:rsidRPr="00114059" w:rsidRDefault="009021F1" w:rsidP="00E637E3">
            <w:pPr>
              <w:spacing w:line="240" w:lineRule="auto"/>
              <w:rPr>
                <w:rFonts w:cs="Arial"/>
                <w:color w:val="222222"/>
                <w:sz w:val="20"/>
                <w:szCs w:val="20"/>
              </w:rPr>
            </w:pPr>
            <w:r w:rsidRPr="00114059">
              <w:rPr>
                <w:rFonts w:cs="Arial"/>
                <w:sz w:val="20"/>
                <w:szCs w:val="20"/>
              </w:rPr>
              <w:t>Renforcement des capacités pour la fourniture de services publics agricoles</w:t>
            </w:r>
          </w:p>
        </w:tc>
        <w:tc>
          <w:tcPr>
            <w:tcW w:w="3073" w:type="dxa"/>
            <w:shd w:val="clear" w:color="auto" w:fill="auto"/>
            <w:vAlign w:val="center"/>
          </w:tcPr>
          <w:p w14:paraId="1A470E64" w14:textId="77777777" w:rsidR="009021F1" w:rsidRPr="00114059" w:rsidRDefault="009021F1" w:rsidP="00E637E3">
            <w:pPr>
              <w:spacing w:line="240" w:lineRule="auto"/>
              <w:rPr>
                <w:rFonts w:cs="Arial"/>
                <w:sz w:val="20"/>
                <w:szCs w:val="20"/>
                <w:lang w:eastAsia="en-US"/>
              </w:rPr>
            </w:pPr>
            <w:r w:rsidRPr="00114059">
              <w:rPr>
                <w:rFonts w:cs="Arial"/>
                <w:color w:val="222222"/>
                <w:sz w:val="20"/>
                <w:szCs w:val="20"/>
              </w:rPr>
              <w:t>Renforcement des capacités des Ministères clés</w:t>
            </w:r>
            <w:r w:rsidRPr="00114059">
              <w:rPr>
                <w:rFonts w:cs="Arial"/>
                <w:sz w:val="20"/>
                <w:szCs w:val="20"/>
              </w:rPr>
              <w:t xml:space="preserve"> (Agriculture, Pêche et Élevage, des Affaires Foncières et du Développement Rural)</w:t>
            </w:r>
            <w:r w:rsidRPr="00114059">
              <w:rPr>
                <w:rFonts w:cs="Arial"/>
                <w:color w:val="222222"/>
                <w:sz w:val="20"/>
                <w:szCs w:val="20"/>
              </w:rPr>
              <w:t xml:space="preserve"> pour la fourniture de services publics agricoles</w:t>
            </w:r>
          </w:p>
        </w:tc>
        <w:tc>
          <w:tcPr>
            <w:tcW w:w="3796" w:type="dxa"/>
            <w:shd w:val="clear" w:color="auto" w:fill="auto"/>
          </w:tcPr>
          <w:p w14:paraId="32FFD2FE" w14:textId="77777777" w:rsidR="009021F1" w:rsidRPr="00114059" w:rsidRDefault="009021F1" w:rsidP="00E637E3">
            <w:pPr>
              <w:numPr>
                <w:ilvl w:val="0"/>
                <w:numId w:val="97"/>
              </w:numPr>
              <w:suppressAutoHyphens/>
              <w:autoSpaceDN w:val="0"/>
              <w:spacing w:line="240" w:lineRule="auto"/>
              <w:ind w:left="176" w:hanging="142"/>
              <w:textAlignment w:val="baseline"/>
              <w:rPr>
                <w:rFonts w:cs="Arial"/>
                <w:sz w:val="20"/>
                <w:szCs w:val="20"/>
                <w:lang w:eastAsia="en-US"/>
              </w:rPr>
            </w:pPr>
            <w:r w:rsidRPr="00114059">
              <w:rPr>
                <w:rFonts w:cs="Arial"/>
                <w:sz w:val="20"/>
                <w:szCs w:val="20"/>
              </w:rPr>
              <w:t xml:space="preserve">Renforcement des capacités de planification, de coordination, de suivi et d’évaluation aux niveaux national et décentralisé </w:t>
            </w:r>
          </w:p>
          <w:p w14:paraId="1B4E2AC0" w14:textId="77777777" w:rsidR="009021F1" w:rsidRPr="00114059" w:rsidRDefault="009021F1" w:rsidP="00E637E3">
            <w:pPr>
              <w:numPr>
                <w:ilvl w:val="0"/>
                <w:numId w:val="97"/>
              </w:numPr>
              <w:suppressAutoHyphens/>
              <w:autoSpaceDN w:val="0"/>
              <w:spacing w:line="240" w:lineRule="auto"/>
              <w:ind w:left="176" w:hanging="142"/>
              <w:textAlignment w:val="baseline"/>
              <w:rPr>
                <w:rFonts w:cs="Arial"/>
                <w:sz w:val="20"/>
                <w:szCs w:val="20"/>
                <w:lang w:eastAsia="en-US"/>
              </w:rPr>
            </w:pPr>
            <w:r w:rsidRPr="00114059">
              <w:rPr>
                <w:rFonts w:cs="Arial"/>
                <w:sz w:val="20"/>
                <w:szCs w:val="20"/>
              </w:rPr>
              <w:t>Renforcement des systèmes de santé animale et végétale afin de soutenir le développement de chaînes d’approvisionnement et de lutter contre les parasites et les maladies ;</w:t>
            </w:r>
          </w:p>
          <w:p w14:paraId="20CABE60" w14:textId="77777777" w:rsidR="009021F1" w:rsidRPr="00114059" w:rsidRDefault="009021F1" w:rsidP="00E637E3">
            <w:pPr>
              <w:numPr>
                <w:ilvl w:val="0"/>
                <w:numId w:val="97"/>
              </w:numPr>
              <w:suppressAutoHyphens/>
              <w:autoSpaceDN w:val="0"/>
              <w:spacing w:line="240" w:lineRule="auto"/>
              <w:ind w:left="176" w:hanging="142"/>
              <w:textAlignment w:val="baseline"/>
              <w:rPr>
                <w:rFonts w:cs="Arial"/>
                <w:sz w:val="20"/>
                <w:szCs w:val="20"/>
                <w:lang w:eastAsia="en-US"/>
              </w:rPr>
            </w:pPr>
            <w:r w:rsidRPr="00114059">
              <w:rPr>
                <w:rFonts w:cs="Arial"/>
                <w:sz w:val="20"/>
                <w:szCs w:val="20"/>
              </w:rPr>
              <w:t>Renforcement des systèmes d’innovation agricole (R &amp; D, vulgarisation et éducation) ;</w:t>
            </w:r>
          </w:p>
          <w:p w14:paraId="1CF62C50" w14:textId="77777777" w:rsidR="009021F1" w:rsidRPr="00114059" w:rsidRDefault="009021F1" w:rsidP="00E637E3">
            <w:pPr>
              <w:numPr>
                <w:ilvl w:val="0"/>
                <w:numId w:val="97"/>
              </w:numPr>
              <w:suppressAutoHyphens/>
              <w:autoSpaceDN w:val="0"/>
              <w:spacing w:line="240" w:lineRule="auto"/>
              <w:ind w:left="176" w:hanging="142"/>
              <w:textAlignment w:val="baseline"/>
              <w:rPr>
                <w:rFonts w:cs="Arial"/>
                <w:sz w:val="20"/>
                <w:szCs w:val="20"/>
                <w:lang w:eastAsia="en-US"/>
              </w:rPr>
            </w:pPr>
            <w:r w:rsidRPr="00114059">
              <w:rPr>
                <w:rFonts w:cs="Arial"/>
                <w:sz w:val="20"/>
                <w:szCs w:val="20"/>
              </w:rPr>
              <w:t xml:space="preserve">Établissement d’un registre des agriculteurs (permettre les investissements </w:t>
            </w:r>
          </w:p>
          <w:p w14:paraId="2B0EBED3" w14:textId="77777777" w:rsidR="009021F1" w:rsidRPr="00114059" w:rsidRDefault="009021F1" w:rsidP="00E637E3">
            <w:pPr>
              <w:numPr>
                <w:ilvl w:val="0"/>
                <w:numId w:val="97"/>
              </w:numPr>
              <w:suppressAutoHyphens/>
              <w:autoSpaceDN w:val="0"/>
              <w:spacing w:line="240" w:lineRule="auto"/>
              <w:ind w:left="176" w:hanging="142"/>
              <w:textAlignment w:val="baseline"/>
              <w:rPr>
                <w:rFonts w:cs="Arial"/>
                <w:sz w:val="20"/>
                <w:szCs w:val="20"/>
                <w:lang w:eastAsia="en-US"/>
              </w:rPr>
            </w:pPr>
            <w:r w:rsidRPr="00114059">
              <w:rPr>
                <w:rFonts w:cs="Arial"/>
                <w:sz w:val="20"/>
                <w:szCs w:val="20"/>
              </w:rPr>
              <w:t>Renforcement de régime foncier par la modernisation des services d’administration des biens fonciers et la promotion d’approches alternatives ; et</w:t>
            </w:r>
          </w:p>
          <w:p w14:paraId="6FBB5C3F" w14:textId="77777777" w:rsidR="009021F1" w:rsidRPr="00114059" w:rsidRDefault="009021F1" w:rsidP="00E637E3">
            <w:pPr>
              <w:numPr>
                <w:ilvl w:val="0"/>
                <w:numId w:val="97"/>
              </w:numPr>
              <w:suppressAutoHyphens/>
              <w:autoSpaceDN w:val="0"/>
              <w:spacing w:line="240" w:lineRule="auto"/>
              <w:ind w:left="176" w:hanging="142"/>
              <w:textAlignment w:val="baseline"/>
              <w:rPr>
                <w:rFonts w:cs="Arial"/>
                <w:sz w:val="20"/>
                <w:szCs w:val="20"/>
                <w:lang w:eastAsia="en-US"/>
              </w:rPr>
            </w:pPr>
            <w:r w:rsidRPr="00114059">
              <w:rPr>
                <w:rFonts w:cs="Arial"/>
                <w:sz w:val="20"/>
                <w:szCs w:val="20"/>
              </w:rPr>
              <w:t xml:space="preserve">Soutien au dialogue entre le secteur public et le secteur privé pour le développement du secteur agricole, </w:t>
            </w:r>
          </w:p>
          <w:p w14:paraId="01CED48D" w14:textId="77777777" w:rsidR="009021F1" w:rsidRPr="00114059" w:rsidRDefault="009021F1" w:rsidP="00E637E3">
            <w:pPr>
              <w:numPr>
                <w:ilvl w:val="0"/>
                <w:numId w:val="97"/>
              </w:numPr>
              <w:suppressAutoHyphens/>
              <w:autoSpaceDN w:val="0"/>
              <w:spacing w:line="240" w:lineRule="auto"/>
              <w:ind w:left="176" w:hanging="142"/>
              <w:textAlignment w:val="baseline"/>
              <w:rPr>
                <w:rFonts w:cs="Arial"/>
                <w:sz w:val="20"/>
                <w:szCs w:val="20"/>
                <w:lang w:eastAsia="en-US"/>
              </w:rPr>
            </w:pPr>
            <w:r w:rsidRPr="00114059">
              <w:rPr>
                <w:rFonts w:cs="Arial"/>
                <w:sz w:val="20"/>
                <w:szCs w:val="20"/>
                <w:lang w:eastAsia="en-US"/>
              </w:rPr>
              <w:t>Renforcement des capacités des agents services publiques.</w:t>
            </w:r>
          </w:p>
        </w:tc>
      </w:tr>
      <w:tr w:rsidR="009021F1" w:rsidRPr="009A7F3A" w14:paraId="183F45DE" w14:textId="77777777" w:rsidTr="00E637E3">
        <w:trPr>
          <w:trHeight w:val="1271"/>
        </w:trPr>
        <w:tc>
          <w:tcPr>
            <w:tcW w:w="1790" w:type="dxa"/>
            <w:vMerge/>
            <w:shd w:val="clear" w:color="auto" w:fill="auto"/>
          </w:tcPr>
          <w:p w14:paraId="464AD745" w14:textId="77777777" w:rsidR="009021F1" w:rsidRPr="00114059" w:rsidRDefault="009021F1" w:rsidP="00E637E3">
            <w:pPr>
              <w:autoSpaceDN w:val="0"/>
              <w:spacing w:line="240" w:lineRule="auto"/>
              <w:rPr>
                <w:rFonts w:cs="Arial"/>
                <w:b/>
                <w:sz w:val="20"/>
                <w:szCs w:val="20"/>
              </w:rPr>
            </w:pPr>
          </w:p>
        </w:tc>
        <w:tc>
          <w:tcPr>
            <w:tcW w:w="1831" w:type="dxa"/>
            <w:shd w:val="clear" w:color="auto" w:fill="auto"/>
            <w:vAlign w:val="center"/>
          </w:tcPr>
          <w:p w14:paraId="40314EE7" w14:textId="77777777" w:rsidR="009021F1" w:rsidRPr="00114059" w:rsidRDefault="009021F1" w:rsidP="00E637E3">
            <w:pPr>
              <w:spacing w:line="240" w:lineRule="auto"/>
              <w:rPr>
                <w:rFonts w:cs="Arial"/>
                <w:color w:val="222222"/>
                <w:sz w:val="20"/>
                <w:szCs w:val="20"/>
              </w:rPr>
            </w:pPr>
            <w:r w:rsidRPr="00114059">
              <w:rPr>
                <w:rFonts w:cs="Arial"/>
                <w:color w:val="222222"/>
                <w:sz w:val="20"/>
                <w:szCs w:val="20"/>
              </w:rPr>
              <w:t>Gestion, suivi et évaluation du programme</w:t>
            </w:r>
          </w:p>
        </w:tc>
        <w:tc>
          <w:tcPr>
            <w:tcW w:w="3073" w:type="dxa"/>
            <w:shd w:val="clear" w:color="auto" w:fill="auto"/>
          </w:tcPr>
          <w:p w14:paraId="3EACCFC8" w14:textId="77777777" w:rsidR="009021F1" w:rsidRPr="00114059" w:rsidRDefault="009021F1" w:rsidP="00E637E3">
            <w:pPr>
              <w:spacing w:line="240" w:lineRule="auto"/>
              <w:rPr>
                <w:rFonts w:cs="Arial"/>
                <w:sz w:val="20"/>
                <w:szCs w:val="20"/>
                <w:lang w:eastAsia="en-US"/>
              </w:rPr>
            </w:pPr>
          </w:p>
        </w:tc>
        <w:tc>
          <w:tcPr>
            <w:tcW w:w="3796" w:type="dxa"/>
            <w:shd w:val="clear" w:color="auto" w:fill="auto"/>
          </w:tcPr>
          <w:p w14:paraId="06ABF9A9" w14:textId="77777777" w:rsidR="009021F1" w:rsidRPr="00114059" w:rsidRDefault="009021F1" w:rsidP="00E637E3">
            <w:pPr>
              <w:numPr>
                <w:ilvl w:val="0"/>
                <w:numId w:val="97"/>
              </w:numPr>
              <w:suppressAutoHyphens/>
              <w:autoSpaceDN w:val="0"/>
              <w:spacing w:line="240" w:lineRule="auto"/>
              <w:ind w:left="176" w:hanging="142"/>
              <w:textAlignment w:val="baseline"/>
              <w:rPr>
                <w:rFonts w:cs="Arial"/>
                <w:sz w:val="20"/>
                <w:szCs w:val="20"/>
                <w:lang w:eastAsia="en-US"/>
              </w:rPr>
            </w:pPr>
            <w:r w:rsidRPr="00114059">
              <w:rPr>
                <w:rFonts w:cs="Arial"/>
                <w:sz w:val="20"/>
                <w:szCs w:val="20"/>
              </w:rPr>
              <w:t xml:space="preserve">Bonne gestion de l’Unité de Coordination Nationale du Programme (UCNP) ; </w:t>
            </w:r>
          </w:p>
          <w:p w14:paraId="0E957F3F" w14:textId="77777777" w:rsidR="009021F1" w:rsidRPr="00114059" w:rsidRDefault="009021F1" w:rsidP="00E637E3">
            <w:pPr>
              <w:numPr>
                <w:ilvl w:val="0"/>
                <w:numId w:val="97"/>
              </w:numPr>
              <w:suppressAutoHyphens/>
              <w:autoSpaceDN w:val="0"/>
              <w:spacing w:line="240" w:lineRule="auto"/>
              <w:ind w:left="176" w:hanging="142"/>
              <w:textAlignment w:val="baseline"/>
              <w:rPr>
                <w:rFonts w:cs="Arial"/>
                <w:sz w:val="20"/>
                <w:szCs w:val="20"/>
                <w:lang w:eastAsia="en-US"/>
              </w:rPr>
            </w:pPr>
            <w:r w:rsidRPr="00114059">
              <w:rPr>
                <w:rFonts w:cs="Arial"/>
                <w:sz w:val="20"/>
                <w:szCs w:val="20"/>
              </w:rPr>
              <w:t>Bon suivi et l’évaluation des activités du programme</w:t>
            </w:r>
          </w:p>
        </w:tc>
      </w:tr>
    </w:tbl>
    <w:p w14:paraId="4E680F0B" w14:textId="77777777" w:rsidR="009021F1" w:rsidRPr="00114059" w:rsidRDefault="009021F1" w:rsidP="009021F1">
      <w:pPr>
        <w:rPr>
          <w:rFonts w:cs="Arial"/>
          <w:szCs w:val="21"/>
        </w:rPr>
      </w:pPr>
    </w:p>
    <w:p w14:paraId="0915F815" w14:textId="77777777" w:rsidR="009021F1" w:rsidRPr="00114059" w:rsidRDefault="009021F1" w:rsidP="009021F1">
      <w:pPr>
        <w:rPr>
          <w:szCs w:val="21"/>
          <w:highlight w:val="yellow"/>
        </w:rPr>
      </w:pPr>
    </w:p>
    <w:p w14:paraId="2ADB045D" w14:textId="77777777" w:rsidR="009021F1" w:rsidRPr="00114059" w:rsidRDefault="009021F1" w:rsidP="009021F1">
      <w:pPr>
        <w:pStyle w:val="Titre2"/>
        <w:numPr>
          <w:ilvl w:val="1"/>
          <w:numId w:val="4"/>
        </w:numPr>
        <w:ind w:left="851" w:hanging="425"/>
        <w:rPr>
          <w:rFonts w:cs="Arial"/>
          <w:b/>
          <w:szCs w:val="21"/>
        </w:rPr>
      </w:pPr>
      <w:bookmarkStart w:id="390" w:name="_Toc90471496"/>
      <w:r w:rsidRPr="00114059">
        <w:rPr>
          <w:rFonts w:cs="Arial"/>
          <w:b/>
          <w:szCs w:val="21"/>
        </w:rPr>
        <w:t>Risques et impacts environnementaux et sociaux négatifs potentiels</w:t>
      </w:r>
      <w:bookmarkEnd w:id="390"/>
    </w:p>
    <w:p w14:paraId="2F43293F" w14:textId="77777777" w:rsidR="009021F1" w:rsidRPr="00114059" w:rsidRDefault="009021F1" w:rsidP="009021F1">
      <w:pPr>
        <w:rPr>
          <w:rFonts w:cs="Arial"/>
          <w:bCs/>
          <w:szCs w:val="21"/>
        </w:rPr>
      </w:pPr>
    </w:p>
    <w:p w14:paraId="3E9217F9" w14:textId="77777777" w:rsidR="009021F1" w:rsidRPr="00114059" w:rsidRDefault="009021F1" w:rsidP="009021F1">
      <w:pPr>
        <w:tabs>
          <w:tab w:val="left" w:pos="0"/>
        </w:tabs>
        <w:rPr>
          <w:szCs w:val="21"/>
        </w:rPr>
      </w:pPr>
      <w:r w:rsidRPr="00114059">
        <w:rPr>
          <w:szCs w:val="21"/>
        </w:rPr>
        <w:t xml:space="preserve">La nature et l’ampleur des risques et des impacts environnementaux et sociaux négatifs attendus des activités du projet sont liées aux travaux et aux opérations de réhabilitation et entretien des routes rurales, </w:t>
      </w:r>
      <w:r w:rsidRPr="00114059">
        <w:rPr>
          <w:rFonts w:cs="Arial"/>
          <w:bCs/>
          <w:szCs w:val="21"/>
        </w:rPr>
        <w:t>marchés communautaires, abattoirs, activités d’irrigation</w:t>
      </w:r>
      <w:r w:rsidRPr="00114059">
        <w:rPr>
          <w:szCs w:val="21"/>
        </w:rPr>
        <w:t xml:space="preserve"> y compris la santé et la sécurité au travail et la gestion des espèces envahissantes, ainsi qu’aux activités des petits exploitants agricoles ruraux telles que l’utilisation de pesticides, les risques naturels, l’utilisation rationnelle des ressources (eau), l’érosion et la gestion des sols arables.</w:t>
      </w:r>
    </w:p>
    <w:p w14:paraId="05AE8D3E" w14:textId="77777777" w:rsidR="009021F1" w:rsidRPr="00114059" w:rsidRDefault="009021F1" w:rsidP="009021F1">
      <w:pPr>
        <w:tabs>
          <w:tab w:val="left" w:pos="0"/>
        </w:tabs>
        <w:rPr>
          <w:rFonts w:cs="Arial"/>
          <w:szCs w:val="21"/>
        </w:rPr>
      </w:pPr>
    </w:p>
    <w:p w14:paraId="146D3893" w14:textId="77777777" w:rsidR="009021F1" w:rsidRPr="00114059" w:rsidRDefault="009021F1" w:rsidP="009021F1">
      <w:pPr>
        <w:pStyle w:val="Titre2"/>
        <w:numPr>
          <w:ilvl w:val="2"/>
          <w:numId w:val="4"/>
        </w:numPr>
        <w:ind w:left="1560" w:hanging="709"/>
        <w:rPr>
          <w:rFonts w:cs="Arial"/>
          <w:i/>
          <w:szCs w:val="21"/>
        </w:rPr>
      </w:pPr>
      <w:bookmarkStart w:id="391" w:name="_Toc90471497"/>
      <w:r w:rsidRPr="00114059">
        <w:rPr>
          <w:rFonts w:cs="Arial"/>
          <w:i/>
          <w:szCs w:val="21"/>
        </w:rPr>
        <w:t>Impacts négatifs globaux communs à tous les sous-projets en phase de travaux</w:t>
      </w:r>
      <w:bookmarkEnd w:id="391"/>
    </w:p>
    <w:p w14:paraId="3D2029F5" w14:textId="77777777" w:rsidR="009021F1" w:rsidRPr="00114059" w:rsidRDefault="009021F1" w:rsidP="009021F1">
      <w:pPr>
        <w:tabs>
          <w:tab w:val="left" w:pos="0"/>
        </w:tabs>
        <w:rPr>
          <w:rFonts w:cs="Arial"/>
          <w:bCs/>
          <w:szCs w:val="21"/>
        </w:rPr>
      </w:pPr>
    </w:p>
    <w:p w14:paraId="15F66B95" w14:textId="77777777" w:rsidR="009021F1" w:rsidRPr="00114059" w:rsidRDefault="009021F1" w:rsidP="009021F1">
      <w:pPr>
        <w:tabs>
          <w:tab w:val="left" w:pos="0"/>
        </w:tabs>
        <w:rPr>
          <w:rFonts w:cs="Arial"/>
          <w:bCs/>
          <w:szCs w:val="21"/>
        </w:rPr>
      </w:pPr>
      <w:r w:rsidRPr="00114059">
        <w:rPr>
          <w:rFonts w:cs="Arial"/>
          <w:bCs/>
          <w:szCs w:val="21"/>
        </w:rPr>
        <w:t>En phases de préparation, d’exécution et d’exploitation, les impacts négatifs potentiels globaux présentés ci-dessous sont communs à tous les sous-projets des Composantes 1 « Productivité agricole » et 2 « Accès au marché de petits exploitants » ainsi que l</w:t>
      </w:r>
      <w:r w:rsidRPr="00114059">
        <w:rPr>
          <w:szCs w:val="21"/>
        </w:rPr>
        <w:t xml:space="preserve">a composante 3 (Biens et services publics agricole/renforcement des capacités des ministères clés) </w:t>
      </w:r>
      <w:r w:rsidRPr="00114059">
        <w:rPr>
          <w:rFonts w:cs="Arial"/>
          <w:bCs/>
          <w:szCs w:val="21"/>
        </w:rPr>
        <w:t>suivant les composantes environnementales et sociales :</w:t>
      </w:r>
    </w:p>
    <w:p w14:paraId="2989E2DC" w14:textId="77777777" w:rsidR="009021F1" w:rsidRDefault="009021F1" w:rsidP="009021F1">
      <w:pPr>
        <w:autoSpaceDE w:val="0"/>
        <w:autoSpaceDN w:val="0"/>
        <w:adjustRightInd w:val="0"/>
        <w:rPr>
          <w:rFonts w:cs="Arial"/>
          <w:bCs/>
          <w:szCs w:val="21"/>
        </w:rPr>
      </w:pPr>
    </w:p>
    <w:p w14:paraId="29D0E073" w14:textId="77777777" w:rsidR="009021F1" w:rsidRDefault="009021F1" w:rsidP="009021F1">
      <w:pPr>
        <w:autoSpaceDE w:val="0"/>
        <w:autoSpaceDN w:val="0"/>
        <w:adjustRightInd w:val="0"/>
        <w:rPr>
          <w:rFonts w:cs="Arial"/>
          <w:bCs/>
          <w:szCs w:val="21"/>
        </w:rPr>
      </w:pPr>
    </w:p>
    <w:p w14:paraId="4D3F5D0A" w14:textId="77777777" w:rsidR="009021F1" w:rsidRDefault="009021F1" w:rsidP="009021F1">
      <w:pPr>
        <w:autoSpaceDE w:val="0"/>
        <w:autoSpaceDN w:val="0"/>
        <w:adjustRightInd w:val="0"/>
        <w:rPr>
          <w:rFonts w:cs="Arial"/>
          <w:bCs/>
          <w:szCs w:val="21"/>
        </w:rPr>
      </w:pPr>
    </w:p>
    <w:p w14:paraId="12E12A7E" w14:textId="77777777" w:rsidR="009021F1" w:rsidRPr="00114059" w:rsidRDefault="009021F1" w:rsidP="009021F1">
      <w:pPr>
        <w:autoSpaceDE w:val="0"/>
        <w:autoSpaceDN w:val="0"/>
        <w:adjustRightInd w:val="0"/>
        <w:rPr>
          <w:rFonts w:cs="Arial"/>
          <w:bCs/>
          <w:szCs w:val="21"/>
        </w:rPr>
      </w:pPr>
    </w:p>
    <w:p w14:paraId="6327DFCA" w14:textId="77777777" w:rsidR="009021F1" w:rsidRPr="00114059" w:rsidRDefault="009021F1" w:rsidP="009021F1">
      <w:pPr>
        <w:autoSpaceDE w:val="0"/>
        <w:autoSpaceDN w:val="0"/>
        <w:adjustRightInd w:val="0"/>
        <w:rPr>
          <w:rFonts w:cs="Arial"/>
          <w:bCs/>
          <w:i/>
          <w:szCs w:val="21"/>
        </w:rPr>
      </w:pPr>
      <w:r w:rsidRPr="00114059">
        <w:rPr>
          <w:rFonts w:cs="Arial"/>
          <w:bCs/>
          <w:i/>
          <w:szCs w:val="21"/>
        </w:rPr>
        <w:t>Sous-composante 1.1 : Soutien direct aux petits exploitants</w:t>
      </w:r>
      <w:r w:rsidRPr="00114059">
        <w:rPr>
          <w:rFonts w:cs="Arial"/>
          <w:bCs/>
          <w:szCs w:val="21"/>
        </w:rPr>
        <w:t> </w:t>
      </w:r>
    </w:p>
    <w:p w14:paraId="0BC1352F" w14:textId="77777777" w:rsidR="009021F1" w:rsidRPr="00114059" w:rsidRDefault="009021F1" w:rsidP="009021F1">
      <w:pPr>
        <w:autoSpaceDE w:val="0"/>
        <w:autoSpaceDN w:val="0"/>
        <w:adjustRightInd w:val="0"/>
        <w:rPr>
          <w:i/>
          <w:szCs w:val="21"/>
        </w:rPr>
      </w:pPr>
    </w:p>
    <w:p w14:paraId="0E21F5AA" w14:textId="77777777" w:rsidR="009021F1" w:rsidRPr="00114059" w:rsidDel="00F63752" w:rsidRDefault="009021F1" w:rsidP="009021F1">
      <w:pPr>
        <w:pStyle w:val="Titre2"/>
        <w:rPr>
          <w:rFonts w:cs="Arial"/>
          <w:b/>
          <w:i/>
          <w:szCs w:val="21"/>
        </w:rPr>
      </w:pPr>
      <w:bookmarkStart w:id="392" w:name="_Toc90471498"/>
      <w:r w:rsidRPr="00114059" w:rsidDel="00F63752">
        <w:rPr>
          <w:rFonts w:cs="Arial"/>
          <w:i/>
          <w:szCs w:val="21"/>
        </w:rPr>
        <w:t>Impacts négatifs de distribution des semences ou aides directes aux petits exploitants agricoles</w:t>
      </w:r>
      <w:bookmarkEnd w:id="392"/>
    </w:p>
    <w:p w14:paraId="47DA26F7" w14:textId="77777777" w:rsidR="009021F1" w:rsidRPr="00114059" w:rsidRDefault="009021F1" w:rsidP="009021F1">
      <w:pPr>
        <w:rPr>
          <w:rFonts w:cs="Arial"/>
          <w:bCs/>
          <w:iCs/>
          <w:szCs w:val="21"/>
        </w:rPr>
      </w:pPr>
    </w:p>
    <w:p w14:paraId="1715B204" w14:textId="77777777" w:rsidR="009021F1" w:rsidRPr="00114059" w:rsidDel="00F63752" w:rsidRDefault="009021F1" w:rsidP="009021F1">
      <w:pPr>
        <w:autoSpaceDE w:val="0"/>
        <w:autoSpaceDN w:val="0"/>
        <w:adjustRightInd w:val="0"/>
        <w:rPr>
          <w:rFonts w:cs="Arial"/>
          <w:szCs w:val="21"/>
          <w:u w:val="single"/>
        </w:rPr>
      </w:pPr>
      <w:r w:rsidRPr="00114059" w:rsidDel="00F63752">
        <w:rPr>
          <w:rFonts w:cs="Arial"/>
          <w:szCs w:val="21"/>
          <w:u w:val="single"/>
        </w:rPr>
        <w:t>En phase de sélection des ménages et renforcement des capacités :</w:t>
      </w:r>
    </w:p>
    <w:p w14:paraId="365B0697" w14:textId="77777777" w:rsidR="009021F1" w:rsidRPr="00114059" w:rsidDel="00F63752" w:rsidRDefault="009021F1" w:rsidP="009021F1">
      <w:pPr>
        <w:rPr>
          <w:rFonts w:cs="Arial"/>
          <w:bCs/>
          <w:iCs/>
          <w:szCs w:val="21"/>
        </w:rPr>
      </w:pPr>
    </w:p>
    <w:p w14:paraId="5D189F1A" w14:textId="77777777" w:rsidR="009021F1" w:rsidRPr="00114059" w:rsidDel="00F63752" w:rsidRDefault="009021F1" w:rsidP="009021F1">
      <w:pPr>
        <w:rPr>
          <w:rFonts w:cs="Arial"/>
          <w:color w:val="000000"/>
          <w:szCs w:val="21"/>
        </w:rPr>
      </w:pPr>
      <w:r w:rsidRPr="00114059" w:rsidDel="00F63752">
        <w:rPr>
          <w:rFonts w:cs="Arial"/>
          <w:color w:val="000000"/>
          <w:szCs w:val="21"/>
        </w:rPr>
        <w:t xml:space="preserve">Quoique salutaire, la distribution des semences ou aides directes aux petits exploitants agricoles pourraient générer quelques impacts négatifs liés au non-respect des paramètres fixés pour la sélection des ménages bénéficiaires de ladite distribution notamment </w:t>
      </w:r>
      <w:r w:rsidRPr="00114059">
        <w:rPr>
          <w:rFonts w:cs="Arial"/>
          <w:color w:val="000000"/>
          <w:szCs w:val="21"/>
        </w:rPr>
        <w:t xml:space="preserve">le </w:t>
      </w:r>
      <w:r w:rsidRPr="00114059" w:rsidDel="00F63752">
        <w:rPr>
          <w:rFonts w:cs="Arial"/>
          <w:color w:val="000000"/>
          <w:szCs w:val="21"/>
        </w:rPr>
        <w:t xml:space="preserve">risque de conflits sociaux entre les ménages sélectionnés et non sélectionnés, les ménages où les femmes sont chef de </w:t>
      </w:r>
      <w:r w:rsidRPr="00114059">
        <w:rPr>
          <w:rFonts w:cs="Arial"/>
          <w:color w:val="000000"/>
          <w:szCs w:val="21"/>
        </w:rPr>
        <w:t>famille</w:t>
      </w:r>
      <w:r w:rsidRPr="00114059" w:rsidDel="00F63752">
        <w:rPr>
          <w:rFonts w:cs="Arial"/>
          <w:color w:val="000000"/>
          <w:szCs w:val="21"/>
        </w:rPr>
        <w:t xml:space="preserve"> et où elles ne le sont pas ; le non-respect des critères de sélection des ménages éligibles ; le risque de la discrimination des populations autochtones lors de la sélection des ménages vulnérables ; le risque d’une discrimination liée au sexe. Il en est de même lors de renforcement des capacités, les populations autochtones (y compris les femmes) risquent d’être victimes de n’avoir pas bénéficié de la formation sous prétexte qu’elles n’ont pas étudié.</w:t>
      </w:r>
    </w:p>
    <w:p w14:paraId="149C96E5" w14:textId="77777777" w:rsidR="009021F1" w:rsidRPr="00114059" w:rsidDel="00F63752" w:rsidRDefault="009021F1" w:rsidP="009021F1">
      <w:pPr>
        <w:rPr>
          <w:rFonts w:cs="Arial"/>
          <w:bCs/>
          <w:iCs/>
          <w:szCs w:val="21"/>
        </w:rPr>
      </w:pPr>
    </w:p>
    <w:p w14:paraId="565578A0" w14:textId="77777777" w:rsidR="009021F1" w:rsidRPr="00114059" w:rsidDel="00F63752" w:rsidRDefault="009021F1" w:rsidP="009021F1">
      <w:pPr>
        <w:autoSpaceDE w:val="0"/>
        <w:autoSpaceDN w:val="0"/>
        <w:adjustRightInd w:val="0"/>
        <w:rPr>
          <w:rFonts w:cs="Arial"/>
          <w:szCs w:val="21"/>
          <w:u w:val="single"/>
        </w:rPr>
      </w:pPr>
      <w:r w:rsidRPr="00114059" w:rsidDel="00F63752">
        <w:rPr>
          <w:rFonts w:cs="Arial"/>
          <w:szCs w:val="21"/>
          <w:u w:val="single"/>
        </w:rPr>
        <w:t>En phase d’exploitation :</w:t>
      </w:r>
    </w:p>
    <w:p w14:paraId="28017D20" w14:textId="77777777" w:rsidR="009021F1" w:rsidRPr="00114059" w:rsidDel="00F63752" w:rsidRDefault="009021F1" w:rsidP="009021F1">
      <w:pPr>
        <w:rPr>
          <w:rFonts w:cs="Arial"/>
          <w:bCs/>
          <w:iCs/>
          <w:szCs w:val="21"/>
        </w:rPr>
      </w:pPr>
    </w:p>
    <w:p w14:paraId="5C29F6C9" w14:textId="77777777" w:rsidR="009021F1" w:rsidRPr="00114059" w:rsidDel="00F63752" w:rsidRDefault="009021F1" w:rsidP="009021F1">
      <w:pPr>
        <w:rPr>
          <w:rFonts w:cs="Arial"/>
          <w:spacing w:val="-2"/>
          <w:szCs w:val="21"/>
        </w:rPr>
      </w:pPr>
      <w:r w:rsidRPr="00114059" w:rsidDel="00F63752">
        <w:rPr>
          <w:rFonts w:cs="Arial"/>
          <w:spacing w:val="-2"/>
          <w:szCs w:val="21"/>
        </w:rPr>
        <w:t>Le risque de non implication des populations autochtones et d’autres groupes vulnérables comme les personnes vivant avec handicap, les vieillards, les jeunes filles/femmes dans les mesures d’accompagnement pour encourager un changement de comportement visant les bonnes pratiques et de la nouvelle technologie agricole avec un impact sur l’état nutritionnel et le développement de la petite enfance, les pratiques familiales essentielles ainsi que le bien-être et la productivité agricoles des ménages bénéficiaires.</w:t>
      </w:r>
    </w:p>
    <w:p w14:paraId="50ED65C5" w14:textId="77777777" w:rsidR="009021F1" w:rsidRPr="00114059" w:rsidDel="00F63752" w:rsidRDefault="009021F1" w:rsidP="009021F1">
      <w:pPr>
        <w:rPr>
          <w:rFonts w:cs="Arial"/>
          <w:color w:val="000000"/>
          <w:spacing w:val="-2"/>
          <w:szCs w:val="21"/>
        </w:rPr>
      </w:pPr>
    </w:p>
    <w:p w14:paraId="3E660DDC" w14:textId="77777777" w:rsidR="009021F1" w:rsidRPr="00114059" w:rsidDel="00F63752" w:rsidRDefault="009021F1" w:rsidP="009021F1">
      <w:pPr>
        <w:pStyle w:val="Titre2"/>
        <w:rPr>
          <w:rFonts w:cs="Arial"/>
          <w:i/>
          <w:color w:val="000000"/>
          <w:szCs w:val="21"/>
        </w:rPr>
      </w:pPr>
      <w:bookmarkStart w:id="393" w:name="_Toc90471499"/>
      <w:r w:rsidRPr="00114059" w:rsidDel="00F63752">
        <w:rPr>
          <w:rFonts w:cs="Arial"/>
          <w:i/>
          <w:color w:val="000000"/>
          <w:szCs w:val="21"/>
        </w:rPr>
        <w:t>Impacts négatifs de travaux de la production agricole (activités culturales)</w:t>
      </w:r>
      <w:bookmarkEnd w:id="393"/>
    </w:p>
    <w:p w14:paraId="6C2E7BD9" w14:textId="77777777" w:rsidR="009021F1" w:rsidRPr="00114059" w:rsidDel="00F63752" w:rsidRDefault="009021F1" w:rsidP="009021F1">
      <w:pPr>
        <w:rPr>
          <w:rFonts w:cs="Arial"/>
          <w:color w:val="000000"/>
          <w:szCs w:val="21"/>
        </w:rPr>
      </w:pPr>
    </w:p>
    <w:p w14:paraId="4E52263F" w14:textId="77777777" w:rsidR="009021F1" w:rsidRPr="00114059" w:rsidDel="00F63752" w:rsidRDefault="009021F1" w:rsidP="009021F1">
      <w:pPr>
        <w:rPr>
          <w:rFonts w:cs="Arial"/>
          <w:i/>
          <w:color w:val="000000"/>
          <w:szCs w:val="21"/>
        </w:rPr>
      </w:pPr>
      <w:r w:rsidRPr="00114059" w:rsidDel="00F63752">
        <w:rPr>
          <w:rFonts w:cs="Arial"/>
          <w:i/>
          <w:color w:val="000000"/>
          <w:szCs w:val="21"/>
        </w:rPr>
        <w:t>Impacts sur la flore</w:t>
      </w:r>
    </w:p>
    <w:p w14:paraId="409226D0" w14:textId="77777777" w:rsidR="009021F1" w:rsidRPr="00114059" w:rsidRDefault="009021F1" w:rsidP="009021F1">
      <w:pPr>
        <w:rPr>
          <w:rFonts w:cs="Arial"/>
          <w:color w:val="000000"/>
          <w:szCs w:val="21"/>
        </w:rPr>
      </w:pPr>
    </w:p>
    <w:p w14:paraId="41E7D0EE" w14:textId="77777777" w:rsidR="009021F1" w:rsidRPr="00114059" w:rsidRDefault="009021F1" w:rsidP="009021F1">
      <w:pPr>
        <w:rPr>
          <w:color w:val="000000"/>
          <w:szCs w:val="21"/>
        </w:rPr>
      </w:pPr>
      <w:r w:rsidRPr="00114059">
        <w:rPr>
          <w:color w:val="000000"/>
          <w:szCs w:val="21"/>
        </w:rPr>
        <w:t>Les aménagements agricoles vont nécessairement s’accompagner d’une intensification culturale et entraîner une augmentation de l’utilisation des pesticides et des engrais d’où les impacts probables négatifs sur la végétation suivantes : déboisements lors des défrichements pour la préparation des parcelles agricoles vont entraîner la perte de la végétation par la déforestation, la perturbation et la destruction des habitats naturels et des écosystèmes sensibles pouvant provoquer une baisse de la diversité biologique et des ressources forestières ; destruction de la microfaune et de la matière organique avec émission des gaz à effet de serre en cas de brûlis ; risque de développement de la résistance de la part de certains parasites et de développement de nouvelles formes d’attaques des plantes, la destruction des non cibles par les pesticides.</w:t>
      </w:r>
    </w:p>
    <w:p w14:paraId="75470C5B" w14:textId="77777777" w:rsidR="009021F1" w:rsidRPr="00114059" w:rsidRDefault="009021F1" w:rsidP="009021F1">
      <w:pPr>
        <w:rPr>
          <w:rFonts w:cs="Arial"/>
          <w:color w:val="000000"/>
          <w:szCs w:val="21"/>
        </w:rPr>
      </w:pPr>
    </w:p>
    <w:p w14:paraId="41B1ED5A" w14:textId="77777777" w:rsidR="009021F1" w:rsidRPr="00114059" w:rsidRDefault="009021F1" w:rsidP="009021F1">
      <w:pPr>
        <w:autoSpaceDE w:val="0"/>
        <w:autoSpaceDN w:val="0"/>
        <w:adjustRightInd w:val="0"/>
        <w:rPr>
          <w:i/>
          <w:szCs w:val="21"/>
        </w:rPr>
      </w:pPr>
      <w:r w:rsidRPr="00114059">
        <w:rPr>
          <w:i/>
          <w:szCs w:val="21"/>
        </w:rPr>
        <w:t>Impacts négatifs des pare-feu</w:t>
      </w:r>
    </w:p>
    <w:p w14:paraId="61EB7DEB" w14:textId="77777777" w:rsidR="009021F1" w:rsidRPr="00114059" w:rsidRDefault="009021F1" w:rsidP="009021F1">
      <w:pPr>
        <w:autoSpaceDE w:val="0"/>
        <w:autoSpaceDN w:val="0"/>
        <w:adjustRightInd w:val="0"/>
        <w:rPr>
          <w:szCs w:val="21"/>
        </w:rPr>
      </w:pPr>
    </w:p>
    <w:p w14:paraId="224A939D" w14:textId="77777777" w:rsidR="009021F1" w:rsidRPr="00114059" w:rsidRDefault="009021F1" w:rsidP="009021F1">
      <w:pPr>
        <w:autoSpaceDE w:val="0"/>
        <w:autoSpaceDN w:val="0"/>
        <w:adjustRightInd w:val="0"/>
        <w:rPr>
          <w:szCs w:val="21"/>
        </w:rPr>
      </w:pPr>
      <w:r w:rsidRPr="00114059">
        <w:rPr>
          <w:szCs w:val="21"/>
        </w:rPr>
        <w:t xml:space="preserve">La réalisation de pare-feu pour contenir la propagation des feux de brousse devra nécessiter un débroussaillage consistant de nature à entraîner une perte de végétation et une dégradation des habitats naturels. </w:t>
      </w:r>
    </w:p>
    <w:p w14:paraId="220DAF73" w14:textId="77777777" w:rsidR="009021F1" w:rsidRPr="00114059" w:rsidDel="00F63752" w:rsidRDefault="009021F1" w:rsidP="009021F1">
      <w:pPr>
        <w:rPr>
          <w:rFonts w:cs="Arial"/>
          <w:color w:val="FF0000"/>
          <w:szCs w:val="21"/>
        </w:rPr>
      </w:pPr>
    </w:p>
    <w:p w14:paraId="02109836" w14:textId="77777777" w:rsidR="009021F1" w:rsidRPr="00114059" w:rsidDel="00F63752" w:rsidRDefault="009021F1" w:rsidP="009021F1">
      <w:pPr>
        <w:rPr>
          <w:rFonts w:cs="Arial"/>
          <w:i/>
          <w:szCs w:val="21"/>
        </w:rPr>
      </w:pPr>
      <w:r w:rsidRPr="00114059" w:rsidDel="00F63752">
        <w:rPr>
          <w:rFonts w:cs="Arial"/>
          <w:i/>
          <w:szCs w:val="21"/>
        </w:rPr>
        <w:t>Impacts sur la faune</w:t>
      </w:r>
    </w:p>
    <w:p w14:paraId="51AC0364" w14:textId="77777777" w:rsidR="009021F1" w:rsidRPr="00114059" w:rsidDel="00F63752" w:rsidRDefault="009021F1" w:rsidP="009021F1">
      <w:pPr>
        <w:rPr>
          <w:rFonts w:cs="Arial"/>
          <w:color w:val="000000"/>
          <w:szCs w:val="21"/>
        </w:rPr>
      </w:pPr>
    </w:p>
    <w:p w14:paraId="4F0B00E0" w14:textId="77777777" w:rsidR="009021F1" w:rsidRPr="00114059" w:rsidDel="00F63752" w:rsidRDefault="009021F1" w:rsidP="009021F1">
      <w:pPr>
        <w:rPr>
          <w:rFonts w:cs="Arial"/>
          <w:color w:val="000000"/>
          <w:szCs w:val="21"/>
        </w:rPr>
      </w:pPr>
      <w:r w:rsidRPr="00114059" w:rsidDel="00F63752">
        <w:rPr>
          <w:rFonts w:cs="Arial"/>
          <w:color w:val="000000"/>
          <w:szCs w:val="21"/>
        </w:rPr>
        <w:t>Les activités d’exploitation des savanes dégradées</w:t>
      </w:r>
      <w:r w:rsidRPr="00114059">
        <w:rPr>
          <w:rFonts w:cs="Arial"/>
          <w:color w:val="000000"/>
          <w:szCs w:val="21"/>
        </w:rPr>
        <w:t xml:space="preserve"> </w:t>
      </w:r>
      <w:r w:rsidRPr="00114059" w:rsidDel="00F63752">
        <w:rPr>
          <w:rFonts w:cs="Arial"/>
          <w:color w:val="000000"/>
          <w:szCs w:val="21"/>
        </w:rPr>
        <w:t>au profit de la production</w:t>
      </w:r>
      <w:r w:rsidRPr="00114059">
        <w:rPr>
          <w:rFonts w:cs="Arial"/>
          <w:color w:val="000000"/>
          <w:szCs w:val="21"/>
        </w:rPr>
        <w:t xml:space="preserve"> agricole auront   contribué à </w:t>
      </w:r>
      <w:r w:rsidRPr="00114059" w:rsidDel="00F63752">
        <w:rPr>
          <w:rFonts w:cs="Arial"/>
          <w:color w:val="000000"/>
          <w:szCs w:val="21"/>
        </w:rPr>
        <w:t>la destruction de l’habitat des rongeurs  et là la perturbation des réserves alimentaires  des ruminants</w:t>
      </w:r>
      <w:r w:rsidRPr="00114059">
        <w:rPr>
          <w:rFonts w:cs="Arial"/>
          <w:color w:val="000000"/>
          <w:szCs w:val="21"/>
        </w:rPr>
        <w:t>.</w:t>
      </w:r>
      <w:r w:rsidRPr="00114059" w:rsidDel="00F63752">
        <w:rPr>
          <w:rFonts w:cs="Arial"/>
          <w:color w:val="000000"/>
          <w:szCs w:val="21"/>
        </w:rPr>
        <w:t xml:space="preserve">  Pa</w:t>
      </w:r>
      <w:r w:rsidRPr="00114059">
        <w:rPr>
          <w:rFonts w:cs="Arial"/>
          <w:color w:val="000000"/>
          <w:szCs w:val="21"/>
        </w:rPr>
        <w:t>r</w:t>
      </w:r>
      <w:r w:rsidRPr="00114059" w:rsidDel="00F63752">
        <w:rPr>
          <w:rFonts w:cs="Arial"/>
          <w:color w:val="000000"/>
          <w:szCs w:val="21"/>
        </w:rPr>
        <w:t xml:space="preserve"> contre, l’imp</w:t>
      </w:r>
      <w:r w:rsidRPr="00114059">
        <w:rPr>
          <w:rFonts w:cs="Arial"/>
          <w:color w:val="000000"/>
          <w:szCs w:val="21"/>
        </w:rPr>
        <w:t xml:space="preserve">act des différentes activités </w:t>
      </w:r>
      <w:r w:rsidRPr="00114059" w:rsidDel="00F63752">
        <w:rPr>
          <w:rFonts w:cs="Arial"/>
          <w:color w:val="000000"/>
          <w:szCs w:val="21"/>
        </w:rPr>
        <w:t>seront favorables à la conservation de la diversité biologique dans les forêts et à la de restauration des habitats naturels des Provinces concernées.</w:t>
      </w:r>
    </w:p>
    <w:p w14:paraId="742D7148" w14:textId="77777777" w:rsidR="009021F1" w:rsidRPr="00114059" w:rsidDel="00F63752" w:rsidRDefault="009021F1" w:rsidP="009021F1">
      <w:pPr>
        <w:rPr>
          <w:rFonts w:cs="Arial"/>
          <w:color w:val="000000"/>
          <w:szCs w:val="21"/>
        </w:rPr>
      </w:pPr>
    </w:p>
    <w:p w14:paraId="0E5FC42E" w14:textId="77777777" w:rsidR="009021F1" w:rsidRPr="00114059" w:rsidDel="00F63752" w:rsidRDefault="009021F1" w:rsidP="009021F1">
      <w:pPr>
        <w:rPr>
          <w:rFonts w:cs="Arial"/>
          <w:i/>
          <w:color w:val="000000"/>
          <w:szCs w:val="21"/>
        </w:rPr>
      </w:pPr>
      <w:r w:rsidRPr="00114059" w:rsidDel="00F63752">
        <w:rPr>
          <w:rFonts w:cs="Arial"/>
          <w:i/>
          <w:color w:val="000000"/>
          <w:szCs w:val="21"/>
        </w:rPr>
        <w:t>Impacts sur les ressources en eau</w:t>
      </w:r>
    </w:p>
    <w:p w14:paraId="0AF5D748" w14:textId="77777777" w:rsidR="009021F1" w:rsidRPr="00114059" w:rsidDel="00F63752" w:rsidRDefault="009021F1" w:rsidP="009021F1">
      <w:pPr>
        <w:rPr>
          <w:rFonts w:cs="Arial"/>
          <w:color w:val="000000"/>
          <w:szCs w:val="21"/>
        </w:rPr>
      </w:pPr>
    </w:p>
    <w:p w14:paraId="14508BF9" w14:textId="77777777" w:rsidR="009021F1" w:rsidRPr="00114059" w:rsidRDefault="009021F1" w:rsidP="009021F1">
      <w:pPr>
        <w:rPr>
          <w:rFonts w:cs="Arial"/>
          <w:color w:val="000000"/>
          <w:szCs w:val="21"/>
        </w:rPr>
      </w:pPr>
      <w:r w:rsidRPr="00114059" w:rsidDel="00F63752">
        <w:rPr>
          <w:rFonts w:cs="Arial"/>
          <w:color w:val="000000"/>
          <w:szCs w:val="21"/>
        </w:rPr>
        <w:t>La mise en œuvre des activités de production agricole par la diminution du couvert végétal dans les zones fragiles comme les lits des cours d’eau et en amont des bassins versants pourraient accentuer l’érosion et modifier le débit de pointe des cours d’eau. La qualité de l’eau serait également affectée dans une moindre mesure par les produits du lessivage des terres destinées aux activités agricoles à savoir les fertilisants, les pesticides, les particules de sols érodés</w:t>
      </w:r>
      <w:r w:rsidRPr="00114059">
        <w:rPr>
          <w:rFonts w:cs="Arial"/>
          <w:color w:val="000000"/>
          <w:szCs w:val="21"/>
        </w:rPr>
        <w:t>.</w:t>
      </w:r>
    </w:p>
    <w:p w14:paraId="71168660" w14:textId="77777777" w:rsidR="009021F1" w:rsidRPr="00114059" w:rsidRDefault="009021F1" w:rsidP="009021F1">
      <w:pPr>
        <w:rPr>
          <w:rFonts w:cs="Arial"/>
          <w:color w:val="000000"/>
          <w:szCs w:val="21"/>
        </w:rPr>
      </w:pPr>
    </w:p>
    <w:p w14:paraId="082E168D" w14:textId="77777777" w:rsidR="009021F1" w:rsidRPr="00114059" w:rsidDel="00F63752" w:rsidRDefault="009021F1" w:rsidP="009021F1">
      <w:pPr>
        <w:rPr>
          <w:rFonts w:cs="Arial"/>
          <w:color w:val="000000"/>
          <w:szCs w:val="21"/>
        </w:rPr>
      </w:pPr>
      <w:r w:rsidRPr="00114059" w:rsidDel="00F63752">
        <w:rPr>
          <w:rFonts w:cs="Arial"/>
          <w:color w:val="000000"/>
          <w:szCs w:val="21"/>
        </w:rPr>
        <w:t xml:space="preserve">Il en résulte une détérioration de la qualité de l’eau et donc la limitation des usages en aval. La sur fertilisation des eaux mènera à une eutrophisation des points d’eau et des retenues. En effet ces activités contribueront à augmenter le couvert végétal et à revitaliser et stabiliser les sols des terroirs. </w:t>
      </w:r>
    </w:p>
    <w:p w14:paraId="6B23D47F" w14:textId="77777777" w:rsidR="009021F1" w:rsidRPr="00114059" w:rsidDel="00F63752" w:rsidRDefault="009021F1" w:rsidP="009021F1">
      <w:pPr>
        <w:rPr>
          <w:rFonts w:cs="Arial"/>
          <w:color w:val="000000"/>
          <w:szCs w:val="21"/>
        </w:rPr>
      </w:pPr>
    </w:p>
    <w:p w14:paraId="589BEB98" w14:textId="77777777" w:rsidR="009021F1" w:rsidRPr="00114059" w:rsidDel="00F63752" w:rsidRDefault="009021F1" w:rsidP="009021F1">
      <w:pPr>
        <w:rPr>
          <w:rFonts w:cs="Arial"/>
          <w:i/>
          <w:color w:val="000000"/>
          <w:szCs w:val="21"/>
        </w:rPr>
      </w:pPr>
      <w:r w:rsidRPr="00114059" w:rsidDel="00F63752">
        <w:rPr>
          <w:rFonts w:cs="Arial"/>
          <w:i/>
          <w:color w:val="000000"/>
          <w:szCs w:val="21"/>
        </w:rPr>
        <w:t>Impacts sur le sol</w:t>
      </w:r>
    </w:p>
    <w:p w14:paraId="70AA0FF1" w14:textId="77777777" w:rsidR="009021F1" w:rsidRPr="00114059" w:rsidDel="00F63752" w:rsidRDefault="009021F1" w:rsidP="009021F1">
      <w:pPr>
        <w:rPr>
          <w:rFonts w:cs="Arial"/>
          <w:color w:val="000000"/>
          <w:szCs w:val="21"/>
        </w:rPr>
      </w:pPr>
    </w:p>
    <w:p w14:paraId="473275B4" w14:textId="77777777" w:rsidR="009021F1" w:rsidRPr="00114059" w:rsidDel="00F63752" w:rsidRDefault="009021F1" w:rsidP="009021F1">
      <w:pPr>
        <w:rPr>
          <w:rFonts w:cs="Arial"/>
          <w:color w:val="000000"/>
          <w:szCs w:val="21"/>
        </w:rPr>
      </w:pPr>
      <w:r w:rsidRPr="00114059" w:rsidDel="00F63752">
        <w:rPr>
          <w:rFonts w:cs="Arial"/>
          <w:color w:val="000000"/>
          <w:szCs w:val="21"/>
        </w:rPr>
        <w:t>L’impact négatif majeur serait l’appauvrissement graduel des sols résultant des activités de production agricoles. L’agriculture constitue la principale source d’impact car elle cause l'épuisement des sols et accélère l’érosion par le défrichement. Les arbres contribuent à la stabilisation des terrains notamment ceux en pente. Le défrichement pourrait entraîner un glissement ou un éboulement de ces derniers</w:t>
      </w:r>
      <w:r w:rsidRPr="00114059">
        <w:rPr>
          <w:rFonts w:cs="Arial"/>
          <w:color w:val="000000"/>
          <w:szCs w:val="21"/>
        </w:rPr>
        <w:t>.</w:t>
      </w:r>
    </w:p>
    <w:p w14:paraId="75DA5C9E" w14:textId="77777777" w:rsidR="009021F1" w:rsidRPr="00114059" w:rsidRDefault="009021F1" w:rsidP="009021F1">
      <w:pPr>
        <w:autoSpaceDE w:val="0"/>
        <w:autoSpaceDN w:val="0"/>
        <w:adjustRightInd w:val="0"/>
        <w:rPr>
          <w:szCs w:val="21"/>
        </w:rPr>
      </w:pPr>
    </w:p>
    <w:p w14:paraId="55201E9F" w14:textId="77777777" w:rsidR="009021F1" w:rsidRPr="00114059" w:rsidRDefault="009021F1" w:rsidP="009021F1">
      <w:pPr>
        <w:suppressAutoHyphens/>
        <w:rPr>
          <w:rFonts w:cs="Arial"/>
          <w:i/>
          <w:szCs w:val="21"/>
        </w:rPr>
      </w:pPr>
      <w:r w:rsidRPr="00114059">
        <w:rPr>
          <w:rFonts w:cs="Arial"/>
          <w:i/>
          <w:szCs w:val="21"/>
        </w:rPr>
        <w:t xml:space="preserve">Fortes pressions et risques de dégradation des ressources en eau </w:t>
      </w:r>
    </w:p>
    <w:p w14:paraId="4C43921A" w14:textId="77777777" w:rsidR="009021F1" w:rsidRPr="00114059" w:rsidRDefault="009021F1" w:rsidP="009021F1">
      <w:pPr>
        <w:rPr>
          <w:rFonts w:cs="Arial"/>
          <w:szCs w:val="21"/>
        </w:rPr>
      </w:pPr>
    </w:p>
    <w:p w14:paraId="5748CF34" w14:textId="77777777" w:rsidR="009021F1" w:rsidRPr="00114059" w:rsidRDefault="009021F1" w:rsidP="009021F1">
      <w:pPr>
        <w:rPr>
          <w:rFonts w:cs="Arial"/>
          <w:szCs w:val="21"/>
        </w:rPr>
      </w:pPr>
      <w:r w:rsidRPr="00114059">
        <w:rPr>
          <w:rFonts w:cs="Arial"/>
          <w:szCs w:val="21"/>
        </w:rPr>
        <w:t xml:space="preserve">Les pratiques agricoles, notamment l’irrigation, vont très certainement nécessiter l’utilisation des quantités non négligeables de ces ressources, si des techniques et technologies durables et à faible consommation ne sont pas mises en œuvre. En termes de dégradation des ressources, la principale cause de pollution des eaux pourrait être l’utilisation irrationnelle d’engrais et pesticides. </w:t>
      </w:r>
    </w:p>
    <w:p w14:paraId="1F41DCFA" w14:textId="77777777" w:rsidR="009021F1" w:rsidRPr="00114059" w:rsidRDefault="009021F1" w:rsidP="009021F1">
      <w:pPr>
        <w:autoSpaceDE w:val="0"/>
        <w:autoSpaceDN w:val="0"/>
        <w:adjustRightInd w:val="0"/>
        <w:rPr>
          <w:szCs w:val="21"/>
        </w:rPr>
      </w:pPr>
    </w:p>
    <w:p w14:paraId="3CC7298E" w14:textId="77777777" w:rsidR="009021F1" w:rsidRPr="00114059" w:rsidRDefault="009021F1" w:rsidP="009021F1">
      <w:pPr>
        <w:autoSpaceDE w:val="0"/>
        <w:autoSpaceDN w:val="0"/>
        <w:adjustRightInd w:val="0"/>
        <w:rPr>
          <w:i/>
          <w:szCs w:val="21"/>
        </w:rPr>
      </w:pPr>
      <w:r w:rsidRPr="00114059">
        <w:rPr>
          <w:i/>
          <w:szCs w:val="21"/>
        </w:rPr>
        <w:t xml:space="preserve">Aménagement de bas-fonds pour la promotion des cultures irriguées </w:t>
      </w:r>
    </w:p>
    <w:p w14:paraId="3F91F20B" w14:textId="77777777" w:rsidR="009021F1" w:rsidRPr="00114059" w:rsidRDefault="009021F1" w:rsidP="009021F1">
      <w:pPr>
        <w:autoSpaceDE w:val="0"/>
        <w:autoSpaceDN w:val="0"/>
        <w:adjustRightInd w:val="0"/>
        <w:rPr>
          <w:szCs w:val="21"/>
        </w:rPr>
      </w:pPr>
    </w:p>
    <w:p w14:paraId="5CFF7872" w14:textId="77777777" w:rsidR="009021F1" w:rsidRPr="00114059" w:rsidRDefault="009021F1" w:rsidP="009021F1">
      <w:pPr>
        <w:autoSpaceDE w:val="0"/>
        <w:autoSpaceDN w:val="0"/>
        <w:adjustRightInd w:val="0"/>
        <w:rPr>
          <w:i/>
          <w:szCs w:val="21"/>
        </w:rPr>
      </w:pPr>
      <w:r w:rsidRPr="00114059">
        <w:rPr>
          <w:i/>
          <w:szCs w:val="21"/>
        </w:rPr>
        <w:t>Phase de travaux :</w:t>
      </w:r>
    </w:p>
    <w:p w14:paraId="4FBC8F32" w14:textId="77777777" w:rsidR="009021F1" w:rsidRPr="00114059" w:rsidRDefault="009021F1" w:rsidP="009021F1">
      <w:pPr>
        <w:autoSpaceDE w:val="0"/>
        <w:autoSpaceDN w:val="0"/>
        <w:adjustRightInd w:val="0"/>
        <w:rPr>
          <w:szCs w:val="21"/>
        </w:rPr>
      </w:pPr>
    </w:p>
    <w:p w14:paraId="0FCE4C94" w14:textId="77777777" w:rsidR="009021F1" w:rsidRPr="00114059" w:rsidRDefault="009021F1" w:rsidP="009021F1">
      <w:pPr>
        <w:autoSpaceDE w:val="0"/>
        <w:autoSpaceDN w:val="0"/>
        <w:adjustRightInd w:val="0"/>
        <w:rPr>
          <w:szCs w:val="21"/>
        </w:rPr>
      </w:pPr>
      <w:r w:rsidRPr="00114059">
        <w:rPr>
          <w:szCs w:val="21"/>
        </w:rPr>
        <w:t xml:space="preserve">Les activités d’aménagement de bas-fond pourraient induire au risque des défrichements de zones boisées ; perturbation d’écosystèmes fragiles (zones humides) pouvant provoquer une baisse de la diversité biologique ; destruction de nurseries de plusieurs espèces d'intérêt écologique et gîtes de certains reptiles, batraciens et autres lézards et insectes ; et pertes de terres auparavant destinées au pâturage. </w:t>
      </w:r>
    </w:p>
    <w:p w14:paraId="785C9451" w14:textId="77777777" w:rsidR="009021F1" w:rsidRPr="00114059" w:rsidRDefault="009021F1" w:rsidP="009021F1">
      <w:pPr>
        <w:autoSpaceDE w:val="0"/>
        <w:autoSpaceDN w:val="0"/>
        <w:adjustRightInd w:val="0"/>
        <w:rPr>
          <w:i/>
          <w:szCs w:val="21"/>
        </w:rPr>
      </w:pPr>
    </w:p>
    <w:p w14:paraId="12B2DD5E" w14:textId="77777777" w:rsidR="009021F1" w:rsidRPr="00114059" w:rsidRDefault="009021F1" w:rsidP="009021F1">
      <w:pPr>
        <w:autoSpaceDE w:val="0"/>
        <w:autoSpaceDN w:val="0"/>
        <w:adjustRightInd w:val="0"/>
        <w:rPr>
          <w:i/>
          <w:szCs w:val="21"/>
        </w:rPr>
      </w:pPr>
      <w:r w:rsidRPr="00114059">
        <w:rPr>
          <w:i/>
          <w:szCs w:val="21"/>
        </w:rPr>
        <w:t>Phase d’exploitation :</w:t>
      </w:r>
    </w:p>
    <w:p w14:paraId="72E30F06" w14:textId="77777777" w:rsidR="009021F1" w:rsidRPr="00114059" w:rsidRDefault="009021F1" w:rsidP="009021F1">
      <w:pPr>
        <w:autoSpaceDE w:val="0"/>
        <w:autoSpaceDN w:val="0"/>
        <w:adjustRightInd w:val="0"/>
        <w:rPr>
          <w:szCs w:val="21"/>
        </w:rPr>
      </w:pPr>
    </w:p>
    <w:p w14:paraId="0BC45C02" w14:textId="77777777" w:rsidR="009021F1" w:rsidRPr="00114059" w:rsidRDefault="009021F1" w:rsidP="009021F1">
      <w:pPr>
        <w:autoSpaceDE w:val="0"/>
        <w:autoSpaceDN w:val="0"/>
        <w:adjustRightInd w:val="0"/>
        <w:rPr>
          <w:szCs w:val="21"/>
        </w:rPr>
      </w:pPr>
      <w:r w:rsidRPr="00114059">
        <w:rPr>
          <w:szCs w:val="21"/>
        </w:rPr>
        <w:t xml:space="preserve">Risque de certaines maladies hydriques comme le paludisme et la bilharziose. </w:t>
      </w:r>
    </w:p>
    <w:p w14:paraId="070A71E7" w14:textId="77777777" w:rsidR="009021F1" w:rsidRPr="00114059" w:rsidRDefault="009021F1" w:rsidP="009021F1">
      <w:pPr>
        <w:autoSpaceDE w:val="0"/>
        <w:autoSpaceDN w:val="0"/>
        <w:adjustRightInd w:val="0"/>
        <w:rPr>
          <w:i/>
          <w:szCs w:val="21"/>
        </w:rPr>
      </w:pPr>
    </w:p>
    <w:p w14:paraId="36C04EBC" w14:textId="77777777" w:rsidR="009021F1" w:rsidRPr="00114059" w:rsidRDefault="009021F1" w:rsidP="009021F1">
      <w:pPr>
        <w:autoSpaceDE w:val="0"/>
        <w:autoSpaceDN w:val="0"/>
        <w:adjustRightInd w:val="0"/>
        <w:rPr>
          <w:i/>
          <w:szCs w:val="21"/>
        </w:rPr>
      </w:pPr>
      <w:r w:rsidRPr="00114059">
        <w:rPr>
          <w:i/>
          <w:szCs w:val="21"/>
        </w:rPr>
        <w:t xml:space="preserve">Impacts négatifs de la fabrication du compost </w:t>
      </w:r>
    </w:p>
    <w:p w14:paraId="0A995565" w14:textId="77777777" w:rsidR="009021F1" w:rsidRPr="00114059" w:rsidRDefault="009021F1" w:rsidP="009021F1">
      <w:pPr>
        <w:autoSpaceDE w:val="0"/>
        <w:autoSpaceDN w:val="0"/>
        <w:adjustRightInd w:val="0"/>
        <w:rPr>
          <w:szCs w:val="21"/>
        </w:rPr>
      </w:pPr>
    </w:p>
    <w:p w14:paraId="376DC807" w14:textId="77777777" w:rsidR="009021F1" w:rsidRPr="00114059" w:rsidRDefault="009021F1" w:rsidP="009021F1">
      <w:pPr>
        <w:autoSpaceDE w:val="0"/>
        <w:autoSpaceDN w:val="0"/>
        <w:adjustRightInd w:val="0"/>
        <w:rPr>
          <w:szCs w:val="21"/>
        </w:rPr>
      </w:pPr>
      <w:r w:rsidRPr="00114059">
        <w:rPr>
          <w:szCs w:val="21"/>
        </w:rPr>
        <w:t>L’opération de compostage peut entraîner les impacts négatifs suivants : risque de contamination du sol et des eaux (due à la manipulation des intrants et aux produits qui ne sont pas arrivés à maturation) et nuisances dues aux odeurs.</w:t>
      </w:r>
    </w:p>
    <w:p w14:paraId="099F8133" w14:textId="77777777" w:rsidR="009021F1" w:rsidRPr="00114059" w:rsidRDefault="009021F1" w:rsidP="009021F1">
      <w:pPr>
        <w:autoSpaceDE w:val="0"/>
        <w:autoSpaceDN w:val="0"/>
        <w:adjustRightInd w:val="0"/>
        <w:rPr>
          <w:szCs w:val="21"/>
        </w:rPr>
      </w:pPr>
    </w:p>
    <w:p w14:paraId="472C2E09" w14:textId="77777777" w:rsidR="009021F1" w:rsidRPr="00114059" w:rsidRDefault="009021F1" w:rsidP="009021F1">
      <w:pPr>
        <w:autoSpaceDE w:val="0"/>
        <w:autoSpaceDN w:val="0"/>
        <w:adjustRightInd w:val="0"/>
        <w:rPr>
          <w:i/>
          <w:szCs w:val="21"/>
        </w:rPr>
      </w:pPr>
      <w:r w:rsidRPr="00114059">
        <w:rPr>
          <w:i/>
          <w:szCs w:val="21"/>
        </w:rPr>
        <w:t xml:space="preserve">Impacts négatifs potentiels des aménagements de zones pastorales </w:t>
      </w:r>
    </w:p>
    <w:p w14:paraId="04EEE511" w14:textId="77777777" w:rsidR="009021F1" w:rsidRPr="00114059" w:rsidRDefault="009021F1" w:rsidP="009021F1">
      <w:pPr>
        <w:autoSpaceDE w:val="0"/>
        <w:autoSpaceDN w:val="0"/>
        <w:adjustRightInd w:val="0"/>
        <w:rPr>
          <w:szCs w:val="21"/>
        </w:rPr>
      </w:pPr>
    </w:p>
    <w:p w14:paraId="5BD66FD3" w14:textId="77777777" w:rsidR="009021F1" w:rsidRPr="00114059" w:rsidRDefault="009021F1" w:rsidP="009021F1">
      <w:pPr>
        <w:autoSpaceDE w:val="0"/>
        <w:autoSpaceDN w:val="0"/>
        <w:adjustRightInd w:val="0"/>
        <w:rPr>
          <w:szCs w:val="21"/>
        </w:rPr>
      </w:pPr>
      <w:r w:rsidRPr="00114059">
        <w:rPr>
          <w:szCs w:val="21"/>
        </w:rPr>
        <w:t>Avec les aménagements pastoraux, on peut craindre les impacts suivants : érosion due à la mise à nu des terres ; dégradation des points d’eau de surface due à la sédimentation consécutive aux envols de poussières et aux perturbations subies par les sols ; pertes de biodiversité, d’espaces agricoles et d’habitats fauniques ; conflits sociaux en cas de transformation des systèmes fonciers traditionnels.</w:t>
      </w:r>
    </w:p>
    <w:p w14:paraId="4C8CE9C3" w14:textId="77777777" w:rsidR="009021F1" w:rsidRPr="00114059" w:rsidRDefault="009021F1" w:rsidP="009021F1">
      <w:pPr>
        <w:autoSpaceDE w:val="0"/>
        <w:autoSpaceDN w:val="0"/>
        <w:adjustRightInd w:val="0"/>
        <w:rPr>
          <w:szCs w:val="21"/>
        </w:rPr>
      </w:pPr>
    </w:p>
    <w:p w14:paraId="54F0BE32" w14:textId="77777777" w:rsidR="009021F1" w:rsidRPr="00114059" w:rsidRDefault="009021F1" w:rsidP="009021F1">
      <w:pPr>
        <w:autoSpaceDE w:val="0"/>
        <w:autoSpaceDN w:val="0"/>
        <w:adjustRightInd w:val="0"/>
        <w:rPr>
          <w:szCs w:val="21"/>
        </w:rPr>
      </w:pPr>
      <w:r w:rsidRPr="00114059">
        <w:rPr>
          <w:i/>
          <w:szCs w:val="21"/>
        </w:rPr>
        <w:t>Impacts négatifs spécifiques des sous-projets en faveur de l’agriculture intelligente face au Climat</w:t>
      </w:r>
    </w:p>
    <w:p w14:paraId="32BD74A2" w14:textId="77777777" w:rsidR="009021F1" w:rsidRPr="00114059" w:rsidRDefault="009021F1" w:rsidP="009021F1">
      <w:pPr>
        <w:autoSpaceDE w:val="0"/>
        <w:autoSpaceDN w:val="0"/>
        <w:adjustRightInd w:val="0"/>
        <w:rPr>
          <w:szCs w:val="21"/>
        </w:rPr>
      </w:pPr>
      <w:r w:rsidRPr="00114059">
        <w:rPr>
          <w:szCs w:val="21"/>
        </w:rPr>
        <w:t xml:space="preserve"> </w:t>
      </w:r>
    </w:p>
    <w:p w14:paraId="293036FB" w14:textId="77777777" w:rsidR="009021F1" w:rsidRPr="00114059" w:rsidRDefault="009021F1" w:rsidP="009021F1">
      <w:pPr>
        <w:pStyle w:val="Paragraphedeliste"/>
        <w:numPr>
          <w:ilvl w:val="0"/>
          <w:numId w:val="99"/>
        </w:numPr>
        <w:autoSpaceDE w:val="0"/>
        <w:autoSpaceDN w:val="0"/>
        <w:adjustRightInd w:val="0"/>
        <w:ind w:left="567" w:hanging="283"/>
        <w:rPr>
          <w:i/>
          <w:szCs w:val="21"/>
        </w:rPr>
      </w:pPr>
      <w:r w:rsidRPr="00114059">
        <w:rPr>
          <w:i/>
          <w:szCs w:val="21"/>
        </w:rPr>
        <w:t xml:space="preserve">Impacts négatifs de l’utilisation de produits chimiques dans le secteur de l’élevage </w:t>
      </w:r>
    </w:p>
    <w:p w14:paraId="39BA03A4" w14:textId="77777777" w:rsidR="009021F1" w:rsidRPr="00114059" w:rsidRDefault="009021F1" w:rsidP="009021F1">
      <w:pPr>
        <w:autoSpaceDE w:val="0"/>
        <w:autoSpaceDN w:val="0"/>
        <w:adjustRightInd w:val="0"/>
        <w:rPr>
          <w:szCs w:val="21"/>
        </w:rPr>
      </w:pPr>
    </w:p>
    <w:p w14:paraId="302A76DB" w14:textId="77777777" w:rsidR="009021F1" w:rsidRPr="00114059" w:rsidRDefault="009021F1" w:rsidP="009021F1">
      <w:pPr>
        <w:autoSpaceDE w:val="0"/>
        <w:autoSpaceDN w:val="0"/>
        <w:adjustRightInd w:val="0"/>
        <w:rPr>
          <w:szCs w:val="21"/>
        </w:rPr>
      </w:pPr>
      <w:r w:rsidRPr="00114059">
        <w:rPr>
          <w:szCs w:val="21"/>
        </w:rPr>
        <w:t xml:space="preserve">Le soutien à la santé animale va nécessiter l’utilisation des produits chimiques (acaricides) pour le traitement des tiques sur le bétail. Ces produits sont souvent sources de plusieurs impacts négatifs en cas de mauvaise utilisation ou de mauvaise gestion des emballages des produits chimiques et vétérinaires (pollution, intoxication animale et humaine ; etc.). </w:t>
      </w:r>
    </w:p>
    <w:p w14:paraId="681E85F3" w14:textId="77777777" w:rsidR="009021F1" w:rsidRPr="00114059" w:rsidRDefault="009021F1" w:rsidP="009021F1">
      <w:pPr>
        <w:autoSpaceDE w:val="0"/>
        <w:autoSpaceDN w:val="0"/>
        <w:adjustRightInd w:val="0"/>
        <w:rPr>
          <w:szCs w:val="21"/>
        </w:rPr>
      </w:pPr>
    </w:p>
    <w:p w14:paraId="7605A5AC" w14:textId="77777777" w:rsidR="009021F1" w:rsidRPr="00114059" w:rsidRDefault="009021F1" w:rsidP="009021F1">
      <w:pPr>
        <w:pStyle w:val="Paragraphedeliste"/>
        <w:numPr>
          <w:ilvl w:val="0"/>
          <w:numId w:val="99"/>
        </w:numPr>
        <w:autoSpaceDE w:val="0"/>
        <w:autoSpaceDN w:val="0"/>
        <w:adjustRightInd w:val="0"/>
        <w:ind w:left="567" w:hanging="283"/>
        <w:rPr>
          <w:i/>
          <w:szCs w:val="21"/>
        </w:rPr>
      </w:pPr>
      <w:r w:rsidRPr="00114059">
        <w:rPr>
          <w:i/>
          <w:szCs w:val="21"/>
        </w:rPr>
        <w:t xml:space="preserve">Impacts négatifs des parcs à vaccination </w:t>
      </w:r>
    </w:p>
    <w:p w14:paraId="51B1B4FD" w14:textId="77777777" w:rsidR="009021F1" w:rsidRPr="00114059" w:rsidRDefault="009021F1" w:rsidP="009021F1">
      <w:pPr>
        <w:autoSpaceDE w:val="0"/>
        <w:autoSpaceDN w:val="0"/>
        <w:adjustRightInd w:val="0"/>
        <w:rPr>
          <w:szCs w:val="21"/>
        </w:rPr>
      </w:pPr>
    </w:p>
    <w:p w14:paraId="29793157" w14:textId="77777777" w:rsidR="009021F1" w:rsidRPr="00114059" w:rsidRDefault="009021F1" w:rsidP="009021F1">
      <w:pPr>
        <w:autoSpaceDE w:val="0"/>
        <w:autoSpaceDN w:val="0"/>
        <w:adjustRightInd w:val="0"/>
        <w:rPr>
          <w:szCs w:val="21"/>
        </w:rPr>
      </w:pPr>
      <w:r w:rsidRPr="00114059">
        <w:rPr>
          <w:szCs w:val="21"/>
        </w:rPr>
        <w:t>En plus, les activités vont nécessiter des services vétérinaires et l’utilisation de vaccins. La vaccination de bétail va entrainer la production de déchets biomédicaux qui peuvent constituer un risque sanitaire pour les populations et une pollution de l’environnement si lesdits déchets ne sont pas gérés de façon écologiques (collecte et élimination).</w:t>
      </w:r>
    </w:p>
    <w:p w14:paraId="2966B1DF" w14:textId="77777777" w:rsidR="009021F1" w:rsidRPr="00114059" w:rsidRDefault="009021F1" w:rsidP="009021F1">
      <w:pPr>
        <w:autoSpaceDE w:val="0"/>
        <w:autoSpaceDN w:val="0"/>
        <w:adjustRightInd w:val="0"/>
        <w:rPr>
          <w:rFonts w:cs="Arial"/>
          <w:bCs/>
          <w:szCs w:val="21"/>
        </w:rPr>
      </w:pPr>
    </w:p>
    <w:p w14:paraId="63C274A0" w14:textId="77777777" w:rsidR="009021F1" w:rsidRPr="00114059" w:rsidRDefault="009021F1" w:rsidP="009021F1">
      <w:pPr>
        <w:rPr>
          <w:i/>
          <w:szCs w:val="21"/>
        </w:rPr>
      </w:pPr>
      <w:r w:rsidRPr="00114059">
        <w:rPr>
          <w:i/>
          <w:szCs w:val="21"/>
        </w:rPr>
        <w:t xml:space="preserve">Impacts des changements climatiques </w:t>
      </w:r>
    </w:p>
    <w:p w14:paraId="36011C4E" w14:textId="77777777" w:rsidR="009021F1" w:rsidRPr="00114059" w:rsidRDefault="009021F1" w:rsidP="009021F1">
      <w:pPr>
        <w:rPr>
          <w:szCs w:val="21"/>
        </w:rPr>
      </w:pPr>
    </w:p>
    <w:p w14:paraId="63A7B1AD" w14:textId="77777777" w:rsidR="009021F1" w:rsidRPr="00114059" w:rsidRDefault="009021F1" w:rsidP="009021F1">
      <w:pPr>
        <w:rPr>
          <w:szCs w:val="21"/>
        </w:rPr>
      </w:pPr>
      <w:r w:rsidRPr="00114059">
        <w:rPr>
          <w:szCs w:val="21"/>
        </w:rPr>
        <w:t xml:space="preserve">La pluviométrie et la température constituent les deux paramètres climatiques qui ont le plus grand impact climatique sur les ressources et les principaux secteurs d’activités du fait de leur tendance évolutive et surtout de leur variabilité inter annuelle et intra saisonnière. </w:t>
      </w:r>
    </w:p>
    <w:p w14:paraId="335835C8" w14:textId="77777777" w:rsidR="009021F1" w:rsidRPr="00114059" w:rsidRDefault="009021F1" w:rsidP="009021F1">
      <w:pPr>
        <w:rPr>
          <w:szCs w:val="21"/>
        </w:rPr>
      </w:pPr>
    </w:p>
    <w:p w14:paraId="5A13FDC4" w14:textId="77777777" w:rsidR="009021F1" w:rsidRPr="00114059" w:rsidRDefault="009021F1" w:rsidP="009021F1">
      <w:pPr>
        <w:rPr>
          <w:i/>
          <w:szCs w:val="21"/>
        </w:rPr>
      </w:pPr>
      <w:r w:rsidRPr="00114059">
        <w:rPr>
          <w:i/>
          <w:szCs w:val="21"/>
        </w:rPr>
        <w:t xml:space="preserve">Effets néfastes réels et potentiels de la variabilité et des changements climatiques : </w:t>
      </w:r>
    </w:p>
    <w:p w14:paraId="4BFB2650" w14:textId="77777777" w:rsidR="009021F1" w:rsidRPr="00114059" w:rsidRDefault="009021F1" w:rsidP="009021F1">
      <w:pPr>
        <w:rPr>
          <w:szCs w:val="21"/>
        </w:rPr>
      </w:pPr>
    </w:p>
    <w:p w14:paraId="7CF9AA4B" w14:textId="77777777" w:rsidR="009021F1" w:rsidRPr="00114059" w:rsidRDefault="009021F1" w:rsidP="009021F1">
      <w:pPr>
        <w:rPr>
          <w:szCs w:val="21"/>
        </w:rPr>
      </w:pPr>
      <w:r w:rsidRPr="00114059">
        <w:rPr>
          <w:szCs w:val="21"/>
        </w:rPr>
        <w:t xml:space="preserve">Les principaux phénomènes climatiques de la RDC sont notamment les inondations ; les érosions, les tremblements de terre et les éruptions volcaniques (Nord-Kivu). D’autres phénomènes non climatiques non de moindre existent tels que : les attaques de criquets et les feux de brousse. Il ressort de l’analyse des données climatiques que la tendance générale de ces phénomènes est en augmentation (cas des érosions dans les Province du Kasaï, Kasaï Central et Kwilu). </w:t>
      </w:r>
    </w:p>
    <w:p w14:paraId="1106FA48" w14:textId="77777777" w:rsidR="009021F1" w:rsidRPr="00114059" w:rsidRDefault="009021F1" w:rsidP="009021F1">
      <w:pPr>
        <w:autoSpaceDE w:val="0"/>
        <w:autoSpaceDN w:val="0"/>
        <w:adjustRightInd w:val="0"/>
        <w:rPr>
          <w:rFonts w:cs="Arial"/>
          <w:bCs/>
          <w:szCs w:val="21"/>
        </w:rPr>
      </w:pPr>
    </w:p>
    <w:p w14:paraId="53BC5986" w14:textId="77777777" w:rsidR="009021F1" w:rsidRPr="00114059" w:rsidRDefault="009021F1" w:rsidP="009021F1">
      <w:pPr>
        <w:autoSpaceDE w:val="0"/>
        <w:autoSpaceDN w:val="0"/>
        <w:adjustRightInd w:val="0"/>
        <w:rPr>
          <w:rFonts w:cs="Arial"/>
          <w:bCs/>
          <w:i/>
          <w:szCs w:val="21"/>
        </w:rPr>
      </w:pPr>
      <w:r w:rsidRPr="00114059">
        <w:rPr>
          <w:rFonts w:cs="Arial"/>
          <w:bCs/>
          <w:i/>
          <w:szCs w:val="21"/>
        </w:rPr>
        <w:t>Sous-composante 2.1 : Infrastructures rurales</w:t>
      </w:r>
    </w:p>
    <w:p w14:paraId="7BC33A73" w14:textId="77777777" w:rsidR="009021F1" w:rsidRPr="00114059" w:rsidRDefault="009021F1" w:rsidP="009021F1">
      <w:pPr>
        <w:autoSpaceDE w:val="0"/>
        <w:autoSpaceDN w:val="0"/>
        <w:adjustRightInd w:val="0"/>
        <w:rPr>
          <w:rFonts w:cs="Arial"/>
          <w:bCs/>
          <w:szCs w:val="21"/>
        </w:rPr>
      </w:pPr>
    </w:p>
    <w:p w14:paraId="0BA646A4" w14:textId="77777777" w:rsidR="009021F1" w:rsidRPr="00114059" w:rsidRDefault="009021F1" w:rsidP="009021F1">
      <w:pPr>
        <w:autoSpaceDE w:val="0"/>
        <w:autoSpaceDN w:val="0"/>
        <w:adjustRightInd w:val="0"/>
        <w:rPr>
          <w:rFonts w:cs="Arial"/>
          <w:i/>
          <w:szCs w:val="21"/>
          <w:lang w:val="fr-CA"/>
        </w:rPr>
      </w:pPr>
      <w:r w:rsidRPr="00114059">
        <w:rPr>
          <w:rFonts w:cs="Arial"/>
          <w:i/>
          <w:szCs w:val="21"/>
          <w:lang w:val="fr-CA"/>
        </w:rPr>
        <w:t>Pollution de l’air</w:t>
      </w:r>
    </w:p>
    <w:p w14:paraId="04F0B49C" w14:textId="77777777" w:rsidR="009021F1" w:rsidRPr="00114059" w:rsidRDefault="009021F1" w:rsidP="009021F1">
      <w:pPr>
        <w:pStyle w:val="BodyText22"/>
        <w:spacing w:line="276" w:lineRule="auto"/>
        <w:rPr>
          <w:rFonts w:ascii="Arial" w:hAnsi="Arial" w:cs="Arial"/>
          <w:sz w:val="21"/>
          <w:szCs w:val="21"/>
          <w:lang w:val="fr-FR"/>
        </w:rPr>
      </w:pPr>
    </w:p>
    <w:p w14:paraId="214D6C89" w14:textId="77777777" w:rsidR="009021F1" w:rsidRPr="00114059" w:rsidRDefault="009021F1" w:rsidP="009021F1">
      <w:pPr>
        <w:pStyle w:val="BodyText22"/>
        <w:spacing w:line="276" w:lineRule="auto"/>
        <w:rPr>
          <w:rFonts w:ascii="Arial" w:hAnsi="Arial" w:cs="Arial"/>
          <w:sz w:val="21"/>
          <w:szCs w:val="21"/>
          <w:lang w:val="fr-FR"/>
        </w:rPr>
      </w:pPr>
      <w:r w:rsidRPr="00114059">
        <w:rPr>
          <w:rFonts w:ascii="Arial" w:hAnsi="Arial" w:cs="Arial"/>
          <w:sz w:val="21"/>
          <w:szCs w:val="21"/>
          <w:lang w:val="fr-FR"/>
        </w:rPr>
        <w:t>Les travaux vont entraîner des émissions de poussières du fait des déversements de matériaux (sable, latérite, graviers, moellons) et des terrassements (décapage, creusement de lit de remplissage, caniveaux). Toutes ces activités vont provoquer quelques rejets de particules fines polluantes dans l’atmosphère, mais sans grand effet négatif majeur.</w:t>
      </w:r>
    </w:p>
    <w:p w14:paraId="32498F86" w14:textId="77777777" w:rsidR="009021F1" w:rsidRPr="00114059" w:rsidRDefault="009021F1" w:rsidP="009021F1">
      <w:pPr>
        <w:autoSpaceDE w:val="0"/>
        <w:autoSpaceDN w:val="0"/>
        <w:adjustRightInd w:val="0"/>
        <w:rPr>
          <w:rFonts w:cs="Arial"/>
          <w:i/>
          <w:szCs w:val="21"/>
          <w:lang w:val="fr-CA"/>
        </w:rPr>
      </w:pPr>
    </w:p>
    <w:p w14:paraId="4B13D3A8" w14:textId="77777777" w:rsidR="009021F1" w:rsidRPr="00114059" w:rsidRDefault="009021F1" w:rsidP="009021F1">
      <w:pPr>
        <w:autoSpaceDE w:val="0"/>
        <w:autoSpaceDN w:val="0"/>
        <w:adjustRightInd w:val="0"/>
        <w:rPr>
          <w:rFonts w:cs="Arial"/>
          <w:i/>
          <w:szCs w:val="21"/>
          <w:lang w:val="fr-CA"/>
        </w:rPr>
      </w:pPr>
      <w:r w:rsidRPr="00114059">
        <w:rPr>
          <w:rFonts w:cs="Arial"/>
          <w:i/>
          <w:szCs w:val="21"/>
          <w:lang w:val="fr-CA"/>
        </w:rPr>
        <w:t>Dégradation des sols</w:t>
      </w:r>
    </w:p>
    <w:p w14:paraId="52ABB4EA" w14:textId="77777777" w:rsidR="009021F1" w:rsidRPr="00114059" w:rsidRDefault="009021F1" w:rsidP="009021F1">
      <w:pPr>
        <w:pStyle w:val="BodyText22"/>
        <w:spacing w:line="276" w:lineRule="auto"/>
        <w:rPr>
          <w:rFonts w:ascii="Arial" w:hAnsi="Arial" w:cs="Arial"/>
          <w:sz w:val="21"/>
          <w:szCs w:val="21"/>
          <w:lang w:val="fr-FR"/>
        </w:rPr>
      </w:pPr>
    </w:p>
    <w:p w14:paraId="20484987" w14:textId="77777777" w:rsidR="009021F1" w:rsidRPr="00114059" w:rsidRDefault="009021F1" w:rsidP="009021F1">
      <w:pPr>
        <w:pStyle w:val="BodyText22"/>
        <w:spacing w:line="276" w:lineRule="auto"/>
        <w:rPr>
          <w:rFonts w:ascii="Arial" w:hAnsi="Arial" w:cs="Arial"/>
          <w:sz w:val="21"/>
          <w:szCs w:val="21"/>
          <w:lang w:val="fr-FR"/>
        </w:rPr>
      </w:pPr>
      <w:r w:rsidRPr="00114059">
        <w:rPr>
          <w:rFonts w:ascii="Arial" w:hAnsi="Arial" w:cs="Arial"/>
          <w:sz w:val="21"/>
          <w:szCs w:val="21"/>
          <w:lang w:val="fr-FR"/>
        </w:rPr>
        <w:t xml:space="preserve">Les installations de chantiers temporaires peuvent entraîner des effets sur le sol, en termes de tassement sur les aires de stockage des matériaux, de compactage et destruction de sa structure avec les passages répétés et perte du couvert végétal. Par ailleurs, les travaux de rechargement vont nécessiter d’importantes quantités de latérite qu’il faudra prélever sur place, au niveau de carrières existantes ou à ouvrir. L’exploitation des carrières et des zones d’emprunt aura un certain impact sur les sols en termes d’espaces et pourra créer de zones de rétention d’eau stagnantes, favorables au développement des insectes (moustiques, mouches noires, etc.) vecteurs de maladies (malaria, typhoïde, fièvre jaune, etc.). </w:t>
      </w:r>
    </w:p>
    <w:p w14:paraId="103995B0" w14:textId="77777777" w:rsidR="009021F1" w:rsidRPr="00114059" w:rsidRDefault="009021F1" w:rsidP="009021F1">
      <w:pPr>
        <w:autoSpaceDE w:val="0"/>
        <w:autoSpaceDN w:val="0"/>
        <w:adjustRightInd w:val="0"/>
        <w:rPr>
          <w:rFonts w:cs="Arial"/>
          <w:i/>
          <w:szCs w:val="21"/>
          <w:lang w:val="fr-CA"/>
        </w:rPr>
      </w:pPr>
    </w:p>
    <w:p w14:paraId="0C304C05" w14:textId="77777777" w:rsidR="009021F1" w:rsidRPr="00114059" w:rsidRDefault="009021F1" w:rsidP="009021F1">
      <w:pPr>
        <w:autoSpaceDE w:val="0"/>
        <w:autoSpaceDN w:val="0"/>
        <w:adjustRightInd w:val="0"/>
        <w:rPr>
          <w:rFonts w:cs="Arial"/>
          <w:i/>
          <w:szCs w:val="21"/>
          <w:lang w:val="fr-CA"/>
        </w:rPr>
      </w:pPr>
      <w:r w:rsidRPr="00114059">
        <w:rPr>
          <w:rFonts w:cs="Arial"/>
          <w:i/>
          <w:szCs w:val="21"/>
          <w:lang w:val="fr-CA"/>
        </w:rPr>
        <w:t>Pressions sur les ressources en eau </w:t>
      </w:r>
    </w:p>
    <w:p w14:paraId="33E10F71" w14:textId="77777777" w:rsidR="009021F1" w:rsidRPr="00114059" w:rsidRDefault="009021F1" w:rsidP="009021F1">
      <w:pPr>
        <w:autoSpaceDE w:val="0"/>
        <w:autoSpaceDN w:val="0"/>
        <w:adjustRightInd w:val="0"/>
        <w:rPr>
          <w:rFonts w:cs="Arial"/>
          <w:szCs w:val="21"/>
          <w:lang w:val="fr-CA"/>
        </w:rPr>
      </w:pPr>
    </w:p>
    <w:p w14:paraId="5C1A41A8" w14:textId="77777777" w:rsidR="009021F1" w:rsidRPr="00114059" w:rsidRDefault="009021F1" w:rsidP="009021F1">
      <w:pPr>
        <w:autoSpaceDE w:val="0"/>
        <w:autoSpaceDN w:val="0"/>
        <w:adjustRightInd w:val="0"/>
        <w:rPr>
          <w:rFonts w:cs="Arial"/>
          <w:szCs w:val="21"/>
        </w:rPr>
      </w:pPr>
      <w:r w:rsidRPr="00114059">
        <w:rPr>
          <w:rFonts w:cs="Arial"/>
          <w:szCs w:val="21"/>
        </w:rPr>
        <w:t xml:space="preserve">Les besoins en eau des chantiers vont occasionner des prélèvements soit dans les cours d’eau, soit à partir de la nappe (forages), ou par le biais du réseau de distribution. Toutefois, compte tenu des besoins limités des chantiers, les risques d’épuisement sont relativement faibles. </w:t>
      </w:r>
    </w:p>
    <w:p w14:paraId="7655C18A" w14:textId="77777777" w:rsidR="009021F1" w:rsidRPr="00114059" w:rsidRDefault="009021F1" w:rsidP="009021F1">
      <w:pPr>
        <w:rPr>
          <w:rFonts w:cs="Arial"/>
          <w:bCs/>
          <w:szCs w:val="21"/>
        </w:rPr>
      </w:pPr>
    </w:p>
    <w:p w14:paraId="52EEC078" w14:textId="77777777" w:rsidR="009021F1" w:rsidRPr="00114059" w:rsidRDefault="009021F1" w:rsidP="009021F1">
      <w:pPr>
        <w:tabs>
          <w:tab w:val="left" w:pos="0"/>
        </w:tabs>
        <w:rPr>
          <w:rFonts w:cs="Arial"/>
          <w:bCs/>
          <w:szCs w:val="21"/>
        </w:rPr>
      </w:pPr>
      <w:r w:rsidRPr="00114059">
        <w:rPr>
          <w:rFonts w:cs="Arial"/>
          <w:bCs/>
          <w:i/>
          <w:szCs w:val="21"/>
        </w:rPr>
        <w:t xml:space="preserve">Pertes de végétation en cas d’abattage d’arbres sur les emprises </w:t>
      </w:r>
    </w:p>
    <w:p w14:paraId="2C5AA6D1" w14:textId="77777777" w:rsidR="009021F1" w:rsidRPr="00114059" w:rsidRDefault="009021F1" w:rsidP="009021F1">
      <w:pPr>
        <w:tabs>
          <w:tab w:val="left" w:pos="0"/>
        </w:tabs>
        <w:rPr>
          <w:rFonts w:cs="Arial"/>
          <w:bCs/>
          <w:szCs w:val="21"/>
        </w:rPr>
      </w:pPr>
    </w:p>
    <w:p w14:paraId="2CBE76FE" w14:textId="77777777" w:rsidR="009021F1" w:rsidRPr="00114059" w:rsidRDefault="009021F1" w:rsidP="009021F1">
      <w:pPr>
        <w:tabs>
          <w:tab w:val="left" w:pos="0"/>
        </w:tabs>
        <w:rPr>
          <w:rFonts w:cs="Arial"/>
          <w:szCs w:val="21"/>
          <w:u w:val="single"/>
        </w:rPr>
      </w:pPr>
      <w:r w:rsidRPr="00114059">
        <w:rPr>
          <w:rFonts w:cs="Arial"/>
          <w:bCs/>
          <w:szCs w:val="21"/>
        </w:rPr>
        <w:t xml:space="preserve">Les travaux se déroulant tant en zone rurale, urbaine ou péri-urbaine, il y a risque de déboisement de zones forestières. Néanmoins, la libération des zones d’emprise pour la réalisation des infrastructures pourra occasionner l’abattage des arbres et autres végétations sur certains sites mais cet impact sera relativement mineur, et pourra être atténué par une replantation compensatoire. </w:t>
      </w:r>
      <w:r w:rsidRPr="00114059">
        <w:rPr>
          <w:rFonts w:cs="Arial"/>
          <w:szCs w:val="21"/>
        </w:rPr>
        <w:t>L’ouverture et l’exploitation de carrières de matériaux de construction (sable, gravier, latérite, etc.) peuvent participer aussi à la déforestation et à la défiguration du paysage avec les stigmates liés aux trous creusés suite au prélèvement des matériaux. Ces risques se posent avec plus d’acuité dans la ville fortement sensible au phénomène d’érosion (Kananga, Tshikapa et Kikwit).</w:t>
      </w:r>
    </w:p>
    <w:p w14:paraId="21E7CAAA" w14:textId="77777777" w:rsidR="009021F1" w:rsidRPr="00114059" w:rsidRDefault="009021F1" w:rsidP="009021F1">
      <w:pPr>
        <w:autoSpaceDE w:val="0"/>
        <w:autoSpaceDN w:val="0"/>
        <w:adjustRightInd w:val="0"/>
        <w:rPr>
          <w:rFonts w:cs="Arial"/>
          <w:i/>
          <w:szCs w:val="21"/>
          <w:lang w:val="fr-CA"/>
        </w:rPr>
      </w:pPr>
    </w:p>
    <w:p w14:paraId="54568DCF" w14:textId="77777777" w:rsidR="009021F1" w:rsidRPr="00114059" w:rsidRDefault="009021F1" w:rsidP="009021F1">
      <w:pPr>
        <w:autoSpaceDE w:val="0"/>
        <w:autoSpaceDN w:val="0"/>
        <w:adjustRightInd w:val="0"/>
        <w:rPr>
          <w:rFonts w:cs="Arial"/>
          <w:i/>
          <w:szCs w:val="21"/>
          <w:lang w:val="fr-CA"/>
        </w:rPr>
      </w:pPr>
      <w:r w:rsidRPr="00114059">
        <w:rPr>
          <w:rFonts w:cs="Arial"/>
          <w:i/>
          <w:szCs w:val="21"/>
          <w:lang w:val="fr-CA"/>
        </w:rPr>
        <w:t>Perturbation de la libre circulation</w:t>
      </w:r>
    </w:p>
    <w:p w14:paraId="178B24EE" w14:textId="77777777" w:rsidR="009021F1" w:rsidRPr="00114059" w:rsidRDefault="009021F1" w:rsidP="009021F1">
      <w:pPr>
        <w:autoSpaceDE w:val="0"/>
        <w:autoSpaceDN w:val="0"/>
        <w:adjustRightInd w:val="0"/>
        <w:rPr>
          <w:szCs w:val="21"/>
        </w:rPr>
      </w:pPr>
    </w:p>
    <w:p w14:paraId="5014730F" w14:textId="77777777" w:rsidR="009021F1" w:rsidRPr="00114059" w:rsidRDefault="009021F1" w:rsidP="009021F1">
      <w:pPr>
        <w:autoSpaceDE w:val="0"/>
        <w:autoSpaceDN w:val="0"/>
        <w:adjustRightInd w:val="0"/>
        <w:rPr>
          <w:rFonts w:cs="Arial"/>
          <w:i/>
          <w:szCs w:val="21"/>
          <w:lang w:val="fr-CA"/>
        </w:rPr>
      </w:pPr>
      <w:r w:rsidRPr="00114059">
        <w:rPr>
          <w:szCs w:val="21"/>
        </w:rPr>
        <w:t xml:space="preserve">Les travaux s'accompagnent d'une restriction de la circulation visant, entre autres, à assurer la sécurité des populations. Très souvent des déviations sont créées à cet effet pour minimiser les conséquences sur la circulation. Toutefois, la restriction sera limitée juste autour des zones de travaux. </w:t>
      </w:r>
    </w:p>
    <w:p w14:paraId="3B8EF3EC" w14:textId="77777777" w:rsidR="009021F1" w:rsidRPr="00114059" w:rsidRDefault="009021F1" w:rsidP="009021F1">
      <w:pPr>
        <w:autoSpaceDE w:val="0"/>
        <w:autoSpaceDN w:val="0"/>
        <w:adjustRightInd w:val="0"/>
        <w:rPr>
          <w:rFonts w:cs="Arial"/>
          <w:i/>
          <w:szCs w:val="21"/>
          <w:lang w:val="fr-CA"/>
        </w:rPr>
      </w:pPr>
    </w:p>
    <w:p w14:paraId="763066AB" w14:textId="77777777" w:rsidR="009021F1" w:rsidRPr="00114059" w:rsidRDefault="009021F1" w:rsidP="009021F1">
      <w:pPr>
        <w:autoSpaceDE w:val="0"/>
        <w:autoSpaceDN w:val="0"/>
        <w:adjustRightInd w:val="0"/>
        <w:rPr>
          <w:rFonts w:cs="Arial"/>
          <w:i/>
          <w:szCs w:val="21"/>
          <w:lang w:val="fr-CA"/>
        </w:rPr>
      </w:pPr>
      <w:r w:rsidRPr="00114059">
        <w:rPr>
          <w:rFonts w:cs="Arial"/>
          <w:i/>
          <w:szCs w:val="21"/>
          <w:lang w:val="fr-CA"/>
        </w:rPr>
        <w:t>Perte de biens et de sources de revenus</w:t>
      </w:r>
    </w:p>
    <w:p w14:paraId="39DFA854" w14:textId="77777777" w:rsidR="009021F1" w:rsidRPr="00114059" w:rsidRDefault="009021F1" w:rsidP="009021F1">
      <w:pPr>
        <w:autoSpaceDE w:val="0"/>
        <w:autoSpaceDN w:val="0"/>
        <w:adjustRightInd w:val="0"/>
        <w:rPr>
          <w:rFonts w:cs="Arial"/>
          <w:szCs w:val="21"/>
          <w:lang w:val="fr-CA"/>
        </w:rPr>
      </w:pPr>
    </w:p>
    <w:p w14:paraId="5449823F" w14:textId="77777777" w:rsidR="009021F1" w:rsidRPr="00114059" w:rsidRDefault="009021F1" w:rsidP="009021F1">
      <w:pPr>
        <w:rPr>
          <w:rFonts w:cs="Arial"/>
          <w:i/>
          <w:szCs w:val="21"/>
        </w:rPr>
      </w:pPr>
      <w:r w:rsidRPr="00114059">
        <w:rPr>
          <w:rFonts w:cs="Arial"/>
          <w:szCs w:val="21"/>
        </w:rPr>
        <w:t>Avec les travaux, on pourrait craindre une expropriation foncière, un déplacement/recasement involontaire des populations, mais aussi des pertes de terres, d’habitations et d‘activités socioéconomiques.</w:t>
      </w:r>
    </w:p>
    <w:p w14:paraId="23167BA9" w14:textId="77777777" w:rsidR="009021F1" w:rsidRPr="00114059" w:rsidRDefault="009021F1" w:rsidP="009021F1">
      <w:pPr>
        <w:rPr>
          <w:rFonts w:cs="Arial"/>
          <w:color w:val="FF0000"/>
          <w:szCs w:val="21"/>
        </w:rPr>
      </w:pPr>
    </w:p>
    <w:p w14:paraId="3092D4E4" w14:textId="77777777" w:rsidR="009021F1" w:rsidRPr="00114059" w:rsidRDefault="009021F1" w:rsidP="009021F1">
      <w:pPr>
        <w:rPr>
          <w:rFonts w:cs="Arial"/>
          <w:i/>
          <w:color w:val="000000"/>
          <w:szCs w:val="21"/>
        </w:rPr>
      </w:pPr>
      <w:r w:rsidRPr="00114059">
        <w:rPr>
          <w:rFonts w:cs="Arial"/>
          <w:i/>
          <w:color w:val="000000"/>
          <w:szCs w:val="21"/>
        </w:rPr>
        <w:t>Risques de conflit et de sécurité</w:t>
      </w:r>
    </w:p>
    <w:p w14:paraId="0BFE0825" w14:textId="77777777" w:rsidR="009021F1" w:rsidRPr="00114059" w:rsidRDefault="009021F1" w:rsidP="009021F1">
      <w:pPr>
        <w:rPr>
          <w:rFonts w:cs="Arial"/>
          <w:color w:val="000000"/>
          <w:szCs w:val="21"/>
        </w:rPr>
      </w:pPr>
    </w:p>
    <w:p w14:paraId="2B8B3AB3" w14:textId="77777777" w:rsidR="009021F1" w:rsidRPr="00114059" w:rsidRDefault="009021F1" w:rsidP="009021F1">
      <w:pPr>
        <w:rPr>
          <w:rFonts w:cs="Arial"/>
          <w:i/>
          <w:szCs w:val="21"/>
        </w:rPr>
      </w:pPr>
      <w:r w:rsidRPr="00114059">
        <w:rPr>
          <w:rFonts w:cs="Arial"/>
          <w:color w:val="000000"/>
          <w:szCs w:val="21"/>
        </w:rPr>
        <w:t>Il existe des risques importants de conflit et de sécurité dans le centre du Kasaï, dus en partie aux récents afflux de rapatriés congolais en provenance de l’Angola et aux mouvements d’autres personnes déplacées à l’intérieur du pays en raison des conflits intercommunautaires et de la présence de groupes armés. Le Nord-Kivu est également exposé à des conflits et à des risques pour la sécurité émanant de groupes armés, ainsi qu’à une épidémie d’Ebola qui n’a cessé de croître depuis sa première identification dans la province à la mi-2018.</w:t>
      </w:r>
    </w:p>
    <w:p w14:paraId="1757B4E7" w14:textId="77777777" w:rsidR="009021F1" w:rsidRPr="00114059" w:rsidRDefault="009021F1" w:rsidP="009021F1">
      <w:pPr>
        <w:rPr>
          <w:rFonts w:cs="Arial"/>
          <w:i/>
          <w:szCs w:val="21"/>
        </w:rPr>
      </w:pPr>
    </w:p>
    <w:p w14:paraId="1AC3CD86" w14:textId="77777777" w:rsidR="009021F1" w:rsidRPr="00114059" w:rsidRDefault="009021F1" w:rsidP="009021F1">
      <w:pPr>
        <w:rPr>
          <w:rFonts w:cs="Arial"/>
          <w:i/>
          <w:szCs w:val="21"/>
        </w:rPr>
      </w:pPr>
      <w:r w:rsidRPr="00114059">
        <w:rPr>
          <w:rFonts w:cs="Arial"/>
          <w:i/>
          <w:szCs w:val="21"/>
        </w:rPr>
        <w:t>Nuisances dues aux activités et aux déchets de chantiers</w:t>
      </w:r>
    </w:p>
    <w:p w14:paraId="64B04BB8" w14:textId="77777777" w:rsidR="009021F1" w:rsidRPr="00114059" w:rsidRDefault="009021F1" w:rsidP="009021F1">
      <w:pPr>
        <w:rPr>
          <w:rFonts w:cs="Arial"/>
          <w:szCs w:val="21"/>
        </w:rPr>
      </w:pPr>
    </w:p>
    <w:p w14:paraId="5A55BAF8" w14:textId="77777777" w:rsidR="009021F1" w:rsidRPr="00114059" w:rsidRDefault="009021F1" w:rsidP="009021F1">
      <w:pPr>
        <w:rPr>
          <w:rFonts w:cs="Arial"/>
          <w:szCs w:val="21"/>
        </w:rPr>
      </w:pPr>
      <w:r w:rsidRPr="00114059">
        <w:rPr>
          <w:rFonts w:cs="Arial"/>
          <w:szCs w:val="21"/>
        </w:rPr>
        <w:t>La réhabilitation des routes rurales, des marchés communautaires et abattoirs, l’aménagement des ouvrages hydroagricoles vont induire des gènes et nuisances (bruit, poussières et production de déchets de chantier) qui vont indisposer surtout les ouvriers chargés des travaux ; les riverains les plus proches des sites seront les plus affectés. Les travaux vont générer des déchets. Les rejets anarchiques des déchets solides et liquides issus des chantiers constituent une menace qui pèse sur l’hygiène et la salubrité publique.</w:t>
      </w:r>
    </w:p>
    <w:p w14:paraId="25F28FDE" w14:textId="77777777" w:rsidR="009021F1" w:rsidRPr="00114059" w:rsidRDefault="009021F1" w:rsidP="009021F1">
      <w:pPr>
        <w:rPr>
          <w:rFonts w:cs="Arial"/>
          <w:szCs w:val="21"/>
        </w:rPr>
      </w:pPr>
    </w:p>
    <w:p w14:paraId="6585EDF8" w14:textId="77777777" w:rsidR="009021F1" w:rsidRPr="00114059" w:rsidRDefault="009021F1" w:rsidP="009021F1">
      <w:pPr>
        <w:rPr>
          <w:rFonts w:cs="Arial"/>
          <w:i/>
          <w:szCs w:val="21"/>
        </w:rPr>
      </w:pPr>
      <w:r w:rsidRPr="00114059">
        <w:rPr>
          <w:rFonts w:cs="Arial"/>
          <w:i/>
          <w:szCs w:val="21"/>
        </w:rPr>
        <w:t xml:space="preserve">Risques d’accidents liés aux activités de chantier </w:t>
      </w:r>
    </w:p>
    <w:p w14:paraId="5E073762" w14:textId="77777777" w:rsidR="009021F1" w:rsidRPr="00114059" w:rsidRDefault="009021F1" w:rsidP="009021F1">
      <w:pPr>
        <w:rPr>
          <w:rFonts w:eastAsia="Calibri" w:cs="Arial"/>
          <w:szCs w:val="21"/>
        </w:rPr>
      </w:pPr>
    </w:p>
    <w:p w14:paraId="55E480D8" w14:textId="77777777" w:rsidR="009021F1" w:rsidRPr="00114059" w:rsidRDefault="009021F1" w:rsidP="009021F1">
      <w:pPr>
        <w:rPr>
          <w:rFonts w:cs="Arial"/>
          <w:szCs w:val="21"/>
        </w:rPr>
      </w:pPr>
      <w:r w:rsidRPr="00114059">
        <w:rPr>
          <w:rFonts w:cs="Arial"/>
          <w:szCs w:val="21"/>
        </w:rPr>
        <w:t xml:space="preserve">Pendant la phase des travaux, il surviendra des risques d’accidents liés aux engins/instruments de chantier et à la présence de matériaux de construction mal protégés ou mal utilisés. Le risque de chute existe pour toutes les personnes autorisées et non autorisées sur le chantier au niveau des zones de circulation étroites et encombrées. </w:t>
      </w:r>
    </w:p>
    <w:p w14:paraId="3A2FBAEE" w14:textId="77777777" w:rsidR="009021F1" w:rsidRPr="00114059" w:rsidRDefault="009021F1" w:rsidP="009021F1">
      <w:pPr>
        <w:tabs>
          <w:tab w:val="left" w:pos="0"/>
        </w:tabs>
        <w:rPr>
          <w:rFonts w:cs="Arial"/>
          <w:bCs/>
          <w:szCs w:val="21"/>
          <w:u w:val="single"/>
        </w:rPr>
      </w:pPr>
    </w:p>
    <w:p w14:paraId="54231BD8" w14:textId="77777777" w:rsidR="009021F1" w:rsidRPr="00114059" w:rsidRDefault="009021F1" w:rsidP="009021F1">
      <w:pPr>
        <w:autoSpaceDE w:val="0"/>
        <w:autoSpaceDN w:val="0"/>
        <w:adjustRightInd w:val="0"/>
        <w:rPr>
          <w:rFonts w:cs="Arial"/>
          <w:szCs w:val="21"/>
        </w:rPr>
      </w:pPr>
      <w:r w:rsidRPr="00114059">
        <w:rPr>
          <w:rFonts w:cs="Arial"/>
          <w:i/>
          <w:szCs w:val="21"/>
        </w:rPr>
        <w:t>Développement de maladies au niveau des populations et des ouvriers liés à l’afflux des travailleurs</w:t>
      </w:r>
    </w:p>
    <w:p w14:paraId="61F01013" w14:textId="77777777" w:rsidR="009021F1" w:rsidRPr="00114059" w:rsidRDefault="009021F1" w:rsidP="009021F1">
      <w:pPr>
        <w:autoSpaceDE w:val="0"/>
        <w:autoSpaceDN w:val="0"/>
        <w:adjustRightInd w:val="0"/>
        <w:rPr>
          <w:rFonts w:cs="Arial"/>
          <w:szCs w:val="21"/>
        </w:rPr>
      </w:pPr>
    </w:p>
    <w:p w14:paraId="51A5843D" w14:textId="77777777" w:rsidR="009021F1" w:rsidRPr="00114059" w:rsidRDefault="009021F1" w:rsidP="009021F1">
      <w:pPr>
        <w:autoSpaceDE w:val="0"/>
        <w:autoSpaceDN w:val="0"/>
        <w:adjustRightInd w:val="0"/>
        <w:rPr>
          <w:rFonts w:cs="Arial"/>
          <w:szCs w:val="21"/>
        </w:rPr>
      </w:pPr>
      <w:r w:rsidRPr="00114059">
        <w:rPr>
          <w:rFonts w:cs="Arial"/>
          <w:szCs w:val="21"/>
        </w:rPr>
        <w:t>Au plan sanitaire, il y a des risques de transmission des IST/VIH/SIDA liés à la présence d’une main-d’œuvre étrangère temporaire, composée généralement de jeunes hommes isolés, ayant tendance à augmenter les contacts avec les jeunes filles et femmes au sein de la population locale dans les zones des travaux. Les sensibilisations avec les thèmes sur le lien entre le viol, l’EAS, et les IST/VIH/SIDA, les services disponibles pour les survivant (e)s d’EAS/HS et le fonctionnement du MGP, ainsi que l’approvisionnement en préservatif devront être assurés par les ONG qui interviennent dans ce domaine.</w:t>
      </w:r>
    </w:p>
    <w:p w14:paraId="55CF021C" w14:textId="77777777" w:rsidR="009021F1" w:rsidRPr="00114059" w:rsidRDefault="009021F1" w:rsidP="009021F1">
      <w:pPr>
        <w:tabs>
          <w:tab w:val="left" w:pos="0"/>
        </w:tabs>
        <w:rPr>
          <w:rFonts w:cs="Arial"/>
          <w:bCs/>
          <w:szCs w:val="21"/>
        </w:rPr>
      </w:pPr>
    </w:p>
    <w:p w14:paraId="0190BFDF" w14:textId="77777777" w:rsidR="009021F1" w:rsidRPr="00114059" w:rsidRDefault="009021F1" w:rsidP="009021F1">
      <w:pPr>
        <w:rPr>
          <w:rFonts w:cs="Arial"/>
          <w:i/>
          <w:szCs w:val="21"/>
        </w:rPr>
      </w:pPr>
      <w:r w:rsidRPr="00114059">
        <w:rPr>
          <w:rFonts w:cs="Arial"/>
          <w:i/>
          <w:szCs w:val="21"/>
        </w:rPr>
        <w:t>Dégradation de vestiges culturels</w:t>
      </w:r>
    </w:p>
    <w:p w14:paraId="291D7D5E" w14:textId="77777777" w:rsidR="009021F1" w:rsidRPr="00114059" w:rsidRDefault="009021F1" w:rsidP="009021F1">
      <w:pPr>
        <w:rPr>
          <w:rFonts w:cs="Arial"/>
          <w:szCs w:val="21"/>
        </w:rPr>
      </w:pPr>
    </w:p>
    <w:p w14:paraId="6B5F5132" w14:textId="77777777" w:rsidR="009021F1" w:rsidRPr="00114059" w:rsidRDefault="009021F1" w:rsidP="009021F1">
      <w:pPr>
        <w:rPr>
          <w:rFonts w:cs="Arial"/>
          <w:szCs w:val="21"/>
        </w:rPr>
      </w:pPr>
      <w:r w:rsidRPr="00114059">
        <w:rPr>
          <w:rFonts w:cs="Arial"/>
          <w:szCs w:val="21"/>
        </w:rPr>
        <w:t xml:space="preserve">Le Projet évitera les sites de patrimoine culturel pouvant être source de conflits sociaux. Toutefois, il est possible, lors des fouilles, que des vestiges culturels soient découverts de façon fortuite sur les sites. Dans ces cas de découverte fortuite, les Entreprises des travaux devront s’engager à avertir immédiatement les services du Ministère chargé de la Culture, et les travaux seront orientés conformément à leurs directives. </w:t>
      </w:r>
    </w:p>
    <w:p w14:paraId="42BACC89" w14:textId="77777777" w:rsidR="009021F1" w:rsidRPr="00114059" w:rsidRDefault="009021F1" w:rsidP="009021F1">
      <w:pPr>
        <w:rPr>
          <w:rFonts w:cs="Arial"/>
          <w:szCs w:val="21"/>
        </w:rPr>
      </w:pPr>
    </w:p>
    <w:p w14:paraId="13456C14" w14:textId="77777777" w:rsidR="009021F1" w:rsidRPr="00114059" w:rsidRDefault="009021F1" w:rsidP="009021F1">
      <w:pPr>
        <w:tabs>
          <w:tab w:val="left" w:pos="0"/>
        </w:tabs>
        <w:rPr>
          <w:rFonts w:cs="Arial"/>
          <w:szCs w:val="21"/>
        </w:rPr>
      </w:pPr>
      <w:r w:rsidRPr="00114059">
        <w:rPr>
          <w:rFonts w:cs="Arial"/>
          <w:bCs/>
          <w:i/>
          <w:szCs w:val="21"/>
        </w:rPr>
        <w:t xml:space="preserve">Conflits sociaux en cas de non emploi des locaux ou de non-respect des us et coutumes non rétrogrades </w:t>
      </w:r>
    </w:p>
    <w:p w14:paraId="694FF99B" w14:textId="77777777" w:rsidR="009021F1" w:rsidRPr="00114059" w:rsidRDefault="009021F1" w:rsidP="009021F1">
      <w:pPr>
        <w:tabs>
          <w:tab w:val="left" w:pos="0"/>
        </w:tabs>
        <w:rPr>
          <w:rFonts w:cs="Arial"/>
          <w:iCs/>
          <w:szCs w:val="21"/>
        </w:rPr>
      </w:pPr>
    </w:p>
    <w:p w14:paraId="3C278DF2" w14:textId="77777777" w:rsidR="009021F1" w:rsidRPr="00114059" w:rsidRDefault="009021F1" w:rsidP="009021F1">
      <w:pPr>
        <w:rPr>
          <w:rFonts w:cs="Arial"/>
          <w:i/>
          <w:szCs w:val="21"/>
        </w:rPr>
      </w:pPr>
      <w:r w:rsidRPr="00114059">
        <w:rPr>
          <w:rFonts w:cs="Arial"/>
          <w:iCs/>
          <w:szCs w:val="21"/>
        </w:rPr>
        <w:t>L</w:t>
      </w:r>
      <w:r w:rsidRPr="00114059">
        <w:rPr>
          <w:rFonts w:cs="Arial"/>
          <w:szCs w:val="21"/>
        </w:rPr>
        <w:t>es travaux nécessiteront de la main-d’œuvre locale (particulièrement avec la méthode HIMO), ce qui constituera une source potentielle d’augmentation des revenus des populations au niveau local. La non-utilisation de la main-d’œuvre résidente dans les travaux pourrait susciter des frustrations ou des conflits sociaux, ce qui peut nuire à la bonne marche des travaux. L’insuffisance de recrutement de la main-d’œuvre au niveau local est un impact négatif potentiel de l’exécution des travaux, ce qui pourrait constituer un obstacle majeur à l’appropriation de l’infrastructure. Aussi, le non-respect des us et coutumes locales, non susceptibles d’engendrer les VBG, y compris l’EAS et le HS, par le personnel peut-il entraîner des conflits avec les populations locales. Cette disposition peut atténuer tant soit peu les actes des VBG, y compris l’EAS et le HS, du fait que les sujets sont bien connus dans leur milieu, ils sont logés dans leurs résidences, et ne parcourent pas de longues distances pour se retrouver sur le lieu de travail. Ainsi, les risques d’EAS/HS pour les filles et femmes dans ces communautés seront diminués sans l’afflux de la main d’œuvre de l’extérieur.</w:t>
      </w:r>
    </w:p>
    <w:p w14:paraId="547D4033" w14:textId="77777777" w:rsidR="009021F1" w:rsidRPr="00114059" w:rsidRDefault="009021F1" w:rsidP="009021F1">
      <w:pPr>
        <w:rPr>
          <w:rFonts w:cs="Arial"/>
          <w:i/>
          <w:szCs w:val="21"/>
        </w:rPr>
      </w:pPr>
    </w:p>
    <w:p w14:paraId="6414C2B6" w14:textId="77777777" w:rsidR="009021F1" w:rsidRPr="00114059" w:rsidRDefault="009021F1" w:rsidP="009021F1">
      <w:pPr>
        <w:rPr>
          <w:rFonts w:cs="Arial"/>
          <w:szCs w:val="21"/>
        </w:rPr>
      </w:pPr>
      <w:r w:rsidRPr="00114059">
        <w:rPr>
          <w:rFonts w:cs="Arial"/>
          <w:i/>
          <w:szCs w:val="21"/>
        </w:rPr>
        <w:t>Pertes de biens et de sources de revenus en cas de réinstallation involontaire</w:t>
      </w:r>
    </w:p>
    <w:p w14:paraId="0B7EA653" w14:textId="77777777" w:rsidR="009021F1" w:rsidRPr="00114059" w:rsidRDefault="009021F1" w:rsidP="009021F1">
      <w:pPr>
        <w:rPr>
          <w:rFonts w:cs="Arial"/>
          <w:szCs w:val="21"/>
        </w:rPr>
      </w:pPr>
    </w:p>
    <w:p w14:paraId="14BF6857" w14:textId="77777777" w:rsidR="009021F1" w:rsidRPr="00114059" w:rsidRDefault="009021F1" w:rsidP="009021F1">
      <w:pPr>
        <w:rPr>
          <w:rFonts w:cs="Arial"/>
          <w:szCs w:val="21"/>
        </w:rPr>
      </w:pPr>
      <w:r w:rsidRPr="00114059">
        <w:rPr>
          <w:rFonts w:cs="Arial"/>
          <w:szCs w:val="21"/>
        </w:rPr>
        <w:t xml:space="preserve">Le choix des sites pour les sous-projets va constituer une question très sensible au plan social car la disponibilité des lieux (non occupation ; pas ou peu de déplacements) sera un critère de sélection (il faudra éviter la discrimination liée au sexe). Toutefois, malgré ces dispositions, les choix des sites devant abriter les micro-projets pourra déboucher sur une procédure d'expropriation et de réinstallation en cas d’occupation, même irrégulière, par des installations physiques ou des activités socio-économiques. </w:t>
      </w:r>
    </w:p>
    <w:p w14:paraId="0E128F33" w14:textId="77777777" w:rsidR="009021F1" w:rsidRPr="00114059" w:rsidRDefault="009021F1" w:rsidP="009021F1">
      <w:pPr>
        <w:rPr>
          <w:rFonts w:cs="Arial"/>
          <w:szCs w:val="21"/>
        </w:rPr>
      </w:pPr>
    </w:p>
    <w:p w14:paraId="790C56D7" w14:textId="77777777" w:rsidR="009021F1" w:rsidRPr="00114059" w:rsidRDefault="009021F1" w:rsidP="009021F1">
      <w:pPr>
        <w:rPr>
          <w:rFonts w:cs="Arial"/>
          <w:i/>
          <w:szCs w:val="21"/>
        </w:rPr>
      </w:pPr>
      <w:r w:rsidRPr="00114059">
        <w:rPr>
          <w:rFonts w:cs="Arial"/>
          <w:i/>
          <w:szCs w:val="21"/>
        </w:rPr>
        <w:t>Risque des VBG, y compris l’EAS et le HS</w:t>
      </w:r>
    </w:p>
    <w:p w14:paraId="696C6299" w14:textId="77777777" w:rsidR="009021F1" w:rsidRPr="00114059" w:rsidRDefault="009021F1" w:rsidP="009021F1">
      <w:pPr>
        <w:rPr>
          <w:rFonts w:cs="Arial"/>
          <w:i/>
          <w:szCs w:val="21"/>
        </w:rPr>
      </w:pPr>
    </w:p>
    <w:p w14:paraId="7E0F8861" w14:textId="77777777" w:rsidR="009021F1" w:rsidRPr="00114059" w:rsidRDefault="009021F1" w:rsidP="009021F1">
      <w:pPr>
        <w:rPr>
          <w:rFonts w:cs="Arial"/>
          <w:szCs w:val="21"/>
        </w:rPr>
      </w:pPr>
      <w:r w:rsidRPr="00114059">
        <w:rPr>
          <w:rFonts w:cs="Arial"/>
          <w:szCs w:val="21"/>
        </w:rPr>
        <w:t>Le risque social est jugé substantiel, englobant un risque par rapport aux VBG classifié de manière provisoire au niveau substantiel, ce qui pourrait nécessiter l’engagement d’un expert en matière de VBG pendant la mise en œuvre du programme. Ce risque classé substantiel est dû aux impacts potentiels du Projet lui-même et aux conditions générales d’instabilité, de conflit, de fragilité, et de difficulté d’accès des zones d’intervention du projet, ainsi que des zones humanitaires, telles que dans le Kasaï Central et le Nord-Kivu, susceptibles d’affecter les bénéficiaires du Programme dans les communautés agricoles. Les conditions de travail et de supervision du personnel sur les sites de travaux de réhabilitation et la possibilité d’afflux de la main d’œuvre peuvent aussi contribuer à un niveau risque d’EAS/HS plus élevé.</w:t>
      </w:r>
    </w:p>
    <w:p w14:paraId="34EFFAA8" w14:textId="77777777" w:rsidR="009021F1" w:rsidRPr="00114059" w:rsidRDefault="009021F1" w:rsidP="009021F1">
      <w:pPr>
        <w:rPr>
          <w:rFonts w:cs="Arial"/>
          <w:szCs w:val="21"/>
        </w:rPr>
      </w:pPr>
    </w:p>
    <w:p w14:paraId="756FDDF6" w14:textId="77777777" w:rsidR="009021F1" w:rsidRPr="00114059" w:rsidRDefault="009021F1" w:rsidP="009021F1">
      <w:pPr>
        <w:rPr>
          <w:rFonts w:cs="Arial"/>
          <w:szCs w:val="21"/>
        </w:rPr>
      </w:pPr>
      <w:r w:rsidRPr="00114059">
        <w:rPr>
          <w:rFonts w:cs="Arial"/>
          <w:szCs w:val="21"/>
        </w:rPr>
        <w:t xml:space="preserve">Le Programme vise à travailler avec les petits exploitants agricoles existants (y compris les femmes) pour améliorer leur production agricole et leur accès aux marchés à travers des activités de réhabilitation importantes, ce qui pourrait poser un risque d’EAS/HS. Le Programme vise aussi à encourager une plus grande inclusion des femmes et des jeunes dans le secteur dans la composante 1, bien qu’il soit difficile de déterminer comment atteindre ce dernier objectif dans des conditions où les capacités sont manifestement faibles. Il existe des risques importants de conflit et de sécurité dans le centre du Kasaï, dus en partie aux récents afflux de rapatriés congolais en provenance de l’Angola et aux mouvements d’autres personnes déplacées à l’intérieur du pays en raison des conflits intercommunautaires et de la présence de groupes armés. </w:t>
      </w:r>
    </w:p>
    <w:p w14:paraId="5FA32BE3" w14:textId="77777777" w:rsidR="009021F1" w:rsidRPr="00114059" w:rsidRDefault="009021F1" w:rsidP="009021F1">
      <w:pPr>
        <w:rPr>
          <w:rFonts w:cs="Arial"/>
          <w:szCs w:val="21"/>
        </w:rPr>
      </w:pPr>
    </w:p>
    <w:p w14:paraId="11D797AF" w14:textId="77777777" w:rsidR="009021F1" w:rsidRPr="00114059" w:rsidRDefault="009021F1" w:rsidP="009021F1">
      <w:pPr>
        <w:rPr>
          <w:rFonts w:cs="Arial"/>
          <w:szCs w:val="21"/>
        </w:rPr>
      </w:pPr>
      <w:r w:rsidRPr="00114059">
        <w:rPr>
          <w:szCs w:val="21"/>
        </w:rPr>
        <w:t>De telles activités du programme, bien que très nécessaires, pourraient également avoir un impact sur les rôles et les normes de genre au sein du ménage et des communautés et par conséquent augmenter les risques de violence envers les femmes tant de la part du chef de famille que des autres membres de la communauté. Le projet doit identifier ces risques et planifier des mesures d'atténuation comme les sensibilisation et formation, mais aussi si possible des activités de groupe pour les membres de la communauté (femmes et hommes dans des groupes séparés) sur une période avec des séances pour discuter des avantages de la participation active des femmes, des changements les normes de genre, les craintes de la communauté liées à ces changements, etc.</w:t>
      </w:r>
    </w:p>
    <w:p w14:paraId="16E2BD7D" w14:textId="77777777" w:rsidR="009021F1" w:rsidRPr="00114059" w:rsidRDefault="009021F1" w:rsidP="009021F1">
      <w:pPr>
        <w:rPr>
          <w:rFonts w:cs="Arial"/>
          <w:szCs w:val="21"/>
        </w:rPr>
      </w:pPr>
    </w:p>
    <w:p w14:paraId="138C1EA2" w14:textId="77777777" w:rsidR="009021F1" w:rsidRPr="00114059" w:rsidRDefault="009021F1" w:rsidP="009021F1">
      <w:pPr>
        <w:rPr>
          <w:rFonts w:cs="Arial"/>
          <w:i/>
          <w:szCs w:val="21"/>
        </w:rPr>
      </w:pPr>
      <w:r w:rsidRPr="00114059">
        <w:rPr>
          <w:rFonts w:cs="Arial"/>
          <w:i/>
          <w:szCs w:val="21"/>
        </w:rPr>
        <w:t>Risque lié à la contamination de COVID-19</w:t>
      </w:r>
    </w:p>
    <w:p w14:paraId="017FE580" w14:textId="77777777" w:rsidR="009021F1" w:rsidRPr="00114059" w:rsidRDefault="009021F1" w:rsidP="009021F1">
      <w:pPr>
        <w:rPr>
          <w:rFonts w:cs="Arial"/>
          <w:i/>
          <w:szCs w:val="21"/>
        </w:rPr>
      </w:pPr>
    </w:p>
    <w:p w14:paraId="22941F44" w14:textId="77777777" w:rsidR="009021F1" w:rsidRPr="00114059" w:rsidRDefault="009021F1" w:rsidP="009021F1">
      <w:pPr>
        <w:rPr>
          <w:rFonts w:cs="Arial"/>
          <w:szCs w:val="21"/>
        </w:rPr>
      </w:pPr>
      <w:r w:rsidRPr="00114059">
        <w:rPr>
          <w:rFonts w:cs="Arial"/>
          <w:szCs w:val="21"/>
        </w:rPr>
        <w:t>Au regard du contexte actuel de la problématique de la santé publique liée à la pandémie de COVID-19 dans le monde et en RDC, la Ville-Province de Kinshasa est considérée comme l’épicentre de la COVID-19 dans le pays suivi de la Province du Kongo Central. À ce jour, plus de 1250 cas de contamination à la COVID-19 sont confirmés en RDC.</w:t>
      </w:r>
    </w:p>
    <w:p w14:paraId="27803D49" w14:textId="77777777" w:rsidR="009021F1" w:rsidRPr="00114059" w:rsidRDefault="009021F1" w:rsidP="009021F1">
      <w:pPr>
        <w:rPr>
          <w:rFonts w:cs="Arial"/>
          <w:szCs w:val="21"/>
        </w:rPr>
      </w:pPr>
    </w:p>
    <w:p w14:paraId="7DBBE6BB" w14:textId="77777777" w:rsidR="009021F1" w:rsidRPr="00114059" w:rsidRDefault="009021F1" w:rsidP="009021F1">
      <w:pPr>
        <w:rPr>
          <w:rFonts w:cs="Arial"/>
          <w:szCs w:val="21"/>
        </w:rPr>
      </w:pPr>
      <w:r w:rsidRPr="00114059">
        <w:rPr>
          <w:rFonts w:cs="Arial"/>
          <w:szCs w:val="21"/>
        </w:rPr>
        <w:t>En effet, pendant la mise en œuvre du PNDA, les Entreprises, les Missions de Contrôles, les fournisseurs et autres prestataires de service vont recruter la main d’œuvre locale dans les Provinces concernées par le Projet. Si les mesures barrières ne sont pas respectées, cette main-d’œuvre permanente sur les chantiers serait exposée à la COVID-19. Le PNDA va exiger à chaque entreprise d’élaborer un plan de prévention contre la COVID-19 pour son chantier.</w:t>
      </w:r>
    </w:p>
    <w:p w14:paraId="2C8F87E3" w14:textId="77777777" w:rsidR="009021F1" w:rsidRPr="00114059" w:rsidRDefault="009021F1" w:rsidP="009021F1">
      <w:pPr>
        <w:rPr>
          <w:rFonts w:cs="Arial"/>
          <w:szCs w:val="21"/>
        </w:rPr>
      </w:pPr>
    </w:p>
    <w:p w14:paraId="195CD992" w14:textId="77777777" w:rsidR="009021F1" w:rsidRPr="00114059" w:rsidRDefault="009021F1" w:rsidP="009021F1">
      <w:pPr>
        <w:rPr>
          <w:rFonts w:cs="Arial"/>
          <w:szCs w:val="21"/>
        </w:rPr>
      </w:pPr>
      <w:r w:rsidRPr="00114059">
        <w:rPr>
          <w:rFonts w:cs="Arial"/>
          <w:szCs w:val="21"/>
        </w:rPr>
        <w:t>Augmentation des risques d’EAS/HS liés aux travaux et suite à la COVID-19</w:t>
      </w:r>
    </w:p>
    <w:p w14:paraId="1A13822B" w14:textId="77777777" w:rsidR="009021F1" w:rsidRPr="00114059" w:rsidRDefault="009021F1" w:rsidP="009021F1">
      <w:pPr>
        <w:rPr>
          <w:rFonts w:cs="Arial"/>
          <w:szCs w:val="21"/>
        </w:rPr>
      </w:pPr>
    </w:p>
    <w:p w14:paraId="79757413" w14:textId="77777777" w:rsidR="009021F1" w:rsidRPr="00114059" w:rsidRDefault="009021F1" w:rsidP="009021F1">
      <w:pPr>
        <w:rPr>
          <w:rFonts w:cs="Arial"/>
          <w:szCs w:val="21"/>
        </w:rPr>
      </w:pPr>
      <w:r w:rsidRPr="00114059">
        <w:rPr>
          <w:rFonts w:cs="Arial"/>
          <w:szCs w:val="21"/>
        </w:rPr>
        <w:t xml:space="preserve">Risques d’exacerber les VBG, y compris l’EAS et le HS, dans les zones d’intervention du  PNDA suite au brassage des populations et à l’afflux de la main-d’œuvre allochtone.  </w:t>
      </w:r>
    </w:p>
    <w:p w14:paraId="29F2EF8B" w14:textId="77777777" w:rsidR="009021F1" w:rsidRPr="00114059" w:rsidRDefault="009021F1" w:rsidP="009021F1">
      <w:pPr>
        <w:rPr>
          <w:rFonts w:cs="Arial"/>
          <w:szCs w:val="21"/>
        </w:rPr>
      </w:pPr>
    </w:p>
    <w:p w14:paraId="67DC7E09" w14:textId="77777777" w:rsidR="009021F1" w:rsidRPr="00114059" w:rsidRDefault="009021F1" w:rsidP="009021F1">
      <w:pPr>
        <w:rPr>
          <w:rFonts w:cs="Arial"/>
          <w:szCs w:val="21"/>
        </w:rPr>
      </w:pPr>
      <w:r w:rsidRPr="00114059">
        <w:rPr>
          <w:rFonts w:cs="Arial"/>
          <w:szCs w:val="21"/>
        </w:rPr>
        <w:t>Quant aux impacts potentiels négatifs du COVID-19 sur les femmes, les normes sociétales ont confié à la femme des responsabilités dans l'approvisionnement et la cuisson des aliments au sein de la famille, l'augmentation de l'insécurité alimentaire à la suite des crises peut les exposer à un risque accru, par exemple, de la part du partenaire intime, ainsi que d'autres formes de violences entre partenaires intimes dues à l'intensification des tensions au sein du ménage. D'autres formes de VBG sont également exacerbées dans les contextes de crise en RDC. Par exemple, les impacts économiques de la pandémie de la COVID-19 vont exposer les femmes et les enfants à un risque accru d’EAS. En outre, les soins vitaux et le soutien aux survivantes de VBG (c'est-à-dire la gestion clinique du viol et de la santé mentale et le soutien psychosocial) peuvent être interrompus dans les centres de crise à guichet unique des hôpitaux de niveau tertiaire lorsque les prestataires de services de santé sont surchargés et préoccupés par le traitement des cas liés à la COVID-19.</w:t>
      </w:r>
    </w:p>
    <w:p w14:paraId="10DC179C" w14:textId="77777777" w:rsidR="009021F1" w:rsidRPr="00114059" w:rsidRDefault="009021F1" w:rsidP="009021F1">
      <w:pPr>
        <w:rPr>
          <w:rFonts w:cs="Arial"/>
          <w:szCs w:val="21"/>
        </w:rPr>
      </w:pPr>
    </w:p>
    <w:p w14:paraId="66826435" w14:textId="77777777" w:rsidR="009021F1" w:rsidRPr="00114059" w:rsidRDefault="009021F1" w:rsidP="009021F1">
      <w:pPr>
        <w:rPr>
          <w:rFonts w:cs="Arial"/>
          <w:i/>
          <w:szCs w:val="21"/>
        </w:rPr>
      </w:pPr>
      <w:r w:rsidRPr="00114059">
        <w:rPr>
          <w:rFonts w:cs="Arial"/>
          <w:i/>
          <w:szCs w:val="21"/>
        </w:rPr>
        <w:t xml:space="preserve">Impacts sur l'autonomisation économique des femmes </w:t>
      </w:r>
    </w:p>
    <w:p w14:paraId="334B295C" w14:textId="77777777" w:rsidR="009021F1" w:rsidRPr="00114059" w:rsidRDefault="009021F1" w:rsidP="009021F1">
      <w:pPr>
        <w:rPr>
          <w:rFonts w:cs="Arial"/>
          <w:szCs w:val="21"/>
        </w:rPr>
      </w:pPr>
    </w:p>
    <w:p w14:paraId="657E7BAC" w14:textId="77777777" w:rsidR="009021F1" w:rsidRPr="00114059" w:rsidRDefault="009021F1" w:rsidP="009021F1">
      <w:pPr>
        <w:rPr>
          <w:rFonts w:cs="Arial"/>
          <w:szCs w:val="21"/>
        </w:rPr>
      </w:pPr>
      <w:r w:rsidRPr="00114059">
        <w:rPr>
          <w:rFonts w:cs="Arial"/>
          <w:szCs w:val="21"/>
        </w:rPr>
        <w:t>La crise de COVID-19 menace gravement l’engagement des femmes dans les activités économiques, en particulier dans les secteurs informels, et peuvent accroître les écarts entre les sexes dans les moyens de subsistance. Il sied de signaler qu’avec le confinement annoncé par le Gouvernement de la RDC, les foyers à faibles revenus observés dans les Provinces concernées par le Projet, la femme est obligée de sortir chaque jour pour vendre les biens de première nécessité et se procurer de quoi manger avec tout le risque de contamination qui peut aussi toucher toute la famille. La femme non protégée peut être une porte d’entrée de COVID-19 dans le ménage.</w:t>
      </w:r>
    </w:p>
    <w:p w14:paraId="405B59BD" w14:textId="77777777" w:rsidR="009021F1" w:rsidRPr="00114059" w:rsidRDefault="009021F1" w:rsidP="009021F1">
      <w:pPr>
        <w:rPr>
          <w:rFonts w:cs="Arial"/>
          <w:szCs w:val="21"/>
        </w:rPr>
      </w:pPr>
    </w:p>
    <w:p w14:paraId="0B8E82DA" w14:textId="77777777" w:rsidR="009021F1" w:rsidRPr="00114059" w:rsidRDefault="009021F1" w:rsidP="009021F1">
      <w:pPr>
        <w:rPr>
          <w:i/>
          <w:szCs w:val="21"/>
        </w:rPr>
      </w:pPr>
      <w:r w:rsidRPr="00114059">
        <w:rPr>
          <w:i/>
          <w:szCs w:val="21"/>
        </w:rPr>
        <w:t xml:space="preserve">Risques d’incendie ou explosion de cuves de stockage de carburants </w:t>
      </w:r>
    </w:p>
    <w:p w14:paraId="753E9AD7" w14:textId="77777777" w:rsidR="009021F1" w:rsidRPr="00114059" w:rsidRDefault="009021F1" w:rsidP="009021F1">
      <w:pPr>
        <w:rPr>
          <w:szCs w:val="21"/>
        </w:rPr>
      </w:pPr>
    </w:p>
    <w:p w14:paraId="7DC72C67" w14:textId="77777777" w:rsidR="009021F1" w:rsidRPr="00114059" w:rsidRDefault="009021F1" w:rsidP="009021F1">
      <w:pPr>
        <w:rPr>
          <w:szCs w:val="21"/>
        </w:rPr>
      </w:pPr>
      <w:r w:rsidRPr="00114059">
        <w:rPr>
          <w:szCs w:val="21"/>
        </w:rPr>
        <w:t xml:space="preserve">En phase des travaux des sous-projets de la Composante 2 « Accès au marché des petits exploitants » du PNDA, l’on notera les risques d’incendies de produits pétroliers qui pourraient survenir au parc de stockage des carburants, aux réservoirs d’alimentation quotidienne, lors de leur transport et distribution avec potentielles blessures, pertes de vie, pertes économiques et contamination des eaux de surface et souterraines et du sol. Le risque de confinement d’incendie et d’explosion et du phénomène de </w:t>
      </w:r>
      <w:r w:rsidRPr="00114059">
        <w:rPr>
          <w:i/>
          <w:szCs w:val="21"/>
        </w:rPr>
        <w:t>bol over</w:t>
      </w:r>
      <w:r w:rsidRPr="00114059">
        <w:rPr>
          <w:szCs w:val="21"/>
        </w:rPr>
        <w:t xml:space="preserve"> en surface au niveau des réservoirs est bien présent. Le risque est lié à la caractéristique des produits stockés.</w:t>
      </w:r>
    </w:p>
    <w:p w14:paraId="5CFF66D3" w14:textId="77777777" w:rsidR="009021F1" w:rsidRPr="00114059" w:rsidRDefault="009021F1" w:rsidP="009021F1">
      <w:pPr>
        <w:rPr>
          <w:szCs w:val="21"/>
        </w:rPr>
      </w:pPr>
    </w:p>
    <w:p w14:paraId="4D188CC9" w14:textId="77777777" w:rsidR="009021F1" w:rsidRPr="00114059" w:rsidRDefault="009021F1" w:rsidP="009021F1">
      <w:pPr>
        <w:pStyle w:val="Titre2"/>
        <w:numPr>
          <w:ilvl w:val="2"/>
          <w:numId w:val="4"/>
        </w:numPr>
        <w:ind w:left="1560" w:hanging="709"/>
        <w:rPr>
          <w:rFonts w:cs="Arial"/>
          <w:i/>
          <w:szCs w:val="21"/>
        </w:rPr>
      </w:pPr>
      <w:bookmarkStart w:id="394" w:name="_Toc90471500"/>
      <w:r w:rsidRPr="00114059">
        <w:rPr>
          <w:rFonts w:cs="Arial"/>
          <w:i/>
          <w:szCs w:val="21"/>
        </w:rPr>
        <w:t>Impacts négatifs spécifiques des travaux de réhabilitation des routes rurales, aménagement des marchés communautaires et abattoirs</w:t>
      </w:r>
      <w:bookmarkEnd w:id="394"/>
      <w:r w:rsidRPr="00114059">
        <w:rPr>
          <w:rFonts w:cs="Arial"/>
          <w:i/>
          <w:szCs w:val="21"/>
        </w:rPr>
        <w:t xml:space="preserve"> </w:t>
      </w:r>
    </w:p>
    <w:p w14:paraId="41DDD695" w14:textId="77777777" w:rsidR="009021F1" w:rsidRPr="00114059" w:rsidRDefault="009021F1" w:rsidP="009021F1">
      <w:pPr>
        <w:tabs>
          <w:tab w:val="left" w:pos="0"/>
        </w:tabs>
        <w:rPr>
          <w:rFonts w:cs="Arial"/>
          <w:szCs w:val="21"/>
        </w:rPr>
      </w:pPr>
    </w:p>
    <w:p w14:paraId="767DEA9E" w14:textId="77777777" w:rsidR="009021F1" w:rsidRPr="00114059" w:rsidRDefault="009021F1" w:rsidP="009021F1">
      <w:pPr>
        <w:tabs>
          <w:tab w:val="left" w:pos="0"/>
        </w:tabs>
        <w:rPr>
          <w:rFonts w:cs="Arial"/>
          <w:szCs w:val="21"/>
        </w:rPr>
      </w:pPr>
      <w:r w:rsidRPr="00114059">
        <w:rPr>
          <w:rFonts w:cs="Arial"/>
          <w:szCs w:val="21"/>
        </w:rPr>
        <w:t xml:space="preserve">Pour la réhabilitation des routes rurales, les aménagements des marchés communautaires, abattoirs, les risques portent sur la destruction des habitats naturels. </w:t>
      </w:r>
    </w:p>
    <w:p w14:paraId="579E9D18" w14:textId="77777777" w:rsidR="009021F1" w:rsidRPr="00114059" w:rsidRDefault="009021F1" w:rsidP="009021F1">
      <w:pPr>
        <w:autoSpaceDE w:val="0"/>
        <w:autoSpaceDN w:val="0"/>
        <w:adjustRightInd w:val="0"/>
        <w:rPr>
          <w:rFonts w:cs="Arial"/>
          <w:szCs w:val="21"/>
          <w:u w:val="single"/>
        </w:rPr>
      </w:pPr>
    </w:p>
    <w:p w14:paraId="7AFD788F" w14:textId="77777777" w:rsidR="009021F1" w:rsidRPr="00114059" w:rsidRDefault="009021F1" w:rsidP="009021F1">
      <w:pPr>
        <w:autoSpaceDE w:val="0"/>
        <w:autoSpaceDN w:val="0"/>
        <w:adjustRightInd w:val="0"/>
        <w:rPr>
          <w:rFonts w:cs="Arial"/>
          <w:szCs w:val="21"/>
          <w:u w:val="single"/>
        </w:rPr>
      </w:pPr>
      <w:r w:rsidRPr="00114059">
        <w:rPr>
          <w:rFonts w:cs="Arial"/>
          <w:szCs w:val="21"/>
          <w:u w:val="single"/>
        </w:rPr>
        <w:t>En phase de travaux :</w:t>
      </w:r>
    </w:p>
    <w:p w14:paraId="6906F3CB" w14:textId="77777777" w:rsidR="009021F1" w:rsidRPr="00114059" w:rsidRDefault="009021F1" w:rsidP="009021F1">
      <w:pPr>
        <w:autoSpaceDE w:val="0"/>
        <w:autoSpaceDN w:val="0"/>
        <w:adjustRightInd w:val="0"/>
        <w:rPr>
          <w:rFonts w:cs="Arial"/>
          <w:color w:val="000000"/>
          <w:szCs w:val="21"/>
        </w:rPr>
      </w:pPr>
    </w:p>
    <w:p w14:paraId="4AC397AD" w14:textId="77777777" w:rsidR="009021F1" w:rsidRPr="00114059" w:rsidRDefault="009021F1" w:rsidP="009021F1">
      <w:pPr>
        <w:autoSpaceDE w:val="0"/>
        <w:autoSpaceDN w:val="0"/>
        <w:adjustRightInd w:val="0"/>
        <w:rPr>
          <w:rFonts w:cs="Arial"/>
          <w:color w:val="000000"/>
          <w:szCs w:val="21"/>
        </w:rPr>
      </w:pPr>
      <w:r w:rsidRPr="00114059">
        <w:rPr>
          <w:rFonts w:cs="Arial"/>
          <w:color w:val="000000"/>
          <w:szCs w:val="21"/>
        </w:rPr>
        <w:t xml:space="preserve">Les travaux de réhabilitation de </w:t>
      </w:r>
      <w:r w:rsidRPr="00114059">
        <w:rPr>
          <w:rFonts w:cs="Arial"/>
          <w:szCs w:val="21"/>
        </w:rPr>
        <w:t>routes rurales, la construction des marchés communautaires et abattoirs vont</w:t>
      </w:r>
      <w:r w:rsidRPr="00114059">
        <w:rPr>
          <w:rFonts w:cs="Arial"/>
          <w:color w:val="000000"/>
          <w:szCs w:val="21"/>
        </w:rPr>
        <w:t xml:space="preserve"> induire certains inconvénients tels que le déracinement d’arbres, destruction de portions de champs de culture de part et d’autre des routes. </w:t>
      </w:r>
      <w:r w:rsidRPr="00114059">
        <w:rPr>
          <w:rFonts w:cs="Arial"/>
          <w:szCs w:val="21"/>
        </w:rPr>
        <w:t xml:space="preserve">La non-utilisation de la main-d’œuvre locale lors de la construction des infrastructures et la réalisation des aménagements pourrait susciter des frustrations au niveau local si on sait que le chômage est très présent dans les zones d’intervention du Projet. </w:t>
      </w:r>
      <w:r w:rsidRPr="00114059">
        <w:rPr>
          <w:rFonts w:cs="Arial"/>
          <w:color w:val="000000"/>
          <w:szCs w:val="21"/>
        </w:rPr>
        <w:t xml:space="preserve">Il en résulte aussi la pollution de l’air et du milieu par les poussières latéritiques. Il s’agit aussi le plus souvent de lieu de départ de feu de brousse allumé par des fumeurs. </w:t>
      </w:r>
      <w:r w:rsidRPr="00114059">
        <w:rPr>
          <w:rFonts w:cs="Arial"/>
          <w:szCs w:val="21"/>
        </w:rPr>
        <w:t xml:space="preserve">Les sites d’emprunt des matériaux nécessaires à la construction des infrastructures non réhabilités, pourraient favoriser la prolifération d’insectes vecteurs (paludisme) et favoriser le développement de la bilharziose. </w:t>
      </w:r>
      <w:r w:rsidRPr="00114059">
        <w:rPr>
          <w:rFonts w:cs="Arial"/>
          <w:color w:val="000000"/>
          <w:szCs w:val="21"/>
        </w:rPr>
        <w:t>Les impacts négatifs majeurs concernent l’érosion des sols (les Villes de Tshikapa, Kananga et Kikwit), la sédimentation des cours d’eau, des bas-fonds et la pollution de l’air et du milieu par les poussières latéritiques, l’insécurité dans la Province du Nord-Kivu dans les Villes de Beni, Butembo, Rutshuru ; etc. et les risques d’accidents liés au trafic, aux nombreux virages et autres points critiques, les risques d’empiètement des aires protégées dans le Nord-Kivu, Kongo Central, Kwilu, Kasaï Central, risque de contamination de la pandémie de la COVID-19, la propagation des IST et VHI/SIDA, risque d’empiètement des espaces forestiers des Peuples Autochtones, etc.</w:t>
      </w:r>
    </w:p>
    <w:p w14:paraId="4C9E9506" w14:textId="77777777" w:rsidR="009021F1" w:rsidRPr="00114059" w:rsidRDefault="009021F1" w:rsidP="009021F1">
      <w:pPr>
        <w:autoSpaceDE w:val="0"/>
        <w:autoSpaceDN w:val="0"/>
        <w:adjustRightInd w:val="0"/>
        <w:rPr>
          <w:rFonts w:cs="Arial"/>
          <w:color w:val="000000"/>
          <w:szCs w:val="21"/>
        </w:rPr>
      </w:pPr>
    </w:p>
    <w:p w14:paraId="7AC7E476" w14:textId="77777777" w:rsidR="009021F1" w:rsidRPr="00114059" w:rsidRDefault="009021F1" w:rsidP="009021F1">
      <w:pPr>
        <w:autoSpaceDE w:val="0"/>
        <w:autoSpaceDN w:val="0"/>
        <w:adjustRightInd w:val="0"/>
        <w:rPr>
          <w:rFonts w:cs="Arial"/>
          <w:color w:val="000000"/>
          <w:szCs w:val="21"/>
        </w:rPr>
      </w:pPr>
      <w:r w:rsidRPr="00114059">
        <w:rPr>
          <w:rFonts w:cs="Arial"/>
          <w:color w:val="000000"/>
          <w:szCs w:val="21"/>
        </w:rPr>
        <w:t xml:space="preserve">Risques d’exacerber les VBG, y compris l’EAS et le HS, dans la zone d’intervention du Projet suite au brassage des populations et à l’afflux de la main-d’œuvre allochtone.  </w:t>
      </w:r>
    </w:p>
    <w:p w14:paraId="6194888A" w14:textId="77777777" w:rsidR="009021F1" w:rsidRPr="00114059" w:rsidRDefault="009021F1" w:rsidP="009021F1">
      <w:pPr>
        <w:autoSpaceDE w:val="0"/>
        <w:autoSpaceDN w:val="0"/>
        <w:adjustRightInd w:val="0"/>
        <w:ind w:left="360" w:firstLine="348"/>
        <w:rPr>
          <w:rFonts w:cs="Arial"/>
          <w:szCs w:val="21"/>
          <w:u w:val="single"/>
        </w:rPr>
      </w:pPr>
    </w:p>
    <w:p w14:paraId="1A46F1C6" w14:textId="77777777" w:rsidR="009021F1" w:rsidRPr="00114059" w:rsidRDefault="009021F1" w:rsidP="009021F1">
      <w:pPr>
        <w:autoSpaceDE w:val="0"/>
        <w:autoSpaceDN w:val="0"/>
        <w:adjustRightInd w:val="0"/>
        <w:rPr>
          <w:rFonts w:cs="Arial"/>
          <w:szCs w:val="21"/>
          <w:u w:val="single"/>
        </w:rPr>
      </w:pPr>
      <w:r w:rsidRPr="00114059">
        <w:rPr>
          <w:rFonts w:cs="Arial"/>
          <w:szCs w:val="21"/>
          <w:u w:val="single"/>
        </w:rPr>
        <w:t>En phase d’exploitation :</w:t>
      </w:r>
    </w:p>
    <w:p w14:paraId="2EB5F207" w14:textId="77777777" w:rsidR="009021F1" w:rsidRPr="00114059" w:rsidRDefault="009021F1" w:rsidP="009021F1">
      <w:pPr>
        <w:autoSpaceDE w:val="0"/>
        <w:autoSpaceDN w:val="0"/>
        <w:adjustRightInd w:val="0"/>
        <w:rPr>
          <w:rFonts w:cs="Arial"/>
          <w:szCs w:val="21"/>
          <w:u w:val="single"/>
        </w:rPr>
      </w:pPr>
    </w:p>
    <w:p w14:paraId="1512B9C2" w14:textId="77777777" w:rsidR="009021F1" w:rsidRPr="00114059" w:rsidRDefault="009021F1" w:rsidP="009021F1">
      <w:pPr>
        <w:rPr>
          <w:rFonts w:cs="Arial"/>
          <w:szCs w:val="21"/>
        </w:rPr>
      </w:pPr>
      <w:r w:rsidRPr="00114059">
        <w:rPr>
          <w:rFonts w:cs="Arial"/>
          <w:color w:val="000000"/>
          <w:szCs w:val="21"/>
        </w:rPr>
        <w:t xml:space="preserve">Durant la phase exploitation des routes rurales, marchés communautaires et abattoirs, </w:t>
      </w:r>
      <w:r w:rsidRPr="00114059">
        <w:rPr>
          <w:rFonts w:cs="Arial"/>
          <w:szCs w:val="21"/>
        </w:rPr>
        <w:t>les difficultés de mobilisation des ressources pourraient entraîner le manque d'entretien desdits ouvrages si des mesures idoines de gestion et de suivi ne seront pas prises en compte en amont.</w:t>
      </w:r>
    </w:p>
    <w:p w14:paraId="0A6CF855" w14:textId="77777777" w:rsidR="009021F1" w:rsidRPr="00114059" w:rsidRDefault="009021F1" w:rsidP="009021F1">
      <w:pPr>
        <w:rPr>
          <w:rFonts w:cs="Arial"/>
          <w:szCs w:val="21"/>
        </w:rPr>
      </w:pPr>
    </w:p>
    <w:p w14:paraId="117F98D8" w14:textId="77777777" w:rsidR="009021F1" w:rsidRPr="00114059" w:rsidRDefault="009021F1" w:rsidP="009021F1">
      <w:pPr>
        <w:pStyle w:val="Paragraphedeliste"/>
        <w:numPr>
          <w:ilvl w:val="0"/>
          <w:numId w:val="33"/>
        </w:numPr>
        <w:rPr>
          <w:rFonts w:cs="Arial"/>
          <w:i/>
          <w:szCs w:val="21"/>
        </w:rPr>
      </w:pPr>
      <w:r w:rsidRPr="00114059">
        <w:rPr>
          <w:rFonts w:cs="Arial"/>
          <w:i/>
          <w:szCs w:val="21"/>
        </w:rPr>
        <w:t xml:space="preserve">Sous-composante 2.2 : Soutien à l’inclusion des petits exploitants dans les chaînes de valeur </w:t>
      </w:r>
    </w:p>
    <w:p w14:paraId="67174047" w14:textId="77777777" w:rsidR="009021F1" w:rsidRPr="00114059" w:rsidRDefault="009021F1" w:rsidP="009021F1">
      <w:pPr>
        <w:rPr>
          <w:rFonts w:cs="Arial"/>
          <w:szCs w:val="21"/>
        </w:rPr>
      </w:pPr>
    </w:p>
    <w:p w14:paraId="0209CB46" w14:textId="77777777" w:rsidR="009021F1" w:rsidRPr="00114059" w:rsidRDefault="009021F1" w:rsidP="009021F1">
      <w:pPr>
        <w:rPr>
          <w:rFonts w:cs="Arial"/>
          <w:szCs w:val="21"/>
        </w:rPr>
      </w:pPr>
      <w:r w:rsidRPr="00114059">
        <w:rPr>
          <w:rFonts w:cs="Arial"/>
          <w:szCs w:val="21"/>
        </w:rPr>
        <w:t>En phase d’exécution</w:t>
      </w:r>
    </w:p>
    <w:p w14:paraId="4CC7E9FC" w14:textId="77777777" w:rsidR="009021F1" w:rsidRPr="00114059" w:rsidRDefault="009021F1" w:rsidP="009021F1">
      <w:pPr>
        <w:rPr>
          <w:rFonts w:cs="Arial"/>
          <w:szCs w:val="21"/>
        </w:rPr>
      </w:pPr>
    </w:p>
    <w:p w14:paraId="2C68532C" w14:textId="77777777" w:rsidR="009021F1" w:rsidRPr="00114059" w:rsidRDefault="009021F1" w:rsidP="009021F1">
      <w:pPr>
        <w:pStyle w:val="Paragraphedeliste"/>
        <w:numPr>
          <w:ilvl w:val="0"/>
          <w:numId w:val="33"/>
        </w:numPr>
        <w:rPr>
          <w:rFonts w:cs="Arial"/>
          <w:szCs w:val="21"/>
        </w:rPr>
      </w:pPr>
      <w:r w:rsidRPr="00114059">
        <w:rPr>
          <w:rFonts w:cs="Arial"/>
          <w:szCs w:val="21"/>
        </w:rPr>
        <w:t>Risque d’absence des Intermédiaires Financiers dans certains territoires des provinces concernées par le PNDA pour soutenir les groupes de petits exploitants agricoles et les agro-MPMEs ;</w:t>
      </w:r>
    </w:p>
    <w:p w14:paraId="394B9BAC" w14:textId="77777777" w:rsidR="009021F1" w:rsidRPr="00114059" w:rsidRDefault="009021F1" w:rsidP="009021F1">
      <w:pPr>
        <w:pStyle w:val="Paragraphedeliste"/>
        <w:numPr>
          <w:ilvl w:val="0"/>
          <w:numId w:val="33"/>
        </w:numPr>
        <w:rPr>
          <w:rFonts w:cs="Arial"/>
          <w:szCs w:val="21"/>
        </w:rPr>
      </w:pPr>
      <w:r w:rsidRPr="00114059">
        <w:rPr>
          <w:rFonts w:cs="Arial"/>
          <w:szCs w:val="21"/>
        </w:rPr>
        <w:t>Risque de manque d’objectivité dans la sélection des agro-MPMEs éligibles dans la distribution de produits agricoles dans les provinces sélectionnées dans</w:t>
      </w:r>
      <w:r w:rsidRPr="00114059">
        <w:rPr>
          <w:rFonts w:cs="Arial"/>
          <w:i/>
          <w:szCs w:val="21"/>
        </w:rPr>
        <w:t>(i)</w:t>
      </w:r>
      <w:r w:rsidRPr="00114059">
        <w:rPr>
          <w:rFonts w:cs="Arial"/>
          <w:szCs w:val="21"/>
        </w:rPr>
        <w:t xml:space="preserve"> la transformation, le transport et/ou la commercialisation de produits agricoles (activités post récolte) ; </w:t>
      </w:r>
      <w:r w:rsidRPr="00114059">
        <w:rPr>
          <w:rFonts w:cs="Arial"/>
          <w:i/>
          <w:szCs w:val="21"/>
        </w:rPr>
        <w:t xml:space="preserve">(ii) </w:t>
      </w:r>
      <w:r w:rsidRPr="00114059">
        <w:rPr>
          <w:rFonts w:cs="Arial"/>
          <w:szCs w:val="21"/>
        </w:rPr>
        <w:t>la fourniture d’intrants et de services agricoles (activités pré-récolte) comme les machines agricoles, semences, engrais, irrigation à la ferme, assistance technique, etc. ;</w:t>
      </w:r>
    </w:p>
    <w:p w14:paraId="249FE369" w14:textId="77777777" w:rsidR="009021F1" w:rsidRPr="00114059" w:rsidRDefault="009021F1" w:rsidP="009021F1">
      <w:pPr>
        <w:pStyle w:val="Paragraphedeliste"/>
        <w:numPr>
          <w:ilvl w:val="0"/>
          <w:numId w:val="33"/>
        </w:numPr>
        <w:rPr>
          <w:rFonts w:cs="Arial"/>
          <w:szCs w:val="21"/>
        </w:rPr>
      </w:pPr>
      <w:r w:rsidRPr="00114059">
        <w:rPr>
          <w:rFonts w:cs="Arial"/>
          <w:szCs w:val="21"/>
        </w:rPr>
        <w:t>Risque de discrimination envers les femmes et autres personnes vulnérables par rapport aux critères de sélection pour recevoir des subventions de contrepartie qui donneront la priorité à l’adhésion et à la participation des femmes et des jeunes agriculteurs âgés de moins de 18 ans à ces activités ;</w:t>
      </w:r>
    </w:p>
    <w:p w14:paraId="24E40964" w14:textId="77777777" w:rsidR="009021F1" w:rsidRPr="00114059" w:rsidRDefault="009021F1" w:rsidP="009021F1">
      <w:pPr>
        <w:pStyle w:val="Commentaire"/>
        <w:numPr>
          <w:ilvl w:val="0"/>
          <w:numId w:val="33"/>
        </w:numPr>
        <w:rPr>
          <w:sz w:val="21"/>
          <w:szCs w:val="21"/>
          <w:lang w:val="fr-FR"/>
        </w:rPr>
      </w:pPr>
      <w:r w:rsidRPr="00114059">
        <w:rPr>
          <w:sz w:val="21"/>
          <w:szCs w:val="21"/>
          <w:lang w:val="fr-FR"/>
        </w:rPr>
        <w:t>Faible capacité des IF dans la gestion des risques E&amp;S des activités à financer (inexistence probable des SGES en leur sein).</w:t>
      </w:r>
    </w:p>
    <w:p w14:paraId="5B48F76D" w14:textId="77777777" w:rsidR="009021F1" w:rsidRPr="00114059" w:rsidRDefault="009021F1" w:rsidP="009021F1">
      <w:pPr>
        <w:ind w:left="426"/>
        <w:rPr>
          <w:rFonts w:cs="Arial"/>
          <w:szCs w:val="21"/>
        </w:rPr>
      </w:pPr>
    </w:p>
    <w:p w14:paraId="1948EFFC" w14:textId="77777777" w:rsidR="009021F1" w:rsidRPr="00114059" w:rsidRDefault="009021F1" w:rsidP="009021F1">
      <w:pPr>
        <w:ind w:left="426"/>
        <w:rPr>
          <w:rFonts w:cs="Arial"/>
          <w:szCs w:val="21"/>
        </w:rPr>
      </w:pPr>
      <w:r w:rsidRPr="00114059">
        <w:rPr>
          <w:rFonts w:cs="Arial"/>
          <w:szCs w:val="21"/>
        </w:rPr>
        <w:t>En phase d’exploitation</w:t>
      </w:r>
    </w:p>
    <w:p w14:paraId="1E2B52CB" w14:textId="77777777" w:rsidR="009021F1" w:rsidRPr="00114059" w:rsidRDefault="009021F1" w:rsidP="009021F1">
      <w:pPr>
        <w:ind w:left="426"/>
        <w:rPr>
          <w:rFonts w:cs="Arial"/>
          <w:szCs w:val="21"/>
        </w:rPr>
      </w:pPr>
    </w:p>
    <w:p w14:paraId="7F13EAB8" w14:textId="77777777" w:rsidR="009021F1" w:rsidRPr="00114059" w:rsidRDefault="009021F1" w:rsidP="009021F1">
      <w:pPr>
        <w:pStyle w:val="Paragraphedeliste"/>
        <w:numPr>
          <w:ilvl w:val="0"/>
          <w:numId w:val="33"/>
        </w:numPr>
        <w:rPr>
          <w:rFonts w:cs="Arial"/>
          <w:szCs w:val="21"/>
        </w:rPr>
      </w:pPr>
      <w:r w:rsidRPr="00114059">
        <w:rPr>
          <w:rFonts w:cs="Arial"/>
          <w:szCs w:val="21"/>
        </w:rPr>
        <w:t>Risque de détournement des subventions de contrepartie pour autres activités par les petits exploitants et les agro-MPMEs ;</w:t>
      </w:r>
    </w:p>
    <w:p w14:paraId="3A207ECB" w14:textId="77777777" w:rsidR="009021F1" w:rsidRPr="00114059" w:rsidRDefault="009021F1" w:rsidP="009021F1">
      <w:pPr>
        <w:pStyle w:val="Paragraphedeliste"/>
        <w:numPr>
          <w:ilvl w:val="0"/>
          <w:numId w:val="33"/>
        </w:numPr>
        <w:rPr>
          <w:rFonts w:cs="Arial"/>
          <w:szCs w:val="21"/>
        </w:rPr>
      </w:pPr>
      <w:r w:rsidRPr="00114059">
        <w:rPr>
          <w:rFonts w:cs="Arial"/>
          <w:szCs w:val="21"/>
        </w:rPr>
        <w:t xml:space="preserve">Absence d’un système de gestion environnementale et sociale (SGES), des systèmes, des procédures et des capacités d’évaluation, de gestion et de suivi des risques et effets environnementaux et sociaux des sous-projets, ainsi que de gérer le risque de portefeuille global d’une manière responsable. </w:t>
      </w:r>
    </w:p>
    <w:p w14:paraId="0BAD0598" w14:textId="77777777" w:rsidR="009021F1" w:rsidRPr="00114059" w:rsidRDefault="009021F1" w:rsidP="009021F1">
      <w:pPr>
        <w:rPr>
          <w:rFonts w:cs="Arial"/>
          <w:szCs w:val="21"/>
        </w:rPr>
      </w:pPr>
    </w:p>
    <w:p w14:paraId="07BC5584" w14:textId="77777777" w:rsidR="009021F1" w:rsidRPr="00114059" w:rsidDel="00F63752" w:rsidRDefault="009021F1" w:rsidP="009021F1">
      <w:pPr>
        <w:pStyle w:val="Titre2"/>
        <w:numPr>
          <w:ilvl w:val="2"/>
          <w:numId w:val="4"/>
        </w:numPr>
        <w:ind w:left="1560" w:hanging="709"/>
        <w:rPr>
          <w:rFonts w:cs="Arial"/>
          <w:i/>
          <w:szCs w:val="21"/>
        </w:rPr>
      </w:pPr>
      <w:bookmarkStart w:id="395" w:name="_Toc90471501"/>
      <w:r w:rsidRPr="00114059" w:rsidDel="00F63752">
        <w:rPr>
          <w:rFonts w:cs="Arial"/>
          <w:i/>
          <w:szCs w:val="21"/>
        </w:rPr>
        <w:t>Impacts négatifs sur les travaux d’aménagements hydro-agricoles</w:t>
      </w:r>
      <w:bookmarkEnd w:id="395"/>
    </w:p>
    <w:p w14:paraId="5F294C65" w14:textId="77777777" w:rsidR="009021F1" w:rsidRPr="00114059" w:rsidDel="00F63752" w:rsidRDefault="009021F1" w:rsidP="009021F1">
      <w:pPr>
        <w:rPr>
          <w:rFonts w:cs="Arial"/>
          <w:szCs w:val="21"/>
        </w:rPr>
      </w:pPr>
    </w:p>
    <w:p w14:paraId="4E64954F" w14:textId="77777777" w:rsidR="009021F1" w:rsidRPr="00114059" w:rsidDel="00F63752" w:rsidRDefault="009021F1" w:rsidP="009021F1">
      <w:pPr>
        <w:rPr>
          <w:rFonts w:cs="Arial"/>
          <w:szCs w:val="21"/>
        </w:rPr>
      </w:pPr>
      <w:r w:rsidRPr="00114059" w:rsidDel="00F63752">
        <w:rPr>
          <w:rFonts w:cs="Arial"/>
          <w:szCs w:val="21"/>
        </w:rPr>
        <w:t>Les impacts négatifs proviendront surtout des aménagements et ouvrages d’irrigation, de</w:t>
      </w:r>
      <w:r w:rsidRPr="00114059">
        <w:rPr>
          <w:rFonts w:cs="Arial"/>
          <w:szCs w:val="21"/>
        </w:rPr>
        <w:t>s travaux des champs</w:t>
      </w:r>
      <w:r w:rsidRPr="00114059" w:rsidDel="00F63752">
        <w:rPr>
          <w:rFonts w:cs="Arial"/>
          <w:szCs w:val="21"/>
        </w:rPr>
        <w:t xml:space="preserve">, de l’usage incontrôlé d’engrais et de pesticides, et autres activités. </w:t>
      </w:r>
    </w:p>
    <w:p w14:paraId="03C0D0A5" w14:textId="77777777" w:rsidR="009021F1" w:rsidRPr="00114059" w:rsidDel="00F63752" w:rsidRDefault="009021F1" w:rsidP="009021F1">
      <w:pPr>
        <w:rPr>
          <w:rFonts w:cs="Arial"/>
          <w:szCs w:val="21"/>
        </w:rPr>
      </w:pPr>
    </w:p>
    <w:p w14:paraId="1710EE5C" w14:textId="77777777" w:rsidR="009021F1" w:rsidRPr="00114059" w:rsidDel="00F63752" w:rsidRDefault="009021F1" w:rsidP="009021F1">
      <w:pPr>
        <w:numPr>
          <w:ilvl w:val="0"/>
          <w:numId w:val="23"/>
        </w:numPr>
        <w:suppressAutoHyphens/>
        <w:rPr>
          <w:rFonts w:cs="Arial"/>
          <w:i/>
          <w:szCs w:val="21"/>
        </w:rPr>
      </w:pPr>
      <w:r w:rsidRPr="00114059" w:rsidDel="00F63752">
        <w:rPr>
          <w:rFonts w:cs="Arial"/>
          <w:i/>
          <w:szCs w:val="21"/>
        </w:rPr>
        <w:t xml:space="preserve">Fortes pressions et risques de dégradation des ressources en eau </w:t>
      </w:r>
    </w:p>
    <w:p w14:paraId="7F94FD89" w14:textId="77777777" w:rsidR="009021F1" w:rsidRPr="00114059" w:rsidDel="00F63752" w:rsidRDefault="009021F1" w:rsidP="009021F1">
      <w:pPr>
        <w:rPr>
          <w:rFonts w:cs="Arial"/>
          <w:szCs w:val="21"/>
        </w:rPr>
      </w:pPr>
    </w:p>
    <w:p w14:paraId="11CF60DE" w14:textId="77777777" w:rsidR="009021F1" w:rsidRPr="00114059" w:rsidDel="00F63752" w:rsidRDefault="009021F1" w:rsidP="009021F1">
      <w:pPr>
        <w:rPr>
          <w:rFonts w:cs="Arial"/>
          <w:szCs w:val="21"/>
        </w:rPr>
      </w:pPr>
      <w:r w:rsidRPr="00114059" w:rsidDel="00F63752">
        <w:rPr>
          <w:rFonts w:cs="Arial"/>
          <w:szCs w:val="21"/>
        </w:rPr>
        <w:t xml:space="preserve">Les pratiques agricoles, notamment l’irrigation, vont très certainement nécessiter l’utilisation des quantités non négligeables de ces ressources, si des techniques et technologies durables et à faible consommation ne sont pas mises en œuvre. En termes de dégradation des ressources, la principale cause de pollution des eaux pourrait être l’utilisation irrationnelle d’engrais et pesticides. </w:t>
      </w:r>
    </w:p>
    <w:p w14:paraId="5BC3CDEF" w14:textId="77777777" w:rsidR="009021F1" w:rsidRPr="00114059" w:rsidDel="00F63752" w:rsidRDefault="009021F1" w:rsidP="009021F1">
      <w:pPr>
        <w:rPr>
          <w:rFonts w:cs="Arial"/>
          <w:szCs w:val="21"/>
        </w:rPr>
      </w:pPr>
    </w:p>
    <w:p w14:paraId="01C026E4" w14:textId="77777777" w:rsidR="009021F1" w:rsidRPr="00114059" w:rsidDel="00F63752" w:rsidRDefault="009021F1" w:rsidP="009021F1">
      <w:pPr>
        <w:numPr>
          <w:ilvl w:val="0"/>
          <w:numId w:val="23"/>
        </w:numPr>
        <w:suppressAutoHyphens/>
        <w:rPr>
          <w:rFonts w:cs="Arial"/>
          <w:i/>
          <w:szCs w:val="21"/>
        </w:rPr>
      </w:pPr>
      <w:r w:rsidRPr="00114059" w:rsidDel="00F63752">
        <w:rPr>
          <w:rFonts w:cs="Arial"/>
          <w:i/>
          <w:szCs w:val="21"/>
        </w:rPr>
        <w:t xml:space="preserve">Risques liés à la dégradation des terres et la fertilité des sols </w:t>
      </w:r>
    </w:p>
    <w:p w14:paraId="43A09CDE" w14:textId="77777777" w:rsidR="009021F1" w:rsidRPr="00114059" w:rsidDel="00F63752" w:rsidRDefault="009021F1" w:rsidP="009021F1">
      <w:pPr>
        <w:rPr>
          <w:rFonts w:cs="Arial"/>
          <w:szCs w:val="21"/>
        </w:rPr>
      </w:pPr>
    </w:p>
    <w:p w14:paraId="03AED8A8" w14:textId="77777777" w:rsidR="009021F1" w:rsidRPr="00114059" w:rsidDel="00F63752" w:rsidRDefault="009021F1" w:rsidP="009021F1">
      <w:pPr>
        <w:rPr>
          <w:rFonts w:cs="Arial"/>
          <w:szCs w:val="21"/>
        </w:rPr>
      </w:pPr>
      <w:r w:rsidRPr="00114059" w:rsidDel="00F63752">
        <w:rPr>
          <w:rFonts w:cs="Arial"/>
          <w:szCs w:val="21"/>
        </w:rPr>
        <w:t xml:space="preserve">La dégradation des terres consécutives à l’utilisation de technologie et de pratiques agricoles y contribuant constituent des facteurs limitant à la fois le développement du secteur rural ainsi que le domaine de la protection des ressources naturelles. </w:t>
      </w:r>
    </w:p>
    <w:p w14:paraId="65BA4DA4" w14:textId="77777777" w:rsidR="009021F1" w:rsidRPr="00114059" w:rsidRDefault="009021F1" w:rsidP="009021F1">
      <w:pPr>
        <w:rPr>
          <w:rFonts w:cs="Arial"/>
          <w:szCs w:val="21"/>
        </w:rPr>
      </w:pPr>
    </w:p>
    <w:p w14:paraId="374177A7" w14:textId="77777777" w:rsidR="009021F1" w:rsidRPr="00114059" w:rsidDel="00F63752" w:rsidRDefault="009021F1" w:rsidP="009021F1">
      <w:pPr>
        <w:numPr>
          <w:ilvl w:val="0"/>
          <w:numId w:val="23"/>
        </w:numPr>
        <w:suppressAutoHyphens/>
        <w:rPr>
          <w:rFonts w:cs="Arial"/>
          <w:i/>
          <w:szCs w:val="21"/>
        </w:rPr>
      </w:pPr>
      <w:r w:rsidRPr="00114059" w:rsidDel="00F63752">
        <w:rPr>
          <w:rFonts w:cs="Arial"/>
          <w:i/>
          <w:szCs w:val="21"/>
        </w:rPr>
        <w:t xml:space="preserve">Risques de conflits sociaux avec le développement des périmètres agricoles </w:t>
      </w:r>
    </w:p>
    <w:p w14:paraId="65980ACC" w14:textId="77777777" w:rsidR="009021F1" w:rsidRPr="00114059" w:rsidDel="00F63752" w:rsidRDefault="009021F1" w:rsidP="009021F1">
      <w:pPr>
        <w:rPr>
          <w:rFonts w:cs="Arial"/>
          <w:szCs w:val="21"/>
        </w:rPr>
      </w:pPr>
    </w:p>
    <w:p w14:paraId="14E318BE" w14:textId="77777777" w:rsidR="009021F1" w:rsidRPr="00114059" w:rsidDel="00F63752" w:rsidRDefault="009021F1" w:rsidP="009021F1">
      <w:pPr>
        <w:rPr>
          <w:rFonts w:cs="Arial"/>
          <w:szCs w:val="21"/>
        </w:rPr>
      </w:pPr>
      <w:r w:rsidRPr="00114059" w:rsidDel="00F63752">
        <w:rPr>
          <w:rFonts w:cs="Arial"/>
          <w:szCs w:val="21"/>
        </w:rPr>
        <w:t xml:space="preserve">L'aménagement des périmètres agricoles pourrait entraîner également la perte des pâturages, et cela peut être à l'origine des conflits entre les éleveurs et les agriculteurs. Aussi, les canaux d’irrigation pourraient occasionner des pertes d’activités socioéconomiques (champs, pâturage, etc.), des restrictions de circulation pour le bétail. Un risque de conflit social est lié au déplacement du bétail par le développement de nouveaux périmètres irrigués. </w:t>
      </w:r>
      <w:r w:rsidRPr="00114059">
        <w:rPr>
          <w:rFonts w:cs="Arial"/>
          <w:szCs w:val="21"/>
        </w:rPr>
        <w:t xml:space="preserve">Il sied de signaler que </w:t>
      </w:r>
      <w:r w:rsidRPr="00114059">
        <w:rPr>
          <w:szCs w:val="21"/>
        </w:rPr>
        <w:t>des risques de conflit sociaux pourraient entraîner et/ou amplifier des risques plus élevés des VBG /EAS/HS aussi, au sein du ménage ou dans la communauté des provinces concernées par le programme PNDA.</w:t>
      </w:r>
    </w:p>
    <w:p w14:paraId="6738E253" w14:textId="77777777" w:rsidR="009021F1" w:rsidRPr="00114059" w:rsidDel="00F63752" w:rsidRDefault="009021F1" w:rsidP="009021F1">
      <w:pPr>
        <w:rPr>
          <w:rFonts w:cs="Arial"/>
          <w:szCs w:val="21"/>
        </w:rPr>
      </w:pPr>
    </w:p>
    <w:p w14:paraId="0C4F77ED" w14:textId="77777777" w:rsidR="009021F1" w:rsidRPr="00114059" w:rsidDel="00F63752" w:rsidRDefault="009021F1" w:rsidP="009021F1">
      <w:pPr>
        <w:numPr>
          <w:ilvl w:val="0"/>
          <w:numId w:val="23"/>
        </w:numPr>
        <w:suppressAutoHyphens/>
        <w:rPr>
          <w:rFonts w:cs="Arial"/>
          <w:i/>
          <w:szCs w:val="21"/>
        </w:rPr>
      </w:pPr>
      <w:r w:rsidRPr="00114059" w:rsidDel="00F63752">
        <w:rPr>
          <w:rFonts w:cs="Arial"/>
          <w:i/>
          <w:szCs w:val="21"/>
        </w:rPr>
        <w:t xml:space="preserve">Risques de développement des maladies liés à l’eau   </w:t>
      </w:r>
    </w:p>
    <w:p w14:paraId="5FB8768B" w14:textId="77777777" w:rsidR="009021F1" w:rsidRPr="00114059" w:rsidDel="00F63752" w:rsidRDefault="009021F1" w:rsidP="009021F1">
      <w:pPr>
        <w:rPr>
          <w:rFonts w:cs="Arial"/>
          <w:szCs w:val="21"/>
        </w:rPr>
      </w:pPr>
    </w:p>
    <w:p w14:paraId="42A89C38" w14:textId="77777777" w:rsidR="009021F1" w:rsidRPr="00114059" w:rsidDel="00F63752" w:rsidRDefault="009021F1" w:rsidP="009021F1">
      <w:pPr>
        <w:rPr>
          <w:rFonts w:cs="Arial"/>
          <w:szCs w:val="21"/>
        </w:rPr>
      </w:pPr>
      <w:r w:rsidRPr="00114059" w:rsidDel="00F63752">
        <w:rPr>
          <w:rFonts w:cs="Arial"/>
          <w:szCs w:val="21"/>
        </w:rPr>
        <w:t>Les aménagements des plans d’eau agricoles sont souvent à l’origine de certaines maladies d’origine hydrique comme le paludisme lié à la stagnation des eaux et la bilharziose. Pendant la mise en services des canaux d’irrigation, leur envahissement par les plantes d’eau et la présence de vecteur de maladies d’origine hydrique peut constituer une menace sur la santé des populations riveraines, surtout des enfants, qui les utilisent pour le linge et l’hygiène corporelle.</w:t>
      </w:r>
    </w:p>
    <w:p w14:paraId="597DF57F" w14:textId="77777777" w:rsidR="009021F1" w:rsidRPr="00114059" w:rsidDel="00F63752" w:rsidRDefault="009021F1" w:rsidP="009021F1">
      <w:pPr>
        <w:rPr>
          <w:rFonts w:cs="Arial"/>
          <w:szCs w:val="21"/>
        </w:rPr>
      </w:pPr>
    </w:p>
    <w:p w14:paraId="503FEB38" w14:textId="77777777" w:rsidR="009021F1" w:rsidRPr="00114059" w:rsidDel="00F63752" w:rsidRDefault="009021F1" w:rsidP="009021F1">
      <w:pPr>
        <w:numPr>
          <w:ilvl w:val="0"/>
          <w:numId w:val="23"/>
        </w:numPr>
        <w:suppressAutoHyphens/>
        <w:rPr>
          <w:rFonts w:cs="Arial"/>
          <w:i/>
          <w:szCs w:val="21"/>
        </w:rPr>
      </w:pPr>
      <w:r w:rsidRPr="00114059" w:rsidDel="00F63752">
        <w:rPr>
          <w:rFonts w:cs="Arial"/>
          <w:i/>
          <w:szCs w:val="21"/>
        </w:rPr>
        <w:t xml:space="preserve">Risques d’intoxication et de pollution liés à l’utilisation des pesticides </w:t>
      </w:r>
    </w:p>
    <w:p w14:paraId="3F2F9444" w14:textId="77777777" w:rsidR="009021F1" w:rsidRPr="00114059" w:rsidDel="00F63752" w:rsidRDefault="009021F1" w:rsidP="009021F1">
      <w:pPr>
        <w:suppressAutoHyphens/>
        <w:ind w:left="720"/>
        <w:rPr>
          <w:rFonts w:cs="Arial"/>
          <w:i/>
          <w:szCs w:val="21"/>
        </w:rPr>
      </w:pPr>
    </w:p>
    <w:p w14:paraId="1F57D523" w14:textId="77777777" w:rsidR="009021F1" w:rsidRPr="00114059" w:rsidRDefault="009021F1" w:rsidP="009021F1">
      <w:pPr>
        <w:rPr>
          <w:rFonts w:cs="Arial"/>
          <w:szCs w:val="21"/>
        </w:rPr>
      </w:pPr>
      <w:r w:rsidRPr="00114059" w:rsidDel="00F63752">
        <w:rPr>
          <w:rFonts w:cs="Arial"/>
          <w:szCs w:val="21"/>
        </w:rPr>
        <w:t>Les aménagements agricoles vont nécessairement s’accompagner d’une intensification culturale et entraîner une augmentation de l’utilisation des pesticides d’où les impacts probables négatif sur la santé humaine et animale</w:t>
      </w:r>
      <w:r w:rsidRPr="00114059">
        <w:rPr>
          <w:rFonts w:cs="Arial"/>
          <w:szCs w:val="21"/>
        </w:rPr>
        <w:t xml:space="preserve"> </w:t>
      </w:r>
      <w:r w:rsidRPr="00114059" w:rsidDel="00F63752">
        <w:rPr>
          <w:rFonts w:cs="Arial"/>
          <w:szCs w:val="21"/>
        </w:rPr>
        <w:t>l’on peut noter les risques suivants :</w:t>
      </w:r>
    </w:p>
    <w:p w14:paraId="079870CB" w14:textId="77777777" w:rsidR="009021F1" w:rsidRPr="00114059" w:rsidDel="00F63752" w:rsidRDefault="009021F1" w:rsidP="009021F1">
      <w:pPr>
        <w:rPr>
          <w:rFonts w:cs="Arial"/>
          <w:szCs w:val="21"/>
        </w:rPr>
      </w:pPr>
    </w:p>
    <w:p w14:paraId="7E2BBD63" w14:textId="77777777" w:rsidR="009021F1" w:rsidRPr="00114059" w:rsidDel="00F63752" w:rsidRDefault="009021F1" w:rsidP="009021F1">
      <w:pPr>
        <w:pStyle w:val="Paragraphedeliste"/>
        <w:numPr>
          <w:ilvl w:val="0"/>
          <w:numId w:val="143"/>
        </w:numPr>
        <w:suppressAutoHyphens/>
        <w:rPr>
          <w:rFonts w:cs="Arial"/>
          <w:szCs w:val="21"/>
        </w:rPr>
      </w:pPr>
      <w:r w:rsidRPr="00114059" w:rsidDel="00F63752">
        <w:rPr>
          <w:rFonts w:cs="Arial"/>
          <w:szCs w:val="21"/>
        </w:rPr>
        <w:t>La mort de poissons des cours d’eau contaminés par ruissellement après traitement des champs aux pesticides ;</w:t>
      </w:r>
    </w:p>
    <w:p w14:paraId="6F0D6E28" w14:textId="77777777" w:rsidR="009021F1" w:rsidRPr="00114059" w:rsidDel="00F63752" w:rsidRDefault="009021F1" w:rsidP="009021F1">
      <w:pPr>
        <w:pStyle w:val="Paragraphedeliste"/>
        <w:numPr>
          <w:ilvl w:val="0"/>
          <w:numId w:val="143"/>
        </w:numPr>
        <w:suppressAutoHyphens/>
        <w:rPr>
          <w:rFonts w:cs="Arial"/>
          <w:szCs w:val="21"/>
        </w:rPr>
      </w:pPr>
      <w:r w:rsidRPr="00114059" w:rsidDel="00F63752">
        <w:rPr>
          <w:rFonts w:cs="Arial"/>
          <w:szCs w:val="21"/>
        </w:rPr>
        <w:t>Intoxication de bétail ayant consommé l’eau contenue dans les emballages vides ayant servi aux pesticides ;</w:t>
      </w:r>
    </w:p>
    <w:p w14:paraId="7147E3A6" w14:textId="77777777" w:rsidR="009021F1" w:rsidRPr="00114059" w:rsidDel="00F63752" w:rsidRDefault="009021F1" w:rsidP="009021F1">
      <w:pPr>
        <w:pStyle w:val="Paragraphedeliste"/>
        <w:numPr>
          <w:ilvl w:val="0"/>
          <w:numId w:val="143"/>
        </w:numPr>
        <w:suppressAutoHyphens/>
        <w:rPr>
          <w:rFonts w:cs="Arial"/>
          <w:szCs w:val="21"/>
        </w:rPr>
      </w:pPr>
      <w:r w:rsidRPr="00114059" w:rsidDel="00F63752">
        <w:rPr>
          <w:rFonts w:cs="Arial"/>
          <w:szCs w:val="21"/>
        </w:rPr>
        <w:t>Intoxication des acheteurs des légumes volés ou vendus un ou deux jours après traitement ;</w:t>
      </w:r>
    </w:p>
    <w:p w14:paraId="6DF53F87" w14:textId="77777777" w:rsidR="009021F1" w:rsidRPr="00114059" w:rsidDel="00F63752" w:rsidRDefault="009021F1" w:rsidP="009021F1">
      <w:pPr>
        <w:pStyle w:val="Paragraphedeliste"/>
        <w:numPr>
          <w:ilvl w:val="0"/>
          <w:numId w:val="143"/>
        </w:numPr>
        <w:suppressAutoHyphens/>
        <w:rPr>
          <w:rFonts w:cs="Arial"/>
          <w:szCs w:val="21"/>
        </w:rPr>
      </w:pPr>
      <w:r w:rsidRPr="00114059" w:rsidDel="00F63752">
        <w:rPr>
          <w:rFonts w:cs="Arial"/>
          <w:szCs w:val="21"/>
        </w:rPr>
        <w:t>Intoxication des ouvriers mal équipés ou vendeurs des pesticides ;</w:t>
      </w:r>
    </w:p>
    <w:p w14:paraId="7493115B" w14:textId="77777777" w:rsidR="009021F1" w:rsidRPr="00114059" w:rsidDel="00F63752" w:rsidRDefault="009021F1" w:rsidP="009021F1">
      <w:pPr>
        <w:pStyle w:val="Paragraphedeliste"/>
        <w:numPr>
          <w:ilvl w:val="0"/>
          <w:numId w:val="143"/>
        </w:numPr>
        <w:suppressAutoHyphens/>
        <w:rPr>
          <w:rFonts w:cs="Arial"/>
          <w:szCs w:val="21"/>
        </w:rPr>
      </w:pPr>
      <w:r w:rsidRPr="00114059" w:rsidDel="00F63752">
        <w:rPr>
          <w:rFonts w:cs="Arial"/>
          <w:szCs w:val="21"/>
        </w:rPr>
        <w:t>Intoxication de la population ayant consommés des produits vivriers stockés dans un même entrepôt avec les pesticides ou consommé des produits souillés lors du transport, des animaux morts par intoxication aux pesticides</w:t>
      </w:r>
      <w:r w:rsidRPr="00114059">
        <w:rPr>
          <w:rFonts w:cs="Arial"/>
          <w:szCs w:val="21"/>
        </w:rPr>
        <w:t>.</w:t>
      </w:r>
    </w:p>
    <w:p w14:paraId="490DBEE1" w14:textId="77777777" w:rsidR="009021F1" w:rsidRPr="00114059" w:rsidRDefault="009021F1" w:rsidP="009021F1">
      <w:pPr>
        <w:pStyle w:val="Titre4"/>
        <w:spacing w:before="0" w:after="0"/>
        <w:ind w:left="0" w:firstLine="0"/>
        <w:rPr>
          <w:rFonts w:ascii="Arial" w:hAnsi="Arial" w:cs="Arial"/>
          <w:b w:val="0"/>
          <w:sz w:val="21"/>
          <w:szCs w:val="21"/>
          <w:u w:val="single"/>
        </w:rPr>
      </w:pPr>
    </w:p>
    <w:p w14:paraId="2F608A17" w14:textId="77777777" w:rsidR="009021F1" w:rsidRPr="00114059" w:rsidRDefault="009021F1" w:rsidP="009021F1">
      <w:pPr>
        <w:rPr>
          <w:i/>
          <w:color w:val="000000"/>
          <w:szCs w:val="21"/>
        </w:rPr>
      </w:pPr>
      <w:r w:rsidRPr="00114059">
        <w:rPr>
          <w:rFonts w:cs="Arial"/>
          <w:i/>
          <w:szCs w:val="21"/>
        </w:rPr>
        <w:t xml:space="preserve">Sous-composante 3.1 : Renforcement des capacités pour la fourniture de services publics agricoles </w:t>
      </w:r>
    </w:p>
    <w:p w14:paraId="259E71B8" w14:textId="77777777" w:rsidR="009021F1" w:rsidRPr="00114059" w:rsidRDefault="009021F1" w:rsidP="009021F1">
      <w:pPr>
        <w:rPr>
          <w:rFonts w:cs="Arial"/>
          <w:szCs w:val="21"/>
        </w:rPr>
      </w:pPr>
      <w:r w:rsidRPr="00114059">
        <w:rPr>
          <w:rFonts w:cs="Arial"/>
          <w:szCs w:val="21"/>
        </w:rPr>
        <w:t>Pendant la mise en œuvre du Programme dans les zones d’intervention, toutes les activités de renforcement des capacités des services publics viseront à intégrer les politiques et interventions du CSA et AIN, de la jeunesse et de l’égalité des genres dans les divers biens et services publics de l’agriculture aux niveaux national et local. Ainsi, il y a risque de la discrimination des femmes et la non intégration de la jeunesse dans le renforcement des capacités des services publics agricoles au niveau local.</w:t>
      </w:r>
    </w:p>
    <w:p w14:paraId="4A7D5FC2" w14:textId="77777777" w:rsidR="009021F1" w:rsidRPr="00114059" w:rsidRDefault="009021F1" w:rsidP="009021F1">
      <w:pPr>
        <w:rPr>
          <w:szCs w:val="21"/>
          <w:lang w:eastAsia="en-US"/>
        </w:rPr>
      </w:pPr>
    </w:p>
    <w:p w14:paraId="46CF6CFE" w14:textId="77777777" w:rsidR="009021F1" w:rsidRPr="00114059" w:rsidRDefault="009021F1" w:rsidP="009021F1">
      <w:pPr>
        <w:pStyle w:val="Titre2"/>
        <w:numPr>
          <w:ilvl w:val="2"/>
          <w:numId w:val="4"/>
        </w:numPr>
        <w:ind w:left="1560" w:hanging="709"/>
        <w:rPr>
          <w:rFonts w:cs="Arial"/>
          <w:b/>
          <w:i/>
          <w:szCs w:val="21"/>
        </w:rPr>
      </w:pPr>
      <w:bookmarkStart w:id="396" w:name="_Toc90471502"/>
      <w:r w:rsidRPr="00114059">
        <w:rPr>
          <w:rFonts w:cs="Arial"/>
          <w:i/>
          <w:szCs w:val="21"/>
        </w:rPr>
        <w:t>Analyse des Impacts cumulatifs négatifs pontentiels et mesures d’atténuation des activités du Projet</w:t>
      </w:r>
      <w:bookmarkEnd w:id="396"/>
    </w:p>
    <w:p w14:paraId="1E952C1C" w14:textId="77777777" w:rsidR="009021F1" w:rsidRPr="00114059" w:rsidRDefault="009021F1" w:rsidP="009021F1">
      <w:pPr>
        <w:rPr>
          <w:szCs w:val="21"/>
        </w:rPr>
      </w:pPr>
    </w:p>
    <w:p w14:paraId="5BC9EDDC" w14:textId="77777777" w:rsidR="009021F1" w:rsidRPr="00114059" w:rsidRDefault="009021F1" w:rsidP="009021F1">
      <w:pPr>
        <w:rPr>
          <w:szCs w:val="21"/>
        </w:rPr>
      </w:pPr>
      <w:r w:rsidRPr="00114059">
        <w:rPr>
          <w:szCs w:val="21"/>
        </w:rPr>
        <w:t xml:space="preserve">L’objectif de cette section est de présenter brièvement les projets en cours ou prévus dans ou à proximité de la zone d’étude restreinte du Programme du PNDA dans les Provinces du </w:t>
      </w:r>
      <w:r w:rsidRPr="00114059">
        <w:rPr>
          <w:rFonts w:cs="Arial"/>
          <w:szCs w:val="21"/>
        </w:rPr>
        <w:t>Provinces du Kasaï et Kasaï Central), la région de l’Ouest (Provinces du Kongo Central et du Kwilu), la région de l’Est (Province du Nord-Kivu)</w:t>
      </w:r>
      <w:r w:rsidRPr="00114059">
        <w:rPr>
          <w:szCs w:val="21"/>
        </w:rPr>
        <w:t>, en vue de prendre en compte, le cas échéant, les impacts cumulés des différentes activités dans leurs phases construction et / ou d’exploitation.</w:t>
      </w:r>
    </w:p>
    <w:p w14:paraId="6CB6F9E5" w14:textId="77777777" w:rsidR="009021F1" w:rsidRPr="00114059" w:rsidRDefault="009021F1" w:rsidP="009021F1">
      <w:pPr>
        <w:rPr>
          <w:szCs w:val="21"/>
        </w:rPr>
      </w:pPr>
    </w:p>
    <w:p w14:paraId="429DB263" w14:textId="77777777" w:rsidR="009021F1" w:rsidRPr="00114059" w:rsidRDefault="009021F1" w:rsidP="009021F1">
      <w:pPr>
        <w:rPr>
          <w:szCs w:val="21"/>
        </w:rPr>
      </w:pPr>
      <w:r w:rsidRPr="00114059">
        <w:rPr>
          <w:szCs w:val="21"/>
        </w:rPr>
        <w:t xml:space="preserve">Les effets cumulatifs font notamment référence aux effets engendrés par la réalisation du projet actuel sur les composantes environnementales et sociales tout en considérant les effets causés par d’autres projets ou évènements passés, actuels et à venir sur ces mêmes composantes dans une perspective spatio-temporelle délimitée. La notion d’effets cumulatifs se rapporte à la possibilité que les effets résiduels négatifs permanents occasionnés par le projet s’ajouteraient à ceux d’autres activités concrètes ou évènements passés, actuels et futurs dans le même secteur ou à proximité, pour produire des effets de plus grande ampleur sur le milieu récepteur. L’évaluation des effets cumulatifs porte sur un certain nombre de composantes qui correspondent aux préoccupations majeures exprimées par les parties prenantes ou établies dans le présent CGES. </w:t>
      </w:r>
    </w:p>
    <w:p w14:paraId="36D164E5" w14:textId="77777777" w:rsidR="009021F1" w:rsidRPr="00114059" w:rsidRDefault="009021F1" w:rsidP="009021F1">
      <w:pPr>
        <w:rPr>
          <w:szCs w:val="21"/>
        </w:rPr>
      </w:pPr>
    </w:p>
    <w:p w14:paraId="1A18725F" w14:textId="77777777" w:rsidR="009021F1" w:rsidRPr="00114059" w:rsidRDefault="009021F1" w:rsidP="009021F1">
      <w:pPr>
        <w:rPr>
          <w:szCs w:val="21"/>
        </w:rPr>
      </w:pPr>
      <w:r w:rsidRPr="00114059">
        <w:rPr>
          <w:szCs w:val="21"/>
        </w:rPr>
        <w:t>L’évaluation des effets cumulatifs constitue un moyen d’étudier les effets d’un projet dans un contexte plus large que celui d’une évaluation environnementale classique</w:t>
      </w:r>
    </w:p>
    <w:p w14:paraId="36E85D6F" w14:textId="77777777" w:rsidR="009021F1" w:rsidRPr="00114059" w:rsidRDefault="009021F1" w:rsidP="009021F1">
      <w:pPr>
        <w:rPr>
          <w:szCs w:val="21"/>
        </w:rPr>
      </w:pPr>
    </w:p>
    <w:p w14:paraId="0B554AA3" w14:textId="77777777" w:rsidR="009021F1" w:rsidRPr="00114059" w:rsidRDefault="009021F1" w:rsidP="009021F1">
      <w:pPr>
        <w:rPr>
          <w:b/>
          <w:i/>
          <w:szCs w:val="21"/>
          <w:u w:val="single"/>
        </w:rPr>
      </w:pPr>
      <w:r w:rsidRPr="00114059">
        <w:rPr>
          <w:b/>
          <w:i/>
          <w:szCs w:val="21"/>
          <w:u w:val="single"/>
        </w:rPr>
        <w:t>Approche méthodologique</w:t>
      </w:r>
    </w:p>
    <w:p w14:paraId="621D047D" w14:textId="77777777" w:rsidR="009021F1" w:rsidRPr="00114059" w:rsidRDefault="009021F1" w:rsidP="009021F1">
      <w:pPr>
        <w:rPr>
          <w:szCs w:val="21"/>
        </w:rPr>
      </w:pPr>
    </w:p>
    <w:p w14:paraId="0E420EDF" w14:textId="77777777" w:rsidR="009021F1" w:rsidRPr="00114059" w:rsidRDefault="009021F1" w:rsidP="009021F1">
      <w:pPr>
        <w:rPr>
          <w:szCs w:val="21"/>
        </w:rPr>
      </w:pPr>
      <w:r w:rsidRPr="00114059">
        <w:rPr>
          <w:szCs w:val="21"/>
        </w:rPr>
        <w:t xml:space="preserve">La démarche de l’évaluation des effets cumulatifs s’inscrit à l’intérieur d’un cadre générique qui s’articule autour de cinq étapes : </w:t>
      </w:r>
    </w:p>
    <w:p w14:paraId="1741443A" w14:textId="77777777" w:rsidR="009021F1" w:rsidRPr="00114059" w:rsidRDefault="009021F1" w:rsidP="009021F1">
      <w:pPr>
        <w:rPr>
          <w:szCs w:val="21"/>
        </w:rPr>
      </w:pPr>
    </w:p>
    <w:p w14:paraId="3DE315ED" w14:textId="77777777" w:rsidR="009021F1" w:rsidRPr="00114059" w:rsidRDefault="009021F1" w:rsidP="009021F1">
      <w:pPr>
        <w:pStyle w:val="Paragraphedeliste"/>
        <w:numPr>
          <w:ilvl w:val="0"/>
          <w:numId w:val="149"/>
        </w:numPr>
        <w:rPr>
          <w:szCs w:val="21"/>
        </w:rPr>
      </w:pPr>
      <w:r w:rsidRPr="00114059">
        <w:rPr>
          <w:szCs w:val="21"/>
        </w:rPr>
        <w:t xml:space="preserve">Détermination de la portée de l’évaluation, incluant ; </w:t>
      </w:r>
    </w:p>
    <w:p w14:paraId="4BCCE90F" w14:textId="77777777" w:rsidR="009021F1" w:rsidRPr="00114059" w:rsidRDefault="009021F1" w:rsidP="009021F1">
      <w:pPr>
        <w:pStyle w:val="Paragraphedeliste"/>
        <w:numPr>
          <w:ilvl w:val="0"/>
          <w:numId w:val="150"/>
        </w:numPr>
        <w:rPr>
          <w:szCs w:val="21"/>
        </w:rPr>
      </w:pPr>
      <w:r w:rsidRPr="00114059">
        <w:rPr>
          <w:szCs w:val="21"/>
        </w:rPr>
        <w:t xml:space="preserve">la détermination de limites spatiales et temporelles, </w:t>
      </w:r>
    </w:p>
    <w:p w14:paraId="0F15B4A0" w14:textId="77777777" w:rsidR="009021F1" w:rsidRPr="00114059" w:rsidRDefault="009021F1" w:rsidP="009021F1">
      <w:pPr>
        <w:pStyle w:val="Paragraphedeliste"/>
        <w:numPr>
          <w:ilvl w:val="0"/>
          <w:numId w:val="150"/>
        </w:numPr>
        <w:rPr>
          <w:szCs w:val="21"/>
        </w:rPr>
      </w:pPr>
      <w:r w:rsidRPr="00114059">
        <w:rPr>
          <w:szCs w:val="21"/>
        </w:rPr>
        <w:t xml:space="preserve">identification des activités concrètes réalisées dans le passé, </w:t>
      </w:r>
    </w:p>
    <w:p w14:paraId="4EBF1F3D" w14:textId="77777777" w:rsidR="009021F1" w:rsidRPr="00114059" w:rsidRDefault="009021F1" w:rsidP="009021F1">
      <w:pPr>
        <w:pStyle w:val="Paragraphedeliste"/>
        <w:numPr>
          <w:ilvl w:val="0"/>
          <w:numId w:val="150"/>
        </w:numPr>
        <w:rPr>
          <w:szCs w:val="21"/>
        </w:rPr>
      </w:pPr>
      <w:r w:rsidRPr="00114059">
        <w:rPr>
          <w:szCs w:val="21"/>
        </w:rPr>
        <w:t xml:space="preserve">identification des activités concrètes qui seront réalisées ; </w:t>
      </w:r>
    </w:p>
    <w:p w14:paraId="151E3B15" w14:textId="77777777" w:rsidR="009021F1" w:rsidRPr="00114059" w:rsidRDefault="009021F1" w:rsidP="009021F1">
      <w:pPr>
        <w:pStyle w:val="Paragraphedeliste"/>
        <w:numPr>
          <w:ilvl w:val="0"/>
          <w:numId w:val="149"/>
        </w:numPr>
        <w:rPr>
          <w:szCs w:val="21"/>
        </w:rPr>
      </w:pPr>
      <w:r w:rsidRPr="00114059">
        <w:rPr>
          <w:szCs w:val="21"/>
        </w:rPr>
        <w:t xml:space="preserve">Analyse des effets cumulatifs ; </w:t>
      </w:r>
    </w:p>
    <w:p w14:paraId="43CD58E4" w14:textId="77777777" w:rsidR="009021F1" w:rsidRPr="00114059" w:rsidRDefault="009021F1" w:rsidP="009021F1">
      <w:pPr>
        <w:pStyle w:val="Paragraphedeliste"/>
        <w:numPr>
          <w:ilvl w:val="0"/>
          <w:numId w:val="149"/>
        </w:numPr>
        <w:rPr>
          <w:szCs w:val="21"/>
        </w:rPr>
      </w:pPr>
      <w:r w:rsidRPr="00114059">
        <w:rPr>
          <w:szCs w:val="21"/>
        </w:rPr>
        <w:t xml:space="preserve">Évaluation de l’importance des effets ; </w:t>
      </w:r>
    </w:p>
    <w:p w14:paraId="37D7E883" w14:textId="77777777" w:rsidR="009021F1" w:rsidRPr="00114059" w:rsidRDefault="009021F1" w:rsidP="009021F1">
      <w:pPr>
        <w:pStyle w:val="Paragraphedeliste"/>
        <w:numPr>
          <w:ilvl w:val="0"/>
          <w:numId w:val="149"/>
        </w:numPr>
        <w:rPr>
          <w:szCs w:val="21"/>
        </w:rPr>
      </w:pPr>
      <w:r w:rsidRPr="00114059">
        <w:rPr>
          <w:szCs w:val="21"/>
        </w:rPr>
        <w:t xml:space="preserve">Détermination des mesures d’atténuation ; </w:t>
      </w:r>
    </w:p>
    <w:p w14:paraId="70FFC094" w14:textId="77777777" w:rsidR="009021F1" w:rsidRPr="00114059" w:rsidRDefault="009021F1" w:rsidP="009021F1">
      <w:pPr>
        <w:pStyle w:val="Paragraphedeliste"/>
        <w:numPr>
          <w:ilvl w:val="0"/>
          <w:numId w:val="149"/>
        </w:numPr>
        <w:rPr>
          <w:szCs w:val="21"/>
        </w:rPr>
      </w:pPr>
      <w:r w:rsidRPr="00114059">
        <w:rPr>
          <w:szCs w:val="21"/>
        </w:rPr>
        <w:t>Suivi des effets cumulatifs.</w:t>
      </w:r>
    </w:p>
    <w:p w14:paraId="1E8BE98D" w14:textId="77777777" w:rsidR="009021F1" w:rsidRPr="00114059" w:rsidRDefault="009021F1" w:rsidP="009021F1">
      <w:pPr>
        <w:rPr>
          <w:szCs w:val="21"/>
        </w:rPr>
      </w:pPr>
    </w:p>
    <w:p w14:paraId="788B7C65" w14:textId="77777777" w:rsidR="009021F1" w:rsidRPr="00114059" w:rsidRDefault="009021F1" w:rsidP="009021F1">
      <w:pPr>
        <w:pStyle w:val="Paragraphedeliste"/>
        <w:numPr>
          <w:ilvl w:val="0"/>
          <w:numId w:val="151"/>
        </w:numPr>
        <w:rPr>
          <w:szCs w:val="21"/>
        </w:rPr>
      </w:pPr>
      <w:r w:rsidRPr="00114059">
        <w:rPr>
          <w:szCs w:val="21"/>
        </w:rPr>
        <w:t>Détermination de la portée de l’évaluation</w:t>
      </w:r>
    </w:p>
    <w:p w14:paraId="1A30150C" w14:textId="77777777" w:rsidR="009021F1" w:rsidRPr="00114059" w:rsidRDefault="009021F1" w:rsidP="009021F1">
      <w:pPr>
        <w:pStyle w:val="Paragraphedeliste"/>
        <w:rPr>
          <w:szCs w:val="21"/>
        </w:rPr>
      </w:pPr>
    </w:p>
    <w:p w14:paraId="41A425A1" w14:textId="77777777" w:rsidR="009021F1" w:rsidRPr="00114059" w:rsidRDefault="009021F1" w:rsidP="009021F1">
      <w:pPr>
        <w:rPr>
          <w:i/>
          <w:szCs w:val="21"/>
        </w:rPr>
      </w:pPr>
      <w:r w:rsidRPr="00114059">
        <w:rPr>
          <w:i/>
          <w:szCs w:val="21"/>
        </w:rPr>
        <w:t xml:space="preserve">Détermination de limites spéciales et temporelles </w:t>
      </w:r>
    </w:p>
    <w:p w14:paraId="51447B23" w14:textId="77777777" w:rsidR="009021F1" w:rsidRPr="00114059" w:rsidRDefault="009021F1" w:rsidP="009021F1">
      <w:pPr>
        <w:rPr>
          <w:szCs w:val="21"/>
        </w:rPr>
      </w:pPr>
    </w:p>
    <w:p w14:paraId="4B34CBE6" w14:textId="77777777" w:rsidR="009021F1" w:rsidRPr="00114059" w:rsidRDefault="009021F1" w:rsidP="009021F1">
      <w:pPr>
        <w:rPr>
          <w:szCs w:val="21"/>
        </w:rPr>
      </w:pPr>
      <w:r w:rsidRPr="00114059">
        <w:rPr>
          <w:szCs w:val="21"/>
        </w:rPr>
        <w:t xml:space="preserve">En ce qui a trait aux limites temporelles, deux bornes doivent être définies : </w:t>
      </w:r>
      <w:r w:rsidRPr="00114059">
        <w:rPr>
          <w:b/>
          <w:i/>
          <w:szCs w:val="21"/>
        </w:rPr>
        <w:t>la borne « passé » et la borne « futur »</w:t>
      </w:r>
      <w:r w:rsidRPr="00114059">
        <w:rPr>
          <w:szCs w:val="21"/>
        </w:rPr>
        <w:t xml:space="preserve">. Pour le présent Programme PNDA, elles ont été déterminées en se centrant sur les activités. La limite « passé » a ainsi été fixée à la fin de les années     2010 - 2020, soit 10 ans. Ce moment correspond à la mise en œuvre du Projet </w:t>
      </w:r>
      <w:r w:rsidRPr="00114059">
        <w:rPr>
          <w:rFonts w:cs="Arial"/>
          <w:color w:val="000000"/>
          <w:szCs w:val="21"/>
        </w:rPr>
        <w:t>de Développement des Pôles de Croissance (PDPC</w:t>
      </w:r>
      <w:r w:rsidRPr="00114059">
        <w:rPr>
          <w:szCs w:val="21"/>
        </w:rPr>
        <w:t xml:space="preserve">) dans Province du Kongo Central, le </w:t>
      </w:r>
      <w:r w:rsidRPr="00114059">
        <w:rPr>
          <w:rFonts w:cs="Arial"/>
          <w:color w:val="4D5156"/>
          <w:szCs w:val="21"/>
          <w:shd w:val="clear" w:color="auto" w:fill="FFFFFF"/>
        </w:rPr>
        <w:t>Projet d'appui à la réhabilitation et la relance du secteur agricole (PICS) dans les Provinces du Kwilu et Kongo Central</w:t>
      </w:r>
      <w:r w:rsidRPr="00114059">
        <w:rPr>
          <w:szCs w:val="21"/>
        </w:rPr>
        <w:t xml:space="preserve">, </w:t>
      </w:r>
      <w:r w:rsidRPr="00114059">
        <w:rPr>
          <w:rFonts w:cs="Arial"/>
          <w:szCs w:val="21"/>
        </w:rPr>
        <w:t>Projet d’Inclusion Productive (PIP) dans la Province du Kwilu,</w:t>
      </w:r>
      <w:r w:rsidRPr="00114059">
        <w:rPr>
          <w:szCs w:val="21"/>
        </w:rPr>
        <w:t xml:space="preserve"> etc. </w:t>
      </w:r>
      <w:r w:rsidRPr="00114059">
        <w:rPr>
          <w:b/>
          <w:i/>
          <w:szCs w:val="21"/>
        </w:rPr>
        <w:t>La borne « futur »</w:t>
      </w:r>
      <w:r w:rsidRPr="00114059">
        <w:rPr>
          <w:szCs w:val="21"/>
        </w:rPr>
        <w:t xml:space="preserve"> a été fixée à quinze (15) ans. Cette période correspond avec la durée du Programme PNDA, car au-delà de cette limite, il est difficile de déterminer avec précision quels seront les projets (activités concrètes). Ainsi, les limites temporelles pour l’évaluation des effets cumulatifs de ce projet s’étendent de 2010 à 2035. Il est important de mentionner que cet interval de temps demeure flexible, en fonction des informations disponibles pour chacun des projets retenus. En effet, comme il a été mentionné précédemment, l’évaluation des effets cumulatifs devient de plus en plus incertaine au fur et à mesure que l’intervalle de temps entre les limites « passé » et « futur » grandit.</w:t>
      </w:r>
    </w:p>
    <w:p w14:paraId="437F1CC2" w14:textId="77777777" w:rsidR="009021F1" w:rsidRPr="00114059" w:rsidRDefault="009021F1" w:rsidP="009021F1">
      <w:pPr>
        <w:rPr>
          <w:szCs w:val="21"/>
        </w:rPr>
      </w:pPr>
    </w:p>
    <w:p w14:paraId="7E7F0F05" w14:textId="77777777" w:rsidR="009021F1" w:rsidRPr="00114059" w:rsidRDefault="009021F1" w:rsidP="009021F1">
      <w:pPr>
        <w:rPr>
          <w:b/>
          <w:i/>
          <w:szCs w:val="21"/>
        </w:rPr>
      </w:pPr>
      <w:r w:rsidRPr="00114059">
        <w:rPr>
          <w:b/>
          <w:i/>
          <w:szCs w:val="21"/>
        </w:rPr>
        <w:t>Identification des Projets/activités concrets réalisées dans le passé ou en cours</w:t>
      </w:r>
    </w:p>
    <w:p w14:paraId="6B703D22" w14:textId="77777777" w:rsidR="009021F1" w:rsidRPr="00114059" w:rsidRDefault="009021F1" w:rsidP="009021F1">
      <w:pPr>
        <w:rPr>
          <w:szCs w:val="21"/>
        </w:rPr>
      </w:pPr>
    </w:p>
    <w:p w14:paraId="4BE6272E" w14:textId="77777777" w:rsidR="009021F1" w:rsidRPr="00114059" w:rsidRDefault="009021F1" w:rsidP="009021F1">
      <w:pPr>
        <w:rPr>
          <w:szCs w:val="21"/>
        </w:rPr>
      </w:pPr>
      <w:r w:rsidRPr="00114059">
        <w:rPr>
          <w:szCs w:val="21"/>
        </w:rPr>
        <w:t>Quelques projets passés et/ou en cours identifiés dans les cinq provinces concernées par le Programme PNDA sont </w:t>
      </w:r>
      <w:r>
        <w:rPr>
          <w:szCs w:val="21"/>
        </w:rPr>
        <w:t>dans le tableau ci-dessous.</w:t>
      </w:r>
    </w:p>
    <w:p w14:paraId="61D99BEF" w14:textId="77777777" w:rsidR="009021F1" w:rsidRDefault="009021F1" w:rsidP="009021F1">
      <w:pPr>
        <w:pStyle w:val="Paragraphedeliste"/>
        <w:rPr>
          <w:szCs w:val="21"/>
        </w:rPr>
      </w:pPr>
    </w:p>
    <w:p w14:paraId="57B56545" w14:textId="77777777" w:rsidR="00E637E3" w:rsidRDefault="00E637E3" w:rsidP="009021F1">
      <w:pPr>
        <w:pStyle w:val="Paragraphedeliste"/>
        <w:rPr>
          <w:szCs w:val="21"/>
        </w:rPr>
      </w:pPr>
    </w:p>
    <w:p w14:paraId="0A31B681" w14:textId="77777777" w:rsidR="00E637E3" w:rsidRDefault="00E637E3" w:rsidP="009021F1">
      <w:pPr>
        <w:pStyle w:val="Paragraphedeliste"/>
        <w:rPr>
          <w:szCs w:val="21"/>
        </w:rPr>
        <w:sectPr w:rsidR="00E637E3" w:rsidSect="00E637E3">
          <w:footerReference w:type="even" r:id="rId99"/>
          <w:footerReference w:type="default" r:id="rId100"/>
          <w:pgSz w:w="11906" w:h="16838"/>
          <w:pgMar w:top="1134" w:right="1418" w:bottom="1134" w:left="1418" w:header="567" w:footer="328" w:gutter="0"/>
          <w:cols w:space="708"/>
          <w:docGrid w:linePitch="360"/>
        </w:sectPr>
      </w:pPr>
    </w:p>
    <w:p w14:paraId="4A4595E4" w14:textId="15EFF801" w:rsidR="009021F1" w:rsidRPr="008709A1" w:rsidRDefault="009021F1" w:rsidP="009021F1">
      <w:pPr>
        <w:rPr>
          <w:rFonts w:cs="Arial"/>
          <w:szCs w:val="21"/>
        </w:rPr>
      </w:pPr>
      <w:r w:rsidRPr="008709A1">
        <w:rPr>
          <w:rFonts w:cs="Arial"/>
          <w:szCs w:val="21"/>
        </w:rPr>
        <w:t xml:space="preserve">Tableau </w:t>
      </w:r>
      <w:r w:rsidRPr="008709A1">
        <w:rPr>
          <w:rFonts w:cs="Arial"/>
          <w:szCs w:val="21"/>
        </w:rPr>
        <w:fldChar w:fldCharType="begin"/>
      </w:r>
      <w:r w:rsidRPr="008709A1">
        <w:rPr>
          <w:rFonts w:cs="Arial"/>
          <w:szCs w:val="21"/>
        </w:rPr>
        <w:instrText xml:space="preserve"> SEQ Tableau \* ARABIC </w:instrText>
      </w:r>
      <w:r w:rsidRPr="008709A1">
        <w:rPr>
          <w:rFonts w:cs="Arial"/>
          <w:szCs w:val="21"/>
        </w:rPr>
        <w:fldChar w:fldCharType="separate"/>
      </w:r>
      <w:r w:rsidRPr="008709A1">
        <w:rPr>
          <w:rFonts w:cs="Arial"/>
          <w:noProof/>
          <w:szCs w:val="21"/>
        </w:rPr>
        <w:t>23</w:t>
      </w:r>
      <w:r w:rsidRPr="008709A1">
        <w:rPr>
          <w:rFonts w:cs="Arial"/>
          <w:szCs w:val="21"/>
        </w:rPr>
        <w:fldChar w:fldCharType="end"/>
      </w:r>
      <w:r w:rsidRPr="008709A1">
        <w:rPr>
          <w:rFonts w:cs="Arial"/>
          <w:szCs w:val="21"/>
        </w:rPr>
        <w:t xml:space="preserve">. Autres projets ou activités dans la zone d’influence du projet </w:t>
      </w:r>
    </w:p>
    <w:tbl>
      <w:tblPr>
        <w:tblW w:w="15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4"/>
        <w:gridCol w:w="5988"/>
        <w:gridCol w:w="2049"/>
        <w:gridCol w:w="1636"/>
        <w:gridCol w:w="2790"/>
      </w:tblGrid>
      <w:tr w:rsidR="009021F1" w:rsidRPr="00E637E3" w14:paraId="209CA873" w14:textId="77777777" w:rsidTr="00E637E3">
        <w:tc>
          <w:tcPr>
            <w:tcW w:w="2654" w:type="dxa"/>
            <w:shd w:val="clear" w:color="auto" w:fill="auto"/>
          </w:tcPr>
          <w:p w14:paraId="6A942404" w14:textId="77777777" w:rsidR="009021F1" w:rsidRPr="00E637E3" w:rsidRDefault="009021F1" w:rsidP="00E637E3">
            <w:pPr>
              <w:jc w:val="center"/>
              <w:rPr>
                <w:rFonts w:cs="Arial"/>
                <w:sz w:val="24"/>
                <w:szCs w:val="24"/>
              </w:rPr>
            </w:pPr>
            <w:r w:rsidRPr="00E637E3">
              <w:rPr>
                <w:rFonts w:cs="Arial"/>
                <w:sz w:val="24"/>
                <w:szCs w:val="24"/>
              </w:rPr>
              <w:t>Projet/activité</w:t>
            </w:r>
          </w:p>
        </w:tc>
        <w:tc>
          <w:tcPr>
            <w:tcW w:w="5988" w:type="dxa"/>
            <w:shd w:val="clear" w:color="auto" w:fill="auto"/>
          </w:tcPr>
          <w:p w14:paraId="5036A5A3" w14:textId="77777777" w:rsidR="009021F1" w:rsidRPr="00E637E3" w:rsidRDefault="009021F1" w:rsidP="00E637E3">
            <w:pPr>
              <w:jc w:val="center"/>
              <w:rPr>
                <w:rFonts w:cs="Arial"/>
                <w:sz w:val="24"/>
                <w:szCs w:val="24"/>
              </w:rPr>
            </w:pPr>
            <w:r w:rsidRPr="00E637E3">
              <w:rPr>
                <w:rFonts w:cs="Arial"/>
                <w:sz w:val="24"/>
                <w:szCs w:val="24"/>
              </w:rPr>
              <w:t>Brève description</w:t>
            </w:r>
          </w:p>
        </w:tc>
        <w:tc>
          <w:tcPr>
            <w:tcW w:w="2049" w:type="dxa"/>
            <w:shd w:val="clear" w:color="auto" w:fill="auto"/>
          </w:tcPr>
          <w:p w14:paraId="5B7D458A" w14:textId="77777777" w:rsidR="009021F1" w:rsidRPr="00E637E3" w:rsidRDefault="009021F1" w:rsidP="00E637E3">
            <w:pPr>
              <w:jc w:val="center"/>
              <w:rPr>
                <w:rFonts w:cs="Arial"/>
                <w:sz w:val="24"/>
                <w:szCs w:val="24"/>
              </w:rPr>
            </w:pPr>
            <w:r w:rsidRPr="00E637E3">
              <w:rPr>
                <w:rFonts w:cs="Arial"/>
                <w:sz w:val="24"/>
                <w:szCs w:val="24"/>
              </w:rPr>
              <w:t>Statut/ Probabilité</w:t>
            </w:r>
          </w:p>
        </w:tc>
        <w:tc>
          <w:tcPr>
            <w:tcW w:w="1636" w:type="dxa"/>
            <w:shd w:val="clear" w:color="auto" w:fill="auto"/>
          </w:tcPr>
          <w:p w14:paraId="6FE1AB7A" w14:textId="77777777" w:rsidR="009021F1" w:rsidRPr="00E637E3" w:rsidRDefault="009021F1" w:rsidP="00E637E3">
            <w:pPr>
              <w:jc w:val="center"/>
              <w:rPr>
                <w:rFonts w:cs="Arial"/>
                <w:sz w:val="24"/>
                <w:szCs w:val="24"/>
              </w:rPr>
            </w:pPr>
            <w:r w:rsidRPr="00E637E3">
              <w:rPr>
                <w:rFonts w:cs="Arial"/>
                <w:sz w:val="24"/>
                <w:szCs w:val="24"/>
              </w:rPr>
              <w:t>Proximité avec le projet</w:t>
            </w:r>
          </w:p>
        </w:tc>
        <w:tc>
          <w:tcPr>
            <w:tcW w:w="2790" w:type="dxa"/>
            <w:shd w:val="clear" w:color="auto" w:fill="auto"/>
          </w:tcPr>
          <w:p w14:paraId="3F7C5A30" w14:textId="77777777" w:rsidR="009021F1" w:rsidRPr="00E637E3" w:rsidRDefault="009021F1" w:rsidP="00E637E3">
            <w:pPr>
              <w:jc w:val="center"/>
              <w:rPr>
                <w:rFonts w:cs="Arial"/>
                <w:sz w:val="24"/>
                <w:szCs w:val="24"/>
              </w:rPr>
            </w:pPr>
            <w:r w:rsidRPr="00E637E3">
              <w:rPr>
                <w:rFonts w:cs="Arial"/>
                <w:sz w:val="24"/>
                <w:szCs w:val="24"/>
              </w:rPr>
              <w:t>Risques/impacts E&amp;S</w:t>
            </w:r>
          </w:p>
        </w:tc>
      </w:tr>
      <w:tr w:rsidR="009021F1" w:rsidRPr="00E637E3" w14:paraId="4454747F" w14:textId="77777777" w:rsidTr="00E637E3">
        <w:tc>
          <w:tcPr>
            <w:tcW w:w="2654" w:type="dxa"/>
            <w:shd w:val="clear" w:color="auto" w:fill="auto"/>
          </w:tcPr>
          <w:p w14:paraId="34F7026B" w14:textId="77777777" w:rsidR="009021F1" w:rsidRPr="00E637E3" w:rsidRDefault="009021F1" w:rsidP="00E637E3">
            <w:pPr>
              <w:rPr>
                <w:rFonts w:cs="Arial"/>
                <w:sz w:val="24"/>
                <w:szCs w:val="24"/>
              </w:rPr>
            </w:pPr>
            <w:r w:rsidRPr="00E637E3">
              <w:rPr>
                <w:rFonts w:cs="Arial"/>
                <w:sz w:val="24"/>
                <w:szCs w:val="24"/>
              </w:rPr>
              <w:t>Projet pour la Stabilisation de l'Est pour la Paix (STEP 1 sous la coordination du Fonds Social de la République)</w:t>
            </w:r>
          </w:p>
        </w:tc>
        <w:tc>
          <w:tcPr>
            <w:tcW w:w="5988" w:type="dxa"/>
            <w:shd w:val="clear" w:color="auto" w:fill="auto"/>
          </w:tcPr>
          <w:p w14:paraId="03249705" w14:textId="77777777" w:rsidR="009021F1" w:rsidRPr="00E637E3" w:rsidRDefault="009021F1" w:rsidP="00E637E3">
            <w:pPr>
              <w:rPr>
                <w:rFonts w:cs="Arial"/>
                <w:sz w:val="24"/>
                <w:szCs w:val="24"/>
              </w:rPr>
            </w:pPr>
            <w:r w:rsidRPr="00E637E3">
              <w:rPr>
                <w:rFonts w:cs="Arial"/>
                <w:sz w:val="24"/>
                <w:szCs w:val="24"/>
              </w:rPr>
              <w:t>Financé par la Banque mondiale (BM) à la hauteur de 79,1 millions de dollars américains jusque juin 2018, ce programme de développement entend contribuer aux efforts de stabilisation et de consolidation de la paix entrepris par le gouvernement congolais dans le cadre du programme STAREC (stabilisation par la réduction des risques de conflits) avec l’appui de la communauté internationale depuis 2009</w:t>
            </w:r>
          </w:p>
        </w:tc>
        <w:tc>
          <w:tcPr>
            <w:tcW w:w="2049" w:type="dxa"/>
            <w:shd w:val="clear" w:color="auto" w:fill="auto"/>
          </w:tcPr>
          <w:p w14:paraId="2DC24D9F" w14:textId="77777777" w:rsidR="009021F1" w:rsidRPr="00E637E3" w:rsidRDefault="009021F1" w:rsidP="00E637E3">
            <w:pPr>
              <w:rPr>
                <w:rFonts w:cs="Arial"/>
                <w:sz w:val="24"/>
                <w:szCs w:val="24"/>
              </w:rPr>
            </w:pPr>
            <w:r w:rsidRPr="00E637E3">
              <w:rPr>
                <w:rFonts w:cs="Arial"/>
                <w:sz w:val="24"/>
                <w:szCs w:val="24"/>
              </w:rPr>
              <w:t>Projet clôturé</w:t>
            </w:r>
          </w:p>
        </w:tc>
        <w:tc>
          <w:tcPr>
            <w:tcW w:w="1636" w:type="dxa"/>
            <w:shd w:val="clear" w:color="auto" w:fill="auto"/>
          </w:tcPr>
          <w:p w14:paraId="12288616" w14:textId="77777777" w:rsidR="009021F1" w:rsidRPr="00E637E3" w:rsidRDefault="009021F1" w:rsidP="00E637E3">
            <w:pPr>
              <w:jc w:val="left"/>
              <w:rPr>
                <w:rFonts w:cs="Arial"/>
                <w:sz w:val="24"/>
                <w:szCs w:val="24"/>
              </w:rPr>
            </w:pPr>
            <w:r w:rsidRPr="00E637E3">
              <w:rPr>
                <w:rFonts w:cs="Arial"/>
                <w:sz w:val="24"/>
                <w:szCs w:val="24"/>
              </w:rPr>
              <w:t>Chevauche la zone d'étude du PNDA dans la Province du Nord-Kivu.</w:t>
            </w:r>
          </w:p>
        </w:tc>
        <w:tc>
          <w:tcPr>
            <w:tcW w:w="2790" w:type="dxa"/>
            <w:vMerge w:val="restart"/>
            <w:shd w:val="clear" w:color="auto" w:fill="auto"/>
          </w:tcPr>
          <w:p w14:paraId="37ACC2C0" w14:textId="77777777" w:rsidR="009021F1" w:rsidRPr="00E637E3" w:rsidRDefault="009021F1" w:rsidP="00E637E3">
            <w:pPr>
              <w:ind w:left="176"/>
              <w:rPr>
                <w:rFonts w:cs="Arial"/>
                <w:sz w:val="24"/>
                <w:szCs w:val="24"/>
              </w:rPr>
            </w:pPr>
          </w:p>
          <w:p w14:paraId="79B80189" w14:textId="77777777" w:rsidR="009021F1" w:rsidRPr="00E637E3" w:rsidRDefault="009021F1" w:rsidP="00E637E3">
            <w:pPr>
              <w:ind w:left="176"/>
              <w:rPr>
                <w:rFonts w:cs="Arial"/>
                <w:sz w:val="24"/>
                <w:szCs w:val="24"/>
              </w:rPr>
            </w:pPr>
          </w:p>
          <w:p w14:paraId="231FD10B" w14:textId="77777777" w:rsidR="009021F1" w:rsidRPr="00E637E3" w:rsidRDefault="009021F1" w:rsidP="00E637E3">
            <w:pPr>
              <w:ind w:left="176"/>
              <w:rPr>
                <w:rFonts w:cs="Arial"/>
                <w:sz w:val="24"/>
                <w:szCs w:val="24"/>
              </w:rPr>
            </w:pPr>
          </w:p>
          <w:p w14:paraId="16A3589B" w14:textId="77777777" w:rsidR="009021F1" w:rsidRPr="00E637E3" w:rsidRDefault="009021F1" w:rsidP="00E637E3">
            <w:pPr>
              <w:ind w:left="176"/>
              <w:rPr>
                <w:rFonts w:cs="Arial"/>
                <w:sz w:val="24"/>
                <w:szCs w:val="24"/>
              </w:rPr>
            </w:pPr>
          </w:p>
          <w:p w14:paraId="138B0256" w14:textId="77777777" w:rsidR="009021F1" w:rsidRPr="00E637E3" w:rsidRDefault="009021F1" w:rsidP="00E637E3">
            <w:pPr>
              <w:ind w:left="176"/>
              <w:rPr>
                <w:rFonts w:cs="Arial"/>
                <w:sz w:val="24"/>
                <w:szCs w:val="24"/>
              </w:rPr>
            </w:pPr>
          </w:p>
          <w:p w14:paraId="56E5506B" w14:textId="77777777" w:rsidR="009021F1" w:rsidRPr="00E637E3" w:rsidRDefault="009021F1" w:rsidP="00E637E3">
            <w:pPr>
              <w:ind w:left="176"/>
              <w:rPr>
                <w:rFonts w:cs="Arial"/>
                <w:sz w:val="24"/>
                <w:szCs w:val="24"/>
              </w:rPr>
            </w:pPr>
          </w:p>
          <w:p w14:paraId="364AF509" w14:textId="77777777" w:rsidR="009021F1" w:rsidRPr="00E637E3" w:rsidRDefault="009021F1" w:rsidP="00E637E3">
            <w:pPr>
              <w:ind w:left="176"/>
              <w:rPr>
                <w:rFonts w:cs="Arial"/>
                <w:sz w:val="24"/>
                <w:szCs w:val="24"/>
              </w:rPr>
            </w:pPr>
          </w:p>
          <w:p w14:paraId="74A71DC7" w14:textId="77777777" w:rsidR="009021F1" w:rsidRPr="00E637E3" w:rsidRDefault="009021F1" w:rsidP="00E637E3">
            <w:pPr>
              <w:ind w:left="176"/>
              <w:rPr>
                <w:rFonts w:cs="Arial"/>
                <w:sz w:val="24"/>
                <w:szCs w:val="24"/>
              </w:rPr>
            </w:pPr>
          </w:p>
          <w:p w14:paraId="4A2E4E62" w14:textId="77777777" w:rsidR="009021F1" w:rsidRPr="00E637E3" w:rsidRDefault="009021F1" w:rsidP="00E637E3">
            <w:pPr>
              <w:ind w:left="176"/>
              <w:rPr>
                <w:rFonts w:cs="Arial"/>
                <w:sz w:val="24"/>
                <w:szCs w:val="24"/>
              </w:rPr>
            </w:pPr>
          </w:p>
          <w:p w14:paraId="6D81DF70" w14:textId="77777777" w:rsidR="009021F1" w:rsidRPr="00E637E3" w:rsidRDefault="009021F1" w:rsidP="00E637E3">
            <w:pPr>
              <w:ind w:left="176"/>
              <w:rPr>
                <w:rFonts w:cs="Arial"/>
                <w:sz w:val="24"/>
                <w:szCs w:val="24"/>
              </w:rPr>
            </w:pPr>
          </w:p>
          <w:p w14:paraId="2A65C3B9" w14:textId="77777777" w:rsidR="009021F1" w:rsidRPr="00E637E3" w:rsidRDefault="009021F1" w:rsidP="00E637E3">
            <w:pPr>
              <w:ind w:left="176"/>
              <w:rPr>
                <w:rFonts w:cs="Arial"/>
                <w:sz w:val="24"/>
                <w:szCs w:val="24"/>
              </w:rPr>
            </w:pPr>
          </w:p>
          <w:p w14:paraId="1D1269C0" w14:textId="77777777" w:rsidR="009021F1" w:rsidRPr="00E637E3" w:rsidRDefault="009021F1" w:rsidP="00E637E3">
            <w:pPr>
              <w:ind w:left="176"/>
              <w:rPr>
                <w:rFonts w:cs="Arial"/>
                <w:sz w:val="24"/>
                <w:szCs w:val="24"/>
              </w:rPr>
            </w:pPr>
          </w:p>
          <w:p w14:paraId="666FA08C" w14:textId="77777777" w:rsidR="009021F1" w:rsidRPr="00E637E3" w:rsidRDefault="009021F1" w:rsidP="00E637E3">
            <w:pPr>
              <w:ind w:left="176"/>
              <w:rPr>
                <w:rFonts w:cs="Arial"/>
                <w:sz w:val="24"/>
                <w:szCs w:val="24"/>
              </w:rPr>
            </w:pPr>
          </w:p>
          <w:p w14:paraId="636F04BB" w14:textId="77777777" w:rsidR="009021F1" w:rsidRPr="00E637E3" w:rsidRDefault="009021F1" w:rsidP="00E637E3">
            <w:pPr>
              <w:ind w:left="176"/>
              <w:rPr>
                <w:rFonts w:cs="Arial"/>
                <w:sz w:val="24"/>
                <w:szCs w:val="24"/>
              </w:rPr>
            </w:pPr>
          </w:p>
          <w:p w14:paraId="35156D06" w14:textId="77777777" w:rsidR="009021F1" w:rsidRPr="00E637E3" w:rsidRDefault="009021F1" w:rsidP="00E637E3">
            <w:pPr>
              <w:ind w:left="176"/>
              <w:rPr>
                <w:rFonts w:cs="Arial"/>
                <w:sz w:val="24"/>
                <w:szCs w:val="24"/>
              </w:rPr>
            </w:pPr>
          </w:p>
          <w:p w14:paraId="12045906" w14:textId="77777777" w:rsidR="009021F1" w:rsidRPr="00E637E3" w:rsidRDefault="009021F1" w:rsidP="00E637E3">
            <w:pPr>
              <w:ind w:left="176"/>
              <w:rPr>
                <w:rFonts w:cs="Arial"/>
                <w:sz w:val="24"/>
                <w:szCs w:val="24"/>
              </w:rPr>
            </w:pPr>
          </w:p>
          <w:p w14:paraId="4BD7E67D" w14:textId="77777777" w:rsidR="009021F1" w:rsidRPr="00E637E3" w:rsidRDefault="009021F1" w:rsidP="00E637E3">
            <w:pPr>
              <w:ind w:left="176"/>
              <w:rPr>
                <w:rFonts w:cs="Arial"/>
                <w:sz w:val="24"/>
                <w:szCs w:val="24"/>
              </w:rPr>
            </w:pPr>
          </w:p>
          <w:p w14:paraId="34B222CD" w14:textId="77777777" w:rsidR="009021F1" w:rsidRPr="00E637E3" w:rsidRDefault="009021F1" w:rsidP="00E637E3">
            <w:pPr>
              <w:ind w:left="176"/>
              <w:rPr>
                <w:rFonts w:cs="Arial"/>
                <w:sz w:val="24"/>
                <w:szCs w:val="24"/>
              </w:rPr>
            </w:pPr>
          </w:p>
          <w:p w14:paraId="30EDE0B3" w14:textId="77777777" w:rsidR="009021F1" w:rsidRPr="00E637E3" w:rsidRDefault="009021F1" w:rsidP="00E637E3">
            <w:pPr>
              <w:ind w:left="176"/>
              <w:rPr>
                <w:rFonts w:cs="Arial"/>
                <w:sz w:val="24"/>
                <w:szCs w:val="24"/>
              </w:rPr>
            </w:pPr>
          </w:p>
          <w:p w14:paraId="30D1FEC8" w14:textId="77777777" w:rsidR="009021F1" w:rsidRPr="00E637E3" w:rsidRDefault="009021F1" w:rsidP="00E637E3">
            <w:pPr>
              <w:numPr>
                <w:ilvl w:val="0"/>
                <w:numId w:val="97"/>
              </w:numPr>
              <w:ind w:left="176" w:hanging="176"/>
              <w:jc w:val="left"/>
              <w:rPr>
                <w:rFonts w:cs="Arial"/>
                <w:sz w:val="24"/>
                <w:szCs w:val="24"/>
              </w:rPr>
            </w:pPr>
            <w:r w:rsidRPr="00E637E3">
              <w:rPr>
                <w:rFonts w:cs="Arial"/>
                <w:sz w:val="24"/>
                <w:szCs w:val="24"/>
              </w:rPr>
              <w:t>Risque de Pollution atmosphérique et sonore suite à la circulation des engins et véhicules</w:t>
            </w:r>
          </w:p>
          <w:p w14:paraId="03280AA3" w14:textId="77777777" w:rsidR="009021F1" w:rsidRPr="00E637E3" w:rsidRDefault="009021F1" w:rsidP="00E637E3">
            <w:pPr>
              <w:numPr>
                <w:ilvl w:val="0"/>
                <w:numId w:val="97"/>
              </w:numPr>
              <w:ind w:left="176" w:hanging="176"/>
              <w:jc w:val="left"/>
              <w:rPr>
                <w:rFonts w:cs="Arial"/>
                <w:sz w:val="24"/>
                <w:szCs w:val="24"/>
              </w:rPr>
            </w:pPr>
            <w:r w:rsidRPr="00E637E3">
              <w:rPr>
                <w:rFonts w:cs="Arial"/>
                <w:sz w:val="24"/>
                <w:szCs w:val="24"/>
              </w:rPr>
              <w:t>Risque de la pollution du sol suite au déversement accidentel des hydrocarbures</w:t>
            </w:r>
          </w:p>
          <w:p w14:paraId="322CC9BC" w14:textId="77777777" w:rsidR="009021F1" w:rsidRPr="00E637E3" w:rsidRDefault="009021F1" w:rsidP="00E637E3">
            <w:pPr>
              <w:numPr>
                <w:ilvl w:val="0"/>
                <w:numId w:val="97"/>
              </w:numPr>
              <w:ind w:left="176" w:hanging="176"/>
              <w:jc w:val="left"/>
              <w:rPr>
                <w:rFonts w:cs="Arial"/>
                <w:sz w:val="24"/>
                <w:szCs w:val="24"/>
              </w:rPr>
            </w:pPr>
            <w:r w:rsidRPr="00E637E3">
              <w:rPr>
                <w:rFonts w:cs="Arial"/>
                <w:sz w:val="24"/>
                <w:szCs w:val="24"/>
              </w:rPr>
              <w:t xml:space="preserve">Risque de pression foncière tant dans les zones occupées par les bantus que celles des populations autochtones </w:t>
            </w:r>
          </w:p>
          <w:p w14:paraId="7B4405D1" w14:textId="77777777" w:rsidR="009021F1" w:rsidRPr="00E637E3" w:rsidRDefault="009021F1" w:rsidP="00E637E3">
            <w:pPr>
              <w:numPr>
                <w:ilvl w:val="0"/>
                <w:numId w:val="97"/>
              </w:numPr>
              <w:ind w:left="176" w:hanging="176"/>
              <w:jc w:val="left"/>
              <w:rPr>
                <w:rFonts w:cs="Arial"/>
                <w:sz w:val="24"/>
                <w:szCs w:val="24"/>
              </w:rPr>
            </w:pPr>
            <w:r w:rsidRPr="00E637E3">
              <w:rPr>
                <w:rFonts w:cs="Arial"/>
                <w:sz w:val="24"/>
                <w:szCs w:val="24"/>
              </w:rPr>
              <w:t xml:space="preserve">Risque d’expansion du domaine agricole et de perte de biodiversité  </w:t>
            </w:r>
          </w:p>
          <w:p w14:paraId="7BA00F92" w14:textId="77777777" w:rsidR="009021F1" w:rsidRPr="00E637E3" w:rsidRDefault="009021F1" w:rsidP="00E637E3">
            <w:pPr>
              <w:numPr>
                <w:ilvl w:val="0"/>
                <w:numId w:val="97"/>
              </w:numPr>
              <w:ind w:left="176" w:hanging="176"/>
              <w:jc w:val="left"/>
              <w:rPr>
                <w:rFonts w:cs="Arial"/>
                <w:sz w:val="24"/>
                <w:szCs w:val="24"/>
              </w:rPr>
            </w:pPr>
            <w:r w:rsidRPr="00E637E3">
              <w:rPr>
                <w:rFonts w:cs="Arial"/>
                <w:sz w:val="24"/>
                <w:szCs w:val="24"/>
              </w:rPr>
              <w:t>Risque de la turbidité de l’eau de surface suite au déversement accidentel des hydrocarbures</w:t>
            </w:r>
          </w:p>
          <w:p w14:paraId="46823C90" w14:textId="77777777" w:rsidR="009021F1" w:rsidRPr="00E637E3" w:rsidRDefault="009021F1" w:rsidP="00E637E3">
            <w:pPr>
              <w:numPr>
                <w:ilvl w:val="0"/>
                <w:numId w:val="97"/>
              </w:numPr>
              <w:ind w:left="176" w:hanging="176"/>
              <w:rPr>
                <w:rFonts w:cs="Arial"/>
                <w:sz w:val="24"/>
                <w:szCs w:val="24"/>
              </w:rPr>
            </w:pPr>
            <w:r w:rsidRPr="00E637E3">
              <w:rPr>
                <w:rFonts w:cs="Arial"/>
                <w:sz w:val="24"/>
                <w:szCs w:val="24"/>
              </w:rPr>
              <w:t xml:space="preserve">Réinstallation involontaire et/ou perte de propriété </w:t>
            </w:r>
          </w:p>
          <w:p w14:paraId="0D5A4924" w14:textId="77777777" w:rsidR="009021F1" w:rsidRPr="00E637E3" w:rsidRDefault="009021F1" w:rsidP="00E637E3">
            <w:pPr>
              <w:numPr>
                <w:ilvl w:val="0"/>
                <w:numId w:val="97"/>
              </w:numPr>
              <w:ind w:left="176" w:hanging="176"/>
              <w:jc w:val="left"/>
              <w:rPr>
                <w:rFonts w:cs="Arial"/>
                <w:sz w:val="24"/>
                <w:szCs w:val="24"/>
              </w:rPr>
            </w:pPr>
            <w:r w:rsidRPr="00E637E3">
              <w:rPr>
                <w:rFonts w:cs="Arial"/>
                <w:sz w:val="24"/>
                <w:szCs w:val="24"/>
              </w:rPr>
              <w:t>Accidents pendant les travaux d’aménagement d’infrastructures</w:t>
            </w:r>
          </w:p>
          <w:p w14:paraId="5BB4A1F9" w14:textId="77777777" w:rsidR="009021F1" w:rsidRPr="00E637E3" w:rsidRDefault="009021F1" w:rsidP="00E637E3">
            <w:pPr>
              <w:numPr>
                <w:ilvl w:val="0"/>
                <w:numId w:val="97"/>
              </w:numPr>
              <w:ind w:left="176" w:hanging="176"/>
              <w:jc w:val="left"/>
              <w:rPr>
                <w:rFonts w:cs="Arial"/>
                <w:sz w:val="24"/>
                <w:szCs w:val="24"/>
              </w:rPr>
            </w:pPr>
            <w:r w:rsidRPr="00E637E3">
              <w:rPr>
                <w:rFonts w:cs="Arial"/>
                <w:sz w:val="24"/>
                <w:szCs w:val="24"/>
              </w:rPr>
              <w:t>Risque d’insécurité causé par les groupes armés dans la région du Nord-Kivu</w:t>
            </w:r>
          </w:p>
          <w:p w14:paraId="3BB6BAA1" w14:textId="77777777" w:rsidR="009021F1" w:rsidRPr="00E637E3" w:rsidRDefault="009021F1" w:rsidP="00E637E3">
            <w:pPr>
              <w:numPr>
                <w:ilvl w:val="0"/>
                <w:numId w:val="97"/>
              </w:numPr>
              <w:ind w:left="176" w:hanging="176"/>
              <w:rPr>
                <w:rFonts w:cs="Arial"/>
                <w:sz w:val="24"/>
                <w:szCs w:val="24"/>
              </w:rPr>
            </w:pPr>
            <w:r w:rsidRPr="00E637E3">
              <w:rPr>
                <w:rFonts w:cs="Arial"/>
                <w:sz w:val="24"/>
                <w:szCs w:val="24"/>
              </w:rPr>
              <w:t>Risque d’EAS/HS</w:t>
            </w:r>
          </w:p>
          <w:p w14:paraId="6C227EEA" w14:textId="77777777" w:rsidR="009021F1" w:rsidRPr="00E637E3" w:rsidRDefault="009021F1" w:rsidP="00E637E3">
            <w:pPr>
              <w:numPr>
                <w:ilvl w:val="0"/>
                <w:numId w:val="97"/>
              </w:numPr>
              <w:ind w:left="176" w:hanging="176"/>
              <w:rPr>
                <w:rFonts w:cs="Arial"/>
                <w:sz w:val="24"/>
                <w:szCs w:val="24"/>
              </w:rPr>
            </w:pPr>
            <w:r w:rsidRPr="00E637E3">
              <w:rPr>
                <w:rFonts w:cs="Arial"/>
                <w:sz w:val="24"/>
                <w:szCs w:val="24"/>
              </w:rPr>
              <w:t>Risque de contamination de la COVID-19 et Ebola au Nord-Kivu</w:t>
            </w:r>
          </w:p>
          <w:p w14:paraId="026BBB57" w14:textId="77777777" w:rsidR="009021F1" w:rsidRPr="00E637E3" w:rsidRDefault="009021F1" w:rsidP="00E637E3">
            <w:pPr>
              <w:numPr>
                <w:ilvl w:val="0"/>
                <w:numId w:val="97"/>
              </w:numPr>
              <w:ind w:left="176" w:hanging="176"/>
              <w:rPr>
                <w:rFonts w:cs="Arial"/>
                <w:sz w:val="24"/>
                <w:szCs w:val="24"/>
              </w:rPr>
            </w:pPr>
            <w:r w:rsidRPr="00E637E3">
              <w:rPr>
                <w:rFonts w:cs="Arial"/>
                <w:sz w:val="24"/>
                <w:szCs w:val="24"/>
              </w:rPr>
              <w:t>Risque de contamination aux IST et VIH-SIDA</w:t>
            </w:r>
          </w:p>
          <w:p w14:paraId="79FEB478" w14:textId="77777777" w:rsidR="009021F1" w:rsidRPr="00E637E3" w:rsidRDefault="009021F1" w:rsidP="00E637E3">
            <w:pPr>
              <w:numPr>
                <w:ilvl w:val="0"/>
                <w:numId w:val="97"/>
              </w:numPr>
              <w:ind w:left="176" w:hanging="176"/>
              <w:jc w:val="left"/>
              <w:rPr>
                <w:rFonts w:cs="Arial"/>
                <w:sz w:val="24"/>
                <w:szCs w:val="24"/>
              </w:rPr>
            </w:pPr>
            <w:r w:rsidRPr="00E637E3">
              <w:rPr>
                <w:rFonts w:cs="Arial"/>
                <w:sz w:val="24"/>
                <w:szCs w:val="24"/>
              </w:rPr>
              <w:t xml:space="preserve">Destruction du paysage naturel </w:t>
            </w:r>
          </w:p>
          <w:p w14:paraId="3B5E64D2" w14:textId="77777777" w:rsidR="009021F1" w:rsidRPr="00E637E3" w:rsidRDefault="009021F1" w:rsidP="00E637E3">
            <w:pPr>
              <w:numPr>
                <w:ilvl w:val="0"/>
                <w:numId w:val="97"/>
              </w:numPr>
              <w:ind w:left="176" w:hanging="176"/>
              <w:jc w:val="left"/>
              <w:rPr>
                <w:rFonts w:cs="Arial"/>
                <w:sz w:val="24"/>
                <w:szCs w:val="24"/>
              </w:rPr>
            </w:pPr>
            <w:r w:rsidRPr="00E637E3">
              <w:rPr>
                <w:rFonts w:cs="Arial"/>
                <w:sz w:val="24"/>
                <w:szCs w:val="24"/>
              </w:rPr>
              <w:t>Destruction des ressources historiques et culturelles</w:t>
            </w:r>
          </w:p>
          <w:p w14:paraId="2F4E9532" w14:textId="77777777" w:rsidR="009021F1" w:rsidRPr="00E637E3" w:rsidRDefault="009021F1" w:rsidP="00E637E3">
            <w:pPr>
              <w:numPr>
                <w:ilvl w:val="0"/>
                <w:numId w:val="97"/>
              </w:numPr>
              <w:ind w:left="176" w:hanging="176"/>
              <w:jc w:val="left"/>
              <w:rPr>
                <w:rFonts w:cs="Arial"/>
                <w:sz w:val="24"/>
                <w:szCs w:val="24"/>
              </w:rPr>
            </w:pPr>
            <w:r w:rsidRPr="00E637E3">
              <w:rPr>
                <w:rFonts w:cs="Arial"/>
                <w:sz w:val="24"/>
                <w:szCs w:val="24"/>
              </w:rPr>
              <w:t>Risque d’insécurité causé par les groupes armés et les terroristes Allied Democratic Forces (ADF) dans la région du Nord-Kivu</w:t>
            </w:r>
          </w:p>
          <w:p w14:paraId="74BE6EE3" w14:textId="77777777" w:rsidR="009021F1" w:rsidRPr="00E637E3" w:rsidRDefault="009021F1" w:rsidP="00E637E3">
            <w:pPr>
              <w:numPr>
                <w:ilvl w:val="0"/>
                <w:numId w:val="97"/>
              </w:numPr>
              <w:ind w:left="176" w:hanging="176"/>
              <w:jc w:val="left"/>
              <w:rPr>
                <w:rFonts w:eastAsiaTheme="minorHAnsi" w:cs="Arial"/>
                <w:sz w:val="24"/>
                <w:szCs w:val="24"/>
              </w:rPr>
            </w:pPr>
            <w:r w:rsidRPr="00E637E3">
              <w:rPr>
                <w:rFonts w:eastAsiaTheme="minorHAnsi" w:cs="Arial"/>
                <w:sz w:val="24"/>
                <w:szCs w:val="24"/>
              </w:rPr>
              <w:t xml:space="preserve">Risque d’utilisation des forces de sécurités publiques pour la sécurisation des sites (insécurité dans la Province du Nord-Kivu) </w:t>
            </w:r>
          </w:p>
          <w:p w14:paraId="48B0DE7E" w14:textId="77777777" w:rsidR="009021F1" w:rsidRPr="00E637E3" w:rsidRDefault="009021F1" w:rsidP="00E637E3">
            <w:pPr>
              <w:ind w:left="176"/>
              <w:jc w:val="left"/>
              <w:rPr>
                <w:rFonts w:cs="Arial"/>
                <w:sz w:val="24"/>
                <w:szCs w:val="24"/>
              </w:rPr>
            </w:pPr>
          </w:p>
        </w:tc>
      </w:tr>
      <w:tr w:rsidR="009021F1" w:rsidRPr="00E637E3" w14:paraId="5C8AB26D" w14:textId="77777777" w:rsidTr="00E637E3">
        <w:tc>
          <w:tcPr>
            <w:tcW w:w="2654" w:type="dxa"/>
            <w:shd w:val="clear" w:color="auto" w:fill="auto"/>
          </w:tcPr>
          <w:p w14:paraId="7705F51D" w14:textId="77777777" w:rsidR="009021F1" w:rsidRPr="00E637E3" w:rsidRDefault="009021F1" w:rsidP="00E637E3">
            <w:pPr>
              <w:rPr>
                <w:rFonts w:cs="Arial"/>
                <w:sz w:val="24"/>
                <w:szCs w:val="24"/>
              </w:rPr>
            </w:pPr>
            <w:r w:rsidRPr="00E637E3">
              <w:rPr>
                <w:rFonts w:cs="Arial"/>
                <w:sz w:val="24"/>
                <w:szCs w:val="24"/>
              </w:rPr>
              <w:t>Projet de Développement des Pôles de Croissance (PDPC) dans la Province du Kongo Central</w:t>
            </w:r>
          </w:p>
        </w:tc>
        <w:tc>
          <w:tcPr>
            <w:tcW w:w="5988" w:type="dxa"/>
            <w:shd w:val="clear" w:color="auto" w:fill="auto"/>
          </w:tcPr>
          <w:p w14:paraId="3A995697" w14:textId="77777777" w:rsidR="009021F1" w:rsidRPr="00E637E3" w:rsidRDefault="009021F1" w:rsidP="00E637E3">
            <w:pPr>
              <w:rPr>
                <w:rFonts w:cs="Arial"/>
                <w:sz w:val="24"/>
                <w:szCs w:val="24"/>
              </w:rPr>
            </w:pPr>
            <w:r w:rsidRPr="00E637E3">
              <w:rPr>
                <w:rFonts w:cs="Arial"/>
                <w:sz w:val="24"/>
                <w:szCs w:val="24"/>
              </w:rPr>
              <w:t>Le Projet financé par la Banque mondiale et coordonné par la CFEF, concerne notamment la réhabilitation d’environ 500 kilomètres de routes rurales et la construction des ouvrages d’Art définis comme prioritaires afin de faciliter l’accès et le transport des intrants et des produits, y compris l’acheminement des produits vers les lieux de transformation.</w:t>
            </w:r>
          </w:p>
          <w:p w14:paraId="279BBED7" w14:textId="77777777" w:rsidR="009021F1" w:rsidRPr="00E637E3" w:rsidRDefault="009021F1" w:rsidP="00E637E3">
            <w:pPr>
              <w:rPr>
                <w:rFonts w:cs="Arial"/>
                <w:sz w:val="24"/>
                <w:szCs w:val="24"/>
              </w:rPr>
            </w:pPr>
            <w:r w:rsidRPr="00E637E3">
              <w:rPr>
                <w:rFonts w:cs="Arial"/>
                <w:sz w:val="24"/>
                <w:szCs w:val="24"/>
              </w:rPr>
              <w:t>L’objectif de ce projet est d’augmenter la productivité et l’emploi dans les chaines de valeur des filières sélectionnées dans des zones géographiques cibles. Il couvre la période de 2013 à 2018 et devrait permettre de générer environ 11 000 emplois et d’accroitre les revenus de près de 50 000 agriculteurs.</w:t>
            </w:r>
          </w:p>
        </w:tc>
        <w:tc>
          <w:tcPr>
            <w:tcW w:w="2049" w:type="dxa"/>
            <w:shd w:val="clear" w:color="auto" w:fill="auto"/>
          </w:tcPr>
          <w:p w14:paraId="1CF50BBC" w14:textId="77777777" w:rsidR="009021F1" w:rsidRPr="00E637E3" w:rsidRDefault="009021F1" w:rsidP="00E637E3">
            <w:pPr>
              <w:rPr>
                <w:rFonts w:cs="Arial"/>
                <w:sz w:val="24"/>
                <w:szCs w:val="24"/>
              </w:rPr>
            </w:pPr>
            <w:r w:rsidRPr="00E637E3">
              <w:rPr>
                <w:rFonts w:cs="Arial"/>
                <w:sz w:val="24"/>
                <w:szCs w:val="24"/>
              </w:rPr>
              <w:t>Projet clôturé</w:t>
            </w:r>
          </w:p>
        </w:tc>
        <w:tc>
          <w:tcPr>
            <w:tcW w:w="1636" w:type="dxa"/>
            <w:shd w:val="clear" w:color="auto" w:fill="auto"/>
          </w:tcPr>
          <w:p w14:paraId="7FCFE5AA" w14:textId="77777777" w:rsidR="009021F1" w:rsidRPr="00E637E3" w:rsidRDefault="009021F1" w:rsidP="00E637E3">
            <w:pPr>
              <w:rPr>
                <w:rFonts w:cs="Arial"/>
                <w:sz w:val="24"/>
                <w:szCs w:val="24"/>
              </w:rPr>
            </w:pPr>
            <w:r w:rsidRPr="00E637E3">
              <w:rPr>
                <w:rFonts w:cs="Arial"/>
                <w:sz w:val="24"/>
                <w:szCs w:val="24"/>
              </w:rPr>
              <w:t>Chevauche la zone d'étude du PNDA dans la Province du Kongo Central.</w:t>
            </w:r>
          </w:p>
        </w:tc>
        <w:tc>
          <w:tcPr>
            <w:tcW w:w="2790" w:type="dxa"/>
            <w:vMerge/>
            <w:shd w:val="clear" w:color="auto" w:fill="auto"/>
          </w:tcPr>
          <w:p w14:paraId="65AA97B4" w14:textId="77777777" w:rsidR="009021F1" w:rsidRPr="00E637E3" w:rsidRDefault="009021F1" w:rsidP="00E637E3">
            <w:pPr>
              <w:rPr>
                <w:rFonts w:cs="Arial"/>
                <w:sz w:val="24"/>
                <w:szCs w:val="24"/>
              </w:rPr>
            </w:pPr>
          </w:p>
        </w:tc>
      </w:tr>
      <w:tr w:rsidR="009021F1" w:rsidRPr="00E637E3" w14:paraId="581F04A8" w14:textId="77777777" w:rsidTr="00E637E3">
        <w:tc>
          <w:tcPr>
            <w:tcW w:w="2654" w:type="dxa"/>
            <w:shd w:val="clear" w:color="auto" w:fill="auto"/>
          </w:tcPr>
          <w:p w14:paraId="4FEBD7DD" w14:textId="77777777" w:rsidR="009021F1" w:rsidRPr="00E637E3" w:rsidRDefault="009021F1" w:rsidP="00E637E3">
            <w:pPr>
              <w:rPr>
                <w:rFonts w:cs="Arial"/>
                <w:sz w:val="24"/>
                <w:szCs w:val="24"/>
              </w:rPr>
            </w:pPr>
            <w:r w:rsidRPr="00E637E3">
              <w:rPr>
                <w:rFonts w:cs="Arial"/>
                <w:sz w:val="24"/>
                <w:szCs w:val="24"/>
              </w:rPr>
              <w:t>Projet d'Amélioration de la Sécurité à l'Aéroport de Goma (PASAG) sous la coordination de CEPTM</w:t>
            </w:r>
          </w:p>
        </w:tc>
        <w:tc>
          <w:tcPr>
            <w:tcW w:w="5988" w:type="dxa"/>
            <w:shd w:val="clear" w:color="auto" w:fill="auto"/>
          </w:tcPr>
          <w:p w14:paraId="25C51214" w14:textId="77777777" w:rsidR="009021F1" w:rsidRPr="00E637E3" w:rsidRDefault="009021F1" w:rsidP="00E637E3">
            <w:pPr>
              <w:jc w:val="left"/>
              <w:rPr>
                <w:rFonts w:cs="Arial"/>
                <w:sz w:val="24"/>
                <w:szCs w:val="24"/>
              </w:rPr>
            </w:pPr>
            <w:r w:rsidRPr="00E637E3">
              <w:rPr>
                <w:rFonts w:cs="Arial"/>
                <w:sz w:val="24"/>
                <w:szCs w:val="24"/>
              </w:rPr>
              <w:t>L’objectif de développement du projet est d’améliorer la sécurité de l’aéroport de Goma</w:t>
            </w:r>
          </w:p>
        </w:tc>
        <w:tc>
          <w:tcPr>
            <w:tcW w:w="2049" w:type="dxa"/>
            <w:shd w:val="clear" w:color="auto" w:fill="auto"/>
          </w:tcPr>
          <w:p w14:paraId="1453461C" w14:textId="77777777" w:rsidR="009021F1" w:rsidRPr="00E637E3" w:rsidRDefault="009021F1" w:rsidP="00E637E3">
            <w:pPr>
              <w:rPr>
                <w:rFonts w:cs="Arial"/>
                <w:sz w:val="24"/>
                <w:szCs w:val="24"/>
              </w:rPr>
            </w:pPr>
            <w:r w:rsidRPr="00E637E3">
              <w:rPr>
                <w:rFonts w:cs="Arial"/>
                <w:sz w:val="24"/>
                <w:szCs w:val="24"/>
              </w:rPr>
              <w:t>Projet en cours</w:t>
            </w:r>
          </w:p>
        </w:tc>
        <w:tc>
          <w:tcPr>
            <w:tcW w:w="1636" w:type="dxa"/>
            <w:shd w:val="clear" w:color="auto" w:fill="auto"/>
          </w:tcPr>
          <w:p w14:paraId="59B56687" w14:textId="77777777" w:rsidR="009021F1" w:rsidRPr="00E637E3" w:rsidRDefault="009021F1" w:rsidP="00E637E3">
            <w:pPr>
              <w:rPr>
                <w:rFonts w:cs="Arial"/>
                <w:sz w:val="24"/>
                <w:szCs w:val="24"/>
              </w:rPr>
            </w:pPr>
            <w:r w:rsidRPr="00E637E3">
              <w:rPr>
                <w:rFonts w:cs="Arial"/>
                <w:sz w:val="24"/>
                <w:szCs w:val="24"/>
              </w:rPr>
              <w:t>Chevauche le PNDA dans la Province du Nord-Kivu Ses activités non finalisées seront déversées dans PACT.</w:t>
            </w:r>
          </w:p>
        </w:tc>
        <w:tc>
          <w:tcPr>
            <w:tcW w:w="2790" w:type="dxa"/>
            <w:vMerge/>
            <w:shd w:val="clear" w:color="auto" w:fill="auto"/>
          </w:tcPr>
          <w:p w14:paraId="1F2B3864" w14:textId="77777777" w:rsidR="009021F1" w:rsidRPr="00E637E3" w:rsidRDefault="009021F1" w:rsidP="00E637E3">
            <w:pPr>
              <w:rPr>
                <w:rFonts w:cs="Arial"/>
                <w:sz w:val="24"/>
                <w:szCs w:val="24"/>
              </w:rPr>
            </w:pPr>
          </w:p>
        </w:tc>
      </w:tr>
      <w:tr w:rsidR="009021F1" w:rsidRPr="00E637E3" w14:paraId="01D0A4E1" w14:textId="77777777" w:rsidTr="00E637E3">
        <w:trPr>
          <w:trHeight w:val="1879"/>
        </w:trPr>
        <w:tc>
          <w:tcPr>
            <w:tcW w:w="2654" w:type="dxa"/>
            <w:shd w:val="clear" w:color="auto" w:fill="auto"/>
          </w:tcPr>
          <w:p w14:paraId="390280F1" w14:textId="77777777" w:rsidR="009021F1" w:rsidRPr="00E637E3" w:rsidRDefault="009021F1" w:rsidP="00E637E3">
            <w:pPr>
              <w:rPr>
                <w:rFonts w:cs="Arial"/>
                <w:sz w:val="24"/>
                <w:szCs w:val="24"/>
                <w:lang w:val="en-US"/>
              </w:rPr>
            </w:pPr>
            <w:r w:rsidRPr="00E637E3">
              <w:rPr>
                <w:rFonts w:cs="Arial"/>
                <w:sz w:val="24"/>
                <w:szCs w:val="24"/>
                <w:lang w:val="en-US"/>
              </w:rPr>
              <w:t xml:space="preserve">Projet Central African Backbone phase 5 (CAB5), </w:t>
            </w:r>
          </w:p>
        </w:tc>
        <w:tc>
          <w:tcPr>
            <w:tcW w:w="5988" w:type="dxa"/>
            <w:shd w:val="clear" w:color="auto" w:fill="auto"/>
          </w:tcPr>
          <w:p w14:paraId="30196436" w14:textId="77777777" w:rsidR="009021F1" w:rsidRPr="00E637E3" w:rsidRDefault="009021F1" w:rsidP="00E637E3">
            <w:pPr>
              <w:rPr>
                <w:rFonts w:cs="Arial"/>
                <w:sz w:val="24"/>
                <w:szCs w:val="24"/>
              </w:rPr>
            </w:pPr>
            <w:r w:rsidRPr="00E637E3">
              <w:rPr>
                <w:rFonts w:cs="Arial"/>
                <w:sz w:val="24"/>
                <w:szCs w:val="24"/>
              </w:rPr>
              <w:t>Le projet consiste à l'augmentation effective de connectivité au niveau régional.</w:t>
            </w:r>
          </w:p>
        </w:tc>
        <w:tc>
          <w:tcPr>
            <w:tcW w:w="2049" w:type="dxa"/>
            <w:shd w:val="clear" w:color="auto" w:fill="auto"/>
          </w:tcPr>
          <w:p w14:paraId="59262A1B" w14:textId="77777777" w:rsidR="009021F1" w:rsidRPr="00E637E3" w:rsidRDefault="009021F1" w:rsidP="00E637E3">
            <w:pPr>
              <w:rPr>
                <w:rFonts w:cs="Arial"/>
                <w:sz w:val="24"/>
                <w:szCs w:val="24"/>
              </w:rPr>
            </w:pPr>
            <w:r w:rsidRPr="00E637E3">
              <w:rPr>
                <w:rFonts w:cs="Arial"/>
                <w:sz w:val="24"/>
                <w:szCs w:val="24"/>
              </w:rPr>
              <w:t>Projet terminé</w:t>
            </w:r>
          </w:p>
        </w:tc>
        <w:tc>
          <w:tcPr>
            <w:tcW w:w="1636" w:type="dxa"/>
            <w:shd w:val="clear" w:color="auto" w:fill="auto"/>
          </w:tcPr>
          <w:p w14:paraId="282A3A62" w14:textId="77777777" w:rsidR="009021F1" w:rsidRPr="00E637E3" w:rsidRDefault="009021F1" w:rsidP="00E637E3">
            <w:pPr>
              <w:rPr>
                <w:rFonts w:cs="Arial"/>
                <w:sz w:val="24"/>
                <w:szCs w:val="24"/>
              </w:rPr>
            </w:pPr>
            <w:r w:rsidRPr="00E637E3">
              <w:rPr>
                <w:rFonts w:cs="Arial"/>
                <w:sz w:val="24"/>
                <w:szCs w:val="24"/>
              </w:rPr>
              <w:t>Chevauche le PNDA dans les Provinces du Nord-Kivu, Kwilu, Kasaï, Kasaï Central et Kongo Central</w:t>
            </w:r>
          </w:p>
        </w:tc>
        <w:tc>
          <w:tcPr>
            <w:tcW w:w="2790" w:type="dxa"/>
            <w:vMerge/>
            <w:shd w:val="clear" w:color="auto" w:fill="auto"/>
          </w:tcPr>
          <w:p w14:paraId="770E7CA4" w14:textId="77777777" w:rsidR="009021F1" w:rsidRPr="00E637E3" w:rsidRDefault="009021F1" w:rsidP="00E637E3">
            <w:pPr>
              <w:rPr>
                <w:rFonts w:cs="Arial"/>
                <w:sz w:val="24"/>
                <w:szCs w:val="24"/>
              </w:rPr>
            </w:pPr>
          </w:p>
        </w:tc>
      </w:tr>
      <w:tr w:rsidR="009021F1" w:rsidRPr="00E637E3" w14:paraId="2C5A9E96" w14:textId="77777777" w:rsidTr="00E637E3">
        <w:tc>
          <w:tcPr>
            <w:tcW w:w="2654" w:type="dxa"/>
            <w:shd w:val="clear" w:color="auto" w:fill="auto"/>
          </w:tcPr>
          <w:p w14:paraId="3C52049C" w14:textId="77777777" w:rsidR="009021F1" w:rsidRPr="00E637E3" w:rsidRDefault="009021F1" w:rsidP="00E637E3">
            <w:pPr>
              <w:rPr>
                <w:rFonts w:cs="Arial"/>
                <w:sz w:val="24"/>
                <w:szCs w:val="24"/>
              </w:rPr>
            </w:pPr>
            <w:r w:rsidRPr="00E637E3">
              <w:rPr>
                <w:rFonts w:cs="Arial"/>
                <w:sz w:val="24"/>
                <w:szCs w:val="24"/>
              </w:rPr>
              <w:t xml:space="preserve">Projet de Développement Urbain (PDU) </w:t>
            </w:r>
          </w:p>
        </w:tc>
        <w:tc>
          <w:tcPr>
            <w:tcW w:w="5988" w:type="dxa"/>
            <w:shd w:val="clear" w:color="auto" w:fill="auto"/>
          </w:tcPr>
          <w:p w14:paraId="3187A958" w14:textId="77777777" w:rsidR="009021F1" w:rsidRPr="00E637E3" w:rsidRDefault="009021F1" w:rsidP="00E637E3">
            <w:pPr>
              <w:rPr>
                <w:rFonts w:cs="Arial"/>
                <w:sz w:val="24"/>
                <w:szCs w:val="24"/>
              </w:rPr>
            </w:pPr>
            <w:r w:rsidRPr="00E637E3">
              <w:rPr>
                <w:rFonts w:cs="Arial"/>
                <w:sz w:val="24"/>
                <w:szCs w:val="24"/>
              </w:rPr>
              <w:t>Le projet PDU est le fruit de l’accord signé depuis septembre 2013 entre la RDC et la Banque mondiale avec comme objectif principal d’améliorer la fourniture des services de base et de renforcer la gestion urbaine et municipale dans les 9 villes de la RDC, notamment, Bukavu, Kalemie, Kindu, Mbandaka, Matadi, Kolwezi, Goma et Kikwit</w:t>
            </w:r>
          </w:p>
        </w:tc>
        <w:tc>
          <w:tcPr>
            <w:tcW w:w="2049" w:type="dxa"/>
            <w:shd w:val="clear" w:color="auto" w:fill="auto"/>
          </w:tcPr>
          <w:p w14:paraId="3C786930" w14:textId="77777777" w:rsidR="009021F1" w:rsidRPr="00E637E3" w:rsidRDefault="009021F1" w:rsidP="00E637E3">
            <w:pPr>
              <w:rPr>
                <w:rFonts w:cs="Arial"/>
                <w:sz w:val="24"/>
                <w:szCs w:val="24"/>
              </w:rPr>
            </w:pPr>
            <w:r w:rsidRPr="00E637E3">
              <w:rPr>
                <w:rFonts w:cs="Arial"/>
                <w:sz w:val="24"/>
                <w:szCs w:val="24"/>
              </w:rPr>
              <w:t>Projet terminé</w:t>
            </w:r>
          </w:p>
        </w:tc>
        <w:tc>
          <w:tcPr>
            <w:tcW w:w="1636" w:type="dxa"/>
            <w:shd w:val="clear" w:color="auto" w:fill="auto"/>
          </w:tcPr>
          <w:p w14:paraId="72683691" w14:textId="77777777" w:rsidR="009021F1" w:rsidRPr="00E637E3" w:rsidRDefault="009021F1" w:rsidP="00E637E3">
            <w:pPr>
              <w:rPr>
                <w:rFonts w:cs="Arial"/>
                <w:sz w:val="24"/>
                <w:szCs w:val="24"/>
              </w:rPr>
            </w:pPr>
            <w:r w:rsidRPr="00E637E3">
              <w:rPr>
                <w:rFonts w:cs="Arial"/>
                <w:sz w:val="24"/>
                <w:szCs w:val="24"/>
              </w:rPr>
              <w:t>Chevauche le PNDA dans les Provinces du Nord-Kivu, Kongo Central et Kwilu.</w:t>
            </w:r>
          </w:p>
        </w:tc>
        <w:tc>
          <w:tcPr>
            <w:tcW w:w="2790" w:type="dxa"/>
            <w:vMerge/>
            <w:shd w:val="clear" w:color="auto" w:fill="auto"/>
          </w:tcPr>
          <w:p w14:paraId="23025A9B" w14:textId="77777777" w:rsidR="009021F1" w:rsidRPr="00E637E3" w:rsidRDefault="009021F1" w:rsidP="00E637E3">
            <w:pPr>
              <w:rPr>
                <w:rFonts w:cs="Arial"/>
                <w:sz w:val="24"/>
                <w:szCs w:val="24"/>
              </w:rPr>
            </w:pPr>
          </w:p>
        </w:tc>
      </w:tr>
      <w:tr w:rsidR="009021F1" w:rsidRPr="00E637E3" w14:paraId="27ED7D12" w14:textId="77777777" w:rsidTr="00E637E3">
        <w:tc>
          <w:tcPr>
            <w:tcW w:w="2654" w:type="dxa"/>
            <w:shd w:val="clear" w:color="auto" w:fill="auto"/>
          </w:tcPr>
          <w:p w14:paraId="2B82B5C3" w14:textId="77777777" w:rsidR="009021F1" w:rsidRPr="00E637E3" w:rsidRDefault="009021F1" w:rsidP="00E637E3">
            <w:pPr>
              <w:rPr>
                <w:rFonts w:cs="Arial"/>
                <w:sz w:val="24"/>
                <w:szCs w:val="24"/>
              </w:rPr>
            </w:pPr>
            <w:r w:rsidRPr="00E637E3">
              <w:rPr>
                <w:rFonts w:cs="Arial"/>
                <w:sz w:val="24"/>
                <w:szCs w:val="24"/>
              </w:rPr>
              <w:t>Projet d’Inclusion Productive (PIP) </w:t>
            </w:r>
          </w:p>
        </w:tc>
        <w:tc>
          <w:tcPr>
            <w:tcW w:w="5988" w:type="dxa"/>
            <w:shd w:val="clear" w:color="auto" w:fill="auto"/>
          </w:tcPr>
          <w:p w14:paraId="5083C870" w14:textId="77777777" w:rsidR="009021F1" w:rsidRPr="00E637E3" w:rsidRDefault="009021F1" w:rsidP="00E637E3">
            <w:pPr>
              <w:rPr>
                <w:rFonts w:cs="Arial"/>
                <w:sz w:val="24"/>
                <w:szCs w:val="24"/>
              </w:rPr>
            </w:pPr>
            <w:r w:rsidRPr="00E637E3">
              <w:rPr>
                <w:rFonts w:cs="Arial"/>
                <w:sz w:val="24"/>
                <w:szCs w:val="24"/>
              </w:rPr>
              <w:t xml:space="preserve">Le PIP </w:t>
            </w:r>
            <w:r w:rsidRPr="00E637E3">
              <w:rPr>
                <w:rFonts w:eastAsiaTheme="minorHAnsi" w:cs="Arial"/>
                <w:sz w:val="24"/>
                <w:szCs w:val="24"/>
              </w:rPr>
              <w:t>vise</w:t>
            </w:r>
            <w:r w:rsidRPr="00E637E3">
              <w:rPr>
                <w:rFonts w:cs="Arial"/>
                <w:sz w:val="24"/>
                <w:szCs w:val="24"/>
              </w:rPr>
              <w:t xml:space="preserve"> la mise en place des filets sociaux productifs à large échelle pour la première fois dans l’histoire du pays.  Les filets sociaux seraient productifs car ils contribueraient à la création de biens publics et au développement du capital humain et ils permettraient également aux ménages bénéficiaires d’investir dans des activités économiques. </w:t>
            </w:r>
          </w:p>
          <w:p w14:paraId="6AAD5F48" w14:textId="77777777" w:rsidR="009021F1" w:rsidRPr="00E637E3" w:rsidRDefault="009021F1" w:rsidP="00E637E3">
            <w:pPr>
              <w:rPr>
                <w:rFonts w:cs="Arial"/>
                <w:sz w:val="24"/>
                <w:szCs w:val="24"/>
              </w:rPr>
            </w:pPr>
            <w:r w:rsidRPr="00E637E3">
              <w:rPr>
                <w:rFonts w:cs="Arial"/>
                <w:sz w:val="24"/>
                <w:szCs w:val="24"/>
              </w:rPr>
              <w:t xml:space="preserve">L’objectif de développement du Projet est d’améliorer l’accès des ménages pauvres aux filets sociaux productifs et d’établir les éléments de base d’un système de filets sociaux.  </w:t>
            </w:r>
          </w:p>
        </w:tc>
        <w:tc>
          <w:tcPr>
            <w:tcW w:w="2049" w:type="dxa"/>
            <w:shd w:val="clear" w:color="auto" w:fill="auto"/>
          </w:tcPr>
          <w:p w14:paraId="182D2AE5" w14:textId="77777777" w:rsidR="009021F1" w:rsidRPr="00E637E3" w:rsidRDefault="009021F1" w:rsidP="00E637E3">
            <w:pPr>
              <w:jc w:val="left"/>
              <w:rPr>
                <w:rFonts w:cs="Arial"/>
                <w:sz w:val="24"/>
                <w:szCs w:val="24"/>
              </w:rPr>
            </w:pPr>
            <w:r w:rsidRPr="00E637E3">
              <w:rPr>
                <w:rFonts w:cs="Arial"/>
                <w:sz w:val="24"/>
                <w:szCs w:val="24"/>
              </w:rPr>
              <w:t xml:space="preserve">Projet en cours </w:t>
            </w:r>
          </w:p>
          <w:p w14:paraId="17D34F96" w14:textId="77777777" w:rsidR="009021F1" w:rsidRPr="00E637E3" w:rsidRDefault="009021F1" w:rsidP="00E637E3">
            <w:pPr>
              <w:rPr>
                <w:rFonts w:cs="Arial"/>
                <w:sz w:val="24"/>
                <w:szCs w:val="24"/>
              </w:rPr>
            </w:pPr>
          </w:p>
        </w:tc>
        <w:tc>
          <w:tcPr>
            <w:tcW w:w="1636" w:type="dxa"/>
            <w:shd w:val="clear" w:color="auto" w:fill="auto"/>
          </w:tcPr>
          <w:p w14:paraId="20A0F068" w14:textId="77777777" w:rsidR="009021F1" w:rsidRPr="00E637E3" w:rsidRDefault="009021F1" w:rsidP="00E637E3">
            <w:pPr>
              <w:rPr>
                <w:rFonts w:cs="Arial"/>
                <w:sz w:val="24"/>
                <w:szCs w:val="24"/>
              </w:rPr>
            </w:pPr>
            <w:r w:rsidRPr="00E637E3">
              <w:rPr>
                <w:rFonts w:cs="Arial"/>
                <w:sz w:val="24"/>
                <w:szCs w:val="24"/>
              </w:rPr>
              <w:t>Chevauche le PNDA dans les Provinces  du Kasaï Central et Kwilu</w:t>
            </w:r>
          </w:p>
        </w:tc>
        <w:tc>
          <w:tcPr>
            <w:tcW w:w="2790" w:type="dxa"/>
            <w:vMerge/>
            <w:shd w:val="clear" w:color="auto" w:fill="auto"/>
          </w:tcPr>
          <w:p w14:paraId="59338120" w14:textId="77777777" w:rsidR="009021F1" w:rsidRPr="00E637E3" w:rsidRDefault="009021F1" w:rsidP="00E637E3">
            <w:pPr>
              <w:rPr>
                <w:rFonts w:cs="Arial"/>
                <w:sz w:val="24"/>
                <w:szCs w:val="24"/>
              </w:rPr>
            </w:pPr>
          </w:p>
        </w:tc>
      </w:tr>
      <w:tr w:rsidR="009021F1" w:rsidRPr="00E637E3" w14:paraId="0A026AC0" w14:textId="77777777" w:rsidTr="00E637E3">
        <w:tc>
          <w:tcPr>
            <w:tcW w:w="2654" w:type="dxa"/>
            <w:shd w:val="clear" w:color="auto" w:fill="auto"/>
          </w:tcPr>
          <w:p w14:paraId="5CE3EA36" w14:textId="77777777" w:rsidR="009021F1" w:rsidRPr="00E637E3" w:rsidRDefault="009021F1" w:rsidP="00E637E3">
            <w:pPr>
              <w:rPr>
                <w:rFonts w:cs="Arial"/>
                <w:sz w:val="24"/>
                <w:szCs w:val="24"/>
              </w:rPr>
            </w:pPr>
            <w:r w:rsidRPr="00E637E3">
              <w:rPr>
                <w:rFonts w:cs="Arial"/>
                <w:sz w:val="24"/>
                <w:szCs w:val="24"/>
              </w:rPr>
              <w:t xml:space="preserve">Projet Multisectoriel de Nutrition et Santé de l'Enfant (PMNSE) – Projet futur qui va concerner les Provinces du Kasaï-Central, du Kasaï et du Kwilu, </w:t>
            </w:r>
          </w:p>
        </w:tc>
        <w:tc>
          <w:tcPr>
            <w:tcW w:w="5988" w:type="dxa"/>
            <w:shd w:val="clear" w:color="auto" w:fill="auto"/>
          </w:tcPr>
          <w:p w14:paraId="2E9D0F2E" w14:textId="77777777" w:rsidR="009021F1" w:rsidRPr="00E637E3" w:rsidRDefault="009021F1" w:rsidP="00E637E3">
            <w:pPr>
              <w:rPr>
                <w:rFonts w:cs="Arial"/>
                <w:sz w:val="24"/>
                <w:szCs w:val="24"/>
              </w:rPr>
            </w:pPr>
            <w:r w:rsidRPr="00E637E3">
              <w:rPr>
                <w:rFonts w:cs="Arial"/>
                <w:sz w:val="24"/>
                <w:szCs w:val="24"/>
              </w:rPr>
              <w:t xml:space="preserve">Financé par la Banque mondiale, le Projet a pour objectif de développement du Projet consiste à améliorer l’utilisation des interventions nutrition-spécifiques et nutrition-sensible de haut impact dans les régions ciblées du projet. </w:t>
            </w:r>
          </w:p>
        </w:tc>
        <w:tc>
          <w:tcPr>
            <w:tcW w:w="2049" w:type="dxa"/>
            <w:shd w:val="clear" w:color="auto" w:fill="auto"/>
          </w:tcPr>
          <w:p w14:paraId="5A5C3153" w14:textId="77777777" w:rsidR="009021F1" w:rsidRPr="00E637E3" w:rsidRDefault="009021F1" w:rsidP="00E637E3">
            <w:pPr>
              <w:rPr>
                <w:rFonts w:cs="Arial"/>
                <w:sz w:val="24"/>
                <w:szCs w:val="24"/>
              </w:rPr>
            </w:pPr>
            <w:r w:rsidRPr="00E637E3">
              <w:rPr>
                <w:rFonts w:cs="Arial"/>
                <w:sz w:val="24"/>
                <w:szCs w:val="24"/>
              </w:rPr>
              <w:t>Projet en cours </w:t>
            </w:r>
          </w:p>
        </w:tc>
        <w:tc>
          <w:tcPr>
            <w:tcW w:w="1636" w:type="dxa"/>
            <w:shd w:val="clear" w:color="auto" w:fill="auto"/>
          </w:tcPr>
          <w:p w14:paraId="1DDD2049" w14:textId="77777777" w:rsidR="009021F1" w:rsidRPr="00E637E3" w:rsidRDefault="009021F1" w:rsidP="00E637E3">
            <w:pPr>
              <w:rPr>
                <w:rFonts w:cs="Arial"/>
                <w:sz w:val="24"/>
                <w:szCs w:val="24"/>
              </w:rPr>
            </w:pPr>
            <w:r w:rsidRPr="00E637E3">
              <w:rPr>
                <w:rFonts w:cs="Arial"/>
                <w:sz w:val="24"/>
                <w:szCs w:val="24"/>
              </w:rPr>
              <w:t>Chevauche le PNDA dans les Provinces  du Kasaï-Central, du Kasaï et du Kwilu,</w:t>
            </w:r>
          </w:p>
        </w:tc>
        <w:tc>
          <w:tcPr>
            <w:tcW w:w="2790" w:type="dxa"/>
            <w:vMerge/>
            <w:shd w:val="clear" w:color="auto" w:fill="auto"/>
          </w:tcPr>
          <w:p w14:paraId="472C4FE9" w14:textId="77777777" w:rsidR="009021F1" w:rsidRPr="00E637E3" w:rsidRDefault="009021F1" w:rsidP="00E637E3">
            <w:pPr>
              <w:rPr>
                <w:rFonts w:cs="Arial"/>
                <w:sz w:val="24"/>
                <w:szCs w:val="24"/>
              </w:rPr>
            </w:pPr>
          </w:p>
        </w:tc>
      </w:tr>
      <w:tr w:rsidR="009021F1" w:rsidRPr="00E637E3" w14:paraId="4EC9D919" w14:textId="77777777" w:rsidTr="00E637E3">
        <w:tc>
          <w:tcPr>
            <w:tcW w:w="2654" w:type="dxa"/>
            <w:shd w:val="clear" w:color="auto" w:fill="auto"/>
          </w:tcPr>
          <w:p w14:paraId="19C5F7B5" w14:textId="77777777" w:rsidR="009021F1" w:rsidRPr="00E637E3" w:rsidRDefault="009021F1" w:rsidP="00E637E3">
            <w:pPr>
              <w:rPr>
                <w:rFonts w:cs="Arial"/>
                <w:sz w:val="24"/>
                <w:szCs w:val="24"/>
              </w:rPr>
            </w:pPr>
            <w:r w:rsidRPr="00E637E3">
              <w:rPr>
                <w:rFonts w:cs="Arial"/>
                <w:sz w:val="24"/>
                <w:szCs w:val="24"/>
              </w:rPr>
              <w:t>Programme d’appui aux pôles d’approvisionnement de Kinshasa en produits vivriers et maraîchers (</w:t>
            </w:r>
            <w:r w:rsidRPr="00E637E3">
              <w:rPr>
                <w:rFonts w:cs="Arial"/>
                <w:bCs/>
                <w:sz w:val="24"/>
                <w:szCs w:val="24"/>
              </w:rPr>
              <w:t>PAPAKIN</w:t>
            </w:r>
            <w:r w:rsidRPr="00E637E3">
              <w:rPr>
                <w:rFonts w:cs="Arial"/>
                <w:sz w:val="24"/>
                <w:szCs w:val="24"/>
              </w:rPr>
              <w:t xml:space="preserve">)  </w:t>
            </w:r>
          </w:p>
        </w:tc>
        <w:tc>
          <w:tcPr>
            <w:tcW w:w="5988" w:type="dxa"/>
            <w:shd w:val="clear" w:color="auto" w:fill="auto"/>
          </w:tcPr>
          <w:p w14:paraId="5ABC97D2" w14:textId="77777777" w:rsidR="009021F1" w:rsidRPr="00E637E3" w:rsidRDefault="009021F1" w:rsidP="00E637E3">
            <w:pPr>
              <w:rPr>
                <w:rFonts w:cs="Arial"/>
                <w:sz w:val="24"/>
                <w:szCs w:val="24"/>
              </w:rPr>
            </w:pPr>
            <w:r w:rsidRPr="00E637E3">
              <w:rPr>
                <w:rFonts w:cs="Arial"/>
                <w:sz w:val="24"/>
                <w:szCs w:val="24"/>
              </w:rPr>
              <w:t>Projet financé par le Fonds International de Développement Agricole (FIDA. Son objectif est de contribuer de manière durable à l’amélioration de la sécurité alimentaire et des revenus des paysans producteurs.</w:t>
            </w:r>
          </w:p>
        </w:tc>
        <w:tc>
          <w:tcPr>
            <w:tcW w:w="2049" w:type="dxa"/>
            <w:shd w:val="clear" w:color="auto" w:fill="auto"/>
          </w:tcPr>
          <w:p w14:paraId="10192E8E" w14:textId="77777777" w:rsidR="009021F1" w:rsidRPr="00E637E3" w:rsidRDefault="009021F1" w:rsidP="00E637E3">
            <w:pPr>
              <w:rPr>
                <w:rFonts w:cs="Arial"/>
                <w:sz w:val="24"/>
                <w:szCs w:val="24"/>
              </w:rPr>
            </w:pPr>
            <w:r w:rsidRPr="00E637E3">
              <w:rPr>
                <w:rFonts w:cs="Arial"/>
                <w:sz w:val="24"/>
                <w:szCs w:val="24"/>
              </w:rPr>
              <w:t>Projet en cours </w:t>
            </w:r>
          </w:p>
        </w:tc>
        <w:tc>
          <w:tcPr>
            <w:tcW w:w="1636" w:type="dxa"/>
            <w:shd w:val="clear" w:color="auto" w:fill="auto"/>
          </w:tcPr>
          <w:p w14:paraId="311BBA34" w14:textId="77777777" w:rsidR="009021F1" w:rsidRPr="00E637E3" w:rsidRDefault="009021F1" w:rsidP="00E637E3">
            <w:pPr>
              <w:rPr>
                <w:rFonts w:cs="Arial"/>
                <w:sz w:val="24"/>
                <w:szCs w:val="24"/>
              </w:rPr>
            </w:pPr>
            <w:r w:rsidRPr="00E637E3">
              <w:rPr>
                <w:rFonts w:cs="Arial"/>
                <w:sz w:val="24"/>
                <w:szCs w:val="24"/>
              </w:rPr>
              <w:t xml:space="preserve">Chevauche le PNDA dans les Provinces  du Kwilu et du Kongo Central </w:t>
            </w:r>
          </w:p>
        </w:tc>
        <w:tc>
          <w:tcPr>
            <w:tcW w:w="2790" w:type="dxa"/>
            <w:vMerge/>
            <w:shd w:val="clear" w:color="auto" w:fill="auto"/>
          </w:tcPr>
          <w:p w14:paraId="0FC334B6" w14:textId="77777777" w:rsidR="009021F1" w:rsidRPr="00E637E3" w:rsidRDefault="009021F1" w:rsidP="00E637E3">
            <w:pPr>
              <w:rPr>
                <w:rFonts w:cs="Arial"/>
                <w:sz w:val="24"/>
                <w:szCs w:val="24"/>
              </w:rPr>
            </w:pPr>
          </w:p>
        </w:tc>
      </w:tr>
      <w:tr w:rsidR="009021F1" w:rsidRPr="00E637E3" w14:paraId="48B022D2" w14:textId="77777777" w:rsidTr="00E637E3">
        <w:tc>
          <w:tcPr>
            <w:tcW w:w="2654" w:type="dxa"/>
            <w:shd w:val="clear" w:color="auto" w:fill="auto"/>
          </w:tcPr>
          <w:p w14:paraId="309A69A7" w14:textId="77777777" w:rsidR="009021F1" w:rsidRPr="00E637E3" w:rsidRDefault="009021F1" w:rsidP="00E637E3">
            <w:pPr>
              <w:rPr>
                <w:rFonts w:cs="Arial"/>
                <w:sz w:val="24"/>
                <w:szCs w:val="24"/>
              </w:rPr>
            </w:pPr>
            <w:r w:rsidRPr="00E637E3">
              <w:rPr>
                <w:rFonts w:cs="Arial"/>
                <w:sz w:val="24"/>
                <w:szCs w:val="24"/>
              </w:rPr>
              <w:t>Projet d'appui au secteur agricole dans la Province du Nord-Kivu (PASA-NK).</w:t>
            </w:r>
          </w:p>
        </w:tc>
        <w:tc>
          <w:tcPr>
            <w:tcW w:w="5988" w:type="dxa"/>
            <w:shd w:val="clear" w:color="auto" w:fill="auto"/>
          </w:tcPr>
          <w:p w14:paraId="2ED3EFC7" w14:textId="77777777" w:rsidR="009021F1" w:rsidRPr="00E637E3" w:rsidRDefault="009021F1" w:rsidP="00E637E3">
            <w:pPr>
              <w:rPr>
                <w:rFonts w:cs="Arial"/>
                <w:sz w:val="24"/>
                <w:szCs w:val="24"/>
              </w:rPr>
            </w:pPr>
            <w:r w:rsidRPr="00E637E3">
              <w:rPr>
                <w:rFonts w:cs="Arial"/>
                <w:sz w:val="24"/>
                <w:szCs w:val="24"/>
              </w:rPr>
              <w:t>Projet financé par le Fonds International de Développement Agricole (FIDA). L'objectif de développement du Projet est d'améliorer la productivité et la rentabilité de quatre cultures (mais, riz, pomme de terre et café arabica) pratiquées par les petits producteurs.</w:t>
            </w:r>
          </w:p>
        </w:tc>
        <w:tc>
          <w:tcPr>
            <w:tcW w:w="2049" w:type="dxa"/>
            <w:shd w:val="clear" w:color="auto" w:fill="auto"/>
          </w:tcPr>
          <w:p w14:paraId="13A28368" w14:textId="77777777" w:rsidR="009021F1" w:rsidRPr="00E637E3" w:rsidRDefault="009021F1" w:rsidP="00E637E3">
            <w:pPr>
              <w:rPr>
                <w:rFonts w:cs="Arial"/>
                <w:sz w:val="24"/>
                <w:szCs w:val="24"/>
              </w:rPr>
            </w:pPr>
            <w:r w:rsidRPr="00E637E3">
              <w:rPr>
                <w:rFonts w:cs="Arial"/>
                <w:sz w:val="24"/>
                <w:szCs w:val="24"/>
              </w:rPr>
              <w:t>Projet futur</w:t>
            </w:r>
          </w:p>
        </w:tc>
        <w:tc>
          <w:tcPr>
            <w:tcW w:w="1636" w:type="dxa"/>
            <w:shd w:val="clear" w:color="auto" w:fill="auto"/>
          </w:tcPr>
          <w:p w14:paraId="5C97E5A7" w14:textId="77777777" w:rsidR="009021F1" w:rsidRPr="00E637E3" w:rsidRDefault="009021F1" w:rsidP="00E637E3">
            <w:pPr>
              <w:rPr>
                <w:rFonts w:cs="Arial"/>
                <w:sz w:val="24"/>
                <w:szCs w:val="24"/>
              </w:rPr>
            </w:pPr>
            <w:r w:rsidRPr="00E637E3">
              <w:rPr>
                <w:rFonts w:cs="Arial"/>
                <w:sz w:val="24"/>
                <w:szCs w:val="24"/>
              </w:rPr>
              <w:t xml:space="preserve">Chevauche le PNDA dans les Provinces  du </w:t>
            </w:r>
          </w:p>
        </w:tc>
        <w:tc>
          <w:tcPr>
            <w:tcW w:w="2790" w:type="dxa"/>
            <w:vMerge/>
            <w:shd w:val="clear" w:color="auto" w:fill="auto"/>
          </w:tcPr>
          <w:p w14:paraId="4A520C56" w14:textId="77777777" w:rsidR="009021F1" w:rsidRPr="00E637E3" w:rsidRDefault="009021F1" w:rsidP="00E637E3">
            <w:pPr>
              <w:rPr>
                <w:rFonts w:cs="Arial"/>
                <w:sz w:val="24"/>
                <w:szCs w:val="24"/>
              </w:rPr>
            </w:pPr>
          </w:p>
        </w:tc>
      </w:tr>
      <w:tr w:rsidR="009021F1" w:rsidRPr="00E637E3" w14:paraId="1DD91F61" w14:textId="77777777" w:rsidTr="00E637E3">
        <w:tc>
          <w:tcPr>
            <w:tcW w:w="2654" w:type="dxa"/>
            <w:shd w:val="clear" w:color="auto" w:fill="auto"/>
          </w:tcPr>
          <w:p w14:paraId="2834BB7D" w14:textId="77777777" w:rsidR="009021F1" w:rsidRPr="00E637E3" w:rsidRDefault="009021F1" w:rsidP="00E637E3">
            <w:pPr>
              <w:jc w:val="left"/>
              <w:rPr>
                <w:rFonts w:cs="Arial"/>
                <w:sz w:val="24"/>
                <w:szCs w:val="24"/>
              </w:rPr>
            </w:pPr>
            <w:r w:rsidRPr="00E637E3">
              <w:rPr>
                <w:rFonts w:cs="Arial"/>
                <w:sz w:val="24"/>
                <w:szCs w:val="24"/>
              </w:rPr>
              <w:t>Projet d’Amélioration de la Desserte en Electricité, Eau et la Gouvernance qui concerne les provinces Nord-Kivu et Kasaï Oriental (AGREE)</w:t>
            </w:r>
          </w:p>
        </w:tc>
        <w:tc>
          <w:tcPr>
            <w:tcW w:w="5988" w:type="dxa"/>
            <w:shd w:val="clear" w:color="auto" w:fill="auto"/>
          </w:tcPr>
          <w:p w14:paraId="0A098527" w14:textId="77777777" w:rsidR="009021F1" w:rsidRPr="00E637E3" w:rsidRDefault="009021F1" w:rsidP="00E637E3">
            <w:pPr>
              <w:jc w:val="left"/>
              <w:rPr>
                <w:rFonts w:cs="Arial"/>
                <w:sz w:val="24"/>
                <w:szCs w:val="24"/>
              </w:rPr>
            </w:pPr>
            <w:r w:rsidRPr="00E637E3">
              <w:rPr>
                <w:rFonts w:cs="Arial"/>
                <w:sz w:val="24"/>
                <w:szCs w:val="24"/>
              </w:rPr>
              <w:t>L'objectif de développement du projet est : (i) accroitre la desserte en électricité et eau dans les villes ciblées, (ii) améliorer la performance opérationnelle de la SNEL et (iii) améliorer la gestion du service de l’eau à Goma et à Kananga.</w:t>
            </w:r>
          </w:p>
        </w:tc>
        <w:tc>
          <w:tcPr>
            <w:tcW w:w="2049" w:type="dxa"/>
            <w:shd w:val="clear" w:color="auto" w:fill="auto"/>
          </w:tcPr>
          <w:p w14:paraId="2A45DB5F" w14:textId="77777777" w:rsidR="009021F1" w:rsidRPr="00E637E3" w:rsidRDefault="009021F1" w:rsidP="00E637E3">
            <w:pPr>
              <w:rPr>
                <w:rFonts w:cs="Arial"/>
                <w:sz w:val="24"/>
                <w:szCs w:val="24"/>
              </w:rPr>
            </w:pPr>
            <w:r w:rsidRPr="00E637E3">
              <w:rPr>
                <w:rFonts w:cs="Arial"/>
                <w:sz w:val="24"/>
                <w:szCs w:val="24"/>
              </w:rPr>
              <w:t>Projet futur</w:t>
            </w:r>
          </w:p>
        </w:tc>
        <w:tc>
          <w:tcPr>
            <w:tcW w:w="1636" w:type="dxa"/>
            <w:shd w:val="clear" w:color="auto" w:fill="auto"/>
          </w:tcPr>
          <w:p w14:paraId="54FD99D0" w14:textId="77777777" w:rsidR="009021F1" w:rsidRPr="00E637E3" w:rsidRDefault="009021F1" w:rsidP="00E637E3">
            <w:pPr>
              <w:rPr>
                <w:rFonts w:cs="Arial"/>
                <w:sz w:val="24"/>
                <w:szCs w:val="24"/>
              </w:rPr>
            </w:pPr>
            <w:r w:rsidRPr="00E637E3">
              <w:rPr>
                <w:rFonts w:cs="Arial"/>
                <w:sz w:val="24"/>
                <w:szCs w:val="24"/>
              </w:rPr>
              <w:t>Chevauche la zone d'étude du PNDA dans les Provinces du Nord-Kivu, Kwilu, Kasaï, Kasaï Central, Kongo Central</w:t>
            </w:r>
          </w:p>
        </w:tc>
        <w:tc>
          <w:tcPr>
            <w:tcW w:w="2790" w:type="dxa"/>
            <w:vMerge/>
            <w:shd w:val="clear" w:color="auto" w:fill="auto"/>
          </w:tcPr>
          <w:p w14:paraId="20029349" w14:textId="77777777" w:rsidR="009021F1" w:rsidRPr="00E637E3" w:rsidRDefault="009021F1" w:rsidP="00E637E3">
            <w:pPr>
              <w:rPr>
                <w:rFonts w:cs="Arial"/>
                <w:sz w:val="24"/>
                <w:szCs w:val="24"/>
              </w:rPr>
            </w:pPr>
          </w:p>
        </w:tc>
      </w:tr>
      <w:tr w:rsidR="009021F1" w:rsidRPr="00E637E3" w14:paraId="1F7B80AA" w14:textId="77777777" w:rsidTr="00E637E3">
        <w:tc>
          <w:tcPr>
            <w:tcW w:w="2654" w:type="dxa"/>
            <w:shd w:val="clear" w:color="auto" w:fill="auto"/>
          </w:tcPr>
          <w:p w14:paraId="2D958722" w14:textId="77777777" w:rsidR="009021F1" w:rsidRPr="00E637E3" w:rsidRDefault="009021F1" w:rsidP="00E637E3">
            <w:pPr>
              <w:jc w:val="left"/>
              <w:rPr>
                <w:rFonts w:cs="Arial"/>
                <w:sz w:val="24"/>
                <w:szCs w:val="24"/>
              </w:rPr>
            </w:pPr>
            <w:r w:rsidRPr="00E637E3">
              <w:rPr>
                <w:rFonts w:cs="Arial"/>
                <w:sz w:val="24"/>
                <w:szCs w:val="24"/>
              </w:rPr>
              <w:t>Projet d’asphaltage de la route Kasindi-Beni-Butembo</w:t>
            </w:r>
          </w:p>
        </w:tc>
        <w:tc>
          <w:tcPr>
            <w:tcW w:w="5988" w:type="dxa"/>
            <w:shd w:val="clear" w:color="auto" w:fill="auto"/>
          </w:tcPr>
          <w:p w14:paraId="5C6DF459" w14:textId="77777777" w:rsidR="009021F1" w:rsidRPr="00E637E3" w:rsidRDefault="009021F1" w:rsidP="00E637E3">
            <w:pPr>
              <w:jc w:val="left"/>
              <w:rPr>
                <w:rFonts w:cs="Arial"/>
                <w:sz w:val="24"/>
                <w:szCs w:val="24"/>
              </w:rPr>
            </w:pPr>
            <w:r w:rsidRPr="00E637E3">
              <w:rPr>
                <w:rFonts w:cs="Arial"/>
                <w:sz w:val="24"/>
                <w:szCs w:val="24"/>
              </w:rPr>
              <w:t xml:space="preserve">Le projet consiste a connecté à l’asphaltage de la route dont première phase de ce projet qui sera construite en terre battue sera financée en 20 % par la RDC, l’Ouganda à 20% et le 60 % proviendra de l’entreprise Dott Services Limited  </w:t>
            </w:r>
          </w:p>
        </w:tc>
        <w:tc>
          <w:tcPr>
            <w:tcW w:w="2049" w:type="dxa"/>
            <w:shd w:val="clear" w:color="auto" w:fill="auto"/>
          </w:tcPr>
          <w:p w14:paraId="0143E1BD" w14:textId="77777777" w:rsidR="009021F1" w:rsidRPr="00E637E3" w:rsidRDefault="009021F1" w:rsidP="00E637E3">
            <w:pPr>
              <w:rPr>
                <w:rFonts w:cs="Arial"/>
                <w:sz w:val="24"/>
                <w:szCs w:val="24"/>
              </w:rPr>
            </w:pPr>
            <w:r w:rsidRPr="00E637E3">
              <w:rPr>
                <w:rFonts w:cs="Arial"/>
                <w:sz w:val="24"/>
                <w:szCs w:val="24"/>
              </w:rPr>
              <w:t>Projet en phase de démarrage</w:t>
            </w:r>
          </w:p>
        </w:tc>
        <w:tc>
          <w:tcPr>
            <w:tcW w:w="1636" w:type="dxa"/>
            <w:shd w:val="clear" w:color="auto" w:fill="auto"/>
          </w:tcPr>
          <w:p w14:paraId="2437B640" w14:textId="77777777" w:rsidR="009021F1" w:rsidRPr="00E637E3" w:rsidRDefault="009021F1" w:rsidP="00E637E3">
            <w:pPr>
              <w:rPr>
                <w:rFonts w:cs="Arial"/>
                <w:sz w:val="24"/>
                <w:szCs w:val="24"/>
              </w:rPr>
            </w:pPr>
            <w:r w:rsidRPr="00E637E3">
              <w:rPr>
                <w:rFonts w:cs="Arial"/>
                <w:sz w:val="24"/>
                <w:szCs w:val="24"/>
              </w:rPr>
              <w:t>Chevauche la zone d'étude du PNDA dans la Province du Nord-Kivu</w:t>
            </w:r>
          </w:p>
        </w:tc>
        <w:tc>
          <w:tcPr>
            <w:tcW w:w="2790" w:type="dxa"/>
            <w:vMerge/>
            <w:shd w:val="clear" w:color="auto" w:fill="auto"/>
          </w:tcPr>
          <w:p w14:paraId="08577DA3" w14:textId="77777777" w:rsidR="009021F1" w:rsidRPr="00E637E3" w:rsidRDefault="009021F1" w:rsidP="00E637E3">
            <w:pPr>
              <w:rPr>
                <w:rFonts w:cs="Arial"/>
                <w:sz w:val="24"/>
                <w:szCs w:val="24"/>
              </w:rPr>
            </w:pPr>
          </w:p>
        </w:tc>
      </w:tr>
      <w:tr w:rsidR="009021F1" w:rsidRPr="00E637E3" w14:paraId="061CDFE5" w14:textId="77777777" w:rsidTr="00E637E3">
        <w:tc>
          <w:tcPr>
            <w:tcW w:w="2654" w:type="dxa"/>
            <w:shd w:val="clear" w:color="auto" w:fill="auto"/>
          </w:tcPr>
          <w:p w14:paraId="6003BC8E" w14:textId="77777777" w:rsidR="009021F1" w:rsidRPr="00E637E3" w:rsidRDefault="009021F1" w:rsidP="00E637E3">
            <w:pPr>
              <w:rPr>
                <w:rFonts w:cs="Arial"/>
                <w:sz w:val="24"/>
                <w:szCs w:val="24"/>
              </w:rPr>
            </w:pPr>
            <w:r w:rsidRPr="00E637E3">
              <w:rPr>
                <w:rFonts w:cs="Arial"/>
                <w:sz w:val="24"/>
                <w:szCs w:val="24"/>
              </w:rPr>
              <w:t>Projet de Facilitation du Commerce et Intégration dans la région des Grands Lacs (PFCIGL)</w:t>
            </w:r>
          </w:p>
        </w:tc>
        <w:tc>
          <w:tcPr>
            <w:tcW w:w="5988" w:type="dxa"/>
            <w:shd w:val="clear" w:color="auto" w:fill="auto"/>
          </w:tcPr>
          <w:p w14:paraId="0A657E06" w14:textId="77777777" w:rsidR="009021F1" w:rsidRPr="00E637E3" w:rsidRDefault="009021F1" w:rsidP="00E637E3">
            <w:pPr>
              <w:jc w:val="left"/>
              <w:rPr>
                <w:rFonts w:cs="Arial"/>
                <w:sz w:val="24"/>
                <w:szCs w:val="24"/>
              </w:rPr>
            </w:pPr>
            <w:r w:rsidRPr="00E637E3">
              <w:rPr>
                <w:rFonts w:cs="Arial"/>
                <w:sz w:val="24"/>
                <w:szCs w:val="24"/>
              </w:rPr>
              <w:t>L’objectif de développement du projet est de faciliter le commerce transfrontalier en augmentant la capacité du commerce tout en réduisant les coûts rencontrés par les commerçants, en particulier les petits commerçants et les femmes, à des endroits ciblés au niveau des zones frontalières.</w:t>
            </w:r>
          </w:p>
        </w:tc>
        <w:tc>
          <w:tcPr>
            <w:tcW w:w="2049" w:type="dxa"/>
            <w:shd w:val="clear" w:color="auto" w:fill="auto"/>
          </w:tcPr>
          <w:p w14:paraId="72A073A9" w14:textId="77777777" w:rsidR="009021F1" w:rsidRPr="00E637E3" w:rsidRDefault="009021F1" w:rsidP="00E637E3">
            <w:pPr>
              <w:jc w:val="left"/>
              <w:rPr>
                <w:rFonts w:cs="Arial"/>
                <w:sz w:val="24"/>
                <w:szCs w:val="24"/>
              </w:rPr>
            </w:pPr>
            <w:r w:rsidRPr="00E637E3">
              <w:rPr>
                <w:rFonts w:cs="Arial"/>
                <w:sz w:val="24"/>
                <w:szCs w:val="24"/>
              </w:rPr>
              <w:t>Projet en préparation</w:t>
            </w:r>
          </w:p>
        </w:tc>
        <w:tc>
          <w:tcPr>
            <w:tcW w:w="1636" w:type="dxa"/>
            <w:shd w:val="clear" w:color="auto" w:fill="auto"/>
          </w:tcPr>
          <w:p w14:paraId="1081FF2D" w14:textId="77777777" w:rsidR="009021F1" w:rsidRPr="00E637E3" w:rsidRDefault="009021F1" w:rsidP="00E637E3">
            <w:pPr>
              <w:rPr>
                <w:rFonts w:cs="Arial"/>
                <w:sz w:val="24"/>
                <w:szCs w:val="24"/>
              </w:rPr>
            </w:pPr>
            <w:r w:rsidRPr="00E637E3">
              <w:rPr>
                <w:rFonts w:cs="Arial"/>
                <w:sz w:val="24"/>
                <w:szCs w:val="24"/>
              </w:rPr>
              <w:t>Chevauche la zone d'étude du PNDA dans la Province du Nord-Kivu.</w:t>
            </w:r>
          </w:p>
        </w:tc>
        <w:tc>
          <w:tcPr>
            <w:tcW w:w="2790" w:type="dxa"/>
            <w:vMerge/>
            <w:shd w:val="clear" w:color="auto" w:fill="auto"/>
          </w:tcPr>
          <w:p w14:paraId="662720A9" w14:textId="77777777" w:rsidR="009021F1" w:rsidRPr="00E637E3" w:rsidRDefault="009021F1" w:rsidP="00E637E3">
            <w:pPr>
              <w:rPr>
                <w:rFonts w:cs="Arial"/>
                <w:sz w:val="24"/>
                <w:szCs w:val="24"/>
              </w:rPr>
            </w:pPr>
          </w:p>
        </w:tc>
      </w:tr>
      <w:tr w:rsidR="009021F1" w:rsidRPr="00E637E3" w14:paraId="7D2E0961" w14:textId="77777777" w:rsidTr="00E637E3">
        <w:tc>
          <w:tcPr>
            <w:tcW w:w="2654" w:type="dxa"/>
            <w:shd w:val="clear" w:color="auto" w:fill="auto"/>
          </w:tcPr>
          <w:p w14:paraId="1CC60845" w14:textId="77777777" w:rsidR="009021F1" w:rsidRPr="00E637E3" w:rsidRDefault="009021F1" w:rsidP="00E637E3">
            <w:pPr>
              <w:rPr>
                <w:rFonts w:cs="Arial"/>
                <w:sz w:val="24"/>
                <w:szCs w:val="24"/>
              </w:rPr>
            </w:pPr>
            <w:r w:rsidRPr="00E637E3">
              <w:rPr>
                <w:rFonts w:cs="Arial"/>
                <w:sz w:val="24"/>
                <w:szCs w:val="24"/>
              </w:rPr>
              <w:t>Projet d’Appui à la Connectivité au transport (PACT)</w:t>
            </w:r>
          </w:p>
        </w:tc>
        <w:tc>
          <w:tcPr>
            <w:tcW w:w="5988" w:type="dxa"/>
            <w:shd w:val="clear" w:color="auto" w:fill="auto"/>
          </w:tcPr>
          <w:p w14:paraId="7437FBC1" w14:textId="77777777" w:rsidR="009021F1" w:rsidRPr="00E637E3" w:rsidRDefault="009021F1" w:rsidP="00E637E3">
            <w:pPr>
              <w:rPr>
                <w:rFonts w:cs="Arial"/>
                <w:sz w:val="24"/>
                <w:szCs w:val="24"/>
              </w:rPr>
            </w:pPr>
            <w:r w:rsidRPr="00E637E3">
              <w:rPr>
                <w:rFonts w:cs="Arial"/>
                <w:sz w:val="24"/>
                <w:szCs w:val="24"/>
              </w:rPr>
              <w:t>Projet d’Appui à la Connectivité et au Transport (PACT), devant couvrir des axes identifiés pour assurer ainsi l’extension progressif du réseau viable jusqu’à la couverture totale du réseau ultra prioritaire, ainsi que des travaux d’aménagements des aéroports de Goma et Beni.</w:t>
            </w:r>
          </w:p>
          <w:p w14:paraId="22C22043" w14:textId="77777777" w:rsidR="009021F1" w:rsidRPr="00E637E3" w:rsidRDefault="009021F1" w:rsidP="00E637E3">
            <w:pPr>
              <w:rPr>
                <w:rFonts w:cs="Arial"/>
                <w:sz w:val="24"/>
                <w:szCs w:val="24"/>
              </w:rPr>
            </w:pPr>
            <w:r w:rsidRPr="00E637E3">
              <w:rPr>
                <w:rFonts w:cs="Arial"/>
                <w:sz w:val="24"/>
                <w:szCs w:val="24"/>
              </w:rPr>
              <w:t>L’objectif de développement du Projet est : (i) améliorer de manière sure et résiliente la connectivité dans et vers des zones géographiques dans les régions du Kasaï et de l’Est de la RDC ; et (ii) renforcer la gestion du secteur routier.</w:t>
            </w:r>
            <w:r w:rsidRPr="00E637E3">
              <w:rPr>
                <w:rFonts w:cs="Arial"/>
                <w:i/>
                <w:sz w:val="24"/>
                <w:szCs w:val="24"/>
              </w:rPr>
              <w:t xml:space="preserve"> </w:t>
            </w:r>
          </w:p>
        </w:tc>
        <w:tc>
          <w:tcPr>
            <w:tcW w:w="2049" w:type="dxa"/>
            <w:shd w:val="clear" w:color="auto" w:fill="auto"/>
          </w:tcPr>
          <w:p w14:paraId="0C5C7BA4" w14:textId="77777777" w:rsidR="009021F1" w:rsidRPr="00E637E3" w:rsidRDefault="009021F1" w:rsidP="00E637E3">
            <w:pPr>
              <w:rPr>
                <w:rFonts w:cs="Arial"/>
                <w:sz w:val="24"/>
                <w:szCs w:val="24"/>
              </w:rPr>
            </w:pPr>
            <w:r w:rsidRPr="00E637E3">
              <w:rPr>
                <w:rFonts w:cs="Arial"/>
                <w:sz w:val="24"/>
                <w:szCs w:val="24"/>
              </w:rPr>
              <w:t>Projet en préparation</w:t>
            </w:r>
          </w:p>
        </w:tc>
        <w:tc>
          <w:tcPr>
            <w:tcW w:w="1636" w:type="dxa"/>
            <w:shd w:val="clear" w:color="auto" w:fill="auto"/>
          </w:tcPr>
          <w:p w14:paraId="52FFF920" w14:textId="77777777" w:rsidR="009021F1" w:rsidRPr="00E637E3" w:rsidRDefault="009021F1" w:rsidP="00E637E3">
            <w:pPr>
              <w:rPr>
                <w:rFonts w:cs="Arial"/>
                <w:sz w:val="24"/>
                <w:szCs w:val="24"/>
              </w:rPr>
            </w:pPr>
            <w:r w:rsidRPr="00E637E3">
              <w:rPr>
                <w:rFonts w:cs="Arial"/>
                <w:sz w:val="24"/>
                <w:szCs w:val="24"/>
              </w:rPr>
              <w:t>Chevauche la zone d'étude du PNDA dans la Province du Nord-Kivu.</w:t>
            </w:r>
          </w:p>
        </w:tc>
        <w:tc>
          <w:tcPr>
            <w:tcW w:w="2790" w:type="dxa"/>
            <w:shd w:val="clear" w:color="auto" w:fill="auto"/>
          </w:tcPr>
          <w:p w14:paraId="41052375" w14:textId="77777777" w:rsidR="009021F1" w:rsidRPr="00E637E3" w:rsidRDefault="009021F1" w:rsidP="00E637E3">
            <w:pPr>
              <w:rPr>
                <w:rFonts w:cs="Arial"/>
                <w:sz w:val="24"/>
                <w:szCs w:val="24"/>
              </w:rPr>
            </w:pPr>
          </w:p>
        </w:tc>
      </w:tr>
    </w:tbl>
    <w:p w14:paraId="6A2AD22F" w14:textId="77777777" w:rsidR="009021F1" w:rsidRPr="008709A1" w:rsidRDefault="009021F1" w:rsidP="009021F1">
      <w:pPr>
        <w:rPr>
          <w:rFonts w:cs="Arial"/>
          <w:sz w:val="20"/>
          <w:szCs w:val="20"/>
        </w:rPr>
      </w:pPr>
    </w:p>
    <w:p w14:paraId="79FA17EF" w14:textId="77777777" w:rsidR="00E637E3" w:rsidRDefault="00E637E3" w:rsidP="009021F1">
      <w:pPr>
        <w:spacing w:line="240" w:lineRule="auto"/>
        <w:jc w:val="left"/>
        <w:rPr>
          <w:szCs w:val="21"/>
        </w:rPr>
        <w:sectPr w:rsidR="00E637E3" w:rsidSect="00E637E3">
          <w:pgSz w:w="16838" w:h="11906" w:orient="landscape"/>
          <w:pgMar w:top="1418" w:right="1134" w:bottom="1418" w:left="1134" w:header="567" w:footer="328" w:gutter="0"/>
          <w:cols w:space="708"/>
          <w:docGrid w:linePitch="360"/>
        </w:sectPr>
      </w:pPr>
    </w:p>
    <w:p w14:paraId="10EC9F01" w14:textId="25450D51" w:rsidR="009021F1" w:rsidRPr="00114059" w:rsidRDefault="009021F1" w:rsidP="009021F1">
      <w:pPr>
        <w:spacing w:line="240" w:lineRule="auto"/>
        <w:jc w:val="left"/>
        <w:rPr>
          <w:szCs w:val="21"/>
        </w:rPr>
      </w:pPr>
      <w:r w:rsidRPr="00114059">
        <w:rPr>
          <w:szCs w:val="21"/>
        </w:rPr>
        <w:t>Ainsi, compte tenu du fait que le PNDA n’a pas encore commencé ses activités, les projets passés n’occasionneront pas d’impacts directs cumulatifs. Seuls les projets en cours occasionneront les impacts cumulatifs s’ils se terminent pendant la mise en œuvre du PNDA.</w:t>
      </w:r>
    </w:p>
    <w:p w14:paraId="609C9FD6" w14:textId="77777777" w:rsidR="009021F1" w:rsidRPr="00114059" w:rsidRDefault="009021F1" w:rsidP="009021F1">
      <w:pPr>
        <w:rPr>
          <w:szCs w:val="21"/>
        </w:rPr>
      </w:pPr>
    </w:p>
    <w:p w14:paraId="73ACB09A" w14:textId="77777777" w:rsidR="009021F1" w:rsidRPr="00114059" w:rsidRDefault="009021F1" w:rsidP="009021F1">
      <w:pPr>
        <w:rPr>
          <w:szCs w:val="21"/>
        </w:rPr>
      </w:pPr>
      <w:r w:rsidRPr="00114059">
        <w:rPr>
          <w:szCs w:val="21"/>
        </w:rPr>
        <w:t>Par ailleurs, ces trois projets futurs vont induire des effets cumulés tant positifs que négatifs avec le PNDA par le fait qu’ils seront réalisés dans la zone restreinte et/ou passent à proximité du périmètre du projet.</w:t>
      </w:r>
    </w:p>
    <w:p w14:paraId="42FFF84F" w14:textId="77777777" w:rsidR="009021F1" w:rsidRPr="00114059" w:rsidRDefault="009021F1" w:rsidP="009021F1">
      <w:pPr>
        <w:rPr>
          <w:szCs w:val="21"/>
        </w:rPr>
      </w:pPr>
    </w:p>
    <w:p w14:paraId="70E5CBFB" w14:textId="77777777" w:rsidR="009021F1" w:rsidRPr="00114059" w:rsidRDefault="009021F1" w:rsidP="009021F1">
      <w:pPr>
        <w:rPr>
          <w:i/>
          <w:szCs w:val="21"/>
          <w:u w:val="single"/>
        </w:rPr>
      </w:pPr>
      <w:r w:rsidRPr="00114059">
        <w:rPr>
          <w:i/>
          <w:szCs w:val="21"/>
          <w:u w:val="single"/>
        </w:rPr>
        <w:t>Analyse des effets cumulatifs et évaluation de l’importance ;</w:t>
      </w:r>
    </w:p>
    <w:p w14:paraId="3ACF61DB" w14:textId="77777777" w:rsidR="009021F1" w:rsidRPr="00114059" w:rsidRDefault="009021F1" w:rsidP="009021F1">
      <w:pPr>
        <w:rPr>
          <w:szCs w:val="21"/>
        </w:rPr>
      </w:pPr>
    </w:p>
    <w:p w14:paraId="40E9EA32" w14:textId="77777777" w:rsidR="009021F1" w:rsidRPr="00114059" w:rsidRDefault="009021F1" w:rsidP="009021F1">
      <w:pPr>
        <w:rPr>
          <w:i/>
          <w:szCs w:val="21"/>
        </w:rPr>
      </w:pPr>
      <w:r w:rsidRPr="00114059">
        <w:rPr>
          <w:i/>
          <w:szCs w:val="21"/>
        </w:rPr>
        <w:t xml:space="preserve">Impacts Positifs </w:t>
      </w:r>
    </w:p>
    <w:p w14:paraId="68CA5F9F" w14:textId="77777777" w:rsidR="009021F1" w:rsidRPr="00114059" w:rsidRDefault="009021F1" w:rsidP="009021F1">
      <w:pPr>
        <w:rPr>
          <w:szCs w:val="21"/>
        </w:rPr>
      </w:pPr>
    </w:p>
    <w:p w14:paraId="36C34056" w14:textId="2F347D1D" w:rsidR="009021F1" w:rsidRPr="00114059" w:rsidRDefault="009021F1" w:rsidP="009021F1">
      <w:pPr>
        <w:rPr>
          <w:szCs w:val="21"/>
        </w:rPr>
      </w:pPr>
      <w:r w:rsidRPr="00114059">
        <w:rPr>
          <w:szCs w:val="21"/>
        </w:rPr>
        <w:t xml:space="preserve">Les impacts positifs cumulatifs attendus de la mise en œuvre du PNDA et des Projets </w:t>
      </w:r>
      <w:r w:rsidR="00E637E3" w:rsidRPr="00114059">
        <w:rPr>
          <w:szCs w:val="21"/>
        </w:rPr>
        <w:t>futures sont</w:t>
      </w:r>
      <w:r w:rsidRPr="00114059">
        <w:rPr>
          <w:szCs w:val="21"/>
        </w:rPr>
        <w:t xml:space="preserve"> résumés dans le Tableau </w:t>
      </w:r>
      <w:r>
        <w:rPr>
          <w:szCs w:val="21"/>
        </w:rPr>
        <w:t>24</w:t>
      </w:r>
      <w:r w:rsidRPr="00114059">
        <w:rPr>
          <w:szCs w:val="21"/>
        </w:rPr>
        <w:t xml:space="preserve"> ci-dessous :</w:t>
      </w:r>
    </w:p>
    <w:p w14:paraId="7B87FA75" w14:textId="77777777" w:rsidR="009021F1" w:rsidRPr="00114059" w:rsidRDefault="009021F1" w:rsidP="009021F1">
      <w:pPr>
        <w:rPr>
          <w:szCs w:val="21"/>
        </w:rPr>
      </w:pPr>
    </w:p>
    <w:p w14:paraId="2AA044D4" w14:textId="77777777" w:rsidR="009021F1" w:rsidRPr="00114059" w:rsidRDefault="009021F1" w:rsidP="009021F1">
      <w:pPr>
        <w:rPr>
          <w:szCs w:val="21"/>
        </w:rPr>
      </w:pPr>
      <w:r w:rsidRPr="00114059">
        <w:rPr>
          <w:rFonts w:cs="Arial"/>
          <w:szCs w:val="21"/>
        </w:rPr>
        <w:t xml:space="preserve">Tableau </w:t>
      </w:r>
      <w:r w:rsidRPr="00114059">
        <w:rPr>
          <w:rFonts w:cs="Arial"/>
          <w:szCs w:val="21"/>
        </w:rPr>
        <w:fldChar w:fldCharType="begin"/>
      </w:r>
      <w:r w:rsidRPr="00114059">
        <w:rPr>
          <w:rFonts w:cs="Arial"/>
          <w:szCs w:val="21"/>
        </w:rPr>
        <w:instrText xml:space="preserve"> SEQ Tableau \* ARABIC </w:instrText>
      </w:r>
      <w:r w:rsidRPr="00114059">
        <w:rPr>
          <w:rFonts w:cs="Arial"/>
          <w:szCs w:val="21"/>
        </w:rPr>
        <w:fldChar w:fldCharType="separate"/>
      </w:r>
      <w:r>
        <w:rPr>
          <w:rFonts w:cs="Arial"/>
          <w:noProof/>
          <w:szCs w:val="21"/>
        </w:rPr>
        <w:t>24</w:t>
      </w:r>
      <w:r w:rsidRPr="00114059">
        <w:rPr>
          <w:rFonts w:cs="Arial"/>
          <w:szCs w:val="21"/>
        </w:rPr>
        <w:fldChar w:fldCharType="end"/>
      </w:r>
      <w:r w:rsidRPr="00114059">
        <w:rPr>
          <w:rFonts w:cs="Arial"/>
          <w:szCs w:val="21"/>
        </w:rPr>
        <w:t>.</w:t>
      </w:r>
      <w:r w:rsidRPr="00114059">
        <w:rPr>
          <w:szCs w:val="21"/>
        </w:rPr>
        <w:t xml:space="preserve"> Impacts positifs cumulatifs</w:t>
      </w:r>
    </w:p>
    <w:p w14:paraId="617D4943" w14:textId="77777777" w:rsidR="009021F1" w:rsidRPr="00114059" w:rsidRDefault="009021F1" w:rsidP="009021F1">
      <w:pPr>
        <w:rPr>
          <w:szCs w:val="21"/>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9"/>
        <w:gridCol w:w="2577"/>
        <w:gridCol w:w="4221"/>
        <w:gridCol w:w="1559"/>
      </w:tblGrid>
      <w:tr w:rsidR="009021F1" w:rsidRPr="00837741" w14:paraId="7E731836" w14:textId="77777777" w:rsidTr="00E637E3">
        <w:tc>
          <w:tcPr>
            <w:tcW w:w="3996" w:type="dxa"/>
            <w:gridSpan w:val="2"/>
            <w:shd w:val="clear" w:color="auto" w:fill="auto"/>
          </w:tcPr>
          <w:p w14:paraId="1E707DC9" w14:textId="77777777" w:rsidR="009021F1" w:rsidRPr="00114059" w:rsidRDefault="009021F1" w:rsidP="00E637E3">
            <w:pPr>
              <w:rPr>
                <w:sz w:val="20"/>
                <w:szCs w:val="20"/>
              </w:rPr>
            </w:pPr>
          </w:p>
          <w:p w14:paraId="5C9657D1" w14:textId="77777777" w:rsidR="009021F1" w:rsidRPr="00114059" w:rsidRDefault="009021F1" w:rsidP="00E637E3">
            <w:pPr>
              <w:rPr>
                <w:sz w:val="20"/>
                <w:szCs w:val="20"/>
              </w:rPr>
            </w:pPr>
            <w:r w:rsidRPr="00114059">
              <w:rPr>
                <w:sz w:val="20"/>
                <w:szCs w:val="20"/>
              </w:rPr>
              <w:t>Composante de l’environnement</w:t>
            </w:r>
          </w:p>
          <w:p w14:paraId="0EB3D7ED" w14:textId="77777777" w:rsidR="009021F1" w:rsidRPr="00114059" w:rsidRDefault="009021F1" w:rsidP="00E637E3">
            <w:pPr>
              <w:rPr>
                <w:sz w:val="20"/>
                <w:szCs w:val="20"/>
              </w:rPr>
            </w:pPr>
          </w:p>
        </w:tc>
        <w:tc>
          <w:tcPr>
            <w:tcW w:w="4221" w:type="dxa"/>
            <w:shd w:val="clear" w:color="auto" w:fill="auto"/>
          </w:tcPr>
          <w:p w14:paraId="246F6143" w14:textId="77777777" w:rsidR="009021F1" w:rsidRPr="00114059" w:rsidRDefault="009021F1" w:rsidP="00E637E3">
            <w:pPr>
              <w:jc w:val="center"/>
              <w:rPr>
                <w:sz w:val="20"/>
                <w:szCs w:val="20"/>
              </w:rPr>
            </w:pPr>
            <w:r w:rsidRPr="00114059">
              <w:rPr>
                <w:sz w:val="20"/>
                <w:szCs w:val="20"/>
              </w:rPr>
              <w:t>Description de l’Impact cumulé positif pendant la phase des travaux et d’exploitation</w:t>
            </w:r>
          </w:p>
        </w:tc>
        <w:tc>
          <w:tcPr>
            <w:tcW w:w="1559" w:type="dxa"/>
            <w:shd w:val="clear" w:color="auto" w:fill="auto"/>
          </w:tcPr>
          <w:p w14:paraId="5FF309BA" w14:textId="77777777" w:rsidR="009021F1" w:rsidRPr="00114059" w:rsidRDefault="009021F1" w:rsidP="00E637E3">
            <w:pPr>
              <w:rPr>
                <w:sz w:val="20"/>
                <w:szCs w:val="20"/>
              </w:rPr>
            </w:pPr>
          </w:p>
          <w:p w14:paraId="09C8FBDE" w14:textId="77777777" w:rsidR="009021F1" w:rsidRPr="00114059" w:rsidRDefault="009021F1" w:rsidP="00E637E3">
            <w:pPr>
              <w:rPr>
                <w:sz w:val="20"/>
                <w:szCs w:val="20"/>
                <w:lang w:val="en-US"/>
              </w:rPr>
            </w:pPr>
            <w:r w:rsidRPr="00114059">
              <w:rPr>
                <w:sz w:val="20"/>
                <w:szCs w:val="20"/>
              </w:rPr>
              <w:t>Résult</w:t>
            </w:r>
            <w:r w:rsidRPr="00114059">
              <w:rPr>
                <w:sz w:val="20"/>
                <w:szCs w:val="20"/>
                <w:lang w:val="en-US"/>
              </w:rPr>
              <w:t>at d’évaluation</w:t>
            </w:r>
          </w:p>
        </w:tc>
      </w:tr>
      <w:tr w:rsidR="009021F1" w:rsidRPr="00837741" w14:paraId="7240FB86" w14:textId="77777777" w:rsidTr="00E637E3">
        <w:tc>
          <w:tcPr>
            <w:tcW w:w="1419" w:type="dxa"/>
            <w:vMerge w:val="restart"/>
            <w:shd w:val="clear" w:color="auto" w:fill="auto"/>
          </w:tcPr>
          <w:p w14:paraId="2074C209" w14:textId="77777777" w:rsidR="009021F1" w:rsidRPr="00114059" w:rsidRDefault="009021F1" w:rsidP="00E637E3">
            <w:pPr>
              <w:rPr>
                <w:sz w:val="20"/>
                <w:szCs w:val="20"/>
                <w:lang w:val="en-US"/>
              </w:rPr>
            </w:pPr>
            <w:r w:rsidRPr="00114059">
              <w:rPr>
                <w:sz w:val="20"/>
                <w:szCs w:val="20"/>
                <w:lang w:val="en-US"/>
              </w:rPr>
              <w:t>Milieu physique</w:t>
            </w:r>
          </w:p>
        </w:tc>
        <w:tc>
          <w:tcPr>
            <w:tcW w:w="2577" w:type="dxa"/>
            <w:shd w:val="clear" w:color="auto" w:fill="auto"/>
          </w:tcPr>
          <w:p w14:paraId="3A4494D5" w14:textId="77777777" w:rsidR="009021F1" w:rsidRPr="00114059" w:rsidRDefault="009021F1" w:rsidP="00E637E3">
            <w:pPr>
              <w:rPr>
                <w:sz w:val="20"/>
                <w:szCs w:val="20"/>
                <w:lang w:val="en-US"/>
              </w:rPr>
            </w:pPr>
            <w:r w:rsidRPr="00114059">
              <w:rPr>
                <w:sz w:val="20"/>
                <w:szCs w:val="20"/>
                <w:lang w:val="en-US"/>
              </w:rPr>
              <w:t>Air</w:t>
            </w:r>
          </w:p>
        </w:tc>
        <w:tc>
          <w:tcPr>
            <w:tcW w:w="4221" w:type="dxa"/>
            <w:shd w:val="clear" w:color="auto" w:fill="auto"/>
          </w:tcPr>
          <w:p w14:paraId="740E86BE" w14:textId="77777777" w:rsidR="009021F1" w:rsidRPr="00114059" w:rsidRDefault="009021F1" w:rsidP="00E637E3">
            <w:pPr>
              <w:jc w:val="left"/>
              <w:rPr>
                <w:sz w:val="20"/>
                <w:szCs w:val="20"/>
              </w:rPr>
            </w:pPr>
            <w:r w:rsidRPr="00114059">
              <w:rPr>
                <w:sz w:val="20"/>
                <w:szCs w:val="20"/>
              </w:rPr>
              <w:t>L'augmentation de la vitesse de circulation et l'amélioration des voies de desserte agricole réduiront les émissions de GES des véhicules.</w:t>
            </w:r>
          </w:p>
        </w:tc>
        <w:tc>
          <w:tcPr>
            <w:tcW w:w="1559" w:type="dxa"/>
            <w:shd w:val="clear" w:color="auto" w:fill="auto"/>
          </w:tcPr>
          <w:p w14:paraId="6C541F48" w14:textId="77777777" w:rsidR="009021F1" w:rsidRPr="00114059" w:rsidRDefault="009021F1" w:rsidP="00E637E3">
            <w:pPr>
              <w:rPr>
                <w:sz w:val="20"/>
                <w:szCs w:val="20"/>
                <w:lang w:val="en-US"/>
              </w:rPr>
            </w:pPr>
            <w:r w:rsidRPr="00114059">
              <w:rPr>
                <w:sz w:val="20"/>
                <w:szCs w:val="20"/>
                <w:lang w:val="en-US"/>
              </w:rPr>
              <w:t xml:space="preserve">Fort </w:t>
            </w:r>
          </w:p>
        </w:tc>
      </w:tr>
      <w:tr w:rsidR="009021F1" w:rsidRPr="00837741" w14:paraId="14C7D705" w14:textId="77777777" w:rsidTr="00E637E3">
        <w:tc>
          <w:tcPr>
            <w:tcW w:w="1419" w:type="dxa"/>
            <w:vMerge/>
            <w:shd w:val="clear" w:color="auto" w:fill="auto"/>
          </w:tcPr>
          <w:p w14:paraId="41FE32F3" w14:textId="77777777" w:rsidR="009021F1" w:rsidRPr="00114059" w:rsidRDefault="009021F1" w:rsidP="00E637E3">
            <w:pPr>
              <w:rPr>
                <w:sz w:val="20"/>
                <w:szCs w:val="20"/>
                <w:lang w:val="en-US"/>
              </w:rPr>
            </w:pPr>
          </w:p>
        </w:tc>
        <w:tc>
          <w:tcPr>
            <w:tcW w:w="2577" w:type="dxa"/>
            <w:shd w:val="clear" w:color="auto" w:fill="auto"/>
          </w:tcPr>
          <w:p w14:paraId="4FF56413" w14:textId="77777777" w:rsidR="009021F1" w:rsidRPr="00114059" w:rsidRDefault="009021F1" w:rsidP="00E637E3">
            <w:pPr>
              <w:rPr>
                <w:sz w:val="20"/>
                <w:szCs w:val="20"/>
                <w:lang w:val="en-US"/>
              </w:rPr>
            </w:pPr>
            <w:r w:rsidRPr="00114059">
              <w:rPr>
                <w:sz w:val="20"/>
                <w:szCs w:val="20"/>
                <w:lang w:val="en-US"/>
              </w:rPr>
              <w:t>Changement climatique</w:t>
            </w:r>
          </w:p>
        </w:tc>
        <w:tc>
          <w:tcPr>
            <w:tcW w:w="4221" w:type="dxa"/>
            <w:shd w:val="clear" w:color="auto" w:fill="auto"/>
          </w:tcPr>
          <w:p w14:paraId="140D17E7" w14:textId="77777777" w:rsidR="009021F1" w:rsidRPr="00114059" w:rsidRDefault="009021F1" w:rsidP="00E637E3">
            <w:pPr>
              <w:jc w:val="left"/>
              <w:rPr>
                <w:sz w:val="20"/>
                <w:szCs w:val="20"/>
              </w:rPr>
            </w:pPr>
            <w:r w:rsidRPr="00114059">
              <w:rPr>
                <w:sz w:val="20"/>
                <w:szCs w:val="20"/>
              </w:rPr>
              <w:t>La mise en œuvre des différents projets agricoles permettra de réduire la consommation de carburant par habitant, ainsi que les émissions de gaz à effet de serre dans le secteur des transports en milieux ruraux.</w:t>
            </w:r>
          </w:p>
        </w:tc>
        <w:tc>
          <w:tcPr>
            <w:tcW w:w="1559" w:type="dxa"/>
            <w:shd w:val="clear" w:color="auto" w:fill="auto"/>
          </w:tcPr>
          <w:p w14:paraId="555ABB14" w14:textId="77777777" w:rsidR="009021F1" w:rsidRPr="00114059" w:rsidRDefault="009021F1" w:rsidP="00E637E3">
            <w:pPr>
              <w:rPr>
                <w:sz w:val="20"/>
                <w:szCs w:val="20"/>
                <w:lang w:val="en-US"/>
              </w:rPr>
            </w:pPr>
            <w:r w:rsidRPr="00114059">
              <w:rPr>
                <w:sz w:val="20"/>
                <w:szCs w:val="20"/>
                <w:lang w:val="en-US"/>
              </w:rPr>
              <w:t>Modéré</w:t>
            </w:r>
          </w:p>
        </w:tc>
      </w:tr>
      <w:tr w:rsidR="009021F1" w:rsidRPr="00837741" w14:paraId="761C0C61" w14:textId="77777777" w:rsidTr="00E637E3">
        <w:tc>
          <w:tcPr>
            <w:tcW w:w="1419" w:type="dxa"/>
            <w:vMerge/>
            <w:shd w:val="clear" w:color="auto" w:fill="auto"/>
          </w:tcPr>
          <w:p w14:paraId="51908BBE" w14:textId="77777777" w:rsidR="009021F1" w:rsidRPr="00114059" w:rsidRDefault="009021F1" w:rsidP="00E637E3">
            <w:pPr>
              <w:rPr>
                <w:sz w:val="20"/>
                <w:szCs w:val="20"/>
                <w:lang w:val="en-US"/>
              </w:rPr>
            </w:pPr>
          </w:p>
        </w:tc>
        <w:tc>
          <w:tcPr>
            <w:tcW w:w="2577" w:type="dxa"/>
            <w:shd w:val="clear" w:color="auto" w:fill="auto"/>
          </w:tcPr>
          <w:p w14:paraId="314DE951" w14:textId="77777777" w:rsidR="009021F1" w:rsidRPr="00114059" w:rsidRDefault="009021F1" w:rsidP="00E637E3">
            <w:pPr>
              <w:rPr>
                <w:sz w:val="20"/>
                <w:szCs w:val="20"/>
                <w:lang w:val="en-US"/>
              </w:rPr>
            </w:pPr>
            <w:r w:rsidRPr="00114059">
              <w:rPr>
                <w:sz w:val="20"/>
                <w:szCs w:val="20"/>
                <w:lang w:val="en-US"/>
              </w:rPr>
              <w:t>Sol</w:t>
            </w:r>
          </w:p>
        </w:tc>
        <w:tc>
          <w:tcPr>
            <w:tcW w:w="4221" w:type="dxa"/>
            <w:shd w:val="clear" w:color="auto" w:fill="auto"/>
          </w:tcPr>
          <w:p w14:paraId="14FC947B" w14:textId="77777777" w:rsidR="009021F1" w:rsidRPr="00114059" w:rsidRDefault="009021F1" w:rsidP="00E637E3">
            <w:pPr>
              <w:jc w:val="left"/>
              <w:rPr>
                <w:sz w:val="20"/>
                <w:szCs w:val="20"/>
              </w:rPr>
            </w:pPr>
            <w:r w:rsidRPr="00114059">
              <w:rPr>
                <w:sz w:val="20"/>
                <w:szCs w:val="20"/>
              </w:rPr>
              <w:t>La rehabilitation des voies de desserte agricole et leur entretien permanent va induire à la disparition des grandes érosions qui dégradent actuellement les pistes rurales dans les provinces concernées par le PNDA</w:t>
            </w:r>
          </w:p>
        </w:tc>
        <w:tc>
          <w:tcPr>
            <w:tcW w:w="1559" w:type="dxa"/>
            <w:shd w:val="clear" w:color="auto" w:fill="auto"/>
          </w:tcPr>
          <w:p w14:paraId="38D8F42C" w14:textId="77777777" w:rsidR="009021F1" w:rsidRPr="00114059" w:rsidRDefault="009021F1" w:rsidP="00E637E3">
            <w:pPr>
              <w:rPr>
                <w:sz w:val="20"/>
                <w:szCs w:val="20"/>
                <w:lang w:val="en-US"/>
              </w:rPr>
            </w:pPr>
            <w:r w:rsidRPr="00114059">
              <w:rPr>
                <w:sz w:val="20"/>
                <w:szCs w:val="20"/>
                <w:lang w:val="en-US"/>
              </w:rPr>
              <w:t>Fort</w:t>
            </w:r>
          </w:p>
        </w:tc>
      </w:tr>
      <w:tr w:rsidR="009021F1" w:rsidRPr="00837741" w14:paraId="1B7DEEE0" w14:textId="77777777" w:rsidTr="00E637E3">
        <w:tc>
          <w:tcPr>
            <w:tcW w:w="1419" w:type="dxa"/>
            <w:vMerge/>
            <w:shd w:val="clear" w:color="auto" w:fill="auto"/>
          </w:tcPr>
          <w:p w14:paraId="2D13E19F" w14:textId="77777777" w:rsidR="009021F1" w:rsidRPr="00114059" w:rsidRDefault="009021F1" w:rsidP="00E637E3">
            <w:pPr>
              <w:rPr>
                <w:sz w:val="20"/>
                <w:szCs w:val="20"/>
                <w:lang w:val="en-US"/>
              </w:rPr>
            </w:pPr>
          </w:p>
        </w:tc>
        <w:tc>
          <w:tcPr>
            <w:tcW w:w="2577" w:type="dxa"/>
            <w:shd w:val="clear" w:color="auto" w:fill="auto"/>
          </w:tcPr>
          <w:p w14:paraId="6EC35851" w14:textId="77777777" w:rsidR="009021F1" w:rsidRPr="00114059" w:rsidRDefault="009021F1" w:rsidP="00E637E3">
            <w:pPr>
              <w:rPr>
                <w:sz w:val="20"/>
                <w:szCs w:val="20"/>
                <w:lang w:val="en-US"/>
              </w:rPr>
            </w:pPr>
            <w:r w:rsidRPr="00114059">
              <w:rPr>
                <w:sz w:val="20"/>
                <w:szCs w:val="20"/>
                <w:lang w:val="en-US"/>
              </w:rPr>
              <w:t>Végétation</w:t>
            </w:r>
          </w:p>
        </w:tc>
        <w:tc>
          <w:tcPr>
            <w:tcW w:w="4221" w:type="dxa"/>
            <w:shd w:val="clear" w:color="auto" w:fill="auto"/>
          </w:tcPr>
          <w:p w14:paraId="5720072C" w14:textId="77777777" w:rsidR="009021F1" w:rsidRPr="00114059" w:rsidRDefault="009021F1" w:rsidP="00E637E3">
            <w:pPr>
              <w:jc w:val="left"/>
              <w:rPr>
                <w:sz w:val="20"/>
                <w:szCs w:val="20"/>
              </w:rPr>
            </w:pPr>
            <w:r w:rsidRPr="00114059">
              <w:rPr>
                <w:sz w:val="20"/>
                <w:szCs w:val="20"/>
              </w:rPr>
              <w:t>La mise en œuvre du PNDA et les projets futurs du secteur agricole va occasionner la plantation des arbres à croissance rapide à des espaces paysagers (reboisement)</w:t>
            </w:r>
          </w:p>
        </w:tc>
        <w:tc>
          <w:tcPr>
            <w:tcW w:w="1559" w:type="dxa"/>
            <w:shd w:val="clear" w:color="auto" w:fill="auto"/>
          </w:tcPr>
          <w:p w14:paraId="02C0049F" w14:textId="77777777" w:rsidR="009021F1" w:rsidRPr="00114059" w:rsidRDefault="009021F1" w:rsidP="00E637E3">
            <w:pPr>
              <w:rPr>
                <w:sz w:val="20"/>
                <w:szCs w:val="20"/>
                <w:lang w:val="en-US"/>
              </w:rPr>
            </w:pPr>
            <w:r w:rsidRPr="00114059">
              <w:rPr>
                <w:sz w:val="20"/>
                <w:szCs w:val="20"/>
                <w:lang w:val="en-US"/>
              </w:rPr>
              <w:t>fort</w:t>
            </w:r>
          </w:p>
        </w:tc>
      </w:tr>
      <w:tr w:rsidR="009021F1" w:rsidRPr="00837741" w14:paraId="609526E7" w14:textId="77777777" w:rsidTr="00E637E3">
        <w:tc>
          <w:tcPr>
            <w:tcW w:w="1419" w:type="dxa"/>
            <w:shd w:val="clear" w:color="auto" w:fill="auto"/>
          </w:tcPr>
          <w:p w14:paraId="4941DA2C" w14:textId="77777777" w:rsidR="009021F1" w:rsidRPr="00114059" w:rsidRDefault="009021F1" w:rsidP="00E637E3">
            <w:pPr>
              <w:rPr>
                <w:sz w:val="20"/>
                <w:szCs w:val="20"/>
                <w:lang w:val="en-US"/>
              </w:rPr>
            </w:pPr>
          </w:p>
        </w:tc>
        <w:tc>
          <w:tcPr>
            <w:tcW w:w="2577" w:type="dxa"/>
            <w:shd w:val="clear" w:color="auto" w:fill="auto"/>
          </w:tcPr>
          <w:p w14:paraId="7E5BAFCF" w14:textId="77777777" w:rsidR="009021F1" w:rsidRPr="00114059" w:rsidRDefault="009021F1" w:rsidP="00E637E3">
            <w:pPr>
              <w:rPr>
                <w:sz w:val="20"/>
                <w:szCs w:val="20"/>
                <w:lang w:val="en-US"/>
              </w:rPr>
            </w:pPr>
            <w:r w:rsidRPr="00114059">
              <w:rPr>
                <w:sz w:val="20"/>
                <w:szCs w:val="20"/>
                <w:lang w:val="en-US"/>
              </w:rPr>
              <w:t>Pauvreté et économie</w:t>
            </w:r>
          </w:p>
        </w:tc>
        <w:tc>
          <w:tcPr>
            <w:tcW w:w="4221" w:type="dxa"/>
            <w:shd w:val="clear" w:color="auto" w:fill="auto"/>
          </w:tcPr>
          <w:p w14:paraId="1E7492A2" w14:textId="77777777" w:rsidR="009021F1" w:rsidRPr="00114059" w:rsidRDefault="009021F1" w:rsidP="00E637E3">
            <w:pPr>
              <w:rPr>
                <w:sz w:val="20"/>
                <w:szCs w:val="20"/>
              </w:rPr>
            </w:pPr>
            <w:r w:rsidRPr="00114059">
              <w:rPr>
                <w:sz w:val="20"/>
                <w:szCs w:val="20"/>
              </w:rPr>
              <w:t xml:space="preserve">En mettant en œuvre le Projet PNDA et les autres projets futurs du secteur agricoles et infrastructures routières et de santé, le grand public bénéficiera d'une meilleure evacuation des produits agricoles, la commercialisation des produits agricoles, </w:t>
            </w:r>
          </w:p>
        </w:tc>
        <w:tc>
          <w:tcPr>
            <w:tcW w:w="1559" w:type="dxa"/>
            <w:shd w:val="clear" w:color="auto" w:fill="auto"/>
          </w:tcPr>
          <w:p w14:paraId="792A2332" w14:textId="77777777" w:rsidR="009021F1" w:rsidRPr="00114059" w:rsidRDefault="009021F1" w:rsidP="00E637E3">
            <w:pPr>
              <w:rPr>
                <w:sz w:val="20"/>
                <w:szCs w:val="20"/>
                <w:lang w:val="en-US"/>
              </w:rPr>
            </w:pPr>
            <w:r w:rsidRPr="00114059">
              <w:rPr>
                <w:sz w:val="20"/>
                <w:szCs w:val="20"/>
                <w:lang w:val="en-US"/>
              </w:rPr>
              <w:t>Fort</w:t>
            </w:r>
          </w:p>
        </w:tc>
      </w:tr>
      <w:tr w:rsidR="009021F1" w:rsidRPr="00837741" w14:paraId="76BCA2D2" w14:textId="77777777" w:rsidTr="00E637E3">
        <w:tc>
          <w:tcPr>
            <w:tcW w:w="1419" w:type="dxa"/>
            <w:vMerge w:val="restart"/>
            <w:shd w:val="clear" w:color="auto" w:fill="auto"/>
          </w:tcPr>
          <w:p w14:paraId="550261EE" w14:textId="77777777" w:rsidR="009021F1" w:rsidRPr="00114059" w:rsidRDefault="009021F1" w:rsidP="00E637E3">
            <w:pPr>
              <w:rPr>
                <w:sz w:val="20"/>
                <w:szCs w:val="20"/>
                <w:lang w:val="en-US"/>
              </w:rPr>
            </w:pPr>
            <w:r w:rsidRPr="00114059">
              <w:rPr>
                <w:sz w:val="20"/>
                <w:szCs w:val="20"/>
                <w:lang w:val="en-US"/>
              </w:rPr>
              <w:t>Humain</w:t>
            </w:r>
          </w:p>
        </w:tc>
        <w:tc>
          <w:tcPr>
            <w:tcW w:w="2577" w:type="dxa"/>
            <w:shd w:val="clear" w:color="auto" w:fill="auto"/>
          </w:tcPr>
          <w:p w14:paraId="5773C485" w14:textId="77777777" w:rsidR="009021F1" w:rsidRPr="00114059" w:rsidRDefault="009021F1" w:rsidP="00E637E3">
            <w:pPr>
              <w:rPr>
                <w:sz w:val="20"/>
                <w:szCs w:val="20"/>
              </w:rPr>
            </w:pPr>
            <w:r w:rsidRPr="00114059">
              <w:rPr>
                <w:sz w:val="20"/>
                <w:szCs w:val="20"/>
              </w:rPr>
              <w:t>Circulation/équipements publics, infrastructures, services sociaux</w:t>
            </w:r>
          </w:p>
        </w:tc>
        <w:tc>
          <w:tcPr>
            <w:tcW w:w="4221" w:type="dxa"/>
            <w:shd w:val="clear" w:color="auto" w:fill="auto"/>
          </w:tcPr>
          <w:p w14:paraId="0F471316" w14:textId="77777777" w:rsidR="009021F1" w:rsidRPr="00114059" w:rsidRDefault="009021F1" w:rsidP="00E637E3">
            <w:pPr>
              <w:pStyle w:val="Paragraphedeliste"/>
              <w:ind w:left="2"/>
              <w:jc w:val="left"/>
              <w:rPr>
                <w:sz w:val="20"/>
                <w:szCs w:val="20"/>
              </w:rPr>
            </w:pPr>
            <w:r w:rsidRPr="00114059">
              <w:rPr>
                <w:sz w:val="20"/>
                <w:szCs w:val="20"/>
              </w:rPr>
              <w:t>Grâce à la mise en œuvre du PNDA et les projets futurs, les entreprises auront un meilleur accès aux biens, aux consommateurs et aux travailleurs.</w:t>
            </w:r>
          </w:p>
        </w:tc>
        <w:tc>
          <w:tcPr>
            <w:tcW w:w="1559" w:type="dxa"/>
            <w:shd w:val="clear" w:color="auto" w:fill="auto"/>
          </w:tcPr>
          <w:p w14:paraId="34B3F4A1" w14:textId="77777777" w:rsidR="009021F1" w:rsidRPr="00114059" w:rsidRDefault="009021F1" w:rsidP="00E637E3">
            <w:pPr>
              <w:rPr>
                <w:sz w:val="20"/>
                <w:szCs w:val="20"/>
                <w:lang w:val="en-US"/>
              </w:rPr>
            </w:pPr>
            <w:r w:rsidRPr="00114059">
              <w:rPr>
                <w:sz w:val="20"/>
                <w:szCs w:val="20"/>
                <w:lang w:val="en-US"/>
              </w:rPr>
              <w:t>Modéré</w:t>
            </w:r>
          </w:p>
        </w:tc>
      </w:tr>
      <w:tr w:rsidR="009021F1" w:rsidRPr="00837741" w14:paraId="3DEE474E" w14:textId="77777777" w:rsidTr="00E637E3">
        <w:tc>
          <w:tcPr>
            <w:tcW w:w="1419" w:type="dxa"/>
            <w:vMerge/>
            <w:shd w:val="clear" w:color="auto" w:fill="auto"/>
          </w:tcPr>
          <w:p w14:paraId="3DBF466E" w14:textId="77777777" w:rsidR="009021F1" w:rsidRPr="00114059" w:rsidRDefault="009021F1" w:rsidP="00E637E3">
            <w:pPr>
              <w:rPr>
                <w:sz w:val="20"/>
                <w:szCs w:val="20"/>
                <w:lang w:val="en-US"/>
              </w:rPr>
            </w:pPr>
          </w:p>
        </w:tc>
        <w:tc>
          <w:tcPr>
            <w:tcW w:w="2577" w:type="dxa"/>
            <w:shd w:val="clear" w:color="auto" w:fill="auto"/>
          </w:tcPr>
          <w:p w14:paraId="6DFDB26A" w14:textId="77777777" w:rsidR="009021F1" w:rsidRPr="00114059" w:rsidRDefault="009021F1" w:rsidP="00E637E3">
            <w:pPr>
              <w:rPr>
                <w:sz w:val="20"/>
                <w:szCs w:val="20"/>
              </w:rPr>
            </w:pPr>
            <w:r w:rsidRPr="00114059">
              <w:rPr>
                <w:sz w:val="20"/>
                <w:szCs w:val="20"/>
              </w:rPr>
              <w:t>Genre et VBG/EAS/HS</w:t>
            </w:r>
          </w:p>
        </w:tc>
        <w:tc>
          <w:tcPr>
            <w:tcW w:w="4221" w:type="dxa"/>
            <w:shd w:val="clear" w:color="auto" w:fill="auto"/>
          </w:tcPr>
          <w:p w14:paraId="38B27F26" w14:textId="77777777" w:rsidR="009021F1" w:rsidRPr="00114059" w:rsidRDefault="009021F1" w:rsidP="00E637E3">
            <w:pPr>
              <w:rPr>
                <w:sz w:val="20"/>
                <w:szCs w:val="20"/>
              </w:rPr>
            </w:pPr>
            <w:r w:rsidRPr="00114059">
              <w:rPr>
                <w:sz w:val="20"/>
                <w:szCs w:val="20"/>
              </w:rPr>
              <w:t>En réaménageant les pistes rurales autour des marchés, abattoirs, etc. la congestion devant les marchés sera réduite. En outre, en mettra en œuvre le PNDA et les Projets futurs, l’on va observer la réduction de VBG/EAS/HS à travers la sensibilisation de toutes les parties prenantes</w:t>
            </w:r>
          </w:p>
        </w:tc>
        <w:tc>
          <w:tcPr>
            <w:tcW w:w="1559" w:type="dxa"/>
            <w:shd w:val="clear" w:color="auto" w:fill="auto"/>
          </w:tcPr>
          <w:p w14:paraId="32C4AB59" w14:textId="77777777" w:rsidR="009021F1" w:rsidRPr="00114059" w:rsidRDefault="009021F1" w:rsidP="00E637E3">
            <w:pPr>
              <w:rPr>
                <w:sz w:val="20"/>
                <w:szCs w:val="20"/>
                <w:lang w:val="en-US"/>
              </w:rPr>
            </w:pPr>
            <w:r w:rsidRPr="00114059">
              <w:rPr>
                <w:sz w:val="20"/>
                <w:szCs w:val="20"/>
                <w:lang w:val="en-US"/>
              </w:rPr>
              <w:t>Modéré</w:t>
            </w:r>
          </w:p>
        </w:tc>
      </w:tr>
    </w:tbl>
    <w:p w14:paraId="79324A3B" w14:textId="77777777" w:rsidR="009021F1" w:rsidRPr="00114059" w:rsidRDefault="009021F1" w:rsidP="009021F1">
      <w:pPr>
        <w:rPr>
          <w:szCs w:val="21"/>
        </w:rPr>
      </w:pPr>
    </w:p>
    <w:p w14:paraId="1956C3E7" w14:textId="77777777" w:rsidR="009021F1" w:rsidRPr="00114059" w:rsidRDefault="009021F1" w:rsidP="009021F1">
      <w:pPr>
        <w:rPr>
          <w:szCs w:val="21"/>
        </w:rPr>
      </w:pPr>
    </w:p>
    <w:p w14:paraId="30A6422C" w14:textId="77777777" w:rsidR="009021F1" w:rsidRPr="00114059" w:rsidRDefault="009021F1" w:rsidP="009021F1">
      <w:pPr>
        <w:rPr>
          <w:i/>
          <w:szCs w:val="21"/>
        </w:rPr>
      </w:pPr>
      <w:r w:rsidRPr="00114059">
        <w:rPr>
          <w:i/>
          <w:szCs w:val="21"/>
        </w:rPr>
        <w:t xml:space="preserve">Impacts négatifs </w:t>
      </w:r>
    </w:p>
    <w:p w14:paraId="75454FDF" w14:textId="77777777" w:rsidR="009021F1" w:rsidRPr="00114059" w:rsidRDefault="009021F1" w:rsidP="009021F1">
      <w:pPr>
        <w:rPr>
          <w:szCs w:val="21"/>
        </w:rPr>
      </w:pPr>
    </w:p>
    <w:p w14:paraId="7F161F8F" w14:textId="77777777" w:rsidR="009021F1" w:rsidRPr="00114059" w:rsidRDefault="009021F1" w:rsidP="009021F1">
      <w:pPr>
        <w:rPr>
          <w:szCs w:val="21"/>
        </w:rPr>
      </w:pPr>
      <w:r w:rsidRPr="00114059">
        <w:rPr>
          <w:rFonts w:cs="Arial"/>
          <w:szCs w:val="21"/>
        </w:rPr>
        <w:t xml:space="preserve">Tableau </w:t>
      </w:r>
      <w:r w:rsidRPr="00114059">
        <w:rPr>
          <w:rFonts w:cs="Arial"/>
          <w:szCs w:val="21"/>
        </w:rPr>
        <w:fldChar w:fldCharType="begin"/>
      </w:r>
      <w:r w:rsidRPr="00114059">
        <w:rPr>
          <w:rFonts w:cs="Arial"/>
          <w:szCs w:val="21"/>
        </w:rPr>
        <w:instrText xml:space="preserve"> SEQ Tableau \* ARABIC </w:instrText>
      </w:r>
      <w:r w:rsidRPr="00114059">
        <w:rPr>
          <w:rFonts w:cs="Arial"/>
          <w:szCs w:val="21"/>
        </w:rPr>
        <w:fldChar w:fldCharType="separate"/>
      </w:r>
      <w:r>
        <w:rPr>
          <w:rFonts w:cs="Arial"/>
          <w:noProof/>
          <w:szCs w:val="21"/>
        </w:rPr>
        <w:t>25</w:t>
      </w:r>
      <w:r w:rsidRPr="00114059">
        <w:rPr>
          <w:rFonts w:cs="Arial"/>
          <w:szCs w:val="21"/>
        </w:rPr>
        <w:fldChar w:fldCharType="end"/>
      </w:r>
      <w:r w:rsidRPr="00114059">
        <w:rPr>
          <w:rFonts w:cs="Arial"/>
          <w:szCs w:val="21"/>
        </w:rPr>
        <w:t xml:space="preserve">. </w:t>
      </w:r>
      <w:r w:rsidRPr="00114059">
        <w:rPr>
          <w:szCs w:val="21"/>
        </w:rPr>
        <w:t>Impacts négatifs cumulatifs</w:t>
      </w:r>
    </w:p>
    <w:p w14:paraId="0EC5B367" w14:textId="77777777" w:rsidR="009021F1" w:rsidRPr="00114059" w:rsidRDefault="009021F1" w:rsidP="009021F1">
      <w:pPr>
        <w:rPr>
          <w:i/>
          <w:szCs w:val="21"/>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1"/>
        <w:gridCol w:w="2379"/>
        <w:gridCol w:w="4477"/>
        <w:gridCol w:w="1559"/>
      </w:tblGrid>
      <w:tr w:rsidR="009021F1" w:rsidRPr="00837741" w14:paraId="2B3DC274" w14:textId="77777777" w:rsidTr="00E637E3">
        <w:trPr>
          <w:trHeight w:val="451"/>
        </w:trPr>
        <w:tc>
          <w:tcPr>
            <w:tcW w:w="3740" w:type="dxa"/>
            <w:gridSpan w:val="2"/>
            <w:shd w:val="clear" w:color="auto" w:fill="auto"/>
          </w:tcPr>
          <w:p w14:paraId="51803309" w14:textId="77777777" w:rsidR="009021F1" w:rsidRPr="00114059" w:rsidRDefault="009021F1" w:rsidP="00E637E3">
            <w:pPr>
              <w:rPr>
                <w:sz w:val="20"/>
                <w:szCs w:val="20"/>
                <w:lang w:val="en-US"/>
              </w:rPr>
            </w:pPr>
          </w:p>
          <w:p w14:paraId="3E32B816" w14:textId="77777777" w:rsidR="009021F1" w:rsidRPr="00114059" w:rsidRDefault="009021F1" w:rsidP="00E637E3">
            <w:pPr>
              <w:rPr>
                <w:sz w:val="20"/>
                <w:szCs w:val="20"/>
                <w:lang w:val="en-US"/>
              </w:rPr>
            </w:pPr>
            <w:r w:rsidRPr="00114059">
              <w:rPr>
                <w:sz w:val="20"/>
                <w:szCs w:val="20"/>
                <w:lang w:val="en-US"/>
              </w:rPr>
              <w:t>Composante de l’environnement</w:t>
            </w:r>
          </w:p>
          <w:p w14:paraId="3ACCF956" w14:textId="77777777" w:rsidR="009021F1" w:rsidRPr="00114059" w:rsidRDefault="009021F1" w:rsidP="00E637E3">
            <w:pPr>
              <w:rPr>
                <w:sz w:val="20"/>
                <w:szCs w:val="20"/>
                <w:lang w:val="en-US"/>
              </w:rPr>
            </w:pPr>
          </w:p>
        </w:tc>
        <w:tc>
          <w:tcPr>
            <w:tcW w:w="4477" w:type="dxa"/>
            <w:shd w:val="clear" w:color="auto" w:fill="auto"/>
          </w:tcPr>
          <w:p w14:paraId="64862DCF" w14:textId="77777777" w:rsidR="009021F1" w:rsidRPr="00114059" w:rsidRDefault="009021F1" w:rsidP="00E637E3">
            <w:pPr>
              <w:jc w:val="center"/>
              <w:rPr>
                <w:sz w:val="20"/>
                <w:szCs w:val="20"/>
              </w:rPr>
            </w:pPr>
            <w:r w:rsidRPr="00114059">
              <w:rPr>
                <w:sz w:val="20"/>
                <w:szCs w:val="20"/>
              </w:rPr>
              <w:t>Description de l’Impact cumulé positif pendant la phase des travaux et d’exploitation</w:t>
            </w:r>
          </w:p>
        </w:tc>
        <w:tc>
          <w:tcPr>
            <w:tcW w:w="1559" w:type="dxa"/>
            <w:shd w:val="clear" w:color="auto" w:fill="auto"/>
          </w:tcPr>
          <w:p w14:paraId="0A9848AD" w14:textId="77777777" w:rsidR="009021F1" w:rsidRPr="00114059" w:rsidRDefault="009021F1" w:rsidP="00E637E3">
            <w:pPr>
              <w:rPr>
                <w:sz w:val="20"/>
                <w:szCs w:val="20"/>
              </w:rPr>
            </w:pPr>
          </w:p>
          <w:p w14:paraId="0F28CC99" w14:textId="77777777" w:rsidR="009021F1" w:rsidRPr="00114059" w:rsidRDefault="009021F1" w:rsidP="00E637E3">
            <w:pPr>
              <w:rPr>
                <w:sz w:val="20"/>
                <w:szCs w:val="20"/>
                <w:lang w:val="en-US"/>
              </w:rPr>
            </w:pPr>
            <w:r w:rsidRPr="00114059">
              <w:rPr>
                <w:sz w:val="20"/>
                <w:szCs w:val="20"/>
                <w:lang w:val="en-US"/>
              </w:rPr>
              <w:t>Résultat d’évaluation</w:t>
            </w:r>
          </w:p>
        </w:tc>
      </w:tr>
      <w:tr w:rsidR="009021F1" w:rsidRPr="00837741" w14:paraId="56963B0B" w14:textId="77777777" w:rsidTr="00E637E3">
        <w:tc>
          <w:tcPr>
            <w:tcW w:w="1361" w:type="dxa"/>
            <w:shd w:val="clear" w:color="auto" w:fill="auto"/>
          </w:tcPr>
          <w:p w14:paraId="7B59B0CE" w14:textId="77777777" w:rsidR="009021F1" w:rsidRPr="00114059" w:rsidRDefault="009021F1" w:rsidP="00E637E3">
            <w:pPr>
              <w:rPr>
                <w:sz w:val="20"/>
                <w:szCs w:val="20"/>
                <w:lang w:val="en-US"/>
              </w:rPr>
            </w:pPr>
            <w:r w:rsidRPr="00114059">
              <w:rPr>
                <w:sz w:val="20"/>
                <w:szCs w:val="20"/>
                <w:lang w:val="en-US"/>
              </w:rPr>
              <w:t>Milieu physique</w:t>
            </w:r>
          </w:p>
        </w:tc>
        <w:tc>
          <w:tcPr>
            <w:tcW w:w="2379" w:type="dxa"/>
            <w:shd w:val="clear" w:color="auto" w:fill="auto"/>
          </w:tcPr>
          <w:p w14:paraId="3AE0D8C8" w14:textId="77777777" w:rsidR="009021F1" w:rsidRPr="00114059" w:rsidRDefault="009021F1" w:rsidP="00E637E3">
            <w:pPr>
              <w:rPr>
                <w:sz w:val="20"/>
                <w:szCs w:val="20"/>
                <w:lang w:val="en-US"/>
              </w:rPr>
            </w:pPr>
            <w:r w:rsidRPr="00114059">
              <w:rPr>
                <w:sz w:val="20"/>
                <w:szCs w:val="20"/>
                <w:lang w:val="en-US"/>
              </w:rPr>
              <w:t>Air</w:t>
            </w:r>
          </w:p>
        </w:tc>
        <w:tc>
          <w:tcPr>
            <w:tcW w:w="4477" w:type="dxa"/>
            <w:shd w:val="clear" w:color="auto" w:fill="auto"/>
          </w:tcPr>
          <w:p w14:paraId="5EE93391" w14:textId="77777777" w:rsidR="009021F1" w:rsidRPr="00114059" w:rsidRDefault="009021F1" w:rsidP="00E637E3">
            <w:pPr>
              <w:rPr>
                <w:sz w:val="20"/>
                <w:szCs w:val="20"/>
              </w:rPr>
            </w:pPr>
            <w:r w:rsidRPr="00114059">
              <w:rPr>
                <w:sz w:val="20"/>
                <w:szCs w:val="20"/>
              </w:rPr>
              <w:t>Risque de Pollution atmosphérique et sonore suite à la circulation des engins et véhicules</w:t>
            </w:r>
          </w:p>
        </w:tc>
        <w:tc>
          <w:tcPr>
            <w:tcW w:w="1559" w:type="dxa"/>
            <w:shd w:val="clear" w:color="auto" w:fill="auto"/>
          </w:tcPr>
          <w:p w14:paraId="336C2362" w14:textId="77777777" w:rsidR="009021F1" w:rsidRPr="00114059" w:rsidRDefault="009021F1" w:rsidP="00E637E3">
            <w:pPr>
              <w:rPr>
                <w:sz w:val="20"/>
                <w:szCs w:val="20"/>
                <w:lang w:val="en-US"/>
              </w:rPr>
            </w:pPr>
            <w:r w:rsidRPr="00114059">
              <w:rPr>
                <w:sz w:val="20"/>
                <w:szCs w:val="20"/>
                <w:lang w:val="en-US"/>
              </w:rPr>
              <w:t>modéré</w:t>
            </w:r>
          </w:p>
        </w:tc>
      </w:tr>
      <w:tr w:rsidR="009021F1" w:rsidRPr="00837741" w14:paraId="7ED3C85A" w14:textId="77777777" w:rsidTr="00E637E3">
        <w:tc>
          <w:tcPr>
            <w:tcW w:w="1361" w:type="dxa"/>
            <w:shd w:val="clear" w:color="auto" w:fill="auto"/>
          </w:tcPr>
          <w:p w14:paraId="5C640A08" w14:textId="77777777" w:rsidR="009021F1" w:rsidRPr="00114059" w:rsidRDefault="009021F1" w:rsidP="00E637E3">
            <w:pPr>
              <w:rPr>
                <w:sz w:val="20"/>
                <w:szCs w:val="20"/>
                <w:lang w:val="en-US"/>
              </w:rPr>
            </w:pPr>
          </w:p>
        </w:tc>
        <w:tc>
          <w:tcPr>
            <w:tcW w:w="2379" w:type="dxa"/>
            <w:shd w:val="clear" w:color="auto" w:fill="auto"/>
          </w:tcPr>
          <w:p w14:paraId="04E1CA79" w14:textId="77777777" w:rsidR="009021F1" w:rsidRPr="00114059" w:rsidRDefault="009021F1" w:rsidP="00E637E3">
            <w:pPr>
              <w:rPr>
                <w:sz w:val="20"/>
                <w:szCs w:val="20"/>
                <w:lang w:val="en-US"/>
              </w:rPr>
            </w:pPr>
            <w:r w:rsidRPr="00114059">
              <w:rPr>
                <w:sz w:val="20"/>
                <w:szCs w:val="20"/>
                <w:lang w:val="en-US"/>
              </w:rPr>
              <w:t>Sol</w:t>
            </w:r>
          </w:p>
        </w:tc>
        <w:tc>
          <w:tcPr>
            <w:tcW w:w="4477" w:type="dxa"/>
            <w:shd w:val="clear" w:color="auto" w:fill="auto"/>
          </w:tcPr>
          <w:p w14:paraId="65213735" w14:textId="77777777" w:rsidR="009021F1" w:rsidRPr="00114059" w:rsidRDefault="009021F1" w:rsidP="00E637E3">
            <w:pPr>
              <w:rPr>
                <w:sz w:val="20"/>
                <w:szCs w:val="20"/>
              </w:rPr>
            </w:pPr>
            <w:r w:rsidRPr="00114059">
              <w:rPr>
                <w:sz w:val="20"/>
                <w:szCs w:val="20"/>
              </w:rPr>
              <w:t>Risqué de la pollution du sol suite à l’utilisation de pesticide</w:t>
            </w:r>
          </w:p>
        </w:tc>
        <w:tc>
          <w:tcPr>
            <w:tcW w:w="1559" w:type="dxa"/>
            <w:shd w:val="clear" w:color="auto" w:fill="auto"/>
          </w:tcPr>
          <w:p w14:paraId="464FCF62" w14:textId="77777777" w:rsidR="009021F1" w:rsidRPr="00114059" w:rsidRDefault="009021F1" w:rsidP="00E637E3">
            <w:pPr>
              <w:rPr>
                <w:sz w:val="20"/>
                <w:szCs w:val="20"/>
                <w:lang w:val="en-US"/>
              </w:rPr>
            </w:pPr>
            <w:r w:rsidRPr="00114059">
              <w:rPr>
                <w:sz w:val="20"/>
                <w:szCs w:val="20"/>
                <w:lang w:val="en-US"/>
              </w:rPr>
              <w:t>modéré</w:t>
            </w:r>
          </w:p>
        </w:tc>
      </w:tr>
      <w:tr w:rsidR="009021F1" w:rsidRPr="00837741" w14:paraId="066243F3" w14:textId="77777777" w:rsidTr="00E637E3">
        <w:tc>
          <w:tcPr>
            <w:tcW w:w="1361" w:type="dxa"/>
            <w:shd w:val="clear" w:color="auto" w:fill="auto"/>
          </w:tcPr>
          <w:p w14:paraId="1DBA182A" w14:textId="77777777" w:rsidR="009021F1" w:rsidRPr="00114059" w:rsidRDefault="009021F1" w:rsidP="00E637E3">
            <w:pPr>
              <w:rPr>
                <w:sz w:val="20"/>
                <w:szCs w:val="20"/>
                <w:lang w:val="en-US"/>
              </w:rPr>
            </w:pPr>
          </w:p>
        </w:tc>
        <w:tc>
          <w:tcPr>
            <w:tcW w:w="2379" w:type="dxa"/>
            <w:shd w:val="clear" w:color="auto" w:fill="auto"/>
          </w:tcPr>
          <w:p w14:paraId="073DB34A" w14:textId="77777777" w:rsidR="009021F1" w:rsidRPr="00114059" w:rsidRDefault="009021F1" w:rsidP="00E637E3">
            <w:pPr>
              <w:rPr>
                <w:sz w:val="20"/>
                <w:szCs w:val="20"/>
                <w:lang w:val="en-US"/>
              </w:rPr>
            </w:pPr>
            <w:r w:rsidRPr="00114059">
              <w:rPr>
                <w:sz w:val="20"/>
                <w:szCs w:val="20"/>
                <w:lang w:val="en-US"/>
              </w:rPr>
              <w:t>Eau</w:t>
            </w:r>
          </w:p>
        </w:tc>
        <w:tc>
          <w:tcPr>
            <w:tcW w:w="4477" w:type="dxa"/>
            <w:shd w:val="clear" w:color="auto" w:fill="auto"/>
          </w:tcPr>
          <w:p w14:paraId="6513E1EA" w14:textId="77777777" w:rsidR="009021F1" w:rsidRPr="00114059" w:rsidRDefault="009021F1" w:rsidP="00E637E3">
            <w:pPr>
              <w:rPr>
                <w:sz w:val="20"/>
                <w:szCs w:val="20"/>
              </w:rPr>
            </w:pPr>
            <w:r w:rsidRPr="00114059">
              <w:rPr>
                <w:sz w:val="20"/>
                <w:szCs w:val="20"/>
              </w:rPr>
              <w:t>Risque de la turbudité de l’eau de surface suite aux travaux d’irrigation d’eau pour les activités de la riziculture</w:t>
            </w:r>
          </w:p>
        </w:tc>
        <w:tc>
          <w:tcPr>
            <w:tcW w:w="1559" w:type="dxa"/>
            <w:shd w:val="clear" w:color="auto" w:fill="auto"/>
          </w:tcPr>
          <w:p w14:paraId="46CECB83" w14:textId="77777777" w:rsidR="009021F1" w:rsidRPr="00114059" w:rsidRDefault="009021F1" w:rsidP="00E637E3">
            <w:pPr>
              <w:rPr>
                <w:sz w:val="20"/>
                <w:szCs w:val="20"/>
                <w:lang w:val="en-US"/>
              </w:rPr>
            </w:pPr>
            <w:r w:rsidRPr="00114059">
              <w:rPr>
                <w:sz w:val="20"/>
                <w:szCs w:val="20"/>
                <w:lang w:val="en-US"/>
              </w:rPr>
              <w:t>modéré</w:t>
            </w:r>
          </w:p>
        </w:tc>
      </w:tr>
      <w:tr w:rsidR="009021F1" w:rsidRPr="00837741" w14:paraId="7C267E41" w14:textId="77777777" w:rsidTr="00E637E3">
        <w:tc>
          <w:tcPr>
            <w:tcW w:w="1361" w:type="dxa"/>
            <w:shd w:val="clear" w:color="auto" w:fill="auto"/>
          </w:tcPr>
          <w:p w14:paraId="02D56F36" w14:textId="77777777" w:rsidR="009021F1" w:rsidRPr="00114059" w:rsidRDefault="009021F1" w:rsidP="00E637E3">
            <w:pPr>
              <w:rPr>
                <w:sz w:val="20"/>
                <w:szCs w:val="20"/>
                <w:lang w:val="en-US"/>
              </w:rPr>
            </w:pPr>
            <w:r w:rsidRPr="00114059">
              <w:rPr>
                <w:sz w:val="20"/>
                <w:szCs w:val="20"/>
                <w:lang w:val="en-US"/>
              </w:rPr>
              <w:t>Milieu humain</w:t>
            </w:r>
          </w:p>
        </w:tc>
        <w:tc>
          <w:tcPr>
            <w:tcW w:w="2379" w:type="dxa"/>
            <w:shd w:val="clear" w:color="auto" w:fill="auto"/>
          </w:tcPr>
          <w:p w14:paraId="51182B5B" w14:textId="77777777" w:rsidR="009021F1" w:rsidRPr="00114059" w:rsidRDefault="009021F1" w:rsidP="00E637E3">
            <w:pPr>
              <w:rPr>
                <w:sz w:val="20"/>
                <w:szCs w:val="20"/>
                <w:lang w:val="en-US"/>
              </w:rPr>
            </w:pPr>
            <w:r w:rsidRPr="00114059">
              <w:rPr>
                <w:sz w:val="20"/>
                <w:szCs w:val="20"/>
                <w:lang w:val="en-US"/>
              </w:rPr>
              <w:t>Activités socio-économiques</w:t>
            </w:r>
          </w:p>
        </w:tc>
        <w:tc>
          <w:tcPr>
            <w:tcW w:w="4477" w:type="dxa"/>
            <w:shd w:val="clear" w:color="auto" w:fill="auto"/>
          </w:tcPr>
          <w:p w14:paraId="27441981" w14:textId="77777777" w:rsidR="009021F1" w:rsidRPr="00114059" w:rsidRDefault="009021F1" w:rsidP="00E637E3">
            <w:pPr>
              <w:rPr>
                <w:sz w:val="20"/>
                <w:szCs w:val="20"/>
              </w:rPr>
            </w:pPr>
            <w:r w:rsidRPr="00114059">
              <w:rPr>
                <w:sz w:val="20"/>
                <w:szCs w:val="20"/>
              </w:rPr>
              <w:t>Réinstallation involontaire et/ou perte de propriété ;</w:t>
            </w:r>
          </w:p>
        </w:tc>
        <w:tc>
          <w:tcPr>
            <w:tcW w:w="1559" w:type="dxa"/>
            <w:shd w:val="clear" w:color="auto" w:fill="auto"/>
          </w:tcPr>
          <w:p w14:paraId="7A93335D" w14:textId="77777777" w:rsidR="009021F1" w:rsidRPr="00114059" w:rsidRDefault="009021F1" w:rsidP="00E637E3">
            <w:pPr>
              <w:rPr>
                <w:sz w:val="20"/>
                <w:szCs w:val="20"/>
                <w:lang w:val="en-US"/>
              </w:rPr>
            </w:pPr>
            <w:r w:rsidRPr="00114059">
              <w:rPr>
                <w:sz w:val="20"/>
                <w:szCs w:val="20"/>
                <w:lang w:val="en-US"/>
              </w:rPr>
              <w:t>Fort</w:t>
            </w:r>
          </w:p>
        </w:tc>
      </w:tr>
      <w:tr w:rsidR="009021F1" w:rsidRPr="00837741" w14:paraId="2682ED53" w14:textId="77777777" w:rsidTr="00E637E3">
        <w:tc>
          <w:tcPr>
            <w:tcW w:w="1361" w:type="dxa"/>
            <w:vMerge w:val="restart"/>
            <w:shd w:val="clear" w:color="auto" w:fill="auto"/>
          </w:tcPr>
          <w:p w14:paraId="6BC66D09" w14:textId="77777777" w:rsidR="009021F1" w:rsidRPr="00114059" w:rsidRDefault="009021F1" w:rsidP="00E637E3">
            <w:pPr>
              <w:rPr>
                <w:sz w:val="20"/>
                <w:szCs w:val="20"/>
                <w:lang w:val="en-US"/>
              </w:rPr>
            </w:pPr>
            <w:r w:rsidRPr="00114059">
              <w:rPr>
                <w:sz w:val="20"/>
                <w:szCs w:val="20"/>
                <w:lang w:val="en-US"/>
              </w:rPr>
              <w:t>Humain</w:t>
            </w:r>
          </w:p>
        </w:tc>
        <w:tc>
          <w:tcPr>
            <w:tcW w:w="2379" w:type="dxa"/>
            <w:vMerge w:val="restart"/>
            <w:shd w:val="clear" w:color="auto" w:fill="auto"/>
          </w:tcPr>
          <w:p w14:paraId="3651E1FD" w14:textId="77777777" w:rsidR="009021F1" w:rsidRPr="00114059" w:rsidRDefault="009021F1" w:rsidP="00E637E3">
            <w:pPr>
              <w:rPr>
                <w:sz w:val="20"/>
                <w:szCs w:val="20"/>
                <w:lang w:val="en-US"/>
              </w:rPr>
            </w:pPr>
            <w:r w:rsidRPr="00114059">
              <w:rPr>
                <w:sz w:val="20"/>
                <w:szCs w:val="20"/>
                <w:lang w:val="en-US"/>
              </w:rPr>
              <w:t>Santé et sécurité</w:t>
            </w:r>
          </w:p>
          <w:p w14:paraId="7E577A27" w14:textId="77777777" w:rsidR="009021F1" w:rsidRPr="00114059" w:rsidRDefault="009021F1" w:rsidP="00E637E3">
            <w:pPr>
              <w:rPr>
                <w:sz w:val="20"/>
                <w:szCs w:val="20"/>
                <w:lang w:val="en-US"/>
              </w:rPr>
            </w:pPr>
          </w:p>
        </w:tc>
        <w:tc>
          <w:tcPr>
            <w:tcW w:w="4477" w:type="dxa"/>
            <w:shd w:val="clear" w:color="auto" w:fill="auto"/>
          </w:tcPr>
          <w:p w14:paraId="7CF622CD" w14:textId="77777777" w:rsidR="009021F1" w:rsidRPr="00114059" w:rsidRDefault="009021F1" w:rsidP="00E637E3">
            <w:pPr>
              <w:rPr>
                <w:sz w:val="20"/>
                <w:szCs w:val="20"/>
              </w:rPr>
            </w:pPr>
            <w:r w:rsidRPr="00114059">
              <w:rPr>
                <w:sz w:val="20"/>
                <w:szCs w:val="20"/>
              </w:rPr>
              <w:t>Accidents pendant les travaux de construction</w:t>
            </w:r>
          </w:p>
        </w:tc>
        <w:tc>
          <w:tcPr>
            <w:tcW w:w="1559" w:type="dxa"/>
            <w:shd w:val="clear" w:color="auto" w:fill="auto"/>
          </w:tcPr>
          <w:p w14:paraId="09A1FD66" w14:textId="77777777" w:rsidR="009021F1" w:rsidRPr="00114059" w:rsidRDefault="009021F1" w:rsidP="00E637E3">
            <w:pPr>
              <w:rPr>
                <w:sz w:val="20"/>
                <w:szCs w:val="20"/>
                <w:lang w:val="en-US"/>
              </w:rPr>
            </w:pPr>
            <w:r w:rsidRPr="00114059">
              <w:rPr>
                <w:sz w:val="20"/>
                <w:szCs w:val="20"/>
                <w:lang w:val="en-US"/>
              </w:rPr>
              <w:t>Modéré</w:t>
            </w:r>
          </w:p>
        </w:tc>
      </w:tr>
      <w:tr w:rsidR="009021F1" w:rsidRPr="00837741" w14:paraId="1915822F" w14:textId="77777777" w:rsidTr="00E637E3">
        <w:tc>
          <w:tcPr>
            <w:tcW w:w="1361" w:type="dxa"/>
            <w:vMerge/>
            <w:shd w:val="clear" w:color="auto" w:fill="auto"/>
          </w:tcPr>
          <w:p w14:paraId="07D756A2" w14:textId="77777777" w:rsidR="009021F1" w:rsidRPr="00114059" w:rsidRDefault="009021F1" w:rsidP="00E637E3">
            <w:pPr>
              <w:rPr>
                <w:sz w:val="20"/>
                <w:szCs w:val="20"/>
                <w:lang w:val="en-US"/>
              </w:rPr>
            </w:pPr>
          </w:p>
        </w:tc>
        <w:tc>
          <w:tcPr>
            <w:tcW w:w="2379" w:type="dxa"/>
            <w:vMerge/>
            <w:shd w:val="clear" w:color="auto" w:fill="auto"/>
          </w:tcPr>
          <w:p w14:paraId="6B233148" w14:textId="77777777" w:rsidR="009021F1" w:rsidRPr="00114059" w:rsidRDefault="009021F1" w:rsidP="00E637E3">
            <w:pPr>
              <w:rPr>
                <w:sz w:val="20"/>
                <w:szCs w:val="20"/>
                <w:lang w:val="en-US"/>
              </w:rPr>
            </w:pPr>
          </w:p>
        </w:tc>
        <w:tc>
          <w:tcPr>
            <w:tcW w:w="4477" w:type="dxa"/>
            <w:shd w:val="clear" w:color="auto" w:fill="auto"/>
          </w:tcPr>
          <w:p w14:paraId="40268C58" w14:textId="77777777" w:rsidR="009021F1" w:rsidRPr="00114059" w:rsidRDefault="009021F1" w:rsidP="00E637E3">
            <w:pPr>
              <w:rPr>
                <w:sz w:val="20"/>
                <w:szCs w:val="20"/>
              </w:rPr>
            </w:pPr>
            <w:r w:rsidRPr="00114059">
              <w:rPr>
                <w:sz w:val="20"/>
                <w:szCs w:val="20"/>
              </w:rPr>
              <w:t>Accidents pendant les travaux de construction et pendant la phase d’exploitation</w:t>
            </w:r>
          </w:p>
        </w:tc>
        <w:tc>
          <w:tcPr>
            <w:tcW w:w="1559" w:type="dxa"/>
            <w:shd w:val="clear" w:color="auto" w:fill="auto"/>
          </w:tcPr>
          <w:p w14:paraId="21E2E91B" w14:textId="77777777" w:rsidR="009021F1" w:rsidRPr="00114059" w:rsidRDefault="009021F1" w:rsidP="00E637E3">
            <w:pPr>
              <w:rPr>
                <w:sz w:val="20"/>
                <w:szCs w:val="20"/>
                <w:lang w:val="en-US"/>
              </w:rPr>
            </w:pPr>
            <w:r w:rsidRPr="00114059">
              <w:rPr>
                <w:sz w:val="20"/>
                <w:szCs w:val="20"/>
                <w:lang w:val="en-US"/>
              </w:rPr>
              <w:t>Modéré</w:t>
            </w:r>
          </w:p>
        </w:tc>
      </w:tr>
      <w:tr w:rsidR="009021F1" w:rsidRPr="00837741" w14:paraId="55D29020" w14:textId="77777777" w:rsidTr="00E637E3">
        <w:tc>
          <w:tcPr>
            <w:tcW w:w="1361" w:type="dxa"/>
            <w:vMerge/>
            <w:shd w:val="clear" w:color="auto" w:fill="auto"/>
          </w:tcPr>
          <w:p w14:paraId="69300297" w14:textId="77777777" w:rsidR="009021F1" w:rsidRPr="00114059" w:rsidRDefault="009021F1" w:rsidP="00E637E3">
            <w:pPr>
              <w:rPr>
                <w:sz w:val="20"/>
                <w:szCs w:val="20"/>
                <w:lang w:val="en-US"/>
              </w:rPr>
            </w:pPr>
          </w:p>
        </w:tc>
        <w:tc>
          <w:tcPr>
            <w:tcW w:w="2379" w:type="dxa"/>
            <w:vMerge/>
            <w:shd w:val="clear" w:color="auto" w:fill="auto"/>
          </w:tcPr>
          <w:p w14:paraId="71E03990" w14:textId="77777777" w:rsidR="009021F1" w:rsidRPr="00114059" w:rsidRDefault="009021F1" w:rsidP="00E637E3">
            <w:pPr>
              <w:rPr>
                <w:sz w:val="20"/>
                <w:szCs w:val="20"/>
                <w:lang w:val="en-US"/>
              </w:rPr>
            </w:pPr>
          </w:p>
        </w:tc>
        <w:tc>
          <w:tcPr>
            <w:tcW w:w="4477" w:type="dxa"/>
            <w:shd w:val="clear" w:color="auto" w:fill="auto"/>
          </w:tcPr>
          <w:p w14:paraId="420D39EE" w14:textId="77777777" w:rsidR="009021F1" w:rsidRPr="00114059" w:rsidRDefault="009021F1" w:rsidP="00E637E3">
            <w:pPr>
              <w:rPr>
                <w:sz w:val="20"/>
                <w:szCs w:val="20"/>
              </w:rPr>
            </w:pPr>
            <w:r w:rsidRPr="00114059">
              <w:rPr>
                <w:sz w:val="20"/>
                <w:szCs w:val="20"/>
              </w:rPr>
              <w:t>Risque de l’insécurité dans la province du Nord-Kivu</w:t>
            </w:r>
          </w:p>
        </w:tc>
        <w:tc>
          <w:tcPr>
            <w:tcW w:w="1559" w:type="dxa"/>
            <w:shd w:val="clear" w:color="auto" w:fill="auto"/>
          </w:tcPr>
          <w:p w14:paraId="1074399A" w14:textId="77777777" w:rsidR="009021F1" w:rsidRPr="00114059" w:rsidRDefault="009021F1" w:rsidP="00E637E3">
            <w:pPr>
              <w:rPr>
                <w:sz w:val="20"/>
                <w:szCs w:val="20"/>
                <w:lang w:val="en-US"/>
              </w:rPr>
            </w:pPr>
            <w:r w:rsidRPr="00114059">
              <w:rPr>
                <w:sz w:val="20"/>
                <w:szCs w:val="20"/>
                <w:lang w:val="en-US"/>
              </w:rPr>
              <w:t>Fort</w:t>
            </w:r>
          </w:p>
        </w:tc>
      </w:tr>
      <w:tr w:rsidR="009021F1" w:rsidRPr="00837741" w14:paraId="430F3188" w14:textId="77777777" w:rsidTr="00E637E3">
        <w:tc>
          <w:tcPr>
            <w:tcW w:w="1361" w:type="dxa"/>
            <w:vMerge/>
            <w:shd w:val="clear" w:color="auto" w:fill="auto"/>
          </w:tcPr>
          <w:p w14:paraId="09F00AE6" w14:textId="77777777" w:rsidR="009021F1" w:rsidRPr="00114059" w:rsidRDefault="009021F1" w:rsidP="00E637E3">
            <w:pPr>
              <w:rPr>
                <w:sz w:val="20"/>
                <w:szCs w:val="20"/>
                <w:lang w:val="en-US"/>
              </w:rPr>
            </w:pPr>
          </w:p>
        </w:tc>
        <w:tc>
          <w:tcPr>
            <w:tcW w:w="2379" w:type="dxa"/>
            <w:vMerge/>
            <w:shd w:val="clear" w:color="auto" w:fill="auto"/>
          </w:tcPr>
          <w:p w14:paraId="58DEC2EA" w14:textId="77777777" w:rsidR="009021F1" w:rsidRPr="00114059" w:rsidRDefault="009021F1" w:rsidP="00E637E3">
            <w:pPr>
              <w:rPr>
                <w:sz w:val="20"/>
                <w:szCs w:val="20"/>
                <w:lang w:val="en-US"/>
              </w:rPr>
            </w:pPr>
          </w:p>
        </w:tc>
        <w:tc>
          <w:tcPr>
            <w:tcW w:w="4477" w:type="dxa"/>
            <w:shd w:val="clear" w:color="auto" w:fill="auto"/>
          </w:tcPr>
          <w:p w14:paraId="74E86F09" w14:textId="77777777" w:rsidR="009021F1" w:rsidRPr="00114059" w:rsidRDefault="009021F1" w:rsidP="00E637E3">
            <w:pPr>
              <w:rPr>
                <w:sz w:val="20"/>
                <w:szCs w:val="20"/>
                <w:lang w:val="en-US"/>
              </w:rPr>
            </w:pPr>
            <w:r w:rsidRPr="00114059">
              <w:rPr>
                <w:sz w:val="20"/>
                <w:szCs w:val="20"/>
                <w:lang w:val="en-US"/>
              </w:rPr>
              <w:t>Risque d’EAS/HS</w:t>
            </w:r>
          </w:p>
        </w:tc>
        <w:tc>
          <w:tcPr>
            <w:tcW w:w="1559" w:type="dxa"/>
            <w:shd w:val="clear" w:color="auto" w:fill="auto"/>
          </w:tcPr>
          <w:p w14:paraId="13F898EB" w14:textId="77777777" w:rsidR="009021F1" w:rsidRPr="00114059" w:rsidRDefault="009021F1" w:rsidP="00E637E3">
            <w:pPr>
              <w:rPr>
                <w:sz w:val="20"/>
                <w:szCs w:val="20"/>
                <w:lang w:val="en-US"/>
              </w:rPr>
            </w:pPr>
            <w:r w:rsidRPr="00114059">
              <w:rPr>
                <w:sz w:val="20"/>
                <w:szCs w:val="20"/>
                <w:lang w:val="en-US"/>
              </w:rPr>
              <w:t>Modéré</w:t>
            </w:r>
          </w:p>
        </w:tc>
      </w:tr>
      <w:tr w:rsidR="009021F1" w:rsidRPr="00837741" w14:paraId="46BFCD90" w14:textId="77777777" w:rsidTr="00E637E3">
        <w:tc>
          <w:tcPr>
            <w:tcW w:w="1361" w:type="dxa"/>
            <w:vMerge/>
            <w:shd w:val="clear" w:color="auto" w:fill="auto"/>
          </w:tcPr>
          <w:p w14:paraId="38EC1728" w14:textId="77777777" w:rsidR="009021F1" w:rsidRPr="00114059" w:rsidRDefault="009021F1" w:rsidP="00E637E3">
            <w:pPr>
              <w:rPr>
                <w:sz w:val="20"/>
                <w:szCs w:val="20"/>
                <w:lang w:val="en-US"/>
              </w:rPr>
            </w:pPr>
          </w:p>
        </w:tc>
        <w:tc>
          <w:tcPr>
            <w:tcW w:w="2379" w:type="dxa"/>
            <w:shd w:val="clear" w:color="auto" w:fill="auto"/>
          </w:tcPr>
          <w:p w14:paraId="544130D2" w14:textId="77777777" w:rsidR="009021F1" w:rsidRPr="00114059" w:rsidRDefault="009021F1" w:rsidP="00E637E3">
            <w:pPr>
              <w:rPr>
                <w:sz w:val="20"/>
                <w:szCs w:val="20"/>
                <w:lang w:val="en-US"/>
              </w:rPr>
            </w:pPr>
            <w:r w:rsidRPr="00114059">
              <w:rPr>
                <w:sz w:val="20"/>
                <w:szCs w:val="20"/>
                <w:lang w:val="en-US"/>
              </w:rPr>
              <w:t>Paysage</w:t>
            </w:r>
          </w:p>
        </w:tc>
        <w:tc>
          <w:tcPr>
            <w:tcW w:w="4477" w:type="dxa"/>
            <w:shd w:val="clear" w:color="auto" w:fill="auto"/>
          </w:tcPr>
          <w:p w14:paraId="63FAD994" w14:textId="77777777" w:rsidR="009021F1" w:rsidRPr="00114059" w:rsidRDefault="009021F1" w:rsidP="00E637E3">
            <w:pPr>
              <w:rPr>
                <w:sz w:val="20"/>
                <w:szCs w:val="20"/>
              </w:rPr>
            </w:pPr>
            <w:r w:rsidRPr="00114059">
              <w:rPr>
                <w:sz w:val="20"/>
                <w:szCs w:val="20"/>
              </w:rPr>
              <w:t>Destruction du paysage naturel (y compris les arbres de rue)</w:t>
            </w:r>
          </w:p>
        </w:tc>
        <w:tc>
          <w:tcPr>
            <w:tcW w:w="1559" w:type="dxa"/>
            <w:shd w:val="clear" w:color="auto" w:fill="auto"/>
          </w:tcPr>
          <w:p w14:paraId="2979F52F" w14:textId="77777777" w:rsidR="009021F1" w:rsidRPr="00114059" w:rsidRDefault="009021F1" w:rsidP="00E637E3">
            <w:pPr>
              <w:rPr>
                <w:sz w:val="20"/>
                <w:szCs w:val="20"/>
                <w:lang w:val="en-US"/>
              </w:rPr>
            </w:pPr>
            <w:r w:rsidRPr="00114059">
              <w:rPr>
                <w:sz w:val="20"/>
                <w:szCs w:val="20"/>
                <w:lang w:val="en-US"/>
              </w:rPr>
              <w:t>Modéré</w:t>
            </w:r>
          </w:p>
        </w:tc>
      </w:tr>
      <w:tr w:rsidR="009021F1" w:rsidRPr="00837741" w14:paraId="0F14B633" w14:textId="77777777" w:rsidTr="00E637E3">
        <w:tc>
          <w:tcPr>
            <w:tcW w:w="1361" w:type="dxa"/>
            <w:vMerge/>
            <w:shd w:val="clear" w:color="auto" w:fill="auto"/>
          </w:tcPr>
          <w:p w14:paraId="473DDDB6" w14:textId="77777777" w:rsidR="009021F1" w:rsidRPr="00114059" w:rsidRDefault="009021F1" w:rsidP="00E637E3">
            <w:pPr>
              <w:rPr>
                <w:sz w:val="20"/>
                <w:szCs w:val="20"/>
                <w:lang w:val="en-US"/>
              </w:rPr>
            </w:pPr>
          </w:p>
        </w:tc>
        <w:tc>
          <w:tcPr>
            <w:tcW w:w="2379" w:type="dxa"/>
            <w:shd w:val="clear" w:color="auto" w:fill="auto"/>
          </w:tcPr>
          <w:p w14:paraId="2B6F6523" w14:textId="77777777" w:rsidR="009021F1" w:rsidRPr="00114059" w:rsidRDefault="009021F1" w:rsidP="00E637E3">
            <w:pPr>
              <w:rPr>
                <w:sz w:val="20"/>
                <w:szCs w:val="20"/>
                <w:lang w:val="en-US"/>
              </w:rPr>
            </w:pPr>
            <w:r w:rsidRPr="00114059">
              <w:rPr>
                <w:sz w:val="20"/>
                <w:szCs w:val="20"/>
                <w:lang w:val="en-US"/>
              </w:rPr>
              <w:t>culturel</w:t>
            </w:r>
          </w:p>
        </w:tc>
        <w:tc>
          <w:tcPr>
            <w:tcW w:w="4477" w:type="dxa"/>
            <w:shd w:val="clear" w:color="auto" w:fill="auto"/>
          </w:tcPr>
          <w:p w14:paraId="6B87B745" w14:textId="77777777" w:rsidR="009021F1" w:rsidRPr="00114059" w:rsidRDefault="009021F1" w:rsidP="00E637E3">
            <w:pPr>
              <w:rPr>
                <w:sz w:val="20"/>
                <w:szCs w:val="20"/>
              </w:rPr>
            </w:pPr>
            <w:r w:rsidRPr="00114059">
              <w:rPr>
                <w:sz w:val="20"/>
                <w:szCs w:val="20"/>
              </w:rPr>
              <w:t>Destruction des ressources historiques et culturelles</w:t>
            </w:r>
          </w:p>
        </w:tc>
        <w:tc>
          <w:tcPr>
            <w:tcW w:w="1559" w:type="dxa"/>
            <w:shd w:val="clear" w:color="auto" w:fill="auto"/>
          </w:tcPr>
          <w:p w14:paraId="508EBDD0" w14:textId="77777777" w:rsidR="009021F1" w:rsidRPr="00114059" w:rsidRDefault="009021F1" w:rsidP="00E637E3">
            <w:pPr>
              <w:rPr>
                <w:sz w:val="20"/>
                <w:szCs w:val="20"/>
                <w:lang w:val="en-US"/>
              </w:rPr>
            </w:pPr>
            <w:r w:rsidRPr="00114059">
              <w:rPr>
                <w:sz w:val="20"/>
                <w:szCs w:val="20"/>
                <w:lang w:val="en-US"/>
              </w:rPr>
              <w:t>faible</w:t>
            </w:r>
          </w:p>
        </w:tc>
      </w:tr>
    </w:tbl>
    <w:p w14:paraId="289E69A4" w14:textId="77777777" w:rsidR="009021F1" w:rsidRDefault="009021F1" w:rsidP="009021F1">
      <w:pPr>
        <w:rPr>
          <w:i/>
          <w:szCs w:val="21"/>
        </w:rPr>
      </w:pPr>
    </w:p>
    <w:p w14:paraId="60478B5F" w14:textId="77777777" w:rsidR="009021F1" w:rsidRDefault="009021F1" w:rsidP="009021F1">
      <w:pPr>
        <w:rPr>
          <w:i/>
          <w:szCs w:val="21"/>
        </w:rPr>
      </w:pPr>
    </w:p>
    <w:p w14:paraId="33BAB0B3" w14:textId="77777777" w:rsidR="009021F1" w:rsidRPr="00114059" w:rsidRDefault="009021F1" w:rsidP="009021F1">
      <w:pPr>
        <w:rPr>
          <w:i/>
          <w:szCs w:val="21"/>
        </w:rPr>
      </w:pPr>
    </w:p>
    <w:p w14:paraId="1C19A02A" w14:textId="77777777" w:rsidR="009021F1" w:rsidRPr="00114059" w:rsidRDefault="009021F1" w:rsidP="009021F1">
      <w:pPr>
        <w:rPr>
          <w:i/>
          <w:szCs w:val="21"/>
        </w:rPr>
      </w:pPr>
      <w:r w:rsidRPr="00114059">
        <w:rPr>
          <w:i/>
          <w:szCs w:val="21"/>
        </w:rPr>
        <w:t>Détermination des mesures d’atténuation</w:t>
      </w:r>
    </w:p>
    <w:p w14:paraId="1E223CA2" w14:textId="77777777" w:rsidR="009021F1" w:rsidRPr="00114059" w:rsidRDefault="009021F1" w:rsidP="009021F1">
      <w:pPr>
        <w:rPr>
          <w:szCs w:val="21"/>
        </w:rPr>
      </w:pPr>
    </w:p>
    <w:p w14:paraId="227CD05F" w14:textId="77777777" w:rsidR="009021F1" w:rsidRPr="00114059" w:rsidRDefault="009021F1" w:rsidP="009021F1">
      <w:pPr>
        <w:rPr>
          <w:i/>
          <w:szCs w:val="21"/>
        </w:rPr>
      </w:pPr>
      <w:r w:rsidRPr="00114059">
        <w:rPr>
          <w:szCs w:val="21"/>
        </w:rPr>
        <w:t>En somme, les mesures d’atténuation, de réduction et de bonification seront proposées dans chacune des EIES des sous-projets du PNDA et celles des projets futurs dans les provinces concernées par le Programme.</w:t>
      </w:r>
      <w:r w:rsidRPr="00114059">
        <w:rPr>
          <w:i/>
          <w:szCs w:val="21"/>
        </w:rPr>
        <w:t xml:space="preserve"> </w:t>
      </w:r>
    </w:p>
    <w:p w14:paraId="295284DC" w14:textId="77777777" w:rsidR="009021F1" w:rsidRPr="00114059" w:rsidRDefault="009021F1" w:rsidP="009021F1">
      <w:pPr>
        <w:rPr>
          <w:i/>
          <w:szCs w:val="21"/>
        </w:rPr>
      </w:pPr>
    </w:p>
    <w:p w14:paraId="5DBFB62D" w14:textId="77777777" w:rsidR="009021F1" w:rsidRPr="00114059" w:rsidRDefault="009021F1" w:rsidP="009021F1">
      <w:pPr>
        <w:rPr>
          <w:i/>
          <w:szCs w:val="21"/>
        </w:rPr>
      </w:pPr>
      <w:r w:rsidRPr="00114059">
        <w:rPr>
          <w:i/>
          <w:szCs w:val="21"/>
        </w:rPr>
        <w:t xml:space="preserve">Suivi des effets cumulatifs </w:t>
      </w:r>
    </w:p>
    <w:p w14:paraId="1EBCB66A" w14:textId="77777777" w:rsidR="009021F1" w:rsidRPr="00114059" w:rsidRDefault="009021F1" w:rsidP="009021F1">
      <w:pPr>
        <w:rPr>
          <w:szCs w:val="21"/>
        </w:rPr>
      </w:pPr>
    </w:p>
    <w:p w14:paraId="48AEC0B9" w14:textId="77777777" w:rsidR="009021F1" w:rsidRPr="00114059" w:rsidRDefault="009021F1" w:rsidP="009021F1">
      <w:pPr>
        <w:rPr>
          <w:szCs w:val="21"/>
        </w:rPr>
      </w:pPr>
      <w:r w:rsidRPr="00114059">
        <w:rPr>
          <w:szCs w:val="21"/>
        </w:rPr>
        <w:t>Tout comme pour les mesures d’atténuation, les programmes de suivi environnemental et social qui seront proposés dans les EIES des sous-projets du PNDA et celles  des projets futurs sont aussi directement applicables aux effets cumulatifs.</w:t>
      </w:r>
    </w:p>
    <w:p w14:paraId="7324463B" w14:textId="77777777" w:rsidR="009021F1" w:rsidRPr="00114059" w:rsidRDefault="009021F1" w:rsidP="009021F1">
      <w:pPr>
        <w:pStyle w:val="NormalWeb"/>
        <w:spacing w:before="0" w:beforeAutospacing="0" w:after="0" w:afterAutospacing="0" w:line="276" w:lineRule="auto"/>
        <w:rPr>
          <w:rFonts w:ascii="Arial" w:hAnsi="Arial" w:cs="Arial"/>
          <w:sz w:val="21"/>
          <w:szCs w:val="21"/>
        </w:rPr>
      </w:pPr>
    </w:p>
    <w:p w14:paraId="51A73B25" w14:textId="77777777" w:rsidR="009021F1" w:rsidRDefault="009021F1" w:rsidP="009021F1">
      <w:pPr>
        <w:spacing w:line="240" w:lineRule="auto"/>
        <w:jc w:val="left"/>
        <w:rPr>
          <w:rFonts w:cs="Arial"/>
          <w:b/>
          <w:i/>
          <w:szCs w:val="21"/>
        </w:rPr>
      </w:pPr>
      <w:r>
        <w:rPr>
          <w:rFonts w:cs="Arial"/>
          <w:b/>
          <w:i/>
          <w:szCs w:val="21"/>
        </w:rPr>
        <w:br w:type="page"/>
      </w:r>
    </w:p>
    <w:p w14:paraId="1794E212" w14:textId="77777777" w:rsidR="009021F1" w:rsidRPr="00114059" w:rsidRDefault="009021F1" w:rsidP="009021F1">
      <w:pPr>
        <w:pStyle w:val="NormalWeb"/>
        <w:spacing w:before="0" w:beforeAutospacing="0" w:after="0" w:afterAutospacing="0" w:line="276" w:lineRule="auto"/>
        <w:rPr>
          <w:rFonts w:ascii="Arial" w:hAnsi="Arial" w:cs="Arial"/>
          <w:b/>
          <w:i/>
          <w:sz w:val="21"/>
          <w:szCs w:val="21"/>
        </w:rPr>
      </w:pPr>
      <w:r w:rsidRPr="00114059">
        <w:rPr>
          <w:rFonts w:ascii="Arial" w:hAnsi="Arial" w:cs="Arial"/>
          <w:b/>
          <w:i/>
          <w:sz w:val="21"/>
          <w:szCs w:val="21"/>
        </w:rPr>
        <w:t>Risque et impacts potentiels aux NES pertinentes et aux instruments Environnementaux et sociaux applicables au PNDA</w:t>
      </w:r>
    </w:p>
    <w:p w14:paraId="45B18808" w14:textId="77777777" w:rsidR="009021F1" w:rsidRPr="00114059" w:rsidRDefault="009021F1" w:rsidP="009021F1">
      <w:pPr>
        <w:pStyle w:val="NormalWeb"/>
        <w:spacing w:before="0" w:beforeAutospacing="0" w:after="0" w:afterAutospacing="0" w:line="276" w:lineRule="auto"/>
        <w:rPr>
          <w:rFonts w:ascii="Arial" w:hAnsi="Arial" w:cs="Arial"/>
          <w:sz w:val="21"/>
          <w:szCs w:val="21"/>
        </w:rPr>
      </w:pPr>
    </w:p>
    <w:p w14:paraId="46BC7D49" w14:textId="77777777" w:rsidR="009021F1" w:rsidRPr="00114059" w:rsidRDefault="009021F1" w:rsidP="009021F1">
      <w:pPr>
        <w:ind w:left="1134" w:hanging="1134"/>
        <w:rPr>
          <w:szCs w:val="21"/>
        </w:rPr>
      </w:pPr>
      <w:r w:rsidRPr="00114059">
        <w:rPr>
          <w:rFonts w:cs="Arial"/>
          <w:szCs w:val="21"/>
        </w:rPr>
        <w:t xml:space="preserve">Tableau </w:t>
      </w:r>
      <w:r w:rsidRPr="00114059">
        <w:rPr>
          <w:rFonts w:cs="Arial"/>
          <w:szCs w:val="21"/>
        </w:rPr>
        <w:fldChar w:fldCharType="begin"/>
      </w:r>
      <w:r w:rsidRPr="00114059">
        <w:rPr>
          <w:rFonts w:cs="Arial"/>
          <w:szCs w:val="21"/>
        </w:rPr>
        <w:instrText xml:space="preserve"> SEQ Tableau \* ARABIC </w:instrText>
      </w:r>
      <w:r w:rsidRPr="00114059">
        <w:rPr>
          <w:rFonts w:cs="Arial"/>
          <w:szCs w:val="21"/>
        </w:rPr>
        <w:fldChar w:fldCharType="separate"/>
      </w:r>
      <w:r>
        <w:rPr>
          <w:rFonts w:cs="Arial"/>
          <w:noProof/>
          <w:szCs w:val="21"/>
        </w:rPr>
        <w:t>26</w:t>
      </w:r>
      <w:r w:rsidRPr="00114059">
        <w:rPr>
          <w:rFonts w:cs="Arial"/>
          <w:szCs w:val="21"/>
        </w:rPr>
        <w:fldChar w:fldCharType="end"/>
      </w:r>
      <w:r w:rsidRPr="00114059">
        <w:rPr>
          <w:rFonts w:cs="Arial"/>
          <w:szCs w:val="21"/>
        </w:rPr>
        <w:t xml:space="preserve">. </w:t>
      </w:r>
      <w:r w:rsidRPr="00114059">
        <w:rPr>
          <w:szCs w:val="21"/>
        </w:rPr>
        <w:t>Risques et impacts potentiels aux NES pertinentes et aux instruments E&amp;S applicables au PNDA</w:t>
      </w:r>
    </w:p>
    <w:p w14:paraId="481F4651" w14:textId="77777777" w:rsidR="009021F1" w:rsidRPr="00114059" w:rsidRDefault="009021F1" w:rsidP="009021F1">
      <w:pPr>
        <w:pStyle w:val="NormalWeb"/>
        <w:spacing w:before="0" w:beforeAutospacing="0" w:after="0" w:afterAutospacing="0" w:line="276" w:lineRule="auto"/>
        <w:ind w:left="1276" w:hanging="1276"/>
        <w:rPr>
          <w:rFonts w:ascii="Arial" w:hAnsi="Arial" w:cs="Arial"/>
          <w:sz w:val="21"/>
          <w:szCs w:val="21"/>
        </w:rPr>
      </w:pPr>
    </w:p>
    <w:tbl>
      <w:tblPr>
        <w:tblW w:w="9660" w:type="dxa"/>
        <w:tblInd w:w="-5" w:type="dxa"/>
        <w:tblCellMar>
          <w:left w:w="70" w:type="dxa"/>
          <w:right w:w="70" w:type="dxa"/>
        </w:tblCellMar>
        <w:tblLook w:val="04A0" w:firstRow="1" w:lastRow="0" w:firstColumn="1" w:lastColumn="0" w:noHBand="0" w:noVBand="1"/>
      </w:tblPr>
      <w:tblGrid>
        <w:gridCol w:w="1700"/>
        <w:gridCol w:w="3260"/>
        <w:gridCol w:w="2480"/>
        <w:gridCol w:w="2220"/>
      </w:tblGrid>
      <w:tr w:rsidR="009021F1" w:rsidRPr="00F91D77" w14:paraId="3A1B044A" w14:textId="77777777" w:rsidTr="00E637E3">
        <w:trPr>
          <w:trHeight w:val="802"/>
        </w:trPr>
        <w:tc>
          <w:tcPr>
            <w:tcW w:w="1700" w:type="dxa"/>
            <w:tcBorders>
              <w:top w:val="single" w:sz="4" w:space="0" w:color="auto"/>
              <w:left w:val="single" w:sz="4" w:space="0" w:color="auto"/>
              <w:bottom w:val="single" w:sz="4" w:space="0" w:color="auto"/>
              <w:right w:val="single" w:sz="4" w:space="0" w:color="auto"/>
            </w:tcBorders>
            <w:shd w:val="clear" w:color="000000" w:fill="D5DCE4"/>
            <w:vAlign w:val="center"/>
            <w:hideMark/>
          </w:tcPr>
          <w:p w14:paraId="72D9615F" w14:textId="77777777" w:rsidR="009021F1" w:rsidRPr="00114059" w:rsidRDefault="009021F1" w:rsidP="00E637E3">
            <w:pPr>
              <w:spacing w:line="240" w:lineRule="auto"/>
              <w:jc w:val="center"/>
              <w:rPr>
                <w:rFonts w:cs="Arial"/>
                <w:b/>
                <w:bCs/>
                <w:color w:val="000000"/>
                <w:sz w:val="20"/>
                <w:szCs w:val="20"/>
              </w:rPr>
            </w:pPr>
            <w:r w:rsidRPr="00114059">
              <w:rPr>
                <w:rFonts w:cs="Arial"/>
                <w:b/>
                <w:bCs/>
                <w:color w:val="000000"/>
                <w:sz w:val="20"/>
                <w:szCs w:val="20"/>
              </w:rPr>
              <w:t>Composante affectée</w:t>
            </w:r>
          </w:p>
        </w:tc>
        <w:tc>
          <w:tcPr>
            <w:tcW w:w="3260" w:type="dxa"/>
            <w:tcBorders>
              <w:top w:val="single" w:sz="4" w:space="0" w:color="auto"/>
              <w:left w:val="nil"/>
              <w:bottom w:val="single" w:sz="4" w:space="0" w:color="auto"/>
              <w:right w:val="single" w:sz="4" w:space="0" w:color="auto"/>
            </w:tcBorders>
            <w:shd w:val="clear" w:color="000000" w:fill="D5DCE4"/>
            <w:vAlign w:val="center"/>
            <w:hideMark/>
          </w:tcPr>
          <w:p w14:paraId="18797273" w14:textId="77777777" w:rsidR="009021F1" w:rsidRPr="00114059" w:rsidRDefault="009021F1" w:rsidP="00E637E3">
            <w:pPr>
              <w:spacing w:line="240" w:lineRule="auto"/>
              <w:jc w:val="center"/>
              <w:rPr>
                <w:rFonts w:cs="Arial"/>
                <w:b/>
                <w:bCs/>
                <w:color w:val="000000"/>
                <w:sz w:val="20"/>
                <w:szCs w:val="20"/>
              </w:rPr>
            </w:pPr>
            <w:r w:rsidRPr="00114059">
              <w:rPr>
                <w:rFonts w:cs="Arial"/>
                <w:b/>
                <w:bCs/>
                <w:color w:val="000000"/>
                <w:sz w:val="20"/>
                <w:szCs w:val="20"/>
              </w:rPr>
              <w:t>Impact négatif environnemental et social potentiel</w:t>
            </w:r>
          </w:p>
        </w:tc>
        <w:tc>
          <w:tcPr>
            <w:tcW w:w="2480" w:type="dxa"/>
            <w:tcBorders>
              <w:top w:val="single" w:sz="4" w:space="0" w:color="auto"/>
              <w:left w:val="nil"/>
              <w:bottom w:val="single" w:sz="4" w:space="0" w:color="auto"/>
              <w:right w:val="single" w:sz="4" w:space="0" w:color="auto"/>
            </w:tcBorders>
            <w:shd w:val="clear" w:color="000000" w:fill="D5DCE4"/>
            <w:vAlign w:val="center"/>
            <w:hideMark/>
          </w:tcPr>
          <w:p w14:paraId="06285FDA" w14:textId="77777777" w:rsidR="009021F1" w:rsidRPr="00114059" w:rsidRDefault="009021F1" w:rsidP="00E637E3">
            <w:pPr>
              <w:spacing w:line="240" w:lineRule="auto"/>
              <w:jc w:val="center"/>
              <w:rPr>
                <w:rFonts w:cs="Arial"/>
                <w:b/>
                <w:bCs/>
                <w:color w:val="000000"/>
                <w:sz w:val="20"/>
                <w:szCs w:val="20"/>
              </w:rPr>
            </w:pPr>
            <w:r w:rsidRPr="00114059">
              <w:rPr>
                <w:rFonts w:cs="Arial"/>
                <w:b/>
                <w:bCs/>
                <w:color w:val="000000"/>
                <w:sz w:val="20"/>
                <w:szCs w:val="20"/>
              </w:rPr>
              <w:t>NES pertinentes concordantes</w:t>
            </w:r>
          </w:p>
        </w:tc>
        <w:tc>
          <w:tcPr>
            <w:tcW w:w="2220" w:type="dxa"/>
            <w:tcBorders>
              <w:top w:val="single" w:sz="4" w:space="0" w:color="auto"/>
              <w:left w:val="nil"/>
              <w:bottom w:val="single" w:sz="4" w:space="0" w:color="auto"/>
              <w:right w:val="single" w:sz="4" w:space="0" w:color="auto"/>
            </w:tcBorders>
            <w:shd w:val="clear" w:color="000000" w:fill="D5DCE4"/>
            <w:vAlign w:val="center"/>
            <w:hideMark/>
          </w:tcPr>
          <w:p w14:paraId="55F1D8E7" w14:textId="77777777" w:rsidR="009021F1" w:rsidRPr="00114059" w:rsidRDefault="009021F1" w:rsidP="00E637E3">
            <w:pPr>
              <w:spacing w:line="240" w:lineRule="auto"/>
              <w:jc w:val="center"/>
              <w:rPr>
                <w:rFonts w:cs="Arial"/>
                <w:b/>
                <w:bCs/>
                <w:color w:val="000000"/>
                <w:sz w:val="20"/>
                <w:szCs w:val="20"/>
              </w:rPr>
            </w:pPr>
            <w:r w:rsidRPr="00114059">
              <w:rPr>
                <w:rFonts w:cs="Arial"/>
                <w:b/>
                <w:bCs/>
                <w:color w:val="000000"/>
                <w:sz w:val="20"/>
                <w:szCs w:val="20"/>
              </w:rPr>
              <w:t>Instruments de gestion E&amp;S applicable au PNDA</w:t>
            </w:r>
          </w:p>
        </w:tc>
      </w:tr>
      <w:tr w:rsidR="009021F1" w:rsidRPr="00F91D77" w14:paraId="25ADFFF9" w14:textId="77777777" w:rsidTr="00E637E3">
        <w:trPr>
          <w:trHeight w:val="856"/>
        </w:trPr>
        <w:tc>
          <w:tcPr>
            <w:tcW w:w="1700" w:type="dxa"/>
            <w:vMerge w:val="restart"/>
            <w:tcBorders>
              <w:top w:val="nil"/>
              <w:left w:val="single" w:sz="4" w:space="0" w:color="auto"/>
              <w:bottom w:val="single" w:sz="4" w:space="0" w:color="auto"/>
              <w:right w:val="single" w:sz="4" w:space="0" w:color="auto"/>
            </w:tcBorders>
            <w:shd w:val="clear" w:color="auto" w:fill="auto"/>
            <w:vAlign w:val="center"/>
            <w:hideMark/>
          </w:tcPr>
          <w:p w14:paraId="398053B7" w14:textId="77777777" w:rsidR="009021F1" w:rsidRPr="00114059" w:rsidRDefault="009021F1" w:rsidP="00E637E3">
            <w:pPr>
              <w:spacing w:line="240" w:lineRule="auto"/>
              <w:jc w:val="center"/>
              <w:rPr>
                <w:rFonts w:cs="Arial"/>
                <w:color w:val="000000"/>
                <w:sz w:val="20"/>
                <w:szCs w:val="20"/>
              </w:rPr>
            </w:pPr>
            <w:r w:rsidRPr="00114059">
              <w:rPr>
                <w:rFonts w:cs="Arial"/>
                <w:color w:val="000000"/>
                <w:sz w:val="20"/>
                <w:szCs w:val="20"/>
                <w:lang w:val="en-US"/>
              </w:rPr>
              <w:t>Qualité de l’air</w:t>
            </w:r>
          </w:p>
        </w:tc>
        <w:tc>
          <w:tcPr>
            <w:tcW w:w="3260" w:type="dxa"/>
            <w:tcBorders>
              <w:top w:val="nil"/>
              <w:left w:val="nil"/>
              <w:bottom w:val="single" w:sz="4" w:space="0" w:color="auto"/>
              <w:right w:val="single" w:sz="4" w:space="0" w:color="auto"/>
            </w:tcBorders>
            <w:shd w:val="clear" w:color="auto" w:fill="auto"/>
            <w:vAlign w:val="center"/>
            <w:hideMark/>
          </w:tcPr>
          <w:p w14:paraId="0B185C3D" w14:textId="77777777" w:rsidR="009021F1" w:rsidRPr="00114059" w:rsidRDefault="009021F1" w:rsidP="00E637E3">
            <w:pPr>
              <w:spacing w:line="240" w:lineRule="auto"/>
              <w:jc w:val="left"/>
              <w:rPr>
                <w:rFonts w:cs="Arial"/>
                <w:color w:val="000000"/>
                <w:sz w:val="20"/>
                <w:szCs w:val="20"/>
              </w:rPr>
            </w:pPr>
            <w:r w:rsidRPr="00114059">
              <w:rPr>
                <w:rFonts w:cs="Arial"/>
                <w:color w:val="000000"/>
                <w:sz w:val="20"/>
                <w:szCs w:val="20"/>
              </w:rPr>
              <w:t xml:space="preserve">Altération de la qualité de l’air (fumée, poussière et émanations gazeuses). </w:t>
            </w:r>
          </w:p>
        </w:tc>
        <w:tc>
          <w:tcPr>
            <w:tcW w:w="24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9751F3" w14:textId="77777777" w:rsidR="009021F1" w:rsidRPr="00114059" w:rsidRDefault="009021F1" w:rsidP="00E637E3">
            <w:pPr>
              <w:spacing w:line="240" w:lineRule="auto"/>
              <w:jc w:val="center"/>
              <w:rPr>
                <w:rFonts w:cs="Arial"/>
                <w:color w:val="000000"/>
                <w:sz w:val="20"/>
                <w:szCs w:val="20"/>
              </w:rPr>
            </w:pPr>
            <w:r w:rsidRPr="00114059">
              <w:rPr>
                <w:rFonts w:cs="Arial"/>
                <w:color w:val="000000"/>
                <w:sz w:val="20"/>
                <w:szCs w:val="20"/>
              </w:rPr>
              <w:t>NES n° 1 et 3</w:t>
            </w:r>
          </w:p>
        </w:tc>
        <w:tc>
          <w:tcPr>
            <w:tcW w:w="22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82F9D30" w14:textId="77777777" w:rsidR="009021F1" w:rsidRPr="00114059" w:rsidRDefault="009021F1" w:rsidP="00E637E3">
            <w:pPr>
              <w:spacing w:line="240" w:lineRule="auto"/>
              <w:jc w:val="center"/>
              <w:rPr>
                <w:rFonts w:cs="Arial"/>
                <w:color w:val="000000"/>
                <w:sz w:val="20"/>
                <w:szCs w:val="20"/>
              </w:rPr>
            </w:pPr>
            <w:r w:rsidRPr="00114059">
              <w:rPr>
                <w:rFonts w:cs="Arial"/>
                <w:color w:val="000000"/>
                <w:sz w:val="20"/>
                <w:szCs w:val="20"/>
              </w:rPr>
              <w:t>CGES, EIES/PGES</w:t>
            </w:r>
          </w:p>
        </w:tc>
      </w:tr>
      <w:tr w:rsidR="009021F1" w:rsidRPr="00F91D77" w14:paraId="416A0B17" w14:textId="77777777" w:rsidTr="00E637E3">
        <w:trPr>
          <w:trHeight w:val="828"/>
        </w:trPr>
        <w:tc>
          <w:tcPr>
            <w:tcW w:w="1700" w:type="dxa"/>
            <w:vMerge/>
            <w:tcBorders>
              <w:top w:val="nil"/>
              <w:left w:val="single" w:sz="4" w:space="0" w:color="auto"/>
              <w:bottom w:val="single" w:sz="4" w:space="0" w:color="auto"/>
              <w:right w:val="single" w:sz="4" w:space="0" w:color="auto"/>
            </w:tcBorders>
            <w:vAlign w:val="center"/>
            <w:hideMark/>
          </w:tcPr>
          <w:p w14:paraId="1F41BC84" w14:textId="77777777" w:rsidR="009021F1" w:rsidRPr="00114059" w:rsidRDefault="009021F1" w:rsidP="00E637E3">
            <w:pPr>
              <w:spacing w:line="240" w:lineRule="auto"/>
              <w:jc w:val="left"/>
              <w:rPr>
                <w:rFonts w:cs="Arial"/>
                <w:color w:val="000000"/>
                <w:sz w:val="20"/>
                <w:szCs w:val="20"/>
              </w:rPr>
            </w:pPr>
          </w:p>
        </w:tc>
        <w:tc>
          <w:tcPr>
            <w:tcW w:w="3260" w:type="dxa"/>
            <w:tcBorders>
              <w:top w:val="nil"/>
              <w:left w:val="nil"/>
              <w:bottom w:val="single" w:sz="4" w:space="0" w:color="auto"/>
              <w:right w:val="single" w:sz="4" w:space="0" w:color="auto"/>
            </w:tcBorders>
            <w:shd w:val="clear" w:color="auto" w:fill="auto"/>
            <w:vAlign w:val="center"/>
            <w:hideMark/>
          </w:tcPr>
          <w:p w14:paraId="37E9CB40" w14:textId="77777777" w:rsidR="009021F1" w:rsidRPr="00114059" w:rsidRDefault="009021F1" w:rsidP="00E637E3">
            <w:pPr>
              <w:spacing w:line="240" w:lineRule="auto"/>
              <w:jc w:val="left"/>
              <w:rPr>
                <w:rFonts w:cs="Arial"/>
                <w:color w:val="000000"/>
                <w:sz w:val="20"/>
                <w:szCs w:val="20"/>
              </w:rPr>
            </w:pPr>
            <w:r w:rsidRPr="00114059">
              <w:rPr>
                <w:rFonts w:cs="Arial"/>
                <w:color w:val="000000"/>
                <w:sz w:val="20"/>
                <w:szCs w:val="20"/>
              </w:rPr>
              <w:t>Pollution olfactive due au dégagement des mauvaises odeurs des composts</w:t>
            </w:r>
          </w:p>
        </w:tc>
        <w:tc>
          <w:tcPr>
            <w:tcW w:w="2480" w:type="dxa"/>
            <w:vMerge/>
            <w:tcBorders>
              <w:top w:val="nil"/>
              <w:left w:val="single" w:sz="4" w:space="0" w:color="auto"/>
              <w:bottom w:val="single" w:sz="4" w:space="0" w:color="auto"/>
              <w:right w:val="single" w:sz="4" w:space="0" w:color="auto"/>
            </w:tcBorders>
            <w:vAlign w:val="center"/>
            <w:hideMark/>
          </w:tcPr>
          <w:p w14:paraId="1F27320A" w14:textId="77777777" w:rsidR="009021F1" w:rsidRPr="00114059" w:rsidRDefault="009021F1" w:rsidP="00E637E3">
            <w:pPr>
              <w:spacing w:line="240" w:lineRule="auto"/>
              <w:jc w:val="left"/>
              <w:rPr>
                <w:rFonts w:cs="Arial"/>
                <w:color w:val="000000"/>
                <w:sz w:val="20"/>
                <w:szCs w:val="20"/>
              </w:rPr>
            </w:pPr>
          </w:p>
        </w:tc>
        <w:tc>
          <w:tcPr>
            <w:tcW w:w="2220" w:type="dxa"/>
            <w:vMerge/>
            <w:tcBorders>
              <w:top w:val="nil"/>
              <w:left w:val="single" w:sz="4" w:space="0" w:color="auto"/>
              <w:bottom w:val="single" w:sz="4" w:space="0" w:color="auto"/>
              <w:right w:val="single" w:sz="4" w:space="0" w:color="auto"/>
            </w:tcBorders>
            <w:vAlign w:val="center"/>
            <w:hideMark/>
          </w:tcPr>
          <w:p w14:paraId="3DB770AA" w14:textId="77777777" w:rsidR="009021F1" w:rsidRPr="00114059" w:rsidRDefault="009021F1" w:rsidP="00E637E3">
            <w:pPr>
              <w:spacing w:line="240" w:lineRule="auto"/>
              <w:jc w:val="left"/>
              <w:rPr>
                <w:rFonts w:cs="Arial"/>
                <w:color w:val="000000"/>
                <w:sz w:val="20"/>
                <w:szCs w:val="20"/>
              </w:rPr>
            </w:pPr>
          </w:p>
        </w:tc>
      </w:tr>
      <w:tr w:rsidR="009021F1" w:rsidRPr="00F91D77" w14:paraId="5A15C84B" w14:textId="77777777" w:rsidTr="00E637E3">
        <w:trPr>
          <w:trHeight w:val="401"/>
        </w:trPr>
        <w:tc>
          <w:tcPr>
            <w:tcW w:w="1700" w:type="dxa"/>
            <w:vMerge w:val="restart"/>
            <w:tcBorders>
              <w:top w:val="nil"/>
              <w:left w:val="single" w:sz="4" w:space="0" w:color="auto"/>
              <w:bottom w:val="single" w:sz="4" w:space="0" w:color="auto"/>
              <w:right w:val="single" w:sz="4" w:space="0" w:color="auto"/>
            </w:tcBorders>
            <w:shd w:val="clear" w:color="auto" w:fill="auto"/>
            <w:vAlign w:val="center"/>
            <w:hideMark/>
          </w:tcPr>
          <w:p w14:paraId="1C384953" w14:textId="77777777" w:rsidR="009021F1" w:rsidRPr="00114059" w:rsidRDefault="009021F1" w:rsidP="00E637E3">
            <w:pPr>
              <w:spacing w:line="240" w:lineRule="auto"/>
              <w:jc w:val="center"/>
              <w:rPr>
                <w:rFonts w:cs="Arial"/>
                <w:color w:val="000000"/>
                <w:sz w:val="20"/>
                <w:szCs w:val="20"/>
              </w:rPr>
            </w:pPr>
            <w:r w:rsidRPr="00114059">
              <w:rPr>
                <w:rFonts w:cs="Arial"/>
                <w:color w:val="000000"/>
                <w:sz w:val="20"/>
                <w:szCs w:val="20"/>
                <w:lang w:val="en-US"/>
              </w:rPr>
              <w:t>Qualité de l’eau</w:t>
            </w:r>
          </w:p>
        </w:tc>
        <w:tc>
          <w:tcPr>
            <w:tcW w:w="3260" w:type="dxa"/>
            <w:tcBorders>
              <w:top w:val="nil"/>
              <w:left w:val="nil"/>
              <w:bottom w:val="single" w:sz="4" w:space="0" w:color="auto"/>
              <w:right w:val="single" w:sz="4" w:space="0" w:color="auto"/>
            </w:tcBorders>
            <w:shd w:val="clear" w:color="auto" w:fill="auto"/>
            <w:vAlign w:val="center"/>
            <w:hideMark/>
          </w:tcPr>
          <w:p w14:paraId="3661B212" w14:textId="77777777" w:rsidR="009021F1" w:rsidRPr="00114059" w:rsidRDefault="009021F1" w:rsidP="00E637E3">
            <w:pPr>
              <w:spacing w:line="240" w:lineRule="auto"/>
              <w:jc w:val="left"/>
              <w:rPr>
                <w:rFonts w:cs="Arial"/>
                <w:color w:val="000000"/>
                <w:sz w:val="20"/>
                <w:szCs w:val="20"/>
              </w:rPr>
            </w:pPr>
            <w:r w:rsidRPr="00114059">
              <w:rPr>
                <w:rFonts w:cs="Arial"/>
                <w:color w:val="000000"/>
                <w:sz w:val="20"/>
                <w:szCs w:val="20"/>
              </w:rPr>
              <w:t>Augmentation de la turbidité de l’eau.</w:t>
            </w:r>
          </w:p>
        </w:tc>
        <w:tc>
          <w:tcPr>
            <w:tcW w:w="24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F929DD" w14:textId="77777777" w:rsidR="009021F1" w:rsidRPr="00114059" w:rsidRDefault="009021F1" w:rsidP="00E637E3">
            <w:pPr>
              <w:spacing w:line="240" w:lineRule="auto"/>
              <w:jc w:val="center"/>
              <w:rPr>
                <w:rFonts w:cs="Arial"/>
                <w:color w:val="000000"/>
                <w:sz w:val="20"/>
                <w:szCs w:val="20"/>
              </w:rPr>
            </w:pPr>
            <w:r w:rsidRPr="00114059">
              <w:rPr>
                <w:rFonts w:cs="Arial"/>
                <w:color w:val="000000"/>
                <w:sz w:val="20"/>
                <w:szCs w:val="20"/>
              </w:rPr>
              <w:t>NES n° 1, 3 et 4</w:t>
            </w:r>
          </w:p>
        </w:tc>
        <w:tc>
          <w:tcPr>
            <w:tcW w:w="22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C7EE82" w14:textId="77777777" w:rsidR="009021F1" w:rsidRPr="00114059" w:rsidRDefault="009021F1" w:rsidP="00E637E3">
            <w:pPr>
              <w:spacing w:line="240" w:lineRule="auto"/>
              <w:jc w:val="center"/>
              <w:rPr>
                <w:rFonts w:cs="Arial"/>
                <w:color w:val="000000"/>
                <w:sz w:val="20"/>
                <w:szCs w:val="20"/>
              </w:rPr>
            </w:pPr>
            <w:r w:rsidRPr="00114059">
              <w:rPr>
                <w:rFonts w:cs="Arial"/>
                <w:color w:val="000000"/>
                <w:sz w:val="20"/>
                <w:szCs w:val="20"/>
              </w:rPr>
              <w:t>CGES, EIES/PGES et PGP</w:t>
            </w:r>
          </w:p>
        </w:tc>
      </w:tr>
      <w:tr w:rsidR="009021F1" w:rsidRPr="00F91D77" w14:paraId="246FC435" w14:textId="77777777" w:rsidTr="00E637E3">
        <w:trPr>
          <w:trHeight w:val="768"/>
        </w:trPr>
        <w:tc>
          <w:tcPr>
            <w:tcW w:w="1700" w:type="dxa"/>
            <w:vMerge/>
            <w:tcBorders>
              <w:top w:val="nil"/>
              <w:left w:val="single" w:sz="4" w:space="0" w:color="auto"/>
              <w:bottom w:val="single" w:sz="4" w:space="0" w:color="auto"/>
              <w:right w:val="single" w:sz="4" w:space="0" w:color="auto"/>
            </w:tcBorders>
            <w:vAlign w:val="center"/>
            <w:hideMark/>
          </w:tcPr>
          <w:p w14:paraId="10B1C1A3" w14:textId="77777777" w:rsidR="009021F1" w:rsidRPr="00114059" w:rsidRDefault="009021F1" w:rsidP="00E637E3">
            <w:pPr>
              <w:spacing w:line="240" w:lineRule="auto"/>
              <w:jc w:val="left"/>
              <w:rPr>
                <w:rFonts w:cs="Arial"/>
                <w:color w:val="000000"/>
                <w:sz w:val="20"/>
                <w:szCs w:val="20"/>
              </w:rPr>
            </w:pPr>
          </w:p>
        </w:tc>
        <w:tc>
          <w:tcPr>
            <w:tcW w:w="3260" w:type="dxa"/>
            <w:vMerge w:val="restart"/>
            <w:tcBorders>
              <w:top w:val="nil"/>
              <w:left w:val="single" w:sz="4" w:space="0" w:color="auto"/>
              <w:bottom w:val="single" w:sz="4" w:space="0" w:color="auto"/>
              <w:right w:val="single" w:sz="4" w:space="0" w:color="auto"/>
            </w:tcBorders>
            <w:shd w:val="clear" w:color="auto" w:fill="auto"/>
            <w:vAlign w:val="center"/>
            <w:hideMark/>
          </w:tcPr>
          <w:p w14:paraId="0E5E3C45" w14:textId="77777777" w:rsidR="009021F1" w:rsidRPr="00114059" w:rsidRDefault="009021F1" w:rsidP="00E637E3">
            <w:pPr>
              <w:spacing w:line="240" w:lineRule="auto"/>
              <w:jc w:val="left"/>
              <w:rPr>
                <w:rFonts w:cs="Arial"/>
                <w:color w:val="000000"/>
                <w:sz w:val="20"/>
                <w:szCs w:val="20"/>
              </w:rPr>
            </w:pPr>
            <w:r w:rsidRPr="00114059">
              <w:rPr>
                <w:rFonts w:cs="Arial"/>
                <w:color w:val="000000"/>
                <w:sz w:val="20"/>
                <w:szCs w:val="20"/>
              </w:rPr>
              <w:t>Risque de contamination d’eau de surface et souterraine suite à l’utilisation non rationnelle des produits chimiques (engrais et pesticides) </w:t>
            </w:r>
          </w:p>
        </w:tc>
        <w:tc>
          <w:tcPr>
            <w:tcW w:w="2480" w:type="dxa"/>
            <w:vMerge/>
            <w:tcBorders>
              <w:top w:val="nil"/>
              <w:left w:val="single" w:sz="4" w:space="0" w:color="auto"/>
              <w:bottom w:val="single" w:sz="4" w:space="0" w:color="auto"/>
              <w:right w:val="single" w:sz="4" w:space="0" w:color="auto"/>
            </w:tcBorders>
            <w:vAlign w:val="center"/>
            <w:hideMark/>
          </w:tcPr>
          <w:p w14:paraId="503AE36E" w14:textId="77777777" w:rsidR="009021F1" w:rsidRPr="00114059" w:rsidRDefault="009021F1" w:rsidP="00E637E3">
            <w:pPr>
              <w:spacing w:line="240" w:lineRule="auto"/>
              <w:jc w:val="left"/>
              <w:rPr>
                <w:rFonts w:cs="Arial"/>
                <w:color w:val="000000"/>
                <w:sz w:val="20"/>
                <w:szCs w:val="20"/>
              </w:rPr>
            </w:pPr>
          </w:p>
        </w:tc>
        <w:tc>
          <w:tcPr>
            <w:tcW w:w="2220" w:type="dxa"/>
            <w:vMerge/>
            <w:tcBorders>
              <w:top w:val="nil"/>
              <w:left w:val="single" w:sz="4" w:space="0" w:color="auto"/>
              <w:bottom w:val="single" w:sz="4" w:space="0" w:color="auto"/>
              <w:right w:val="single" w:sz="4" w:space="0" w:color="auto"/>
            </w:tcBorders>
            <w:vAlign w:val="center"/>
            <w:hideMark/>
          </w:tcPr>
          <w:p w14:paraId="7E33CDEC" w14:textId="77777777" w:rsidR="009021F1" w:rsidRPr="00114059" w:rsidRDefault="009021F1" w:rsidP="00E637E3">
            <w:pPr>
              <w:spacing w:line="240" w:lineRule="auto"/>
              <w:jc w:val="left"/>
              <w:rPr>
                <w:rFonts w:cs="Arial"/>
                <w:color w:val="000000"/>
                <w:sz w:val="20"/>
                <w:szCs w:val="20"/>
              </w:rPr>
            </w:pPr>
          </w:p>
        </w:tc>
      </w:tr>
      <w:tr w:rsidR="009021F1" w:rsidRPr="00F91D77" w14:paraId="14A1B1F4" w14:textId="77777777" w:rsidTr="00E637E3">
        <w:trPr>
          <w:trHeight w:val="403"/>
        </w:trPr>
        <w:tc>
          <w:tcPr>
            <w:tcW w:w="1700" w:type="dxa"/>
            <w:vMerge/>
            <w:tcBorders>
              <w:top w:val="nil"/>
              <w:left w:val="single" w:sz="4" w:space="0" w:color="auto"/>
              <w:bottom w:val="single" w:sz="4" w:space="0" w:color="auto"/>
              <w:right w:val="single" w:sz="4" w:space="0" w:color="auto"/>
            </w:tcBorders>
            <w:vAlign w:val="center"/>
            <w:hideMark/>
          </w:tcPr>
          <w:p w14:paraId="6EC6E743" w14:textId="77777777" w:rsidR="009021F1" w:rsidRPr="00114059" w:rsidRDefault="009021F1" w:rsidP="00E637E3">
            <w:pPr>
              <w:spacing w:line="240" w:lineRule="auto"/>
              <w:jc w:val="left"/>
              <w:rPr>
                <w:rFonts w:cs="Arial"/>
                <w:color w:val="000000"/>
                <w:sz w:val="20"/>
                <w:szCs w:val="20"/>
              </w:rPr>
            </w:pPr>
          </w:p>
        </w:tc>
        <w:tc>
          <w:tcPr>
            <w:tcW w:w="3260" w:type="dxa"/>
            <w:vMerge/>
            <w:tcBorders>
              <w:top w:val="nil"/>
              <w:left w:val="single" w:sz="4" w:space="0" w:color="auto"/>
              <w:bottom w:val="single" w:sz="4" w:space="0" w:color="auto"/>
              <w:right w:val="single" w:sz="4" w:space="0" w:color="auto"/>
            </w:tcBorders>
            <w:vAlign w:val="center"/>
            <w:hideMark/>
          </w:tcPr>
          <w:p w14:paraId="5FA2F684" w14:textId="77777777" w:rsidR="009021F1" w:rsidRPr="00114059" w:rsidRDefault="009021F1" w:rsidP="00E637E3">
            <w:pPr>
              <w:spacing w:line="240" w:lineRule="auto"/>
              <w:jc w:val="left"/>
              <w:rPr>
                <w:rFonts w:cs="Arial"/>
                <w:color w:val="000000"/>
                <w:sz w:val="20"/>
                <w:szCs w:val="20"/>
              </w:rPr>
            </w:pPr>
          </w:p>
        </w:tc>
        <w:tc>
          <w:tcPr>
            <w:tcW w:w="2480" w:type="dxa"/>
            <w:vMerge/>
            <w:tcBorders>
              <w:top w:val="nil"/>
              <w:left w:val="single" w:sz="4" w:space="0" w:color="auto"/>
              <w:bottom w:val="single" w:sz="4" w:space="0" w:color="auto"/>
              <w:right w:val="single" w:sz="4" w:space="0" w:color="auto"/>
            </w:tcBorders>
            <w:vAlign w:val="center"/>
            <w:hideMark/>
          </w:tcPr>
          <w:p w14:paraId="09D8057E" w14:textId="77777777" w:rsidR="009021F1" w:rsidRPr="00114059" w:rsidRDefault="009021F1" w:rsidP="00E637E3">
            <w:pPr>
              <w:spacing w:line="240" w:lineRule="auto"/>
              <w:jc w:val="left"/>
              <w:rPr>
                <w:rFonts w:cs="Arial"/>
                <w:color w:val="000000"/>
                <w:sz w:val="20"/>
                <w:szCs w:val="20"/>
              </w:rPr>
            </w:pPr>
          </w:p>
        </w:tc>
        <w:tc>
          <w:tcPr>
            <w:tcW w:w="2220" w:type="dxa"/>
            <w:vMerge/>
            <w:tcBorders>
              <w:top w:val="nil"/>
              <w:left w:val="single" w:sz="4" w:space="0" w:color="auto"/>
              <w:bottom w:val="single" w:sz="4" w:space="0" w:color="auto"/>
              <w:right w:val="single" w:sz="4" w:space="0" w:color="auto"/>
            </w:tcBorders>
            <w:vAlign w:val="center"/>
            <w:hideMark/>
          </w:tcPr>
          <w:p w14:paraId="3F575697" w14:textId="77777777" w:rsidR="009021F1" w:rsidRPr="00114059" w:rsidRDefault="009021F1" w:rsidP="00E637E3">
            <w:pPr>
              <w:spacing w:line="240" w:lineRule="auto"/>
              <w:jc w:val="left"/>
              <w:rPr>
                <w:rFonts w:cs="Arial"/>
                <w:color w:val="000000"/>
                <w:sz w:val="20"/>
                <w:szCs w:val="20"/>
              </w:rPr>
            </w:pPr>
          </w:p>
        </w:tc>
      </w:tr>
      <w:tr w:rsidR="009021F1" w:rsidRPr="00F91D77" w14:paraId="01C4E409" w14:textId="77777777" w:rsidTr="00E637E3">
        <w:trPr>
          <w:trHeight w:val="313"/>
        </w:trPr>
        <w:tc>
          <w:tcPr>
            <w:tcW w:w="1700" w:type="dxa"/>
            <w:vMerge w:val="restart"/>
            <w:tcBorders>
              <w:top w:val="nil"/>
              <w:left w:val="single" w:sz="4" w:space="0" w:color="auto"/>
              <w:bottom w:val="single" w:sz="4" w:space="0" w:color="auto"/>
              <w:right w:val="single" w:sz="4" w:space="0" w:color="auto"/>
            </w:tcBorders>
            <w:shd w:val="clear" w:color="auto" w:fill="auto"/>
            <w:vAlign w:val="center"/>
            <w:hideMark/>
          </w:tcPr>
          <w:p w14:paraId="1A34A1FA" w14:textId="77777777" w:rsidR="009021F1" w:rsidRPr="00114059" w:rsidRDefault="009021F1" w:rsidP="00E637E3">
            <w:pPr>
              <w:spacing w:line="240" w:lineRule="auto"/>
              <w:jc w:val="center"/>
              <w:rPr>
                <w:rFonts w:cs="Arial"/>
                <w:color w:val="000000"/>
                <w:sz w:val="20"/>
                <w:szCs w:val="20"/>
              </w:rPr>
            </w:pPr>
            <w:r w:rsidRPr="00114059">
              <w:rPr>
                <w:rFonts w:cs="Arial"/>
                <w:color w:val="000000"/>
                <w:sz w:val="20"/>
                <w:szCs w:val="20"/>
                <w:lang w:val="en-US"/>
              </w:rPr>
              <w:t>Régime hydrologique</w:t>
            </w:r>
          </w:p>
        </w:tc>
        <w:tc>
          <w:tcPr>
            <w:tcW w:w="3260" w:type="dxa"/>
            <w:tcBorders>
              <w:top w:val="nil"/>
              <w:left w:val="nil"/>
              <w:bottom w:val="single" w:sz="4" w:space="0" w:color="auto"/>
              <w:right w:val="single" w:sz="4" w:space="0" w:color="auto"/>
            </w:tcBorders>
            <w:shd w:val="clear" w:color="auto" w:fill="auto"/>
            <w:vAlign w:val="center"/>
            <w:hideMark/>
          </w:tcPr>
          <w:p w14:paraId="7036C078" w14:textId="77777777" w:rsidR="009021F1" w:rsidRPr="00114059" w:rsidRDefault="009021F1" w:rsidP="00E637E3">
            <w:pPr>
              <w:spacing w:line="240" w:lineRule="auto"/>
              <w:jc w:val="left"/>
              <w:rPr>
                <w:rFonts w:cs="Arial"/>
                <w:color w:val="000000"/>
                <w:sz w:val="20"/>
                <w:szCs w:val="20"/>
              </w:rPr>
            </w:pPr>
            <w:r w:rsidRPr="00114059">
              <w:rPr>
                <w:rFonts w:cs="Arial"/>
                <w:color w:val="000000"/>
                <w:sz w:val="20"/>
                <w:szCs w:val="20"/>
                <w:lang w:val="en-US"/>
              </w:rPr>
              <w:t>Modification du drainage.</w:t>
            </w:r>
          </w:p>
        </w:tc>
        <w:tc>
          <w:tcPr>
            <w:tcW w:w="2480" w:type="dxa"/>
            <w:vMerge/>
            <w:tcBorders>
              <w:top w:val="nil"/>
              <w:left w:val="single" w:sz="4" w:space="0" w:color="auto"/>
              <w:bottom w:val="single" w:sz="4" w:space="0" w:color="auto"/>
              <w:right w:val="single" w:sz="4" w:space="0" w:color="auto"/>
            </w:tcBorders>
            <w:vAlign w:val="center"/>
            <w:hideMark/>
          </w:tcPr>
          <w:p w14:paraId="7F82B4D3" w14:textId="77777777" w:rsidR="009021F1" w:rsidRPr="00114059" w:rsidRDefault="009021F1" w:rsidP="00E637E3">
            <w:pPr>
              <w:spacing w:line="240" w:lineRule="auto"/>
              <w:jc w:val="left"/>
              <w:rPr>
                <w:rFonts w:cs="Arial"/>
                <w:color w:val="000000"/>
                <w:sz w:val="20"/>
                <w:szCs w:val="20"/>
              </w:rPr>
            </w:pPr>
          </w:p>
        </w:tc>
        <w:tc>
          <w:tcPr>
            <w:tcW w:w="2220" w:type="dxa"/>
            <w:vMerge/>
            <w:tcBorders>
              <w:top w:val="nil"/>
              <w:left w:val="single" w:sz="4" w:space="0" w:color="auto"/>
              <w:bottom w:val="single" w:sz="4" w:space="0" w:color="auto"/>
              <w:right w:val="single" w:sz="4" w:space="0" w:color="auto"/>
            </w:tcBorders>
            <w:vAlign w:val="center"/>
            <w:hideMark/>
          </w:tcPr>
          <w:p w14:paraId="545FFEF5" w14:textId="77777777" w:rsidR="009021F1" w:rsidRPr="00114059" w:rsidRDefault="009021F1" w:rsidP="00E637E3">
            <w:pPr>
              <w:spacing w:line="240" w:lineRule="auto"/>
              <w:jc w:val="left"/>
              <w:rPr>
                <w:rFonts w:cs="Arial"/>
                <w:color w:val="000000"/>
                <w:sz w:val="20"/>
                <w:szCs w:val="20"/>
              </w:rPr>
            </w:pPr>
          </w:p>
        </w:tc>
      </w:tr>
      <w:tr w:rsidR="009021F1" w:rsidRPr="00F91D77" w14:paraId="71EC76F0" w14:textId="77777777" w:rsidTr="00E637E3">
        <w:trPr>
          <w:trHeight w:val="544"/>
        </w:trPr>
        <w:tc>
          <w:tcPr>
            <w:tcW w:w="1700" w:type="dxa"/>
            <w:vMerge/>
            <w:tcBorders>
              <w:top w:val="nil"/>
              <w:left w:val="single" w:sz="4" w:space="0" w:color="auto"/>
              <w:bottom w:val="single" w:sz="4" w:space="0" w:color="auto"/>
              <w:right w:val="single" w:sz="4" w:space="0" w:color="auto"/>
            </w:tcBorders>
            <w:vAlign w:val="center"/>
            <w:hideMark/>
          </w:tcPr>
          <w:p w14:paraId="796CD760" w14:textId="77777777" w:rsidR="009021F1" w:rsidRPr="00114059" w:rsidRDefault="009021F1" w:rsidP="00E637E3">
            <w:pPr>
              <w:spacing w:line="240" w:lineRule="auto"/>
              <w:jc w:val="left"/>
              <w:rPr>
                <w:rFonts w:cs="Arial"/>
                <w:color w:val="000000"/>
                <w:sz w:val="20"/>
                <w:szCs w:val="20"/>
              </w:rPr>
            </w:pPr>
          </w:p>
        </w:tc>
        <w:tc>
          <w:tcPr>
            <w:tcW w:w="3260" w:type="dxa"/>
            <w:tcBorders>
              <w:top w:val="nil"/>
              <w:left w:val="nil"/>
              <w:bottom w:val="single" w:sz="4" w:space="0" w:color="auto"/>
              <w:right w:val="single" w:sz="4" w:space="0" w:color="auto"/>
            </w:tcBorders>
            <w:shd w:val="clear" w:color="auto" w:fill="auto"/>
            <w:vAlign w:val="center"/>
            <w:hideMark/>
          </w:tcPr>
          <w:p w14:paraId="5F8F813A" w14:textId="77777777" w:rsidR="009021F1" w:rsidRPr="00114059" w:rsidRDefault="009021F1" w:rsidP="00E637E3">
            <w:pPr>
              <w:spacing w:line="240" w:lineRule="auto"/>
              <w:rPr>
                <w:rFonts w:cs="Arial"/>
                <w:color w:val="000000"/>
                <w:sz w:val="20"/>
                <w:szCs w:val="20"/>
              </w:rPr>
            </w:pPr>
            <w:r w:rsidRPr="00114059">
              <w:rPr>
                <w:rFonts w:cs="Arial"/>
                <w:color w:val="000000"/>
                <w:sz w:val="20"/>
                <w:szCs w:val="20"/>
              </w:rPr>
              <w:t>Modification de l’écoulement des eaux de surface.</w:t>
            </w:r>
          </w:p>
        </w:tc>
        <w:tc>
          <w:tcPr>
            <w:tcW w:w="2480" w:type="dxa"/>
            <w:vMerge/>
            <w:tcBorders>
              <w:top w:val="nil"/>
              <w:left w:val="single" w:sz="4" w:space="0" w:color="auto"/>
              <w:bottom w:val="single" w:sz="4" w:space="0" w:color="auto"/>
              <w:right w:val="single" w:sz="4" w:space="0" w:color="auto"/>
            </w:tcBorders>
            <w:vAlign w:val="center"/>
            <w:hideMark/>
          </w:tcPr>
          <w:p w14:paraId="1F5D6883" w14:textId="77777777" w:rsidR="009021F1" w:rsidRPr="00114059" w:rsidRDefault="009021F1" w:rsidP="00E637E3">
            <w:pPr>
              <w:spacing w:line="240" w:lineRule="auto"/>
              <w:jc w:val="left"/>
              <w:rPr>
                <w:rFonts w:cs="Arial"/>
                <w:color w:val="000000"/>
                <w:sz w:val="20"/>
                <w:szCs w:val="20"/>
              </w:rPr>
            </w:pPr>
          </w:p>
        </w:tc>
        <w:tc>
          <w:tcPr>
            <w:tcW w:w="2220" w:type="dxa"/>
            <w:vMerge/>
            <w:tcBorders>
              <w:top w:val="nil"/>
              <w:left w:val="single" w:sz="4" w:space="0" w:color="auto"/>
              <w:bottom w:val="single" w:sz="4" w:space="0" w:color="auto"/>
              <w:right w:val="single" w:sz="4" w:space="0" w:color="auto"/>
            </w:tcBorders>
            <w:vAlign w:val="center"/>
            <w:hideMark/>
          </w:tcPr>
          <w:p w14:paraId="5D7F2648" w14:textId="77777777" w:rsidR="009021F1" w:rsidRPr="00114059" w:rsidRDefault="009021F1" w:rsidP="00E637E3">
            <w:pPr>
              <w:spacing w:line="240" w:lineRule="auto"/>
              <w:jc w:val="left"/>
              <w:rPr>
                <w:rFonts w:cs="Arial"/>
                <w:color w:val="000000"/>
                <w:sz w:val="20"/>
                <w:szCs w:val="20"/>
              </w:rPr>
            </w:pPr>
          </w:p>
        </w:tc>
      </w:tr>
      <w:tr w:rsidR="009021F1" w:rsidRPr="00F91D77" w14:paraId="5DA801E7" w14:textId="77777777" w:rsidTr="00E637E3">
        <w:trPr>
          <w:trHeight w:val="478"/>
        </w:trPr>
        <w:tc>
          <w:tcPr>
            <w:tcW w:w="1700" w:type="dxa"/>
            <w:vMerge w:val="restart"/>
            <w:tcBorders>
              <w:top w:val="nil"/>
              <w:left w:val="single" w:sz="4" w:space="0" w:color="auto"/>
              <w:bottom w:val="single" w:sz="4" w:space="0" w:color="auto"/>
              <w:right w:val="single" w:sz="4" w:space="0" w:color="auto"/>
            </w:tcBorders>
            <w:shd w:val="clear" w:color="auto" w:fill="auto"/>
            <w:vAlign w:val="center"/>
            <w:hideMark/>
          </w:tcPr>
          <w:p w14:paraId="179BCCC7" w14:textId="77777777" w:rsidR="009021F1" w:rsidRPr="00114059" w:rsidRDefault="009021F1" w:rsidP="00E637E3">
            <w:pPr>
              <w:spacing w:line="240" w:lineRule="auto"/>
              <w:jc w:val="center"/>
              <w:rPr>
                <w:rFonts w:cs="Arial"/>
                <w:color w:val="000000"/>
                <w:sz w:val="20"/>
                <w:szCs w:val="20"/>
              </w:rPr>
            </w:pPr>
            <w:r w:rsidRPr="00114059">
              <w:rPr>
                <w:rFonts w:cs="Arial"/>
                <w:color w:val="000000"/>
                <w:sz w:val="20"/>
                <w:szCs w:val="20"/>
                <w:lang w:val="en-US"/>
              </w:rPr>
              <w:t>Qualité des sols</w:t>
            </w:r>
          </w:p>
        </w:tc>
        <w:tc>
          <w:tcPr>
            <w:tcW w:w="3260" w:type="dxa"/>
            <w:tcBorders>
              <w:top w:val="nil"/>
              <w:left w:val="nil"/>
              <w:bottom w:val="single" w:sz="4" w:space="0" w:color="auto"/>
              <w:right w:val="single" w:sz="4" w:space="0" w:color="auto"/>
            </w:tcBorders>
            <w:shd w:val="clear" w:color="auto" w:fill="auto"/>
            <w:vAlign w:val="center"/>
            <w:hideMark/>
          </w:tcPr>
          <w:p w14:paraId="4F0B9DDF" w14:textId="77777777" w:rsidR="009021F1" w:rsidRPr="00114059" w:rsidRDefault="009021F1" w:rsidP="00E637E3">
            <w:pPr>
              <w:spacing w:line="240" w:lineRule="auto"/>
              <w:jc w:val="left"/>
              <w:rPr>
                <w:rFonts w:cs="Arial"/>
                <w:color w:val="000000"/>
                <w:sz w:val="20"/>
                <w:szCs w:val="20"/>
              </w:rPr>
            </w:pPr>
            <w:r w:rsidRPr="00114059">
              <w:rPr>
                <w:rFonts w:cs="Arial"/>
                <w:color w:val="000000"/>
                <w:sz w:val="20"/>
                <w:szCs w:val="20"/>
              </w:rPr>
              <w:t>Pollution du sol et risque d'érosion et déstabilisation des sols.</w:t>
            </w:r>
          </w:p>
        </w:tc>
        <w:tc>
          <w:tcPr>
            <w:tcW w:w="2480" w:type="dxa"/>
            <w:tcBorders>
              <w:top w:val="nil"/>
              <w:left w:val="nil"/>
              <w:bottom w:val="single" w:sz="4" w:space="0" w:color="auto"/>
              <w:right w:val="single" w:sz="4" w:space="0" w:color="auto"/>
            </w:tcBorders>
            <w:shd w:val="clear" w:color="auto" w:fill="auto"/>
            <w:noWrap/>
            <w:vAlign w:val="center"/>
            <w:hideMark/>
          </w:tcPr>
          <w:p w14:paraId="0BB45AF7" w14:textId="77777777" w:rsidR="009021F1" w:rsidRPr="00114059" w:rsidRDefault="009021F1" w:rsidP="00E637E3">
            <w:pPr>
              <w:spacing w:line="240" w:lineRule="auto"/>
              <w:jc w:val="center"/>
              <w:rPr>
                <w:rFonts w:cs="Arial"/>
                <w:color w:val="000000"/>
                <w:sz w:val="20"/>
                <w:szCs w:val="20"/>
              </w:rPr>
            </w:pPr>
            <w:r w:rsidRPr="00114059">
              <w:rPr>
                <w:rFonts w:cs="Arial"/>
                <w:color w:val="000000"/>
                <w:sz w:val="20"/>
                <w:szCs w:val="20"/>
              </w:rPr>
              <w:t>NES n° 1 et 3</w:t>
            </w:r>
          </w:p>
        </w:tc>
        <w:tc>
          <w:tcPr>
            <w:tcW w:w="2220" w:type="dxa"/>
            <w:tcBorders>
              <w:top w:val="nil"/>
              <w:left w:val="nil"/>
              <w:bottom w:val="single" w:sz="4" w:space="0" w:color="auto"/>
              <w:right w:val="single" w:sz="4" w:space="0" w:color="auto"/>
            </w:tcBorders>
            <w:shd w:val="clear" w:color="auto" w:fill="auto"/>
            <w:noWrap/>
            <w:vAlign w:val="center"/>
            <w:hideMark/>
          </w:tcPr>
          <w:p w14:paraId="21127F3D" w14:textId="77777777" w:rsidR="009021F1" w:rsidRPr="00114059" w:rsidRDefault="009021F1" w:rsidP="00E637E3">
            <w:pPr>
              <w:spacing w:line="240" w:lineRule="auto"/>
              <w:jc w:val="center"/>
              <w:rPr>
                <w:rFonts w:cs="Arial"/>
                <w:color w:val="000000"/>
                <w:sz w:val="20"/>
                <w:szCs w:val="20"/>
              </w:rPr>
            </w:pPr>
            <w:r w:rsidRPr="00114059">
              <w:rPr>
                <w:rFonts w:cs="Arial"/>
                <w:color w:val="000000"/>
                <w:sz w:val="20"/>
                <w:szCs w:val="20"/>
              </w:rPr>
              <w:t>CGES, EIES/PGES</w:t>
            </w:r>
          </w:p>
        </w:tc>
      </w:tr>
      <w:tr w:rsidR="009021F1" w:rsidRPr="00F91D77" w14:paraId="1A780BD6" w14:textId="77777777" w:rsidTr="00E637E3">
        <w:trPr>
          <w:trHeight w:val="1123"/>
        </w:trPr>
        <w:tc>
          <w:tcPr>
            <w:tcW w:w="1700" w:type="dxa"/>
            <w:vMerge/>
            <w:tcBorders>
              <w:top w:val="nil"/>
              <w:left w:val="single" w:sz="4" w:space="0" w:color="auto"/>
              <w:bottom w:val="single" w:sz="4" w:space="0" w:color="auto"/>
              <w:right w:val="single" w:sz="4" w:space="0" w:color="auto"/>
            </w:tcBorders>
            <w:vAlign w:val="center"/>
            <w:hideMark/>
          </w:tcPr>
          <w:p w14:paraId="115DE458" w14:textId="77777777" w:rsidR="009021F1" w:rsidRPr="00114059" w:rsidRDefault="009021F1" w:rsidP="00E637E3">
            <w:pPr>
              <w:spacing w:line="240" w:lineRule="auto"/>
              <w:jc w:val="left"/>
              <w:rPr>
                <w:rFonts w:cs="Arial"/>
                <w:color w:val="000000"/>
                <w:sz w:val="20"/>
                <w:szCs w:val="20"/>
              </w:rPr>
            </w:pPr>
          </w:p>
        </w:tc>
        <w:tc>
          <w:tcPr>
            <w:tcW w:w="3260" w:type="dxa"/>
            <w:tcBorders>
              <w:top w:val="nil"/>
              <w:left w:val="nil"/>
              <w:bottom w:val="single" w:sz="4" w:space="0" w:color="auto"/>
              <w:right w:val="single" w:sz="4" w:space="0" w:color="auto"/>
            </w:tcBorders>
            <w:shd w:val="clear" w:color="auto" w:fill="auto"/>
            <w:vAlign w:val="center"/>
            <w:hideMark/>
          </w:tcPr>
          <w:p w14:paraId="5A0DCD3F" w14:textId="77777777" w:rsidR="009021F1" w:rsidRPr="00114059" w:rsidRDefault="009021F1" w:rsidP="00E637E3">
            <w:pPr>
              <w:spacing w:line="240" w:lineRule="auto"/>
              <w:jc w:val="left"/>
              <w:rPr>
                <w:rFonts w:cs="Arial"/>
                <w:color w:val="000000"/>
                <w:sz w:val="20"/>
                <w:szCs w:val="20"/>
              </w:rPr>
            </w:pPr>
            <w:r w:rsidRPr="00114059">
              <w:rPr>
                <w:rFonts w:cs="Arial"/>
                <w:color w:val="000000"/>
                <w:sz w:val="20"/>
                <w:szCs w:val="20"/>
              </w:rPr>
              <w:t>Dégradation de la qualité des sols engendrée par le rejet accidentel de contaminants ou les déchets des emballages des pesticides ou autres.</w:t>
            </w:r>
          </w:p>
        </w:tc>
        <w:tc>
          <w:tcPr>
            <w:tcW w:w="2480" w:type="dxa"/>
            <w:tcBorders>
              <w:top w:val="nil"/>
              <w:left w:val="nil"/>
              <w:bottom w:val="single" w:sz="4" w:space="0" w:color="auto"/>
              <w:right w:val="single" w:sz="4" w:space="0" w:color="auto"/>
            </w:tcBorders>
            <w:shd w:val="clear" w:color="auto" w:fill="auto"/>
            <w:noWrap/>
            <w:vAlign w:val="center"/>
            <w:hideMark/>
          </w:tcPr>
          <w:p w14:paraId="5E87DC73" w14:textId="77777777" w:rsidR="009021F1" w:rsidRPr="00114059" w:rsidRDefault="009021F1" w:rsidP="00E637E3">
            <w:pPr>
              <w:spacing w:line="240" w:lineRule="auto"/>
              <w:jc w:val="center"/>
              <w:rPr>
                <w:rFonts w:cs="Arial"/>
                <w:color w:val="000000"/>
                <w:sz w:val="20"/>
                <w:szCs w:val="20"/>
              </w:rPr>
            </w:pPr>
            <w:r w:rsidRPr="00114059">
              <w:rPr>
                <w:rFonts w:cs="Arial"/>
                <w:color w:val="000000"/>
                <w:sz w:val="20"/>
                <w:szCs w:val="20"/>
              </w:rPr>
              <w:t>NES n° 1 et 4</w:t>
            </w:r>
          </w:p>
        </w:tc>
        <w:tc>
          <w:tcPr>
            <w:tcW w:w="2220" w:type="dxa"/>
            <w:tcBorders>
              <w:top w:val="nil"/>
              <w:left w:val="nil"/>
              <w:bottom w:val="single" w:sz="4" w:space="0" w:color="auto"/>
              <w:right w:val="single" w:sz="4" w:space="0" w:color="auto"/>
            </w:tcBorders>
            <w:shd w:val="clear" w:color="auto" w:fill="auto"/>
            <w:noWrap/>
            <w:vAlign w:val="center"/>
            <w:hideMark/>
          </w:tcPr>
          <w:p w14:paraId="1D211D91" w14:textId="77777777" w:rsidR="009021F1" w:rsidRPr="00114059" w:rsidRDefault="009021F1" w:rsidP="00E637E3">
            <w:pPr>
              <w:spacing w:line="240" w:lineRule="auto"/>
              <w:jc w:val="center"/>
              <w:rPr>
                <w:rFonts w:cs="Arial"/>
                <w:color w:val="000000"/>
                <w:sz w:val="20"/>
                <w:szCs w:val="20"/>
              </w:rPr>
            </w:pPr>
            <w:r w:rsidRPr="00114059">
              <w:rPr>
                <w:rFonts w:cs="Arial"/>
                <w:color w:val="000000"/>
                <w:sz w:val="20"/>
                <w:szCs w:val="20"/>
              </w:rPr>
              <w:t>CGES, EIES/PGES et PGP</w:t>
            </w:r>
          </w:p>
        </w:tc>
      </w:tr>
      <w:tr w:rsidR="009021F1" w:rsidRPr="00F91D77" w14:paraId="69AE8A49" w14:textId="77777777" w:rsidTr="00E637E3">
        <w:trPr>
          <w:trHeight w:val="530"/>
        </w:trPr>
        <w:tc>
          <w:tcPr>
            <w:tcW w:w="1700" w:type="dxa"/>
            <w:vMerge w:val="restart"/>
            <w:tcBorders>
              <w:top w:val="nil"/>
              <w:left w:val="single" w:sz="4" w:space="0" w:color="auto"/>
              <w:bottom w:val="single" w:sz="4" w:space="0" w:color="auto"/>
              <w:right w:val="single" w:sz="4" w:space="0" w:color="auto"/>
            </w:tcBorders>
            <w:shd w:val="clear" w:color="auto" w:fill="auto"/>
            <w:vAlign w:val="center"/>
            <w:hideMark/>
          </w:tcPr>
          <w:p w14:paraId="0A6AC126" w14:textId="77777777" w:rsidR="009021F1" w:rsidRPr="00114059" w:rsidRDefault="009021F1" w:rsidP="00E637E3">
            <w:pPr>
              <w:spacing w:line="240" w:lineRule="auto"/>
              <w:jc w:val="center"/>
              <w:rPr>
                <w:rFonts w:cs="Arial"/>
                <w:color w:val="000000"/>
                <w:sz w:val="20"/>
                <w:szCs w:val="20"/>
              </w:rPr>
            </w:pPr>
            <w:r w:rsidRPr="00114059">
              <w:rPr>
                <w:rFonts w:cs="Arial"/>
                <w:color w:val="000000"/>
                <w:sz w:val="20"/>
                <w:szCs w:val="20"/>
                <w:lang w:val="en-US"/>
              </w:rPr>
              <w:t>Végétation</w:t>
            </w:r>
          </w:p>
        </w:tc>
        <w:tc>
          <w:tcPr>
            <w:tcW w:w="3260" w:type="dxa"/>
            <w:tcBorders>
              <w:top w:val="nil"/>
              <w:left w:val="nil"/>
              <w:bottom w:val="single" w:sz="4" w:space="0" w:color="auto"/>
              <w:right w:val="single" w:sz="4" w:space="0" w:color="auto"/>
            </w:tcBorders>
            <w:shd w:val="clear" w:color="auto" w:fill="auto"/>
            <w:vAlign w:val="center"/>
            <w:hideMark/>
          </w:tcPr>
          <w:p w14:paraId="3C808F52" w14:textId="77777777" w:rsidR="009021F1" w:rsidRPr="00114059" w:rsidRDefault="009021F1" w:rsidP="00E637E3">
            <w:pPr>
              <w:spacing w:line="240" w:lineRule="auto"/>
              <w:jc w:val="left"/>
              <w:rPr>
                <w:rFonts w:cs="Arial"/>
                <w:color w:val="000000"/>
                <w:sz w:val="20"/>
                <w:szCs w:val="20"/>
              </w:rPr>
            </w:pPr>
            <w:r w:rsidRPr="00114059">
              <w:rPr>
                <w:rFonts w:cs="Arial"/>
                <w:color w:val="000000"/>
                <w:sz w:val="20"/>
                <w:szCs w:val="20"/>
              </w:rPr>
              <w:t>Dommages aux arbres, arbustes et autres végétaux.</w:t>
            </w:r>
          </w:p>
        </w:tc>
        <w:tc>
          <w:tcPr>
            <w:tcW w:w="24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06FF54" w14:textId="77777777" w:rsidR="009021F1" w:rsidRPr="00114059" w:rsidRDefault="009021F1" w:rsidP="00E637E3">
            <w:pPr>
              <w:spacing w:line="240" w:lineRule="auto"/>
              <w:jc w:val="center"/>
              <w:rPr>
                <w:rFonts w:cs="Arial"/>
                <w:color w:val="000000"/>
                <w:sz w:val="20"/>
                <w:szCs w:val="20"/>
              </w:rPr>
            </w:pPr>
            <w:r w:rsidRPr="00114059">
              <w:rPr>
                <w:rFonts w:cs="Arial"/>
                <w:color w:val="000000"/>
                <w:sz w:val="20"/>
                <w:szCs w:val="20"/>
              </w:rPr>
              <w:t>NES n° 1 et 6</w:t>
            </w:r>
          </w:p>
        </w:tc>
        <w:tc>
          <w:tcPr>
            <w:tcW w:w="22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67DF861" w14:textId="77777777" w:rsidR="009021F1" w:rsidRPr="00114059" w:rsidRDefault="009021F1" w:rsidP="00E637E3">
            <w:pPr>
              <w:spacing w:line="240" w:lineRule="auto"/>
              <w:jc w:val="center"/>
              <w:rPr>
                <w:rFonts w:cs="Arial"/>
                <w:color w:val="000000"/>
                <w:sz w:val="20"/>
                <w:szCs w:val="20"/>
              </w:rPr>
            </w:pPr>
            <w:r w:rsidRPr="00114059">
              <w:rPr>
                <w:rFonts w:cs="Arial"/>
                <w:color w:val="000000"/>
                <w:sz w:val="20"/>
                <w:szCs w:val="20"/>
              </w:rPr>
              <w:t>CGES, EIES/PGES</w:t>
            </w:r>
          </w:p>
        </w:tc>
      </w:tr>
      <w:tr w:rsidR="009021F1" w:rsidRPr="00F91D77" w14:paraId="7AF5A486" w14:textId="77777777" w:rsidTr="00E637E3">
        <w:trPr>
          <w:trHeight w:val="708"/>
        </w:trPr>
        <w:tc>
          <w:tcPr>
            <w:tcW w:w="1700" w:type="dxa"/>
            <w:vMerge/>
            <w:tcBorders>
              <w:top w:val="nil"/>
              <w:left w:val="single" w:sz="4" w:space="0" w:color="auto"/>
              <w:bottom w:val="single" w:sz="4" w:space="0" w:color="auto"/>
              <w:right w:val="single" w:sz="4" w:space="0" w:color="auto"/>
            </w:tcBorders>
            <w:vAlign w:val="center"/>
            <w:hideMark/>
          </w:tcPr>
          <w:p w14:paraId="67FC05AF" w14:textId="77777777" w:rsidR="009021F1" w:rsidRPr="00114059" w:rsidRDefault="009021F1" w:rsidP="00E637E3">
            <w:pPr>
              <w:spacing w:line="240" w:lineRule="auto"/>
              <w:jc w:val="left"/>
              <w:rPr>
                <w:rFonts w:cs="Arial"/>
                <w:color w:val="000000"/>
                <w:sz w:val="20"/>
                <w:szCs w:val="20"/>
              </w:rPr>
            </w:pPr>
          </w:p>
        </w:tc>
        <w:tc>
          <w:tcPr>
            <w:tcW w:w="3260" w:type="dxa"/>
            <w:tcBorders>
              <w:top w:val="nil"/>
              <w:left w:val="nil"/>
              <w:bottom w:val="single" w:sz="4" w:space="0" w:color="auto"/>
              <w:right w:val="single" w:sz="4" w:space="0" w:color="auto"/>
            </w:tcBorders>
            <w:shd w:val="clear" w:color="auto" w:fill="auto"/>
            <w:vAlign w:val="center"/>
            <w:hideMark/>
          </w:tcPr>
          <w:p w14:paraId="4A72EB62" w14:textId="77777777" w:rsidR="009021F1" w:rsidRPr="00114059" w:rsidRDefault="009021F1" w:rsidP="00E637E3">
            <w:pPr>
              <w:spacing w:line="240" w:lineRule="auto"/>
              <w:jc w:val="left"/>
              <w:rPr>
                <w:rFonts w:cs="Arial"/>
                <w:color w:val="000000"/>
                <w:sz w:val="20"/>
                <w:szCs w:val="20"/>
              </w:rPr>
            </w:pPr>
            <w:r w:rsidRPr="00114059">
              <w:rPr>
                <w:rFonts w:cs="Arial"/>
                <w:color w:val="000000"/>
                <w:sz w:val="20"/>
                <w:szCs w:val="20"/>
              </w:rPr>
              <w:t xml:space="preserve">Risque des pertes de biodiversité, d’espaces agricoles et d’habitats fauniques </w:t>
            </w:r>
          </w:p>
        </w:tc>
        <w:tc>
          <w:tcPr>
            <w:tcW w:w="2480" w:type="dxa"/>
            <w:vMerge/>
            <w:tcBorders>
              <w:top w:val="nil"/>
              <w:left w:val="single" w:sz="4" w:space="0" w:color="auto"/>
              <w:bottom w:val="single" w:sz="4" w:space="0" w:color="auto"/>
              <w:right w:val="single" w:sz="4" w:space="0" w:color="auto"/>
            </w:tcBorders>
            <w:vAlign w:val="center"/>
            <w:hideMark/>
          </w:tcPr>
          <w:p w14:paraId="35BCDC27" w14:textId="77777777" w:rsidR="009021F1" w:rsidRPr="00114059" w:rsidRDefault="009021F1" w:rsidP="00E637E3">
            <w:pPr>
              <w:spacing w:line="240" w:lineRule="auto"/>
              <w:jc w:val="left"/>
              <w:rPr>
                <w:rFonts w:cs="Arial"/>
                <w:color w:val="000000"/>
                <w:sz w:val="20"/>
                <w:szCs w:val="20"/>
              </w:rPr>
            </w:pPr>
          </w:p>
        </w:tc>
        <w:tc>
          <w:tcPr>
            <w:tcW w:w="2220" w:type="dxa"/>
            <w:vMerge/>
            <w:tcBorders>
              <w:top w:val="nil"/>
              <w:left w:val="single" w:sz="4" w:space="0" w:color="auto"/>
              <w:bottom w:val="single" w:sz="4" w:space="0" w:color="auto"/>
              <w:right w:val="single" w:sz="4" w:space="0" w:color="auto"/>
            </w:tcBorders>
            <w:vAlign w:val="center"/>
            <w:hideMark/>
          </w:tcPr>
          <w:p w14:paraId="29569DEF" w14:textId="77777777" w:rsidR="009021F1" w:rsidRPr="00114059" w:rsidRDefault="009021F1" w:rsidP="00E637E3">
            <w:pPr>
              <w:spacing w:line="240" w:lineRule="auto"/>
              <w:jc w:val="left"/>
              <w:rPr>
                <w:rFonts w:cs="Arial"/>
                <w:color w:val="000000"/>
                <w:sz w:val="20"/>
                <w:szCs w:val="20"/>
              </w:rPr>
            </w:pPr>
          </w:p>
        </w:tc>
      </w:tr>
      <w:tr w:rsidR="009021F1" w:rsidRPr="00F91D77" w14:paraId="499F5649" w14:textId="77777777" w:rsidTr="00E637E3">
        <w:trPr>
          <w:trHeight w:val="832"/>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3CB5AC8E" w14:textId="77777777" w:rsidR="009021F1" w:rsidRPr="00114059" w:rsidRDefault="009021F1" w:rsidP="00E637E3">
            <w:pPr>
              <w:spacing w:line="240" w:lineRule="auto"/>
              <w:jc w:val="center"/>
              <w:rPr>
                <w:rFonts w:cs="Arial"/>
                <w:color w:val="000000"/>
                <w:sz w:val="20"/>
                <w:szCs w:val="20"/>
              </w:rPr>
            </w:pPr>
            <w:r w:rsidRPr="00114059">
              <w:rPr>
                <w:rFonts w:cs="Arial"/>
                <w:color w:val="000000"/>
                <w:sz w:val="20"/>
                <w:szCs w:val="20"/>
                <w:lang w:val="en-US"/>
              </w:rPr>
              <w:t>Faune</w:t>
            </w:r>
          </w:p>
        </w:tc>
        <w:tc>
          <w:tcPr>
            <w:tcW w:w="3260" w:type="dxa"/>
            <w:tcBorders>
              <w:top w:val="nil"/>
              <w:left w:val="nil"/>
              <w:bottom w:val="single" w:sz="4" w:space="0" w:color="auto"/>
              <w:right w:val="single" w:sz="4" w:space="0" w:color="auto"/>
            </w:tcBorders>
            <w:shd w:val="clear" w:color="auto" w:fill="auto"/>
            <w:vAlign w:val="center"/>
            <w:hideMark/>
          </w:tcPr>
          <w:p w14:paraId="20A99170" w14:textId="77777777" w:rsidR="009021F1" w:rsidRPr="00114059" w:rsidRDefault="009021F1" w:rsidP="00E637E3">
            <w:pPr>
              <w:spacing w:line="240" w:lineRule="auto"/>
              <w:jc w:val="left"/>
              <w:rPr>
                <w:rFonts w:cs="Arial"/>
                <w:color w:val="000000"/>
                <w:sz w:val="20"/>
                <w:szCs w:val="20"/>
              </w:rPr>
            </w:pPr>
            <w:r w:rsidRPr="00114059">
              <w:rPr>
                <w:rFonts w:cs="Arial"/>
                <w:color w:val="000000"/>
                <w:sz w:val="20"/>
                <w:szCs w:val="20"/>
              </w:rPr>
              <w:t>Perte de la faune suite aux travaux agricoles</w:t>
            </w:r>
          </w:p>
        </w:tc>
        <w:tc>
          <w:tcPr>
            <w:tcW w:w="2480" w:type="dxa"/>
            <w:tcBorders>
              <w:top w:val="nil"/>
              <w:left w:val="nil"/>
              <w:bottom w:val="single" w:sz="4" w:space="0" w:color="auto"/>
              <w:right w:val="single" w:sz="4" w:space="0" w:color="auto"/>
            </w:tcBorders>
            <w:shd w:val="clear" w:color="auto" w:fill="auto"/>
            <w:noWrap/>
            <w:vAlign w:val="center"/>
            <w:hideMark/>
          </w:tcPr>
          <w:p w14:paraId="243D44F7" w14:textId="77777777" w:rsidR="009021F1" w:rsidRPr="00114059" w:rsidRDefault="009021F1" w:rsidP="00E637E3">
            <w:pPr>
              <w:spacing w:line="240" w:lineRule="auto"/>
              <w:jc w:val="center"/>
              <w:rPr>
                <w:rFonts w:cs="Arial"/>
                <w:color w:val="000000"/>
                <w:sz w:val="20"/>
                <w:szCs w:val="20"/>
              </w:rPr>
            </w:pPr>
            <w:r w:rsidRPr="00114059">
              <w:rPr>
                <w:rFonts w:cs="Arial"/>
                <w:color w:val="000000"/>
                <w:sz w:val="20"/>
                <w:szCs w:val="20"/>
              </w:rPr>
              <w:t>NES n° 1 et 6</w:t>
            </w:r>
          </w:p>
        </w:tc>
        <w:tc>
          <w:tcPr>
            <w:tcW w:w="2220" w:type="dxa"/>
            <w:tcBorders>
              <w:top w:val="nil"/>
              <w:left w:val="nil"/>
              <w:bottom w:val="single" w:sz="4" w:space="0" w:color="auto"/>
              <w:right w:val="single" w:sz="4" w:space="0" w:color="auto"/>
            </w:tcBorders>
            <w:shd w:val="clear" w:color="auto" w:fill="auto"/>
            <w:vAlign w:val="center"/>
            <w:hideMark/>
          </w:tcPr>
          <w:p w14:paraId="5D8B71F3" w14:textId="77777777" w:rsidR="009021F1" w:rsidRPr="00114059" w:rsidRDefault="009021F1" w:rsidP="00E637E3">
            <w:pPr>
              <w:spacing w:line="240" w:lineRule="auto"/>
              <w:jc w:val="left"/>
              <w:rPr>
                <w:rFonts w:cs="Arial"/>
                <w:color w:val="000000"/>
                <w:sz w:val="20"/>
                <w:szCs w:val="20"/>
              </w:rPr>
            </w:pPr>
            <w:r w:rsidRPr="00114059">
              <w:rPr>
                <w:rFonts w:cs="Arial"/>
                <w:color w:val="000000"/>
                <w:sz w:val="20"/>
                <w:szCs w:val="20"/>
              </w:rPr>
              <w:t>CGES, EIES / PGES et Plan de Gestion de la Biodiversité (PGB)</w:t>
            </w:r>
          </w:p>
        </w:tc>
      </w:tr>
      <w:tr w:rsidR="009021F1" w:rsidRPr="00F91D77" w14:paraId="4B195A6F" w14:textId="77777777" w:rsidTr="00E637E3">
        <w:trPr>
          <w:trHeight w:val="547"/>
        </w:trPr>
        <w:tc>
          <w:tcPr>
            <w:tcW w:w="1700" w:type="dxa"/>
            <w:vMerge w:val="restart"/>
            <w:tcBorders>
              <w:top w:val="nil"/>
              <w:left w:val="single" w:sz="4" w:space="0" w:color="auto"/>
              <w:bottom w:val="single" w:sz="4" w:space="0" w:color="auto"/>
              <w:right w:val="single" w:sz="4" w:space="0" w:color="auto"/>
            </w:tcBorders>
            <w:shd w:val="clear" w:color="auto" w:fill="auto"/>
            <w:vAlign w:val="center"/>
            <w:hideMark/>
          </w:tcPr>
          <w:p w14:paraId="00BE14A7" w14:textId="77777777" w:rsidR="009021F1" w:rsidRPr="00114059" w:rsidRDefault="009021F1" w:rsidP="00E637E3">
            <w:pPr>
              <w:spacing w:line="240" w:lineRule="auto"/>
              <w:jc w:val="center"/>
              <w:rPr>
                <w:rFonts w:cs="Arial"/>
                <w:color w:val="000000"/>
                <w:sz w:val="20"/>
                <w:szCs w:val="20"/>
              </w:rPr>
            </w:pPr>
            <w:r w:rsidRPr="00114059">
              <w:rPr>
                <w:rFonts w:cs="Arial"/>
                <w:color w:val="000000"/>
                <w:sz w:val="20"/>
                <w:szCs w:val="20"/>
              </w:rPr>
              <w:t>Milieu humain</w:t>
            </w:r>
          </w:p>
        </w:tc>
        <w:tc>
          <w:tcPr>
            <w:tcW w:w="3260" w:type="dxa"/>
            <w:tcBorders>
              <w:top w:val="nil"/>
              <w:left w:val="nil"/>
              <w:bottom w:val="single" w:sz="4" w:space="0" w:color="auto"/>
              <w:right w:val="single" w:sz="4" w:space="0" w:color="auto"/>
            </w:tcBorders>
            <w:shd w:val="clear" w:color="auto" w:fill="auto"/>
            <w:vAlign w:val="center"/>
            <w:hideMark/>
          </w:tcPr>
          <w:p w14:paraId="172AEDE3" w14:textId="77777777" w:rsidR="009021F1" w:rsidRPr="00114059" w:rsidRDefault="009021F1" w:rsidP="00E637E3">
            <w:pPr>
              <w:spacing w:line="240" w:lineRule="auto"/>
              <w:jc w:val="left"/>
              <w:rPr>
                <w:rFonts w:cs="Arial"/>
                <w:color w:val="000000"/>
                <w:sz w:val="20"/>
                <w:szCs w:val="20"/>
              </w:rPr>
            </w:pPr>
            <w:r w:rsidRPr="00114059">
              <w:rPr>
                <w:rFonts w:cs="Arial"/>
                <w:color w:val="000000"/>
                <w:sz w:val="20"/>
                <w:szCs w:val="20"/>
              </w:rPr>
              <w:t>Déplacement de population de façon permanente.</w:t>
            </w:r>
          </w:p>
        </w:tc>
        <w:tc>
          <w:tcPr>
            <w:tcW w:w="2480" w:type="dxa"/>
            <w:tcBorders>
              <w:top w:val="nil"/>
              <w:left w:val="nil"/>
              <w:bottom w:val="single" w:sz="4" w:space="0" w:color="auto"/>
              <w:right w:val="single" w:sz="4" w:space="0" w:color="auto"/>
            </w:tcBorders>
            <w:shd w:val="clear" w:color="auto" w:fill="auto"/>
            <w:noWrap/>
            <w:vAlign w:val="center"/>
            <w:hideMark/>
          </w:tcPr>
          <w:p w14:paraId="64F4DF2D" w14:textId="77777777" w:rsidR="009021F1" w:rsidRPr="00114059" w:rsidRDefault="009021F1" w:rsidP="00E637E3">
            <w:pPr>
              <w:spacing w:line="240" w:lineRule="auto"/>
              <w:jc w:val="center"/>
              <w:rPr>
                <w:rFonts w:cs="Arial"/>
                <w:color w:val="000000"/>
                <w:sz w:val="20"/>
                <w:szCs w:val="20"/>
              </w:rPr>
            </w:pPr>
            <w:r w:rsidRPr="00114059">
              <w:rPr>
                <w:rFonts w:cs="Arial"/>
                <w:color w:val="000000"/>
                <w:sz w:val="20"/>
                <w:szCs w:val="20"/>
              </w:rPr>
              <w:t>NES n° 1 et 5</w:t>
            </w:r>
          </w:p>
        </w:tc>
        <w:tc>
          <w:tcPr>
            <w:tcW w:w="2220" w:type="dxa"/>
            <w:tcBorders>
              <w:top w:val="nil"/>
              <w:left w:val="nil"/>
              <w:bottom w:val="single" w:sz="4" w:space="0" w:color="auto"/>
              <w:right w:val="single" w:sz="4" w:space="0" w:color="auto"/>
            </w:tcBorders>
            <w:shd w:val="clear" w:color="auto" w:fill="auto"/>
            <w:vAlign w:val="center"/>
            <w:hideMark/>
          </w:tcPr>
          <w:p w14:paraId="2122B228" w14:textId="77777777" w:rsidR="009021F1" w:rsidRPr="00114059" w:rsidRDefault="009021F1" w:rsidP="00E637E3">
            <w:pPr>
              <w:spacing w:line="240" w:lineRule="auto"/>
              <w:jc w:val="center"/>
              <w:rPr>
                <w:rFonts w:cs="Arial"/>
                <w:color w:val="000000"/>
                <w:sz w:val="20"/>
                <w:szCs w:val="20"/>
              </w:rPr>
            </w:pPr>
            <w:r w:rsidRPr="00114059">
              <w:rPr>
                <w:rFonts w:cs="Arial"/>
                <w:color w:val="000000"/>
                <w:sz w:val="20"/>
                <w:szCs w:val="20"/>
              </w:rPr>
              <w:t>CPR et PAR</w:t>
            </w:r>
          </w:p>
        </w:tc>
      </w:tr>
      <w:tr w:rsidR="009021F1" w:rsidRPr="00F91D77" w14:paraId="1E601DD3" w14:textId="77777777" w:rsidTr="00E637E3">
        <w:trPr>
          <w:trHeight w:val="838"/>
        </w:trPr>
        <w:tc>
          <w:tcPr>
            <w:tcW w:w="1700" w:type="dxa"/>
            <w:vMerge/>
            <w:tcBorders>
              <w:top w:val="nil"/>
              <w:left w:val="single" w:sz="4" w:space="0" w:color="auto"/>
              <w:bottom w:val="single" w:sz="4" w:space="0" w:color="auto"/>
              <w:right w:val="single" w:sz="4" w:space="0" w:color="auto"/>
            </w:tcBorders>
            <w:vAlign w:val="center"/>
            <w:hideMark/>
          </w:tcPr>
          <w:p w14:paraId="26AF2D1E" w14:textId="77777777" w:rsidR="009021F1" w:rsidRPr="00114059" w:rsidRDefault="009021F1" w:rsidP="00E637E3">
            <w:pPr>
              <w:spacing w:line="240" w:lineRule="auto"/>
              <w:jc w:val="left"/>
              <w:rPr>
                <w:rFonts w:cs="Arial"/>
                <w:color w:val="000000"/>
                <w:sz w:val="20"/>
                <w:szCs w:val="20"/>
              </w:rPr>
            </w:pPr>
          </w:p>
        </w:tc>
        <w:tc>
          <w:tcPr>
            <w:tcW w:w="3260" w:type="dxa"/>
            <w:tcBorders>
              <w:top w:val="nil"/>
              <w:left w:val="nil"/>
              <w:bottom w:val="single" w:sz="4" w:space="0" w:color="auto"/>
              <w:right w:val="single" w:sz="4" w:space="0" w:color="auto"/>
            </w:tcBorders>
            <w:shd w:val="clear" w:color="auto" w:fill="auto"/>
            <w:vAlign w:val="center"/>
            <w:hideMark/>
          </w:tcPr>
          <w:p w14:paraId="296294BE" w14:textId="77777777" w:rsidR="009021F1" w:rsidRPr="00114059" w:rsidRDefault="009021F1" w:rsidP="00E637E3">
            <w:pPr>
              <w:spacing w:line="240" w:lineRule="auto"/>
              <w:jc w:val="left"/>
              <w:rPr>
                <w:rFonts w:cs="Arial"/>
                <w:color w:val="000000"/>
                <w:sz w:val="20"/>
                <w:szCs w:val="20"/>
              </w:rPr>
            </w:pPr>
            <w:r w:rsidRPr="00114059">
              <w:rPr>
                <w:rFonts w:cs="Arial"/>
                <w:color w:val="000000"/>
                <w:sz w:val="20"/>
                <w:szCs w:val="20"/>
              </w:rPr>
              <w:t>Présence des populations autochtones dans les Province concernée par le PNDA</w:t>
            </w:r>
          </w:p>
        </w:tc>
        <w:tc>
          <w:tcPr>
            <w:tcW w:w="24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F10362" w14:textId="77777777" w:rsidR="009021F1" w:rsidRPr="00114059" w:rsidRDefault="009021F1" w:rsidP="00E637E3">
            <w:pPr>
              <w:spacing w:line="240" w:lineRule="auto"/>
              <w:jc w:val="center"/>
              <w:rPr>
                <w:rFonts w:cs="Arial"/>
                <w:color w:val="000000"/>
                <w:sz w:val="20"/>
                <w:szCs w:val="20"/>
              </w:rPr>
            </w:pPr>
            <w:r w:rsidRPr="00114059">
              <w:rPr>
                <w:rFonts w:cs="Arial"/>
                <w:color w:val="000000"/>
                <w:sz w:val="20"/>
                <w:szCs w:val="20"/>
              </w:rPr>
              <w:t>NES n° 1 et 7</w:t>
            </w:r>
          </w:p>
        </w:tc>
        <w:tc>
          <w:tcPr>
            <w:tcW w:w="22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A1B8F95" w14:textId="77777777" w:rsidR="009021F1" w:rsidRPr="00114059" w:rsidRDefault="009021F1" w:rsidP="00E637E3">
            <w:pPr>
              <w:spacing w:line="240" w:lineRule="auto"/>
              <w:jc w:val="center"/>
              <w:rPr>
                <w:rFonts w:cs="Arial"/>
                <w:color w:val="000000"/>
                <w:sz w:val="20"/>
                <w:szCs w:val="20"/>
              </w:rPr>
            </w:pPr>
            <w:r w:rsidRPr="00114059">
              <w:rPr>
                <w:rFonts w:cs="Arial"/>
                <w:color w:val="000000"/>
                <w:sz w:val="20"/>
                <w:szCs w:val="20"/>
              </w:rPr>
              <w:t>CPPA et PPA</w:t>
            </w:r>
          </w:p>
        </w:tc>
      </w:tr>
      <w:tr w:rsidR="009021F1" w:rsidRPr="00F91D77" w14:paraId="1459ABFF" w14:textId="77777777" w:rsidTr="00E637E3">
        <w:trPr>
          <w:trHeight w:val="1325"/>
        </w:trPr>
        <w:tc>
          <w:tcPr>
            <w:tcW w:w="1700" w:type="dxa"/>
            <w:vMerge/>
            <w:tcBorders>
              <w:top w:val="nil"/>
              <w:left w:val="single" w:sz="4" w:space="0" w:color="auto"/>
              <w:bottom w:val="single" w:sz="4" w:space="0" w:color="auto"/>
              <w:right w:val="single" w:sz="4" w:space="0" w:color="auto"/>
            </w:tcBorders>
            <w:vAlign w:val="center"/>
            <w:hideMark/>
          </w:tcPr>
          <w:p w14:paraId="6864E132" w14:textId="77777777" w:rsidR="009021F1" w:rsidRPr="00114059" w:rsidRDefault="009021F1" w:rsidP="00E637E3">
            <w:pPr>
              <w:spacing w:line="240" w:lineRule="auto"/>
              <w:jc w:val="left"/>
              <w:rPr>
                <w:rFonts w:cs="Arial"/>
                <w:color w:val="000000"/>
                <w:sz w:val="20"/>
                <w:szCs w:val="20"/>
              </w:rPr>
            </w:pPr>
          </w:p>
        </w:tc>
        <w:tc>
          <w:tcPr>
            <w:tcW w:w="3260" w:type="dxa"/>
            <w:tcBorders>
              <w:top w:val="nil"/>
              <w:left w:val="nil"/>
              <w:bottom w:val="single" w:sz="4" w:space="0" w:color="auto"/>
              <w:right w:val="single" w:sz="4" w:space="0" w:color="auto"/>
            </w:tcBorders>
            <w:shd w:val="clear" w:color="auto" w:fill="auto"/>
            <w:vAlign w:val="center"/>
            <w:hideMark/>
          </w:tcPr>
          <w:p w14:paraId="01202830" w14:textId="77777777" w:rsidR="009021F1" w:rsidRPr="00114059" w:rsidRDefault="009021F1" w:rsidP="00E637E3">
            <w:pPr>
              <w:spacing w:line="240" w:lineRule="auto"/>
              <w:jc w:val="left"/>
              <w:rPr>
                <w:rFonts w:cs="Arial"/>
                <w:color w:val="000000"/>
                <w:sz w:val="20"/>
                <w:szCs w:val="20"/>
              </w:rPr>
            </w:pPr>
            <w:r w:rsidRPr="00114059">
              <w:rPr>
                <w:rFonts w:cs="Arial"/>
                <w:color w:val="000000"/>
                <w:sz w:val="20"/>
                <w:szCs w:val="20"/>
              </w:rPr>
              <w:t>Risque de non implication des populations autochtones et d’autres groupes vulnérables comme les personnes vivant avec handicap, les vieillards, les jeunes filles/femmes, etc.</w:t>
            </w:r>
          </w:p>
        </w:tc>
        <w:tc>
          <w:tcPr>
            <w:tcW w:w="2480" w:type="dxa"/>
            <w:vMerge/>
            <w:tcBorders>
              <w:top w:val="nil"/>
              <w:left w:val="single" w:sz="4" w:space="0" w:color="auto"/>
              <w:bottom w:val="single" w:sz="4" w:space="0" w:color="auto"/>
              <w:right w:val="single" w:sz="4" w:space="0" w:color="auto"/>
            </w:tcBorders>
            <w:vAlign w:val="center"/>
            <w:hideMark/>
          </w:tcPr>
          <w:p w14:paraId="49B277ED" w14:textId="77777777" w:rsidR="009021F1" w:rsidRPr="00114059" w:rsidRDefault="009021F1" w:rsidP="00E637E3">
            <w:pPr>
              <w:spacing w:line="240" w:lineRule="auto"/>
              <w:jc w:val="left"/>
              <w:rPr>
                <w:rFonts w:cs="Arial"/>
                <w:color w:val="000000"/>
                <w:sz w:val="20"/>
                <w:szCs w:val="20"/>
              </w:rPr>
            </w:pPr>
          </w:p>
        </w:tc>
        <w:tc>
          <w:tcPr>
            <w:tcW w:w="2220" w:type="dxa"/>
            <w:vMerge/>
            <w:tcBorders>
              <w:top w:val="nil"/>
              <w:left w:val="single" w:sz="4" w:space="0" w:color="auto"/>
              <w:bottom w:val="single" w:sz="4" w:space="0" w:color="auto"/>
              <w:right w:val="single" w:sz="4" w:space="0" w:color="auto"/>
            </w:tcBorders>
            <w:vAlign w:val="center"/>
            <w:hideMark/>
          </w:tcPr>
          <w:p w14:paraId="5EAFABAB" w14:textId="77777777" w:rsidR="009021F1" w:rsidRPr="00114059" w:rsidRDefault="009021F1" w:rsidP="00E637E3">
            <w:pPr>
              <w:spacing w:line="240" w:lineRule="auto"/>
              <w:jc w:val="left"/>
              <w:rPr>
                <w:rFonts w:cs="Arial"/>
                <w:color w:val="000000"/>
                <w:sz w:val="20"/>
                <w:szCs w:val="20"/>
              </w:rPr>
            </w:pPr>
          </w:p>
        </w:tc>
      </w:tr>
      <w:tr w:rsidR="009021F1" w:rsidRPr="00F91D77" w14:paraId="434D9AFC" w14:textId="77777777" w:rsidTr="00E637E3">
        <w:trPr>
          <w:trHeight w:val="792"/>
        </w:trPr>
        <w:tc>
          <w:tcPr>
            <w:tcW w:w="1700" w:type="dxa"/>
            <w:vMerge/>
            <w:tcBorders>
              <w:top w:val="nil"/>
              <w:left w:val="single" w:sz="4" w:space="0" w:color="auto"/>
              <w:bottom w:val="single" w:sz="4" w:space="0" w:color="auto"/>
              <w:right w:val="single" w:sz="4" w:space="0" w:color="auto"/>
            </w:tcBorders>
            <w:vAlign w:val="center"/>
            <w:hideMark/>
          </w:tcPr>
          <w:p w14:paraId="4F280631" w14:textId="77777777" w:rsidR="009021F1" w:rsidRPr="00114059" w:rsidRDefault="009021F1" w:rsidP="00E637E3">
            <w:pPr>
              <w:spacing w:line="240" w:lineRule="auto"/>
              <w:jc w:val="left"/>
              <w:rPr>
                <w:rFonts w:cs="Arial"/>
                <w:color w:val="000000"/>
                <w:sz w:val="20"/>
                <w:szCs w:val="20"/>
              </w:rPr>
            </w:pPr>
          </w:p>
        </w:tc>
        <w:tc>
          <w:tcPr>
            <w:tcW w:w="3260" w:type="dxa"/>
            <w:tcBorders>
              <w:top w:val="nil"/>
              <w:left w:val="nil"/>
              <w:bottom w:val="single" w:sz="4" w:space="0" w:color="auto"/>
              <w:right w:val="single" w:sz="4" w:space="0" w:color="auto"/>
            </w:tcBorders>
            <w:shd w:val="clear" w:color="auto" w:fill="auto"/>
            <w:vAlign w:val="center"/>
            <w:hideMark/>
          </w:tcPr>
          <w:p w14:paraId="4D825440" w14:textId="77777777" w:rsidR="009021F1" w:rsidRPr="00114059" w:rsidRDefault="009021F1" w:rsidP="00E637E3">
            <w:pPr>
              <w:spacing w:line="240" w:lineRule="auto"/>
              <w:jc w:val="left"/>
              <w:rPr>
                <w:rFonts w:cs="Arial"/>
                <w:color w:val="000000"/>
                <w:sz w:val="20"/>
                <w:szCs w:val="20"/>
              </w:rPr>
            </w:pPr>
            <w:r w:rsidRPr="00114059">
              <w:rPr>
                <w:rFonts w:cs="Arial"/>
                <w:color w:val="000000"/>
                <w:sz w:val="20"/>
                <w:szCs w:val="20"/>
              </w:rPr>
              <w:t>Risque de découverte des des mines terrestres et restes explosifs de guerre (REG)</w:t>
            </w:r>
          </w:p>
        </w:tc>
        <w:tc>
          <w:tcPr>
            <w:tcW w:w="2480" w:type="dxa"/>
            <w:tcBorders>
              <w:top w:val="nil"/>
              <w:left w:val="nil"/>
              <w:bottom w:val="single" w:sz="4" w:space="0" w:color="auto"/>
              <w:right w:val="single" w:sz="4" w:space="0" w:color="auto"/>
            </w:tcBorders>
            <w:shd w:val="clear" w:color="auto" w:fill="auto"/>
            <w:noWrap/>
            <w:vAlign w:val="center"/>
            <w:hideMark/>
          </w:tcPr>
          <w:p w14:paraId="1BE6FBE9" w14:textId="77777777" w:rsidR="009021F1" w:rsidRPr="00114059" w:rsidRDefault="009021F1" w:rsidP="00E637E3">
            <w:pPr>
              <w:spacing w:line="240" w:lineRule="auto"/>
              <w:jc w:val="center"/>
              <w:rPr>
                <w:rFonts w:cs="Arial"/>
                <w:color w:val="000000"/>
                <w:sz w:val="20"/>
                <w:szCs w:val="20"/>
              </w:rPr>
            </w:pPr>
            <w:r w:rsidRPr="00114059">
              <w:rPr>
                <w:rFonts w:cs="Arial"/>
                <w:color w:val="000000"/>
                <w:sz w:val="20"/>
                <w:szCs w:val="20"/>
              </w:rPr>
              <w:t>NES 1, 4 et 8</w:t>
            </w:r>
          </w:p>
        </w:tc>
        <w:tc>
          <w:tcPr>
            <w:tcW w:w="2220" w:type="dxa"/>
            <w:tcBorders>
              <w:top w:val="nil"/>
              <w:left w:val="nil"/>
              <w:bottom w:val="single" w:sz="4" w:space="0" w:color="auto"/>
              <w:right w:val="single" w:sz="4" w:space="0" w:color="auto"/>
            </w:tcBorders>
            <w:shd w:val="clear" w:color="auto" w:fill="auto"/>
            <w:vAlign w:val="center"/>
            <w:hideMark/>
          </w:tcPr>
          <w:p w14:paraId="075AD943" w14:textId="77777777" w:rsidR="009021F1" w:rsidRPr="00114059" w:rsidRDefault="009021F1" w:rsidP="00E637E3">
            <w:pPr>
              <w:spacing w:line="240" w:lineRule="auto"/>
              <w:jc w:val="center"/>
              <w:rPr>
                <w:rFonts w:cs="Arial"/>
                <w:color w:val="000000"/>
                <w:sz w:val="20"/>
                <w:szCs w:val="20"/>
              </w:rPr>
            </w:pPr>
            <w:r w:rsidRPr="00114059">
              <w:rPr>
                <w:rFonts w:cs="Arial"/>
                <w:color w:val="000000"/>
                <w:sz w:val="20"/>
                <w:szCs w:val="20"/>
              </w:rPr>
              <w:t>CGES, EIES/PGES et Protocole de gestion de risque lié au REG</w:t>
            </w:r>
          </w:p>
        </w:tc>
      </w:tr>
      <w:tr w:rsidR="009021F1" w:rsidRPr="00F91D77" w14:paraId="5296D94B" w14:textId="77777777" w:rsidTr="00E637E3">
        <w:trPr>
          <w:trHeight w:val="802"/>
        </w:trPr>
        <w:tc>
          <w:tcPr>
            <w:tcW w:w="1700" w:type="dxa"/>
            <w:vMerge/>
            <w:tcBorders>
              <w:top w:val="nil"/>
              <w:left w:val="single" w:sz="4" w:space="0" w:color="auto"/>
              <w:bottom w:val="single" w:sz="4" w:space="0" w:color="auto"/>
              <w:right w:val="single" w:sz="4" w:space="0" w:color="auto"/>
            </w:tcBorders>
            <w:vAlign w:val="center"/>
            <w:hideMark/>
          </w:tcPr>
          <w:p w14:paraId="133F7F81" w14:textId="77777777" w:rsidR="009021F1" w:rsidRPr="00114059" w:rsidRDefault="009021F1" w:rsidP="00E637E3">
            <w:pPr>
              <w:spacing w:line="240" w:lineRule="auto"/>
              <w:jc w:val="left"/>
              <w:rPr>
                <w:rFonts w:cs="Arial"/>
                <w:color w:val="000000"/>
                <w:sz w:val="20"/>
                <w:szCs w:val="20"/>
              </w:rPr>
            </w:pPr>
          </w:p>
        </w:tc>
        <w:tc>
          <w:tcPr>
            <w:tcW w:w="3260" w:type="dxa"/>
            <w:tcBorders>
              <w:top w:val="nil"/>
              <w:left w:val="nil"/>
              <w:bottom w:val="single" w:sz="4" w:space="0" w:color="auto"/>
              <w:right w:val="single" w:sz="4" w:space="0" w:color="auto"/>
            </w:tcBorders>
            <w:shd w:val="clear" w:color="auto" w:fill="auto"/>
            <w:vAlign w:val="center"/>
            <w:hideMark/>
          </w:tcPr>
          <w:p w14:paraId="060B360F" w14:textId="77777777" w:rsidR="009021F1" w:rsidRPr="00114059" w:rsidRDefault="009021F1" w:rsidP="00E637E3">
            <w:pPr>
              <w:spacing w:line="240" w:lineRule="auto"/>
              <w:jc w:val="left"/>
              <w:rPr>
                <w:rFonts w:cs="Arial"/>
                <w:color w:val="000000"/>
                <w:sz w:val="20"/>
                <w:szCs w:val="20"/>
              </w:rPr>
            </w:pPr>
            <w:r w:rsidRPr="00114059">
              <w:rPr>
                <w:rFonts w:cs="Arial"/>
                <w:color w:val="000000"/>
                <w:sz w:val="20"/>
                <w:szCs w:val="20"/>
              </w:rPr>
              <w:t>Risque de la découverte fortuite</w:t>
            </w:r>
          </w:p>
        </w:tc>
        <w:tc>
          <w:tcPr>
            <w:tcW w:w="2480" w:type="dxa"/>
            <w:tcBorders>
              <w:top w:val="nil"/>
              <w:left w:val="nil"/>
              <w:bottom w:val="single" w:sz="4" w:space="0" w:color="auto"/>
              <w:right w:val="single" w:sz="4" w:space="0" w:color="auto"/>
            </w:tcBorders>
            <w:shd w:val="clear" w:color="auto" w:fill="auto"/>
            <w:noWrap/>
            <w:vAlign w:val="center"/>
            <w:hideMark/>
          </w:tcPr>
          <w:p w14:paraId="772587C8" w14:textId="77777777" w:rsidR="009021F1" w:rsidRPr="00114059" w:rsidRDefault="009021F1" w:rsidP="00E637E3">
            <w:pPr>
              <w:spacing w:line="240" w:lineRule="auto"/>
              <w:jc w:val="center"/>
              <w:rPr>
                <w:rFonts w:cs="Arial"/>
                <w:color w:val="000000"/>
                <w:sz w:val="20"/>
                <w:szCs w:val="20"/>
              </w:rPr>
            </w:pPr>
            <w:r w:rsidRPr="00114059">
              <w:rPr>
                <w:rFonts w:cs="Arial"/>
                <w:color w:val="000000"/>
                <w:sz w:val="20"/>
                <w:szCs w:val="20"/>
              </w:rPr>
              <w:t>NES n°1, 4 et 8</w:t>
            </w:r>
          </w:p>
        </w:tc>
        <w:tc>
          <w:tcPr>
            <w:tcW w:w="2220" w:type="dxa"/>
            <w:tcBorders>
              <w:top w:val="nil"/>
              <w:left w:val="nil"/>
              <w:bottom w:val="single" w:sz="4" w:space="0" w:color="auto"/>
              <w:right w:val="single" w:sz="4" w:space="0" w:color="auto"/>
            </w:tcBorders>
            <w:shd w:val="clear" w:color="auto" w:fill="auto"/>
            <w:vAlign w:val="center"/>
            <w:hideMark/>
          </w:tcPr>
          <w:p w14:paraId="75D6F58B" w14:textId="77777777" w:rsidR="009021F1" w:rsidRPr="00114059" w:rsidRDefault="009021F1" w:rsidP="00E637E3">
            <w:pPr>
              <w:spacing w:line="240" w:lineRule="auto"/>
              <w:jc w:val="center"/>
              <w:rPr>
                <w:rFonts w:cs="Arial"/>
                <w:color w:val="000000"/>
                <w:sz w:val="20"/>
                <w:szCs w:val="20"/>
              </w:rPr>
            </w:pPr>
            <w:r w:rsidRPr="00114059">
              <w:rPr>
                <w:rFonts w:cs="Arial"/>
                <w:color w:val="000000"/>
                <w:sz w:val="20"/>
                <w:szCs w:val="20"/>
              </w:rPr>
              <w:t>CGES, EIES/PGES et Procédures liés à la découverte fortuite</w:t>
            </w:r>
          </w:p>
        </w:tc>
      </w:tr>
      <w:tr w:rsidR="009021F1" w:rsidRPr="00F91D77" w14:paraId="668E89C4" w14:textId="77777777" w:rsidTr="00E637E3">
        <w:trPr>
          <w:trHeight w:val="744"/>
        </w:trPr>
        <w:tc>
          <w:tcPr>
            <w:tcW w:w="1700" w:type="dxa"/>
            <w:vMerge/>
            <w:tcBorders>
              <w:top w:val="nil"/>
              <w:left w:val="single" w:sz="4" w:space="0" w:color="auto"/>
              <w:bottom w:val="single" w:sz="4" w:space="0" w:color="auto"/>
              <w:right w:val="single" w:sz="4" w:space="0" w:color="auto"/>
            </w:tcBorders>
            <w:vAlign w:val="center"/>
            <w:hideMark/>
          </w:tcPr>
          <w:p w14:paraId="001AFF92" w14:textId="77777777" w:rsidR="009021F1" w:rsidRPr="00114059" w:rsidRDefault="009021F1" w:rsidP="00E637E3">
            <w:pPr>
              <w:spacing w:line="240" w:lineRule="auto"/>
              <w:jc w:val="left"/>
              <w:rPr>
                <w:rFonts w:cs="Arial"/>
                <w:color w:val="000000"/>
                <w:sz w:val="20"/>
                <w:szCs w:val="20"/>
              </w:rPr>
            </w:pPr>
          </w:p>
        </w:tc>
        <w:tc>
          <w:tcPr>
            <w:tcW w:w="3260" w:type="dxa"/>
            <w:tcBorders>
              <w:top w:val="nil"/>
              <w:left w:val="nil"/>
              <w:bottom w:val="single" w:sz="4" w:space="0" w:color="auto"/>
              <w:right w:val="single" w:sz="4" w:space="0" w:color="auto"/>
            </w:tcBorders>
            <w:shd w:val="clear" w:color="auto" w:fill="auto"/>
            <w:vAlign w:val="center"/>
            <w:hideMark/>
          </w:tcPr>
          <w:p w14:paraId="26CB380B" w14:textId="77777777" w:rsidR="009021F1" w:rsidRPr="00114059" w:rsidRDefault="009021F1" w:rsidP="00E637E3">
            <w:pPr>
              <w:spacing w:line="240" w:lineRule="auto"/>
              <w:jc w:val="left"/>
              <w:rPr>
                <w:rFonts w:cs="Arial"/>
                <w:color w:val="000000"/>
                <w:sz w:val="20"/>
                <w:szCs w:val="20"/>
              </w:rPr>
            </w:pPr>
            <w:r w:rsidRPr="00114059">
              <w:rPr>
                <w:rFonts w:cs="Arial"/>
                <w:color w:val="000000"/>
                <w:sz w:val="20"/>
                <w:szCs w:val="20"/>
              </w:rPr>
              <w:t>Augmentation de la population suite à la migration de travailleurs non- résidents.</w:t>
            </w:r>
          </w:p>
        </w:tc>
        <w:tc>
          <w:tcPr>
            <w:tcW w:w="2480" w:type="dxa"/>
            <w:tcBorders>
              <w:top w:val="nil"/>
              <w:left w:val="nil"/>
              <w:bottom w:val="single" w:sz="4" w:space="0" w:color="auto"/>
              <w:right w:val="single" w:sz="4" w:space="0" w:color="auto"/>
            </w:tcBorders>
            <w:shd w:val="clear" w:color="auto" w:fill="auto"/>
            <w:noWrap/>
            <w:vAlign w:val="center"/>
            <w:hideMark/>
          </w:tcPr>
          <w:p w14:paraId="5D31B3B8" w14:textId="77777777" w:rsidR="009021F1" w:rsidRPr="00114059" w:rsidRDefault="009021F1" w:rsidP="00E637E3">
            <w:pPr>
              <w:spacing w:line="240" w:lineRule="auto"/>
              <w:jc w:val="left"/>
              <w:rPr>
                <w:rFonts w:cs="Arial"/>
                <w:color w:val="000000"/>
                <w:sz w:val="20"/>
                <w:szCs w:val="20"/>
              </w:rPr>
            </w:pPr>
            <w:r w:rsidRPr="00114059">
              <w:rPr>
                <w:rFonts w:cs="Arial"/>
                <w:color w:val="000000"/>
                <w:sz w:val="20"/>
                <w:szCs w:val="20"/>
              </w:rPr>
              <w:t xml:space="preserve">NES n° 1 et 2 </w:t>
            </w:r>
          </w:p>
        </w:tc>
        <w:tc>
          <w:tcPr>
            <w:tcW w:w="2220" w:type="dxa"/>
            <w:tcBorders>
              <w:top w:val="nil"/>
              <w:left w:val="nil"/>
              <w:bottom w:val="single" w:sz="4" w:space="0" w:color="auto"/>
              <w:right w:val="single" w:sz="4" w:space="0" w:color="auto"/>
            </w:tcBorders>
            <w:shd w:val="clear" w:color="auto" w:fill="auto"/>
            <w:vAlign w:val="center"/>
            <w:hideMark/>
          </w:tcPr>
          <w:p w14:paraId="56C88B22" w14:textId="77777777" w:rsidR="009021F1" w:rsidRPr="00114059" w:rsidRDefault="009021F1" w:rsidP="00E637E3">
            <w:pPr>
              <w:spacing w:line="240" w:lineRule="auto"/>
              <w:jc w:val="center"/>
              <w:rPr>
                <w:rFonts w:cs="Arial"/>
                <w:color w:val="000000"/>
                <w:sz w:val="20"/>
                <w:szCs w:val="20"/>
              </w:rPr>
            </w:pPr>
            <w:r w:rsidRPr="00114059">
              <w:rPr>
                <w:rFonts w:cs="Arial"/>
                <w:color w:val="000000"/>
                <w:sz w:val="20"/>
                <w:szCs w:val="20"/>
              </w:rPr>
              <w:t xml:space="preserve">CGES, EIES/PGES, PGMO </w:t>
            </w:r>
          </w:p>
        </w:tc>
      </w:tr>
      <w:tr w:rsidR="009021F1" w:rsidRPr="00F91D77" w14:paraId="0DAE74C2" w14:textId="77777777" w:rsidTr="00E637E3">
        <w:trPr>
          <w:trHeight w:val="1465"/>
        </w:trPr>
        <w:tc>
          <w:tcPr>
            <w:tcW w:w="1700" w:type="dxa"/>
            <w:vMerge/>
            <w:tcBorders>
              <w:top w:val="nil"/>
              <w:left w:val="single" w:sz="4" w:space="0" w:color="auto"/>
              <w:bottom w:val="single" w:sz="4" w:space="0" w:color="auto"/>
              <w:right w:val="single" w:sz="4" w:space="0" w:color="auto"/>
            </w:tcBorders>
            <w:vAlign w:val="center"/>
            <w:hideMark/>
          </w:tcPr>
          <w:p w14:paraId="05480C0F" w14:textId="77777777" w:rsidR="009021F1" w:rsidRPr="00114059" w:rsidRDefault="009021F1" w:rsidP="00E637E3">
            <w:pPr>
              <w:spacing w:line="240" w:lineRule="auto"/>
              <w:jc w:val="left"/>
              <w:rPr>
                <w:rFonts w:cs="Arial"/>
                <w:color w:val="000000"/>
                <w:sz w:val="20"/>
                <w:szCs w:val="20"/>
              </w:rPr>
            </w:pPr>
          </w:p>
        </w:tc>
        <w:tc>
          <w:tcPr>
            <w:tcW w:w="3260" w:type="dxa"/>
            <w:tcBorders>
              <w:top w:val="nil"/>
              <w:left w:val="nil"/>
              <w:bottom w:val="single" w:sz="4" w:space="0" w:color="auto"/>
              <w:right w:val="single" w:sz="4" w:space="0" w:color="auto"/>
            </w:tcBorders>
            <w:shd w:val="clear" w:color="auto" w:fill="auto"/>
            <w:vAlign w:val="center"/>
            <w:hideMark/>
          </w:tcPr>
          <w:p w14:paraId="3803457C" w14:textId="77777777" w:rsidR="009021F1" w:rsidRPr="00114059" w:rsidRDefault="009021F1" w:rsidP="00E637E3">
            <w:pPr>
              <w:spacing w:line="240" w:lineRule="auto"/>
              <w:jc w:val="left"/>
              <w:rPr>
                <w:rFonts w:cs="Arial"/>
                <w:color w:val="000000"/>
                <w:sz w:val="20"/>
                <w:szCs w:val="20"/>
              </w:rPr>
            </w:pPr>
            <w:r w:rsidRPr="00114059">
              <w:rPr>
                <w:rFonts w:cs="Arial"/>
                <w:color w:val="000000"/>
                <w:sz w:val="20"/>
                <w:szCs w:val="20"/>
              </w:rPr>
              <w:t>Risque de conflits sociaux entre les ménages sélectionnés bénéficiaires des intrants et autres subventions (aides) et non sélectionnés, où l’on rencontre les femmes sont cheffes de famille.</w:t>
            </w:r>
          </w:p>
        </w:tc>
        <w:tc>
          <w:tcPr>
            <w:tcW w:w="2480" w:type="dxa"/>
            <w:tcBorders>
              <w:top w:val="nil"/>
              <w:left w:val="nil"/>
              <w:bottom w:val="single" w:sz="4" w:space="0" w:color="auto"/>
              <w:right w:val="single" w:sz="4" w:space="0" w:color="auto"/>
            </w:tcBorders>
            <w:shd w:val="clear" w:color="auto" w:fill="auto"/>
            <w:noWrap/>
            <w:vAlign w:val="center"/>
            <w:hideMark/>
          </w:tcPr>
          <w:p w14:paraId="708D7C10" w14:textId="77777777" w:rsidR="009021F1" w:rsidRPr="00114059" w:rsidRDefault="009021F1" w:rsidP="00E637E3">
            <w:pPr>
              <w:spacing w:line="240" w:lineRule="auto"/>
              <w:jc w:val="center"/>
              <w:rPr>
                <w:rFonts w:cs="Arial"/>
                <w:color w:val="000000"/>
                <w:sz w:val="20"/>
                <w:szCs w:val="20"/>
              </w:rPr>
            </w:pPr>
            <w:r w:rsidRPr="00114059">
              <w:rPr>
                <w:rFonts w:cs="Arial"/>
                <w:color w:val="000000"/>
                <w:sz w:val="20"/>
                <w:szCs w:val="20"/>
              </w:rPr>
              <w:t>NES n°1 et 10</w:t>
            </w:r>
          </w:p>
        </w:tc>
        <w:tc>
          <w:tcPr>
            <w:tcW w:w="2220" w:type="dxa"/>
            <w:tcBorders>
              <w:top w:val="nil"/>
              <w:left w:val="nil"/>
              <w:bottom w:val="single" w:sz="4" w:space="0" w:color="auto"/>
              <w:right w:val="single" w:sz="4" w:space="0" w:color="auto"/>
            </w:tcBorders>
            <w:shd w:val="clear" w:color="auto" w:fill="auto"/>
            <w:vAlign w:val="center"/>
            <w:hideMark/>
          </w:tcPr>
          <w:p w14:paraId="7EDD5FBB" w14:textId="77777777" w:rsidR="009021F1" w:rsidRPr="00114059" w:rsidRDefault="009021F1" w:rsidP="00E637E3">
            <w:pPr>
              <w:spacing w:line="240" w:lineRule="auto"/>
              <w:jc w:val="center"/>
              <w:rPr>
                <w:rFonts w:cs="Arial"/>
                <w:color w:val="000000"/>
                <w:sz w:val="20"/>
                <w:szCs w:val="20"/>
              </w:rPr>
            </w:pPr>
            <w:r w:rsidRPr="00114059">
              <w:rPr>
                <w:rFonts w:cs="Arial"/>
                <w:color w:val="000000"/>
                <w:sz w:val="20"/>
                <w:szCs w:val="20"/>
              </w:rPr>
              <w:t>CGES, EIES/PGES, PMPP, le Plan d'Action VBG et MGP</w:t>
            </w:r>
          </w:p>
        </w:tc>
      </w:tr>
      <w:tr w:rsidR="009021F1" w:rsidRPr="00F91D77" w14:paraId="43F73301" w14:textId="77777777" w:rsidTr="00E637E3">
        <w:trPr>
          <w:trHeight w:val="776"/>
        </w:trPr>
        <w:tc>
          <w:tcPr>
            <w:tcW w:w="1700" w:type="dxa"/>
            <w:vMerge/>
            <w:tcBorders>
              <w:top w:val="nil"/>
              <w:left w:val="single" w:sz="4" w:space="0" w:color="auto"/>
              <w:bottom w:val="single" w:sz="4" w:space="0" w:color="auto"/>
              <w:right w:val="single" w:sz="4" w:space="0" w:color="auto"/>
            </w:tcBorders>
            <w:vAlign w:val="center"/>
            <w:hideMark/>
          </w:tcPr>
          <w:p w14:paraId="78C1F8A3" w14:textId="77777777" w:rsidR="009021F1" w:rsidRPr="00114059" w:rsidRDefault="009021F1" w:rsidP="00E637E3">
            <w:pPr>
              <w:spacing w:line="240" w:lineRule="auto"/>
              <w:jc w:val="left"/>
              <w:rPr>
                <w:rFonts w:cs="Arial"/>
                <w:color w:val="000000"/>
                <w:sz w:val="20"/>
                <w:szCs w:val="20"/>
              </w:rPr>
            </w:pPr>
          </w:p>
        </w:tc>
        <w:tc>
          <w:tcPr>
            <w:tcW w:w="3260" w:type="dxa"/>
            <w:tcBorders>
              <w:top w:val="nil"/>
              <w:left w:val="nil"/>
              <w:bottom w:val="single" w:sz="4" w:space="0" w:color="auto"/>
              <w:right w:val="single" w:sz="4" w:space="0" w:color="auto"/>
            </w:tcBorders>
            <w:shd w:val="clear" w:color="auto" w:fill="auto"/>
            <w:vAlign w:val="center"/>
            <w:hideMark/>
          </w:tcPr>
          <w:p w14:paraId="446C6DF7" w14:textId="77777777" w:rsidR="009021F1" w:rsidRPr="00114059" w:rsidRDefault="009021F1" w:rsidP="00E637E3">
            <w:pPr>
              <w:spacing w:line="240" w:lineRule="auto"/>
              <w:jc w:val="left"/>
              <w:rPr>
                <w:rFonts w:cs="Arial"/>
                <w:color w:val="000000"/>
                <w:sz w:val="20"/>
                <w:szCs w:val="20"/>
              </w:rPr>
            </w:pPr>
            <w:r w:rsidRPr="00114059">
              <w:rPr>
                <w:rFonts w:cs="Arial"/>
                <w:color w:val="000000"/>
                <w:sz w:val="20"/>
                <w:szCs w:val="20"/>
              </w:rPr>
              <w:t>Risque des conflits sociaux en cas de transformation des systèmes fonciers traditionnels.</w:t>
            </w:r>
          </w:p>
        </w:tc>
        <w:tc>
          <w:tcPr>
            <w:tcW w:w="2480" w:type="dxa"/>
            <w:tcBorders>
              <w:top w:val="nil"/>
              <w:left w:val="nil"/>
              <w:bottom w:val="single" w:sz="4" w:space="0" w:color="auto"/>
              <w:right w:val="single" w:sz="4" w:space="0" w:color="auto"/>
            </w:tcBorders>
            <w:shd w:val="clear" w:color="auto" w:fill="auto"/>
            <w:noWrap/>
            <w:vAlign w:val="center"/>
            <w:hideMark/>
          </w:tcPr>
          <w:p w14:paraId="0EC3742D" w14:textId="77777777" w:rsidR="009021F1" w:rsidRPr="00114059" w:rsidRDefault="009021F1" w:rsidP="00E637E3">
            <w:pPr>
              <w:spacing w:line="240" w:lineRule="auto"/>
              <w:jc w:val="center"/>
              <w:rPr>
                <w:rFonts w:cs="Arial"/>
                <w:color w:val="000000"/>
                <w:sz w:val="20"/>
                <w:szCs w:val="20"/>
              </w:rPr>
            </w:pPr>
            <w:r w:rsidRPr="00114059">
              <w:rPr>
                <w:rFonts w:cs="Arial"/>
                <w:color w:val="000000"/>
                <w:sz w:val="20"/>
                <w:szCs w:val="20"/>
              </w:rPr>
              <w:t>NES n°1 et 10</w:t>
            </w:r>
          </w:p>
        </w:tc>
        <w:tc>
          <w:tcPr>
            <w:tcW w:w="2220" w:type="dxa"/>
            <w:tcBorders>
              <w:top w:val="nil"/>
              <w:left w:val="nil"/>
              <w:bottom w:val="single" w:sz="4" w:space="0" w:color="auto"/>
              <w:right w:val="single" w:sz="4" w:space="0" w:color="auto"/>
            </w:tcBorders>
            <w:shd w:val="clear" w:color="auto" w:fill="auto"/>
            <w:noWrap/>
            <w:vAlign w:val="center"/>
            <w:hideMark/>
          </w:tcPr>
          <w:p w14:paraId="7B4C94D9" w14:textId="77777777" w:rsidR="009021F1" w:rsidRPr="00114059" w:rsidRDefault="009021F1" w:rsidP="00E637E3">
            <w:pPr>
              <w:spacing w:line="240" w:lineRule="auto"/>
              <w:jc w:val="center"/>
              <w:rPr>
                <w:rFonts w:cs="Arial"/>
                <w:color w:val="000000"/>
                <w:sz w:val="20"/>
                <w:szCs w:val="20"/>
              </w:rPr>
            </w:pPr>
            <w:r w:rsidRPr="00114059">
              <w:rPr>
                <w:rFonts w:cs="Arial"/>
                <w:color w:val="000000"/>
                <w:sz w:val="20"/>
                <w:szCs w:val="20"/>
              </w:rPr>
              <w:t>CGES, EIES/PGES et MGP</w:t>
            </w:r>
          </w:p>
        </w:tc>
      </w:tr>
      <w:tr w:rsidR="009021F1" w:rsidRPr="00F91D77" w14:paraId="313B2F37" w14:textId="77777777" w:rsidTr="00E637E3">
        <w:trPr>
          <w:trHeight w:val="553"/>
        </w:trPr>
        <w:tc>
          <w:tcPr>
            <w:tcW w:w="1700" w:type="dxa"/>
            <w:vMerge/>
            <w:tcBorders>
              <w:top w:val="nil"/>
              <w:left w:val="single" w:sz="4" w:space="0" w:color="auto"/>
              <w:bottom w:val="single" w:sz="4" w:space="0" w:color="auto"/>
              <w:right w:val="single" w:sz="4" w:space="0" w:color="auto"/>
            </w:tcBorders>
            <w:vAlign w:val="center"/>
            <w:hideMark/>
          </w:tcPr>
          <w:p w14:paraId="7D6C9609" w14:textId="77777777" w:rsidR="009021F1" w:rsidRPr="00114059" w:rsidRDefault="009021F1" w:rsidP="00E637E3">
            <w:pPr>
              <w:spacing w:line="240" w:lineRule="auto"/>
              <w:jc w:val="left"/>
              <w:rPr>
                <w:rFonts w:cs="Arial"/>
                <w:color w:val="000000"/>
                <w:sz w:val="20"/>
                <w:szCs w:val="20"/>
              </w:rPr>
            </w:pPr>
          </w:p>
        </w:tc>
        <w:tc>
          <w:tcPr>
            <w:tcW w:w="3260" w:type="dxa"/>
            <w:tcBorders>
              <w:top w:val="nil"/>
              <w:left w:val="nil"/>
              <w:bottom w:val="single" w:sz="4" w:space="0" w:color="auto"/>
              <w:right w:val="single" w:sz="4" w:space="0" w:color="auto"/>
            </w:tcBorders>
            <w:shd w:val="clear" w:color="auto" w:fill="auto"/>
            <w:vAlign w:val="center"/>
            <w:hideMark/>
          </w:tcPr>
          <w:p w14:paraId="49C4CDF5" w14:textId="77777777" w:rsidR="009021F1" w:rsidRPr="00114059" w:rsidRDefault="009021F1" w:rsidP="00E637E3">
            <w:pPr>
              <w:spacing w:line="240" w:lineRule="auto"/>
              <w:jc w:val="left"/>
              <w:rPr>
                <w:rFonts w:cs="Arial"/>
                <w:color w:val="000000"/>
                <w:sz w:val="20"/>
                <w:szCs w:val="20"/>
              </w:rPr>
            </w:pPr>
            <w:r w:rsidRPr="00114059">
              <w:rPr>
                <w:rFonts w:cs="Arial"/>
                <w:color w:val="000000"/>
                <w:sz w:val="20"/>
                <w:szCs w:val="20"/>
              </w:rPr>
              <w:t>Non-respect des critères de sélection des ménages éligibles</w:t>
            </w:r>
          </w:p>
        </w:tc>
        <w:tc>
          <w:tcPr>
            <w:tcW w:w="2480" w:type="dxa"/>
            <w:tcBorders>
              <w:top w:val="nil"/>
              <w:left w:val="nil"/>
              <w:bottom w:val="single" w:sz="4" w:space="0" w:color="auto"/>
              <w:right w:val="single" w:sz="4" w:space="0" w:color="auto"/>
            </w:tcBorders>
            <w:shd w:val="clear" w:color="auto" w:fill="auto"/>
            <w:noWrap/>
            <w:vAlign w:val="center"/>
            <w:hideMark/>
          </w:tcPr>
          <w:p w14:paraId="1E1DFF0E" w14:textId="77777777" w:rsidR="009021F1" w:rsidRPr="00114059" w:rsidRDefault="009021F1" w:rsidP="00E637E3">
            <w:pPr>
              <w:spacing w:line="240" w:lineRule="auto"/>
              <w:jc w:val="center"/>
              <w:rPr>
                <w:rFonts w:cs="Arial"/>
                <w:color w:val="000000"/>
                <w:sz w:val="20"/>
                <w:szCs w:val="20"/>
              </w:rPr>
            </w:pPr>
            <w:r w:rsidRPr="00114059">
              <w:rPr>
                <w:rFonts w:cs="Arial"/>
                <w:color w:val="000000"/>
                <w:sz w:val="20"/>
                <w:szCs w:val="20"/>
              </w:rPr>
              <w:t>NES n°1</w:t>
            </w:r>
          </w:p>
        </w:tc>
        <w:tc>
          <w:tcPr>
            <w:tcW w:w="2220" w:type="dxa"/>
            <w:tcBorders>
              <w:top w:val="nil"/>
              <w:left w:val="nil"/>
              <w:bottom w:val="single" w:sz="4" w:space="0" w:color="auto"/>
              <w:right w:val="single" w:sz="4" w:space="0" w:color="auto"/>
            </w:tcBorders>
            <w:shd w:val="clear" w:color="auto" w:fill="auto"/>
            <w:noWrap/>
            <w:vAlign w:val="center"/>
            <w:hideMark/>
          </w:tcPr>
          <w:p w14:paraId="7FCE87C3" w14:textId="77777777" w:rsidR="009021F1" w:rsidRPr="00114059" w:rsidRDefault="009021F1" w:rsidP="00E637E3">
            <w:pPr>
              <w:spacing w:line="240" w:lineRule="auto"/>
              <w:jc w:val="center"/>
              <w:rPr>
                <w:rFonts w:cs="Arial"/>
                <w:color w:val="000000"/>
                <w:sz w:val="20"/>
                <w:szCs w:val="20"/>
              </w:rPr>
            </w:pPr>
            <w:r w:rsidRPr="00114059">
              <w:rPr>
                <w:rFonts w:cs="Arial"/>
                <w:color w:val="000000"/>
                <w:sz w:val="20"/>
                <w:szCs w:val="20"/>
              </w:rPr>
              <w:t>CGES, EIES/PGES</w:t>
            </w:r>
          </w:p>
        </w:tc>
      </w:tr>
      <w:tr w:rsidR="009021F1" w:rsidRPr="00F91D77" w14:paraId="6943166F" w14:textId="77777777" w:rsidTr="00E637E3">
        <w:trPr>
          <w:trHeight w:val="851"/>
        </w:trPr>
        <w:tc>
          <w:tcPr>
            <w:tcW w:w="1700" w:type="dxa"/>
            <w:vMerge/>
            <w:tcBorders>
              <w:top w:val="nil"/>
              <w:left w:val="single" w:sz="4" w:space="0" w:color="auto"/>
              <w:bottom w:val="single" w:sz="4" w:space="0" w:color="auto"/>
              <w:right w:val="single" w:sz="4" w:space="0" w:color="auto"/>
            </w:tcBorders>
            <w:vAlign w:val="center"/>
            <w:hideMark/>
          </w:tcPr>
          <w:p w14:paraId="468F0FB2" w14:textId="77777777" w:rsidR="009021F1" w:rsidRPr="00114059" w:rsidRDefault="009021F1" w:rsidP="00E637E3">
            <w:pPr>
              <w:spacing w:line="240" w:lineRule="auto"/>
              <w:jc w:val="left"/>
              <w:rPr>
                <w:rFonts w:cs="Arial"/>
                <w:color w:val="000000"/>
                <w:sz w:val="20"/>
                <w:szCs w:val="20"/>
              </w:rPr>
            </w:pPr>
          </w:p>
        </w:tc>
        <w:tc>
          <w:tcPr>
            <w:tcW w:w="3260" w:type="dxa"/>
            <w:tcBorders>
              <w:top w:val="nil"/>
              <w:left w:val="nil"/>
              <w:bottom w:val="single" w:sz="4" w:space="0" w:color="auto"/>
              <w:right w:val="single" w:sz="4" w:space="0" w:color="auto"/>
            </w:tcBorders>
            <w:shd w:val="clear" w:color="auto" w:fill="auto"/>
            <w:vAlign w:val="center"/>
            <w:hideMark/>
          </w:tcPr>
          <w:p w14:paraId="7959FAC6" w14:textId="77777777" w:rsidR="009021F1" w:rsidRPr="00114059" w:rsidRDefault="009021F1" w:rsidP="00E637E3">
            <w:pPr>
              <w:spacing w:line="240" w:lineRule="auto"/>
              <w:jc w:val="left"/>
              <w:rPr>
                <w:rFonts w:cs="Arial"/>
                <w:color w:val="000000"/>
                <w:sz w:val="20"/>
                <w:szCs w:val="20"/>
              </w:rPr>
            </w:pPr>
            <w:r w:rsidRPr="00114059">
              <w:rPr>
                <w:rFonts w:cs="Arial"/>
                <w:color w:val="000000"/>
                <w:sz w:val="20"/>
                <w:szCs w:val="20"/>
              </w:rPr>
              <w:t>Risque de la discrimination des populations autochtones lors de la sélection des ménages vulnérables </w:t>
            </w:r>
          </w:p>
        </w:tc>
        <w:tc>
          <w:tcPr>
            <w:tcW w:w="2480" w:type="dxa"/>
            <w:tcBorders>
              <w:top w:val="nil"/>
              <w:left w:val="nil"/>
              <w:bottom w:val="single" w:sz="4" w:space="0" w:color="auto"/>
              <w:right w:val="single" w:sz="4" w:space="0" w:color="auto"/>
            </w:tcBorders>
            <w:shd w:val="clear" w:color="auto" w:fill="auto"/>
            <w:noWrap/>
            <w:vAlign w:val="center"/>
            <w:hideMark/>
          </w:tcPr>
          <w:p w14:paraId="0BF67957" w14:textId="77777777" w:rsidR="009021F1" w:rsidRPr="00114059" w:rsidRDefault="009021F1" w:rsidP="00E637E3">
            <w:pPr>
              <w:spacing w:line="240" w:lineRule="auto"/>
              <w:jc w:val="center"/>
              <w:rPr>
                <w:rFonts w:cs="Arial"/>
                <w:color w:val="000000"/>
                <w:sz w:val="20"/>
                <w:szCs w:val="20"/>
              </w:rPr>
            </w:pPr>
            <w:r w:rsidRPr="00114059">
              <w:rPr>
                <w:rFonts w:cs="Arial"/>
                <w:color w:val="000000"/>
                <w:sz w:val="20"/>
                <w:szCs w:val="20"/>
              </w:rPr>
              <w:t>NES n°1 et 7</w:t>
            </w:r>
          </w:p>
        </w:tc>
        <w:tc>
          <w:tcPr>
            <w:tcW w:w="2220" w:type="dxa"/>
            <w:tcBorders>
              <w:top w:val="nil"/>
              <w:left w:val="nil"/>
              <w:bottom w:val="single" w:sz="4" w:space="0" w:color="auto"/>
              <w:right w:val="single" w:sz="4" w:space="0" w:color="auto"/>
            </w:tcBorders>
            <w:shd w:val="clear" w:color="auto" w:fill="auto"/>
            <w:noWrap/>
            <w:vAlign w:val="center"/>
            <w:hideMark/>
          </w:tcPr>
          <w:p w14:paraId="0999B861" w14:textId="77777777" w:rsidR="009021F1" w:rsidRPr="00114059" w:rsidRDefault="009021F1" w:rsidP="00E637E3">
            <w:pPr>
              <w:spacing w:line="240" w:lineRule="auto"/>
              <w:jc w:val="center"/>
              <w:rPr>
                <w:rFonts w:cs="Arial"/>
                <w:color w:val="000000"/>
                <w:sz w:val="20"/>
                <w:szCs w:val="20"/>
              </w:rPr>
            </w:pPr>
            <w:r w:rsidRPr="00114059">
              <w:rPr>
                <w:rFonts w:cs="Arial"/>
                <w:color w:val="000000"/>
                <w:sz w:val="20"/>
                <w:szCs w:val="20"/>
              </w:rPr>
              <w:t>CPPA et PPA</w:t>
            </w:r>
          </w:p>
        </w:tc>
      </w:tr>
      <w:tr w:rsidR="009021F1" w:rsidRPr="00F91D77" w14:paraId="20416925" w14:textId="77777777" w:rsidTr="00E637E3">
        <w:trPr>
          <w:trHeight w:val="1191"/>
        </w:trPr>
        <w:tc>
          <w:tcPr>
            <w:tcW w:w="1700" w:type="dxa"/>
            <w:vMerge/>
            <w:tcBorders>
              <w:top w:val="nil"/>
              <w:left w:val="single" w:sz="4" w:space="0" w:color="auto"/>
              <w:bottom w:val="single" w:sz="4" w:space="0" w:color="auto"/>
              <w:right w:val="single" w:sz="4" w:space="0" w:color="auto"/>
            </w:tcBorders>
            <w:vAlign w:val="center"/>
            <w:hideMark/>
          </w:tcPr>
          <w:p w14:paraId="4DC09F2D" w14:textId="77777777" w:rsidR="009021F1" w:rsidRPr="00114059" w:rsidRDefault="009021F1" w:rsidP="00E637E3">
            <w:pPr>
              <w:spacing w:line="240" w:lineRule="auto"/>
              <w:jc w:val="left"/>
              <w:rPr>
                <w:rFonts w:cs="Arial"/>
                <w:color w:val="000000"/>
                <w:sz w:val="20"/>
                <w:szCs w:val="20"/>
              </w:rPr>
            </w:pPr>
          </w:p>
        </w:tc>
        <w:tc>
          <w:tcPr>
            <w:tcW w:w="3260" w:type="dxa"/>
            <w:tcBorders>
              <w:top w:val="nil"/>
              <w:left w:val="nil"/>
              <w:bottom w:val="single" w:sz="4" w:space="0" w:color="auto"/>
              <w:right w:val="single" w:sz="4" w:space="0" w:color="auto"/>
            </w:tcBorders>
            <w:shd w:val="clear" w:color="auto" w:fill="auto"/>
            <w:vAlign w:val="center"/>
            <w:hideMark/>
          </w:tcPr>
          <w:p w14:paraId="71A76F0A" w14:textId="77777777" w:rsidR="009021F1" w:rsidRPr="00114059" w:rsidRDefault="009021F1" w:rsidP="00E637E3">
            <w:pPr>
              <w:spacing w:line="240" w:lineRule="auto"/>
              <w:jc w:val="left"/>
              <w:rPr>
                <w:rFonts w:cs="Arial"/>
                <w:color w:val="000000"/>
                <w:sz w:val="20"/>
                <w:szCs w:val="20"/>
              </w:rPr>
            </w:pPr>
            <w:r w:rsidRPr="00114059">
              <w:rPr>
                <w:rFonts w:cs="Arial"/>
                <w:color w:val="000000"/>
                <w:sz w:val="20"/>
                <w:szCs w:val="20"/>
              </w:rPr>
              <w:t>Risque de la discrimination des femmes et la non</w:t>
            </w:r>
            <w:r>
              <w:rPr>
                <w:rFonts w:cs="Arial"/>
                <w:color w:val="000000"/>
                <w:sz w:val="20"/>
                <w:szCs w:val="20"/>
              </w:rPr>
              <w:t>-</w:t>
            </w:r>
            <w:r w:rsidRPr="00114059">
              <w:rPr>
                <w:rFonts w:cs="Arial"/>
                <w:color w:val="000000"/>
                <w:sz w:val="20"/>
                <w:szCs w:val="20"/>
              </w:rPr>
              <w:t>integration de la jeunesse dans le renforcement des capacités des services publics agricoles au niveau local.</w:t>
            </w:r>
          </w:p>
        </w:tc>
        <w:tc>
          <w:tcPr>
            <w:tcW w:w="2480" w:type="dxa"/>
            <w:tcBorders>
              <w:top w:val="nil"/>
              <w:left w:val="nil"/>
              <w:bottom w:val="single" w:sz="4" w:space="0" w:color="auto"/>
              <w:right w:val="single" w:sz="4" w:space="0" w:color="auto"/>
            </w:tcBorders>
            <w:shd w:val="clear" w:color="auto" w:fill="auto"/>
            <w:noWrap/>
            <w:vAlign w:val="center"/>
            <w:hideMark/>
          </w:tcPr>
          <w:p w14:paraId="3F5BCFD7" w14:textId="77777777" w:rsidR="009021F1" w:rsidRPr="00114059" w:rsidRDefault="009021F1" w:rsidP="00E637E3">
            <w:pPr>
              <w:spacing w:line="240" w:lineRule="auto"/>
              <w:jc w:val="center"/>
              <w:rPr>
                <w:rFonts w:cs="Arial"/>
                <w:color w:val="000000"/>
                <w:sz w:val="20"/>
                <w:szCs w:val="20"/>
              </w:rPr>
            </w:pPr>
            <w:r w:rsidRPr="00114059">
              <w:rPr>
                <w:rFonts w:cs="Arial"/>
                <w:color w:val="000000"/>
                <w:sz w:val="20"/>
                <w:szCs w:val="20"/>
              </w:rPr>
              <w:t>NES n° 1</w:t>
            </w:r>
          </w:p>
        </w:tc>
        <w:tc>
          <w:tcPr>
            <w:tcW w:w="2220" w:type="dxa"/>
            <w:tcBorders>
              <w:top w:val="nil"/>
              <w:left w:val="nil"/>
              <w:bottom w:val="single" w:sz="4" w:space="0" w:color="auto"/>
              <w:right w:val="single" w:sz="4" w:space="0" w:color="auto"/>
            </w:tcBorders>
            <w:shd w:val="clear" w:color="auto" w:fill="auto"/>
            <w:vAlign w:val="center"/>
            <w:hideMark/>
          </w:tcPr>
          <w:p w14:paraId="404132AA" w14:textId="77777777" w:rsidR="009021F1" w:rsidRPr="00114059" w:rsidRDefault="009021F1" w:rsidP="00E637E3">
            <w:pPr>
              <w:spacing w:line="240" w:lineRule="auto"/>
              <w:jc w:val="center"/>
              <w:rPr>
                <w:rFonts w:cs="Arial"/>
                <w:color w:val="000000"/>
                <w:sz w:val="20"/>
                <w:szCs w:val="20"/>
              </w:rPr>
            </w:pPr>
            <w:r w:rsidRPr="00114059">
              <w:rPr>
                <w:rFonts w:cs="Arial"/>
                <w:color w:val="000000"/>
                <w:sz w:val="20"/>
                <w:szCs w:val="20"/>
              </w:rPr>
              <w:t>CGES, EIES/PGES et Plan d'Action de VBG</w:t>
            </w:r>
          </w:p>
        </w:tc>
      </w:tr>
      <w:tr w:rsidR="009021F1" w:rsidRPr="00F91D77" w14:paraId="542A3E31" w14:textId="77777777" w:rsidTr="00E637E3">
        <w:trPr>
          <w:trHeight w:val="273"/>
        </w:trPr>
        <w:tc>
          <w:tcPr>
            <w:tcW w:w="1700" w:type="dxa"/>
            <w:vMerge/>
            <w:tcBorders>
              <w:top w:val="nil"/>
              <w:left w:val="single" w:sz="4" w:space="0" w:color="auto"/>
              <w:bottom w:val="single" w:sz="4" w:space="0" w:color="auto"/>
              <w:right w:val="single" w:sz="4" w:space="0" w:color="auto"/>
            </w:tcBorders>
            <w:vAlign w:val="center"/>
            <w:hideMark/>
          </w:tcPr>
          <w:p w14:paraId="086B6B90" w14:textId="77777777" w:rsidR="009021F1" w:rsidRPr="00114059" w:rsidRDefault="009021F1" w:rsidP="00E637E3">
            <w:pPr>
              <w:spacing w:line="240" w:lineRule="auto"/>
              <w:jc w:val="left"/>
              <w:rPr>
                <w:rFonts w:cs="Arial"/>
                <w:color w:val="000000"/>
                <w:sz w:val="20"/>
                <w:szCs w:val="20"/>
              </w:rPr>
            </w:pPr>
          </w:p>
        </w:tc>
        <w:tc>
          <w:tcPr>
            <w:tcW w:w="3260" w:type="dxa"/>
            <w:tcBorders>
              <w:top w:val="nil"/>
              <w:left w:val="nil"/>
              <w:bottom w:val="single" w:sz="4" w:space="0" w:color="auto"/>
              <w:right w:val="single" w:sz="4" w:space="0" w:color="auto"/>
            </w:tcBorders>
            <w:shd w:val="clear" w:color="auto" w:fill="auto"/>
            <w:vAlign w:val="center"/>
            <w:hideMark/>
          </w:tcPr>
          <w:p w14:paraId="1C0A32DB" w14:textId="77777777" w:rsidR="009021F1" w:rsidRPr="00114059" w:rsidRDefault="009021F1" w:rsidP="00E637E3">
            <w:pPr>
              <w:spacing w:line="240" w:lineRule="auto"/>
              <w:jc w:val="left"/>
              <w:rPr>
                <w:rFonts w:cs="Arial"/>
                <w:color w:val="000000"/>
                <w:sz w:val="20"/>
                <w:szCs w:val="20"/>
              </w:rPr>
            </w:pPr>
            <w:r w:rsidRPr="00114059">
              <w:rPr>
                <w:rFonts w:cs="Arial"/>
                <w:color w:val="000000"/>
                <w:sz w:val="20"/>
                <w:szCs w:val="20"/>
              </w:rPr>
              <w:t>Risque de travail de forcé</w:t>
            </w:r>
          </w:p>
        </w:tc>
        <w:tc>
          <w:tcPr>
            <w:tcW w:w="2480" w:type="dxa"/>
            <w:tcBorders>
              <w:top w:val="nil"/>
              <w:left w:val="nil"/>
              <w:bottom w:val="single" w:sz="4" w:space="0" w:color="auto"/>
              <w:right w:val="single" w:sz="4" w:space="0" w:color="auto"/>
            </w:tcBorders>
            <w:shd w:val="clear" w:color="auto" w:fill="auto"/>
            <w:noWrap/>
            <w:vAlign w:val="center"/>
            <w:hideMark/>
          </w:tcPr>
          <w:p w14:paraId="4E4DB03C" w14:textId="77777777" w:rsidR="009021F1" w:rsidRPr="00114059" w:rsidRDefault="009021F1" w:rsidP="00E637E3">
            <w:pPr>
              <w:spacing w:line="240" w:lineRule="auto"/>
              <w:jc w:val="center"/>
              <w:rPr>
                <w:rFonts w:cs="Arial"/>
                <w:color w:val="000000"/>
                <w:sz w:val="20"/>
                <w:szCs w:val="20"/>
              </w:rPr>
            </w:pPr>
            <w:r w:rsidRPr="00114059">
              <w:rPr>
                <w:rFonts w:cs="Arial"/>
                <w:color w:val="000000"/>
                <w:sz w:val="20"/>
                <w:szCs w:val="20"/>
              </w:rPr>
              <w:t xml:space="preserve">NES n° 1 et 2 </w:t>
            </w:r>
          </w:p>
        </w:tc>
        <w:tc>
          <w:tcPr>
            <w:tcW w:w="2220" w:type="dxa"/>
            <w:tcBorders>
              <w:top w:val="nil"/>
              <w:left w:val="nil"/>
              <w:bottom w:val="single" w:sz="4" w:space="0" w:color="auto"/>
              <w:right w:val="single" w:sz="4" w:space="0" w:color="auto"/>
            </w:tcBorders>
            <w:shd w:val="clear" w:color="auto" w:fill="auto"/>
            <w:noWrap/>
            <w:vAlign w:val="center"/>
            <w:hideMark/>
          </w:tcPr>
          <w:p w14:paraId="156EBBE0" w14:textId="77777777" w:rsidR="009021F1" w:rsidRPr="00114059" w:rsidRDefault="009021F1" w:rsidP="00E637E3">
            <w:pPr>
              <w:spacing w:line="240" w:lineRule="auto"/>
              <w:jc w:val="center"/>
              <w:rPr>
                <w:rFonts w:cs="Arial"/>
                <w:color w:val="000000"/>
                <w:sz w:val="20"/>
                <w:szCs w:val="20"/>
              </w:rPr>
            </w:pPr>
            <w:r w:rsidRPr="00114059">
              <w:rPr>
                <w:rFonts w:cs="Arial"/>
                <w:color w:val="000000"/>
                <w:sz w:val="20"/>
                <w:szCs w:val="20"/>
              </w:rPr>
              <w:t>PGMO</w:t>
            </w:r>
          </w:p>
        </w:tc>
      </w:tr>
      <w:tr w:rsidR="009021F1" w:rsidRPr="00F91D77" w14:paraId="541768AD" w14:textId="77777777" w:rsidTr="00E637E3">
        <w:trPr>
          <w:trHeight w:val="996"/>
        </w:trPr>
        <w:tc>
          <w:tcPr>
            <w:tcW w:w="1700" w:type="dxa"/>
            <w:vMerge/>
            <w:tcBorders>
              <w:top w:val="nil"/>
              <w:left w:val="single" w:sz="4" w:space="0" w:color="auto"/>
              <w:bottom w:val="single" w:sz="4" w:space="0" w:color="auto"/>
              <w:right w:val="single" w:sz="4" w:space="0" w:color="auto"/>
            </w:tcBorders>
            <w:vAlign w:val="center"/>
            <w:hideMark/>
          </w:tcPr>
          <w:p w14:paraId="73A0B204" w14:textId="77777777" w:rsidR="009021F1" w:rsidRPr="00114059" w:rsidRDefault="009021F1" w:rsidP="00E637E3">
            <w:pPr>
              <w:spacing w:line="240" w:lineRule="auto"/>
              <w:jc w:val="left"/>
              <w:rPr>
                <w:rFonts w:cs="Arial"/>
                <w:color w:val="000000"/>
                <w:sz w:val="20"/>
                <w:szCs w:val="20"/>
              </w:rPr>
            </w:pPr>
          </w:p>
        </w:tc>
        <w:tc>
          <w:tcPr>
            <w:tcW w:w="3260" w:type="dxa"/>
            <w:tcBorders>
              <w:top w:val="nil"/>
              <w:left w:val="nil"/>
              <w:bottom w:val="single" w:sz="4" w:space="0" w:color="auto"/>
              <w:right w:val="single" w:sz="4" w:space="0" w:color="auto"/>
            </w:tcBorders>
            <w:shd w:val="clear" w:color="auto" w:fill="auto"/>
            <w:vAlign w:val="center"/>
            <w:hideMark/>
          </w:tcPr>
          <w:p w14:paraId="76DA49F2" w14:textId="77777777" w:rsidR="009021F1" w:rsidRPr="00114059" w:rsidRDefault="009021F1" w:rsidP="00E637E3">
            <w:pPr>
              <w:spacing w:line="240" w:lineRule="auto"/>
              <w:jc w:val="left"/>
              <w:rPr>
                <w:rFonts w:cs="Arial"/>
                <w:color w:val="000000"/>
                <w:sz w:val="20"/>
                <w:szCs w:val="20"/>
              </w:rPr>
            </w:pPr>
            <w:r w:rsidRPr="00114059">
              <w:rPr>
                <w:rFonts w:cs="Arial"/>
                <w:color w:val="000000"/>
                <w:sz w:val="20"/>
                <w:szCs w:val="20"/>
              </w:rPr>
              <w:t>Recours à l’utilisation des forces publiques pour la sécurité des chantiers</w:t>
            </w:r>
          </w:p>
        </w:tc>
        <w:tc>
          <w:tcPr>
            <w:tcW w:w="2480" w:type="dxa"/>
            <w:tcBorders>
              <w:top w:val="nil"/>
              <w:left w:val="nil"/>
              <w:bottom w:val="single" w:sz="4" w:space="0" w:color="auto"/>
              <w:right w:val="single" w:sz="4" w:space="0" w:color="auto"/>
            </w:tcBorders>
            <w:shd w:val="clear" w:color="auto" w:fill="auto"/>
            <w:noWrap/>
            <w:vAlign w:val="center"/>
            <w:hideMark/>
          </w:tcPr>
          <w:p w14:paraId="2F53CAEA" w14:textId="77777777" w:rsidR="009021F1" w:rsidRPr="00114059" w:rsidRDefault="009021F1" w:rsidP="00E637E3">
            <w:pPr>
              <w:spacing w:line="240" w:lineRule="auto"/>
              <w:jc w:val="center"/>
              <w:rPr>
                <w:rFonts w:cs="Arial"/>
                <w:color w:val="000000"/>
                <w:sz w:val="20"/>
                <w:szCs w:val="20"/>
              </w:rPr>
            </w:pPr>
            <w:r w:rsidRPr="00114059">
              <w:rPr>
                <w:rFonts w:cs="Arial"/>
                <w:color w:val="000000"/>
                <w:sz w:val="20"/>
                <w:szCs w:val="20"/>
              </w:rPr>
              <w:t>NES n° 1 et 4</w:t>
            </w:r>
          </w:p>
        </w:tc>
        <w:tc>
          <w:tcPr>
            <w:tcW w:w="2220" w:type="dxa"/>
            <w:tcBorders>
              <w:top w:val="nil"/>
              <w:left w:val="nil"/>
              <w:bottom w:val="single" w:sz="4" w:space="0" w:color="auto"/>
              <w:right w:val="single" w:sz="4" w:space="0" w:color="auto"/>
            </w:tcBorders>
            <w:shd w:val="clear" w:color="auto" w:fill="auto"/>
            <w:vAlign w:val="center"/>
            <w:hideMark/>
          </w:tcPr>
          <w:p w14:paraId="3C9C528B" w14:textId="77777777" w:rsidR="009021F1" w:rsidRPr="00114059" w:rsidRDefault="009021F1" w:rsidP="00E637E3">
            <w:pPr>
              <w:spacing w:line="240" w:lineRule="auto"/>
              <w:jc w:val="center"/>
              <w:rPr>
                <w:rFonts w:cs="Arial"/>
                <w:color w:val="000000"/>
                <w:sz w:val="20"/>
                <w:szCs w:val="20"/>
              </w:rPr>
            </w:pPr>
            <w:r w:rsidRPr="00114059">
              <w:rPr>
                <w:rFonts w:cs="Arial"/>
                <w:color w:val="000000"/>
                <w:sz w:val="20"/>
                <w:szCs w:val="20"/>
              </w:rPr>
              <w:t>CGES, EIES/PGES et Plan de Gestion de Sécurité, Note de bonne pratique du PGS de l’IDA et PGMO</w:t>
            </w:r>
          </w:p>
        </w:tc>
      </w:tr>
      <w:tr w:rsidR="009021F1" w:rsidRPr="00F91D77" w14:paraId="786CE52C" w14:textId="77777777" w:rsidTr="00E637E3">
        <w:trPr>
          <w:trHeight w:val="708"/>
        </w:trPr>
        <w:tc>
          <w:tcPr>
            <w:tcW w:w="1700" w:type="dxa"/>
            <w:vMerge/>
            <w:tcBorders>
              <w:top w:val="nil"/>
              <w:left w:val="single" w:sz="4" w:space="0" w:color="auto"/>
              <w:bottom w:val="single" w:sz="4" w:space="0" w:color="auto"/>
              <w:right w:val="single" w:sz="4" w:space="0" w:color="auto"/>
            </w:tcBorders>
            <w:vAlign w:val="center"/>
            <w:hideMark/>
          </w:tcPr>
          <w:p w14:paraId="211787F2" w14:textId="77777777" w:rsidR="009021F1" w:rsidRPr="00114059" w:rsidRDefault="009021F1" w:rsidP="00E637E3">
            <w:pPr>
              <w:spacing w:line="240" w:lineRule="auto"/>
              <w:jc w:val="left"/>
              <w:rPr>
                <w:rFonts w:cs="Arial"/>
                <w:color w:val="000000"/>
                <w:sz w:val="20"/>
                <w:szCs w:val="20"/>
              </w:rPr>
            </w:pPr>
          </w:p>
        </w:tc>
        <w:tc>
          <w:tcPr>
            <w:tcW w:w="3260" w:type="dxa"/>
            <w:tcBorders>
              <w:top w:val="nil"/>
              <w:left w:val="nil"/>
              <w:bottom w:val="single" w:sz="4" w:space="0" w:color="auto"/>
              <w:right w:val="single" w:sz="4" w:space="0" w:color="auto"/>
            </w:tcBorders>
            <w:shd w:val="clear" w:color="auto" w:fill="auto"/>
            <w:vAlign w:val="center"/>
            <w:hideMark/>
          </w:tcPr>
          <w:p w14:paraId="1EC71340" w14:textId="77777777" w:rsidR="009021F1" w:rsidRPr="00114059" w:rsidRDefault="009021F1" w:rsidP="00E637E3">
            <w:pPr>
              <w:spacing w:line="240" w:lineRule="auto"/>
              <w:jc w:val="left"/>
              <w:rPr>
                <w:rFonts w:cs="Arial"/>
                <w:color w:val="000000"/>
                <w:sz w:val="20"/>
                <w:szCs w:val="20"/>
              </w:rPr>
            </w:pPr>
            <w:r w:rsidRPr="00114059">
              <w:rPr>
                <w:rFonts w:cs="Arial"/>
                <w:color w:val="000000"/>
                <w:sz w:val="20"/>
                <w:szCs w:val="20"/>
              </w:rPr>
              <w:t>Risque d’employer les enfants sur les chantiers</w:t>
            </w:r>
          </w:p>
        </w:tc>
        <w:tc>
          <w:tcPr>
            <w:tcW w:w="2480" w:type="dxa"/>
            <w:tcBorders>
              <w:top w:val="nil"/>
              <w:left w:val="nil"/>
              <w:bottom w:val="single" w:sz="4" w:space="0" w:color="auto"/>
              <w:right w:val="single" w:sz="4" w:space="0" w:color="auto"/>
            </w:tcBorders>
            <w:shd w:val="clear" w:color="auto" w:fill="auto"/>
            <w:noWrap/>
            <w:vAlign w:val="center"/>
            <w:hideMark/>
          </w:tcPr>
          <w:p w14:paraId="563A4AE7" w14:textId="77777777" w:rsidR="009021F1" w:rsidRPr="00114059" w:rsidRDefault="009021F1" w:rsidP="00E637E3">
            <w:pPr>
              <w:spacing w:line="240" w:lineRule="auto"/>
              <w:jc w:val="center"/>
              <w:rPr>
                <w:rFonts w:cs="Arial"/>
                <w:color w:val="000000"/>
                <w:sz w:val="20"/>
                <w:szCs w:val="20"/>
              </w:rPr>
            </w:pPr>
            <w:r w:rsidRPr="00114059">
              <w:rPr>
                <w:rFonts w:cs="Arial"/>
                <w:color w:val="000000"/>
                <w:sz w:val="20"/>
                <w:szCs w:val="20"/>
              </w:rPr>
              <w:t xml:space="preserve">NES n° 1 et 2  </w:t>
            </w:r>
          </w:p>
        </w:tc>
        <w:tc>
          <w:tcPr>
            <w:tcW w:w="2220" w:type="dxa"/>
            <w:tcBorders>
              <w:top w:val="nil"/>
              <w:left w:val="nil"/>
              <w:bottom w:val="single" w:sz="4" w:space="0" w:color="auto"/>
              <w:right w:val="single" w:sz="4" w:space="0" w:color="auto"/>
            </w:tcBorders>
            <w:shd w:val="clear" w:color="auto" w:fill="auto"/>
            <w:vAlign w:val="center"/>
            <w:hideMark/>
          </w:tcPr>
          <w:p w14:paraId="155852CB" w14:textId="77777777" w:rsidR="009021F1" w:rsidRPr="00114059" w:rsidRDefault="009021F1" w:rsidP="00E637E3">
            <w:pPr>
              <w:spacing w:line="240" w:lineRule="auto"/>
              <w:jc w:val="center"/>
              <w:rPr>
                <w:rFonts w:cs="Arial"/>
                <w:color w:val="000000"/>
                <w:sz w:val="20"/>
                <w:szCs w:val="20"/>
              </w:rPr>
            </w:pPr>
            <w:r w:rsidRPr="00114059">
              <w:rPr>
                <w:rFonts w:cs="Arial"/>
                <w:color w:val="000000"/>
                <w:sz w:val="20"/>
                <w:szCs w:val="20"/>
              </w:rPr>
              <w:t xml:space="preserve">CGES, EIES/PGES et PGMO </w:t>
            </w:r>
          </w:p>
        </w:tc>
      </w:tr>
      <w:tr w:rsidR="009021F1" w:rsidRPr="00F91D77" w14:paraId="0DA19DE8" w14:textId="77777777" w:rsidTr="00E637E3">
        <w:trPr>
          <w:trHeight w:val="72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04A0C85E" w14:textId="77777777" w:rsidR="009021F1" w:rsidRPr="00114059" w:rsidRDefault="009021F1" w:rsidP="00E637E3">
            <w:pPr>
              <w:spacing w:line="240" w:lineRule="auto"/>
              <w:jc w:val="center"/>
              <w:rPr>
                <w:rFonts w:cs="Arial"/>
                <w:color w:val="000000"/>
                <w:sz w:val="20"/>
                <w:szCs w:val="20"/>
              </w:rPr>
            </w:pPr>
            <w:r w:rsidRPr="00114059">
              <w:rPr>
                <w:rFonts w:cs="Arial"/>
                <w:color w:val="000000"/>
                <w:sz w:val="20"/>
                <w:szCs w:val="20"/>
                <w:lang w:val="en-US"/>
              </w:rPr>
              <w:t>Genre</w:t>
            </w:r>
          </w:p>
        </w:tc>
        <w:tc>
          <w:tcPr>
            <w:tcW w:w="3260" w:type="dxa"/>
            <w:tcBorders>
              <w:top w:val="nil"/>
              <w:left w:val="nil"/>
              <w:bottom w:val="single" w:sz="4" w:space="0" w:color="auto"/>
              <w:right w:val="single" w:sz="4" w:space="0" w:color="auto"/>
            </w:tcBorders>
            <w:shd w:val="clear" w:color="auto" w:fill="auto"/>
            <w:vAlign w:val="center"/>
            <w:hideMark/>
          </w:tcPr>
          <w:p w14:paraId="27336989" w14:textId="77777777" w:rsidR="009021F1" w:rsidRPr="00114059" w:rsidRDefault="009021F1" w:rsidP="00E637E3">
            <w:pPr>
              <w:spacing w:line="240" w:lineRule="auto"/>
              <w:jc w:val="left"/>
              <w:rPr>
                <w:rFonts w:cs="Arial"/>
                <w:color w:val="000000"/>
                <w:sz w:val="20"/>
                <w:szCs w:val="20"/>
              </w:rPr>
            </w:pPr>
            <w:r w:rsidRPr="00114059">
              <w:rPr>
                <w:rFonts w:cs="Arial"/>
                <w:color w:val="000000"/>
                <w:sz w:val="20"/>
                <w:szCs w:val="20"/>
              </w:rPr>
              <w:t>Risque de VBG/ EAS/HS</w:t>
            </w:r>
          </w:p>
        </w:tc>
        <w:tc>
          <w:tcPr>
            <w:tcW w:w="2480" w:type="dxa"/>
            <w:tcBorders>
              <w:top w:val="nil"/>
              <w:left w:val="nil"/>
              <w:bottom w:val="single" w:sz="4" w:space="0" w:color="auto"/>
              <w:right w:val="single" w:sz="4" w:space="0" w:color="auto"/>
            </w:tcBorders>
            <w:shd w:val="clear" w:color="auto" w:fill="auto"/>
            <w:noWrap/>
            <w:vAlign w:val="center"/>
            <w:hideMark/>
          </w:tcPr>
          <w:p w14:paraId="7A6466C3" w14:textId="77777777" w:rsidR="009021F1" w:rsidRPr="00114059" w:rsidRDefault="009021F1" w:rsidP="00E637E3">
            <w:pPr>
              <w:spacing w:line="240" w:lineRule="auto"/>
              <w:jc w:val="center"/>
              <w:rPr>
                <w:rFonts w:cs="Arial"/>
                <w:color w:val="000000"/>
                <w:sz w:val="20"/>
                <w:szCs w:val="20"/>
              </w:rPr>
            </w:pPr>
            <w:r w:rsidRPr="00114059">
              <w:rPr>
                <w:rFonts w:cs="Arial"/>
                <w:color w:val="000000"/>
                <w:sz w:val="20"/>
                <w:szCs w:val="20"/>
              </w:rPr>
              <w:t>NES n° 1 et 2</w:t>
            </w:r>
          </w:p>
        </w:tc>
        <w:tc>
          <w:tcPr>
            <w:tcW w:w="2220" w:type="dxa"/>
            <w:tcBorders>
              <w:top w:val="nil"/>
              <w:left w:val="nil"/>
              <w:bottom w:val="single" w:sz="4" w:space="0" w:color="auto"/>
              <w:right w:val="single" w:sz="4" w:space="0" w:color="auto"/>
            </w:tcBorders>
            <w:shd w:val="clear" w:color="auto" w:fill="auto"/>
            <w:vAlign w:val="center"/>
            <w:hideMark/>
          </w:tcPr>
          <w:p w14:paraId="78C7374E" w14:textId="77777777" w:rsidR="009021F1" w:rsidRPr="00114059" w:rsidRDefault="009021F1" w:rsidP="00E637E3">
            <w:pPr>
              <w:spacing w:line="240" w:lineRule="auto"/>
              <w:jc w:val="center"/>
              <w:rPr>
                <w:rFonts w:cs="Arial"/>
                <w:color w:val="000000"/>
                <w:sz w:val="20"/>
                <w:szCs w:val="20"/>
              </w:rPr>
            </w:pPr>
            <w:r w:rsidRPr="00114059">
              <w:rPr>
                <w:rFonts w:cs="Arial"/>
                <w:color w:val="000000"/>
                <w:sz w:val="20"/>
                <w:szCs w:val="20"/>
              </w:rPr>
              <w:t>CGES, EIES/PGES et Plan d'Action VBG, Note de bonne pratique VBG de l’IDA</w:t>
            </w:r>
          </w:p>
        </w:tc>
      </w:tr>
      <w:tr w:rsidR="009021F1" w:rsidRPr="00F91D77" w14:paraId="65BA6228" w14:textId="77777777" w:rsidTr="00E637E3">
        <w:trPr>
          <w:trHeight w:val="1656"/>
        </w:trPr>
        <w:tc>
          <w:tcPr>
            <w:tcW w:w="1700" w:type="dxa"/>
            <w:vMerge w:val="restart"/>
            <w:tcBorders>
              <w:top w:val="nil"/>
              <w:left w:val="single" w:sz="4" w:space="0" w:color="auto"/>
              <w:bottom w:val="single" w:sz="4" w:space="0" w:color="auto"/>
              <w:right w:val="single" w:sz="4" w:space="0" w:color="auto"/>
            </w:tcBorders>
            <w:shd w:val="clear" w:color="auto" w:fill="auto"/>
            <w:vAlign w:val="center"/>
            <w:hideMark/>
          </w:tcPr>
          <w:p w14:paraId="0C33766C" w14:textId="77777777" w:rsidR="009021F1" w:rsidRPr="00114059" w:rsidRDefault="009021F1" w:rsidP="00E637E3">
            <w:pPr>
              <w:spacing w:line="240" w:lineRule="auto"/>
              <w:jc w:val="center"/>
              <w:rPr>
                <w:rFonts w:cs="Arial"/>
                <w:color w:val="000000"/>
                <w:sz w:val="20"/>
                <w:szCs w:val="20"/>
              </w:rPr>
            </w:pPr>
            <w:r w:rsidRPr="00114059">
              <w:rPr>
                <w:rFonts w:cs="Arial"/>
                <w:color w:val="000000"/>
                <w:sz w:val="20"/>
                <w:szCs w:val="20"/>
                <w:lang w:val="en-US"/>
              </w:rPr>
              <w:t>Santé et sécurité</w:t>
            </w:r>
          </w:p>
        </w:tc>
        <w:tc>
          <w:tcPr>
            <w:tcW w:w="3260" w:type="dxa"/>
            <w:tcBorders>
              <w:top w:val="nil"/>
              <w:left w:val="nil"/>
              <w:bottom w:val="single" w:sz="4" w:space="0" w:color="auto"/>
              <w:right w:val="single" w:sz="4" w:space="0" w:color="auto"/>
            </w:tcBorders>
            <w:shd w:val="clear" w:color="auto" w:fill="auto"/>
            <w:vAlign w:val="center"/>
            <w:hideMark/>
          </w:tcPr>
          <w:p w14:paraId="2D52B5FF" w14:textId="77777777" w:rsidR="009021F1" w:rsidRPr="00114059" w:rsidRDefault="009021F1" w:rsidP="00E637E3">
            <w:pPr>
              <w:spacing w:line="240" w:lineRule="auto"/>
              <w:jc w:val="left"/>
              <w:rPr>
                <w:rFonts w:cs="Arial"/>
                <w:color w:val="000000"/>
                <w:sz w:val="20"/>
                <w:szCs w:val="20"/>
              </w:rPr>
            </w:pPr>
            <w:r w:rsidRPr="00114059">
              <w:rPr>
                <w:rFonts w:cs="Arial"/>
                <w:color w:val="000000"/>
                <w:sz w:val="20"/>
                <w:szCs w:val="20"/>
              </w:rPr>
              <w:t>Nuisances causées par le projet (bruit, poussières, eaux usées, boues, interruptions de services, augmentation de l’achalandage de camions, dommages à la propriété privée, etc.).</w:t>
            </w:r>
          </w:p>
        </w:tc>
        <w:tc>
          <w:tcPr>
            <w:tcW w:w="2480" w:type="dxa"/>
            <w:tcBorders>
              <w:top w:val="nil"/>
              <w:left w:val="nil"/>
              <w:bottom w:val="single" w:sz="4" w:space="0" w:color="auto"/>
              <w:right w:val="single" w:sz="4" w:space="0" w:color="auto"/>
            </w:tcBorders>
            <w:shd w:val="clear" w:color="auto" w:fill="auto"/>
            <w:noWrap/>
            <w:vAlign w:val="center"/>
            <w:hideMark/>
          </w:tcPr>
          <w:p w14:paraId="591CCA48" w14:textId="77777777" w:rsidR="009021F1" w:rsidRPr="00114059" w:rsidRDefault="009021F1" w:rsidP="00E637E3">
            <w:pPr>
              <w:spacing w:line="240" w:lineRule="auto"/>
              <w:jc w:val="center"/>
              <w:rPr>
                <w:rFonts w:cs="Arial"/>
                <w:color w:val="000000"/>
                <w:sz w:val="20"/>
                <w:szCs w:val="20"/>
              </w:rPr>
            </w:pPr>
            <w:r w:rsidRPr="00114059">
              <w:rPr>
                <w:rFonts w:cs="Arial"/>
                <w:color w:val="000000"/>
                <w:sz w:val="20"/>
                <w:szCs w:val="20"/>
              </w:rPr>
              <w:t>NES n°1, 2, 3, 4 et 10</w:t>
            </w:r>
          </w:p>
        </w:tc>
        <w:tc>
          <w:tcPr>
            <w:tcW w:w="2220" w:type="dxa"/>
            <w:tcBorders>
              <w:top w:val="nil"/>
              <w:left w:val="nil"/>
              <w:bottom w:val="single" w:sz="4" w:space="0" w:color="auto"/>
              <w:right w:val="single" w:sz="4" w:space="0" w:color="auto"/>
            </w:tcBorders>
            <w:shd w:val="clear" w:color="auto" w:fill="auto"/>
            <w:noWrap/>
            <w:vAlign w:val="center"/>
            <w:hideMark/>
          </w:tcPr>
          <w:p w14:paraId="40891368" w14:textId="77777777" w:rsidR="009021F1" w:rsidRPr="00114059" w:rsidRDefault="009021F1" w:rsidP="00E637E3">
            <w:pPr>
              <w:spacing w:line="240" w:lineRule="auto"/>
              <w:jc w:val="center"/>
              <w:rPr>
                <w:rFonts w:cs="Arial"/>
                <w:color w:val="000000"/>
                <w:sz w:val="20"/>
                <w:szCs w:val="20"/>
              </w:rPr>
            </w:pPr>
            <w:r w:rsidRPr="00114059">
              <w:rPr>
                <w:rFonts w:cs="Arial"/>
                <w:color w:val="000000"/>
                <w:sz w:val="20"/>
                <w:szCs w:val="20"/>
              </w:rPr>
              <w:t>CGES, EIES/PGES et MGP</w:t>
            </w:r>
          </w:p>
        </w:tc>
      </w:tr>
      <w:tr w:rsidR="009021F1" w:rsidRPr="00F91D77" w14:paraId="2F1129CC" w14:textId="77777777" w:rsidTr="00E637E3">
        <w:trPr>
          <w:trHeight w:val="477"/>
        </w:trPr>
        <w:tc>
          <w:tcPr>
            <w:tcW w:w="1700" w:type="dxa"/>
            <w:vMerge/>
            <w:tcBorders>
              <w:top w:val="nil"/>
              <w:left w:val="single" w:sz="4" w:space="0" w:color="auto"/>
              <w:bottom w:val="single" w:sz="4" w:space="0" w:color="auto"/>
              <w:right w:val="single" w:sz="4" w:space="0" w:color="auto"/>
            </w:tcBorders>
            <w:vAlign w:val="center"/>
            <w:hideMark/>
          </w:tcPr>
          <w:p w14:paraId="3A548F85" w14:textId="77777777" w:rsidR="009021F1" w:rsidRPr="00114059" w:rsidRDefault="009021F1" w:rsidP="00E637E3">
            <w:pPr>
              <w:spacing w:line="240" w:lineRule="auto"/>
              <w:jc w:val="left"/>
              <w:rPr>
                <w:rFonts w:cs="Arial"/>
                <w:color w:val="000000"/>
                <w:sz w:val="20"/>
                <w:szCs w:val="20"/>
              </w:rPr>
            </w:pPr>
          </w:p>
        </w:tc>
        <w:tc>
          <w:tcPr>
            <w:tcW w:w="3260" w:type="dxa"/>
            <w:tcBorders>
              <w:top w:val="nil"/>
              <w:left w:val="nil"/>
              <w:bottom w:val="single" w:sz="4" w:space="0" w:color="auto"/>
              <w:right w:val="single" w:sz="4" w:space="0" w:color="auto"/>
            </w:tcBorders>
            <w:shd w:val="clear" w:color="auto" w:fill="auto"/>
            <w:vAlign w:val="center"/>
            <w:hideMark/>
          </w:tcPr>
          <w:p w14:paraId="5912A5E0" w14:textId="77777777" w:rsidR="009021F1" w:rsidRPr="00114059" w:rsidRDefault="009021F1" w:rsidP="00E637E3">
            <w:pPr>
              <w:spacing w:line="240" w:lineRule="auto"/>
              <w:jc w:val="left"/>
              <w:rPr>
                <w:rFonts w:cs="Arial"/>
                <w:color w:val="000000"/>
                <w:sz w:val="20"/>
                <w:szCs w:val="20"/>
              </w:rPr>
            </w:pPr>
            <w:r w:rsidRPr="00114059">
              <w:rPr>
                <w:rFonts w:cs="Arial"/>
                <w:color w:val="000000"/>
                <w:sz w:val="20"/>
                <w:szCs w:val="20"/>
              </w:rPr>
              <w:t>Incidence accrue des maladies sexuellement transmissibles.</w:t>
            </w:r>
          </w:p>
        </w:tc>
        <w:tc>
          <w:tcPr>
            <w:tcW w:w="2480" w:type="dxa"/>
            <w:tcBorders>
              <w:top w:val="nil"/>
              <w:left w:val="nil"/>
              <w:bottom w:val="single" w:sz="4" w:space="0" w:color="auto"/>
              <w:right w:val="single" w:sz="4" w:space="0" w:color="auto"/>
            </w:tcBorders>
            <w:shd w:val="clear" w:color="auto" w:fill="auto"/>
            <w:noWrap/>
            <w:vAlign w:val="center"/>
            <w:hideMark/>
          </w:tcPr>
          <w:p w14:paraId="3B7263EF" w14:textId="77777777" w:rsidR="009021F1" w:rsidRPr="00114059" w:rsidRDefault="009021F1" w:rsidP="00E637E3">
            <w:pPr>
              <w:spacing w:line="240" w:lineRule="auto"/>
              <w:jc w:val="center"/>
              <w:rPr>
                <w:rFonts w:cs="Arial"/>
                <w:color w:val="000000"/>
                <w:sz w:val="20"/>
                <w:szCs w:val="20"/>
              </w:rPr>
            </w:pPr>
            <w:r w:rsidRPr="00114059">
              <w:rPr>
                <w:rFonts w:cs="Arial"/>
                <w:color w:val="000000"/>
                <w:sz w:val="20"/>
                <w:szCs w:val="20"/>
              </w:rPr>
              <w:t>NES n°1 et 4</w:t>
            </w:r>
          </w:p>
        </w:tc>
        <w:tc>
          <w:tcPr>
            <w:tcW w:w="2220" w:type="dxa"/>
            <w:tcBorders>
              <w:top w:val="nil"/>
              <w:left w:val="nil"/>
              <w:bottom w:val="single" w:sz="4" w:space="0" w:color="auto"/>
              <w:right w:val="single" w:sz="4" w:space="0" w:color="auto"/>
            </w:tcBorders>
            <w:shd w:val="clear" w:color="auto" w:fill="auto"/>
            <w:noWrap/>
            <w:vAlign w:val="center"/>
            <w:hideMark/>
          </w:tcPr>
          <w:p w14:paraId="2E708E55" w14:textId="77777777" w:rsidR="009021F1" w:rsidRPr="00114059" w:rsidRDefault="009021F1" w:rsidP="00E637E3">
            <w:pPr>
              <w:spacing w:line="240" w:lineRule="auto"/>
              <w:jc w:val="center"/>
              <w:rPr>
                <w:rFonts w:cs="Arial"/>
                <w:color w:val="000000"/>
                <w:sz w:val="20"/>
                <w:szCs w:val="20"/>
              </w:rPr>
            </w:pPr>
            <w:r w:rsidRPr="00114059">
              <w:rPr>
                <w:rFonts w:cs="Arial"/>
                <w:color w:val="000000"/>
                <w:sz w:val="20"/>
                <w:szCs w:val="20"/>
              </w:rPr>
              <w:t>CGES, EIES/PGES</w:t>
            </w:r>
          </w:p>
        </w:tc>
      </w:tr>
      <w:tr w:rsidR="009021F1" w:rsidRPr="00F91D77" w14:paraId="22954A00" w14:textId="77777777" w:rsidTr="00E637E3">
        <w:trPr>
          <w:trHeight w:val="1096"/>
        </w:trPr>
        <w:tc>
          <w:tcPr>
            <w:tcW w:w="1700" w:type="dxa"/>
            <w:vMerge/>
            <w:tcBorders>
              <w:top w:val="nil"/>
              <w:left w:val="single" w:sz="4" w:space="0" w:color="auto"/>
              <w:bottom w:val="single" w:sz="4" w:space="0" w:color="auto"/>
              <w:right w:val="single" w:sz="4" w:space="0" w:color="auto"/>
            </w:tcBorders>
            <w:vAlign w:val="center"/>
            <w:hideMark/>
          </w:tcPr>
          <w:p w14:paraId="407D458F" w14:textId="77777777" w:rsidR="009021F1" w:rsidRPr="00114059" w:rsidRDefault="009021F1" w:rsidP="00E637E3">
            <w:pPr>
              <w:spacing w:line="240" w:lineRule="auto"/>
              <w:jc w:val="left"/>
              <w:rPr>
                <w:rFonts w:cs="Arial"/>
                <w:color w:val="000000"/>
                <w:sz w:val="20"/>
                <w:szCs w:val="20"/>
              </w:rPr>
            </w:pPr>
          </w:p>
        </w:tc>
        <w:tc>
          <w:tcPr>
            <w:tcW w:w="3260" w:type="dxa"/>
            <w:tcBorders>
              <w:top w:val="nil"/>
              <w:left w:val="nil"/>
              <w:bottom w:val="single" w:sz="4" w:space="0" w:color="auto"/>
              <w:right w:val="single" w:sz="4" w:space="0" w:color="auto"/>
            </w:tcBorders>
            <w:shd w:val="clear" w:color="auto" w:fill="auto"/>
            <w:vAlign w:val="center"/>
            <w:hideMark/>
          </w:tcPr>
          <w:p w14:paraId="20E25F9C" w14:textId="77777777" w:rsidR="009021F1" w:rsidRPr="00114059" w:rsidRDefault="009021F1" w:rsidP="00E637E3">
            <w:pPr>
              <w:spacing w:line="240" w:lineRule="auto"/>
              <w:jc w:val="left"/>
              <w:rPr>
                <w:rFonts w:cs="Arial"/>
                <w:color w:val="000000"/>
                <w:sz w:val="20"/>
                <w:szCs w:val="20"/>
              </w:rPr>
            </w:pPr>
            <w:r w:rsidRPr="00114059">
              <w:rPr>
                <w:rFonts w:cs="Arial"/>
                <w:color w:val="000000"/>
                <w:sz w:val="20"/>
                <w:szCs w:val="20"/>
              </w:rPr>
              <w:t>Risque de recours aux forces de sécurité publique et au service de sécurité privée suite à l’insécurité dans certaines régions concernées par le Programme</w:t>
            </w:r>
          </w:p>
        </w:tc>
        <w:tc>
          <w:tcPr>
            <w:tcW w:w="2480" w:type="dxa"/>
            <w:tcBorders>
              <w:top w:val="nil"/>
              <w:left w:val="nil"/>
              <w:bottom w:val="single" w:sz="4" w:space="0" w:color="auto"/>
              <w:right w:val="single" w:sz="4" w:space="0" w:color="auto"/>
            </w:tcBorders>
            <w:shd w:val="clear" w:color="auto" w:fill="auto"/>
            <w:noWrap/>
            <w:vAlign w:val="center"/>
            <w:hideMark/>
          </w:tcPr>
          <w:p w14:paraId="277AA34A" w14:textId="77777777" w:rsidR="009021F1" w:rsidRPr="00114059" w:rsidRDefault="009021F1" w:rsidP="00E637E3">
            <w:pPr>
              <w:spacing w:line="240" w:lineRule="auto"/>
              <w:jc w:val="center"/>
              <w:rPr>
                <w:rFonts w:cs="Arial"/>
                <w:color w:val="000000"/>
                <w:sz w:val="20"/>
                <w:szCs w:val="20"/>
              </w:rPr>
            </w:pPr>
            <w:r w:rsidRPr="00114059">
              <w:rPr>
                <w:rFonts w:cs="Arial"/>
                <w:color w:val="000000"/>
                <w:sz w:val="20"/>
                <w:szCs w:val="20"/>
              </w:rPr>
              <w:t>NES n°1 et 4</w:t>
            </w:r>
          </w:p>
        </w:tc>
        <w:tc>
          <w:tcPr>
            <w:tcW w:w="2220" w:type="dxa"/>
            <w:tcBorders>
              <w:top w:val="nil"/>
              <w:left w:val="nil"/>
              <w:bottom w:val="single" w:sz="4" w:space="0" w:color="auto"/>
              <w:right w:val="single" w:sz="4" w:space="0" w:color="auto"/>
            </w:tcBorders>
            <w:shd w:val="clear" w:color="auto" w:fill="auto"/>
            <w:noWrap/>
            <w:vAlign w:val="center"/>
            <w:hideMark/>
          </w:tcPr>
          <w:p w14:paraId="26D70987" w14:textId="77777777" w:rsidR="009021F1" w:rsidRPr="00114059" w:rsidRDefault="009021F1" w:rsidP="00E637E3">
            <w:pPr>
              <w:spacing w:line="240" w:lineRule="auto"/>
              <w:jc w:val="center"/>
              <w:rPr>
                <w:rFonts w:cs="Arial"/>
                <w:color w:val="000000"/>
                <w:sz w:val="20"/>
                <w:szCs w:val="20"/>
              </w:rPr>
            </w:pPr>
            <w:r w:rsidRPr="00114059">
              <w:rPr>
                <w:rFonts w:cs="Arial"/>
                <w:color w:val="000000"/>
                <w:sz w:val="20"/>
                <w:szCs w:val="20"/>
              </w:rPr>
              <w:t>CGES, EIES/PGES et PGS</w:t>
            </w:r>
          </w:p>
        </w:tc>
      </w:tr>
      <w:tr w:rsidR="009021F1" w:rsidRPr="00F91D77" w14:paraId="148EBB12" w14:textId="77777777" w:rsidTr="00E637E3">
        <w:trPr>
          <w:trHeight w:val="411"/>
        </w:trPr>
        <w:tc>
          <w:tcPr>
            <w:tcW w:w="1700" w:type="dxa"/>
            <w:vMerge/>
            <w:tcBorders>
              <w:top w:val="nil"/>
              <w:left w:val="single" w:sz="4" w:space="0" w:color="auto"/>
              <w:bottom w:val="single" w:sz="4" w:space="0" w:color="auto"/>
              <w:right w:val="single" w:sz="4" w:space="0" w:color="auto"/>
            </w:tcBorders>
            <w:vAlign w:val="center"/>
            <w:hideMark/>
          </w:tcPr>
          <w:p w14:paraId="5444A031" w14:textId="77777777" w:rsidR="009021F1" w:rsidRPr="00114059" w:rsidRDefault="009021F1" w:rsidP="00E637E3">
            <w:pPr>
              <w:spacing w:line="240" w:lineRule="auto"/>
              <w:jc w:val="left"/>
              <w:rPr>
                <w:rFonts w:cs="Arial"/>
                <w:color w:val="000000"/>
                <w:sz w:val="20"/>
                <w:szCs w:val="20"/>
              </w:rPr>
            </w:pPr>
          </w:p>
        </w:tc>
        <w:tc>
          <w:tcPr>
            <w:tcW w:w="3260" w:type="dxa"/>
            <w:tcBorders>
              <w:top w:val="nil"/>
              <w:left w:val="nil"/>
              <w:bottom w:val="single" w:sz="4" w:space="0" w:color="auto"/>
              <w:right w:val="single" w:sz="4" w:space="0" w:color="auto"/>
            </w:tcBorders>
            <w:shd w:val="clear" w:color="auto" w:fill="auto"/>
            <w:vAlign w:val="center"/>
            <w:hideMark/>
          </w:tcPr>
          <w:p w14:paraId="67C2487F" w14:textId="77777777" w:rsidR="009021F1" w:rsidRPr="00114059" w:rsidRDefault="009021F1" w:rsidP="00E637E3">
            <w:pPr>
              <w:spacing w:line="240" w:lineRule="auto"/>
              <w:jc w:val="left"/>
              <w:rPr>
                <w:rFonts w:cs="Arial"/>
                <w:color w:val="000000"/>
                <w:sz w:val="20"/>
                <w:szCs w:val="20"/>
              </w:rPr>
            </w:pPr>
            <w:r w:rsidRPr="00114059">
              <w:rPr>
                <w:rFonts w:cs="Arial"/>
                <w:color w:val="000000"/>
                <w:sz w:val="20"/>
                <w:szCs w:val="20"/>
                <w:lang w:val="en-US"/>
              </w:rPr>
              <w:t>Risque d'accident</w:t>
            </w:r>
          </w:p>
        </w:tc>
        <w:tc>
          <w:tcPr>
            <w:tcW w:w="2480" w:type="dxa"/>
            <w:tcBorders>
              <w:top w:val="nil"/>
              <w:left w:val="nil"/>
              <w:bottom w:val="single" w:sz="4" w:space="0" w:color="auto"/>
              <w:right w:val="single" w:sz="4" w:space="0" w:color="auto"/>
            </w:tcBorders>
            <w:shd w:val="clear" w:color="auto" w:fill="auto"/>
            <w:noWrap/>
            <w:vAlign w:val="center"/>
            <w:hideMark/>
          </w:tcPr>
          <w:p w14:paraId="23642208" w14:textId="77777777" w:rsidR="009021F1" w:rsidRPr="00114059" w:rsidRDefault="009021F1" w:rsidP="00E637E3">
            <w:pPr>
              <w:spacing w:line="240" w:lineRule="auto"/>
              <w:jc w:val="center"/>
              <w:rPr>
                <w:rFonts w:cs="Arial"/>
                <w:color w:val="000000"/>
                <w:sz w:val="20"/>
                <w:szCs w:val="20"/>
              </w:rPr>
            </w:pPr>
            <w:r w:rsidRPr="00114059">
              <w:rPr>
                <w:rFonts w:cs="Arial"/>
                <w:color w:val="000000"/>
                <w:sz w:val="20"/>
                <w:szCs w:val="20"/>
              </w:rPr>
              <w:t>NES n°1 et 4</w:t>
            </w:r>
          </w:p>
        </w:tc>
        <w:tc>
          <w:tcPr>
            <w:tcW w:w="2220" w:type="dxa"/>
            <w:tcBorders>
              <w:top w:val="nil"/>
              <w:left w:val="nil"/>
              <w:bottom w:val="single" w:sz="4" w:space="0" w:color="auto"/>
              <w:right w:val="single" w:sz="4" w:space="0" w:color="auto"/>
            </w:tcBorders>
            <w:shd w:val="clear" w:color="auto" w:fill="auto"/>
            <w:noWrap/>
            <w:vAlign w:val="center"/>
            <w:hideMark/>
          </w:tcPr>
          <w:p w14:paraId="537A43FA" w14:textId="77777777" w:rsidR="009021F1" w:rsidRPr="00114059" w:rsidRDefault="009021F1" w:rsidP="00E637E3">
            <w:pPr>
              <w:spacing w:line="240" w:lineRule="auto"/>
              <w:jc w:val="center"/>
              <w:rPr>
                <w:rFonts w:cs="Arial"/>
                <w:color w:val="000000"/>
                <w:sz w:val="20"/>
                <w:szCs w:val="20"/>
              </w:rPr>
            </w:pPr>
            <w:r w:rsidRPr="00114059">
              <w:rPr>
                <w:rFonts w:cs="Arial"/>
                <w:color w:val="000000"/>
                <w:sz w:val="20"/>
                <w:szCs w:val="20"/>
              </w:rPr>
              <w:t xml:space="preserve">CGES, EIES/PGES </w:t>
            </w:r>
          </w:p>
        </w:tc>
      </w:tr>
      <w:tr w:rsidR="009021F1" w:rsidRPr="00F91D77" w14:paraId="45E0F93B" w14:textId="77777777" w:rsidTr="00E637E3">
        <w:trPr>
          <w:trHeight w:val="852"/>
        </w:trPr>
        <w:tc>
          <w:tcPr>
            <w:tcW w:w="1700" w:type="dxa"/>
            <w:vMerge/>
            <w:tcBorders>
              <w:top w:val="nil"/>
              <w:left w:val="single" w:sz="4" w:space="0" w:color="auto"/>
              <w:bottom w:val="single" w:sz="4" w:space="0" w:color="auto"/>
              <w:right w:val="single" w:sz="4" w:space="0" w:color="auto"/>
            </w:tcBorders>
            <w:vAlign w:val="center"/>
            <w:hideMark/>
          </w:tcPr>
          <w:p w14:paraId="42AB4E92" w14:textId="77777777" w:rsidR="009021F1" w:rsidRPr="00114059" w:rsidRDefault="009021F1" w:rsidP="00E637E3">
            <w:pPr>
              <w:spacing w:line="240" w:lineRule="auto"/>
              <w:jc w:val="left"/>
              <w:rPr>
                <w:rFonts w:cs="Arial"/>
                <w:color w:val="000000"/>
                <w:sz w:val="20"/>
                <w:szCs w:val="20"/>
              </w:rPr>
            </w:pPr>
          </w:p>
        </w:tc>
        <w:tc>
          <w:tcPr>
            <w:tcW w:w="3260" w:type="dxa"/>
            <w:tcBorders>
              <w:top w:val="nil"/>
              <w:left w:val="nil"/>
              <w:bottom w:val="single" w:sz="4" w:space="0" w:color="auto"/>
              <w:right w:val="single" w:sz="4" w:space="0" w:color="auto"/>
            </w:tcBorders>
            <w:shd w:val="clear" w:color="auto" w:fill="auto"/>
            <w:vAlign w:val="center"/>
            <w:hideMark/>
          </w:tcPr>
          <w:p w14:paraId="40F2173F" w14:textId="77777777" w:rsidR="009021F1" w:rsidRPr="00114059" w:rsidRDefault="009021F1" w:rsidP="00E637E3">
            <w:pPr>
              <w:spacing w:line="240" w:lineRule="auto"/>
              <w:jc w:val="left"/>
              <w:rPr>
                <w:rFonts w:cs="Arial"/>
                <w:color w:val="000000"/>
                <w:sz w:val="20"/>
                <w:szCs w:val="20"/>
              </w:rPr>
            </w:pPr>
            <w:r w:rsidRPr="00114059">
              <w:rPr>
                <w:rFonts w:cs="Arial"/>
                <w:color w:val="000000"/>
                <w:sz w:val="20"/>
                <w:szCs w:val="20"/>
              </w:rPr>
              <w:t>Risque de contamination du COVID-19</w:t>
            </w:r>
          </w:p>
        </w:tc>
        <w:tc>
          <w:tcPr>
            <w:tcW w:w="2480" w:type="dxa"/>
            <w:tcBorders>
              <w:top w:val="nil"/>
              <w:left w:val="nil"/>
              <w:bottom w:val="single" w:sz="4" w:space="0" w:color="auto"/>
              <w:right w:val="single" w:sz="4" w:space="0" w:color="auto"/>
            </w:tcBorders>
            <w:shd w:val="clear" w:color="auto" w:fill="auto"/>
            <w:noWrap/>
            <w:vAlign w:val="center"/>
            <w:hideMark/>
          </w:tcPr>
          <w:p w14:paraId="2272AE6B" w14:textId="77777777" w:rsidR="009021F1" w:rsidRPr="00114059" w:rsidRDefault="009021F1" w:rsidP="00E637E3">
            <w:pPr>
              <w:spacing w:line="240" w:lineRule="auto"/>
              <w:jc w:val="center"/>
              <w:rPr>
                <w:rFonts w:cs="Arial"/>
                <w:color w:val="000000"/>
                <w:sz w:val="20"/>
                <w:szCs w:val="20"/>
              </w:rPr>
            </w:pPr>
            <w:r w:rsidRPr="00114059">
              <w:rPr>
                <w:rFonts w:cs="Arial"/>
                <w:color w:val="000000"/>
                <w:sz w:val="20"/>
                <w:szCs w:val="20"/>
              </w:rPr>
              <w:t>NES n°1 et 4</w:t>
            </w:r>
          </w:p>
        </w:tc>
        <w:tc>
          <w:tcPr>
            <w:tcW w:w="2220" w:type="dxa"/>
            <w:tcBorders>
              <w:top w:val="nil"/>
              <w:left w:val="nil"/>
              <w:bottom w:val="single" w:sz="4" w:space="0" w:color="auto"/>
              <w:right w:val="single" w:sz="4" w:space="0" w:color="auto"/>
            </w:tcBorders>
            <w:shd w:val="clear" w:color="auto" w:fill="auto"/>
            <w:vAlign w:val="center"/>
            <w:hideMark/>
          </w:tcPr>
          <w:p w14:paraId="249A133E" w14:textId="77777777" w:rsidR="009021F1" w:rsidRPr="00114059" w:rsidRDefault="009021F1" w:rsidP="00E637E3">
            <w:pPr>
              <w:spacing w:line="240" w:lineRule="auto"/>
              <w:jc w:val="center"/>
              <w:rPr>
                <w:rFonts w:cs="Arial"/>
                <w:color w:val="000000"/>
                <w:sz w:val="20"/>
                <w:szCs w:val="20"/>
              </w:rPr>
            </w:pPr>
            <w:r w:rsidRPr="00114059">
              <w:rPr>
                <w:rFonts w:cs="Arial"/>
                <w:color w:val="000000"/>
                <w:sz w:val="20"/>
                <w:szCs w:val="20"/>
              </w:rPr>
              <w:t>CGES, EIES/PGES et la Note de bonne pratique de l'IDA</w:t>
            </w:r>
          </w:p>
        </w:tc>
      </w:tr>
      <w:tr w:rsidR="009021F1" w:rsidRPr="00F91D77" w14:paraId="389686BF" w14:textId="77777777" w:rsidTr="00E637E3">
        <w:trPr>
          <w:trHeight w:val="543"/>
        </w:trPr>
        <w:tc>
          <w:tcPr>
            <w:tcW w:w="1700" w:type="dxa"/>
            <w:vMerge/>
            <w:tcBorders>
              <w:top w:val="nil"/>
              <w:left w:val="single" w:sz="4" w:space="0" w:color="auto"/>
              <w:bottom w:val="single" w:sz="4" w:space="0" w:color="auto"/>
              <w:right w:val="single" w:sz="4" w:space="0" w:color="auto"/>
            </w:tcBorders>
            <w:vAlign w:val="center"/>
            <w:hideMark/>
          </w:tcPr>
          <w:p w14:paraId="62C61FC1" w14:textId="77777777" w:rsidR="009021F1" w:rsidRPr="00114059" w:rsidRDefault="009021F1" w:rsidP="00E637E3">
            <w:pPr>
              <w:spacing w:line="240" w:lineRule="auto"/>
              <w:jc w:val="left"/>
              <w:rPr>
                <w:rFonts w:cs="Arial"/>
                <w:color w:val="000000"/>
                <w:sz w:val="20"/>
                <w:szCs w:val="20"/>
              </w:rPr>
            </w:pPr>
          </w:p>
        </w:tc>
        <w:tc>
          <w:tcPr>
            <w:tcW w:w="3260" w:type="dxa"/>
            <w:tcBorders>
              <w:top w:val="nil"/>
              <w:left w:val="nil"/>
              <w:bottom w:val="single" w:sz="4" w:space="0" w:color="auto"/>
              <w:right w:val="single" w:sz="4" w:space="0" w:color="auto"/>
            </w:tcBorders>
            <w:shd w:val="clear" w:color="auto" w:fill="auto"/>
            <w:vAlign w:val="center"/>
            <w:hideMark/>
          </w:tcPr>
          <w:p w14:paraId="65BD085A" w14:textId="77777777" w:rsidR="009021F1" w:rsidRPr="00114059" w:rsidRDefault="009021F1" w:rsidP="00E637E3">
            <w:pPr>
              <w:spacing w:line="240" w:lineRule="auto"/>
              <w:jc w:val="left"/>
              <w:rPr>
                <w:rFonts w:cs="Arial"/>
                <w:color w:val="000000"/>
                <w:sz w:val="20"/>
                <w:szCs w:val="20"/>
              </w:rPr>
            </w:pPr>
            <w:r w:rsidRPr="00114059">
              <w:rPr>
                <w:rFonts w:cs="Arial"/>
                <w:color w:val="000000"/>
                <w:sz w:val="20"/>
                <w:szCs w:val="20"/>
              </w:rPr>
              <w:t>Risque de contamination du virus Ebola</w:t>
            </w:r>
          </w:p>
        </w:tc>
        <w:tc>
          <w:tcPr>
            <w:tcW w:w="2480" w:type="dxa"/>
            <w:tcBorders>
              <w:top w:val="nil"/>
              <w:left w:val="nil"/>
              <w:bottom w:val="single" w:sz="4" w:space="0" w:color="auto"/>
              <w:right w:val="single" w:sz="4" w:space="0" w:color="auto"/>
            </w:tcBorders>
            <w:shd w:val="clear" w:color="auto" w:fill="auto"/>
            <w:noWrap/>
            <w:vAlign w:val="center"/>
            <w:hideMark/>
          </w:tcPr>
          <w:p w14:paraId="1FF64B59" w14:textId="77777777" w:rsidR="009021F1" w:rsidRPr="00114059" w:rsidRDefault="009021F1" w:rsidP="00E637E3">
            <w:pPr>
              <w:spacing w:line="240" w:lineRule="auto"/>
              <w:jc w:val="center"/>
              <w:rPr>
                <w:rFonts w:cs="Arial"/>
                <w:color w:val="000000"/>
                <w:sz w:val="20"/>
                <w:szCs w:val="20"/>
              </w:rPr>
            </w:pPr>
            <w:r w:rsidRPr="00114059">
              <w:rPr>
                <w:rFonts w:cs="Arial"/>
                <w:color w:val="000000"/>
                <w:sz w:val="20"/>
                <w:szCs w:val="20"/>
              </w:rPr>
              <w:t>NES n° 1 et 4</w:t>
            </w:r>
          </w:p>
        </w:tc>
        <w:tc>
          <w:tcPr>
            <w:tcW w:w="2220" w:type="dxa"/>
            <w:tcBorders>
              <w:top w:val="nil"/>
              <w:left w:val="nil"/>
              <w:bottom w:val="single" w:sz="4" w:space="0" w:color="auto"/>
              <w:right w:val="single" w:sz="4" w:space="0" w:color="auto"/>
            </w:tcBorders>
            <w:shd w:val="clear" w:color="auto" w:fill="auto"/>
            <w:vAlign w:val="center"/>
            <w:hideMark/>
          </w:tcPr>
          <w:p w14:paraId="46B56954" w14:textId="77777777" w:rsidR="009021F1" w:rsidRPr="00114059" w:rsidRDefault="009021F1" w:rsidP="00E637E3">
            <w:pPr>
              <w:spacing w:line="240" w:lineRule="auto"/>
              <w:jc w:val="center"/>
              <w:rPr>
                <w:rFonts w:cs="Arial"/>
                <w:color w:val="000000"/>
                <w:sz w:val="20"/>
                <w:szCs w:val="20"/>
              </w:rPr>
            </w:pPr>
            <w:r w:rsidRPr="00114059">
              <w:rPr>
                <w:rFonts w:cs="Arial"/>
                <w:color w:val="000000"/>
                <w:sz w:val="20"/>
                <w:szCs w:val="20"/>
              </w:rPr>
              <w:t>CGES, EIES/PGES et Directive OMS</w:t>
            </w:r>
          </w:p>
        </w:tc>
      </w:tr>
      <w:tr w:rsidR="009021F1" w:rsidRPr="00F91D77" w14:paraId="52DA8FDE" w14:textId="77777777" w:rsidTr="00E637E3">
        <w:trPr>
          <w:trHeight w:val="683"/>
        </w:trPr>
        <w:tc>
          <w:tcPr>
            <w:tcW w:w="1700" w:type="dxa"/>
            <w:vMerge w:val="restart"/>
            <w:tcBorders>
              <w:top w:val="nil"/>
              <w:left w:val="single" w:sz="4" w:space="0" w:color="auto"/>
              <w:bottom w:val="single" w:sz="4" w:space="0" w:color="auto"/>
              <w:right w:val="single" w:sz="4" w:space="0" w:color="auto"/>
            </w:tcBorders>
            <w:shd w:val="clear" w:color="auto" w:fill="auto"/>
            <w:vAlign w:val="center"/>
            <w:hideMark/>
          </w:tcPr>
          <w:p w14:paraId="01BC0EF4" w14:textId="77777777" w:rsidR="009021F1" w:rsidRPr="00114059" w:rsidRDefault="009021F1" w:rsidP="00E637E3">
            <w:pPr>
              <w:spacing w:line="240" w:lineRule="auto"/>
              <w:jc w:val="left"/>
              <w:rPr>
                <w:rFonts w:cs="Arial"/>
                <w:color w:val="000000"/>
                <w:sz w:val="20"/>
                <w:szCs w:val="20"/>
              </w:rPr>
            </w:pPr>
            <w:r w:rsidRPr="00114059">
              <w:rPr>
                <w:rFonts w:cs="Arial"/>
                <w:color w:val="000000"/>
                <w:sz w:val="20"/>
                <w:szCs w:val="20"/>
                <w:lang w:val="en-US"/>
              </w:rPr>
              <w:t>Utilisation du sol</w:t>
            </w:r>
          </w:p>
        </w:tc>
        <w:tc>
          <w:tcPr>
            <w:tcW w:w="3260" w:type="dxa"/>
            <w:tcBorders>
              <w:top w:val="nil"/>
              <w:left w:val="nil"/>
              <w:bottom w:val="single" w:sz="4" w:space="0" w:color="auto"/>
              <w:right w:val="single" w:sz="4" w:space="0" w:color="auto"/>
            </w:tcBorders>
            <w:shd w:val="clear" w:color="auto" w:fill="auto"/>
            <w:vAlign w:val="center"/>
            <w:hideMark/>
          </w:tcPr>
          <w:p w14:paraId="269657A5" w14:textId="77777777" w:rsidR="009021F1" w:rsidRPr="00114059" w:rsidRDefault="009021F1" w:rsidP="00E637E3">
            <w:pPr>
              <w:spacing w:line="240" w:lineRule="auto"/>
              <w:jc w:val="left"/>
              <w:rPr>
                <w:rFonts w:cs="Arial"/>
                <w:color w:val="000000"/>
                <w:sz w:val="20"/>
                <w:szCs w:val="20"/>
              </w:rPr>
            </w:pPr>
            <w:r w:rsidRPr="00114059">
              <w:rPr>
                <w:rFonts w:cs="Arial"/>
                <w:color w:val="000000"/>
                <w:sz w:val="20"/>
                <w:szCs w:val="20"/>
              </w:rPr>
              <w:t>Perte de sols agricoles et de pâturages en zone rurale et périurbaine.</w:t>
            </w:r>
          </w:p>
        </w:tc>
        <w:tc>
          <w:tcPr>
            <w:tcW w:w="2480" w:type="dxa"/>
            <w:vMerge w:val="restart"/>
            <w:tcBorders>
              <w:top w:val="nil"/>
              <w:left w:val="single" w:sz="4" w:space="0" w:color="auto"/>
              <w:bottom w:val="single" w:sz="4" w:space="0" w:color="auto"/>
              <w:right w:val="single" w:sz="4" w:space="0" w:color="auto"/>
            </w:tcBorders>
            <w:shd w:val="clear" w:color="auto" w:fill="auto"/>
            <w:vAlign w:val="center"/>
            <w:hideMark/>
          </w:tcPr>
          <w:p w14:paraId="70AD26D6" w14:textId="77777777" w:rsidR="009021F1" w:rsidRPr="00114059" w:rsidRDefault="009021F1" w:rsidP="00E637E3">
            <w:pPr>
              <w:spacing w:line="240" w:lineRule="auto"/>
              <w:jc w:val="center"/>
              <w:rPr>
                <w:rFonts w:cs="Arial"/>
                <w:color w:val="000000"/>
                <w:sz w:val="20"/>
                <w:szCs w:val="20"/>
              </w:rPr>
            </w:pPr>
            <w:r w:rsidRPr="00114059">
              <w:rPr>
                <w:rFonts w:cs="Arial"/>
                <w:color w:val="000000"/>
                <w:sz w:val="20"/>
                <w:szCs w:val="20"/>
              </w:rPr>
              <w:t>NES n° 1 et 5</w:t>
            </w:r>
          </w:p>
        </w:tc>
        <w:tc>
          <w:tcPr>
            <w:tcW w:w="22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DB7E50A" w14:textId="77777777" w:rsidR="009021F1" w:rsidRPr="00114059" w:rsidRDefault="009021F1" w:rsidP="00E637E3">
            <w:pPr>
              <w:spacing w:line="240" w:lineRule="auto"/>
              <w:jc w:val="center"/>
              <w:rPr>
                <w:rFonts w:cs="Arial"/>
                <w:color w:val="000000"/>
                <w:sz w:val="20"/>
                <w:szCs w:val="20"/>
              </w:rPr>
            </w:pPr>
            <w:r w:rsidRPr="00114059">
              <w:rPr>
                <w:rFonts w:cs="Arial"/>
                <w:color w:val="000000"/>
                <w:sz w:val="20"/>
                <w:szCs w:val="20"/>
              </w:rPr>
              <w:t>CPR et PAR</w:t>
            </w:r>
          </w:p>
        </w:tc>
      </w:tr>
      <w:tr w:rsidR="009021F1" w:rsidRPr="00F91D77" w14:paraId="435FD45D" w14:textId="77777777" w:rsidTr="00E637E3">
        <w:trPr>
          <w:trHeight w:val="409"/>
        </w:trPr>
        <w:tc>
          <w:tcPr>
            <w:tcW w:w="1700" w:type="dxa"/>
            <w:vMerge/>
            <w:tcBorders>
              <w:top w:val="nil"/>
              <w:left w:val="single" w:sz="4" w:space="0" w:color="auto"/>
              <w:bottom w:val="single" w:sz="4" w:space="0" w:color="auto"/>
              <w:right w:val="single" w:sz="4" w:space="0" w:color="auto"/>
            </w:tcBorders>
            <w:vAlign w:val="center"/>
            <w:hideMark/>
          </w:tcPr>
          <w:p w14:paraId="25CE0C52" w14:textId="77777777" w:rsidR="009021F1" w:rsidRPr="00114059" w:rsidRDefault="009021F1" w:rsidP="00E637E3">
            <w:pPr>
              <w:spacing w:line="240" w:lineRule="auto"/>
              <w:jc w:val="left"/>
              <w:rPr>
                <w:rFonts w:cs="Arial"/>
                <w:color w:val="000000"/>
                <w:sz w:val="20"/>
                <w:szCs w:val="20"/>
              </w:rPr>
            </w:pPr>
          </w:p>
        </w:tc>
        <w:tc>
          <w:tcPr>
            <w:tcW w:w="3260" w:type="dxa"/>
            <w:tcBorders>
              <w:top w:val="nil"/>
              <w:left w:val="nil"/>
              <w:bottom w:val="single" w:sz="4" w:space="0" w:color="auto"/>
              <w:right w:val="single" w:sz="4" w:space="0" w:color="auto"/>
            </w:tcBorders>
            <w:shd w:val="clear" w:color="auto" w:fill="auto"/>
            <w:vAlign w:val="center"/>
            <w:hideMark/>
          </w:tcPr>
          <w:p w14:paraId="6CBB6301" w14:textId="77777777" w:rsidR="009021F1" w:rsidRPr="00114059" w:rsidRDefault="009021F1" w:rsidP="00E637E3">
            <w:pPr>
              <w:spacing w:line="240" w:lineRule="auto"/>
              <w:jc w:val="left"/>
              <w:rPr>
                <w:rFonts w:cs="Arial"/>
                <w:color w:val="000000"/>
                <w:sz w:val="20"/>
                <w:szCs w:val="20"/>
              </w:rPr>
            </w:pPr>
            <w:r w:rsidRPr="00114059">
              <w:rPr>
                <w:rFonts w:cs="Arial"/>
                <w:color w:val="000000"/>
                <w:sz w:val="20"/>
                <w:szCs w:val="20"/>
              </w:rPr>
              <w:t>Perte de revenus pour les activités commerciales.</w:t>
            </w:r>
          </w:p>
        </w:tc>
        <w:tc>
          <w:tcPr>
            <w:tcW w:w="2480" w:type="dxa"/>
            <w:vMerge/>
            <w:tcBorders>
              <w:top w:val="nil"/>
              <w:left w:val="single" w:sz="4" w:space="0" w:color="auto"/>
              <w:bottom w:val="single" w:sz="4" w:space="0" w:color="auto"/>
              <w:right w:val="single" w:sz="4" w:space="0" w:color="auto"/>
            </w:tcBorders>
            <w:vAlign w:val="center"/>
            <w:hideMark/>
          </w:tcPr>
          <w:p w14:paraId="6BD2068F" w14:textId="77777777" w:rsidR="009021F1" w:rsidRPr="00114059" w:rsidRDefault="009021F1" w:rsidP="00E637E3">
            <w:pPr>
              <w:spacing w:line="240" w:lineRule="auto"/>
              <w:jc w:val="left"/>
              <w:rPr>
                <w:rFonts w:cs="Arial"/>
                <w:color w:val="000000"/>
                <w:sz w:val="20"/>
                <w:szCs w:val="20"/>
              </w:rPr>
            </w:pPr>
          </w:p>
        </w:tc>
        <w:tc>
          <w:tcPr>
            <w:tcW w:w="2220" w:type="dxa"/>
            <w:vMerge/>
            <w:tcBorders>
              <w:top w:val="nil"/>
              <w:left w:val="single" w:sz="4" w:space="0" w:color="auto"/>
              <w:bottom w:val="single" w:sz="4" w:space="0" w:color="auto"/>
              <w:right w:val="single" w:sz="4" w:space="0" w:color="auto"/>
            </w:tcBorders>
            <w:vAlign w:val="center"/>
            <w:hideMark/>
          </w:tcPr>
          <w:p w14:paraId="73529D0C" w14:textId="77777777" w:rsidR="009021F1" w:rsidRPr="00114059" w:rsidRDefault="009021F1" w:rsidP="00E637E3">
            <w:pPr>
              <w:spacing w:line="240" w:lineRule="auto"/>
              <w:jc w:val="left"/>
              <w:rPr>
                <w:rFonts w:cs="Arial"/>
                <w:color w:val="000000"/>
                <w:sz w:val="20"/>
                <w:szCs w:val="20"/>
              </w:rPr>
            </w:pPr>
          </w:p>
        </w:tc>
      </w:tr>
      <w:tr w:rsidR="009021F1" w:rsidRPr="00F91D77" w14:paraId="5607142F" w14:textId="77777777" w:rsidTr="00E637E3">
        <w:trPr>
          <w:trHeight w:val="687"/>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4E62C921" w14:textId="77777777" w:rsidR="009021F1" w:rsidRPr="00114059" w:rsidRDefault="009021F1" w:rsidP="00E637E3">
            <w:pPr>
              <w:spacing w:line="240" w:lineRule="auto"/>
              <w:jc w:val="left"/>
              <w:rPr>
                <w:rFonts w:cs="Arial"/>
                <w:color w:val="000000"/>
                <w:sz w:val="20"/>
                <w:szCs w:val="20"/>
              </w:rPr>
            </w:pPr>
            <w:r w:rsidRPr="00114059">
              <w:rPr>
                <w:rFonts w:cs="Arial"/>
                <w:color w:val="000000"/>
                <w:sz w:val="20"/>
                <w:szCs w:val="20"/>
              </w:rPr>
              <w:t>Aspect financier</w:t>
            </w:r>
          </w:p>
        </w:tc>
        <w:tc>
          <w:tcPr>
            <w:tcW w:w="3260" w:type="dxa"/>
            <w:tcBorders>
              <w:top w:val="nil"/>
              <w:left w:val="nil"/>
              <w:bottom w:val="single" w:sz="4" w:space="0" w:color="auto"/>
              <w:right w:val="single" w:sz="4" w:space="0" w:color="auto"/>
            </w:tcBorders>
            <w:shd w:val="clear" w:color="auto" w:fill="auto"/>
            <w:vAlign w:val="center"/>
            <w:hideMark/>
          </w:tcPr>
          <w:p w14:paraId="3ECACC8F" w14:textId="77777777" w:rsidR="009021F1" w:rsidRPr="00114059" w:rsidRDefault="009021F1" w:rsidP="00E637E3">
            <w:pPr>
              <w:spacing w:line="240" w:lineRule="auto"/>
              <w:jc w:val="left"/>
              <w:rPr>
                <w:rFonts w:cs="Arial"/>
                <w:color w:val="000000"/>
                <w:sz w:val="20"/>
                <w:szCs w:val="20"/>
              </w:rPr>
            </w:pPr>
            <w:r w:rsidRPr="00114059">
              <w:rPr>
                <w:rFonts w:cs="Arial"/>
                <w:color w:val="000000"/>
                <w:sz w:val="20"/>
                <w:szCs w:val="20"/>
              </w:rPr>
              <w:t>Risque d'absence des IF dans les zones concernées par le Programmes</w:t>
            </w:r>
          </w:p>
        </w:tc>
        <w:tc>
          <w:tcPr>
            <w:tcW w:w="2480" w:type="dxa"/>
            <w:tcBorders>
              <w:top w:val="nil"/>
              <w:left w:val="nil"/>
              <w:bottom w:val="single" w:sz="4" w:space="0" w:color="auto"/>
              <w:right w:val="single" w:sz="4" w:space="0" w:color="auto"/>
            </w:tcBorders>
            <w:shd w:val="clear" w:color="auto" w:fill="auto"/>
            <w:noWrap/>
            <w:vAlign w:val="center"/>
            <w:hideMark/>
          </w:tcPr>
          <w:p w14:paraId="05164E10" w14:textId="77777777" w:rsidR="009021F1" w:rsidRPr="00114059" w:rsidRDefault="009021F1" w:rsidP="00E637E3">
            <w:pPr>
              <w:spacing w:line="240" w:lineRule="auto"/>
              <w:jc w:val="center"/>
              <w:rPr>
                <w:rFonts w:cs="Arial"/>
                <w:color w:val="000000"/>
                <w:sz w:val="20"/>
                <w:szCs w:val="20"/>
              </w:rPr>
            </w:pPr>
            <w:r w:rsidRPr="00114059">
              <w:rPr>
                <w:rFonts w:cs="Arial"/>
                <w:color w:val="000000"/>
                <w:sz w:val="20"/>
                <w:szCs w:val="20"/>
              </w:rPr>
              <w:t>NES n° 1 et 9</w:t>
            </w:r>
          </w:p>
        </w:tc>
        <w:tc>
          <w:tcPr>
            <w:tcW w:w="2220" w:type="dxa"/>
            <w:tcBorders>
              <w:top w:val="nil"/>
              <w:left w:val="nil"/>
              <w:bottom w:val="single" w:sz="4" w:space="0" w:color="auto"/>
              <w:right w:val="single" w:sz="4" w:space="0" w:color="auto"/>
            </w:tcBorders>
            <w:shd w:val="clear" w:color="auto" w:fill="auto"/>
            <w:noWrap/>
            <w:vAlign w:val="center"/>
            <w:hideMark/>
          </w:tcPr>
          <w:p w14:paraId="43BD738F" w14:textId="77777777" w:rsidR="009021F1" w:rsidRPr="00114059" w:rsidRDefault="009021F1" w:rsidP="00E637E3">
            <w:pPr>
              <w:spacing w:line="240" w:lineRule="auto"/>
              <w:jc w:val="center"/>
              <w:rPr>
                <w:rFonts w:cs="Arial"/>
                <w:color w:val="000000"/>
                <w:sz w:val="20"/>
                <w:szCs w:val="20"/>
              </w:rPr>
            </w:pPr>
            <w:r w:rsidRPr="00114059">
              <w:rPr>
                <w:rFonts w:cs="Arial"/>
                <w:color w:val="000000"/>
                <w:sz w:val="20"/>
                <w:szCs w:val="20"/>
              </w:rPr>
              <w:t>CGES, EIES/PGES</w:t>
            </w:r>
          </w:p>
        </w:tc>
      </w:tr>
      <w:tr w:rsidR="009021F1" w:rsidRPr="00F91D77" w14:paraId="64CFCF46" w14:textId="77777777" w:rsidTr="00E637E3">
        <w:trPr>
          <w:trHeight w:val="541"/>
        </w:trPr>
        <w:tc>
          <w:tcPr>
            <w:tcW w:w="1700" w:type="dxa"/>
            <w:tcBorders>
              <w:top w:val="nil"/>
              <w:left w:val="single" w:sz="4" w:space="0" w:color="auto"/>
              <w:bottom w:val="single" w:sz="4" w:space="0" w:color="auto"/>
              <w:right w:val="single" w:sz="4" w:space="0" w:color="auto"/>
            </w:tcBorders>
            <w:shd w:val="clear" w:color="auto" w:fill="auto"/>
            <w:vAlign w:val="center"/>
          </w:tcPr>
          <w:p w14:paraId="689E23BE" w14:textId="77777777" w:rsidR="009021F1" w:rsidRPr="00114059" w:rsidRDefault="009021F1" w:rsidP="00E637E3">
            <w:pPr>
              <w:spacing w:line="240" w:lineRule="auto"/>
              <w:jc w:val="left"/>
              <w:rPr>
                <w:rFonts w:cs="Arial"/>
                <w:color w:val="000000"/>
                <w:sz w:val="20"/>
                <w:szCs w:val="20"/>
              </w:rPr>
            </w:pPr>
            <w:r w:rsidRPr="00114059">
              <w:rPr>
                <w:rFonts w:cs="Arial"/>
                <w:color w:val="000000"/>
                <w:sz w:val="20"/>
                <w:szCs w:val="20"/>
                <w:lang w:val="en-US"/>
              </w:rPr>
              <w:t>Aspect culturel</w:t>
            </w:r>
          </w:p>
        </w:tc>
        <w:tc>
          <w:tcPr>
            <w:tcW w:w="3260" w:type="dxa"/>
            <w:tcBorders>
              <w:top w:val="nil"/>
              <w:left w:val="nil"/>
              <w:bottom w:val="single" w:sz="4" w:space="0" w:color="auto"/>
              <w:right w:val="single" w:sz="4" w:space="0" w:color="auto"/>
            </w:tcBorders>
            <w:shd w:val="clear" w:color="auto" w:fill="auto"/>
            <w:vAlign w:val="center"/>
          </w:tcPr>
          <w:p w14:paraId="15CE139B" w14:textId="77777777" w:rsidR="009021F1" w:rsidRPr="00114059" w:rsidRDefault="009021F1" w:rsidP="00E637E3">
            <w:pPr>
              <w:spacing w:line="240" w:lineRule="auto"/>
              <w:jc w:val="left"/>
              <w:rPr>
                <w:rFonts w:cs="Arial"/>
                <w:color w:val="000000"/>
                <w:sz w:val="20"/>
                <w:szCs w:val="20"/>
              </w:rPr>
            </w:pPr>
            <w:r w:rsidRPr="00114059">
              <w:rPr>
                <w:rFonts w:cs="Arial"/>
                <w:color w:val="000000"/>
                <w:sz w:val="20"/>
                <w:szCs w:val="20"/>
              </w:rPr>
              <w:t>Risques de dégradation de vestiges culturels</w:t>
            </w:r>
          </w:p>
        </w:tc>
        <w:tc>
          <w:tcPr>
            <w:tcW w:w="2480" w:type="dxa"/>
            <w:tcBorders>
              <w:top w:val="nil"/>
              <w:left w:val="nil"/>
              <w:bottom w:val="single" w:sz="4" w:space="0" w:color="auto"/>
              <w:right w:val="single" w:sz="4" w:space="0" w:color="auto"/>
            </w:tcBorders>
            <w:shd w:val="clear" w:color="auto" w:fill="auto"/>
            <w:noWrap/>
            <w:vAlign w:val="center"/>
          </w:tcPr>
          <w:p w14:paraId="1DD2E426" w14:textId="77777777" w:rsidR="009021F1" w:rsidRPr="00114059" w:rsidRDefault="009021F1" w:rsidP="00E637E3">
            <w:pPr>
              <w:spacing w:line="240" w:lineRule="auto"/>
              <w:jc w:val="center"/>
              <w:rPr>
                <w:rFonts w:cs="Arial"/>
                <w:color w:val="000000"/>
                <w:sz w:val="20"/>
                <w:szCs w:val="20"/>
              </w:rPr>
            </w:pPr>
            <w:r w:rsidRPr="00114059">
              <w:rPr>
                <w:rFonts w:cs="Arial"/>
                <w:color w:val="000000"/>
                <w:sz w:val="20"/>
                <w:szCs w:val="20"/>
              </w:rPr>
              <w:t>NES n° 1, 8 et 10</w:t>
            </w:r>
          </w:p>
        </w:tc>
        <w:tc>
          <w:tcPr>
            <w:tcW w:w="2220" w:type="dxa"/>
            <w:tcBorders>
              <w:top w:val="nil"/>
              <w:left w:val="nil"/>
              <w:bottom w:val="single" w:sz="4" w:space="0" w:color="auto"/>
              <w:right w:val="single" w:sz="4" w:space="0" w:color="auto"/>
            </w:tcBorders>
            <w:shd w:val="clear" w:color="auto" w:fill="auto"/>
            <w:noWrap/>
            <w:vAlign w:val="center"/>
          </w:tcPr>
          <w:p w14:paraId="3E873A2E" w14:textId="77777777" w:rsidR="009021F1" w:rsidRPr="00114059" w:rsidRDefault="009021F1" w:rsidP="00E637E3">
            <w:pPr>
              <w:spacing w:line="240" w:lineRule="auto"/>
              <w:jc w:val="center"/>
              <w:rPr>
                <w:rFonts w:cs="Arial"/>
                <w:color w:val="000000"/>
                <w:sz w:val="20"/>
                <w:szCs w:val="20"/>
              </w:rPr>
            </w:pPr>
            <w:r w:rsidRPr="00114059">
              <w:rPr>
                <w:rFonts w:cs="Arial"/>
                <w:color w:val="000000"/>
                <w:sz w:val="20"/>
                <w:szCs w:val="20"/>
              </w:rPr>
              <w:t>CGES, EIES/PGES</w:t>
            </w:r>
          </w:p>
        </w:tc>
      </w:tr>
    </w:tbl>
    <w:p w14:paraId="134FA519" w14:textId="77777777" w:rsidR="009021F1" w:rsidRPr="00114059" w:rsidRDefault="009021F1" w:rsidP="009021F1">
      <w:pPr>
        <w:tabs>
          <w:tab w:val="left" w:pos="0"/>
        </w:tabs>
        <w:rPr>
          <w:rFonts w:cs="Arial"/>
          <w:color w:val="FF0000"/>
          <w:szCs w:val="21"/>
        </w:rPr>
      </w:pPr>
    </w:p>
    <w:p w14:paraId="717D5C70" w14:textId="77777777" w:rsidR="009021F1" w:rsidRPr="00114059" w:rsidRDefault="009021F1" w:rsidP="009021F1">
      <w:pPr>
        <w:pStyle w:val="Titre2"/>
        <w:numPr>
          <w:ilvl w:val="2"/>
          <w:numId w:val="4"/>
        </w:numPr>
        <w:ind w:left="1560" w:hanging="709"/>
        <w:rPr>
          <w:rFonts w:cs="Arial"/>
          <w:i/>
          <w:color w:val="000000"/>
          <w:szCs w:val="21"/>
        </w:rPr>
      </w:pPr>
      <w:bookmarkStart w:id="397" w:name="_Toc90471503"/>
      <w:r w:rsidRPr="00114059">
        <w:rPr>
          <w:rFonts w:cs="Arial"/>
          <w:i/>
          <w:color w:val="000000"/>
          <w:szCs w:val="21"/>
        </w:rPr>
        <w:t>Synthèse des impacts environnementaux et sociaux négatifs potentiels</w:t>
      </w:r>
      <w:bookmarkEnd w:id="397"/>
    </w:p>
    <w:p w14:paraId="715022E8" w14:textId="77777777" w:rsidR="009021F1" w:rsidRPr="00114059" w:rsidRDefault="009021F1" w:rsidP="009021F1">
      <w:pPr>
        <w:rPr>
          <w:rFonts w:cs="Arial"/>
          <w:color w:val="000000"/>
          <w:szCs w:val="21"/>
        </w:rPr>
      </w:pPr>
    </w:p>
    <w:p w14:paraId="2A57FF9D" w14:textId="77777777" w:rsidR="009021F1" w:rsidRPr="00114059" w:rsidRDefault="009021F1" w:rsidP="009021F1">
      <w:pPr>
        <w:rPr>
          <w:rFonts w:cs="Arial"/>
          <w:color w:val="000000"/>
          <w:szCs w:val="21"/>
        </w:rPr>
      </w:pPr>
      <w:r w:rsidRPr="00114059">
        <w:rPr>
          <w:rFonts w:cs="Arial"/>
          <w:color w:val="000000"/>
          <w:szCs w:val="21"/>
        </w:rPr>
        <w:t xml:space="preserve">La présente section comprend : </w:t>
      </w:r>
      <w:r w:rsidRPr="00114059">
        <w:rPr>
          <w:rFonts w:cs="Arial"/>
          <w:i/>
          <w:color w:val="000000"/>
          <w:szCs w:val="21"/>
        </w:rPr>
        <w:t>(i)</w:t>
      </w:r>
      <w:r w:rsidRPr="00114059">
        <w:rPr>
          <w:rFonts w:cs="Arial"/>
          <w:color w:val="000000"/>
          <w:szCs w:val="21"/>
        </w:rPr>
        <w:t xml:space="preserve"> des listes des impacts négatifs des travaux d’aménagement des routes rurales, des marchés communautaires, abattoirs et que des travaux irrigation ; </w:t>
      </w:r>
      <w:r w:rsidRPr="00114059">
        <w:rPr>
          <w:rFonts w:cs="Arial"/>
          <w:i/>
          <w:color w:val="000000"/>
          <w:szCs w:val="21"/>
        </w:rPr>
        <w:t>(ii)</w:t>
      </w:r>
      <w:r w:rsidRPr="00114059">
        <w:rPr>
          <w:rFonts w:cs="Arial"/>
          <w:color w:val="000000"/>
          <w:szCs w:val="21"/>
        </w:rPr>
        <w:t xml:space="preserve"> des listes de simples mesures d’atténuation pour éviter ou réduire les impacts négatifs, mais aussi </w:t>
      </w:r>
      <w:r w:rsidRPr="00114059">
        <w:rPr>
          <w:rFonts w:cs="Arial"/>
          <w:i/>
          <w:color w:val="000000"/>
          <w:szCs w:val="21"/>
        </w:rPr>
        <w:t>(iii)</w:t>
      </w:r>
      <w:r w:rsidRPr="00114059">
        <w:rPr>
          <w:rFonts w:cs="Arial"/>
          <w:color w:val="000000"/>
          <w:szCs w:val="21"/>
        </w:rPr>
        <w:t xml:space="preserve"> de bonification des impacts positifs potentiels lors de la mise en œuvre des sous-projets du PNDA ; </w:t>
      </w:r>
      <w:r w:rsidRPr="00114059">
        <w:rPr>
          <w:rFonts w:cs="Arial"/>
          <w:i/>
          <w:color w:val="000000"/>
          <w:szCs w:val="21"/>
        </w:rPr>
        <w:t>(iv)</w:t>
      </w:r>
      <w:r w:rsidRPr="00114059">
        <w:rPr>
          <w:rFonts w:cs="Arial"/>
          <w:color w:val="000000"/>
          <w:szCs w:val="21"/>
        </w:rPr>
        <w:t xml:space="preserve"> des Clauses environnementales et sociales à intégrer lors des travaux (voir tableaux </w:t>
      </w:r>
      <w:r>
        <w:rPr>
          <w:rFonts w:cs="Arial"/>
          <w:color w:val="000000"/>
          <w:szCs w:val="21"/>
        </w:rPr>
        <w:t>27</w:t>
      </w:r>
      <w:r w:rsidRPr="00114059">
        <w:rPr>
          <w:rFonts w:cs="Arial"/>
          <w:color w:val="000000"/>
          <w:szCs w:val="21"/>
        </w:rPr>
        <w:t xml:space="preserve"> à </w:t>
      </w:r>
      <w:r>
        <w:rPr>
          <w:rFonts w:cs="Arial"/>
          <w:color w:val="000000"/>
          <w:szCs w:val="21"/>
        </w:rPr>
        <w:t>30</w:t>
      </w:r>
      <w:r w:rsidRPr="00114059">
        <w:rPr>
          <w:rFonts w:cs="Arial"/>
          <w:color w:val="000000"/>
          <w:szCs w:val="21"/>
        </w:rPr>
        <w:t xml:space="preserve"> ci-dessous).</w:t>
      </w:r>
    </w:p>
    <w:p w14:paraId="0CF60214" w14:textId="77777777" w:rsidR="009021F1" w:rsidRPr="00114059" w:rsidRDefault="009021F1" w:rsidP="009021F1">
      <w:pPr>
        <w:spacing w:line="240" w:lineRule="auto"/>
        <w:jc w:val="left"/>
        <w:rPr>
          <w:rFonts w:cs="Arial"/>
          <w:szCs w:val="21"/>
        </w:rPr>
      </w:pPr>
    </w:p>
    <w:p w14:paraId="54BA7D26" w14:textId="77777777" w:rsidR="009021F1" w:rsidRPr="00114059" w:rsidRDefault="009021F1" w:rsidP="009021F1">
      <w:pPr>
        <w:spacing w:line="240" w:lineRule="auto"/>
        <w:jc w:val="left"/>
        <w:rPr>
          <w:rFonts w:cs="Arial"/>
          <w:color w:val="000000"/>
          <w:szCs w:val="21"/>
        </w:rPr>
      </w:pPr>
      <w:r w:rsidRPr="00114059">
        <w:rPr>
          <w:rFonts w:cs="Arial"/>
          <w:szCs w:val="21"/>
        </w:rPr>
        <w:t xml:space="preserve">Tableau </w:t>
      </w:r>
      <w:r w:rsidRPr="00114059">
        <w:rPr>
          <w:rFonts w:cs="Arial"/>
          <w:szCs w:val="21"/>
        </w:rPr>
        <w:fldChar w:fldCharType="begin"/>
      </w:r>
      <w:r w:rsidRPr="00114059">
        <w:rPr>
          <w:rFonts w:cs="Arial"/>
          <w:szCs w:val="21"/>
        </w:rPr>
        <w:instrText xml:space="preserve"> SEQ Tableau \* ARABIC </w:instrText>
      </w:r>
      <w:r w:rsidRPr="00114059">
        <w:rPr>
          <w:rFonts w:cs="Arial"/>
          <w:szCs w:val="21"/>
        </w:rPr>
        <w:fldChar w:fldCharType="separate"/>
      </w:r>
      <w:r>
        <w:rPr>
          <w:rFonts w:cs="Arial"/>
          <w:noProof/>
          <w:szCs w:val="21"/>
        </w:rPr>
        <w:t>27</w:t>
      </w:r>
      <w:r w:rsidRPr="00114059">
        <w:rPr>
          <w:rFonts w:cs="Arial"/>
          <w:szCs w:val="21"/>
        </w:rPr>
        <w:fldChar w:fldCharType="end"/>
      </w:r>
      <w:r w:rsidRPr="00114059">
        <w:rPr>
          <w:rFonts w:cs="Arial"/>
          <w:szCs w:val="21"/>
        </w:rPr>
        <w:t xml:space="preserve">. </w:t>
      </w:r>
      <w:r w:rsidRPr="00114059">
        <w:rPr>
          <w:rFonts w:cs="Arial"/>
          <w:color w:val="000000"/>
          <w:szCs w:val="21"/>
        </w:rPr>
        <w:t>Impacts négatifs potentiels des activités de soutien direct aux petits exploitants</w:t>
      </w:r>
      <w:r w:rsidRPr="00114059">
        <w:rPr>
          <w:rFonts w:cs="Arial"/>
          <w:bCs/>
          <w:szCs w:val="21"/>
        </w:rPr>
        <w:t> </w:t>
      </w:r>
    </w:p>
    <w:p w14:paraId="11600A60" w14:textId="77777777" w:rsidR="009021F1" w:rsidRPr="00114059" w:rsidRDefault="009021F1" w:rsidP="009021F1">
      <w:pPr>
        <w:rPr>
          <w:rFonts w:cs="Arial"/>
          <w:color w:val="000000"/>
          <w:szCs w:val="21"/>
          <w:lang w:eastAsia="en-US"/>
        </w:rPr>
      </w:pPr>
    </w:p>
    <w:tbl>
      <w:tblPr>
        <w:tblW w:w="9214" w:type="dxa"/>
        <w:tblInd w:w="-5" w:type="dxa"/>
        <w:tblLook w:val="01E0" w:firstRow="1" w:lastRow="1" w:firstColumn="1" w:lastColumn="1" w:noHBand="0" w:noVBand="0"/>
      </w:tblPr>
      <w:tblGrid>
        <w:gridCol w:w="1452"/>
        <w:gridCol w:w="7762"/>
      </w:tblGrid>
      <w:tr w:rsidR="009021F1" w:rsidRPr="00010F6E" w14:paraId="409FC5A0" w14:textId="77777777" w:rsidTr="00E637E3">
        <w:trPr>
          <w:tblHeader/>
        </w:trPr>
        <w:tc>
          <w:tcPr>
            <w:tcW w:w="1452" w:type="dxa"/>
            <w:tcBorders>
              <w:top w:val="single" w:sz="4" w:space="0" w:color="auto"/>
              <w:left w:val="single" w:sz="4" w:space="0" w:color="auto"/>
              <w:bottom w:val="single" w:sz="4" w:space="0" w:color="auto"/>
              <w:right w:val="single" w:sz="4" w:space="0" w:color="auto"/>
            </w:tcBorders>
          </w:tcPr>
          <w:p w14:paraId="2C7ACA1C" w14:textId="77777777" w:rsidR="009021F1" w:rsidRPr="00114059" w:rsidRDefault="009021F1" w:rsidP="00E637E3">
            <w:pPr>
              <w:jc w:val="center"/>
              <w:rPr>
                <w:rFonts w:cs="Arial"/>
                <w:bCs/>
                <w:color w:val="000000"/>
                <w:sz w:val="20"/>
                <w:szCs w:val="20"/>
              </w:rPr>
            </w:pPr>
            <w:r w:rsidRPr="00114059">
              <w:rPr>
                <w:rFonts w:cs="Arial"/>
                <w:bCs/>
                <w:color w:val="000000"/>
                <w:sz w:val="20"/>
                <w:szCs w:val="20"/>
              </w:rPr>
              <w:t>Phase</w:t>
            </w:r>
          </w:p>
        </w:tc>
        <w:tc>
          <w:tcPr>
            <w:tcW w:w="7762" w:type="dxa"/>
            <w:tcBorders>
              <w:top w:val="single" w:sz="4" w:space="0" w:color="auto"/>
              <w:left w:val="single" w:sz="4" w:space="0" w:color="auto"/>
              <w:bottom w:val="single" w:sz="4" w:space="0" w:color="auto"/>
              <w:right w:val="single" w:sz="4" w:space="0" w:color="auto"/>
            </w:tcBorders>
          </w:tcPr>
          <w:p w14:paraId="7DA867B7" w14:textId="77777777" w:rsidR="009021F1" w:rsidRPr="00114059" w:rsidRDefault="009021F1" w:rsidP="00E637E3">
            <w:pPr>
              <w:jc w:val="center"/>
              <w:rPr>
                <w:rFonts w:cs="Arial"/>
                <w:bCs/>
                <w:color w:val="000000"/>
                <w:sz w:val="20"/>
                <w:szCs w:val="20"/>
              </w:rPr>
            </w:pPr>
            <w:r w:rsidRPr="00114059">
              <w:rPr>
                <w:rFonts w:cs="Arial"/>
                <w:bCs/>
                <w:color w:val="000000"/>
                <w:sz w:val="20"/>
                <w:szCs w:val="20"/>
              </w:rPr>
              <w:t>Impacts négatifs</w:t>
            </w:r>
          </w:p>
        </w:tc>
      </w:tr>
      <w:tr w:rsidR="009021F1" w:rsidRPr="00010F6E" w14:paraId="269AAA1C" w14:textId="77777777" w:rsidTr="00E637E3">
        <w:trPr>
          <w:trHeight w:val="1266"/>
        </w:trPr>
        <w:tc>
          <w:tcPr>
            <w:tcW w:w="1452" w:type="dxa"/>
            <w:tcBorders>
              <w:top w:val="single" w:sz="4" w:space="0" w:color="auto"/>
              <w:left w:val="single" w:sz="4" w:space="0" w:color="auto"/>
              <w:bottom w:val="single" w:sz="4" w:space="0" w:color="auto"/>
              <w:right w:val="single" w:sz="4" w:space="0" w:color="auto"/>
            </w:tcBorders>
          </w:tcPr>
          <w:p w14:paraId="4C6D6590" w14:textId="77777777" w:rsidR="009021F1" w:rsidRPr="00114059" w:rsidRDefault="009021F1" w:rsidP="00E637E3">
            <w:pPr>
              <w:rPr>
                <w:rFonts w:cs="Arial"/>
                <w:bCs/>
                <w:color w:val="000000"/>
                <w:sz w:val="20"/>
                <w:szCs w:val="20"/>
              </w:rPr>
            </w:pPr>
          </w:p>
          <w:p w14:paraId="1BDE285F" w14:textId="77777777" w:rsidR="009021F1" w:rsidRPr="00114059" w:rsidRDefault="009021F1" w:rsidP="00E637E3">
            <w:pPr>
              <w:rPr>
                <w:rFonts w:cs="Arial"/>
                <w:bCs/>
                <w:color w:val="000000"/>
                <w:sz w:val="20"/>
                <w:szCs w:val="20"/>
              </w:rPr>
            </w:pPr>
          </w:p>
          <w:p w14:paraId="34BF7CEF" w14:textId="77777777" w:rsidR="009021F1" w:rsidRPr="00114059" w:rsidRDefault="009021F1" w:rsidP="00E637E3">
            <w:pPr>
              <w:rPr>
                <w:rFonts w:cs="Arial"/>
                <w:bCs/>
                <w:color w:val="000000"/>
                <w:sz w:val="20"/>
                <w:szCs w:val="20"/>
              </w:rPr>
            </w:pPr>
          </w:p>
          <w:p w14:paraId="3128AE0C" w14:textId="77777777" w:rsidR="009021F1" w:rsidRPr="00114059" w:rsidRDefault="009021F1" w:rsidP="00E637E3">
            <w:pPr>
              <w:rPr>
                <w:rFonts w:cs="Arial"/>
                <w:bCs/>
                <w:color w:val="000000"/>
                <w:sz w:val="20"/>
                <w:szCs w:val="20"/>
              </w:rPr>
            </w:pPr>
          </w:p>
          <w:p w14:paraId="00A9D84E" w14:textId="77777777" w:rsidR="009021F1" w:rsidRPr="00114059" w:rsidRDefault="009021F1" w:rsidP="00E637E3">
            <w:pPr>
              <w:rPr>
                <w:rFonts w:cs="Arial"/>
                <w:bCs/>
                <w:color w:val="000000"/>
                <w:sz w:val="20"/>
                <w:szCs w:val="20"/>
              </w:rPr>
            </w:pPr>
          </w:p>
          <w:p w14:paraId="0EDBE8ED" w14:textId="77777777" w:rsidR="009021F1" w:rsidRPr="00114059" w:rsidRDefault="009021F1" w:rsidP="00E637E3">
            <w:pPr>
              <w:rPr>
                <w:rFonts w:cs="Arial"/>
                <w:bCs/>
                <w:color w:val="000000"/>
                <w:sz w:val="20"/>
                <w:szCs w:val="20"/>
              </w:rPr>
            </w:pPr>
          </w:p>
          <w:p w14:paraId="2583959B" w14:textId="77777777" w:rsidR="009021F1" w:rsidRPr="00114059" w:rsidRDefault="009021F1" w:rsidP="00E637E3">
            <w:pPr>
              <w:rPr>
                <w:rFonts w:cs="Arial"/>
                <w:bCs/>
                <w:color w:val="000000"/>
                <w:sz w:val="20"/>
                <w:szCs w:val="20"/>
              </w:rPr>
            </w:pPr>
          </w:p>
          <w:p w14:paraId="440F218E" w14:textId="77777777" w:rsidR="009021F1" w:rsidRPr="00114059" w:rsidRDefault="009021F1" w:rsidP="00E637E3">
            <w:pPr>
              <w:rPr>
                <w:rFonts w:cs="Arial"/>
                <w:bCs/>
                <w:color w:val="000000"/>
                <w:sz w:val="20"/>
                <w:szCs w:val="20"/>
              </w:rPr>
            </w:pPr>
          </w:p>
          <w:p w14:paraId="1387164C" w14:textId="77777777" w:rsidR="009021F1" w:rsidRPr="00114059" w:rsidRDefault="009021F1" w:rsidP="00E637E3">
            <w:pPr>
              <w:rPr>
                <w:rFonts w:cs="Arial"/>
                <w:bCs/>
                <w:color w:val="000000"/>
                <w:sz w:val="20"/>
                <w:szCs w:val="20"/>
              </w:rPr>
            </w:pPr>
          </w:p>
          <w:p w14:paraId="406F2B57" w14:textId="77777777" w:rsidR="009021F1" w:rsidRPr="00114059" w:rsidRDefault="009021F1" w:rsidP="00E637E3">
            <w:pPr>
              <w:rPr>
                <w:rFonts w:cs="Arial"/>
                <w:bCs/>
                <w:color w:val="000000"/>
                <w:sz w:val="20"/>
                <w:szCs w:val="20"/>
              </w:rPr>
            </w:pPr>
          </w:p>
          <w:p w14:paraId="03DE7842" w14:textId="77777777" w:rsidR="009021F1" w:rsidRPr="00114059" w:rsidRDefault="009021F1" w:rsidP="00E637E3">
            <w:pPr>
              <w:rPr>
                <w:rFonts w:cs="Arial"/>
                <w:bCs/>
                <w:color w:val="000000"/>
                <w:sz w:val="20"/>
                <w:szCs w:val="20"/>
              </w:rPr>
            </w:pPr>
          </w:p>
          <w:p w14:paraId="08B832AE" w14:textId="77777777" w:rsidR="009021F1" w:rsidRPr="00114059" w:rsidRDefault="009021F1" w:rsidP="00E637E3">
            <w:pPr>
              <w:rPr>
                <w:rFonts w:cs="Arial"/>
                <w:bCs/>
                <w:color w:val="000000"/>
                <w:sz w:val="20"/>
                <w:szCs w:val="20"/>
              </w:rPr>
            </w:pPr>
          </w:p>
          <w:p w14:paraId="1D7CE141" w14:textId="77777777" w:rsidR="009021F1" w:rsidRPr="00114059" w:rsidRDefault="009021F1" w:rsidP="00E637E3">
            <w:pPr>
              <w:rPr>
                <w:rFonts w:cs="Arial"/>
                <w:bCs/>
                <w:color w:val="000000"/>
                <w:sz w:val="20"/>
                <w:szCs w:val="20"/>
              </w:rPr>
            </w:pPr>
          </w:p>
          <w:p w14:paraId="5ADA3C40" w14:textId="77777777" w:rsidR="009021F1" w:rsidRPr="00114059" w:rsidRDefault="009021F1" w:rsidP="00E637E3">
            <w:pPr>
              <w:rPr>
                <w:rFonts w:cs="Arial"/>
                <w:bCs/>
                <w:color w:val="000000"/>
                <w:sz w:val="20"/>
                <w:szCs w:val="20"/>
              </w:rPr>
            </w:pPr>
          </w:p>
          <w:p w14:paraId="01464197" w14:textId="77777777" w:rsidR="009021F1" w:rsidRPr="00114059" w:rsidRDefault="009021F1" w:rsidP="00E637E3">
            <w:pPr>
              <w:rPr>
                <w:rFonts w:cs="Arial"/>
                <w:bCs/>
                <w:color w:val="000000"/>
                <w:sz w:val="20"/>
                <w:szCs w:val="20"/>
              </w:rPr>
            </w:pPr>
          </w:p>
          <w:p w14:paraId="7F4EE544" w14:textId="77777777" w:rsidR="009021F1" w:rsidRPr="00114059" w:rsidRDefault="009021F1" w:rsidP="00E637E3">
            <w:pPr>
              <w:rPr>
                <w:rFonts w:cs="Arial"/>
                <w:bCs/>
                <w:color w:val="000000"/>
                <w:sz w:val="20"/>
                <w:szCs w:val="20"/>
              </w:rPr>
            </w:pPr>
          </w:p>
          <w:p w14:paraId="10BE5060" w14:textId="77777777" w:rsidR="009021F1" w:rsidRPr="00114059" w:rsidRDefault="009021F1" w:rsidP="00E637E3">
            <w:pPr>
              <w:rPr>
                <w:rFonts w:cs="Arial"/>
                <w:bCs/>
                <w:color w:val="000000"/>
                <w:sz w:val="20"/>
                <w:szCs w:val="20"/>
              </w:rPr>
            </w:pPr>
            <w:r w:rsidRPr="00114059">
              <w:rPr>
                <w:rFonts w:cs="Arial"/>
                <w:bCs/>
                <w:color w:val="000000"/>
                <w:sz w:val="20"/>
                <w:szCs w:val="20"/>
              </w:rPr>
              <w:t>Construction</w:t>
            </w:r>
          </w:p>
        </w:tc>
        <w:tc>
          <w:tcPr>
            <w:tcW w:w="7762" w:type="dxa"/>
            <w:tcBorders>
              <w:top w:val="single" w:sz="4" w:space="0" w:color="auto"/>
              <w:left w:val="single" w:sz="4" w:space="0" w:color="auto"/>
              <w:bottom w:val="single" w:sz="4" w:space="0" w:color="auto"/>
              <w:right w:val="single" w:sz="4" w:space="0" w:color="auto"/>
            </w:tcBorders>
            <w:shd w:val="clear" w:color="auto" w:fill="auto"/>
          </w:tcPr>
          <w:p w14:paraId="701E3CD4"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R</w:t>
            </w:r>
            <w:r w:rsidRPr="00114059" w:rsidDel="00F63752">
              <w:rPr>
                <w:rFonts w:cs="Arial"/>
                <w:color w:val="000000"/>
                <w:sz w:val="20"/>
                <w:szCs w:val="20"/>
              </w:rPr>
              <w:t xml:space="preserve">isque de conflits sociaux entre les ménages sélectionnés et non sélectionnés, les ménages où les femmes sont chef de </w:t>
            </w:r>
            <w:r w:rsidRPr="00114059">
              <w:rPr>
                <w:rFonts w:cs="Arial"/>
                <w:color w:val="000000"/>
                <w:sz w:val="20"/>
                <w:szCs w:val="20"/>
              </w:rPr>
              <w:t>famille</w:t>
            </w:r>
            <w:r w:rsidRPr="00114059" w:rsidDel="00F63752">
              <w:rPr>
                <w:rFonts w:cs="Arial"/>
                <w:color w:val="000000"/>
                <w:sz w:val="20"/>
                <w:szCs w:val="20"/>
              </w:rPr>
              <w:t xml:space="preserve"> et où elles ne le sont pas ; </w:t>
            </w:r>
          </w:p>
          <w:p w14:paraId="53107592"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N</w:t>
            </w:r>
            <w:r w:rsidRPr="00114059" w:rsidDel="00F63752">
              <w:rPr>
                <w:rFonts w:cs="Arial"/>
                <w:color w:val="000000"/>
                <w:sz w:val="20"/>
                <w:szCs w:val="20"/>
              </w:rPr>
              <w:t xml:space="preserve">on-respect des critères de sélection des ménages éligibles ; </w:t>
            </w:r>
          </w:p>
          <w:p w14:paraId="397B32E3"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R</w:t>
            </w:r>
            <w:r w:rsidRPr="00114059" w:rsidDel="00F63752">
              <w:rPr>
                <w:rFonts w:cs="Arial"/>
                <w:color w:val="000000"/>
                <w:sz w:val="20"/>
                <w:szCs w:val="20"/>
              </w:rPr>
              <w:t>isque de la discrimination des populations autochtones lors de la sélection des ménages vulnérables</w:t>
            </w:r>
            <w:r w:rsidRPr="00114059">
              <w:rPr>
                <w:rFonts w:cs="Arial"/>
                <w:color w:val="000000"/>
                <w:sz w:val="20"/>
                <w:szCs w:val="20"/>
              </w:rPr>
              <w:t xml:space="preserve"> ; </w:t>
            </w:r>
          </w:p>
          <w:p w14:paraId="465C07EE"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R</w:t>
            </w:r>
            <w:r w:rsidRPr="00114059" w:rsidDel="00F63752">
              <w:rPr>
                <w:rFonts w:cs="Arial"/>
                <w:color w:val="000000"/>
                <w:sz w:val="20"/>
                <w:szCs w:val="20"/>
              </w:rPr>
              <w:t>isque d’une discrimination liée au sexe. Il en est de même lors de renforcement des capacités, les populations autochtones (y compris les femmes) risquent d’être victimes de n’avoir pas bénéficié de la formation sous prétexte qu’elles n’ont pas étudié</w:t>
            </w:r>
            <w:r w:rsidRPr="00114059">
              <w:rPr>
                <w:rFonts w:cs="Arial"/>
                <w:color w:val="000000"/>
                <w:sz w:val="20"/>
                <w:szCs w:val="20"/>
              </w:rPr>
              <w:t> ;</w:t>
            </w:r>
          </w:p>
          <w:p w14:paraId="53A90AA7"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Risque de perte de végétation et de dégradation des habitats naturels ;</w:t>
            </w:r>
          </w:p>
          <w:p w14:paraId="170A96AA"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Risque de contamination d’eau de surface et souterraine suite à l’utilisation non rationnelle des produits chimiques (engrais et pesticides) ;</w:t>
            </w:r>
          </w:p>
          <w:p w14:paraId="0C42C41D"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Risque de contamination du sol due à l’utilisation non rationnelle des produits chimiques (engrais et pesticides) ;</w:t>
            </w:r>
          </w:p>
          <w:p w14:paraId="786A4388"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Risque des nuisances dues aux odeurs de composts ;</w:t>
            </w:r>
          </w:p>
          <w:p w14:paraId="1FAD9EB0"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 xml:space="preserve">Risque d’érosion due à la mise à nu des terres ; </w:t>
            </w:r>
          </w:p>
          <w:p w14:paraId="62AD772A"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 xml:space="preserve">Risque de la dégradation des points d’eau de surface due à la sédimentation consécutive aux envols de poussières et aux perturbations subies par les sols ; </w:t>
            </w:r>
          </w:p>
          <w:p w14:paraId="33C16D0F"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Risque de découverte des des mines terrestres et restes explosifs de guerre (REG)</w:t>
            </w:r>
          </w:p>
          <w:p w14:paraId="1E81BA62"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 xml:space="preserve">Risque des pertes de biodiversité, d’espaces agricoles et d’habitats fauniques ; </w:t>
            </w:r>
          </w:p>
          <w:p w14:paraId="71D80496"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Risque des conflits sociaux en cas de transformation des systèmes fonciers traditionnels :</w:t>
            </w:r>
          </w:p>
          <w:p w14:paraId="0734D72C"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 xml:space="preserve">Risque de dommage aux autres infrastructures du réseau </w:t>
            </w:r>
          </w:p>
          <w:p w14:paraId="112F5D06"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Risque du détournement de fonds de la caisse villageoise ;</w:t>
            </w:r>
          </w:p>
          <w:p w14:paraId="61105ED5"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Risque de détournement des intrants agricoles ;</w:t>
            </w:r>
          </w:p>
          <w:p w14:paraId="4C12FF4C"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Risque de discrimination dans la distribution des intrants agricoles ;</w:t>
            </w:r>
          </w:p>
          <w:p w14:paraId="0FD8F25C"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Risque de production de déchets biomédicaux liés à la vaccination des bétails ;</w:t>
            </w:r>
          </w:p>
          <w:p w14:paraId="10D66E8B"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Risque production de déchets liés aux produits chimiques et vétérinaires ;</w:t>
            </w:r>
          </w:p>
          <w:p w14:paraId="0D5B8A0A"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Risque de propagation des IST et VIH/SIDA suite à l’augmentation de trafic sur les routes rurales, ainsi que des risques d’EAS/HS ;</w:t>
            </w:r>
          </w:p>
          <w:p w14:paraId="0BCB5650"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Risque de propagation de COVID-19 si les mesures barrières ou de préventions ne sont pas respectées.</w:t>
            </w:r>
          </w:p>
          <w:p w14:paraId="12BAE2C7"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Risque de contamination du virus Ebola ;</w:t>
            </w:r>
          </w:p>
        </w:tc>
      </w:tr>
      <w:tr w:rsidR="009021F1" w:rsidRPr="00010F6E" w14:paraId="34A8576C" w14:textId="77777777" w:rsidTr="00E637E3">
        <w:tc>
          <w:tcPr>
            <w:tcW w:w="1452" w:type="dxa"/>
            <w:tcBorders>
              <w:top w:val="single" w:sz="4" w:space="0" w:color="auto"/>
              <w:left w:val="single" w:sz="4" w:space="0" w:color="auto"/>
              <w:bottom w:val="single" w:sz="4" w:space="0" w:color="auto"/>
              <w:right w:val="single" w:sz="4" w:space="0" w:color="auto"/>
            </w:tcBorders>
          </w:tcPr>
          <w:p w14:paraId="167CC865" w14:textId="77777777" w:rsidR="009021F1" w:rsidRPr="00114059" w:rsidRDefault="009021F1" w:rsidP="00E637E3">
            <w:pPr>
              <w:rPr>
                <w:rFonts w:cs="Arial"/>
                <w:bCs/>
                <w:color w:val="000000"/>
                <w:sz w:val="20"/>
                <w:szCs w:val="20"/>
              </w:rPr>
            </w:pPr>
          </w:p>
          <w:p w14:paraId="4C208476" w14:textId="77777777" w:rsidR="009021F1" w:rsidRPr="00114059" w:rsidRDefault="009021F1" w:rsidP="00E637E3">
            <w:pPr>
              <w:rPr>
                <w:rFonts w:cs="Arial"/>
                <w:bCs/>
                <w:color w:val="000000"/>
                <w:sz w:val="20"/>
                <w:szCs w:val="20"/>
              </w:rPr>
            </w:pPr>
          </w:p>
          <w:p w14:paraId="16867E6F" w14:textId="77777777" w:rsidR="009021F1" w:rsidRPr="00114059" w:rsidRDefault="009021F1" w:rsidP="00E637E3">
            <w:pPr>
              <w:rPr>
                <w:rFonts w:cs="Arial"/>
                <w:bCs/>
                <w:color w:val="000000"/>
                <w:sz w:val="20"/>
                <w:szCs w:val="20"/>
              </w:rPr>
            </w:pPr>
          </w:p>
          <w:p w14:paraId="40AD1A74" w14:textId="77777777" w:rsidR="009021F1" w:rsidRPr="00114059" w:rsidRDefault="009021F1" w:rsidP="00E637E3">
            <w:pPr>
              <w:rPr>
                <w:rFonts w:cs="Arial"/>
                <w:bCs/>
                <w:color w:val="000000"/>
                <w:sz w:val="20"/>
                <w:szCs w:val="20"/>
              </w:rPr>
            </w:pPr>
            <w:r w:rsidRPr="00114059">
              <w:rPr>
                <w:rFonts w:cs="Arial"/>
                <w:bCs/>
                <w:color w:val="000000"/>
                <w:sz w:val="20"/>
                <w:szCs w:val="20"/>
              </w:rPr>
              <w:t>Exploitation</w:t>
            </w:r>
          </w:p>
        </w:tc>
        <w:tc>
          <w:tcPr>
            <w:tcW w:w="7762" w:type="dxa"/>
            <w:tcBorders>
              <w:top w:val="single" w:sz="4" w:space="0" w:color="auto"/>
              <w:left w:val="single" w:sz="4" w:space="0" w:color="auto"/>
              <w:bottom w:val="single" w:sz="4" w:space="0" w:color="auto"/>
              <w:right w:val="single" w:sz="4" w:space="0" w:color="auto"/>
            </w:tcBorders>
          </w:tcPr>
          <w:p w14:paraId="4BDC9B79"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spacing w:val="-2"/>
                <w:sz w:val="20"/>
                <w:szCs w:val="20"/>
              </w:rPr>
              <w:t>R</w:t>
            </w:r>
            <w:r w:rsidRPr="00114059" w:rsidDel="00F63752">
              <w:rPr>
                <w:rFonts w:cs="Arial"/>
                <w:spacing w:val="-2"/>
                <w:sz w:val="20"/>
                <w:szCs w:val="20"/>
              </w:rPr>
              <w:t>isque de non implication des populations autochtones et d’autres groupes vulnérables comme les personnes vivant avec handicap, les vieillards, les jeunes filles/femmes</w:t>
            </w:r>
            <w:r w:rsidRPr="00114059">
              <w:rPr>
                <w:rFonts w:cs="Arial"/>
                <w:spacing w:val="-2"/>
                <w:sz w:val="20"/>
                <w:szCs w:val="20"/>
              </w:rPr>
              <w:t>, etc.</w:t>
            </w:r>
          </w:p>
          <w:p w14:paraId="694547CC"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Augmentation de risques d’EAS/HS du au non-respect de l’égalité des sexes lors de distribution des intrants ;</w:t>
            </w:r>
          </w:p>
          <w:p w14:paraId="21E04AF5"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Risque de propagation de COVID-19 si les mesures barrières ou de préventions ne sont pas respectées.</w:t>
            </w:r>
          </w:p>
        </w:tc>
      </w:tr>
    </w:tbl>
    <w:p w14:paraId="392E8979" w14:textId="77777777" w:rsidR="009021F1" w:rsidRPr="00114059" w:rsidRDefault="009021F1" w:rsidP="009021F1">
      <w:pPr>
        <w:pStyle w:val="Lgende"/>
        <w:ind w:left="1170" w:hanging="1170"/>
        <w:rPr>
          <w:rFonts w:cs="Arial"/>
          <w:color w:val="000000"/>
          <w:szCs w:val="21"/>
        </w:rPr>
      </w:pPr>
    </w:p>
    <w:p w14:paraId="495CCC7C" w14:textId="77777777" w:rsidR="009021F1" w:rsidRPr="00114059" w:rsidRDefault="009021F1" w:rsidP="009021F1">
      <w:pPr>
        <w:pStyle w:val="Lgende"/>
        <w:rPr>
          <w:rFonts w:cs="Arial"/>
          <w:color w:val="000000"/>
          <w:szCs w:val="21"/>
        </w:rPr>
      </w:pPr>
    </w:p>
    <w:p w14:paraId="081D8F9C" w14:textId="77777777" w:rsidR="009021F1" w:rsidRPr="00114059" w:rsidRDefault="009021F1" w:rsidP="009021F1">
      <w:pPr>
        <w:pStyle w:val="Lgende"/>
        <w:ind w:left="1170" w:hanging="1170"/>
        <w:rPr>
          <w:rFonts w:cs="Arial"/>
          <w:color w:val="000000"/>
          <w:szCs w:val="21"/>
        </w:rPr>
      </w:pPr>
      <w:r w:rsidRPr="00114059">
        <w:rPr>
          <w:rFonts w:cs="Arial"/>
          <w:color w:val="000000"/>
          <w:szCs w:val="21"/>
        </w:rPr>
        <w:t xml:space="preserve">Tableau </w:t>
      </w:r>
      <w:r w:rsidRPr="00114059">
        <w:rPr>
          <w:rFonts w:cs="Arial"/>
          <w:color w:val="000000"/>
          <w:szCs w:val="21"/>
        </w:rPr>
        <w:fldChar w:fldCharType="begin"/>
      </w:r>
      <w:r w:rsidRPr="00114059">
        <w:rPr>
          <w:rFonts w:cs="Arial"/>
          <w:color w:val="000000"/>
          <w:szCs w:val="21"/>
        </w:rPr>
        <w:instrText xml:space="preserve"> SEQ Tableau \* ARABIC </w:instrText>
      </w:r>
      <w:r w:rsidRPr="00114059">
        <w:rPr>
          <w:rFonts w:cs="Arial"/>
          <w:color w:val="000000"/>
          <w:szCs w:val="21"/>
        </w:rPr>
        <w:fldChar w:fldCharType="separate"/>
      </w:r>
      <w:r>
        <w:rPr>
          <w:rFonts w:cs="Arial"/>
          <w:noProof/>
          <w:color w:val="000000"/>
          <w:szCs w:val="21"/>
        </w:rPr>
        <w:t>28</w:t>
      </w:r>
      <w:r w:rsidRPr="00114059">
        <w:rPr>
          <w:rFonts w:cs="Arial"/>
          <w:color w:val="000000"/>
          <w:szCs w:val="21"/>
        </w:rPr>
        <w:fldChar w:fldCharType="end"/>
      </w:r>
      <w:r w:rsidRPr="00114059">
        <w:rPr>
          <w:rFonts w:cs="Arial"/>
          <w:color w:val="000000"/>
          <w:szCs w:val="21"/>
        </w:rPr>
        <w:t>.</w:t>
      </w:r>
      <w:r w:rsidRPr="00114059">
        <w:rPr>
          <w:rFonts w:cs="Arial"/>
          <w:bCs w:val="0"/>
          <w:color w:val="000000"/>
          <w:szCs w:val="21"/>
        </w:rPr>
        <w:t xml:space="preserve"> </w:t>
      </w:r>
      <w:r w:rsidRPr="00114059">
        <w:rPr>
          <w:rFonts w:cs="Arial"/>
          <w:color w:val="000000"/>
          <w:szCs w:val="21"/>
        </w:rPr>
        <w:t xml:space="preserve"> Impacts négatifs potentiels des travaux </w:t>
      </w:r>
      <w:r w:rsidRPr="00114059">
        <w:rPr>
          <w:rFonts w:cs="Arial"/>
          <w:szCs w:val="21"/>
        </w:rPr>
        <w:t>d’aménagement des routes rurales</w:t>
      </w:r>
    </w:p>
    <w:p w14:paraId="711B0FFD" w14:textId="77777777" w:rsidR="009021F1" w:rsidRPr="00114059" w:rsidRDefault="009021F1" w:rsidP="009021F1">
      <w:pPr>
        <w:rPr>
          <w:rFonts w:cs="Arial"/>
          <w:color w:val="000000"/>
          <w:szCs w:val="21"/>
          <w:lang w:eastAsia="en-US"/>
        </w:rPr>
      </w:pPr>
    </w:p>
    <w:tbl>
      <w:tblPr>
        <w:tblW w:w="9214" w:type="dxa"/>
        <w:tblInd w:w="-5" w:type="dxa"/>
        <w:tblLook w:val="01E0" w:firstRow="1" w:lastRow="1" w:firstColumn="1" w:lastColumn="1" w:noHBand="0" w:noVBand="0"/>
      </w:tblPr>
      <w:tblGrid>
        <w:gridCol w:w="1452"/>
        <w:gridCol w:w="7762"/>
      </w:tblGrid>
      <w:tr w:rsidR="009021F1" w:rsidRPr="00010F6E" w14:paraId="5AC90744" w14:textId="77777777" w:rsidTr="00E637E3">
        <w:trPr>
          <w:tblHeader/>
        </w:trPr>
        <w:tc>
          <w:tcPr>
            <w:tcW w:w="1452" w:type="dxa"/>
            <w:tcBorders>
              <w:top w:val="single" w:sz="4" w:space="0" w:color="auto"/>
              <w:left w:val="single" w:sz="4" w:space="0" w:color="auto"/>
              <w:bottom w:val="single" w:sz="4" w:space="0" w:color="auto"/>
              <w:right w:val="single" w:sz="4" w:space="0" w:color="auto"/>
            </w:tcBorders>
          </w:tcPr>
          <w:p w14:paraId="36413F38" w14:textId="77777777" w:rsidR="009021F1" w:rsidRPr="00114059" w:rsidRDefault="009021F1" w:rsidP="00E637E3">
            <w:pPr>
              <w:jc w:val="center"/>
              <w:rPr>
                <w:rFonts w:cs="Arial"/>
                <w:bCs/>
                <w:color w:val="000000"/>
                <w:sz w:val="20"/>
                <w:szCs w:val="20"/>
              </w:rPr>
            </w:pPr>
            <w:r w:rsidRPr="00114059">
              <w:rPr>
                <w:rFonts w:cs="Arial"/>
                <w:bCs/>
                <w:color w:val="000000"/>
                <w:sz w:val="20"/>
                <w:szCs w:val="20"/>
              </w:rPr>
              <w:t>Phase</w:t>
            </w:r>
          </w:p>
        </w:tc>
        <w:tc>
          <w:tcPr>
            <w:tcW w:w="7762" w:type="dxa"/>
            <w:tcBorders>
              <w:top w:val="single" w:sz="4" w:space="0" w:color="auto"/>
              <w:left w:val="single" w:sz="4" w:space="0" w:color="auto"/>
              <w:bottom w:val="single" w:sz="4" w:space="0" w:color="auto"/>
              <w:right w:val="single" w:sz="4" w:space="0" w:color="auto"/>
            </w:tcBorders>
          </w:tcPr>
          <w:p w14:paraId="002306D0" w14:textId="77777777" w:rsidR="009021F1" w:rsidRPr="00114059" w:rsidRDefault="009021F1" w:rsidP="00E637E3">
            <w:pPr>
              <w:jc w:val="center"/>
              <w:rPr>
                <w:rFonts w:cs="Arial"/>
                <w:bCs/>
                <w:color w:val="000000"/>
                <w:sz w:val="20"/>
                <w:szCs w:val="20"/>
              </w:rPr>
            </w:pPr>
            <w:r w:rsidRPr="00114059">
              <w:rPr>
                <w:rFonts w:cs="Arial"/>
                <w:bCs/>
                <w:color w:val="000000"/>
                <w:sz w:val="20"/>
                <w:szCs w:val="20"/>
              </w:rPr>
              <w:t>Impacts négatifs</w:t>
            </w:r>
          </w:p>
        </w:tc>
      </w:tr>
      <w:tr w:rsidR="009021F1" w:rsidRPr="00010F6E" w14:paraId="61576A31" w14:textId="77777777" w:rsidTr="00E637E3">
        <w:trPr>
          <w:trHeight w:val="1266"/>
        </w:trPr>
        <w:tc>
          <w:tcPr>
            <w:tcW w:w="1452" w:type="dxa"/>
            <w:tcBorders>
              <w:top w:val="single" w:sz="4" w:space="0" w:color="auto"/>
              <w:left w:val="single" w:sz="4" w:space="0" w:color="auto"/>
              <w:bottom w:val="single" w:sz="4" w:space="0" w:color="auto"/>
              <w:right w:val="single" w:sz="4" w:space="0" w:color="auto"/>
            </w:tcBorders>
          </w:tcPr>
          <w:p w14:paraId="6D28B443" w14:textId="77777777" w:rsidR="009021F1" w:rsidRPr="00114059" w:rsidRDefault="009021F1" w:rsidP="00E637E3">
            <w:pPr>
              <w:rPr>
                <w:rFonts w:cs="Arial"/>
                <w:bCs/>
                <w:color w:val="000000"/>
                <w:sz w:val="20"/>
                <w:szCs w:val="20"/>
              </w:rPr>
            </w:pPr>
          </w:p>
          <w:p w14:paraId="4D986088" w14:textId="77777777" w:rsidR="009021F1" w:rsidRPr="00114059" w:rsidRDefault="009021F1" w:rsidP="00E637E3">
            <w:pPr>
              <w:rPr>
                <w:rFonts w:cs="Arial"/>
                <w:bCs/>
                <w:color w:val="000000"/>
                <w:sz w:val="20"/>
                <w:szCs w:val="20"/>
              </w:rPr>
            </w:pPr>
          </w:p>
          <w:p w14:paraId="69BC145A" w14:textId="77777777" w:rsidR="009021F1" w:rsidRPr="00114059" w:rsidRDefault="009021F1" w:rsidP="00E637E3">
            <w:pPr>
              <w:rPr>
                <w:rFonts w:cs="Arial"/>
                <w:bCs/>
                <w:color w:val="000000"/>
                <w:sz w:val="20"/>
                <w:szCs w:val="20"/>
              </w:rPr>
            </w:pPr>
          </w:p>
          <w:p w14:paraId="6F659D74" w14:textId="77777777" w:rsidR="009021F1" w:rsidRPr="00114059" w:rsidRDefault="009021F1" w:rsidP="00E637E3">
            <w:pPr>
              <w:rPr>
                <w:rFonts w:cs="Arial"/>
                <w:bCs/>
                <w:color w:val="000000"/>
                <w:sz w:val="20"/>
                <w:szCs w:val="20"/>
              </w:rPr>
            </w:pPr>
          </w:p>
          <w:p w14:paraId="28566666" w14:textId="77777777" w:rsidR="009021F1" w:rsidRPr="00114059" w:rsidRDefault="009021F1" w:rsidP="00E637E3">
            <w:pPr>
              <w:rPr>
                <w:rFonts w:cs="Arial"/>
                <w:bCs/>
                <w:color w:val="000000"/>
                <w:sz w:val="20"/>
                <w:szCs w:val="20"/>
              </w:rPr>
            </w:pPr>
          </w:p>
          <w:p w14:paraId="15A32941" w14:textId="77777777" w:rsidR="009021F1" w:rsidRPr="00114059" w:rsidRDefault="009021F1" w:rsidP="00E637E3">
            <w:pPr>
              <w:rPr>
                <w:rFonts w:cs="Arial"/>
                <w:bCs/>
                <w:color w:val="000000"/>
                <w:sz w:val="20"/>
                <w:szCs w:val="20"/>
              </w:rPr>
            </w:pPr>
          </w:p>
          <w:p w14:paraId="2F72600E" w14:textId="77777777" w:rsidR="009021F1" w:rsidRPr="00114059" w:rsidRDefault="009021F1" w:rsidP="00E637E3">
            <w:pPr>
              <w:rPr>
                <w:rFonts w:cs="Arial"/>
                <w:bCs/>
                <w:color w:val="000000"/>
                <w:sz w:val="20"/>
                <w:szCs w:val="20"/>
              </w:rPr>
            </w:pPr>
          </w:p>
          <w:p w14:paraId="51DBD0D4" w14:textId="77777777" w:rsidR="009021F1" w:rsidRPr="00114059" w:rsidRDefault="009021F1" w:rsidP="00E637E3">
            <w:pPr>
              <w:rPr>
                <w:rFonts w:cs="Arial"/>
                <w:bCs/>
                <w:color w:val="000000"/>
                <w:sz w:val="20"/>
                <w:szCs w:val="20"/>
              </w:rPr>
            </w:pPr>
          </w:p>
          <w:p w14:paraId="78E72363" w14:textId="77777777" w:rsidR="009021F1" w:rsidRPr="00114059" w:rsidRDefault="009021F1" w:rsidP="00E637E3">
            <w:pPr>
              <w:rPr>
                <w:rFonts w:cs="Arial"/>
                <w:bCs/>
                <w:color w:val="000000"/>
                <w:sz w:val="20"/>
                <w:szCs w:val="20"/>
              </w:rPr>
            </w:pPr>
          </w:p>
          <w:p w14:paraId="56458D04" w14:textId="77777777" w:rsidR="009021F1" w:rsidRPr="00114059" w:rsidRDefault="009021F1" w:rsidP="00E637E3">
            <w:pPr>
              <w:rPr>
                <w:rFonts w:cs="Arial"/>
                <w:bCs/>
                <w:color w:val="000000"/>
                <w:sz w:val="20"/>
                <w:szCs w:val="20"/>
              </w:rPr>
            </w:pPr>
          </w:p>
          <w:p w14:paraId="453FBCA0" w14:textId="77777777" w:rsidR="009021F1" w:rsidRPr="00114059" w:rsidRDefault="009021F1" w:rsidP="00E637E3">
            <w:pPr>
              <w:rPr>
                <w:rFonts w:cs="Arial"/>
                <w:bCs/>
                <w:color w:val="000000"/>
                <w:sz w:val="20"/>
                <w:szCs w:val="20"/>
              </w:rPr>
            </w:pPr>
          </w:p>
          <w:p w14:paraId="39342EBA" w14:textId="77777777" w:rsidR="009021F1" w:rsidRPr="00114059" w:rsidRDefault="009021F1" w:rsidP="00E637E3">
            <w:pPr>
              <w:rPr>
                <w:rFonts w:cs="Arial"/>
                <w:bCs/>
                <w:color w:val="000000"/>
                <w:sz w:val="20"/>
                <w:szCs w:val="20"/>
              </w:rPr>
            </w:pPr>
          </w:p>
          <w:p w14:paraId="21F15EED" w14:textId="77777777" w:rsidR="009021F1" w:rsidRPr="00114059" w:rsidRDefault="009021F1" w:rsidP="00E637E3">
            <w:pPr>
              <w:rPr>
                <w:rFonts w:cs="Arial"/>
                <w:bCs/>
                <w:color w:val="000000"/>
                <w:sz w:val="20"/>
                <w:szCs w:val="20"/>
              </w:rPr>
            </w:pPr>
          </w:p>
          <w:p w14:paraId="43D37D45" w14:textId="77777777" w:rsidR="009021F1" w:rsidRPr="00114059" w:rsidRDefault="009021F1" w:rsidP="00E637E3">
            <w:pPr>
              <w:rPr>
                <w:rFonts w:cs="Arial"/>
                <w:bCs/>
                <w:color w:val="000000"/>
                <w:sz w:val="20"/>
                <w:szCs w:val="20"/>
              </w:rPr>
            </w:pPr>
          </w:p>
          <w:p w14:paraId="23798B5F" w14:textId="77777777" w:rsidR="009021F1" w:rsidRPr="00114059" w:rsidRDefault="009021F1" w:rsidP="00E637E3">
            <w:pPr>
              <w:rPr>
                <w:rFonts w:cs="Arial"/>
                <w:bCs/>
                <w:color w:val="000000"/>
                <w:sz w:val="20"/>
                <w:szCs w:val="20"/>
              </w:rPr>
            </w:pPr>
          </w:p>
          <w:p w14:paraId="08E4840C" w14:textId="77777777" w:rsidR="009021F1" w:rsidRPr="00114059" w:rsidRDefault="009021F1" w:rsidP="00E637E3">
            <w:pPr>
              <w:rPr>
                <w:rFonts w:cs="Arial"/>
                <w:bCs/>
                <w:color w:val="000000"/>
                <w:sz w:val="20"/>
                <w:szCs w:val="20"/>
              </w:rPr>
            </w:pPr>
          </w:p>
          <w:p w14:paraId="41AA6D3E" w14:textId="77777777" w:rsidR="009021F1" w:rsidRPr="00114059" w:rsidRDefault="009021F1" w:rsidP="00E637E3">
            <w:pPr>
              <w:rPr>
                <w:rFonts w:cs="Arial"/>
                <w:bCs/>
                <w:color w:val="000000"/>
                <w:sz w:val="20"/>
                <w:szCs w:val="20"/>
              </w:rPr>
            </w:pPr>
          </w:p>
          <w:p w14:paraId="422DB5CB" w14:textId="77777777" w:rsidR="009021F1" w:rsidRPr="00114059" w:rsidRDefault="009021F1" w:rsidP="00E637E3">
            <w:pPr>
              <w:rPr>
                <w:rFonts w:cs="Arial"/>
                <w:bCs/>
                <w:color w:val="000000"/>
                <w:sz w:val="20"/>
                <w:szCs w:val="20"/>
              </w:rPr>
            </w:pPr>
          </w:p>
          <w:p w14:paraId="6EA41784" w14:textId="77777777" w:rsidR="009021F1" w:rsidRPr="00114059" w:rsidRDefault="009021F1" w:rsidP="00E637E3">
            <w:pPr>
              <w:rPr>
                <w:rFonts w:cs="Arial"/>
                <w:bCs/>
                <w:color w:val="000000"/>
                <w:sz w:val="20"/>
                <w:szCs w:val="20"/>
              </w:rPr>
            </w:pPr>
            <w:r w:rsidRPr="00114059">
              <w:rPr>
                <w:rFonts w:cs="Arial"/>
                <w:bCs/>
                <w:color w:val="000000"/>
                <w:sz w:val="20"/>
                <w:szCs w:val="20"/>
              </w:rPr>
              <w:t>Construction</w:t>
            </w:r>
          </w:p>
        </w:tc>
        <w:tc>
          <w:tcPr>
            <w:tcW w:w="7762" w:type="dxa"/>
            <w:tcBorders>
              <w:top w:val="single" w:sz="4" w:space="0" w:color="auto"/>
              <w:left w:val="single" w:sz="4" w:space="0" w:color="auto"/>
              <w:bottom w:val="single" w:sz="4" w:space="0" w:color="auto"/>
              <w:right w:val="single" w:sz="4" w:space="0" w:color="auto"/>
            </w:tcBorders>
            <w:shd w:val="clear" w:color="auto" w:fill="auto"/>
          </w:tcPr>
          <w:p w14:paraId="28271CF0"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 xml:space="preserve">Abattage d’arbres et perte de biodiversité sur l’axe du tracé et sur les sites d’emprunt de latérite ; </w:t>
            </w:r>
          </w:p>
          <w:p w14:paraId="7F8DF1EF"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 xml:space="preserve">Empiètement sur la terre cultivable (pour les nouveaux tracés) ; </w:t>
            </w:r>
          </w:p>
          <w:p w14:paraId="03875A5C"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 xml:space="preserve">Obstruction des chemins de ruissellement ;  </w:t>
            </w:r>
          </w:p>
          <w:p w14:paraId="7AA22AB3"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Pollution de l’air et nuisances (poussières, bruit) lors des travaux ;</w:t>
            </w:r>
          </w:p>
          <w:p w14:paraId="3A4D0678"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Pollution du milieu (eaux et sols) par les déchets solides (déblais, démolition, huiles, de vidange, etc.) ;</w:t>
            </w:r>
          </w:p>
          <w:p w14:paraId="37FE03BC"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sz w:val="20"/>
                <w:szCs w:val="20"/>
                <w:lang w:eastAsia="en-US"/>
              </w:rPr>
              <w:t>Risques d’accidents pour les ouvriers et les populations ;</w:t>
            </w:r>
          </w:p>
          <w:p w14:paraId="26E20A7B"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 xml:space="preserve">Déplacement involontaire des populations ou d’activités économiques ;  </w:t>
            </w:r>
          </w:p>
          <w:p w14:paraId="48B8D997"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Génération d’ordures lors des travaux de construction ;</w:t>
            </w:r>
          </w:p>
          <w:p w14:paraId="76804593"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Dégradation du cadre de vie ;</w:t>
            </w:r>
          </w:p>
          <w:p w14:paraId="31FA22CC"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Non utilisation de la main-d’œuvre locale ;</w:t>
            </w:r>
          </w:p>
          <w:p w14:paraId="6415B277"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Risque des fortes pressions sur la faune par la présence de la main-d’œuvre locale ;</w:t>
            </w:r>
          </w:p>
          <w:p w14:paraId="2F6C6E93"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Déboisement dû à l’ouverture et à l’exploitation des carrières ;</w:t>
            </w:r>
          </w:p>
          <w:p w14:paraId="6DDAD418"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Risques de feux de brousse par le brûlage incontrôlé ;</w:t>
            </w:r>
          </w:p>
          <w:p w14:paraId="7F077CA0"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Sédimentation des cours d’eau ;</w:t>
            </w:r>
          </w:p>
          <w:p w14:paraId="5D44F325"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 xml:space="preserve">Risque d’empiètement des aires protégées (Domaine de chasse de Mangai, Bushimae, Parc Marine de Mangrove et Parc National de Virunga ; </w:t>
            </w:r>
          </w:p>
          <w:p w14:paraId="3930B75F"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Risque de découverte des des mines terrestres et restes explosifs de guerre (REG)</w:t>
            </w:r>
          </w:p>
          <w:p w14:paraId="1CF784B1"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Risque d’empiètement des biens des peuples autochtones (PA) ;</w:t>
            </w:r>
          </w:p>
          <w:p w14:paraId="5EAA3139"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Risque de prolifération du braconnage ;</w:t>
            </w:r>
          </w:p>
          <w:p w14:paraId="422F3704"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Pollution et perturbation de l’écoulement des cours d’eau, des bas-fonds et des rizières ;</w:t>
            </w:r>
          </w:p>
          <w:p w14:paraId="285E7018"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Pollution des eaux de surface et souterraines suite aux déversements accidentels des huiles usées et des hydrocarbures ;</w:t>
            </w:r>
          </w:p>
          <w:p w14:paraId="49FF01D0"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Risque de l’érosion des sols ;</w:t>
            </w:r>
          </w:p>
          <w:p w14:paraId="56F57223"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Possibilité de propagation du VIH/SIDA et des IST avec les échanges culturels entre la population riveraine et les travailleurs aux chantiers ;</w:t>
            </w:r>
          </w:p>
          <w:p w14:paraId="21287FEF"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Risques d’exacerber les VBG, y compris l’EAS et le HS, suite aux travaux ;</w:t>
            </w:r>
          </w:p>
          <w:p w14:paraId="29C0B7C9"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Risque de propagation de COVID-19 si les mesures barrières ou de préventions ne sont pas respectées.</w:t>
            </w:r>
          </w:p>
        </w:tc>
      </w:tr>
      <w:tr w:rsidR="009021F1" w:rsidRPr="00010F6E" w14:paraId="64CDF659" w14:textId="77777777" w:rsidTr="00E637E3">
        <w:tc>
          <w:tcPr>
            <w:tcW w:w="1452" w:type="dxa"/>
            <w:tcBorders>
              <w:top w:val="single" w:sz="4" w:space="0" w:color="auto"/>
              <w:left w:val="single" w:sz="4" w:space="0" w:color="auto"/>
              <w:bottom w:val="single" w:sz="4" w:space="0" w:color="auto"/>
              <w:right w:val="single" w:sz="4" w:space="0" w:color="auto"/>
            </w:tcBorders>
          </w:tcPr>
          <w:p w14:paraId="7191C146" w14:textId="77777777" w:rsidR="009021F1" w:rsidRPr="00114059" w:rsidRDefault="009021F1" w:rsidP="00E637E3">
            <w:pPr>
              <w:rPr>
                <w:rFonts w:cs="Arial"/>
                <w:bCs/>
                <w:color w:val="000000"/>
                <w:sz w:val="20"/>
                <w:szCs w:val="20"/>
              </w:rPr>
            </w:pPr>
          </w:p>
          <w:p w14:paraId="7FB094B6" w14:textId="77777777" w:rsidR="009021F1" w:rsidRPr="00114059" w:rsidRDefault="009021F1" w:rsidP="00E637E3">
            <w:pPr>
              <w:rPr>
                <w:rFonts w:cs="Arial"/>
                <w:bCs/>
                <w:color w:val="000000"/>
                <w:sz w:val="20"/>
                <w:szCs w:val="20"/>
              </w:rPr>
            </w:pPr>
          </w:p>
          <w:p w14:paraId="3445F4BE" w14:textId="77777777" w:rsidR="009021F1" w:rsidRPr="00114059" w:rsidRDefault="009021F1" w:rsidP="00E637E3">
            <w:pPr>
              <w:rPr>
                <w:rFonts w:cs="Arial"/>
                <w:bCs/>
                <w:color w:val="000000"/>
                <w:sz w:val="20"/>
                <w:szCs w:val="20"/>
              </w:rPr>
            </w:pPr>
          </w:p>
          <w:p w14:paraId="7ACAE2C7" w14:textId="77777777" w:rsidR="009021F1" w:rsidRPr="00114059" w:rsidRDefault="009021F1" w:rsidP="00E637E3">
            <w:pPr>
              <w:rPr>
                <w:rFonts w:cs="Arial"/>
                <w:bCs/>
                <w:color w:val="000000"/>
                <w:sz w:val="20"/>
                <w:szCs w:val="20"/>
              </w:rPr>
            </w:pPr>
          </w:p>
          <w:p w14:paraId="546AF09E" w14:textId="77777777" w:rsidR="009021F1" w:rsidRPr="00114059" w:rsidRDefault="009021F1" w:rsidP="00E637E3">
            <w:pPr>
              <w:rPr>
                <w:rFonts w:cs="Arial"/>
                <w:bCs/>
                <w:color w:val="000000"/>
                <w:sz w:val="20"/>
                <w:szCs w:val="20"/>
              </w:rPr>
            </w:pPr>
          </w:p>
          <w:p w14:paraId="259DAED9" w14:textId="77777777" w:rsidR="009021F1" w:rsidRPr="00114059" w:rsidRDefault="009021F1" w:rsidP="00E637E3">
            <w:pPr>
              <w:rPr>
                <w:rFonts w:cs="Arial"/>
                <w:bCs/>
                <w:color w:val="000000"/>
                <w:sz w:val="20"/>
                <w:szCs w:val="20"/>
              </w:rPr>
            </w:pPr>
          </w:p>
          <w:p w14:paraId="2D497F51" w14:textId="77777777" w:rsidR="009021F1" w:rsidRPr="00114059" w:rsidRDefault="009021F1" w:rsidP="00E637E3">
            <w:pPr>
              <w:rPr>
                <w:rFonts w:cs="Arial"/>
                <w:bCs/>
                <w:color w:val="000000"/>
                <w:sz w:val="20"/>
                <w:szCs w:val="20"/>
              </w:rPr>
            </w:pPr>
            <w:r w:rsidRPr="00114059">
              <w:rPr>
                <w:rFonts w:cs="Arial"/>
                <w:bCs/>
                <w:color w:val="000000"/>
                <w:sz w:val="20"/>
                <w:szCs w:val="20"/>
              </w:rPr>
              <w:t>Exploitation</w:t>
            </w:r>
          </w:p>
        </w:tc>
        <w:tc>
          <w:tcPr>
            <w:tcW w:w="7762" w:type="dxa"/>
            <w:tcBorders>
              <w:top w:val="single" w:sz="4" w:space="0" w:color="auto"/>
              <w:left w:val="single" w:sz="4" w:space="0" w:color="auto"/>
              <w:bottom w:val="single" w:sz="4" w:space="0" w:color="auto"/>
              <w:right w:val="single" w:sz="4" w:space="0" w:color="auto"/>
            </w:tcBorders>
          </w:tcPr>
          <w:p w14:paraId="77A62103"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Pollutions et nuisances du site et du milieu environnant dues à la génération des déchets solides et liquides issus des activités marchandes ;</w:t>
            </w:r>
          </w:p>
          <w:p w14:paraId="3B4D6115"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Risque de dégradation du sol pendant la période d’entretien des routes d’accès aux carrières d’emprunts des matériaux ;</w:t>
            </w:r>
          </w:p>
          <w:p w14:paraId="2292392C"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Risques d’accidents de circulation (virages, points critiques, etc.) ;</w:t>
            </w:r>
          </w:p>
          <w:p w14:paraId="5EA81EF4"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Émission de poussières sur les routes latéritiques à la traversée des villages ;</w:t>
            </w:r>
          </w:p>
          <w:p w14:paraId="72B86BE7"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Perturbation de la photosynthèse suite au dépôt de la poussière sur la végétation ;</w:t>
            </w:r>
          </w:p>
          <w:p w14:paraId="28106106"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Facilitation de l’accès aux ressources naturelles protégées (exploitation forestière non autorisée, braconnage ; etc.) ;</w:t>
            </w:r>
          </w:p>
          <w:p w14:paraId="1766F06F"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Augmentation de l’exploitation des bois d’œuvre due à la réhabilitation de routes rurales ;</w:t>
            </w:r>
          </w:p>
          <w:p w14:paraId="63229037"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Dégradation rapide des infrastructures due au manque d’entretien ;</w:t>
            </w:r>
          </w:p>
          <w:p w14:paraId="4003692B"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Risque de propagation des IST et VIH/SIDA suite à l’augmentation de trafic sur les routes rurales ;</w:t>
            </w:r>
          </w:p>
          <w:p w14:paraId="5DE672A2"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Risques d’augmentation des VBG, y compris l’EAS et le HS, suite aux travaux ;</w:t>
            </w:r>
          </w:p>
          <w:p w14:paraId="6CC88CC9"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Risque de propagation de COVID-19 si les mesures barrières ou de préventions ne sont pas respectées.</w:t>
            </w:r>
          </w:p>
        </w:tc>
      </w:tr>
    </w:tbl>
    <w:p w14:paraId="4C70B3EF" w14:textId="77777777" w:rsidR="009021F1" w:rsidRPr="00114059" w:rsidRDefault="009021F1" w:rsidP="009021F1">
      <w:pPr>
        <w:spacing w:line="240" w:lineRule="auto"/>
        <w:jc w:val="left"/>
        <w:rPr>
          <w:rFonts w:cs="Arial"/>
          <w:color w:val="000000"/>
          <w:szCs w:val="21"/>
        </w:rPr>
      </w:pPr>
    </w:p>
    <w:p w14:paraId="1AB3BE7B" w14:textId="77777777" w:rsidR="009021F1" w:rsidRPr="00114059" w:rsidRDefault="009021F1" w:rsidP="009021F1">
      <w:pPr>
        <w:spacing w:line="240" w:lineRule="auto"/>
        <w:jc w:val="left"/>
        <w:rPr>
          <w:rFonts w:cs="Arial"/>
          <w:color w:val="000000"/>
          <w:szCs w:val="21"/>
        </w:rPr>
      </w:pPr>
    </w:p>
    <w:p w14:paraId="7C9F2250" w14:textId="77777777" w:rsidR="009021F1" w:rsidRPr="00114059" w:rsidRDefault="009021F1" w:rsidP="009021F1">
      <w:pPr>
        <w:spacing w:line="240" w:lineRule="auto"/>
        <w:ind w:left="1276" w:hanging="1276"/>
        <w:rPr>
          <w:rFonts w:cs="Arial"/>
          <w:bCs/>
          <w:iCs/>
          <w:color w:val="000000"/>
          <w:szCs w:val="21"/>
        </w:rPr>
      </w:pPr>
      <w:r w:rsidRPr="00114059">
        <w:rPr>
          <w:rFonts w:cs="Arial"/>
          <w:color w:val="000000"/>
          <w:szCs w:val="21"/>
        </w:rPr>
        <w:t xml:space="preserve">Tableau </w:t>
      </w:r>
      <w:r w:rsidRPr="00114059">
        <w:rPr>
          <w:rFonts w:cs="Arial"/>
          <w:color w:val="000000"/>
          <w:szCs w:val="21"/>
        </w:rPr>
        <w:fldChar w:fldCharType="begin"/>
      </w:r>
      <w:r w:rsidRPr="00114059">
        <w:rPr>
          <w:rFonts w:cs="Arial"/>
          <w:color w:val="000000"/>
          <w:szCs w:val="21"/>
        </w:rPr>
        <w:instrText xml:space="preserve"> SEQ Tableau \* ARABIC </w:instrText>
      </w:r>
      <w:r w:rsidRPr="00114059">
        <w:rPr>
          <w:rFonts w:cs="Arial"/>
          <w:color w:val="000000"/>
          <w:szCs w:val="21"/>
        </w:rPr>
        <w:fldChar w:fldCharType="separate"/>
      </w:r>
      <w:r>
        <w:rPr>
          <w:rFonts w:cs="Arial"/>
          <w:noProof/>
          <w:color w:val="000000"/>
          <w:szCs w:val="21"/>
        </w:rPr>
        <w:t>29</w:t>
      </w:r>
      <w:r w:rsidRPr="00114059">
        <w:rPr>
          <w:rFonts w:cs="Arial"/>
          <w:color w:val="000000"/>
          <w:szCs w:val="21"/>
        </w:rPr>
        <w:fldChar w:fldCharType="end"/>
      </w:r>
      <w:r w:rsidRPr="00114059">
        <w:rPr>
          <w:rFonts w:cs="Arial"/>
          <w:color w:val="000000"/>
          <w:szCs w:val="21"/>
        </w:rPr>
        <w:t>.</w:t>
      </w:r>
      <w:r w:rsidRPr="00114059">
        <w:rPr>
          <w:rFonts w:cs="Arial"/>
          <w:bCs/>
          <w:color w:val="000000"/>
          <w:szCs w:val="21"/>
        </w:rPr>
        <w:t xml:space="preserve"> </w:t>
      </w:r>
      <w:r w:rsidRPr="00114059">
        <w:rPr>
          <w:rFonts w:cs="Arial"/>
          <w:color w:val="000000"/>
          <w:szCs w:val="21"/>
        </w:rPr>
        <w:t>Impacts négatifs potentiels des travaux de construction/réhabilitation des marchés communautaires et abattoirs</w:t>
      </w:r>
    </w:p>
    <w:p w14:paraId="7FF448A6" w14:textId="77777777" w:rsidR="009021F1" w:rsidRPr="00114059" w:rsidRDefault="009021F1" w:rsidP="009021F1">
      <w:pPr>
        <w:rPr>
          <w:rFonts w:cs="Arial"/>
          <w:color w:val="000000"/>
          <w:szCs w:val="21"/>
          <w:lang w:eastAsia="en-US"/>
        </w:rPr>
      </w:pPr>
    </w:p>
    <w:tbl>
      <w:tblPr>
        <w:tblW w:w="9214" w:type="dxa"/>
        <w:tblInd w:w="-5" w:type="dxa"/>
        <w:tblLook w:val="01E0" w:firstRow="1" w:lastRow="1" w:firstColumn="1" w:lastColumn="1" w:noHBand="0" w:noVBand="0"/>
      </w:tblPr>
      <w:tblGrid>
        <w:gridCol w:w="1452"/>
        <w:gridCol w:w="7762"/>
      </w:tblGrid>
      <w:tr w:rsidR="009021F1" w:rsidRPr="00010F6E" w14:paraId="540DD842" w14:textId="77777777" w:rsidTr="00E637E3">
        <w:trPr>
          <w:tblHeader/>
        </w:trPr>
        <w:tc>
          <w:tcPr>
            <w:tcW w:w="1452" w:type="dxa"/>
            <w:tcBorders>
              <w:top w:val="single" w:sz="4" w:space="0" w:color="auto"/>
              <w:left w:val="single" w:sz="4" w:space="0" w:color="auto"/>
              <w:bottom w:val="single" w:sz="4" w:space="0" w:color="auto"/>
              <w:right w:val="single" w:sz="4" w:space="0" w:color="auto"/>
            </w:tcBorders>
          </w:tcPr>
          <w:p w14:paraId="59941698" w14:textId="77777777" w:rsidR="009021F1" w:rsidRPr="00114059" w:rsidRDefault="009021F1" w:rsidP="00E637E3">
            <w:pPr>
              <w:jc w:val="center"/>
              <w:rPr>
                <w:rFonts w:cs="Arial"/>
                <w:bCs/>
                <w:color w:val="000000"/>
                <w:sz w:val="20"/>
                <w:szCs w:val="20"/>
              </w:rPr>
            </w:pPr>
            <w:r w:rsidRPr="00114059">
              <w:rPr>
                <w:rFonts w:cs="Arial"/>
                <w:bCs/>
                <w:color w:val="000000"/>
                <w:sz w:val="20"/>
                <w:szCs w:val="20"/>
              </w:rPr>
              <w:t>Phase</w:t>
            </w:r>
          </w:p>
        </w:tc>
        <w:tc>
          <w:tcPr>
            <w:tcW w:w="7762" w:type="dxa"/>
            <w:tcBorders>
              <w:top w:val="single" w:sz="4" w:space="0" w:color="auto"/>
              <w:left w:val="single" w:sz="4" w:space="0" w:color="auto"/>
              <w:bottom w:val="single" w:sz="4" w:space="0" w:color="auto"/>
              <w:right w:val="single" w:sz="4" w:space="0" w:color="auto"/>
            </w:tcBorders>
          </w:tcPr>
          <w:p w14:paraId="21339CAA" w14:textId="77777777" w:rsidR="009021F1" w:rsidRPr="00114059" w:rsidRDefault="009021F1" w:rsidP="00E637E3">
            <w:pPr>
              <w:jc w:val="center"/>
              <w:rPr>
                <w:rFonts w:cs="Arial"/>
                <w:bCs/>
                <w:color w:val="000000"/>
                <w:sz w:val="20"/>
                <w:szCs w:val="20"/>
              </w:rPr>
            </w:pPr>
            <w:r w:rsidRPr="00114059">
              <w:rPr>
                <w:rFonts w:cs="Arial"/>
                <w:bCs/>
                <w:color w:val="000000"/>
                <w:sz w:val="20"/>
                <w:szCs w:val="20"/>
              </w:rPr>
              <w:t>Impacts négatifs</w:t>
            </w:r>
          </w:p>
        </w:tc>
      </w:tr>
      <w:tr w:rsidR="009021F1" w:rsidRPr="00010F6E" w14:paraId="093EAA77" w14:textId="77777777" w:rsidTr="00E637E3">
        <w:trPr>
          <w:trHeight w:val="301"/>
        </w:trPr>
        <w:tc>
          <w:tcPr>
            <w:tcW w:w="1452" w:type="dxa"/>
            <w:tcBorders>
              <w:top w:val="single" w:sz="4" w:space="0" w:color="auto"/>
              <w:left w:val="single" w:sz="4" w:space="0" w:color="auto"/>
              <w:bottom w:val="single" w:sz="4" w:space="0" w:color="auto"/>
              <w:right w:val="single" w:sz="4" w:space="0" w:color="auto"/>
            </w:tcBorders>
          </w:tcPr>
          <w:p w14:paraId="322E4627" w14:textId="77777777" w:rsidR="009021F1" w:rsidRPr="00114059" w:rsidRDefault="009021F1" w:rsidP="00E637E3">
            <w:pPr>
              <w:rPr>
                <w:rFonts w:cs="Arial"/>
                <w:bCs/>
                <w:color w:val="000000"/>
                <w:sz w:val="20"/>
                <w:szCs w:val="20"/>
              </w:rPr>
            </w:pPr>
          </w:p>
          <w:p w14:paraId="34460868" w14:textId="77777777" w:rsidR="009021F1" w:rsidRPr="00114059" w:rsidRDefault="009021F1" w:rsidP="00E637E3">
            <w:pPr>
              <w:rPr>
                <w:rFonts w:cs="Arial"/>
                <w:bCs/>
                <w:color w:val="000000"/>
                <w:sz w:val="20"/>
                <w:szCs w:val="20"/>
              </w:rPr>
            </w:pPr>
          </w:p>
          <w:p w14:paraId="7DBD4722" w14:textId="77777777" w:rsidR="009021F1" w:rsidRPr="00114059" w:rsidRDefault="009021F1" w:rsidP="00E637E3">
            <w:pPr>
              <w:rPr>
                <w:rFonts w:cs="Arial"/>
                <w:bCs/>
                <w:color w:val="000000"/>
                <w:sz w:val="20"/>
                <w:szCs w:val="20"/>
              </w:rPr>
            </w:pPr>
          </w:p>
          <w:p w14:paraId="615EDCE2" w14:textId="77777777" w:rsidR="009021F1" w:rsidRPr="00114059" w:rsidRDefault="009021F1" w:rsidP="00E637E3">
            <w:pPr>
              <w:rPr>
                <w:rFonts w:cs="Arial"/>
                <w:bCs/>
                <w:color w:val="000000"/>
                <w:sz w:val="20"/>
                <w:szCs w:val="20"/>
              </w:rPr>
            </w:pPr>
          </w:p>
          <w:p w14:paraId="0F4CBBEC" w14:textId="77777777" w:rsidR="009021F1" w:rsidRPr="00114059" w:rsidRDefault="009021F1" w:rsidP="00E637E3">
            <w:pPr>
              <w:rPr>
                <w:rFonts w:cs="Arial"/>
                <w:bCs/>
                <w:color w:val="000000"/>
                <w:sz w:val="20"/>
                <w:szCs w:val="20"/>
              </w:rPr>
            </w:pPr>
          </w:p>
          <w:p w14:paraId="0DD1FCD7" w14:textId="77777777" w:rsidR="009021F1" w:rsidRPr="00114059" w:rsidRDefault="009021F1" w:rsidP="00E637E3">
            <w:pPr>
              <w:rPr>
                <w:rFonts w:cs="Arial"/>
                <w:bCs/>
                <w:color w:val="000000"/>
                <w:sz w:val="20"/>
                <w:szCs w:val="20"/>
              </w:rPr>
            </w:pPr>
          </w:p>
          <w:p w14:paraId="4BDD8F1C" w14:textId="77777777" w:rsidR="009021F1" w:rsidRPr="00114059" w:rsidRDefault="009021F1" w:rsidP="00E637E3">
            <w:pPr>
              <w:rPr>
                <w:rFonts w:cs="Arial"/>
                <w:bCs/>
                <w:color w:val="000000"/>
                <w:sz w:val="20"/>
                <w:szCs w:val="20"/>
              </w:rPr>
            </w:pPr>
          </w:p>
          <w:p w14:paraId="0DC7F832" w14:textId="77777777" w:rsidR="009021F1" w:rsidRPr="00114059" w:rsidRDefault="009021F1" w:rsidP="00E637E3">
            <w:pPr>
              <w:rPr>
                <w:rFonts w:cs="Arial"/>
                <w:bCs/>
                <w:color w:val="000000"/>
                <w:sz w:val="20"/>
                <w:szCs w:val="20"/>
              </w:rPr>
            </w:pPr>
          </w:p>
          <w:p w14:paraId="4B895388" w14:textId="77777777" w:rsidR="009021F1" w:rsidRPr="00114059" w:rsidRDefault="009021F1" w:rsidP="00E637E3">
            <w:pPr>
              <w:rPr>
                <w:rFonts w:cs="Arial"/>
                <w:bCs/>
                <w:color w:val="000000"/>
                <w:sz w:val="20"/>
                <w:szCs w:val="20"/>
              </w:rPr>
            </w:pPr>
          </w:p>
          <w:p w14:paraId="6E56592D" w14:textId="77777777" w:rsidR="009021F1" w:rsidRPr="00114059" w:rsidRDefault="009021F1" w:rsidP="00E637E3">
            <w:pPr>
              <w:rPr>
                <w:rFonts w:cs="Arial"/>
                <w:bCs/>
                <w:color w:val="000000"/>
                <w:sz w:val="20"/>
                <w:szCs w:val="20"/>
              </w:rPr>
            </w:pPr>
          </w:p>
          <w:p w14:paraId="01A80C36" w14:textId="77777777" w:rsidR="009021F1" w:rsidRPr="00114059" w:rsidRDefault="009021F1" w:rsidP="00E637E3">
            <w:pPr>
              <w:rPr>
                <w:rFonts w:cs="Arial"/>
                <w:bCs/>
                <w:color w:val="000000"/>
                <w:sz w:val="20"/>
                <w:szCs w:val="20"/>
              </w:rPr>
            </w:pPr>
            <w:r w:rsidRPr="00114059">
              <w:rPr>
                <w:rFonts w:cs="Arial"/>
                <w:bCs/>
                <w:color w:val="000000"/>
                <w:sz w:val="20"/>
                <w:szCs w:val="20"/>
              </w:rPr>
              <w:t>Construction</w:t>
            </w:r>
          </w:p>
        </w:tc>
        <w:tc>
          <w:tcPr>
            <w:tcW w:w="7762" w:type="dxa"/>
            <w:tcBorders>
              <w:top w:val="single" w:sz="4" w:space="0" w:color="auto"/>
              <w:left w:val="single" w:sz="4" w:space="0" w:color="auto"/>
              <w:bottom w:val="single" w:sz="4" w:space="0" w:color="auto"/>
              <w:right w:val="single" w:sz="4" w:space="0" w:color="auto"/>
            </w:tcBorders>
            <w:shd w:val="clear" w:color="auto" w:fill="auto"/>
          </w:tcPr>
          <w:p w14:paraId="26E926A5"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 xml:space="preserve">Déplacement involontaire des populations ou d’activités économiques ; </w:t>
            </w:r>
          </w:p>
          <w:p w14:paraId="597C562B"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Génération d’ordures lors des travaux de construction et d’exploitation ;</w:t>
            </w:r>
          </w:p>
          <w:p w14:paraId="120286E1"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 xml:space="preserve">Altération du paysage dans l’emprise des travaux de construction des marchés communautaires ; </w:t>
            </w:r>
          </w:p>
          <w:p w14:paraId="05FD1A0B"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Pollution de l'air par les particules de poussières due aux travaux de destruction des bâtiments existants ;</w:t>
            </w:r>
          </w:p>
          <w:p w14:paraId="59DCC33A"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Pollution des eaux de surface et souterraines due aux déversements accidentels des huiles usées et des hydrocarbures ;</w:t>
            </w:r>
          </w:p>
          <w:p w14:paraId="053A80DC"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Pollutions Nuisance sonore pendant les travaux de destruction des bâtiments existants s’ils sont en ruine</w:t>
            </w:r>
          </w:p>
          <w:p w14:paraId="306E23E8"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 xml:space="preserve">Risque des accidents corporels lors des travaux </w:t>
            </w:r>
          </w:p>
          <w:p w14:paraId="0C6446AA"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Non utilisation de la main d’œuvre locale ;</w:t>
            </w:r>
          </w:p>
          <w:p w14:paraId="7DF790E4"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Possibilité de propagation du VIH/SIDA et des IST avec les échanges culturels entre la population riveraine et les travailleurs aux chantiers ;</w:t>
            </w:r>
          </w:p>
          <w:p w14:paraId="1D7E7051"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Risques d’exacerber les VBG, y compris l’EAS et le HS ;</w:t>
            </w:r>
          </w:p>
          <w:p w14:paraId="16A7A613"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Risque de propagation de COVID-19 si les mesures barrières ou de préventions ne sont pas respectées ;</w:t>
            </w:r>
          </w:p>
          <w:p w14:paraId="389AE7CB"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Risque de la découverte fortuite ;</w:t>
            </w:r>
          </w:p>
          <w:p w14:paraId="29BB15C3"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Risque de découverte des mines terrestres et restes explosifs de guerre (REG)</w:t>
            </w:r>
          </w:p>
        </w:tc>
      </w:tr>
      <w:tr w:rsidR="009021F1" w:rsidRPr="00010F6E" w14:paraId="7E6E58EA" w14:textId="77777777" w:rsidTr="00E637E3">
        <w:tc>
          <w:tcPr>
            <w:tcW w:w="1452" w:type="dxa"/>
            <w:tcBorders>
              <w:top w:val="single" w:sz="4" w:space="0" w:color="auto"/>
              <w:left w:val="single" w:sz="4" w:space="0" w:color="auto"/>
              <w:bottom w:val="single" w:sz="4" w:space="0" w:color="auto"/>
              <w:right w:val="single" w:sz="4" w:space="0" w:color="auto"/>
            </w:tcBorders>
          </w:tcPr>
          <w:p w14:paraId="441E5BCA" w14:textId="77777777" w:rsidR="009021F1" w:rsidRPr="00114059" w:rsidRDefault="009021F1" w:rsidP="00E637E3">
            <w:pPr>
              <w:rPr>
                <w:rFonts w:cs="Arial"/>
                <w:bCs/>
                <w:color w:val="000000"/>
                <w:sz w:val="20"/>
                <w:szCs w:val="20"/>
              </w:rPr>
            </w:pPr>
          </w:p>
          <w:p w14:paraId="5BB435F0" w14:textId="77777777" w:rsidR="009021F1" w:rsidRPr="00114059" w:rsidRDefault="009021F1" w:rsidP="00E637E3">
            <w:pPr>
              <w:rPr>
                <w:rFonts w:cs="Arial"/>
                <w:bCs/>
                <w:color w:val="000000"/>
                <w:sz w:val="20"/>
                <w:szCs w:val="20"/>
              </w:rPr>
            </w:pPr>
          </w:p>
          <w:p w14:paraId="2B86250F" w14:textId="77777777" w:rsidR="009021F1" w:rsidRPr="00114059" w:rsidRDefault="009021F1" w:rsidP="00E637E3">
            <w:pPr>
              <w:rPr>
                <w:rFonts w:cs="Arial"/>
                <w:bCs/>
                <w:color w:val="000000"/>
                <w:sz w:val="20"/>
                <w:szCs w:val="20"/>
              </w:rPr>
            </w:pPr>
          </w:p>
          <w:p w14:paraId="5448875D" w14:textId="77777777" w:rsidR="009021F1" w:rsidRPr="00114059" w:rsidRDefault="009021F1" w:rsidP="00E637E3">
            <w:pPr>
              <w:rPr>
                <w:rFonts w:cs="Arial"/>
                <w:bCs/>
                <w:color w:val="000000"/>
                <w:sz w:val="20"/>
                <w:szCs w:val="20"/>
              </w:rPr>
            </w:pPr>
          </w:p>
          <w:p w14:paraId="7D7DEF98" w14:textId="77777777" w:rsidR="009021F1" w:rsidRPr="00114059" w:rsidRDefault="009021F1" w:rsidP="00E637E3">
            <w:pPr>
              <w:rPr>
                <w:rFonts w:cs="Arial"/>
                <w:bCs/>
                <w:color w:val="000000"/>
                <w:sz w:val="20"/>
                <w:szCs w:val="20"/>
              </w:rPr>
            </w:pPr>
          </w:p>
          <w:p w14:paraId="635DA13D" w14:textId="77777777" w:rsidR="009021F1" w:rsidRPr="00114059" w:rsidRDefault="009021F1" w:rsidP="00E637E3">
            <w:pPr>
              <w:rPr>
                <w:rFonts w:cs="Arial"/>
                <w:bCs/>
                <w:color w:val="000000"/>
                <w:sz w:val="20"/>
                <w:szCs w:val="20"/>
              </w:rPr>
            </w:pPr>
          </w:p>
          <w:p w14:paraId="19FF874A" w14:textId="77777777" w:rsidR="009021F1" w:rsidRPr="00114059" w:rsidRDefault="009021F1" w:rsidP="00E637E3">
            <w:pPr>
              <w:rPr>
                <w:rFonts w:cs="Arial"/>
                <w:bCs/>
                <w:color w:val="000000"/>
                <w:sz w:val="20"/>
                <w:szCs w:val="20"/>
              </w:rPr>
            </w:pPr>
            <w:r w:rsidRPr="00114059">
              <w:rPr>
                <w:rFonts w:cs="Arial"/>
                <w:bCs/>
                <w:color w:val="000000"/>
                <w:sz w:val="20"/>
                <w:szCs w:val="20"/>
              </w:rPr>
              <w:t>Exploitation</w:t>
            </w:r>
          </w:p>
        </w:tc>
        <w:tc>
          <w:tcPr>
            <w:tcW w:w="7762" w:type="dxa"/>
            <w:tcBorders>
              <w:top w:val="single" w:sz="4" w:space="0" w:color="auto"/>
              <w:left w:val="single" w:sz="4" w:space="0" w:color="auto"/>
              <w:bottom w:val="single" w:sz="4" w:space="0" w:color="auto"/>
              <w:right w:val="single" w:sz="4" w:space="0" w:color="auto"/>
            </w:tcBorders>
          </w:tcPr>
          <w:p w14:paraId="7AF5EB76"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Pollution de l’air suite à la mauvaise gestion des déchets ;</w:t>
            </w:r>
          </w:p>
          <w:p w14:paraId="4756F5F1"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Production des ordures ménagères et des déchets des marchés (matières biodégradables, sachets plastiques et papiers d’emballage) / pollution de l’environnement ;</w:t>
            </w:r>
          </w:p>
          <w:p w14:paraId="6E2603ED"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Production des déchets solides (batteries usées, filtres usagés, pneus usagés, etc. ;</w:t>
            </w:r>
          </w:p>
          <w:p w14:paraId="43719215"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Absence de collecte et traitement des déchets ménagers ;</w:t>
            </w:r>
          </w:p>
          <w:p w14:paraId="76FE1A8C"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Risques sanitaires avec la vente de produits et aliments non hygiéniques ;</w:t>
            </w:r>
          </w:p>
          <w:p w14:paraId="0D4D74C8"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Risques d’augmentation des VBG, y compris l’EAS et le HS ;</w:t>
            </w:r>
          </w:p>
          <w:p w14:paraId="6F85E350"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Risque de propagation de COVID-19 si les mesures barrières ou de préventions ne sont pas respectées.</w:t>
            </w:r>
          </w:p>
        </w:tc>
      </w:tr>
    </w:tbl>
    <w:p w14:paraId="6A55F5BA" w14:textId="77777777" w:rsidR="009021F1" w:rsidRPr="00114059" w:rsidRDefault="009021F1" w:rsidP="009021F1">
      <w:pPr>
        <w:spacing w:line="240" w:lineRule="auto"/>
        <w:ind w:left="1276" w:hanging="1276"/>
        <w:jc w:val="left"/>
        <w:rPr>
          <w:rFonts w:cs="Arial"/>
          <w:color w:val="000000"/>
          <w:szCs w:val="21"/>
        </w:rPr>
      </w:pPr>
    </w:p>
    <w:p w14:paraId="7EC0CFFC" w14:textId="77777777" w:rsidR="009021F1" w:rsidRPr="00114059" w:rsidRDefault="009021F1" w:rsidP="009021F1">
      <w:pPr>
        <w:spacing w:line="240" w:lineRule="auto"/>
        <w:ind w:left="1276" w:hanging="1276"/>
        <w:jc w:val="left"/>
        <w:rPr>
          <w:rFonts w:cs="Arial"/>
          <w:color w:val="000000"/>
          <w:szCs w:val="21"/>
        </w:rPr>
      </w:pPr>
      <w:r w:rsidRPr="00114059">
        <w:rPr>
          <w:rFonts w:cs="Arial"/>
          <w:color w:val="000000"/>
          <w:szCs w:val="21"/>
        </w:rPr>
        <w:t xml:space="preserve">Tableau </w:t>
      </w:r>
      <w:r w:rsidRPr="00114059">
        <w:rPr>
          <w:rFonts w:cs="Arial"/>
          <w:color w:val="000000"/>
          <w:szCs w:val="21"/>
        </w:rPr>
        <w:fldChar w:fldCharType="begin"/>
      </w:r>
      <w:r w:rsidRPr="00114059">
        <w:rPr>
          <w:rFonts w:cs="Arial"/>
          <w:color w:val="000000"/>
          <w:szCs w:val="21"/>
        </w:rPr>
        <w:instrText xml:space="preserve"> SEQ Tableau \* ARABIC </w:instrText>
      </w:r>
      <w:r w:rsidRPr="00114059">
        <w:rPr>
          <w:rFonts w:cs="Arial"/>
          <w:color w:val="000000"/>
          <w:szCs w:val="21"/>
        </w:rPr>
        <w:fldChar w:fldCharType="separate"/>
      </w:r>
      <w:r>
        <w:rPr>
          <w:rFonts w:cs="Arial"/>
          <w:noProof/>
          <w:color w:val="000000"/>
          <w:szCs w:val="21"/>
        </w:rPr>
        <w:t>30</w:t>
      </w:r>
      <w:r w:rsidRPr="00114059">
        <w:rPr>
          <w:rFonts w:cs="Arial"/>
          <w:color w:val="000000"/>
          <w:szCs w:val="21"/>
        </w:rPr>
        <w:fldChar w:fldCharType="end"/>
      </w:r>
      <w:r w:rsidRPr="00114059">
        <w:rPr>
          <w:rFonts w:cs="Arial"/>
          <w:color w:val="000000"/>
          <w:szCs w:val="21"/>
        </w:rPr>
        <w:t>.</w:t>
      </w:r>
      <w:r w:rsidRPr="00114059">
        <w:rPr>
          <w:rFonts w:cs="Arial"/>
          <w:bCs/>
          <w:color w:val="000000"/>
          <w:szCs w:val="21"/>
        </w:rPr>
        <w:t xml:space="preserve"> </w:t>
      </w:r>
      <w:r w:rsidRPr="00114059">
        <w:rPr>
          <w:rFonts w:cs="Arial"/>
          <w:color w:val="000000"/>
          <w:szCs w:val="21"/>
        </w:rPr>
        <w:t>Impacts négatifs potentiels des travaux d’irrigation (aménagement et ouvrages hydrauliques)</w:t>
      </w:r>
    </w:p>
    <w:p w14:paraId="45F7FA92" w14:textId="77777777" w:rsidR="009021F1" w:rsidRPr="00114059" w:rsidRDefault="009021F1" w:rsidP="009021F1">
      <w:pPr>
        <w:tabs>
          <w:tab w:val="left" w:pos="0"/>
        </w:tabs>
        <w:rPr>
          <w:rFonts w:cs="Arial"/>
          <w:color w:val="000000"/>
          <w:szCs w:val="21"/>
        </w:rPr>
      </w:pPr>
    </w:p>
    <w:tbl>
      <w:tblPr>
        <w:tblW w:w="9000" w:type="dxa"/>
        <w:tblInd w:w="-5" w:type="dxa"/>
        <w:tblLook w:val="01E0" w:firstRow="1" w:lastRow="1" w:firstColumn="1" w:lastColumn="1" w:noHBand="0" w:noVBand="0"/>
      </w:tblPr>
      <w:tblGrid>
        <w:gridCol w:w="1353"/>
        <w:gridCol w:w="7647"/>
      </w:tblGrid>
      <w:tr w:rsidR="009021F1" w:rsidRPr="00114059" w14:paraId="51CBDB79" w14:textId="77777777" w:rsidTr="00E637E3">
        <w:tc>
          <w:tcPr>
            <w:tcW w:w="1353" w:type="dxa"/>
            <w:tcBorders>
              <w:top w:val="single" w:sz="4" w:space="0" w:color="auto"/>
              <w:left w:val="single" w:sz="4" w:space="0" w:color="auto"/>
              <w:bottom w:val="single" w:sz="4" w:space="0" w:color="auto"/>
              <w:right w:val="single" w:sz="4" w:space="0" w:color="auto"/>
            </w:tcBorders>
          </w:tcPr>
          <w:p w14:paraId="55548EFA" w14:textId="77777777" w:rsidR="009021F1" w:rsidRPr="00114059" w:rsidRDefault="009021F1" w:rsidP="00E637E3">
            <w:pPr>
              <w:jc w:val="center"/>
              <w:rPr>
                <w:rFonts w:cs="Arial"/>
                <w:bCs/>
                <w:color w:val="000000"/>
                <w:sz w:val="20"/>
                <w:szCs w:val="20"/>
              </w:rPr>
            </w:pPr>
            <w:r w:rsidRPr="00114059">
              <w:rPr>
                <w:rFonts w:cs="Arial"/>
                <w:bCs/>
                <w:color w:val="000000"/>
                <w:sz w:val="20"/>
                <w:szCs w:val="20"/>
              </w:rPr>
              <w:t>Phase</w:t>
            </w:r>
          </w:p>
        </w:tc>
        <w:tc>
          <w:tcPr>
            <w:tcW w:w="7647" w:type="dxa"/>
            <w:tcBorders>
              <w:top w:val="single" w:sz="4" w:space="0" w:color="auto"/>
              <w:left w:val="single" w:sz="4" w:space="0" w:color="auto"/>
              <w:bottom w:val="single" w:sz="4" w:space="0" w:color="auto"/>
              <w:right w:val="single" w:sz="4" w:space="0" w:color="auto"/>
            </w:tcBorders>
          </w:tcPr>
          <w:p w14:paraId="27FDE1CA" w14:textId="77777777" w:rsidR="009021F1" w:rsidRPr="00114059" w:rsidRDefault="009021F1" w:rsidP="00E637E3">
            <w:pPr>
              <w:jc w:val="center"/>
              <w:rPr>
                <w:rFonts w:cs="Arial"/>
                <w:bCs/>
                <w:color w:val="000000"/>
                <w:sz w:val="20"/>
                <w:szCs w:val="20"/>
              </w:rPr>
            </w:pPr>
            <w:r w:rsidRPr="00114059">
              <w:rPr>
                <w:rFonts w:cs="Arial"/>
                <w:bCs/>
                <w:color w:val="000000"/>
                <w:sz w:val="20"/>
                <w:szCs w:val="20"/>
              </w:rPr>
              <w:t>Impacts négatifs</w:t>
            </w:r>
          </w:p>
        </w:tc>
      </w:tr>
      <w:tr w:rsidR="009021F1" w:rsidRPr="00114059" w14:paraId="4C1A0137" w14:textId="77777777" w:rsidTr="00E637E3">
        <w:trPr>
          <w:trHeight w:val="301"/>
        </w:trPr>
        <w:tc>
          <w:tcPr>
            <w:tcW w:w="1353" w:type="dxa"/>
            <w:tcBorders>
              <w:top w:val="single" w:sz="4" w:space="0" w:color="auto"/>
              <w:left w:val="single" w:sz="4" w:space="0" w:color="auto"/>
              <w:bottom w:val="single" w:sz="4" w:space="0" w:color="auto"/>
              <w:right w:val="single" w:sz="4" w:space="0" w:color="auto"/>
            </w:tcBorders>
          </w:tcPr>
          <w:p w14:paraId="14AF89AD" w14:textId="77777777" w:rsidR="009021F1" w:rsidRPr="00114059" w:rsidRDefault="009021F1" w:rsidP="00E637E3">
            <w:pPr>
              <w:rPr>
                <w:rFonts w:cs="Arial"/>
                <w:bCs/>
                <w:color w:val="000000"/>
                <w:sz w:val="20"/>
                <w:szCs w:val="20"/>
              </w:rPr>
            </w:pPr>
          </w:p>
          <w:p w14:paraId="2D4167B9" w14:textId="77777777" w:rsidR="009021F1" w:rsidRPr="00114059" w:rsidRDefault="009021F1" w:rsidP="00E637E3">
            <w:pPr>
              <w:rPr>
                <w:rFonts w:cs="Arial"/>
                <w:bCs/>
                <w:color w:val="000000"/>
                <w:sz w:val="20"/>
                <w:szCs w:val="20"/>
              </w:rPr>
            </w:pPr>
          </w:p>
          <w:p w14:paraId="4134EEB0" w14:textId="77777777" w:rsidR="009021F1" w:rsidRPr="00114059" w:rsidRDefault="009021F1" w:rsidP="00E637E3">
            <w:pPr>
              <w:rPr>
                <w:rFonts w:cs="Arial"/>
                <w:bCs/>
                <w:color w:val="000000"/>
                <w:sz w:val="20"/>
                <w:szCs w:val="20"/>
              </w:rPr>
            </w:pPr>
          </w:p>
          <w:p w14:paraId="26B59E8B" w14:textId="77777777" w:rsidR="009021F1" w:rsidRPr="00114059" w:rsidRDefault="009021F1" w:rsidP="00E637E3">
            <w:pPr>
              <w:rPr>
                <w:rFonts w:cs="Arial"/>
                <w:bCs/>
                <w:color w:val="000000"/>
                <w:sz w:val="20"/>
                <w:szCs w:val="20"/>
              </w:rPr>
            </w:pPr>
          </w:p>
          <w:p w14:paraId="209014B6" w14:textId="77777777" w:rsidR="009021F1" w:rsidRPr="00114059" w:rsidRDefault="009021F1" w:rsidP="00E637E3">
            <w:pPr>
              <w:rPr>
                <w:rFonts w:cs="Arial"/>
                <w:bCs/>
                <w:color w:val="000000"/>
                <w:sz w:val="20"/>
                <w:szCs w:val="20"/>
              </w:rPr>
            </w:pPr>
          </w:p>
          <w:p w14:paraId="52775844" w14:textId="77777777" w:rsidR="009021F1" w:rsidRPr="00114059" w:rsidRDefault="009021F1" w:rsidP="00E637E3">
            <w:pPr>
              <w:rPr>
                <w:rFonts w:cs="Arial"/>
                <w:bCs/>
                <w:color w:val="000000"/>
                <w:sz w:val="20"/>
                <w:szCs w:val="20"/>
              </w:rPr>
            </w:pPr>
            <w:r w:rsidRPr="00114059">
              <w:rPr>
                <w:rFonts w:cs="Arial"/>
                <w:bCs/>
                <w:color w:val="000000"/>
                <w:sz w:val="20"/>
                <w:szCs w:val="20"/>
              </w:rPr>
              <w:t>Construction</w:t>
            </w:r>
          </w:p>
        </w:tc>
        <w:tc>
          <w:tcPr>
            <w:tcW w:w="7647" w:type="dxa"/>
            <w:tcBorders>
              <w:top w:val="single" w:sz="4" w:space="0" w:color="auto"/>
              <w:left w:val="single" w:sz="4" w:space="0" w:color="auto"/>
              <w:bottom w:val="single" w:sz="4" w:space="0" w:color="auto"/>
              <w:right w:val="single" w:sz="4" w:space="0" w:color="auto"/>
            </w:tcBorders>
            <w:shd w:val="clear" w:color="auto" w:fill="auto"/>
          </w:tcPr>
          <w:p w14:paraId="478213DA"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 xml:space="preserve">Risque de perturbation des zones de frayères des cours d’eau ; </w:t>
            </w:r>
          </w:p>
          <w:p w14:paraId="6440624B"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 xml:space="preserve">Déforestation, dégradation des sols par érosion, destruction d’habitats lors des défrichements ; </w:t>
            </w:r>
          </w:p>
          <w:p w14:paraId="1507B7C2"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 xml:space="preserve">Destruction de la microfaune et de la matière organique ;  </w:t>
            </w:r>
          </w:p>
          <w:p w14:paraId="64213F27"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Risques de conflits d’usage (alimentation en eau potable, agriculture, élevage et pêche) ;</w:t>
            </w:r>
          </w:p>
          <w:p w14:paraId="6A80A56A"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Risques de conflits fonciers entre autochtones et investisseurs allochtones.</w:t>
            </w:r>
          </w:p>
          <w:p w14:paraId="6456C313"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Perte de terre de pâturage (empiétement sur des espaces sylvopastoraux) ;</w:t>
            </w:r>
          </w:p>
          <w:p w14:paraId="6F869B7F"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Risque de la découverte fortuite</w:t>
            </w:r>
          </w:p>
          <w:p w14:paraId="1A08510C"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Risque de découverte des des mines terrestres et restes explosifs de guerre (REG)</w:t>
            </w:r>
          </w:p>
        </w:tc>
      </w:tr>
      <w:tr w:rsidR="009021F1" w:rsidRPr="00114059" w14:paraId="55C01F64" w14:textId="77777777" w:rsidTr="00E637E3">
        <w:tc>
          <w:tcPr>
            <w:tcW w:w="1353" w:type="dxa"/>
            <w:tcBorders>
              <w:top w:val="single" w:sz="4" w:space="0" w:color="auto"/>
              <w:left w:val="single" w:sz="4" w:space="0" w:color="auto"/>
              <w:bottom w:val="single" w:sz="4" w:space="0" w:color="auto"/>
              <w:right w:val="single" w:sz="4" w:space="0" w:color="auto"/>
            </w:tcBorders>
          </w:tcPr>
          <w:p w14:paraId="1CAD7C3D" w14:textId="77777777" w:rsidR="009021F1" w:rsidRPr="00114059" w:rsidRDefault="009021F1" w:rsidP="00E637E3">
            <w:pPr>
              <w:rPr>
                <w:rFonts w:cs="Arial"/>
                <w:bCs/>
                <w:color w:val="000000"/>
                <w:sz w:val="20"/>
                <w:szCs w:val="20"/>
              </w:rPr>
            </w:pPr>
          </w:p>
          <w:p w14:paraId="46840128" w14:textId="77777777" w:rsidR="009021F1" w:rsidRPr="00114059" w:rsidRDefault="009021F1" w:rsidP="00E637E3">
            <w:pPr>
              <w:rPr>
                <w:rFonts w:cs="Arial"/>
                <w:bCs/>
                <w:color w:val="000000"/>
                <w:sz w:val="20"/>
                <w:szCs w:val="20"/>
              </w:rPr>
            </w:pPr>
          </w:p>
          <w:p w14:paraId="512D42EE" w14:textId="77777777" w:rsidR="009021F1" w:rsidRPr="00114059" w:rsidRDefault="009021F1" w:rsidP="00E637E3">
            <w:pPr>
              <w:rPr>
                <w:rFonts w:cs="Arial"/>
                <w:bCs/>
                <w:color w:val="000000"/>
                <w:sz w:val="20"/>
                <w:szCs w:val="20"/>
              </w:rPr>
            </w:pPr>
          </w:p>
          <w:p w14:paraId="506D97C6" w14:textId="77777777" w:rsidR="009021F1" w:rsidRPr="00114059" w:rsidRDefault="009021F1" w:rsidP="00E637E3">
            <w:pPr>
              <w:rPr>
                <w:rFonts w:cs="Arial"/>
                <w:bCs/>
                <w:color w:val="000000"/>
                <w:sz w:val="20"/>
                <w:szCs w:val="20"/>
              </w:rPr>
            </w:pPr>
          </w:p>
          <w:p w14:paraId="176475AD" w14:textId="77777777" w:rsidR="009021F1" w:rsidRPr="00114059" w:rsidRDefault="009021F1" w:rsidP="00E637E3">
            <w:pPr>
              <w:rPr>
                <w:rFonts w:cs="Arial"/>
                <w:bCs/>
                <w:color w:val="000000"/>
                <w:sz w:val="20"/>
                <w:szCs w:val="20"/>
              </w:rPr>
            </w:pPr>
          </w:p>
          <w:p w14:paraId="04033329" w14:textId="77777777" w:rsidR="009021F1" w:rsidRPr="00114059" w:rsidRDefault="009021F1" w:rsidP="00E637E3">
            <w:pPr>
              <w:rPr>
                <w:rFonts w:cs="Arial"/>
                <w:bCs/>
                <w:color w:val="000000"/>
                <w:sz w:val="20"/>
                <w:szCs w:val="20"/>
              </w:rPr>
            </w:pPr>
          </w:p>
          <w:p w14:paraId="09CE600C" w14:textId="77777777" w:rsidR="009021F1" w:rsidRPr="00114059" w:rsidRDefault="009021F1" w:rsidP="00E637E3">
            <w:pPr>
              <w:rPr>
                <w:rFonts w:cs="Arial"/>
                <w:bCs/>
                <w:color w:val="000000"/>
                <w:sz w:val="20"/>
                <w:szCs w:val="20"/>
              </w:rPr>
            </w:pPr>
          </w:p>
          <w:p w14:paraId="4D477005" w14:textId="77777777" w:rsidR="009021F1" w:rsidRPr="00114059" w:rsidRDefault="009021F1" w:rsidP="00E637E3">
            <w:pPr>
              <w:rPr>
                <w:rFonts w:cs="Arial"/>
                <w:bCs/>
                <w:color w:val="000000"/>
                <w:sz w:val="20"/>
                <w:szCs w:val="20"/>
              </w:rPr>
            </w:pPr>
            <w:r w:rsidRPr="00114059">
              <w:rPr>
                <w:rFonts w:cs="Arial"/>
                <w:bCs/>
                <w:color w:val="000000"/>
                <w:sz w:val="20"/>
                <w:szCs w:val="20"/>
              </w:rPr>
              <w:t>Exploitation</w:t>
            </w:r>
          </w:p>
        </w:tc>
        <w:tc>
          <w:tcPr>
            <w:tcW w:w="7647" w:type="dxa"/>
            <w:tcBorders>
              <w:top w:val="single" w:sz="4" w:space="0" w:color="auto"/>
              <w:left w:val="single" w:sz="4" w:space="0" w:color="auto"/>
              <w:bottom w:val="single" w:sz="4" w:space="0" w:color="auto"/>
              <w:right w:val="single" w:sz="4" w:space="0" w:color="auto"/>
            </w:tcBorders>
          </w:tcPr>
          <w:p w14:paraId="48A14A7B"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 xml:space="preserve">Augmentation des maladies liées à l'eau ; </w:t>
            </w:r>
          </w:p>
          <w:p w14:paraId="6EB32247"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Forte pression sur le foncier et sur l’eau avec l’augmentation des aménagements</w:t>
            </w:r>
          </w:p>
          <w:p w14:paraId="6936F693"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 xml:space="preserve">Perte de la fertilité des sols ; </w:t>
            </w:r>
          </w:p>
          <w:p w14:paraId="7C9E5E1C"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 xml:space="preserve">Pollution des eaux et des sols dues aux pesticides et aux engrais ; </w:t>
            </w:r>
          </w:p>
          <w:p w14:paraId="628D49E9"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 xml:space="preserve">Nuisances sanitaires dues aux pesticides ; </w:t>
            </w:r>
          </w:p>
          <w:p w14:paraId="615965A8"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 xml:space="preserve">Destruction des non cibles par les pesticides ; </w:t>
            </w:r>
          </w:p>
          <w:p w14:paraId="3D9DBB18"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 xml:space="preserve">Nuisances en cas d’utilisation de fumure organique non maîtrisée ; </w:t>
            </w:r>
          </w:p>
          <w:p w14:paraId="671F521F"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 xml:space="preserve">Augmentation des maladies liées à l'eau ; </w:t>
            </w:r>
          </w:p>
          <w:p w14:paraId="379E5743"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Accentuation des conflits agriculteurs-éleveurs pour l'accès à l'eau ou aux pâturages ;</w:t>
            </w:r>
          </w:p>
          <w:p w14:paraId="508683AD"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Risque de propagation de COVID-19 si les mesures barrières ou de préventions ne sont pas respectées.</w:t>
            </w:r>
          </w:p>
          <w:p w14:paraId="5376519F"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 xml:space="preserve">Pertes éventuelles de revenus ou de biens durant les travaux ; </w:t>
            </w:r>
          </w:p>
          <w:p w14:paraId="7D262F6D"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Risques de maladies comme les IST/VIH/SIDA ;</w:t>
            </w:r>
          </w:p>
          <w:p w14:paraId="3CF673AA" w14:textId="77777777" w:rsidR="009021F1" w:rsidRPr="00114059" w:rsidRDefault="009021F1" w:rsidP="00E637E3">
            <w:pPr>
              <w:numPr>
                <w:ilvl w:val="0"/>
                <w:numId w:val="24"/>
              </w:numPr>
              <w:tabs>
                <w:tab w:val="clear" w:pos="360"/>
              </w:tabs>
              <w:ind w:left="249" w:hanging="249"/>
              <w:jc w:val="left"/>
              <w:rPr>
                <w:rFonts w:cs="Arial"/>
                <w:color w:val="000000"/>
                <w:sz w:val="20"/>
                <w:szCs w:val="20"/>
              </w:rPr>
            </w:pPr>
            <w:r w:rsidRPr="00114059">
              <w:rPr>
                <w:rFonts w:cs="Arial"/>
                <w:color w:val="000000"/>
                <w:sz w:val="20"/>
                <w:szCs w:val="20"/>
              </w:rPr>
              <w:t>Risques d’EAS/HS suite aux travaux.</w:t>
            </w:r>
          </w:p>
        </w:tc>
      </w:tr>
    </w:tbl>
    <w:p w14:paraId="468128FA" w14:textId="77777777" w:rsidR="009021F1" w:rsidRPr="00114059" w:rsidRDefault="009021F1" w:rsidP="009021F1">
      <w:pPr>
        <w:pStyle w:val="Lgende"/>
        <w:rPr>
          <w:rFonts w:cs="Arial"/>
          <w:color w:val="000000"/>
          <w:szCs w:val="21"/>
        </w:rPr>
      </w:pPr>
    </w:p>
    <w:p w14:paraId="640DDD01" w14:textId="77777777" w:rsidR="009021F1" w:rsidRPr="00114059" w:rsidRDefault="009021F1" w:rsidP="009021F1">
      <w:pPr>
        <w:pStyle w:val="Lgende"/>
        <w:rPr>
          <w:rFonts w:cs="Arial"/>
          <w:b/>
          <w:bCs w:val="0"/>
          <w:color w:val="000000"/>
          <w:szCs w:val="21"/>
        </w:rPr>
      </w:pPr>
      <w:r w:rsidRPr="00114059">
        <w:rPr>
          <w:rFonts w:cs="Arial"/>
          <w:color w:val="000000"/>
          <w:szCs w:val="21"/>
        </w:rPr>
        <w:t xml:space="preserve">Tableau </w:t>
      </w:r>
      <w:r w:rsidRPr="00114059">
        <w:rPr>
          <w:rFonts w:cs="Arial"/>
          <w:color w:val="000000"/>
          <w:szCs w:val="21"/>
        </w:rPr>
        <w:fldChar w:fldCharType="begin"/>
      </w:r>
      <w:r w:rsidRPr="00114059">
        <w:rPr>
          <w:rFonts w:cs="Arial"/>
          <w:color w:val="000000"/>
          <w:szCs w:val="21"/>
        </w:rPr>
        <w:instrText xml:space="preserve"> SEQ Tableau \* ARABIC </w:instrText>
      </w:r>
      <w:r w:rsidRPr="00114059">
        <w:rPr>
          <w:rFonts w:cs="Arial"/>
          <w:color w:val="000000"/>
          <w:szCs w:val="21"/>
        </w:rPr>
        <w:fldChar w:fldCharType="separate"/>
      </w:r>
      <w:r>
        <w:rPr>
          <w:rFonts w:cs="Arial"/>
          <w:noProof/>
          <w:color w:val="000000"/>
          <w:szCs w:val="21"/>
        </w:rPr>
        <w:t>31</w:t>
      </w:r>
      <w:r w:rsidRPr="00114059">
        <w:rPr>
          <w:rFonts w:cs="Arial"/>
          <w:color w:val="000000"/>
          <w:szCs w:val="21"/>
        </w:rPr>
        <w:fldChar w:fldCharType="end"/>
      </w:r>
      <w:r w:rsidRPr="00114059">
        <w:rPr>
          <w:rFonts w:cs="Arial"/>
          <w:color w:val="000000"/>
          <w:szCs w:val="21"/>
        </w:rPr>
        <w:t>.</w:t>
      </w:r>
      <w:r w:rsidRPr="00114059">
        <w:rPr>
          <w:rFonts w:cs="Arial"/>
          <w:bCs w:val="0"/>
          <w:color w:val="000000"/>
          <w:szCs w:val="21"/>
        </w:rPr>
        <w:t xml:space="preserve"> </w:t>
      </w:r>
      <w:r w:rsidRPr="00114059">
        <w:rPr>
          <w:rFonts w:cs="Arial"/>
          <w:color w:val="000000"/>
          <w:szCs w:val="21"/>
        </w:rPr>
        <w:t xml:space="preserve"> Synthèse de l’appréciation des impacts des </w:t>
      </w:r>
      <w:r w:rsidRPr="00114059">
        <w:rPr>
          <w:rFonts w:cs="Arial"/>
          <w:bCs w:val="0"/>
          <w:color w:val="000000"/>
          <w:szCs w:val="21"/>
        </w:rPr>
        <w:t>composantes</w:t>
      </w:r>
    </w:p>
    <w:p w14:paraId="02E45592" w14:textId="77777777" w:rsidR="009021F1" w:rsidRPr="00114059" w:rsidRDefault="009021F1" w:rsidP="009021F1">
      <w:pPr>
        <w:rPr>
          <w:rFonts w:cs="Arial"/>
          <w:color w:val="000000"/>
          <w:sz w:val="16"/>
          <w:szCs w:val="16"/>
          <w:lang w:eastAsia="en-US"/>
        </w:rPr>
      </w:pPr>
    </w:p>
    <w:tbl>
      <w:tblPr>
        <w:tblW w:w="9000"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5580"/>
        <w:gridCol w:w="1710"/>
        <w:gridCol w:w="1710"/>
      </w:tblGrid>
      <w:tr w:rsidR="009021F1" w:rsidRPr="00114059" w14:paraId="3FC4EA52" w14:textId="77777777" w:rsidTr="00E637E3">
        <w:trPr>
          <w:cantSplit/>
          <w:trHeight w:val="535"/>
        </w:trPr>
        <w:tc>
          <w:tcPr>
            <w:tcW w:w="5580" w:type="dxa"/>
            <w:vAlign w:val="center"/>
          </w:tcPr>
          <w:p w14:paraId="0CB36C3A" w14:textId="77777777" w:rsidR="009021F1" w:rsidRPr="00114059" w:rsidRDefault="009021F1" w:rsidP="00E637E3">
            <w:pPr>
              <w:pStyle w:val="TableText"/>
              <w:spacing w:before="0" w:line="276" w:lineRule="auto"/>
              <w:jc w:val="center"/>
              <w:rPr>
                <w:rFonts w:cs="Arial"/>
                <w:bCs/>
                <w:color w:val="000000"/>
                <w:sz w:val="20"/>
                <w:lang w:eastAsia="fr-FR"/>
              </w:rPr>
            </w:pPr>
            <w:r w:rsidRPr="00114059">
              <w:rPr>
                <w:rFonts w:cs="Arial"/>
                <w:bCs/>
                <w:color w:val="000000"/>
                <w:sz w:val="20"/>
                <w:lang w:eastAsia="fr-FR"/>
              </w:rPr>
              <w:t>Catégories des composantes</w:t>
            </w:r>
          </w:p>
        </w:tc>
        <w:tc>
          <w:tcPr>
            <w:tcW w:w="1710" w:type="dxa"/>
            <w:vAlign w:val="center"/>
          </w:tcPr>
          <w:p w14:paraId="5A4BAAAA" w14:textId="77777777" w:rsidR="009021F1" w:rsidRPr="00114059" w:rsidRDefault="009021F1" w:rsidP="00E637E3">
            <w:pPr>
              <w:jc w:val="center"/>
              <w:rPr>
                <w:rFonts w:cs="Arial"/>
                <w:bCs/>
                <w:color w:val="000000"/>
                <w:sz w:val="20"/>
                <w:szCs w:val="20"/>
              </w:rPr>
            </w:pPr>
            <w:r w:rsidRPr="00114059">
              <w:rPr>
                <w:rFonts w:cs="Arial"/>
                <w:bCs/>
                <w:color w:val="000000"/>
                <w:sz w:val="20"/>
                <w:szCs w:val="20"/>
              </w:rPr>
              <w:t>Impacts Positifs</w:t>
            </w:r>
          </w:p>
        </w:tc>
        <w:tc>
          <w:tcPr>
            <w:tcW w:w="1710" w:type="dxa"/>
            <w:vAlign w:val="center"/>
          </w:tcPr>
          <w:p w14:paraId="23DF1211" w14:textId="77777777" w:rsidR="009021F1" w:rsidRPr="00114059" w:rsidRDefault="009021F1" w:rsidP="00E637E3">
            <w:pPr>
              <w:jc w:val="center"/>
              <w:rPr>
                <w:rFonts w:cs="Arial"/>
                <w:bCs/>
                <w:color w:val="000000"/>
                <w:sz w:val="20"/>
                <w:szCs w:val="20"/>
              </w:rPr>
            </w:pPr>
            <w:r w:rsidRPr="00114059">
              <w:rPr>
                <w:rFonts w:cs="Arial"/>
                <w:bCs/>
                <w:color w:val="000000"/>
                <w:sz w:val="20"/>
                <w:szCs w:val="20"/>
              </w:rPr>
              <w:t>Impacts Négatifs</w:t>
            </w:r>
          </w:p>
        </w:tc>
      </w:tr>
      <w:tr w:rsidR="009021F1" w:rsidRPr="00114059" w14:paraId="576DFC4E" w14:textId="77777777" w:rsidTr="00E637E3">
        <w:trPr>
          <w:trHeight w:val="381"/>
        </w:trPr>
        <w:tc>
          <w:tcPr>
            <w:tcW w:w="5580" w:type="dxa"/>
            <w:vAlign w:val="center"/>
          </w:tcPr>
          <w:p w14:paraId="005E24F5" w14:textId="77777777" w:rsidR="009021F1" w:rsidRPr="00114059" w:rsidRDefault="009021F1" w:rsidP="00E637E3">
            <w:pPr>
              <w:jc w:val="left"/>
              <w:rPr>
                <w:rFonts w:cs="Arial"/>
                <w:color w:val="000000"/>
                <w:sz w:val="20"/>
                <w:szCs w:val="20"/>
              </w:rPr>
            </w:pPr>
            <w:r w:rsidRPr="00114059">
              <w:rPr>
                <w:rFonts w:cs="Arial"/>
                <w:color w:val="000000"/>
                <w:sz w:val="20"/>
                <w:szCs w:val="20"/>
              </w:rPr>
              <w:t>Productivité agricole</w:t>
            </w:r>
          </w:p>
        </w:tc>
        <w:tc>
          <w:tcPr>
            <w:tcW w:w="1710" w:type="dxa"/>
            <w:vAlign w:val="center"/>
          </w:tcPr>
          <w:p w14:paraId="36BC8453" w14:textId="77777777" w:rsidR="009021F1" w:rsidRPr="00114059" w:rsidRDefault="009021F1" w:rsidP="00E637E3">
            <w:pPr>
              <w:jc w:val="center"/>
              <w:rPr>
                <w:rFonts w:cs="Arial"/>
                <w:color w:val="000000"/>
                <w:sz w:val="20"/>
                <w:szCs w:val="20"/>
              </w:rPr>
            </w:pPr>
            <w:r w:rsidRPr="00114059">
              <w:rPr>
                <w:rFonts w:cs="Arial"/>
                <w:color w:val="000000"/>
                <w:sz w:val="20"/>
                <w:szCs w:val="20"/>
              </w:rPr>
              <w:t>Majeur</w:t>
            </w:r>
          </w:p>
        </w:tc>
        <w:tc>
          <w:tcPr>
            <w:tcW w:w="1710" w:type="dxa"/>
            <w:vAlign w:val="center"/>
          </w:tcPr>
          <w:p w14:paraId="792D3C44" w14:textId="77777777" w:rsidR="009021F1" w:rsidRPr="00114059" w:rsidRDefault="009021F1" w:rsidP="00E637E3">
            <w:pPr>
              <w:jc w:val="center"/>
              <w:rPr>
                <w:rFonts w:cs="Arial"/>
                <w:color w:val="000000"/>
                <w:sz w:val="20"/>
                <w:szCs w:val="20"/>
              </w:rPr>
            </w:pPr>
            <w:r w:rsidRPr="00114059">
              <w:rPr>
                <w:rFonts w:cs="Arial"/>
                <w:color w:val="000000"/>
                <w:sz w:val="20"/>
                <w:szCs w:val="20"/>
              </w:rPr>
              <w:t>Substantiel</w:t>
            </w:r>
          </w:p>
        </w:tc>
      </w:tr>
      <w:tr w:rsidR="009021F1" w:rsidRPr="00114059" w14:paraId="6126B56E" w14:textId="77777777" w:rsidTr="00E637E3">
        <w:trPr>
          <w:trHeight w:val="288"/>
        </w:trPr>
        <w:tc>
          <w:tcPr>
            <w:tcW w:w="5580" w:type="dxa"/>
            <w:vAlign w:val="center"/>
          </w:tcPr>
          <w:p w14:paraId="31752310" w14:textId="77777777" w:rsidR="009021F1" w:rsidRPr="00114059" w:rsidRDefault="009021F1" w:rsidP="00E637E3">
            <w:pPr>
              <w:jc w:val="left"/>
              <w:rPr>
                <w:rFonts w:cs="Arial"/>
                <w:color w:val="000000"/>
                <w:sz w:val="20"/>
                <w:szCs w:val="20"/>
              </w:rPr>
            </w:pPr>
            <w:r w:rsidRPr="00114059">
              <w:rPr>
                <w:rFonts w:cs="Arial"/>
                <w:color w:val="000000"/>
                <w:sz w:val="20"/>
                <w:szCs w:val="20"/>
              </w:rPr>
              <w:t>Accès au marché des petits exploitants : Travaux de réhabilitation des routes rurales et marchés communautaires</w:t>
            </w:r>
          </w:p>
        </w:tc>
        <w:tc>
          <w:tcPr>
            <w:tcW w:w="1710" w:type="dxa"/>
            <w:vAlign w:val="center"/>
          </w:tcPr>
          <w:p w14:paraId="75CEF7C6" w14:textId="77777777" w:rsidR="009021F1" w:rsidRPr="00114059" w:rsidRDefault="009021F1" w:rsidP="00E637E3">
            <w:pPr>
              <w:jc w:val="center"/>
              <w:rPr>
                <w:rFonts w:cs="Arial"/>
                <w:color w:val="000000"/>
                <w:sz w:val="20"/>
                <w:szCs w:val="20"/>
              </w:rPr>
            </w:pPr>
            <w:r w:rsidRPr="00114059">
              <w:rPr>
                <w:rFonts w:cs="Arial"/>
                <w:color w:val="000000"/>
                <w:sz w:val="20"/>
                <w:szCs w:val="20"/>
              </w:rPr>
              <w:t>Majeur</w:t>
            </w:r>
          </w:p>
        </w:tc>
        <w:tc>
          <w:tcPr>
            <w:tcW w:w="1710" w:type="dxa"/>
            <w:vAlign w:val="center"/>
          </w:tcPr>
          <w:p w14:paraId="20045467" w14:textId="77777777" w:rsidR="009021F1" w:rsidRPr="00114059" w:rsidRDefault="009021F1" w:rsidP="00E637E3">
            <w:pPr>
              <w:jc w:val="center"/>
              <w:rPr>
                <w:rFonts w:cs="Arial"/>
                <w:color w:val="000000"/>
                <w:sz w:val="20"/>
                <w:szCs w:val="20"/>
              </w:rPr>
            </w:pPr>
            <w:r w:rsidRPr="00114059">
              <w:rPr>
                <w:rFonts w:cs="Arial"/>
                <w:color w:val="000000"/>
                <w:sz w:val="20"/>
                <w:szCs w:val="20"/>
              </w:rPr>
              <w:t>Substantiel</w:t>
            </w:r>
          </w:p>
        </w:tc>
      </w:tr>
      <w:tr w:rsidR="009021F1" w:rsidRPr="00114059" w14:paraId="4B0BE83D" w14:textId="77777777" w:rsidTr="00E637E3">
        <w:trPr>
          <w:cantSplit/>
          <w:trHeight w:val="288"/>
        </w:trPr>
        <w:tc>
          <w:tcPr>
            <w:tcW w:w="5580" w:type="dxa"/>
            <w:vAlign w:val="center"/>
          </w:tcPr>
          <w:p w14:paraId="250B17C7" w14:textId="77777777" w:rsidR="009021F1" w:rsidRPr="00114059" w:rsidRDefault="009021F1" w:rsidP="00E637E3">
            <w:pPr>
              <w:jc w:val="left"/>
              <w:rPr>
                <w:rFonts w:cs="Arial"/>
                <w:color w:val="000000"/>
                <w:sz w:val="20"/>
                <w:szCs w:val="20"/>
              </w:rPr>
            </w:pPr>
            <w:r w:rsidRPr="00114059">
              <w:rPr>
                <w:rFonts w:cs="Arial"/>
                <w:color w:val="000000"/>
                <w:sz w:val="20"/>
                <w:szCs w:val="20"/>
              </w:rPr>
              <w:t>Biens et services publics agricole : renforcement des capacités des ministères clés</w:t>
            </w:r>
          </w:p>
        </w:tc>
        <w:tc>
          <w:tcPr>
            <w:tcW w:w="1710" w:type="dxa"/>
            <w:vAlign w:val="center"/>
          </w:tcPr>
          <w:p w14:paraId="359BE677" w14:textId="77777777" w:rsidR="009021F1" w:rsidRPr="00114059" w:rsidRDefault="009021F1" w:rsidP="00E637E3">
            <w:pPr>
              <w:jc w:val="center"/>
              <w:rPr>
                <w:rFonts w:cs="Arial"/>
                <w:color w:val="000000"/>
                <w:sz w:val="20"/>
                <w:szCs w:val="20"/>
              </w:rPr>
            </w:pPr>
            <w:r w:rsidRPr="00114059">
              <w:rPr>
                <w:rFonts w:cs="Arial"/>
                <w:color w:val="000000"/>
                <w:sz w:val="20"/>
                <w:szCs w:val="20"/>
              </w:rPr>
              <w:t>Majeur</w:t>
            </w:r>
          </w:p>
        </w:tc>
        <w:tc>
          <w:tcPr>
            <w:tcW w:w="1710" w:type="dxa"/>
            <w:vAlign w:val="center"/>
          </w:tcPr>
          <w:p w14:paraId="38E52D69" w14:textId="77777777" w:rsidR="009021F1" w:rsidRPr="00114059" w:rsidRDefault="009021F1" w:rsidP="00E637E3">
            <w:pPr>
              <w:jc w:val="center"/>
              <w:rPr>
                <w:rFonts w:cs="Arial"/>
                <w:color w:val="000000"/>
                <w:sz w:val="20"/>
                <w:szCs w:val="20"/>
              </w:rPr>
            </w:pPr>
            <w:r w:rsidRPr="00114059">
              <w:rPr>
                <w:rFonts w:cs="Arial"/>
                <w:color w:val="000000"/>
                <w:sz w:val="20"/>
                <w:szCs w:val="20"/>
              </w:rPr>
              <w:t>Substantiel</w:t>
            </w:r>
          </w:p>
        </w:tc>
      </w:tr>
    </w:tbl>
    <w:p w14:paraId="22D956DC" w14:textId="77777777" w:rsidR="009021F1" w:rsidRPr="00114059" w:rsidRDefault="009021F1" w:rsidP="009021F1">
      <w:pPr>
        <w:spacing w:line="240" w:lineRule="auto"/>
        <w:jc w:val="left"/>
        <w:rPr>
          <w:rFonts w:cs="Arial"/>
          <w:bCs/>
          <w:i/>
          <w:color w:val="000000"/>
          <w:sz w:val="20"/>
          <w:szCs w:val="20"/>
        </w:rPr>
      </w:pPr>
    </w:p>
    <w:p w14:paraId="06E60294" w14:textId="77777777" w:rsidR="009021F1" w:rsidRPr="00394DC0" w:rsidRDefault="009021F1" w:rsidP="009021F1">
      <w:pPr>
        <w:pStyle w:val="Titre2"/>
        <w:numPr>
          <w:ilvl w:val="2"/>
          <w:numId w:val="4"/>
        </w:numPr>
        <w:ind w:left="1560" w:hanging="709"/>
        <w:rPr>
          <w:rFonts w:cs="Arial"/>
          <w:i/>
          <w:color w:val="000000"/>
          <w:sz w:val="20"/>
          <w:szCs w:val="20"/>
          <w:highlight w:val="cyan"/>
        </w:rPr>
        <w:sectPr w:rsidR="009021F1" w:rsidRPr="00394DC0" w:rsidSect="00E637E3">
          <w:pgSz w:w="11906" w:h="16838"/>
          <w:pgMar w:top="1134" w:right="1418" w:bottom="1134" w:left="1418" w:header="567" w:footer="328" w:gutter="0"/>
          <w:cols w:space="708"/>
          <w:docGrid w:linePitch="360"/>
        </w:sectPr>
      </w:pPr>
    </w:p>
    <w:p w14:paraId="40FD9446" w14:textId="77777777" w:rsidR="009021F1" w:rsidRPr="00114059" w:rsidRDefault="009021F1" w:rsidP="009021F1">
      <w:pPr>
        <w:pStyle w:val="Titre2"/>
        <w:numPr>
          <w:ilvl w:val="2"/>
          <w:numId w:val="4"/>
        </w:numPr>
        <w:ind w:left="1560" w:hanging="709"/>
        <w:rPr>
          <w:rFonts w:cs="Arial"/>
          <w:i/>
          <w:color w:val="000000"/>
          <w:szCs w:val="21"/>
        </w:rPr>
      </w:pPr>
      <w:bookmarkStart w:id="398" w:name="_Toc90471504"/>
      <w:r w:rsidRPr="00114059">
        <w:rPr>
          <w:rFonts w:cs="Arial"/>
          <w:i/>
          <w:color w:val="000000"/>
          <w:szCs w:val="21"/>
        </w:rPr>
        <w:t>Mesures de bonification des impacts positifs et d’atténuation des impacts négatifs</w:t>
      </w:r>
      <w:bookmarkEnd w:id="398"/>
    </w:p>
    <w:p w14:paraId="5B2E1739" w14:textId="77777777" w:rsidR="009021F1" w:rsidRPr="00114059" w:rsidRDefault="009021F1" w:rsidP="009021F1">
      <w:pPr>
        <w:pStyle w:val="Titre4"/>
        <w:spacing w:before="0" w:after="0"/>
        <w:ind w:left="0" w:firstLine="0"/>
        <w:rPr>
          <w:rFonts w:ascii="Arial" w:hAnsi="Arial" w:cs="Arial"/>
          <w:i/>
          <w:color w:val="000000"/>
          <w:sz w:val="21"/>
          <w:szCs w:val="21"/>
        </w:rPr>
      </w:pPr>
    </w:p>
    <w:p w14:paraId="123DBEBA" w14:textId="77777777" w:rsidR="009021F1" w:rsidRPr="00114059" w:rsidRDefault="009021F1" w:rsidP="009021F1">
      <w:pPr>
        <w:pStyle w:val="Titre4"/>
        <w:spacing w:before="0" w:after="0"/>
        <w:ind w:left="0" w:firstLine="0"/>
        <w:rPr>
          <w:rFonts w:ascii="Arial" w:hAnsi="Arial" w:cs="Arial"/>
          <w:b w:val="0"/>
          <w:i/>
          <w:color w:val="000000"/>
          <w:sz w:val="21"/>
          <w:szCs w:val="21"/>
        </w:rPr>
      </w:pPr>
      <w:r w:rsidRPr="00114059">
        <w:rPr>
          <w:rFonts w:ascii="Arial" w:hAnsi="Arial" w:cs="Arial"/>
          <w:b w:val="0"/>
          <w:i/>
          <w:color w:val="000000"/>
          <w:sz w:val="21"/>
          <w:szCs w:val="21"/>
        </w:rPr>
        <w:t>Mesures de bonification</w:t>
      </w:r>
    </w:p>
    <w:p w14:paraId="65CA90F4" w14:textId="77777777" w:rsidR="009021F1" w:rsidRPr="00114059" w:rsidRDefault="009021F1" w:rsidP="009021F1">
      <w:pPr>
        <w:rPr>
          <w:rFonts w:eastAsia="Arial Unicode MS" w:cs="Arial"/>
          <w:color w:val="000000"/>
          <w:szCs w:val="21"/>
        </w:rPr>
      </w:pPr>
    </w:p>
    <w:p w14:paraId="2727C100" w14:textId="77777777" w:rsidR="009021F1" w:rsidRPr="00114059" w:rsidRDefault="009021F1" w:rsidP="009021F1">
      <w:pPr>
        <w:pStyle w:val="Lgende"/>
        <w:rPr>
          <w:rFonts w:cs="Arial"/>
          <w:bCs w:val="0"/>
          <w:iCs/>
          <w:color w:val="000000"/>
          <w:szCs w:val="21"/>
        </w:rPr>
      </w:pPr>
      <w:r w:rsidRPr="00114059">
        <w:rPr>
          <w:rFonts w:cs="Arial"/>
          <w:color w:val="000000"/>
          <w:szCs w:val="21"/>
        </w:rPr>
        <w:t xml:space="preserve">Tableau </w:t>
      </w:r>
      <w:r w:rsidRPr="00114059">
        <w:rPr>
          <w:rFonts w:cs="Arial"/>
          <w:color w:val="000000"/>
          <w:szCs w:val="21"/>
        </w:rPr>
        <w:fldChar w:fldCharType="begin"/>
      </w:r>
      <w:r w:rsidRPr="00114059">
        <w:rPr>
          <w:rFonts w:cs="Arial"/>
          <w:color w:val="000000"/>
          <w:szCs w:val="21"/>
        </w:rPr>
        <w:instrText xml:space="preserve"> SEQ Tableau \* ARABIC </w:instrText>
      </w:r>
      <w:r w:rsidRPr="00114059">
        <w:rPr>
          <w:rFonts w:cs="Arial"/>
          <w:color w:val="000000"/>
          <w:szCs w:val="21"/>
        </w:rPr>
        <w:fldChar w:fldCharType="separate"/>
      </w:r>
      <w:r>
        <w:rPr>
          <w:rFonts w:cs="Arial"/>
          <w:noProof/>
          <w:color w:val="000000"/>
          <w:szCs w:val="21"/>
        </w:rPr>
        <w:t>32</w:t>
      </w:r>
      <w:r w:rsidRPr="00114059">
        <w:rPr>
          <w:rFonts w:cs="Arial"/>
          <w:color w:val="000000"/>
          <w:szCs w:val="21"/>
        </w:rPr>
        <w:fldChar w:fldCharType="end"/>
      </w:r>
      <w:r w:rsidRPr="00114059">
        <w:rPr>
          <w:rFonts w:cs="Arial"/>
          <w:color w:val="000000"/>
          <w:szCs w:val="21"/>
        </w:rPr>
        <w:t>.</w:t>
      </w:r>
      <w:r w:rsidRPr="00114059">
        <w:rPr>
          <w:rFonts w:cs="Arial"/>
          <w:bCs w:val="0"/>
          <w:color w:val="000000"/>
          <w:szCs w:val="21"/>
        </w:rPr>
        <w:t xml:space="preserve"> </w:t>
      </w:r>
      <w:r w:rsidRPr="00114059">
        <w:rPr>
          <w:rFonts w:cs="Arial"/>
          <w:color w:val="000000"/>
          <w:szCs w:val="21"/>
        </w:rPr>
        <w:t xml:space="preserve"> </w:t>
      </w:r>
      <w:r w:rsidRPr="00114059">
        <w:rPr>
          <w:rFonts w:cs="Arial"/>
          <w:bCs w:val="0"/>
          <w:iCs/>
          <w:color w:val="000000"/>
          <w:szCs w:val="21"/>
        </w:rPr>
        <w:t>Mesures de bonification des impacts positifs de toutes les composantes</w:t>
      </w:r>
    </w:p>
    <w:p w14:paraId="3B23E71B" w14:textId="77777777" w:rsidR="009021F1" w:rsidRPr="00114059" w:rsidRDefault="009021F1" w:rsidP="009021F1">
      <w:pPr>
        <w:rPr>
          <w:bCs/>
          <w:szCs w:val="21"/>
          <w:highlight w:val="cyan"/>
        </w:rPr>
      </w:pPr>
    </w:p>
    <w:tbl>
      <w:tblPr>
        <w:tblW w:w="14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3"/>
        <w:gridCol w:w="2607"/>
        <w:gridCol w:w="3843"/>
        <w:gridCol w:w="2268"/>
        <w:gridCol w:w="1984"/>
        <w:gridCol w:w="1985"/>
      </w:tblGrid>
      <w:tr w:rsidR="009021F1" w:rsidRPr="00114059" w14:paraId="1B54C390" w14:textId="77777777" w:rsidTr="00E637E3">
        <w:tc>
          <w:tcPr>
            <w:tcW w:w="1783" w:type="dxa"/>
            <w:vMerge w:val="restart"/>
            <w:tcBorders>
              <w:top w:val="single" w:sz="4" w:space="0" w:color="auto"/>
              <w:left w:val="single" w:sz="4" w:space="0" w:color="auto"/>
              <w:right w:val="single" w:sz="4" w:space="0" w:color="auto"/>
            </w:tcBorders>
            <w:shd w:val="clear" w:color="auto" w:fill="auto"/>
            <w:vAlign w:val="center"/>
          </w:tcPr>
          <w:p w14:paraId="6B65C2EF" w14:textId="77777777" w:rsidR="009021F1" w:rsidRPr="00114059" w:rsidRDefault="009021F1" w:rsidP="00E637E3">
            <w:pPr>
              <w:jc w:val="center"/>
              <w:rPr>
                <w:rFonts w:cs="Arial"/>
                <w:b/>
                <w:sz w:val="20"/>
                <w:szCs w:val="20"/>
                <w:lang w:val="en-US"/>
              </w:rPr>
            </w:pPr>
            <w:r w:rsidRPr="00114059">
              <w:rPr>
                <w:rFonts w:cs="Arial"/>
                <w:b/>
                <w:color w:val="000000"/>
                <w:sz w:val="20"/>
                <w:szCs w:val="20"/>
                <w:lang w:val="en-US"/>
              </w:rPr>
              <w:t>Composantes</w:t>
            </w:r>
          </w:p>
        </w:tc>
        <w:tc>
          <w:tcPr>
            <w:tcW w:w="2607" w:type="dxa"/>
            <w:vMerge w:val="restart"/>
            <w:tcBorders>
              <w:top w:val="single" w:sz="4" w:space="0" w:color="auto"/>
              <w:left w:val="single" w:sz="4" w:space="0" w:color="auto"/>
              <w:right w:val="single" w:sz="4" w:space="0" w:color="auto"/>
            </w:tcBorders>
            <w:shd w:val="clear" w:color="auto" w:fill="auto"/>
            <w:vAlign w:val="center"/>
          </w:tcPr>
          <w:p w14:paraId="39F439A5" w14:textId="77777777" w:rsidR="009021F1" w:rsidRPr="00114059" w:rsidRDefault="009021F1" w:rsidP="00E637E3">
            <w:pPr>
              <w:jc w:val="center"/>
              <w:rPr>
                <w:rFonts w:cs="Arial"/>
                <w:b/>
                <w:sz w:val="20"/>
                <w:szCs w:val="20"/>
                <w:lang w:val="en-US"/>
              </w:rPr>
            </w:pPr>
            <w:r w:rsidRPr="00114059">
              <w:rPr>
                <w:rFonts w:cs="Arial"/>
                <w:b/>
                <w:color w:val="000000"/>
                <w:sz w:val="20"/>
                <w:szCs w:val="20"/>
                <w:lang w:val="en-US"/>
              </w:rPr>
              <w:t>Impacts potentiels</w:t>
            </w:r>
          </w:p>
        </w:tc>
        <w:tc>
          <w:tcPr>
            <w:tcW w:w="3843" w:type="dxa"/>
            <w:vMerge w:val="restart"/>
            <w:tcBorders>
              <w:top w:val="single" w:sz="4" w:space="0" w:color="auto"/>
              <w:left w:val="single" w:sz="4" w:space="0" w:color="auto"/>
              <w:right w:val="single" w:sz="4" w:space="0" w:color="auto"/>
            </w:tcBorders>
            <w:shd w:val="clear" w:color="auto" w:fill="auto"/>
          </w:tcPr>
          <w:p w14:paraId="69543B4B" w14:textId="77777777" w:rsidR="009021F1" w:rsidRPr="00114059" w:rsidRDefault="009021F1" w:rsidP="00E637E3">
            <w:pPr>
              <w:jc w:val="center"/>
              <w:rPr>
                <w:rFonts w:cs="Arial"/>
                <w:b/>
                <w:color w:val="000000"/>
                <w:sz w:val="20"/>
                <w:szCs w:val="20"/>
                <w:lang w:val="en-US"/>
              </w:rPr>
            </w:pPr>
          </w:p>
          <w:p w14:paraId="5F73899B" w14:textId="77777777" w:rsidR="009021F1" w:rsidRPr="00114059" w:rsidRDefault="009021F1" w:rsidP="00E637E3">
            <w:pPr>
              <w:jc w:val="center"/>
              <w:rPr>
                <w:rFonts w:cs="Arial"/>
                <w:b/>
                <w:color w:val="000000"/>
                <w:sz w:val="20"/>
                <w:szCs w:val="20"/>
                <w:lang w:val="en-US"/>
              </w:rPr>
            </w:pPr>
            <w:r w:rsidRPr="00114059">
              <w:rPr>
                <w:rFonts w:cs="Arial"/>
                <w:b/>
                <w:color w:val="000000"/>
                <w:sz w:val="20"/>
                <w:szCs w:val="20"/>
                <w:lang w:val="en-US"/>
              </w:rPr>
              <w:t>Mesures de bonification</w:t>
            </w:r>
          </w:p>
        </w:tc>
        <w:tc>
          <w:tcPr>
            <w:tcW w:w="2268" w:type="dxa"/>
            <w:vMerge w:val="restart"/>
            <w:tcBorders>
              <w:top w:val="single" w:sz="4" w:space="0" w:color="auto"/>
              <w:left w:val="single" w:sz="4" w:space="0" w:color="auto"/>
              <w:right w:val="single" w:sz="4" w:space="0" w:color="auto"/>
            </w:tcBorders>
            <w:shd w:val="clear" w:color="auto" w:fill="auto"/>
            <w:vAlign w:val="center"/>
          </w:tcPr>
          <w:p w14:paraId="6E72E595" w14:textId="77777777" w:rsidR="009021F1" w:rsidRPr="00114059" w:rsidRDefault="009021F1" w:rsidP="00E637E3">
            <w:pPr>
              <w:jc w:val="center"/>
              <w:rPr>
                <w:rFonts w:cs="Arial"/>
                <w:b/>
                <w:sz w:val="20"/>
                <w:szCs w:val="20"/>
              </w:rPr>
            </w:pPr>
            <w:r w:rsidRPr="00114059">
              <w:rPr>
                <w:rFonts w:cs="Arial"/>
                <w:b/>
                <w:color w:val="000000"/>
                <w:sz w:val="20"/>
                <w:szCs w:val="20"/>
              </w:rPr>
              <w:t>Période de mise en œuvre</w:t>
            </w:r>
          </w:p>
        </w:tc>
        <w:tc>
          <w:tcPr>
            <w:tcW w:w="3969" w:type="dxa"/>
            <w:gridSpan w:val="2"/>
            <w:tcBorders>
              <w:top w:val="single" w:sz="4" w:space="0" w:color="auto"/>
              <w:left w:val="single" w:sz="4" w:space="0" w:color="auto"/>
              <w:bottom w:val="single" w:sz="4" w:space="0" w:color="000000"/>
              <w:right w:val="single" w:sz="4" w:space="0" w:color="auto"/>
            </w:tcBorders>
            <w:shd w:val="clear" w:color="auto" w:fill="auto"/>
          </w:tcPr>
          <w:p w14:paraId="48DE8302" w14:textId="77777777" w:rsidR="009021F1" w:rsidRPr="00114059" w:rsidRDefault="009021F1" w:rsidP="00E637E3">
            <w:pPr>
              <w:jc w:val="center"/>
              <w:rPr>
                <w:rFonts w:cs="Arial"/>
                <w:b/>
                <w:color w:val="000000"/>
                <w:sz w:val="20"/>
                <w:szCs w:val="20"/>
                <w:lang w:val="en-US"/>
              </w:rPr>
            </w:pPr>
            <w:r w:rsidRPr="00114059">
              <w:rPr>
                <w:rFonts w:cs="Arial"/>
                <w:b/>
                <w:color w:val="000000"/>
                <w:sz w:val="20"/>
                <w:szCs w:val="20"/>
                <w:lang w:val="en-US"/>
              </w:rPr>
              <w:t>Responsable</w:t>
            </w:r>
          </w:p>
        </w:tc>
      </w:tr>
      <w:tr w:rsidR="009021F1" w:rsidRPr="00114059" w14:paraId="34C98326" w14:textId="77777777" w:rsidTr="00E637E3">
        <w:tc>
          <w:tcPr>
            <w:tcW w:w="1783" w:type="dxa"/>
            <w:vMerge/>
            <w:tcBorders>
              <w:left w:val="single" w:sz="4" w:space="0" w:color="auto"/>
              <w:bottom w:val="single" w:sz="4" w:space="0" w:color="000000"/>
              <w:right w:val="single" w:sz="4" w:space="0" w:color="auto"/>
            </w:tcBorders>
            <w:shd w:val="clear" w:color="auto" w:fill="auto"/>
            <w:vAlign w:val="center"/>
          </w:tcPr>
          <w:p w14:paraId="1DDF2B01" w14:textId="77777777" w:rsidR="009021F1" w:rsidRPr="00114059" w:rsidRDefault="009021F1" w:rsidP="00E637E3">
            <w:pPr>
              <w:jc w:val="center"/>
              <w:rPr>
                <w:rFonts w:cs="Arial"/>
                <w:sz w:val="20"/>
                <w:szCs w:val="20"/>
                <w:lang w:val="en-US"/>
              </w:rPr>
            </w:pPr>
          </w:p>
        </w:tc>
        <w:tc>
          <w:tcPr>
            <w:tcW w:w="2607" w:type="dxa"/>
            <w:vMerge/>
            <w:tcBorders>
              <w:left w:val="single" w:sz="4" w:space="0" w:color="auto"/>
              <w:bottom w:val="single" w:sz="4" w:space="0" w:color="000000"/>
              <w:right w:val="single" w:sz="4" w:space="0" w:color="auto"/>
            </w:tcBorders>
            <w:shd w:val="clear" w:color="auto" w:fill="auto"/>
            <w:vAlign w:val="center"/>
          </w:tcPr>
          <w:p w14:paraId="158187FA" w14:textId="77777777" w:rsidR="009021F1" w:rsidRPr="00114059" w:rsidRDefault="009021F1" w:rsidP="00E637E3">
            <w:pPr>
              <w:jc w:val="center"/>
              <w:rPr>
                <w:rFonts w:cs="Arial"/>
                <w:sz w:val="20"/>
                <w:szCs w:val="20"/>
                <w:lang w:val="en-US"/>
              </w:rPr>
            </w:pPr>
          </w:p>
        </w:tc>
        <w:tc>
          <w:tcPr>
            <w:tcW w:w="3843" w:type="dxa"/>
            <w:vMerge/>
            <w:tcBorders>
              <w:left w:val="single" w:sz="4" w:space="0" w:color="auto"/>
              <w:bottom w:val="single" w:sz="4" w:space="0" w:color="000000"/>
              <w:right w:val="single" w:sz="4" w:space="0" w:color="auto"/>
            </w:tcBorders>
            <w:shd w:val="clear" w:color="auto" w:fill="auto"/>
          </w:tcPr>
          <w:p w14:paraId="254A47A8" w14:textId="77777777" w:rsidR="009021F1" w:rsidRPr="00114059" w:rsidRDefault="009021F1" w:rsidP="00E637E3">
            <w:pPr>
              <w:jc w:val="center"/>
              <w:rPr>
                <w:rFonts w:cs="Arial"/>
                <w:sz w:val="20"/>
                <w:szCs w:val="20"/>
                <w:lang w:val="en-US"/>
              </w:rPr>
            </w:pPr>
          </w:p>
        </w:tc>
        <w:tc>
          <w:tcPr>
            <w:tcW w:w="2268" w:type="dxa"/>
            <w:vMerge/>
            <w:tcBorders>
              <w:left w:val="single" w:sz="4" w:space="0" w:color="auto"/>
              <w:bottom w:val="single" w:sz="4" w:space="0" w:color="000000"/>
              <w:right w:val="single" w:sz="4" w:space="0" w:color="auto"/>
            </w:tcBorders>
            <w:shd w:val="clear" w:color="auto" w:fill="auto"/>
            <w:vAlign w:val="center"/>
          </w:tcPr>
          <w:p w14:paraId="2DABB699" w14:textId="77777777" w:rsidR="009021F1" w:rsidRPr="00114059" w:rsidRDefault="009021F1" w:rsidP="00E637E3">
            <w:pPr>
              <w:jc w:val="center"/>
              <w:rPr>
                <w:rFonts w:cs="Arial"/>
                <w:sz w:val="20"/>
                <w:szCs w:val="20"/>
                <w:lang w:val="en-US"/>
              </w:rPr>
            </w:pPr>
          </w:p>
        </w:tc>
        <w:tc>
          <w:tcPr>
            <w:tcW w:w="1984" w:type="dxa"/>
            <w:tcBorders>
              <w:top w:val="nil"/>
              <w:left w:val="nil"/>
              <w:bottom w:val="single" w:sz="4" w:space="0" w:color="auto"/>
              <w:right w:val="single" w:sz="4" w:space="0" w:color="auto"/>
            </w:tcBorders>
            <w:shd w:val="clear" w:color="auto" w:fill="auto"/>
            <w:vAlign w:val="center"/>
          </w:tcPr>
          <w:p w14:paraId="2F88D8C2" w14:textId="77777777" w:rsidR="009021F1" w:rsidRPr="00114059" w:rsidRDefault="009021F1" w:rsidP="00E637E3">
            <w:pPr>
              <w:jc w:val="center"/>
              <w:rPr>
                <w:rFonts w:cs="Arial"/>
                <w:b/>
                <w:sz w:val="20"/>
                <w:szCs w:val="20"/>
                <w:lang w:val="en-US"/>
              </w:rPr>
            </w:pPr>
            <w:r w:rsidRPr="00114059">
              <w:rPr>
                <w:rFonts w:cs="Arial"/>
                <w:b/>
                <w:color w:val="000000"/>
                <w:sz w:val="20"/>
                <w:szCs w:val="20"/>
                <w:lang w:val="en-US"/>
              </w:rPr>
              <w:t>Mise en application</w:t>
            </w:r>
          </w:p>
        </w:tc>
        <w:tc>
          <w:tcPr>
            <w:tcW w:w="1985" w:type="dxa"/>
            <w:tcBorders>
              <w:top w:val="nil"/>
              <w:left w:val="nil"/>
              <w:bottom w:val="single" w:sz="4" w:space="0" w:color="auto"/>
              <w:right w:val="single" w:sz="4" w:space="0" w:color="auto"/>
            </w:tcBorders>
            <w:shd w:val="clear" w:color="auto" w:fill="auto"/>
            <w:vAlign w:val="center"/>
          </w:tcPr>
          <w:p w14:paraId="2FF067C3" w14:textId="77777777" w:rsidR="009021F1" w:rsidRPr="00114059" w:rsidRDefault="009021F1" w:rsidP="00E637E3">
            <w:pPr>
              <w:jc w:val="center"/>
              <w:rPr>
                <w:rFonts w:cs="Arial"/>
                <w:b/>
                <w:sz w:val="20"/>
                <w:szCs w:val="20"/>
                <w:lang w:val="en-US"/>
              </w:rPr>
            </w:pPr>
            <w:r w:rsidRPr="00114059">
              <w:rPr>
                <w:rFonts w:cs="Arial"/>
                <w:b/>
                <w:color w:val="000000"/>
                <w:sz w:val="20"/>
                <w:szCs w:val="20"/>
                <w:lang w:val="en-US"/>
              </w:rPr>
              <w:t>Suivi et évaluation</w:t>
            </w:r>
          </w:p>
        </w:tc>
      </w:tr>
      <w:tr w:rsidR="009021F1" w:rsidRPr="00114059" w14:paraId="731A91FB" w14:textId="77777777" w:rsidTr="00E637E3">
        <w:tc>
          <w:tcPr>
            <w:tcW w:w="1783" w:type="dxa"/>
            <w:shd w:val="clear" w:color="auto" w:fill="auto"/>
          </w:tcPr>
          <w:p w14:paraId="31B92471" w14:textId="77777777" w:rsidR="009021F1" w:rsidRPr="00114059" w:rsidRDefault="009021F1" w:rsidP="00E637E3">
            <w:pPr>
              <w:jc w:val="left"/>
              <w:rPr>
                <w:rFonts w:cs="Arial"/>
                <w:color w:val="000000"/>
                <w:sz w:val="20"/>
                <w:szCs w:val="20"/>
                <w:lang w:val="en-US"/>
              </w:rPr>
            </w:pPr>
            <w:r w:rsidRPr="00114059">
              <w:rPr>
                <w:rFonts w:cs="Arial"/>
                <w:color w:val="000000"/>
                <w:sz w:val="20"/>
                <w:szCs w:val="20"/>
                <w:lang w:val="en-US"/>
              </w:rPr>
              <w:t>Productivité agricole</w:t>
            </w:r>
          </w:p>
          <w:p w14:paraId="26B7E283" w14:textId="77777777" w:rsidR="009021F1" w:rsidRPr="00114059" w:rsidRDefault="009021F1" w:rsidP="00E637E3">
            <w:pPr>
              <w:rPr>
                <w:rFonts w:cs="Arial"/>
                <w:sz w:val="20"/>
                <w:szCs w:val="20"/>
                <w:lang w:val="en-US"/>
              </w:rPr>
            </w:pPr>
          </w:p>
        </w:tc>
        <w:tc>
          <w:tcPr>
            <w:tcW w:w="2607" w:type="dxa"/>
            <w:shd w:val="clear" w:color="auto" w:fill="auto"/>
          </w:tcPr>
          <w:p w14:paraId="77797ECC" w14:textId="77777777" w:rsidR="009021F1" w:rsidRPr="00114059" w:rsidRDefault="009021F1" w:rsidP="00E637E3">
            <w:pPr>
              <w:pStyle w:val="Paragraphedeliste"/>
              <w:numPr>
                <w:ilvl w:val="0"/>
                <w:numId w:val="48"/>
              </w:numPr>
              <w:spacing w:line="240" w:lineRule="auto"/>
              <w:jc w:val="left"/>
              <w:rPr>
                <w:rFonts w:eastAsia="MS Mincho" w:cs="Arial"/>
                <w:sz w:val="20"/>
                <w:szCs w:val="20"/>
              </w:rPr>
            </w:pPr>
            <w:r w:rsidRPr="00114059">
              <w:rPr>
                <w:color w:val="000000"/>
                <w:sz w:val="20"/>
                <w:szCs w:val="20"/>
              </w:rPr>
              <w:t>Accroissement</w:t>
            </w:r>
            <w:r w:rsidRPr="00114059">
              <w:rPr>
                <w:rFonts w:cs="Arial"/>
                <w:color w:val="000000"/>
                <w:sz w:val="20"/>
                <w:szCs w:val="20"/>
              </w:rPr>
              <w:t xml:space="preserve"> de la productivité et de la production agricoles, </w:t>
            </w:r>
          </w:p>
          <w:p w14:paraId="0B0255B1" w14:textId="77777777" w:rsidR="009021F1" w:rsidRPr="00114059" w:rsidRDefault="009021F1" w:rsidP="00E637E3">
            <w:pPr>
              <w:pStyle w:val="Paragraphedeliste"/>
              <w:numPr>
                <w:ilvl w:val="0"/>
                <w:numId w:val="48"/>
              </w:numPr>
              <w:spacing w:line="240" w:lineRule="auto"/>
              <w:jc w:val="left"/>
              <w:rPr>
                <w:rFonts w:cs="Arial"/>
                <w:sz w:val="20"/>
                <w:szCs w:val="20"/>
              </w:rPr>
            </w:pPr>
            <w:r w:rsidRPr="00114059">
              <w:rPr>
                <w:rFonts w:cs="Arial"/>
                <w:color w:val="000000"/>
                <w:sz w:val="20"/>
                <w:szCs w:val="20"/>
              </w:rPr>
              <w:t>Création d'emplois temporaires et permanents dans les zones d’intervention notamment les travaux à Haute Intensité de Main-d’œuvre (HIMO) dans la réduction de la pauvreté, avec un quota de 30 % réservé aux femmes et jeunes filles majeures,</w:t>
            </w:r>
          </w:p>
        </w:tc>
        <w:tc>
          <w:tcPr>
            <w:tcW w:w="3843" w:type="dxa"/>
            <w:shd w:val="clear" w:color="auto" w:fill="auto"/>
          </w:tcPr>
          <w:p w14:paraId="739E2B42" w14:textId="77777777" w:rsidR="009021F1" w:rsidRPr="00114059" w:rsidRDefault="009021F1" w:rsidP="00E637E3">
            <w:pPr>
              <w:pStyle w:val="Paragraphedeliste"/>
              <w:numPr>
                <w:ilvl w:val="0"/>
                <w:numId w:val="48"/>
              </w:numPr>
              <w:jc w:val="left"/>
              <w:rPr>
                <w:rFonts w:cs="Arial"/>
                <w:bCs/>
                <w:sz w:val="20"/>
                <w:szCs w:val="20"/>
                <w:lang w:val="en-US"/>
              </w:rPr>
            </w:pPr>
            <w:r w:rsidRPr="00114059">
              <w:rPr>
                <w:rFonts w:cs="Arial"/>
                <w:bCs/>
                <w:sz w:val="20"/>
                <w:szCs w:val="20"/>
                <w:lang w:val="en-US"/>
              </w:rPr>
              <w:t>Valorisation des productions agricoles ; et</w:t>
            </w:r>
          </w:p>
          <w:p w14:paraId="15EE7984" w14:textId="77777777" w:rsidR="009021F1" w:rsidRPr="00114059" w:rsidRDefault="009021F1" w:rsidP="00E637E3">
            <w:pPr>
              <w:pStyle w:val="Paragraphedeliste"/>
              <w:numPr>
                <w:ilvl w:val="0"/>
                <w:numId w:val="48"/>
              </w:numPr>
              <w:jc w:val="left"/>
              <w:rPr>
                <w:rFonts w:cs="Arial"/>
                <w:bCs/>
                <w:sz w:val="20"/>
                <w:szCs w:val="20"/>
                <w:lang w:val="en-US"/>
              </w:rPr>
            </w:pPr>
            <w:r w:rsidRPr="00114059">
              <w:rPr>
                <w:rFonts w:cs="Arial"/>
                <w:bCs/>
                <w:sz w:val="20"/>
                <w:szCs w:val="20"/>
                <w:lang w:val="en-US"/>
              </w:rPr>
              <w:t>Consommation des produits agricoles ;</w:t>
            </w:r>
          </w:p>
          <w:p w14:paraId="78B87E36" w14:textId="77777777" w:rsidR="009021F1" w:rsidRPr="00114059" w:rsidRDefault="009021F1" w:rsidP="00E637E3">
            <w:pPr>
              <w:pStyle w:val="Paragraphedeliste"/>
              <w:numPr>
                <w:ilvl w:val="0"/>
                <w:numId w:val="48"/>
              </w:numPr>
              <w:jc w:val="left"/>
              <w:rPr>
                <w:rFonts w:cs="Arial"/>
                <w:bCs/>
                <w:sz w:val="20"/>
                <w:szCs w:val="20"/>
              </w:rPr>
            </w:pPr>
            <w:r w:rsidRPr="00114059">
              <w:rPr>
                <w:rFonts w:cs="Arial"/>
                <w:bCs/>
                <w:sz w:val="20"/>
                <w:szCs w:val="20"/>
              </w:rPr>
              <w:t>Amélioration de niveau de vie des petits exploitants agricoles suite à la création d’emploi</w:t>
            </w:r>
          </w:p>
          <w:p w14:paraId="58CEE5D6" w14:textId="77777777" w:rsidR="009021F1" w:rsidRPr="00114059" w:rsidRDefault="009021F1" w:rsidP="00E637E3">
            <w:pPr>
              <w:pStyle w:val="Paragraphedeliste"/>
              <w:numPr>
                <w:ilvl w:val="0"/>
                <w:numId w:val="48"/>
              </w:numPr>
              <w:spacing w:line="240" w:lineRule="auto"/>
              <w:jc w:val="left"/>
              <w:rPr>
                <w:rFonts w:eastAsia="MS Mincho" w:cs="Arial"/>
                <w:sz w:val="20"/>
                <w:szCs w:val="20"/>
              </w:rPr>
            </w:pPr>
            <w:r w:rsidRPr="00114059">
              <w:rPr>
                <w:rFonts w:cs="Arial"/>
                <w:color w:val="000000"/>
                <w:sz w:val="20"/>
                <w:szCs w:val="20"/>
              </w:rPr>
              <w:t>Amélioration de la sécurité alimentaire ;</w:t>
            </w:r>
          </w:p>
          <w:p w14:paraId="14542547" w14:textId="77777777" w:rsidR="009021F1" w:rsidRPr="00114059" w:rsidRDefault="009021F1" w:rsidP="00E637E3">
            <w:pPr>
              <w:pStyle w:val="Paragraphedeliste"/>
              <w:numPr>
                <w:ilvl w:val="0"/>
                <w:numId w:val="48"/>
              </w:numPr>
              <w:spacing w:line="240" w:lineRule="auto"/>
              <w:jc w:val="left"/>
              <w:rPr>
                <w:rFonts w:eastAsia="MS Mincho" w:cs="Arial"/>
                <w:sz w:val="20"/>
                <w:szCs w:val="20"/>
              </w:rPr>
            </w:pPr>
            <w:r w:rsidRPr="00114059">
              <w:rPr>
                <w:rFonts w:cs="Arial"/>
                <w:color w:val="000000"/>
                <w:sz w:val="20"/>
                <w:szCs w:val="20"/>
              </w:rPr>
              <w:t xml:space="preserve">Augmentation des revenus des petits exploitants et attirer davantage d’emplois dans le secteur agricole ; </w:t>
            </w:r>
          </w:p>
          <w:p w14:paraId="7B26C2CC" w14:textId="77777777" w:rsidR="009021F1" w:rsidRPr="00114059" w:rsidRDefault="009021F1" w:rsidP="00E637E3">
            <w:pPr>
              <w:pStyle w:val="Paragraphedeliste"/>
              <w:numPr>
                <w:ilvl w:val="0"/>
                <w:numId w:val="48"/>
              </w:numPr>
              <w:spacing w:line="240" w:lineRule="auto"/>
              <w:jc w:val="left"/>
              <w:rPr>
                <w:rFonts w:cs="Arial"/>
                <w:color w:val="000000"/>
                <w:sz w:val="20"/>
                <w:szCs w:val="20"/>
              </w:rPr>
            </w:pPr>
            <w:r w:rsidRPr="00114059">
              <w:rPr>
                <w:rFonts w:cs="Arial"/>
                <w:color w:val="000000"/>
                <w:sz w:val="20"/>
                <w:szCs w:val="20"/>
              </w:rPr>
              <w:t>La commercialisation des produits agricoles suite à la construction des marchés, dépôts, abattoirs, développement économique agricole suite au financement des petits exploitants agricoles par des IF, etc.</w:t>
            </w:r>
          </w:p>
        </w:tc>
        <w:tc>
          <w:tcPr>
            <w:tcW w:w="2268" w:type="dxa"/>
            <w:shd w:val="clear" w:color="auto" w:fill="auto"/>
          </w:tcPr>
          <w:p w14:paraId="190BFA2F" w14:textId="77777777" w:rsidR="009021F1" w:rsidRPr="00114059" w:rsidRDefault="009021F1" w:rsidP="00E637E3">
            <w:pPr>
              <w:rPr>
                <w:rFonts w:cs="Arial"/>
                <w:sz w:val="20"/>
                <w:szCs w:val="20"/>
              </w:rPr>
            </w:pPr>
            <w:r w:rsidRPr="00114059">
              <w:rPr>
                <w:rFonts w:cs="Arial"/>
                <w:sz w:val="20"/>
                <w:szCs w:val="20"/>
              </w:rPr>
              <w:t>Pendant la phase d’exécution du Programme</w:t>
            </w:r>
          </w:p>
        </w:tc>
        <w:tc>
          <w:tcPr>
            <w:tcW w:w="1984" w:type="dxa"/>
            <w:shd w:val="clear" w:color="auto" w:fill="auto"/>
          </w:tcPr>
          <w:p w14:paraId="7B898A1A" w14:textId="77777777" w:rsidR="009021F1" w:rsidRPr="00114059" w:rsidRDefault="009021F1" w:rsidP="00E637E3">
            <w:pPr>
              <w:rPr>
                <w:rFonts w:cs="Arial"/>
                <w:sz w:val="20"/>
                <w:szCs w:val="20"/>
              </w:rPr>
            </w:pPr>
            <w:r w:rsidRPr="00114059">
              <w:rPr>
                <w:rFonts w:cs="Arial"/>
                <w:sz w:val="20"/>
                <w:szCs w:val="20"/>
              </w:rPr>
              <w:t>Les PME, la Mission de contrôle, les associations et coopératives agricoles, les IF</w:t>
            </w:r>
          </w:p>
        </w:tc>
        <w:tc>
          <w:tcPr>
            <w:tcW w:w="1985" w:type="dxa"/>
            <w:shd w:val="clear" w:color="auto" w:fill="auto"/>
          </w:tcPr>
          <w:p w14:paraId="66840E04" w14:textId="77777777" w:rsidR="009021F1" w:rsidRPr="00114059" w:rsidRDefault="009021F1" w:rsidP="00E637E3">
            <w:pPr>
              <w:rPr>
                <w:rFonts w:cs="Arial"/>
                <w:sz w:val="20"/>
                <w:szCs w:val="20"/>
                <w:lang w:val="en-US"/>
              </w:rPr>
            </w:pPr>
            <w:r w:rsidRPr="00114059">
              <w:rPr>
                <w:rFonts w:cs="Arial"/>
                <w:sz w:val="20"/>
                <w:szCs w:val="20"/>
                <w:lang w:val="en-US"/>
              </w:rPr>
              <w:t>PNDA et l’ACE</w:t>
            </w:r>
          </w:p>
        </w:tc>
      </w:tr>
      <w:tr w:rsidR="009021F1" w:rsidRPr="00114059" w14:paraId="152C3873" w14:textId="77777777" w:rsidTr="00E637E3">
        <w:tc>
          <w:tcPr>
            <w:tcW w:w="1783" w:type="dxa"/>
            <w:shd w:val="clear" w:color="auto" w:fill="auto"/>
          </w:tcPr>
          <w:p w14:paraId="5D5F44EA" w14:textId="77777777" w:rsidR="009021F1" w:rsidRPr="00114059" w:rsidRDefault="009021F1" w:rsidP="00E637E3">
            <w:pPr>
              <w:rPr>
                <w:rFonts w:cs="Arial"/>
                <w:sz w:val="20"/>
                <w:szCs w:val="20"/>
              </w:rPr>
            </w:pPr>
            <w:r w:rsidRPr="00114059">
              <w:rPr>
                <w:rFonts w:cs="Arial"/>
                <w:color w:val="000000"/>
                <w:sz w:val="20"/>
                <w:szCs w:val="20"/>
              </w:rPr>
              <w:t>Accès au marché des petits exploitants </w:t>
            </w:r>
          </w:p>
        </w:tc>
        <w:tc>
          <w:tcPr>
            <w:tcW w:w="2607" w:type="dxa"/>
            <w:shd w:val="clear" w:color="auto" w:fill="auto"/>
          </w:tcPr>
          <w:p w14:paraId="2AE3B33B" w14:textId="77777777" w:rsidR="009021F1" w:rsidRPr="00114059" w:rsidRDefault="009021F1" w:rsidP="00E637E3">
            <w:pPr>
              <w:pStyle w:val="Paragraphedeliste"/>
              <w:numPr>
                <w:ilvl w:val="0"/>
                <w:numId w:val="48"/>
              </w:numPr>
              <w:spacing w:line="240" w:lineRule="auto"/>
              <w:jc w:val="left"/>
              <w:rPr>
                <w:rFonts w:eastAsia="MS Mincho" w:cs="Arial"/>
                <w:sz w:val="20"/>
                <w:szCs w:val="20"/>
              </w:rPr>
            </w:pPr>
            <w:r w:rsidRPr="00114059">
              <w:rPr>
                <w:rFonts w:cs="Arial"/>
                <w:color w:val="000000"/>
                <w:sz w:val="20"/>
                <w:szCs w:val="20"/>
              </w:rPr>
              <w:t xml:space="preserve">Bonne circulation des navires suite aux travaux de balisage, </w:t>
            </w:r>
          </w:p>
          <w:p w14:paraId="7C5F9953" w14:textId="77777777" w:rsidR="009021F1" w:rsidRPr="00114059" w:rsidRDefault="009021F1" w:rsidP="00E637E3">
            <w:pPr>
              <w:pStyle w:val="Paragraphedeliste"/>
              <w:numPr>
                <w:ilvl w:val="0"/>
                <w:numId w:val="48"/>
              </w:numPr>
              <w:spacing w:line="240" w:lineRule="auto"/>
              <w:jc w:val="left"/>
              <w:rPr>
                <w:rFonts w:eastAsia="MS Mincho" w:cs="Arial"/>
                <w:sz w:val="20"/>
                <w:szCs w:val="20"/>
              </w:rPr>
            </w:pPr>
            <w:r w:rsidRPr="00114059">
              <w:rPr>
                <w:rFonts w:cs="Arial"/>
                <w:color w:val="000000"/>
                <w:sz w:val="20"/>
                <w:szCs w:val="20"/>
              </w:rPr>
              <w:t>Évacuation des produits agricoles vers les centres de consommation suite aux travaux de réhabilitation des pistes rurales ;</w:t>
            </w:r>
          </w:p>
          <w:p w14:paraId="7A89FC83" w14:textId="77777777" w:rsidR="009021F1" w:rsidRPr="00114059" w:rsidRDefault="009021F1" w:rsidP="00E637E3">
            <w:pPr>
              <w:pStyle w:val="Paragraphedeliste"/>
              <w:numPr>
                <w:ilvl w:val="0"/>
                <w:numId w:val="48"/>
              </w:numPr>
              <w:spacing w:line="240" w:lineRule="auto"/>
              <w:jc w:val="left"/>
              <w:rPr>
                <w:rFonts w:cs="Arial"/>
                <w:sz w:val="20"/>
                <w:szCs w:val="20"/>
              </w:rPr>
            </w:pPr>
            <w:r w:rsidRPr="00114059">
              <w:rPr>
                <w:rFonts w:cs="Arial"/>
                <w:color w:val="000000"/>
                <w:sz w:val="20"/>
                <w:szCs w:val="20"/>
              </w:rPr>
              <w:t>Octroi des crédits aux petits exploitants agricoles et coopératives ainsi que les associations agricoles</w:t>
            </w:r>
          </w:p>
        </w:tc>
        <w:tc>
          <w:tcPr>
            <w:tcW w:w="3843" w:type="dxa"/>
            <w:shd w:val="clear" w:color="auto" w:fill="auto"/>
          </w:tcPr>
          <w:p w14:paraId="1AA91512" w14:textId="77777777" w:rsidR="009021F1" w:rsidRPr="00114059" w:rsidRDefault="009021F1" w:rsidP="00E637E3">
            <w:pPr>
              <w:numPr>
                <w:ilvl w:val="0"/>
                <w:numId w:val="48"/>
              </w:numPr>
              <w:jc w:val="left"/>
              <w:rPr>
                <w:rFonts w:cs="Arial"/>
                <w:color w:val="000000"/>
                <w:sz w:val="20"/>
                <w:szCs w:val="20"/>
              </w:rPr>
            </w:pPr>
            <w:r w:rsidRPr="00114059">
              <w:rPr>
                <w:rFonts w:cs="Arial"/>
                <w:color w:val="000000"/>
                <w:sz w:val="20"/>
                <w:szCs w:val="20"/>
              </w:rPr>
              <w:t>Création des voies de déviation ;</w:t>
            </w:r>
          </w:p>
          <w:p w14:paraId="639A012B" w14:textId="77777777" w:rsidR="009021F1" w:rsidRPr="00114059" w:rsidRDefault="009021F1" w:rsidP="00E637E3">
            <w:pPr>
              <w:numPr>
                <w:ilvl w:val="0"/>
                <w:numId w:val="48"/>
              </w:numPr>
              <w:jc w:val="left"/>
              <w:rPr>
                <w:rFonts w:cs="Arial"/>
                <w:color w:val="000000"/>
                <w:sz w:val="20"/>
                <w:szCs w:val="20"/>
              </w:rPr>
            </w:pPr>
            <w:r w:rsidRPr="00114059">
              <w:rPr>
                <w:rFonts w:cs="Arial"/>
                <w:color w:val="000000"/>
                <w:sz w:val="20"/>
                <w:szCs w:val="20"/>
              </w:rPr>
              <w:t>Amélioration des voies d’accès (pistes rurales) ;</w:t>
            </w:r>
          </w:p>
          <w:p w14:paraId="262BC037" w14:textId="77777777" w:rsidR="009021F1" w:rsidRPr="00114059" w:rsidRDefault="009021F1" w:rsidP="00E637E3">
            <w:pPr>
              <w:numPr>
                <w:ilvl w:val="0"/>
                <w:numId w:val="48"/>
              </w:numPr>
              <w:jc w:val="left"/>
              <w:rPr>
                <w:rFonts w:cs="Arial"/>
                <w:color w:val="000000"/>
                <w:sz w:val="20"/>
                <w:szCs w:val="20"/>
              </w:rPr>
            </w:pPr>
            <w:r w:rsidRPr="00114059">
              <w:rPr>
                <w:rFonts w:cs="Arial"/>
                <w:color w:val="000000"/>
                <w:sz w:val="20"/>
                <w:szCs w:val="20"/>
              </w:rPr>
              <w:t>Faciliter la navigation des navires sur les rivières pour l’évacuation des produits agricoles ;</w:t>
            </w:r>
          </w:p>
          <w:p w14:paraId="7779BF8A" w14:textId="77777777" w:rsidR="009021F1" w:rsidRPr="00114059" w:rsidRDefault="009021F1" w:rsidP="00E637E3">
            <w:pPr>
              <w:pStyle w:val="Paragraphedeliste"/>
              <w:numPr>
                <w:ilvl w:val="0"/>
                <w:numId w:val="48"/>
              </w:numPr>
              <w:spacing w:line="240" w:lineRule="auto"/>
              <w:jc w:val="left"/>
              <w:rPr>
                <w:rFonts w:eastAsia="MS Mincho" w:cs="Arial"/>
                <w:sz w:val="20"/>
                <w:szCs w:val="20"/>
              </w:rPr>
            </w:pPr>
            <w:r w:rsidRPr="00114059">
              <w:rPr>
                <w:rFonts w:cs="Arial"/>
                <w:color w:val="000000"/>
                <w:sz w:val="20"/>
                <w:szCs w:val="20"/>
              </w:rPr>
              <w:t xml:space="preserve">Augmentation des revenus des petits exploitants et attirer davantage d’emplois dans le secteur agricole, </w:t>
            </w:r>
          </w:p>
          <w:p w14:paraId="14B60EDE" w14:textId="77777777" w:rsidR="009021F1" w:rsidRPr="00114059" w:rsidRDefault="009021F1" w:rsidP="00E637E3">
            <w:pPr>
              <w:pStyle w:val="Paragraphedeliste"/>
              <w:numPr>
                <w:ilvl w:val="0"/>
                <w:numId w:val="48"/>
              </w:numPr>
              <w:spacing w:line="240" w:lineRule="auto"/>
              <w:jc w:val="left"/>
              <w:rPr>
                <w:rFonts w:cs="Arial"/>
                <w:sz w:val="20"/>
                <w:szCs w:val="20"/>
              </w:rPr>
            </w:pPr>
            <w:r w:rsidRPr="00114059">
              <w:rPr>
                <w:rFonts w:cs="Arial"/>
                <w:color w:val="000000"/>
                <w:sz w:val="20"/>
                <w:szCs w:val="20"/>
              </w:rPr>
              <w:t>Augmentation des revenus des petits exploitants agricoles bénéficiaires des crédits des IF</w:t>
            </w:r>
          </w:p>
          <w:p w14:paraId="27650655" w14:textId="77777777" w:rsidR="009021F1" w:rsidRPr="00114059" w:rsidRDefault="009021F1" w:rsidP="00E637E3">
            <w:pPr>
              <w:pStyle w:val="Paragraphedeliste"/>
              <w:numPr>
                <w:ilvl w:val="0"/>
                <w:numId w:val="48"/>
              </w:numPr>
              <w:spacing w:line="240" w:lineRule="auto"/>
              <w:jc w:val="left"/>
              <w:rPr>
                <w:rFonts w:cs="Arial"/>
                <w:sz w:val="20"/>
                <w:szCs w:val="20"/>
              </w:rPr>
            </w:pPr>
            <w:r w:rsidRPr="00114059">
              <w:rPr>
                <w:rFonts w:cs="Arial"/>
                <w:color w:val="000000"/>
                <w:sz w:val="20"/>
                <w:szCs w:val="20"/>
              </w:rPr>
              <w:t>Encadrement des petits exploitants agricoles par les association et coopératives agricoles</w:t>
            </w:r>
          </w:p>
        </w:tc>
        <w:tc>
          <w:tcPr>
            <w:tcW w:w="2268" w:type="dxa"/>
            <w:shd w:val="clear" w:color="auto" w:fill="auto"/>
          </w:tcPr>
          <w:p w14:paraId="69B0C0BF" w14:textId="77777777" w:rsidR="009021F1" w:rsidRPr="00114059" w:rsidRDefault="009021F1" w:rsidP="00E637E3">
            <w:pPr>
              <w:rPr>
                <w:rFonts w:cs="Arial"/>
                <w:sz w:val="20"/>
                <w:szCs w:val="20"/>
              </w:rPr>
            </w:pPr>
            <w:r w:rsidRPr="00114059">
              <w:rPr>
                <w:rFonts w:cs="Arial"/>
                <w:sz w:val="20"/>
                <w:szCs w:val="20"/>
              </w:rPr>
              <w:t>Pendant la phase d’exécution du Programme</w:t>
            </w:r>
          </w:p>
        </w:tc>
        <w:tc>
          <w:tcPr>
            <w:tcW w:w="1984" w:type="dxa"/>
            <w:shd w:val="clear" w:color="auto" w:fill="auto"/>
          </w:tcPr>
          <w:p w14:paraId="3CDF3F5F" w14:textId="77777777" w:rsidR="009021F1" w:rsidRPr="00114059" w:rsidRDefault="009021F1" w:rsidP="00E637E3">
            <w:pPr>
              <w:rPr>
                <w:rFonts w:cs="Arial"/>
                <w:sz w:val="20"/>
                <w:szCs w:val="20"/>
              </w:rPr>
            </w:pPr>
            <w:r w:rsidRPr="00114059">
              <w:rPr>
                <w:rFonts w:cs="Arial"/>
                <w:sz w:val="20"/>
                <w:szCs w:val="20"/>
              </w:rPr>
              <w:t>Les PME, la Mission de contrôle, les associations et coopératives agricoles, les IF</w:t>
            </w:r>
          </w:p>
        </w:tc>
        <w:tc>
          <w:tcPr>
            <w:tcW w:w="1985" w:type="dxa"/>
            <w:shd w:val="clear" w:color="auto" w:fill="auto"/>
          </w:tcPr>
          <w:p w14:paraId="5B8EED23" w14:textId="77777777" w:rsidR="009021F1" w:rsidRPr="00114059" w:rsidRDefault="009021F1" w:rsidP="00E637E3">
            <w:pPr>
              <w:rPr>
                <w:rFonts w:cs="Arial"/>
                <w:sz w:val="20"/>
                <w:szCs w:val="20"/>
                <w:lang w:val="en-US"/>
              </w:rPr>
            </w:pPr>
            <w:r w:rsidRPr="00114059">
              <w:rPr>
                <w:rFonts w:cs="Arial"/>
                <w:sz w:val="20"/>
                <w:szCs w:val="20"/>
                <w:lang w:val="en-US"/>
              </w:rPr>
              <w:t>PNDA et l’ACE</w:t>
            </w:r>
          </w:p>
        </w:tc>
      </w:tr>
      <w:tr w:rsidR="009021F1" w:rsidRPr="00114059" w14:paraId="0CFDB2FB" w14:textId="77777777" w:rsidTr="00E637E3">
        <w:tc>
          <w:tcPr>
            <w:tcW w:w="1783" w:type="dxa"/>
            <w:shd w:val="clear" w:color="auto" w:fill="auto"/>
          </w:tcPr>
          <w:p w14:paraId="5C7E5A5C" w14:textId="77777777" w:rsidR="009021F1" w:rsidRPr="00114059" w:rsidRDefault="009021F1" w:rsidP="00E637E3">
            <w:pPr>
              <w:jc w:val="left"/>
              <w:rPr>
                <w:rFonts w:cs="Arial"/>
                <w:sz w:val="20"/>
                <w:szCs w:val="20"/>
              </w:rPr>
            </w:pPr>
            <w:r w:rsidRPr="00114059">
              <w:rPr>
                <w:rFonts w:cs="Arial"/>
                <w:color w:val="000000"/>
                <w:sz w:val="20"/>
                <w:szCs w:val="20"/>
              </w:rPr>
              <w:t>Biens et services publics agricole </w:t>
            </w:r>
          </w:p>
        </w:tc>
        <w:tc>
          <w:tcPr>
            <w:tcW w:w="2607" w:type="dxa"/>
            <w:shd w:val="clear" w:color="auto" w:fill="auto"/>
          </w:tcPr>
          <w:p w14:paraId="765D594E" w14:textId="77777777" w:rsidR="009021F1" w:rsidRPr="00114059" w:rsidRDefault="009021F1" w:rsidP="00E637E3">
            <w:pPr>
              <w:pStyle w:val="Paragraphedeliste"/>
              <w:numPr>
                <w:ilvl w:val="0"/>
                <w:numId w:val="48"/>
              </w:numPr>
              <w:rPr>
                <w:rFonts w:cs="Arial"/>
                <w:sz w:val="20"/>
                <w:szCs w:val="20"/>
              </w:rPr>
            </w:pPr>
            <w:r w:rsidRPr="00114059">
              <w:rPr>
                <w:rFonts w:cs="Arial"/>
                <w:color w:val="000000"/>
                <w:sz w:val="20"/>
                <w:szCs w:val="20"/>
              </w:rPr>
              <w:t>Construction des marchés, dépôts, abattoirs, développement économique agricole </w:t>
            </w:r>
          </w:p>
          <w:p w14:paraId="7637F606" w14:textId="77777777" w:rsidR="009021F1" w:rsidRPr="00114059" w:rsidRDefault="009021F1" w:rsidP="00E637E3">
            <w:pPr>
              <w:pStyle w:val="Paragraphedeliste"/>
              <w:ind w:left="360"/>
              <w:rPr>
                <w:rFonts w:cs="Arial"/>
                <w:sz w:val="20"/>
                <w:szCs w:val="20"/>
              </w:rPr>
            </w:pPr>
          </w:p>
        </w:tc>
        <w:tc>
          <w:tcPr>
            <w:tcW w:w="3843" w:type="dxa"/>
            <w:shd w:val="clear" w:color="auto" w:fill="auto"/>
          </w:tcPr>
          <w:p w14:paraId="5BE64B93" w14:textId="77777777" w:rsidR="009021F1" w:rsidRPr="00114059" w:rsidRDefault="009021F1" w:rsidP="00E637E3">
            <w:pPr>
              <w:pStyle w:val="Paragraphedeliste"/>
              <w:numPr>
                <w:ilvl w:val="0"/>
                <w:numId w:val="48"/>
              </w:numPr>
              <w:jc w:val="left"/>
              <w:rPr>
                <w:rFonts w:cs="Arial"/>
                <w:bCs/>
                <w:sz w:val="20"/>
                <w:szCs w:val="20"/>
              </w:rPr>
            </w:pPr>
            <w:r w:rsidRPr="00114059">
              <w:rPr>
                <w:rFonts w:cs="Arial"/>
                <w:bCs/>
                <w:sz w:val="20"/>
                <w:szCs w:val="20"/>
              </w:rPr>
              <w:t>Limitation des pertes des produits agricoles due un bon stockage ;</w:t>
            </w:r>
          </w:p>
          <w:p w14:paraId="2CEE28EF" w14:textId="77777777" w:rsidR="009021F1" w:rsidRPr="00114059" w:rsidRDefault="009021F1" w:rsidP="00E637E3">
            <w:pPr>
              <w:pStyle w:val="Paragraphedeliste"/>
              <w:numPr>
                <w:ilvl w:val="0"/>
                <w:numId w:val="48"/>
              </w:numPr>
              <w:jc w:val="left"/>
              <w:rPr>
                <w:rFonts w:cs="Arial"/>
                <w:bCs/>
                <w:sz w:val="20"/>
                <w:szCs w:val="20"/>
              </w:rPr>
            </w:pPr>
            <w:r w:rsidRPr="00114059">
              <w:rPr>
                <w:rFonts w:cs="Arial"/>
                <w:bCs/>
                <w:sz w:val="20"/>
                <w:szCs w:val="20"/>
              </w:rPr>
              <w:t>Réduction en pourcentage des taux de mortalité animale pour des animaux spécifiques dans les zones du programme ;</w:t>
            </w:r>
          </w:p>
          <w:p w14:paraId="47A52D31" w14:textId="77777777" w:rsidR="009021F1" w:rsidRPr="00114059" w:rsidRDefault="009021F1" w:rsidP="00E637E3">
            <w:pPr>
              <w:pStyle w:val="Paragraphedeliste"/>
              <w:numPr>
                <w:ilvl w:val="0"/>
                <w:numId w:val="48"/>
              </w:numPr>
              <w:jc w:val="left"/>
              <w:rPr>
                <w:rFonts w:cs="Arial"/>
                <w:bCs/>
                <w:sz w:val="20"/>
                <w:szCs w:val="20"/>
              </w:rPr>
            </w:pPr>
            <w:r w:rsidRPr="00114059">
              <w:rPr>
                <w:rFonts w:cs="Arial"/>
                <w:bCs/>
                <w:sz w:val="20"/>
                <w:szCs w:val="20"/>
              </w:rPr>
              <w:t>Bonne conservation des récoltes agricoles ;</w:t>
            </w:r>
          </w:p>
          <w:p w14:paraId="26C39EDF" w14:textId="77777777" w:rsidR="009021F1" w:rsidRPr="00114059" w:rsidRDefault="009021F1" w:rsidP="00E637E3">
            <w:pPr>
              <w:pStyle w:val="Paragraphedeliste"/>
              <w:numPr>
                <w:ilvl w:val="0"/>
                <w:numId w:val="48"/>
              </w:numPr>
              <w:jc w:val="left"/>
              <w:rPr>
                <w:rFonts w:cs="Arial"/>
                <w:bCs/>
                <w:sz w:val="20"/>
                <w:szCs w:val="20"/>
              </w:rPr>
            </w:pPr>
            <w:r w:rsidRPr="00114059">
              <w:rPr>
                <w:rFonts w:cs="Arial"/>
                <w:bCs/>
                <w:sz w:val="20"/>
                <w:szCs w:val="20"/>
              </w:rPr>
              <w:t>Augmentation du rendement à l’hectare, cultures indicatives sélectionnées ;</w:t>
            </w:r>
          </w:p>
          <w:p w14:paraId="39B2A455" w14:textId="77777777" w:rsidR="009021F1" w:rsidRPr="00114059" w:rsidRDefault="009021F1" w:rsidP="00E637E3">
            <w:pPr>
              <w:pStyle w:val="Paragraphedeliste"/>
              <w:numPr>
                <w:ilvl w:val="0"/>
                <w:numId w:val="48"/>
              </w:numPr>
              <w:jc w:val="left"/>
              <w:rPr>
                <w:rFonts w:cs="Arial"/>
                <w:bCs/>
                <w:sz w:val="20"/>
                <w:szCs w:val="20"/>
              </w:rPr>
            </w:pPr>
            <w:r w:rsidRPr="00114059">
              <w:rPr>
                <w:rFonts w:cs="Arial"/>
                <w:bCs/>
                <w:sz w:val="20"/>
                <w:szCs w:val="20"/>
              </w:rPr>
              <w:t>Augmentation du nombre d’agriculteurs adoptant des technologies ou des pratiques agricoles améliorées ;</w:t>
            </w:r>
          </w:p>
          <w:p w14:paraId="15572A1F" w14:textId="77777777" w:rsidR="009021F1" w:rsidRPr="00114059" w:rsidRDefault="009021F1" w:rsidP="00E637E3">
            <w:pPr>
              <w:numPr>
                <w:ilvl w:val="0"/>
                <w:numId w:val="48"/>
              </w:numPr>
              <w:jc w:val="left"/>
              <w:rPr>
                <w:rFonts w:cs="Arial"/>
                <w:color w:val="000000"/>
                <w:sz w:val="20"/>
                <w:szCs w:val="20"/>
              </w:rPr>
            </w:pPr>
            <w:r w:rsidRPr="00114059">
              <w:rPr>
                <w:rFonts w:cs="Arial"/>
                <w:color w:val="000000"/>
                <w:sz w:val="20"/>
                <w:szCs w:val="20"/>
              </w:rPr>
              <w:t>Entretien et gestion des infrastructures après les travaux ;</w:t>
            </w:r>
          </w:p>
          <w:p w14:paraId="4BF7A78D" w14:textId="77777777" w:rsidR="009021F1" w:rsidRPr="00114059" w:rsidRDefault="009021F1" w:rsidP="00E637E3">
            <w:pPr>
              <w:numPr>
                <w:ilvl w:val="0"/>
                <w:numId w:val="48"/>
              </w:numPr>
              <w:jc w:val="left"/>
              <w:rPr>
                <w:rFonts w:cs="Arial"/>
                <w:color w:val="000000"/>
                <w:sz w:val="20"/>
                <w:szCs w:val="20"/>
              </w:rPr>
            </w:pPr>
            <w:r w:rsidRPr="00114059">
              <w:rPr>
                <w:rFonts w:cs="Arial"/>
                <w:color w:val="000000"/>
                <w:sz w:val="20"/>
                <w:szCs w:val="20"/>
              </w:rPr>
              <w:t>Sensibilisation des populations avant le démarrage des travaux ;</w:t>
            </w:r>
          </w:p>
          <w:p w14:paraId="76E3A037" w14:textId="77777777" w:rsidR="009021F1" w:rsidRPr="00114059" w:rsidRDefault="009021F1" w:rsidP="00E637E3">
            <w:pPr>
              <w:pStyle w:val="Paragraphedeliste"/>
              <w:numPr>
                <w:ilvl w:val="0"/>
                <w:numId w:val="48"/>
              </w:numPr>
              <w:jc w:val="left"/>
              <w:rPr>
                <w:rFonts w:cs="Arial"/>
                <w:bCs/>
                <w:sz w:val="20"/>
                <w:szCs w:val="20"/>
              </w:rPr>
            </w:pPr>
            <w:r w:rsidRPr="00114059">
              <w:rPr>
                <w:rFonts w:cs="Arial"/>
                <w:color w:val="000000"/>
                <w:sz w:val="20"/>
                <w:szCs w:val="20"/>
              </w:rPr>
              <w:t>Valorisation de la jeune fille/femme dans la communauté.</w:t>
            </w:r>
          </w:p>
        </w:tc>
        <w:tc>
          <w:tcPr>
            <w:tcW w:w="2268" w:type="dxa"/>
            <w:shd w:val="clear" w:color="auto" w:fill="auto"/>
          </w:tcPr>
          <w:p w14:paraId="15864F93" w14:textId="77777777" w:rsidR="009021F1" w:rsidRPr="00114059" w:rsidRDefault="009021F1" w:rsidP="00E637E3">
            <w:pPr>
              <w:rPr>
                <w:rFonts w:cs="Arial"/>
                <w:sz w:val="20"/>
                <w:szCs w:val="20"/>
              </w:rPr>
            </w:pPr>
            <w:r w:rsidRPr="00114059">
              <w:rPr>
                <w:rFonts w:cs="Arial"/>
                <w:sz w:val="20"/>
                <w:szCs w:val="20"/>
              </w:rPr>
              <w:t>Pendant la phase d’exploitation du Programme</w:t>
            </w:r>
          </w:p>
        </w:tc>
        <w:tc>
          <w:tcPr>
            <w:tcW w:w="1984" w:type="dxa"/>
            <w:shd w:val="clear" w:color="auto" w:fill="auto"/>
          </w:tcPr>
          <w:p w14:paraId="5CA77BF7" w14:textId="77777777" w:rsidR="009021F1" w:rsidRPr="00114059" w:rsidRDefault="009021F1" w:rsidP="00E637E3">
            <w:pPr>
              <w:jc w:val="left"/>
              <w:rPr>
                <w:rFonts w:cs="Arial"/>
                <w:sz w:val="20"/>
                <w:szCs w:val="20"/>
              </w:rPr>
            </w:pPr>
            <w:r w:rsidRPr="00114059">
              <w:rPr>
                <w:rFonts w:cs="Arial"/>
                <w:sz w:val="20"/>
                <w:szCs w:val="20"/>
              </w:rPr>
              <w:t>Les PME, la Mission de contrôle, les associations et coopératives agricoles, les IF (BCC, RawBank Sarl, Equity Bank Congo)</w:t>
            </w:r>
          </w:p>
        </w:tc>
        <w:tc>
          <w:tcPr>
            <w:tcW w:w="1985" w:type="dxa"/>
            <w:shd w:val="clear" w:color="auto" w:fill="auto"/>
          </w:tcPr>
          <w:p w14:paraId="204B8A19" w14:textId="77777777" w:rsidR="009021F1" w:rsidRPr="00114059" w:rsidRDefault="009021F1" w:rsidP="00E637E3">
            <w:pPr>
              <w:rPr>
                <w:rFonts w:cs="Arial"/>
                <w:sz w:val="20"/>
                <w:szCs w:val="20"/>
                <w:lang w:val="en-US"/>
              </w:rPr>
            </w:pPr>
            <w:r w:rsidRPr="00114059">
              <w:rPr>
                <w:rFonts w:cs="Arial"/>
                <w:sz w:val="20"/>
                <w:szCs w:val="20"/>
                <w:lang w:val="en-US"/>
              </w:rPr>
              <w:t>PNDA et l’ACE</w:t>
            </w:r>
          </w:p>
        </w:tc>
      </w:tr>
    </w:tbl>
    <w:p w14:paraId="7BC80F1D" w14:textId="77777777" w:rsidR="009021F1" w:rsidRPr="00114059" w:rsidRDefault="009021F1" w:rsidP="009021F1">
      <w:pPr>
        <w:rPr>
          <w:sz w:val="20"/>
          <w:szCs w:val="20"/>
          <w:highlight w:val="cyan"/>
        </w:rPr>
      </w:pPr>
    </w:p>
    <w:p w14:paraId="44F8B3C3" w14:textId="77777777" w:rsidR="009021F1" w:rsidRPr="00114059" w:rsidRDefault="009021F1" w:rsidP="009021F1">
      <w:pPr>
        <w:tabs>
          <w:tab w:val="left" w:pos="810"/>
        </w:tabs>
        <w:rPr>
          <w:sz w:val="20"/>
          <w:szCs w:val="20"/>
          <w:highlight w:val="cyan"/>
        </w:rPr>
        <w:sectPr w:rsidR="009021F1" w:rsidRPr="00114059" w:rsidSect="00E637E3">
          <w:pgSz w:w="11906" w:h="16838"/>
          <w:pgMar w:top="1134" w:right="1418" w:bottom="1134" w:left="1418" w:header="709" w:footer="709" w:gutter="0"/>
          <w:cols w:space="708"/>
          <w:docGrid w:linePitch="360"/>
        </w:sectPr>
      </w:pPr>
    </w:p>
    <w:p w14:paraId="14150CCB" w14:textId="77777777" w:rsidR="009021F1" w:rsidRPr="00114059" w:rsidRDefault="009021F1" w:rsidP="009021F1">
      <w:pPr>
        <w:pStyle w:val="Titre2"/>
        <w:numPr>
          <w:ilvl w:val="2"/>
          <w:numId w:val="4"/>
        </w:numPr>
        <w:ind w:left="1560" w:hanging="709"/>
        <w:rPr>
          <w:rFonts w:cs="Arial"/>
          <w:i/>
          <w:color w:val="000000"/>
          <w:szCs w:val="21"/>
        </w:rPr>
      </w:pPr>
      <w:bookmarkStart w:id="399" w:name="_Toc90471505"/>
      <w:r w:rsidRPr="00114059">
        <w:rPr>
          <w:rFonts w:cs="Arial"/>
          <w:i/>
          <w:color w:val="000000"/>
          <w:szCs w:val="21"/>
        </w:rPr>
        <w:t>Mesures d’atténuation des impacts négatifs potentiels</w:t>
      </w:r>
      <w:bookmarkEnd w:id="399"/>
    </w:p>
    <w:p w14:paraId="06989021" w14:textId="77777777" w:rsidR="009021F1" w:rsidRPr="00114059" w:rsidRDefault="009021F1" w:rsidP="009021F1">
      <w:pPr>
        <w:pStyle w:val="Lgende"/>
        <w:rPr>
          <w:rFonts w:cs="Arial"/>
          <w:color w:val="000000"/>
          <w:szCs w:val="21"/>
        </w:rPr>
      </w:pPr>
    </w:p>
    <w:p w14:paraId="25DE074D" w14:textId="77777777" w:rsidR="009021F1" w:rsidRPr="00114059" w:rsidRDefault="009021F1" w:rsidP="009021F1">
      <w:pPr>
        <w:autoSpaceDE w:val="0"/>
        <w:autoSpaceDN w:val="0"/>
        <w:adjustRightInd w:val="0"/>
        <w:rPr>
          <w:rFonts w:cs="Arial"/>
          <w:color w:val="000000"/>
          <w:szCs w:val="21"/>
        </w:rPr>
      </w:pPr>
      <w:r w:rsidRPr="00114059">
        <w:rPr>
          <w:rFonts w:cs="Arial"/>
          <w:color w:val="000000"/>
          <w:szCs w:val="21"/>
        </w:rPr>
        <w:t xml:space="preserve">Suivant les résultats de la sélection et de la classification, certains sous-projets pourraient faire l’objet d’une Étude d’Impact Environnemental et Social avant tout démarrage des travaux ou d’un Plan d’Action pour la Réinstallation en cas de réinstallation involontaire (déplacement physique de personnes, pertes de biens ou d’activités économiques, etc.) ou encore d’un Plan en faveur des Populations Autochtones en vue de s’assurer que le Projet respecte pleinement la dignité, les droits de la personne, les systèmes économiques et les cultures des populations autochtones. Ces études environnementales et sociales, en y intégrant les analyses des risques de VBG, incluant l’EAS et le HS, détermineront plus précisément pour chaque sous-composante la nature des mesures à appliquer. En cas de non nécessité d’élaborer de telles études, de simples mesures environnementales et sociales, à réaliser aussi bien lors de la phase de construction qu’en période d’exploitation, pourront être appliquées suivant les listes de mesures indicatives proposées ci-dessous. </w:t>
      </w:r>
    </w:p>
    <w:p w14:paraId="51CAC91F" w14:textId="77777777" w:rsidR="009021F1" w:rsidRPr="00114059" w:rsidRDefault="009021F1" w:rsidP="009021F1">
      <w:pPr>
        <w:autoSpaceDE w:val="0"/>
        <w:autoSpaceDN w:val="0"/>
        <w:adjustRightInd w:val="0"/>
        <w:rPr>
          <w:rFonts w:cs="Arial"/>
          <w:color w:val="000000"/>
          <w:szCs w:val="21"/>
        </w:rPr>
      </w:pPr>
    </w:p>
    <w:p w14:paraId="5B045160" w14:textId="77777777" w:rsidR="00E637E3" w:rsidRDefault="00E637E3" w:rsidP="009021F1">
      <w:pPr>
        <w:spacing w:after="160" w:line="259" w:lineRule="auto"/>
        <w:jc w:val="left"/>
        <w:rPr>
          <w:rFonts w:cs="Arial"/>
          <w:color w:val="000000"/>
          <w:szCs w:val="21"/>
        </w:rPr>
        <w:sectPr w:rsidR="00E637E3" w:rsidSect="00E637E3">
          <w:pgSz w:w="11906" w:h="16838"/>
          <w:pgMar w:top="1134" w:right="1418" w:bottom="1134" w:left="1418" w:header="708" w:footer="708" w:gutter="0"/>
          <w:cols w:space="708"/>
          <w:docGrid w:linePitch="360"/>
        </w:sectPr>
      </w:pPr>
    </w:p>
    <w:p w14:paraId="1434CFD3" w14:textId="77777777" w:rsidR="009021F1" w:rsidRPr="00114059" w:rsidRDefault="009021F1" w:rsidP="009021F1">
      <w:pPr>
        <w:pStyle w:val="Lgende"/>
        <w:ind w:left="1418" w:hanging="1418"/>
        <w:rPr>
          <w:rFonts w:cs="Arial"/>
          <w:bCs w:val="0"/>
          <w:color w:val="000000"/>
          <w:szCs w:val="21"/>
        </w:rPr>
      </w:pPr>
      <w:r w:rsidRPr="00114059">
        <w:rPr>
          <w:rFonts w:cs="Arial"/>
          <w:color w:val="000000"/>
          <w:szCs w:val="21"/>
        </w:rPr>
        <w:t xml:space="preserve">Tableau </w:t>
      </w:r>
      <w:r w:rsidRPr="00114059">
        <w:rPr>
          <w:rFonts w:cs="Arial"/>
          <w:color w:val="000000"/>
          <w:szCs w:val="21"/>
        </w:rPr>
        <w:fldChar w:fldCharType="begin"/>
      </w:r>
      <w:r w:rsidRPr="00114059">
        <w:rPr>
          <w:rFonts w:cs="Arial"/>
          <w:color w:val="000000"/>
          <w:szCs w:val="21"/>
        </w:rPr>
        <w:instrText xml:space="preserve"> SEQ Tableau \* ARABIC </w:instrText>
      </w:r>
      <w:r w:rsidRPr="00114059">
        <w:rPr>
          <w:rFonts w:cs="Arial"/>
          <w:color w:val="000000"/>
          <w:szCs w:val="21"/>
        </w:rPr>
        <w:fldChar w:fldCharType="separate"/>
      </w:r>
      <w:r>
        <w:rPr>
          <w:rFonts w:cs="Arial"/>
          <w:noProof/>
          <w:color w:val="000000"/>
          <w:szCs w:val="21"/>
        </w:rPr>
        <w:t>33</w:t>
      </w:r>
      <w:r w:rsidRPr="00114059">
        <w:rPr>
          <w:rFonts w:cs="Arial"/>
          <w:color w:val="000000"/>
          <w:szCs w:val="21"/>
        </w:rPr>
        <w:fldChar w:fldCharType="end"/>
      </w:r>
      <w:r w:rsidRPr="00114059">
        <w:rPr>
          <w:rFonts w:cs="Arial"/>
          <w:color w:val="000000"/>
          <w:szCs w:val="21"/>
        </w:rPr>
        <w:t>.</w:t>
      </w:r>
      <w:r w:rsidRPr="00114059">
        <w:rPr>
          <w:rFonts w:cs="Arial"/>
          <w:bCs w:val="0"/>
          <w:color w:val="000000"/>
          <w:szCs w:val="21"/>
        </w:rPr>
        <w:t xml:space="preserve"> </w:t>
      </w:r>
      <w:r w:rsidRPr="00114059">
        <w:rPr>
          <w:rFonts w:cs="Arial"/>
          <w:color w:val="000000"/>
          <w:szCs w:val="21"/>
        </w:rPr>
        <w:t xml:space="preserve"> </w:t>
      </w:r>
      <w:r w:rsidRPr="00114059">
        <w:rPr>
          <w:rFonts w:cs="Arial"/>
          <w:bCs w:val="0"/>
          <w:color w:val="000000"/>
          <w:szCs w:val="21"/>
        </w:rPr>
        <w:t>Mesures d’atténuation générales pour l’exécution les composantes thématiques affectées par le Projet</w:t>
      </w:r>
    </w:p>
    <w:p w14:paraId="49158BB9" w14:textId="77777777" w:rsidR="009021F1" w:rsidRPr="00114059" w:rsidRDefault="009021F1" w:rsidP="009021F1">
      <w:pPr>
        <w:rPr>
          <w:rFonts w:cs="Arial"/>
          <w:color w:val="FF0000"/>
          <w:szCs w:val="21"/>
          <w:lang w:eastAsia="en-US"/>
        </w:rPr>
      </w:pPr>
    </w:p>
    <w:tbl>
      <w:tblPr>
        <w:tblW w:w="1549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6"/>
        <w:gridCol w:w="2271"/>
        <w:gridCol w:w="4975"/>
        <w:gridCol w:w="2144"/>
        <w:gridCol w:w="2109"/>
        <w:gridCol w:w="2190"/>
      </w:tblGrid>
      <w:tr w:rsidR="009021F1" w:rsidRPr="00114059" w14:paraId="20ADD5E4" w14:textId="77777777" w:rsidTr="00E637E3">
        <w:trPr>
          <w:trHeight w:val="366"/>
          <w:tblHeader/>
        </w:trPr>
        <w:tc>
          <w:tcPr>
            <w:tcW w:w="1806" w:type="dxa"/>
            <w:vMerge w:val="restart"/>
            <w:shd w:val="clear" w:color="auto" w:fill="D5DCE4"/>
          </w:tcPr>
          <w:p w14:paraId="5A9E0947" w14:textId="77777777" w:rsidR="009021F1" w:rsidRPr="00114059" w:rsidRDefault="009021F1" w:rsidP="00E637E3">
            <w:pPr>
              <w:pStyle w:val="TableParagraph"/>
              <w:spacing w:line="276" w:lineRule="auto"/>
              <w:ind w:left="46" w:right="34"/>
              <w:jc w:val="center"/>
              <w:rPr>
                <w:b/>
                <w:sz w:val="20"/>
                <w:szCs w:val="20"/>
                <w:lang w:val="fr-FR"/>
              </w:rPr>
            </w:pPr>
          </w:p>
          <w:p w14:paraId="7BD6D729" w14:textId="77777777" w:rsidR="009021F1" w:rsidRPr="00114059" w:rsidRDefault="009021F1" w:rsidP="00E637E3">
            <w:pPr>
              <w:pStyle w:val="TableParagraph"/>
              <w:spacing w:line="276" w:lineRule="auto"/>
              <w:ind w:left="46" w:right="34"/>
              <w:jc w:val="center"/>
              <w:rPr>
                <w:b/>
                <w:sz w:val="20"/>
                <w:szCs w:val="20"/>
              </w:rPr>
            </w:pPr>
            <w:r w:rsidRPr="00114059">
              <w:rPr>
                <w:b/>
                <w:sz w:val="20"/>
                <w:szCs w:val="20"/>
              </w:rPr>
              <w:t>Composantes affectées</w:t>
            </w:r>
          </w:p>
        </w:tc>
        <w:tc>
          <w:tcPr>
            <w:tcW w:w="2271" w:type="dxa"/>
            <w:vMerge w:val="restart"/>
            <w:shd w:val="clear" w:color="auto" w:fill="D5DCE4"/>
          </w:tcPr>
          <w:p w14:paraId="7C092F16" w14:textId="77777777" w:rsidR="009021F1" w:rsidRPr="00114059" w:rsidRDefault="009021F1" w:rsidP="00E637E3">
            <w:pPr>
              <w:pStyle w:val="TableParagraph"/>
              <w:spacing w:line="276" w:lineRule="auto"/>
              <w:ind w:left="638"/>
              <w:rPr>
                <w:b/>
                <w:sz w:val="20"/>
                <w:szCs w:val="20"/>
              </w:rPr>
            </w:pPr>
          </w:p>
          <w:p w14:paraId="07604E1D" w14:textId="77777777" w:rsidR="009021F1" w:rsidRPr="00114059" w:rsidRDefault="009021F1" w:rsidP="00E637E3">
            <w:pPr>
              <w:pStyle w:val="TableParagraph"/>
              <w:spacing w:line="276" w:lineRule="auto"/>
              <w:ind w:left="638"/>
              <w:rPr>
                <w:b/>
                <w:sz w:val="20"/>
                <w:szCs w:val="20"/>
              </w:rPr>
            </w:pPr>
          </w:p>
          <w:p w14:paraId="14A17066" w14:textId="77777777" w:rsidR="009021F1" w:rsidRPr="00114059" w:rsidRDefault="009021F1" w:rsidP="00E637E3">
            <w:pPr>
              <w:pStyle w:val="TableParagraph"/>
              <w:spacing w:line="276" w:lineRule="auto"/>
              <w:ind w:left="638"/>
              <w:rPr>
                <w:b/>
                <w:sz w:val="20"/>
                <w:szCs w:val="20"/>
              </w:rPr>
            </w:pPr>
            <w:r w:rsidRPr="00114059">
              <w:rPr>
                <w:b/>
                <w:sz w:val="20"/>
                <w:szCs w:val="20"/>
              </w:rPr>
              <w:t>Impacts</w:t>
            </w:r>
          </w:p>
        </w:tc>
        <w:tc>
          <w:tcPr>
            <w:tcW w:w="4975" w:type="dxa"/>
            <w:vMerge w:val="restart"/>
            <w:shd w:val="clear" w:color="auto" w:fill="D5DCE4"/>
          </w:tcPr>
          <w:p w14:paraId="1061C5EF" w14:textId="77777777" w:rsidR="009021F1" w:rsidRPr="00114059" w:rsidRDefault="009021F1" w:rsidP="00E637E3">
            <w:pPr>
              <w:pStyle w:val="TableParagraph"/>
              <w:spacing w:line="276" w:lineRule="auto"/>
              <w:ind w:left="1973"/>
              <w:rPr>
                <w:b/>
                <w:sz w:val="20"/>
                <w:szCs w:val="20"/>
              </w:rPr>
            </w:pPr>
          </w:p>
          <w:p w14:paraId="11F3233D" w14:textId="77777777" w:rsidR="009021F1" w:rsidRPr="00114059" w:rsidRDefault="009021F1" w:rsidP="00E637E3">
            <w:pPr>
              <w:pStyle w:val="TableParagraph"/>
              <w:spacing w:line="276" w:lineRule="auto"/>
              <w:ind w:left="1973"/>
              <w:rPr>
                <w:b/>
                <w:sz w:val="20"/>
                <w:szCs w:val="20"/>
              </w:rPr>
            </w:pPr>
          </w:p>
          <w:p w14:paraId="379BA497" w14:textId="77777777" w:rsidR="009021F1" w:rsidRPr="00114059" w:rsidRDefault="009021F1" w:rsidP="00E637E3">
            <w:pPr>
              <w:pStyle w:val="TableParagraph"/>
              <w:spacing w:line="276" w:lineRule="auto"/>
              <w:ind w:left="1973"/>
              <w:rPr>
                <w:b/>
                <w:sz w:val="20"/>
                <w:szCs w:val="20"/>
              </w:rPr>
            </w:pPr>
            <w:r w:rsidRPr="00114059">
              <w:rPr>
                <w:b/>
                <w:sz w:val="20"/>
                <w:szCs w:val="20"/>
              </w:rPr>
              <w:t>Mesures d’atténuation</w:t>
            </w:r>
          </w:p>
        </w:tc>
        <w:tc>
          <w:tcPr>
            <w:tcW w:w="2144" w:type="dxa"/>
            <w:vMerge w:val="restart"/>
            <w:shd w:val="clear" w:color="auto" w:fill="D5DCE4"/>
          </w:tcPr>
          <w:p w14:paraId="69060EFE" w14:textId="77777777" w:rsidR="009021F1" w:rsidRPr="00114059" w:rsidRDefault="009021F1" w:rsidP="00E637E3">
            <w:pPr>
              <w:rPr>
                <w:sz w:val="20"/>
                <w:szCs w:val="20"/>
              </w:rPr>
            </w:pPr>
          </w:p>
          <w:p w14:paraId="287A13D2" w14:textId="77777777" w:rsidR="009021F1" w:rsidRPr="00114059" w:rsidRDefault="009021F1" w:rsidP="00E637E3">
            <w:pPr>
              <w:rPr>
                <w:b/>
                <w:sz w:val="20"/>
                <w:szCs w:val="20"/>
              </w:rPr>
            </w:pPr>
            <w:r w:rsidRPr="00114059">
              <w:rPr>
                <w:b/>
                <w:sz w:val="20"/>
                <w:szCs w:val="20"/>
                <w:lang w:eastAsia="en-US"/>
              </w:rPr>
              <w:t>Période de mise en oeuvre</w:t>
            </w:r>
          </w:p>
        </w:tc>
        <w:tc>
          <w:tcPr>
            <w:tcW w:w="4299" w:type="dxa"/>
            <w:gridSpan w:val="2"/>
            <w:shd w:val="clear" w:color="auto" w:fill="D5DCE4"/>
          </w:tcPr>
          <w:p w14:paraId="6E572831" w14:textId="77777777" w:rsidR="009021F1" w:rsidRPr="00114059" w:rsidRDefault="009021F1" w:rsidP="00E637E3">
            <w:pPr>
              <w:jc w:val="center"/>
              <w:rPr>
                <w:b/>
                <w:sz w:val="20"/>
                <w:szCs w:val="20"/>
                <w:lang w:val="en-US"/>
              </w:rPr>
            </w:pPr>
            <w:r w:rsidRPr="00114059">
              <w:rPr>
                <w:b/>
                <w:sz w:val="20"/>
                <w:szCs w:val="20"/>
                <w:lang w:eastAsia="en-US"/>
              </w:rPr>
              <w:t>Responsable</w:t>
            </w:r>
          </w:p>
        </w:tc>
      </w:tr>
      <w:tr w:rsidR="009021F1" w:rsidRPr="00114059" w14:paraId="448FABDE" w14:textId="77777777" w:rsidTr="00E637E3">
        <w:trPr>
          <w:trHeight w:val="366"/>
          <w:tblHeader/>
        </w:trPr>
        <w:tc>
          <w:tcPr>
            <w:tcW w:w="1806" w:type="dxa"/>
            <w:vMerge/>
            <w:shd w:val="clear" w:color="auto" w:fill="D5DCE4"/>
          </w:tcPr>
          <w:p w14:paraId="47F3497E" w14:textId="77777777" w:rsidR="009021F1" w:rsidRPr="00114059" w:rsidRDefault="009021F1" w:rsidP="00E637E3">
            <w:pPr>
              <w:pStyle w:val="TableParagraph"/>
              <w:spacing w:line="276" w:lineRule="auto"/>
              <w:ind w:left="46" w:right="34"/>
              <w:jc w:val="center"/>
              <w:rPr>
                <w:b/>
                <w:sz w:val="20"/>
                <w:szCs w:val="20"/>
              </w:rPr>
            </w:pPr>
          </w:p>
        </w:tc>
        <w:tc>
          <w:tcPr>
            <w:tcW w:w="2271" w:type="dxa"/>
            <w:vMerge/>
            <w:shd w:val="clear" w:color="auto" w:fill="D5DCE4"/>
          </w:tcPr>
          <w:p w14:paraId="5B57536B" w14:textId="77777777" w:rsidR="009021F1" w:rsidRPr="00114059" w:rsidRDefault="009021F1" w:rsidP="00E637E3">
            <w:pPr>
              <w:pStyle w:val="TableParagraph"/>
              <w:spacing w:line="276" w:lineRule="auto"/>
              <w:ind w:left="638"/>
              <w:rPr>
                <w:b/>
                <w:sz w:val="20"/>
                <w:szCs w:val="20"/>
              </w:rPr>
            </w:pPr>
          </w:p>
        </w:tc>
        <w:tc>
          <w:tcPr>
            <w:tcW w:w="4975" w:type="dxa"/>
            <w:vMerge/>
            <w:shd w:val="clear" w:color="auto" w:fill="D5DCE4"/>
          </w:tcPr>
          <w:p w14:paraId="4028183F" w14:textId="77777777" w:rsidR="009021F1" w:rsidRPr="00114059" w:rsidRDefault="009021F1" w:rsidP="00E637E3">
            <w:pPr>
              <w:pStyle w:val="TableParagraph"/>
              <w:spacing w:line="276" w:lineRule="auto"/>
              <w:ind w:left="1973"/>
              <w:rPr>
                <w:b/>
                <w:sz w:val="20"/>
                <w:szCs w:val="20"/>
              </w:rPr>
            </w:pPr>
          </w:p>
        </w:tc>
        <w:tc>
          <w:tcPr>
            <w:tcW w:w="2144" w:type="dxa"/>
            <w:vMerge/>
            <w:shd w:val="clear" w:color="auto" w:fill="D5DCE4"/>
          </w:tcPr>
          <w:p w14:paraId="5D3703B3" w14:textId="77777777" w:rsidR="009021F1" w:rsidRPr="00114059" w:rsidRDefault="009021F1" w:rsidP="00E637E3">
            <w:pPr>
              <w:pStyle w:val="TableParagraph"/>
              <w:spacing w:line="276" w:lineRule="auto"/>
              <w:ind w:left="1973"/>
              <w:rPr>
                <w:b/>
                <w:sz w:val="20"/>
                <w:szCs w:val="20"/>
              </w:rPr>
            </w:pPr>
          </w:p>
        </w:tc>
        <w:tc>
          <w:tcPr>
            <w:tcW w:w="2109" w:type="dxa"/>
            <w:shd w:val="clear" w:color="auto" w:fill="D5DCE4"/>
          </w:tcPr>
          <w:p w14:paraId="2295C990" w14:textId="77777777" w:rsidR="009021F1" w:rsidRPr="00114059" w:rsidRDefault="009021F1" w:rsidP="00E637E3">
            <w:pPr>
              <w:jc w:val="center"/>
              <w:rPr>
                <w:b/>
                <w:sz w:val="20"/>
                <w:szCs w:val="20"/>
                <w:lang w:val="en-US"/>
              </w:rPr>
            </w:pPr>
            <w:r w:rsidRPr="00114059">
              <w:rPr>
                <w:b/>
                <w:sz w:val="20"/>
                <w:szCs w:val="20"/>
                <w:lang w:eastAsia="en-US"/>
              </w:rPr>
              <w:t>Mise en application</w:t>
            </w:r>
          </w:p>
        </w:tc>
        <w:tc>
          <w:tcPr>
            <w:tcW w:w="2190" w:type="dxa"/>
            <w:shd w:val="clear" w:color="auto" w:fill="D5DCE4"/>
          </w:tcPr>
          <w:p w14:paraId="6762637D" w14:textId="77777777" w:rsidR="009021F1" w:rsidRPr="00114059" w:rsidRDefault="009021F1" w:rsidP="00E637E3">
            <w:pPr>
              <w:jc w:val="center"/>
              <w:rPr>
                <w:b/>
                <w:sz w:val="20"/>
                <w:szCs w:val="20"/>
                <w:lang w:val="en-US"/>
              </w:rPr>
            </w:pPr>
            <w:r w:rsidRPr="00114059">
              <w:rPr>
                <w:b/>
                <w:sz w:val="20"/>
                <w:szCs w:val="20"/>
                <w:lang w:eastAsia="en-US"/>
              </w:rPr>
              <w:t>Suivi - évaluation</w:t>
            </w:r>
          </w:p>
        </w:tc>
      </w:tr>
      <w:tr w:rsidR="009021F1" w:rsidRPr="00114059" w14:paraId="0ABD80FD" w14:textId="77777777" w:rsidTr="00E637E3">
        <w:trPr>
          <w:trHeight w:val="2841"/>
        </w:trPr>
        <w:tc>
          <w:tcPr>
            <w:tcW w:w="1806" w:type="dxa"/>
            <w:vMerge w:val="restart"/>
            <w:shd w:val="clear" w:color="auto" w:fill="auto"/>
          </w:tcPr>
          <w:p w14:paraId="56C14E58" w14:textId="77777777" w:rsidR="009021F1" w:rsidRPr="00114059" w:rsidRDefault="009021F1" w:rsidP="00E637E3">
            <w:pPr>
              <w:pStyle w:val="TableParagraph"/>
              <w:spacing w:line="276" w:lineRule="auto"/>
              <w:ind w:left="46" w:right="54"/>
              <w:jc w:val="center"/>
              <w:rPr>
                <w:sz w:val="20"/>
                <w:szCs w:val="20"/>
              </w:rPr>
            </w:pPr>
          </w:p>
          <w:p w14:paraId="50E778FC" w14:textId="77777777" w:rsidR="009021F1" w:rsidRPr="00114059" w:rsidRDefault="009021F1" w:rsidP="00E637E3">
            <w:pPr>
              <w:pStyle w:val="TableParagraph"/>
              <w:spacing w:line="276" w:lineRule="auto"/>
              <w:ind w:left="46" w:right="54"/>
              <w:jc w:val="center"/>
              <w:rPr>
                <w:sz w:val="20"/>
                <w:szCs w:val="20"/>
              </w:rPr>
            </w:pPr>
          </w:p>
          <w:p w14:paraId="5B192E6B" w14:textId="77777777" w:rsidR="009021F1" w:rsidRPr="00114059" w:rsidRDefault="009021F1" w:rsidP="00E637E3">
            <w:pPr>
              <w:pStyle w:val="TableParagraph"/>
              <w:spacing w:line="276" w:lineRule="auto"/>
              <w:ind w:left="46" w:right="54"/>
              <w:jc w:val="center"/>
              <w:rPr>
                <w:sz w:val="20"/>
                <w:szCs w:val="20"/>
              </w:rPr>
            </w:pPr>
          </w:p>
          <w:p w14:paraId="701694A9" w14:textId="77777777" w:rsidR="009021F1" w:rsidRPr="00114059" w:rsidRDefault="009021F1" w:rsidP="00E637E3">
            <w:pPr>
              <w:pStyle w:val="TableParagraph"/>
              <w:spacing w:line="276" w:lineRule="auto"/>
              <w:ind w:left="46" w:right="54"/>
              <w:jc w:val="center"/>
              <w:rPr>
                <w:sz w:val="20"/>
                <w:szCs w:val="20"/>
              </w:rPr>
            </w:pPr>
          </w:p>
          <w:p w14:paraId="2D5216C6" w14:textId="77777777" w:rsidR="009021F1" w:rsidRPr="00114059" w:rsidRDefault="009021F1" w:rsidP="00E637E3">
            <w:pPr>
              <w:pStyle w:val="TableParagraph"/>
              <w:spacing w:line="276" w:lineRule="auto"/>
              <w:ind w:left="46" w:right="54"/>
              <w:jc w:val="center"/>
              <w:rPr>
                <w:sz w:val="20"/>
                <w:szCs w:val="20"/>
              </w:rPr>
            </w:pPr>
          </w:p>
          <w:p w14:paraId="41407BAD" w14:textId="77777777" w:rsidR="009021F1" w:rsidRPr="00114059" w:rsidRDefault="009021F1" w:rsidP="00E637E3">
            <w:pPr>
              <w:pStyle w:val="TableParagraph"/>
              <w:spacing w:line="276" w:lineRule="auto"/>
              <w:ind w:left="46" w:right="54"/>
              <w:jc w:val="center"/>
              <w:rPr>
                <w:sz w:val="20"/>
                <w:szCs w:val="20"/>
              </w:rPr>
            </w:pPr>
          </w:p>
          <w:p w14:paraId="61D57C34" w14:textId="77777777" w:rsidR="009021F1" w:rsidRPr="00114059" w:rsidRDefault="009021F1" w:rsidP="00E637E3">
            <w:pPr>
              <w:pStyle w:val="TableParagraph"/>
              <w:spacing w:line="276" w:lineRule="auto"/>
              <w:ind w:left="46" w:right="54"/>
              <w:jc w:val="center"/>
              <w:rPr>
                <w:sz w:val="20"/>
                <w:szCs w:val="20"/>
              </w:rPr>
            </w:pPr>
          </w:p>
          <w:p w14:paraId="560AC75B" w14:textId="77777777" w:rsidR="009021F1" w:rsidRPr="00114059" w:rsidRDefault="009021F1" w:rsidP="00E637E3">
            <w:pPr>
              <w:pStyle w:val="TableParagraph"/>
              <w:spacing w:line="276" w:lineRule="auto"/>
              <w:ind w:left="46" w:right="54"/>
              <w:jc w:val="center"/>
              <w:rPr>
                <w:sz w:val="20"/>
                <w:szCs w:val="20"/>
              </w:rPr>
            </w:pPr>
          </w:p>
          <w:p w14:paraId="768EE08C" w14:textId="77777777" w:rsidR="009021F1" w:rsidRPr="00114059" w:rsidRDefault="009021F1" w:rsidP="00E637E3">
            <w:pPr>
              <w:pStyle w:val="TableParagraph"/>
              <w:spacing w:line="276" w:lineRule="auto"/>
              <w:ind w:left="46" w:right="54"/>
              <w:jc w:val="center"/>
              <w:rPr>
                <w:sz w:val="20"/>
                <w:szCs w:val="20"/>
              </w:rPr>
            </w:pPr>
          </w:p>
          <w:p w14:paraId="624949AD" w14:textId="77777777" w:rsidR="009021F1" w:rsidRPr="00114059" w:rsidRDefault="009021F1" w:rsidP="00E637E3">
            <w:pPr>
              <w:pStyle w:val="TableParagraph"/>
              <w:spacing w:line="276" w:lineRule="auto"/>
              <w:ind w:left="46" w:right="54"/>
              <w:jc w:val="center"/>
              <w:rPr>
                <w:sz w:val="20"/>
                <w:szCs w:val="20"/>
              </w:rPr>
            </w:pPr>
            <w:r w:rsidRPr="00114059">
              <w:rPr>
                <w:sz w:val="20"/>
                <w:szCs w:val="20"/>
              </w:rPr>
              <w:t>Qualité de l’air</w:t>
            </w:r>
          </w:p>
        </w:tc>
        <w:tc>
          <w:tcPr>
            <w:tcW w:w="2271" w:type="dxa"/>
            <w:shd w:val="clear" w:color="auto" w:fill="auto"/>
          </w:tcPr>
          <w:p w14:paraId="309C6490" w14:textId="77777777" w:rsidR="009021F1" w:rsidRPr="00114059" w:rsidRDefault="009021F1" w:rsidP="00E637E3">
            <w:pPr>
              <w:pStyle w:val="TableParagraph"/>
              <w:spacing w:line="276" w:lineRule="auto"/>
              <w:ind w:right="-97"/>
              <w:rPr>
                <w:sz w:val="20"/>
                <w:szCs w:val="20"/>
                <w:lang w:val="fr-FR"/>
              </w:rPr>
            </w:pPr>
          </w:p>
          <w:p w14:paraId="7ACAC5AB" w14:textId="77777777" w:rsidR="009021F1" w:rsidRPr="00114059" w:rsidRDefault="009021F1" w:rsidP="00E637E3">
            <w:pPr>
              <w:pStyle w:val="TableParagraph"/>
              <w:spacing w:line="276" w:lineRule="auto"/>
              <w:ind w:right="-97"/>
              <w:rPr>
                <w:sz w:val="20"/>
                <w:szCs w:val="20"/>
                <w:lang w:val="fr-FR"/>
              </w:rPr>
            </w:pPr>
          </w:p>
          <w:p w14:paraId="500E3DC3" w14:textId="77777777" w:rsidR="009021F1" w:rsidRPr="00114059" w:rsidRDefault="009021F1" w:rsidP="00E637E3">
            <w:pPr>
              <w:pStyle w:val="TableParagraph"/>
              <w:spacing w:line="276" w:lineRule="auto"/>
              <w:ind w:right="-97"/>
              <w:rPr>
                <w:sz w:val="20"/>
                <w:szCs w:val="20"/>
                <w:lang w:val="fr-FR"/>
              </w:rPr>
            </w:pPr>
          </w:p>
          <w:p w14:paraId="4D64396E" w14:textId="77777777" w:rsidR="009021F1" w:rsidRPr="00114059" w:rsidRDefault="009021F1" w:rsidP="00E637E3">
            <w:pPr>
              <w:pStyle w:val="TableParagraph"/>
              <w:spacing w:line="276" w:lineRule="auto"/>
              <w:ind w:right="-97"/>
              <w:rPr>
                <w:sz w:val="20"/>
                <w:szCs w:val="20"/>
                <w:lang w:val="fr-FR"/>
              </w:rPr>
            </w:pPr>
            <w:r w:rsidRPr="00114059">
              <w:rPr>
                <w:sz w:val="20"/>
                <w:szCs w:val="20"/>
                <w:lang w:val="fr-FR"/>
              </w:rPr>
              <w:t xml:space="preserve">Altération de la qualité de l’air (fumée, poussière et émanations gazeuses). </w:t>
            </w:r>
          </w:p>
        </w:tc>
        <w:tc>
          <w:tcPr>
            <w:tcW w:w="4975" w:type="dxa"/>
            <w:shd w:val="clear" w:color="auto" w:fill="auto"/>
          </w:tcPr>
          <w:p w14:paraId="18FC17C4"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Limiter</w:t>
            </w:r>
            <w:r w:rsidRPr="00114059">
              <w:rPr>
                <w:spacing w:val="-17"/>
                <w:sz w:val="20"/>
                <w:szCs w:val="20"/>
                <w:lang w:val="fr-FR"/>
              </w:rPr>
              <w:t xml:space="preserve"> </w:t>
            </w:r>
            <w:r w:rsidRPr="00114059">
              <w:rPr>
                <w:sz w:val="20"/>
                <w:szCs w:val="20"/>
                <w:lang w:val="fr-FR"/>
              </w:rPr>
              <w:t>la</w:t>
            </w:r>
            <w:r w:rsidRPr="00114059">
              <w:rPr>
                <w:spacing w:val="-18"/>
                <w:sz w:val="20"/>
                <w:szCs w:val="20"/>
                <w:lang w:val="fr-FR"/>
              </w:rPr>
              <w:t xml:space="preserve"> </w:t>
            </w:r>
            <w:r w:rsidRPr="00114059">
              <w:rPr>
                <w:sz w:val="20"/>
                <w:szCs w:val="20"/>
                <w:lang w:val="fr-FR"/>
              </w:rPr>
              <w:t>vitesse</w:t>
            </w:r>
            <w:r w:rsidRPr="00114059">
              <w:rPr>
                <w:spacing w:val="-18"/>
                <w:sz w:val="20"/>
                <w:szCs w:val="20"/>
                <w:lang w:val="fr-FR"/>
              </w:rPr>
              <w:t xml:space="preserve"> </w:t>
            </w:r>
            <w:r w:rsidRPr="00114059">
              <w:rPr>
                <w:sz w:val="20"/>
                <w:szCs w:val="20"/>
                <w:lang w:val="fr-FR"/>
              </w:rPr>
              <w:t>des</w:t>
            </w:r>
            <w:r w:rsidRPr="00114059">
              <w:rPr>
                <w:spacing w:val="-17"/>
                <w:sz w:val="20"/>
                <w:szCs w:val="20"/>
                <w:lang w:val="fr-FR"/>
              </w:rPr>
              <w:t xml:space="preserve"> </w:t>
            </w:r>
            <w:r w:rsidRPr="00114059">
              <w:rPr>
                <w:sz w:val="20"/>
                <w:szCs w:val="20"/>
                <w:lang w:val="fr-FR"/>
              </w:rPr>
              <w:t>véhicules</w:t>
            </w:r>
            <w:r w:rsidRPr="00114059">
              <w:rPr>
                <w:spacing w:val="-17"/>
                <w:sz w:val="20"/>
                <w:szCs w:val="20"/>
                <w:lang w:val="fr-FR"/>
              </w:rPr>
              <w:t xml:space="preserve"> </w:t>
            </w:r>
            <w:r w:rsidRPr="00114059">
              <w:rPr>
                <w:sz w:val="20"/>
                <w:szCs w:val="20"/>
                <w:lang w:val="fr-FR"/>
              </w:rPr>
              <w:t>lourds</w:t>
            </w:r>
            <w:r w:rsidRPr="00114059">
              <w:rPr>
                <w:spacing w:val="-17"/>
                <w:sz w:val="20"/>
                <w:szCs w:val="20"/>
                <w:lang w:val="fr-FR"/>
              </w:rPr>
              <w:t xml:space="preserve"> </w:t>
            </w:r>
            <w:r w:rsidRPr="00114059">
              <w:rPr>
                <w:sz w:val="20"/>
                <w:szCs w:val="20"/>
                <w:lang w:val="fr-FR"/>
              </w:rPr>
              <w:t>lors</w:t>
            </w:r>
            <w:r w:rsidRPr="00114059">
              <w:rPr>
                <w:spacing w:val="-16"/>
                <w:sz w:val="20"/>
                <w:szCs w:val="20"/>
                <w:lang w:val="fr-FR"/>
              </w:rPr>
              <w:t xml:space="preserve"> </w:t>
            </w:r>
            <w:r w:rsidRPr="00114059">
              <w:rPr>
                <w:sz w:val="20"/>
                <w:szCs w:val="20"/>
                <w:lang w:val="fr-FR"/>
              </w:rPr>
              <w:t>de</w:t>
            </w:r>
            <w:r w:rsidRPr="00114059">
              <w:rPr>
                <w:spacing w:val="-18"/>
                <w:sz w:val="20"/>
                <w:szCs w:val="20"/>
                <w:lang w:val="fr-FR"/>
              </w:rPr>
              <w:t xml:space="preserve"> </w:t>
            </w:r>
            <w:r w:rsidRPr="00114059">
              <w:rPr>
                <w:sz w:val="20"/>
                <w:szCs w:val="20"/>
                <w:lang w:val="fr-FR"/>
              </w:rPr>
              <w:t>circulation</w:t>
            </w:r>
            <w:r w:rsidRPr="00114059">
              <w:rPr>
                <w:spacing w:val="-19"/>
                <w:sz w:val="20"/>
                <w:szCs w:val="20"/>
                <w:lang w:val="fr-FR"/>
              </w:rPr>
              <w:t xml:space="preserve"> </w:t>
            </w:r>
            <w:r w:rsidRPr="00114059">
              <w:rPr>
                <w:sz w:val="20"/>
                <w:szCs w:val="20"/>
                <w:lang w:val="fr-FR"/>
              </w:rPr>
              <w:t>sur</w:t>
            </w:r>
            <w:r w:rsidRPr="00114059">
              <w:rPr>
                <w:spacing w:val="-17"/>
                <w:sz w:val="20"/>
                <w:szCs w:val="20"/>
                <w:lang w:val="fr-FR"/>
              </w:rPr>
              <w:t xml:space="preserve"> </w:t>
            </w:r>
            <w:r w:rsidRPr="00114059">
              <w:rPr>
                <w:sz w:val="20"/>
                <w:szCs w:val="20"/>
                <w:lang w:val="fr-FR"/>
              </w:rPr>
              <w:t>des chemins en terre battue lorsqu’il est fait recours à la réhabilitation</w:t>
            </w:r>
            <w:r w:rsidRPr="00114059">
              <w:rPr>
                <w:spacing w:val="-28"/>
                <w:sz w:val="20"/>
                <w:szCs w:val="20"/>
                <w:lang w:val="fr-FR"/>
              </w:rPr>
              <w:t xml:space="preserve"> </w:t>
            </w:r>
            <w:r w:rsidRPr="00114059">
              <w:rPr>
                <w:sz w:val="20"/>
                <w:szCs w:val="20"/>
                <w:lang w:val="fr-FR"/>
              </w:rPr>
              <w:t>mécanique</w:t>
            </w:r>
            <w:r w:rsidRPr="00114059">
              <w:rPr>
                <w:spacing w:val="-27"/>
                <w:sz w:val="20"/>
                <w:szCs w:val="20"/>
                <w:lang w:val="fr-FR"/>
              </w:rPr>
              <w:t xml:space="preserve"> </w:t>
            </w:r>
            <w:r w:rsidRPr="00114059">
              <w:rPr>
                <w:sz w:val="20"/>
                <w:szCs w:val="20"/>
                <w:lang w:val="fr-FR"/>
              </w:rPr>
              <w:t>des</w:t>
            </w:r>
            <w:r w:rsidRPr="00114059">
              <w:rPr>
                <w:spacing w:val="-27"/>
                <w:sz w:val="20"/>
                <w:szCs w:val="20"/>
                <w:lang w:val="fr-FR"/>
              </w:rPr>
              <w:t xml:space="preserve"> </w:t>
            </w:r>
            <w:r w:rsidRPr="00114059">
              <w:rPr>
                <w:sz w:val="20"/>
                <w:szCs w:val="20"/>
                <w:lang w:val="fr-FR"/>
              </w:rPr>
              <w:t>routes</w:t>
            </w:r>
            <w:r w:rsidRPr="00114059">
              <w:rPr>
                <w:spacing w:val="-25"/>
                <w:sz w:val="20"/>
                <w:szCs w:val="20"/>
                <w:lang w:val="fr-FR"/>
              </w:rPr>
              <w:t xml:space="preserve"> </w:t>
            </w:r>
            <w:r w:rsidRPr="00114059">
              <w:rPr>
                <w:sz w:val="20"/>
                <w:szCs w:val="20"/>
                <w:lang w:val="fr-FR"/>
              </w:rPr>
              <w:t>et</w:t>
            </w:r>
            <w:r w:rsidRPr="00114059">
              <w:rPr>
                <w:spacing w:val="-26"/>
                <w:sz w:val="20"/>
                <w:szCs w:val="20"/>
                <w:lang w:val="fr-FR"/>
              </w:rPr>
              <w:t xml:space="preserve"> </w:t>
            </w:r>
            <w:r w:rsidRPr="00114059">
              <w:rPr>
                <w:sz w:val="20"/>
                <w:szCs w:val="20"/>
                <w:lang w:val="fr-FR"/>
              </w:rPr>
              <w:t>voies</w:t>
            </w:r>
            <w:r w:rsidRPr="00114059">
              <w:rPr>
                <w:spacing w:val="-27"/>
                <w:sz w:val="20"/>
                <w:szCs w:val="20"/>
                <w:lang w:val="fr-FR"/>
              </w:rPr>
              <w:t xml:space="preserve"> </w:t>
            </w:r>
            <w:r w:rsidRPr="00114059">
              <w:rPr>
                <w:sz w:val="20"/>
                <w:szCs w:val="20"/>
                <w:lang w:val="fr-FR"/>
              </w:rPr>
              <w:t>de</w:t>
            </w:r>
            <w:r w:rsidRPr="00114059">
              <w:rPr>
                <w:spacing w:val="-27"/>
                <w:sz w:val="20"/>
                <w:szCs w:val="20"/>
                <w:lang w:val="fr-FR"/>
              </w:rPr>
              <w:t xml:space="preserve"> </w:t>
            </w:r>
            <w:r w:rsidRPr="00114059">
              <w:rPr>
                <w:sz w:val="20"/>
                <w:szCs w:val="20"/>
                <w:lang w:val="fr-FR"/>
              </w:rPr>
              <w:t>desserte</w:t>
            </w:r>
            <w:r w:rsidRPr="00114059">
              <w:rPr>
                <w:spacing w:val="-26"/>
                <w:sz w:val="20"/>
                <w:szCs w:val="20"/>
                <w:lang w:val="fr-FR"/>
              </w:rPr>
              <w:t xml:space="preserve"> </w:t>
            </w:r>
            <w:r w:rsidRPr="00114059">
              <w:rPr>
                <w:sz w:val="20"/>
                <w:szCs w:val="20"/>
                <w:lang w:val="fr-FR"/>
              </w:rPr>
              <w:t>agricole</w:t>
            </w:r>
            <w:r w:rsidRPr="00114059">
              <w:rPr>
                <w:spacing w:val="-26"/>
                <w:sz w:val="20"/>
                <w:szCs w:val="20"/>
                <w:lang w:val="fr-FR"/>
              </w:rPr>
              <w:t xml:space="preserve"> </w:t>
            </w:r>
            <w:r w:rsidRPr="00114059">
              <w:rPr>
                <w:sz w:val="20"/>
                <w:szCs w:val="20"/>
                <w:lang w:val="fr-FR"/>
              </w:rPr>
              <w:t>;</w:t>
            </w:r>
          </w:p>
          <w:p w14:paraId="1A2875C6"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Éviter la circulation de véhicules lourds ou de brûler les produits de débroussaillage à proximité des zones habitées ;</w:t>
            </w:r>
          </w:p>
          <w:p w14:paraId="1D3AEFEB"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Utiliser les équipements de protection individuelle (abats poussières, gants, bottes, lunettes de protection, etc.) pour minimiser la dispersion des émissions dans l’air.</w:t>
            </w:r>
          </w:p>
        </w:tc>
        <w:tc>
          <w:tcPr>
            <w:tcW w:w="2144" w:type="dxa"/>
            <w:shd w:val="clear" w:color="auto" w:fill="auto"/>
          </w:tcPr>
          <w:p w14:paraId="7912CCAE" w14:textId="77777777" w:rsidR="009021F1" w:rsidRPr="00114059" w:rsidRDefault="009021F1" w:rsidP="00E637E3">
            <w:pPr>
              <w:pStyle w:val="TableParagraph"/>
              <w:numPr>
                <w:ilvl w:val="0"/>
                <w:numId w:val="49"/>
              </w:numPr>
              <w:autoSpaceDE w:val="0"/>
              <w:autoSpaceDN w:val="0"/>
              <w:spacing w:line="276" w:lineRule="auto"/>
              <w:ind w:left="164" w:right="97" w:hanging="164"/>
              <w:rPr>
                <w:sz w:val="20"/>
                <w:szCs w:val="20"/>
                <w:lang w:val="fr-FR"/>
              </w:rPr>
            </w:pPr>
            <w:r w:rsidRPr="00114059">
              <w:rPr>
                <w:sz w:val="20"/>
                <w:szCs w:val="20"/>
                <w:lang w:val="fr-FR"/>
              </w:rPr>
              <w:t>Pendant la phase d’exécution du Programme</w:t>
            </w:r>
          </w:p>
        </w:tc>
        <w:tc>
          <w:tcPr>
            <w:tcW w:w="2109" w:type="dxa"/>
            <w:shd w:val="clear" w:color="auto" w:fill="auto"/>
          </w:tcPr>
          <w:p w14:paraId="614325E5" w14:textId="77777777" w:rsidR="009021F1" w:rsidRPr="00114059" w:rsidRDefault="009021F1" w:rsidP="00E637E3">
            <w:pPr>
              <w:pStyle w:val="TableParagraph"/>
              <w:numPr>
                <w:ilvl w:val="0"/>
                <w:numId w:val="49"/>
              </w:numPr>
              <w:autoSpaceDE w:val="0"/>
              <w:autoSpaceDN w:val="0"/>
              <w:spacing w:line="276" w:lineRule="auto"/>
              <w:ind w:left="164" w:right="97" w:hanging="164"/>
              <w:rPr>
                <w:sz w:val="20"/>
                <w:szCs w:val="20"/>
                <w:lang w:val="fr-FR"/>
              </w:rPr>
            </w:pPr>
            <w:r w:rsidRPr="00114059">
              <w:rPr>
                <w:sz w:val="20"/>
                <w:szCs w:val="20"/>
                <w:lang w:val="fr-FR"/>
              </w:rPr>
              <w:t>Les PME, la Mission de contrôle et autres prestataires</w:t>
            </w:r>
          </w:p>
        </w:tc>
        <w:tc>
          <w:tcPr>
            <w:tcW w:w="2190" w:type="dxa"/>
            <w:shd w:val="clear" w:color="auto" w:fill="auto"/>
          </w:tcPr>
          <w:p w14:paraId="6811B79A" w14:textId="77777777" w:rsidR="009021F1" w:rsidRPr="00114059" w:rsidRDefault="009021F1" w:rsidP="00E637E3">
            <w:pPr>
              <w:pStyle w:val="TableParagraph"/>
              <w:numPr>
                <w:ilvl w:val="0"/>
                <w:numId w:val="49"/>
              </w:numPr>
              <w:autoSpaceDE w:val="0"/>
              <w:autoSpaceDN w:val="0"/>
              <w:spacing w:line="276" w:lineRule="auto"/>
              <w:ind w:left="164" w:right="97" w:hanging="164"/>
              <w:rPr>
                <w:sz w:val="20"/>
                <w:szCs w:val="20"/>
                <w:lang w:val="fr-FR"/>
              </w:rPr>
            </w:pPr>
            <w:r w:rsidRPr="00114059">
              <w:rPr>
                <w:sz w:val="20"/>
                <w:szCs w:val="20"/>
                <w:lang w:val="fr-FR"/>
              </w:rPr>
              <w:t>PNDA et ACE, CPE, OVDA</w:t>
            </w:r>
          </w:p>
        </w:tc>
      </w:tr>
      <w:tr w:rsidR="009021F1" w:rsidRPr="00114059" w14:paraId="0842EAF0" w14:textId="77777777" w:rsidTr="00E637E3">
        <w:trPr>
          <w:trHeight w:val="1242"/>
        </w:trPr>
        <w:tc>
          <w:tcPr>
            <w:tcW w:w="1806" w:type="dxa"/>
            <w:vMerge/>
            <w:shd w:val="clear" w:color="auto" w:fill="auto"/>
          </w:tcPr>
          <w:p w14:paraId="230A2EEC" w14:textId="77777777" w:rsidR="009021F1" w:rsidRPr="00114059" w:rsidRDefault="009021F1" w:rsidP="00E637E3">
            <w:pPr>
              <w:pStyle w:val="TableParagraph"/>
              <w:spacing w:line="276" w:lineRule="auto"/>
              <w:ind w:left="46" w:right="54"/>
              <w:jc w:val="center"/>
              <w:rPr>
                <w:sz w:val="20"/>
                <w:szCs w:val="20"/>
                <w:lang w:val="fr-FR"/>
              </w:rPr>
            </w:pPr>
          </w:p>
        </w:tc>
        <w:tc>
          <w:tcPr>
            <w:tcW w:w="2271" w:type="dxa"/>
            <w:shd w:val="clear" w:color="auto" w:fill="auto"/>
          </w:tcPr>
          <w:p w14:paraId="58B6D260" w14:textId="77777777" w:rsidR="009021F1" w:rsidRPr="00114059" w:rsidRDefault="009021F1" w:rsidP="00E637E3">
            <w:pPr>
              <w:pStyle w:val="TableParagraph"/>
              <w:spacing w:line="276" w:lineRule="auto"/>
              <w:ind w:right="539"/>
              <w:rPr>
                <w:sz w:val="20"/>
                <w:szCs w:val="20"/>
                <w:lang w:val="fr-FR"/>
              </w:rPr>
            </w:pPr>
            <w:r w:rsidRPr="00114059">
              <w:rPr>
                <w:sz w:val="20"/>
                <w:szCs w:val="20"/>
                <w:lang w:val="fr-FR"/>
              </w:rPr>
              <w:t>Pollution olfactive due au dégagement des mauvaises odeurs des composts</w:t>
            </w:r>
          </w:p>
        </w:tc>
        <w:tc>
          <w:tcPr>
            <w:tcW w:w="4975" w:type="dxa"/>
            <w:shd w:val="clear" w:color="auto" w:fill="auto"/>
          </w:tcPr>
          <w:p w14:paraId="78B18104"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Port obligation des EPI (masques et gants) à tous les petits exploitants agricoles ;</w:t>
            </w:r>
          </w:p>
          <w:p w14:paraId="4CAF75FB"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Éloigner les opérations de compostage des habitations (hameaux ou campements)</w:t>
            </w:r>
          </w:p>
        </w:tc>
        <w:tc>
          <w:tcPr>
            <w:tcW w:w="2144" w:type="dxa"/>
            <w:shd w:val="clear" w:color="auto" w:fill="auto"/>
          </w:tcPr>
          <w:p w14:paraId="024DFE05"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Pendant la phase d’exécution du Programme</w:t>
            </w:r>
          </w:p>
        </w:tc>
        <w:tc>
          <w:tcPr>
            <w:tcW w:w="2109" w:type="dxa"/>
            <w:shd w:val="clear" w:color="auto" w:fill="auto"/>
          </w:tcPr>
          <w:p w14:paraId="0516C582"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Les PME, la Mission de contrôle</w:t>
            </w:r>
          </w:p>
        </w:tc>
        <w:tc>
          <w:tcPr>
            <w:tcW w:w="2190" w:type="dxa"/>
            <w:shd w:val="clear" w:color="auto" w:fill="auto"/>
          </w:tcPr>
          <w:p w14:paraId="55A3CED7"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PNDA et ACE, CPE, OVDA</w:t>
            </w:r>
          </w:p>
        </w:tc>
      </w:tr>
      <w:tr w:rsidR="009021F1" w:rsidRPr="00114059" w14:paraId="1E764F59" w14:textId="77777777" w:rsidTr="00E637E3">
        <w:trPr>
          <w:trHeight w:val="4320"/>
        </w:trPr>
        <w:tc>
          <w:tcPr>
            <w:tcW w:w="1806" w:type="dxa"/>
            <w:vMerge w:val="restart"/>
            <w:shd w:val="clear" w:color="auto" w:fill="auto"/>
          </w:tcPr>
          <w:p w14:paraId="0A3B9F68" w14:textId="77777777" w:rsidR="009021F1" w:rsidRPr="00114059" w:rsidRDefault="009021F1" w:rsidP="00E637E3">
            <w:pPr>
              <w:pStyle w:val="TableParagraph"/>
              <w:spacing w:line="276" w:lineRule="auto"/>
              <w:ind w:right="231"/>
              <w:rPr>
                <w:sz w:val="20"/>
                <w:szCs w:val="20"/>
                <w:lang w:val="fr-FR"/>
              </w:rPr>
            </w:pPr>
          </w:p>
          <w:p w14:paraId="2C5EFE52" w14:textId="77777777" w:rsidR="009021F1" w:rsidRPr="00114059" w:rsidRDefault="009021F1" w:rsidP="00E637E3">
            <w:pPr>
              <w:pStyle w:val="TableParagraph"/>
              <w:spacing w:line="276" w:lineRule="auto"/>
              <w:ind w:right="231"/>
              <w:rPr>
                <w:sz w:val="20"/>
                <w:szCs w:val="20"/>
                <w:lang w:val="fr-FR"/>
              </w:rPr>
            </w:pPr>
          </w:p>
          <w:p w14:paraId="534F69B4" w14:textId="77777777" w:rsidR="009021F1" w:rsidRPr="00114059" w:rsidRDefault="009021F1" w:rsidP="00E637E3">
            <w:pPr>
              <w:pStyle w:val="TableParagraph"/>
              <w:spacing w:line="276" w:lineRule="auto"/>
              <w:ind w:right="231"/>
              <w:rPr>
                <w:sz w:val="20"/>
                <w:szCs w:val="20"/>
                <w:lang w:val="fr-FR"/>
              </w:rPr>
            </w:pPr>
          </w:p>
          <w:p w14:paraId="2896F708" w14:textId="77777777" w:rsidR="009021F1" w:rsidRPr="00114059" w:rsidRDefault="009021F1" w:rsidP="00E637E3">
            <w:pPr>
              <w:pStyle w:val="TableParagraph"/>
              <w:spacing w:line="276" w:lineRule="auto"/>
              <w:ind w:right="231"/>
              <w:rPr>
                <w:sz w:val="20"/>
                <w:szCs w:val="20"/>
                <w:lang w:val="fr-FR"/>
              </w:rPr>
            </w:pPr>
          </w:p>
          <w:p w14:paraId="428FC32D" w14:textId="77777777" w:rsidR="009021F1" w:rsidRPr="00114059" w:rsidRDefault="009021F1" w:rsidP="00E637E3">
            <w:pPr>
              <w:pStyle w:val="TableParagraph"/>
              <w:spacing w:line="276" w:lineRule="auto"/>
              <w:ind w:right="231"/>
              <w:rPr>
                <w:sz w:val="20"/>
                <w:szCs w:val="20"/>
                <w:lang w:val="fr-FR"/>
              </w:rPr>
            </w:pPr>
          </w:p>
          <w:p w14:paraId="203F63F3" w14:textId="77777777" w:rsidR="009021F1" w:rsidRPr="00114059" w:rsidRDefault="009021F1" w:rsidP="00E637E3">
            <w:pPr>
              <w:pStyle w:val="TableParagraph"/>
              <w:spacing w:line="276" w:lineRule="auto"/>
              <w:ind w:right="231"/>
              <w:rPr>
                <w:sz w:val="20"/>
                <w:szCs w:val="20"/>
                <w:lang w:val="fr-FR"/>
              </w:rPr>
            </w:pPr>
          </w:p>
          <w:p w14:paraId="3AEA2982" w14:textId="77777777" w:rsidR="009021F1" w:rsidRPr="00114059" w:rsidRDefault="009021F1" w:rsidP="00E637E3">
            <w:pPr>
              <w:pStyle w:val="TableParagraph"/>
              <w:spacing w:line="276" w:lineRule="auto"/>
              <w:ind w:right="231"/>
              <w:rPr>
                <w:sz w:val="20"/>
                <w:szCs w:val="20"/>
                <w:lang w:val="fr-FR"/>
              </w:rPr>
            </w:pPr>
          </w:p>
          <w:p w14:paraId="44473DF6" w14:textId="77777777" w:rsidR="009021F1" w:rsidRPr="00114059" w:rsidRDefault="009021F1" w:rsidP="00E637E3">
            <w:pPr>
              <w:pStyle w:val="TableParagraph"/>
              <w:spacing w:line="276" w:lineRule="auto"/>
              <w:ind w:right="231"/>
              <w:rPr>
                <w:sz w:val="20"/>
                <w:szCs w:val="20"/>
                <w:lang w:val="fr-FR"/>
              </w:rPr>
            </w:pPr>
          </w:p>
          <w:p w14:paraId="7C20E91F" w14:textId="77777777" w:rsidR="009021F1" w:rsidRPr="00114059" w:rsidRDefault="009021F1" w:rsidP="00E637E3">
            <w:pPr>
              <w:pStyle w:val="TableParagraph"/>
              <w:spacing w:line="276" w:lineRule="auto"/>
              <w:ind w:right="231"/>
              <w:rPr>
                <w:sz w:val="20"/>
                <w:szCs w:val="20"/>
                <w:lang w:val="fr-FR"/>
              </w:rPr>
            </w:pPr>
          </w:p>
          <w:p w14:paraId="159C338A" w14:textId="77777777" w:rsidR="009021F1" w:rsidRPr="00114059" w:rsidRDefault="009021F1" w:rsidP="00E637E3">
            <w:pPr>
              <w:pStyle w:val="TableParagraph"/>
              <w:spacing w:line="276" w:lineRule="auto"/>
              <w:ind w:right="231"/>
              <w:rPr>
                <w:sz w:val="20"/>
                <w:szCs w:val="20"/>
                <w:lang w:val="fr-FR"/>
              </w:rPr>
            </w:pPr>
          </w:p>
          <w:p w14:paraId="2471F08E" w14:textId="77777777" w:rsidR="009021F1" w:rsidRPr="00114059" w:rsidRDefault="009021F1" w:rsidP="00E637E3">
            <w:pPr>
              <w:pStyle w:val="TableParagraph"/>
              <w:spacing w:line="276" w:lineRule="auto"/>
              <w:ind w:right="231"/>
              <w:rPr>
                <w:sz w:val="20"/>
                <w:szCs w:val="20"/>
                <w:lang w:val="fr-FR"/>
              </w:rPr>
            </w:pPr>
          </w:p>
          <w:p w14:paraId="42262CA3" w14:textId="77777777" w:rsidR="009021F1" w:rsidRPr="00114059" w:rsidRDefault="009021F1" w:rsidP="00E637E3">
            <w:pPr>
              <w:pStyle w:val="TableParagraph"/>
              <w:spacing w:line="276" w:lineRule="auto"/>
              <w:ind w:right="231"/>
              <w:rPr>
                <w:sz w:val="20"/>
                <w:szCs w:val="20"/>
                <w:lang w:val="fr-FR"/>
              </w:rPr>
            </w:pPr>
          </w:p>
          <w:p w14:paraId="4D8B33C5" w14:textId="77777777" w:rsidR="009021F1" w:rsidRPr="00114059" w:rsidRDefault="009021F1" w:rsidP="00E637E3">
            <w:pPr>
              <w:pStyle w:val="TableParagraph"/>
              <w:spacing w:line="276" w:lineRule="auto"/>
              <w:ind w:right="231"/>
              <w:rPr>
                <w:sz w:val="20"/>
                <w:szCs w:val="20"/>
                <w:lang w:val="fr-FR"/>
              </w:rPr>
            </w:pPr>
          </w:p>
          <w:p w14:paraId="704DDC23" w14:textId="77777777" w:rsidR="009021F1" w:rsidRPr="00114059" w:rsidRDefault="009021F1" w:rsidP="00E637E3">
            <w:pPr>
              <w:pStyle w:val="TableParagraph"/>
              <w:spacing w:line="276" w:lineRule="auto"/>
              <w:ind w:right="231"/>
              <w:rPr>
                <w:sz w:val="20"/>
                <w:szCs w:val="20"/>
                <w:lang w:val="fr-FR"/>
              </w:rPr>
            </w:pPr>
          </w:p>
          <w:p w14:paraId="7603272B" w14:textId="77777777" w:rsidR="009021F1" w:rsidRPr="00114059" w:rsidRDefault="009021F1" w:rsidP="00E637E3">
            <w:pPr>
              <w:pStyle w:val="TableParagraph"/>
              <w:spacing w:line="276" w:lineRule="auto"/>
              <w:ind w:right="231"/>
              <w:rPr>
                <w:sz w:val="20"/>
                <w:szCs w:val="20"/>
                <w:lang w:val="fr-FR"/>
              </w:rPr>
            </w:pPr>
          </w:p>
          <w:p w14:paraId="72029195" w14:textId="77777777" w:rsidR="009021F1" w:rsidRPr="00114059" w:rsidRDefault="009021F1" w:rsidP="00E637E3">
            <w:pPr>
              <w:pStyle w:val="TableParagraph"/>
              <w:spacing w:line="276" w:lineRule="auto"/>
              <w:ind w:right="231"/>
              <w:rPr>
                <w:sz w:val="20"/>
                <w:szCs w:val="20"/>
                <w:lang w:val="fr-FR"/>
              </w:rPr>
            </w:pPr>
          </w:p>
          <w:p w14:paraId="6797EFCC" w14:textId="77777777" w:rsidR="009021F1" w:rsidRPr="00114059" w:rsidRDefault="009021F1" w:rsidP="00E637E3">
            <w:pPr>
              <w:pStyle w:val="TableParagraph"/>
              <w:spacing w:line="276" w:lineRule="auto"/>
              <w:ind w:right="231"/>
              <w:rPr>
                <w:sz w:val="20"/>
                <w:szCs w:val="20"/>
                <w:lang w:val="fr-FR"/>
              </w:rPr>
            </w:pPr>
          </w:p>
          <w:p w14:paraId="4AD749E3" w14:textId="77777777" w:rsidR="009021F1" w:rsidRPr="00114059" w:rsidRDefault="009021F1" w:rsidP="00E637E3">
            <w:pPr>
              <w:pStyle w:val="TableParagraph"/>
              <w:spacing w:line="276" w:lineRule="auto"/>
              <w:ind w:right="231"/>
              <w:rPr>
                <w:sz w:val="20"/>
                <w:szCs w:val="20"/>
              </w:rPr>
            </w:pPr>
            <w:r w:rsidRPr="00114059">
              <w:rPr>
                <w:sz w:val="20"/>
                <w:szCs w:val="20"/>
              </w:rPr>
              <w:t>Qualité de l’eau</w:t>
            </w:r>
          </w:p>
        </w:tc>
        <w:tc>
          <w:tcPr>
            <w:tcW w:w="2271" w:type="dxa"/>
            <w:shd w:val="clear" w:color="auto" w:fill="auto"/>
          </w:tcPr>
          <w:p w14:paraId="403A6F11" w14:textId="77777777" w:rsidR="009021F1" w:rsidRPr="00114059" w:rsidRDefault="009021F1" w:rsidP="00E637E3">
            <w:pPr>
              <w:pStyle w:val="TableParagraph"/>
              <w:spacing w:line="276" w:lineRule="auto"/>
              <w:ind w:right="172"/>
              <w:rPr>
                <w:sz w:val="20"/>
                <w:szCs w:val="20"/>
                <w:lang w:val="fr-FR"/>
              </w:rPr>
            </w:pPr>
          </w:p>
          <w:p w14:paraId="1CC3C4B5" w14:textId="77777777" w:rsidR="009021F1" w:rsidRPr="00114059" w:rsidRDefault="009021F1" w:rsidP="00E637E3">
            <w:pPr>
              <w:pStyle w:val="TableParagraph"/>
              <w:spacing w:line="276" w:lineRule="auto"/>
              <w:ind w:right="172"/>
              <w:rPr>
                <w:sz w:val="20"/>
                <w:szCs w:val="20"/>
                <w:lang w:val="fr-FR"/>
              </w:rPr>
            </w:pPr>
          </w:p>
          <w:p w14:paraId="1D5E0BF4" w14:textId="77777777" w:rsidR="009021F1" w:rsidRPr="00114059" w:rsidRDefault="009021F1" w:rsidP="00E637E3">
            <w:pPr>
              <w:pStyle w:val="TableParagraph"/>
              <w:spacing w:line="276" w:lineRule="auto"/>
              <w:ind w:right="172"/>
              <w:rPr>
                <w:sz w:val="20"/>
                <w:szCs w:val="20"/>
                <w:lang w:val="fr-FR"/>
              </w:rPr>
            </w:pPr>
          </w:p>
          <w:p w14:paraId="3BFD4BF5" w14:textId="77777777" w:rsidR="009021F1" w:rsidRPr="00114059" w:rsidRDefault="009021F1" w:rsidP="00E637E3">
            <w:pPr>
              <w:pStyle w:val="TableParagraph"/>
              <w:spacing w:line="276" w:lineRule="auto"/>
              <w:ind w:right="172"/>
              <w:rPr>
                <w:sz w:val="20"/>
                <w:szCs w:val="20"/>
                <w:lang w:val="fr-FR"/>
              </w:rPr>
            </w:pPr>
          </w:p>
          <w:p w14:paraId="7F57D84E" w14:textId="77777777" w:rsidR="009021F1" w:rsidRPr="00114059" w:rsidRDefault="009021F1" w:rsidP="00E637E3">
            <w:pPr>
              <w:pStyle w:val="TableParagraph"/>
              <w:spacing w:line="276" w:lineRule="auto"/>
              <w:ind w:right="172"/>
              <w:rPr>
                <w:sz w:val="20"/>
                <w:szCs w:val="20"/>
                <w:lang w:val="fr-FR"/>
              </w:rPr>
            </w:pPr>
          </w:p>
          <w:p w14:paraId="68123486" w14:textId="77777777" w:rsidR="009021F1" w:rsidRPr="00114059" w:rsidRDefault="009021F1" w:rsidP="00E637E3">
            <w:pPr>
              <w:pStyle w:val="TableParagraph"/>
              <w:spacing w:line="276" w:lineRule="auto"/>
              <w:ind w:right="172"/>
              <w:rPr>
                <w:sz w:val="20"/>
                <w:szCs w:val="20"/>
                <w:lang w:val="fr-FR"/>
              </w:rPr>
            </w:pPr>
          </w:p>
          <w:p w14:paraId="1D75F331" w14:textId="77777777" w:rsidR="009021F1" w:rsidRPr="00114059" w:rsidRDefault="009021F1" w:rsidP="00E637E3">
            <w:pPr>
              <w:pStyle w:val="TableParagraph"/>
              <w:spacing w:line="276" w:lineRule="auto"/>
              <w:ind w:right="172"/>
              <w:rPr>
                <w:sz w:val="20"/>
                <w:szCs w:val="20"/>
                <w:lang w:val="fr-FR"/>
              </w:rPr>
            </w:pPr>
          </w:p>
          <w:p w14:paraId="50FF519A" w14:textId="77777777" w:rsidR="009021F1" w:rsidRPr="00114059" w:rsidRDefault="009021F1" w:rsidP="00E637E3">
            <w:pPr>
              <w:pStyle w:val="TableParagraph"/>
              <w:spacing w:line="276" w:lineRule="auto"/>
              <w:ind w:right="172"/>
              <w:rPr>
                <w:sz w:val="20"/>
                <w:szCs w:val="20"/>
                <w:lang w:val="fr-FR"/>
              </w:rPr>
            </w:pPr>
            <w:r w:rsidRPr="00114059">
              <w:rPr>
                <w:sz w:val="20"/>
                <w:szCs w:val="20"/>
                <w:lang w:val="fr-FR"/>
              </w:rPr>
              <w:t>Augmentation de la turbidité de l’eau.</w:t>
            </w:r>
          </w:p>
          <w:p w14:paraId="6DEA60A0" w14:textId="77777777" w:rsidR="009021F1" w:rsidRPr="00114059" w:rsidRDefault="009021F1" w:rsidP="00E637E3">
            <w:pPr>
              <w:rPr>
                <w:rFonts w:cs="Arial"/>
                <w:sz w:val="20"/>
                <w:szCs w:val="20"/>
                <w:lang w:eastAsia="en-US"/>
              </w:rPr>
            </w:pPr>
          </w:p>
          <w:p w14:paraId="5389D89A" w14:textId="77777777" w:rsidR="009021F1" w:rsidRPr="00114059" w:rsidRDefault="009021F1" w:rsidP="00E637E3">
            <w:pPr>
              <w:ind w:left="249"/>
              <w:jc w:val="left"/>
              <w:rPr>
                <w:rFonts w:cs="Arial"/>
                <w:sz w:val="20"/>
                <w:szCs w:val="20"/>
                <w:lang w:eastAsia="en-US"/>
              </w:rPr>
            </w:pPr>
          </w:p>
        </w:tc>
        <w:tc>
          <w:tcPr>
            <w:tcW w:w="4975" w:type="dxa"/>
            <w:shd w:val="clear" w:color="auto" w:fill="auto"/>
          </w:tcPr>
          <w:p w14:paraId="6A477D29"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Mettre en place des mesures appropriées de contrôle de l’érosion et de la charge en sédiments (par exemple branchages, ensemencement, barrières dans les tranchées, sacs de sable, géotextile, bottes de pailles, pierres, barrières recouvertes de tissus filtrants) ;</w:t>
            </w:r>
          </w:p>
          <w:p w14:paraId="53997957"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Limiter au strict nécessaire les superficies qui devront être défrichées ainsi que le décapage, le déblayage, le remblayage et le nivellement des aires de travail ;</w:t>
            </w:r>
          </w:p>
          <w:p w14:paraId="41D0EA94"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Stabiliser les berges, les rives et les pentes abruptes une fois les travaux terminés ;</w:t>
            </w:r>
          </w:p>
          <w:p w14:paraId="06C3FFCB"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Conserver la végétation à proximité des cours d’eau ;</w:t>
            </w:r>
          </w:p>
          <w:p w14:paraId="2838C1ED"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Éviter tout déversement de terre dans les cours d’eau ;</w:t>
            </w:r>
          </w:p>
          <w:p w14:paraId="247456E6"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Éviter les travaux de terrassement en période de pluie ;</w:t>
            </w:r>
          </w:p>
          <w:p w14:paraId="1E367911" w14:textId="77777777" w:rsidR="009021F1" w:rsidRPr="00114059" w:rsidRDefault="009021F1" w:rsidP="00E637E3">
            <w:pPr>
              <w:pStyle w:val="TableParagraph"/>
              <w:autoSpaceDE w:val="0"/>
              <w:autoSpaceDN w:val="0"/>
              <w:spacing w:line="276" w:lineRule="auto"/>
              <w:ind w:left="164" w:right="97"/>
              <w:jc w:val="both"/>
              <w:rPr>
                <w:sz w:val="20"/>
                <w:szCs w:val="20"/>
                <w:lang w:val="fr-FR"/>
              </w:rPr>
            </w:pPr>
            <w:r w:rsidRPr="00114059">
              <w:rPr>
                <w:sz w:val="20"/>
                <w:szCs w:val="20"/>
                <w:lang w:val="fr-FR"/>
              </w:rPr>
              <w:t>Prévoir une zone tampon entre les dépôts de terre, de matériaux dangereux, de déchets et la berge des cours d’eau</w:t>
            </w:r>
          </w:p>
        </w:tc>
        <w:tc>
          <w:tcPr>
            <w:tcW w:w="2144" w:type="dxa"/>
            <w:shd w:val="clear" w:color="auto" w:fill="auto"/>
          </w:tcPr>
          <w:p w14:paraId="2ACF4DE7"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Pendant la phase d’exécution du Programme</w:t>
            </w:r>
          </w:p>
        </w:tc>
        <w:tc>
          <w:tcPr>
            <w:tcW w:w="2109" w:type="dxa"/>
            <w:shd w:val="clear" w:color="auto" w:fill="auto"/>
          </w:tcPr>
          <w:p w14:paraId="6DEC70C1"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Les PME, la Mission de contrôle</w:t>
            </w:r>
          </w:p>
        </w:tc>
        <w:tc>
          <w:tcPr>
            <w:tcW w:w="2190" w:type="dxa"/>
            <w:shd w:val="clear" w:color="auto" w:fill="auto"/>
          </w:tcPr>
          <w:p w14:paraId="22AE9427"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PNDA et ACE, CPE, RVF</w:t>
            </w:r>
          </w:p>
        </w:tc>
      </w:tr>
      <w:tr w:rsidR="009021F1" w:rsidRPr="00114059" w14:paraId="3317803B" w14:textId="77777777" w:rsidTr="00E637E3">
        <w:trPr>
          <w:trHeight w:val="699"/>
        </w:trPr>
        <w:tc>
          <w:tcPr>
            <w:tcW w:w="1806" w:type="dxa"/>
            <w:vMerge/>
            <w:shd w:val="clear" w:color="auto" w:fill="auto"/>
          </w:tcPr>
          <w:p w14:paraId="3BCEBF22" w14:textId="77777777" w:rsidR="009021F1" w:rsidRPr="00114059" w:rsidRDefault="009021F1" w:rsidP="00E637E3">
            <w:pPr>
              <w:rPr>
                <w:rFonts w:cs="Arial"/>
                <w:sz w:val="20"/>
                <w:szCs w:val="20"/>
              </w:rPr>
            </w:pPr>
          </w:p>
        </w:tc>
        <w:tc>
          <w:tcPr>
            <w:tcW w:w="2271" w:type="dxa"/>
            <w:shd w:val="clear" w:color="auto" w:fill="auto"/>
          </w:tcPr>
          <w:p w14:paraId="05873EDE" w14:textId="77777777" w:rsidR="009021F1" w:rsidRPr="00114059" w:rsidRDefault="009021F1" w:rsidP="00E637E3">
            <w:pPr>
              <w:jc w:val="left"/>
              <w:rPr>
                <w:rFonts w:cs="Arial"/>
                <w:color w:val="000000"/>
                <w:sz w:val="20"/>
                <w:szCs w:val="20"/>
              </w:rPr>
            </w:pPr>
          </w:p>
          <w:p w14:paraId="30837103" w14:textId="77777777" w:rsidR="009021F1" w:rsidRPr="00114059" w:rsidRDefault="009021F1" w:rsidP="00E637E3">
            <w:pPr>
              <w:jc w:val="left"/>
              <w:rPr>
                <w:rFonts w:cs="Arial"/>
                <w:color w:val="000000"/>
                <w:sz w:val="20"/>
                <w:szCs w:val="20"/>
              </w:rPr>
            </w:pPr>
          </w:p>
          <w:p w14:paraId="3D9359EE" w14:textId="77777777" w:rsidR="009021F1" w:rsidRPr="00114059" w:rsidRDefault="009021F1" w:rsidP="00E637E3">
            <w:pPr>
              <w:jc w:val="left"/>
              <w:rPr>
                <w:rFonts w:cs="Arial"/>
                <w:color w:val="000000"/>
                <w:sz w:val="20"/>
                <w:szCs w:val="20"/>
              </w:rPr>
            </w:pPr>
          </w:p>
          <w:p w14:paraId="58EDD122" w14:textId="77777777" w:rsidR="009021F1" w:rsidRPr="00114059" w:rsidRDefault="009021F1" w:rsidP="00E637E3">
            <w:pPr>
              <w:jc w:val="left"/>
              <w:rPr>
                <w:rFonts w:cs="Arial"/>
                <w:color w:val="000000"/>
                <w:sz w:val="20"/>
                <w:szCs w:val="20"/>
              </w:rPr>
            </w:pPr>
          </w:p>
          <w:p w14:paraId="367CDEBE" w14:textId="77777777" w:rsidR="009021F1" w:rsidRPr="00114059" w:rsidRDefault="009021F1" w:rsidP="00E637E3">
            <w:pPr>
              <w:jc w:val="left"/>
              <w:rPr>
                <w:rFonts w:cs="Arial"/>
                <w:color w:val="000000"/>
                <w:sz w:val="20"/>
                <w:szCs w:val="20"/>
              </w:rPr>
            </w:pPr>
          </w:p>
          <w:p w14:paraId="6F79ED3F" w14:textId="77777777" w:rsidR="009021F1" w:rsidRPr="00114059" w:rsidRDefault="009021F1" w:rsidP="00E637E3">
            <w:pPr>
              <w:jc w:val="left"/>
              <w:rPr>
                <w:rFonts w:cs="Arial"/>
                <w:color w:val="000000"/>
                <w:sz w:val="20"/>
                <w:szCs w:val="20"/>
              </w:rPr>
            </w:pPr>
            <w:r w:rsidRPr="00114059">
              <w:rPr>
                <w:rFonts w:cs="Arial"/>
                <w:color w:val="000000"/>
                <w:sz w:val="20"/>
                <w:szCs w:val="20"/>
              </w:rPr>
              <w:t>Risque de contamination d’eau de surface et souterraine suite à l’utilisation non rationnelle des produits chimiques (engrais et pesticides) </w:t>
            </w:r>
          </w:p>
          <w:p w14:paraId="338F7C01" w14:textId="77777777" w:rsidR="009021F1" w:rsidRPr="00114059" w:rsidRDefault="009021F1" w:rsidP="00E637E3">
            <w:pPr>
              <w:pStyle w:val="TableParagraph"/>
              <w:spacing w:line="276" w:lineRule="auto"/>
              <w:ind w:right="228"/>
              <w:rPr>
                <w:sz w:val="20"/>
                <w:szCs w:val="20"/>
                <w:lang w:val="fr-FR"/>
              </w:rPr>
            </w:pPr>
          </w:p>
        </w:tc>
        <w:tc>
          <w:tcPr>
            <w:tcW w:w="4975" w:type="dxa"/>
            <w:shd w:val="clear" w:color="auto" w:fill="auto"/>
          </w:tcPr>
          <w:p w14:paraId="2294FE6B"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Mettre en place un Plan de Gestion de Pesticides (PGP) ;</w:t>
            </w:r>
          </w:p>
          <w:p w14:paraId="48F1105C"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Entreposer et utiliser les substances polluantes dans des aires confinées avec dallage imperméable pour éviter ou réduire les risques de migration des contaminants vers les eaux de surface et souterraines ;</w:t>
            </w:r>
          </w:p>
          <w:p w14:paraId="630D69D1"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Prévoir des mesures en cas de contamination accidentelle (élaborer un plan d’urgence, incluant les mesures de confinement et de récupération ainsi que la formation des utilisateurs) ;</w:t>
            </w:r>
          </w:p>
          <w:p w14:paraId="14A1734F"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Tester le plan de mesures d’urgence ;</w:t>
            </w:r>
          </w:p>
          <w:p w14:paraId="10D16542"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Vérifier le bon état de la machinerie, des contenants afin d’éviter les fuites et les déversements de matières dangereuses (hydrocarbures, pesticides et autres produits chimiques, etc.) ;</w:t>
            </w:r>
          </w:p>
          <w:p w14:paraId="4C265A5C"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Prendre toutes les précautions possibles lors du ravitaillement des véhicules de transport et de la machinerie sur le site des travaux afin d’éviter les déversements accidentels ;</w:t>
            </w:r>
          </w:p>
          <w:p w14:paraId="76655CE7"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Interdire le ravitaillement de la machinerie et la manipulation des produits toxiques à moins de 20 m des cours d’eau ;</w:t>
            </w:r>
          </w:p>
          <w:p w14:paraId="29A9EFD2"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Interdire le lavage des contenants vides des produits toxiques et polluants dans les cours d’eau.</w:t>
            </w:r>
          </w:p>
        </w:tc>
        <w:tc>
          <w:tcPr>
            <w:tcW w:w="2144" w:type="dxa"/>
            <w:shd w:val="clear" w:color="auto" w:fill="auto"/>
          </w:tcPr>
          <w:p w14:paraId="77622653"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Pendant la phase d’exécution du Programme</w:t>
            </w:r>
          </w:p>
        </w:tc>
        <w:tc>
          <w:tcPr>
            <w:tcW w:w="2109" w:type="dxa"/>
            <w:shd w:val="clear" w:color="auto" w:fill="auto"/>
          </w:tcPr>
          <w:p w14:paraId="0B653298"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Les PME, la Mission de contrôle</w:t>
            </w:r>
          </w:p>
        </w:tc>
        <w:tc>
          <w:tcPr>
            <w:tcW w:w="2190" w:type="dxa"/>
            <w:shd w:val="clear" w:color="auto" w:fill="auto"/>
          </w:tcPr>
          <w:p w14:paraId="4452AF2F"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PNDA et ACE, CPE, RVF</w:t>
            </w:r>
          </w:p>
        </w:tc>
      </w:tr>
      <w:tr w:rsidR="009021F1" w:rsidRPr="00114059" w14:paraId="15B5A514" w14:textId="77777777" w:rsidTr="00E637E3">
        <w:trPr>
          <w:trHeight w:val="2296"/>
        </w:trPr>
        <w:tc>
          <w:tcPr>
            <w:tcW w:w="1806" w:type="dxa"/>
            <w:vMerge w:val="restart"/>
            <w:shd w:val="clear" w:color="auto" w:fill="auto"/>
          </w:tcPr>
          <w:p w14:paraId="279F2F54" w14:textId="77777777" w:rsidR="009021F1" w:rsidRPr="00114059" w:rsidRDefault="009021F1" w:rsidP="00E637E3">
            <w:pPr>
              <w:pStyle w:val="TableParagraph"/>
              <w:spacing w:line="276" w:lineRule="auto"/>
              <w:ind w:right="231"/>
              <w:rPr>
                <w:sz w:val="20"/>
                <w:szCs w:val="20"/>
                <w:lang w:val="fr-FR"/>
              </w:rPr>
            </w:pPr>
          </w:p>
          <w:p w14:paraId="20E75F77" w14:textId="77777777" w:rsidR="009021F1" w:rsidRPr="00114059" w:rsidRDefault="009021F1" w:rsidP="00E637E3">
            <w:pPr>
              <w:pStyle w:val="TableParagraph"/>
              <w:spacing w:line="276" w:lineRule="auto"/>
              <w:ind w:right="231"/>
              <w:rPr>
                <w:sz w:val="20"/>
                <w:szCs w:val="20"/>
                <w:lang w:val="fr-FR"/>
              </w:rPr>
            </w:pPr>
          </w:p>
          <w:p w14:paraId="674629AD" w14:textId="77777777" w:rsidR="009021F1" w:rsidRPr="00114059" w:rsidRDefault="009021F1" w:rsidP="00E637E3">
            <w:pPr>
              <w:pStyle w:val="TableParagraph"/>
              <w:spacing w:line="276" w:lineRule="auto"/>
              <w:ind w:right="231"/>
              <w:rPr>
                <w:sz w:val="20"/>
                <w:szCs w:val="20"/>
                <w:lang w:val="fr-FR"/>
              </w:rPr>
            </w:pPr>
          </w:p>
          <w:p w14:paraId="09B9BCB3" w14:textId="77777777" w:rsidR="009021F1" w:rsidRPr="00114059" w:rsidRDefault="009021F1" w:rsidP="00E637E3">
            <w:pPr>
              <w:pStyle w:val="TableParagraph"/>
              <w:spacing w:line="276" w:lineRule="auto"/>
              <w:ind w:right="231"/>
              <w:rPr>
                <w:sz w:val="20"/>
                <w:szCs w:val="20"/>
                <w:lang w:val="fr-FR"/>
              </w:rPr>
            </w:pPr>
          </w:p>
          <w:p w14:paraId="3588D341" w14:textId="77777777" w:rsidR="009021F1" w:rsidRPr="00114059" w:rsidRDefault="009021F1" w:rsidP="00E637E3">
            <w:pPr>
              <w:pStyle w:val="TableParagraph"/>
              <w:spacing w:line="276" w:lineRule="auto"/>
              <w:ind w:right="231"/>
              <w:rPr>
                <w:sz w:val="20"/>
                <w:szCs w:val="20"/>
                <w:lang w:val="fr-FR"/>
              </w:rPr>
            </w:pPr>
          </w:p>
          <w:p w14:paraId="5D1D2F3E" w14:textId="77777777" w:rsidR="009021F1" w:rsidRPr="00114059" w:rsidRDefault="009021F1" w:rsidP="00E637E3">
            <w:pPr>
              <w:pStyle w:val="TableParagraph"/>
              <w:spacing w:line="276" w:lineRule="auto"/>
              <w:ind w:right="231"/>
              <w:rPr>
                <w:sz w:val="20"/>
                <w:szCs w:val="20"/>
                <w:lang w:val="fr-FR"/>
              </w:rPr>
            </w:pPr>
          </w:p>
          <w:p w14:paraId="43AA3411" w14:textId="77777777" w:rsidR="009021F1" w:rsidRPr="00114059" w:rsidRDefault="009021F1" w:rsidP="00E637E3">
            <w:pPr>
              <w:pStyle w:val="TableParagraph"/>
              <w:spacing w:line="276" w:lineRule="auto"/>
              <w:ind w:right="231"/>
              <w:rPr>
                <w:sz w:val="20"/>
                <w:szCs w:val="20"/>
                <w:lang w:val="fr-FR"/>
              </w:rPr>
            </w:pPr>
          </w:p>
          <w:p w14:paraId="739C4225" w14:textId="77777777" w:rsidR="009021F1" w:rsidRPr="00114059" w:rsidRDefault="009021F1" w:rsidP="00E637E3">
            <w:pPr>
              <w:pStyle w:val="TableParagraph"/>
              <w:spacing w:line="276" w:lineRule="auto"/>
              <w:ind w:right="231"/>
              <w:rPr>
                <w:sz w:val="20"/>
                <w:szCs w:val="20"/>
                <w:lang w:val="fr-FR"/>
              </w:rPr>
            </w:pPr>
          </w:p>
          <w:p w14:paraId="4CA27AB4" w14:textId="77777777" w:rsidR="009021F1" w:rsidRPr="00114059" w:rsidRDefault="009021F1" w:rsidP="00E637E3">
            <w:pPr>
              <w:pStyle w:val="TableParagraph"/>
              <w:spacing w:line="276" w:lineRule="auto"/>
              <w:ind w:right="231"/>
              <w:rPr>
                <w:sz w:val="20"/>
                <w:szCs w:val="20"/>
                <w:lang w:val="fr-FR"/>
              </w:rPr>
            </w:pPr>
          </w:p>
          <w:p w14:paraId="104A2F93" w14:textId="77777777" w:rsidR="009021F1" w:rsidRPr="00114059" w:rsidRDefault="009021F1" w:rsidP="00E637E3">
            <w:pPr>
              <w:pStyle w:val="TableParagraph"/>
              <w:spacing w:line="276" w:lineRule="auto"/>
              <w:ind w:right="231"/>
              <w:rPr>
                <w:sz w:val="20"/>
                <w:szCs w:val="20"/>
              </w:rPr>
            </w:pPr>
            <w:r w:rsidRPr="00114059">
              <w:rPr>
                <w:sz w:val="20"/>
                <w:szCs w:val="20"/>
              </w:rPr>
              <w:t>Régime hydrologique</w:t>
            </w:r>
          </w:p>
        </w:tc>
        <w:tc>
          <w:tcPr>
            <w:tcW w:w="2271" w:type="dxa"/>
            <w:shd w:val="clear" w:color="auto" w:fill="auto"/>
          </w:tcPr>
          <w:p w14:paraId="090FC843" w14:textId="77777777" w:rsidR="009021F1" w:rsidRPr="00114059" w:rsidRDefault="009021F1" w:rsidP="00E637E3">
            <w:pPr>
              <w:pStyle w:val="TableParagraph"/>
              <w:spacing w:line="276" w:lineRule="auto"/>
              <w:rPr>
                <w:w w:val="95"/>
                <w:sz w:val="20"/>
                <w:szCs w:val="20"/>
              </w:rPr>
            </w:pPr>
          </w:p>
          <w:p w14:paraId="3D826C1C" w14:textId="77777777" w:rsidR="009021F1" w:rsidRPr="00114059" w:rsidRDefault="009021F1" w:rsidP="00E637E3">
            <w:pPr>
              <w:pStyle w:val="TableParagraph"/>
              <w:spacing w:line="276" w:lineRule="auto"/>
              <w:rPr>
                <w:w w:val="95"/>
                <w:sz w:val="20"/>
                <w:szCs w:val="20"/>
              </w:rPr>
            </w:pPr>
          </w:p>
          <w:p w14:paraId="4F7A49BC" w14:textId="77777777" w:rsidR="009021F1" w:rsidRPr="00114059" w:rsidRDefault="009021F1" w:rsidP="00E637E3">
            <w:pPr>
              <w:pStyle w:val="TableParagraph"/>
              <w:spacing w:line="276" w:lineRule="auto"/>
              <w:rPr>
                <w:w w:val="95"/>
                <w:sz w:val="20"/>
                <w:szCs w:val="20"/>
              </w:rPr>
            </w:pPr>
          </w:p>
          <w:p w14:paraId="216B89CA" w14:textId="77777777" w:rsidR="009021F1" w:rsidRPr="00114059" w:rsidRDefault="009021F1" w:rsidP="00E637E3">
            <w:pPr>
              <w:pStyle w:val="TableParagraph"/>
              <w:spacing w:line="276" w:lineRule="auto"/>
              <w:rPr>
                <w:sz w:val="20"/>
                <w:szCs w:val="20"/>
              </w:rPr>
            </w:pPr>
            <w:r w:rsidRPr="00114059">
              <w:rPr>
                <w:w w:val="95"/>
                <w:sz w:val="20"/>
                <w:szCs w:val="20"/>
              </w:rPr>
              <w:t xml:space="preserve">Modification du </w:t>
            </w:r>
            <w:r w:rsidRPr="00114059">
              <w:rPr>
                <w:sz w:val="20"/>
                <w:szCs w:val="20"/>
              </w:rPr>
              <w:t>drainage.</w:t>
            </w:r>
          </w:p>
        </w:tc>
        <w:tc>
          <w:tcPr>
            <w:tcW w:w="4975" w:type="dxa"/>
            <w:shd w:val="clear" w:color="auto" w:fill="auto"/>
          </w:tcPr>
          <w:p w14:paraId="3591D1B7"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Éviter les travaux de terrassement et de creusage en période pluvieuse ;</w:t>
            </w:r>
          </w:p>
          <w:p w14:paraId="36273053"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Ne pas entraver le drainage des eaux de surface et prévoir des mesures de rétablissement du drainage naturel des eaux après les travaux ;</w:t>
            </w:r>
          </w:p>
          <w:p w14:paraId="1875A7A3"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Respecter le drainage superficiel en tout temps ;</w:t>
            </w:r>
          </w:p>
          <w:p w14:paraId="74ACD6A1"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Orienter les eaux de ruissellement et de drainage de façon à ce qu’elles contournent le site des travaux et ne nuisent pas aux populations.</w:t>
            </w:r>
          </w:p>
        </w:tc>
        <w:tc>
          <w:tcPr>
            <w:tcW w:w="2144" w:type="dxa"/>
            <w:shd w:val="clear" w:color="auto" w:fill="auto"/>
          </w:tcPr>
          <w:p w14:paraId="25B2C418"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Pendant la phase d’exécution du Programme</w:t>
            </w:r>
          </w:p>
        </w:tc>
        <w:tc>
          <w:tcPr>
            <w:tcW w:w="2109" w:type="dxa"/>
            <w:shd w:val="clear" w:color="auto" w:fill="auto"/>
          </w:tcPr>
          <w:p w14:paraId="56198BE2"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Les PME, la Mission de contrôle</w:t>
            </w:r>
          </w:p>
        </w:tc>
        <w:tc>
          <w:tcPr>
            <w:tcW w:w="2190" w:type="dxa"/>
            <w:shd w:val="clear" w:color="auto" w:fill="auto"/>
          </w:tcPr>
          <w:p w14:paraId="2D183BAA"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PNDA et ACE, CPE,  RVF</w:t>
            </w:r>
          </w:p>
        </w:tc>
      </w:tr>
      <w:tr w:rsidR="009021F1" w:rsidRPr="00114059" w14:paraId="6D087BF7" w14:textId="77777777" w:rsidTr="00E637E3">
        <w:trPr>
          <w:trHeight w:val="2805"/>
        </w:trPr>
        <w:tc>
          <w:tcPr>
            <w:tcW w:w="1806" w:type="dxa"/>
            <w:vMerge/>
            <w:shd w:val="clear" w:color="auto" w:fill="auto"/>
          </w:tcPr>
          <w:p w14:paraId="748AAC35" w14:textId="77777777" w:rsidR="009021F1" w:rsidRPr="00114059" w:rsidRDefault="009021F1" w:rsidP="00E637E3">
            <w:pPr>
              <w:rPr>
                <w:rFonts w:cs="Arial"/>
                <w:sz w:val="20"/>
                <w:szCs w:val="20"/>
              </w:rPr>
            </w:pPr>
          </w:p>
        </w:tc>
        <w:tc>
          <w:tcPr>
            <w:tcW w:w="2271" w:type="dxa"/>
            <w:shd w:val="clear" w:color="auto" w:fill="auto"/>
          </w:tcPr>
          <w:p w14:paraId="06FD5316" w14:textId="77777777" w:rsidR="009021F1" w:rsidRPr="00114059" w:rsidRDefault="009021F1" w:rsidP="00E637E3">
            <w:pPr>
              <w:pStyle w:val="TableParagraph"/>
              <w:spacing w:line="276" w:lineRule="auto"/>
              <w:ind w:right="505"/>
              <w:jc w:val="both"/>
              <w:rPr>
                <w:sz w:val="20"/>
                <w:szCs w:val="20"/>
                <w:lang w:val="fr-FR"/>
              </w:rPr>
            </w:pPr>
          </w:p>
          <w:p w14:paraId="3F6920C6" w14:textId="77777777" w:rsidR="009021F1" w:rsidRPr="00114059" w:rsidRDefault="009021F1" w:rsidP="00E637E3">
            <w:pPr>
              <w:pStyle w:val="TableParagraph"/>
              <w:spacing w:line="276" w:lineRule="auto"/>
              <w:ind w:right="505"/>
              <w:jc w:val="both"/>
              <w:rPr>
                <w:sz w:val="20"/>
                <w:szCs w:val="20"/>
                <w:lang w:val="fr-FR"/>
              </w:rPr>
            </w:pPr>
          </w:p>
          <w:p w14:paraId="3F1B2518" w14:textId="77777777" w:rsidR="009021F1" w:rsidRPr="00114059" w:rsidRDefault="009021F1" w:rsidP="00E637E3">
            <w:pPr>
              <w:pStyle w:val="TableParagraph"/>
              <w:spacing w:line="276" w:lineRule="auto"/>
              <w:ind w:right="505"/>
              <w:jc w:val="both"/>
              <w:rPr>
                <w:sz w:val="20"/>
                <w:szCs w:val="20"/>
                <w:lang w:val="fr-FR"/>
              </w:rPr>
            </w:pPr>
          </w:p>
          <w:p w14:paraId="0F6AE968" w14:textId="77777777" w:rsidR="009021F1" w:rsidRPr="00114059" w:rsidRDefault="009021F1" w:rsidP="00E637E3">
            <w:pPr>
              <w:pStyle w:val="TableParagraph"/>
              <w:spacing w:line="276" w:lineRule="auto"/>
              <w:ind w:right="505"/>
              <w:jc w:val="both"/>
              <w:rPr>
                <w:sz w:val="20"/>
                <w:szCs w:val="20"/>
                <w:lang w:val="fr-FR"/>
              </w:rPr>
            </w:pPr>
          </w:p>
          <w:p w14:paraId="1388EC89" w14:textId="77777777" w:rsidR="009021F1" w:rsidRPr="00114059" w:rsidRDefault="009021F1" w:rsidP="00E637E3">
            <w:pPr>
              <w:pStyle w:val="TableParagraph"/>
              <w:spacing w:line="276" w:lineRule="auto"/>
              <w:ind w:right="505"/>
              <w:jc w:val="both"/>
              <w:rPr>
                <w:sz w:val="20"/>
                <w:szCs w:val="20"/>
                <w:lang w:val="fr-FR"/>
              </w:rPr>
            </w:pPr>
            <w:r w:rsidRPr="00114059">
              <w:rPr>
                <w:sz w:val="20"/>
                <w:szCs w:val="20"/>
                <w:lang w:val="fr-FR"/>
              </w:rPr>
              <w:t xml:space="preserve">Modification de </w:t>
            </w:r>
            <w:r w:rsidRPr="00114059">
              <w:rPr>
                <w:w w:val="95"/>
                <w:sz w:val="20"/>
                <w:szCs w:val="20"/>
                <w:lang w:val="fr-FR"/>
              </w:rPr>
              <w:t xml:space="preserve">l’écoulement </w:t>
            </w:r>
            <w:r w:rsidRPr="00114059">
              <w:rPr>
                <w:spacing w:val="-4"/>
                <w:w w:val="95"/>
                <w:sz w:val="20"/>
                <w:szCs w:val="20"/>
                <w:lang w:val="fr-FR"/>
              </w:rPr>
              <w:t xml:space="preserve">des </w:t>
            </w:r>
            <w:r w:rsidRPr="00114059">
              <w:rPr>
                <w:sz w:val="20"/>
                <w:szCs w:val="20"/>
                <w:lang w:val="fr-FR"/>
              </w:rPr>
              <w:t>eaux de</w:t>
            </w:r>
            <w:r w:rsidRPr="00114059">
              <w:rPr>
                <w:spacing w:val="-44"/>
                <w:sz w:val="20"/>
                <w:szCs w:val="20"/>
                <w:lang w:val="fr-FR"/>
              </w:rPr>
              <w:t xml:space="preserve"> </w:t>
            </w:r>
            <w:r w:rsidRPr="00114059">
              <w:rPr>
                <w:sz w:val="20"/>
                <w:szCs w:val="20"/>
                <w:lang w:val="fr-FR"/>
              </w:rPr>
              <w:t>surface.</w:t>
            </w:r>
          </w:p>
        </w:tc>
        <w:tc>
          <w:tcPr>
            <w:tcW w:w="4975" w:type="dxa"/>
            <w:shd w:val="clear" w:color="auto" w:fill="auto"/>
          </w:tcPr>
          <w:p w14:paraId="06E70EA0"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Utiliser des moyens appropriés (buses par exemple) quand cela est nécessaire, pour maintenir un débit laminaire d’écoulement de l’eau et limiter la perturbation de l’écoulement des eaux aux traversées de cours d’eau ;</w:t>
            </w:r>
          </w:p>
          <w:p w14:paraId="6928D535"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Éviter de créer des zones d’eau stagnante ;</w:t>
            </w:r>
          </w:p>
          <w:p w14:paraId="5E883E39"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Éviter d’obstruer les cours d’eau, les fossés ou tout autre canal ;</w:t>
            </w:r>
          </w:p>
          <w:p w14:paraId="2BC80718"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Enlever tout débris qui entrave l’écoulement normal des eaux de surface ;</w:t>
            </w:r>
          </w:p>
          <w:p w14:paraId="33C4FD42"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Rétablir, s’il y a lieu, l’écoulement normal des cours d’eau et remettre le lit et les berges dans son état original.</w:t>
            </w:r>
          </w:p>
        </w:tc>
        <w:tc>
          <w:tcPr>
            <w:tcW w:w="2144" w:type="dxa"/>
            <w:shd w:val="clear" w:color="auto" w:fill="auto"/>
          </w:tcPr>
          <w:p w14:paraId="2734A924"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Pendant la phase d’exécution du Programme</w:t>
            </w:r>
          </w:p>
        </w:tc>
        <w:tc>
          <w:tcPr>
            <w:tcW w:w="2109" w:type="dxa"/>
            <w:shd w:val="clear" w:color="auto" w:fill="auto"/>
          </w:tcPr>
          <w:p w14:paraId="2A498D97"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Les PME, la Mission de contrôle</w:t>
            </w:r>
          </w:p>
        </w:tc>
        <w:tc>
          <w:tcPr>
            <w:tcW w:w="2190" w:type="dxa"/>
            <w:shd w:val="clear" w:color="auto" w:fill="auto"/>
          </w:tcPr>
          <w:p w14:paraId="62C9A695"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PNDA et ACE, CPE, OVDA, RVF</w:t>
            </w:r>
          </w:p>
        </w:tc>
      </w:tr>
      <w:tr w:rsidR="009021F1" w:rsidRPr="00114059" w14:paraId="2F706963" w14:textId="77777777" w:rsidTr="00E637E3">
        <w:trPr>
          <w:trHeight w:val="228"/>
        </w:trPr>
        <w:tc>
          <w:tcPr>
            <w:tcW w:w="1806" w:type="dxa"/>
            <w:shd w:val="clear" w:color="auto" w:fill="auto"/>
          </w:tcPr>
          <w:p w14:paraId="7988AAC3" w14:textId="77777777" w:rsidR="009021F1" w:rsidRPr="00114059" w:rsidRDefault="009021F1" w:rsidP="00E637E3">
            <w:pPr>
              <w:pStyle w:val="TableParagraph"/>
              <w:spacing w:line="276" w:lineRule="auto"/>
              <w:ind w:right="231"/>
              <w:rPr>
                <w:sz w:val="20"/>
                <w:szCs w:val="20"/>
                <w:lang w:val="fr-FR"/>
              </w:rPr>
            </w:pPr>
          </w:p>
          <w:p w14:paraId="0B0BFABF" w14:textId="77777777" w:rsidR="009021F1" w:rsidRPr="00114059" w:rsidRDefault="009021F1" w:rsidP="00E637E3">
            <w:pPr>
              <w:pStyle w:val="TableParagraph"/>
              <w:spacing w:line="276" w:lineRule="auto"/>
              <w:ind w:right="231"/>
              <w:rPr>
                <w:sz w:val="20"/>
                <w:szCs w:val="20"/>
                <w:lang w:val="fr-FR"/>
              </w:rPr>
            </w:pPr>
          </w:p>
          <w:p w14:paraId="659F2742" w14:textId="77777777" w:rsidR="009021F1" w:rsidRPr="00114059" w:rsidRDefault="009021F1" w:rsidP="00E637E3">
            <w:pPr>
              <w:pStyle w:val="TableParagraph"/>
              <w:spacing w:line="276" w:lineRule="auto"/>
              <w:ind w:right="231"/>
              <w:rPr>
                <w:sz w:val="20"/>
                <w:szCs w:val="20"/>
                <w:lang w:val="fr-FR"/>
              </w:rPr>
            </w:pPr>
          </w:p>
          <w:p w14:paraId="25B1FFD2" w14:textId="77777777" w:rsidR="009021F1" w:rsidRPr="00114059" w:rsidRDefault="009021F1" w:rsidP="00E637E3">
            <w:pPr>
              <w:pStyle w:val="TableParagraph"/>
              <w:spacing w:line="276" w:lineRule="auto"/>
              <w:ind w:right="231"/>
              <w:rPr>
                <w:sz w:val="20"/>
                <w:szCs w:val="20"/>
                <w:lang w:val="fr-FR"/>
              </w:rPr>
            </w:pPr>
          </w:p>
          <w:p w14:paraId="38AFE3E5" w14:textId="77777777" w:rsidR="009021F1" w:rsidRPr="00114059" w:rsidRDefault="009021F1" w:rsidP="00E637E3">
            <w:pPr>
              <w:pStyle w:val="TableParagraph"/>
              <w:spacing w:line="276" w:lineRule="auto"/>
              <w:ind w:right="231"/>
              <w:rPr>
                <w:sz w:val="20"/>
                <w:szCs w:val="20"/>
                <w:lang w:val="fr-FR"/>
              </w:rPr>
            </w:pPr>
          </w:p>
          <w:p w14:paraId="4EC6A268" w14:textId="77777777" w:rsidR="009021F1" w:rsidRPr="00114059" w:rsidRDefault="009021F1" w:rsidP="00E637E3">
            <w:pPr>
              <w:pStyle w:val="TableParagraph"/>
              <w:spacing w:line="276" w:lineRule="auto"/>
              <w:ind w:right="231"/>
              <w:rPr>
                <w:sz w:val="20"/>
                <w:szCs w:val="20"/>
                <w:lang w:val="fr-FR"/>
              </w:rPr>
            </w:pPr>
          </w:p>
          <w:p w14:paraId="35513DEF" w14:textId="77777777" w:rsidR="009021F1" w:rsidRPr="00114059" w:rsidRDefault="009021F1" w:rsidP="00E637E3">
            <w:pPr>
              <w:pStyle w:val="TableParagraph"/>
              <w:spacing w:line="276" w:lineRule="auto"/>
              <w:ind w:right="231"/>
              <w:rPr>
                <w:sz w:val="20"/>
                <w:szCs w:val="20"/>
                <w:lang w:val="fr-FR"/>
              </w:rPr>
            </w:pPr>
          </w:p>
          <w:p w14:paraId="08C1BE9D" w14:textId="77777777" w:rsidR="009021F1" w:rsidRPr="00114059" w:rsidRDefault="009021F1" w:rsidP="00E637E3">
            <w:pPr>
              <w:pStyle w:val="TableParagraph"/>
              <w:spacing w:line="276" w:lineRule="auto"/>
              <w:ind w:right="231"/>
              <w:rPr>
                <w:sz w:val="20"/>
                <w:szCs w:val="20"/>
              </w:rPr>
            </w:pPr>
            <w:r w:rsidRPr="00114059">
              <w:rPr>
                <w:sz w:val="20"/>
                <w:szCs w:val="20"/>
              </w:rPr>
              <w:t>Qualité des sols</w:t>
            </w:r>
          </w:p>
        </w:tc>
        <w:tc>
          <w:tcPr>
            <w:tcW w:w="2271" w:type="dxa"/>
            <w:shd w:val="clear" w:color="auto" w:fill="auto"/>
          </w:tcPr>
          <w:p w14:paraId="0BBA36C6" w14:textId="77777777" w:rsidR="009021F1" w:rsidRPr="00114059" w:rsidRDefault="009021F1" w:rsidP="00E637E3">
            <w:pPr>
              <w:pStyle w:val="TableParagraph"/>
              <w:spacing w:line="276" w:lineRule="auto"/>
              <w:ind w:right="369"/>
              <w:rPr>
                <w:sz w:val="20"/>
                <w:szCs w:val="20"/>
                <w:lang w:val="fr-FR"/>
              </w:rPr>
            </w:pPr>
          </w:p>
          <w:p w14:paraId="01D40414" w14:textId="77777777" w:rsidR="009021F1" w:rsidRPr="00114059" w:rsidRDefault="009021F1" w:rsidP="00E637E3">
            <w:pPr>
              <w:pStyle w:val="TableParagraph"/>
              <w:spacing w:line="276" w:lineRule="auto"/>
              <w:ind w:right="369"/>
              <w:rPr>
                <w:sz w:val="20"/>
                <w:szCs w:val="20"/>
                <w:lang w:val="fr-FR"/>
              </w:rPr>
            </w:pPr>
          </w:p>
          <w:p w14:paraId="3DAD24F2" w14:textId="77777777" w:rsidR="009021F1" w:rsidRPr="00114059" w:rsidRDefault="009021F1" w:rsidP="00E637E3">
            <w:pPr>
              <w:pStyle w:val="TableParagraph"/>
              <w:spacing w:line="276" w:lineRule="auto"/>
              <w:ind w:right="369"/>
              <w:rPr>
                <w:sz w:val="20"/>
                <w:szCs w:val="20"/>
                <w:lang w:val="fr-FR"/>
              </w:rPr>
            </w:pPr>
          </w:p>
          <w:p w14:paraId="366F1BCD" w14:textId="77777777" w:rsidR="009021F1" w:rsidRPr="00114059" w:rsidRDefault="009021F1" w:rsidP="00E637E3">
            <w:pPr>
              <w:pStyle w:val="TableParagraph"/>
              <w:spacing w:line="276" w:lineRule="auto"/>
              <w:ind w:right="369"/>
              <w:rPr>
                <w:sz w:val="20"/>
                <w:szCs w:val="20"/>
                <w:lang w:val="fr-FR"/>
              </w:rPr>
            </w:pPr>
          </w:p>
          <w:p w14:paraId="5F8A67AE" w14:textId="77777777" w:rsidR="009021F1" w:rsidRPr="00114059" w:rsidRDefault="009021F1" w:rsidP="00E637E3">
            <w:pPr>
              <w:pStyle w:val="TableParagraph"/>
              <w:spacing w:line="276" w:lineRule="auto"/>
              <w:ind w:right="369"/>
              <w:rPr>
                <w:sz w:val="20"/>
                <w:szCs w:val="20"/>
                <w:lang w:val="fr-FR"/>
              </w:rPr>
            </w:pPr>
          </w:p>
          <w:p w14:paraId="5BB860BE" w14:textId="77777777" w:rsidR="009021F1" w:rsidRPr="00114059" w:rsidRDefault="009021F1" w:rsidP="00E637E3">
            <w:pPr>
              <w:pStyle w:val="TableParagraph"/>
              <w:spacing w:line="276" w:lineRule="auto"/>
              <w:ind w:right="369"/>
              <w:rPr>
                <w:sz w:val="20"/>
                <w:szCs w:val="20"/>
                <w:lang w:val="fr-FR"/>
              </w:rPr>
            </w:pPr>
          </w:p>
          <w:p w14:paraId="4B642D64" w14:textId="77777777" w:rsidR="009021F1" w:rsidRPr="00114059" w:rsidRDefault="009021F1" w:rsidP="00E637E3">
            <w:pPr>
              <w:pStyle w:val="TableParagraph"/>
              <w:spacing w:line="276" w:lineRule="auto"/>
              <w:ind w:right="369"/>
              <w:rPr>
                <w:sz w:val="20"/>
                <w:szCs w:val="20"/>
                <w:lang w:val="fr-FR"/>
              </w:rPr>
            </w:pPr>
          </w:p>
          <w:p w14:paraId="5D2E4365" w14:textId="77777777" w:rsidR="009021F1" w:rsidRPr="00114059" w:rsidRDefault="009021F1" w:rsidP="00E637E3">
            <w:pPr>
              <w:pStyle w:val="TableParagraph"/>
              <w:spacing w:line="276" w:lineRule="auto"/>
              <w:ind w:right="369"/>
              <w:rPr>
                <w:sz w:val="20"/>
                <w:szCs w:val="20"/>
                <w:lang w:val="fr-FR"/>
              </w:rPr>
            </w:pPr>
            <w:r w:rsidRPr="00114059">
              <w:rPr>
                <w:sz w:val="20"/>
                <w:szCs w:val="20"/>
                <w:lang w:val="fr-FR"/>
              </w:rPr>
              <w:t xml:space="preserve">Érosion et </w:t>
            </w:r>
            <w:r w:rsidRPr="00114059">
              <w:rPr>
                <w:w w:val="95"/>
                <w:sz w:val="20"/>
                <w:szCs w:val="20"/>
                <w:lang w:val="fr-FR"/>
              </w:rPr>
              <w:t xml:space="preserve">déstabilisation des </w:t>
            </w:r>
            <w:r w:rsidRPr="00114059">
              <w:rPr>
                <w:sz w:val="20"/>
                <w:szCs w:val="20"/>
                <w:lang w:val="fr-FR"/>
              </w:rPr>
              <w:t>sols.</w:t>
            </w:r>
          </w:p>
        </w:tc>
        <w:tc>
          <w:tcPr>
            <w:tcW w:w="4975" w:type="dxa"/>
            <w:shd w:val="clear" w:color="auto" w:fill="auto"/>
          </w:tcPr>
          <w:p w14:paraId="52DC7360"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Éviter les travaux de terrassement et de creusage en période pluvieuse ;</w:t>
            </w:r>
          </w:p>
          <w:p w14:paraId="6E43031D"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Stabiliser le sol mécaniquement pour réduire le risque d’érosion ;</w:t>
            </w:r>
          </w:p>
          <w:p w14:paraId="1BDB5631"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Prévoir le réaménagement des sites après les travaux ;</w:t>
            </w:r>
          </w:p>
          <w:p w14:paraId="48864395"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Limiter les interventions sur les sols érodables, choisir des véhicules adaptés à la nature du sol ;</w:t>
            </w:r>
          </w:p>
          <w:p w14:paraId="61DB844B"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Éviter l’aménagement d’accès dans l’axe des longues pentes continues, favoriser plutôt une orientation perpendiculaire ou diagonale ;</w:t>
            </w:r>
          </w:p>
          <w:p w14:paraId="3D6F10EE"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À la fin des travaux, niveler les sols remaniés et y favoriser l’implantation d’une strate herbacée stabilisatrice ;</w:t>
            </w:r>
          </w:p>
          <w:p w14:paraId="68E95293"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Encourager les initiatives locales de lutte antiérosive ;</w:t>
            </w:r>
          </w:p>
          <w:p w14:paraId="5A11C29E"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Aménager des petits bassins de rétention dans les lieux propices aux érosions de la zone du projet si nécessaires.</w:t>
            </w:r>
          </w:p>
        </w:tc>
        <w:tc>
          <w:tcPr>
            <w:tcW w:w="2144" w:type="dxa"/>
            <w:shd w:val="clear" w:color="auto" w:fill="auto"/>
          </w:tcPr>
          <w:p w14:paraId="766412D8"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Pendant la phase d’exécution du Programme</w:t>
            </w:r>
          </w:p>
        </w:tc>
        <w:tc>
          <w:tcPr>
            <w:tcW w:w="2109" w:type="dxa"/>
            <w:shd w:val="clear" w:color="auto" w:fill="auto"/>
          </w:tcPr>
          <w:p w14:paraId="7833D470"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Les PME, la Mission de contrôle</w:t>
            </w:r>
          </w:p>
        </w:tc>
        <w:tc>
          <w:tcPr>
            <w:tcW w:w="2190" w:type="dxa"/>
            <w:shd w:val="clear" w:color="auto" w:fill="auto"/>
          </w:tcPr>
          <w:p w14:paraId="7769C325"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PNDA et ACE, CPE, OVDA</w:t>
            </w:r>
          </w:p>
        </w:tc>
      </w:tr>
      <w:tr w:rsidR="009021F1" w:rsidRPr="00114059" w14:paraId="6B76F0F9" w14:textId="77777777" w:rsidTr="00E637E3">
        <w:trPr>
          <w:trHeight w:val="2596"/>
        </w:trPr>
        <w:tc>
          <w:tcPr>
            <w:tcW w:w="1806" w:type="dxa"/>
            <w:shd w:val="clear" w:color="auto" w:fill="auto"/>
          </w:tcPr>
          <w:p w14:paraId="0687DA0D" w14:textId="77777777" w:rsidR="009021F1" w:rsidRPr="00114059" w:rsidRDefault="009021F1" w:rsidP="00E637E3">
            <w:pPr>
              <w:pStyle w:val="TableParagraph"/>
              <w:spacing w:line="276" w:lineRule="auto"/>
              <w:ind w:right="231"/>
              <w:rPr>
                <w:sz w:val="20"/>
                <w:szCs w:val="20"/>
                <w:lang w:val="fr-FR"/>
              </w:rPr>
            </w:pPr>
          </w:p>
          <w:p w14:paraId="24C4EB75" w14:textId="77777777" w:rsidR="009021F1" w:rsidRPr="00114059" w:rsidRDefault="009021F1" w:rsidP="00E637E3">
            <w:pPr>
              <w:pStyle w:val="TableParagraph"/>
              <w:spacing w:line="276" w:lineRule="auto"/>
              <w:ind w:right="231"/>
              <w:rPr>
                <w:sz w:val="20"/>
                <w:szCs w:val="20"/>
                <w:lang w:val="fr-FR"/>
              </w:rPr>
            </w:pPr>
          </w:p>
          <w:p w14:paraId="3189ACF7" w14:textId="77777777" w:rsidR="009021F1" w:rsidRPr="00114059" w:rsidRDefault="009021F1" w:rsidP="00E637E3">
            <w:pPr>
              <w:pStyle w:val="TableParagraph"/>
              <w:spacing w:line="276" w:lineRule="auto"/>
              <w:ind w:right="231"/>
              <w:rPr>
                <w:sz w:val="20"/>
                <w:szCs w:val="20"/>
                <w:lang w:val="fr-FR"/>
              </w:rPr>
            </w:pPr>
          </w:p>
          <w:p w14:paraId="09BD41D2" w14:textId="77777777" w:rsidR="009021F1" w:rsidRPr="00114059" w:rsidRDefault="009021F1" w:rsidP="00E637E3">
            <w:pPr>
              <w:pStyle w:val="TableParagraph"/>
              <w:spacing w:line="276" w:lineRule="auto"/>
              <w:ind w:right="231"/>
              <w:rPr>
                <w:sz w:val="20"/>
                <w:szCs w:val="20"/>
                <w:lang w:val="fr-FR"/>
              </w:rPr>
            </w:pPr>
          </w:p>
          <w:p w14:paraId="3C92D0B5" w14:textId="77777777" w:rsidR="009021F1" w:rsidRPr="00114059" w:rsidRDefault="009021F1" w:rsidP="00E637E3">
            <w:pPr>
              <w:pStyle w:val="TableParagraph"/>
              <w:spacing w:line="276" w:lineRule="auto"/>
              <w:ind w:right="231"/>
              <w:rPr>
                <w:sz w:val="20"/>
                <w:szCs w:val="20"/>
                <w:lang w:val="fr-FR"/>
              </w:rPr>
            </w:pPr>
          </w:p>
          <w:p w14:paraId="675D8B2A" w14:textId="77777777" w:rsidR="009021F1" w:rsidRPr="00114059" w:rsidRDefault="009021F1" w:rsidP="00E637E3">
            <w:pPr>
              <w:pStyle w:val="TableParagraph"/>
              <w:spacing w:line="276" w:lineRule="auto"/>
              <w:ind w:right="231"/>
              <w:rPr>
                <w:sz w:val="20"/>
                <w:szCs w:val="20"/>
                <w:lang w:val="fr-FR"/>
              </w:rPr>
            </w:pPr>
          </w:p>
          <w:p w14:paraId="0AB0BB2E" w14:textId="77777777" w:rsidR="009021F1" w:rsidRPr="00114059" w:rsidRDefault="009021F1" w:rsidP="00E637E3">
            <w:pPr>
              <w:pStyle w:val="TableParagraph"/>
              <w:spacing w:line="276" w:lineRule="auto"/>
              <w:ind w:right="231"/>
              <w:rPr>
                <w:sz w:val="20"/>
                <w:szCs w:val="20"/>
                <w:lang w:val="fr-FR"/>
              </w:rPr>
            </w:pPr>
          </w:p>
          <w:p w14:paraId="39097CEC" w14:textId="77777777" w:rsidR="009021F1" w:rsidRPr="00114059" w:rsidRDefault="009021F1" w:rsidP="00E637E3">
            <w:pPr>
              <w:pStyle w:val="TableParagraph"/>
              <w:spacing w:line="276" w:lineRule="auto"/>
              <w:ind w:right="231"/>
              <w:rPr>
                <w:sz w:val="20"/>
                <w:szCs w:val="20"/>
                <w:lang w:val="fr-FR"/>
              </w:rPr>
            </w:pPr>
          </w:p>
          <w:p w14:paraId="3C0A3FD4" w14:textId="77777777" w:rsidR="009021F1" w:rsidRPr="00114059" w:rsidRDefault="009021F1" w:rsidP="00E637E3">
            <w:pPr>
              <w:pStyle w:val="TableParagraph"/>
              <w:spacing w:line="276" w:lineRule="auto"/>
              <w:ind w:right="231"/>
              <w:rPr>
                <w:sz w:val="20"/>
                <w:szCs w:val="20"/>
              </w:rPr>
            </w:pPr>
            <w:r w:rsidRPr="00114059">
              <w:rPr>
                <w:sz w:val="20"/>
                <w:szCs w:val="20"/>
              </w:rPr>
              <w:t>Qualité des sols</w:t>
            </w:r>
          </w:p>
        </w:tc>
        <w:tc>
          <w:tcPr>
            <w:tcW w:w="2271" w:type="dxa"/>
            <w:shd w:val="clear" w:color="auto" w:fill="auto"/>
          </w:tcPr>
          <w:p w14:paraId="703F768A" w14:textId="77777777" w:rsidR="009021F1" w:rsidRPr="00114059" w:rsidRDefault="009021F1" w:rsidP="00E637E3">
            <w:pPr>
              <w:pStyle w:val="TableParagraph"/>
              <w:spacing w:line="276" w:lineRule="auto"/>
              <w:ind w:right="8"/>
              <w:rPr>
                <w:sz w:val="20"/>
                <w:szCs w:val="20"/>
                <w:lang w:val="fr-FR"/>
              </w:rPr>
            </w:pPr>
          </w:p>
          <w:p w14:paraId="4DB373C2" w14:textId="77777777" w:rsidR="009021F1" w:rsidRPr="00114059" w:rsidRDefault="009021F1" w:rsidP="00E637E3">
            <w:pPr>
              <w:pStyle w:val="TableParagraph"/>
              <w:spacing w:line="276" w:lineRule="auto"/>
              <w:ind w:right="8"/>
              <w:rPr>
                <w:sz w:val="20"/>
                <w:szCs w:val="20"/>
                <w:lang w:val="fr-FR"/>
              </w:rPr>
            </w:pPr>
          </w:p>
          <w:p w14:paraId="786CBB68" w14:textId="77777777" w:rsidR="009021F1" w:rsidRPr="00114059" w:rsidRDefault="009021F1" w:rsidP="00E637E3">
            <w:pPr>
              <w:pStyle w:val="TableParagraph"/>
              <w:spacing w:line="276" w:lineRule="auto"/>
              <w:ind w:right="8"/>
              <w:rPr>
                <w:sz w:val="20"/>
                <w:szCs w:val="20"/>
                <w:lang w:val="fr-FR"/>
              </w:rPr>
            </w:pPr>
          </w:p>
          <w:p w14:paraId="7E5E6E21" w14:textId="77777777" w:rsidR="009021F1" w:rsidRPr="00114059" w:rsidRDefault="009021F1" w:rsidP="00E637E3">
            <w:pPr>
              <w:pStyle w:val="TableParagraph"/>
              <w:spacing w:line="276" w:lineRule="auto"/>
              <w:ind w:right="8"/>
              <w:rPr>
                <w:sz w:val="20"/>
                <w:szCs w:val="20"/>
                <w:lang w:val="fr-FR"/>
              </w:rPr>
            </w:pPr>
          </w:p>
          <w:p w14:paraId="07B3D0D1" w14:textId="77777777" w:rsidR="009021F1" w:rsidRPr="00114059" w:rsidRDefault="009021F1" w:rsidP="00E637E3">
            <w:pPr>
              <w:pStyle w:val="TableParagraph"/>
              <w:spacing w:line="276" w:lineRule="auto"/>
              <w:ind w:right="8"/>
              <w:rPr>
                <w:sz w:val="20"/>
                <w:szCs w:val="20"/>
                <w:lang w:val="fr-FR"/>
              </w:rPr>
            </w:pPr>
          </w:p>
          <w:p w14:paraId="185E99E6" w14:textId="77777777" w:rsidR="009021F1" w:rsidRPr="00114059" w:rsidRDefault="009021F1" w:rsidP="00E637E3">
            <w:pPr>
              <w:pStyle w:val="TableParagraph"/>
              <w:spacing w:line="276" w:lineRule="auto"/>
              <w:ind w:right="8"/>
              <w:rPr>
                <w:sz w:val="20"/>
                <w:szCs w:val="20"/>
                <w:lang w:val="fr-FR"/>
              </w:rPr>
            </w:pPr>
            <w:r w:rsidRPr="00114059">
              <w:rPr>
                <w:sz w:val="20"/>
                <w:szCs w:val="20"/>
                <w:lang w:val="fr-FR"/>
              </w:rPr>
              <w:t>Dégradation de la qualité des sols engendrée par le rejet accidentel de contaminants ou les déchets des emballages des pesticides ou autres.</w:t>
            </w:r>
          </w:p>
        </w:tc>
        <w:tc>
          <w:tcPr>
            <w:tcW w:w="4975" w:type="dxa"/>
            <w:shd w:val="clear" w:color="auto" w:fill="auto"/>
          </w:tcPr>
          <w:p w14:paraId="0042DA56"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Maintenir les véhicules de transport et la machinerie en bon état de fonctionnement afin d’éviter les fuites d’huile de carburant et de tout autre polluant ;</w:t>
            </w:r>
          </w:p>
          <w:p w14:paraId="1FBEB730"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Mettre en place un Plan de Gestion de Pestes (PGP) ;</w:t>
            </w:r>
          </w:p>
          <w:p w14:paraId="72866AC7"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Renforcer les capacités des agriculteurs dans la connaissance des pesticides et le bon usage ;</w:t>
            </w:r>
          </w:p>
          <w:p w14:paraId="29BB4151"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Entreposer et utiliser les substances polluantes dans des aires confinées avec dallage imperméable pour éviter ou réduire les risques de migration des contaminants vers les sols ;</w:t>
            </w:r>
          </w:p>
          <w:p w14:paraId="0FC57EFF"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Prévoir des mesures en cas de contamination accidentelle (élaborer un plan d’urgence, incluant les mesures de confinement et de récupération ainsi que la formation des employés, des agriculteurs) ;</w:t>
            </w:r>
          </w:p>
          <w:p w14:paraId="26A5A374"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Tester le plan de mesures d’urgence ;</w:t>
            </w:r>
          </w:p>
          <w:p w14:paraId="3B7C5010"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En cas de déversement accidentel de contaminants, décaper les sols contaminés et en disposer selon la réglementation congolaise et/ou internationale ;</w:t>
            </w:r>
          </w:p>
          <w:p w14:paraId="2B18551F"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Interdire le ravitaillement de la machinerie à moins de 20 m des cours d’eau.</w:t>
            </w:r>
          </w:p>
        </w:tc>
        <w:tc>
          <w:tcPr>
            <w:tcW w:w="2144" w:type="dxa"/>
            <w:shd w:val="clear" w:color="auto" w:fill="auto"/>
          </w:tcPr>
          <w:p w14:paraId="5F8661E6"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Pendant la phase d’exécution du Programme</w:t>
            </w:r>
          </w:p>
        </w:tc>
        <w:tc>
          <w:tcPr>
            <w:tcW w:w="2109" w:type="dxa"/>
            <w:shd w:val="clear" w:color="auto" w:fill="auto"/>
          </w:tcPr>
          <w:p w14:paraId="41669403"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Les PME, la Mission de contrôle</w:t>
            </w:r>
          </w:p>
        </w:tc>
        <w:tc>
          <w:tcPr>
            <w:tcW w:w="2190" w:type="dxa"/>
            <w:shd w:val="clear" w:color="auto" w:fill="auto"/>
          </w:tcPr>
          <w:p w14:paraId="174920AB"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PNDA et ACE, CPE, OVDA</w:t>
            </w:r>
          </w:p>
        </w:tc>
      </w:tr>
      <w:tr w:rsidR="009021F1" w:rsidRPr="00114059" w14:paraId="6EBED02D" w14:textId="77777777" w:rsidTr="00E637E3">
        <w:trPr>
          <w:trHeight w:val="3830"/>
        </w:trPr>
        <w:tc>
          <w:tcPr>
            <w:tcW w:w="1806" w:type="dxa"/>
            <w:shd w:val="clear" w:color="auto" w:fill="auto"/>
          </w:tcPr>
          <w:p w14:paraId="4D076AC8" w14:textId="77777777" w:rsidR="009021F1" w:rsidRPr="00114059" w:rsidRDefault="009021F1" w:rsidP="00E637E3">
            <w:pPr>
              <w:pStyle w:val="TableParagraph"/>
              <w:spacing w:line="276" w:lineRule="auto"/>
              <w:rPr>
                <w:sz w:val="20"/>
                <w:szCs w:val="20"/>
                <w:lang w:val="fr-FR"/>
              </w:rPr>
            </w:pPr>
          </w:p>
          <w:p w14:paraId="30984AE8" w14:textId="77777777" w:rsidR="009021F1" w:rsidRPr="00114059" w:rsidRDefault="009021F1" w:rsidP="00E637E3">
            <w:pPr>
              <w:pStyle w:val="TableParagraph"/>
              <w:spacing w:line="276" w:lineRule="auto"/>
              <w:rPr>
                <w:sz w:val="20"/>
                <w:szCs w:val="20"/>
                <w:lang w:val="fr-FR"/>
              </w:rPr>
            </w:pPr>
          </w:p>
          <w:p w14:paraId="5D7E6E5C" w14:textId="77777777" w:rsidR="009021F1" w:rsidRPr="00114059" w:rsidRDefault="009021F1" w:rsidP="00E637E3">
            <w:pPr>
              <w:pStyle w:val="TableParagraph"/>
              <w:spacing w:line="276" w:lineRule="auto"/>
              <w:rPr>
                <w:sz w:val="20"/>
                <w:szCs w:val="20"/>
                <w:lang w:val="fr-FR"/>
              </w:rPr>
            </w:pPr>
          </w:p>
          <w:p w14:paraId="565CB595" w14:textId="77777777" w:rsidR="009021F1" w:rsidRPr="00114059" w:rsidRDefault="009021F1" w:rsidP="00E637E3">
            <w:pPr>
              <w:pStyle w:val="TableParagraph"/>
              <w:spacing w:line="276" w:lineRule="auto"/>
              <w:rPr>
                <w:sz w:val="20"/>
                <w:szCs w:val="20"/>
                <w:lang w:val="fr-FR"/>
              </w:rPr>
            </w:pPr>
          </w:p>
          <w:p w14:paraId="3DAF0021" w14:textId="77777777" w:rsidR="009021F1" w:rsidRPr="00114059" w:rsidRDefault="009021F1" w:rsidP="00E637E3">
            <w:pPr>
              <w:pStyle w:val="TableParagraph"/>
              <w:spacing w:line="276" w:lineRule="auto"/>
              <w:rPr>
                <w:sz w:val="20"/>
                <w:szCs w:val="20"/>
                <w:lang w:val="fr-FR"/>
              </w:rPr>
            </w:pPr>
          </w:p>
          <w:p w14:paraId="7DA4B426" w14:textId="77777777" w:rsidR="009021F1" w:rsidRPr="00114059" w:rsidRDefault="009021F1" w:rsidP="00E637E3">
            <w:pPr>
              <w:pStyle w:val="TableParagraph"/>
              <w:spacing w:line="276" w:lineRule="auto"/>
              <w:rPr>
                <w:sz w:val="20"/>
                <w:szCs w:val="20"/>
                <w:lang w:val="fr-FR"/>
              </w:rPr>
            </w:pPr>
          </w:p>
          <w:p w14:paraId="329FFE8E" w14:textId="77777777" w:rsidR="009021F1" w:rsidRPr="00114059" w:rsidRDefault="009021F1" w:rsidP="00E637E3">
            <w:pPr>
              <w:pStyle w:val="TableParagraph"/>
              <w:spacing w:line="276" w:lineRule="auto"/>
              <w:rPr>
                <w:sz w:val="20"/>
                <w:szCs w:val="20"/>
                <w:lang w:val="fr-FR"/>
              </w:rPr>
            </w:pPr>
          </w:p>
          <w:p w14:paraId="3EF56507" w14:textId="77777777" w:rsidR="009021F1" w:rsidRPr="00114059" w:rsidRDefault="009021F1" w:rsidP="00E637E3">
            <w:pPr>
              <w:pStyle w:val="TableParagraph"/>
              <w:spacing w:line="276" w:lineRule="auto"/>
              <w:rPr>
                <w:sz w:val="20"/>
                <w:szCs w:val="20"/>
                <w:lang w:val="fr-FR"/>
              </w:rPr>
            </w:pPr>
          </w:p>
          <w:p w14:paraId="67319668" w14:textId="77777777" w:rsidR="009021F1" w:rsidRPr="00114059" w:rsidRDefault="009021F1" w:rsidP="00E637E3">
            <w:pPr>
              <w:pStyle w:val="TableParagraph"/>
              <w:spacing w:line="276" w:lineRule="auto"/>
              <w:rPr>
                <w:sz w:val="20"/>
                <w:szCs w:val="20"/>
              </w:rPr>
            </w:pPr>
            <w:r w:rsidRPr="00114059">
              <w:rPr>
                <w:sz w:val="20"/>
                <w:szCs w:val="20"/>
              </w:rPr>
              <w:t>Végétation</w:t>
            </w:r>
          </w:p>
        </w:tc>
        <w:tc>
          <w:tcPr>
            <w:tcW w:w="2271" w:type="dxa"/>
            <w:shd w:val="clear" w:color="auto" w:fill="auto"/>
          </w:tcPr>
          <w:p w14:paraId="7463FDF4" w14:textId="77777777" w:rsidR="009021F1" w:rsidRPr="00114059" w:rsidRDefault="009021F1" w:rsidP="00E637E3">
            <w:pPr>
              <w:pStyle w:val="TableParagraph"/>
              <w:spacing w:line="276" w:lineRule="auto"/>
              <w:ind w:right="325"/>
              <w:rPr>
                <w:sz w:val="20"/>
                <w:szCs w:val="20"/>
                <w:lang w:val="fr-FR"/>
              </w:rPr>
            </w:pPr>
          </w:p>
          <w:p w14:paraId="3B12623E" w14:textId="77777777" w:rsidR="009021F1" w:rsidRPr="00114059" w:rsidRDefault="009021F1" w:rsidP="00E637E3">
            <w:pPr>
              <w:pStyle w:val="TableParagraph"/>
              <w:spacing w:line="276" w:lineRule="auto"/>
              <w:ind w:right="325"/>
              <w:rPr>
                <w:sz w:val="20"/>
                <w:szCs w:val="20"/>
                <w:lang w:val="fr-FR"/>
              </w:rPr>
            </w:pPr>
          </w:p>
          <w:p w14:paraId="4B4FADE1" w14:textId="77777777" w:rsidR="009021F1" w:rsidRPr="00114059" w:rsidRDefault="009021F1" w:rsidP="00E637E3">
            <w:pPr>
              <w:pStyle w:val="TableParagraph"/>
              <w:spacing w:line="276" w:lineRule="auto"/>
              <w:ind w:right="325"/>
              <w:rPr>
                <w:sz w:val="20"/>
                <w:szCs w:val="20"/>
                <w:lang w:val="fr-FR"/>
              </w:rPr>
            </w:pPr>
          </w:p>
          <w:p w14:paraId="4ACE63E9" w14:textId="77777777" w:rsidR="009021F1" w:rsidRPr="00114059" w:rsidRDefault="009021F1" w:rsidP="00E637E3">
            <w:pPr>
              <w:pStyle w:val="TableParagraph"/>
              <w:spacing w:line="276" w:lineRule="auto"/>
              <w:ind w:right="325"/>
              <w:rPr>
                <w:sz w:val="20"/>
                <w:szCs w:val="20"/>
                <w:lang w:val="fr-FR"/>
              </w:rPr>
            </w:pPr>
          </w:p>
          <w:p w14:paraId="6ADBACF2" w14:textId="77777777" w:rsidR="009021F1" w:rsidRPr="00114059" w:rsidRDefault="009021F1" w:rsidP="00E637E3">
            <w:pPr>
              <w:pStyle w:val="TableParagraph"/>
              <w:spacing w:line="276" w:lineRule="auto"/>
              <w:ind w:right="325"/>
              <w:rPr>
                <w:sz w:val="20"/>
                <w:szCs w:val="20"/>
                <w:lang w:val="fr-FR"/>
              </w:rPr>
            </w:pPr>
          </w:p>
          <w:p w14:paraId="0886AED0" w14:textId="77777777" w:rsidR="009021F1" w:rsidRPr="00114059" w:rsidRDefault="009021F1" w:rsidP="00E637E3">
            <w:pPr>
              <w:pStyle w:val="TableParagraph"/>
              <w:spacing w:line="276" w:lineRule="auto"/>
              <w:ind w:right="325"/>
              <w:rPr>
                <w:sz w:val="20"/>
                <w:szCs w:val="20"/>
                <w:lang w:val="fr-FR"/>
              </w:rPr>
            </w:pPr>
          </w:p>
          <w:p w14:paraId="31ED0E72" w14:textId="77777777" w:rsidR="009021F1" w:rsidRPr="00114059" w:rsidRDefault="009021F1" w:rsidP="00E637E3">
            <w:pPr>
              <w:pStyle w:val="TableParagraph"/>
              <w:spacing w:line="276" w:lineRule="auto"/>
              <w:ind w:right="325"/>
              <w:rPr>
                <w:sz w:val="20"/>
                <w:szCs w:val="20"/>
                <w:lang w:val="fr-FR"/>
              </w:rPr>
            </w:pPr>
          </w:p>
          <w:p w14:paraId="6E4FFDAF" w14:textId="77777777" w:rsidR="009021F1" w:rsidRPr="00114059" w:rsidRDefault="009021F1" w:rsidP="00E637E3">
            <w:pPr>
              <w:pStyle w:val="TableParagraph"/>
              <w:spacing w:line="276" w:lineRule="auto"/>
              <w:ind w:right="325"/>
              <w:rPr>
                <w:sz w:val="20"/>
                <w:szCs w:val="20"/>
                <w:lang w:val="fr-FR"/>
              </w:rPr>
            </w:pPr>
            <w:r w:rsidRPr="00114059">
              <w:rPr>
                <w:sz w:val="20"/>
                <w:szCs w:val="20"/>
                <w:lang w:val="fr-FR"/>
              </w:rPr>
              <w:t>Dommages aux arbres, arbustes et autres végétaux.</w:t>
            </w:r>
          </w:p>
        </w:tc>
        <w:tc>
          <w:tcPr>
            <w:tcW w:w="4975" w:type="dxa"/>
            <w:shd w:val="clear" w:color="auto" w:fill="auto"/>
          </w:tcPr>
          <w:p w14:paraId="0DC40D5A"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Définir clairement les aires de coupe (jachère, zone de savane, etc.) et de chantier afin de restreindre au minimum le déboisement ;</w:t>
            </w:r>
          </w:p>
          <w:p w14:paraId="3540E307"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Éloigner les équipements de la végétation ;</w:t>
            </w:r>
          </w:p>
          <w:p w14:paraId="15525944"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Protéger la végétation de la machinerie en bordure des emprises ;</w:t>
            </w:r>
          </w:p>
          <w:p w14:paraId="13373164"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Éviter de creuser des tranchées à moins d’un mètre d’un arbre ;</w:t>
            </w:r>
          </w:p>
          <w:p w14:paraId="476E78D5"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Remettre en état les terrains perturbés par la construction, l’enlèvement, le stockage et la remise en place de la couche arable pour faciliter la pousse d’une végétation adaptée ;</w:t>
            </w:r>
          </w:p>
          <w:p w14:paraId="741E635C"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Laisser en place les grands arbres qui peuvent fournir ombrage, graines et racines pour le rétablissement de la végétation naturelle ;</w:t>
            </w:r>
          </w:p>
          <w:p w14:paraId="4CD6B469"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Stocker le bois abattu sans valeur commerciale pour permettre son utilisation par les habitants de l’aire d’étude.</w:t>
            </w:r>
          </w:p>
        </w:tc>
        <w:tc>
          <w:tcPr>
            <w:tcW w:w="2144" w:type="dxa"/>
            <w:shd w:val="clear" w:color="auto" w:fill="auto"/>
          </w:tcPr>
          <w:p w14:paraId="63D400E0"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Pendant la phase d’exécution du Programme</w:t>
            </w:r>
          </w:p>
        </w:tc>
        <w:tc>
          <w:tcPr>
            <w:tcW w:w="2109" w:type="dxa"/>
            <w:shd w:val="clear" w:color="auto" w:fill="auto"/>
          </w:tcPr>
          <w:p w14:paraId="57327E52"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Les PME, la Mission de contrôle</w:t>
            </w:r>
          </w:p>
        </w:tc>
        <w:tc>
          <w:tcPr>
            <w:tcW w:w="2190" w:type="dxa"/>
            <w:shd w:val="clear" w:color="auto" w:fill="auto"/>
          </w:tcPr>
          <w:p w14:paraId="4724EDAD"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 xml:space="preserve">PNDA et ACE, CPE, OVDA, </w:t>
            </w:r>
          </w:p>
        </w:tc>
      </w:tr>
      <w:tr w:rsidR="009021F1" w:rsidRPr="00114059" w14:paraId="07B0F19C" w14:textId="77777777" w:rsidTr="00E637E3">
        <w:trPr>
          <w:trHeight w:val="699"/>
        </w:trPr>
        <w:tc>
          <w:tcPr>
            <w:tcW w:w="1806" w:type="dxa"/>
            <w:shd w:val="clear" w:color="auto" w:fill="auto"/>
          </w:tcPr>
          <w:p w14:paraId="29452F62" w14:textId="77777777" w:rsidR="009021F1" w:rsidRPr="00114059" w:rsidRDefault="009021F1" w:rsidP="00E637E3">
            <w:pPr>
              <w:pStyle w:val="TableParagraph"/>
              <w:spacing w:line="276" w:lineRule="auto"/>
              <w:rPr>
                <w:sz w:val="20"/>
                <w:szCs w:val="20"/>
                <w:lang w:val="fr-FR"/>
              </w:rPr>
            </w:pPr>
          </w:p>
          <w:p w14:paraId="5E377EC4" w14:textId="77777777" w:rsidR="009021F1" w:rsidRPr="00114059" w:rsidRDefault="009021F1" w:rsidP="00E637E3">
            <w:pPr>
              <w:pStyle w:val="TableParagraph"/>
              <w:spacing w:line="276" w:lineRule="auto"/>
              <w:rPr>
                <w:sz w:val="20"/>
                <w:szCs w:val="20"/>
                <w:lang w:val="fr-FR"/>
              </w:rPr>
            </w:pPr>
          </w:p>
          <w:p w14:paraId="12071FF0" w14:textId="77777777" w:rsidR="009021F1" w:rsidRPr="00114059" w:rsidRDefault="009021F1" w:rsidP="00E637E3">
            <w:pPr>
              <w:pStyle w:val="TableParagraph"/>
              <w:spacing w:line="276" w:lineRule="auto"/>
              <w:rPr>
                <w:sz w:val="20"/>
                <w:szCs w:val="20"/>
                <w:lang w:val="fr-FR"/>
              </w:rPr>
            </w:pPr>
          </w:p>
          <w:p w14:paraId="366101E5" w14:textId="77777777" w:rsidR="009021F1" w:rsidRPr="00114059" w:rsidRDefault="009021F1" w:rsidP="00E637E3">
            <w:pPr>
              <w:pStyle w:val="TableParagraph"/>
              <w:spacing w:line="276" w:lineRule="auto"/>
              <w:rPr>
                <w:sz w:val="20"/>
                <w:szCs w:val="20"/>
                <w:lang w:val="fr-FR"/>
              </w:rPr>
            </w:pPr>
          </w:p>
          <w:p w14:paraId="42928183" w14:textId="77777777" w:rsidR="009021F1" w:rsidRPr="00114059" w:rsidRDefault="009021F1" w:rsidP="00E637E3">
            <w:pPr>
              <w:pStyle w:val="TableParagraph"/>
              <w:spacing w:line="276" w:lineRule="auto"/>
              <w:rPr>
                <w:sz w:val="20"/>
                <w:szCs w:val="20"/>
              </w:rPr>
            </w:pPr>
            <w:r w:rsidRPr="00114059">
              <w:rPr>
                <w:sz w:val="20"/>
                <w:szCs w:val="20"/>
              </w:rPr>
              <w:t>Faune</w:t>
            </w:r>
          </w:p>
        </w:tc>
        <w:tc>
          <w:tcPr>
            <w:tcW w:w="2271" w:type="dxa"/>
            <w:shd w:val="clear" w:color="auto" w:fill="auto"/>
          </w:tcPr>
          <w:p w14:paraId="097F57D5" w14:textId="77777777" w:rsidR="009021F1" w:rsidRPr="00114059" w:rsidRDefault="009021F1" w:rsidP="00E637E3">
            <w:pPr>
              <w:jc w:val="left"/>
              <w:rPr>
                <w:rFonts w:cs="Arial"/>
                <w:color w:val="000000"/>
                <w:sz w:val="20"/>
                <w:szCs w:val="20"/>
              </w:rPr>
            </w:pPr>
          </w:p>
          <w:p w14:paraId="755946AA" w14:textId="77777777" w:rsidR="009021F1" w:rsidRPr="00114059" w:rsidRDefault="009021F1" w:rsidP="00E637E3">
            <w:pPr>
              <w:jc w:val="left"/>
              <w:rPr>
                <w:rFonts w:cs="Arial"/>
                <w:color w:val="000000"/>
                <w:sz w:val="20"/>
                <w:szCs w:val="20"/>
              </w:rPr>
            </w:pPr>
          </w:p>
          <w:p w14:paraId="7CF8E21D" w14:textId="77777777" w:rsidR="009021F1" w:rsidRPr="00114059" w:rsidRDefault="009021F1" w:rsidP="00E637E3">
            <w:pPr>
              <w:jc w:val="left"/>
              <w:rPr>
                <w:rFonts w:cs="Arial"/>
                <w:color w:val="000000"/>
                <w:sz w:val="20"/>
                <w:szCs w:val="20"/>
              </w:rPr>
            </w:pPr>
            <w:r w:rsidRPr="00114059">
              <w:rPr>
                <w:rFonts w:cs="Arial"/>
                <w:color w:val="000000"/>
                <w:sz w:val="20"/>
                <w:szCs w:val="20"/>
              </w:rPr>
              <w:t xml:space="preserve">Risque des pertes de biodiversité, d’espaces agricoles et d’habitats fauniques </w:t>
            </w:r>
          </w:p>
          <w:p w14:paraId="73076433" w14:textId="77777777" w:rsidR="009021F1" w:rsidRPr="00114059" w:rsidRDefault="009021F1" w:rsidP="00E637E3">
            <w:pPr>
              <w:ind w:left="249"/>
              <w:jc w:val="left"/>
              <w:rPr>
                <w:rFonts w:cs="Arial"/>
                <w:sz w:val="20"/>
                <w:szCs w:val="20"/>
              </w:rPr>
            </w:pPr>
          </w:p>
        </w:tc>
        <w:tc>
          <w:tcPr>
            <w:tcW w:w="4975" w:type="dxa"/>
            <w:shd w:val="clear" w:color="auto" w:fill="auto"/>
          </w:tcPr>
          <w:p w14:paraId="7D9BE77E"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Réduire au minimum le déboisement et la destruction de la végétation riveraine ;</w:t>
            </w:r>
          </w:p>
          <w:p w14:paraId="610CCD6C"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Établir et entretenir des zones tampons autour des zones reconnues comme habitats fauniques, afin de minimiser l’impact des activités du projet sur ces zones et sur les animaux sauvages qu’elles abritent ;</w:t>
            </w:r>
          </w:p>
          <w:p w14:paraId="4331A3CB"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Impliquer l’ICCN avant d’entreprendre toute activité du Projet dans les zones tampons ou à l’intérieur des aires protégées ;</w:t>
            </w:r>
          </w:p>
          <w:p w14:paraId="62656A60"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Interdire la réalisation des activités dans les parcs et aires protégées ;</w:t>
            </w:r>
          </w:p>
          <w:p w14:paraId="67AED797"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Remettre en état les terrains perturbés par la construction, par l’enlèvement, le stockage et la remise en place de la couche arable pour faciliter la reconstitution des habitats fauniques.</w:t>
            </w:r>
          </w:p>
        </w:tc>
        <w:tc>
          <w:tcPr>
            <w:tcW w:w="2144" w:type="dxa"/>
            <w:shd w:val="clear" w:color="auto" w:fill="auto"/>
          </w:tcPr>
          <w:p w14:paraId="39919938"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Pendant la phase d’exécution du Programme</w:t>
            </w:r>
          </w:p>
        </w:tc>
        <w:tc>
          <w:tcPr>
            <w:tcW w:w="2109" w:type="dxa"/>
            <w:shd w:val="clear" w:color="auto" w:fill="auto"/>
          </w:tcPr>
          <w:p w14:paraId="21AFB942"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Les PME, la Mission de contrôle</w:t>
            </w:r>
          </w:p>
        </w:tc>
        <w:tc>
          <w:tcPr>
            <w:tcW w:w="2190" w:type="dxa"/>
            <w:shd w:val="clear" w:color="auto" w:fill="auto"/>
          </w:tcPr>
          <w:p w14:paraId="6D62F07E"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PNDA et ACE, CPE, OVDA et ICCN</w:t>
            </w:r>
          </w:p>
        </w:tc>
      </w:tr>
      <w:tr w:rsidR="009021F1" w:rsidRPr="00114059" w14:paraId="2E5370CE" w14:textId="77777777" w:rsidTr="00E637E3">
        <w:trPr>
          <w:trHeight w:val="1746"/>
        </w:trPr>
        <w:tc>
          <w:tcPr>
            <w:tcW w:w="1806" w:type="dxa"/>
            <w:vMerge w:val="restart"/>
            <w:shd w:val="clear" w:color="auto" w:fill="auto"/>
          </w:tcPr>
          <w:p w14:paraId="2A31AD70" w14:textId="77777777" w:rsidR="009021F1" w:rsidRPr="00114059" w:rsidRDefault="009021F1" w:rsidP="00E637E3">
            <w:pPr>
              <w:pStyle w:val="TableParagraph"/>
              <w:spacing w:line="276" w:lineRule="auto"/>
              <w:rPr>
                <w:sz w:val="20"/>
                <w:szCs w:val="20"/>
                <w:lang w:val="fr-FR"/>
              </w:rPr>
            </w:pPr>
          </w:p>
          <w:p w14:paraId="4ED76B44" w14:textId="77777777" w:rsidR="009021F1" w:rsidRPr="00114059" w:rsidRDefault="009021F1" w:rsidP="00E637E3">
            <w:pPr>
              <w:pStyle w:val="TableParagraph"/>
              <w:spacing w:line="276" w:lineRule="auto"/>
              <w:rPr>
                <w:sz w:val="20"/>
                <w:szCs w:val="20"/>
                <w:lang w:val="fr-FR"/>
              </w:rPr>
            </w:pPr>
          </w:p>
          <w:p w14:paraId="393AF7C7" w14:textId="77777777" w:rsidR="009021F1" w:rsidRPr="00114059" w:rsidRDefault="009021F1" w:rsidP="00E637E3">
            <w:pPr>
              <w:pStyle w:val="TableParagraph"/>
              <w:spacing w:line="276" w:lineRule="auto"/>
              <w:rPr>
                <w:sz w:val="20"/>
                <w:szCs w:val="20"/>
                <w:lang w:val="fr-FR"/>
              </w:rPr>
            </w:pPr>
          </w:p>
          <w:p w14:paraId="26407299" w14:textId="77777777" w:rsidR="009021F1" w:rsidRPr="00114059" w:rsidRDefault="009021F1" w:rsidP="00E637E3">
            <w:pPr>
              <w:pStyle w:val="TableParagraph"/>
              <w:spacing w:line="276" w:lineRule="auto"/>
              <w:rPr>
                <w:sz w:val="20"/>
                <w:szCs w:val="20"/>
                <w:lang w:val="fr-FR"/>
              </w:rPr>
            </w:pPr>
          </w:p>
          <w:p w14:paraId="1179213D" w14:textId="77777777" w:rsidR="009021F1" w:rsidRPr="00114059" w:rsidRDefault="009021F1" w:rsidP="00E637E3">
            <w:pPr>
              <w:pStyle w:val="TableParagraph"/>
              <w:spacing w:line="276" w:lineRule="auto"/>
              <w:rPr>
                <w:sz w:val="20"/>
                <w:szCs w:val="20"/>
                <w:lang w:val="fr-FR"/>
              </w:rPr>
            </w:pPr>
          </w:p>
          <w:p w14:paraId="6EFCE9D7" w14:textId="77777777" w:rsidR="009021F1" w:rsidRPr="00114059" w:rsidRDefault="009021F1" w:rsidP="00E637E3">
            <w:pPr>
              <w:pStyle w:val="TableParagraph"/>
              <w:spacing w:line="276" w:lineRule="auto"/>
              <w:rPr>
                <w:sz w:val="20"/>
                <w:szCs w:val="20"/>
                <w:lang w:val="fr-FR"/>
              </w:rPr>
            </w:pPr>
          </w:p>
          <w:p w14:paraId="77A3BE49" w14:textId="77777777" w:rsidR="009021F1" w:rsidRPr="00114059" w:rsidRDefault="009021F1" w:rsidP="00E637E3">
            <w:pPr>
              <w:pStyle w:val="TableParagraph"/>
              <w:spacing w:line="276" w:lineRule="auto"/>
              <w:rPr>
                <w:sz w:val="20"/>
                <w:szCs w:val="20"/>
                <w:lang w:val="fr-FR"/>
              </w:rPr>
            </w:pPr>
          </w:p>
          <w:p w14:paraId="5FC7E6FC" w14:textId="77777777" w:rsidR="009021F1" w:rsidRPr="00114059" w:rsidRDefault="009021F1" w:rsidP="00E637E3">
            <w:pPr>
              <w:pStyle w:val="TableParagraph"/>
              <w:spacing w:line="276" w:lineRule="auto"/>
              <w:rPr>
                <w:sz w:val="20"/>
                <w:szCs w:val="20"/>
                <w:lang w:val="fr-FR"/>
              </w:rPr>
            </w:pPr>
          </w:p>
          <w:p w14:paraId="12F5441E" w14:textId="77777777" w:rsidR="009021F1" w:rsidRPr="00114059" w:rsidRDefault="009021F1" w:rsidP="00E637E3">
            <w:pPr>
              <w:pStyle w:val="TableParagraph"/>
              <w:spacing w:line="276" w:lineRule="auto"/>
              <w:rPr>
                <w:sz w:val="20"/>
                <w:szCs w:val="20"/>
                <w:lang w:val="fr-FR"/>
              </w:rPr>
            </w:pPr>
          </w:p>
          <w:p w14:paraId="6642DBF5" w14:textId="77777777" w:rsidR="009021F1" w:rsidRPr="00114059" w:rsidRDefault="009021F1" w:rsidP="00E637E3">
            <w:pPr>
              <w:pStyle w:val="TableParagraph"/>
              <w:spacing w:line="276" w:lineRule="auto"/>
              <w:rPr>
                <w:sz w:val="20"/>
                <w:szCs w:val="20"/>
                <w:lang w:val="fr-FR"/>
              </w:rPr>
            </w:pPr>
          </w:p>
          <w:p w14:paraId="2DFD3486" w14:textId="77777777" w:rsidR="009021F1" w:rsidRPr="00114059" w:rsidRDefault="009021F1" w:rsidP="00E637E3">
            <w:pPr>
              <w:pStyle w:val="TableParagraph"/>
              <w:spacing w:line="276" w:lineRule="auto"/>
              <w:rPr>
                <w:sz w:val="20"/>
                <w:szCs w:val="20"/>
                <w:lang w:val="fr-FR"/>
              </w:rPr>
            </w:pPr>
          </w:p>
          <w:p w14:paraId="65D4CF72" w14:textId="77777777" w:rsidR="009021F1" w:rsidRPr="00114059" w:rsidRDefault="009021F1" w:rsidP="00E637E3">
            <w:pPr>
              <w:pStyle w:val="TableParagraph"/>
              <w:spacing w:line="276" w:lineRule="auto"/>
              <w:rPr>
                <w:sz w:val="20"/>
                <w:szCs w:val="20"/>
                <w:lang w:val="fr-FR"/>
              </w:rPr>
            </w:pPr>
          </w:p>
          <w:p w14:paraId="30272F4B" w14:textId="77777777" w:rsidR="009021F1" w:rsidRPr="00114059" w:rsidRDefault="009021F1" w:rsidP="00E637E3">
            <w:pPr>
              <w:pStyle w:val="TableParagraph"/>
              <w:spacing w:line="276" w:lineRule="auto"/>
              <w:rPr>
                <w:sz w:val="20"/>
                <w:szCs w:val="20"/>
                <w:lang w:val="fr-FR"/>
              </w:rPr>
            </w:pPr>
          </w:p>
          <w:p w14:paraId="6A4E12C8" w14:textId="77777777" w:rsidR="009021F1" w:rsidRPr="00114059" w:rsidRDefault="009021F1" w:rsidP="00E637E3">
            <w:pPr>
              <w:pStyle w:val="TableParagraph"/>
              <w:spacing w:line="276" w:lineRule="auto"/>
              <w:rPr>
                <w:sz w:val="20"/>
                <w:szCs w:val="20"/>
                <w:lang w:val="fr-FR"/>
              </w:rPr>
            </w:pPr>
          </w:p>
          <w:p w14:paraId="503367E2" w14:textId="77777777" w:rsidR="009021F1" w:rsidRPr="00114059" w:rsidRDefault="009021F1" w:rsidP="00E637E3">
            <w:pPr>
              <w:pStyle w:val="TableParagraph"/>
              <w:spacing w:line="276" w:lineRule="auto"/>
              <w:rPr>
                <w:sz w:val="20"/>
                <w:szCs w:val="20"/>
                <w:lang w:val="fr-FR"/>
              </w:rPr>
            </w:pPr>
          </w:p>
          <w:p w14:paraId="5F253226" w14:textId="77777777" w:rsidR="009021F1" w:rsidRPr="00114059" w:rsidRDefault="009021F1" w:rsidP="00E637E3">
            <w:pPr>
              <w:pStyle w:val="TableParagraph"/>
              <w:spacing w:line="276" w:lineRule="auto"/>
              <w:rPr>
                <w:sz w:val="20"/>
                <w:szCs w:val="20"/>
                <w:lang w:val="fr-FR"/>
              </w:rPr>
            </w:pPr>
          </w:p>
          <w:p w14:paraId="3101CEF9" w14:textId="77777777" w:rsidR="009021F1" w:rsidRPr="00114059" w:rsidRDefault="009021F1" w:rsidP="00E637E3">
            <w:pPr>
              <w:pStyle w:val="TableParagraph"/>
              <w:spacing w:line="276" w:lineRule="auto"/>
              <w:rPr>
                <w:sz w:val="20"/>
                <w:szCs w:val="20"/>
                <w:lang w:val="fr-FR"/>
              </w:rPr>
            </w:pPr>
          </w:p>
          <w:p w14:paraId="2D6DE0E7" w14:textId="77777777" w:rsidR="009021F1" w:rsidRPr="00114059" w:rsidRDefault="009021F1" w:rsidP="00E637E3">
            <w:pPr>
              <w:pStyle w:val="TableParagraph"/>
              <w:spacing w:line="276" w:lineRule="auto"/>
              <w:rPr>
                <w:sz w:val="20"/>
                <w:szCs w:val="20"/>
                <w:lang w:val="fr-FR"/>
              </w:rPr>
            </w:pPr>
          </w:p>
          <w:p w14:paraId="6B59CB77" w14:textId="77777777" w:rsidR="009021F1" w:rsidRPr="00114059" w:rsidRDefault="009021F1" w:rsidP="00E637E3">
            <w:pPr>
              <w:pStyle w:val="TableParagraph"/>
              <w:spacing w:line="276" w:lineRule="auto"/>
              <w:rPr>
                <w:sz w:val="20"/>
                <w:szCs w:val="20"/>
                <w:lang w:val="fr-FR"/>
              </w:rPr>
            </w:pPr>
          </w:p>
          <w:p w14:paraId="6EDF945B" w14:textId="77777777" w:rsidR="009021F1" w:rsidRPr="00114059" w:rsidRDefault="009021F1" w:rsidP="00E637E3">
            <w:pPr>
              <w:pStyle w:val="TableParagraph"/>
              <w:spacing w:line="276" w:lineRule="auto"/>
              <w:rPr>
                <w:sz w:val="20"/>
                <w:szCs w:val="20"/>
              </w:rPr>
            </w:pPr>
            <w:r w:rsidRPr="00114059">
              <w:rPr>
                <w:sz w:val="20"/>
                <w:szCs w:val="20"/>
              </w:rPr>
              <w:t>Population</w:t>
            </w:r>
          </w:p>
        </w:tc>
        <w:tc>
          <w:tcPr>
            <w:tcW w:w="2271" w:type="dxa"/>
            <w:shd w:val="clear" w:color="auto" w:fill="auto"/>
          </w:tcPr>
          <w:p w14:paraId="124B5847" w14:textId="77777777" w:rsidR="009021F1" w:rsidRPr="00114059" w:rsidRDefault="009021F1" w:rsidP="00E637E3">
            <w:pPr>
              <w:pStyle w:val="TableParagraph"/>
              <w:spacing w:line="276" w:lineRule="auto"/>
              <w:rPr>
                <w:sz w:val="20"/>
                <w:szCs w:val="20"/>
                <w:lang w:val="fr-FR"/>
              </w:rPr>
            </w:pPr>
          </w:p>
          <w:p w14:paraId="6F8660F3" w14:textId="77777777" w:rsidR="009021F1" w:rsidRPr="00114059" w:rsidRDefault="009021F1" w:rsidP="00E637E3">
            <w:pPr>
              <w:pStyle w:val="TableParagraph"/>
              <w:spacing w:line="276" w:lineRule="auto"/>
              <w:rPr>
                <w:sz w:val="20"/>
                <w:szCs w:val="20"/>
                <w:lang w:val="fr-FR"/>
              </w:rPr>
            </w:pPr>
          </w:p>
          <w:p w14:paraId="11423D38" w14:textId="77777777" w:rsidR="009021F1" w:rsidRPr="00114059" w:rsidRDefault="009021F1" w:rsidP="00E637E3">
            <w:pPr>
              <w:pStyle w:val="TableParagraph"/>
              <w:spacing w:line="276" w:lineRule="auto"/>
              <w:rPr>
                <w:sz w:val="20"/>
                <w:szCs w:val="20"/>
                <w:lang w:val="fr-FR"/>
              </w:rPr>
            </w:pPr>
          </w:p>
          <w:p w14:paraId="35335966" w14:textId="77777777" w:rsidR="009021F1" w:rsidRPr="00114059" w:rsidRDefault="009021F1" w:rsidP="00E637E3">
            <w:pPr>
              <w:pStyle w:val="TableParagraph"/>
              <w:spacing w:line="276" w:lineRule="auto"/>
              <w:rPr>
                <w:sz w:val="20"/>
                <w:szCs w:val="20"/>
                <w:lang w:val="fr-FR"/>
              </w:rPr>
            </w:pPr>
          </w:p>
          <w:p w14:paraId="0DF95F8C" w14:textId="77777777" w:rsidR="009021F1" w:rsidRPr="00114059" w:rsidRDefault="009021F1" w:rsidP="00E637E3">
            <w:pPr>
              <w:pStyle w:val="TableParagraph"/>
              <w:spacing w:line="276" w:lineRule="auto"/>
              <w:rPr>
                <w:sz w:val="20"/>
                <w:szCs w:val="20"/>
                <w:lang w:val="fr-FR"/>
              </w:rPr>
            </w:pPr>
          </w:p>
          <w:p w14:paraId="32D327E5" w14:textId="77777777" w:rsidR="009021F1" w:rsidRPr="00114059" w:rsidRDefault="009021F1" w:rsidP="00E637E3">
            <w:pPr>
              <w:pStyle w:val="TableParagraph"/>
              <w:spacing w:line="276" w:lineRule="auto"/>
              <w:rPr>
                <w:sz w:val="20"/>
                <w:szCs w:val="20"/>
                <w:lang w:val="fr-FR"/>
              </w:rPr>
            </w:pPr>
          </w:p>
          <w:p w14:paraId="69AE5235" w14:textId="77777777" w:rsidR="009021F1" w:rsidRPr="00114059" w:rsidRDefault="009021F1" w:rsidP="00E637E3">
            <w:pPr>
              <w:pStyle w:val="TableParagraph"/>
              <w:spacing w:line="276" w:lineRule="auto"/>
              <w:rPr>
                <w:sz w:val="20"/>
                <w:szCs w:val="20"/>
                <w:lang w:val="fr-FR"/>
              </w:rPr>
            </w:pPr>
            <w:r w:rsidRPr="00114059">
              <w:rPr>
                <w:sz w:val="20"/>
                <w:szCs w:val="20"/>
                <w:lang w:val="fr-FR"/>
              </w:rPr>
              <w:t>Déplacement involontaire des populations</w:t>
            </w:r>
          </w:p>
        </w:tc>
        <w:tc>
          <w:tcPr>
            <w:tcW w:w="4975" w:type="dxa"/>
            <w:shd w:val="clear" w:color="auto" w:fill="auto"/>
          </w:tcPr>
          <w:p w14:paraId="5F94A92C"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S’entendre avec la population sur les modalités relatives à la réinstallation et respecter les engagements de cette entente ;</w:t>
            </w:r>
          </w:p>
          <w:p w14:paraId="652AE8BB"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Développer et mettre en œuvre un plan d’action de réinstallation et s’assurer que l’indemnisation s’effectue équitablement et dans la transparence au profit des hommes et des femmes ayant perdu des terrains, des maisons, des cultures ou autres actifs et usages ;</w:t>
            </w:r>
          </w:p>
          <w:p w14:paraId="3A2F2F6A"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S’assurer que les personnes déplacées sont réinstallées dans des conditions équivalentes ou meilleures ;</w:t>
            </w:r>
          </w:p>
          <w:p w14:paraId="3F3ADB69"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S’assurer que les indemnisations soient payées avant le début des travaux ;</w:t>
            </w:r>
          </w:p>
          <w:p w14:paraId="5000262F"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Impliquer les PA (hommes et femmes) dans les activités du Projet ;</w:t>
            </w:r>
          </w:p>
          <w:p w14:paraId="30C5A727" w14:textId="77777777" w:rsidR="009021F1" w:rsidRPr="002C5EA5"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Mettre en place un UNCP spécifique au PA</w:t>
            </w:r>
            <w:r w:rsidRPr="002C5EA5">
              <w:rPr>
                <w:sz w:val="20"/>
                <w:szCs w:val="20"/>
                <w:lang w:val="fr-FR"/>
              </w:rPr>
              <w:t>.</w:t>
            </w:r>
          </w:p>
        </w:tc>
        <w:tc>
          <w:tcPr>
            <w:tcW w:w="2144" w:type="dxa"/>
            <w:shd w:val="clear" w:color="auto" w:fill="auto"/>
          </w:tcPr>
          <w:p w14:paraId="29AA40FC"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Pendant la phase d’exécution du Programme</w:t>
            </w:r>
          </w:p>
        </w:tc>
        <w:tc>
          <w:tcPr>
            <w:tcW w:w="2109" w:type="dxa"/>
            <w:shd w:val="clear" w:color="auto" w:fill="auto"/>
          </w:tcPr>
          <w:p w14:paraId="038BD7C5"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Les PME, la Mission de contrôle</w:t>
            </w:r>
          </w:p>
        </w:tc>
        <w:tc>
          <w:tcPr>
            <w:tcW w:w="2190" w:type="dxa"/>
            <w:shd w:val="clear" w:color="auto" w:fill="auto"/>
          </w:tcPr>
          <w:p w14:paraId="26E15A57"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PNDA et ACE, CPE, OVDA, RVF, ICCN</w:t>
            </w:r>
          </w:p>
        </w:tc>
      </w:tr>
      <w:tr w:rsidR="009021F1" w:rsidRPr="00114059" w14:paraId="4C919D5C" w14:textId="77777777" w:rsidTr="00E637E3">
        <w:trPr>
          <w:trHeight w:val="2541"/>
        </w:trPr>
        <w:tc>
          <w:tcPr>
            <w:tcW w:w="1806" w:type="dxa"/>
            <w:vMerge/>
            <w:shd w:val="clear" w:color="auto" w:fill="auto"/>
          </w:tcPr>
          <w:p w14:paraId="521B6753" w14:textId="77777777" w:rsidR="009021F1" w:rsidRPr="00114059" w:rsidRDefault="009021F1" w:rsidP="00E637E3">
            <w:pPr>
              <w:pStyle w:val="TableParagraph"/>
              <w:spacing w:line="276" w:lineRule="auto"/>
              <w:rPr>
                <w:sz w:val="20"/>
                <w:szCs w:val="20"/>
                <w:lang w:val="fr-FR"/>
              </w:rPr>
            </w:pPr>
          </w:p>
        </w:tc>
        <w:tc>
          <w:tcPr>
            <w:tcW w:w="2271" w:type="dxa"/>
            <w:shd w:val="clear" w:color="auto" w:fill="auto"/>
          </w:tcPr>
          <w:p w14:paraId="0057C8DA" w14:textId="77777777" w:rsidR="009021F1" w:rsidRPr="00114059" w:rsidRDefault="009021F1" w:rsidP="00E637E3">
            <w:pPr>
              <w:pStyle w:val="TableParagraph"/>
              <w:spacing w:line="276" w:lineRule="auto"/>
              <w:rPr>
                <w:sz w:val="20"/>
                <w:szCs w:val="20"/>
                <w:lang w:val="fr-FR"/>
              </w:rPr>
            </w:pPr>
            <w:r w:rsidRPr="00114059">
              <w:rPr>
                <w:spacing w:val="-2"/>
                <w:sz w:val="20"/>
                <w:szCs w:val="20"/>
                <w:lang w:val="fr-FR"/>
              </w:rPr>
              <w:t>R</w:t>
            </w:r>
            <w:r w:rsidRPr="00114059" w:rsidDel="00F63752">
              <w:rPr>
                <w:spacing w:val="-2"/>
                <w:sz w:val="20"/>
                <w:szCs w:val="20"/>
                <w:lang w:val="fr-FR"/>
              </w:rPr>
              <w:t>isque de non implication des populations autochtones et d’autres groupes vulnérables comme les personnes vivant avec handicap, les vieillards, les jeunes filles/femmes</w:t>
            </w:r>
            <w:r w:rsidRPr="00114059">
              <w:rPr>
                <w:spacing w:val="-2"/>
                <w:sz w:val="20"/>
                <w:szCs w:val="20"/>
                <w:lang w:val="fr-FR"/>
              </w:rPr>
              <w:t>, etc.</w:t>
            </w:r>
          </w:p>
        </w:tc>
        <w:tc>
          <w:tcPr>
            <w:tcW w:w="4975" w:type="dxa"/>
            <w:shd w:val="clear" w:color="auto" w:fill="auto"/>
          </w:tcPr>
          <w:p w14:paraId="42C103AD"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Impliquer les populations autochtones et autres groupes vulnérables à la prise de décision avant d’entreprendre toute activité les concernant.</w:t>
            </w:r>
          </w:p>
          <w:p w14:paraId="01B6CB56"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Assurer des consultations indépendantes avec les populations vulnérables, y compris les femmes dans des conditions sûres et confidentielles.</w:t>
            </w:r>
          </w:p>
        </w:tc>
        <w:tc>
          <w:tcPr>
            <w:tcW w:w="2144" w:type="dxa"/>
            <w:shd w:val="clear" w:color="auto" w:fill="auto"/>
          </w:tcPr>
          <w:p w14:paraId="5CA348AE"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Pendant la phase d’exécution du Programme</w:t>
            </w:r>
          </w:p>
        </w:tc>
        <w:tc>
          <w:tcPr>
            <w:tcW w:w="2109" w:type="dxa"/>
            <w:shd w:val="clear" w:color="auto" w:fill="auto"/>
          </w:tcPr>
          <w:p w14:paraId="7F281C04"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Les PME, la Mission de contrôle</w:t>
            </w:r>
          </w:p>
        </w:tc>
        <w:tc>
          <w:tcPr>
            <w:tcW w:w="2190" w:type="dxa"/>
            <w:shd w:val="clear" w:color="auto" w:fill="auto"/>
          </w:tcPr>
          <w:p w14:paraId="40C7D05F"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PNDA et ACE, CPE, OVDA</w:t>
            </w:r>
          </w:p>
        </w:tc>
      </w:tr>
      <w:tr w:rsidR="009021F1" w:rsidRPr="00114059" w14:paraId="3EA3DE55" w14:textId="77777777" w:rsidTr="00E637E3">
        <w:trPr>
          <w:trHeight w:val="1350"/>
        </w:trPr>
        <w:tc>
          <w:tcPr>
            <w:tcW w:w="1806" w:type="dxa"/>
            <w:vMerge/>
            <w:shd w:val="clear" w:color="auto" w:fill="auto"/>
          </w:tcPr>
          <w:p w14:paraId="094EABE4" w14:textId="77777777" w:rsidR="009021F1" w:rsidRPr="00114059" w:rsidRDefault="009021F1" w:rsidP="00E637E3">
            <w:pPr>
              <w:rPr>
                <w:rFonts w:cs="Arial"/>
                <w:sz w:val="20"/>
                <w:szCs w:val="20"/>
              </w:rPr>
            </w:pPr>
          </w:p>
        </w:tc>
        <w:tc>
          <w:tcPr>
            <w:tcW w:w="2271" w:type="dxa"/>
            <w:shd w:val="clear" w:color="auto" w:fill="auto"/>
          </w:tcPr>
          <w:p w14:paraId="2A24F8A9" w14:textId="77777777" w:rsidR="009021F1" w:rsidRPr="00114059" w:rsidRDefault="009021F1" w:rsidP="00E637E3">
            <w:pPr>
              <w:pStyle w:val="TableParagraph"/>
              <w:spacing w:line="276" w:lineRule="auto"/>
              <w:ind w:right="130"/>
              <w:rPr>
                <w:sz w:val="20"/>
                <w:szCs w:val="20"/>
                <w:lang w:val="fr-FR"/>
              </w:rPr>
            </w:pPr>
            <w:r w:rsidRPr="00114059">
              <w:rPr>
                <w:sz w:val="20"/>
                <w:szCs w:val="20"/>
                <w:lang w:val="fr-FR"/>
              </w:rPr>
              <w:t>Augmentation de la population suite à la migration de travailleurs non- résidents.</w:t>
            </w:r>
          </w:p>
        </w:tc>
        <w:tc>
          <w:tcPr>
            <w:tcW w:w="4975" w:type="dxa"/>
            <w:shd w:val="clear" w:color="auto" w:fill="auto"/>
          </w:tcPr>
          <w:p w14:paraId="67643306"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Elaborer et mettre en œuvre un PGMO ;</w:t>
            </w:r>
          </w:p>
          <w:p w14:paraId="0A065FE6"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Prévoir des logements adéquats pour les travailleurs non- résidents ;</w:t>
            </w:r>
          </w:p>
          <w:p w14:paraId="3199B18E"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Fournir à ces travailleurs les infrastructures (logements, toilettes ou latrines et douche pour l’hygiène corporelle) et services dont ils ont besoin.</w:t>
            </w:r>
          </w:p>
          <w:p w14:paraId="703D547F"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 xml:space="preserve">employer la main-d’œuvre locale dans la mesure du possible ; </w:t>
            </w:r>
          </w:p>
          <w:p w14:paraId="7BDF8A03"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 xml:space="preserve">assurer l’accès aux services de santé et sociaux ; </w:t>
            </w:r>
          </w:p>
          <w:p w14:paraId="49BE9B49"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 xml:space="preserve">mener des campagnes de sensibilisation ; </w:t>
            </w:r>
          </w:p>
          <w:p w14:paraId="305825A6"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Elaborer un code de bonne conduite, qui doit être connu de tous les travailleurs;</w:t>
            </w:r>
          </w:p>
          <w:p w14:paraId="40A91AE2"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Traduire le code de bonne conduite en langue locale (Lingala, Swahili, Tshiluba et Kikongo) et l’afficher sur le chantier</w:t>
            </w:r>
          </w:p>
          <w:p w14:paraId="3279382E"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Sensibiliser les travailleurs au respect du code de bonne conduite sur le chantier et à la base vie ;</w:t>
            </w:r>
          </w:p>
          <w:p w14:paraId="6F6CFBA6"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Fournir un contrat de travail aux ouvriers</w:t>
            </w:r>
          </w:p>
          <w:p w14:paraId="42FEFF53"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Mesures liées à l’afflux de main d’œuvre;</w:t>
            </w:r>
          </w:p>
        </w:tc>
        <w:tc>
          <w:tcPr>
            <w:tcW w:w="2144" w:type="dxa"/>
            <w:shd w:val="clear" w:color="auto" w:fill="auto"/>
          </w:tcPr>
          <w:p w14:paraId="4B95DBE8"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Pendant la phase d’exécution du Programme</w:t>
            </w:r>
          </w:p>
        </w:tc>
        <w:tc>
          <w:tcPr>
            <w:tcW w:w="2109" w:type="dxa"/>
            <w:shd w:val="clear" w:color="auto" w:fill="auto"/>
          </w:tcPr>
          <w:p w14:paraId="4F223B6E"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Les PME, la Mission de contrôle</w:t>
            </w:r>
          </w:p>
        </w:tc>
        <w:tc>
          <w:tcPr>
            <w:tcW w:w="2190" w:type="dxa"/>
            <w:shd w:val="clear" w:color="auto" w:fill="auto"/>
          </w:tcPr>
          <w:p w14:paraId="6F4ED73B"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PNDA et ACE, CPE, OVDA</w:t>
            </w:r>
          </w:p>
        </w:tc>
      </w:tr>
      <w:tr w:rsidR="009021F1" w:rsidRPr="00114059" w14:paraId="355CF536" w14:textId="77777777" w:rsidTr="00E637E3">
        <w:trPr>
          <w:trHeight w:val="817"/>
        </w:trPr>
        <w:tc>
          <w:tcPr>
            <w:tcW w:w="1806" w:type="dxa"/>
            <w:vMerge/>
            <w:shd w:val="clear" w:color="auto" w:fill="auto"/>
          </w:tcPr>
          <w:p w14:paraId="2F952BEF" w14:textId="77777777" w:rsidR="009021F1" w:rsidRPr="00114059" w:rsidRDefault="009021F1" w:rsidP="00E637E3">
            <w:pPr>
              <w:rPr>
                <w:rFonts w:cs="Arial"/>
                <w:sz w:val="20"/>
                <w:szCs w:val="20"/>
              </w:rPr>
            </w:pPr>
          </w:p>
        </w:tc>
        <w:tc>
          <w:tcPr>
            <w:tcW w:w="2271" w:type="dxa"/>
            <w:shd w:val="clear" w:color="auto" w:fill="auto"/>
          </w:tcPr>
          <w:p w14:paraId="08C34D7D" w14:textId="77777777" w:rsidR="009021F1" w:rsidRPr="00114059" w:rsidRDefault="009021F1" w:rsidP="00E637E3">
            <w:pPr>
              <w:jc w:val="left"/>
              <w:rPr>
                <w:rFonts w:cs="Arial"/>
                <w:sz w:val="20"/>
                <w:szCs w:val="20"/>
              </w:rPr>
            </w:pPr>
            <w:r w:rsidRPr="00114059">
              <w:rPr>
                <w:rFonts w:cs="Arial"/>
                <w:color w:val="000000"/>
                <w:sz w:val="20"/>
                <w:szCs w:val="20"/>
              </w:rPr>
              <w:t>R</w:t>
            </w:r>
            <w:r w:rsidRPr="00114059" w:rsidDel="00F63752">
              <w:rPr>
                <w:rFonts w:cs="Arial"/>
                <w:color w:val="000000"/>
                <w:sz w:val="20"/>
                <w:szCs w:val="20"/>
              </w:rPr>
              <w:t>isque de conflits sociaux entre les ménages sélectionnés</w:t>
            </w:r>
            <w:r w:rsidRPr="00114059">
              <w:rPr>
                <w:rFonts w:cs="Arial"/>
                <w:color w:val="000000"/>
                <w:sz w:val="20"/>
                <w:szCs w:val="20"/>
              </w:rPr>
              <w:t xml:space="preserve"> bénéficiaires</w:t>
            </w:r>
            <w:r w:rsidRPr="00114059" w:rsidDel="00F63752">
              <w:rPr>
                <w:rFonts w:cs="Arial"/>
                <w:color w:val="000000"/>
                <w:sz w:val="20"/>
                <w:szCs w:val="20"/>
              </w:rPr>
              <w:t xml:space="preserve"> </w:t>
            </w:r>
            <w:r w:rsidRPr="00114059">
              <w:rPr>
                <w:rFonts w:cs="Arial"/>
                <w:color w:val="000000"/>
                <w:sz w:val="20"/>
                <w:szCs w:val="20"/>
              </w:rPr>
              <w:t xml:space="preserve">des intrants et autres subventions (aides) </w:t>
            </w:r>
            <w:r w:rsidRPr="00114059" w:rsidDel="00F63752">
              <w:rPr>
                <w:rFonts w:cs="Arial"/>
                <w:color w:val="000000"/>
                <w:sz w:val="20"/>
                <w:szCs w:val="20"/>
              </w:rPr>
              <w:t>et non sélectionnés, où</w:t>
            </w:r>
            <w:r w:rsidRPr="00114059">
              <w:rPr>
                <w:rFonts w:cs="Arial"/>
                <w:color w:val="000000"/>
                <w:sz w:val="20"/>
                <w:szCs w:val="20"/>
              </w:rPr>
              <w:t xml:space="preserve"> l’on rencontre</w:t>
            </w:r>
            <w:r w:rsidRPr="00114059" w:rsidDel="00F63752">
              <w:rPr>
                <w:rFonts w:cs="Arial"/>
                <w:color w:val="000000"/>
                <w:sz w:val="20"/>
                <w:szCs w:val="20"/>
              </w:rPr>
              <w:t xml:space="preserve"> les femmes sont chef</w:t>
            </w:r>
            <w:r w:rsidRPr="00114059">
              <w:rPr>
                <w:rFonts w:cs="Arial"/>
                <w:color w:val="000000"/>
                <w:sz w:val="20"/>
                <w:szCs w:val="20"/>
              </w:rPr>
              <w:t>fes</w:t>
            </w:r>
            <w:r w:rsidRPr="00114059" w:rsidDel="00F63752">
              <w:rPr>
                <w:rFonts w:cs="Arial"/>
                <w:color w:val="000000"/>
                <w:sz w:val="20"/>
                <w:szCs w:val="20"/>
              </w:rPr>
              <w:t xml:space="preserve"> de </w:t>
            </w:r>
            <w:r w:rsidRPr="00114059">
              <w:rPr>
                <w:rFonts w:cs="Arial"/>
                <w:color w:val="000000"/>
                <w:sz w:val="20"/>
                <w:szCs w:val="20"/>
              </w:rPr>
              <w:t>famille.</w:t>
            </w:r>
          </w:p>
        </w:tc>
        <w:tc>
          <w:tcPr>
            <w:tcW w:w="4975" w:type="dxa"/>
            <w:shd w:val="clear" w:color="auto" w:fill="auto"/>
          </w:tcPr>
          <w:p w14:paraId="478069D5"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Sélectionner équitablement les ménages éligibles bénéficiaires des intrants agricoles et autres aides aux petits exploitants agricoles en tenant compte de la vulnérabilité des femmes cheffes de famille ;</w:t>
            </w:r>
          </w:p>
          <w:p w14:paraId="2468FDC7"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Mettre en place le MGP du PNDA, en tenant compte des procédures spécifiques à la gestion éthique et confidentielle des plaintes liées à l’EAS/HS</w:t>
            </w:r>
          </w:p>
          <w:p w14:paraId="6ADC7642"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créer un plan visant à assurer une sélection équitable des bénéficiaires (y compris des critères de sélection) et établir un nombre cible de bénéficiaires qui sont des femmes chef de famille.</w:t>
            </w:r>
          </w:p>
        </w:tc>
        <w:tc>
          <w:tcPr>
            <w:tcW w:w="2144" w:type="dxa"/>
            <w:shd w:val="clear" w:color="auto" w:fill="auto"/>
          </w:tcPr>
          <w:p w14:paraId="26B1C04F"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Pendant la phase d’exécution du Programme</w:t>
            </w:r>
          </w:p>
        </w:tc>
        <w:tc>
          <w:tcPr>
            <w:tcW w:w="2109" w:type="dxa"/>
            <w:shd w:val="clear" w:color="auto" w:fill="auto"/>
          </w:tcPr>
          <w:p w14:paraId="0C2B53C5"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Les PME, la Mission de contrôle</w:t>
            </w:r>
          </w:p>
        </w:tc>
        <w:tc>
          <w:tcPr>
            <w:tcW w:w="2190" w:type="dxa"/>
            <w:shd w:val="clear" w:color="auto" w:fill="auto"/>
          </w:tcPr>
          <w:p w14:paraId="75396176"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PNDA et ACE, CPE, OVDA et administration locale</w:t>
            </w:r>
          </w:p>
        </w:tc>
      </w:tr>
      <w:tr w:rsidR="009021F1" w:rsidRPr="00114059" w14:paraId="4F56F177" w14:textId="77777777" w:rsidTr="00E637E3">
        <w:trPr>
          <w:trHeight w:val="1350"/>
        </w:trPr>
        <w:tc>
          <w:tcPr>
            <w:tcW w:w="1806" w:type="dxa"/>
            <w:vMerge/>
            <w:shd w:val="clear" w:color="auto" w:fill="auto"/>
          </w:tcPr>
          <w:p w14:paraId="4A37F082" w14:textId="77777777" w:rsidR="009021F1" w:rsidRPr="00114059" w:rsidRDefault="009021F1" w:rsidP="00E637E3">
            <w:pPr>
              <w:rPr>
                <w:rFonts w:cs="Arial"/>
                <w:sz w:val="20"/>
                <w:szCs w:val="20"/>
              </w:rPr>
            </w:pPr>
          </w:p>
        </w:tc>
        <w:tc>
          <w:tcPr>
            <w:tcW w:w="2271" w:type="dxa"/>
            <w:shd w:val="clear" w:color="auto" w:fill="auto"/>
          </w:tcPr>
          <w:p w14:paraId="5F128789" w14:textId="77777777" w:rsidR="009021F1" w:rsidRPr="00114059" w:rsidRDefault="009021F1" w:rsidP="00E637E3">
            <w:pPr>
              <w:jc w:val="left"/>
              <w:rPr>
                <w:rFonts w:cs="Arial"/>
                <w:color w:val="000000"/>
                <w:sz w:val="20"/>
                <w:szCs w:val="20"/>
              </w:rPr>
            </w:pPr>
            <w:r w:rsidRPr="00114059">
              <w:rPr>
                <w:rFonts w:cs="Arial"/>
                <w:color w:val="000000"/>
                <w:sz w:val="20"/>
                <w:szCs w:val="20"/>
              </w:rPr>
              <w:t>Risque des conflits sociaux en cas de transformation des systèmes fonciers traditionnels.</w:t>
            </w:r>
          </w:p>
        </w:tc>
        <w:tc>
          <w:tcPr>
            <w:tcW w:w="4975" w:type="dxa"/>
            <w:shd w:val="clear" w:color="auto" w:fill="auto"/>
          </w:tcPr>
          <w:p w14:paraId="64E68A94"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 xml:space="preserve">Veuillez au respect des us et coutumes moins rétrogrades et en faveur de la femme et la jeune fille en organisant des plaidoyers avec les leaders coutumiers et religieux ; </w:t>
            </w:r>
          </w:p>
          <w:p w14:paraId="7B5F3A9C"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Privilégier le dialogue et la résolution à l’amiable en cas des différends pour les plaintes globales (toujours en dehors des cas de VBG, EAS, et HS) ;</w:t>
            </w:r>
          </w:p>
          <w:p w14:paraId="0F5873A0"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Mettre en place le MGP du PNDA pour les plaintes globales et une sous-commission VBG/EAS/HS du MGP qui tiendra compte, des procédures spécifiques à la gestion éthique et confidentielle des plaintes liées à l’EAS/HS</w:t>
            </w:r>
          </w:p>
        </w:tc>
        <w:tc>
          <w:tcPr>
            <w:tcW w:w="2144" w:type="dxa"/>
            <w:shd w:val="clear" w:color="auto" w:fill="auto"/>
          </w:tcPr>
          <w:p w14:paraId="4F588BD4"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Pendant la phase d’exécution du Programme</w:t>
            </w:r>
          </w:p>
        </w:tc>
        <w:tc>
          <w:tcPr>
            <w:tcW w:w="2109" w:type="dxa"/>
            <w:shd w:val="clear" w:color="auto" w:fill="auto"/>
          </w:tcPr>
          <w:p w14:paraId="12F92187"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Les PME, la Mission de contrôle</w:t>
            </w:r>
          </w:p>
        </w:tc>
        <w:tc>
          <w:tcPr>
            <w:tcW w:w="2190" w:type="dxa"/>
            <w:shd w:val="clear" w:color="auto" w:fill="auto"/>
          </w:tcPr>
          <w:p w14:paraId="7A8805E4"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PNDA et ACE, CPE, OVDA et administration locale</w:t>
            </w:r>
          </w:p>
        </w:tc>
      </w:tr>
      <w:tr w:rsidR="009021F1" w:rsidRPr="00114059" w14:paraId="1E609437" w14:textId="77777777" w:rsidTr="00E637E3">
        <w:trPr>
          <w:trHeight w:val="736"/>
        </w:trPr>
        <w:tc>
          <w:tcPr>
            <w:tcW w:w="1806" w:type="dxa"/>
            <w:vMerge/>
            <w:shd w:val="clear" w:color="auto" w:fill="auto"/>
          </w:tcPr>
          <w:p w14:paraId="557A42F6" w14:textId="77777777" w:rsidR="009021F1" w:rsidRPr="00114059" w:rsidRDefault="009021F1" w:rsidP="00E637E3">
            <w:pPr>
              <w:rPr>
                <w:rFonts w:cs="Arial"/>
                <w:sz w:val="20"/>
                <w:szCs w:val="20"/>
              </w:rPr>
            </w:pPr>
          </w:p>
        </w:tc>
        <w:tc>
          <w:tcPr>
            <w:tcW w:w="2271" w:type="dxa"/>
            <w:shd w:val="clear" w:color="auto" w:fill="auto"/>
          </w:tcPr>
          <w:p w14:paraId="4E67C450" w14:textId="77777777" w:rsidR="009021F1" w:rsidRPr="00114059" w:rsidRDefault="009021F1" w:rsidP="00E637E3">
            <w:pPr>
              <w:jc w:val="left"/>
              <w:rPr>
                <w:rFonts w:cs="Arial"/>
                <w:color w:val="000000"/>
                <w:sz w:val="20"/>
                <w:szCs w:val="20"/>
              </w:rPr>
            </w:pPr>
            <w:r w:rsidRPr="00114059">
              <w:rPr>
                <w:rFonts w:cs="Arial"/>
                <w:color w:val="000000"/>
                <w:sz w:val="20"/>
                <w:szCs w:val="20"/>
              </w:rPr>
              <w:t>N</w:t>
            </w:r>
            <w:r w:rsidRPr="00114059" w:rsidDel="00F63752">
              <w:rPr>
                <w:rFonts w:cs="Arial"/>
                <w:color w:val="000000"/>
                <w:sz w:val="20"/>
                <w:szCs w:val="20"/>
              </w:rPr>
              <w:t>on-respect des critères de sélection des ménages éligibles</w:t>
            </w:r>
          </w:p>
        </w:tc>
        <w:tc>
          <w:tcPr>
            <w:tcW w:w="4975" w:type="dxa"/>
            <w:shd w:val="clear" w:color="auto" w:fill="auto"/>
          </w:tcPr>
          <w:p w14:paraId="7DE30EF2"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 xml:space="preserve">Respecter des critères établis pour la sélection des ménages éligibles bénéficiaires des intrants agricoles et autres subventions (aides) </w:t>
            </w:r>
          </w:p>
        </w:tc>
        <w:tc>
          <w:tcPr>
            <w:tcW w:w="2144" w:type="dxa"/>
            <w:shd w:val="clear" w:color="auto" w:fill="auto"/>
          </w:tcPr>
          <w:p w14:paraId="0AC14A9C"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Pendant la phase d’exécution du Programme</w:t>
            </w:r>
          </w:p>
        </w:tc>
        <w:tc>
          <w:tcPr>
            <w:tcW w:w="2109" w:type="dxa"/>
            <w:shd w:val="clear" w:color="auto" w:fill="auto"/>
          </w:tcPr>
          <w:p w14:paraId="3457FD57"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Les PME, la Mission de contrôle</w:t>
            </w:r>
          </w:p>
        </w:tc>
        <w:tc>
          <w:tcPr>
            <w:tcW w:w="2190" w:type="dxa"/>
            <w:shd w:val="clear" w:color="auto" w:fill="auto"/>
          </w:tcPr>
          <w:p w14:paraId="2E9ED510"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PNDA et ACE, CPE, OVDA et administration locale</w:t>
            </w:r>
          </w:p>
        </w:tc>
      </w:tr>
      <w:tr w:rsidR="009021F1" w:rsidRPr="00114059" w14:paraId="30AB1775" w14:textId="77777777" w:rsidTr="00E637E3">
        <w:trPr>
          <w:trHeight w:val="1350"/>
        </w:trPr>
        <w:tc>
          <w:tcPr>
            <w:tcW w:w="1806" w:type="dxa"/>
            <w:vMerge/>
            <w:shd w:val="clear" w:color="auto" w:fill="auto"/>
          </w:tcPr>
          <w:p w14:paraId="7A22CDCE" w14:textId="77777777" w:rsidR="009021F1" w:rsidRPr="00114059" w:rsidRDefault="009021F1" w:rsidP="00E637E3">
            <w:pPr>
              <w:rPr>
                <w:rFonts w:cs="Arial"/>
                <w:sz w:val="20"/>
                <w:szCs w:val="20"/>
              </w:rPr>
            </w:pPr>
          </w:p>
        </w:tc>
        <w:tc>
          <w:tcPr>
            <w:tcW w:w="2271" w:type="dxa"/>
            <w:shd w:val="clear" w:color="auto" w:fill="auto"/>
          </w:tcPr>
          <w:p w14:paraId="243E5126" w14:textId="77777777" w:rsidR="009021F1" w:rsidRPr="00114059" w:rsidRDefault="009021F1" w:rsidP="00E637E3">
            <w:pPr>
              <w:jc w:val="left"/>
              <w:rPr>
                <w:rFonts w:cs="Arial"/>
                <w:color w:val="000000"/>
                <w:sz w:val="20"/>
                <w:szCs w:val="20"/>
              </w:rPr>
            </w:pPr>
            <w:r w:rsidRPr="00114059">
              <w:rPr>
                <w:rFonts w:cs="Arial"/>
                <w:color w:val="000000"/>
                <w:sz w:val="20"/>
                <w:szCs w:val="20"/>
              </w:rPr>
              <w:t>R</w:t>
            </w:r>
            <w:r w:rsidRPr="00114059" w:rsidDel="00F63752">
              <w:rPr>
                <w:rFonts w:cs="Arial"/>
                <w:color w:val="000000"/>
                <w:sz w:val="20"/>
                <w:szCs w:val="20"/>
              </w:rPr>
              <w:t>isque de la discrimination des populations autochtones lors de la sélection des ménages vulnérables</w:t>
            </w:r>
            <w:r w:rsidRPr="00114059">
              <w:rPr>
                <w:rFonts w:cs="Arial"/>
                <w:color w:val="000000"/>
                <w:sz w:val="20"/>
                <w:szCs w:val="20"/>
              </w:rPr>
              <w:t> </w:t>
            </w:r>
          </w:p>
        </w:tc>
        <w:tc>
          <w:tcPr>
            <w:tcW w:w="4975" w:type="dxa"/>
            <w:shd w:val="clear" w:color="auto" w:fill="auto"/>
          </w:tcPr>
          <w:p w14:paraId="05BBD548"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Impliquer régulièrement et sans discrimination les PA dans toutes activités du PNDA les concernant ;</w:t>
            </w:r>
          </w:p>
          <w:p w14:paraId="11F1E0A8"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Sélectionner équitablement les ménages PA éligibles bénéficiaires des intrants agricoles et autres aides en tenant compte de leur vulnérabilité ;</w:t>
            </w:r>
          </w:p>
          <w:p w14:paraId="07445B09"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Mettre en place le MGP spécifique aux PA ;</w:t>
            </w:r>
          </w:p>
        </w:tc>
        <w:tc>
          <w:tcPr>
            <w:tcW w:w="2144" w:type="dxa"/>
            <w:shd w:val="clear" w:color="auto" w:fill="auto"/>
          </w:tcPr>
          <w:p w14:paraId="64651F1D"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Pendant la phase d’exécution du Programme</w:t>
            </w:r>
          </w:p>
        </w:tc>
        <w:tc>
          <w:tcPr>
            <w:tcW w:w="2109" w:type="dxa"/>
            <w:shd w:val="clear" w:color="auto" w:fill="auto"/>
          </w:tcPr>
          <w:p w14:paraId="16679A3E"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Les PME, la Mission de contrôle</w:t>
            </w:r>
          </w:p>
        </w:tc>
        <w:tc>
          <w:tcPr>
            <w:tcW w:w="2190" w:type="dxa"/>
            <w:shd w:val="clear" w:color="auto" w:fill="auto"/>
          </w:tcPr>
          <w:p w14:paraId="1F94F5EC"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PNDA et ACE, CPE, OVDA et administration locale</w:t>
            </w:r>
          </w:p>
        </w:tc>
      </w:tr>
      <w:tr w:rsidR="009021F1" w:rsidRPr="00114059" w14:paraId="69E09E87" w14:textId="77777777" w:rsidTr="00E637E3">
        <w:trPr>
          <w:trHeight w:val="880"/>
        </w:trPr>
        <w:tc>
          <w:tcPr>
            <w:tcW w:w="1806" w:type="dxa"/>
            <w:vMerge/>
            <w:shd w:val="clear" w:color="auto" w:fill="auto"/>
          </w:tcPr>
          <w:p w14:paraId="2EAFAA3D" w14:textId="77777777" w:rsidR="009021F1" w:rsidRPr="00114059" w:rsidRDefault="009021F1" w:rsidP="00E637E3">
            <w:pPr>
              <w:rPr>
                <w:rFonts w:cs="Arial"/>
                <w:sz w:val="20"/>
                <w:szCs w:val="20"/>
              </w:rPr>
            </w:pPr>
          </w:p>
        </w:tc>
        <w:tc>
          <w:tcPr>
            <w:tcW w:w="2271" w:type="dxa"/>
            <w:shd w:val="clear" w:color="auto" w:fill="auto"/>
          </w:tcPr>
          <w:p w14:paraId="2422AB9F" w14:textId="77777777" w:rsidR="009021F1" w:rsidRPr="00114059" w:rsidRDefault="009021F1" w:rsidP="00E637E3">
            <w:pPr>
              <w:jc w:val="left"/>
              <w:rPr>
                <w:rFonts w:cs="Arial"/>
                <w:sz w:val="20"/>
                <w:szCs w:val="20"/>
              </w:rPr>
            </w:pPr>
            <w:r w:rsidRPr="00114059">
              <w:rPr>
                <w:rFonts w:cs="Arial"/>
                <w:color w:val="000000"/>
                <w:sz w:val="20"/>
                <w:szCs w:val="20"/>
              </w:rPr>
              <w:t>R</w:t>
            </w:r>
            <w:r w:rsidRPr="00114059" w:rsidDel="00F63752">
              <w:rPr>
                <w:rFonts w:cs="Arial"/>
                <w:color w:val="000000"/>
                <w:sz w:val="20"/>
                <w:szCs w:val="20"/>
              </w:rPr>
              <w:t>isque d’une discrimination liée au sexe</w:t>
            </w:r>
          </w:p>
        </w:tc>
        <w:tc>
          <w:tcPr>
            <w:tcW w:w="4975" w:type="dxa"/>
            <w:shd w:val="clear" w:color="auto" w:fill="auto"/>
          </w:tcPr>
          <w:p w14:paraId="611EB4D9"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 xml:space="preserve">Tenir compte des 30 % du quota des femmes dans la réalisation de toutes les activités du PNDA </w:t>
            </w:r>
          </w:p>
        </w:tc>
        <w:tc>
          <w:tcPr>
            <w:tcW w:w="2144" w:type="dxa"/>
            <w:shd w:val="clear" w:color="auto" w:fill="auto"/>
          </w:tcPr>
          <w:p w14:paraId="720CCA9C"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Pendant la phase d’exécution du Programme</w:t>
            </w:r>
          </w:p>
        </w:tc>
        <w:tc>
          <w:tcPr>
            <w:tcW w:w="2109" w:type="dxa"/>
            <w:shd w:val="clear" w:color="auto" w:fill="auto"/>
          </w:tcPr>
          <w:p w14:paraId="6FC5C472"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Les PME, la Mission de contrôle</w:t>
            </w:r>
          </w:p>
        </w:tc>
        <w:tc>
          <w:tcPr>
            <w:tcW w:w="2190" w:type="dxa"/>
            <w:shd w:val="clear" w:color="auto" w:fill="auto"/>
          </w:tcPr>
          <w:p w14:paraId="110E3A56"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PNDA et ACE, CPE, OVDA et administration locale</w:t>
            </w:r>
          </w:p>
        </w:tc>
      </w:tr>
      <w:tr w:rsidR="009021F1" w:rsidRPr="00114059" w14:paraId="114E0BA4" w14:textId="77777777" w:rsidTr="00E637E3">
        <w:trPr>
          <w:trHeight w:val="880"/>
        </w:trPr>
        <w:tc>
          <w:tcPr>
            <w:tcW w:w="1806" w:type="dxa"/>
            <w:vMerge/>
            <w:shd w:val="clear" w:color="auto" w:fill="auto"/>
          </w:tcPr>
          <w:p w14:paraId="692E7E1A" w14:textId="77777777" w:rsidR="009021F1" w:rsidRPr="00114059" w:rsidRDefault="009021F1" w:rsidP="00E637E3">
            <w:pPr>
              <w:rPr>
                <w:rFonts w:cs="Arial"/>
                <w:sz w:val="20"/>
                <w:szCs w:val="20"/>
              </w:rPr>
            </w:pPr>
          </w:p>
        </w:tc>
        <w:tc>
          <w:tcPr>
            <w:tcW w:w="2271" w:type="dxa"/>
            <w:shd w:val="clear" w:color="auto" w:fill="auto"/>
          </w:tcPr>
          <w:p w14:paraId="37A89C37" w14:textId="77777777" w:rsidR="009021F1" w:rsidRPr="00114059" w:rsidRDefault="009021F1" w:rsidP="00E637E3">
            <w:pPr>
              <w:jc w:val="left"/>
              <w:rPr>
                <w:rFonts w:cs="Arial"/>
                <w:color w:val="000000"/>
                <w:sz w:val="20"/>
                <w:szCs w:val="20"/>
              </w:rPr>
            </w:pPr>
            <w:r w:rsidRPr="00114059">
              <w:rPr>
                <w:rFonts w:cs="Arial"/>
                <w:sz w:val="20"/>
                <w:szCs w:val="20"/>
              </w:rPr>
              <w:t>Risque de la discrimination des femmes et la non integration de la jeunesse dans le renforcement des capacités des services publics agricoles au niveau local.</w:t>
            </w:r>
          </w:p>
        </w:tc>
        <w:tc>
          <w:tcPr>
            <w:tcW w:w="4975" w:type="dxa"/>
            <w:shd w:val="clear" w:color="auto" w:fill="auto"/>
          </w:tcPr>
          <w:p w14:paraId="5A7DAB9E"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Intégrer les femmes et la jeunesse dans le programme de renforcement des capacités des services publics agricoles au niveau local</w:t>
            </w:r>
          </w:p>
          <w:p w14:paraId="222DAABC"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Sensibiliser les fonctionnaires de services publics du secteur sur la lute contre le conflit de generation dans le milieu professionnel</w:t>
            </w:r>
          </w:p>
        </w:tc>
        <w:tc>
          <w:tcPr>
            <w:tcW w:w="2144" w:type="dxa"/>
            <w:shd w:val="clear" w:color="auto" w:fill="auto"/>
          </w:tcPr>
          <w:p w14:paraId="4CFBBC12"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Pendant la phase d’exécution du Programme</w:t>
            </w:r>
          </w:p>
        </w:tc>
        <w:tc>
          <w:tcPr>
            <w:tcW w:w="2109" w:type="dxa"/>
            <w:shd w:val="clear" w:color="auto" w:fill="auto"/>
          </w:tcPr>
          <w:p w14:paraId="706AED35"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Les PME, la Mission de contrôle</w:t>
            </w:r>
          </w:p>
        </w:tc>
        <w:tc>
          <w:tcPr>
            <w:tcW w:w="2190" w:type="dxa"/>
            <w:shd w:val="clear" w:color="auto" w:fill="auto"/>
          </w:tcPr>
          <w:p w14:paraId="511AEEF5"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PNDA et ACE, CPE, OVDA et administration locale</w:t>
            </w:r>
          </w:p>
        </w:tc>
      </w:tr>
      <w:tr w:rsidR="009021F1" w:rsidRPr="00114059" w14:paraId="34FE0DA2" w14:textId="77777777" w:rsidTr="00E637E3">
        <w:trPr>
          <w:trHeight w:val="880"/>
        </w:trPr>
        <w:tc>
          <w:tcPr>
            <w:tcW w:w="1806" w:type="dxa"/>
            <w:vMerge/>
            <w:shd w:val="clear" w:color="auto" w:fill="auto"/>
          </w:tcPr>
          <w:p w14:paraId="7A2155DC" w14:textId="77777777" w:rsidR="009021F1" w:rsidRPr="00114059" w:rsidRDefault="009021F1" w:rsidP="00E637E3">
            <w:pPr>
              <w:rPr>
                <w:rFonts w:cs="Arial"/>
                <w:sz w:val="20"/>
                <w:szCs w:val="20"/>
              </w:rPr>
            </w:pPr>
          </w:p>
        </w:tc>
        <w:tc>
          <w:tcPr>
            <w:tcW w:w="2271" w:type="dxa"/>
            <w:shd w:val="clear" w:color="auto" w:fill="auto"/>
          </w:tcPr>
          <w:p w14:paraId="6BE7DD78" w14:textId="77777777" w:rsidR="009021F1" w:rsidRPr="00114059" w:rsidRDefault="009021F1" w:rsidP="00E637E3">
            <w:pPr>
              <w:jc w:val="left"/>
              <w:rPr>
                <w:rFonts w:cs="Arial"/>
                <w:sz w:val="20"/>
                <w:szCs w:val="20"/>
              </w:rPr>
            </w:pPr>
            <w:r w:rsidRPr="00114059">
              <w:rPr>
                <w:rFonts w:cs="Arial"/>
                <w:sz w:val="20"/>
                <w:szCs w:val="20"/>
              </w:rPr>
              <w:t>Risqué de la découverte fortuite et de la découverte de REG</w:t>
            </w:r>
          </w:p>
        </w:tc>
        <w:tc>
          <w:tcPr>
            <w:tcW w:w="4975" w:type="dxa"/>
            <w:shd w:val="clear" w:color="auto" w:fill="auto"/>
          </w:tcPr>
          <w:p w14:paraId="39282ADF"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Appliquer les procédures de la découverte fortuite conformément à la NES n°8</w:t>
            </w:r>
          </w:p>
          <w:p w14:paraId="5501849A"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Appliquer les procédures de la découverte de REG</w:t>
            </w:r>
          </w:p>
          <w:p w14:paraId="3648EEBF"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Sensibiliser la population sur le danger des mines antipersonnels dans les perimètres des travaux se trouvant dans la zone du conflit</w:t>
            </w:r>
          </w:p>
        </w:tc>
        <w:tc>
          <w:tcPr>
            <w:tcW w:w="2144" w:type="dxa"/>
            <w:shd w:val="clear" w:color="auto" w:fill="auto"/>
          </w:tcPr>
          <w:p w14:paraId="26FBF752"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Pendant la phase d’exécution du Programme</w:t>
            </w:r>
          </w:p>
        </w:tc>
        <w:tc>
          <w:tcPr>
            <w:tcW w:w="2109" w:type="dxa"/>
            <w:shd w:val="clear" w:color="auto" w:fill="auto"/>
          </w:tcPr>
          <w:p w14:paraId="2B4BC7C7"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Les PME, la Mission de contrôle</w:t>
            </w:r>
          </w:p>
        </w:tc>
        <w:tc>
          <w:tcPr>
            <w:tcW w:w="2190" w:type="dxa"/>
            <w:shd w:val="clear" w:color="auto" w:fill="auto"/>
          </w:tcPr>
          <w:p w14:paraId="153BDF9C"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PNDA et ACE, CPE, OVDA, FARDC, Police Nationale et administration locale</w:t>
            </w:r>
          </w:p>
        </w:tc>
      </w:tr>
      <w:tr w:rsidR="009021F1" w:rsidRPr="00114059" w14:paraId="2E79449B" w14:textId="77777777" w:rsidTr="00E637E3">
        <w:trPr>
          <w:trHeight w:val="1350"/>
        </w:trPr>
        <w:tc>
          <w:tcPr>
            <w:tcW w:w="1806" w:type="dxa"/>
            <w:vMerge/>
            <w:shd w:val="clear" w:color="auto" w:fill="auto"/>
          </w:tcPr>
          <w:p w14:paraId="115DCEE7" w14:textId="77777777" w:rsidR="009021F1" w:rsidRPr="00114059" w:rsidRDefault="009021F1" w:rsidP="00E637E3">
            <w:pPr>
              <w:rPr>
                <w:rFonts w:cs="Arial"/>
                <w:sz w:val="20"/>
                <w:szCs w:val="20"/>
              </w:rPr>
            </w:pPr>
          </w:p>
        </w:tc>
        <w:tc>
          <w:tcPr>
            <w:tcW w:w="2271" w:type="dxa"/>
            <w:shd w:val="clear" w:color="auto" w:fill="auto"/>
          </w:tcPr>
          <w:p w14:paraId="56D73F98" w14:textId="77777777" w:rsidR="009021F1" w:rsidRPr="00114059" w:rsidRDefault="009021F1" w:rsidP="00E637E3">
            <w:pPr>
              <w:jc w:val="left"/>
              <w:rPr>
                <w:rFonts w:cs="Arial"/>
                <w:color w:val="000000"/>
                <w:sz w:val="20"/>
                <w:szCs w:val="20"/>
              </w:rPr>
            </w:pPr>
          </w:p>
          <w:p w14:paraId="1AAF9598" w14:textId="77777777" w:rsidR="009021F1" w:rsidRPr="00114059" w:rsidRDefault="009021F1" w:rsidP="00E637E3">
            <w:pPr>
              <w:jc w:val="left"/>
              <w:rPr>
                <w:rFonts w:cs="Arial"/>
                <w:color w:val="000000"/>
                <w:sz w:val="20"/>
                <w:szCs w:val="20"/>
              </w:rPr>
            </w:pPr>
          </w:p>
          <w:p w14:paraId="5D0AA6DB" w14:textId="77777777" w:rsidR="009021F1" w:rsidRPr="00114059" w:rsidRDefault="009021F1" w:rsidP="00E637E3">
            <w:pPr>
              <w:jc w:val="left"/>
              <w:rPr>
                <w:rFonts w:cs="Arial"/>
                <w:color w:val="000000"/>
                <w:sz w:val="20"/>
                <w:szCs w:val="20"/>
              </w:rPr>
            </w:pPr>
            <w:r w:rsidRPr="00114059">
              <w:rPr>
                <w:rFonts w:cs="Arial"/>
                <w:color w:val="000000"/>
                <w:sz w:val="20"/>
                <w:szCs w:val="20"/>
              </w:rPr>
              <w:t>Risque du détournement de fonds de la caisse villageoise</w:t>
            </w:r>
          </w:p>
          <w:p w14:paraId="7CB01A10" w14:textId="77777777" w:rsidR="009021F1" w:rsidRPr="00114059" w:rsidRDefault="009021F1" w:rsidP="00E637E3">
            <w:pPr>
              <w:jc w:val="left"/>
              <w:rPr>
                <w:rFonts w:cs="Arial"/>
                <w:color w:val="000000"/>
                <w:sz w:val="20"/>
                <w:szCs w:val="20"/>
              </w:rPr>
            </w:pPr>
          </w:p>
        </w:tc>
        <w:tc>
          <w:tcPr>
            <w:tcW w:w="4975" w:type="dxa"/>
            <w:shd w:val="clear" w:color="auto" w:fill="auto"/>
          </w:tcPr>
          <w:p w14:paraId="0AE4D758"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Mettre en place le système de gestion transparent ;</w:t>
            </w:r>
          </w:p>
          <w:p w14:paraId="08260471"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Mettre en place un mécanisme de suivi et contrôle réguliers des activités ;</w:t>
            </w:r>
          </w:p>
          <w:p w14:paraId="358522BE"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Mettre en place un système de rédévabilité ;</w:t>
            </w:r>
          </w:p>
          <w:p w14:paraId="4F9295A2"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Former les parties prenantes dans la bonne gouvernance agricole ;</w:t>
            </w:r>
          </w:p>
          <w:p w14:paraId="4583540C"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Former les parties prenantes dans la lutte contre la corruption</w:t>
            </w:r>
          </w:p>
        </w:tc>
        <w:tc>
          <w:tcPr>
            <w:tcW w:w="2144" w:type="dxa"/>
            <w:shd w:val="clear" w:color="auto" w:fill="auto"/>
          </w:tcPr>
          <w:p w14:paraId="5A3C3549"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Pendant la phase d’exécution du Programme</w:t>
            </w:r>
          </w:p>
        </w:tc>
        <w:tc>
          <w:tcPr>
            <w:tcW w:w="2109" w:type="dxa"/>
            <w:shd w:val="clear" w:color="auto" w:fill="auto"/>
          </w:tcPr>
          <w:p w14:paraId="52D5250F"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Les PME, la Mission de contrôle, les associations et coopératives agricoles, les IF</w:t>
            </w:r>
          </w:p>
        </w:tc>
        <w:tc>
          <w:tcPr>
            <w:tcW w:w="2190" w:type="dxa"/>
            <w:shd w:val="clear" w:color="auto" w:fill="auto"/>
          </w:tcPr>
          <w:p w14:paraId="55FB8DBC"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PNDA et ACE, CPE, OVDA et administration locale</w:t>
            </w:r>
          </w:p>
        </w:tc>
      </w:tr>
      <w:tr w:rsidR="009021F1" w:rsidRPr="00114059" w14:paraId="359B0646" w14:textId="77777777" w:rsidTr="00E637E3">
        <w:trPr>
          <w:trHeight w:val="1350"/>
        </w:trPr>
        <w:tc>
          <w:tcPr>
            <w:tcW w:w="1806" w:type="dxa"/>
            <w:vMerge/>
            <w:shd w:val="clear" w:color="auto" w:fill="auto"/>
          </w:tcPr>
          <w:p w14:paraId="7D49C9F1" w14:textId="77777777" w:rsidR="009021F1" w:rsidRPr="00114059" w:rsidRDefault="009021F1" w:rsidP="00E637E3">
            <w:pPr>
              <w:rPr>
                <w:rFonts w:cs="Arial"/>
                <w:sz w:val="20"/>
                <w:szCs w:val="20"/>
              </w:rPr>
            </w:pPr>
          </w:p>
        </w:tc>
        <w:tc>
          <w:tcPr>
            <w:tcW w:w="2271" w:type="dxa"/>
            <w:shd w:val="clear" w:color="auto" w:fill="auto"/>
          </w:tcPr>
          <w:p w14:paraId="12D52860" w14:textId="77777777" w:rsidR="009021F1" w:rsidRPr="00114059" w:rsidRDefault="009021F1" w:rsidP="00E637E3">
            <w:pPr>
              <w:jc w:val="left"/>
              <w:rPr>
                <w:rFonts w:cs="Arial"/>
                <w:color w:val="000000"/>
                <w:sz w:val="20"/>
                <w:szCs w:val="20"/>
              </w:rPr>
            </w:pPr>
            <w:r w:rsidRPr="00114059">
              <w:rPr>
                <w:rFonts w:cs="Arial"/>
                <w:color w:val="000000"/>
                <w:sz w:val="20"/>
                <w:szCs w:val="20"/>
              </w:rPr>
              <w:t>Risque de production de déchets biomédicaux liés à la vaccination des bétails</w:t>
            </w:r>
          </w:p>
        </w:tc>
        <w:tc>
          <w:tcPr>
            <w:tcW w:w="4975" w:type="dxa"/>
            <w:shd w:val="clear" w:color="auto" w:fill="auto"/>
          </w:tcPr>
          <w:p w14:paraId="167AAE3D"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Mettre en place un Plan de Gestion des Déchets biomédicaux</w:t>
            </w:r>
          </w:p>
        </w:tc>
        <w:tc>
          <w:tcPr>
            <w:tcW w:w="2144" w:type="dxa"/>
            <w:shd w:val="clear" w:color="auto" w:fill="auto"/>
          </w:tcPr>
          <w:p w14:paraId="7B7B18F2"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Pendant la phase d’exécution du Programme</w:t>
            </w:r>
          </w:p>
        </w:tc>
        <w:tc>
          <w:tcPr>
            <w:tcW w:w="2109" w:type="dxa"/>
            <w:shd w:val="clear" w:color="auto" w:fill="auto"/>
          </w:tcPr>
          <w:p w14:paraId="3C79045C"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Les PME, la Mission de contrôle, les associations et coopératives agricoles, les IF</w:t>
            </w:r>
          </w:p>
        </w:tc>
        <w:tc>
          <w:tcPr>
            <w:tcW w:w="2190" w:type="dxa"/>
            <w:shd w:val="clear" w:color="auto" w:fill="auto"/>
          </w:tcPr>
          <w:p w14:paraId="09A90E6C"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PNDA et ACE, CPE, OVDA et administration locale</w:t>
            </w:r>
          </w:p>
        </w:tc>
      </w:tr>
      <w:tr w:rsidR="009021F1" w:rsidRPr="00114059" w14:paraId="445781A5" w14:textId="77777777" w:rsidTr="00E637E3">
        <w:trPr>
          <w:trHeight w:val="1350"/>
        </w:trPr>
        <w:tc>
          <w:tcPr>
            <w:tcW w:w="1806" w:type="dxa"/>
            <w:vMerge/>
            <w:shd w:val="clear" w:color="auto" w:fill="auto"/>
          </w:tcPr>
          <w:p w14:paraId="174C7862" w14:textId="77777777" w:rsidR="009021F1" w:rsidRPr="00114059" w:rsidRDefault="009021F1" w:rsidP="00E637E3">
            <w:pPr>
              <w:rPr>
                <w:rFonts w:cs="Arial"/>
                <w:sz w:val="20"/>
                <w:szCs w:val="20"/>
              </w:rPr>
            </w:pPr>
          </w:p>
        </w:tc>
        <w:tc>
          <w:tcPr>
            <w:tcW w:w="2271" w:type="dxa"/>
            <w:shd w:val="clear" w:color="auto" w:fill="auto"/>
          </w:tcPr>
          <w:p w14:paraId="6BB30FFB" w14:textId="77777777" w:rsidR="009021F1" w:rsidRPr="00114059" w:rsidRDefault="009021F1" w:rsidP="00E637E3">
            <w:pPr>
              <w:pStyle w:val="TableParagraph"/>
              <w:spacing w:line="276" w:lineRule="auto"/>
              <w:ind w:right="130"/>
              <w:rPr>
                <w:sz w:val="20"/>
                <w:szCs w:val="20"/>
                <w:lang w:val="fr-FR"/>
              </w:rPr>
            </w:pPr>
          </w:p>
          <w:p w14:paraId="4F78FBDB" w14:textId="77777777" w:rsidR="009021F1" w:rsidRPr="00114059" w:rsidRDefault="009021F1" w:rsidP="00E637E3">
            <w:pPr>
              <w:pStyle w:val="TableParagraph"/>
              <w:spacing w:line="276" w:lineRule="auto"/>
              <w:ind w:right="130"/>
              <w:rPr>
                <w:sz w:val="20"/>
                <w:szCs w:val="20"/>
                <w:lang w:val="fr-FR"/>
              </w:rPr>
            </w:pPr>
          </w:p>
          <w:p w14:paraId="6F62DB25" w14:textId="77777777" w:rsidR="009021F1" w:rsidRPr="00114059" w:rsidRDefault="009021F1" w:rsidP="00E637E3">
            <w:pPr>
              <w:pStyle w:val="TableParagraph"/>
              <w:spacing w:line="276" w:lineRule="auto"/>
              <w:ind w:right="130"/>
              <w:rPr>
                <w:sz w:val="20"/>
                <w:szCs w:val="20"/>
                <w:lang w:val="fr-FR"/>
              </w:rPr>
            </w:pPr>
            <w:r w:rsidRPr="00114059">
              <w:rPr>
                <w:sz w:val="20"/>
                <w:szCs w:val="20"/>
                <w:lang w:val="fr-FR"/>
              </w:rPr>
              <w:t>Mauvaises conditions des travailleurs et des entreprises sous-traitantes sur les chantiers</w:t>
            </w:r>
          </w:p>
        </w:tc>
        <w:tc>
          <w:tcPr>
            <w:tcW w:w="4975" w:type="dxa"/>
            <w:shd w:val="clear" w:color="auto" w:fill="auto"/>
          </w:tcPr>
          <w:p w14:paraId="3E7E0B6F"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Pour tous les sous-projets, durant la phase de construction, pour se conformer à la NES n°2, le PNDA élaborera et mettra en œuvre un Plan de Gestion de la Main-d’œuvre qui s’appliquera à l’ensemble des activités du Projet. Ce Plan et procédures décriront la manière dont les travailleurs de tous les sous-projets du PNDA seront gérés, conformément aux prescriptions de la législation nationale de la RDC. La NES n°2 s’appliquera aux différentes catégories de travailleurs du Projet, y compris les travailleurs directs, et les obligations que le Gouvernement de la RDC imposera aux tiers concernant la gestion de leurs employés :</w:t>
            </w:r>
          </w:p>
          <w:p w14:paraId="048977DF"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Pour se conformer à la NES n°2, le droit des travailleurs à se constituer en association, à adhérer à une organisation de leur choix et à négocier collectivement sans ingérence aucune, le projet sera mis en œuvre conformément au droit national ;</w:t>
            </w:r>
          </w:p>
          <w:p w14:paraId="28C8519F"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Mettre en œuvre le Plan de Mobilisation des Parties Prenantes conformément à la NES n°10 ;</w:t>
            </w:r>
          </w:p>
          <w:p w14:paraId="27F00FAA"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Rendre opérationnel le MGP du PNDA, en tenant compte des procédures spécifiques à la gestion éthique et confidentielle des plaintes liées à l’EAS/HS ;</w:t>
            </w:r>
          </w:p>
          <w:p w14:paraId="3F95AA80"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Se conformer aux dispositions du Plan d’engagement environnemental et social (PEES) du projet ;</w:t>
            </w:r>
          </w:p>
          <w:p w14:paraId="6BBABDC0"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Recenser et indemniser les PAP conformément à la NES n°5 : acquisition des terres, restrictions à l’utilisation des terres et réinstallation forcée ;</w:t>
            </w:r>
          </w:p>
          <w:p w14:paraId="760E5300"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Faire signer des contrats clairs aux ouvriers et les respecter ;</w:t>
            </w:r>
          </w:p>
          <w:p w14:paraId="1E9328B4"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 xml:space="preserve">Préparation d’un Plan d’action EAS/HS pour le projet en tenant compte des dispositifs </w:t>
            </w:r>
            <w:r w:rsidRPr="00114059">
              <w:rPr>
                <w:rFonts w:eastAsia="MS Mincho"/>
                <w:sz w:val="20"/>
                <w:szCs w:val="20"/>
                <w:lang w:val="fr-FR"/>
              </w:rPr>
              <w:t>d’atténuation (mise en place du code de bonne conduite, des sensibilisations et consultations communautaires, ainsi que des formations des travailleurs) et de réponse (cartographie des services de prise en charge des survivant(e)s et référencement aux services, ainsi qu’élaboration du MGP sensible à l’EAS/HS)</w:t>
            </w:r>
            <w:r w:rsidRPr="00114059">
              <w:rPr>
                <w:sz w:val="20"/>
                <w:szCs w:val="20"/>
                <w:lang w:val="fr-FR"/>
              </w:rPr>
              <w:t> ;</w:t>
            </w:r>
          </w:p>
          <w:p w14:paraId="0E8D450E"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Préparation d’un code de bonne conduite : individuelle, du gestionnaire et de l’entreprise intégrant un langage explicite sur les comportements interdits et les notions clés sur l’EAS et le HS, y compris les définitions et la notion de consentement.</w:t>
            </w:r>
          </w:p>
        </w:tc>
        <w:tc>
          <w:tcPr>
            <w:tcW w:w="2144" w:type="dxa"/>
            <w:shd w:val="clear" w:color="auto" w:fill="auto"/>
          </w:tcPr>
          <w:p w14:paraId="5C9EDE62"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Pendant la phase d’exécution du Programme</w:t>
            </w:r>
          </w:p>
        </w:tc>
        <w:tc>
          <w:tcPr>
            <w:tcW w:w="2109" w:type="dxa"/>
            <w:shd w:val="clear" w:color="auto" w:fill="auto"/>
          </w:tcPr>
          <w:p w14:paraId="55C64D90"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Les PME, la Mission de contrôle</w:t>
            </w:r>
          </w:p>
        </w:tc>
        <w:tc>
          <w:tcPr>
            <w:tcW w:w="2190" w:type="dxa"/>
            <w:shd w:val="clear" w:color="auto" w:fill="auto"/>
          </w:tcPr>
          <w:p w14:paraId="339A5FBC"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PNDA et ACE, CPE, OVDA et administration locale</w:t>
            </w:r>
          </w:p>
        </w:tc>
      </w:tr>
      <w:tr w:rsidR="009021F1" w:rsidRPr="00114059" w14:paraId="59718556" w14:textId="77777777" w:rsidTr="00E637E3">
        <w:trPr>
          <w:trHeight w:val="533"/>
        </w:trPr>
        <w:tc>
          <w:tcPr>
            <w:tcW w:w="1806" w:type="dxa"/>
            <w:vMerge/>
            <w:shd w:val="clear" w:color="auto" w:fill="auto"/>
          </w:tcPr>
          <w:p w14:paraId="6C156251" w14:textId="77777777" w:rsidR="009021F1" w:rsidRPr="00114059" w:rsidRDefault="009021F1" w:rsidP="00E637E3">
            <w:pPr>
              <w:rPr>
                <w:rFonts w:cs="Arial"/>
                <w:sz w:val="20"/>
                <w:szCs w:val="20"/>
              </w:rPr>
            </w:pPr>
          </w:p>
        </w:tc>
        <w:tc>
          <w:tcPr>
            <w:tcW w:w="2271" w:type="dxa"/>
            <w:shd w:val="clear" w:color="auto" w:fill="auto"/>
          </w:tcPr>
          <w:p w14:paraId="0B69B34B" w14:textId="77777777" w:rsidR="009021F1" w:rsidRPr="00114059" w:rsidRDefault="009021F1" w:rsidP="00E637E3">
            <w:pPr>
              <w:pStyle w:val="TableParagraph"/>
              <w:spacing w:line="276" w:lineRule="auto"/>
              <w:ind w:right="130"/>
              <w:rPr>
                <w:sz w:val="20"/>
                <w:szCs w:val="20"/>
                <w:lang w:val="fr-FR"/>
              </w:rPr>
            </w:pPr>
            <w:r w:rsidRPr="00114059">
              <w:rPr>
                <w:sz w:val="20"/>
                <w:szCs w:val="20"/>
                <w:lang w:val="fr-FR"/>
              </w:rPr>
              <w:t>Risque de travail de forcé</w:t>
            </w:r>
          </w:p>
        </w:tc>
        <w:tc>
          <w:tcPr>
            <w:tcW w:w="4975" w:type="dxa"/>
            <w:shd w:val="clear" w:color="auto" w:fill="auto"/>
          </w:tcPr>
          <w:p w14:paraId="710FED14" w14:textId="77777777" w:rsidR="009021F1" w:rsidRPr="00114059" w:rsidDel="00817A31" w:rsidRDefault="009021F1" w:rsidP="00E637E3">
            <w:pPr>
              <w:pStyle w:val="Paragraphedeliste"/>
              <w:numPr>
                <w:ilvl w:val="0"/>
                <w:numId w:val="49"/>
              </w:numPr>
              <w:rPr>
                <w:sz w:val="20"/>
                <w:szCs w:val="20"/>
              </w:rPr>
            </w:pPr>
            <w:r w:rsidRPr="00114059">
              <w:rPr>
                <w:sz w:val="20"/>
                <w:szCs w:val="20"/>
              </w:rPr>
              <w:t>Le travail forcé est également interdit dans la mise en œuvre du PNDA. Le programme n’aura pas recours au travail forcé, que l’on peut définir comme tout travail ou service exigé d’un individu sous la menace d’une peine quelconque et pour lequel ledit individu ne s’est pas offert de plein gré. Cette interdiction s’applique à toute sorte de travail forcé ou obligation, tel que le travail sous contrat, la servitude pour dettes ou des types d’emploi analogues. Aucune victime de trafic humain ne sera employée sur le Projet. Cette disposition de la NES n°2 est un impact positif majeur sur l’ensemble des sous-projets du PNDA.</w:t>
            </w:r>
          </w:p>
        </w:tc>
        <w:tc>
          <w:tcPr>
            <w:tcW w:w="2144" w:type="dxa"/>
            <w:shd w:val="clear" w:color="auto" w:fill="auto"/>
          </w:tcPr>
          <w:p w14:paraId="0B07183F" w14:textId="77777777" w:rsidR="009021F1" w:rsidRPr="00114059" w:rsidRDefault="009021F1" w:rsidP="00E637E3">
            <w:pPr>
              <w:pStyle w:val="Paragraphedeliste"/>
              <w:numPr>
                <w:ilvl w:val="0"/>
                <w:numId w:val="49"/>
              </w:numPr>
              <w:rPr>
                <w:sz w:val="20"/>
                <w:szCs w:val="20"/>
              </w:rPr>
            </w:pPr>
            <w:r w:rsidRPr="00114059">
              <w:rPr>
                <w:sz w:val="20"/>
                <w:szCs w:val="20"/>
              </w:rPr>
              <w:t>Pendant la phase d’exécution du Programme</w:t>
            </w:r>
          </w:p>
        </w:tc>
        <w:tc>
          <w:tcPr>
            <w:tcW w:w="2109" w:type="dxa"/>
            <w:shd w:val="clear" w:color="auto" w:fill="auto"/>
          </w:tcPr>
          <w:p w14:paraId="2A39E5A8" w14:textId="77777777" w:rsidR="009021F1" w:rsidRPr="00114059" w:rsidRDefault="009021F1" w:rsidP="00E637E3">
            <w:pPr>
              <w:pStyle w:val="Paragraphedeliste"/>
              <w:numPr>
                <w:ilvl w:val="0"/>
                <w:numId w:val="49"/>
              </w:numPr>
              <w:rPr>
                <w:sz w:val="20"/>
                <w:szCs w:val="20"/>
              </w:rPr>
            </w:pPr>
            <w:r w:rsidRPr="00114059">
              <w:rPr>
                <w:sz w:val="20"/>
                <w:szCs w:val="20"/>
              </w:rPr>
              <w:t>Les PME, la Mission de contrôle</w:t>
            </w:r>
          </w:p>
        </w:tc>
        <w:tc>
          <w:tcPr>
            <w:tcW w:w="2190" w:type="dxa"/>
            <w:shd w:val="clear" w:color="auto" w:fill="auto"/>
          </w:tcPr>
          <w:p w14:paraId="0A2C1D6D" w14:textId="77777777" w:rsidR="009021F1" w:rsidRPr="00114059" w:rsidRDefault="009021F1" w:rsidP="00E637E3">
            <w:pPr>
              <w:pStyle w:val="Paragraphedeliste"/>
              <w:numPr>
                <w:ilvl w:val="0"/>
                <w:numId w:val="49"/>
              </w:numPr>
              <w:rPr>
                <w:sz w:val="20"/>
                <w:szCs w:val="20"/>
              </w:rPr>
            </w:pPr>
            <w:r w:rsidRPr="00114059">
              <w:rPr>
                <w:sz w:val="20"/>
                <w:szCs w:val="20"/>
              </w:rPr>
              <w:t>PNDA et ACE, CPE, OVDA et administration locale</w:t>
            </w:r>
          </w:p>
        </w:tc>
      </w:tr>
      <w:tr w:rsidR="009021F1" w:rsidRPr="00114059" w14:paraId="10EA7DFC" w14:textId="77777777" w:rsidTr="00E637E3">
        <w:trPr>
          <w:trHeight w:val="895"/>
        </w:trPr>
        <w:tc>
          <w:tcPr>
            <w:tcW w:w="1806" w:type="dxa"/>
            <w:vMerge/>
            <w:shd w:val="clear" w:color="auto" w:fill="auto"/>
          </w:tcPr>
          <w:p w14:paraId="73150A8F" w14:textId="77777777" w:rsidR="009021F1" w:rsidRPr="00114059" w:rsidRDefault="009021F1" w:rsidP="00E637E3">
            <w:pPr>
              <w:rPr>
                <w:rFonts w:cs="Arial"/>
                <w:sz w:val="20"/>
                <w:szCs w:val="20"/>
              </w:rPr>
            </w:pPr>
          </w:p>
        </w:tc>
        <w:tc>
          <w:tcPr>
            <w:tcW w:w="2271" w:type="dxa"/>
            <w:shd w:val="clear" w:color="auto" w:fill="auto"/>
          </w:tcPr>
          <w:p w14:paraId="0942F362" w14:textId="77777777" w:rsidR="009021F1" w:rsidRPr="00114059" w:rsidRDefault="009021F1" w:rsidP="00E637E3">
            <w:pPr>
              <w:pStyle w:val="TableParagraph"/>
              <w:spacing w:line="276" w:lineRule="auto"/>
              <w:ind w:right="130"/>
              <w:rPr>
                <w:sz w:val="20"/>
                <w:szCs w:val="20"/>
                <w:lang w:val="fr-FR"/>
              </w:rPr>
            </w:pPr>
          </w:p>
          <w:p w14:paraId="687FAB93" w14:textId="77777777" w:rsidR="009021F1" w:rsidRPr="00114059" w:rsidRDefault="009021F1" w:rsidP="00E637E3">
            <w:pPr>
              <w:pStyle w:val="TableParagraph"/>
              <w:spacing w:line="276" w:lineRule="auto"/>
              <w:ind w:right="130"/>
              <w:rPr>
                <w:sz w:val="20"/>
                <w:szCs w:val="20"/>
                <w:lang w:val="fr-FR"/>
              </w:rPr>
            </w:pPr>
          </w:p>
          <w:p w14:paraId="04E6105B" w14:textId="77777777" w:rsidR="009021F1" w:rsidRPr="00114059" w:rsidRDefault="009021F1" w:rsidP="00E637E3">
            <w:pPr>
              <w:pStyle w:val="TableParagraph"/>
              <w:spacing w:line="276" w:lineRule="auto"/>
              <w:ind w:right="130"/>
              <w:rPr>
                <w:sz w:val="20"/>
                <w:szCs w:val="20"/>
                <w:lang w:val="fr-FR"/>
              </w:rPr>
            </w:pPr>
          </w:p>
          <w:p w14:paraId="090E2065" w14:textId="77777777" w:rsidR="009021F1" w:rsidRPr="00114059" w:rsidRDefault="009021F1" w:rsidP="00E637E3">
            <w:pPr>
              <w:pStyle w:val="TableParagraph"/>
              <w:spacing w:line="276" w:lineRule="auto"/>
              <w:ind w:right="130"/>
              <w:rPr>
                <w:sz w:val="20"/>
                <w:szCs w:val="20"/>
                <w:lang w:val="fr-FR"/>
              </w:rPr>
            </w:pPr>
          </w:p>
          <w:p w14:paraId="7DFD720B" w14:textId="77777777" w:rsidR="009021F1" w:rsidRPr="00114059" w:rsidRDefault="009021F1" w:rsidP="00E637E3">
            <w:pPr>
              <w:pStyle w:val="TableParagraph"/>
              <w:spacing w:line="276" w:lineRule="auto"/>
              <w:ind w:right="130"/>
              <w:rPr>
                <w:sz w:val="20"/>
                <w:szCs w:val="20"/>
                <w:lang w:val="fr-FR"/>
              </w:rPr>
            </w:pPr>
          </w:p>
          <w:p w14:paraId="7F0D0867" w14:textId="77777777" w:rsidR="009021F1" w:rsidRPr="00114059" w:rsidRDefault="009021F1" w:rsidP="00E637E3">
            <w:pPr>
              <w:pStyle w:val="TableParagraph"/>
              <w:spacing w:line="276" w:lineRule="auto"/>
              <w:ind w:right="130"/>
              <w:rPr>
                <w:sz w:val="20"/>
                <w:szCs w:val="20"/>
                <w:lang w:val="fr-FR"/>
              </w:rPr>
            </w:pPr>
          </w:p>
          <w:p w14:paraId="320853BA" w14:textId="77777777" w:rsidR="009021F1" w:rsidRPr="00114059" w:rsidRDefault="009021F1" w:rsidP="00E637E3">
            <w:pPr>
              <w:pStyle w:val="TableParagraph"/>
              <w:spacing w:line="276" w:lineRule="auto"/>
              <w:ind w:right="130"/>
              <w:rPr>
                <w:sz w:val="20"/>
                <w:szCs w:val="20"/>
                <w:lang w:val="fr-FR"/>
              </w:rPr>
            </w:pPr>
          </w:p>
          <w:p w14:paraId="0480C73D" w14:textId="77777777" w:rsidR="009021F1" w:rsidRPr="00114059" w:rsidRDefault="009021F1" w:rsidP="00E637E3">
            <w:pPr>
              <w:pStyle w:val="TableParagraph"/>
              <w:spacing w:line="276" w:lineRule="auto"/>
              <w:ind w:right="130"/>
              <w:rPr>
                <w:sz w:val="20"/>
                <w:szCs w:val="20"/>
                <w:lang w:val="fr-FR"/>
              </w:rPr>
            </w:pPr>
          </w:p>
          <w:p w14:paraId="5B681945" w14:textId="77777777" w:rsidR="009021F1" w:rsidRPr="00114059" w:rsidRDefault="009021F1" w:rsidP="00E637E3">
            <w:pPr>
              <w:pStyle w:val="TableParagraph"/>
              <w:spacing w:line="276" w:lineRule="auto"/>
              <w:ind w:right="130"/>
              <w:rPr>
                <w:sz w:val="20"/>
                <w:szCs w:val="20"/>
                <w:lang w:val="fr-FR"/>
              </w:rPr>
            </w:pPr>
          </w:p>
          <w:p w14:paraId="439E490D" w14:textId="77777777" w:rsidR="009021F1" w:rsidRPr="00114059" w:rsidRDefault="009021F1" w:rsidP="00E637E3">
            <w:pPr>
              <w:pStyle w:val="TableParagraph"/>
              <w:spacing w:line="276" w:lineRule="auto"/>
              <w:ind w:right="130"/>
              <w:rPr>
                <w:sz w:val="20"/>
                <w:szCs w:val="20"/>
                <w:lang w:val="fr-FR"/>
              </w:rPr>
            </w:pPr>
          </w:p>
          <w:p w14:paraId="2A656186" w14:textId="77777777" w:rsidR="009021F1" w:rsidRPr="00114059" w:rsidRDefault="009021F1" w:rsidP="00E637E3">
            <w:pPr>
              <w:pStyle w:val="TableParagraph"/>
              <w:spacing w:line="276" w:lineRule="auto"/>
              <w:ind w:right="130"/>
              <w:rPr>
                <w:sz w:val="20"/>
                <w:szCs w:val="20"/>
                <w:lang w:val="fr-FR"/>
              </w:rPr>
            </w:pPr>
          </w:p>
          <w:p w14:paraId="0E5B1771" w14:textId="77777777" w:rsidR="009021F1" w:rsidRPr="00114059" w:rsidRDefault="009021F1" w:rsidP="00E637E3">
            <w:pPr>
              <w:pStyle w:val="TableParagraph"/>
              <w:spacing w:line="276" w:lineRule="auto"/>
              <w:ind w:right="130"/>
              <w:rPr>
                <w:sz w:val="20"/>
                <w:szCs w:val="20"/>
                <w:lang w:val="fr-FR"/>
              </w:rPr>
            </w:pPr>
          </w:p>
          <w:p w14:paraId="579F01A5" w14:textId="77777777" w:rsidR="009021F1" w:rsidRPr="00114059" w:rsidRDefault="009021F1" w:rsidP="00E637E3">
            <w:pPr>
              <w:pStyle w:val="TableParagraph"/>
              <w:spacing w:line="276" w:lineRule="auto"/>
              <w:ind w:right="130"/>
              <w:rPr>
                <w:sz w:val="20"/>
                <w:szCs w:val="20"/>
                <w:lang w:val="fr-FR"/>
              </w:rPr>
            </w:pPr>
            <w:r w:rsidRPr="00114059">
              <w:rPr>
                <w:sz w:val="20"/>
                <w:szCs w:val="20"/>
                <w:lang w:val="fr-FR"/>
              </w:rPr>
              <w:t>Recours à l’utilisation des forces publiques pour la sécurité des chantiers</w:t>
            </w:r>
          </w:p>
        </w:tc>
        <w:tc>
          <w:tcPr>
            <w:tcW w:w="4975" w:type="dxa"/>
            <w:shd w:val="clear" w:color="auto" w:fill="auto"/>
          </w:tcPr>
          <w:p w14:paraId="0A0F0E9B"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 xml:space="preserve">Élaborer un Plan de Gestion de Sécurité (PGS) distinct présente l’ensemble des procédures et protocoles liés à cet aspect dans le cadre du PNDA (le PGS fera une Evaluation des Risques liés à la Sécurité et proposer des mesures d’atténuation) </w:t>
            </w:r>
          </w:p>
          <w:p w14:paraId="7EB006DA"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Collaborer avec les parties prenantes, dont les populations touchées par le projet, les ONG locales et les autres groupes susceptibles d’être particulièrement au fait des problèmes de sécurité ;</w:t>
            </w:r>
          </w:p>
          <w:p w14:paraId="4203E264"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Un protocole d’accord contraignant ou un autre accord officiel devrait être établi, engageant les forces de sécurité publique à respecter le code de conduite du projet, à faire un usage proportionné de la force et à observer d’autres règles semblables à celles qui figureraient dans un contrat avec une société de sécurité privée, y compris l’interdiction des actes d’EAS/HS, notamment en ce qui concerne les mesures disciplinaires, la formation, y compris sur le code de conduite, le suivi des incidents et la nécessité de mettre régulièrement à jour la documentation ;</w:t>
            </w:r>
          </w:p>
          <w:p w14:paraId="2A10E049"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Mobiliser les communautés dans le programme de sécurité, et créer de bonnes relations entre le personnel de sécurité, les travailleurs du projet et les populations locales peuvent contribuer grandement à la sécurité au sens large dans la zone du projet ;</w:t>
            </w:r>
          </w:p>
          <w:p w14:paraId="64790EB5"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L’emploi de femmes dans les équipes de sécurité peut aider à réduire les tensions ou les incidents impliquant les communautés locales, et devrait être encouragé ;</w:t>
            </w:r>
          </w:p>
          <w:p w14:paraId="13362CD1"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Dialoguer avec la population sur les questions liées à la sécurité peut aider à mettre en lumière les risques potentiels et les préoccupations locales, et servir de mécanisme de préalerte ;</w:t>
            </w:r>
          </w:p>
          <w:p w14:paraId="20621975"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Informer régulièrement les membres de la communauté de leur droit de porter plainte sans crainte d’intimidation ou de représailles ;</w:t>
            </w:r>
          </w:p>
          <w:p w14:paraId="6E775493"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Faire en sorte que les gardes constituant souvent le premier point de contact des membres des communautés à l’entrée du site d’un projet, ils devraient aussi être sensibilisés au rôle qu’ils jouent dans les relations avec la population et être informés du MGP, y compris les procédures spécifiques aux plaintes d’EAS/HS et les notions clés sur ces types d’abus, et des principaux sujets de préoccupation des communautés locales.</w:t>
            </w:r>
          </w:p>
        </w:tc>
        <w:tc>
          <w:tcPr>
            <w:tcW w:w="2144" w:type="dxa"/>
            <w:shd w:val="clear" w:color="auto" w:fill="auto"/>
          </w:tcPr>
          <w:p w14:paraId="72F478A5"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Pendant la phase d’exécution du Programme</w:t>
            </w:r>
          </w:p>
        </w:tc>
        <w:tc>
          <w:tcPr>
            <w:tcW w:w="2109" w:type="dxa"/>
            <w:shd w:val="clear" w:color="auto" w:fill="auto"/>
          </w:tcPr>
          <w:p w14:paraId="27C54BDA"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Les PME, la Mission de contrôle et autres prestataires</w:t>
            </w:r>
          </w:p>
        </w:tc>
        <w:tc>
          <w:tcPr>
            <w:tcW w:w="2190" w:type="dxa"/>
            <w:shd w:val="clear" w:color="auto" w:fill="auto"/>
          </w:tcPr>
          <w:p w14:paraId="56FBB20D"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PNDA et ACE, CPE, OVDA, administration locale, la Police et les FARDC</w:t>
            </w:r>
          </w:p>
        </w:tc>
      </w:tr>
      <w:tr w:rsidR="009021F1" w:rsidRPr="00114059" w14:paraId="6B4F936D" w14:textId="77777777" w:rsidTr="00E637E3">
        <w:trPr>
          <w:trHeight w:val="1396"/>
        </w:trPr>
        <w:tc>
          <w:tcPr>
            <w:tcW w:w="1806" w:type="dxa"/>
            <w:vMerge w:val="restart"/>
            <w:shd w:val="clear" w:color="auto" w:fill="auto"/>
          </w:tcPr>
          <w:p w14:paraId="0EEFD72F" w14:textId="77777777" w:rsidR="009021F1" w:rsidRPr="00114059" w:rsidRDefault="009021F1" w:rsidP="00E637E3">
            <w:pPr>
              <w:pStyle w:val="TableParagraph"/>
              <w:spacing w:line="276" w:lineRule="auto"/>
              <w:rPr>
                <w:sz w:val="20"/>
                <w:szCs w:val="20"/>
                <w:lang w:val="fr-FR"/>
              </w:rPr>
            </w:pPr>
          </w:p>
          <w:p w14:paraId="221EE71D" w14:textId="77777777" w:rsidR="009021F1" w:rsidRPr="00114059" w:rsidRDefault="009021F1" w:rsidP="00E637E3">
            <w:pPr>
              <w:pStyle w:val="TableParagraph"/>
              <w:spacing w:line="276" w:lineRule="auto"/>
              <w:rPr>
                <w:sz w:val="20"/>
                <w:szCs w:val="20"/>
                <w:lang w:val="fr-FR"/>
              </w:rPr>
            </w:pPr>
          </w:p>
          <w:p w14:paraId="1695107D" w14:textId="77777777" w:rsidR="009021F1" w:rsidRPr="00114059" w:rsidRDefault="009021F1" w:rsidP="00E637E3">
            <w:pPr>
              <w:pStyle w:val="TableParagraph"/>
              <w:spacing w:line="276" w:lineRule="auto"/>
              <w:rPr>
                <w:sz w:val="20"/>
                <w:szCs w:val="20"/>
                <w:lang w:val="fr-FR"/>
              </w:rPr>
            </w:pPr>
          </w:p>
          <w:p w14:paraId="6FA653CA" w14:textId="77777777" w:rsidR="009021F1" w:rsidRPr="00114059" w:rsidRDefault="009021F1" w:rsidP="00E637E3">
            <w:pPr>
              <w:pStyle w:val="TableParagraph"/>
              <w:spacing w:line="276" w:lineRule="auto"/>
              <w:rPr>
                <w:sz w:val="20"/>
                <w:szCs w:val="20"/>
                <w:lang w:val="fr-FR"/>
              </w:rPr>
            </w:pPr>
          </w:p>
          <w:p w14:paraId="5AE9580E" w14:textId="77777777" w:rsidR="009021F1" w:rsidRPr="00114059" w:rsidRDefault="009021F1" w:rsidP="00E637E3">
            <w:pPr>
              <w:pStyle w:val="TableParagraph"/>
              <w:spacing w:line="276" w:lineRule="auto"/>
              <w:rPr>
                <w:sz w:val="20"/>
                <w:szCs w:val="20"/>
                <w:lang w:val="fr-FR"/>
              </w:rPr>
            </w:pPr>
          </w:p>
          <w:p w14:paraId="44E3EBAD" w14:textId="77777777" w:rsidR="009021F1" w:rsidRPr="00114059" w:rsidRDefault="009021F1" w:rsidP="00E637E3">
            <w:pPr>
              <w:pStyle w:val="TableParagraph"/>
              <w:spacing w:line="276" w:lineRule="auto"/>
              <w:rPr>
                <w:sz w:val="20"/>
                <w:szCs w:val="20"/>
                <w:lang w:val="fr-FR"/>
              </w:rPr>
            </w:pPr>
          </w:p>
          <w:p w14:paraId="76D51679" w14:textId="77777777" w:rsidR="009021F1" w:rsidRPr="00114059" w:rsidRDefault="009021F1" w:rsidP="00E637E3">
            <w:pPr>
              <w:pStyle w:val="TableParagraph"/>
              <w:spacing w:line="276" w:lineRule="auto"/>
              <w:rPr>
                <w:sz w:val="20"/>
                <w:szCs w:val="20"/>
                <w:lang w:val="fr-FR"/>
              </w:rPr>
            </w:pPr>
          </w:p>
          <w:p w14:paraId="67CC1CDC" w14:textId="77777777" w:rsidR="009021F1" w:rsidRPr="00114059" w:rsidRDefault="009021F1" w:rsidP="00E637E3">
            <w:pPr>
              <w:pStyle w:val="TableParagraph"/>
              <w:spacing w:line="276" w:lineRule="auto"/>
              <w:rPr>
                <w:sz w:val="20"/>
                <w:szCs w:val="20"/>
                <w:lang w:val="fr-FR"/>
              </w:rPr>
            </w:pPr>
          </w:p>
          <w:p w14:paraId="1C7C1C56" w14:textId="77777777" w:rsidR="009021F1" w:rsidRPr="00114059" w:rsidRDefault="009021F1" w:rsidP="00E637E3">
            <w:pPr>
              <w:pStyle w:val="TableParagraph"/>
              <w:spacing w:line="276" w:lineRule="auto"/>
              <w:rPr>
                <w:sz w:val="20"/>
                <w:szCs w:val="20"/>
                <w:lang w:val="fr-FR"/>
              </w:rPr>
            </w:pPr>
          </w:p>
          <w:p w14:paraId="6057BEBF" w14:textId="77777777" w:rsidR="009021F1" w:rsidRPr="00114059" w:rsidRDefault="009021F1" w:rsidP="00E637E3">
            <w:pPr>
              <w:pStyle w:val="TableParagraph"/>
              <w:spacing w:line="276" w:lineRule="auto"/>
              <w:rPr>
                <w:sz w:val="20"/>
                <w:szCs w:val="20"/>
                <w:lang w:val="fr-FR"/>
              </w:rPr>
            </w:pPr>
          </w:p>
          <w:p w14:paraId="213D855F" w14:textId="77777777" w:rsidR="009021F1" w:rsidRPr="00114059" w:rsidRDefault="009021F1" w:rsidP="00E637E3">
            <w:pPr>
              <w:pStyle w:val="TableParagraph"/>
              <w:spacing w:line="276" w:lineRule="auto"/>
              <w:rPr>
                <w:sz w:val="20"/>
                <w:szCs w:val="20"/>
                <w:lang w:val="fr-FR"/>
              </w:rPr>
            </w:pPr>
          </w:p>
          <w:p w14:paraId="50325B23" w14:textId="77777777" w:rsidR="009021F1" w:rsidRPr="00114059" w:rsidRDefault="009021F1" w:rsidP="00E637E3">
            <w:pPr>
              <w:pStyle w:val="TableParagraph"/>
              <w:spacing w:line="276" w:lineRule="auto"/>
              <w:rPr>
                <w:sz w:val="20"/>
                <w:szCs w:val="20"/>
                <w:lang w:val="fr-FR"/>
              </w:rPr>
            </w:pPr>
          </w:p>
          <w:p w14:paraId="36DF2E73" w14:textId="77777777" w:rsidR="009021F1" w:rsidRPr="00114059" w:rsidRDefault="009021F1" w:rsidP="00E637E3">
            <w:pPr>
              <w:pStyle w:val="TableParagraph"/>
              <w:spacing w:line="276" w:lineRule="auto"/>
              <w:rPr>
                <w:sz w:val="20"/>
                <w:szCs w:val="20"/>
                <w:lang w:val="fr-FR"/>
              </w:rPr>
            </w:pPr>
          </w:p>
          <w:p w14:paraId="2B05B85D" w14:textId="77777777" w:rsidR="009021F1" w:rsidRPr="00114059" w:rsidRDefault="009021F1" w:rsidP="00E637E3">
            <w:pPr>
              <w:pStyle w:val="TableParagraph"/>
              <w:spacing w:line="276" w:lineRule="auto"/>
              <w:rPr>
                <w:sz w:val="20"/>
                <w:szCs w:val="20"/>
                <w:lang w:val="fr-FR"/>
              </w:rPr>
            </w:pPr>
          </w:p>
          <w:p w14:paraId="157E7F4F" w14:textId="77777777" w:rsidR="009021F1" w:rsidRPr="00114059" w:rsidRDefault="009021F1" w:rsidP="00E637E3">
            <w:pPr>
              <w:pStyle w:val="TableParagraph"/>
              <w:spacing w:line="276" w:lineRule="auto"/>
              <w:rPr>
                <w:sz w:val="20"/>
                <w:szCs w:val="20"/>
              </w:rPr>
            </w:pPr>
            <w:r w:rsidRPr="00114059">
              <w:rPr>
                <w:sz w:val="20"/>
                <w:szCs w:val="20"/>
              </w:rPr>
              <w:t>Genre</w:t>
            </w:r>
          </w:p>
        </w:tc>
        <w:tc>
          <w:tcPr>
            <w:tcW w:w="2271" w:type="dxa"/>
            <w:shd w:val="clear" w:color="auto" w:fill="auto"/>
          </w:tcPr>
          <w:p w14:paraId="30E6C408" w14:textId="77777777" w:rsidR="009021F1" w:rsidRPr="00114059" w:rsidRDefault="009021F1" w:rsidP="00E637E3">
            <w:pPr>
              <w:pStyle w:val="TableParagraph"/>
              <w:spacing w:line="276" w:lineRule="auto"/>
              <w:ind w:right="268"/>
              <w:jc w:val="both"/>
              <w:rPr>
                <w:sz w:val="20"/>
                <w:szCs w:val="20"/>
                <w:lang w:val="fr-FR"/>
              </w:rPr>
            </w:pPr>
          </w:p>
          <w:p w14:paraId="1FFB2194" w14:textId="77777777" w:rsidR="009021F1" w:rsidRPr="00114059" w:rsidRDefault="009021F1" w:rsidP="00E637E3">
            <w:pPr>
              <w:pStyle w:val="TableParagraph"/>
              <w:spacing w:line="276" w:lineRule="auto"/>
              <w:ind w:right="268"/>
              <w:jc w:val="both"/>
              <w:rPr>
                <w:sz w:val="20"/>
                <w:szCs w:val="20"/>
                <w:lang w:val="fr-FR"/>
              </w:rPr>
            </w:pPr>
          </w:p>
          <w:p w14:paraId="0043E6DD" w14:textId="77777777" w:rsidR="009021F1" w:rsidRPr="00114059" w:rsidRDefault="009021F1" w:rsidP="00E637E3">
            <w:pPr>
              <w:pStyle w:val="TableParagraph"/>
              <w:spacing w:line="276" w:lineRule="auto"/>
              <w:ind w:right="268"/>
              <w:jc w:val="both"/>
              <w:rPr>
                <w:sz w:val="20"/>
                <w:szCs w:val="20"/>
                <w:lang w:val="fr-FR"/>
              </w:rPr>
            </w:pPr>
            <w:r w:rsidRPr="00114059">
              <w:rPr>
                <w:sz w:val="20"/>
                <w:szCs w:val="20"/>
                <w:lang w:val="fr-FR"/>
              </w:rPr>
              <w:t>Perte</w:t>
            </w:r>
            <w:r w:rsidRPr="00114059">
              <w:rPr>
                <w:spacing w:val="-24"/>
                <w:sz w:val="20"/>
                <w:szCs w:val="20"/>
                <w:lang w:val="fr-FR"/>
              </w:rPr>
              <w:t xml:space="preserve"> </w:t>
            </w:r>
            <w:r w:rsidRPr="00114059">
              <w:rPr>
                <w:sz w:val="20"/>
                <w:szCs w:val="20"/>
                <w:lang w:val="fr-FR"/>
              </w:rPr>
              <w:t>potentielle</w:t>
            </w:r>
            <w:r w:rsidRPr="00114059">
              <w:rPr>
                <w:spacing w:val="-23"/>
                <w:sz w:val="20"/>
                <w:szCs w:val="20"/>
                <w:lang w:val="fr-FR"/>
              </w:rPr>
              <w:t xml:space="preserve"> </w:t>
            </w:r>
            <w:r w:rsidRPr="00114059">
              <w:rPr>
                <w:sz w:val="20"/>
                <w:szCs w:val="20"/>
                <w:lang w:val="fr-FR"/>
              </w:rPr>
              <w:t>de terres et de</w:t>
            </w:r>
            <w:r w:rsidRPr="00114059">
              <w:rPr>
                <w:spacing w:val="-33"/>
                <w:sz w:val="20"/>
                <w:szCs w:val="20"/>
                <w:lang w:val="fr-FR"/>
              </w:rPr>
              <w:t xml:space="preserve"> </w:t>
            </w:r>
            <w:r w:rsidRPr="00114059">
              <w:rPr>
                <w:spacing w:val="-4"/>
                <w:sz w:val="20"/>
                <w:szCs w:val="20"/>
                <w:lang w:val="fr-FR"/>
              </w:rPr>
              <w:t xml:space="preserve">revenus </w:t>
            </w:r>
            <w:r w:rsidRPr="00114059">
              <w:rPr>
                <w:sz w:val="20"/>
                <w:szCs w:val="20"/>
                <w:lang w:val="fr-FR"/>
              </w:rPr>
              <w:t>pour les</w:t>
            </w:r>
            <w:r w:rsidRPr="00114059">
              <w:rPr>
                <w:spacing w:val="-20"/>
                <w:sz w:val="20"/>
                <w:szCs w:val="20"/>
                <w:lang w:val="fr-FR"/>
              </w:rPr>
              <w:t xml:space="preserve"> </w:t>
            </w:r>
            <w:r w:rsidRPr="00114059">
              <w:rPr>
                <w:sz w:val="20"/>
                <w:szCs w:val="20"/>
                <w:lang w:val="fr-FR"/>
              </w:rPr>
              <w:t>femmes.</w:t>
            </w:r>
          </w:p>
        </w:tc>
        <w:tc>
          <w:tcPr>
            <w:tcW w:w="4975" w:type="dxa"/>
            <w:shd w:val="clear" w:color="auto" w:fill="auto"/>
          </w:tcPr>
          <w:p w14:paraId="47FC5353"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Prévoir des mécanismes permettant de consulter les femmes et les hommes (mécanismes différents si nécessaire).</w:t>
            </w:r>
          </w:p>
          <w:p w14:paraId="361562FB"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Indemniser les ménages en présence des deux conjoints.</w:t>
            </w:r>
          </w:p>
          <w:p w14:paraId="6D831883"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Remettre les compensations aux femmes lorsque celles-ci sont directement affectées par le projet,</w:t>
            </w:r>
          </w:p>
        </w:tc>
        <w:tc>
          <w:tcPr>
            <w:tcW w:w="2144" w:type="dxa"/>
            <w:shd w:val="clear" w:color="auto" w:fill="auto"/>
          </w:tcPr>
          <w:p w14:paraId="595057EB"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Pendant la phase d’exécution du Programme</w:t>
            </w:r>
          </w:p>
        </w:tc>
        <w:tc>
          <w:tcPr>
            <w:tcW w:w="2109" w:type="dxa"/>
            <w:shd w:val="clear" w:color="auto" w:fill="auto"/>
          </w:tcPr>
          <w:p w14:paraId="7A49B5CC"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Les PME, la Mission de contrôle</w:t>
            </w:r>
          </w:p>
        </w:tc>
        <w:tc>
          <w:tcPr>
            <w:tcW w:w="2190" w:type="dxa"/>
            <w:shd w:val="clear" w:color="auto" w:fill="auto"/>
          </w:tcPr>
          <w:p w14:paraId="78D054BB"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PNDA et ACE, CPE, OVDA et administration locale, ONG locales y compris celle de VBG</w:t>
            </w:r>
          </w:p>
        </w:tc>
      </w:tr>
      <w:tr w:rsidR="009021F1" w:rsidRPr="00114059" w14:paraId="110DB0FF" w14:textId="77777777" w:rsidTr="00E637E3">
        <w:trPr>
          <w:trHeight w:val="2638"/>
        </w:trPr>
        <w:tc>
          <w:tcPr>
            <w:tcW w:w="1806" w:type="dxa"/>
            <w:vMerge/>
            <w:shd w:val="clear" w:color="auto" w:fill="auto"/>
          </w:tcPr>
          <w:p w14:paraId="66D7A26C" w14:textId="77777777" w:rsidR="009021F1" w:rsidRPr="00114059" w:rsidRDefault="009021F1" w:rsidP="00E637E3">
            <w:pPr>
              <w:pStyle w:val="TableParagraph"/>
              <w:spacing w:line="276" w:lineRule="auto"/>
              <w:rPr>
                <w:sz w:val="20"/>
                <w:szCs w:val="20"/>
                <w:lang w:val="fr-FR"/>
              </w:rPr>
            </w:pPr>
          </w:p>
        </w:tc>
        <w:tc>
          <w:tcPr>
            <w:tcW w:w="2271" w:type="dxa"/>
            <w:shd w:val="clear" w:color="auto" w:fill="auto"/>
          </w:tcPr>
          <w:p w14:paraId="797F03BD" w14:textId="77777777" w:rsidR="009021F1" w:rsidRPr="00114059" w:rsidRDefault="009021F1" w:rsidP="00E637E3">
            <w:pPr>
              <w:pStyle w:val="TableParagraph"/>
              <w:spacing w:line="276" w:lineRule="auto"/>
              <w:ind w:right="268"/>
              <w:rPr>
                <w:sz w:val="20"/>
                <w:szCs w:val="20"/>
                <w:lang w:val="fr-FR"/>
              </w:rPr>
            </w:pPr>
            <w:r w:rsidRPr="00114059">
              <w:rPr>
                <w:sz w:val="20"/>
                <w:szCs w:val="20"/>
                <w:lang w:val="fr-FR"/>
              </w:rPr>
              <w:t>Risque de discrimination sur l’égalité des sexes et des chances lors de recrutement de la main d’œuvre  locale</w:t>
            </w:r>
          </w:p>
        </w:tc>
        <w:tc>
          <w:tcPr>
            <w:tcW w:w="4975" w:type="dxa"/>
            <w:shd w:val="clear" w:color="auto" w:fill="auto"/>
          </w:tcPr>
          <w:p w14:paraId="18BF6931" w14:textId="77777777" w:rsidR="009021F1" w:rsidRPr="00114059" w:rsidRDefault="009021F1" w:rsidP="00E637E3">
            <w:pPr>
              <w:pStyle w:val="TableParagraph"/>
              <w:numPr>
                <w:ilvl w:val="0"/>
                <w:numId w:val="49"/>
              </w:numPr>
              <w:autoSpaceDE w:val="0"/>
              <w:autoSpaceDN w:val="0"/>
              <w:spacing w:line="276" w:lineRule="auto"/>
              <w:ind w:right="97"/>
              <w:jc w:val="both"/>
              <w:rPr>
                <w:sz w:val="20"/>
                <w:szCs w:val="20"/>
                <w:lang w:val="fr-FR"/>
              </w:rPr>
            </w:pPr>
            <w:r w:rsidRPr="00114059">
              <w:rPr>
                <w:sz w:val="20"/>
                <w:szCs w:val="20"/>
                <w:lang w:val="fr-FR"/>
              </w:rPr>
              <w:t>Mettre en place un processus de recrutement clair sans discrimination aucune ;</w:t>
            </w:r>
          </w:p>
          <w:p w14:paraId="02333646" w14:textId="77777777" w:rsidR="009021F1" w:rsidRPr="00114059" w:rsidRDefault="009021F1" w:rsidP="00E637E3">
            <w:pPr>
              <w:pStyle w:val="TableParagraph"/>
              <w:numPr>
                <w:ilvl w:val="0"/>
                <w:numId w:val="49"/>
              </w:numPr>
              <w:autoSpaceDE w:val="0"/>
              <w:autoSpaceDN w:val="0"/>
              <w:spacing w:line="276" w:lineRule="auto"/>
              <w:ind w:right="97"/>
              <w:jc w:val="both"/>
              <w:rPr>
                <w:sz w:val="20"/>
                <w:szCs w:val="20"/>
                <w:lang w:val="fr-FR"/>
              </w:rPr>
            </w:pPr>
            <w:r w:rsidRPr="00114059">
              <w:rPr>
                <w:sz w:val="20"/>
                <w:szCs w:val="20"/>
                <w:lang w:val="fr-FR"/>
              </w:rPr>
              <w:t>Encourager le recrutement des femmes sur les chantiers et assurer la dissémination effective et ciblée aux femmes des informations sur les postes à pourvoir et le processus de recrutement</w:t>
            </w:r>
          </w:p>
          <w:p w14:paraId="01B5DB1F" w14:textId="77777777" w:rsidR="009021F1" w:rsidRPr="00114059" w:rsidRDefault="009021F1" w:rsidP="00E637E3">
            <w:pPr>
              <w:pStyle w:val="TableParagraph"/>
              <w:numPr>
                <w:ilvl w:val="0"/>
                <w:numId w:val="49"/>
              </w:numPr>
              <w:autoSpaceDE w:val="0"/>
              <w:autoSpaceDN w:val="0"/>
              <w:spacing w:line="276" w:lineRule="auto"/>
              <w:ind w:right="97"/>
              <w:jc w:val="both"/>
              <w:rPr>
                <w:sz w:val="20"/>
                <w:szCs w:val="20"/>
                <w:lang w:val="fr-FR"/>
              </w:rPr>
            </w:pPr>
            <w:r w:rsidRPr="00114059">
              <w:rPr>
                <w:sz w:val="20"/>
                <w:szCs w:val="20"/>
                <w:lang w:val="fr-FR"/>
              </w:rPr>
              <w:t>Les décisions en matière de recrutement ou de traitement des travailleurs du Projet ne seront pas prises sur la base de caractéristiques personnelles sans rapport avec les besoins inhérents au poste concerné. Les travailleurs du Projet seront employés selon le principe de l’égalité des sexes et des chances et du traitement équitable et il n’y aura aucune discrimination dans le cadre d’un aspect quelconque de la relation de travail, que ce soit le recrutement et l’embauche, la rémunération (notamment les salaires et les avantages sociaux), les conditions de travail et les modalités d’emploi, incluant l’interdiction du harcèlement sexuel dans le milieu de travail, l’accès à la formation, les missions du poste, la promotion, le licenciement ou le départ à la retraite, ou encore les mesures disciplinaires</w:t>
            </w:r>
          </w:p>
          <w:p w14:paraId="38A3F6E0" w14:textId="77777777" w:rsidR="009021F1" w:rsidRPr="00114059" w:rsidRDefault="009021F1" w:rsidP="00E637E3">
            <w:pPr>
              <w:pStyle w:val="TableParagraph"/>
              <w:numPr>
                <w:ilvl w:val="0"/>
                <w:numId w:val="49"/>
              </w:numPr>
              <w:autoSpaceDE w:val="0"/>
              <w:autoSpaceDN w:val="0"/>
              <w:spacing w:line="276" w:lineRule="auto"/>
              <w:ind w:right="97"/>
              <w:jc w:val="both"/>
              <w:rPr>
                <w:sz w:val="20"/>
                <w:szCs w:val="20"/>
                <w:lang w:val="fr-FR"/>
              </w:rPr>
            </w:pPr>
            <w:r w:rsidRPr="00114059">
              <w:rPr>
                <w:sz w:val="20"/>
                <w:szCs w:val="20"/>
                <w:lang w:val="fr-FR"/>
              </w:rPr>
              <w:t xml:space="preserve">Mettre en place le MGP spécifique aux PA et aux autres groupes vulnérables telles que les femmes et les jeunes. </w:t>
            </w:r>
          </w:p>
        </w:tc>
        <w:tc>
          <w:tcPr>
            <w:tcW w:w="2144" w:type="dxa"/>
            <w:shd w:val="clear" w:color="auto" w:fill="auto"/>
          </w:tcPr>
          <w:p w14:paraId="0542CC36"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Pendant la phase d’exécution du Programme</w:t>
            </w:r>
          </w:p>
        </w:tc>
        <w:tc>
          <w:tcPr>
            <w:tcW w:w="2109" w:type="dxa"/>
            <w:shd w:val="clear" w:color="auto" w:fill="auto"/>
          </w:tcPr>
          <w:p w14:paraId="6EA0E179"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Les PME, la Mission de contrôle</w:t>
            </w:r>
          </w:p>
        </w:tc>
        <w:tc>
          <w:tcPr>
            <w:tcW w:w="2190" w:type="dxa"/>
            <w:shd w:val="clear" w:color="auto" w:fill="auto"/>
          </w:tcPr>
          <w:p w14:paraId="2CF6BF17"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PNDA et ACE, CPE, OVDA et administration locale, ONG locales y compris celle de VBG</w:t>
            </w:r>
          </w:p>
        </w:tc>
      </w:tr>
      <w:tr w:rsidR="009021F1" w:rsidRPr="00114059" w14:paraId="728FAE04" w14:textId="77777777" w:rsidTr="00E637E3">
        <w:trPr>
          <w:trHeight w:val="1110"/>
        </w:trPr>
        <w:tc>
          <w:tcPr>
            <w:tcW w:w="1806" w:type="dxa"/>
            <w:vMerge/>
            <w:shd w:val="clear" w:color="auto" w:fill="auto"/>
          </w:tcPr>
          <w:p w14:paraId="554BDFBB" w14:textId="77777777" w:rsidR="009021F1" w:rsidRPr="00114059" w:rsidRDefault="009021F1" w:rsidP="00E637E3">
            <w:pPr>
              <w:rPr>
                <w:rFonts w:cs="Arial"/>
                <w:sz w:val="20"/>
                <w:szCs w:val="20"/>
              </w:rPr>
            </w:pPr>
          </w:p>
        </w:tc>
        <w:tc>
          <w:tcPr>
            <w:tcW w:w="2271" w:type="dxa"/>
            <w:shd w:val="clear" w:color="auto" w:fill="auto"/>
          </w:tcPr>
          <w:p w14:paraId="5AD2F282" w14:textId="77777777" w:rsidR="009021F1" w:rsidRPr="00114059" w:rsidRDefault="009021F1" w:rsidP="00E637E3">
            <w:pPr>
              <w:pStyle w:val="TableParagraph"/>
              <w:spacing w:line="276" w:lineRule="auto"/>
              <w:ind w:right="108"/>
              <w:rPr>
                <w:sz w:val="20"/>
                <w:szCs w:val="20"/>
                <w:lang w:val="fr-FR"/>
              </w:rPr>
            </w:pPr>
            <w:r w:rsidRPr="00114059">
              <w:rPr>
                <w:sz w:val="20"/>
                <w:szCs w:val="20"/>
                <w:lang w:val="fr-FR"/>
              </w:rPr>
              <w:t xml:space="preserve">Augmentation de la charge de travail </w:t>
            </w:r>
            <w:r w:rsidRPr="00114059">
              <w:rPr>
                <w:spacing w:val="-5"/>
                <w:sz w:val="20"/>
                <w:szCs w:val="20"/>
                <w:lang w:val="fr-FR"/>
              </w:rPr>
              <w:t xml:space="preserve">des </w:t>
            </w:r>
            <w:r w:rsidRPr="00114059">
              <w:rPr>
                <w:sz w:val="20"/>
                <w:szCs w:val="20"/>
                <w:lang w:val="fr-FR"/>
              </w:rPr>
              <w:t xml:space="preserve">femmes </w:t>
            </w:r>
          </w:p>
        </w:tc>
        <w:tc>
          <w:tcPr>
            <w:tcW w:w="4975" w:type="dxa"/>
            <w:shd w:val="clear" w:color="auto" w:fill="auto"/>
          </w:tcPr>
          <w:p w14:paraId="69AE3C71"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Minimiser la durée des perturbations aux champs causées par les travaux de construction de routes agricoles.</w:t>
            </w:r>
          </w:p>
          <w:p w14:paraId="5C51A55F"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Consulter les femmes pour déterminer les meilleures méthodes de travail pour minimiser les perturbations.</w:t>
            </w:r>
          </w:p>
        </w:tc>
        <w:tc>
          <w:tcPr>
            <w:tcW w:w="2144" w:type="dxa"/>
            <w:shd w:val="clear" w:color="auto" w:fill="auto"/>
          </w:tcPr>
          <w:p w14:paraId="4342240C"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Pendant la phase d’exécution du Programme</w:t>
            </w:r>
          </w:p>
        </w:tc>
        <w:tc>
          <w:tcPr>
            <w:tcW w:w="2109" w:type="dxa"/>
            <w:shd w:val="clear" w:color="auto" w:fill="auto"/>
          </w:tcPr>
          <w:p w14:paraId="5B6DC7D6"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Les PME, la Mission de contrôle</w:t>
            </w:r>
          </w:p>
        </w:tc>
        <w:tc>
          <w:tcPr>
            <w:tcW w:w="2190" w:type="dxa"/>
            <w:shd w:val="clear" w:color="auto" w:fill="auto"/>
          </w:tcPr>
          <w:p w14:paraId="1D9830AA"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PNDA et ACE, CPE, OVDA et administration locale, ONG locales y compris celle de VBG</w:t>
            </w:r>
          </w:p>
        </w:tc>
      </w:tr>
      <w:tr w:rsidR="009021F1" w:rsidRPr="00114059" w14:paraId="5C55DA2E" w14:textId="77777777" w:rsidTr="00E637E3">
        <w:trPr>
          <w:trHeight w:val="832"/>
        </w:trPr>
        <w:tc>
          <w:tcPr>
            <w:tcW w:w="1806" w:type="dxa"/>
            <w:vMerge/>
            <w:shd w:val="clear" w:color="auto" w:fill="auto"/>
          </w:tcPr>
          <w:p w14:paraId="0D13BB81" w14:textId="77777777" w:rsidR="009021F1" w:rsidRPr="00114059" w:rsidRDefault="009021F1" w:rsidP="00E637E3">
            <w:pPr>
              <w:rPr>
                <w:rFonts w:cs="Arial"/>
                <w:sz w:val="20"/>
                <w:szCs w:val="20"/>
              </w:rPr>
            </w:pPr>
          </w:p>
        </w:tc>
        <w:tc>
          <w:tcPr>
            <w:tcW w:w="2271" w:type="dxa"/>
            <w:shd w:val="clear" w:color="auto" w:fill="auto"/>
          </w:tcPr>
          <w:p w14:paraId="490CF4A4" w14:textId="77777777" w:rsidR="009021F1" w:rsidRPr="00114059" w:rsidRDefault="009021F1" w:rsidP="00E637E3">
            <w:pPr>
              <w:pStyle w:val="TableParagraph"/>
              <w:spacing w:line="276" w:lineRule="auto"/>
              <w:ind w:right="108"/>
              <w:rPr>
                <w:sz w:val="20"/>
                <w:szCs w:val="20"/>
                <w:lang w:val="fr-FR"/>
              </w:rPr>
            </w:pPr>
            <w:r w:rsidRPr="00114059">
              <w:rPr>
                <w:sz w:val="20"/>
                <w:szCs w:val="20"/>
                <w:lang w:val="fr-FR"/>
              </w:rPr>
              <w:t>Risque d’employer les enfants sur les chantiers</w:t>
            </w:r>
          </w:p>
        </w:tc>
        <w:tc>
          <w:tcPr>
            <w:tcW w:w="4975" w:type="dxa"/>
            <w:shd w:val="clear" w:color="auto" w:fill="auto"/>
          </w:tcPr>
          <w:p w14:paraId="11121AF0"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Interdire l’emploi des enfants, et des mineurs n’ayant pas atteint l’âge requis par la loi pour travailler (tout mineur de moins de 18 ans) ;</w:t>
            </w:r>
          </w:p>
          <w:p w14:paraId="7EA0171D"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Dans le cadre de la mise en œuvre du PNDA, le CGES met l’accès sur le travail des enfants et l’âge minimum conformément à NES n°2. Ainsi, un enfant n’ayant pas atteint l’âge minimum prescrit ne sera pas employé ou engagé sur le programme. Les procédures de gestion de la main-d’œuvre fixe 18 ans l’âge minimum d’admission à l’emploi et au recrutement dans le cadre du Programme PNDA en tenant compte du droit de travail national. Cette disposition de la NES n°2 constitue un impact positif dans la mise en œuvre du PNDA.</w:t>
            </w:r>
            <w:r w:rsidRPr="00114059" w:rsidDel="006538CA">
              <w:rPr>
                <w:sz w:val="20"/>
                <w:szCs w:val="20"/>
                <w:lang w:val="fr-FR"/>
              </w:rPr>
              <w:t xml:space="preserve"> </w:t>
            </w:r>
          </w:p>
        </w:tc>
        <w:tc>
          <w:tcPr>
            <w:tcW w:w="2144" w:type="dxa"/>
            <w:shd w:val="clear" w:color="auto" w:fill="auto"/>
          </w:tcPr>
          <w:p w14:paraId="5EA3C100"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Pendant la phase d’exécution du Programme</w:t>
            </w:r>
          </w:p>
        </w:tc>
        <w:tc>
          <w:tcPr>
            <w:tcW w:w="2109" w:type="dxa"/>
            <w:shd w:val="clear" w:color="auto" w:fill="auto"/>
          </w:tcPr>
          <w:p w14:paraId="4B2FF471"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Les PME, la Mission de contrôle</w:t>
            </w:r>
          </w:p>
        </w:tc>
        <w:tc>
          <w:tcPr>
            <w:tcW w:w="2190" w:type="dxa"/>
            <w:shd w:val="clear" w:color="auto" w:fill="auto"/>
          </w:tcPr>
          <w:p w14:paraId="09C16BEB"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PNDA et ACE, CPE, OVDA et administration locale, ONG locales y compris celles des enfants</w:t>
            </w:r>
          </w:p>
        </w:tc>
      </w:tr>
      <w:tr w:rsidR="009021F1" w:rsidRPr="00114059" w14:paraId="2F620A7D" w14:textId="77777777" w:rsidTr="00E637E3">
        <w:trPr>
          <w:trHeight w:val="699"/>
        </w:trPr>
        <w:tc>
          <w:tcPr>
            <w:tcW w:w="1806" w:type="dxa"/>
            <w:vMerge/>
            <w:shd w:val="clear" w:color="auto" w:fill="auto"/>
          </w:tcPr>
          <w:p w14:paraId="649FFF4F" w14:textId="77777777" w:rsidR="009021F1" w:rsidRPr="00114059" w:rsidRDefault="009021F1" w:rsidP="00E637E3">
            <w:pPr>
              <w:rPr>
                <w:rFonts w:cs="Arial"/>
                <w:sz w:val="20"/>
                <w:szCs w:val="20"/>
              </w:rPr>
            </w:pPr>
          </w:p>
        </w:tc>
        <w:tc>
          <w:tcPr>
            <w:tcW w:w="2271" w:type="dxa"/>
            <w:shd w:val="clear" w:color="auto" w:fill="auto"/>
          </w:tcPr>
          <w:p w14:paraId="6912696A" w14:textId="77777777" w:rsidR="009021F1" w:rsidRPr="00114059" w:rsidRDefault="009021F1" w:rsidP="00E637E3">
            <w:pPr>
              <w:pStyle w:val="TableParagraph"/>
              <w:spacing w:line="276" w:lineRule="auto"/>
              <w:ind w:right="108"/>
              <w:rPr>
                <w:sz w:val="20"/>
                <w:szCs w:val="20"/>
                <w:lang w:val="fr-FR"/>
              </w:rPr>
            </w:pPr>
          </w:p>
          <w:p w14:paraId="0263010C" w14:textId="77777777" w:rsidR="009021F1" w:rsidRPr="00114059" w:rsidRDefault="009021F1" w:rsidP="00E637E3">
            <w:pPr>
              <w:pStyle w:val="TableParagraph"/>
              <w:spacing w:line="276" w:lineRule="auto"/>
              <w:ind w:right="108"/>
              <w:rPr>
                <w:sz w:val="20"/>
                <w:szCs w:val="20"/>
                <w:lang w:val="fr-FR"/>
              </w:rPr>
            </w:pPr>
          </w:p>
          <w:p w14:paraId="2B2BCE4D" w14:textId="77777777" w:rsidR="009021F1" w:rsidRPr="00114059" w:rsidRDefault="009021F1" w:rsidP="00E637E3">
            <w:pPr>
              <w:pStyle w:val="TableParagraph"/>
              <w:spacing w:line="276" w:lineRule="auto"/>
              <w:ind w:right="108"/>
              <w:rPr>
                <w:sz w:val="20"/>
                <w:szCs w:val="20"/>
                <w:lang w:val="fr-FR"/>
              </w:rPr>
            </w:pPr>
          </w:p>
          <w:p w14:paraId="4A962881" w14:textId="77777777" w:rsidR="009021F1" w:rsidRPr="00114059" w:rsidRDefault="009021F1" w:rsidP="00E637E3">
            <w:pPr>
              <w:pStyle w:val="TableParagraph"/>
              <w:spacing w:line="276" w:lineRule="auto"/>
              <w:ind w:right="108"/>
              <w:rPr>
                <w:sz w:val="20"/>
                <w:szCs w:val="20"/>
                <w:lang w:val="fr-FR"/>
              </w:rPr>
            </w:pPr>
          </w:p>
          <w:p w14:paraId="7D9CC71C" w14:textId="77777777" w:rsidR="009021F1" w:rsidRPr="00114059" w:rsidRDefault="009021F1" w:rsidP="00E637E3">
            <w:pPr>
              <w:pStyle w:val="TableParagraph"/>
              <w:spacing w:line="276" w:lineRule="auto"/>
              <w:ind w:right="108"/>
              <w:rPr>
                <w:sz w:val="20"/>
                <w:szCs w:val="20"/>
                <w:lang w:val="fr-FR"/>
              </w:rPr>
            </w:pPr>
          </w:p>
          <w:p w14:paraId="028F6CBF" w14:textId="77777777" w:rsidR="009021F1" w:rsidRPr="00114059" w:rsidRDefault="009021F1" w:rsidP="00E637E3">
            <w:pPr>
              <w:pStyle w:val="TableParagraph"/>
              <w:spacing w:line="276" w:lineRule="auto"/>
              <w:ind w:right="108"/>
              <w:rPr>
                <w:sz w:val="20"/>
                <w:szCs w:val="20"/>
              </w:rPr>
            </w:pPr>
            <w:r w:rsidRPr="00114059">
              <w:rPr>
                <w:sz w:val="20"/>
                <w:szCs w:val="20"/>
              </w:rPr>
              <w:t>Risque de VBG</w:t>
            </w:r>
          </w:p>
          <w:p w14:paraId="534B7A55" w14:textId="77777777" w:rsidR="009021F1" w:rsidRPr="00114059" w:rsidRDefault="009021F1" w:rsidP="00E637E3">
            <w:pPr>
              <w:pStyle w:val="TableParagraph"/>
              <w:numPr>
                <w:ilvl w:val="0"/>
                <w:numId w:val="49"/>
              </w:numPr>
              <w:autoSpaceDE w:val="0"/>
              <w:autoSpaceDN w:val="0"/>
              <w:spacing w:before="42" w:line="276" w:lineRule="auto"/>
              <w:ind w:left="164" w:right="97" w:hanging="164"/>
              <w:rPr>
                <w:sz w:val="20"/>
                <w:szCs w:val="20"/>
                <w:lang w:val="fr-FR"/>
              </w:rPr>
            </w:pPr>
            <w:r w:rsidRPr="00114059">
              <w:rPr>
                <w:sz w:val="20"/>
                <w:szCs w:val="20"/>
                <w:lang w:val="fr-FR"/>
              </w:rPr>
              <w:t>Présence de la main-d’œuvre destinée au projet venue d’ailleurs (d’autres pays ou d’autres régions d’un pays), ce qui peut accroître les risques d’EAS/HS ;</w:t>
            </w:r>
          </w:p>
          <w:p w14:paraId="11A0E966" w14:textId="77777777" w:rsidR="009021F1" w:rsidRPr="00114059" w:rsidRDefault="009021F1" w:rsidP="00E637E3">
            <w:pPr>
              <w:pStyle w:val="TableParagraph"/>
              <w:numPr>
                <w:ilvl w:val="0"/>
                <w:numId w:val="49"/>
              </w:numPr>
              <w:autoSpaceDE w:val="0"/>
              <w:autoSpaceDN w:val="0"/>
              <w:spacing w:before="42" w:line="276" w:lineRule="auto"/>
              <w:ind w:left="164" w:right="97" w:hanging="164"/>
              <w:rPr>
                <w:sz w:val="20"/>
                <w:szCs w:val="20"/>
                <w:lang w:val="fr-FR"/>
              </w:rPr>
            </w:pPr>
            <w:r w:rsidRPr="00114059">
              <w:rPr>
                <w:sz w:val="20"/>
                <w:szCs w:val="20"/>
                <w:lang w:val="fr-FR"/>
              </w:rPr>
              <w:t>Augmentation des revenus des travailleurs favorise le sexe transactionnel et les relations d’exploitation ;</w:t>
            </w:r>
          </w:p>
          <w:p w14:paraId="6526A25A" w14:textId="77777777" w:rsidR="009021F1" w:rsidRPr="00114059" w:rsidRDefault="009021F1" w:rsidP="00E637E3">
            <w:pPr>
              <w:pStyle w:val="TableParagraph"/>
              <w:numPr>
                <w:ilvl w:val="0"/>
                <w:numId w:val="49"/>
              </w:numPr>
              <w:autoSpaceDE w:val="0"/>
              <w:autoSpaceDN w:val="0"/>
              <w:spacing w:before="42" w:line="276" w:lineRule="auto"/>
              <w:ind w:left="164" w:right="97" w:hanging="164"/>
              <w:rPr>
                <w:sz w:val="20"/>
                <w:szCs w:val="20"/>
                <w:lang w:val="fr-FR"/>
              </w:rPr>
            </w:pPr>
            <w:r w:rsidRPr="00114059">
              <w:rPr>
                <w:sz w:val="20"/>
                <w:szCs w:val="20"/>
                <w:lang w:val="fr-FR"/>
              </w:rPr>
              <w:t>Augmentation des revenus des travailleurs renforce le déséquilibre de pouvoir.</w:t>
            </w:r>
          </w:p>
        </w:tc>
        <w:tc>
          <w:tcPr>
            <w:tcW w:w="4975" w:type="dxa"/>
            <w:shd w:val="clear" w:color="auto" w:fill="auto"/>
          </w:tcPr>
          <w:p w14:paraId="162F4EA9"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 xml:space="preserve">Prendre en compte les aspects liés à l’EAS/HS lors de l’élaboration des clauses contractuelles environnementales et sociales dans les contrats des entreprises ou prestataires ; </w:t>
            </w:r>
          </w:p>
          <w:p w14:paraId="2FE95574"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Organiser des formations des travailleurs, en pool sur les concepts clés d’EAS/HS (y compris le code de bonne conduite, le règlement intérieur, la gestion des cas, le MGP, etc.)</w:t>
            </w:r>
          </w:p>
          <w:p w14:paraId="2580157D"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Faire signer le code de bonne conduite (individuelle, du gestionnaire et de l’entreprise) aux agents et travailleurs avant de les engager sur le chantier, intégrant un langage explicite sur les comportements interdits, les notions clés sur l’EAS et le HS, y compris les définitions et la notion de consentement, et les sanctions applicables ;</w:t>
            </w:r>
          </w:p>
          <w:p w14:paraId="3DC527CA"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Promouvoir l’égalité de genre pendant la mise en œuvre du Projet ;</w:t>
            </w:r>
          </w:p>
          <w:p w14:paraId="4F943FE2"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Identifier et former les sensibilisateurs communautaires pour informer la communauté sur les risques d’EAS/HS</w:t>
            </w:r>
          </w:p>
          <w:p w14:paraId="0563903B"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Sensibiliser la communauté sur les risques d’EAS/HS ainsi que le VIH/SIDA</w:t>
            </w:r>
          </w:p>
          <w:p w14:paraId="57A0D3B7"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Assurer une large diffusion des offres d’emplois afin d’assurer une égalité de chance à tous les demandeurs/-euses ;</w:t>
            </w:r>
          </w:p>
          <w:p w14:paraId="4FE6FABB"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Aménager des toilettes et vestiaires séparés, sécurisés, et bien allumés pour les hommes et les femmes et vérrouillables de l’intérieur ;</w:t>
            </w:r>
          </w:p>
          <w:p w14:paraId="6B2DBD4F"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Sensibiliser le personnel des entreprises, mission de contrôle et la communauté sur la discrimination et les notions clés d’EAS/HS, y compris sur le code de bonne conduite, le MGP, et la réponse aux incidents</w:t>
            </w:r>
          </w:p>
          <w:p w14:paraId="54C476AF"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Former tous les nouveaux travailleurs sur les VBG/EAS/HS avant d’être affecté sur chantier et recyclage des anciens travailleurs afin de rafraichir les notions sur les VBG/EAS/HS</w:t>
            </w:r>
          </w:p>
          <w:p w14:paraId="100A0280"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Sensibiliser travailleurs et les communautés sur la lutte contre la VBG/EAS/HS ainsi que les IST et le VIH dans communes concernées par le Projet ;</w:t>
            </w:r>
          </w:p>
          <w:p w14:paraId="6B0EA3B1"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Prise en charge des survivantes des VBG/EAS/HS liées au projet à travers le MGP ainsi que les structures de prise en charge médicale, psychosociale, juridique et judiciaire ainsi que l’accompagnement pour une autonomisation des femmes.</w:t>
            </w:r>
          </w:p>
          <w:p w14:paraId="2BAAAA2C"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Développer et mettre en œuvre un plan d’atténuation des risques VBG/EAS/HS</w:t>
            </w:r>
          </w:p>
          <w:p w14:paraId="4D4F30FA"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Renforcer la prise d'identité complète avec la photo des travailleurs et sensibiliser sur les lois de lutte contre les VBG et  l'impunité en cas d'EAS lors de l'embauche des travailleurs.</w:t>
            </w:r>
          </w:p>
          <w:p w14:paraId="7216BC3C"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Appropriation et signature des entreprises du code de bonne conduite pour les travailleurs et les gestionnaires intégrant la dimension VBG/EAS/HS</w:t>
            </w:r>
          </w:p>
          <w:p w14:paraId="6D404CB2"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Intégrer les aspects EAS/HS dans le règlement d’ordre intérieur de l’entreprise.</w:t>
            </w:r>
          </w:p>
          <w:p w14:paraId="56CB2F17"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Afficher le code de conduite dans lieux visibles et accessibles pour tous les travailleurs, et ce dans différentes langues par l’entreprise</w:t>
            </w:r>
          </w:p>
          <w:p w14:paraId="4BDA6AE2"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Loger dans un campement (base vie mobile) du personnel congolais qui est déplacé sur les chantiers A la rigueur de donner la chance aux autochtones pour effectuer les travaux sur chantiers</w:t>
            </w:r>
          </w:p>
          <w:p w14:paraId="15433EAA"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Sanctionner par l'entreprise tous les présumés auteurs</w:t>
            </w:r>
          </w:p>
          <w:p w14:paraId="4FC7BC13" w14:textId="77777777" w:rsidR="009021F1" w:rsidRPr="00114059" w:rsidRDefault="009021F1" w:rsidP="00E637E3">
            <w:pPr>
              <w:pStyle w:val="TableParagraph"/>
              <w:numPr>
                <w:ilvl w:val="0"/>
                <w:numId w:val="49"/>
              </w:numPr>
              <w:autoSpaceDE w:val="0"/>
              <w:autoSpaceDN w:val="0"/>
              <w:spacing w:before="42" w:line="276" w:lineRule="auto"/>
              <w:ind w:left="164" w:right="97" w:hanging="164"/>
              <w:rPr>
                <w:sz w:val="20"/>
                <w:szCs w:val="20"/>
                <w:lang w:val="fr-FR"/>
              </w:rPr>
            </w:pPr>
            <w:r w:rsidRPr="00114059">
              <w:rPr>
                <w:sz w:val="20"/>
                <w:szCs w:val="20"/>
                <w:lang w:val="fr-FR"/>
              </w:rPr>
              <w:t>Equipe de conformité VBG : s’assurer que l’équipe d’appui aux actions d’EAS/HS en supervision puisse surveiller et rendre compte de l’efficacité de la mise en œuvre du Plan d’action EAS/HS ;</w:t>
            </w:r>
          </w:p>
          <w:p w14:paraId="3C870735" w14:textId="77777777" w:rsidR="009021F1" w:rsidRPr="00114059" w:rsidRDefault="009021F1" w:rsidP="00E637E3">
            <w:pPr>
              <w:pStyle w:val="TableParagraph"/>
              <w:numPr>
                <w:ilvl w:val="0"/>
                <w:numId w:val="49"/>
              </w:numPr>
              <w:autoSpaceDE w:val="0"/>
              <w:autoSpaceDN w:val="0"/>
              <w:spacing w:before="42" w:line="276" w:lineRule="auto"/>
              <w:ind w:left="164" w:right="97" w:hanging="164"/>
              <w:rPr>
                <w:sz w:val="20"/>
                <w:szCs w:val="20"/>
                <w:lang w:val="fr-FR"/>
              </w:rPr>
            </w:pPr>
            <w:r w:rsidRPr="00114059">
              <w:rPr>
                <w:sz w:val="20"/>
                <w:szCs w:val="20"/>
                <w:lang w:val="fr-FR"/>
              </w:rPr>
              <w:t>Respect des principes de confidentialité, la sécurité et bien-être, l’approche axée sur la survivante, accessibilité et transparence inclus dans les plans de gestion du client et de l’entrepreneur et dans le CGES ;</w:t>
            </w:r>
          </w:p>
          <w:p w14:paraId="232C6215" w14:textId="77777777" w:rsidR="009021F1" w:rsidRPr="00114059" w:rsidRDefault="009021F1" w:rsidP="00E637E3">
            <w:pPr>
              <w:pStyle w:val="TableParagraph"/>
              <w:numPr>
                <w:ilvl w:val="0"/>
                <w:numId w:val="49"/>
              </w:numPr>
              <w:autoSpaceDE w:val="0"/>
              <w:autoSpaceDN w:val="0"/>
              <w:spacing w:before="42" w:line="276" w:lineRule="auto"/>
              <w:ind w:left="164" w:right="97" w:hanging="164"/>
              <w:rPr>
                <w:sz w:val="20"/>
                <w:szCs w:val="20"/>
                <w:lang w:val="fr-FR"/>
              </w:rPr>
            </w:pPr>
            <w:r w:rsidRPr="00114059">
              <w:rPr>
                <w:sz w:val="20"/>
                <w:szCs w:val="20"/>
                <w:lang w:val="fr-FR"/>
              </w:rPr>
              <w:t>Inclure les clauses relatives à l’atténuation et la réponse à l’EAS/HS dans les DAO et les contrats de fournisseurs externes ;</w:t>
            </w:r>
          </w:p>
          <w:p w14:paraId="78BB93B2" w14:textId="77777777" w:rsidR="009021F1" w:rsidRPr="00114059" w:rsidRDefault="009021F1" w:rsidP="00E637E3">
            <w:pPr>
              <w:pStyle w:val="TableParagraph"/>
              <w:numPr>
                <w:ilvl w:val="0"/>
                <w:numId w:val="49"/>
              </w:numPr>
              <w:autoSpaceDE w:val="0"/>
              <w:autoSpaceDN w:val="0"/>
              <w:spacing w:before="42" w:line="276" w:lineRule="auto"/>
              <w:ind w:left="164" w:right="97" w:hanging="164"/>
              <w:rPr>
                <w:sz w:val="20"/>
                <w:szCs w:val="20"/>
                <w:lang w:val="fr-FR"/>
              </w:rPr>
            </w:pPr>
            <w:r w:rsidRPr="00114059">
              <w:rPr>
                <w:sz w:val="20"/>
                <w:szCs w:val="20"/>
                <w:lang w:val="fr-FR"/>
              </w:rPr>
              <w:t>Cadre de réponse et rédévabilité :</w:t>
            </w:r>
          </w:p>
          <w:p w14:paraId="4F1E0C39" w14:textId="77777777" w:rsidR="009021F1" w:rsidRPr="00114059" w:rsidRDefault="009021F1" w:rsidP="00E637E3">
            <w:pPr>
              <w:pStyle w:val="TableParagraph"/>
              <w:numPr>
                <w:ilvl w:val="0"/>
                <w:numId w:val="105"/>
              </w:numPr>
              <w:autoSpaceDE w:val="0"/>
              <w:autoSpaceDN w:val="0"/>
              <w:spacing w:before="42" w:line="276" w:lineRule="auto"/>
              <w:ind w:left="448" w:right="97" w:hanging="142"/>
              <w:rPr>
                <w:sz w:val="20"/>
                <w:szCs w:val="20"/>
                <w:lang w:val="fr-FR"/>
              </w:rPr>
            </w:pPr>
            <w:r w:rsidRPr="00114059">
              <w:rPr>
                <w:sz w:val="20"/>
                <w:szCs w:val="20"/>
                <w:lang w:val="fr-FR"/>
              </w:rPr>
              <w:t>Former le personnel et les travailleurs sur l’EAS/HS, le code de conduite à signer, et les procédures spécifiques aux plaintes d’EAS/HS dans le MGP ;</w:t>
            </w:r>
          </w:p>
          <w:p w14:paraId="4EC7CA96" w14:textId="77777777" w:rsidR="009021F1" w:rsidRPr="00114059" w:rsidRDefault="009021F1" w:rsidP="00E637E3">
            <w:pPr>
              <w:pStyle w:val="TableParagraph"/>
              <w:numPr>
                <w:ilvl w:val="0"/>
                <w:numId w:val="105"/>
              </w:numPr>
              <w:autoSpaceDE w:val="0"/>
              <w:autoSpaceDN w:val="0"/>
              <w:spacing w:before="42" w:line="276" w:lineRule="auto"/>
              <w:ind w:left="448" w:right="97" w:hanging="142"/>
              <w:rPr>
                <w:sz w:val="20"/>
                <w:szCs w:val="20"/>
                <w:lang w:val="fr-FR"/>
              </w:rPr>
            </w:pPr>
            <w:r w:rsidRPr="00114059">
              <w:rPr>
                <w:sz w:val="20"/>
                <w:szCs w:val="20"/>
                <w:lang w:val="fr-FR"/>
              </w:rPr>
              <w:t>Sensibiliser le personnel, les travailleurs et les communautés quant aux risques d’EAS/HS, aux comportements interdits, et au MGP ;</w:t>
            </w:r>
          </w:p>
          <w:p w14:paraId="61B3BB33" w14:textId="77777777" w:rsidR="009021F1" w:rsidRPr="00114059" w:rsidRDefault="009021F1" w:rsidP="00E637E3">
            <w:pPr>
              <w:pStyle w:val="TableParagraph"/>
              <w:numPr>
                <w:ilvl w:val="0"/>
                <w:numId w:val="105"/>
              </w:numPr>
              <w:autoSpaceDE w:val="0"/>
              <w:autoSpaceDN w:val="0"/>
              <w:spacing w:before="42" w:line="276" w:lineRule="auto"/>
              <w:ind w:left="448" w:right="97" w:hanging="142"/>
              <w:rPr>
                <w:sz w:val="20"/>
                <w:szCs w:val="20"/>
                <w:lang w:val="fr-FR"/>
              </w:rPr>
            </w:pPr>
            <w:r w:rsidRPr="00114059">
              <w:rPr>
                <w:sz w:val="20"/>
                <w:szCs w:val="20"/>
                <w:lang w:val="fr-FR"/>
              </w:rPr>
              <w:t>Organiser des consultations communautaires indépendantes avec les femmes dans des conditions sûres et confidentielles (avec des facilitatrices de groupe) pour récolter les informations sur les risques et impacts du projet ; et</w:t>
            </w:r>
          </w:p>
          <w:p w14:paraId="47218425" w14:textId="77777777" w:rsidR="009021F1" w:rsidRPr="00114059" w:rsidRDefault="009021F1" w:rsidP="00E637E3">
            <w:pPr>
              <w:pStyle w:val="TableParagraph"/>
              <w:numPr>
                <w:ilvl w:val="0"/>
                <w:numId w:val="105"/>
              </w:numPr>
              <w:autoSpaceDE w:val="0"/>
              <w:autoSpaceDN w:val="0"/>
              <w:spacing w:before="42" w:line="276" w:lineRule="auto"/>
              <w:ind w:left="448" w:right="97" w:hanging="142"/>
              <w:rPr>
                <w:sz w:val="20"/>
                <w:szCs w:val="20"/>
                <w:lang w:val="fr-FR"/>
              </w:rPr>
            </w:pPr>
            <w:r w:rsidRPr="00114059">
              <w:rPr>
                <w:sz w:val="20"/>
                <w:szCs w:val="20"/>
                <w:lang w:val="fr-FR"/>
              </w:rPr>
              <w:t>Inclure les activités de prévention d’EAS/HS dans les contrats des prestataires ou fournisseurs de services.</w:t>
            </w:r>
          </w:p>
        </w:tc>
        <w:tc>
          <w:tcPr>
            <w:tcW w:w="2144" w:type="dxa"/>
            <w:shd w:val="clear" w:color="auto" w:fill="auto"/>
          </w:tcPr>
          <w:p w14:paraId="6BD75981"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Pendant la phase d’exécution du Programme</w:t>
            </w:r>
          </w:p>
        </w:tc>
        <w:tc>
          <w:tcPr>
            <w:tcW w:w="2109" w:type="dxa"/>
            <w:shd w:val="clear" w:color="auto" w:fill="auto"/>
          </w:tcPr>
          <w:p w14:paraId="3F919071"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Les PME, la Mission de contrôle</w:t>
            </w:r>
          </w:p>
        </w:tc>
        <w:tc>
          <w:tcPr>
            <w:tcW w:w="2190" w:type="dxa"/>
            <w:shd w:val="clear" w:color="auto" w:fill="auto"/>
          </w:tcPr>
          <w:p w14:paraId="4E5F0C27" w14:textId="77777777" w:rsidR="009021F1" w:rsidRPr="00114059" w:rsidRDefault="009021F1" w:rsidP="00E637E3">
            <w:pPr>
              <w:pStyle w:val="TableParagraph"/>
              <w:numPr>
                <w:ilvl w:val="0"/>
                <w:numId w:val="49"/>
              </w:numPr>
              <w:autoSpaceDE w:val="0"/>
              <w:autoSpaceDN w:val="0"/>
              <w:spacing w:line="276" w:lineRule="auto"/>
              <w:ind w:left="164" w:right="97" w:hanging="164"/>
              <w:rPr>
                <w:sz w:val="20"/>
                <w:szCs w:val="20"/>
                <w:lang w:val="fr-FR"/>
              </w:rPr>
            </w:pPr>
            <w:r w:rsidRPr="00114059">
              <w:rPr>
                <w:sz w:val="20"/>
                <w:szCs w:val="20"/>
                <w:lang w:val="fr-FR"/>
              </w:rPr>
              <w:t>PNDA et ACE, CPE, OVDA et administration locale, ONG locales y compris celle de VBG</w:t>
            </w:r>
          </w:p>
        </w:tc>
      </w:tr>
      <w:tr w:rsidR="009021F1" w:rsidRPr="00114059" w14:paraId="2824CE41" w14:textId="77777777" w:rsidTr="00E637E3">
        <w:trPr>
          <w:trHeight w:val="392"/>
        </w:trPr>
        <w:tc>
          <w:tcPr>
            <w:tcW w:w="1806" w:type="dxa"/>
            <w:vMerge/>
            <w:shd w:val="clear" w:color="auto" w:fill="auto"/>
          </w:tcPr>
          <w:p w14:paraId="5F391A7A" w14:textId="77777777" w:rsidR="009021F1" w:rsidRPr="00114059" w:rsidRDefault="009021F1" w:rsidP="00E637E3">
            <w:pPr>
              <w:rPr>
                <w:rFonts w:cs="Arial"/>
                <w:sz w:val="20"/>
                <w:szCs w:val="20"/>
              </w:rPr>
            </w:pPr>
          </w:p>
        </w:tc>
        <w:tc>
          <w:tcPr>
            <w:tcW w:w="2271" w:type="dxa"/>
            <w:shd w:val="clear" w:color="auto" w:fill="auto"/>
          </w:tcPr>
          <w:p w14:paraId="2CB99596" w14:textId="77777777" w:rsidR="009021F1" w:rsidRPr="00114059" w:rsidRDefault="009021F1" w:rsidP="00E637E3">
            <w:pPr>
              <w:pStyle w:val="TableParagraph"/>
              <w:spacing w:line="276" w:lineRule="auto"/>
              <w:ind w:right="87"/>
              <w:rPr>
                <w:sz w:val="20"/>
                <w:szCs w:val="20"/>
                <w:lang w:val="fr-FR"/>
              </w:rPr>
            </w:pPr>
          </w:p>
          <w:p w14:paraId="66AC581B" w14:textId="77777777" w:rsidR="009021F1" w:rsidRPr="00114059" w:rsidRDefault="009021F1" w:rsidP="00E637E3">
            <w:pPr>
              <w:pStyle w:val="TableParagraph"/>
              <w:spacing w:line="276" w:lineRule="auto"/>
              <w:ind w:right="87"/>
              <w:rPr>
                <w:sz w:val="20"/>
                <w:szCs w:val="20"/>
                <w:lang w:val="fr-FR"/>
              </w:rPr>
            </w:pPr>
          </w:p>
          <w:p w14:paraId="7CBD01FC" w14:textId="77777777" w:rsidR="009021F1" w:rsidRPr="00114059" w:rsidRDefault="009021F1" w:rsidP="00E637E3">
            <w:pPr>
              <w:pStyle w:val="TableParagraph"/>
              <w:spacing w:line="276" w:lineRule="auto"/>
              <w:ind w:right="87"/>
              <w:rPr>
                <w:sz w:val="20"/>
                <w:szCs w:val="20"/>
                <w:lang w:val="fr-FR"/>
              </w:rPr>
            </w:pPr>
          </w:p>
          <w:p w14:paraId="7A021C40" w14:textId="77777777" w:rsidR="009021F1" w:rsidRPr="00114059" w:rsidRDefault="009021F1" w:rsidP="00E637E3">
            <w:pPr>
              <w:pStyle w:val="TableParagraph"/>
              <w:spacing w:line="276" w:lineRule="auto"/>
              <w:ind w:right="87"/>
              <w:rPr>
                <w:sz w:val="20"/>
                <w:szCs w:val="20"/>
                <w:lang w:val="fr-FR"/>
              </w:rPr>
            </w:pPr>
            <w:r w:rsidRPr="00114059">
              <w:rPr>
                <w:sz w:val="20"/>
                <w:szCs w:val="20"/>
                <w:lang w:val="fr-FR"/>
              </w:rPr>
              <w:t>Accès limité des femmes aux emplois et autres retombées économiques du projet.</w:t>
            </w:r>
          </w:p>
        </w:tc>
        <w:tc>
          <w:tcPr>
            <w:tcW w:w="4975" w:type="dxa"/>
            <w:shd w:val="clear" w:color="auto" w:fill="auto"/>
          </w:tcPr>
          <w:p w14:paraId="3E02BF42"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Transmettre aux femmes et aux hommes les informations concernant les possibilités d’emplois et les besoins en biens et services (petits outils, restauration, etc.) ;</w:t>
            </w:r>
          </w:p>
          <w:p w14:paraId="0A701222"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Assister les femmes à présenter une demande d’emploi et évaluer les candidatures en fonction des compétences et de l’expérience similaire ;</w:t>
            </w:r>
          </w:p>
          <w:p w14:paraId="08745CF3"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Offrir une formation en emploi pour promouvoir l’emploi des femmes et des hommes pour lesquels il leur manque quelques qualifications pour l’emploi ;</w:t>
            </w:r>
          </w:p>
          <w:p w14:paraId="731E8B66"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Promouvoir l’emploi des femmes dans des rôles typiquement accordés aux hommes et des postes de supervision.</w:t>
            </w:r>
          </w:p>
        </w:tc>
        <w:tc>
          <w:tcPr>
            <w:tcW w:w="2144" w:type="dxa"/>
            <w:shd w:val="clear" w:color="auto" w:fill="auto"/>
          </w:tcPr>
          <w:p w14:paraId="75D6BFF0"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Pendant la phase d’exécution du Programme</w:t>
            </w:r>
          </w:p>
        </w:tc>
        <w:tc>
          <w:tcPr>
            <w:tcW w:w="2109" w:type="dxa"/>
            <w:shd w:val="clear" w:color="auto" w:fill="auto"/>
          </w:tcPr>
          <w:p w14:paraId="4A8E4C01"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Les PME, la Mission de contrôle</w:t>
            </w:r>
          </w:p>
        </w:tc>
        <w:tc>
          <w:tcPr>
            <w:tcW w:w="2190" w:type="dxa"/>
            <w:shd w:val="clear" w:color="auto" w:fill="auto"/>
          </w:tcPr>
          <w:p w14:paraId="500698E8"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 xml:space="preserve">PNDA et ACE, CPE, OVDA et administration locale, ONG locales </w:t>
            </w:r>
          </w:p>
        </w:tc>
      </w:tr>
      <w:tr w:rsidR="009021F1" w:rsidRPr="00114059" w14:paraId="6400710E" w14:textId="77777777" w:rsidTr="00E637E3">
        <w:trPr>
          <w:trHeight w:val="1108"/>
        </w:trPr>
        <w:tc>
          <w:tcPr>
            <w:tcW w:w="1806" w:type="dxa"/>
            <w:vMerge w:val="restart"/>
            <w:shd w:val="clear" w:color="auto" w:fill="auto"/>
          </w:tcPr>
          <w:p w14:paraId="27096284" w14:textId="77777777" w:rsidR="009021F1" w:rsidRPr="00114059" w:rsidRDefault="009021F1" w:rsidP="00E637E3">
            <w:pPr>
              <w:pStyle w:val="TableParagraph"/>
              <w:spacing w:line="276" w:lineRule="auto"/>
              <w:rPr>
                <w:sz w:val="20"/>
                <w:szCs w:val="20"/>
                <w:lang w:val="fr-FR"/>
              </w:rPr>
            </w:pPr>
          </w:p>
          <w:p w14:paraId="2E151FB2" w14:textId="77777777" w:rsidR="009021F1" w:rsidRPr="00114059" w:rsidRDefault="009021F1" w:rsidP="00E637E3">
            <w:pPr>
              <w:pStyle w:val="TableParagraph"/>
              <w:spacing w:line="276" w:lineRule="auto"/>
              <w:rPr>
                <w:sz w:val="20"/>
                <w:szCs w:val="20"/>
                <w:lang w:val="fr-FR"/>
              </w:rPr>
            </w:pPr>
          </w:p>
          <w:p w14:paraId="7B6DBCE9" w14:textId="77777777" w:rsidR="009021F1" w:rsidRPr="00114059" w:rsidRDefault="009021F1" w:rsidP="00E637E3">
            <w:pPr>
              <w:pStyle w:val="TableParagraph"/>
              <w:spacing w:line="276" w:lineRule="auto"/>
              <w:rPr>
                <w:sz w:val="20"/>
                <w:szCs w:val="20"/>
                <w:lang w:val="fr-FR"/>
              </w:rPr>
            </w:pPr>
          </w:p>
          <w:p w14:paraId="3BF54143" w14:textId="77777777" w:rsidR="009021F1" w:rsidRPr="00114059" w:rsidRDefault="009021F1" w:rsidP="00E637E3">
            <w:pPr>
              <w:pStyle w:val="TableParagraph"/>
              <w:spacing w:line="276" w:lineRule="auto"/>
              <w:rPr>
                <w:sz w:val="20"/>
                <w:szCs w:val="20"/>
                <w:lang w:val="fr-FR"/>
              </w:rPr>
            </w:pPr>
          </w:p>
          <w:p w14:paraId="4AD582AD" w14:textId="77777777" w:rsidR="009021F1" w:rsidRPr="00114059" w:rsidRDefault="009021F1" w:rsidP="00E637E3">
            <w:pPr>
              <w:pStyle w:val="TableParagraph"/>
              <w:spacing w:line="276" w:lineRule="auto"/>
              <w:rPr>
                <w:sz w:val="20"/>
                <w:szCs w:val="20"/>
                <w:lang w:val="fr-FR"/>
              </w:rPr>
            </w:pPr>
          </w:p>
          <w:p w14:paraId="7C0310CB" w14:textId="77777777" w:rsidR="009021F1" w:rsidRPr="00114059" w:rsidRDefault="009021F1" w:rsidP="00E637E3">
            <w:pPr>
              <w:pStyle w:val="TableParagraph"/>
              <w:spacing w:line="276" w:lineRule="auto"/>
              <w:rPr>
                <w:sz w:val="20"/>
                <w:szCs w:val="20"/>
                <w:lang w:val="fr-FR"/>
              </w:rPr>
            </w:pPr>
          </w:p>
          <w:p w14:paraId="1CA835CF" w14:textId="77777777" w:rsidR="009021F1" w:rsidRPr="00114059" w:rsidRDefault="009021F1" w:rsidP="00E637E3">
            <w:pPr>
              <w:pStyle w:val="TableParagraph"/>
              <w:spacing w:line="276" w:lineRule="auto"/>
              <w:rPr>
                <w:sz w:val="20"/>
                <w:szCs w:val="20"/>
                <w:lang w:val="fr-FR"/>
              </w:rPr>
            </w:pPr>
          </w:p>
          <w:p w14:paraId="7C24F5A0" w14:textId="77777777" w:rsidR="009021F1" w:rsidRPr="00114059" w:rsidRDefault="009021F1" w:rsidP="00E637E3">
            <w:pPr>
              <w:pStyle w:val="TableParagraph"/>
              <w:spacing w:line="276" w:lineRule="auto"/>
              <w:rPr>
                <w:sz w:val="20"/>
                <w:szCs w:val="20"/>
                <w:lang w:val="fr-FR"/>
              </w:rPr>
            </w:pPr>
          </w:p>
          <w:p w14:paraId="30EFFA81" w14:textId="77777777" w:rsidR="009021F1" w:rsidRPr="00114059" w:rsidRDefault="009021F1" w:rsidP="00E637E3">
            <w:pPr>
              <w:pStyle w:val="TableParagraph"/>
              <w:spacing w:line="276" w:lineRule="auto"/>
              <w:rPr>
                <w:sz w:val="20"/>
                <w:szCs w:val="20"/>
                <w:lang w:val="fr-FR"/>
              </w:rPr>
            </w:pPr>
          </w:p>
          <w:p w14:paraId="0169F89D" w14:textId="77777777" w:rsidR="009021F1" w:rsidRPr="00114059" w:rsidRDefault="009021F1" w:rsidP="00E637E3">
            <w:pPr>
              <w:pStyle w:val="TableParagraph"/>
              <w:spacing w:line="276" w:lineRule="auto"/>
              <w:rPr>
                <w:sz w:val="20"/>
                <w:szCs w:val="20"/>
                <w:lang w:val="fr-FR"/>
              </w:rPr>
            </w:pPr>
          </w:p>
          <w:p w14:paraId="59735907" w14:textId="77777777" w:rsidR="009021F1" w:rsidRPr="00114059" w:rsidRDefault="009021F1" w:rsidP="00E637E3">
            <w:pPr>
              <w:pStyle w:val="TableParagraph"/>
              <w:spacing w:line="276" w:lineRule="auto"/>
              <w:rPr>
                <w:sz w:val="20"/>
                <w:szCs w:val="20"/>
                <w:lang w:val="fr-FR"/>
              </w:rPr>
            </w:pPr>
          </w:p>
          <w:p w14:paraId="392B5203" w14:textId="77777777" w:rsidR="009021F1" w:rsidRPr="00114059" w:rsidRDefault="009021F1" w:rsidP="00E637E3">
            <w:pPr>
              <w:pStyle w:val="TableParagraph"/>
              <w:spacing w:line="276" w:lineRule="auto"/>
              <w:rPr>
                <w:sz w:val="20"/>
                <w:szCs w:val="20"/>
                <w:lang w:val="fr-FR"/>
              </w:rPr>
            </w:pPr>
          </w:p>
          <w:p w14:paraId="4DF614AE" w14:textId="77777777" w:rsidR="009021F1" w:rsidRPr="00114059" w:rsidRDefault="009021F1" w:rsidP="00E637E3">
            <w:pPr>
              <w:pStyle w:val="TableParagraph"/>
              <w:spacing w:line="276" w:lineRule="auto"/>
              <w:rPr>
                <w:sz w:val="20"/>
                <w:szCs w:val="20"/>
              </w:rPr>
            </w:pPr>
            <w:r w:rsidRPr="00114059">
              <w:rPr>
                <w:sz w:val="20"/>
                <w:szCs w:val="20"/>
              </w:rPr>
              <w:t>Qualité de vie</w:t>
            </w:r>
          </w:p>
        </w:tc>
        <w:tc>
          <w:tcPr>
            <w:tcW w:w="2271" w:type="dxa"/>
            <w:shd w:val="clear" w:color="auto" w:fill="auto"/>
          </w:tcPr>
          <w:p w14:paraId="74843E02" w14:textId="77777777" w:rsidR="009021F1" w:rsidRPr="00114059" w:rsidRDefault="009021F1" w:rsidP="00E637E3">
            <w:pPr>
              <w:pStyle w:val="TableParagraph"/>
              <w:spacing w:line="276" w:lineRule="auto"/>
              <w:ind w:right="107"/>
              <w:rPr>
                <w:sz w:val="20"/>
                <w:szCs w:val="20"/>
                <w:lang w:val="fr-FR"/>
              </w:rPr>
            </w:pPr>
            <w:r w:rsidRPr="00114059">
              <w:rPr>
                <w:sz w:val="20"/>
                <w:szCs w:val="20"/>
                <w:lang w:val="fr-FR"/>
              </w:rPr>
              <w:t>Mauvaises conditions de</w:t>
            </w:r>
            <w:r w:rsidRPr="00114059">
              <w:rPr>
                <w:spacing w:val="-27"/>
                <w:sz w:val="20"/>
                <w:szCs w:val="20"/>
                <w:lang w:val="fr-FR"/>
              </w:rPr>
              <w:t xml:space="preserve"> </w:t>
            </w:r>
            <w:r w:rsidRPr="00114059">
              <w:rPr>
                <w:sz w:val="20"/>
                <w:szCs w:val="20"/>
                <w:lang w:val="fr-FR"/>
              </w:rPr>
              <w:t>vie</w:t>
            </w:r>
            <w:r w:rsidRPr="00114059">
              <w:rPr>
                <w:spacing w:val="-26"/>
                <w:sz w:val="20"/>
                <w:szCs w:val="20"/>
                <w:lang w:val="fr-FR"/>
              </w:rPr>
              <w:t xml:space="preserve"> </w:t>
            </w:r>
            <w:r w:rsidRPr="00114059">
              <w:rPr>
                <w:sz w:val="20"/>
                <w:szCs w:val="20"/>
                <w:lang w:val="fr-FR"/>
              </w:rPr>
              <w:t>des</w:t>
            </w:r>
            <w:r w:rsidRPr="00114059">
              <w:rPr>
                <w:spacing w:val="-25"/>
                <w:sz w:val="20"/>
                <w:szCs w:val="20"/>
                <w:lang w:val="fr-FR"/>
              </w:rPr>
              <w:t xml:space="preserve"> </w:t>
            </w:r>
            <w:r w:rsidRPr="00114059">
              <w:rPr>
                <w:spacing w:val="-3"/>
                <w:sz w:val="20"/>
                <w:szCs w:val="20"/>
                <w:lang w:val="fr-FR"/>
              </w:rPr>
              <w:t xml:space="preserve">travailleurs </w:t>
            </w:r>
            <w:r w:rsidRPr="00114059">
              <w:rPr>
                <w:sz w:val="20"/>
                <w:szCs w:val="20"/>
                <w:lang w:val="fr-FR"/>
              </w:rPr>
              <w:t>non-résidents et des personnes</w:t>
            </w:r>
            <w:r w:rsidRPr="00114059">
              <w:rPr>
                <w:spacing w:val="-24"/>
                <w:sz w:val="20"/>
                <w:szCs w:val="20"/>
                <w:lang w:val="fr-FR"/>
              </w:rPr>
              <w:t xml:space="preserve"> </w:t>
            </w:r>
            <w:r w:rsidRPr="00114059">
              <w:rPr>
                <w:sz w:val="20"/>
                <w:szCs w:val="20"/>
                <w:lang w:val="fr-FR"/>
              </w:rPr>
              <w:t>déplacées</w:t>
            </w:r>
          </w:p>
        </w:tc>
        <w:tc>
          <w:tcPr>
            <w:tcW w:w="4975" w:type="dxa"/>
            <w:shd w:val="clear" w:color="auto" w:fill="auto"/>
          </w:tcPr>
          <w:p w14:paraId="104BDB06"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Conduire des inspections réglementaires des lieux de travail et des campements (s’il y a lieu) pour évaluer les conditions de travail et de vie des populations non-résidentes ;</w:t>
            </w:r>
          </w:p>
        </w:tc>
        <w:tc>
          <w:tcPr>
            <w:tcW w:w="2144" w:type="dxa"/>
            <w:shd w:val="clear" w:color="auto" w:fill="auto"/>
          </w:tcPr>
          <w:p w14:paraId="491E383E"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Pendant la phase d’exécution du Programme</w:t>
            </w:r>
          </w:p>
        </w:tc>
        <w:tc>
          <w:tcPr>
            <w:tcW w:w="2109" w:type="dxa"/>
            <w:shd w:val="clear" w:color="auto" w:fill="auto"/>
          </w:tcPr>
          <w:p w14:paraId="27606BCE" w14:textId="77777777" w:rsidR="009021F1" w:rsidRPr="00114059" w:rsidRDefault="009021F1" w:rsidP="00E637E3">
            <w:pPr>
              <w:pStyle w:val="TableParagraph"/>
              <w:numPr>
                <w:ilvl w:val="0"/>
                <w:numId w:val="49"/>
              </w:numPr>
              <w:autoSpaceDE w:val="0"/>
              <w:autoSpaceDN w:val="0"/>
              <w:spacing w:line="276" w:lineRule="auto"/>
              <w:ind w:left="164" w:right="97" w:hanging="164"/>
              <w:rPr>
                <w:sz w:val="20"/>
                <w:szCs w:val="20"/>
                <w:lang w:val="fr-FR"/>
              </w:rPr>
            </w:pPr>
            <w:r w:rsidRPr="00114059">
              <w:rPr>
                <w:sz w:val="20"/>
                <w:szCs w:val="20"/>
                <w:lang w:val="fr-FR"/>
              </w:rPr>
              <w:t>Les PME, la Mission de contrôle</w:t>
            </w:r>
          </w:p>
        </w:tc>
        <w:tc>
          <w:tcPr>
            <w:tcW w:w="2190" w:type="dxa"/>
            <w:shd w:val="clear" w:color="auto" w:fill="auto"/>
          </w:tcPr>
          <w:p w14:paraId="39148A0A" w14:textId="77777777" w:rsidR="009021F1" w:rsidRPr="00114059" w:rsidRDefault="009021F1" w:rsidP="00E637E3">
            <w:pPr>
              <w:pStyle w:val="TableParagraph"/>
              <w:numPr>
                <w:ilvl w:val="0"/>
                <w:numId w:val="49"/>
              </w:numPr>
              <w:autoSpaceDE w:val="0"/>
              <w:autoSpaceDN w:val="0"/>
              <w:spacing w:line="276" w:lineRule="auto"/>
              <w:ind w:left="164" w:right="97" w:hanging="164"/>
              <w:rPr>
                <w:sz w:val="20"/>
                <w:szCs w:val="20"/>
                <w:lang w:val="fr-FR"/>
              </w:rPr>
            </w:pPr>
            <w:r w:rsidRPr="00114059">
              <w:rPr>
                <w:sz w:val="20"/>
                <w:szCs w:val="20"/>
                <w:lang w:val="fr-FR"/>
              </w:rPr>
              <w:t xml:space="preserve">PNDA et ACE, CPE, OVDA et administration locale, ONG locales </w:t>
            </w:r>
          </w:p>
        </w:tc>
      </w:tr>
      <w:tr w:rsidR="009021F1" w:rsidRPr="00114059" w14:paraId="28425E8D" w14:textId="77777777" w:rsidTr="00E637E3">
        <w:trPr>
          <w:trHeight w:val="1667"/>
        </w:trPr>
        <w:tc>
          <w:tcPr>
            <w:tcW w:w="1806" w:type="dxa"/>
            <w:vMerge/>
            <w:shd w:val="clear" w:color="auto" w:fill="auto"/>
          </w:tcPr>
          <w:p w14:paraId="7FFE149A" w14:textId="77777777" w:rsidR="009021F1" w:rsidRPr="00114059" w:rsidRDefault="009021F1" w:rsidP="00E637E3">
            <w:pPr>
              <w:rPr>
                <w:rFonts w:cs="Arial"/>
                <w:sz w:val="20"/>
                <w:szCs w:val="20"/>
              </w:rPr>
            </w:pPr>
          </w:p>
        </w:tc>
        <w:tc>
          <w:tcPr>
            <w:tcW w:w="2271" w:type="dxa"/>
            <w:shd w:val="clear" w:color="auto" w:fill="auto"/>
          </w:tcPr>
          <w:p w14:paraId="51695513" w14:textId="77777777" w:rsidR="009021F1" w:rsidRPr="00114059" w:rsidRDefault="009021F1" w:rsidP="00E637E3">
            <w:pPr>
              <w:pStyle w:val="TableParagraph"/>
              <w:spacing w:line="276" w:lineRule="auto"/>
              <w:ind w:right="163"/>
              <w:rPr>
                <w:sz w:val="20"/>
                <w:szCs w:val="20"/>
                <w:lang w:val="fr-FR"/>
              </w:rPr>
            </w:pPr>
          </w:p>
          <w:p w14:paraId="50F1A0EE" w14:textId="77777777" w:rsidR="009021F1" w:rsidRPr="00114059" w:rsidRDefault="009021F1" w:rsidP="00E637E3">
            <w:pPr>
              <w:pStyle w:val="TableParagraph"/>
              <w:spacing w:line="276" w:lineRule="auto"/>
              <w:ind w:right="163"/>
              <w:rPr>
                <w:sz w:val="20"/>
                <w:szCs w:val="20"/>
                <w:lang w:val="fr-FR"/>
              </w:rPr>
            </w:pPr>
          </w:p>
          <w:p w14:paraId="60B79AEF" w14:textId="77777777" w:rsidR="009021F1" w:rsidRPr="00114059" w:rsidRDefault="009021F1" w:rsidP="00E637E3">
            <w:pPr>
              <w:pStyle w:val="TableParagraph"/>
              <w:spacing w:line="276" w:lineRule="auto"/>
              <w:ind w:right="163"/>
              <w:rPr>
                <w:sz w:val="20"/>
                <w:szCs w:val="20"/>
                <w:lang w:val="fr-FR"/>
              </w:rPr>
            </w:pPr>
          </w:p>
          <w:p w14:paraId="7EBF9FCF" w14:textId="77777777" w:rsidR="009021F1" w:rsidRPr="00114059" w:rsidRDefault="009021F1" w:rsidP="00E637E3">
            <w:pPr>
              <w:pStyle w:val="TableParagraph"/>
              <w:spacing w:line="276" w:lineRule="auto"/>
              <w:ind w:right="163"/>
              <w:rPr>
                <w:sz w:val="20"/>
                <w:szCs w:val="20"/>
                <w:lang w:val="fr-FR"/>
              </w:rPr>
            </w:pPr>
          </w:p>
          <w:p w14:paraId="1862B200" w14:textId="77777777" w:rsidR="009021F1" w:rsidRPr="00114059" w:rsidRDefault="009021F1" w:rsidP="00E637E3">
            <w:pPr>
              <w:pStyle w:val="TableParagraph"/>
              <w:spacing w:line="276" w:lineRule="auto"/>
              <w:ind w:right="163"/>
              <w:rPr>
                <w:sz w:val="20"/>
                <w:szCs w:val="20"/>
                <w:lang w:val="fr-FR"/>
              </w:rPr>
            </w:pPr>
            <w:r w:rsidRPr="00114059">
              <w:rPr>
                <w:sz w:val="20"/>
                <w:szCs w:val="20"/>
                <w:lang w:val="fr-FR"/>
              </w:rPr>
              <w:t>Nuisances causées par le projet (bruit, poussières, eaux usées, boues, interruptions de services, augmentation de l’achalandage de camions, dommages à</w:t>
            </w:r>
            <w:r w:rsidRPr="00114059">
              <w:rPr>
                <w:spacing w:val="-26"/>
                <w:sz w:val="20"/>
                <w:szCs w:val="20"/>
                <w:lang w:val="fr-FR"/>
              </w:rPr>
              <w:t xml:space="preserve"> </w:t>
            </w:r>
            <w:r w:rsidRPr="00114059">
              <w:rPr>
                <w:sz w:val="20"/>
                <w:szCs w:val="20"/>
                <w:lang w:val="fr-FR"/>
              </w:rPr>
              <w:t>la</w:t>
            </w:r>
            <w:r w:rsidRPr="00114059">
              <w:rPr>
                <w:spacing w:val="-25"/>
                <w:sz w:val="20"/>
                <w:szCs w:val="20"/>
                <w:lang w:val="fr-FR"/>
              </w:rPr>
              <w:t xml:space="preserve"> </w:t>
            </w:r>
            <w:r w:rsidRPr="00114059">
              <w:rPr>
                <w:sz w:val="20"/>
                <w:szCs w:val="20"/>
                <w:lang w:val="fr-FR"/>
              </w:rPr>
              <w:t>propriété</w:t>
            </w:r>
            <w:r w:rsidRPr="00114059">
              <w:rPr>
                <w:spacing w:val="-25"/>
                <w:sz w:val="20"/>
                <w:szCs w:val="20"/>
                <w:lang w:val="fr-FR"/>
              </w:rPr>
              <w:t xml:space="preserve"> </w:t>
            </w:r>
            <w:r w:rsidRPr="00114059">
              <w:rPr>
                <w:sz w:val="20"/>
                <w:szCs w:val="20"/>
                <w:lang w:val="fr-FR"/>
              </w:rPr>
              <w:t>privée, etc.).</w:t>
            </w:r>
          </w:p>
        </w:tc>
        <w:tc>
          <w:tcPr>
            <w:tcW w:w="4975" w:type="dxa"/>
            <w:shd w:val="clear" w:color="auto" w:fill="auto"/>
          </w:tcPr>
          <w:p w14:paraId="1D536FC3"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À proximité des zones habitées, éviter la circulation de véhicules lourds et la réalisation de travaux bruyants en dehors des heures normales de travail pour minimiser le trafic et la dispersion de poussière ;</w:t>
            </w:r>
          </w:p>
          <w:p w14:paraId="24F34370"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Équiper les engins à moteur de dispositifs de réduction du bruit (silencieux) et maintenir ces dispositifs en bon état ;</w:t>
            </w:r>
          </w:p>
          <w:p w14:paraId="236EF0FD"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Fixer une limite de vitesse maximale en zones habitées ;</w:t>
            </w:r>
          </w:p>
          <w:p w14:paraId="721FD075"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Préparer et mettre en œuvre un plan de gestion des déchets solides et liquides, si possible ;</w:t>
            </w:r>
          </w:p>
          <w:p w14:paraId="498CFB56"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Éviter d’obstruer les accès publics ;</w:t>
            </w:r>
          </w:p>
          <w:p w14:paraId="4092DC32"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Utiliser une signalisation routière avertissant le déroulement des travaux ;</w:t>
            </w:r>
          </w:p>
          <w:p w14:paraId="5D164EB7"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Contourner les lieux de rassemblement ;</w:t>
            </w:r>
          </w:p>
          <w:p w14:paraId="3BD6B98B"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L’emploi de femmes dans les équipes de sécurité peut aider à réduire les tensions ou les incidents impliquant les communautés locales et aussi à promouvoir l’emploi égal des hommes et femmes, et devrait être encouragé ;</w:t>
            </w:r>
          </w:p>
          <w:p w14:paraId="3798D506"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Dialoguer avec la population sur les questions liées à la sécurité peut aider à mettre en lumière les risques potentiels et les préoccupations locales, et servir de mécanisme de préalerte ;</w:t>
            </w:r>
          </w:p>
          <w:p w14:paraId="7D31249D"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Informer régulièrement les membres de la communauté de leur droit de porter plainte sans crainte d’intimidation ou de représailles ;</w:t>
            </w:r>
          </w:p>
          <w:p w14:paraId="61568847"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rFonts w:eastAsia="Calibri"/>
                <w:sz w:val="20"/>
                <w:szCs w:val="20"/>
                <w:lang w:val="fr-FR"/>
              </w:rPr>
            </w:pPr>
            <w:r w:rsidRPr="00114059">
              <w:rPr>
                <w:sz w:val="20"/>
                <w:szCs w:val="20"/>
                <w:lang w:val="fr-FR"/>
              </w:rPr>
              <w:t>Faire en sorte que les gardes constituant souvent le premier point de contact des membres des communautés à l’entrée du site d’un projet, ils devraient aussi être sensibilisés au rôle qu’ils jouent dans les relations avec la population, y compris par rapport aux risques d’EAS/HS, signer un code de bonne conduite, et être informés du MGP et des principaux sujets de préoccupation des communautés locales.</w:t>
            </w:r>
          </w:p>
        </w:tc>
        <w:tc>
          <w:tcPr>
            <w:tcW w:w="2144" w:type="dxa"/>
            <w:shd w:val="clear" w:color="auto" w:fill="auto"/>
          </w:tcPr>
          <w:p w14:paraId="4FB705B3"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Pendant la phase d’exécution du Programme</w:t>
            </w:r>
          </w:p>
        </w:tc>
        <w:tc>
          <w:tcPr>
            <w:tcW w:w="2109" w:type="dxa"/>
            <w:shd w:val="clear" w:color="auto" w:fill="auto"/>
          </w:tcPr>
          <w:p w14:paraId="3B62922C" w14:textId="77777777" w:rsidR="009021F1" w:rsidRPr="00114059" w:rsidRDefault="009021F1" w:rsidP="00E637E3">
            <w:pPr>
              <w:pStyle w:val="TableParagraph"/>
              <w:numPr>
                <w:ilvl w:val="0"/>
                <w:numId w:val="49"/>
              </w:numPr>
              <w:autoSpaceDE w:val="0"/>
              <w:autoSpaceDN w:val="0"/>
              <w:spacing w:line="276" w:lineRule="auto"/>
              <w:ind w:left="164" w:right="97" w:hanging="164"/>
              <w:rPr>
                <w:sz w:val="20"/>
                <w:szCs w:val="20"/>
                <w:lang w:val="fr-FR"/>
              </w:rPr>
            </w:pPr>
            <w:r w:rsidRPr="00114059">
              <w:rPr>
                <w:sz w:val="20"/>
                <w:szCs w:val="20"/>
                <w:lang w:val="fr-FR"/>
              </w:rPr>
              <w:t>Les PME, la Mission de contrôle</w:t>
            </w:r>
          </w:p>
        </w:tc>
        <w:tc>
          <w:tcPr>
            <w:tcW w:w="2190" w:type="dxa"/>
            <w:shd w:val="clear" w:color="auto" w:fill="auto"/>
          </w:tcPr>
          <w:p w14:paraId="4F8E7C46" w14:textId="77777777" w:rsidR="009021F1" w:rsidRPr="00114059" w:rsidRDefault="009021F1" w:rsidP="00E637E3">
            <w:pPr>
              <w:pStyle w:val="TableParagraph"/>
              <w:numPr>
                <w:ilvl w:val="0"/>
                <w:numId w:val="49"/>
              </w:numPr>
              <w:autoSpaceDE w:val="0"/>
              <w:autoSpaceDN w:val="0"/>
              <w:spacing w:line="276" w:lineRule="auto"/>
              <w:ind w:left="164" w:right="97" w:hanging="164"/>
              <w:rPr>
                <w:sz w:val="20"/>
                <w:szCs w:val="20"/>
                <w:lang w:val="fr-FR"/>
              </w:rPr>
            </w:pPr>
            <w:r w:rsidRPr="00114059">
              <w:rPr>
                <w:sz w:val="20"/>
                <w:szCs w:val="20"/>
                <w:lang w:val="fr-FR"/>
              </w:rPr>
              <w:t xml:space="preserve">PNDA et ACE, CPE, OVDA et administration locale, ONG locales </w:t>
            </w:r>
          </w:p>
        </w:tc>
      </w:tr>
      <w:tr w:rsidR="009021F1" w:rsidRPr="00114059" w14:paraId="026D99C1" w14:textId="77777777" w:rsidTr="00E637E3">
        <w:tc>
          <w:tcPr>
            <w:tcW w:w="1806" w:type="dxa"/>
            <w:vMerge w:val="restart"/>
            <w:shd w:val="clear" w:color="auto" w:fill="auto"/>
          </w:tcPr>
          <w:p w14:paraId="153207E4" w14:textId="77777777" w:rsidR="009021F1" w:rsidRPr="00114059" w:rsidRDefault="009021F1" w:rsidP="00E637E3">
            <w:pPr>
              <w:pStyle w:val="TableParagraph"/>
              <w:spacing w:line="276" w:lineRule="auto"/>
              <w:ind w:right="231"/>
              <w:rPr>
                <w:sz w:val="20"/>
                <w:szCs w:val="20"/>
              </w:rPr>
            </w:pPr>
            <w:r w:rsidRPr="00114059">
              <w:rPr>
                <w:sz w:val="20"/>
                <w:szCs w:val="20"/>
              </w:rPr>
              <w:t>Santé et sécurité</w:t>
            </w:r>
          </w:p>
        </w:tc>
        <w:tc>
          <w:tcPr>
            <w:tcW w:w="2271" w:type="dxa"/>
            <w:shd w:val="clear" w:color="auto" w:fill="auto"/>
          </w:tcPr>
          <w:p w14:paraId="3B655FF0" w14:textId="77777777" w:rsidR="009021F1" w:rsidRPr="00114059" w:rsidRDefault="009021F1" w:rsidP="00E637E3">
            <w:pPr>
              <w:pStyle w:val="TableParagraph"/>
              <w:spacing w:line="276" w:lineRule="auto"/>
              <w:ind w:right="75"/>
              <w:rPr>
                <w:sz w:val="20"/>
                <w:szCs w:val="20"/>
                <w:lang w:val="fr-FR"/>
              </w:rPr>
            </w:pPr>
            <w:r w:rsidRPr="00114059">
              <w:rPr>
                <w:sz w:val="20"/>
                <w:szCs w:val="20"/>
                <w:lang w:val="fr-FR"/>
              </w:rPr>
              <w:t>Incidence accrue des maladies sexuellement transmissibles.</w:t>
            </w:r>
          </w:p>
        </w:tc>
        <w:tc>
          <w:tcPr>
            <w:tcW w:w="4975" w:type="dxa"/>
            <w:shd w:val="clear" w:color="auto" w:fill="auto"/>
          </w:tcPr>
          <w:p w14:paraId="3B1E572D"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Préparer et mettre en œuvre un programme d’information des populations sur les dates, heures et durée des interruptions des services publics, si possible ;</w:t>
            </w:r>
          </w:p>
          <w:p w14:paraId="16031CC9"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Protéger les propriétés privées tout en préservant l’accès pour les usagers, en appliquant des mesures appropriées (clôture, surveillant, etc.) ;</w:t>
            </w:r>
          </w:p>
          <w:p w14:paraId="107410C8"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Préparer et mettre en œuvre un programme de santé destiné aux travailleurs qui intègre les stratégies de prévention contre les IST/VIH-SIDA et leurs modes de transmission ;</w:t>
            </w:r>
          </w:p>
          <w:p w14:paraId="4FB48041"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Intégrer dans les campagnes d’information concernant les travaux un volet santé pour toute la population comprenant un module sur les IST/VIH-SIDA, leurs dangers et les méthodes de prévention.</w:t>
            </w:r>
          </w:p>
        </w:tc>
        <w:tc>
          <w:tcPr>
            <w:tcW w:w="2144" w:type="dxa"/>
            <w:shd w:val="clear" w:color="auto" w:fill="auto"/>
          </w:tcPr>
          <w:p w14:paraId="5AA90EE9"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Pendant la phase d’exécution du Programme</w:t>
            </w:r>
          </w:p>
        </w:tc>
        <w:tc>
          <w:tcPr>
            <w:tcW w:w="2109" w:type="dxa"/>
            <w:shd w:val="clear" w:color="auto" w:fill="auto"/>
          </w:tcPr>
          <w:p w14:paraId="22ADDD8F"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Les PME, la Mission de contrôle, ONG locales spécialisées,</w:t>
            </w:r>
          </w:p>
        </w:tc>
        <w:tc>
          <w:tcPr>
            <w:tcW w:w="2190" w:type="dxa"/>
            <w:shd w:val="clear" w:color="auto" w:fill="auto"/>
          </w:tcPr>
          <w:p w14:paraId="0319736C"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PNDA et ACE, CPE, OVDA et administration locale et PNMLS</w:t>
            </w:r>
          </w:p>
        </w:tc>
      </w:tr>
      <w:tr w:rsidR="009021F1" w:rsidRPr="00114059" w14:paraId="7C2D0BB9" w14:textId="77777777" w:rsidTr="00E637E3">
        <w:tc>
          <w:tcPr>
            <w:tcW w:w="1806" w:type="dxa"/>
            <w:vMerge/>
            <w:shd w:val="clear" w:color="auto" w:fill="auto"/>
          </w:tcPr>
          <w:p w14:paraId="41B03857" w14:textId="77777777" w:rsidR="009021F1" w:rsidRPr="00114059" w:rsidRDefault="009021F1" w:rsidP="00E637E3">
            <w:pPr>
              <w:pStyle w:val="TableParagraph"/>
              <w:spacing w:line="276" w:lineRule="auto"/>
              <w:ind w:right="231"/>
              <w:rPr>
                <w:sz w:val="20"/>
                <w:szCs w:val="20"/>
                <w:lang w:val="fr-FR"/>
              </w:rPr>
            </w:pPr>
          </w:p>
        </w:tc>
        <w:tc>
          <w:tcPr>
            <w:tcW w:w="2271" w:type="dxa"/>
            <w:shd w:val="clear" w:color="auto" w:fill="auto"/>
          </w:tcPr>
          <w:p w14:paraId="206E2710" w14:textId="77777777" w:rsidR="009021F1" w:rsidRPr="00114059" w:rsidRDefault="009021F1" w:rsidP="00E637E3">
            <w:pPr>
              <w:spacing w:line="240" w:lineRule="auto"/>
              <w:jc w:val="left"/>
              <w:rPr>
                <w:rFonts w:cs="Arial"/>
                <w:sz w:val="20"/>
                <w:szCs w:val="20"/>
              </w:rPr>
            </w:pPr>
            <w:r w:rsidRPr="00114059">
              <w:rPr>
                <w:rFonts w:cs="Arial"/>
                <w:sz w:val="20"/>
                <w:szCs w:val="20"/>
              </w:rPr>
              <w:t>Risques d’exploitation des enfants sur les chantiers</w:t>
            </w:r>
          </w:p>
        </w:tc>
        <w:tc>
          <w:tcPr>
            <w:tcW w:w="4975" w:type="dxa"/>
            <w:shd w:val="clear" w:color="auto" w:fill="auto"/>
          </w:tcPr>
          <w:p w14:paraId="3CDD4B42"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Mettre en place des dispositifs empêchant le recrutement d’enfants ;</w:t>
            </w:r>
          </w:p>
          <w:p w14:paraId="109CF088"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Développer des dépliants, des affiches sur l’interdiction des enfants dans les chantiers qui seront utilisés et vulgarisés lors des sensibilisations ;</w:t>
            </w:r>
          </w:p>
          <w:p w14:paraId="6FC444CE"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Solliciter les identités complètes des candidats lors du recrutement.</w:t>
            </w:r>
          </w:p>
        </w:tc>
        <w:tc>
          <w:tcPr>
            <w:tcW w:w="2144" w:type="dxa"/>
            <w:shd w:val="clear" w:color="auto" w:fill="auto"/>
          </w:tcPr>
          <w:p w14:paraId="579083E7"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Pendant la phase d’exécution du Programme</w:t>
            </w:r>
          </w:p>
        </w:tc>
        <w:tc>
          <w:tcPr>
            <w:tcW w:w="2109" w:type="dxa"/>
            <w:shd w:val="clear" w:color="auto" w:fill="auto"/>
          </w:tcPr>
          <w:p w14:paraId="5E211280"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Les PME, la Mission de contrôle</w:t>
            </w:r>
          </w:p>
        </w:tc>
        <w:tc>
          <w:tcPr>
            <w:tcW w:w="2190" w:type="dxa"/>
            <w:shd w:val="clear" w:color="auto" w:fill="auto"/>
          </w:tcPr>
          <w:p w14:paraId="35CFB3AF"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PNDA et ACE, CPE, OVDA et administration locale, ONG locales y compris celles des enfants</w:t>
            </w:r>
          </w:p>
        </w:tc>
      </w:tr>
      <w:tr w:rsidR="009021F1" w:rsidRPr="00114059" w14:paraId="573C5306" w14:textId="77777777" w:rsidTr="00E637E3">
        <w:tc>
          <w:tcPr>
            <w:tcW w:w="1806" w:type="dxa"/>
            <w:vMerge/>
            <w:shd w:val="clear" w:color="auto" w:fill="auto"/>
          </w:tcPr>
          <w:p w14:paraId="6727BF87" w14:textId="77777777" w:rsidR="009021F1" w:rsidRPr="00114059" w:rsidRDefault="009021F1" w:rsidP="00E637E3">
            <w:pPr>
              <w:pStyle w:val="TableParagraph"/>
              <w:spacing w:line="276" w:lineRule="auto"/>
              <w:ind w:right="231"/>
              <w:rPr>
                <w:sz w:val="20"/>
                <w:szCs w:val="20"/>
                <w:lang w:val="fr-FR"/>
              </w:rPr>
            </w:pPr>
          </w:p>
        </w:tc>
        <w:tc>
          <w:tcPr>
            <w:tcW w:w="2271" w:type="dxa"/>
            <w:shd w:val="clear" w:color="auto" w:fill="auto"/>
          </w:tcPr>
          <w:p w14:paraId="7AEB79AD" w14:textId="77777777" w:rsidR="009021F1" w:rsidRPr="00114059" w:rsidRDefault="009021F1" w:rsidP="00E637E3">
            <w:pPr>
              <w:spacing w:line="240" w:lineRule="auto"/>
              <w:jc w:val="left"/>
              <w:rPr>
                <w:rFonts w:eastAsia="Calibri" w:cs="Arial"/>
                <w:sz w:val="20"/>
                <w:szCs w:val="20"/>
              </w:rPr>
            </w:pPr>
            <w:r w:rsidRPr="00114059">
              <w:rPr>
                <w:rFonts w:eastAsia="Calibri" w:cs="Arial"/>
                <w:sz w:val="20"/>
                <w:szCs w:val="20"/>
              </w:rPr>
              <w:t>Risque de recours aux forces de sécurité publique et au service de sécurité privée suite à l’insécurité dans certaines régions concernées par le Programme</w:t>
            </w:r>
          </w:p>
        </w:tc>
        <w:tc>
          <w:tcPr>
            <w:tcW w:w="4975" w:type="dxa"/>
            <w:shd w:val="clear" w:color="auto" w:fill="auto"/>
          </w:tcPr>
          <w:p w14:paraId="36A7E7AC"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Mettre en place des mesures de gestion de la sécurité en fonction du niveau de risque présente dans la zone d’intervention</w:t>
            </w:r>
          </w:p>
          <w:p w14:paraId="626F74D8"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 xml:space="preserve">Élaborer un Plan de Gestion de Sécurité (PGS) distinct présente l’ensemble des procédures et protocoles liés à cet aspect dans le cadre du programme (le PGS fera une Évaluation des Risques liés à la Sécurité (ERS) et proposer des mesures d’atténuation) </w:t>
            </w:r>
          </w:p>
          <w:p w14:paraId="68E2679F"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Collaborer avec les parties prenantes, dont les populations touchées par le projet, les ONG locales et les autres groupes susceptibles d’être particulièrement au fait des problèmes de sécurité ;</w:t>
            </w:r>
          </w:p>
          <w:p w14:paraId="50AE20D8"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Mettre en place un protocole d’accord contraignant ou un autre accord officiel devrait être établi, engageant les forces de sécurité publique à respecter le code de bonne conduite du projet, intégrant un langage explicite sur les interdictions des actes d’EAS/HS et les sanctions applicables, à faire un usage proportionné de la force et à observer d’autres règles semblables à celles qui figureraient dans un contrat avec une société de sécurité privée, notamment en ce qui concerne les mesures disciplinaires, la formation, le suivi des incidents et la nécessité de mettre régulièrement à jour la documentation.</w:t>
            </w:r>
          </w:p>
          <w:p w14:paraId="432ECF64"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 xml:space="preserve">Mobiliser les communautés dans le programme de sécurité, et créer de bonnes relations entre le personnel de sécurité, les travailleurs du projet et les populations locales peuvent contribuer grandement à la sécurité au sens large dans la zone du projet. </w:t>
            </w:r>
          </w:p>
        </w:tc>
        <w:tc>
          <w:tcPr>
            <w:tcW w:w="2144" w:type="dxa"/>
            <w:shd w:val="clear" w:color="auto" w:fill="auto"/>
          </w:tcPr>
          <w:p w14:paraId="75D70FC2"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Pendant la phase d’exécution du Programme</w:t>
            </w:r>
          </w:p>
        </w:tc>
        <w:tc>
          <w:tcPr>
            <w:tcW w:w="2109" w:type="dxa"/>
            <w:shd w:val="clear" w:color="auto" w:fill="auto"/>
          </w:tcPr>
          <w:p w14:paraId="56847CE9"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Les PME, la Mission de contrôle</w:t>
            </w:r>
          </w:p>
        </w:tc>
        <w:tc>
          <w:tcPr>
            <w:tcW w:w="2190" w:type="dxa"/>
            <w:shd w:val="clear" w:color="auto" w:fill="auto"/>
          </w:tcPr>
          <w:p w14:paraId="33B8E52A"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PNDA et ACE, CPE, OVDA et administration locale, ONG locales, les FARDC, la Police Nationale Congolaise (PNC)</w:t>
            </w:r>
          </w:p>
        </w:tc>
      </w:tr>
      <w:tr w:rsidR="009021F1" w:rsidRPr="00114059" w14:paraId="30A1EF1C" w14:textId="77777777" w:rsidTr="00E637E3">
        <w:tc>
          <w:tcPr>
            <w:tcW w:w="1806" w:type="dxa"/>
            <w:vMerge/>
            <w:shd w:val="clear" w:color="auto" w:fill="auto"/>
          </w:tcPr>
          <w:p w14:paraId="4049F40E" w14:textId="77777777" w:rsidR="009021F1" w:rsidRPr="00114059" w:rsidRDefault="009021F1" w:rsidP="00E637E3">
            <w:pPr>
              <w:pStyle w:val="TableParagraph"/>
              <w:spacing w:line="276" w:lineRule="auto"/>
              <w:rPr>
                <w:sz w:val="20"/>
                <w:szCs w:val="20"/>
                <w:lang w:val="fr-FR"/>
              </w:rPr>
            </w:pPr>
          </w:p>
        </w:tc>
        <w:tc>
          <w:tcPr>
            <w:tcW w:w="2271" w:type="dxa"/>
            <w:shd w:val="clear" w:color="auto" w:fill="auto"/>
          </w:tcPr>
          <w:p w14:paraId="7024A5FC" w14:textId="77777777" w:rsidR="009021F1" w:rsidRPr="00114059" w:rsidRDefault="009021F1" w:rsidP="00E637E3">
            <w:pPr>
              <w:pStyle w:val="TableParagraph"/>
              <w:spacing w:line="276" w:lineRule="auto"/>
              <w:ind w:left="80" w:right="196"/>
              <w:jc w:val="center"/>
              <w:rPr>
                <w:w w:val="95"/>
                <w:sz w:val="20"/>
                <w:szCs w:val="20"/>
                <w:lang w:val="fr-FR"/>
              </w:rPr>
            </w:pPr>
          </w:p>
          <w:p w14:paraId="490099C6" w14:textId="77777777" w:rsidR="009021F1" w:rsidRPr="00114059" w:rsidRDefault="009021F1" w:rsidP="00E637E3">
            <w:pPr>
              <w:pStyle w:val="TableParagraph"/>
              <w:spacing w:line="276" w:lineRule="auto"/>
              <w:ind w:left="80" w:right="196"/>
              <w:jc w:val="center"/>
              <w:rPr>
                <w:w w:val="95"/>
                <w:sz w:val="20"/>
                <w:szCs w:val="20"/>
                <w:lang w:val="fr-FR"/>
              </w:rPr>
            </w:pPr>
          </w:p>
          <w:p w14:paraId="37182A0E" w14:textId="77777777" w:rsidR="009021F1" w:rsidRPr="00114059" w:rsidRDefault="009021F1" w:rsidP="00E637E3">
            <w:pPr>
              <w:pStyle w:val="TableParagraph"/>
              <w:spacing w:line="276" w:lineRule="auto"/>
              <w:ind w:left="80" w:right="196"/>
              <w:jc w:val="center"/>
              <w:rPr>
                <w:w w:val="95"/>
                <w:sz w:val="20"/>
                <w:szCs w:val="20"/>
                <w:lang w:val="fr-FR"/>
              </w:rPr>
            </w:pPr>
          </w:p>
          <w:p w14:paraId="35122EDB" w14:textId="77777777" w:rsidR="009021F1" w:rsidRPr="00114059" w:rsidRDefault="009021F1" w:rsidP="00E637E3">
            <w:pPr>
              <w:pStyle w:val="TableParagraph"/>
              <w:spacing w:line="276" w:lineRule="auto"/>
              <w:ind w:left="80" w:right="196"/>
              <w:jc w:val="center"/>
              <w:rPr>
                <w:w w:val="95"/>
                <w:sz w:val="20"/>
                <w:szCs w:val="20"/>
                <w:lang w:val="fr-FR"/>
              </w:rPr>
            </w:pPr>
          </w:p>
          <w:p w14:paraId="159C643F" w14:textId="77777777" w:rsidR="009021F1" w:rsidRPr="00114059" w:rsidRDefault="009021F1" w:rsidP="00E637E3">
            <w:pPr>
              <w:pStyle w:val="TableParagraph"/>
              <w:spacing w:line="276" w:lineRule="auto"/>
              <w:ind w:left="80" w:right="196"/>
              <w:jc w:val="center"/>
              <w:rPr>
                <w:w w:val="95"/>
                <w:sz w:val="20"/>
                <w:szCs w:val="20"/>
                <w:lang w:val="fr-FR"/>
              </w:rPr>
            </w:pPr>
          </w:p>
          <w:p w14:paraId="2BBE92D0" w14:textId="77777777" w:rsidR="009021F1" w:rsidRPr="00114059" w:rsidRDefault="009021F1" w:rsidP="00E637E3">
            <w:pPr>
              <w:pStyle w:val="TableParagraph"/>
              <w:spacing w:line="276" w:lineRule="auto"/>
              <w:ind w:left="80" w:right="196"/>
              <w:jc w:val="center"/>
              <w:rPr>
                <w:w w:val="95"/>
                <w:sz w:val="20"/>
                <w:szCs w:val="20"/>
                <w:lang w:val="fr-FR"/>
              </w:rPr>
            </w:pPr>
          </w:p>
          <w:p w14:paraId="49130BCE" w14:textId="77777777" w:rsidR="009021F1" w:rsidRPr="00114059" w:rsidRDefault="009021F1" w:rsidP="00E637E3">
            <w:pPr>
              <w:pStyle w:val="TableParagraph"/>
              <w:spacing w:line="276" w:lineRule="auto"/>
              <w:ind w:left="80" w:right="196"/>
              <w:jc w:val="center"/>
              <w:rPr>
                <w:w w:val="95"/>
                <w:sz w:val="20"/>
                <w:szCs w:val="20"/>
                <w:lang w:val="fr-FR"/>
              </w:rPr>
            </w:pPr>
          </w:p>
          <w:p w14:paraId="7AB8BA4B" w14:textId="77777777" w:rsidR="009021F1" w:rsidRPr="00114059" w:rsidRDefault="009021F1" w:rsidP="00E637E3">
            <w:pPr>
              <w:pStyle w:val="TableParagraph"/>
              <w:spacing w:line="276" w:lineRule="auto"/>
              <w:ind w:left="80" w:right="196"/>
              <w:rPr>
                <w:sz w:val="20"/>
                <w:szCs w:val="20"/>
              </w:rPr>
            </w:pPr>
            <w:r w:rsidRPr="00114059">
              <w:rPr>
                <w:sz w:val="20"/>
                <w:szCs w:val="20"/>
              </w:rPr>
              <w:t>Risques d’accidents</w:t>
            </w:r>
          </w:p>
        </w:tc>
        <w:tc>
          <w:tcPr>
            <w:tcW w:w="4975" w:type="dxa"/>
            <w:shd w:val="clear" w:color="auto" w:fill="auto"/>
          </w:tcPr>
          <w:p w14:paraId="1BCFD4FF"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rFonts w:eastAsia="Symbol"/>
                <w:color w:val="000000"/>
                <w:sz w:val="20"/>
                <w:szCs w:val="20"/>
                <w:lang w:val="fr-FR"/>
              </w:rPr>
              <w:t>Inclure les clauses environnementales et sociales dans les DAO et les contrats des entreprises et port obligatoire des EPI appropriés ;</w:t>
            </w:r>
          </w:p>
          <w:p w14:paraId="0F2AF6F5"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rFonts w:eastAsia="Symbol"/>
                <w:color w:val="000000"/>
                <w:sz w:val="20"/>
                <w:szCs w:val="20"/>
                <w:lang w:val="fr-FR"/>
              </w:rPr>
              <w:t>la formation E3S (environnemental, social, santé sécurité) de tous les ouvriers;</w:t>
            </w:r>
          </w:p>
          <w:p w14:paraId="7E50D0F1"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color w:val="000000"/>
                <w:sz w:val="20"/>
                <w:szCs w:val="20"/>
                <w:lang w:val="fr-FR"/>
              </w:rPr>
              <w:t>Bonne gestion  des accidents et incidents;</w:t>
            </w:r>
          </w:p>
          <w:p w14:paraId="7D6CB9BD"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rFonts w:eastAsia="Symbol"/>
                <w:color w:val="000000"/>
                <w:sz w:val="20"/>
                <w:szCs w:val="20"/>
                <w:lang w:val="fr-FR"/>
              </w:rPr>
              <w:t>Etiquetage des produits dangereux, la sécurité routière;</w:t>
            </w:r>
          </w:p>
          <w:p w14:paraId="4F1E822B"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rFonts w:eastAsia="Symbol"/>
                <w:color w:val="000000"/>
                <w:sz w:val="20"/>
                <w:szCs w:val="20"/>
                <w:lang w:val="fr-FR"/>
              </w:rPr>
              <w:t>Mener une campagne de communication et de sensibilisation avant et pendant les travaux ;</w:t>
            </w:r>
          </w:p>
          <w:p w14:paraId="607484DC"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Contrôler l’accès aux sites des travaux ;</w:t>
            </w:r>
          </w:p>
          <w:p w14:paraId="7119D292"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Préparer et mettre en œuvre un plan de santé et sécurité au travail qui intègre les stratégies de prévention des accidents telles que l’éducation et l’information des travailleurs sur les questions de sécurité ;</w:t>
            </w:r>
          </w:p>
          <w:p w14:paraId="06B02567"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S’assurer de l’adhésion de tout le personnel au plan de santé et sécurité ;</w:t>
            </w:r>
          </w:p>
          <w:p w14:paraId="2E97855C"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Exiger l’analyse préalable des risques pour les postes de travail à haut risque et les Équipements de Protection Individuelle (EPI) adaptés aux exigences spécifiques des emplois (casques, lunettes, chaussures et gants de sécurité) ;</w:t>
            </w:r>
          </w:p>
          <w:p w14:paraId="05E3E2F5"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Installer de la signalisation indiquant les zones à risque d’accident ;</w:t>
            </w:r>
          </w:p>
          <w:p w14:paraId="12867DE4"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Rapporter avec des détails précis, la procédure suivie pour régler les cas d’accidents et les mesures prises pour les indemnisations des victimes.</w:t>
            </w:r>
          </w:p>
          <w:p w14:paraId="4C983FBC"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Le trafic routier pour les différents sous-projets pourrait être assez élevé et l’augmentation des risques routiers via l’utilisation de certaines routes pourrait alors mener à un impact moyen.</w:t>
            </w:r>
          </w:p>
        </w:tc>
        <w:tc>
          <w:tcPr>
            <w:tcW w:w="2144" w:type="dxa"/>
            <w:shd w:val="clear" w:color="auto" w:fill="auto"/>
          </w:tcPr>
          <w:p w14:paraId="07D1FA13"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Avant et pendant la phase d’exécution du Programme</w:t>
            </w:r>
          </w:p>
        </w:tc>
        <w:tc>
          <w:tcPr>
            <w:tcW w:w="2109" w:type="dxa"/>
            <w:shd w:val="clear" w:color="auto" w:fill="auto"/>
          </w:tcPr>
          <w:p w14:paraId="1D735829"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Les PME, la Mission de contrôle et autres prestataires</w:t>
            </w:r>
          </w:p>
        </w:tc>
        <w:tc>
          <w:tcPr>
            <w:tcW w:w="2190" w:type="dxa"/>
            <w:shd w:val="clear" w:color="auto" w:fill="auto"/>
          </w:tcPr>
          <w:p w14:paraId="6D09EBA4"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PNDA et ACE, OVDA, PNCR, Administration locale, ONG locale</w:t>
            </w:r>
          </w:p>
        </w:tc>
      </w:tr>
      <w:tr w:rsidR="009021F1" w:rsidRPr="00114059" w14:paraId="72598AB4" w14:textId="77777777" w:rsidTr="00E637E3">
        <w:tc>
          <w:tcPr>
            <w:tcW w:w="1806" w:type="dxa"/>
            <w:vMerge/>
            <w:shd w:val="clear" w:color="auto" w:fill="auto"/>
          </w:tcPr>
          <w:p w14:paraId="4F5EDAD0" w14:textId="77777777" w:rsidR="009021F1" w:rsidRPr="00114059" w:rsidRDefault="009021F1" w:rsidP="00E637E3">
            <w:pPr>
              <w:pStyle w:val="TableParagraph"/>
              <w:spacing w:line="276" w:lineRule="auto"/>
              <w:rPr>
                <w:sz w:val="20"/>
                <w:szCs w:val="20"/>
                <w:lang w:val="fr-FR"/>
              </w:rPr>
            </w:pPr>
          </w:p>
        </w:tc>
        <w:tc>
          <w:tcPr>
            <w:tcW w:w="2271" w:type="dxa"/>
            <w:shd w:val="clear" w:color="auto" w:fill="auto"/>
          </w:tcPr>
          <w:p w14:paraId="04FD4F02" w14:textId="77777777" w:rsidR="009021F1" w:rsidRPr="00114059" w:rsidRDefault="009021F1" w:rsidP="00E637E3">
            <w:pPr>
              <w:pStyle w:val="TableParagraph"/>
              <w:spacing w:line="276" w:lineRule="auto"/>
              <w:ind w:left="80" w:right="196"/>
              <w:rPr>
                <w:w w:val="95"/>
                <w:sz w:val="20"/>
                <w:szCs w:val="20"/>
                <w:lang w:val="fr-FR"/>
              </w:rPr>
            </w:pPr>
          </w:p>
          <w:p w14:paraId="04CCB35B" w14:textId="77777777" w:rsidR="009021F1" w:rsidRPr="00114059" w:rsidRDefault="009021F1" w:rsidP="00E637E3">
            <w:pPr>
              <w:pStyle w:val="TableParagraph"/>
              <w:spacing w:line="276" w:lineRule="auto"/>
              <w:ind w:left="80" w:right="196"/>
              <w:rPr>
                <w:w w:val="95"/>
                <w:sz w:val="20"/>
                <w:szCs w:val="20"/>
                <w:lang w:val="fr-FR"/>
              </w:rPr>
            </w:pPr>
          </w:p>
          <w:p w14:paraId="3C09634E" w14:textId="77777777" w:rsidR="009021F1" w:rsidRPr="00114059" w:rsidRDefault="009021F1" w:rsidP="00E637E3">
            <w:pPr>
              <w:pStyle w:val="TableParagraph"/>
              <w:spacing w:line="276" w:lineRule="auto"/>
              <w:ind w:left="80" w:right="196"/>
              <w:rPr>
                <w:w w:val="95"/>
                <w:sz w:val="20"/>
                <w:szCs w:val="20"/>
                <w:lang w:val="fr-FR"/>
              </w:rPr>
            </w:pPr>
          </w:p>
          <w:p w14:paraId="4F33787C" w14:textId="77777777" w:rsidR="009021F1" w:rsidRPr="00114059" w:rsidRDefault="009021F1" w:rsidP="00E637E3">
            <w:pPr>
              <w:pStyle w:val="TableParagraph"/>
              <w:spacing w:line="276" w:lineRule="auto"/>
              <w:ind w:left="80" w:right="196"/>
              <w:rPr>
                <w:w w:val="95"/>
                <w:sz w:val="20"/>
                <w:szCs w:val="20"/>
                <w:lang w:val="fr-FR"/>
              </w:rPr>
            </w:pPr>
          </w:p>
          <w:p w14:paraId="04A1FC06" w14:textId="77777777" w:rsidR="009021F1" w:rsidRPr="00114059" w:rsidRDefault="009021F1" w:rsidP="00E637E3">
            <w:pPr>
              <w:pStyle w:val="TableParagraph"/>
              <w:spacing w:line="276" w:lineRule="auto"/>
              <w:ind w:left="80" w:right="196"/>
              <w:rPr>
                <w:w w:val="95"/>
                <w:sz w:val="20"/>
                <w:szCs w:val="20"/>
                <w:lang w:val="fr-FR"/>
              </w:rPr>
            </w:pPr>
          </w:p>
          <w:p w14:paraId="554E36E3" w14:textId="77777777" w:rsidR="009021F1" w:rsidRPr="00114059" w:rsidRDefault="009021F1" w:rsidP="00E637E3">
            <w:pPr>
              <w:pStyle w:val="TableParagraph"/>
              <w:spacing w:line="276" w:lineRule="auto"/>
              <w:ind w:left="80" w:right="196"/>
              <w:rPr>
                <w:w w:val="95"/>
                <w:sz w:val="20"/>
                <w:szCs w:val="20"/>
                <w:lang w:val="fr-FR"/>
              </w:rPr>
            </w:pPr>
          </w:p>
          <w:p w14:paraId="349C91F6" w14:textId="77777777" w:rsidR="009021F1" w:rsidRPr="00114059" w:rsidRDefault="009021F1" w:rsidP="00E637E3">
            <w:pPr>
              <w:pStyle w:val="TableParagraph"/>
              <w:spacing w:line="276" w:lineRule="auto"/>
              <w:ind w:left="80" w:right="196"/>
              <w:rPr>
                <w:sz w:val="20"/>
                <w:szCs w:val="20"/>
                <w:lang w:val="fr-FR"/>
              </w:rPr>
            </w:pPr>
            <w:r w:rsidRPr="00114059">
              <w:rPr>
                <w:sz w:val="20"/>
                <w:szCs w:val="20"/>
                <w:lang w:val="fr-FR"/>
              </w:rPr>
              <w:t>Risque de contamination du COVID-19</w:t>
            </w:r>
          </w:p>
        </w:tc>
        <w:tc>
          <w:tcPr>
            <w:tcW w:w="4975" w:type="dxa"/>
            <w:shd w:val="clear" w:color="auto" w:fill="auto"/>
          </w:tcPr>
          <w:p w14:paraId="759848A1"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Mettre en place un plan de prévention contre la COVID-19 ;</w:t>
            </w:r>
          </w:p>
          <w:p w14:paraId="6E274684"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Sensibiliser les travailleurs et les populations riveraines sur la lutte contre la COVID19 ;</w:t>
            </w:r>
          </w:p>
          <w:p w14:paraId="73C923DF"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 xml:space="preserve">Port obligatoire des masques médicalisés ou tous les autres masques fabriqués localement; </w:t>
            </w:r>
          </w:p>
          <w:p w14:paraId="06720DD6"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Confinement des personnes contaminées par la COVID-19 ;</w:t>
            </w:r>
          </w:p>
          <w:p w14:paraId="60898CE7"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Observer les mesures barrières dont :</w:t>
            </w:r>
          </w:p>
          <w:p w14:paraId="17EF62AC" w14:textId="77777777" w:rsidR="009021F1" w:rsidRPr="00114059" w:rsidRDefault="009021F1" w:rsidP="00E637E3">
            <w:pPr>
              <w:pStyle w:val="Paragraphedeliste"/>
              <w:numPr>
                <w:ilvl w:val="0"/>
                <w:numId w:val="50"/>
              </w:numPr>
              <w:rPr>
                <w:rFonts w:cs="Arial"/>
                <w:sz w:val="20"/>
                <w:szCs w:val="20"/>
              </w:rPr>
            </w:pPr>
            <w:r w:rsidRPr="00114059">
              <w:rPr>
                <w:rFonts w:cs="Arial"/>
                <w:sz w:val="20"/>
                <w:szCs w:val="20"/>
              </w:rPr>
              <w:t>Lavage des mains plusieurs fois/jours, fréquemment et correctement avec du savon ou mettre du gel hydro alcoolique pour éviter les microbes ;</w:t>
            </w:r>
          </w:p>
          <w:p w14:paraId="55A91169" w14:textId="77777777" w:rsidR="009021F1" w:rsidRPr="00114059" w:rsidRDefault="009021F1" w:rsidP="00E637E3">
            <w:pPr>
              <w:pStyle w:val="Paragraphedeliste"/>
              <w:numPr>
                <w:ilvl w:val="0"/>
                <w:numId w:val="50"/>
              </w:numPr>
              <w:rPr>
                <w:rFonts w:cs="Arial"/>
                <w:sz w:val="20"/>
                <w:szCs w:val="20"/>
              </w:rPr>
            </w:pPr>
            <w:r w:rsidRPr="00114059">
              <w:rPr>
                <w:rFonts w:cs="Arial"/>
                <w:sz w:val="20"/>
                <w:szCs w:val="20"/>
              </w:rPr>
              <w:t>Maintenir une distanciation sociale (±1 mètre) ;</w:t>
            </w:r>
          </w:p>
          <w:p w14:paraId="520DDA6F"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Observer les règles d’hygiène respiratoire :</w:t>
            </w:r>
          </w:p>
          <w:p w14:paraId="7881C6BD" w14:textId="77777777" w:rsidR="009021F1" w:rsidRPr="00114059" w:rsidRDefault="009021F1" w:rsidP="00E637E3">
            <w:pPr>
              <w:pStyle w:val="Paragraphedeliste"/>
              <w:numPr>
                <w:ilvl w:val="0"/>
                <w:numId w:val="50"/>
              </w:numPr>
              <w:rPr>
                <w:rFonts w:cs="Arial"/>
                <w:sz w:val="20"/>
                <w:szCs w:val="20"/>
              </w:rPr>
            </w:pPr>
            <w:r w:rsidRPr="00114059">
              <w:rPr>
                <w:rFonts w:cs="Arial"/>
                <w:sz w:val="20"/>
                <w:szCs w:val="20"/>
              </w:rPr>
              <w:t>Eviter de se serrer la main ou de se faire la bise pour se saluer ;</w:t>
            </w:r>
          </w:p>
          <w:p w14:paraId="25B22883" w14:textId="77777777" w:rsidR="009021F1" w:rsidRPr="00114059" w:rsidRDefault="009021F1" w:rsidP="00E637E3">
            <w:pPr>
              <w:pStyle w:val="Paragraphedeliste"/>
              <w:numPr>
                <w:ilvl w:val="0"/>
                <w:numId w:val="50"/>
              </w:numPr>
              <w:rPr>
                <w:rFonts w:cs="Arial"/>
                <w:sz w:val="20"/>
                <w:szCs w:val="20"/>
              </w:rPr>
            </w:pPr>
            <w:r w:rsidRPr="00114059">
              <w:rPr>
                <w:rFonts w:cs="Arial"/>
                <w:sz w:val="20"/>
                <w:szCs w:val="20"/>
              </w:rPr>
              <w:t>Éviter de se toucher la bouche, le nez et les yeux : nez, yeux et bouches sont autant de "portes d'entrées" possibles au virus. En période de la pandémie, il est préférable d’éviter au maximum de se toucher le visage avec les mains, potentiellement contaminées ;</w:t>
            </w:r>
          </w:p>
          <w:p w14:paraId="3EC8FA23" w14:textId="77777777" w:rsidR="009021F1" w:rsidRPr="00114059" w:rsidRDefault="009021F1" w:rsidP="00E637E3">
            <w:pPr>
              <w:pStyle w:val="Paragraphedeliste"/>
              <w:numPr>
                <w:ilvl w:val="0"/>
                <w:numId w:val="50"/>
              </w:numPr>
              <w:rPr>
                <w:rFonts w:cs="Arial"/>
                <w:sz w:val="20"/>
                <w:szCs w:val="20"/>
              </w:rPr>
            </w:pPr>
            <w:r w:rsidRPr="00114059">
              <w:rPr>
                <w:rFonts w:cs="Arial"/>
                <w:sz w:val="20"/>
                <w:szCs w:val="20"/>
              </w:rPr>
              <w:t>Mettre en place un numéro vert ;</w:t>
            </w:r>
          </w:p>
          <w:p w14:paraId="3F30F4AB" w14:textId="77777777" w:rsidR="009021F1" w:rsidRPr="00114059" w:rsidRDefault="009021F1" w:rsidP="00E637E3">
            <w:pPr>
              <w:pStyle w:val="Paragraphedeliste"/>
              <w:numPr>
                <w:ilvl w:val="0"/>
                <w:numId w:val="50"/>
              </w:numPr>
              <w:rPr>
                <w:rFonts w:cs="Arial"/>
                <w:sz w:val="20"/>
                <w:szCs w:val="20"/>
              </w:rPr>
            </w:pPr>
            <w:r w:rsidRPr="00114059">
              <w:rPr>
                <w:rFonts w:cs="Arial"/>
                <w:sz w:val="20"/>
                <w:szCs w:val="20"/>
              </w:rPr>
              <w:t>Se couvrir la bouche et le nez avec le pli du coude ou avec un mouchoir en cas de toux ou d'éternuement – jeter le mouchoir immédiatement après dans une poubelle fermée et se laver les mains avec une solution hydro alcoolique ou à l'eau et au savon. Se couvrir la bouche et le nez en cas de toux ou d'éternuement permet d'éviter la propagation des virus et autres agents pathogènes ;</w:t>
            </w:r>
          </w:p>
          <w:p w14:paraId="542729CC"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Tenir compte de la situation de la femme face au   COVID-19 ;</w:t>
            </w:r>
          </w:p>
        </w:tc>
        <w:tc>
          <w:tcPr>
            <w:tcW w:w="2144" w:type="dxa"/>
            <w:shd w:val="clear" w:color="auto" w:fill="auto"/>
          </w:tcPr>
          <w:p w14:paraId="7D7B639A"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Pendant la phase d’exécution du Programme</w:t>
            </w:r>
          </w:p>
        </w:tc>
        <w:tc>
          <w:tcPr>
            <w:tcW w:w="2109" w:type="dxa"/>
            <w:shd w:val="clear" w:color="auto" w:fill="auto"/>
          </w:tcPr>
          <w:p w14:paraId="01A90BC0"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Les PME, la Mission de contrôle et autres prestataires de service</w:t>
            </w:r>
          </w:p>
        </w:tc>
        <w:tc>
          <w:tcPr>
            <w:tcW w:w="2190" w:type="dxa"/>
            <w:shd w:val="clear" w:color="auto" w:fill="auto"/>
          </w:tcPr>
          <w:p w14:paraId="4D348184"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PNDA et ACE, INRB, Administration locale, ONG locale</w:t>
            </w:r>
          </w:p>
        </w:tc>
      </w:tr>
      <w:tr w:rsidR="009021F1" w:rsidRPr="00114059" w14:paraId="6405A86D" w14:textId="77777777" w:rsidTr="00E637E3">
        <w:tc>
          <w:tcPr>
            <w:tcW w:w="1806" w:type="dxa"/>
            <w:shd w:val="clear" w:color="auto" w:fill="auto"/>
          </w:tcPr>
          <w:p w14:paraId="702B1A51" w14:textId="77777777" w:rsidR="009021F1" w:rsidRPr="00114059" w:rsidRDefault="009021F1" w:rsidP="00E637E3">
            <w:pPr>
              <w:pStyle w:val="TableParagraph"/>
              <w:spacing w:line="276" w:lineRule="auto"/>
              <w:rPr>
                <w:sz w:val="20"/>
                <w:szCs w:val="20"/>
                <w:lang w:val="fr-FR"/>
              </w:rPr>
            </w:pPr>
          </w:p>
        </w:tc>
        <w:tc>
          <w:tcPr>
            <w:tcW w:w="2271" w:type="dxa"/>
            <w:shd w:val="clear" w:color="auto" w:fill="auto"/>
          </w:tcPr>
          <w:p w14:paraId="409D8A3D" w14:textId="77777777" w:rsidR="009021F1" w:rsidRPr="00114059" w:rsidRDefault="009021F1" w:rsidP="00E637E3">
            <w:pPr>
              <w:pStyle w:val="TableParagraph"/>
              <w:spacing w:line="276" w:lineRule="auto"/>
              <w:ind w:left="80" w:right="196"/>
              <w:rPr>
                <w:w w:val="95"/>
                <w:sz w:val="20"/>
                <w:szCs w:val="20"/>
                <w:lang w:val="fr-FR"/>
              </w:rPr>
            </w:pPr>
            <w:r w:rsidRPr="00114059">
              <w:rPr>
                <w:sz w:val="20"/>
                <w:szCs w:val="20"/>
                <w:lang w:val="fr-FR"/>
              </w:rPr>
              <w:t>Risque de contamination du virus Ebola</w:t>
            </w:r>
          </w:p>
        </w:tc>
        <w:tc>
          <w:tcPr>
            <w:tcW w:w="4975" w:type="dxa"/>
            <w:shd w:val="clear" w:color="auto" w:fill="auto"/>
          </w:tcPr>
          <w:p w14:paraId="76CD26E4" w14:textId="77777777" w:rsidR="009021F1" w:rsidRPr="00114059" w:rsidRDefault="009021F1" w:rsidP="00E637E3">
            <w:pPr>
              <w:pStyle w:val="Paragraphedeliste"/>
              <w:numPr>
                <w:ilvl w:val="0"/>
                <w:numId w:val="50"/>
              </w:numPr>
              <w:rPr>
                <w:sz w:val="20"/>
                <w:szCs w:val="20"/>
              </w:rPr>
            </w:pPr>
            <w:r w:rsidRPr="00114059">
              <w:rPr>
                <w:rFonts w:cs="Arial"/>
                <w:sz w:val="20"/>
                <w:szCs w:val="20"/>
              </w:rPr>
              <w:t>application des mesures spécifiques de prévention et de lutte telles que : (i) se laver les mains,  (ii) éviter tout contact avec les liquides biologiques de cas suspects ou confirmés d'Ebola ; (iii) s'abstenir de manipuler ou de préparer les corps des défunts à virus Ebola, etc</w:t>
            </w:r>
          </w:p>
        </w:tc>
        <w:tc>
          <w:tcPr>
            <w:tcW w:w="2144" w:type="dxa"/>
            <w:shd w:val="clear" w:color="auto" w:fill="auto"/>
          </w:tcPr>
          <w:p w14:paraId="3759E5C6"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Pendant la phase d’exécution du Programme</w:t>
            </w:r>
          </w:p>
        </w:tc>
        <w:tc>
          <w:tcPr>
            <w:tcW w:w="2109" w:type="dxa"/>
            <w:shd w:val="clear" w:color="auto" w:fill="auto"/>
          </w:tcPr>
          <w:p w14:paraId="0ED0BAF8"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Les PME, la Mission de contrôle et autres prestataires de service</w:t>
            </w:r>
          </w:p>
        </w:tc>
        <w:tc>
          <w:tcPr>
            <w:tcW w:w="2190" w:type="dxa"/>
            <w:shd w:val="clear" w:color="auto" w:fill="auto"/>
          </w:tcPr>
          <w:p w14:paraId="78A16DFE"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PNDA et ACE, INRB, Administration locale, ONG locale</w:t>
            </w:r>
          </w:p>
        </w:tc>
      </w:tr>
      <w:tr w:rsidR="009021F1" w:rsidRPr="00114059" w14:paraId="62D0D3E3" w14:textId="77777777" w:rsidTr="00E637E3">
        <w:tc>
          <w:tcPr>
            <w:tcW w:w="1806" w:type="dxa"/>
            <w:shd w:val="clear" w:color="auto" w:fill="auto"/>
          </w:tcPr>
          <w:p w14:paraId="481B40E1" w14:textId="77777777" w:rsidR="009021F1" w:rsidRPr="00114059" w:rsidRDefault="009021F1" w:rsidP="00E637E3">
            <w:pPr>
              <w:pStyle w:val="TableParagraph"/>
              <w:spacing w:line="276" w:lineRule="auto"/>
              <w:ind w:left="176" w:right="146" w:hanging="13"/>
              <w:jc w:val="both"/>
              <w:rPr>
                <w:w w:val="95"/>
                <w:sz w:val="20"/>
                <w:szCs w:val="20"/>
                <w:lang w:val="fr-FR"/>
              </w:rPr>
            </w:pPr>
          </w:p>
          <w:p w14:paraId="5894C510" w14:textId="77777777" w:rsidR="009021F1" w:rsidRPr="00114059" w:rsidRDefault="009021F1" w:rsidP="00E637E3">
            <w:pPr>
              <w:pStyle w:val="TableParagraph"/>
              <w:spacing w:line="276" w:lineRule="auto"/>
              <w:ind w:left="176" w:right="146" w:hanging="13"/>
              <w:jc w:val="both"/>
              <w:rPr>
                <w:w w:val="95"/>
                <w:sz w:val="20"/>
                <w:szCs w:val="20"/>
                <w:lang w:val="fr-FR"/>
              </w:rPr>
            </w:pPr>
          </w:p>
          <w:p w14:paraId="5E58E209" w14:textId="77777777" w:rsidR="009021F1" w:rsidRPr="00114059" w:rsidRDefault="009021F1" w:rsidP="00E637E3">
            <w:pPr>
              <w:pStyle w:val="TableParagraph"/>
              <w:spacing w:line="276" w:lineRule="auto"/>
              <w:ind w:left="176" w:right="146" w:hanging="13"/>
              <w:jc w:val="both"/>
              <w:rPr>
                <w:w w:val="95"/>
                <w:sz w:val="20"/>
                <w:szCs w:val="20"/>
                <w:lang w:val="fr-FR"/>
              </w:rPr>
            </w:pPr>
          </w:p>
          <w:p w14:paraId="12E44A57" w14:textId="77777777" w:rsidR="009021F1" w:rsidRPr="00114059" w:rsidRDefault="009021F1" w:rsidP="00E637E3">
            <w:pPr>
              <w:pStyle w:val="TableParagraph"/>
              <w:spacing w:line="276" w:lineRule="auto"/>
              <w:ind w:left="176" w:right="146" w:hanging="13"/>
              <w:jc w:val="both"/>
              <w:rPr>
                <w:w w:val="95"/>
                <w:sz w:val="20"/>
                <w:szCs w:val="20"/>
                <w:lang w:val="fr-FR"/>
              </w:rPr>
            </w:pPr>
          </w:p>
          <w:p w14:paraId="5B04A1A1" w14:textId="77777777" w:rsidR="009021F1" w:rsidRPr="00114059" w:rsidRDefault="009021F1" w:rsidP="00E637E3">
            <w:pPr>
              <w:pStyle w:val="TableParagraph"/>
              <w:spacing w:line="276" w:lineRule="auto"/>
              <w:ind w:left="176" w:right="146" w:hanging="13"/>
              <w:jc w:val="both"/>
              <w:rPr>
                <w:w w:val="95"/>
                <w:sz w:val="20"/>
                <w:szCs w:val="20"/>
                <w:lang w:val="fr-FR"/>
              </w:rPr>
            </w:pPr>
          </w:p>
          <w:p w14:paraId="5BB975E7" w14:textId="77777777" w:rsidR="009021F1" w:rsidRPr="00114059" w:rsidRDefault="009021F1" w:rsidP="00E637E3">
            <w:pPr>
              <w:pStyle w:val="TableParagraph"/>
              <w:spacing w:line="276" w:lineRule="auto"/>
              <w:ind w:left="176" w:right="146" w:hanging="13"/>
              <w:jc w:val="both"/>
              <w:rPr>
                <w:w w:val="95"/>
                <w:sz w:val="20"/>
                <w:szCs w:val="20"/>
                <w:lang w:val="fr-FR"/>
              </w:rPr>
            </w:pPr>
          </w:p>
          <w:p w14:paraId="74ED05A4" w14:textId="77777777" w:rsidR="009021F1" w:rsidRPr="00114059" w:rsidRDefault="009021F1" w:rsidP="00E637E3">
            <w:pPr>
              <w:pStyle w:val="TableParagraph"/>
              <w:spacing w:line="276" w:lineRule="auto"/>
              <w:ind w:left="176" w:right="146" w:hanging="13"/>
              <w:jc w:val="both"/>
              <w:rPr>
                <w:w w:val="95"/>
                <w:sz w:val="20"/>
                <w:szCs w:val="20"/>
                <w:lang w:val="fr-FR"/>
              </w:rPr>
            </w:pPr>
          </w:p>
          <w:p w14:paraId="43FE65E8" w14:textId="77777777" w:rsidR="009021F1" w:rsidRPr="00114059" w:rsidRDefault="009021F1" w:rsidP="00E637E3">
            <w:pPr>
              <w:pStyle w:val="TableParagraph"/>
              <w:spacing w:line="276" w:lineRule="auto"/>
              <w:ind w:left="176" w:right="146" w:hanging="13"/>
              <w:jc w:val="both"/>
              <w:rPr>
                <w:sz w:val="20"/>
                <w:szCs w:val="20"/>
              </w:rPr>
            </w:pPr>
            <w:r w:rsidRPr="00114059">
              <w:rPr>
                <w:sz w:val="20"/>
                <w:szCs w:val="20"/>
              </w:rPr>
              <w:t>Utilisation du sol</w:t>
            </w:r>
          </w:p>
        </w:tc>
        <w:tc>
          <w:tcPr>
            <w:tcW w:w="2271" w:type="dxa"/>
            <w:shd w:val="clear" w:color="auto" w:fill="auto"/>
          </w:tcPr>
          <w:p w14:paraId="11983C8B" w14:textId="77777777" w:rsidR="009021F1" w:rsidRPr="00114059" w:rsidRDefault="009021F1" w:rsidP="00E637E3">
            <w:pPr>
              <w:pStyle w:val="TableParagraph"/>
              <w:spacing w:line="276" w:lineRule="auto"/>
              <w:ind w:right="130"/>
              <w:rPr>
                <w:sz w:val="20"/>
                <w:szCs w:val="20"/>
                <w:lang w:val="fr-FR"/>
              </w:rPr>
            </w:pPr>
          </w:p>
          <w:p w14:paraId="18574A02" w14:textId="77777777" w:rsidR="009021F1" w:rsidRPr="00114059" w:rsidRDefault="009021F1" w:rsidP="00E637E3">
            <w:pPr>
              <w:pStyle w:val="TableParagraph"/>
              <w:spacing w:line="276" w:lineRule="auto"/>
              <w:ind w:right="130"/>
              <w:rPr>
                <w:sz w:val="20"/>
                <w:szCs w:val="20"/>
                <w:lang w:val="fr-FR"/>
              </w:rPr>
            </w:pPr>
          </w:p>
          <w:p w14:paraId="67BEFA54" w14:textId="77777777" w:rsidR="009021F1" w:rsidRPr="00114059" w:rsidRDefault="009021F1" w:rsidP="00E637E3">
            <w:pPr>
              <w:pStyle w:val="TableParagraph"/>
              <w:spacing w:line="276" w:lineRule="auto"/>
              <w:ind w:right="130"/>
              <w:rPr>
                <w:sz w:val="20"/>
                <w:szCs w:val="20"/>
                <w:lang w:val="fr-FR"/>
              </w:rPr>
            </w:pPr>
          </w:p>
          <w:p w14:paraId="24964CEC" w14:textId="77777777" w:rsidR="009021F1" w:rsidRPr="00114059" w:rsidRDefault="009021F1" w:rsidP="00E637E3">
            <w:pPr>
              <w:pStyle w:val="TableParagraph"/>
              <w:spacing w:line="276" w:lineRule="auto"/>
              <w:ind w:right="130"/>
              <w:rPr>
                <w:sz w:val="20"/>
                <w:szCs w:val="20"/>
                <w:lang w:val="fr-FR"/>
              </w:rPr>
            </w:pPr>
          </w:p>
          <w:p w14:paraId="3511BC7F" w14:textId="77777777" w:rsidR="009021F1" w:rsidRPr="00114059" w:rsidRDefault="009021F1" w:rsidP="00E637E3">
            <w:pPr>
              <w:pStyle w:val="TableParagraph"/>
              <w:spacing w:line="276" w:lineRule="auto"/>
              <w:ind w:right="130"/>
              <w:rPr>
                <w:sz w:val="20"/>
                <w:szCs w:val="20"/>
                <w:lang w:val="fr-FR"/>
              </w:rPr>
            </w:pPr>
          </w:p>
          <w:p w14:paraId="047927E9" w14:textId="77777777" w:rsidR="009021F1" w:rsidRPr="00114059" w:rsidRDefault="009021F1" w:rsidP="00E637E3">
            <w:pPr>
              <w:pStyle w:val="TableParagraph"/>
              <w:spacing w:line="276" w:lineRule="auto"/>
              <w:ind w:right="130"/>
              <w:rPr>
                <w:sz w:val="20"/>
                <w:szCs w:val="20"/>
                <w:lang w:val="fr-FR"/>
              </w:rPr>
            </w:pPr>
          </w:p>
          <w:p w14:paraId="36FCCBF8" w14:textId="77777777" w:rsidR="009021F1" w:rsidRPr="00114059" w:rsidRDefault="009021F1" w:rsidP="00E637E3">
            <w:pPr>
              <w:pStyle w:val="TableParagraph"/>
              <w:spacing w:line="276" w:lineRule="auto"/>
              <w:ind w:right="130"/>
              <w:rPr>
                <w:sz w:val="20"/>
                <w:szCs w:val="20"/>
                <w:lang w:val="fr-FR"/>
              </w:rPr>
            </w:pPr>
          </w:p>
          <w:p w14:paraId="1B29B706" w14:textId="77777777" w:rsidR="009021F1" w:rsidRPr="00114059" w:rsidRDefault="009021F1" w:rsidP="00E637E3">
            <w:pPr>
              <w:pStyle w:val="TableParagraph"/>
              <w:spacing w:line="276" w:lineRule="auto"/>
              <w:ind w:right="130"/>
              <w:rPr>
                <w:sz w:val="20"/>
                <w:szCs w:val="20"/>
                <w:lang w:val="fr-FR"/>
              </w:rPr>
            </w:pPr>
            <w:r w:rsidRPr="00114059">
              <w:rPr>
                <w:sz w:val="20"/>
                <w:szCs w:val="20"/>
                <w:lang w:val="fr-FR"/>
              </w:rPr>
              <w:t>Perte de sols agricoles et de pâturages en zone rurale et périurbaine.</w:t>
            </w:r>
          </w:p>
        </w:tc>
        <w:tc>
          <w:tcPr>
            <w:tcW w:w="4975" w:type="dxa"/>
            <w:shd w:val="clear" w:color="auto" w:fill="auto"/>
          </w:tcPr>
          <w:p w14:paraId="2A5F110F"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Compenser les producteurs agricoles pour leur perte de terre et de revenus ;</w:t>
            </w:r>
          </w:p>
          <w:p w14:paraId="1C1E48EA"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Localiser les équipements autant que possible sur les limites des espaces cultivés, ou les répartir de façon à en réduire le nombre au minimum ;</w:t>
            </w:r>
          </w:p>
          <w:p w14:paraId="50DFF207"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Vérifier avec les propriétaires ou les producteurs l’utilisation prévue des lots avant les travaux ; effectuer les travaux de façon à nuire le moins possible aux cultures et aux pratiques culturales existantes ;</w:t>
            </w:r>
          </w:p>
          <w:p w14:paraId="3A54D926"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Indemniser les propriétaires avant le début des travaux si des terres et des cultures sont touchées à temps partiel ou en permanence ;</w:t>
            </w:r>
          </w:p>
          <w:p w14:paraId="641B6224"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Minimiser les superficies où il ne sera pas possible de cultiver ou de pratiquer l’élevage pendant et après les travaux ;</w:t>
            </w:r>
          </w:p>
          <w:p w14:paraId="0990E908"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Garantir en tout temps l’accès aux superficies isolées.</w:t>
            </w:r>
          </w:p>
        </w:tc>
        <w:tc>
          <w:tcPr>
            <w:tcW w:w="2144" w:type="dxa"/>
            <w:shd w:val="clear" w:color="auto" w:fill="auto"/>
          </w:tcPr>
          <w:p w14:paraId="1748853E"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Pendant la phase d’exécution du Programme</w:t>
            </w:r>
          </w:p>
        </w:tc>
        <w:tc>
          <w:tcPr>
            <w:tcW w:w="2109" w:type="dxa"/>
            <w:shd w:val="clear" w:color="auto" w:fill="auto"/>
          </w:tcPr>
          <w:p w14:paraId="542C4AE1"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Les PME, la Mission de contrôle et autres prestataires de service</w:t>
            </w:r>
          </w:p>
        </w:tc>
        <w:tc>
          <w:tcPr>
            <w:tcW w:w="2190" w:type="dxa"/>
            <w:shd w:val="clear" w:color="auto" w:fill="auto"/>
          </w:tcPr>
          <w:p w14:paraId="42416BC9"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PNDA et ACE, OVDA, Administration locale, ONG locale</w:t>
            </w:r>
          </w:p>
        </w:tc>
      </w:tr>
      <w:tr w:rsidR="009021F1" w:rsidRPr="00114059" w14:paraId="36D9A025" w14:textId="77777777" w:rsidTr="00E637E3">
        <w:tc>
          <w:tcPr>
            <w:tcW w:w="1806" w:type="dxa"/>
            <w:shd w:val="clear" w:color="auto" w:fill="auto"/>
          </w:tcPr>
          <w:p w14:paraId="005D8B74" w14:textId="77777777" w:rsidR="009021F1" w:rsidRPr="00114059" w:rsidRDefault="009021F1" w:rsidP="00E637E3">
            <w:pPr>
              <w:pStyle w:val="TableParagraph"/>
              <w:spacing w:line="276" w:lineRule="auto"/>
              <w:ind w:right="231"/>
              <w:rPr>
                <w:sz w:val="20"/>
                <w:szCs w:val="20"/>
                <w:lang w:val="fr-FR"/>
              </w:rPr>
            </w:pPr>
          </w:p>
          <w:p w14:paraId="1FBB8868" w14:textId="77777777" w:rsidR="009021F1" w:rsidRPr="00114059" w:rsidRDefault="009021F1" w:rsidP="00E637E3">
            <w:pPr>
              <w:pStyle w:val="TableParagraph"/>
              <w:spacing w:line="276" w:lineRule="auto"/>
              <w:ind w:right="231"/>
              <w:rPr>
                <w:sz w:val="20"/>
                <w:szCs w:val="20"/>
                <w:lang w:val="fr-FR"/>
              </w:rPr>
            </w:pPr>
          </w:p>
          <w:p w14:paraId="786CB826" w14:textId="77777777" w:rsidR="009021F1" w:rsidRPr="00114059" w:rsidRDefault="009021F1" w:rsidP="00E637E3">
            <w:pPr>
              <w:pStyle w:val="TableParagraph"/>
              <w:spacing w:line="276" w:lineRule="auto"/>
              <w:ind w:right="231"/>
              <w:rPr>
                <w:sz w:val="20"/>
                <w:szCs w:val="20"/>
                <w:lang w:val="fr-FR"/>
              </w:rPr>
            </w:pPr>
          </w:p>
          <w:p w14:paraId="7DE18522" w14:textId="77777777" w:rsidR="009021F1" w:rsidRPr="00114059" w:rsidRDefault="009021F1" w:rsidP="00E637E3">
            <w:pPr>
              <w:pStyle w:val="TableParagraph"/>
              <w:spacing w:line="276" w:lineRule="auto"/>
              <w:ind w:right="231"/>
              <w:rPr>
                <w:sz w:val="20"/>
                <w:szCs w:val="20"/>
                <w:lang w:val="fr-FR"/>
              </w:rPr>
            </w:pPr>
          </w:p>
          <w:p w14:paraId="4FBD68F4" w14:textId="77777777" w:rsidR="009021F1" w:rsidRPr="00114059" w:rsidRDefault="009021F1" w:rsidP="00E637E3">
            <w:pPr>
              <w:pStyle w:val="TableParagraph"/>
              <w:spacing w:line="276" w:lineRule="auto"/>
              <w:ind w:right="231"/>
              <w:rPr>
                <w:sz w:val="20"/>
                <w:szCs w:val="20"/>
                <w:lang w:val="fr-FR"/>
              </w:rPr>
            </w:pPr>
          </w:p>
          <w:p w14:paraId="30703F5E" w14:textId="77777777" w:rsidR="009021F1" w:rsidRPr="00114059" w:rsidRDefault="009021F1" w:rsidP="00E637E3">
            <w:pPr>
              <w:pStyle w:val="TableParagraph"/>
              <w:spacing w:line="276" w:lineRule="auto"/>
              <w:ind w:right="231"/>
              <w:rPr>
                <w:sz w:val="20"/>
                <w:szCs w:val="20"/>
                <w:lang w:val="fr-FR"/>
              </w:rPr>
            </w:pPr>
          </w:p>
          <w:p w14:paraId="5D3BD41C" w14:textId="77777777" w:rsidR="009021F1" w:rsidRPr="00114059" w:rsidRDefault="009021F1" w:rsidP="00E637E3">
            <w:pPr>
              <w:pStyle w:val="TableParagraph"/>
              <w:spacing w:line="276" w:lineRule="auto"/>
              <w:ind w:right="231"/>
              <w:rPr>
                <w:sz w:val="20"/>
                <w:szCs w:val="20"/>
              </w:rPr>
            </w:pPr>
            <w:r w:rsidRPr="00114059">
              <w:rPr>
                <w:sz w:val="20"/>
                <w:szCs w:val="20"/>
              </w:rPr>
              <w:t>Aspects économiques</w:t>
            </w:r>
          </w:p>
        </w:tc>
        <w:tc>
          <w:tcPr>
            <w:tcW w:w="2271" w:type="dxa"/>
            <w:shd w:val="clear" w:color="auto" w:fill="auto"/>
          </w:tcPr>
          <w:p w14:paraId="5B4523A4" w14:textId="77777777" w:rsidR="009021F1" w:rsidRPr="00114059" w:rsidRDefault="009021F1" w:rsidP="00E637E3">
            <w:pPr>
              <w:pStyle w:val="TableParagraph"/>
              <w:spacing w:line="276" w:lineRule="auto"/>
              <w:ind w:right="417"/>
              <w:rPr>
                <w:sz w:val="20"/>
                <w:szCs w:val="20"/>
                <w:lang w:val="fr-FR"/>
              </w:rPr>
            </w:pPr>
          </w:p>
          <w:p w14:paraId="067532E2" w14:textId="77777777" w:rsidR="009021F1" w:rsidRPr="00114059" w:rsidRDefault="009021F1" w:rsidP="00E637E3">
            <w:pPr>
              <w:pStyle w:val="TableParagraph"/>
              <w:spacing w:line="276" w:lineRule="auto"/>
              <w:ind w:right="417"/>
              <w:rPr>
                <w:sz w:val="20"/>
                <w:szCs w:val="20"/>
                <w:lang w:val="fr-FR"/>
              </w:rPr>
            </w:pPr>
          </w:p>
          <w:p w14:paraId="592DB595" w14:textId="77777777" w:rsidR="009021F1" w:rsidRPr="00114059" w:rsidRDefault="009021F1" w:rsidP="00E637E3">
            <w:pPr>
              <w:pStyle w:val="TableParagraph"/>
              <w:spacing w:line="276" w:lineRule="auto"/>
              <w:ind w:right="417"/>
              <w:rPr>
                <w:sz w:val="20"/>
                <w:szCs w:val="20"/>
                <w:lang w:val="fr-FR"/>
              </w:rPr>
            </w:pPr>
          </w:p>
          <w:p w14:paraId="499BF8C9" w14:textId="77777777" w:rsidR="009021F1" w:rsidRPr="00114059" w:rsidRDefault="009021F1" w:rsidP="00E637E3">
            <w:pPr>
              <w:pStyle w:val="TableParagraph"/>
              <w:spacing w:line="276" w:lineRule="auto"/>
              <w:ind w:right="417"/>
              <w:rPr>
                <w:sz w:val="20"/>
                <w:szCs w:val="20"/>
                <w:lang w:val="fr-FR"/>
              </w:rPr>
            </w:pPr>
          </w:p>
          <w:p w14:paraId="7FA400D2" w14:textId="77777777" w:rsidR="009021F1" w:rsidRPr="00114059" w:rsidRDefault="009021F1" w:rsidP="00E637E3">
            <w:pPr>
              <w:pStyle w:val="TableParagraph"/>
              <w:spacing w:line="276" w:lineRule="auto"/>
              <w:ind w:right="417"/>
              <w:rPr>
                <w:sz w:val="20"/>
                <w:szCs w:val="20"/>
                <w:lang w:val="fr-FR"/>
              </w:rPr>
            </w:pPr>
          </w:p>
          <w:p w14:paraId="51C07545" w14:textId="77777777" w:rsidR="009021F1" w:rsidRPr="00114059" w:rsidRDefault="009021F1" w:rsidP="00E637E3">
            <w:pPr>
              <w:pStyle w:val="TableParagraph"/>
              <w:spacing w:line="276" w:lineRule="auto"/>
              <w:ind w:right="417"/>
              <w:rPr>
                <w:sz w:val="20"/>
                <w:szCs w:val="20"/>
                <w:lang w:val="fr-FR"/>
              </w:rPr>
            </w:pPr>
            <w:r w:rsidRPr="00114059">
              <w:rPr>
                <w:sz w:val="20"/>
                <w:szCs w:val="20"/>
                <w:lang w:val="fr-FR"/>
              </w:rPr>
              <w:t>Perte de revenus pour les activités commerciales.</w:t>
            </w:r>
          </w:p>
        </w:tc>
        <w:tc>
          <w:tcPr>
            <w:tcW w:w="4975" w:type="dxa"/>
            <w:shd w:val="clear" w:color="auto" w:fill="auto"/>
          </w:tcPr>
          <w:p w14:paraId="5F5FB101"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Éviter d’obstruer les zones commerciales ou prendre les dispositions nécessaires pour en assurer un accès et une utilisation sécuritaire pendant et après les travaux, surtout lorsqu’il s’agit des travaux de réhabilitation des marchés villageois ;</w:t>
            </w:r>
          </w:p>
          <w:p w14:paraId="75166481"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Compenser (réinstaller) prioritairement tous les commerçants (y compris les femmes) pour les pertes d’actifs et de revenus qu’ils subiront pendant leur déménagement qui sera appuyé par le projet, avant le démarrage des travaux ;</w:t>
            </w:r>
          </w:p>
          <w:p w14:paraId="771A8D57"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Mettre en place un MGP, qui tient compte des aspects genre et gère les plaintes liées à l’EAS/HS de façon éthique et confidentielle.</w:t>
            </w:r>
          </w:p>
        </w:tc>
        <w:tc>
          <w:tcPr>
            <w:tcW w:w="2144" w:type="dxa"/>
            <w:shd w:val="clear" w:color="auto" w:fill="auto"/>
          </w:tcPr>
          <w:p w14:paraId="50AD32C6"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Pendant la phase d’exécution du Programme</w:t>
            </w:r>
          </w:p>
        </w:tc>
        <w:tc>
          <w:tcPr>
            <w:tcW w:w="2109" w:type="dxa"/>
            <w:shd w:val="clear" w:color="auto" w:fill="auto"/>
          </w:tcPr>
          <w:p w14:paraId="1F81ACA0"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Les PME, la Mission de contrôle et autres prestataires de service</w:t>
            </w:r>
          </w:p>
        </w:tc>
        <w:tc>
          <w:tcPr>
            <w:tcW w:w="2190" w:type="dxa"/>
            <w:shd w:val="clear" w:color="auto" w:fill="auto"/>
          </w:tcPr>
          <w:p w14:paraId="4CC82FAB"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PNDA et ACE, OVDA, Administration locale, ONG locale</w:t>
            </w:r>
          </w:p>
        </w:tc>
      </w:tr>
      <w:tr w:rsidR="009021F1" w:rsidRPr="00114059" w14:paraId="6CF593E6" w14:textId="77777777" w:rsidTr="00E637E3">
        <w:tc>
          <w:tcPr>
            <w:tcW w:w="1806" w:type="dxa"/>
            <w:shd w:val="clear" w:color="auto" w:fill="auto"/>
          </w:tcPr>
          <w:p w14:paraId="55E169EE" w14:textId="77777777" w:rsidR="009021F1" w:rsidRPr="00114059" w:rsidRDefault="009021F1" w:rsidP="00E637E3">
            <w:pPr>
              <w:pStyle w:val="TableParagraph"/>
              <w:spacing w:line="276" w:lineRule="auto"/>
              <w:ind w:right="231"/>
              <w:rPr>
                <w:sz w:val="20"/>
                <w:szCs w:val="20"/>
                <w:lang w:val="fr-FR"/>
              </w:rPr>
            </w:pPr>
          </w:p>
        </w:tc>
        <w:tc>
          <w:tcPr>
            <w:tcW w:w="2271" w:type="dxa"/>
            <w:shd w:val="clear" w:color="auto" w:fill="auto"/>
          </w:tcPr>
          <w:p w14:paraId="43A9BC08" w14:textId="77777777" w:rsidR="009021F1" w:rsidRPr="00114059" w:rsidRDefault="009021F1" w:rsidP="00E637E3">
            <w:pPr>
              <w:pStyle w:val="TableParagraph"/>
              <w:spacing w:line="276" w:lineRule="auto"/>
              <w:ind w:right="417"/>
              <w:rPr>
                <w:sz w:val="20"/>
                <w:szCs w:val="20"/>
                <w:lang w:val="fr-FR"/>
              </w:rPr>
            </w:pPr>
            <w:r w:rsidRPr="00114059">
              <w:rPr>
                <w:sz w:val="20"/>
                <w:szCs w:val="20"/>
                <w:lang w:val="fr-FR"/>
              </w:rPr>
              <w:t>Risque d’absence des IF et les coopératives agricoles dans la zone concernée par le PNDA</w:t>
            </w:r>
          </w:p>
        </w:tc>
        <w:tc>
          <w:tcPr>
            <w:tcW w:w="4975" w:type="dxa"/>
            <w:shd w:val="clear" w:color="auto" w:fill="auto"/>
          </w:tcPr>
          <w:p w14:paraId="619F6050"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color w:val="000000"/>
                <w:sz w:val="20"/>
                <w:szCs w:val="20"/>
                <w:lang w:val="fr-FR"/>
              </w:rPr>
              <w:t>Installer les antennes des IF et les coopératives dans les zones concernées par le PNDA</w:t>
            </w:r>
          </w:p>
        </w:tc>
        <w:tc>
          <w:tcPr>
            <w:tcW w:w="2144" w:type="dxa"/>
            <w:shd w:val="clear" w:color="auto" w:fill="auto"/>
          </w:tcPr>
          <w:p w14:paraId="3A3EBBFF"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Avant le démarrage du Programme</w:t>
            </w:r>
          </w:p>
        </w:tc>
        <w:tc>
          <w:tcPr>
            <w:tcW w:w="2109" w:type="dxa"/>
            <w:shd w:val="clear" w:color="auto" w:fill="auto"/>
          </w:tcPr>
          <w:p w14:paraId="13BF04CC"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Les PME, la Mission de contrôle, les associations et coopératives agricoles, les IF</w:t>
            </w:r>
          </w:p>
        </w:tc>
        <w:tc>
          <w:tcPr>
            <w:tcW w:w="2190" w:type="dxa"/>
            <w:shd w:val="clear" w:color="auto" w:fill="auto"/>
          </w:tcPr>
          <w:p w14:paraId="2227D3D0"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PNDA, ACE, BCC et administration locale, ONG locale</w:t>
            </w:r>
          </w:p>
        </w:tc>
      </w:tr>
      <w:tr w:rsidR="009021F1" w:rsidRPr="00114059" w14:paraId="0EAB01B5" w14:textId="77777777" w:rsidTr="00E637E3">
        <w:tc>
          <w:tcPr>
            <w:tcW w:w="1806" w:type="dxa"/>
            <w:vMerge w:val="restart"/>
            <w:shd w:val="clear" w:color="auto" w:fill="auto"/>
          </w:tcPr>
          <w:p w14:paraId="2437C762" w14:textId="77777777" w:rsidR="009021F1" w:rsidRPr="00114059" w:rsidRDefault="009021F1" w:rsidP="00E637E3">
            <w:pPr>
              <w:pStyle w:val="TableParagraph"/>
              <w:spacing w:line="276" w:lineRule="auto"/>
              <w:ind w:right="109"/>
              <w:rPr>
                <w:sz w:val="20"/>
                <w:szCs w:val="20"/>
                <w:lang w:val="fr-FR"/>
              </w:rPr>
            </w:pPr>
          </w:p>
          <w:p w14:paraId="0AE8B294" w14:textId="77777777" w:rsidR="009021F1" w:rsidRPr="00114059" w:rsidRDefault="009021F1" w:rsidP="00E637E3">
            <w:pPr>
              <w:pStyle w:val="TableParagraph"/>
              <w:spacing w:line="276" w:lineRule="auto"/>
              <w:ind w:right="109"/>
              <w:rPr>
                <w:sz w:val="20"/>
                <w:szCs w:val="20"/>
                <w:lang w:val="fr-FR"/>
              </w:rPr>
            </w:pPr>
          </w:p>
          <w:p w14:paraId="1C177F2E" w14:textId="77777777" w:rsidR="009021F1" w:rsidRPr="00114059" w:rsidRDefault="009021F1" w:rsidP="00E637E3">
            <w:pPr>
              <w:pStyle w:val="TableParagraph"/>
              <w:spacing w:line="276" w:lineRule="auto"/>
              <w:ind w:right="109"/>
              <w:rPr>
                <w:sz w:val="20"/>
                <w:szCs w:val="20"/>
                <w:lang w:val="fr-FR"/>
              </w:rPr>
            </w:pPr>
          </w:p>
          <w:p w14:paraId="4C76D004" w14:textId="77777777" w:rsidR="009021F1" w:rsidRPr="00114059" w:rsidRDefault="009021F1" w:rsidP="00E637E3">
            <w:pPr>
              <w:pStyle w:val="TableParagraph"/>
              <w:spacing w:line="276" w:lineRule="auto"/>
              <w:ind w:right="109"/>
              <w:rPr>
                <w:sz w:val="20"/>
                <w:szCs w:val="20"/>
                <w:lang w:val="fr-FR"/>
              </w:rPr>
            </w:pPr>
          </w:p>
          <w:p w14:paraId="05170E29" w14:textId="77777777" w:rsidR="009021F1" w:rsidRPr="00114059" w:rsidRDefault="009021F1" w:rsidP="00E637E3">
            <w:pPr>
              <w:pStyle w:val="TableParagraph"/>
              <w:spacing w:line="276" w:lineRule="auto"/>
              <w:ind w:right="109"/>
              <w:rPr>
                <w:sz w:val="20"/>
                <w:szCs w:val="20"/>
              </w:rPr>
            </w:pPr>
            <w:r w:rsidRPr="00114059">
              <w:rPr>
                <w:sz w:val="20"/>
                <w:szCs w:val="20"/>
              </w:rPr>
              <w:t>Archéologie et patrimoine</w:t>
            </w:r>
          </w:p>
        </w:tc>
        <w:tc>
          <w:tcPr>
            <w:tcW w:w="2271" w:type="dxa"/>
            <w:shd w:val="clear" w:color="auto" w:fill="auto"/>
          </w:tcPr>
          <w:p w14:paraId="6086F32A" w14:textId="77777777" w:rsidR="009021F1" w:rsidRPr="00114059" w:rsidRDefault="009021F1" w:rsidP="00E637E3">
            <w:pPr>
              <w:pStyle w:val="TableParagraph"/>
              <w:spacing w:line="276" w:lineRule="auto"/>
              <w:ind w:right="38"/>
              <w:rPr>
                <w:sz w:val="20"/>
                <w:szCs w:val="20"/>
                <w:lang w:val="fr-FR"/>
              </w:rPr>
            </w:pPr>
            <w:r w:rsidRPr="00114059">
              <w:rPr>
                <w:sz w:val="20"/>
                <w:szCs w:val="20"/>
                <w:lang w:val="fr-FR"/>
              </w:rPr>
              <w:t>Modification et impacts visuels à un site ou un bâtiment historique reconnu et perturbation des sites archéologiques reconnus ou potentiels.</w:t>
            </w:r>
          </w:p>
        </w:tc>
        <w:tc>
          <w:tcPr>
            <w:tcW w:w="4975" w:type="dxa"/>
            <w:shd w:val="clear" w:color="auto" w:fill="auto"/>
          </w:tcPr>
          <w:p w14:paraId="342B7BE8"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Identifier et éviter si possible tous les sites archéologiques (bâtiment, tombe, arbre sacré, etc.) reconnus se trouvant dans la zone des travaux ;</w:t>
            </w:r>
          </w:p>
          <w:p w14:paraId="033D5178"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Si, lors des travaux, un site archéologique est découvert, aviser les autorités responsables et obtenir les autorisations nécessaires avant de poursuivre les travaux.</w:t>
            </w:r>
          </w:p>
        </w:tc>
        <w:tc>
          <w:tcPr>
            <w:tcW w:w="2144" w:type="dxa"/>
            <w:shd w:val="clear" w:color="auto" w:fill="auto"/>
          </w:tcPr>
          <w:p w14:paraId="626B286E"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Pendant la phase d’exécution du Programme</w:t>
            </w:r>
          </w:p>
        </w:tc>
        <w:tc>
          <w:tcPr>
            <w:tcW w:w="2109" w:type="dxa"/>
            <w:shd w:val="clear" w:color="auto" w:fill="auto"/>
          </w:tcPr>
          <w:p w14:paraId="43FAFAE0"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Les PME, la Mission de contrôle et autres prestataires de service</w:t>
            </w:r>
          </w:p>
        </w:tc>
        <w:tc>
          <w:tcPr>
            <w:tcW w:w="2190" w:type="dxa"/>
            <w:shd w:val="clear" w:color="auto" w:fill="auto"/>
          </w:tcPr>
          <w:p w14:paraId="0E7737F9"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PNDA et ACE, OVDA, Administration locale, ONG locale</w:t>
            </w:r>
          </w:p>
        </w:tc>
      </w:tr>
      <w:tr w:rsidR="009021F1" w:rsidRPr="00114059" w14:paraId="0638B6FF" w14:textId="77777777" w:rsidTr="00E637E3">
        <w:tc>
          <w:tcPr>
            <w:tcW w:w="1806" w:type="dxa"/>
            <w:vMerge/>
            <w:shd w:val="clear" w:color="auto" w:fill="auto"/>
          </w:tcPr>
          <w:p w14:paraId="516D43B6" w14:textId="77777777" w:rsidR="009021F1" w:rsidRPr="00114059" w:rsidRDefault="009021F1" w:rsidP="00E637E3">
            <w:pPr>
              <w:pStyle w:val="TableParagraph"/>
              <w:spacing w:line="276" w:lineRule="auto"/>
              <w:ind w:right="109"/>
              <w:rPr>
                <w:w w:val="95"/>
                <w:sz w:val="20"/>
                <w:szCs w:val="20"/>
                <w:lang w:val="fr-FR"/>
              </w:rPr>
            </w:pPr>
          </w:p>
        </w:tc>
        <w:tc>
          <w:tcPr>
            <w:tcW w:w="2271" w:type="dxa"/>
            <w:shd w:val="clear" w:color="auto" w:fill="auto"/>
          </w:tcPr>
          <w:p w14:paraId="67CB777B" w14:textId="77777777" w:rsidR="009021F1" w:rsidRPr="00114059" w:rsidRDefault="009021F1" w:rsidP="00E637E3">
            <w:pPr>
              <w:tabs>
                <w:tab w:val="left" w:pos="0"/>
              </w:tabs>
              <w:spacing w:line="240" w:lineRule="auto"/>
              <w:rPr>
                <w:rFonts w:eastAsia="Calibri" w:cs="Arial"/>
                <w:sz w:val="20"/>
                <w:szCs w:val="20"/>
              </w:rPr>
            </w:pPr>
            <w:r w:rsidRPr="00114059">
              <w:rPr>
                <w:rFonts w:eastAsia="Calibri" w:cs="Arial"/>
                <w:sz w:val="20"/>
                <w:szCs w:val="20"/>
              </w:rPr>
              <w:t>Risques de dégradation de vestiges culturels</w:t>
            </w:r>
          </w:p>
          <w:p w14:paraId="03B385C6" w14:textId="77777777" w:rsidR="009021F1" w:rsidRPr="00114059" w:rsidRDefault="009021F1" w:rsidP="00E637E3">
            <w:pPr>
              <w:pStyle w:val="TableParagraph"/>
              <w:spacing w:line="276" w:lineRule="auto"/>
              <w:ind w:right="38"/>
              <w:rPr>
                <w:sz w:val="20"/>
                <w:szCs w:val="20"/>
                <w:lang w:val="fr-FR"/>
              </w:rPr>
            </w:pPr>
          </w:p>
        </w:tc>
        <w:tc>
          <w:tcPr>
            <w:tcW w:w="4975" w:type="dxa"/>
            <w:shd w:val="clear" w:color="auto" w:fill="auto"/>
          </w:tcPr>
          <w:p w14:paraId="191FB979"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Inclure dans le DAO et le contrat des prestataires des mesures à respecter en cas de trouvaille fortuite, conformément à la loi nationale et aux habitudes du milieu.</w:t>
            </w:r>
          </w:p>
        </w:tc>
        <w:tc>
          <w:tcPr>
            <w:tcW w:w="2144" w:type="dxa"/>
            <w:shd w:val="clear" w:color="auto" w:fill="auto"/>
          </w:tcPr>
          <w:p w14:paraId="711B27CD"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Pendant la phase d’exécution du Programme</w:t>
            </w:r>
          </w:p>
        </w:tc>
        <w:tc>
          <w:tcPr>
            <w:tcW w:w="2109" w:type="dxa"/>
            <w:shd w:val="clear" w:color="auto" w:fill="auto"/>
          </w:tcPr>
          <w:p w14:paraId="39D2E34D" w14:textId="77777777" w:rsidR="009021F1" w:rsidRPr="00114059" w:rsidRDefault="009021F1" w:rsidP="00E637E3">
            <w:pPr>
              <w:pStyle w:val="TableParagraph"/>
              <w:numPr>
                <w:ilvl w:val="0"/>
                <w:numId w:val="49"/>
              </w:numPr>
              <w:autoSpaceDE w:val="0"/>
              <w:autoSpaceDN w:val="0"/>
              <w:spacing w:line="276" w:lineRule="auto"/>
              <w:ind w:left="164" w:right="97" w:hanging="164"/>
              <w:rPr>
                <w:sz w:val="20"/>
                <w:szCs w:val="20"/>
                <w:lang w:val="fr-FR"/>
              </w:rPr>
            </w:pPr>
            <w:r w:rsidRPr="00114059">
              <w:rPr>
                <w:sz w:val="20"/>
                <w:szCs w:val="20"/>
                <w:lang w:val="fr-FR"/>
              </w:rPr>
              <w:t>Les PME, la Mission de contrôle et autres prestataires de service</w:t>
            </w:r>
          </w:p>
        </w:tc>
        <w:tc>
          <w:tcPr>
            <w:tcW w:w="2190" w:type="dxa"/>
            <w:shd w:val="clear" w:color="auto" w:fill="auto"/>
          </w:tcPr>
          <w:p w14:paraId="6A66D650" w14:textId="77777777" w:rsidR="009021F1" w:rsidRPr="00114059" w:rsidRDefault="009021F1" w:rsidP="00E637E3">
            <w:pPr>
              <w:pStyle w:val="TableParagraph"/>
              <w:numPr>
                <w:ilvl w:val="0"/>
                <w:numId w:val="49"/>
              </w:numPr>
              <w:autoSpaceDE w:val="0"/>
              <w:autoSpaceDN w:val="0"/>
              <w:spacing w:line="276" w:lineRule="auto"/>
              <w:ind w:left="164" w:right="97" w:hanging="164"/>
              <w:jc w:val="both"/>
              <w:rPr>
                <w:sz w:val="20"/>
                <w:szCs w:val="20"/>
                <w:lang w:val="fr-FR"/>
              </w:rPr>
            </w:pPr>
            <w:r w:rsidRPr="00114059">
              <w:rPr>
                <w:sz w:val="20"/>
                <w:szCs w:val="20"/>
                <w:lang w:val="fr-FR"/>
              </w:rPr>
              <w:t>PNDA et ACE, OVDA, Administration locale, ONG locale</w:t>
            </w:r>
          </w:p>
        </w:tc>
      </w:tr>
    </w:tbl>
    <w:p w14:paraId="48D118BF" w14:textId="77777777" w:rsidR="009021F1" w:rsidRPr="00730A4A" w:rsidRDefault="009021F1" w:rsidP="009021F1">
      <w:pPr>
        <w:rPr>
          <w:rFonts w:cs="Arial"/>
          <w:color w:val="000000"/>
          <w:sz w:val="22"/>
        </w:rPr>
      </w:pPr>
    </w:p>
    <w:p w14:paraId="5DB7C064" w14:textId="77777777" w:rsidR="00E637E3" w:rsidRDefault="00E637E3" w:rsidP="009021F1">
      <w:pPr>
        <w:pStyle w:val="Titre2"/>
        <w:numPr>
          <w:ilvl w:val="2"/>
          <w:numId w:val="4"/>
        </w:numPr>
        <w:ind w:left="1560" w:hanging="709"/>
        <w:rPr>
          <w:rFonts w:cs="Arial"/>
          <w:i/>
          <w:sz w:val="22"/>
          <w:szCs w:val="22"/>
        </w:rPr>
        <w:sectPr w:rsidR="00E637E3" w:rsidSect="00E637E3">
          <w:pgSz w:w="16838" w:h="11906" w:orient="landscape"/>
          <w:pgMar w:top="1418" w:right="1134" w:bottom="1418" w:left="1134" w:header="709" w:footer="639" w:gutter="0"/>
          <w:cols w:space="708"/>
          <w:docGrid w:linePitch="360"/>
        </w:sectPr>
      </w:pPr>
    </w:p>
    <w:p w14:paraId="14A42860" w14:textId="77777777" w:rsidR="009021F1" w:rsidRPr="00114059" w:rsidRDefault="009021F1" w:rsidP="009021F1">
      <w:pPr>
        <w:pStyle w:val="Titre2"/>
        <w:numPr>
          <w:ilvl w:val="2"/>
          <w:numId w:val="4"/>
        </w:numPr>
        <w:ind w:left="1560" w:hanging="709"/>
        <w:rPr>
          <w:rFonts w:cs="Arial"/>
          <w:szCs w:val="21"/>
        </w:rPr>
      </w:pPr>
      <w:bookmarkStart w:id="400" w:name="_Toc90471506"/>
      <w:r w:rsidRPr="00114059">
        <w:rPr>
          <w:rFonts w:cs="Arial"/>
          <w:i/>
          <w:szCs w:val="21"/>
        </w:rPr>
        <w:t>Clauses environnementales et sociales pour les travaux</w:t>
      </w:r>
      <w:bookmarkEnd w:id="400"/>
    </w:p>
    <w:p w14:paraId="78AD992D" w14:textId="77777777" w:rsidR="009021F1" w:rsidRPr="00114059" w:rsidRDefault="009021F1" w:rsidP="009021F1">
      <w:pPr>
        <w:rPr>
          <w:rFonts w:cs="Arial"/>
          <w:b/>
          <w:bCs/>
          <w:szCs w:val="21"/>
          <w:lang w:val="x-none" w:eastAsia="x-none"/>
        </w:rPr>
      </w:pPr>
    </w:p>
    <w:p w14:paraId="36DA5D4B" w14:textId="77777777" w:rsidR="009021F1" w:rsidRPr="00114059" w:rsidRDefault="009021F1" w:rsidP="009021F1">
      <w:pPr>
        <w:rPr>
          <w:szCs w:val="21"/>
        </w:rPr>
      </w:pPr>
      <w:r w:rsidRPr="00114059">
        <w:rPr>
          <w:szCs w:val="21"/>
        </w:rPr>
        <w:t>Les clauses environnementales et sociales sont destinées à aider les personnes en charge de la rédaction de dossiers d’appels d’offres (DAO) et des marchés d’exécution des travaux (cahiers des prescriptions techniques) afin qu’elles puissent intégrer dans ces documents des prescriptions permettant d’optimiser la protection de l’environnement et du milieu socio-économique. Les clauses sont spécifiques à toutes les activités de chantier pouvant être sources de nuisances environnementales et sociales. Elles devront être insérées dans les dossiers d’appels d’offres et dans les marchés d’exécution des travaux dont elles constituent une partie intégrante. Ces clauses incluant la procédure de gestion en cas de découverte fortuite, la prévention, atténuation er réponse contre les VBG/EAS/HS, le recours au personnel de sécurité pour la protection du chantier, l’interdiction du travail des enfants, la securite routiere, etc. sont développées en détail dans l’Annexe 3 (clauses) et en Annexe 15 (pour le plan d’action de prevention et reponse aux risques d’EAHS) de ce CGES.</w:t>
      </w:r>
    </w:p>
    <w:p w14:paraId="7239C928" w14:textId="77777777" w:rsidR="009021F1" w:rsidRDefault="009021F1" w:rsidP="009021F1">
      <w:pPr>
        <w:rPr>
          <w:rFonts w:cs="Arial"/>
          <w:color w:val="000000"/>
          <w:szCs w:val="21"/>
        </w:rPr>
      </w:pPr>
    </w:p>
    <w:p w14:paraId="2DE6E53D" w14:textId="77777777" w:rsidR="009021F1" w:rsidRPr="00114059" w:rsidRDefault="009021F1" w:rsidP="009021F1">
      <w:pPr>
        <w:rPr>
          <w:b/>
          <w:i/>
          <w:szCs w:val="21"/>
        </w:rPr>
      </w:pPr>
      <w:r w:rsidRPr="00114059">
        <w:rPr>
          <w:i/>
          <w:szCs w:val="21"/>
        </w:rPr>
        <w:t>Quelques mesures de mitigation</w:t>
      </w:r>
      <w:r w:rsidRPr="00114059">
        <w:rPr>
          <w:szCs w:val="21"/>
        </w:rPr>
        <w:t xml:space="preserve"> </w:t>
      </w:r>
      <w:r w:rsidRPr="00114059">
        <w:rPr>
          <w:i/>
          <w:szCs w:val="21"/>
        </w:rPr>
        <w:t>des risques de conflits sociaux en cas de non utilisation de la main-d’œuvre locale, d’un processus non transparent de recrutement et de non-respect des conditions de travail</w:t>
      </w:r>
      <w:r w:rsidRPr="00114059">
        <w:rPr>
          <w:b/>
          <w:i/>
          <w:szCs w:val="21"/>
        </w:rPr>
        <w:t xml:space="preserve"> </w:t>
      </w:r>
    </w:p>
    <w:p w14:paraId="0DF5299C" w14:textId="77777777" w:rsidR="009021F1" w:rsidRPr="00114059" w:rsidRDefault="009021F1" w:rsidP="009021F1">
      <w:pPr>
        <w:tabs>
          <w:tab w:val="left" w:pos="2736"/>
        </w:tabs>
        <w:rPr>
          <w:b/>
          <w:i/>
          <w:szCs w:val="21"/>
        </w:rPr>
      </w:pPr>
      <w:r w:rsidRPr="00114059">
        <w:rPr>
          <w:b/>
          <w:i/>
          <w:szCs w:val="21"/>
        </w:rPr>
        <w:tab/>
      </w:r>
    </w:p>
    <w:p w14:paraId="1149EDFD" w14:textId="77777777" w:rsidR="009021F1" w:rsidRPr="00114059" w:rsidRDefault="009021F1" w:rsidP="009021F1">
      <w:pPr>
        <w:pStyle w:val="Corpsdetexte"/>
        <w:ind w:left="260"/>
        <w:rPr>
          <w:rFonts w:cs="Arial"/>
          <w:sz w:val="21"/>
          <w:szCs w:val="21"/>
        </w:rPr>
      </w:pPr>
      <w:r w:rsidRPr="00114059">
        <w:rPr>
          <w:rFonts w:cs="Arial"/>
          <w:sz w:val="21"/>
          <w:szCs w:val="21"/>
        </w:rPr>
        <w:t xml:space="preserve">Tableau </w:t>
      </w:r>
      <w:r w:rsidRPr="00114059">
        <w:rPr>
          <w:rFonts w:cs="Arial"/>
          <w:sz w:val="21"/>
          <w:szCs w:val="21"/>
        </w:rPr>
        <w:fldChar w:fldCharType="begin"/>
      </w:r>
      <w:r w:rsidRPr="00114059">
        <w:rPr>
          <w:rFonts w:cs="Arial"/>
          <w:sz w:val="21"/>
          <w:szCs w:val="21"/>
        </w:rPr>
        <w:instrText xml:space="preserve"> SEQ Tableau \* ARABIC </w:instrText>
      </w:r>
      <w:r w:rsidRPr="00114059">
        <w:rPr>
          <w:rFonts w:cs="Arial"/>
          <w:sz w:val="21"/>
          <w:szCs w:val="21"/>
        </w:rPr>
        <w:fldChar w:fldCharType="separate"/>
      </w:r>
      <w:r>
        <w:rPr>
          <w:rFonts w:cs="Arial"/>
          <w:noProof/>
          <w:sz w:val="21"/>
          <w:szCs w:val="21"/>
        </w:rPr>
        <w:t>34</w:t>
      </w:r>
      <w:r w:rsidRPr="00114059">
        <w:rPr>
          <w:rFonts w:cs="Arial"/>
          <w:sz w:val="21"/>
          <w:szCs w:val="21"/>
        </w:rPr>
        <w:fldChar w:fldCharType="end"/>
      </w:r>
      <w:r w:rsidRPr="00114059">
        <w:rPr>
          <w:rFonts w:cs="Arial"/>
          <w:sz w:val="21"/>
          <w:szCs w:val="21"/>
        </w:rPr>
        <w:t>.</w:t>
      </w:r>
      <w:r w:rsidRPr="00114059">
        <w:rPr>
          <w:rFonts w:cs="Arial"/>
          <w:sz w:val="21"/>
          <w:szCs w:val="21"/>
          <w:lang w:val="fr-CD"/>
        </w:rPr>
        <w:t xml:space="preserve"> </w:t>
      </w:r>
      <w:r w:rsidRPr="00114059">
        <w:rPr>
          <w:rFonts w:cs="Arial"/>
          <w:sz w:val="21"/>
          <w:szCs w:val="21"/>
        </w:rPr>
        <w:t>Synthèse des mesures d’atténuation en phase d’exploitation</w:t>
      </w:r>
    </w:p>
    <w:p w14:paraId="5C3BABBF" w14:textId="77777777" w:rsidR="009021F1" w:rsidRPr="00114059" w:rsidRDefault="009021F1" w:rsidP="009021F1">
      <w:pPr>
        <w:rPr>
          <w:rFonts w:cs="Arial"/>
          <w:szCs w:val="21"/>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8"/>
        <w:gridCol w:w="1985"/>
        <w:gridCol w:w="5499"/>
      </w:tblGrid>
      <w:tr w:rsidR="009021F1" w:rsidRPr="00F65274" w14:paraId="0C217400" w14:textId="77777777" w:rsidTr="00E637E3">
        <w:trPr>
          <w:trHeight w:val="366"/>
          <w:tblHeader/>
        </w:trPr>
        <w:tc>
          <w:tcPr>
            <w:tcW w:w="1838" w:type="dxa"/>
            <w:shd w:val="clear" w:color="auto" w:fill="D5DCE4"/>
          </w:tcPr>
          <w:p w14:paraId="783897FF" w14:textId="77777777" w:rsidR="009021F1" w:rsidRPr="002C5EA5" w:rsidRDefault="009021F1" w:rsidP="00E637E3">
            <w:pPr>
              <w:pStyle w:val="TableParagraph"/>
              <w:spacing w:before="44"/>
              <w:ind w:left="46" w:right="37"/>
              <w:jc w:val="center"/>
              <w:rPr>
                <w:b/>
                <w:sz w:val="20"/>
                <w:szCs w:val="20"/>
              </w:rPr>
            </w:pPr>
            <w:r w:rsidRPr="002C5EA5">
              <w:rPr>
                <w:b/>
                <w:sz w:val="20"/>
                <w:szCs w:val="20"/>
              </w:rPr>
              <w:t>Composantes</w:t>
            </w:r>
          </w:p>
        </w:tc>
        <w:tc>
          <w:tcPr>
            <w:tcW w:w="1985" w:type="dxa"/>
            <w:shd w:val="clear" w:color="auto" w:fill="D5DCE4"/>
          </w:tcPr>
          <w:p w14:paraId="2E2C1B22" w14:textId="77777777" w:rsidR="009021F1" w:rsidRPr="002C5EA5" w:rsidRDefault="009021F1" w:rsidP="00E637E3">
            <w:pPr>
              <w:pStyle w:val="TableParagraph"/>
              <w:spacing w:before="44"/>
              <w:ind w:left="637"/>
              <w:rPr>
                <w:b/>
                <w:sz w:val="20"/>
                <w:szCs w:val="20"/>
              </w:rPr>
            </w:pPr>
            <w:r w:rsidRPr="002C5EA5">
              <w:rPr>
                <w:b/>
                <w:sz w:val="20"/>
                <w:szCs w:val="20"/>
              </w:rPr>
              <w:t>Impacts</w:t>
            </w:r>
          </w:p>
        </w:tc>
        <w:tc>
          <w:tcPr>
            <w:tcW w:w="5499" w:type="dxa"/>
            <w:shd w:val="clear" w:color="auto" w:fill="D5DCE4"/>
          </w:tcPr>
          <w:p w14:paraId="6D19A6D0" w14:textId="77777777" w:rsidR="009021F1" w:rsidRPr="002C5EA5" w:rsidRDefault="009021F1" w:rsidP="00E637E3">
            <w:pPr>
              <w:pStyle w:val="TableParagraph"/>
              <w:spacing w:before="44"/>
              <w:ind w:left="1974"/>
              <w:rPr>
                <w:b/>
                <w:sz w:val="20"/>
                <w:szCs w:val="20"/>
              </w:rPr>
            </w:pPr>
            <w:r w:rsidRPr="002C5EA5">
              <w:rPr>
                <w:b/>
                <w:sz w:val="20"/>
                <w:szCs w:val="20"/>
              </w:rPr>
              <w:t>Mesures d’atténuation</w:t>
            </w:r>
          </w:p>
        </w:tc>
      </w:tr>
      <w:tr w:rsidR="009021F1" w:rsidRPr="00F65274" w14:paraId="130286B8" w14:textId="77777777" w:rsidTr="00E637E3">
        <w:trPr>
          <w:trHeight w:val="1696"/>
        </w:trPr>
        <w:tc>
          <w:tcPr>
            <w:tcW w:w="1838" w:type="dxa"/>
            <w:shd w:val="clear" w:color="auto" w:fill="auto"/>
          </w:tcPr>
          <w:p w14:paraId="7A6BCFFB" w14:textId="77777777" w:rsidR="009021F1" w:rsidRPr="002C5EA5" w:rsidRDefault="009021F1" w:rsidP="00E637E3">
            <w:pPr>
              <w:pStyle w:val="TableParagraph"/>
              <w:spacing w:before="44"/>
              <w:ind w:left="46" w:right="57"/>
              <w:jc w:val="center"/>
              <w:rPr>
                <w:sz w:val="20"/>
                <w:szCs w:val="20"/>
              </w:rPr>
            </w:pPr>
            <w:r w:rsidRPr="002C5EA5">
              <w:rPr>
                <w:sz w:val="20"/>
                <w:szCs w:val="20"/>
              </w:rPr>
              <w:t>Qualité de l’air</w:t>
            </w:r>
          </w:p>
        </w:tc>
        <w:tc>
          <w:tcPr>
            <w:tcW w:w="1985" w:type="dxa"/>
            <w:shd w:val="clear" w:color="auto" w:fill="auto"/>
          </w:tcPr>
          <w:p w14:paraId="1516C1ED" w14:textId="77777777" w:rsidR="009021F1" w:rsidRPr="002C5EA5" w:rsidRDefault="009021F1" w:rsidP="00E637E3">
            <w:pPr>
              <w:pStyle w:val="TableParagraph"/>
              <w:spacing w:before="48" w:line="235" w:lineRule="auto"/>
              <w:ind w:right="212"/>
              <w:rPr>
                <w:sz w:val="20"/>
                <w:szCs w:val="20"/>
                <w:lang w:val="fr-FR"/>
              </w:rPr>
            </w:pPr>
            <w:r w:rsidRPr="002C5EA5">
              <w:rPr>
                <w:sz w:val="20"/>
                <w:szCs w:val="20"/>
                <w:lang w:val="fr-FR"/>
              </w:rPr>
              <w:t>Émanations provenant des produits chimiques et des rejets de traitements.</w:t>
            </w:r>
          </w:p>
        </w:tc>
        <w:tc>
          <w:tcPr>
            <w:tcW w:w="5499" w:type="dxa"/>
            <w:shd w:val="clear" w:color="auto" w:fill="auto"/>
          </w:tcPr>
          <w:p w14:paraId="251A70C0" w14:textId="77777777" w:rsidR="009021F1" w:rsidRPr="002C5EA5" w:rsidRDefault="009021F1" w:rsidP="00E637E3">
            <w:pPr>
              <w:pStyle w:val="TableParagraph"/>
              <w:numPr>
                <w:ilvl w:val="0"/>
                <w:numId w:val="49"/>
              </w:numPr>
              <w:autoSpaceDE w:val="0"/>
              <w:autoSpaceDN w:val="0"/>
              <w:spacing w:before="42" w:line="276" w:lineRule="auto"/>
              <w:ind w:left="164" w:right="97" w:hanging="164"/>
              <w:rPr>
                <w:sz w:val="20"/>
                <w:szCs w:val="20"/>
                <w:lang w:val="fr-FR"/>
              </w:rPr>
            </w:pPr>
            <w:r w:rsidRPr="002C5EA5">
              <w:rPr>
                <w:sz w:val="20"/>
                <w:szCs w:val="20"/>
                <w:lang w:val="fr-FR"/>
              </w:rPr>
              <w:t>S’assurer d’une gestion adéquate des produits chimiques (manipulation, entreposage, élimination, etc.) ;</w:t>
            </w:r>
          </w:p>
          <w:p w14:paraId="02642C74" w14:textId="77777777" w:rsidR="009021F1" w:rsidRPr="002C5EA5" w:rsidRDefault="009021F1" w:rsidP="00E637E3">
            <w:pPr>
              <w:pStyle w:val="TableParagraph"/>
              <w:numPr>
                <w:ilvl w:val="0"/>
                <w:numId w:val="49"/>
              </w:numPr>
              <w:autoSpaceDE w:val="0"/>
              <w:autoSpaceDN w:val="0"/>
              <w:spacing w:before="42" w:line="276" w:lineRule="auto"/>
              <w:ind w:left="164" w:right="97" w:hanging="164"/>
              <w:rPr>
                <w:sz w:val="20"/>
                <w:szCs w:val="20"/>
                <w:lang w:val="fr-FR"/>
              </w:rPr>
            </w:pPr>
            <w:r w:rsidRPr="002C5EA5">
              <w:rPr>
                <w:sz w:val="20"/>
                <w:szCs w:val="20"/>
                <w:lang w:val="fr-FR"/>
              </w:rPr>
              <w:t>Limiter la vitesse des véhicules lors de la traversée des agglomérations habitées ;</w:t>
            </w:r>
          </w:p>
          <w:p w14:paraId="580A022E" w14:textId="77777777" w:rsidR="009021F1" w:rsidRPr="002C5EA5" w:rsidRDefault="009021F1" w:rsidP="00E637E3">
            <w:pPr>
              <w:pStyle w:val="TableParagraph"/>
              <w:numPr>
                <w:ilvl w:val="0"/>
                <w:numId w:val="49"/>
              </w:numPr>
              <w:autoSpaceDE w:val="0"/>
              <w:autoSpaceDN w:val="0"/>
              <w:spacing w:before="42" w:line="276" w:lineRule="auto"/>
              <w:ind w:left="164" w:right="97" w:hanging="164"/>
              <w:rPr>
                <w:sz w:val="20"/>
                <w:szCs w:val="20"/>
                <w:lang w:val="fr-FR"/>
              </w:rPr>
            </w:pPr>
            <w:r w:rsidRPr="002C5EA5">
              <w:rPr>
                <w:sz w:val="20"/>
                <w:szCs w:val="20"/>
                <w:lang w:val="fr-FR"/>
              </w:rPr>
              <w:t>Prévoir des ralentisseurs surtout sur des tronçons des routes à la traversée des agglomérations habitées.</w:t>
            </w:r>
          </w:p>
        </w:tc>
      </w:tr>
      <w:tr w:rsidR="009021F1" w:rsidRPr="00F65274" w14:paraId="74B69448" w14:textId="77777777" w:rsidTr="00E637E3">
        <w:trPr>
          <w:trHeight w:val="1324"/>
        </w:trPr>
        <w:tc>
          <w:tcPr>
            <w:tcW w:w="1838" w:type="dxa"/>
            <w:shd w:val="clear" w:color="auto" w:fill="auto"/>
          </w:tcPr>
          <w:p w14:paraId="62F6E974" w14:textId="77777777" w:rsidR="009021F1" w:rsidRPr="002C5EA5" w:rsidRDefault="009021F1" w:rsidP="00E637E3">
            <w:pPr>
              <w:pStyle w:val="TableParagraph"/>
              <w:spacing w:before="48" w:line="235" w:lineRule="auto"/>
              <w:ind w:right="50"/>
              <w:rPr>
                <w:sz w:val="20"/>
                <w:szCs w:val="20"/>
              </w:rPr>
            </w:pPr>
            <w:r w:rsidRPr="002C5EA5">
              <w:rPr>
                <w:sz w:val="20"/>
                <w:szCs w:val="20"/>
              </w:rPr>
              <w:t>Qualité de l’eau</w:t>
            </w:r>
          </w:p>
        </w:tc>
        <w:tc>
          <w:tcPr>
            <w:tcW w:w="1985" w:type="dxa"/>
            <w:shd w:val="clear" w:color="auto" w:fill="auto"/>
          </w:tcPr>
          <w:p w14:paraId="3566F237" w14:textId="77777777" w:rsidR="009021F1" w:rsidRPr="002C5EA5" w:rsidRDefault="009021F1" w:rsidP="00E637E3">
            <w:pPr>
              <w:pStyle w:val="TableParagraph"/>
              <w:spacing w:before="48" w:line="235" w:lineRule="auto"/>
              <w:ind w:right="98"/>
              <w:rPr>
                <w:sz w:val="20"/>
                <w:szCs w:val="20"/>
                <w:lang w:val="fr-FR"/>
              </w:rPr>
            </w:pPr>
            <w:r w:rsidRPr="002C5EA5">
              <w:rPr>
                <w:sz w:val="20"/>
                <w:szCs w:val="20"/>
                <w:lang w:val="fr-FR"/>
              </w:rPr>
              <w:t xml:space="preserve">Risque de contamination de l’eau par déversements accidentels de produits chimiques entreposés ou manipulés, de rejets </w:t>
            </w:r>
            <w:r w:rsidRPr="002C5EA5">
              <w:rPr>
                <w:w w:val="95"/>
                <w:sz w:val="20"/>
                <w:szCs w:val="20"/>
                <w:lang w:val="fr-FR"/>
              </w:rPr>
              <w:t>de résidus chimiques, d’hydrocarbures, etc.</w:t>
            </w:r>
          </w:p>
        </w:tc>
        <w:tc>
          <w:tcPr>
            <w:tcW w:w="5499" w:type="dxa"/>
            <w:shd w:val="clear" w:color="auto" w:fill="auto"/>
          </w:tcPr>
          <w:p w14:paraId="4966F11C" w14:textId="77777777" w:rsidR="009021F1" w:rsidRPr="002C5EA5" w:rsidRDefault="009021F1" w:rsidP="00E637E3">
            <w:pPr>
              <w:pStyle w:val="TableParagraph"/>
              <w:numPr>
                <w:ilvl w:val="0"/>
                <w:numId w:val="49"/>
              </w:numPr>
              <w:autoSpaceDE w:val="0"/>
              <w:autoSpaceDN w:val="0"/>
              <w:spacing w:before="42" w:line="276" w:lineRule="auto"/>
              <w:ind w:left="164" w:right="97" w:hanging="164"/>
              <w:rPr>
                <w:sz w:val="20"/>
                <w:szCs w:val="20"/>
                <w:lang w:val="fr-FR"/>
              </w:rPr>
            </w:pPr>
            <w:r w:rsidRPr="002C5EA5">
              <w:rPr>
                <w:sz w:val="20"/>
                <w:szCs w:val="20"/>
                <w:lang w:val="fr-FR"/>
              </w:rPr>
              <w:t>Assurer une formation adéquate aux agriculteurs permettant l’acquisition du niveau de connaissance requise pour l’exécution des procédés, le dosage des produits chimiques, la manipulation, l’entreposage, l’élimination, etc.) ;</w:t>
            </w:r>
          </w:p>
          <w:p w14:paraId="0D3CA3CE" w14:textId="77777777" w:rsidR="009021F1" w:rsidRPr="002C5EA5" w:rsidRDefault="009021F1" w:rsidP="00E637E3">
            <w:pPr>
              <w:pStyle w:val="TableParagraph"/>
              <w:numPr>
                <w:ilvl w:val="0"/>
                <w:numId w:val="49"/>
              </w:numPr>
              <w:autoSpaceDE w:val="0"/>
              <w:autoSpaceDN w:val="0"/>
              <w:spacing w:before="42" w:line="276" w:lineRule="auto"/>
              <w:ind w:left="164" w:right="97" w:hanging="164"/>
              <w:rPr>
                <w:sz w:val="20"/>
                <w:szCs w:val="20"/>
                <w:lang w:val="fr-FR"/>
              </w:rPr>
            </w:pPr>
            <w:r w:rsidRPr="002C5EA5">
              <w:rPr>
                <w:sz w:val="20"/>
                <w:szCs w:val="20"/>
                <w:lang w:val="fr-FR"/>
              </w:rPr>
              <w:t>Prendre toutes les précautions possibles lors du ravitaillement et de l’entretien des véhicules et lors de la manipulation de produits chimiques avant leur utilisation afin d’éviter les déversements accidentels ;</w:t>
            </w:r>
          </w:p>
          <w:p w14:paraId="6A64C723" w14:textId="77777777" w:rsidR="009021F1" w:rsidRPr="002C5EA5" w:rsidRDefault="009021F1" w:rsidP="00E637E3">
            <w:pPr>
              <w:pStyle w:val="TableParagraph"/>
              <w:numPr>
                <w:ilvl w:val="0"/>
                <w:numId w:val="49"/>
              </w:numPr>
              <w:autoSpaceDE w:val="0"/>
              <w:autoSpaceDN w:val="0"/>
              <w:spacing w:before="42" w:line="276" w:lineRule="auto"/>
              <w:ind w:left="164" w:right="97" w:hanging="164"/>
              <w:rPr>
                <w:sz w:val="20"/>
                <w:szCs w:val="20"/>
                <w:lang w:val="fr-FR"/>
              </w:rPr>
            </w:pPr>
            <w:r w:rsidRPr="002C5EA5">
              <w:rPr>
                <w:sz w:val="20"/>
                <w:szCs w:val="20"/>
                <w:lang w:val="fr-FR"/>
              </w:rPr>
              <w:t>Inspecter régulièrement les équipements pour éviter la fuite de contaminants ;</w:t>
            </w:r>
          </w:p>
          <w:p w14:paraId="3738777C" w14:textId="77777777" w:rsidR="009021F1" w:rsidRPr="002C5EA5" w:rsidRDefault="009021F1" w:rsidP="00E637E3">
            <w:pPr>
              <w:pStyle w:val="TableParagraph"/>
              <w:numPr>
                <w:ilvl w:val="0"/>
                <w:numId w:val="49"/>
              </w:numPr>
              <w:autoSpaceDE w:val="0"/>
              <w:autoSpaceDN w:val="0"/>
              <w:spacing w:before="42" w:line="276" w:lineRule="auto"/>
              <w:ind w:left="164" w:right="97" w:hanging="164"/>
              <w:rPr>
                <w:sz w:val="20"/>
                <w:szCs w:val="20"/>
                <w:lang w:val="fr-FR"/>
              </w:rPr>
            </w:pPr>
            <w:r w:rsidRPr="002C5EA5">
              <w:rPr>
                <w:sz w:val="20"/>
                <w:szCs w:val="20"/>
                <w:lang w:val="fr-FR"/>
              </w:rPr>
              <w:t>Prévoir des mesures en cas de contamination accidentelle : élaborer un plan d’urgence incluant les mesures de confinement et de récupération ainsi que la formation des personnes chargées de manipuler ces produits ;</w:t>
            </w:r>
          </w:p>
          <w:p w14:paraId="0C4CADDC" w14:textId="77777777" w:rsidR="009021F1" w:rsidRPr="002C5EA5" w:rsidRDefault="009021F1" w:rsidP="00E637E3">
            <w:pPr>
              <w:pStyle w:val="TableParagraph"/>
              <w:numPr>
                <w:ilvl w:val="0"/>
                <w:numId w:val="49"/>
              </w:numPr>
              <w:autoSpaceDE w:val="0"/>
              <w:autoSpaceDN w:val="0"/>
              <w:spacing w:before="42" w:line="276" w:lineRule="auto"/>
              <w:ind w:left="164" w:right="97" w:hanging="164"/>
              <w:rPr>
                <w:sz w:val="20"/>
                <w:szCs w:val="20"/>
                <w:lang w:val="fr-FR"/>
              </w:rPr>
            </w:pPr>
            <w:r w:rsidRPr="002C5EA5">
              <w:rPr>
                <w:sz w:val="20"/>
                <w:szCs w:val="20"/>
                <w:lang w:val="fr-FR"/>
              </w:rPr>
              <w:t>Tester le plan de mesures d’urgence.</w:t>
            </w:r>
          </w:p>
        </w:tc>
      </w:tr>
      <w:tr w:rsidR="009021F1" w:rsidRPr="00F65274" w14:paraId="4351358D" w14:textId="77777777" w:rsidTr="00E637E3">
        <w:trPr>
          <w:trHeight w:val="274"/>
        </w:trPr>
        <w:tc>
          <w:tcPr>
            <w:tcW w:w="1838" w:type="dxa"/>
            <w:shd w:val="clear" w:color="auto" w:fill="auto"/>
          </w:tcPr>
          <w:p w14:paraId="1B637350" w14:textId="77777777" w:rsidR="009021F1" w:rsidRPr="002C5EA5" w:rsidRDefault="009021F1" w:rsidP="00E637E3">
            <w:pPr>
              <w:pStyle w:val="TableParagraph"/>
              <w:spacing w:before="48" w:line="235" w:lineRule="auto"/>
              <w:ind w:right="50"/>
              <w:rPr>
                <w:sz w:val="20"/>
                <w:szCs w:val="20"/>
              </w:rPr>
            </w:pPr>
            <w:r w:rsidRPr="002C5EA5">
              <w:rPr>
                <w:sz w:val="20"/>
                <w:szCs w:val="20"/>
              </w:rPr>
              <w:t>Qualité des sols</w:t>
            </w:r>
          </w:p>
        </w:tc>
        <w:tc>
          <w:tcPr>
            <w:tcW w:w="1985" w:type="dxa"/>
            <w:shd w:val="clear" w:color="auto" w:fill="auto"/>
          </w:tcPr>
          <w:p w14:paraId="514B7FEE" w14:textId="77777777" w:rsidR="009021F1" w:rsidRPr="002C5EA5" w:rsidRDefault="009021F1" w:rsidP="00E637E3">
            <w:pPr>
              <w:pStyle w:val="TableParagraph"/>
              <w:spacing w:before="48" w:line="235" w:lineRule="auto"/>
              <w:ind w:right="59"/>
              <w:rPr>
                <w:sz w:val="20"/>
                <w:szCs w:val="20"/>
                <w:lang w:val="fr-FR"/>
              </w:rPr>
            </w:pPr>
            <w:r w:rsidRPr="002C5EA5">
              <w:rPr>
                <w:sz w:val="20"/>
                <w:szCs w:val="20"/>
                <w:lang w:val="fr-FR"/>
              </w:rPr>
              <w:t xml:space="preserve">Risque de contamination des sols par déversement </w:t>
            </w:r>
            <w:r w:rsidRPr="002C5EA5">
              <w:rPr>
                <w:w w:val="95"/>
                <w:sz w:val="20"/>
                <w:szCs w:val="20"/>
                <w:lang w:val="fr-FR"/>
              </w:rPr>
              <w:t xml:space="preserve">accidentel, mauvaise </w:t>
            </w:r>
            <w:r w:rsidRPr="002C5EA5">
              <w:rPr>
                <w:sz w:val="20"/>
                <w:szCs w:val="20"/>
                <w:lang w:val="fr-FR"/>
              </w:rPr>
              <w:t>gestion des résidus de traitement.</w:t>
            </w:r>
          </w:p>
        </w:tc>
        <w:tc>
          <w:tcPr>
            <w:tcW w:w="5499" w:type="dxa"/>
            <w:shd w:val="clear" w:color="auto" w:fill="auto"/>
          </w:tcPr>
          <w:p w14:paraId="5877AC52" w14:textId="77777777" w:rsidR="009021F1" w:rsidRPr="002C5EA5" w:rsidRDefault="009021F1" w:rsidP="00E637E3">
            <w:pPr>
              <w:pStyle w:val="TableParagraph"/>
              <w:numPr>
                <w:ilvl w:val="0"/>
                <w:numId w:val="49"/>
              </w:numPr>
              <w:autoSpaceDE w:val="0"/>
              <w:autoSpaceDN w:val="0"/>
              <w:spacing w:before="42" w:line="276" w:lineRule="auto"/>
              <w:ind w:left="164" w:right="97" w:hanging="164"/>
              <w:rPr>
                <w:sz w:val="20"/>
                <w:szCs w:val="20"/>
                <w:lang w:val="fr-FR"/>
              </w:rPr>
            </w:pPr>
            <w:r w:rsidRPr="002C5EA5">
              <w:rPr>
                <w:sz w:val="20"/>
                <w:szCs w:val="20"/>
                <w:lang w:val="fr-FR"/>
              </w:rPr>
              <w:t>Offrir une formation aux utilisateurs sur l’utilisation correcte des produits chimiques ;</w:t>
            </w:r>
          </w:p>
          <w:p w14:paraId="021A9DFC" w14:textId="77777777" w:rsidR="009021F1" w:rsidRPr="002C5EA5" w:rsidRDefault="009021F1" w:rsidP="00E637E3">
            <w:pPr>
              <w:pStyle w:val="TableParagraph"/>
              <w:numPr>
                <w:ilvl w:val="0"/>
                <w:numId w:val="49"/>
              </w:numPr>
              <w:autoSpaceDE w:val="0"/>
              <w:autoSpaceDN w:val="0"/>
              <w:spacing w:before="42" w:line="276" w:lineRule="auto"/>
              <w:ind w:left="164" w:right="97" w:hanging="164"/>
              <w:rPr>
                <w:sz w:val="20"/>
                <w:szCs w:val="20"/>
                <w:lang w:val="fr-FR"/>
              </w:rPr>
            </w:pPr>
            <w:r w:rsidRPr="002C5EA5">
              <w:rPr>
                <w:sz w:val="20"/>
                <w:szCs w:val="20"/>
                <w:lang w:val="fr-FR"/>
              </w:rPr>
              <w:t>S’assurer d’une gestion adéquate des produits chimiques (manipulation, entreposage, élimination, etc.) ;</w:t>
            </w:r>
          </w:p>
          <w:p w14:paraId="522B7801" w14:textId="77777777" w:rsidR="009021F1" w:rsidRPr="002C5EA5" w:rsidRDefault="009021F1" w:rsidP="00E637E3">
            <w:pPr>
              <w:pStyle w:val="TableParagraph"/>
              <w:numPr>
                <w:ilvl w:val="0"/>
                <w:numId w:val="49"/>
              </w:numPr>
              <w:autoSpaceDE w:val="0"/>
              <w:autoSpaceDN w:val="0"/>
              <w:spacing w:before="42" w:line="276" w:lineRule="auto"/>
              <w:ind w:left="164" w:right="97" w:hanging="164"/>
              <w:rPr>
                <w:sz w:val="20"/>
                <w:szCs w:val="20"/>
                <w:lang w:val="fr-FR"/>
              </w:rPr>
            </w:pPr>
            <w:r w:rsidRPr="002C5EA5">
              <w:rPr>
                <w:sz w:val="20"/>
                <w:szCs w:val="20"/>
                <w:lang w:val="fr-FR"/>
              </w:rPr>
              <w:t>Prendre toutes les précautions possibles lors du ravitaillement et de l’entretien des véhicules et lors de la manipulation de produits chimiques dans les champs afin d’éviter les déversements accidentels ;</w:t>
            </w:r>
          </w:p>
          <w:p w14:paraId="68A7A5B1" w14:textId="77777777" w:rsidR="009021F1" w:rsidRPr="002C5EA5" w:rsidRDefault="009021F1" w:rsidP="00E637E3">
            <w:pPr>
              <w:pStyle w:val="TableParagraph"/>
              <w:numPr>
                <w:ilvl w:val="0"/>
                <w:numId w:val="49"/>
              </w:numPr>
              <w:autoSpaceDE w:val="0"/>
              <w:autoSpaceDN w:val="0"/>
              <w:spacing w:before="42" w:line="276" w:lineRule="auto"/>
              <w:ind w:left="164" w:right="97" w:hanging="164"/>
              <w:rPr>
                <w:sz w:val="20"/>
                <w:szCs w:val="20"/>
                <w:lang w:val="fr-FR"/>
              </w:rPr>
            </w:pPr>
            <w:r w:rsidRPr="002C5EA5">
              <w:rPr>
                <w:sz w:val="20"/>
                <w:szCs w:val="20"/>
                <w:lang w:val="fr-FR"/>
              </w:rPr>
              <w:t>Décaper les sols ou les endroits touchés et les mettre dans une fosse ;</w:t>
            </w:r>
          </w:p>
          <w:p w14:paraId="028C544A" w14:textId="77777777" w:rsidR="009021F1" w:rsidRPr="002C5EA5" w:rsidRDefault="009021F1" w:rsidP="00E637E3">
            <w:pPr>
              <w:pStyle w:val="TableParagraph"/>
              <w:numPr>
                <w:ilvl w:val="0"/>
                <w:numId w:val="49"/>
              </w:numPr>
              <w:autoSpaceDE w:val="0"/>
              <w:autoSpaceDN w:val="0"/>
              <w:spacing w:before="42" w:line="276" w:lineRule="auto"/>
              <w:ind w:left="164" w:right="97" w:hanging="164"/>
              <w:rPr>
                <w:sz w:val="20"/>
                <w:szCs w:val="20"/>
                <w:lang w:val="fr-FR"/>
              </w:rPr>
            </w:pPr>
            <w:r w:rsidRPr="002C5EA5">
              <w:rPr>
                <w:sz w:val="20"/>
                <w:szCs w:val="20"/>
                <w:lang w:val="fr-FR"/>
              </w:rPr>
              <w:t>Prévoir des mesures en cas de contamination accidentelle (élaborer un plan d’urgence incluant les mesures de confinement et de récupération ainsi que la formation des usagés) ;</w:t>
            </w:r>
          </w:p>
          <w:p w14:paraId="5C8A5E51" w14:textId="77777777" w:rsidR="009021F1" w:rsidRPr="002C5EA5" w:rsidRDefault="009021F1" w:rsidP="00E637E3">
            <w:pPr>
              <w:pStyle w:val="TableParagraph"/>
              <w:numPr>
                <w:ilvl w:val="0"/>
                <w:numId w:val="49"/>
              </w:numPr>
              <w:autoSpaceDE w:val="0"/>
              <w:autoSpaceDN w:val="0"/>
              <w:spacing w:before="42" w:line="276" w:lineRule="auto"/>
              <w:ind w:left="164" w:right="97" w:hanging="164"/>
              <w:rPr>
                <w:sz w:val="20"/>
                <w:szCs w:val="20"/>
                <w:lang w:val="fr-FR"/>
              </w:rPr>
            </w:pPr>
            <w:r w:rsidRPr="002C5EA5">
              <w:rPr>
                <w:sz w:val="20"/>
                <w:szCs w:val="20"/>
                <w:lang w:val="fr-FR"/>
              </w:rPr>
              <w:t>Tester le plan de mesures d’urgence.</w:t>
            </w:r>
          </w:p>
        </w:tc>
      </w:tr>
      <w:tr w:rsidR="009021F1" w:rsidRPr="00F65274" w14:paraId="6B13E97F" w14:textId="77777777" w:rsidTr="00E637E3">
        <w:tc>
          <w:tcPr>
            <w:tcW w:w="1838" w:type="dxa"/>
            <w:shd w:val="clear" w:color="auto" w:fill="auto"/>
          </w:tcPr>
          <w:p w14:paraId="1D8030D3" w14:textId="77777777" w:rsidR="009021F1" w:rsidRPr="002C5EA5" w:rsidRDefault="009021F1" w:rsidP="00E637E3">
            <w:pPr>
              <w:pStyle w:val="TableParagraph"/>
              <w:spacing w:before="44"/>
              <w:rPr>
                <w:sz w:val="20"/>
                <w:szCs w:val="20"/>
              </w:rPr>
            </w:pPr>
            <w:r w:rsidRPr="002C5EA5">
              <w:rPr>
                <w:sz w:val="20"/>
                <w:szCs w:val="20"/>
              </w:rPr>
              <w:t>Végétation</w:t>
            </w:r>
          </w:p>
        </w:tc>
        <w:tc>
          <w:tcPr>
            <w:tcW w:w="1985" w:type="dxa"/>
            <w:shd w:val="clear" w:color="auto" w:fill="auto"/>
          </w:tcPr>
          <w:p w14:paraId="59DDD6E2" w14:textId="77777777" w:rsidR="009021F1" w:rsidRPr="002C5EA5" w:rsidRDefault="009021F1" w:rsidP="00E637E3">
            <w:pPr>
              <w:pStyle w:val="TableParagraph"/>
              <w:spacing w:before="48" w:line="235" w:lineRule="auto"/>
              <w:ind w:right="9"/>
              <w:rPr>
                <w:sz w:val="20"/>
                <w:szCs w:val="20"/>
                <w:lang w:val="fr-FR"/>
              </w:rPr>
            </w:pPr>
            <w:r w:rsidRPr="002C5EA5">
              <w:rPr>
                <w:sz w:val="20"/>
                <w:szCs w:val="20"/>
                <w:lang w:val="fr-FR"/>
              </w:rPr>
              <w:t xml:space="preserve">Impact des activités d’exploitation et d’entretien des exploitations agricoles et des </w:t>
            </w:r>
            <w:r w:rsidRPr="002C5EA5">
              <w:rPr>
                <w:spacing w:val="-3"/>
                <w:sz w:val="20"/>
                <w:szCs w:val="20"/>
                <w:lang w:val="fr-FR"/>
              </w:rPr>
              <w:t xml:space="preserve">routes </w:t>
            </w:r>
            <w:r w:rsidRPr="002C5EA5">
              <w:rPr>
                <w:sz w:val="20"/>
                <w:szCs w:val="20"/>
                <w:lang w:val="fr-FR"/>
              </w:rPr>
              <w:t>de desserte agricole sur la végétation terrestre.</w:t>
            </w:r>
          </w:p>
        </w:tc>
        <w:tc>
          <w:tcPr>
            <w:tcW w:w="5499" w:type="dxa"/>
            <w:shd w:val="clear" w:color="auto" w:fill="auto"/>
          </w:tcPr>
          <w:p w14:paraId="2E8979D7" w14:textId="77777777" w:rsidR="009021F1" w:rsidRPr="002C5EA5" w:rsidRDefault="009021F1" w:rsidP="00E637E3">
            <w:pPr>
              <w:pStyle w:val="TableParagraph"/>
              <w:numPr>
                <w:ilvl w:val="0"/>
                <w:numId w:val="49"/>
              </w:numPr>
              <w:autoSpaceDE w:val="0"/>
              <w:autoSpaceDN w:val="0"/>
              <w:spacing w:before="42" w:line="276" w:lineRule="auto"/>
              <w:ind w:left="164" w:right="97" w:hanging="164"/>
              <w:rPr>
                <w:sz w:val="20"/>
                <w:szCs w:val="20"/>
                <w:lang w:val="fr-FR"/>
              </w:rPr>
            </w:pPr>
            <w:r w:rsidRPr="002C5EA5">
              <w:rPr>
                <w:sz w:val="20"/>
                <w:szCs w:val="20"/>
                <w:lang w:val="fr-FR"/>
              </w:rPr>
              <w:t>Sensibiliser les usagers de ne pas détruire inutilement la végétation naturelle environnante.</w:t>
            </w:r>
          </w:p>
        </w:tc>
      </w:tr>
      <w:tr w:rsidR="009021F1" w:rsidRPr="00F65274" w14:paraId="63180203" w14:textId="77777777" w:rsidTr="00E637E3">
        <w:tc>
          <w:tcPr>
            <w:tcW w:w="1838" w:type="dxa"/>
            <w:shd w:val="clear" w:color="auto" w:fill="auto"/>
          </w:tcPr>
          <w:p w14:paraId="75F19668" w14:textId="77777777" w:rsidR="009021F1" w:rsidRPr="002C5EA5" w:rsidRDefault="009021F1" w:rsidP="00E637E3">
            <w:pPr>
              <w:pStyle w:val="TableParagraph"/>
              <w:spacing w:before="44"/>
              <w:rPr>
                <w:sz w:val="20"/>
                <w:szCs w:val="20"/>
              </w:rPr>
            </w:pPr>
            <w:r w:rsidRPr="002C5EA5">
              <w:rPr>
                <w:sz w:val="20"/>
                <w:szCs w:val="20"/>
              </w:rPr>
              <w:t>Faune</w:t>
            </w:r>
          </w:p>
        </w:tc>
        <w:tc>
          <w:tcPr>
            <w:tcW w:w="1985" w:type="dxa"/>
            <w:shd w:val="clear" w:color="auto" w:fill="auto"/>
          </w:tcPr>
          <w:p w14:paraId="50241BED" w14:textId="77777777" w:rsidR="009021F1" w:rsidRPr="002C5EA5" w:rsidRDefault="009021F1" w:rsidP="00E637E3">
            <w:pPr>
              <w:pStyle w:val="TableParagraph"/>
              <w:spacing w:before="46" w:line="237" w:lineRule="auto"/>
              <w:ind w:right="212"/>
              <w:rPr>
                <w:sz w:val="20"/>
                <w:szCs w:val="20"/>
                <w:lang w:val="fr-FR"/>
              </w:rPr>
            </w:pPr>
            <w:r w:rsidRPr="002C5EA5">
              <w:rPr>
                <w:sz w:val="20"/>
                <w:szCs w:val="20"/>
                <w:lang w:val="fr-FR"/>
              </w:rPr>
              <w:t>Impact sur la faune terrestre.</w:t>
            </w:r>
          </w:p>
        </w:tc>
        <w:tc>
          <w:tcPr>
            <w:tcW w:w="5499" w:type="dxa"/>
            <w:shd w:val="clear" w:color="auto" w:fill="auto"/>
          </w:tcPr>
          <w:p w14:paraId="14502E97" w14:textId="77777777" w:rsidR="009021F1" w:rsidRPr="002C5EA5" w:rsidRDefault="009021F1" w:rsidP="00E637E3">
            <w:pPr>
              <w:pStyle w:val="TableParagraph"/>
              <w:numPr>
                <w:ilvl w:val="0"/>
                <w:numId w:val="49"/>
              </w:numPr>
              <w:autoSpaceDE w:val="0"/>
              <w:autoSpaceDN w:val="0"/>
              <w:spacing w:before="42" w:line="276" w:lineRule="auto"/>
              <w:ind w:left="164" w:right="97" w:hanging="164"/>
              <w:rPr>
                <w:sz w:val="20"/>
                <w:szCs w:val="20"/>
                <w:lang w:val="fr-FR"/>
              </w:rPr>
            </w:pPr>
            <w:r w:rsidRPr="002C5EA5">
              <w:rPr>
                <w:sz w:val="20"/>
                <w:szCs w:val="20"/>
                <w:lang w:val="fr-FR"/>
              </w:rPr>
              <w:t>Sensibiliser les usagers de ne pas détruire inutilement la végétation naturelle environnante.</w:t>
            </w:r>
          </w:p>
        </w:tc>
      </w:tr>
      <w:tr w:rsidR="009021F1" w:rsidRPr="00F65274" w14:paraId="78A5CEF3" w14:textId="77777777" w:rsidTr="00E637E3">
        <w:tc>
          <w:tcPr>
            <w:tcW w:w="1838" w:type="dxa"/>
            <w:vMerge w:val="restart"/>
            <w:shd w:val="clear" w:color="auto" w:fill="auto"/>
          </w:tcPr>
          <w:p w14:paraId="2B121EE8" w14:textId="77777777" w:rsidR="009021F1" w:rsidRPr="002C5EA5" w:rsidRDefault="009021F1" w:rsidP="00E637E3">
            <w:pPr>
              <w:pStyle w:val="TableParagraph"/>
              <w:spacing w:before="44"/>
              <w:rPr>
                <w:sz w:val="20"/>
                <w:szCs w:val="20"/>
              </w:rPr>
            </w:pPr>
            <w:r w:rsidRPr="002C5EA5">
              <w:rPr>
                <w:sz w:val="20"/>
                <w:szCs w:val="20"/>
              </w:rPr>
              <w:t>Population</w:t>
            </w:r>
          </w:p>
          <w:p w14:paraId="713880BF" w14:textId="77777777" w:rsidR="009021F1" w:rsidRPr="002C5EA5" w:rsidRDefault="009021F1" w:rsidP="00E637E3">
            <w:pPr>
              <w:pStyle w:val="TableParagraph"/>
              <w:spacing w:before="48" w:line="235" w:lineRule="auto"/>
              <w:ind w:right="50"/>
              <w:rPr>
                <w:sz w:val="20"/>
                <w:szCs w:val="20"/>
              </w:rPr>
            </w:pPr>
          </w:p>
        </w:tc>
        <w:tc>
          <w:tcPr>
            <w:tcW w:w="1985" w:type="dxa"/>
            <w:shd w:val="clear" w:color="auto" w:fill="auto"/>
          </w:tcPr>
          <w:p w14:paraId="1FB010C1" w14:textId="77777777" w:rsidR="009021F1" w:rsidRPr="002C5EA5" w:rsidRDefault="009021F1" w:rsidP="00E637E3">
            <w:pPr>
              <w:pStyle w:val="TableParagraph"/>
              <w:spacing w:before="48" w:line="235" w:lineRule="auto"/>
              <w:rPr>
                <w:sz w:val="20"/>
                <w:szCs w:val="20"/>
                <w:lang w:val="fr-FR"/>
              </w:rPr>
            </w:pPr>
            <w:r w:rsidRPr="002C5EA5">
              <w:rPr>
                <w:sz w:val="20"/>
                <w:szCs w:val="20"/>
                <w:lang w:val="fr-FR"/>
              </w:rPr>
              <w:t xml:space="preserve">Augmentation de la population suite à la </w:t>
            </w:r>
            <w:r w:rsidRPr="002C5EA5">
              <w:rPr>
                <w:w w:val="95"/>
                <w:sz w:val="20"/>
                <w:szCs w:val="20"/>
                <w:lang w:val="fr-FR"/>
              </w:rPr>
              <w:t xml:space="preserve">migration d’individus </w:t>
            </w:r>
            <w:r w:rsidRPr="002C5EA5">
              <w:rPr>
                <w:sz w:val="20"/>
                <w:szCs w:val="20"/>
                <w:lang w:val="fr-FR"/>
              </w:rPr>
              <w:t>attirés par la disponibilité des produits agricoles et routes réhabilitées.</w:t>
            </w:r>
          </w:p>
        </w:tc>
        <w:tc>
          <w:tcPr>
            <w:tcW w:w="5499" w:type="dxa"/>
            <w:shd w:val="clear" w:color="auto" w:fill="auto"/>
          </w:tcPr>
          <w:p w14:paraId="407F8F36" w14:textId="77777777" w:rsidR="009021F1" w:rsidRPr="002C5EA5" w:rsidRDefault="009021F1" w:rsidP="00E637E3">
            <w:pPr>
              <w:pStyle w:val="TableParagraph"/>
              <w:numPr>
                <w:ilvl w:val="0"/>
                <w:numId w:val="49"/>
              </w:numPr>
              <w:autoSpaceDE w:val="0"/>
              <w:autoSpaceDN w:val="0"/>
              <w:spacing w:before="42" w:line="276" w:lineRule="auto"/>
              <w:ind w:left="164" w:right="97" w:hanging="164"/>
              <w:rPr>
                <w:sz w:val="20"/>
                <w:szCs w:val="20"/>
                <w:lang w:val="fr-FR"/>
              </w:rPr>
            </w:pPr>
            <w:r w:rsidRPr="002C5EA5">
              <w:rPr>
                <w:sz w:val="20"/>
                <w:szCs w:val="20"/>
                <w:lang w:val="fr-FR"/>
              </w:rPr>
              <w:t>Sensibiliser la population hôte sur les risques de contamination aux maladies sexuellement transmissibles et à avoir des relations sexuelles protégées.</w:t>
            </w:r>
          </w:p>
        </w:tc>
      </w:tr>
      <w:tr w:rsidR="009021F1" w:rsidRPr="00F65274" w14:paraId="34CBD2B6" w14:textId="77777777" w:rsidTr="00E637E3">
        <w:tc>
          <w:tcPr>
            <w:tcW w:w="1838" w:type="dxa"/>
            <w:vMerge/>
            <w:shd w:val="clear" w:color="auto" w:fill="auto"/>
          </w:tcPr>
          <w:p w14:paraId="0C01334C" w14:textId="77777777" w:rsidR="009021F1" w:rsidRPr="002C5EA5" w:rsidRDefault="009021F1" w:rsidP="00E637E3">
            <w:pPr>
              <w:pStyle w:val="TableParagraph"/>
              <w:spacing w:before="48" w:line="235" w:lineRule="auto"/>
              <w:ind w:right="50"/>
              <w:rPr>
                <w:sz w:val="20"/>
                <w:szCs w:val="20"/>
                <w:lang w:val="fr-FR"/>
              </w:rPr>
            </w:pPr>
          </w:p>
        </w:tc>
        <w:tc>
          <w:tcPr>
            <w:tcW w:w="1985" w:type="dxa"/>
            <w:shd w:val="clear" w:color="auto" w:fill="auto"/>
          </w:tcPr>
          <w:p w14:paraId="25199732" w14:textId="77777777" w:rsidR="009021F1" w:rsidRPr="002C5EA5" w:rsidRDefault="009021F1" w:rsidP="00E637E3">
            <w:pPr>
              <w:pStyle w:val="TableParagraph"/>
              <w:spacing w:before="44"/>
              <w:rPr>
                <w:sz w:val="20"/>
                <w:szCs w:val="20"/>
              </w:rPr>
            </w:pPr>
            <w:r w:rsidRPr="002C5EA5">
              <w:rPr>
                <w:sz w:val="20"/>
                <w:szCs w:val="20"/>
              </w:rPr>
              <w:t>Risques d’accidents</w:t>
            </w:r>
          </w:p>
        </w:tc>
        <w:tc>
          <w:tcPr>
            <w:tcW w:w="5499" w:type="dxa"/>
            <w:shd w:val="clear" w:color="auto" w:fill="auto"/>
          </w:tcPr>
          <w:p w14:paraId="61CA0F8F" w14:textId="77777777" w:rsidR="009021F1" w:rsidRPr="002C5EA5" w:rsidRDefault="009021F1" w:rsidP="00E637E3">
            <w:pPr>
              <w:pStyle w:val="TableParagraph"/>
              <w:numPr>
                <w:ilvl w:val="0"/>
                <w:numId w:val="49"/>
              </w:numPr>
              <w:autoSpaceDE w:val="0"/>
              <w:autoSpaceDN w:val="0"/>
              <w:spacing w:before="42" w:line="276" w:lineRule="auto"/>
              <w:ind w:left="164" w:right="97" w:hanging="164"/>
              <w:rPr>
                <w:sz w:val="20"/>
                <w:szCs w:val="20"/>
                <w:lang w:val="fr-FR"/>
              </w:rPr>
            </w:pPr>
            <w:r w:rsidRPr="002C5EA5">
              <w:rPr>
                <w:sz w:val="20"/>
                <w:szCs w:val="20"/>
                <w:lang w:val="fr-FR"/>
              </w:rPr>
              <w:t>Assurer une formation adéquate aux usagers permettant l’acquisition du niveau de connaissance requis pour l’exécution des procédés, le dosage des produits chimiques, la manipulation, l’entreposage l’élimination, etc.) ;</w:t>
            </w:r>
          </w:p>
          <w:p w14:paraId="1FC3DC35" w14:textId="77777777" w:rsidR="009021F1" w:rsidRPr="002C5EA5" w:rsidRDefault="009021F1" w:rsidP="00E637E3">
            <w:pPr>
              <w:pStyle w:val="TableParagraph"/>
              <w:numPr>
                <w:ilvl w:val="0"/>
                <w:numId w:val="49"/>
              </w:numPr>
              <w:autoSpaceDE w:val="0"/>
              <w:autoSpaceDN w:val="0"/>
              <w:spacing w:before="42" w:line="276" w:lineRule="auto"/>
              <w:ind w:left="164" w:right="97" w:hanging="164"/>
              <w:rPr>
                <w:sz w:val="20"/>
                <w:szCs w:val="20"/>
                <w:lang w:val="fr-FR"/>
              </w:rPr>
            </w:pPr>
            <w:r w:rsidRPr="002C5EA5">
              <w:rPr>
                <w:sz w:val="20"/>
                <w:szCs w:val="20"/>
                <w:lang w:val="fr-FR"/>
              </w:rPr>
              <w:t>Appuyer les partenaires (agri-multiplicateurs) dans l’acquisition des équipements de protection individuelle adaptés aux exigences spécifiques des emplois (casques, masques, lunettes, chaussures et gants de sécurité) ;</w:t>
            </w:r>
          </w:p>
          <w:p w14:paraId="37E3AF60" w14:textId="77777777" w:rsidR="009021F1" w:rsidRPr="002C5EA5" w:rsidRDefault="009021F1" w:rsidP="00E637E3">
            <w:pPr>
              <w:pStyle w:val="TableParagraph"/>
              <w:numPr>
                <w:ilvl w:val="0"/>
                <w:numId w:val="49"/>
              </w:numPr>
              <w:autoSpaceDE w:val="0"/>
              <w:autoSpaceDN w:val="0"/>
              <w:spacing w:before="42" w:line="276" w:lineRule="auto"/>
              <w:ind w:left="164" w:right="97" w:hanging="164"/>
              <w:rPr>
                <w:sz w:val="20"/>
                <w:szCs w:val="20"/>
                <w:lang w:val="fr-FR"/>
              </w:rPr>
            </w:pPr>
            <w:r w:rsidRPr="002C5EA5">
              <w:rPr>
                <w:sz w:val="20"/>
                <w:szCs w:val="20"/>
                <w:lang w:val="fr-FR"/>
              </w:rPr>
              <w:t>Prévoir des mesures en cas de contamination accidentelle (élaborer un plan d’urgence incluant les mesures de confinement et de récupération ainsi que la formation des employés).</w:t>
            </w:r>
          </w:p>
        </w:tc>
      </w:tr>
      <w:tr w:rsidR="009021F1" w:rsidRPr="00F65274" w14:paraId="479DB66D" w14:textId="77777777" w:rsidTr="00E637E3">
        <w:tc>
          <w:tcPr>
            <w:tcW w:w="1838" w:type="dxa"/>
            <w:vMerge/>
            <w:shd w:val="clear" w:color="auto" w:fill="auto"/>
          </w:tcPr>
          <w:p w14:paraId="0A5F6BFC" w14:textId="77777777" w:rsidR="009021F1" w:rsidRPr="002C5EA5" w:rsidRDefault="009021F1" w:rsidP="00E637E3">
            <w:pPr>
              <w:pStyle w:val="TableParagraph"/>
              <w:spacing w:before="48" w:line="235" w:lineRule="auto"/>
              <w:ind w:right="50"/>
              <w:rPr>
                <w:sz w:val="20"/>
                <w:szCs w:val="20"/>
                <w:lang w:val="fr-FR"/>
              </w:rPr>
            </w:pPr>
          </w:p>
        </w:tc>
        <w:tc>
          <w:tcPr>
            <w:tcW w:w="1985" w:type="dxa"/>
            <w:shd w:val="clear" w:color="auto" w:fill="auto"/>
          </w:tcPr>
          <w:p w14:paraId="09BE4A30" w14:textId="77777777" w:rsidR="009021F1" w:rsidRPr="002C5EA5" w:rsidRDefault="009021F1" w:rsidP="00E637E3">
            <w:pPr>
              <w:pStyle w:val="TableParagraph"/>
              <w:spacing w:before="44"/>
              <w:rPr>
                <w:sz w:val="20"/>
                <w:szCs w:val="20"/>
                <w:lang w:val="fr-FR"/>
              </w:rPr>
            </w:pPr>
            <w:r w:rsidRPr="002C5EA5">
              <w:rPr>
                <w:sz w:val="20"/>
                <w:szCs w:val="20"/>
                <w:lang w:val="fr-FR"/>
              </w:rPr>
              <w:t>Risques d’EAS/HS, violences contre les enfants, IST/VIH-SIDA</w:t>
            </w:r>
          </w:p>
        </w:tc>
        <w:tc>
          <w:tcPr>
            <w:tcW w:w="5499" w:type="dxa"/>
            <w:shd w:val="clear" w:color="auto" w:fill="auto"/>
          </w:tcPr>
          <w:p w14:paraId="6430CA48" w14:textId="77777777" w:rsidR="009021F1" w:rsidRPr="002C5EA5" w:rsidRDefault="009021F1" w:rsidP="00E637E3">
            <w:pPr>
              <w:pStyle w:val="TableParagraph"/>
              <w:numPr>
                <w:ilvl w:val="0"/>
                <w:numId w:val="49"/>
              </w:numPr>
              <w:autoSpaceDE w:val="0"/>
              <w:autoSpaceDN w:val="0"/>
              <w:spacing w:before="42" w:line="276" w:lineRule="auto"/>
              <w:ind w:left="164" w:right="97" w:hanging="164"/>
              <w:rPr>
                <w:sz w:val="20"/>
                <w:szCs w:val="20"/>
                <w:lang w:val="fr-FR"/>
              </w:rPr>
            </w:pPr>
            <w:r w:rsidRPr="002C5EA5">
              <w:rPr>
                <w:sz w:val="20"/>
                <w:szCs w:val="20"/>
                <w:lang w:val="fr-FR"/>
              </w:rPr>
              <w:t>Assurer la formation sur les risques liés à l’EAS/HS, violences contre les enfants, IST/VIH-SIDA à l’endroit de la population riveraine, femmes/filles, travailleurs et agents du programme</w:t>
            </w:r>
          </w:p>
          <w:p w14:paraId="3ECD2ADC" w14:textId="77777777" w:rsidR="009021F1" w:rsidRPr="002C5EA5" w:rsidRDefault="009021F1" w:rsidP="00E637E3">
            <w:pPr>
              <w:pStyle w:val="TableParagraph"/>
              <w:numPr>
                <w:ilvl w:val="0"/>
                <w:numId w:val="49"/>
              </w:numPr>
              <w:autoSpaceDE w:val="0"/>
              <w:autoSpaceDN w:val="0"/>
              <w:spacing w:before="42" w:line="276" w:lineRule="auto"/>
              <w:ind w:left="164" w:right="97" w:hanging="164"/>
              <w:rPr>
                <w:sz w:val="20"/>
                <w:szCs w:val="20"/>
                <w:lang w:val="fr-FR"/>
              </w:rPr>
            </w:pPr>
            <w:r w:rsidRPr="002C5EA5">
              <w:rPr>
                <w:sz w:val="20"/>
                <w:szCs w:val="20"/>
                <w:lang w:val="fr-FR"/>
              </w:rPr>
              <w:t>Organiser des séances de dépistage volontaire des travailleurs et agents du programme</w:t>
            </w:r>
          </w:p>
          <w:p w14:paraId="5FF219AE" w14:textId="77777777" w:rsidR="009021F1" w:rsidRPr="002C5EA5" w:rsidRDefault="009021F1" w:rsidP="00E637E3">
            <w:pPr>
              <w:pStyle w:val="TableParagraph"/>
              <w:numPr>
                <w:ilvl w:val="0"/>
                <w:numId w:val="49"/>
              </w:numPr>
              <w:autoSpaceDE w:val="0"/>
              <w:autoSpaceDN w:val="0"/>
              <w:spacing w:before="42" w:line="276" w:lineRule="auto"/>
              <w:ind w:left="164" w:right="97" w:hanging="164"/>
              <w:rPr>
                <w:sz w:val="20"/>
                <w:szCs w:val="20"/>
                <w:lang w:val="fr-FR"/>
              </w:rPr>
            </w:pPr>
            <w:r w:rsidRPr="002C5EA5">
              <w:rPr>
                <w:sz w:val="20"/>
                <w:szCs w:val="20"/>
                <w:lang w:val="fr-FR"/>
              </w:rPr>
              <w:t>Distribuer gratuitement des préservatifs aux travailleurs et agents du programme</w:t>
            </w:r>
          </w:p>
          <w:p w14:paraId="65D0074B" w14:textId="77777777" w:rsidR="009021F1" w:rsidRPr="002C5EA5" w:rsidRDefault="009021F1" w:rsidP="00E637E3">
            <w:pPr>
              <w:pStyle w:val="TableParagraph"/>
              <w:numPr>
                <w:ilvl w:val="0"/>
                <w:numId w:val="49"/>
              </w:numPr>
              <w:autoSpaceDE w:val="0"/>
              <w:autoSpaceDN w:val="0"/>
              <w:spacing w:before="42" w:line="276" w:lineRule="auto"/>
              <w:ind w:left="164" w:right="97" w:hanging="164"/>
              <w:rPr>
                <w:sz w:val="20"/>
                <w:szCs w:val="20"/>
                <w:lang w:val="fr-FR"/>
              </w:rPr>
            </w:pPr>
            <w:r w:rsidRPr="002C5EA5">
              <w:rPr>
                <w:sz w:val="20"/>
                <w:szCs w:val="20"/>
                <w:lang w:val="fr-FR"/>
              </w:rPr>
              <w:t>Mettre en place un dispositif de dénonciation et d’enregistrement des cas de d’EAS/HS, violences contre les enfants</w:t>
            </w:r>
          </w:p>
          <w:p w14:paraId="78B4B557" w14:textId="77777777" w:rsidR="009021F1" w:rsidRPr="002C5EA5" w:rsidRDefault="009021F1" w:rsidP="00E637E3">
            <w:pPr>
              <w:pStyle w:val="TableParagraph"/>
              <w:numPr>
                <w:ilvl w:val="0"/>
                <w:numId w:val="49"/>
              </w:numPr>
              <w:autoSpaceDE w:val="0"/>
              <w:autoSpaceDN w:val="0"/>
              <w:spacing w:before="42" w:line="276" w:lineRule="auto"/>
              <w:ind w:left="164" w:right="97" w:hanging="164"/>
              <w:rPr>
                <w:sz w:val="20"/>
                <w:szCs w:val="20"/>
                <w:lang w:val="fr-FR"/>
              </w:rPr>
            </w:pPr>
            <w:r w:rsidRPr="002C5EA5">
              <w:rPr>
                <w:sz w:val="20"/>
                <w:szCs w:val="20"/>
                <w:lang w:val="fr-FR"/>
              </w:rPr>
              <w:t>Mettre en place des comités d’éthique</w:t>
            </w:r>
          </w:p>
        </w:tc>
      </w:tr>
      <w:tr w:rsidR="009021F1" w:rsidRPr="00F65274" w14:paraId="5073F414" w14:textId="77777777" w:rsidTr="00E637E3">
        <w:tc>
          <w:tcPr>
            <w:tcW w:w="1838" w:type="dxa"/>
            <w:vMerge/>
            <w:shd w:val="clear" w:color="auto" w:fill="auto"/>
          </w:tcPr>
          <w:p w14:paraId="086C5C20" w14:textId="77777777" w:rsidR="009021F1" w:rsidRPr="002C5EA5" w:rsidRDefault="009021F1" w:rsidP="00E637E3">
            <w:pPr>
              <w:pStyle w:val="TableParagraph"/>
              <w:spacing w:before="48" w:line="235" w:lineRule="auto"/>
              <w:ind w:right="50"/>
              <w:rPr>
                <w:sz w:val="20"/>
                <w:szCs w:val="20"/>
                <w:lang w:val="fr-FR"/>
              </w:rPr>
            </w:pPr>
          </w:p>
        </w:tc>
        <w:tc>
          <w:tcPr>
            <w:tcW w:w="1985" w:type="dxa"/>
            <w:shd w:val="clear" w:color="auto" w:fill="auto"/>
          </w:tcPr>
          <w:p w14:paraId="4016FA03" w14:textId="77777777" w:rsidR="009021F1" w:rsidRPr="002C5EA5" w:rsidRDefault="009021F1" w:rsidP="00E637E3">
            <w:pPr>
              <w:pStyle w:val="TableParagraph"/>
              <w:spacing w:before="44"/>
              <w:rPr>
                <w:sz w:val="20"/>
                <w:szCs w:val="20"/>
                <w:lang w:val="fr-FR"/>
              </w:rPr>
            </w:pPr>
            <w:r w:rsidRPr="002C5EA5">
              <w:rPr>
                <w:sz w:val="20"/>
                <w:szCs w:val="20"/>
                <w:lang w:val="fr-FR"/>
              </w:rPr>
              <w:t>Risque de contamination de COVID-19</w:t>
            </w:r>
          </w:p>
        </w:tc>
        <w:tc>
          <w:tcPr>
            <w:tcW w:w="5499" w:type="dxa"/>
            <w:shd w:val="clear" w:color="auto" w:fill="auto"/>
          </w:tcPr>
          <w:p w14:paraId="4C821C62" w14:textId="77777777" w:rsidR="009021F1" w:rsidRPr="002C5EA5" w:rsidRDefault="009021F1" w:rsidP="00E637E3">
            <w:pPr>
              <w:pStyle w:val="TableParagraph"/>
              <w:numPr>
                <w:ilvl w:val="0"/>
                <w:numId w:val="49"/>
              </w:numPr>
              <w:autoSpaceDE w:val="0"/>
              <w:autoSpaceDN w:val="0"/>
              <w:spacing w:before="42" w:line="276" w:lineRule="auto"/>
              <w:ind w:left="164" w:right="97" w:hanging="164"/>
              <w:rPr>
                <w:sz w:val="20"/>
                <w:szCs w:val="20"/>
                <w:lang w:val="fr-FR"/>
              </w:rPr>
            </w:pPr>
            <w:r w:rsidRPr="002C5EA5">
              <w:rPr>
                <w:sz w:val="20"/>
                <w:szCs w:val="20"/>
                <w:lang w:val="fr-FR"/>
              </w:rPr>
              <w:t>Mettre en place un plan de prévention contre la COVID-19 ;</w:t>
            </w:r>
          </w:p>
          <w:p w14:paraId="3687A688" w14:textId="77777777" w:rsidR="009021F1" w:rsidRPr="002C5EA5" w:rsidRDefault="009021F1" w:rsidP="00E637E3">
            <w:pPr>
              <w:pStyle w:val="TableParagraph"/>
              <w:numPr>
                <w:ilvl w:val="0"/>
                <w:numId w:val="49"/>
              </w:numPr>
              <w:autoSpaceDE w:val="0"/>
              <w:autoSpaceDN w:val="0"/>
              <w:spacing w:before="42" w:line="276" w:lineRule="auto"/>
              <w:ind w:left="164" w:right="97" w:hanging="164"/>
              <w:rPr>
                <w:sz w:val="20"/>
                <w:szCs w:val="20"/>
                <w:lang w:val="fr-FR"/>
              </w:rPr>
            </w:pPr>
            <w:r w:rsidRPr="002C5EA5">
              <w:rPr>
                <w:sz w:val="20"/>
                <w:szCs w:val="20"/>
                <w:lang w:val="fr-FR"/>
              </w:rPr>
              <w:t>Sensibiliser les travailleurs et les populations riveraines sur la lutte contre la COVID19 ;</w:t>
            </w:r>
          </w:p>
          <w:p w14:paraId="0D0C7B76" w14:textId="77777777" w:rsidR="009021F1" w:rsidRPr="002C5EA5" w:rsidRDefault="009021F1" w:rsidP="00E637E3">
            <w:pPr>
              <w:pStyle w:val="TableParagraph"/>
              <w:numPr>
                <w:ilvl w:val="0"/>
                <w:numId w:val="49"/>
              </w:numPr>
              <w:autoSpaceDE w:val="0"/>
              <w:autoSpaceDN w:val="0"/>
              <w:spacing w:before="42" w:line="276" w:lineRule="auto"/>
              <w:ind w:left="164" w:right="97" w:hanging="164"/>
              <w:rPr>
                <w:sz w:val="20"/>
                <w:szCs w:val="20"/>
                <w:lang w:val="fr-FR"/>
              </w:rPr>
            </w:pPr>
            <w:r w:rsidRPr="002C5EA5">
              <w:rPr>
                <w:sz w:val="20"/>
                <w:szCs w:val="20"/>
                <w:lang w:val="fr-FR"/>
              </w:rPr>
              <w:t xml:space="preserve">Port obligatoire des masques médicalisés ou tous les autres masques fabriqués localement ; </w:t>
            </w:r>
          </w:p>
          <w:p w14:paraId="32E91F5B" w14:textId="77777777" w:rsidR="009021F1" w:rsidRPr="002C5EA5" w:rsidRDefault="009021F1" w:rsidP="00E637E3">
            <w:pPr>
              <w:pStyle w:val="TableParagraph"/>
              <w:numPr>
                <w:ilvl w:val="0"/>
                <w:numId w:val="49"/>
              </w:numPr>
              <w:autoSpaceDE w:val="0"/>
              <w:autoSpaceDN w:val="0"/>
              <w:spacing w:before="42" w:line="276" w:lineRule="auto"/>
              <w:ind w:left="164" w:right="97" w:hanging="164"/>
              <w:rPr>
                <w:sz w:val="20"/>
                <w:szCs w:val="20"/>
                <w:lang w:val="fr-FR"/>
              </w:rPr>
            </w:pPr>
            <w:r w:rsidRPr="002C5EA5">
              <w:rPr>
                <w:sz w:val="20"/>
                <w:szCs w:val="20"/>
                <w:lang w:val="fr-FR"/>
              </w:rPr>
              <w:t>Confinement des personnes contaminées par la COVID-19 ;</w:t>
            </w:r>
          </w:p>
          <w:p w14:paraId="3464B675" w14:textId="77777777" w:rsidR="009021F1" w:rsidRPr="002C5EA5" w:rsidRDefault="009021F1" w:rsidP="00E637E3">
            <w:pPr>
              <w:pStyle w:val="TableParagraph"/>
              <w:numPr>
                <w:ilvl w:val="0"/>
                <w:numId w:val="49"/>
              </w:numPr>
              <w:autoSpaceDE w:val="0"/>
              <w:autoSpaceDN w:val="0"/>
              <w:spacing w:before="42" w:line="276" w:lineRule="auto"/>
              <w:ind w:left="164" w:right="97" w:hanging="164"/>
              <w:rPr>
                <w:sz w:val="20"/>
                <w:szCs w:val="20"/>
                <w:lang w:val="fr-FR"/>
              </w:rPr>
            </w:pPr>
            <w:r w:rsidRPr="002C5EA5">
              <w:rPr>
                <w:sz w:val="20"/>
                <w:szCs w:val="20"/>
                <w:lang w:val="fr-FR"/>
              </w:rPr>
              <w:t>Observer les mesures barrières dont :</w:t>
            </w:r>
          </w:p>
          <w:p w14:paraId="16B87C86" w14:textId="77777777" w:rsidR="009021F1" w:rsidRPr="002C5EA5" w:rsidRDefault="009021F1" w:rsidP="00E637E3">
            <w:pPr>
              <w:pStyle w:val="Paragraphedeliste"/>
              <w:numPr>
                <w:ilvl w:val="0"/>
                <w:numId w:val="50"/>
              </w:numPr>
              <w:rPr>
                <w:rFonts w:cs="Arial"/>
                <w:sz w:val="20"/>
                <w:szCs w:val="20"/>
              </w:rPr>
            </w:pPr>
            <w:r w:rsidRPr="002C5EA5">
              <w:rPr>
                <w:rFonts w:cs="Arial"/>
                <w:sz w:val="20"/>
                <w:szCs w:val="20"/>
              </w:rPr>
              <w:t>Lavage des mains plusieurs fois/jours, fréquemment et correctement avec du savon ou mettre du gel hydro alcoolique pour éviter les microbes ;</w:t>
            </w:r>
          </w:p>
          <w:p w14:paraId="3E8DE83D" w14:textId="77777777" w:rsidR="009021F1" w:rsidRPr="002C5EA5" w:rsidRDefault="009021F1" w:rsidP="00E637E3">
            <w:pPr>
              <w:pStyle w:val="Paragraphedeliste"/>
              <w:numPr>
                <w:ilvl w:val="0"/>
                <w:numId w:val="50"/>
              </w:numPr>
              <w:rPr>
                <w:rFonts w:cs="Arial"/>
                <w:sz w:val="20"/>
                <w:szCs w:val="20"/>
              </w:rPr>
            </w:pPr>
            <w:r w:rsidRPr="002C5EA5">
              <w:rPr>
                <w:rFonts w:cs="Arial"/>
                <w:sz w:val="20"/>
                <w:szCs w:val="20"/>
              </w:rPr>
              <w:t>Maintenir une distanciation sociale (±1 mètre) ;</w:t>
            </w:r>
          </w:p>
          <w:p w14:paraId="6513318B" w14:textId="77777777" w:rsidR="009021F1" w:rsidRPr="002C5EA5" w:rsidRDefault="009021F1" w:rsidP="00E637E3">
            <w:pPr>
              <w:pStyle w:val="TableParagraph"/>
              <w:numPr>
                <w:ilvl w:val="0"/>
                <w:numId w:val="49"/>
              </w:numPr>
              <w:autoSpaceDE w:val="0"/>
              <w:autoSpaceDN w:val="0"/>
              <w:spacing w:before="42" w:line="276" w:lineRule="auto"/>
              <w:ind w:left="164" w:right="97" w:hanging="164"/>
              <w:rPr>
                <w:sz w:val="20"/>
                <w:szCs w:val="20"/>
                <w:lang w:val="fr-FR"/>
              </w:rPr>
            </w:pPr>
            <w:r w:rsidRPr="002C5EA5">
              <w:rPr>
                <w:sz w:val="20"/>
                <w:szCs w:val="20"/>
                <w:lang w:val="fr-FR"/>
              </w:rPr>
              <w:t>Observer les règles d’hygiène respiratoire :</w:t>
            </w:r>
          </w:p>
          <w:p w14:paraId="2C6082FB" w14:textId="77777777" w:rsidR="009021F1" w:rsidRPr="002C5EA5" w:rsidRDefault="009021F1" w:rsidP="00E637E3">
            <w:pPr>
              <w:pStyle w:val="Paragraphedeliste"/>
              <w:numPr>
                <w:ilvl w:val="0"/>
                <w:numId w:val="50"/>
              </w:numPr>
              <w:rPr>
                <w:rFonts w:cs="Arial"/>
                <w:sz w:val="20"/>
                <w:szCs w:val="20"/>
              </w:rPr>
            </w:pPr>
            <w:r w:rsidRPr="002C5EA5">
              <w:rPr>
                <w:rFonts w:cs="Arial"/>
                <w:sz w:val="20"/>
                <w:szCs w:val="20"/>
              </w:rPr>
              <w:t>Eviter de se saluer en se serrant la main ou se donner la bise.</w:t>
            </w:r>
          </w:p>
          <w:p w14:paraId="0D8D96BA" w14:textId="77777777" w:rsidR="009021F1" w:rsidRPr="002C5EA5" w:rsidRDefault="009021F1" w:rsidP="00E637E3">
            <w:pPr>
              <w:pStyle w:val="Paragraphedeliste"/>
              <w:numPr>
                <w:ilvl w:val="0"/>
                <w:numId w:val="50"/>
              </w:numPr>
              <w:rPr>
                <w:rFonts w:cs="Arial"/>
                <w:sz w:val="20"/>
                <w:szCs w:val="20"/>
              </w:rPr>
            </w:pPr>
            <w:r w:rsidRPr="002C5EA5">
              <w:rPr>
                <w:rFonts w:cs="Arial"/>
                <w:sz w:val="20"/>
                <w:szCs w:val="20"/>
              </w:rPr>
              <w:t>Éviter de se toucher la bouche, le nez et les yeux : nez, yeux et bouches sont autant de "portes d'entrée" possibles au virus. En période de la pandémie, il est préférable d'éviter au maximum de se toucher le visage avec les mains, potentiellement contaminées.</w:t>
            </w:r>
          </w:p>
          <w:p w14:paraId="0BDC1240" w14:textId="77777777" w:rsidR="009021F1" w:rsidRPr="002C5EA5" w:rsidRDefault="009021F1" w:rsidP="00E637E3">
            <w:pPr>
              <w:pStyle w:val="Paragraphedeliste"/>
              <w:numPr>
                <w:ilvl w:val="0"/>
                <w:numId w:val="50"/>
              </w:numPr>
              <w:rPr>
                <w:rFonts w:cs="Arial"/>
                <w:sz w:val="20"/>
                <w:szCs w:val="20"/>
              </w:rPr>
            </w:pPr>
            <w:r w:rsidRPr="002C5EA5">
              <w:rPr>
                <w:rFonts w:cs="Arial"/>
                <w:sz w:val="20"/>
                <w:szCs w:val="20"/>
              </w:rPr>
              <w:t>Mettre en place un numéro vert ;</w:t>
            </w:r>
          </w:p>
          <w:p w14:paraId="14B4C8F7" w14:textId="77777777" w:rsidR="009021F1" w:rsidRPr="002C5EA5" w:rsidRDefault="009021F1" w:rsidP="00E637E3">
            <w:pPr>
              <w:pStyle w:val="Paragraphedeliste"/>
              <w:numPr>
                <w:ilvl w:val="0"/>
                <w:numId w:val="50"/>
              </w:numPr>
              <w:rPr>
                <w:rFonts w:cs="Arial"/>
                <w:sz w:val="20"/>
                <w:szCs w:val="20"/>
              </w:rPr>
            </w:pPr>
            <w:r w:rsidRPr="002C5EA5">
              <w:rPr>
                <w:rFonts w:cs="Arial"/>
                <w:sz w:val="20"/>
                <w:szCs w:val="20"/>
              </w:rPr>
              <w:t>Se couvrir la bouche et le nez avec le pli du coude ou avec un mouchoir en cas de toux ou d'éternuement – jeter le mouchoir immédiatement après dans une poubelle fermée et se laver les mains avec une solution hydro alcoolique ou à l'eau et au savon. Se couvrir la bouche et le nez en cas de toux ou d'éternuement permet d'éviter la propagation des virus et autres agents pathogènes ;</w:t>
            </w:r>
          </w:p>
          <w:p w14:paraId="768E698B" w14:textId="77777777" w:rsidR="009021F1" w:rsidRPr="002C5EA5" w:rsidRDefault="009021F1" w:rsidP="00E637E3">
            <w:pPr>
              <w:pStyle w:val="TableParagraph"/>
              <w:numPr>
                <w:ilvl w:val="0"/>
                <w:numId w:val="49"/>
              </w:numPr>
              <w:autoSpaceDE w:val="0"/>
              <w:autoSpaceDN w:val="0"/>
              <w:spacing w:before="42" w:line="276" w:lineRule="auto"/>
              <w:ind w:left="164" w:right="97" w:hanging="164"/>
              <w:rPr>
                <w:sz w:val="20"/>
                <w:szCs w:val="20"/>
                <w:lang w:val="fr-FR"/>
              </w:rPr>
            </w:pPr>
            <w:r w:rsidRPr="002C5EA5">
              <w:rPr>
                <w:sz w:val="20"/>
                <w:szCs w:val="20"/>
                <w:lang w:val="fr-FR"/>
              </w:rPr>
              <w:t xml:space="preserve">Tenir compte de la situation de la femme face à la COVID-19. </w:t>
            </w:r>
          </w:p>
        </w:tc>
      </w:tr>
    </w:tbl>
    <w:p w14:paraId="0B678367" w14:textId="77777777" w:rsidR="009021F1" w:rsidRDefault="009021F1" w:rsidP="009021F1">
      <w:pPr>
        <w:pStyle w:val="Titre2"/>
        <w:ind w:left="1560"/>
        <w:rPr>
          <w:rFonts w:cs="Arial"/>
          <w:i/>
          <w:szCs w:val="21"/>
        </w:rPr>
      </w:pPr>
    </w:p>
    <w:p w14:paraId="1D28BB9F" w14:textId="77777777" w:rsidR="009021F1" w:rsidRPr="002C5EA5" w:rsidRDefault="009021F1" w:rsidP="009021F1"/>
    <w:p w14:paraId="3EB274E4" w14:textId="77777777" w:rsidR="009021F1" w:rsidRPr="002C5EA5" w:rsidRDefault="009021F1" w:rsidP="009021F1">
      <w:pPr>
        <w:pStyle w:val="Titre2"/>
        <w:numPr>
          <w:ilvl w:val="2"/>
          <w:numId w:val="4"/>
        </w:numPr>
        <w:ind w:left="1560" w:hanging="709"/>
        <w:rPr>
          <w:rFonts w:cs="Arial"/>
          <w:i/>
          <w:szCs w:val="21"/>
        </w:rPr>
      </w:pPr>
      <w:bookmarkStart w:id="401" w:name="_Toc90471507"/>
      <w:r w:rsidRPr="002C5EA5">
        <w:rPr>
          <w:rFonts w:cs="Arial"/>
          <w:i/>
          <w:szCs w:val="21"/>
        </w:rPr>
        <w:t>Procédure en cas de découverte fortuite</w:t>
      </w:r>
      <w:bookmarkEnd w:id="401"/>
    </w:p>
    <w:p w14:paraId="5F3B1629" w14:textId="77777777" w:rsidR="009021F1" w:rsidRPr="002C5EA5" w:rsidRDefault="009021F1" w:rsidP="009021F1">
      <w:pPr>
        <w:rPr>
          <w:rFonts w:cs="Arial"/>
          <w:szCs w:val="21"/>
        </w:rPr>
      </w:pPr>
    </w:p>
    <w:p w14:paraId="78CDF9BC" w14:textId="77777777" w:rsidR="009021F1" w:rsidRPr="002C5EA5" w:rsidRDefault="009021F1" w:rsidP="009021F1">
      <w:pPr>
        <w:rPr>
          <w:rFonts w:cs="Arial"/>
          <w:szCs w:val="21"/>
        </w:rPr>
      </w:pPr>
      <w:r w:rsidRPr="002C5EA5">
        <w:rPr>
          <w:rFonts w:cs="Arial"/>
          <w:szCs w:val="21"/>
        </w:rPr>
        <w:t>Pour les projets de génie civil comportant des travaux d’excavation, des procédures sont normalement prévues en cas de « découverte fortuite</w:t>
      </w:r>
      <w:r w:rsidRPr="002C5EA5">
        <w:rPr>
          <w:rStyle w:val="Appelnotedebasdep"/>
          <w:rFonts w:cs="Arial"/>
          <w:szCs w:val="21"/>
        </w:rPr>
        <w:footnoteReference w:id="18"/>
      </w:r>
      <w:r w:rsidRPr="002C5EA5">
        <w:rPr>
          <w:rFonts w:cs="Arial"/>
          <w:szCs w:val="21"/>
        </w:rPr>
        <w:t xml:space="preserve"> » de biens culturels physiques enfouis. </w:t>
      </w:r>
    </w:p>
    <w:p w14:paraId="10F28F25" w14:textId="77777777" w:rsidR="009021F1" w:rsidRPr="002C5EA5" w:rsidRDefault="009021F1" w:rsidP="009021F1">
      <w:pPr>
        <w:rPr>
          <w:rFonts w:cs="Arial"/>
          <w:szCs w:val="21"/>
        </w:rPr>
      </w:pPr>
    </w:p>
    <w:p w14:paraId="446A3D02" w14:textId="77777777" w:rsidR="009021F1" w:rsidRPr="002C5EA5" w:rsidRDefault="009021F1" w:rsidP="009021F1">
      <w:pPr>
        <w:rPr>
          <w:rFonts w:cs="Arial"/>
          <w:szCs w:val="21"/>
        </w:rPr>
      </w:pPr>
      <w:r w:rsidRPr="002C5EA5">
        <w:rPr>
          <w:rFonts w:cs="Arial"/>
          <w:szCs w:val="21"/>
        </w:rPr>
        <w:t>Les procédures arrêtées dépendent du cadre réglementaire locale qui tient compte notamment des dispositions législatives applicables à la découverte fortuite d’antiquité sous de biens archéologiques.</w:t>
      </w:r>
    </w:p>
    <w:p w14:paraId="3AB342E7" w14:textId="77777777" w:rsidR="009021F1" w:rsidRPr="002C5EA5" w:rsidRDefault="009021F1" w:rsidP="009021F1">
      <w:pPr>
        <w:rPr>
          <w:rFonts w:cs="Arial"/>
          <w:szCs w:val="21"/>
        </w:rPr>
      </w:pPr>
    </w:p>
    <w:p w14:paraId="0A1A7535" w14:textId="77777777" w:rsidR="009021F1" w:rsidRPr="002C5EA5" w:rsidRDefault="009021F1" w:rsidP="009021F1">
      <w:pPr>
        <w:rPr>
          <w:rFonts w:cs="Arial"/>
          <w:szCs w:val="21"/>
        </w:rPr>
      </w:pPr>
      <w:r w:rsidRPr="002C5EA5">
        <w:rPr>
          <w:rFonts w:cs="Arial"/>
          <w:szCs w:val="21"/>
        </w:rPr>
        <w:t>Note : Les recommandations générales ci-après s’appliquent aux situations dans lesquelles il sera fait appel à un archéologue. Dans les situations exceptionnelles où les travaux d’excavation sont effectués dans des régions riches en biens culturels physiques, comme un site du patrimoine mondial de l’UNESCO, un archéologue est généralement présent sur place pour surveiller les fouilles et prendre les décisions qui s’imposent. Dans ce cas, les procédures doivent être modifiées en conséquence, avec l’accord des autorités chargées des questions culturelles.</w:t>
      </w:r>
    </w:p>
    <w:p w14:paraId="340F2B33" w14:textId="77777777" w:rsidR="009021F1" w:rsidRPr="002C5EA5" w:rsidRDefault="009021F1" w:rsidP="009021F1">
      <w:pPr>
        <w:rPr>
          <w:rFonts w:cs="Arial"/>
          <w:szCs w:val="21"/>
        </w:rPr>
      </w:pPr>
    </w:p>
    <w:p w14:paraId="44F91F2A" w14:textId="77777777" w:rsidR="009021F1" w:rsidRPr="002C5EA5" w:rsidRDefault="009021F1" w:rsidP="009021F1">
      <w:pPr>
        <w:rPr>
          <w:rFonts w:cs="Arial"/>
          <w:szCs w:val="21"/>
        </w:rPr>
      </w:pPr>
      <w:r w:rsidRPr="002C5EA5">
        <w:rPr>
          <w:rFonts w:cs="Arial"/>
          <w:szCs w:val="21"/>
        </w:rPr>
        <w:t>Les procédures applicables aux découvertes fortuites comprennent généralement les éléments ci-après :</w:t>
      </w:r>
    </w:p>
    <w:p w14:paraId="242D6DB8" w14:textId="77777777" w:rsidR="009021F1" w:rsidRPr="002C5EA5" w:rsidRDefault="009021F1" w:rsidP="009021F1">
      <w:pPr>
        <w:rPr>
          <w:rFonts w:cs="Arial"/>
          <w:szCs w:val="21"/>
        </w:rPr>
      </w:pPr>
    </w:p>
    <w:p w14:paraId="7DD6EF0D" w14:textId="77777777" w:rsidR="009021F1" w:rsidRPr="002C5EA5" w:rsidRDefault="009021F1" w:rsidP="009021F1">
      <w:pPr>
        <w:pStyle w:val="Paragraphedeliste"/>
        <w:numPr>
          <w:ilvl w:val="0"/>
          <w:numId w:val="53"/>
        </w:numPr>
        <w:rPr>
          <w:rFonts w:cs="Arial"/>
          <w:szCs w:val="21"/>
        </w:rPr>
      </w:pPr>
      <w:r w:rsidRPr="002C5EA5">
        <w:rPr>
          <w:rFonts w:cs="Arial"/>
          <w:szCs w:val="21"/>
        </w:rPr>
        <w:t>Définition des biens culturels physiques</w:t>
      </w:r>
    </w:p>
    <w:p w14:paraId="399DC34E" w14:textId="77777777" w:rsidR="009021F1" w:rsidRPr="002C5EA5" w:rsidRDefault="009021F1" w:rsidP="009021F1">
      <w:pPr>
        <w:rPr>
          <w:rFonts w:cs="Arial"/>
          <w:szCs w:val="21"/>
        </w:rPr>
      </w:pPr>
    </w:p>
    <w:p w14:paraId="745A4B4B" w14:textId="77777777" w:rsidR="009021F1" w:rsidRPr="002C5EA5" w:rsidRDefault="009021F1" w:rsidP="009021F1">
      <w:pPr>
        <w:rPr>
          <w:rFonts w:cs="Arial"/>
          <w:szCs w:val="21"/>
        </w:rPr>
      </w:pPr>
      <w:r w:rsidRPr="002C5EA5">
        <w:rPr>
          <w:rFonts w:cs="Arial"/>
          <w:szCs w:val="21"/>
        </w:rPr>
        <w:t>Les biens culturels physiques sont définis comme : « objets mobiliers ou immobiliers, sites, ouvrages ou groupes d’ouvrages ayant une valeur archéologique, paléontologique, historique, architecturale, religieuse, esthétique ou autre ».</w:t>
      </w:r>
    </w:p>
    <w:p w14:paraId="470772C8" w14:textId="77777777" w:rsidR="009021F1" w:rsidRPr="002C5EA5" w:rsidRDefault="009021F1" w:rsidP="009021F1">
      <w:pPr>
        <w:rPr>
          <w:rFonts w:cs="Arial"/>
          <w:szCs w:val="21"/>
        </w:rPr>
      </w:pPr>
    </w:p>
    <w:p w14:paraId="03CB4A49" w14:textId="77777777" w:rsidR="009021F1" w:rsidRPr="002C5EA5" w:rsidRDefault="009021F1" w:rsidP="009021F1">
      <w:pPr>
        <w:pStyle w:val="Paragraphedeliste"/>
        <w:numPr>
          <w:ilvl w:val="0"/>
          <w:numId w:val="53"/>
        </w:numPr>
        <w:rPr>
          <w:rFonts w:cs="Arial"/>
          <w:szCs w:val="21"/>
        </w:rPr>
      </w:pPr>
      <w:r w:rsidRPr="002C5EA5">
        <w:rPr>
          <w:rFonts w:cs="Arial"/>
          <w:szCs w:val="21"/>
        </w:rPr>
        <w:t>Propriété</w:t>
      </w:r>
    </w:p>
    <w:p w14:paraId="28ED8E04" w14:textId="77777777" w:rsidR="009021F1" w:rsidRPr="002C5EA5" w:rsidRDefault="009021F1" w:rsidP="009021F1">
      <w:pPr>
        <w:rPr>
          <w:rFonts w:cs="Arial"/>
          <w:szCs w:val="21"/>
        </w:rPr>
      </w:pPr>
    </w:p>
    <w:p w14:paraId="3C6DEB79" w14:textId="77777777" w:rsidR="009021F1" w:rsidRPr="002C5EA5" w:rsidRDefault="009021F1" w:rsidP="009021F1">
      <w:pPr>
        <w:rPr>
          <w:rFonts w:cs="Arial"/>
          <w:szCs w:val="21"/>
        </w:rPr>
      </w:pPr>
      <w:r w:rsidRPr="002C5EA5">
        <w:rPr>
          <w:rFonts w:cs="Arial"/>
          <w:szCs w:val="21"/>
        </w:rPr>
        <w:t>Selon les circonstances, une propriété peut être l’Administration locale, l’État, une Institution religieuse ou le propriétaire du site. Il arrive également que l’identité du propriétaire soit déterminée ultérieurement par les autorités compétentes.</w:t>
      </w:r>
    </w:p>
    <w:p w14:paraId="5FEF4763" w14:textId="77777777" w:rsidR="009021F1" w:rsidRPr="002C5EA5" w:rsidRDefault="009021F1" w:rsidP="009021F1">
      <w:pPr>
        <w:rPr>
          <w:rFonts w:cs="Arial"/>
          <w:szCs w:val="21"/>
        </w:rPr>
      </w:pPr>
    </w:p>
    <w:p w14:paraId="79929746" w14:textId="77777777" w:rsidR="009021F1" w:rsidRPr="002C5EA5" w:rsidRDefault="009021F1" w:rsidP="009021F1">
      <w:pPr>
        <w:pStyle w:val="Paragraphedeliste"/>
        <w:numPr>
          <w:ilvl w:val="0"/>
          <w:numId w:val="53"/>
        </w:numPr>
        <w:rPr>
          <w:rFonts w:cs="Arial"/>
          <w:szCs w:val="21"/>
        </w:rPr>
      </w:pPr>
      <w:r w:rsidRPr="002C5EA5">
        <w:rPr>
          <w:rFonts w:cs="Arial"/>
          <w:szCs w:val="21"/>
        </w:rPr>
        <w:t>Reconnaissance</w:t>
      </w:r>
    </w:p>
    <w:p w14:paraId="07C2515E" w14:textId="77777777" w:rsidR="009021F1" w:rsidRPr="002C5EA5" w:rsidRDefault="009021F1" w:rsidP="009021F1">
      <w:pPr>
        <w:rPr>
          <w:rFonts w:cs="Arial"/>
          <w:szCs w:val="21"/>
        </w:rPr>
      </w:pPr>
    </w:p>
    <w:p w14:paraId="44B83D38" w14:textId="77777777" w:rsidR="009021F1" w:rsidRPr="002C5EA5" w:rsidRDefault="009021F1" w:rsidP="009021F1">
      <w:pPr>
        <w:rPr>
          <w:rFonts w:cs="Arial"/>
          <w:szCs w:val="21"/>
        </w:rPr>
      </w:pPr>
      <w:r w:rsidRPr="002C5EA5">
        <w:rPr>
          <w:rFonts w:cs="Arial"/>
          <w:szCs w:val="21"/>
        </w:rPr>
        <w:t>Si la manière par laquelle l’entreprise reconnaîtra un bien culturel physique n’est pas spécifiée, l’entreprise peut exiger une clause limitative de responsabilité.</w:t>
      </w:r>
    </w:p>
    <w:p w14:paraId="6B115E6A" w14:textId="77777777" w:rsidR="009021F1" w:rsidRPr="002C5EA5" w:rsidRDefault="009021F1" w:rsidP="009021F1">
      <w:pPr>
        <w:rPr>
          <w:rFonts w:cs="Arial"/>
          <w:szCs w:val="21"/>
        </w:rPr>
      </w:pPr>
    </w:p>
    <w:p w14:paraId="145FF6E1" w14:textId="77777777" w:rsidR="009021F1" w:rsidRPr="002C5EA5" w:rsidRDefault="009021F1" w:rsidP="009021F1">
      <w:pPr>
        <w:pStyle w:val="Paragraphedeliste"/>
        <w:numPr>
          <w:ilvl w:val="0"/>
          <w:numId w:val="53"/>
        </w:numPr>
        <w:rPr>
          <w:rFonts w:cs="Arial"/>
          <w:szCs w:val="21"/>
        </w:rPr>
      </w:pPr>
      <w:r w:rsidRPr="002C5EA5">
        <w:rPr>
          <w:rFonts w:cs="Arial"/>
          <w:szCs w:val="21"/>
        </w:rPr>
        <w:t>Procédure applicable en cas de découverte</w:t>
      </w:r>
    </w:p>
    <w:p w14:paraId="408EDEA5" w14:textId="77777777" w:rsidR="009021F1" w:rsidRPr="002C5EA5" w:rsidRDefault="009021F1" w:rsidP="009021F1">
      <w:pPr>
        <w:pStyle w:val="Paragraphedeliste"/>
        <w:rPr>
          <w:rFonts w:cs="Arial"/>
          <w:szCs w:val="21"/>
        </w:rPr>
      </w:pPr>
    </w:p>
    <w:p w14:paraId="44002FAA" w14:textId="77777777" w:rsidR="009021F1" w:rsidRPr="002C5EA5" w:rsidRDefault="009021F1" w:rsidP="009021F1">
      <w:pPr>
        <w:pStyle w:val="Paragraphedeliste"/>
        <w:numPr>
          <w:ilvl w:val="0"/>
          <w:numId w:val="54"/>
        </w:numPr>
        <w:rPr>
          <w:rFonts w:cs="Arial"/>
          <w:szCs w:val="21"/>
        </w:rPr>
      </w:pPr>
      <w:r w:rsidRPr="002C5EA5">
        <w:rPr>
          <w:rFonts w:cs="Arial"/>
          <w:szCs w:val="21"/>
        </w:rPr>
        <w:t xml:space="preserve">Suspension des travaux : </w:t>
      </w:r>
    </w:p>
    <w:p w14:paraId="563170C9" w14:textId="77777777" w:rsidR="009021F1" w:rsidRPr="002C5EA5" w:rsidRDefault="009021F1" w:rsidP="009021F1">
      <w:pPr>
        <w:rPr>
          <w:rFonts w:cs="Arial"/>
          <w:szCs w:val="21"/>
        </w:rPr>
      </w:pPr>
    </w:p>
    <w:p w14:paraId="41C0BBAA" w14:textId="77777777" w:rsidR="009021F1" w:rsidRPr="002C5EA5" w:rsidRDefault="009021F1" w:rsidP="009021F1">
      <w:pPr>
        <w:rPr>
          <w:rFonts w:cs="Arial"/>
          <w:szCs w:val="21"/>
        </w:rPr>
      </w:pPr>
      <w:r w:rsidRPr="002C5EA5">
        <w:rPr>
          <w:rFonts w:cs="Arial"/>
          <w:szCs w:val="21"/>
        </w:rPr>
        <w:t>Après la suspension des travaux, l’entreprise doit immédiatement signaler la découverte à l’ingénieur résident. Il se peut que l’entreprise ne soit pas en droit de réclamer une indemnisation pour la période de suspension des travaux.</w:t>
      </w:r>
    </w:p>
    <w:p w14:paraId="19EC5123" w14:textId="77777777" w:rsidR="009021F1" w:rsidRPr="002C5EA5" w:rsidRDefault="009021F1" w:rsidP="009021F1">
      <w:pPr>
        <w:rPr>
          <w:rFonts w:cs="Arial"/>
          <w:szCs w:val="21"/>
        </w:rPr>
      </w:pPr>
    </w:p>
    <w:p w14:paraId="19F1602B" w14:textId="77777777" w:rsidR="009021F1" w:rsidRPr="002C5EA5" w:rsidRDefault="009021F1" w:rsidP="009021F1">
      <w:pPr>
        <w:rPr>
          <w:rFonts w:cs="Arial"/>
          <w:szCs w:val="21"/>
        </w:rPr>
      </w:pPr>
      <w:r w:rsidRPr="002C5EA5">
        <w:rPr>
          <w:rFonts w:cs="Arial"/>
          <w:szCs w:val="21"/>
        </w:rPr>
        <w:t>L’ingénieur résident peut être habilité à suspendre les travaux et à demander à l’entreprise de procéder à des fouilles à ses propres frais s’il estime qu’une découverte qui vient d’être faite n’a pas été signalée.</w:t>
      </w:r>
    </w:p>
    <w:p w14:paraId="5C030ACA" w14:textId="77777777" w:rsidR="009021F1" w:rsidRPr="002C5EA5" w:rsidRDefault="009021F1" w:rsidP="009021F1">
      <w:pPr>
        <w:rPr>
          <w:rFonts w:cs="Arial"/>
          <w:szCs w:val="21"/>
        </w:rPr>
      </w:pPr>
    </w:p>
    <w:p w14:paraId="7BC1D7EC" w14:textId="77777777" w:rsidR="009021F1" w:rsidRPr="002C5EA5" w:rsidRDefault="009021F1" w:rsidP="009021F1">
      <w:pPr>
        <w:pStyle w:val="Paragraphedeliste"/>
        <w:numPr>
          <w:ilvl w:val="0"/>
          <w:numId w:val="54"/>
        </w:numPr>
        <w:rPr>
          <w:rFonts w:cs="Arial"/>
          <w:szCs w:val="21"/>
        </w:rPr>
      </w:pPr>
      <w:r w:rsidRPr="002C5EA5">
        <w:rPr>
          <w:rFonts w:cs="Arial"/>
          <w:szCs w:val="21"/>
        </w:rPr>
        <w:t>Délimitation du site de la découverte</w:t>
      </w:r>
    </w:p>
    <w:p w14:paraId="56857231" w14:textId="77777777" w:rsidR="009021F1" w:rsidRPr="002C5EA5" w:rsidRDefault="009021F1" w:rsidP="009021F1">
      <w:pPr>
        <w:rPr>
          <w:rFonts w:cs="Arial"/>
          <w:szCs w:val="21"/>
        </w:rPr>
      </w:pPr>
    </w:p>
    <w:p w14:paraId="587AAC93" w14:textId="77777777" w:rsidR="009021F1" w:rsidRPr="002C5EA5" w:rsidRDefault="009021F1" w:rsidP="009021F1">
      <w:pPr>
        <w:rPr>
          <w:rFonts w:cs="Arial"/>
          <w:szCs w:val="21"/>
        </w:rPr>
      </w:pPr>
      <w:r w:rsidRPr="002C5EA5">
        <w:rPr>
          <w:rFonts w:cs="Arial"/>
          <w:szCs w:val="21"/>
        </w:rPr>
        <w:t>Avec l’approbation de l’ingénieur résident, il est ensuite demandé à l’entreprise de délimiter temporairement le site et d’y restreindre l’accès.</w:t>
      </w:r>
    </w:p>
    <w:p w14:paraId="753B5705" w14:textId="77777777" w:rsidR="009021F1" w:rsidRPr="002C5EA5" w:rsidRDefault="009021F1" w:rsidP="009021F1">
      <w:pPr>
        <w:rPr>
          <w:rFonts w:cs="Arial"/>
          <w:szCs w:val="21"/>
        </w:rPr>
      </w:pPr>
    </w:p>
    <w:p w14:paraId="00864FEF" w14:textId="77777777" w:rsidR="009021F1" w:rsidRPr="002C5EA5" w:rsidRDefault="009021F1" w:rsidP="009021F1">
      <w:pPr>
        <w:pStyle w:val="Paragraphedeliste"/>
        <w:numPr>
          <w:ilvl w:val="0"/>
          <w:numId w:val="54"/>
        </w:numPr>
        <w:rPr>
          <w:rFonts w:cs="Arial"/>
          <w:szCs w:val="21"/>
        </w:rPr>
      </w:pPr>
      <w:r w:rsidRPr="002C5EA5">
        <w:rPr>
          <w:rFonts w:cs="Arial"/>
          <w:szCs w:val="21"/>
        </w:rPr>
        <w:t xml:space="preserve"> Non suspension des travaux</w:t>
      </w:r>
    </w:p>
    <w:p w14:paraId="3BB533B4" w14:textId="77777777" w:rsidR="009021F1" w:rsidRPr="002C5EA5" w:rsidRDefault="009021F1" w:rsidP="009021F1">
      <w:pPr>
        <w:rPr>
          <w:rFonts w:cs="Arial"/>
          <w:szCs w:val="21"/>
        </w:rPr>
      </w:pPr>
      <w:r w:rsidRPr="002C5EA5">
        <w:rPr>
          <w:rFonts w:cs="Arial"/>
          <w:szCs w:val="21"/>
        </w:rPr>
        <w:t>La procédure peut autoriser l’ingénieur résident à déterminer si le bien culturel physique peut être transporté ailleurs avant de poursuivre les travaux, par exemple si l’objet découvert est une pièce de monnaie.</w:t>
      </w:r>
    </w:p>
    <w:p w14:paraId="318D5CDB" w14:textId="77777777" w:rsidR="009021F1" w:rsidRPr="002C5EA5" w:rsidRDefault="009021F1" w:rsidP="009021F1">
      <w:pPr>
        <w:rPr>
          <w:rFonts w:cs="Arial"/>
          <w:szCs w:val="21"/>
        </w:rPr>
      </w:pPr>
    </w:p>
    <w:p w14:paraId="1730020C" w14:textId="77777777" w:rsidR="009021F1" w:rsidRPr="002C5EA5" w:rsidRDefault="009021F1" w:rsidP="009021F1">
      <w:pPr>
        <w:pStyle w:val="Paragraphedeliste"/>
        <w:numPr>
          <w:ilvl w:val="0"/>
          <w:numId w:val="54"/>
        </w:numPr>
        <w:rPr>
          <w:rFonts w:cs="Arial"/>
          <w:szCs w:val="21"/>
        </w:rPr>
      </w:pPr>
      <w:r w:rsidRPr="002C5EA5">
        <w:rPr>
          <w:rFonts w:cs="Arial"/>
          <w:szCs w:val="21"/>
        </w:rPr>
        <w:t>Rapport de découverte fortuite</w:t>
      </w:r>
    </w:p>
    <w:p w14:paraId="27CB3A96" w14:textId="77777777" w:rsidR="009021F1" w:rsidRPr="002C5EA5" w:rsidRDefault="009021F1" w:rsidP="009021F1">
      <w:pPr>
        <w:rPr>
          <w:rFonts w:cs="Arial"/>
          <w:szCs w:val="21"/>
        </w:rPr>
      </w:pPr>
    </w:p>
    <w:p w14:paraId="3A93571F" w14:textId="77777777" w:rsidR="009021F1" w:rsidRPr="002C5EA5" w:rsidRDefault="009021F1" w:rsidP="009021F1">
      <w:pPr>
        <w:rPr>
          <w:rFonts w:cs="Arial"/>
          <w:szCs w:val="21"/>
        </w:rPr>
      </w:pPr>
      <w:r w:rsidRPr="002C5EA5">
        <w:rPr>
          <w:rFonts w:cs="Arial"/>
          <w:szCs w:val="21"/>
        </w:rPr>
        <w:t>L’entreprise doit ensuite, sur la demande de l’ingénieur résident et dans les délais spécifiés, établir un Rapport de découverte fortuite fournissant les informations suivantes :</w:t>
      </w:r>
    </w:p>
    <w:p w14:paraId="418216CE" w14:textId="77777777" w:rsidR="009021F1" w:rsidRPr="002C5EA5" w:rsidRDefault="009021F1" w:rsidP="009021F1">
      <w:pPr>
        <w:rPr>
          <w:rFonts w:cs="Arial"/>
          <w:szCs w:val="21"/>
        </w:rPr>
      </w:pPr>
    </w:p>
    <w:p w14:paraId="36B1AECF" w14:textId="77777777" w:rsidR="009021F1" w:rsidRPr="002C5EA5" w:rsidRDefault="009021F1" w:rsidP="009021F1">
      <w:pPr>
        <w:pStyle w:val="Paragraphedeliste"/>
        <w:numPr>
          <w:ilvl w:val="0"/>
          <w:numId w:val="55"/>
        </w:numPr>
        <w:rPr>
          <w:rFonts w:cs="Arial"/>
          <w:szCs w:val="21"/>
        </w:rPr>
      </w:pPr>
      <w:r w:rsidRPr="002C5EA5">
        <w:rPr>
          <w:rFonts w:cs="Arial"/>
          <w:szCs w:val="21"/>
        </w:rPr>
        <w:t>Date et heure de la découverte ;</w:t>
      </w:r>
    </w:p>
    <w:p w14:paraId="598C0A19" w14:textId="77777777" w:rsidR="009021F1" w:rsidRPr="002C5EA5" w:rsidRDefault="009021F1" w:rsidP="009021F1">
      <w:pPr>
        <w:pStyle w:val="Paragraphedeliste"/>
        <w:numPr>
          <w:ilvl w:val="0"/>
          <w:numId w:val="55"/>
        </w:numPr>
        <w:rPr>
          <w:rFonts w:cs="Arial"/>
          <w:szCs w:val="21"/>
        </w:rPr>
      </w:pPr>
      <w:r w:rsidRPr="002C5EA5">
        <w:rPr>
          <w:rFonts w:cs="Arial"/>
          <w:szCs w:val="21"/>
        </w:rPr>
        <w:t>Emplacement de la découverte ;</w:t>
      </w:r>
    </w:p>
    <w:p w14:paraId="6C6C452F" w14:textId="77777777" w:rsidR="009021F1" w:rsidRPr="002C5EA5" w:rsidRDefault="009021F1" w:rsidP="009021F1">
      <w:pPr>
        <w:pStyle w:val="Paragraphedeliste"/>
        <w:numPr>
          <w:ilvl w:val="0"/>
          <w:numId w:val="55"/>
        </w:numPr>
        <w:rPr>
          <w:rFonts w:cs="Arial"/>
          <w:szCs w:val="21"/>
        </w:rPr>
      </w:pPr>
      <w:r w:rsidRPr="002C5EA5">
        <w:rPr>
          <w:rFonts w:cs="Arial"/>
          <w:szCs w:val="21"/>
        </w:rPr>
        <w:t>Description du bien culturel physique ;</w:t>
      </w:r>
    </w:p>
    <w:p w14:paraId="10A70FB1" w14:textId="77777777" w:rsidR="009021F1" w:rsidRPr="002C5EA5" w:rsidRDefault="009021F1" w:rsidP="009021F1">
      <w:pPr>
        <w:pStyle w:val="Paragraphedeliste"/>
        <w:numPr>
          <w:ilvl w:val="0"/>
          <w:numId w:val="55"/>
        </w:numPr>
        <w:rPr>
          <w:rFonts w:cs="Arial"/>
          <w:szCs w:val="21"/>
        </w:rPr>
      </w:pPr>
      <w:r w:rsidRPr="002C5EA5">
        <w:rPr>
          <w:rFonts w:cs="Arial"/>
          <w:szCs w:val="21"/>
        </w:rPr>
        <w:t>Estimation du poids et des dimensions du bien ;</w:t>
      </w:r>
    </w:p>
    <w:p w14:paraId="7411B743" w14:textId="77777777" w:rsidR="009021F1" w:rsidRPr="002C5EA5" w:rsidRDefault="009021F1" w:rsidP="009021F1">
      <w:pPr>
        <w:pStyle w:val="Paragraphedeliste"/>
        <w:numPr>
          <w:ilvl w:val="0"/>
          <w:numId w:val="55"/>
        </w:numPr>
        <w:rPr>
          <w:rFonts w:cs="Arial"/>
          <w:szCs w:val="21"/>
        </w:rPr>
      </w:pPr>
      <w:r w:rsidRPr="002C5EA5">
        <w:rPr>
          <w:rFonts w:cs="Arial"/>
          <w:szCs w:val="21"/>
        </w:rPr>
        <w:t>Mesures de protection temporaire mises en place.</w:t>
      </w:r>
    </w:p>
    <w:p w14:paraId="66B08DDB" w14:textId="77777777" w:rsidR="009021F1" w:rsidRPr="002C5EA5" w:rsidRDefault="009021F1" w:rsidP="009021F1">
      <w:pPr>
        <w:rPr>
          <w:rFonts w:cs="Arial"/>
          <w:szCs w:val="21"/>
        </w:rPr>
      </w:pPr>
    </w:p>
    <w:p w14:paraId="1E3F08F7" w14:textId="77777777" w:rsidR="009021F1" w:rsidRPr="002C5EA5" w:rsidRDefault="009021F1" w:rsidP="009021F1">
      <w:pPr>
        <w:rPr>
          <w:rFonts w:cs="Arial"/>
          <w:szCs w:val="21"/>
        </w:rPr>
      </w:pPr>
      <w:r w:rsidRPr="002C5EA5">
        <w:rPr>
          <w:rFonts w:cs="Arial"/>
          <w:szCs w:val="21"/>
        </w:rPr>
        <w:t xml:space="preserve">Le Rapport de découverte fortuite doit être présenté à l’ingénieur résident et aux autres parties désignées d’un commun accord avec les services culturels, et conformément à la législation nationale. </w:t>
      </w:r>
    </w:p>
    <w:p w14:paraId="7347AF9D" w14:textId="77777777" w:rsidR="009021F1" w:rsidRPr="002C5EA5" w:rsidRDefault="009021F1" w:rsidP="009021F1">
      <w:pPr>
        <w:rPr>
          <w:rFonts w:cs="Arial"/>
          <w:szCs w:val="21"/>
        </w:rPr>
      </w:pPr>
    </w:p>
    <w:p w14:paraId="2029099B" w14:textId="77777777" w:rsidR="009021F1" w:rsidRPr="002C5EA5" w:rsidRDefault="009021F1" w:rsidP="009021F1">
      <w:pPr>
        <w:rPr>
          <w:rFonts w:cs="Arial"/>
          <w:szCs w:val="21"/>
        </w:rPr>
      </w:pPr>
      <w:r w:rsidRPr="002C5EA5">
        <w:rPr>
          <w:rFonts w:cs="Arial"/>
          <w:szCs w:val="21"/>
        </w:rPr>
        <w:t>L’ingénieur résidant, ou toute autre partie désignée d’un commun accord, doit informer les services culturels de la découverte.</w:t>
      </w:r>
    </w:p>
    <w:p w14:paraId="6162449E" w14:textId="77777777" w:rsidR="009021F1" w:rsidRPr="002C5EA5" w:rsidRDefault="009021F1" w:rsidP="009021F1">
      <w:pPr>
        <w:rPr>
          <w:rFonts w:cs="Arial"/>
          <w:szCs w:val="21"/>
        </w:rPr>
      </w:pPr>
    </w:p>
    <w:p w14:paraId="11EF3BEA" w14:textId="77777777" w:rsidR="009021F1" w:rsidRPr="002C5EA5" w:rsidRDefault="009021F1" w:rsidP="009021F1">
      <w:pPr>
        <w:pStyle w:val="Paragraphedeliste"/>
        <w:numPr>
          <w:ilvl w:val="0"/>
          <w:numId w:val="54"/>
        </w:numPr>
        <w:rPr>
          <w:rFonts w:cs="Arial"/>
          <w:szCs w:val="21"/>
        </w:rPr>
      </w:pPr>
      <w:r w:rsidRPr="002C5EA5">
        <w:rPr>
          <w:rFonts w:cs="Arial"/>
          <w:szCs w:val="21"/>
        </w:rPr>
        <w:t>Arrivée des services culturels et mesures prises</w:t>
      </w:r>
    </w:p>
    <w:p w14:paraId="21DA43AC" w14:textId="77777777" w:rsidR="009021F1" w:rsidRPr="002C5EA5" w:rsidRDefault="009021F1" w:rsidP="009021F1">
      <w:pPr>
        <w:pStyle w:val="Paragraphedeliste"/>
        <w:rPr>
          <w:rFonts w:cs="Arial"/>
          <w:szCs w:val="21"/>
        </w:rPr>
      </w:pPr>
    </w:p>
    <w:p w14:paraId="4D62D1C9" w14:textId="77777777" w:rsidR="009021F1" w:rsidRPr="002C5EA5" w:rsidRDefault="009021F1" w:rsidP="009021F1">
      <w:pPr>
        <w:rPr>
          <w:rFonts w:cs="Arial"/>
          <w:szCs w:val="21"/>
        </w:rPr>
      </w:pPr>
      <w:r w:rsidRPr="002C5EA5">
        <w:rPr>
          <w:rFonts w:cs="Arial"/>
          <w:szCs w:val="21"/>
        </w:rPr>
        <w:t>Les services responsables du patrimoine culturel font le nécessaire pour envoyer un représentant sur le lieu de la découverte dans des délais convenus (dans les 24 heures, par exemple) et déterminer les mesures à prendre, notamment :</w:t>
      </w:r>
    </w:p>
    <w:p w14:paraId="6316DD9D" w14:textId="77777777" w:rsidR="009021F1" w:rsidRPr="002C5EA5" w:rsidRDefault="009021F1" w:rsidP="009021F1">
      <w:pPr>
        <w:rPr>
          <w:rFonts w:cs="Arial"/>
          <w:szCs w:val="21"/>
        </w:rPr>
      </w:pPr>
    </w:p>
    <w:p w14:paraId="7F40C8D1" w14:textId="77777777" w:rsidR="009021F1" w:rsidRPr="002C5EA5" w:rsidRDefault="009021F1" w:rsidP="009021F1">
      <w:pPr>
        <w:pStyle w:val="Paragraphedeliste"/>
        <w:numPr>
          <w:ilvl w:val="0"/>
          <w:numId w:val="55"/>
        </w:numPr>
        <w:rPr>
          <w:rFonts w:cs="Arial"/>
          <w:szCs w:val="21"/>
        </w:rPr>
      </w:pPr>
      <w:r w:rsidRPr="002C5EA5">
        <w:rPr>
          <w:rFonts w:cs="Arial"/>
          <w:szCs w:val="21"/>
        </w:rPr>
        <w:t>Retrait des biens culturels physiques jugés importants ;</w:t>
      </w:r>
    </w:p>
    <w:p w14:paraId="7364F2A2" w14:textId="77777777" w:rsidR="009021F1" w:rsidRPr="002C5EA5" w:rsidRDefault="009021F1" w:rsidP="009021F1">
      <w:pPr>
        <w:pStyle w:val="Paragraphedeliste"/>
        <w:numPr>
          <w:ilvl w:val="0"/>
          <w:numId w:val="55"/>
        </w:numPr>
        <w:rPr>
          <w:rFonts w:cs="Arial"/>
          <w:szCs w:val="21"/>
        </w:rPr>
      </w:pPr>
      <w:r w:rsidRPr="002C5EA5">
        <w:rPr>
          <w:rFonts w:cs="Arial"/>
          <w:szCs w:val="21"/>
        </w:rPr>
        <w:t>Poursuite des travaux d’excavation dans un rayon spécifié autour du site de la découverte ;</w:t>
      </w:r>
    </w:p>
    <w:p w14:paraId="02BD22AC" w14:textId="77777777" w:rsidR="009021F1" w:rsidRPr="002C5EA5" w:rsidRDefault="009021F1" w:rsidP="009021F1">
      <w:pPr>
        <w:pStyle w:val="Paragraphedeliste"/>
        <w:numPr>
          <w:ilvl w:val="0"/>
          <w:numId w:val="55"/>
        </w:numPr>
        <w:rPr>
          <w:rFonts w:cs="Arial"/>
          <w:szCs w:val="21"/>
        </w:rPr>
      </w:pPr>
      <w:r w:rsidRPr="002C5EA5">
        <w:rPr>
          <w:rFonts w:cs="Arial"/>
          <w:szCs w:val="21"/>
        </w:rPr>
        <w:t>Élargissement ou réduction de la zone délimitée par l’entreprise.</w:t>
      </w:r>
    </w:p>
    <w:p w14:paraId="2CE7D0AA" w14:textId="77777777" w:rsidR="009021F1" w:rsidRPr="002C5EA5" w:rsidRDefault="009021F1" w:rsidP="009021F1">
      <w:pPr>
        <w:rPr>
          <w:rFonts w:cs="Arial"/>
          <w:szCs w:val="21"/>
        </w:rPr>
      </w:pPr>
    </w:p>
    <w:p w14:paraId="543CDBBB" w14:textId="77777777" w:rsidR="009021F1" w:rsidRPr="002C5EA5" w:rsidRDefault="009021F1" w:rsidP="009021F1">
      <w:pPr>
        <w:rPr>
          <w:rFonts w:cs="Arial"/>
          <w:szCs w:val="21"/>
        </w:rPr>
      </w:pPr>
      <w:r w:rsidRPr="002C5EA5">
        <w:rPr>
          <w:rFonts w:cs="Arial"/>
          <w:szCs w:val="21"/>
        </w:rPr>
        <w:t>Ces mesures doivent être prises dans un délai donné (dans les 7 jours, par exemple).</w:t>
      </w:r>
    </w:p>
    <w:p w14:paraId="3DC67AD6" w14:textId="77777777" w:rsidR="009021F1" w:rsidRPr="002C5EA5" w:rsidRDefault="009021F1" w:rsidP="009021F1">
      <w:pPr>
        <w:rPr>
          <w:rFonts w:cs="Arial"/>
          <w:szCs w:val="21"/>
        </w:rPr>
      </w:pPr>
    </w:p>
    <w:p w14:paraId="02633EC9" w14:textId="77777777" w:rsidR="009021F1" w:rsidRPr="002C5EA5" w:rsidRDefault="009021F1" w:rsidP="009021F1">
      <w:pPr>
        <w:rPr>
          <w:rFonts w:cs="Arial"/>
          <w:szCs w:val="21"/>
        </w:rPr>
      </w:pPr>
      <w:r w:rsidRPr="002C5EA5">
        <w:rPr>
          <w:rFonts w:cs="Arial"/>
          <w:szCs w:val="21"/>
        </w:rPr>
        <w:t>L’entreprise peut, mais pas nécessairement, prétendre à une indemnisation pour la période de suspension des travaux.</w:t>
      </w:r>
    </w:p>
    <w:p w14:paraId="346C4CBC" w14:textId="77777777" w:rsidR="009021F1" w:rsidRPr="002C5EA5" w:rsidRDefault="009021F1" w:rsidP="009021F1">
      <w:pPr>
        <w:rPr>
          <w:rFonts w:cs="Arial"/>
          <w:szCs w:val="21"/>
        </w:rPr>
      </w:pPr>
      <w:r w:rsidRPr="002C5EA5">
        <w:rPr>
          <w:rFonts w:cs="Arial"/>
          <w:szCs w:val="21"/>
        </w:rPr>
        <w:t>Si les services culturels n’envoient pas un représentant dans les délais spécifiés (dans les 24 heures, par exemple), l’ingénieur résidant peut-être autorisé à proroger ces délais pour une période spécifiée.</w:t>
      </w:r>
    </w:p>
    <w:p w14:paraId="39C8861E" w14:textId="77777777" w:rsidR="009021F1" w:rsidRPr="002C5EA5" w:rsidRDefault="009021F1" w:rsidP="009021F1">
      <w:pPr>
        <w:rPr>
          <w:rFonts w:cs="Arial"/>
          <w:szCs w:val="21"/>
        </w:rPr>
      </w:pPr>
    </w:p>
    <w:p w14:paraId="5CCDF1C2" w14:textId="77777777" w:rsidR="009021F1" w:rsidRPr="002C5EA5" w:rsidRDefault="009021F1" w:rsidP="009021F1">
      <w:pPr>
        <w:rPr>
          <w:rFonts w:cs="Arial"/>
          <w:szCs w:val="21"/>
        </w:rPr>
      </w:pPr>
      <w:r w:rsidRPr="002C5EA5">
        <w:rPr>
          <w:rFonts w:cs="Arial"/>
          <w:szCs w:val="21"/>
        </w:rPr>
        <w:t>Si les services culturels n’envoient pas un représentant dans la période de prorogation, l’ingénieur résidant peut-être autorisé à demander à l’entreprise de déplacer le bien culturel physique ou de prendre d’autres mesures d’atténuation et de reprendre les travaux. Les travaux supplémentaires seront imputés sur le marché, mais l’entreprise ne pourra pas réclamer une indemnisation pour la période de suspension des travaux.</w:t>
      </w:r>
    </w:p>
    <w:p w14:paraId="63C0768B" w14:textId="77777777" w:rsidR="009021F1" w:rsidRPr="002C5EA5" w:rsidRDefault="009021F1" w:rsidP="009021F1">
      <w:pPr>
        <w:rPr>
          <w:rFonts w:cs="Arial"/>
          <w:szCs w:val="21"/>
        </w:rPr>
      </w:pPr>
    </w:p>
    <w:p w14:paraId="69908EE1" w14:textId="77777777" w:rsidR="009021F1" w:rsidRPr="002C5EA5" w:rsidRDefault="009021F1" w:rsidP="009021F1">
      <w:pPr>
        <w:pStyle w:val="Paragraphedeliste"/>
        <w:numPr>
          <w:ilvl w:val="0"/>
          <w:numId w:val="54"/>
        </w:numPr>
        <w:rPr>
          <w:rFonts w:cs="Arial"/>
          <w:szCs w:val="21"/>
        </w:rPr>
      </w:pPr>
      <w:r w:rsidRPr="002C5EA5">
        <w:rPr>
          <w:rFonts w:cs="Arial"/>
          <w:szCs w:val="21"/>
        </w:rPr>
        <w:t>Suspension supplémentaire des travaux</w:t>
      </w:r>
    </w:p>
    <w:p w14:paraId="69C64C84" w14:textId="77777777" w:rsidR="009021F1" w:rsidRPr="002C5EA5" w:rsidRDefault="009021F1" w:rsidP="009021F1">
      <w:pPr>
        <w:rPr>
          <w:rFonts w:cs="Arial"/>
          <w:szCs w:val="21"/>
        </w:rPr>
      </w:pPr>
    </w:p>
    <w:p w14:paraId="77724AAD" w14:textId="77777777" w:rsidR="009021F1" w:rsidRPr="002C5EA5" w:rsidRDefault="009021F1" w:rsidP="009021F1">
      <w:pPr>
        <w:rPr>
          <w:rFonts w:cs="Arial"/>
          <w:szCs w:val="21"/>
        </w:rPr>
      </w:pPr>
      <w:r w:rsidRPr="002C5EA5">
        <w:rPr>
          <w:rFonts w:cs="Arial"/>
          <w:szCs w:val="21"/>
        </w:rPr>
        <w:t>Durant la période de 7 jours, les services culturels peuvent être en droit de demander la suspension temporaire des travaux sur le site de la découverte ou à proximité pendant une période supplémentaire de 30 jours, par exemple.</w:t>
      </w:r>
    </w:p>
    <w:p w14:paraId="76A7D02C" w14:textId="77777777" w:rsidR="009021F1" w:rsidRPr="002C5EA5" w:rsidRDefault="009021F1" w:rsidP="009021F1">
      <w:pPr>
        <w:rPr>
          <w:rFonts w:cs="Arial"/>
          <w:szCs w:val="21"/>
        </w:rPr>
      </w:pPr>
      <w:r w:rsidRPr="002C5EA5">
        <w:rPr>
          <w:rFonts w:cs="Arial"/>
          <w:szCs w:val="21"/>
        </w:rPr>
        <w:t>L’entreprise peut, mais pas nécessairement, prétendre à une indemnisation pour cette période supplémentaire de suspension des travaux.</w:t>
      </w:r>
    </w:p>
    <w:p w14:paraId="1EEA159B" w14:textId="77777777" w:rsidR="009021F1" w:rsidRPr="002C5EA5" w:rsidRDefault="009021F1" w:rsidP="009021F1">
      <w:pPr>
        <w:rPr>
          <w:rFonts w:cs="Arial"/>
          <w:szCs w:val="21"/>
        </w:rPr>
      </w:pPr>
    </w:p>
    <w:p w14:paraId="154BAB43" w14:textId="77777777" w:rsidR="009021F1" w:rsidRPr="002C5EA5" w:rsidRDefault="009021F1" w:rsidP="009021F1">
      <w:pPr>
        <w:rPr>
          <w:rFonts w:cs="Arial"/>
          <w:szCs w:val="21"/>
        </w:rPr>
      </w:pPr>
      <w:r w:rsidRPr="002C5EA5">
        <w:rPr>
          <w:rFonts w:cs="Arial"/>
          <w:szCs w:val="21"/>
        </w:rPr>
        <w:t>L’entreprise peut cependant être autorisée à signer avec les services responsables du patrimoine culturel un nouvel accord portant sur la fourniture de services ou de ressources supplémentaires durant cette période.</w:t>
      </w:r>
    </w:p>
    <w:p w14:paraId="12F5D58D" w14:textId="77777777" w:rsidR="009021F1" w:rsidRPr="002C5EA5" w:rsidRDefault="009021F1" w:rsidP="009021F1">
      <w:pPr>
        <w:rPr>
          <w:szCs w:val="21"/>
        </w:rPr>
      </w:pPr>
    </w:p>
    <w:p w14:paraId="7C0E3C24" w14:textId="77777777" w:rsidR="009021F1" w:rsidRPr="002C5EA5" w:rsidRDefault="009021F1" w:rsidP="009021F1">
      <w:pPr>
        <w:pStyle w:val="Titre2"/>
        <w:numPr>
          <w:ilvl w:val="2"/>
          <w:numId w:val="4"/>
        </w:numPr>
        <w:ind w:left="1560" w:hanging="709"/>
        <w:rPr>
          <w:rFonts w:cs="Arial"/>
          <w:i/>
          <w:szCs w:val="21"/>
        </w:rPr>
      </w:pPr>
      <w:bookmarkStart w:id="402" w:name="_Toc90471508"/>
      <w:r w:rsidRPr="002C5EA5">
        <w:rPr>
          <w:rFonts w:cs="Arial"/>
          <w:i/>
          <w:szCs w:val="21"/>
        </w:rPr>
        <w:t>Procédure découverte des mines terrestres et restes explosifs de guerre (REG)</w:t>
      </w:r>
      <w:bookmarkEnd w:id="402"/>
    </w:p>
    <w:p w14:paraId="49261A94" w14:textId="77777777" w:rsidR="009021F1" w:rsidRPr="002C5EA5" w:rsidRDefault="009021F1" w:rsidP="009021F1">
      <w:pPr>
        <w:tabs>
          <w:tab w:val="left" w:pos="2115"/>
        </w:tabs>
        <w:rPr>
          <w:rFonts w:cs="Arial"/>
          <w:szCs w:val="21"/>
          <w:highlight w:val="yellow"/>
        </w:rPr>
      </w:pPr>
    </w:p>
    <w:p w14:paraId="55D67003" w14:textId="77777777" w:rsidR="009021F1" w:rsidRPr="002C5EA5" w:rsidRDefault="009021F1" w:rsidP="009021F1">
      <w:pPr>
        <w:numPr>
          <w:ilvl w:val="0"/>
          <w:numId w:val="50"/>
        </w:numPr>
        <w:rPr>
          <w:rFonts w:cs="Arial"/>
          <w:b/>
          <w:i/>
          <w:szCs w:val="21"/>
        </w:rPr>
      </w:pPr>
      <w:r w:rsidRPr="002C5EA5">
        <w:rPr>
          <w:rFonts w:cs="Arial"/>
          <w:b/>
          <w:i/>
          <w:szCs w:val="21"/>
        </w:rPr>
        <w:t>Notification interne et externe</w:t>
      </w:r>
    </w:p>
    <w:p w14:paraId="1E941189" w14:textId="77777777" w:rsidR="009021F1" w:rsidRPr="002C5EA5" w:rsidRDefault="009021F1" w:rsidP="009021F1">
      <w:pPr>
        <w:shd w:val="clear" w:color="auto" w:fill="FFFFFF"/>
        <w:rPr>
          <w:rFonts w:cs="Arial"/>
          <w:color w:val="222222"/>
          <w:szCs w:val="21"/>
        </w:rPr>
      </w:pPr>
    </w:p>
    <w:p w14:paraId="31718492" w14:textId="77777777" w:rsidR="009021F1" w:rsidRPr="002C5EA5" w:rsidRDefault="009021F1" w:rsidP="009021F1">
      <w:pPr>
        <w:shd w:val="clear" w:color="auto" w:fill="FFFFFF"/>
        <w:rPr>
          <w:rFonts w:cs="Arial"/>
          <w:color w:val="222222"/>
          <w:szCs w:val="21"/>
        </w:rPr>
      </w:pPr>
      <w:r w:rsidRPr="002C5EA5">
        <w:rPr>
          <w:rFonts w:cs="Arial"/>
          <w:color w:val="222222"/>
          <w:szCs w:val="21"/>
        </w:rPr>
        <w:t xml:space="preserve">L’entrepreneur  en charge des travaux doit informer le projet par un rapport circonstancié sur la découverte fortuite des REG au niveau interne. </w:t>
      </w:r>
    </w:p>
    <w:p w14:paraId="6AF799AC" w14:textId="77777777" w:rsidR="009021F1" w:rsidRPr="002C5EA5" w:rsidRDefault="009021F1" w:rsidP="009021F1">
      <w:pPr>
        <w:shd w:val="clear" w:color="auto" w:fill="FFFFFF"/>
        <w:rPr>
          <w:rFonts w:cs="Arial"/>
          <w:color w:val="222222"/>
          <w:szCs w:val="21"/>
        </w:rPr>
      </w:pPr>
    </w:p>
    <w:p w14:paraId="37CF4403" w14:textId="77777777" w:rsidR="009021F1" w:rsidRPr="002C5EA5" w:rsidRDefault="009021F1" w:rsidP="009021F1">
      <w:pPr>
        <w:shd w:val="clear" w:color="auto" w:fill="FFFFFF"/>
        <w:rPr>
          <w:rFonts w:cs="Arial"/>
          <w:color w:val="222222"/>
          <w:szCs w:val="21"/>
        </w:rPr>
      </w:pPr>
      <w:r w:rsidRPr="002C5EA5">
        <w:rPr>
          <w:rFonts w:cs="Arial"/>
          <w:color w:val="222222"/>
          <w:szCs w:val="21"/>
        </w:rPr>
        <w:t>Au niveau externe, le projet doit informer l’agence choisie en charge d’enlever les REG et informer les autorités locales tant nationales pour les constater. L’entrepreneur doit informer les ouvriers sur les risques liés aux REG et la procédure à suivre.</w:t>
      </w:r>
    </w:p>
    <w:p w14:paraId="2570E98E" w14:textId="77777777" w:rsidR="009021F1" w:rsidRPr="002C5EA5" w:rsidRDefault="009021F1" w:rsidP="009021F1">
      <w:pPr>
        <w:shd w:val="clear" w:color="auto" w:fill="FFFFFF"/>
        <w:rPr>
          <w:rFonts w:cs="Arial"/>
          <w:color w:val="222222"/>
          <w:szCs w:val="21"/>
        </w:rPr>
      </w:pPr>
    </w:p>
    <w:p w14:paraId="77BCA47B" w14:textId="77777777" w:rsidR="009021F1" w:rsidRPr="002C5EA5" w:rsidRDefault="009021F1" w:rsidP="009021F1">
      <w:pPr>
        <w:numPr>
          <w:ilvl w:val="0"/>
          <w:numId w:val="50"/>
        </w:numPr>
        <w:rPr>
          <w:rFonts w:cs="Arial"/>
          <w:b/>
          <w:i/>
          <w:szCs w:val="21"/>
        </w:rPr>
      </w:pPr>
      <w:r w:rsidRPr="002C5EA5">
        <w:rPr>
          <w:rFonts w:cs="Arial"/>
          <w:b/>
          <w:i/>
          <w:szCs w:val="21"/>
        </w:rPr>
        <w:t>Obligation d’arrêt des travaux en attendant l’ordre de reprise</w:t>
      </w:r>
    </w:p>
    <w:p w14:paraId="1AFEEFDB" w14:textId="77777777" w:rsidR="009021F1" w:rsidRPr="002C5EA5" w:rsidRDefault="009021F1" w:rsidP="009021F1">
      <w:pPr>
        <w:rPr>
          <w:rFonts w:eastAsia="Calibri" w:cs="Arial"/>
          <w:szCs w:val="21"/>
          <w:lang w:val="fr-CA" w:eastAsia="en-US"/>
        </w:rPr>
      </w:pPr>
    </w:p>
    <w:p w14:paraId="41447110" w14:textId="77777777" w:rsidR="009021F1" w:rsidRPr="002C5EA5" w:rsidRDefault="009021F1" w:rsidP="009021F1">
      <w:pPr>
        <w:rPr>
          <w:rFonts w:eastAsia="Calibri" w:cs="Arial"/>
          <w:szCs w:val="21"/>
          <w:lang w:val="fr-CA" w:eastAsia="en-US"/>
        </w:rPr>
      </w:pPr>
      <w:r w:rsidRPr="002C5EA5">
        <w:rPr>
          <w:rFonts w:eastAsia="Calibri" w:cs="Arial"/>
          <w:szCs w:val="21"/>
          <w:lang w:val="fr-CA" w:eastAsia="en-US"/>
        </w:rPr>
        <w:t>L’entrepreneur doit arrêter immédiatement les travaux entrainant des risques d’explosifs après la découverte des REG, et ne reprendre les travaux que sur autorisation du projet.</w:t>
      </w:r>
    </w:p>
    <w:p w14:paraId="79B237BE" w14:textId="77777777" w:rsidR="009021F1" w:rsidRPr="002C5EA5" w:rsidRDefault="009021F1" w:rsidP="009021F1">
      <w:pPr>
        <w:rPr>
          <w:rFonts w:eastAsia="Calibri" w:cs="Arial"/>
          <w:szCs w:val="21"/>
          <w:lang w:val="fr-CA" w:eastAsia="en-US"/>
        </w:rPr>
      </w:pPr>
    </w:p>
    <w:p w14:paraId="4511786C" w14:textId="77777777" w:rsidR="009021F1" w:rsidRPr="002C5EA5" w:rsidRDefault="009021F1" w:rsidP="009021F1">
      <w:pPr>
        <w:numPr>
          <w:ilvl w:val="0"/>
          <w:numId w:val="50"/>
        </w:numPr>
        <w:rPr>
          <w:rFonts w:cs="Arial"/>
          <w:b/>
          <w:i/>
          <w:szCs w:val="21"/>
        </w:rPr>
      </w:pPr>
      <w:r w:rsidRPr="002C5EA5">
        <w:rPr>
          <w:rFonts w:cs="Arial"/>
          <w:b/>
          <w:i/>
          <w:szCs w:val="21"/>
        </w:rPr>
        <w:t>Mise en place du périmètre de protection, matérialisation et surveillance</w:t>
      </w:r>
    </w:p>
    <w:p w14:paraId="4A459F93" w14:textId="77777777" w:rsidR="009021F1" w:rsidRPr="002C5EA5" w:rsidRDefault="009021F1" w:rsidP="009021F1">
      <w:pPr>
        <w:rPr>
          <w:rFonts w:eastAsia="Calibri" w:cs="Arial"/>
          <w:szCs w:val="21"/>
          <w:lang w:val="fr-CA" w:eastAsia="en-US"/>
        </w:rPr>
      </w:pPr>
    </w:p>
    <w:p w14:paraId="6C07AA29" w14:textId="77777777" w:rsidR="009021F1" w:rsidRPr="002C5EA5" w:rsidRDefault="009021F1" w:rsidP="009021F1">
      <w:pPr>
        <w:rPr>
          <w:rFonts w:eastAsia="Calibri" w:cs="Arial"/>
          <w:szCs w:val="21"/>
          <w:lang w:val="fr-CA" w:eastAsia="en-US"/>
        </w:rPr>
      </w:pPr>
      <w:r w:rsidRPr="002C5EA5">
        <w:rPr>
          <w:rFonts w:eastAsia="Calibri" w:cs="Arial"/>
          <w:szCs w:val="21"/>
          <w:lang w:val="fr-CA" w:eastAsia="en-US"/>
        </w:rPr>
        <w:t>La Zone de découverte des REG doit être circonscrite, signaler accès interdit « </w:t>
      </w:r>
      <w:r w:rsidRPr="002C5EA5">
        <w:rPr>
          <w:rFonts w:eastAsia="Calibri" w:cs="Arial"/>
          <w:b/>
          <w:szCs w:val="21"/>
          <w:lang w:val="fr-CA" w:eastAsia="en-US"/>
        </w:rPr>
        <w:t>danger stop</w:t>
      </w:r>
      <w:r w:rsidRPr="002C5EA5">
        <w:rPr>
          <w:rFonts w:eastAsia="Calibri" w:cs="Arial"/>
          <w:szCs w:val="21"/>
          <w:lang w:val="fr-CA" w:eastAsia="en-US"/>
        </w:rPr>
        <w:t> » en sanctionnant tout accès non autorisé.</w:t>
      </w:r>
    </w:p>
    <w:p w14:paraId="7D17C5FA" w14:textId="77777777" w:rsidR="009021F1" w:rsidRPr="002C5EA5" w:rsidRDefault="009021F1" w:rsidP="009021F1">
      <w:pPr>
        <w:rPr>
          <w:rFonts w:eastAsia="Calibri" w:cs="Arial"/>
          <w:szCs w:val="21"/>
          <w:lang w:val="fr-CA" w:eastAsia="en-US"/>
        </w:rPr>
      </w:pPr>
    </w:p>
    <w:p w14:paraId="1412F4FE" w14:textId="77777777" w:rsidR="009021F1" w:rsidRPr="002C5EA5" w:rsidRDefault="009021F1" w:rsidP="009021F1">
      <w:pPr>
        <w:numPr>
          <w:ilvl w:val="0"/>
          <w:numId w:val="50"/>
        </w:numPr>
        <w:rPr>
          <w:rFonts w:cs="Arial"/>
          <w:b/>
          <w:i/>
          <w:szCs w:val="21"/>
        </w:rPr>
      </w:pPr>
      <w:r w:rsidRPr="002C5EA5">
        <w:rPr>
          <w:rFonts w:cs="Arial"/>
          <w:b/>
          <w:i/>
          <w:szCs w:val="21"/>
        </w:rPr>
        <w:t>Communication et consultation avec les autorités nationales compétentes et choix de l’agence chargée d’enlever les REG</w:t>
      </w:r>
    </w:p>
    <w:p w14:paraId="364D80C7" w14:textId="77777777" w:rsidR="009021F1" w:rsidRPr="002C5EA5" w:rsidRDefault="009021F1" w:rsidP="009021F1">
      <w:pPr>
        <w:shd w:val="clear" w:color="auto" w:fill="FFFFFF"/>
        <w:ind w:left="720"/>
        <w:contextualSpacing/>
        <w:rPr>
          <w:rFonts w:eastAsia="Calibri" w:cs="Arial"/>
          <w:b/>
          <w:szCs w:val="21"/>
          <w:lang w:val="fr-CD" w:eastAsia="en-US"/>
        </w:rPr>
      </w:pPr>
    </w:p>
    <w:p w14:paraId="5652173A" w14:textId="77777777" w:rsidR="009021F1" w:rsidRPr="002C5EA5" w:rsidRDefault="009021F1" w:rsidP="009021F1">
      <w:pPr>
        <w:rPr>
          <w:rFonts w:cs="Arial"/>
          <w:color w:val="222222"/>
          <w:szCs w:val="21"/>
        </w:rPr>
      </w:pPr>
      <w:r w:rsidRPr="002C5EA5">
        <w:rPr>
          <w:rFonts w:cs="Arial"/>
          <w:color w:val="222222"/>
          <w:szCs w:val="21"/>
        </w:rPr>
        <w:t xml:space="preserve">Les séances de communication et consultation avec les autorités locales et nationales seront faites régulièrement dans le cadre de la mise en œuvre du Plan de mobilisation des parties prenantes. Le choix de l’agence chargée d’enlever les REG sera fait ensemble avec les autorités compétentes suivant les principes susmentionnés. </w:t>
      </w:r>
    </w:p>
    <w:p w14:paraId="2651EA1B" w14:textId="77777777" w:rsidR="009021F1" w:rsidRPr="002C5EA5" w:rsidRDefault="009021F1" w:rsidP="009021F1">
      <w:pPr>
        <w:rPr>
          <w:rFonts w:cs="Arial"/>
          <w:color w:val="222222"/>
          <w:szCs w:val="21"/>
        </w:rPr>
      </w:pPr>
    </w:p>
    <w:p w14:paraId="2F8EE613" w14:textId="77777777" w:rsidR="009021F1" w:rsidRPr="002C5EA5" w:rsidRDefault="009021F1" w:rsidP="009021F1">
      <w:pPr>
        <w:numPr>
          <w:ilvl w:val="0"/>
          <w:numId w:val="50"/>
        </w:numPr>
        <w:rPr>
          <w:rFonts w:cs="Arial"/>
          <w:b/>
          <w:i/>
          <w:szCs w:val="21"/>
        </w:rPr>
      </w:pPr>
      <w:r w:rsidRPr="002C5EA5">
        <w:rPr>
          <w:rFonts w:cs="Arial"/>
          <w:b/>
          <w:i/>
          <w:szCs w:val="21"/>
        </w:rPr>
        <w:t>Destruction des REG</w:t>
      </w:r>
    </w:p>
    <w:p w14:paraId="181D3FB2" w14:textId="77777777" w:rsidR="009021F1" w:rsidRPr="002C5EA5" w:rsidRDefault="009021F1" w:rsidP="009021F1">
      <w:pPr>
        <w:shd w:val="clear" w:color="auto" w:fill="FFFFFF"/>
        <w:ind w:left="720"/>
        <w:contextualSpacing/>
        <w:rPr>
          <w:rFonts w:eastAsia="Calibri" w:cs="Arial"/>
          <w:b/>
          <w:szCs w:val="21"/>
          <w:lang w:val="fr-CD" w:eastAsia="en-US"/>
        </w:rPr>
      </w:pPr>
    </w:p>
    <w:p w14:paraId="35214C82" w14:textId="77777777" w:rsidR="009021F1" w:rsidRPr="002C5EA5" w:rsidRDefault="009021F1" w:rsidP="009021F1">
      <w:pPr>
        <w:rPr>
          <w:rFonts w:cs="Arial"/>
          <w:color w:val="222222"/>
          <w:szCs w:val="21"/>
        </w:rPr>
      </w:pPr>
      <w:r w:rsidRPr="002C5EA5">
        <w:rPr>
          <w:rFonts w:cs="Arial"/>
          <w:color w:val="222222"/>
          <w:szCs w:val="21"/>
        </w:rPr>
        <w:t>La destruction des REG est faite par l’agence chargée d’enlever les REG. En outre, cette dernière doit produire un rapport de dépollution du site incluant la destruction des REG découverts.</w:t>
      </w:r>
    </w:p>
    <w:p w14:paraId="5980DD95" w14:textId="77777777" w:rsidR="009021F1" w:rsidRPr="002C5EA5" w:rsidRDefault="009021F1" w:rsidP="009021F1">
      <w:pPr>
        <w:ind w:left="643"/>
        <w:rPr>
          <w:rFonts w:cs="Arial"/>
          <w:b/>
          <w:i/>
          <w:szCs w:val="21"/>
        </w:rPr>
      </w:pPr>
    </w:p>
    <w:p w14:paraId="3FC18C79" w14:textId="77777777" w:rsidR="009021F1" w:rsidRPr="002C5EA5" w:rsidRDefault="009021F1" w:rsidP="009021F1">
      <w:pPr>
        <w:numPr>
          <w:ilvl w:val="0"/>
          <w:numId w:val="50"/>
        </w:numPr>
        <w:rPr>
          <w:rFonts w:cs="Arial"/>
          <w:b/>
          <w:i/>
          <w:szCs w:val="21"/>
        </w:rPr>
      </w:pPr>
      <w:r w:rsidRPr="002C5EA5">
        <w:rPr>
          <w:rFonts w:cs="Arial"/>
          <w:b/>
          <w:i/>
          <w:szCs w:val="21"/>
        </w:rPr>
        <w:t>Rapport de clôture de découverte</w:t>
      </w:r>
    </w:p>
    <w:p w14:paraId="7F36D4A5" w14:textId="77777777" w:rsidR="009021F1" w:rsidRPr="002C5EA5" w:rsidRDefault="009021F1" w:rsidP="009021F1">
      <w:pPr>
        <w:shd w:val="clear" w:color="auto" w:fill="FFFFFF"/>
        <w:rPr>
          <w:rFonts w:cs="Arial"/>
          <w:color w:val="222222"/>
          <w:szCs w:val="21"/>
        </w:rPr>
      </w:pPr>
    </w:p>
    <w:p w14:paraId="7588C436" w14:textId="77777777" w:rsidR="009021F1" w:rsidRPr="002C5EA5" w:rsidRDefault="009021F1" w:rsidP="009021F1">
      <w:pPr>
        <w:shd w:val="clear" w:color="auto" w:fill="FFFFFF"/>
        <w:rPr>
          <w:rFonts w:cs="Arial"/>
          <w:color w:val="222222"/>
          <w:szCs w:val="21"/>
        </w:rPr>
      </w:pPr>
      <w:r w:rsidRPr="002C5EA5">
        <w:rPr>
          <w:rFonts w:cs="Arial"/>
          <w:color w:val="222222"/>
          <w:szCs w:val="21"/>
        </w:rPr>
        <w:t>Le rapport de clôture de découverte de REG est élaboré après la dépollution du site par l’agence en charge d’enlever les REG et l’autorisation sur la reprise des travaux. Ce rapport est rédigé par la mission de contrôle et transmis au projet.</w:t>
      </w:r>
    </w:p>
    <w:p w14:paraId="1ADC38A4" w14:textId="77777777" w:rsidR="009021F1" w:rsidRPr="002C5EA5" w:rsidRDefault="009021F1" w:rsidP="009021F1">
      <w:pPr>
        <w:tabs>
          <w:tab w:val="left" w:pos="2115"/>
        </w:tabs>
        <w:rPr>
          <w:rFonts w:cs="Arial"/>
          <w:b/>
          <w:i/>
          <w:szCs w:val="21"/>
          <w:u w:val="single"/>
        </w:rPr>
      </w:pPr>
    </w:p>
    <w:p w14:paraId="0D75AA26" w14:textId="77777777" w:rsidR="009021F1" w:rsidRPr="002C5EA5" w:rsidRDefault="009021F1" w:rsidP="009021F1">
      <w:pPr>
        <w:tabs>
          <w:tab w:val="left" w:pos="2115"/>
        </w:tabs>
        <w:rPr>
          <w:rFonts w:cs="Arial"/>
          <w:b/>
          <w:i/>
          <w:szCs w:val="21"/>
          <w:u w:val="single"/>
        </w:rPr>
      </w:pPr>
      <w:r w:rsidRPr="002C5EA5">
        <w:rPr>
          <w:rFonts w:cs="Arial"/>
          <w:b/>
          <w:i/>
          <w:szCs w:val="21"/>
          <w:u w:val="single"/>
        </w:rPr>
        <w:t>L’Education aux Risques des Mines (ERM)</w:t>
      </w:r>
    </w:p>
    <w:p w14:paraId="760D1A9D" w14:textId="77777777" w:rsidR="009021F1" w:rsidRPr="002C5EA5" w:rsidRDefault="009021F1" w:rsidP="009021F1">
      <w:pPr>
        <w:tabs>
          <w:tab w:val="left" w:pos="2115"/>
        </w:tabs>
        <w:rPr>
          <w:rFonts w:cs="Arial"/>
          <w:szCs w:val="21"/>
          <w:highlight w:val="yellow"/>
        </w:rPr>
      </w:pPr>
    </w:p>
    <w:p w14:paraId="6FC2FCAE" w14:textId="77777777" w:rsidR="009021F1" w:rsidRPr="002C5EA5" w:rsidRDefault="009021F1" w:rsidP="009021F1">
      <w:pPr>
        <w:tabs>
          <w:tab w:val="left" w:pos="2115"/>
        </w:tabs>
        <w:rPr>
          <w:rFonts w:eastAsia="Calibri" w:cs="Arial"/>
          <w:szCs w:val="21"/>
          <w:lang w:eastAsia="en-US"/>
        </w:rPr>
      </w:pPr>
      <w:r w:rsidRPr="002C5EA5">
        <w:rPr>
          <w:rFonts w:eastAsia="Calibri" w:cs="Arial"/>
          <w:szCs w:val="21"/>
          <w:lang w:eastAsia="en-US"/>
        </w:rPr>
        <w:t>La section suivante est consacrée au rôle que joue l’ERM dans l’action contre les mines en général, plus particulièrement par la liaison avec les communautés locales.</w:t>
      </w:r>
    </w:p>
    <w:p w14:paraId="2664A4F6" w14:textId="77777777" w:rsidR="009021F1" w:rsidRPr="002C5EA5" w:rsidRDefault="009021F1" w:rsidP="009021F1">
      <w:pPr>
        <w:tabs>
          <w:tab w:val="left" w:pos="2115"/>
        </w:tabs>
        <w:rPr>
          <w:rFonts w:ascii="Calibri" w:eastAsia="Calibri" w:hAnsi="Calibri" w:cs="Arial"/>
          <w:szCs w:val="21"/>
          <w:lang w:eastAsia="en-US"/>
        </w:rPr>
      </w:pPr>
    </w:p>
    <w:p w14:paraId="7E192DAE" w14:textId="77777777" w:rsidR="009021F1" w:rsidRPr="002C5EA5" w:rsidRDefault="009021F1" w:rsidP="009021F1">
      <w:pPr>
        <w:rPr>
          <w:rFonts w:cs="Arial"/>
          <w:szCs w:val="21"/>
        </w:rPr>
      </w:pPr>
      <w:r w:rsidRPr="002C5EA5">
        <w:rPr>
          <w:rFonts w:cs="Arial"/>
          <w:szCs w:val="21"/>
        </w:rPr>
        <w:t>Une ERM de qualité peut jouer un rôle considérable dans l’action contre les mines de par les informations qu’elle recueille dans les communautés touchées et de par les liens qu’elle tisse avec elles. Voici quelques contributions pratiques que l’ERM peut apporter aux autres activités de la lutte anti-mines.</w:t>
      </w:r>
    </w:p>
    <w:p w14:paraId="26FA74E2" w14:textId="77777777" w:rsidR="009021F1" w:rsidRPr="002C5EA5" w:rsidRDefault="009021F1" w:rsidP="009021F1">
      <w:pPr>
        <w:tabs>
          <w:tab w:val="left" w:pos="2115"/>
        </w:tabs>
        <w:rPr>
          <w:rFonts w:ascii="Calibri" w:eastAsia="Calibri" w:hAnsi="Calibri" w:cs="Arial"/>
          <w:szCs w:val="21"/>
          <w:lang w:eastAsia="en-US"/>
        </w:rPr>
      </w:pPr>
    </w:p>
    <w:p w14:paraId="7162C190" w14:textId="77777777" w:rsidR="009021F1" w:rsidRPr="002C5EA5" w:rsidRDefault="009021F1" w:rsidP="009021F1">
      <w:pPr>
        <w:rPr>
          <w:rFonts w:cs="Arial"/>
          <w:szCs w:val="21"/>
        </w:rPr>
      </w:pPr>
      <w:r w:rsidRPr="002C5EA5">
        <w:rPr>
          <w:rFonts w:cs="Arial"/>
          <w:szCs w:val="21"/>
        </w:rPr>
        <w:t>Les opérations de déminage comprennent les enquêtes, le marquage et l’enlèvement des mines terrestres et des REG. L’éducation au risque des mines, surtout par le biais de la liaison avec les communautés, peut contribuer à chacune de ces activités, et peut également aider à renforcer les capacités locales de gestion des risques.</w:t>
      </w:r>
    </w:p>
    <w:p w14:paraId="74A8ABBE" w14:textId="77777777" w:rsidR="009021F1" w:rsidRPr="002C5EA5" w:rsidRDefault="009021F1" w:rsidP="009021F1">
      <w:pPr>
        <w:rPr>
          <w:rFonts w:cs="Arial"/>
          <w:szCs w:val="21"/>
        </w:rPr>
      </w:pPr>
    </w:p>
    <w:p w14:paraId="05D190BD" w14:textId="77777777" w:rsidR="009021F1" w:rsidRPr="002C5EA5" w:rsidRDefault="009021F1" w:rsidP="009021F1">
      <w:pPr>
        <w:rPr>
          <w:rFonts w:cs="Arial"/>
          <w:szCs w:val="21"/>
        </w:rPr>
      </w:pPr>
      <w:r w:rsidRPr="002C5EA5">
        <w:rPr>
          <w:rFonts w:cs="Arial"/>
          <w:szCs w:val="21"/>
        </w:rPr>
        <w:t xml:space="preserve">Pour ce qui est des enquêtes, les équipes d’ERM peuvent, sur la base des informations fournies par la communauté : </w:t>
      </w:r>
    </w:p>
    <w:p w14:paraId="53AA47C0" w14:textId="77777777" w:rsidR="009021F1" w:rsidRPr="002C5EA5" w:rsidRDefault="009021F1" w:rsidP="009021F1">
      <w:pPr>
        <w:rPr>
          <w:rFonts w:cs="Arial"/>
          <w:szCs w:val="21"/>
        </w:rPr>
      </w:pPr>
    </w:p>
    <w:p w14:paraId="468F6738" w14:textId="77777777" w:rsidR="009021F1" w:rsidRPr="002C5EA5" w:rsidRDefault="009021F1" w:rsidP="009021F1">
      <w:pPr>
        <w:numPr>
          <w:ilvl w:val="0"/>
          <w:numId w:val="152"/>
        </w:numPr>
        <w:rPr>
          <w:rFonts w:cs="Arial"/>
          <w:szCs w:val="21"/>
        </w:rPr>
      </w:pPr>
      <w:r w:rsidRPr="002C5EA5">
        <w:rPr>
          <w:rFonts w:cs="Arial"/>
          <w:szCs w:val="21"/>
        </w:rPr>
        <w:t xml:space="preserve">localiser les zones contaminées ; </w:t>
      </w:r>
    </w:p>
    <w:p w14:paraId="06779A5A" w14:textId="77777777" w:rsidR="009021F1" w:rsidRPr="002C5EA5" w:rsidRDefault="009021F1" w:rsidP="009021F1">
      <w:pPr>
        <w:numPr>
          <w:ilvl w:val="0"/>
          <w:numId w:val="152"/>
        </w:numPr>
        <w:rPr>
          <w:rFonts w:cs="Arial"/>
          <w:szCs w:val="21"/>
        </w:rPr>
      </w:pPr>
      <w:r w:rsidRPr="002C5EA5">
        <w:rPr>
          <w:rFonts w:cs="Arial"/>
          <w:szCs w:val="21"/>
        </w:rPr>
        <w:t xml:space="preserve">identifier les types d’engins mis en place ; </w:t>
      </w:r>
    </w:p>
    <w:p w14:paraId="35691B5B" w14:textId="77777777" w:rsidR="009021F1" w:rsidRPr="002C5EA5" w:rsidRDefault="009021F1" w:rsidP="009021F1">
      <w:pPr>
        <w:numPr>
          <w:ilvl w:val="0"/>
          <w:numId w:val="152"/>
        </w:numPr>
        <w:rPr>
          <w:rFonts w:cs="Arial"/>
          <w:szCs w:val="21"/>
        </w:rPr>
      </w:pPr>
      <w:r w:rsidRPr="002C5EA5">
        <w:rPr>
          <w:rFonts w:cs="Arial"/>
          <w:szCs w:val="21"/>
        </w:rPr>
        <w:t>comprendre comment les mines et autres REG affectent la vie quotidienne et le bien-être des civils ;  et</w:t>
      </w:r>
    </w:p>
    <w:p w14:paraId="1C4B2F6D" w14:textId="77777777" w:rsidR="009021F1" w:rsidRPr="002C5EA5" w:rsidRDefault="009021F1" w:rsidP="009021F1">
      <w:pPr>
        <w:numPr>
          <w:ilvl w:val="0"/>
          <w:numId w:val="152"/>
        </w:numPr>
        <w:rPr>
          <w:rFonts w:cs="Arial"/>
          <w:szCs w:val="21"/>
        </w:rPr>
      </w:pPr>
      <w:r w:rsidRPr="002C5EA5">
        <w:rPr>
          <w:rFonts w:cs="Arial"/>
          <w:szCs w:val="21"/>
        </w:rPr>
        <w:t xml:space="preserve">aider les communautés à établir des listes de priorités pour le déminage ou pour le marquage. </w:t>
      </w:r>
    </w:p>
    <w:p w14:paraId="0B673960" w14:textId="77777777" w:rsidR="009021F1" w:rsidRPr="002C5EA5" w:rsidRDefault="009021F1" w:rsidP="009021F1">
      <w:pPr>
        <w:rPr>
          <w:rFonts w:cs="Arial"/>
          <w:szCs w:val="21"/>
        </w:rPr>
      </w:pPr>
    </w:p>
    <w:p w14:paraId="1210C403" w14:textId="77777777" w:rsidR="009021F1" w:rsidRPr="002C5EA5" w:rsidRDefault="009021F1" w:rsidP="009021F1">
      <w:pPr>
        <w:rPr>
          <w:rFonts w:cs="Arial"/>
          <w:szCs w:val="21"/>
        </w:rPr>
      </w:pPr>
      <w:r w:rsidRPr="002C5EA5">
        <w:rPr>
          <w:rFonts w:cs="Arial"/>
          <w:szCs w:val="21"/>
        </w:rPr>
        <w:t xml:space="preserve">En ce qui concerne le marquage, les équipes d’ERM peuvent : </w:t>
      </w:r>
    </w:p>
    <w:p w14:paraId="283C5A0B" w14:textId="77777777" w:rsidR="009021F1" w:rsidRPr="002C5EA5" w:rsidRDefault="009021F1" w:rsidP="009021F1">
      <w:pPr>
        <w:rPr>
          <w:rFonts w:cs="Arial"/>
          <w:szCs w:val="21"/>
        </w:rPr>
      </w:pPr>
    </w:p>
    <w:p w14:paraId="2E571F41" w14:textId="77777777" w:rsidR="009021F1" w:rsidRPr="002C5EA5" w:rsidRDefault="009021F1" w:rsidP="009021F1">
      <w:pPr>
        <w:numPr>
          <w:ilvl w:val="0"/>
          <w:numId w:val="152"/>
        </w:numPr>
        <w:rPr>
          <w:rFonts w:cs="Arial"/>
          <w:szCs w:val="21"/>
        </w:rPr>
      </w:pPr>
      <w:r w:rsidRPr="002C5EA5">
        <w:rPr>
          <w:rFonts w:cs="Arial"/>
          <w:szCs w:val="21"/>
        </w:rPr>
        <w:t xml:space="preserve">s’informer sur les signes d’avertissement utilisés dans la région; </w:t>
      </w:r>
    </w:p>
    <w:p w14:paraId="5F56D07C" w14:textId="77777777" w:rsidR="009021F1" w:rsidRPr="002C5EA5" w:rsidRDefault="009021F1" w:rsidP="009021F1">
      <w:pPr>
        <w:numPr>
          <w:ilvl w:val="0"/>
          <w:numId w:val="152"/>
        </w:numPr>
        <w:rPr>
          <w:rFonts w:cs="Arial"/>
          <w:szCs w:val="21"/>
        </w:rPr>
      </w:pPr>
      <w:r w:rsidRPr="002C5EA5">
        <w:rPr>
          <w:rFonts w:cs="Arial"/>
          <w:szCs w:val="21"/>
        </w:rPr>
        <w:t xml:space="preserve">encourager le respect des marquages et des clôtures ; </w:t>
      </w:r>
    </w:p>
    <w:p w14:paraId="20891704" w14:textId="77777777" w:rsidR="009021F1" w:rsidRPr="002C5EA5" w:rsidRDefault="009021F1" w:rsidP="009021F1">
      <w:pPr>
        <w:numPr>
          <w:ilvl w:val="0"/>
          <w:numId w:val="152"/>
        </w:numPr>
        <w:rPr>
          <w:rFonts w:cs="Arial"/>
          <w:szCs w:val="21"/>
        </w:rPr>
      </w:pPr>
      <w:r w:rsidRPr="002C5EA5">
        <w:rPr>
          <w:rFonts w:cs="Arial"/>
          <w:szCs w:val="21"/>
        </w:rPr>
        <w:t xml:space="preserve">aider la communauté à établir des listes de priorités pour le marquage (et choisir des matériaux appropriés qui réduiront le risque de voir ces signes retirés, volés ou détruits). </w:t>
      </w:r>
    </w:p>
    <w:p w14:paraId="4644B27E" w14:textId="77777777" w:rsidR="009021F1" w:rsidRPr="002C5EA5" w:rsidRDefault="009021F1" w:rsidP="009021F1">
      <w:pPr>
        <w:rPr>
          <w:rFonts w:cs="Arial"/>
          <w:szCs w:val="21"/>
        </w:rPr>
      </w:pPr>
    </w:p>
    <w:p w14:paraId="548074E6" w14:textId="77777777" w:rsidR="009021F1" w:rsidRPr="002C5EA5" w:rsidRDefault="009021F1" w:rsidP="009021F1">
      <w:pPr>
        <w:rPr>
          <w:rFonts w:cs="Arial"/>
          <w:szCs w:val="21"/>
        </w:rPr>
      </w:pPr>
      <w:r w:rsidRPr="002C5EA5">
        <w:rPr>
          <w:rFonts w:cs="Arial"/>
          <w:szCs w:val="21"/>
        </w:rPr>
        <w:t xml:space="preserve">En ce qui concerne les opérations de déminage, elles pourront se faire les services spécialisés (FARDC, la Police Nationale) ou par le service spécialisé des Nations Unies : </w:t>
      </w:r>
    </w:p>
    <w:p w14:paraId="5F116F53" w14:textId="77777777" w:rsidR="009021F1" w:rsidRPr="002C5EA5" w:rsidRDefault="009021F1" w:rsidP="009021F1">
      <w:pPr>
        <w:rPr>
          <w:rFonts w:cs="Arial"/>
          <w:szCs w:val="21"/>
        </w:rPr>
      </w:pPr>
    </w:p>
    <w:p w14:paraId="3AE89FD7" w14:textId="77777777" w:rsidR="009021F1" w:rsidRPr="002C5EA5" w:rsidRDefault="009021F1" w:rsidP="009021F1">
      <w:pPr>
        <w:numPr>
          <w:ilvl w:val="0"/>
          <w:numId w:val="152"/>
        </w:numPr>
        <w:rPr>
          <w:rFonts w:cs="Arial"/>
          <w:szCs w:val="21"/>
        </w:rPr>
      </w:pPr>
      <w:r w:rsidRPr="002C5EA5">
        <w:rPr>
          <w:rFonts w:cs="Arial"/>
          <w:szCs w:val="21"/>
        </w:rPr>
        <w:t xml:space="preserve">avertir la communauté de l’arrivée des équipes de déminage; </w:t>
      </w:r>
    </w:p>
    <w:p w14:paraId="0948C909" w14:textId="77777777" w:rsidR="009021F1" w:rsidRPr="002C5EA5" w:rsidRDefault="009021F1" w:rsidP="009021F1">
      <w:pPr>
        <w:numPr>
          <w:ilvl w:val="0"/>
          <w:numId w:val="152"/>
        </w:numPr>
        <w:rPr>
          <w:rFonts w:cs="Arial"/>
          <w:szCs w:val="21"/>
        </w:rPr>
      </w:pPr>
      <w:r w:rsidRPr="002C5EA5">
        <w:rPr>
          <w:rFonts w:cs="Arial"/>
          <w:szCs w:val="21"/>
        </w:rPr>
        <w:t xml:space="preserve">informer la communauté des procédures de sécurité à respecter durant les opérations de déminage ; </w:t>
      </w:r>
    </w:p>
    <w:p w14:paraId="48550E26" w14:textId="77777777" w:rsidR="009021F1" w:rsidRPr="002C5EA5" w:rsidRDefault="009021F1" w:rsidP="009021F1">
      <w:pPr>
        <w:numPr>
          <w:ilvl w:val="0"/>
          <w:numId w:val="152"/>
        </w:numPr>
        <w:rPr>
          <w:rFonts w:cs="Arial"/>
          <w:szCs w:val="21"/>
        </w:rPr>
      </w:pPr>
      <w:r w:rsidRPr="002C5EA5">
        <w:rPr>
          <w:rFonts w:cs="Arial"/>
          <w:szCs w:val="21"/>
        </w:rPr>
        <w:t>indiquer aux membres de la communauté les zones dépolluées et celles qui restent dangereuses, leur montrer les différents marquages ;</w:t>
      </w:r>
    </w:p>
    <w:p w14:paraId="020CA445" w14:textId="77777777" w:rsidR="009021F1" w:rsidRPr="002C5EA5" w:rsidRDefault="009021F1" w:rsidP="009021F1">
      <w:pPr>
        <w:numPr>
          <w:ilvl w:val="0"/>
          <w:numId w:val="152"/>
        </w:numPr>
        <w:rPr>
          <w:rFonts w:cs="Arial"/>
          <w:szCs w:val="21"/>
        </w:rPr>
      </w:pPr>
      <w:r w:rsidRPr="002C5EA5">
        <w:rPr>
          <w:rFonts w:cs="Arial"/>
          <w:szCs w:val="21"/>
        </w:rPr>
        <w:t xml:space="preserve">faciliter la restitution des terres, y compris des mesures destinées à renforcer les liens de confiance avec la communauté en démontrant que les terrains déminés ne contiennent vraiment plus de mines ; </w:t>
      </w:r>
    </w:p>
    <w:p w14:paraId="3A06A416" w14:textId="77777777" w:rsidR="009021F1" w:rsidRPr="002C5EA5" w:rsidRDefault="009021F1" w:rsidP="009021F1">
      <w:pPr>
        <w:numPr>
          <w:ilvl w:val="0"/>
          <w:numId w:val="152"/>
        </w:numPr>
        <w:rPr>
          <w:rFonts w:cs="Arial"/>
          <w:szCs w:val="21"/>
        </w:rPr>
      </w:pPr>
      <w:r w:rsidRPr="002C5EA5">
        <w:rPr>
          <w:rFonts w:cs="Arial"/>
          <w:szCs w:val="21"/>
        </w:rPr>
        <w:t>mettre en place un suivi en revenant dans les communautés plusieurs semaines ou plusieurs mois après le déminage pour vérifier que les terrains sont effectivement utilisés par les personnes prévues et pour l’usage prévu.</w:t>
      </w:r>
    </w:p>
    <w:p w14:paraId="2BD1C29A" w14:textId="77777777" w:rsidR="009021F1" w:rsidRPr="002C5EA5" w:rsidRDefault="009021F1" w:rsidP="009021F1">
      <w:pPr>
        <w:rPr>
          <w:rFonts w:cs="Arial"/>
          <w:b/>
          <w:i/>
          <w:szCs w:val="21"/>
          <w:u w:val="single"/>
        </w:rPr>
      </w:pPr>
    </w:p>
    <w:p w14:paraId="292359ED" w14:textId="77777777" w:rsidR="009021F1" w:rsidRPr="002C5EA5" w:rsidRDefault="009021F1" w:rsidP="009021F1">
      <w:pPr>
        <w:rPr>
          <w:rFonts w:cs="Arial"/>
          <w:b/>
          <w:i/>
          <w:szCs w:val="21"/>
          <w:u w:val="single"/>
        </w:rPr>
      </w:pPr>
      <w:r w:rsidRPr="002C5EA5">
        <w:rPr>
          <w:rFonts w:cs="Arial"/>
          <w:b/>
          <w:i/>
          <w:szCs w:val="21"/>
          <w:u w:val="single"/>
        </w:rPr>
        <w:t xml:space="preserve">Assistance aux victimes </w:t>
      </w:r>
    </w:p>
    <w:p w14:paraId="4C3D939E" w14:textId="77777777" w:rsidR="009021F1" w:rsidRPr="002C5EA5" w:rsidRDefault="009021F1" w:rsidP="009021F1">
      <w:pPr>
        <w:rPr>
          <w:rFonts w:cs="Arial"/>
          <w:szCs w:val="21"/>
        </w:rPr>
      </w:pPr>
    </w:p>
    <w:p w14:paraId="7154E8EA" w14:textId="77777777" w:rsidR="009021F1" w:rsidRPr="002C5EA5" w:rsidRDefault="009021F1" w:rsidP="009021F1">
      <w:pPr>
        <w:rPr>
          <w:rFonts w:cs="Arial"/>
          <w:szCs w:val="21"/>
        </w:rPr>
      </w:pPr>
      <w:r w:rsidRPr="002C5EA5">
        <w:rPr>
          <w:rFonts w:cs="Arial"/>
          <w:szCs w:val="21"/>
        </w:rPr>
        <w:t xml:space="preserve">On entend par “assistance aux victimes” l’intervention sur les champs de mines, les premiers soins, les opérations chirurgicales, la rééducation (physiothérapie et prothèses pour les amputés), la réadaptation psychosociale et la réinsertion des survivants d’accidents dus aux mines terrestres et aux REG. </w:t>
      </w:r>
    </w:p>
    <w:p w14:paraId="61785503" w14:textId="77777777" w:rsidR="009021F1" w:rsidRPr="002C5EA5" w:rsidRDefault="009021F1" w:rsidP="009021F1">
      <w:pPr>
        <w:rPr>
          <w:rFonts w:cs="Arial"/>
          <w:szCs w:val="21"/>
        </w:rPr>
      </w:pPr>
    </w:p>
    <w:p w14:paraId="6062459B" w14:textId="77777777" w:rsidR="009021F1" w:rsidRPr="002C5EA5" w:rsidRDefault="009021F1" w:rsidP="009021F1">
      <w:pPr>
        <w:rPr>
          <w:rFonts w:cs="Arial"/>
          <w:szCs w:val="21"/>
        </w:rPr>
      </w:pPr>
      <w:r w:rsidRPr="002C5EA5">
        <w:rPr>
          <w:rFonts w:cs="Arial"/>
          <w:szCs w:val="21"/>
        </w:rPr>
        <w:t xml:space="preserve">L’ERM a un rôle particulier à jouer dans l’assistance aux amputés, souvent victimes de mines antipersonnel. Le devoir d’assistance ne se limite cependant pas aux seuls amputés des mines et des REG, il s’applique à tous les amputés en général, quelle que soit la cause de leur lésion (balle, morsure de serpent, accident de voiture, diabète etc.). </w:t>
      </w:r>
    </w:p>
    <w:p w14:paraId="35152C44" w14:textId="77777777" w:rsidR="009021F1" w:rsidRPr="002C5EA5" w:rsidRDefault="009021F1" w:rsidP="009021F1">
      <w:pPr>
        <w:rPr>
          <w:rFonts w:cs="Arial"/>
          <w:szCs w:val="21"/>
        </w:rPr>
      </w:pPr>
    </w:p>
    <w:p w14:paraId="08500832" w14:textId="77777777" w:rsidR="009021F1" w:rsidRPr="002C5EA5" w:rsidRDefault="009021F1" w:rsidP="009021F1">
      <w:pPr>
        <w:rPr>
          <w:rFonts w:cs="Arial"/>
          <w:szCs w:val="21"/>
        </w:rPr>
      </w:pPr>
      <w:r w:rsidRPr="002C5EA5">
        <w:rPr>
          <w:rFonts w:cs="Arial"/>
          <w:szCs w:val="21"/>
        </w:rPr>
        <w:t xml:space="preserve">Agir autrement créerait une discrimination entre les victimes, moralement inacceptable. Les équipes d’éducation au risque des mines peuvent notamment: </w:t>
      </w:r>
    </w:p>
    <w:p w14:paraId="01571154" w14:textId="77777777" w:rsidR="009021F1" w:rsidRPr="002C5EA5" w:rsidRDefault="009021F1" w:rsidP="009021F1">
      <w:pPr>
        <w:rPr>
          <w:rFonts w:cs="Arial"/>
          <w:szCs w:val="21"/>
        </w:rPr>
      </w:pPr>
    </w:p>
    <w:p w14:paraId="0440689C" w14:textId="77777777" w:rsidR="009021F1" w:rsidRPr="002C5EA5" w:rsidRDefault="009021F1" w:rsidP="009021F1">
      <w:pPr>
        <w:numPr>
          <w:ilvl w:val="0"/>
          <w:numId w:val="152"/>
        </w:numPr>
        <w:jc w:val="left"/>
        <w:rPr>
          <w:rFonts w:cs="Arial"/>
          <w:szCs w:val="21"/>
        </w:rPr>
      </w:pPr>
      <w:r w:rsidRPr="002C5EA5">
        <w:rPr>
          <w:rFonts w:cs="Arial"/>
          <w:szCs w:val="21"/>
        </w:rPr>
        <w:t xml:space="preserve">identifier les ressources dont les victimes pourraient bénéficier au niveau national ou local et définir sous quelles conditions l’assistance peut être obtenue; </w:t>
      </w:r>
    </w:p>
    <w:p w14:paraId="35F9D8C7" w14:textId="77777777" w:rsidR="009021F1" w:rsidRPr="002C5EA5" w:rsidRDefault="009021F1" w:rsidP="009021F1">
      <w:pPr>
        <w:numPr>
          <w:ilvl w:val="0"/>
          <w:numId w:val="152"/>
        </w:numPr>
        <w:jc w:val="left"/>
        <w:rPr>
          <w:rFonts w:cs="Arial"/>
          <w:szCs w:val="21"/>
        </w:rPr>
      </w:pPr>
      <w:r w:rsidRPr="002C5EA5">
        <w:rPr>
          <w:rFonts w:cs="Arial"/>
          <w:szCs w:val="21"/>
        </w:rPr>
        <w:t xml:space="preserve">au cours de leur travail dans les communautés, identifier les amputés qui nécessitent de l’assistance; </w:t>
      </w:r>
    </w:p>
    <w:p w14:paraId="4CFE20CB" w14:textId="77777777" w:rsidR="009021F1" w:rsidRPr="002C5EA5" w:rsidRDefault="009021F1" w:rsidP="009021F1">
      <w:pPr>
        <w:numPr>
          <w:ilvl w:val="0"/>
          <w:numId w:val="152"/>
        </w:numPr>
        <w:jc w:val="left"/>
        <w:rPr>
          <w:rFonts w:cs="Arial"/>
          <w:szCs w:val="21"/>
        </w:rPr>
      </w:pPr>
      <w:r w:rsidRPr="002C5EA5">
        <w:rPr>
          <w:rFonts w:cs="Arial"/>
          <w:szCs w:val="21"/>
        </w:rPr>
        <w:t xml:space="preserve">rester en contact avec les centres de rééducation pour s’assurer que la victime reçoive toute l’assistance nécessaire; </w:t>
      </w:r>
    </w:p>
    <w:p w14:paraId="4C3CE5CF" w14:textId="77777777" w:rsidR="009021F1" w:rsidRPr="002C5EA5" w:rsidRDefault="009021F1" w:rsidP="009021F1">
      <w:pPr>
        <w:numPr>
          <w:ilvl w:val="0"/>
          <w:numId w:val="152"/>
        </w:numPr>
        <w:jc w:val="left"/>
        <w:rPr>
          <w:rFonts w:cs="Arial"/>
          <w:szCs w:val="21"/>
        </w:rPr>
      </w:pPr>
      <w:r w:rsidRPr="002C5EA5">
        <w:rPr>
          <w:rFonts w:cs="Arial"/>
          <w:szCs w:val="21"/>
        </w:rPr>
        <w:t xml:space="preserve">si nécessaire, faciliter le transport de l’amputé et d’un membre de sa famille vers le centre de traitement et au retour; </w:t>
      </w:r>
    </w:p>
    <w:p w14:paraId="57491CC6" w14:textId="77777777" w:rsidR="009021F1" w:rsidRPr="002C5EA5" w:rsidRDefault="009021F1" w:rsidP="009021F1">
      <w:pPr>
        <w:numPr>
          <w:ilvl w:val="0"/>
          <w:numId w:val="152"/>
        </w:numPr>
        <w:jc w:val="left"/>
        <w:rPr>
          <w:rFonts w:cs="Arial"/>
          <w:szCs w:val="21"/>
        </w:rPr>
      </w:pPr>
      <w:r w:rsidRPr="002C5EA5">
        <w:rPr>
          <w:rFonts w:cs="Arial"/>
          <w:szCs w:val="21"/>
        </w:rPr>
        <w:t>envisager d’employer des survivants dans le projet d’ERM.</w:t>
      </w:r>
    </w:p>
    <w:p w14:paraId="2AE1CB52" w14:textId="77777777" w:rsidR="009021F1" w:rsidRPr="002C5EA5" w:rsidRDefault="009021F1" w:rsidP="009021F1">
      <w:pPr>
        <w:rPr>
          <w:szCs w:val="21"/>
        </w:rPr>
      </w:pPr>
    </w:p>
    <w:p w14:paraId="3341D824" w14:textId="77777777" w:rsidR="009021F1" w:rsidRPr="002C5EA5" w:rsidRDefault="009021F1" w:rsidP="009021F1">
      <w:pPr>
        <w:pStyle w:val="Titre2"/>
        <w:numPr>
          <w:ilvl w:val="2"/>
          <w:numId w:val="4"/>
        </w:numPr>
        <w:ind w:left="1560" w:hanging="709"/>
        <w:rPr>
          <w:rFonts w:cs="Arial"/>
          <w:i/>
          <w:szCs w:val="21"/>
        </w:rPr>
      </w:pPr>
      <w:bookmarkStart w:id="403" w:name="_Toc90471509"/>
      <w:r w:rsidRPr="002C5EA5">
        <w:rPr>
          <w:rFonts w:cs="Arial"/>
          <w:i/>
          <w:szCs w:val="21"/>
        </w:rPr>
        <w:t>Directives applicables sur Hygiène, Environnement et Sécurité</w:t>
      </w:r>
      <w:bookmarkEnd w:id="403"/>
    </w:p>
    <w:p w14:paraId="000D9E45" w14:textId="77777777" w:rsidR="009021F1" w:rsidRPr="002C5EA5" w:rsidRDefault="009021F1" w:rsidP="009021F1">
      <w:pPr>
        <w:rPr>
          <w:szCs w:val="21"/>
        </w:rPr>
      </w:pPr>
    </w:p>
    <w:p w14:paraId="257D7198" w14:textId="77777777" w:rsidR="009021F1" w:rsidRPr="002C5EA5" w:rsidRDefault="009021F1" w:rsidP="009021F1">
      <w:pPr>
        <w:rPr>
          <w:szCs w:val="21"/>
        </w:rPr>
      </w:pPr>
      <w:r w:rsidRPr="002C5EA5">
        <w:rPr>
          <w:szCs w:val="21"/>
        </w:rPr>
        <w:t>Les entreprises contractantes devront se conformer aux exigences des directives de la Banque Mondiale, concernant l’Hygiène, l’Environnement et la Sécurité, risques d’EAS/HS ainsi qu’aux bonnes pratiques internationales dans le domaine. Des directives de gestion de déchets, des directives complémentaires sur la protection anti-incendie et la sécurité figurent dans les Directives sur l'environnement, la Santé et la Sécurité</w:t>
      </w:r>
      <w:r w:rsidRPr="002C5EA5">
        <w:rPr>
          <w:rStyle w:val="Appelnotedebasdep"/>
          <w:szCs w:val="21"/>
        </w:rPr>
        <w:footnoteReference w:id="19"/>
      </w:r>
      <w:r w:rsidRPr="002C5EA5">
        <w:rPr>
          <w:szCs w:val="21"/>
        </w:rPr>
        <w:t xml:space="preserve"> (Environmental Health and Safety), notamment les recommandations suivantes : Main-d’œuvre et Conditions de Travail et Prévention et Réduction de la Pollution.</w:t>
      </w:r>
    </w:p>
    <w:p w14:paraId="587B945C" w14:textId="77777777" w:rsidR="009021F1" w:rsidRPr="002C5EA5" w:rsidRDefault="009021F1" w:rsidP="009021F1">
      <w:pPr>
        <w:rPr>
          <w:szCs w:val="21"/>
        </w:rPr>
      </w:pPr>
    </w:p>
    <w:p w14:paraId="17F7611F" w14:textId="77777777" w:rsidR="009021F1" w:rsidRPr="002C5EA5" w:rsidRDefault="009021F1" w:rsidP="009021F1">
      <w:pPr>
        <w:rPr>
          <w:i/>
          <w:szCs w:val="21"/>
        </w:rPr>
      </w:pPr>
      <w:r w:rsidRPr="002C5EA5">
        <w:rPr>
          <w:i/>
          <w:szCs w:val="21"/>
        </w:rPr>
        <w:t>Gestion des déchets</w:t>
      </w:r>
    </w:p>
    <w:p w14:paraId="0855919F" w14:textId="77777777" w:rsidR="009021F1" w:rsidRPr="002C5EA5" w:rsidRDefault="009021F1" w:rsidP="009021F1">
      <w:pPr>
        <w:rPr>
          <w:szCs w:val="21"/>
        </w:rPr>
      </w:pPr>
    </w:p>
    <w:p w14:paraId="55C02C72" w14:textId="77777777" w:rsidR="009021F1" w:rsidRPr="002C5EA5" w:rsidRDefault="009021F1" w:rsidP="009021F1">
      <w:pPr>
        <w:rPr>
          <w:szCs w:val="21"/>
        </w:rPr>
      </w:pPr>
      <w:r w:rsidRPr="002C5EA5">
        <w:rPr>
          <w:szCs w:val="21"/>
        </w:rPr>
        <w:t>Ces principes s’appliquent à des projets comportant la production, le stockage ou la manutention des quantités de déchets dans toute une série de secteurs industriels. Ils ne sont pas censés s’appliquer à des projets ou des installations dont l’activité principale est la collecte, le transport, le traitement ou l’élimination de déchets. Des lignes directrices spécifiques à ces types d’installations sont présentées dans les directives sur la Santé et la Sécurité de l’Environnement pour les Installations de Gestion des Déchets.</w:t>
      </w:r>
    </w:p>
    <w:p w14:paraId="4875E748" w14:textId="77777777" w:rsidR="009021F1" w:rsidRPr="002C5EA5" w:rsidRDefault="009021F1" w:rsidP="009021F1">
      <w:pPr>
        <w:rPr>
          <w:szCs w:val="21"/>
        </w:rPr>
      </w:pPr>
      <w:r w:rsidRPr="002C5EA5">
        <w:rPr>
          <w:szCs w:val="21"/>
        </w:rPr>
        <w:t xml:space="preserve"> </w:t>
      </w:r>
    </w:p>
    <w:p w14:paraId="6E369523" w14:textId="77777777" w:rsidR="009021F1" w:rsidRPr="002C5EA5" w:rsidRDefault="009021F1" w:rsidP="009021F1">
      <w:pPr>
        <w:rPr>
          <w:szCs w:val="21"/>
        </w:rPr>
      </w:pPr>
      <w:r w:rsidRPr="002C5EA5">
        <w:rPr>
          <w:szCs w:val="21"/>
        </w:rPr>
        <w:t xml:space="preserve">Un déchet est une matière solide, liquide ou gazeuse confinée, dont on doit se débarrasser par élimination, recyclage ou incinération. Il peut s’agir d’un sous-produit de procédés de fabrication ou encore d’un produit commercial obsolète qui ne répond plus à l’application prévue et doit être éliminé. </w:t>
      </w:r>
    </w:p>
    <w:p w14:paraId="3F0453B4" w14:textId="77777777" w:rsidR="009021F1" w:rsidRPr="002C5EA5" w:rsidRDefault="009021F1" w:rsidP="009021F1">
      <w:pPr>
        <w:rPr>
          <w:szCs w:val="21"/>
        </w:rPr>
      </w:pPr>
    </w:p>
    <w:p w14:paraId="240C0120" w14:textId="77777777" w:rsidR="009021F1" w:rsidRPr="002C5EA5" w:rsidRDefault="009021F1" w:rsidP="009021F1">
      <w:pPr>
        <w:rPr>
          <w:szCs w:val="21"/>
        </w:rPr>
      </w:pPr>
      <w:r w:rsidRPr="002C5EA5">
        <w:rPr>
          <w:szCs w:val="21"/>
        </w:rPr>
        <w:t xml:space="preserve">Les déchets solides (non dangereux) comprennent généralement des détritus et déchets urbains de toutes sortes. On indiquera, à titre d’exemple, des ordures ménagères ; des inertes de construction / démolition ; des déchets métalliques et conteneurs vides (excepté ceux qui contenaient précédemment des matières dangereuses et qui devraient, en principe, être traités comme déchets dangereux) ; et des déchets résiduels d’activités industrielles, par exemple des scories de chaudière, du mâchefer et des cendres volantes.  </w:t>
      </w:r>
    </w:p>
    <w:p w14:paraId="7B93EF34" w14:textId="77777777" w:rsidR="009021F1" w:rsidRPr="002C5EA5" w:rsidRDefault="009021F1" w:rsidP="009021F1">
      <w:pPr>
        <w:rPr>
          <w:szCs w:val="21"/>
        </w:rPr>
      </w:pPr>
    </w:p>
    <w:p w14:paraId="754CA223" w14:textId="77777777" w:rsidR="009021F1" w:rsidRPr="002C5EA5" w:rsidRDefault="009021F1" w:rsidP="009021F1">
      <w:pPr>
        <w:rPr>
          <w:szCs w:val="21"/>
        </w:rPr>
      </w:pPr>
      <w:r w:rsidRPr="002C5EA5">
        <w:rPr>
          <w:szCs w:val="21"/>
        </w:rPr>
        <w:t xml:space="preserve">Les déchets dangereux présentent les mêmes propriétés que les matières dangereuses (inflammabilité, corrosivité, réactivité ou toxicité), ou d’autres caractéristiques physiques, chimiques ou biologiques qui risquent de poser un risque pour la santé de l’homme ou l’environnement s’ils ne sont pas gérés convenablement. En outre, des déchets peuvent être définis comme étant « dangereux » par des règlements locaux ou des conventions internationales, sur la base soit de l’origine du déchet et de son inclusion dans des listes de déchets dangereux, soit sur la base de ses caractéristiques. </w:t>
      </w:r>
    </w:p>
    <w:p w14:paraId="17F5097C" w14:textId="77777777" w:rsidR="009021F1" w:rsidRPr="002C5EA5" w:rsidRDefault="009021F1" w:rsidP="009021F1">
      <w:pPr>
        <w:rPr>
          <w:szCs w:val="21"/>
        </w:rPr>
      </w:pPr>
      <w:r w:rsidRPr="002C5EA5">
        <w:rPr>
          <w:szCs w:val="21"/>
        </w:rPr>
        <w:t xml:space="preserve"> </w:t>
      </w:r>
    </w:p>
    <w:p w14:paraId="2E799BC3" w14:textId="77777777" w:rsidR="009021F1" w:rsidRPr="002C5EA5" w:rsidRDefault="009021F1" w:rsidP="009021F1">
      <w:pPr>
        <w:rPr>
          <w:szCs w:val="21"/>
        </w:rPr>
      </w:pPr>
      <w:r w:rsidRPr="002C5EA5">
        <w:rPr>
          <w:szCs w:val="21"/>
        </w:rPr>
        <w:t>Les boues provenant d’installations de traitement des déchets, de centrales de traitement de l’eau, ou d’installations de contrôle de la pollution de l’air, ainsi que des matières mises au rebut, y compris des matières solides, liquides, semi-solides ou gazeuses confinées résultant d’activités industrielles, doivent être évaluées au cas par cas afin d’établir s’il s’agit de déchets dangereux ou non dangereux.</w:t>
      </w:r>
    </w:p>
    <w:p w14:paraId="0A5946C9" w14:textId="77777777" w:rsidR="009021F1" w:rsidRPr="002C5EA5" w:rsidRDefault="009021F1" w:rsidP="009021F1">
      <w:pPr>
        <w:rPr>
          <w:szCs w:val="21"/>
        </w:rPr>
      </w:pPr>
    </w:p>
    <w:p w14:paraId="1DFD3050" w14:textId="77777777" w:rsidR="009021F1" w:rsidRPr="002C5EA5" w:rsidRDefault="009021F1" w:rsidP="009021F1">
      <w:pPr>
        <w:jc w:val="left"/>
        <w:rPr>
          <w:i/>
          <w:szCs w:val="21"/>
        </w:rPr>
      </w:pPr>
      <w:r w:rsidRPr="002C5EA5">
        <w:rPr>
          <w:i/>
          <w:szCs w:val="21"/>
        </w:rPr>
        <w:t xml:space="preserve">Eaux usées sanitaires  </w:t>
      </w:r>
    </w:p>
    <w:p w14:paraId="153335BF" w14:textId="77777777" w:rsidR="009021F1" w:rsidRPr="002C5EA5" w:rsidRDefault="009021F1" w:rsidP="009021F1">
      <w:pPr>
        <w:rPr>
          <w:szCs w:val="21"/>
        </w:rPr>
      </w:pPr>
    </w:p>
    <w:p w14:paraId="68A19B34" w14:textId="77777777" w:rsidR="009021F1" w:rsidRPr="002C5EA5" w:rsidRDefault="009021F1" w:rsidP="009021F1">
      <w:pPr>
        <w:rPr>
          <w:szCs w:val="21"/>
        </w:rPr>
      </w:pPr>
      <w:r w:rsidRPr="002C5EA5">
        <w:rPr>
          <w:szCs w:val="21"/>
        </w:rPr>
        <w:t xml:space="preserve">Les eaux usées sanitaires des installations industrielles peuvent contenir des eaux d’égout domestiques et des eaux issues des services de restauration ou de blanchissage destinés aux employés du site. Les eaux usées provenant des laboratoires, des infirmeries, des installations d’adoucissement d’eau, etc. peuvent également être rejetées dans le système de traitement des eaux usées sanitaires. Les pratiques recommandées pour gérer les eaux usées sanitaires consistent, notamment, à : </w:t>
      </w:r>
    </w:p>
    <w:p w14:paraId="1ACC0A49" w14:textId="77777777" w:rsidR="009021F1" w:rsidRPr="002C5EA5" w:rsidRDefault="009021F1" w:rsidP="009021F1">
      <w:pPr>
        <w:rPr>
          <w:szCs w:val="21"/>
        </w:rPr>
      </w:pPr>
    </w:p>
    <w:p w14:paraId="20B357AE" w14:textId="77777777" w:rsidR="009021F1" w:rsidRPr="002C5EA5" w:rsidRDefault="009021F1" w:rsidP="009021F1">
      <w:pPr>
        <w:numPr>
          <w:ilvl w:val="0"/>
          <w:numId w:val="54"/>
        </w:numPr>
        <w:rPr>
          <w:szCs w:val="21"/>
        </w:rPr>
      </w:pPr>
      <w:r w:rsidRPr="002C5EA5">
        <w:rPr>
          <w:szCs w:val="21"/>
        </w:rPr>
        <w:t xml:space="preserve">Maintenir les eaux usées dans des réseaux distincts pour s’assurer de leur compatibilité avec le système de traitement choisi (par ex. une fosse septique qui ne peut recevoir que des eaux usées domestiques). </w:t>
      </w:r>
    </w:p>
    <w:p w14:paraId="1B377ACA" w14:textId="77777777" w:rsidR="009021F1" w:rsidRPr="002C5EA5" w:rsidRDefault="009021F1" w:rsidP="009021F1">
      <w:pPr>
        <w:numPr>
          <w:ilvl w:val="0"/>
          <w:numId w:val="54"/>
        </w:numPr>
        <w:rPr>
          <w:szCs w:val="21"/>
        </w:rPr>
      </w:pPr>
      <w:r w:rsidRPr="002C5EA5">
        <w:rPr>
          <w:szCs w:val="21"/>
        </w:rPr>
        <w:t xml:space="preserve">Séparer et prétraiter les effluents contenant des huiles et des graisses (notamment au moyen de bacs à graisse) avant de les rejeter dans les égouts. </w:t>
      </w:r>
    </w:p>
    <w:p w14:paraId="3A6E6349" w14:textId="77777777" w:rsidR="009021F1" w:rsidRPr="002C5EA5" w:rsidRDefault="009021F1" w:rsidP="009021F1">
      <w:pPr>
        <w:numPr>
          <w:ilvl w:val="0"/>
          <w:numId w:val="54"/>
        </w:numPr>
        <w:rPr>
          <w:szCs w:val="21"/>
        </w:rPr>
      </w:pPr>
      <w:r w:rsidRPr="002C5EA5">
        <w:rPr>
          <w:szCs w:val="21"/>
        </w:rPr>
        <w:t>Si les eaux usées provenant des installations industrielles doivent être rejetées dans les eaux de surface, leur traitement doit assurer le respect des normes nationales ou locales pour le rejet des eaux usées sanitaires.</w:t>
      </w:r>
    </w:p>
    <w:p w14:paraId="37E3C16F" w14:textId="77777777" w:rsidR="009021F1" w:rsidRPr="002C5EA5" w:rsidRDefault="009021F1" w:rsidP="009021F1">
      <w:pPr>
        <w:rPr>
          <w:szCs w:val="21"/>
        </w:rPr>
      </w:pPr>
    </w:p>
    <w:p w14:paraId="378097F7" w14:textId="77777777" w:rsidR="009021F1" w:rsidRPr="002C5EA5" w:rsidRDefault="009021F1" w:rsidP="009021F1">
      <w:pPr>
        <w:pStyle w:val="Titre2"/>
        <w:numPr>
          <w:ilvl w:val="2"/>
          <w:numId w:val="4"/>
        </w:numPr>
        <w:ind w:left="1560" w:hanging="709"/>
        <w:rPr>
          <w:rFonts w:cs="Arial"/>
          <w:i/>
          <w:szCs w:val="21"/>
        </w:rPr>
      </w:pPr>
      <w:bookmarkStart w:id="404" w:name="_Toc90471510"/>
      <w:r w:rsidRPr="002C5EA5">
        <w:rPr>
          <w:rFonts w:cs="Arial"/>
          <w:i/>
          <w:szCs w:val="21"/>
        </w:rPr>
        <w:t>Code de bonne conduite pour les ouvriers</w:t>
      </w:r>
      <w:bookmarkEnd w:id="404"/>
    </w:p>
    <w:p w14:paraId="5B52B3FF" w14:textId="77777777" w:rsidR="009021F1" w:rsidRPr="002C5EA5" w:rsidRDefault="009021F1" w:rsidP="009021F1">
      <w:pPr>
        <w:rPr>
          <w:szCs w:val="21"/>
        </w:rPr>
      </w:pPr>
    </w:p>
    <w:p w14:paraId="0ED0329A" w14:textId="77777777" w:rsidR="009021F1" w:rsidRPr="002C5EA5" w:rsidRDefault="009021F1" w:rsidP="009021F1">
      <w:pPr>
        <w:rPr>
          <w:szCs w:val="21"/>
        </w:rPr>
      </w:pPr>
      <w:r w:rsidRPr="002C5EA5">
        <w:rPr>
          <w:szCs w:val="21"/>
        </w:rPr>
        <w:t>Une charte de bonne conduite guidera les relations entre les intervenants des chantiers et des installations associées dans le cadre du Programme PNDA. Cette charte contribuera au bon déroulement des chantiers, dans un climat de confiance et de respect mutuel, avec, au final, l’ambition de satisfaire le client et d’améliorer la qualité des ouvrages. Le Code de bonne conduite sera affiché sur les chantiers. Cette charte est développée en Annexe 8.</w:t>
      </w:r>
    </w:p>
    <w:p w14:paraId="6432062D" w14:textId="77777777" w:rsidR="009021F1" w:rsidRPr="002C5EA5" w:rsidRDefault="009021F1" w:rsidP="009021F1">
      <w:pPr>
        <w:rPr>
          <w:szCs w:val="21"/>
        </w:rPr>
      </w:pPr>
    </w:p>
    <w:p w14:paraId="6E23CA15" w14:textId="77777777" w:rsidR="009021F1" w:rsidRPr="002C5EA5" w:rsidRDefault="009021F1" w:rsidP="009021F1">
      <w:pPr>
        <w:pStyle w:val="Titre2"/>
        <w:numPr>
          <w:ilvl w:val="2"/>
          <w:numId w:val="4"/>
        </w:numPr>
        <w:ind w:left="1560" w:hanging="709"/>
        <w:rPr>
          <w:rFonts w:cs="Arial"/>
          <w:i/>
          <w:szCs w:val="21"/>
        </w:rPr>
      </w:pPr>
      <w:bookmarkStart w:id="405" w:name="_Toc90471511"/>
      <w:r w:rsidRPr="002C5EA5">
        <w:rPr>
          <w:rFonts w:cs="Arial"/>
          <w:i/>
          <w:szCs w:val="21"/>
        </w:rPr>
        <w:t>Clauses sociales sur les VBG, y compris l’EAS et le HS, et les VCE.</w:t>
      </w:r>
      <w:bookmarkEnd w:id="405"/>
    </w:p>
    <w:p w14:paraId="6E0C6A62" w14:textId="77777777" w:rsidR="009021F1" w:rsidRPr="002C5EA5" w:rsidRDefault="009021F1" w:rsidP="009021F1">
      <w:pPr>
        <w:rPr>
          <w:szCs w:val="21"/>
        </w:rPr>
      </w:pPr>
    </w:p>
    <w:p w14:paraId="6D5A1B06" w14:textId="77777777" w:rsidR="009021F1" w:rsidRPr="002C5EA5" w:rsidRDefault="009021F1" w:rsidP="009021F1">
      <w:pPr>
        <w:rPr>
          <w:szCs w:val="21"/>
        </w:rPr>
      </w:pPr>
      <w:r w:rsidRPr="002C5EA5">
        <w:rPr>
          <w:szCs w:val="21"/>
        </w:rPr>
        <w:t xml:space="preserve">Les clauses sociales relatives aux VBG, y compris l’EAS et le HS, aux VCE ainsi que le code de bonne conduite du programme seront à intégrer dans les DAO de tous les prestataires. Ces clauses sont développées ci-dessous. </w:t>
      </w:r>
    </w:p>
    <w:p w14:paraId="34CBA4E6" w14:textId="77777777" w:rsidR="009021F1" w:rsidRPr="002C5EA5" w:rsidRDefault="009021F1" w:rsidP="009021F1">
      <w:pPr>
        <w:rPr>
          <w:szCs w:val="21"/>
        </w:rPr>
      </w:pPr>
    </w:p>
    <w:p w14:paraId="0381DECE" w14:textId="77777777" w:rsidR="009021F1" w:rsidRPr="002C5EA5" w:rsidRDefault="009021F1" w:rsidP="009021F1">
      <w:pPr>
        <w:rPr>
          <w:szCs w:val="21"/>
        </w:rPr>
      </w:pPr>
      <w:r w:rsidRPr="002C5EA5">
        <w:rPr>
          <w:szCs w:val="21"/>
        </w:rPr>
        <w:t>La personne humaine est sacrée dans sa dignité et ne peut faire l’objet d’un traitement inhumain, cruel et dégradant sous aucune forme. Par conséquent, les actes de barbarie suivants sont sévèrement réprimés :</w:t>
      </w:r>
    </w:p>
    <w:p w14:paraId="284D30BF" w14:textId="77777777" w:rsidR="009021F1" w:rsidRPr="002C5EA5" w:rsidRDefault="009021F1" w:rsidP="009021F1">
      <w:pPr>
        <w:rPr>
          <w:szCs w:val="21"/>
        </w:rPr>
      </w:pPr>
    </w:p>
    <w:p w14:paraId="3453D3CC" w14:textId="77777777" w:rsidR="009021F1" w:rsidRPr="002C5EA5" w:rsidRDefault="009021F1" w:rsidP="009021F1">
      <w:pPr>
        <w:pStyle w:val="Titre2"/>
        <w:numPr>
          <w:ilvl w:val="2"/>
          <w:numId w:val="4"/>
        </w:numPr>
        <w:ind w:left="1560" w:hanging="709"/>
        <w:rPr>
          <w:rFonts w:cs="Arial"/>
          <w:i/>
          <w:szCs w:val="21"/>
        </w:rPr>
      </w:pPr>
      <w:bookmarkStart w:id="406" w:name="_Toc90471512"/>
      <w:r w:rsidRPr="002C5EA5">
        <w:rPr>
          <w:rFonts w:cs="Arial"/>
          <w:i/>
          <w:szCs w:val="21"/>
        </w:rPr>
        <w:t>Harcèlement moral</w:t>
      </w:r>
      <w:bookmarkEnd w:id="406"/>
    </w:p>
    <w:p w14:paraId="0EF10CBC" w14:textId="77777777" w:rsidR="009021F1" w:rsidRPr="002C5EA5" w:rsidRDefault="009021F1" w:rsidP="009021F1">
      <w:pPr>
        <w:rPr>
          <w:szCs w:val="21"/>
        </w:rPr>
      </w:pPr>
    </w:p>
    <w:p w14:paraId="508230AF" w14:textId="77777777" w:rsidR="009021F1" w:rsidRPr="002C5EA5" w:rsidRDefault="009021F1" w:rsidP="009021F1">
      <w:pPr>
        <w:rPr>
          <w:szCs w:val="21"/>
        </w:rPr>
      </w:pPr>
      <w:r w:rsidRPr="002C5EA5">
        <w:rPr>
          <w:szCs w:val="21"/>
        </w:rPr>
        <w:t>Aucun Employé et apprenant de l’Entreprise, ses sous-traitants ainsi que ses partenaires sécuritaires et autres ne doivent subir ou faire subir des agissements répétés de harcèlement moral ayant pour objet ou effet une dégradation des conditions de travail susceptibles de porter atteinte aux droits et à la dignité, d’altérer sa santé physique ou compromettre son avenir professionnel.</w:t>
      </w:r>
    </w:p>
    <w:p w14:paraId="2D927FBE" w14:textId="77777777" w:rsidR="009021F1" w:rsidRPr="002C5EA5" w:rsidRDefault="009021F1" w:rsidP="009021F1">
      <w:pPr>
        <w:rPr>
          <w:szCs w:val="21"/>
        </w:rPr>
      </w:pPr>
      <w:r w:rsidRPr="002C5EA5">
        <w:rPr>
          <w:szCs w:val="21"/>
        </w:rPr>
        <w:t>Aucun salarié ne peut être sanctionné, licencié ou faire l’objet d’une mesure discriminatoire pour avoir subi ou refusé de subir les agissements définis ci-dessus ou pour avoir témoigné de tels agissements ou les avoir relatés.</w:t>
      </w:r>
    </w:p>
    <w:p w14:paraId="683B7184" w14:textId="77777777" w:rsidR="009021F1" w:rsidRDefault="009021F1" w:rsidP="009021F1">
      <w:pPr>
        <w:rPr>
          <w:szCs w:val="21"/>
        </w:rPr>
      </w:pPr>
    </w:p>
    <w:p w14:paraId="4B7EB875" w14:textId="77777777" w:rsidR="009021F1" w:rsidRPr="002C5EA5" w:rsidRDefault="009021F1" w:rsidP="009021F1">
      <w:pPr>
        <w:rPr>
          <w:szCs w:val="21"/>
        </w:rPr>
      </w:pPr>
      <w:r w:rsidRPr="002C5EA5">
        <w:rPr>
          <w:szCs w:val="21"/>
        </w:rPr>
        <w:t>Est donc passible d’une sanction disciplinaire tout Employé et apprenant de l’Entreprise, ses sous-traitants ainsi que ses partenaires sécuritaires qui aura commis de tels actes répréhensibles.</w:t>
      </w:r>
    </w:p>
    <w:p w14:paraId="577742BC" w14:textId="77777777" w:rsidR="009021F1" w:rsidRPr="002C5EA5" w:rsidRDefault="009021F1" w:rsidP="009021F1">
      <w:pPr>
        <w:rPr>
          <w:szCs w:val="21"/>
        </w:rPr>
      </w:pPr>
    </w:p>
    <w:p w14:paraId="15480529" w14:textId="77777777" w:rsidR="009021F1" w:rsidRPr="002C5EA5" w:rsidRDefault="009021F1" w:rsidP="009021F1">
      <w:pPr>
        <w:pStyle w:val="Titre2"/>
        <w:numPr>
          <w:ilvl w:val="2"/>
          <w:numId w:val="4"/>
        </w:numPr>
        <w:ind w:left="1560" w:hanging="709"/>
        <w:rPr>
          <w:rFonts w:cs="Arial"/>
          <w:i/>
          <w:szCs w:val="21"/>
        </w:rPr>
      </w:pPr>
      <w:bookmarkStart w:id="407" w:name="_Toc90471513"/>
      <w:r w:rsidRPr="002C5EA5">
        <w:rPr>
          <w:rFonts w:cs="Arial"/>
          <w:i/>
          <w:szCs w:val="21"/>
        </w:rPr>
        <w:t>Violences physiques</w:t>
      </w:r>
      <w:bookmarkEnd w:id="407"/>
    </w:p>
    <w:p w14:paraId="06FAA7BA" w14:textId="77777777" w:rsidR="009021F1" w:rsidRPr="002C5EA5" w:rsidRDefault="009021F1" w:rsidP="009021F1">
      <w:pPr>
        <w:rPr>
          <w:szCs w:val="21"/>
        </w:rPr>
      </w:pPr>
    </w:p>
    <w:p w14:paraId="59013607" w14:textId="77777777" w:rsidR="009021F1" w:rsidRPr="002C5EA5" w:rsidRDefault="009021F1" w:rsidP="009021F1">
      <w:pPr>
        <w:rPr>
          <w:szCs w:val="21"/>
        </w:rPr>
      </w:pPr>
      <w:r w:rsidRPr="002C5EA5">
        <w:rPr>
          <w:szCs w:val="21"/>
        </w:rPr>
        <w:t xml:space="preserve">Aucun Employé et apprenant de l’Entreprise, ses sous-traitants ainsi que ses partenaires sécuritaires et autres ne doivent subir ou faire subir des violences physiques, sous toutes ses formes, des voies de faits, des coups et blessures volontaires, des mutilations physiques à l’endroit de tout être humain ou ses biens personnels. </w:t>
      </w:r>
    </w:p>
    <w:p w14:paraId="1E8291DF" w14:textId="77777777" w:rsidR="009021F1" w:rsidRPr="002C5EA5" w:rsidRDefault="009021F1" w:rsidP="009021F1">
      <w:pPr>
        <w:rPr>
          <w:szCs w:val="21"/>
        </w:rPr>
      </w:pPr>
    </w:p>
    <w:p w14:paraId="1222DDFF" w14:textId="77777777" w:rsidR="009021F1" w:rsidRPr="002C5EA5" w:rsidRDefault="009021F1" w:rsidP="009021F1">
      <w:pPr>
        <w:pStyle w:val="Titre2"/>
        <w:numPr>
          <w:ilvl w:val="2"/>
          <w:numId w:val="4"/>
        </w:numPr>
        <w:ind w:left="1560" w:hanging="709"/>
        <w:rPr>
          <w:rFonts w:cs="Arial"/>
          <w:i/>
          <w:szCs w:val="21"/>
        </w:rPr>
      </w:pPr>
      <w:bookmarkStart w:id="408" w:name="_Toc90471514"/>
      <w:r w:rsidRPr="002C5EA5">
        <w:rPr>
          <w:rFonts w:cs="Arial"/>
          <w:i/>
          <w:szCs w:val="21"/>
        </w:rPr>
        <w:t>Proxénétisme, harcèlement et violences sexuels et pédophilie</w:t>
      </w:r>
      <w:bookmarkEnd w:id="408"/>
    </w:p>
    <w:p w14:paraId="5EAB4C23" w14:textId="77777777" w:rsidR="009021F1" w:rsidRPr="002C5EA5" w:rsidRDefault="009021F1" w:rsidP="009021F1">
      <w:pPr>
        <w:rPr>
          <w:szCs w:val="21"/>
        </w:rPr>
      </w:pPr>
    </w:p>
    <w:p w14:paraId="6C94C602" w14:textId="77777777" w:rsidR="009021F1" w:rsidRPr="002C5EA5" w:rsidRDefault="009021F1" w:rsidP="009021F1">
      <w:pPr>
        <w:rPr>
          <w:szCs w:val="21"/>
        </w:rPr>
      </w:pPr>
      <w:r w:rsidRPr="002C5EA5">
        <w:rPr>
          <w:szCs w:val="21"/>
        </w:rPr>
        <w:t xml:space="preserve">Conformément aux textes nationaux, régionaux et internationaux sur le proxénétisme, le harcèlement et les violences sexuelles contre les femmes, la pédophilie et le respect des us et coutumes des populations et des relations humaines d’une manière générale, tout acte de proxénétisme, harcèlement, abus, violences sexuelles (violences basées sur le genre / VBG), pédophilie (cfr : </w:t>
      </w:r>
      <w:r w:rsidRPr="002C5EA5">
        <w:rPr>
          <w:i/>
          <w:szCs w:val="21"/>
        </w:rPr>
        <w:t>(i)</w:t>
      </w:r>
      <w:r w:rsidRPr="002C5EA5">
        <w:rPr>
          <w:szCs w:val="21"/>
        </w:rPr>
        <w:t xml:space="preserve"> Résolution 48/104 des Nations Unies relative à la déclaration sur l’élimination des violences contre les femmes et (</w:t>
      </w:r>
      <w:r w:rsidRPr="002C5EA5">
        <w:rPr>
          <w:i/>
          <w:szCs w:val="21"/>
        </w:rPr>
        <w:t>ii)</w:t>
      </w:r>
      <w:r w:rsidRPr="002C5EA5">
        <w:rPr>
          <w:szCs w:val="21"/>
        </w:rPr>
        <w:t xml:space="preserve"> Résolution 2011/33 sur la prévention, la protection et la coopération internationale contre l’utilisation des nouvelles technologies d’information pour abuser et/ou exploiter les enfants) sera immédiatement sanctionné par un licenciement dès la première constatation de la faute, avec transmission des éléments caractéristiques de la faute pour les poursuites judiciaires par l’autorité publique compétente s’il y a échec.</w:t>
      </w:r>
    </w:p>
    <w:p w14:paraId="227D3F21" w14:textId="77777777" w:rsidR="009021F1" w:rsidRPr="002C5EA5" w:rsidRDefault="009021F1" w:rsidP="009021F1">
      <w:pPr>
        <w:rPr>
          <w:szCs w:val="21"/>
        </w:rPr>
      </w:pPr>
    </w:p>
    <w:p w14:paraId="39EB86F7" w14:textId="77777777" w:rsidR="009021F1" w:rsidRPr="002C5EA5" w:rsidRDefault="009021F1" w:rsidP="009021F1">
      <w:pPr>
        <w:pStyle w:val="Titre2"/>
        <w:numPr>
          <w:ilvl w:val="2"/>
          <w:numId w:val="4"/>
        </w:numPr>
        <w:ind w:left="1560" w:hanging="709"/>
        <w:rPr>
          <w:rFonts w:cs="Arial"/>
          <w:i/>
          <w:szCs w:val="21"/>
        </w:rPr>
      </w:pPr>
      <w:bookmarkStart w:id="409" w:name="_Toc90471515"/>
      <w:r w:rsidRPr="002C5EA5">
        <w:rPr>
          <w:rFonts w:cs="Arial"/>
          <w:i/>
          <w:szCs w:val="21"/>
        </w:rPr>
        <w:t>Exploitation des enfants</w:t>
      </w:r>
      <w:bookmarkEnd w:id="409"/>
    </w:p>
    <w:p w14:paraId="1BA5917E" w14:textId="77777777" w:rsidR="009021F1" w:rsidRPr="002C5EA5" w:rsidRDefault="009021F1" w:rsidP="009021F1">
      <w:pPr>
        <w:rPr>
          <w:szCs w:val="21"/>
        </w:rPr>
      </w:pPr>
    </w:p>
    <w:p w14:paraId="39CB477F" w14:textId="77777777" w:rsidR="009021F1" w:rsidRPr="002C5EA5" w:rsidRDefault="009021F1" w:rsidP="009021F1">
      <w:pPr>
        <w:rPr>
          <w:szCs w:val="21"/>
        </w:rPr>
      </w:pPr>
      <w:r w:rsidRPr="002C5EA5">
        <w:rPr>
          <w:szCs w:val="21"/>
        </w:rPr>
        <w:t xml:space="preserve">Conformément aux textes nationaux, régionaux, et internationaux : </w:t>
      </w:r>
      <w:r w:rsidRPr="002C5EA5">
        <w:rPr>
          <w:i/>
          <w:szCs w:val="21"/>
        </w:rPr>
        <w:t>(i)</w:t>
      </w:r>
      <w:r w:rsidRPr="002C5EA5">
        <w:rPr>
          <w:szCs w:val="21"/>
        </w:rPr>
        <w:t xml:space="preserve"> Résolution 2011/33 sur la prévention, la protection et la coopération internationale contre l’utilisation des nouvelles technologies d’information pour abuser et/ou exploiter les enfants et </w:t>
      </w:r>
      <w:r w:rsidRPr="002C5EA5">
        <w:rPr>
          <w:i/>
          <w:szCs w:val="21"/>
        </w:rPr>
        <w:t>(ii)</w:t>
      </w:r>
      <w:r w:rsidRPr="002C5EA5">
        <w:rPr>
          <w:szCs w:val="21"/>
        </w:rPr>
        <w:t xml:space="preserve"> Résolution 44/25 du 20 novembre 1989 sur les droits des enfants), l’emploi et l’exploitation des enfants sont strictement interdits au sein de l’entreprise. Il sied de noter que le PNDA n’emploiera que les enfants ou jeunes ayant atteint l’âge de 18 ans révolus conformément à la législation sociale nationale de la RDC qui établit l’âge de la majorité à 18 ans. En outre, le PNDA ne fera pas recours à toute forme de travail forcé.</w:t>
      </w:r>
    </w:p>
    <w:p w14:paraId="468299DE" w14:textId="77777777" w:rsidR="009021F1" w:rsidRPr="002C5EA5" w:rsidRDefault="009021F1" w:rsidP="009021F1">
      <w:pPr>
        <w:rPr>
          <w:szCs w:val="21"/>
        </w:rPr>
      </w:pPr>
    </w:p>
    <w:p w14:paraId="1B55C579" w14:textId="77777777" w:rsidR="009021F1" w:rsidRPr="002C5EA5" w:rsidRDefault="009021F1" w:rsidP="009021F1">
      <w:pPr>
        <w:pStyle w:val="Titre2"/>
        <w:numPr>
          <w:ilvl w:val="2"/>
          <w:numId w:val="4"/>
        </w:numPr>
        <w:ind w:left="1560" w:hanging="709"/>
        <w:rPr>
          <w:rFonts w:cs="Arial"/>
          <w:i/>
          <w:szCs w:val="21"/>
        </w:rPr>
      </w:pPr>
      <w:bookmarkStart w:id="410" w:name="_Toc90471516"/>
      <w:r w:rsidRPr="002C5EA5">
        <w:rPr>
          <w:rFonts w:cs="Arial"/>
          <w:i/>
          <w:szCs w:val="21"/>
        </w:rPr>
        <w:t>Recours au personnel de sécurité pour la protection du chantier</w:t>
      </w:r>
      <w:bookmarkEnd w:id="410"/>
    </w:p>
    <w:p w14:paraId="4485750B" w14:textId="77777777" w:rsidR="009021F1" w:rsidRPr="002C5EA5" w:rsidRDefault="009021F1" w:rsidP="009021F1">
      <w:pPr>
        <w:rPr>
          <w:szCs w:val="21"/>
        </w:rPr>
      </w:pPr>
    </w:p>
    <w:p w14:paraId="4EE808C7" w14:textId="77777777" w:rsidR="009021F1" w:rsidRPr="002C5EA5" w:rsidRDefault="009021F1" w:rsidP="009021F1">
      <w:pPr>
        <w:rPr>
          <w:szCs w:val="21"/>
        </w:rPr>
      </w:pPr>
      <w:r w:rsidRPr="002C5EA5">
        <w:rPr>
          <w:szCs w:val="21"/>
        </w:rPr>
        <w:t xml:space="preserve">Pendant tout le cycle du Projet, le PNDA va évaluer et atténuer les menaces qui peuvent peser sur les travailleurs, les sites, les biens et les activités du programme ainsi que sur les populations touchées. S’il est décidé d’engager du personnel de sécurité, les risques et effets pouvant résulter de cet engagement doivent alors être évalués et des mesures de gestion adoptées conformément à la hiérarchie d’atténuation.  Les agents de sécurité peuvent être privés (employés d’une société de sécurité privée) ou publics (police ou armée). Ils peuvent être engagés par le fournisseur ou le prestataire du Programme ou par le PNDA. Leur présence peut présenter des risques et avoir des effets involontaires sur les travailleurs du Programme et les populations locales. Par exemple, les rapports que le personnel de sécurité entretient avec les populations et les travailleurs du Projet peuvent être perçus comme menaçants par ces derniers et peuvent être source de conflits. Un code de conduite clair pour les travailleurs du Projet, dont le personnel de sécurité, peut aider à réduire ce risque en précisant ce qui constitue un comportement inacceptable. Ce code </w:t>
      </w:r>
      <w:r w:rsidRPr="002C5EA5">
        <w:rPr>
          <w:rFonts w:cs="Arial"/>
          <w:szCs w:val="21"/>
        </w:rPr>
        <w:t>pour le personnel de sécurité devrait aussi interdire précisément toute forme d’abus ou de violences, y compris l’EAS/HS, et établir des sanctions applicables pour les infractions.</w:t>
      </w:r>
      <w:r w:rsidRPr="002C5EA5">
        <w:rPr>
          <w:szCs w:val="21"/>
        </w:rPr>
        <w:t xml:space="preserve"> Par ailleurs, un accord contraignant avec le personnel de sécurité devra notamment prévoir que l’usage de la force est toujours proportionnel à la nature de l’incident et devra aussi interdire toute forme d’abus ou de violences, y compris l’EAS, le HS, et les VCE.</w:t>
      </w:r>
    </w:p>
    <w:p w14:paraId="36A595B5" w14:textId="77777777" w:rsidR="009021F1" w:rsidRPr="002C5EA5" w:rsidRDefault="009021F1" w:rsidP="009021F1">
      <w:pPr>
        <w:rPr>
          <w:rFonts w:cs="Arial"/>
          <w:szCs w:val="21"/>
        </w:rPr>
      </w:pPr>
    </w:p>
    <w:p w14:paraId="096D0B50" w14:textId="77777777" w:rsidR="009021F1" w:rsidRPr="002C5EA5" w:rsidRDefault="009021F1" w:rsidP="009021F1">
      <w:pPr>
        <w:rPr>
          <w:rFonts w:cs="Arial"/>
          <w:szCs w:val="21"/>
        </w:rPr>
      </w:pPr>
      <w:r w:rsidRPr="002C5EA5">
        <w:rPr>
          <w:rFonts w:cs="Arial"/>
          <w:szCs w:val="21"/>
        </w:rPr>
        <w:t xml:space="preserve">L’Emprunteur est responsable de l’évaluation des risques pour la sécurité du Programme, y compris des travailleurs, des biens et des activités qui y sont liés. Cette évaluation des risques liés à la sécurité fait traditionnellement partie de l’Étude d’impact environnemental et social et permet de déterminer le niveau de sécurité nécessaire au Programme. </w:t>
      </w:r>
    </w:p>
    <w:p w14:paraId="3757A546" w14:textId="77777777" w:rsidR="009021F1" w:rsidRPr="002C5EA5" w:rsidRDefault="009021F1" w:rsidP="009021F1">
      <w:pPr>
        <w:rPr>
          <w:rFonts w:cs="Arial"/>
          <w:szCs w:val="21"/>
        </w:rPr>
      </w:pPr>
    </w:p>
    <w:p w14:paraId="386C4486" w14:textId="77777777" w:rsidR="009021F1" w:rsidRPr="002C5EA5" w:rsidRDefault="009021F1" w:rsidP="009021F1">
      <w:pPr>
        <w:rPr>
          <w:rFonts w:cs="Arial"/>
          <w:szCs w:val="21"/>
        </w:rPr>
      </w:pPr>
      <w:r w:rsidRPr="002C5EA5">
        <w:rPr>
          <w:rFonts w:cs="Arial"/>
          <w:szCs w:val="21"/>
        </w:rPr>
        <w:t xml:space="preserve">Lorsque ces risques sont jugés faibles, les dispositifs de sécurité pourraient comporter des mesures simples telles que des clôtures ou des panneaux de signalisation et des gardiens de nuit. Lorsque ces risques sont jugés plus importants, l’Emprunteur et/ou les fournisseurs et prestataires peuvent décider de faire appel à des services de sécurité privés ou de travailler avec du personnel de sécurité public pour assurer la protection nécessaire. Là où le risque est très élevé, notamment dans les contextes de fragilité, de conflit et de violence (FCV), l’Emprunteur aura plutôt tendance à se tourner vers la force publique.  </w:t>
      </w:r>
    </w:p>
    <w:p w14:paraId="2C8D9735" w14:textId="77777777" w:rsidR="009021F1" w:rsidRPr="002C5EA5" w:rsidRDefault="009021F1" w:rsidP="009021F1">
      <w:pPr>
        <w:rPr>
          <w:rFonts w:cs="Arial"/>
          <w:szCs w:val="21"/>
        </w:rPr>
      </w:pPr>
    </w:p>
    <w:p w14:paraId="4EEE8D84" w14:textId="77777777" w:rsidR="009021F1" w:rsidRPr="002C5EA5" w:rsidRDefault="009021F1" w:rsidP="009021F1">
      <w:pPr>
        <w:rPr>
          <w:rFonts w:cs="Arial"/>
          <w:szCs w:val="21"/>
        </w:rPr>
      </w:pPr>
      <w:r w:rsidRPr="002C5EA5">
        <w:rPr>
          <w:rFonts w:cs="Arial"/>
          <w:szCs w:val="21"/>
        </w:rPr>
        <w:t>Une fois que le PNDA et/ou le fournisseur ou prestataire a/ont décidé qu’il faille engager du personnel de sécurité pour protéger les travailleurs, les sites, les biens ou les activités du Projet, l’Emprunteur évalue les risques et les effets que cet engagement pourrait présenter pour la sécurité humaine. L’envergure et le champ de l’ERS seront largement fonction du contexte du Projet.  Selon la gravité et la complexité des risques pour la sécurité, l’Emprunteur devrait préparer un Plan de Gestion de la Sécurité distinct et/ou s’assurer que les éléments clés de l’évaluation et du dispositif sécuritaires sont repris dans le Plan d’Engagement Environnemental et Social pour le Projet. Il s’agit notamment des mesures d’atténuation qui visent à gérer les risques que le recours à du personnel de sécurité pourrait faire peser sur la sécurité des travailleurs du Projet et des populations touchées par ses activités. Les mesures de sécurité qui ont des effets positifs sur la sécurité ou réduisent les effets négatifs peuvent être étroitement liées à des investissements sociaux ou à d’autres mesures sociales d’atténuation</w:t>
      </w:r>
      <w:r w:rsidRPr="002C5EA5">
        <w:rPr>
          <w:rStyle w:val="Appelnotedebasdep"/>
          <w:rFonts w:cs="Arial"/>
          <w:szCs w:val="21"/>
        </w:rPr>
        <w:footnoteReference w:id="20"/>
      </w:r>
      <w:r w:rsidRPr="002C5EA5">
        <w:rPr>
          <w:rFonts w:cs="Arial"/>
          <w:szCs w:val="21"/>
        </w:rPr>
        <w:t>.</w:t>
      </w:r>
    </w:p>
    <w:p w14:paraId="30B7E2D0" w14:textId="77777777" w:rsidR="009021F1" w:rsidRPr="002C5EA5" w:rsidRDefault="009021F1" w:rsidP="009021F1">
      <w:pPr>
        <w:rPr>
          <w:rFonts w:cs="Arial"/>
          <w:szCs w:val="21"/>
        </w:rPr>
      </w:pPr>
    </w:p>
    <w:p w14:paraId="19850195" w14:textId="77777777" w:rsidR="009021F1" w:rsidRPr="002C5EA5" w:rsidRDefault="009021F1" w:rsidP="009021F1">
      <w:pPr>
        <w:pStyle w:val="Titre2"/>
        <w:numPr>
          <w:ilvl w:val="2"/>
          <w:numId w:val="4"/>
        </w:numPr>
        <w:ind w:left="1560" w:hanging="709"/>
        <w:rPr>
          <w:rFonts w:cs="Arial"/>
          <w:i/>
          <w:szCs w:val="21"/>
        </w:rPr>
      </w:pPr>
      <w:bookmarkStart w:id="411" w:name="_Toc90471517"/>
      <w:r w:rsidRPr="002C5EA5">
        <w:rPr>
          <w:rFonts w:cs="Arial"/>
          <w:i/>
          <w:szCs w:val="21"/>
        </w:rPr>
        <w:t>Clauses environnementales et sociales pour les travaux</w:t>
      </w:r>
      <w:bookmarkEnd w:id="411"/>
    </w:p>
    <w:p w14:paraId="1E9A7790" w14:textId="77777777" w:rsidR="009021F1" w:rsidRPr="002C5EA5" w:rsidRDefault="009021F1" w:rsidP="009021F1">
      <w:pPr>
        <w:rPr>
          <w:rFonts w:cs="Arial"/>
          <w:szCs w:val="21"/>
        </w:rPr>
      </w:pPr>
    </w:p>
    <w:p w14:paraId="26E99F43" w14:textId="77777777" w:rsidR="009021F1" w:rsidRPr="002C5EA5" w:rsidRDefault="009021F1" w:rsidP="009021F1">
      <w:pPr>
        <w:rPr>
          <w:rFonts w:cs="Arial"/>
          <w:szCs w:val="21"/>
        </w:rPr>
      </w:pPr>
      <w:r w:rsidRPr="002C5EA5">
        <w:rPr>
          <w:rFonts w:cs="Arial"/>
          <w:szCs w:val="21"/>
        </w:rPr>
        <w:t>Les clauses environnementales et sociales sont destinées à aider dans la rédaction des dossiers d’appels d’offres et des marchés d’exécution des travaux, afin qu’elles puissent intégrer dans ces documents des prescriptions permettant d’optimiser la protection de l’environnement et du milieu socio-économique.  Les clauses sont développées en détail dans l’Annexe 3 du présent CGES.</w:t>
      </w:r>
    </w:p>
    <w:p w14:paraId="6B8F9FE9" w14:textId="77777777" w:rsidR="009021F1" w:rsidRPr="002C5EA5" w:rsidRDefault="009021F1" w:rsidP="009021F1">
      <w:pPr>
        <w:rPr>
          <w:rFonts w:cs="Arial"/>
          <w:szCs w:val="21"/>
        </w:rPr>
      </w:pPr>
    </w:p>
    <w:p w14:paraId="7FF68DEC" w14:textId="77777777" w:rsidR="009021F1" w:rsidRPr="002C5EA5" w:rsidRDefault="009021F1" w:rsidP="009021F1">
      <w:pPr>
        <w:rPr>
          <w:rFonts w:cs="Arial"/>
          <w:szCs w:val="21"/>
        </w:rPr>
      </w:pPr>
      <w:r w:rsidRPr="002C5EA5">
        <w:rPr>
          <w:rFonts w:cs="Arial"/>
          <w:szCs w:val="21"/>
        </w:rPr>
        <w:br w:type="page"/>
      </w:r>
    </w:p>
    <w:p w14:paraId="30AFA6AC" w14:textId="77777777" w:rsidR="009021F1" w:rsidRPr="009F553E" w:rsidRDefault="009021F1" w:rsidP="009021F1">
      <w:pPr>
        <w:pStyle w:val="Titre1"/>
        <w:numPr>
          <w:ilvl w:val="0"/>
          <w:numId w:val="4"/>
        </w:numPr>
        <w:ind w:left="567" w:hanging="283"/>
        <w:rPr>
          <w:rStyle w:val="Titre1CarCarCarCarCarCarCarCarCarCarCarCarCarCarCarCarCarCarCar"/>
          <w:b/>
          <w:bCs/>
          <w:sz w:val="21"/>
          <w:szCs w:val="21"/>
        </w:rPr>
      </w:pPr>
      <w:bookmarkStart w:id="412" w:name="_Toc90471518"/>
      <w:r w:rsidRPr="009F553E">
        <w:rPr>
          <w:rStyle w:val="Titre1CarCarCarCarCarCarCarCarCarCarCarCarCarCarCarCarCarCarCar"/>
          <w:b/>
          <w:sz w:val="21"/>
          <w:szCs w:val="21"/>
        </w:rPr>
        <w:t>PROCEDURES DE GESTION DES RISQUES ET IMPACTS ENVIRONNEMENTAUX ET SOCIAUX (PGRIES)</w:t>
      </w:r>
      <w:bookmarkEnd w:id="412"/>
    </w:p>
    <w:p w14:paraId="5D99EBC6" w14:textId="77777777" w:rsidR="009021F1" w:rsidRPr="009F553E" w:rsidRDefault="009021F1" w:rsidP="009021F1">
      <w:pPr>
        <w:rPr>
          <w:rFonts w:cs="Arial"/>
          <w:szCs w:val="21"/>
        </w:rPr>
      </w:pPr>
    </w:p>
    <w:p w14:paraId="74F6FC38" w14:textId="77777777" w:rsidR="009021F1" w:rsidRPr="009F553E" w:rsidRDefault="009021F1" w:rsidP="009021F1">
      <w:pPr>
        <w:rPr>
          <w:szCs w:val="21"/>
        </w:rPr>
      </w:pPr>
      <w:r w:rsidRPr="009F553E">
        <w:rPr>
          <w:szCs w:val="21"/>
        </w:rPr>
        <w:t>L’objectif du PGRIES est de (i) fournir des lignes directrices pour la préparation du PGES/</w:t>
      </w:r>
      <w:r w:rsidRPr="009F553E">
        <w:rPr>
          <w:rFonts w:cs="Arial"/>
          <w:szCs w:val="21"/>
        </w:rPr>
        <w:t>É</w:t>
      </w:r>
      <w:r w:rsidRPr="009F553E">
        <w:rPr>
          <w:szCs w:val="21"/>
        </w:rPr>
        <w:t>IES pour les sous-projets avec des risques plus élevés, (ii) des plans d’amélioration des impacts positifs, (iii) de décrire les modalités institutionnelles de chaque sous-projets, : (iv) l’opération et l’entretien des sous-projets, (v) la Méthodologie pour la préparation, l’approbation, et l’exécution et de suivi des sous-projets ; (vi) les procédures d'établissement de rapports, (vi)  le processus de préparation d’un CPR et un plan d’action VBG/EAS/HS (ii) le suivi et la mise en œuvre des mesures d’atténuation ; (Le PGRIES sera inclus dans le Manuel d’exécution du projet. Le PGRIES met l’accent sur les mesures d’atténuation des impacts qui résulteront de la mise en œuvre des activités du projet.</w:t>
      </w:r>
    </w:p>
    <w:p w14:paraId="4236E2C2" w14:textId="77777777" w:rsidR="009021F1" w:rsidRPr="009F553E" w:rsidRDefault="009021F1" w:rsidP="009021F1">
      <w:pPr>
        <w:rPr>
          <w:rFonts w:cs="Arial"/>
          <w:szCs w:val="21"/>
        </w:rPr>
      </w:pPr>
    </w:p>
    <w:p w14:paraId="4EA61467" w14:textId="77777777" w:rsidR="009021F1" w:rsidRPr="009F553E" w:rsidRDefault="009021F1" w:rsidP="009021F1">
      <w:pPr>
        <w:pStyle w:val="Commentaire"/>
        <w:spacing w:line="276" w:lineRule="auto"/>
        <w:rPr>
          <w:rFonts w:cs="Arial"/>
          <w:sz w:val="21"/>
          <w:szCs w:val="21"/>
          <w:lang w:val="fr-FR"/>
        </w:rPr>
      </w:pPr>
      <w:r w:rsidRPr="009F553E">
        <w:rPr>
          <w:rFonts w:cs="Arial"/>
          <w:sz w:val="21"/>
          <w:szCs w:val="21"/>
          <w:lang w:val="fr-FR"/>
        </w:rPr>
        <w:t xml:space="preserve">En complément, un Plan d’action de prévention et réponse à l’EAS et au HS (Plan d’action EAS/HS) ainsi qu’un Plan d’action de réponse au COVID-19 ont été développés et inclus dans le PGES. </w:t>
      </w:r>
    </w:p>
    <w:p w14:paraId="54698AC9" w14:textId="77777777" w:rsidR="009021F1" w:rsidRPr="009F553E" w:rsidRDefault="009021F1" w:rsidP="009021F1">
      <w:pPr>
        <w:pStyle w:val="Commentaire"/>
        <w:spacing w:line="276" w:lineRule="auto"/>
        <w:rPr>
          <w:rFonts w:cs="Arial"/>
          <w:sz w:val="21"/>
          <w:szCs w:val="21"/>
          <w:lang w:val="fr-FR"/>
        </w:rPr>
      </w:pPr>
    </w:p>
    <w:p w14:paraId="0B283734" w14:textId="35F56662" w:rsidR="009021F1" w:rsidRPr="009F553E" w:rsidRDefault="009021F1" w:rsidP="005B2876">
      <w:pPr>
        <w:rPr>
          <w:szCs w:val="21"/>
        </w:rPr>
      </w:pPr>
      <w:r w:rsidRPr="009F553E">
        <w:rPr>
          <w:rFonts w:cs="Arial"/>
          <w:bCs/>
          <w:szCs w:val="21"/>
        </w:rPr>
        <w:t>Éléments clés </w:t>
      </w:r>
      <w:r w:rsidR="005B2876">
        <w:rPr>
          <w:rFonts w:cs="Arial"/>
          <w:bCs/>
          <w:szCs w:val="21"/>
        </w:rPr>
        <w:t>du</w:t>
      </w:r>
      <w:r w:rsidR="00A003A7" w:rsidRPr="009F553E">
        <w:rPr>
          <w:bCs/>
          <w:szCs w:val="21"/>
        </w:rPr>
        <w:t xml:space="preserve"> </w:t>
      </w:r>
      <w:r w:rsidR="00A003A7" w:rsidRPr="009F553E">
        <w:rPr>
          <w:szCs w:val="21"/>
        </w:rPr>
        <w:t>plan</w:t>
      </w:r>
      <w:r w:rsidRPr="009F553E">
        <w:rPr>
          <w:szCs w:val="21"/>
        </w:rPr>
        <w:t xml:space="preserve"> d’action VBG/EAS/HSdont les lignes plus importantes sont :</w:t>
      </w:r>
    </w:p>
    <w:p w14:paraId="20DA6C68" w14:textId="77777777" w:rsidR="009021F1" w:rsidRPr="009F553E" w:rsidRDefault="009021F1" w:rsidP="009021F1">
      <w:pPr>
        <w:pStyle w:val="Commentaire"/>
        <w:spacing w:line="276" w:lineRule="auto"/>
        <w:rPr>
          <w:sz w:val="21"/>
          <w:szCs w:val="21"/>
          <w:lang w:val="fr-FR"/>
        </w:rPr>
      </w:pPr>
    </w:p>
    <w:p w14:paraId="767D9EB1" w14:textId="77777777" w:rsidR="009021F1" w:rsidRPr="009F553E" w:rsidRDefault="009021F1" w:rsidP="009021F1">
      <w:pPr>
        <w:numPr>
          <w:ilvl w:val="0"/>
          <w:numId w:val="146"/>
        </w:numPr>
        <w:ind w:left="984"/>
        <w:rPr>
          <w:szCs w:val="21"/>
        </w:rPr>
      </w:pPr>
      <w:r w:rsidRPr="009F553E">
        <w:rPr>
          <w:b/>
          <w:bCs/>
          <w:szCs w:val="21"/>
        </w:rPr>
        <w:t>Un outil clé pour la gestion des risques de violence basée sur le genre qui explique :</w:t>
      </w:r>
    </w:p>
    <w:p w14:paraId="4C3DEABE" w14:textId="77777777" w:rsidR="009021F1" w:rsidRPr="009F553E" w:rsidRDefault="009021F1" w:rsidP="009021F1">
      <w:pPr>
        <w:numPr>
          <w:ilvl w:val="0"/>
          <w:numId w:val="144"/>
        </w:numPr>
        <w:ind w:left="1247"/>
        <w:rPr>
          <w:szCs w:val="21"/>
        </w:rPr>
      </w:pPr>
      <w:r w:rsidRPr="009F553E">
        <w:rPr>
          <w:szCs w:val="21"/>
        </w:rPr>
        <w:t>La manière dont le projet mettra en place les protocoles et mécanismes de lutte contre les risques de VBG/EAS/HS, et</w:t>
      </w:r>
    </w:p>
    <w:p w14:paraId="7E63559C" w14:textId="77777777" w:rsidR="009021F1" w:rsidRPr="009F553E" w:rsidRDefault="009021F1" w:rsidP="009021F1">
      <w:pPr>
        <w:numPr>
          <w:ilvl w:val="0"/>
          <w:numId w:val="144"/>
        </w:numPr>
        <w:ind w:left="1247"/>
        <w:rPr>
          <w:szCs w:val="21"/>
        </w:rPr>
      </w:pPr>
      <w:r w:rsidRPr="009F553E">
        <w:rPr>
          <w:szCs w:val="21"/>
        </w:rPr>
        <w:t>Le mode de résolution des cas de VBG/EAS/HS éventuels.</w:t>
      </w:r>
    </w:p>
    <w:p w14:paraId="43D832AA" w14:textId="77777777" w:rsidR="009021F1" w:rsidRPr="009F553E" w:rsidRDefault="009021F1" w:rsidP="009021F1">
      <w:pPr>
        <w:ind w:left="1247"/>
        <w:rPr>
          <w:szCs w:val="21"/>
        </w:rPr>
      </w:pPr>
    </w:p>
    <w:p w14:paraId="581C7A4D" w14:textId="77777777" w:rsidR="009021F1" w:rsidRPr="009F553E" w:rsidRDefault="009021F1" w:rsidP="009021F1">
      <w:pPr>
        <w:numPr>
          <w:ilvl w:val="0"/>
          <w:numId w:val="146"/>
        </w:numPr>
        <w:ind w:left="984"/>
        <w:rPr>
          <w:szCs w:val="21"/>
        </w:rPr>
      </w:pPr>
      <w:r w:rsidRPr="009F553E">
        <w:rPr>
          <w:b/>
          <w:bCs/>
          <w:szCs w:val="21"/>
        </w:rPr>
        <w:t>Des éléments clés :</w:t>
      </w:r>
    </w:p>
    <w:p w14:paraId="578CADF1" w14:textId="77777777" w:rsidR="009021F1" w:rsidRPr="009F553E" w:rsidRDefault="009021F1" w:rsidP="009021F1">
      <w:pPr>
        <w:numPr>
          <w:ilvl w:val="0"/>
          <w:numId w:val="145"/>
        </w:numPr>
        <w:ind w:left="1247"/>
        <w:rPr>
          <w:szCs w:val="21"/>
        </w:rPr>
      </w:pPr>
      <w:r w:rsidRPr="009F553E">
        <w:rPr>
          <w:szCs w:val="21"/>
        </w:rPr>
        <w:t xml:space="preserve">Une </w:t>
      </w:r>
      <w:r w:rsidRPr="009F553E">
        <w:rPr>
          <w:b/>
          <w:bCs/>
          <w:szCs w:val="21"/>
        </w:rPr>
        <w:t xml:space="preserve">stratégie de sensibilisation </w:t>
      </w:r>
      <w:r w:rsidRPr="009F553E">
        <w:rPr>
          <w:szCs w:val="21"/>
        </w:rPr>
        <w:t>qui décrit la façon dont les communautés locales seront sensibilisées aux risques de violence sexiste ;</w:t>
      </w:r>
    </w:p>
    <w:p w14:paraId="4AF9EBD0" w14:textId="77777777" w:rsidR="009021F1" w:rsidRPr="009F553E" w:rsidRDefault="009021F1" w:rsidP="009021F1">
      <w:pPr>
        <w:numPr>
          <w:ilvl w:val="0"/>
          <w:numId w:val="145"/>
        </w:numPr>
        <w:ind w:left="1247"/>
        <w:rPr>
          <w:szCs w:val="21"/>
        </w:rPr>
      </w:pPr>
      <w:r w:rsidRPr="009F553E">
        <w:rPr>
          <w:szCs w:val="21"/>
        </w:rPr>
        <w:t xml:space="preserve">Une </w:t>
      </w:r>
      <w:r w:rsidRPr="009F553E">
        <w:rPr>
          <w:b/>
          <w:bCs/>
          <w:szCs w:val="21"/>
        </w:rPr>
        <w:t xml:space="preserve">stratégie de formation </w:t>
      </w:r>
      <w:r w:rsidRPr="009F553E">
        <w:rPr>
          <w:szCs w:val="21"/>
        </w:rPr>
        <w:t>qui décrit les responsabilités des travailleurs visées par le code de conduite ;</w:t>
      </w:r>
    </w:p>
    <w:p w14:paraId="70D86EAA" w14:textId="77777777" w:rsidR="009021F1" w:rsidRPr="009F553E" w:rsidRDefault="009021F1" w:rsidP="009021F1">
      <w:pPr>
        <w:numPr>
          <w:ilvl w:val="0"/>
          <w:numId w:val="145"/>
        </w:numPr>
        <w:ind w:left="1247"/>
        <w:rPr>
          <w:szCs w:val="21"/>
        </w:rPr>
      </w:pPr>
      <w:r w:rsidRPr="009F553E">
        <w:rPr>
          <w:b/>
          <w:bCs/>
          <w:szCs w:val="21"/>
        </w:rPr>
        <w:t xml:space="preserve">Les prestataires de services de lutte contre la VBG </w:t>
      </w:r>
      <w:r w:rsidRPr="009F553E">
        <w:rPr>
          <w:szCs w:val="21"/>
        </w:rPr>
        <w:t xml:space="preserve">vers lesquels les survivantes de cette violence seront orientées, et les services qu’ils offriront ; et </w:t>
      </w:r>
    </w:p>
    <w:p w14:paraId="3A1A635F" w14:textId="77777777" w:rsidR="009021F1" w:rsidRPr="009F553E" w:rsidRDefault="009021F1" w:rsidP="009021F1">
      <w:pPr>
        <w:numPr>
          <w:ilvl w:val="0"/>
          <w:numId w:val="145"/>
        </w:numPr>
        <w:ind w:left="1247"/>
        <w:rPr>
          <w:szCs w:val="21"/>
        </w:rPr>
      </w:pPr>
      <w:r w:rsidRPr="009F553E">
        <w:rPr>
          <w:b/>
          <w:bCs/>
          <w:szCs w:val="21"/>
        </w:rPr>
        <w:t>Les procédures pour traiter d’allégations de VBG</w:t>
      </w:r>
      <w:r w:rsidRPr="009F553E">
        <w:rPr>
          <w:szCs w:val="21"/>
        </w:rPr>
        <w:t>/EAS/HS</w:t>
      </w:r>
      <w:r w:rsidRPr="009F553E">
        <w:rPr>
          <w:b/>
          <w:bCs/>
          <w:szCs w:val="21"/>
        </w:rPr>
        <w:t xml:space="preserve"> </w:t>
      </w:r>
      <w:r w:rsidRPr="009F553E">
        <w:rPr>
          <w:szCs w:val="21"/>
        </w:rPr>
        <w:t>: comment le projet fournira aux employés et à la population locale les renseignements sur la façon de signaler au mécanisme de gestion des plaintes les cas de VBG/EAS/HS et les violations du Code de bonne conduite</w:t>
      </w:r>
    </w:p>
    <w:p w14:paraId="216317D8" w14:textId="77777777" w:rsidR="009021F1" w:rsidRPr="009F553E" w:rsidRDefault="009021F1" w:rsidP="009021F1">
      <w:pPr>
        <w:rPr>
          <w:szCs w:val="21"/>
        </w:rPr>
      </w:pPr>
    </w:p>
    <w:p w14:paraId="71967542" w14:textId="77777777" w:rsidR="009021F1" w:rsidRPr="009F553E" w:rsidRDefault="009021F1" w:rsidP="009021F1">
      <w:pPr>
        <w:pStyle w:val="Commentaire"/>
        <w:numPr>
          <w:ilvl w:val="0"/>
          <w:numId w:val="147"/>
        </w:numPr>
        <w:spacing w:line="276" w:lineRule="auto"/>
        <w:jc w:val="left"/>
        <w:rPr>
          <w:sz w:val="21"/>
          <w:szCs w:val="21"/>
          <w:lang w:val="fr-FR"/>
        </w:rPr>
      </w:pPr>
      <w:r w:rsidRPr="009F553E">
        <w:rPr>
          <w:sz w:val="21"/>
          <w:szCs w:val="21"/>
          <w:lang w:val="fr-FR"/>
        </w:rPr>
        <w:t>D</w:t>
      </w:r>
      <w:r w:rsidRPr="009F553E">
        <w:rPr>
          <w:bCs/>
          <w:sz w:val="21"/>
          <w:szCs w:val="21"/>
          <w:lang w:val="fr-FR"/>
        </w:rPr>
        <w:t>es</w:t>
      </w:r>
      <w:r w:rsidRPr="009F553E">
        <w:rPr>
          <w:sz w:val="21"/>
          <w:szCs w:val="21"/>
          <w:lang w:val="fr-FR"/>
        </w:rPr>
        <w:t xml:space="preserve"> plans d’amélioration des impacts positifs (mesures de bonification) ;</w:t>
      </w:r>
    </w:p>
    <w:p w14:paraId="341D633B" w14:textId="77777777" w:rsidR="009021F1" w:rsidRPr="009F553E" w:rsidRDefault="009021F1" w:rsidP="009021F1">
      <w:pPr>
        <w:pStyle w:val="Commentaire"/>
        <w:numPr>
          <w:ilvl w:val="0"/>
          <w:numId w:val="147"/>
        </w:numPr>
        <w:spacing w:line="276" w:lineRule="auto"/>
        <w:jc w:val="left"/>
        <w:rPr>
          <w:sz w:val="21"/>
          <w:szCs w:val="21"/>
          <w:lang w:val="fr-FR"/>
        </w:rPr>
      </w:pPr>
      <w:r w:rsidRPr="009F553E">
        <w:rPr>
          <w:sz w:val="21"/>
          <w:szCs w:val="21"/>
          <w:lang w:val="fr-FR"/>
        </w:rPr>
        <w:t>Des modalités institutionnelles de chaque activité ; et</w:t>
      </w:r>
    </w:p>
    <w:p w14:paraId="6674AAD1" w14:textId="22658948" w:rsidR="009021F1" w:rsidRDefault="009021F1" w:rsidP="009021F1">
      <w:pPr>
        <w:pStyle w:val="Commentaire"/>
        <w:numPr>
          <w:ilvl w:val="0"/>
          <w:numId w:val="147"/>
        </w:numPr>
        <w:spacing w:line="276" w:lineRule="auto"/>
        <w:jc w:val="left"/>
        <w:rPr>
          <w:sz w:val="21"/>
          <w:szCs w:val="21"/>
        </w:rPr>
      </w:pPr>
      <w:r w:rsidRPr="009F553E">
        <w:rPr>
          <w:sz w:val="21"/>
          <w:szCs w:val="21"/>
        </w:rPr>
        <w:t>les procédures d'établissement de rapports</w:t>
      </w:r>
    </w:p>
    <w:p w14:paraId="2C50542B" w14:textId="20B9B443" w:rsidR="005B2876" w:rsidRPr="00B1320C" w:rsidRDefault="005B2876" w:rsidP="005B2876">
      <w:pPr>
        <w:pStyle w:val="Commentaire"/>
        <w:spacing w:line="276" w:lineRule="auto"/>
        <w:jc w:val="left"/>
        <w:rPr>
          <w:b/>
          <w:sz w:val="21"/>
          <w:szCs w:val="21"/>
        </w:rPr>
      </w:pPr>
    </w:p>
    <w:p w14:paraId="0F45427D" w14:textId="1F73622B" w:rsidR="005B2876" w:rsidRPr="00B1320C" w:rsidRDefault="005B2876" w:rsidP="005B2876">
      <w:pPr>
        <w:pStyle w:val="Commentaire"/>
        <w:spacing w:line="276" w:lineRule="auto"/>
        <w:jc w:val="left"/>
        <w:rPr>
          <w:rFonts w:cs="Arial"/>
          <w:b/>
          <w:sz w:val="21"/>
          <w:szCs w:val="21"/>
          <w:lang w:val="fr-FR"/>
        </w:rPr>
      </w:pPr>
      <w:r w:rsidRPr="00B1320C">
        <w:rPr>
          <w:sz w:val="21"/>
          <w:szCs w:val="21"/>
          <w:lang w:val="fr-FR" w:eastAsia="fr-FR"/>
        </w:rPr>
        <w:t>Éléments clés du plan d’action de réponse au COVID-19</w:t>
      </w:r>
    </w:p>
    <w:p w14:paraId="2889C881" w14:textId="48DDB386" w:rsidR="005B2876" w:rsidRDefault="005B2876" w:rsidP="005B2876">
      <w:pPr>
        <w:pStyle w:val="Commentaire"/>
        <w:spacing w:line="276" w:lineRule="auto"/>
        <w:jc w:val="left"/>
        <w:rPr>
          <w:sz w:val="21"/>
          <w:szCs w:val="21"/>
          <w:lang w:val="fr-FR"/>
        </w:rPr>
      </w:pPr>
    </w:p>
    <w:p w14:paraId="5D4C91F6" w14:textId="02ACED1C" w:rsidR="00722A6A" w:rsidRPr="00722A6A" w:rsidRDefault="005B2876" w:rsidP="00B1320C">
      <w:pPr>
        <w:numPr>
          <w:ilvl w:val="0"/>
          <w:numId w:val="145"/>
        </w:numPr>
        <w:ind w:left="1247"/>
        <w:rPr>
          <w:szCs w:val="21"/>
        </w:rPr>
      </w:pPr>
      <w:r w:rsidRPr="00722A6A">
        <w:rPr>
          <w:szCs w:val="21"/>
        </w:rPr>
        <w:t xml:space="preserve">Une </w:t>
      </w:r>
      <w:r w:rsidRPr="00B1320C">
        <w:rPr>
          <w:szCs w:val="21"/>
        </w:rPr>
        <w:t xml:space="preserve">stratégie de sensibilisation </w:t>
      </w:r>
      <w:r w:rsidR="00722A6A" w:rsidRPr="00B1320C">
        <w:rPr>
          <w:szCs w:val="21"/>
        </w:rPr>
        <w:t xml:space="preserve">de la communauté </w:t>
      </w:r>
      <w:r w:rsidR="00B1320C" w:rsidRPr="00B1320C">
        <w:rPr>
          <w:szCs w:val="21"/>
        </w:rPr>
        <w:t>locale et travailleurs sur</w:t>
      </w:r>
      <w:r w:rsidR="00722A6A" w:rsidRPr="00B1320C">
        <w:rPr>
          <w:szCs w:val="21"/>
        </w:rPr>
        <w:t xml:space="preserve"> </w:t>
      </w:r>
      <w:r w:rsidR="00B1320C" w:rsidRPr="00B1320C">
        <w:rPr>
          <w:szCs w:val="21"/>
        </w:rPr>
        <w:t>la pandemie de</w:t>
      </w:r>
      <w:r w:rsidR="00722A6A" w:rsidRPr="00722A6A">
        <w:rPr>
          <w:szCs w:val="21"/>
        </w:rPr>
        <w:t xml:space="preserve"> COVID19 </w:t>
      </w:r>
      <w:r w:rsidR="00722A6A" w:rsidRPr="00B1320C">
        <w:rPr>
          <w:szCs w:val="21"/>
        </w:rPr>
        <w:t>;</w:t>
      </w:r>
    </w:p>
    <w:p w14:paraId="3930112D" w14:textId="08E684EA" w:rsidR="00722A6A" w:rsidRPr="00722A6A" w:rsidRDefault="00722A6A" w:rsidP="00B1320C">
      <w:pPr>
        <w:numPr>
          <w:ilvl w:val="0"/>
          <w:numId w:val="145"/>
        </w:numPr>
        <w:ind w:left="1247"/>
        <w:rPr>
          <w:szCs w:val="21"/>
        </w:rPr>
      </w:pPr>
      <w:r w:rsidRPr="00722A6A">
        <w:rPr>
          <w:szCs w:val="21"/>
        </w:rPr>
        <w:t xml:space="preserve">Une </w:t>
      </w:r>
      <w:r w:rsidRPr="00B1320C">
        <w:rPr>
          <w:szCs w:val="21"/>
        </w:rPr>
        <w:t xml:space="preserve">stratégie de sensibilisation de la communauté locale </w:t>
      </w:r>
      <w:r w:rsidR="00B1320C" w:rsidRPr="00B1320C">
        <w:rPr>
          <w:szCs w:val="21"/>
        </w:rPr>
        <w:t xml:space="preserve">et travailleurs sur </w:t>
      </w:r>
      <w:r w:rsidRPr="00B1320C">
        <w:rPr>
          <w:szCs w:val="21"/>
        </w:rPr>
        <w:t xml:space="preserve">les mesures de prévention et de </w:t>
      </w:r>
      <w:r w:rsidRPr="00722A6A">
        <w:rPr>
          <w:szCs w:val="21"/>
        </w:rPr>
        <w:t>lutte contre l</w:t>
      </w:r>
      <w:r w:rsidR="00B1320C">
        <w:rPr>
          <w:szCs w:val="21"/>
        </w:rPr>
        <w:t>e</w:t>
      </w:r>
      <w:r w:rsidRPr="00722A6A">
        <w:rPr>
          <w:szCs w:val="21"/>
        </w:rPr>
        <w:t xml:space="preserve"> COVID19 </w:t>
      </w:r>
      <w:r w:rsidRPr="00B1320C">
        <w:rPr>
          <w:szCs w:val="21"/>
        </w:rPr>
        <w:t>;</w:t>
      </w:r>
    </w:p>
    <w:p w14:paraId="33D0D28B" w14:textId="22CB25AC" w:rsidR="00722A6A" w:rsidRPr="00722A6A" w:rsidRDefault="00722A6A" w:rsidP="00B1320C">
      <w:pPr>
        <w:numPr>
          <w:ilvl w:val="0"/>
          <w:numId w:val="145"/>
        </w:numPr>
        <w:ind w:left="1247"/>
        <w:rPr>
          <w:szCs w:val="21"/>
        </w:rPr>
      </w:pPr>
      <w:r w:rsidRPr="00722A6A">
        <w:rPr>
          <w:szCs w:val="21"/>
        </w:rPr>
        <w:t xml:space="preserve">Une </w:t>
      </w:r>
      <w:r w:rsidRPr="00B1320C">
        <w:rPr>
          <w:szCs w:val="21"/>
        </w:rPr>
        <w:t xml:space="preserve">stratégie de sensibilisation </w:t>
      </w:r>
      <w:r w:rsidR="00B1320C" w:rsidRPr="00B1320C">
        <w:rPr>
          <w:szCs w:val="21"/>
        </w:rPr>
        <w:t xml:space="preserve">de la communauté locale et travailleurs </w:t>
      </w:r>
      <w:r w:rsidRPr="00B1320C">
        <w:rPr>
          <w:szCs w:val="21"/>
        </w:rPr>
        <w:t>sur les mesures barrières ;</w:t>
      </w:r>
    </w:p>
    <w:p w14:paraId="33DFB007" w14:textId="0E85C526" w:rsidR="005B2876" w:rsidRPr="00B1320C" w:rsidRDefault="00B1320C" w:rsidP="00B1320C">
      <w:pPr>
        <w:numPr>
          <w:ilvl w:val="0"/>
          <w:numId w:val="145"/>
        </w:numPr>
        <w:ind w:left="1247"/>
        <w:rPr>
          <w:szCs w:val="21"/>
        </w:rPr>
      </w:pPr>
      <w:r w:rsidRPr="00B1320C">
        <w:rPr>
          <w:szCs w:val="21"/>
        </w:rPr>
        <w:t xml:space="preserve">Une stratégie de sensibilisation des </w:t>
      </w:r>
      <w:r w:rsidR="005B2876" w:rsidRPr="00B1320C">
        <w:rPr>
          <w:szCs w:val="21"/>
        </w:rPr>
        <w:t>travailleurs et les populations riveraines sur les règles d’hygiène respiratoire</w:t>
      </w:r>
      <w:r>
        <w:rPr>
          <w:szCs w:val="21"/>
        </w:rPr>
        <w:t>.</w:t>
      </w:r>
      <w:r w:rsidR="005B2876" w:rsidRPr="00B1320C">
        <w:rPr>
          <w:szCs w:val="21"/>
        </w:rPr>
        <w:t> </w:t>
      </w:r>
    </w:p>
    <w:p w14:paraId="24CA12B5" w14:textId="77777777" w:rsidR="009021F1" w:rsidRPr="009F553E" w:rsidRDefault="009021F1" w:rsidP="009021F1">
      <w:pPr>
        <w:rPr>
          <w:rFonts w:cs="Arial"/>
          <w:szCs w:val="21"/>
        </w:rPr>
      </w:pPr>
    </w:p>
    <w:p w14:paraId="773C6A1D" w14:textId="77777777" w:rsidR="009021F1" w:rsidRPr="009F553E" w:rsidRDefault="009021F1" w:rsidP="009021F1">
      <w:pPr>
        <w:pStyle w:val="Paragraphedeliste"/>
        <w:keepNext/>
        <w:numPr>
          <w:ilvl w:val="0"/>
          <w:numId w:val="14"/>
        </w:numPr>
        <w:autoSpaceDE w:val="0"/>
        <w:autoSpaceDN w:val="0"/>
        <w:adjustRightInd w:val="0"/>
        <w:contextualSpacing w:val="0"/>
        <w:outlineLvl w:val="1"/>
        <w:rPr>
          <w:rFonts w:cs="Arial"/>
          <w:b/>
          <w:bCs/>
          <w:vanish/>
          <w:szCs w:val="21"/>
        </w:rPr>
      </w:pPr>
      <w:bookmarkStart w:id="413" w:name="_Toc90471519"/>
      <w:bookmarkEnd w:id="413"/>
    </w:p>
    <w:p w14:paraId="63BFDBDC" w14:textId="77777777" w:rsidR="009021F1" w:rsidRPr="009F553E" w:rsidRDefault="009021F1" w:rsidP="009021F1">
      <w:pPr>
        <w:pStyle w:val="Paragraphedeliste"/>
        <w:keepNext/>
        <w:numPr>
          <w:ilvl w:val="0"/>
          <w:numId w:val="14"/>
        </w:numPr>
        <w:autoSpaceDE w:val="0"/>
        <w:autoSpaceDN w:val="0"/>
        <w:adjustRightInd w:val="0"/>
        <w:contextualSpacing w:val="0"/>
        <w:outlineLvl w:val="1"/>
        <w:rPr>
          <w:rFonts w:cs="Arial"/>
          <w:b/>
          <w:bCs/>
          <w:vanish/>
          <w:szCs w:val="21"/>
        </w:rPr>
      </w:pPr>
      <w:bookmarkStart w:id="414" w:name="_Toc90471520"/>
      <w:bookmarkEnd w:id="414"/>
    </w:p>
    <w:p w14:paraId="5262748B" w14:textId="77777777" w:rsidR="009021F1" w:rsidRPr="009F553E" w:rsidRDefault="009021F1" w:rsidP="009021F1">
      <w:pPr>
        <w:pStyle w:val="Titre2"/>
        <w:numPr>
          <w:ilvl w:val="1"/>
          <w:numId w:val="4"/>
        </w:numPr>
        <w:ind w:left="851" w:hanging="425"/>
        <w:rPr>
          <w:rFonts w:cs="Arial"/>
          <w:b/>
          <w:szCs w:val="21"/>
        </w:rPr>
      </w:pPr>
      <w:bookmarkStart w:id="415" w:name="_Toc90471521"/>
      <w:r w:rsidRPr="009F553E">
        <w:rPr>
          <w:rFonts w:cs="Arial"/>
          <w:b/>
          <w:szCs w:val="21"/>
        </w:rPr>
        <w:t>Procédure de gestion environnementale et sociale des sous-projets</w:t>
      </w:r>
      <w:bookmarkEnd w:id="415"/>
      <w:r w:rsidRPr="009F553E">
        <w:rPr>
          <w:rFonts w:cs="Arial"/>
          <w:b/>
          <w:szCs w:val="21"/>
        </w:rPr>
        <w:t xml:space="preserve"> </w:t>
      </w:r>
    </w:p>
    <w:p w14:paraId="261DC85F" w14:textId="77777777" w:rsidR="009021F1" w:rsidRPr="009F553E" w:rsidRDefault="009021F1" w:rsidP="009021F1">
      <w:pPr>
        <w:rPr>
          <w:rFonts w:cs="Arial"/>
          <w:szCs w:val="21"/>
        </w:rPr>
      </w:pPr>
    </w:p>
    <w:p w14:paraId="5F9CB01D" w14:textId="77777777" w:rsidR="009021F1" w:rsidRPr="009F553E" w:rsidRDefault="009021F1" w:rsidP="009021F1">
      <w:pPr>
        <w:pStyle w:val="Paragraphedeliste"/>
        <w:keepNext/>
        <w:numPr>
          <w:ilvl w:val="0"/>
          <w:numId w:val="14"/>
        </w:numPr>
        <w:tabs>
          <w:tab w:val="left" w:pos="720"/>
        </w:tabs>
        <w:contextualSpacing w:val="0"/>
        <w:jc w:val="left"/>
        <w:outlineLvl w:val="2"/>
        <w:rPr>
          <w:rFonts w:cs="Arial"/>
          <w:vanish/>
          <w:szCs w:val="21"/>
          <w:u w:val="single"/>
        </w:rPr>
      </w:pPr>
      <w:bookmarkStart w:id="416" w:name="_Toc90471522"/>
      <w:bookmarkEnd w:id="416"/>
    </w:p>
    <w:p w14:paraId="191D2CF1" w14:textId="77777777" w:rsidR="009021F1" w:rsidRPr="009F553E" w:rsidRDefault="009021F1" w:rsidP="009021F1">
      <w:pPr>
        <w:pStyle w:val="Paragraphedeliste"/>
        <w:keepNext/>
        <w:numPr>
          <w:ilvl w:val="1"/>
          <w:numId w:val="14"/>
        </w:numPr>
        <w:tabs>
          <w:tab w:val="left" w:pos="720"/>
        </w:tabs>
        <w:contextualSpacing w:val="0"/>
        <w:jc w:val="left"/>
        <w:outlineLvl w:val="2"/>
        <w:rPr>
          <w:rFonts w:cs="Arial"/>
          <w:vanish/>
          <w:szCs w:val="21"/>
          <w:u w:val="single"/>
        </w:rPr>
      </w:pPr>
      <w:bookmarkStart w:id="417" w:name="_Toc90471523"/>
      <w:bookmarkEnd w:id="417"/>
    </w:p>
    <w:p w14:paraId="0F51DC51" w14:textId="77777777" w:rsidR="009021F1" w:rsidRPr="009F553E" w:rsidRDefault="009021F1" w:rsidP="009021F1">
      <w:pPr>
        <w:pStyle w:val="Titre2"/>
        <w:numPr>
          <w:ilvl w:val="2"/>
          <w:numId w:val="4"/>
        </w:numPr>
        <w:ind w:left="1560" w:hanging="709"/>
        <w:rPr>
          <w:rFonts w:cs="Arial"/>
          <w:i/>
          <w:szCs w:val="21"/>
        </w:rPr>
      </w:pPr>
      <w:bookmarkStart w:id="418" w:name="_Toc90471524"/>
      <w:r w:rsidRPr="009F553E">
        <w:rPr>
          <w:rFonts w:cs="Arial"/>
          <w:i/>
          <w:szCs w:val="21"/>
        </w:rPr>
        <w:t>Critères environnementaux et sociaux d’éligibilité des sous-projets</w:t>
      </w:r>
      <w:bookmarkEnd w:id="418"/>
    </w:p>
    <w:p w14:paraId="527DBCD5" w14:textId="77777777" w:rsidR="009021F1" w:rsidRPr="009F553E" w:rsidRDefault="009021F1" w:rsidP="009021F1">
      <w:pPr>
        <w:rPr>
          <w:rFonts w:cs="Arial"/>
          <w:szCs w:val="21"/>
        </w:rPr>
      </w:pPr>
    </w:p>
    <w:p w14:paraId="3CC21411" w14:textId="77777777" w:rsidR="009021F1" w:rsidRPr="009F553E" w:rsidRDefault="009021F1" w:rsidP="009021F1">
      <w:pPr>
        <w:rPr>
          <w:rFonts w:cs="Arial"/>
          <w:szCs w:val="21"/>
        </w:rPr>
      </w:pPr>
      <w:r w:rsidRPr="009F553E">
        <w:rPr>
          <w:rFonts w:cs="Arial"/>
          <w:szCs w:val="21"/>
        </w:rPr>
        <w:t>La mise en œuvre de l’évaluation environnementale et sociale devra commencer par un tri préliminaire des activités des sous-projets. Le tri ou la sélection des sous-projets se fera sur la base de l’analyse préalable du formulaire de sélection environnementale et sociale et du formulaire d’identification des risques environnementaux et sociaux. Ces deux outils permettront de classer les activités du Projet dans l’une des quatre catégories selon le nouveau Cadre Environnemental et Social de la Banque Mondiale (risque élevé, substantiel, modéré et faible). Il est proposé dans le formulaire de sélection environnementale et sociale une procédure élargie incluant des critères environnementaux et sociaux (Génération d’emplois ; Prise en compte du genre/meilleur accès des femmes aux ressources et avantages du Projet, prise en compte de la situation de la COVID-19 ainsi que des risques de VBG, y compris l’EAS et le HS ; des conflits fonciers dans la zone ; d’intervention dans les aires protégées et zones de haute biodiversité ; intervention dans les zones humides d’intérêt écologique et les zones de frayères, prise en compte des populations autochtones).</w:t>
      </w:r>
    </w:p>
    <w:p w14:paraId="7C889E19" w14:textId="77777777" w:rsidR="009021F1" w:rsidRPr="009F553E" w:rsidRDefault="009021F1" w:rsidP="009021F1">
      <w:pPr>
        <w:pStyle w:val="Paragraphedeliste"/>
        <w:tabs>
          <w:tab w:val="left" w:pos="426"/>
        </w:tabs>
        <w:ind w:left="0"/>
        <w:rPr>
          <w:rFonts w:cs="Arial"/>
          <w:szCs w:val="21"/>
        </w:rPr>
      </w:pPr>
    </w:p>
    <w:p w14:paraId="202621B1" w14:textId="77777777" w:rsidR="009021F1" w:rsidRPr="009F553E" w:rsidRDefault="009021F1" w:rsidP="009021F1">
      <w:pPr>
        <w:pStyle w:val="Titre2"/>
        <w:numPr>
          <w:ilvl w:val="2"/>
          <w:numId w:val="4"/>
        </w:numPr>
        <w:ind w:left="1560" w:hanging="709"/>
        <w:rPr>
          <w:rFonts w:cs="Arial"/>
          <w:i/>
          <w:szCs w:val="21"/>
        </w:rPr>
      </w:pPr>
      <w:bookmarkStart w:id="419" w:name="_Toc90471525"/>
      <w:r w:rsidRPr="009F553E">
        <w:rPr>
          <w:rFonts w:cs="Arial"/>
          <w:i/>
          <w:szCs w:val="21"/>
        </w:rPr>
        <w:t>Procédures de gestion environnementale et sociale des sous-projets</w:t>
      </w:r>
      <w:bookmarkEnd w:id="419"/>
      <w:r w:rsidRPr="009F553E">
        <w:rPr>
          <w:rFonts w:cs="Arial"/>
          <w:i/>
          <w:szCs w:val="21"/>
        </w:rPr>
        <w:t xml:space="preserve"> </w:t>
      </w:r>
    </w:p>
    <w:p w14:paraId="71E73979" w14:textId="77777777" w:rsidR="009021F1" w:rsidRPr="009F553E" w:rsidRDefault="009021F1" w:rsidP="009021F1">
      <w:pPr>
        <w:rPr>
          <w:rFonts w:cs="Arial"/>
          <w:szCs w:val="21"/>
        </w:rPr>
      </w:pPr>
    </w:p>
    <w:p w14:paraId="4E94BD4F" w14:textId="77777777" w:rsidR="009021F1" w:rsidRPr="009F553E" w:rsidRDefault="009021F1" w:rsidP="009021F1">
      <w:pPr>
        <w:rPr>
          <w:rFonts w:cs="Arial"/>
          <w:szCs w:val="21"/>
        </w:rPr>
      </w:pPr>
      <w:r w:rsidRPr="009F553E">
        <w:rPr>
          <w:rFonts w:cs="Arial"/>
          <w:szCs w:val="21"/>
        </w:rPr>
        <w:t>Le processus de tri des sous- projets sera effectué par les SSE, SSS et SVBG du projet (selon que le sous-projet implique ou pas les IF) sur la base sur la base de l’analyse préalable du formulaire de sélection environnementale et sociale et du formulaire d’identification des risques environnementaux et sociaux.  En plus des impacts environnementaux et sociaux potentiels, les résultats de la sélection indiqueront également : (i) le type d’étude environnementale et sociale à mener ; (ii) le besoin de l’acquisition des terres ; et (ii) les types de consultations du public qui ont été menés pendant l’exercice de sélection.</w:t>
      </w:r>
    </w:p>
    <w:p w14:paraId="3B2F5E56" w14:textId="77777777" w:rsidR="009021F1" w:rsidRPr="009F553E" w:rsidRDefault="009021F1" w:rsidP="009021F1">
      <w:pPr>
        <w:rPr>
          <w:rFonts w:cs="Arial"/>
          <w:szCs w:val="21"/>
        </w:rPr>
      </w:pPr>
    </w:p>
    <w:p w14:paraId="2342CC88" w14:textId="77777777" w:rsidR="009021F1" w:rsidRPr="009F553E" w:rsidRDefault="009021F1" w:rsidP="009021F1">
      <w:pPr>
        <w:rPr>
          <w:rFonts w:cs="Arial"/>
          <w:szCs w:val="21"/>
        </w:rPr>
      </w:pPr>
      <w:r w:rsidRPr="009F553E">
        <w:rPr>
          <w:rFonts w:cs="Arial"/>
          <w:szCs w:val="21"/>
        </w:rPr>
        <w:t xml:space="preserve">Le processus décrit ci-dessous vise à garantir l’effectivité de la prise en compte des exigences environnementales et sociales dans tout le processus de planification, de préparation, de mise en œuvre et de suivi des activités du programme. </w:t>
      </w:r>
    </w:p>
    <w:p w14:paraId="54AD353A" w14:textId="77777777" w:rsidR="009021F1" w:rsidRPr="009F553E" w:rsidRDefault="009021F1" w:rsidP="009021F1">
      <w:pPr>
        <w:rPr>
          <w:rFonts w:cs="Arial"/>
          <w:szCs w:val="21"/>
        </w:rPr>
      </w:pPr>
    </w:p>
    <w:p w14:paraId="13DFD847" w14:textId="77777777" w:rsidR="009021F1" w:rsidRPr="009F553E" w:rsidRDefault="009021F1" w:rsidP="009021F1">
      <w:pPr>
        <w:rPr>
          <w:rFonts w:cs="Arial"/>
          <w:szCs w:val="21"/>
        </w:rPr>
      </w:pPr>
      <w:r w:rsidRPr="009F553E">
        <w:rPr>
          <w:rFonts w:cs="Arial"/>
          <w:szCs w:val="21"/>
        </w:rPr>
        <w:t>Pour être en conformité avec les exigences environnementales et sociales de la Banque mondiale et de la législation congolaise, le screening des sous-projets doit comprendre les étapes suivantes :</w:t>
      </w:r>
    </w:p>
    <w:p w14:paraId="0D78C5FB" w14:textId="77777777" w:rsidR="009021F1" w:rsidRPr="009F553E" w:rsidRDefault="009021F1" w:rsidP="009021F1">
      <w:pPr>
        <w:rPr>
          <w:rFonts w:cs="Arial"/>
          <w:b/>
          <w:i/>
          <w:szCs w:val="21"/>
        </w:rPr>
      </w:pPr>
    </w:p>
    <w:p w14:paraId="6D4FEBC6" w14:textId="77777777" w:rsidR="009021F1" w:rsidRPr="009F553E" w:rsidRDefault="009021F1" w:rsidP="009021F1">
      <w:pPr>
        <w:rPr>
          <w:rFonts w:cs="Arial"/>
          <w:bCs/>
          <w:i/>
          <w:szCs w:val="21"/>
        </w:rPr>
      </w:pPr>
      <w:r w:rsidRPr="009F553E">
        <w:rPr>
          <w:rFonts w:cs="Arial"/>
          <w:bCs/>
          <w:i/>
          <w:szCs w:val="21"/>
        </w:rPr>
        <w:t xml:space="preserve">Étape 1 : Classification environnementale et sociale des sous-projets </w:t>
      </w:r>
    </w:p>
    <w:p w14:paraId="2E14F09C" w14:textId="77777777" w:rsidR="009021F1" w:rsidRPr="009F553E" w:rsidRDefault="009021F1" w:rsidP="009021F1">
      <w:pPr>
        <w:rPr>
          <w:rFonts w:cs="Arial"/>
          <w:szCs w:val="21"/>
        </w:rPr>
      </w:pPr>
    </w:p>
    <w:p w14:paraId="745F56E0" w14:textId="77777777" w:rsidR="009021F1" w:rsidRPr="009F553E" w:rsidRDefault="009021F1" w:rsidP="009021F1">
      <w:pPr>
        <w:rPr>
          <w:rFonts w:cs="Arial"/>
          <w:szCs w:val="21"/>
        </w:rPr>
      </w:pPr>
      <w:r w:rsidRPr="009F553E">
        <w:rPr>
          <w:rFonts w:cs="Arial"/>
          <w:szCs w:val="21"/>
        </w:rPr>
        <w:t>Cette étape consiste surtout à identifier la localisation des sites et les principales activités du sous-projet en vue du remplissage du formulaire de sélection et classification environnementales et sociales du sous-projet.</w:t>
      </w:r>
    </w:p>
    <w:p w14:paraId="0894D726" w14:textId="77777777" w:rsidR="009021F1" w:rsidRPr="009F553E" w:rsidRDefault="009021F1" w:rsidP="009021F1">
      <w:pPr>
        <w:rPr>
          <w:rFonts w:cs="Arial"/>
          <w:szCs w:val="21"/>
        </w:rPr>
      </w:pPr>
    </w:p>
    <w:p w14:paraId="510E8560" w14:textId="77777777" w:rsidR="009021F1" w:rsidRPr="009F553E" w:rsidRDefault="009021F1" w:rsidP="009021F1">
      <w:pPr>
        <w:rPr>
          <w:rFonts w:cs="Arial"/>
          <w:szCs w:val="21"/>
        </w:rPr>
      </w:pPr>
      <w:r w:rsidRPr="009F553E">
        <w:rPr>
          <w:rFonts w:cs="Arial"/>
          <w:szCs w:val="21"/>
        </w:rPr>
        <w:t xml:space="preserve">Les exigences de la Banque Mondiale (notamment la NES n°1 : Évaluation et gestion des risques et effets environnementaux et sociaux), ont établi quatre niveaux de risque de la manière suivante : </w:t>
      </w:r>
    </w:p>
    <w:p w14:paraId="351F9309" w14:textId="77777777" w:rsidR="009021F1" w:rsidRPr="009F553E" w:rsidRDefault="009021F1" w:rsidP="009021F1">
      <w:pPr>
        <w:rPr>
          <w:rFonts w:cs="Arial"/>
          <w:szCs w:val="21"/>
        </w:rPr>
      </w:pPr>
    </w:p>
    <w:p w14:paraId="17588DF9" w14:textId="77777777" w:rsidR="009021F1" w:rsidRPr="009F553E" w:rsidRDefault="009021F1" w:rsidP="009021F1">
      <w:pPr>
        <w:numPr>
          <w:ilvl w:val="0"/>
          <w:numId w:val="51"/>
        </w:numPr>
        <w:rPr>
          <w:rFonts w:cs="Arial"/>
          <w:szCs w:val="21"/>
        </w:rPr>
      </w:pPr>
      <w:r w:rsidRPr="009F553E">
        <w:rPr>
          <w:rFonts w:cs="Arial"/>
          <w:szCs w:val="21"/>
        </w:rPr>
        <w:t>Risque élevé ;</w:t>
      </w:r>
    </w:p>
    <w:p w14:paraId="3B4B4ACC" w14:textId="77777777" w:rsidR="009021F1" w:rsidRPr="009F553E" w:rsidRDefault="009021F1" w:rsidP="009021F1">
      <w:pPr>
        <w:numPr>
          <w:ilvl w:val="0"/>
          <w:numId w:val="51"/>
        </w:numPr>
        <w:rPr>
          <w:rFonts w:cs="Arial"/>
          <w:szCs w:val="21"/>
        </w:rPr>
      </w:pPr>
      <w:r w:rsidRPr="009F553E">
        <w:rPr>
          <w:rFonts w:cs="Arial"/>
          <w:szCs w:val="21"/>
        </w:rPr>
        <w:t>Risque substantiel ;</w:t>
      </w:r>
    </w:p>
    <w:p w14:paraId="52813692" w14:textId="77777777" w:rsidR="009021F1" w:rsidRPr="009F553E" w:rsidRDefault="009021F1" w:rsidP="009021F1">
      <w:pPr>
        <w:numPr>
          <w:ilvl w:val="0"/>
          <w:numId w:val="51"/>
        </w:numPr>
        <w:rPr>
          <w:rFonts w:cs="Arial"/>
          <w:szCs w:val="21"/>
        </w:rPr>
      </w:pPr>
      <w:r w:rsidRPr="009F553E">
        <w:rPr>
          <w:rFonts w:cs="Arial"/>
          <w:szCs w:val="21"/>
        </w:rPr>
        <w:t>Risque modéré ; et</w:t>
      </w:r>
    </w:p>
    <w:p w14:paraId="42175D4D" w14:textId="77777777" w:rsidR="009021F1" w:rsidRPr="009F553E" w:rsidRDefault="009021F1" w:rsidP="009021F1">
      <w:pPr>
        <w:numPr>
          <w:ilvl w:val="0"/>
          <w:numId w:val="51"/>
        </w:numPr>
        <w:rPr>
          <w:rFonts w:cs="Arial"/>
          <w:szCs w:val="21"/>
        </w:rPr>
      </w:pPr>
      <w:r w:rsidRPr="009F553E">
        <w:rPr>
          <w:rFonts w:cs="Arial"/>
          <w:szCs w:val="21"/>
        </w:rPr>
        <w:t>Risque faible.</w:t>
      </w:r>
    </w:p>
    <w:p w14:paraId="156319C8" w14:textId="77777777" w:rsidR="009021F1" w:rsidRPr="009F553E" w:rsidRDefault="009021F1" w:rsidP="009021F1">
      <w:pPr>
        <w:pStyle w:val="Commentaire"/>
        <w:spacing w:line="276" w:lineRule="auto"/>
        <w:rPr>
          <w:rFonts w:cs="Arial"/>
          <w:sz w:val="21"/>
          <w:szCs w:val="21"/>
        </w:rPr>
      </w:pPr>
    </w:p>
    <w:p w14:paraId="15E0DA16" w14:textId="77777777" w:rsidR="009021F1" w:rsidRPr="009F553E" w:rsidRDefault="009021F1" w:rsidP="009021F1">
      <w:pPr>
        <w:rPr>
          <w:rFonts w:cs="Arial"/>
          <w:szCs w:val="21"/>
        </w:rPr>
      </w:pPr>
      <w:r w:rsidRPr="009F553E">
        <w:rPr>
          <w:rFonts w:cs="Arial"/>
          <w:szCs w:val="21"/>
        </w:rPr>
        <w:t>Pour déterminer la classification appropriée des risques, la Banque mondiale tient compte des questions pertinentes telles que la nature, la localisation, la sensibilité et l’envergure du Projet ; la nature et l’ampleur des risques et effets environnementaux et sociaux potentiels ; et la capacité et la disposition de l’Emprunteur (et de toute entité chargée de la mise en œuvre du Projet) à gérer les risques et effets environnementaux et sociaux d’une manière conforme aux NES. La détermination des risques d’EAS/HS et COVID-19 fait partie de l'évaluation des risques sociaux mais utilise un outil différent. Les risques d’EAS/HS et COVID-19 sont identifiés à l'aide de l'outil de dépistage des risques d’EAS/HS avec des indicateurs liés au contexte du pays, en tenant que des aspects genre, la prévalence des VBG, la législation en faveur des droits des femmes et en lutte contre les VBG, etc., ainsi qu’au Projet compte tenu des activités prévues, les zones d’intervention du projet, la présence militaire, etc.</w:t>
      </w:r>
    </w:p>
    <w:p w14:paraId="6E1B3BF5" w14:textId="77777777" w:rsidR="009021F1" w:rsidRPr="009F553E" w:rsidRDefault="009021F1" w:rsidP="009021F1">
      <w:pPr>
        <w:rPr>
          <w:rFonts w:cs="Arial"/>
          <w:szCs w:val="21"/>
        </w:rPr>
      </w:pPr>
      <w:r w:rsidRPr="009F553E">
        <w:rPr>
          <w:rFonts w:cs="Arial"/>
          <w:szCs w:val="21"/>
        </w:rPr>
        <w:t xml:space="preserve">Cette étape va porter sur la classification environnementale et sociale des projets retenus dans le cadre du PNDA, pour pouvoir apprécier ses effets sur l’environnement et le social. Pour cela, il a été conçu un formulaire initial de sélection qui figure en Annexe 1 du présent rapport. </w:t>
      </w:r>
    </w:p>
    <w:p w14:paraId="25D80829" w14:textId="77777777" w:rsidR="009021F1" w:rsidRPr="009F553E" w:rsidRDefault="009021F1" w:rsidP="009021F1">
      <w:pPr>
        <w:rPr>
          <w:szCs w:val="21"/>
        </w:rPr>
      </w:pPr>
    </w:p>
    <w:p w14:paraId="6BBDE4EF" w14:textId="77777777" w:rsidR="009021F1" w:rsidRPr="009F553E" w:rsidRDefault="009021F1" w:rsidP="009021F1">
      <w:pPr>
        <w:rPr>
          <w:rFonts w:cs="Arial"/>
          <w:szCs w:val="21"/>
          <w:u w:val="single"/>
        </w:rPr>
      </w:pPr>
      <w:r w:rsidRPr="009F553E">
        <w:rPr>
          <w:rFonts w:cs="Arial"/>
          <w:szCs w:val="21"/>
          <w:u w:val="single"/>
        </w:rPr>
        <w:t>En phase de préparation du PNDA</w:t>
      </w:r>
    </w:p>
    <w:p w14:paraId="6F048F12" w14:textId="77777777" w:rsidR="009021F1" w:rsidRPr="009F553E" w:rsidRDefault="009021F1" w:rsidP="009021F1">
      <w:pPr>
        <w:rPr>
          <w:rFonts w:cs="Arial"/>
          <w:szCs w:val="21"/>
        </w:rPr>
      </w:pPr>
    </w:p>
    <w:p w14:paraId="1CF19542" w14:textId="77777777" w:rsidR="009021F1" w:rsidRPr="009F553E" w:rsidRDefault="009021F1" w:rsidP="009021F1">
      <w:pPr>
        <w:rPr>
          <w:rFonts w:cs="Arial"/>
          <w:szCs w:val="21"/>
        </w:rPr>
      </w:pPr>
      <w:r w:rsidRPr="009F553E">
        <w:rPr>
          <w:rFonts w:cs="Arial"/>
          <w:szCs w:val="21"/>
        </w:rPr>
        <w:t>La phase de préparation du Projet est assurée par l’UNCP du PARRSA avec l’appui du Comité Technique Préparatoire et de Suivi du PNDA mis en place le 11 juin 2019 par le Ministère de l’Agriculture. Durant cette phase, en cas de réalisation d’un sous-projet, le remplissage du formulaire initial de sélection sera effectué par le Spécialiste en Sauvegarde Environnementale (SSE), le Spécialiste en Sauvegarde</w:t>
      </w:r>
      <w:r w:rsidRPr="009F553E" w:rsidDel="001F01F3">
        <w:rPr>
          <w:rFonts w:cs="Arial"/>
          <w:szCs w:val="21"/>
        </w:rPr>
        <w:t xml:space="preserve"> </w:t>
      </w:r>
      <w:r w:rsidRPr="009F553E">
        <w:rPr>
          <w:rFonts w:cs="Arial"/>
          <w:szCs w:val="21"/>
        </w:rPr>
        <w:t>Social (SSS) et le Spécialiste en VBG (SVBG) qui sont déjà en fonction à l’UNCP/PARRSA. Ces derniers procéderont également à la classification du projet. </w:t>
      </w:r>
    </w:p>
    <w:p w14:paraId="7AF7D838" w14:textId="77777777" w:rsidR="009021F1" w:rsidRPr="009F553E" w:rsidRDefault="009021F1" w:rsidP="009021F1">
      <w:pPr>
        <w:rPr>
          <w:rFonts w:cs="Arial"/>
          <w:szCs w:val="21"/>
        </w:rPr>
      </w:pPr>
    </w:p>
    <w:p w14:paraId="112ED4FB" w14:textId="77777777" w:rsidR="009021F1" w:rsidRPr="009F553E" w:rsidRDefault="009021F1" w:rsidP="009021F1">
      <w:pPr>
        <w:tabs>
          <w:tab w:val="left" w:pos="6180"/>
        </w:tabs>
        <w:rPr>
          <w:rFonts w:cs="Arial"/>
          <w:szCs w:val="21"/>
          <w:u w:val="single"/>
        </w:rPr>
      </w:pPr>
      <w:r w:rsidRPr="009F553E">
        <w:rPr>
          <w:rFonts w:cs="Arial"/>
          <w:szCs w:val="21"/>
          <w:u w:val="single"/>
        </w:rPr>
        <w:t>En phase de mise en œuvre du Programme PNDA</w:t>
      </w:r>
    </w:p>
    <w:p w14:paraId="4CAD65BE" w14:textId="77777777" w:rsidR="009021F1" w:rsidRPr="009F553E" w:rsidRDefault="009021F1" w:rsidP="009021F1">
      <w:pPr>
        <w:rPr>
          <w:rFonts w:cs="Arial"/>
          <w:szCs w:val="21"/>
        </w:rPr>
      </w:pPr>
    </w:p>
    <w:p w14:paraId="33250B95" w14:textId="77777777" w:rsidR="009021F1" w:rsidRPr="009F553E" w:rsidRDefault="009021F1" w:rsidP="009021F1">
      <w:pPr>
        <w:rPr>
          <w:rFonts w:cs="Arial"/>
          <w:szCs w:val="21"/>
        </w:rPr>
      </w:pPr>
      <w:r w:rsidRPr="009F553E">
        <w:rPr>
          <w:rFonts w:cs="Arial"/>
          <w:szCs w:val="21"/>
        </w:rPr>
        <w:t>En phase de mise en œuvre, le remplissage du formulaire initial de sélection sera effectué par le SSE, le SSS, et le SVBG de l’UNCP.</w:t>
      </w:r>
    </w:p>
    <w:p w14:paraId="2F3A19A3" w14:textId="77777777" w:rsidR="009021F1" w:rsidRPr="009F553E" w:rsidRDefault="009021F1" w:rsidP="009021F1">
      <w:pPr>
        <w:rPr>
          <w:rFonts w:cs="Arial"/>
          <w:szCs w:val="21"/>
        </w:rPr>
      </w:pPr>
    </w:p>
    <w:p w14:paraId="62F65921" w14:textId="77777777" w:rsidR="009021F1" w:rsidRPr="009F553E" w:rsidRDefault="009021F1" w:rsidP="009021F1">
      <w:pPr>
        <w:rPr>
          <w:rFonts w:cs="Arial"/>
          <w:szCs w:val="21"/>
        </w:rPr>
      </w:pPr>
      <w:r w:rsidRPr="009F553E">
        <w:rPr>
          <w:rFonts w:cs="Arial"/>
          <w:szCs w:val="21"/>
        </w:rPr>
        <w:t xml:space="preserve">Ces spécialistes (SSE, SSS, SVBG) procéderont également à la classification du projet. </w:t>
      </w:r>
    </w:p>
    <w:p w14:paraId="1FC63BCE" w14:textId="77777777" w:rsidR="009021F1" w:rsidRPr="009F553E" w:rsidRDefault="009021F1" w:rsidP="009021F1">
      <w:pPr>
        <w:rPr>
          <w:rFonts w:cs="Arial"/>
          <w:szCs w:val="21"/>
        </w:rPr>
      </w:pPr>
    </w:p>
    <w:p w14:paraId="12F10822" w14:textId="77777777" w:rsidR="009021F1" w:rsidRPr="009F553E" w:rsidRDefault="009021F1" w:rsidP="009021F1">
      <w:pPr>
        <w:rPr>
          <w:rFonts w:cs="Arial"/>
          <w:bCs/>
          <w:i/>
          <w:szCs w:val="21"/>
        </w:rPr>
      </w:pPr>
      <w:r w:rsidRPr="009F553E">
        <w:rPr>
          <w:rFonts w:cs="Arial"/>
          <w:bCs/>
          <w:i/>
          <w:szCs w:val="21"/>
        </w:rPr>
        <w:t xml:space="preserve">Étape 2 : Sélection environnementale et sociale des sous-projets </w:t>
      </w:r>
    </w:p>
    <w:p w14:paraId="43D1BFF7" w14:textId="77777777" w:rsidR="009021F1" w:rsidRPr="009F553E" w:rsidRDefault="009021F1" w:rsidP="009021F1">
      <w:pPr>
        <w:rPr>
          <w:rFonts w:cs="Arial"/>
          <w:szCs w:val="21"/>
        </w:rPr>
      </w:pPr>
    </w:p>
    <w:p w14:paraId="60BE48BC" w14:textId="77777777" w:rsidR="009021F1" w:rsidRPr="009F553E" w:rsidRDefault="009021F1" w:rsidP="009021F1">
      <w:pPr>
        <w:rPr>
          <w:rFonts w:cs="Arial"/>
          <w:szCs w:val="21"/>
        </w:rPr>
      </w:pPr>
      <w:r w:rsidRPr="009F553E">
        <w:rPr>
          <w:rFonts w:cs="Arial"/>
          <w:szCs w:val="21"/>
        </w:rPr>
        <w:t>Le programme concevra un formulaire de sélection pour aider dans la sélection initiale des activités du PNDA. Le formulaire sera conçu pour mettre les informations entre les mains des exécutants et des analystes afin que les impacts environnementaux et sociaux et les mesures d’atténuation y relatives, s’il y en a, soient identifiés et/ou que les exigences en vue d’une analyse environnementale plus poussée soient déterminées. Le formulaire de sélection contient des informations qui permettront aux analystes de déterminer les aspects caractéristiques de l’environnement biophysique local et social aux fins d’évaluer les impacts environnementaux et socio-économiques potentiels de l’activité. Si le formulaire de sélection contient des réponses affirmatives quelques « Oui », ou celles négatives apparemment injustifiées  « Non », la demande du projet devrait expliquer de manière adéquate et démontrer que le sujet a été appréhendé pour éviter les effets/impacts négatifs inacceptables.</w:t>
      </w:r>
    </w:p>
    <w:p w14:paraId="7EF9449C" w14:textId="77777777" w:rsidR="009021F1" w:rsidRPr="009F553E" w:rsidRDefault="009021F1" w:rsidP="009021F1">
      <w:pPr>
        <w:rPr>
          <w:rFonts w:cs="Arial"/>
          <w:szCs w:val="21"/>
        </w:rPr>
      </w:pPr>
    </w:p>
    <w:p w14:paraId="3BCA1F97" w14:textId="77777777" w:rsidR="009021F1" w:rsidRPr="009F553E" w:rsidRDefault="009021F1" w:rsidP="009021F1">
      <w:pPr>
        <w:rPr>
          <w:rFonts w:cs="Arial"/>
          <w:bCs/>
          <w:i/>
          <w:szCs w:val="21"/>
        </w:rPr>
      </w:pPr>
      <w:r w:rsidRPr="009F553E">
        <w:rPr>
          <w:rFonts w:cs="Arial"/>
          <w:bCs/>
          <w:i/>
          <w:szCs w:val="21"/>
        </w:rPr>
        <w:t xml:space="preserve">Étape 3 : Approbation de la classification environnementale et sociale du sous-projet </w:t>
      </w:r>
    </w:p>
    <w:p w14:paraId="542AB4B4" w14:textId="77777777" w:rsidR="009021F1" w:rsidRPr="009F553E" w:rsidRDefault="009021F1" w:rsidP="009021F1">
      <w:pPr>
        <w:rPr>
          <w:rFonts w:cs="Arial"/>
          <w:szCs w:val="21"/>
        </w:rPr>
      </w:pPr>
    </w:p>
    <w:p w14:paraId="056336DC" w14:textId="77777777" w:rsidR="009021F1" w:rsidRPr="009F553E" w:rsidRDefault="009021F1" w:rsidP="009021F1">
      <w:pPr>
        <w:rPr>
          <w:rFonts w:cs="Arial"/>
          <w:szCs w:val="21"/>
        </w:rPr>
      </w:pPr>
      <w:r w:rsidRPr="009F553E">
        <w:rPr>
          <w:rFonts w:cs="Arial"/>
          <w:szCs w:val="21"/>
        </w:rPr>
        <w:t xml:space="preserve">La validation de la classification environnementale et sociale des sous-projets sera effectuée par la Banque Mondiale, après transmission de la fiche de dépistage (screening) de sous-projet par le PNDA (en phase de préparation du Projet). La législation nationale n’ayant pas établi une classification environnementale et sociale des sous-projets, c’est donc la catégorisation environnementale de la Banque mondiale qui va s’appliquer. </w:t>
      </w:r>
    </w:p>
    <w:p w14:paraId="4A3C44C0" w14:textId="77777777" w:rsidR="009021F1" w:rsidRPr="009F553E" w:rsidRDefault="009021F1" w:rsidP="009021F1">
      <w:pPr>
        <w:rPr>
          <w:rFonts w:cs="Arial"/>
          <w:bCs/>
          <w:i/>
          <w:szCs w:val="21"/>
        </w:rPr>
      </w:pPr>
    </w:p>
    <w:p w14:paraId="052667C0" w14:textId="77777777" w:rsidR="009021F1" w:rsidRPr="009F553E" w:rsidRDefault="009021F1" w:rsidP="009021F1">
      <w:pPr>
        <w:rPr>
          <w:rFonts w:cs="Arial"/>
          <w:bCs/>
          <w:i/>
          <w:szCs w:val="21"/>
        </w:rPr>
      </w:pPr>
      <w:r w:rsidRPr="009F553E">
        <w:rPr>
          <w:rFonts w:cs="Arial"/>
          <w:bCs/>
          <w:i/>
          <w:szCs w:val="21"/>
        </w:rPr>
        <w:t>Étape 4 : Préparation et approbation des TDR</w:t>
      </w:r>
      <w:r w:rsidRPr="009F553E">
        <w:rPr>
          <w:rFonts w:cs="Arial"/>
          <w:i/>
          <w:szCs w:val="21"/>
        </w:rPr>
        <w:t xml:space="preserve"> de l’instrument spécifique de sauvegarde E&amp;S de sous-projet</w:t>
      </w:r>
    </w:p>
    <w:p w14:paraId="2D66D6BD" w14:textId="77777777" w:rsidR="009021F1" w:rsidRPr="009F553E" w:rsidRDefault="009021F1" w:rsidP="009021F1">
      <w:pPr>
        <w:rPr>
          <w:rFonts w:cs="Arial"/>
          <w:szCs w:val="21"/>
        </w:rPr>
      </w:pPr>
    </w:p>
    <w:p w14:paraId="5D48EE05" w14:textId="77777777" w:rsidR="009021F1" w:rsidRPr="009F553E" w:rsidRDefault="009021F1" w:rsidP="009021F1">
      <w:pPr>
        <w:rPr>
          <w:rFonts w:cs="Arial"/>
          <w:szCs w:val="21"/>
        </w:rPr>
      </w:pPr>
      <w:r w:rsidRPr="009F553E">
        <w:rPr>
          <w:rFonts w:cs="Arial"/>
          <w:szCs w:val="21"/>
        </w:rPr>
        <w:t xml:space="preserve">La préparation des TDR sera effectuée par le SSE, le SSS, et le SVBG pour la phase de préparation et de la mise en œuvre du projet. </w:t>
      </w:r>
    </w:p>
    <w:p w14:paraId="51E01C18" w14:textId="77777777" w:rsidR="009021F1" w:rsidRPr="009F553E" w:rsidRDefault="009021F1" w:rsidP="009021F1">
      <w:pPr>
        <w:rPr>
          <w:rFonts w:cs="Arial"/>
          <w:szCs w:val="21"/>
        </w:rPr>
      </w:pPr>
    </w:p>
    <w:p w14:paraId="1DA29C3D" w14:textId="77777777" w:rsidR="009021F1" w:rsidRPr="009F553E" w:rsidRDefault="009021F1" w:rsidP="009021F1">
      <w:pPr>
        <w:rPr>
          <w:rFonts w:cs="Arial"/>
          <w:szCs w:val="21"/>
        </w:rPr>
      </w:pPr>
      <w:r w:rsidRPr="009F553E">
        <w:rPr>
          <w:rFonts w:cs="Arial"/>
          <w:szCs w:val="21"/>
        </w:rPr>
        <w:t>Ces TDR seront soumis à l’ACE et à la Banque Mondiale pour approbation.</w:t>
      </w:r>
    </w:p>
    <w:p w14:paraId="025089A2" w14:textId="77777777" w:rsidR="009021F1" w:rsidRPr="009F553E" w:rsidRDefault="009021F1" w:rsidP="009021F1">
      <w:pPr>
        <w:rPr>
          <w:rFonts w:cs="Arial"/>
          <w:bCs/>
          <w:i/>
          <w:szCs w:val="21"/>
        </w:rPr>
      </w:pPr>
    </w:p>
    <w:p w14:paraId="66BCCB8A" w14:textId="77777777" w:rsidR="009021F1" w:rsidRPr="009F553E" w:rsidRDefault="009021F1" w:rsidP="009021F1">
      <w:pPr>
        <w:rPr>
          <w:rFonts w:cs="Arial"/>
          <w:szCs w:val="21"/>
          <w:highlight w:val="yellow"/>
        </w:rPr>
      </w:pPr>
      <w:r w:rsidRPr="009F553E">
        <w:rPr>
          <w:rFonts w:cs="Arial"/>
          <w:bCs/>
          <w:i/>
          <w:szCs w:val="21"/>
        </w:rPr>
        <w:t>Étape 5 : Réalisation de l’étude y compris consultation du public</w:t>
      </w:r>
    </w:p>
    <w:p w14:paraId="73D9561B" w14:textId="77777777" w:rsidR="009021F1" w:rsidRPr="009F553E" w:rsidRDefault="009021F1" w:rsidP="009021F1">
      <w:pPr>
        <w:rPr>
          <w:rFonts w:cs="Arial"/>
          <w:szCs w:val="21"/>
        </w:rPr>
      </w:pPr>
    </w:p>
    <w:p w14:paraId="73C94D01" w14:textId="77777777" w:rsidR="009021F1" w:rsidRPr="009F553E" w:rsidRDefault="009021F1" w:rsidP="009021F1">
      <w:pPr>
        <w:rPr>
          <w:rFonts w:cs="Arial"/>
          <w:szCs w:val="21"/>
        </w:rPr>
      </w:pPr>
      <w:r w:rsidRPr="009F553E">
        <w:rPr>
          <w:rFonts w:cs="Arial"/>
          <w:szCs w:val="21"/>
        </w:rPr>
        <w:t>Pour les sous-projets ne nécessitant donc pas une étude environnementale et sociale supplémentaire importante mais uniquement de simples mesures d’atténuation, le SSE et le SSS ainsi que le SVBG vont puiser dans la liste des mesures environnementales et sociales, y compris celles liées à l’EAS/HS et COVID-19, proposées dans le CGES, les mesures jugées appropriées pour les inclure dans les dossiers d’appel d’offre et d’exécution.</w:t>
      </w:r>
    </w:p>
    <w:p w14:paraId="0C9C21AB" w14:textId="77777777" w:rsidR="009021F1" w:rsidRPr="009F553E" w:rsidRDefault="009021F1" w:rsidP="009021F1">
      <w:pPr>
        <w:rPr>
          <w:rFonts w:cs="Arial"/>
          <w:szCs w:val="21"/>
        </w:rPr>
      </w:pPr>
    </w:p>
    <w:p w14:paraId="5CC44BCD" w14:textId="77777777" w:rsidR="009021F1" w:rsidRPr="009F553E" w:rsidRDefault="009021F1" w:rsidP="009021F1">
      <w:pPr>
        <w:rPr>
          <w:rFonts w:cs="Arial"/>
          <w:szCs w:val="21"/>
        </w:rPr>
      </w:pPr>
      <w:r w:rsidRPr="009F553E">
        <w:rPr>
          <w:rFonts w:cs="Arial"/>
          <w:szCs w:val="21"/>
        </w:rPr>
        <w:t>Pour les sous-projets nécessitant donc une étude environnementale et sociale supplémentaire importante, le SSE et le SSS (pour la phase de préparation du projet) y compris le SVBG effectuent les activités suivantes : préparation des termes de référence pour l’ÉIES, NIES/PGES, PAR ou PSR ; participation au recrutement du consultant (firme ou bureau d’études spécialisés) pour élaborer l’ÉIES, révision des études produites par les consultants avant de les envoyer à la Banque mondiale et à l’ACE pour approbation.</w:t>
      </w:r>
    </w:p>
    <w:p w14:paraId="719CD787" w14:textId="77777777" w:rsidR="009021F1" w:rsidRPr="009F553E" w:rsidRDefault="009021F1" w:rsidP="009021F1">
      <w:pPr>
        <w:rPr>
          <w:rFonts w:cs="Arial"/>
          <w:szCs w:val="21"/>
        </w:rPr>
      </w:pPr>
    </w:p>
    <w:p w14:paraId="29055101" w14:textId="77777777" w:rsidR="009021F1" w:rsidRPr="009F553E" w:rsidRDefault="009021F1" w:rsidP="009021F1">
      <w:pPr>
        <w:rPr>
          <w:rFonts w:cs="Arial"/>
          <w:szCs w:val="21"/>
        </w:rPr>
      </w:pPr>
      <w:r w:rsidRPr="009F553E">
        <w:rPr>
          <w:rFonts w:cs="Arial"/>
          <w:szCs w:val="21"/>
        </w:rPr>
        <w:t>Les études environnementales et sociales seront préparées de manière indépendante, mais en étroite collaboration avec les études techniques.</w:t>
      </w:r>
    </w:p>
    <w:p w14:paraId="4C0149B0" w14:textId="77777777" w:rsidR="009021F1" w:rsidRPr="009F553E" w:rsidRDefault="009021F1" w:rsidP="009021F1">
      <w:pPr>
        <w:rPr>
          <w:rFonts w:cs="Arial"/>
          <w:szCs w:val="21"/>
        </w:rPr>
      </w:pPr>
    </w:p>
    <w:p w14:paraId="6874B2DC" w14:textId="77777777" w:rsidR="009021F1" w:rsidRPr="009F553E" w:rsidRDefault="009021F1" w:rsidP="009021F1">
      <w:pPr>
        <w:rPr>
          <w:rFonts w:cs="Arial"/>
          <w:bCs/>
          <w:i/>
          <w:iCs/>
          <w:szCs w:val="21"/>
        </w:rPr>
      </w:pPr>
      <w:r w:rsidRPr="009F553E">
        <w:rPr>
          <w:rFonts w:cs="Arial"/>
          <w:bCs/>
          <w:i/>
          <w:szCs w:val="21"/>
        </w:rPr>
        <w:t xml:space="preserve">Étape 6 : </w:t>
      </w:r>
      <w:r w:rsidRPr="009F553E">
        <w:rPr>
          <w:rFonts w:cs="Arial"/>
          <w:bCs/>
          <w:i/>
          <w:iCs/>
          <w:szCs w:val="21"/>
        </w:rPr>
        <w:t>Validation du document et obtention du certificat environnemental</w:t>
      </w:r>
    </w:p>
    <w:p w14:paraId="5FFE9E87" w14:textId="77777777" w:rsidR="009021F1" w:rsidRPr="009F553E" w:rsidRDefault="009021F1" w:rsidP="009021F1">
      <w:pPr>
        <w:rPr>
          <w:rFonts w:cs="Arial"/>
          <w:szCs w:val="21"/>
        </w:rPr>
      </w:pPr>
    </w:p>
    <w:p w14:paraId="46147D81" w14:textId="77777777" w:rsidR="009021F1" w:rsidRPr="009F553E" w:rsidRDefault="009021F1" w:rsidP="009021F1">
      <w:pPr>
        <w:rPr>
          <w:rFonts w:cs="Arial"/>
          <w:szCs w:val="21"/>
        </w:rPr>
      </w:pPr>
      <w:r w:rsidRPr="009F553E">
        <w:rPr>
          <w:rFonts w:cs="Arial"/>
          <w:szCs w:val="21"/>
        </w:rPr>
        <w:t>Les éventuels rapports d’études d’impact environnemental et social sont examinés et validés par l’ACE et la Banque mondiale qui s’assureront que, pour chaque projet, tous les risques et impacts environnementaux et sociaux ont été identifiés et que des mesures de mitigation effectives ont été proposées dans le cadre de la mise en œuvre du projet. Une fois les documents validés, l’ACE délivre un Certificat Environnemental au projet.</w:t>
      </w:r>
    </w:p>
    <w:p w14:paraId="1B1F9D40" w14:textId="77777777" w:rsidR="009021F1" w:rsidRPr="009F553E" w:rsidRDefault="009021F1" w:rsidP="009021F1">
      <w:pPr>
        <w:rPr>
          <w:rFonts w:cs="Arial"/>
          <w:szCs w:val="21"/>
        </w:rPr>
      </w:pPr>
    </w:p>
    <w:p w14:paraId="26E05C7F" w14:textId="77777777" w:rsidR="009021F1" w:rsidRPr="009F553E" w:rsidRDefault="009021F1" w:rsidP="009021F1">
      <w:pPr>
        <w:rPr>
          <w:rFonts w:cs="Arial"/>
          <w:bCs/>
          <w:i/>
          <w:iCs/>
          <w:szCs w:val="21"/>
        </w:rPr>
      </w:pPr>
      <w:r w:rsidRPr="009F553E">
        <w:rPr>
          <w:rFonts w:cs="Arial"/>
          <w:bCs/>
          <w:i/>
          <w:szCs w:val="21"/>
        </w:rPr>
        <w:t xml:space="preserve">Étape 7 : </w:t>
      </w:r>
      <w:r w:rsidRPr="009F553E">
        <w:rPr>
          <w:rFonts w:cs="Arial"/>
          <w:bCs/>
          <w:i/>
          <w:iCs/>
          <w:szCs w:val="21"/>
        </w:rPr>
        <w:t>Publication du document</w:t>
      </w:r>
    </w:p>
    <w:p w14:paraId="0849291D" w14:textId="77777777" w:rsidR="009021F1" w:rsidRPr="009F553E" w:rsidRDefault="009021F1" w:rsidP="009021F1">
      <w:pPr>
        <w:rPr>
          <w:rFonts w:cs="Arial"/>
          <w:szCs w:val="21"/>
        </w:rPr>
      </w:pPr>
    </w:p>
    <w:p w14:paraId="79BB011E" w14:textId="77777777" w:rsidR="009021F1" w:rsidRPr="009F553E" w:rsidRDefault="009021F1" w:rsidP="009021F1">
      <w:pPr>
        <w:rPr>
          <w:rFonts w:cs="Arial"/>
          <w:szCs w:val="21"/>
        </w:rPr>
      </w:pPr>
      <w:r w:rsidRPr="009F553E">
        <w:rPr>
          <w:rFonts w:cs="Arial"/>
          <w:szCs w:val="21"/>
        </w:rPr>
        <w:t>La législation nationale en matière d’ÉIES dispose que l’information et la participation du public doivent être assurées pendant l’exécution de l'étude d'impact sur l'environnement et le social, en collaboration avec les organes compétents de la circonscription administrative et du territoire concerné. Les consultations devront aussi être conduites durant le processus de sélection environnemental et social des projets. L’information du public comporte notamment une ou plusieurs réunions de présentation du projet regroupant les autorités locales, les populations, les Organisations Communautaires de Base (OCB), les groupes vulnérables, incluant des consultations indépendantes avec les femmes, etc. Ces consultations permettront d’identifier les principaux problèmes et de déterminer les modalités de prises en compte de différentes préoccupations dans les Termes de Référence de l’ÉIES à réaliser. Les résultats des consultations seront incorporés dans le rapport de l’ÉIES et seront rendus accessibles au public. Pour satisfaire aux exigences de consultation et de diffusion de la Banque Mondiale, le PNDA, en phase de préparation et de mise en œuvre, produira une lettre de diffusion par laquelle elle informera la Banque mondiale de l’approbation du CGES. Les ÉIES et/ou PGES doivent aussi être approuvées par la Banque mondiale et publiées sur le site web externe de la Banque mondiale sur requête du Gouvernement de la RDC.</w:t>
      </w:r>
    </w:p>
    <w:p w14:paraId="1626D5F6" w14:textId="77777777" w:rsidR="009021F1" w:rsidRPr="009F553E" w:rsidRDefault="009021F1" w:rsidP="009021F1">
      <w:pPr>
        <w:rPr>
          <w:rFonts w:cs="Arial"/>
          <w:bCs/>
          <w:i/>
          <w:szCs w:val="21"/>
        </w:rPr>
      </w:pPr>
    </w:p>
    <w:p w14:paraId="6AEAEDCB" w14:textId="77777777" w:rsidR="009021F1" w:rsidRPr="009F553E" w:rsidRDefault="009021F1" w:rsidP="009021F1">
      <w:pPr>
        <w:rPr>
          <w:rFonts w:cs="Arial"/>
          <w:i/>
          <w:szCs w:val="21"/>
        </w:rPr>
      </w:pPr>
      <w:r w:rsidRPr="009F553E">
        <w:rPr>
          <w:rFonts w:cs="Arial"/>
          <w:bCs/>
          <w:i/>
          <w:szCs w:val="21"/>
        </w:rPr>
        <w:t xml:space="preserve">Étape 8 : </w:t>
      </w:r>
      <w:r w:rsidRPr="009F553E">
        <w:rPr>
          <w:rFonts w:cs="Arial"/>
          <w:i/>
          <w:szCs w:val="21"/>
        </w:rPr>
        <w:t xml:space="preserve">Intégration des mesures dans les DAO du sous-projet et les plans d’exécution des activités </w:t>
      </w:r>
    </w:p>
    <w:p w14:paraId="51B18420" w14:textId="77777777" w:rsidR="009021F1" w:rsidRPr="009F553E" w:rsidRDefault="009021F1" w:rsidP="009021F1">
      <w:pPr>
        <w:rPr>
          <w:rFonts w:cs="Arial"/>
          <w:szCs w:val="21"/>
        </w:rPr>
      </w:pPr>
    </w:p>
    <w:p w14:paraId="22269160" w14:textId="77777777" w:rsidR="009021F1" w:rsidRPr="009F553E" w:rsidRDefault="009021F1" w:rsidP="009021F1">
      <w:pPr>
        <w:rPr>
          <w:rFonts w:cs="Arial"/>
          <w:szCs w:val="21"/>
        </w:rPr>
      </w:pPr>
      <w:r w:rsidRPr="009F553E">
        <w:rPr>
          <w:rFonts w:cs="Arial"/>
          <w:szCs w:val="21"/>
        </w:rPr>
        <w:t>En cas de travail environnemental et social, le Responsable Technique (RT) de l’activité, avec l’appui du SSE, le SSS et le SVBG (pour la phase de préparation et de mise en œuvre du projet), va intégrer les recommandations et autres mesures de gestion environnementale et sociale, y compris celles liées aux risques d’EAS/HS et de COVID-19, dans les dossiers d’appel d’offre et d’exécution des projets. Le Responsable en Passation des Marchés (SPM) apportera un appui. Le SSS, le SSS et le SVBG (pour les phases de préparation du projet et de mise en œuvre du projet) ne pourront instruire l’exécution des activités que lorsque toutes les diligences environnementales et sociales, y compris celles liées aux risques d’EAS/HS et de COVID-19, sont effectivement prises en compte et intégrées dans le sous-projet.</w:t>
      </w:r>
    </w:p>
    <w:p w14:paraId="3CA3C9DF" w14:textId="77777777" w:rsidR="009021F1" w:rsidRPr="009F553E" w:rsidRDefault="009021F1" w:rsidP="009021F1">
      <w:pPr>
        <w:rPr>
          <w:rFonts w:cs="Arial"/>
          <w:szCs w:val="21"/>
        </w:rPr>
      </w:pPr>
    </w:p>
    <w:p w14:paraId="72843A1D" w14:textId="77777777" w:rsidR="009021F1" w:rsidRPr="009F553E" w:rsidRDefault="009021F1" w:rsidP="009021F1">
      <w:pPr>
        <w:rPr>
          <w:rFonts w:cs="Arial"/>
          <w:szCs w:val="21"/>
        </w:rPr>
      </w:pPr>
      <w:r w:rsidRPr="009F553E">
        <w:rPr>
          <w:rFonts w:cs="Arial"/>
          <w:szCs w:val="21"/>
        </w:rPr>
        <w:t xml:space="preserve">Intégration des mesures environnementales et sociales dans les plans d’affaires des sous-projets </w:t>
      </w:r>
    </w:p>
    <w:p w14:paraId="55B65D06" w14:textId="77777777" w:rsidR="009021F1" w:rsidRPr="009F553E" w:rsidRDefault="009021F1" w:rsidP="009021F1">
      <w:pPr>
        <w:rPr>
          <w:rFonts w:cs="Arial"/>
          <w:szCs w:val="21"/>
        </w:rPr>
      </w:pPr>
    </w:p>
    <w:p w14:paraId="501B9DFF" w14:textId="77777777" w:rsidR="009021F1" w:rsidRPr="009F553E" w:rsidRDefault="009021F1" w:rsidP="009021F1">
      <w:pPr>
        <w:rPr>
          <w:rFonts w:cs="Arial"/>
          <w:i/>
          <w:szCs w:val="21"/>
        </w:rPr>
      </w:pPr>
      <w:r w:rsidRPr="009F553E">
        <w:rPr>
          <w:rFonts w:cs="Arial"/>
          <w:bCs/>
          <w:i/>
          <w:szCs w:val="21"/>
        </w:rPr>
        <w:t xml:space="preserve">Étape 9 : </w:t>
      </w:r>
      <w:r w:rsidRPr="009F553E">
        <w:rPr>
          <w:rFonts w:cs="Arial"/>
          <w:i/>
          <w:szCs w:val="21"/>
        </w:rPr>
        <w:t>Approbation du PGES entreprise (PGES-Chantier)</w:t>
      </w:r>
    </w:p>
    <w:p w14:paraId="4E893247" w14:textId="77777777" w:rsidR="009021F1" w:rsidRPr="009F553E" w:rsidRDefault="009021F1" w:rsidP="009021F1">
      <w:pPr>
        <w:rPr>
          <w:rFonts w:cs="Arial"/>
          <w:szCs w:val="21"/>
        </w:rPr>
      </w:pPr>
    </w:p>
    <w:p w14:paraId="005AA431" w14:textId="77777777" w:rsidR="009021F1" w:rsidRPr="009F553E" w:rsidRDefault="009021F1" w:rsidP="009021F1">
      <w:pPr>
        <w:rPr>
          <w:rFonts w:cs="Arial"/>
          <w:szCs w:val="21"/>
        </w:rPr>
      </w:pPr>
      <w:r w:rsidRPr="009F553E">
        <w:rPr>
          <w:rFonts w:cs="Arial"/>
          <w:szCs w:val="21"/>
        </w:rPr>
        <w:t xml:space="preserve">Les PGES chantier seront élaborés par les entreprises chargées d’exécuter les travaux approuvés par la Mission de contrôle et soumis pour avis aux SSE, SSS et SVBG.  </w:t>
      </w:r>
    </w:p>
    <w:p w14:paraId="30598979" w14:textId="77777777" w:rsidR="009021F1" w:rsidRPr="009F553E" w:rsidRDefault="009021F1" w:rsidP="009021F1">
      <w:pPr>
        <w:rPr>
          <w:rFonts w:cs="Arial"/>
          <w:szCs w:val="21"/>
        </w:rPr>
      </w:pPr>
    </w:p>
    <w:p w14:paraId="75FBBE19" w14:textId="77777777" w:rsidR="009021F1" w:rsidRPr="009F553E" w:rsidRDefault="009021F1" w:rsidP="009021F1">
      <w:pPr>
        <w:rPr>
          <w:rFonts w:cs="Arial"/>
          <w:szCs w:val="21"/>
        </w:rPr>
      </w:pPr>
      <w:r w:rsidRPr="009F553E">
        <w:rPr>
          <w:rFonts w:cs="Arial"/>
          <w:szCs w:val="21"/>
        </w:rPr>
        <w:t>Le processus décrit ci-après devra aussi être repris dans le Processus de Gestion de la Main-d’œuvre.</w:t>
      </w:r>
    </w:p>
    <w:p w14:paraId="55B8B6D2" w14:textId="77777777" w:rsidR="009021F1" w:rsidRPr="009F553E" w:rsidRDefault="009021F1" w:rsidP="009021F1">
      <w:pPr>
        <w:rPr>
          <w:rFonts w:cs="Arial"/>
          <w:szCs w:val="21"/>
        </w:rPr>
      </w:pPr>
    </w:p>
    <w:p w14:paraId="2A4A8C4E" w14:textId="77777777" w:rsidR="009021F1" w:rsidRPr="009F553E" w:rsidRDefault="009021F1" w:rsidP="009021F1">
      <w:pPr>
        <w:rPr>
          <w:rFonts w:cs="Arial"/>
          <w:szCs w:val="21"/>
        </w:rPr>
      </w:pPr>
      <w:r w:rsidRPr="009F553E">
        <w:rPr>
          <w:rFonts w:cs="Arial"/>
          <w:szCs w:val="21"/>
        </w:rPr>
        <w:t xml:space="preserve">Lors de la soumission de leurs Offres, </w:t>
      </w:r>
    </w:p>
    <w:p w14:paraId="08F5430A" w14:textId="77777777" w:rsidR="009021F1" w:rsidRPr="009F553E" w:rsidRDefault="009021F1" w:rsidP="009021F1">
      <w:pPr>
        <w:rPr>
          <w:rFonts w:cs="Arial"/>
          <w:szCs w:val="21"/>
        </w:rPr>
      </w:pPr>
    </w:p>
    <w:p w14:paraId="44197AAC" w14:textId="77777777" w:rsidR="009021F1" w:rsidRPr="009F553E" w:rsidRDefault="009021F1" w:rsidP="009021F1">
      <w:pPr>
        <w:pStyle w:val="Listepuces2"/>
        <w:spacing w:line="276" w:lineRule="auto"/>
        <w:jc w:val="both"/>
        <w:rPr>
          <w:rFonts w:ascii="Arial" w:hAnsi="Arial" w:cs="Arial"/>
          <w:sz w:val="21"/>
          <w:szCs w:val="21"/>
        </w:rPr>
      </w:pPr>
      <w:r w:rsidRPr="009F553E">
        <w:rPr>
          <w:rFonts w:ascii="Arial" w:hAnsi="Arial" w:cs="Arial"/>
          <w:sz w:val="21"/>
          <w:szCs w:val="21"/>
        </w:rPr>
        <w:t>Les entreprises, sur base du DAO/travaux qui renferme les clauses Environnementale et sociales figurant dans l’Annexe 3 ci-jointe, soumettront un plan environnemental et social préliminaire dans le cadre de leurs offres. Ce plan doit décrire les principes et la méthodologie qu'elles utiliseront pour traiter les questions environnementales, sociales, de santé et de sécurité dans le cadre du contrat, et comprendra tous les coûts associés à la gestion des questions environnementales et sociales associés à leurs offres ;</w:t>
      </w:r>
    </w:p>
    <w:p w14:paraId="2084007D" w14:textId="77777777" w:rsidR="009021F1" w:rsidRPr="009F553E" w:rsidRDefault="009021F1" w:rsidP="009021F1">
      <w:pPr>
        <w:pStyle w:val="Listepuces2"/>
        <w:spacing w:line="276" w:lineRule="auto"/>
        <w:jc w:val="both"/>
        <w:rPr>
          <w:rFonts w:ascii="Arial" w:hAnsi="Arial" w:cs="Arial"/>
          <w:iCs/>
          <w:sz w:val="21"/>
          <w:szCs w:val="21"/>
        </w:rPr>
      </w:pPr>
      <w:r w:rsidRPr="009F553E">
        <w:rPr>
          <w:rFonts w:ascii="Arial" w:hAnsi="Arial" w:cs="Arial"/>
          <w:sz w:val="21"/>
          <w:szCs w:val="21"/>
        </w:rPr>
        <w:t>La qualité du plan environnemental et social préliminaire, les performances environnementales et sociales passées des soumissionnaires, ainsi que leur capacité à gérer les questions environnementales et sociales, seront pris en compte lors de la sélection des entreprises </w:t>
      </w:r>
      <w:r w:rsidRPr="009F553E">
        <w:rPr>
          <w:rFonts w:ascii="Arial" w:hAnsi="Arial" w:cs="Arial"/>
          <w:iCs/>
          <w:sz w:val="21"/>
          <w:szCs w:val="21"/>
        </w:rPr>
        <w:t>;</w:t>
      </w:r>
    </w:p>
    <w:p w14:paraId="03137363" w14:textId="77777777" w:rsidR="009021F1" w:rsidRPr="009F553E" w:rsidRDefault="009021F1" w:rsidP="009021F1">
      <w:pPr>
        <w:pStyle w:val="Listepuces2"/>
        <w:spacing w:line="276" w:lineRule="auto"/>
        <w:jc w:val="both"/>
        <w:rPr>
          <w:rFonts w:ascii="Arial" w:hAnsi="Arial" w:cs="Arial"/>
          <w:sz w:val="21"/>
          <w:szCs w:val="21"/>
        </w:rPr>
      </w:pPr>
      <w:r w:rsidRPr="009F553E">
        <w:rPr>
          <w:rFonts w:ascii="Arial" w:hAnsi="Arial" w:cs="Arial"/>
          <w:sz w:val="21"/>
          <w:szCs w:val="21"/>
        </w:rPr>
        <w:t>Les entreprises sélectionnées prépareront alors un Plan de Gestion Environnementale et Sociale de chantier (PGES-C), détaillant la manière dont les mesures environnementales et sociales seront mises en œuvre, y compris les procédures de mise en œuvre et le personnel requis ;</w:t>
      </w:r>
    </w:p>
    <w:p w14:paraId="1C3E4461" w14:textId="77777777" w:rsidR="009021F1" w:rsidRPr="009F553E" w:rsidRDefault="009021F1" w:rsidP="009021F1">
      <w:pPr>
        <w:pStyle w:val="Listepuces2"/>
        <w:spacing w:line="276" w:lineRule="auto"/>
        <w:jc w:val="both"/>
        <w:rPr>
          <w:rFonts w:ascii="Arial" w:hAnsi="Arial" w:cs="Arial"/>
          <w:sz w:val="21"/>
          <w:szCs w:val="21"/>
        </w:rPr>
      </w:pPr>
      <w:r w:rsidRPr="009F553E">
        <w:rPr>
          <w:rFonts w:ascii="Arial" w:hAnsi="Arial" w:cs="Arial"/>
          <w:sz w:val="21"/>
          <w:szCs w:val="21"/>
        </w:rPr>
        <w:t>Le PGES-C devra être approuvé avant le démarrage des travaux ;</w:t>
      </w:r>
    </w:p>
    <w:p w14:paraId="1BD2058D" w14:textId="77777777" w:rsidR="009021F1" w:rsidRPr="009F553E" w:rsidRDefault="009021F1" w:rsidP="009021F1">
      <w:pPr>
        <w:pStyle w:val="Listepuces2"/>
        <w:spacing w:line="276" w:lineRule="auto"/>
        <w:jc w:val="both"/>
        <w:rPr>
          <w:rFonts w:ascii="Arial" w:hAnsi="Arial" w:cs="Arial"/>
          <w:sz w:val="21"/>
          <w:szCs w:val="21"/>
        </w:rPr>
      </w:pPr>
      <w:r w:rsidRPr="009F553E">
        <w:rPr>
          <w:rFonts w:ascii="Arial" w:hAnsi="Arial" w:cs="Arial"/>
          <w:sz w:val="21"/>
          <w:szCs w:val="21"/>
        </w:rPr>
        <w:t>A cet effet, il est approuvé d’abord par la Mission de contrôle, et ensuite par les spécialistes E&amp;S responsables du sous-projet PNDA ;</w:t>
      </w:r>
    </w:p>
    <w:p w14:paraId="632BA133" w14:textId="77777777" w:rsidR="009021F1" w:rsidRPr="009F553E" w:rsidRDefault="009021F1" w:rsidP="009021F1">
      <w:pPr>
        <w:pStyle w:val="Listepuces2"/>
        <w:spacing w:line="276" w:lineRule="auto"/>
        <w:jc w:val="both"/>
        <w:rPr>
          <w:rFonts w:ascii="Arial" w:hAnsi="Arial" w:cs="Arial"/>
          <w:sz w:val="21"/>
          <w:szCs w:val="21"/>
        </w:rPr>
      </w:pPr>
      <w:r w:rsidRPr="009F553E">
        <w:rPr>
          <w:rFonts w:ascii="Arial" w:hAnsi="Arial" w:cs="Arial"/>
          <w:sz w:val="21"/>
          <w:szCs w:val="21"/>
        </w:rPr>
        <w:t>La Banque mondiale sera saisie à son tour pour valider le PGES-C ;</w:t>
      </w:r>
    </w:p>
    <w:p w14:paraId="1BD41D76" w14:textId="77777777" w:rsidR="009021F1" w:rsidRPr="009F553E" w:rsidRDefault="009021F1" w:rsidP="009021F1">
      <w:pPr>
        <w:pStyle w:val="Listepuces2"/>
        <w:spacing w:line="276" w:lineRule="auto"/>
        <w:jc w:val="both"/>
        <w:rPr>
          <w:rFonts w:ascii="Arial" w:hAnsi="Arial" w:cs="Arial"/>
          <w:sz w:val="21"/>
          <w:szCs w:val="21"/>
        </w:rPr>
      </w:pPr>
      <w:r w:rsidRPr="009F553E">
        <w:rPr>
          <w:rFonts w:ascii="Arial" w:hAnsi="Arial" w:cs="Arial"/>
          <w:sz w:val="21"/>
          <w:szCs w:val="21"/>
        </w:rPr>
        <w:t>Après cette validation, un Ordre de service sera signé conjointement par le PNDA et l’Entreprise pour acter l’approbation définitive du PGES-C ;</w:t>
      </w:r>
    </w:p>
    <w:p w14:paraId="337AFBFA" w14:textId="77777777" w:rsidR="009021F1" w:rsidRPr="009F553E" w:rsidRDefault="009021F1" w:rsidP="009021F1">
      <w:pPr>
        <w:pStyle w:val="Listepuces2"/>
        <w:spacing w:line="276" w:lineRule="auto"/>
        <w:jc w:val="both"/>
        <w:rPr>
          <w:sz w:val="21"/>
          <w:szCs w:val="21"/>
        </w:rPr>
      </w:pPr>
      <w:r w:rsidRPr="009F553E">
        <w:rPr>
          <w:rFonts w:ascii="Arial" w:hAnsi="Arial" w:cs="Arial"/>
          <w:sz w:val="21"/>
          <w:szCs w:val="21"/>
        </w:rPr>
        <w:t>Le PGES-C ainsi préparé servira de base pour le suivi et le contrôle environnemental et social du chantier ainsi que pour l’évaluation de sa performance environnementale et sociale.</w:t>
      </w:r>
    </w:p>
    <w:p w14:paraId="102183EF" w14:textId="77777777" w:rsidR="009021F1" w:rsidRPr="009F553E" w:rsidRDefault="009021F1" w:rsidP="009021F1">
      <w:pPr>
        <w:spacing w:line="259" w:lineRule="auto"/>
        <w:ind w:firstLine="643"/>
        <w:jc w:val="left"/>
        <w:rPr>
          <w:szCs w:val="21"/>
        </w:rPr>
      </w:pPr>
    </w:p>
    <w:p w14:paraId="70CF20B1" w14:textId="77777777" w:rsidR="009021F1" w:rsidRDefault="009021F1" w:rsidP="009021F1">
      <w:pPr>
        <w:spacing w:line="240" w:lineRule="auto"/>
        <w:jc w:val="left"/>
        <w:rPr>
          <w:szCs w:val="21"/>
        </w:rPr>
      </w:pPr>
      <w:r>
        <w:rPr>
          <w:szCs w:val="21"/>
        </w:rPr>
        <w:br w:type="page"/>
      </w:r>
    </w:p>
    <w:p w14:paraId="55262155" w14:textId="77777777" w:rsidR="009021F1" w:rsidRPr="009F553E" w:rsidRDefault="009021F1" w:rsidP="009021F1">
      <w:pPr>
        <w:spacing w:line="259" w:lineRule="auto"/>
        <w:ind w:firstLine="643"/>
        <w:jc w:val="left"/>
        <w:rPr>
          <w:szCs w:val="21"/>
        </w:rPr>
      </w:pPr>
      <w:r w:rsidRPr="009F553E">
        <w:rPr>
          <w:szCs w:val="21"/>
        </w:rPr>
        <w:t>Les étapes de préparation du PGES-C se présentent comme suit :</w:t>
      </w:r>
    </w:p>
    <w:p w14:paraId="32D99D9C" w14:textId="77777777" w:rsidR="009021F1" w:rsidRPr="009F553E" w:rsidRDefault="009021F1" w:rsidP="009021F1">
      <w:pPr>
        <w:rPr>
          <w:szCs w:val="21"/>
        </w:rPr>
      </w:pPr>
      <w:r w:rsidRPr="009F553E">
        <w:rPr>
          <w:noProof/>
          <w:szCs w:val="21"/>
        </w:rPr>
        <mc:AlternateContent>
          <mc:Choice Requires="wps">
            <w:drawing>
              <wp:anchor distT="0" distB="0" distL="114300" distR="114300" simplePos="0" relativeHeight="251683884" behindDoc="0" locked="0" layoutInCell="1" allowOverlap="1" wp14:anchorId="6B4562FA" wp14:editId="5FF302A3">
                <wp:simplePos x="0" y="0"/>
                <wp:positionH relativeFrom="column">
                  <wp:posOffset>1360170</wp:posOffset>
                </wp:positionH>
                <wp:positionV relativeFrom="paragraph">
                  <wp:posOffset>113665</wp:posOffset>
                </wp:positionV>
                <wp:extent cx="2025015" cy="629920"/>
                <wp:effectExtent l="0" t="0" r="0" b="0"/>
                <wp:wrapNone/>
                <wp:docPr id="182" name="Rectangle à coins arrondis 39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5015" cy="629920"/>
                        </a:xfrm>
                        <a:prstGeom prst="roundRect">
                          <a:avLst>
                            <a:gd name="adj" fmla="val 16667"/>
                          </a:avLst>
                        </a:prstGeom>
                        <a:solidFill>
                          <a:srgbClr val="FFFFFF"/>
                        </a:solidFill>
                        <a:ln w="9525">
                          <a:solidFill>
                            <a:srgbClr val="000000"/>
                          </a:solidFill>
                          <a:round/>
                          <a:headEnd/>
                          <a:tailEnd/>
                        </a:ln>
                      </wps:spPr>
                      <wps:txbx>
                        <w:txbxContent>
                          <w:p w14:paraId="128C9DEE" w14:textId="77777777" w:rsidR="00ED3F3C" w:rsidRPr="00CC17EA" w:rsidRDefault="00ED3F3C" w:rsidP="009021F1">
                            <w:pPr>
                              <w:jc w:val="center"/>
                              <w:rPr>
                                <w:b/>
                                <w:sz w:val="18"/>
                                <w:szCs w:val="18"/>
                              </w:rPr>
                            </w:pPr>
                            <w:r w:rsidRPr="00CC17EA">
                              <w:rPr>
                                <w:b/>
                                <w:sz w:val="18"/>
                                <w:szCs w:val="18"/>
                              </w:rPr>
                              <w:t>Demande de proposition de DAO/ travaux (clauses E&amp;S)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6B4562FA" id="Rectangle à coins arrondis 3974" o:spid="_x0000_s1026" style="position:absolute;left:0;text-align:left;margin-left:107.1pt;margin-top:8.95pt;width:159.45pt;height:49.6pt;z-index:2516838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">
                <v:textbox>
                  <w:txbxContent>
                    <w:p w14:paraId="128C9DEE" w14:textId="77777777" w:rsidR="00ED3F3C" w:rsidRPr="00CC17EA" w:rsidRDefault="00ED3F3C" w:rsidP="009021F1">
                      <w:pPr>
                        <w:jc w:val="center"/>
                        <w:rPr>
                          <w:b/>
                          <w:sz w:val="18"/>
                          <w:szCs w:val="18"/>
                        </w:rPr>
                      </w:pPr>
                      <w:r w:rsidRPr="00CC17EA">
                        <w:rPr>
                          <w:b/>
                          <w:sz w:val="18"/>
                          <w:szCs w:val="18"/>
                        </w:rPr>
                        <w:t>Demande de proposition de DAO/ travaux (clauses E&amp;S)</w:t>
                      </w:r>
                    </w:p>
                  </w:txbxContent>
                </v:textbox>
              </v:roundrect>
            </w:pict>
          </mc:Fallback>
        </mc:AlternateContent>
      </w:r>
    </w:p>
    <w:p w14:paraId="61803A71" w14:textId="77777777" w:rsidR="009021F1" w:rsidRPr="009F553E" w:rsidRDefault="009021F1" w:rsidP="009021F1">
      <w:pPr>
        <w:rPr>
          <w:szCs w:val="21"/>
        </w:rPr>
      </w:pPr>
    </w:p>
    <w:p w14:paraId="0F4EF9EA" w14:textId="77777777" w:rsidR="009021F1" w:rsidRPr="009F553E" w:rsidRDefault="009021F1" w:rsidP="009021F1">
      <w:pPr>
        <w:rPr>
          <w:szCs w:val="21"/>
        </w:rPr>
      </w:pPr>
    </w:p>
    <w:p w14:paraId="63D638F5" w14:textId="77777777" w:rsidR="009021F1" w:rsidRPr="009F553E" w:rsidRDefault="009021F1" w:rsidP="009021F1">
      <w:pPr>
        <w:rPr>
          <w:szCs w:val="21"/>
        </w:rPr>
      </w:pPr>
      <w:r w:rsidRPr="009F553E">
        <w:rPr>
          <w:noProof/>
          <w:szCs w:val="21"/>
        </w:rPr>
        <mc:AlternateContent>
          <mc:Choice Requires="wps">
            <w:drawing>
              <wp:anchor distT="0" distB="0" distL="114300" distR="114300" simplePos="0" relativeHeight="251691052" behindDoc="0" locked="0" layoutInCell="1" allowOverlap="1" wp14:anchorId="08B8FDC3" wp14:editId="3BEBCD73">
                <wp:simplePos x="0" y="0"/>
                <wp:positionH relativeFrom="column">
                  <wp:posOffset>2287270</wp:posOffset>
                </wp:positionH>
                <wp:positionV relativeFrom="paragraph">
                  <wp:posOffset>12700</wp:posOffset>
                </wp:positionV>
                <wp:extent cx="59055" cy="247650"/>
                <wp:effectExtent l="19050" t="0" r="17145" b="19050"/>
                <wp:wrapNone/>
                <wp:docPr id="183" name="Flèche vers le bas 39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 cy="247650"/>
                        </a:xfrm>
                        <a:prstGeom prst="downArrow">
                          <a:avLst>
                            <a:gd name="adj1" fmla="val 50000"/>
                            <a:gd name="adj2" fmla="val 4545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5868E79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3973" o:spid="_x0000_s1026" type="#_x0000_t67" style="position:absolute;margin-left:180.1pt;margin-top:1pt;width:4.65pt;height:19.5pt;z-index:2516910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" adj="19259">
                <v:textbox style="layout-flow:vertical-ideographic"/>
              </v:shape>
            </w:pict>
          </mc:Fallback>
        </mc:AlternateContent>
      </w:r>
    </w:p>
    <w:p w14:paraId="2C53FCA0" w14:textId="77777777" w:rsidR="009021F1" w:rsidRPr="009F553E" w:rsidRDefault="009021F1" w:rsidP="009021F1">
      <w:pPr>
        <w:rPr>
          <w:szCs w:val="21"/>
        </w:rPr>
      </w:pPr>
      <w:r w:rsidRPr="009F553E">
        <w:rPr>
          <w:noProof/>
          <w:szCs w:val="21"/>
        </w:rPr>
        <mc:AlternateContent>
          <mc:Choice Requires="wps">
            <w:drawing>
              <wp:anchor distT="0" distB="0" distL="114300" distR="114300" simplePos="0" relativeHeight="251684908" behindDoc="0" locked="0" layoutInCell="1" allowOverlap="1" wp14:anchorId="603583AD" wp14:editId="000967F5">
                <wp:simplePos x="0" y="0"/>
                <wp:positionH relativeFrom="column">
                  <wp:posOffset>1328420</wp:posOffset>
                </wp:positionH>
                <wp:positionV relativeFrom="paragraph">
                  <wp:posOffset>118745</wp:posOffset>
                </wp:positionV>
                <wp:extent cx="2024380" cy="534035"/>
                <wp:effectExtent l="0" t="0" r="0" b="0"/>
                <wp:wrapNone/>
                <wp:docPr id="184" name="Rectangle à coins arrondis 3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4380" cy="534035"/>
                        </a:xfrm>
                        <a:prstGeom prst="roundRect">
                          <a:avLst>
                            <a:gd name="adj" fmla="val 16667"/>
                          </a:avLst>
                        </a:prstGeom>
                        <a:solidFill>
                          <a:srgbClr val="FFFFFF"/>
                        </a:solidFill>
                        <a:ln w="9525">
                          <a:solidFill>
                            <a:srgbClr val="000000"/>
                          </a:solidFill>
                          <a:round/>
                          <a:headEnd/>
                          <a:tailEnd/>
                        </a:ln>
                      </wps:spPr>
                      <wps:txbx>
                        <w:txbxContent>
                          <w:p w14:paraId="2C4E3D75" w14:textId="77777777" w:rsidR="00ED3F3C" w:rsidRPr="00CC17EA" w:rsidRDefault="00ED3F3C" w:rsidP="009021F1">
                            <w:pPr>
                              <w:jc w:val="center"/>
                              <w:rPr>
                                <w:b/>
                                <w:sz w:val="18"/>
                                <w:szCs w:val="18"/>
                              </w:rPr>
                            </w:pPr>
                            <w:r w:rsidRPr="00CC17EA">
                              <w:rPr>
                                <w:b/>
                                <w:sz w:val="18"/>
                                <w:szCs w:val="18"/>
                              </w:rPr>
                              <w:t>Recrutement de l’entreprise / préparation du PGES-</w:t>
                            </w:r>
                            <w:r>
                              <w:rPr>
                                <w:b/>
                                <w:sz w:val="18"/>
                                <w:szCs w:val="18"/>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603583AD" id="Rectangle à coins arrondis 3972" o:spid="_x0000_s1027" style="position:absolute;left:0;text-align:left;margin-left:104.6pt;margin-top:9.35pt;width:159.4pt;height:42.05pt;z-index:2516849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">
                <v:textbox>
                  <w:txbxContent>
                    <w:p w14:paraId="2C4E3D75" w14:textId="77777777" w:rsidR="00ED3F3C" w:rsidRPr="00CC17EA" w:rsidRDefault="00ED3F3C" w:rsidP="009021F1">
                      <w:pPr>
                        <w:jc w:val="center"/>
                        <w:rPr>
                          <w:b/>
                          <w:sz w:val="18"/>
                          <w:szCs w:val="18"/>
                        </w:rPr>
                      </w:pPr>
                      <w:r w:rsidRPr="00CC17EA">
                        <w:rPr>
                          <w:b/>
                          <w:sz w:val="18"/>
                          <w:szCs w:val="18"/>
                        </w:rPr>
                        <w:t>Recrutement de l’entreprise / préparation du PGES-</w:t>
                      </w:r>
                      <w:r>
                        <w:rPr>
                          <w:b/>
                          <w:sz w:val="18"/>
                          <w:szCs w:val="18"/>
                        </w:rPr>
                        <w:t>C</w:t>
                      </w:r>
                    </w:p>
                  </w:txbxContent>
                </v:textbox>
              </v:roundrect>
            </w:pict>
          </mc:Fallback>
        </mc:AlternateContent>
      </w:r>
    </w:p>
    <w:p w14:paraId="2D0F5600" w14:textId="77777777" w:rsidR="009021F1" w:rsidRPr="009F553E" w:rsidRDefault="009021F1" w:rsidP="009021F1">
      <w:pPr>
        <w:rPr>
          <w:szCs w:val="21"/>
        </w:rPr>
      </w:pPr>
    </w:p>
    <w:p w14:paraId="4063099A" w14:textId="77777777" w:rsidR="009021F1" w:rsidRPr="009F553E" w:rsidRDefault="009021F1" w:rsidP="009021F1">
      <w:pPr>
        <w:rPr>
          <w:b/>
          <w:szCs w:val="21"/>
          <w:u w:val="single"/>
        </w:rPr>
      </w:pPr>
    </w:p>
    <w:p w14:paraId="32743D5A" w14:textId="77777777" w:rsidR="009021F1" w:rsidRPr="009F553E" w:rsidRDefault="009021F1" w:rsidP="009021F1">
      <w:pPr>
        <w:rPr>
          <w:b/>
          <w:szCs w:val="21"/>
          <w:u w:val="single"/>
        </w:rPr>
      </w:pPr>
      <w:r w:rsidRPr="009F553E">
        <w:rPr>
          <w:noProof/>
          <w:szCs w:val="21"/>
        </w:rPr>
        <mc:AlternateContent>
          <mc:Choice Requires="wps">
            <w:drawing>
              <wp:anchor distT="0" distB="0" distL="114300" distR="114300" simplePos="0" relativeHeight="251692076" behindDoc="0" locked="0" layoutInCell="1" allowOverlap="1" wp14:anchorId="03E5C8E5" wp14:editId="2158B716">
                <wp:simplePos x="0" y="0"/>
                <wp:positionH relativeFrom="column">
                  <wp:posOffset>2273300</wp:posOffset>
                </wp:positionH>
                <wp:positionV relativeFrom="paragraph">
                  <wp:posOffset>60960</wp:posOffset>
                </wp:positionV>
                <wp:extent cx="90805" cy="152400"/>
                <wp:effectExtent l="19050" t="0" r="23495" b="19050"/>
                <wp:wrapNone/>
                <wp:docPr id="185" name="Flèche vers le bas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52400"/>
                        </a:xfrm>
                        <a:prstGeom prst="downArrow">
                          <a:avLst>
                            <a:gd name="adj1" fmla="val 50000"/>
                            <a:gd name="adj2" fmla="val 4195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3F1E7E4" id="Flèche vers le bas 43" o:spid="_x0000_s1026" type="#_x0000_t67" style="position:absolute;margin-left:179pt;margin-top:4.8pt;width:7.15pt;height:12pt;z-index:2516920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">
                <v:textbox style="layout-flow:vertical-ideographic"/>
              </v:shape>
            </w:pict>
          </mc:Fallback>
        </mc:AlternateContent>
      </w:r>
    </w:p>
    <w:p w14:paraId="30626875" w14:textId="77777777" w:rsidR="009021F1" w:rsidRPr="009F553E" w:rsidRDefault="009021F1" w:rsidP="009021F1">
      <w:pPr>
        <w:rPr>
          <w:b/>
          <w:szCs w:val="21"/>
          <w:u w:val="single"/>
        </w:rPr>
      </w:pPr>
      <w:r w:rsidRPr="009F553E">
        <w:rPr>
          <w:noProof/>
          <w:szCs w:val="21"/>
        </w:rPr>
        <mc:AlternateContent>
          <mc:Choice Requires="wps">
            <w:drawing>
              <wp:anchor distT="0" distB="0" distL="114300" distR="114300" simplePos="0" relativeHeight="251685932" behindDoc="0" locked="0" layoutInCell="1" allowOverlap="1" wp14:anchorId="63748978" wp14:editId="08CABD5A">
                <wp:simplePos x="0" y="0"/>
                <wp:positionH relativeFrom="column">
                  <wp:posOffset>1364615</wp:posOffset>
                </wp:positionH>
                <wp:positionV relativeFrom="paragraph">
                  <wp:posOffset>31750</wp:posOffset>
                </wp:positionV>
                <wp:extent cx="2020570" cy="616585"/>
                <wp:effectExtent l="0" t="0" r="0" b="0"/>
                <wp:wrapNone/>
                <wp:docPr id="186" name="Rectangle à coins arrondis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0570" cy="616585"/>
                        </a:xfrm>
                        <a:prstGeom prst="roundRect">
                          <a:avLst>
                            <a:gd name="adj" fmla="val 16667"/>
                          </a:avLst>
                        </a:prstGeom>
                        <a:solidFill>
                          <a:srgbClr val="FFFFFF"/>
                        </a:solidFill>
                        <a:ln w="9525">
                          <a:solidFill>
                            <a:srgbClr val="000000"/>
                          </a:solidFill>
                          <a:round/>
                          <a:headEnd/>
                          <a:tailEnd/>
                        </a:ln>
                      </wps:spPr>
                      <wps:txbx>
                        <w:txbxContent>
                          <w:p w14:paraId="0415C3F3" w14:textId="77777777" w:rsidR="00ED3F3C" w:rsidRPr="00CC17EA" w:rsidRDefault="00ED3F3C" w:rsidP="009021F1">
                            <w:pPr>
                              <w:jc w:val="center"/>
                              <w:rPr>
                                <w:b/>
                                <w:sz w:val="18"/>
                                <w:szCs w:val="18"/>
                              </w:rPr>
                            </w:pPr>
                            <w:r w:rsidRPr="00CC17EA">
                              <w:rPr>
                                <w:b/>
                                <w:sz w:val="18"/>
                                <w:szCs w:val="18"/>
                              </w:rPr>
                              <w:t>Approbation du PGES-E avant démarrage des travaux par la Mission de Controle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63748978" id="Rectangle à coins arrondis 42" o:spid="_x0000_s1028" style="position:absolute;left:0;text-align:left;margin-left:107.45pt;margin-top:2.5pt;width:159.1pt;height:48.55pt;z-index:2516859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">
                <v:textbox>
                  <w:txbxContent>
                    <w:p w14:paraId="0415C3F3" w14:textId="77777777" w:rsidR="00ED3F3C" w:rsidRPr="00CC17EA" w:rsidRDefault="00ED3F3C" w:rsidP="009021F1">
                      <w:pPr>
                        <w:jc w:val="center"/>
                        <w:rPr>
                          <w:b/>
                          <w:sz w:val="18"/>
                          <w:szCs w:val="18"/>
                        </w:rPr>
                      </w:pPr>
                      <w:r w:rsidRPr="00CC17EA">
                        <w:rPr>
                          <w:b/>
                          <w:sz w:val="18"/>
                          <w:szCs w:val="18"/>
                        </w:rPr>
                        <w:t>Approbation du PGES-E avant démarrage des travaux par la Mission de Controle</w:t>
                      </w:r>
                    </w:p>
                  </w:txbxContent>
                </v:textbox>
              </v:roundrect>
            </w:pict>
          </mc:Fallback>
        </mc:AlternateContent>
      </w:r>
    </w:p>
    <w:p w14:paraId="4A4E2446" w14:textId="77777777" w:rsidR="009021F1" w:rsidRPr="009F553E" w:rsidRDefault="009021F1" w:rsidP="009021F1">
      <w:pPr>
        <w:rPr>
          <w:b/>
          <w:szCs w:val="21"/>
          <w:u w:val="single"/>
        </w:rPr>
      </w:pPr>
    </w:p>
    <w:p w14:paraId="32D26E1E" w14:textId="77777777" w:rsidR="009021F1" w:rsidRPr="009F553E" w:rsidRDefault="009021F1" w:rsidP="009021F1">
      <w:pPr>
        <w:rPr>
          <w:b/>
          <w:szCs w:val="21"/>
          <w:u w:val="single"/>
        </w:rPr>
      </w:pPr>
    </w:p>
    <w:p w14:paraId="4DD742D3" w14:textId="77777777" w:rsidR="009021F1" w:rsidRPr="009F553E" w:rsidRDefault="009021F1" w:rsidP="009021F1">
      <w:pPr>
        <w:rPr>
          <w:b/>
          <w:szCs w:val="21"/>
          <w:u w:val="single"/>
        </w:rPr>
      </w:pPr>
      <w:r w:rsidRPr="009F553E">
        <w:rPr>
          <w:noProof/>
          <w:szCs w:val="21"/>
        </w:rPr>
        <mc:AlternateContent>
          <mc:Choice Requires="wps">
            <w:drawing>
              <wp:anchor distT="0" distB="0" distL="114300" distR="114300" simplePos="0" relativeHeight="251693100" behindDoc="0" locked="0" layoutInCell="1" allowOverlap="1" wp14:anchorId="64CEE9BA" wp14:editId="70E98213">
                <wp:simplePos x="0" y="0"/>
                <wp:positionH relativeFrom="column">
                  <wp:posOffset>2284095</wp:posOffset>
                </wp:positionH>
                <wp:positionV relativeFrom="paragraph">
                  <wp:posOffset>40640</wp:posOffset>
                </wp:positionV>
                <wp:extent cx="90805" cy="165100"/>
                <wp:effectExtent l="19050" t="0" r="23495" b="25400"/>
                <wp:wrapNone/>
                <wp:docPr id="187" name="Flèche vers le bas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65100"/>
                        </a:xfrm>
                        <a:prstGeom prst="downArrow">
                          <a:avLst>
                            <a:gd name="adj1" fmla="val 50000"/>
                            <a:gd name="adj2" fmla="val 4545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9D7FA5F" id="Flèche vers le bas 37" o:spid="_x0000_s1026" type="#_x0000_t67" style="position:absolute;margin-left:179.85pt;margin-top:3.2pt;width:7.15pt;height:13pt;z-index:2516931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">
                <v:textbox style="layout-flow:vertical-ideographic"/>
              </v:shape>
            </w:pict>
          </mc:Fallback>
        </mc:AlternateContent>
      </w:r>
    </w:p>
    <w:p w14:paraId="562B6EE5" w14:textId="77777777" w:rsidR="009021F1" w:rsidRPr="009F553E" w:rsidRDefault="009021F1" w:rsidP="009021F1">
      <w:pPr>
        <w:rPr>
          <w:rFonts w:cs="Arial"/>
          <w:bCs/>
          <w:i/>
          <w:szCs w:val="21"/>
        </w:rPr>
      </w:pPr>
      <w:r w:rsidRPr="009F553E">
        <w:rPr>
          <w:noProof/>
          <w:szCs w:val="21"/>
        </w:rPr>
        <mc:AlternateContent>
          <mc:Choice Requires="wps">
            <w:drawing>
              <wp:anchor distT="0" distB="0" distL="114300" distR="114300" simplePos="0" relativeHeight="251686956" behindDoc="0" locked="0" layoutInCell="1" allowOverlap="1" wp14:anchorId="492FF642" wp14:editId="5007166C">
                <wp:simplePos x="0" y="0"/>
                <wp:positionH relativeFrom="column">
                  <wp:posOffset>1364615</wp:posOffset>
                </wp:positionH>
                <wp:positionV relativeFrom="paragraph">
                  <wp:posOffset>57785</wp:posOffset>
                </wp:positionV>
                <wp:extent cx="2052320" cy="638175"/>
                <wp:effectExtent l="0" t="0" r="5080" b="9525"/>
                <wp:wrapNone/>
                <wp:docPr id="188" name="Rectangle à coins arrondi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2320" cy="638175"/>
                        </a:xfrm>
                        <a:prstGeom prst="roundRect">
                          <a:avLst>
                            <a:gd name="adj" fmla="val 16667"/>
                          </a:avLst>
                        </a:prstGeom>
                        <a:solidFill>
                          <a:srgbClr val="FFFFFF"/>
                        </a:solidFill>
                        <a:ln w="9525">
                          <a:solidFill>
                            <a:srgbClr val="000000"/>
                          </a:solidFill>
                          <a:round/>
                          <a:headEnd/>
                          <a:tailEnd/>
                        </a:ln>
                      </wps:spPr>
                      <wps:txbx>
                        <w:txbxContent>
                          <w:p w14:paraId="0B2B2CF8" w14:textId="77777777" w:rsidR="00ED3F3C" w:rsidRPr="00CC17EA" w:rsidRDefault="00ED3F3C" w:rsidP="009021F1">
                            <w:pPr>
                              <w:jc w:val="center"/>
                              <w:rPr>
                                <w:b/>
                              </w:rPr>
                            </w:pPr>
                            <w:r w:rsidRPr="00CC17EA">
                              <w:rPr>
                                <w:b/>
                                <w:sz w:val="18"/>
                                <w:szCs w:val="18"/>
                              </w:rPr>
                              <w:t>Approbation du PGES-E par l</w:t>
                            </w:r>
                            <w:r>
                              <w:rPr>
                                <w:b/>
                                <w:sz w:val="18"/>
                                <w:szCs w:val="18"/>
                              </w:rPr>
                              <w:t xml:space="preserve">es </w:t>
                            </w:r>
                            <w:r w:rsidRPr="00CC17EA">
                              <w:rPr>
                                <w:b/>
                                <w:sz w:val="18"/>
                                <w:szCs w:val="18"/>
                              </w:rPr>
                              <w:t>spécialistes responsables du sous-projet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492FF642" id="Rectangle à coins arrondis 21" o:spid="_x0000_s1029" style="position:absolute;left:0;text-align:left;margin-left:107.45pt;margin-top:4.55pt;width:161.6pt;height:50.25pt;z-index:2516869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">
                <v:textbox>
                  <w:txbxContent>
                    <w:p w14:paraId="0B2B2CF8" w14:textId="77777777" w:rsidR="00ED3F3C" w:rsidRPr="00CC17EA" w:rsidRDefault="00ED3F3C" w:rsidP="009021F1">
                      <w:pPr>
                        <w:jc w:val="center"/>
                        <w:rPr>
                          <w:b/>
                        </w:rPr>
                      </w:pPr>
                      <w:r w:rsidRPr="00CC17EA">
                        <w:rPr>
                          <w:b/>
                          <w:sz w:val="18"/>
                          <w:szCs w:val="18"/>
                        </w:rPr>
                        <w:t>Approbation du PGES-E par l</w:t>
                      </w:r>
                      <w:r>
                        <w:rPr>
                          <w:b/>
                          <w:sz w:val="18"/>
                          <w:szCs w:val="18"/>
                        </w:rPr>
                        <w:t xml:space="preserve">es </w:t>
                      </w:r>
                      <w:r w:rsidRPr="00CC17EA">
                        <w:rPr>
                          <w:b/>
                          <w:sz w:val="18"/>
                          <w:szCs w:val="18"/>
                        </w:rPr>
                        <w:t>spécialistes responsables du sous-projet</w:t>
                      </w:r>
                    </w:p>
                  </w:txbxContent>
                </v:textbox>
              </v:roundrect>
            </w:pict>
          </mc:Fallback>
        </mc:AlternateContent>
      </w:r>
      <w:r w:rsidRPr="009F553E">
        <w:rPr>
          <w:noProof/>
          <w:szCs w:val="21"/>
        </w:rPr>
        <mc:AlternateContent>
          <mc:Choice Requires="wps">
            <w:drawing>
              <wp:anchor distT="0" distB="0" distL="114300" distR="114300" simplePos="0" relativeHeight="251695148" behindDoc="0" locked="0" layoutInCell="1" allowOverlap="1" wp14:anchorId="3AF3FBE9" wp14:editId="3D13E8D8">
                <wp:simplePos x="0" y="0"/>
                <wp:positionH relativeFrom="column">
                  <wp:posOffset>2245995</wp:posOffset>
                </wp:positionH>
                <wp:positionV relativeFrom="paragraph">
                  <wp:posOffset>1302385</wp:posOffset>
                </wp:positionV>
                <wp:extent cx="90805" cy="165100"/>
                <wp:effectExtent l="19050" t="0" r="23495" b="25400"/>
                <wp:wrapNone/>
                <wp:docPr id="189" name="Flèche vers le bas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65100"/>
                        </a:xfrm>
                        <a:prstGeom prst="downArrow">
                          <a:avLst>
                            <a:gd name="adj1" fmla="val 50000"/>
                            <a:gd name="adj2" fmla="val 4545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C8789A7" id="Flèche vers le bas 33" o:spid="_x0000_s1026" type="#_x0000_t67" style="position:absolute;margin-left:176.85pt;margin-top:102.55pt;width:7.15pt;height:13pt;z-index:2516951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">
                <v:textbox style="layout-flow:vertical-ideographic"/>
              </v:shape>
            </w:pict>
          </mc:Fallback>
        </mc:AlternateContent>
      </w:r>
      <w:r w:rsidRPr="009F553E">
        <w:rPr>
          <w:noProof/>
          <w:szCs w:val="21"/>
        </w:rPr>
        <mc:AlternateContent>
          <mc:Choice Requires="wps">
            <w:drawing>
              <wp:anchor distT="0" distB="0" distL="114300" distR="114300" simplePos="0" relativeHeight="251694124" behindDoc="0" locked="0" layoutInCell="1" allowOverlap="1" wp14:anchorId="3FD88015" wp14:editId="6FB688C2">
                <wp:simplePos x="0" y="0"/>
                <wp:positionH relativeFrom="column">
                  <wp:posOffset>2273300</wp:posOffset>
                </wp:positionH>
                <wp:positionV relativeFrom="paragraph">
                  <wp:posOffset>667385</wp:posOffset>
                </wp:positionV>
                <wp:extent cx="90805" cy="120650"/>
                <wp:effectExtent l="19050" t="0" r="23495" b="12700"/>
                <wp:wrapNone/>
                <wp:docPr id="202" name="Flèche vers le ba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20650"/>
                        </a:xfrm>
                        <a:prstGeom prst="downArrow">
                          <a:avLst>
                            <a:gd name="adj1" fmla="val 50000"/>
                            <a:gd name="adj2" fmla="val 3321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677F2BF" id="Flèche vers le bas 31" o:spid="_x0000_s1026" type="#_x0000_t67" style="position:absolute;margin-left:179pt;margin-top:52.55pt;width:7.15pt;height:9.5pt;z-index:2516941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">
                <v:textbox style="layout-flow:vertical-ideographic"/>
              </v:shape>
            </w:pict>
          </mc:Fallback>
        </mc:AlternateContent>
      </w:r>
    </w:p>
    <w:p w14:paraId="5B4A23A7" w14:textId="77777777" w:rsidR="009021F1" w:rsidRPr="009F553E" w:rsidRDefault="009021F1" w:rsidP="009021F1">
      <w:pPr>
        <w:rPr>
          <w:rFonts w:cs="Arial"/>
          <w:bCs/>
          <w:i/>
          <w:szCs w:val="21"/>
        </w:rPr>
      </w:pPr>
    </w:p>
    <w:p w14:paraId="46469D0D" w14:textId="77777777" w:rsidR="009021F1" w:rsidRPr="009F553E" w:rsidRDefault="009021F1" w:rsidP="009021F1">
      <w:pPr>
        <w:rPr>
          <w:rFonts w:cs="Arial"/>
          <w:bCs/>
          <w:i/>
          <w:szCs w:val="21"/>
        </w:rPr>
      </w:pPr>
    </w:p>
    <w:p w14:paraId="1E03DE55" w14:textId="77777777" w:rsidR="009021F1" w:rsidRPr="009F553E" w:rsidRDefault="009021F1" w:rsidP="009021F1">
      <w:pPr>
        <w:rPr>
          <w:rFonts w:cs="Arial"/>
          <w:bCs/>
          <w:i/>
          <w:szCs w:val="21"/>
        </w:rPr>
      </w:pPr>
    </w:p>
    <w:p w14:paraId="157517DB" w14:textId="77777777" w:rsidR="009021F1" w:rsidRPr="009F553E" w:rsidRDefault="009021F1" w:rsidP="009021F1">
      <w:pPr>
        <w:rPr>
          <w:rFonts w:cs="Arial"/>
          <w:bCs/>
          <w:i/>
          <w:szCs w:val="21"/>
        </w:rPr>
      </w:pPr>
      <w:r w:rsidRPr="009F553E">
        <w:rPr>
          <w:noProof/>
          <w:szCs w:val="21"/>
        </w:rPr>
        <mc:AlternateContent>
          <mc:Choice Requires="wps">
            <w:drawing>
              <wp:anchor distT="0" distB="0" distL="114300" distR="114300" simplePos="0" relativeHeight="251689004" behindDoc="0" locked="0" layoutInCell="1" allowOverlap="1" wp14:anchorId="48A9603B" wp14:editId="24DD84B0">
                <wp:simplePos x="0" y="0"/>
                <wp:positionH relativeFrom="column">
                  <wp:posOffset>1374140</wp:posOffset>
                </wp:positionH>
                <wp:positionV relativeFrom="paragraph">
                  <wp:posOffset>64135</wp:posOffset>
                </wp:positionV>
                <wp:extent cx="2074545" cy="499745"/>
                <wp:effectExtent l="0" t="0" r="1905" b="0"/>
                <wp:wrapNone/>
                <wp:docPr id="203" name="Rectangle à coins arrondis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4545" cy="499745"/>
                        </a:xfrm>
                        <a:prstGeom prst="roundRect">
                          <a:avLst>
                            <a:gd name="adj" fmla="val 16667"/>
                          </a:avLst>
                        </a:prstGeom>
                        <a:solidFill>
                          <a:srgbClr val="FFFFFF"/>
                        </a:solidFill>
                        <a:ln w="9525">
                          <a:solidFill>
                            <a:srgbClr val="000000"/>
                          </a:solidFill>
                          <a:round/>
                          <a:headEnd/>
                          <a:tailEnd/>
                        </a:ln>
                      </wps:spPr>
                      <wps:txbx>
                        <w:txbxContent>
                          <w:p w14:paraId="59AC3C04" w14:textId="77777777" w:rsidR="00ED3F3C" w:rsidRPr="00CC17EA" w:rsidRDefault="00ED3F3C" w:rsidP="009021F1">
                            <w:pPr>
                              <w:jc w:val="center"/>
                              <w:rPr>
                                <w:b/>
                                <w:sz w:val="18"/>
                                <w:szCs w:val="18"/>
                              </w:rPr>
                            </w:pPr>
                            <w:r w:rsidRPr="00CC17EA">
                              <w:rPr>
                                <w:b/>
                                <w:sz w:val="18"/>
                                <w:szCs w:val="18"/>
                              </w:rPr>
                              <w:t>Validation (ANO) du PGES-E par la Banque mondiale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48A9603B" id="Rectangle à coins arrondis 34" o:spid="_x0000_s1030" style="position:absolute;left:0;text-align:left;margin-left:108.2pt;margin-top:5.05pt;width:163.35pt;height:39.35pt;z-index:2516890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">
                <v:textbox>
                  <w:txbxContent>
                    <w:p w14:paraId="59AC3C04" w14:textId="77777777" w:rsidR="00ED3F3C" w:rsidRPr="00CC17EA" w:rsidRDefault="00ED3F3C" w:rsidP="009021F1">
                      <w:pPr>
                        <w:jc w:val="center"/>
                        <w:rPr>
                          <w:b/>
                          <w:sz w:val="18"/>
                          <w:szCs w:val="18"/>
                        </w:rPr>
                      </w:pPr>
                      <w:r w:rsidRPr="00CC17EA">
                        <w:rPr>
                          <w:b/>
                          <w:sz w:val="18"/>
                          <w:szCs w:val="18"/>
                        </w:rPr>
                        <w:t>Validation (ANO) du PGES-E par la Banque mondiale</w:t>
                      </w:r>
                    </w:p>
                  </w:txbxContent>
                </v:textbox>
              </v:roundrect>
            </w:pict>
          </mc:Fallback>
        </mc:AlternateContent>
      </w:r>
    </w:p>
    <w:p w14:paraId="4820F025" w14:textId="77777777" w:rsidR="009021F1" w:rsidRPr="009F553E" w:rsidRDefault="009021F1" w:rsidP="009021F1">
      <w:pPr>
        <w:rPr>
          <w:rFonts w:cs="Arial"/>
          <w:bCs/>
          <w:i/>
          <w:szCs w:val="21"/>
        </w:rPr>
      </w:pPr>
    </w:p>
    <w:p w14:paraId="32A98F23" w14:textId="77777777" w:rsidR="009021F1" w:rsidRPr="009F553E" w:rsidRDefault="009021F1" w:rsidP="009021F1">
      <w:pPr>
        <w:rPr>
          <w:rFonts w:cs="Arial"/>
          <w:bCs/>
          <w:i/>
          <w:szCs w:val="21"/>
        </w:rPr>
      </w:pPr>
    </w:p>
    <w:p w14:paraId="2DE5076F" w14:textId="77777777" w:rsidR="009021F1" w:rsidRPr="009F553E" w:rsidRDefault="009021F1" w:rsidP="009021F1">
      <w:pPr>
        <w:rPr>
          <w:rFonts w:cs="Arial"/>
          <w:bCs/>
          <w:i/>
          <w:szCs w:val="21"/>
        </w:rPr>
      </w:pPr>
      <w:r w:rsidRPr="009F553E">
        <w:rPr>
          <w:noProof/>
          <w:szCs w:val="21"/>
        </w:rPr>
        <mc:AlternateContent>
          <mc:Choice Requires="wps">
            <w:drawing>
              <wp:anchor distT="0" distB="0" distL="114300" distR="114300" simplePos="0" relativeHeight="251687980" behindDoc="0" locked="0" layoutInCell="1" allowOverlap="1" wp14:anchorId="613811D4" wp14:editId="3F10CD34">
                <wp:simplePos x="0" y="0"/>
                <wp:positionH relativeFrom="column">
                  <wp:posOffset>1338580</wp:posOffset>
                </wp:positionH>
                <wp:positionV relativeFrom="paragraph">
                  <wp:posOffset>165735</wp:posOffset>
                </wp:positionV>
                <wp:extent cx="2110105" cy="608330"/>
                <wp:effectExtent l="0" t="0" r="4445" b="1270"/>
                <wp:wrapNone/>
                <wp:docPr id="204" name="Rectangle à coins arrondis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0105" cy="608330"/>
                        </a:xfrm>
                        <a:prstGeom prst="roundRect">
                          <a:avLst>
                            <a:gd name="adj" fmla="val 16667"/>
                          </a:avLst>
                        </a:prstGeom>
                        <a:solidFill>
                          <a:srgbClr val="FFFFFF"/>
                        </a:solidFill>
                        <a:ln w="9525">
                          <a:solidFill>
                            <a:srgbClr val="000000"/>
                          </a:solidFill>
                          <a:round/>
                          <a:headEnd/>
                          <a:tailEnd/>
                        </a:ln>
                      </wps:spPr>
                      <wps:txbx>
                        <w:txbxContent>
                          <w:p w14:paraId="41BC5B9E" w14:textId="77777777" w:rsidR="00ED3F3C" w:rsidRPr="00CC17EA" w:rsidRDefault="00ED3F3C" w:rsidP="009021F1">
                            <w:pPr>
                              <w:jc w:val="center"/>
                              <w:rPr>
                                <w:b/>
                                <w:sz w:val="18"/>
                                <w:szCs w:val="18"/>
                              </w:rPr>
                            </w:pPr>
                            <w:r w:rsidRPr="00CC17EA">
                              <w:rPr>
                                <w:b/>
                                <w:sz w:val="18"/>
                                <w:szCs w:val="18"/>
                              </w:rPr>
                              <w:t>Ordre de service pour le démarrage des travaux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613811D4" id="Rectangle à coins arrondis 29" o:spid="_x0000_s1031" style="position:absolute;left:0;text-align:left;margin-left:105.4pt;margin-top:13.05pt;width:166.15pt;height:47.9pt;z-index:2516879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">
                <v:textbox>
                  <w:txbxContent>
                    <w:p w14:paraId="41BC5B9E" w14:textId="77777777" w:rsidR="00ED3F3C" w:rsidRPr="00CC17EA" w:rsidRDefault="00ED3F3C" w:rsidP="009021F1">
                      <w:pPr>
                        <w:jc w:val="center"/>
                        <w:rPr>
                          <w:b/>
                          <w:sz w:val="18"/>
                          <w:szCs w:val="18"/>
                        </w:rPr>
                      </w:pPr>
                      <w:r w:rsidRPr="00CC17EA">
                        <w:rPr>
                          <w:b/>
                          <w:sz w:val="18"/>
                          <w:szCs w:val="18"/>
                        </w:rPr>
                        <w:t>Ordre de service pour le démarrage des travaux</w:t>
                      </w:r>
                    </w:p>
                  </w:txbxContent>
                </v:textbox>
              </v:roundrect>
            </w:pict>
          </mc:Fallback>
        </mc:AlternateContent>
      </w:r>
    </w:p>
    <w:p w14:paraId="465AFF5F" w14:textId="77777777" w:rsidR="009021F1" w:rsidRPr="009F553E" w:rsidRDefault="009021F1" w:rsidP="009021F1">
      <w:pPr>
        <w:rPr>
          <w:rFonts w:cs="Arial"/>
          <w:bCs/>
          <w:i/>
          <w:szCs w:val="21"/>
        </w:rPr>
      </w:pPr>
    </w:p>
    <w:p w14:paraId="2C03B562" w14:textId="77777777" w:rsidR="009021F1" w:rsidRPr="009F553E" w:rsidRDefault="009021F1" w:rsidP="009021F1">
      <w:pPr>
        <w:rPr>
          <w:rFonts w:cs="Arial"/>
          <w:bCs/>
          <w:i/>
          <w:szCs w:val="21"/>
        </w:rPr>
      </w:pPr>
    </w:p>
    <w:p w14:paraId="25522A39" w14:textId="77777777" w:rsidR="009021F1" w:rsidRPr="009F553E" w:rsidRDefault="009021F1" w:rsidP="009021F1">
      <w:pPr>
        <w:rPr>
          <w:rFonts w:cs="Arial"/>
          <w:bCs/>
          <w:i/>
          <w:szCs w:val="21"/>
        </w:rPr>
      </w:pPr>
    </w:p>
    <w:p w14:paraId="5C2A9A55" w14:textId="77777777" w:rsidR="009021F1" w:rsidRPr="009F553E" w:rsidRDefault="009021F1" w:rsidP="009021F1">
      <w:pPr>
        <w:rPr>
          <w:rFonts w:cs="Arial"/>
          <w:bCs/>
          <w:i/>
          <w:szCs w:val="21"/>
        </w:rPr>
      </w:pPr>
      <w:r w:rsidRPr="009F553E">
        <w:rPr>
          <w:noProof/>
          <w:szCs w:val="21"/>
        </w:rPr>
        <mc:AlternateContent>
          <mc:Choice Requires="wps">
            <w:drawing>
              <wp:anchor distT="0" distB="0" distL="114300" distR="114300" simplePos="0" relativeHeight="251696172" behindDoc="0" locked="0" layoutInCell="1" allowOverlap="1" wp14:anchorId="029D1FE8" wp14:editId="60DDBCDA">
                <wp:simplePos x="0" y="0"/>
                <wp:positionH relativeFrom="column">
                  <wp:posOffset>2313940</wp:posOffset>
                </wp:positionH>
                <wp:positionV relativeFrom="paragraph">
                  <wp:posOffset>34925</wp:posOffset>
                </wp:positionV>
                <wp:extent cx="90805" cy="164465"/>
                <wp:effectExtent l="19050" t="0" r="23495" b="26035"/>
                <wp:wrapNone/>
                <wp:docPr id="205" name="Flèche vers le bas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64465"/>
                        </a:xfrm>
                        <a:prstGeom prst="downArrow">
                          <a:avLst>
                            <a:gd name="adj1" fmla="val 50000"/>
                            <a:gd name="adj2" fmla="val 4528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DEAA22D" id="Flèche vers le bas 32" o:spid="_x0000_s1026" type="#_x0000_t67" style="position:absolute;margin-left:182.2pt;margin-top:2.75pt;width:7.15pt;height:12.95pt;z-index:2516961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">
                <v:textbox style="layout-flow:vertical-ideographic"/>
              </v:shape>
            </w:pict>
          </mc:Fallback>
        </mc:AlternateContent>
      </w:r>
      <w:r w:rsidRPr="009F553E">
        <w:rPr>
          <w:noProof/>
          <w:szCs w:val="21"/>
        </w:rPr>
        <mc:AlternateContent>
          <mc:Choice Requires="wps">
            <w:drawing>
              <wp:anchor distT="0" distB="0" distL="114300" distR="114300" simplePos="0" relativeHeight="251690028" behindDoc="0" locked="0" layoutInCell="1" allowOverlap="1" wp14:anchorId="35A2F288" wp14:editId="473F1523">
                <wp:simplePos x="0" y="0"/>
                <wp:positionH relativeFrom="column">
                  <wp:posOffset>1384300</wp:posOffset>
                </wp:positionH>
                <wp:positionV relativeFrom="paragraph">
                  <wp:posOffset>163195</wp:posOffset>
                </wp:positionV>
                <wp:extent cx="2000250" cy="563245"/>
                <wp:effectExtent l="0" t="0" r="0" b="8255"/>
                <wp:wrapNone/>
                <wp:docPr id="206" name="Rectangle à coins arrondi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563245"/>
                        </a:xfrm>
                        <a:prstGeom prst="roundRect">
                          <a:avLst>
                            <a:gd name="adj" fmla="val 16667"/>
                          </a:avLst>
                        </a:prstGeom>
                        <a:solidFill>
                          <a:srgbClr val="FFFFFF"/>
                        </a:solidFill>
                        <a:ln w="9525">
                          <a:solidFill>
                            <a:srgbClr val="000000"/>
                          </a:solidFill>
                          <a:round/>
                          <a:headEnd/>
                          <a:tailEnd/>
                        </a:ln>
                      </wps:spPr>
                      <wps:txbx>
                        <w:txbxContent>
                          <w:p w14:paraId="74B990DB" w14:textId="77777777" w:rsidR="00ED3F3C" w:rsidRPr="00CC17EA" w:rsidRDefault="00ED3F3C" w:rsidP="009021F1">
                            <w:pPr>
                              <w:jc w:val="center"/>
                              <w:rPr>
                                <w:b/>
                                <w:sz w:val="18"/>
                                <w:szCs w:val="18"/>
                              </w:rPr>
                            </w:pPr>
                            <w:r w:rsidRPr="00CC17EA">
                              <w:rPr>
                                <w:b/>
                                <w:sz w:val="18"/>
                                <w:szCs w:val="18"/>
                              </w:rPr>
                              <w:t>Suivi environnemental et social mise en œuvre du PGES-</w:t>
                            </w:r>
                            <w:r>
                              <w:rPr>
                                <w:b/>
                                <w:sz w:val="18"/>
                                <w:szCs w:val="18"/>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35A2F288" id="Rectangle à coins arrondis 30" o:spid="_x0000_s1032" style="position:absolute;left:0;text-align:left;margin-left:109pt;margin-top:12.85pt;width:157.5pt;height:44.35pt;z-index:2516900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">
                <v:textbox>
                  <w:txbxContent>
                    <w:p w14:paraId="74B990DB" w14:textId="77777777" w:rsidR="00ED3F3C" w:rsidRPr="00CC17EA" w:rsidRDefault="00ED3F3C" w:rsidP="009021F1">
                      <w:pPr>
                        <w:jc w:val="center"/>
                        <w:rPr>
                          <w:b/>
                          <w:sz w:val="18"/>
                          <w:szCs w:val="18"/>
                        </w:rPr>
                      </w:pPr>
                      <w:r w:rsidRPr="00CC17EA">
                        <w:rPr>
                          <w:b/>
                          <w:sz w:val="18"/>
                          <w:szCs w:val="18"/>
                        </w:rPr>
                        <w:t>Suivi environnemental et social mise en œuvre du PGES-</w:t>
                      </w:r>
                      <w:r>
                        <w:rPr>
                          <w:b/>
                          <w:sz w:val="18"/>
                          <w:szCs w:val="18"/>
                        </w:rPr>
                        <w:t>C</w:t>
                      </w:r>
                    </w:p>
                  </w:txbxContent>
                </v:textbox>
              </v:roundrect>
            </w:pict>
          </mc:Fallback>
        </mc:AlternateContent>
      </w:r>
    </w:p>
    <w:p w14:paraId="696F8F9C" w14:textId="77777777" w:rsidR="009021F1" w:rsidRPr="009F553E" w:rsidRDefault="009021F1" w:rsidP="009021F1">
      <w:pPr>
        <w:rPr>
          <w:rFonts w:cs="Arial"/>
          <w:bCs/>
          <w:i/>
          <w:szCs w:val="21"/>
        </w:rPr>
      </w:pPr>
    </w:p>
    <w:p w14:paraId="77E5409D" w14:textId="77777777" w:rsidR="009021F1" w:rsidRPr="009F553E" w:rsidRDefault="009021F1" w:rsidP="009021F1">
      <w:pPr>
        <w:rPr>
          <w:rFonts w:cs="Arial"/>
          <w:bCs/>
          <w:i/>
          <w:szCs w:val="21"/>
        </w:rPr>
      </w:pPr>
    </w:p>
    <w:p w14:paraId="30ECCB49" w14:textId="77777777" w:rsidR="009021F1" w:rsidRPr="009F553E" w:rsidRDefault="009021F1" w:rsidP="009021F1">
      <w:pPr>
        <w:rPr>
          <w:rFonts w:cs="Arial"/>
          <w:bCs/>
          <w:i/>
          <w:szCs w:val="21"/>
        </w:rPr>
      </w:pPr>
    </w:p>
    <w:p w14:paraId="073F79ED" w14:textId="77777777" w:rsidR="009021F1" w:rsidRPr="009F553E" w:rsidRDefault="009021F1" w:rsidP="009021F1">
      <w:pPr>
        <w:rPr>
          <w:rFonts w:cs="Arial"/>
          <w:bCs/>
          <w:i/>
          <w:szCs w:val="21"/>
        </w:rPr>
      </w:pPr>
    </w:p>
    <w:p w14:paraId="29353ABD" w14:textId="77777777" w:rsidR="009021F1" w:rsidRPr="009F553E" w:rsidRDefault="009021F1" w:rsidP="009021F1">
      <w:pPr>
        <w:rPr>
          <w:rFonts w:cs="Arial"/>
          <w:bCs/>
          <w:i/>
          <w:szCs w:val="21"/>
        </w:rPr>
      </w:pPr>
      <w:r w:rsidRPr="009F553E">
        <w:rPr>
          <w:rFonts w:cs="Arial"/>
          <w:bCs/>
          <w:i/>
          <w:szCs w:val="21"/>
        </w:rPr>
        <w:t xml:space="preserve">Étape 10 : </w:t>
      </w:r>
      <w:r w:rsidRPr="009F553E">
        <w:rPr>
          <w:rFonts w:cs="Arial"/>
          <w:i/>
          <w:szCs w:val="21"/>
        </w:rPr>
        <w:t>Exécution/</w:t>
      </w:r>
      <w:r w:rsidRPr="009F553E">
        <w:rPr>
          <w:rFonts w:cs="Arial"/>
          <w:bCs/>
          <w:i/>
          <w:szCs w:val="21"/>
        </w:rPr>
        <w:t>Mise en œuvre des mesures non contractées avec l’entreprise de construction</w:t>
      </w:r>
    </w:p>
    <w:p w14:paraId="7A1B1CA1" w14:textId="77777777" w:rsidR="009021F1" w:rsidRPr="009F553E" w:rsidRDefault="009021F1" w:rsidP="009021F1">
      <w:pPr>
        <w:rPr>
          <w:rFonts w:cs="Arial"/>
          <w:szCs w:val="21"/>
        </w:rPr>
      </w:pPr>
    </w:p>
    <w:p w14:paraId="7D2640A0" w14:textId="77777777" w:rsidR="009021F1" w:rsidRPr="009F553E" w:rsidRDefault="009021F1" w:rsidP="009021F1">
      <w:pPr>
        <w:rPr>
          <w:rFonts w:cs="Arial"/>
          <w:szCs w:val="21"/>
        </w:rPr>
      </w:pPr>
      <w:r w:rsidRPr="009F553E">
        <w:rPr>
          <w:rFonts w:cs="Arial"/>
          <w:szCs w:val="21"/>
        </w:rPr>
        <w:t>Le SSE, le SSS et le SVBG (pour la phase de préparation et de mise en œuvre du projet) sont responsables de la mise en œuvre des mesures environnementales et sociales, y compris celles liées aux risques d’EAS/HS et de COVID-19. Pour chaque sous-projet, les prestataires privés et entreprises sont chargés de la mise en œuvre des mesures environnementales et sociales. Toutefois, au préalable, ils devront préparer et mettre en œuvre un Plan de Gestion Environnementale et Sociale-Chantier (PGES-Chantier).</w:t>
      </w:r>
    </w:p>
    <w:p w14:paraId="3F8A28F2" w14:textId="77777777" w:rsidR="009021F1" w:rsidRPr="009F553E" w:rsidRDefault="009021F1" w:rsidP="009021F1">
      <w:pPr>
        <w:rPr>
          <w:rFonts w:cs="Arial"/>
          <w:szCs w:val="21"/>
        </w:rPr>
      </w:pPr>
    </w:p>
    <w:p w14:paraId="32519844" w14:textId="77777777" w:rsidR="009021F1" w:rsidRPr="009F553E" w:rsidRDefault="009021F1" w:rsidP="009021F1">
      <w:pPr>
        <w:autoSpaceDE w:val="0"/>
        <w:autoSpaceDN w:val="0"/>
        <w:adjustRightInd w:val="0"/>
        <w:rPr>
          <w:rFonts w:cs="Arial"/>
          <w:i/>
          <w:szCs w:val="21"/>
        </w:rPr>
      </w:pPr>
      <w:r w:rsidRPr="009F553E">
        <w:rPr>
          <w:rFonts w:cs="Arial"/>
          <w:i/>
          <w:szCs w:val="21"/>
        </w:rPr>
        <w:t xml:space="preserve">Gestion des fournisseurs et prestataires </w:t>
      </w:r>
    </w:p>
    <w:p w14:paraId="7F4B460F" w14:textId="77777777" w:rsidR="009021F1" w:rsidRPr="009F553E" w:rsidRDefault="009021F1" w:rsidP="009021F1">
      <w:pPr>
        <w:autoSpaceDE w:val="0"/>
        <w:autoSpaceDN w:val="0"/>
        <w:adjustRightInd w:val="0"/>
        <w:rPr>
          <w:rFonts w:cs="Arial"/>
          <w:b/>
          <w:i/>
          <w:szCs w:val="21"/>
        </w:rPr>
      </w:pPr>
    </w:p>
    <w:p w14:paraId="05CBBA18" w14:textId="77777777" w:rsidR="009021F1" w:rsidRPr="009F553E" w:rsidRDefault="009021F1" w:rsidP="009021F1">
      <w:pPr>
        <w:autoSpaceDE w:val="0"/>
        <w:autoSpaceDN w:val="0"/>
        <w:adjustRightInd w:val="0"/>
        <w:rPr>
          <w:rFonts w:cs="Arial"/>
          <w:szCs w:val="21"/>
        </w:rPr>
      </w:pPr>
      <w:r w:rsidRPr="009F553E">
        <w:rPr>
          <w:rFonts w:cs="Arial"/>
          <w:szCs w:val="21"/>
        </w:rPr>
        <w:t>Le PNDA exigera que tous les fournisseurs et prestataires intervenant dans le projet se conforment aux dispositions des NES de la Banque Mondiale, en particulier la NES n°2 sur les conditions des travailleurs, y compris celles énoncées expressément dans le Plan d’Engagement Environnemental et Social. Ainsi, le PNDA gérera tous les fournisseurs et prestataires de manière efficace, notamment en : a) évaluant les risques et effets environnementaux et sociaux associés à leurs contrats ; b) s’assurant que les fournisseurs et prestataires intervenant dans le projet sont des entreprises légitimes et fiables, et ont les connaissances et les compétences nécessaires pour s’acquitter des tâches du projet conformément à leurs engagements contractuels ; c) intégrant tous les aspects pertinents du PEES dans les dossiers d’appel d’offres ; d) exigeant contractuellement des fournisseurs et prestataires qu’ils appliquent les aspects pertinents du PEES et utilisent des outils de gestion adéquats, et en exerçant des recours appropriés et efficaces en cas de non-conformité ; e) assurant le suivi du respect par les fournisseurs et prestataires de leurs engagements contractuels ; et f) exigeant, en cas de sous-traitance, que les fournisseurs et prestataires souscrivent des contrats équivalents avec leurs sous-traitants.</w:t>
      </w:r>
    </w:p>
    <w:p w14:paraId="73AEDBF2" w14:textId="77777777" w:rsidR="009021F1" w:rsidRPr="009F553E" w:rsidRDefault="009021F1" w:rsidP="009021F1">
      <w:pPr>
        <w:autoSpaceDE w:val="0"/>
        <w:autoSpaceDN w:val="0"/>
        <w:adjustRightInd w:val="0"/>
        <w:rPr>
          <w:rFonts w:cs="Arial"/>
          <w:szCs w:val="21"/>
        </w:rPr>
      </w:pPr>
    </w:p>
    <w:p w14:paraId="1638B9B8" w14:textId="77777777" w:rsidR="009021F1" w:rsidRPr="009F553E" w:rsidRDefault="009021F1" w:rsidP="009021F1">
      <w:pPr>
        <w:tabs>
          <w:tab w:val="left" w:pos="6131"/>
        </w:tabs>
        <w:spacing w:line="240" w:lineRule="auto"/>
        <w:jc w:val="left"/>
        <w:rPr>
          <w:rFonts w:cs="Arial"/>
          <w:szCs w:val="21"/>
        </w:rPr>
      </w:pPr>
      <w:r w:rsidRPr="009F553E">
        <w:rPr>
          <w:rFonts w:cs="Arial"/>
          <w:szCs w:val="21"/>
        </w:rPr>
        <w:t>Chaque fournisseur et prestataire est dans l’obligation d’avoir une procédure de gestion de la main-d’œuvre basée sur les PGMO préparées par le PNDA.</w:t>
      </w:r>
    </w:p>
    <w:p w14:paraId="1939836A" w14:textId="77777777" w:rsidR="009021F1" w:rsidRPr="009F553E" w:rsidRDefault="009021F1" w:rsidP="009021F1">
      <w:pPr>
        <w:rPr>
          <w:rFonts w:cs="Arial"/>
          <w:szCs w:val="21"/>
        </w:rPr>
      </w:pPr>
    </w:p>
    <w:p w14:paraId="4E733C7E" w14:textId="77777777" w:rsidR="009021F1" w:rsidRPr="009F553E" w:rsidRDefault="009021F1" w:rsidP="009021F1">
      <w:pPr>
        <w:rPr>
          <w:rFonts w:cs="Arial"/>
          <w:i/>
          <w:szCs w:val="21"/>
        </w:rPr>
      </w:pPr>
      <w:r w:rsidRPr="009F553E">
        <w:rPr>
          <w:rFonts w:cs="Arial"/>
          <w:i/>
          <w:szCs w:val="21"/>
        </w:rPr>
        <w:t>Les intermédiaires financiers</w:t>
      </w:r>
    </w:p>
    <w:p w14:paraId="35E49673" w14:textId="77777777" w:rsidR="009021F1" w:rsidRPr="009F553E" w:rsidRDefault="009021F1" w:rsidP="009021F1">
      <w:pPr>
        <w:rPr>
          <w:rFonts w:cs="Arial"/>
          <w:szCs w:val="21"/>
        </w:rPr>
      </w:pPr>
      <w:r w:rsidRPr="009F553E">
        <w:rPr>
          <w:rFonts w:cs="Arial"/>
          <w:szCs w:val="21"/>
        </w:rPr>
        <w:t xml:space="preserve"> </w:t>
      </w:r>
    </w:p>
    <w:p w14:paraId="1D6C8A1A" w14:textId="77777777" w:rsidR="009021F1" w:rsidRPr="009F553E" w:rsidRDefault="009021F1" w:rsidP="009021F1">
      <w:pPr>
        <w:tabs>
          <w:tab w:val="left" w:pos="6131"/>
        </w:tabs>
        <w:rPr>
          <w:rFonts w:cs="Arial"/>
          <w:szCs w:val="21"/>
        </w:rPr>
      </w:pPr>
      <w:r w:rsidRPr="009F553E">
        <w:rPr>
          <w:rFonts w:cs="Arial"/>
          <w:szCs w:val="21"/>
        </w:rPr>
        <w:t>Les IF auront l’obligation d’adopter et de maintenir, sous la forme d’un système de gestion environnementale et sociale (SGES), des systèmes, des procédures et des capacités d’évaluation, de gestion et de suivi des risques et effets environnementaux et sociaux des sous-projets, ainsi que de gérer le risque de portefeuille global d’une manière responsable.</w:t>
      </w:r>
    </w:p>
    <w:p w14:paraId="67FAD67E" w14:textId="77777777" w:rsidR="009021F1" w:rsidRPr="009F553E" w:rsidRDefault="009021F1" w:rsidP="009021F1">
      <w:pPr>
        <w:tabs>
          <w:tab w:val="left" w:pos="6131"/>
        </w:tabs>
        <w:rPr>
          <w:rFonts w:cs="Arial"/>
          <w:szCs w:val="21"/>
        </w:rPr>
      </w:pPr>
      <w:r w:rsidRPr="009F553E">
        <w:rPr>
          <w:rFonts w:cs="Arial"/>
          <w:szCs w:val="21"/>
        </w:rPr>
        <w:t>En effet, PNDA financera une ligne de crédit (LoC) via une institution financière intermédiaire (IFI) qui dans ce cas est la Banque centrale du Congo (BCC) - en utilisant le guichet de refinancement («Guichet de refinancement») mis en place avec le assistance technique et financière de la Banque mondiale (via le projet Infrastructure et marchés financiers (PDIFM))  L'IFI / BCC prêtera les fonds disponibles aux institutions financières éligibles (banques, institutions de micro-finance, coopératives d'épargne et de crédit; - et je suggère que nous ajoutions des sociétés de crédit-bail agréées - collectivement appelées institutions financières participantes (IFP). En conséquence, les IFP mettront en place un Système de Gestion Environnemental et Social (ESMS).</w:t>
      </w:r>
    </w:p>
    <w:p w14:paraId="1D0391D1" w14:textId="77777777" w:rsidR="009021F1" w:rsidRPr="009F553E" w:rsidRDefault="009021F1" w:rsidP="009021F1">
      <w:pPr>
        <w:autoSpaceDE w:val="0"/>
        <w:autoSpaceDN w:val="0"/>
        <w:adjustRightInd w:val="0"/>
        <w:spacing w:line="240" w:lineRule="auto"/>
        <w:rPr>
          <w:rFonts w:cs="Arial"/>
          <w:szCs w:val="21"/>
          <w:lang w:eastAsia="en-US"/>
        </w:rPr>
      </w:pPr>
    </w:p>
    <w:p w14:paraId="2CFDC3F0" w14:textId="77777777" w:rsidR="009021F1" w:rsidRPr="009F553E" w:rsidRDefault="009021F1" w:rsidP="009021F1">
      <w:pPr>
        <w:pStyle w:val="Paragraphedeliste"/>
        <w:numPr>
          <w:ilvl w:val="0"/>
          <w:numId w:val="51"/>
        </w:numPr>
        <w:rPr>
          <w:rFonts w:cs="Arial"/>
          <w:szCs w:val="21"/>
          <w:lang w:eastAsia="en-US"/>
        </w:rPr>
      </w:pPr>
      <w:r w:rsidRPr="009F553E">
        <w:rPr>
          <w:rFonts w:cs="Arial"/>
          <w:szCs w:val="21"/>
          <w:lang w:eastAsia="en-US"/>
        </w:rPr>
        <w:t xml:space="preserve">Classification du risqué pour les IFP </w:t>
      </w:r>
    </w:p>
    <w:p w14:paraId="1E528CD4" w14:textId="77777777" w:rsidR="009021F1" w:rsidRPr="009F553E" w:rsidRDefault="009021F1" w:rsidP="009021F1">
      <w:pPr>
        <w:rPr>
          <w:rFonts w:cs="Arial"/>
          <w:bCs/>
          <w:i/>
          <w:szCs w:val="21"/>
        </w:rPr>
      </w:pPr>
    </w:p>
    <w:p w14:paraId="5FF17529" w14:textId="77777777" w:rsidR="009021F1" w:rsidRPr="009F553E" w:rsidRDefault="009021F1" w:rsidP="009021F1">
      <w:pPr>
        <w:rPr>
          <w:rFonts w:cs="Arial"/>
          <w:bCs/>
          <w:i/>
          <w:szCs w:val="21"/>
        </w:rPr>
      </w:pPr>
      <w:r w:rsidRPr="009F553E">
        <w:rPr>
          <w:rFonts w:cs="Arial"/>
          <w:bCs/>
          <w:i/>
          <w:szCs w:val="21"/>
        </w:rPr>
        <w:t>Étape 11 : Surveillance et suivi</w:t>
      </w:r>
      <w:r w:rsidRPr="009F553E">
        <w:rPr>
          <w:rFonts w:cs="Arial"/>
          <w:i/>
          <w:szCs w:val="21"/>
        </w:rPr>
        <w:t xml:space="preserve"> </w:t>
      </w:r>
      <w:r w:rsidRPr="009F553E">
        <w:rPr>
          <w:rFonts w:cs="Arial"/>
          <w:bCs/>
          <w:i/>
          <w:szCs w:val="21"/>
        </w:rPr>
        <w:t>environnemental et social</w:t>
      </w:r>
    </w:p>
    <w:p w14:paraId="4D287F0F" w14:textId="77777777" w:rsidR="009021F1" w:rsidRPr="009F553E" w:rsidRDefault="009021F1" w:rsidP="009021F1">
      <w:pPr>
        <w:rPr>
          <w:rFonts w:cs="Arial"/>
          <w:bCs/>
          <w:i/>
          <w:szCs w:val="21"/>
        </w:rPr>
      </w:pPr>
    </w:p>
    <w:p w14:paraId="259F4222" w14:textId="77777777" w:rsidR="009021F1" w:rsidRPr="009F553E" w:rsidRDefault="009021F1" w:rsidP="009021F1">
      <w:pPr>
        <w:pStyle w:val="Paragraphedeliste"/>
        <w:numPr>
          <w:ilvl w:val="0"/>
          <w:numId w:val="109"/>
        </w:numPr>
        <w:rPr>
          <w:rFonts w:cs="Arial"/>
          <w:bCs/>
          <w:i/>
          <w:szCs w:val="21"/>
        </w:rPr>
      </w:pPr>
      <w:r w:rsidRPr="009F553E">
        <w:rPr>
          <w:rFonts w:cs="Arial"/>
          <w:bCs/>
          <w:i/>
          <w:szCs w:val="21"/>
        </w:rPr>
        <w:t xml:space="preserve">Surveillance interne </w:t>
      </w:r>
      <w:r w:rsidRPr="009F553E">
        <w:rPr>
          <w:rFonts w:cs="Arial"/>
          <w:i/>
          <w:szCs w:val="21"/>
        </w:rPr>
        <w:t xml:space="preserve">de la mise en œuvre des mesures </w:t>
      </w:r>
      <w:r w:rsidRPr="009F553E">
        <w:rPr>
          <w:rFonts w:cs="Arial"/>
          <w:bCs/>
          <w:i/>
          <w:szCs w:val="21"/>
        </w:rPr>
        <w:t>environnementales et sociales</w:t>
      </w:r>
    </w:p>
    <w:p w14:paraId="69B8EA77" w14:textId="77777777" w:rsidR="009021F1" w:rsidRPr="009F553E" w:rsidRDefault="009021F1" w:rsidP="009021F1">
      <w:pPr>
        <w:rPr>
          <w:rFonts w:cs="Arial"/>
          <w:szCs w:val="21"/>
        </w:rPr>
      </w:pPr>
    </w:p>
    <w:p w14:paraId="7607C872" w14:textId="77777777" w:rsidR="009021F1" w:rsidRPr="009F553E" w:rsidRDefault="009021F1" w:rsidP="009021F1">
      <w:pPr>
        <w:rPr>
          <w:rFonts w:cs="Arial"/>
          <w:szCs w:val="21"/>
        </w:rPr>
      </w:pPr>
      <w:r w:rsidRPr="009F553E">
        <w:rPr>
          <w:rFonts w:cs="Arial"/>
          <w:szCs w:val="21"/>
        </w:rPr>
        <w:t>Cette phase finale correspond au suivi de la mise en œuvre qui consiste à :</w:t>
      </w:r>
    </w:p>
    <w:p w14:paraId="23A1A8DD" w14:textId="77777777" w:rsidR="009021F1" w:rsidRPr="009F553E" w:rsidRDefault="009021F1" w:rsidP="009021F1">
      <w:pPr>
        <w:rPr>
          <w:rFonts w:cs="Arial"/>
          <w:szCs w:val="21"/>
        </w:rPr>
      </w:pPr>
    </w:p>
    <w:p w14:paraId="0BD7EC0C" w14:textId="77777777" w:rsidR="009021F1" w:rsidRPr="009F553E" w:rsidRDefault="009021F1" w:rsidP="009021F1">
      <w:pPr>
        <w:numPr>
          <w:ilvl w:val="0"/>
          <w:numId w:val="51"/>
        </w:numPr>
        <w:rPr>
          <w:rFonts w:cs="Arial"/>
          <w:szCs w:val="21"/>
        </w:rPr>
      </w:pPr>
      <w:r w:rsidRPr="009F553E">
        <w:rPr>
          <w:rFonts w:cs="Arial"/>
          <w:szCs w:val="21"/>
        </w:rPr>
        <w:t>La supervision des activités sera assurée par le SSES, le SSS et le SVBG (pour les phases de préparation et de mise en œuvre du projet) ;</w:t>
      </w:r>
    </w:p>
    <w:p w14:paraId="75873FF4" w14:textId="77777777" w:rsidR="009021F1" w:rsidRPr="009F553E" w:rsidRDefault="009021F1" w:rsidP="009021F1">
      <w:pPr>
        <w:numPr>
          <w:ilvl w:val="0"/>
          <w:numId w:val="51"/>
        </w:numPr>
        <w:rPr>
          <w:rFonts w:cs="Arial"/>
          <w:szCs w:val="21"/>
        </w:rPr>
      </w:pPr>
      <w:r w:rsidRPr="009F553E">
        <w:rPr>
          <w:rFonts w:cs="Arial"/>
          <w:szCs w:val="21"/>
        </w:rPr>
        <w:t>La surveillance régulière de l’exécution des mesures environnementales et sociales sera assurée par les Bureaux de Contrôle qui seront commis à cette fin, mais aussi par les services techniques membres du Comité Technique Préparatoire et du Suivi du PNDA et des Provinces/Villes/Territoires concerné(e)s ;</w:t>
      </w:r>
    </w:p>
    <w:p w14:paraId="60AD6B4D" w14:textId="77777777" w:rsidR="009021F1" w:rsidRPr="009F553E" w:rsidRDefault="009021F1" w:rsidP="009021F1">
      <w:pPr>
        <w:numPr>
          <w:ilvl w:val="0"/>
          <w:numId w:val="51"/>
        </w:numPr>
        <w:rPr>
          <w:rFonts w:cs="Arial"/>
          <w:szCs w:val="21"/>
        </w:rPr>
      </w:pPr>
      <w:r w:rsidRPr="009F553E">
        <w:rPr>
          <w:rFonts w:cs="Arial"/>
          <w:szCs w:val="21"/>
        </w:rPr>
        <w:t>La surveillance des activités de prévention et réponse à l’EAS/HS et au COVID-19 seront assurées par le SVBG au sein de l’UNCP qui aura pour charge le suivi des activités contenues dans les plans d’actions y afférents, dont entre autres :</w:t>
      </w:r>
    </w:p>
    <w:p w14:paraId="77FA45F5" w14:textId="77777777" w:rsidR="009021F1" w:rsidRPr="009F553E" w:rsidRDefault="009021F1" w:rsidP="009021F1">
      <w:pPr>
        <w:pStyle w:val="Paragraphedeliste"/>
        <w:numPr>
          <w:ilvl w:val="0"/>
          <w:numId w:val="92"/>
        </w:numPr>
        <w:ind w:left="1276" w:hanging="283"/>
        <w:rPr>
          <w:rFonts w:cs="Arial"/>
          <w:szCs w:val="21"/>
        </w:rPr>
      </w:pPr>
      <w:r w:rsidRPr="009F553E">
        <w:rPr>
          <w:rFonts w:cs="Arial"/>
          <w:szCs w:val="21"/>
        </w:rPr>
        <w:t xml:space="preserve">Superviser l’ensemble des prestations de différents fournisseurs de services recrutés pour mettre en œuvre les activités d’atténuation et de réponse à l’EAS/HS à l’attention des communautés riveraines et du personnel de différentes zones d´interventions ; </w:t>
      </w:r>
    </w:p>
    <w:p w14:paraId="575AB1CD" w14:textId="77777777" w:rsidR="009021F1" w:rsidRPr="009F553E" w:rsidRDefault="009021F1" w:rsidP="009021F1">
      <w:pPr>
        <w:pStyle w:val="Paragraphedeliste"/>
        <w:numPr>
          <w:ilvl w:val="0"/>
          <w:numId w:val="92"/>
        </w:numPr>
        <w:ind w:left="1276" w:hanging="283"/>
        <w:rPr>
          <w:rFonts w:cs="Arial"/>
          <w:szCs w:val="21"/>
        </w:rPr>
      </w:pPr>
      <w:r w:rsidRPr="009F553E">
        <w:rPr>
          <w:rFonts w:cs="Arial"/>
          <w:szCs w:val="21"/>
        </w:rPr>
        <w:t>Assurer la coordination du UNCP sensible aux plaintes d’EAS/HS ; et</w:t>
      </w:r>
    </w:p>
    <w:p w14:paraId="4D63F198" w14:textId="77777777" w:rsidR="009021F1" w:rsidRPr="009F553E" w:rsidRDefault="009021F1" w:rsidP="009021F1">
      <w:pPr>
        <w:pStyle w:val="Paragraphedeliste"/>
        <w:numPr>
          <w:ilvl w:val="0"/>
          <w:numId w:val="92"/>
        </w:numPr>
        <w:ind w:left="1276" w:hanging="283"/>
        <w:rPr>
          <w:rFonts w:cs="Arial"/>
          <w:szCs w:val="21"/>
        </w:rPr>
      </w:pPr>
      <w:r w:rsidRPr="009F553E">
        <w:rPr>
          <w:rFonts w:cs="Arial"/>
          <w:szCs w:val="21"/>
        </w:rPr>
        <w:t>Réviser le code de bonne conduite de tout prestataire, et assurer que les aspects et les comportements liés à l’EAS/HS et au COVID-19 sont inclus ;</w:t>
      </w:r>
    </w:p>
    <w:p w14:paraId="0E38322F" w14:textId="77777777" w:rsidR="009021F1" w:rsidRPr="009F553E" w:rsidRDefault="009021F1" w:rsidP="009021F1">
      <w:pPr>
        <w:pStyle w:val="Paragraphedeliste"/>
        <w:numPr>
          <w:ilvl w:val="0"/>
          <w:numId w:val="92"/>
        </w:numPr>
        <w:ind w:left="1276" w:hanging="283"/>
        <w:rPr>
          <w:rFonts w:cs="Arial"/>
          <w:szCs w:val="21"/>
        </w:rPr>
      </w:pPr>
      <w:r w:rsidRPr="009F553E">
        <w:rPr>
          <w:rFonts w:cs="Arial"/>
          <w:szCs w:val="21"/>
        </w:rPr>
        <w:t>S’assurer que l’entrepreneur fournit un cours initial et périodiquement des cours de recyclage sur l’EAS/HS et COVID-19 et assurer aussi la signature du code de bonne conduite par tous les travailleurs ;</w:t>
      </w:r>
    </w:p>
    <w:p w14:paraId="1CE9E003" w14:textId="77777777" w:rsidR="009021F1" w:rsidRPr="009F553E" w:rsidRDefault="009021F1" w:rsidP="009021F1">
      <w:pPr>
        <w:pStyle w:val="Paragraphedeliste"/>
        <w:numPr>
          <w:ilvl w:val="0"/>
          <w:numId w:val="92"/>
        </w:numPr>
        <w:ind w:left="1276" w:hanging="283"/>
        <w:rPr>
          <w:rFonts w:cs="Arial"/>
          <w:szCs w:val="21"/>
        </w:rPr>
      </w:pPr>
      <w:r w:rsidRPr="009F553E">
        <w:rPr>
          <w:rFonts w:cs="Arial"/>
          <w:szCs w:val="21"/>
        </w:rPr>
        <w:t>Assurer la cartographie des services de prise en charge VBG et COVID-19, y compris de counseling et de traitement du VIH ;</w:t>
      </w:r>
    </w:p>
    <w:p w14:paraId="534389A3" w14:textId="77777777" w:rsidR="009021F1" w:rsidRPr="009F553E" w:rsidRDefault="009021F1" w:rsidP="009021F1">
      <w:pPr>
        <w:pStyle w:val="Paragraphedeliste"/>
        <w:numPr>
          <w:ilvl w:val="0"/>
          <w:numId w:val="92"/>
        </w:numPr>
        <w:ind w:left="1276" w:hanging="283"/>
        <w:rPr>
          <w:rFonts w:cs="Arial"/>
          <w:szCs w:val="21"/>
        </w:rPr>
      </w:pPr>
      <w:r w:rsidRPr="009F553E">
        <w:rPr>
          <w:rFonts w:cs="Arial"/>
          <w:szCs w:val="21"/>
        </w:rPr>
        <w:t>Veiller à ce que l’entrepreneur réaffirme son attachement au code de bonne conduite dans ses offres d’emploi ;</w:t>
      </w:r>
    </w:p>
    <w:p w14:paraId="6104150B" w14:textId="77777777" w:rsidR="009021F1" w:rsidRPr="009F553E" w:rsidRDefault="009021F1" w:rsidP="009021F1">
      <w:pPr>
        <w:pStyle w:val="Paragraphedeliste"/>
        <w:numPr>
          <w:ilvl w:val="0"/>
          <w:numId w:val="92"/>
        </w:numPr>
        <w:ind w:left="1276" w:hanging="283"/>
        <w:rPr>
          <w:rFonts w:cs="Arial"/>
          <w:szCs w:val="21"/>
        </w:rPr>
      </w:pPr>
      <w:r w:rsidRPr="009F553E">
        <w:rPr>
          <w:rFonts w:cs="Arial"/>
          <w:szCs w:val="21"/>
        </w:rPr>
        <w:t xml:space="preserve">Aider l’entrepreneur à élaborer une base de données interne des mesures disciplinaires sur le personnel, y compris les licenciements, afin d’éviter de réembaucher des transgresseurs à un moment ultérieur ; </w:t>
      </w:r>
    </w:p>
    <w:p w14:paraId="74A8373C" w14:textId="77777777" w:rsidR="009021F1" w:rsidRPr="009F553E" w:rsidRDefault="009021F1" w:rsidP="009021F1">
      <w:pPr>
        <w:pStyle w:val="Paragraphedeliste"/>
        <w:numPr>
          <w:ilvl w:val="0"/>
          <w:numId w:val="92"/>
        </w:numPr>
        <w:ind w:left="1276" w:hanging="283"/>
        <w:rPr>
          <w:rFonts w:cs="Arial"/>
          <w:szCs w:val="21"/>
        </w:rPr>
      </w:pPr>
      <w:r w:rsidRPr="009F553E">
        <w:rPr>
          <w:rFonts w:cs="Arial"/>
          <w:szCs w:val="21"/>
        </w:rPr>
        <w:t xml:space="preserve">Participer aux réunions de coordination (en déterminer la périodicité) entre les différents partenaires qui travaillent en collaboration pour la prise en charge des survivant(e)s d’EAS/HS, et dans la mise en œuvre du Plan d’action EAS/HS ; </w:t>
      </w:r>
    </w:p>
    <w:p w14:paraId="745BFCBE" w14:textId="77777777" w:rsidR="009021F1" w:rsidRPr="009F553E" w:rsidRDefault="009021F1" w:rsidP="009021F1">
      <w:pPr>
        <w:pStyle w:val="Paragraphedeliste"/>
        <w:numPr>
          <w:ilvl w:val="0"/>
          <w:numId w:val="92"/>
        </w:numPr>
        <w:ind w:left="1276" w:hanging="283"/>
        <w:rPr>
          <w:rFonts w:cs="Arial"/>
          <w:szCs w:val="21"/>
        </w:rPr>
      </w:pPr>
      <w:r w:rsidRPr="009F553E">
        <w:rPr>
          <w:rFonts w:cs="Arial"/>
          <w:szCs w:val="21"/>
        </w:rPr>
        <w:t>Évaluer des effets des mesures mises en place, et proposer des ajustements si nécessaire ;</w:t>
      </w:r>
    </w:p>
    <w:p w14:paraId="07FC0049" w14:textId="77777777" w:rsidR="009021F1" w:rsidRPr="009F553E" w:rsidRDefault="009021F1" w:rsidP="009021F1">
      <w:pPr>
        <w:pStyle w:val="Paragraphedeliste"/>
        <w:numPr>
          <w:ilvl w:val="0"/>
          <w:numId w:val="92"/>
        </w:numPr>
        <w:ind w:left="1276" w:hanging="283"/>
        <w:rPr>
          <w:rFonts w:cs="Arial"/>
          <w:szCs w:val="21"/>
        </w:rPr>
      </w:pPr>
      <w:r w:rsidRPr="009F553E">
        <w:rPr>
          <w:rFonts w:cs="Arial"/>
          <w:szCs w:val="21"/>
        </w:rPr>
        <w:t>Assurer la réalisation des consultations avec les communautés de manière sûre et dans des groupes spécifiques au sexe avec des facilitateurs du même sexe, en ciblant en particulier</w:t>
      </w:r>
      <w:r w:rsidRPr="009F553E" w:rsidDel="00E135FF">
        <w:rPr>
          <w:rFonts w:cs="Arial"/>
          <w:szCs w:val="21"/>
        </w:rPr>
        <w:t xml:space="preserve"> </w:t>
      </w:r>
      <w:r w:rsidRPr="009F553E">
        <w:rPr>
          <w:rFonts w:cs="Arial"/>
          <w:szCs w:val="21"/>
        </w:rPr>
        <w:t>les couches plus vulnérables, groupes de femmes, déplacées, peuples autochtones dans le but de renforcer l’inclusivité, l’accessibilité, la connaissance et la confiance du MGP ;</w:t>
      </w:r>
    </w:p>
    <w:p w14:paraId="69A39C5A" w14:textId="77777777" w:rsidR="009021F1" w:rsidRPr="009F553E" w:rsidRDefault="009021F1" w:rsidP="009021F1">
      <w:pPr>
        <w:pStyle w:val="Paragraphedeliste"/>
        <w:numPr>
          <w:ilvl w:val="0"/>
          <w:numId w:val="92"/>
        </w:numPr>
        <w:ind w:left="1276" w:hanging="283"/>
        <w:rPr>
          <w:rFonts w:cs="Arial"/>
          <w:szCs w:val="21"/>
        </w:rPr>
      </w:pPr>
      <w:r w:rsidRPr="009F553E">
        <w:rPr>
          <w:rFonts w:cs="Arial"/>
          <w:szCs w:val="21"/>
        </w:rPr>
        <w:t>Élaborer un plan de suivi-évaluation des activités et pour la récolte et l’analyse des commentaires et préoccupations des communautés sur le MGP, y compris les services de prise en charge pour les survivant(e)s d’EAS/HS et de COVID-19 ;</w:t>
      </w:r>
    </w:p>
    <w:p w14:paraId="44B20C80" w14:textId="77777777" w:rsidR="009021F1" w:rsidRPr="009F553E" w:rsidRDefault="009021F1" w:rsidP="009021F1">
      <w:pPr>
        <w:pStyle w:val="Paragraphedeliste"/>
        <w:numPr>
          <w:ilvl w:val="0"/>
          <w:numId w:val="92"/>
        </w:numPr>
        <w:ind w:left="1276" w:hanging="283"/>
        <w:rPr>
          <w:rFonts w:cs="Arial"/>
          <w:szCs w:val="21"/>
        </w:rPr>
      </w:pPr>
      <w:r w:rsidRPr="009F553E">
        <w:rPr>
          <w:rFonts w:cs="Arial"/>
          <w:szCs w:val="21"/>
        </w:rPr>
        <w:t>Analyser les écarts entre les réalisations et les prévisions et formuler toutes recommandations appropriées pour améliorer les performances en matière de prévention et gestion des cas d’EAS/HS et de COVID-19 ;</w:t>
      </w:r>
    </w:p>
    <w:p w14:paraId="7D96623D" w14:textId="77777777" w:rsidR="009021F1" w:rsidRPr="009F553E" w:rsidRDefault="009021F1" w:rsidP="009021F1">
      <w:pPr>
        <w:pStyle w:val="Paragraphedeliste"/>
        <w:numPr>
          <w:ilvl w:val="0"/>
          <w:numId w:val="92"/>
        </w:numPr>
        <w:ind w:left="1276" w:hanging="283"/>
        <w:rPr>
          <w:rFonts w:cs="Arial"/>
          <w:szCs w:val="21"/>
        </w:rPr>
      </w:pPr>
      <w:r w:rsidRPr="009F553E">
        <w:rPr>
          <w:rFonts w:cs="Arial"/>
          <w:szCs w:val="21"/>
        </w:rPr>
        <w:t>Proposer des ajustements du programme des activités de prévention et gestion des incidents d’EAS/HS et les mesures appropriées pour assurer leurs bonnes exécutions.</w:t>
      </w:r>
    </w:p>
    <w:p w14:paraId="0D43B2E7" w14:textId="77777777" w:rsidR="009021F1" w:rsidRPr="009F553E" w:rsidRDefault="009021F1" w:rsidP="009021F1">
      <w:pPr>
        <w:rPr>
          <w:rFonts w:cs="Arial"/>
          <w:bCs/>
          <w:i/>
          <w:szCs w:val="21"/>
        </w:rPr>
      </w:pPr>
    </w:p>
    <w:p w14:paraId="7932FB64" w14:textId="77777777" w:rsidR="009021F1" w:rsidRPr="009F553E" w:rsidRDefault="009021F1" w:rsidP="009021F1">
      <w:pPr>
        <w:rPr>
          <w:rFonts w:cs="Arial"/>
          <w:bCs/>
          <w:i/>
          <w:szCs w:val="21"/>
        </w:rPr>
      </w:pPr>
      <w:r w:rsidRPr="009F553E">
        <w:rPr>
          <w:rFonts w:cs="Arial"/>
          <w:bCs/>
          <w:i/>
          <w:szCs w:val="21"/>
        </w:rPr>
        <w:t>b) Suivi environnemental et social</w:t>
      </w:r>
      <w:r w:rsidRPr="009F553E">
        <w:rPr>
          <w:rFonts w:cs="Arial"/>
          <w:i/>
          <w:szCs w:val="21"/>
        </w:rPr>
        <w:t>- Évaluation</w:t>
      </w:r>
    </w:p>
    <w:p w14:paraId="33E3235D" w14:textId="77777777" w:rsidR="009021F1" w:rsidRPr="009F553E" w:rsidRDefault="009021F1" w:rsidP="009021F1">
      <w:pPr>
        <w:rPr>
          <w:rFonts w:cs="Arial"/>
          <w:bCs/>
          <w:i/>
          <w:szCs w:val="21"/>
        </w:rPr>
      </w:pPr>
    </w:p>
    <w:p w14:paraId="2BD08053" w14:textId="77777777" w:rsidR="009021F1" w:rsidRPr="009F553E" w:rsidRDefault="009021F1" w:rsidP="009021F1">
      <w:pPr>
        <w:pStyle w:val="Paragraphedeliste"/>
        <w:numPr>
          <w:ilvl w:val="0"/>
          <w:numId w:val="100"/>
        </w:numPr>
        <w:rPr>
          <w:rFonts w:cs="Arial"/>
          <w:szCs w:val="21"/>
        </w:rPr>
      </w:pPr>
      <w:r w:rsidRPr="009F553E">
        <w:rPr>
          <w:rFonts w:cs="Arial"/>
          <w:szCs w:val="21"/>
        </w:rPr>
        <w:t>La supervision des activités sera assurée par le SSE et le SSS du PNDA.</w:t>
      </w:r>
    </w:p>
    <w:p w14:paraId="78D7CC50" w14:textId="77777777" w:rsidR="009021F1" w:rsidRPr="009F553E" w:rsidRDefault="009021F1" w:rsidP="009021F1">
      <w:pPr>
        <w:pStyle w:val="Paragraphedeliste"/>
        <w:numPr>
          <w:ilvl w:val="0"/>
          <w:numId w:val="100"/>
        </w:numPr>
        <w:rPr>
          <w:rFonts w:cs="Arial"/>
          <w:szCs w:val="21"/>
        </w:rPr>
      </w:pPr>
      <w:r w:rsidRPr="009F553E">
        <w:rPr>
          <w:rFonts w:cs="Arial"/>
          <w:szCs w:val="21"/>
        </w:rPr>
        <w:t>La surveillance interne de proximité de l’exécution des mesures environnementales et sociales sera assurée par les bureaux de contrôle (ou prestataires privés).</w:t>
      </w:r>
    </w:p>
    <w:p w14:paraId="09C602F1" w14:textId="77777777" w:rsidR="009021F1" w:rsidRPr="009F553E" w:rsidRDefault="009021F1" w:rsidP="009021F1">
      <w:pPr>
        <w:pStyle w:val="Paragraphedeliste"/>
        <w:numPr>
          <w:ilvl w:val="0"/>
          <w:numId w:val="100"/>
        </w:numPr>
        <w:rPr>
          <w:rFonts w:cs="Arial"/>
          <w:szCs w:val="21"/>
        </w:rPr>
      </w:pPr>
      <w:r w:rsidRPr="009F553E">
        <w:rPr>
          <w:rFonts w:cs="Arial"/>
          <w:szCs w:val="21"/>
        </w:rPr>
        <w:t xml:space="preserve">Le suivi (inspection ou contrôle réglementaire) sera effectué par l’ACE, les Coordinations Provinciales de l’Environnement, l’Institut Congolais pour la Conservation de la Nature et le Réseau des Populations Autochtones pour la gestion durable des Écosystèmes Forestiers de la RDC. </w:t>
      </w:r>
    </w:p>
    <w:p w14:paraId="0C6B7DFE" w14:textId="77777777" w:rsidR="009021F1" w:rsidRPr="009F553E" w:rsidRDefault="009021F1" w:rsidP="009021F1">
      <w:pPr>
        <w:pStyle w:val="Paragraphedeliste"/>
        <w:numPr>
          <w:ilvl w:val="0"/>
          <w:numId w:val="100"/>
        </w:numPr>
        <w:rPr>
          <w:rFonts w:cs="Arial"/>
          <w:szCs w:val="21"/>
        </w:rPr>
      </w:pPr>
      <w:r w:rsidRPr="009F553E">
        <w:rPr>
          <w:rFonts w:cs="Arial"/>
          <w:szCs w:val="21"/>
        </w:rPr>
        <w:t xml:space="preserve">L’évaluation sera effectuée par des Consultants indépendants, à mi-parcours et à la fin du Projet PNDA. </w:t>
      </w:r>
    </w:p>
    <w:p w14:paraId="12CD33B8" w14:textId="77777777" w:rsidR="009021F1" w:rsidRPr="009F553E" w:rsidRDefault="009021F1" w:rsidP="009021F1">
      <w:pPr>
        <w:rPr>
          <w:rFonts w:cs="Arial"/>
          <w:szCs w:val="21"/>
        </w:rPr>
      </w:pPr>
    </w:p>
    <w:p w14:paraId="6545E765" w14:textId="77777777" w:rsidR="009021F1" w:rsidRPr="009F553E" w:rsidRDefault="009021F1" w:rsidP="009021F1">
      <w:pPr>
        <w:rPr>
          <w:rFonts w:cs="Arial"/>
          <w:bCs/>
          <w:i/>
          <w:color w:val="000000"/>
          <w:szCs w:val="21"/>
        </w:rPr>
      </w:pPr>
      <w:r w:rsidRPr="009F553E">
        <w:rPr>
          <w:rFonts w:cs="Arial"/>
          <w:bCs/>
          <w:i/>
          <w:color w:val="000000"/>
          <w:szCs w:val="21"/>
        </w:rPr>
        <w:t xml:space="preserve">Étape 12 : Diffusion du rapport de surveillance </w:t>
      </w:r>
    </w:p>
    <w:p w14:paraId="45CAE775" w14:textId="77777777" w:rsidR="009021F1" w:rsidRPr="009F553E" w:rsidRDefault="009021F1" w:rsidP="009021F1">
      <w:pPr>
        <w:rPr>
          <w:rFonts w:cs="Arial"/>
          <w:bCs/>
          <w:szCs w:val="21"/>
        </w:rPr>
      </w:pPr>
    </w:p>
    <w:p w14:paraId="141E3E36" w14:textId="77777777" w:rsidR="009021F1" w:rsidRPr="009F553E" w:rsidRDefault="009021F1" w:rsidP="009021F1">
      <w:pPr>
        <w:rPr>
          <w:rFonts w:cs="Arial"/>
          <w:szCs w:val="21"/>
        </w:rPr>
      </w:pPr>
      <w:r w:rsidRPr="009F553E">
        <w:rPr>
          <w:rFonts w:cs="Arial"/>
          <w:bCs/>
          <w:szCs w:val="21"/>
        </w:rPr>
        <w:t>En phase de préparation du Projet, le PNDA en collaboration avec le Comité préparatoire et du suivi mis en place</w:t>
      </w:r>
      <w:r w:rsidRPr="009F553E">
        <w:rPr>
          <w:rFonts w:cs="Arial"/>
          <w:bCs/>
          <w:i/>
          <w:szCs w:val="21"/>
        </w:rPr>
        <w:t xml:space="preserve"> </w:t>
      </w:r>
      <w:r w:rsidRPr="009F553E">
        <w:rPr>
          <w:rFonts w:cs="Arial"/>
          <w:szCs w:val="21"/>
        </w:rPr>
        <w:t>sont responsables de la diffusion du rapport de surveillance, avec la collaboration des Spécialistes en Sauvegarde Environnementale et Sociale et VBG du PNDA.</w:t>
      </w:r>
    </w:p>
    <w:p w14:paraId="674554C3" w14:textId="77777777" w:rsidR="009021F1" w:rsidRPr="009F553E" w:rsidRDefault="009021F1" w:rsidP="009021F1">
      <w:pPr>
        <w:rPr>
          <w:rFonts w:cs="Arial"/>
          <w:bCs/>
          <w:i/>
          <w:szCs w:val="21"/>
        </w:rPr>
      </w:pPr>
    </w:p>
    <w:p w14:paraId="69D1B10D" w14:textId="77777777" w:rsidR="009021F1" w:rsidRPr="009F553E" w:rsidRDefault="009021F1" w:rsidP="009021F1">
      <w:pPr>
        <w:rPr>
          <w:rFonts w:cs="Arial"/>
          <w:szCs w:val="21"/>
        </w:rPr>
      </w:pPr>
      <w:r w:rsidRPr="009F553E">
        <w:rPr>
          <w:rFonts w:cs="Arial"/>
          <w:szCs w:val="21"/>
        </w:rPr>
        <w:t>En phase de mise en œuvre du projet, l’UNCP sera responsable de la diffusion du rapport de surveillance, avec la collaboration des Spécialistes en Sauvegardes Environnementales et Sociales du PNDA.</w:t>
      </w:r>
    </w:p>
    <w:p w14:paraId="2C82355D" w14:textId="77777777" w:rsidR="009021F1" w:rsidRDefault="009021F1" w:rsidP="009021F1">
      <w:pPr>
        <w:tabs>
          <w:tab w:val="left" w:pos="7650"/>
        </w:tabs>
        <w:ind w:left="720"/>
        <w:rPr>
          <w:rFonts w:cs="Arial"/>
          <w:szCs w:val="21"/>
        </w:rPr>
      </w:pPr>
    </w:p>
    <w:p w14:paraId="1A45EB02" w14:textId="77777777" w:rsidR="009021F1" w:rsidRDefault="009021F1" w:rsidP="009021F1">
      <w:pPr>
        <w:tabs>
          <w:tab w:val="left" w:pos="7650"/>
        </w:tabs>
        <w:ind w:left="720"/>
        <w:rPr>
          <w:rFonts w:cs="Arial"/>
          <w:szCs w:val="21"/>
        </w:rPr>
      </w:pPr>
    </w:p>
    <w:p w14:paraId="07556460" w14:textId="77777777" w:rsidR="009021F1" w:rsidRDefault="009021F1" w:rsidP="009021F1">
      <w:pPr>
        <w:tabs>
          <w:tab w:val="left" w:pos="7650"/>
        </w:tabs>
        <w:ind w:left="720"/>
        <w:rPr>
          <w:rFonts w:cs="Arial"/>
          <w:szCs w:val="21"/>
        </w:rPr>
      </w:pPr>
    </w:p>
    <w:p w14:paraId="71F876A3" w14:textId="77777777" w:rsidR="009021F1" w:rsidRDefault="009021F1" w:rsidP="009021F1">
      <w:pPr>
        <w:tabs>
          <w:tab w:val="left" w:pos="7650"/>
        </w:tabs>
        <w:ind w:left="720"/>
        <w:rPr>
          <w:rFonts w:cs="Arial"/>
          <w:szCs w:val="21"/>
        </w:rPr>
      </w:pPr>
    </w:p>
    <w:p w14:paraId="63EC3B28" w14:textId="77777777" w:rsidR="009021F1" w:rsidRPr="009F553E" w:rsidRDefault="009021F1" w:rsidP="009021F1">
      <w:pPr>
        <w:tabs>
          <w:tab w:val="left" w:pos="7650"/>
        </w:tabs>
        <w:ind w:left="720"/>
        <w:rPr>
          <w:rFonts w:cs="Arial"/>
          <w:szCs w:val="21"/>
        </w:rPr>
      </w:pPr>
      <w:r w:rsidRPr="009F553E">
        <w:rPr>
          <w:rFonts w:cs="Arial"/>
          <w:szCs w:val="21"/>
        </w:rPr>
        <w:tab/>
      </w:r>
    </w:p>
    <w:p w14:paraId="78A655C1" w14:textId="77777777" w:rsidR="009021F1" w:rsidRPr="009F553E" w:rsidRDefault="009021F1" w:rsidP="009021F1">
      <w:pPr>
        <w:rPr>
          <w:rFonts w:cs="Arial"/>
          <w:bCs/>
          <w:i/>
          <w:szCs w:val="21"/>
        </w:rPr>
      </w:pPr>
      <w:r w:rsidRPr="009F553E">
        <w:rPr>
          <w:rFonts w:cs="Arial"/>
          <w:bCs/>
          <w:i/>
          <w:szCs w:val="21"/>
        </w:rPr>
        <w:t>Étape 13 : Renforcement des capacités des acteurs en mise en œuvre environnementale et sociale</w:t>
      </w:r>
    </w:p>
    <w:p w14:paraId="2034C05B" w14:textId="77777777" w:rsidR="009021F1" w:rsidRPr="009F553E" w:rsidRDefault="009021F1" w:rsidP="009021F1">
      <w:pPr>
        <w:pStyle w:val="Paragraphedeliste"/>
        <w:tabs>
          <w:tab w:val="left" w:pos="0"/>
        </w:tabs>
        <w:ind w:left="0"/>
        <w:contextualSpacing w:val="0"/>
        <w:rPr>
          <w:rFonts w:cs="Arial"/>
          <w:szCs w:val="21"/>
        </w:rPr>
      </w:pPr>
    </w:p>
    <w:p w14:paraId="22C4249F" w14:textId="77777777" w:rsidR="009021F1" w:rsidRPr="009F553E" w:rsidRDefault="009021F1" w:rsidP="009021F1">
      <w:pPr>
        <w:pStyle w:val="Paragraphedeliste"/>
        <w:tabs>
          <w:tab w:val="left" w:pos="0"/>
        </w:tabs>
        <w:ind w:left="0"/>
        <w:contextualSpacing w:val="0"/>
        <w:rPr>
          <w:rFonts w:cs="Arial"/>
          <w:szCs w:val="21"/>
        </w:rPr>
      </w:pPr>
      <w:r w:rsidRPr="009F553E">
        <w:rPr>
          <w:rFonts w:cs="Arial"/>
          <w:szCs w:val="21"/>
        </w:rPr>
        <w:t>Le SSE, le SSS, et le SVBG sont responsables du renforcement des capacités des acteurs en mise en œuvre environnementale et sociale, avec l’appui des consultants et des structures publiques compétentes.</w:t>
      </w:r>
    </w:p>
    <w:p w14:paraId="59BDBF20" w14:textId="77777777" w:rsidR="009021F1" w:rsidRPr="009F553E" w:rsidRDefault="009021F1" w:rsidP="009021F1">
      <w:pPr>
        <w:rPr>
          <w:rFonts w:cs="Arial"/>
          <w:bCs/>
          <w:i/>
          <w:szCs w:val="21"/>
        </w:rPr>
      </w:pPr>
    </w:p>
    <w:p w14:paraId="5F5A26E2" w14:textId="77777777" w:rsidR="009021F1" w:rsidRPr="009F553E" w:rsidRDefault="009021F1" w:rsidP="009021F1">
      <w:pPr>
        <w:rPr>
          <w:rFonts w:cs="Arial"/>
          <w:bCs/>
          <w:i/>
          <w:szCs w:val="21"/>
        </w:rPr>
      </w:pPr>
      <w:r w:rsidRPr="009F553E">
        <w:rPr>
          <w:rFonts w:cs="Arial"/>
          <w:bCs/>
          <w:i/>
          <w:szCs w:val="21"/>
        </w:rPr>
        <w:t>Étape 14 : Audit de mise en œuvre des mesures environnementales et sociales</w:t>
      </w:r>
    </w:p>
    <w:p w14:paraId="20929A66" w14:textId="77777777" w:rsidR="009021F1" w:rsidRPr="009F553E" w:rsidRDefault="009021F1" w:rsidP="009021F1">
      <w:pPr>
        <w:pStyle w:val="Commentaire"/>
        <w:spacing w:line="276" w:lineRule="auto"/>
        <w:rPr>
          <w:rFonts w:cs="Arial"/>
          <w:sz w:val="21"/>
          <w:szCs w:val="21"/>
          <w:lang w:val="fr-FR"/>
        </w:rPr>
      </w:pPr>
    </w:p>
    <w:p w14:paraId="3339FCEB" w14:textId="77777777" w:rsidR="009021F1" w:rsidRPr="009F553E" w:rsidRDefault="009021F1" w:rsidP="009021F1">
      <w:pPr>
        <w:pStyle w:val="Commentaire"/>
        <w:spacing w:line="276" w:lineRule="auto"/>
        <w:rPr>
          <w:rFonts w:cs="Arial"/>
          <w:sz w:val="21"/>
          <w:szCs w:val="21"/>
          <w:lang w:val="fr-FR"/>
        </w:rPr>
      </w:pPr>
      <w:r w:rsidRPr="009F553E">
        <w:rPr>
          <w:rFonts w:cs="Arial"/>
          <w:sz w:val="21"/>
          <w:szCs w:val="21"/>
          <w:lang w:val="fr-FR"/>
        </w:rPr>
        <w:t>Le SSE et le SSS (pour la phase de mise en œuvre du projet) et le SVBG sont responsables du suivi de l’audit de mise en œuvre des mesures environnementales et sociales, y compris des mesures liées à l’EAS/HS et au COVID-19, avec l’appui de consultants expérimentés. Les spécialistes en sauvegardes du Projet sont responsables de la rédaction des TDR et de l’appui au consultant pour la bonne marche de l’audit.</w:t>
      </w:r>
    </w:p>
    <w:p w14:paraId="52A8903F" w14:textId="77777777" w:rsidR="009021F1" w:rsidRPr="009F553E" w:rsidRDefault="009021F1" w:rsidP="009021F1">
      <w:pPr>
        <w:spacing w:line="240" w:lineRule="auto"/>
        <w:jc w:val="left"/>
        <w:rPr>
          <w:rFonts w:cs="Arial"/>
          <w:bCs/>
          <w:i/>
          <w:szCs w:val="21"/>
        </w:rPr>
      </w:pPr>
    </w:p>
    <w:p w14:paraId="27B2A8AA" w14:textId="77777777" w:rsidR="009021F1" w:rsidRPr="009F553E" w:rsidRDefault="009021F1" w:rsidP="009021F1">
      <w:pPr>
        <w:pStyle w:val="Titre2"/>
        <w:numPr>
          <w:ilvl w:val="2"/>
          <w:numId w:val="4"/>
        </w:numPr>
        <w:ind w:left="1560" w:hanging="709"/>
        <w:rPr>
          <w:rFonts w:cs="Arial"/>
          <w:i/>
          <w:szCs w:val="21"/>
        </w:rPr>
      </w:pPr>
      <w:bookmarkStart w:id="420" w:name="_Toc90471526"/>
      <w:r w:rsidRPr="009F553E">
        <w:rPr>
          <w:rFonts w:cs="Arial"/>
          <w:i/>
          <w:szCs w:val="21"/>
        </w:rPr>
        <w:t>Liste d’exclusion préliminaire pour les secteurs et des activiteés E&amp;S à risque élevé.</w:t>
      </w:r>
      <w:bookmarkEnd w:id="420"/>
    </w:p>
    <w:p w14:paraId="0BFD4B31" w14:textId="77777777" w:rsidR="009021F1" w:rsidRPr="009F553E" w:rsidRDefault="009021F1" w:rsidP="009021F1">
      <w:pPr>
        <w:rPr>
          <w:rFonts w:cs="Arial"/>
          <w:szCs w:val="21"/>
        </w:rPr>
      </w:pPr>
    </w:p>
    <w:p w14:paraId="0F3A4A94" w14:textId="77777777" w:rsidR="009021F1" w:rsidRPr="009F553E" w:rsidRDefault="009021F1" w:rsidP="009021F1">
      <w:pPr>
        <w:rPr>
          <w:rFonts w:cs="Arial"/>
          <w:szCs w:val="21"/>
        </w:rPr>
      </w:pPr>
      <w:r w:rsidRPr="009F553E">
        <w:rPr>
          <w:rFonts w:cs="Arial"/>
          <w:szCs w:val="21"/>
        </w:rPr>
        <w:t>La liste d’exclusion des sous-projets dont les activités présentant des risques environnementaux et sociaux élevés ne seront pas financés par le PNDA et catégorisés comme suit :</w:t>
      </w:r>
    </w:p>
    <w:p w14:paraId="4A4BD6F2" w14:textId="77777777" w:rsidR="009021F1" w:rsidRPr="009F553E" w:rsidRDefault="009021F1" w:rsidP="009021F1">
      <w:pPr>
        <w:rPr>
          <w:rFonts w:cs="Arial"/>
          <w:szCs w:val="21"/>
        </w:rPr>
      </w:pPr>
    </w:p>
    <w:p w14:paraId="5A81F12E" w14:textId="77777777" w:rsidR="009021F1" w:rsidRPr="009F553E" w:rsidRDefault="009021F1" w:rsidP="009021F1">
      <w:pPr>
        <w:pStyle w:val="Paragraphedeliste"/>
        <w:numPr>
          <w:ilvl w:val="0"/>
          <w:numId w:val="100"/>
        </w:numPr>
        <w:rPr>
          <w:rFonts w:cs="Arial"/>
          <w:szCs w:val="21"/>
        </w:rPr>
      </w:pPr>
      <w:r w:rsidRPr="009F553E">
        <w:rPr>
          <w:rFonts w:cs="Arial"/>
          <w:szCs w:val="21"/>
        </w:rPr>
        <w:t>Sous-projets liés à l'agriculture et à la réhabilitation des routes rurales susceptibles d’altérer ou provoquer la destruction d'habitats naturels critiques ou sensibles ;</w:t>
      </w:r>
    </w:p>
    <w:p w14:paraId="460E67CC" w14:textId="77777777" w:rsidR="009021F1" w:rsidRPr="009F553E" w:rsidRDefault="009021F1" w:rsidP="009021F1">
      <w:pPr>
        <w:pStyle w:val="Paragraphedeliste"/>
        <w:numPr>
          <w:ilvl w:val="0"/>
          <w:numId w:val="100"/>
        </w:numPr>
        <w:rPr>
          <w:rFonts w:cs="Arial"/>
          <w:szCs w:val="21"/>
        </w:rPr>
      </w:pPr>
      <w:r w:rsidRPr="009F553E">
        <w:rPr>
          <w:rFonts w:cs="Arial"/>
          <w:szCs w:val="21"/>
        </w:rPr>
        <w:t>Sous-projets dans les zones à haute valeur de biodiversité, telles que des habitats critiques ou naturels, des zones à haute valeur de conservation, des habitats modifiés qui contiennent une importante valeur de biodiversité. Les sous-projets présentant des risques importants et/ou des impacts négatifs sur la biodiversité et ceux qui nécessiteraient le défrichage de tout type de terrain forestier seront exclus du financement ;</w:t>
      </w:r>
    </w:p>
    <w:p w14:paraId="31B0E124" w14:textId="77777777" w:rsidR="009021F1" w:rsidRPr="009F553E" w:rsidRDefault="009021F1" w:rsidP="009021F1">
      <w:pPr>
        <w:pStyle w:val="Paragraphedeliste"/>
        <w:numPr>
          <w:ilvl w:val="0"/>
          <w:numId w:val="100"/>
        </w:numPr>
        <w:rPr>
          <w:rFonts w:cs="Arial"/>
          <w:szCs w:val="21"/>
        </w:rPr>
      </w:pPr>
      <w:r w:rsidRPr="009F553E">
        <w:rPr>
          <w:rFonts w:cs="Arial"/>
          <w:szCs w:val="21"/>
        </w:rPr>
        <w:t>L'achat ou l'utilisation de matériaux et équipements potentiellement dangereux, y compris les tronçonneuses, l'amiante (y compris les matériaux contenant de l'amiante) ou d'autres investissements préjudiciables à l'environnement et aux moyens de subsistance, y compris les ressources culturelles ;</w:t>
      </w:r>
    </w:p>
    <w:p w14:paraId="69B9E85C" w14:textId="77777777" w:rsidR="009021F1" w:rsidRPr="009F553E" w:rsidRDefault="009021F1" w:rsidP="009021F1">
      <w:pPr>
        <w:pStyle w:val="Paragraphedeliste"/>
        <w:numPr>
          <w:ilvl w:val="0"/>
          <w:numId w:val="100"/>
        </w:numPr>
        <w:rPr>
          <w:rFonts w:cs="Arial"/>
          <w:szCs w:val="21"/>
        </w:rPr>
      </w:pPr>
      <w:r w:rsidRPr="009F553E">
        <w:rPr>
          <w:rFonts w:cs="Arial"/>
          <w:szCs w:val="21"/>
        </w:rPr>
        <w:t>Sous/projets qui causent ou conduisent à la maltraitance des enfants, à l'exploitation du travail des enfants ou à la traite des êtres humains ;</w:t>
      </w:r>
    </w:p>
    <w:p w14:paraId="1C13F9CD" w14:textId="77777777" w:rsidR="009021F1" w:rsidRPr="009F553E" w:rsidRDefault="009021F1" w:rsidP="009021F1">
      <w:pPr>
        <w:pStyle w:val="Paragraphedeliste"/>
        <w:numPr>
          <w:ilvl w:val="0"/>
          <w:numId w:val="100"/>
        </w:numPr>
        <w:rPr>
          <w:rFonts w:cs="Arial"/>
          <w:szCs w:val="21"/>
        </w:rPr>
      </w:pPr>
      <w:r w:rsidRPr="009F553E">
        <w:rPr>
          <w:rFonts w:cs="Arial"/>
          <w:szCs w:val="21"/>
        </w:rPr>
        <w:t xml:space="preserve">Construction de tout nouveau barrage ou la réhabilitation de barrages existants pour des fins hydroagricoles, y compris les changements structurels et/ou opérationnels ; </w:t>
      </w:r>
    </w:p>
    <w:p w14:paraId="4562E1EC" w14:textId="77777777" w:rsidR="009021F1" w:rsidRPr="009F553E" w:rsidRDefault="009021F1" w:rsidP="009021F1">
      <w:pPr>
        <w:pStyle w:val="Paragraphedeliste"/>
        <w:numPr>
          <w:ilvl w:val="0"/>
          <w:numId w:val="100"/>
        </w:numPr>
        <w:rPr>
          <w:rFonts w:cs="Arial"/>
          <w:szCs w:val="21"/>
        </w:rPr>
      </w:pPr>
      <w:r w:rsidRPr="009F553E">
        <w:rPr>
          <w:rFonts w:cs="Arial"/>
          <w:szCs w:val="21"/>
        </w:rPr>
        <w:t>Production ou activités impliquant un travail forcé  qui constitue une forme d’exploitation du travailleur et lui est préjudiciable ou des formes préjudiciables de travail des enfants</w:t>
      </w:r>
    </w:p>
    <w:p w14:paraId="7D81FA44" w14:textId="77777777" w:rsidR="009021F1" w:rsidRPr="009F553E" w:rsidRDefault="009021F1" w:rsidP="009021F1">
      <w:pPr>
        <w:pStyle w:val="Paragraphedeliste"/>
        <w:numPr>
          <w:ilvl w:val="0"/>
          <w:numId w:val="100"/>
        </w:numPr>
        <w:rPr>
          <w:rFonts w:cs="Arial"/>
          <w:szCs w:val="21"/>
        </w:rPr>
      </w:pPr>
      <w:r w:rsidRPr="009F553E">
        <w:rPr>
          <w:rFonts w:cs="Arial"/>
          <w:szCs w:val="21"/>
        </w:rPr>
        <w:t>Sous-projets susceptibles d'utiliser de l'eau provenant de voies navigables internationales</w:t>
      </w:r>
    </w:p>
    <w:p w14:paraId="7E6AF33E" w14:textId="77777777" w:rsidR="009021F1" w:rsidRPr="009F553E" w:rsidRDefault="009021F1" w:rsidP="009021F1">
      <w:pPr>
        <w:pStyle w:val="Paragraphedeliste"/>
        <w:numPr>
          <w:ilvl w:val="0"/>
          <w:numId w:val="100"/>
        </w:numPr>
        <w:rPr>
          <w:rFonts w:cs="Arial"/>
          <w:szCs w:val="21"/>
        </w:rPr>
      </w:pPr>
      <w:r w:rsidRPr="009F553E">
        <w:rPr>
          <w:rFonts w:cs="Arial"/>
          <w:szCs w:val="21"/>
        </w:rPr>
        <w:t xml:space="preserve"> etc.</w:t>
      </w:r>
    </w:p>
    <w:p w14:paraId="68028B21" w14:textId="77777777" w:rsidR="009021F1" w:rsidRPr="009F553E" w:rsidRDefault="009021F1" w:rsidP="009021F1">
      <w:pPr>
        <w:pStyle w:val="Paragraphedeliste"/>
        <w:numPr>
          <w:ilvl w:val="0"/>
          <w:numId w:val="100"/>
        </w:numPr>
        <w:rPr>
          <w:rFonts w:cs="Arial"/>
          <w:szCs w:val="21"/>
        </w:rPr>
      </w:pPr>
      <w:r w:rsidRPr="009F553E">
        <w:rPr>
          <w:rFonts w:cs="Arial"/>
          <w:szCs w:val="21"/>
        </w:rPr>
        <w:t>Pêche au filet dérivant dans le milieu marin au moyen de filets de plus de 2,5 km de long.</w:t>
      </w:r>
    </w:p>
    <w:p w14:paraId="44A069B3" w14:textId="77777777" w:rsidR="009021F1" w:rsidRPr="009F553E" w:rsidRDefault="009021F1" w:rsidP="009021F1">
      <w:pPr>
        <w:spacing w:line="240" w:lineRule="auto"/>
        <w:jc w:val="left"/>
        <w:rPr>
          <w:rFonts w:cs="Arial"/>
          <w:bCs/>
          <w:i/>
          <w:szCs w:val="21"/>
        </w:rPr>
      </w:pPr>
    </w:p>
    <w:p w14:paraId="5903C367" w14:textId="77777777" w:rsidR="009021F1" w:rsidRPr="009F553E" w:rsidRDefault="009021F1" w:rsidP="009021F1">
      <w:pPr>
        <w:pStyle w:val="Titre2"/>
        <w:numPr>
          <w:ilvl w:val="1"/>
          <w:numId w:val="4"/>
        </w:numPr>
        <w:ind w:left="851" w:hanging="425"/>
        <w:rPr>
          <w:rFonts w:cs="Arial"/>
          <w:b/>
          <w:szCs w:val="21"/>
        </w:rPr>
      </w:pPr>
      <w:bookmarkStart w:id="421" w:name="_Toc90471527"/>
      <w:r w:rsidRPr="009F553E">
        <w:rPr>
          <w:rFonts w:cs="Arial"/>
          <w:b/>
          <w:bCs w:val="0"/>
          <w:szCs w:val="21"/>
        </w:rPr>
        <w:t>Arrangements institutionnels pour la mise en œuvre et le suivi du PGRIES</w:t>
      </w:r>
      <w:bookmarkEnd w:id="421"/>
      <w:r w:rsidRPr="009F553E">
        <w:rPr>
          <w:rFonts w:cs="Arial"/>
          <w:b/>
          <w:bCs w:val="0"/>
          <w:szCs w:val="21"/>
        </w:rPr>
        <w:t xml:space="preserve">  </w:t>
      </w:r>
    </w:p>
    <w:p w14:paraId="006C3C49" w14:textId="77777777" w:rsidR="009021F1" w:rsidRPr="009F553E" w:rsidRDefault="009021F1" w:rsidP="009021F1">
      <w:pPr>
        <w:pStyle w:val="Titre2"/>
        <w:ind w:left="851"/>
        <w:rPr>
          <w:rFonts w:cs="Arial"/>
          <w:szCs w:val="21"/>
        </w:rPr>
      </w:pPr>
    </w:p>
    <w:p w14:paraId="53516548" w14:textId="77777777" w:rsidR="009021F1" w:rsidRPr="009F553E" w:rsidRDefault="009021F1" w:rsidP="009021F1">
      <w:pPr>
        <w:pStyle w:val="Paragraphedeliste"/>
        <w:keepNext/>
        <w:numPr>
          <w:ilvl w:val="1"/>
          <w:numId w:val="11"/>
        </w:numPr>
        <w:tabs>
          <w:tab w:val="left" w:pos="720"/>
        </w:tabs>
        <w:spacing w:before="240" w:after="120"/>
        <w:contextualSpacing w:val="0"/>
        <w:jc w:val="left"/>
        <w:outlineLvl w:val="2"/>
        <w:rPr>
          <w:rFonts w:cs="Arial"/>
          <w:vanish/>
          <w:szCs w:val="21"/>
          <w:u w:val="single"/>
        </w:rPr>
      </w:pPr>
      <w:bookmarkStart w:id="422" w:name="_Toc90471528"/>
      <w:bookmarkEnd w:id="422"/>
    </w:p>
    <w:p w14:paraId="74A74DCD" w14:textId="77777777" w:rsidR="009021F1" w:rsidRPr="009F553E" w:rsidRDefault="009021F1" w:rsidP="009021F1">
      <w:pPr>
        <w:pStyle w:val="Paragraphedeliste"/>
        <w:keepNext/>
        <w:numPr>
          <w:ilvl w:val="1"/>
          <w:numId w:val="11"/>
        </w:numPr>
        <w:tabs>
          <w:tab w:val="clear" w:pos="1211"/>
          <w:tab w:val="left" w:pos="0"/>
        </w:tabs>
        <w:spacing w:before="240" w:after="120"/>
        <w:ind w:left="0" w:firstLine="0"/>
        <w:contextualSpacing w:val="0"/>
        <w:jc w:val="left"/>
        <w:outlineLvl w:val="2"/>
        <w:rPr>
          <w:rFonts w:cs="Arial"/>
          <w:vanish/>
          <w:szCs w:val="21"/>
          <w:u w:val="single"/>
        </w:rPr>
      </w:pPr>
      <w:bookmarkStart w:id="423" w:name="_Toc90471529"/>
      <w:bookmarkEnd w:id="423"/>
    </w:p>
    <w:p w14:paraId="5160A430" w14:textId="77777777" w:rsidR="009021F1" w:rsidRPr="009F553E" w:rsidRDefault="009021F1" w:rsidP="009021F1">
      <w:pPr>
        <w:jc w:val="left"/>
        <w:rPr>
          <w:rFonts w:cs="Arial"/>
          <w:szCs w:val="21"/>
        </w:rPr>
      </w:pPr>
      <w:r w:rsidRPr="009F553E">
        <w:rPr>
          <w:rFonts w:cs="Arial"/>
          <w:szCs w:val="21"/>
        </w:rPr>
        <w:t xml:space="preserve">Ce paragraphe décrit les rôles et responsabilités concernant la mise en œuvre des mesures environnementales et sociales prévues pour le PNDA : </w:t>
      </w:r>
    </w:p>
    <w:p w14:paraId="0387A2E1" w14:textId="77777777" w:rsidR="009021F1" w:rsidRPr="009F553E" w:rsidRDefault="009021F1" w:rsidP="009021F1">
      <w:pPr>
        <w:spacing w:line="240" w:lineRule="auto"/>
        <w:jc w:val="left"/>
        <w:rPr>
          <w:rFonts w:cs="Arial"/>
          <w:szCs w:val="21"/>
        </w:rPr>
      </w:pPr>
    </w:p>
    <w:p w14:paraId="05803243" w14:textId="77777777" w:rsidR="009021F1" w:rsidRPr="009F553E" w:rsidRDefault="009021F1" w:rsidP="009021F1">
      <w:pPr>
        <w:spacing w:line="240" w:lineRule="auto"/>
        <w:jc w:val="left"/>
        <w:rPr>
          <w:rFonts w:cs="Arial"/>
          <w:i/>
          <w:color w:val="000000"/>
          <w:szCs w:val="21"/>
        </w:rPr>
      </w:pPr>
      <w:r w:rsidRPr="009F553E">
        <w:rPr>
          <w:rFonts w:cs="Arial"/>
          <w:i/>
          <w:color w:val="000000"/>
          <w:szCs w:val="21"/>
        </w:rPr>
        <w:t>Comité Technique Préparatoire et de Suivi du PNDA </w:t>
      </w:r>
    </w:p>
    <w:p w14:paraId="2214E160" w14:textId="77777777" w:rsidR="009021F1" w:rsidRPr="009F553E" w:rsidRDefault="009021F1" w:rsidP="009021F1">
      <w:pPr>
        <w:spacing w:line="240" w:lineRule="auto"/>
        <w:jc w:val="left"/>
        <w:rPr>
          <w:rFonts w:cs="Arial"/>
          <w:i/>
          <w:color w:val="000000"/>
          <w:szCs w:val="21"/>
        </w:rPr>
      </w:pPr>
    </w:p>
    <w:p w14:paraId="1616D9B9" w14:textId="77777777" w:rsidR="009021F1" w:rsidRPr="009F553E" w:rsidRDefault="009021F1" w:rsidP="009021F1">
      <w:pPr>
        <w:rPr>
          <w:rFonts w:cs="Arial"/>
          <w:szCs w:val="21"/>
        </w:rPr>
      </w:pPr>
      <w:r w:rsidRPr="009F553E">
        <w:rPr>
          <w:rFonts w:cs="Arial"/>
          <w:szCs w:val="21"/>
        </w:rPr>
        <w:t xml:space="preserve">Le Comité Technique Préparatoire et de Suivi du PNDA, va assurer en collaboration avec l’UNCP/PARRSA, veillera à l’inscription et à la budgétisation des diligences environnementales et sociales dans les Plans de Travail et Budget Annuels (PTBA). Il effectuera également des missions de supervision sur le terrain afin de vérifier la prise en compte des aspects environnementaux et sociaux. </w:t>
      </w:r>
    </w:p>
    <w:p w14:paraId="05AB4A61" w14:textId="77777777" w:rsidR="009021F1" w:rsidRPr="009F553E" w:rsidRDefault="009021F1" w:rsidP="009021F1">
      <w:pPr>
        <w:ind w:left="708"/>
        <w:rPr>
          <w:rFonts w:cs="Arial"/>
          <w:szCs w:val="21"/>
        </w:rPr>
      </w:pPr>
    </w:p>
    <w:p w14:paraId="1751193F" w14:textId="77777777" w:rsidR="009021F1" w:rsidRPr="009F553E" w:rsidRDefault="009021F1" w:rsidP="009021F1">
      <w:pPr>
        <w:rPr>
          <w:rFonts w:cs="Arial"/>
          <w:i/>
          <w:color w:val="000000"/>
          <w:szCs w:val="21"/>
        </w:rPr>
      </w:pPr>
      <w:r w:rsidRPr="009F553E">
        <w:rPr>
          <w:rFonts w:cs="Arial"/>
          <w:i/>
          <w:color w:val="000000"/>
          <w:szCs w:val="21"/>
        </w:rPr>
        <w:t>UNCP/PARRSA, UNCP et la Cellule de Gestion des Projets et des Marchés Publics (CGPMP)</w:t>
      </w:r>
    </w:p>
    <w:p w14:paraId="1D424D98" w14:textId="77777777" w:rsidR="009021F1" w:rsidRPr="009F553E" w:rsidRDefault="009021F1" w:rsidP="009021F1">
      <w:pPr>
        <w:tabs>
          <w:tab w:val="left" w:pos="2022"/>
        </w:tabs>
        <w:ind w:left="360"/>
        <w:rPr>
          <w:rFonts w:cs="Arial"/>
          <w:szCs w:val="21"/>
        </w:rPr>
      </w:pPr>
      <w:r w:rsidRPr="009F553E">
        <w:rPr>
          <w:rFonts w:cs="Arial"/>
          <w:szCs w:val="21"/>
        </w:rPr>
        <w:tab/>
      </w:r>
    </w:p>
    <w:p w14:paraId="13A7938B" w14:textId="77777777" w:rsidR="009021F1" w:rsidRPr="009F553E" w:rsidRDefault="009021F1" w:rsidP="009021F1">
      <w:pPr>
        <w:rPr>
          <w:rFonts w:cs="Arial"/>
          <w:szCs w:val="21"/>
        </w:rPr>
      </w:pPr>
      <w:r w:rsidRPr="009F553E">
        <w:rPr>
          <w:rFonts w:cs="Arial"/>
          <w:szCs w:val="21"/>
        </w:rPr>
        <w:t>Dans la phase de préparation et en attendant la mise en place des Coordinations de l’UNCP/PARRSA et l’UNCP, les Coordinations Provinciales du PNDA, avec l’appui du CTPS va assurer la coordination du projet.</w:t>
      </w:r>
    </w:p>
    <w:p w14:paraId="1ED3EE60" w14:textId="77777777" w:rsidR="009021F1" w:rsidRPr="009F553E" w:rsidRDefault="009021F1" w:rsidP="009021F1">
      <w:pPr>
        <w:rPr>
          <w:rFonts w:cs="Arial"/>
          <w:szCs w:val="21"/>
        </w:rPr>
      </w:pPr>
    </w:p>
    <w:p w14:paraId="436C992A" w14:textId="77777777" w:rsidR="009021F1" w:rsidRPr="009F553E" w:rsidRDefault="009021F1" w:rsidP="009021F1">
      <w:pPr>
        <w:rPr>
          <w:rFonts w:cs="Arial"/>
          <w:szCs w:val="21"/>
        </w:rPr>
      </w:pPr>
      <w:r w:rsidRPr="009F553E">
        <w:rPr>
          <w:rFonts w:cs="Arial"/>
          <w:szCs w:val="21"/>
        </w:rPr>
        <w:t>L’UNCP du PNDA garantira l’effectivité de la prise en compte des aspects et des enjeux environnementaux et sociaux dans l’exécution des activités du projet sur l’ensemble de l’aire géographique du projet. Elle aura la responsabilité globale de la mise en œuvre du présent CGES et des instruments et autres mesures de sauvegarde environnementale et sociale relatives au projet. Elle assure, la préparation desdits documents, l’obtention des certificats et permis requis par les réglementations nationales pertinentes avant toute action, etc. Elle rend compte au CTPS de toutes les diligences, et s’assure que la Banque Mondiale et les autres parties prenantes au projet reçoivent tous les rapports de suivi et surveillance E &amp; S. À cette fin, elle dispose d’une unité environnementale et sociale composée de trois spécialistes qualifiés (un Spécialiste en Sauvegarde Environnementale, un Spécialiste en Développement Social et un Spécialiste en VBG), dont les missions spécifiques sont résumées dans le tableau ci-dessus.</w:t>
      </w:r>
    </w:p>
    <w:p w14:paraId="383CB441" w14:textId="77777777" w:rsidR="009021F1" w:rsidRPr="009F553E" w:rsidRDefault="009021F1" w:rsidP="009021F1">
      <w:pPr>
        <w:rPr>
          <w:rFonts w:cs="Arial"/>
          <w:szCs w:val="21"/>
        </w:rPr>
      </w:pPr>
    </w:p>
    <w:p w14:paraId="0BDBECD8" w14:textId="77777777" w:rsidR="009021F1" w:rsidRPr="009F553E" w:rsidRDefault="009021F1" w:rsidP="009021F1">
      <w:pPr>
        <w:rPr>
          <w:rFonts w:cs="Arial"/>
          <w:szCs w:val="21"/>
        </w:rPr>
      </w:pPr>
      <w:r w:rsidRPr="009F553E">
        <w:rPr>
          <w:rFonts w:cs="Arial"/>
          <w:szCs w:val="21"/>
        </w:rPr>
        <w:t xml:space="preserve">De même le projet recrutera des consultants/bureaux d’études pour la réalisation d’ÉIES et/ou de PGES pour certains sous-projets du PNDA : la sensibilisation, mobilisation et l’accompagnement social des populations ; la formation des acteurs en gestion environnementale et sociale ; le suivi/Évaluation de la mise en œuvre, tout en tenant compte des aspects liés à l’EAS/HS. </w:t>
      </w:r>
    </w:p>
    <w:p w14:paraId="0F19DC09" w14:textId="77777777" w:rsidR="009021F1" w:rsidRPr="009F553E" w:rsidRDefault="009021F1" w:rsidP="009021F1">
      <w:pPr>
        <w:ind w:left="360"/>
        <w:rPr>
          <w:rFonts w:cs="Arial"/>
          <w:szCs w:val="21"/>
        </w:rPr>
      </w:pPr>
    </w:p>
    <w:p w14:paraId="6E1AF645" w14:textId="77777777" w:rsidR="009021F1" w:rsidRPr="009F553E" w:rsidRDefault="009021F1" w:rsidP="009021F1">
      <w:pPr>
        <w:rPr>
          <w:rFonts w:cs="Arial"/>
          <w:szCs w:val="21"/>
        </w:rPr>
      </w:pPr>
      <w:r w:rsidRPr="009F553E">
        <w:rPr>
          <w:rFonts w:cs="Arial"/>
          <w:szCs w:val="21"/>
        </w:rPr>
        <w:t xml:space="preserve">Dans la phase de préparation et en attendant la mise en place de l’UNCP, le CTPS du PNDA en collaboration avec l’UNCP/PARRSA assurera la diffusion du CGES et des éventuelles ÉIES. </w:t>
      </w:r>
    </w:p>
    <w:p w14:paraId="1B66AD54" w14:textId="77777777" w:rsidR="009021F1" w:rsidRPr="009F553E" w:rsidRDefault="009021F1" w:rsidP="009021F1">
      <w:pPr>
        <w:rPr>
          <w:rFonts w:cs="Arial"/>
          <w:szCs w:val="21"/>
        </w:rPr>
      </w:pPr>
    </w:p>
    <w:p w14:paraId="4D143785" w14:textId="77777777" w:rsidR="009021F1" w:rsidRPr="009F553E" w:rsidRDefault="009021F1" w:rsidP="009021F1">
      <w:pPr>
        <w:rPr>
          <w:rFonts w:cs="Arial"/>
          <w:color w:val="000000"/>
          <w:szCs w:val="21"/>
        </w:rPr>
      </w:pPr>
      <w:r w:rsidRPr="009F553E">
        <w:rPr>
          <w:rFonts w:cs="Arial"/>
          <w:i/>
          <w:color w:val="000000"/>
          <w:szCs w:val="21"/>
        </w:rPr>
        <w:t>Agence Congolaise de l’Environnement  </w:t>
      </w:r>
    </w:p>
    <w:p w14:paraId="1BA2D883" w14:textId="77777777" w:rsidR="009021F1" w:rsidRPr="009F553E" w:rsidRDefault="009021F1" w:rsidP="009021F1">
      <w:pPr>
        <w:ind w:left="360"/>
        <w:rPr>
          <w:rFonts w:cs="Arial"/>
          <w:i/>
          <w:color w:val="000000"/>
          <w:szCs w:val="21"/>
        </w:rPr>
      </w:pPr>
    </w:p>
    <w:p w14:paraId="5158E258" w14:textId="77777777" w:rsidR="009021F1" w:rsidRPr="009F553E" w:rsidRDefault="009021F1" w:rsidP="009021F1">
      <w:pPr>
        <w:spacing w:line="360" w:lineRule="auto"/>
        <w:rPr>
          <w:szCs w:val="21"/>
        </w:rPr>
      </w:pPr>
      <w:r w:rsidRPr="009F553E">
        <w:rPr>
          <w:rFonts w:cs="Arial"/>
          <w:color w:val="000000"/>
          <w:szCs w:val="21"/>
        </w:rPr>
        <w:t xml:space="preserve">Au cours de cette phase de préparation, l’Agence Congolaise de l’Environnement et le PNDA ont signé un protocole dont l'objectif principal est de veiller à la prise en compte des normes environnementales et sociales lors des ateliers de restitution des données collectées lors des ateliers de consultation du public sur les CGES, PGP, PEES CPR, CPPA, PMPP et PGMO. </w:t>
      </w:r>
    </w:p>
    <w:p w14:paraId="59F0321E" w14:textId="77777777" w:rsidR="009021F1" w:rsidRPr="009F553E" w:rsidRDefault="009021F1" w:rsidP="009021F1">
      <w:pPr>
        <w:spacing w:line="360" w:lineRule="auto"/>
        <w:rPr>
          <w:rFonts w:cs="Arial"/>
          <w:color w:val="000000"/>
          <w:szCs w:val="21"/>
        </w:rPr>
      </w:pPr>
      <w:r w:rsidRPr="009F553E">
        <w:rPr>
          <w:rFonts w:cs="Arial"/>
          <w:color w:val="000000"/>
          <w:szCs w:val="21"/>
        </w:rPr>
        <w:t xml:space="preserve">De manière spécifique, avait a pour objectifs de s’assurer de: (i) l’organisation des ateliers de restitution des rapports provisoires des documents de sauvegardes environnementale et sociale (CGES, PGP, PEES, CPR, CPPA, PMPP et PGMO) du PNDA par les firmes; (ii) la prise en compte des normes environnementales et sociales dans les documents de sauvegardes environnementale et sociale (CGES, PGP, PEES, CPR, CPPA, PMPP et PGMO) du PNDA  lors des ateliers de restitution des données collectées lors des ateliers de consultation du public ; et (iii) la participation des parties prenantes aux ateliers de restitution des rapports provisoires des documents de sauvegardes environnementale et sociale (CGES, PGP, PEES, CPR, CPPA, PMPP et PGMO). </w:t>
      </w:r>
    </w:p>
    <w:p w14:paraId="6EBF952B" w14:textId="77777777" w:rsidR="009021F1" w:rsidRPr="009F553E" w:rsidRDefault="009021F1" w:rsidP="009021F1">
      <w:pPr>
        <w:rPr>
          <w:rFonts w:cs="Arial"/>
          <w:szCs w:val="21"/>
        </w:rPr>
      </w:pPr>
      <w:r w:rsidRPr="009F553E">
        <w:rPr>
          <w:rFonts w:cs="Arial"/>
          <w:color w:val="000000"/>
          <w:szCs w:val="21"/>
        </w:rPr>
        <w:t xml:space="preserve">Un second protocole sera signé pour la phase de mise en œuvre du programme ayant pour objet de valider les TDR et les études réalisées (EIES, NIES, PGES, PAR, PSR, etc.), assurer </w:t>
      </w:r>
      <w:r w:rsidRPr="009F553E">
        <w:rPr>
          <w:rFonts w:cs="Arial"/>
          <w:szCs w:val="21"/>
        </w:rPr>
        <w:t xml:space="preserve">pour le compte du PNDA, </w:t>
      </w:r>
      <w:r w:rsidRPr="009F553E">
        <w:rPr>
          <w:rFonts w:cs="Arial"/>
          <w:color w:val="000000"/>
          <w:szCs w:val="21"/>
        </w:rPr>
        <w:t xml:space="preserve">le suivi environnemental et social, organiser des missions d’audit environnemental et social le cas échéant, </w:t>
      </w:r>
      <w:r w:rsidRPr="009F553E">
        <w:rPr>
          <w:rFonts w:cs="Arial"/>
          <w:szCs w:val="21"/>
        </w:rPr>
        <w:t>valider les documents de sauvegardes environnementale et sociale produits par les consultants.</w:t>
      </w:r>
    </w:p>
    <w:p w14:paraId="46CA7E85" w14:textId="77777777" w:rsidR="009021F1" w:rsidRPr="009F553E" w:rsidRDefault="009021F1" w:rsidP="009021F1">
      <w:pPr>
        <w:spacing w:line="240" w:lineRule="auto"/>
        <w:jc w:val="left"/>
        <w:rPr>
          <w:rFonts w:cs="Arial"/>
          <w:i/>
          <w:color w:val="000000"/>
          <w:szCs w:val="21"/>
        </w:rPr>
      </w:pPr>
      <w:r w:rsidRPr="009F553E">
        <w:rPr>
          <w:rFonts w:cs="Arial"/>
          <w:i/>
          <w:color w:val="000000"/>
          <w:szCs w:val="21"/>
        </w:rPr>
        <w:t xml:space="preserve">Coordinations Provinciales de l’Environnement  </w:t>
      </w:r>
    </w:p>
    <w:p w14:paraId="61647D5F" w14:textId="77777777" w:rsidR="009021F1" w:rsidRPr="009F553E" w:rsidRDefault="009021F1" w:rsidP="009021F1">
      <w:pPr>
        <w:rPr>
          <w:rFonts w:cs="Arial"/>
          <w:i/>
          <w:color w:val="000000"/>
          <w:szCs w:val="21"/>
        </w:rPr>
      </w:pPr>
    </w:p>
    <w:p w14:paraId="672A832C" w14:textId="77777777" w:rsidR="009021F1" w:rsidRPr="009F553E" w:rsidRDefault="009021F1" w:rsidP="009021F1">
      <w:pPr>
        <w:rPr>
          <w:rFonts w:cs="Arial"/>
          <w:i/>
          <w:color w:val="000000"/>
          <w:szCs w:val="21"/>
        </w:rPr>
      </w:pPr>
      <w:r w:rsidRPr="009F553E">
        <w:rPr>
          <w:rFonts w:cs="Arial"/>
          <w:color w:val="000000"/>
          <w:szCs w:val="21"/>
        </w:rPr>
        <w:t>Elles vont appuyer les Provinces où l’ACE n’est pas encore implanté</w:t>
      </w:r>
      <w:r w:rsidRPr="009F553E">
        <w:rPr>
          <w:rFonts w:cs="Arial"/>
          <w:szCs w:val="21"/>
        </w:rPr>
        <w:t xml:space="preserve">, avec l’appui du PNDA (phase de préparation) puis de l’UNCP (phase de mise en œuvre), </w:t>
      </w:r>
      <w:r w:rsidRPr="009F553E">
        <w:rPr>
          <w:rFonts w:cs="Arial"/>
          <w:color w:val="000000"/>
          <w:szCs w:val="21"/>
        </w:rPr>
        <w:t>dans la classification des sous-projets et vont intervenir dans le suivi de la mise en œuvre des sous-projets.</w:t>
      </w:r>
    </w:p>
    <w:p w14:paraId="64F70AC5" w14:textId="77777777" w:rsidR="009021F1" w:rsidRPr="009F553E" w:rsidRDefault="009021F1" w:rsidP="009021F1">
      <w:pPr>
        <w:rPr>
          <w:rFonts w:cs="Arial"/>
          <w:color w:val="000000"/>
          <w:szCs w:val="21"/>
        </w:rPr>
      </w:pPr>
    </w:p>
    <w:p w14:paraId="746514F5" w14:textId="77777777" w:rsidR="009021F1" w:rsidRPr="009F553E" w:rsidRDefault="009021F1" w:rsidP="009021F1">
      <w:pPr>
        <w:rPr>
          <w:rFonts w:cs="Arial"/>
          <w:color w:val="000000"/>
          <w:szCs w:val="21"/>
        </w:rPr>
      </w:pPr>
      <w:r w:rsidRPr="009F553E">
        <w:rPr>
          <w:rFonts w:cs="Arial"/>
          <w:color w:val="000000"/>
          <w:szCs w:val="21"/>
        </w:rPr>
        <w:t>Les autres institutions impliquées dans la mise en œuvre du PNDA :</w:t>
      </w:r>
    </w:p>
    <w:p w14:paraId="64E202B2" w14:textId="77777777" w:rsidR="009021F1" w:rsidRPr="009F553E" w:rsidRDefault="009021F1" w:rsidP="009021F1">
      <w:pPr>
        <w:rPr>
          <w:rFonts w:cs="Arial"/>
          <w:color w:val="000000"/>
          <w:szCs w:val="21"/>
        </w:rPr>
      </w:pPr>
    </w:p>
    <w:p w14:paraId="4D8E6511" w14:textId="77777777" w:rsidR="009021F1" w:rsidRPr="009F553E" w:rsidRDefault="009021F1" w:rsidP="009021F1">
      <w:pPr>
        <w:numPr>
          <w:ilvl w:val="0"/>
          <w:numId w:val="51"/>
        </w:numPr>
        <w:rPr>
          <w:rFonts w:cs="Arial"/>
          <w:szCs w:val="21"/>
        </w:rPr>
      </w:pPr>
      <w:r w:rsidRPr="009F553E">
        <w:rPr>
          <w:rFonts w:cs="Arial"/>
          <w:szCs w:val="21"/>
        </w:rPr>
        <w:t xml:space="preserve">l’Institut Congolais pour la Conservation de la Nature : Il assurera le suivi externe de la faune et des aires protégées ; </w:t>
      </w:r>
    </w:p>
    <w:p w14:paraId="6AC8276C" w14:textId="77777777" w:rsidR="009021F1" w:rsidRPr="009F553E" w:rsidRDefault="009021F1" w:rsidP="009021F1">
      <w:pPr>
        <w:numPr>
          <w:ilvl w:val="0"/>
          <w:numId w:val="51"/>
        </w:numPr>
        <w:rPr>
          <w:rFonts w:cs="Arial"/>
          <w:szCs w:val="21"/>
        </w:rPr>
      </w:pPr>
      <w:r w:rsidRPr="009F553E">
        <w:rPr>
          <w:rFonts w:cs="Arial"/>
          <w:szCs w:val="21"/>
        </w:rPr>
        <w:t>la Direction de la Conservation de la Nature : elle effectuera le suivi de la pérennisation des ressources fauniques dans les zones libres, les domaines et réserves de chasse. Assurer une bonne gestion durable des ressources fauniques ;</w:t>
      </w:r>
    </w:p>
    <w:p w14:paraId="1B9D49CE" w14:textId="77777777" w:rsidR="009021F1" w:rsidRPr="009F553E" w:rsidRDefault="009021F1" w:rsidP="009021F1">
      <w:pPr>
        <w:numPr>
          <w:ilvl w:val="0"/>
          <w:numId w:val="51"/>
        </w:numPr>
        <w:rPr>
          <w:rFonts w:cs="Arial"/>
          <w:szCs w:val="21"/>
        </w:rPr>
      </w:pPr>
      <w:r w:rsidRPr="009F553E">
        <w:rPr>
          <w:rFonts w:cs="Arial"/>
          <w:szCs w:val="21"/>
        </w:rPr>
        <w:t>l’Office des Voies de Desserte Agricole (OVDA) : Elle s’occupera du suivi des routes rurales ;</w:t>
      </w:r>
    </w:p>
    <w:p w14:paraId="7C252924" w14:textId="77777777" w:rsidR="009021F1" w:rsidRPr="009F553E" w:rsidRDefault="009021F1" w:rsidP="009021F1">
      <w:pPr>
        <w:numPr>
          <w:ilvl w:val="0"/>
          <w:numId w:val="51"/>
        </w:numPr>
        <w:rPr>
          <w:rFonts w:cs="Arial"/>
          <w:szCs w:val="21"/>
        </w:rPr>
      </w:pPr>
      <w:r w:rsidRPr="009F553E">
        <w:rPr>
          <w:rFonts w:cs="Arial"/>
          <w:szCs w:val="21"/>
        </w:rPr>
        <w:t>le Service National de l’Hydraulique Rurale : Il suivra la qualité des ressources en eau ;</w:t>
      </w:r>
    </w:p>
    <w:p w14:paraId="38A84AF5" w14:textId="77777777" w:rsidR="009021F1" w:rsidRPr="009F553E" w:rsidRDefault="009021F1" w:rsidP="009021F1">
      <w:pPr>
        <w:numPr>
          <w:ilvl w:val="0"/>
          <w:numId w:val="51"/>
        </w:numPr>
        <w:rPr>
          <w:rFonts w:cs="Arial"/>
          <w:szCs w:val="21"/>
        </w:rPr>
      </w:pPr>
      <w:r w:rsidRPr="009F553E">
        <w:rPr>
          <w:rFonts w:cs="Arial"/>
          <w:szCs w:val="21"/>
        </w:rPr>
        <w:t>la Régie de Voie Fluviales (RVF) : suivi des infrastructures portuaires ;</w:t>
      </w:r>
    </w:p>
    <w:p w14:paraId="2B505CAA" w14:textId="77777777" w:rsidR="009021F1" w:rsidRPr="009F553E" w:rsidRDefault="009021F1" w:rsidP="009021F1">
      <w:pPr>
        <w:numPr>
          <w:ilvl w:val="0"/>
          <w:numId w:val="51"/>
        </w:numPr>
        <w:rPr>
          <w:rFonts w:cs="Arial"/>
          <w:szCs w:val="21"/>
        </w:rPr>
      </w:pPr>
      <w:r w:rsidRPr="009F553E">
        <w:rPr>
          <w:rFonts w:cs="Arial"/>
          <w:szCs w:val="21"/>
        </w:rPr>
        <w:t xml:space="preserve">les Collectivités locales : elles participeront au suivi environnemental et social à travers leurs services techniques municipaux ;  </w:t>
      </w:r>
    </w:p>
    <w:p w14:paraId="44FFC06C" w14:textId="77777777" w:rsidR="009021F1" w:rsidRPr="009F553E" w:rsidRDefault="009021F1" w:rsidP="009021F1">
      <w:pPr>
        <w:numPr>
          <w:ilvl w:val="0"/>
          <w:numId w:val="51"/>
        </w:numPr>
        <w:rPr>
          <w:rFonts w:cs="Arial"/>
          <w:szCs w:val="21"/>
        </w:rPr>
      </w:pPr>
      <w:r w:rsidRPr="009F553E">
        <w:rPr>
          <w:rFonts w:cs="Arial"/>
          <w:szCs w:val="21"/>
        </w:rPr>
        <w:t xml:space="preserve">les Entreprises des travaux : elles ont pour responsabilité à travers leurs Experts en Environnement, la mise en œuvre des PGES et la rédaction des rapports de mise en œuvre desdits PGES ; </w:t>
      </w:r>
    </w:p>
    <w:p w14:paraId="2285C0D5" w14:textId="77777777" w:rsidR="009021F1" w:rsidRPr="009F553E" w:rsidRDefault="009021F1" w:rsidP="009021F1">
      <w:pPr>
        <w:numPr>
          <w:ilvl w:val="0"/>
          <w:numId w:val="51"/>
        </w:numPr>
        <w:rPr>
          <w:rFonts w:cs="Arial"/>
          <w:szCs w:val="21"/>
        </w:rPr>
      </w:pPr>
      <w:r w:rsidRPr="009F553E">
        <w:rPr>
          <w:rFonts w:cs="Arial"/>
          <w:szCs w:val="21"/>
        </w:rPr>
        <w:t>les Bureaux de Contrôle : ayant en leur sein un Expert en Environnement, celui-ci est chargé du suivi au quotidien de la mise en œuvre du PGES et l’élaboration du rapport de suivi environnemental et social à transmettre à l’UNCP/PNDA ;</w:t>
      </w:r>
    </w:p>
    <w:p w14:paraId="00437DCE" w14:textId="77777777" w:rsidR="009021F1" w:rsidRPr="009F553E" w:rsidRDefault="009021F1" w:rsidP="009021F1">
      <w:pPr>
        <w:numPr>
          <w:ilvl w:val="0"/>
          <w:numId w:val="51"/>
        </w:numPr>
        <w:rPr>
          <w:rFonts w:cs="Arial"/>
          <w:szCs w:val="21"/>
        </w:rPr>
      </w:pPr>
      <w:r w:rsidRPr="009F553E">
        <w:rPr>
          <w:rFonts w:cs="Arial"/>
          <w:szCs w:val="21"/>
        </w:rPr>
        <w:t>les ONG de la Société Civile du secteur agricole, y compris celles de prévention et réponse aux VBG et COVID-19 : en plus de la mobilisation sociale, elles participeront à la sensibilisation des populations et au suivi de la mise en œuvre des PGES à travers l’interpellation des principaux acteurs du PNDA.</w:t>
      </w:r>
    </w:p>
    <w:p w14:paraId="383DF3D2" w14:textId="77777777" w:rsidR="009021F1" w:rsidRPr="009F553E" w:rsidRDefault="009021F1" w:rsidP="009021F1">
      <w:pPr>
        <w:rPr>
          <w:rFonts w:cs="Arial"/>
          <w:szCs w:val="21"/>
        </w:rPr>
      </w:pPr>
    </w:p>
    <w:p w14:paraId="3BBF8AAB" w14:textId="77777777" w:rsidR="009021F1" w:rsidRPr="009F553E" w:rsidRDefault="009021F1" w:rsidP="009021F1">
      <w:pPr>
        <w:tabs>
          <w:tab w:val="left" w:pos="426"/>
        </w:tabs>
        <w:contextualSpacing/>
        <w:rPr>
          <w:rFonts w:cs="Arial"/>
          <w:i/>
          <w:szCs w:val="21"/>
        </w:rPr>
      </w:pPr>
      <w:r w:rsidRPr="009F553E">
        <w:rPr>
          <w:rFonts w:cs="Arial"/>
          <w:i/>
          <w:szCs w:val="21"/>
        </w:rPr>
        <w:t>Rôles et responsabilités pour la mise en œuvre des mesures de gestion environnementales et sociales</w:t>
      </w:r>
    </w:p>
    <w:p w14:paraId="3E37A002" w14:textId="77777777" w:rsidR="009021F1" w:rsidRPr="009F553E" w:rsidRDefault="009021F1" w:rsidP="009021F1">
      <w:pPr>
        <w:pStyle w:val="Paragraphedeliste"/>
        <w:rPr>
          <w:rFonts w:cs="Arial"/>
          <w:szCs w:val="21"/>
        </w:rPr>
      </w:pPr>
    </w:p>
    <w:p w14:paraId="7702370D" w14:textId="77777777" w:rsidR="009021F1" w:rsidRPr="009F553E" w:rsidRDefault="009021F1" w:rsidP="009021F1">
      <w:pPr>
        <w:pStyle w:val="Paragraphedeliste"/>
        <w:numPr>
          <w:ilvl w:val="0"/>
          <w:numId w:val="26"/>
        </w:numPr>
        <w:rPr>
          <w:rFonts w:cs="Arial"/>
          <w:szCs w:val="21"/>
        </w:rPr>
      </w:pPr>
      <w:r w:rsidRPr="009F553E">
        <w:rPr>
          <w:rFonts w:cs="Arial"/>
          <w:i/>
          <w:szCs w:val="21"/>
        </w:rPr>
        <w:t>Le Comité technique préparatoire et de suivi</w:t>
      </w:r>
      <w:r w:rsidRPr="009F553E">
        <w:rPr>
          <w:rFonts w:cs="Arial"/>
          <w:szCs w:val="21"/>
        </w:rPr>
        <w:t xml:space="preserve"> est responsable de la procédure d’approbation de la catégorisation pendant la phase de préparation du Projet sous financement PPA. Il coordonne la diffusion des rapports avec l’UNCP/PARRSA. En phase de mise en œuvre du Projet, cette fonction d’approbation de la catégorisation sera assurée par le Coordonnateur de l’UNCP/PNDA.</w:t>
      </w:r>
    </w:p>
    <w:p w14:paraId="2B06F51F" w14:textId="77777777" w:rsidR="009021F1" w:rsidRPr="009F553E" w:rsidRDefault="009021F1" w:rsidP="009021F1">
      <w:pPr>
        <w:ind w:left="720"/>
        <w:rPr>
          <w:rFonts w:cs="Arial"/>
          <w:color w:val="000000"/>
          <w:szCs w:val="21"/>
        </w:rPr>
      </w:pPr>
    </w:p>
    <w:p w14:paraId="44F6626E" w14:textId="77777777" w:rsidR="009021F1" w:rsidRPr="009F553E" w:rsidRDefault="009021F1" w:rsidP="009021F1">
      <w:pPr>
        <w:numPr>
          <w:ilvl w:val="0"/>
          <w:numId w:val="26"/>
        </w:numPr>
        <w:rPr>
          <w:rFonts w:cs="Arial"/>
          <w:color w:val="000000"/>
          <w:szCs w:val="21"/>
        </w:rPr>
      </w:pPr>
      <w:r w:rsidRPr="009F553E">
        <w:rPr>
          <w:rFonts w:cs="Arial"/>
          <w:i/>
          <w:color w:val="000000"/>
          <w:szCs w:val="21"/>
        </w:rPr>
        <w:t>Le Spécialiste en Sauvegarde Environnementale et le Spécialiste en Sauvegarde Sociale ainsi que le Spécialiste en VBG</w:t>
      </w:r>
      <w:r w:rsidRPr="009F553E">
        <w:rPr>
          <w:rFonts w:cs="Arial"/>
          <w:color w:val="000000"/>
          <w:szCs w:val="21"/>
        </w:rPr>
        <w:t> </w:t>
      </w:r>
      <w:r w:rsidRPr="009F553E">
        <w:rPr>
          <w:rFonts w:cs="Arial"/>
          <w:i/>
          <w:color w:val="000000"/>
          <w:szCs w:val="21"/>
        </w:rPr>
        <w:t xml:space="preserve"> en phase de préparation vont</w:t>
      </w:r>
      <w:r w:rsidRPr="009F553E">
        <w:rPr>
          <w:rFonts w:cs="Arial"/>
          <w:szCs w:val="21"/>
        </w:rPr>
        <w:t xml:space="preserve"> s’assurer de la mise en œuvre de toutes les mesures de sauvegardes environnementale et sociale pendant la durée du Projet : </w:t>
      </w:r>
      <w:r w:rsidRPr="009F553E">
        <w:rPr>
          <w:rFonts w:cs="Arial"/>
          <w:i/>
          <w:szCs w:val="21"/>
        </w:rPr>
        <w:t>(i)</w:t>
      </w:r>
      <w:r w:rsidRPr="009F553E">
        <w:rPr>
          <w:rFonts w:cs="Arial"/>
          <w:szCs w:val="21"/>
        </w:rPr>
        <w:t xml:space="preserve"> ils rempliront les fiches de sélection environnementale et procéderont à la détermination des catégories environnementales appropriées, avec l’appui de la Banque Mondiale ; </w:t>
      </w:r>
      <w:r w:rsidRPr="009F553E">
        <w:rPr>
          <w:rFonts w:cs="Arial"/>
          <w:i/>
          <w:szCs w:val="21"/>
        </w:rPr>
        <w:t>(ii)</w:t>
      </w:r>
      <w:r w:rsidRPr="009F553E">
        <w:rPr>
          <w:rFonts w:cs="Arial"/>
          <w:szCs w:val="21"/>
        </w:rPr>
        <w:t xml:space="preserve"> Ils effectueront également le choix des mesures d’atténuation appropriées en cas de non-nécessité d’élaborer des PGES pour les sous-projets ; </w:t>
      </w:r>
      <w:r w:rsidRPr="009F553E">
        <w:rPr>
          <w:rFonts w:cs="Arial"/>
          <w:i/>
          <w:szCs w:val="21"/>
        </w:rPr>
        <w:t>(iii)</w:t>
      </w:r>
      <w:r w:rsidRPr="009F553E">
        <w:rPr>
          <w:rFonts w:cs="Arial"/>
          <w:szCs w:val="21"/>
        </w:rPr>
        <w:t xml:space="preserve"> ils assureront aussi la coordination du suivi des aspects environnementaux et sociaux, y compris des risques d’EAS/HS et de COVID-19, ainsi que de l’audit de conformité du Projet avec les mesures environnementales et sociales proposées.</w:t>
      </w:r>
    </w:p>
    <w:p w14:paraId="3B2AEA55" w14:textId="77777777" w:rsidR="009021F1" w:rsidRPr="009F553E" w:rsidRDefault="009021F1" w:rsidP="009021F1">
      <w:pPr>
        <w:ind w:left="720"/>
        <w:rPr>
          <w:rFonts w:cs="Arial"/>
          <w:color w:val="000000"/>
          <w:szCs w:val="21"/>
        </w:rPr>
      </w:pPr>
    </w:p>
    <w:p w14:paraId="786C8695" w14:textId="77777777" w:rsidR="009021F1" w:rsidRPr="009F553E" w:rsidRDefault="009021F1" w:rsidP="009021F1">
      <w:pPr>
        <w:numPr>
          <w:ilvl w:val="0"/>
          <w:numId w:val="26"/>
        </w:numPr>
        <w:rPr>
          <w:rFonts w:cs="Arial"/>
          <w:color w:val="000000"/>
          <w:szCs w:val="21"/>
        </w:rPr>
      </w:pPr>
      <w:r w:rsidRPr="009F553E">
        <w:rPr>
          <w:rFonts w:cs="Arial"/>
          <w:i/>
          <w:color w:val="000000"/>
          <w:szCs w:val="21"/>
        </w:rPr>
        <w:t>Le Responsable technique de l’activité éligible au PNDA</w:t>
      </w:r>
      <w:r w:rsidRPr="009F553E">
        <w:rPr>
          <w:rFonts w:cs="Arial"/>
          <w:color w:val="000000"/>
          <w:szCs w:val="21"/>
        </w:rPr>
        <w:t xml:space="preserve"> (</w:t>
      </w:r>
      <w:r w:rsidRPr="009F553E">
        <w:rPr>
          <w:rFonts w:cs="Arial"/>
          <w:i/>
          <w:color w:val="000000"/>
          <w:szCs w:val="21"/>
        </w:rPr>
        <w:t>Chargé de Projet</w:t>
      </w:r>
      <w:r w:rsidRPr="009F553E">
        <w:rPr>
          <w:rFonts w:cs="Arial"/>
          <w:color w:val="000000"/>
          <w:szCs w:val="21"/>
        </w:rPr>
        <w:t>) est responsable de : l’identification de la localisation/site et principales caractéristiques techniques du sous-projet et de l’intégration dans le dossier d’appel d’offres (DAO) du sous-projet, de toutes les mesures de la phase des travaux pouvant être contractualisées avec l’entreprise. </w:t>
      </w:r>
    </w:p>
    <w:p w14:paraId="7673FBCF" w14:textId="77777777" w:rsidR="009021F1" w:rsidRPr="009F553E" w:rsidRDefault="009021F1" w:rsidP="009021F1">
      <w:pPr>
        <w:pStyle w:val="Paragraphedeliste"/>
        <w:rPr>
          <w:rFonts w:cs="Arial"/>
          <w:color w:val="000000"/>
          <w:szCs w:val="21"/>
        </w:rPr>
      </w:pPr>
    </w:p>
    <w:p w14:paraId="5A9033CD" w14:textId="77777777" w:rsidR="009021F1" w:rsidRPr="009F553E" w:rsidRDefault="009021F1" w:rsidP="009021F1">
      <w:pPr>
        <w:numPr>
          <w:ilvl w:val="0"/>
          <w:numId w:val="26"/>
        </w:numPr>
        <w:rPr>
          <w:rFonts w:cs="Arial"/>
          <w:color w:val="000000"/>
          <w:szCs w:val="21"/>
        </w:rPr>
      </w:pPr>
      <w:r w:rsidRPr="009F553E">
        <w:rPr>
          <w:rFonts w:cs="Arial"/>
          <w:i/>
          <w:color w:val="000000"/>
          <w:szCs w:val="21"/>
        </w:rPr>
        <w:t xml:space="preserve">Le Responsable en passation de marchés </w:t>
      </w:r>
      <w:r w:rsidRPr="009F553E">
        <w:rPr>
          <w:rFonts w:cs="Arial"/>
          <w:i/>
          <w:szCs w:val="21"/>
        </w:rPr>
        <w:t xml:space="preserve">du PNDA (en phase de préparation et de mise en œuvre, en concertation avec les spécialistes environnemental et social) </w:t>
      </w:r>
      <w:r w:rsidRPr="009F553E">
        <w:rPr>
          <w:rFonts w:cs="Arial"/>
          <w:i/>
          <w:color w:val="000000"/>
          <w:szCs w:val="21"/>
        </w:rPr>
        <w:t>:</w:t>
      </w:r>
      <w:r w:rsidRPr="009F553E">
        <w:rPr>
          <w:rFonts w:cs="Arial"/>
          <w:color w:val="000000"/>
          <w:szCs w:val="21"/>
        </w:rPr>
        <w:t xml:space="preserve"> veille à l’inclusion des activités suivantes dans les plans de passation des marchés via le STEP et prépare les documents contractuels y relatifs (études, intégration des mesures dans le dossier d’appel d’offres ; PGES entreprise, exécution/Mise en œuvre des mesures ; renforcement des capacités ; surveillance et audit).</w:t>
      </w:r>
    </w:p>
    <w:p w14:paraId="69202632" w14:textId="77777777" w:rsidR="009021F1" w:rsidRPr="009F553E" w:rsidRDefault="009021F1" w:rsidP="009021F1">
      <w:pPr>
        <w:pStyle w:val="Paragraphedeliste"/>
        <w:spacing w:after="200"/>
        <w:rPr>
          <w:rFonts w:cs="Arial"/>
          <w:szCs w:val="21"/>
        </w:rPr>
      </w:pPr>
    </w:p>
    <w:p w14:paraId="11664D7E" w14:textId="77777777" w:rsidR="009021F1" w:rsidRPr="009F553E" w:rsidRDefault="009021F1" w:rsidP="009021F1">
      <w:pPr>
        <w:pStyle w:val="Paragraphedeliste"/>
        <w:numPr>
          <w:ilvl w:val="0"/>
          <w:numId w:val="26"/>
        </w:numPr>
        <w:spacing w:after="200"/>
        <w:rPr>
          <w:rFonts w:cs="Arial"/>
          <w:szCs w:val="21"/>
        </w:rPr>
      </w:pPr>
      <w:r w:rsidRPr="009F553E">
        <w:rPr>
          <w:rFonts w:cs="Arial"/>
          <w:i/>
          <w:szCs w:val="21"/>
        </w:rPr>
        <w:t xml:space="preserve">Le Responsable des finances </w:t>
      </w:r>
      <w:r w:rsidRPr="009F553E">
        <w:rPr>
          <w:rFonts w:cs="Arial"/>
          <w:i/>
          <w:color w:val="000000"/>
          <w:szCs w:val="21"/>
        </w:rPr>
        <w:t>d</w:t>
      </w:r>
      <w:r w:rsidRPr="009F553E">
        <w:rPr>
          <w:rFonts w:cs="Arial"/>
          <w:i/>
          <w:szCs w:val="21"/>
        </w:rPr>
        <w:t>u PNDA (en phase de préparation et de mise en œuvre) :</w:t>
      </w:r>
      <w:r w:rsidRPr="009F553E">
        <w:rPr>
          <w:rFonts w:cs="Arial"/>
          <w:szCs w:val="21"/>
        </w:rPr>
        <w:t xml:space="preserve"> inclut dans les états financiers les provisions budgétaires relatives à l’Exécution/Mise en œuvre des mesures d’appui à la Surveillance de la mise en œuvre des mesures environnementales et sociales, y compris celles liées à l’EAS/HS et au COVID-19.</w:t>
      </w:r>
    </w:p>
    <w:p w14:paraId="1CB7A1E2" w14:textId="77777777" w:rsidR="009021F1" w:rsidRPr="009F553E" w:rsidRDefault="009021F1" w:rsidP="009021F1">
      <w:pPr>
        <w:pStyle w:val="Paragraphedeliste"/>
        <w:spacing w:after="200"/>
        <w:rPr>
          <w:rFonts w:cs="Arial"/>
          <w:szCs w:val="21"/>
        </w:rPr>
      </w:pPr>
    </w:p>
    <w:p w14:paraId="4BCA1D0A" w14:textId="77777777" w:rsidR="009021F1" w:rsidRPr="009F553E" w:rsidRDefault="009021F1" w:rsidP="009021F1">
      <w:pPr>
        <w:pStyle w:val="Paragraphedeliste"/>
        <w:numPr>
          <w:ilvl w:val="0"/>
          <w:numId w:val="26"/>
        </w:numPr>
        <w:spacing w:after="200"/>
        <w:rPr>
          <w:rFonts w:cs="Arial"/>
          <w:szCs w:val="21"/>
        </w:rPr>
      </w:pPr>
      <w:r w:rsidRPr="009F553E">
        <w:rPr>
          <w:rFonts w:cs="Arial"/>
          <w:i/>
          <w:szCs w:val="21"/>
        </w:rPr>
        <w:t>Le Spécialiste en suivi-évaluation du PNDA (en phase de préparation et de mise en œuvre) :</w:t>
      </w:r>
      <w:r w:rsidRPr="009F553E">
        <w:rPr>
          <w:rFonts w:cs="Arial"/>
          <w:szCs w:val="21"/>
        </w:rPr>
        <w:t xml:space="preserve"> il participe à la Surveillance interne de la mise en œuvre des mesures environnementales et sociales, y compris celles liées à l’EAS/HS et au COVID-19, au Suivi environnemental et social ainsi que celui d’EAS/HS et COVID-19 et à l’Audit de mise en œuvre des mesures environnementales et sociales.</w:t>
      </w:r>
    </w:p>
    <w:p w14:paraId="23C8DC7B" w14:textId="77777777" w:rsidR="009021F1" w:rsidRPr="009F553E" w:rsidRDefault="009021F1" w:rsidP="009021F1">
      <w:pPr>
        <w:numPr>
          <w:ilvl w:val="0"/>
          <w:numId w:val="26"/>
        </w:numPr>
        <w:rPr>
          <w:rFonts w:cs="Arial"/>
          <w:szCs w:val="21"/>
        </w:rPr>
      </w:pPr>
      <w:r w:rsidRPr="009F553E">
        <w:rPr>
          <w:rFonts w:cs="Arial"/>
          <w:i/>
          <w:szCs w:val="21"/>
        </w:rPr>
        <w:t>Les Ministères Provinciaux en charge de l’Environnement et Genre :</w:t>
      </w:r>
      <w:r w:rsidRPr="009F553E">
        <w:rPr>
          <w:rFonts w:cs="Arial"/>
          <w:szCs w:val="21"/>
        </w:rPr>
        <w:t xml:space="preserve"> Ce ministère instruira les Coordinations Provinciales de l’Environnement du Kwilu, Kongo Central, Kasaï, Kasaï Central et Nord-Kivu dans le suivi des activités du Projet.</w:t>
      </w:r>
    </w:p>
    <w:p w14:paraId="6BBF17F9" w14:textId="77777777" w:rsidR="009021F1" w:rsidRPr="009F553E" w:rsidRDefault="009021F1" w:rsidP="009021F1">
      <w:pPr>
        <w:pStyle w:val="Paragraphedeliste"/>
        <w:rPr>
          <w:rFonts w:cs="Arial"/>
          <w:szCs w:val="21"/>
        </w:rPr>
      </w:pPr>
    </w:p>
    <w:p w14:paraId="1D079BA1" w14:textId="77777777" w:rsidR="009021F1" w:rsidRPr="009F553E" w:rsidRDefault="009021F1" w:rsidP="009021F1">
      <w:pPr>
        <w:numPr>
          <w:ilvl w:val="0"/>
          <w:numId w:val="26"/>
        </w:numPr>
        <w:rPr>
          <w:rFonts w:cs="Arial"/>
          <w:i/>
          <w:szCs w:val="21"/>
        </w:rPr>
      </w:pPr>
      <w:r w:rsidRPr="009F553E">
        <w:rPr>
          <w:rFonts w:cs="Arial"/>
          <w:i/>
          <w:szCs w:val="21"/>
        </w:rPr>
        <w:t>L’Agence Congolaise de l’Environnement</w:t>
      </w:r>
    </w:p>
    <w:p w14:paraId="47EA1FD1" w14:textId="77777777" w:rsidR="009021F1" w:rsidRPr="009F553E" w:rsidRDefault="009021F1" w:rsidP="009021F1">
      <w:pPr>
        <w:pStyle w:val="Paragraphedeliste"/>
        <w:rPr>
          <w:rFonts w:cs="Arial"/>
          <w:szCs w:val="21"/>
        </w:rPr>
      </w:pPr>
    </w:p>
    <w:p w14:paraId="7BD374D5" w14:textId="77777777" w:rsidR="009021F1" w:rsidRPr="009F553E" w:rsidRDefault="009021F1" w:rsidP="009021F1">
      <w:pPr>
        <w:pStyle w:val="Paragraphedeliste"/>
        <w:rPr>
          <w:rFonts w:cs="Arial"/>
          <w:szCs w:val="21"/>
        </w:rPr>
      </w:pPr>
      <w:r w:rsidRPr="009F553E">
        <w:rPr>
          <w:rFonts w:cs="Arial"/>
          <w:szCs w:val="21"/>
        </w:rPr>
        <w:t>L’ACE procédera à l’examen et à l’approbation de la classification environnementale des sous-projets ainsi qu’à l’approbation des Études d’impact environnemental et social et des PGES. Elle participera aussi au suivi externe.</w:t>
      </w:r>
    </w:p>
    <w:p w14:paraId="7A35FC65" w14:textId="77777777" w:rsidR="009021F1" w:rsidRPr="009F553E" w:rsidRDefault="009021F1" w:rsidP="009021F1">
      <w:pPr>
        <w:rPr>
          <w:rFonts w:cs="Arial"/>
          <w:i/>
          <w:szCs w:val="21"/>
        </w:rPr>
      </w:pPr>
    </w:p>
    <w:p w14:paraId="0420B9FD" w14:textId="77777777" w:rsidR="009021F1" w:rsidRPr="009F553E" w:rsidRDefault="009021F1" w:rsidP="009021F1">
      <w:pPr>
        <w:numPr>
          <w:ilvl w:val="0"/>
          <w:numId w:val="26"/>
        </w:numPr>
        <w:rPr>
          <w:rFonts w:cs="Arial"/>
          <w:i/>
          <w:szCs w:val="21"/>
        </w:rPr>
      </w:pPr>
      <w:r w:rsidRPr="009F553E">
        <w:rPr>
          <w:rFonts w:cs="Arial"/>
          <w:i/>
          <w:szCs w:val="21"/>
        </w:rPr>
        <w:t>Les Coordinations Provinciales de l’Environnement du Kwilu, Kasaï, Kasaï Central, Kongo Central et Nord-Kivu</w:t>
      </w:r>
    </w:p>
    <w:p w14:paraId="768BC5CC" w14:textId="77777777" w:rsidR="009021F1" w:rsidRPr="009F553E" w:rsidRDefault="009021F1" w:rsidP="009021F1">
      <w:pPr>
        <w:ind w:left="720"/>
        <w:rPr>
          <w:rFonts w:cs="Arial"/>
          <w:i/>
          <w:szCs w:val="21"/>
        </w:rPr>
      </w:pPr>
    </w:p>
    <w:p w14:paraId="6B30075C" w14:textId="77777777" w:rsidR="009021F1" w:rsidRPr="009F553E" w:rsidRDefault="009021F1" w:rsidP="009021F1">
      <w:pPr>
        <w:ind w:left="720"/>
        <w:rPr>
          <w:rFonts w:cs="Arial"/>
          <w:szCs w:val="21"/>
        </w:rPr>
      </w:pPr>
      <w:r w:rsidRPr="009F553E">
        <w:rPr>
          <w:rFonts w:cs="Arial"/>
          <w:szCs w:val="21"/>
        </w:rPr>
        <w:t>À l’absence des Directions Provinciales de l’ACE, ces trois Coordinations Provinciales de l’Environnement participeront au suivi de la mise en œuvre des mesures environnementales et sociales du Projet PNDA. En outre, la CPE de chaque Province et ses dépendances (sous-unités) sont concernées et seront associées à toutes les activités liées au screening et su suivi externe de la mise en œuvre des PGES.</w:t>
      </w:r>
    </w:p>
    <w:p w14:paraId="2C975620" w14:textId="77777777" w:rsidR="009021F1" w:rsidRPr="009F553E" w:rsidRDefault="009021F1" w:rsidP="009021F1">
      <w:pPr>
        <w:rPr>
          <w:rFonts w:cs="Arial"/>
          <w:szCs w:val="21"/>
        </w:rPr>
      </w:pPr>
    </w:p>
    <w:p w14:paraId="44CFCD49" w14:textId="77777777" w:rsidR="009021F1" w:rsidRPr="009F553E" w:rsidRDefault="009021F1" w:rsidP="009021F1">
      <w:pPr>
        <w:numPr>
          <w:ilvl w:val="0"/>
          <w:numId w:val="26"/>
        </w:numPr>
        <w:ind w:right="-154"/>
        <w:rPr>
          <w:rFonts w:cs="Arial"/>
          <w:szCs w:val="21"/>
        </w:rPr>
      </w:pPr>
      <w:r w:rsidRPr="009F553E">
        <w:rPr>
          <w:rFonts w:cs="Arial"/>
          <w:i/>
          <w:szCs w:val="21"/>
        </w:rPr>
        <w:t>Les Entreprises contractantes</w:t>
      </w:r>
      <w:r w:rsidRPr="009F553E">
        <w:rPr>
          <w:rFonts w:cs="Arial"/>
          <w:szCs w:val="21"/>
        </w:rPr>
        <w:t xml:space="preserve"> </w:t>
      </w:r>
      <w:r w:rsidRPr="009F553E">
        <w:rPr>
          <w:rFonts w:cs="Arial"/>
          <w:i/>
          <w:szCs w:val="21"/>
        </w:rPr>
        <w:t>(PME)</w:t>
      </w:r>
    </w:p>
    <w:p w14:paraId="7303442E" w14:textId="77777777" w:rsidR="009021F1" w:rsidRPr="009F553E" w:rsidRDefault="009021F1" w:rsidP="009021F1">
      <w:pPr>
        <w:pStyle w:val="Paragraphedeliste"/>
        <w:rPr>
          <w:rFonts w:cs="Arial"/>
          <w:szCs w:val="21"/>
        </w:rPr>
      </w:pPr>
    </w:p>
    <w:p w14:paraId="5F5B90AB" w14:textId="77777777" w:rsidR="009021F1" w:rsidRPr="009F553E" w:rsidRDefault="009021F1" w:rsidP="009021F1">
      <w:pPr>
        <w:pStyle w:val="Paragraphedeliste"/>
        <w:rPr>
          <w:rFonts w:cs="Arial"/>
          <w:szCs w:val="21"/>
        </w:rPr>
      </w:pPr>
      <w:r w:rsidRPr="009F553E">
        <w:rPr>
          <w:rFonts w:cs="Arial"/>
          <w:szCs w:val="21"/>
        </w:rPr>
        <w:t>Elles doivent exécuter les mesures environnementales et sociales et respecter les directives et autres prescriptions environnementales et sociales contenues dans les marchés de travaux et les DAO.</w:t>
      </w:r>
    </w:p>
    <w:p w14:paraId="56C9E8FB" w14:textId="77777777" w:rsidR="009021F1" w:rsidRDefault="009021F1" w:rsidP="009021F1">
      <w:pPr>
        <w:pStyle w:val="Paragraphedeliste"/>
        <w:rPr>
          <w:rFonts w:cs="Arial"/>
          <w:szCs w:val="21"/>
        </w:rPr>
      </w:pPr>
    </w:p>
    <w:p w14:paraId="1AFBBE80" w14:textId="77777777" w:rsidR="009021F1" w:rsidRDefault="009021F1" w:rsidP="009021F1">
      <w:pPr>
        <w:pStyle w:val="Paragraphedeliste"/>
        <w:rPr>
          <w:rFonts w:cs="Arial"/>
          <w:szCs w:val="21"/>
        </w:rPr>
      </w:pPr>
    </w:p>
    <w:p w14:paraId="46C7FBC2" w14:textId="77777777" w:rsidR="009021F1" w:rsidRDefault="009021F1" w:rsidP="009021F1">
      <w:pPr>
        <w:pStyle w:val="Paragraphedeliste"/>
        <w:rPr>
          <w:rFonts w:cs="Arial"/>
          <w:szCs w:val="21"/>
        </w:rPr>
      </w:pPr>
    </w:p>
    <w:p w14:paraId="0112115B" w14:textId="77777777" w:rsidR="009021F1" w:rsidRDefault="009021F1" w:rsidP="009021F1">
      <w:pPr>
        <w:pStyle w:val="Paragraphedeliste"/>
        <w:rPr>
          <w:rFonts w:cs="Arial"/>
          <w:szCs w:val="21"/>
        </w:rPr>
      </w:pPr>
    </w:p>
    <w:p w14:paraId="2D30754D" w14:textId="77777777" w:rsidR="009021F1" w:rsidRPr="009F553E" w:rsidRDefault="009021F1" w:rsidP="009021F1">
      <w:pPr>
        <w:pStyle w:val="Paragraphedeliste"/>
        <w:rPr>
          <w:rFonts w:cs="Arial"/>
          <w:szCs w:val="21"/>
        </w:rPr>
      </w:pPr>
    </w:p>
    <w:p w14:paraId="3710C904" w14:textId="77777777" w:rsidR="009021F1" w:rsidRPr="009F553E" w:rsidRDefault="009021F1" w:rsidP="009021F1">
      <w:pPr>
        <w:numPr>
          <w:ilvl w:val="0"/>
          <w:numId w:val="26"/>
        </w:numPr>
        <w:ind w:right="-154"/>
        <w:rPr>
          <w:rFonts w:cs="Arial"/>
          <w:i/>
          <w:szCs w:val="21"/>
        </w:rPr>
      </w:pPr>
      <w:r w:rsidRPr="009F553E">
        <w:rPr>
          <w:rFonts w:cs="Arial"/>
          <w:i/>
          <w:szCs w:val="21"/>
        </w:rPr>
        <w:t>Les Agences d’Exécution Locales (ALE)</w:t>
      </w:r>
    </w:p>
    <w:p w14:paraId="19FC6CB8" w14:textId="77777777" w:rsidR="009021F1" w:rsidRPr="009F553E" w:rsidRDefault="009021F1" w:rsidP="009021F1">
      <w:pPr>
        <w:pStyle w:val="Paragraphedeliste"/>
        <w:rPr>
          <w:rFonts w:cs="Arial"/>
          <w:szCs w:val="21"/>
        </w:rPr>
      </w:pPr>
    </w:p>
    <w:p w14:paraId="03E38AF1" w14:textId="77777777" w:rsidR="009021F1" w:rsidRPr="009F553E" w:rsidRDefault="009021F1" w:rsidP="009021F1">
      <w:pPr>
        <w:pStyle w:val="Paragraphedeliste"/>
        <w:rPr>
          <w:rFonts w:cs="Arial"/>
          <w:szCs w:val="21"/>
        </w:rPr>
      </w:pPr>
      <w:r w:rsidRPr="009F553E">
        <w:rPr>
          <w:rFonts w:cs="Arial"/>
          <w:szCs w:val="21"/>
        </w:rPr>
        <w:t>Comme les entreprises, les ALE doivent exécuter les mesures environnementales et sociales et respecter les directives et autres prescriptions environnementales et sociales contenues dans les marchés de travaux et les DAO.</w:t>
      </w:r>
    </w:p>
    <w:p w14:paraId="4B55E697" w14:textId="77777777" w:rsidR="009021F1" w:rsidRPr="009F553E" w:rsidRDefault="009021F1" w:rsidP="009021F1">
      <w:pPr>
        <w:pStyle w:val="Paragraphedeliste"/>
        <w:rPr>
          <w:rFonts w:cs="Arial"/>
          <w:szCs w:val="21"/>
        </w:rPr>
      </w:pPr>
    </w:p>
    <w:p w14:paraId="397BFAAF" w14:textId="77777777" w:rsidR="009021F1" w:rsidRPr="009F553E" w:rsidRDefault="009021F1" w:rsidP="009021F1">
      <w:pPr>
        <w:numPr>
          <w:ilvl w:val="0"/>
          <w:numId w:val="26"/>
        </w:numPr>
        <w:ind w:right="-154"/>
        <w:rPr>
          <w:rFonts w:cs="Arial"/>
          <w:i/>
          <w:szCs w:val="21"/>
        </w:rPr>
      </w:pPr>
      <w:r w:rsidRPr="009F553E">
        <w:rPr>
          <w:rFonts w:cs="Arial"/>
          <w:i/>
          <w:szCs w:val="21"/>
        </w:rPr>
        <w:t>Les Divisions Urbaines et Provinciales du Genre, de l’Enfant et de la Famille.</w:t>
      </w:r>
    </w:p>
    <w:p w14:paraId="644CDE85" w14:textId="77777777" w:rsidR="009021F1" w:rsidRPr="009F553E" w:rsidRDefault="009021F1" w:rsidP="009021F1">
      <w:pPr>
        <w:pStyle w:val="Paragraphedeliste"/>
        <w:rPr>
          <w:rFonts w:cs="Arial"/>
          <w:szCs w:val="21"/>
        </w:rPr>
      </w:pPr>
    </w:p>
    <w:p w14:paraId="74017113" w14:textId="77777777" w:rsidR="009021F1" w:rsidRPr="009F553E" w:rsidRDefault="009021F1" w:rsidP="009021F1">
      <w:pPr>
        <w:pStyle w:val="Paragraphedeliste"/>
        <w:rPr>
          <w:rFonts w:cs="Arial"/>
          <w:szCs w:val="21"/>
        </w:rPr>
      </w:pPr>
      <w:r w:rsidRPr="009F553E">
        <w:rPr>
          <w:rFonts w:cs="Arial"/>
          <w:szCs w:val="21"/>
        </w:rPr>
        <w:t>Elles vont appuyer la mise en œuvre des activités et mesures élaborées dans le Plan d’action EAS/HS.</w:t>
      </w:r>
    </w:p>
    <w:p w14:paraId="765BE128" w14:textId="77777777" w:rsidR="009021F1" w:rsidRPr="009F553E" w:rsidRDefault="009021F1" w:rsidP="009021F1">
      <w:pPr>
        <w:numPr>
          <w:ilvl w:val="0"/>
          <w:numId w:val="26"/>
        </w:numPr>
        <w:ind w:right="-154"/>
        <w:rPr>
          <w:rFonts w:cs="Arial"/>
          <w:i/>
          <w:szCs w:val="21"/>
        </w:rPr>
      </w:pPr>
      <w:r w:rsidRPr="009F553E">
        <w:rPr>
          <w:rFonts w:cs="Arial"/>
          <w:i/>
          <w:szCs w:val="21"/>
        </w:rPr>
        <w:t>Mission de contrôle</w:t>
      </w:r>
    </w:p>
    <w:p w14:paraId="3DD9B417" w14:textId="77777777" w:rsidR="009021F1" w:rsidRPr="009F553E" w:rsidRDefault="009021F1" w:rsidP="009021F1">
      <w:pPr>
        <w:pStyle w:val="Paragraphedeliste"/>
        <w:rPr>
          <w:rFonts w:cs="Arial"/>
          <w:szCs w:val="21"/>
        </w:rPr>
      </w:pPr>
    </w:p>
    <w:p w14:paraId="63DEBA3C" w14:textId="77777777" w:rsidR="009021F1" w:rsidRPr="009F553E" w:rsidRDefault="009021F1" w:rsidP="009021F1">
      <w:pPr>
        <w:pStyle w:val="Paragraphedeliste"/>
        <w:rPr>
          <w:rFonts w:cs="Arial"/>
          <w:szCs w:val="21"/>
        </w:rPr>
      </w:pPr>
      <w:r w:rsidRPr="009F553E">
        <w:rPr>
          <w:rFonts w:cs="Arial"/>
          <w:szCs w:val="21"/>
        </w:rPr>
        <w:t>Elle doit assurer le contrôle de l’effectivité et de l’efficience de l’exécution des mesures environnementales et sociales et du respect des directives et autres prescriptions environnementales contenues dans les marchés de travaux.</w:t>
      </w:r>
    </w:p>
    <w:p w14:paraId="729B6E81" w14:textId="77777777" w:rsidR="009021F1" w:rsidRPr="009F553E" w:rsidRDefault="009021F1" w:rsidP="009021F1">
      <w:pPr>
        <w:ind w:right="-154"/>
        <w:rPr>
          <w:rFonts w:cs="Arial"/>
          <w:szCs w:val="21"/>
        </w:rPr>
      </w:pPr>
    </w:p>
    <w:p w14:paraId="4FEB3B7B" w14:textId="77777777" w:rsidR="009021F1" w:rsidRPr="009F553E" w:rsidRDefault="009021F1" w:rsidP="009021F1">
      <w:pPr>
        <w:numPr>
          <w:ilvl w:val="0"/>
          <w:numId w:val="26"/>
        </w:numPr>
        <w:ind w:right="-154"/>
        <w:rPr>
          <w:rFonts w:cs="Arial"/>
          <w:i/>
          <w:szCs w:val="21"/>
        </w:rPr>
      </w:pPr>
      <w:r w:rsidRPr="009F553E">
        <w:rPr>
          <w:rFonts w:cs="Arial"/>
          <w:i/>
          <w:szCs w:val="21"/>
        </w:rPr>
        <w:t>La population des provinces ciblées par le Projet</w:t>
      </w:r>
    </w:p>
    <w:p w14:paraId="0E55B7D3" w14:textId="77777777" w:rsidR="009021F1" w:rsidRPr="009F553E" w:rsidRDefault="009021F1" w:rsidP="009021F1">
      <w:pPr>
        <w:pStyle w:val="Paragraphedeliste"/>
        <w:rPr>
          <w:rFonts w:cs="Arial"/>
          <w:szCs w:val="21"/>
        </w:rPr>
      </w:pPr>
    </w:p>
    <w:p w14:paraId="0979E0D6" w14:textId="77777777" w:rsidR="009021F1" w:rsidRPr="009F553E" w:rsidRDefault="009021F1" w:rsidP="009021F1">
      <w:pPr>
        <w:pStyle w:val="Paragraphedeliste"/>
        <w:rPr>
          <w:rFonts w:cs="Arial"/>
          <w:i/>
          <w:szCs w:val="21"/>
        </w:rPr>
      </w:pPr>
      <w:r w:rsidRPr="009F553E">
        <w:rPr>
          <w:rFonts w:cs="Arial"/>
          <w:i/>
          <w:szCs w:val="21"/>
        </w:rPr>
        <w:t xml:space="preserve">Association des producteurs/productrices et coopératives </w:t>
      </w:r>
    </w:p>
    <w:p w14:paraId="23B33AA6" w14:textId="77777777" w:rsidR="009021F1" w:rsidRPr="009F553E" w:rsidRDefault="009021F1" w:rsidP="009021F1">
      <w:pPr>
        <w:pStyle w:val="Paragraphedeliste"/>
        <w:rPr>
          <w:rFonts w:cs="Arial"/>
          <w:szCs w:val="21"/>
        </w:rPr>
      </w:pPr>
    </w:p>
    <w:p w14:paraId="2DDDC208" w14:textId="77777777" w:rsidR="009021F1" w:rsidRPr="009F553E" w:rsidRDefault="009021F1" w:rsidP="009021F1">
      <w:pPr>
        <w:pStyle w:val="Paragraphedeliste"/>
        <w:rPr>
          <w:rFonts w:cs="Arial"/>
          <w:szCs w:val="21"/>
        </w:rPr>
      </w:pPr>
      <w:r w:rsidRPr="009F553E">
        <w:rPr>
          <w:rFonts w:cs="Arial"/>
          <w:szCs w:val="21"/>
        </w:rPr>
        <w:t>Etant des associations autonomes de personnes volontairement réunies pour satisfaire leurs aspirations et besoins économiques, sociaux et culturels communs au moyen d’une entreprise dont la propriété est collective et où le pouvoir est exercé démocratiquement, elles vont procéder à l’encadrement des petits exploitants agricoles et promouvoir les intérêts de ses membres pendant la mise en œuvre du PNDA.</w:t>
      </w:r>
    </w:p>
    <w:p w14:paraId="2F696A93" w14:textId="77777777" w:rsidR="009021F1" w:rsidRPr="009F553E" w:rsidRDefault="009021F1" w:rsidP="009021F1">
      <w:pPr>
        <w:pStyle w:val="Paragraphedeliste"/>
        <w:rPr>
          <w:rFonts w:cs="Arial"/>
          <w:szCs w:val="21"/>
        </w:rPr>
      </w:pPr>
    </w:p>
    <w:p w14:paraId="7A2A4FAF" w14:textId="77777777" w:rsidR="009021F1" w:rsidRPr="009F553E" w:rsidRDefault="009021F1" w:rsidP="009021F1">
      <w:pPr>
        <w:pStyle w:val="Paragraphedeliste"/>
        <w:rPr>
          <w:rFonts w:cs="Arial"/>
          <w:szCs w:val="21"/>
        </w:rPr>
      </w:pPr>
      <w:r w:rsidRPr="009F553E">
        <w:rPr>
          <w:rFonts w:cs="Arial"/>
          <w:szCs w:val="21"/>
        </w:rPr>
        <w:t>Elles vont participer également aux séances d’information, de sensibilisation et de mobilisation sociale pour une adhésion et un changement de comportement autour des activités du Projet.</w:t>
      </w:r>
    </w:p>
    <w:p w14:paraId="443FD4F3" w14:textId="77777777" w:rsidR="009021F1" w:rsidRPr="009F553E" w:rsidRDefault="009021F1" w:rsidP="009021F1">
      <w:pPr>
        <w:pStyle w:val="Paragraphedeliste"/>
        <w:rPr>
          <w:rFonts w:cs="Arial"/>
          <w:szCs w:val="21"/>
        </w:rPr>
      </w:pPr>
    </w:p>
    <w:p w14:paraId="5FD9492A" w14:textId="77777777" w:rsidR="009021F1" w:rsidRPr="009F553E" w:rsidRDefault="009021F1" w:rsidP="009021F1">
      <w:pPr>
        <w:numPr>
          <w:ilvl w:val="0"/>
          <w:numId w:val="26"/>
        </w:numPr>
        <w:rPr>
          <w:rFonts w:cs="Arial"/>
          <w:szCs w:val="21"/>
        </w:rPr>
      </w:pPr>
      <w:r w:rsidRPr="009F553E">
        <w:rPr>
          <w:rFonts w:cs="Arial"/>
          <w:i/>
          <w:szCs w:val="21"/>
        </w:rPr>
        <w:t xml:space="preserve">Les ONG et la Société Civile : </w:t>
      </w:r>
      <w:r w:rsidRPr="009F553E">
        <w:rPr>
          <w:rFonts w:cs="Arial"/>
          <w:szCs w:val="21"/>
        </w:rPr>
        <w:t xml:space="preserve">Les ONG locales de prévention et réponse aux VBG et de lutte contre la COVID-19, les associations paysannes et autres organisations environnementales de la Société Civile pourront aussi participer à informer, éduquer et conscientiser la population sur les aspects environnementaux et sociaux ainsi que ceux liés à l’EAS/HS et au COVID-19 pendant la mise en œuvre du Projet, mais aussi au suivi de la mise en œuvre des mesures du CGES. </w:t>
      </w:r>
    </w:p>
    <w:p w14:paraId="2DD8B6C3" w14:textId="77777777" w:rsidR="009021F1" w:rsidRPr="009F553E" w:rsidRDefault="009021F1" w:rsidP="009021F1">
      <w:pPr>
        <w:spacing w:line="240" w:lineRule="auto"/>
        <w:ind w:left="1276" w:hanging="1276"/>
        <w:jc w:val="left"/>
        <w:rPr>
          <w:rFonts w:cs="Arial"/>
          <w:szCs w:val="21"/>
        </w:rPr>
      </w:pPr>
      <w:r w:rsidRPr="009F553E">
        <w:rPr>
          <w:rFonts w:eastAsia="Calibri" w:cs="Arial"/>
          <w:bCs/>
          <w:szCs w:val="21"/>
          <w:lang w:eastAsia="en-US"/>
        </w:rPr>
        <w:br w:type="page"/>
      </w:r>
      <w:r w:rsidRPr="009F553E">
        <w:rPr>
          <w:rFonts w:cs="Arial"/>
          <w:szCs w:val="21"/>
        </w:rPr>
        <w:t xml:space="preserve">Tableau </w:t>
      </w:r>
      <w:r w:rsidRPr="009F553E">
        <w:rPr>
          <w:rFonts w:cs="Arial"/>
          <w:szCs w:val="21"/>
        </w:rPr>
        <w:fldChar w:fldCharType="begin"/>
      </w:r>
      <w:r w:rsidRPr="009F553E">
        <w:rPr>
          <w:rFonts w:cs="Arial"/>
          <w:szCs w:val="21"/>
        </w:rPr>
        <w:instrText xml:space="preserve"> SEQ Tableau \* ARABIC </w:instrText>
      </w:r>
      <w:r w:rsidRPr="009F553E">
        <w:rPr>
          <w:rFonts w:cs="Arial"/>
          <w:szCs w:val="21"/>
        </w:rPr>
        <w:fldChar w:fldCharType="separate"/>
      </w:r>
      <w:r>
        <w:rPr>
          <w:rFonts w:cs="Arial"/>
          <w:noProof/>
          <w:szCs w:val="21"/>
        </w:rPr>
        <w:t>35</w:t>
      </w:r>
      <w:r w:rsidRPr="009F553E">
        <w:rPr>
          <w:rFonts w:cs="Arial"/>
          <w:szCs w:val="21"/>
        </w:rPr>
        <w:fldChar w:fldCharType="end"/>
      </w:r>
      <w:r w:rsidRPr="009F553E">
        <w:rPr>
          <w:rFonts w:cs="Arial"/>
          <w:szCs w:val="21"/>
        </w:rPr>
        <w:t>.</w:t>
      </w:r>
      <w:r w:rsidRPr="009F553E">
        <w:rPr>
          <w:rFonts w:cs="Arial"/>
          <w:bCs/>
          <w:szCs w:val="21"/>
        </w:rPr>
        <w:t xml:space="preserve"> </w:t>
      </w:r>
      <w:r w:rsidRPr="009F553E">
        <w:rPr>
          <w:rFonts w:cs="Arial"/>
          <w:szCs w:val="21"/>
        </w:rPr>
        <w:t xml:space="preserve"> Synthèse des capacités de gestion environnementale et sociale des acteurs du Projet</w:t>
      </w:r>
    </w:p>
    <w:p w14:paraId="6DE81CE5" w14:textId="77777777" w:rsidR="009021F1" w:rsidRPr="009F553E" w:rsidRDefault="009021F1" w:rsidP="009021F1">
      <w:pPr>
        <w:pStyle w:val="WB-Numbered"/>
        <w:numPr>
          <w:ilvl w:val="0"/>
          <w:numId w:val="0"/>
        </w:numPr>
        <w:spacing w:after="0"/>
        <w:rPr>
          <w:rFonts w:ascii="Arial" w:hAnsi="Arial" w:cs="Arial"/>
          <w:sz w:val="21"/>
          <w:szCs w:val="21"/>
          <w:lang w:val="fr-FR"/>
        </w:rPr>
      </w:pPr>
    </w:p>
    <w:tbl>
      <w:tblPr>
        <w:tblW w:w="989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2980"/>
        <w:gridCol w:w="2456"/>
        <w:gridCol w:w="2666"/>
      </w:tblGrid>
      <w:tr w:rsidR="009021F1" w:rsidRPr="00982564" w14:paraId="09EBA8FE" w14:textId="77777777" w:rsidTr="00E637E3">
        <w:trPr>
          <w:cantSplit/>
          <w:trHeight w:val="290"/>
          <w:tblHeader/>
        </w:trPr>
        <w:tc>
          <w:tcPr>
            <w:tcW w:w="1794" w:type="dxa"/>
            <w:vMerge w:val="restart"/>
            <w:shd w:val="clear" w:color="auto" w:fill="BDD6EE"/>
            <w:vAlign w:val="center"/>
            <w:hideMark/>
          </w:tcPr>
          <w:p w14:paraId="7CA97705" w14:textId="77777777" w:rsidR="009021F1" w:rsidRPr="00000E66" w:rsidRDefault="009021F1" w:rsidP="00E637E3">
            <w:pPr>
              <w:jc w:val="center"/>
              <w:rPr>
                <w:rFonts w:cs="Arial"/>
                <w:color w:val="000000"/>
                <w:sz w:val="20"/>
                <w:szCs w:val="20"/>
              </w:rPr>
            </w:pPr>
            <w:r w:rsidRPr="00000E66">
              <w:rPr>
                <w:rFonts w:cs="Arial"/>
                <w:color w:val="000000"/>
                <w:sz w:val="20"/>
                <w:szCs w:val="20"/>
              </w:rPr>
              <w:t>Acteurs</w:t>
            </w:r>
          </w:p>
        </w:tc>
        <w:tc>
          <w:tcPr>
            <w:tcW w:w="5436" w:type="dxa"/>
            <w:gridSpan w:val="2"/>
            <w:shd w:val="clear" w:color="auto" w:fill="BDD6EE"/>
            <w:vAlign w:val="center"/>
            <w:hideMark/>
          </w:tcPr>
          <w:p w14:paraId="0C480882" w14:textId="77777777" w:rsidR="009021F1" w:rsidRPr="00000E66" w:rsidRDefault="009021F1" w:rsidP="00E637E3">
            <w:pPr>
              <w:jc w:val="center"/>
              <w:rPr>
                <w:rFonts w:cs="Arial"/>
                <w:color w:val="000000"/>
                <w:sz w:val="20"/>
                <w:szCs w:val="20"/>
              </w:rPr>
            </w:pPr>
            <w:r w:rsidRPr="00000E66">
              <w:rPr>
                <w:rFonts w:cs="Arial"/>
                <w:color w:val="000000"/>
                <w:sz w:val="20"/>
                <w:szCs w:val="20"/>
              </w:rPr>
              <w:t>Capacités</w:t>
            </w:r>
          </w:p>
        </w:tc>
        <w:tc>
          <w:tcPr>
            <w:tcW w:w="2666" w:type="dxa"/>
            <w:vMerge w:val="restart"/>
            <w:shd w:val="clear" w:color="auto" w:fill="BDD6EE"/>
            <w:vAlign w:val="center"/>
            <w:hideMark/>
          </w:tcPr>
          <w:p w14:paraId="427B2949" w14:textId="77777777" w:rsidR="009021F1" w:rsidRPr="00000E66" w:rsidRDefault="009021F1" w:rsidP="00E637E3">
            <w:pPr>
              <w:jc w:val="center"/>
              <w:rPr>
                <w:rFonts w:cs="Arial"/>
                <w:color w:val="000000"/>
                <w:sz w:val="20"/>
                <w:szCs w:val="20"/>
              </w:rPr>
            </w:pPr>
            <w:r w:rsidRPr="00000E66">
              <w:rPr>
                <w:rFonts w:cs="Arial"/>
                <w:color w:val="000000"/>
                <w:sz w:val="20"/>
                <w:szCs w:val="20"/>
              </w:rPr>
              <w:t>Propositions</w:t>
            </w:r>
          </w:p>
        </w:tc>
      </w:tr>
      <w:tr w:rsidR="009021F1" w:rsidRPr="00982564" w14:paraId="23E8A622" w14:textId="77777777" w:rsidTr="00E637E3">
        <w:trPr>
          <w:trHeight w:val="290"/>
          <w:tblHeader/>
        </w:trPr>
        <w:tc>
          <w:tcPr>
            <w:tcW w:w="1794" w:type="dxa"/>
            <w:vMerge/>
            <w:vAlign w:val="center"/>
            <w:hideMark/>
          </w:tcPr>
          <w:p w14:paraId="30BED916" w14:textId="77777777" w:rsidR="009021F1" w:rsidRPr="00000E66" w:rsidRDefault="009021F1" w:rsidP="00E637E3">
            <w:pPr>
              <w:rPr>
                <w:rFonts w:cs="Arial"/>
                <w:color w:val="000000"/>
                <w:sz w:val="20"/>
                <w:szCs w:val="20"/>
              </w:rPr>
            </w:pPr>
          </w:p>
        </w:tc>
        <w:tc>
          <w:tcPr>
            <w:tcW w:w="2980" w:type="dxa"/>
            <w:shd w:val="clear" w:color="auto" w:fill="BDD6EE"/>
            <w:vAlign w:val="center"/>
            <w:hideMark/>
          </w:tcPr>
          <w:p w14:paraId="249AFF67" w14:textId="77777777" w:rsidR="009021F1" w:rsidRPr="00000E66" w:rsidRDefault="009021F1" w:rsidP="00E637E3">
            <w:pPr>
              <w:jc w:val="center"/>
              <w:rPr>
                <w:rFonts w:cs="Arial"/>
                <w:color w:val="000000"/>
                <w:sz w:val="20"/>
                <w:szCs w:val="20"/>
              </w:rPr>
            </w:pPr>
            <w:r w:rsidRPr="00000E66">
              <w:rPr>
                <w:rFonts w:cs="Arial"/>
                <w:color w:val="000000"/>
                <w:sz w:val="20"/>
                <w:szCs w:val="20"/>
              </w:rPr>
              <w:t>Atouts</w:t>
            </w:r>
          </w:p>
        </w:tc>
        <w:tc>
          <w:tcPr>
            <w:tcW w:w="2456" w:type="dxa"/>
            <w:shd w:val="clear" w:color="auto" w:fill="BDD6EE"/>
            <w:vAlign w:val="center"/>
            <w:hideMark/>
          </w:tcPr>
          <w:p w14:paraId="6944E729" w14:textId="77777777" w:rsidR="009021F1" w:rsidRPr="00000E66" w:rsidRDefault="009021F1" w:rsidP="00E637E3">
            <w:pPr>
              <w:jc w:val="center"/>
              <w:rPr>
                <w:rFonts w:cs="Arial"/>
                <w:color w:val="000000"/>
                <w:sz w:val="20"/>
                <w:szCs w:val="20"/>
              </w:rPr>
            </w:pPr>
            <w:r w:rsidRPr="00000E66">
              <w:rPr>
                <w:rFonts w:cs="Arial"/>
                <w:color w:val="000000"/>
                <w:sz w:val="20"/>
                <w:szCs w:val="20"/>
              </w:rPr>
              <w:t>Limites</w:t>
            </w:r>
          </w:p>
        </w:tc>
        <w:tc>
          <w:tcPr>
            <w:tcW w:w="2666" w:type="dxa"/>
            <w:vMerge/>
            <w:shd w:val="clear" w:color="auto" w:fill="BDD6EE"/>
            <w:vAlign w:val="center"/>
            <w:hideMark/>
          </w:tcPr>
          <w:p w14:paraId="1364FA72" w14:textId="77777777" w:rsidR="009021F1" w:rsidRPr="00000E66" w:rsidRDefault="009021F1" w:rsidP="00E637E3">
            <w:pPr>
              <w:rPr>
                <w:rFonts w:cs="Arial"/>
                <w:color w:val="000000"/>
                <w:sz w:val="20"/>
                <w:szCs w:val="20"/>
              </w:rPr>
            </w:pPr>
          </w:p>
        </w:tc>
      </w:tr>
      <w:tr w:rsidR="009021F1" w:rsidRPr="00982564" w14:paraId="71FFFFAD" w14:textId="77777777" w:rsidTr="00E637E3">
        <w:trPr>
          <w:trHeight w:val="926"/>
        </w:trPr>
        <w:tc>
          <w:tcPr>
            <w:tcW w:w="1794" w:type="dxa"/>
            <w:shd w:val="clear" w:color="auto" w:fill="auto"/>
            <w:vAlign w:val="center"/>
            <w:hideMark/>
          </w:tcPr>
          <w:p w14:paraId="2F3A1B1A" w14:textId="77777777" w:rsidR="009021F1" w:rsidRPr="00000E66" w:rsidRDefault="009021F1" w:rsidP="00E637E3">
            <w:pPr>
              <w:jc w:val="left"/>
              <w:rPr>
                <w:rFonts w:cs="Arial"/>
                <w:color w:val="000000"/>
                <w:sz w:val="20"/>
                <w:szCs w:val="20"/>
                <w:highlight w:val="yellow"/>
              </w:rPr>
            </w:pPr>
            <w:r w:rsidRPr="00000E66">
              <w:rPr>
                <w:rFonts w:cs="Arial"/>
                <w:color w:val="000000"/>
                <w:sz w:val="20"/>
                <w:szCs w:val="20"/>
              </w:rPr>
              <w:t>UNCP</w:t>
            </w:r>
          </w:p>
        </w:tc>
        <w:tc>
          <w:tcPr>
            <w:tcW w:w="2980" w:type="dxa"/>
            <w:shd w:val="clear" w:color="auto" w:fill="auto"/>
            <w:vAlign w:val="center"/>
            <w:hideMark/>
          </w:tcPr>
          <w:p w14:paraId="632E897D" w14:textId="77777777" w:rsidR="009021F1" w:rsidRPr="00000E66" w:rsidRDefault="009021F1" w:rsidP="00E637E3">
            <w:pPr>
              <w:jc w:val="left"/>
              <w:rPr>
                <w:rFonts w:cs="Arial"/>
                <w:color w:val="000000"/>
                <w:sz w:val="20"/>
                <w:szCs w:val="20"/>
                <w:highlight w:val="yellow"/>
              </w:rPr>
            </w:pPr>
            <w:r w:rsidRPr="00000E66">
              <w:rPr>
                <w:rFonts w:cs="Arial"/>
                <w:color w:val="000000"/>
                <w:sz w:val="20"/>
                <w:szCs w:val="20"/>
              </w:rPr>
              <w:t>Le PNDA a mis en place une Unité de gestion Environnementale et Sociale composée de trois Spécialistes en Sauvegardes (Environnement, Social et Violences Basées sur le Genre)</w:t>
            </w:r>
          </w:p>
        </w:tc>
        <w:tc>
          <w:tcPr>
            <w:tcW w:w="2456" w:type="dxa"/>
            <w:shd w:val="clear" w:color="auto" w:fill="auto"/>
            <w:vAlign w:val="center"/>
          </w:tcPr>
          <w:p w14:paraId="0B5D6079" w14:textId="77777777" w:rsidR="009021F1" w:rsidRPr="00000E66" w:rsidRDefault="009021F1" w:rsidP="00E637E3">
            <w:pPr>
              <w:pStyle w:val="Paragraphedeliste"/>
              <w:numPr>
                <w:ilvl w:val="0"/>
                <w:numId w:val="21"/>
              </w:numPr>
              <w:ind w:left="109" w:hanging="109"/>
              <w:jc w:val="left"/>
              <w:rPr>
                <w:rFonts w:cs="Arial"/>
                <w:color w:val="000000"/>
                <w:sz w:val="20"/>
                <w:szCs w:val="20"/>
              </w:rPr>
            </w:pPr>
            <w:r w:rsidRPr="00000E66">
              <w:rPr>
                <w:rFonts w:cs="Arial"/>
                <w:color w:val="000000"/>
                <w:sz w:val="20"/>
                <w:szCs w:val="20"/>
              </w:rPr>
              <w:t>Connaissance moyenne sur le nouveau Cadre Environnemental et Social de la Banque Mondiale</w:t>
            </w:r>
          </w:p>
          <w:p w14:paraId="184AB031" w14:textId="77777777" w:rsidR="009021F1" w:rsidRPr="00000E66" w:rsidRDefault="009021F1" w:rsidP="00E637E3">
            <w:pPr>
              <w:jc w:val="left"/>
              <w:rPr>
                <w:rFonts w:cs="Arial"/>
                <w:color w:val="000000"/>
                <w:sz w:val="20"/>
                <w:szCs w:val="20"/>
              </w:rPr>
            </w:pPr>
          </w:p>
        </w:tc>
        <w:tc>
          <w:tcPr>
            <w:tcW w:w="2666" w:type="dxa"/>
            <w:shd w:val="clear" w:color="auto" w:fill="auto"/>
            <w:vAlign w:val="center"/>
          </w:tcPr>
          <w:p w14:paraId="0455FE0E" w14:textId="77777777" w:rsidR="009021F1" w:rsidRPr="00000E66" w:rsidRDefault="009021F1" w:rsidP="00E637E3">
            <w:pPr>
              <w:pStyle w:val="Paragraphedeliste"/>
              <w:numPr>
                <w:ilvl w:val="0"/>
                <w:numId w:val="21"/>
              </w:numPr>
              <w:ind w:left="109" w:hanging="109"/>
              <w:jc w:val="left"/>
              <w:rPr>
                <w:rFonts w:cs="Arial"/>
                <w:color w:val="000000"/>
                <w:sz w:val="20"/>
                <w:szCs w:val="20"/>
              </w:rPr>
            </w:pPr>
            <w:r w:rsidRPr="00000E66">
              <w:rPr>
                <w:rFonts w:cs="Arial"/>
                <w:color w:val="000000"/>
                <w:sz w:val="20"/>
                <w:szCs w:val="20"/>
              </w:rPr>
              <w:t>Renforcer leurs capacités sur le nouveau Cadre Environnemental et Social de la Banque Mondiale, y compris l’atténuation des risques d’EAS/HS liés au projet et les notions concernant la prévention et la réponse à l’EAS/HS</w:t>
            </w:r>
          </w:p>
        </w:tc>
      </w:tr>
      <w:tr w:rsidR="009021F1" w:rsidRPr="00982564" w14:paraId="030B6A7F" w14:textId="77777777" w:rsidTr="00E637E3">
        <w:trPr>
          <w:trHeight w:val="710"/>
        </w:trPr>
        <w:tc>
          <w:tcPr>
            <w:tcW w:w="1794" w:type="dxa"/>
            <w:shd w:val="clear" w:color="auto" w:fill="auto"/>
            <w:vAlign w:val="center"/>
            <w:hideMark/>
          </w:tcPr>
          <w:p w14:paraId="05009094" w14:textId="77777777" w:rsidR="009021F1" w:rsidRPr="00000E66" w:rsidRDefault="009021F1" w:rsidP="00E637E3">
            <w:pPr>
              <w:rPr>
                <w:rFonts w:cs="Arial"/>
                <w:color w:val="000000"/>
                <w:sz w:val="20"/>
                <w:szCs w:val="20"/>
              </w:rPr>
            </w:pPr>
            <w:r w:rsidRPr="00000E66">
              <w:rPr>
                <w:rFonts w:cs="Arial"/>
                <w:color w:val="000000"/>
                <w:sz w:val="20"/>
                <w:szCs w:val="20"/>
              </w:rPr>
              <w:t>ACE</w:t>
            </w:r>
          </w:p>
        </w:tc>
        <w:tc>
          <w:tcPr>
            <w:tcW w:w="2980" w:type="dxa"/>
            <w:shd w:val="clear" w:color="auto" w:fill="auto"/>
            <w:vAlign w:val="center"/>
            <w:hideMark/>
          </w:tcPr>
          <w:p w14:paraId="01B733A5" w14:textId="77777777" w:rsidR="009021F1" w:rsidRPr="00000E66" w:rsidRDefault="009021F1" w:rsidP="00E637E3">
            <w:pPr>
              <w:jc w:val="left"/>
              <w:rPr>
                <w:rFonts w:cs="Arial"/>
                <w:color w:val="000000"/>
                <w:sz w:val="20"/>
                <w:szCs w:val="20"/>
              </w:rPr>
            </w:pPr>
            <w:r w:rsidRPr="00000E66">
              <w:rPr>
                <w:rFonts w:cs="Arial"/>
                <w:color w:val="000000"/>
                <w:sz w:val="20"/>
                <w:szCs w:val="20"/>
              </w:rPr>
              <w:t>Existence des cadres maitrisant les outils d’évaluation environnementales et sociales nationales et de la Banque Mondiale.</w:t>
            </w:r>
          </w:p>
        </w:tc>
        <w:tc>
          <w:tcPr>
            <w:tcW w:w="2456" w:type="dxa"/>
            <w:shd w:val="clear" w:color="auto" w:fill="auto"/>
            <w:vAlign w:val="center"/>
            <w:hideMark/>
          </w:tcPr>
          <w:p w14:paraId="6C44E50E" w14:textId="77777777" w:rsidR="009021F1" w:rsidRPr="00000E66" w:rsidRDefault="009021F1" w:rsidP="00E637E3">
            <w:pPr>
              <w:pStyle w:val="Paragraphedeliste"/>
              <w:numPr>
                <w:ilvl w:val="0"/>
                <w:numId w:val="21"/>
              </w:numPr>
              <w:ind w:left="109" w:hanging="109"/>
              <w:jc w:val="left"/>
              <w:rPr>
                <w:rFonts w:cs="Arial"/>
                <w:color w:val="000000"/>
                <w:sz w:val="20"/>
                <w:szCs w:val="20"/>
              </w:rPr>
            </w:pPr>
            <w:r w:rsidRPr="00000E66">
              <w:rPr>
                <w:rFonts w:cs="Arial"/>
                <w:color w:val="000000"/>
                <w:sz w:val="20"/>
                <w:szCs w:val="20"/>
              </w:rPr>
              <w:t>Moyens financiers et logistiques insuffisants ;</w:t>
            </w:r>
          </w:p>
          <w:p w14:paraId="2A14390F" w14:textId="77777777" w:rsidR="009021F1" w:rsidRPr="00000E66" w:rsidRDefault="009021F1" w:rsidP="00E637E3">
            <w:pPr>
              <w:pStyle w:val="Paragraphedeliste"/>
              <w:numPr>
                <w:ilvl w:val="0"/>
                <w:numId w:val="21"/>
              </w:numPr>
              <w:ind w:left="109" w:hanging="109"/>
              <w:jc w:val="left"/>
              <w:rPr>
                <w:rFonts w:cs="Arial"/>
                <w:color w:val="000000"/>
                <w:sz w:val="20"/>
                <w:szCs w:val="20"/>
              </w:rPr>
            </w:pPr>
            <w:r w:rsidRPr="00000E66">
              <w:rPr>
                <w:rFonts w:cs="Arial"/>
                <w:color w:val="000000"/>
                <w:sz w:val="20"/>
                <w:szCs w:val="20"/>
              </w:rPr>
              <w:t>Insuffisance de capacités techniques et des normes environnementales et sociales par rapport au nouveau CES ;</w:t>
            </w:r>
          </w:p>
          <w:p w14:paraId="64DDBF4D" w14:textId="77777777" w:rsidR="009021F1" w:rsidRPr="00000E66" w:rsidRDefault="009021F1" w:rsidP="00E637E3">
            <w:pPr>
              <w:pStyle w:val="Paragraphedeliste"/>
              <w:numPr>
                <w:ilvl w:val="0"/>
                <w:numId w:val="21"/>
              </w:numPr>
              <w:ind w:left="109" w:hanging="109"/>
              <w:jc w:val="left"/>
              <w:rPr>
                <w:rFonts w:cs="Arial"/>
                <w:color w:val="000000"/>
                <w:sz w:val="20"/>
                <w:szCs w:val="20"/>
              </w:rPr>
            </w:pPr>
            <w:r w:rsidRPr="00000E66">
              <w:rPr>
                <w:rFonts w:cs="Arial"/>
                <w:color w:val="000000"/>
                <w:sz w:val="20"/>
                <w:szCs w:val="20"/>
              </w:rPr>
              <w:t>Absence de suivi régulier de la mise en œuvre des PGES.</w:t>
            </w:r>
          </w:p>
        </w:tc>
        <w:tc>
          <w:tcPr>
            <w:tcW w:w="2666" w:type="dxa"/>
            <w:shd w:val="clear" w:color="auto" w:fill="auto"/>
            <w:vAlign w:val="center"/>
            <w:hideMark/>
          </w:tcPr>
          <w:p w14:paraId="2A00D86C" w14:textId="77777777" w:rsidR="009021F1" w:rsidRPr="00000E66" w:rsidRDefault="009021F1" w:rsidP="00E637E3">
            <w:pPr>
              <w:pStyle w:val="Paragraphedeliste"/>
              <w:numPr>
                <w:ilvl w:val="0"/>
                <w:numId w:val="21"/>
              </w:numPr>
              <w:ind w:left="109" w:hanging="109"/>
              <w:jc w:val="left"/>
              <w:rPr>
                <w:rFonts w:cs="Arial"/>
                <w:color w:val="000000"/>
                <w:sz w:val="20"/>
                <w:szCs w:val="20"/>
              </w:rPr>
            </w:pPr>
            <w:r w:rsidRPr="00000E66">
              <w:rPr>
                <w:rFonts w:cs="Arial"/>
                <w:color w:val="000000"/>
                <w:sz w:val="20"/>
                <w:szCs w:val="20"/>
              </w:rPr>
              <w:t>Mettre à la disposition de l’ACE des ressources financières et logistiques nécessaires pour accomplir sa mission de suivi</w:t>
            </w:r>
          </w:p>
          <w:p w14:paraId="7D7B6CD7" w14:textId="77777777" w:rsidR="009021F1" w:rsidRPr="00000E66" w:rsidRDefault="009021F1" w:rsidP="00E637E3">
            <w:pPr>
              <w:pStyle w:val="Paragraphedeliste"/>
              <w:numPr>
                <w:ilvl w:val="0"/>
                <w:numId w:val="21"/>
              </w:numPr>
              <w:ind w:left="109" w:hanging="109"/>
              <w:jc w:val="left"/>
              <w:rPr>
                <w:rFonts w:cs="Arial"/>
                <w:color w:val="000000"/>
                <w:sz w:val="20"/>
                <w:szCs w:val="20"/>
              </w:rPr>
            </w:pPr>
            <w:r w:rsidRPr="00000E66">
              <w:rPr>
                <w:rFonts w:cs="Arial"/>
                <w:color w:val="000000"/>
                <w:sz w:val="20"/>
                <w:szCs w:val="20"/>
              </w:rPr>
              <w:t>Renforcer les capacités des experts de l’ACE par rapport au CES de la Banque Mondiale et de l’EAS/HS et la formation sur la lutte contre la COVID-19</w:t>
            </w:r>
          </w:p>
        </w:tc>
      </w:tr>
      <w:tr w:rsidR="009021F1" w:rsidRPr="00982564" w14:paraId="056F5E71" w14:textId="77777777" w:rsidTr="00E637E3">
        <w:trPr>
          <w:trHeight w:val="710"/>
        </w:trPr>
        <w:tc>
          <w:tcPr>
            <w:tcW w:w="1794" w:type="dxa"/>
            <w:shd w:val="clear" w:color="auto" w:fill="auto"/>
            <w:vAlign w:val="center"/>
          </w:tcPr>
          <w:p w14:paraId="68013D50" w14:textId="77777777" w:rsidR="009021F1" w:rsidRPr="00000E66" w:rsidRDefault="009021F1" w:rsidP="00E637E3">
            <w:pPr>
              <w:rPr>
                <w:rFonts w:cs="Arial"/>
                <w:color w:val="000000"/>
                <w:sz w:val="20"/>
                <w:szCs w:val="20"/>
              </w:rPr>
            </w:pPr>
            <w:r w:rsidRPr="00000E66">
              <w:rPr>
                <w:rFonts w:cs="Arial"/>
                <w:color w:val="000000"/>
                <w:sz w:val="20"/>
                <w:szCs w:val="20"/>
              </w:rPr>
              <w:t>Directions Provinciales de l’Environnement (DPE) et autres Directions impliquées</w:t>
            </w:r>
          </w:p>
        </w:tc>
        <w:tc>
          <w:tcPr>
            <w:tcW w:w="2980" w:type="dxa"/>
            <w:shd w:val="clear" w:color="auto" w:fill="auto"/>
            <w:vAlign w:val="center"/>
          </w:tcPr>
          <w:p w14:paraId="129A023B" w14:textId="77777777" w:rsidR="009021F1" w:rsidRPr="00000E66" w:rsidRDefault="009021F1" w:rsidP="00E637E3">
            <w:pPr>
              <w:jc w:val="left"/>
              <w:rPr>
                <w:rFonts w:cs="Arial"/>
                <w:color w:val="000000"/>
                <w:sz w:val="20"/>
                <w:szCs w:val="20"/>
              </w:rPr>
            </w:pPr>
            <w:r w:rsidRPr="00000E66">
              <w:rPr>
                <w:rFonts w:cs="Arial"/>
                <w:color w:val="000000"/>
                <w:sz w:val="20"/>
                <w:szCs w:val="20"/>
              </w:rPr>
              <w:t>Seules les Directions Provinciales Environnementales ont des atouts qui leur permettent de faire le suivi environnemental et social</w:t>
            </w:r>
          </w:p>
        </w:tc>
        <w:tc>
          <w:tcPr>
            <w:tcW w:w="2456" w:type="dxa"/>
            <w:shd w:val="clear" w:color="auto" w:fill="auto"/>
            <w:vAlign w:val="center"/>
          </w:tcPr>
          <w:p w14:paraId="39544596" w14:textId="77777777" w:rsidR="009021F1" w:rsidRPr="00000E66" w:rsidRDefault="009021F1" w:rsidP="00E637E3">
            <w:pPr>
              <w:pStyle w:val="Paragraphedeliste"/>
              <w:numPr>
                <w:ilvl w:val="0"/>
                <w:numId w:val="21"/>
              </w:numPr>
              <w:ind w:left="109" w:hanging="109"/>
              <w:jc w:val="left"/>
              <w:rPr>
                <w:rFonts w:cs="Arial"/>
                <w:color w:val="000000"/>
                <w:sz w:val="20"/>
                <w:szCs w:val="20"/>
              </w:rPr>
            </w:pPr>
            <w:r w:rsidRPr="00000E66">
              <w:rPr>
                <w:rFonts w:cs="Arial"/>
                <w:color w:val="000000"/>
                <w:sz w:val="20"/>
                <w:szCs w:val="20"/>
              </w:rPr>
              <w:t>Non maitrise des Normes environnementales et sociales de la Banque Mondiale ;</w:t>
            </w:r>
          </w:p>
          <w:p w14:paraId="70FE4F26" w14:textId="77777777" w:rsidR="009021F1" w:rsidRPr="00000E66" w:rsidRDefault="009021F1" w:rsidP="00E637E3">
            <w:pPr>
              <w:pStyle w:val="Paragraphedeliste"/>
              <w:numPr>
                <w:ilvl w:val="0"/>
                <w:numId w:val="21"/>
              </w:numPr>
              <w:ind w:left="109" w:hanging="109"/>
              <w:jc w:val="left"/>
              <w:rPr>
                <w:rFonts w:cs="Arial"/>
                <w:color w:val="000000"/>
                <w:sz w:val="20"/>
                <w:szCs w:val="20"/>
              </w:rPr>
            </w:pPr>
            <w:r w:rsidRPr="00000E66">
              <w:rPr>
                <w:rFonts w:cs="Arial"/>
                <w:color w:val="000000"/>
                <w:sz w:val="20"/>
                <w:szCs w:val="20"/>
              </w:rPr>
              <w:t>Manque de formation pour les autres services techniques ;</w:t>
            </w:r>
          </w:p>
          <w:p w14:paraId="672F65D4" w14:textId="77777777" w:rsidR="009021F1" w:rsidRPr="00000E66" w:rsidRDefault="009021F1" w:rsidP="00E637E3">
            <w:pPr>
              <w:pStyle w:val="Paragraphedeliste"/>
              <w:numPr>
                <w:ilvl w:val="0"/>
                <w:numId w:val="21"/>
              </w:numPr>
              <w:ind w:left="109" w:hanging="109"/>
              <w:jc w:val="left"/>
              <w:rPr>
                <w:rFonts w:cs="Arial"/>
                <w:color w:val="000000"/>
                <w:sz w:val="20"/>
                <w:szCs w:val="20"/>
              </w:rPr>
            </w:pPr>
            <w:r w:rsidRPr="00000E66">
              <w:rPr>
                <w:rFonts w:cs="Arial"/>
                <w:color w:val="000000"/>
                <w:sz w:val="20"/>
                <w:szCs w:val="20"/>
              </w:rPr>
              <w:t>Manque de moyens financiers et logistiques ;</w:t>
            </w:r>
          </w:p>
          <w:p w14:paraId="20626E21" w14:textId="77777777" w:rsidR="009021F1" w:rsidRPr="00000E66" w:rsidRDefault="009021F1" w:rsidP="00E637E3">
            <w:pPr>
              <w:pStyle w:val="Paragraphedeliste"/>
              <w:numPr>
                <w:ilvl w:val="0"/>
                <w:numId w:val="21"/>
              </w:numPr>
              <w:ind w:left="109" w:hanging="109"/>
              <w:rPr>
                <w:rFonts w:cs="Arial"/>
                <w:color w:val="000000"/>
                <w:sz w:val="20"/>
                <w:szCs w:val="20"/>
              </w:rPr>
            </w:pPr>
            <w:r w:rsidRPr="00000E66">
              <w:rPr>
                <w:rFonts w:cs="Arial"/>
                <w:color w:val="000000"/>
                <w:sz w:val="20"/>
                <w:szCs w:val="20"/>
              </w:rPr>
              <w:t>Insuffisance de capacités techniques et des normes environnementales et sociales par rapport au nouveau CES ;</w:t>
            </w:r>
          </w:p>
          <w:p w14:paraId="7B27A1FB" w14:textId="77777777" w:rsidR="009021F1" w:rsidRPr="00000E66" w:rsidRDefault="009021F1" w:rsidP="00E637E3">
            <w:pPr>
              <w:pStyle w:val="Paragraphedeliste"/>
              <w:numPr>
                <w:ilvl w:val="0"/>
                <w:numId w:val="21"/>
              </w:numPr>
              <w:ind w:left="109" w:hanging="109"/>
              <w:jc w:val="left"/>
              <w:rPr>
                <w:rFonts w:cs="Arial"/>
                <w:color w:val="000000"/>
                <w:sz w:val="20"/>
                <w:szCs w:val="20"/>
              </w:rPr>
            </w:pPr>
            <w:r w:rsidRPr="00000E66">
              <w:rPr>
                <w:rFonts w:cs="Arial"/>
                <w:color w:val="000000"/>
                <w:sz w:val="20"/>
                <w:szCs w:val="20"/>
              </w:rPr>
              <w:t>Absence de suivi régulier de la mise en œuvre des PGES.</w:t>
            </w:r>
          </w:p>
        </w:tc>
        <w:tc>
          <w:tcPr>
            <w:tcW w:w="2666" w:type="dxa"/>
            <w:shd w:val="clear" w:color="auto" w:fill="auto"/>
            <w:vAlign w:val="center"/>
          </w:tcPr>
          <w:p w14:paraId="3A7E0AA7" w14:textId="77777777" w:rsidR="009021F1" w:rsidRPr="00000E66" w:rsidRDefault="009021F1" w:rsidP="00E637E3">
            <w:pPr>
              <w:pStyle w:val="Paragraphedeliste"/>
              <w:numPr>
                <w:ilvl w:val="0"/>
                <w:numId w:val="21"/>
              </w:numPr>
              <w:ind w:left="109" w:hanging="109"/>
              <w:jc w:val="left"/>
              <w:rPr>
                <w:rFonts w:cs="Arial"/>
                <w:color w:val="000000"/>
                <w:sz w:val="20"/>
                <w:szCs w:val="20"/>
              </w:rPr>
            </w:pPr>
            <w:r w:rsidRPr="00000E66">
              <w:rPr>
                <w:rFonts w:cs="Arial"/>
                <w:color w:val="000000"/>
                <w:sz w:val="20"/>
                <w:szCs w:val="20"/>
              </w:rPr>
              <w:t>Prévoir dans le Projet des séances de renforcement des capacités sur : la législation nationale, les Normes Environnementales et Sociales de la Banque Mondiale, le screening, le suivi environnemental et social, le mécanisme de gestion des plaintes, etc.</w:t>
            </w:r>
          </w:p>
          <w:p w14:paraId="106B74E0" w14:textId="77777777" w:rsidR="009021F1" w:rsidRPr="00000E66" w:rsidRDefault="009021F1" w:rsidP="00E637E3">
            <w:pPr>
              <w:pStyle w:val="Paragraphedeliste"/>
              <w:numPr>
                <w:ilvl w:val="0"/>
                <w:numId w:val="21"/>
              </w:numPr>
              <w:ind w:left="109" w:hanging="109"/>
              <w:jc w:val="left"/>
              <w:rPr>
                <w:rFonts w:cs="Arial"/>
                <w:color w:val="000000"/>
                <w:sz w:val="20"/>
                <w:szCs w:val="20"/>
              </w:rPr>
            </w:pPr>
            <w:r w:rsidRPr="00000E66">
              <w:rPr>
                <w:rFonts w:cs="Arial"/>
                <w:color w:val="000000"/>
                <w:sz w:val="20"/>
                <w:szCs w:val="20"/>
              </w:rPr>
              <w:t>Formation sur l’EAS/HS, y compris les mesures d’atténuation y afférentes et la gestion de ces plaintes, et la formation sur la lutte contre le COVID-19</w:t>
            </w:r>
          </w:p>
        </w:tc>
      </w:tr>
      <w:tr w:rsidR="009021F1" w:rsidRPr="00982564" w14:paraId="4638792E" w14:textId="77777777" w:rsidTr="00E637E3">
        <w:trPr>
          <w:trHeight w:val="558"/>
        </w:trPr>
        <w:tc>
          <w:tcPr>
            <w:tcW w:w="1794" w:type="dxa"/>
            <w:shd w:val="clear" w:color="auto" w:fill="auto"/>
            <w:vAlign w:val="center"/>
            <w:hideMark/>
          </w:tcPr>
          <w:p w14:paraId="1C86B6D9" w14:textId="77777777" w:rsidR="009021F1" w:rsidRPr="00000E66" w:rsidRDefault="009021F1" w:rsidP="00E637E3">
            <w:pPr>
              <w:rPr>
                <w:rFonts w:cs="Arial"/>
                <w:color w:val="000000"/>
                <w:sz w:val="20"/>
                <w:szCs w:val="20"/>
              </w:rPr>
            </w:pPr>
            <w:r w:rsidRPr="00000E66">
              <w:rPr>
                <w:rFonts w:cs="Arial"/>
                <w:color w:val="000000"/>
                <w:sz w:val="20"/>
                <w:szCs w:val="20"/>
              </w:rPr>
              <w:t>Inspection provinciales de l’Agriculture</w:t>
            </w:r>
          </w:p>
        </w:tc>
        <w:tc>
          <w:tcPr>
            <w:tcW w:w="2980" w:type="dxa"/>
            <w:shd w:val="clear" w:color="auto" w:fill="auto"/>
            <w:vAlign w:val="center"/>
            <w:hideMark/>
          </w:tcPr>
          <w:p w14:paraId="7721533C" w14:textId="77777777" w:rsidR="009021F1" w:rsidRPr="00000E66" w:rsidRDefault="009021F1" w:rsidP="00E637E3">
            <w:pPr>
              <w:jc w:val="left"/>
              <w:rPr>
                <w:rFonts w:cs="Arial"/>
                <w:color w:val="000000"/>
                <w:sz w:val="20"/>
                <w:szCs w:val="20"/>
              </w:rPr>
            </w:pPr>
            <w:r w:rsidRPr="00000E66">
              <w:rPr>
                <w:rFonts w:cs="Arial"/>
                <w:color w:val="000000"/>
                <w:sz w:val="20"/>
                <w:szCs w:val="20"/>
              </w:rPr>
              <w:t>Absence d’un service chargé de l’environnement</w:t>
            </w:r>
          </w:p>
        </w:tc>
        <w:tc>
          <w:tcPr>
            <w:tcW w:w="2456" w:type="dxa"/>
            <w:shd w:val="clear" w:color="auto" w:fill="auto"/>
            <w:vAlign w:val="center"/>
            <w:hideMark/>
          </w:tcPr>
          <w:p w14:paraId="54830BAC" w14:textId="77777777" w:rsidR="009021F1" w:rsidRPr="00000E66" w:rsidRDefault="009021F1" w:rsidP="00E637E3">
            <w:pPr>
              <w:pStyle w:val="Paragraphedeliste"/>
              <w:numPr>
                <w:ilvl w:val="0"/>
                <w:numId w:val="21"/>
              </w:numPr>
              <w:ind w:left="109" w:hanging="109"/>
              <w:jc w:val="left"/>
              <w:rPr>
                <w:rFonts w:cs="Arial"/>
                <w:color w:val="000000"/>
                <w:sz w:val="20"/>
                <w:szCs w:val="20"/>
              </w:rPr>
            </w:pPr>
            <w:r w:rsidRPr="00000E66">
              <w:rPr>
                <w:rFonts w:cs="Arial"/>
                <w:color w:val="000000"/>
                <w:sz w:val="20"/>
                <w:szCs w:val="20"/>
              </w:rPr>
              <w:t xml:space="preserve">Manque de formation des cadres de la Direction Technique en gestion environnementale et suivi des PGES ; </w:t>
            </w:r>
          </w:p>
          <w:p w14:paraId="4263AE76" w14:textId="77777777" w:rsidR="009021F1" w:rsidRPr="00000E66" w:rsidRDefault="009021F1" w:rsidP="00E637E3">
            <w:pPr>
              <w:pStyle w:val="Paragraphedeliste"/>
              <w:numPr>
                <w:ilvl w:val="0"/>
                <w:numId w:val="21"/>
              </w:numPr>
              <w:ind w:left="109" w:hanging="109"/>
              <w:jc w:val="left"/>
              <w:rPr>
                <w:rFonts w:cs="Arial"/>
                <w:color w:val="000000"/>
                <w:sz w:val="20"/>
                <w:szCs w:val="20"/>
              </w:rPr>
            </w:pPr>
            <w:r w:rsidRPr="00000E66">
              <w:rPr>
                <w:rFonts w:cs="Arial"/>
                <w:color w:val="000000"/>
                <w:sz w:val="20"/>
                <w:szCs w:val="20"/>
              </w:rPr>
              <w:t>Non maitrise des Normes Environnementales et Sociales de la Banque Mondiale.</w:t>
            </w:r>
          </w:p>
        </w:tc>
        <w:tc>
          <w:tcPr>
            <w:tcW w:w="2666" w:type="dxa"/>
            <w:shd w:val="clear" w:color="auto" w:fill="auto"/>
            <w:vAlign w:val="center"/>
            <w:hideMark/>
          </w:tcPr>
          <w:p w14:paraId="0528AAB4" w14:textId="77777777" w:rsidR="009021F1" w:rsidRPr="00000E66" w:rsidRDefault="009021F1" w:rsidP="00E637E3">
            <w:pPr>
              <w:pStyle w:val="Paragraphedeliste"/>
              <w:numPr>
                <w:ilvl w:val="0"/>
                <w:numId w:val="21"/>
              </w:numPr>
              <w:ind w:left="109" w:hanging="109"/>
              <w:jc w:val="left"/>
              <w:rPr>
                <w:rFonts w:cs="Arial"/>
                <w:color w:val="000000"/>
                <w:sz w:val="20"/>
                <w:szCs w:val="20"/>
              </w:rPr>
            </w:pPr>
            <w:r w:rsidRPr="00000E66">
              <w:rPr>
                <w:rFonts w:cs="Arial"/>
                <w:color w:val="000000"/>
                <w:sz w:val="20"/>
                <w:szCs w:val="20"/>
              </w:rPr>
              <w:t>Former les cadres des Inspections Provinciales de l’Agriculture dans le domaine de l’environnement, sur la législation nationale et les NES de la Banque Mondiale, le suivi et évaluation environnementale et sociale y compris l’utilisation de technologies intelligentes pour le suivi des risques sécuritaires du Projet</w:t>
            </w:r>
          </w:p>
          <w:p w14:paraId="042979F6" w14:textId="77777777" w:rsidR="009021F1" w:rsidRPr="00000E66" w:rsidRDefault="009021F1" w:rsidP="00E637E3">
            <w:pPr>
              <w:pStyle w:val="Paragraphedeliste"/>
              <w:numPr>
                <w:ilvl w:val="0"/>
                <w:numId w:val="21"/>
              </w:numPr>
              <w:ind w:left="109" w:hanging="109"/>
              <w:jc w:val="left"/>
              <w:rPr>
                <w:rFonts w:cs="Arial"/>
                <w:color w:val="000000"/>
                <w:sz w:val="20"/>
                <w:szCs w:val="20"/>
              </w:rPr>
            </w:pPr>
            <w:r w:rsidRPr="00000E66">
              <w:rPr>
                <w:rFonts w:cs="Arial"/>
                <w:color w:val="000000"/>
                <w:sz w:val="20"/>
                <w:szCs w:val="20"/>
              </w:rPr>
              <w:t>Formation sur l’EAS/HS, y compris les mesures d’atténuation y afférentes et la gestion de ces plaintes, et la formation sur la lutte contre la COVID-19</w:t>
            </w:r>
          </w:p>
        </w:tc>
      </w:tr>
      <w:tr w:rsidR="009021F1" w:rsidRPr="00982564" w14:paraId="5DC435B5" w14:textId="77777777" w:rsidTr="00E637E3">
        <w:trPr>
          <w:cantSplit/>
          <w:trHeight w:val="3000"/>
        </w:trPr>
        <w:tc>
          <w:tcPr>
            <w:tcW w:w="1794" w:type="dxa"/>
            <w:shd w:val="clear" w:color="auto" w:fill="auto"/>
            <w:vAlign w:val="center"/>
            <w:hideMark/>
          </w:tcPr>
          <w:p w14:paraId="7F8DB6FE" w14:textId="77777777" w:rsidR="009021F1" w:rsidRPr="00000E66" w:rsidRDefault="009021F1" w:rsidP="00E637E3">
            <w:pPr>
              <w:rPr>
                <w:rFonts w:cs="Arial"/>
                <w:color w:val="000000"/>
                <w:sz w:val="20"/>
                <w:szCs w:val="20"/>
              </w:rPr>
            </w:pPr>
            <w:r w:rsidRPr="00000E66">
              <w:rPr>
                <w:rFonts w:cs="Arial"/>
                <w:color w:val="000000"/>
                <w:sz w:val="20"/>
                <w:szCs w:val="20"/>
              </w:rPr>
              <w:t>Administration locales (Villes et Territoires, Collectivités et Villages)</w:t>
            </w:r>
          </w:p>
        </w:tc>
        <w:tc>
          <w:tcPr>
            <w:tcW w:w="2980" w:type="dxa"/>
            <w:shd w:val="clear" w:color="auto" w:fill="auto"/>
            <w:vAlign w:val="center"/>
            <w:hideMark/>
          </w:tcPr>
          <w:p w14:paraId="7AB233F1" w14:textId="77777777" w:rsidR="009021F1" w:rsidRPr="00000E66" w:rsidRDefault="009021F1" w:rsidP="00E637E3">
            <w:pPr>
              <w:jc w:val="left"/>
              <w:rPr>
                <w:rFonts w:cs="Arial"/>
                <w:color w:val="000000"/>
                <w:sz w:val="20"/>
                <w:szCs w:val="20"/>
              </w:rPr>
            </w:pPr>
            <w:r w:rsidRPr="00000E66">
              <w:rPr>
                <w:rFonts w:cs="Arial"/>
                <w:color w:val="000000"/>
                <w:sz w:val="20"/>
                <w:szCs w:val="20"/>
              </w:rPr>
              <w:t>Synergie d’action entre les autorités administratives locales et coutumières dans la gestion du régime foncier</w:t>
            </w:r>
          </w:p>
        </w:tc>
        <w:tc>
          <w:tcPr>
            <w:tcW w:w="2456" w:type="dxa"/>
            <w:shd w:val="clear" w:color="auto" w:fill="auto"/>
            <w:vAlign w:val="center"/>
            <w:hideMark/>
          </w:tcPr>
          <w:p w14:paraId="217FA68E" w14:textId="77777777" w:rsidR="009021F1" w:rsidRPr="00000E66" w:rsidRDefault="009021F1" w:rsidP="00E637E3">
            <w:pPr>
              <w:pStyle w:val="Paragraphedeliste"/>
              <w:numPr>
                <w:ilvl w:val="0"/>
                <w:numId w:val="21"/>
              </w:numPr>
              <w:ind w:left="109" w:hanging="109"/>
              <w:jc w:val="left"/>
              <w:rPr>
                <w:rFonts w:cs="Arial"/>
                <w:color w:val="000000"/>
                <w:sz w:val="20"/>
                <w:szCs w:val="20"/>
              </w:rPr>
            </w:pPr>
            <w:r w:rsidRPr="00000E66">
              <w:rPr>
                <w:rFonts w:cs="Arial"/>
                <w:color w:val="000000"/>
                <w:sz w:val="20"/>
                <w:szCs w:val="20"/>
              </w:rPr>
              <w:t xml:space="preserve">Expertise insuffisante par rapport aux missions environnementales ; </w:t>
            </w:r>
          </w:p>
          <w:p w14:paraId="39254EC2" w14:textId="77777777" w:rsidR="009021F1" w:rsidRPr="00000E66" w:rsidRDefault="009021F1" w:rsidP="00E637E3">
            <w:pPr>
              <w:pStyle w:val="Paragraphedeliste"/>
              <w:numPr>
                <w:ilvl w:val="0"/>
                <w:numId w:val="21"/>
              </w:numPr>
              <w:ind w:left="109" w:hanging="109"/>
              <w:jc w:val="left"/>
              <w:rPr>
                <w:rFonts w:cs="Arial"/>
                <w:color w:val="000000"/>
                <w:sz w:val="20"/>
                <w:szCs w:val="20"/>
              </w:rPr>
            </w:pPr>
            <w:r w:rsidRPr="00000E66">
              <w:rPr>
                <w:rFonts w:cs="Arial"/>
                <w:color w:val="000000"/>
                <w:sz w:val="20"/>
                <w:szCs w:val="20"/>
              </w:rPr>
              <w:t xml:space="preserve">Manque de moyens financiers pour la conduite de leurs missions de suivi ; </w:t>
            </w:r>
          </w:p>
          <w:p w14:paraId="674B32A7" w14:textId="77777777" w:rsidR="009021F1" w:rsidRPr="00000E66" w:rsidRDefault="009021F1" w:rsidP="00E637E3">
            <w:pPr>
              <w:pStyle w:val="Paragraphedeliste"/>
              <w:numPr>
                <w:ilvl w:val="0"/>
                <w:numId w:val="21"/>
              </w:numPr>
              <w:ind w:left="109" w:hanging="109"/>
              <w:jc w:val="left"/>
              <w:rPr>
                <w:rFonts w:cs="Arial"/>
                <w:color w:val="000000"/>
                <w:sz w:val="20"/>
                <w:szCs w:val="20"/>
              </w:rPr>
            </w:pPr>
            <w:r w:rsidRPr="00000E66">
              <w:rPr>
                <w:rFonts w:cs="Arial"/>
                <w:color w:val="000000"/>
                <w:sz w:val="20"/>
                <w:szCs w:val="20"/>
              </w:rPr>
              <w:t>Absence de coordination des interventions.</w:t>
            </w:r>
          </w:p>
        </w:tc>
        <w:tc>
          <w:tcPr>
            <w:tcW w:w="2666" w:type="dxa"/>
            <w:shd w:val="clear" w:color="auto" w:fill="auto"/>
            <w:vAlign w:val="center"/>
            <w:hideMark/>
          </w:tcPr>
          <w:p w14:paraId="4AE32A20" w14:textId="77777777" w:rsidR="009021F1" w:rsidRPr="00000E66" w:rsidRDefault="009021F1" w:rsidP="00E637E3">
            <w:pPr>
              <w:pStyle w:val="Paragraphedeliste"/>
              <w:numPr>
                <w:ilvl w:val="0"/>
                <w:numId w:val="21"/>
              </w:numPr>
              <w:ind w:left="109" w:hanging="109"/>
              <w:jc w:val="left"/>
              <w:rPr>
                <w:rFonts w:cs="Arial"/>
                <w:color w:val="000000"/>
                <w:sz w:val="20"/>
                <w:szCs w:val="20"/>
              </w:rPr>
            </w:pPr>
            <w:r w:rsidRPr="00000E66">
              <w:rPr>
                <w:rFonts w:cs="Arial"/>
                <w:color w:val="000000"/>
                <w:sz w:val="20"/>
                <w:szCs w:val="20"/>
              </w:rPr>
              <w:t>Prévoir un budget d’intervention de ces organisations dans le suivi environnemental et social du Projet ;</w:t>
            </w:r>
          </w:p>
          <w:p w14:paraId="07D3F854" w14:textId="77777777" w:rsidR="009021F1" w:rsidRPr="00000E66" w:rsidRDefault="009021F1" w:rsidP="00E637E3">
            <w:pPr>
              <w:pStyle w:val="Paragraphedeliste"/>
              <w:numPr>
                <w:ilvl w:val="0"/>
                <w:numId w:val="21"/>
              </w:numPr>
              <w:ind w:left="109" w:hanging="109"/>
              <w:jc w:val="left"/>
              <w:rPr>
                <w:rFonts w:cs="Arial"/>
                <w:color w:val="000000"/>
                <w:sz w:val="20"/>
                <w:szCs w:val="20"/>
              </w:rPr>
            </w:pPr>
            <w:r w:rsidRPr="00000E66">
              <w:rPr>
                <w:rFonts w:cs="Arial"/>
                <w:color w:val="000000"/>
                <w:sz w:val="20"/>
                <w:szCs w:val="20"/>
              </w:rPr>
              <w:t>Renforcement des capacités des agents territoriaux sur la législation nationale et les NES de la Banque Mondiale, y compris la formation sur l’EAS/HS, incluant les mesures d’atténuation y afférentes et la gestion de ces plaintes, et la formation sur la lutte contre la COVID-19 ;</w:t>
            </w:r>
          </w:p>
          <w:p w14:paraId="69EA54CD" w14:textId="77777777" w:rsidR="009021F1" w:rsidRPr="00000E66" w:rsidRDefault="009021F1" w:rsidP="00E637E3">
            <w:pPr>
              <w:pStyle w:val="Paragraphedeliste"/>
              <w:numPr>
                <w:ilvl w:val="0"/>
                <w:numId w:val="21"/>
              </w:numPr>
              <w:ind w:left="109" w:hanging="109"/>
              <w:jc w:val="left"/>
              <w:rPr>
                <w:rFonts w:cs="Arial"/>
                <w:color w:val="000000"/>
                <w:sz w:val="20"/>
                <w:szCs w:val="20"/>
              </w:rPr>
            </w:pPr>
            <w:r w:rsidRPr="00000E66">
              <w:rPr>
                <w:rFonts w:cs="Arial"/>
                <w:color w:val="000000"/>
                <w:sz w:val="20"/>
                <w:szCs w:val="20"/>
              </w:rPr>
              <w:t>Prévoir des formations en évaluation environnementale et sociale notamment le suivi des PGES, le screening.</w:t>
            </w:r>
          </w:p>
        </w:tc>
      </w:tr>
      <w:tr w:rsidR="009021F1" w:rsidRPr="00982564" w14:paraId="31AD4166" w14:textId="77777777" w:rsidTr="00E637E3">
        <w:trPr>
          <w:cantSplit/>
          <w:trHeight w:val="3320"/>
        </w:trPr>
        <w:tc>
          <w:tcPr>
            <w:tcW w:w="1794" w:type="dxa"/>
            <w:shd w:val="clear" w:color="auto" w:fill="auto"/>
            <w:vAlign w:val="center"/>
            <w:hideMark/>
          </w:tcPr>
          <w:p w14:paraId="4B4D368C" w14:textId="77777777" w:rsidR="009021F1" w:rsidRPr="00000E66" w:rsidRDefault="009021F1" w:rsidP="00E637E3">
            <w:pPr>
              <w:jc w:val="left"/>
              <w:rPr>
                <w:rFonts w:cs="Arial"/>
                <w:color w:val="000000"/>
                <w:sz w:val="20"/>
                <w:szCs w:val="20"/>
              </w:rPr>
            </w:pPr>
            <w:r w:rsidRPr="00000E66">
              <w:rPr>
                <w:rFonts w:cs="Arial"/>
                <w:color w:val="000000"/>
                <w:sz w:val="20"/>
                <w:szCs w:val="20"/>
              </w:rPr>
              <w:t>ONG et Mouvements Associatifs (associations des femmes et des jeunes au niveau des territoires)</w:t>
            </w:r>
          </w:p>
        </w:tc>
        <w:tc>
          <w:tcPr>
            <w:tcW w:w="2980" w:type="dxa"/>
            <w:shd w:val="clear" w:color="auto" w:fill="auto"/>
            <w:vAlign w:val="center"/>
            <w:hideMark/>
          </w:tcPr>
          <w:p w14:paraId="6C3271DF" w14:textId="77777777" w:rsidR="009021F1" w:rsidRPr="00000E66" w:rsidRDefault="009021F1" w:rsidP="00E637E3">
            <w:pPr>
              <w:jc w:val="left"/>
              <w:rPr>
                <w:rFonts w:cs="Arial"/>
                <w:color w:val="000000"/>
                <w:sz w:val="20"/>
                <w:szCs w:val="20"/>
              </w:rPr>
            </w:pPr>
            <w:r w:rsidRPr="00000E66">
              <w:rPr>
                <w:rFonts w:cs="Arial"/>
                <w:color w:val="000000"/>
                <w:sz w:val="20"/>
                <w:szCs w:val="20"/>
              </w:rPr>
              <w:t xml:space="preserve">Vecteurs efficaces pour informer, sensibiliser et éduquer les populations ; Bonne capacité de mobilisation des acteurs locaux ; </w:t>
            </w:r>
          </w:p>
          <w:p w14:paraId="6647701F" w14:textId="77777777" w:rsidR="009021F1" w:rsidRPr="00000E66" w:rsidRDefault="009021F1" w:rsidP="00E637E3">
            <w:pPr>
              <w:jc w:val="left"/>
              <w:rPr>
                <w:rFonts w:cs="Arial"/>
                <w:color w:val="000000"/>
                <w:sz w:val="20"/>
                <w:szCs w:val="20"/>
              </w:rPr>
            </w:pPr>
            <w:r w:rsidRPr="00000E66">
              <w:rPr>
                <w:rFonts w:cs="Arial"/>
                <w:color w:val="000000"/>
                <w:sz w:val="20"/>
                <w:szCs w:val="20"/>
              </w:rPr>
              <w:t>Facilitation de contact avec les partenaires au développement. </w:t>
            </w:r>
          </w:p>
        </w:tc>
        <w:tc>
          <w:tcPr>
            <w:tcW w:w="2456" w:type="dxa"/>
            <w:shd w:val="clear" w:color="auto" w:fill="auto"/>
            <w:vAlign w:val="center"/>
            <w:hideMark/>
          </w:tcPr>
          <w:p w14:paraId="5DA535B1" w14:textId="77777777" w:rsidR="009021F1" w:rsidRPr="00000E66" w:rsidRDefault="009021F1" w:rsidP="00E637E3">
            <w:pPr>
              <w:pStyle w:val="Paragraphedeliste"/>
              <w:numPr>
                <w:ilvl w:val="0"/>
                <w:numId w:val="21"/>
              </w:numPr>
              <w:ind w:left="109" w:hanging="109"/>
              <w:jc w:val="left"/>
              <w:rPr>
                <w:rFonts w:cs="Arial"/>
                <w:color w:val="000000"/>
                <w:sz w:val="20"/>
                <w:szCs w:val="20"/>
              </w:rPr>
            </w:pPr>
            <w:r w:rsidRPr="00000E66">
              <w:rPr>
                <w:rFonts w:cs="Arial"/>
                <w:color w:val="000000"/>
                <w:sz w:val="20"/>
                <w:szCs w:val="20"/>
              </w:rPr>
              <w:t>Absence de coordination des interventions.</w:t>
            </w:r>
          </w:p>
        </w:tc>
        <w:tc>
          <w:tcPr>
            <w:tcW w:w="2666" w:type="dxa"/>
            <w:shd w:val="clear" w:color="auto" w:fill="auto"/>
            <w:vAlign w:val="center"/>
            <w:hideMark/>
          </w:tcPr>
          <w:p w14:paraId="2609BEBD" w14:textId="77777777" w:rsidR="009021F1" w:rsidRPr="00000E66" w:rsidRDefault="009021F1" w:rsidP="00E637E3">
            <w:pPr>
              <w:pStyle w:val="Paragraphedeliste"/>
              <w:numPr>
                <w:ilvl w:val="0"/>
                <w:numId w:val="21"/>
              </w:numPr>
              <w:ind w:left="109" w:hanging="109"/>
              <w:jc w:val="left"/>
              <w:rPr>
                <w:rFonts w:cs="Arial"/>
                <w:color w:val="000000"/>
                <w:sz w:val="20"/>
                <w:szCs w:val="20"/>
              </w:rPr>
            </w:pPr>
            <w:r w:rsidRPr="00000E66">
              <w:rPr>
                <w:rFonts w:cs="Arial"/>
                <w:color w:val="000000"/>
                <w:sz w:val="20"/>
                <w:szCs w:val="20"/>
              </w:rPr>
              <w:t xml:space="preserve">Prévoir un budget d’intervention de ces organisations dans le suivi environnemental et social du Projet ; </w:t>
            </w:r>
          </w:p>
          <w:p w14:paraId="5EE720AA" w14:textId="77777777" w:rsidR="009021F1" w:rsidRPr="00000E66" w:rsidRDefault="009021F1" w:rsidP="00E637E3">
            <w:pPr>
              <w:pStyle w:val="Paragraphedeliste"/>
              <w:numPr>
                <w:ilvl w:val="0"/>
                <w:numId w:val="21"/>
              </w:numPr>
              <w:ind w:left="109" w:hanging="109"/>
              <w:jc w:val="left"/>
              <w:rPr>
                <w:rFonts w:cs="Arial"/>
                <w:color w:val="000000"/>
                <w:sz w:val="20"/>
                <w:szCs w:val="20"/>
              </w:rPr>
            </w:pPr>
            <w:r w:rsidRPr="00000E66">
              <w:rPr>
                <w:rFonts w:cs="Arial"/>
                <w:color w:val="000000"/>
                <w:sz w:val="20"/>
                <w:szCs w:val="20"/>
              </w:rPr>
              <w:t>Prévoir des formations sur la lutte contre la COVID-19 et aussi sur l’EAS/HS, incluant les mesures d’atténuation y afférentes et la gestion de ces plaintes ;</w:t>
            </w:r>
          </w:p>
          <w:p w14:paraId="63DD08F3" w14:textId="77777777" w:rsidR="009021F1" w:rsidRPr="00000E66" w:rsidRDefault="009021F1" w:rsidP="00E637E3">
            <w:pPr>
              <w:pStyle w:val="Paragraphedeliste"/>
              <w:numPr>
                <w:ilvl w:val="0"/>
                <w:numId w:val="21"/>
              </w:numPr>
              <w:ind w:left="109" w:hanging="109"/>
              <w:jc w:val="left"/>
              <w:rPr>
                <w:rFonts w:cs="Arial"/>
                <w:color w:val="000000"/>
                <w:sz w:val="20"/>
                <w:szCs w:val="20"/>
              </w:rPr>
            </w:pPr>
            <w:r w:rsidRPr="00000E66">
              <w:rPr>
                <w:rFonts w:cs="Arial"/>
                <w:color w:val="000000"/>
                <w:sz w:val="20"/>
                <w:szCs w:val="20"/>
              </w:rPr>
              <w:t>Prévoir des formations en évaluation environnementale et sociale notamment le suivi des PGES, le screening.</w:t>
            </w:r>
          </w:p>
        </w:tc>
      </w:tr>
      <w:tr w:rsidR="009021F1" w:rsidRPr="00982564" w14:paraId="72EA0E34" w14:textId="77777777" w:rsidTr="00E637E3">
        <w:trPr>
          <w:cantSplit/>
          <w:trHeight w:val="1810"/>
        </w:trPr>
        <w:tc>
          <w:tcPr>
            <w:tcW w:w="1794" w:type="dxa"/>
            <w:shd w:val="clear" w:color="auto" w:fill="auto"/>
            <w:vAlign w:val="center"/>
            <w:hideMark/>
          </w:tcPr>
          <w:p w14:paraId="5EB2A7D7" w14:textId="77777777" w:rsidR="009021F1" w:rsidRPr="00000E66" w:rsidRDefault="009021F1" w:rsidP="00E637E3">
            <w:pPr>
              <w:jc w:val="left"/>
              <w:rPr>
                <w:rFonts w:cs="Arial"/>
                <w:color w:val="000000"/>
                <w:sz w:val="20"/>
                <w:szCs w:val="20"/>
              </w:rPr>
            </w:pPr>
            <w:r w:rsidRPr="00000E66">
              <w:rPr>
                <w:rFonts w:cs="Arial"/>
                <w:color w:val="000000"/>
                <w:sz w:val="20"/>
                <w:szCs w:val="20"/>
              </w:rPr>
              <w:t>Entreprises de BTP et PME</w:t>
            </w:r>
          </w:p>
        </w:tc>
        <w:tc>
          <w:tcPr>
            <w:tcW w:w="2980" w:type="dxa"/>
            <w:shd w:val="clear" w:color="auto" w:fill="auto"/>
            <w:vAlign w:val="center"/>
            <w:hideMark/>
          </w:tcPr>
          <w:p w14:paraId="06DDCF61" w14:textId="77777777" w:rsidR="009021F1" w:rsidRPr="00000E66" w:rsidRDefault="009021F1" w:rsidP="00E637E3">
            <w:pPr>
              <w:jc w:val="left"/>
              <w:rPr>
                <w:rFonts w:cs="Arial"/>
                <w:color w:val="000000"/>
                <w:sz w:val="20"/>
                <w:szCs w:val="20"/>
              </w:rPr>
            </w:pPr>
            <w:r w:rsidRPr="00000E66">
              <w:rPr>
                <w:rFonts w:cs="Arial"/>
                <w:color w:val="000000"/>
                <w:sz w:val="20"/>
                <w:szCs w:val="20"/>
              </w:rPr>
              <w:t xml:space="preserve">Expérience dans la réalisation des travaux. </w:t>
            </w:r>
          </w:p>
        </w:tc>
        <w:tc>
          <w:tcPr>
            <w:tcW w:w="2456" w:type="dxa"/>
            <w:shd w:val="clear" w:color="auto" w:fill="auto"/>
            <w:vAlign w:val="center"/>
            <w:hideMark/>
          </w:tcPr>
          <w:p w14:paraId="066981C7" w14:textId="77777777" w:rsidR="009021F1" w:rsidRPr="00000E66" w:rsidRDefault="009021F1" w:rsidP="00E637E3">
            <w:pPr>
              <w:pStyle w:val="Paragraphedeliste"/>
              <w:numPr>
                <w:ilvl w:val="0"/>
                <w:numId w:val="21"/>
              </w:numPr>
              <w:ind w:left="109" w:hanging="109"/>
              <w:jc w:val="left"/>
              <w:rPr>
                <w:rFonts w:cs="Arial"/>
                <w:color w:val="000000"/>
                <w:sz w:val="20"/>
                <w:szCs w:val="20"/>
              </w:rPr>
            </w:pPr>
            <w:r w:rsidRPr="00000E66">
              <w:rPr>
                <w:rFonts w:cs="Arial"/>
                <w:color w:val="000000"/>
                <w:sz w:val="20"/>
                <w:szCs w:val="20"/>
              </w:rPr>
              <w:t xml:space="preserve">Manque d’expérience dans la prise en compte des aspects de sauvegarde de l’environnement et du social dans l’exécution des travaux. </w:t>
            </w:r>
          </w:p>
        </w:tc>
        <w:tc>
          <w:tcPr>
            <w:tcW w:w="2666" w:type="dxa"/>
            <w:shd w:val="clear" w:color="auto" w:fill="auto"/>
            <w:vAlign w:val="center"/>
            <w:hideMark/>
          </w:tcPr>
          <w:p w14:paraId="18A451FD" w14:textId="77777777" w:rsidR="009021F1" w:rsidRPr="00000E66" w:rsidRDefault="009021F1" w:rsidP="00E637E3">
            <w:pPr>
              <w:pStyle w:val="Paragraphedeliste"/>
              <w:numPr>
                <w:ilvl w:val="0"/>
                <w:numId w:val="21"/>
              </w:numPr>
              <w:ind w:left="109" w:hanging="109"/>
              <w:jc w:val="left"/>
              <w:rPr>
                <w:rFonts w:cs="Arial"/>
                <w:color w:val="000000"/>
                <w:sz w:val="20"/>
                <w:szCs w:val="20"/>
              </w:rPr>
            </w:pPr>
            <w:r w:rsidRPr="00000E66">
              <w:rPr>
                <w:rFonts w:cs="Arial"/>
                <w:color w:val="000000"/>
                <w:sz w:val="20"/>
                <w:szCs w:val="20"/>
              </w:rPr>
              <w:t>Intégrer dans les DAO des clauses environnementales et sociales, des obligations de recruter les environnementalistes et experts en développement social expérimentés et aussi des clauses relatives à l’EAS/HS.</w:t>
            </w:r>
          </w:p>
        </w:tc>
      </w:tr>
      <w:tr w:rsidR="009021F1" w:rsidRPr="00982564" w14:paraId="7E2CB584" w14:textId="77777777" w:rsidTr="00E637E3">
        <w:trPr>
          <w:cantSplit/>
          <w:trHeight w:val="1810"/>
        </w:trPr>
        <w:tc>
          <w:tcPr>
            <w:tcW w:w="1794" w:type="dxa"/>
            <w:shd w:val="clear" w:color="auto" w:fill="auto"/>
            <w:vAlign w:val="center"/>
          </w:tcPr>
          <w:p w14:paraId="182FE30B" w14:textId="77777777" w:rsidR="009021F1" w:rsidRPr="00000E66" w:rsidRDefault="009021F1" w:rsidP="00E637E3">
            <w:pPr>
              <w:jc w:val="left"/>
              <w:rPr>
                <w:rFonts w:cs="Arial"/>
                <w:color w:val="000000"/>
                <w:sz w:val="20"/>
                <w:szCs w:val="20"/>
              </w:rPr>
            </w:pPr>
            <w:r w:rsidRPr="00000E66">
              <w:rPr>
                <w:rFonts w:cs="Arial"/>
                <w:color w:val="000000"/>
                <w:sz w:val="20"/>
                <w:szCs w:val="20"/>
              </w:rPr>
              <w:t xml:space="preserve">Associations de producteurs (trices) et coopératives agricoles </w:t>
            </w:r>
          </w:p>
        </w:tc>
        <w:tc>
          <w:tcPr>
            <w:tcW w:w="2980" w:type="dxa"/>
            <w:shd w:val="clear" w:color="auto" w:fill="auto"/>
            <w:vAlign w:val="center"/>
          </w:tcPr>
          <w:p w14:paraId="0025E41B" w14:textId="77777777" w:rsidR="009021F1" w:rsidRPr="00000E66" w:rsidRDefault="009021F1" w:rsidP="00E637E3">
            <w:pPr>
              <w:jc w:val="left"/>
              <w:rPr>
                <w:rFonts w:cs="Arial"/>
                <w:color w:val="000000"/>
                <w:sz w:val="20"/>
                <w:szCs w:val="20"/>
              </w:rPr>
            </w:pPr>
            <w:r w:rsidRPr="00000E66">
              <w:rPr>
                <w:rFonts w:cs="Arial"/>
                <w:color w:val="000000"/>
                <w:sz w:val="20"/>
                <w:szCs w:val="20"/>
              </w:rPr>
              <w:t>- Appui au développement de chaines de valeurs dans les filières agricoles suivantes : manioc, mais, haricot, riz, pomme de terre, soja, huile de palme, café ;</w:t>
            </w:r>
            <w:r w:rsidRPr="00000E66">
              <w:rPr>
                <w:rFonts w:cs="Arial"/>
                <w:color w:val="000000"/>
                <w:sz w:val="20"/>
                <w:szCs w:val="20"/>
              </w:rPr>
              <w:br/>
              <w:t>- Approvisionnement en intrants agricoles de qualité : semences vivrières, engrais minéraux, herbicides ;</w:t>
            </w:r>
            <w:r w:rsidRPr="00000E66">
              <w:rPr>
                <w:rFonts w:cs="Arial"/>
                <w:color w:val="000000"/>
                <w:sz w:val="20"/>
                <w:szCs w:val="20"/>
              </w:rPr>
              <w:br/>
              <w:t>- Encadrement technique des producteurs agricoles regroupés en coopérative</w:t>
            </w:r>
          </w:p>
        </w:tc>
        <w:tc>
          <w:tcPr>
            <w:tcW w:w="2456" w:type="dxa"/>
            <w:shd w:val="clear" w:color="auto" w:fill="auto"/>
            <w:vAlign w:val="center"/>
          </w:tcPr>
          <w:p w14:paraId="48ACA1BF" w14:textId="77777777" w:rsidR="009021F1" w:rsidRPr="00000E66" w:rsidRDefault="009021F1" w:rsidP="00E637E3">
            <w:pPr>
              <w:pStyle w:val="Paragraphedeliste"/>
              <w:numPr>
                <w:ilvl w:val="0"/>
                <w:numId w:val="21"/>
              </w:numPr>
              <w:ind w:left="109" w:hanging="109"/>
              <w:jc w:val="left"/>
              <w:rPr>
                <w:rFonts w:cs="Arial"/>
                <w:color w:val="000000"/>
                <w:sz w:val="20"/>
                <w:szCs w:val="20"/>
              </w:rPr>
            </w:pPr>
            <w:r w:rsidRPr="00000E66">
              <w:rPr>
                <w:rFonts w:cs="Arial"/>
                <w:color w:val="000000"/>
                <w:sz w:val="20"/>
                <w:szCs w:val="20"/>
              </w:rPr>
              <w:t>Non intégration de la dimension environnementale et sociale dans les activités des Associations des producteurs et Coopératives</w:t>
            </w:r>
          </w:p>
        </w:tc>
        <w:tc>
          <w:tcPr>
            <w:tcW w:w="2666" w:type="dxa"/>
            <w:shd w:val="clear" w:color="auto" w:fill="auto"/>
            <w:vAlign w:val="center"/>
          </w:tcPr>
          <w:p w14:paraId="21C5F03C" w14:textId="77777777" w:rsidR="009021F1" w:rsidRPr="00000E66" w:rsidRDefault="009021F1" w:rsidP="00E637E3">
            <w:pPr>
              <w:pStyle w:val="Paragraphedeliste"/>
              <w:numPr>
                <w:ilvl w:val="0"/>
                <w:numId w:val="21"/>
              </w:numPr>
              <w:ind w:left="109" w:hanging="109"/>
              <w:jc w:val="left"/>
              <w:rPr>
                <w:rFonts w:cs="Arial"/>
                <w:color w:val="000000"/>
                <w:sz w:val="20"/>
                <w:szCs w:val="20"/>
              </w:rPr>
            </w:pPr>
            <w:r w:rsidRPr="00000E66">
              <w:rPr>
                <w:rFonts w:cs="Arial"/>
                <w:color w:val="000000"/>
                <w:sz w:val="20"/>
                <w:szCs w:val="20"/>
              </w:rPr>
              <w:t xml:space="preserve">Prévoir un budget d’intervention de ces organisations dans le suivi environnemental et social du Projet ; </w:t>
            </w:r>
          </w:p>
          <w:p w14:paraId="419DF97A" w14:textId="77777777" w:rsidR="009021F1" w:rsidRPr="00000E66" w:rsidRDefault="009021F1" w:rsidP="00E637E3">
            <w:pPr>
              <w:pStyle w:val="Paragraphedeliste"/>
              <w:numPr>
                <w:ilvl w:val="0"/>
                <w:numId w:val="21"/>
              </w:numPr>
              <w:ind w:left="109" w:hanging="109"/>
              <w:jc w:val="left"/>
              <w:rPr>
                <w:rFonts w:cs="Arial"/>
                <w:color w:val="000000"/>
                <w:sz w:val="20"/>
                <w:szCs w:val="20"/>
              </w:rPr>
            </w:pPr>
            <w:r w:rsidRPr="00000E66">
              <w:rPr>
                <w:rFonts w:cs="Arial"/>
                <w:color w:val="000000"/>
                <w:sz w:val="20"/>
                <w:szCs w:val="20"/>
              </w:rPr>
              <w:t>Prévoir des formations sur la lutte contre la COVID-19 et aussi sur l’EAS/HS, incluant les mesures d’atténuation y afférentes et la gestion de ces plaintes ;</w:t>
            </w:r>
          </w:p>
          <w:p w14:paraId="64788254" w14:textId="77777777" w:rsidR="009021F1" w:rsidRPr="00000E66" w:rsidRDefault="009021F1" w:rsidP="00E637E3">
            <w:pPr>
              <w:pStyle w:val="Paragraphedeliste"/>
              <w:numPr>
                <w:ilvl w:val="0"/>
                <w:numId w:val="21"/>
              </w:numPr>
              <w:ind w:left="109" w:hanging="109"/>
              <w:jc w:val="left"/>
              <w:rPr>
                <w:rFonts w:cs="Arial"/>
                <w:color w:val="000000"/>
                <w:sz w:val="20"/>
                <w:szCs w:val="20"/>
              </w:rPr>
            </w:pPr>
            <w:r w:rsidRPr="00000E66">
              <w:rPr>
                <w:rFonts w:cs="Arial"/>
                <w:color w:val="000000"/>
                <w:sz w:val="20"/>
                <w:szCs w:val="20"/>
              </w:rPr>
              <w:t>Prévoir des formations en évaluation environnementale notamment le suivi des PGES, le screening.</w:t>
            </w:r>
          </w:p>
        </w:tc>
      </w:tr>
      <w:tr w:rsidR="009021F1" w:rsidRPr="00982564" w14:paraId="3BCAC4BA" w14:textId="77777777" w:rsidTr="00E637E3">
        <w:trPr>
          <w:cantSplit/>
          <w:trHeight w:val="1810"/>
        </w:trPr>
        <w:tc>
          <w:tcPr>
            <w:tcW w:w="1794" w:type="dxa"/>
            <w:shd w:val="clear" w:color="auto" w:fill="auto"/>
            <w:vAlign w:val="center"/>
          </w:tcPr>
          <w:p w14:paraId="143C8377" w14:textId="77777777" w:rsidR="009021F1" w:rsidRPr="00000E66" w:rsidRDefault="009021F1" w:rsidP="00E637E3">
            <w:pPr>
              <w:jc w:val="left"/>
              <w:rPr>
                <w:rFonts w:cs="Arial"/>
                <w:color w:val="000000"/>
                <w:sz w:val="20"/>
                <w:szCs w:val="20"/>
              </w:rPr>
            </w:pPr>
            <w:r w:rsidRPr="00000E66">
              <w:rPr>
                <w:rFonts w:cs="Arial"/>
                <w:color w:val="000000"/>
                <w:sz w:val="20"/>
                <w:szCs w:val="20"/>
              </w:rPr>
              <w:t xml:space="preserve">Banque Centrale et autres intermédiaires financiers </w:t>
            </w:r>
          </w:p>
        </w:tc>
        <w:tc>
          <w:tcPr>
            <w:tcW w:w="2980" w:type="dxa"/>
            <w:shd w:val="clear" w:color="auto" w:fill="auto"/>
            <w:vAlign w:val="center"/>
          </w:tcPr>
          <w:p w14:paraId="708C1F1B" w14:textId="77777777" w:rsidR="009021F1" w:rsidRPr="00000E66" w:rsidRDefault="009021F1" w:rsidP="00E637E3">
            <w:pPr>
              <w:jc w:val="left"/>
              <w:rPr>
                <w:rFonts w:cs="Arial"/>
                <w:color w:val="000000"/>
                <w:sz w:val="20"/>
                <w:szCs w:val="20"/>
              </w:rPr>
            </w:pPr>
            <w:r w:rsidRPr="00000E66">
              <w:rPr>
                <w:rFonts w:cs="Arial"/>
                <w:color w:val="000000"/>
                <w:sz w:val="20"/>
                <w:szCs w:val="20"/>
              </w:rPr>
              <w:t>Absence d’un service chargé de l’environnement</w:t>
            </w:r>
          </w:p>
        </w:tc>
        <w:tc>
          <w:tcPr>
            <w:tcW w:w="2456" w:type="dxa"/>
            <w:shd w:val="clear" w:color="auto" w:fill="auto"/>
            <w:vAlign w:val="center"/>
          </w:tcPr>
          <w:p w14:paraId="4A923576" w14:textId="77777777" w:rsidR="009021F1" w:rsidRPr="00000E66" w:rsidRDefault="009021F1" w:rsidP="00E637E3">
            <w:pPr>
              <w:pStyle w:val="Paragraphedeliste"/>
              <w:numPr>
                <w:ilvl w:val="0"/>
                <w:numId w:val="21"/>
              </w:numPr>
              <w:ind w:left="109" w:hanging="109"/>
              <w:jc w:val="left"/>
              <w:rPr>
                <w:rFonts w:cs="Arial"/>
                <w:color w:val="000000"/>
                <w:sz w:val="20"/>
                <w:szCs w:val="20"/>
              </w:rPr>
            </w:pPr>
            <w:r w:rsidRPr="00000E66">
              <w:rPr>
                <w:rFonts w:cs="Arial"/>
                <w:color w:val="000000"/>
                <w:sz w:val="20"/>
                <w:szCs w:val="20"/>
              </w:rPr>
              <w:t>Absence d’une politique environnementale et sociale au niveau de la Banque Centrale</w:t>
            </w:r>
          </w:p>
        </w:tc>
        <w:tc>
          <w:tcPr>
            <w:tcW w:w="2666" w:type="dxa"/>
            <w:shd w:val="clear" w:color="auto" w:fill="auto"/>
            <w:vAlign w:val="center"/>
          </w:tcPr>
          <w:p w14:paraId="6619C402" w14:textId="77777777" w:rsidR="009021F1" w:rsidRPr="00000E66" w:rsidRDefault="009021F1" w:rsidP="00E637E3">
            <w:pPr>
              <w:pStyle w:val="Paragraphedeliste"/>
              <w:numPr>
                <w:ilvl w:val="0"/>
                <w:numId w:val="21"/>
              </w:numPr>
              <w:ind w:left="109" w:hanging="109"/>
              <w:jc w:val="left"/>
              <w:rPr>
                <w:rFonts w:cs="Arial"/>
                <w:color w:val="000000"/>
                <w:sz w:val="20"/>
                <w:szCs w:val="20"/>
              </w:rPr>
            </w:pPr>
            <w:r w:rsidRPr="00000E66">
              <w:rPr>
                <w:rFonts w:cs="Arial"/>
                <w:color w:val="000000"/>
                <w:sz w:val="20"/>
                <w:szCs w:val="20"/>
              </w:rPr>
              <w:t>Mettre en place une unité environnementale et sociale au sein de la BCC</w:t>
            </w:r>
          </w:p>
          <w:p w14:paraId="05818042" w14:textId="77777777" w:rsidR="009021F1" w:rsidRPr="00000E66" w:rsidRDefault="009021F1" w:rsidP="00E637E3">
            <w:pPr>
              <w:pStyle w:val="Paragraphedeliste"/>
              <w:numPr>
                <w:ilvl w:val="0"/>
                <w:numId w:val="21"/>
              </w:numPr>
              <w:ind w:left="109" w:hanging="109"/>
              <w:jc w:val="left"/>
              <w:rPr>
                <w:rFonts w:cs="Arial"/>
                <w:color w:val="000000"/>
                <w:sz w:val="20"/>
                <w:szCs w:val="20"/>
              </w:rPr>
            </w:pPr>
            <w:r w:rsidRPr="00000E66">
              <w:rPr>
                <w:rFonts w:cs="Arial"/>
                <w:color w:val="000000"/>
                <w:sz w:val="20"/>
                <w:szCs w:val="20"/>
              </w:rPr>
              <w:t>Formation sur le CES</w:t>
            </w:r>
          </w:p>
          <w:p w14:paraId="54221D4C" w14:textId="77777777" w:rsidR="009021F1" w:rsidRPr="00000E66" w:rsidRDefault="009021F1" w:rsidP="00E637E3">
            <w:pPr>
              <w:pStyle w:val="Paragraphedeliste"/>
              <w:numPr>
                <w:ilvl w:val="0"/>
                <w:numId w:val="21"/>
              </w:numPr>
              <w:ind w:left="109" w:hanging="109"/>
              <w:jc w:val="left"/>
              <w:rPr>
                <w:rFonts w:cs="Arial"/>
                <w:color w:val="000000"/>
                <w:sz w:val="20"/>
                <w:szCs w:val="20"/>
              </w:rPr>
            </w:pPr>
            <w:r w:rsidRPr="00000E66">
              <w:rPr>
                <w:rFonts w:cs="Arial"/>
                <w:color w:val="000000"/>
                <w:sz w:val="20"/>
                <w:szCs w:val="20"/>
              </w:rPr>
              <w:t>Prévoir des formations en évaluation environnementale et sociale notamment le suivi des PGES, le screening.</w:t>
            </w:r>
          </w:p>
        </w:tc>
      </w:tr>
      <w:tr w:rsidR="009021F1" w:rsidRPr="00982564" w14:paraId="48291759" w14:textId="77777777" w:rsidTr="00E637E3">
        <w:trPr>
          <w:cantSplit/>
          <w:trHeight w:val="1810"/>
        </w:trPr>
        <w:tc>
          <w:tcPr>
            <w:tcW w:w="1794" w:type="dxa"/>
            <w:shd w:val="clear" w:color="auto" w:fill="auto"/>
            <w:vAlign w:val="center"/>
          </w:tcPr>
          <w:p w14:paraId="6CE9DE6C" w14:textId="77777777" w:rsidR="009021F1" w:rsidRPr="00000E66" w:rsidRDefault="009021F1" w:rsidP="00E637E3">
            <w:pPr>
              <w:jc w:val="left"/>
              <w:rPr>
                <w:rFonts w:cs="Arial"/>
                <w:color w:val="000000"/>
                <w:sz w:val="20"/>
                <w:szCs w:val="20"/>
              </w:rPr>
            </w:pPr>
            <w:r w:rsidRPr="00000E66">
              <w:rPr>
                <w:rFonts w:cs="Arial"/>
                <w:color w:val="000000"/>
                <w:sz w:val="20"/>
                <w:szCs w:val="20"/>
              </w:rPr>
              <w:t>Equity Bank BCDC</w:t>
            </w:r>
          </w:p>
        </w:tc>
        <w:tc>
          <w:tcPr>
            <w:tcW w:w="2980" w:type="dxa"/>
            <w:shd w:val="clear" w:color="auto" w:fill="auto"/>
            <w:vAlign w:val="center"/>
          </w:tcPr>
          <w:p w14:paraId="6306C0AE" w14:textId="77777777" w:rsidR="009021F1" w:rsidRPr="00000E66" w:rsidRDefault="009021F1" w:rsidP="00E637E3">
            <w:pPr>
              <w:jc w:val="left"/>
              <w:rPr>
                <w:rFonts w:cs="Arial"/>
                <w:color w:val="000000"/>
                <w:sz w:val="20"/>
                <w:szCs w:val="20"/>
              </w:rPr>
            </w:pPr>
            <w:r w:rsidRPr="00000E66">
              <w:rPr>
                <w:rFonts w:cs="Arial"/>
                <w:color w:val="000000"/>
                <w:sz w:val="20"/>
                <w:szCs w:val="20"/>
              </w:rPr>
              <w:t xml:space="preserve">Présence d’une politique environnementale et sociale </w:t>
            </w:r>
          </w:p>
        </w:tc>
        <w:tc>
          <w:tcPr>
            <w:tcW w:w="2456" w:type="dxa"/>
            <w:shd w:val="clear" w:color="auto" w:fill="auto"/>
            <w:vAlign w:val="center"/>
          </w:tcPr>
          <w:p w14:paraId="151ABF56" w14:textId="77777777" w:rsidR="009021F1" w:rsidRPr="00000E66" w:rsidRDefault="009021F1" w:rsidP="00E637E3">
            <w:pPr>
              <w:pStyle w:val="Paragraphedeliste"/>
              <w:numPr>
                <w:ilvl w:val="0"/>
                <w:numId w:val="21"/>
              </w:numPr>
              <w:ind w:left="109" w:hanging="109"/>
              <w:jc w:val="left"/>
              <w:rPr>
                <w:rFonts w:cs="Arial"/>
                <w:color w:val="000000"/>
                <w:sz w:val="20"/>
                <w:szCs w:val="20"/>
              </w:rPr>
            </w:pPr>
            <w:r w:rsidRPr="00000E66">
              <w:rPr>
                <w:rFonts w:cs="Arial"/>
                <w:color w:val="000000"/>
                <w:sz w:val="20"/>
                <w:szCs w:val="20"/>
              </w:rPr>
              <w:t>Absence d’un service chargé de l’environnement et du social</w:t>
            </w:r>
          </w:p>
        </w:tc>
        <w:tc>
          <w:tcPr>
            <w:tcW w:w="2666" w:type="dxa"/>
            <w:shd w:val="clear" w:color="auto" w:fill="auto"/>
            <w:vAlign w:val="center"/>
          </w:tcPr>
          <w:p w14:paraId="3E2AFDD7" w14:textId="77777777" w:rsidR="009021F1" w:rsidRPr="00000E66" w:rsidRDefault="009021F1" w:rsidP="00E637E3">
            <w:pPr>
              <w:pStyle w:val="Paragraphedeliste"/>
              <w:numPr>
                <w:ilvl w:val="0"/>
                <w:numId w:val="21"/>
              </w:numPr>
              <w:ind w:left="109" w:hanging="109"/>
              <w:jc w:val="left"/>
              <w:rPr>
                <w:rFonts w:cs="Arial"/>
                <w:color w:val="000000"/>
                <w:sz w:val="20"/>
                <w:szCs w:val="20"/>
              </w:rPr>
            </w:pPr>
            <w:r w:rsidRPr="00000E66">
              <w:rPr>
                <w:rFonts w:cs="Arial"/>
                <w:color w:val="000000"/>
                <w:sz w:val="20"/>
                <w:szCs w:val="20"/>
              </w:rPr>
              <w:t>Mettre en place une unité environnementale et sociale au sein d’Equity Bank Congo</w:t>
            </w:r>
          </w:p>
          <w:p w14:paraId="1258F268" w14:textId="77777777" w:rsidR="009021F1" w:rsidRPr="00000E66" w:rsidRDefault="009021F1" w:rsidP="00E637E3">
            <w:pPr>
              <w:pStyle w:val="Paragraphedeliste"/>
              <w:numPr>
                <w:ilvl w:val="0"/>
                <w:numId w:val="21"/>
              </w:numPr>
              <w:ind w:left="109" w:hanging="109"/>
              <w:jc w:val="left"/>
              <w:rPr>
                <w:rFonts w:cs="Arial"/>
                <w:color w:val="000000"/>
                <w:sz w:val="20"/>
                <w:szCs w:val="20"/>
              </w:rPr>
            </w:pPr>
            <w:r w:rsidRPr="00000E66">
              <w:rPr>
                <w:rFonts w:cs="Arial"/>
                <w:color w:val="000000"/>
                <w:sz w:val="20"/>
                <w:szCs w:val="20"/>
              </w:rPr>
              <w:t>Formation sur le CES</w:t>
            </w:r>
          </w:p>
          <w:p w14:paraId="79583653" w14:textId="77777777" w:rsidR="009021F1" w:rsidRPr="00000E66" w:rsidRDefault="009021F1" w:rsidP="00E637E3">
            <w:pPr>
              <w:pStyle w:val="Paragraphedeliste"/>
              <w:numPr>
                <w:ilvl w:val="0"/>
                <w:numId w:val="21"/>
              </w:numPr>
              <w:ind w:left="109" w:hanging="109"/>
              <w:jc w:val="left"/>
              <w:rPr>
                <w:rFonts w:cs="Arial"/>
                <w:color w:val="000000"/>
                <w:sz w:val="20"/>
                <w:szCs w:val="20"/>
              </w:rPr>
            </w:pPr>
            <w:r w:rsidRPr="00000E66">
              <w:rPr>
                <w:rFonts w:cs="Arial"/>
                <w:color w:val="000000"/>
                <w:sz w:val="20"/>
                <w:szCs w:val="20"/>
              </w:rPr>
              <w:t>Prévoir des formations en évaluation environnementale notamment le suivi des PGES, le screening.</w:t>
            </w:r>
          </w:p>
        </w:tc>
      </w:tr>
      <w:tr w:rsidR="009021F1" w:rsidRPr="00982564" w14:paraId="6C383DBD" w14:textId="77777777" w:rsidTr="00E637E3">
        <w:trPr>
          <w:cantSplit/>
          <w:trHeight w:val="1810"/>
        </w:trPr>
        <w:tc>
          <w:tcPr>
            <w:tcW w:w="1794" w:type="dxa"/>
            <w:shd w:val="clear" w:color="auto" w:fill="auto"/>
            <w:vAlign w:val="center"/>
          </w:tcPr>
          <w:p w14:paraId="6B717B49" w14:textId="77777777" w:rsidR="009021F1" w:rsidRPr="00000E66" w:rsidRDefault="009021F1" w:rsidP="00E637E3">
            <w:pPr>
              <w:jc w:val="left"/>
              <w:rPr>
                <w:rFonts w:cs="Arial"/>
                <w:color w:val="000000"/>
                <w:sz w:val="20"/>
                <w:szCs w:val="20"/>
              </w:rPr>
            </w:pPr>
            <w:r w:rsidRPr="00000E66">
              <w:rPr>
                <w:rFonts w:cs="Arial"/>
                <w:color w:val="000000"/>
                <w:sz w:val="20"/>
                <w:szCs w:val="20"/>
              </w:rPr>
              <w:t>Raw Bank Sarl</w:t>
            </w:r>
          </w:p>
        </w:tc>
        <w:tc>
          <w:tcPr>
            <w:tcW w:w="2980" w:type="dxa"/>
            <w:shd w:val="clear" w:color="auto" w:fill="auto"/>
            <w:vAlign w:val="center"/>
          </w:tcPr>
          <w:p w14:paraId="7B938412" w14:textId="77777777" w:rsidR="009021F1" w:rsidRPr="00000E66" w:rsidRDefault="009021F1" w:rsidP="00E637E3">
            <w:pPr>
              <w:jc w:val="left"/>
              <w:rPr>
                <w:rFonts w:cs="Arial"/>
                <w:color w:val="000000"/>
                <w:sz w:val="20"/>
                <w:szCs w:val="20"/>
              </w:rPr>
            </w:pPr>
            <w:r w:rsidRPr="00000E66">
              <w:rPr>
                <w:rFonts w:cs="Arial"/>
                <w:color w:val="000000"/>
                <w:sz w:val="20"/>
                <w:szCs w:val="20"/>
              </w:rPr>
              <w:t xml:space="preserve">Présence d’une politique environnementale et sociale </w:t>
            </w:r>
          </w:p>
        </w:tc>
        <w:tc>
          <w:tcPr>
            <w:tcW w:w="2456" w:type="dxa"/>
            <w:shd w:val="clear" w:color="auto" w:fill="auto"/>
            <w:vAlign w:val="center"/>
          </w:tcPr>
          <w:p w14:paraId="653E9DBF" w14:textId="77777777" w:rsidR="009021F1" w:rsidRPr="00000E66" w:rsidRDefault="009021F1" w:rsidP="00E637E3">
            <w:pPr>
              <w:pStyle w:val="Paragraphedeliste"/>
              <w:numPr>
                <w:ilvl w:val="0"/>
                <w:numId w:val="21"/>
              </w:numPr>
              <w:ind w:left="109" w:hanging="109"/>
              <w:jc w:val="left"/>
              <w:rPr>
                <w:rFonts w:cs="Arial"/>
                <w:color w:val="000000"/>
                <w:sz w:val="20"/>
                <w:szCs w:val="20"/>
              </w:rPr>
            </w:pPr>
            <w:r w:rsidRPr="00000E66">
              <w:rPr>
                <w:rFonts w:cs="Arial"/>
                <w:color w:val="000000"/>
                <w:sz w:val="20"/>
                <w:szCs w:val="20"/>
              </w:rPr>
              <w:t>Absence d’un service chargé de l’environnement et du social</w:t>
            </w:r>
          </w:p>
        </w:tc>
        <w:tc>
          <w:tcPr>
            <w:tcW w:w="2666" w:type="dxa"/>
            <w:shd w:val="clear" w:color="auto" w:fill="auto"/>
            <w:vAlign w:val="center"/>
          </w:tcPr>
          <w:p w14:paraId="2E36A84A" w14:textId="77777777" w:rsidR="009021F1" w:rsidRPr="00000E66" w:rsidRDefault="009021F1" w:rsidP="00E637E3">
            <w:pPr>
              <w:pStyle w:val="Paragraphedeliste"/>
              <w:numPr>
                <w:ilvl w:val="0"/>
                <w:numId w:val="21"/>
              </w:numPr>
              <w:ind w:left="109" w:hanging="109"/>
              <w:jc w:val="left"/>
              <w:rPr>
                <w:rFonts w:cs="Arial"/>
                <w:color w:val="000000"/>
                <w:sz w:val="20"/>
                <w:szCs w:val="20"/>
              </w:rPr>
            </w:pPr>
            <w:r w:rsidRPr="00000E66">
              <w:rPr>
                <w:rFonts w:cs="Arial"/>
                <w:color w:val="000000"/>
                <w:sz w:val="20"/>
                <w:szCs w:val="20"/>
              </w:rPr>
              <w:t>Mettre en place une unité environnementale et sociale au sein de la RawBank ;</w:t>
            </w:r>
          </w:p>
          <w:p w14:paraId="01E2FB0C" w14:textId="77777777" w:rsidR="009021F1" w:rsidRPr="00000E66" w:rsidRDefault="009021F1" w:rsidP="00E637E3">
            <w:pPr>
              <w:pStyle w:val="Paragraphedeliste"/>
              <w:numPr>
                <w:ilvl w:val="0"/>
                <w:numId w:val="21"/>
              </w:numPr>
              <w:ind w:left="109" w:hanging="109"/>
              <w:jc w:val="left"/>
              <w:rPr>
                <w:rFonts w:cs="Arial"/>
                <w:color w:val="000000"/>
                <w:sz w:val="20"/>
                <w:szCs w:val="20"/>
              </w:rPr>
            </w:pPr>
            <w:r w:rsidRPr="00000E66">
              <w:rPr>
                <w:rFonts w:cs="Arial"/>
                <w:color w:val="000000"/>
                <w:sz w:val="20"/>
                <w:szCs w:val="20"/>
              </w:rPr>
              <w:t>Formation sur le CES</w:t>
            </w:r>
          </w:p>
          <w:p w14:paraId="7BC5BEDE" w14:textId="77777777" w:rsidR="009021F1" w:rsidRPr="00000E66" w:rsidRDefault="009021F1" w:rsidP="00E637E3">
            <w:pPr>
              <w:pStyle w:val="Paragraphedeliste"/>
              <w:numPr>
                <w:ilvl w:val="0"/>
                <w:numId w:val="21"/>
              </w:numPr>
              <w:ind w:left="109" w:hanging="109"/>
              <w:jc w:val="left"/>
              <w:rPr>
                <w:rFonts w:cs="Arial"/>
                <w:color w:val="000000"/>
                <w:sz w:val="20"/>
                <w:szCs w:val="20"/>
              </w:rPr>
            </w:pPr>
            <w:r w:rsidRPr="00000E66">
              <w:rPr>
                <w:rFonts w:cs="Arial"/>
                <w:color w:val="000000"/>
                <w:sz w:val="20"/>
                <w:szCs w:val="20"/>
              </w:rPr>
              <w:t>Prévoir des formations en évaluation environnementale et sociale notamment le suivi des PGES, le screening.</w:t>
            </w:r>
          </w:p>
        </w:tc>
      </w:tr>
    </w:tbl>
    <w:p w14:paraId="44A56C94" w14:textId="77777777" w:rsidR="009021F1" w:rsidRPr="00000E66" w:rsidRDefault="009021F1" w:rsidP="009021F1">
      <w:pPr>
        <w:rPr>
          <w:rFonts w:cs="Arial"/>
          <w:i/>
          <w:szCs w:val="21"/>
        </w:rPr>
      </w:pPr>
    </w:p>
    <w:p w14:paraId="1943396B" w14:textId="77777777" w:rsidR="009021F1" w:rsidRPr="00000E66" w:rsidRDefault="009021F1" w:rsidP="009021F1">
      <w:pPr>
        <w:rPr>
          <w:rFonts w:cs="Arial"/>
          <w:i/>
          <w:szCs w:val="21"/>
        </w:rPr>
      </w:pPr>
    </w:p>
    <w:p w14:paraId="42FE7492" w14:textId="77777777" w:rsidR="009021F1" w:rsidRPr="00000E66" w:rsidRDefault="009021F1" w:rsidP="009021F1">
      <w:pPr>
        <w:spacing w:line="240" w:lineRule="auto"/>
        <w:jc w:val="left"/>
        <w:rPr>
          <w:rFonts w:cs="Arial"/>
          <w:szCs w:val="21"/>
        </w:rPr>
      </w:pPr>
      <w:r w:rsidRPr="00000E66">
        <w:rPr>
          <w:rFonts w:cs="Arial"/>
          <w:szCs w:val="21"/>
        </w:rPr>
        <w:t xml:space="preserve">Tableau </w:t>
      </w:r>
      <w:r w:rsidRPr="00000E66">
        <w:rPr>
          <w:rFonts w:cs="Arial"/>
          <w:szCs w:val="21"/>
        </w:rPr>
        <w:fldChar w:fldCharType="begin"/>
      </w:r>
      <w:r w:rsidRPr="00000E66">
        <w:rPr>
          <w:rFonts w:cs="Arial"/>
          <w:szCs w:val="21"/>
        </w:rPr>
        <w:instrText xml:space="preserve"> SEQ Tableau \* ARABIC </w:instrText>
      </w:r>
      <w:r w:rsidRPr="00000E66">
        <w:rPr>
          <w:rFonts w:cs="Arial"/>
          <w:szCs w:val="21"/>
        </w:rPr>
        <w:fldChar w:fldCharType="separate"/>
      </w:r>
      <w:r>
        <w:rPr>
          <w:rFonts w:cs="Arial"/>
          <w:noProof/>
          <w:szCs w:val="21"/>
        </w:rPr>
        <w:t>36</w:t>
      </w:r>
      <w:r w:rsidRPr="00000E66">
        <w:rPr>
          <w:rFonts w:cs="Arial"/>
          <w:szCs w:val="21"/>
        </w:rPr>
        <w:fldChar w:fldCharType="end"/>
      </w:r>
      <w:r w:rsidRPr="00000E66">
        <w:rPr>
          <w:rFonts w:cs="Arial"/>
          <w:szCs w:val="21"/>
        </w:rPr>
        <w:t>. Institutions responsables de la mise en œuvre</w:t>
      </w:r>
    </w:p>
    <w:p w14:paraId="36CACF72" w14:textId="77777777" w:rsidR="009021F1" w:rsidRPr="00000E66" w:rsidRDefault="009021F1" w:rsidP="009021F1">
      <w:pPr>
        <w:pStyle w:val="Lgende"/>
        <w:rPr>
          <w:rFonts w:cs="Arial"/>
          <w:szCs w:val="21"/>
        </w:rPr>
      </w:pPr>
      <w:r w:rsidRPr="00000E66">
        <w:rPr>
          <w:rFonts w:cs="Arial"/>
          <w:szCs w:val="21"/>
        </w:rPr>
        <w:t xml:space="preserve"> </w:t>
      </w:r>
    </w:p>
    <w:tbl>
      <w:tblPr>
        <w:tblW w:w="1060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7"/>
        <w:gridCol w:w="3118"/>
        <w:gridCol w:w="1752"/>
        <w:gridCol w:w="1699"/>
        <w:gridCol w:w="2219"/>
      </w:tblGrid>
      <w:tr w:rsidR="009021F1" w:rsidRPr="00646EF1" w14:paraId="0AD37D61" w14:textId="77777777" w:rsidTr="00E637E3">
        <w:trPr>
          <w:trHeight w:val="552"/>
          <w:tblHeader/>
        </w:trPr>
        <w:tc>
          <w:tcPr>
            <w:tcW w:w="1817" w:type="dxa"/>
            <w:vMerge w:val="restart"/>
            <w:vAlign w:val="center"/>
          </w:tcPr>
          <w:p w14:paraId="1D850A0E" w14:textId="77777777" w:rsidR="009021F1" w:rsidRPr="00000E66" w:rsidRDefault="009021F1" w:rsidP="00E637E3">
            <w:pPr>
              <w:jc w:val="left"/>
              <w:rPr>
                <w:rFonts w:cs="Arial"/>
                <w:bCs/>
                <w:sz w:val="20"/>
                <w:szCs w:val="20"/>
              </w:rPr>
            </w:pPr>
            <w:r w:rsidRPr="00000E66">
              <w:rPr>
                <w:rFonts w:cs="Arial"/>
                <w:sz w:val="20"/>
                <w:szCs w:val="20"/>
              </w:rPr>
              <w:t>Mesures</w:t>
            </w:r>
          </w:p>
        </w:tc>
        <w:tc>
          <w:tcPr>
            <w:tcW w:w="3118" w:type="dxa"/>
            <w:vMerge w:val="restart"/>
            <w:vAlign w:val="center"/>
          </w:tcPr>
          <w:p w14:paraId="13DF730F" w14:textId="77777777" w:rsidR="009021F1" w:rsidRPr="00000E66" w:rsidRDefault="009021F1" w:rsidP="00E637E3">
            <w:pPr>
              <w:jc w:val="center"/>
              <w:rPr>
                <w:rFonts w:cs="Arial"/>
                <w:bCs/>
                <w:sz w:val="20"/>
                <w:szCs w:val="20"/>
              </w:rPr>
            </w:pPr>
            <w:r w:rsidRPr="00000E66">
              <w:rPr>
                <w:rFonts w:cs="Arial"/>
                <w:bCs/>
                <w:sz w:val="20"/>
                <w:szCs w:val="20"/>
              </w:rPr>
              <w:t>Domaines d’intervention</w:t>
            </w:r>
          </w:p>
        </w:tc>
        <w:tc>
          <w:tcPr>
            <w:tcW w:w="5670" w:type="dxa"/>
            <w:gridSpan w:val="3"/>
          </w:tcPr>
          <w:p w14:paraId="7E4DD439" w14:textId="77777777" w:rsidR="009021F1" w:rsidRPr="00000E66" w:rsidRDefault="009021F1" w:rsidP="00E637E3">
            <w:pPr>
              <w:jc w:val="center"/>
              <w:rPr>
                <w:rFonts w:cs="Arial"/>
                <w:bCs/>
                <w:sz w:val="20"/>
                <w:szCs w:val="20"/>
              </w:rPr>
            </w:pPr>
            <w:r w:rsidRPr="00000E66">
              <w:rPr>
                <w:rFonts w:cs="Arial"/>
                <w:bCs/>
                <w:sz w:val="20"/>
                <w:szCs w:val="20"/>
              </w:rPr>
              <w:t>Responsable</w:t>
            </w:r>
          </w:p>
        </w:tc>
      </w:tr>
      <w:tr w:rsidR="009021F1" w:rsidRPr="00646EF1" w14:paraId="511AAB81" w14:textId="77777777" w:rsidTr="00E637E3">
        <w:trPr>
          <w:trHeight w:val="404"/>
          <w:tblHeader/>
        </w:trPr>
        <w:tc>
          <w:tcPr>
            <w:tcW w:w="1817" w:type="dxa"/>
            <w:vMerge/>
          </w:tcPr>
          <w:p w14:paraId="6E7DB0A7" w14:textId="77777777" w:rsidR="009021F1" w:rsidRPr="00000E66" w:rsidRDefault="009021F1" w:rsidP="00E637E3">
            <w:pPr>
              <w:rPr>
                <w:rFonts w:cs="Arial"/>
                <w:bCs/>
                <w:sz w:val="20"/>
                <w:szCs w:val="20"/>
              </w:rPr>
            </w:pPr>
          </w:p>
        </w:tc>
        <w:tc>
          <w:tcPr>
            <w:tcW w:w="3118" w:type="dxa"/>
            <w:vMerge/>
          </w:tcPr>
          <w:p w14:paraId="66EEDC45" w14:textId="77777777" w:rsidR="009021F1" w:rsidRPr="00000E66" w:rsidRDefault="009021F1" w:rsidP="00E637E3">
            <w:pPr>
              <w:rPr>
                <w:rFonts w:cs="Arial"/>
                <w:sz w:val="20"/>
                <w:szCs w:val="20"/>
              </w:rPr>
            </w:pPr>
          </w:p>
        </w:tc>
        <w:tc>
          <w:tcPr>
            <w:tcW w:w="1752" w:type="dxa"/>
          </w:tcPr>
          <w:p w14:paraId="74852897" w14:textId="77777777" w:rsidR="009021F1" w:rsidRPr="00000E66" w:rsidRDefault="009021F1" w:rsidP="00E637E3">
            <w:pPr>
              <w:rPr>
                <w:rFonts w:cs="Arial"/>
                <w:sz w:val="20"/>
                <w:szCs w:val="20"/>
              </w:rPr>
            </w:pPr>
            <w:r w:rsidRPr="00000E66">
              <w:rPr>
                <w:rFonts w:cs="Arial"/>
                <w:sz w:val="20"/>
                <w:szCs w:val="20"/>
              </w:rPr>
              <w:t>Exécution</w:t>
            </w:r>
          </w:p>
        </w:tc>
        <w:tc>
          <w:tcPr>
            <w:tcW w:w="1699" w:type="dxa"/>
          </w:tcPr>
          <w:p w14:paraId="33732DC8" w14:textId="77777777" w:rsidR="009021F1" w:rsidRPr="00000E66" w:rsidRDefault="009021F1" w:rsidP="00E637E3">
            <w:pPr>
              <w:rPr>
                <w:rFonts w:cs="Arial"/>
                <w:bCs/>
                <w:sz w:val="20"/>
                <w:szCs w:val="20"/>
              </w:rPr>
            </w:pPr>
            <w:r w:rsidRPr="00000E66">
              <w:rPr>
                <w:rFonts w:cs="Arial"/>
                <w:bCs/>
                <w:sz w:val="20"/>
                <w:szCs w:val="20"/>
              </w:rPr>
              <w:t>Surveillance</w:t>
            </w:r>
          </w:p>
        </w:tc>
        <w:tc>
          <w:tcPr>
            <w:tcW w:w="2219" w:type="dxa"/>
          </w:tcPr>
          <w:p w14:paraId="64B00E1F" w14:textId="77777777" w:rsidR="009021F1" w:rsidRPr="00000E66" w:rsidRDefault="009021F1" w:rsidP="00E637E3">
            <w:pPr>
              <w:rPr>
                <w:rFonts w:cs="Arial"/>
                <w:bCs/>
                <w:sz w:val="20"/>
                <w:szCs w:val="20"/>
              </w:rPr>
            </w:pPr>
            <w:r w:rsidRPr="00000E66">
              <w:rPr>
                <w:rFonts w:cs="Arial"/>
                <w:bCs/>
                <w:sz w:val="20"/>
                <w:szCs w:val="20"/>
              </w:rPr>
              <w:t>Supervision et suivi</w:t>
            </w:r>
          </w:p>
        </w:tc>
      </w:tr>
      <w:tr w:rsidR="009021F1" w:rsidRPr="00646EF1" w14:paraId="6CFDD4C6" w14:textId="77777777" w:rsidTr="00E637E3">
        <w:trPr>
          <w:trHeight w:val="1253"/>
        </w:trPr>
        <w:tc>
          <w:tcPr>
            <w:tcW w:w="1817" w:type="dxa"/>
          </w:tcPr>
          <w:p w14:paraId="07325174" w14:textId="77777777" w:rsidR="009021F1" w:rsidRPr="00000E66" w:rsidRDefault="009021F1" w:rsidP="00E637E3">
            <w:pPr>
              <w:rPr>
                <w:rFonts w:cs="Arial"/>
                <w:sz w:val="20"/>
                <w:szCs w:val="20"/>
              </w:rPr>
            </w:pPr>
            <w:r w:rsidRPr="00000E66">
              <w:rPr>
                <w:rFonts w:cs="Arial"/>
                <w:bCs/>
                <w:sz w:val="20"/>
                <w:szCs w:val="20"/>
              </w:rPr>
              <w:t>Mesures d’atténuation</w:t>
            </w:r>
          </w:p>
        </w:tc>
        <w:tc>
          <w:tcPr>
            <w:tcW w:w="3118" w:type="dxa"/>
          </w:tcPr>
          <w:p w14:paraId="306B7D99" w14:textId="77777777" w:rsidR="009021F1" w:rsidRPr="00000E66" w:rsidRDefault="009021F1" w:rsidP="00E637E3">
            <w:pPr>
              <w:jc w:val="left"/>
              <w:rPr>
                <w:rFonts w:cs="Arial"/>
                <w:bCs/>
                <w:sz w:val="20"/>
                <w:szCs w:val="20"/>
              </w:rPr>
            </w:pPr>
            <w:r w:rsidRPr="00000E66">
              <w:rPr>
                <w:rFonts w:cs="Arial"/>
                <w:bCs/>
                <w:sz w:val="20"/>
                <w:szCs w:val="20"/>
              </w:rPr>
              <w:t>Mesures d’atténuation générales et spécifiques des impacts négatifs des travaux d’aménagement des routes rurales, de construction des marchés communautaires, des abattoirs, les travaux d’irrigation ;</w:t>
            </w:r>
          </w:p>
          <w:p w14:paraId="26BE21BD" w14:textId="77777777" w:rsidR="009021F1" w:rsidRPr="00000E66" w:rsidRDefault="009021F1" w:rsidP="00E637E3">
            <w:pPr>
              <w:jc w:val="left"/>
              <w:rPr>
                <w:rFonts w:cs="Arial"/>
                <w:bCs/>
                <w:sz w:val="20"/>
                <w:szCs w:val="20"/>
              </w:rPr>
            </w:pPr>
            <w:r w:rsidRPr="00000E66">
              <w:rPr>
                <w:rFonts w:cs="Arial"/>
                <w:bCs/>
                <w:sz w:val="20"/>
                <w:szCs w:val="20"/>
              </w:rPr>
              <w:t>Mesures de remise en état des carrières ;</w:t>
            </w:r>
          </w:p>
          <w:p w14:paraId="67210A41" w14:textId="77777777" w:rsidR="009021F1" w:rsidRPr="00000E66" w:rsidRDefault="009021F1" w:rsidP="00E637E3">
            <w:pPr>
              <w:jc w:val="left"/>
              <w:rPr>
                <w:rFonts w:cs="Arial"/>
                <w:bCs/>
                <w:sz w:val="20"/>
                <w:szCs w:val="20"/>
              </w:rPr>
            </w:pPr>
            <w:r w:rsidRPr="00000E66">
              <w:rPr>
                <w:rFonts w:cs="Arial"/>
                <w:bCs/>
                <w:sz w:val="20"/>
                <w:szCs w:val="20"/>
              </w:rPr>
              <w:t>Mesures de gestion des pesticides et des déchets des chantiers ; Mesures de santé et sécurité ; Mesures d’atténuation des risques d’EAS/HS et de COVID-19, etc. ; Mesures de repli/nettoyage des chantiers.</w:t>
            </w:r>
          </w:p>
        </w:tc>
        <w:tc>
          <w:tcPr>
            <w:tcW w:w="1752" w:type="dxa"/>
          </w:tcPr>
          <w:p w14:paraId="79933B19" w14:textId="77777777" w:rsidR="009021F1" w:rsidRPr="00000E66" w:rsidRDefault="009021F1" w:rsidP="00E637E3">
            <w:pPr>
              <w:pStyle w:val="Paragraphedeliste"/>
              <w:numPr>
                <w:ilvl w:val="0"/>
                <w:numId w:val="27"/>
              </w:numPr>
              <w:ind w:left="195" w:hanging="195"/>
              <w:jc w:val="left"/>
              <w:rPr>
                <w:rFonts w:cs="Arial"/>
                <w:bCs/>
                <w:sz w:val="20"/>
                <w:szCs w:val="20"/>
              </w:rPr>
            </w:pPr>
            <w:r w:rsidRPr="00000E66">
              <w:rPr>
                <w:rFonts w:cs="Arial"/>
                <w:bCs/>
                <w:sz w:val="20"/>
                <w:szCs w:val="20"/>
              </w:rPr>
              <w:t xml:space="preserve">Entreprises </w:t>
            </w:r>
          </w:p>
          <w:p w14:paraId="204F25F8" w14:textId="77777777" w:rsidR="009021F1" w:rsidRPr="00000E66" w:rsidRDefault="009021F1" w:rsidP="00E637E3">
            <w:pPr>
              <w:pStyle w:val="Paragraphedeliste"/>
              <w:numPr>
                <w:ilvl w:val="0"/>
                <w:numId w:val="27"/>
              </w:numPr>
              <w:ind w:left="195" w:hanging="195"/>
              <w:jc w:val="left"/>
              <w:rPr>
                <w:rFonts w:cs="Arial"/>
                <w:bCs/>
                <w:sz w:val="20"/>
                <w:szCs w:val="20"/>
              </w:rPr>
            </w:pPr>
            <w:r w:rsidRPr="00000E66">
              <w:rPr>
                <w:rFonts w:cs="Arial"/>
                <w:bCs/>
                <w:sz w:val="20"/>
                <w:szCs w:val="20"/>
              </w:rPr>
              <w:t>ALE</w:t>
            </w:r>
          </w:p>
        </w:tc>
        <w:tc>
          <w:tcPr>
            <w:tcW w:w="1699" w:type="dxa"/>
          </w:tcPr>
          <w:p w14:paraId="1770668D" w14:textId="77777777" w:rsidR="009021F1" w:rsidRPr="00000E66" w:rsidRDefault="009021F1" w:rsidP="00E637E3">
            <w:pPr>
              <w:pStyle w:val="Paragraphedeliste"/>
              <w:numPr>
                <w:ilvl w:val="0"/>
                <w:numId w:val="27"/>
              </w:numPr>
              <w:ind w:left="195" w:hanging="195"/>
              <w:jc w:val="left"/>
              <w:rPr>
                <w:rFonts w:cs="Arial"/>
                <w:bCs/>
                <w:sz w:val="20"/>
                <w:szCs w:val="20"/>
              </w:rPr>
            </w:pPr>
            <w:r w:rsidRPr="00000E66">
              <w:rPr>
                <w:rFonts w:cs="Arial"/>
                <w:bCs/>
                <w:sz w:val="20"/>
                <w:szCs w:val="20"/>
              </w:rPr>
              <w:t>Bureaux de Contrôle</w:t>
            </w:r>
          </w:p>
        </w:tc>
        <w:tc>
          <w:tcPr>
            <w:tcW w:w="2219" w:type="dxa"/>
          </w:tcPr>
          <w:p w14:paraId="4E1ADF53" w14:textId="77777777" w:rsidR="009021F1" w:rsidRPr="00000E66" w:rsidRDefault="009021F1" w:rsidP="00E637E3">
            <w:pPr>
              <w:pStyle w:val="Paragraphedeliste"/>
              <w:numPr>
                <w:ilvl w:val="0"/>
                <w:numId w:val="27"/>
              </w:numPr>
              <w:ind w:left="195" w:hanging="195"/>
              <w:jc w:val="left"/>
              <w:rPr>
                <w:rFonts w:cs="Arial"/>
                <w:bCs/>
                <w:sz w:val="20"/>
                <w:szCs w:val="20"/>
              </w:rPr>
            </w:pPr>
            <w:r w:rsidRPr="00000E66">
              <w:rPr>
                <w:rFonts w:cs="Arial"/>
                <w:bCs/>
                <w:sz w:val="20"/>
                <w:szCs w:val="20"/>
              </w:rPr>
              <w:t>SSE et SSS et SVBG du PNDA (phase préparation et de mise en œuvre)</w:t>
            </w:r>
          </w:p>
          <w:p w14:paraId="77F66484" w14:textId="77777777" w:rsidR="009021F1" w:rsidRPr="00000E66" w:rsidRDefault="009021F1" w:rsidP="00E637E3">
            <w:pPr>
              <w:pStyle w:val="Paragraphedeliste"/>
              <w:numPr>
                <w:ilvl w:val="0"/>
                <w:numId w:val="27"/>
              </w:numPr>
              <w:ind w:left="195" w:hanging="195"/>
              <w:jc w:val="left"/>
              <w:rPr>
                <w:rFonts w:cs="Arial"/>
                <w:bCs/>
                <w:sz w:val="20"/>
                <w:szCs w:val="20"/>
              </w:rPr>
            </w:pPr>
            <w:r w:rsidRPr="00000E66">
              <w:rPr>
                <w:rFonts w:cs="Arial"/>
                <w:bCs/>
                <w:sz w:val="20"/>
                <w:szCs w:val="20"/>
              </w:rPr>
              <w:t>ACE</w:t>
            </w:r>
          </w:p>
          <w:p w14:paraId="427B1556" w14:textId="77777777" w:rsidR="009021F1" w:rsidRPr="00000E66" w:rsidRDefault="009021F1" w:rsidP="00E637E3">
            <w:pPr>
              <w:pStyle w:val="Paragraphedeliste"/>
              <w:numPr>
                <w:ilvl w:val="0"/>
                <w:numId w:val="27"/>
              </w:numPr>
              <w:ind w:left="195" w:hanging="195"/>
              <w:jc w:val="left"/>
              <w:rPr>
                <w:rFonts w:cs="Arial"/>
                <w:bCs/>
                <w:sz w:val="20"/>
                <w:szCs w:val="20"/>
              </w:rPr>
            </w:pPr>
            <w:r w:rsidRPr="00000E66">
              <w:rPr>
                <w:rFonts w:cs="Arial"/>
                <w:bCs/>
                <w:sz w:val="20"/>
                <w:szCs w:val="20"/>
              </w:rPr>
              <w:t>CPE</w:t>
            </w:r>
          </w:p>
          <w:p w14:paraId="06EE67FA" w14:textId="77777777" w:rsidR="009021F1" w:rsidRPr="00000E66" w:rsidRDefault="009021F1" w:rsidP="00E637E3">
            <w:pPr>
              <w:pStyle w:val="Paragraphedeliste"/>
              <w:ind w:left="195"/>
              <w:jc w:val="left"/>
              <w:rPr>
                <w:rFonts w:cs="Arial"/>
                <w:bCs/>
                <w:sz w:val="20"/>
                <w:szCs w:val="20"/>
              </w:rPr>
            </w:pPr>
          </w:p>
          <w:p w14:paraId="03178C3C" w14:textId="77777777" w:rsidR="009021F1" w:rsidRPr="00000E66" w:rsidRDefault="009021F1" w:rsidP="00E637E3">
            <w:pPr>
              <w:pStyle w:val="Paragraphedeliste"/>
              <w:ind w:left="195"/>
              <w:jc w:val="left"/>
              <w:rPr>
                <w:rFonts w:cs="Arial"/>
                <w:bCs/>
                <w:sz w:val="20"/>
                <w:szCs w:val="20"/>
              </w:rPr>
            </w:pPr>
          </w:p>
          <w:p w14:paraId="396B85EE" w14:textId="77777777" w:rsidR="009021F1" w:rsidRPr="00000E66" w:rsidRDefault="009021F1" w:rsidP="00E637E3">
            <w:pPr>
              <w:pStyle w:val="Paragraphedeliste"/>
              <w:ind w:left="195"/>
              <w:jc w:val="left"/>
              <w:rPr>
                <w:rFonts w:cs="Arial"/>
                <w:bCs/>
                <w:sz w:val="20"/>
                <w:szCs w:val="20"/>
              </w:rPr>
            </w:pPr>
          </w:p>
        </w:tc>
      </w:tr>
      <w:tr w:rsidR="009021F1" w:rsidRPr="00646EF1" w14:paraId="49150F8A" w14:textId="77777777" w:rsidTr="00E637E3">
        <w:trPr>
          <w:trHeight w:val="305"/>
        </w:trPr>
        <w:tc>
          <w:tcPr>
            <w:tcW w:w="1817" w:type="dxa"/>
            <w:vMerge w:val="restart"/>
          </w:tcPr>
          <w:p w14:paraId="60D8B48D" w14:textId="77777777" w:rsidR="009021F1" w:rsidRPr="00000E66" w:rsidRDefault="009021F1" w:rsidP="00E637E3">
            <w:pPr>
              <w:rPr>
                <w:rFonts w:cs="Arial"/>
                <w:bCs/>
                <w:sz w:val="20"/>
                <w:szCs w:val="20"/>
              </w:rPr>
            </w:pPr>
            <w:r w:rsidRPr="00000E66">
              <w:rPr>
                <w:rFonts w:cs="Arial"/>
                <w:sz w:val="20"/>
                <w:szCs w:val="20"/>
              </w:rPr>
              <w:t>Études, mesures complémentaires</w:t>
            </w:r>
          </w:p>
          <w:p w14:paraId="7493728A" w14:textId="77777777" w:rsidR="009021F1" w:rsidRPr="00000E66" w:rsidRDefault="009021F1" w:rsidP="00E637E3">
            <w:pPr>
              <w:rPr>
                <w:rFonts w:cs="Arial"/>
                <w:bCs/>
                <w:sz w:val="20"/>
                <w:szCs w:val="20"/>
              </w:rPr>
            </w:pPr>
            <w:r w:rsidRPr="00000E66">
              <w:rPr>
                <w:rFonts w:cs="Arial"/>
                <w:sz w:val="20"/>
                <w:szCs w:val="20"/>
              </w:rPr>
              <w:t xml:space="preserve"> </w:t>
            </w:r>
          </w:p>
        </w:tc>
        <w:tc>
          <w:tcPr>
            <w:tcW w:w="3118" w:type="dxa"/>
          </w:tcPr>
          <w:p w14:paraId="579E18DC" w14:textId="77777777" w:rsidR="009021F1" w:rsidRPr="00000E66" w:rsidRDefault="009021F1" w:rsidP="00E637E3">
            <w:pPr>
              <w:rPr>
                <w:rFonts w:cs="Arial"/>
                <w:bCs/>
                <w:sz w:val="20"/>
                <w:szCs w:val="20"/>
              </w:rPr>
            </w:pPr>
            <w:r w:rsidRPr="00000E66">
              <w:rPr>
                <w:rFonts w:cs="Arial"/>
                <w:sz w:val="20"/>
                <w:szCs w:val="20"/>
              </w:rPr>
              <w:t>Réalisation des ÉIES</w:t>
            </w:r>
          </w:p>
        </w:tc>
        <w:tc>
          <w:tcPr>
            <w:tcW w:w="1752" w:type="dxa"/>
          </w:tcPr>
          <w:p w14:paraId="672C8C28" w14:textId="77777777" w:rsidR="009021F1" w:rsidRPr="00000E66" w:rsidRDefault="009021F1" w:rsidP="00E637E3">
            <w:pPr>
              <w:pStyle w:val="Paragraphedeliste"/>
              <w:numPr>
                <w:ilvl w:val="0"/>
                <w:numId w:val="27"/>
              </w:numPr>
              <w:ind w:left="195" w:hanging="195"/>
              <w:jc w:val="left"/>
              <w:rPr>
                <w:rFonts w:cs="Arial"/>
                <w:bCs/>
                <w:sz w:val="20"/>
                <w:szCs w:val="20"/>
              </w:rPr>
            </w:pPr>
            <w:r w:rsidRPr="00000E66">
              <w:rPr>
                <w:rFonts w:cs="Arial"/>
                <w:bCs/>
                <w:sz w:val="20"/>
                <w:szCs w:val="20"/>
              </w:rPr>
              <w:t>Consultants</w:t>
            </w:r>
          </w:p>
        </w:tc>
        <w:tc>
          <w:tcPr>
            <w:tcW w:w="1699" w:type="dxa"/>
          </w:tcPr>
          <w:p w14:paraId="3309CB60" w14:textId="77777777" w:rsidR="009021F1" w:rsidRPr="00000E66" w:rsidRDefault="009021F1" w:rsidP="00E637E3">
            <w:pPr>
              <w:pStyle w:val="Paragraphedeliste"/>
              <w:numPr>
                <w:ilvl w:val="0"/>
                <w:numId w:val="27"/>
              </w:numPr>
              <w:ind w:left="195" w:hanging="195"/>
              <w:jc w:val="left"/>
              <w:rPr>
                <w:rFonts w:cs="Arial"/>
                <w:bCs/>
                <w:sz w:val="20"/>
                <w:szCs w:val="20"/>
                <w:lang w:val="nb-NO"/>
              </w:rPr>
            </w:pPr>
            <w:r w:rsidRPr="00000E66">
              <w:rPr>
                <w:rFonts w:cs="Arial"/>
                <w:bCs/>
                <w:sz w:val="20"/>
                <w:szCs w:val="20"/>
                <w:lang w:val="nb-NO"/>
              </w:rPr>
              <w:t xml:space="preserve">SSE, SSS et SVBG de l’UNCP/PNDA </w:t>
            </w:r>
          </w:p>
        </w:tc>
        <w:tc>
          <w:tcPr>
            <w:tcW w:w="2219" w:type="dxa"/>
          </w:tcPr>
          <w:p w14:paraId="19CBEA7C" w14:textId="77777777" w:rsidR="009021F1" w:rsidRPr="00000E66" w:rsidRDefault="009021F1" w:rsidP="00E637E3">
            <w:pPr>
              <w:pStyle w:val="Paragraphedeliste"/>
              <w:numPr>
                <w:ilvl w:val="0"/>
                <w:numId w:val="27"/>
              </w:numPr>
              <w:ind w:left="195" w:hanging="195"/>
              <w:jc w:val="left"/>
              <w:rPr>
                <w:rFonts w:cs="Arial"/>
                <w:bCs/>
                <w:sz w:val="20"/>
                <w:szCs w:val="20"/>
              </w:rPr>
            </w:pPr>
            <w:r w:rsidRPr="00000E66">
              <w:rPr>
                <w:rFonts w:cs="Arial"/>
                <w:bCs/>
                <w:sz w:val="20"/>
                <w:szCs w:val="20"/>
              </w:rPr>
              <w:t>UNCP/PARRSA, CTPS et UNCP / PNDA (phase préparation et de mise en œuvre)</w:t>
            </w:r>
          </w:p>
          <w:p w14:paraId="3EEF4AE6" w14:textId="77777777" w:rsidR="009021F1" w:rsidRPr="00000E66" w:rsidRDefault="009021F1" w:rsidP="00E637E3">
            <w:pPr>
              <w:pStyle w:val="Paragraphedeliste"/>
              <w:numPr>
                <w:ilvl w:val="0"/>
                <w:numId w:val="27"/>
              </w:numPr>
              <w:ind w:left="195" w:hanging="195"/>
              <w:jc w:val="left"/>
              <w:rPr>
                <w:rFonts w:cs="Arial"/>
                <w:bCs/>
                <w:sz w:val="20"/>
                <w:szCs w:val="20"/>
              </w:rPr>
            </w:pPr>
            <w:r w:rsidRPr="00000E66">
              <w:rPr>
                <w:rFonts w:cs="Arial"/>
                <w:bCs/>
                <w:sz w:val="20"/>
                <w:szCs w:val="20"/>
              </w:rPr>
              <w:t>ACE</w:t>
            </w:r>
          </w:p>
          <w:p w14:paraId="7D1927B4" w14:textId="77777777" w:rsidR="009021F1" w:rsidRPr="00000E66" w:rsidRDefault="009021F1" w:rsidP="00E637E3">
            <w:pPr>
              <w:pStyle w:val="Paragraphedeliste"/>
              <w:numPr>
                <w:ilvl w:val="0"/>
                <w:numId w:val="27"/>
              </w:numPr>
              <w:ind w:left="195" w:hanging="195"/>
              <w:jc w:val="left"/>
              <w:rPr>
                <w:rFonts w:cs="Arial"/>
                <w:bCs/>
                <w:sz w:val="20"/>
                <w:szCs w:val="20"/>
              </w:rPr>
            </w:pPr>
            <w:r w:rsidRPr="00000E66">
              <w:rPr>
                <w:rFonts w:cs="Arial"/>
                <w:bCs/>
                <w:sz w:val="20"/>
                <w:szCs w:val="20"/>
              </w:rPr>
              <w:t>CPE</w:t>
            </w:r>
          </w:p>
        </w:tc>
      </w:tr>
      <w:tr w:rsidR="009021F1" w:rsidRPr="00646EF1" w14:paraId="1C29CCE7" w14:textId="77777777" w:rsidTr="00E637E3">
        <w:trPr>
          <w:trHeight w:val="316"/>
        </w:trPr>
        <w:tc>
          <w:tcPr>
            <w:tcW w:w="1817" w:type="dxa"/>
            <w:vMerge/>
          </w:tcPr>
          <w:p w14:paraId="4801F161" w14:textId="77777777" w:rsidR="009021F1" w:rsidRPr="00000E66" w:rsidRDefault="009021F1" w:rsidP="00E637E3">
            <w:pPr>
              <w:rPr>
                <w:rFonts w:cs="Arial"/>
                <w:bCs/>
                <w:sz w:val="20"/>
                <w:szCs w:val="20"/>
              </w:rPr>
            </w:pPr>
          </w:p>
        </w:tc>
        <w:tc>
          <w:tcPr>
            <w:tcW w:w="3118" w:type="dxa"/>
          </w:tcPr>
          <w:p w14:paraId="0D9604B0" w14:textId="77777777" w:rsidR="009021F1" w:rsidRPr="00000E66" w:rsidRDefault="009021F1" w:rsidP="00E637E3">
            <w:pPr>
              <w:jc w:val="left"/>
              <w:rPr>
                <w:rFonts w:cs="Arial"/>
                <w:sz w:val="20"/>
                <w:szCs w:val="20"/>
              </w:rPr>
            </w:pPr>
            <w:r w:rsidRPr="00000E66">
              <w:rPr>
                <w:rFonts w:cs="Arial"/>
                <w:sz w:val="20"/>
                <w:szCs w:val="20"/>
              </w:rPr>
              <w:t>Provision pour la mise en œuvre des mesures issues des ÉIES.</w:t>
            </w:r>
          </w:p>
        </w:tc>
        <w:tc>
          <w:tcPr>
            <w:tcW w:w="1752" w:type="dxa"/>
          </w:tcPr>
          <w:p w14:paraId="4F3E7D5F" w14:textId="77777777" w:rsidR="009021F1" w:rsidRPr="00000E66" w:rsidRDefault="009021F1" w:rsidP="00E637E3">
            <w:pPr>
              <w:pStyle w:val="Paragraphedeliste"/>
              <w:numPr>
                <w:ilvl w:val="0"/>
                <w:numId w:val="27"/>
              </w:numPr>
              <w:ind w:left="195" w:hanging="195"/>
              <w:jc w:val="left"/>
              <w:rPr>
                <w:rFonts w:cs="Arial"/>
                <w:bCs/>
                <w:sz w:val="20"/>
                <w:szCs w:val="20"/>
              </w:rPr>
            </w:pPr>
            <w:r w:rsidRPr="00000E66">
              <w:rPr>
                <w:rFonts w:cs="Arial"/>
                <w:bCs/>
                <w:sz w:val="20"/>
                <w:szCs w:val="20"/>
              </w:rPr>
              <w:t>SSE et SSS et SVBG du PNDA (phase de préparation et de mise en œuvre)</w:t>
            </w:r>
          </w:p>
        </w:tc>
        <w:tc>
          <w:tcPr>
            <w:tcW w:w="1699" w:type="dxa"/>
          </w:tcPr>
          <w:p w14:paraId="2B5C9083" w14:textId="77777777" w:rsidR="009021F1" w:rsidRPr="00000E66" w:rsidRDefault="009021F1" w:rsidP="00E637E3">
            <w:pPr>
              <w:pStyle w:val="Paragraphedeliste"/>
              <w:numPr>
                <w:ilvl w:val="0"/>
                <w:numId w:val="27"/>
              </w:numPr>
              <w:ind w:left="195" w:hanging="195"/>
              <w:jc w:val="left"/>
              <w:rPr>
                <w:rFonts w:cs="Arial"/>
                <w:bCs/>
                <w:sz w:val="20"/>
                <w:szCs w:val="20"/>
              </w:rPr>
            </w:pPr>
            <w:r w:rsidRPr="00000E66">
              <w:rPr>
                <w:rFonts w:cs="Arial"/>
                <w:bCs/>
                <w:sz w:val="20"/>
                <w:szCs w:val="20"/>
              </w:rPr>
              <w:t>CTPS PNDA (phase de préparation et phase de mise en œuvre)</w:t>
            </w:r>
          </w:p>
        </w:tc>
        <w:tc>
          <w:tcPr>
            <w:tcW w:w="2219" w:type="dxa"/>
          </w:tcPr>
          <w:p w14:paraId="1920B3C1" w14:textId="77777777" w:rsidR="009021F1" w:rsidRPr="00000E66" w:rsidRDefault="009021F1" w:rsidP="00E637E3">
            <w:pPr>
              <w:pStyle w:val="Paragraphedeliste"/>
              <w:numPr>
                <w:ilvl w:val="0"/>
                <w:numId w:val="27"/>
              </w:numPr>
              <w:ind w:left="195" w:hanging="195"/>
              <w:jc w:val="left"/>
              <w:rPr>
                <w:rFonts w:cs="Arial"/>
                <w:bCs/>
                <w:sz w:val="20"/>
                <w:szCs w:val="20"/>
              </w:rPr>
            </w:pPr>
            <w:r w:rsidRPr="00000E66">
              <w:rPr>
                <w:rFonts w:cs="Arial"/>
                <w:bCs/>
                <w:sz w:val="20"/>
                <w:szCs w:val="20"/>
              </w:rPr>
              <w:t>CTPS</w:t>
            </w:r>
          </w:p>
          <w:p w14:paraId="169CB581" w14:textId="77777777" w:rsidR="009021F1" w:rsidRPr="00000E66" w:rsidRDefault="009021F1" w:rsidP="00E637E3">
            <w:pPr>
              <w:pStyle w:val="Paragraphedeliste"/>
              <w:numPr>
                <w:ilvl w:val="0"/>
                <w:numId w:val="27"/>
              </w:numPr>
              <w:ind w:left="195" w:hanging="195"/>
              <w:jc w:val="left"/>
              <w:rPr>
                <w:rFonts w:cs="Arial"/>
                <w:bCs/>
                <w:sz w:val="20"/>
                <w:szCs w:val="20"/>
              </w:rPr>
            </w:pPr>
            <w:r w:rsidRPr="00000E66">
              <w:rPr>
                <w:rFonts w:cs="Arial"/>
                <w:bCs/>
                <w:sz w:val="20"/>
                <w:szCs w:val="20"/>
              </w:rPr>
              <w:t>ACE</w:t>
            </w:r>
          </w:p>
          <w:p w14:paraId="14EBC6CB" w14:textId="77777777" w:rsidR="009021F1" w:rsidRPr="00000E66" w:rsidRDefault="009021F1" w:rsidP="00E637E3">
            <w:pPr>
              <w:pStyle w:val="Paragraphedeliste"/>
              <w:numPr>
                <w:ilvl w:val="0"/>
                <w:numId w:val="27"/>
              </w:numPr>
              <w:ind w:left="195" w:hanging="195"/>
              <w:jc w:val="left"/>
              <w:rPr>
                <w:rFonts w:cs="Arial"/>
                <w:bCs/>
                <w:sz w:val="20"/>
                <w:szCs w:val="20"/>
              </w:rPr>
            </w:pPr>
            <w:r w:rsidRPr="00000E66">
              <w:rPr>
                <w:rFonts w:cs="Arial"/>
                <w:bCs/>
                <w:sz w:val="20"/>
                <w:szCs w:val="20"/>
              </w:rPr>
              <w:t>CPE</w:t>
            </w:r>
          </w:p>
          <w:p w14:paraId="343624AD" w14:textId="77777777" w:rsidR="009021F1" w:rsidRPr="00000E66" w:rsidRDefault="009021F1" w:rsidP="00E637E3">
            <w:pPr>
              <w:pStyle w:val="Paragraphedeliste"/>
              <w:ind w:left="195"/>
              <w:jc w:val="left"/>
              <w:rPr>
                <w:rFonts w:cs="Arial"/>
                <w:bCs/>
                <w:sz w:val="20"/>
                <w:szCs w:val="20"/>
              </w:rPr>
            </w:pPr>
          </w:p>
        </w:tc>
      </w:tr>
      <w:tr w:rsidR="009021F1" w:rsidRPr="00646EF1" w14:paraId="23476419" w14:textId="77777777" w:rsidTr="00E637E3">
        <w:trPr>
          <w:trHeight w:val="105"/>
        </w:trPr>
        <w:tc>
          <w:tcPr>
            <w:tcW w:w="1817" w:type="dxa"/>
            <w:vMerge/>
          </w:tcPr>
          <w:p w14:paraId="0AA67B69" w14:textId="77777777" w:rsidR="009021F1" w:rsidRPr="00000E66" w:rsidRDefault="009021F1" w:rsidP="00E637E3">
            <w:pPr>
              <w:rPr>
                <w:rFonts w:cs="Arial"/>
                <w:bCs/>
                <w:sz w:val="20"/>
                <w:szCs w:val="20"/>
              </w:rPr>
            </w:pPr>
          </w:p>
        </w:tc>
        <w:tc>
          <w:tcPr>
            <w:tcW w:w="3118" w:type="dxa"/>
          </w:tcPr>
          <w:p w14:paraId="2FD9152E" w14:textId="77777777" w:rsidR="009021F1" w:rsidRPr="00000E66" w:rsidRDefault="009021F1" w:rsidP="00E637E3">
            <w:pPr>
              <w:jc w:val="left"/>
              <w:rPr>
                <w:rFonts w:cs="Arial"/>
                <w:sz w:val="20"/>
                <w:szCs w:val="20"/>
              </w:rPr>
            </w:pPr>
            <w:r w:rsidRPr="00000E66">
              <w:rPr>
                <w:rFonts w:cs="Arial"/>
                <w:sz w:val="20"/>
                <w:szCs w:val="20"/>
              </w:rPr>
              <w:t>Plantation d’arbres et aménagement paysagers.</w:t>
            </w:r>
          </w:p>
        </w:tc>
        <w:tc>
          <w:tcPr>
            <w:tcW w:w="1752" w:type="dxa"/>
          </w:tcPr>
          <w:p w14:paraId="360E5BBB" w14:textId="77777777" w:rsidR="009021F1" w:rsidRPr="00000E66" w:rsidRDefault="009021F1" w:rsidP="00E637E3">
            <w:pPr>
              <w:pStyle w:val="Paragraphedeliste"/>
              <w:numPr>
                <w:ilvl w:val="0"/>
                <w:numId w:val="27"/>
              </w:numPr>
              <w:ind w:left="195" w:hanging="195"/>
              <w:jc w:val="left"/>
              <w:rPr>
                <w:rFonts w:cs="Arial"/>
                <w:bCs/>
                <w:sz w:val="20"/>
                <w:szCs w:val="20"/>
              </w:rPr>
            </w:pPr>
            <w:r w:rsidRPr="00000E66">
              <w:rPr>
                <w:rFonts w:cs="Arial"/>
                <w:bCs/>
                <w:sz w:val="20"/>
                <w:szCs w:val="20"/>
              </w:rPr>
              <w:t>Entreprises</w:t>
            </w:r>
          </w:p>
          <w:p w14:paraId="5FE1DC7D" w14:textId="77777777" w:rsidR="009021F1" w:rsidRPr="00000E66" w:rsidRDefault="009021F1" w:rsidP="00E637E3">
            <w:pPr>
              <w:pStyle w:val="Paragraphedeliste"/>
              <w:numPr>
                <w:ilvl w:val="0"/>
                <w:numId w:val="27"/>
              </w:numPr>
              <w:ind w:left="195" w:hanging="195"/>
              <w:jc w:val="left"/>
              <w:rPr>
                <w:rFonts w:cs="Arial"/>
                <w:bCs/>
                <w:sz w:val="20"/>
                <w:szCs w:val="20"/>
              </w:rPr>
            </w:pPr>
            <w:r w:rsidRPr="00000E66">
              <w:rPr>
                <w:rFonts w:cs="Arial"/>
                <w:bCs/>
                <w:sz w:val="20"/>
                <w:szCs w:val="20"/>
              </w:rPr>
              <w:t xml:space="preserve">ALE </w:t>
            </w:r>
          </w:p>
        </w:tc>
        <w:tc>
          <w:tcPr>
            <w:tcW w:w="1699" w:type="dxa"/>
          </w:tcPr>
          <w:p w14:paraId="76D49327" w14:textId="77777777" w:rsidR="009021F1" w:rsidRPr="00000E66" w:rsidRDefault="009021F1" w:rsidP="00E637E3">
            <w:pPr>
              <w:pStyle w:val="Paragraphedeliste"/>
              <w:numPr>
                <w:ilvl w:val="0"/>
                <w:numId w:val="27"/>
              </w:numPr>
              <w:ind w:left="195" w:hanging="195"/>
              <w:jc w:val="left"/>
              <w:rPr>
                <w:rFonts w:cs="Arial"/>
                <w:bCs/>
                <w:sz w:val="20"/>
                <w:szCs w:val="20"/>
              </w:rPr>
            </w:pPr>
            <w:r w:rsidRPr="00000E66">
              <w:rPr>
                <w:rFonts w:cs="Arial"/>
                <w:bCs/>
                <w:sz w:val="20"/>
                <w:szCs w:val="20"/>
              </w:rPr>
              <w:t xml:space="preserve">Bureaux de Contrôle </w:t>
            </w:r>
          </w:p>
          <w:p w14:paraId="541E4703" w14:textId="77777777" w:rsidR="009021F1" w:rsidRPr="00000E66" w:rsidRDefault="009021F1" w:rsidP="00E637E3">
            <w:pPr>
              <w:pStyle w:val="Paragraphedeliste"/>
              <w:ind w:left="195"/>
              <w:jc w:val="left"/>
              <w:rPr>
                <w:rFonts w:cs="Arial"/>
                <w:bCs/>
                <w:sz w:val="20"/>
                <w:szCs w:val="20"/>
              </w:rPr>
            </w:pPr>
          </w:p>
        </w:tc>
        <w:tc>
          <w:tcPr>
            <w:tcW w:w="2219" w:type="dxa"/>
          </w:tcPr>
          <w:p w14:paraId="28972412" w14:textId="77777777" w:rsidR="009021F1" w:rsidRPr="00000E66" w:rsidRDefault="009021F1" w:rsidP="00E637E3">
            <w:pPr>
              <w:pStyle w:val="Paragraphedeliste"/>
              <w:numPr>
                <w:ilvl w:val="0"/>
                <w:numId w:val="27"/>
              </w:numPr>
              <w:ind w:left="195" w:hanging="195"/>
              <w:jc w:val="left"/>
              <w:rPr>
                <w:rFonts w:cs="Arial"/>
                <w:bCs/>
                <w:sz w:val="20"/>
                <w:szCs w:val="20"/>
              </w:rPr>
            </w:pPr>
            <w:r w:rsidRPr="00000E66">
              <w:rPr>
                <w:rFonts w:cs="Arial"/>
                <w:bCs/>
                <w:sz w:val="20"/>
                <w:szCs w:val="20"/>
              </w:rPr>
              <w:t>SSE, SSS et SVBG du PNDA (phase de préparation et de mise en œuvre</w:t>
            </w:r>
          </w:p>
          <w:p w14:paraId="494F822F" w14:textId="77777777" w:rsidR="009021F1" w:rsidRPr="00000E66" w:rsidRDefault="009021F1" w:rsidP="00E637E3">
            <w:pPr>
              <w:pStyle w:val="Paragraphedeliste"/>
              <w:numPr>
                <w:ilvl w:val="0"/>
                <w:numId w:val="27"/>
              </w:numPr>
              <w:ind w:left="195" w:hanging="195"/>
              <w:jc w:val="left"/>
              <w:rPr>
                <w:rFonts w:cs="Arial"/>
                <w:bCs/>
                <w:sz w:val="20"/>
                <w:szCs w:val="20"/>
              </w:rPr>
            </w:pPr>
            <w:r w:rsidRPr="00000E66">
              <w:rPr>
                <w:rFonts w:cs="Arial"/>
                <w:bCs/>
                <w:sz w:val="20"/>
                <w:szCs w:val="20"/>
              </w:rPr>
              <w:t>Communes</w:t>
            </w:r>
          </w:p>
          <w:p w14:paraId="0A420F08" w14:textId="77777777" w:rsidR="009021F1" w:rsidRPr="00000E66" w:rsidRDefault="009021F1" w:rsidP="00E637E3">
            <w:pPr>
              <w:pStyle w:val="Paragraphedeliste"/>
              <w:numPr>
                <w:ilvl w:val="0"/>
                <w:numId w:val="27"/>
              </w:numPr>
              <w:ind w:left="195" w:hanging="195"/>
              <w:jc w:val="left"/>
              <w:rPr>
                <w:rFonts w:cs="Arial"/>
                <w:bCs/>
                <w:sz w:val="20"/>
                <w:szCs w:val="20"/>
              </w:rPr>
            </w:pPr>
            <w:r w:rsidRPr="00000E66">
              <w:rPr>
                <w:rFonts w:cs="Arial"/>
                <w:bCs/>
                <w:sz w:val="20"/>
                <w:szCs w:val="20"/>
              </w:rPr>
              <w:t>ACE</w:t>
            </w:r>
          </w:p>
        </w:tc>
      </w:tr>
      <w:tr w:rsidR="009021F1" w:rsidRPr="00646EF1" w14:paraId="3CF794C1" w14:textId="77777777" w:rsidTr="00E637E3">
        <w:trPr>
          <w:trHeight w:val="459"/>
        </w:trPr>
        <w:tc>
          <w:tcPr>
            <w:tcW w:w="1817" w:type="dxa"/>
            <w:vMerge/>
          </w:tcPr>
          <w:p w14:paraId="04D7E3C9" w14:textId="77777777" w:rsidR="009021F1" w:rsidRPr="00000E66" w:rsidRDefault="009021F1" w:rsidP="00E637E3">
            <w:pPr>
              <w:rPr>
                <w:rFonts w:cs="Arial"/>
                <w:bCs/>
                <w:sz w:val="20"/>
                <w:szCs w:val="20"/>
              </w:rPr>
            </w:pPr>
          </w:p>
        </w:tc>
        <w:tc>
          <w:tcPr>
            <w:tcW w:w="3118" w:type="dxa"/>
          </w:tcPr>
          <w:p w14:paraId="694A3B2F" w14:textId="77777777" w:rsidR="009021F1" w:rsidRPr="00000E66" w:rsidRDefault="009021F1" w:rsidP="00E637E3">
            <w:pPr>
              <w:rPr>
                <w:rFonts w:cs="Arial"/>
                <w:sz w:val="20"/>
                <w:szCs w:val="20"/>
              </w:rPr>
            </w:pPr>
            <w:r w:rsidRPr="00000E66">
              <w:rPr>
                <w:rFonts w:cs="Arial"/>
                <w:sz w:val="20"/>
                <w:szCs w:val="20"/>
              </w:rPr>
              <w:t>Distribution des intrants agricoles et semences aux petits exploitants agricoles ainsi qu’appui à la pêche et élevage.</w:t>
            </w:r>
          </w:p>
        </w:tc>
        <w:tc>
          <w:tcPr>
            <w:tcW w:w="1752" w:type="dxa"/>
            <w:vAlign w:val="center"/>
          </w:tcPr>
          <w:p w14:paraId="5FCD5782" w14:textId="77777777" w:rsidR="009021F1" w:rsidRPr="00000E66" w:rsidRDefault="009021F1" w:rsidP="00E637E3">
            <w:pPr>
              <w:pStyle w:val="Paragraphedeliste"/>
              <w:ind w:left="195"/>
              <w:jc w:val="left"/>
              <w:rPr>
                <w:rFonts w:cs="Arial"/>
                <w:bCs/>
                <w:sz w:val="20"/>
                <w:szCs w:val="20"/>
              </w:rPr>
            </w:pPr>
          </w:p>
          <w:p w14:paraId="63A30378" w14:textId="77777777" w:rsidR="009021F1" w:rsidRPr="00000E66" w:rsidRDefault="009021F1" w:rsidP="00E637E3">
            <w:pPr>
              <w:pStyle w:val="Paragraphedeliste"/>
              <w:numPr>
                <w:ilvl w:val="0"/>
                <w:numId w:val="27"/>
              </w:numPr>
              <w:ind w:left="195" w:hanging="195"/>
              <w:jc w:val="left"/>
              <w:rPr>
                <w:rFonts w:cs="Arial"/>
                <w:bCs/>
                <w:sz w:val="20"/>
                <w:szCs w:val="20"/>
              </w:rPr>
            </w:pPr>
            <w:r w:rsidRPr="00000E66">
              <w:rPr>
                <w:rFonts w:cs="Arial"/>
                <w:bCs/>
                <w:sz w:val="20"/>
                <w:szCs w:val="20"/>
              </w:rPr>
              <w:t>Fournisseurs</w:t>
            </w:r>
          </w:p>
          <w:p w14:paraId="7FC90C59" w14:textId="77777777" w:rsidR="009021F1" w:rsidRPr="00000E66" w:rsidRDefault="009021F1" w:rsidP="00E637E3">
            <w:pPr>
              <w:pStyle w:val="Paragraphedeliste"/>
              <w:ind w:left="195"/>
              <w:jc w:val="left"/>
              <w:rPr>
                <w:rFonts w:cs="Arial"/>
                <w:bCs/>
                <w:sz w:val="20"/>
                <w:szCs w:val="20"/>
              </w:rPr>
            </w:pPr>
          </w:p>
        </w:tc>
        <w:tc>
          <w:tcPr>
            <w:tcW w:w="1699" w:type="dxa"/>
          </w:tcPr>
          <w:p w14:paraId="5EEBB8E7" w14:textId="77777777" w:rsidR="009021F1" w:rsidRPr="00000E66" w:rsidRDefault="009021F1" w:rsidP="00E637E3">
            <w:pPr>
              <w:pStyle w:val="Paragraphedeliste"/>
              <w:numPr>
                <w:ilvl w:val="0"/>
                <w:numId w:val="27"/>
              </w:numPr>
              <w:ind w:left="195" w:hanging="195"/>
              <w:jc w:val="left"/>
              <w:rPr>
                <w:rFonts w:cs="Arial"/>
                <w:bCs/>
                <w:sz w:val="20"/>
                <w:szCs w:val="20"/>
              </w:rPr>
            </w:pPr>
            <w:r w:rsidRPr="00000E66">
              <w:rPr>
                <w:rFonts w:cs="Arial"/>
                <w:bCs/>
                <w:sz w:val="20"/>
                <w:szCs w:val="20"/>
              </w:rPr>
              <w:t>SSE, SSS et SVBG du PNDA (phase de préparation et de mise en œuvre).</w:t>
            </w:r>
          </w:p>
        </w:tc>
        <w:tc>
          <w:tcPr>
            <w:tcW w:w="2219" w:type="dxa"/>
          </w:tcPr>
          <w:p w14:paraId="14215874" w14:textId="77777777" w:rsidR="009021F1" w:rsidRPr="00000E66" w:rsidRDefault="009021F1" w:rsidP="00E637E3">
            <w:pPr>
              <w:pStyle w:val="Paragraphedeliste"/>
              <w:numPr>
                <w:ilvl w:val="0"/>
                <w:numId w:val="27"/>
              </w:numPr>
              <w:ind w:left="195" w:hanging="195"/>
              <w:jc w:val="left"/>
              <w:rPr>
                <w:rFonts w:cs="Arial"/>
                <w:bCs/>
                <w:sz w:val="20"/>
                <w:szCs w:val="20"/>
              </w:rPr>
            </w:pPr>
            <w:r w:rsidRPr="00000E66">
              <w:rPr>
                <w:rFonts w:cs="Arial"/>
                <w:bCs/>
                <w:sz w:val="20"/>
                <w:szCs w:val="20"/>
              </w:rPr>
              <w:t>CTPS (phase préparation)</w:t>
            </w:r>
          </w:p>
          <w:p w14:paraId="5E4B0825" w14:textId="77777777" w:rsidR="009021F1" w:rsidRPr="00000E66" w:rsidRDefault="009021F1" w:rsidP="00E637E3">
            <w:pPr>
              <w:pStyle w:val="Paragraphedeliste"/>
              <w:ind w:left="195"/>
              <w:jc w:val="left"/>
              <w:rPr>
                <w:rFonts w:cs="Arial"/>
                <w:bCs/>
                <w:sz w:val="20"/>
                <w:szCs w:val="20"/>
              </w:rPr>
            </w:pPr>
            <w:r w:rsidRPr="00000E66">
              <w:rPr>
                <w:rFonts w:cs="Arial"/>
                <w:bCs/>
                <w:sz w:val="20"/>
                <w:szCs w:val="20"/>
              </w:rPr>
              <w:t>UNCP/PNDA (phase de mise en œuvre)</w:t>
            </w:r>
          </w:p>
          <w:p w14:paraId="7F846182" w14:textId="77777777" w:rsidR="009021F1" w:rsidRPr="00000E66" w:rsidRDefault="009021F1" w:rsidP="00E637E3">
            <w:pPr>
              <w:pStyle w:val="Paragraphedeliste"/>
              <w:numPr>
                <w:ilvl w:val="0"/>
                <w:numId w:val="27"/>
              </w:numPr>
              <w:ind w:left="195" w:hanging="195"/>
              <w:jc w:val="left"/>
              <w:rPr>
                <w:rFonts w:cs="Arial"/>
                <w:bCs/>
                <w:sz w:val="20"/>
                <w:szCs w:val="20"/>
              </w:rPr>
            </w:pPr>
            <w:r w:rsidRPr="00000E66">
              <w:rPr>
                <w:rFonts w:cs="Arial"/>
                <w:bCs/>
                <w:sz w:val="20"/>
                <w:szCs w:val="20"/>
              </w:rPr>
              <w:t>Provinces</w:t>
            </w:r>
          </w:p>
          <w:p w14:paraId="149DB1EA" w14:textId="77777777" w:rsidR="009021F1" w:rsidRPr="00000E66" w:rsidRDefault="009021F1" w:rsidP="00E637E3">
            <w:pPr>
              <w:pStyle w:val="Paragraphedeliste"/>
              <w:numPr>
                <w:ilvl w:val="0"/>
                <w:numId w:val="27"/>
              </w:numPr>
              <w:ind w:left="195" w:hanging="195"/>
              <w:jc w:val="left"/>
              <w:rPr>
                <w:rFonts w:cs="Arial"/>
                <w:bCs/>
                <w:sz w:val="20"/>
                <w:szCs w:val="20"/>
              </w:rPr>
            </w:pPr>
            <w:r w:rsidRPr="00000E66">
              <w:rPr>
                <w:rFonts w:cs="Arial"/>
                <w:bCs/>
                <w:sz w:val="20"/>
                <w:szCs w:val="20"/>
              </w:rPr>
              <w:t>ACE</w:t>
            </w:r>
          </w:p>
          <w:p w14:paraId="00BF10E3" w14:textId="77777777" w:rsidR="009021F1" w:rsidRPr="00000E66" w:rsidRDefault="009021F1" w:rsidP="00E637E3">
            <w:pPr>
              <w:pStyle w:val="Paragraphedeliste"/>
              <w:numPr>
                <w:ilvl w:val="0"/>
                <w:numId w:val="27"/>
              </w:numPr>
              <w:ind w:left="195" w:hanging="195"/>
              <w:jc w:val="left"/>
              <w:rPr>
                <w:rFonts w:cs="Arial"/>
                <w:bCs/>
                <w:sz w:val="20"/>
                <w:szCs w:val="20"/>
              </w:rPr>
            </w:pPr>
            <w:r w:rsidRPr="00000E66">
              <w:rPr>
                <w:rFonts w:cs="Arial"/>
                <w:bCs/>
                <w:sz w:val="20"/>
                <w:szCs w:val="20"/>
              </w:rPr>
              <w:t>CPE</w:t>
            </w:r>
          </w:p>
        </w:tc>
      </w:tr>
      <w:tr w:rsidR="009021F1" w:rsidRPr="00646EF1" w14:paraId="309D88F9" w14:textId="77777777" w:rsidTr="00E637E3">
        <w:trPr>
          <w:trHeight w:val="459"/>
        </w:trPr>
        <w:tc>
          <w:tcPr>
            <w:tcW w:w="1817" w:type="dxa"/>
          </w:tcPr>
          <w:p w14:paraId="0112841D" w14:textId="77777777" w:rsidR="009021F1" w:rsidRPr="00000E66" w:rsidRDefault="009021F1" w:rsidP="00E637E3">
            <w:pPr>
              <w:rPr>
                <w:rFonts w:cs="Arial"/>
                <w:bCs/>
                <w:sz w:val="20"/>
                <w:szCs w:val="20"/>
              </w:rPr>
            </w:pPr>
            <w:r w:rsidRPr="00000E66">
              <w:rPr>
                <w:rFonts w:cs="Arial"/>
                <w:bCs/>
                <w:sz w:val="20"/>
                <w:szCs w:val="20"/>
              </w:rPr>
              <w:t>Mesures</w:t>
            </w:r>
          </w:p>
        </w:tc>
        <w:tc>
          <w:tcPr>
            <w:tcW w:w="3118" w:type="dxa"/>
          </w:tcPr>
          <w:p w14:paraId="3E62FCDD" w14:textId="77777777" w:rsidR="009021F1" w:rsidRPr="00000E66" w:rsidRDefault="009021F1" w:rsidP="00E637E3">
            <w:pPr>
              <w:rPr>
                <w:rFonts w:cs="Arial"/>
                <w:sz w:val="20"/>
                <w:szCs w:val="20"/>
              </w:rPr>
            </w:pPr>
          </w:p>
          <w:p w14:paraId="768B8A31" w14:textId="77777777" w:rsidR="009021F1" w:rsidRPr="00000E66" w:rsidRDefault="009021F1" w:rsidP="00E637E3">
            <w:pPr>
              <w:pStyle w:val="Paragraphedeliste"/>
              <w:numPr>
                <w:ilvl w:val="0"/>
                <w:numId w:val="27"/>
              </w:numPr>
              <w:ind w:left="195" w:hanging="195"/>
              <w:jc w:val="left"/>
              <w:rPr>
                <w:rFonts w:cs="Arial"/>
                <w:bCs/>
                <w:sz w:val="20"/>
                <w:szCs w:val="20"/>
              </w:rPr>
            </w:pPr>
            <w:r w:rsidRPr="00000E66">
              <w:rPr>
                <w:rFonts w:cs="Arial"/>
                <w:bCs/>
                <w:sz w:val="20"/>
                <w:szCs w:val="20"/>
              </w:rPr>
              <w:t>Mise en place d’un système de gestion environnementale et sociale (SGES)</w:t>
            </w:r>
          </w:p>
          <w:p w14:paraId="62417249" w14:textId="77777777" w:rsidR="009021F1" w:rsidRPr="00000E66" w:rsidRDefault="009021F1" w:rsidP="00E637E3">
            <w:pPr>
              <w:pStyle w:val="Paragraphedeliste"/>
              <w:numPr>
                <w:ilvl w:val="0"/>
                <w:numId w:val="27"/>
              </w:numPr>
              <w:ind w:left="195" w:hanging="195"/>
              <w:jc w:val="left"/>
              <w:rPr>
                <w:rFonts w:cs="Arial"/>
                <w:bCs/>
                <w:sz w:val="20"/>
                <w:szCs w:val="20"/>
              </w:rPr>
            </w:pPr>
            <w:r w:rsidRPr="00000E66">
              <w:rPr>
                <w:rFonts w:cs="Arial"/>
                <w:bCs/>
                <w:sz w:val="20"/>
                <w:szCs w:val="20"/>
              </w:rPr>
              <w:t>Sélection des petits exploitants éligibles aux financements des IF</w:t>
            </w:r>
          </w:p>
          <w:p w14:paraId="03CA375C" w14:textId="77777777" w:rsidR="009021F1" w:rsidRPr="00000E66" w:rsidRDefault="009021F1" w:rsidP="00E637E3">
            <w:pPr>
              <w:rPr>
                <w:rFonts w:cs="Arial"/>
                <w:sz w:val="20"/>
                <w:szCs w:val="20"/>
              </w:rPr>
            </w:pPr>
          </w:p>
        </w:tc>
        <w:tc>
          <w:tcPr>
            <w:tcW w:w="1752" w:type="dxa"/>
            <w:vAlign w:val="center"/>
          </w:tcPr>
          <w:p w14:paraId="7FBA79EB" w14:textId="77777777" w:rsidR="009021F1" w:rsidRPr="00000E66" w:rsidRDefault="009021F1" w:rsidP="00E637E3">
            <w:pPr>
              <w:pStyle w:val="Paragraphedeliste"/>
              <w:numPr>
                <w:ilvl w:val="0"/>
                <w:numId w:val="27"/>
              </w:numPr>
              <w:ind w:left="195" w:hanging="195"/>
              <w:jc w:val="left"/>
              <w:rPr>
                <w:rFonts w:cs="Arial"/>
                <w:bCs/>
                <w:sz w:val="20"/>
                <w:szCs w:val="20"/>
                <w:lang w:val="en-US"/>
              </w:rPr>
            </w:pPr>
            <w:r w:rsidRPr="00000E66">
              <w:rPr>
                <w:rFonts w:cs="Arial"/>
                <w:bCs/>
                <w:sz w:val="20"/>
                <w:szCs w:val="20"/>
                <w:lang w:val="en-US"/>
              </w:rPr>
              <w:t>Intermédiaires financiers (BCC, Equity Bank Congo et Raw Bank sarl)</w:t>
            </w:r>
          </w:p>
          <w:p w14:paraId="2FE420BC" w14:textId="77777777" w:rsidR="009021F1" w:rsidRPr="00000E66" w:rsidRDefault="009021F1" w:rsidP="00E637E3">
            <w:pPr>
              <w:pStyle w:val="Paragraphedeliste"/>
              <w:numPr>
                <w:ilvl w:val="0"/>
                <w:numId w:val="27"/>
              </w:numPr>
              <w:ind w:left="195" w:hanging="195"/>
              <w:jc w:val="left"/>
              <w:rPr>
                <w:rFonts w:cs="Arial"/>
                <w:bCs/>
                <w:sz w:val="20"/>
                <w:szCs w:val="20"/>
              </w:rPr>
            </w:pPr>
            <w:r w:rsidRPr="00000E66">
              <w:rPr>
                <w:rFonts w:cs="Arial"/>
                <w:bCs/>
                <w:sz w:val="20"/>
                <w:szCs w:val="20"/>
              </w:rPr>
              <w:t>Les Associations et coopératives agricoles</w:t>
            </w:r>
          </w:p>
        </w:tc>
        <w:tc>
          <w:tcPr>
            <w:tcW w:w="1699" w:type="dxa"/>
          </w:tcPr>
          <w:p w14:paraId="5DC8A995" w14:textId="77777777" w:rsidR="009021F1" w:rsidRPr="00000E66" w:rsidRDefault="009021F1" w:rsidP="00E637E3">
            <w:pPr>
              <w:pStyle w:val="Paragraphedeliste"/>
              <w:numPr>
                <w:ilvl w:val="0"/>
                <w:numId w:val="27"/>
              </w:numPr>
              <w:ind w:left="195" w:hanging="195"/>
              <w:jc w:val="left"/>
              <w:rPr>
                <w:rFonts w:cs="Arial"/>
                <w:bCs/>
                <w:sz w:val="20"/>
                <w:szCs w:val="20"/>
              </w:rPr>
            </w:pPr>
            <w:r w:rsidRPr="00000E66">
              <w:rPr>
                <w:rFonts w:cs="Arial"/>
                <w:bCs/>
                <w:sz w:val="20"/>
                <w:szCs w:val="20"/>
              </w:rPr>
              <w:t>SSE, SSS du PNDA (phase de préparation et de mise en œuvre).</w:t>
            </w:r>
          </w:p>
        </w:tc>
        <w:tc>
          <w:tcPr>
            <w:tcW w:w="2219" w:type="dxa"/>
          </w:tcPr>
          <w:p w14:paraId="761E986F" w14:textId="77777777" w:rsidR="009021F1" w:rsidRPr="00000E66" w:rsidRDefault="009021F1" w:rsidP="00E637E3">
            <w:pPr>
              <w:pStyle w:val="Paragraphedeliste"/>
              <w:numPr>
                <w:ilvl w:val="0"/>
                <w:numId w:val="27"/>
              </w:numPr>
              <w:ind w:left="195" w:hanging="195"/>
              <w:jc w:val="left"/>
              <w:rPr>
                <w:rFonts w:cs="Arial"/>
                <w:bCs/>
                <w:sz w:val="20"/>
                <w:szCs w:val="20"/>
              </w:rPr>
            </w:pPr>
            <w:r w:rsidRPr="00000E66">
              <w:rPr>
                <w:rFonts w:cs="Arial"/>
                <w:bCs/>
                <w:sz w:val="20"/>
                <w:szCs w:val="20"/>
              </w:rPr>
              <w:t>CTPS (phase préparation)</w:t>
            </w:r>
          </w:p>
          <w:p w14:paraId="0ECADC54" w14:textId="77777777" w:rsidR="009021F1" w:rsidRPr="00000E66" w:rsidRDefault="009021F1" w:rsidP="00E637E3">
            <w:pPr>
              <w:pStyle w:val="Paragraphedeliste"/>
              <w:ind w:left="195"/>
              <w:jc w:val="left"/>
              <w:rPr>
                <w:rFonts w:cs="Arial"/>
                <w:bCs/>
                <w:sz w:val="20"/>
                <w:szCs w:val="20"/>
              </w:rPr>
            </w:pPr>
            <w:r w:rsidRPr="00000E66">
              <w:rPr>
                <w:rFonts w:cs="Arial"/>
                <w:bCs/>
                <w:sz w:val="20"/>
                <w:szCs w:val="20"/>
              </w:rPr>
              <w:t>UNCP/PNDA (phase de mise en œuvre)</w:t>
            </w:r>
          </w:p>
          <w:p w14:paraId="17733BB0" w14:textId="77777777" w:rsidR="009021F1" w:rsidRPr="00000E66" w:rsidRDefault="009021F1" w:rsidP="00E637E3">
            <w:pPr>
              <w:pStyle w:val="Paragraphedeliste"/>
              <w:numPr>
                <w:ilvl w:val="0"/>
                <w:numId w:val="27"/>
              </w:numPr>
              <w:ind w:left="195" w:hanging="195"/>
              <w:jc w:val="left"/>
              <w:rPr>
                <w:rFonts w:cs="Arial"/>
                <w:bCs/>
                <w:sz w:val="20"/>
                <w:szCs w:val="20"/>
              </w:rPr>
            </w:pPr>
            <w:r w:rsidRPr="00000E66">
              <w:rPr>
                <w:rFonts w:cs="Arial"/>
                <w:bCs/>
                <w:sz w:val="20"/>
                <w:szCs w:val="20"/>
              </w:rPr>
              <w:t>Provinces</w:t>
            </w:r>
          </w:p>
          <w:p w14:paraId="3AC5991E" w14:textId="77777777" w:rsidR="009021F1" w:rsidRPr="00000E66" w:rsidRDefault="009021F1" w:rsidP="00E637E3">
            <w:pPr>
              <w:pStyle w:val="Paragraphedeliste"/>
              <w:numPr>
                <w:ilvl w:val="0"/>
                <w:numId w:val="27"/>
              </w:numPr>
              <w:ind w:left="195" w:hanging="195"/>
              <w:jc w:val="left"/>
              <w:rPr>
                <w:rFonts w:cs="Arial"/>
                <w:bCs/>
                <w:sz w:val="20"/>
                <w:szCs w:val="20"/>
              </w:rPr>
            </w:pPr>
            <w:r w:rsidRPr="00000E66">
              <w:rPr>
                <w:rFonts w:cs="Arial"/>
                <w:bCs/>
                <w:sz w:val="20"/>
                <w:szCs w:val="20"/>
              </w:rPr>
              <w:t>ACE</w:t>
            </w:r>
          </w:p>
          <w:p w14:paraId="498FE6FE" w14:textId="77777777" w:rsidR="009021F1" w:rsidRPr="00000E66" w:rsidRDefault="009021F1" w:rsidP="00E637E3">
            <w:pPr>
              <w:pStyle w:val="Paragraphedeliste"/>
              <w:numPr>
                <w:ilvl w:val="0"/>
                <w:numId w:val="27"/>
              </w:numPr>
              <w:ind w:left="195" w:hanging="195"/>
              <w:jc w:val="left"/>
              <w:rPr>
                <w:rFonts w:cs="Arial"/>
                <w:bCs/>
                <w:sz w:val="20"/>
                <w:szCs w:val="20"/>
              </w:rPr>
            </w:pPr>
            <w:r w:rsidRPr="00000E66">
              <w:rPr>
                <w:rFonts w:cs="Arial"/>
                <w:bCs/>
                <w:sz w:val="20"/>
                <w:szCs w:val="20"/>
              </w:rPr>
              <w:t>CPE</w:t>
            </w:r>
          </w:p>
        </w:tc>
      </w:tr>
      <w:tr w:rsidR="009021F1" w:rsidRPr="00646EF1" w14:paraId="2280E9CE" w14:textId="77777777" w:rsidTr="00E637E3">
        <w:trPr>
          <w:trHeight w:val="330"/>
        </w:trPr>
        <w:tc>
          <w:tcPr>
            <w:tcW w:w="1817" w:type="dxa"/>
            <w:vMerge w:val="restart"/>
          </w:tcPr>
          <w:p w14:paraId="269C851C" w14:textId="77777777" w:rsidR="009021F1" w:rsidRPr="00000E66" w:rsidRDefault="009021F1" w:rsidP="00E637E3">
            <w:pPr>
              <w:rPr>
                <w:rFonts w:cs="Arial"/>
                <w:sz w:val="20"/>
                <w:szCs w:val="20"/>
              </w:rPr>
            </w:pPr>
            <w:r w:rsidRPr="00000E66">
              <w:rPr>
                <w:rFonts w:cs="Arial"/>
                <w:bCs/>
                <w:sz w:val="20"/>
                <w:szCs w:val="20"/>
              </w:rPr>
              <w:t>Mesures de suivi</w:t>
            </w:r>
          </w:p>
        </w:tc>
        <w:tc>
          <w:tcPr>
            <w:tcW w:w="3118" w:type="dxa"/>
            <w:vAlign w:val="center"/>
          </w:tcPr>
          <w:p w14:paraId="5DAB560B" w14:textId="77777777" w:rsidR="009021F1" w:rsidRPr="00000E66" w:rsidRDefault="009021F1" w:rsidP="00E637E3">
            <w:pPr>
              <w:jc w:val="left"/>
              <w:rPr>
                <w:rFonts w:cs="Arial"/>
                <w:sz w:val="20"/>
                <w:szCs w:val="20"/>
              </w:rPr>
            </w:pPr>
            <w:r w:rsidRPr="00000E66">
              <w:rPr>
                <w:rFonts w:cs="Arial"/>
                <w:sz w:val="20"/>
                <w:szCs w:val="20"/>
              </w:rPr>
              <w:t>Suivi environnemental et social permanent</w:t>
            </w:r>
          </w:p>
        </w:tc>
        <w:tc>
          <w:tcPr>
            <w:tcW w:w="1752" w:type="dxa"/>
            <w:vAlign w:val="center"/>
          </w:tcPr>
          <w:p w14:paraId="1110B9CB" w14:textId="77777777" w:rsidR="009021F1" w:rsidRPr="00000E66" w:rsidRDefault="009021F1" w:rsidP="00E637E3">
            <w:pPr>
              <w:pStyle w:val="Paragraphedeliste"/>
              <w:numPr>
                <w:ilvl w:val="0"/>
                <w:numId w:val="27"/>
              </w:numPr>
              <w:ind w:left="195" w:hanging="195"/>
              <w:jc w:val="left"/>
              <w:rPr>
                <w:rFonts w:cs="Arial"/>
                <w:bCs/>
                <w:sz w:val="20"/>
                <w:szCs w:val="20"/>
              </w:rPr>
            </w:pPr>
            <w:r w:rsidRPr="00000E66">
              <w:rPr>
                <w:rFonts w:cs="Arial"/>
                <w:bCs/>
                <w:sz w:val="20"/>
                <w:szCs w:val="20"/>
              </w:rPr>
              <w:t xml:space="preserve">Bureaux de Contrôle </w:t>
            </w:r>
          </w:p>
        </w:tc>
        <w:tc>
          <w:tcPr>
            <w:tcW w:w="1699" w:type="dxa"/>
          </w:tcPr>
          <w:p w14:paraId="49B45366" w14:textId="77777777" w:rsidR="009021F1" w:rsidRPr="00000E66" w:rsidRDefault="009021F1" w:rsidP="00E637E3">
            <w:pPr>
              <w:pStyle w:val="Paragraphedeliste"/>
              <w:numPr>
                <w:ilvl w:val="0"/>
                <w:numId w:val="27"/>
              </w:numPr>
              <w:ind w:left="195" w:hanging="195"/>
              <w:jc w:val="left"/>
              <w:rPr>
                <w:rFonts w:cs="Arial"/>
                <w:bCs/>
                <w:sz w:val="20"/>
                <w:szCs w:val="20"/>
              </w:rPr>
            </w:pPr>
            <w:r w:rsidRPr="00000E66">
              <w:rPr>
                <w:rFonts w:cs="Arial"/>
                <w:bCs/>
                <w:sz w:val="20"/>
                <w:szCs w:val="20"/>
              </w:rPr>
              <w:t>SSE, SSS et SVBG du PNDA (phase de préparation et de mise en œuvre)</w:t>
            </w:r>
          </w:p>
        </w:tc>
        <w:tc>
          <w:tcPr>
            <w:tcW w:w="2219" w:type="dxa"/>
          </w:tcPr>
          <w:p w14:paraId="25F041CE" w14:textId="77777777" w:rsidR="009021F1" w:rsidRPr="00000E66" w:rsidRDefault="009021F1" w:rsidP="00E637E3">
            <w:pPr>
              <w:pStyle w:val="Paragraphedeliste"/>
              <w:numPr>
                <w:ilvl w:val="0"/>
                <w:numId w:val="27"/>
              </w:numPr>
              <w:ind w:left="195" w:hanging="195"/>
              <w:jc w:val="left"/>
              <w:rPr>
                <w:rFonts w:cs="Arial"/>
                <w:bCs/>
                <w:sz w:val="20"/>
                <w:szCs w:val="20"/>
              </w:rPr>
            </w:pPr>
            <w:r w:rsidRPr="00000E66">
              <w:rPr>
                <w:rFonts w:cs="Arial"/>
                <w:bCs/>
                <w:sz w:val="20"/>
                <w:szCs w:val="20"/>
              </w:rPr>
              <w:t>CTPS, UNCP/PARRSA et UNCP/PNDA (phase de mise en œuvre)</w:t>
            </w:r>
          </w:p>
          <w:p w14:paraId="0D1935D5" w14:textId="77777777" w:rsidR="009021F1" w:rsidRPr="00000E66" w:rsidRDefault="009021F1" w:rsidP="00E637E3">
            <w:pPr>
              <w:pStyle w:val="Paragraphedeliste"/>
              <w:numPr>
                <w:ilvl w:val="0"/>
                <w:numId w:val="27"/>
              </w:numPr>
              <w:ind w:left="195" w:hanging="195"/>
              <w:jc w:val="left"/>
              <w:rPr>
                <w:rFonts w:cs="Arial"/>
                <w:bCs/>
                <w:sz w:val="20"/>
                <w:szCs w:val="20"/>
              </w:rPr>
            </w:pPr>
            <w:r w:rsidRPr="00000E66">
              <w:rPr>
                <w:rFonts w:cs="Arial"/>
                <w:bCs/>
                <w:sz w:val="20"/>
                <w:szCs w:val="20"/>
              </w:rPr>
              <w:t>Provinces</w:t>
            </w:r>
          </w:p>
          <w:p w14:paraId="1B32F67C" w14:textId="77777777" w:rsidR="009021F1" w:rsidRPr="00000E66" w:rsidRDefault="009021F1" w:rsidP="00E637E3">
            <w:pPr>
              <w:pStyle w:val="Paragraphedeliste"/>
              <w:numPr>
                <w:ilvl w:val="0"/>
                <w:numId w:val="27"/>
              </w:numPr>
              <w:ind w:left="195" w:hanging="195"/>
              <w:jc w:val="left"/>
              <w:rPr>
                <w:rFonts w:cs="Arial"/>
                <w:bCs/>
                <w:sz w:val="20"/>
                <w:szCs w:val="20"/>
              </w:rPr>
            </w:pPr>
            <w:r w:rsidRPr="00000E66">
              <w:rPr>
                <w:rFonts w:cs="Arial"/>
                <w:bCs/>
                <w:sz w:val="20"/>
                <w:szCs w:val="20"/>
              </w:rPr>
              <w:t>ACE</w:t>
            </w:r>
          </w:p>
          <w:p w14:paraId="0D26BF2D" w14:textId="77777777" w:rsidR="009021F1" w:rsidRPr="00000E66" w:rsidRDefault="009021F1" w:rsidP="00E637E3">
            <w:pPr>
              <w:pStyle w:val="Paragraphedeliste"/>
              <w:numPr>
                <w:ilvl w:val="0"/>
                <w:numId w:val="27"/>
              </w:numPr>
              <w:ind w:left="195" w:hanging="195"/>
              <w:jc w:val="left"/>
              <w:rPr>
                <w:rFonts w:cs="Arial"/>
                <w:bCs/>
                <w:sz w:val="20"/>
                <w:szCs w:val="20"/>
              </w:rPr>
            </w:pPr>
            <w:r w:rsidRPr="00000E66">
              <w:rPr>
                <w:rFonts w:cs="Arial"/>
                <w:bCs/>
                <w:sz w:val="20"/>
                <w:szCs w:val="20"/>
              </w:rPr>
              <w:t>CPE</w:t>
            </w:r>
          </w:p>
        </w:tc>
      </w:tr>
      <w:tr w:rsidR="009021F1" w:rsidRPr="00646EF1" w14:paraId="0BA46C1A" w14:textId="77777777" w:rsidTr="00E637E3">
        <w:trPr>
          <w:trHeight w:val="330"/>
        </w:trPr>
        <w:tc>
          <w:tcPr>
            <w:tcW w:w="1817" w:type="dxa"/>
            <w:vMerge/>
          </w:tcPr>
          <w:p w14:paraId="4696501D" w14:textId="77777777" w:rsidR="009021F1" w:rsidRPr="00000E66" w:rsidRDefault="009021F1" w:rsidP="00E637E3">
            <w:pPr>
              <w:rPr>
                <w:rFonts w:cs="Arial"/>
                <w:sz w:val="20"/>
                <w:szCs w:val="20"/>
              </w:rPr>
            </w:pPr>
          </w:p>
        </w:tc>
        <w:tc>
          <w:tcPr>
            <w:tcW w:w="3118" w:type="dxa"/>
            <w:vAlign w:val="center"/>
          </w:tcPr>
          <w:p w14:paraId="0F8C3EEE" w14:textId="77777777" w:rsidR="009021F1" w:rsidRPr="00000E66" w:rsidRDefault="009021F1" w:rsidP="00E637E3">
            <w:pPr>
              <w:jc w:val="left"/>
              <w:rPr>
                <w:rFonts w:cs="Arial"/>
                <w:sz w:val="20"/>
                <w:szCs w:val="20"/>
              </w:rPr>
            </w:pPr>
            <w:r w:rsidRPr="00000E66">
              <w:rPr>
                <w:rFonts w:cs="Arial"/>
                <w:sz w:val="20"/>
                <w:szCs w:val="20"/>
              </w:rPr>
              <w:t>Évaluation CGES (permanent et finale)</w:t>
            </w:r>
          </w:p>
        </w:tc>
        <w:tc>
          <w:tcPr>
            <w:tcW w:w="1752" w:type="dxa"/>
            <w:vAlign w:val="center"/>
          </w:tcPr>
          <w:p w14:paraId="1256F480" w14:textId="77777777" w:rsidR="009021F1" w:rsidRPr="00000E66" w:rsidRDefault="009021F1" w:rsidP="00E637E3">
            <w:pPr>
              <w:pStyle w:val="Paragraphedeliste"/>
              <w:numPr>
                <w:ilvl w:val="0"/>
                <w:numId w:val="27"/>
              </w:numPr>
              <w:ind w:left="195" w:hanging="195"/>
              <w:jc w:val="left"/>
              <w:rPr>
                <w:rFonts w:cs="Arial"/>
                <w:bCs/>
                <w:sz w:val="20"/>
                <w:szCs w:val="20"/>
              </w:rPr>
            </w:pPr>
            <w:r w:rsidRPr="00000E66">
              <w:rPr>
                <w:rFonts w:cs="Arial"/>
                <w:bCs/>
                <w:sz w:val="20"/>
                <w:szCs w:val="20"/>
              </w:rPr>
              <w:t>Consultants</w:t>
            </w:r>
          </w:p>
        </w:tc>
        <w:tc>
          <w:tcPr>
            <w:tcW w:w="1699" w:type="dxa"/>
          </w:tcPr>
          <w:p w14:paraId="2CEE8348" w14:textId="77777777" w:rsidR="009021F1" w:rsidRPr="00000E66" w:rsidRDefault="009021F1" w:rsidP="00E637E3">
            <w:pPr>
              <w:pStyle w:val="Paragraphedeliste"/>
              <w:numPr>
                <w:ilvl w:val="0"/>
                <w:numId w:val="27"/>
              </w:numPr>
              <w:ind w:left="195" w:hanging="195"/>
              <w:jc w:val="left"/>
              <w:rPr>
                <w:rFonts w:cs="Arial"/>
                <w:bCs/>
                <w:sz w:val="20"/>
                <w:szCs w:val="20"/>
              </w:rPr>
            </w:pPr>
            <w:r w:rsidRPr="00000E66">
              <w:rPr>
                <w:rFonts w:cs="Arial"/>
                <w:bCs/>
                <w:sz w:val="20"/>
                <w:szCs w:val="20"/>
              </w:rPr>
              <w:t>SSE, SSS et SVBG (phase de préparation et de mise en œuvre</w:t>
            </w:r>
          </w:p>
        </w:tc>
        <w:tc>
          <w:tcPr>
            <w:tcW w:w="2219" w:type="dxa"/>
          </w:tcPr>
          <w:p w14:paraId="552F1E26" w14:textId="77777777" w:rsidR="009021F1" w:rsidRPr="00000E66" w:rsidRDefault="009021F1" w:rsidP="00E637E3">
            <w:pPr>
              <w:pStyle w:val="Paragraphedeliste"/>
              <w:numPr>
                <w:ilvl w:val="0"/>
                <w:numId w:val="27"/>
              </w:numPr>
              <w:ind w:left="195" w:hanging="195"/>
              <w:jc w:val="left"/>
              <w:rPr>
                <w:rFonts w:cs="Arial"/>
                <w:bCs/>
                <w:sz w:val="20"/>
                <w:szCs w:val="20"/>
              </w:rPr>
            </w:pPr>
            <w:r w:rsidRPr="00000E66">
              <w:rPr>
                <w:rFonts w:cs="Arial"/>
                <w:bCs/>
                <w:sz w:val="20"/>
                <w:szCs w:val="20"/>
              </w:rPr>
              <w:t>CTPS, UNCP/PARRSA et UNCP/PNDA (phase de préparation)</w:t>
            </w:r>
          </w:p>
        </w:tc>
      </w:tr>
      <w:tr w:rsidR="009021F1" w:rsidRPr="00646EF1" w14:paraId="7628585B" w14:textId="77777777" w:rsidTr="00E637E3">
        <w:trPr>
          <w:trHeight w:val="330"/>
        </w:trPr>
        <w:tc>
          <w:tcPr>
            <w:tcW w:w="1817" w:type="dxa"/>
          </w:tcPr>
          <w:p w14:paraId="3DD3E22F" w14:textId="77777777" w:rsidR="009021F1" w:rsidRPr="00000E66" w:rsidRDefault="009021F1" w:rsidP="00E637E3">
            <w:pPr>
              <w:rPr>
                <w:rFonts w:cs="Arial"/>
                <w:sz w:val="20"/>
                <w:szCs w:val="20"/>
              </w:rPr>
            </w:pPr>
            <w:r w:rsidRPr="00000E66">
              <w:rPr>
                <w:rFonts w:cs="Arial"/>
                <w:sz w:val="20"/>
                <w:szCs w:val="20"/>
              </w:rPr>
              <w:t>Formation</w:t>
            </w:r>
          </w:p>
        </w:tc>
        <w:tc>
          <w:tcPr>
            <w:tcW w:w="3118" w:type="dxa"/>
          </w:tcPr>
          <w:p w14:paraId="0498FC85" w14:textId="77777777" w:rsidR="009021F1" w:rsidRPr="00000E66" w:rsidRDefault="009021F1" w:rsidP="00E637E3">
            <w:pPr>
              <w:jc w:val="left"/>
              <w:rPr>
                <w:rFonts w:cs="Arial"/>
                <w:sz w:val="20"/>
                <w:szCs w:val="20"/>
              </w:rPr>
            </w:pPr>
            <w:r w:rsidRPr="00000E66">
              <w:rPr>
                <w:rFonts w:cs="Arial"/>
                <w:sz w:val="20"/>
                <w:szCs w:val="20"/>
              </w:rPr>
              <w:t>Évaluation environnementale et sociale des projets, y compris des risques d’EAS/HS et de COVID-19 ; Suivi et Exécution des mesures environnementales et sociales ainsi que celles liées à l’EASE et au COVID-19.</w:t>
            </w:r>
          </w:p>
        </w:tc>
        <w:tc>
          <w:tcPr>
            <w:tcW w:w="1752" w:type="dxa"/>
            <w:vAlign w:val="center"/>
          </w:tcPr>
          <w:p w14:paraId="7C1C2CD1" w14:textId="77777777" w:rsidR="009021F1" w:rsidRPr="00000E66" w:rsidRDefault="009021F1" w:rsidP="00E637E3">
            <w:pPr>
              <w:pStyle w:val="Paragraphedeliste"/>
              <w:numPr>
                <w:ilvl w:val="0"/>
                <w:numId w:val="27"/>
              </w:numPr>
              <w:ind w:left="195" w:hanging="195"/>
              <w:jc w:val="left"/>
              <w:rPr>
                <w:rFonts w:cs="Arial"/>
                <w:bCs/>
                <w:sz w:val="20"/>
                <w:szCs w:val="20"/>
              </w:rPr>
            </w:pPr>
            <w:r w:rsidRPr="00000E66">
              <w:rPr>
                <w:rFonts w:cs="Arial"/>
                <w:bCs/>
                <w:sz w:val="20"/>
                <w:szCs w:val="20"/>
              </w:rPr>
              <w:t>Consultants</w:t>
            </w:r>
          </w:p>
          <w:p w14:paraId="5FF03819" w14:textId="77777777" w:rsidR="009021F1" w:rsidRPr="00000E66" w:rsidRDefault="009021F1" w:rsidP="00E637E3">
            <w:pPr>
              <w:pStyle w:val="Paragraphedeliste"/>
              <w:ind w:left="195"/>
              <w:jc w:val="left"/>
              <w:rPr>
                <w:rFonts w:cs="Arial"/>
                <w:bCs/>
                <w:sz w:val="20"/>
                <w:szCs w:val="20"/>
              </w:rPr>
            </w:pPr>
          </w:p>
          <w:p w14:paraId="1DA4FFC2" w14:textId="77777777" w:rsidR="009021F1" w:rsidRPr="00000E66" w:rsidRDefault="009021F1" w:rsidP="00E637E3">
            <w:pPr>
              <w:pStyle w:val="Paragraphedeliste"/>
              <w:ind w:left="195"/>
              <w:jc w:val="left"/>
              <w:rPr>
                <w:rFonts w:cs="Arial"/>
                <w:bCs/>
                <w:sz w:val="20"/>
                <w:szCs w:val="20"/>
              </w:rPr>
            </w:pPr>
          </w:p>
        </w:tc>
        <w:tc>
          <w:tcPr>
            <w:tcW w:w="1699" w:type="dxa"/>
          </w:tcPr>
          <w:p w14:paraId="5DF485CC" w14:textId="77777777" w:rsidR="009021F1" w:rsidRPr="00000E66" w:rsidRDefault="009021F1" w:rsidP="00E637E3">
            <w:pPr>
              <w:pStyle w:val="Paragraphedeliste"/>
              <w:numPr>
                <w:ilvl w:val="0"/>
                <w:numId w:val="27"/>
              </w:numPr>
              <w:ind w:left="195" w:hanging="195"/>
              <w:jc w:val="left"/>
              <w:rPr>
                <w:rFonts w:cs="Arial"/>
                <w:bCs/>
                <w:sz w:val="20"/>
                <w:szCs w:val="20"/>
              </w:rPr>
            </w:pPr>
            <w:r w:rsidRPr="00000E66">
              <w:rPr>
                <w:rFonts w:cs="Arial"/>
                <w:bCs/>
                <w:sz w:val="20"/>
                <w:szCs w:val="20"/>
              </w:rPr>
              <w:t>SSE, SSS et SVBG du PNDA (phase préparation et de mise en œuvre)</w:t>
            </w:r>
          </w:p>
        </w:tc>
        <w:tc>
          <w:tcPr>
            <w:tcW w:w="2219" w:type="dxa"/>
          </w:tcPr>
          <w:p w14:paraId="08BDD887" w14:textId="77777777" w:rsidR="009021F1" w:rsidRPr="00000E66" w:rsidRDefault="009021F1" w:rsidP="00E637E3">
            <w:pPr>
              <w:pStyle w:val="Paragraphedeliste"/>
              <w:numPr>
                <w:ilvl w:val="0"/>
                <w:numId w:val="27"/>
              </w:numPr>
              <w:ind w:left="195" w:hanging="195"/>
              <w:jc w:val="left"/>
              <w:rPr>
                <w:rFonts w:cs="Arial"/>
                <w:bCs/>
                <w:sz w:val="20"/>
                <w:szCs w:val="20"/>
              </w:rPr>
            </w:pPr>
            <w:r w:rsidRPr="00000E66">
              <w:rPr>
                <w:rFonts w:cs="Arial"/>
                <w:bCs/>
                <w:sz w:val="20"/>
                <w:szCs w:val="20"/>
              </w:rPr>
              <w:t>CTPS,  et UNCP/PNDA (phase de mise en œuvre)</w:t>
            </w:r>
          </w:p>
        </w:tc>
      </w:tr>
      <w:tr w:rsidR="009021F1" w:rsidRPr="00646EF1" w14:paraId="6BDBFA96" w14:textId="77777777" w:rsidTr="00E637E3">
        <w:trPr>
          <w:trHeight w:val="1251"/>
        </w:trPr>
        <w:tc>
          <w:tcPr>
            <w:tcW w:w="1817" w:type="dxa"/>
          </w:tcPr>
          <w:p w14:paraId="04D2866F" w14:textId="77777777" w:rsidR="009021F1" w:rsidRPr="00000E66" w:rsidRDefault="009021F1" w:rsidP="00E637E3">
            <w:pPr>
              <w:rPr>
                <w:rFonts w:cs="Arial"/>
                <w:sz w:val="20"/>
                <w:szCs w:val="20"/>
              </w:rPr>
            </w:pPr>
            <w:r w:rsidRPr="00000E66">
              <w:rPr>
                <w:rFonts w:cs="Arial"/>
                <w:sz w:val="20"/>
                <w:szCs w:val="20"/>
              </w:rPr>
              <w:t>IEC</w:t>
            </w:r>
          </w:p>
          <w:p w14:paraId="1B7C0F0B" w14:textId="77777777" w:rsidR="009021F1" w:rsidRPr="00000E66" w:rsidRDefault="009021F1" w:rsidP="00E637E3">
            <w:pPr>
              <w:rPr>
                <w:rFonts w:cs="Arial"/>
                <w:sz w:val="20"/>
                <w:szCs w:val="20"/>
              </w:rPr>
            </w:pPr>
            <w:r w:rsidRPr="00000E66">
              <w:rPr>
                <w:rFonts w:cs="Arial"/>
                <w:sz w:val="20"/>
                <w:szCs w:val="20"/>
              </w:rPr>
              <w:t>Sensibilisation</w:t>
            </w:r>
          </w:p>
          <w:p w14:paraId="0159CDC0" w14:textId="77777777" w:rsidR="009021F1" w:rsidRPr="00000E66" w:rsidRDefault="009021F1" w:rsidP="00E637E3">
            <w:pPr>
              <w:rPr>
                <w:rFonts w:cs="Arial"/>
                <w:sz w:val="20"/>
                <w:szCs w:val="20"/>
              </w:rPr>
            </w:pPr>
            <w:r w:rsidRPr="00000E66">
              <w:rPr>
                <w:rFonts w:cs="Arial"/>
                <w:sz w:val="20"/>
                <w:szCs w:val="20"/>
              </w:rPr>
              <w:t>Mobilisation</w:t>
            </w:r>
          </w:p>
          <w:p w14:paraId="6D36ED6E" w14:textId="77777777" w:rsidR="009021F1" w:rsidRPr="00000E66" w:rsidRDefault="009021F1" w:rsidP="00E637E3">
            <w:pPr>
              <w:rPr>
                <w:rFonts w:cs="Arial"/>
                <w:sz w:val="20"/>
                <w:szCs w:val="20"/>
              </w:rPr>
            </w:pPr>
            <w:r w:rsidRPr="00000E66">
              <w:rPr>
                <w:rFonts w:cs="Arial"/>
                <w:sz w:val="20"/>
                <w:szCs w:val="20"/>
              </w:rPr>
              <w:t>Plaidoyer</w:t>
            </w:r>
          </w:p>
        </w:tc>
        <w:tc>
          <w:tcPr>
            <w:tcW w:w="3118" w:type="dxa"/>
          </w:tcPr>
          <w:p w14:paraId="6F3F7505" w14:textId="77777777" w:rsidR="009021F1" w:rsidRPr="00000E66" w:rsidRDefault="009021F1" w:rsidP="00E637E3">
            <w:pPr>
              <w:jc w:val="left"/>
              <w:rPr>
                <w:rFonts w:cs="Arial"/>
                <w:sz w:val="20"/>
                <w:szCs w:val="20"/>
              </w:rPr>
            </w:pPr>
            <w:r w:rsidRPr="00000E66">
              <w:rPr>
                <w:rFonts w:cs="Arial"/>
                <w:sz w:val="20"/>
                <w:szCs w:val="20"/>
              </w:rPr>
              <w:t>Campagne de communication et de sensibilisation avant, pendant et après les travaux</w:t>
            </w:r>
          </w:p>
          <w:p w14:paraId="707920F2" w14:textId="77777777" w:rsidR="009021F1" w:rsidRPr="00000E66" w:rsidRDefault="009021F1" w:rsidP="00E637E3">
            <w:pPr>
              <w:rPr>
                <w:rFonts w:cs="Arial"/>
                <w:sz w:val="20"/>
                <w:szCs w:val="20"/>
              </w:rPr>
            </w:pPr>
            <w:r w:rsidRPr="00000E66">
              <w:rPr>
                <w:rFonts w:cs="Arial"/>
                <w:sz w:val="20"/>
                <w:szCs w:val="20"/>
              </w:rPr>
              <w:t>Sensibilisation et plaidoyer sur les enjeux environnementaux et sociaux, y compris sur la prévention et réponse à l’EAS/HS et à la COVID-19 des sous-projets </w:t>
            </w:r>
          </w:p>
        </w:tc>
        <w:tc>
          <w:tcPr>
            <w:tcW w:w="1752" w:type="dxa"/>
            <w:vAlign w:val="center"/>
          </w:tcPr>
          <w:p w14:paraId="71F1E5E9" w14:textId="77777777" w:rsidR="009021F1" w:rsidRPr="00000E66" w:rsidRDefault="009021F1" w:rsidP="00E637E3">
            <w:pPr>
              <w:pStyle w:val="Paragraphedeliste"/>
              <w:numPr>
                <w:ilvl w:val="0"/>
                <w:numId w:val="27"/>
              </w:numPr>
              <w:ind w:left="195" w:hanging="195"/>
              <w:jc w:val="left"/>
              <w:rPr>
                <w:rFonts w:cs="Arial"/>
                <w:bCs/>
                <w:sz w:val="20"/>
                <w:szCs w:val="20"/>
              </w:rPr>
            </w:pPr>
            <w:r w:rsidRPr="00000E66">
              <w:rPr>
                <w:rFonts w:cs="Arial"/>
                <w:bCs/>
                <w:sz w:val="20"/>
                <w:szCs w:val="20"/>
              </w:rPr>
              <w:t xml:space="preserve">Chefs de quartiers / villages </w:t>
            </w:r>
          </w:p>
          <w:p w14:paraId="680E218A" w14:textId="77777777" w:rsidR="009021F1" w:rsidRPr="00000E66" w:rsidRDefault="009021F1" w:rsidP="00E637E3">
            <w:pPr>
              <w:pStyle w:val="Paragraphedeliste"/>
              <w:numPr>
                <w:ilvl w:val="0"/>
                <w:numId w:val="27"/>
              </w:numPr>
              <w:ind w:left="195" w:hanging="195"/>
              <w:jc w:val="left"/>
              <w:rPr>
                <w:rFonts w:cs="Arial"/>
                <w:bCs/>
                <w:sz w:val="20"/>
                <w:szCs w:val="20"/>
              </w:rPr>
            </w:pPr>
            <w:r w:rsidRPr="00000E66">
              <w:rPr>
                <w:rFonts w:cs="Arial"/>
                <w:bCs/>
                <w:sz w:val="20"/>
                <w:szCs w:val="20"/>
              </w:rPr>
              <w:t>ONG</w:t>
            </w:r>
          </w:p>
          <w:p w14:paraId="01299BC1" w14:textId="77777777" w:rsidR="009021F1" w:rsidRPr="00000E66" w:rsidRDefault="009021F1" w:rsidP="00E637E3">
            <w:pPr>
              <w:pStyle w:val="Paragraphedeliste"/>
              <w:numPr>
                <w:ilvl w:val="0"/>
                <w:numId w:val="27"/>
              </w:numPr>
              <w:ind w:left="195" w:hanging="195"/>
              <w:jc w:val="left"/>
              <w:rPr>
                <w:rFonts w:cs="Arial"/>
                <w:bCs/>
                <w:sz w:val="20"/>
                <w:szCs w:val="20"/>
              </w:rPr>
            </w:pPr>
            <w:r w:rsidRPr="00000E66">
              <w:rPr>
                <w:rFonts w:cs="Arial"/>
                <w:bCs/>
                <w:sz w:val="20"/>
                <w:szCs w:val="20"/>
              </w:rPr>
              <w:t>Associations locales</w:t>
            </w:r>
          </w:p>
        </w:tc>
        <w:tc>
          <w:tcPr>
            <w:tcW w:w="1699" w:type="dxa"/>
          </w:tcPr>
          <w:p w14:paraId="3448EED1" w14:textId="77777777" w:rsidR="009021F1" w:rsidRPr="00000E66" w:rsidRDefault="009021F1" w:rsidP="00E637E3">
            <w:pPr>
              <w:pStyle w:val="Paragraphedeliste"/>
              <w:numPr>
                <w:ilvl w:val="0"/>
                <w:numId w:val="27"/>
              </w:numPr>
              <w:ind w:left="195" w:hanging="195"/>
              <w:jc w:val="left"/>
              <w:rPr>
                <w:rFonts w:cs="Arial"/>
                <w:bCs/>
                <w:sz w:val="20"/>
                <w:szCs w:val="20"/>
              </w:rPr>
            </w:pPr>
            <w:r w:rsidRPr="00000E66">
              <w:rPr>
                <w:rFonts w:cs="Arial"/>
                <w:bCs/>
                <w:sz w:val="20"/>
                <w:szCs w:val="20"/>
              </w:rPr>
              <w:t>SSE, SSS et SVBG du PNDA (phase préparation et de mise en œuvre)</w:t>
            </w:r>
          </w:p>
        </w:tc>
        <w:tc>
          <w:tcPr>
            <w:tcW w:w="2219" w:type="dxa"/>
          </w:tcPr>
          <w:p w14:paraId="6CFE8823" w14:textId="77777777" w:rsidR="009021F1" w:rsidRPr="00000E66" w:rsidRDefault="009021F1" w:rsidP="00E637E3">
            <w:pPr>
              <w:pStyle w:val="Paragraphedeliste"/>
              <w:numPr>
                <w:ilvl w:val="0"/>
                <w:numId w:val="27"/>
              </w:numPr>
              <w:ind w:left="195" w:hanging="195"/>
              <w:jc w:val="left"/>
              <w:rPr>
                <w:rFonts w:cs="Arial"/>
                <w:bCs/>
                <w:sz w:val="20"/>
                <w:szCs w:val="20"/>
              </w:rPr>
            </w:pPr>
            <w:r w:rsidRPr="00000E66">
              <w:rPr>
                <w:rFonts w:cs="Arial"/>
                <w:bCs/>
                <w:sz w:val="20"/>
                <w:szCs w:val="20"/>
              </w:rPr>
              <w:t>Provinces</w:t>
            </w:r>
          </w:p>
          <w:p w14:paraId="7BB9A59A" w14:textId="77777777" w:rsidR="009021F1" w:rsidRPr="00000E66" w:rsidRDefault="009021F1" w:rsidP="00E637E3">
            <w:pPr>
              <w:pStyle w:val="Paragraphedeliste"/>
              <w:numPr>
                <w:ilvl w:val="0"/>
                <w:numId w:val="27"/>
              </w:numPr>
              <w:ind w:left="195" w:hanging="195"/>
              <w:jc w:val="left"/>
              <w:rPr>
                <w:rFonts w:cs="Arial"/>
                <w:bCs/>
                <w:sz w:val="20"/>
                <w:szCs w:val="20"/>
              </w:rPr>
            </w:pPr>
            <w:r w:rsidRPr="00000E66">
              <w:rPr>
                <w:rFonts w:cs="Arial"/>
                <w:bCs/>
                <w:sz w:val="20"/>
                <w:szCs w:val="20"/>
              </w:rPr>
              <w:t>Territoires</w:t>
            </w:r>
          </w:p>
          <w:p w14:paraId="1C130959" w14:textId="77777777" w:rsidR="009021F1" w:rsidRPr="00000E66" w:rsidRDefault="009021F1" w:rsidP="00E637E3">
            <w:pPr>
              <w:pStyle w:val="Paragraphedeliste"/>
              <w:numPr>
                <w:ilvl w:val="0"/>
                <w:numId w:val="27"/>
              </w:numPr>
              <w:ind w:left="195" w:hanging="195"/>
              <w:jc w:val="left"/>
              <w:rPr>
                <w:rFonts w:cs="Arial"/>
                <w:bCs/>
                <w:sz w:val="20"/>
                <w:szCs w:val="20"/>
              </w:rPr>
            </w:pPr>
            <w:r w:rsidRPr="00000E66">
              <w:rPr>
                <w:rFonts w:cs="Arial"/>
                <w:bCs/>
                <w:sz w:val="20"/>
                <w:szCs w:val="20"/>
              </w:rPr>
              <w:t xml:space="preserve">Communes </w:t>
            </w:r>
          </w:p>
          <w:p w14:paraId="215A4D50" w14:textId="77777777" w:rsidR="009021F1" w:rsidRPr="00000E66" w:rsidRDefault="009021F1" w:rsidP="00E637E3">
            <w:pPr>
              <w:pStyle w:val="Paragraphedeliste"/>
              <w:numPr>
                <w:ilvl w:val="0"/>
                <w:numId w:val="27"/>
              </w:numPr>
              <w:ind w:left="195" w:hanging="195"/>
              <w:jc w:val="left"/>
              <w:rPr>
                <w:rFonts w:cs="Arial"/>
                <w:bCs/>
                <w:sz w:val="20"/>
                <w:szCs w:val="20"/>
              </w:rPr>
            </w:pPr>
            <w:r w:rsidRPr="00000E66">
              <w:rPr>
                <w:rFonts w:cs="Arial"/>
                <w:bCs/>
                <w:sz w:val="20"/>
                <w:szCs w:val="20"/>
              </w:rPr>
              <w:t xml:space="preserve">Collectivités </w:t>
            </w:r>
          </w:p>
          <w:p w14:paraId="2054AF76" w14:textId="77777777" w:rsidR="009021F1" w:rsidRPr="00000E66" w:rsidRDefault="009021F1" w:rsidP="00E637E3">
            <w:pPr>
              <w:pStyle w:val="Paragraphedeliste"/>
              <w:numPr>
                <w:ilvl w:val="0"/>
                <w:numId w:val="27"/>
              </w:numPr>
              <w:ind w:left="195" w:hanging="195"/>
              <w:jc w:val="left"/>
              <w:rPr>
                <w:rFonts w:cs="Arial"/>
                <w:bCs/>
                <w:sz w:val="20"/>
                <w:szCs w:val="20"/>
              </w:rPr>
            </w:pPr>
            <w:r w:rsidRPr="00000E66">
              <w:rPr>
                <w:rFonts w:cs="Arial"/>
                <w:bCs/>
                <w:sz w:val="20"/>
                <w:szCs w:val="20"/>
              </w:rPr>
              <w:t xml:space="preserve">Villages </w:t>
            </w:r>
          </w:p>
        </w:tc>
      </w:tr>
    </w:tbl>
    <w:p w14:paraId="71293996" w14:textId="77777777" w:rsidR="009021F1" w:rsidRDefault="009021F1" w:rsidP="009021F1">
      <w:pPr>
        <w:autoSpaceDE w:val="0"/>
        <w:autoSpaceDN w:val="0"/>
        <w:adjustRightInd w:val="0"/>
        <w:ind w:left="360"/>
        <w:rPr>
          <w:rFonts w:cs="Arial"/>
          <w:bCs/>
          <w:szCs w:val="21"/>
        </w:rPr>
      </w:pPr>
    </w:p>
    <w:p w14:paraId="55931B50" w14:textId="77777777" w:rsidR="009021F1" w:rsidRPr="00000E66" w:rsidRDefault="009021F1" w:rsidP="009021F1">
      <w:pPr>
        <w:autoSpaceDE w:val="0"/>
        <w:autoSpaceDN w:val="0"/>
        <w:adjustRightInd w:val="0"/>
        <w:ind w:left="360"/>
        <w:rPr>
          <w:rFonts w:cs="Arial"/>
          <w:bCs/>
          <w:szCs w:val="21"/>
        </w:rPr>
      </w:pPr>
    </w:p>
    <w:p w14:paraId="078BB497" w14:textId="77777777" w:rsidR="009021F1" w:rsidRPr="00000E66" w:rsidRDefault="009021F1" w:rsidP="009021F1">
      <w:pPr>
        <w:pStyle w:val="Titre2"/>
        <w:numPr>
          <w:ilvl w:val="2"/>
          <w:numId w:val="4"/>
        </w:numPr>
        <w:ind w:left="1560" w:hanging="709"/>
        <w:rPr>
          <w:rFonts w:cs="Arial"/>
          <w:i/>
          <w:szCs w:val="21"/>
        </w:rPr>
      </w:pPr>
      <w:bookmarkStart w:id="424" w:name="_Toc90471530"/>
      <w:r w:rsidRPr="00000E66">
        <w:rPr>
          <w:rFonts w:cs="Arial"/>
          <w:i/>
          <w:szCs w:val="21"/>
        </w:rPr>
        <w:t>Études, mesures d’accompagnement et suivi-évaluation</w:t>
      </w:r>
      <w:bookmarkEnd w:id="424"/>
      <w:r w:rsidRPr="00000E66">
        <w:rPr>
          <w:rFonts w:cs="Arial"/>
          <w:i/>
          <w:szCs w:val="21"/>
        </w:rPr>
        <w:t xml:space="preserve">  </w:t>
      </w:r>
    </w:p>
    <w:p w14:paraId="159BC73F" w14:textId="77777777" w:rsidR="009021F1" w:rsidRPr="00000E66" w:rsidRDefault="009021F1" w:rsidP="009021F1">
      <w:pPr>
        <w:rPr>
          <w:rFonts w:cs="Arial"/>
          <w:szCs w:val="21"/>
        </w:rPr>
      </w:pPr>
    </w:p>
    <w:p w14:paraId="14376CD1" w14:textId="77777777" w:rsidR="009021F1" w:rsidRPr="00000E66" w:rsidRDefault="009021F1" w:rsidP="009021F1">
      <w:pPr>
        <w:rPr>
          <w:rFonts w:cs="Arial"/>
          <w:szCs w:val="21"/>
        </w:rPr>
      </w:pPr>
      <w:r w:rsidRPr="00000E66">
        <w:rPr>
          <w:rFonts w:cs="Arial"/>
          <w:szCs w:val="21"/>
        </w:rPr>
        <w:t xml:space="preserve">Les mesures de renforcement technique concernent : </w:t>
      </w:r>
      <w:r w:rsidRPr="00000E66">
        <w:rPr>
          <w:rFonts w:cs="Arial"/>
          <w:i/>
          <w:szCs w:val="21"/>
        </w:rPr>
        <w:t>(i)</w:t>
      </w:r>
      <w:r w:rsidRPr="00000E66">
        <w:rPr>
          <w:rFonts w:cs="Arial"/>
          <w:szCs w:val="21"/>
        </w:rPr>
        <w:t xml:space="preserve"> une provision pour la réalisation et la mise en œuvre d’éventuelles ÉIES, si nécessaire ; </w:t>
      </w:r>
      <w:r w:rsidRPr="00000E66">
        <w:rPr>
          <w:rFonts w:cs="Arial"/>
          <w:i/>
          <w:szCs w:val="21"/>
        </w:rPr>
        <w:t xml:space="preserve">(ii) </w:t>
      </w:r>
      <w:r w:rsidRPr="00000E66">
        <w:rPr>
          <w:rFonts w:cs="Arial"/>
          <w:szCs w:val="21"/>
        </w:rPr>
        <w:t xml:space="preserve">travaux d’aménagement des routes rurales, de construction des marchés communautaires, des abattoirs, les travaux d’irrigation ; </w:t>
      </w:r>
      <w:r w:rsidRPr="00000E66">
        <w:rPr>
          <w:rFonts w:cs="Arial"/>
          <w:i/>
          <w:szCs w:val="21"/>
        </w:rPr>
        <w:t>(iii)</w:t>
      </w:r>
      <w:r w:rsidRPr="00000E66">
        <w:rPr>
          <w:rFonts w:cs="Arial"/>
          <w:szCs w:val="21"/>
        </w:rPr>
        <w:t xml:space="preserve"> la distribution des intrants et semences agricoles ainsi que des intrants de pêche et appui à l’élevage ; </w:t>
      </w:r>
      <w:r w:rsidRPr="00000E66">
        <w:rPr>
          <w:rFonts w:cs="Arial"/>
          <w:i/>
          <w:szCs w:val="21"/>
        </w:rPr>
        <w:t>(iv)</w:t>
      </w:r>
      <w:r w:rsidRPr="00000E66">
        <w:rPr>
          <w:rFonts w:cs="Arial"/>
          <w:szCs w:val="21"/>
        </w:rPr>
        <w:t xml:space="preserve"> le suivi et l’évaluation des activités du PNDA.</w:t>
      </w:r>
    </w:p>
    <w:p w14:paraId="2D5658DB" w14:textId="77777777" w:rsidR="009021F1" w:rsidRPr="00000E66" w:rsidRDefault="009021F1" w:rsidP="009021F1">
      <w:pPr>
        <w:rPr>
          <w:rFonts w:cs="Arial"/>
          <w:szCs w:val="21"/>
        </w:rPr>
      </w:pPr>
    </w:p>
    <w:p w14:paraId="649B959C" w14:textId="77777777" w:rsidR="009021F1" w:rsidRPr="00000E66" w:rsidRDefault="009021F1" w:rsidP="009021F1">
      <w:pPr>
        <w:numPr>
          <w:ilvl w:val="0"/>
          <w:numId w:val="31"/>
        </w:numPr>
        <w:tabs>
          <w:tab w:val="clear" w:pos="360"/>
          <w:tab w:val="num" w:pos="540"/>
        </w:tabs>
        <w:ind w:left="540" w:hanging="270"/>
        <w:rPr>
          <w:rFonts w:cs="Arial"/>
          <w:i/>
          <w:szCs w:val="21"/>
        </w:rPr>
      </w:pPr>
      <w:r w:rsidRPr="00000E66">
        <w:rPr>
          <w:rFonts w:cs="Arial"/>
          <w:bCs/>
          <w:i/>
          <w:szCs w:val="21"/>
        </w:rPr>
        <w:t xml:space="preserve">Provision pour la réalisation et la mise en œuvre des </w:t>
      </w:r>
      <w:r w:rsidRPr="00000E66">
        <w:rPr>
          <w:rFonts w:cs="Arial"/>
          <w:i/>
          <w:szCs w:val="21"/>
        </w:rPr>
        <w:t>É</w:t>
      </w:r>
      <w:r w:rsidRPr="00000E66">
        <w:rPr>
          <w:rFonts w:cs="Arial"/>
          <w:bCs/>
          <w:i/>
          <w:szCs w:val="21"/>
        </w:rPr>
        <w:t>IES</w:t>
      </w:r>
    </w:p>
    <w:p w14:paraId="3FC76986" w14:textId="77777777" w:rsidR="009021F1" w:rsidRPr="00000E66" w:rsidRDefault="009021F1" w:rsidP="009021F1">
      <w:pPr>
        <w:ind w:left="540"/>
        <w:rPr>
          <w:rFonts w:cs="Arial"/>
          <w:szCs w:val="21"/>
        </w:rPr>
      </w:pPr>
    </w:p>
    <w:p w14:paraId="60280A13" w14:textId="77777777" w:rsidR="009021F1" w:rsidRPr="00000E66" w:rsidRDefault="009021F1" w:rsidP="009021F1">
      <w:pPr>
        <w:ind w:left="540"/>
        <w:rPr>
          <w:rFonts w:cs="Arial"/>
          <w:szCs w:val="21"/>
        </w:rPr>
      </w:pPr>
      <w:r w:rsidRPr="00000E66">
        <w:rPr>
          <w:rFonts w:cs="Arial"/>
          <w:szCs w:val="21"/>
        </w:rPr>
        <w:t xml:space="preserve">Des ÉIES pourraient être requises pour les activités du PNDA relatives aux sous-projets classés aux risques « substantiels », pour s’assurer qu’elles sont durables au point de vue environnemental et social. Si la classification environnementale et sociale des activités indique qu’il faut réaliser des ÉIES, le Projet devra prévoir une provision qui servira à payer des consultants pour réaliser ces études. </w:t>
      </w:r>
    </w:p>
    <w:p w14:paraId="7B177748" w14:textId="77777777" w:rsidR="009021F1" w:rsidRPr="00000E66" w:rsidRDefault="009021F1" w:rsidP="009021F1">
      <w:pPr>
        <w:ind w:left="540"/>
        <w:rPr>
          <w:rFonts w:cs="Arial"/>
          <w:szCs w:val="21"/>
        </w:rPr>
      </w:pPr>
    </w:p>
    <w:p w14:paraId="4E47F313" w14:textId="77777777" w:rsidR="009021F1" w:rsidRPr="00000E66" w:rsidRDefault="009021F1" w:rsidP="009021F1">
      <w:pPr>
        <w:ind w:left="540"/>
        <w:rPr>
          <w:rFonts w:cs="Arial"/>
          <w:szCs w:val="21"/>
        </w:rPr>
      </w:pPr>
      <w:r w:rsidRPr="00000E66">
        <w:rPr>
          <w:rFonts w:cs="Arial"/>
          <w:szCs w:val="21"/>
        </w:rPr>
        <w:t xml:space="preserve">La réalisation d’éventuelles ÉIES pourrait occasionner des mesures comportant des coûts et qui devront être budgétisés dès à présent par le PNDA pour pouvoir être exécutées le moment venu. Pour cela, il est nécessaire de faire une dotation provisionnelle qui permettra de prendre en charge de telles mesures. </w:t>
      </w:r>
    </w:p>
    <w:p w14:paraId="39450BBA" w14:textId="77777777" w:rsidR="009021F1" w:rsidRDefault="009021F1" w:rsidP="009021F1">
      <w:pPr>
        <w:ind w:left="360"/>
        <w:rPr>
          <w:rFonts w:cs="Arial"/>
          <w:bCs/>
          <w:szCs w:val="21"/>
        </w:rPr>
      </w:pPr>
    </w:p>
    <w:p w14:paraId="28DFA0A9" w14:textId="77777777" w:rsidR="009021F1" w:rsidRPr="00000E66" w:rsidRDefault="009021F1" w:rsidP="009021F1">
      <w:pPr>
        <w:ind w:left="360"/>
        <w:rPr>
          <w:rFonts w:cs="Arial"/>
          <w:bCs/>
          <w:szCs w:val="21"/>
        </w:rPr>
      </w:pPr>
    </w:p>
    <w:p w14:paraId="26232ED1" w14:textId="77777777" w:rsidR="009021F1" w:rsidRPr="00000E66" w:rsidRDefault="009021F1" w:rsidP="009021F1">
      <w:pPr>
        <w:numPr>
          <w:ilvl w:val="0"/>
          <w:numId w:val="31"/>
        </w:numPr>
        <w:tabs>
          <w:tab w:val="clear" w:pos="360"/>
          <w:tab w:val="num" w:pos="540"/>
        </w:tabs>
        <w:ind w:left="540" w:hanging="270"/>
        <w:rPr>
          <w:rFonts w:cs="Arial"/>
          <w:bCs/>
          <w:i/>
          <w:szCs w:val="21"/>
        </w:rPr>
      </w:pPr>
      <w:r w:rsidRPr="00000E66">
        <w:rPr>
          <w:rFonts w:cs="Arial"/>
          <w:bCs/>
          <w:i/>
          <w:szCs w:val="21"/>
        </w:rPr>
        <w:t>Appui aux petits exploitants agricoles en intrants et semences agricoles ainsi qu’en intrants de pêche et élevage</w:t>
      </w:r>
    </w:p>
    <w:p w14:paraId="2EC7BCFA" w14:textId="77777777" w:rsidR="009021F1" w:rsidRPr="00000E66" w:rsidRDefault="009021F1" w:rsidP="009021F1">
      <w:pPr>
        <w:ind w:left="540"/>
        <w:rPr>
          <w:rFonts w:cs="Arial"/>
          <w:szCs w:val="21"/>
        </w:rPr>
      </w:pPr>
    </w:p>
    <w:p w14:paraId="3FA98D60" w14:textId="77777777" w:rsidR="009021F1" w:rsidRPr="00000E66" w:rsidRDefault="009021F1" w:rsidP="009021F1">
      <w:pPr>
        <w:ind w:left="540"/>
        <w:rPr>
          <w:rFonts w:cs="Arial"/>
          <w:szCs w:val="21"/>
        </w:rPr>
      </w:pPr>
      <w:r w:rsidRPr="00000E66">
        <w:rPr>
          <w:rFonts w:cs="Arial"/>
          <w:szCs w:val="21"/>
        </w:rPr>
        <w:t>Le PNDA impliquera les petits exploitants agricoles, les pêcheurs et éleveurs dans le suivi de proximité et surtout les doter en intrants agricoles, semences, intrants de pêches et en dotant les éleveurs des têtes des bêtes d’une race améliorée pour qu’ils puissent assurer, avec l’appui des associations locales des Provinces/Communes/Territoires/Collectivités, améliorer la production agricole, la pêche et l’élevage. Ces structures devront aussi bénéficier de programmes d’information, de sensibilisation et formation sur les enjeux environnementaux et sociaux liés aux activités du PNDA.</w:t>
      </w:r>
    </w:p>
    <w:p w14:paraId="66A16B72" w14:textId="77777777" w:rsidR="009021F1" w:rsidRPr="00000E66" w:rsidRDefault="009021F1" w:rsidP="009021F1">
      <w:pPr>
        <w:rPr>
          <w:rFonts w:cs="Arial"/>
          <w:szCs w:val="21"/>
        </w:rPr>
      </w:pPr>
    </w:p>
    <w:p w14:paraId="59A3F0DE" w14:textId="77777777" w:rsidR="009021F1" w:rsidRPr="00000E66" w:rsidRDefault="009021F1" w:rsidP="009021F1">
      <w:pPr>
        <w:numPr>
          <w:ilvl w:val="0"/>
          <w:numId w:val="31"/>
        </w:numPr>
        <w:tabs>
          <w:tab w:val="clear" w:pos="360"/>
          <w:tab w:val="num" w:pos="540"/>
        </w:tabs>
        <w:ind w:left="540" w:hanging="270"/>
        <w:rPr>
          <w:rFonts w:cs="Arial"/>
          <w:bCs/>
          <w:i/>
          <w:szCs w:val="21"/>
        </w:rPr>
      </w:pPr>
      <w:r w:rsidRPr="00000E66">
        <w:rPr>
          <w:rFonts w:cs="Arial"/>
          <w:bCs/>
          <w:i/>
          <w:szCs w:val="21"/>
        </w:rPr>
        <w:t>Suivi et Évaluation des activités du PNDA</w:t>
      </w:r>
    </w:p>
    <w:p w14:paraId="015C698A" w14:textId="77777777" w:rsidR="009021F1" w:rsidRPr="00000E66" w:rsidRDefault="009021F1" w:rsidP="009021F1">
      <w:pPr>
        <w:ind w:left="540"/>
        <w:rPr>
          <w:rFonts w:cs="Arial"/>
          <w:szCs w:val="21"/>
        </w:rPr>
      </w:pPr>
    </w:p>
    <w:p w14:paraId="51499465" w14:textId="77777777" w:rsidR="009021F1" w:rsidRPr="00000E66" w:rsidRDefault="009021F1" w:rsidP="009021F1">
      <w:pPr>
        <w:ind w:left="540"/>
        <w:rPr>
          <w:rFonts w:cs="Arial"/>
          <w:szCs w:val="21"/>
        </w:rPr>
      </w:pPr>
      <w:r w:rsidRPr="00000E66">
        <w:rPr>
          <w:rFonts w:cs="Arial"/>
          <w:szCs w:val="21"/>
        </w:rPr>
        <w:t xml:space="preserve">Le Programme de suivi portera sur le suivi permanent, la supervision, l’évaluation à mi-parcours et l’évaluation annuelle. La surveillance de proximité est assurée par des Bureaux de Contrôle (UNOPS), sous la supervision des SSE, SSS et SVBG du PNDA, avec l’implication des communes/territoires/collectivités, mais aussi des membres du Comité de Pilotage. Le suivi externe devra être assuré par l’ACE et les CPE des Provinces concernées par le Projet, dont les capacités seront renforcées à cet effet (formation, logistique). </w:t>
      </w:r>
    </w:p>
    <w:p w14:paraId="0ECEC88D" w14:textId="77777777" w:rsidR="009021F1" w:rsidRPr="00000E66" w:rsidRDefault="009021F1" w:rsidP="009021F1">
      <w:pPr>
        <w:ind w:left="540"/>
        <w:rPr>
          <w:rFonts w:cs="Arial"/>
          <w:szCs w:val="21"/>
        </w:rPr>
      </w:pPr>
      <w:r w:rsidRPr="00000E66">
        <w:rPr>
          <w:rFonts w:cs="Arial"/>
          <w:szCs w:val="21"/>
        </w:rPr>
        <w:t xml:space="preserve">En plus, le Projet devra prévoir une évaluation à mi-parcours et une évaluation à la fin du Projet. </w:t>
      </w:r>
    </w:p>
    <w:p w14:paraId="2DF090B5" w14:textId="77777777" w:rsidR="009021F1" w:rsidRPr="00000E66" w:rsidRDefault="009021F1" w:rsidP="009021F1">
      <w:pPr>
        <w:autoSpaceDE w:val="0"/>
        <w:autoSpaceDN w:val="0"/>
        <w:adjustRightInd w:val="0"/>
        <w:rPr>
          <w:rFonts w:cs="Arial"/>
          <w:bCs/>
          <w:i/>
          <w:szCs w:val="21"/>
        </w:rPr>
      </w:pPr>
    </w:p>
    <w:p w14:paraId="00EC2E2C" w14:textId="77777777" w:rsidR="009021F1" w:rsidRPr="00000E66" w:rsidRDefault="009021F1" w:rsidP="009021F1">
      <w:pPr>
        <w:pStyle w:val="Titre2"/>
        <w:numPr>
          <w:ilvl w:val="2"/>
          <w:numId w:val="4"/>
        </w:numPr>
        <w:ind w:left="1560" w:hanging="709"/>
        <w:rPr>
          <w:rFonts w:cs="Arial"/>
          <w:i/>
          <w:iCs/>
          <w:szCs w:val="21"/>
        </w:rPr>
      </w:pPr>
      <w:bookmarkStart w:id="425" w:name="_Toc90471531"/>
      <w:r w:rsidRPr="00000E66">
        <w:rPr>
          <w:i/>
          <w:iCs/>
          <w:szCs w:val="21"/>
        </w:rPr>
        <w:t>Mécanismes de surveillance environnementale et sociale</w:t>
      </w:r>
      <w:bookmarkEnd w:id="425"/>
      <w:r w:rsidRPr="00000E66">
        <w:rPr>
          <w:i/>
          <w:iCs/>
          <w:szCs w:val="21"/>
        </w:rPr>
        <w:t xml:space="preserve"> </w:t>
      </w:r>
    </w:p>
    <w:p w14:paraId="7FB40D38" w14:textId="77777777" w:rsidR="009021F1" w:rsidRPr="00000E66" w:rsidRDefault="009021F1" w:rsidP="009021F1">
      <w:pPr>
        <w:pStyle w:val="Paragraphedeliste"/>
        <w:keepNext/>
        <w:numPr>
          <w:ilvl w:val="1"/>
          <w:numId w:val="11"/>
        </w:numPr>
        <w:tabs>
          <w:tab w:val="left" w:pos="720"/>
        </w:tabs>
        <w:spacing w:line="240" w:lineRule="auto"/>
        <w:contextualSpacing w:val="0"/>
        <w:jc w:val="left"/>
        <w:outlineLvl w:val="2"/>
        <w:rPr>
          <w:vanish/>
          <w:szCs w:val="21"/>
          <w:u w:val="single"/>
        </w:rPr>
      </w:pPr>
      <w:bookmarkStart w:id="426" w:name="_Toc90471532"/>
      <w:bookmarkEnd w:id="426"/>
    </w:p>
    <w:p w14:paraId="396C293D" w14:textId="77777777" w:rsidR="009021F1" w:rsidRPr="00000E66" w:rsidRDefault="009021F1" w:rsidP="009021F1">
      <w:pPr>
        <w:pStyle w:val="Paragraphedeliste"/>
        <w:keepNext/>
        <w:numPr>
          <w:ilvl w:val="1"/>
          <w:numId w:val="11"/>
        </w:numPr>
        <w:tabs>
          <w:tab w:val="left" w:pos="720"/>
        </w:tabs>
        <w:spacing w:line="240" w:lineRule="auto"/>
        <w:contextualSpacing w:val="0"/>
        <w:jc w:val="left"/>
        <w:outlineLvl w:val="2"/>
        <w:rPr>
          <w:vanish/>
          <w:szCs w:val="21"/>
          <w:u w:val="single"/>
        </w:rPr>
      </w:pPr>
      <w:bookmarkStart w:id="427" w:name="_Toc90471533"/>
      <w:bookmarkEnd w:id="427"/>
    </w:p>
    <w:p w14:paraId="0576CCF9" w14:textId="77777777" w:rsidR="009021F1" w:rsidRPr="00000E66" w:rsidRDefault="009021F1" w:rsidP="009021F1">
      <w:pPr>
        <w:pStyle w:val="Paragraphedeliste"/>
        <w:keepNext/>
        <w:numPr>
          <w:ilvl w:val="1"/>
          <w:numId w:val="11"/>
        </w:numPr>
        <w:tabs>
          <w:tab w:val="left" w:pos="720"/>
        </w:tabs>
        <w:spacing w:line="240" w:lineRule="auto"/>
        <w:contextualSpacing w:val="0"/>
        <w:jc w:val="left"/>
        <w:outlineLvl w:val="2"/>
        <w:rPr>
          <w:vanish/>
          <w:szCs w:val="21"/>
          <w:u w:val="single"/>
        </w:rPr>
      </w:pPr>
      <w:bookmarkStart w:id="428" w:name="_Toc90471534"/>
      <w:bookmarkEnd w:id="428"/>
    </w:p>
    <w:p w14:paraId="39A22EB2" w14:textId="77777777" w:rsidR="009021F1" w:rsidRPr="00000E66" w:rsidRDefault="009021F1" w:rsidP="009021F1">
      <w:pPr>
        <w:pStyle w:val="Paragraphedeliste"/>
        <w:keepNext/>
        <w:numPr>
          <w:ilvl w:val="1"/>
          <w:numId w:val="15"/>
        </w:numPr>
        <w:tabs>
          <w:tab w:val="left" w:pos="720"/>
        </w:tabs>
        <w:spacing w:line="240" w:lineRule="auto"/>
        <w:contextualSpacing w:val="0"/>
        <w:jc w:val="left"/>
        <w:outlineLvl w:val="2"/>
        <w:rPr>
          <w:vanish/>
          <w:szCs w:val="21"/>
          <w:u w:val="single"/>
        </w:rPr>
      </w:pPr>
      <w:bookmarkStart w:id="429" w:name="_Toc90471535"/>
      <w:bookmarkEnd w:id="429"/>
    </w:p>
    <w:p w14:paraId="1DE62C05" w14:textId="77777777" w:rsidR="009021F1" w:rsidRPr="00000E66" w:rsidRDefault="009021F1" w:rsidP="009021F1">
      <w:pPr>
        <w:pStyle w:val="Paragraphedeliste"/>
        <w:keepNext/>
        <w:numPr>
          <w:ilvl w:val="0"/>
          <w:numId w:val="16"/>
        </w:numPr>
        <w:spacing w:line="240" w:lineRule="auto"/>
        <w:contextualSpacing w:val="0"/>
        <w:jc w:val="left"/>
        <w:outlineLvl w:val="2"/>
        <w:rPr>
          <w:vanish/>
          <w:szCs w:val="21"/>
          <w:u w:val="single"/>
        </w:rPr>
      </w:pPr>
      <w:bookmarkStart w:id="430" w:name="_Toc90471536"/>
      <w:bookmarkEnd w:id="430"/>
    </w:p>
    <w:p w14:paraId="22338EFD" w14:textId="77777777" w:rsidR="009021F1" w:rsidRPr="00000E66" w:rsidRDefault="009021F1" w:rsidP="009021F1">
      <w:pPr>
        <w:pStyle w:val="Paragraphedeliste"/>
        <w:keepNext/>
        <w:numPr>
          <w:ilvl w:val="0"/>
          <w:numId w:val="16"/>
        </w:numPr>
        <w:spacing w:line="240" w:lineRule="auto"/>
        <w:contextualSpacing w:val="0"/>
        <w:jc w:val="left"/>
        <w:outlineLvl w:val="2"/>
        <w:rPr>
          <w:vanish/>
          <w:szCs w:val="21"/>
          <w:u w:val="single"/>
        </w:rPr>
      </w:pPr>
      <w:bookmarkStart w:id="431" w:name="_Toc90471537"/>
      <w:bookmarkEnd w:id="431"/>
    </w:p>
    <w:p w14:paraId="2F014B37" w14:textId="77777777" w:rsidR="009021F1" w:rsidRPr="00000E66" w:rsidRDefault="009021F1" w:rsidP="009021F1">
      <w:pPr>
        <w:rPr>
          <w:szCs w:val="21"/>
        </w:rPr>
      </w:pPr>
    </w:p>
    <w:p w14:paraId="5FAF4582" w14:textId="77777777" w:rsidR="009021F1" w:rsidRPr="00000E66" w:rsidRDefault="009021F1" w:rsidP="009021F1">
      <w:pPr>
        <w:autoSpaceDE w:val="0"/>
        <w:autoSpaceDN w:val="0"/>
        <w:adjustRightInd w:val="0"/>
        <w:rPr>
          <w:rFonts w:eastAsia="Calibri"/>
          <w:szCs w:val="21"/>
        </w:rPr>
      </w:pPr>
      <w:r w:rsidRPr="00000E66">
        <w:rPr>
          <w:rFonts w:eastAsia="Calibri"/>
          <w:szCs w:val="21"/>
        </w:rPr>
        <w:t xml:space="preserve">La surveillance environnementale et sociale sera effectuée par les Bureaux de Contrôle que la </w:t>
      </w:r>
      <w:r w:rsidRPr="00000E66">
        <w:rPr>
          <w:szCs w:val="21"/>
        </w:rPr>
        <w:t>Coordination du Projet</w:t>
      </w:r>
      <w:r w:rsidRPr="00000E66">
        <w:rPr>
          <w:rFonts w:eastAsia="Calibri"/>
          <w:szCs w:val="21"/>
        </w:rPr>
        <w:t xml:space="preserve"> va recruter, avec l’obligation de disposer d’un Expert Environnement et Social (ESES) qui aura comme principales missions de : </w:t>
      </w:r>
    </w:p>
    <w:p w14:paraId="620A85D5" w14:textId="77777777" w:rsidR="009021F1" w:rsidRPr="00000E66" w:rsidRDefault="009021F1" w:rsidP="009021F1">
      <w:pPr>
        <w:autoSpaceDE w:val="0"/>
        <w:autoSpaceDN w:val="0"/>
        <w:adjustRightInd w:val="0"/>
        <w:rPr>
          <w:rFonts w:eastAsia="Calibri"/>
          <w:szCs w:val="21"/>
        </w:rPr>
      </w:pPr>
    </w:p>
    <w:p w14:paraId="48BD3503" w14:textId="77777777" w:rsidR="009021F1" w:rsidRPr="00000E66" w:rsidRDefault="009021F1" w:rsidP="009021F1">
      <w:pPr>
        <w:numPr>
          <w:ilvl w:val="0"/>
          <w:numId w:val="52"/>
        </w:numPr>
        <w:autoSpaceDE w:val="0"/>
        <w:autoSpaceDN w:val="0"/>
        <w:adjustRightInd w:val="0"/>
        <w:rPr>
          <w:rFonts w:eastAsia="Calibri"/>
          <w:szCs w:val="21"/>
        </w:rPr>
      </w:pPr>
      <w:r w:rsidRPr="00000E66">
        <w:rPr>
          <w:rFonts w:eastAsia="Calibri"/>
          <w:szCs w:val="21"/>
        </w:rPr>
        <w:t>Faire respecter toutes les mesures d’atténuation courantes et particulières du Projet ;</w:t>
      </w:r>
    </w:p>
    <w:p w14:paraId="1DA79EDD" w14:textId="77777777" w:rsidR="009021F1" w:rsidRPr="00000E66" w:rsidRDefault="009021F1" w:rsidP="009021F1">
      <w:pPr>
        <w:numPr>
          <w:ilvl w:val="0"/>
          <w:numId w:val="52"/>
        </w:numPr>
        <w:autoSpaceDE w:val="0"/>
        <w:autoSpaceDN w:val="0"/>
        <w:adjustRightInd w:val="0"/>
        <w:rPr>
          <w:rFonts w:eastAsia="Calibri"/>
          <w:szCs w:val="21"/>
        </w:rPr>
      </w:pPr>
      <w:r w:rsidRPr="00000E66">
        <w:rPr>
          <w:rFonts w:eastAsia="Calibri"/>
          <w:szCs w:val="21"/>
        </w:rPr>
        <w:t>Rappeler aux entrepreneurs leurs obligations en matière environnementale et sociale et de bonne conduite et s’assurer que celles-ci sont respectées lors de la période de construction ;</w:t>
      </w:r>
    </w:p>
    <w:p w14:paraId="428657E8" w14:textId="77777777" w:rsidR="009021F1" w:rsidRPr="00000E66" w:rsidRDefault="009021F1" w:rsidP="009021F1">
      <w:pPr>
        <w:numPr>
          <w:ilvl w:val="0"/>
          <w:numId w:val="52"/>
        </w:numPr>
        <w:autoSpaceDE w:val="0"/>
        <w:autoSpaceDN w:val="0"/>
        <w:adjustRightInd w:val="0"/>
        <w:rPr>
          <w:rFonts w:eastAsia="Calibri"/>
          <w:szCs w:val="21"/>
        </w:rPr>
      </w:pPr>
      <w:r w:rsidRPr="00000E66">
        <w:rPr>
          <w:rFonts w:eastAsia="Calibri"/>
          <w:szCs w:val="21"/>
        </w:rPr>
        <w:t>Rédiger des rapports de surveillance environnementale et sociale tout au long des travaux ;</w:t>
      </w:r>
    </w:p>
    <w:p w14:paraId="36E72E08" w14:textId="77777777" w:rsidR="009021F1" w:rsidRPr="00000E66" w:rsidRDefault="009021F1" w:rsidP="009021F1">
      <w:pPr>
        <w:numPr>
          <w:ilvl w:val="0"/>
          <w:numId w:val="52"/>
        </w:numPr>
        <w:autoSpaceDE w:val="0"/>
        <w:autoSpaceDN w:val="0"/>
        <w:adjustRightInd w:val="0"/>
        <w:rPr>
          <w:rFonts w:eastAsia="Calibri"/>
          <w:szCs w:val="21"/>
        </w:rPr>
      </w:pPr>
      <w:r w:rsidRPr="00000E66">
        <w:rPr>
          <w:rFonts w:eastAsia="Calibri"/>
          <w:szCs w:val="21"/>
        </w:rPr>
        <w:t>Inspecter les travaux et demander les correctifs appropriés, le cas échéant ;</w:t>
      </w:r>
    </w:p>
    <w:p w14:paraId="5DDDBF13" w14:textId="77777777" w:rsidR="009021F1" w:rsidRPr="00000E66" w:rsidRDefault="009021F1" w:rsidP="009021F1">
      <w:pPr>
        <w:numPr>
          <w:ilvl w:val="0"/>
          <w:numId w:val="52"/>
        </w:numPr>
        <w:autoSpaceDE w:val="0"/>
        <w:autoSpaceDN w:val="0"/>
        <w:adjustRightInd w:val="0"/>
        <w:rPr>
          <w:rFonts w:eastAsia="Calibri"/>
          <w:szCs w:val="21"/>
        </w:rPr>
      </w:pPr>
      <w:r w:rsidRPr="00000E66">
        <w:rPr>
          <w:rFonts w:eastAsia="Calibri"/>
          <w:szCs w:val="21"/>
        </w:rPr>
        <w:t>Rédiger le compte-rendu final du programme de surveillance environnementale et sociale en période.</w:t>
      </w:r>
    </w:p>
    <w:p w14:paraId="1EF81166" w14:textId="77777777" w:rsidR="009021F1" w:rsidRPr="00000E66" w:rsidRDefault="009021F1" w:rsidP="009021F1">
      <w:pPr>
        <w:autoSpaceDE w:val="0"/>
        <w:autoSpaceDN w:val="0"/>
        <w:adjustRightInd w:val="0"/>
        <w:rPr>
          <w:rFonts w:eastAsia="Calibri"/>
          <w:szCs w:val="21"/>
        </w:rPr>
      </w:pPr>
    </w:p>
    <w:p w14:paraId="2DC03333" w14:textId="77777777" w:rsidR="009021F1" w:rsidRPr="00000E66" w:rsidRDefault="009021F1" w:rsidP="009021F1">
      <w:pPr>
        <w:autoSpaceDE w:val="0"/>
        <w:autoSpaceDN w:val="0"/>
        <w:adjustRightInd w:val="0"/>
        <w:rPr>
          <w:rFonts w:eastAsia="Calibri"/>
          <w:szCs w:val="21"/>
        </w:rPr>
      </w:pPr>
      <w:r w:rsidRPr="00000E66">
        <w:rPr>
          <w:rFonts w:eastAsia="Calibri"/>
          <w:szCs w:val="21"/>
        </w:rPr>
        <w:t>De plus, il pourra jouer le rôle d’interface entre les populations riveraines et les entrepreneurs en cas de plaintes.</w:t>
      </w:r>
    </w:p>
    <w:p w14:paraId="4178E765" w14:textId="77777777" w:rsidR="009021F1" w:rsidRPr="00000E66" w:rsidRDefault="009021F1" w:rsidP="009021F1">
      <w:pPr>
        <w:autoSpaceDE w:val="0"/>
        <w:autoSpaceDN w:val="0"/>
        <w:adjustRightInd w:val="0"/>
        <w:rPr>
          <w:rFonts w:eastAsia="Calibri"/>
          <w:szCs w:val="21"/>
        </w:rPr>
      </w:pPr>
    </w:p>
    <w:p w14:paraId="5651EC8D" w14:textId="77777777" w:rsidR="009021F1" w:rsidRPr="00000E66" w:rsidRDefault="009021F1" w:rsidP="009021F1">
      <w:pPr>
        <w:autoSpaceDE w:val="0"/>
        <w:autoSpaceDN w:val="0"/>
        <w:adjustRightInd w:val="0"/>
        <w:rPr>
          <w:rFonts w:cs="Arial"/>
          <w:szCs w:val="21"/>
        </w:rPr>
      </w:pPr>
      <w:r w:rsidRPr="00000E66">
        <w:rPr>
          <w:rFonts w:eastAsia="Calibri"/>
          <w:szCs w:val="21"/>
        </w:rPr>
        <w:t>La supervision du travail des Bureaux de Contrôle sera effectuée par le SSE, le SSS, et le SVBG.</w:t>
      </w:r>
    </w:p>
    <w:p w14:paraId="1FECB56A" w14:textId="77777777" w:rsidR="009021F1" w:rsidRPr="00000E66" w:rsidRDefault="009021F1" w:rsidP="009021F1">
      <w:pPr>
        <w:autoSpaceDE w:val="0"/>
        <w:autoSpaceDN w:val="0"/>
        <w:adjustRightInd w:val="0"/>
        <w:rPr>
          <w:rFonts w:eastAsia="Calibri"/>
          <w:szCs w:val="21"/>
        </w:rPr>
      </w:pPr>
    </w:p>
    <w:p w14:paraId="56F87554" w14:textId="77777777" w:rsidR="009021F1" w:rsidRPr="00000E66" w:rsidRDefault="009021F1" w:rsidP="009021F1">
      <w:pPr>
        <w:pStyle w:val="Titre2"/>
        <w:numPr>
          <w:ilvl w:val="2"/>
          <w:numId w:val="4"/>
        </w:numPr>
        <w:ind w:left="1560" w:hanging="709"/>
        <w:rPr>
          <w:rFonts w:cs="Arial"/>
          <w:i/>
          <w:szCs w:val="21"/>
        </w:rPr>
      </w:pPr>
      <w:bookmarkStart w:id="432" w:name="_Toc90471538"/>
      <w:r w:rsidRPr="00000E66">
        <w:rPr>
          <w:rFonts w:cs="Arial"/>
          <w:i/>
          <w:szCs w:val="21"/>
        </w:rPr>
        <w:t>Suivi environnemental et social</w:t>
      </w:r>
      <w:bookmarkEnd w:id="432"/>
      <w:r w:rsidRPr="00000E66">
        <w:rPr>
          <w:rFonts w:cs="Arial"/>
          <w:i/>
          <w:szCs w:val="21"/>
        </w:rPr>
        <w:t xml:space="preserve"> </w:t>
      </w:r>
    </w:p>
    <w:p w14:paraId="14B9FED8" w14:textId="77777777" w:rsidR="009021F1" w:rsidRPr="00000E66" w:rsidRDefault="009021F1" w:rsidP="009021F1">
      <w:pPr>
        <w:rPr>
          <w:szCs w:val="21"/>
        </w:rPr>
      </w:pPr>
    </w:p>
    <w:p w14:paraId="3E726A74" w14:textId="77777777" w:rsidR="009021F1" w:rsidRPr="00000E66" w:rsidRDefault="009021F1" w:rsidP="009021F1">
      <w:pPr>
        <w:rPr>
          <w:szCs w:val="21"/>
        </w:rPr>
      </w:pPr>
      <w:r w:rsidRPr="00000E66">
        <w:rPr>
          <w:szCs w:val="21"/>
        </w:rPr>
        <w:t xml:space="preserve">Le suivi sera réalisé à </w:t>
      </w:r>
      <w:r w:rsidRPr="00000E66">
        <w:rPr>
          <w:iCs/>
          <w:szCs w:val="21"/>
        </w:rPr>
        <w:t xml:space="preserve">« l’externe » </w:t>
      </w:r>
      <w:r w:rsidRPr="00000E66">
        <w:rPr>
          <w:szCs w:val="21"/>
        </w:rPr>
        <w:t xml:space="preserve">par l’ACE et les CPE, sur la base d’un protocole d’accord qui définira les modalités, les fréquences et l’échéance d’intervention de l’ACE et des CPE, de même que la source de financement de cette activité. </w:t>
      </w:r>
    </w:p>
    <w:p w14:paraId="466AB0A4" w14:textId="77777777" w:rsidR="009021F1" w:rsidRPr="00000E66" w:rsidRDefault="009021F1" w:rsidP="009021F1">
      <w:pPr>
        <w:rPr>
          <w:szCs w:val="21"/>
        </w:rPr>
      </w:pPr>
    </w:p>
    <w:p w14:paraId="06076EE1" w14:textId="77777777" w:rsidR="009021F1" w:rsidRPr="00000E66" w:rsidRDefault="009021F1" w:rsidP="009021F1">
      <w:pPr>
        <w:pStyle w:val="Titre2"/>
        <w:numPr>
          <w:ilvl w:val="2"/>
          <w:numId w:val="4"/>
        </w:numPr>
        <w:ind w:left="1560" w:hanging="709"/>
        <w:rPr>
          <w:rFonts w:cs="Arial"/>
          <w:i/>
          <w:szCs w:val="21"/>
        </w:rPr>
      </w:pPr>
      <w:bookmarkStart w:id="433" w:name="_Toc90471539"/>
      <w:r w:rsidRPr="00000E66">
        <w:rPr>
          <w:rFonts w:cs="Arial"/>
          <w:i/>
          <w:szCs w:val="21"/>
        </w:rPr>
        <w:t>Rôles et responsabilités pour le suivi-évaluation et rapportage environnemental et social du sous-projet/microprojet/activité</w:t>
      </w:r>
      <w:bookmarkEnd w:id="433"/>
      <w:r w:rsidRPr="00000E66">
        <w:rPr>
          <w:rFonts w:cs="Arial"/>
          <w:i/>
          <w:szCs w:val="21"/>
        </w:rPr>
        <w:t xml:space="preserve"> </w:t>
      </w:r>
    </w:p>
    <w:p w14:paraId="66356568" w14:textId="77777777" w:rsidR="009021F1" w:rsidRPr="00000E66" w:rsidRDefault="009021F1" w:rsidP="009021F1">
      <w:pPr>
        <w:rPr>
          <w:rFonts w:cs="Arial"/>
          <w:szCs w:val="21"/>
        </w:rPr>
      </w:pPr>
    </w:p>
    <w:p w14:paraId="29804569" w14:textId="77777777" w:rsidR="009021F1" w:rsidRPr="00000E66" w:rsidRDefault="009021F1" w:rsidP="009021F1">
      <w:pPr>
        <w:rPr>
          <w:rFonts w:cs="Arial"/>
          <w:szCs w:val="21"/>
        </w:rPr>
      </w:pPr>
      <w:r w:rsidRPr="00000E66">
        <w:rPr>
          <w:rFonts w:cs="Arial"/>
          <w:szCs w:val="21"/>
        </w:rPr>
        <w:t>Le tableau ci-dessous présente le récapitulatif des étapes et des responsabilités institutionnelles pour la sélection et la préparation de l’évaluation, de l’approbation et de la mise en œuvre des sous-projets.</w:t>
      </w:r>
    </w:p>
    <w:p w14:paraId="38F3A5EF" w14:textId="77777777" w:rsidR="009021F1" w:rsidRPr="00000E66" w:rsidRDefault="009021F1" w:rsidP="009021F1">
      <w:pPr>
        <w:ind w:left="1260" w:hanging="1260"/>
        <w:rPr>
          <w:rFonts w:cs="Arial"/>
          <w:szCs w:val="21"/>
        </w:rPr>
      </w:pPr>
    </w:p>
    <w:p w14:paraId="7631A507" w14:textId="77777777" w:rsidR="009021F1" w:rsidRPr="00000E66" w:rsidRDefault="009021F1" w:rsidP="009021F1">
      <w:pPr>
        <w:ind w:left="1260" w:hanging="1260"/>
        <w:rPr>
          <w:rFonts w:cs="Arial"/>
          <w:szCs w:val="21"/>
        </w:rPr>
      </w:pPr>
      <w:r w:rsidRPr="00000E66">
        <w:rPr>
          <w:rFonts w:cs="Arial"/>
          <w:szCs w:val="21"/>
        </w:rPr>
        <w:t xml:space="preserve">Tableau </w:t>
      </w:r>
      <w:r w:rsidRPr="00000E66">
        <w:rPr>
          <w:rFonts w:cs="Arial"/>
          <w:szCs w:val="21"/>
        </w:rPr>
        <w:fldChar w:fldCharType="begin"/>
      </w:r>
      <w:r w:rsidRPr="00000E66">
        <w:rPr>
          <w:rFonts w:cs="Arial"/>
          <w:szCs w:val="21"/>
        </w:rPr>
        <w:instrText xml:space="preserve"> SEQ Tableau \* ARABIC </w:instrText>
      </w:r>
      <w:r w:rsidRPr="00000E66">
        <w:rPr>
          <w:rFonts w:cs="Arial"/>
          <w:szCs w:val="21"/>
        </w:rPr>
        <w:fldChar w:fldCharType="separate"/>
      </w:r>
      <w:r>
        <w:rPr>
          <w:rFonts w:cs="Arial"/>
          <w:noProof/>
          <w:szCs w:val="21"/>
        </w:rPr>
        <w:t>37</w:t>
      </w:r>
      <w:r w:rsidRPr="00000E66">
        <w:rPr>
          <w:rFonts w:cs="Arial"/>
          <w:szCs w:val="21"/>
        </w:rPr>
        <w:fldChar w:fldCharType="end"/>
      </w:r>
      <w:r w:rsidRPr="00000E66">
        <w:rPr>
          <w:rFonts w:cs="Arial"/>
          <w:szCs w:val="21"/>
        </w:rPr>
        <w:t>. Récapitulation des étapes et des responsabilités institutionnelles pour la sélection et la préparation de l’évaluation, de l’approbation et de la mise en œuvre des sous-projets</w:t>
      </w:r>
    </w:p>
    <w:p w14:paraId="6994EA43" w14:textId="77777777" w:rsidR="009021F1" w:rsidRPr="00000E66" w:rsidRDefault="009021F1" w:rsidP="009021F1">
      <w:pPr>
        <w:rPr>
          <w:rFonts w:cs="Arial"/>
          <w:szCs w:val="21"/>
        </w:rPr>
      </w:pPr>
    </w:p>
    <w:tbl>
      <w:tblPr>
        <w:tblW w:w="1034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2835"/>
        <w:gridCol w:w="1984"/>
        <w:gridCol w:w="2977"/>
        <w:gridCol w:w="1984"/>
      </w:tblGrid>
      <w:tr w:rsidR="009021F1" w:rsidRPr="001E310E" w14:paraId="59191AA5" w14:textId="77777777" w:rsidTr="00E637E3">
        <w:trPr>
          <w:tblHeader/>
        </w:trPr>
        <w:tc>
          <w:tcPr>
            <w:tcW w:w="568" w:type="dxa"/>
            <w:shd w:val="clear" w:color="auto" w:fill="D5DCE4"/>
          </w:tcPr>
          <w:p w14:paraId="10EBFBC3" w14:textId="77777777" w:rsidR="009021F1" w:rsidRPr="00000E66" w:rsidRDefault="009021F1" w:rsidP="00E637E3">
            <w:pPr>
              <w:jc w:val="center"/>
              <w:rPr>
                <w:rFonts w:cs="Arial"/>
                <w:b/>
                <w:sz w:val="20"/>
                <w:szCs w:val="20"/>
              </w:rPr>
            </w:pPr>
            <w:r w:rsidRPr="00000E66">
              <w:rPr>
                <w:rFonts w:cs="Arial"/>
                <w:b/>
                <w:sz w:val="20"/>
                <w:szCs w:val="20"/>
              </w:rPr>
              <w:t>N°</w:t>
            </w:r>
          </w:p>
        </w:tc>
        <w:tc>
          <w:tcPr>
            <w:tcW w:w="2835" w:type="dxa"/>
            <w:shd w:val="clear" w:color="auto" w:fill="D5DCE4"/>
          </w:tcPr>
          <w:p w14:paraId="48261F23" w14:textId="77777777" w:rsidR="009021F1" w:rsidRPr="00000E66" w:rsidRDefault="009021F1" w:rsidP="00E637E3">
            <w:pPr>
              <w:jc w:val="center"/>
              <w:rPr>
                <w:rFonts w:cs="Arial"/>
                <w:b/>
                <w:sz w:val="20"/>
                <w:szCs w:val="20"/>
              </w:rPr>
            </w:pPr>
            <w:r w:rsidRPr="00000E66">
              <w:rPr>
                <w:rFonts w:cs="Arial"/>
                <w:b/>
                <w:sz w:val="20"/>
                <w:szCs w:val="20"/>
              </w:rPr>
              <w:t>Étapes/Activités</w:t>
            </w:r>
          </w:p>
        </w:tc>
        <w:tc>
          <w:tcPr>
            <w:tcW w:w="1984" w:type="dxa"/>
            <w:shd w:val="clear" w:color="auto" w:fill="D5DCE4"/>
          </w:tcPr>
          <w:p w14:paraId="79855D80" w14:textId="77777777" w:rsidR="009021F1" w:rsidRPr="00000E66" w:rsidRDefault="009021F1" w:rsidP="00E637E3">
            <w:pPr>
              <w:jc w:val="center"/>
              <w:rPr>
                <w:rFonts w:cs="Arial"/>
                <w:b/>
                <w:sz w:val="20"/>
                <w:szCs w:val="20"/>
              </w:rPr>
            </w:pPr>
            <w:r w:rsidRPr="00000E66">
              <w:rPr>
                <w:rFonts w:cs="Arial"/>
                <w:b/>
                <w:sz w:val="20"/>
                <w:szCs w:val="20"/>
              </w:rPr>
              <w:t>Responsable</w:t>
            </w:r>
          </w:p>
        </w:tc>
        <w:tc>
          <w:tcPr>
            <w:tcW w:w="2977" w:type="dxa"/>
            <w:shd w:val="clear" w:color="auto" w:fill="D5DCE4"/>
          </w:tcPr>
          <w:p w14:paraId="0C60E4E6" w14:textId="77777777" w:rsidR="009021F1" w:rsidRPr="00000E66" w:rsidRDefault="009021F1" w:rsidP="00E637E3">
            <w:pPr>
              <w:jc w:val="center"/>
              <w:rPr>
                <w:rFonts w:cs="Arial"/>
                <w:b/>
                <w:sz w:val="20"/>
                <w:szCs w:val="20"/>
              </w:rPr>
            </w:pPr>
            <w:r w:rsidRPr="00000E66">
              <w:rPr>
                <w:rFonts w:cs="Arial"/>
                <w:b/>
                <w:sz w:val="20"/>
                <w:szCs w:val="20"/>
              </w:rPr>
              <w:t>Appui/ Collaboration</w:t>
            </w:r>
          </w:p>
        </w:tc>
        <w:tc>
          <w:tcPr>
            <w:tcW w:w="1984" w:type="dxa"/>
            <w:shd w:val="clear" w:color="auto" w:fill="D5DCE4"/>
          </w:tcPr>
          <w:p w14:paraId="7C3A0685" w14:textId="77777777" w:rsidR="009021F1" w:rsidRPr="00000E66" w:rsidRDefault="009021F1" w:rsidP="00E637E3">
            <w:pPr>
              <w:jc w:val="center"/>
              <w:rPr>
                <w:rFonts w:cs="Arial"/>
                <w:b/>
                <w:sz w:val="20"/>
                <w:szCs w:val="20"/>
              </w:rPr>
            </w:pPr>
            <w:r w:rsidRPr="00000E66">
              <w:rPr>
                <w:rFonts w:cs="Arial"/>
                <w:b/>
                <w:sz w:val="20"/>
                <w:szCs w:val="20"/>
              </w:rPr>
              <w:t>Prestataire</w:t>
            </w:r>
          </w:p>
        </w:tc>
      </w:tr>
      <w:tr w:rsidR="009021F1" w:rsidRPr="001E310E" w14:paraId="00D64F9B" w14:textId="77777777" w:rsidTr="00E637E3">
        <w:tc>
          <w:tcPr>
            <w:tcW w:w="568" w:type="dxa"/>
            <w:shd w:val="clear" w:color="auto" w:fill="auto"/>
          </w:tcPr>
          <w:p w14:paraId="33200F5F" w14:textId="77777777" w:rsidR="009021F1" w:rsidRPr="00000E66" w:rsidRDefault="009021F1" w:rsidP="00E637E3">
            <w:pPr>
              <w:rPr>
                <w:rFonts w:cs="Arial"/>
                <w:sz w:val="20"/>
                <w:szCs w:val="20"/>
              </w:rPr>
            </w:pPr>
            <w:r w:rsidRPr="00000E66">
              <w:rPr>
                <w:rFonts w:cs="Arial"/>
                <w:sz w:val="20"/>
                <w:szCs w:val="20"/>
              </w:rPr>
              <w:t>1.</w:t>
            </w:r>
          </w:p>
        </w:tc>
        <w:tc>
          <w:tcPr>
            <w:tcW w:w="2835" w:type="dxa"/>
            <w:shd w:val="clear" w:color="auto" w:fill="auto"/>
          </w:tcPr>
          <w:p w14:paraId="6FFA8AC6" w14:textId="77777777" w:rsidR="009021F1" w:rsidRPr="00000E66" w:rsidRDefault="009021F1" w:rsidP="00E637E3">
            <w:pPr>
              <w:rPr>
                <w:rFonts w:cs="Arial"/>
                <w:sz w:val="20"/>
                <w:szCs w:val="20"/>
              </w:rPr>
            </w:pPr>
            <w:r w:rsidRPr="00000E66">
              <w:rPr>
                <w:rFonts w:cs="Arial"/>
                <w:sz w:val="20"/>
                <w:szCs w:val="20"/>
              </w:rPr>
              <w:t xml:space="preserve">Identification de la localisation/site et principales caractéristiques techniques du sous-projet  </w:t>
            </w:r>
          </w:p>
        </w:tc>
        <w:tc>
          <w:tcPr>
            <w:tcW w:w="1984" w:type="dxa"/>
            <w:shd w:val="clear" w:color="auto" w:fill="auto"/>
          </w:tcPr>
          <w:p w14:paraId="79AAB0E8"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r w:rsidRPr="00000E66">
              <w:rPr>
                <w:rFonts w:cs="Arial"/>
                <w:sz w:val="20"/>
                <w:szCs w:val="20"/>
              </w:rPr>
              <w:t xml:space="preserve">Responsable Technique de l’activité </w:t>
            </w:r>
            <w:r w:rsidRPr="00000E66">
              <w:rPr>
                <w:rFonts w:cs="Arial"/>
                <w:i/>
                <w:sz w:val="20"/>
                <w:szCs w:val="20"/>
              </w:rPr>
              <w:t>(i)</w:t>
            </w:r>
            <w:r w:rsidRPr="00000E66">
              <w:rPr>
                <w:rFonts w:cs="Arial"/>
                <w:sz w:val="20"/>
                <w:szCs w:val="20"/>
              </w:rPr>
              <w:t xml:space="preserve"> au Comité technique préparatoire et du suivi pour la phase de préparation du PNDA et </w:t>
            </w:r>
            <w:r w:rsidRPr="00000E66">
              <w:rPr>
                <w:rFonts w:cs="Arial"/>
                <w:i/>
                <w:sz w:val="20"/>
                <w:szCs w:val="20"/>
              </w:rPr>
              <w:t>(ii)</w:t>
            </w:r>
            <w:r w:rsidRPr="00000E66">
              <w:rPr>
                <w:rFonts w:cs="Arial"/>
                <w:sz w:val="20"/>
                <w:szCs w:val="20"/>
              </w:rPr>
              <w:t xml:space="preserve"> au PARRSA et à l’UUNCP pour la phase de mise en œuvre. </w:t>
            </w:r>
          </w:p>
        </w:tc>
        <w:tc>
          <w:tcPr>
            <w:tcW w:w="2977" w:type="dxa"/>
            <w:shd w:val="clear" w:color="auto" w:fill="auto"/>
          </w:tcPr>
          <w:p w14:paraId="2451B28A"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r w:rsidRPr="00000E66">
              <w:rPr>
                <w:rFonts w:cs="Arial"/>
                <w:sz w:val="20"/>
                <w:szCs w:val="20"/>
              </w:rPr>
              <w:t>Provinces concernées par le PNDA ;</w:t>
            </w:r>
          </w:p>
          <w:p w14:paraId="6D3B0E27"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r w:rsidRPr="00000E66">
              <w:rPr>
                <w:rFonts w:cs="Arial"/>
                <w:sz w:val="20"/>
                <w:szCs w:val="20"/>
              </w:rPr>
              <w:t>Divisions provinciales de MINAGRIPE ;</w:t>
            </w:r>
          </w:p>
          <w:p w14:paraId="0D9AECF3"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r w:rsidRPr="00000E66">
              <w:rPr>
                <w:rFonts w:cs="Arial"/>
                <w:sz w:val="20"/>
                <w:szCs w:val="20"/>
              </w:rPr>
              <w:t>CPE ;</w:t>
            </w:r>
          </w:p>
          <w:p w14:paraId="0B80E6A5"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r w:rsidRPr="00000E66">
              <w:rPr>
                <w:rFonts w:cs="Arial"/>
                <w:sz w:val="20"/>
                <w:szCs w:val="20"/>
              </w:rPr>
              <w:t>ICCN ;</w:t>
            </w:r>
          </w:p>
          <w:p w14:paraId="6B1CFC8A"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r w:rsidRPr="00000E66">
              <w:rPr>
                <w:rFonts w:cs="Arial"/>
                <w:sz w:val="20"/>
                <w:szCs w:val="20"/>
              </w:rPr>
              <w:t>OVDA ;</w:t>
            </w:r>
          </w:p>
          <w:p w14:paraId="5211279A"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r w:rsidRPr="00000E66">
              <w:rPr>
                <w:rFonts w:cs="Arial"/>
                <w:sz w:val="20"/>
                <w:szCs w:val="20"/>
              </w:rPr>
              <w:t>Cellule des TP.</w:t>
            </w:r>
          </w:p>
        </w:tc>
        <w:tc>
          <w:tcPr>
            <w:tcW w:w="1984" w:type="dxa"/>
            <w:shd w:val="clear" w:color="auto" w:fill="auto"/>
          </w:tcPr>
          <w:p w14:paraId="77292751" w14:textId="77777777" w:rsidR="009021F1" w:rsidRPr="00000E66" w:rsidRDefault="009021F1" w:rsidP="00E637E3">
            <w:pPr>
              <w:rPr>
                <w:rFonts w:cs="Arial"/>
                <w:sz w:val="20"/>
                <w:szCs w:val="20"/>
              </w:rPr>
            </w:pPr>
            <w:r w:rsidRPr="00000E66">
              <w:rPr>
                <w:rFonts w:cs="Arial"/>
                <w:sz w:val="20"/>
                <w:szCs w:val="20"/>
              </w:rPr>
              <w:t>Bureau d’études (AGENCE D’EXÉCUTION) et entreprises</w:t>
            </w:r>
          </w:p>
        </w:tc>
      </w:tr>
      <w:tr w:rsidR="009021F1" w:rsidRPr="001E310E" w14:paraId="722E4F4F" w14:textId="77777777" w:rsidTr="00E637E3">
        <w:trPr>
          <w:trHeight w:val="1610"/>
        </w:trPr>
        <w:tc>
          <w:tcPr>
            <w:tcW w:w="568" w:type="dxa"/>
            <w:shd w:val="clear" w:color="auto" w:fill="auto"/>
          </w:tcPr>
          <w:p w14:paraId="38B8A67B" w14:textId="77777777" w:rsidR="009021F1" w:rsidRPr="00000E66" w:rsidRDefault="009021F1" w:rsidP="00E637E3">
            <w:pPr>
              <w:rPr>
                <w:rFonts w:cs="Arial"/>
                <w:sz w:val="20"/>
                <w:szCs w:val="20"/>
              </w:rPr>
            </w:pPr>
          </w:p>
          <w:p w14:paraId="1ED786DE" w14:textId="77777777" w:rsidR="009021F1" w:rsidRPr="00000E66" w:rsidRDefault="009021F1" w:rsidP="00E637E3">
            <w:pPr>
              <w:rPr>
                <w:rFonts w:cs="Arial"/>
                <w:sz w:val="20"/>
                <w:szCs w:val="20"/>
              </w:rPr>
            </w:pPr>
          </w:p>
          <w:p w14:paraId="4D5DAAD8" w14:textId="77777777" w:rsidR="009021F1" w:rsidRPr="00000E66" w:rsidRDefault="009021F1" w:rsidP="00E637E3">
            <w:pPr>
              <w:rPr>
                <w:rFonts w:cs="Arial"/>
                <w:sz w:val="20"/>
                <w:szCs w:val="20"/>
              </w:rPr>
            </w:pPr>
          </w:p>
          <w:p w14:paraId="1D700327" w14:textId="77777777" w:rsidR="009021F1" w:rsidRPr="00000E66" w:rsidRDefault="009021F1" w:rsidP="00E637E3">
            <w:pPr>
              <w:rPr>
                <w:rFonts w:cs="Arial"/>
                <w:sz w:val="20"/>
                <w:szCs w:val="20"/>
              </w:rPr>
            </w:pPr>
          </w:p>
          <w:p w14:paraId="6D35AB1C" w14:textId="77777777" w:rsidR="009021F1" w:rsidRPr="00000E66" w:rsidRDefault="009021F1" w:rsidP="00E637E3">
            <w:pPr>
              <w:rPr>
                <w:rFonts w:cs="Arial"/>
                <w:sz w:val="20"/>
                <w:szCs w:val="20"/>
              </w:rPr>
            </w:pPr>
            <w:r w:rsidRPr="00000E66">
              <w:rPr>
                <w:rFonts w:cs="Arial"/>
                <w:sz w:val="20"/>
                <w:szCs w:val="20"/>
              </w:rPr>
              <w:t>2.</w:t>
            </w:r>
          </w:p>
        </w:tc>
        <w:tc>
          <w:tcPr>
            <w:tcW w:w="2835" w:type="dxa"/>
            <w:shd w:val="clear" w:color="auto" w:fill="auto"/>
          </w:tcPr>
          <w:p w14:paraId="3EF23700" w14:textId="77777777" w:rsidR="009021F1" w:rsidRPr="00000E66" w:rsidRDefault="009021F1" w:rsidP="00E637E3">
            <w:pPr>
              <w:jc w:val="left"/>
              <w:rPr>
                <w:rFonts w:cs="Arial"/>
                <w:sz w:val="20"/>
                <w:szCs w:val="20"/>
              </w:rPr>
            </w:pPr>
            <w:r w:rsidRPr="00000E66">
              <w:rPr>
                <w:rFonts w:cs="Arial"/>
                <w:sz w:val="20"/>
                <w:szCs w:val="20"/>
              </w:rPr>
              <w:t xml:space="preserve">Sélection environnementale et sociale (Screening-remplissage des formulaires) y compris les risques liés à l’EAS/HS et au COVID-19, et détermination du type d’instrument spécifique de sauvegarde. </w:t>
            </w:r>
          </w:p>
        </w:tc>
        <w:tc>
          <w:tcPr>
            <w:tcW w:w="1984" w:type="dxa"/>
            <w:shd w:val="clear" w:color="auto" w:fill="auto"/>
          </w:tcPr>
          <w:p w14:paraId="6D34CF24"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r w:rsidRPr="00000E66">
              <w:rPr>
                <w:rFonts w:cs="Arial"/>
                <w:sz w:val="20"/>
                <w:szCs w:val="20"/>
              </w:rPr>
              <w:t xml:space="preserve">SSE, SSSS et SVBG (phases de </w:t>
            </w:r>
          </w:p>
          <w:p w14:paraId="1DFB979C" w14:textId="77777777" w:rsidR="009021F1" w:rsidRPr="00000E66" w:rsidRDefault="009021F1" w:rsidP="00E637E3">
            <w:pPr>
              <w:pStyle w:val="Paragraphedeliste"/>
              <w:tabs>
                <w:tab w:val="left" w:pos="0"/>
              </w:tabs>
              <w:ind w:left="156"/>
              <w:contextualSpacing w:val="0"/>
              <w:jc w:val="left"/>
              <w:rPr>
                <w:rFonts w:cs="Arial"/>
                <w:sz w:val="20"/>
                <w:szCs w:val="20"/>
              </w:rPr>
            </w:pPr>
            <w:r w:rsidRPr="00000E66">
              <w:rPr>
                <w:rFonts w:cs="Arial"/>
                <w:sz w:val="20"/>
                <w:szCs w:val="20"/>
              </w:rPr>
              <w:t>préparation et de mise en œuvre).</w:t>
            </w:r>
          </w:p>
        </w:tc>
        <w:tc>
          <w:tcPr>
            <w:tcW w:w="2977" w:type="dxa"/>
            <w:shd w:val="clear" w:color="auto" w:fill="auto"/>
          </w:tcPr>
          <w:p w14:paraId="57F3F524"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r w:rsidRPr="00000E66">
              <w:rPr>
                <w:rFonts w:cs="Arial"/>
                <w:sz w:val="20"/>
                <w:szCs w:val="20"/>
              </w:rPr>
              <w:t>Provinces ciblées par le PNDA ;</w:t>
            </w:r>
          </w:p>
          <w:p w14:paraId="45104C21"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r w:rsidRPr="00000E66">
              <w:rPr>
                <w:rFonts w:cs="Arial"/>
                <w:sz w:val="20"/>
                <w:szCs w:val="20"/>
              </w:rPr>
              <w:t>Division provinciales MINAGRI,</w:t>
            </w:r>
            <w:r w:rsidRPr="00000E66" w:rsidDel="009A2163">
              <w:rPr>
                <w:rFonts w:cs="Arial"/>
                <w:sz w:val="20"/>
                <w:szCs w:val="20"/>
              </w:rPr>
              <w:t xml:space="preserve"> </w:t>
            </w:r>
            <w:r w:rsidRPr="00000E66">
              <w:rPr>
                <w:rFonts w:cs="Arial"/>
                <w:sz w:val="20"/>
                <w:szCs w:val="20"/>
              </w:rPr>
              <w:t>DVDA ;</w:t>
            </w:r>
          </w:p>
          <w:p w14:paraId="1D4576F7"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r w:rsidRPr="00000E66">
              <w:rPr>
                <w:rFonts w:cs="Arial"/>
                <w:sz w:val="20"/>
                <w:szCs w:val="20"/>
              </w:rPr>
              <w:t>ACE ;</w:t>
            </w:r>
          </w:p>
          <w:p w14:paraId="0CF1A791"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r w:rsidRPr="00000E66">
              <w:rPr>
                <w:rFonts w:cs="Arial"/>
                <w:sz w:val="20"/>
                <w:szCs w:val="20"/>
              </w:rPr>
              <w:t>CPE.</w:t>
            </w:r>
          </w:p>
          <w:p w14:paraId="2DB6243E" w14:textId="77777777" w:rsidR="009021F1" w:rsidRPr="00000E66" w:rsidRDefault="009021F1" w:rsidP="00E637E3">
            <w:pPr>
              <w:pStyle w:val="Paragraphedeliste"/>
              <w:tabs>
                <w:tab w:val="left" w:pos="0"/>
              </w:tabs>
              <w:ind w:left="156"/>
              <w:contextualSpacing w:val="0"/>
              <w:jc w:val="left"/>
              <w:rPr>
                <w:rFonts w:cs="Arial"/>
                <w:sz w:val="20"/>
                <w:szCs w:val="20"/>
              </w:rPr>
            </w:pPr>
          </w:p>
        </w:tc>
        <w:tc>
          <w:tcPr>
            <w:tcW w:w="1984" w:type="dxa"/>
            <w:shd w:val="clear" w:color="auto" w:fill="auto"/>
          </w:tcPr>
          <w:p w14:paraId="3F992BB3"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r w:rsidRPr="00000E66">
              <w:rPr>
                <w:rFonts w:cs="Arial"/>
                <w:sz w:val="20"/>
                <w:szCs w:val="20"/>
              </w:rPr>
              <w:t>SSE, SSS et SVBG (phases de préparation et de mise en œuvre)</w:t>
            </w:r>
            <w:r w:rsidRPr="00000E66" w:rsidDel="002C52D9">
              <w:rPr>
                <w:rFonts w:cs="Arial"/>
                <w:sz w:val="20"/>
                <w:szCs w:val="20"/>
              </w:rPr>
              <w:t xml:space="preserve"> </w:t>
            </w:r>
          </w:p>
        </w:tc>
      </w:tr>
      <w:tr w:rsidR="009021F1" w:rsidRPr="001E310E" w14:paraId="38AA263C" w14:textId="77777777" w:rsidTr="00E637E3">
        <w:tc>
          <w:tcPr>
            <w:tcW w:w="568" w:type="dxa"/>
            <w:vMerge w:val="restart"/>
            <w:shd w:val="clear" w:color="auto" w:fill="auto"/>
          </w:tcPr>
          <w:p w14:paraId="75A58F5E" w14:textId="77777777" w:rsidR="009021F1" w:rsidRPr="00000E66" w:rsidRDefault="009021F1" w:rsidP="00E637E3">
            <w:pPr>
              <w:rPr>
                <w:rFonts w:cs="Arial"/>
                <w:sz w:val="20"/>
                <w:szCs w:val="20"/>
              </w:rPr>
            </w:pPr>
          </w:p>
          <w:p w14:paraId="6B7A0B26" w14:textId="77777777" w:rsidR="009021F1" w:rsidRPr="00000E66" w:rsidRDefault="009021F1" w:rsidP="00E637E3">
            <w:pPr>
              <w:rPr>
                <w:rFonts w:cs="Arial"/>
                <w:sz w:val="20"/>
                <w:szCs w:val="20"/>
              </w:rPr>
            </w:pPr>
          </w:p>
          <w:p w14:paraId="440A9057" w14:textId="77777777" w:rsidR="009021F1" w:rsidRPr="00000E66" w:rsidRDefault="009021F1" w:rsidP="00E637E3">
            <w:pPr>
              <w:rPr>
                <w:rFonts w:cs="Arial"/>
                <w:sz w:val="20"/>
                <w:szCs w:val="20"/>
              </w:rPr>
            </w:pPr>
          </w:p>
          <w:p w14:paraId="645023DC" w14:textId="77777777" w:rsidR="009021F1" w:rsidRPr="00000E66" w:rsidRDefault="009021F1" w:rsidP="00E637E3">
            <w:pPr>
              <w:rPr>
                <w:rFonts w:cs="Arial"/>
                <w:sz w:val="20"/>
                <w:szCs w:val="20"/>
              </w:rPr>
            </w:pPr>
          </w:p>
          <w:p w14:paraId="717C88FC" w14:textId="77777777" w:rsidR="009021F1" w:rsidRPr="00000E66" w:rsidRDefault="009021F1" w:rsidP="00E637E3">
            <w:pPr>
              <w:rPr>
                <w:rFonts w:cs="Arial"/>
                <w:sz w:val="20"/>
                <w:szCs w:val="20"/>
              </w:rPr>
            </w:pPr>
            <w:r w:rsidRPr="00000E66">
              <w:rPr>
                <w:rFonts w:cs="Arial"/>
                <w:sz w:val="20"/>
                <w:szCs w:val="20"/>
              </w:rPr>
              <w:t>3.</w:t>
            </w:r>
          </w:p>
        </w:tc>
        <w:tc>
          <w:tcPr>
            <w:tcW w:w="2835" w:type="dxa"/>
            <w:shd w:val="clear" w:color="auto" w:fill="auto"/>
          </w:tcPr>
          <w:p w14:paraId="51A0121F" w14:textId="77777777" w:rsidR="009021F1" w:rsidRPr="00000E66" w:rsidRDefault="009021F1" w:rsidP="00E637E3">
            <w:pPr>
              <w:rPr>
                <w:rFonts w:cs="Arial"/>
                <w:sz w:val="20"/>
                <w:szCs w:val="20"/>
              </w:rPr>
            </w:pPr>
          </w:p>
          <w:p w14:paraId="04E422BB" w14:textId="77777777" w:rsidR="009021F1" w:rsidRPr="00000E66" w:rsidRDefault="009021F1" w:rsidP="00E637E3">
            <w:pPr>
              <w:rPr>
                <w:rFonts w:cs="Arial"/>
                <w:sz w:val="20"/>
                <w:szCs w:val="20"/>
              </w:rPr>
            </w:pPr>
          </w:p>
          <w:p w14:paraId="3F150FE3" w14:textId="77777777" w:rsidR="009021F1" w:rsidRPr="00000E66" w:rsidRDefault="009021F1" w:rsidP="00E637E3">
            <w:pPr>
              <w:rPr>
                <w:rFonts w:cs="Arial"/>
                <w:sz w:val="20"/>
                <w:szCs w:val="20"/>
              </w:rPr>
            </w:pPr>
          </w:p>
          <w:p w14:paraId="260F5AE6" w14:textId="77777777" w:rsidR="009021F1" w:rsidRPr="00000E66" w:rsidRDefault="009021F1" w:rsidP="00E637E3">
            <w:pPr>
              <w:rPr>
                <w:rFonts w:cs="Arial"/>
                <w:sz w:val="20"/>
                <w:szCs w:val="20"/>
              </w:rPr>
            </w:pPr>
            <w:r w:rsidRPr="00000E66">
              <w:rPr>
                <w:rFonts w:cs="Arial"/>
                <w:sz w:val="20"/>
                <w:szCs w:val="20"/>
              </w:rPr>
              <w:t xml:space="preserve">Approbation de la catégorisation </w:t>
            </w:r>
          </w:p>
        </w:tc>
        <w:tc>
          <w:tcPr>
            <w:tcW w:w="1984" w:type="dxa"/>
            <w:shd w:val="clear" w:color="auto" w:fill="auto"/>
          </w:tcPr>
          <w:p w14:paraId="361EDE74"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r w:rsidRPr="00000E66">
              <w:rPr>
                <w:rFonts w:cs="Arial"/>
                <w:sz w:val="20"/>
                <w:szCs w:val="20"/>
              </w:rPr>
              <w:t>Comité Technique préparatoire et de suivi du PNDA</w:t>
            </w:r>
          </w:p>
          <w:p w14:paraId="5948EB1F"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r w:rsidRPr="00000E66">
              <w:rPr>
                <w:rFonts w:cs="Arial"/>
                <w:sz w:val="20"/>
                <w:szCs w:val="20"/>
              </w:rPr>
              <w:t>UNCP/PARRSA ;</w:t>
            </w:r>
          </w:p>
          <w:p w14:paraId="5D70DC14"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r w:rsidRPr="00000E66">
              <w:rPr>
                <w:rFonts w:cs="Arial"/>
                <w:sz w:val="20"/>
                <w:szCs w:val="20"/>
              </w:rPr>
              <w:t>UNCP.</w:t>
            </w:r>
          </w:p>
        </w:tc>
        <w:tc>
          <w:tcPr>
            <w:tcW w:w="2977" w:type="dxa"/>
            <w:shd w:val="clear" w:color="auto" w:fill="auto"/>
          </w:tcPr>
          <w:p w14:paraId="4DB7C09C"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r w:rsidRPr="00000E66">
              <w:rPr>
                <w:rFonts w:cs="Arial"/>
                <w:sz w:val="20"/>
                <w:szCs w:val="20"/>
              </w:rPr>
              <w:t>SSE, SSS et le SVBG (phases de préparation et de mise en œuvre) ;</w:t>
            </w:r>
          </w:p>
          <w:p w14:paraId="1D64F63E"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r w:rsidRPr="00000E66">
              <w:rPr>
                <w:rFonts w:cs="Arial"/>
                <w:sz w:val="20"/>
                <w:szCs w:val="20"/>
              </w:rPr>
              <w:t>ACE ;</w:t>
            </w:r>
          </w:p>
          <w:p w14:paraId="45476CA2"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r w:rsidRPr="00000E66">
              <w:rPr>
                <w:rFonts w:cs="Arial"/>
                <w:sz w:val="20"/>
                <w:szCs w:val="20"/>
              </w:rPr>
              <w:t>CPE ;</w:t>
            </w:r>
          </w:p>
          <w:p w14:paraId="601F60F6"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r w:rsidRPr="00000E66">
              <w:rPr>
                <w:rFonts w:cs="Arial"/>
                <w:sz w:val="20"/>
                <w:szCs w:val="20"/>
              </w:rPr>
              <w:t>ICCN ;</w:t>
            </w:r>
          </w:p>
          <w:p w14:paraId="2ED79C9A" w14:textId="77777777" w:rsidR="009021F1" w:rsidRPr="00000E66" w:rsidRDefault="009021F1" w:rsidP="00E637E3">
            <w:pPr>
              <w:pStyle w:val="Paragraphedeliste"/>
              <w:tabs>
                <w:tab w:val="left" w:pos="0"/>
              </w:tabs>
              <w:ind w:left="156"/>
              <w:contextualSpacing w:val="0"/>
              <w:jc w:val="left"/>
              <w:rPr>
                <w:rFonts w:cs="Arial"/>
                <w:sz w:val="20"/>
                <w:szCs w:val="20"/>
              </w:rPr>
            </w:pPr>
            <w:r w:rsidRPr="00000E66">
              <w:rPr>
                <w:rFonts w:cs="Arial"/>
                <w:sz w:val="20"/>
                <w:szCs w:val="20"/>
              </w:rPr>
              <w:t>AGENCE D’EXÉCUTION.</w:t>
            </w:r>
          </w:p>
        </w:tc>
        <w:tc>
          <w:tcPr>
            <w:tcW w:w="1984" w:type="dxa"/>
            <w:shd w:val="clear" w:color="auto" w:fill="auto"/>
          </w:tcPr>
          <w:p w14:paraId="209F949E"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r w:rsidRPr="00000E66">
              <w:rPr>
                <w:rFonts w:cs="Arial"/>
                <w:sz w:val="20"/>
                <w:szCs w:val="20"/>
              </w:rPr>
              <w:t>ACE</w:t>
            </w:r>
          </w:p>
          <w:p w14:paraId="25152E9E"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r w:rsidRPr="00000E66">
              <w:rPr>
                <w:rFonts w:cs="Arial"/>
                <w:sz w:val="20"/>
                <w:szCs w:val="20"/>
              </w:rPr>
              <w:t>Banque Mondiale</w:t>
            </w:r>
          </w:p>
        </w:tc>
      </w:tr>
      <w:tr w:rsidR="009021F1" w:rsidRPr="001E310E" w14:paraId="75C535B3" w14:textId="77777777" w:rsidTr="00E637E3">
        <w:tc>
          <w:tcPr>
            <w:tcW w:w="568" w:type="dxa"/>
            <w:vMerge/>
            <w:shd w:val="clear" w:color="auto" w:fill="auto"/>
          </w:tcPr>
          <w:p w14:paraId="7289A688" w14:textId="77777777" w:rsidR="009021F1" w:rsidRPr="00000E66" w:rsidRDefault="009021F1" w:rsidP="00E637E3">
            <w:pPr>
              <w:rPr>
                <w:rFonts w:cs="Arial"/>
                <w:sz w:val="20"/>
                <w:szCs w:val="20"/>
              </w:rPr>
            </w:pPr>
          </w:p>
        </w:tc>
        <w:tc>
          <w:tcPr>
            <w:tcW w:w="2835" w:type="dxa"/>
            <w:shd w:val="clear" w:color="auto" w:fill="auto"/>
          </w:tcPr>
          <w:p w14:paraId="25C6AE56" w14:textId="77777777" w:rsidR="009021F1" w:rsidRPr="00000E66" w:rsidRDefault="009021F1" w:rsidP="00E637E3">
            <w:pPr>
              <w:rPr>
                <w:rFonts w:cs="Arial"/>
                <w:sz w:val="20"/>
                <w:szCs w:val="20"/>
              </w:rPr>
            </w:pPr>
            <w:r w:rsidRPr="00000E66">
              <w:rPr>
                <w:rFonts w:cs="Arial"/>
                <w:sz w:val="20"/>
                <w:szCs w:val="20"/>
              </w:rPr>
              <w:t>Screening environnemental et social</w:t>
            </w:r>
          </w:p>
        </w:tc>
        <w:tc>
          <w:tcPr>
            <w:tcW w:w="1984" w:type="dxa"/>
            <w:shd w:val="clear" w:color="auto" w:fill="auto"/>
          </w:tcPr>
          <w:p w14:paraId="521AE7B1"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r w:rsidRPr="00000E66">
              <w:rPr>
                <w:rFonts w:cs="Arial"/>
                <w:sz w:val="20"/>
                <w:szCs w:val="20"/>
              </w:rPr>
              <w:t>SSE et SSS (phases de préparation)</w:t>
            </w:r>
          </w:p>
        </w:tc>
        <w:tc>
          <w:tcPr>
            <w:tcW w:w="2977" w:type="dxa"/>
            <w:shd w:val="clear" w:color="auto" w:fill="auto"/>
          </w:tcPr>
          <w:p w14:paraId="6D3751F5"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r w:rsidRPr="00000E66">
              <w:rPr>
                <w:rFonts w:cs="Arial"/>
                <w:sz w:val="20"/>
                <w:szCs w:val="20"/>
              </w:rPr>
              <w:t>SSE et SSS (phases de préparation)</w:t>
            </w:r>
          </w:p>
        </w:tc>
        <w:tc>
          <w:tcPr>
            <w:tcW w:w="1984" w:type="dxa"/>
            <w:shd w:val="clear" w:color="auto" w:fill="auto"/>
          </w:tcPr>
          <w:p w14:paraId="7E5009FA"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r w:rsidRPr="00000E66">
              <w:rPr>
                <w:rFonts w:cs="Arial"/>
                <w:sz w:val="20"/>
                <w:szCs w:val="20"/>
              </w:rPr>
              <w:t>ACE</w:t>
            </w:r>
          </w:p>
          <w:p w14:paraId="5F9BC443"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r w:rsidRPr="00000E66">
              <w:rPr>
                <w:rFonts w:cs="Arial"/>
                <w:sz w:val="20"/>
                <w:szCs w:val="20"/>
              </w:rPr>
              <w:t>Banque Mondiale</w:t>
            </w:r>
          </w:p>
        </w:tc>
      </w:tr>
      <w:tr w:rsidR="009021F1" w:rsidRPr="001E310E" w14:paraId="519F2470" w14:textId="77777777" w:rsidTr="00E637E3">
        <w:tc>
          <w:tcPr>
            <w:tcW w:w="568" w:type="dxa"/>
            <w:vMerge w:val="restart"/>
            <w:shd w:val="clear" w:color="auto" w:fill="auto"/>
          </w:tcPr>
          <w:p w14:paraId="29A9FB6E" w14:textId="77777777" w:rsidR="009021F1" w:rsidRPr="00000E66" w:rsidRDefault="009021F1" w:rsidP="00E637E3">
            <w:pPr>
              <w:rPr>
                <w:rFonts w:cs="Arial"/>
                <w:sz w:val="20"/>
                <w:szCs w:val="20"/>
              </w:rPr>
            </w:pPr>
          </w:p>
          <w:p w14:paraId="791F77E9" w14:textId="77777777" w:rsidR="009021F1" w:rsidRPr="00000E66" w:rsidRDefault="009021F1" w:rsidP="00E637E3">
            <w:pPr>
              <w:rPr>
                <w:rFonts w:cs="Arial"/>
                <w:sz w:val="20"/>
                <w:szCs w:val="20"/>
              </w:rPr>
            </w:pPr>
          </w:p>
          <w:p w14:paraId="47481463" w14:textId="77777777" w:rsidR="009021F1" w:rsidRPr="00000E66" w:rsidRDefault="009021F1" w:rsidP="00E637E3">
            <w:pPr>
              <w:rPr>
                <w:rFonts w:cs="Arial"/>
                <w:sz w:val="20"/>
                <w:szCs w:val="20"/>
              </w:rPr>
            </w:pPr>
          </w:p>
          <w:p w14:paraId="334305CA" w14:textId="77777777" w:rsidR="009021F1" w:rsidRPr="00000E66" w:rsidRDefault="009021F1" w:rsidP="00E637E3">
            <w:pPr>
              <w:rPr>
                <w:rFonts w:cs="Arial"/>
                <w:sz w:val="20"/>
                <w:szCs w:val="20"/>
              </w:rPr>
            </w:pPr>
          </w:p>
          <w:p w14:paraId="2D41D879" w14:textId="77777777" w:rsidR="009021F1" w:rsidRPr="00000E66" w:rsidRDefault="009021F1" w:rsidP="00E637E3">
            <w:pPr>
              <w:rPr>
                <w:rFonts w:cs="Arial"/>
                <w:sz w:val="20"/>
                <w:szCs w:val="20"/>
              </w:rPr>
            </w:pPr>
          </w:p>
          <w:p w14:paraId="521A5560" w14:textId="77777777" w:rsidR="009021F1" w:rsidRPr="00000E66" w:rsidRDefault="009021F1" w:rsidP="00E637E3">
            <w:pPr>
              <w:rPr>
                <w:rFonts w:cs="Arial"/>
                <w:sz w:val="20"/>
                <w:szCs w:val="20"/>
              </w:rPr>
            </w:pPr>
            <w:r w:rsidRPr="00000E66">
              <w:rPr>
                <w:rFonts w:cs="Arial"/>
                <w:sz w:val="20"/>
                <w:szCs w:val="20"/>
              </w:rPr>
              <w:t>4.</w:t>
            </w:r>
          </w:p>
        </w:tc>
        <w:tc>
          <w:tcPr>
            <w:tcW w:w="9780" w:type="dxa"/>
            <w:gridSpan w:val="4"/>
            <w:shd w:val="clear" w:color="auto" w:fill="auto"/>
          </w:tcPr>
          <w:p w14:paraId="574A1F49" w14:textId="77777777" w:rsidR="009021F1" w:rsidRPr="00000E66" w:rsidRDefault="009021F1" w:rsidP="00E637E3">
            <w:pPr>
              <w:rPr>
                <w:rFonts w:cs="Arial"/>
                <w:sz w:val="20"/>
                <w:szCs w:val="20"/>
              </w:rPr>
            </w:pPr>
            <w:r w:rsidRPr="00000E66">
              <w:rPr>
                <w:rFonts w:cs="Arial"/>
                <w:sz w:val="20"/>
                <w:szCs w:val="20"/>
              </w:rPr>
              <w:t>Préparation de l’instrument spécifique de sauvegarde E&amp;S de sous-projet de risque modéré ou faible</w:t>
            </w:r>
          </w:p>
        </w:tc>
      </w:tr>
      <w:tr w:rsidR="009021F1" w:rsidRPr="001E310E" w14:paraId="34FC25AD" w14:textId="77777777" w:rsidTr="00E637E3">
        <w:trPr>
          <w:trHeight w:val="85"/>
        </w:trPr>
        <w:tc>
          <w:tcPr>
            <w:tcW w:w="568" w:type="dxa"/>
            <w:vMerge/>
            <w:shd w:val="clear" w:color="auto" w:fill="auto"/>
          </w:tcPr>
          <w:p w14:paraId="6145AC42" w14:textId="77777777" w:rsidR="009021F1" w:rsidRPr="00000E66" w:rsidRDefault="009021F1" w:rsidP="00E637E3">
            <w:pPr>
              <w:rPr>
                <w:rFonts w:cs="Arial"/>
                <w:sz w:val="20"/>
                <w:szCs w:val="20"/>
              </w:rPr>
            </w:pPr>
          </w:p>
        </w:tc>
        <w:tc>
          <w:tcPr>
            <w:tcW w:w="2835" w:type="dxa"/>
            <w:shd w:val="clear" w:color="auto" w:fill="auto"/>
          </w:tcPr>
          <w:p w14:paraId="48EE5C6F" w14:textId="77777777" w:rsidR="009021F1" w:rsidRPr="00000E66" w:rsidRDefault="009021F1" w:rsidP="00E637E3">
            <w:pPr>
              <w:tabs>
                <w:tab w:val="left" w:pos="0"/>
              </w:tabs>
              <w:rPr>
                <w:rFonts w:cs="Arial"/>
                <w:sz w:val="20"/>
                <w:szCs w:val="20"/>
              </w:rPr>
            </w:pPr>
            <w:r w:rsidRPr="00000E66">
              <w:rPr>
                <w:rFonts w:cs="Arial"/>
                <w:sz w:val="20"/>
                <w:szCs w:val="20"/>
              </w:rPr>
              <w:t>Préparation et approbation des TDR</w:t>
            </w:r>
          </w:p>
        </w:tc>
        <w:tc>
          <w:tcPr>
            <w:tcW w:w="1984" w:type="dxa"/>
            <w:vMerge w:val="restart"/>
            <w:shd w:val="clear" w:color="auto" w:fill="auto"/>
          </w:tcPr>
          <w:p w14:paraId="7B5CDCD9"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r w:rsidRPr="00000E66">
              <w:rPr>
                <w:rFonts w:cs="Arial"/>
                <w:sz w:val="20"/>
                <w:szCs w:val="20"/>
              </w:rPr>
              <w:t>SSE, SSS et SVBG (phases de préparation et de mise en œuvre).</w:t>
            </w:r>
          </w:p>
        </w:tc>
        <w:tc>
          <w:tcPr>
            <w:tcW w:w="2977" w:type="dxa"/>
            <w:shd w:val="clear" w:color="auto" w:fill="auto"/>
          </w:tcPr>
          <w:p w14:paraId="34915875"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r w:rsidRPr="00000E66">
              <w:rPr>
                <w:rFonts w:cs="Arial"/>
                <w:sz w:val="20"/>
                <w:szCs w:val="20"/>
              </w:rPr>
              <w:t>ACE</w:t>
            </w:r>
          </w:p>
        </w:tc>
        <w:tc>
          <w:tcPr>
            <w:tcW w:w="1984" w:type="dxa"/>
            <w:shd w:val="clear" w:color="auto" w:fill="auto"/>
          </w:tcPr>
          <w:p w14:paraId="46FB626F"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r w:rsidRPr="00000E66">
              <w:rPr>
                <w:rFonts w:cs="Arial"/>
                <w:sz w:val="20"/>
                <w:szCs w:val="20"/>
              </w:rPr>
              <w:t>Banque Mondiale</w:t>
            </w:r>
          </w:p>
        </w:tc>
      </w:tr>
      <w:tr w:rsidR="009021F1" w:rsidRPr="001E310E" w14:paraId="2C0CB265" w14:textId="77777777" w:rsidTr="00E637E3">
        <w:trPr>
          <w:trHeight w:val="85"/>
        </w:trPr>
        <w:tc>
          <w:tcPr>
            <w:tcW w:w="568" w:type="dxa"/>
            <w:vMerge/>
            <w:shd w:val="clear" w:color="auto" w:fill="auto"/>
          </w:tcPr>
          <w:p w14:paraId="483E2029" w14:textId="77777777" w:rsidR="009021F1" w:rsidRPr="00000E66" w:rsidRDefault="009021F1" w:rsidP="00E637E3">
            <w:pPr>
              <w:rPr>
                <w:rFonts w:cs="Arial"/>
                <w:sz w:val="20"/>
                <w:szCs w:val="20"/>
              </w:rPr>
            </w:pPr>
          </w:p>
        </w:tc>
        <w:tc>
          <w:tcPr>
            <w:tcW w:w="2835" w:type="dxa"/>
            <w:shd w:val="clear" w:color="auto" w:fill="auto"/>
          </w:tcPr>
          <w:p w14:paraId="12649539" w14:textId="77777777" w:rsidR="009021F1" w:rsidRPr="00000E66" w:rsidRDefault="009021F1" w:rsidP="00E637E3">
            <w:pPr>
              <w:tabs>
                <w:tab w:val="left" w:pos="0"/>
              </w:tabs>
              <w:rPr>
                <w:rFonts w:cs="Arial"/>
                <w:sz w:val="20"/>
                <w:szCs w:val="20"/>
              </w:rPr>
            </w:pPr>
          </w:p>
        </w:tc>
        <w:tc>
          <w:tcPr>
            <w:tcW w:w="1984" w:type="dxa"/>
            <w:vMerge/>
            <w:shd w:val="clear" w:color="auto" w:fill="auto"/>
          </w:tcPr>
          <w:p w14:paraId="37BD5465"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p>
        </w:tc>
        <w:tc>
          <w:tcPr>
            <w:tcW w:w="2977" w:type="dxa"/>
            <w:shd w:val="clear" w:color="auto" w:fill="auto"/>
          </w:tcPr>
          <w:p w14:paraId="755B725E"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p>
        </w:tc>
        <w:tc>
          <w:tcPr>
            <w:tcW w:w="1984" w:type="dxa"/>
            <w:shd w:val="clear" w:color="auto" w:fill="auto"/>
          </w:tcPr>
          <w:p w14:paraId="503F6B85"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p>
        </w:tc>
      </w:tr>
      <w:tr w:rsidR="009021F1" w:rsidRPr="001E310E" w14:paraId="43EB470E" w14:textId="77777777" w:rsidTr="00E637E3">
        <w:trPr>
          <w:trHeight w:val="566"/>
        </w:trPr>
        <w:tc>
          <w:tcPr>
            <w:tcW w:w="568" w:type="dxa"/>
            <w:vMerge/>
            <w:shd w:val="clear" w:color="auto" w:fill="auto"/>
          </w:tcPr>
          <w:p w14:paraId="7E24A7CD" w14:textId="77777777" w:rsidR="009021F1" w:rsidRPr="00000E66" w:rsidRDefault="009021F1" w:rsidP="00E637E3">
            <w:pPr>
              <w:rPr>
                <w:rFonts w:cs="Arial"/>
                <w:sz w:val="20"/>
                <w:szCs w:val="20"/>
              </w:rPr>
            </w:pPr>
          </w:p>
        </w:tc>
        <w:tc>
          <w:tcPr>
            <w:tcW w:w="2835" w:type="dxa"/>
            <w:shd w:val="clear" w:color="auto" w:fill="auto"/>
          </w:tcPr>
          <w:p w14:paraId="5F465EE1" w14:textId="77777777" w:rsidR="009021F1" w:rsidRPr="00000E66" w:rsidRDefault="009021F1" w:rsidP="00E637E3">
            <w:pPr>
              <w:tabs>
                <w:tab w:val="left" w:pos="0"/>
              </w:tabs>
              <w:rPr>
                <w:rFonts w:cs="Arial"/>
                <w:sz w:val="20"/>
                <w:szCs w:val="20"/>
              </w:rPr>
            </w:pPr>
            <w:r w:rsidRPr="00000E66">
              <w:rPr>
                <w:rFonts w:cs="Arial"/>
                <w:sz w:val="20"/>
                <w:szCs w:val="20"/>
              </w:rPr>
              <w:t>Réalisation de l’étude y compris consultation du public, en tenant compte des risques d’EAS/HS.</w:t>
            </w:r>
          </w:p>
          <w:p w14:paraId="29B2BDDF" w14:textId="77777777" w:rsidR="009021F1" w:rsidRPr="00000E66" w:rsidRDefault="009021F1" w:rsidP="00E637E3">
            <w:pPr>
              <w:rPr>
                <w:rFonts w:cs="Arial"/>
                <w:sz w:val="20"/>
                <w:szCs w:val="20"/>
              </w:rPr>
            </w:pPr>
          </w:p>
        </w:tc>
        <w:tc>
          <w:tcPr>
            <w:tcW w:w="1984" w:type="dxa"/>
            <w:vMerge/>
            <w:shd w:val="clear" w:color="auto" w:fill="auto"/>
          </w:tcPr>
          <w:p w14:paraId="492AEF93"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p>
        </w:tc>
        <w:tc>
          <w:tcPr>
            <w:tcW w:w="2977" w:type="dxa"/>
            <w:shd w:val="clear" w:color="auto" w:fill="auto"/>
          </w:tcPr>
          <w:p w14:paraId="0F35B2E5"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r w:rsidRPr="00000E66">
              <w:rPr>
                <w:rFonts w:cs="Arial"/>
                <w:sz w:val="20"/>
                <w:szCs w:val="20"/>
              </w:rPr>
              <w:t>Spécialiste Passation de Marché ;</w:t>
            </w:r>
          </w:p>
          <w:p w14:paraId="1A1CC287"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r w:rsidRPr="00000E66">
              <w:rPr>
                <w:rFonts w:cs="Arial"/>
                <w:sz w:val="20"/>
                <w:szCs w:val="20"/>
              </w:rPr>
              <w:t>ACE ;</w:t>
            </w:r>
          </w:p>
          <w:p w14:paraId="5C5F6585"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r w:rsidRPr="00000E66">
              <w:rPr>
                <w:rFonts w:cs="Arial"/>
                <w:sz w:val="20"/>
                <w:szCs w:val="20"/>
              </w:rPr>
              <w:t>AGENCE D’EXÉCUTION ;</w:t>
            </w:r>
          </w:p>
          <w:p w14:paraId="52C68D29"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r w:rsidRPr="00000E66">
              <w:rPr>
                <w:rFonts w:cs="Arial"/>
                <w:sz w:val="20"/>
                <w:szCs w:val="20"/>
              </w:rPr>
              <w:t>Provinces/ Villes/Communes/Territoires ciblé(e)s (PFES) ;</w:t>
            </w:r>
          </w:p>
          <w:p w14:paraId="262242AD"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r w:rsidRPr="00000E66">
              <w:rPr>
                <w:rFonts w:cs="Arial"/>
                <w:sz w:val="20"/>
                <w:szCs w:val="20"/>
              </w:rPr>
              <w:t>CPE.</w:t>
            </w:r>
          </w:p>
        </w:tc>
        <w:tc>
          <w:tcPr>
            <w:tcW w:w="1984" w:type="dxa"/>
            <w:shd w:val="clear" w:color="auto" w:fill="auto"/>
          </w:tcPr>
          <w:p w14:paraId="0B64A617" w14:textId="77777777" w:rsidR="009021F1" w:rsidRPr="00000E66" w:rsidRDefault="009021F1" w:rsidP="00E637E3">
            <w:pPr>
              <w:pStyle w:val="Paragraphedeliste"/>
              <w:tabs>
                <w:tab w:val="left" w:pos="0"/>
              </w:tabs>
              <w:ind w:left="156"/>
              <w:rPr>
                <w:rFonts w:cs="Arial"/>
                <w:sz w:val="20"/>
                <w:szCs w:val="20"/>
              </w:rPr>
            </w:pPr>
          </w:p>
          <w:p w14:paraId="2F447F85"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r w:rsidRPr="00000E66">
              <w:rPr>
                <w:rFonts w:cs="Arial"/>
                <w:sz w:val="20"/>
                <w:szCs w:val="20"/>
              </w:rPr>
              <w:t>Consultant</w:t>
            </w:r>
          </w:p>
          <w:p w14:paraId="71DCEFE0" w14:textId="77777777" w:rsidR="009021F1" w:rsidRPr="00000E66" w:rsidRDefault="009021F1" w:rsidP="00E637E3">
            <w:pPr>
              <w:tabs>
                <w:tab w:val="left" w:pos="162"/>
              </w:tabs>
              <w:ind w:left="156"/>
              <w:rPr>
                <w:rFonts w:cs="Arial"/>
                <w:sz w:val="20"/>
                <w:szCs w:val="20"/>
              </w:rPr>
            </w:pPr>
          </w:p>
        </w:tc>
      </w:tr>
      <w:tr w:rsidR="009021F1" w:rsidRPr="001E310E" w14:paraId="717BE614" w14:textId="77777777" w:rsidTr="00E637E3">
        <w:tc>
          <w:tcPr>
            <w:tcW w:w="568" w:type="dxa"/>
            <w:vMerge/>
            <w:shd w:val="clear" w:color="auto" w:fill="auto"/>
          </w:tcPr>
          <w:p w14:paraId="3411C678" w14:textId="77777777" w:rsidR="009021F1" w:rsidRPr="00000E66" w:rsidRDefault="009021F1" w:rsidP="00E637E3">
            <w:pPr>
              <w:rPr>
                <w:rFonts w:cs="Arial"/>
                <w:sz w:val="20"/>
                <w:szCs w:val="20"/>
              </w:rPr>
            </w:pPr>
          </w:p>
        </w:tc>
        <w:tc>
          <w:tcPr>
            <w:tcW w:w="2835" w:type="dxa"/>
            <w:shd w:val="clear" w:color="auto" w:fill="auto"/>
          </w:tcPr>
          <w:p w14:paraId="28F7B007" w14:textId="77777777" w:rsidR="009021F1" w:rsidRPr="00000E66" w:rsidRDefault="009021F1" w:rsidP="00E637E3">
            <w:pPr>
              <w:jc w:val="left"/>
              <w:rPr>
                <w:rFonts w:cs="Arial"/>
                <w:sz w:val="20"/>
                <w:szCs w:val="20"/>
              </w:rPr>
            </w:pPr>
            <w:r w:rsidRPr="00000E66">
              <w:rPr>
                <w:rFonts w:cs="Arial"/>
                <w:sz w:val="20"/>
                <w:szCs w:val="20"/>
              </w:rPr>
              <w:t>Validation du document et obtention du Certificat environnemental.</w:t>
            </w:r>
          </w:p>
        </w:tc>
        <w:tc>
          <w:tcPr>
            <w:tcW w:w="1984" w:type="dxa"/>
            <w:vMerge/>
            <w:shd w:val="clear" w:color="auto" w:fill="auto"/>
          </w:tcPr>
          <w:p w14:paraId="4128CC7E"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p>
        </w:tc>
        <w:tc>
          <w:tcPr>
            <w:tcW w:w="2977" w:type="dxa"/>
            <w:shd w:val="clear" w:color="auto" w:fill="auto"/>
          </w:tcPr>
          <w:p w14:paraId="5539D058"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r w:rsidRPr="00000E66">
              <w:rPr>
                <w:rFonts w:cs="Arial"/>
                <w:sz w:val="20"/>
                <w:szCs w:val="20"/>
              </w:rPr>
              <w:t>SPM</w:t>
            </w:r>
          </w:p>
          <w:p w14:paraId="25FAA041" w14:textId="77777777" w:rsidR="009021F1" w:rsidRPr="00000E66" w:rsidRDefault="009021F1" w:rsidP="00E637E3">
            <w:pPr>
              <w:pStyle w:val="Paragraphedeliste"/>
              <w:tabs>
                <w:tab w:val="left" w:pos="0"/>
              </w:tabs>
              <w:ind w:left="156"/>
              <w:contextualSpacing w:val="0"/>
              <w:rPr>
                <w:rFonts w:cs="Arial"/>
                <w:sz w:val="20"/>
                <w:szCs w:val="20"/>
              </w:rPr>
            </w:pPr>
          </w:p>
        </w:tc>
        <w:tc>
          <w:tcPr>
            <w:tcW w:w="1984" w:type="dxa"/>
            <w:shd w:val="clear" w:color="auto" w:fill="auto"/>
          </w:tcPr>
          <w:p w14:paraId="1AE2A0C0"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r w:rsidRPr="00000E66">
              <w:rPr>
                <w:rFonts w:cs="Arial"/>
                <w:sz w:val="20"/>
                <w:szCs w:val="20"/>
              </w:rPr>
              <w:t>ACE</w:t>
            </w:r>
          </w:p>
          <w:p w14:paraId="033DB601"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r w:rsidRPr="00000E66">
              <w:rPr>
                <w:rFonts w:cs="Arial"/>
                <w:sz w:val="20"/>
                <w:szCs w:val="20"/>
              </w:rPr>
              <w:t>Banque Mondiale</w:t>
            </w:r>
          </w:p>
        </w:tc>
      </w:tr>
      <w:tr w:rsidR="009021F1" w:rsidRPr="001E310E" w14:paraId="41FF6EE7" w14:textId="77777777" w:rsidTr="00E637E3">
        <w:tc>
          <w:tcPr>
            <w:tcW w:w="568" w:type="dxa"/>
            <w:vMerge/>
            <w:shd w:val="clear" w:color="auto" w:fill="auto"/>
          </w:tcPr>
          <w:p w14:paraId="3936836E" w14:textId="77777777" w:rsidR="009021F1" w:rsidRPr="00000E66" w:rsidRDefault="009021F1" w:rsidP="00E637E3">
            <w:pPr>
              <w:rPr>
                <w:rFonts w:cs="Arial"/>
                <w:sz w:val="20"/>
                <w:szCs w:val="20"/>
              </w:rPr>
            </w:pPr>
          </w:p>
        </w:tc>
        <w:tc>
          <w:tcPr>
            <w:tcW w:w="2835" w:type="dxa"/>
            <w:shd w:val="clear" w:color="auto" w:fill="auto"/>
          </w:tcPr>
          <w:p w14:paraId="7B5CEE98" w14:textId="77777777" w:rsidR="009021F1" w:rsidRPr="00000E66" w:rsidRDefault="009021F1" w:rsidP="00E637E3">
            <w:pPr>
              <w:rPr>
                <w:rFonts w:cs="Arial"/>
                <w:sz w:val="20"/>
                <w:szCs w:val="20"/>
              </w:rPr>
            </w:pPr>
            <w:r w:rsidRPr="00000E66">
              <w:rPr>
                <w:rFonts w:cs="Arial"/>
                <w:sz w:val="20"/>
                <w:szCs w:val="20"/>
              </w:rPr>
              <w:t>Publication du document.</w:t>
            </w:r>
          </w:p>
        </w:tc>
        <w:tc>
          <w:tcPr>
            <w:tcW w:w="1984" w:type="dxa"/>
            <w:vMerge/>
            <w:shd w:val="clear" w:color="auto" w:fill="auto"/>
          </w:tcPr>
          <w:p w14:paraId="373A430B"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p>
        </w:tc>
        <w:tc>
          <w:tcPr>
            <w:tcW w:w="2977" w:type="dxa"/>
            <w:shd w:val="clear" w:color="auto" w:fill="auto"/>
          </w:tcPr>
          <w:p w14:paraId="512AC05B"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r w:rsidRPr="00000E66">
              <w:rPr>
                <w:rFonts w:cs="Arial"/>
                <w:sz w:val="20"/>
                <w:szCs w:val="20"/>
              </w:rPr>
              <w:t>Comité Technique préparatoire et de suivi (phase de préparation) ;</w:t>
            </w:r>
          </w:p>
          <w:p w14:paraId="70224836"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r w:rsidRPr="00000E66">
              <w:rPr>
                <w:rFonts w:cs="Arial"/>
                <w:sz w:val="20"/>
                <w:szCs w:val="20"/>
              </w:rPr>
              <w:t>UNCP/PARRSA ;</w:t>
            </w:r>
          </w:p>
          <w:p w14:paraId="6E3921B2"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r w:rsidRPr="00000E66">
              <w:rPr>
                <w:rFonts w:cs="Arial"/>
                <w:sz w:val="20"/>
                <w:szCs w:val="20"/>
              </w:rPr>
              <w:t>Coordonnateur de l’UNCP (phase de mise en œuvre).</w:t>
            </w:r>
          </w:p>
        </w:tc>
        <w:tc>
          <w:tcPr>
            <w:tcW w:w="1984" w:type="dxa"/>
            <w:shd w:val="clear" w:color="auto" w:fill="auto"/>
          </w:tcPr>
          <w:p w14:paraId="20CEA107"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r w:rsidRPr="00000E66">
              <w:rPr>
                <w:rFonts w:cs="Arial"/>
                <w:sz w:val="20"/>
                <w:szCs w:val="20"/>
              </w:rPr>
              <w:t>Médias (radio, journal télévisé, site web, etc.)</w:t>
            </w:r>
          </w:p>
          <w:p w14:paraId="32044AA8"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r w:rsidRPr="00000E66">
              <w:rPr>
                <w:rFonts w:cs="Arial"/>
                <w:sz w:val="20"/>
                <w:szCs w:val="20"/>
              </w:rPr>
              <w:t>ACE et CPE ;</w:t>
            </w:r>
          </w:p>
          <w:p w14:paraId="69B0E2F3"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r w:rsidRPr="00000E66">
              <w:rPr>
                <w:rFonts w:cs="Arial"/>
                <w:sz w:val="20"/>
                <w:szCs w:val="20"/>
              </w:rPr>
              <w:t>Banque Mondiale</w:t>
            </w:r>
          </w:p>
        </w:tc>
      </w:tr>
      <w:tr w:rsidR="009021F1" w:rsidRPr="001E310E" w14:paraId="296AA0D7" w14:textId="77777777" w:rsidTr="00E637E3">
        <w:trPr>
          <w:trHeight w:val="274"/>
        </w:trPr>
        <w:tc>
          <w:tcPr>
            <w:tcW w:w="568" w:type="dxa"/>
            <w:vMerge w:val="restart"/>
            <w:shd w:val="clear" w:color="auto" w:fill="auto"/>
          </w:tcPr>
          <w:p w14:paraId="7F4E5999" w14:textId="77777777" w:rsidR="009021F1" w:rsidRPr="00000E66" w:rsidRDefault="009021F1" w:rsidP="00E637E3">
            <w:pPr>
              <w:rPr>
                <w:rFonts w:cs="Arial"/>
                <w:sz w:val="20"/>
                <w:szCs w:val="20"/>
              </w:rPr>
            </w:pPr>
          </w:p>
          <w:p w14:paraId="7BD03FEF" w14:textId="77777777" w:rsidR="009021F1" w:rsidRPr="00000E66" w:rsidRDefault="009021F1" w:rsidP="00E637E3">
            <w:pPr>
              <w:rPr>
                <w:rFonts w:cs="Arial"/>
                <w:sz w:val="20"/>
                <w:szCs w:val="20"/>
              </w:rPr>
            </w:pPr>
          </w:p>
          <w:p w14:paraId="7F31AFAD" w14:textId="77777777" w:rsidR="009021F1" w:rsidRPr="00000E66" w:rsidRDefault="009021F1" w:rsidP="00E637E3">
            <w:pPr>
              <w:rPr>
                <w:rFonts w:cs="Arial"/>
                <w:sz w:val="20"/>
                <w:szCs w:val="20"/>
              </w:rPr>
            </w:pPr>
          </w:p>
          <w:p w14:paraId="302D89CB" w14:textId="77777777" w:rsidR="009021F1" w:rsidRPr="00000E66" w:rsidRDefault="009021F1" w:rsidP="00E637E3">
            <w:pPr>
              <w:rPr>
                <w:rFonts w:cs="Arial"/>
                <w:sz w:val="20"/>
                <w:szCs w:val="20"/>
              </w:rPr>
            </w:pPr>
          </w:p>
          <w:p w14:paraId="5E0BF3A8" w14:textId="77777777" w:rsidR="009021F1" w:rsidRPr="00000E66" w:rsidRDefault="009021F1" w:rsidP="00E637E3">
            <w:pPr>
              <w:rPr>
                <w:rFonts w:cs="Arial"/>
                <w:sz w:val="20"/>
                <w:szCs w:val="20"/>
              </w:rPr>
            </w:pPr>
          </w:p>
          <w:p w14:paraId="0B8F55BE" w14:textId="77777777" w:rsidR="009021F1" w:rsidRPr="00000E66" w:rsidRDefault="009021F1" w:rsidP="00E637E3">
            <w:pPr>
              <w:rPr>
                <w:rFonts w:cs="Arial"/>
                <w:sz w:val="20"/>
                <w:szCs w:val="20"/>
              </w:rPr>
            </w:pPr>
          </w:p>
          <w:p w14:paraId="14D9081B" w14:textId="77777777" w:rsidR="009021F1" w:rsidRPr="00000E66" w:rsidRDefault="009021F1" w:rsidP="00E637E3">
            <w:pPr>
              <w:rPr>
                <w:rFonts w:cs="Arial"/>
                <w:sz w:val="20"/>
                <w:szCs w:val="20"/>
              </w:rPr>
            </w:pPr>
          </w:p>
          <w:p w14:paraId="6518C27B" w14:textId="77777777" w:rsidR="009021F1" w:rsidRPr="00000E66" w:rsidRDefault="009021F1" w:rsidP="00E637E3">
            <w:pPr>
              <w:rPr>
                <w:rFonts w:cs="Arial"/>
                <w:sz w:val="20"/>
                <w:szCs w:val="20"/>
              </w:rPr>
            </w:pPr>
            <w:r w:rsidRPr="00000E66">
              <w:rPr>
                <w:rFonts w:cs="Arial"/>
                <w:sz w:val="20"/>
                <w:szCs w:val="20"/>
              </w:rPr>
              <w:t>5.</w:t>
            </w:r>
          </w:p>
        </w:tc>
        <w:tc>
          <w:tcPr>
            <w:tcW w:w="2835" w:type="dxa"/>
            <w:tcBorders>
              <w:bottom w:val="single" w:sz="4" w:space="0" w:color="auto"/>
            </w:tcBorders>
            <w:shd w:val="clear" w:color="auto" w:fill="auto"/>
          </w:tcPr>
          <w:p w14:paraId="01E9DE40" w14:textId="77777777" w:rsidR="009021F1" w:rsidRPr="00000E66" w:rsidRDefault="009021F1" w:rsidP="00E637E3">
            <w:pPr>
              <w:rPr>
                <w:rFonts w:cs="Arial"/>
                <w:sz w:val="20"/>
                <w:szCs w:val="20"/>
              </w:rPr>
            </w:pPr>
            <w:r w:rsidRPr="00000E66">
              <w:rPr>
                <w:rFonts w:cs="Arial"/>
                <w:sz w:val="20"/>
                <w:szCs w:val="20"/>
              </w:rPr>
              <w:t>Intégration dans le dossier d’appel d’offres (DAO) du sous-projet, de toutes les mesures de la phase des travaux pouvant être contractées avec l’entreprise, y compris celles liées à l’EAS/HS.</w:t>
            </w:r>
          </w:p>
        </w:tc>
        <w:tc>
          <w:tcPr>
            <w:tcW w:w="1984" w:type="dxa"/>
            <w:tcBorders>
              <w:bottom w:val="single" w:sz="4" w:space="0" w:color="auto"/>
            </w:tcBorders>
            <w:shd w:val="clear" w:color="auto" w:fill="auto"/>
          </w:tcPr>
          <w:p w14:paraId="03FFF081" w14:textId="77777777" w:rsidR="009021F1" w:rsidRPr="00000E66" w:rsidRDefault="009021F1" w:rsidP="00E637E3">
            <w:pPr>
              <w:pStyle w:val="Paragraphedeliste"/>
              <w:tabs>
                <w:tab w:val="left" w:pos="0"/>
              </w:tabs>
              <w:ind w:left="156"/>
              <w:contextualSpacing w:val="0"/>
              <w:jc w:val="left"/>
              <w:rPr>
                <w:rFonts w:cs="Arial"/>
                <w:sz w:val="20"/>
                <w:szCs w:val="20"/>
              </w:rPr>
            </w:pPr>
          </w:p>
          <w:p w14:paraId="0CBA41A3"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r w:rsidRPr="00000E66">
              <w:rPr>
                <w:rFonts w:cs="Arial"/>
                <w:sz w:val="20"/>
                <w:szCs w:val="20"/>
              </w:rPr>
              <w:t>Responsable Technique de l’activité.</w:t>
            </w:r>
          </w:p>
        </w:tc>
        <w:tc>
          <w:tcPr>
            <w:tcW w:w="2977" w:type="dxa"/>
            <w:tcBorders>
              <w:bottom w:val="single" w:sz="4" w:space="0" w:color="auto"/>
            </w:tcBorders>
            <w:shd w:val="clear" w:color="auto" w:fill="auto"/>
          </w:tcPr>
          <w:p w14:paraId="6074BA3C" w14:textId="77777777" w:rsidR="009021F1" w:rsidRPr="00000E66" w:rsidRDefault="009021F1" w:rsidP="00E637E3">
            <w:pPr>
              <w:pStyle w:val="Paragraphedeliste"/>
              <w:tabs>
                <w:tab w:val="left" w:pos="0"/>
              </w:tabs>
              <w:ind w:left="156"/>
              <w:contextualSpacing w:val="0"/>
              <w:jc w:val="left"/>
              <w:rPr>
                <w:rFonts w:cs="Arial"/>
                <w:sz w:val="20"/>
                <w:szCs w:val="20"/>
              </w:rPr>
            </w:pPr>
          </w:p>
          <w:p w14:paraId="79196AEF" w14:textId="77777777" w:rsidR="009021F1" w:rsidRPr="00000E66" w:rsidRDefault="009021F1" w:rsidP="00E637E3">
            <w:pPr>
              <w:numPr>
                <w:ilvl w:val="0"/>
                <w:numId w:val="25"/>
              </w:numPr>
              <w:ind w:left="156" w:hanging="156"/>
              <w:jc w:val="left"/>
              <w:rPr>
                <w:rFonts w:cs="Arial"/>
                <w:sz w:val="20"/>
                <w:szCs w:val="20"/>
              </w:rPr>
            </w:pPr>
            <w:r w:rsidRPr="00000E66">
              <w:rPr>
                <w:rFonts w:cs="Arial"/>
                <w:sz w:val="20"/>
                <w:szCs w:val="20"/>
              </w:rPr>
              <w:t>SSE, SSS et SVBG (phases de préparation et de mise en œuvre) SPM.</w:t>
            </w:r>
          </w:p>
        </w:tc>
        <w:tc>
          <w:tcPr>
            <w:tcW w:w="1984" w:type="dxa"/>
            <w:tcBorders>
              <w:bottom w:val="single" w:sz="4" w:space="0" w:color="auto"/>
            </w:tcBorders>
            <w:shd w:val="clear" w:color="auto" w:fill="auto"/>
          </w:tcPr>
          <w:p w14:paraId="5F2855A6" w14:textId="77777777" w:rsidR="009021F1" w:rsidRPr="00000E66" w:rsidRDefault="009021F1" w:rsidP="00E637E3">
            <w:pPr>
              <w:numPr>
                <w:ilvl w:val="0"/>
                <w:numId w:val="25"/>
              </w:numPr>
              <w:ind w:left="156" w:hanging="156"/>
              <w:jc w:val="left"/>
              <w:rPr>
                <w:rFonts w:cs="Arial"/>
                <w:sz w:val="20"/>
                <w:szCs w:val="20"/>
              </w:rPr>
            </w:pPr>
            <w:r w:rsidRPr="00000E66">
              <w:rPr>
                <w:rFonts w:cs="Arial"/>
                <w:sz w:val="20"/>
                <w:szCs w:val="20"/>
              </w:rPr>
              <w:t>Bureau d’études chargé de la préparation des DAO.</w:t>
            </w:r>
          </w:p>
        </w:tc>
      </w:tr>
      <w:tr w:rsidR="009021F1" w:rsidRPr="001E310E" w14:paraId="78306F29" w14:textId="77777777" w:rsidTr="00E637E3">
        <w:trPr>
          <w:trHeight w:val="169"/>
        </w:trPr>
        <w:tc>
          <w:tcPr>
            <w:tcW w:w="568" w:type="dxa"/>
            <w:vMerge/>
            <w:shd w:val="clear" w:color="auto" w:fill="auto"/>
          </w:tcPr>
          <w:p w14:paraId="7AA92248" w14:textId="77777777" w:rsidR="009021F1" w:rsidRPr="00000E66" w:rsidRDefault="009021F1" w:rsidP="00E637E3">
            <w:pPr>
              <w:rPr>
                <w:rFonts w:cs="Arial"/>
                <w:sz w:val="20"/>
                <w:szCs w:val="20"/>
              </w:rPr>
            </w:pPr>
          </w:p>
        </w:tc>
        <w:tc>
          <w:tcPr>
            <w:tcW w:w="2835" w:type="dxa"/>
            <w:tcBorders>
              <w:top w:val="single" w:sz="4" w:space="0" w:color="auto"/>
            </w:tcBorders>
            <w:shd w:val="clear" w:color="auto" w:fill="auto"/>
          </w:tcPr>
          <w:p w14:paraId="45951D9D" w14:textId="77777777" w:rsidR="009021F1" w:rsidRPr="00000E66" w:rsidRDefault="009021F1" w:rsidP="00E637E3">
            <w:pPr>
              <w:rPr>
                <w:rFonts w:cs="Arial"/>
                <w:sz w:val="20"/>
                <w:szCs w:val="20"/>
              </w:rPr>
            </w:pPr>
            <w:r w:rsidRPr="00000E66">
              <w:rPr>
                <w:rFonts w:cs="Arial"/>
                <w:sz w:val="20"/>
                <w:szCs w:val="20"/>
              </w:rPr>
              <w:t>Approbation du PGES entreprise.</w:t>
            </w:r>
          </w:p>
        </w:tc>
        <w:tc>
          <w:tcPr>
            <w:tcW w:w="1984" w:type="dxa"/>
            <w:tcBorders>
              <w:top w:val="single" w:sz="4" w:space="0" w:color="auto"/>
            </w:tcBorders>
            <w:shd w:val="clear" w:color="auto" w:fill="auto"/>
          </w:tcPr>
          <w:p w14:paraId="049DFAD0"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r w:rsidRPr="00000E66">
              <w:rPr>
                <w:rFonts w:cs="Arial"/>
                <w:sz w:val="20"/>
                <w:szCs w:val="20"/>
              </w:rPr>
              <w:t>SSE, SSS et SVBG (phases de préparation et de mise en œuvre).</w:t>
            </w:r>
          </w:p>
        </w:tc>
        <w:tc>
          <w:tcPr>
            <w:tcW w:w="2977" w:type="dxa"/>
            <w:tcBorders>
              <w:top w:val="single" w:sz="4" w:space="0" w:color="auto"/>
            </w:tcBorders>
            <w:shd w:val="clear" w:color="auto" w:fill="auto"/>
          </w:tcPr>
          <w:p w14:paraId="3BABAAD2"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r w:rsidRPr="00000E66">
              <w:rPr>
                <w:rFonts w:cs="Arial"/>
                <w:sz w:val="20"/>
                <w:szCs w:val="20"/>
              </w:rPr>
              <w:t>SPM ;</w:t>
            </w:r>
          </w:p>
          <w:p w14:paraId="43C5090A"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r w:rsidRPr="00000E66">
              <w:rPr>
                <w:rFonts w:cs="Arial"/>
                <w:sz w:val="20"/>
                <w:szCs w:val="20"/>
              </w:rPr>
              <w:t>Division provinciales MINAGRI ;</w:t>
            </w:r>
          </w:p>
          <w:p w14:paraId="78F89ACC"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r w:rsidRPr="00000E66">
              <w:rPr>
                <w:rFonts w:cs="Arial"/>
                <w:sz w:val="20"/>
                <w:szCs w:val="20"/>
              </w:rPr>
              <w:t>Division du Ministère de Pêche et Élevage ;</w:t>
            </w:r>
          </w:p>
          <w:p w14:paraId="74577FF7"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r w:rsidRPr="00000E66">
              <w:rPr>
                <w:rFonts w:cs="Arial"/>
                <w:sz w:val="20"/>
                <w:szCs w:val="20"/>
              </w:rPr>
              <w:t>Division du Ministère de Développement Rural ;</w:t>
            </w:r>
          </w:p>
          <w:p w14:paraId="5BD50A4F"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r w:rsidRPr="00000E66">
              <w:rPr>
                <w:rFonts w:cs="Arial"/>
                <w:sz w:val="20"/>
                <w:szCs w:val="20"/>
              </w:rPr>
              <w:t>Banque Mondiale.</w:t>
            </w:r>
          </w:p>
        </w:tc>
        <w:tc>
          <w:tcPr>
            <w:tcW w:w="1984" w:type="dxa"/>
            <w:tcBorders>
              <w:top w:val="single" w:sz="4" w:space="0" w:color="auto"/>
            </w:tcBorders>
            <w:shd w:val="clear" w:color="auto" w:fill="auto"/>
          </w:tcPr>
          <w:p w14:paraId="16F961FA" w14:textId="77777777" w:rsidR="009021F1" w:rsidRPr="00000E66" w:rsidRDefault="009021F1" w:rsidP="00E637E3">
            <w:pPr>
              <w:numPr>
                <w:ilvl w:val="0"/>
                <w:numId w:val="25"/>
              </w:numPr>
              <w:ind w:left="156" w:hanging="156"/>
              <w:rPr>
                <w:rFonts w:cs="Arial"/>
                <w:sz w:val="20"/>
                <w:szCs w:val="20"/>
              </w:rPr>
            </w:pPr>
            <w:r w:rsidRPr="00000E66">
              <w:rPr>
                <w:rFonts w:cs="Arial"/>
                <w:sz w:val="20"/>
                <w:szCs w:val="20"/>
              </w:rPr>
              <w:t>Bureau de Contrôle chargé du suivi de la mise en œuvre.</w:t>
            </w:r>
          </w:p>
        </w:tc>
      </w:tr>
      <w:tr w:rsidR="009021F1" w:rsidRPr="001E310E" w14:paraId="7A9E8F71" w14:textId="77777777" w:rsidTr="00E637E3">
        <w:tc>
          <w:tcPr>
            <w:tcW w:w="568" w:type="dxa"/>
            <w:shd w:val="clear" w:color="auto" w:fill="auto"/>
          </w:tcPr>
          <w:p w14:paraId="752572B3" w14:textId="77777777" w:rsidR="009021F1" w:rsidRPr="00000E66" w:rsidRDefault="009021F1" w:rsidP="00E637E3">
            <w:pPr>
              <w:rPr>
                <w:rFonts w:cs="Arial"/>
                <w:sz w:val="20"/>
                <w:szCs w:val="20"/>
              </w:rPr>
            </w:pPr>
          </w:p>
          <w:p w14:paraId="38AE3224" w14:textId="77777777" w:rsidR="009021F1" w:rsidRPr="00000E66" w:rsidRDefault="009021F1" w:rsidP="00E637E3">
            <w:pPr>
              <w:rPr>
                <w:rFonts w:cs="Arial"/>
                <w:sz w:val="20"/>
                <w:szCs w:val="20"/>
              </w:rPr>
            </w:pPr>
          </w:p>
          <w:p w14:paraId="0DC66553" w14:textId="77777777" w:rsidR="009021F1" w:rsidRPr="00000E66" w:rsidRDefault="009021F1" w:rsidP="00E637E3">
            <w:pPr>
              <w:rPr>
                <w:rFonts w:cs="Arial"/>
                <w:sz w:val="20"/>
                <w:szCs w:val="20"/>
              </w:rPr>
            </w:pPr>
          </w:p>
          <w:p w14:paraId="0F29D741" w14:textId="77777777" w:rsidR="009021F1" w:rsidRPr="00000E66" w:rsidRDefault="009021F1" w:rsidP="00E637E3">
            <w:pPr>
              <w:rPr>
                <w:rFonts w:cs="Arial"/>
                <w:sz w:val="20"/>
                <w:szCs w:val="20"/>
              </w:rPr>
            </w:pPr>
            <w:r w:rsidRPr="00000E66">
              <w:rPr>
                <w:rFonts w:cs="Arial"/>
                <w:sz w:val="20"/>
                <w:szCs w:val="20"/>
              </w:rPr>
              <w:t>6.</w:t>
            </w:r>
          </w:p>
        </w:tc>
        <w:tc>
          <w:tcPr>
            <w:tcW w:w="2835" w:type="dxa"/>
            <w:shd w:val="clear" w:color="auto" w:fill="auto"/>
          </w:tcPr>
          <w:p w14:paraId="533391A2" w14:textId="77777777" w:rsidR="009021F1" w:rsidRPr="00000E66" w:rsidRDefault="009021F1" w:rsidP="00E637E3">
            <w:pPr>
              <w:jc w:val="left"/>
              <w:rPr>
                <w:rFonts w:cs="Arial"/>
                <w:sz w:val="20"/>
                <w:szCs w:val="20"/>
              </w:rPr>
            </w:pPr>
            <w:r w:rsidRPr="00000E66">
              <w:rPr>
                <w:rFonts w:cs="Arial"/>
                <w:sz w:val="20"/>
                <w:szCs w:val="20"/>
              </w:rPr>
              <w:t>Exécution/Mise en œuvre des mesures non contractualisées avec l’entreprise de construction.</w:t>
            </w:r>
          </w:p>
        </w:tc>
        <w:tc>
          <w:tcPr>
            <w:tcW w:w="1984" w:type="dxa"/>
            <w:shd w:val="clear" w:color="auto" w:fill="auto"/>
          </w:tcPr>
          <w:p w14:paraId="7C66D674" w14:textId="77777777" w:rsidR="009021F1" w:rsidRPr="00000E66" w:rsidRDefault="009021F1" w:rsidP="00E637E3">
            <w:pPr>
              <w:pStyle w:val="Paragraphedeliste"/>
              <w:tabs>
                <w:tab w:val="left" w:pos="0"/>
              </w:tabs>
              <w:ind w:left="156"/>
              <w:contextualSpacing w:val="0"/>
              <w:jc w:val="left"/>
              <w:rPr>
                <w:rFonts w:cs="Arial"/>
                <w:sz w:val="20"/>
                <w:szCs w:val="20"/>
              </w:rPr>
            </w:pPr>
            <w:r w:rsidRPr="00000E66">
              <w:rPr>
                <w:rFonts w:cs="Arial"/>
                <w:sz w:val="20"/>
                <w:szCs w:val="20"/>
              </w:rPr>
              <w:t xml:space="preserve">SSE, SSS et SVBG du PNDA (phases de préparation et de mise en œuvre). </w:t>
            </w:r>
          </w:p>
        </w:tc>
        <w:tc>
          <w:tcPr>
            <w:tcW w:w="2977" w:type="dxa"/>
            <w:shd w:val="clear" w:color="auto" w:fill="auto"/>
          </w:tcPr>
          <w:p w14:paraId="103E21D8"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r w:rsidRPr="00000E66">
              <w:rPr>
                <w:rFonts w:cs="Arial"/>
                <w:sz w:val="20"/>
                <w:szCs w:val="20"/>
              </w:rPr>
              <w:t>SPM</w:t>
            </w:r>
          </w:p>
          <w:p w14:paraId="3AA51F21"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r w:rsidRPr="00000E66">
              <w:rPr>
                <w:rFonts w:cs="Arial"/>
                <w:sz w:val="20"/>
                <w:szCs w:val="20"/>
              </w:rPr>
              <w:t>RT</w:t>
            </w:r>
          </w:p>
          <w:p w14:paraId="6BA80FA6"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r w:rsidRPr="00000E66">
              <w:rPr>
                <w:rFonts w:cs="Arial"/>
                <w:sz w:val="20"/>
                <w:szCs w:val="20"/>
              </w:rPr>
              <w:t>Responsable Financier (RF)</w:t>
            </w:r>
          </w:p>
          <w:p w14:paraId="296D4B44"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r w:rsidRPr="00000E66">
              <w:rPr>
                <w:rFonts w:cs="Arial"/>
                <w:sz w:val="20"/>
                <w:szCs w:val="20"/>
              </w:rPr>
              <w:t>Provinces ciblées (PFES)</w:t>
            </w:r>
          </w:p>
        </w:tc>
        <w:tc>
          <w:tcPr>
            <w:tcW w:w="1984" w:type="dxa"/>
            <w:shd w:val="clear" w:color="auto" w:fill="auto"/>
          </w:tcPr>
          <w:p w14:paraId="60ED4233"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r w:rsidRPr="00000E66">
              <w:rPr>
                <w:rFonts w:cs="Arial"/>
                <w:sz w:val="20"/>
                <w:szCs w:val="20"/>
              </w:rPr>
              <w:t xml:space="preserve">Entreprises </w:t>
            </w:r>
          </w:p>
          <w:p w14:paraId="091177D8"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r w:rsidRPr="00000E66">
              <w:rPr>
                <w:rFonts w:cs="Arial"/>
                <w:sz w:val="20"/>
                <w:szCs w:val="20"/>
              </w:rPr>
              <w:t>ONG</w:t>
            </w:r>
          </w:p>
          <w:p w14:paraId="7E2F60B9" w14:textId="77777777" w:rsidR="009021F1" w:rsidRPr="00000E66" w:rsidRDefault="009021F1" w:rsidP="00E637E3">
            <w:pPr>
              <w:pStyle w:val="Paragraphedeliste"/>
              <w:tabs>
                <w:tab w:val="left" w:pos="0"/>
              </w:tabs>
              <w:ind w:left="156"/>
              <w:rPr>
                <w:rFonts w:cs="Arial"/>
                <w:sz w:val="20"/>
                <w:szCs w:val="20"/>
              </w:rPr>
            </w:pPr>
          </w:p>
        </w:tc>
      </w:tr>
      <w:tr w:rsidR="009021F1" w:rsidRPr="001E310E" w14:paraId="3870775B" w14:textId="77777777" w:rsidTr="00E637E3">
        <w:tc>
          <w:tcPr>
            <w:tcW w:w="568" w:type="dxa"/>
            <w:vMerge w:val="restart"/>
            <w:shd w:val="clear" w:color="auto" w:fill="auto"/>
          </w:tcPr>
          <w:p w14:paraId="2FF1D42B" w14:textId="77777777" w:rsidR="009021F1" w:rsidRPr="00000E66" w:rsidRDefault="009021F1" w:rsidP="00E637E3">
            <w:pPr>
              <w:rPr>
                <w:rFonts w:cs="Arial"/>
                <w:sz w:val="20"/>
                <w:szCs w:val="20"/>
              </w:rPr>
            </w:pPr>
          </w:p>
          <w:p w14:paraId="6B6541AC" w14:textId="77777777" w:rsidR="009021F1" w:rsidRPr="00000E66" w:rsidRDefault="009021F1" w:rsidP="00E637E3">
            <w:pPr>
              <w:rPr>
                <w:rFonts w:cs="Arial"/>
                <w:sz w:val="20"/>
                <w:szCs w:val="20"/>
              </w:rPr>
            </w:pPr>
          </w:p>
          <w:p w14:paraId="26954B56" w14:textId="77777777" w:rsidR="009021F1" w:rsidRPr="00000E66" w:rsidRDefault="009021F1" w:rsidP="00E637E3">
            <w:pPr>
              <w:rPr>
                <w:rFonts w:cs="Arial"/>
                <w:sz w:val="20"/>
                <w:szCs w:val="20"/>
              </w:rPr>
            </w:pPr>
            <w:r w:rsidRPr="00000E66">
              <w:rPr>
                <w:rFonts w:cs="Arial"/>
                <w:sz w:val="20"/>
                <w:szCs w:val="20"/>
              </w:rPr>
              <w:t>7.</w:t>
            </w:r>
          </w:p>
        </w:tc>
        <w:tc>
          <w:tcPr>
            <w:tcW w:w="2835" w:type="dxa"/>
            <w:shd w:val="clear" w:color="auto" w:fill="auto"/>
          </w:tcPr>
          <w:p w14:paraId="4877F2CA" w14:textId="77777777" w:rsidR="009021F1" w:rsidRPr="00000E66" w:rsidRDefault="009021F1" w:rsidP="00E637E3">
            <w:pPr>
              <w:rPr>
                <w:rFonts w:cs="Arial"/>
                <w:sz w:val="20"/>
                <w:szCs w:val="20"/>
              </w:rPr>
            </w:pPr>
            <w:r w:rsidRPr="00000E66">
              <w:rPr>
                <w:rFonts w:cs="Arial"/>
                <w:sz w:val="20"/>
                <w:szCs w:val="20"/>
              </w:rPr>
              <w:t>Surveillance interne de la mise en œuvre des mesures environnementales et sociales, y compris celles liées à l’EAS/HS et au COVID-19.</w:t>
            </w:r>
          </w:p>
        </w:tc>
        <w:tc>
          <w:tcPr>
            <w:tcW w:w="1984" w:type="dxa"/>
            <w:shd w:val="clear" w:color="auto" w:fill="auto"/>
          </w:tcPr>
          <w:p w14:paraId="3CAA1356"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r w:rsidRPr="00000E66">
              <w:rPr>
                <w:rFonts w:cs="Arial"/>
                <w:sz w:val="20"/>
                <w:szCs w:val="20"/>
              </w:rPr>
              <w:t>SSE, SSS et SVBG (phases de préparation et de mise en œuvre).</w:t>
            </w:r>
          </w:p>
        </w:tc>
        <w:tc>
          <w:tcPr>
            <w:tcW w:w="2977" w:type="dxa"/>
            <w:shd w:val="clear" w:color="auto" w:fill="auto"/>
          </w:tcPr>
          <w:p w14:paraId="63B4AFEB"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r w:rsidRPr="00000E66">
              <w:rPr>
                <w:rFonts w:cs="Arial"/>
                <w:sz w:val="20"/>
                <w:szCs w:val="20"/>
              </w:rPr>
              <w:t>Spécialiste en Suivi-Évaluation (S-SE)</w:t>
            </w:r>
          </w:p>
          <w:p w14:paraId="25CDB6DF"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r w:rsidRPr="00000E66">
              <w:rPr>
                <w:rFonts w:cs="Arial"/>
                <w:sz w:val="20"/>
                <w:szCs w:val="20"/>
              </w:rPr>
              <w:t>RF</w:t>
            </w:r>
          </w:p>
          <w:p w14:paraId="5FED3D16" w14:textId="77777777" w:rsidR="009021F1" w:rsidRPr="00000E66" w:rsidRDefault="009021F1" w:rsidP="00E637E3">
            <w:pPr>
              <w:pStyle w:val="Paragraphedeliste"/>
              <w:tabs>
                <w:tab w:val="left" w:pos="0"/>
              </w:tabs>
              <w:ind w:left="360"/>
              <w:contextualSpacing w:val="0"/>
              <w:jc w:val="left"/>
              <w:rPr>
                <w:rFonts w:cs="Arial"/>
                <w:sz w:val="20"/>
                <w:szCs w:val="20"/>
              </w:rPr>
            </w:pPr>
          </w:p>
          <w:p w14:paraId="2B4D580D" w14:textId="77777777" w:rsidR="009021F1" w:rsidRPr="00000E66" w:rsidRDefault="009021F1" w:rsidP="00E637E3">
            <w:pPr>
              <w:pStyle w:val="Paragraphedeliste"/>
              <w:tabs>
                <w:tab w:val="left" w:pos="0"/>
              </w:tabs>
              <w:ind w:left="360"/>
              <w:contextualSpacing w:val="0"/>
              <w:jc w:val="left"/>
              <w:rPr>
                <w:rFonts w:cs="Arial"/>
                <w:sz w:val="20"/>
                <w:szCs w:val="20"/>
              </w:rPr>
            </w:pPr>
          </w:p>
        </w:tc>
        <w:tc>
          <w:tcPr>
            <w:tcW w:w="1984" w:type="dxa"/>
            <w:shd w:val="clear" w:color="auto" w:fill="auto"/>
          </w:tcPr>
          <w:p w14:paraId="5137A325"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r w:rsidRPr="00000E66">
              <w:rPr>
                <w:rFonts w:cs="Arial"/>
                <w:sz w:val="20"/>
                <w:szCs w:val="20"/>
              </w:rPr>
              <w:t xml:space="preserve">RSES </w:t>
            </w:r>
          </w:p>
          <w:p w14:paraId="5E7A93AA"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r w:rsidRPr="00000E66">
              <w:rPr>
                <w:rFonts w:cs="Arial"/>
                <w:sz w:val="20"/>
                <w:szCs w:val="20"/>
              </w:rPr>
              <w:t>Bureau de Contrôle (UNOPS)</w:t>
            </w:r>
          </w:p>
          <w:p w14:paraId="1F7FB6B4"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r w:rsidRPr="00000E66">
              <w:rPr>
                <w:rFonts w:cs="Arial"/>
                <w:sz w:val="20"/>
                <w:szCs w:val="20"/>
              </w:rPr>
              <w:t>Provinces ciblées</w:t>
            </w:r>
          </w:p>
          <w:p w14:paraId="0190D7FC"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r w:rsidRPr="00000E66">
              <w:rPr>
                <w:rFonts w:cs="Arial"/>
                <w:sz w:val="20"/>
                <w:szCs w:val="20"/>
              </w:rPr>
              <w:t>CPE</w:t>
            </w:r>
          </w:p>
          <w:p w14:paraId="2CBA81B1"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r w:rsidRPr="00000E66">
              <w:rPr>
                <w:rFonts w:cs="Arial"/>
                <w:sz w:val="20"/>
                <w:szCs w:val="20"/>
              </w:rPr>
              <w:t xml:space="preserve">ACE </w:t>
            </w:r>
          </w:p>
          <w:p w14:paraId="0A0E1E0D"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r w:rsidRPr="00000E66">
              <w:rPr>
                <w:rFonts w:cs="Arial"/>
                <w:sz w:val="20"/>
                <w:szCs w:val="20"/>
              </w:rPr>
              <w:t>ICCN</w:t>
            </w:r>
          </w:p>
          <w:p w14:paraId="5AA380EC"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r w:rsidRPr="00000E66">
              <w:rPr>
                <w:rFonts w:cs="Arial"/>
                <w:sz w:val="20"/>
                <w:szCs w:val="20"/>
              </w:rPr>
              <w:t>REPALEF</w:t>
            </w:r>
          </w:p>
          <w:p w14:paraId="4D95B5AA"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r w:rsidRPr="00000E66">
              <w:rPr>
                <w:rFonts w:cs="Arial"/>
                <w:sz w:val="20"/>
                <w:szCs w:val="20"/>
              </w:rPr>
              <w:t>DCN</w:t>
            </w:r>
          </w:p>
          <w:p w14:paraId="03670757"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r w:rsidRPr="00000E66">
              <w:rPr>
                <w:rFonts w:cs="Arial"/>
                <w:sz w:val="20"/>
                <w:szCs w:val="20"/>
              </w:rPr>
              <w:t>OVDA</w:t>
            </w:r>
          </w:p>
          <w:p w14:paraId="22913A26"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r w:rsidRPr="00000E66">
              <w:rPr>
                <w:rFonts w:cs="Arial"/>
                <w:sz w:val="20"/>
                <w:szCs w:val="20"/>
              </w:rPr>
              <w:t>SNHR</w:t>
            </w:r>
          </w:p>
        </w:tc>
      </w:tr>
      <w:tr w:rsidR="009021F1" w:rsidRPr="001E310E" w14:paraId="2CADE0A2" w14:textId="77777777" w:rsidTr="00E637E3">
        <w:tc>
          <w:tcPr>
            <w:tcW w:w="568" w:type="dxa"/>
            <w:vMerge/>
            <w:shd w:val="clear" w:color="auto" w:fill="auto"/>
          </w:tcPr>
          <w:p w14:paraId="4D9FB6B3" w14:textId="77777777" w:rsidR="009021F1" w:rsidRPr="00000E66" w:rsidRDefault="009021F1" w:rsidP="00E637E3">
            <w:pPr>
              <w:rPr>
                <w:rFonts w:cs="Arial"/>
                <w:sz w:val="20"/>
                <w:szCs w:val="20"/>
              </w:rPr>
            </w:pPr>
          </w:p>
        </w:tc>
        <w:tc>
          <w:tcPr>
            <w:tcW w:w="2835" w:type="dxa"/>
            <w:shd w:val="clear" w:color="auto" w:fill="auto"/>
          </w:tcPr>
          <w:p w14:paraId="0330C64D" w14:textId="77777777" w:rsidR="009021F1" w:rsidRPr="00000E66" w:rsidRDefault="009021F1" w:rsidP="00E637E3">
            <w:pPr>
              <w:rPr>
                <w:rFonts w:cs="Arial"/>
                <w:sz w:val="20"/>
                <w:szCs w:val="20"/>
              </w:rPr>
            </w:pPr>
            <w:r w:rsidRPr="00000E66">
              <w:rPr>
                <w:rFonts w:cs="Arial"/>
                <w:sz w:val="20"/>
                <w:szCs w:val="20"/>
              </w:rPr>
              <w:t xml:space="preserve">Diffusion du rapport de surveillance </w:t>
            </w:r>
          </w:p>
        </w:tc>
        <w:tc>
          <w:tcPr>
            <w:tcW w:w="1984" w:type="dxa"/>
            <w:shd w:val="clear" w:color="auto" w:fill="auto"/>
          </w:tcPr>
          <w:p w14:paraId="01342037"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r w:rsidRPr="00000E66">
              <w:rPr>
                <w:rFonts w:cs="Arial"/>
                <w:sz w:val="20"/>
                <w:szCs w:val="20"/>
              </w:rPr>
              <w:t>CTPS (phase de préparation)</w:t>
            </w:r>
          </w:p>
          <w:p w14:paraId="47C47FDA"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r w:rsidRPr="00000E66">
              <w:rPr>
                <w:rFonts w:cs="Arial"/>
                <w:sz w:val="20"/>
                <w:szCs w:val="20"/>
              </w:rPr>
              <w:t>UNCP/PARRSA et Coordination de l’UNCP (phase de mise en œuvre).</w:t>
            </w:r>
          </w:p>
        </w:tc>
        <w:tc>
          <w:tcPr>
            <w:tcW w:w="2977" w:type="dxa"/>
            <w:shd w:val="clear" w:color="auto" w:fill="auto"/>
          </w:tcPr>
          <w:p w14:paraId="58699C90"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r w:rsidRPr="00000E66">
              <w:rPr>
                <w:rFonts w:cs="Arial"/>
                <w:sz w:val="20"/>
                <w:szCs w:val="20"/>
              </w:rPr>
              <w:t>SSE, SSS et SVBG (phases de préparation et de mise en œuvre)</w:t>
            </w:r>
          </w:p>
          <w:p w14:paraId="66A82D42"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r w:rsidRPr="00000E66">
              <w:rPr>
                <w:rFonts w:cs="Arial"/>
                <w:sz w:val="20"/>
                <w:szCs w:val="20"/>
              </w:rPr>
              <w:t xml:space="preserve">RSES  </w:t>
            </w:r>
          </w:p>
        </w:tc>
        <w:tc>
          <w:tcPr>
            <w:tcW w:w="1984" w:type="dxa"/>
            <w:shd w:val="clear" w:color="auto" w:fill="auto"/>
          </w:tcPr>
          <w:p w14:paraId="5CDD1ADC"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r w:rsidRPr="00000E66">
              <w:rPr>
                <w:rFonts w:cs="Arial"/>
                <w:sz w:val="20"/>
                <w:szCs w:val="20"/>
              </w:rPr>
              <w:t>ACE et CPE</w:t>
            </w:r>
          </w:p>
          <w:p w14:paraId="295C5A9E"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r w:rsidRPr="00000E66">
              <w:rPr>
                <w:rFonts w:cs="Arial"/>
                <w:sz w:val="20"/>
                <w:szCs w:val="20"/>
              </w:rPr>
              <w:t>Banque mondiale</w:t>
            </w:r>
          </w:p>
          <w:p w14:paraId="570D1A11"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r w:rsidRPr="00000E66">
              <w:rPr>
                <w:rFonts w:cs="Arial"/>
                <w:sz w:val="20"/>
                <w:szCs w:val="20"/>
              </w:rPr>
              <w:t>Consultant</w:t>
            </w:r>
          </w:p>
        </w:tc>
      </w:tr>
      <w:tr w:rsidR="009021F1" w:rsidRPr="001E310E" w14:paraId="6DE6DBFD" w14:textId="77777777" w:rsidTr="00E637E3">
        <w:tc>
          <w:tcPr>
            <w:tcW w:w="568" w:type="dxa"/>
            <w:shd w:val="clear" w:color="auto" w:fill="auto"/>
          </w:tcPr>
          <w:p w14:paraId="258F7441" w14:textId="77777777" w:rsidR="009021F1" w:rsidRPr="00000E66" w:rsidRDefault="009021F1" w:rsidP="00E637E3">
            <w:pPr>
              <w:rPr>
                <w:rFonts w:cs="Arial"/>
                <w:sz w:val="20"/>
                <w:szCs w:val="20"/>
              </w:rPr>
            </w:pPr>
            <w:r w:rsidRPr="00000E66">
              <w:rPr>
                <w:rFonts w:cs="Arial"/>
                <w:sz w:val="20"/>
                <w:szCs w:val="20"/>
              </w:rPr>
              <w:t>8.</w:t>
            </w:r>
          </w:p>
        </w:tc>
        <w:tc>
          <w:tcPr>
            <w:tcW w:w="2835" w:type="dxa"/>
            <w:shd w:val="clear" w:color="auto" w:fill="auto"/>
          </w:tcPr>
          <w:p w14:paraId="0B6BAD72" w14:textId="77777777" w:rsidR="009021F1" w:rsidRPr="00000E66" w:rsidRDefault="009021F1" w:rsidP="00E637E3">
            <w:pPr>
              <w:rPr>
                <w:rFonts w:cs="Arial"/>
                <w:sz w:val="20"/>
                <w:szCs w:val="20"/>
              </w:rPr>
            </w:pPr>
            <w:r w:rsidRPr="00000E66">
              <w:rPr>
                <w:rFonts w:cs="Arial"/>
                <w:sz w:val="20"/>
                <w:szCs w:val="20"/>
              </w:rPr>
              <w:t>Suivi environnemental et social externe</w:t>
            </w:r>
          </w:p>
        </w:tc>
        <w:tc>
          <w:tcPr>
            <w:tcW w:w="1984" w:type="dxa"/>
            <w:shd w:val="clear" w:color="auto" w:fill="auto"/>
          </w:tcPr>
          <w:p w14:paraId="3CE99AFF"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r w:rsidRPr="00000E66">
              <w:rPr>
                <w:rFonts w:cs="Arial"/>
                <w:sz w:val="20"/>
                <w:szCs w:val="20"/>
              </w:rPr>
              <w:t>ACE</w:t>
            </w:r>
          </w:p>
          <w:p w14:paraId="68EC0565"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r w:rsidRPr="00000E66">
              <w:rPr>
                <w:rFonts w:cs="Arial"/>
                <w:sz w:val="20"/>
                <w:szCs w:val="20"/>
              </w:rPr>
              <w:t>CPE</w:t>
            </w:r>
          </w:p>
          <w:p w14:paraId="4197EEF3"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r w:rsidRPr="00000E66">
              <w:rPr>
                <w:rFonts w:cs="Arial"/>
                <w:sz w:val="20"/>
                <w:szCs w:val="20"/>
              </w:rPr>
              <w:t>Banque Mondiale (supervision)</w:t>
            </w:r>
          </w:p>
        </w:tc>
        <w:tc>
          <w:tcPr>
            <w:tcW w:w="2977" w:type="dxa"/>
            <w:shd w:val="clear" w:color="auto" w:fill="auto"/>
          </w:tcPr>
          <w:p w14:paraId="7CB6B265"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r w:rsidRPr="00000E66">
              <w:rPr>
                <w:rFonts w:cs="Arial"/>
                <w:sz w:val="20"/>
                <w:szCs w:val="20"/>
              </w:rPr>
              <w:t>SSE, SSS et SVBG (phases de préparation et de mise en œuvre)</w:t>
            </w:r>
          </w:p>
          <w:p w14:paraId="07E6CFE5"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r w:rsidRPr="00000E66">
              <w:rPr>
                <w:rFonts w:cs="Arial"/>
                <w:sz w:val="20"/>
                <w:szCs w:val="20"/>
              </w:rPr>
              <w:t xml:space="preserve">RSES  </w:t>
            </w:r>
          </w:p>
        </w:tc>
        <w:tc>
          <w:tcPr>
            <w:tcW w:w="1984" w:type="dxa"/>
            <w:shd w:val="clear" w:color="auto" w:fill="auto"/>
          </w:tcPr>
          <w:p w14:paraId="3CC239C4" w14:textId="77777777" w:rsidR="009021F1" w:rsidRPr="00000E66" w:rsidRDefault="009021F1" w:rsidP="00E637E3">
            <w:pPr>
              <w:pStyle w:val="Paragraphedeliste"/>
              <w:numPr>
                <w:ilvl w:val="0"/>
                <w:numId w:val="25"/>
              </w:numPr>
              <w:tabs>
                <w:tab w:val="left" w:pos="0"/>
              </w:tabs>
              <w:contextualSpacing w:val="0"/>
              <w:jc w:val="left"/>
              <w:rPr>
                <w:rFonts w:cs="Arial"/>
                <w:sz w:val="20"/>
                <w:szCs w:val="20"/>
              </w:rPr>
            </w:pPr>
            <w:r w:rsidRPr="00000E66">
              <w:rPr>
                <w:rFonts w:cs="Arial"/>
                <w:sz w:val="20"/>
                <w:szCs w:val="20"/>
              </w:rPr>
              <w:t>Bureau de Contrôle (</w:t>
            </w:r>
          </w:p>
          <w:p w14:paraId="022EE92D" w14:textId="77777777" w:rsidR="009021F1" w:rsidRPr="00000E66" w:rsidRDefault="009021F1" w:rsidP="00E637E3">
            <w:pPr>
              <w:pStyle w:val="Paragraphedeliste"/>
              <w:numPr>
                <w:ilvl w:val="0"/>
                <w:numId w:val="25"/>
              </w:numPr>
              <w:tabs>
                <w:tab w:val="left" w:pos="0"/>
              </w:tabs>
              <w:contextualSpacing w:val="0"/>
              <w:jc w:val="left"/>
              <w:rPr>
                <w:rFonts w:cs="Arial"/>
                <w:sz w:val="20"/>
                <w:szCs w:val="20"/>
              </w:rPr>
            </w:pPr>
            <w:r w:rsidRPr="00000E66">
              <w:rPr>
                <w:rFonts w:cs="Arial"/>
                <w:sz w:val="20"/>
                <w:szCs w:val="20"/>
              </w:rPr>
              <w:t>AGENCE D’EXÉCUTION)</w:t>
            </w:r>
          </w:p>
          <w:p w14:paraId="5CB41613" w14:textId="77777777" w:rsidR="009021F1" w:rsidRPr="00000E66" w:rsidRDefault="009021F1" w:rsidP="00E637E3">
            <w:pPr>
              <w:pStyle w:val="Paragraphedeliste"/>
              <w:numPr>
                <w:ilvl w:val="0"/>
                <w:numId w:val="25"/>
              </w:numPr>
              <w:tabs>
                <w:tab w:val="left" w:pos="0"/>
              </w:tabs>
              <w:contextualSpacing w:val="0"/>
              <w:jc w:val="left"/>
              <w:rPr>
                <w:rFonts w:cs="Arial"/>
                <w:sz w:val="20"/>
                <w:szCs w:val="20"/>
              </w:rPr>
            </w:pPr>
            <w:r w:rsidRPr="00000E66">
              <w:rPr>
                <w:rFonts w:cs="Arial"/>
                <w:sz w:val="20"/>
                <w:szCs w:val="20"/>
              </w:rPr>
              <w:t>Laboratoires</w:t>
            </w:r>
          </w:p>
          <w:p w14:paraId="03BFAFA0" w14:textId="77777777" w:rsidR="009021F1" w:rsidRPr="00000E66" w:rsidRDefault="009021F1" w:rsidP="00E637E3">
            <w:pPr>
              <w:pStyle w:val="Paragraphedeliste"/>
              <w:tabs>
                <w:tab w:val="left" w:pos="0"/>
              </w:tabs>
              <w:ind w:left="360"/>
              <w:contextualSpacing w:val="0"/>
              <w:jc w:val="left"/>
              <w:rPr>
                <w:rFonts w:cs="Arial"/>
                <w:sz w:val="20"/>
                <w:szCs w:val="20"/>
              </w:rPr>
            </w:pPr>
            <w:r w:rsidRPr="00000E66">
              <w:rPr>
                <w:rFonts w:cs="Arial"/>
                <w:sz w:val="20"/>
                <w:szCs w:val="20"/>
              </w:rPr>
              <w:t>/centres spécialisés</w:t>
            </w:r>
          </w:p>
          <w:p w14:paraId="6BC133A3" w14:textId="77777777" w:rsidR="009021F1" w:rsidRPr="00000E66" w:rsidRDefault="009021F1" w:rsidP="00E637E3">
            <w:pPr>
              <w:pStyle w:val="Paragraphedeliste"/>
              <w:numPr>
                <w:ilvl w:val="0"/>
                <w:numId w:val="25"/>
              </w:numPr>
              <w:tabs>
                <w:tab w:val="left" w:pos="0"/>
              </w:tabs>
              <w:contextualSpacing w:val="0"/>
              <w:jc w:val="left"/>
              <w:rPr>
                <w:rFonts w:cs="Arial"/>
                <w:sz w:val="20"/>
                <w:szCs w:val="20"/>
              </w:rPr>
            </w:pPr>
            <w:r w:rsidRPr="00000E66">
              <w:rPr>
                <w:rFonts w:cs="Arial"/>
                <w:sz w:val="20"/>
                <w:szCs w:val="20"/>
              </w:rPr>
              <w:t>ONG</w:t>
            </w:r>
          </w:p>
        </w:tc>
      </w:tr>
      <w:tr w:rsidR="009021F1" w:rsidRPr="001E310E" w14:paraId="29540D50" w14:textId="77777777" w:rsidTr="00E637E3">
        <w:tc>
          <w:tcPr>
            <w:tcW w:w="568" w:type="dxa"/>
            <w:shd w:val="clear" w:color="auto" w:fill="auto"/>
          </w:tcPr>
          <w:p w14:paraId="4C9268C7" w14:textId="77777777" w:rsidR="009021F1" w:rsidRPr="00000E66" w:rsidRDefault="009021F1" w:rsidP="00E637E3">
            <w:pPr>
              <w:rPr>
                <w:rFonts w:cs="Arial"/>
                <w:sz w:val="20"/>
                <w:szCs w:val="20"/>
              </w:rPr>
            </w:pPr>
            <w:r w:rsidRPr="00000E66">
              <w:rPr>
                <w:rFonts w:cs="Arial"/>
                <w:sz w:val="20"/>
                <w:szCs w:val="20"/>
              </w:rPr>
              <w:t>9.</w:t>
            </w:r>
          </w:p>
        </w:tc>
        <w:tc>
          <w:tcPr>
            <w:tcW w:w="2835" w:type="dxa"/>
            <w:shd w:val="clear" w:color="auto" w:fill="auto"/>
          </w:tcPr>
          <w:p w14:paraId="27CA7B7A" w14:textId="77777777" w:rsidR="009021F1" w:rsidRPr="00000E66" w:rsidRDefault="009021F1" w:rsidP="00E637E3">
            <w:pPr>
              <w:rPr>
                <w:rFonts w:cs="Arial"/>
                <w:sz w:val="20"/>
                <w:szCs w:val="20"/>
              </w:rPr>
            </w:pPr>
            <w:r w:rsidRPr="00000E66">
              <w:rPr>
                <w:rFonts w:cs="Arial"/>
                <w:sz w:val="20"/>
                <w:szCs w:val="20"/>
              </w:rPr>
              <w:t>Renforcement des capacités des acteurs en mise en œuvre environnementales et sociales.</w:t>
            </w:r>
          </w:p>
        </w:tc>
        <w:tc>
          <w:tcPr>
            <w:tcW w:w="1984" w:type="dxa"/>
            <w:shd w:val="clear" w:color="auto" w:fill="auto"/>
          </w:tcPr>
          <w:p w14:paraId="1DEFC15A"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r w:rsidRPr="00000E66">
              <w:rPr>
                <w:rFonts w:cs="Arial"/>
                <w:sz w:val="20"/>
                <w:szCs w:val="20"/>
              </w:rPr>
              <w:t>SSE, SSS et SVBG (phases de préparation et de mise en œuvre).</w:t>
            </w:r>
          </w:p>
        </w:tc>
        <w:tc>
          <w:tcPr>
            <w:tcW w:w="2977" w:type="dxa"/>
            <w:shd w:val="clear" w:color="auto" w:fill="auto"/>
          </w:tcPr>
          <w:p w14:paraId="11D95EDB"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r w:rsidRPr="00000E66">
              <w:rPr>
                <w:rFonts w:cs="Arial"/>
                <w:sz w:val="20"/>
                <w:szCs w:val="20"/>
              </w:rPr>
              <w:t>SPM</w:t>
            </w:r>
          </w:p>
        </w:tc>
        <w:tc>
          <w:tcPr>
            <w:tcW w:w="1984" w:type="dxa"/>
            <w:shd w:val="clear" w:color="auto" w:fill="auto"/>
          </w:tcPr>
          <w:p w14:paraId="5B18C422"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r w:rsidRPr="00000E66">
              <w:rPr>
                <w:rFonts w:cs="Arial"/>
                <w:sz w:val="20"/>
                <w:szCs w:val="20"/>
              </w:rPr>
              <w:t xml:space="preserve"> Consultants</w:t>
            </w:r>
          </w:p>
          <w:p w14:paraId="60293E9E"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r w:rsidRPr="00000E66">
              <w:rPr>
                <w:rFonts w:cs="Arial"/>
                <w:sz w:val="20"/>
                <w:szCs w:val="20"/>
              </w:rPr>
              <w:t xml:space="preserve"> Structures publiques compétentes</w:t>
            </w:r>
          </w:p>
        </w:tc>
      </w:tr>
      <w:tr w:rsidR="009021F1" w:rsidRPr="001E310E" w14:paraId="7B831FC9" w14:textId="77777777" w:rsidTr="00E637E3">
        <w:tc>
          <w:tcPr>
            <w:tcW w:w="568" w:type="dxa"/>
            <w:shd w:val="clear" w:color="auto" w:fill="auto"/>
          </w:tcPr>
          <w:p w14:paraId="188F8EB5" w14:textId="77777777" w:rsidR="009021F1" w:rsidRPr="00000E66" w:rsidRDefault="009021F1" w:rsidP="00E637E3">
            <w:pPr>
              <w:rPr>
                <w:rFonts w:cs="Arial"/>
                <w:sz w:val="20"/>
                <w:szCs w:val="20"/>
              </w:rPr>
            </w:pPr>
          </w:p>
          <w:p w14:paraId="566264A8" w14:textId="77777777" w:rsidR="009021F1" w:rsidRPr="00000E66" w:rsidRDefault="009021F1" w:rsidP="00E637E3">
            <w:pPr>
              <w:rPr>
                <w:rFonts w:cs="Arial"/>
                <w:sz w:val="20"/>
                <w:szCs w:val="20"/>
              </w:rPr>
            </w:pPr>
            <w:r w:rsidRPr="00000E66">
              <w:rPr>
                <w:rFonts w:cs="Arial"/>
                <w:sz w:val="20"/>
                <w:szCs w:val="20"/>
              </w:rPr>
              <w:t>10.</w:t>
            </w:r>
          </w:p>
        </w:tc>
        <w:tc>
          <w:tcPr>
            <w:tcW w:w="2835" w:type="dxa"/>
            <w:shd w:val="clear" w:color="auto" w:fill="auto"/>
          </w:tcPr>
          <w:p w14:paraId="17BC75FF" w14:textId="77777777" w:rsidR="009021F1" w:rsidRPr="00000E66" w:rsidRDefault="009021F1" w:rsidP="00E637E3">
            <w:pPr>
              <w:rPr>
                <w:rFonts w:cs="Arial"/>
                <w:sz w:val="20"/>
                <w:szCs w:val="20"/>
              </w:rPr>
            </w:pPr>
            <w:r w:rsidRPr="00000E66">
              <w:rPr>
                <w:rFonts w:cs="Arial"/>
                <w:sz w:val="20"/>
                <w:szCs w:val="20"/>
              </w:rPr>
              <w:t>Audit de mise en œuvre des mesures environnementales et sociales.</w:t>
            </w:r>
          </w:p>
        </w:tc>
        <w:tc>
          <w:tcPr>
            <w:tcW w:w="1984" w:type="dxa"/>
            <w:shd w:val="clear" w:color="auto" w:fill="auto"/>
          </w:tcPr>
          <w:p w14:paraId="34077FDE"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r w:rsidRPr="00000E66">
              <w:rPr>
                <w:rFonts w:cs="Arial"/>
                <w:sz w:val="20"/>
                <w:szCs w:val="20"/>
              </w:rPr>
              <w:t>SSE, SSS et SVBG (phases de préparation et de mise en œuvre).</w:t>
            </w:r>
          </w:p>
        </w:tc>
        <w:tc>
          <w:tcPr>
            <w:tcW w:w="2977" w:type="dxa"/>
            <w:shd w:val="clear" w:color="auto" w:fill="auto"/>
          </w:tcPr>
          <w:p w14:paraId="1EC14563"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r w:rsidRPr="00000E66">
              <w:rPr>
                <w:rFonts w:cs="Arial"/>
                <w:sz w:val="20"/>
                <w:szCs w:val="20"/>
              </w:rPr>
              <w:t>SPM</w:t>
            </w:r>
          </w:p>
          <w:p w14:paraId="778FA35B"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r w:rsidRPr="00000E66">
              <w:rPr>
                <w:rFonts w:cs="Arial"/>
                <w:sz w:val="20"/>
                <w:szCs w:val="20"/>
              </w:rPr>
              <w:t>SSE</w:t>
            </w:r>
          </w:p>
          <w:p w14:paraId="5C7AC355"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r w:rsidRPr="00000E66">
              <w:rPr>
                <w:rFonts w:cs="Arial"/>
                <w:sz w:val="20"/>
                <w:szCs w:val="20"/>
              </w:rPr>
              <w:t>ACE</w:t>
            </w:r>
          </w:p>
          <w:p w14:paraId="6CA475A8"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r w:rsidRPr="00000E66">
              <w:rPr>
                <w:rFonts w:cs="Arial"/>
                <w:sz w:val="20"/>
                <w:szCs w:val="20"/>
              </w:rPr>
              <w:t>CPE</w:t>
            </w:r>
          </w:p>
          <w:p w14:paraId="7C42AFCE"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r w:rsidRPr="00000E66">
              <w:rPr>
                <w:rFonts w:cs="Arial"/>
                <w:sz w:val="20"/>
                <w:szCs w:val="20"/>
              </w:rPr>
              <w:t>Provinces concernées par le PNDA</w:t>
            </w:r>
          </w:p>
          <w:p w14:paraId="255F62C1"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r w:rsidRPr="00000E66">
              <w:rPr>
                <w:rFonts w:cs="Arial"/>
                <w:sz w:val="20"/>
                <w:szCs w:val="20"/>
              </w:rPr>
              <w:t xml:space="preserve">RSES  </w:t>
            </w:r>
          </w:p>
        </w:tc>
        <w:tc>
          <w:tcPr>
            <w:tcW w:w="1984" w:type="dxa"/>
            <w:shd w:val="clear" w:color="auto" w:fill="auto"/>
          </w:tcPr>
          <w:p w14:paraId="575C55C3" w14:textId="77777777" w:rsidR="009021F1" w:rsidRPr="00000E66" w:rsidRDefault="009021F1" w:rsidP="00E637E3">
            <w:pPr>
              <w:pStyle w:val="Paragraphedeliste"/>
              <w:numPr>
                <w:ilvl w:val="0"/>
                <w:numId w:val="25"/>
              </w:numPr>
              <w:tabs>
                <w:tab w:val="left" w:pos="0"/>
              </w:tabs>
              <w:ind w:left="156" w:hanging="156"/>
              <w:contextualSpacing w:val="0"/>
              <w:jc w:val="left"/>
              <w:rPr>
                <w:rFonts w:cs="Arial"/>
                <w:sz w:val="20"/>
                <w:szCs w:val="20"/>
              </w:rPr>
            </w:pPr>
            <w:r w:rsidRPr="00000E66">
              <w:rPr>
                <w:rFonts w:cs="Arial"/>
                <w:sz w:val="20"/>
                <w:szCs w:val="20"/>
              </w:rPr>
              <w:t xml:space="preserve"> Consultants</w:t>
            </w:r>
          </w:p>
          <w:p w14:paraId="0C52F6E7" w14:textId="77777777" w:rsidR="009021F1" w:rsidRPr="00000E66" w:rsidRDefault="009021F1" w:rsidP="00E637E3">
            <w:pPr>
              <w:tabs>
                <w:tab w:val="left" w:pos="0"/>
              </w:tabs>
              <w:ind w:left="156"/>
              <w:rPr>
                <w:rFonts w:cs="Arial"/>
                <w:sz w:val="20"/>
                <w:szCs w:val="20"/>
              </w:rPr>
            </w:pPr>
          </w:p>
          <w:p w14:paraId="65D6C652" w14:textId="77777777" w:rsidR="009021F1" w:rsidRPr="00000E66" w:rsidRDefault="009021F1" w:rsidP="00E637E3">
            <w:pPr>
              <w:pStyle w:val="Paragraphedeliste"/>
              <w:tabs>
                <w:tab w:val="left" w:pos="0"/>
              </w:tabs>
              <w:ind w:left="156"/>
              <w:rPr>
                <w:rFonts w:cs="Arial"/>
                <w:sz w:val="20"/>
                <w:szCs w:val="20"/>
              </w:rPr>
            </w:pPr>
          </w:p>
        </w:tc>
      </w:tr>
    </w:tbl>
    <w:p w14:paraId="706766B7" w14:textId="77777777" w:rsidR="009021F1" w:rsidRPr="00000E66" w:rsidRDefault="009021F1" w:rsidP="009021F1">
      <w:pPr>
        <w:rPr>
          <w:szCs w:val="21"/>
        </w:rPr>
      </w:pPr>
    </w:p>
    <w:p w14:paraId="49DC6EB2" w14:textId="77777777" w:rsidR="009021F1" w:rsidRPr="00000E66" w:rsidRDefault="009021F1" w:rsidP="009021F1">
      <w:pPr>
        <w:pStyle w:val="Titre3"/>
        <w:keepLines w:val="0"/>
        <w:spacing w:line="240" w:lineRule="auto"/>
        <w:jc w:val="left"/>
        <w:rPr>
          <w:b/>
          <w:szCs w:val="21"/>
        </w:rPr>
      </w:pPr>
    </w:p>
    <w:p w14:paraId="288F7204" w14:textId="77777777" w:rsidR="009021F1" w:rsidRPr="00000E66" w:rsidRDefault="009021F1" w:rsidP="009021F1">
      <w:pPr>
        <w:pStyle w:val="Titre2"/>
        <w:numPr>
          <w:ilvl w:val="2"/>
          <w:numId w:val="4"/>
        </w:numPr>
        <w:ind w:left="1560" w:hanging="709"/>
        <w:rPr>
          <w:rFonts w:cs="Arial"/>
          <w:i/>
          <w:szCs w:val="21"/>
        </w:rPr>
      </w:pPr>
      <w:bookmarkStart w:id="434" w:name="_Toc90471540"/>
      <w:r w:rsidRPr="00000E66">
        <w:rPr>
          <w:rFonts w:cs="Arial"/>
          <w:i/>
          <w:szCs w:val="21"/>
        </w:rPr>
        <w:t>Evaluation (audit)</w:t>
      </w:r>
      <w:bookmarkEnd w:id="434"/>
    </w:p>
    <w:p w14:paraId="2215C4A5" w14:textId="77777777" w:rsidR="009021F1" w:rsidRPr="00000E66" w:rsidRDefault="009021F1" w:rsidP="009021F1">
      <w:pPr>
        <w:rPr>
          <w:szCs w:val="21"/>
        </w:rPr>
      </w:pPr>
    </w:p>
    <w:p w14:paraId="3825A278" w14:textId="77777777" w:rsidR="009021F1" w:rsidRPr="00000E66" w:rsidRDefault="009021F1" w:rsidP="009021F1">
      <w:pPr>
        <w:rPr>
          <w:szCs w:val="21"/>
        </w:rPr>
      </w:pPr>
      <w:r w:rsidRPr="00000E66">
        <w:rPr>
          <w:szCs w:val="21"/>
        </w:rPr>
        <w:t xml:space="preserve">L'évaluation vise </w:t>
      </w:r>
      <w:r w:rsidRPr="00000E66">
        <w:rPr>
          <w:i/>
          <w:szCs w:val="21"/>
        </w:rPr>
        <w:t xml:space="preserve">(i) </w:t>
      </w:r>
      <w:r w:rsidRPr="00000E66">
        <w:rPr>
          <w:szCs w:val="21"/>
        </w:rPr>
        <w:t xml:space="preserve">à vérifier si les objectifs ont été respectés/atteints et </w:t>
      </w:r>
      <w:r w:rsidRPr="00000E66">
        <w:rPr>
          <w:i/>
          <w:szCs w:val="21"/>
        </w:rPr>
        <w:t>(ii)</w:t>
      </w:r>
      <w:r w:rsidRPr="00000E66">
        <w:rPr>
          <w:szCs w:val="21"/>
        </w:rPr>
        <w:t xml:space="preserve"> à tirer les enseignements d’exploitation pour modifier les stratégies futures d’intervention. L’évaluation (ou audit) sera faite à mi-parcours et à la fin du Projet par des consultants indépendants. </w:t>
      </w:r>
    </w:p>
    <w:p w14:paraId="16D695BC" w14:textId="77777777" w:rsidR="009021F1" w:rsidRPr="00000E66" w:rsidRDefault="009021F1" w:rsidP="009021F1">
      <w:pPr>
        <w:rPr>
          <w:szCs w:val="21"/>
        </w:rPr>
      </w:pPr>
    </w:p>
    <w:p w14:paraId="413B135B" w14:textId="77777777" w:rsidR="009021F1" w:rsidRPr="00000E66" w:rsidRDefault="009021F1" w:rsidP="009021F1">
      <w:pPr>
        <w:pStyle w:val="Titre2"/>
        <w:numPr>
          <w:ilvl w:val="2"/>
          <w:numId w:val="4"/>
        </w:numPr>
        <w:ind w:left="1560" w:hanging="709"/>
        <w:rPr>
          <w:rFonts w:cs="Arial"/>
          <w:i/>
          <w:szCs w:val="21"/>
        </w:rPr>
      </w:pPr>
      <w:bookmarkStart w:id="435" w:name="_Toc90471541"/>
      <w:r w:rsidRPr="00000E66">
        <w:rPr>
          <w:rFonts w:cs="Arial"/>
          <w:i/>
          <w:szCs w:val="21"/>
        </w:rPr>
        <w:t>Composantes environnementales et sociales à suivre</w:t>
      </w:r>
      <w:bookmarkEnd w:id="435"/>
    </w:p>
    <w:p w14:paraId="12625D88" w14:textId="77777777" w:rsidR="009021F1" w:rsidRPr="00000E66" w:rsidRDefault="009021F1" w:rsidP="009021F1">
      <w:pPr>
        <w:rPr>
          <w:szCs w:val="21"/>
        </w:rPr>
      </w:pPr>
    </w:p>
    <w:p w14:paraId="62AAEB38" w14:textId="77777777" w:rsidR="009021F1" w:rsidRPr="00000E66" w:rsidRDefault="009021F1" w:rsidP="009021F1">
      <w:pPr>
        <w:jc w:val="lowKashida"/>
        <w:rPr>
          <w:szCs w:val="21"/>
        </w:rPr>
      </w:pPr>
      <w:r w:rsidRPr="00000E66">
        <w:rPr>
          <w:szCs w:val="21"/>
        </w:rPr>
        <w:t xml:space="preserve">Lors des travaux, le suivi portera sur tous les impacts potentiels identifiés et sur toutes les mesures d’atténuation y afférentes. </w:t>
      </w:r>
    </w:p>
    <w:p w14:paraId="520EA1C1" w14:textId="77777777" w:rsidR="009021F1" w:rsidRPr="00000E66" w:rsidRDefault="009021F1" w:rsidP="009021F1">
      <w:pPr>
        <w:jc w:val="lowKashida"/>
        <w:rPr>
          <w:b/>
          <w:i/>
          <w:szCs w:val="21"/>
        </w:rPr>
      </w:pPr>
    </w:p>
    <w:p w14:paraId="16603DDC" w14:textId="77777777" w:rsidR="009021F1" w:rsidRPr="00000E66" w:rsidRDefault="009021F1" w:rsidP="009021F1">
      <w:pPr>
        <w:pStyle w:val="Titre2"/>
        <w:numPr>
          <w:ilvl w:val="2"/>
          <w:numId w:val="4"/>
        </w:numPr>
        <w:ind w:left="1560" w:hanging="709"/>
        <w:rPr>
          <w:rFonts w:cs="Arial"/>
          <w:i/>
          <w:szCs w:val="21"/>
        </w:rPr>
      </w:pPr>
      <w:bookmarkStart w:id="436" w:name="_Toc90471542"/>
      <w:r w:rsidRPr="00000E66">
        <w:rPr>
          <w:rFonts w:cs="Arial"/>
          <w:i/>
          <w:szCs w:val="21"/>
        </w:rPr>
        <w:t>Suivi en phase de préparation et de travaux</w:t>
      </w:r>
      <w:bookmarkEnd w:id="436"/>
    </w:p>
    <w:p w14:paraId="0531E51C" w14:textId="77777777" w:rsidR="009021F1" w:rsidRPr="00000E66" w:rsidRDefault="009021F1" w:rsidP="009021F1">
      <w:pPr>
        <w:jc w:val="lowKashida"/>
        <w:rPr>
          <w:szCs w:val="21"/>
        </w:rPr>
      </w:pPr>
    </w:p>
    <w:p w14:paraId="662F21E3" w14:textId="77777777" w:rsidR="009021F1" w:rsidRPr="00000E66" w:rsidRDefault="009021F1" w:rsidP="009021F1">
      <w:pPr>
        <w:autoSpaceDE w:val="0"/>
        <w:autoSpaceDN w:val="0"/>
        <w:adjustRightInd w:val="0"/>
        <w:rPr>
          <w:rFonts w:eastAsia="Calibri"/>
          <w:szCs w:val="21"/>
        </w:rPr>
      </w:pPr>
      <w:r w:rsidRPr="00000E66">
        <w:rPr>
          <w:rFonts w:eastAsia="Calibri"/>
          <w:szCs w:val="21"/>
        </w:rPr>
        <w:t>Lors des travaux, les règlements en vigueur dans le pays, et en particulier ceux concernant l’environnement et les aspects sociaux, devront être respectés. La mise en œuvre du Projet devra se faire dans le cadre d’un plan de gestion de la qualité comprenant le respect des contraintes environnementales et sociales correspondant aux mesures présentées dans le CGES. Les contractants en charge de la réalisation du Projet (ou de certaines activités du Projet) devront fournir et appliquer le règlement qui fixera :</w:t>
      </w:r>
    </w:p>
    <w:p w14:paraId="3933DC94" w14:textId="77777777" w:rsidR="009021F1" w:rsidRPr="00000E66" w:rsidRDefault="009021F1" w:rsidP="009021F1">
      <w:pPr>
        <w:autoSpaceDE w:val="0"/>
        <w:autoSpaceDN w:val="0"/>
        <w:adjustRightInd w:val="0"/>
        <w:rPr>
          <w:rFonts w:eastAsia="Calibri"/>
          <w:szCs w:val="21"/>
        </w:rPr>
      </w:pPr>
    </w:p>
    <w:p w14:paraId="15A1EED0" w14:textId="77777777" w:rsidR="009021F1" w:rsidRPr="00000E66" w:rsidRDefault="009021F1" w:rsidP="009021F1">
      <w:pPr>
        <w:numPr>
          <w:ilvl w:val="0"/>
          <w:numId w:val="28"/>
        </w:numPr>
        <w:autoSpaceDE w:val="0"/>
        <w:autoSpaceDN w:val="0"/>
        <w:adjustRightInd w:val="0"/>
        <w:rPr>
          <w:rFonts w:eastAsia="Calibri" w:cs="Arial"/>
          <w:szCs w:val="21"/>
        </w:rPr>
      </w:pPr>
      <w:r w:rsidRPr="00000E66">
        <w:rPr>
          <w:rFonts w:eastAsia="Calibri" w:cs="Arial"/>
          <w:szCs w:val="21"/>
        </w:rPr>
        <w:t>les mesures de protection de l’environnement et de réduction des impacts sociaux ;</w:t>
      </w:r>
    </w:p>
    <w:p w14:paraId="00535B43" w14:textId="77777777" w:rsidR="009021F1" w:rsidRPr="00000E66" w:rsidRDefault="009021F1" w:rsidP="009021F1">
      <w:pPr>
        <w:numPr>
          <w:ilvl w:val="0"/>
          <w:numId w:val="28"/>
        </w:numPr>
        <w:autoSpaceDE w:val="0"/>
        <w:autoSpaceDN w:val="0"/>
        <w:adjustRightInd w:val="0"/>
        <w:rPr>
          <w:rFonts w:eastAsia="Calibri" w:cs="Arial"/>
          <w:szCs w:val="21"/>
        </w:rPr>
      </w:pPr>
      <w:r w:rsidRPr="00000E66">
        <w:rPr>
          <w:rFonts w:eastAsia="Calibri" w:cs="Arial"/>
          <w:szCs w:val="21"/>
        </w:rPr>
        <w:t>les règles de sécurité concernant les ouvriers ;</w:t>
      </w:r>
    </w:p>
    <w:p w14:paraId="18E0C793" w14:textId="77777777" w:rsidR="009021F1" w:rsidRPr="00000E66" w:rsidRDefault="009021F1" w:rsidP="009021F1">
      <w:pPr>
        <w:numPr>
          <w:ilvl w:val="0"/>
          <w:numId w:val="28"/>
        </w:numPr>
        <w:autoSpaceDE w:val="0"/>
        <w:autoSpaceDN w:val="0"/>
        <w:adjustRightInd w:val="0"/>
        <w:rPr>
          <w:rFonts w:eastAsia="Calibri" w:cs="Arial"/>
          <w:szCs w:val="21"/>
        </w:rPr>
      </w:pPr>
      <w:r w:rsidRPr="00000E66">
        <w:rPr>
          <w:rFonts w:eastAsia="Calibri" w:cs="Arial"/>
          <w:szCs w:val="21"/>
        </w:rPr>
        <w:t>les modalités de gestion des déchets solides et liquides ;</w:t>
      </w:r>
    </w:p>
    <w:p w14:paraId="025508A8" w14:textId="77777777" w:rsidR="009021F1" w:rsidRPr="00000E66" w:rsidRDefault="009021F1" w:rsidP="009021F1">
      <w:pPr>
        <w:numPr>
          <w:ilvl w:val="0"/>
          <w:numId w:val="28"/>
        </w:numPr>
        <w:autoSpaceDE w:val="0"/>
        <w:autoSpaceDN w:val="0"/>
        <w:adjustRightInd w:val="0"/>
        <w:rPr>
          <w:rFonts w:eastAsia="Calibri" w:cs="Arial"/>
          <w:szCs w:val="21"/>
        </w:rPr>
      </w:pPr>
      <w:r w:rsidRPr="00000E66">
        <w:rPr>
          <w:rFonts w:eastAsia="Calibri" w:cs="Arial"/>
          <w:szCs w:val="21"/>
        </w:rPr>
        <w:t>les mesures de sensibilisation et de prévention (santé, hygiène, sécurité, les IST et VIH/SIDA, COVID-19, ainsi que les VBG, incluant l’EAS/HS) ;</w:t>
      </w:r>
    </w:p>
    <w:p w14:paraId="1339C3FF" w14:textId="77777777" w:rsidR="009021F1" w:rsidRPr="00000E66" w:rsidRDefault="009021F1" w:rsidP="009021F1">
      <w:pPr>
        <w:numPr>
          <w:ilvl w:val="0"/>
          <w:numId w:val="28"/>
        </w:numPr>
        <w:autoSpaceDE w:val="0"/>
        <w:autoSpaceDN w:val="0"/>
        <w:adjustRightInd w:val="0"/>
        <w:rPr>
          <w:rFonts w:eastAsia="Calibri" w:cs="Arial"/>
          <w:szCs w:val="21"/>
        </w:rPr>
      </w:pPr>
      <w:r w:rsidRPr="00000E66">
        <w:rPr>
          <w:rFonts w:eastAsia="Calibri" w:cs="Arial"/>
          <w:szCs w:val="21"/>
        </w:rPr>
        <w:t>les mesures de réinstallation.</w:t>
      </w:r>
    </w:p>
    <w:p w14:paraId="2A20C4B2" w14:textId="77777777" w:rsidR="009021F1" w:rsidRPr="00000E66" w:rsidRDefault="009021F1" w:rsidP="009021F1">
      <w:pPr>
        <w:rPr>
          <w:rFonts w:cs="Arial"/>
          <w:szCs w:val="21"/>
        </w:rPr>
      </w:pPr>
    </w:p>
    <w:p w14:paraId="4626A009" w14:textId="77777777" w:rsidR="009021F1" w:rsidRPr="00000E66" w:rsidRDefault="009021F1" w:rsidP="009021F1">
      <w:pPr>
        <w:pStyle w:val="Titre2"/>
        <w:numPr>
          <w:ilvl w:val="2"/>
          <w:numId w:val="4"/>
        </w:numPr>
        <w:ind w:left="1560" w:hanging="709"/>
        <w:rPr>
          <w:rFonts w:cs="Arial"/>
          <w:i/>
          <w:szCs w:val="21"/>
        </w:rPr>
      </w:pPr>
      <w:bookmarkStart w:id="437" w:name="_Toc90471543"/>
      <w:r w:rsidRPr="00000E66">
        <w:rPr>
          <w:rFonts w:cs="Arial"/>
          <w:i/>
          <w:szCs w:val="21"/>
        </w:rPr>
        <w:t>Indicateurs de suivi environnemental et social</w:t>
      </w:r>
      <w:bookmarkEnd w:id="437"/>
    </w:p>
    <w:p w14:paraId="52D64E3D" w14:textId="77777777" w:rsidR="009021F1" w:rsidRPr="00000E66" w:rsidRDefault="009021F1" w:rsidP="009021F1">
      <w:pPr>
        <w:rPr>
          <w:rFonts w:cs="Arial"/>
          <w:szCs w:val="21"/>
        </w:rPr>
      </w:pPr>
    </w:p>
    <w:p w14:paraId="02845341" w14:textId="77777777" w:rsidR="009021F1" w:rsidRPr="00000E66" w:rsidRDefault="009021F1" w:rsidP="009021F1">
      <w:pPr>
        <w:rPr>
          <w:rFonts w:cs="Arial"/>
          <w:szCs w:val="21"/>
        </w:rPr>
      </w:pPr>
      <w:r w:rsidRPr="00000E66">
        <w:rPr>
          <w:rFonts w:cs="Arial"/>
          <w:szCs w:val="21"/>
        </w:rPr>
        <w:t>De façon générale, les indicateurs pour lesquels il sera nécessaire d’assurer le suivi sont les suivants :</w:t>
      </w:r>
    </w:p>
    <w:p w14:paraId="297A96F8" w14:textId="77777777" w:rsidR="009021F1" w:rsidRPr="00000E66" w:rsidRDefault="009021F1" w:rsidP="009021F1">
      <w:pPr>
        <w:rPr>
          <w:rFonts w:cs="Arial"/>
          <w:szCs w:val="21"/>
        </w:rPr>
      </w:pPr>
    </w:p>
    <w:p w14:paraId="5EFE5DF8" w14:textId="77777777" w:rsidR="009021F1" w:rsidRPr="00000E66" w:rsidRDefault="009021F1" w:rsidP="009021F1">
      <w:pPr>
        <w:autoSpaceDE w:val="0"/>
        <w:autoSpaceDN w:val="0"/>
        <w:adjustRightInd w:val="0"/>
        <w:rPr>
          <w:rFonts w:eastAsia="Calibri" w:cs="Arial"/>
          <w:szCs w:val="21"/>
        </w:rPr>
      </w:pPr>
      <w:r w:rsidRPr="00000E66">
        <w:rPr>
          <w:rFonts w:eastAsia="Calibri" w:cs="Arial"/>
          <w:szCs w:val="21"/>
        </w:rPr>
        <w:t>Au niveau d’ordre stratégique à suivre par le Comité de Pilotage du PNDA :</w:t>
      </w:r>
    </w:p>
    <w:p w14:paraId="5F67D493" w14:textId="77777777" w:rsidR="009021F1" w:rsidRPr="00000E66" w:rsidRDefault="009021F1" w:rsidP="009021F1">
      <w:pPr>
        <w:numPr>
          <w:ilvl w:val="0"/>
          <w:numId w:val="28"/>
        </w:numPr>
        <w:autoSpaceDE w:val="0"/>
        <w:autoSpaceDN w:val="0"/>
        <w:adjustRightInd w:val="0"/>
        <w:rPr>
          <w:rFonts w:eastAsia="Calibri" w:cs="Arial"/>
          <w:szCs w:val="21"/>
        </w:rPr>
      </w:pPr>
      <w:r w:rsidRPr="00000E66">
        <w:rPr>
          <w:rFonts w:eastAsia="Calibri" w:cs="Arial"/>
          <w:szCs w:val="21"/>
        </w:rPr>
        <w:t>Effectivité de la sélection environnementale et sociale (Screening) des activités du programme ;</w:t>
      </w:r>
    </w:p>
    <w:p w14:paraId="2D52F14E" w14:textId="77777777" w:rsidR="009021F1" w:rsidRPr="00000E66" w:rsidRDefault="009021F1" w:rsidP="009021F1">
      <w:pPr>
        <w:numPr>
          <w:ilvl w:val="0"/>
          <w:numId w:val="28"/>
        </w:numPr>
        <w:autoSpaceDE w:val="0"/>
        <w:autoSpaceDN w:val="0"/>
        <w:adjustRightInd w:val="0"/>
        <w:rPr>
          <w:rFonts w:eastAsia="Calibri" w:cs="Arial"/>
          <w:szCs w:val="21"/>
        </w:rPr>
      </w:pPr>
      <w:r w:rsidRPr="00000E66">
        <w:rPr>
          <w:rFonts w:eastAsia="Calibri" w:cs="Arial"/>
          <w:szCs w:val="21"/>
        </w:rPr>
        <w:t>Effectivité du suivi environnemental et social du « reporting » ;</w:t>
      </w:r>
    </w:p>
    <w:p w14:paraId="6200185F" w14:textId="77777777" w:rsidR="009021F1" w:rsidRPr="00000E66" w:rsidRDefault="009021F1" w:rsidP="009021F1">
      <w:pPr>
        <w:numPr>
          <w:ilvl w:val="0"/>
          <w:numId w:val="28"/>
        </w:numPr>
        <w:autoSpaceDE w:val="0"/>
        <w:autoSpaceDN w:val="0"/>
        <w:adjustRightInd w:val="0"/>
        <w:rPr>
          <w:rFonts w:eastAsia="Calibri" w:cs="Arial"/>
          <w:szCs w:val="21"/>
        </w:rPr>
      </w:pPr>
      <w:r w:rsidRPr="00000E66">
        <w:rPr>
          <w:rFonts w:eastAsia="Calibri" w:cs="Arial"/>
          <w:szCs w:val="21"/>
        </w:rPr>
        <w:t>Mise en œuvre des programmes de formation/sensibilisation sur le CGES ;</w:t>
      </w:r>
    </w:p>
    <w:p w14:paraId="38B3E8F3" w14:textId="77777777" w:rsidR="009021F1" w:rsidRPr="00000E66" w:rsidRDefault="009021F1" w:rsidP="009021F1">
      <w:pPr>
        <w:numPr>
          <w:ilvl w:val="0"/>
          <w:numId w:val="28"/>
        </w:numPr>
        <w:autoSpaceDE w:val="0"/>
        <w:autoSpaceDN w:val="0"/>
        <w:adjustRightInd w:val="0"/>
        <w:rPr>
          <w:rFonts w:eastAsia="Calibri" w:cs="Arial"/>
          <w:szCs w:val="21"/>
        </w:rPr>
      </w:pPr>
      <w:r w:rsidRPr="00000E66">
        <w:rPr>
          <w:rFonts w:eastAsia="Calibri" w:cs="Arial"/>
          <w:szCs w:val="21"/>
        </w:rPr>
        <w:t>Indicateurs à suivre par le SSE, le SSS, et le SVBG du PNDA ;</w:t>
      </w:r>
    </w:p>
    <w:p w14:paraId="68FC9674" w14:textId="77777777" w:rsidR="009021F1" w:rsidRPr="00000E66" w:rsidRDefault="009021F1" w:rsidP="009021F1">
      <w:pPr>
        <w:numPr>
          <w:ilvl w:val="0"/>
          <w:numId w:val="28"/>
        </w:numPr>
        <w:autoSpaceDE w:val="0"/>
        <w:autoSpaceDN w:val="0"/>
        <w:adjustRightInd w:val="0"/>
        <w:rPr>
          <w:rFonts w:eastAsia="Calibri" w:cs="Arial"/>
          <w:szCs w:val="21"/>
        </w:rPr>
      </w:pPr>
      <w:r w:rsidRPr="00000E66">
        <w:rPr>
          <w:rFonts w:eastAsia="Calibri" w:cs="Arial"/>
          <w:szCs w:val="21"/>
        </w:rPr>
        <w:t>Effectivité de l’insertion des clauses environnementales et sociales dans les dossiers d’exécution.</w:t>
      </w:r>
    </w:p>
    <w:p w14:paraId="3D24DAB9" w14:textId="77777777" w:rsidR="009021F1" w:rsidRPr="00000E66" w:rsidRDefault="009021F1" w:rsidP="009021F1">
      <w:pPr>
        <w:autoSpaceDE w:val="0"/>
        <w:autoSpaceDN w:val="0"/>
        <w:adjustRightInd w:val="0"/>
        <w:ind w:left="720"/>
        <w:rPr>
          <w:rFonts w:eastAsia="Calibri" w:cs="Arial"/>
          <w:szCs w:val="21"/>
        </w:rPr>
      </w:pPr>
    </w:p>
    <w:p w14:paraId="49E7CB57" w14:textId="77777777" w:rsidR="009021F1" w:rsidRPr="00000E66" w:rsidRDefault="009021F1" w:rsidP="009021F1">
      <w:pPr>
        <w:autoSpaceDE w:val="0"/>
        <w:autoSpaceDN w:val="0"/>
        <w:adjustRightInd w:val="0"/>
        <w:rPr>
          <w:rFonts w:eastAsia="Calibri" w:cs="Arial"/>
          <w:szCs w:val="21"/>
        </w:rPr>
      </w:pPr>
      <w:r w:rsidRPr="00000E66">
        <w:rPr>
          <w:rFonts w:eastAsia="Calibri" w:cs="Arial"/>
          <w:szCs w:val="21"/>
        </w:rPr>
        <w:t>Au niveau des SSE et SSS du PNDA :</w:t>
      </w:r>
    </w:p>
    <w:p w14:paraId="5C70A42B" w14:textId="77777777" w:rsidR="009021F1" w:rsidRPr="00000E66" w:rsidRDefault="009021F1" w:rsidP="009021F1">
      <w:pPr>
        <w:numPr>
          <w:ilvl w:val="0"/>
          <w:numId w:val="28"/>
        </w:numPr>
        <w:autoSpaceDE w:val="0"/>
        <w:autoSpaceDN w:val="0"/>
        <w:adjustRightInd w:val="0"/>
        <w:rPr>
          <w:rFonts w:eastAsia="Calibri" w:cs="Arial"/>
          <w:szCs w:val="21"/>
        </w:rPr>
      </w:pPr>
      <w:r w:rsidRPr="00000E66">
        <w:rPr>
          <w:rFonts w:eastAsia="Calibri" w:cs="Arial"/>
          <w:szCs w:val="21"/>
        </w:rPr>
        <w:t>Nombre de projets ayant fait l’objet d’une sélection environnementale et sociale ;</w:t>
      </w:r>
    </w:p>
    <w:p w14:paraId="6856DE1C" w14:textId="77777777" w:rsidR="009021F1" w:rsidRPr="00000E66" w:rsidRDefault="009021F1" w:rsidP="009021F1">
      <w:pPr>
        <w:numPr>
          <w:ilvl w:val="0"/>
          <w:numId w:val="28"/>
        </w:numPr>
        <w:autoSpaceDE w:val="0"/>
        <w:autoSpaceDN w:val="0"/>
        <w:adjustRightInd w:val="0"/>
        <w:rPr>
          <w:rFonts w:eastAsia="Calibri" w:cs="Arial"/>
          <w:szCs w:val="21"/>
        </w:rPr>
      </w:pPr>
      <w:r w:rsidRPr="00000E66">
        <w:rPr>
          <w:rFonts w:eastAsia="Calibri" w:cs="Arial"/>
          <w:szCs w:val="21"/>
        </w:rPr>
        <w:t>Pourcentage des entreprises respectant les dispositions environnementales et sociales dans leurs chantiers ;</w:t>
      </w:r>
    </w:p>
    <w:p w14:paraId="6793C5DD" w14:textId="77777777" w:rsidR="009021F1" w:rsidRPr="00000E66" w:rsidRDefault="009021F1" w:rsidP="009021F1">
      <w:pPr>
        <w:numPr>
          <w:ilvl w:val="0"/>
          <w:numId w:val="28"/>
        </w:numPr>
        <w:autoSpaceDE w:val="0"/>
        <w:autoSpaceDN w:val="0"/>
        <w:adjustRightInd w:val="0"/>
        <w:rPr>
          <w:rFonts w:eastAsia="Calibri" w:cs="Arial"/>
          <w:szCs w:val="21"/>
        </w:rPr>
      </w:pPr>
      <w:r w:rsidRPr="00000E66">
        <w:rPr>
          <w:rFonts w:eastAsia="Calibri" w:cs="Arial"/>
          <w:szCs w:val="21"/>
        </w:rPr>
        <w:t>Niveau d’application des mesures d’atténuation environnementale et sociale ;</w:t>
      </w:r>
    </w:p>
    <w:p w14:paraId="2B1AAC7E" w14:textId="77777777" w:rsidR="009021F1" w:rsidRPr="00000E66" w:rsidRDefault="009021F1" w:rsidP="009021F1">
      <w:pPr>
        <w:numPr>
          <w:ilvl w:val="0"/>
          <w:numId w:val="28"/>
        </w:numPr>
        <w:autoSpaceDE w:val="0"/>
        <w:autoSpaceDN w:val="0"/>
        <w:adjustRightInd w:val="0"/>
        <w:rPr>
          <w:rFonts w:eastAsia="Calibri" w:cs="Arial"/>
          <w:szCs w:val="21"/>
        </w:rPr>
      </w:pPr>
      <w:r w:rsidRPr="00000E66">
        <w:rPr>
          <w:rFonts w:eastAsia="Calibri" w:cs="Arial"/>
          <w:szCs w:val="21"/>
        </w:rPr>
        <w:t>Nombre d’acteurs formés/sensibilisés en gestion environnementale et sociale ;</w:t>
      </w:r>
    </w:p>
    <w:p w14:paraId="39582541" w14:textId="77777777" w:rsidR="009021F1" w:rsidRPr="00000E66" w:rsidRDefault="009021F1" w:rsidP="009021F1">
      <w:pPr>
        <w:numPr>
          <w:ilvl w:val="0"/>
          <w:numId w:val="28"/>
        </w:numPr>
        <w:autoSpaceDE w:val="0"/>
        <w:autoSpaceDN w:val="0"/>
        <w:adjustRightInd w:val="0"/>
        <w:rPr>
          <w:rFonts w:eastAsia="Calibri" w:cs="Arial"/>
          <w:szCs w:val="21"/>
        </w:rPr>
      </w:pPr>
      <w:r w:rsidRPr="00000E66">
        <w:rPr>
          <w:rFonts w:eastAsia="Calibri" w:cs="Arial"/>
          <w:szCs w:val="21"/>
        </w:rPr>
        <w:t>Niveau d’implication des CPE dans le suivi de la mise en œuvre des activités ;</w:t>
      </w:r>
    </w:p>
    <w:p w14:paraId="059A1365" w14:textId="77777777" w:rsidR="009021F1" w:rsidRPr="00000E66" w:rsidRDefault="009021F1" w:rsidP="009021F1">
      <w:pPr>
        <w:numPr>
          <w:ilvl w:val="0"/>
          <w:numId w:val="28"/>
        </w:numPr>
        <w:autoSpaceDE w:val="0"/>
        <w:autoSpaceDN w:val="0"/>
        <w:adjustRightInd w:val="0"/>
        <w:rPr>
          <w:rFonts w:eastAsia="Calibri" w:cs="Arial"/>
          <w:szCs w:val="21"/>
        </w:rPr>
      </w:pPr>
      <w:r w:rsidRPr="00000E66">
        <w:rPr>
          <w:rFonts w:eastAsia="Calibri" w:cs="Arial"/>
          <w:szCs w:val="21"/>
        </w:rPr>
        <w:t>Régularité et effectivité du suivi de proximité ;</w:t>
      </w:r>
    </w:p>
    <w:p w14:paraId="02E6C8EF" w14:textId="77777777" w:rsidR="009021F1" w:rsidRPr="00000E66" w:rsidRDefault="009021F1" w:rsidP="009021F1">
      <w:pPr>
        <w:numPr>
          <w:ilvl w:val="0"/>
          <w:numId w:val="29"/>
        </w:numPr>
        <w:autoSpaceDE w:val="0"/>
        <w:autoSpaceDN w:val="0"/>
        <w:adjustRightInd w:val="0"/>
        <w:rPr>
          <w:rFonts w:cs="Arial"/>
          <w:szCs w:val="21"/>
        </w:rPr>
      </w:pPr>
      <w:r w:rsidRPr="00000E66">
        <w:rPr>
          <w:rFonts w:cs="Arial"/>
          <w:szCs w:val="21"/>
        </w:rPr>
        <w:t>Nombre de sous-projets ayant fait l’objet d’une ÉIES avec PGES mis en œuvre ;</w:t>
      </w:r>
    </w:p>
    <w:p w14:paraId="6AB737FD" w14:textId="77777777" w:rsidR="009021F1" w:rsidRPr="00000E66" w:rsidRDefault="009021F1" w:rsidP="009021F1">
      <w:pPr>
        <w:numPr>
          <w:ilvl w:val="0"/>
          <w:numId w:val="29"/>
        </w:numPr>
        <w:autoSpaceDE w:val="0"/>
        <w:autoSpaceDN w:val="0"/>
        <w:adjustRightInd w:val="0"/>
        <w:rPr>
          <w:rFonts w:cs="Arial"/>
          <w:szCs w:val="21"/>
        </w:rPr>
      </w:pPr>
      <w:r w:rsidRPr="00000E66">
        <w:rPr>
          <w:rFonts w:cs="Arial"/>
          <w:szCs w:val="21"/>
        </w:rPr>
        <w:t>Nombre de séances de formation/sensibilisation organisées ;</w:t>
      </w:r>
    </w:p>
    <w:p w14:paraId="11EBC37A" w14:textId="77777777" w:rsidR="009021F1" w:rsidRPr="00000E66" w:rsidRDefault="009021F1" w:rsidP="009021F1">
      <w:pPr>
        <w:numPr>
          <w:ilvl w:val="0"/>
          <w:numId w:val="29"/>
        </w:numPr>
        <w:rPr>
          <w:rFonts w:cs="Arial"/>
          <w:szCs w:val="21"/>
        </w:rPr>
      </w:pPr>
      <w:r w:rsidRPr="00000E66">
        <w:rPr>
          <w:rFonts w:cs="Arial"/>
          <w:szCs w:val="21"/>
        </w:rPr>
        <w:t>Nombre de missions de suivi/évaluation environnemental et social ;</w:t>
      </w:r>
    </w:p>
    <w:p w14:paraId="1CB6CC48" w14:textId="77777777" w:rsidR="009021F1" w:rsidRPr="00000E66" w:rsidRDefault="009021F1" w:rsidP="009021F1">
      <w:pPr>
        <w:numPr>
          <w:ilvl w:val="0"/>
          <w:numId w:val="29"/>
        </w:numPr>
        <w:rPr>
          <w:rFonts w:cs="Arial"/>
          <w:szCs w:val="21"/>
        </w:rPr>
      </w:pPr>
      <w:r w:rsidRPr="00000E66">
        <w:rPr>
          <w:rFonts w:cs="Arial"/>
          <w:szCs w:val="21"/>
        </w:rPr>
        <w:t>Niveau d’implication des collectivités et d’acteurs locaux dans le suivi des travaux</w:t>
      </w:r>
    </w:p>
    <w:p w14:paraId="2BC79909" w14:textId="77777777" w:rsidR="009021F1" w:rsidRPr="00000E66" w:rsidRDefault="009021F1" w:rsidP="009021F1">
      <w:pPr>
        <w:numPr>
          <w:ilvl w:val="0"/>
          <w:numId w:val="29"/>
        </w:numPr>
        <w:rPr>
          <w:rFonts w:cs="Arial"/>
          <w:szCs w:val="21"/>
        </w:rPr>
      </w:pPr>
      <w:r w:rsidRPr="00000E66">
        <w:rPr>
          <w:rFonts w:cs="Arial"/>
          <w:szCs w:val="21"/>
        </w:rPr>
        <w:t>Nombre d’emplois créés localement (main-d’œuvre locale utilisée pour les travaux) ;</w:t>
      </w:r>
    </w:p>
    <w:p w14:paraId="2346AE8F" w14:textId="77777777" w:rsidR="009021F1" w:rsidRPr="00000E66" w:rsidRDefault="009021F1" w:rsidP="009021F1">
      <w:pPr>
        <w:numPr>
          <w:ilvl w:val="0"/>
          <w:numId w:val="29"/>
        </w:numPr>
        <w:rPr>
          <w:rFonts w:cs="Arial"/>
          <w:szCs w:val="21"/>
        </w:rPr>
      </w:pPr>
      <w:r w:rsidRPr="00000E66">
        <w:rPr>
          <w:rFonts w:cs="Arial"/>
          <w:szCs w:val="21"/>
        </w:rPr>
        <w:t>Nombre de populations autochtones et campements localisés dans la zone du Projet ;</w:t>
      </w:r>
    </w:p>
    <w:p w14:paraId="69A377F1" w14:textId="77777777" w:rsidR="009021F1" w:rsidRPr="00000E66" w:rsidRDefault="009021F1" w:rsidP="009021F1">
      <w:pPr>
        <w:numPr>
          <w:ilvl w:val="0"/>
          <w:numId w:val="29"/>
        </w:numPr>
        <w:autoSpaceDE w:val="0"/>
        <w:autoSpaceDN w:val="0"/>
        <w:adjustRightInd w:val="0"/>
        <w:jc w:val="left"/>
        <w:rPr>
          <w:rFonts w:cs="Arial"/>
          <w:szCs w:val="21"/>
        </w:rPr>
      </w:pPr>
      <w:r w:rsidRPr="00000E66">
        <w:rPr>
          <w:rFonts w:cs="Arial"/>
          <w:szCs w:val="21"/>
        </w:rPr>
        <w:t>Nombre de personnes affectées et compensées par le Projet ;</w:t>
      </w:r>
    </w:p>
    <w:p w14:paraId="3F3D4A24" w14:textId="77777777" w:rsidR="009021F1" w:rsidRPr="00000E66" w:rsidRDefault="009021F1" w:rsidP="009021F1">
      <w:pPr>
        <w:numPr>
          <w:ilvl w:val="0"/>
          <w:numId w:val="29"/>
        </w:numPr>
        <w:autoSpaceDE w:val="0"/>
        <w:autoSpaceDN w:val="0"/>
        <w:adjustRightInd w:val="0"/>
        <w:jc w:val="left"/>
        <w:rPr>
          <w:rFonts w:cs="Arial"/>
          <w:szCs w:val="21"/>
        </w:rPr>
      </w:pPr>
      <w:r w:rsidRPr="00000E66">
        <w:rPr>
          <w:rFonts w:cs="Arial"/>
          <w:szCs w:val="21"/>
        </w:rPr>
        <w:t>Nombre et type de réclamation.</w:t>
      </w:r>
    </w:p>
    <w:p w14:paraId="2D522F01" w14:textId="77777777" w:rsidR="009021F1" w:rsidRPr="00000E66" w:rsidRDefault="009021F1" w:rsidP="009021F1">
      <w:pPr>
        <w:autoSpaceDE w:val="0"/>
        <w:autoSpaceDN w:val="0"/>
        <w:adjustRightInd w:val="0"/>
        <w:ind w:left="720"/>
        <w:jc w:val="left"/>
        <w:rPr>
          <w:rFonts w:cs="Arial"/>
          <w:szCs w:val="21"/>
        </w:rPr>
      </w:pPr>
    </w:p>
    <w:p w14:paraId="44E210BB" w14:textId="77777777" w:rsidR="009021F1" w:rsidRPr="00000E66" w:rsidRDefault="009021F1" w:rsidP="009021F1">
      <w:pPr>
        <w:autoSpaceDE w:val="0"/>
        <w:autoSpaceDN w:val="0"/>
        <w:adjustRightInd w:val="0"/>
        <w:jc w:val="left"/>
        <w:rPr>
          <w:rFonts w:cs="Arial"/>
          <w:szCs w:val="21"/>
        </w:rPr>
      </w:pPr>
      <w:r w:rsidRPr="00000E66">
        <w:rPr>
          <w:rFonts w:cs="Arial"/>
          <w:szCs w:val="21"/>
        </w:rPr>
        <w:t>Au niveau du SVBG :</w:t>
      </w:r>
    </w:p>
    <w:p w14:paraId="2FA8A7D5" w14:textId="77777777" w:rsidR="009021F1" w:rsidRPr="00000E66" w:rsidRDefault="009021F1" w:rsidP="009021F1">
      <w:pPr>
        <w:numPr>
          <w:ilvl w:val="0"/>
          <w:numId w:val="29"/>
        </w:numPr>
        <w:autoSpaceDE w:val="0"/>
        <w:autoSpaceDN w:val="0"/>
        <w:adjustRightInd w:val="0"/>
        <w:spacing w:line="240" w:lineRule="auto"/>
        <w:jc w:val="left"/>
        <w:rPr>
          <w:szCs w:val="21"/>
        </w:rPr>
      </w:pPr>
      <w:r w:rsidRPr="00000E66">
        <w:rPr>
          <w:szCs w:val="21"/>
        </w:rPr>
        <w:t>Nombre de séances de formation de travailleurs et personnel du Projet en VBG ventilées par sexe ;</w:t>
      </w:r>
    </w:p>
    <w:p w14:paraId="743B5E4F" w14:textId="77777777" w:rsidR="009021F1" w:rsidRPr="00000E66" w:rsidRDefault="009021F1" w:rsidP="009021F1">
      <w:pPr>
        <w:numPr>
          <w:ilvl w:val="0"/>
          <w:numId w:val="29"/>
        </w:numPr>
        <w:autoSpaceDE w:val="0"/>
        <w:autoSpaceDN w:val="0"/>
        <w:adjustRightInd w:val="0"/>
        <w:spacing w:line="240" w:lineRule="auto"/>
        <w:jc w:val="left"/>
        <w:rPr>
          <w:szCs w:val="21"/>
        </w:rPr>
      </w:pPr>
      <w:r w:rsidRPr="00000E66">
        <w:rPr>
          <w:szCs w:val="21"/>
        </w:rPr>
        <w:t>Nombre de séances de recyclage de travailleurs et personnel du Projet en VBG ;</w:t>
      </w:r>
    </w:p>
    <w:p w14:paraId="249DE4ED" w14:textId="77777777" w:rsidR="009021F1" w:rsidRPr="00000E66" w:rsidRDefault="009021F1" w:rsidP="009021F1">
      <w:pPr>
        <w:numPr>
          <w:ilvl w:val="0"/>
          <w:numId w:val="29"/>
        </w:numPr>
        <w:autoSpaceDE w:val="0"/>
        <w:autoSpaceDN w:val="0"/>
        <w:adjustRightInd w:val="0"/>
        <w:spacing w:line="240" w:lineRule="auto"/>
        <w:jc w:val="left"/>
        <w:rPr>
          <w:szCs w:val="21"/>
        </w:rPr>
      </w:pPr>
      <w:r w:rsidRPr="00000E66">
        <w:rPr>
          <w:szCs w:val="21"/>
        </w:rPr>
        <w:t>% des participant(e)s aux formations en VBG qui reçoivent une note sur le post test au-delà de 70% ;</w:t>
      </w:r>
    </w:p>
    <w:p w14:paraId="5864250C" w14:textId="77777777" w:rsidR="009021F1" w:rsidRPr="00000E66" w:rsidRDefault="009021F1" w:rsidP="009021F1">
      <w:pPr>
        <w:numPr>
          <w:ilvl w:val="0"/>
          <w:numId w:val="29"/>
        </w:numPr>
        <w:autoSpaceDE w:val="0"/>
        <w:autoSpaceDN w:val="0"/>
        <w:adjustRightInd w:val="0"/>
        <w:spacing w:line="240" w:lineRule="auto"/>
        <w:jc w:val="left"/>
        <w:rPr>
          <w:szCs w:val="21"/>
        </w:rPr>
      </w:pPr>
      <w:r w:rsidRPr="00000E66">
        <w:rPr>
          <w:szCs w:val="21"/>
        </w:rPr>
        <w:t>% de survivant(e)s qui se présentent dans les 72 heures suivant un incident de viol sont référées pour la PEC médicale ;</w:t>
      </w:r>
    </w:p>
    <w:p w14:paraId="14EE2C1B" w14:textId="77777777" w:rsidR="009021F1" w:rsidRPr="00000E66" w:rsidRDefault="009021F1" w:rsidP="009021F1">
      <w:pPr>
        <w:numPr>
          <w:ilvl w:val="0"/>
          <w:numId w:val="29"/>
        </w:numPr>
        <w:autoSpaceDE w:val="0"/>
        <w:autoSpaceDN w:val="0"/>
        <w:adjustRightInd w:val="0"/>
        <w:spacing w:line="240" w:lineRule="auto"/>
        <w:jc w:val="left"/>
        <w:rPr>
          <w:szCs w:val="21"/>
        </w:rPr>
      </w:pPr>
      <w:r w:rsidRPr="00000E66">
        <w:rPr>
          <w:szCs w:val="21"/>
        </w:rPr>
        <w:t>% de survivant(e)s référées pour la prise en charge psychosociale ;</w:t>
      </w:r>
    </w:p>
    <w:p w14:paraId="101ECD1F" w14:textId="77777777" w:rsidR="009021F1" w:rsidRPr="00000E66" w:rsidRDefault="009021F1" w:rsidP="009021F1">
      <w:pPr>
        <w:numPr>
          <w:ilvl w:val="0"/>
          <w:numId w:val="29"/>
        </w:numPr>
        <w:autoSpaceDE w:val="0"/>
        <w:autoSpaceDN w:val="0"/>
        <w:adjustRightInd w:val="0"/>
        <w:spacing w:line="240" w:lineRule="auto"/>
        <w:jc w:val="left"/>
        <w:rPr>
          <w:szCs w:val="21"/>
        </w:rPr>
      </w:pPr>
      <w:r w:rsidRPr="00000E66">
        <w:rPr>
          <w:szCs w:val="21"/>
        </w:rPr>
        <w:t>% de survivant(e)s qui sollicitent un appui juridique sont référées à ces services ;</w:t>
      </w:r>
    </w:p>
    <w:p w14:paraId="08AFD26A" w14:textId="77777777" w:rsidR="009021F1" w:rsidRPr="00000E66" w:rsidRDefault="009021F1" w:rsidP="009021F1">
      <w:pPr>
        <w:numPr>
          <w:ilvl w:val="0"/>
          <w:numId w:val="29"/>
        </w:numPr>
        <w:autoSpaceDE w:val="0"/>
        <w:autoSpaceDN w:val="0"/>
        <w:adjustRightInd w:val="0"/>
        <w:spacing w:line="240" w:lineRule="auto"/>
        <w:jc w:val="left"/>
        <w:rPr>
          <w:szCs w:val="21"/>
        </w:rPr>
      </w:pPr>
      <w:r w:rsidRPr="00000E66">
        <w:rPr>
          <w:szCs w:val="21"/>
        </w:rPr>
        <w:t>Nombre de plaintes d’EAS/HS (sans cible) qui sont reçues par le MGP ;</w:t>
      </w:r>
    </w:p>
    <w:p w14:paraId="5C27F02B" w14:textId="77777777" w:rsidR="009021F1" w:rsidRPr="00000E66" w:rsidRDefault="009021F1" w:rsidP="009021F1">
      <w:pPr>
        <w:numPr>
          <w:ilvl w:val="0"/>
          <w:numId w:val="29"/>
        </w:numPr>
        <w:autoSpaceDE w:val="0"/>
        <w:autoSpaceDN w:val="0"/>
        <w:adjustRightInd w:val="0"/>
        <w:spacing w:line="240" w:lineRule="auto"/>
        <w:jc w:val="left"/>
        <w:rPr>
          <w:szCs w:val="21"/>
        </w:rPr>
      </w:pPr>
      <w:r w:rsidRPr="00000E66">
        <w:rPr>
          <w:szCs w:val="21"/>
        </w:rPr>
        <w:t>% de plaintes d’EAS/HS au MGP qui sont résolues dans le délai prévu ;</w:t>
      </w:r>
    </w:p>
    <w:p w14:paraId="03357C4A" w14:textId="77777777" w:rsidR="009021F1" w:rsidRPr="00000E66" w:rsidRDefault="009021F1" w:rsidP="009021F1">
      <w:pPr>
        <w:numPr>
          <w:ilvl w:val="0"/>
          <w:numId w:val="29"/>
        </w:numPr>
        <w:autoSpaceDE w:val="0"/>
        <w:autoSpaceDN w:val="0"/>
        <w:adjustRightInd w:val="0"/>
        <w:spacing w:line="240" w:lineRule="auto"/>
        <w:jc w:val="left"/>
        <w:rPr>
          <w:szCs w:val="21"/>
        </w:rPr>
      </w:pPr>
      <w:r w:rsidRPr="00000E66">
        <w:rPr>
          <w:szCs w:val="21"/>
        </w:rPr>
        <w:t>% de plaintes d’EAS/HS au MGP qui ne sont pas résolues dans le délai prévu ;</w:t>
      </w:r>
    </w:p>
    <w:p w14:paraId="35EDCE1E" w14:textId="77777777" w:rsidR="009021F1" w:rsidRPr="00000E66" w:rsidRDefault="009021F1" w:rsidP="009021F1">
      <w:pPr>
        <w:numPr>
          <w:ilvl w:val="0"/>
          <w:numId w:val="29"/>
        </w:numPr>
        <w:autoSpaceDE w:val="0"/>
        <w:autoSpaceDN w:val="0"/>
        <w:adjustRightInd w:val="0"/>
        <w:spacing w:line="240" w:lineRule="auto"/>
        <w:jc w:val="left"/>
        <w:rPr>
          <w:szCs w:val="21"/>
        </w:rPr>
      </w:pPr>
      <w:r w:rsidRPr="00000E66">
        <w:rPr>
          <w:szCs w:val="21"/>
        </w:rPr>
        <w:t>Le délai moyen pour résoudre une plainte d’EAS/HS à travers le MGP ;</w:t>
      </w:r>
    </w:p>
    <w:p w14:paraId="7F092752" w14:textId="77777777" w:rsidR="009021F1" w:rsidRPr="00000E66" w:rsidRDefault="009021F1" w:rsidP="009021F1">
      <w:pPr>
        <w:numPr>
          <w:ilvl w:val="0"/>
          <w:numId w:val="29"/>
        </w:numPr>
        <w:autoSpaceDE w:val="0"/>
        <w:autoSpaceDN w:val="0"/>
        <w:adjustRightInd w:val="0"/>
        <w:spacing w:line="240" w:lineRule="auto"/>
        <w:jc w:val="left"/>
        <w:rPr>
          <w:szCs w:val="21"/>
        </w:rPr>
      </w:pPr>
      <w:r w:rsidRPr="00000E66">
        <w:rPr>
          <w:szCs w:val="21"/>
        </w:rPr>
        <w:t>Nombre de campagnes de sensibilisations sur les VBG, les comportements interdits, et le MGP ;</w:t>
      </w:r>
    </w:p>
    <w:p w14:paraId="1D365E24" w14:textId="77777777" w:rsidR="009021F1" w:rsidRPr="00000E66" w:rsidRDefault="009021F1" w:rsidP="009021F1">
      <w:pPr>
        <w:numPr>
          <w:ilvl w:val="0"/>
          <w:numId w:val="29"/>
        </w:numPr>
        <w:autoSpaceDE w:val="0"/>
        <w:autoSpaceDN w:val="0"/>
        <w:adjustRightInd w:val="0"/>
        <w:spacing w:line="240" w:lineRule="auto"/>
        <w:jc w:val="left"/>
        <w:rPr>
          <w:szCs w:val="21"/>
        </w:rPr>
      </w:pPr>
      <w:r w:rsidRPr="00000E66">
        <w:rPr>
          <w:szCs w:val="21"/>
        </w:rPr>
        <w:t>Nombre de populations ciblées / sensibilisées ventilées par sexe et par âge.</w:t>
      </w:r>
    </w:p>
    <w:p w14:paraId="49C64D8A" w14:textId="77777777" w:rsidR="009021F1" w:rsidRPr="00000E66" w:rsidRDefault="009021F1" w:rsidP="009021F1">
      <w:pPr>
        <w:autoSpaceDE w:val="0"/>
        <w:autoSpaceDN w:val="0"/>
        <w:adjustRightInd w:val="0"/>
        <w:ind w:left="720"/>
        <w:jc w:val="left"/>
        <w:rPr>
          <w:rFonts w:cs="Arial"/>
          <w:szCs w:val="21"/>
        </w:rPr>
      </w:pPr>
    </w:p>
    <w:p w14:paraId="57998564" w14:textId="4182BCF1" w:rsidR="009021F1" w:rsidRDefault="009021F1" w:rsidP="009021F1">
      <w:pPr>
        <w:spacing w:line="240" w:lineRule="auto"/>
        <w:rPr>
          <w:rFonts w:cs="Arial"/>
          <w:szCs w:val="21"/>
        </w:rPr>
      </w:pPr>
      <w:r w:rsidRPr="00000E66">
        <w:rPr>
          <w:rFonts w:cs="Arial"/>
          <w:szCs w:val="21"/>
        </w:rPr>
        <w:t>Outre les aspects ci-dessus évoqués, le tableau ci-dessous énonce les indicateurs spécifiques à suivre. Pour rappel, les mesures environnementales et sociales seront mises en œuvre par les entreprises en charge des travaux qui comprendront des spécialistes environnementaux et sociaux en leur sein, dont le spécialiste social devrait avoir une expérience dans la programmation de genre et/ou de prévention et réponse aux VBG.</w:t>
      </w:r>
    </w:p>
    <w:p w14:paraId="4F974B7B" w14:textId="7A379708" w:rsidR="00A46A46" w:rsidRDefault="00A46A46" w:rsidP="009021F1">
      <w:pPr>
        <w:spacing w:line="240" w:lineRule="auto"/>
        <w:rPr>
          <w:rFonts w:cs="Arial"/>
          <w:szCs w:val="21"/>
        </w:rPr>
      </w:pPr>
    </w:p>
    <w:p w14:paraId="41A9F695" w14:textId="77777777" w:rsidR="00A46A46" w:rsidRPr="00000E66" w:rsidRDefault="00A46A46" w:rsidP="009021F1">
      <w:pPr>
        <w:spacing w:line="240" w:lineRule="auto"/>
        <w:rPr>
          <w:rFonts w:cs="Arial"/>
          <w:szCs w:val="21"/>
        </w:rPr>
      </w:pPr>
    </w:p>
    <w:p w14:paraId="379F3A80" w14:textId="77777777" w:rsidR="009021F1" w:rsidRPr="00000E66" w:rsidRDefault="009021F1" w:rsidP="009021F1">
      <w:pPr>
        <w:spacing w:line="240" w:lineRule="auto"/>
        <w:rPr>
          <w:rFonts w:cs="Arial"/>
          <w:szCs w:val="21"/>
        </w:rPr>
      </w:pPr>
    </w:p>
    <w:p w14:paraId="72940CED" w14:textId="77777777" w:rsidR="009021F1" w:rsidRPr="00000E66" w:rsidRDefault="009021F1" w:rsidP="009021F1">
      <w:pPr>
        <w:spacing w:line="240" w:lineRule="auto"/>
        <w:rPr>
          <w:rFonts w:cs="Arial"/>
          <w:szCs w:val="21"/>
        </w:rPr>
      </w:pPr>
      <w:r w:rsidRPr="00000E66">
        <w:rPr>
          <w:szCs w:val="21"/>
        </w:rPr>
        <w:t xml:space="preserve">Tableau </w:t>
      </w:r>
      <w:r w:rsidRPr="00000E66">
        <w:rPr>
          <w:szCs w:val="21"/>
        </w:rPr>
        <w:fldChar w:fldCharType="begin"/>
      </w:r>
      <w:r w:rsidRPr="00000E66">
        <w:rPr>
          <w:szCs w:val="21"/>
        </w:rPr>
        <w:instrText xml:space="preserve"> SEQ Tableau \* ARABIC </w:instrText>
      </w:r>
      <w:r w:rsidRPr="00000E66">
        <w:rPr>
          <w:szCs w:val="21"/>
        </w:rPr>
        <w:fldChar w:fldCharType="separate"/>
      </w:r>
      <w:r>
        <w:rPr>
          <w:noProof/>
          <w:szCs w:val="21"/>
        </w:rPr>
        <w:t>38</w:t>
      </w:r>
      <w:r w:rsidRPr="00000E66">
        <w:rPr>
          <w:szCs w:val="21"/>
        </w:rPr>
        <w:fldChar w:fldCharType="end"/>
      </w:r>
      <w:r w:rsidRPr="00000E66">
        <w:rPr>
          <w:rFonts w:cs="Arial"/>
          <w:szCs w:val="21"/>
        </w:rPr>
        <w:t>. Indicateurs de suivi</w:t>
      </w:r>
    </w:p>
    <w:p w14:paraId="34C0C46D" w14:textId="77777777" w:rsidR="009021F1" w:rsidRPr="00000E66" w:rsidRDefault="009021F1" w:rsidP="009021F1">
      <w:pPr>
        <w:jc w:val="center"/>
        <w:rPr>
          <w:rFonts w:cs="Arial"/>
          <w:szCs w:val="21"/>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95"/>
        <w:gridCol w:w="3512"/>
        <w:gridCol w:w="3469"/>
      </w:tblGrid>
      <w:tr w:rsidR="009021F1" w:rsidRPr="00BE2822" w14:paraId="7A9ED79B" w14:textId="77777777" w:rsidTr="00E637E3">
        <w:trPr>
          <w:tblHeader/>
        </w:trPr>
        <w:tc>
          <w:tcPr>
            <w:tcW w:w="2795" w:type="dxa"/>
            <w:shd w:val="clear" w:color="auto" w:fill="auto"/>
          </w:tcPr>
          <w:p w14:paraId="623C6BD4" w14:textId="77777777" w:rsidR="009021F1" w:rsidRPr="00000E66" w:rsidRDefault="009021F1" w:rsidP="00E637E3">
            <w:pPr>
              <w:pStyle w:val="TableParagraph"/>
              <w:spacing w:line="205" w:lineRule="exact"/>
              <w:ind w:left="407"/>
              <w:rPr>
                <w:sz w:val="20"/>
                <w:szCs w:val="20"/>
                <w:lang w:val="fr-FR"/>
              </w:rPr>
            </w:pPr>
          </w:p>
          <w:p w14:paraId="430182E0" w14:textId="77777777" w:rsidR="009021F1" w:rsidRPr="00000E66" w:rsidRDefault="009021F1" w:rsidP="00E637E3">
            <w:pPr>
              <w:pStyle w:val="TableParagraph"/>
              <w:spacing w:line="205" w:lineRule="exact"/>
              <w:ind w:left="407"/>
              <w:rPr>
                <w:sz w:val="20"/>
                <w:szCs w:val="20"/>
                <w:lang w:val="fr-FR"/>
              </w:rPr>
            </w:pPr>
            <w:r w:rsidRPr="00000E66">
              <w:rPr>
                <w:sz w:val="20"/>
                <w:szCs w:val="20"/>
                <w:lang w:val="fr-FR"/>
              </w:rPr>
              <w:t>Composantes</w:t>
            </w:r>
          </w:p>
          <w:p w14:paraId="2C06A391" w14:textId="77777777" w:rsidR="009021F1" w:rsidRPr="00000E66" w:rsidRDefault="009021F1" w:rsidP="00E637E3">
            <w:pPr>
              <w:pStyle w:val="TableParagraph"/>
              <w:spacing w:line="205" w:lineRule="exact"/>
              <w:ind w:left="407"/>
              <w:rPr>
                <w:sz w:val="20"/>
                <w:szCs w:val="20"/>
                <w:lang w:val="fr-FR"/>
              </w:rPr>
            </w:pPr>
          </w:p>
        </w:tc>
        <w:tc>
          <w:tcPr>
            <w:tcW w:w="3512" w:type="dxa"/>
            <w:shd w:val="clear" w:color="auto" w:fill="auto"/>
          </w:tcPr>
          <w:p w14:paraId="15BDC380" w14:textId="77777777" w:rsidR="009021F1" w:rsidRPr="00000E66" w:rsidRDefault="009021F1" w:rsidP="00E637E3">
            <w:pPr>
              <w:pStyle w:val="TableParagraph"/>
              <w:spacing w:line="205" w:lineRule="exact"/>
              <w:ind w:left="1224" w:right="1216"/>
              <w:jc w:val="center"/>
              <w:rPr>
                <w:sz w:val="20"/>
                <w:szCs w:val="20"/>
                <w:lang w:val="fr-FR"/>
              </w:rPr>
            </w:pPr>
          </w:p>
          <w:p w14:paraId="2C01C677" w14:textId="77777777" w:rsidR="009021F1" w:rsidRPr="00000E66" w:rsidRDefault="009021F1" w:rsidP="00E637E3">
            <w:pPr>
              <w:pStyle w:val="TableParagraph"/>
              <w:spacing w:line="205" w:lineRule="exact"/>
              <w:ind w:left="1224" w:right="1216"/>
              <w:jc w:val="center"/>
              <w:rPr>
                <w:sz w:val="20"/>
                <w:szCs w:val="20"/>
                <w:lang w:val="fr-FR"/>
              </w:rPr>
            </w:pPr>
            <w:r w:rsidRPr="00000E66">
              <w:rPr>
                <w:sz w:val="20"/>
                <w:szCs w:val="20"/>
                <w:lang w:val="fr-FR"/>
              </w:rPr>
              <w:t>Objectifs</w:t>
            </w:r>
          </w:p>
          <w:p w14:paraId="5B278936" w14:textId="77777777" w:rsidR="009021F1" w:rsidRPr="00000E66" w:rsidRDefault="009021F1" w:rsidP="00E637E3">
            <w:pPr>
              <w:pStyle w:val="TableParagraph"/>
              <w:spacing w:line="205" w:lineRule="exact"/>
              <w:ind w:left="1224" w:right="1216"/>
              <w:jc w:val="center"/>
              <w:rPr>
                <w:sz w:val="20"/>
                <w:szCs w:val="20"/>
                <w:lang w:val="fr-FR"/>
              </w:rPr>
            </w:pPr>
          </w:p>
        </w:tc>
        <w:tc>
          <w:tcPr>
            <w:tcW w:w="3469" w:type="dxa"/>
            <w:shd w:val="clear" w:color="auto" w:fill="auto"/>
          </w:tcPr>
          <w:p w14:paraId="16C7CF7C" w14:textId="77777777" w:rsidR="009021F1" w:rsidRPr="00000E66" w:rsidRDefault="009021F1" w:rsidP="00E637E3">
            <w:pPr>
              <w:pStyle w:val="TableParagraph"/>
              <w:spacing w:line="205" w:lineRule="exact"/>
              <w:ind w:left="1167" w:hanging="1167"/>
              <w:rPr>
                <w:sz w:val="20"/>
                <w:szCs w:val="20"/>
                <w:lang w:val="fr-FR"/>
              </w:rPr>
            </w:pPr>
          </w:p>
          <w:p w14:paraId="0A6F8CFC" w14:textId="77777777" w:rsidR="009021F1" w:rsidRPr="00000E66" w:rsidRDefault="009021F1" w:rsidP="00E637E3">
            <w:pPr>
              <w:pStyle w:val="TableParagraph"/>
              <w:spacing w:line="205" w:lineRule="exact"/>
              <w:ind w:left="1167" w:hanging="1167"/>
              <w:jc w:val="center"/>
              <w:rPr>
                <w:sz w:val="20"/>
                <w:szCs w:val="20"/>
                <w:lang w:val="fr-FR"/>
              </w:rPr>
            </w:pPr>
            <w:r w:rsidRPr="00000E66">
              <w:rPr>
                <w:sz w:val="20"/>
                <w:szCs w:val="20"/>
                <w:lang w:val="fr-FR"/>
              </w:rPr>
              <w:t>Indicateurs de suivi</w:t>
            </w:r>
          </w:p>
          <w:p w14:paraId="74805737" w14:textId="77777777" w:rsidR="009021F1" w:rsidRPr="00000E66" w:rsidRDefault="009021F1" w:rsidP="00E637E3">
            <w:pPr>
              <w:pStyle w:val="TableParagraph"/>
              <w:spacing w:line="205" w:lineRule="exact"/>
              <w:ind w:left="1167" w:hanging="1167"/>
              <w:rPr>
                <w:sz w:val="20"/>
                <w:szCs w:val="20"/>
                <w:lang w:val="fr-FR"/>
              </w:rPr>
            </w:pPr>
          </w:p>
        </w:tc>
      </w:tr>
      <w:tr w:rsidR="009021F1" w:rsidRPr="00BE2822" w14:paraId="37060B6C" w14:textId="77777777" w:rsidTr="00E637E3">
        <w:tc>
          <w:tcPr>
            <w:tcW w:w="2795" w:type="dxa"/>
            <w:shd w:val="clear" w:color="auto" w:fill="auto"/>
          </w:tcPr>
          <w:p w14:paraId="3AC2549D" w14:textId="77777777" w:rsidR="009021F1" w:rsidRPr="00000E66" w:rsidRDefault="009021F1" w:rsidP="00E637E3">
            <w:pPr>
              <w:pStyle w:val="TableParagraph"/>
              <w:spacing w:line="216" w:lineRule="exact"/>
              <w:rPr>
                <w:sz w:val="20"/>
                <w:szCs w:val="20"/>
                <w:lang w:val="fr-FR"/>
              </w:rPr>
            </w:pPr>
            <w:r w:rsidRPr="00000E66">
              <w:rPr>
                <w:sz w:val="20"/>
                <w:szCs w:val="20"/>
                <w:lang w:val="fr-FR"/>
              </w:rPr>
              <w:t>Qualité de l’air</w:t>
            </w:r>
          </w:p>
        </w:tc>
        <w:tc>
          <w:tcPr>
            <w:tcW w:w="3512" w:type="dxa"/>
            <w:shd w:val="clear" w:color="auto" w:fill="auto"/>
          </w:tcPr>
          <w:p w14:paraId="4C34D5E3" w14:textId="77777777" w:rsidR="009021F1" w:rsidRPr="00000E66" w:rsidRDefault="009021F1" w:rsidP="00E637E3">
            <w:pPr>
              <w:pStyle w:val="TableParagraph"/>
              <w:spacing w:line="232" w:lineRule="auto"/>
              <w:ind w:left="108"/>
              <w:rPr>
                <w:sz w:val="20"/>
                <w:szCs w:val="20"/>
                <w:lang w:val="fr-FR"/>
              </w:rPr>
            </w:pPr>
            <w:r w:rsidRPr="00000E66">
              <w:rPr>
                <w:sz w:val="20"/>
                <w:szCs w:val="20"/>
                <w:lang w:val="fr-FR"/>
              </w:rPr>
              <w:t>Minimiser</w:t>
            </w:r>
            <w:r w:rsidRPr="00000E66">
              <w:rPr>
                <w:spacing w:val="-33"/>
                <w:sz w:val="20"/>
                <w:szCs w:val="20"/>
                <w:lang w:val="fr-FR"/>
              </w:rPr>
              <w:t xml:space="preserve"> </w:t>
            </w:r>
            <w:r w:rsidRPr="00000E66">
              <w:rPr>
                <w:sz w:val="20"/>
                <w:szCs w:val="20"/>
                <w:lang w:val="fr-FR"/>
              </w:rPr>
              <w:t>les</w:t>
            </w:r>
            <w:r w:rsidRPr="00000E66">
              <w:rPr>
                <w:spacing w:val="-32"/>
                <w:sz w:val="20"/>
                <w:szCs w:val="20"/>
                <w:lang w:val="fr-FR"/>
              </w:rPr>
              <w:t xml:space="preserve"> </w:t>
            </w:r>
            <w:r w:rsidRPr="00000E66">
              <w:rPr>
                <w:sz w:val="20"/>
                <w:szCs w:val="20"/>
                <w:lang w:val="fr-FR"/>
              </w:rPr>
              <w:t>sources</w:t>
            </w:r>
            <w:r w:rsidRPr="00000E66">
              <w:rPr>
                <w:spacing w:val="-33"/>
                <w:sz w:val="20"/>
                <w:szCs w:val="20"/>
                <w:lang w:val="fr-FR"/>
              </w:rPr>
              <w:t xml:space="preserve"> </w:t>
            </w:r>
            <w:r w:rsidRPr="00000E66">
              <w:rPr>
                <w:sz w:val="20"/>
                <w:szCs w:val="20"/>
                <w:lang w:val="fr-FR"/>
              </w:rPr>
              <w:t>de</w:t>
            </w:r>
            <w:r w:rsidRPr="00000E66">
              <w:rPr>
                <w:spacing w:val="-32"/>
                <w:sz w:val="20"/>
                <w:szCs w:val="20"/>
                <w:lang w:val="fr-FR"/>
              </w:rPr>
              <w:t xml:space="preserve"> </w:t>
            </w:r>
            <w:r w:rsidRPr="00000E66">
              <w:rPr>
                <w:sz w:val="20"/>
                <w:szCs w:val="20"/>
                <w:lang w:val="fr-FR"/>
              </w:rPr>
              <w:t>détérioration de la qualité de</w:t>
            </w:r>
            <w:r w:rsidRPr="00000E66">
              <w:rPr>
                <w:spacing w:val="-13"/>
                <w:sz w:val="20"/>
                <w:szCs w:val="20"/>
                <w:lang w:val="fr-FR"/>
              </w:rPr>
              <w:t xml:space="preserve"> </w:t>
            </w:r>
            <w:r w:rsidRPr="00000E66">
              <w:rPr>
                <w:sz w:val="20"/>
                <w:szCs w:val="20"/>
                <w:lang w:val="fr-FR"/>
              </w:rPr>
              <w:t>l’air.</w:t>
            </w:r>
          </w:p>
        </w:tc>
        <w:tc>
          <w:tcPr>
            <w:tcW w:w="3469" w:type="dxa"/>
            <w:shd w:val="clear" w:color="auto" w:fill="auto"/>
          </w:tcPr>
          <w:p w14:paraId="21FE50EA" w14:textId="77777777" w:rsidR="009021F1" w:rsidRPr="00000E66" w:rsidRDefault="009021F1" w:rsidP="00E637E3">
            <w:pPr>
              <w:pStyle w:val="TableParagraph"/>
              <w:numPr>
                <w:ilvl w:val="0"/>
                <w:numId w:val="93"/>
              </w:numPr>
              <w:tabs>
                <w:tab w:val="left" w:pos="668"/>
              </w:tabs>
              <w:autoSpaceDE w:val="0"/>
              <w:autoSpaceDN w:val="0"/>
              <w:spacing w:line="232" w:lineRule="auto"/>
              <w:ind w:left="243" w:right="34"/>
              <w:rPr>
                <w:sz w:val="20"/>
                <w:szCs w:val="20"/>
                <w:lang w:val="fr-FR"/>
              </w:rPr>
            </w:pPr>
            <w:r w:rsidRPr="00000E66">
              <w:rPr>
                <w:sz w:val="20"/>
                <w:szCs w:val="20"/>
                <w:lang w:val="fr-FR"/>
              </w:rPr>
              <w:t>Les sources de pollution sont munies de dispositifs anti-pollution ;</w:t>
            </w:r>
          </w:p>
          <w:p w14:paraId="3472E69E" w14:textId="77777777" w:rsidR="009021F1" w:rsidRPr="00000E66" w:rsidRDefault="009021F1" w:rsidP="00E637E3">
            <w:pPr>
              <w:pStyle w:val="TableParagraph"/>
              <w:numPr>
                <w:ilvl w:val="0"/>
                <w:numId w:val="93"/>
              </w:numPr>
              <w:tabs>
                <w:tab w:val="left" w:pos="668"/>
              </w:tabs>
              <w:autoSpaceDE w:val="0"/>
              <w:autoSpaceDN w:val="0"/>
              <w:spacing w:line="232" w:lineRule="auto"/>
              <w:ind w:left="243" w:right="34"/>
              <w:rPr>
                <w:sz w:val="20"/>
                <w:szCs w:val="20"/>
                <w:lang w:val="fr-FR"/>
              </w:rPr>
            </w:pPr>
            <w:r w:rsidRPr="00000E66">
              <w:rPr>
                <w:sz w:val="20"/>
                <w:szCs w:val="20"/>
                <w:lang w:val="fr-FR"/>
              </w:rPr>
              <w:t>Le brûlage des produits de débroussaillage est soumis à autorisation du maître d’œuvre du chantier.</w:t>
            </w:r>
          </w:p>
        </w:tc>
      </w:tr>
      <w:tr w:rsidR="009021F1" w:rsidRPr="00BE2822" w14:paraId="02450185" w14:textId="77777777" w:rsidTr="00E637E3">
        <w:tc>
          <w:tcPr>
            <w:tcW w:w="2795" w:type="dxa"/>
            <w:vMerge w:val="restart"/>
            <w:shd w:val="clear" w:color="auto" w:fill="auto"/>
          </w:tcPr>
          <w:p w14:paraId="7DF107C5" w14:textId="77777777" w:rsidR="009021F1" w:rsidRPr="00000E66" w:rsidRDefault="009021F1" w:rsidP="00E637E3">
            <w:pPr>
              <w:pStyle w:val="TableParagraph"/>
              <w:spacing w:line="216" w:lineRule="exact"/>
              <w:rPr>
                <w:sz w:val="20"/>
                <w:szCs w:val="20"/>
              </w:rPr>
            </w:pPr>
            <w:r w:rsidRPr="00000E66">
              <w:rPr>
                <w:sz w:val="20"/>
                <w:szCs w:val="20"/>
              </w:rPr>
              <w:t>Qualité de l’eau</w:t>
            </w:r>
          </w:p>
        </w:tc>
        <w:tc>
          <w:tcPr>
            <w:tcW w:w="3512" w:type="dxa"/>
            <w:shd w:val="clear" w:color="auto" w:fill="auto"/>
          </w:tcPr>
          <w:p w14:paraId="22C41318" w14:textId="77777777" w:rsidR="009021F1" w:rsidRPr="00000E66" w:rsidRDefault="009021F1" w:rsidP="00E637E3">
            <w:pPr>
              <w:pStyle w:val="TableParagraph"/>
              <w:spacing w:before="32" w:line="232" w:lineRule="auto"/>
              <w:ind w:left="108"/>
              <w:rPr>
                <w:sz w:val="20"/>
                <w:szCs w:val="20"/>
                <w:lang w:val="fr-FR"/>
              </w:rPr>
            </w:pPr>
            <w:r w:rsidRPr="00000E66">
              <w:rPr>
                <w:sz w:val="20"/>
                <w:szCs w:val="20"/>
                <w:lang w:val="fr-FR"/>
              </w:rPr>
              <w:t>Minimiser les risques d’augmenter la turbidité des eaux.</w:t>
            </w:r>
          </w:p>
        </w:tc>
        <w:tc>
          <w:tcPr>
            <w:tcW w:w="3469" w:type="dxa"/>
            <w:shd w:val="clear" w:color="auto" w:fill="auto"/>
          </w:tcPr>
          <w:p w14:paraId="571D4361" w14:textId="77777777" w:rsidR="009021F1" w:rsidRPr="00000E66" w:rsidRDefault="009021F1" w:rsidP="00E637E3">
            <w:pPr>
              <w:pStyle w:val="TableParagraph"/>
              <w:numPr>
                <w:ilvl w:val="0"/>
                <w:numId w:val="93"/>
              </w:numPr>
              <w:tabs>
                <w:tab w:val="left" w:pos="668"/>
              </w:tabs>
              <w:autoSpaceDE w:val="0"/>
              <w:autoSpaceDN w:val="0"/>
              <w:spacing w:before="32" w:line="232" w:lineRule="auto"/>
              <w:ind w:left="243" w:right="34"/>
              <w:rPr>
                <w:sz w:val="20"/>
                <w:szCs w:val="20"/>
                <w:lang w:val="fr-FR"/>
              </w:rPr>
            </w:pPr>
            <w:r w:rsidRPr="00000E66">
              <w:rPr>
                <w:sz w:val="20"/>
                <w:szCs w:val="20"/>
                <w:lang w:val="fr-FR"/>
              </w:rPr>
              <w:t>Les mesures de contrôle de l’érosion sont appliquées ;</w:t>
            </w:r>
          </w:p>
          <w:p w14:paraId="18AEBAE7" w14:textId="77777777" w:rsidR="009021F1" w:rsidRPr="00000E66" w:rsidRDefault="009021F1" w:rsidP="00E637E3">
            <w:pPr>
              <w:pStyle w:val="TableParagraph"/>
              <w:numPr>
                <w:ilvl w:val="0"/>
                <w:numId w:val="93"/>
              </w:numPr>
              <w:tabs>
                <w:tab w:val="left" w:pos="668"/>
              </w:tabs>
              <w:autoSpaceDE w:val="0"/>
              <w:autoSpaceDN w:val="0"/>
              <w:spacing w:before="39" w:line="235" w:lineRule="auto"/>
              <w:ind w:left="243" w:right="34"/>
              <w:rPr>
                <w:sz w:val="20"/>
                <w:szCs w:val="20"/>
                <w:lang w:val="fr-FR"/>
              </w:rPr>
            </w:pPr>
            <w:r w:rsidRPr="00000E66">
              <w:rPr>
                <w:sz w:val="20"/>
                <w:szCs w:val="20"/>
                <w:lang w:val="fr-FR"/>
              </w:rPr>
              <w:t>Les limites de sécurité pour la protection des plans d’eau sont respectées.</w:t>
            </w:r>
          </w:p>
        </w:tc>
      </w:tr>
      <w:tr w:rsidR="009021F1" w:rsidRPr="00BE2822" w14:paraId="67E5DB86" w14:textId="77777777" w:rsidTr="00E637E3">
        <w:tc>
          <w:tcPr>
            <w:tcW w:w="2795" w:type="dxa"/>
            <w:vMerge/>
            <w:shd w:val="clear" w:color="auto" w:fill="auto"/>
          </w:tcPr>
          <w:p w14:paraId="2C57F760" w14:textId="77777777" w:rsidR="009021F1" w:rsidRPr="00000E66" w:rsidRDefault="009021F1" w:rsidP="00E637E3">
            <w:pPr>
              <w:rPr>
                <w:sz w:val="20"/>
                <w:szCs w:val="20"/>
              </w:rPr>
            </w:pPr>
          </w:p>
        </w:tc>
        <w:tc>
          <w:tcPr>
            <w:tcW w:w="3512" w:type="dxa"/>
            <w:shd w:val="clear" w:color="auto" w:fill="auto"/>
          </w:tcPr>
          <w:p w14:paraId="45B9F039" w14:textId="77777777" w:rsidR="009021F1" w:rsidRPr="00000E66" w:rsidRDefault="009021F1" w:rsidP="00E637E3">
            <w:pPr>
              <w:pStyle w:val="TableParagraph"/>
              <w:spacing w:line="232" w:lineRule="auto"/>
              <w:ind w:left="108"/>
              <w:rPr>
                <w:sz w:val="20"/>
                <w:szCs w:val="20"/>
                <w:lang w:val="fr-FR"/>
              </w:rPr>
            </w:pPr>
            <w:r w:rsidRPr="00000E66">
              <w:rPr>
                <w:sz w:val="20"/>
                <w:szCs w:val="20"/>
                <w:lang w:val="fr-FR"/>
              </w:rPr>
              <w:t>Réduire</w:t>
            </w:r>
            <w:r w:rsidRPr="00000E66">
              <w:rPr>
                <w:spacing w:val="-29"/>
                <w:sz w:val="20"/>
                <w:szCs w:val="20"/>
                <w:lang w:val="fr-FR"/>
              </w:rPr>
              <w:t xml:space="preserve"> </w:t>
            </w:r>
            <w:r w:rsidRPr="00000E66">
              <w:rPr>
                <w:sz w:val="20"/>
                <w:szCs w:val="20"/>
                <w:lang w:val="fr-FR"/>
              </w:rPr>
              <w:t>les</w:t>
            </w:r>
            <w:r w:rsidRPr="00000E66">
              <w:rPr>
                <w:spacing w:val="-30"/>
                <w:sz w:val="20"/>
                <w:szCs w:val="20"/>
                <w:lang w:val="fr-FR"/>
              </w:rPr>
              <w:t xml:space="preserve"> </w:t>
            </w:r>
            <w:r w:rsidRPr="00000E66">
              <w:rPr>
                <w:sz w:val="20"/>
                <w:szCs w:val="20"/>
                <w:lang w:val="fr-FR"/>
              </w:rPr>
              <w:t>risques</w:t>
            </w:r>
            <w:r w:rsidRPr="00000E66">
              <w:rPr>
                <w:spacing w:val="-30"/>
                <w:sz w:val="20"/>
                <w:szCs w:val="20"/>
                <w:lang w:val="fr-FR"/>
              </w:rPr>
              <w:t xml:space="preserve"> </w:t>
            </w:r>
            <w:r w:rsidRPr="00000E66">
              <w:rPr>
                <w:sz w:val="20"/>
                <w:szCs w:val="20"/>
                <w:lang w:val="fr-FR"/>
              </w:rPr>
              <w:t>de</w:t>
            </w:r>
            <w:r w:rsidRPr="00000E66">
              <w:rPr>
                <w:spacing w:val="-30"/>
                <w:sz w:val="20"/>
                <w:szCs w:val="20"/>
                <w:lang w:val="fr-FR"/>
              </w:rPr>
              <w:t xml:space="preserve"> </w:t>
            </w:r>
            <w:r w:rsidRPr="00000E66">
              <w:rPr>
                <w:sz w:val="20"/>
                <w:szCs w:val="20"/>
                <w:lang w:val="fr-FR"/>
              </w:rPr>
              <w:t>déversements accidentels</w:t>
            </w:r>
            <w:r w:rsidRPr="00000E66">
              <w:rPr>
                <w:spacing w:val="-26"/>
                <w:sz w:val="20"/>
                <w:szCs w:val="20"/>
                <w:lang w:val="fr-FR"/>
              </w:rPr>
              <w:t xml:space="preserve"> </w:t>
            </w:r>
            <w:r w:rsidRPr="00000E66">
              <w:rPr>
                <w:sz w:val="20"/>
                <w:szCs w:val="20"/>
                <w:lang w:val="fr-FR"/>
              </w:rPr>
              <w:t>des</w:t>
            </w:r>
            <w:r w:rsidRPr="00000E66">
              <w:rPr>
                <w:spacing w:val="-26"/>
                <w:sz w:val="20"/>
                <w:szCs w:val="20"/>
                <w:lang w:val="fr-FR"/>
              </w:rPr>
              <w:t xml:space="preserve"> </w:t>
            </w:r>
            <w:r w:rsidRPr="00000E66">
              <w:rPr>
                <w:sz w:val="20"/>
                <w:szCs w:val="20"/>
                <w:lang w:val="fr-FR"/>
              </w:rPr>
              <w:t>produits</w:t>
            </w:r>
            <w:r w:rsidRPr="00000E66">
              <w:rPr>
                <w:spacing w:val="-26"/>
                <w:sz w:val="20"/>
                <w:szCs w:val="20"/>
                <w:lang w:val="fr-FR"/>
              </w:rPr>
              <w:t xml:space="preserve"> </w:t>
            </w:r>
            <w:r w:rsidRPr="00000E66">
              <w:rPr>
                <w:sz w:val="20"/>
                <w:szCs w:val="20"/>
                <w:lang w:val="fr-FR"/>
              </w:rPr>
              <w:t>polluants</w:t>
            </w:r>
            <w:r w:rsidRPr="00000E66">
              <w:rPr>
                <w:spacing w:val="-25"/>
                <w:sz w:val="20"/>
                <w:szCs w:val="20"/>
                <w:lang w:val="fr-FR"/>
              </w:rPr>
              <w:t xml:space="preserve"> </w:t>
            </w:r>
            <w:r w:rsidRPr="00000E66">
              <w:rPr>
                <w:sz w:val="20"/>
                <w:szCs w:val="20"/>
                <w:lang w:val="fr-FR"/>
              </w:rPr>
              <w:t>et</w:t>
            </w:r>
          </w:p>
          <w:p w14:paraId="09419D17" w14:textId="77777777" w:rsidR="009021F1" w:rsidRPr="00000E66" w:rsidRDefault="009021F1" w:rsidP="00E637E3">
            <w:pPr>
              <w:pStyle w:val="TableParagraph"/>
              <w:spacing w:line="227" w:lineRule="exact"/>
              <w:ind w:left="108"/>
              <w:rPr>
                <w:sz w:val="20"/>
                <w:szCs w:val="20"/>
                <w:lang w:val="fr-FR"/>
              </w:rPr>
            </w:pPr>
            <w:r w:rsidRPr="00000E66">
              <w:rPr>
                <w:sz w:val="20"/>
                <w:szCs w:val="20"/>
                <w:lang w:val="fr-FR"/>
              </w:rPr>
              <w:t>réagir efficacement le cas échéant.</w:t>
            </w:r>
          </w:p>
        </w:tc>
        <w:tc>
          <w:tcPr>
            <w:tcW w:w="3469" w:type="dxa"/>
            <w:shd w:val="clear" w:color="auto" w:fill="auto"/>
          </w:tcPr>
          <w:p w14:paraId="353441CA" w14:textId="77777777" w:rsidR="009021F1" w:rsidRPr="00000E66" w:rsidRDefault="009021F1" w:rsidP="00E637E3">
            <w:pPr>
              <w:pStyle w:val="TableParagraph"/>
              <w:numPr>
                <w:ilvl w:val="0"/>
                <w:numId w:val="93"/>
              </w:numPr>
              <w:tabs>
                <w:tab w:val="left" w:pos="668"/>
              </w:tabs>
              <w:autoSpaceDE w:val="0"/>
              <w:autoSpaceDN w:val="0"/>
              <w:spacing w:before="32" w:line="232" w:lineRule="auto"/>
              <w:ind w:left="243" w:right="34"/>
              <w:rPr>
                <w:sz w:val="20"/>
                <w:szCs w:val="20"/>
                <w:lang w:val="fr-FR"/>
              </w:rPr>
            </w:pPr>
            <w:r w:rsidRPr="00000E66">
              <w:rPr>
                <w:sz w:val="20"/>
                <w:szCs w:val="20"/>
                <w:lang w:val="fr-FR"/>
              </w:rPr>
              <w:t>Les substances polluantes sont entreposées et utilisées dans les aires prévues à cet effet ;</w:t>
            </w:r>
          </w:p>
          <w:p w14:paraId="30CCB255" w14:textId="77777777" w:rsidR="009021F1" w:rsidRPr="00000E66" w:rsidRDefault="009021F1" w:rsidP="00E637E3">
            <w:pPr>
              <w:pStyle w:val="TableParagraph"/>
              <w:numPr>
                <w:ilvl w:val="0"/>
                <w:numId w:val="93"/>
              </w:numPr>
              <w:tabs>
                <w:tab w:val="left" w:pos="668"/>
              </w:tabs>
              <w:autoSpaceDE w:val="0"/>
              <w:autoSpaceDN w:val="0"/>
              <w:spacing w:before="32" w:line="232" w:lineRule="auto"/>
              <w:ind w:left="243" w:right="34"/>
              <w:rPr>
                <w:sz w:val="20"/>
                <w:szCs w:val="20"/>
                <w:lang w:val="fr-FR"/>
              </w:rPr>
            </w:pPr>
            <w:r w:rsidRPr="00000E66">
              <w:rPr>
                <w:sz w:val="20"/>
                <w:szCs w:val="20"/>
                <w:lang w:val="fr-FR"/>
              </w:rPr>
              <w:t>Le plan de mise en œuvre du plan d’urgence a été élaboré ;</w:t>
            </w:r>
          </w:p>
          <w:p w14:paraId="37E23973" w14:textId="77777777" w:rsidR="009021F1" w:rsidRPr="00000E66" w:rsidRDefault="009021F1" w:rsidP="00E637E3">
            <w:pPr>
              <w:pStyle w:val="TableParagraph"/>
              <w:numPr>
                <w:ilvl w:val="0"/>
                <w:numId w:val="93"/>
              </w:numPr>
              <w:tabs>
                <w:tab w:val="left" w:pos="668"/>
              </w:tabs>
              <w:autoSpaceDE w:val="0"/>
              <w:autoSpaceDN w:val="0"/>
              <w:spacing w:before="32" w:line="232" w:lineRule="auto"/>
              <w:ind w:left="243" w:right="34"/>
              <w:rPr>
                <w:sz w:val="20"/>
                <w:szCs w:val="20"/>
                <w:lang w:val="fr-FR"/>
              </w:rPr>
            </w:pPr>
            <w:r w:rsidRPr="00000E66">
              <w:rPr>
                <w:sz w:val="20"/>
                <w:szCs w:val="20"/>
                <w:lang w:val="fr-FR"/>
              </w:rPr>
              <w:t>Les véhicules, les emballages des produits polluants sont exempts de fuites ;</w:t>
            </w:r>
          </w:p>
          <w:p w14:paraId="7CC2D10F" w14:textId="77777777" w:rsidR="009021F1" w:rsidRPr="00000E66" w:rsidRDefault="009021F1" w:rsidP="00E637E3">
            <w:pPr>
              <w:pStyle w:val="TableParagraph"/>
              <w:numPr>
                <w:ilvl w:val="0"/>
                <w:numId w:val="93"/>
              </w:numPr>
              <w:tabs>
                <w:tab w:val="left" w:pos="668"/>
              </w:tabs>
              <w:autoSpaceDE w:val="0"/>
              <w:autoSpaceDN w:val="0"/>
              <w:spacing w:before="32" w:line="232" w:lineRule="auto"/>
              <w:ind w:left="243" w:right="34"/>
              <w:rPr>
                <w:sz w:val="20"/>
                <w:szCs w:val="20"/>
                <w:lang w:val="fr-FR"/>
              </w:rPr>
            </w:pPr>
            <w:r w:rsidRPr="00000E66">
              <w:rPr>
                <w:sz w:val="20"/>
                <w:szCs w:val="20"/>
                <w:lang w:val="fr-FR"/>
              </w:rPr>
              <w:t>Les employés ont reçu une formation efficace sur la récupération des contaminants ;</w:t>
            </w:r>
          </w:p>
          <w:p w14:paraId="58DB15F2" w14:textId="77777777" w:rsidR="009021F1" w:rsidRPr="00000E66" w:rsidRDefault="009021F1" w:rsidP="00E637E3">
            <w:pPr>
              <w:pStyle w:val="TableParagraph"/>
              <w:numPr>
                <w:ilvl w:val="0"/>
                <w:numId w:val="93"/>
              </w:numPr>
              <w:tabs>
                <w:tab w:val="left" w:pos="668"/>
              </w:tabs>
              <w:autoSpaceDE w:val="0"/>
              <w:autoSpaceDN w:val="0"/>
              <w:spacing w:before="32" w:line="232" w:lineRule="auto"/>
              <w:ind w:left="243" w:right="34"/>
              <w:rPr>
                <w:sz w:val="20"/>
                <w:szCs w:val="20"/>
                <w:lang w:val="fr-FR"/>
              </w:rPr>
            </w:pPr>
            <w:r w:rsidRPr="00000E66">
              <w:rPr>
                <w:sz w:val="20"/>
                <w:szCs w:val="20"/>
                <w:lang w:val="fr-FR"/>
              </w:rPr>
              <w:t>Les employés ont réagi avec efficacité lors de la simulation du plan d’urgence.</w:t>
            </w:r>
          </w:p>
        </w:tc>
      </w:tr>
      <w:tr w:rsidR="009021F1" w:rsidRPr="00BE2822" w14:paraId="2D4A9C3B" w14:textId="77777777" w:rsidTr="00E637E3">
        <w:tc>
          <w:tcPr>
            <w:tcW w:w="2795" w:type="dxa"/>
            <w:shd w:val="clear" w:color="auto" w:fill="auto"/>
          </w:tcPr>
          <w:p w14:paraId="7823921F" w14:textId="77777777" w:rsidR="009021F1" w:rsidRPr="00000E66" w:rsidRDefault="009021F1" w:rsidP="00E637E3">
            <w:pPr>
              <w:pStyle w:val="TableParagraph"/>
              <w:spacing w:line="213" w:lineRule="exact"/>
              <w:rPr>
                <w:sz w:val="20"/>
                <w:szCs w:val="20"/>
              </w:rPr>
            </w:pPr>
            <w:r w:rsidRPr="00000E66">
              <w:rPr>
                <w:sz w:val="20"/>
                <w:szCs w:val="20"/>
              </w:rPr>
              <w:t>Régime hydrologique</w:t>
            </w:r>
          </w:p>
        </w:tc>
        <w:tc>
          <w:tcPr>
            <w:tcW w:w="3512" w:type="dxa"/>
            <w:shd w:val="clear" w:color="auto" w:fill="auto"/>
          </w:tcPr>
          <w:p w14:paraId="07A9A56D" w14:textId="77777777" w:rsidR="009021F1" w:rsidRPr="00000E66" w:rsidRDefault="009021F1" w:rsidP="00E637E3">
            <w:pPr>
              <w:pStyle w:val="TableParagraph"/>
              <w:spacing w:before="28" w:line="235" w:lineRule="auto"/>
              <w:ind w:left="108"/>
              <w:jc w:val="both"/>
              <w:rPr>
                <w:sz w:val="20"/>
                <w:szCs w:val="20"/>
                <w:lang w:val="fr-FR"/>
              </w:rPr>
            </w:pPr>
            <w:r w:rsidRPr="00000E66">
              <w:rPr>
                <w:sz w:val="20"/>
                <w:szCs w:val="20"/>
                <w:lang w:val="fr-FR"/>
              </w:rPr>
              <w:t>Éviter</w:t>
            </w:r>
            <w:r w:rsidRPr="00000E66">
              <w:rPr>
                <w:spacing w:val="-18"/>
                <w:sz w:val="20"/>
                <w:szCs w:val="20"/>
                <w:lang w:val="fr-FR"/>
              </w:rPr>
              <w:t xml:space="preserve"> </w:t>
            </w:r>
            <w:r w:rsidRPr="00000E66">
              <w:rPr>
                <w:sz w:val="20"/>
                <w:szCs w:val="20"/>
                <w:lang w:val="fr-FR"/>
              </w:rPr>
              <w:t>de</w:t>
            </w:r>
            <w:r w:rsidRPr="00000E66">
              <w:rPr>
                <w:spacing w:val="-18"/>
                <w:sz w:val="20"/>
                <w:szCs w:val="20"/>
                <w:lang w:val="fr-FR"/>
              </w:rPr>
              <w:t xml:space="preserve"> </w:t>
            </w:r>
            <w:r w:rsidRPr="00000E66">
              <w:rPr>
                <w:sz w:val="20"/>
                <w:szCs w:val="20"/>
                <w:lang w:val="fr-FR"/>
              </w:rPr>
              <w:t>perturber</w:t>
            </w:r>
            <w:r w:rsidRPr="00000E66">
              <w:rPr>
                <w:spacing w:val="-18"/>
                <w:sz w:val="20"/>
                <w:szCs w:val="20"/>
                <w:lang w:val="fr-FR"/>
              </w:rPr>
              <w:t xml:space="preserve"> </w:t>
            </w:r>
            <w:r w:rsidRPr="00000E66">
              <w:rPr>
                <w:sz w:val="20"/>
                <w:szCs w:val="20"/>
                <w:lang w:val="fr-FR"/>
              </w:rPr>
              <w:t>le</w:t>
            </w:r>
            <w:r w:rsidRPr="00000E66">
              <w:rPr>
                <w:spacing w:val="-17"/>
                <w:sz w:val="20"/>
                <w:szCs w:val="20"/>
                <w:lang w:val="fr-FR"/>
              </w:rPr>
              <w:t xml:space="preserve"> </w:t>
            </w:r>
            <w:r w:rsidRPr="00000E66">
              <w:rPr>
                <w:sz w:val="20"/>
                <w:szCs w:val="20"/>
                <w:lang w:val="fr-FR"/>
              </w:rPr>
              <w:t>ruissellement</w:t>
            </w:r>
            <w:r w:rsidRPr="00000E66">
              <w:rPr>
                <w:spacing w:val="-19"/>
                <w:sz w:val="20"/>
                <w:szCs w:val="20"/>
                <w:lang w:val="fr-FR"/>
              </w:rPr>
              <w:t xml:space="preserve"> </w:t>
            </w:r>
            <w:r w:rsidRPr="00000E66">
              <w:rPr>
                <w:sz w:val="20"/>
                <w:szCs w:val="20"/>
                <w:lang w:val="fr-FR"/>
              </w:rPr>
              <w:t>et le</w:t>
            </w:r>
            <w:r w:rsidRPr="00000E66">
              <w:rPr>
                <w:spacing w:val="-24"/>
                <w:sz w:val="20"/>
                <w:szCs w:val="20"/>
                <w:lang w:val="fr-FR"/>
              </w:rPr>
              <w:t xml:space="preserve"> </w:t>
            </w:r>
            <w:r w:rsidRPr="00000E66">
              <w:rPr>
                <w:sz w:val="20"/>
                <w:szCs w:val="20"/>
                <w:lang w:val="fr-FR"/>
              </w:rPr>
              <w:t>drainage</w:t>
            </w:r>
            <w:r w:rsidRPr="00000E66">
              <w:rPr>
                <w:spacing w:val="-23"/>
                <w:sz w:val="20"/>
                <w:szCs w:val="20"/>
                <w:lang w:val="fr-FR"/>
              </w:rPr>
              <w:t xml:space="preserve"> </w:t>
            </w:r>
            <w:r w:rsidRPr="00000E66">
              <w:rPr>
                <w:sz w:val="20"/>
                <w:szCs w:val="20"/>
                <w:lang w:val="fr-FR"/>
              </w:rPr>
              <w:t>naturel</w:t>
            </w:r>
            <w:r w:rsidRPr="00000E66">
              <w:rPr>
                <w:spacing w:val="-25"/>
                <w:sz w:val="20"/>
                <w:szCs w:val="20"/>
                <w:lang w:val="fr-FR"/>
              </w:rPr>
              <w:t xml:space="preserve"> </w:t>
            </w:r>
            <w:r w:rsidRPr="00000E66">
              <w:rPr>
                <w:sz w:val="20"/>
                <w:szCs w:val="20"/>
                <w:lang w:val="fr-FR"/>
              </w:rPr>
              <w:t>des</w:t>
            </w:r>
            <w:r w:rsidRPr="00000E66">
              <w:rPr>
                <w:spacing w:val="-24"/>
                <w:sz w:val="20"/>
                <w:szCs w:val="20"/>
                <w:lang w:val="fr-FR"/>
              </w:rPr>
              <w:t xml:space="preserve"> </w:t>
            </w:r>
            <w:r w:rsidRPr="00000E66">
              <w:rPr>
                <w:sz w:val="20"/>
                <w:szCs w:val="20"/>
                <w:lang w:val="fr-FR"/>
              </w:rPr>
              <w:t>eaux</w:t>
            </w:r>
            <w:r w:rsidRPr="00000E66">
              <w:rPr>
                <w:spacing w:val="-25"/>
                <w:sz w:val="20"/>
                <w:szCs w:val="20"/>
                <w:lang w:val="fr-FR"/>
              </w:rPr>
              <w:t xml:space="preserve"> </w:t>
            </w:r>
            <w:r w:rsidRPr="00000E66">
              <w:rPr>
                <w:sz w:val="20"/>
                <w:szCs w:val="20"/>
                <w:lang w:val="fr-FR"/>
              </w:rPr>
              <w:t>de</w:t>
            </w:r>
            <w:r w:rsidRPr="00000E66">
              <w:rPr>
                <w:spacing w:val="-26"/>
                <w:sz w:val="20"/>
                <w:szCs w:val="20"/>
                <w:lang w:val="fr-FR"/>
              </w:rPr>
              <w:t xml:space="preserve"> </w:t>
            </w:r>
            <w:r w:rsidRPr="00000E66">
              <w:rPr>
                <w:sz w:val="20"/>
                <w:szCs w:val="20"/>
                <w:lang w:val="fr-FR"/>
              </w:rPr>
              <w:t>surface sur les sites des</w:t>
            </w:r>
            <w:r w:rsidRPr="00000E66">
              <w:rPr>
                <w:spacing w:val="-16"/>
                <w:sz w:val="20"/>
                <w:szCs w:val="20"/>
                <w:lang w:val="fr-FR"/>
              </w:rPr>
              <w:t xml:space="preserve"> </w:t>
            </w:r>
            <w:r w:rsidRPr="00000E66">
              <w:rPr>
                <w:sz w:val="20"/>
                <w:szCs w:val="20"/>
                <w:lang w:val="fr-FR"/>
              </w:rPr>
              <w:t>travaux.</w:t>
            </w:r>
          </w:p>
        </w:tc>
        <w:tc>
          <w:tcPr>
            <w:tcW w:w="3469" w:type="dxa"/>
            <w:shd w:val="clear" w:color="auto" w:fill="auto"/>
          </w:tcPr>
          <w:p w14:paraId="123C0B4F" w14:textId="77777777" w:rsidR="009021F1" w:rsidRPr="00000E66" w:rsidRDefault="009021F1" w:rsidP="00E637E3">
            <w:pPr>
              <w:pStyle w:val="TableParagraph"/>
              <w:numPr>
                <w:ilvl w:val="0"/>
                <w:numId w:val="93"/>
              </w:numPr>
              <w:tabs>
                <w:tab w:val="left" w:pos="668"/>
              </w:tabs>
              <w:autoSpaceDE w:val="0"/>
              <w:autoSpaceDN w:val="0"/>
              <w:spacing w:before="32" w:line="232" w:lineRule="auto"/>
              <w:ind w:left="243" w:right="34"/>
              <w:rPr>
                <w:sz w:val="20"/>
                <w:szCs w:val="20"/>
                <w:lang w:val="fr-FR"/>
              </w:rPr>
            </w:pPr>
            <w:r w:rsidRPr="00000E66">
              <w:rPr>
                <w:sz w:val="20"/>
                <w:szCs w:val="20"/>
                <w:lang w:val="fr-FR"/>
              </w:rPr>
              <w:t>En période des pluies, les travaux effectués ne visent pas le remaniement des sols ;</w:t>
            </w:r>
          </w:p>
          <w:p w14:paraId="248A9ED5" w14:textId="77777777" w:rsidR="009021F1" w:rsidRPr="00000E66" w:rsidRDefault="009021F1" w:rsidP="00E637E3">
            <w:pPr>
              <w:pStyle w:val="TableParagraph"/>
              <w:numPr>
                <w:ilvl w:val="0"/>
                <w:numId w:val="93"/>
              </w:numPr>
              <w:tabs>
                <w:tab w:val="left" w:pos="668"/>
              </w:tabs>
              <w:autoSpaceDE w:val="0"/>
              <w:autoSpaceDN w:val="0"/>
              <w:spacing w:before="32" w:line="232" w:lineRule="auto"/>
              <w:ind w:left="243" w:right="34"/>
              <w:rPr>
                <w:sz w:val="20"/>
                <w:szCs w:val="20"/>
                <w:lang w:val="fr-FR"/>
              </w:rPr>
            </w:pPr>
            <w:r w:rsidRPr="00000E66">
              <w:rPr>
                <w:sz w:val="20"/>
                <w:szCs w:val="20"/>
                <w:lang w:val="fr-FR"/>
              </w:rPr>
              <w:t>Les mesures de protection du drainage naturel et de captage des eaux de ruissellement appliquées sont efficaces ;</w:t>
            </w:r>
          </w:p>
          <w:p w14:paraId="74FC0FA4" w14:textId="77777777" w:rsidR="009021F1" w:rsidRPr="00000E66" w:rsidRDefault="009021F1" w:rsidP="00E637E3">
            <w:pPr>
              <w:pStyle w:val="TableParagraph"/>
              <w:numPr>
                <w:ilvl w:val="0"/>
                <w:numId w:val="93"/>
              </w:numPr>
              <w:tabs>
                <w:tab w:val="left" w:pos="668"/>
              </w:tabs>
              <w:autoSpaceDE w:val="0"/>
              <w:autoSpaceDN w:val="0"/>
              <w:spacing w:before="32" w:line="232" w:lineRule="auto"/>
              <w:ind w:left="243" w:right="34"/>
              <w:rPr>
                <w:sz w:val="20"/>
                <w:szCs w:val="20"/>
                <w:lang w:val="fr-FR"/>
              </w:rPr>
            </w:pPr>
            <w:r w:rsidRPr="00000E66">
              <w:rPr>
                <w:sz w:val="20"/>
                <w:szCs w:val="20"/>
                <w:lang w:val="fr-FR"/>
              </w:rPr>
              <w:t>Les cours d’eau sont exempts de débris et ne sont pas obstrués ;</w:t>
            </w:r>
          </w:p>
          <w:p w14:paraId="04F1049D" w14:textId="77777777" w:rsidR="009021F1" w:rsidRPr="00000E66" w:rsidRDefault="009021F1" w:rsidP="00E637E3">
            <w:pPr>
              <w:pStyle w:val="TableParagraph"/>
              <w:numPr>
                <w:ilvl w:val="0"/>
                <w:numId w:val="93"/>
              </w:numPr>
              <w:tabs>
                <w:tab w:val="left" w:pos="668"/>
              </w:tabs>
              <w:autoSpaceDE w:val="0"/>
              <w:autoSpaceDN w:val="0"/>
              <w:spacing w:before="32" w:line="232" w:lineRule="auto"/>
              <w:ind w:left="243" w:right="34"/>
              <w:rPr>
                <w:sz w:val="20"/>
                <w:szCs w:val="20"/>
                <w:lang w:val="fr-FR"/>
              </w:rPr>
            </w:pPr>
            <w:r w:rsidRPr="00000E66">
              <w:rPr>
                <w:sz w:val="20"/>
                <w:szCs w:val="20"/>
                <w:lang w:val="fr-FR"/>
              </w:rPr>
              <w:t>L’écoulement normal des cours d’eau a été rétabli à la fin des travaux.</w:t>
            </w:r>
          </w:p>
        </w:tc>
      </w:tr>
      <w:tr w:rsidR="009021F1" w:rsidRPr="00BE2822" w14:paraId="0239F31D" w14:textId="77777777" w:rsidTr="00E637E3">
        <w:tc>
          <w:tcPr>
            <w:tcW w:w="2795" w:type="dxa"/>
            <w:vMerge w:val="restart"/>
            <w:shd w:val="clear" w:color="auto" w:fill="auto"/>
          </w:tcPr>
          <w:p w14:paraId="225848D2" w14:textId="77777777" w:rsidR="009021F1" w:rsidRPr="00000E66" w:rsidRDefault="009021F1" w:rsidP="00E637E3">
            <w:pPr>
              <w:pStyle w:val="TableParagraph"/>
              <w:spacing w:line="213" w:lineRule="exact"/>
              <w:rPr>
                <w:sz w:val="20"/>
                <w:szCs w:val="20"/>
              </w:rPr>
            </w:pPr>
            <w:r w:rsidRPr="00000E66">
              <w:rPr>
                <w:sz w:val="20"/>
                <w:szCs w:val="20"/>
              </w:rPr>
              <w:t>Qualité des sols</w:t>
            </w:r>
          </w:p>
        </w:tc>
        <w:tc>
          <w:tcPr>
            <w:tcW w:w="3512" w:type="dxa"/>
            <w:shd w:val="clear" w:color="auto" w:fill="auto"/>
          </w:tcPr>
          <w:p w14:paraId="2FEE5B69" w14:textId="77777777" w:rsidR="009021F1" w:rsidRPr="00000E66" w:rsidRDefault="009021F1" w:rsidP="00E637E3">
            <w:pPr>
              <w:pStyle w:val="TableParagraph"/>
              <w:spacing w:before="30" w:line="232" w:lineRule="auto"/>
              <w:ind w:left="108"/>
              <w:rPr>
                <w:sz w:val="20"/>
                <w:szCs w:val="20"/>
                <w:lang w:val="fr-FR"/>
              </w:rPr>
            </w:pPr>
            <w:r w:rsidRPr="00000E66">
              <w:rPr>
                <w:sz w:val="20"/>
                <w:szCs w:val="20"/>
                <w:lang w:val="fr-FR"/>
              </w:rPr>
              <w:t>Minimiser</w:t>
            </w:r>
            <w:r w:rsidRPr="00000E66">
              <w:rPr>
                <w:spacing w:val="-32"/>
                <w:sz w:val="20"/>
                <w:szCs w:val="20"/>
                <w:lang w:val="fr-FR"/>
              </w:rPr>
              <w:t xml:space="preserve"> </w:t>
            </w:r>
            <w:r w:rsidRPr="00000E66">
              <w:rPr>
                <w:sz w:val="20"/>
                <w:szCs w:val="20"/>
                <w:lang w:val="fr-FR"/>
              </w:rPr>
              <w:t>l’impact</w:t>
            </w:r>
            <w:r w:rsidRPr="00000E66">
              <w:rPr>
                <w:spacing w:val="-32"/>
                <w:sz w:val="20"/>
                <w:szCs w:val="20"/>
                <w:lang w:val="fr-FR"/>
              </w:rPr>
              <w:t xml:space="preserve"> </w:t>
            </w:r>
            <w:r w:rsidRPr="00000E66">
              <w:rPr>
                <w:sz w:val="20"/>
                <w:szCs w:val="20"/>
                <w:lang w:val="fr-FR"/>
              </w:rPr>
              <w:t>du</w:t>
            </w:r>
            <w:r w:rsidRPr="00000E66">
              <w:rPr>
                <w:spacing w:val="-31"/>
                <w:sz w:val="20"/>
                <w:szCs w:val="20"/>
                <w:lang w:val="fr-FR"/>
              </w:rPr>
              <w:t xml:space="preserve"> </w:t>
            </w:r>
            <w:r w:rsidRPr="00000E66">
              <w:rPr>
                <w:sz w:val="20"/>
                <w:szCs w:val="20"/>
                <w:lang w:val="fr-FR"/>
              </w:rPr>
              <w:t>Projet</w:t>
            </w:r>
            <w:r w:rsidRPr="00000E66">
              <w:rPr>
                <w:spacing w:val="-31"/>
                <w:sz w:val="20"/>
                <w:szCs w:val="20"/>
                <w:lang w:val="fr-FR"/>
              </w:rPr>
              <w:t xml:space="preserve"> </w:t>
            </w:r>
            <w:r w:rsidRPr="00000E66">
              <w:rPr>
                <w:sz w:val="20"/>
                <w:szCs w:val="20"/>
                <w:lang w:val="fr-FR"/>
              </w:rPr>
              <w:t>sur l’érosion des</w:t>
            </w:r>
            <w:r w:rsidRPr="00000E66">
              <w:rPr>
                <w:spacing w:val="-9"/>
                <w:sz w:val="20"/>
                <w:szCs w:val="20"/>
                <w:lang w:val="fr-FR"/>
              </w:rPr>
              <w:t xml:space="preserve"> </w:t>
            </w:r>
            <w:r w:rsidRPr="00000E66">
              <w:rPr>
                <w:sz w:val="20"/>
                <w:szCs w:val="20"/>
                <w:lang w:val="fr-FR"/>
              </w:rPr>
              <w:t>sols.</w:t>
            </w:r>
          </w:p>
        </w:tc>
        <w:tc>
          <w:tcPr>
            <w:tcW w:w="3469" w:type="dxa"/>
            <w:shd w:val="clear" w:color="auto" w:fill="auto"/>
          </w:tcPr>
          <w:p w14:paraId="66358AAF" w14:textId="77777777" w:rsidR="009021F1" w:rsidRPr="00000E66" w:rsidRDefault="009021F1" w:rsidP="00E637E3">
            <w:pPr>
              <w:pStyle w:val="TableParagraph"/>
              <w:numPr>
                <w:ilvl w:val="0"/>
                <w:numId w:val="93"/>
              </w:numPr>
              <w:tabs>
                <w:tab w:val="left" w:pos="668"/>
              </w:tabs>
              <w:autoSpaceDE w:val="0"/>
              <w:autoSpaceDN w:val="0"/>
              <w:spacing w:before="32" w:line="232" w:lineRule="auto"/>
              <w:ind w:left="243" w:right="34"/>
              <w:rPr>
                <w:sz w:val="20"/>
                <w:szCs w:val="20"/>
                <w:lang w:val="fr-FR"/>
              </w:rPr>
            </w:pPr>
            <w:r w:rsidRPr="00000E66">
              <w:rPr>
                <w:sz w:val="20"/>
                <w:szCs w:val="20"/>
                <w:lang w:val="fr-FR"/>
              </w:rPr>
              <w:t>Le Projet encourage les initiatives locales de lutte anti-érosive ;</w:t>
            </w:r>
          </w:p>
          <w:p w14:paraId="2F16369D" w14:textId="77777777" w:rsidR="009021F1" w:rsidRPr="00000E66" w:rsidRDefault="009021F1" w:rsidP="00E637E3">
            <w:pPr>
              <w:pStyle w:val="TableParagraph"/>
              <w:numPr>
                <w:ilvl w:val="0"/>
                <w:numId w:val="93"/>
              </w:numPr>
              <w:tabs>
                <w:tab w:val="left" w:pos="668"/>
              </w:tabs>
              <w:autoSpaceDE w:val="0"/>
              <w:autoSpaceDN w:val="0"/>
              <w:spacing w:before="32" w:line="232" w:lineRule="auto"/>
              <w:ind w:left="243" w:right="34"/>
              <w:rPr>
                <w:sz w:val="20"/>
                <w:szCs w:val="20"/>
                <w:lang w:val="fr-FR"/>
              </w:rPr>
            </w:pPr>
            <w:r w:rsidRPr="00000E66">
              <w:rPr>
                <w:sz w:val="20"/>
                <w:szCs w:val="20"/>
                <w:lang w:val="fr-FR"/>
              </w:rPr>
              <w:t>À la fin des travaux, les sols remaniés ont été nivelés et des mesures de protection telles que l’implantation d’une strate herbacée ont été appliquées.</w:t>
            </w:r>
          </w:p>
        </w:tc>
      </w:tr>
      <w:tr w:rsidR="009021F1" w:rsidRPr="00BE2822" w14:paraId="15914458" w14:textId="77777777" w:rsidTr="00E637E3">
        <w:tc>
          <w:tcPr>
            <w:tcW w:w="2795" w:type="dxa"/>
            <w:vMerge/>
            <w:shd w:val="clear" w:color="auto" w:fill="auto"/>
          </w:tcPr>
          <w:p w14:paraId="04305D5B" w14:textId="77777777" w:rsidR="009021F1" w:rsidRPr="00000E66" w:rsidRDefault="009021F1" w:rsidP="00E637E3">
            <w:pPr>
              <w:rPr>
                <w:sz w:val="20"/>
                <w:szCs w:val="20"/>
              </w:rPr>
            </w:pPr>
          </w:p>
        </w:tc>
        <w:tc>
          <w:tcPr>
            <w:tcW w:w="3512" w:type="dxa"/>
            <w:shd w:val="clear" w:color="auto" w:fill="auto"/>
          </w:tcPr>
          <w:p w14:paraId="4E7A19EB" w14:textId="77777777" w:rsidR="009021F1" w:rsidRPr="00000E66" w:rsidRDefault="009021F1" w:rsidP="00E637E3">
            <w:pPr>
              <w:pStyle w:val="TableParagraph"/>
              <w:spacing w:before="28" w:line="235" w:lineRule="auto"/>
              <w:ind w:left="108"/>
              <w:rPr>
                <w:sz w:val="20"/>
                <w:szCs w:val="20"/>
                <w:lang w:val="fr-FR"/>
              </w:rPr>
            </w:pPr>
            <w:r w:rsidRPr="00000E66">
              <w:rPr>
                <w:sz w:val="20"/>
                <w:szCs w:val="20"/>
                <w:lang w:val="fr-FR"/>
              </w:rPr>
              <w:t>Minimiser</w:t>
            </w:r>
            <w:r w:rsidRPr="00000E66">
              <w:rPr>
                <w:spacing w:val="-29"/>
                <w:sz w:val="20"/>
                <w:szCs w:val="20"/>
                <w:lang w:val="fr-FR"/>
              </w:rPr>
              <w:t xml:space="preserve"> </w:t>
            </w:r>
            <w:r w:rsidRPr="00000E66">
              <w:rPr>
                <w:sz w:val="20"/>
                <w:szCs w:val="20"/>
                <w:lang w:val="fr-FR"/>
              </w:rPr>
              <w:t>l’impact</w:t>
            </w:r>
            <w:r w:rsidRPr="00000E66">
              <w:rPr>
                <w:spacing w:val="-29"/>
                <w:sz w:val="20"/>
                <w:szCs w:val="20"/>
                <w:lang w:val="fr-FR"/>
              </w:rPr>
              <w:t xml:space="preserve"> </w:t>
            </w:r>
            <w:r w:rsidRPr="00000E66">
              <w:rPr>
                <w:sz w:val="20"/>
                <w:szCs w:val="20"/>
                <w:lang w:val="fr-FR"/>
              </w:rPr>
              <w:t>du</w:t>
            </w:r>
            <w:r w:rsidRPr="00000E66">
              <w:rPr>
                <w:spacing w:val="-29"/>
                <w:sz w:val="20"/>
                <w:szCs w:val="20"/>
                <w:lang w:val="fr-FR"/>
              </w:rPr>
              <w:t xml:space="preserve"> </w:t>
            </w:r>
            <w:r w:rsidRPr="00000E66">
              <w:rPr>
                <w:sz w:val="20"/>
                <w:szCs w:val="20"/>
                <w:lang w:val="fr-FR"/>
              </w:rPr>
              <w:t>Projet</w:t>
            </w:r>
            <w:r w:rsidRPr="00000E66">
              <w:rPr>
                <w:spacing w:val="-28"/>
                <w:sz w:val="20"/>
                <w:szCs w:val="20"/>
                <w:lang w:val="fr-FR"/>
              </w:rPr>
              <w:t xml:space="preserve"> </w:t>
            </w:r>
            <w:r w:rsidRPr="00000E66">
              <w:rPr>
                <w:sz w:val="20"/>
                <w:szCs w:val="20"/>
                <w:lang w:val="fr-FR"/>
              </w:rPr>
              <w:t>sur</w:t>
            </w:r>
            <w:r w:rsidRPr="00000E66">
              <w:rPr>
                <w:spacing w:val="-28"/>
                <w:sz w:val="20"/>
                <w:szCs w:val="20"/>
                <w:lang w:val="fr-FR"/>
              </w:rPr>
              <w:t xml:space="preserve"> </w:t>
            </w:r>
            <w:r w:rsidRPr="00000E66">
              <w:rPr>
                <w:sz w:val="20"/>
                <w:szCs w:val="20"/>
                <w:lang w:val="fr-FR"/>
              </w:rPr>
              <w:t>la qualité des</w:t>
            </w:r>
            <w:r w:rsidRPr="00000E66">
              <w:rPr>
                <w:spacing w:val="-5"/>
                <w:sz w:val="20"/>
                <w:szCs w:val="20"/>
                <w:lang w:val="fr-FR"/>
              </w:rPr>
              <w:t xml:space="preserve"> </w:t>
            </w:r>
            <w:r w:rsidRPr="00000E66">
              <w:rPr>
                <w:sz w:val="20"/>
                <w:szCs w:val="20"/>
                <w:lang w:val="fr-FR"/>
              </w:rPr>
              <w:t>sols.</w:t>
            </w:r>
          </w:p>
        </w:tc>
        <w:tc>
          <w:tcPr>
            <w:tcW w:w="3469" w:type="dxa"/>
            <w:shd w:val="clear" w:color="auto" w:fill="auto"/>
          </w:tcPr>
          <w:p w14:paraId="3D411D23" w14:textId="77777777" w:rsidR="009021F1" w:rsidRPr="00000E66" w:rsidRDefault="009021F1" w:rsidP="00E637E3">
            <w:pPr>
              <w:pStyle w:val="TableParagraph"/>
              <w:numPr>
                <w:ilvl w:val="0"/>
                <w:numId w:val="93"/>
              </w:numPr>
              <w:tabs>
                <w:tab w:val="left" w:pos="668"/>
              </w:tabs>
              <w:autoSpaceDE w:val="0"/>
              <w:autoSpaceDN w:val="0"/>
              <w:spacing w:before="32" w:line="232" w:lineRule="auto"/>
              <w:ind w:left="243" w:right="34"/>
              <w:rPr>
                <w:sz w:val="20"/>
                <w:szCs w:val="20"/>
                <w:lang w:val="fr-FR"/>
              </w:rPr>
            </w:pPr>
            <w:r w:rsidRPr="00000E66">
              <w:rPr>
                <w:sz w:val="20"/>
                <w:szCs w:val="20"/>
                <w:lang w:val="fr-FR"/>
              </w:rPr>
              <w:t>Les substances polluantes sont entreposées dans des conditions appropriées et utilisées dans les aires prévues à cet effet ;</w:t>
            </w:r>
          </w:p>
          <w:p w14:paraId="06078AEE" w14:textId="77777777" w:rsidR="009021F1" w:rsidRPr="00000E66" w:rsidRDefault="009021F1" w:rsidP="00E637E3">
            <w:pPr>
              <w:pStyle w:val="TableParagraph"/>
              <w:numPr>
                <w:ilvl w:val="0"/>
                <w:numId w:val="93"/>
              </w:numPr>
              <w:tabs>
                <w:tab w:val="left" w:pos="668"/>
              </w:tabs>
              <w:autoSpaceDE w:val="0"/>
              <w:autoSpaceDN w:val="0"/>
              <w:spacing w:before="32" w:line="232" w:lineRule="auto"/>
              <w:ind w:left="243" w:right="34"/>
              <w:rPr>
                <w:sz w:val="20"/>
                <w:szCs w:val="20"/>
                <w:lang w:val="fr-FR"/>
              </w:rPr>
            </w:pPr>
            <w:r w:rsidRPr="00000E66">
              <w:rPr>
                <w:sz w:val="20"/>
                <w:szCs w:val="20"/>
                <w:lang w:val="fr-FR"/>
              </w:rPr>
              <w:t>Le plan de mise en œuvre du plan d’urgence a été élaboré ;</w:t>
            </w:r>
          </w:p>
          <w:p w14:paraId="6A697D50" w14:textId="77777777" w:rsidR="009021F1" w:rsidRPr="00000E66" w:rsidRDefault="009021F1" w:rsidP="00E637E3">
            <w:pPr>
              <w:pStyle w:val="TableParagraph"/>
              <w:numPr>
                <w:ilvl w:val="0"/>
                <w:numId w:val="93"/>
              </w:numPr>
              <w:tabs>
                <w:tab w:val="left" w:pos="668"/>
              </w:tabs>
              <w:autoSpaceDE w:val="0"/>
              <w:autoSpaceDN w:val="0"/>
              <w:spacing w:before="32" w:line="232" w:lineRule="auto"/>
              <w:ind w:left="243" w:right="34"/>
              <w:rPr>
                <w:sz w:val="20"/>
                <w:szCs w:val="20"/>
                <w:lang w:val="fr-FR"/>
              </w:rPr>
            </w:pPr>
            <w:r w:rsidRPr="00000E66">
              <w:rPr>
                <w:sz w:val="20"/>
                <w:szCs w:val="20"/>
                <w:lang w:val="fr-FR"/>
              </w:rPr>
              <w:t>Les véhicules, les emballages des produits polluants sont exempts de fuites ;</w:t>
            </w:r>
          </w:p>
          <w:p w14:paraId="6BF95062" w14:textId="77777777" w:rsidR="009021F1" w:rsidRPr="00000E66" w:rsidRDefault="009021F1" w:rsidP="00E637E3">
            <w:pPr>
              <w:pStyle w:val="TableParagraph"/>
              <w:numPr>
                <w:ilvl w:val="0"/>
                <w:numId w:val="93"/>
              </w:numPr>
              <w:tabs>
                <w:tab w:val="left" w:pos="668"/>
              </w:tabs>
              <w:autoSpaceDE w:val="0"/>
              <w:autoSpaceDN w:val="0"/>
              <w:spacing w:before="32" w:line="232" w:lineRule="auto"/>
              <w:ind w:left="243" w:right="34"/>
              <w:rPr>
                <w:sz w:val="20"/>
                <w:szCs w:val="20"/>
                <w:lang w:val="fr-FR"/>
              </w:rPr>
            </w:pPr>
            <w:r w:rsidRPr="00000E66">
              <w:rPr>
                <w:sz w:val="20"/>
                <w:szCs w:val="20"/>
                <w:lang w:val="fr-FR"/>
              </w:rPr>
              <w:t>Les employés ont reçu une formation efficace sur la récupération de contaminants ;</w:t>
            </w:r>
          </w:p>
          <w:p w14:paraId="568DB623" w14:textId="77777777" w:rsidR="009021F1" w:rsidRPr="00000E66" w:rsidRDefault="009021F1" w:rsidP="00E637E3">
            <w:pPr>
              <w:pStyle w:val="TableParagraph"/>
              <w:numPr>
                <w:ilvl w:val="0"/>
                <w:numId w:val="93"/>
              </w:numPr>
              <w:tabs>
                <w:tab w:val="left" w:pos="668"/>
              </w:tabs>
              <w:autoSpaceDE w:val="0"/>
              <w:autoSpaceDN w:val="0"/>
              <w:spacing w:before="32" w:line="232" w:lineRule="auto"/>
              <w:ind w:left="243" w:right="34"/>
              <w:rPr>
                <w:sz w:val="20"/>
                <w:szCs w:val="20"/>
                <w:lang w:val="fr-FR"/>
              </w:rPr>
            </w:pPr>
            <w:r w:rsidRPr="00000E66">
              <w:rPr>
                <w:sz w:val="20"/>
                <w:szCs w:val="20"/>
                <w:lang w:val="fr-FR"/>
              </w:rPr>
              <w:t>Les employés ont réagi avec efficacité lors de la simulation du plan d’urgence.</w:t>
            </w:r>
          </w:p>
        </w:tc>
      </w:tr>
      <w:tr w:rsidR="009021F1" w:rsidRPr="00BE2822" w14:paraId="5F8FB1ED" w14:textId="77777777" w:rsidTr="00E637E3">
        <w:tc>
          <w:tcPr>
            <w:tcW w:w="2795" w:type="dxa"/>
            <w:shd w:val="clear" w:color="auto" w:fill="auto"/>
          </w:tcPr>
          <w:p w14:paraId="00F79F77" w14:textId="77777777" w:rsidR="009021F1" w:rsidRPr="00000E66" w:rsidRDefault="009021F1" w:rsidP="00E637E3">
            <w:pPr>
              <w:pStyle w:val="TableParagraph"/>
              <w:spacing w:line="213" w:lineRule="exact"/>
              <w:rPr>
                <w:sz w:val="20"/>
                <w:szCs w:val="20"/>
              </w:rPr>
            </w:pPr>
            <w:r w:rsidRPr="00000E66">
              <w:rPr>
                <w:sz w:val="20"/>
                <w:szCs w:val="20"/>
              </w:rPr>
              <w:t>Végétation</w:t>
            </w:r>
          </w:p>
        </w:tc>
        <w:tc>
          <w:tcPr>
            <w:tcW w:w="3512" w:type="dxa"/>
            <w:shd w:val="clear" w:color="auto" w:fill="auto"/>
          </w:tcPr>
          <w:p w14:paraId="36AD5440" w14:textId="77777777" w:rsidR="009021F1" w:rsidRPr="00000E66" w:rsidRDefault="009021F1" w:rsidP="00E637E3">
            <w:pPr>
              <w:pStyle w:val="TableParagraph"/>
              <w:spacing w:before="30" w:line="232" w:lineRule="auto"/>
              <w:ind w:left="108"/>
              <w:rPr>
                <w:sz w:val="20"/>
                <w:szCs w:val="20"/>
                <w:lang w:val="fr-FR"/>
              </w:rPr>
            </w:pPr>
            <w:r w:rsidRPr="00000E66">
              <w:rPr>
                <w:sz w:val="20"/>
                <w:szCs w:val="20"/>
                <w:lang w:val="fr-FR"/>
              </w:rPr>
              <w:t>Minimiser</w:t>
            </w:r>
            <w:r w:rsidRPr="00000E66">
              <w:rPr>
                <w:spacing w:val="-33"/>
                <w:sz w:val="20"/>
                <w:szCs w:val="20"/>
                <w:lang w:val="fr-FR"/>
              </w:rPr>
              <w:t xml:space="preserve"> </w:t>
            </w:r>
            <w:r w:rsidRPr="00000E66">
              <w:rPr>
                <w:sz w:val="20"/>
                <w:szCs w:val="20"/>
                <w:lang w:val="fr-FR"/>
              </w:rPr>
              <w:t>l’impact</w:t>
            </w:r>
            <w:r w:rsidRPr="00000E66">
              <w:rPr>
                <w:spacing w:val="-33"/>
                <w:sz w:val="20"/>
                <w:szCs w:val="20"/>
                <w:lang w:val="fr-FR"/>
              </w:rPr>
              <w:t xml:space="preserve"> </w:t>
            </w:r>
            <w:r w:rsidRPr="00000E66">
              <w:rPr>
                <w:sz w:val="20"/>
                <w:szCs w:val="20"/>
                <w:lang w:val="fr-FR"/>
              </w:rPr>
              <w:t>de</w:t>
            </w:r>
            <w:r w:rsidRPr="00000E66">
              <w:rPr>
                <w:spacing w:val="-32"/>
                <w:sz w:val="20"/>
                <w:szCs w:val="20"/>
                <w:lang w:val="fr-FR"/>
              </w:rPr>
              <w:t xml:space="preserve"> </w:t>
            </w:r>
            <w:r w:rsidRPr="00000E66">
              <w:rPr>
                <w:sz w:val="20"/>
                <w:szCs w:val="20"/>
                <w:lang w:val="fr-FR"/>
              </w:rPr>
              <w:t>la</w:t>
            </w:r>
            <w:r w:rsidRPr="00000E66">
              <w:rPr>
                <w:spacing w:val="-33"/>
                <w:sz w:val="20"/>
                <w:szCs w:val="20"/>
                <w:lang w:val="fr-FR"/>
              </w:rPr>
              <w:t xml:space="preserve"> </w:t>
            </w:r>
            <w:r w:rsidRPr="00000E66">
              <w:rPr>
                <w:spacing w:val="-4"/>
                <w:sz w:val="20"/>
                <w:szCs w:val="20"/>
                <w:lang w:val="fr-FR"/>
              </w:rPr>
              <w:t xml:space="preserve">phase </w:t>
            </w:r>
            <w:r w:rsidRPr="00000E66">
              <w:rPr>
                <w:sz w:val="20"/>
                <w:szCs w:val="20"/>
                <w:lang w:val="fr-FR"/>
              </w:rPr>
              <w:t>construction</w:t>
            </w:r>
            <w:r w:rsidRPr="00000E66">
              <w:rPr>
                <w:spacing w:val="-20"/>
                <w:sz w:val="20"/>
                <w:szCs w:val="20"/>
                <w:lang w:val="fr-FR"/>
              </w:rPr>
              <w:t xml:space="preserve"> </w:t>
            </w:r>
            <w:r w:rsidRPr="00000E66">
              <w:rPr>
                <w:sz w:val="20"/>
                <w:szCs w:val="20"/>
                <w:lang w:val="fr-FR"/>
              </w:rPr>
              <w:t>sur</w:t>
            </w:r>
            <w:r w:rsidRPr="00000E66">
              <w:rPr>
                <w:spacing w:val="-20"/>
                <w:sz w:val="20"/>
                <w:szCs w:val="20"/>
                <w:lang w:val="fr-FR"/>
              </w:rPr>
              <w:t xml:space="preserve"> </w:t>
            </w:r>
            <w:r w:rsidRPr="00000E66">
              <w:rPr>
                <w:sz w:val="20"/>
                <w:szCs w:val="20"/>
                <w:lang w:val="fr-FR"/>
              </w:rPr>
              <w:t>la</w:t>
            </w:r>
            <w:r w:rsidRPr="00000E66">
              <w:rPr>
                <w:spacing w:val="-19"/>
                <w:sz w:val="20"/>
                <w:szCs w:val="20"/>
                <w:lang w:val="fr-FR"/>
              </w:rPr>
              <w:t xml:space="preserve"> </w:t>
            </w:r>
            <w:r w:rsidRPr="00000E66">
              <w:rPr>
                <w:sz w:val="20"/>
                <w:szCs w:val="20"/>
                <w:lang w:val="fr-FR"/>
              </w:rPr>
              <w:t>végétation</w:t>
            </w:r>
          </w:p>
        </w:tc>
        <w:tc>
          <w:tcPr>
            <w:tcW w:w="3469" w:type="dxa"/>
            <w:shd w:val="clear" w:color="auto" w:fill="auto"/>
          </w:tcPr>
          <w:p w14:paraId="3285E1AF" w14:textId="77777777" w:rsidR="009021F1" w:rsidRPr="00000E66" w:rsidRDefault="009021F1" w:rsidP="00E637E3">
            <w:pPr>
              <w:pStyle w:val="TableParagraph"/>
              <w:numPr>
                <w:ilvl w:val="0"/>
                <w:numId w:val="93"/>
              </w:numPr>
              <w:tabs>
                <w:tab w:val="left" w:pos="668"/>
              </w:tabs>
              <w:autoSpaceDE w:val="0"/>
              <w:autoSpaceDN w:val="0"/>
              <w:spacing w:before="32" w:line="232" w:lineRule="auto"/>
              <w:ind w:left="243" w:right="34"/>
              <w:rPr>
                <w:sz w:val="20"/>
                <w:szCs w:val="20"/>
                <w:lang w:val="fr-FR"/>
              </w:rPr>
            </w:pPr>
            <w:r w:rsidRPr="00000E66">
              <w:rPr>
                <w:sz w:val="20"/>
                <w:szCs w:val="20"/>
                <w:lang w:val="fr-FR"/>
              </w:rPr>
              <w:t>Les limites des aires de coupe et de chantier sont bien identifiées ;</w:t>
            </w:r>
          </w:p>
          <w:p w14:paraId="552FD1FC" w14:textId="77777777" w:rsidR="009021F1" w:rsidRPr="00000E66" w:rsidRDefault="009021F1" w:rsidP="00E637E3">
            <w:pPr>
              <w:pStyle w:val="TableParagraph"/>
              <w:numPr>
                <w:ilvl w:val="0"/>
                <w:numId w:val="93"/>
              </w:numPr>
              <w:tabs>
                <w:tab w:val="left" w:pos="668"/>
              </w:tabs>
              <w:autoSpaceDE w:val="0"/>
              <w:autoSpaceDN w:val="0"/>
              <w:spacing w:before="32" w:line="232" w:lineRule="auto"/>
              <w:ind w:left="243" w:right="34"/>
              <w:rPr>
                <w:sz w:val="20"/>
                <w:szCs w:val="20"/>
                <w:lang w:val="fr-FR"/>
              </w:rPr>
            </w:pPr>
            <w:r w:rsidRPr="00000E66">
              <w:rPr>
                <w:sz w:val="20"/>
                <w:szCs w:val="20"/>
                <w:lang w:val="fr-FR"/>
              </w:rPr>
              <w:t>Seules les jachères et les plantations abandonnées ont été réutilisées ;</w:t>
            </w:r>
          </w:p>
          <w:p w14:paraId="2697A177" w14:textId="77777777" w:rsidR="009021F1" w:rsidRPr="00000E66" w:rsidRDefault="009021F1" w:rsidP="00E637E3">
            <w:pPr>
              <w:pStyle w:val="TableParagraph"/>
              <w:numPr>
                <w:ilvl w:val="0"/>
                <w:numId w:val="93"/>
              </w:numPr>
              <w:tabs>
                <w:tab w:val="left" w:pos="668"/>
              </w:tabs>
              <w:autoSpaceDE w:val="0"/>
              <w:autoSpaceDN w:val="0"/>
              <w:spacing w:before="32" w:line="232" w:lineRule="auto"/>
              <w:ind w:left="243" w:right="34"/>
              <w:rPr>
                <w:sz w:val="20"/>
                <w:szCs w:val="20"/>
                <w:lang w:val="fr-FR"/>
              </w:rPr>
            </w:pPr>
            <w:r w:rsidRPr="00000E66">
              <w:rPr>
                <w:sz w:val="20"/>
                <w:szCs w:val="20"/>
                <w:lang w:val="fr-FR"/>
              </w:rPr>
              <w:t>Les lieux des travaux ont été remis en état une fois les travaux terminés ;</w:t>
            </w:r>
          </w:p>
          <w:p w14:paraId="221A21CE" w14:textId="77777777" w:rsidR="009021F1" w:rsidRPr="00000E66" w:rsidRDefault="009021F1" w:rsidP="00E637E3">
            <w:pPr>
              <w:pStyle w:val="TableParagraph"/>
              <w:numPr>
                <w:ilvl w:val="0"/>
                <w:numId w:val="93"/>
              </w:numPr>
              <w:tabs>
                <w:tab w:val="left" w:pos="668"/>
              </w:tabs>
              <w:autoSpaceDE w:val="0"/>
              <w:autoSpaceDN w:val="0"/>
              <w:spacing w:before="32" w:line="232" w:lineRule="auto"/>
              <w:ind w:left="243" w:right="34"/>
              <w:rPr>
                <w:sz w:val="20"/>
                <w:szCs w:val="20"/>
                <w:lang w:val="fr-FR"/>
              </w:rPr>
            </w:pPr>
            <w:r w:rsidRPr="00000E66">
              <w:rPr>
                <w:sz w:val="20"/>
                <w:szCs w:val="20"/>
                <w:lang w:val="fr-FR"/>
              </w:rPr>
              <w:t>Les travaux de coupe de la végétation se sont limités aux superficies requises par les travaux.</w:t>
            </w:r>
          </w:p>
        </w:tc>
      </w:tr>
      <w:tr w:rsidR="009021F1" w:rsidRPr="00BE2822" w14:paraId="6C3AB171" w14:textId="77777777" w:rsidTr="00E637E3">
        <w:tc>
          <w:tcPr>
            <w:tcW w:w="2795" w:type="dxa"/>
            <w:shd w:val="clear" w:color="auto" w:fill="auto"/>
          </w:tcPr>
          <w:p w14:paraId="26A9C5FD" w14:textId="77777777" w:rsidR="009021F1" w:rsidRPr="00000E66" w:rsidRDefault="009021F1" w:rsidP="00E637E3">
            <w:pPr>
              <w:pStyle w:val="TableParagraph"/>
              <w:spacing w:line="213" w:lineRule="exact"/>
              <w:rPr>
                <w:sz w:val="20"/>
                <w:szCs w:val="20"/>
              </w:rPr>
            </w:pPr>
            <w:r w:rsidRPr="00000E66">
              <w:rPr>
                <w:sz w:val="20"/>
                <w:szCs w:val="20"/>
              </w:rPr>
              <w:t>Faune</w:t>
            </w:r>
          </w:p>
        </w:tc>
        <w:tc>
          <w:tcPr>
            <w:tcW w:w="3512" w:type="dxa"/>
            <w:shd w:val="clear" w:color="auto" w:fill="auto"/>
          </w:tcPr>
          <w:p w14:paraId="5A1D3C2C" w14:textId="77777777" w:rsidR="009021F1" w:rsidRPr="00000E66" w:rsidRDefault="009021F1" w:rsidP="00E637E3">
            <w:pPr>
              <w:pStyle w:val="TableParagraph"/>
              <w:spacing w:before="30" w:line="232" w:lineRule="auto"/>
              <w:ind w:left="108"/>
              <w:rPr>
                <w:sz w:val="20"/>
                <w:szCs w:val="20"/>
                <w:lang w:val="fr-FR"/>
              </w:rPr>
            </w:pPr>
            <w:r w:rsidRPr="00000E66">
              <w:rPr>
                <w:sz w:val="20"/>
                <w:szCs w:val="20"/>
                <w:lang w:val="fr-FR"/>
              </w:rPr>
              <w:t>Minimiser</w:t>
            </w:r>
            <w:r w:rsidRPr="00000E66">
              <w:rPr>
                <w:spacing w:val="-28"/>
                <w:sz w:val="20"/>
                <w:szCs w:val="20"/>
                <w:lang w:val="fr-FR"/>
              </w:rPr>
              <w:t xml:space="preserve"> </w:t>
            </w:r>
            <w:r w:rsidRPr="00000E66">
              <w:rPr>
                <w:sz w:val="20"/>
                <w:szCs w:val="20"/>
                <w:lang w:val="fr-FR"/>
              </w:rPr>
              <w:t>les</w:t>
            </w:r>
            <w:r w:rsidRPr="00000E66">
              <w:rPr>
                <w:spacing w:val="-28"/>
                <w:sz w:val="20"/>
                <w:szCs w:val="20"/>
                <w:lang w:val="fr-FR"/>
              </w:rPr>
              <w:t xml:space="preserve"> </w:t>
            </w:r>
            <w:r w:rsidRPr="00000E66">
              <w:rPr>
                <w:sz w:val="20"/>
                <w:szCs w:val="20"/>
                <w:lang w:val="fr-FR"/>
              </w:rPr>
              <w:t>impacts</w:t>
            </w:r>
            <w:r w:rsidRPr="00000E66">
              <w:rPr>
                <w:spacing w:val="-28"/>
                <w:sz w:val="20"/>
                <w:szCs w:val="20"/>
                <w:lang w:val="fr-FR"/>
              </w:rPr>
              <w:t xml:space="preserve"> </w:t>
            </w:r>
            <w:r w:rsidRPr="00000E66">
              <w:rPr>
                <w:sz w:val="20"/>
                <w:szCs w:val="20"/>
                <w:lang w:val="fr-FR"/>
              </w:rPr>
              <w:t>de</w:t>
            </w:r>
            <w:r w:rsidRPr="00000E66">
              <w:rPr>
                <w:spacing w:val="-27"/>
                <w:sz w:val="20"/>
                <w:szCs w:val="20"/>
                <w:lang w:val="fr-FR"/>
              </w:rPr>
              <w:t xml:space="preserve"> </w:t>
            </w:r>
            <w:r w:rsidRPr="00000E66">
              <w:rPr>
                <w:sz w:val="20"/>
                <w:szCs w:val="20"/>
                <w:lang w:val="fr-FR"/>
              </w:rPr>
              <w:t>la</w:t>
            </w:r>
            <w:r w:rsidRPr="00000E66">
              <w:rPr>
                <w:spacing w:val="-28"/>
                <w:sz w:val="20"/>
                <w:szCs w:val="20"/>
                <w:lang w:val="fr-FR"/>
              </w:rPr>
              <w:t xml:space="preserve"> </w:t>
            </w:r>
            <w:r w:rsidRPr="00000E66">
              <w:rPr>
                <w:sz w:val="20"/>
                <w:szCs w:val="20"/>
                <w:lang w:val="fr-FR"/>
              </w:rPr>
              <w:t>phase construction sur la</w:t>
            </w:r>
            <w:r w:rsidRPr="00000E66">
              <w:rPr>
                <w:spacing w:val="-15"/>
                <w:sz w:val="20"/>
                <w:szCs w:val="20"/>
                <w:lang w:val="fr-FR"/>
              </w:rPr>
              <w:t xml:space="preserve"> </w:t>
            </w:r>
            <w:r w:rsidRPr="00000E66">
              <w:rPr>
                <w:sz w:val="20"/>
                <w:szCs w:val="20"/>
                <w:lang w:val="fr-FR"/>
              </w:rPr>
              <w:t>faune.</w:t>
            </w:r>
          </w:p>
        </w:tc>
        <w:tc>
          <w:tcPr>
            <w:tcW w:w="3469" w:type="dxa"/>
            <w:shd w:val="clear" w:color="auto" w:fill="auto"/>
          </w:tcPr>
          <w:p w14:paraId="2E9A45D8" w14:textId="77777777" w:rsidR="009021F1" w:rsidRPr="00000E66" w:rsidRDefault="009021F1" w:rsidP="00E637E3">
            <w:pPr>
              <w:pStyle w:val="TableParagraph"/>
              <w:numPr>
                <w:ilvl w:val="0"/>
                <w:numId w:val="93"/>
              </w:numPr>
              <w:tabs>
                <w:tab w:val="left" w:pos="668"/>
              </w:tabs>
              <w:autoSpaceDE w:val="0"/>
              <w:autoSpaceDN w:val="0"/>
              <w:spacing w:before="32" w:line="232" w:lineRule="auto"/>
              <w:ind w:left="243" w:right="34"/>
              <w:rPr>
                <w:sz w:val="20"/>
                <w:szCs w:val="20"/>
                <w:lang w:val="fr-FR"/>
              </w:rPr>
            </w:pPr>
            <w:r w:rsidRPr="00000E66">
              <w:rPr>
                <w:sz w:val="20"/>
                <w:szCs w:val="20"/>
                <w:lang w:val="fr-FR"/>
              </w:rPr>
              <w:t>Les limites des aires de coupe et de chantier sont bien identifiées ;</w:t>
            </w:r>
          </w:p>
          <w:p w14:paraId="6F762B7C" w14:textId="77777777" w:rsidR="009021F1" w:rsidRPr="00000E66" w:rsidRDefault="009021F1" w:rsidP="00E637E3">
            <w:pPr>
              <w:pStyle w:val="TableParagraph"/>
              <w:numPr>
                <w:ilvl w:val="0"/>
                <w:numId w:val="93"/>
              </w:numPr>
              <w:tabs>
                <w:tab w:val="left" w:pos="668"/>
              </w:tabs>
              <w:autoSpaceDE w:val="0"/>
              <w:autoSpaceDN w:val="0"/>
              <w:spacing w:before="32" w:line="232" w:lineRule="auto"/>
              <w:ind w:left="243" w:right="34"/>
              <w:rPr>
                <w:sz w:val="20"/>
                <w:szCs w:val="20"/>
                <w:lang w:val="fr-FR"/>
              </w:rPr>
            </w:pPr>
            <w:r w:rsidRPr="00000E66">
              <w:rPr>
                <w:sz w:val="20"/>
                <w:szCs w:val="20"/>
                <w:lang w:val="fr-FR"/>
              </w:rPr>
              <w:t>Les cas de braconnage ont été signalés ;</w:t>
            </w:r>
          </w:p>
          <w:p w14:paraId="236F20D8" w14:textId="77777777" w:rsidR="009021F1" w:rsidRPr="00000E66" w:rsidRDefault="009021F1" w:rsidP="00E637E3">
            <w:pPr>
              <w:pStyle w:val="TableParagraph"/>
              <w:numPr>
                <w:ilvl w:val="0"/>
                <w:numId w:val="93"/>
              </w:numPr>
              <w:tabs>
                <w:tab w:val="left" w:pos="668"/>
              </w:tabs>
              <w:autoSpaceDE w:val="0"/>
              <w:autoSpaceDN w:val="0"/>
              <w:spacing w:before="32" w:line="232" w:lineRule="auto"/>
              <w:ind w:left="243" w:right="34"/>
              <w:rPr>
                <w:sz w:val="20"/>
                <w:szCs w:val="20"/>
                <w:lang w:val="fr-FR"/>
              </w:rPr>
            </w:pPr>
            <w:r w:rsidRPr="00000E66">
              <w:rPr>
                <w:sz w:val="20"/>
                <w:szCs w:val="20"/>
                <w:lang w:val="fr-FR"/>
              </w:rPr>
              <w:t>Les tentatives d’empiètement dans les aires protégées ;</w:t>
            </w:r>
          </w:p>
          <w:p w14:paraId="794BCE6A" w14:textId="77777777" w:rsidR="009021F1" w:rsidRPr="00000E66" w:rsidRDefault="009021F1" w:rsidP="00E637E3">
            <w:pPr>
              <w:pStyle w:val="TableParagraph"/>
              <w:numPr>
                <w:ilvl w:val="0"/>
                <w:numId w:val="93"/>
              </w:numPr>
              <w:tabs>
                <w:tab w:val="left" w:pos="668"/>
              </w:tabs>
              <w:autoSpaceDE w:val="0"/>
              <w:autoSpaceDN w:val="0"/>
              <w:spacing w:before="32" w:line="232" w:lineRule="auto"/>
              <w:ind w:left="243" w:right="34"/>
              <w:rPr>
                <w:sz w:val="20"/>
                <w:szCs w:val="20"/>
                <w:lang w:val="fr-FR"/>
              </w:rPr>
            </w:pPr>
            <w:r w:rsidRPr="00000E66">
              <w:rPr>
                <w:sz w:val="20"/>
                <w:szCs w:val="20"/>
                <w:lang w:val="fr-FR"/>
              </w:rPr>
              <w:t>Les lieux des travaux sont remis en état une fois les travaux terminés ;</w:t>
            </w:r>
          </w:p>
        </w:tc>
      </w:tr>
      <w:tr w:rsidR="009021F1" w:rsidRPr="00BE2822" w14:paraId="08FC165F" w14:textId="77777777" w:rsidTr="00E637E3">
        <w:tc>
          <w:tcPr>
            <w:tcW w:w="2795" w:type="dxa"/>
            <w:vMerge w:val="restart"/>
            <w:shd w:val="clear" w:color="auto" w:fill="auto"/>
          </w:tcPr>
          <w:p w14:paraId="22B61C7C" w14:textId="77777777" w:rsidR="009021F1" w:rsidRPr="00000E66" w:rsidRDefault="009021F1" w:rsidP="00E637E3">
            <w:pPr>
              <w:pStyle w:val="TableParagraph"/>
              <w:spacing w:line="213" w:lineRule="exact"/>
              <w:rPr>
                <w:sz w:val="20"/>
                <w:szCs w:val="20"/>
              </w:rPr>
            </w:pPr>
            <w:r w:rsidRPr="00000E66">
              <w:rPr>
                <w:sz w:val="20"/>
                <w:szCs w:val="20"/>
              </w:rPr>
              <w:t>Population</w:t>
            </w:r>
          </w:p>
        </w:tc>
        <w:tc>
          <w:tcPr>
            <w:tcW w:w="3512" w:type="dxa"/>
            <w:shd w:val="clear" w:color="auto" w:fill="auto"/>
          </w:tcPr>
          <w:p w14:paraId="3F6F9232" w14:textId="77777777" w:rsidR="009021F1" w:rsidRPr="00000E66" w:rsidRDefault="009021F1" w:rsidP="00E637E3">
            <w:pPr>
              <w:pStyle w:val="TableParagraph"/>
              <w:spacing w:line="211" w:lineRule="exact"/>
              <w:ind w:left="108"/>
              <w:rPr>
                <w:sz w:val="20"/>
                <w:szCs w:val="20"/>
                <w:lang w:val="fr-FR"/>
              </w:rPr>
            </w:pPr>
            <w:r w:rsidRPr="00000E66">
              <w:rPr>
                <w:sz w:val="20"/>
                <w:szCs w:val="20"/>
                <w:lang w:val="fr-FR"/>
              </w:rPr>
              <w:t>S’assurer de la mise en place d’un plan adéquat</w:t>
            </w:r>
          </w:p>
          <w:p w14:paraId="36485724" w14:textId="77777777" w:rsidR="009021F1" w:rsidRPr="00000E66" w:rsidRDefault="009021F1" w:rsidP="00E637E3">
            <w:pPr>
              <w:pStyle w:val="TableParagraph"/>
              <w:spacing w:before="1" w:line="235" w:lineRule="auto"/>
              <w:ind w:left="108"/>
              <w:rPr>
                <w:sz w:val="20"/>
                <w:szCs w:val="20"/>
                <w:lang w:val="fr-FR"/>
              </w:rPr>
            </w:pPr>
            <w:r w:rsidRPr="00000E66">
              <w:rPr>
                <w:sz w:val="20"/>
                <w:szCs w:val="20"/>
                <w:lang w:val="fr-FR"/>
              </w:rPr>
              <w:t>de</w:t>
            </w:r>
            <w:r w:rsidRPr="00000E66">
              <w:rPr>
                <w:spacing w:val="-24"/>
                <w:sz w:val="20"/>
                <w:szCs w:val="20"/>
                <w:lang w:val="fr-FR"/>
              </w:rPr>
              <w:t xml:space="preserve"> </w:t>
            </w:r>
            <w:r w:rsidRPr="00000E66">
              <w:rPr>
                <w:sz w:val="20"/>
                <w:szCs w:val="20"/>
                <w:lang w:val="fr-FR"/>
              </w:rPr>
              <w:t>réinstallation</w:t>
            </w:r>
            <w:r w:rsidRPr="00000E66">
              <w:rPr>
                <w:spacing w:val="-24"/>
                <w:sz w:val="20"/>
                <w:szCs w:val="20"/>
                <w:lang w:val="fr-FR"/>
              </w:rPr>
              <w:t xml:space="preserve"> </w:t>
            </w:r>
            <w:r w:rsidRPr="00000E66">
              <w:rPr>
                <w:sz w:val="20"/>
                <w:szCs w:val="20"/>
                <w:lang w:val="fr-FR"/>
              </w:rPr>
              <w:t>et</w:t>
            </w:r>
            <w:r w:rsidRPr="00000E66">
              <w:rPr>
                <w:spacing w:val="-24"/>
                <w:sz w:val="20"/>
                <w:szCs w:val="20"/>
                <w:lang w:val="fr-FR"/>
              </w:rPr>
              <w:t xml:space="preserve"> </w:t>
            </w:r>
            <w:r w:rsidRPr="00000E66">
              <w:rPr>
                <w:sz w:val="20"/>
                <w:szCs w:val="20"/>
                <w:lang w:val="fr-FR"/>
              </w:rPr>
              <w:t>de</w:t>
            </w:r>
            <w:r w:rsidRPr="00000E66">
              <w:rPr>
                <w:spacing w:val="-24"/>
                <w:sz w:val="20"/>
                <w:szCs w:val="20"/>
                <w:lang w:val="fr-FR"/>
              </w:rPr>
              <w:t xml:space="preserve"> </w:t>
            </w:r>
            <w:r w:rsidRPr="00000E66">
              <w:rPr>
                <w:sz w:val="20"/>
                <w:szCs w:val="20"/>
                <w:lang w:val="fr-FR"/>
              </w:rPr>
              <w:t>compensation.</w:t>
            </w:r>
          </w:p>
        </w:tc>
        <w:tc>
          <w:tcPr>
            <w:tcW w:w="3469" w:type="dxa"/>
            <w:shd w:val="clear" w:color="auto" w:fill="auto"/>
          </w:tcPr>
          <w:p w14:paraId="1043C4CA" w14:textId="77777777" w:rsidR="009021F1" w:rsidRPr="00000E66" w:rsidRDefault="009021F1" w:rsidP="00E637E3">
            <w:pPr>
              <w:pStyle w:val="TableParagraph"/>
              <w:numPr>
                <w:ilvl w:val="0"/>
                <w:numId w:val="93"/>
              </w:numPr>
              <w:tabs>
                <w:tab w:val="left" w:pos="668"/>
              </w:tabs>
              <w:autoSpaceDE w:val="0"/>
              <w:autoSpaceDN w:val="0"/>
              <w:spacing w:before="32" w:line="232" w:lineRule="auto"/>
              <w:ind w:right="34"/>
              <w:rPr>
                <w:sz w:val="20"/>
                <w:szCs w:val="20"/>
                <w:lang w:val="fr-FR"/>
              </w:rPr>
            </w:pPr>
            <w:r w:rsidRPr="00000E66">
              <w:rPr>
                <w:sz w:val="20"/>
                <w:szCs w:val="20"/>
                <w:lang w:val="fr-FR"/>
              </w:rPr>
              <w:t>Estimation du nombre de personnes à déplacer et de leurs niveaux de compensations respectifs ;</w:t>
            </w:r>
          </w:p>
          <w:p w14:paraId="12E14284" w14:textId="77777777" w:rsidR="009021F1" w:rsidRPr="00000E66" w:rsidRDefault="009021F1" w:rsidP="00E637E3">
            <w:pPr>
              <w:pStyle w:val="TableParagraph"/>
              <w:numPr>
                <w:ilvl w:val="0"/>
                <w:numId w:val="93"/>
              </w:numPr>
              <w:tabs>
                <w:tab w:val="left" w:pos="668"/>
              </w:tabs>
              <w:autoSpaceDE w:val="0"/>
              <w:autoSpaceDN w:val="0"/>
              <w:spacing w:before="32" w:line="232" w:lineRule="auto"/>
              <w:ind w:right="34"/>
              <w:rPr>
                <w:sz w:val="20"/>
                <w:szCs w:val="20"/>
                <w:lang w:val="fr-FR"/>
              </w:rPr>
            </w:pPr>
            <w:r w:rsidRPr="00000E66">
              <w:rPr>
                <w:sz w:val="20"/>
                <w:szCs w:val="20"/>
                <w:lang w:val="fr-FR"/>
              </w:rPr>
              <w:t>Montants de compensation effectivement versés.</w:t>
            </w:r>
          </w:p>
          <w:p w14:paraId="66C18037" w14:textId="77777777" w:rsidR="009021F1" w:rsidRPr="00000E66" w:rsidRDefault="009021F1" w:rsidP="00E637E3">
            <w:pPr>
              <w:pStyle w:val="TableParagraph"/>
              <w:numPr>
                <w:ilvl w:val="0"/>
                <w:numId w:val="93"/>
              </w:numPr>
              <w:tabs>
                <w:tab w:val="left" w:pos="668"/>
              </w:tabs>
              <w:autoSpaceDE w:val="0"/>
              <w:autoSpaceDN w:val="0"/>
              <w:spacing w:before="32" w:line="232" w:lineRule="auto"/>
              <w:ind w:right="34"/>
              <w:rPr>
                <w:sz w:val="20"/>
                <w:szCs w:val="20"/>
                <w:lang w:val="fr-FR"/>
              </w:rPr>
            </w:pPr>
            <w:r w:rsidRPr="00000E66">
              <w:rPr>
                <w:sz w:val="20"/>
                <w:szCs w:val="20"/>
                <w:lang w:val="fr-FR"/>
              </w:rPr>
              <w:t>Niveau d’implication des collectivités et d’acteurs locaux dans le suivi des travaux</w:t>
            </w:r>
          </w:p>
          <w:p w14:paraId="2860BC03" w14:textId="77777777" w:rsidR="009021F1" w:rsidRPr="00000E66" w:rsidRDefault="009021F1" w:rsidP="00E637E3">
            <w:pPr>
              <w:pStyle w:val="TableParagraph"/>
              <w:numPr>
                <w:ilvl w:val="0"/>
                <w:numId w:val="93"/>
              </w:numPr>
              <w:tabs>
                <w:tab w:val="left" w:pos="668"/>
              </w:tabs>
              <w:autoSpaceDE w:val="0"/>
              <w:autoSpaceDN w:val="0"/>
              <w:spacing w:before="32" w:line="232" w:lineRule="auto"/>
              <w:ind w:right="34"/>
              <w:rPr>
                <w:sz w:val="20"/>
                <w:szCs w:val="20"/>
                <w:lang w:val="fr-FR"/>
              </w:rPr>
            </w:pPr>
            <w:r w:rsidRPr="00000E66">
              <w:rPr>
                <w:sz w:val="20"/>
                <w:szCs w:val="20"/>
                <w:lang w:val="fr-FR"/>
              </w:rPr>
              <w:t>Nombre d’emplois créés localement (main-d’œuvre locale utilisée pour les travaux) ;</w:t>
            </w:r>
          </w:p>
          <w:p w14:paraId="22198680" w14:textId="77777777" w:rsidR="009021F1" w:rsidRPr="00000E66" w:rsidRDefault="009021F1" w:rsidP="00E637E3">
            <w:pPr>
              <w:pStyle w:val="TableParagraph"/>
              <w:numPr>
                <w:ilvl w:val="0"/>
                <w:numId w:val="93"/>
              </w:numPr>
              <w:tabs>
                <w:tab w:val="left" w:pos="668"/>
              </w:tabs>
              <w:autoSpaceDE w:val="0"/>
              <w:autoSpaceDN w:val="0"/>
              <w:spacing w:before="32" w:line="232" w:lineRule="auto"/>
              <w:ind w:right="34"/>
              <w:rPr>
                <w:sz w:val="20"/>
                <w:szCs w:val="20"/>
                <w:lang w:val="fr-FR"/>
              </w:rPr>
            </w:pPr>
            <w:r w:rsidRPr="00000E66">
              <w:rPr>
                <w:sz w:val="20"/>
                <w:szCs w:val="20"/>
                <w:lang w:val="fr-FR"/>
              </w:rPr>
              <w:t>Nombre de populations autochtones et campements localisés dans la zone du Projet ;</w:t>
            </w:r>
          </w:p>
          <w:p w14:paraId="484993F2" w14:textId="77777777" w:rsidR="009021F1" w:rsidRPr="00000E66" w:rsidRDefault="009021F1" w:rsidP="00E637E3">
            <w:pPr>
              <w:pStyle w:val="TableParagraph"/>
              <w:numPr>
                <w:ilvl w:val="0"/>
                <w:numId w:val="93"/>
              </w:numPr>
              <w:tabs>
                <w:tab w:val="left" w:pos="668"/>
              </w:tabs>
              <w:autoSpaceDE w:val="0"/>
              <w:autoSpaceDN w:val="0"/>
              <w:spacing w:before="32" w:line="232" w:lineRule="auto"/>
              <w:ind w:right="34"/>
              <w:rPr>
                <w:sz w:val="20"/>
                <w:szCs w:val="20"/>
                <w:lang w:val="fr-FR"/>
              </w:rPr>
            </w:pPr>
            <w:r w:rsidRPr="00000E66">
              <w:rPr>
                <w:sz w:val="20"/>
                <w:szCs w:val="20"/>
                <w:lang w:val="fr-FR"/>
              </w:rPr>
              <w:t>Nombre de personnes affectées et compensées par le Projet ;</w:t>
            </w:r>
          </w:p>
          <w:p w14:paraId="49BD94A3" w14:textId="77777777" w:rsidR="009021F1" w:rsidRPr="00000E66" w:rsidRDefault="009021F1" w:rsidP="00E637E3">
            <w:pPr>
              <w:pStyle w:val="TableParagraph"/>
              <w:numPr>
                <w:ilvl w:val="0"/>
                <w:numId w:val="93"/>
              </w:numPr>
              <w:tabs>
                <w:tab w:val="left" w:pos="668"/>
              </w:tabs>
              <w:autoSpaceDE w:val="0"/>
              <w:autoSpaceDN w:val="0"/>
              <w:spacing w:before="32" w:line="232" w:lineRule="auto"/>
              <w:ind w:right="34"/>
              <w:rPr>
                <w:sz w:val="20"/>
                <w:szCs w:val="20"/>
                <w:lang w:val="fr-FR"/>
              </w:rPr>
            </w:pPr>
            <w:r w:rsidRPr="00000E66">
              <w:rPr>
                <w:sz w:val="20"/>
                <w:szCs w:val="20"/>
                <w:lang w:val="fr-FR"/>
              </w:rPr>
              <w:t>Nombre et type de réclamation</w:t>
            </w:r>
          </w:p>
        </w:tc>
      </w:tr>
      <w:tr w:rsidR="009021F1" w:rsidRPr="00BE2822" w14:paraId="69457551" w14:textId="77777777" w:rsidTr="00E637E3">
        <w:tc>
          <w:tcPr>
            <w:tcW w:w="2795" w:type="dxa"/>
            <w:vMerge/>
            <w:shd w:val="clear" w:color="auto" w:fill="auto"/>
          </w:tcPr>
          <w:p w14:paraId="49F2F63B" w14:textId="77777777" w:rsidR="009021F1" w:rsidRPr="00000E66" w:rsidRDefault="009021F1" w:rsidP="00E637E3">
            <w:pPr>
              <w:rPr>
                <w:sz w:val="20"/>
                <w:szCs w:val="20"/>
              </w:rPr>
            </w:pPr>
          </w:p>
        </w:tc>
        <w:tc>
          <w:tcPr>
            <w:tcW w:w="3512" w:type="dxa"/>
            <w:shd w:val="clear" w:color="auto" w:fill="auto"/>
          </w:tcPr>
          <w:p w14:paraId="08DD065C" w14:textId="77777777" w:rsidR="009021F1" w:rsidRPr="00000E66" w:rsidRDefault="009021F1" w:rsidP="00E637E3">
            <w:pPr>
              <w:pStyle w:val="TableParagraph"/>
              <w:numPr>
                <w:ilvl w:val="0"/>
                <w:numId w:val="93"/>
              </w:numPr>
              <w:tabs>
                <w:tab w:val="left" w:pos="668"/>
              </w:tabs>
              <w:autoSpaceDE w:val="0"/>
              <w:autoSpaceDN w:val="0"/>
              <w:spacing w:before="32" w:line="232" w:lineRule="auto"/>
              <w:ind w:left="243"/>
              <w:rPr>
                <w:sz w:val="20"/>
                <w:szCs w:val="20"/>
                <w:lang w:val="fr-FR"/>
              </w:rPr>
            </w:pPr>
            <w:r w:rsidRPr="00000E66">
              <w:rPr>
                <w:sz w:val="20"/>
                <w:szCs w:val="20"/>
                <w:lang w:val="fr-FR"/>
              </w:rPr>
              <w:t>S’assurer que l’arrivée de travailleurs en phase de construction ne constituera pas une pression</w:t>
            </w:r>
          </w:p>
          <w:p w14:paraId="2249B17E" w14:textId="5305D9C1" w:rsidR="009021F1" w:rsidRPr="00000E66" w:rsidRDefault="00B1320C" w:rsidP="00E637E3">
            <w:pPr>
              <w:pStyle w:val="TableParagraph"/>
              <w:numPr>
                <w:ilvl w:val="0"/>
                <w:numId w:val="93"/>
              </w:numPr>
              <w:tabs>
                <w:tab w:val="left" w:pos="668"/>
              </w:tabs>
              <w:autoSpaceDE w:val="0"/>
              <w:autoSpaceDN w:val="0"/>
              <w:spacing w:before="32" w:line="232" w:lineRule="auto"/>
              <w:ind w:left="243"/>
              <w:rPr>
                <w:sz w:val="20"/>
                <w:szCs w:val="20"/>
                <w:lang w:val="fr-FR"/>
              </w:rPr>
            </w:pPr>
            <w:r w:rsidRPr="00000E66">
              <w:rPr>
                <w:sz w:val="20"/>
                <w:szCs w:val="20"/>
                <w:lang w:val="fr-FR"/>
              </w:rPr>
              <w:t>Démographique</w:t>
            </w:r>
            <w:r w:rsidR="009021F1" w:rsidRPr="00000E66">
              <w:rPr>
                <w:sz w:val="20"/>
                <w:szCs w:val="20"/>
                <w:lang w:val="fr-FR"/>
              </w:rPr>
              <w:t xml:space="preserve"> néfaste dans l’aire d’étude.</w:t>
            </w:r>
          </w:p>
          <w:p w14:paraId="002AFFDA" w14:textId="77777777" w:rsidR="009021F1" w:rsidRPr="00000E66" w:rsidRDefault="009021F1" w:rsidP="00E637E3">
            <w:pPr>
              <w:pStyle w:val="TableParagraph"/>
              <w:numPr>
                <w:ilvl w:val="0"/>
                <w:numId w:val="93"/>
              </w:numPr>
              <w:tabs>
                <w:tab w:val="left" w:pos="668"/>
              </w:tabs>
              <w:autoSpaceDE w:val="0"/>
              <w:autoSpaceDN w:val="0"/>
              <w:spacing w:before="32" w:line="232" w:lineRule="auto"/>
              <w:ind w:left="243"/>
              <w:rPr>
                <w:sz w:val="20"/>
                <w:szCs w:val="20"/>
                <w:lang w:val="fr-FR"/>
              </w:rPr>
            </w:pPr>
            <w:r w:rsidRPr="00000E66">
              <w:rPr>
                <w:sz w:val="20"/>
                <w:szCs w:val="20"/>
                <w:lang w:val="fr-FR"/>
              </w:rPr>
              <w:t>Mise en place d’un mécanisme de gestion des plaintes.</w:t>
            </w:r>
          </w:p>
        </w:tc>
        <w:tc>
          <w:tcPr>
            <w:tcW w:w="3469" w:type="dxa"/>
            <w:shd w:val="clear" w:color="auto" w:fill="auto"/>
          </w:tcPr>
          <w:p w14:paraId="0CA5EFD7" w14:textId="77777777" w:rsidR="009021F1" w:rsidRPr="00000E66" w:rsidRDefault="009021F1" w:rsidP="00E637E3">
            <w:pPr>
              <w:pStyle w:val="TableParagraph"/>
              <w:numPr>
                <w:ilvl w:val="0"/>
                <w:numId w:val="93"/>
              </w:numPr>
              <w:tabs>
                <w:tab w:val="left" w:pos="668"/>
              </w:tabs>
              <w:autoSpaceDE w:val="0"/>
              <w:autoSpaceDN w:val="0"/>
              <w:spacing w:before="32" w:line="232" w:lineRule="auto"/>
              <w:ind w:left="243" w:right="34"/>
              <w:rPr>
                <w:sz w:val="20"/>
                <w:szCs w:val="20"/>
                <w:lang w:val="fr-FR"/>
              </w:rPr>
            </w:pPr>
            <w:r w:rsidRPr="00000E66">
              <w:rPr>
                <w:sz w:val="20"/>
                <w:szCs w:val="20"/>
                <w:lang w:val="fr-FR"/>
              </w:rPr>
              <w:t>Nombre de plaintes provenant de la part des travailleurs non-résidents ;</w:t>
            </w:r>
          </w:p>
          <w:p w14:paraId="54EED3F0" w14:textId="77777777" w:rsidR="009021F1" w:rsidRPr="00000E66" w:rsidRDefault="009021F1" w:rsidP="00E637E3">
            <w:pPr>
              <w:pStyle w:val="TableParagraph"/>
              <w:numPr>
                <w:ilvl w:val="0"/>
                <w:numId w:val="93"/>
              </w:numPr>
              <w:tabs>
                <w:tab w:val="left" w:pos="668"/>
              </w:tabs>
              <w:autoSpaceDE w:val="0"/>
              <w:autoSpaceDN w:val="0"/>
              <w:spacing w:before="32" w:line="232" w:lineRule="auto"/>
              <w:ind w:left="243" w:right="34"/>
              <w:rPr>
                <w:sz w:val="20"/>
                <w:szCs w:val="20"/>
                <w:lang w:val="fr-FR"/>
              </w:rPr>
            </w:pPr>
            <w:r w:rsidRPr="00000E66">
              <w:rPr>
                <w:sz w:val="20"/>
                <w:szCs w:val="20"/>
                <w:lang w:val="fr-FR"/>
              </w:rPr>
              <w:t>Nombre de plaintes résolues.</w:t>
            </w:r>
          </w:p>
        </w:tc>
      </w:tr>
      <w:tr w:rsidR="009021F1" w:rsidRPr="00BE2822" w14:paraId="07B869D7" w14:textId="77777777" w:rsidTr="00E637E3">
        <w:tc>
          <w:tcPr>
            <w:tcW w:w="2795" w:type="dxa"/>
            <w:vMerge/>
            <w:shd w:val="clear" w:color="auto" w:fill="auto"/>
          </w:tcPr>
          <w:p w14:paraId="28B29EDC" w14:textId="77777777" w:rsidR="009021F1" w:rsidRPr="00000E66" w:rsidRDefault="009021F1" w:rsidP="00E637E3">
            <w:pPr>
              <w:rPr>
                <w:sz w:val="20"/>
                <w:szCs w:val="20"/>
                <w:lang w:val="en-US"/>
              </w:rPr>
            </w:pPr>
          </w:p>
        </w:tc>
        <w:tc>
          <w:tcPr>
            <w:tcW w:w="3512" w:type="dxa"/>
            <w:shd w:val="clear" w:color="auto" w:fill="auto"/>
          </w:tcPr>
          <w:p w14:paraId="6785301E" w14:textId="77777777" w:rsidR="009021F1" w:rsidRPr="00000E66" w:rsidRDefault="009021F1" w:rsidP="00E637E3">
            <w:pPr>
              <w:pStyle w:val="TableParagraph"/>
              <w:spacing w:line="211" w:lineRule="exact"/>
              <w:ind w:left="108"/>
              <w:rPr>
                <w:sz w:val="20"/>
                <w:szCs w:val="20"/>
              </w:rPr>
            </w:pPr>
            <w:r w:rsidRPr="00000E66">
              <w:rPr>
                <w:sz w:val="20"/>
                <w:szCs w:val="20"/>
              </w:rPr>
              <w:t>S’assurer de implication de la</w:t>
            </w:r>
          </w:p>
          <w:p w14:paraId="7B93D2B3" w14:textId="77777777" w:rsidR="009021F1" w:rsidRPr="00000E66" w:rsidRDefault="009021F1" w:rsidP="00E637E3">
            <w:pPr>
              <w:pStyle w:val="TableParagraph"/>
              <w:spacing w:before="1" w:line="235" w:lineRule="auto"/>
              <w:ind w:left="108"/>
              <w:rPr>
                <w:sz w:val="20"/>
                <w:szCs w:val="20"/>
                <w:lang w:val="fr-FR"/>
              </w:rPr>
            </w:pPr>
            <w:r w:rsidRPr="00000E66">
              <w:rPr>
                <w:sz w:val="20"/>
                <w:szCs w:val="20"/>
                <w:lang w:val="fr-FR"/>
              </w:rPr>
              <w:t>population dans le Projet afin que celle-ci</w:t>
            </w:r>
            <w:r w:rsidRPr="00000E66">
              <w:rPr>
                <w:spacing w:val="-19"/>
                <w:sz w:val="20"/>
                <w:szCs w:val="20"/>
                <w:lang w:val="fr-FR"/>
              </w:rPr>
              <w:t xml:space="preserve"> </w:t>
            </w:r>
            <w:r w:rsidRPr="00000E66">
              <w:rPr>
                <w:sz w:val="20"/>
                <w:szCs w:val="20"/>
                <w:lang w:val="fr-FR"/>
              </w:rPr>
              <w:t>s’approprie</w:t>
            </w:r>
            <w:r w:rsidRPr="00000E66">
              <w:rPr>
                <w:spacing w:val="-17"/>
                <w:sz w:val="20"/>
                <w:szCs w:val="20"/>
                <w:lang w:val="fr-FR"/>
              </w:rPr>
              <w:t xml:space="preserve"> </w:t>
            </w:r>
            <w:r w:rsidRPr="00000E66">
              <w:rPr>
                <w:sz w:val="20"/>
                <w:szCs w:val="20"/>
                <w:lang w:val="fr-FR"/>
              </w:rPr>
              <w:t>du</w:t>
            </w:r>
            <w:r w:rsidRPr="00000E66">
              <w:rPr>
                <w:spacing w:val="-18"/>
                <w:sz w:val="20"/>
                <w:szCs w:val="20"/>
                <w:lang w:val="fr-FR"/>
              </w:rPr>
              <w:t xml:space="preserve"> </w:t>
            </w:r>
            <w:r w:rsidRPr="00000E66">
              <w:rPr>
                <w:sz w:val="20"/>
                <w:szCs w:val="20"/>
                <w:lang w:val="fr-FR"/>
              </w:rPr>
              <w:t>Projet</w:t>
            </w:r>
            <w:r w:rsidRPr="00000E66">
              <w:rPr>
                <w:spacing w:val="-18"/>
                <w:sz w:val="20"/>
                <w:szCs w:val="20"/>
                <w:lang w:val="fr-FR"/>
              </w:rPr>
              <w:t xml:space="preserve"> </w:t>
            </w:r>
            <w:r w:rsidRPr="00000E66">
              <w:rPr>
                <w:sz w:val="20"/>
                <w:szCs w:val="20"/>
                <w:lang w:val="fr-FR"/>
              </w:rPr>
              <w:t>et</w:t>
            </w:r>
            <w:r w:rsidRPr="00000E66">
              <w:rPr>
                <w:spacing w:val="-17"/>
                <w:sz w:val="20"/>
                <w:szCs w:val="20"/>
                <w:lang w:val="fr-FR"/>
              </w:rPr>
              <w:t xml:space="preserve"> </w:t>
            </w:r>
            <w:r w:rsidRPr="00000E66">
              <w:rPr>
                <w:sz w:val="20"/>
                <w:szCs w:val="20"/>
                <w:lang w:val="fr-FR"/>
              </w:rPr>
              <w:t>ait</w:t>
            </w:r>
            <w:r w:rsidRPr="00000E66">
              <w:rPr>
                <w:spacing w:val="-19"/>
                <w:sz w:val="20"/>
                <w:szCs w:val="20"/>
                <w:lang w:val="fr-FR"/>
              </w:rPr>
              <w:t xml:space="preserve"> </w:t>
            </w:r>
            <w:r w:rsidRPr="00000E66">
              <w:rPr>
                <w:sz w:val="20"/>
                <w:szCs w:val="20"/>
                <w:lang w:val="fr-FR"/>
              </w:rPr>
              <w:t>la réussite</w:t>
            </w:r>
            <w:r w:rsidRPr="00000E66">
              <w:rPr>
                <w:spacing w:val="-18"/>
                <w:sz w:val="20"/>
                <w:szCs w:val="20"/>
                <w:lang w:val="fr-FR"/>
              </w:rPr>
              <w:t xml:space="preserve"> </w:t>
            </w:r>
            <w:r w:rsidRPr="00000E66">
              <w:rPr>
                <w:sz w:val="20"/>
                <w:szCs w:val="20"/>
                <w:lang w:val="fr-FR"/>
              </w:rPr>
              <w:t>et</w:t>
            </w:r>
            <w:r w:rsidRPr="00000E66">
              <w:rPr>
                <w:spacing w:val="-18"/>
                <w:sz w:val="20"/>
                <w:szCs w:val="20"/>
                <w:lang w:val="fr-FR"/>
              </w:rPr>
              <w:t xml:space="preserve"> </w:t>
            </w:r>
            <w:r w:rsidRPr="00000E66">
              <w:rPr>
                <w:sz w:val="20"/>
                <w:szCs w:val="20"/>
                <w:lang w:val="fr-FR"/>
              </w:rPr>
              <w:t>la</w:t>
            </w:r>
            <w:r w:rsidRPr="00000E66">
              <w:rPr>
                <w:spacing w:val="-18"/>
                <w:sz w:val="20"/>
                <w:szCs w:val="20"/>
                <w:lang w:val="fr-FR"/>
              </w:rPr>
              <w:t xml:space="preserve"> </w:t>
            </w:r>
            <w:r w:rsidRPr="00000E66">
              <w:rPr>
                <w:sz w:val="20"/>
                <w:szCs w:val="20"/>
                <w:lang w:val="fr-FR"/>
              </w:rPr>
              <w:t>pérennisation</w:t>
            </w:r>
            <w:r w:rsidRPr="00000E66">
              <w:rPr>
                <w:spacing w:val="-19"/>
                <w:sz w:val="20"/>
                <w:szCs w:val="20"/>
                <w:lang w:val="fr-FR"/>
              </w:rPr>
              <w:t xml:space="preserve"> </w:t>
            </w:r>
            <w:r w:rsidRPr="00000E66">
              <w:rPr>
                <w:sz w:val="20"/>
                <w:szCs w:val="20"/>
                <w:lang w:val="fr-FR"/>
              </w:rPr>
              <w:t>du</w:t>
            </w:r>
            <w:r w:rsidRPr="00000E66">
              <w:rPr>
                <w:spacing w:val="-18"/>
                <w:sz w:val="20"/>
                <w:szCs w:val="20"/>
                <w:lang w:val="fr-FR"/>
              </w:rPr>
              <w:t xml:space="preserve"> </w:t>
            </w:r>
            <w:r w:rsidRPr="00000E66">
              <w:rPr>
                <w:sz w:val="20"/>
                <w:szCs w:val="20"/>
                <w:lang w:val="fr-FR"/>
              </w:rPr>
              <w:t>Projet</w:t>
            </w:r>
            <w:r w:rsidRPr="00000E66">
              <w:rPr>
                <w:spacing w:val="-18"/>
                <w:sz w:val="20"/>
                <w:szCs w:val="20"/>
                <w:lang w:val="fr-FR"/>
              </w:rPr>
              <w:t xml:space="preserve"> </w:t>
            </w:r>
            <w:r w:rsidRPr="00000E66">
              <w:rPr>
                <w:sz w:val="20"/>
                <w:szCs w:val="20"/>
                <w:lang w:val="fr-FR"/>
              </w:rPr>
              <w:t>à cœur.</w:t>
            </w:r>
          </w:p>
        </w:tc>
        <w:tc>
          <w:tcPr>
            <w:tcW w:w="3469" w:type="dxa"/>
            <w:shd w:val="clear" w:color="auto" w:fill="auto"/>
          </w:tcPr>
          <w:p w14:paraId="71071B21" w14:textId="77777777" w:rsidR="009021F1" w:rsidRPr="00000E66" w:rsidRDefault="009021F1" w:rsidP="00E637E3">
            <w:pPr>
              <w:pStyle w:val="TableParagraph"/>
              <w:numPr>
                <w:ilvl w:val="0"/>
                <w:numId w:val="93"/>
              </w:numPr>
              <w:tabs>
                <w:tab w:val="left" w:pos="668"/>
              </w:tabs>
              <w:autoSpaceDE w:val="0"/>
              <w:autoSpaceDN w:val="0"/>
              <w:spacing w:before="32" w:line="232" w:lineRule="auto"/>
              <w:ind w:left="243" w:right="34"/>
              <w:rPr>
                <w:sz w:val="20"/>
                <w:szCs w:val="20"/>
                <w:lang w:val="fr-FR"/>
              </w:rPr>
            </w:pPr>
            <w:r w:rsidRPr="00000E66">
              <w:rPr>
                <w:sz w:val="20"/>
                <w:szCs w:val="20"/>
                <w:lang w:val="fr-FR"/>
              </w:rPr>
              <w:t>Nombre de séances d’information tenues auprès de la population ;</w:t>
            </w:r>
          </w:p>
          <w:p w14:paraId="38A8B5CD" w14:textId="77777777" w:rsidR="009021F1" w:rsidRPr="00000E66" w:rsidRDefault="009021F1" w:rsidP="00E637E3">
            <w:pPr>
              <w:pStyle w:val="TableParagraph"/>
              <w:numPr>
                <w:ilvl w:val="0"/>
                <w:numId w:val="93"/>
              </w:numPr>
              <w:tabs>
                <w:tab w:val="left" w:pos="668"/>
              </w:tabs>
              <w:autoSpaceDE w:val="0"/>
              <w:autoSpaceDN w:val="0"/>
              <w:spacing w:before="32"/>
              <w:ind w:left="243" w:right="34"/>
              <w:rPr>
                <w:sz w:val="20"/>
                <w:szCs w:val="20"/>
                <w:lang w:val="fr-FR"/>
              </w:rPr>
            </w:pPr>
            <w:r w:rsidRPr="00000E66">
              <w:rPr>
                <w:sz w:val="20"/>
                <w:szCs w:val="20"/>
                <w:lang w:val="fr-FR"/>
              </w:rPr>
              <w:t>Nombre d’emplois créés par le Projet ;</w:t>
            </w:r>
          </w:p>
          <w:p w14:paraId="3B535A35" w14:textId="77777777" w:rsidR="009021F1" w:rsidRPr="00000E66" w:rsidRDefault="009021F1" w:rsidP="00E637E3">
            <w:pPr>
              <w:pStyle w:val="TableParagraph"/>
              <w:numPr>
                <w:ilvl w:val="0"/>
                <w:numId w:val="93"/>
              </w:numPr>
              <w:tabs>
                <w:tab w:val="left" w:pos="668"/>
              </w:tabs>
              <w:autoSpaceDE w:val="0"/>
              <w:autoSpaceDN w:val="0"/>
              <w:spacing w:before="32" w:line="235" w:lineRule="auto"/>
              <w:ind w:left="243" w:right="34"/>
              <w:rPr>
                <w:sz w:val="20"/>
                <w:szCs w:val="20"/>
                <w:lang w:val="fr-FR"/>
              </w:rPr>
            </w:pPr>
            <w:r w:rsidRPr="00000E66">
              <w:rPr>
                <w:sz w:val="20"/>
                <w:szCs w:val="20"/>
                <w:lang w:val="fr-FR"/>
              </w:rPr>
              <w:t>Nombre d’emplois comblés par de la main-d’œuvre locale.</w:t>
            </w:r>
          </w:p>
        </w:tc>
      </w:tr>
      <w:tr w:rsidR="009021F1" w:rsidRPr="00BE2822" w14:paraId="73F31F14" w14:textId="77777777" w:rsidTr="00E637E3">
        <w:tc>
          <w:tcPr>
            <w:tcW w:w="2795" w:type="dxa"/>
            <w:shd w:val="clear" w:color="auto" w:fill="auto"/>
          </w:tcPr>
          <w:p w14:paraId="48C114A1" w14:textId="77777777" w:rsidR="009021F1" w:rsidRPr="00000E66" w:rsidRDefault="009021F1" w:rsidP="00E637E3">
            <w:pPr>
              <w:pStyle w:val="TableParagraph"/>
              <w:spacing w:line="213" w:lineRule="exact"/>
              <w:rPr>
                <w:sz w:val="20"/>
                <w:szCs w:val="20"/>
              </w:rPr>
            </w:pPr>
            <w:r w:rsidRPr="00000E66">
              <w:rPr>
                <w:sz w:val="20"/>
                <w:szCs w:val="20"/>
              </w:rPr>
              <w:t>Genre</w:t>
            </w:r>
          </w:p>
        </w:tc>
        <w:tc>
          <w:tcPr>
            <w:tcW w:w="3512" w:type="dxa"/>
            <w:shd w:val="clear" w:color="auto" w:fill="auto"/>
          </w:tcPr>
          <w:p w14:paraId="32412ED1" w14:textId="77777777" w:rsidR="009021F1" w:rsidRPr="00000E66" w:rsidRDefault="009021F1" w:rsidP="00E637E3">
            <w:pPr>
              <w:pStyle w:val="TableParagraph"/>
              <w:spacing w:before="28" w:line="235" w:lineRule="auto"/>
              <w:ind w:left="108"/>
              <w:rPr>
                <w:sz w:val="20"/>
                <w:szCs w:val="20"/>
                <w:lang w:val="fr-FR"/>
              </w:rPr>
            </w:pPr>
            <w:r w:rsidRPr="00000E66">
              <w:rPr>
                <w:sz w:val="20"/>
                <w:szCs w:val="20"/>
                <w:lang w:val="fr-FR"/>
              </w:rPr>
              <w:t>S’assurer</w:t>
            </w:r>
            <w:r w:rsidRPr="00000E66">
              <w:rPr>
                <w:spacing w:val="-24"/>
                <w:sz w:val="20"/>
                <w:szCs w:val="20"/>
                <w:lang w:val="fr-FR"/>
              </w:rPr>
              <w:t xml:space="preserve"> </w:t>
            </w:r>
            <w:r w:rsidRPr="00000E66">
              <w:rPr>
                <w:sz w:val="20"/>
                <w:szCs w:val="20"/>
                <w:lang w:val="fr-FR"/>
              </w:rPr>
              <w:t>que</w:t>
            </w:r>
            <w:r w:rsidRPr="00000E66">
              <w:rPr>
                <w:spacing w:val="-23"/>
                <w:sz w:val="20"/>
                <w:szCs w:val="20"/>
                <w:lang w:val="fr-FR"/>
              </w:rPr>
              <w:t xml:space="preserve"> </w:t>
            </w:r>
            <w:r w:rsidRPr="00000E66">
              <w:rPr>
                <w:sz w:val="20"/>
                <w:szCs w:val="20"/>
                <w:lang w:val="fr-FR"/>
              </w:rPr>
              <w:t>les</w:t>
            </w:r>
            <w:r w:rsidRPr="00000E66">
              <w:rPr>
                <w:spacing w:val="-24"/>
                <w:sz w:val="20"/>
                <w:szCs w:val="20"/>
                <w:lang w:val="fr-FR"/>
              </w:rPr>
              <w:t xml:space="preserve"> </w:t>
            </w:r>
            <w:r w:rsidRPr="00000E66">
              <w:rPr>
                <w:sz w:val="20"/>
                <w:szCs w:val="20"/>
                <w:lang w:val="fr-FR"/>
              </w:rPr>
              <w:t>femmes</w:t>
            </w:r>
            <w:r w:rsidRPr="00000E66">
              <w:rPr>
                <w:spacing w:val="-25"/>
                <w:sz w:val="20"/>
                <w:szCs w:val="20"/>
                <w:lang w:val="fr-FR"/>
              </w:rPr>
              <w:t xml:space="preserve"> </w:t>
            </w:r>
            <w:r w:rsidRPr="00000E66">
              <w:rPr>
                <w:sz w:val="20"/>
                <w:szCs w:val="20"/>
                <w:lang w:val="fr-FR"/>
              </w:rPr>
              <w:t>ne</w:t>
            </w:r>
            <w:r w:rsidRPr="00000E66">
              <w:rPr>
                <w:spacing w:val="-23"/>
                <w:sz w:val="20"/>
                <w:szCs w:val="20"/>
                <w:lang w:val="fr-FR"/>
              </w:rPr>
              <w:t xml:space="preserve"> </w:t>
            </w:r>
            <w:r w:rsidRPr="00000E66">
              <w:rPr>
                <w:sz w:val="20"/>
                <w:szCs w:val="20"/>
                <w:lang w:val="fr-FR"/>
              </w:rPr>
              <w:t>seront</w:t>
            </w:r>
            <w:r w:rsidRPr="00000E66">
              <w:rPr>
                <w:spacing w:val="-22"/>
                <w:sz w:val="20"/>
                <w:szCs w:val="20"/>
                <w:lang w:val="fr-FR"/>
              </w:rPr>
              <w:t xml:space="preserve"> </w:t>
            </w:r>
            <w:r w:rsidRPr="00000E66">
              <w:rPr>
                <w:sz w:val="20"/>
                <w:szCs w:val="20"/>
                <w:lang w:val="fr-FR"/>
              </w:rPr>
              <w:t>pas pénalisées lors de l’établissement des niveaux</w:t>
            </w:r>
            <w:r w:rsidRPr="00000E66">
              <w:rPr>
                <w:spacing w:val="-21"/>
                <w:sz w:val="20"/>
                <w:szCs w:val="20"/>
                <w:lang w:val="fr-FR"/>
              </w:rPr>
              <w:t xml:space="preserve"> </w:t>
            </w:r>
            <w:r w:rsidRPr="00000E66">
              <w:rPr>
                <w:sz w:val="20"/>
                <w:szCs w:val="20"/>
                <w:lang w:val="fr-FR"/>
              </w:rPr>
              <w:t>et</w:t>
            </w:r>
            <w:r w:rsidRPr="00000E66">
              <w:rPr>
                <w:spacing w:val="-20"/>
                <w:sz w:val="20"/>
                <w:szCs w:val="20"/>
                <w:lang w:val="fr-FR"/>
              </w:rPr>
              <w:t xml:space="preserve"> </w:t>
            </w:r>
            <w:r w:rsidRPr="00000E66">
              <w:rPr>
                <w:sz w:val="20"/>
                <w:szCs w:val="20"/>
                <w:lang w:val="fr-FR"/>
              </w:rPr>
              <w:t>montants</w:t>
            </w:r>
            <w:r w:rsidRPr="00000E66">
              <w:rPr>
                <w:spacing w:val="-20"/>
                <w:sz w:val="20"/>
                <w:szCs w:val="20"/>
                <w:lang w:val="fr-FR"/>
              </w:rPr>
              <w:t xml:space="preserve"> </w:t>
            </w:r>
            <w:r w:rsidRPr="00000E66">
              <w:rPr>
                <w:sz w:val="20"/>
                <w:szCs w:val="20"/>
                <w:lang w:val="fr-FR"/>
              </w:rPr>
              <w:t>de</w:t>
            </w:r>
            <w:r w:rsidRPr="00000E66">
              <w:rPr>
                <w:spacing w:val="-19"/>
                <w:sz w:val="20"/>
                <w:szCs w:val="20"/>
                <w:lang w:val="fr-FR"/>
              </w:rPr>
              <w:t xml:space="preserve"> </w:t>
            </w:r>
            <w:r w:rsidRPr="00000E66">
              <w:rPr>
                <w:sz w:val="20"/>
                <w:szCs w:val="20"/>
                <w:lang w:val="fr-FR"/>
              </w:rPr>
              <w:t>compensation lors de la réinstallation des ménages.</w:t>
            </w:r>
          </w:p>
        </w:tc>
        <w:tc>
          <w:tcPr>
            <w:tcW w:w="3469" w:type="dxa"/>
            <w:shd w:val="clear" w:color="auto" w:fill="auto"/>
          </w:tcPr>
          <w:p w14:paraId="09ADE8F6" w14:textId="77777777" w:rsidR="009021F1" w:rsidRPr="00000E66" w:rsidRDefault="009021F1" w:rsidP="00E637E3">
            <w:pPr>
              <w:pStyle w:val="TableParagraph"/>
              <w:numPr>
                <w:ilvl w:val="0"/>
                <w:numId w:val="93"/>
              </w:numPr>
              <w:tabs>
                <w:tab w:val="left" w:pos="668"/>
              </w:tabs>
              <w:autoSpaceDE w:val="0"/>
              <w:autoSpaceDN w:val="0"/>
              <w:spacing w:before="32" w:line="232" w:lineRule="auto"/>
              <w:ind w:left="243" w:right="34"/>
              <w:rPr>
                <w:sz w:val="20"/>
                <w:szCs w:val="20"/>
                <w:lang w:val="fr-FR"/>
              </w:rPr>
            </w:pPr>
            <w:r w:rsidRPr="00000E66">
              <w:rPr>
                <w:sz w:val="20"/>
                <w:szCs w:val="20"/>
                <w:lang w:val="fr-FR"/>
              </w:rPr>
              <w:t>Nombre total de ménage à déplacer ;</w:t>
            </w:r>
          </w:p>
          <w:p w14:paraId="6FCEE175" w14:textId="77777777" w:rsidR="009021F1" w:rsidRPr="00000E66" w:rsidRDefault="009021F1" w:rsidP="00E637E3">
            <w:pPr>
              <w:pStyle w:val="TableParagraph"/>
              <w:numPr>
                <w:ilvl w:val="0"/>
                <w:numId w:val="93"/>
              </w:numPr>
              <w:tabs>
                <w:tab w:val="left" w:pos="668"/>
              </w:tabs>
              <w:autoSpaceDE w:val="0"/>
              <w:autoSpaceDN w:val="0"/>
              <w:spacing w:before="32" w:line="232" w:lineRule="auto"/>
              <w:ind w:left="243" w:right="34"/>
              <w:rPr>
                <w:sz w:val="20"/>
                <w:szCs w:val="20"/>
                <w:lang w:val="fr-FR"/>
              </w:rPr>
            </w:pPr>
            <w:r w:rsidRPr="00000E66">
              <w:rPr>
                <w:sz w:val="20"/>
                <w:szCs w:val="20"/>
                <w:lang w:val="fr-FR"/>
              </w:rPr>
              <w:t>Nombre de ménages à déplacer dont le chef de ménage est une femme seule ;</w:t>
            </w:r>
          </w:p>
          <w:p w14:paraId="6EAC3944" w14:textId="77777777" w:rsidR="009021F1" w:rsidRPr="00000E66" w:rsidRDefault="009021F1" w:rsidP="00E637E3">
            <w:pPr>
              <w:pStyle w:val="TableParagraph"/>
              <w:numPr>
                <w:ilvl w:val="0"/>
                <w:numId w:val="93"/>
              </w:numPr>
              <w:tabs>
                <w:tab w:val="left" w:pos="668"/>
              </w:tabs>
              <w:autoSpaceDE w:val="0"/>
              <w:autoSpaceDN w:val="0"/>
              <w:spacing w:before="32" w:line="232" w:lineRule="auto"/>
              <w:ind w:left="243" w:right="34"/>
              <w:rPr>
                <w:sz w:val="20"/>
                <w:szCs w:val="20"/>
                <w:lang w:val="fr-FR"/>
              </w:rPr>
            </w:pPr>
            <w:r w:rsidRPr="00000E66">
              <w:rPr>
                <w:sz w:val="20"/>
                <w:szCs w:val="20"/>
                <w:lang w:val="fr-FR"/>
              </w:rPr>
              <w:t>Nombre de ménages à déplacer dont le chef de ménage est un homme seul ;</w:t>
            </w:r>
          </w:p>
          <w:p w14:paraId="601DD7F8" w14:textId="77777777" w:rsidR="009021F1" w:rsidRPr="00000E66" w:rsidRDefault="009021F1" w:rsidP="00E637E3">
            <w:pPr>
              <w:pStyle w:val="TableParagraph"/>
              <w:numPr>
                <w:ilvl w:val="0"/>
                <w:numId w:val="93"/>
              </w:numPr>
              <w:tabs>
                <w:tab w:val="left" w:pos="668"/>
              </w:tabs>
              <w:autoSpaceDE w:val="0"/>
              <w:autoSpaceDN w:val="0"/>
              <w:spacing w:before="32" w:line="232" w:lineRule="auto"/>
              <w:ind w:left="243" w:right="34"/>
              <w:rPr>
                <w:sz w:val="20"/>
                <w:szCs w:val="20"/>
                <w:lang w:val="fr-FR"/>
              </w:rPr>
            </w:pPr>
            <w:r w:rsidRPr="00000E66">
              <w:rPr>
                <w:sz w:val="20"/>
                <w:szCs w:val="20"/>
                <w:lang w:val="fr-FR"/>
              </w:rPr>
              <w:t>Montant des indemnisations versées en présence des deux conjoints.</w:t>
            </w:r>
          </w:p>
        </w:tc>
      </w:tr>
      <w:tr w:rsidR="009021F1" w:rsidRPr="00BE2822" w14:paraId="0236CAE5" w14:textId="77777777" w:rsidTr="00E637E3">
        <w:tc>
          <w:tcPr>
            <w:tcW w:w="2795" w:type="dxa"/>
            <w:shd w:val="clear" w:color="auto" w:fill="auto"/>
          </w:tcPr>
          <w:p w14:paraId="50FC483D" w14:textId="77777777" w:rsidR="009021F1" w:rsidRPr="00000E66" w:rsidRDefault="009021F1" w:rsidP="00E637E3">
            <w:pPr>
              <w:pStyle w:val="TableParagraph"/>
              <w:spacing w:line="213" w:lineRule="exact"/>
              <w:rPr>
                <w:sz w:val="20"/>
                <w:szCs w:val="20"/>
                <w:lang w:val="fr-FR"/>
              </w:rPr>
            </w:pPr>
            <w:r w:rsidRPr="00000E66">
              <w:rPr>
                <w:bCs/>
                <w:sz w:val="20"/>
                <w:szCs w:val="20"/>
                <w:lang w:val="fr-FR"/>
              </w:rPr>
              <w:t>VBG, y compris l’EAS/HS</w:t>
            </w:r>
          </w:p>
        </w:tc>
        <w:tc>
          <w:tcPr>
            <w:tcW w:w="3512" w:type="dxa"/>
            <w:shd w:val="clear" w:color="auto" w:fill="auto"/>
          </w:tcPr>
          <w:p w14:paraId="796C1D4E" w14:textId="77777777" w:rsidR="009021F1" w:rsidRPr="00000E66" w:rsidRDefault="009021F1" w:rsidP="00E637E3">
            <w:pPr>
              <w:rPr>
                <w:bCs/>
                <w:sz w:val="20"/>
                <w:szCs w:val="20"/>
                <w:u w:val="single"/>
                <w:lang w:val="en-US"/>
              </w:rPr>
            </w:pPr>
            <w:r w:rsidRPr="00000E66">
              <w:rPr>
                <w:bCs/>
                <w:sz w:val="20"/>
                <w:szCs w:val="20"/>
                <w:u w:val="single"/>
                <w:lang w:val="en-US"/>
              </w:rPr>
              <w:t>Risques d’EAS/HS</w:t>
            </w:r>
          </w:p>
          <w:p w14:paraId="43AD2EAC" w14:textId="77777777" w:rsidR="009021F1" w:rsidRPr="00000E66" w:rsidRDefault="009021F1" w:rsidP="00E637E3">
            <w:pPr>
              <w:pStyle w:val="TableParagraph"/>
              <w:numPr>
                <w:ilvl w:val="0"/>
                <w:numId w:val="93"/>
              </w:numPr>
              <w:tabs>
                <w:tab w:val="left" w:pos="668"/>
              </w:tabs>
              <w:autoSpaceDE w:val="0"/>
              <w:autoSpaceDN w:val="0"/>
              <w:spacing w:before="32" w:line="232" w:lineRule="auto"/>
              <w:ind w:left="243"/>
              <w:rPr>
                <w:sz w:val="20"/>
                <w:szCs w:val="20"/>
                <w:lang w:val="fr-FR"/>
              </w:rPr>
            </w:pPr>
            <w:r w:rsidRPr="00000E66">
              <w:rPr>
                <w:sz w:val="20"/>
                <w:szCs w:val="20"/>
                <w:lang w:val="fr-FR"/>
              </w:rPr>
              <w:t>Contrôle de l’efficience des mesures de gestion des risques liés à l’EAS/HS préconisées par le Projet ;</w:t>
            </w:r>
          </w:p>
          <w:p w14:paraId="65E467B4" w14:textId="77777777" w:rsidR="009021F1" w:rsidRPr="00000E66" w:rsidRDefault="009021F1" w:rsidP="00E637E3">
            <w:pPr>
              <w:pStyle w:val="TableParagraph"/>
              <w:numPr>
                <w:ilvl w:val="0"/>
                <w:numId w:val="93"/>
              </w:numPr>
              <w:tabs>
                <w:tab w:val="left" w:pos="668"/>
              </w:tabs>
              <w:autoSpaceDE w:val="0"/>
              <w:autoSpaceDN w:val="0"/>
              <w:spacing w:before="32" w:line="232" w:lineRule="auto"/>
              <w:ind w:left="243"/>
              <w:rPr>
                <w:sz w:val="20"/>
                <w:szCs w:val="20"/>
                <w:lang w:val="fr-FR"/>
              </w:rPr>
            </w:pPr>
            <w:r w:rsidRPr="00000E66">
              <w:rPr>
                <w:sz w:val="20"/>
                <w:szCs w:val="20"/>
                <w:lang w:val="fr-FR"/>
              </w:rPr>
              <w:t>Application des mesures d’incident lié à l’EAS/HS ;</w:t>
            </w:r>
          </w:p>
          <w:p w14:paraId="066B61D3" w14:textId="77777777" w:rsidR="009021F1" w:rsidRPr="00000E66" w:rsidRDefault="009021F1" w:rsidP="00E637E3">
            <w:pPr>
              <w:pStyle w:val="TableParagraph"/>
              <w:numPr>
                <w:ilvl w:val="0"/>
                <w:numId w:val="93"/>
              </w:numPr>
              <w:tabs>
                <w:tab w:val="left" w:pos="668"/>
              </w:tabs>
              <w:autoSpaceDE w:val="0"/>
              <w:autoSpaceDN w:val="0"/>
              <w:spacing w:before="32" w:line="232" w:lineRule="auto"/>
              <w:ind w:left="243"/>
              <w:rPr>
                <w:sz w:val="20"/>
                <w:szCs w:val="20"/>
                <w:lang w:val="fr-FR"/>
              </w:rPr>
            </w:pPr>
            <w:r w:rsidRPr="00000E66">
              <w:rPr>
                <w:sz w:val="20"/>
                <w:szCs w:val="20"/>
                <w:lang w:val="fr-FR"/>
              </w:rPr>
              <w:t>Contrôler les activités de sensibilisation de lutte contre les VBG, y compris l’EAS/HS ;</w:t>
            </w:r>
          </w:p>
          <w:p w14:paraId="609491AD" w14:textId="77777777" w:rsidR="009021F1" w:rsidRPr="00000E66" w:rsidRDefault="009021F1" w:rsidP="00E637E3">
            <w:pPr>
              <w:pStyle w:val="TableParagraph"/>
              <w:numPr>
                <w:ilvl w:val="0"/>
                <w:numId w:val="93"/>
              </w:numPr>
              <w:tabs>
                <w:tab w:val="left" w:pos="668"/>
              </w:tabs>
              <w:autoSpaceDE w:val="0"/>
              <w:autoSpaceDN w:val="0"/>
              <w:spacing w:before="32" w:line="232" w:lineRule="auto"/>
              <w:ind w:left="243"/>
              <w:rPr>
                <w:sz w:val="20"/>
                <w:szCs w:val="20"/>
                <w:lang w:val="fr-FR"/>
              </w:rPr>
            </w:pPr>
            <w:r w:rsidRPr="00000E66">
              <w:rPr>
                <w:sz w:val="20"/>
                <w:szCs w:val="20"/>
                <w:lang w:val="fr-FR"/>
              </w:rPr>
              <w:t>Contrôler le référencement des survivant(e)s aux services de prise en charge ;</w:t>
            </w:r>
          </w:p>
          <w:p w14:paraId="3EA57243" w14:textId="77777777" w:rsidR="009021F1" w:rsidRPr="00000E66" w:rsidRDefault="009021F1" w:rsidP="00E637E3">
            <w:pPr>
              <w:pStyle w:val="TableParagraph"/>
              <w:numPr>
                <w:ilvl w:val="0"/>
                <w:numId w:val="93"/>
              </w:numPr>
              <w:tabs>
                <w:tab w:val="left" w:pos="668"/>
              </w:tabs>
              <w:autoSpaceDE w:val="0"/>
              <w:autoSpaceDN w:val="0"/>
              <w:spacing w:before="32" w:line="232" w:lineRule="auto"/>
              <w:ind w:left="243"/>
              <w:rPr>
                <w:sz w:val="20"/>
                <w:szCs w:val="20"/>
                <w:lang w:val="fr-FR"/>
              </w:rPr>
            </w:pPr>
            <w:r w:rsidRPr="00000E66">
              <w:rPr>
                <w:sz w:val="20"/>
                <w:szCs w:val="20"/>
                <w:lang w:val="fr-FR"/>
              </w:rPr>
              <w:t>Contrôler le fonctionnement du MGP quant aux plaintes liées à l’EAS/HS.</w:t>
            </w:r>
          </w:p>
        </w:tc>
        <w:tc>
          <w:tcPr>
            <w:tcW w:w="3469" w:type="dxa"/>
            <w:shd w:val="clear" w:color="auto" w:fill="auto"/>
          </w:tcPr>
          <w:p w14:paraId="6C1D5B10" w14:textId="77777777" w:rsidR="009021F1" w:rsidRPr="00000E66" w:rsidRDefault="009021F1" w:rsidP="00E637E3">
            <w:pPr>
              <w:pStyle w:val="TableParagraph"/>
              <w:numPr>
                <w:ilvl w:val="0"/>
                <w:numId w:val="93"/>
              </w:numPr>
              <w:tabs>
                <w:tab w:val="left" w:pos="668"/>
              </w:tabs>
              <w:autoSpaceDE w:val="0"/>
              <w:autoSpaceDN w:val="0"/>
              <w:spacing w:before="32" w:line="232" w:lineRule="auto"/>
              <w:ind w:right="34"/>
              <w:rPr>
                <w:sz w:val="20"/>
                <w:szCs w:val="20"/>
                <w:lang w:val="fr-FR"/>
              </w:rPr>
            </w:pPr>
            <w:r w:rsidRPr="00000E66">
              <w:rPr>
                <w:sz w:val="20"/>
                <w:szCs w:val="20"/>
                <w:lang w:val="fr-FR"/>
              </w:rPr>
              <w:t>Prise en compte des mesures de gestion des risques et leur application ;</w:t>
            </w:r>
          </w:p>
          <w:p w14:paraId="3D3B7624" w14:textId="77777777" w:rsidR="009021F1" w:rsidRPr="00000E66" w:rsidRDefault="009021F1" w:rsidP="00E637E3">
            <w:pPr>
              <w:pStyle w:val="TableParagraph"/>
              <w:numPr>
                <w:ilvl w:val="0"/>
                <w:numId w:val="93"/>
              </w:numPr>
              <w:tabs>
                <w:tab w:val="left" w:pos="668"/>
              </w:tabs>
              <w:autoSpaceDE w:val="0"/>
              <w:autoSpaceDN w:val="0"/>
              <w:spacing w:before="32" w:line="232" w:lineRule="auto"/>
              <w:ind w:right="34"/>
              <w:rPr>
                <w:sz w:val="20"/>
                <w:szCs w:val="20"/>
                <w:lang w:val="fr-FR"/>
              </w:rPr>
            </w:pPr>
            <w:r w:rsidRPr="00000E66">
              <w:rPr>
                <w:sz w:val="20"/>
                <w:szCs w:val="20"/>
                <w:lang w:val="fr-FR"/>
              </w:rPr>
              <w:t>Nombre de séances de sensibilisation ;</w:t>
            </w:r>
          </w:p>
          <w:p w14:paraId="2D300A56" w14:textId="77777777" w:rsidR="009021F1" w:rsidRPr="00000E66" w:rsidRDefault="009021F1" w:rsidP="00E637E3">
            <w:pPr>
              <w:pStyle w:val="TableParagraph"/>
              <w:numPr>
                <w:ilvl w:val="0"/>
                <w:numId w:val="93"/>
              </w:numPr>
              <w:tabs>
                <w:tab w:val="left" w:pos="668"/>
              </w:tabs>
              <w:autoSpaceDE w:val="0"/>
              <w:autoSpaceDN w:val="0"/>
              <w:spacing w:before="32" w:line="232" w:lineRule="auto"/>
              <w:ind w:right="34"/>
              <w:rPr>
                <w:sz w:val="20"/>
                <w:szCs w:val="20"/>
                <w:lang w:val="fr-FR"/>
              </w:rPr>
            </w:pPr>
            <w:r w:rsidRPr="00000E66">
              <w:rPr>
                <w:sz w:val="20"/>
                <w:szCs w:val="20"/>
                <w:lang w:val="fr-FR"/>
              </w:rPr>
              <w:t>Nombre de personnes touchées au cours des séances de sensibilisation ;</w:t>
            </w:r>
          </w:p>
          <w:p w14:paraId="2709551E" w14:textId="77777777" w:rsidR="009021F1" w:rsidRPr="00000E66" w:rsidRDefault="009021F1" w:rsidP="00E637E3">
            <w:pPr>
              <w:pStyle w:val="TableParagraph"/>
              <w:numPr>
                <w:ilvl w:val="0"/>
                <w:numId w:val="93"/>
              </w:numPr>
              <w:tabs>
                <w:tab w:val="left" w:pos="668"/>
              </w:tabs>
              <w:autoSpaceDE w:val="0"/>
              <w:autoSpaceDN w:val="0"/>
              <w:spacing w:before="32" w:line="232" w:lineRule="auto"/>
              <w:ind w:right="34"/>
              <w:rPr>
                <w:sz w:val="20"/>
                <w:szCs w:val="20"/>
                <w:lang w:val="fr-FR"/>
              </w:rPr>
            </w:pPr>
            <w:r w:rsidRPr="00000E66">
              <w:rPr>
                <w:sz w:val="20"/>
                <w:szCs w:val="20"/>
                <w:lang w:val="fr-FR"/>
              </w:rPr>
              <w:t>Nombre de structures d’offre des services de prise en charge ;</w:t>
            </w:r>
          </w:p>
          <w:p w14:paraId="2C132B81" w14:textId="77777777" w:rsidR="009021F1" w:rsidRPr="00000E66" w:rsidRDefault="009021F1" w:rsidP="00E637E3">
            <w:pPr>
              <w:pStyle w:val="TableParagraph"/>
              <w:numPr>
                <w:ilvl w:val="0"/>
                <w:numId w:val="93"/>
              </w:numPr>
              <w:tabs>
                <w:tab w:val="left" w:pos="668"/>
              </w:tabs>
              <w:autoSpaceDE w:val="0"/>
              <w:autoSpaceDN w:val="0"/>
              <w:spacing w:before="32" w:line="232" w:lineRule="auto"/>
              <w:ind w:right="34"/>
              <w:rPr>
                <w:sz w:val="20"/>
                <w:szCs w:val="20"/>
                <w:lang w:val="fr-FR"/>
              </w:rPr>
            </w:pPr>
            <w:r w:rsidRPr="00000E66">
              <w:rPr>
                <w:sz w:val="20"/>
                <w:szCs w:val="20"/>
                <w:lang w:val="fr-FR"/>
              </w:rPr>
              <w:t>Le respect des principes directeurs de prise en charge des survivantes des violences basées sur le genre/EAS/HS ;</w:t>
            </w:r>
          </w:p>
          <w:p w14:paraId="7678B1E7" w14:textId="77777777" w:rsidR="009021F1" w:rsidRPr="00000E66" w:rsidRDefault="009021F1" w:rsidP="00E637E3">
            <w:pPr>
              <w:pStyle w:val="TableParagraph"/>
              <w:numPr>
                <w:ilvl w:val="0"/>
                <w:numId w:val="93"/>
              </w:numPr>
              <w:tabs>
                <w:tab w:val="left" w:pos="668"/>
              </w:tabs>
              <w:autoSpaceDE w:val="0"/>
              <w:autoSpaceDN w:val="0"/>
              <w:spacing w:before="32" w:line="232" w:lineRule="auto"/>
              <w:ind w:right="34"/>
              <w:rPr>
                <w:sz w:val="20"/>
                <w:szCs w:val="20"/>
                <w:lang w:val="fr-FR"/>
              </w:rPr>
            </w:pPr>
            <w:r w:rsidRPr="00000E66">
              <w:rPr>
                <w:sz w:val="20"/>
                <w:szCs w:val="20"/>
                <w:lang w:val="fr-FR"/>
              </w:rPr>
              <w:t>Nombre de cas traités au MGP.</w:t>
            </w:r>
          </w:p>
          <w:p w14:paraId="0F4DD40C" w14:textId="77777777" w:rsidR="009021F1" w:rsidRPr="00000E66" w:rsidRDefault="009021F1" w:rsidP="00E637E3">
            <w:pPr>
              <w:numPr>
                <w:ilvl w:val="0"/>
                <w:numId w:val="93"/>
              </w:numPr>
              <w:autoSpaceDE w:val="0"/>
              <w:autoSpaceDN w:val="0"/>
              <w:adjustRightInd w:val="0"/>
              <w:spacing w:line="240" w:lineRule="auto"/>
              <w:ind w:right="34"/>
              <w:jc w:val="left"/>
              <w:rPr>
                <w:sz w:val="20"/>
                <w:szCs w:val="20"/>
              </w:rPr>
            </w:pPr>
            <w:r w:rsidRPr="00000E66">
              <w:rPr>
                <w:sz w:val="20"/>
                <w:szCs w:val="20"/>
              </w:rPr>
              <w:t>Nombre de séances de formation de travailleurs et personnel du Projet en VBG ventilées par sexe ;</w:t>
            </w:r>
          </w:p>
          <w:p w14:paraId="37CC7DD7" w14:textId="77777777" w:rsidR="009021F1" w:rsidRPr="00000E66" w:rsidRDefault="009021F1" w:rsidP="00E637E3">
            <w:pPr>
              <w:numPr>
                <w:ilvl w:val="0"/>
                <w:numId w:val="93"/>
              </w:numPr>
              <w:autoSpaceDE w:val="0"/>
              <w:autoSpaceDN w:val="0"/>
              <w:adjustRightInd w:val="0"/>
              <w:spacing w:line="240" w:lineRule="auto"/>
              <w:ind w:right="34"/>
              <w:jc w:val="left"/>
              <w:rPr>
                <w:sz w:val="20"/>
                <w:szCs w:val="20"/>
              </w:rPr>
            </w:pPr>
            <w:r w:rsidRPr="00000E66">
              <w:rPr>
                <w:sz w:val="20"/>
                <w:szCs w:val="20"/>
              </w:rPr>
              <w:t>Nombre de séances de recyclage de travailleurs et personnel du Projet en VBG ;</w:t>
            </w:r>
          </w:p>
          <w:p w14:paraId="3B0484C3" w14:textId="77777777" w:rsidR="009021F1" w:rsidRPr="00000E66" w:rsidRDefault="009021F1" w:rsidP="00E637E3">
            <w:pPr>
              <w:numPr>
                <w:ilvl w:val="0"/>
                <w:numId w:val="93"/>
              </w:numPr>
              <w:autoSpaceDE w:val="0"/>
              <w:autoSpaceDN w:val="0"/>
              <w:adjustRightInd w:val="0"/>
              <w:spacing w:line="240" w:lineRule="auto"/>
              <w:ind w:right="34"/>
              <w:jc w:val="left"/>
              <w:rPr>
                <w:sz w:val="20"/>
                <w:szCs w:val="20"/>
              </w:rPr>
            </w:pPr>
            <w:r w:rsidRPr="00000E66">
              <w:rPr>
                <w:sz w:val="20"/>
                <w:szCs w:val="20"/>
              </w:rPr>
              <w:t>% des participant(e)s aux formations en VBG qui reçoivent une note sur le post test au-delà de 70% ;</w:t>
            </w:r>
          </w:p>
          <w:p w14:paraId="3765F6A5" w14:textId="77777777" w:rsidR="009021F1" w:rsidRPr="00000E66" w:rsidRDefault="009021F1" w:rsidP="00E637E3">
            <w:pPr>
              <w:numPr>
                <w:ilvl w:val="0"/>
                <w:numId w:val="93"/>
              </w:numPr>
              <w:autoSpaceDE w:val="0"/>
              <w:autoSpaceDN w:val="0"/>
              <w:adjustRightInd w:val="0"/>
              <w:spacing w:line="240" w:lineRule="auto"/>
              <w:ind w:right="34"/>
              <w:jc w:val="left"/>
              <w:rPr>
                <w:sz w:val="20"/>
                <w:szCs w:val="20"/>
              </w:rPr>
            </w:pPr>
            <w:r w:rsidRPr="00000E66">
              <w:rPr>
                <w:sz w:val="20"/>
                <w:szCs w:val="20"/>
              </w:rPr>
              <w:t>% de survivant(e)s qui se présentent dans les 72 heures suivant un incident de viol sont référées pour la PEC médicale ;</w:t>
            </w:r>
          </w:p>
          <w:p w14:paraId="5DB3EE8F" w14:textId="77777777" w:rsidR="009021F1" w:rsidRPr="00000E66" w:rsidRDefault="009021F1" w:rsidP="00E637E3">
            <w:pPr>
              <w:numPr>
                <w:ilvl w:val="0"/>
                <w:numId w:val="93"/>
              </w:numPr>
              <w:autoSpaceDE w:val="0"/>
              <w:autoSpaceDN w:val="0"/>
              <w:adjustRightInd w:val="0"/>
              <w:spacing w:line="240" w:lineRule="auto"/>
              <w:ind w:right="34"/>
              <w:jc w:val="left"/>
              <w:rPr>
                <w:sz w:val="20"/>
                <w:szCs w:val="20"/>
              </w:rPr>
            </w:pPr>
            <w:r w:rsidRPr="00000E66">
              <w:rPr>
                <w:sz w:val="20"/>
                <w:szCs w:val="20"/>
              </w:rPr>
              <w:t>% de survivant(e)s référées pour la prise en charge psychosociale ;</w:t>
            </w:r>
          </w:p>
          <w:p w14:paraId="5AD3BCE3" w14:textId="77777777" w:rsidR="009021F1" w:rsidRPr="00000E66" w:rsidRDefault="009021F1" w:rsidP="00E637E3">
            <w:pPr>
              <w:numPr>
                <w:ilvl w:val="0"/>
                <w:numId w:val="93"/>
              </w:numPr>
              <w:autoSpaceDE w:val="0"/>
              <w:autoSpaceDN w:val="0"/>
              <w:adjustRightInd w:val="0"/>
              <w:spacing w:line="240" w:lineRule="auto"/>
              <w:ind w:right="34"/>
              <w:jc w:val="left"/>
              <w:rPr>
                <w:sz w:val="20"/>
                <w:szCs w:val="20"/>
              </w:rPr>
            </w:pPr>
            <w:r w:rsidRPr="00000E66">
              <w:rPr>
                <w:sz w:val="20"/>
                <w:szCs w:val="20"/>
              </w:rPr>
              <w:t>% de survivant(e)s qui sollicitent un appui juridique sont référées à ces services ;</w:t>
            </w:r>
          </w:p>
          <w:p w14:paraId="0802419C" w14:textId="77777777" w:rsidR="009021F1" w:rsidRPr="00000E66" w:rsidRDefault="009021F1" w:rsidP="00E637E3">
            <w:pPr>
              <w:numPr>
                <w:ilvl w:val="0"/>
                <w:numId w:val="93"/>
              </w:numPr>
              <w:autoSpaceDE w:val="0"/>
              <w:autoSpaceDN w:val="0"/>
              <w:adjustRightInd w:val="0"/>
              <w:spacing w:line="240" w:lineRule="auto"/>
              <w:ind w:right="34"/>
              <w:jc w:val="left"/>
              <w:rPr>
                <w:sz w:val="20"/>
                <w:szCs w:val="20"/>
              </w:rPr>
            </w:pPr>
            <w:r w:rsidRPr="00000E66">
              <w:rPr>
                <w:sz w:val="20"/>
                <w:szCs w:val="20"/>
              </w:rPr>
              <w:t>Nombre de plaintes d’EAS/HS (sans cible) qui sont reçues par le MGP ;</w:t>
            </w:r>
          </w:p>
          <w:p w14:paraId="599BBBC9" w14:textId="77777777" w:rsidR="009021F1" w:rsidRPr="00000E66" w:rsidRDefault="009021F1" w:rsidP="00E637E3">
            <w:pPr>
              <w:numPr>
                <w:ilvl w:val="0"/>
                <w:numId w:val="93"/>
              </w:numPr>
              <w:autoSpaceDE w:val="0"/>
              <w:autoSpaceDN w:val="0"/>
              <w:adjustRightInd w:val="0"/>
              <w:spacing w:line="240" w:lineRule="auto"/>
              <w:ind w:right="34"/>
              <w:jc w:val="left"/>
              <w:rPr>
                <w:sz w:val="20"/>
                <w:szCs w:val="20"/>
              </w:rPr>
            </w:pPr>
            <w:r w:rsidRPr="00000E66">
              <w:rPr>
                <w:sz w:val="20"/>
                <w:szCs w:val="20"/>
              </w:rPr>
              <w:t>% de plaintes d’EAS/HS au MGP qui sont résolues dans le délai prévu ;</w:t>
            </w:r>
          </w:p>
          <w:p w14:paraId="467FFE1D" w14:textId="77777777" w:rsidR="009021F1" w:rsidRPr="00000E66" w:rsidRDefault="009021F1" w:rsidP="00E637E3">
            <w:pPr>
              <w:numPr>
                <w:ilvl w:val="0"/>
                <w:numId w:val="93"/>
              </w:numPr>
              <w:autoSpaceDE w:val="0"/>
              <w:autoSpaceDN w:val="0"/>
              <w:adjustRightInd w:val="0"/>
              <w:spacing w:line="240" w:lineRule="auto"/>
              <w:ind w:right="34"/>
              <w:jc w:val="left"/>
              <w:rPr>
                <w:sz w:val="20"/>
                <w:szCs w:val="20"/>
              </w:rPr>
            </w:pPr>
            <w:r w:rsidRPr="00000E66">
              <w:rPr>
                <w:sz w:val="20"/>
                <w:szCs w:val="20"/>
              </w:rPr>
              <w:t>% de plaintes d’EAS/HS au MGP qui ne sont pas résolues dans le délai prévu ;</w:t>
            </w:r>
          </w:p>
          <w:p w14:paraId="37446E2F" w14:textId="77777777" w:rsidR="009021F1" w:rsidRPr="00000E66" w:rsidRDefault="009021F1" w:rsidP="00E637E3">
            <w:pPr>
              <w:numPr>
                <w:ilvl w:val="0"/>
                <w:numId w:val="93"/>
              </w:numPr>
              <w:autoSpaceDE w:val="0"/>
              <w:autoSpaceDN w:val="0"/>
              <w:adjustRightInd w:val="0"/>
              <w:spacing w:line="240" w:lineRule="auto"/>
              <w:ind w:right="34"/>
              <w:jc w:val="left"/>
              <w:rPr>
                <w:sz w:val="20"/>
                <w:szCs w:val="20"/>
              </w:rPr>
            </w:pPr>
            <w:r w:rsidRPr="00000E66">
              <w:rPr>
                <w:sz w:val="20"/>
                <w:szCs w:val="20"/>
              </w:rPr>
              <w:t>Le délai moyen pour résoudre une plainte d’EAS/HS à travers le MGP ;</w:t>
            </w:r>
          </w:p>
          <w:p w14:paraId="5743DE22" w14:textId="77777777" w:rsidR="009021F1" w:rsidRPr="00000E66" w:rsidRDefault="009021F1" w:rsidP="00E637E3">
            <w:pPr>
              <w:numPr>
                <w:ilvl w:val="0"/>
                <w:numId w:val="93"/>
              </w:numPr>
              <w:autoSpaceDE w:val="0"/>
              <w:autoSpaceDN w:val="0"/>
              <w:adjustRightInd w:val="0"/>
              <w:spacing w:line="240" w:lineRule="auto"/>
              <w:ind w:right="34"/>
              <w:jc w:val="left"/>
              <w:rPr>
                <w:sz w:val="20"/>
                <w:szCs w:val="20"/>
              </w:rPr>
            </w:pPr>
            <w:r w:rsidRPr="00000E66">
              <w:rPr>
                <w:sz w:val="20"/>
                <w:szCs w:val="20"/>
              </w:rPr>
              <w:t>Nombre de campagnes de sensibilisations sur les VBG, les comportements interdits, et le MGP ;</w:t>
            </w:r>
          </w:p>
          <w:p w14:paraId="61ADAF1E" w14:textId="77777777" w:rsidR="009021F1" w:rsidRPr="00000E66" w:rsidRDefault="009021F1" w:rsidP="00E637E3">
            <w:pPr>
              <w:numPr>
                <w:ilvl w:val="0"/>
                <w:numId w:val="93"/>
              </w:numPr>
              <w:autoSpaceDE w:val="0"/>
              <w:autoSpaceDN w:val="0"/>
              <w:adjustRightInd w:val="0"/>
              <w:spacing w:line="240" w:lineRule="auto"/>
              <w:ind w:right="34"/>
              <w:jc w:val="left"/>
              <w:rPr>
                <w:sz w:val="20"/>
                <w:szCs w:val="20"/>
              </w:rPr>
            </w:pPr>
            <w:r w:rsidRPr="00000E66">
              <w:rPr>
                <w:sz w:val="20"/>
                <w:szCs w:val="20"/>
              </w:rPr>
              <w:t>Nombre de populations ciblées / sensibilisées ventilées par sexe et par âge.</w:t>
            </w:r>
          </w:p>
          <w:p w14:paraId="5F23F9E6" w14:textId="77777777" w:rsidR="009021F1" w:rsidRPr="00000E66" w:rsidRDefault="009021F1" w:rsidP="00E637E3">
            <w:pPr>
              <w:pStyle w:val="TableParagraph"/>
              <w:numPr>
                <w:ilvl w:val="0"/>
                <w:numId w:val="93"/>
              </w:numPr>
              <w:tabs>
                <w:tab w:val="left" w:pos="668"/>
              </w:tabs>
              <w:autoSpaceDE w:val="0"/>
              <w:autoSpaceDN w:val="0"/>
              <w:spacing w:before="32" w:line="232" w:lineRule="auto"/>
              <w:ind w:right="34"/>
              <w:rPr>
                <w:sz w:val="20"/>
                <w:szCs w:val="20"/>
                <w:lang w:val="fr-FR"/>
              </w:rPr>
            </w:pPr>
          </w:p>
        </w:tc>
      </w:tr>
      <w:tr w:rsidR="009021F1" w:rsidRPr="00BE2822" w14:paraId="01238095" w14:textId="77777777" w:rsidTr="00E637E3">
        <w:tc>
          <w:tcPr>
            <w:tcW w:w="2795" w:type="dxa"/>
            <w:shd w:val="clear" w:color="auto" w:fill="auto"/>
          </w:tcPr>
          <w:p w14:paraId="0B125A9B" w14:textId="77777777" w:rsidR="009021F1" w:rsidRPr="00000E66" w:rsidRDefault="009021F1" w:rsidP="00E637E3">
            <w:pPr>
              <w:pStyle w:val="TableParagraph"/>
              <w:spacing w:line="214" w:lineRule="exact"/>
              <w:rPr>
                <w:sz w:val="20"/>
                <w:szCs w:val="20"/>
              </w:rPr>
            </w:pPr>
            <w:r w:rsidRPr="00000E66">
              <w:rPr>
                <w:sz w:val="20"/>
                <w:szCs w:val="20"/>
              </w:rPr>
              <w:t>Qualité de vie</w:t>
            </w:r>
          </w:p>
        </w:tc>
        <w:tc>
          <w:tcPr>
            <w:tcW w:w="3512" w:type="dxa"/>
            <w:shd w:val="clear" w:color="auto" w:fill="auto"/>
          </w:tcPr>
          <w:p w14:paraId="5A2AB49E" w14:textId="77777777" w:rsidR="009021F1" w:rsidRPr="00000E66" w:rsidRDefault="009021F1" w:rsidP="00E637E3">
            <w:pPr>
              <w:pStyle w:val="TableParagraph"/>
              <w:spacing w:line="216" w:lineRule="exact"/>
              <w:ind w:left="108"/>
              <w:rPr>
                <w:sz w:val="20"/>
                <w:szCs w:val="20"/>
                <w:lang w:val="fr-FR"/>
              </w:rPr>
            </w:pPr>
            <w:r w:rsidRPr="00000E66">
              <w:rPr>
                <w:sz w:val="20"/>
                <w:szCs w:val="20"/>
                <w:lang w:val="fr-FR"/>
              </w:rPr>
              <w:t>S’assurer</w:t>
            </w:r>
            <w:r w:rsidRPr="00000E66">
              <w:rPr>
                <w:spacing w:val="-27"/>
                <w:sz w:val="20"/>
                <w:szCs w:val="20"/>
                <w:lang w:val="fr-FR"/>
              </w:rPr>
              <w:t xml:space="preserve"> </w:t>
            </w:r>
            <w:r w:rsidRPr="00000E66">
              <w:rPr>
                <w:sz w:val="20"/>
                <w:szCs w:val="20"/>
                <w:lang w:val="fr-FR"/>
              </w:rPr>
              <w:t>que</w:t>
            </w:r>
            <w:r w:rsidRPr="00000E66">
              <w:rPr>
                <w:spacing w:val="-25"/>
                <w:sz w:val="20"/>
                <w:szCs w:val="20"/>
                <w:lang w:val="fr-FR"/>
              </w:rPr>
              <w:t xml:space="preserve"> </w:t>
            </w:r>
            <w:r w:rsidRPr="00000E66">
              <w:rPr>
                <w:sz w:val="20"/>
                <w:szCs w:val="20"/>
                <w:lang w:val="fr-FR"/>
              </w:rPr>
              <w:t>les</w:t>
            </w:r>
            <w:r w:rsidRPr="00000E66">
              <w:rPr>
                <w:spacing w:val="-27"/>
                <w:sz w:val="20"/>
                <w:szCs w:val="20"/>
                <w:lang w:val="fr-FR"/>
              </w:rPr>
              <w:t xml:space="preserve"> </w:t>
            </w:r>
            <w:r w:rsidRPr="00000E66">
              <w:rPr>
                <w:sz w:val="20"/>
                <w:szCs w:val="20"/>
                <w:lang w:val="fr-FR"/>
              </w:rPr>
              <w:t>conditions</w:t>
            </w:r>
            <w:r w:rsidRPr="00000E66">
              <w:rPr>
                <w:spacing w:val="-26"/>
                <w:sz w:val="20"/>
                <w:szCs w:val="20"/>
                <w:lang w:val="fr-FR"/>
              </w:rPr>
              <w:t xml:space="preserve"> </w:t>
            </w:r>
            <w:r w:rsidRPr="00000E66">
              <w:rPr>
                <w:sz w:val="20"/>
                <w:szCs w:val="20"/>
                <w:lang w:val="fr-FR"/>
              </w:rPr>
              <w:t>de</w:t>
            </w:r>
            <w:r w:rsidRPr="00000E66">
              <w:rPr>
                <w:spacing w:val="-26"/>
                <w:sz w:val="20"/>
                <w:szCs w:val="20"/>
                <w:lang w:val="fr-FR"/>
              </w:rPr>
              <w:t xml:space="preserve"> </w:t>
            </w:r>
            <w:r w:rsidRPr="00000E66">
              <w:rPr>
                <w:sz w:val="20"/>
                <w:szCs w:val="20"/>
                <w:lang w:val="fr-FR"/>
              </w:rPr>
              <w:t>vie</w:t>
            </w:r>
            <w:r w:rsidRPr="00000E66">
              <w:rPr>
                <w:spacing w:val="-26"/>
                <w:sz w:val="20"/>
                <w:szCs w:val="20"/>
                <w:lang w:val="fr-FR"/>
              </w:rPr>
              <w:t xml:space="preserve"> </w:t>
            </w:r>
            <w:r w:rsidRPr="00000E66">
              <w:rPr>
                <w:sz w:val="20"/>
                <w:szCs w:val="20"/>
                <w:lang w:val="fr-FR"/>
              </w:rPr>
              <w:t>des travailleurs non-résidents et des personnes déplacées ne soient</w:t>
            </w:r>
            <w:r w:rsidRPr="00000E66">
              <w:rPr>
                <w:spacing w:val="-34"/>
                <w:sz w:val="20"/>
                <w:szCs w:val="20"/>
                <w:lang w:val="fr-FR"/>
              </w:rPr>
              <w:t xml:space="preserve"> </w:t>
            </w:r>
            <w:r w:rsidRPr="00000E66">
              <w:rPr>
                <w:sz w:val="20"/>
                <w:szCs w:val="20"/>
                <w:lang w:val="fr-FR"/>
              </w:rPr>
              <w:t>pas réduites par le Projet.</w:t>
            </w:r>
          </w:p>
        </w:tc>
        <w:tc>
          <w:tcPr>
            <w:tcW w:w="3469" w:type="dxa"/>
            <w:shd w:val="clear" w:color="auto" w:fill="auto"/>
          </w:tcPr>
          <w:p w14:paraId="335FE6BC" w14:textId="77777777" w:rsidR="009021F1" w:rsidRPr="00000E66" w:rsidRDefault="009021F1" w:rsidP="00E637E3">
            <w:pPr>
              <w:pStyle w:val="TableParagraph"/>
              <w:numPr>
                <w:ilvl w:val="0"/>
                <w:numId w:val="93"/>
              </w:numPr>
              <w:tabs>
                <w:tab w:val="left" w:pos="668"/>
              </w:tabs>
              <w:autoSpaceDE w:val="0"/>
              <w:autoSpaceDN w:val="0"/>
              <w:spacing w:before="32" w:line="232" w:lineRule="auto"/>
              <w:ind w:left="243" w:right="34"/>
              <w:rPr>
                <w:sz w:val="20"/>
                <w:szCs w:val="20"/>
                <w:lang w:val="fr-FR"/>
              </w:rPr>
            </w:pPr>
            <w:r w:rsidRPr="00000E66">
              <w:rPr>
                <w:sz w:val="20"/>
                <w:szCs w:val="20"/>
                <w:lang w:val="fr-FR"/>
              </w:rPr>
              <w:t>Nombre d’inspections des lieux de travail et des campements (s’il y a lieu) effectuées selon les règles établies par le Projet, y compris les conditions et la sécurité des logements et/ou installations sanitaires.</w:t>
            </w:r>
          </w:p>
        </w:tc>
      </w:tr>
      <w:tr w:rsidR="009021F1" w:rsidRPr="00BE2822" w14:paraId="36B2E019" w14:textId="77777777" w:rsidTr="00E637E3">
        <w:tc>
          <w:tcPr>
            <w:tcW w:w="2795" w:type="dxa"/>
            <w:shd w:val="clear" w:color="auto" w:fill="auto"/>
          </w:tcPr>
          <w:p w14:paraId="4A089624" w14:textId="77777777" w:rsidR="009021F1" w:rsidRPr="00000E66" w:rsidRDefault="009021F1" w:rsidP="00E637E3">
            <w:pPr>
              <w:pStyle w:val="TableParagraph"/>
              <w:spacing w:line="213" w:lineRule="exact"/>
              <w:rPr>
                <w:sz w:val="20"/>
                <w:szCs w:val="20"/>
              </w:rPr>
            </w:pPr>
            <w:r w:rsidRPr="00000E66">
              <w:rPr>
                <w:sz w:val="20"/>
                <w:szCs w:val="20"/>
              </w:rPr>
              <w:t>Qualité de vie (suite)</w:t>
            </w:r>
          </w:p>
        </w:tc>
        <w:tc>
          <w:tcPr>
            <w:tcW w:w="3512" w:type="dxa"/>
            <w:shd w:val="clear" w:color="auto" w:fill="auto"/>
          </w:tcPr>
          <w:p w14:paraId="4674BDE4" w14:textId="77777777" w:rsidR="009021F1" w:rsidRPr="00000E66" w:rsidRDefault="009021F1" w:rsidP="00E637E3">
            <w:pPr>
              <w:pStyle w:val="TableParagraph"/>
              <w:spacing w:line="228" w:lineRule="exact"/>
              <w:ind w:left="108"/>
              <w:rPr>
                <w:sz w:val="20"/>
                <w:szCs w:val="20"/>
                <w:lang w:val="fr-FR"/>
              </w:rPr>
            </w:pPr>
            <w:r w:rsidRPr="00000E66">
              <w:rPr>
                <w:sz w:val="20"/>
                <w:szCs w:val="20"/>
                <w:lang w:val="fr-FR"/>
              </w:rPr>
              <w:t>S’assurer de minimiser les nuisances inévitables du Projet.</w:t>
            </w:r>
          </w:p>
        </w:tc>
        <w:tc>
          <w:tcPr>
            <w:tcW w:w="3469" w:type="dxa"/>
            <w:shd w:val="clear" w:color="auto" w:fill="auto"/>
          </w:tcPr>
          <w:p w14:paraId="07A5BED4" w14:textId="77777777" w:rsidR="009021F1" w:rsidRPr="00000E66" w:rsidRDefault="009021F1" w:rsidP="00E637E3">
            <w:pPr>
              <w:pStyle w:val="TableParagraph"/>
              <w:numPr>
                <w:ilvl w:val="0"/>
                <w:numId w:val="93"/>
              </w:numPr>
              <w:tabs>
                <w:tab w:val="left" w:pos="668"/>
              </w:tabs>
              <w:autoSpaceDE w:val="0"/>
              <w:autoSpaceDN w:val="0"/>
              <w:spacing w:before="32" w:line="232" w:lineRule="auto"/>
              <w:ind w:left="243" w:right="34"/>
              <w:rPr>
                <w:sz w:val="20"/>
                <w:szCs w:val="20"/>
                <w:lang w:val="fr-FR"/>
              </w:rPr>
            </w:pPr>
            <w:r w:rsidRPr="00000E66">
              <w:rPr>
                <w:sz w:val="20"/>
                <w:szCs w:val="20"/>
                <w:lang w:val="fr-FR"/>
              </w:rPr>
              <w:t>Nombre et types de nuisances n’ayant pu être évités ;</w:t>
            </w:r>
          </w:p>
          <w:p w14:paraId="7C968D2D" w14:textId="77777777" w:rsidR="009021F1" w:rsidRPr="00000E66" w:rsidRDefault="009021F1" w:rsidP="00E637E3">
            <w:pPr>
              <w:pStyle w:val="TableParagraph"/>
              <w:numPr>
                <w:ilvl w:val="0"/>
                <w:numId w:val="93"/>
              </w:numPr>
              <w:tabs>
                <w:tab w:val="left" w:pos="668"/>
              </w:tabs>
              <w:autoSpaceDE w:val="0"/>
              <w:autoSpaceDN w:val="0"/>
              <w:spacing w:before="32" w:line="235" w:lineRule="auto"/>
              <w:ind w:left="243" w:right="34"/>
              <w:rPr>
                <w:sz w:val="20"/>
                <w:szCs w:val="20"/>
                <w:lang w:val="fr-FR"/>
              </w:rPr>
            </w:pPr>
            <w:r w:rsidRPr="00000E66">
              <w:rPr>
                <w:sz w:val="20"/>
                <w:szCs w:val="20"/>
                <w:lang w:val="fr-FR"/>
              </w:rPr>
              <w:t>Nombre d’engins à moteur utilisés par le Projet comparé au nombre d’engins munis d’équipements silencieux.</w:t>
            </w:r>
          </w:p>
        </w:tc>
      </w:tr>
      <w:tr w:rsidR="009021F1" w:rsidRPr="00BE2822" w14:paraId="4506CF4D" w14:textId="77777777" w:rsidTr="00E637E3">
        <w:tc>
          <w:tcPr>
            <w:tcW w:w="2795" w:type="dxa"/>
            <w:vMerge w:val="restart"/>
            <w:shd w:val="clear" w:color="auto" w:fill="auto"/>
          </w:tcPr>
          <w:p w14:paraId="074BF687" w14:textId="77777777" w:rsidR="009021F1" w:rsidRPr="00000E66" w:rsidRDefault="009021F1" w:rsidP="00E637E3">
            <w:pPr>
              <w:pStyle w:val="TableParagraph"/>
              <w:spacing w:line="213" w:lineRule="exact"/>
              <w:rPr>
                <w:sz w:val="20"/>
                <w:szCs w:val="20"/>
              </w:rPr>
            </w:pPr>
            <w:r w:rsidRPr="00000E66">
              <w:rPr>
                <w:sz w:val="20"/>
                <w:szCs w:val="20"/>
              </w:rPr>
              <w:t>Santé et sécurité</w:t>
            </w:r>
          </w:p>
        </w:tc>
        <w:tc>
          <w:tcPr>
            <w:tcW w:w="3512" w:type="dxa"/>
            <w:shd w:val="clear" w:color="auto" w:fill="auto"/>
          </w:tcPr>
          <w:p w14:paraId="083D4B8C" w14:textId="77777777" w:rsidR="009021F1" w:rsidRPr="00000E66" w:rsidRDefault="009021F1" w:rsidP="00E637E3">
            <w:pPr>
              <w:pStyle w:val="TableParagraph"/>
              <w:spacing w:before="30" w:line="232" w:lineRule="auto"/>
              <w:ind w:left="108"/>
              <w:rPr>
                <w:sz w:val="20"/>
                <w:szCs w:val="20"/>
                <w:lang w:val="fr-FR"/>
              </w:rPr>
            </w:pPr>
            <w:r w:rsidRPr="00000E66">
              <w:rPr>
                <w:sz w:val="20"/>
                <w:szCs w:val="20"/>
                <w:lang w:val="fr-FR"/>
              </w:rPr>
              <w:t>S’assurer que le Projet n’augmentera pas les incidences de maladies sexuellement transmissibles et et de maladies contagieuses comme la COVID-19 et le virus Ébola</w:t>
            </w:r>
          </w:p>
        </w:tc>
        <w:tc>
          <w:tcPr>
            <w:tcW w:w="3469" w:type="dxa"/>
            <w:shd w:val="clear" w:color="auto" w:fill="auto"/>
          </w:tcPr>
          <w:p w14:paraId="3287FDAC" w14:textId="77777777" w:rsidR="009021F1" w:rsidRPr="00000E66" w:rsidRDefault="009021F1" w:rsidP="00E637E3">
            <w:pPr>
              <w:pStyle w:val="TableParagraph"/>
              <w:numPr>
                <w:ilvl w:val="0"/>
                <w:numId w:val="93"/>
              </w:numPr>
              <w:tabs>
                <w:tab w:val="left" w:pos="668"/>
              </w:tabs>
              <w:autoSpaceDE w:val="0"/>
              <w:autoSpaceDN w:val="0"/>
              <w:spacing w:before="32" w:line="232" w:lineRule="auto"/>
              <w:ind w:left="243" w:right="34"/>
              <w:rPr>
                <w:sz w:val="20"/>
                <w:szCs w:val="20"/>
                <w:lang w:val="fr-FR"/>
              </w:rPr>
            </w:pPr>
            <w:r w:rsidRPr="00000E66">
              <w:rPr>
                <w:sz w:val="20"/>
                <w:szCs w:val="20"/>
                <w:lang w:val="fr-FR"/>
              </w:rPr>
              <w:t>Nombre de cas de campagnes sur les IST/VIH-SIDA et COVID-19 et Ebola organisées ;</w:t>
            </w:r>
          </w:p>
          <w:p w14:paraId="261B71B9" w14:textId="77777777" w:rsidR="009021F1" w:rsidRPr="00000E66" w:rsidRDefault="009021F1" w:rsidP="00E637E3">
            <w:pPr>
              <w:pStyle w:val="TableParagraph"/>
              <w:numPr>
                <w:ilvl w:val="0"/>
                <w:numId w:val="93"/>
              </w:numPr>
              <w:tabs>
                <w:tab w:val="left" w:pos="668"/>
              </w:tabs>
              <w:autoSpaceDE w:val="0"/>
              <w:autoSpaceDN w:val="0"/>
              <w:spacing w:before="32" w:line="232" w:lineRule="auto"/>
              <w:ind w:left="243" w:right="34"/>
              <w:rPr>
                <w:sz w:val="20"/>
                <w:szCs w:val="20"/>
                <w:lang w:val="fr-FR"/>
              </w:rPr>
            </w:pPr>
            <w:r w:rsidRPr="00000E66">
              <w:rPr>
                <w:sz w:val="20"/>
                <w:szCs w:val="20"/>
                <w:lang w:val="fr-FR"/>
              </w:rPr>
              <w:t>Nombre des cas d’infection</w:t>
            </w:r>
          </w:p>
          <w:p w14:paraId="05E68F91" w14:textId="77777777" w:rsidR="009021F1" w:rsidRPr="00000E66" w:rsidRDefault="009021F1" w:rsidP="00E637E3">
            <w:pPr>
              <w:pStyle w:val="TableParagraph"/>
              <w:numPr>
                <w:ilvl w:val="0"/>
                <w:numId w:val="93"/>
              </w:numPr>
              <w:tabs>
                <w:tab w:val="left" w:pos="668"/>
              </w:tabs>
              <w:autoSpaceDE w:val="0"/>
              <w:autoSpaceDN w:val="0"/>
              <w:spacing w:before="32" w:line="232" w:lineRule="auto"/>
              <w:ind w:left="243" w:right="34"/>
              <w:rPr>
                <w:sz w:val="20"/>
                <w:szCs w:val="20"/>
                <w:lang w:val="fr-FR"/>
              </w:rPr>
            </w:pPr>
            <w:r w:rsidRPr="00000E66">
              <w:rPr>
                <w:sz w:val="20"/>
                <w:szCs w:val="20"/>
                <w:lang w:val="fr-FR"/>
              </w:rPr>
              <w:t>Modules développés lors des campagnes de</w:t>
            </w:r>
          </w:p>
          <w:p w14:paraId="791E5A7B" w14:textId="77777777" w:rsidR="009021F1" w:rsidRPr="00000E66" w:rsidRDefault="009021F1" w:rsidP="00E637E3">
            <w:pPr>
              <w:pStyle w:val="TableParagraph"/>
              <w:numPr>
                <w:ilvl w:val="0"/>
                <w:numId w:val="93"/>
              </w:numPr>
              <w:tabs>
                <w:tab w:val="left" w:pos="668"/>
              </w:tabs>
              <w:autoSpaceDE w:val="0"/>
              <w:autoSpaceDN w:val="0"/>
              <w:spacing w:before="32" w:line="232" w:lineRule="auto"/>
              <w:ind w:left="243" w:right="34"/>
              <w:rPr>
                <w:sz w:val="20"/>
                <w:szCs w:val="20"/>
                <w:lang w:val="fr-FR"/>
              </w:rPr>
            </w:pPr>
            <w:r w:rsidRPr="00000E66">
              <w:rPr>
                <w:sz w:val="20"/>
                <w:szCs w:val="20"/>
                <w:lang w:val="fr-FR"/>
              </w:rPr>
              <w:t>sensibilisation ;</w:t>
            </w:r>
          </w:p>
          <w:p w14:paraId="1C82125A" w14:textId="77777777" w:rsidR="009021F1" w:rsidRPr="00000E66" w:rsidRDefault="009021F1" w:rsidP="00E637E3">
            <w:pPr>
              <w:pStyle w:val="TableParagraph"/>
              <w:numPr>
                <w:ilvl w:val="0"/>
                <w:numId w:val="93"/>
              </w:numPr>
              <w:tabs>
                <w:tab w:val="left" w:pos="668"/>
              </w:tabs>
              <w:autoSpaceDE w:val="0"/>
              <w:autoSpaceDN w:val="0"/>
              <w:spacing w:before="32" w:line="232" w:lineRule="auto"/>
              <w:ind w:left="243" w:right="34"/>
              <w:rPr>
                <w:sz w:val="20"/>
                <w:szCs w:val="20"/>
                <w:lang w:val="fr-FR"/>
              </w:rPr>
            </w:pPr>
            <w:r w:rsidRPr="00000E66">
              <w:rPr>
                <w:sz w:val="20"/>
                <w:szCs w:val="20"/>
                <w:lang w:val="fr-FR"/>
              </w:rPr>
              <w:t>Nombre de préservatifs distribués aux travailleurs.</w:t>
            </w:r>
          </w:p>
        </w:tc>
      </w:tr>
      <w:tr w:rsidR="009021F1" w:rsidRPr="00BE2822" w14:paraId="3E76A21A" w14:textId="77777777" w:rsidTr="00E637E3">
        <w:tc>
          <w:tcPr>
            <w:tcW w:w="2795" w:type="dxa"/>
            <w:vMerge/>
            <w:shd w:val="clear" w:color="auto" w:fill="auto"/>
          </w:tcPr>
          <w:p w14:paraId="314B9730" w14:textId="77777777" w:rsidR="009021F1" w:rsidRPr="00000E66" w:rsidRDefault="009021F1" w:rsidP="00E637E3">
            <w:pPr>
              <w:rPr>
                <w:sz w:val="20"/>
                <w:szCs w:val="20"/>
              </w:rPr>
            </w:pPr>
          </w:p>
        </w:tc>
        <w:tc>
          <w:tcPr>
            <w:tcW w:w="3512" w:type="dxa"/>
            <w:shd w:val="clear" w:color="auto" w:fill="auto"/>
          </w:tcPr>
          <w:p w14:paraId="3BF3DA97" w14:textId="77777777" w:rsidR="009021F1" w:rsidRPr="00000E66" w:rsidRDefault="009021F1" w:rsidP="00E637E3">
            <w:pPr>
              <w:pStyle w:val="TableParagraph"/>
              <w:spacing w:line="235" w:lineRule="auto"/>
              <w:ind w:left="108"/>
              <w:rPr>
                <w:sz w:val="20"/>
                <w:szCs w:val="20"/>
                <w:lang w:val="fr-FR"/>
              </w:rPr>
            </w:pPr>
            <w:r w:rsidRPr="00000E66">
              <w:rPr>
                <w:sz w:val="20"/>
                <w:szCs w:val="20"/>
                <w:lang w:val="fr-FR"/>
              </w:rPr>
              <w:t>Minimiser les risques d’accidents tant pour les travailleurs que pour la population environnante.</w:t>
            </w:r>
          </w:p>
        </w:tc>
        <w:tc>
          <w:tcPr>
            <w:tcW w:w="3469" w:type="dxa"/>
            <w:shd w:val="clear" w:color="auto" w:fill="auto"/>
          </w:tcPr>
          <w:p w14:paraId="151597A5" w14:textId="77777777" w:rsidR="009021F1" w:rsidRPr="00000E66" w:rsidRDefault="009021F1" w:rsidP="00E637E3">
            <w:pPr>
              <w:pStyle w:val="TableParagraph"/>
              <w:numPr>
                <w:ilvl w:val="0"/>
                <w:numId w:val="93"/>
              </w:numPr>
              <w:tabs>
                <w:tab w:val="left" w:pos="668"/>
              </w:tabs>
              <w:autoSpaceDE w:val="0"/>
              <w:autoSpaceDN w:val="0"/>
              <w:spacing w:before="32" w:line="232" w:lineRule="auto"/>
              <w:ind w:left="243" w:right="34"/>
              <w:rPr>
                <w:sz w:val="20"/>
                <w:szCs w:val="20"/>
                <w:lang w:val="fr-FR"/>
              </w:rPr>
            </w:pPr>
            <w:r w:rsidRPr="00000E66">
              <w:rPr>
                <w:sz w:val="20"/>
                <w:szCs w:val="20"/>
                <w:lang w:val="fr-FR"/>
              </w:rPr>
              <w:t>Le nombre d’accidents de travail ;</w:t>
            </w:r>
          </w:p>
          <w:p w14:paraId="78673EAC" w14:textId="77777777" w:rsidR="009021F1" w:rsidRPr="00000E66" w:rsidRDefault="009021F1" w:rsidP="00E637E3">
            <w:pPr>
              <w:pStyle w:val="TableParagraph"/>
              <w:numPr>
                <w:ilvl w:val="0"/>
                <w:numId w:val="93"/>
              </w:numPr>
              <w:tabs>
                <w:tab w:val="left" w:pos="668"/>
              </w:tabs>
              <w:autoSpaceDE w:val="0"/>
              <w:autoSpaceDN w:val="0"/>
              <w:spacing w:before="32" w:line="232" w:lineRule="auto"/>
              <w:ind w:left="243" w:right="34"/>
              <w:rPr>
                <w:sz w:val="20"/>
                <w:szCs w:val="20"/>
                <w:lang w:val="fr-FR"/>
              </w:rPr>
            </w:pPr>
            <w:r w:rsidRPr="00000E66">
              <w:rPr>
                <w:sz w:val="20"/>
                <w:szCs w:val="20"/>
                <w:lang w:val="fr-FR"/>
              </w:rPr>
              <w:t>Les types d’accidents de travail ;</w:t>
            </w:r>
          </w:p>
          <w:p w14:paraId="2BDC535B" w14:textId="77777777" w:rsidR="009021F1" w:rsidRPr="00000E66" w:rsidRDefault="009021F1" w:rsidP="00E637E3">
            <w:pPr>
              <w:pStyle w:val="TableParagraph"/>
              <w:numPr>
                <w:ilvl w:val="0"/>
                <w:numId w:val="93"/>
              </w:numPr>
              <w:tabs>
                <w:tab w:val="left" w:pos="668"/>
              </w:tabs>
              <w:autoSpaceDE w:val="0"/>
              <w:autoSpaceDN w:val="0"/>
              <w:spacing w:before="32" w:line="232" w:lineRule="auto"/>
              <w:ind w:left="243" w:right="34"/>
              <w:rPr>
                <w:sz w:val="20"/>
                <w:szCs w:val="20"/>
                <w:lang w:val="fr-FR"/>
              </w:rPr>
            </w:pPr>
            <w:r w:rsidRPr="00000E66">
              <w:rPr>
                <w:sz w:val="20"/>
                <w:szCs w:val="20"/>
                <w:lang w:val="fr-FR"/>
              </w:rPr>
              <w:t>Le nombre d’employés ayant reçu l’équipement de protection individuelle comparé au nombre total d’employés.</w:t>
            </w:r>
          </w:p>
        </w:tc>
      </w:tr>
      <w:tr w:rsidR="009021F1" w:rsidRPr="00BE2822" w14:paraId="544C532E" w14:textId="77777777" w:rsidTr="00E637E3">
        <w:tc>
          <w:tcPr>
            <w:tcW w:w="2795" w:type="dxa"/>
            <w:vMerge w:val="restart"/>
            <w:shd w:val="clear" w:color="auto" w:fill="auto"/>
          </w:tcPr>
          <w:p w14:paraId="68358354" w14:textId="77777777" w:rsidR="009021F1" w:rsidRPr="00000E66" w:rsidRDefault="009021F1" w:rsidP="00E637E3">
            <w:pPr>
              <w:pStyle w:val="TableParagraph"/>
              <w:spacing w:line="213" w:lineRule="exact"/>
              <w:rPr>
                <w:sz w:val="20"/>
                <w:szCs w:val="20"/>
              </w:rPr>
            </w:pPr>
            <w:r w:rsidRPr="00000E66">
              <w:rPr>
                <w:sz w:val="20"/>
                <w:szCs w:val="20"/>
              </w:rPr>
              <w:t>Utilisation du sol</w:t>
            </w:r>
          </w:p>
        </w:tc>
        <w:tc>
          <w:tcPr>
            <w:tcW w:w="3512" w:type="dxa"/>
            <w:shd w:val="clear" w:color="auto" w:fill="auto"/>
          </w:tcPr>
          <w:p w14:paraId="67FC1D15" w14:textId="77777777" w:rsidR="009021F1" w:rsidRPr="00000E66" w:rsidRDefault="009021F1" w:rsidP="00E637E3">
            <w:pPr>
              <w:pStyle w:val="TableParagraph"/>
              <w:spacing w:line="211" w:lineRule="exact"/>
              <w:ind w:left="108"/>
              <w:rPr>
                <w:sz w:val="20"/>
                <w:szCs w:val="20"/>
                <w:lang w:val="fr-FR"/>
              </w:rPr>
            </w:pPr>
            <w:r w:rsidRPr="00000E66">
              <w:rPr>
                <w:sz w:val="20"/>
                <w:szCs w:val="20"/>
                <w:lang w:val="fr-FR"/>
              </w:rPr>
              <w:t>S’assurer de minimiser les entraves</w:t>
            </w:r>
            <w:r w:rsidRPr="00000E66">
              <w:rPr>
                <w:spacing w:val="-28"/>
                <w:sz w:val="20"/>
                <w:szCs w:val="20"/>
                <w:lang w:val="fr-FR"/>
              </w:rPr>
              <w:t xml:space="preserve"> </w:t>
            </w:r>
            <w:r w:rsidRPr="00000E66">
              <w:rPr>
                <w:sz w:val="20"/>
                <w:szCs w:val="20"/>
                <w:lang w:val="fr-FR"/>
              </w:rPr>
              <w:t>aux accès de lieux publics</w:t>
            </w:r>
            <w:r w:rsidRPr="00000E66">
              <w:rPr>
                <w:spacing w:val="-27"/>
                <w:sz w:val="20"/>
                <w:szCs w:val="20"/>
                <w:lang w:val="fr-FR"/>
              </w:rPr>
              <w:t xml:space="preserve"> </w:t>
            </w:r>
            <w:r w:rsidRPr="00000E66">
              <w:rPr>
                <w:sz w:val="20"/>
                <w:szCs w:val="20"/>
                <w:lang w:val="fr-FR"/>
              </w:rPr>
              <w:t>et</w:t>
            </w:r>
            <w:r w:rsidRPr="00000E66">
              <w:rPr>
                <w:spacing w:val="-27"/>
                <w:sz w:val="20"/>
                <w:szCs w:val="20"/>
                <w:lang w:val="fr-FR"/>
              </w:rPr>
              <w:t xml:space="preserve"> </w:t>
            </w:r>
            <w:r w:rsidRPr="00000E66">
              <w:rPr>
                <w:sz w:val="20"/>
                <w:szCs w:val="20"/>
                <w:lang w:val="fr-FR"/>
              </w:rPr>
              <w:t>à</w:t>
            </w:r>
            <w:r w:rsidRPr="00000E66">
              <w:rPr>
                <w:spacing w:val="-27"/>
                <w:sz w:val="20"/>
                <w:szCs w:val="20"/>
                <w:lang w:val="fr-FR"/>
              </w:rPr>
              <w:t xml:space="preserve"> </w:t>
            </w:r>
            <w:r w:rsidRPr="00000E66">
              <w:rPr>
                <w:sz w:val="20"/>
                <w:szCs w:val="20"/>
                <w:lang w:val="fr-FR"/>
              </w:rPr>
              <w:t>la</w:t>
            </w:r>
            <w:r w:rsidRPr="00000E66">
              <w:rPr>
                <w:spacing w:val="-27"/>
                <w:sz w:val="20"/>
                <w:szCs w:val="20"/>
                <w:lang w:val="fr-FR"/>
              </w:rPr>
              <w:t xml:space="preserve"> </w:t>
            </w:r>
            <w:r w:rsidRPr="00000E66">
              <w:rPr>
                <w:sz w:val="20"/>
                <w:szCs w:val="20"/>
                <w:lang w:val="fr-FR"/>
              </w:rPr>
              <w:t>circulation</w:t>
            </w:r>
          </w:p>
          <w:p w14:paraId="4DF49A3A" w14:textId="77777777" w:rsidR="009021F1" w:rsidRPr="00000E66" w:rsidRDefault="009021F1" w:rsidP="00E637E3">
            <w:pPr>
              <w:pStyle w:val="TableParagraph"/>
              <w:spacing w:before="5" w:line="224" w:lineRule="exact"/>
              <w:ind w:left="108"/>
              <w:rPr>
                <w:sz w:val="20"/>
                <w:szCs w:val="20"/>
                <w:lang w:val="fr-FR"/>
              </w:rPr>
            </w:pPr>
            <w:r w:rsidRPr="00000E66">
              <w:rPr>
                <w:sz w:val="20"/>
                <w:szCs w:val="20"/>
                <w:lang w:val="fr-FR"/>
              </w:rPr>
              <w:t>que</w:t>
            </w:r>
            <w:r w:rsidRPr="00000E66">
              <w:rPr>
                <w:spacing w:val="-32"/>
                <w:sz w:val="20"/>
                <w:szCs w:val="20"/>
                <w:lang w:val="fr-FR"/>
              </w:rPr>
              <w:t xml:space="preserve"> </w:t>
            </w:r>
            <w:r w:rsidRPr="00000E66">
              <w:rPr>
                <w:sz w:val="20"/>
                <w:szCs w:val="20"/>
                <w:lang w:val="fr-FR"/>
              </w:rPr>
              <w:t>pourraient</w:t>
            </w:r>
            <w:r w:rsidRPr="00000E66">
              <w:rPr>
                <w:spacing w:val="-32"/>
                <w:sz w:val="20"/>
                <w:szCs w:val="20"/>
                <w:lang w:val="fr-FR"/>
              </w:rPr>
              <w:t xml:space="preserve"> </w:t>
            </w:r>
            <w:r w:rsidRPr="00000E66">
              <w:rPr>
                <w:sz w:val="20"/>
                <w:szCs w:val="20"/>
                <w:lang w:val="fr-FR"/>
              </w:rPr>
              <w:t>occasionner</w:t>
            </w:r>
            <w:r w:rsidRPr="00000E66">
              <w:rPr>
                <w:spacing w:val="-32"/>
                <w:sz w:val="20"/>
                <w:szCs w:val="20"/>
                <w:lang w:val="fr-FR"/>
              </w:rPr>
              <w:t xml:space="preserve"> </w:t>
            </w:r>
            <w:r w:rsidRPr="00000E66">
              <w:rPr>
                <w:sz w:val="20"/>
                <w:szCs w:val="20"/>
                <w:lang w:val="fr-FR"/>
              </w:rPr>
              <w:t>les</w:t>
            </w:r>
            <w:r w:rsidRPr="00000E66">
              <w:rPr>
                <w:spacing w:val="-32"/>
                <w:sz w:val="20"/>
                <w:szCs w:val="20"/>
                <w:lang w:val="fr-FR"/>
              </w:rPr>
              <w:t xml:space="preserve"> </w:t>
            </w:r>
            <w:r w:rsidRPr="00000E66">
              <w:rPr>
                <w:sz w:val="20"/>
                <w:szCs w:val="20"/>
                <w:lang w:val="fr-FR"/>
              </w:rPr>
              <w:t>activités de construction du</w:t>
            </w:r>
            <w:r w:rsidRPr="00000E66">
              <w:rPr>
                <w:spacing w:val="-6"/>
                <w:sz w:val="20"/>
                <w:szCs w:val="20"/>
                <w:lang w:val="fr-FR"/>
              </w:rPr>
              <w:t xml:space="preserve"> </w:t>
            </w:r>
            <w:r w:rsidRPr="00000E66">
              <w:rPr>
                <w:sz w:val="20"/>
                <w:szCs w:val="20"/>
                <w:lang w:val="fr-FR"/>
              </w:rPr>
              <w:t>Projet.</w:t>
            </w:r>
          </w:p>
        </w:tc>
        <w:tc>
          <w:tcPr>
            <w:tcW w:w="3469" w:type="dxa"/>
            <w:shd w:val="clear" w:color="auto" w:fill="auto"/>
          </w:tcPr>
          <w:p w14:paraId="3BCD769E" w14:textId="77777777" w:rsidR="009021F1" w:rsidRPr="00000E66" w:rsidRDefault="009021F1" w:rsidP="00E637E3">
            <w:pPr>
              <w:pStyle w:val="TableParagraph"/>
              <w:numPr>
                <w:ilvl w:val="0"/>
                <w:numId w:val="93"/>
              </w:numPr>
              <w:tabs>
                <w:tab w:val="left" w:pos="668"/>
              </w:tabs>
              <w:autoSpaceDE w:val="0"/>
              <w:autoSpaceDN w:val="0"/>
              <w:spacing w:before="32" w:line="232" w:lineRule="auto"/>
              <w:ind w:left="243" w:right="34"/>
              <w:rPr>
                <w:sz w:val="20"/>
                <w:szCs w:val="20"/>
                <w:lang w:val="fr-FR"/>
              </w:rPr>
            </w:pPr>
            <w:r w:rsidRPr="00000E66">
              <w:rPr>
                <w:sz w:val="20"/>
                <w:szCs w:val="20"/>
                <w:lang w:val="fr-FR"/>
              </w:rPr>
              <w:t>Nombre de plaintes reliées à l’entrave aux lieux publics.</w:t>
            </w:r>
          </w:p>
        </w:tc>
      </w:tr>
      <w:tr w:rsidR="009021F1" w:rsidRPr="00BE2822" w14:paraId="269F7E07" w14:textId="77777777" w:rsidTr="00E637E3">
        <w:tc>
          <w:tcPr>
            <w:tcW w:w="2795" w:type="dxa"/>
            <w:vMerge/>
            <w:shd w:val="clear" w:color="auto" w:fill="auto"/>
          </w:tcPr>
          <w:p w14:paraId="0F1FE601" w14:textId="77777777" w:rsidR="009021F1" w:rsidRPr="00000E66" w:rsidRDefault="009021F1" w:rsidP="00E637E3">
            <w:pPr>
              <w:rPr>
                <w:sz w:val="20"/>
                <w:szCs w:val="20"/>
              </w:rPr>
            </w:pPr>
          </w:p>
        </w:tc>
        <w:tc>
          <w:tcPr>
            <w:tcW w:w="3512" w:type="dxa"/>
            <w:shd w:val="clear" w:color="auto" w:fill="auto"/>
          </w:tcPr>
          <w:p w14:paraId="55C7631E" w14:textId="77777777" w:rsidR="009021F1" w:rsidRPr="00000E66" w:rsidRDefault="009021F1" w:rsidP="00E637E3">
            <w:pPr>
              <w:pStyle w:val="TableParagraph"/>
              <w:spacing w:before="28" w:line="235" w:lineRule="auto"/>
              <w:ind w:left="108"/>
              <w:rPr>
                <w:sz w:val="20"/>
                <w:szCs w:val="20"/>
                <w:lang w:val="fr-FR"/>
              </w:rPr>
            </w:pPr>
            <w:r w:rsidRPr="00000E66">
              <w:rPr>
                <w:sz w:val="20"/>
                <w:szCs w:val="20"/>
                <w:lang w:val="fr-FR"/>
              </w:rPr>
              <w:t>Minimiser</w:t>
            </w:r>
            <w:r w:rsidRPr="00000E66">
              <w:rPr>
                <w:spacing w:val="-25"/>
                <w:sz w:val="20"/>
                <w:szCs w:val="20"/>
                <w:lang w:val="fr-FR"/>
              </w:rPr>
              <w:t xml:space="preserve"> </w:t>
            </w:r>
            <w:r w:rsidRPr="00000E66">
              <w:rPr>
                <w:sz w:val="20"/>
                <w:szCs w:val="20"/>
                <w:lang w:val="fr-FR"/>
              </w:rPr>
              <w:t>les</w:t>
            </w:r>
            <w:r w:rsidRPr="00000E66">
              <w:rPr>
                <w:spacing w:val="-24"/>
                <w:sz w:val="20"/>
                <w:szCs w:val="20"/>
                <w:lang w:val="fr-FR"/>
              </w:rPr>
              <w:t xml:space="preserve"> </w:t>
            </w:r>
            <w:r w:rsidRPr="00000E66">
              <w:rPr>
                <w:sz w:val="20"/>
                <w:szCs w:val="20"/>
                <w:lang w:val="fr-FR"/>
              </w:rPr>
              <w:t>impacts</w:t>
            </w:r>
            <w:r w:rsidRPr="00000E66">
              <w:rPr>
                <w:spacing w:val="-24"/>
                <w:sz w:val="20"/>
                <w:szCs w:val="20"/>
                <w:lang w:val="fr-FR"/>
              </w:rPr>
              <w:t xml:space="preserve"> </w:t>
            </w:r>
            <w:r w:rsidRPr="00000E66">
              <w:rPr>
                <w:sz w:val="20"/>
                <w:szCs w:val="20"/>
                <w:lang w:val="fr-FR"/>
              </w:rPr>
              <w:t>sur</w:t>
            </w:r>
            <w:r w:rsidRPr="00000E66">
              <w:rPr>
                <w:spacing w:val="-24"/>
                <w:sz w:val="20"/>
                <w:szCs w:val="20"/>
                <w:lang w:val="fr-FR"/>
              </w:rPr>
              <w:t xml:space="preserve"> </w:t>
            </w:r>
            <w:r w:rsidRPr="00000E66">
              <w:rPr>
                <w:sz w:val="20"/>
                <w:szCs w:val="20"/>
                <w:lang w:val="fr-FR"/>
              </w:rPr>
              <w:t>les</w:t>
            </w:r>
            <w:r w:rsidRPr="00000E66">
              <w:rPr>
                <w:spacing w:val="-24"/>
                <w:sz w:val="20"/>
                <w:szCs w:val="20"/>
                <w:lang w:val="fr-FR"/>
              </w:rPr>
              <w:t xml:space="preserve"> </w:t>
            </w:r>
            <w:r w:rsidRPr="00000E66">
              <w:rPr>
                <w:sz w:val="20"/>
                <w:szCs w:val="20"/>
                <w:lang w:val="fr-FR"/>
              </w:rPr>
              <w:t>pertes</w:t>
            </w:r>
            <w:r w:rsidRPr="00000E66">
              <w:rPr>
                <w:spacing w:val="-24"/>
                <w:sz w:val="20"/>
                <w:szCs w:val="20"/>
                <w:lang w:val="fr-FR"/>
              </w:rPr>
              <w:t xml:space="preserve"> </w:t>
            </w:r>
            <w:r w:rsidRPr="00000E66">
              <w:rPr>
                <w:sz w:val="20"/>
                <w:szCs w:val="20"/>
                <w:lang w:val="fr-FR"/>
              </w:rPr>
              <w:t>de sols agricoles productifs en compensant adéquatement pour les pertes.</w:t>
            </w:r>
          </w:p>
        </w:tc>
        <w:tc>
          <w:tcPr>
            <w:tcW w:w="3469" w:type="dxa"/>
            <w:shd w:val="clear" w:color="auto" w:fill="auto"/>
          </w:tcPr>
          <w:p w14:paraId="5D325CEC" w14:textId="77777777" w:rsidR="009021F1" w:rsidRPr="00000E66" w:rsidRDefault="009021F1" w:rsidP="00E637E3">
            <w:pPr>
              <w:pStyle w:val="TableParagraph"/>
              <w:numPr>
                <w:ilvl w:val="0"/>
                <w:numId w:val="93"/>
              </w:numPr>
              <w:tabs>
                <w:tab w:val="left" w:pos="668"/>
              </w:tabs>
              <w:autoSpaceDE w:val="0"/>
              <w:autoSpaceDN w:val="0"/>
              <w:spacing w:before="32" w:line="232" w:lineRule="auto"/>
              <w:ind w:left="243" w:right="34"/>
              <w:rPr>
                <w:sz w:val="20"/>
                <w:szCs w:val="20"/>
                <w:lang w:val="fr-FR"/>
              </w:rPr>
            </w:pPr>
            <w:r w:rsidRPr="00000E66">
              <w:rPr>
                <w:sz w:val="20"/>
                <w:szCs w:val="20"/>
                <w:lang w:val="fr-FR"/>
              </w:rPr>
              <w:t>Superficies et vocation (agricole, pâturage, espace vert, etc.) des terres utilisées par le Projet ;</w:t>
            </w:r>
          </w:p>
          <w:p w14:paraId="7023C091" w14:textId="77777777" w:rsidR="009021F1" w:rsidRPr="00000E66" w:rsidRDefault="009021F1" w:rsidP="00E637E3">
            <w:pPr>
              <w:pStyle w:val="TableParagraph"/>
              <w:numPr>
                <w:ilvl w:val="0"/>
                <w:numId w:val="93"/>
              </w:numPr>
              <w:tabs>
                <w:tab w:val="left" w:pos="668"/>
              </w:tabs>
              <w:autoSpaceDE w:val="0"/>
              <w:autoSpaceDN w:val="0"/>
              <w:spacing w:before="32" w:line="232" w:lineRule="auto"/>
              <w:ind w:left="243" w:right="34"/>
              <w:rPr>
                <w:sz w:val="20"/>
                <w:szCs w:val="20"/>
                <w:lang w:val="fr-FR"/>
              </w:rPr>
            </w:pPr>
            <w:r w:rsidRPr="00000E66">
              <w:rPr>
                <w:sz w:val="20"/>
                <w:szCs w:val="20"/>
                <w:lang w:val="fr-FR"/>
              </w:rPr>
              <w:t>Compensations versées aux producteurs dont les terres auront été réquisitionnées pour le Projet.</w:t>
            </w:r>
          </w:p>
        </w:tc>
      </w:tr>
      <w:tr w:rsidR="009021F1" w:rsidRPr="00BE2822" w14:paraId="5DA4A391" w14:textId="77777777" w:rsidTr="00E637E3">
        <w:tc>
          <w:tcPr>
            <w:tcW w:w="2795" w:type="dxa"/>
            <w:vMerge w:val="restart"/>
            <w:shd w:val="clear" w:color="auto" w:fill="auto"/>
          </w:tcPr>
          <w:p w14:paraId="4FB2960D" w14:textId="77777777" w:rsidR="009021F1" w:rsidRPr="00000E66" w:rsidRDefault="009021F1" w:rsidP="00E637E3">
            <w:pPr>
              <w:pStyle w:val="TableParagraph"/>
              <w:spacing w:line="213" w:lineRule="exact"/>
              <w:rPr>
                <w:sz w:val="20"/>
                <w:szCs w:val="20"/>
              </w:rPr>
            </w:pPr>
            <w:r w:rsidRPr="00000E66">
              <w:rPr>
                <w:sz w:val="20"/>
                <w:szCs w:val="20"/>
              </w:rPr>
              <w:t>Aspects socio-économiques</w:t>
            </w:r>
          </w:p>
        </w:tc>
        <w:tc>
          <w:tcPr>
            <w:tcW w:w="3512" w:type="dxa"/>
            <w:shd w:val="clear" w:color="auto" w:fill="auto"/>
          </w:tcPr>
          <w:p w14:paraId="113363D1" w14:textId="77777777" w:rsidR="009021F1" w:rsidRPr="00000E66" w:rsidRDefault="009021F1" w:rsidP="00E637E3">
            <w:pPr>
              <w:pStyle w:val="TableParagraph"/>
              <w:spacing w:before="30" w:line="232" w:lineRule="auto"/>
              <w:ind w:left="108"/>
              <w:rPr>
                <w:sz w:val="20"/>
                <w:szCs w:val="20"/>
                <w:lang w:val="fr-FR"/>
              </w:rPr>
            </w:pPr>
            <w:r w:rsidRPr="00000E66">
              <w:rPr>
                <w:sz w:val="20"/>
                <w:szCs w:val="20"/>
                <w:lang w:val="fr-FR"/>
              </w:rPr>
              <w:t>Maximiser la création d’emploi</w:t>
            </w:r>
            <w:r w:rsidRPr="00000E66">
              <w:rPr>
                <w:spacing w:val="-29"/>
                <w:sz w:val="20"/>
                <w:szCs w:val="20"/>
                <w:lang w:val="fr-FR"/>
              </w:rPr>
              <w:t xml:space="preserve"> </w:t>
            </w:r>
            <w:r w:rsidRPr="00000E66">
              <w:rPr>
                <w:sz w:val="20"/>
                <w:szCs w:val="20"/>
                <w:lang w:val="fr-FR"/>
              </w:rPr>
              <w:t>locaux et</w:t>
            </w:r>
            <w:r w:rsidRPr="00000E66">
              <w:rPr>
                <w:spacing w:val="-27"/>
                <w:sz w:val="20"/>
                <w:szCs w:val="20"/>
                <w:lang w:val="fr-FR"/>
              </w:rPr>
              <w:t xml:space="preserve"> </w:t>
            </w:r>
            <w:r w:rsidRPr="00000E66">
              <w:rPr>
                <w:sz w:val="20"/>
                <w:szCs w:val="20"/>
                <w:lang w:val="fr-FR"/>
              </w:rPr>
              <w:t>d’achats</w:t>
            </w:r>
            <w:r w:rsidRPr="00000E66">
              <w:rPr>
                <w:spacing w:val="-26"/>
                <w:sz w:val="20"/>
                <w:szCs w:val="20"/>
                <w:lang w:val="fr-FR"/>
              </w:rPr>
              <w:t xml:space="preserve"> </w:t>
            </w:r>
            <w:r w:rsidRPr="00000E66">
              <w:rPr>
                <w:sz w:val="20"/>
                <w:szCs w:val="20"/>
                <w:lang w:val="fr-FR"/>
              </w:rPr>
              <w:t>de</w:t>
            </w:r>
            <w:r w:rsidRPr="00000E66">
              <w:rPr>
                <w:spacing w:val="-26"/>
                <w:sz w:val="20"/>
                <w:szCs w:val="20"/>
                <w:lang w:val="fr-FR"/>
              </w:rPr>
              <w:t xml:space="preserve"> </w:t>
            </w:r>
            <w:r w:rsidRPr="00000E66">
              <w:rPr>
                <w:sz w:val="20"/>
                <w:szCs w:val="20"/>
                <w:lang w:val="fr-FR"/>
              </w:rPr>
              <w:t>biens</w:t>
            </w:r>
            <w:r w:rsidRPr="00000E66">
              <w:rPr>
                <w:spacing w:val="-27"/>
                <w:sz w:val="20"/>
                <w:szCs w:val="20"/>
                <w:lang w:val="fr-FR"/>
              </w:rPr>
              <w:t xml:space="preserve"> </w:t>
            </w:r>
            <w:r w:rsidRPr="00000E66">
              <w:rPr>
                <w:sz w:val="20"/>
                <w:szCs w:val="20"/>
                <w:lang w:val="fr-FR"/>
              </w:rPr>
              <w:t>et</w:t>
            </w:r>
            <w:r w:rsidRPr="00000E66">
              <w:rPr>
                <w:spacing w:val="-26"/>
                <w:sz w:val="20"/>
                <w:szCs w:val="20"/>
                <w:lang w:val="fr-FR"/>
              </w:rPr>
              <w:t xml:space="preserve"> </w:t>
            </w:r>
            <w:r w:rsidRPr="00000E66">
              <w:rPr>
                <w:sz w:val="20"/>
                <w:szCs w:val="20"/>
                <w:lang w:val="fr-FR"/>
              </w:rPr>
              <w:t>services</w:t>
            </w:r>
            <w:r w:rsidRPr="00000E66">
              <w:rPr>
                <w:spacing w:val="-27"/>
                <w:sz w:val="20"/>
                <w:szCs w:val="20"/>
                <w:lang w:val="fr-FR"/>
              </w:rPr>
              <w:t xml:space="preserve"> </w:t>
            </w:r>
            <w:r w:rsidRPr="00000E66">
              <w:rPr>
                <w:sz w:val="20"/>
                <w:szCs w:val="20"/>
                <w:lang w:val="fr-FR"/>
              </w:rPr>
              <w:t>locaux.</w:t>
            </w:r>
          </w:p>
        </w:tc>
        <w:tc>
          <w:tcPr>
            <w:tcW w:w="3469" w:type="dxa"/>
            <w:shd w:val="clear" w:color="auto" w:fill="auto"/>
          </w:tcPr>
          <w:p w14:paraId="7B88FC66" w14:textId="77777777" w:rsidR="009021F1" w:rsidRPr="00000E66" w:rsidRDefault="009021F1" w:rsidP="00E637E3">
            <w:pPr>
              <w:pStyle w:val="TableParagraph"/>
              <w:numPr>
                <w:ilvl w:val="0"/>
                <w:numId w:val="93"/>
              </w:numPr>
              <w:tabs>
                <w:tab w:val="left" w:pos="668"/>
              </w:tabs>
              <w:autoSpaceDE w:val="0"/>
              <w:autoSpaceDN w:val="0"/>
              <w:spacing w:before="32" w:line="232" w:lineRule="auto"/>
              <w:ind w:left="243" w:right="34"/>
              <w:rPr>
                <w:sz w:val="20"/>
                <w:szCs w:val="20"/>
                <w:lang w:val="fr-FR"/>
              </w:rPr>
            </w:pPr>
            <w:r w:rsidRPr="00000E66">
              <w:rPr>
                <w:sz w:val="20"/>
                <w:szCs w:val="20"/>
                <w:lang w:val="fr-FR"/>
              </w:rPr>
              <w:t>Nombre total de fournisseurs du Projet ;</w:t>
            </w:r>
          </w:p>
          <w:p w14:paraId="5147CD17" w14:textId="77777777" w:rsidR="009021F1" w:rsidRPr="00000E66" w:rsidRDefault="009021F1" w:rsidP="00E637E3">
            <w:pPr>
              <w:pStyle w:val="TableParagraph"/>
              <w:numPr>
                <w:ilvl w:val="0"/>
                <w:numId w:val="93"/>
              </w:numPr>
              <w:tabs>
                <w:tab w:val="left" w:pos="668"/>
              </w:tabs>
              <w:autoSpaceDE w:val="0"/>
              <w:autoSpaceDN w:val="0"/>
              <w:spacing w:before="32" w:line="232" w:lineRule="auto"/>
              <w:ind w:left="243" w:right="34"/>
              <w:rPr>
                <w:sz w:val="20"/>
                <w:szCs w:val="20"/>
                <w:lang w:val="fr-FR"/>
              </w:rPr>
            </w:pPr>
            <w:r w:rsidRPr="00000E66">
              <w:rPr>
                <w:sz w:val="20"/>
                <w:szCs w:val="20"/>
                <w:lang w:val="fr-FR"/>
              </w:rPr>
              <w:t>Nombre de fournisseurs locaux ;</w:t>
            </w:r>
          </w:p>
          <w:p w14:paraId="4A93C4E5" w14:textId="77777777" w:rsidR="009021F1" w:rsidRPr="00000E66" w:rsidRDefault="009021F1" w:rsidP="00E637E3">
            <w:pPr>
              <w:pStyle w:val="TableParagraph"/>
              <w:numPr>
                <w:ilvl w:val="0"/>
                <w:numId w:val="93"/>
              </w:numPr>
              <w:tabs>
                <w:tab w:val="left" w:pos="668"/>
              </w:tabs>
              <w:autoSpaceDE w:val="0"/>
              <w:autoSpaceDN w:val="0"/>
              <w:spacing w:before="32" w:line="232" w:lineRule="auto"/>
              <w:ind w:left="243" w:right="34"/>
              <w:rPr>
                <w:sz w:val="20"/>
                <w:szCs w:val="20"/>
                <w:lang w:val="fr-FR"/>
              </w:rPr>
            </w:pPr>
            <w:r w:rsidRPr="00000E66">
              <w:rPr>
                <w:sz w:val="20"/>
                <w:szCs w:val="20"/>
                <w:lang w:val="fr-FR"/>
              </w:rPr>
              <w:t>Nombre d’emplois créés par le Projet ;</w:t>
            </w:r>
          </w:p>
          <w:p w14:paraId="21F5615B" w14:textId="77777777" w:rsidR="009021F1" w:rsidRPr="00000E66" w:rsidRDefault="009021F1" w:rsidP="00E637E3">
            <w:pPr>
              <w:pStyle w:val="TableParagraph"/>
              <w:numPr>
                <w:ilvl w:val="0"/>
                <w:numId w:val="93"/>
              </w:numPr>
              <w:tabs>
                <w:tab w:val="left" w:pos="668"/>
              </w:tabs>
              <w:autoSpaceDE w:val="0"/>
              <w:autoSpaceDN w:val="0"/>
              <w:spacing w:before="32" w:line="232" w:lineRule="auto"/>
              <w:ind w:left="243" w:right="34"/>
              <w:rPr>
                <w:sz w:val="20"/>
                <w:szCs w:val="20"/>
                <w:lang w:val="fr-FR"/>
              </w:rPr>
            </w:pPr>
            <w:r w:rsidRPr="00000E66">
              <w:rPr>
                <w:sz w:val="20"/>
                <w:szCs w:val="20"/>
                <w:lang w:val="fr-FR"/>
              </w:rPr>
              <w:t>Nombre d’emplois occupés par de la main-d’œuvre locale.</w:t>
            </w:r>
          </w:p>
        </w:tc>
      </w:tr>
      <w:tr w:rsidR="009021F1" w:rsidRPr="00BE2822" w14:paraId="3E4A61AE" w14:textId="77777777" w:rsidTr="00E637E3">
        <w:tc>
          <w:tcPr>
            <w:tcW w:w="2795" w:type="dxa"/>
            <w:vMerge/>
            <w:shd w:val="clear" w:color="auto" w:fill="auto"/>
          </w:tcPr>
          <w:p w14:paraId="1023E4C5" w14:textId="77777777" w:rsidR="009021F1" w:rsidRPr="00000E66" w:rsidRDefault="009021F1" w:rsidP="00E637E3">
            <w:pPr>
              <w:rPr>
                <w:sz w:val="20"/>
                <w:szCs w:val="20"/>
              </w:rPr>
            </w:pPr>
          </w:p>
        </w:tc>
        <w:tc>
          <w:tcPr>
            <w:tcW w:w="3512" w:type="dxa"/>
            <w:shd w:val="clear" w:color="auto" w:fill="auto"/>
          </w:tcPr>
          <w:p w14:paraId="4C0C0D0B" w14:textId="77777777" w:rsidR="009021F1" w:rsidRPr="00000E66" w:rsidRDefault="009021F1" w:rsidP="00E637E3">
            <w:pPr>
              <w:pStyle w:val="TableParagraph"/>
              <w:spacing w:before="28" w:line="235" w:lineRule="auto"/>
              <w:ind w:left="108"/>
              <w:rPr>
                <w:sz w:val="20"/>
                <w:szCs w:val="20"/>
                <w:lang w:val="fr-FR"/>
              </w:rPr>
            </w:pPr>
            <w:r w:rsidRPr="00000E66">
              <w:rPr>
                <w:sz w:val="20"/>
                <w:szCs w:val="20"/>
                <w:lang w:val="fr-FR"/>
              </w:rPr>
              <w:t>S’assurer de minimiser les pertes de revenus commerciaux et touristiques causées</w:t>
            </w:r>
            <w:r w:rsidRPr="00000E66">
              <w:rPr>
                <w:spacing w:val="-26"/>
                <w:sz w:val="20"/>
                <w:szCs w:val="20"/>
                <w:lang w:val="fr-FR"/>
              </w:rPr>
              <w:t xml:space="preserve"> </w:t>
            </w:r>
            <w:r w:rsidRPr="00000E66">
              <w:rPr>
                <w:sz w:val="20"/>
                <w:szCs w:val="20"/>
                <w:lang w:val="fr-FR"/>
              </w:rPr>
              <w:t>par</w:t>
            </w:r>
            <w:r w:rsidRPr="00000E66">
              <w:rPr>
                <w:spacing w:val="-25"/>
                <w:sz w:val="20"/>
                <w:szCs w:val="20"/>
                <w:lang w:val="fr-FR"/>
              </w:rPr>
              <w:t xml:space="preserve"> </w:t>
            </w:r>
            <w:r w:rsidRPr="00000E66">
              <w:rPr>
                <w:sz w:val="20"/>
                <w:szCs w:val="20"/>
                <w:lang w:val="fr-FR"/>
              </w:rPr>
              <w:t>les</w:t>
            </w:r>
            <w:r w:rsidRPr="00000E66">
              <w:rPr>
                <w:spacing w:val="-26"/>
                <w:sz w:val="20"/>
                <w:szCs w:val="20"/>
                <w:lang w:val="fr-FR"/>
              </w:rPr>
              <w:t xml:space="preserve"> </w:t>
            </w:r>
            <w:r w:rsidRPr="00000E66">
              <w:rPr>
                <w:sz w:val="20"/>
                <w:szCs w:val="20"/>
                <w:lang w:val="fr-FR"/>
              </w:rPr>
              <w:t>travaux</w:t>
            </w:r>
            <w:r w:rsidRPr="00000E66">
              <w:rPr>
                <w:spacing w:val="-25"/>
                <w:sz w:val="20"/>
                <w:szCs w:val="20"/>
                <w:lang w:val="fr-FR"/>
              </w:rPr>
              <w:t xml:space="preserve"> </w:t>
            </w:r>
            <w:r w:rsidRPr="00000E66">
              <w:rPr>
                <w:sz w:val="20"/>
                <w:szCs w:val="20"/>
                <w:lang w:val="fr-FR"/>
              </w:rPr>
              <w:t>de</w:t>
            </w:r>
            <w:r w:rsidRPr="00000E66">
              <w:rPr>
                <w:spacing w:val="-27"/>
                <w:sz w:val="20"/>
                <w:szCs w:val="20"/>
                <w:lang w:val="fr-FR"/>
              </w:rPr>
              <w:t xml:space="preserve"> </w:t>
            </w:r>
            <w:r w:rsidRPr="00000E66">
              <w:rPr>
                <w:sz w:val="20"/>
                <w:szCs w:val="20"/>
                <w:lang w:val="fr-FR"/>
              </w:rPr>
              <w:t>construction.</w:t>
            </w:r>
          </w:p>
        </w:tc>
        <w:tc>
          <w:tcPr>
            <w:tcW w:w="3469" w:type="dxa"/>
            <w:shd w:val="clear" w:color="auto" w:fill="auto"/>
          </w:tcPr>
          <w:p w14:paraId="055D30AC" w14:textId="77777777" w:rsidR="009021F1" w:rsidRPr="00000E66" w:rsidRDefault="009021F1" w:rsidP="00E637E3">
            <w:pPr>
              <w:pStyle w:val="TableParagraph"/>
              <w:numPr>
                <w:ilvl w:val="0"/>
                <w:numId w:val="93"/>
              </w:numPr>
              <w:tabs>
                <w:tab w:val="left" w:pos="668"/>
              </w:tabs>
              <w:autoSpaceDE w:val="0"/>
              <w:autoSpaceDN w:val="0"/>
              <w:spacing w:before="32" w:line="232" w:lineRule="auto"/>
              <w:ind w:left="243" w:right="34"/>
              <w:rPr>
                <w:sz w:val="20"/>
                <w:szCs w:val="20"/>
                <w:lang w:val="fr-FR"/>
              </w:rPr>
            </w:pPr>
            <w:r w:rsidRPr="00000E66">
              <w:rPr>
                <w:sz w:val="20"/>
                <w:szCs w:val="20"/>
                <w:lang w:val="fr-FR"/>
              </w:rPr>
              <w:t>Nombre de plaintes reliées à l’accès, provenant des commerçants et des entreprises touristiques ;</w:t>
            </w:r>
          </w:p>
          <w:p w14:paraId="6320E982" w14:textId="77777777" w:rsidR="009021F1" w:rsidRPr="00000E66" w:rsidRDefault="009021F1" w:rsidP="00E637E3">
            <w:pPr>
              <w:pStyle w:val="TableParagraph"/>
              <w:numPr>
                <w:ilvl w:val="0"/>
                <w:numId w:val="93"/>
              </w:numPr>
              <w:tabs>
                <w:tab w:val="left" w:pos="668"/>
              </w:tabs>
              <w:autoSpaceDE w:val="0"/>
              <w:autoSpaceDN w:val="0"/>
              <w:spacing w:before="32" w:line="235" w:lineRule="auto"/>
              <w:ind w:left="243" w:right="34"/>
              <w:rPr>
                <w:sz w:val="20"/>
                <w:szCs w:val="20"/>
                <w:lang w:val="fr-FR"/>
              </w:rPr>
            </w:pPr>
            <w:r w:rsidRPr="00000E66">
              <w:rPr>
                <w:sz w:val="20"/>
                <w:szCs w:val="20"/>
                <w:lang w:val="fr-FR"/>
              </w:rPr>
              <w:t>Niveaux de compensation prévus pour les commerces ;</w:t>
            </w:r>
          </w:p>
          <w:p w14:paraId="00AB14D2" w14:textId="77777777" w:rsidR="009021F1" w:rsidRPr="00000E66" w:rsidRDefault="009021F1" w:rsidP="00E637E3">
            <w:pPr>
              <w:pStyle w:val="TableParagraph"/>
              <w:numPr>
                <w:ilvl w:val="0"/>
                <w:numId w:val="93"/>
              </w:numPr>
              <w:tabs>
                <w:tab w:val="left" w:pos="668"/>
              </w:tabs>
              <w:autoSpaceDE w:val="0"/>
              <w:autoSpaceDN w:val="0"/>
              <w:spacing w:before="32"/>
              <w:ind w:left="243" w:right="34"/>
              <w:rPr>
                <w:sz w:val="20"/>
                <w:szCs w:val="20"/>
                <w:lang w:val="fr-FR"/>
              </w:rPr>
            </w:pPr>
            <w:r w:rsidRPr="00000E66">
              <w:rPr>
                <w:sz w:val="20"/>
                <w:szCs w:val="20"/>
                <w:lang w:val="fr-FR"/>
              </w:rPr>
              <w:t>Compensations effectivement versées.</w:t>
            </w:r>
          </w:p>
        </w:tc>
      </w:tr>
      <w:tr w:rsidR="009021F1" w:rsidRPr="00BE2822" w14:paraId="321B5BDA" w14:textId="77777777" w:rsidTr="00E637E3">
        <w:tc>
          <w:tcPr>
            <w:tcW w:w="2795" w:type="dxa"/>
            <w:shd w:val="clear" w:color="auto" w:fill="auto"/>
          </w:tcPr>
          <w:p w14:paraId="46921C30" w14:textId="77777777" w:rsidR="009021F1" w:rsidRPr="00000E66" w:rsidRDefault="009021F1" w:rsidP="00E637E3">
            <w:pPr>
              <w:rPr>
                <w:sz w:val="20"/>
                <w:szCs w:val="20"/>
                <w:lang w:val="en-US"/>
              </w:rPr>
            </w:pPr>
          </w:p>
        </w:tc>
        <w:tc>
          <w:tcPr>
            <w:tcW w:w="3512" w:type="dxa"/>
            <w:shd w:val="clear" w:color="auto" w:fill="auto"/>
          </w:tcPr>
          <w:p w14:paraId="6E5049C8" w14:textId="77777777" w:rsidR="009021F1" w:rsidRPr="00000E66" w:rsidRDefault="009021F1" w:rsidP="00E637E3">
            <w:pPr>
              <w:pStyle w:val="TableParagraph"/>
              <w:spacing w:before="28" w:line="235" w:lineRule="auto"/>
              <w:ind w:left="108"/>
              <w:rPr>
                <w:sz w:val="20"/>
                <w:szCs w:val="20"/>
                <w:lang w:val="fr-FR"/>
              </w:rPr>
            </w:pPr>
            <w:r w:rsidRPr="00000E66">
              <w:rPr>
                <w:sz w:val="20"/>
                <w:szCs w:val="20"/>
                <w:lang w:val="fr-FR"/>
              </w:rPr>
              <w:t>S’assurer que le Projet offrira les mêmes chances aux hommes et aux femmes de profiter des opportunités économiques qu’il créera.</w:t>
            </w:r>
          </w:p>
        </w:tc>
        <w:tc>
          <w:tcPr>
            <w:tcW w:w="3469" w:type="dxa"/>
            <w:shd w:val="clear" w:color="auto" w:fill="auto"/>
          </w:tcPr>
          <w:p w14:paraId="192B7086" w14:textId="77777777" w:rsidR="009021F1" w:rsidRPr="00000E66" w:rsidRDefault="009021F1" w:rsidP="00E637E3">
            <w:pPr>
              <w:pStyle w:val="TableParagraph"/>
              <w:numPr>
                <w:ilvl w:val="0"/>
                <w:numId w:val="93"/>
              </w:numPr>
              <w:tabs>
                <w:tab w:val="left" w:pos="668"/>
              </w:tabs>
              <w:autoSpaceDE w:val="0"/>
              <w:autoSpaceDN w:val="0"/>
              <w:spacing w:before="32" w:line="232" w:lineRule="auto"/>
              <w:ind w:left="243" w:right="34"/>
              <w:rPr>
                <w:sz w:val="20"/>
                <w:szCs w:val="20"/>
                <w:lang w:val="fr-FR"/>
              </w:rPr>
            </w:pPr>
            <w:r w:rsidRPr="00000E66">
              <w:rPr>
                <w:sz w:val="20"/>
                <w:szCs w:val="20"/>
                <w:lang w:val="fr-FR"/>
              </w:rPr>
              <w:t>Nombre d’hommes et de femmes ayant reçu des informations concernant les possibilités d’emploi et les besoins en biens et services découlant du Projet ;</w:t>
            </w:r>
          </w:p>
          <w:p w14:paraId="328889B1" w14:textId="77777777" w:rsidR="009021F1" w:rsidRPr="00000E66" w:rsidRDefault="009021F1" w:rsidP="00E637E3">
            <w:pPr>
              <w:pStyle w:val="TableParagraph"/>
              <w:numPr>
                <w:ilvl w:val="0"/>
                <w:numId w:val="93"/>
              </w:numPr>
              <w:tabs>
                <w:tab w:val="left" w:pos="668"/>
              </w:tabs>
              <w:autoSpaceDE w:val="0"/>
              <w:autoSpaceDN w:val="0"/>
              <w:spacing w:before="32" w:line="232" w:lineRule="auto"/>
              <w:ind w:left="243" w:right="34"/>
              <w:rPr>
                <w:sz w:val="20"/>
                <w:szCs w:val="20"/>
                <w:lang w:val="fr-FR"/>
              </w:rPr>
            </w:pPr>
            <w:r w:rsidRPr="00000E66">
              <w:rPr>
                <w:sz w:val="20"/>
                <w:szCs w:val="20"/>
                <w:lang w:val="fr-FR"/>
              </w:rPr>
              <w:t>Nombre de femmes et d’hommes ayant reçu de l’aide à la préparation d’une demande d’emplois ;</w:t>
            </w:r>
          </w:p>
          <w:p w14:paraId="3B1709F1" w14:textId="77777777" w:rsidR="009021F1" w:rsidRPr="00000E66" w:rsidRDefault="009021F1" w:rsidP="00E637E3">
            <w:pPr>
              <w:pStyle w:val="TableParagraph"/>
              <w:numPr>
                <w:ilvl w:val="0"/>
                <w:numId w:val="93"/>
              </w:numPr>
              <w:tabs>
                <w:tab w:val="left" w:pos="668"/>
              </w:tabs>
              <w:autoSpaceDE w:val="0"/>
              <w:autoSpaceDN w:val="0"/>
              <w:spacing w:before="32" w:line="232" w:lineRule="auto"/>
              <w:ind w:left="243" w:right="34"/>
              <w:rPr>
                <w:sz w:val="20"/>
                <w:szCs w:val="20"/>
                <w:lang w:val="fr-FR"/>
              </w:rPr>
            </w:pPr>
            <w:r w:rsidRPr="00000E66">
              <w:rPr>
                <w:sz w:val="20"/>
                <w:szCs w:val="20"/>
                <w:lang w:val="fr-FR"/>
              </w:rPr>
              <w:t>Nombre de femmes et hommes embauchés localement, ventilés par poste, y compris poste de supervision ;</w:t>
            </w:r>
          </w:p>
          <w:p w14:paraId="7DE536B1" w14:textId="77777777" w:rsidR="009021F1" w:rsidRPr="00000E66" w:rsidRDefault="009021F1" w:rsidP="00E637E3">
            <w:pPr>
              <w:pStyle w:val="TableParagraph"/>
              <w:numPr>
                <w:ilvl w:val="0"/>
                <w:numId w:val="93"/>
              </w:numPr>
              <w:tabs>
                <w:tab w:val="left" w:pos="668"/>
              </w:tabs>
              <w:autoSpaceDE w:val="0"/>
              <w:autoSpaceDN w:val="0"/>
              <w:spacing w:before="32" w:line="232" w:lineRule="auto"/>
              <w:ind w:left="243" w:right="34"/>
              <w:rPr>
                <w:sz w:val="20"/>
                <w:szCs w:val="20"/>
                <w:lang w:val="fr-FR"/>
              </w:rPr>
            </w:pPr>
            <w:r w:rsidRPr="00000E66">
              <w:rPr>
                <w:sz w:val="20"/>
                <w:szCs w:val="20"/>
                <w:lang w:val="fr-FR"/>
              </w:rPr>
              <w:t>Nombre de formations en emploi offertes (hommes et femmes) ;</w:t>
            </w:r>
          </w:p>
          <w:p w14:paraId="5D7023D4" w14:textId="77777777" w:rsidR="009021F1" w:rsidRPr="00000E66" w:rsidRDefault="009021F1" w:rsidP="00E637E3">
            <w:pPr>
              <w:pStyle w:val="TableParagraph"/>
              <w:numPr>
                <w:ilvl w:val="0"/>
                <w:numId w:val="93"/>
              </w:numPr>
              <w:tabs>
                <w:tab w:val="left" w:pos="668"/>
              </w:tabs>
              <w:autoSpaceDE w:val="0"/>
              <w:autoSpaceDN w:val="0"/>
              <w:spacing w:before="32" w:line="232" w:lineRule="auto"/>
              <w:ind w:left="243" w:right="34"/>
              <w:rPr>
                <w:sz w:val="20"/>
                <w:szCs w:val="20"/>
                <w:lang w:val="fr-FR"/>
              </w:rPr>
            </w:pPr>
            <w:r w:rsidRPr="00000E66">
              <w:rPr>
                <w:sz w:val="20"/>
                <w:szCs w:val="20"/>
                <w:lang w:val="fr-FR"/>
              </w:rPr>
              <w:t>Nombre de femmes ayant reçu une aide directe.</w:t>
            </w:r>
          </w:p>
        </w:tc>
      </w:tr>
      <w:tr w:rsidR="009021F1" w:rsidRPr="00BE2822" w14:paraId="69862D44" w14:textId="77777777" w:rsidTr="00E637E3">
        <w:tc>
          <w:tcPr>
            <w:tcW w:w="2795" w:type="dxa"/>
            <w:shd w:val="clear" w:color="auto" w:fill="auto"/>
          </w:tcPr>
          <w:p w14:paraId="5E9F79E2" w14:textId="77777777" w:rsidR="009021F1" w:rsidRPr="00000E66" w:rsidRDefault="009021F1" w:rsidP="00E637E3">
            <w:pPr>
              <w:pStyle w:val="TableParagraph"/>
              <w:spacing w:line="213" w:lineRule="exact"/>
              <w:rPr>
                <w:sz w:val="20"/>
                <w:szCs w:val="20"/>
              </w:rPr>
            </w:pPr>
            <w:r w:rsidRPr="00000E66">
              <w:rPr>
                <w:sz w:val="20"/>
                <w:szCs w:val="20"/>
              </w:rPr>
              <w:t>Infrastructures</w:t>
            </w:r>
          </w:p>
        </w:tc>
        <w:tc>
          <w:tcPr>
            <w:tcW w:w="3512" w:type="dxa"/>
            <w:shd w:val="clear" w:color="auto" w:fill="auto"/>
          </w:tcPr>
          <w:p w14:paraId="2713BC14" w14:textId="77777777" w:rsidR="009021F1" w:rsidRPr="00000E66" w:rsidRDefault="009021F1" w:rsidP="00E637E3">
            <w:pPr>
              <w:pStyle w:val="TableParagraph"/>
              <w:spacing w:line="228" w:lineRule="exact"/>
              <w:ind w:left="108"/>
              <w:rPr>
                <w:sz w:val="20"/>
                <w:szCs w:val="20"/>
                <w:lang w:val="fr-FR"/>
              </w:rPr>
            </w:pPr>
            <w:r w:rsidRPr="00000E66">
              <w:rPr>
                <w:sz w:val="20"/>
                <w:szCs w:val="20"/>
                <w:lang w:val="fr-FR"/>
              </w:rPr>
              <w:t>Minimiser les risques de dommages causés aux infrastructures.</w:t>
            </w:r>
          </w:p>
        </w:tc>
        <w:tc>
          <w:tcPr>
            <w:tcW w:w="3469" w:type="dxa"/>
            <w:shd w:val="clear" w:color="auto" w:fill="auto"/>
          </w:tcPr>
          <w:p w14:paraId="3B231119" w14:textId="77777777" w:rsidR="009021F1" w:rsidRPr="00000E66" w:rsidRDefault="009021F1" w:rsidP="00E637E3">
            <w:pPr>
              <w:pStyle w:val="TableParagraph"/>
              <w:numPr>
                <w:ilvl w:val="0"/>
                <w:numId w:val="93"/>
              </w:numPr>
              <w:tabs>
                <w:tab w:val="left" w:pos="668"/>
              </w:tabs>
              <w:autoSpaceDE w:val="0"/>
              <w:autoSpaceDN w:val="0"/>
              <w:spacing w:before="32" w:line="232" w:lineRule="auto"/>
              <w:ind w:left="243" w:right="34"/>
              <w:rPr>
                <w:sz w:val="20"/>
                <w:szCs w:val="20"/>
                <w:lang w:val="fr-FR"/>
              </w:rPr>
            </w:pPr>
            <w:r w:rsidRPr="00000E66">
              <w:rPr>
                <w:sz w:val="20"/>
                <w:szCs w:val="20"/>
                <w:lang w:val="fr-FR"/>
              </w:rPr>
              <w:t>Nombre de cas de dommages causés aux infrastructures (et types de dommages) ;</w:t>
            </w:r>
          </w:p>
          <w:p w14:paraId="4B53D103" w14:textId="77777777" w:rsidR="009021F1" w:rsidRPr="00000E66" w:rsidRDefault="009021F1" w:rsidP="00E637E3">
            <w:pPr>
              <w:pStyle w:val="TableParagraph"/>
              <w:numPr>
                <w:ilvl w:val="0"/>
                <w:numId w:val="93"/>
              </w:numPr>
              <w:tabs>
                <w:tab w:val="left" w:pos="668"/>
              </w:tabs>
              <w:autoSpaceDE w:val="0"/>
              <w:autoSpaceDN w:val="0"/>
              <w:spacing w:before="32" w:line="235" w:lineRule="auto"/>
              <w:ind w:left="243" w:right="34"/>
              <w:rPr>
                <w:sz w:val="20"/>
                <w:szCs w:val="20"/>
                <w:lang w:val="fr-FR"/>
              </w:rPr>
            </w:pPr>
            <w:r w:rsidRPr="00000E66">
              <w:rPr>
                <w:sz w:val="20"/>
                <w:szCs w:val="20"/>
                <w:lang w:val="fr-FR"/>
              </w:rPr>
              <w:t>Nombre de conducteurs des engins ayant reçu une formation sur la sécurité des infrastructures comparé au nombre total de conducteurs employés au Projet.</w:t>
            </w:r>
          </w:p>
        </w:tc>
      </w:tr>
      <w:tr w:rsidR="009021F1" w:rsidRPr="00BE2822" w14:paraId="5209EB93" w14:textId="77777777" w:rsidTr="00E637E3">
        <w:tc>
          <w:tcPr>
            <w:tcW w:w="2795" w:type="dxa"/>
            <w:shd w:val="clear" w:color="auto" w:fill="auto"/>
          </w:tcPr>
          <w:p w14:paraId="5B8366FD" w14:textId="77777777" w:rsidR="009021F1" w:rsidRPr="00000E66" w:rsidRDefault="009021F1" w:rsidP="00E637E3">
            <w:pPr>
              <w:pStyle w:val="TableParagraph"/>
              <w:spacing w:line="232" w:lineRule="auto"/>
              <w:ind w:right="709"/>
              <w:rPr>
                <w:sz w:val="20"/>
                <w:szCs w:val="20"/>
              </w:rPr>
            </w:pPr>
            <w:r w:rsidRPr="00000E66">
              <w:rPr>
                <w:sz w:val="20"/>
                <w:szCs w:val="20"/>
              </w:rPr>
              <w:t>Archéologie et patrimoine</w:t>
            </w:r>
          </w:p>
        </w:tc>
        <w:tc>
          <w:tcPr>
            <w:tcW w:w="3512" w:type="dxa"/>
            <w:shd w:val="clear" w:color="auto" w:fill="auto"/>
          </w:tcPr>
          <w:p w14:paraId="5B12D738" w14:textId="77777777" w:rsidR="009021F1" w:rsidRPr="00000E66" w:rsidRDefault="009021F1" w:rsidP="00E637E3">
            <w:pPr>
              <w:pStyle w:val="TableParagraph"/>
              <w:spacing w:before="30" w:line="232" w:lineRule="auto"/>
              <w:ind w:left="108"/>
              <w:rPr>
                <w:sz w:val="20"/>
                <w:szCs w:val="20"/>
                <w:lang w:val="fr-FR"/>
              </w:rPr>
            </w:pPr>
            <w:r w:rsidRPr="00000E66">
              <w:rPr>
                <w:sz w:val="20"/>
                <w:szCs w:val="20"/>
                <w:lang w:val="fr-FR"/>
              </w:rPr>
              <w:t>Minimiser la perturbation du patrimoine</w:t>
            </w:r>
            <w:r w:rsidRPr="00000E66">
              <w:rPr>
                <w:spacing w:val="-31"/>
                <w:sz w:val="20"/>
                <w:szCs w:val="20"/>
                <w:lang w:val="fr-FR"/>
              </w:rPr>
              <w:t xml:space="preserve"> </w:t>
            </w:r>
            <w:r w:rsidRPr="00000E66">
              <w:rPr>
                <w:sz w:val="20"/>
                <w:szCs w:val="20"/>
                <w:lang w:val="fr-FR"/>
              </w:rPr>
              <w:t>et</w:t>
            </w:r>
            <w:r w:rsidRPr="00000E66">
              <w:rPr>
                <w:spacing w:val="-31"/>
                <w:sz w:val="20"/>
                <w:szCs w:val="20"/>
                <w:lang w:val="fr-FR"/>
              </w:rPr>
              <w:t xml:space="preserve"> </w:t>
            </w:r>
            <w:r w:rsidRPr="00000E66">
              <w:rPr>
                <w:sz w:val="20"/>
                <w:szCs w:val="20"/>
                <w:lang w:val="fr-FR"/>
              </w:rPr>
              <w:t>de</w:t>
            </w:r>
            <w:r w:rsidRPr="00000E66">
              <w:rPr>
                <w:spacing w:val="-31"/>
                <w:sz w:val="20"/>
                <w:szCs w:val="20"/>
                <w:lang w:val="fr-FR"/>
              </w:rPr>
              <w:t xml:space="preserve"> </w:t>
            </w:r>
            <w:r w:rsidRPr="00000E66">
              <w:rPr>
                <w:sz w:val="20"/>
                <w:szCs w:val="20"/>
                <w:lang w:val="fr-FR"/>
              </w:rPr>
              <w:t>sites</w:t>
            </w:r>
            <w:r w:rsidRPr="00000E66">
              <w:rPr>
                <w:spacing w:val="-31"/>
                <w:sz w:val="20"/>
                <w:szCs w:val="20"/>
                <w:lang w:val="fr-FR"/>
              </w:rPr>
              <w:t xml:space="preserve"> </w:t>
            </w:r>
            <w:r w:rsidRPr="00000E66">
              <w:rPr>
                <w:sz w:val="20"/>
                <w:szCs w:val="20"/>
                <w:lang w:val="fr-FR"/>
              </w:rPr>
              <w:t>archéologiques.</w:t>
            </w:r>
          </w:p>
        </w:tc>
        <w:tc>
          <w:tcPr>
            <w:tcW w:w="3469" w:type="dxa"/>
            <w:shd w:val="clear" w:color="auto" w:fill="auto"/>
          </w:tcPr>
          <w:p w14:paraId="7CD75AFA" w14:textId="77777777" w:rsidR="009021F1" w:rsidRPr="00000E66" w:rsidRDefault="009021F1" w:rsidP="00E637E3">
            <w:pPr>
              <w:pStyle w:val="TableParagraph"/>
              <w:numPr>
                <w:ilvl w:val="0"/>
                <w:numId w:val="93"/>
              </w:numPr>
              <w:tabs>
                <w:tab w:val="left" w:pos="668"/>
              </w:tabs>
              <w:autoSpaceDE w:val="0"/>
              <w:autoSpaceDN w:val="0"/>
              <w:spacing w:before="32" w:line="232" w:lineRule="auto"/>
              <w:ind w:left="243" w:right="34"/>
              <w:rPr>
                <w:sz w:val="20"/>
                <w:szCs w:val="20"/>
                <w:lang w:val="fr-FR"/>
              </w:rPr>
            </w:pPr>
            <w:r w:rsidRPr="00000E66">
              <w:rPr>
                <w:sz w:val="20"/>
                <w:szCs w:val="20"/>
                <w:lang w:val="fr-FR"/>
              </w:rPr>
              <w:t>Nombre de sites archéologiques découverts lors des travaux ;</w:t>
            </w:r>
          </w:p>
          <w:p w14:paraId="6CCA2EA4" w14:textId="77777777" w:rsidR="009021F1" w:rsidRPr="00000E66" w:rsidRDefault="009021F1" w:rsidP="00E637E3">
            <w:pPr>
              <w:pStyle w:val="TableParagraph"/>
              <w:numPr>
                <w:ilvl w:val="0"/>
                <w:numId w:val="93"/>
              </w:numPr>
              <w:tabs>
                <w:tab w:val="left" w:pos="668"/>
              </w:tabs>
              <w:autoSpaceDE w:val="0"/>
              <w:autoSpaceDN w:val="0"/>
              <w:spacing w:before="32" w:line="232" w:lineRule="auto"/>
              <w:ind w:left="243" w:right="34"/>
              <w:rPr>
                <w:sz w:val="20"/>
                <w:szCs w:val="20"/>
                <w:lang w:val="fr-FR"/>
              </w:rPr>
            </w:pPr>
            <w:r w:rsidRPr="00000E66">
              <w:rPr>
                <w:sz w:val="20"/>
                <w:szCs w:val="20"/>
                <w:lang w:val="fr-FR"/>
              </w:rPr>
              <w:t>Nombre de sites et biens historiques reconnus se trouvant dans la zone des travaux ;</w:t>
            </w:r>
          </w:p>
          <w:p w14:paraId="236C334E" w14:textId="77777777" w:rsidR="009021F1" w:rsidRPr="00000E66" w:rsidRDefault="009021F1" w:rsidP="00E637E3">
            <w:pPr>
              <w:pStyle w:val="TableParagraph"/>
              <w:numPr>
                <w:ilvl w:val="0"/>
                <w:numId w:val="93"/>
              </w:numPr>
              <w:tabs>
                <w:tab w:val="left" w:pos="668"/>
              </w:tabs>
              <w:autoSpaceDE w:val="0"/>
              <w:autoSpaceDN w:val="0"/>
              <w:spacing w:before="32" w:line="232" w:lineRule="auto"/>
              <w:ind w:left="243" w:right="34"/>
              <w:rPr>
                <w:sz w:val="20"/>
                <w:szCs w:val="20"/>
                <w:lang w:val="fr-FR"/>
              </w:rPr>
            </w:pPr>
            <w:r w:rsidRPr="00000E66">
              <w:rPr>
                <w:sz w:val="20"/>
                <w:szCs w:val="20"/>
                <w:lang w:val="fr-FR"/>
              </w:rPr>
              <w:t>Nombre de sites et biens historiques affectés par le Projet (type d’impact).</w:t>
            </w:r>
          </w:p>
          <w:p w14:paraId="08F8F634" w14:textId="77777777" w:rsidR="009021F1" w:rsidRPr="00000E66" w:rsidRDefault="009021F1" w:rsidP="00E637E3">
            <w:pPr>
              <w:pStyle w:val="TableParagraph"/>
              <w:numPr>
                <w:ilvl w:val="0"/>
                <w:numId w:val="93"/>
              </w:numPr>
              <w:tabs>
                <w:tab w:val="left" w:pos="668"/>
              </w:tabs>
              <w:autoSpaceDE w:val="0"/>
              <w:autoSpaceDN w:val="0"/>
              <w:spacing w:before="32" w:line="232" w:lineRule="auto"/>
              <w:ind w:left="243" w:right="34"/>
              <w:rPr>
                <w:sz w:val="20"/>
                <w:szCs w:val="20"/>
                <w:lang w:val="fr-FR"/>
              </w:rPr>
            </w:pPr>
            <w:r w:rsidRPr="00000E66">
              <w:rPr>
                <w:sz w:val="20"/>
                <w:szCs w:val="20"/>
                <w:lang w:val="fr-FR"/>
              </w:rPr>
              <w:t>Nombre d’autorisations demandées auprès des autorités responsables.</w:t>
            </w:r>
          </w:p>
        </w:tc>
      </w:tr>
    </w:tbl>
    <w:p w14:paraId="619F5991" w14:textId="77777777" w:rsidR="009021F1" w:rsidRDefault="009021F1" w:rsidP="009021F1">
      <w:pPr>
        <w:pStyle w:val="Titre2"/>
        <w:ind w:left="851"/>
        <w:rPr>
          <w:rFonts w:cs="Arial"/>
          <w:b/>
          <w:szCs w:val="21"/>
        </w:rPr>
      </w:pPr>
    </w:p>
    <w:p w14:paraId="393BF07C" w14:textId="77777777" w:rsidR="009021F1" w:rsidRPr="00000E66" w:rsidRDefault="009021F1" w:rsidP="009021F1"/>
    <w:p w14:paraId="4B859299" w14:textId="77777777" w:rsidR="009021F1" w:rsidRPr="00000E66" w:rsidRDefault="009021F1" w:rsidP="009021F1">
      <w:pPr>
        <w:pStyle w:val="Titre2"/>
        <w:numPr>
          <w:ilvl w:val="1"/>
          <w:numId w:val="4"/>
        </w:numPr>
        <w:ind w:left="851" w:hanging="425"/>
        <w:rPr>
          <w:rFonts w:cs="Arial"/>
          <w:b/>
          <w:szCs w:val="21"/>
        </w:rPr>
      </w:pPr>
      <w:bookmarkStart w:id="438" w:name="_Toc90471544"/>
      <w:r w:rsidRPr="00000E66">
        <w:rPr>
          <w:rFonts w:cs="Arial"/>
          <w:b/>
          <w:szCs w:val="21"/>
        </w:rPr>
        <w:t>Calendrier de mise en œuvre des mesures</w:t>
      </w:r>
      <w:bookmarkEnd w:id="438"/>
    </w:p>
    <w:p w14:paraId="5E55D158" w14:textId="77777777" w:rsidR="009021F1" w:rsidRPr="00000E66" w:rsidRDefault="009021F1" w:rsidP="009021F1">
      <w:pPr>
        <w:rPr>
          <w:rFonts w:cs="Arial"/>
          <w:szCs w:val="21"/>
        </w:rPr>
      </w:pPr>
    </w:p>
    <w:p w14:paraId="1D4D0E0A" w14:textId="30658287" w:rsidR="009021F1" w:rsidRDefault="009021F1" w:rsidP="009021F1">
      <w:pPr>
        <w:rPr>
          <w:rFonts w:cs="Arial"/>
          <w:szCs w:val="21"/>
        </w:rPr>
      </w:pPr>
      <w:r w:rsidRPr="00000E66">
        <w:rPr>
          <w:rFonts w:cs="Arial"/>
          <w:szCs w:val="21"/>
        </w:rPr>
        <w:t>Le calendrier de mise en œuvre des activités environnementales et sociales du PNDA s’établira comme suit :</w:t>
      </w:r>
    </w:p>
    <w:p w14:paraId="414D4B10" w14:textId="4D456C5E" w:rsidR="00A46A46" w:rsidRDefault="00A46A46" w:rsidP="009021F1">
      <w:pPr>
        <w:rPr>
          <w:rFonts w:cs="Arial"/>
          <w:szCs w:val="21"/>
        </w:rPr>
      </w:pPr>
    </w:p>
    <w:p w14:paraId="7B5B3DE4" w14:textId="76625BAC" w:rsidR="00A46A46" w:rsidRDefault="00A46A46" w:rsidP="009021F1">
      <w:pPr>
        <w:rPr>
          <w:rFonts w:cs="Arial"/>
          <w:szCs w:val="21"/>
        </w:rPr>
      </w:pPr>
    </w:p>
    <w:p w14:paraId="3663BB76" w14:textId="2B1B7FF3" w:rsidR="00A46A46" w:rsidRDefault="00A46A46" w:rsidP="009021F1">
      <w:pPr>
        <w:rPr>
          <w:rFonts w:cs="Arial"/>
          <w:szCs w:val="21"/>
        </w:rPr>
      </w:pPr>
    </w:p>
    <w:p w14:paraId="59085E33" w14:textId="3112AAF6" w:rsidR="00A46A46" w:rsidRDefault="00A46A46" w:rsidP="009021F1">
      <w:pPr>
        <w:rPr>
          <w:rFonts w:cs="Arial"/>
          <w:szCs w:val="21"/>
        </w:rPr>
      </w:pPr>
    </w:p>
    <w:p w14:paraId="34357071" w14:textId="77777777" w:rsidR="00A46A46" w:rsidRDefault="00A46A46" w:rsidP="009021F1">
      <w:pPr>
        <w:rPr>
          <w:rFonts w:cs="Arial"/>
          <w:szCs w:val="21"/>
        </w:rPr>
      </w:pPr>
    </w:p>
    <w:p w14:paraId="30204CC8" w14:textId="77777777" w:rsidR="009021F1" w:rsidRPr="00000E66" w:rsidRDefault="009021F1" w:rsidP="009021F1">
      <w:pPr>
        <w:rPr>
          <w:rFonts w:cs="Arial"/>
          <w:szCs w:val="21"/>
        </w:rPr>
      </w:pPr>
    </w:p>
    <w:p w14:paraId="622E6281" w14:textId="77777777" w:rsidR="009021F1" w:rsidRPr="00000E66" w:rsidRDefault="009021F1" w:rsidP="009021F1">
      <w:pPr>
        <w:spacing w:line="240" w:lineRule="auto"/>
        <w:jc w:val="left"/>
        <w:rPr>
          <w:rFonts w:cs="Arial"/>
          <w:szCs w:val="21"/>
        </w:rPr>
      </w:pPr>
      <w:r w:rsidRPr="00000E66">
        <w:rPr>
          <w:szCs w:val="21"/>
        </w:rPr>
        <w:t xml:space="preserve">Tableau </w:t>
      </w:r>
      <w:r w:rsidRPr="00000E66">
        <w:rPr>
          <w:szCs w:val="21"/>
        </w:rPr>
        <w:fldChar w:fldCharType="begin"/>
      </w:r>
      <w:r w:rsidRPr="00000E66">
        <w:rPr>
          <w:szCs w:val="21"/>
        </w:rPr>
        <w:instrText xml:space="preserve"> SEQ Tableau \* ARABIC </w:instrText>
      </w:r>
      <w:r w:rsidRPr="00000E66">
        <w:rPr>
          <w:szCs w:val="21"/>
        </w:rPr>
        <w:fldChar w:fldCharType="separate"/>
      </w:r>
      <w:r>
        <w:rPr>
          <w:noProof/>
          <w:szCs w:val="21"/>
        </w:rPr>
        <w:t>39</w:t>
      </w:r>
      <w:r w:rsidRPr="00000E66">
        <w:rPr>
          <w:szCs w:val="21"/>
        </w:rPr>
        <w:fldChar w:fldCharType="end"/>
      </w:r>
      <w:r w:rsidRPr="00000E66">
        <w:rPr>
          <w:rFonts w:cs="Arial"/>
          <w:szCs w:val="21"/>
        </w:rPr>
        <w:t>. Calendrier de mise en œuvre des activités environnementales et sociales du PNDA</w:t>
      </w:r>
    </w:p>
    <w:p w14:paraId="2885E481" w14:textId="77777777" w:rsidR="009021F1" w:rsidRPr="00000E66" w:rsidRDefault="009021F1" w:rsidP="009021F1">
      <w:pPr>
        <w:rPr>
          <w:rFonts w:cs="Arial"/>
          <w:szCs w:val="21"/>
        </w:rPr>
      </w:pPr>
    </w:p>
    <w:tbl>
      <w:tblPr>
        <w:tblW w:w="1059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9"/>
        <w:gridCol w:w="1842"/>
        <w:gridCol w:w="1404"/>
        <w:gridCol w:w="1558"/>
        <w:gridCol w:w="992"/>
        <w:gridCol w:w="963"/>
        <w:gridCol w:w="992"/>
        <w:gridCol w:w="992"/>
      </w:tblGrid>
      <w:tr w:rsidR="009021F1" w:rsidRPr="00000E66" w14:paraId="74E5B39F" w14:textId="77777777" w:rsidTr="00E637E3">
        <w:trPr>
          <w:cantSplit/>
          <w:trHeight w:val="258"/>
          <w:tblHeader/>
          <w:jc w:val="center"/>
        </w:trPr>
        <w:tc>
          <w:tcPr>
            <w:tcW w:w="1849" w:type="dxa"/>
            <w:vMerge w:val="restart"/>
            <w:tcBorders>
              <w:right w:val="single" w:sz="4" w:space="0" w:color="auto"/>
            </w:tcBorders>
            <w:vAlign w:val="center"/>
          </w:tcPr>
          <w:p w14:paraId="339BE315" w14:textId="77777777" w:rsidR="009021F1" w:rsidRPr="00000E66" w:rsidRDefault="009021F1" w:rsidP="00E637E3">
            <w:pPr>
              <w:jc w:val="center"/>
              <w:rPr>
                <w:bCs/>
                <w:sz w:val="20"/>
                <w:szCs w:val="20"/>
              </w:rPr>
            </w:pPr>
            <w:r w:rsidRPr="00000E66">
              <w:rPr>
                <w:sz w:val="20"/>
                <w:szCs w:val="20"/>
              </w:rPr>
              <w:t>Mesures</w:t>
            </w:r>
          </w:p>
        </w:tc>
        <w:tc>
          <w:tcPr>
            <w:tcW w:w="3246" w:type="dxa"/>
            <w:gridSpan w:val="2"/>
            <w:vMerge w:val="restart"/>
            <w:tcBorders>
              <w:left w:val="single" w:sz="4" w:space="0" w:color="auto"/>
              <w:right w:val="single" w:sz="4" w:space="0" w:color="auto"/>
            </w:tcBorders>
            <w:vAlign w:val="center"/>
          </w:tcPr>
          <w:p w14:paraId="7E637BA2" w14:textId="77777777" w:rsidR="009021F1" w:rsidRPr="00000E66" w:rsidRDefault="009021F1" w:rsidP="00E637E3">
            <w:pPr>
              <w:jc w:val="center"/>
              <w:rPr>
                <w:sz w:val="20"/>
                <w:szCs w:val="20"/>
              </w:rPr>
            </w:pPr>
            <w:r w:rsidRPr="00000E66">
              <w:rPr>
                <w:sz w:val="20"/>
                <w:szCs w:val="20"/>
              </w:rPr>
              <w:t>Actions proposées</w:t>
            </w:r>
          </w:p>
        </w:tc>
        <w:tc>
          <w:tcPr>
            <w:tcW w:w="5497" w:type="dxa"/>
            <w:gridSpan w:val="5"/>
            <w:tcBorders>
              <w:left w:val="single" w:sz="4" w:space="0" w:color="auto"/>
              <w:right w:val="single" w:sz="4" w:space="0" w:color="auto"/>
            </w:tcBorders>
          </w:tcPr>
          <w:p w14:paraId="498B0258" w14:textId="77777777" w:rsidR="009021F1" w:rsidRPr="00000E66" w:rsidRDefault="009021F1" w:rsidP="00E637E3">
            <w:pPr>
              <w:jc w:val="center"/>
              <w:rPr>
                <w:sz w:val="20"/>
                <w:szCs w:val="20"/>
              </w:rPr>
            </w:pPr>
            <w:r w:rsidRPr="00000E66">
              <w:rPr>
                <w:sz w:val="20"/>
                <w:szCs w:val="20"/>
              </w:rPr>
              <w:t>Période</w:t>
            </w:r>
          </w:p>
        </w:tc>
      </w:tr>
      <w:tr w:rsidR="009021F1" w:rsidRPr="00000E66" w14:paraId="5ECC7DC9" w14:textId="77777777" w:rsidTr="00E637E3">
        <w:trPr>
          <w:cantSplit/>
          <w:trHeight w:val="258"/>
          <w:tblHeader/>
          <w:jc w:val="center"/>
        </w:trPr>
        <w:tc>
          <w:tcPr>
            <w:tcW w:w="1849" w:type="dxa"/>
            <w:vMerge/>
            <w:tcBorders>
              <w:right w:val="single" w:sz="4" w:space="0" w:color="auto"/>
            </w:tcBorders>
          </w:tcPr>
          <w:p w14:paraId="2B28C9CF" w14:textId="77777777" w:rsidR="009021F1" w:rsidRPr="00000E66" w:rsidRDefault="009021F1" w:rsidP="00E637E3">
            <w:pPr>
              <w:jc w:val="center"/>
              <w:rPr>
                <w:bCs/>
                <w:sz w:val="20"/>
                <w:szCs w:val="20"/>
              </w:rPr>
            </w:pPr>
          </w:p>
        </w:tc>
        <w:tc>
          <w:tcPr>
            <w:tcW w:w="3246" w:type="dxa"/>
            <w:gridSpan w:val="2"/>
            <w:vMerge/>
            <w:tcBorders>
              <w:left w:val="single" w:sz="4" w:space="0" w:color="auto"/>
              <w:right w:val="single" w:sz="4" w:space="0" w:color="auto"/>
            </w:tcBorders>
          </w:tcPr>
          <w:p w14:paraId="56D2C52B" w14:textId="77777777" w:rsidR="009021F1" w:rsidRPr="00000E66" w:rsidRDefault="009021F1" w:rsidP="00E637E3">
            <w:pPr>
              <w:jc w:val="center"/>
              <w:rPr>
                <w:sz w:val="20"/>
                <w:szCs w:val="20"/>
              </w:rPr>
            </w:pPr>
          </w:p>
        </w:tc>
        <w:tc>
          <w:tcPr>
            <w:tcW w:w="1558" w:type="dxa"/>
            <w:tcBorders>
              <w:left w:val="single" w:sz="4" w:space="0" w:color="auto"/>
            </w:tcBorders>
          </w:tcPr>
          <w:p w14:paraId="6EE2DA96" w14:textId="77777777" w:rsidR="009021F1" w:rsidRPr="00000E66" w:rsidRDefault="009021F1" w:rsidP="00E637E3">
            <w:pPr>
              <w:jc w:val="center"/>
              <w:rPr>
                <w:sz w:val="20"/>
                <w:szCs w:val="20"/>
              </w:rPr>
            </w:pPr>
            <w:r w:rsidRPr="00000E66">
              <w:rPr>
                <w:sz w:val="20"/>
                <w:szCs w:val="20"/>
              </w:rPr>
              <w:t>An 1</w:t>
            </w:r>
          </w:p>
        </w:tc>
        <w:tc>
          <w:tcPr>
            <w:tcW w:w="992" w:type="dxa"/>
            <w:tcBorders>
              <w:left w:val="single" w:sz="4" w:space="0" w:color="auto"/>
            </w:tcBorders>
          </w:tcPr>
          <w:p w14:paraId="0FE88FC7" w14:textId="77777777" w:rsidR="009021F1" w:rsidRPr="00000E66" w:rsidRDefault="009021F1" w:rsidP="00E637E3">
            <w:pPr>
              <w:jc w:val="center"/>
              <w:rPr>
                <w:sz w:val="20"/>
                <w:szCs w:val="20"/>
              </w:rPr>
            </w:pPr>
            <w:r w:rsidRPr="00000E66">
              <w:rPr>
                <w:sz w:val="20"/>
                <w:szCs w:val="20"/>
              </w:rPr>
              <w:t>An 2</w:t>
            </w:r>
          </w:p>
        </w:tc>
        <w:tc>
          <w:tcPr>
            <w:tcW w:w="963" w:type="dxa"/>
            <w:tcBorders>
              <w:left w:val="single" w:sz="4" w:space="0" w:color="auto"/>
              <w:right w:val="single" w:sz="4" w:space="0" w:color="auto"/>
            </w:tcBorders>
          </w:tcPr>
          <w:p w14:paraId="67E06C54" w14:textId="77777777" w:rsidR="009021F1" w:rsidRPr="00000E66" w:rsidRDefault="009021F1" w:rsidP="00E637E3">
            <w:pPr>
              <w:jc w:val="center"/>
              <w:rPr>
                <w:sz w:val="20"/>
                <w:szCs w:val="20"/>
              </w:rPr>
            </w:pPr>
            <w:r w:rsidRPr="00000E66">
              <w:rPr>
                <w:sz w:val="20"/>
                <w:szCs w:val="20"/>
              </w:rPr>
              <w:t>An 3</w:t>
            </w:r>
          </w:p>
        </w:tc>
        <w:tc>
          <w:tcPr>
            <w:tcW w:w="992" w:type="dxa"/>
            <w:tcBorders>
              <w:left w:val="single" w:sz="4" w:space="0" w:color="auto"/>
              <w:right w:val="single" w:sz="4" w:space="0" w:color="auto"/>
            </w:tcBorders>
          </w:tcPr>
          <w:p w14:paraId="27A8C4B5" w14:textId="77777777" w:rsidR="009021F1" w:rsidRPr="00000E66" w:rsidRDefault="009021F1" w:rsidP="00E637E3">
            <w:pPr>
              <w:jc w:val="center"/>
              <w:rPr>
                <w:sz w:val="20"/>
                <w:szCs w:val="20"/>
              </w:rPr>
            </w:pPr>
            <w:r w:rsidRPr="00000E66">
              <w:rPr>
                <w:sz w:val="20"/>
                <w:szCs w:val="20"/>
              </w:rPr>
              <w:t>An 4</w:t>
            </w:r>
          </w:p>
        </w:tc>
        <w:tc>
          <w:tcPr>
            <w:tcW w:w="992" w:type="dxa"/>
            <w:tcBorders>
              <w:left w:val="single" w:sz="4" w:space="0" w:color="auto"/>
              <w:right w:val="single" w:sz="4" w:space="0" w:color="auto"/>
            </w:tcBorders>
          </w:tcPr>
          <w:p w14:paraId="108F26B4" w14:textId="77777777" w:rsidR="009021F1" w:rsidRPr="00000E66" w:rsidRDefault="009021F1" w:rsidP="00E637E3">
            <w:pPr>
              <w:jc w:val="center"/>
              <w:rPr>
                <w:sz w:val="20"/>
                <w:szCs w:val="20"/>
              </w:rPr>
            </w:pPr>
            <w:r w:rsidRPr="00000E66">
              <w:rPr>
                <w:sz w:val="20"/>
                <w:szCs w:val="20"/>
              </w:rPr>
              <w:t>An 5</w:t>
            </w:r>
          </w:p>
        </w:tc>
      </w:tr>
      <w:tr w:rsidR="009021F1" w:rsidRPr="00000E66" w14:paraId="63A45C28" w14:textId="77777777" w:rsidTr="00E637E3">
        <w:trPr>
          <w:cantSplit/>
          <w:trHeight w:val="75"/>
          <w:jc w:val="center"/>
        </w:trPr>
        <w:tc>
          <w:tcPr>
            <w:tcW w:w="1849" w:type="dxa"/>
            <w:vMerge w:val="restart"/>
            <w:tcBorders>
              <w:top w:val="single" w:sz="4" w:space="0" w:color="auto"/>
              <w:right w:val="single" w:sz="4" w:space="0" w:color="auto"/>
            </w:tcBorders>
          </w:tcPr>
          <w:p w14:paraId="66028346" w14:textId="77777777" w:rsidR="009021F1" w:rsidRPr="00000E66" w:rsidRDefault="009021F1" w:rsidP="00E637E3">
            <w:pPr>
              <w:jc w:val="left"/>
              <w:rPr>
                <w:bCs/>
                <w:sz w:val="20"/>
                <w:szCs w:val="20"/>
              </w:rPr>
            </w:pPr>
            <w:r w:rsidRPr="00000E66">
              <w:rPr>
                <w:bCs/>
                <w:sz w:val="20"/>
                <w:szCs w:val="20"/>
              </w:rPr>
              <w:t>Mesures d’atténuation</w:t>
            </w:r>
          </w:p>
        </w:tc>
        <w:tc>
          <w:tcPr>
            <w:tcW w:w="3246" w:type="dxa"/>
            <w:gridSpan w:val="2"/>
            <w:vMerge w:val="restart"/>
            <w:tcBorders>
              <w:left w:val="single" w:sz="4" w:space="0" w:color="auto"/>
              <w:right w:val="single" w:sz="4" w:space="0" w:color="auto"/>
            </w:tcBorders>
          </w:tcPr>
          <w:p w14:paraId="09730CEB" w14:textId="77777777" w:rsidR="009021F1" w:rsidRPr="00000E66" w:rsidRDefault="009021F1" w:rsidP="00E637E3">
            <w:pPr>
              <w:jc w:val="left"/>
              <w:rPr>
                <w:sz w:val="20"/>
                <w:szCs w:val="20"/>
              </w:rPr>
            </w:pPr>
            <w:r w:rsidRPr="00000E66">
              <w:rPr>
                <w:sz w:val="20"/>
                <w:szCs w:val="20"/>
              </w:rPr>
              <w:t>Voir liste des mesures d’atténuation par sous-projet.</w:t>
            </w:r>
          </w:p>
        </w:tc>
        <w:tc>
          <w:tcPr>
            <w:tcW w:w="1558" w:type="dxa"/>
            <w:tcBorders>
              <w:left w:val="single" w:sz="4" w:space="0" w:color="auto"/>
              <w:bottom w:val="single" w:sz="36" w:space="0" w:color="auto"/>
            </w:tcBorders>
          </w:tcPr>
          <w:p w14:paraId="1DC349D9" w14:textId="77777777" w:rsidR="009021F1" w:rsidRPr="00000E66" w:rsidRDefault="009021F1" w:rsidP="00E637E3">
            <w:pPr>
              <w:jc w:val="left"/>
              <w:rPr>
                <w:sz w:val="20"/>
                <w:szCs w:val="20"/>
              </w:rPr>
            </w:pPr>
            <w:r w:rsidRPr="00000E66">
              <w:rPr>
                <w:sz w:val="20"/>
                <w:szCs w:val="20"/>
              </w:rPr>
              <w:t>Durant la mise en œuvre</w:t>
            </w:r>
          </w:p>
        </w:tc>
        <w:tc>
          <w:tcPr>
            <w:tcW w:w="992" w:type="dxa"/>
            <w:tcBorders>
              <w:left w:val="single" w:sz="4" w:space="0" w:color="auto"/>
              <w:bottom w:val="single" w:sz="36" w:space="0" w:color="auto"/>
            </w:tcBorders>
          </w:tcPr>
          <w:p w14:paraId="67F4BF54" w14:textId="77777777" w:rsidR="009021F1" w:rsidRPr="00000E66" w:rsidRDefault="009021F1" w:rsidP="00E637E3">
            <w:pPr>
              <w:rPr>
                <w:sz w:val="20"/>
                <w:szCs w:val="20"/>
              </w:rPr>
            </w:pPr>
          </w:p>
        </w:tc>
        <w:tc>
          <w:tcPr>
            <w:tcW w:w="963" w:type="dxa"/>
            <w:tcBorders>
              <w:left w:val="single" w:sz="4" w:space="0" w:color="auto"/>
              <w:bottom w:val="single" w:sz="36" w:space="0" w:color="auto"/>
              <w:right w:val="single" w:sz="4" w:space="0" w:color="auto"/>
            </w:tcBorders>
          </w:tcPr>
          <w:p w14:paraId="335CEDE1" w14:textId="77777777" w:rsidR="009021F1" w:rsidRPr="00000E66" w:rsidRDefault="009021F1" w:rsidP="00E637E3">
            <w:pPr>
              <w:rPr>
                <w:sz w:val="20"/>
                <w:szCs w:val="20"/>
              </w:rPr>
            </w:pPr>
          </w:p>
        </w:tc>
        <w:tc>
          <w:tcPr>
            <w:tcW w:w="992" w:type="dxa"/>
            <w:tcBorders>
              <w:left w:val="single" w:sz="4" w:space="0" w:color="auto"/>
              <w:bottom w:val="single" w:sz="36" w:space="0" w:color="auto"/>
              <w:right w:val="single" w:sz="4" w:space="0" w:color="auto"/>
            </w:tcBorders>
          </w:tcPr>
          <w:p w14:paraId="0F1EADF4" w14:textId="77777777" w:rsidR="009021F1" w:rsidRPr="00000E66" w:rsidRDefault="009021F1" w:rsidP="00E637E3">
            <w:pPr>
              <w:rPr>
                <w:sz w:val="20"/>
                <w:szCs w:val="20"/>
              </w:rPr>
            </w:pPr>
          </w:p>
        </w:tc>
        <w:tc>
          <w:tcPr>
            <w:tcW w:w="992" w:type="dxa"/>
            <w:tcBorders>
              <w:left w:val="single" w:sz="4" w:space="0" w:color="auto"/>
              <w:bottom w:val="single" w:sz="36" w:space="0" w:color="auto"/>
              <w:right w:val="single" w:sz="4" w:space="0" w:color="auto"/>
            </w:tcBorders>
          </w:tcPr>
          <w:p w14:paraId="27041B9F" w14:textId="77777777" w:rsidR="009021F1" w:rsidRPr="00000E66" w:rsidRDefault="009021F1" w:rsidP="00E637E3">
            <w:pPr>
              <w:rPr>
                <w:sz w:val="20"/>
                <w:szCs w:val="20"/>
              </w:rPr>
            </w:pPr>
          </w:p>
        </w:tc>
      </w:tr>
      <w:tr w:rsidR="009021F1" w:rsidRPr="00000E66" w14:paraId="2AA93A30" w14:textId="77777777" w:rsidTr="00E637E3">
        <w:trPr>
          <w:cantSplit/>
          <w:trHeight w:val="20"/>
          <w:jc w:val="center"/>
        </w:trPr>
        <w:tc>
          <w:tcPr>
            <w:tcW w:w="1849" w:type="dxa"/>
            <w:vMerge/>
            <w:tcBorders>
              <w:right w:val="single" w:sz="4" w:space="0" w:color="auto"/>
            </w:tcBorders>
          </w:tcPr>
          <w:p w14:paraId="3370499E" w14:textId="77777777" w:rsidR="009021F1" w:rsidRPr="00000E66" w:rsidRDefault="009021F1" w:rsidP="00E637E3">
            <w:pPr>
              <w:jc w:val="left"/>
              <w:rPr>
                <w:bCs/>
                <w:sz w:val="20"/>
                <w:szCs w:val="20"/>
              </w:rPr>
            </w:pPr>
          </w:p>
        </w:tc>
        <w:tc>
          <w:tcPr>
            <w:tcW w:w="3246" w:type="dxa"/>
            <w:gridSpan w:val="2"/>
            <w:vMerge/>
            <w:tcBorders>
              <w:left w:val="single" w:sz="4" w:space="0" w:color="auto"/>
              <w:right w:val="single" w:sz="4" w:space="0" w:color="auto"/>
            </w:tcBorders>
          </w:tcPr>
          <w:p w14:paraId="75C4F921" w14:textId="77777777" w:rsidR="009021F1" w:rsidRPr="00000E66" w:rsidRDefault="009021F1" w:rsidP="00E637E3">
            <w:pPr>
              <w:jc w:val="left"/>
              <w:rPr>
                <w:sz w:val="20"/>
                <w:szCs w:val="20"/>
              </w:rPr>
            </w:pPr>
          </w:p>
        </w:tc>
        <w:tc>
          <w:tcPr>
            <w:tcW w:w="1558" w:type="dxa"/>
            <w:tcBorders>
              <w:top w:val="single" w:sz="36" w:space="0" w:color="auto"/>
              <w:left w:val="single" w:sz="4" w:space="0" w:color="auto"/>
            </w:tcBorders>
          </w:tcPr>
          <w:p w14:paraId="209652D0" w14:textId="77777777" w:rsidR="009021F1" w:rsidRPr="00000E66" w:rsidRDefault="009021F1" w:rsidP="00E637E3">
            <w:pPr>
              <w:rPr>
                <w:sz w:val="20"/>
                <w:szCs w:val="20"/>
              </w:rPr>
            </w:pPr>
          </w:p>
        </w:tc>
        <w:tc>
          <w:tcPr>
            <w:tcW w:w="992" w:type="dxa"/>
            <w:tcBorders>
              <w:top w:val="single" w:sz="36" w:space="0" w:color="auto"/>
              <w:left w:val="single" w:sz="4" w:space="0" w:color="auto"/>
            </w:tcBorders>
          </w:tcPr>
          <w:p w14:paraId="41F3B7B9" w14:textId="77777777" w:rsidR="009021F1" w:rsidRPr="00000E66" w:rsidRDefault="009021F1" w:rsidP="00E637E3">
            <w:pPr>
              <w:rPr>
                <w:sz w:val="20"/>
                <w:szCs w:val="20"/>
              </w:rPr>
            </w:pPr>
          </w:p>
        </w:tc>
        <w:tc>
          <w:tcPr>
            <w:tcW w:w="963" w:type="dxa"/>
            <w:tcBorders>
              <w:top w:val="single" w:sz="36" w:space="0" w:color="auto"/>
              <w:left w:val="single" w:sz="4" w:space="0" w:color="auto"/>
              <w:right w:val="single" w:sz="4" w:space="0" w:color="auto"/>
            </w:tcBorders>
          </w:tcPr>
          <w:p w14:paraId="3DDC1CF5" w14:textId="77777777" w:rsidR="009021F1" w:rsidRPr="00000E66" w:rsidRDefault="009021F1" w:rsidP="00E637E3">
            <w:pPr>
              <w:rPr>
                <w:sz w:val="20"/>
                <w:szCs w:val="20"/>
              </w:rPr>
            </w:pPr>
          </w:p>
        </w:tc>
        <w:tc>
          <w:tcPr>
            <w:tcW w:w="992" w:type="dxa"/>
            <w:tcBorders>
              <w:top w:val="single" w:sz="36" w:space="0" w:color="auto"/>
              <w:left w:val="single" w:sz="4" w:space="0" w:color="auto"/>
              <w:right w:val="single" w:sz="4" w:space="0" w:color="auto"/>
            </w:tcBorders>
          </w:tcPr>
          <w:p w14:paraId="404FBA4C" w14:textId="77777777" w:rsidR="009021F1" w:rsidRPr="00000E66" w:rsidRDefault="009021F1" w:rsidP="00E637E3">
            <w:pPr>
              <w:rPr>
                <w:sz w:val="20"/>
                <w:szCs w:val="20"/>
              </w:rPr>
            </w:pPr>
          </w:p>
        </w:tc>
        <w:tc>
          <w:tcPr>
            <w:tcW w:w="992" w:type="dxa"/>
            <w:tcBorders>
              <w:top w:val="single" w:sz="36" w:space="0" w:color="auto"/>
              <w:left w:val="single" w:sz="4" w:space="0" w:color="auto"/>
              <w:right w:val="single" w:sz="4" w:space="0" w:color="auto"/>
            </w:tcBorders>
          </w:tcPr>
          <w:p w14:paraId="4DAAC08A" w14:textId="77777777" w:rsidR="009021F1" w:rsidRPr="00000E66" w:rsidRDefault="009021F1" w:rsidP="00E637E3">
            <w:pPr>
              <w:rPr>
                <w:sz w:val="20"/>
                <w:szCs w:val="20"/>
              </w:rPr>
            </w:pPr>
          </w:p>
        </w:tc>
      </w:tr>
      <w:tr w:rsidR="009021F1" w:rsidRPr="00000E66" w14:paraId="4106F539" w14:textId="77777777" w:rsidTr="00E637E3">
        <w:trPr>
          <w:cantSplit/>
          <w:trHeight w:val="285"/>
          <w:jc w:val="center"/>
        </w:trPr>
        <w:tc>
          <w:tcPr>
            <w:tcW w:w="1849" w:type="dxa"/>
            <w:vMerge w:val="restart"/>
            <w:tcBorders>
              <w:top w:val="single" w:sz="4" w:space="0" w:color="auto"/>
              <w:right w:val="single" w:sz="4" w:space="0" w:color="auto"/>
            </w:tcBorders>
          </w:tcPr>
          <w:p w14:paraId="392A04ED" w14:textId="77777777" w:rsidR="009021F1" w:rsidRPr="00000E66" w:rsidRDefault="009021F1" w:rsidP="00E637E3">
            <w:pPr>
              <w:jc w:val="left"/>
              <w:rPr>
                <w:bCs/>
                <w:sz w:val="20"/>
                <w:szCs w:val="20"/>
              </w:rPr>
            </w:pPr>
            <w:r w:rsidRPr="00000E66">
              <w:rPr>
                <w:bCs/>
                <w:sz w:val="20"/>
                <w:szCs w:val="20"/>
              </w:rPr>
              <w:t>Mesures institutionnelles</w:t>
            </w:r>
          </w:p>
        </w:tc>
        <w:tc>
          <w:tcPr>
            <w:tcW w:w="3246" w:type="dxa"/>
            <w:gridSpan w:val="2"/>
            <w:vMerge w:val="restart"/>
            <w:tcBorders>
              <w:left w:val="single" w:sz="4" w:space="0" w:color="auto"/>
              <w:right w:val="single" w:sz="4" w:space="0" w:color="auto"/>
            </w:tcBorders>
          </w:tcPr>
          <w:p w14:paraId="1C0BC880" w14:textId="77777777" w:rsidR="009021F1" w:rsidRPr="00000E66" w:rsidRDefault="009021F1" w:rsidP="00E637E3">
            <w:pPr>
              <w:jc w:val="left"/>
              <w:rPr>
                <w:sz w:val="20"/>
                <w:szCs w:val="20"/>
              </w:rPr>
            </w:pPr>
            <w:r w:rsidRPr="00000E66">
              <w:rPr>
                <w:sz w:val="20"/>
                <w:szCs w:val="20"/>
              </w:rPr>
              <w:t>Recrutement SSE, SSS, SVBG et désignation des Points Focaux Environnement et Social/Province/Ville.</w:t>
            </w:r>
          </w:p>
        </w:tc>
        <w:tc>
          <w:tcPr>
            <w:tcW w:w="1558" w:type="dxa"/>
            <w:tcBorders>
              <w:left w:val="single" w:sz="4" w:space="0" w:color="auto"/>
              <w:bottom w:val="single" w:sz="36" w:space="0" w:color="auto"/>
            </w:tcBorders>
          </w:tcPr>
          <w:p w14:paraId="0B178628" w14:textId="77777777" w:rsidR="009021F1" w:rsidRPr="00000E66" w:rsidRDefault="009021F1" w:rsidP="00E637E3">
            <w:pPr>
              <w:jc w:val="left"/>
              <w:rPr>
                <w:sz w:val="20"/>
                <w:szCs w:val="20"/>
              </w:rPr>
            </w:pPr>
            <w:r w:rsidRPr="00000E66">
              <w:rPr>
                <w:sz w:val="20"/>
                <w:szCs w:val="20"/>
              </w:rPr>
              <w:t>1</w:t>
            </w:r>
            <w:r w:rsidRPr="00000E66">
              <w:rPr>
                <w:sz w:val="20"/>
                <w:szCs w:val="20"/>
                <w:vertAlign w:val="superscript"/>
              </w:rPr>
              <w:t>ère</w:t>
            </w:r>
            <w:r w:rsidRPr="00000E66">
              <w:rPr>
                <w:sz w:val="20"/>
                <w:szCs w:val="20"/>
              </w:rPr>
              <w:t xml:space="preserve"> année, avant le début de la </w:t>
            </w:r>
          </w:p>
        </w:tc>
        <w:tc>
          <w:tcPr>
            <w:tcW w:w="992" w:type="dxa"/>
            <w:vMerge w:val="restart"/>
            <w:tcBorders>
              <w:left w:val="single" w:sz="4" w:space="0" w:color="auto"/>
            </w:tcBorders>
          </w:tcPr>
          <w:p w14:paraId="20827417" w14:textId="77777777" w:rsidR="009021F1" w:rsidRPr="00000E66" w:rsidRDefault="009021F1" w:rsidP="00E637E3">
            <w:pPr>
              <w:rPr>
                <w:sz w:val="20"/>
                <w:szCs w:val="20"/>
              </w:rPr>
            </w:pPr>
          </w:p>
        </w:tc>
        <w:tc>
          <w:tcPr>
            <w:tcW w:w="963" w:type="dxa"/>
            <w:vMerge w:val="restart"/>
            <w:tcBorders>
              <w:left w:val="single" w:sz="4" w:space="0" w:color="auto"/>
              <w:right w:val="single" w:sz="4" w:space="0" w:color="auto"/>
            </w:tcBorders>
          </w:tcPr>
          <w:p w14:paraId="47AC5BBD" w14:textId="77777777" w:rsidR="009021F1" w:rsidRPr="00000E66" w:rsidRDefault="009021F1" w:rsidP="00E637E3">
            <w:pPr>
              <w:rPr>
                <w:sz w:val="20"/>
                <w:szCs w:val="20"/>
              </w:rPr>
            </w:pPr>
          </w:p>
        </w:tc>
        <w:tc>
          <w:tcPr>
            <w:tcW w:w="992" w:type="dxa"/>
            <w:vMerge w:val="restart"/>
            <w:tcBorders>
              <w:left w:val="single" w:sz="4" w:space="0" w:color="auto"/>
              <w:right w:val="single" w:sz="4" w:space="0" w:color="auto"/>
            </w:tcBorders>
          </w:tcPr>
          <w:p w14:paraId="3A484324" w14:textId="77777777" w:rsidR="009021F1" w:rsidRPr="00000E66" w:rsidRDefault="009021F1" w:rsidP="00E637E3">
            <w:pPr>
              <w:rPr>
                <w:sz w:val="20"/>
                <w:szCs w:val="20"/>
              </w:rPr>
            </w:pPr>
          </w:p>
        </w:tc>
        <w:tc>
          <w:tcPr>
            <w:tcW w:w="992" w:type="dxa"/>
            <w:vMerge w:val="restart"/>
            <w:tcBorders>
              <w:left w:val="single" w:sz="4" w:space="0" w:color="auto"/>
              <w:right w:val="single" w:sz="4" w:space="0" w:color="auto"/>
            </w:tcBorders>
          </w:tcPr>
          <w:p w14:paraId="0144A1FC" w14:textId="77777777" w:rsidR="009021F1" w:rsidRPr="00000E66" w:rsidRDefault="009021F1" w:rsidP="00E637E3">
            <w:pPr>
              <w:rPr>
                <w:sz w:val="20"/>
                <w:szCs w:val="20"/>
              </w:rPr>
            </w:pPr>
          </w:p>
        </w:tc>
      </w:tr>
      <w:tr w:rsidR="009021F1" w:rsidRPr="00000E66" w14:paraId="569A8098" w14:textId="77777777" w:rsidTr="00E637E3">
        <w:trPr>
          <w:cantSplit/>
          <w:trHeight w:val="20"/>
          <w:jc w:val="center"/>
        </w:trPr>
        <w:tc>
          <w:tcPr>
            <w:tcW w:w="1849" w:type="dxa"/>
            <w:vMerge/>
            <w:tcBorders>
              <w:bottom w:val="single" w:sz="4" w:space="0" w:color="auto"/>
              <w:right w:val="single" w:sz="4" w:space="0" w:color="auto"/>
            </w:tcBorders>
          </w:tcPr>
          <w:p w14:paraId="42FA59C9" w14:textId="77777777" w:rsidR="009021F1" w:rsidRPr="00000E66" w:rsidRDefault="009021F1" w:rsidP="00E637E3">
            <w:pPr>
              <w:jc w:val="left"/>
              <w:rPr>
                <w:bCs/>
                <w:sz w:val="20"/>
                <w:szCs w:val="20"/>
              </w:rPr>
            </w:pPr>
          </w:p>
        </w:tc>
        <w:tc>
          <w:tcPr>
            <w:tcW w:w="3246" w:type="dxa"/>
            <w:gridSpan w:val="2"/>
            <w:vMerge/>
            <w:tcBorders>
              <w:left w:val="single" w:sz="4" w:space="0" w:color="auto"/>
              <w:right w:val="single" w:sz="4" w:space="0" w:color="auto"/>
            </w:tcBorders>
          </w:tcPr>
          <w:p w14:paraId="19533D4D" w14:textId="77777777" w:rsidR="009021F1" w:rsidRPr="00000E66" w:rsidRDefault="009021F1" w:rsidP="00E637E3">
            <w:pPr>
              <w:jc w:val="left"/>
              <w:rPr>
                <w:sz w:val="20"/>
                <w:szCs w:val="20"/>
              </w:rPr>
            </w:pPr>
          </w:p>
        </w:tc>
        <w:tc>
          <w:tcPr>
            <w:tcW w:w="1558" w:type="dxa"/>
            <w:tcBorders>
              <w:top w:val="single" w:sz="36" w:space="0" w:color="auto"/>
              <w:left w:val="single" w:sz="4" w:space="0" w:color="auto"/>
            </w:tcBorders>
          </w:tcPr>
          <w:p w14:paraId="29637F2D" w14:textId="77777777" w:rsidR="009021F1" w:rsidRPr="00000E66" w:rsidRDefault="009021F1" w:rsidP="00E637E3">
            <w:pPr>
              <w:rPr>
                <w:sz w:val="20"/>
                <w:szCs w:val="20"/>
              </w:rPr>
            </w:pPr>
            <w:r w:rsidRPr="00000E66">
              <w:rPr>
                <w:sz w:val="20"/>
                <w:szCs w:val="20"/>
              </w:rPr>
              <w:t>mise en œuvre</w:t>
            </w:r>
          </w:p>
        </w:tc>
        <w:tc>
          <w:tcPr>
            <w:tcW w:w="992" w:type="dxa"/>
            <w:vMerge/>
            <w:tcBorders>
              <w:left w:val="single" w:sz="4" w:space="0" w:color="auto"/>
            </w:tcBorders>
          </w:tcPr>
          <w:p w14:paraId="6912B0C5" w14:textId="77777777" w:rsidR="009021F1" w:rsidRPr="00000E66" w:rsidRDefault="009021F1" w:rsidP="00E637E3">
            <w:pPr>
              <w:rPr>
                <w:sz w:val="20"/>
                <w:szCs w:val="20"/>
              </w:rPr>
            </w:pPr>
          </w:p>
        </w:tc>
        <w:tc>
          <w:tcPr>
            <w:tcW w:w="963" w:type="dxa"/>
            <w:vMerge/>
            <w:tcBorders>
              <w:left w:val="single" w:sz="4" w:space="0" w:color="auto"/>
              <w:right w:val="single" w:sz="4" w:space="0" w:color="auto"/>
            </w:tcBorders>
          </w:tcPr>
          <w:p w14:paraId="0D146417" w14:textId="77777777" w:rsidR="009021F1" w:rsidRPr="00000E66" w:rsidRDefault="009021F1" w:rsidP="00E637E3">
            <w:pPr>
              <w:rPr>
                <w:sz w:val="20"/>
                <w:szCs w:val="20"/>
              </w:rPr>
            </w:pPr>
          </w:p>
        </w:tc>
        <w:tc>
          <w:tcPr>
            <w:tcW w:w="992" w:type="dxa"/>
            <w:vMerge/>
            <w:tcBorders>
              <w:left w:val="single" w:sz="4" w:space="0" w:color="auto"/>
              <w:right w:val="single" w:sz="4" w:space="0" w:color="auto"/>
            </w:tcBorders>
          </w:tcPr>
          <w:p w14:paraId="625076C2" w14:textId="77777777" w:rsidR="009021F1" w:rsidRPr="00000E66" w:rsidRDefault="009021F1" w:rsidP="00E637E3">
            <w:pPr>
              <w:rPr>
                <w:sz w:val="20"/>
                <w:szCs w:val="20"/>
              </w:rPr>
            </w:pPr>
          </w:p>
        </w:tc>
        <w:tc>
          <w:tcPr>
            <w:tcW w:w="992" w:type="dxa"/>
            <w:vMerge/>
            <w:tcBorders>
              <w:left w:val="single" w:sz="4" w:space="0" w:color="auto"/>
              <w:right w:val="single" w:sz="4" w:space="0" w:color="auto"/>
            </w:tcBorders>
          </w:tcPr>
          <w:p w14:paraId="43E8D75A" w14:textId="77777777" w:rsidR="009021F1" w:rsidRPr="00000E66" w:rsidRDefault="009021F1" w:rsidP="00E637E3">
            <w:pPr>
              <w:rPr>
                <w:sz w:val="20"/>
                <w:szCs w:val="20"/>
              </w:rPr>
            </w:pPr>
          </w:p>
        </w:tc>
      </w:tr>
      <w:tr w:rsidR="009021F1" w:rsidRPr="00000E66" w14:paraId="2B26265E" w14:textId="77777777" w:rsidTr="00E637E3">
        <w:trPr>
          <w:cantSplit/>
          <w:trHeight w:val="420"/>
          <w:jc w:val="center"/>
        </w:trPr>
        <w:tc>
          <w:tcPr>
            <w:tcW w:w="1849" w:type="dxa"/>
            <w:vMerge w:val="restart"/>
            <w:tcBorders>
              <w:top w:val="single" w:sz="4" w:space="0" w:color="auto"/>
              <w:right w:val="single" w:sz="4" w:space="0" w:color="auto"/>
            </w:tcBorders>
          </w:tcPr>
          <w:p w14:paraId="00442C73" w14:textId="77777777" w:rsidR="009021F1" w:rsidRPr="00000E66" w:rsidRDefault="009021F1" w:rsidP="00E637E3">
            <w:pPr>
              <w:pStyle w:val="Commentaire"/>
              <w:rPr>
                <w:lang w:val="fr-FR"/>
              </w:rPr>
            </w:pPr>
            <w:r w:rsidRPr="00000E66">
              <w:rPr>
                <w:bCs/>
                <w:lang w:val="fr-FR"/>
              </w:rPr>
              <w:t>Études et mesures d’accompagnement ainsi que Mesures environnementales dans les plans d’affaires</w:t>
            </w:r>
            <w:r w:rsidRPr="00000E66">
              <w:rPr>
                <w:lang w:val="fr-FR"/>
              </w:rPr>
              <w:t xml:space="preserve"> </w:t>
            </w:r>
          </w:p>
          <w:p w14:paraId="5269FA76" w14:textId="77777777" w:rsidR="009021F1" w:rsidRPr="00000E66" w:rsidRDefault="009021F1" w:rsidP="00E637E3">
            <w:pPr>
              <w:jc w:val="left"/>
              <w:rPr>
                <w:sz w:val="20"/>
                <w:szCs w:val="20"/>
              </w:rPr>
            </w:pPr>
            <w:r w:rsidRPr="00000E66">
              <w:rPr>
                <w:bCs/>
                <w:sz w:val="20"/>
                <w:szCs w:val="20"/>
              </w:rPr>
              <w:t xml:space="preserve"> </w:t>
            </w:r>
          </w:p>
        </w:tc>
        <w:tc>
          <w:tcPr>
            <w:tcW w:w="3246" w:type="dxa"/>
            <w:gridSpan w:val="2"/>
            <w:vMerge w:val="restart"/>
            <w:tcBorders>
              <w:left w:val="single" w:sz="4" w:space="0" w:color="auto"/>
              <w:right w:val="single" w:sz="4" w:space="0" w:color="auto"/>
            </w:tcBorders>
          </w:tcPr>
          <w:p w14:paraId="46BA7409" w14:textId="77777777" w:rsidR="009021F1" w:rsidRPr="00000E66" w:rsidRDefault="009021F1" w:rsidP="00E637E3">
            <w:pPr>
              <w:jc w:val="left"/>
              <w:rPr>
                <w:bCs/>
                <w:sz w:val="20"/>
                <w:szCs w:val="20"/>
              </w:rPr>
            </w:pPr>
            <w:r w:rsidRPr="00000E66">
              <w:rPr>
                <w:sz w:val="20"/>
                <w:szCs w:val="20"/>
              </w:rPr>
              <w:t>Réalisation des EIES pour certaines activités du PNDA.</w:t>
            </w:r>
          </w:p>
        </w:tc>
        <w:tc>
          <w:tcPr>
            <w:tcW w:w="1558" w:type="dxa"/>
            <w:tcBorders>
              <w:left w:val="single" w:sz="4" w:space="0" w:color="auto"/>
              <w:bottom w:val="single" w:sz="36" w:space="0" w:color="auto"/>
            </w:tcBorders>
          </w:tcPr>
          <w:p w14:paraId="7A024619" w14:textId="77777777" w:rsidR="009021F1" w:rsidRPr="00000E66" w:rsidRDefault="009021F1" w:rsidP="00E637E3">
            <w:pPr>
              <w:rPr>
                <w:bCs/>
                <w:sz w:val="20"/>
                <w:szCs w:val="20"/>
              </w:rPr>
            </w:pPr>
            <w:r w:rsidRPr="00000E66">
              <w:rPr>
                <w:sz w:val="20"/>
                <w:szCs w:val="20"/>
              </w:rPr>
              <w:t>1</w:t>
            </w:r>
            <w:r w:rsidRPr="00000E66">
              <w:rPr>
                <w:sz w:val="20"/>
                <w:szCs w:val="20"/>
                <w:vertAlign w:val="superscript"/>
              </w:rPr>
              <w:t>ère</w:t>
            </w:r>
            <w:r w:rsidRPr="00000E66">
              <w:rPr>
                <w:sz w:val="20"/>
                <w:szCs w:val="20"/>
              </w:rPr>
              <w:t xml:space="preserve"> année, ou avant la mise en œuvre </w:t>
            </w:r>
          </w:p>
        </w:tc>
        <w:tc>
          <w:tcPr>
            <w:tcW w:w="992" w:type="dxa"/>
            <w:vMerge w:val="restart"/>
            <w:tcBorders>
              <w:left w:val="single" w:sz="4" w:space="0" w:color="auto"/>
            </w:tcBorders>
          </w:tcPr>
          <w:p w14:paraId="44481C33" w14:textId="77777777" w:rsidR="009021F1" w:rsidRPr="00000E66" w:rsidRDefault="009021F1" w:rsidP="00E637E3">
            <w:pPr>
              <w:rPr>
                <w:sz w:val="20"/>
                <w:szCs w:val="20"/>
              </w:rPr>
            </w:pPr>
          </w:p>
        </w:tc>
        <w:tc>
          <w:tcPr>
            <w:tcW w:w="963" w:type="dxa"/>
            <w:vMerge w:val="restart"/>
            <w:tcBorders>
              <w:left w:val="single" w:sz="4" w:space="0" w:color="auto"/>
              <w:right w:val="single" w:sz="4" w:space="0" w:color="auto"/>
            </w:tcBorders>
          </w:tcPr>
          <w:p w14:paraId="1D6EB8C1" w14:textId="77777777" w:rsidR="009021F1" w:rsidRPr="00000E66" w:rsidRDefault="009021F1" w:rsidP="00E637E3">
            <w:pPr>
              <w:rPr>
                <w:sz w:val="20"/>
                <w:szCs w:val="20"/>
              </w:rPr>
            </w:pPr>
          </w:p>
        </w:tc>
        <w:tc>
          <w:tcPr>
            <w:tcW w:w="992" w:type="dxa"/>
            <w:vMerge w:val="restart"/>
            <w:tcBorders>
              <w:left w:val="single" w:sz="4" w:space="0" w:color="auto"/>
              <w:right w:val="single" w:sz="4" w:space="0" w:color="auto"/>
            </w:tcBorders>
          </w:tcPr>
          <w:p w14:paraId="3BB290FE" w14:textId="77777777" w:rsidR="009021F1" w:rsidRPr="00000E66" w:rsidRDefault="009021F1" w:rsidP="00E637E3">
            <w:pPr>
              <w:rPr>
                <w:sz w:val="20"/>
                <w:szCs w:val="20"/>
              </w:rPr>
            </w:pPr>
          </w:p>
        </w:tc>
        <w:tc>
          <w:tcPr>
            <w:tcW w:w="992" w:type="dxa"/>
            <w:vMerge w:val="restart"/>
            <w:tcBorders>
              <w:left w:val="single" w:sz="4" w:space="0" w:color="auto"/>
              <w:right w:val="single" w:sz="4" w:space="0" w:color="auto"/>
            </w:tcBorders>
          </w:tcPr>
          <w:p w14:paraId="4C7121AF" w14:textId="77777777" w:rsidR="009021F1" w:rsidRPr="00000E66" w:rsidRDefault="009021F1" w:rsidP="00E637E3">
            <w:pPr>
              <w:rPr>
                <w:sz w:val="20"/>
                <w:szCs w:val="20"/>
              </w:rPr>
            </w:pPr>
          </w:p>
        </w:tc>
      </w:tr>
      <w:tr w:rsidR="009021F1" w:rsidRPr="00000E66" w14:paraId="1B14798F" w14:textId="77777777" w:rsidTr="00E637E3">
        <w:trPr>
          <w:cantSplit/>
          <w:trHeight w:val="20"/>
          <w:jc w:val="center"/>
        </w:trPr>
        <w:tc>
          <w:tcPr>
            <w:tcW w:w="1849" w:type="dxa"/>
            <w:vMerge/>
            <w:tcBorders>
              <w:right w:val="single" w:sz="4" w:space="0" w:color="auto"/>
            </w:tcBorders>
          </w:tcPr>
          <w:p w14:paraId="719ABE49" w14:textId="77777777" w:rsidR="009021F1" w:rsidRPr="00000E66" w:rsidRDefault="009021F1" w:rsidP="00E637E3">
            <w:pPr>
              <w:jc w:val="left"/>
              <w:rPr>
                <w:bCs/>
                <w:sz w:val="20"/>
                <w:szCs w:val="20"/>
              </w:rPr>
            </w:pPr>
          </w:p>
        </w:tc>
        <w:tc>
          <w:tcPr>
            <w:tcW w:w="3246" w:type="dxa"/>
            <w:gridSpan w:val="2"/>
            <w:vMerge/>
            <w:tcBorders>
              <w:left w:val="single" w:sz="4" w:space="0" w:color="auto"/>
              <w:bottom w:val="single" w:sz="4" w:space="0" w:color="auto"/>
              <w:right w:val="single" w:sz="4" w:space="0" w:color="auto"/>
            </w:tcBorders>
          </w:tcPr>
          <w:p w14:paraId="5882E410" w14:textId="77777777" w:rsidR="009021F1" w:rsidRPr="00000E66" w:rsidRDefault="009021F1" w:rsidP="00E637E3">
            <w:pPr>
              <w:jc w:val="left"/>
              <w:rPr>
                <w:sz w:val="20"/>
                <w:szCs w:val="20"/>
              </w:rPr>
            </w:pPr>
          </w:p>
        </w:tc>
        <w:tc>
          <w:tcPr>
            <w:tcW w:w="1558" w:type="dxa"/>
            <w:tcBorders>
              <w:top w:val="single" w:sz="36" w:space="0" w:color="auto"/>
              <w:left w:val="single" w:sz="4" w:space="0" w:color="auto"/>
              <w:bottom w:val="single" w:sz="4" w:space="0" w:color="auto"/>
            </w:tcBorders>
          </w:tcPr>
          <w:p w14:paraId="3074293B" w14:textId="77777777" w:rsidR="009021F1" w:rsidRPr="00000E66" w:rsidRDefault="009021F1" w:rsidP="00E637E3">
            <w:pPr>
              <w:rPr>
                <w:sz w:val="20"/>
                <w:szCs w:val="20"/>
              </w:rPr>
            </w:pPr>
            <w:r w:rsidRPr="00000E66">
              <w:rPr>
                <w:sz w:val="20"/>
                <w:szCs w:val="20"/>
              </w:rPr>
              <w:t xml:space="preserve"> </w:t>
            </w:r>
          </w:p>
        </w:tc>
        <w:tc>
          <w:tcPr>
            <w:tcW w:w="992" w:type="dxa"/>
            <w:vMerge/>
            <w:tcBorders>
              <w:left w:val="single" w:sz="4" w:space="0" w:color="auto"/>
              <w:bottom w:val="single" w:sz="4" w:space="0" w:color="auto"/>
            </w:tcBorders>
          </w:tcPr>
          <w:p w14:paraId="735E9A17" w14:textId="77777777" w:rsidR="009021F1" w:rsidRPr="00000E66" w:rsidRDefault="009021F1" w:rsidP="00E637E3">
            <w:pPr>
              <w:rPr>
                <w:sz w:val="20"/>
                <w:szCs w:val="20"/>
              </w:rPr>
            </w:pPr>
          </w:p>
        </w:tc>
        <w:tc>
          <w:tcPr>
            <w:tcW w:w="963" w:type="dxa"/>
            <w:vMerge/>
            <w:tcBorders>
              <w:left w:val="single" w:sz="4" w:space="0" w:color="auto"/>
              <w:bottom w:val="single" w:sz="4" w:space="0" w:color="auto"/>
              <w:right w:val="single" w:sz="4" w:space="0" w:color="auto"/>
            </w:tcBorders>
          </w:tcPr>
          <w:p w14:paraId="0F4A6682" w14:textId="77777777" w:rsidR="009021F1" w:rsidRPr="00000E66" w:rsidRDefault="009021F1" w:rsidP="00E637E3">
            <w:pPr>
              <w:rPr>
                <w:sz w:val="20"/>
                <w:szCs w:val="20"/>
              </w:rPr>
            </w:pPr>
          </w:p>
        </w:tc>
        <w:tc>
          <w:tcPr>
            <w:tcW w:w="992" w:type="dxa"/>
            <w:vMerge/>
            <w:tcBorders>
              <w:left w:val="single" w:sz="4" w:space="0" w:color="auto"/>
              <w:bottom w:val="single" w:sz="4" w:space="0" w:color="auto"/>
              <w:right w:val="single" w:sz="4" w:space="0" w:color="auto"/>
            </w:tcBorders>
          </w:tcPr>
          <w:p w14:paraId="344B5056" w14:textId="77777777" w:rsidR="009021F1" w:rsidRPr="00000E66" w:rsidRDefault="009021F1" w:rsidP="00E637E3">
            <w:pPr>
              <w:rPr>
                <w:sz w:val="20"/>
                <w:szCs w:val="20"/>
              </w:rPr>
            </w:pPr>
          </w:p>
        </w:tc>
        <w:tc>
          <w:tcPr>
            <w:tcW w:w="992" w:type="dxa"/>
            <w:vMerge/>
            <w:tcBorders>
              <w:left w:val="single" w:sz="4" w:space="0" w:color="auto"/>
              <w:right w:val="single" w:sz="4" w:space="0" w:color="auto"/>
            </w:tcBorders>
          </w:tcPr>
          <w:p w14:paraId="4855B52E" w14:textId="77777777" w:rsidR="009021F1" w:rsidRPr="00000E66" w:rsidRDefault="009021F1" w:rsidP="00E637E3">
            <w:pPr>
              <w:rPr>
                <w:sz w:val="20"/>
                <w:szCs w:val="20"/>
              </w:rPr>
            </w:pPr>
          </w:p>
        </w:tc>
      </w:tr>
      <w:tr w:rsidR="009021F1" w:rsidRPr="00000E66" w14:paraId="57F1672E" w14:textId="77777777" w:rsidTr="00E637E3">
        <w:trPr>
          <w:cantSplit/>
          <w:trHeight w:val="180"/>
          <w:jc w:val="center"/>
        </w:trPr>
        <w:tc>
          <w:tcPr>
            <w:tcW w:w="1849" w:type="dxa"/>
            <w:vMerge/>
            <w:tcBorders>
              <w:right w:val="single" w:sz="4" w:space="0" w:color="auto"/>
            </w:tcBorders>
          </w:tcPr>
          <w:p w14:paraId="7B88203D" w14:textId="77777777" w:rsidR="009021F1" w:rsidRPr="00000E66" w:rsidRDefault="009021F1" w:rsidP="00E637E3">
            <w:pPr>
              <w:jc w:val="left"/>
              <w:rPr>
                <w:bCs/>
                <w:sz w:val="20"/>
                <w:szCs w:val="20"/>
              </w:rPr>
            </w:pPr>
          </w:p>
        </w:tc>
        <w:tc>
          <w:tcPr>
            <w:tcW w:w="3246" w:type="dxa"/>
            <w:gridSpan w:val="2"/>
            <w:vMerge w:val="restart"/>
            <w:tcBorders>
              <w:top w:val="single" w:sz="4" w:space="0" w:color="auto"/>
              <w:left w:val="single" w:sz="4" w:space="0" w:color="auto"/>
              <w:right w:val="single" w:sz="4" w:space="0" w:color="auto"/>
            </w:tcBorders>
          </w:tcPr>
          <w:p w14:paraId="3049B454" w14:textId="77777777" w:rsidR="009021F1" w:rsidRPr="00000E66" w:rsidRDefault="009021F1" w:rsidP="00E637E3">
            <w:pPr>
              <w:jc w:val="left"/>
              <w:rPr>
                <w:sz w:val="20"/>
                <w:szCs w:val="20"/>
              </w:rPr>
            </w:pPr>
            <w:r w:rsidRPr="00000E66">
              <w:rPr>
                <w:sz w:val="20"/>
                <w:szCs w:val="20"/>
              </w:rPr>
              <w:t>Dotation de petits matériels d’entretien et de gestion.</w:t>
            </w:r>
          </w:p>
        </w:tc>
        <w:tc>
          <w:tcPr>
            <w:tcW w:w="1558" w:type="dxa"/>
            <w:vMerge w:val="restart"/>
            <w:tcBorders>
              <w:top w:val="single" w:sz="4" w:space="0" w:color="auto"/>
              <w:left w:val="single" w:sz="4" w:space="0" w:color="auto"/>
            </w:tcBorders>
          </w:tcPr>
          <w:p w14:paraId="1697D136" w14:textId="77777777" w:rsidR="009021F1" w:rsidRPr="00000E66" w:rsidRDefault="009021F1" w:rsidP="00E637E3">
            <w:pPr>
              <w:rPr>
                <w:sz w:val="20"/>
                <w:szCs w:val="20"/>
              </w:rPr>
            </w:pPr>
          </w:p>
        </w:tc>
        <w:tc>
          <w:tcPr>
            <w:tcW w:w="992" w:type="dxa"/>
            <w:tcBorders>
              <w:top w:val="single" w:sz="4" w:space="0" w:color="auto"/>
              <w:left w:val="single" w:sz="4" w:space="0" w:color="auto"/>
              <w:bottom w:val="single" w:sz="36" w:space="0" w:color="auto"/>
            </w:tcBorders>
          </w:tcPr>
          <w:p w14:paraId="5941BE29" w14:textId="77777777" w:rsidR="009021F1" w:rsidRPr="00000E66" w:rsidRDefault="009021F1" w:rsidP="00E637E3">
            <w:pPr>
              <w:rPr>
                <w:sz w:val="20"/>
                <w:szCs w:val="20"/>
              </w:rPr>
            </w:pPr>
          </w:p>
        </w:tc>
        <w:tc>
          <w:tcPr>
            <w:tcW w:w="963" w:type="dxa"/>
            <w:tcBorders>
              <w:top w:val="single" w:sz="4" w:space="0" w:color="auto"/>
              <w:left w:val="single" w:sz="4" w:space="0" w:color="auto"/>
              <w:bottom w:val="single" w:sz="36" w:space="0" w:color="auto"/>
              <w:right w:val="single" w:sz="4" w:space="0" w:color="auto"/>
            </w:tcBorders>
          </w:tcPr>
          <w:p w14:paraId="4A2917EA" w14:textId="77777777" w:rsidR="009021F1" w:rsidRPr="00000E66" w:rsidRDefault="009021F1" w:rsidP="00E637E3">
            <w:pPr>
              <w:rPr>
                <w:sz w:val="20"/>
                <w:szCs w:val="20"/>
              </w:rPr>
            </w:pPr>
          </w:p>
        </w:tc>
        <w:tc>
          <w:tcPr>
            <w:tcW w:w="992" w:type="dxa"/>
            <w:tcBorders>
              <w:top w:val="single" w:sz="4" w:space="0" w:color="auto"/>
              <w:left w:val="single" w:sz="4" w:space="0" w:color="auto"/>
              <w:bottom w:val="single" w:sz="36" w:space="0" w:color="auto"/>
              <w:right w:val="single" w:sz="4" w:space="0" w:color="auto"/>
            </w:tcBorders>
          </w:tcPr>
          <w:p w14:paraId="258750DD" w14:textId="77777777" w:rsidR="009021F1" w:rsidRPr="00000E66" w:rsidRDefault="009021F1" w:rsidP="00E637E3">
            <w:pPr>
              <w:rPr>
                <w:sz w:val="20"/>
                <w:szCs w:val="20"/>
              </w:rPr>
            </w:pPr>
          </w:p>
        </w:tc>
        <w:tc>
          <w:tcPr>
            <w:tcW w:w="992" w:type="dxa"/>
            <w:vMerge/>
            <w:tcBorders>
              <w:left w:val="single" w:sz="4" w:space="0" w:color="auto"/>
              <w:bottom w:val="single" w:sz="36" w:space="0" w:color="auto"/>
              <w:right w:val="single" w:sz="4" w:space="0" w:color="auto"/>
            </w:tcBorders>
          </w:tcPr>
          <w:p w14:paraId="5335F47E" w14:textId="77777777" w:rsidR="009021F1" w:rsidRPr="00000E66" w:rsidRDefault="009021F1" w:rsidP="00E637E3">
            <w:pPr>
              <w:rPr>
                <w:sz w:val="20"/>
                <w:szCs w:val="20"/>
              </w:rPr>
            </w:pPr>
          </w:p>
        </w:tc>
      </w:tr>
      <w:tr w:rsidR="009021F1" w:rsidRPr="00000E66" w14:paraId="4963BEFC" w14:textId="77777777" w:rsidTr="00E637E3">
        <w:trPr>
          <w:cantSplit/>
          <w:trHeight w:val="119"/>
          <w:jc w:val="center"/>
        </w:trPr>
        <w:tc>
          <w:tcPr>
            <w:tcW w:w="1849" w:type="dxa"/>
            <w:vMerge/>
            <w:tcBorders>
              <w:right w:val="single" w:sz="4" w:space="0" w:color="auto"/>
            </w:tcBorders>
          </w:tcPr>
          <w:p w14:paraId="63102EA5" w14:textId="77777777" w:rsidR="009021F1" w:rsidRPr="00000E66" w:rsidRDefault="009021F1" w:rsidP="00E637E3">
            <w:pPr>
              <w:jc w:val="left"/>
              <w:rPr>
                <w:bCs/>
                <w:sz w:val="20"/>
                <w:szCs w:val="20"/>
              </w:rPr>
            </w:pPr>
          </w:p>
        </w:tc>
        <w:tc>
          <w:tcPr>
            <w:tcW w:w="3246" w:type="dxa"/>
            <w:gridSpan w:val="2"/>
            <w:vMerge/>
            <w:tcBorders>
              <w:top w:val="single" w:sz="4" w:space="0" w:color="auto"/>
              <w:left w:val="single" w:sz="4" w:space="0" w:color="auto"/>
              <w:bottom w:val="single" w:sz="4" w:space="0" w:color="auto"/>
              <w:right w:val="single" w:sz="4" w:space="0" w:color="auto"/>
            </w:tcBorders>
          </w:tcPr>
          <w:p w14:paraId="7EDA4F19" w14:textId="77777777" w:rsidR="009021F1" w:rsidRPr="00000E66" w:rsidRDefault="009021F1" w:rsidP="00E637E3">
            <w:pPr>
              <w:jc w:val="left"/>
              <w:rPr>
                <w:sz w:val="20"/>
                <w:szCs w:val="20"/>
              </w:rPr>
            </w:pPr>
          </w:p>
        </w:tc>
        <w:tc>
          <w:tcPr>
            <w:tcW w:w="1558" w:type="dxa"/>
            <w:vMerge/>
            <w:tcBorders>
              <w:top w:val="single" w:sz="4" w:space="0" w:color="auto"/>
              <w:left w:val="single" w:sz="4" w:space="0" w:color="auto"/>
              <w:bottom w:val="single" w:sz="4" w:space="0" w:color="auto"/>
            </w:tcBorders>
          </w:tcPr>
          <w:p w14:paraId="18196626" w14:textId="77777777" w:rsidR="009021F1" w:rsidRPr="00000E66" w:rsidRDefault="009021F1" w:rsidP="00E637E3">
            <w:pPr>
              <w:rPr>
                <w:sz w:val="20"/>
                <w:szCs w:val="20"/>
              </w:rPr>
            </w:pPr>
          </w:p>
        </w:tc>
        <w:tc>
          <w:tcPr>
            <w:tcW w:w="992" w:type="dxa"/>
            <w:tcBorders>
              <w:top w:val="single" w:sz="4" w:space="0" w:color="auto"/>
              <w:left w:val="single" w:sz="4" w:space="0" w:color="auto"/>
              <w:bottom w:val="single" w:sz="4" w:space="0" w:color="auto"/>
            </w:tcBorders>
          </w:tcPr>
          <w:p w14:paraId="21708138" w14:textId="77777777" w:rsidR="009021F1" w:rsidRPr="00000E66" w:rsidRDefault="009021F1" w:rsidP="00E637E3">
            <w:pPr>
              <w:rPr>
                <w:sz w:val="20"/>
                <w:szCs w:val="20"/>
              </w:rPr>
            </w:pPr>
          </w:p>
        </w:tc>
        <w:tc>
          <w:tcPr>
            <w:tcW w:w="963" w:type="dxa"/>
            <w:tcBorders>
              <w:top w:val="single" w:sz="4" w:space="0" w:color="auto"/>
              <w:left w:val="single" w:sz="4" w:space="0" w:color="auto"/>
              <w:bottom w:val="single" w:sz="4" w:space="0" w:color="auto"/>
            </w:tcBorders>
          </w:tcPr>
          <w:p w14:paraId="741A0AC5" w14:textId="77777777" w:rsidR="009021F1" w:rsidRPr="00000E66" w:rsidRDefault="009021F1" w:rsidP="00E637E3">
            <w:pPr>
              <w:rPr>
                <w:sz w:val="20"/>
                <w:szCs w:val="20"/>
              </w:rPr>
            </w:pPr>
          </w:p>
        </w:tc>
        <w:tc>
          <w:tcPr>
            <w:tcW w:w="992" w:type="dxa"/>
            <w:tcBorders>
              <w:top w:val="single" w:sz="4" w:space="0" w:color="auto"/>
              <w:left w:val="single" w:sz="4" w:space="0" w:color="auto"/>
              <w:bottom w:val="single" w:sz="4" w:space="0" w:color="auto"/>
            </w:tcBorders>
          </w:tcPr>
          <w:p w14:paraId="261C2812" w14:textId="77777777" w:rsidR="009021F1" w:rsidRPr="00000E66" w:rsidRDefault="009021F1" w:rsidP="00E637E3">
            <w:pPr>
              <w:rPr>
                <w:sz w:val="20"/>
                <w:szCs w:val="20"/>
              </w:rPr>
            </w:pPr>
          </w:p>
        </w:tc>
        <w:tc>
          <w:tcPr>
            <w:tcW w:w="992" w:type="dxa"/>
            <w:tcBorders>
              <w:top w:val="single" w:sz="4" w:space="0" w:color="auto"/>
              <w:left w:val="single" w:sz="4" w:space="0" w:color="auto"/>
              <w:bottom w:val="single" w:sz="4" w:space="0" w:color="auto"/>
            </w:tcBorders>
          </w:tcPr>
          <w:p w14:paraId="213A01CC" w14:textId="77777777" w:rsidR="009021F1" w:rsidRPr="00000E66" w:rsidRDefault="009021F1" w:rsidP="00E637E3">
            <w:pPr>
              <w:rPr>
                <w:sz w:val="20"/>
                <w:szCs w:val="20"/>
              </w:rPr>
            </w:pPr>
          </w:p>
        </w:tc>
      </w:tr>
      <w:tr w:rsidR="009021F1" w:rsidRPr="00000E66" w14:paraId="1A72CBAA" w14:textId="77777777" w:rsidTr="00E637E3">
        <w:trPr>
          <w:cantSplit/>
          <w:trHeight w:val="135"/>
          <w:jc w:val="center"/>
        </w:trPr>
        <w:tc>
          <w:tcPr>
            <w:tcW w:w="1849" w:type="dxa"/>
            <w:vMerge/>
            <w:tcBorders>
              <w:bottom w:val="single" w:sz="4" w:space="0" w:color="auto"/>
              <w:right w:val="single" w:sz="4" w:space="0" w:color="auto"/>
            </w:tcBorders>
          </w:tcPr>
          <w:p w14:paraId="12A29527" w14:textId="77777777" w:rsidR="009021F1" w:rsidRPr="00000E66" w:rsidRDefault="009021F1" w:rsidP="00E637E3">
            <w:pPr>
              <w:jc w:val="left"/>
              <w:rPr>
                <w:bCs/>
                <w:sz w:val="20"/>
                <w:szCs w:val="20"/>
              </w:rPr>
            </w:pPr>
          </w:p>
        </w:tc>
        <w:tc>
          <w:tcPr>
            <w:tcW w:w="3246" w:type="dxa"/>
            <w:gridSpan w:val="2"/>
            <w:tcBorders>
              <w:left w:val="single" w:sz="4" w:space="0" w:color="auto"/>
              <w:bottom w:val="single" w:sz="4" w:space="0" w:color="auto"/>
              <w:right w:val="single" w:sz="4" w:space="0" w:color="auto"/>
            </w:tcBorders>
          </w:tcPr>
          <w:p w14:paraId="0240B736" w14:textId="77777777" w:rsidR="009021F1" w:rsidRPr="00000E66" w:rsidRDefault="009021F1" w:rsidP="00E637E3">
            <w:pPr>
              <w:jc w:val="left"/>
              <w:rPr>
                <w:sz w:val="20"/>
                <w:szCs w:val="20"/>
              </w:rPr>
            </w:pPr>
            <w:r w:rsidRPr="00000E66">
              <w:rPr>
                <w:sz w:val="20"/>
                <w:szCs w:val="20"/>
              </w:rPr>
              <w:t>Reboisement compensatoire et aménagement paysagers.</w:t>
            </w:r>
          </w:p>
        </w:tc>
        <w:tc>
          <w:tcPr>
            <w:tcW w:w="1558" w:type="dxa"/>
            <w:tcBorders>
              <w:left w:val="single" w:sz="4" w:space="0" w:color="auto"/>
              <w:bottom w:val="single" w:sz="4" w:space="0" w:color="auto"/>
            </w:tcBorders>
          </w:tcPr>
          <w:p w14:paraId="07C15562" w14:textId="77777777" w:rsidR="009021F1" w:rsidRPr="00000E66" w:rsidRDefault="009021F1" w:rsidP="00E637E3">
            <w:pPr>
              <w:jc w:val="left"/>
              <w:rPr>
                <w:sz w:val="20"/>
                <w:szCs w:val="20"/>
              </w:rPr>
            </w:pPr>
            <w:r w:rsidRPr="00000E66">
              <w:rPr>
                <w:sz w:val="20"/>
                <w:szCs w:val="20"/>
              </w:rPr>
              <w:t>Après les travaux</w:t>
            </w:r>
          </w:p>
        </w:tc>
        <w:tc>
          <w:tcPr>
            <w:tcW w:w="992" w:type="dxa"/>
            <w:tcBorders>
              <w:top w:val="single" w:sz="36" w:space="0" w:color="auto"/>
              <w:left w:val="single" w:sz="4" w:space="0" w:color="auto"/>
              <w:bottom w:val="single" w:sz="4" w:space="0" w:color="auto"/>
            </w:tcBorders>
          </w:tcPr>
          <w:p w14:paraId="1EF53E03" w14:textId="77777777" w:rsidR="009021F1" w:rsidRPr="00000E66" w:rsidRDefault="009021F1" w:rsidP="00E637E3">
            <w:pPr>
              <w:rPr>
                <w:sz w:val="20"/>
                <w:szCs w:val="20"/>
              </w:rPr>
            </w:pPr>
          </w:p>
        </w:tc>
        <w:tc>
          <w:tcPr>
            <w:tcW w:w="963" w:type="dxa"/>
            <w:tcBorders>
              <w:left w:val="single" w:sz="4" w:space="0" w:color="auto"/>
              <w:bottom w:val="single" w:sz="4" w:space="0" w:color="auto"/>
            </w:tcBorders>
          </w:tcPr>
          <w:p w14:paraId="4158C668" w14:textId="77777777" w:rsidR="009021F1" w:rsidRPr="00000E66" w:rsidRDefault="009021F1" w:rsidP="00E637E3">
            <w:pPr>
              <w:rPr>
                <w:sz w:val="20"/>
                <w:szCs w:val="20"/>
              </w:rPr>
            </w:pPr>
          </w:p>
        </w:tc>
        <w:tc>
          <w:tcPr>
            <w:tcW w:w="992" w:type="dxa"/>
            <w:tcBorders>
              <w:left w:val="single" w:sz="4" w:space="0" w:color="auto"/>
              <w:bottom w:val="single" w:sz="4" w:space="0" w:color="auto"/>
            </w:tcBorders>
          </w:tcPr>
          <w:p w14:paraId="05C05FC2" w14:textId="77777777" w:rsidR="009021F1" w:rsidRPr="00000E66" w:rsidRDefault="009021F1" w:rsidP="00E637E3">
            <w:pPr>
              <w:rPr>
                <w:sz w:val="20"/>
                <w:szCs w:val="20"/>
              </w:rPr>
            </w:pPr>
          </w:p>
        </w:tc>
        <w:tc>
          <w:tcPr>
            <w:tcW w:w="992" w:type="dxa"/>
            <w:tcBorders>
              <w:left w:val="single" w:sz="4" w:space="0" w:color="auto"/>
              <w:bottom w:val="single" w:sz="4" w:space="0" w:color="auto"/>
            </w:tcBorders>
          </w:tcPr>
          <w:p w14:paraId="40265AB6" w14:textId="77777777" w:rsidR="009021F1" w:rsidRPr="00000E66" w:rsidRDefault="009021F1" w:rsidP="00E637E3">
            <w:pPr>
              <w:rPr>
                <w:sz w:val="20"/>
                <w:szCs w:val="20"/>
              </w:rPr>
            </w:pPr>
          </w:p>
        </w:tc>
      </w:tr>
      <w:tr w:rsidR="009021F1" w:rsidRPr="00000E66" w14:paraId="48D086D0" w14:textId="77777777" w:rsidTr="00E637E3">
        <w:trPr>
          <w:cantSplit/>
          <w:trHeight w:val="210"/>
          <w:jc w:val="center"/>
        </w:trPr>
        <w:tc>
          <w:tcPr>
            <w:tcW w:w="1849" w:type="dxa"/>
            <w:vMerge w:val="restart"/>
            <w:tcBorders>
              <w:top w:val="single" w:sz="4" w:space="0" w:color="auto"/>
              <w:left w:val="single" w:sz="6" w:space="0" w:color="000000"/>
              <w:right w:val="single" w:sz="4" w:space="0" w:color="auto"/>
            </w:tcBorders>
          </w:tcPr>
          <w:p w14:paraId="40FC008A" w14:textId="77777777" w:rsidR="009021F1" w:rsidRPr="00000E66" w:rsidRDefault="009021F1" w:rsidP="00E637E3">
            <w:pPr>
              <w:jc w:val="left"/>
              <w:rPr>
                <w:bCs/>
                <w:sz w:val="20"/>
                <w:szCs w:val="20"/>
              </w:rPr>
            </w:pPr>
            <w:r w:rsidRPr="00000E66">
              <w:rPr>
                <w:bCs/>
                <w:sz w:val="20"/>
                <w:szCs w:val="20"/>
              </w:rPr>
              <w:t>Formation</w:t>
            </w:r>
          </w:p>
        </w:tc>
        <w:tc>
          <w:tcPr>
            <w:tcW w:w="3246" w:type="dxa"/>
            <w:gridSpan w:val="2"/>
            <w:vMerge w:val="restart"/>
            <w:tcBorders>
              <w:top w:val="single" w:sz="6" w:space="0" w:color="000000"/>
              <w:left w:val="single" w:sz="4" w:space="0" w:color="auto"/>
              <w:right w:val="single" w:sz="4" w:space="0" w:color="auto"/>
            </w:tcBorders>
          </w:tcPr>
          <w:p w14:paraId="1EAD886C" w14:textId="77777777" w:rsidR="009021F1" w:rsidRPr="00000E66" w:rsidRDefault="009021F1" w:rsidP="00E637E3">
            <w:pPr>
              <w:jc w:val="left"/>
              <w:rPr>
                <w:sz w:val="20"/>
                <w:szCs w:val="20"/>
              </w:rPr>
            </w:pPr>
            <w:r w:rsidRPr="00000E66">
              <w:rPr>
                <w:sz w:val="20"/>
                <w:szCs w:val="20"/>
              </w:rPr>
              <w:t>Formation des responsables en environnement et social du PNDA et PFES en gestion environnementale et sociale des projets.</w:t>
            </w:r>
          </w:p>
        </w:tc>
        <w:tc>
          <w:tcPr>
            <w:tcW w:w="1558" w:type="dxa"/>
            <w:tcBorders>
              <w:top w:val="single" w:sz="6" w:space="0" w:color="000000"/>
              <w:left w:val="single" w:sz="4" w:space="0" w:color="auto"/>
              <w:bottom w:val="single" w:sz="36" w:space="0" w:color="auto"/>
              <w:right w:val="single" w:sz="6" w:space="0" w:color="000000"/>
            </w:tcBorders>
          </w:tcPr>
          <w:p w14:paraId="02576C5B" w14:textId="77777777" w:rsidR="009021F1" w:rsidRPr="00000E66" w:rsidRDefault="009021F1" w:rsidP="00E637E3">
            <w:pPr>
              <w:tabs>
                <w:tab w:val="num" w:pos="360"/>
              </w:tabs>
              <w:ind w:left="360" w:hanging="360"/>
              <w:rPr>
                <w:sz w:val="20"/>
                <w:szCs w:val="20"/>
              </w:rPr>
            </w:pPr>
            <w:r w:rsidRPr="00000E66">
              <w:rPr>
                <w:sz w:val="20"/>
                <w:szCs w:val="20"/>
              </w:rPr>
              <w:t>1</w:t>
            </w:r>
            <w:r w:rsidRPr="00000E66">
              <w:rPr>
                <w:sz w:val="20"/>
                <w:szCs w:val="20"/>
                <w:vertAlign w:val="superscript"/>
              </w:rPr>
              <w:t>ère</w:t>
            </w:r>
            <w:r w:rsidRPr="00000E66">
              <w:rPr>
                <w:sz w:val="20"/>
                <w:szCs w:val="20"/>
              </w:rPr>
              <w:t xml:space="preserve"> année</w:t>
            </w:r>
          </w:p>
        </w:tc>
        <w:tc>
          <w:tcPr>
            <w:tcW w:w="992" w:type="dxa"/>
            <w:vMerge w:val="restart"/>
            <w:tcBorders>
              <w:top w:val="single" w:sz="6" w:space="0" w:color="000000"/>
              <w:left w:val="single" w:sz="4" w:space="0" w:color="auto"/>
              <w:right w:val="single" w:sz="6" w:space="0" w:color="000000"/>
            </w:tcBorders>
          </w:tcPr>
          <w:p w14:paraId="6EE49FB8" w14:textId="77777777" w:rsidR="009021F1" w:rsidRPr="00000E66" w:rsidRDefault="009021F1" w:rsidP="00E637E3">
            <w:pPr>
              <w:tabs>
                <w:tab w:val="num" w:pos="360"/>
              </w:tabs>
              <w:ind w:left="360" w:hanging="360"/>
              <w:rPr>
                <w:sz w:val="20"/>
                <w:szCs w:val="20"/>
              </w:rPr>
            </w:pPr>
          </w:p>
        </w:tc>
        <w:tc>
          <w:tcPr>
            <w:tcW w:w="963" w:type="dxa"/>
            <w:vMerge w:val="restart"/>
            <w:tcBorders>
              <w:top w:val="single" w:sz="6" w:space="0" w:color="000000"/>
              <w:left w:val="single" w:sz="4" w:space="0" w:color="auto"/>
              <w:right w:val="single" w:sz="6" w:space="0" w:color="000000"/>
            </w:tcBorders>
          </w:tcPr>
          <w:p w14:paraId="53D04CAE" w14:textId="77777777" w:rsidR="009021F1" w:rsidRPr="00000E66" w:rsidRDefault="009021F1" w:rsidP="00E637E3">
            <w:pPr>
              <w:tabs>
                <w:tab w:val="num" w:pos="360"/>
              </w:tabs>
              <w:ind w:left="360" w:hanging="360"/>
              <w:rPr>
                <w:sz w:val="20"/>
                <w:szCs w:val="20"/>
              </w:rPr>
            </w:pPr>
          </w:p>
        </w:tc>
        <w:tc>
          <w:tcPr>
            <w:tcW w:w="992" w:type="dxa"/>
            <w:vMerge w:val="restart"/>
            <w:tcBorders>
              <w:top w:val="single" w:sz="6" w:space="0" w:color="000000"/>
              <w:left w:val="single" w:sz="4" w:space="0" w:color="auto"/>
              <w:right w:val="single" w:sz="6" w:space="0" w:color="000000"/>
            </w:tcBorders>
          </w:tcPr>
          <w:p w14:paraId="791AA346" w14:textId="77777777" w:rsidR="009021F1" w:rsidRPr="00000E66" w:rsidRDefault="009021F1" w:rsidP="00E637E3">
            <w:pPr>
              <w:tabs>
                <w:tab w:val="num" w:pos="360"/>
              </w:tabs>
              <w:ind w:left="360" w:hanging="360"/>
              <w:rPr>
                <w:sz w:val="20"/>
                <w:szCs w:val="20"/>
              </w:rPr>
            </w:pPr>
          </w:p>
        </w:tc>
        <w:tc>
          <w:tcPr>
            <w:tcW w:w="992" w:type="dxa"/>
            <w:vMerge w:val="restart"/>
            <w:tcBorders>
              <w:top w:val="single" w:sz="6" w:space="0" w:color="000000"/>
              <w:left w:val="single" w:sz="4" w:space="0" w:color="auto"/>
              <w:right w:val="single" w:sz="6" w:space="0" w:color="000000"/>
            </w:tcBorders>
          </w:tcPr>
          <w:p w14:paraId="0DF69C22" w14:textId="77777777" w:rsidR="009021F1" w:rsidRPr="00000E66" w:rsidRDefault="009021F1" w:rsidP="00E637E3">
            <w:pPr>
              <w:tabs>
                <w:tab w:val="num" w:pos="360"/>
              </w:tabs>
              <w:ind w:left="360" w:hanging="360"/>
              <w:rPr>
                <w:sz w:val="20"/>
                <w:szCs w:val="20"/>
              </w:rPr>
            </w:pPr>
          </w:p>
        </w:tc>
      </w:tr>
      <w:tr w:rsidR="009021F1" w:rsidRPr="00000E66" w14:paraId="6E6ACE99" w14:textId="77777777" w:rsidTr="00E637E3">
        <w:trPr>
          <w:cantSplit/>
          <w:trHeight w:val="210"/>
          <w:jc w:val="center"/>
        </w:trPr>
        <w:tc>
          <w:tcPr>
            <w:tcW w:w="1849" w:type="dxa"/>
            <w:vMerge/>
            <w:tcBorders>
              <w:left w:val="single" w:sz="6" w:space="0" w:color="000000"/>
              <w:right w:val="single" w:sz="4" w:space="0" w:color="auto"/>
            </w:tcBorders>
          </w:tcPr>
          <w:p w14:paraId="02D0B7D4" w14:textId="77777777" w:rsidR="009021F1" w:rsidRPr="00000E66" w:rsidRDefault="009021F1" w:rsidP="00E637E3">
            <w:pPr>
              <w:jc w:val="left"/>
              <w:rPr>
                <w:bCs/>
                <w:sz w:val="20"/>
                <w:szCs w:val="20"/>
              </w:rPr>
            </w:pPr>
          </w:p>
        </w:tc>
        <w:tc>
          <w:tcPr>
            <w:tcW w:w="3246" w:type="dxa"/>
            <w:gridSpan w:val="2"/>
            <w:vMerge/>
            <w:tcBorders>
              <w:left w:val="single" w:sz="4" w:space="0" w:color="auto"/>
              <w:bottom w:val="single" w:sz="6" w:space="0" w:color="000000"/>
              <w:right w:val="single" w:sz="4" w:space="0" w:color="auto"/>
            </w:tcBorders>
          </w:tcPr>
          <w:p w14:paraId="1C28E076" w14:textId="77777777" w:rsidR="009021F1" w:rsidRPr="00000E66" w:rsidRDefault="009021F1" w:rsidP="00E637E3">
            <w:pPr>
              <w:jc w:val="left"/>
              <w:rPr>
                <w:sz w:val="20"/>
                <w:szCs w:val="20"/>
              </w:rPr>
            </w:pPr>
          </w:p>
        </w:tc>
        <w:tc>
          <w:tcPr>
            <w:tcW w:w="1558" w:type="dxa"/>
            <w:tcBorders>
              <w:top w:val="single" w:sz="36" w:space="0" w:color="auto"/>
              <w:left w:val="single" w:sz="4" w:space="0" w:color="auto"/>
              <w:bottom w:val="single" w:sz="6" w:space="0" w:color="000000"/>
              <w:right w:val="single" w:sz="6" w:space="0" w:color="000000"/>
            </w:tcBorders>
          </w:tcPr>
          <w:p w14:paraId="6737DB4B" w14:textId="77777777" w:rsidR="009021F1" w:rsidRPr="00000E66" w:rsidRDefault="009021F1" w:rsidP="00E637E3">
            <w:pPr>
              <w:tabs>
                <w:tab w:val="num" w:pos="360"/>
              </w:tabs>
              <w:ind w:left="360" w:hanging="360"/>
              <w:rPr>
                <w:sz w:val="20"/>
                <w:szCs w:val="20"/>
              </w:rPr>
            </w:pPr>
          </w:p>
        </w:tc>
        <w:tc>
          <w:tcPr>
            <w:tcW w:w="992" w:type="dxa"/>
            <w:vMerge/>
            <w:tcBorders>
              <w:left w:val="single" w:sz="4" w:space="0" w:color="auto"/>
              <w:bottom w:val="single" w:sz="6" w:space="0" w:color="000000"/>
              <w:right w:val="single" w:sz="6" w:space="0" w:color="000000"/>
            </w:tcBorders>
          </w:tcPr>
          <w:p w14:paraId="64E4C793" w14:textId="77777777" w:rsidR="009021F1" w:rsidRPr="00000E66" w:rsidRDefault="009021F1" w:rsidP="00E637E3">
            <w:pPr>
              <w:tabs>
                <w:tab w:val="num" w:pos="360"/>
              </w:tabs>
              <w:ind w:left="360" w:hanging="360"/>
              <w:rPr>
                <w:sz w:val="20"/>
                <w:szCs w:val="20"/>
              </w:rPr>
            </w:pPr>
          </w:p>
        </w:tc>
        <w:tc>
          <w:tcPr>
            <w:tcW w:w="963" w:type="dxa"/>
            <w:vMerge/>
            <w:tcBorders>
              <w:left w:val="single" w:sz="4" w:space="0" w:color="auto"/>
              <w:bottom w:val="single" w:sz="6" w:space="0" w:color="000000"/>
              <w:right w:val="single" w:sz="6" w:space="0" w:color="000000"/>
            </w:tcBorders>
          </w:tcPr>
          <w:p w14:paraId="37C951DB" w14:textId="77777777" w:rsidR="009021F1" w:rsidRPr="00000E66" w:rsidRDefault="009021F1" w:rsidP="00E637E3">
            <w:pPr>
              <w:tabs>
                <w:tab w:val="num" w:pos="360"/>
              </w:tabs>
              <w:ind w:left="360" w:hanging="360"/>
              <w:rPr>
                <w:sz w:val="20"/>
                <w:szCs w:val="20"/>
              </w:rPr>
            </w:pPr>
          </w:p>
        </w:tc>
        <w:tc>
          <w:tcPr>
            <w:tcW w:w="992" w:type="dxa"/>
            <w:vMerge/>
            <w:tcBorders>
              <w:left w:val="single" w:sz="4" w:space="0" w:color="auto"/>
              <w:bottom w:val="single" w:sz="6" w:space="0" w:color="000000"/>
              <w:right w:val="single" w:sz="6" w:space="0" w:color="000000"/>
            </w:tcBorders>
          </w:tcPr>
          <w:p w14:paraId="41561746" w14:textId="77777777" w:rsidR="009021F1" w:rsidRPr="00000E66" w:rsidRDefault="009021F1" w:rsidP="00E637E3">
            <w:pPr>
              <w:tabs>
                <w:tab w:val="num" w:pos="360"/>
              </w:tabs>
              <w:ind w:left="360" w:hanging="360"/>
              <w:rPr>
                <w:sz w:val="20"/>
                <w:szCs w:val="20"/>
              </w:rPr>
            </w:pPr>
          </w:p>
        </w:tc>
        <w:tc>
          <w:tcPr>
            <w:tcW w:w="992" w:type="dxa"/>
            <w:vMerge/>
            <w:tcBorders>
              <w:left w:val="single" w:sz="4" w:space="0" w:color="auto"/>
              <w:bottom w:val="single" w:sz="6" w:space="0" w:color="000000"/>
              <w:right w:val="single" w:sz="6" w:space="0" w:color="000000"/>
            </w:tcBorders>
          </w:tcPr>
          <w:p w14:paraId="1EC7B4AB" w14:textId="77777777" w:rsidR="009021F1" w:rsidRPr="00000E66" w:rsidRDefault="009021F1" w:rsidP="00E637E3">
            <w:pPr>
              <w:tabs>
                <w:tab w:val="num" w:pos="360"/>
              </w:tabs>
              <w:ind w:left="360" w:hanging="360"/>
              <w:rPr>
                <w:sz w:val="20"/>
                <w:szCs w:val="20"/>
              </w:rPr>
            </w:pPr>
          </w:p>
        </w:tc>
      </w:tr>
      <w:tr w:rsidR="009021F1" w:rsidRPr="00000E66" w14:paraId="77C1879A" w14:textId="77777777" w:rsidTr="00E637E3">
        <w:trPr>
          <w:cantSplit/>
          <w:trHeight w:val="375"/>
          <w:jc w:val="center"/>
        </w:trPr>
        <w:tc>
          <w:tcPr>
            <w:tcW w:w="1849" w:type="dxa"/>
            <w:vMerge w:val="restart"/>
            <w:tcBorders>
              <w:top w:val="single" w:sz="4" w:space="0" w:color="auto"/>
              <w:left w:val="single" w:sz="6" w:space="0" w:color="000000"/>
              <w:right w:val="single" w:sz="4" w:space="0" w:color="auto"/>
            </w:tcBorders>
          </w:tcPr>
          <w:p w14:paraId="1284B28E" w14:textId="77777777" w:rsidR="009021F1" w:rsidRPr="00000E66" w:rsidRDefault="009021F1" w:rsidP="00E637E3">
            <w:pPr>
              <w:jc w:val="left"/>
              <w:rPr>
                <w:bCs/>
                <w:sz w:val="20"/>
                <w:szCs w:val="20"/>
              </w:rPr>
            </w:pPr>
            <w:r w:rsidRPr="00000E66">
              <w:rPr>
                <w:bCs/>
                <w:sz w:val="20"/>
                <w:szCs w:val="20"/>
              </w:rPr>
              <w:t>Sensibilisation</w:t>
            </w:r>
          </w:p>
        </w:tc>
        <w:tc>
          <w:tcPr>
            <w:tcW w:w="3246" w:type="dxa"/>
            <w:gridSpan w:val="2"/>
            <w:vMerge w:val="restart"/>
            <w:tcBorders>
              <w:top w:val="single" w:sz="6" w:space="0" w:color="000000"/>
              <w:left w:val="single" w:sz="4" w:space="0" w:color="auto"/>
              <w:right w:val="single" w:sz="4" w:space="0" w:color="auto"/>
            </w:tcBorders>
          </w:tcPr>
          <w:p w14:paraId="07C2A584" w14:textId="77777777" w:rsidR="009021F1" w:rsidRPr="00000E66" w:rsidRDefault="009021F1" w:rsidP="00E637E3">
            <w:pPr>
              <w:jc w:val="left"/>
              <w:rPr>
                <w:sz w:val="20"/>
                <w:szCs w:val="20"/>
              </w:rPr>
            </w:pPr>
            <w:r w:rsidRPr="00000E66">
              <w:rPr>
                <w:sz w:val="20"/>
                <w:szCs w:val="20"/>
              </w:rPr>
              <w:t>Sensibilisation et mobilisation des parties prenantes au Projet</w:t>
            </w:r>
          </w:p>
        </w:tc>
        <w:tc>
          <w:tcPr>
            <w:tcW w:w="1558" w:type="dxa"/>
            <w:tcBorders>
              <w:top w:val="single" w:sz="6" w:space="0" w:color="000000"/>
              <w:left w:val="single" w:sz="4" w:space="0" w:color="auto"/>
              <w:bottom w:val="single" w:sz="36" w:space="0" w:color="auto"/>
              <w:right w:val="single" w:sz="6" w:space="0" w:color="000000"/>
            </w:tcBorders>
          </w:tcPr>
          <w:p w14:paraId="515467B5" w14:textId="77777777" w:rsidR="009021F1" w:rsidRPr="00000E66" w:rsidRDefault="009021F1" w:rsidP="00E637E3">
            <w:pPr>
              <w:tabs>
                <w:tab w:val="num" w:pos="360"/>
              </w:tabs>
              <w:jc w:val="left"/>
              <w:rPr>
                <w:sz w:val="20"/>
                <w:szCs w:val="20"/>
              </w:rPr>
            </w:pPr>
            <w:r w:rsidRPr="00000E66">
              <w:rPr>
                <w:sz w:val="20"/>
                <w:szCs w:val="20"/>
              </w:rPr>
              <w:t>1</w:t>
            </w:r>
            <w:r w:rsidRPr="00000E66">
              <w:rPr>
                <w:sz w:val="20"/>
                <w:szCs w:val="20"/>
                <w:vertAlign w:val="superscript"/>
              </w:rPr>
              <w:t>ère</w:t>
            </w:r>
            <w:r w:rsidRPr="00000E66">
              <w:rPr>
                <w:sz w:val="20"/>
                <w:szCs w:val="20"/>
              </w:rPr>
              <w:t xml:space="preserve"> année et durant la mise </w:t>
            </w:r>
          </w:p>
        </w:tc>
        <w:tc>
          <w:tcPr>
            <w:tcW w:w="992" w:type="dxa"/>
            <w:tcBorders>
              <w:top w:val="single" w:sz="6" w:space="0" w:color="000000"/>
              <w:left w:val="single" w:sz="4" w:space="0" w:color="auto"/>
              <w:bottom w:val="single" w:sz="36" w:space="0" w:color="auto"/>
              <w:right w:val="single" w:sz="6" w:space="0" w:color="000000"/>
            </w:tcBorders>
          </w:tcPr>
          <w:p w14:paraId="2E1B71C8" w14:textId="77777777" w:rsidR="009021F1" w:rsidRPr="00000E66" w:rsidRDefault="009021F1" w:rsidP="00E637E3">
            <w:pPr>
              <w:tabs>
                <w:tab w:val="num" w:pos="360"/>
              </w:tabs>
              <w:rPr>
                <w:sz w:val="20"/>
                <w:szCs w:val="20"/>
              </w:rPr>
            </w:pPr>
          </w:p>
        </w:tc>
        <w:tc>
          <w:tcPr>
            <w:tcW w:w="963" w:type="dxa"/>
            <w:tcBorders>
              <w:top w:val="single" w:sz="6" w:space="0" w:color="000000"/>
              <w:left w:val="single" w:sz="4" w:space="0" w:color="auto"/>
              <w:bottom w:val="single" w:sz="36" w:space="0" w:color="auto"/>
              <w:right w:val="single" w:sz="6" w:space="0" w:color="000000"/>
            </w:tcBorders>
          </w:tcPr>
          <w:p w14:paraId="6DE8D620" w14:textId="77777777" w:rsidR="009021F1" w:rsidRPr="00000E66" w:rsidRDefault="009021F1" w:rsidP="00E637E3">
            <w:pPr>
              <w:tabs>
                <w:tab w:val="num" w:pos="360"/>
              </w:tabs>
              <w:rPr>
                <w:sz w:val="20"/>
                <w:szCs w:val="20"/>
              </w:rPr>
            </w:pPr>
          </w:p>
        </w:tc>
        <w:tc>
          <w:tcPr>
            <w:tcW w:w="992" w:type="dxa"/>
            <w:tcBorders>
              <w:top w:val="single" w:sz="6" w:space="0" w:color="000000"/>
              <w:left w:val="single" w:sz="4" w:space="0" w:color="auto"/>
              <w:bottom w:val="single" w:sz="36" w:space="0" w:color="auto"/>
              <w:right w:val="single" w:sz="6" w:space="0" w:color="000000"/>
            </w:tcBorders>
          </w:tcPr>
          <w:p w14:paraId="186B8CFA" w14:textId="77777777" w:rsidR="009021F1" w:rsidRPr="00000E66" w:rsidRDefault="009021F1" w:rsidP="00E637E3">
            <w:pPr>
              <w:tabs>
                <w:tab w:val="num" w:pos="360"/>
              </w:tabs>
              <w:rPr>
                <w:sz w:val="20"/>
                <w:szCs w:val="20"/>
              </w:rPr>
            </w:pPr>
          </w:p>
        </w:tc>
        <w:tc>
          <w:tcPr>
            <w:tcW w:w="992" w:type="dxa"/>
            <w:tcBorders>
              <w:top w:val="single" w:sz="6" w:space="0" w:color="000000"/>
              <w:left w:val="single" w:sz="4" w:space="0" w:color="auto"/>
              <w:bottom w:val="single" w:sz="36" w:space="0" w:color="auto"/>
              <w:right w:val="single" w:sz="6" w:space="0" w:color="000000"/>
            </w:tcBorders>
          </w:tcPr>
          <w:p w14:paraId="710C1654" w14:textId="77777777" w:rsidR="009021F1" w:rsidRPr="00000E66" w:rsidRDefault="009021F1" w:rsidP="00E637E3">
            <w:pPr>
              <w:tabs>
                <w:tab w:val="num" w:pos="360"/>
              </w:tabs>
              <w:rPr>
                <w:sz w:val="20"/>
                <w:szCs w:val="20"/>
              </w:rPr>
            </w:pPr>
          </w:p>
        </w:tc>
      </w:tr>
      <w:tr w:rsidR="009021F1" w:rsidRPr="00000E66" w14:paraId="7111E46A" w14:textId="77777777" w:rsidTr="00E637E3">
        <w:trPr>
          <w:cantSplit/>
          <w:trHeight w:val="20"/>
          <w:jc w:val="center"/>
        </w:trPr>
        <w:tc>
          <w:tcPr>
            <w:tcW w:w="1849" w:type="dxa"/>
            <w:vMerge/>
            <w:tcBorders>
              <w:left w:val="single" w:sz="6" w:space="0" w:color="000000"/>
              <w:right w:val="single" w:sz="4" w:space="0" w:color="auto"/>
            </w:tcBorders>
          </w:tcPr>
          <w:p w14:paraId="567C1F26" w14:textId="77777777" w:rsidR="009021F1" w:rsidRPr="00000E66" w:rsidRDefault="009021F1" w:rsidP="00E637E3">
            <w:pPr>
              <w:rPr>
                <w:bCs/>
                <w:sz w:val="20"/>
                <w:szCs w:val="20"/>
              </w:rPr>
            </w:pPr>
          </w:p>
        </w:tc>
        <w:tc>
          <w:tcPr>
            <w:tcW w:w="3246" w:type="dxa"/>
            <w:gridSpan w:val="2"/>
            <w:vMerge/>
            <w:tcBorders>
              <w:left w:val="single" w:sz="4" w:space="0" w:color="auto"/>
              <w:bottom w:val="single" w:sz="6" w:space="0" w:color="000000"/>
              <w:right w:val="single" w:sz="4" w:space="0" w:color="auto"/>
            </w:tcBorders>
          </w:tcPr>
          <w:p w14:paraId="72C3C68C" w14:textId="77777777" w:rsidR="009021F1" w:rsidRPr="00000E66" w:rsidRDefault="009021F1" w:rsidP="00E637E3">
            <w:pPr>
              <w:jc w:val="left"/>
              <w:rPr>
                <w:sz w:val="20"/>
                <w:szCs w:val="20"/>
              </w:rPr>
            </w:pPr>
          </w:p>
        </w:tc>
        <w:tc>
          <w:tcPr>
            <w:tcW w:w="1558" w:type="dxa"/>
            <w:tcBorders>
              <w:top w:val="single" w:sz="36" w:space="0" w:color="auto"/>
              <w:left w:val="single" w:sz="4" w:space="0" w:color="auto"/>
              <w:bottom w:val="single" w:sz="6" w:space="0" w:color="000000"/>
              <w:right w:val="single" w:sz="6" w:space="0" w:color="000000"/>
            </w:tcBorders>
          </w:tcPr>
          <w:p w14:paraId="5BA4EF94" w14:textId="77777777" w:rsidR="009021F1" w:rsidRPr="00000E66" w:rsidRDefault="009021F1" w:rsidP="00E637E3">
            <w:pPr>
              <w:tabs>
                <w:tab w:val="num" w:pos="360"/>
              </w:tabs>
              <w:rPr>
                <w:sz w:val="20"/>
                <w:szCs w:val="20"/>
              </w:rPr>
            </w:pPr>
            <w:r w:rsidRPr="00000E66">
              <w:rPr>
                <w:sz w:val="20"/>
                <w:szCs w:val="20"/>
              </w:rPr>
              <w:t xml:space="preserve">en œuvre </w:t>
            </w:r>
          </w:p>
        </w:tc>
        <w:tc>
          <w:tcPr>
            <w:tcW w:w="992" w:type="dxa"/>
            <w:tcBorders>
              <w:top w:val="single" w:sz="36" w:space="0" w:color="auto"/>
              <w:left w:val="single" w:sz="4" w:space="0" w:color="auto"/>
              <w:bottom w:val="single" w:sz="6" w:space="0" w:color="000000"/>
              <w:right w:val="single" w:sz="6" w:space="0" w:color="000000"/>
            </w:tcBorders>
          </w:tcPr>
          <w:p w14:paraId="6187F162" w14:textId="77777777" w:rsidR="009021F1" w:rsidRPr="00000E66" w:rsidRDefault="009021F1" w:rsidP="00E637E3">
            <w:pPr>
              <w:tabs>
                <w:tab w:val="num" w:pos="360"/>
              </w:tabs>
              <w:rPr>
                <w:sz w:val="20"/>
                <w:szCs w:val="20"/>
              </w:rPr>
            </w:pPr>
          </w:p>
        </w:tc>
        <w:tc>
          <w:tcPr>
            <w:tcW w:w="963" w:type="dxa"/>
            <w:tcBorders>
              <w:top w:val="single" w:sz="36" w:space="0" w:color="auto"/>
              <w:left w:val="single" w:sz="4" w:space="0" w:color="auto"/>
              <w:bottom w:val="single" w:sz="6" w:space="0" w:color="000000"/>
              <w:right w:val="single" w:sz="6" w:space="0" w:color="000000"/>
            </w:tcBorders>
          </w:tcPr>
          <w:p w14:paraId="374416AB" w14:textId="77777777" w:rsidR="009021F1" w:rsidRPr="00000E66" w:rsidRDefault="009021F1" w:rsidP="00E637E3">
            <w:pPr>
              <w:tabs>
                <w:tab w:val="num" w:pos="360"/>
              </w:tabs>
              <w:rPr>
                <w:sz w:val="20"/>
                <w:szCs w:val="20"/>
              </w:rPr>
            </w:pPr>
          </w:p>
        </w:tc>
        <w:tc>
          <w:tcPr>
            <w:tcW w:w="992" w:type="dxa"/>
            <w:tcBorders>
              <w:top w:val="single" w:sz="36" w:space="0" w:color="auto"/>
              <w:left w:val="single" w:sz="4" w:space="0" w:color="auto"/>
              <w:bottom w:val="single" w:sz="6" w:space="0" w:color="000000"/>
              <w:right w:val="single" w:sz="6" w:space="0" w:color="000000"/>
            </w:tcBorders>
          </w:tcPr>
          <w:p w14:paraId="4A265E56" w14:textId="77777777" w:rsidR="009021F1" w:rsidRPr="00000E66" w:rsidRDefault="009021F1" w:rsidP="00E637E3">
            <w:pPr>
              <w:tabs>
                <w:tab w:val="num" w:pos="360"/>
              </w:tabs>
              <w:rPr>
                <w:sz w:val="20"/>
                <w:szCs w:val="20"/>
              </w:rPr>
            </w:pPr>
          </w:p>
        </w:tc>
        <w:tc>
          <w:tcPr>
            <w:tcW w:w="992" w:type="dxa"/>
            <w:vMerge w:val="restart"/>
            <w:tcBorders>
              <w:top w:val="single" w:sz="36" w:space="0" w:color="auto"/>
              <w:left w:val="single" w:sz="4" w:space="0" w:color="auto"/>
              <w:right w:val="single" w:sz="6" w:space="0" w:color="000000"/>
            </w:tcBorders>
          </w:tcPr>
          <w:p w14:paraId="3CFDD645" w14:textId="77777777" w:rsidR="009021F1" w:rsidRPr="00000E66" w:rsidRDefault="009021F1" w:rsidP="00E637E3">
            <w:pPr>
              <w:tabs>
                <w:tab w:val="num" w:pos="360"/>
              </w:tabs>
              <w:rPr>
                <w:sz w:val="20"/>
                <w:szCs w:val="20"/>
              </w:rPr>
            </w:pPr>
          </w:p>
        </w:tc>
      </w:tr>
      <w:tr w:rsidR="009021F1" w:rsidRPr="00000E66" w14:paraId="0BE3AD24" w14:textId="77777777" w:rsidTr="00E637E3">
        <w:trPr>
          <w:cantSplit/>
          <w:trHeight w:val="20"/>
          <w:jc w:val="center"/>
        </w:trPr>
        <w:tc>
          <w:tcPr>
            <w:tcW w:w="1849" w:type="dxa"/>
            <w:tcBorders>
              <w:left w:val="single" w:sz="6" w:space="0" w:color="000000"/>
              <w:right w:val="single" w:sz="4" w:space="0" w:color="auto"/>
            </w:tcBorders>
          </w:tcPr>
          <w:p w14:paraId="56749E0F" w14:textId="77777777" w:rsidR="009021F1" w:rsidRPr="00000E66" w:rsidRDefault="009021F1" w:rsidP="00E637E3">
            <w:pPr>
              <w:rPr>
                <w:bCs/>
                <w:sz w:val="20"/>
                <w:szCs w:val="20"/>
              </w:rPr>
            </w:pPr>
            <w:r w:rsidRPr="00000E66">
              <w:rPr>
                <w:bCs/>
                <w:sz w:val="20"/>
                <w:szCs w:val="20"/>
              </w:rPr>
              <w:t>Sélection des IF et mise en place des SGES</w:t>
            </w:r>
          </w:p>
        </w:tc>
        <w:tc>
          <w:tcPr>
            <w:tcW w:w="3246" w:type="dxa"/>
            <w:gridSpan w:val="2"/>
            <w:tcBorders>
              <w:left w:val="single" w:sz="4" w:space="0" w:color="auto"/>
              <w:bottom w:val="single" w:sz="6" w:space="0" w:color="000000"/>
              <w:right w:val="single" w:sz="4" w:space="0" w:color="auto"/>
            </w:tcBorders>
          </w:tcPr>
          <w:p w14:paraId="52E0807C" w14:textId="77777777" w:rsidR="009021F1" w:rsidRPr="00000E66" w:rsidRDefault="009021F1" w:rsidP="00E637E3">
            <w:pPr>
              <w:jc w:val="left"/>
              <w:rPr>
                <w:sz w:val="20"/>
                <w:szCs w:val="20"/>
              </w:rPr>
            </w:pPr>
            <w:r w:rsidRPr="00000E66">
              <w:rPr>
                <w:sz w:val="20"/>
                <w:szCs w:val="20"/>
              </w:rPr>
              <w:t>Formation en élaboration et mise en œuvre des SGES.</w:t>
            </w:r>
          </w:p>
          <w:p w14:paraId="09AE097D" w14:textId="77777777" w:rsidR="009021F1" w:rsidRPr="00000E66" w:rsidRDefault="009021F1" w:rsidP="00E637E3">
            <w:pPr>
              <w:jc w:val="left"/>
              <w:rPr>
                <w:sz w:val="20"/>
                <w:szCs w:val="20"/>
              </w:rPr>
            </w:pPr>
          </w:p>
        </w:tc>
        <w:tc>
          <w:tcPr>
            <w:tcW w:w="1558" w:type="dxa"/>
            <w:tcBorders>
              <w:top w:val="single" w:sz="36" w:space="0" w:color="auto"/>
              <w:left w:val="single" w:sz="4" w:space="0" w:color="auto"/>
              <w:bottom w:val="single" w:sz="6" w:space="0" w:color="000000"/>
              <w:right w:val="single" w:sz="6" w:space="0" w:color="000000"/>
            </w:tcBorders>
          </w:tcPr>
          <w:p w14:paraId="74AEBE39" w14:textId="77777777" w:rsidR="009021F1" w:rsidRPr="00000E66" w:rsidRDefault="009021F1" w:rsidP="00E637E3">
            <w:pPr>
              <w:tabs>
                <w:tab w:val="num" w:pos="360"/>
              </w:tabs>
              <w:rPr>
                <w:sz w:val="20"/>
                <w:szCs w:val="20"/>
              </w:rPr>
            </w:pPr>
            <w:r w:rsidRPr="00000E66">
              <w:rPr>
                <w:sz w:val="20"/>
                <w:szCs w:val="20"/>
              </w:rPr>
              <w:t>1</w:t>
            </w:r>
            <w:r w:rsidRPr="00000E66">
              <w:rPr>
                <w:sz w:val="20"/>
                <w:szCs w:val="20"/>
                <w:vertAlign w:val="superscript"/>
              </w:rPr>
              <w:t>ère</w:t>
            </w:r>
            <w:r w:rsidRPr="00000E66">
              <w:rPr>
                <w:sz w:val="20"/>
                <w:szCs w:val="20"/>
              </w:rPr>
              <w:t xml:space="preserve"> année et durant la mise</w:t>
            </w:r>
          </w:p>
        </w:tc>
        <w:tc>
          <w:tcPr>
            <w:tcW w:w="992" w:type="dxa"/>
            <w:tcBorders>
              <w:top w:val="single" w:sz="36" w:space="0" w:color="auto"/>
              <w:left w:val="single" w:sz="4" w:space="0" w:color="auto"/>
              <w:bottom w:val="single" w:sz="6" w:space="0" w:color="000000"/>
              <w:right w:val="single" w:sz="6" w:space="0" w:color="000000"/>
            </w:tcBorders>
          </w:tcPr>
          <w:p w14:paraId="6EC48B4A" w14:textId="77777777" w:rsidR="009021F1" w:rsidRPr="00000E66" w:rsidRDefault="009021F1" w:rsidP="00E637E3">
            <w:pPr>
              <w:tabs>
                <w:tab w:val="num" w:pos="360"/>
              </w:tabs>
              <w:rPr>
                <w:sz w:val="20"/>
                <w:szCs w:val="20"/>
              </w:rPr>
            </w:pPr>
          </w:p>
        </w:tc>
        <w:tc>
          <w:tcPr>
            <w:tcW w:w="963" w:type="dxa"/>
            <w:tcBorders>
              <w:top w:val="single" w:sz="36" w:space="0" w:color="auto"/>
              <w:left w:val="single" w:sz="4" w:space="0" w:color="auto"/>
              <w:bottom w:val="single" w:sz="6" w:space="0" w:color="000000"/>
              <w:right w:val="single" w:sz="6" w:space="0" w:color="000000"/>
            </w:tcBorders>
          </w:tcPr>
          <w:p w14:paraId="05207605" w14:textId="77777777" w:rsidR="009021F1" w:rsidRPr="00000E66" w:rsidRDefault="009021F1" w:rsidP="00E637E3">
            <w:pPr>
              <w:tabs>
                <w:tab w:val="num" w:pos="360"/>
              </w:tabs>
              <w:rPr>
                <w:sz w:val="20"/>
                <w:szCs w:val="20"/>
              </w:rPr>
            </w:pPr>
          </w:p>
        </w:tc>
        <w:tc>
          <w:tcPr>
            <w:tcW w:w="992" w:type="dxa"/>
            <w:tcBorders>
              <w:top w:val="single" w:sz="36" w:space="0" w:color="auto"/>
              <w:left w:val="single" w:sz="4" w:space="0" w:color="auto"/>
              <w:bottom w:val="single" w:sz="6" w:space="0" w:color="000000"/>
              <w:right w:val="single" w:sz="6" w:space="0" w:color="000000"/>
            </w:tcBorders>
          </w:tcPr>
          <w:p w14:paraId="495C5317" w14:textId="77777777" w:rsidR="009021F1" w:rsidRPr="00000E66" w:rsidRDefault="009021F1" w:rsidP="00E637E3">
            <w:pPr>
              <w:tabs>
                <w:tab w:val="num" w:pos="360"/>
              </w:tabs>
              <w:rPr>
                <w:sz w:val="20"/>
                <w:szCs w:val="20"/>
              </w:rPr>
            </w:pPr>
          </w:p>
        </w:tc>
        <w:tc>
          <w:tcPr>
            <w:tcW w:w="992" w:type="dxa"/>
            <w:vMerge/>
            <w:tcBorders>
              <w:top w:val="single" w:sz="36" w:space="0" w:color="auto"/>
              <w:left w:val="single" w:sz="4" w:space="0" w:color="auto"/>
              <w:right w:val="single" w:sz="6" w:space="0" w:color="000000"/>
            </w:tcBorders>
          </w:tcPr>
          <w:p w14:paraId="75EC78D0" w14:textId="77777777" w:rsidR="009021F1" w:rsidRPr="00000E66" w:rsidRDefault="009021F1" w:rsidP="00E637E3">
            <w:pPr>
              <w:tabs>
                <w:tab w:val="num" w:pos="360"/>
              </w:tabs>
              <w:rPr>
                <w:sz w:val="20"/>
                <w:szCs w:val="20"/>
              </w:rPr>
            </w:pPr>
          </w:p>
        </w:tc>
      </w:tr>
      <w:tr w:rsidR="009021F1" w:rsidRPr="00000E66" w14:paraId="2D8A6EED" w14:textId="77777777" w:rsidTr="00E637E3">
        <w:trPr>
          <w:cantSplit/>
          <w:trHeight w:val="195"/>
          <w:jc w:val="center"/>
        </w:trPr>
        <w:tc>
          <w:tcPr>
            <w:tcW w:w="1849" w:type="dxa"/>
            <w:vMerge w:val="restart"/>
            <w:tcBorders>
              <w:top w:val="single" w:sz="4" w:space="0" w:color="auto"/>
              <w:left w:val="single" w:sz="6" w:space="0" w:color="000000"/>
              <w:right w:val="single" w:sz="4" w:space="0" w:color="auto"/>
            </w:tcBorders>
          </w:tcPr>
          <w:p w14:paraId="3875EF02" w14:textId="77777777" w:rsidR="009021F1" w:rsidRPr="00000E66" w:rsidRDefault="009021F1" w:rsidP="00E637E3">
            <w:pPr>
              <w:jc w:val="left"/>
              <w:rPr>
                <w:bCs/>
                <w:sz w:val="20"/>
                <w:szCs w:val="20"/>
              </w:rPr>
            </w:pPr>
            <w:r w:rsidRPr="00000E66">
              <w:rPr>
                <w:bCs/>
                <w:sz w:val="20"/>
                <w:szCs w:val="20"/>
              </w:rPr>
              <w:t>Mesures de suivi</w:t>
            </w:r>
          </w:p>
        </w:tc>
        <w:tc>
          <w:tcPr>
            <w:tcW w:w="1842" w:type="dxa"/>
            <w:vMerge w:val="restart"/>
            <w:tcBorders>
              <w:top w:val="single" w:sz="6" w:space="0" w:color="000000"/>
              <w:left w:val="single" w:sz="4" w:space="0" w:color="auto"/>
              <w:right w:val="single" w:sz="4" w:space="0" w:color="auto"/>
            </w:tcBorders>
          </w:tcPr>
          <w:p w14:paraId="1F5EEAA8" w14:textId="77777777" w:rsidR="009021F1" w:rsidRPr="00000E66" w:rsidRDefault="009021F1" w:rsidP="00E637E3">
            <w:pPr>
              <w:jc w:val="left"/>
              <w:rPr>
                <w:sz w:val="20"/>
                <w:szCs w:val="20"/>
              </w:rPr>
            </w:pPr>
            <w:r w:rsidRPr="00000E66">
              <w:rPr>
                <w:sz w:val="20"/>
                <w:szCs w:val="20"/>
              </w:rPr>
              <w:t>Suivi et surveillance environnementale et sociale du PNDA</w:t>
            </w:r>
          </w:p>
        </w:tc>
        <w:tc>
          <w:tcPr>
            <w:tcW w:w="1404" w:type="dxa"/>
            <w:vMerge w:val="restart"/>
            <w:tcBorders>
              <w:top w:val="single" w:sz="6" w:space="0" w:color="000000"/>
              <w:left w:val="single" w:sz="4" w:space="0" w:color="auto"/>
              <w:right w:val="single" w:sz="4" w:space="0" w:color="auto"/>
            </w:tcBorders>
          </w:tcPr>
          <w:p w14:paraId="175CFB16" w14:textId="77777777" w:rsidR="009021F1" w:rsidRPr="00000E66" w:rsidRDefault="009021F1" w:rsidP="00E637E3">
            <w:pPr>
              <w:tabs>
                <w:tab w:val="num" w:pos="360"/>
              </w:tabs>
              <w:ind w:left="360" w:hanging="360"/>
              <w:jc w:val="left"/>
              <w:rPr>
                <w:sz w:val="20"/>
                <w:szCs w:val="20"/>
              </w:rPr>
            </w:pPr>
            <w:r w:rsidRPr="00000E66">
              <w:rPr>
                <w:sz w:val="20"/>
                <w:szCs w:val="20"/>
              </w:rPr>
              <w:t xml:space="preserve">Suivi </w:t>
            </w:r>
          </w:p>
          <w:p w14:paraId="65193C7A" w14:textId="77777777" w:rsidR="009021F1" w:rsidRPr="00000E66" w:rsidRDefault="009021F1" w:rsidP="00E637E3">
            <w:pPr>
              <w:tabs>
                <w:tab w:val="num" w:pos="18"/>
              </w:tabs>
              <w:ind w:left="18" w:hanging="18"/>
              <w:jc w:val="left"/>
              <w:rPr>
                <w:sz w:val="20"/>
                <w:szCs w:val="20"/>
              </w:rPr>
            </w:pPr>
            <w:r w:rsidRPr="00000E66">
              <w:rPr>
                <w:sz w:val="20"/>
                <w:szCs w:val="20"/>
              </w:rPr>
              <w:t>de proximité</w:t>
            </w:r>
          </w:p>
        </w:tc>
        <w:tc>
          <w:tcPr>
            <w:tcW w:w="1558" w:type="dxa"/>
            <w:tcBorders>
              <w:top w:val="single" w:sz="6" w:space="0" w:color="000000"/>
              <w:left w:val="single" w:sz="4" w:space="0" w:color="auto"/>
              <w:bottom w:val="single" w:sz="36" w:space="0" w:color="auto"/>
              <w:right w:val="single" w:sz="6" w:space="0" w:color="000000"/>
            </w:tcBorders>
          </w:tcPr>
          <w:p w14:paraId="14320B16" w14:textId="77777777" w:rsidR="009021F1" w:rsidRPr="00000E66" w:rsidRDefault="009021F1" w:rsidP="00E637E3">
            <w:pPr>
              <w:tabs>
                <w:tab w:val="num" w:pos="360"/>
              </w:tabs>
              <w:jc w:val="left"/>
              <w:rPr>
                <w:sz w:val="20"/>
                <w:szCs w:val="20"/>
              </w:rPr>
            </w:pPr>
            <w:r w:rsidRPr="00000E66">
              <w:rPr>
                <w:sz w:val="20"/>
                <w:szCs w:val="20"/>
              </w:rPr>
              <w:t xml:space="preserve">Durant la mise </w:t>
            </w:r>
          </w:p>
        </w:tc>
        <w:tc>
          <w:tcPr>
            <w:tcW w:w="992" w:type="dxa"/>
            <w:tcBorders>
              <w:top w:val="single" w:sz="6" w:space="0" w:color="000000"/>
              <w:left w:val="single" w:sz="4" w:space="0" w:color="auto"/>
              <w:bottom w:val="single" w:sz="36" w:space="0" w:color="auto"/>
              <w:right w:val="single" w:sz="6" w:space="0" w:color="000000"/>
            </w:tcBorders>
          </w:tcPr>
          <w:p w14:paraId="5EDFFAA5" w14:textId="77777777" w:rsidR="009021F1" w:rsidRPr="00000E66" w:rsidRDefault="009021F1" w:rsidP="00E637E3">
            <w:pPr>
              <w:tabs>
                <w:tab w:val="num" w:pos="360"/>
              </w:tabs>
              <w:rPr>
                <w:sz w:val="20"/>
                <w:szCs w:val="20"/>
              </w:rPr>
            </w:pPr>
          </w:p>
        </w:tc>
        <w:tc>
          <w:tcPr>
            <w:tcW w:w="963" w:type="dxa"/>
            <w:tcBorders>
              <w:top w:val="single" w:sz="6" w:space="0" w:color="000000"/>
              <w:left w:val="single" w:sz="4" w:space="0" w:color="auto"/>
              <w:bottom w:val="single" w:sz="36" w:space="0" w:color="auto"/>
              <w:right w:val="single" w:sz="6" w:space="0" w:color="000000"/>
            </w:tcBorders>
          </w:tcPr>
          <w:p w14:paraId="519F79DC" w14:textId="77777777" w:rsidR="009021F1" w:rsidRPr="00000E66" w:rsidRDefault="009021F1" w:rsidP="00E637E3">
            <w:pPr>
              <w:tabs>
                <w:tab w:val="num" w:pos="360"/>
              </w:tabs>
              <w:rPr>
                <w:sz w:val="20"/>
                <w:szCs w:val="20"/>
              </w:rPr>
            </w:pPr>
          </w:p>
        </w:tc>
        <w:tc>
          <w:tcPr>
            <w:tcW w:w="992" w:type="dxa"/>
            <w:tcBorders>
              <w:top w:val="single" w:sz="6" w:space="0" w:color="000000"/>
              <w:left w:val="single" w:sz="4" w:space="0" w:color="auto"/>
              <w:bottom w:val="single" w:sz="36" w:space="0" w:color="auto"/>
              <w:right w:val="single" w:sz="6" w:space="0" w:color="000000"/>
            </w:tcBorders>
          </w:tcPr>
          <w:p w14:paraId="6E12D8AB" w14:textId="77777777" w:rsidR="009021F1" w:rsidRPr="00000E66" w:rsidRDefault="009021F1" w:rsidP="00E637E3">
            <w:pPr>
              <w:tabs>
                <w:tab w:val="num" w:pos="360"/>
              </w:tabs>
              <w:rPr>
                <w:sz w:val="20"/>
                <w:szCs w:val="20"/>
              </w:rPr>
            </w:pPr>
          </w:p>
        </w:tc>
        <w:tc>
          <w:tcPr>
            <w:tcW w:w="992" w:type="dxa"/>
            <w:vMerge/>
            <w:tcBorders>
              <w:left w:val="single" w:sz="4" w:space="0" w:color="auto"/>
              <w:bottom w:val="single" w:sz="36" w:space="0" w:color="auto"/>
              <w:right w:val="single" w:sz="6" w:space="0" w:color="000000"/>
            </w:tcBorders>
          </w:tcPr>
          <w:p w14:paraId="640EF99A" w14:textId="77777777" w:rsidR="009021F1" w:rsidRPr="00000E66" w:rsidRDefault="009021F1" w:rsidP="00E637E3">
            <w:pPr>
              <w:tabs>
                <w:tab w:val="num" w:pos="360"/>
              </w:tabs>
              <w:rPr>
                <w:sz w:val="20"/>
                <w:szCs w:val="20"/>
              </w:rPr>
            </w:pPr>
          </w:p>
        </w:tc>
      </w:tr>
      <w:tr w:rsidR="009021F1" w:rsidRPr="00000E66" w14:paraId="5CD80D94" w14:textId="77777777" w:rsidTr="00E637E3">
        <w:trPr>
          <w:cantSplit/>
          <w:trHeight w:val="51"/>
          <w:jc w:val="center"/>
        </w:trPr>
        <w:tc>
          <w:tcPr>
            <w:tcW w:w="1849" w:type="dxa"/>
            <w:vMerge/>
            <w:tcBorders>
              <w:left w:val="single" w:sz="6" w:space="0" w:color="000000"/>
              <w:right w:val="single" w:sz="4" w:space="0" w:color="auto"/>
            </w:tcBorders>
          </w:tcPr>
          <w:p w14:paraId="32CE35BE" w14:textId="77777777" w:rsidR="009021F1" w:rsidRPr="00000E66" w:rsidRDefault="009021F1" w:rsidP="00E637E3">
            <w:pPr>
              <w:rPr>
                <w:bCs/>
                <w:sz w:val="20"/>
                <w:szCs w:val="20"/>
              </w:rPr>
            </w:pPr>
          </w:p>
        </w:tc>
        <w:tc>
          <w:tcPr>
            <w:tcW w:w="1842" w:type="dxa"/>
            <w:vMerge/>
            <w:tcBorders>
              <w:left w:val="single" w:sz="4" w:space="0" w:color="auto"/>
              <w:right w:val="single" w:sz="4" w:space="0" w:color="auto"/>
            </w:tcBorders>
          </w:tcPr>
          <w:p w14:paraId="2BF083FB" w14:textId="77777777" w:rsidR="009021F1" w:rsidRPr="00000E66" w:rsidRDefault="009021F1" w:rsidP="00E637E3">
            <w:pPr>
              <w:tabs>
                <w:tab w:val="num" w:pos="360"/>
              </w:tabs>
              <w:ind w:left="360" w:hanging="360"/>
              <w:jc w:val="left"/>
              <w:rPr>
                <w:sz w:val="20"/>
                <w:szCs w:val="20"/>
              </w:rPr>
            </w:pPr>
          </w:p>
        </w:tc>
        <w:tc>
          <w:tcPr>
            <w:tcW w:w="1404" w:type="dxa"/>
            <w:vMerge/>
            <w:tcBorders>
              <w:left w:val="single" w:sz="4" w:space="0" w:color="auto"/>
              <w:bottom w:val="single" w:sz="4" w:space="0" w:color="auto"/>
              <w:right w:val="single" w:sz="4" w:space="0" w:color="auto"/>
            </w:tcBorders>
          </w:tcPr>
          <w:p w14:paraId="4503F260" w14:textId="77777777" w:rsidR="009021F1" w:rsidRPr="00000E66" w:rsidRDefault="009021F1" w:rsidP="00E637E3">
            <w:pPr>
              <w:tabs>
                <w:tab w:val="num" w:pos="360"/>
              </w:tabs>
              <w:ind w:left="360" w:hanging="360"/>
              <w:jc w:val="left"/>
              <w:rPr>
                <w:sz w:val="20"/>
                <w:szCs w:val="20"/>
              </w:rPr>
            </w:pPr>
          </w:p>
        </w:tc>
        <w:tc>
          <w:tcPr>
            <w:tcW w:w="1558" w:type="dxa"/>
            <w:tcBorders>
              <w:top w:val="single" w:sz="36" w:space="0" w:color="auto"/>
              <w:left w:val="single" w:sz="4" w:space="0" w:color="auto"/>
              <w:bottom w:val="single" w:sz="4" w:space="0" w:color="auto"/>
              <w:right w:val="single" w:sz="6" w:space="0" w:color="000000"/>
            </w:tcBorders>
          </w:tcPr>
          <w:p w14:paraId="43761D93" w14:textId="77777777" w:rsidR="009021F1" w:rsidRPr="00000E66" w:rsidRDefault="009021F1" w:rsidP="00E637E3">
            <w:pPr>
              <w:tabs>
                <w:tab w:val="num" w:pos="360"/>
              </w:tabs>
              <w:rPr>
                <w:sz w:val="20"/>
                <w:szCs w:val="20"/>
              </w:rPr>
            </w:pPr>
            <w:r w:rsidRPr="00000E66">
              <w:rPr>
                <w:sz w:val="20"/>
                <w:szCs w:val="20"/>
              </w:rPr>
              <w:t xml:space="preserve">en œuvre </w:t>
            </w:r>
          </w:p>
        </w:tc>
        <w:tc>
          <w:tcPr>
            <w:tcW w:w="992" w:type="dxa"/>
            <w:tcBorders>
              <w:top w:val="single" w:sz="36" w:space="0" w:color="auto"/>
              <w:left w:val="single" w:sz="4" w:space="0" w:color="auto"/>
              <w:bottom w:val="single" w:sz="4" w:space="0" w:color="auto"/>
              <w:right w:val="single" w:sz="6" w:space="0" w:color="000000"/>
            </w:tcBorders>
          </w:tcPr>
          <w:p w14:paraId="25595BEF" w14:textId="77777777" w:rsidR="009021F1" w:rsidRPr="00000E66" w:rsidRDefault="009021F1" w:rsidP="00E637E3">
            <w:pPr>
              <w:tabs>
                <w:tab w:val="num" w:pos="360"/>
              </w:tabs>
              <w:rPr>
                <w:sz w:val="20"/>
                <w:szCs w:val="20"/>
              </w:rPr>
            </w:pPr>
          </w:p>
        </w:tc>
        <w:tc>
          <w:tcPr>
            <w:tcW w:w="963" w:type="dxa"/>
            <w:tcBorders>
              <w:top w:val="single" w:sz="36" w:space="0" w:color="auto"/>
              <w:left w:val="single" w:sz="4" w:space="0" w:color="auto"/>
              <w:bottom w:val="single" w:sz="4" w:space="0" w:color="auto"/>
              <w:right w:val="single" w:sz="6" w:space="0" w:color="000000"/>
            </w:tcBorders>
          </w:tcPr>
          <w:p w14:paraId="702896E5" w14:textId="77777777" w:rsidR="009021F1" w:rsidRPr="00000E66" w:rsidRDefault="009021F1" w:rsidP="00E637E3">
            <w:pPr>
              <w:tabs>
                <w:tab w:val="num" w:pos="360"/>
              </w:tabs>
              <w:rPr>
                <w:sz w:val="20"/>
                <w:szCs w:val="20"/>
              </w:rPr>
            </w:pPr>
          </w:p>
        </w:tc>
        <w:tc>
          <w:tcPr>
            <w:tcW w:w="992" w:type="dxa"/>
            <w:tcBorders>
              <w:top w:val="single" w:sz="36" w:space="0" w:color="auto"/>
              <w:left w:val="single" w:sz="4" w:space="0" w:color="auto"/>
              <w:bottom w:val="single" w:sz="4" w:space="0" w:color="auto"/>
              <w:right w:val="single" w:sz="6" w:space="0" w:color="000000"/>
            </w:tcBorders>
          </w:tcPr>
          <w:p w14:paraId="6031BC6F" w14:textId="77777777" w:rsidR="009021F1" w:rsidRPr="00000E66" w:rsidRDefault="009021F1" w:rsidP="00E637E3">
            <w:pPr>
              <w:tabs>
                <w:tab w:val="num" w:pos="360"/>
              </w:tabs>
              <w:rPr>
                <w:sz w:val="20"/>
                <w:szCs w:val="20"/>
              </w:rPr>
            </w:pPr>
          </w:p>
        </w:tc>
        <w:tc>
          <w:tcPr>
            <w:tcW w:w="992" w:type="dxa"/>
            <w:vMerge w:val="restart"/>
            <w:tcBorders>
              <w:top w:val="single" w:sz="36" w:space="0" w:color="auto"/>
              <w:left w:val="single" w:sz="4" w:space="0" w:color="auto"/>
              <w:right w:val="single" w:sz="6" w:space="0" w:color="000000"/>
            </w:tcBorders>
          </w:tcPr>
          <w:p w14:paraId="6F16E83B" w14:textId="77777777" w:rsidR="009021F1" w:rsidRPr="00000E66" w:rsidRDefault="009021F1" w:rsidP="00E637E3">
            <w:pPr>
              <w:tabs>
                <w:tab w:val="num" w:pos="360"/>
              </w:tabs>
              <w:rPr>
                <w:sz w:val="20"/>
                <w:szCs w:val="20"/>
              </w:rPr>
            </w:pPr>
          </w:p>
        </w:tc>
      </w:tr>
      <w:tr w:rsidR="009021F1" w:rsidRPr="00000E66" w14:paraId="267DDC4A" w14:textId="77777777" w:rsidTr="00E637E3">
        <w:trPr>
          <w:cantSplit/>
          <w:trHeight w:val="210"/>
          <w:jc w:val="center"/>
        </w:trPr>
        <w:tc>
          <w:tcPr>
            <w:tcW w:w="1849" w:type="dxa"/>
            <w:vMerge/>
            <w:tcBorders>
              <w:left w:val="single" w:sz="6" w:space="0" w:color="000000"/>
              <w:right w:val="single" w:sz="4" w:space="0" w:color="auto"/>
            </w:tcBorders>
          </w:tcPr>
          <w:p w14:paraId="678DC134" w14:textId="77777777" w:rsidR="009021F1" w:rsidRPr="00000E66" w:rsidRDefault="009021F1" w:rsidP="00E637E3">
            <w:pPr>
              <w:rPr>
                <w:bCs/>
                <w:sz w:val="20"/>
                <w:szCs w:val="20"/>
              </w:rPr>
            </w:pPr>
          </w:p>
        </w:tc>
        <w:tc>
          <w:tcPr>
            <w:tcW w:w="1842" w:type="dxa"/>
            <w:vMerge/>
            <w:tcBorders>
              <w:left w:val="single" w:sz="4" w:space="0" w:color="auto"/>
              <w:right w:val="single" w:sz="4" w:space="0" w:color="auto"/>
            </w:tcBorders>
          </w:tcPr>
          <w:p w14:paraId="4439CAF2" w14:textId="77777777" w:rsidR="009021F1" w:rsidRPr="00000E66" w:rsidRDefault="009021F1" w:rsidP="00E637E3">
            <w:pPr>
              <w:tabs>
                <w:tab w:val="num" w:pos="360"/>
              </w:tabs>
              <w:ind w:left="360" w:hanging="360"/>
              <w:jc w:val="left"/>
              <w:rPr>
                <w:sz w:val="20"/>
                <w:szCs w:val="20"/>
              </w:rPr>
            </w:pPr>
          </w:p>
        </w:tc>
        <w:tc>
          <w:tcPr>
            <w:tcW w:w="1404" w:type="dxa"/>
            <w:vMerge w:val="restart"/>
            <w:tcBorders>
              <w:top w:val="single" w:sz="4" w:space="0" w:color="auto"/>
              <w:left w:val="single" w:sz="4" w:space="0" w:color="auto"/>
              <w:right w:val="single" w:sz="4" w:space="0" w:color="auto"/>
            </w:tcBorders>
          </w:tcPr>
          <w:p w14:paraId="782B84B2" w14:textId="77777777" w:rsidR="009021F1" w:rsidRPr="00000E66" w:rsidRDefault="009021F1" w:rsidP="00E637E3">
            <w:pPr>
              <w:tabs>
                <w:tab w:val="num" w:pos="360"/>
              </w:tabs>
              <w:ind w:left="360" w:hanging="360"/>
              <w:jc w:val="left"/>
              <w:rPr>
                <w:sz w:val="20"/>
                <w:szCs w:val="20"/>
              </w:rPr>
            </w:pPr>
            <w:r w:rsidRPr="00000E66">
              <w:rPr>
                <w:sz w:val="20"/>
                <w:szCs w:val="20"/>
              </w:rPr>
              <w:t>Supervision</w:t>
            </w:r>
          </w:p>
        </w:tc>
        <w:tc>
          <w:tcPr>
            <w:tcW w:w="1558" w:type="dxa"/>
            <w:tcBorders>
              <w:top w:val="single" w:sz="4" w:space="0" w:color="auto"/>
              <w:left w:val="single" w:sz="4" w:space="0" w:color="auto"/>
              <w:bottom w:val="single" w:sz="36" w:space="0" w:color="auto"/>
              <w:right w:val="single" w:sz="6" w:space="0" w:color="000000"/>
            </w:tcBorders>
          </w:tcPr>
          <w:p w14:paraId="388E9840" w14:textId="77777777" w:rsidR="009021F1" w:rsidRPr="00000E66" w:rsidRDefault="009021F1" w:rsidP="00E637E3">
            <w:pPr>
              <w:tabs>
                <w:tab w:val="num" w:pos="360"/>
              </w:tabs>
              <w:rPr>
                <w:sz w:val="20"/>
                <w:szCs w:val="20"/>
              </w:rPr>
            </w:pPr>
            <w:r w:rsidRPr="00000E66">
              <w:rPr>
                <w:sz w:val="20"/>
                <w:szCs w:val="20"/>
              </w:rPr>
              <w:t>Tous les mois</w:t>
            </w:r>
          </w:p>
        </w:tc>
        <w:tc>
          <w:tcPr>
            <w:tcW w:w="992" w:type="dxa"/>
            <w:tcBorders>
              <w:top w:val="single" w:sz="4" w:space="0" w:color="auto"/>
              <w:left w:val="single" w:sz="4" w:space="0" w:color="auto"/>
              <w:bottom w:val="single" w:sz="36" w:space="0" w:color="auto"/>
              <w:right w:val="single" w:sz="6" w:space="0" w:color="000000"/>
            </w:tcBorders>
          </w:tcPr>
          <w:p w14:paraId="5173A531" w14:textId="77777777" w:rsidR="009021F1" w:rsidRPr="00000E66" w:rsidRDefault="009021F1" w:rsidP="00E637E3">
            <w:pPr>
              <w:tabs>
                <w:tab w:val="num" w:pos="360"/>
              </w:tabs>
              <w:rPr>
                <w:sz w:val="20"/>
                <w:szCs w:val="20"/>
              </w:rPr>
            </w:pPr>
          </w:p>
        </w:tc>
        <w:tc>
          <w:tcPr>
            <w:tcW w:w="963" w:type="dxa"/>
            <w:tcBorders>
              <w:top w:val="single" w:sz="4" w:space="0" w:color="auto"/>
              <w:left w:val="single" w:sz="4" w:space="0" w:color="auto"/>
              <w:bottom w:val="single" w:sz="36" w:space="0" w:color="auto"/>
              <w:right w:val="single" w:sz="6" w:space="0" w:color="000000"/>
            </w:tcBorders>
          </w:tcPr>
          <w:p w14:paraId="5C952FC0" w14:textId="77777777" w:rsidR="009021F1" w:rsidRPr="00000E66" w:rsidRDefault="009021F1" w:rsidP="00E637E3">
            <w:pPr>
              <w:tabs>
                <w:tab w:val="num" w:pos="360"/>
              </w:tabs>
              <w:rPr>
                <w:sz w:val="20"/>
                <w:szCs w:val="20"/>
              </w:rPr>
            </w:pPr>
          </w:p>
        </w:tc>
        <w:tc>
          <w:tcPr>
            <w:tcW w:w="992" w:type="dxa"/>
            <w:tcBorders>
              <w:top w:val="single" w:sz="4" w:space="0" w:color="auto"/>
              <w:left w:val="single" w:sz="4" w:space="0" w:color="auto"/>
              <w:bottom w:val="single" w:sz="36" w:space="0" w:color="auto"/>
              <w:right w:val="single" w:sz="6" w:space="0" w:color="000000"/>
            </w:tcBorders>
          </w:tcPr>
          <w:p w14:paraId="6255C89E" w14:textId="77777777" w:rsidR="009021F1" w:rsidRPr="00000E66" w:rsidRDefault="009021F1" w:rsidP="00E637E3">
            <w:pPr>
              <w:tabs>
                <w:tab w:val="num" w:pos="360"/>
              </w:tabs>
              <w:rPr>
                <w:sz w:val="20"/>
                <w:szCs w:val="20"/>
              </w:rPr>
            </w:pPr>
          </w:p>
        </w:tc>
        <w:tc>
          <w:tcPr>
            <w:tcW w:w="992" w:type="dxa"/>
            <w:vMerge/>
            <w:tcBorders>
              <w:left w:val="single" w:sz="4" w:space="0" w:color="auto"/>
              <w:bottom w:val="single" w:sz="36" w:space="0" w:color="auto"/>
              <w:right w:val="single" w:sz="6" w:space="0" w:color="000000"/>
            </w:tcBorders>
          </w:tcPr>
          <w:p w14:paraId="0FFE3682" w14:textId="77777777" w:rsidR="009021F1" w:rsidRPr="00000E66" w:rsidRDefault="009021F1" w:rsidP="00E637E3">
            <w:pPr>
              <w:tabs>
                <w:tab w:val="num" w:pos="360"/>
              </w:tabs>
              <w:rPr>
                <w:sz w:val="20"/>
                <w:szCs w:val="20"/>
              </w:rPr>
            </w:pPr>
          </w:p>
        </w:tc>
      </w:tr>
      <w:tr w:rsidR="009021F1" w:rsidRPr="00000E66" w14:paraId="34684B87" w14:textId="77777777" w:rsidTr="00E637E3">
        <w:trPr>
          <w:cantSplit/>
          <w:trHeight w:val="20"/>
          <w:jc w:val="center"/>
        </w:trPr>
        <w:tc>
          <w:tcPr>
            <w:tcW w:w="1849" w:type="dxa"/>
            <w:vMerge/>
            <w:tcBorders>
              <w:left w:val="single" w:sz="6" w:space="0" w:color="000000"/>
              <w:right w:val="single" w:sz="4" w:space="0" w:color="auto"/>
            </w:tcBorders>
          </w:tcPr>
          <w:p w14:paraId="4578CC2A" w14:textId="77777777" w:rsidR="009021F1" w:rsidRPr="00000E66" w:rsidRDefault="009021F1" w:rsidP="00E637E3">
            <w:pPr>
              <w:rPr>
                <w:bCs/>
                <w:sz w:val="20"/>
                <w:szCs w:val="20"/>
              </w:rPr>
            </w:pPr>
          </w:p>
        </w:tc>
        <w:tc>
          <w:tcPr>
            <w:tcW w:w="1842" w:type="dxa"/>
            <w:vMerge/>
            <w:tcBorders>
              <w:left w:val="single" w:sz="4" w:space="0" w:color="auto"/>
              <w:bottom w:val="single" w:sz="6" w:space="0" w:color="000000"/>
              <w:right w:val="single" w:sz="4" w:space="0" w:color="auto"/>
            </w:tcBorders>
          </w:tcPr>
          <w:p w14:paraId="463D3376" w14:textId="77777777" w:rsidR="009021F1" w:rsidRPr="00000E66" w:rsidRDefault="009021F1" w:rsidP="00E637E3">
            <w:pPr>
              <w:tabs>
                <w:tab w:val="num" w:pos="360"/>
              </w:tabs>
              <w:ind w:left="360" w:hanging="360"/>
              <w:jc w:val="left"/>
              <w:rPr>
                <w:sz w:val="20"/>
                <w:szCs w:val="20"/>
              </w:rPr>
            </w:pPr>
          </w:p>
        </w:tc>
        <w:tc>
          <w:tcPr>
            <w:tcW w:w="1404" w:type="dxa"/>
            <w:vMerge/>
            <w:tcBorders>
              <w:left w:val="single" w:sz="4" w:space="0" w:color="auto"/>
              <w:bottom w:val="single" w:sz="6" w:space="0" w:color="000000"/>
              <w:right w:val="single" w:sz="4" w:space="0" w:color="auto"/>
            </w:tcBorders>
          </w:tcPr>
          <w:p w14:paraId="34EC054B" w14:textId="77777777" w:rsidR="009021F1" w:rsidRPr="00000E66" w:rsidRDefault="009021F1" w:rsidP="00E637E3">
            <w:pPr>
              <w:tabs>
                <w:tab w:val="num" w:pos="360"/>
              </w:tabs>
              <w:ind w:left="360" w:hanging="360"/>
              <w:jc w:val="left"/>
              <w:rPr>
                <w:sz w:val="20"/>
                <w:szCs w:val="20"/>
              </w:rPr>
            </w:pPr>
          </w:p>
        </w:tc>
        <w:tc>
          <w:tcPr>
            <w:tcW w:w="1558" w:type="dxa"/>
            <w:tcBorders>
              <w:top w:val="single" w:sz="36" w:space="0" w:color="auto"/>
              <w:left w:val="single" w:sz="4" w:space="0" w:color="auto"/>
              <w:bottom w:val="single" w:sz="6" w:space="0" w:color="000000"/>
              <w:right w:val="single" w:sz="6" w:space="0" w:color="000000"/>
            </w:tcBorders>
          </w:tcPr>
          <w:p w14:paraId="5D93D667" w14:textId="77777777" w:rsidR="009021F1" w:rsidRPr="00000E66" w:rsidDel="008F0B57" w:rsidRDefault="009021F1" w:rsidP="00E637E3">
            <w:pPr>
              <w:tabs>
                <w:tab w:val="num" w:pos="360"/>
              </w:tabs>
              <w:rPr>
                <w:sz w:val="20"/>
                <w:szCs w:val="20"/>
              </w:rPr>
            </w:pPr>
          </w:p>
        </w:tc>
        <w:tc>
          <w:tcPr>
            <w:tcW w:w="992" w:type="dxa"/>
            <w:tcBorders>
              <w:top w:val="single" w:sz="36" w:space="0" w:color="auto"/>
              <w:left w:val="single" w:sz="4" w:space="0" w:color="auto"/>
              <w:bottom w:val="single" w:sz="6" w:space="0" w:color="000000"/>
              <w:right w:val="single" w:sz="6" w:space="0" w:color="000000"/>
            </w:tcBorders>
          </w:tcPr>
          <w:p w14:paraId="0B950430" w14:textId="77777777" w:rsidR="009021F1" w:rsidRPr="00000E66" w:rsidRDefault="009021F1" w:rsidP="00E637E3">
            <w:pPr>
              <w:tabs>
                <w:tab w:val="num" w:pos="360"/>
              </w:tabs>
              <w:rPr>
                <w:sz w:val="20"/>
                <w:szCs w:val="20"/>
              </w:rPr>
            </w:pPr>
          </w:p>
        </w:tc>
        <w:tc>
          <w:tcPr>
            <w:tcW w:w="963" w:type="dxa"/>
            <w:tcBorders>
              <w:top w:val="single" w:sz="36" w:space="0" w:color="auto"/>
              <w:left w:val="single" w:sz="4" w:space="0" w:color="auto"/>
              <w:bottom w:val="single" w:sz="6" w:space="0" w:color="000000"/>
              <w:right w:val="single" w:sz="6" w:space="0" w:color="000000"/>
            </w:tcBorders>
          </w:tcPr>
          <w:p w14:paraId="6ECE65F3" w14:textId="77777777" w:rsidR="009021F1" w:rsidRPr="00000E66" w:rsidRDefault="009021F1" w:rsidP="00E637E3">
            <w:pPr>
              <w:tabs>
                <w:tab w:val="num" w:pos="360"/>
              </w:tabs>
              <w:rPr>
                <w:sz w:val="20"/>
                <w:szCs w:val="20"/>
              </w:rPr>
            </w:pPr>
          </w:p>
        </w:tc>
        <w:tc>
          <w:tcPr>
            <w:tcW w:w="992" w:type="dxa"/>
            <w:tcBorders>
              <w:top w:val="single" w:sz="36" w:space="0" w:color="auto"/>
              <w:left w:val="single" w:sz="4" w:space="0" w:color="auto"/>
              <w:bottom w:val="single" w:sz="6" w:space="0" w:color="000000"/>
              <w:right w:val="single" w:sz="6" w:space="0" w:color="000000"/>
            </w:tcBorders>
          </w:tcPr>
          <w:p w14:paraId="7F2A042C" w14:textId="77777777" w:rsidR="009021F1" w:rsidRPr="00000E66" w:rsidRDefault="009021F1" w:rsidP="00E637E3">
            <w:pPr>
              <w:tabs>
                <w:tab w:val="num" w:pos="360"/>
              </w:tabs>
              <w:rPr>
                <w:sz w:val="20"/>
                <w:szCs w:val="20"/>
              </w:rPr>
            </w:pPr>
          </w:p>
        </w:tc>
        <w:tc>
          <w:tcPr>
            <w:tcW w:w="992" w:type="dxa"/>
            <w:tcBorders>
              <w:top w:val="single" w:sz="36" w:space="0" w:color="auto"/>
              <w:left w:val="single" w:sz="4" w:space="0" w:color="auto"/>
              <w:bottom w:val="single" w:sz="6" w:space="0" w:color="000000"/>
              <w:right w:val="single" w:sz="6" w:space="0" w:color="000000"/>
            </w:tcBorders>
          </w:tcPr>
          <w:p w14:paraId="09EF1794" w14:textId="77777777" w:rsidR="009021F1" w:rsidRPr="00000E66" w:rsidRDefault="009021F1" w:rsidP="00E637E3">
            <w:pPr>
              <w:tabs>
                <w:tab w:val="num" w:pos="360"/>
              </w:tabs>
              <w:rPr>
                <w:sz w:val="20"/>
                <w:szCs w:val="20"/>
              </w:rPr>
            </w:pPr>
          </w:p>
        </w:tc>
      </w:tr>
      <w:tr w:rsidR="009021F1" w:rsidRPr="00000E66" w14:paraId="374E6661" w14:textId="77777777" w:rsidTr="00E637E3">
        <w:trPr>
          <w:cantSplit/>
          <w:trHeight w:val="20"/>
          <w:jc w:val="center"/>
        </w:trPr>
        <w:tc>
          <w:tcPr>
            <w:tcW w:w="1849" w:type="dxa"/>
            <w:vMerge/>
            <w:tcBorders>
              <w:left w:val="single" w:sz="6" w:space="0" w:color="000000"/>
              <w:right w:val="single" w:sz="4" w:space="0" w:color="auto"/>
            </w:tcBorders>
          </w:tcPr>
          <w:p w14:paraId="20264DD1" w14:textId="77777777" w:rsidR="009021F1" w:rsidRPr="00000E66" w:rsidRDefault="009021F1" w:rsidP="00E637E3">
            <w:pPr>
              <w:rPr>
                <w:bCs/>
                <w:sz w:val="20"/>
                <w:szCs w:val="20"/>
              </w:rPr>
            </w:pPr>
          </w:p>
        </w:tc>
        <w:tc>
          <w:tcPr>
            <w:tcW w:w="3246" w:type="dxa"/>
            <w:gridSpan w:val="2"/>
            <w:tcBorders>
              <w:left w:val="single" w:sz="4" w:space="0" w:color="auto"/>
              <w:bottom w:val="single" w:sz="6" w:space="0" w:color="000000"/>
              <w:right w:val="single" w:sz="4" w:space="0" w:color="auto"/>
            </w:tcBorders>
          </w:tcPr>
          <w:p w14:paraId="7884013F" w14:textId="77777777" w:rsidR="009021F1" w:rsidRPr="00000E66" w:rsidRDefault="009021F1" w:rsidP="00E637E3">
            <w:pPr>
              <w:jc w:val="left"/>
              <w:rPr>
                <w:sz w:val="20"/>
                <w:szCs w:val="20"/>
              </w:rPr>
            </w:pPr>
            <w:r w:rsidRPr="00000E66">
              <w:rPr>
                <w:sz w:val="20"/>
                <w:szCs w:val="20"/>
              </w:rPr>
              <w:t>Évaluation à mi-parcours et finale</w:t>
            </w:r>
          </w:p>
        </w:tc>
        <w:tc>
          <w:tcPr>
            <w:tcW w:w="1558" w:type="dxa"/>
            <w:tcBorders>
              <w:top w:val="single" w:sz="36" w:space="0" w:color="auto"/>
              <w:left w:val="single" w:sz="4" w:space="0" w:color="auto"/>
              <w:bottom w:val="single" w:sz="6" w:space="0" w:color="000000"/>
              <w:right w:val="single" w:sz="6" w:space="0" w:color="000000"/>
            </w:tcBorders>
          </w:tcPr>
          <w:p w14:paraId="7B30C22C" w14:textId="77777777" w:rsidR="009021F1" w:rsidRPr="00000E66" w:rsidDel="008F0B57" w:rsidRDefault="009021F1" w:rsidP="00E637E3">
            <w:pPr>
              <w:tabs>
                <w:tab w:val="num" w:pos="360"/>
              </w:tabs>
              <w:rPr>
                <w:sz w:val="20"/>
                <w:szCs w:val="20"/>
              </w:rPr>
            </w:pPr>
          </w:p>
        </w:tc>
        <w:tc>
          <w:tcPr>
            <w:tcW w:w="992" w:type="dxa"/>
            <w:tcBorders>
              <w:top w:val="single" w:sz="36" w:space="0" w:color="auto"/>
              <w:left w:val="single" w:sz="4" w:space="0" w:color="auto"/>
              <w:bottom w:val="single" w:sz="6" w:space="0" w:color="000000"/>
              <w:right w:val="single" w:sz="6" w:space="0" w:color="000000"/>
            </w:tcBorders>
          </w:tcPr>
          <w:p w14:paraId="18960E98" w14:textId="77777777" w:rsidR="009021F1" w:rsidRPr="00000E66" w:rsidRDefault="009021F1" w:rsidP="00E637E3">
            <w:pPr>
              <w:tabs>
                <w:tab w:val="num" w:pos="360"/>
              </w:tabs>
              <w:jc w:val="left"/>
              <w:rPr>
                <w:sz w:val="20"/>
                <w:szCs w:val="20"/>
              </w:rPr>
            </w:pPr>
            <w:r w:rsidRPr="00000E66">
              <w:rPr>
                <w:sz w:val="20"/>
                <w:szCs w:val="20"/>
              </w:rPr>
              <w:t>Fin 2</w:t>
            </w:r>
            <w:r w:rsidRPr="00000E66">
              <w:rPr>
                <w:sz w:val="20"/>
                <w:szCs w:val="20"/>
                <w:vertAlign w:val="superscript"/>
              </w:rPr>
              <w:t>ème</w:t>
            </w:r>
            <w:r w:rsidRPr="00000E66">
              <w:rPr>
                <w:sz w:val="20"/>
                <w:szCs w:val="20"/>
              </w:rPr>
              <w:t xml:space="preserve"> année</w:t>
            </w:r>
          </w:p>
        </w:tc>
        <w:tc>
          <w:tcPr>
            <w:tcW w:w="963" w:type="dxa"/>
            <w:tcBorders>
              <w:top w:val="single" w:sz="36" w:space="0" w:color="auto"/>
              <w:left w:val="single" w:sz="4" w:space="0" w:color="auto"/>
              <w:bottom w:val="single" w:sz="6" w:space="0" w:color="000000"/>
              <w:right w:val="single" w:sz="6" w:space="0" w:color="000000"/>
            </w:tcBorders>
          </w:tcPr>
          <w:p w14:paraId="4FBA9364" w14:textId="77777777" w:rsidR="009021F1" w:rsidRPr="00000E66" w:rsidRDefault="009021F1" w:rsidP="00E637E3">
            <w:pPr>
              <w:tabs>
                <w:tab w:val="num" w:pos="360"/>
              </w:tabs>
              <w:rPr>
                <w:sz w:val="20"/>
                <w:szCs w:val="20"/>
              </w:rPr>
            </w:pPr>
          </w:p>
        </w:tc>
        <w:tc>
          <w:tcPr>
            <w:tcW w:w="992" w:type="dxa"/>
            <w:tcBorders>
              <w:top w:val="single" w:sz="36" w:space="0" w:color="auto"/>
              <w:left w:val="single" w:sz="4" w:space="0" w:color="auto"/>
              <w:bottom w:val="single" w:sz="6" w:space="0" w:color="000000"/>
              <w:right w:val="single" w:sz="6" w:space="0" w:color="000000"/>
            </w:tcBorders>
          </w:tcPr>
          <w:p w14:paraId="43B549AE" w14:textId="77777777" w:rsidR="009021F1" w:rsidRPr="00000E66" w:rsidRDefault="009021F1" w:rsidP="00E637E3">
            <w:pPr>
              <w:tabs>
                <w:tab w:val="num" w:pos="360"/>
              </w:tabs>
              <w:rPr>
                <w:sz w:val="20"/>
                <w:szCs w:val="20"/>
              </w:rPr>
            </w:pPr>
          </w:p>
        </w:tc>
        <w:tc>
          <w:tcPr>
            <w:tcW w:w="992" w:type="dxa"/>
            <w:tcBorders>
              <w:top w:val="single" w:sz="36" w:space="0" w:color="auto"/>
              <w:left w:val="single" w:sz="4" w:space="0" w:color="auto"/>
              <w:bottom w:val="single" w:sz="6" w:space="0" w:color="000000"/>
              <w:right w:val="single" w:sz="6" w:space="0" w:color="000000"/>
            </w:tcBorders>
          </w:tcPr>
          <w:p w14:paraId="1CD876B3" w14:textId="77777777" w:rsidR="009021F1" w:rsidRPr="00000E66" w:rsidRDefault="009021F1" w:rsidP="00E637E3">
            <w:pPr>
              <w:tabs>
                <w:tab w:val="num" w:pos="360"/>
              </w:tabs>
              <w:jc w:val="left"/>
              <w:rPr>
                <w:sz w:val="20"/>
                <w:szCs w:val="20"/>
              </w:rPr>
            </w:pPr>
            <w:r w:rsidRPr="00000E66">
              <w:rPr>
                <w:sz w:val="20"/>
                <w:szCs w:val="20"/>
              </w:rPr>
              <w:t>Fin 5</w:t>
            </w:r>
            <w:r w:rsidRPr="00000E66">
              <w:rPr>
                <w:sz w:val="20"/>
                <w:szCs w:val="20"/>
                <w:vertAlign w:val="superscript"/>
              </w:rPr>
              <w:t>ème</w:t>
            </w:r>
            <w:r w:rsidRPr="00000E66">
              <w:rPr>
                <w:sz w:val="20"/>
                <w:szCs w:val="20"/>
              </w:rPr>
              <w:t xml:space="preserve"> année</w:t>
            </w:r>
          </w:p>
        </w:tc>
      </w:tr>
    </w:tbl>
    <w:p w14:paraId="55AA8EF3" w14:textId="77777777" w:rsidR="00CE1525" w:rsidRDefault="00CE1525" w:rsidP="006D66BF">
      <w:pPr>
        <w:pStyle w:val="Titre1"/>
        <w:ind w:left="567"/>
        <w:rPr>
          <w:rFonts w:cs="Arial"/>
          <w:szCs w:val="21"/>
        </w:rPr>
      </w:pPr>
    </w:p>
    <w:p w14:paraId="55BA574D" w14:textId="543A2502" w:rsidR="009021F1" w:rsidRPr="00000E66" w:rsidRDefault="009021F1" w:rsidP="009021F1">
      <w:pPr>
        <w:pStyle w:val="Titre1"/>
        <w:numPr>
          <w:ilvl w:val="0"/>
          <w:numId w:val="4"/>
        </w:numPr>
        <w:ind w:left="567" w:hanging="283"/>
        <w:rPr>
          <w:rFonts w:cs="Arial"/>
          <w:szCs w:val="21"/>
        </w:rPr>
      </w:pPr>
      <w:bookmarkStart w:id="439" w:name="_Toc90471545"/>
      <w:r w:rsidRPr="00000E66">
        <w:rPr>
          <w:rFonts w:cs="Arial"/>
          <w:szCs w:val="21"/>
        </w:rPr>
        <w:t>CONSULTATIONS DU PUBLIC ET DIVULGATION</w:t>
      </w:r>
      <w:bookmarkEnd w:id="439"/>
    </w:p>
    <w:p w14:paraId="68B40A6C" w14:textId="77777777" w:rsidR="009021F1" w:rsidRPr="00000E66" w:rsidRDefault="009021F1" w:rsidP="009021F1">
      <w:pPr>
        <w:rPr>
          <w:rFonts w:cs="Arial"/>
          <w:szCs w:val="21"/>
        </w:rPr>
      </w:pPr>
    </w:p>
    <w:p w14:paraId="5E00CF30" w14:textId="77777777" w:rsidR="009021F1" w:rsidRPr="00000E66" w:rsidRDefault="009021F1" w:rsidP="009021F1">
      <w:pPr>
        <w:rPr>
          <w:szCs w:val="21"/>
        </w:rPr>
      </w:pPr>
      <w:r w:rsidRPr="00000E66">
        <w:rPr>
          <w:szCs w:val="21"/>
        </w:rPr>
        <w:t>La consultation permet aux parties affectées et à leurs communautés (cfr la NES n°10) d’être effectivement impliquées dans le processus de développement du Projet. Elle permet aux parties prenantes d’émettre leurs avis et faire connaitre leurs besoins et préférences, de manière à assurer les meilleures chances de succès au processus. Il est nécessaire de prendre suffisamment de temps pour consulter tous les acteurs concernés.</w:t>
      </w:r>
    </w:p>
    <w:p w14:paraId="60194B3D" w14:textId="77777777" w:rsidR="009021F1" w:rsidRPr="00000E66" w:rsidRDefault="009021F1" w:rsidP="009021F1">
      <w:pPr>
        <w:rPr>
          <w:szCs w:val="21"/>
        </w:rPr>
      </w:pPr>
    </w:p>
    <w:p w14:paraId="45684517" w14:textId="77777777" w:rsidR="009021F1" w:rsidRPr="00000E66" w:rsidRDefault="009021F1" w:rsidP="009021F1">
      <w:pPr>
        <w:rPr>
          <w:szCs w:val="21"/>
        </w:rPr>
      </w:pPr>
      <w:r w:rsidRPr="00000E66">
        <w:rPr>
          <w:szCs w:val="21"/>
        </w:rPr>
        <w:t>En outre, le processus de consultation doit permettre aux femmes, dans des conditions sûres et confidentielles et de façon séparée, de faire valoir leurs points de vue et faire en sorte que leurs intérêts soient pris en compte dans tous les aspects de la planification et la mise en œuvre du Projet. Ainsi, le projet va organiser de c</w:t>
      </w:r>
      <w:r w:rsidRPr="00000E66">
        <w:rPr>
          <w:rFonts w:cs="Arial"/>
          <w:szCs w:val="21"/>
        </w:rPr>
        <w:t xml:space="preserve">onsultations du public spécifiques animées par une femme seront faites avec femmes des communautés riveraines dans le but de connaitre leurs préoccupations sécuritaires et sanitaires et les impacts potentiels positifs et négatifs du projet sur les femmes. </w:t>
      </w:r>
      <w:r w:rsidRPr="00000E66">
        <w:rPr>
          <w:szCs w:val="21"/>
        </w:rPr>
        <w:t>Pour déterminer les répercussions du Projet sur les moyens de subsistance, il peut s’avérer nécessaire d’analyser la situation au sein des ménages lorsque ces répercussions ne sont pas les mêmes pour les femmes et les hommes.</w:t>
      </w:r>
    </w:p>
    <w:p w14:paraId="4C2F6CB4" w14:textId="77777777" w:rsidR="009021F1" w:rsidRPr="00000E66" w:rsidRDefault="009021F1" w:rsidP="009021F1">
      <w:pPr>
        <w:rPr>
          <w:rFonts w:cs="Arial"/>
          <w:szCs w:val="21"/>
        </w:rPr>
      </w:pPr>
    </w:p>
    <w:p w14:paraId="526A1E11" w14:textId="77777777" w:rsidR="009021F1" w:rsidRPr="00000E66" w:rsidRDefault="009021F1" w:rsidP="009021F1">
      <w:pPr>
        <w:pStyle w:val="Commentaire"/>
        <w:spacing w:line="276" w:lineRule="auto"/>
        <w:rPr>
          <w:rFonts w:cs="Arial"/>
          <w:sz w:val="21"/>
          <w:szCs w:val="21"/>
          <w:lang w:val="fr-FR"/>
        </w:rPr>
      </w:pPr>
      <w:r w:rsidRPr="00000E66">
        <w:rPr>
          <w:rFonts w:cs="Arial"/>
          <w:sz w:val="21"/>
          <w:szCs w:val="21"/>
          <w:lang w:val="fr-FR"/>
        </w:rPr>
        <w:t>Les consultations du public visent à : (</w:t>
      </w:r>
      <w:r w:rsidRPr="00000E66">
        <w:rPr>
          <w:rFonts w:cs="Arial"/>
          <w:i/>
          <w:sz w:val="21"/>
          <w:szCs w:val="21"/>
          <w:lang w:val="fr-FR"/>
        </w:rPr>
        <w:t>i</w:t>
      </w:r>
      <w:r w:rsidRPr="00000E66">
        <w:rPr>
          <w:rFonts w:cs="Arial"/>
          <w:sz w:val="21"/>
          <w:szCs w:val="21"/>
          <w:lang w:val="fr-FR"/>
        </w:rPr>
        <w:t>) informer les populations riveraines sur le programme et les impacts qu’il est susceptible de générer, (</w:t>
      </w:r>
      <w:r w:rsidRPr="00000E66">
        <w:rPr>
          <w:rFonts w:cs="Arial"/>
          <w:i/>
          <w:sz w:val="21"/>
          <w:szCs w:val="21"/>
          <w:lang w:val="fr-FR"/>
        </w:rPr>
        <w:t>ii</w:t>
      </w:r>
      <w:r w:rsidRPr="00000E66">
        <w:rPr>
          <w:rFonts w:cs="Arial"/>
          <w:sz w:val="21"/>
          <w:szCs w:val="21"/>
          <w:lang w:val="fr-FR"/>
        </w:rPr>
        <w:t>) recueillir leurs avis et considérations sur le Projet ainsi que leurs suggestions afin de les intégrer et de les soumettre au décideur.</w:t>
      </w:r>
    </w:p>
    <w:p w14:paraId="4C104280" w14:textId="77777777" w:rsidR="009021F1" w:rsidRPr="00000E66" w:rsidRDefault="009021F1" w:rsidP="009021F1">
      <w:pPr>
        <w:autoSpaceDE w:val="0"/>
        <w:autoSpaceDN w:val="0"/>
        <w:adjustRightInd w:val="0"/>
        <w:rPr>
          <w:rFonts w:cs="Arial"/>
          <w:szCs w:val="21"/>
        </w:rPr>
      </w:pPr>
    </w:p>
    <w:p w14:paraId="26D3F78D" w14:textId="77777777" w:rsidR="009021F1" w:rsidRPr="00000E66" w:rsidRDefault="009021F1" w:rsidP="009021F1">
      <w:pPr>
        <w:autoSpaceDE w:val="0"/>
        <w:autoSpaceDN w:val="0"/>
        <w:adjustRightInd w:val="0"/>
        <w:rPr>
          <w:rFonts w:cs="Arial"/>
          <w:szCs w:val="21"/>
        </w:rPr>
      </w:pPr>
      <w:r w:rsidRPr="00000E66">
        <w:rPr>
          <w:rFonts w:cs="Arial"/>
          <w:szCs w:val="21"/>
        </w:rPr>
        <w:t xml:space="preserve">Dans le contexte actuel de la pandémie de la COVID-19, il s’impose une contrainte de la distanciation sociale et d’observance stricte des mesures barrières lors du processus de la consultation du public et la mobilisation des parties prenantes contrairement à la NES n°10 relative à la </w:t>
      </w:r>
      <w:r w:rsidRPr="00000E66">
        <w:rPr>
          <w:szCs w:val="21"/>
        </w:rPr>
        <w:t>Diffusion de l’information et mobilisation des parties prenantes.</w:t>
      </w:r>
    </w:p>
    <w:p w14:paraId="2CCCA7E7" w14:textId="77777777" w:rsidR="009021F1" w:rsidRPr="00000E66" w:rsidRDefault="009021F1" w:rsidP="009021F1">
      <w:pPr>
        <w:rPr>
          <w:szCs w:val="21"/>
        </w:rPr>
      </w:pPr>
    </w:p>
    <w:p w14:paraId="42520DED" w14:textId="77777777" w:rsidR="009021F1" w:rsidRPr="00000E66" w:rsidRDefault="009021F1" w:rsidP="009021F1">
      <w:pPr>
        <w:rPr>
          <w:szCs w:val="21"/>
        </w:rPr>
      </w:pPr>
      <w:r w:rsidRPr="00000E66">
        <w:rPr>
          <w:szCs w:val="21"/>
        </w:rPr>
        <w:t>Ainsi, le PNDA s'appuiera sur le document de l'OMS intitulé « Lignes directrices en matière de planification opérationnelle visant à soutenir la préparation et la riposte des pays » (2020) du Plan stratégique de préparation et de riposte de l’OMS pour lutter contre la COVID-19. En outre, il se référera à la note technique du 20 mars 2020 de la Banque Mondiale</w:t>
      </w:r>
      <w:r w:rsidRPr="00000E66">
        <w:rPr>
          <w:rStyle w:val="Appelnotedebasdep"/>
          <w:szCs w:val="21"/>
        </w:rPr>
        <w:footnoteReference w:id="21"/>
      </w:r>
      <w:r w:rsidRPr="00000E66">
        <w:rPr>
          <w:szCs w:val="21"/>
        </w:rPr>
        <w:t xml:space="preserve"> « Consultations publiques et mobilisation des parties prenantes dans les opérations soutenues par la Banque Mondiale où il existe des contraintes pour la conduite des réunions publiques ». Ces documents serviront de principale source d'orientation sur les communications et la mobilisation des parties prenantes. Ces lignes directrices décrivent l'approche contenue dans le Pilier 2 relatif à la communication sur les risques et la mobilisation communautaire. </w:t>
      </w:r>
    </w:p>
    <w:p w14:paraId="60ED2219" w14:textId="77777777" w:rsidR="009021F1" w:rsidRPr="00000E66" w:rsidRDefault="009021F1" w:rsidP="009021F1">
      <w:pPr>
        <w:rPr>
          <w:szCs w:val="21"/>
        </w:rPr>
      </w:pPr>
    </w:p>
    <w:p w14:paraId="04421398" w14:textId="77777777" w:rsidR="009021F1" w:rsidRPr="00000E66" w:rsidRDefault="009021F1" w:rsidP="009021F1">
      <w:pPr>
        <w:rPr>
          <w:szCs w:val="21"/>
        </w:rPr>
      </w:pPr>
      <w:r w:rsidRPr="00000E66">
        <w:rPr>
          <w:szCs w:val="21"/>
        </w:rPr>
        <w:t xml:space="preserve">Ces lignes directrices notent que : </w:t>
      </w:r>
    </w:p>
    <w:p w14:paraId="75F66104" w14:textId="77777777" w:rsidR="009021F1" w:rsidRPr="00000E66" w:rsidRDefault="009021F1" w:rsidP="009021F1">
      <w:pPr>
        <w:rPr>
          <w:szCs w:val="21"/>
        </w:rPr>
      </w:pPr>
    </w:p>
    <w:p w14:paraId="07F4DC81" w14:textId="77777777" w:rsidR="009021F1" w:rsidRPr="00000E66" w:rsidRDefault="009021F1" w:rsidP="009021F1">
      <w:pPr>
        <w:rPr>
          <w:szCs w:val="21"/>
        </w:rPr>
      </w:pPr>
      <w:r w:rsidRPr="00000E66">
        <w:rPr>
          <w:szCs w:val="21"/>
        </w:rPr>
        <w:t>Il est essentiel de communiquer régulièrement au public les informations relatives à la COVID 19, et sur les mesures à prendre. Les activités de préparation et de riposte doivent être menées de manière participative, à l'échelle de la communauté et être informées et optimisées en permanence en fonction des observations de la communauté afin d’identifier et de répondre aux préoccupations, aux rumeurs et aux fausses informations. Les changements dans les interventions de préparation et de riposte doivent être annoncés et expliqués à l'avance et être élaborés en tenant compte des points de vue de la communauté. Pour asseoir l'autorité et établir la confiance, il est essentiel de communiquer des messages sensibles et réceptifs aux besoins des populations, transparents et cohérents, dans les langues locales par le biais de canaux de communication fiables, en utilisant des réseaux communautaires voire de plus petite échelle et de s’appuyer sur des personnes d'influence clés et en renforçant les capacités des entités locales.</w:t>
      </w:r>
    </w:p>
    <w:p w14:paraId="57BBF2B1" w14:textId="77777777" w:rsidR="009021F1" w:rsidRPr="00000E66" w:rsidRDefault="009021F1" w:rsidP="009021F1">
      <w:pPr>
        <w:rPr>
          <w:rFonts w:cs="Arial"/>
          <w:szCs w:val="21"/>
        </w:rPr>
      </w:pPr>
    </w:p>
    <w:p w14:paraId="605A421F" w14:textId="77777777" w:rsidR="009021F1" w:rsidRPr="00000E66" w:rsidRDefault="009021F1" w:rsidP="009021F1">
      <w:pPr>
        <w:pStyle w:val="Paragraphedeliste"/>
        <w:keepNext/>
        <w:numPr>
          <w:ilvl w:val="0"/>
          <w:numId w:val="12"/>
        </w:numPr>
        <w:autoSpaceDE w:val="0"/>
        <w:autoSpaceDN w:val="0"/>
        <w:adjustRightInd w:val="0"/>
        <w:contextualSpacing w:val="0"/>
        <w:outlineLvl w:val="1"/>
        <w:rPr>
          <w:rFonts w:cs="Arial"/>
          <w:bCs/>
          <w:vanish/>
          <w:szCs w:val="21"/>
        </w:rPr>
      </w:pPr>
      <w:bookmarkStart w:id="440" w:name="_Toc90471546"/>
      <w:bookmarkEnd w:id="440"/>
    </w:p>
    <w:p w14:paraId="01A78698" w14:textId="77777777" w:rsidR="009021F1" w:rsidRPr="00000E66" w:rsidRDefault="009021F1" w:rsidP="009021F1">
      <w:pPr>
        <w:pStyle w:val="Paragraphedeliste"/>
        <w:keepNext/>
        <w:numPr>
          <w:ilvl w:val="0"/>
          <w:numId w:val="12"/>
        </w:numPr>
        <w:autoSpaceDE w:val="0"/>
        <w:autoSpaceDN w:val="0"/>
        <w:adjustRightInd w:val="0"/>
        <w:contextualSpacing w:val="0"/>
        <w:outlineLvl w:val="1"/>
        <w:rPr>
          <w:rFonts w:cs="Arial"/>
          <w:bCs/>
          <w:vanish/>
          <w:szCs w:val="21"/>
        </w:rPr>
      </w:pPr>
      <w:bookmarkStart w:id="441" w:name="_Toc90471547"/>
      <w:bookmarkEnd w:id="441"/>
    </w:p>
    <w:p w14:paraId="12E314D7" w14:textId="77777777" w:rsidR="009021F1" w:rsidRPr="00000E66" w:rsidRDefault="009021F1" w:rsidP="009021F1">
      <w:pPr>
        <w:pStyle w:val="Paragraphedeliste"/>
        <w:keepNext/>
        <w:numPr>
          <w:ilvl w:val="0"/>
          <w:numId w:val="12"/>
        </w:numPr>
        <w:autoSpaceDE w:val="0"/>
        <w:autoSpaceDN w:val="0"/>
        <w:adjustRightInd w:val="0"/>
        <w:contextualSpacing w:val="0"/>
        <w:outlineLvl w:val="1"/>
        <w:rPr>
          <w:rFonts w:cs="Arial"/>
          <w:bCs/>
          <w:vanish/>
          <w:szCs w:val="21"/>
        </w:rPr>
      </w:pPr>
      <w:bookmarkStart w:id="442" w:name="_Toc90471548"/>
      <w:bookmarkEnd w:id="442"/>
    </w:p>
    <w:p w14:paraId="2CA3489C" w14:textId="77777777" w:rsidR="009021F1" w:rsidRPr="00000E66" w:rsidRDefault="009021F1" w:rsidP="009021F1">
      <w:pPr>
        <w:pStyle w:val="Paragraphedeliste"/>
        <w:keepNext/>
        <w:numPr>
          <w:ilvl w:val="0"/>
          <w:numId w:val="12"/>
        </w:numPr>
        <w:autoSpaceDE w:val="0"/>
        <w:autoSpaceDN w:val="0"/>
        <w:adjustRightInd w:val="0"/>
        <w:contextualSpacing w:val="0"/>
        <w:outlineLvl w:val="1"/>
        <w:rPr>
          <w:rFonts w:cs="Arial"/>
          <w:bCs/>
          <w:vanish/>
          <w:szCs w:val="21"/>
        </w:rPr>
      </w:pPr>
      <w:bookmarkStart w:id="443" w:name="_Toc90471549"/>
      <w:bookmarkEnd w:id="443"/>
    </w:p>
    <w:p w14:paraId="0F25591C" w14:textId="77777777" w:rsidR="009021F1" w:rsidRPr="00000E66" w:rsidRDefault="009021F1" w:rsidP="009021F1">
      <w:pPr>
        <w:pStyle w:val="Paragraphedeliste"/>
        <w:keepNext/>
        <w:numPr>
          <w:ilvl w:val="0"/>
          <w:numId w:val="12"/>
        </w:numPr>
        <w:autoSpaceDE w:val="0"/>
        <w:autoSpaceDN w:val="0"/>
        <w:adjustRightInd w:val="0"/>
        <w:contextualSpacing w:val="0"/>
        <w:outlineLvl w:val="1"/>
        <w:rPr>
          <w:rFonts w:cs="Arial"/>
          <w:bCs/>
          <w:vanish/>
          <w:szCs w:val="21"/>
        </w:rPr>
      </w:pPr>
      <w:bookmarkStart w:id="444" w:name="_Toc90471550"/>
      <w:bookmarkEnd w:id="444"/>
    </w:p>
    <w:p w14:paraId="26D84D7E" w14:textId="77777777" w:rsidR="009021F1" w:rsidRPr="00000E66" w:rsidRDefault="009021F1" w:rsidP="009021F1">
      <w:pPr>
        <w:pStyle w:val="Paragraphedeliste"/>
        <w:keepNext/>
        <w:numPr>
          <w:ilvl w:val="0"/>
          <w:numId w:val="12"/>
        </w:numPr>
        <w:autoSpaceDE w:val="0"/>
        <w:autoSpaceDN w:val="0"/>
        <w:adjustRightInd w:val="0"/>
        <w:contextualSpacing w:val="0"/>
        <w:outlineLvl w:val="1"/>
        <w:rPr>
          <w:rFonts w:cs="Arial"/>
          <w:bCs/>
          <w:vanish/>
          <w:szCs w:val="21"/>
        </w:rPr>
      </w:pPr>
      <w:bookmarkStart w:id="445" w:name="_Toc90471551"/>
      <w:bookmarkEnd w:id="445"/>
    </w:p>
    <w:p w14:paraId="5321B373" w14:textId="77777777" w:rsidR="009021F1" w:rsidRPr="00000E66" w:rsidRDefault="009021F1" w:rsidP="009021F1">
      <w:pPr>
        <w:pStyle w:val="Paragraphedeliste"/>
        <w:keepNext/>
        <w:numPr>
          <w:ilvl w:val="0"/>
          <w:numId w:val="12"/>
        </w:numPr>
        <w:autoSpaceDE w:val="0"/>
        <w:autoSpaceDN w:val="0"/>
        <w:adjustRightInd w:val="0"/>
        <w:contextualSpacing w:val="0"/>
        <w:outlineLvl w:val="1"/>
        <w:rPr>
          <w:rFonts w:cs="Arial"/>
          <w:bCs/>
          <w:vanish/>
          <w:szCs w:val="21"/>
        </w:rPr>
      </w:pPr>
      <w:bookmarkStart w:id="446" w:name="_Toc90471552"/>
      <w:bookmarkEnd w:id="446"/>
    </w:p>
    <w:p w14:paraId="4EEE2EB6" w14:textId="77777777" w:rsidR="009021F1" w:rsidRPr="00000E66" w:rsidRDefault="009021F1" w:rsidP="009021F1">
      <w:pPr>
        <w:pStyle w:val="Paragraphedeliste"/>
        <w:keepNext/>
        <w:numPr>
          <w:ilvl w:val="0"/>
          <w:numId w:val="12"/>
        </w:numPr>
        <w:autoSpaceDE w:val="0"/>
        <w:autoSpaceDN w:val="0"/>
        <w:adjustRightInd w:val="0"/>
        <w:contextualSpacing w:val="0"/>
        <w:outlineLvl w:val="1"/>
        <w:rPr>
          <w:rFonts w:cs="Arial"/>
          <w:bCs/>
          <w:vanish/>
          <w:szCs w:val="21"/>
        </w:rPr>
      </w:pPr>
      <w:bookmarkStart w:id="447" w:name="_Toc90471553"/>
      <w:bookmarkEnd w:id="447"/>
    </w:p>
    <w:p w14:paraId="2282DBE1" w14:textId="77777777" w:rsidR="009021F1" w:rsidRPr="00000E66" w:rsidRDefault="009021F1" w:rsidP="009021F1">
      <w:pPr>
        <w:pStyle w:val="Titre2"/>
        <w:numPr>
          <w:ilvl w:val="1"/>
          <w:numId w:val="4"/>
        </w:numPr>
        <w:ind w:left="851" w:hanging="425"/>
        <w:rPr>
          <w:rFonts w:cs="Arial"/>
          <w:b/>
          <w:szCs w:val="21"/>
        </w:rPr>
      </w:pPr>
      <w:bookmarkStart w:id="448" w:name="_Toc90471554"/>
      <w:r w:rsidRPr="00000E66">
        <w:rPr>
          <w:rFonts w:cs="Arial"/>
          <w:b/>
          <w:szCs w:val="21"/>
        </w:rPr>
        <w:t>Consultations du public lors de l’élaboration du CGES</w:t>
      </w:r>
      <w:bookmarkEnd w:id="448"/>
    </w:p>
    <w:p w14:paraId="1139FF76" w14:textId="77777777" w:rsidR="009021F1" w:rsidRPr="00000E66" w:rsidRDefault="009021F1" w:rsidP="009021F1">
      <w:pPr>
        <w:rPr>
          <w:szCs w:val="21"/>
        </w:rPr>
      </w:pPr>
    </w:p>
    <w:p w14:paraId="790A1899" w14:textId="77777777" w:rsidR="009021F1" w:rsidRPr="00000E66" w:rsidRDefault="009021F1" w:rsidP="009021F1">
      <w:pPr>
        <w:pStyle w:val="Paragraphedeliste"/>
        <w:keepNext/>
        <w:numPr>
          <w:ilvl w:val="0"/>
          <w:numId w:val="18"/>
        </w:numPr>
        <w:tabs>
          <w:tab w:val="left" w:pos="720"/>
        </w:tabs>
        <w:contextualSpacing w:val="0"/>
        <w:jc w:val="left"/>
        <w:outlineLvl w:val="2"/>
        <w:rPr>
          <w:rFonts w:cs="Arial"/>
          <w:vanish/>
          <w:szCs w:val="21"/>
          <w:u w:val="single"/>
        </w:rPr>
      </w:pPr>
      <w:bookmarkStart w:id="449" w:name="_Toc90471555"/>
      <w:bookmarkEnd w:id="449"/>
    </w:p>
    <w:p w14:paraId="135E9168" w14:textId="77777777" w:rsidR="009021F1" w:rsidRPr="00000E66" w:rsidRDefault="009021F1" w:rsidP="009021F1">
      <w:pPr>
        <w:pStyle w:val="Paragraphedeliste"/>
        <w:keepNext/>
        <w:numPr>
          <w:ilvl w:val="1"/>
          <w:numId w:val="18"/>
        </w:numPr>
        <w:tabs>
          <w:tab w:val="left" w:pos="720"/>
        </w:tabs>
        <w:contextualSpacing w:val="0"/>
        <w:jc w:val="left"/>
        <w:outlineLvl w:val="2"/>
        <w:rPr>
          <w:rFonts w:cs="Arial"/>
          <w:vanish/>
          <w:szCs w:val="21"/>
          <w:u w:val="single"/>
        </w:rPr>
      </w:pPr>
      <w:bookmarkStart w:id="450" w:name="_Toc90471556"/>
      <w:bookmarkEnd w:id="450"/>
    </w:p>
    <w:p w14:paraId="2DFD04F2" w14:textId="77777777" w:rsidR="009021F1" w:rsidRPr="00000E66" w:rsidRDefault="009021F1" w:rsidP="009021F1">
      <w:pPr>
        <w:pStyle w:val="Paragraphedeliste"/>
        <w:keepNext/>
        <w:numPr>
          <w:ilvl w:val="0"/>
          <w:numId w:val="6"/>
        </w:numPr>
        <w:contextualSpacing w:val="0"/>
        <w:jc w:val="left"/>
        <w:outlineLvl w:val="2"/>
        <w:rPr>
          <w:rFonts w:cs="Arial"/>
          <w:vanish/>
          <w:szCs w:val="21"/>
          <w:u w:val="single"/>
        </w:rPr>
      </w:pPr>
      <w:bookmarkStart w:id="451" w:name="_Toc90471557"/>
      <w:bookmarkEnd w:id="451"/>
    </w:p>
    <w:p w14:paraId="5EB37A4D" w14:textId="77777777" w:rsidR="009021F1" w:rsidRPr="00000E66" w:rsidRDefault="009021F1" w:rsidP="009021F1">
      <w:pPr>
        <w:pStyle w:val="Paragraphedeliste"/>
        <w:keepNext/>
        <w:numPr>
          <w:ilvl w:val="0"/>
          <w:numId w:val="6"/>
        </w:numPr>
        <w:contextualSpacing w:val="0"/>
        <w:jc w:val="left"/>
        <w:outlineLvl w:val="2"/>
        <w:rPr>
          <w:rFonts w:cs="Arial"/>
          <w:vanish/>
          <w:szCs w:val="21"/>
          <w:u w:val="single"/>
        </w:rPr>
      </w:pPr>
      <w:bookmarkStart w:id="452" w:name="_Toc90471558"/>
      <w:bookmarkEnd w:id="452"/>
    </w:p>
    <w:p w14:paraId="2667B344" w14:textId="77777777" w:rsidR="009021F1" w:rsidRPr="00000E66" w:rsidRDefault="009021F1" w:rsidP="009021F1">
      <w:pPr>
        <w:pStyle w:val="Paragraphedeliste"/>
        <w:keepNext/>
        <w:numPr>
          <w:ilvl w:val="1"/>
          <w:numId w:val="6"/>
        </w:numPr>
        <w:contextualSpacing w:val="0"/>
        <w:jc w:val="left"/>
        <w:outlineLvl w:val="2"/>
        <w:rPr>
          <w:rFonts w:cs="Arial"/>
          <w:vanish/>
          <w:szCs w:val="21"/>
          <w:u w:val="single"/>
        </w:rPr>
      </w:pPr>
      <w:bookmarkStart w:id="453" w:name="_Toc90471559"/>
      <w:bookmarkEnd w:id="453"/>
    </w:p>
    <w:p w14:paraId="735502A1" w14:textId="77777777" w:rsidR="009021F1" w:rsidRPr="00000E66" w:rsidRDefault="009021F1" w:rsidP="009021F1">
      <w:pPr>
        <w:pStyle w:val="Titre2"/>
        <w:numPr>
          <w:ilvl w:val="2"/>
          <w:numId w:val="4"/>
        </w:numPr>
        <w:ind w:left="1560" w:hanging="709"/>
        <w:rPr>
          <w:rFonts w:cs="Arial"/>
          <w:i/>
          <w:szCs w:val="21"/>
        </w:rPr>
      </w:pPr>
      <w:bookmarkStart w:id="454" w:name="_Toc90471560"/>
      <w:r w:rsidRPr="00000E66">
        <w:rPr>
          <w:rFonts w:cs="Arial"/>
          <w:i/>
          <w:szCs w:val="21"/>
        </w:rPr>
        <w:t>Objectifs des consultations du public</w:t>
      </w:r>
      <w:bookmarkEnd w:id="454"/>
    </w:p>
    <w:p w14:paraId="1F52CCE8" w14:textId="77777777" w:rsidR="009021F1" w:rsidRPr="00000E66" w:rsidRDefault="009021F1" w:rsidP="009021F1">
      <w:pPr>
        <w:rPr>
          <w:szCs w:val="21"/>
        </w:rPr>
      </w:pPr>
    </w:p>
    <w:p w14:paraId="468BA1D8" w14:textId="77777777" w:rsidR="009021F1" w:rsidRPr="00000E66" w:rsidRDefault="009021F1" w:rsidP="009021F1">
      <w:pPr>
        <w:rPr>
          <w:szCs w:val="21"/>
        </w:rPr>
      </w:pPr>
      <w:r w:rsidRPr="00000E66">
        <w:rPr>
          <w:szCs w:val="21"/>
        </w:rPr>
        <w:t xml:space="preserve">La NES n° 10 exige à l’Emprunteur d’établir le dialogue avec les parties prenantes, y compris les communautés, les groupes ou les individus touchés par les projets proposés, et avec d’autres parties concernées, en diffusant les informations, en menant des consultations et en favorisant une participation éclairée, d’une manière proportionnée aux risques et effets potentiels du projet sur les populations touchées. </w:t>
      </w:r>
    </w:p>
    <w:p w14:paraId="75CCB2D5" w14:textId="77777777" w:rsidR="009021F1" w:rsidRPr="00000E66" w:rsidRDefault="009021F1" w:rsidP="009021F1">
      <w:pPr>
        <w:rPr>
          <w:szCs w:val="21"/>
        </w:rPr>
      </w:pPr>
    </w:p>
    <w:p w14:paraId="48F58DA3" w14:textId="77777777" w:rsidR="009021F1" w:rsidRPr="00000E66" w:rsidRDefault="009021F1" w:rsidP="009021F1">
      <w:pPr>
        <w:rPr>
          <w:szCs w:val="21"/>
        </w:rPr>
      </w:pPr>
      <w:r w:rsidRPr="00000E66">
        <w:rPr>
          <w:szCs w:val="21"/>
        </w:rPr>
        <w:t xml:space="preserve">Les objectifs poursuivis sont les suivantes : de fournir aux acteurs intéressés, une information juste et pertinente sur le projet, notamment, sa description et ses composantes ; d’inviter les acteurs à donner leurs avis sur les propositions ; d’instaurer un dialogue et d’asseoir les bases d’une mise en œuvre concertée et durable en prévision des activités que le projet va réaliser. </w:t>
      </w:r>
    </w:p>
    <w:p w14:paraId="0F479496" w14:textId="77777777" w:rsidR="009021F1" w:rsidRPr="00000E66" w:rsidRDefault="009021F1" w:rsidP="009021F1">
      <w:pPr>
        <w:rPr>
          <w:szCs w:val="21"/>
        </w:rPr>
      </w:pPr>
    </w:p>
    <w:p w14:paraId="481C0753" w14:textId="77777777" w:rsidR="009021F1" w:rsidRPr="00000E66" w:rsidRDefault="009021F1" w:rsidP="009021F1">
      <w:pPr>
        <w:rPr>
          <w:szCs w:val="21"/>
        </w:rPr>
      </w:pPr>
      <w:r w:rsidRPr="00000E66">
        <w:rPr>
          <w:szCs w:val="21"/>
        </w:rPr>
        <w:t>En outre, les objectifs de consultation du public sur les VBG, y compris l’EAS/HS, sont :</w:t>
      </w:r>
    </w:p>
    <w:p w14:paraId="7651C3E8" w14:textId="77777777" w:rsidR="009021F1" w:rsidRPr="00000E66" w:rsidRDefault="009021F1" w:rsidP="009021F1">
      <w:pPr>
        <w:rPr>
          <w:szCs w:val="21"/>
        </w:rPr>
      </w:pPr>
    </w:p>
    <w:p w14:paraId="39D5836F" w14:textId="77777777" w:rsidR="009021F1" w:rsidRPr="00000E66" w:rsidRDefault="009021F1" w:rsidP="009021F1">
      <w:pPr>
        <w:numPr>
          <w:ilvl w:val="0"/>
          <w:numId w:val="56"/>
        </w:numPr>
        <w:rPr>
          <w:szCs w:val="21"/>
        </w:rPr>
      </w:pPr>
      <w:r w:rsidRPr="00000E66">
        <w:rPr>
          <w:szCs w:val="21"/>
        </w:rPr>
        <w:t>Identifier des risques d’EAS/HS dans les communautés affectées par le projet ;</w:t>
      </w:r>
    </w:p>
    <w:p w14:paraId="4F1FFF62" w14:textId="77777777" w:rsidR="009021F1" w:rsidRPr="00000E66" w:rsidRDefault="009021F1" w:rsidP="009021F1">
      <w:pPr>
        <w:numPr>
          <w:ilvl w:val="0"/>
          <w:numId w:val="56"/>
        </w:numPr>
        <w:rPr>
          <w:szCs w:val="21"/>
        </w:rPr>
      </w:pPr>
      <w:r w:rsidRPr="00000E66">
        <w:rPr>
          <w:szCs w:val="21"/>
        </w:rPr>
        <w:t>Evaluer les risques potentiels d’EAS/HS dans les zones d’intervention ciblées que le Projet peut exacerber ;</w:t>
      </w:r>
    </w:p>
    <w:p w14:paraId="19952613" w14:textId="77777777" w:rsidR="009021F1" w:rsidRPr="00000E66" w:rsidRDefault="009021F1" w:rsidP="009021F1">
      <w:pPr>
        <w:numPr>
          <w:ilvl w:val="0"/>
          <w:numId w:val="56"/>
        </w:numPr>
        <w:rPr>
          <w:szCs w:val="21"/>
        </w:rPr>
      </w:pPr>
      <w:r w:rsidRPr="00000E66">
        <w:rPr>
          <w:szCs w:val="21"/>
        </w:rPr>
        <w:t>Réaliser des consultations indépendantes pour les femmes dans des conditions sûres et confidentielles (avec des facilitatrices de groupe) en évaluant les risques de sécurité et les risques d’EAS/HS auxquelles les communautés font face et les impacts potentiels positifs et négatifs du Projet sur les bénéficiaires féminins ;</w:t>
      </w:r>
    </w:p>
    <w:p w14:paraId="09E267B8" w14:textId="77777777" w:rsidR="009021F1" w:rsidRPr="00000E66" w:rsidRDefault="009021F1" w:rsidP="009021F1">
      <w:pPr>
        <w:numPr>
          <w:ilvl w:val="0"/>
          <w:numId w:val="56"/>
        </w:numPr>
        <w:rPr>
          <w:szCs w:val="21"/>
        </w:rPr>
      </w:pPr>
      <w:r w:rsidRPr="00000E66">
        <w:rPr>
          <w:szCs w:val="21"/>
        </w:rPr>
        <w:t>Identifier les meilleures portes d’entrée pour les potentielles plaintes en cas d’incidents EAS/HS au cours de la durée du projet ;</w:t>
      </w:r>
    </w:p>
    <w:p w14:paraId="4DB1B5E4" w14:textId="77777777" w:rsidR="009021F1" w:rsidRPr="00000E66" w:rsidRDefault="009021F1" w:rsidP="009021F1">
      <w:pPr>
        <w:numPr>
          <w:ilvl w:val="0"/>
          <w:numId w:val="56"/>
        </w:numPr>
        <w:rPr>
          <w:szCs w:val="21"/>
        </w:rPr>
      </w:pPr>
      <w:r w:rsidRPr="00000E66">
        <w:rPr>
          <w:szCs w:val="21"/>
        </w:rPr>
        <w:t>S’assurer que les consultations sont conformes aux Directives de sécurité et d’éthique relatives à la collecte des données sensibles concernant les VBG ;</w:t>
      </w:r>
    </w:p>
    <w:p w14:paraId="359BC093" w14:textId="77777777" w:rsidR="009021F1" w:rsidRPr="00000E66" w:rsidRDefault="009021F1" w:rsidP="009021F1">
      <w:pPr>
        <w:numPr>
          <w:ilvl w:val="0"/>
          <w:numId w:val="56"/>
        </w:numPr>
        <w:rPr>
          <w:szCs w:val="21"/>
        </w:rPr>
      </w:pPr>
      <w:r w:rsidRPr="00000E66">
        <w:rPr>
          <w:szCs w:val="21"/>
        </w:rPr>
        <w:t>Veiller à ce que les membres de différents groupes ethniques et privés sont consultés ;</w:t>
      </w:r>
    </w:p>
    <w:p w14:paraId="33378B97" w14:textId="77777777" w:rsidR="009021F1" w:rsidRPr="00000E66" w:rsidRDefault="009021F1" w:rsidP="009021F1">
      <w:pPr>
        <w:numPr>
          <w:ilvl w:val="0"/>
          <w:numId w:val="56"/>
        </w:numPr>
        <w:rPr>
          <w:szCs w:val="21"/>
        </w:rPr>
      </w:pPr>
      <w:r w:rsidRPr="00000E66">
        <w:rPr>
          <w:szCs w:val="21"/>
        </w:rPr>
        <w:t>Mettre en place des animatrices et vérifier le meilleur jour / heure / lieu pour tenir ces consultations afin de s’assurer que les femmes sont disponibles et se sentent en sécurité pour participer ;</w:t>
      </w:r>
    </w:p>
    <w:p w14:paraId="74F2DE91" w14:textId="77777777" w:rsidR="009021F1" w:rsidRPr="00000E66" w:rsidRDefault="009021F1" w:rsidP="009021F1">
      <w:pPr>
        <w:numPr>
          <w:ilvl w:val="0"/>
          <w:numId w:val="56"/>
        </w:numPr>
        <w:rPr>
          <w:szCs w:val="21"/>
        </w:rPr>
      </w:pPr>
      <w:r w:rsidRPr="00000E66">
        <w:rPr>
          <w:szCs w:val="21"/>
        </w:rPr>
        <w:t>Les femmes survivant(e)s de VBG ne seront pas consultées dans le cadre du projet car cela ne fait pas partie des objectifs.</w:t>
      </w:r>
    </w:p>
    <w:p w14:paraId="24516227" w14:textId="77777777" w:rsidR="009021F1" w:rsidRPr="00000E66" w:rsidRDefault="009021F1" w:rsidP="009021F1">
      <w:pPr>
        <w:rPr>
          <w:rFonts w:cs="Arial"/>
          <w:szCs w:val="21"/>
        </w:rPr>
      </w:pPr>
    </w:p>
    <w:p w14:paraId="612F4736" w14:textId="77777777" w:rsidR="009021F1" w:rsidRPr="00000E66" w:rsidRDefault="009021F1" w:rsidP="009021F1">
      <w:pPr>
        <w:pStyle w:val="Titre2"/>
        <w:numPr>
          <w:ilvl w:val="2"/>
          <w:numId w:val="4"/>
        </w:numPr>
        <w:ind w:left="1560" w:hanging="709"/>
        <w:rPr>
          <w:rFonts w:cs="Arial"/>
          <w:i/>
          <w:szCs w:val="21"/>
        </w:rPr>
      </w:pPr>
      <w:bookmarkStart w:id="455" w:name="_Toc90471561"/>
      <w:r w:rsidRPr="00000E66">
        <w:rPr>
          <w:rFonts w:cs="Arial"/>
          <w:i/>
          <w:szCs w:val="21"/>
        </w:rPr>
        <w:t>Acteurs consultés</w:t>
      </w:r>
      <w:bookmarkEnd w:id="455"/>
    </w:p>
    <w:p w14:paraId="6DCBC2AC" w14:textId="77777777" w:rsidR="009021F1" w:rsidRPr="00000E66" w:rsidRDefault="009021F1" w:rsidP="009021F1">
      <w:pPr>
        <w:pStyle w:val="Paragraphedeliste"/>
        <w:tabs>
          <w:tab w:val="left" w:pos="426"/>
        </w:tabs>
        <w:ind w:left="0"/>
        <w:rPr>
          <w:rFonts w:cs="Arial"/>
          <w:szCs w:val="21"/>
        </w:rPr>
      </w:pPr>
    </w:p>
    <w:p w14:paraId="3CF83B71" w14:textId="77777777" w:rsidR="009021F1" w:rsidRPr="00000E66" w:rsidRDefault="009021F1" w:rsidP="009021F1">
      <w:pPr>
        <w:pStyle w:val="Paragraphedeliste"/>
        <w:tabs>
          <w:tab w:val="left" w:pos="426"/>
        </w:tabs>
        <w:ind w:left="0"/>
        <w:rPr>
          <w:rFonts w:cs="Arial"/>
          <w:szCs w:val="21"/>
          <w:highlight w:val="cyan"/>
        </w:rPr>
      </w:pPr>
      <w:r w:rsidRPr="00000E66">
        <w:rPr>
          <w:rFonts w:cs="Arial"/>
          <w:szCs w:val="21"/>
        </w:rPr>
        <w:t>Les consultations ont concerné d’un côté les acteurs institutionnels principalement concernés par le Projet PNDA au niveau des provinces concernées : les Ministères Provinciaux et Inspections et/ou Divisions en charge de l’Agriculture ; Pêche et Élevage ; Environnement et Développement Durable ; Infrastructures et Travaux Publics ; Affaires Sociales, Genre, famille et Enfant ; Santé , Travail et Prévoyance sociales ; Affaires Foncières ; les Mairies ; Administrateurs de Territoires ; Agence Congolaise de l’Environnement ; Coordinations Provinciales de l’Environnement ; Coordination Provinciale et Communauté Protectrice de l’Enfant ; Office des Voies de Desserte Agricole ; et de l’autre côté, les Organisations et Associations locales, les ONG de la Société Civile Force Vive, les personnes ressources ; etc. Voir quelques exemplaires des procès-verbaux joints en annexe du présent rapport.</w:t>
      </w:r>
    </w:p>
    <w:p w14:paraId="1A0D3ABD" w14:textId="77777777" w:rsidR="009021F1" w:rsidRPr="00000E66" w:rsidRDefault="009021F1" w:rsidP="009021F1">
      <w:pPr>
        <w:pStyle w:val="Paragraphedeliste"/>
        <w:tabs>
          <w:tab w:val="left" w:pos="426"/>
        </w:tabs>
        <w:ind w:left="0"/>
        <w:rPr>
          <w:rFonts w:cs="Arial"/>
          <w:szCs w:val="21"/>
          <w:highlight w:val="cyan"/>
        </w:rPr>
      </w:pPr>
    </w:p>
    <w:p w14:paraId="08933297" w14:textId="77777777" w:rsidR="009021F1" w:rsidRPr="00000E66" w:rsidRDefault="009021F1" w:rsidP="009021F1">
      <w:pPr>
        <w:pStyle w:val="Paragraphedeliste"/>
        <w:tabs>
          <w:tab w:val="left" w:pos="426"/>
        </w:tabs>
        <w:ind w:left="0"/>
        <w:rPr>
          <w:rFonts w:cs="Arial"/>
          <w:szCs w:val="21"/>
          <w:highlight w:val="cyan"/>
        </w:rPr>
      </w:pPr>
      <w:r w:rsidRPr="00000E66">
        <w:rPr>
          <w:rFonts w:cs="Arial"/>
          <w:szCs w:val="21"/>
        </w:rPr>
        <w:t xml:space="preserve">Par ailleurs, le Consultant a également tenu également des consultations du public / </w:t>
      </w:r>
      <w:r w:rsidRPr="00000E66">
        <w:rPr>
          <w:rFonts w:cs="Arial"/>
          <w:i/>
          <w:szCs w:val="21"/>
        </w:rPr>
        <w:t>focus group</w:t>
      </w:r>
      <w:r w:rsidRPr="00000E66">
        <w:rPr>
          <w:rFonts w:cs="Arial"/>
          <w:szCs w:val="21"/>
        </w:rPr>
        <w:t xml:space="preserve"> et entrevues avec les femmes des associations paysannes et communautés riveraines dans le but de connaitre leurs préoccupations agricoles, pêche et élevage, sécuritaires et sanitaires avec les aspects liés aux VBG y compris EAS et le HS et les impacts potentiels positifs et négatifs du projet sur les femmes.  </w:t>
      </w:r>
    </w:p>
    <w:p w14:paraId="12087ABD" w14:textId="77777777" w:rsidR="009021F1" w:rsidRPr="00000E66" w:rsidRDefault="009021F1" w:rsidP="009021F1">
      <w:pPr>
        <w:pStyle w:val="Paragraphedeliste"/>
        <w:tabs>
          <w:tab w:val="left" w:pos="426"/>
        </w:tabs>
        <w:ind w:left="0"/>
        <w:rPr>
          <w:rFonts w:cs="Arial"/>
          <w:szCs w:val="21"/>
          <w:highlight w:val="cyan"/>
        </w:rPr>
      </w:pPr>
    </w:p>
    <w:p w14:paraId="6A595AC2" w14:textId="77777777" w:rsidR="009021F1" w:rsidRPr="00000E66" w:rsidRDefault="009021F1" w:rsidP="009021F1">
      <w:pPr>
        <w:pStyle w:val="Titre2"/>
        <w:numPr>
          <w:ilvl w:val="2"/>
          <w:numId w:val="4"/>
        </w:numPr>
        <w:ind w:left="1560" w:hanging="709"/>
        <w:rPr>
          <w:rFonts w:cs="Arial"/>
          <w:i/>
          <w:szCs w:val="21"/>
        </w:rPr>
      </w:pPr>
      <w:bookmarkStart w:id="456" w:name="_Toc90471562"/>
      <w:r w:rsidRPr="00000E66">
        <w:rPr>
          <w:rFonts w:cs="Arial"/>
          <w:i/>
          <w:szCs w:val="21"/>
        </w:rPr>
        <w:t>Consultations réalisées</w:t>
      </w:r>
      <w:bookmarkEnd w:id="456"/>
      <w:r w:rsidRPr="00000E66">
        <w:rPr>
          <w:rFonts w:cs="Arial"/>
          <w:i/>
          <w:szCs w:val="21"/>
        </w:rPr>
        <w:t xml:space="preserve"> </w:t>
      </w:r>
    </w:p>
    <w:p w14:paraId="00FBA3DD" w14:textId="77777777" w:rsidR="009021F1" w:rsidRPr="00000E66" w:rsidRDefault="009021F1" w:rsidP="009021F1">
      <w:pPr>
        <w:rPr>
          <w:szCs w:val="21"/>
          <w:highlight w:val="cyan"/>
        </w:rPr>
      </w:pPr>
    </w:p>
    <w:p w14:paraId="50CA1187" w14:textId="77777777" w:rsidR="009021F1" w:rsidRPr="00000E66" w:rsidRDefault="009021F1" w:rsidP="009021F1">
      <w:pPr>
        <w:rPr>
          <w:rFonts w:cs="Arial"/>
          <w:szCs w:val="21"/>
        </w:rPr>
      </w:pPr>
      <w:r w:rsidRPr="00000E66">
        <w:rPr>
          <w:rFonts w:cs="Arial"/>
          <w:szCs w:val="21"/>
        </w:rPr>
        <w:t>Le calendrier des consultations du public tenu dans les Chefs-lieux des Provinces concernées par le PNDA est repris dans le tableau ci-dessous.</w:t>
      </w:r>
    </w:p>
    <w:p w14:paraId="730F4361" w14:textId="77777777" w:rsidR="009021F1" w:rsidRPr="00000E66" w:rsidRDefault="009021F1" w:rsidP="009021F1">
      <w:pPr>
        <w:rPr>
          <w:szCs w:val="21"/>
        </w:rPr>
      </w:pPr>
    </w:p>
    <w:p w14:paraId="2B98D5A7" w14:textId="77777777" w:rsidR="009021F1" w:rsidRPr="00000E66" w:rsidRDefault="009021F1" w:rsidP="009021F1">
      <w:pPr>
        <w:rPr>
          <w:rFonts w:cs="Arial"/>
          <w:szCs w:val="21"/>
        </w:rPr>
      </w:pPr>
      <w:r w:rsidRPr="00000E66">
        <w:rPr>
          <w:szCs w:val="21"/>
        </w:rPr>
        <w:t xml:space="preserve">Tableau </w:t>
      </w:r>
      <w:r w:rsidRPr="00000E66">
        <w:rPr>
          <w:szCs w:val="21"/>
        </w:rPr>
        <w:fldChar w:fldCharType="begin"/>
      </w:r>
      <w:r w:rsidRPr="00000E66">
        <w:rPr>
          <w:szCs w:val="21"/>
        </w:rPr>
        <w:instrText xml:space="preserve"> SEQ Tableau \* ARABIC </w:instrText>
      </w:r>
      <w:r w:rsidRPr="00000E66">
        <w:rPr>
          <w:szCs w:val="21"/>
        </w:rPr>
        <w:fldChar w:fldCharType="separate"/>
      </w:r>
      <w:r>
        <w:rPr>
          <w:noProof/>
          <w:szCs w:val="21"/>
        </w:rPr>
        <w:t>40</w:t>
      </w:r>
      <w:r w:rsidRPr="00000E66">
        <w:rPr>
          <w:szCs w:val="21"/>
        </w:rPr>
        <w:fldChar w:fldCharType="end"/>
      </w:r>
      <w:r w:rsidRPr="00000E66">
        <w:rPr>
          <w:rFonts w:cs="Arial"/>
          <w:szCs w:val="21"/>
        </w:rPr>
        <w:t>. Calendrier des consultations du public</w:t>
      </w:r>
    </w:p>
    <w:p w14:paraId="2149336C" w14:textId="77777777" w:rsidR="009021F1" w:rsidRPr="00000E66" w:rsidRDefault="009021F1" w:rsidP="009021F1">
      <w:pPr>
        <w:rPr>
          <w:rFonts w:cs="Arial"/>
          <w:szCs w:val="21"/>
          <w:highlight w:val="cy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0"/>
        <w:gridCol w:w="1515"/>
        <w:gridCol w:w="2757"/>
        <w:gridCol w:w="2703"/>
      </w:tblGrid>
      <w:tr w:rsidR="009021F1" w:rsidRPr="00000E66" w14:paraId="578BEFF2" w14:textId="77777777" w:rsidTr="00E637E3">
        <w:tc>
          <w:tcPr>
            <w:tcW w:w="1800" w:type="dxa"/>
            <w:shd w:val="clear" w:color="auto" w:fill="auto"/>
          </w:tcPr>
          <w:p w14:paraId="10468237" w14:textId="77777777" w:rsidR="009021F1" w:rsidRPr="00000E66" w:rsidRDefault="009021F1" w:rsidP="00E637E3">
            <w:pPr>
              <w:jc w:val="center"/>
              <w:rPr>
                <w:rFonts w:cs="Arial"/>
                <w:szCs w:val="21"/>
                <w:lang w:val="en-US"/>
              </w:rPr>
            </w:pPr>
            <w:r w:rsidRPr="00000E66">
              <w:rPr>
                <w:rFonts w:cs="Arial"/>
                <w:szCs w:val="21"/>
                <w:lang w:val="en-US"/>
              </w:rPr>
              <w:t>Ville</w:t>
            </w:r>
          </w:p>
        </w:tc>
        <w:tc>
          <w:tcPr>
            <w:tcW w:w="1515" w:type="dxa"/>
            <w:shd w:val="clear" w:color="auto" w:fill="auto"/>
          </w:tcPr>
          <w:p w14:paraId="7BFE327F" w14:textId="77777777" w:rsidR="009021F1" w:rsidRPr="00000E66" w:rsidRDefault="009021F1" w:rsidP="00E637E3">
            <w:pPr>
              <w:jc w:val="center"/>
              <w:rPr>
                <w:rFonts w:cs="Arial"/>
                <w:szCs w:val="21"/>
                <w:lang w:val="en-US"/>
              </w:rPr>
            </w:pPr>
            <w:r w:rsidRPr="00000E66">
              <w:rPr>
                <w:rFonts w:cs="Arial"/>
                <w:szCs w:val="21"/>
                <w:lang w:val="en-US"/>
              </w:rPr>
              <w:t>Date</w:t>
            </w:r>
          </w:p>
        </w:tc>
        <w:tc>
          <w:tcPr>
            <w:tcW w:w="2757" w:type="dxa"/>
            <w:shd w:val="clear" w:color="auto" w:fill="auto"/>
          </w:tcPr>
          <w:p w14:paraId="61E42D04" w14:textId="77777777" w:rsidR="009021F1" w:rsidRPr="00000E66" w:rsidRDefault="009021F1" w:rsidP="00E637E3">
            <w:pPr>
              <w:jc w:val="center"/>
              <w:rPr>
                <w:rFonts w:cs="Arial"/>
                <w:szCs w:val="21"/>
                <w:lang w:val="en-US"/>
              </w:rPr>
            </w:pPr>
            <w:r w:rsidRPr="00000E66">
              <w:rPr>
                <w:rFonts w:cs="Arial"/>
                <w:szCs w:val="21"/>
                <w:lang w:val="en-US"/>
              </w:rPr>
              <w:t>Nombre de participants</w:t>
            </w:r>
          </w:p>
        </w:tc>
        <w:tc>
          <w:tcPr>
            <w:tcW w:w="2703" w:type="dxa"/>
            <w:shd w:val="clear" w:color="auto" w:fill="auto"/>
          </w:tcPr>
          <w:p w14:paraId="099FEE77" w14:textId="77777777" w:rsidR="009021F1" w:rsidRPr="00000E66" w:rsidRDefault="009021F1" w:rsidP="00E637E3">
            <w:pPr>
              <w:jc w:val="center"/>
              <w:rPr>
                <w:rFonts w:cs="Arial"/>
                <w:szCs w:val="21"/>
                <w:lang w:val="en-US"/>
              </w:rPr>
            </w:pPr>
            <w:r w:rsidRPr="00000E66">
              <w:rPr>
                <w:rFonts w:cs="Arial"/>
                <w:szCs w:val="21"/>
                <w:lang w:val="en-US"/>
              </w:rPr>
              <w:t>Communiqué radiophonique diffusé</w:t>
            </w:r>
          </w:p>
        </w:tc>
      </w:tr>
      <w:tr w:rsidR="009021F1" w:rsidRPr="00000E66" w14:paraId="16583201" w14:textId="77777777" w:rsidTr="00E637E3">
        <w:tc>
          <w:tcPr>
            <w:tcW w:w="1800" w:type="dxa"/>
            <w:shd w:val="clear" w:color="auto" w:fill="auto"/>
          </w:tcPr>
          <w:p w14:paraId="2E80F0E8" w14:textId="77777777" w:rsidR="009021F1" w:rsidRPr="00000E66" w:rsidRDefault="009021F1" w:rsidP="00E637E3">
            <w:pPr>
              <w:rPr>
                <w:rFonts w:cs="Arial"/>
                <w:szCs w:val="21"/>
                <w:lang w:val="en-US"/>
              </w:rPr>
            </w:pPr>
            <w:r w:rsidRPr="00000E66">
              <w:rPr>
                <w:rFonts w:cs="Arial"/>
                <w:szCs w:val="21"/>
                <w:lang w:val="en-US"/>
              </w:rPr>
              <w:t xml:space="preserve">Matadi </w:t>
            </w:r>
          </w:p>
        </w:tc>
        <w:tc>
          <w:tcPr>
            <w:tcW w:w="1515" w:type="dxa"/>
            <w:shd w:val="clear" w:color="auto" w:fill="auto"/>
          </w:tcPr>
          <w:p w14:paraId="23A6AD87" w14:textId="77777777" w:rsidR="009021F1" w:rsidRPr="00000E66" w:rsidRDefault="009021F1" w:rsidP="00E637E3">
            <w:pPr>
              <w:rPr>
                <w:rFonts w:cs="Arial"/>
                <w:szCs w:val="21"/>
                <w:lang w:val="en-US"/>
              </w:rPr>
            </w:pPr>
            <w:r w:rsidRPr="00000E66">
              <w:rPr>
                <w:rFonts w:cs="Arial"/>
                <w:szCs w:val="21"/>
                <w:lang w:val="en-US"/>
              </w:rPr>
              <w:t>02 juin 2020</w:t>
            </w:r>
          </w:p>
        </w:tc>
        <w:tc>
          <w:tcPr>
            <w:tcW w:w="2757" w:type="dxa"/>
            <w:shd w:val="clear" w:color="auto" w:fill="auto"/>
          </w:tcPr>
          <w:p w14:paraId="4C5BE531" w14:textId="77777777" w:rsidR="009021F1" w:rsidRPr="00000E66" w:rsidRDefault="009021F1" w:rsidP="00E637E3">
            <w:pPr>
              <w:rPr>
                <w:rFonts w:cs="Arial"/>
                <w:szCs w:val="21"/>
                <w:lang w:val="en-US"/>
              </w:rPr>
            </w:pPr>
            <w:r w:rsidRPr="00000E66">
              <w:rPr>
                <w:rFonts w:cs="Arial"/>
                <w:szCs w:val="21"/>
                <w:lang w:val="en-US"/>
              </w:rPr>
              <w:t>20 personnes</w:t>
            </w:r>
          </w:p>
        </w:tc>
        <w:tc>
          <w:tcPr>
            <w:tcW w:w="2703" w:type="dxa"/>
            <w:shd w:val="clear" w:color="auto" w:fill="auto"/>
          </w:tcPr>
          <w:p w14:paraId="7C7457C6" w14:textId="77777777" w:rsidR="009021F1" w:rsidRPr="00000E66" w:rsidRDefault="009021F1" w:rsidP="00E637E3">
            <w:pPr>
              <w:rPr>
                <w:rFonts w:cs="Arial"/>
                <w:szCs w:val="21"/>
              </w:rPr>
            </w:pPr>
            <w:r w:rsidRPr="00000E66">
              <w:rPr>
                <w:rFonts w:cs="Arial"/>
                <w:szCs w:val="21"/>
              </w:rPr>
              <w:t>Radio Télé Matadi (RTM), Agence Congolaise de Presse (ACP)</w:t>
            </w:r>
          </w:p>
        </w:tc>
      </w:tr>
      <w:tr w:rsidR="009021F1" w:rsidRPr="00000E66" w14:paraId="2269EB3C" w14:textId="77777777" w:rsidTr="00E637E3">
        <w:tc>
          <w:tcPr>
            <w:tcW w:w="1800" w:type="dxa"/>
            <w:shd w:val="clear" w:color="auto" w:fill="auto"/>
          </w:tcPr>
          <w:p w14:paraId="50831991" w14:textId="77777777" w:rsidR="009021F1" w:rsidRPr="00000E66" w:rsidRDefault="009021F1" w:rsidP="00E637E3">
            <w:pPr>
              <w:rPr>
                <w:rFonts w:cs="Arial"/>
                <w:szCs w:val="21"/>
                <w:lang w:val="en-US"/>
              </w:rPr>
            </w:pPr>
            <w:r w:rsidRPr="00000E66">
              <w:rPr>
                <w:rFonts w:cs="Arial"/>
                <w:szCs w:val="21"/>
                <w:lang w:val="en-US"/>
              </w:rPr>
              <w:t>Kananga</w:t>
            </w:r>
          </w:p>
        </w:tc>
        <w:tc>
          <w:tcPr>
            <w:tcW w:w="1515" w:type="dxa"/>
            <w:shd w:val="clear" w:color="auto" w:fill="auto"/>
          </w:tcPr>
          <w:p w14:paraId="5078BB46" w14:textId="77777777" w:rsidR="009021F1" w:rsidRPr="00000E66" w:rsidRDefault="009021F1" w:rsidP="00E637E3">
            <w:pPr>
              <w:rPr>
                <w:rFonts w:cs="Arial"/>
                <w:szCs w:val="21"/>
                <w:lang w:val="en-US"/>
              </w:rPr>
            </w:pPr>
            <w:r w:rsidRPr="00000E66">
              <w:rPr>
                <w:rFonts w:cs="Arial"/>
                <w:szCs w:val="21"/>
                <w:lang w:val="en-US"/>
              </w:rPr>
              <w:t>03 juin 2020</w:t>
            </w:r>
          </w:p>
        </w:tc>
        <w:tc>
          <w:tcPr>
            <w:tcW w:w="2757" w:type="dxa"/>
            <w:shd w:val="clear" w:color="auto" w:fill="auto"/>
          </w:tcPr>
          <w:p w14:paraId="42B53FFA" w14:textId="77777777" w:rsidR="009021F1" w:rsidRPr="00000E66" w:rsidRDefault="009021F1" w:rsidP="00E637E3">
            <w:pPr>
              <w:rPr>
                <w:rFonts w:cs="Arial"/>
                <w:szCs w:val="21"/>
                <w:lang w:val="en-US"/>
              </w:rPr>
            </w:pPr>
            <w:r w:rsidRPr="00000E66">
              <w:rPr>
                <w:rFonts w:cs="Arial"/>
                <w:szCs w:val="21"/>
                <w:lang w:val="en-US"/>
              </w:rPr>
              <w:t>18 personnes</w:t>
            </w:r>
          </w:p>
        </w:tc>
        <w:tc>
          <w:tcPr>
            <w:tcW w:w="2703" w:type="dxa"/>
            <w:shd w:val="clear" w:color="auto" w:fill="auto"/>
          </w:tcPr>
          <w:p w14:paraId="3E64219A" w14:textId="77777777" w:rsidR="009021F1" w:rsidRPr="00000E66" w:rsidRDefault="009021F1" w:rsidP="00E637E3">
            <w:pPr>
              <w:rPr>
                <w:rFonts w:cs="Arial"/>
                <w:szCs w:val="21"/>
                <w:lang w:val="en-US"/>
              </w:rPr>
            </w:pPr>
            <w:r w:rsidRPr="00000E66">
              <w:rPr>
                <w:rFonts w:cs="Arial"/>
                <w:szCs w:val="21"/>
                <w:lang w:val="en-US"/>
              </w:rPr>
              <w:t>Radio Kananga 24</w:t>
            </w:r>
          </w:p>
        </w:tc>
      </w:tr>
      <w:tr w:rsidR="009021F1" w:rsidRPr="00000E66" w14:paraId="51D97E86" w14:textId="77777777" w:rsidTr="00E637E3">
        <w:tc>
          <w:tcPr>
            <w:tcW w:w="1800" w:type="dxa"/>
            <w:shd w:val="clear" w:color="auto" w:fill="auto"/>
          </w:tcPr>
          <w:p w14:paraId="547231EA" w14:textId="77777777" w:rsidR="009021F1" w:rsidRPr="00000E66" w:rsidRDefault="009021F1" w:rsidP="00E637E3">
            <w:pPr>
              <w:rPr>
                <w:rFonts w:cs="Arial"/>
                <w:szCs w:val="21"/>
                <w:lang w:val="en-US"/>
              </w:rPr>
            </w:pPr>
            <w:r w:rsidRPr="00000E66">
              <w:rPr>
                <w:rFonts w:cs="Arial"/>
                <w:szCs w:val="21"/>
                <w:lang w:val="en-US"/>
              </w:rPr>
              <w:t>Tshikapa</w:t>
            </w:r>
          </w:p>
        </w:tc>
        <w:tc>
          <w:tcPr>
            <w:tcW w:w="1515" w:type="dxa"/>
            <w:shd w:val="clear" w:color="auto" w:fill="auto"/>
          </w:tcPr>
          <w:p w14:paraId="3BF1C509" w14:textId="77777777" w:rsidR="009021F1" w:rsidRPr="00000E66" w:rsidRDefault="009021F1" w:rsidP="00E637E3">
            <w:pPr>
              <w:rPr>
                <w:rFonts w:cs="Arial"/>
                <w:szCs w:val="21"/>
                <w:lang w:val="en-US"/>
              </w:rPr>
            </w:pPr>
            <w:r w:rsidRPr="00000E66">
              <w:rPr>
                <w:rFonts w:cs="Arial"/>
                <w:szCs w:val="21"/>
                <w:lang w:val="en-US"/>
              </w:rPr>
              <w:t>10 juin 2020</w:t>
            </w:r>
          </w:p>
        </w:tc>
        <w:tc>
          <w:tcPr>
            <w:tcW w:w="2757" w:type="dxa"/>
            <w:shd w:val="clear" w:color="auto" w:fill="auto"/>
          </w:tcPr>
          <w:p w14:paraId="4520BABE" w14:textId="77777777" w:rsidR="009021F1" w:rsidRPr="00000E66" w:rsidRDefault="009021F1" w:rsidP="00E637E3">
            <w:pPr>
              <w:rPr>
                <w:rFonts w:cs="Arial"/>
                <w:szCs w:val="21"/>
                <w:lang w:val="en-US"/>
              </w:rPr>
            </w:pPr>
            <w:r w:rsidRPr="00000E66">
              <w:rPr>
                <w:rFonts w:cs="Arial"/>
                <w:szCs w:val="21"/>
                <w:lang w:val="en-US"/>
              </w:rPr>
              <w:t>19 personnes</w:t>
            </w:r>
          </w:p>
        </w:tc>
        <w:tc>
          <w:tcPr>
            <w:tcW w:w="2703" w:type="dxa"/>
            <w:shd w:val="clear" w:color="auto" w:fill="auto"/>
          </w:tcPr>
          <w:p w14:paraId="13A8E803" w14:textId="77777777" w:rsidR="009021F1" w:rsidRPr="00000E66" w:rsidRDefault="009021F1" w:rsidP="00E637E3">
            <w:pPr>
              <w:rPr>
                <w:rFonts w:cs="Arial"/>
                <w:szCs w:val="21"/>
                <w:lang w:val="en-US"/>
              </w:rPr>
            </w:pPr>
            <w:r w:rsidRPr="00000E66">
              <w:rPr>
                <w:rFonts w:cs="Arial"/>
                <w:szCs w:val="21"/>
                <w:lang w:val="en-US"/>
              </w:rPr>
              <w:t>RTNC / Tshikapa</w:t>
            </w:r>
          </w:p>
        </w:tc>
      </w:tr>
      <w:tr w:rsidR="009021F1" w:rsidRPr="00000E66" w14:paraId="057D7852" w14:textId="77777777" w:rsidTr="00E637E3">
        <w:tc>
          <w:tcPr>
            <w:tcW w:w="1800" w:type="dxa"/>
            <w:shd w:val="clear" w:color="auto" w:fill="auto"/>
          </w:tcPr>
          <w:p w14:paraId="1FD7C6CE" w14:textId="77777777" w:rsidR="009021F1" w:rsidRPr="00000E66" w:rsidRDefault="009021F1" w:rsidP="00E637E3">
            <w:pPr>
              <w:rPr>
                <w:rFonts w:cs="Arial"/>
                <w:szCs w:val="21"/>
                <w:lang w:val="en-US"/>
              </w:rPr>
            </w:pPr>
            <w:r w:rsidRPr="00000E66">
              <w:rPr>
                <w:rFonts w:cs="Arial"/>
                <w:szCs w:val="21"/>
                <w:lang w:val="en-US"/>
              </w:rPr>
              <w:t>Bandundu - Ville</w:t>
            </w:r>
          </w:p>
        </w:tc>
        <w:tc>
          <w:tcPr>
            <w:tcW w:w="1515" w:type="dxa"/>
            <w:shd w:val="clear" w:color="auto" w:fill="auto"/>
          </w:tcPr>
          <w:p w14:paraId="33F2846F" w14:textId="77777777" w:rsidR="009021F1" w:rsidRPr="00000E66" w:rsidRDefault="009021F1" w:rsidP="00E637E3">
            <w:pPr>
              <w:rPr>
                <w:rFonts w:cs="Arial"/>
                <w:szCs w:val="21"/>
                <w:lang w:val="en-US"/>
              </w:rPr>
            </w:pPr>
            <w:r w:rsidRPr="00000E66">
              <w:rPr>
                <w:rFonts w:cs="Arial"/>
                <w:szCs w:val="21"/>
                <w:lang w:val="en-US"/>
              </w:rPr>
              <w:t>10 juin 2020</w:t>
            </w:r>
          </w:p>
        </w:tc>
        <w:tc>
          <w:tcPr>
            <w:tcW w:w="2757" w:type="dxa"/>
            <w:shd w:val="clear" w:color="auto" w:fill="auto"/>
          </w:tcPr>
          <w:p w14:paraId="79CF679E" w14:textId="77777777" w:rsidR="009021F1" w:rsidRPr="00000E66" w:rsidRDefault="009021F1" w:rsidP="00E637E3">
            <w:pPr>
              <w:rPr>
                <w:rFonts w:cs="Arial"/>
                <w:szCs w:val="21"/>
                <w:lang w:val="en-US"/>
              </w:rPr>
            </w:pPr>
            <w:r w:rsidRPr="00000E66">
              <w:rPr>
                <w:rFonts w:cs="Arial"/>
                <w:szCs w:val="21"/>
                <w:lang w:val="en-US"/>
              </w:rPr>
              <w:t>19 personnes</w:t>
            </w:r>
          </w:p>
        </w:tc>
        <w:tc>
          <w:tcPr>
            <w:tcW w:w="2703" w:type="dxa"/>
            <w:shd w:val="clear" w:color="auto" w:fill="auto"/>
          </w:tcPr>
          <w:p w14:paraId="24C71BAD" w14:textId="77777777" w:rsidR="009021F1" w:rsidRPr="00000E66" w:rsidRDefault="009021F1" w:rsidP="00E637E3">
            <w:pPr>
              <w:rPr>
                <w:rFonts w:cs="Arial"/>
                <w:szCs w:val="21"/>
                <w:lang w:val="en-US"/>
              </w:rPr>
            </w:pPr>
            <w:r w:rsidRPr="00000E66">
              <w:rPr>
                <w:rFonts w:cs="Arial"/>
                <w:szCs w:val="21"/>
                <w:lang w:val="en-US"/>
              </w:rPr>
              <w:t>RTNC / Bandundu-Ville</w:t>
            </w:r>
          </w:p>
        </w:tc>
      </w:tr>
      <w:tr w:rsidR="009021F1" w:rsidRPr="00000E66" w14:paraId="3D96559E" w14:textId="77777777" w:rsidTr="00E637E3">
        <w:tc>
          <w:tcPr>
            <w:tcW w:w="1800" w:type="dxa"/>
            <w:shd w:val="clear" w:color="auto" w:fill="auto"/>
          </w:tcPr>
          <w:p w14:paraId="397D854E" w14:textId="77777777" w:rsidR="009021F1" w:rsidRPr="00000E66" w:rsidRDefault="009021F1" w:rsidP="00E637E3">
            <w:pPr>
              <w:rPr>
                <w:rFonts w:cs="Arial"/>
                <w:szCs w:val="21"/>
                <w:lang w:val="en-US"/>
              </w:rPr>
            </w:pPr>
            <w:r w:rsidRPr="00000E66">
              <w:rPr>
                <w:rFonts w:cs="Arial"/>
                <w:szCs w:val="21"/>
                <w:lang w:val="en-US"/>
              </w:rPr>
              <w:t>Goma</w:t>
            </w:r>
          </w:p>
        </w:tc>
        <w:tc>
          <w:tcPr>
            <w:tcW w:w="1515" w:type="dxa"/>
            <w:shd w:val="clear" w:color="auto" w:fill="auto"/>
          </w:tcPr>
          <w:p w14:paraId="1F6FDEEC" w14:textId="77777777" w:rsidR="009021F1" w:rsidRPr="00000E66" w:rsidRDefault="009021F1" w:rsidP="00E637E3">
            <w:pPr>
              <w:rPr>
                <w:rFonts w:cs="Arial"/>
                <w:szCs w:val="21"/>
                <w:lang w:val="en-US"/>
              </w:rPr>
            </w:pPr>
            <w:r w:rsidRPr="00000E66">
              <w:rPr>
                <w:rFonts w:cs="Arial"/>
                <w:szCs w:val="21"/>
                <w:lang w:val="en-US"/>
              </w:rPr>
              <w:t>17 juin 2020</w:t>
            </w:r>
          </w:p>
        </w:tc>
        <w:tc>
          <w:tcPr>
            <w:tcW w:w="2757" w:type="dxa"/>
            <w:shd w:val="clear" w:color="auto" w:fill="auto"/>
          </w:tcPr>
          <w:p w14:paraId="21C7D88E" w14:textId="77777777" w:rsidR="009021F1" w:rsidRPr="00000E66" w:rsidRDefault="009021F1" w:rsidP="00E637E3">
            <w:pPr>
              <w:rPr>
                <w:rFonts w:cs="Arial"/>
                <w:szCs w:val="21"/>
                <w:lang w:val="en-US"/>
              </w:rPr>
            </w:pPr>
            <w:r w:rsidRPr="00000E66">
              <w:rPr>
                <w:rFonts w:cs="Arial"/>
                <w:szCs w:val="21"/>
                <w:lang w:val="en-US"/>
              </w:rPr>
              <w:t>22 participants</w:t>
            </w:r>
          </w:p>
        </w:tc>
        <w:tc>
          <w:tcPr>
            <w:tcW w:w="2703" w:type="dxa"/>
            <w:shd w:val="clear" w:color="auto" w:fill="auto"/>
          </w:tcPr>
          <w:p w14:paraId="0ACB8ABE" w14:textId="77777777" w:rsidR="009021F1" w:rsidRPr="00000E66" w:rsidRDefault="009021F1" w:rsidP="00E637E3">
            <w:pPr>
              <w:rPr>
                <w:rFonts w:cs="Arial"/>
                <w:szCs w:val="21"/>
                <w:lang w:val="en-US"/>
              </w:rPr>
            </w:pPr>
            <w:r w:rsidRPr="00000E66">
              <w:rPr>
                <w:rFonts w:cs="Arial"/>
                <w:szCs w:val="21"/>
                <w:lang w:val="en-US"/>
              </w:rPr>
              <w:t>RTNC / Goma et RTEM</w:t>
            </w:r>
          </w:p>
        </w:tc>
      </w:tr>
      <w:tr w:rsidR="009021F1" w:rsidRPr="00000E66" w14:paraId="674FD140" w14:textId="77777777" w:rsidTr="00E637E3">
        <w:tc>
          <w:tcPr>
            <w:tcW w:w="3315" w:type="dxa"/>
            <w:gridSpan w:val="2"/>
            <w:shd w:val="clear" w:color="auto" w:fill="auto"/>
          </w:tcPr>
          <w:p w14:paraId="4B5F69E3" w14:textId="77777777" w:rsidR="009021F1" w:rsidRPr="00000E66" w:rsidRDefault="009021F1" w:rsidP="00E637E3">
            <w:pPr>
              <w:jc w:val="center"/>
              <w:rPr>
                <w:rFonts w:cs="Arial"/>
                <w:szCs w:val="21"/>
                <w:lang w:val="en-US"/>
              </w:rPr>
            </w:pPr>
            <w:r w:rsidRPr="00000E66">
              <w:rPr>
                <w:rFonts w:cs="Arial"/>
                <w:szCs w:val="21"/>
                <w:lang w:val="en-US"/>
              </w:rPr>
              <w:t>Total</w:t>
            </w:r>
          </w:p>
        </w:tc>
        <w:tc>
          <w:tcPr>
            <w:tcW w:w="2757" w:type="dxa"/>
            <w:shd w:val="clear" w:color="auto" w:fill="auto"/>
          </w:tcPr>
          <w:p w14:paraId="266DFAFD" w14:textId="77777777" w:rsidR="009021F1" w:rsidRPr="00000E66" w:rsidRDefault="009021F1" w:rsidP="00E637E3">
            <w:pPr>
              <w:rPr>
                <w:rFonts w:cs="Arial"/>
                <w:szCs w:val="21"/>
                <w:lang w:val="en-US"/>
              </w:rPr>
            </w:pPr>
            <w:r w:rsidRPr="00000E66">
              <w:rPr>
                <w:rFonts w:cs="Arial"/>
                <w:szCs w:val="21"/>
                <w:lang w:val="en-US"/>
              </w:rPr>
              <w:t>98 participants</w:t>
            </w:r>
          </w:p>
        </w:tc>
        <w:tc>
          <w:tcPr>
            <w:tcW w:w="2703" w:type="dxa"/>
            <w:shd w:val="clear" w:color="auto" w:fill="auto"/>
          </w:tcPr>
          <w:p w14:paraId="6442875C" w14:textId="77777777" w:rsidR="009021F1" w:rsidRPr="00000E66" w:rsidRDefault="009021F1" w:rsidP="00E637E3">
            <w:pPr>
              <w:rPr>
                <w:rFonts w:cs="Arial"/>
                <w:szCs w:val="21"/>
                <w:lang w:val="en-US"/>
              </w:rPr>
            </w:pPr>
          </w:p>
        </w:tc>
      </w:tr>
    </w:tbl>
    <w:p w14:paraId="7C1B759D" w14:textId="77777777" w:rsidR="009021F1" w:rsidRPr="00000E66" w:rsidRDefault="009021F1" w:rsidP="009021F1">
      <w:pPr>
        <w:rPr>
          <w:rFonts w:cs="Arial"/>
          <w:szCs w:val="21"/>
          <w:highlight w:val="cyan"/>
        </w:rPr>
      </w:pPr>
    </w:p>
    <w:p w14:paraId="447C016B" w14:textId="77777777" w:rsidR="009021F1" w:rsidRPr="00000E66" w:rsidRDefault="009021F1" w:rsidP="009021F1">
      <w:pPr>
        <w:ind w:left="567" w:hanging="567"/>
        <w:rPr>
          <w:rFonts w:cs="Arial"/>
          <w:szCs w:val="21"/>
        </w:rPr>
      </w:pPr>
      <w:r w:rsidRPr="00000E66">
        <w:rPr>
          <w:rFonts w:cs="Arial"/>
          <w:szCs w:val="21"/>
        </w:rPr>
        <w:t>N.B : Les consultations du public ont été menées pendant la période de confinement due à la situation de COVID-19 et ce, sur toute l’étendue de la République Démocratique du Congo. Les déplacements des personnes à l’intérieur du pays étaient interdits et le nombre des participants dans ces réunions était très limité et réduit à 20 personnes suivant les instructions du Gouvernement. Il n’était pas possible d’organiser des réunions spécifiques avec les femmes. Toutefois, quelques femmes représentantes des organisations féminines paysannes ont participé aux consultations du public restreintes tenues dans les chefs-lieux des cinq (5) Provinces concernées par le PNDA et ce,  avec les différentes parties prenantes au Projet.</w:t>
      </w:r>
    </w:p>
    <w:p w14:paraId="644F4999" w14:textId="77777777" w:rsidR="009021F1" w:rsidRPr="00000E66" w:rsidRDefault="009021F1" w:rsidP="009021F1">
      <w:pPr>
        <w:rPr>
          <w:rFonts w:cs="Arial"/>
          <w:szCs w:val="21"/>
          <w:highlight w:val="cyan"/>
        </w:rPr>
      </w:pPr>
    </w:p>
    <w:p w14:paraId="50C769B8" w14:textId="77777777" w:rsidR="009021F1" w:rsidRPr="00000E66" w:rsidRDefault="009021F1" w:rsidP="009021F1">
      <w:pPr>
        <w:pStyle w:val="Titre2"/>
        <w:numPr>
          <w:ilvl w:val="2"/>
          <w:numId w:val="4"/>
        </w:numPr>
        <w:ind w:left="1560" w:hanging="709"/>
        <w:rPr>
          <w:rFonts w:cs="Arial"/>
          <w:i/>
          <w:szCs w:val="21"/>
        </w:rPr>
      </w:pPr>
      <w:bookmarkStart w:id="457" w:name="_Toc90471563"/>
      <w:r w:rsidRPr="00000E66">
        <w:rPr>
          <w:rFonts w:cs="Arial"/>
          <w:i/>
          <w:szCs w:val="21"/>
        </w:rPr>
        <w:t>Thématiques ou points discutés</w:t>
      </w:r>
      <w:bookmarkEnd w:id="457"/>
      <w:r w:rsidRPr="00000E66">
        <w:rPr>
          <w:rFonts w:cs="Arial"/>
          <w:i/>
          <w:szCs w:val="21"/>
        </w:rPr>
        <w:t xml:space="preserve"> </w:t>
      </w:r>
    </w:p>
    <w:p w14:paraId="0D2F8A58" w14:textId="77777777" w:rsidR="009021F1" w:rsidRPr="00000E66" w:rsidRDefault="009021F1" w:rsidP="009021F1">
      <w:pPr>
        <w:rPr>
          <w:rFonts w:cs="Arial"/>
          <w:szCs w:val="21"/>
        </w:rPr>
      </w:pPr>
    </w:p>
    <w:p w14:paraId="73DB04EB" w14:textId="77777777" w:rsidR="009021F1" w:rsidRPr="00000E66" w:rsidRDefault="009021F1" w:rsidP="009021F1">
      <w:pPr>
        <w:rPr>
          <w:rFonts w:cs="Arial"/>
          <w:szCs w:val="21"/>
        </w:rPr>
      </w:pPr>
      <w:r w:rsidRPr="00000E66">
        <w:rPr>
          <w:rFonts w:cs="Arial"/>
          <w:szCs w:val="21"/>
        </w:rPr>
        <w:t>Pour recueillir les avis du public vis-à-vis du Projet, les thématiques ou points ci-après ont été abordés et discutés avec les acteurs après présentation du Projet par le Consultant :</w:t>
      </w:r>
    </w:p>
    <w:p w14:paraId="345898FE" w14:textId="77777777" w:rsidR="009021F1" w:rsidRPr="00000E66" w:rsidRDefault="009021F1" w:rsidP="009021F1">
      <w:pPr>
        <w:rPr>
          <w:rFonts w:cs="Arial"/>
          <w:szCs w:val="21"/>
        </w:rPr>
      </w:pPr>
    </w:p>
    <w:p w14:paraId="45F21839" w14:textId="77777777" w:rsidR="009021F1" w:rsidRPr="00000E66" w:rsidRDefault="009021F1" w:rsidP="009021F1">
      <w:pPr>
        <w:numPr>
          <w:ilvl w:val="0"/>
          <w:numId w:val="56"/>
        </w:numPr>
        <w:rPr>
          <w:szCs w:val="21"/>
        </w:rPr>
      </w:pPr>
      <w:r w:rsidRPr="00000E66">
        <w:rPr>
          <w:szCs w:val="21"/>
        </w:rPr>
        <w:t>La perception du PNDA ;</w:t>
      </w:r>
    </w:p>
    <w:p w14:paraId="73981546" w14:textId="77777777" w:rsidR="009021F1" w:rsidRPr="00000E66" w:rsidRDefault="009021F1" w:rsidP="009021F1">
      <w:pPr>
        <w:numPr>
          <w:ilvl w:val="0"/>
          <w:numId w:val="56"/>
        </w:numPr>
        <w:rPr>
          <w:szCs w:val="21"/>
        </w:rPr>
      </w:pPr>
      <w:r w:rsidRPr="00000E66">
        <w:rPr>
          <w:szCs w:val="21"/>
        </w:rPr>
        <w:t>Les contraintes environnementales et sociales majeures dans les Provinces ciblées du programme ;</w:t>
      </w:r>
    </w:p>
    <w:p w14:paraId="2C752514" w14:textId="77777777" w:rsidR="009021F1" w:rsidRPr="00000E66" w:rsidRDefault="009021F1" w:rsidP="009021F1">
      <w:pPr>
        <w:numPr>
          <w:ilvl w:val="0"/>
          <w:numId w:val="56"/>
        </w:numPr>
        <w:rPr>
          <w:szCs w:val="21"/>
        </w:rPr>
      </w:pPr>
      <w:r w:rsidRPr="00000E66">
        <w:rPr>
          <w:szCs w:val="21"/>
        </w:rPr>
        <w:t>La date de démarrage du Programme ;</w:t>
      </w:r>
    </w:p>
    <w:p w14:paraId="251C337A" w14:textId="77777777" w:rsidR="009021F1" w:rsidRPr="00000E66" w:rsidRDefault="009021F1" w:rsidP="009021F1">
      <w:pPr>
        <w:numPr>
          <w:ilvl w:val="0"/>
          <w:numId w:val="56"/>
        </w:numPr>
        <w:rPr>
          <w:szCs w:val="21"/>
        </w:rPr>
      </w:pPr>
      <w:r w:rsidRPr="00000E66">
        <w:rPr>
          <w:szCs w:val="21"/>
        </w:rPr>
        <w:t>La durée du Programme ;</w:t>
      </w:r>
    </w:p>
    <w:p w14:paraId="45EFA689" w14:textId="77777777" w:rsidR="009021F1" w:rsidRPr="00000E66" w:rsidRDefault="009021F1" w:rsidP="009021F1">
      <w:pPr>
        <w:numPr>
          <w:ilvl w:val="0"/>
          <w:numId w:val="56"/>
        </w:numPr>
        <w:rPr>
          <w:szCs w:val="21"/>
        </w:rPr>
      </w:pPr>
      <w:r w:rsidRPr="00000E66">
        <w:rPr>
          <w:szCs w:val="21"/>
        </w:rPr>
        <w:t>Les conditions du travail ;</w:t>
      </w:r>
    </w:p>
    <w:p w14:paraId="15D4C018" w14:textId="77777777" w:rsidR="009021F1" w:rsidRPr="00000E66" w:rsidRDefault="009021F1" w:rsidP="009021F1">
      <w:pPr>
        <w:numPr>
          <w:ilvl w:val="0"/>
          <w:numId w:val="56"/>
        </w:numPr>
        <w:rPr>
          <w:szCs w:val="21"/>
        </w:rPr>
      </w:pPr>
      <w:r w:rsidRPr="00000E66">
        <w:rPr>
          <w:szCs w:val="21"/>
        </w:rPr>
        <w:t>La mobilisation des parties prenantes au Programme ;</w:t>
      </w:r>
    </w:p>
    <w:p w14:paraId="1DDA28E5" w14:textId="77777777" w:rsidR="009021F1" w:rsidRPr="00000E66" w:rsidRDefault="009021F1" w:rsidP="009021F1">
      <w:pPr>
        <w:numPr>
          <w:ilvl w:val="0"/>
          <w:numId w:val="56"/>
        </w:numPr>
        <w:rPr>
          <w:szCs w:val="21"/>
        </w:rPr>
      </w:pPr>
      <w:r w:rsidRPr="00000E66">
        <w:rPr>
          <w:szCs w:val="21"/>
        </w:rPr>
        <w:t>Le recrutement de la main-d’œuvre locale ;</w:t>
      </w:r>
    </w:p>
    <w:p w14:paraId="555F9A4E" w14:textId="77777777" w:rsidR="009021F1" w:rsidRPr="00000E66" w:rsidRDefault="009021F1" w:rsidP="009021F1">
      <w:pPr>
        <w:numPr>
          <w:ilvl w:val="0"/>
          <w:numId w:val="56"/>
        </w:numPr>
        <w:rPr>
          <w:szCs w:val="21"/>
        </w:rPr>
      </w:pPr>
      <w:r w:rsidRPr="00000E66">
        <w:rPr>
          <w:szCs w:val="21"/>
        </w:rPr>
        <w:t>Les impacts positifs et négatifs du Projet sur l’environnement et le social ;</w:t>
      </w:r>
    </w:p>
    <w:p w14:paraId="4FAF7641" w14:textId="77777777" w:rsidR="009021F1" w:rsidRPr="00000E66" w:rsidRDefault="009021F1" w:rsidP="009021F1">
      <w:pPr>
        <w:numPr>
          <w:ilvl w:val="0"/>
          <w:numId w:val="56"/>
        </w:numPr>
        <w:rPr>
          <w:szCs w:val="21"/>
        </w:rPr>
      </w:pPr>
      <w:r w:rsidRPr="00000E66">
        <w:rPr>
          <w:szCs w:val="21"/>
        </w:rPr>
        <w:t>Les expériences antérieures de mise en œuvre et de suivi des projets similaires ;</w:t>
      </w:r>
    </w:p>
    <w:p w14:paraId="1958863D" w14:textId="77777777" w:rsidR="009021F1" w:rsidRPr="00000E66" w:rsidRDefault="009021F1" w:rsidP="009021F1">
      <w:pPr>
        <w:numPr>
          <w:ilvl w:val="0"/>
          <w:numId w:val="56"/>
        </w:numPr>
        <w:rPr>
          <w:szCs w:val="21"/>
        </w:rPr>
      </w:pPr>
      <w:r w:rsidRPr="00000E66">
        <w:rPr>
          <w:szCs w:val="21"/>
        </w:rPr>
        <w:t>La production animale (fermier) ;</w:t>
      </w:r>
    </w:p>
    <w:p w14:paraId="742297D7" w14:textId="77777777" w:rsidR="009021F1" w:rsidRPr="00000E66" w:rsidRDefault="009021F1" w:rsidP="009021F1">
      <w:pPr>
        <w:numPr>
          <w:ilvl w:val="0"/>
          <w:numId w:val="56"/>
        </w:numPr>
        <w:rPr>
          <w:szCs w:val="21"/>
        </w:rPr>
      </w:pPr>
      <w:r w:rsidRPr="00000E66">
        <w:rPr>
          <w:szCs w:val="21"/>
        </w:rPr>
        <w:t>La distribution des semences agricoles aux petits exploitants ;</w:t>
      </w:r>
    </w:p>
    <w:p w14:paraId="6E281075" w14:textId="77777777" w:rsidR="009021F1" w:rsidRPr="00000E66" w:rsidRDefault="009021F1" w:rsidP="009021F1">
      <w:pPr>
        <w:numPr>
          <w:ilvl w:val="0"/>
          <w:numId w:val="56"/>
        </w:numPr>
        <w:rPr>
          <w:szCs w:val="21"/>
        </w:rPr>
      </w:pPr>
      <w:r w:rsidRPr="00000E66">
        <w:rPr>
          <w:szCs w:val="21"/>
        </w:rPr>
        <w:t>La distribution des intrants agricoles aux petits exploitants ;</w:t>
      </w:r>
    </w:p>
    <w:p w14:paraId="120C545D" w14:textId="77777777" w:rsidR="009021F1" w:rsidRPr="00000E66" w:rsidRDefault="009021F1" w:rsidP="009021F1">
      <w:pPr>
        <w:numPr>
          <w:ilvl w:val="0"/>
          <w:numId w:val="56"/>
        </w:numPr>
        <w:rPr>
          <w:szCs w:val="21"/>
        </w:rPr>
      </w:pPr>
      <w:r w:rsidRPr="00000E66">
        <w:rPr>
          <w:szCs w:val="21"/>
        </w:rPr>
        <w:t>La réhabilitation des routes rurales ;</w:t>
      </w:r>
    </w:p>
    <w:p w14:paraId="7E0D3100" w14:textId="77777777" w:rsidR="009021F1" w:rsidRPr="00000E66" w:rsidRDefault="009021F1" w:rsidP="009021F1">
      <w:pPr>
        <w:numPr>
          <w:ilvl w:val="0"/>
          <w:numId w:val="56"/>
        </w:numPr>
        <w:rPr>
          <w:szCs w:val="21"/>
        </w:rPr>
      </w:pPr>
      <w:r w:rsidRPr="00000E66">
        <w:rPr>
          <w:szCs w:val="21"/>
        </w:rPr>
        <w:t>La question foncière ;</w:t>
      </w:r>
    </w:p>
    <w:p w14:paraId="5B1DB633" w14:textId="77777777" w:rsidR="009021F1" w:rsidRPr="00000E66" w:rsidRDefault="009021F1" w:rsidP="009021F1">
      <w:pPr>
        <w:numPr>
          <w:ilvl w:val="0"/>
          <w:numId w:val="56"/>
        </w:numPr>
        <w:rPr>
          <w:szCs w:val="21"/>
        </w:rPr>
      </w:pPr>
      <w:r w:rsidRPr="00000E66">
        <w:rPr>
          <w:szCs w:val="21"/>
        </w:rPr>
        <w:t>La question liée aux populations autochtones ;</w:t>
      </w:r>
    </w:p>
    <w:p w14:paraId="1DE39D45" w14:textId="77777777" w:rsidR="009021F1" w:rsidRPr="00000E66" w:rsidRDefault="009021F1" w:rsidP="009021F1">
      <w:pPr>
        <w:numPr>
          <w:ilvl w:val="0"/>
          <w:numId w:val="56"/>
        </w:numPr>
        <w:rPr>
          <w:szCs w:val="21"/>
        </w:rPr>
      </w:pPr>
      <w:r w:rsidRPr="00000E66">
        <w:rPr>
          <w:szCs w:val="21"/>
        </w:rPr>
        <w:t>Les mécanismes locaux de résolution des conflits ;</w:t>
      </w:r>
    </w:p>
    <w:p w14:paraId="40151245" w14:textId="77777777" w:rsidR="009021F1" w:rsidRPr="00000E66" w:rsidRDefault="009021F1" w:rsidP="009021F1">
      <w:pPr>
        <w:numPr>
          <w:ilvl w:val="0"/>
          <w:numId w:val="56"/>
        </w:numPr>
        <w:rPr>
          <w:szCs w:val="21"/>
        </w:rPr>
      </w:pPr>
      <w:r w:rsidRPr="00000E66">
        <w:rPr>
          <w:szCs w:val="21"/>
        </w:rPr>
        <w:t>La participation et l’implication des ONG locales y compris les femmes et des populations ;</w:t>
      </w:r>
    </w:p>
    <w:p w14:paraId="036AAF5F" w14:textId="77777777" w:rsidR="009021F1" w:rsidRPr="00000E66" w:rsidRDefault="009021F1" w:rsidP="009021F1">
      <w:pPr>
        <w:numPr>
          <w:ilvl w:val="0"/>
          <w:numId w:val="56"/>
        </w:numPr>
        <w:rPr>
          <w:szCs w:val="21"/>
        </w:rPr>
      </w:pPr>
      <w:r w:rsidRPr="00000E66">
        <w:rPr>
          <w:szCs w:val="21"/>
        </w:rPr>
        <w:t>Les personnes vulnérables ;</w:t>
      </w:r>
    </w:p>
    <w:p w14:paraId="2ED67BDF" w14:textId="77777777" w:rsidR="009021F1" w:rsidRPr="00000E66" w:rsidRDefault="009021F1" w:rsidP="009021F1">
      <w:pPr>
        <w:numPr>
          <w:ilvl w:val="0"/>
          <w:numId w:val="56"/>
        </w:numPr>
        <w:rPr>
          <w:szCs w:val="21"/>
        </w:rPr>
      </w:pPr>
      <w:r w:rsidRPr="00000E66">
        <w:rPr>
          <w:szCs w:val="21"/>
        </w:rPr>
        <w:t>Les risques de VBG/EAS/HS ;</w:t>
      </w:r>
    </w:p>
    <w:p w14:paraId="755AE1DD" w14:textId="77777777" w:rsidR="009021F1" w:rsidRPr="00000E66" w:rsidRDefault="009021F1" w:rsidP="009021F1">
      <w:pPr>
        <w:numPr>
          <w:ilvl w:val="0"/>
          <w:numId w:val="56"/>
        </w:numPr>
        <w:rPr>
          <w:szCs w:val="21"/>
        </w:rPr>
      </w:pPr>
      <w:r w:rsidRPr="00000E66">
        <w:rPr>
          <w:szCs w:val="21"/>
        </w:rPr>
        <w:t>Les préoccupations et craintes vis-à-vis du Projet ;</w:t>
      </w:r>
    </w:p>
    <w:p w14:paraId="3A97E2E8" w14:textId="77777777" w:rsidR="009021F1" w:rsidRPr="00000E66" w:rsidRDefault="009021F1" w:rsidP="009021F1">
      <w:pPr>
        <w:numPr>
          <w:ilvl w:val="0"/>
          <w:numId w:val="56"/>
        </w:numPr>
        <w:rPr>
          <w:rFonts w:cs="Arial"/>
          <w:szCs w:val="21"/>
          <w:lang w:val="fr-CA"/>
        </w:rPr>
      </w:pPr>
      <w:r w:rsidRPr="00000E66">
        <w:rPr>
          <w:szCs w:val="21"/>
        </w:rPr>
        <w:t>Les suggestions et recommandations à l’endroit du Projet</w:t>
      </w:r>
      <w:r w:rsidRPr="00000E66">
        <w:rPr>
          <w:rFonts w:cs="Arial"/>
          <w:szCs w:val="21"/>
          <w:lang w:val="fr-CA"/>
        </w:rPr>
        <w:t>.</w:t>
      </w:r>
    </w:p>
    <w:p w14:paraId="6FE8AF6D" w14:textId="77777777" w:rsidR="009021F1" w:rsidRPr="00000E66" w:rsidRDefault="009021F1" w:rsidP="009021F1">
      <w:pPr>
        <w:ind w:left="360"/>
        <w:rPr>
          <w:rFonts w:cs="Arial"/>
          <w:szCs w:val="21"/>
          <w:lang w:val="fr-CA"/>
        </w:rPr>
      </w:pPr>
    </w:p>
    <w:p w14:paraId="4C9EDDEF" w14:textId="77777777" w:rsidR="009021F1" w:rsidRPr="00000E66" w:rsidRDefault="009021F1" w:rsidP="009021F1">
      <w:pPr>
        <w:pStyle w:val="Titre2"/>
        <w:numPr>
          <w:ilvl w:val="2"/>
          <w:numId w:val="4"/>
        </w:numPr>
        <w:ind w:left="1560" w:hanging="709"/>
        <w:rPr>
          <w:rFonts w:cs="Arial"/>
          <w:i/>
          <w:szCs w:val="21"/>
        </w:rPr>
      </w:pPr>
      <w:bookmarkStart w:id="458" w:name="_Toc90471564"/>
      <w:r w:rsidRPr="00000E66">
        <w:rPr>
          <w:rFonts w:cs="Arial"/>
          <w:i/>
          <w:szCs w:val="21"/>
        </w:rPr>
        <w:t>Résultats des consultations avec les services techniques de l’État</w:t>
      </w:r>
      <w:bookmarkEnd w:id="458"/>
    </w:p>
    <w:p w14:paraId="05B5050D" w14:textId="77777777" w:rsidR="009021F1" w:rsidRPr="00000E66" w:rsidRDefault="009021F1" w:rsidP="009021F1">
      <w:pPr>
        <w:rPr>
          <w:szCs w:val="21"/>
        </w:rPr>
      </w:pPr>
    </w:p>
    <w:p w14:paraId="0C8F746E" w14:textId="77777777" w:rsidR="009021F1" w:rsidRPr="00000E66" w:rsidRDefault="009021F1" w:rsidP="009021F1">
      <w:pPr>
        <w:numPr>
          <w:ilvl w:val="0"/>
          <w:numId w:val="56"/>
        </w:numPr>
        <w:rPr>
          <w:szCs w:val="21"/>
        </w:rPr>
      </w:pPr>
      <w:r w:rsidRPr="00000E66">
        <w:rPr>
          <w:szCs w:val="21"/>
          <w:u w:val="single"/>
        </w:rPr>
        <w:t>Appréciation du Projet</w:t>
      </w:r>
      <w:r w:rsidRPr="00000E66">
        <w:rPr>
          <w:szCs w:val="21"/>
        </w:rPr>
        <w:t xml:space="preserve"> : Le Projet vient à son heure et contribuera à l’amélioration des produits agricoles, amélioration des conditions économiques des petits exploitants agricoles, à la réhabilitation des routes rurales et autres infrastructures telles que les marchés et abattoirs, etc. </w:t>
      </w:r>
    </w:p>
    <w:p w14:paraId="767255FB" w14:textId="77777777" w:rsidR="009021F1" w:rsidRPr="00000E66" w:rsidRDefault="009021F1" w:rsidP="009021F1">
      <w:pPr>
        <w:numPr>
          <w:ilvl w:val="0"/>
          <w:numId w:val="56"/>
        </w:numPr>
        <w:rPr>
          <w:szCs w:val="21"/>
        </w:rPr>
      </w:pPr>
      <w:r w:rsidRPr="00000E66">
        <w:rPr>
          <w:szCs w:val="21"/>
          <w:u w:val="single"/>
        </w:rPr>
        <w:t>Contraintes identifiées</w:t>
      </w:r>
      <w:r w:rsidRPr="00000E66">
        <w:rPr>
          <w:szCs w:val="21"/>
        </w:rPr>
        <w:t> : Érosion dans les Villes de Kananga, Tshikapa, Kikwit, affectation des populations autochtones et bantoues, et de leurs biens par les activités du PNDA. La situation de l’insécurité qui prévaut dans la Province du Nord-Kivu, les VBG occasionnées par les conflits armés, la situation de la pandémie de COVID-19 et celle du Virus Ebola ;</w:t>
      </w:r>
    </w:p>
    <w:p w14:paraId="1B597CF7" w14:textId="77777777" w:rsidR="009021F1" w:rsidRPr="00000E66" w:rsidRDefault="009021F1" w:rsidP="009021F1">
      <w:pPr>
        <w:numPr>
          <w:ilvl w:val="0"/>
          <w:numId w:val="56"/>
        </w:numPr>
        <w:rPr>
          <w:szCs w:val="21"/>
        </w:rPr>
      </w:pPr>
      <w:r w:rsidRPr="00000E66">
        <w:rPr>
          <w:szCs w:val="21"/>
          <w:u w:val="single"/>
        </w:rPr>
        <w:t>Recommandations </w:t>
      </w:r>
      <w:r w:rsidRPr="00000E66">
        <w:rPr>
          <w:szCs w:val="21"/>
        </w:rPr>
        <w:t>: Mettre à profits les différents plans et stratégies de gestion ; Implication de différents services techniques de l’État concernés dans la préparation, la mise en œuvre et le suivi, Sensibilisation des populations.</w:t>
      </w:r>
    </w:p>
    <w:p w14:paraId="531BD018" w14:textId="77777777" w:rsidR="009021F1" w:rsidRPr="00000E66" w:rsidRDefault="009021F1" w:rsidP="009021F1">
      <w:pPr>
        <w:ind w:left="360"/>
        <w:rPr>
          <w:rFonts w:cs="Arial"/>
          <w:szCs w:val="21"/>
        </w:rPr>
      </w:pPr>
    </w:p>
    <w:p w14:paraId="6D0B03AE" w14:textId="77777777" w:rsidR="009021F1" w:rsidRPr="00000E66" w:rsidRDefault="009021F1" w:rsidP="009021F1">
      <w:pPr>
        <w:pStyle w:val="Titre2"/>
        <w:numPr>
          <w:ilvl w:val="2"/>
          <w:numId w:val="4"/>
        </w:numPr>
        <w:ind w:left="1560" w:hanging="709"/>
        <w:rPr>
          <w:rFonts w:cs="Arial"/>
          <w:i/>
          <w:szCs w:val="21"/>
        </w:rPr>
      </w:pPr>
      <w:bookmarkStart w:id="459" w:name="_Toc90471565"/>
      <w:r w:rsidRPr="00000E66">
        <w:rPr>
          <w:rFonts w:cs="Arial"/>
          <w:i/>
          <w:szCs w:val="21"/>
        </w:rPr>
        <w:t>Résultats des consultations avec les Provinces</w:t>
      </w:r>
      <w:bookmarkEnd w:id="459"/>
    </w:p>
    <w:p w14:paraId="5A9917AE" w14:textId="77777777" w:rsidR="009021F1" w:rsidRPr="00000E66" w:rsidRDefault="009021F1" w:rsidP="009021F1">
      <w:pPr>
        <w:rPr>
          <w:szCs w:val="21"/>
        </w:rPr>
      </w:pPr>
    </w:p>
    <w:p w14:paraId="3E2E5696" w14:textId="77777777" w:rsidR="009021F1" w:rsidRPr="00000E66" w:rsidRDefault="009021F1" w:rsidP="009021F1">
      <w:pPr>
        <w:rPr>
          <w:rFonts w:cs="Arial"/>
          <w:i/>
          <w:szCs w:val="21"/>
        </w:rPr>
      </w:pPr>
      <w:r w:rsidRPr="00000E66">
        <w:rPr>
          <w:rFonts w:cs="Arial"/>
          <w:i/>
          <w:szCs w:val="21"/>
        </w:rPr>
        <w:t>Perception du Projet</w:t>
      </w:r>
    </w:p>
    <w:p w14:paraId="12BC934F" w14:textId="77777777" w:rsidR="009021F1" w:rsidRPr="00000E66" w:rsidRDefault="009021F1" w:rsidP="009021F1">
      <w:pPr>
        <w:rPr>
          <w:rFonts w:cs="Arial"/>
          <w:i/>
          <w:szCs w:val="21"/>
        </w:rPr>
      </w:pPr>
    </w:p>
    <w:p w14:paraId="676BF6DE" w14:textId="77777777" w:rsidR="009021F1" w:rsidRPr="00000E66" w:rsidRDefault="009021F1" w:rsidP="009021F1">
      <w:pPr>
        <w:rPr>
          <w:rFonts w:cs="Arial"/>
          <w:szCs w:val="21"/>
        </w:rPr>
      </w:pPr>
      <w:r w:rsidRPr="00000E66">
        <w:rPr>
          <w:rFonts w:cs="Arial"/>
          <w:szCs w:val="21"/>
        </w:rPr>
        <w:t xml:space="preserve">Les différentes parties prenantes rencontrées (acteurs institutionnels, les autorités politico-administratives locales (les Gouverneurs et Maires des Villes des Provinces ciblées) Associations de la Société Civile, Associations des femmes, leaders d’opinions représentants des populations locales, les populations autochtones, les personnes vulnérables, les déplacés des guerres, etc.) ont unanimement apprécié le programme et l'approche participative qui est mise en œuvre. Le programme est le bienvenu car il va impulser la production agricole dans les cinq Provinces ciblées par le PNDA. </w:t>
      </w:r>
    </w:p>
    <w:p w14:paraId="33EA9331" w14:textId="77777777" w:rsidR="009021F1" w:rsidRPr="00000E66" w:rsidRDefault="009021F1" w:rsidP="009021F1">
      <w:pPr>
        <w:rPr>
          <w:rFonts w:cs="Arial"/>
          <w:szCs w:val="21"/>
        </w:rPr>
      </w:pPr>
    </w:p>
    <w:p w14:paraId="491D91E5" w14:textId="77777777" w:rsidR="009021F1" w:rsidRPr="00000E66" w:rsidRDefault="009021F1" w:rsidP="009021F1">
      <w:pPr>
        <w:rPr>
          <w:rFonts w:cs="Arial"/>
          <w:i/>
          <w:szCs w:val="21"/>
        </w:rPr>
      </w:pPr>
      <w:r w:rsidRPr="00000E66">
        <w:rPr>
          <w:rFonts w:cs="Arial"/>
          <w:i/>
          <w:szCs w:val="21"/>
        </w:rPr>
        <w:t>Préoccupations et craintes par rapport au programme</w:t>
      </w:r>
    </w:p>
    <w:p w14:paraId="0E72E8E5" w14:textId="77777777" w:rsidR="009021F1" w:rsidRPr="00000E66" w:rsidRDefault="009021F1" w:rsidP="009021F1">
      <w:pPr>
        <w:rPr>
          <w:rFonts w:cs="Arial"/>
          <w:szCs w:val="21"/>
        </w:rPr>
      </w:pPr>
    </w:p>
    <w:p w14:paraId="695D3F7A" w14:textId="77777777" w:rsidR="009021F1" w:rsidRPr="00000E66" w:rsidRDefault="009021F1" w:rsidP="009021F1">
      <w:pPr>
        <w:rPr>
          <w:rFonts w:cs="Arial"/>
          <w:szCs w:val="21"/>
        </w:rPr>
      </w:pPr>
      <w:r w:rsidRPr="00000E66">
        <w:rPr>
          <w:rFonts w:cs="Arial"/>
          <w:szCs w:val="21"/>
        </w:rPr>
        <w:t>Toutefois, des craintes, inquiétudes et préoccupations ont été formulées comme indiqué ci-dessous :</w:t>
      </w:r>
    </w:p>
    <w:p w14:paraId="3959248E" w14:textId="77777777" w:rsidR="009021F1" w:rsidRPr="00000E66" w:rsidRDefault="009021F1" w:rsidP="009021F1">
      <w:pPr>
        <w:rPr>
          <w:rFonts w:cs="Arial"/>
          <w:szCs w:val="21"/>
        </w:rPr>
      </w:pPr>
    </w:p>
    <w:p w14:paraId="2BDC3161" w14:textId="77777777" w:rsidR="009021F1" w:rsidRPr="00000E66" w:rsidRDefault="009021F1" w:rsidP="009021F1">
      <w:pPr>
        <w:numPr>
          <w:ilvl w:val="0"/>
          <w:numId w:val="56"/>
        </w:numPr>
        <w:rPr>
          <w:szCs w:val="21"/>
        </w:rPr>
      </w:pPr>
      <w:r w:rsidRPr="00000E66">
        <w:rPr>
          <w:szCs w:val="21"/>
        </w:rPr>
        <w:t>Les populations ayant leurs actifs agricoles et autres dans les emprises du Projet ;</w:t>
      </w:r>
    </w:p>
    <w:p w14:paraId="395F2F41" w14:textId="77777777" w:rsidR="009021F1" w:rsidRPr="00000E66" w:rsidRDefault="009021F1" w:rsidP="009021F1">
      <w:pPr>
        <w:numPr>
          <w:ilvl w:val="0"/>
          <w:numId w:val="56"/>
        </w:numPr>
        <w:rPr>
          <w:szCs w:val="21"/>
        </w:rPr>
      </w:pPr>
      <w:r w:rsidRPr="00000E66">
        <w:rPr>
          <w:szCs w:val="21"/>
        </w:rPr>
        <w:t>Le non recrutement de la population locale pendant l’exécution des routes rurales, travaux d’irrigation et de construction des infrastructures communautaires ;</w:t>
      </w:r>
    </w:p>
    <w:p w14:paraId="13A4A25D" w14:textId="77777777" w:rsidR="009021F1" w:rsidRPr="00000E66" w:rsidRDefault="009021F1" w:rsidP="009021F1">
      <w:pPr>
        <w:numPr>
          <w:ilvl w:val="0"/>
          <w:numId w:val="56"/>
        </w:numPr>
        <w:rPr>
          <w:szCs w:val="21"/>
        </w:rPr>
      </w:pPr>
      <w:r w:rsidRPr="00000E66">
        <w:rPr>
          <w:szCs w:val="21"/>
        </w:rPr>
        <w:t>L’absence de la sous-traitance des petites et moyennes entreprises locales dans les travaux de réhabilitation des infrastructures rurales ;</w:t>
      </w:r>
    </w:p>
    <w:p w14:paraId="2DF583C8" w14:textId="77777777" w:rsidR="009021F1" w:rsidRPr="00000E66" w:rsidRDefault="009021F1" w:rsidP="009021F1">
      <w:pPr>
        <w:numPr>
          <w:ilvl w:val="0"/>
          <w:numId w:val="56"/>
        </w:numPr>
        <w:rPr>
          <w:szCs w:val="21"/>
        </w:rPr>
      </w:pPr>
      <w:r w:rsidRPr="00000E66">
        <w:rPr>
          <w:szCs w:val="21"/>
        </w:rPr>
        <w:t>La discrimination des ménages vulnérables éligibles à la distribution des intrants et des semences agricoles ;</w:t>
      </w:r>
    </w:p>
    <w:p w14:paraId="3ECD59C3" w14:textId="77777777" w:rsidR="009021F1" w:rsidRPr="00000E66" w:rsidRDefault="009021F1" w:rsidP="009021F1">
      <w:pPr>
        <w:numPr>
          <w:ilvl w:val="0"/>
          <w:numId w:val="56"/>
        </w:numPr>
        <w:rPr>
          <w:szCs w:val="21"/>
        </w:rPr>
      </w:pPr>
      <w:r w:rsidRPr="00000E66">
        <w:rPr>
          <w:szCs w:val="21"/>
        </w:rPr>
        <w:t>La non-éligibilité des ménages des populations autochtones vulnérables aux transferts monétaires ;</w:t>
      </w:r>
    </w:p>
    <w:p w14:paraId="66F959F7" w14:textId="77777777" w:rsidR="009021F1" w:rsidRPr="00000E66" w:rsidRDefault="009021F1" w:rsidP="009021F1">
      <w:pPr>
        <w:numPr>
          <w:ilvl w:val="0"/>
          <w:numId w:val="56"/>
        </w:numPr>
        <w:rPr>
          <w:szCs w:val="21"/>
        </w:rPr>
      </w:pPr>
      <w:r w:rsidRPr="00000E66">
        <w:rPr>
          <w:szCs w:val="21"/>
        </w:rPr>
        <w:t>Les chantiers inachevés ;</w:t>
      </w:r>
    </w:p>
    <w:p w14:paraId="06FD478E" w14:textId="77777777" w:rsidR="009021F1" w:rsidRPr="00000E66" w:rsidRDefault="009021F1" w:rsidP="009021F1">
      <w:pPr>
        <w:numPr>
          <w:ilvl w:val="0"/>
          <w:numId w:val="56"/>
        </w:numPr>
        <w:rPr>
          <w:szCs w:val="21"/>
        </w:rPr>
      </w:pPr>
      <w:r w:rsidRPr="00000E66">
        <w:rPr>
          <w:szCs w:val="21"/>
        </w:rPr>
        <w:t>Existence des inégalités sociales par le renforcement de pouvoir des travailleurs ;</w:t>
      </w:r>
    </w:p>
    <w:p w14:paraId="3DAEB880" w14:textId="77777777" w:rsidR="009021F1" w:rsidRPr="00000E66" w:rsidRDefault="009021F1" w:rsidP="009021F1">
      <w:pPr>
        <w:numPr>
          <w:ilvl w:val="0"/>
          <w:numId w:val="56"/>
        </w:numPr>
        <w:rPr>
          <w:szCs w:val="21"/>
        </w:rPr>
      </w:pPr>
      <w:r w:rsidRPr="00000E66">
        <w:rPr>
          <w:szCs w:val="21"/>
        </w:rPr>
        <w:t>Les risques de VBG commises auprès des mineures et femmes vulnérables ;</w:t>
      </w:r>
    </w:p>
    <w:p w14:paraId="72E8DCE4" w14:textId="77777777" w:rsidR="009021F1" w:rsidRPr="00000E66" w:rsidRDefault="009021F1" w:rsidP="009021F1">
      <w:pPr>
        <w:numPr>
          <w:ilvl w:val="0"/>
          <w:numId w:val="56"/>
        </w:numPr>
        <w:rPr>
          <w:szCs w:val="21"/>
        </w:rPr>
      </w:pPr>
      <w:r w:rsidRPr="00000E66">
        <w:rPr>
          <w:szCs w:val="21"/>
        </w:rPr>
        <w:t>Les mariages précoces et les rapports sexuels transactionnels ;</w:t>
      </w:r>
    </w:p>
    <w:p w14:paraId="6A6F0139" w14:textId="77777777" w:rsidR="009021F1" w:rsidRPr="00000E66" w:rsidRDefault="009021F1" w:rsidP="009021F1">
      <w:pPr>
        <w:rPr>
          <w:noProof/>
          <w:szCs w:val="21"/>
          <w:lang w:eastAsia="en-US"/>
        </w:rPr>
      </w:pPr>
    </w:p>
    <w:p w14:paraId="3F8EE536" w14:textId="77777777" w:rsidR="009021F1" w:rsidRPr="00000E66" w:rsidRDefault="009021F1" w:rsidP="009021F1">
      <w:pPr>
        <w:pStyle w:val="Titre2"/>
        <w:numPr>
          <w:ilvl w:val="1"/>
          <w:numId w:val="4"/>
        </w:numPr>
        <w:ind w:left="851" w:hanging="425"/>
        <w:rPr>
          <w:rFonts w:cs="Arial"/>
          <w:b/>
          <w:szCs w:val="21"/>
        </w:rPr>
      </w:pPr>
      <w:bookmarkStart w:id="460" w:name="_Toc90471566"/>
      <w:r w:rsidRPr="00000E66">
        <w:rPr>
          <w:rFonts w:cs="Arial"/>
          <w:b/>
          <w:szCs w:val="21"/>
        </w:rPr>
        <w:t>Plan de Mobilisation des Parties Prenantes</w:t>
      </w:r>
      <w:bookmarkEnd w:id="460"/>
      <w:r w:rsidRPr="00000E66">
        <w:rPr>
          <w:rFonts w:cs="Arial"/>
          <w:b/>
          <w:szCs w:val="21"/>
        </w:rPr>
        <w:t xml:space="preserve"> </w:t>
      </w:r>
    </w:p>
    <w:p w14:paraId="67FC2BF8" w14:textId="77777777" w:rsidR="009021F1" w:rsidRPr="00000E66" w:rsidRDefault="009021F1" w:rsidP="009021F1">
      <w:pPr>
        <w:rPr>
          <w:szCs w:val="21"/>
        </w:rPr>
      </w:pPr>
    </w:p>
    <w:p w14:paraId="502FC3C0" w14:textId="77777777" w:rsidR="009021F1" w:rsidRPr="00000E66" w:rsidRDefault="009021F1" w:rsidP="009021F1">
      <w:pPr>
        <w:rPr>
          <w:rFonts w:cs="Arial"/>
          <w:szCs w:val="21"/>
        </w:rPr>
      </w:pPr>
      <w:r w:rsidRPr="00000E66">
        <w:rPr>
          <w:rFonts w:cs="Arial"/>
          <w:szCs w:val="21"/>
        </w:rPr>
        <w:t>L’Objectif du Plan de Mobilisation des Parties Prenantes (PMPP) est d’identifier les parties prenantes du projet, d’analyser leurs craintes et attentes et d’estimer leur volonté à coopérer pour la mise en œuvre du projet. Le PMPP doit décrire les efforts à réaliser en matière de communication et de consultation qui doivent être réalisés pour assurer l’engagement de toutes les parties prenantes. L'engagement des parties prenantes est un processus inclusif mené tout au long du cycle de vie du projet. Il vise à favoriser le développement de relations solides, constructives et réactives avec les personnes affectées par le PNDA, mais aussi les autres parties intéressées et qui sont importantes pour une gestion réussie des risques environnementaux et sociaux du programme.</w:t>
      </w:r>
    </w:p>
    <w:p w14:paraId="537583DA" w14:textId="77777777" w:rsidR="009021F1" w:rsidRPr="00000E66" w:rsidRDefault="009021F1" w:rsidP="009021F1">
      <w:pPr>
        <w:rPr>
          <w:rFonts w:cs="Arial"/>
          <w:szCs w:val="21"/>
        </w:rPr>
      </w:pPr>
    </w:p>
    <w:p w14:paraId="5E5019A3" w14:textId="77777777" w:rsidR="009021F1" w:rsidRPr="00000E66" w:rsidRDefault="009021F1" w:rsidP="009021F1">
      <w:pPr>
        <w:rPr>
          <w:rFonts w:cs="Arial"/>
          <w:szCs w:val="21"/>
        </w:rPr>
      </w:pPr>
      <w:r w:rsidRPr="00000E66">
        <w:rPr>
          <w:rFonts w:cs="Arial"/>
          <w:szCs w:val="21"/>
        </w:rPr>
        <w:t>Les principaux objectifs du programme de mobilisation des parties prenantes sont les suivants :</w:t>
      </w:r>
    </w:p>
    <w:p w14:paraId="41F45B14" w14:textId="77777777" w:rsidR="009021F1" w:rsidRPr="00000E66" w:rsidRDefault="009021F1" w:rsidP="009021F1">
      <w:pPr>
        <w:rPr>
          <w:szCs w:val="21"/>
        </w:rPr>
      </w:pPr>
    </w:p>
    <w:p w14:paraId="5656F870" w14:textId="77777777" w:rsidR="009021F1" w:rsidRPr="00000E66" w:rsidRDefault="009021F1" w:rsidP="009021F1">
      <w:pPr>
        <w:numPr>
          <w:ilvl w:val="0"/>
          <w:numId w:val="56"/>
        </w:numPr>
        <w:rPr>
          <w:szCs w:val="21"/>
        </w:rPr>
      </w:pPr>
      <w:r w:rsidRPr="00000E66">
        <w:rPr>
          <w:szCs w:val="21"/>
        </w:rPr>
        <w:t xml:space="preserve">Identifier toutes les parties prenantes ; </w:t>
      </w:r>
    </w:p>
    <w:p w14:paraId="6185C949" w14:textId="77777777" w:rsidR="009021F1" w:rsidRPr="00000E66" w:rsidRDefault="009021F1" w:rsidP="009021F1">
      <w:pPr>
        <w:numPr>
          <w:ilvl w:val="0"/>
          <w:numId w:val="56"/>
        </w:numPr>
        <w:rPr>
          <w:szCs w:val="21"/>
        </w:rPr>
      </w:pPr>
      <w:r w:rsidRPr="00000E66">
        <w:rPr>
          <w:szCs w:val="21"/>
        </w:rPr>
        <w:t xml:space="preserve">Obtenir la participation et la collaboration des parties prenantes ; </w:t>
      </w:r>
    </w:p>
    <w:p w14:paraId="6487E53C" w14:textId="77777777" w:rsidR="009021F1" w:rsidRPr="00000E66" w:rsidRDefault="009021F1" w:rsidP="009021F1">
      <w:pPr>
        <w:numPr>
          <w:ilvl w:val="0"/>
          <w:numId w:val="56"/>
        </w:numPr>
        <w:rPr>
          <w:szCs w:val="21"/>
        </w:rPr>
      </w:pPr>
      <w:r w:rsidRPr="00000E66">
        <w:rPr>
          <w:szCs w:val="21"/>
        </w:rPr>
        <w:t xml:space="preserve">Partager l’information et dialoguer sur le programme, ses impacts et ses bénéfices pour créer et maintenir un climat de confiance entre les parties prenantes et le programme; </w:t>
      </w:r>
    </w:p>
    <w:p w14:paraId="4C722855" w14:textId="77777777" w:rsidR="009021F1" w:rsidRPr="00000E66" w:rsidRDefault="009021F1" w:rsidP="009021F1">
      <w:pPr>
        <w:numPr>
          <w:ilvl w:val="0"/>
          <w:numId w:val="56"/>
        </w:numPr>
        <w:rPr>
          <w:szCs w:val="21"/>
        </w:rPr>
      </w:pPr>
      <w:r w:rsidRPr="00000E66">
        <w:rPr>
          <w:szCs w:val="21"/>
        </w:rPr>
        <w:t xml:space="preserve">Bien guider la conception et la mise en œuvre du PNDA et diminuer les risques techniques, sociaux et budgétaires ; </w:t>
      </w:r>
    </w:p>
    <w:p w14:paraId="5282102E" w14:textId="77777777" w:rsidR="009021F1" w:rsidRPr="00000E66" w:rsidRDefault="009021F1" w:rsidP="009021F1">
      <w:pPr>
        <w:numPr>
          <w:ilvl w:val="0"/>
          <w:numId w:val="56"/>
        </w:numPr>
        <w:rPr>
          <w:szCs w:val="21"/>
        </w:rPr>
      </w:pPr>
      <w:r w:rsidRPr="00000E66">
        <w:rPr>
          <w:szCs w:val="21"/>
        </w:rPr>
        <w:t>Répondre aux besoins, préoccupations et attentes des parties prenantes ;</w:t>
      </w:r>
    </w:p>
    <w:p w14:paraId="62B3A39A" w14:textId="77777777" w:rsidR="009021F1" w:rsidRPr="00000E66" w:rsidRDefault="009021F1" w:rsidP="009021F1">
      <w:pPr>
        <w:numPr>
          <w:ilvl w:val="0"/>
          <w:numId w:val="56"/>
        </w:numPr>
        <w:rPr>
          <w:szCs w:val="21"/>
        </w:rPr>
      </w:pPr>
      <w:r w:rsidRPr="00000E66">
        <w:rPr>
          <w:szCs w:val="21"/>
        </w:rPr>
        <w:t>Documenter les communications et les ententes avec les parties prenantes ;</w:t>
      </w:r>
    </w:p>
    <w:p w14:paraId="2098448E" w14:textId="77777777" w:rsidR="009021F1" w:rsidRPr="00000E66" w:rsidRDefault="009021F1" w:rsidP="009021F1">
      <w:pPr>
        <w:numPr>
          <w:ilvl w:val="0"/>
          <w:numId w:val="56"/>
        </w:numPr>
        <w:rPr>
          <w:szCs w:val="21"/>
        </w:rPr>
      </w:pPr>
      <w:r w:rsidRPr="00000E66">
        <w:rPr>
          <w:szCs w:val="21"/>
        </w:rPr>
        <w:t>Assurer un processus transparent, ouvert, accessible, inclusif et juste, dans un esprit de confiance et de respect, sans manipulation, ingérence, coercition et intimidation et sans frais de participation ;</w:t>
      </w:r>
    </w:p>
    <w:p w14:paraId="0C8ACDDC" w14:textId="77777777" w:rsidR="009021F1" w:rsidRPr="00000E66" w:rsidRDefault="009021F1" w:rsidP="009021F1">
      <w:pPr>
        <w:numPr>
          <w:ilvl w:val="0"/>
          <w:numId w:val="56"/>
        </w:numPr>
        <w:rPr>
          <w:szCs w:val="21"/>
        </w:rPr>
      </w:pPr>
      <w:r w:rsidRPr="00000E66">
        <w:rPr>
          <w:szCs w:val="21"/>
        </w:rPr>
        <w:t>Assurer un processus dans le respect des conventions et des protocoles locaux, y compris les considérations liées à l’inclusion sociale, l’équité et l’égalité entre les hommes et les femmes, et que des processus supplémentaires soient ajoutés au besoin pour les groupes vulnérables ou marginalisés.</w:t>
      </w:r>
    </w:p>
    <w:p w14:paraId="44083555" w14:textId="77777777" w:rsidR="009021F1" w:rsidRPr="00000E66" w:rsidRDefault="009021F1" w:rsidP="009021F1">
      <w:pPr>
        <w:widowControl w:val="0"/>
        <w:autoSpaceDE w:val="0"/>
        <w:autoSpaceDN w:val="0"/>
        <w:adjustRightInd w:val="0"/>
        <w:rPr>
          <w:szCs w:val="21"/>
        </w:rPr>
      </w:pPr>
    </w:p>
    <w:p w14:paraId="09F2D181" w14:textId="77777777" w:rsidR="009021F1" w:rsidRDefault="009021F1" w:rsidP="009021F1">
      <w:pPr>
        <w:widowControl w:val="0"/>
        <w:autoSpaceDE w:val="0"/>
        <w:autoSpaceDN w:val="0"/>
        <w:adjustRightInd w:val="0"/>
        <w:rPr>
          <w:szCs w:val="21"/>
        </w:rPr>
      </w:pPr>
      <w:r w:rsidRPr="00000E66">
        <w:rPr>
          <w:szCs w:val="21"/>
        </w:rPr>
        <w:t xml:space="preserve">Le plan de consultations est compris dans le Plan de Mobilisation des Parties Prenantes (PMPP), qui constitue le plan de consultation de référence pour le Projet. </w:t>
      </w:r>
    </w:p>
    <w:p w14:paraId="435BEA40" w14:textId="77777777" w:rsidR="009021F1" w:rsidRPr="00000E66" w:rsidRDefault="009021F1" w:rsidP="009021F1">
      <w:pPr>
        <w:widowControl w:val="0"/>
        <w:autoSpaceDE w:val="0"/>
        <w:autoSpaceDN w:val="0"/>
        <w:adjustRightInd w:val="0"/>
        <w:rPr>
          <w:szCs w:val="21"/>
        </w:rPr>
      </w:pPr>
      <w:r w:rsidRPr="00000E66">
        <w:rPr>
          <w:szCs w:val="21"/>
        </w:rPr>
        <w:t xml:space="preserve"> </w:t>
      </w:r>
    </w:p>
    <w:p w14:paraId="38366F6B" w14:textId="77777777" w:rsidR="009021F1" w:rsidRPr="0078539E" w:rsidRDefault="009021F1" w:rsidP="009021F1">
      <w:pPr>
        <w:pStyle w:val="Titre2"/>
        <w:numPr>
          <w:ilvl w:val="1"/>
          <w:numId w:val="4"/>
        </w:numPr>
        <w:ind w:left="851" w:hanging="425"/>
        <w:rPr>
          <w:rFonts w:cs="Arial"/>
          <w:b/>
          <w:szCs w:val="21"/>
        </w:rPr>
      </w:pPr>
      <w:bookmarkStart w:id="461" w:name="_Toc90471567"/>
      <w:r w:rsidRPr="0078539E">
        <w:rPr>
          <w:rFonts w:cs="Arial"/>
          <w:b/>
          <w:szCs w:val="21"/>
        </w:rPr>
        <w:t>Ateliers de restitution</w:t>
      </w:r>
      <w:bookmarkEnd w:id="461"/>
    </w:p>
    <w:p w14:paraId="1B5D315E" w14:textId="77777777" w:rsidR="009021F1" w:rsidRPr="0078539E" w:rsidRDefault="009021F1" w:rsidP="009021F1">
      <w:pPr>
        <w:rPr>
          <w:szCs w:val="21"/>
        </w:rPr>
      </w:pPr>
    </w:p>
    <w:p w14:paraId="613BA04A" w14:textId="77777777" w:rsidR="009021F1" w:rsidRPr="0078539E" w:rsidRDefault="009021F1" w:rsidP="009021F1">
      <w:pPr>
        <w:rPr>
          <w:szCs w:val="21"/>
        </w:rPr>
      </w:pPr>
      <w:r w:rsidRPr="0078539E">
        <w:rPr>
          <w:szCs w:val="21"/>
        </w:rPr>
        <w:t>Les ateliers de restitution ont été organisés dans les Chefs-lieux de cinq provinces concernées par le PNDA dont le but était de restituer sur l’économie des documents de sauvegardes environnementale et sociales élaborés dont le CGES, le PGP et PEES.</w:t>
      </w:r>
    </w:p>
    <w:p w14:paraId="4781191D" w14:textId="77777777" w:rsidR="009021F1" w:rsidRPr="0078539E" w:rsidRDefault="009021F1" w:rsidP="009021F1">
      <w:pPr>
        <w:rPr>
          <w:szCs w:val="21"/>
        </w:rPr>
      </w:pPr>
    </w:p>
    <w:p w14:paraId="3EAD4C65" w14:textId="77777777" w:rsidR="009021F1" w:rsidRPr="0078539E" w:rsidRDefault="009021F1" w:rsidP="009021F1">
      <w:pPr>
        <w:rPr>
          <w:szCs w:val="21"/>
        </w:rPr>
      </w:pPr>
      <w:r w:rsidRPr="0078539E">
        <w:rPr>
          <w:szCs w:val="21"/>
        </w:rPr>
        <w:t>Les détails sur les lieux, date et nombre de participants sont représentés dans le tableau ci-dessous.</w:t>
      </w:r>
    </w:p>
    <w:p w14:paraId="195896E2" w14:textId="77777777" w:rsidR="009021F1" w:rsidRPr="0078539E" w:rsidRDefault="009021F1" w:rsidP="009021F1">
      <w:pPr>
        <w:rPr>
          <w:szCs w:val="21"/>
        </w:rPr>
      </w:pPr>
    </w:p>
    <w:p w14:paraId="76A12DEC" w14:textId="77777777" w:rsidR="009021F1" w:rsidRDefault="009021F1" w:rsidP="009021F1">
      <w:pPr>
        <w:spacing w:line="240" w:lineRule="auto"/>
        <w:jc w:val="left"/>
        <w:rPr>
          <w:szCs w:val="21"/>
        </w:rPr>
      </w:pPr>
      <w:r>
        <w:rPr>
          <w:szCs w:val="21"/>
        </w:rPr>
        <w:br w:type="page"/>
      </w:r>
    </w:p>
    <w:p w14:paraId="206B9E10" w14:textId="77777777" w:rsidR="009021F1" w:rsidRPr="0078539E" w:rsidRDefault="009021F1" w:rsidP="009021F1">
      <w:pPr>
        <w:rPr>
          <w:szCs w:val="21"/>
        </w:rPr>
      </w:pPr>
      <w:r w:rsidRPr="0078539E">
        <w:rPr>
          <w:szCs w:val="21"/>
        </w:rPr>
        <w:t xml:space="preserve">Tableau </w:t>
      </w:r>
      <w:r w:rsidRPr="0078539E">
        <w:rPr>
          <w:szCs w:val="21"/>
        </w:rPr>
        <w:fldChar w:fldCharType="begin"/>
      </w:r>
      <w:r w:rsidRPr="0078539E">
        <w:rPr>
          <w:szCs w:val="21"/>
        </w:rPr>
        <w:instrText xml:space="preserve"> SEQ Tableau \* ARABIC </w:instrText>
      </w:r>
      <w:r w:rsidRPr="0078539E">
        <w:rPr>
          <w:szCs w:val="21"/>
        </w:rPr>
        <w:fldChar w:fldCharType="separate"/>
      </w:r>
      <w:r>
        <w:rPr>
          <w:noProof/>
          <w:szCs w:val="21"/>
        </w:rPr>
        <w:t>41</w:t>
      </w:r>
      <w:r w:rsidRPr="0078539E">
        <w:rPr>
          <w:szCs w:val="21"/>
        </w:rPr>
        <w:fldChar w:fldCharType="end"/>
      </w:r>
      <w:r w:rsidRPr="0078539E">
        <w:rPr>
          <w:rFonts w:cs="Arial"/>
          <w:szCs w:val="21"/>
        </w:rPr>
        <w:t>. Calendrier des ateliers de restitution</w:t>
      </w:r>
    </w:p>
    <w:p w14:paraId="5B9B91DE" w14:textId="77777777" w:rsidR="009021F1" w:rsidRPr="0078539E" w:rsidRDefault="009021F1" w:rsidP="009021F1">
      <w:pPr>
        <w:rPr>
          <w:szCs w:val="21"/>
        </w:rPr>
      </w:pPr>
    </w:p>
    <w:tbl>
      <w:tblPr>
        <w:tblW w:w="997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5"/>
        <w:gridCol w:w="1220"/>
        <w:gridCol w:w="1339"/>
        <w:gridCol w:w="3260"/>
        <w:gridCol w:w="1366"/>
        <w:gridCol w:w="999"/>
        <w:gridCol w:w="1231"/>
      </w:tblGrid>
      <w:tr w:rsidR="009021F1" w:rsidRPr="0008598F" w14:paraId="575B22BB" w14:textId="77777777" w:rsidTr="00E637E3">
        <w:tc>
          <w:tcPr>
            <w:tcW w:w="555" w:type="dxa"/>
            <w:shd w:val="clear" w:color="auto" w:fill="auto"/>
          </w:tcPr>
          <w:p w14:paraId="7A37EB7B" w14:textId="77777777" w:rsidR="009021F1" w:rsidRPr="0078539E" w:rsidRDefault="009021F1" w:rsidP="00E637E3">
            <w:pPr>
              <w:jc w:val="center"/>
              <w:rPr>
                <w:rFonts w:cs="Arial"/>
                <w:sz w:val="20"/>
                <w:szCs w:val="20"/>
              </w:rPr>
            </w:pPr>
            <w:r w:rsidRPr="0078539E">
              <w:rPr>
                <w:rFonts w:cs="Arial"/>
                <w:sz w:val="20"/>
                <w:szCs w:val="20"/>
              </w:rPr>
              <w:t>N°</w:t>
            </w:r>
          </w:p>
        </w:tc>
        <w:tc>
          <w:tcPr>
            <w:tcW w:w="1220" w:type="dxa"/>
            <w:shd w:val="clear" w:color="auto" w:fill="auto"/>
          </w:tcPr>
          <w:p w14:paraId="4E51B4DC" w14:textId="77777777" w:rsidR="009021F1" w:rsidRPr="0078539E" w:rsidRDefault="009021F1" w:rsidP="00E637E3">
            <w:pPr>
              <w:jc w:val="center"/>
              <w:rPr>
                <w:rFonts w:cs="Arial"/>
                <w:sz w:val="20"/>
                <w:szCs w:val="20"/>
              </w:rPr>
            </w:pPr>
            <w:r w:rsidRPr="0078539E">
              <w:rPr>
                <w:rFonts w:cs="Arial"/>
                <w:sz w:val="20"/>
                <w:szCs w:val="20"/>
              </w:rPr>
              <w:t>Atelier</w:t>
            </w:r>
          </w:p>
        </w:tc>
        <w:tc>
          <w:tcPr>
            <w:tcW w:w="1339" w:type="dxa"/>
            <w:shd w:val="clear" w:color="auto" w:fill="auto"/>
          </w:tcPr>
          <w:p w14:paraId="2F943A68" w14:textId="77777777" w:rsidR="009021F1" w:rsidRPr="0078539E" w:rsidRDefault="009021F1" w:rsidP="00E637E3">
            <w:pPr>
              <w:jc w:val="center"/>
              <w:rPr>
                <w:rFonts w:cs="Arial"/>
                <w:sz w:val="20"/>
                <w:szCs w:val="20"/>
              </w:rPr>
            </w:pPr>
            <w:r w:rsidRPr="0078539E">
              <w:rPr>
                <w:rFonts w:cs="Arial"/>
                <w:sz w:val="20"/>
                <w:szCs w:val="20"/>
              </w:rPr>
              <w:t>Date de l’atelier</w:t>
            </w:r>
          </w:p>
        </w:tc>
        <w:tc>
          <w:tcPr>
            <w:tcW w:w="3260" w:type="dxa"/>
            <w:shd w:val="clear" w:color="auto" w:fill="auto"/>
          </w:tcPr>
          <w:p w14:paraId="6491837E" w14:textId="77777777" w:rsidR="009021F1" w:rsidRPr="0078539E" w:rsidRDefault="009021F1" w:rsidP="00E637E3">
            <w:pPr>
              <w:jc w:val="center"/>
              <w:rPr>
                <w:rFonts w:cs="Arial"/>
                <w:sz w:val="20"/>
                <w:szCs w:val="20"/>
              </w:rPr>
            </w:pPr>
            <w:r w:rsidRPr="0078539E">
              <w:rPr>
                <w:rFonts w:cs="Arial"/>
                <w:sz w:val="20"/>
                <w:szCs w:val="20"/>
              </w:rPr>
              <w:t>Salle</w:t>
            </w:r>
          </w:p>
        </w:tc>
        <w:tc>
          <w:tcPr>
            <w:tcW w:w="1366" w:type="dxa"/>
            <w:shd w:val="clear" w:color="auto" w:fill="auto"/>
          </w:tcPr>
          <w:p w14:paraId="3D6E5F33" w14:textId="77777777" w:rsidR="009021F1" w:rsidRPr="0078539E" w:rsidRDefault="009021F1" w:rsidP="00E637E3">
            <w:pPr>
              <w:jc w:val="center"/>
              <w:rPr>
                <w:rFonts w:cs="Arial"/>
                <w:sz w:val="20"/>
                <w:szCs w:val="20"/>
              </w:rPr>
            </w:pPr>
            <w:r w:rsidRPr="0078539E">
              <w:rPr>
                <w:rFonts w:cs="Arial"/>
                <w:sz w:val="20"/>
                <w:szCs w:val="20"/>
              </w:rPr>
              <w:t>Participants</w:t>
            </w:r>
          </w:p>
        </w:tc>
        <w:tc>
          <w:tcPr>
            <w:tcW w:w="999" w:type="dxa"/>
            <w:shd w:val="clear" w:color="auto" w:fill="auto"/>
          </w:tcPr>
          <w:p w14:paraId="4E470CFB" w14:textId="77777777" w:rsidR="009021F1" w:rsidRPr="0078539E" w:rsidRDefault="009021F1" w:rsidP="00E637E3">
            <w:pPr>
              <w:jc w:val="center"/>
              <w:rPr>
                <w:rFonts w:cs="Arial"/>
                <w:sz w:val="20"/>
                <w:szCs w:val="20"/>
              </w:rPr>
            </w:pPr>
            <w:r w:rsidRPr="0078539E">
              <w:rPr>
                <w:rFonts w:cs="Arial"/>
                <w:sz w:val="20"/>
                <w:szCs w:val="20"/>
              </w:rPr>
              <w:t>Nombre femmes</w:t>
            </w:r>
          </w:p>
        </w:tc>
        <w:tc>
          <w:tcPr>
            <w:tcW w:w="1231" w:type="dxa"/>
            <w:shd w:val="clear" w:color="auto" w:fill="auto"/>
          </w:tcPr>
          <w:p w14:paraId="16C9D0C7" w14:textId="77777777" w:rsidR="009021F1" w:rsidRPr="0078539E" w:rsidRDefault="009021F1" w:rsidP="00E637E3">
            <w:pPr>
              <w:jc w:val="center"/>
              <w:rPr>
                <w:rFonts w:cs="Arial"/>
                <w:sz w:val="20"/>
                <w:szCs w:val="20"/>
              </w:rPr>
            </w:pPr>
            <w:r w:rsidRPr="0078539E">
              <w:rPr>
                <w:rFonts w:cs="Arial"/>
                <w:sz w:val="20"/>
                <w:szCs w:val="20"/>
              </w:rPr>
              <w:t>Nombre d’hommes</w:t>
            </w:r>
          </w:p>
        </w:tc>
      </w:tr>
      <w:tr w:rsidR="009021F1" w:rsidRPr="0008598F" w14:paraId="3B8668C1" w14:textId="77777777" w:rsidTr="00E637E3">
        <w:tc>
          <w:tcPr>
            <w:tcW w:w="555" w:type="dxa"/>
            <w:shd w:val="clear" w:color="auto" w:fill="auto"/>
          </w:tcPr>
          <w:p w14:paraId="5E5041DD" w14:textId="77777777" w:rsidR="009021F1" w:rsidRPr="0078539E" w:rsidRDefault="009021F1" w:rsidP="00E637E3">
            <w:pPr>
              <w:rPr>
                <w:rFonts w:cs="Arial"/>
                <w:sz w:val="20"/>
                <w:szCs w:val="20"/>
              </w:rPr>
            </w:pPr>
            <w:r w:rsidRPr="0078539E">
              <w:rPr>
                <w:rFonts w:cs="Arial"/>
                <w:sz w:val="20"/>
                <w:szCs w:val="20"/>
              </w:rPr>
              <w:t>1</w:t>
            </w:r>
          </w:p>
        </w:tc>
        <w:tc>
          <w:tcPr>
            <w:tcW w:w="1220" w:type="dxa"/>
            <w:shd w:val="clear" w:color="auto" w:fill="auto"/>
          </w:tcPr>
          <w:p w14:paraId="47FBA4A2" w14:textId="77777777" w:rsidR="009021F1" w:rsidRPr="0078539E" w:rsidRDefault="009021F1" w:rsidP="00E637E3">
            <w:pPr>
              <w:rPr>
                <w:rFonts w:cs="Arial"/>
                <w:sz w:val="20"/>
                <w:szCs w:val="20"/>
              </w:rPr>
            </w:pPr>
            <w:r w:rsidRPr="0078539E">
              <w:rPr>
                <w:rFonts w:cs="Arial"/>
                <w:sz w:val="20"/>
                <w:szCs w:val="20"/>
              </w:rPr>
              <w:t>Goma</w:t>
            </w:r>
          </w:p>
        </w:tc>
        <w:tc>
          <w:tcPr>
            <w:tcW w:w="1339" w:type="dxa"/>
            <w:shd w:val="clear" w:color="auto" w:fill="auto"/>
          </w:tcPr>
          <w:p w14:paraId="1BE7C387" w14:textId="77777777" w:rsidR="009021F1" w:rsidRPr="0078539E" w:rsidRDefault="009021F1" w:rsidP="00E637E3">
            <w:pPr>
              <w:rPr>
                <w:rFonts w:cs="Arial"/>
                <w:sz w:val="20"/>
                <w:szCs w:val="20"/>
              </w:rPr>
            </w:pPr>
            <w:r w:rsidRPr="0078539E">
              <w:rPr>
                <w:rFonts w:cs="Arial"/>
                <w:sz w:val="20"/>
                <w:szCs w:val="20"/>
              </w:rPr>
              <w:t>5 novembre 2020</w:t>
            </w:r>
          </w:p>
        </w:tc>
        <w:tc>
          <w:tcPr>
            <w:tcW w:w="3260" w:type="dxa"/>
            <w:shd w:val="clear" w:color="auto" w:fill="auto"/>
          </w:tcPr>
          <w:p w14:paraId="2544E25E" w14:textId="77777777" w:rsidR="009021F1" w:rsidRPr="0078539E" w:rsidRDefault="009021F1" w:rsidP="00E637E3">
            <w:pPr>
              <w:jc w:val="left"/>
              <w:rPr>
                <w:rFonts w:cs="Arial"/>
                <w:sz w:val="20"/>
                <w:szCs w:val="20"/>
              </w:rPr>
            </w:pPr>
            <w:r w:rsidRPr="0078539E">
              <w:rPr>
                <w:rFonts w:cs="Arial"/>
                <w:sz w:val="20"/>
                <w:szCs w:val="20"/>
              </w:rPr>
              <w:t>Salle de Conférence n°3 du Centre d’Accueil Bienheureux Isidore BAKANJA, située au n°12 de la rue LYN LUSI, Quartier le Volcan, Commune de Goma, ville de Goma.</w:t>
            </w:r>
          </w:p>
        </w:tc>
        <w:tc>
          <w:tcPr>
            <w:tcW w:w="1366" w:type="dxa"/>
            <w:shd w:val="clear" w:color="auto" w:fill="auto"/>
          </w:tcPr>
          <w:p w14:paraId="5EACFF32" w14:textId="77777777" w:rsidR="009021F1" w:rsidRPr="0078539E" w:rsidRDefault="009021F1" w:rsidP="00E637E3">
            <w:pPr>
              <w:ind w:right="124"/>
              <w:jc w:val="center"/>
              <w:rPr>
                <w:rFonts w:cs="Arial"/>
                <w:sz w:val="20"/>
                <w:szCs w:val="20"/>
              </w:rPr>
            </w:pPr>
          </w:p>
          <w:p w14:paraId="2DC71335" w14:textId="77777777" w:rsidR="009021F1" w:rsidRPr="0078539E" w:rsidRDefault="009021F1" w:rsidP="00E637E3">
            <w:pPr>
              <w:ind w:right="124"/>
              <w:jc w:val="center"/>
              <w:rPr>
                <w:rFonts w:cs="Arial"/>
                <w:sz w:val="20"/>
                <w:szCs w:val="20"/>
              </w:rPr>
            </w:pPr>
          </w:p>
          <w:p w14:paraId="49389D43" w14:textId="77777777" w:rsidR="009021F1" w:rsidRPr="0078539E" w:rsidRDefault="009021F1" w:rsidP="00E637E3">
            <w:pPr>
              <w:ind w:right="124"/>
              <w:jc w:val="center"/>
              <w:rPr>
                <w:rFonts w:cs="Arial"/>
                <w:sz w:val="20"/>
                <w:szCs w:val="20"/>
              </w:rPr>
            </w:pPr>
            <w:r w:rsidRPr="0078539E">
              <w:rPr>
                <w:rFonts w:cs="Arial"/>
                <w:sz w:val="20"/>
                <w:szCs w:val="20"/>
              </w:rPr>
              <w:t>37</w:t>
            </w:r>
          </w:p>
        </w:tc>
        <w:tc>
          <w:tcPr>
            <w:tcW w:w="999" w:type="dxa"/>
            <w:shd w:val="clear" w:color="auto" w:fill="auto"/>
          </w:tcPr>
          <w:p w14:paraId="1BF5F859" w14:textId="77777777" w:rsidR="009021F1" w:rsidRPr="0078539E" w:rsidRDefault="009021F1" w:rsidP="00E637E3">
            <w:pPr>
              <w:jc w:val="center"/>
              <w:rPr>
                <w:rFonts w:cs="Arial"/>
                <w:sz w:val="20"/>
                <w:szCs w:val="20"/>
              </w:rPr>
            </w:pPr>
          </w:p>
          <w:p w14:paraId="46451C1D" w14:textId="77777777" w:rsidR="009021F1" w:rsidRPr="0078539E" w:rsidRDefault="009021F1" w:rsidP="00E637E3">
            <w:pPr>
              <w:jc w:val="center"/>
              <w:rPr>
                <w:rFonts w:cs="Arial"/>
                <w:sz w:val="20"/>
                <w:szCs w:val="20"/>
              </w:rPr>
            </w:pPr>
          </w:p>
          <w:p w14:paraId="64545DB3" w14:textId="77777777" w:rsidR="009021F1" w:rsidRPr="0078539E" w:rsidRDefault="009021F1" w:rsidP="00E637E3">
            <w:pPr>
              <w:jc w:val="center"/>
              <w:rPr>
                <w:rFonts w:cs="Arial"/>
                <w:sz w:val="20"/>
                <w:szCs w:val="20"/>
              </w:rPr>
            </w:pPr>
            <w:r w:rsidRPr="0078539E">
              <w:rPr>
                <w:rFonts w:cs="Arial"/>
                <w:sz w:val="20"/>
                <w:szCs w:val="20"/>
              </w:rPr>
              <w:t>8</w:t>
            </w:r>
          </w:p>
        </w:tc>
        <w:tc>
          <w:tcPr>
            <w:tcW w:w="1231" w:type="dxa"/>
            <w:shd w:val="clear" w:color="auto" w:fill="auto"/>
          </w:tcPr>
          <w:p w14:paraId="139B7BB7" w14:textId="77777777" w:rsidR="009021F1" w:rsidRPr="0078539E" w:rsidRDefault="009021F1" w:rsidP="00E637E3">
            <w:pPr>
              <w:jc w:val="center"/>
              <w:rPr>
                <w:rFonts w:cs="Arial"/>
                <w:sz w:val="20"/>
                <w:szCs w:val="20"/>
              </w:rPr>
            </w:pPr>
          </w:p>
          <w:p w14:paraId="4EE5CD3B" w14:textId="77777777" w:rsidR="009021F1" w:rsidRPr="0078539E" w:rsidRDefault="009021F1" w:rsidP="00E637E3">
            <w:pPr>
              <w:jc w:val="center"/>
              <w:rPr>
                <w:rFonts w:cs="Arial"/>
                <w:sz w:val="20"/>
                <w:szCs w:val="20"/>
              </w:rPr>
            </w:pPr>
          </w:p>
          <w:p w14:paraId="60FF41A6" w14:textId="77777777" w:rsidR="009021F1" w:rsidRPr="0078539E" w:rsidRDefault="009021F1" w:rsidP="00E637E3">
            <w:pPr>
              <w:jc w:val="center"/>
              <w:rPr>
                <w:rFonts w:cs="Arial"/>
                <w:sz w:val="20"/>
                <w:szCs w:val="20"/>
              </w:rPr>
            </w:pPr>
            <w:r w:rsidRPr="0078539E">
              <w:rPr>
                <w:rFonts w:cs="Arial"/>
                <w:sz w:val="20"/>
                <w:szCs w:val="20"/>
              </w:rPr>
              <w:t>29</w:t>
            </w:r>
          </w:p>
        </w:tc>
      </w:tr>
      <w:tr w:rsidR="009021F1" w:rsidRPr="0008598F" w14:paraId="1A54073E" w14:textId="77777777" w:rsidTr="00E637E3">
        <w:tc>
          <w:tcPr>
            <w:tcW w:w="555" w:type="dxa"/>
            <w:shd w:val="clear" w:color="auto" w:fill="auto"/>
          </w:tcPr>
          <w:p w14:paraId="2E6D79B9" w14:textId="77777777" w:rsidR="009021F1" w:rsidRPr="0078539E" w:rsidRDefault="009021F1" w:rsidP="00E637E3">
            <w:pPr>
              <w:rPr>
                <w:rFonts w:cs="Arial"/>
                <w:sz w:val="20"/>
                <w:szCs w:val="20"/>
              </w:rPr>
            </w:pPr>
            <w:r w:rsidRPr="0078539E">
              <w:rPr>
                <w:rFonts w:cs="Arial"/>
                <w:sz w:val="20"/>
                <w:szCs w:val="20"/>
              </w:rPr>
              <w:t>2</w:t>
            </w:r>
          </w:p>
        </w:tc>
        <w:tc>
          <w:tcPr>
            <w:tcW w:w="1220" w:type="dxa"/>
            <w:shd w:val="clear" w:color="auto" w:fill="auto"/>
          </w:tcPr>
          <w:p w14:paraId="38E37E3B" w14:textId="77777777" w:rsidR="009021F1" w:rsidRPr="0078539E" w:rsidRDefault="009021F1" w:rsidP="00E637E3">
            <w:pPr>
              <w:rPr>
                <w:rFonts w:cs="Arial"/>
                <w:sz w:val="20"/>
                <w:szCs w:val="20"/>
              </w:rPr>
            </w:pPr>
            <w:r w:rsidRPr="0078539E">
              <w:rPr>
                <w:rFonts w:cs="Arial"/>
                <w:sz w:val="20"/>
                <w:szCs w:val="20"/>
              </w:rPr>
              <w:t>Bandundu</w:t>
            </w:r>
          </w:p>
        </w:tc>
        <w:tc>
          <w:tcPr>
            <w:tcW w:w="1339" w:type="dxa"/>
            <w:shd w:val="clear" w:color="auto" w:fill="auto"/>
          </w:tcPr>
          <w:p w14:paraId="0A6E76FA" w14:textId="77777777" w:rsidR="009021F1" w:rsidRPr="0078539E" w:rsidRDefault="009021F1" w:rsidP="00E637E3">
            <w:pPr>
              <w:rPr>
                <w:rFonts w:cs="Arial"/>
                <w:sz w:val="20"/>
                <w:szCs w:val="20"/>
              </w:rPr>
            </w:pPr>
            <w:r w:rsidRPr="0078539E">
              <w:rPr>
                <w:rFonts w:cs="Arial"/>
                <w:sz w:val="20"/>
                <w:szCs w:val="20"/>
              </w:rPr>
              <w:t>13 novembre 2020</w:t>
            </w:r>
          </w:p>
        </w:tc>
        <w:tc>
          <w:tcPr>
            <w:tcW w:w="3260" w:type="dxa"/>
            <w:shd w:val="clear" w:color="auto" w:fill="auto"/>
          </w:tcPr>
          <w:p w14:paraId="4AD70A9E" w14:textId="77777777" w:rsidR="009021F1" w:rsidRPr="0078539E" w:rsidRDefault="009021F1" w:rsidP="00E637E3">
            <w:pPr>
              <w:jc w:val="left"/>
              <w:rPr>
                <w:rFonts w:cs="Arial"/>
                <w:sz w:val="20"/>
                <w:szCs w:val="20"/>
              </w:rPr>
            </w:pPr>
            <w:r w:rsidRPr="0078539E">
              <w:rPr>
                <w:rFonts w:cs="Arial"/>
                <w:sz w:val="20"/>
                <w:szCs w:val="20"/>
              </w:rPr>
              <w:t>Salle VIP de MAJESTIK HOTEL BANDUNDU, située au n°5 de l’avenue MUTIMA SAKRINI, Quartier Salongo, Commune de Basoko, ville de Bandundu.</w:t>
            </w:r>
          </w:p>
        </w:tc>
        <w:tc>
          <w:tcPr>
            <w:tcW w:w="1366" w:type="dxa"/>
            <w:shd w:val="clear" w:color="auto" w:fill="auto"/>
          </w:tcPr>
          <w:p w14:paraId="36BF3946" w14:textId="77777777" w:rsidR="009021F1" w:rsidRPr="0078539E" w:rsidRDefault="009021F1" w:rsidP="00E637E3">
            <w:pPr>
              <w:jc w:val="center"/>
              <w:rPr>
                <w:rFonts w:cs="Arial"/>
                <w:sz w:val="20"/>
                <w:szCs w:val="20"/>
              </w:rPr>
            </w:pPr>
          </w:p>
          <w:p w14:paraId="6104FF28" w14:textId="77777777" w:rsidR="009021F1" w:rsidRPr="0078539E" w:rsidRDefault="009021F1" w:rsidP="00E637E3">
            <w:pPr>
              <w:jc w:val="center"/>
              <w:rPr>
                <w:rFonts w:cs="Arial"/>
                <w:sz w:val="20"/>
                <w:szCs w:val="20"/>
              </w:rPr>
            </w:pPr>
          </w:p>
          <w:p w14:paraId="17BD7B60" w14:textId="77777777" w:rsidR="009021F1" w:rsidRPr="0078539E" w:rsidRDefault="009021F1" w:rsidP="00E637E3">
            <w:pPr>
              <w:jc w:val="center"/>
              <w:rPr>
                <w:rFonts w:cs="Arial"/>
                <w:sz w:val="20"/>
                <w:szCs w:val="20"/>
              </w:rPr>
            </w:pPr>
            <w:r w:rsidRPr="0078539E">
              <w:rPr>
                <w:rFonts w:cs="Arial"/>
                <w:sz w:val="20"/>
                <w:szCs w:val="20"/>
              </w:rPr>
              <w:t>36</w:t>
            </w:r>
          </w:p>
        </w:tc>
        <w:tc>
          <w:tcPr>
            <w:tcW w:w="999" w:type="dxa"/>
            <w:shd w:val="clear" w:color="auto" w:fill="auto"/>
          </w:tcPr>
          <w:p w14:paraId="5B32BD2F" w14:textId="77777777" w:rsidR="009021F1" w:rsidRPr="0078539E" w:rsidRDefault="009021F1" w:rsidP="00E637E3">
            <w:pPr>
              <w:jc w:val="center"/>
              <w:rPr>
                <w:rFonts w:cs="Arial"/>
                <w:sz w:val="20"/>
                <w:szCs w:val="20"/>
              </w:rPr>
            </w:pPr>
          </w:p>
          <w:p w14:paraId="44908D77" w14:textId="77777777" w:rsidR="009021F1" w:rsidRPr="0078539E" w:rsidRDefault="009021F1" w:rsidP="00E637E3">
            <w:pPr>
              <w:jc w:val="center"/>
              <w:rPr>
                <w:rFonts w:cs="Arial"/>
                <w:sz w:val="20"/>
                <w:szCs w:val="20"/>
              </w:rPr>
            </w:pPr>
          </w:p>
          <w:p w14:paraId="788FDC74" w14:textId="77777777" w:rsidR="009021F1" w:rsidRPr="0078539E" w:rsidRDefault="009021F1" w:rsidP="00E637E3">
            <w:pPr>
              <w:jc w:val="center"/>
              <w:rPr>
                <w:rFonts w:cs="Arial"/>
                <w:sz w:val="20"/>
                <w:szCs w:val="20"/>
              </w:rPr>
            </w:pPr>
            <w:r w:rsidRPr="0078539E">
              <w:rPr>
                <w:rFonts w:cs="Arial"/>
                <w:sz w:val="20"/>
                <w:szCs w:val="20"/>
              </w:rPr>
              <w:t>5</w:t>
            </w:r>
          </w:p>
        </w:tc>
        <w:tc>
          <w:tcPr>
            <w:tcW w:w="1231" w:type="dxa"/>
            <w:shd w:val="clear" w:color="auto" w:fill="auto"/>
          </w:tcPr>
          <w:p w14:paraId="42094042" w14:textId="77777777" w:rsidR="009021F1" w:rsidRPr="0078539E" w:rsidRDefault="009021F1" w:rsidP="00E637E3">
            <w:pPr>
              <w:jc w:val="center"/>
              <w:rPr>
                <w:rFonts w:cs="Arial"/>
                <w:sz w:val="20"/>
                <w:szCs w:val="20"/>
              </w:rPr>
            </w:pPr>
          </w:p>
          <w:p w14:paraId="77F2F007" w14:textId="77777777" w:rsidR="009021F1" w:rsidRPr="0078539E" w:rsidRDefault="009021F1" w:rsidP="00E637E3">
            <w:pPr>
              <w:jc w:val="center"/>
              <w:rPr>
                <w:rFonts w:cs="Arial"/>
                <w:sz w:val="20"/>
                <w:szCs w:val="20"/>
              </w:rPr>
            </w:pPr>
          </w:p>
          <w:p w14:paraId="3DEF2465" w14:textId="77777777" w:rsidR="009021F1" w:rsidRPr="0078539E" w:rsidRDefault="009021F1" w:rsidP="00E637E3">
            <w:pPr>
              <w:jc w:val="center"/>
              <w:rPr>
                <w:rFonts w:cs="Arial"/>
                <w:sz w:val="20"/>
                <w:szCs w:val="20"/>
              </w:rPr>
            </w:pPr>
            <w:r w:rsidRPr="0078539E">
              <w:rPr>
                <w:rFonts w:cs="Arial"/>
                <w:sz w:val="20"/>
                <w:szCs w:val="20"/>
              </w:rPr>
              <w:t>31</w:t>
            </w:r>
          </w:p>
        </w:tc>
      </w:tr>
      <w:tr w:rsidR="009021F1" w:rsidRPr="0008598F" w14:paraId="78252BF8" w14:textId="77777777" w:rsidTr="00E637E3">
        <w:tc>
          <w:tcPr>
            <w:tcW w:w="555" w:type="dxa"/>
            <w:shd w:val="clear" w:color="auto" w:fill="auto"/>
          </w:tcPr>
          <w:p w14:paraId="24A6931E" w14:textId="77777777" w:rsidR="009021F1" w:rsidRPr="0078539E" w:rsidRDefault="009021F1" w:rsidP="00E637E3">
            <w:pPr>
              <w:rPr>
                <w:rFonts w:cs="Arial"/>
                <w:sz w:val="20"/>
                <w:szCs w:val="20"/>
              </w:rPr>
            </w:pPr>
            <w:r w:rsidRPr="0078539E">
              <w:rPr>
                <w:rFonts w:cs="Arial"/>
                <w:sz w:val="20"/>
                <w:szCs w:val="20"/>
              </w:rPr>
              <w:t>3</w:t>
            </w:r>
          </w:p>
        </w:tc>
        <w:tc>
          <w:tcPr>
            <w:tcW w:w="1220" w:type="dxa"/>
            <w:shd w:val="clear" w:color="auto" w:fill="auto"/>
          </w:tcPr>
          <w:p w14:paraId="2566A537" w14:textId="77777777" w:rsidR="009021F1" w:rsidRPr="0078539E" w:rsidRDefault="009021F1" w:rsidP="00E637E3">
            <w:pPr>
              <w:rPr>
                <w:rFonts w:cs="Arial"/>
                <w:sz w:val="20"/>
                <w:szCs w:val="20"/>
              </w:rPr>
            </w:pPr>
            <w:r w:rsidRPr="0078539E">
              <w:rPr>
                <w:rFonts w:cs="Arial"/>
                <w:sz w:val="20"/>
                <w:szCs w:val="20"/>
              </w:rPr>
              <w:t>Tshikapa</w:t>
            </w:r>
          </w:p>
        </w:tc>
        <w:tc>
          <w:tcPr>
            <w:tcW w:w="1339" w:type="dxa"/>
            <w:shd w:val="clear" w:color="auto" w:fill="auto"/>
          </w:tcPr>
          <w:p w14:paraId="6DDCF51C" w14:textId="77777777" w:rsidR="009021F1" w:rsidRPr="0078539E" w:rsidRDefault="009021F1" w:rsidP="00E637E3">
            <w:pPr>
              <w:rPr>
                <w:rFonts w:cs="Arial"/>
                <w:sz w:val="20"/>
                <w:szCs w:val="20"/>
              </w:rPr>
            </w:pPr>
            <w:r w:rsidRPr="0078539E">
              <w:rPr>
                <w:rFonts w:cs="Arial"/>
                <w:sz w:val="20"/>
                <w:szCs w:val="20"/>
              </w:rPr>
              <w:t>26 novembre 2020</w:t>
            </w:r>
          </w:p>
        </w:tc>
        <w:tc>
          <w:tcPr>
            <w:tcW w:w="3260" w:type="dxa"/>
            <w:shd w:val="clear" w:color="auto" w:fill="auto"/>
          </w:tcPr>
          <w:p w14:paraId="50B433F9" w14:textId="77777777" w:rsidR="009021F1" w:rsidRPr="0078539E" w:rsidRDefault="009021F1" w:rsidP="00E637E3">
            <w:pPr>
              <w:rPr>
                <w:rFonts w:cs="Arial"/>
                <w:sz w:val="20"/>
                <w:szCs w:val="20"/>
              </w:rPr>
            </w:pPr>
            <w:r w:rsidRPr="0078539E">
              <w:rPr>
                <w:rFonts w:cs="Arial"/>
                <w:sz w:val="20"/>
                <w:szCs w:val="20"/>
              </w:rPr>
              <w:t>Restaurant de l’Espace Vule, situé au bord de la rivière Kasaï, dans le quartier Bikuku, ville de Tshikapa.</w:t>
            </w:r>
          </w:p>
        </w:tc>
        <w:tc>
          <w:tcPr>
            <w:tcW w:w="1366" w:type="dxa"/>
            <w:shd w:val="clear" w:color="auto" w:fill="auto"/>
          </w:tcPr>
          <w:p w14:paraId="2C3ABA97" w14:textId="77777777" w:rsidR="009021F1" w:rsidRPr="0078539E" w:rsidRDefault="009021F1" w:rsidP="00E637E3">
            <w:pPr>
              <w:jc w:val="center"/>
              <w:rPr>
                <w:rFonts w:cs="Arial"/>
                <w:sz w:val="20"/>
                <w:szCs w:val="20"/>
              </w:rPr>
            </w:pPr>
          </w:p>
          <w:p w14:paraId="6414F23E" w14:textId="77777777" w:rsidR="009021F1" w:rsidRPr="0078539E" w:rsidRDefault="009021F1" w:rsidP="00E637E3">
            <w:pPr>
              <w:jc w:val="center"/>
              <w:rPr>
                <w:rFonts w:cs="Arial"/>
                <w:sz w:val="20"/>
                <w:szCs w:val="20"/>
              </w:rPr>
            </w:pPr>
            <w:r w:rsidRPr="0078539E">
              <w:rPr>
                <w:rFonts w:cs="Arial"/>
                <w:sz w:val="20"/>
                <w:szCs w:val="20"/>
              </w:rPr>
              <w:t>44</w:t>
            </w:r>
          </w:p>
        </w:tc>
        <w:tc>
          <w:tcPr>
            <w:tcW w:w="999" w:type="dxa"/>
            <w:shd w:val="clear" w:color="auto" w:fill="auto"/>
          </w:tcPr>
          <w:p w14:paraId="129E27FE" w14:textId="77777777" w:rsidR="009021F1" w:rsidRPr="0078539E" w:rsidRDefault="009021F1" w:rsidP="00E637E3">
            <w:pPr>
              <w:jc w:val="center"/>
              <w:rPr>
                <w:rFonts w:cs="Arial"/>
                <w:sz w:val="20"/>
                <w:szCs w:val="20"/>
              </w:rPr>
            </w:pPr>
          </w:p>
          <w:p w14:paraId="5870EB3A" w14:textId="77777777" w:rsidR="009021F1" w:rsidRPr="0078539E" w:rsidRDefault="009021F1" w:rsidP="00E637E3">
            <w:pPr>
              <w:jc w:val="center"/>
              <w:rPr>
                <w:rFonts w:cs="Arial"/>
                <w:sz w:val="20"/>
                <w:szCs w:val="20"/>
              </w:rPr>
            </w:pPr>
            <w:r w:rsidRPr="0078539E">
              <w:rPr>
                <w:rFonts w:cs="Arial"/>
                <w:sz w:val="20"/>
                <w:szCs w:val="20"/>
              </w:rPr>
              <w:t>5</w:t>
            </w:r>
          </w:p>
        </w:tc>
        <w:tc>
          <w:tcPr>
            <w:tcW w:w="1231" w:type="dxa"/>
            <w:shd w:val="clear" w:color="auto" w:fill="auto"/>
          </w:tcPr>
          <w:p w14:paraId="7EFCF37F" w14:textId="77777777" w:rsidR="009021F1" w:rsidRPr="0078539E" w:rsidRDefault="009021F1" w:rsidP="00E637E3">
            <w:pPr>
              <w:jc w:val="center"/>
              <w:rPr>
                <w:rFonts w:cs="Arial"/>
                <w:sz w:val="20"/>
                <w:szCs w:val="20"/>
              </w:rPr>
            </w:pPr>
          </w:p>
          <w:p w14:paraId="491650C3" w14:textId="77777777" w:rsidR="009021F1" w:rsidRPr="0078539E" w:rsidRDefault="009021F1" w:rsidP="00E637E3">
            <w:pPr>
              <w:jc w:val="center"/>
              <w:rPr>
                <w:rFonts w:cs="Arial"/>
                <w:sz w:val="20"/>
                <w:szCs w:val="20"/>
              </w:rPr>
            </w:pPr>
            <w:r w:rsidRPr="0078539E">
              <w:rPr>
                <w:rFonts w:cs="Arial"/>
                <w:sz w:val="20"/>
                <w:szCs w:val="20"/>
              </w:rPr>
              <w:t>39</w:t>
            </w:r>
          </w:p>
        </w:tc>
      </w:tr>
      <w:tr w:rsidR="009021F1" w:rsidRPr="0008598F" w14:paraId="0A40971B" w14:textId="77777777" w:rsidTr="00E637E3">
        <w:tc>
          <w:tcPr>
            <w:tcW w:w="555" w:type="dxa"/>
            <w:shd w:val="clear" w:color="auto" w:fill="auto"/>
          </w:tcPr>
          <w:p w14:paraId="4514AED9" w14:textId="77777777" w:rsidR="009021F1" w:rsidRPr="0078539E" w:rsidRDefault="009021F1" w:rsidP="00E637E3">
            <w:pPr>
              <w:rPr>
                <w:rFonts w:cs="Arial"/>
                <w:sz w:val="20"/>
                <w:szCs w:val="20"/>
              </w:rPr>
            </w:pPr>
            <w:r w:rsidRPr="0078539E">
              <w:rPr>
                <w:rFonts w:cs="Arial"/>
                <w:sz w:val="20"/>
                <w:szCs w:val="20"/>
              </w:rPr>
              <w:t>4</w:t>
            </w:r>
          </w:p>
        </w:tc>
        <w:tc>
          <w:tcPr>
            <w:tcW w:w="1220" w:type="dxa"/>
            <w:shd w:val="clear" w:color="auto" w:fill="auto"/>
          </w:tcPr>
          <w:p w14:paraId="45848815" w14:textId="77777777" w:rsidR="009021F1" w:rsidRPr="0078539E" w:rsidRDefault="009021F1" w:rsidP="00E637E3">
            <w:pPr>
              <w:rPr>
                <w:rFonts w:cs="Arial"/>
                <w:sz w:val="20"/>
                <w:szCs w:val="20"/>
              </w:rPr>
            </w:pPr>
            <w:r w:rsidRPr="0078539E">
              <w:rPr>
                <w:rFonts w:cs="Arial"/>
                <w:sz w:val="20"/>
                <w:szCs w:val="20"/>
              </w:rPr>
              <w:t>Kananga</w:t>
            </w:r>
          </w:p>
        </w:tc>
        <w:tc>
          <w:tcPr>
            <w:tcW w:w="1339" w:type="dxa"/>
            <w:shd w:val="clear" w:color="auto" w:fill="auto"/>
          </w:tcPr>
          <w:p w14:paraId="086571E3" w14:textId="77777777" w:rsidR="009021F1" w:rsidRPr="0078539E" w:rsidRDefault="009021F1" w:rsidP="00E637E3">
            <w:pPr>
              <w:rPr>
                <w:rFonts w:cs="Arial"/>
                <w:sz w:val="20"/>
                <w:szCs w:val="20"/>
              </w:rPr>
            </w:pPr>
            <w:r w:rsidRPr="0078539E">
              <w:rPr>
                <w:rFonts w:cs="Arial"/>
                <w:sz w:val="20"/>
                <w:szCs w:val="20"/>
              </w:rPr>
              <w:t>4 décembre 2020</w:t>
            </w:r>
          </w:p>
        </w:tc>
        <w:tc>
          <w:tcPr>
            <w:tcW w:w="3260" w:type="dxa"/>
            <w:shd w:val="clear" w:color="auto" w:fill="auto"/>
          </w:tcPr>
          <w:p w14:paraId="36CEC64A" w14:textId="77777777" w:rsidR="009021F1" w:rsidRPr="0078539E" w:rsidRDefault="009021F1" w:rsidP="00E637E3">
            <w:pPr>
              <w:tabs>
                <w:tab w:val="left" w:pos="1524"/>
              </w:tabs>
              <w:jc w:val="left"/>
              <w:rPr>
                <w:rFonts w:cs="Arial"/>
                <w:sz w:val="20"/>
                <w:szCs w:val="20"/>
              </w:rPr>
            </w:pPr>
            <w:r w:rsidRPr="0078539E">
              <w:rPr>
                <w:rFonts w:cs="Arial"/>
                <w:sz w:val="20"/>
                <w:szCs w:val="20"/>
              </w:rPr>
              <w:t>Salle du Centre des Ressources Pédagogiques de Kananga, située dans le quartier Kamayi Athénée à côté de l’ISDR en face de l’Alliance Française, commune de Kananga</w:t>
            </w:r>
          </w:p>
        </w:tc>
        <w:tc>
          <w:tcPr>
            <w:tcW w:w="1366" w:type="dxa"/>
            <w:shd w:val="clear" w:color="auto" w:fill="auto"/>
          </w:tcPr>
          <w:p w14:paraId="3599E0E5" w14:textId="77777777" w:rsidR="009021F1" w:rsidRPr="0078539E" w:rsidRDefault="009021F1" w:rsidP="00E637E3">
            <w:pPr>
              <w:jc w:val="center"/>
              <w:rPr>
                <w:rFonts w:cs="Arial"/>
                <w:sz w:val="20"/>
                <w:szCs w:val="20"/>
              </w:rPr>
            </w:pPr>
          </w:p>
          <w:p w14:paraId="6B558D20" w14:textId="77777777" w:rsidR="009021F1" w:rsidRPr="0078539E" w:rsidRDefault="009021F1" w:rsidP="00E637E3">
            <w:pPr>
              <w:jc w:val="center"/>
              <w:rPr>
                <w:rFonts w:cs="Arial"/>
                <w:sz w:val="20"/>
                <w:szCs w:val="20"/>
              </w:rPr>
            </w:pPr>
          </w:p>
          <w:p w14:paraId="4C13FFF5" w14:textId="77777777" w:rsidR="009021F1" w:rsidRPr="0078539E" w:rsidRDefault="009021F1" w:rsidP="00E637E3">
            <w:pPr>
              <w:jc w:val="center"/>
              <w:rPr>
                <w:rFonts w:cs="Arial"/>
                <w:sz w:val="20"/>
                <w:szCs w:val="20"/>
              </w:rPr>
            </w:pPr>
            <w:r w:rsidRPr="0078539E">
              <w:rPr>
                <w:rFonts w:cs="Arial"/>
                <w:sz w:val="20"/>
                <w:szCs w:val="20"/>
              </w:rPr>
              <w:t>43</w:t>
            </w:r>
          </w:p>
        </w:tc>
        <w:tc>
          <w:tcPr>
            <w:tcW w:w="999" w:type="dxa"/>
            <w:shd w:val="clear" w:color="auto" w:fill="auto"/>
          </w:tcPr>
          <w:p w14:paraId="364F333F" w14:textId="77777777" w:rsidR="009021F1" w:rsidRPr="0078539E" w:rsidRDefault="009021F1" w:rsidP="00E637E3">
            <w:pPr>
              <w:jc w:val="center"/>
              <w:rPr>
                <w:rFonts w:cs="Arial"/>
                <w:sz w:val="20"/>
                <w:szCs w:val="20"/>
              </w:rPr>
            </w:pPr>
          </w:p>
          <w:p w14:paraId="176DB82E" w14:textId="77777777" w:rsidR="009021F1" w:rsidRPr="0078539E" w:rsidRDefault="009021F1" w:rsidP="00E637E3">
            <w:pPr>
              <w:jc w:val="center"/>
              <w:rPr>
                <w:rFonts w:cs="Arial"/>
                <w:sz w:val="20"/>
                <w:szCs w:val="20"/>
              </w:rPr>
            </w:pPr>
          </w:p>
          <w:p w14:paraId="673F6A57" w14:textId="77777777" w:rsidR="009021F1" w:rsidRPr="0078539E" w:rsidRDefault="009021F1" w:rsidP="00E637E3">
            <w:pPr>
              <w:jc w:val="center"/>
              <w:rPr>
                <w:rFonts w:cs="Arial"/>
                <w:sz w:val="20"/>
                <w:szCs w:val="20"/>
              </w:rPr>
            </w:pPr>
            <w:r w:rsidRPr="0078539E">
              <w:rPr>
                <w:rFonts w:cs="Arial"/>
                <w:sz w:val="20"/>
                <w:szCs w:val="20"/>
              </w:rPr>
              <w:t>3</w:t>
            </w:r>
          </w:p>
        </w:tc>
        <w:tc>
          <w:tcPr>
            <w:tcW w:w="1231" w:type="dxa"/>
            <w:shd w:val="clear" w:color="auto" w:fill="auto"/>
          </w:tcPr>
          <w:p w14:paraId="06DF7D33" w14:textId="77777777" w:rsidR="009021F1" w:rsidRPr="0078539E" w:rsidRDefault="009021F1" w:rsidP="00E637E3">
            <w:pPr>
              <w:jc w:val="center"/>
              <w:rPr>
                <w:rFonts w:cs="Arial"/>
                <w:sz w:val="20"/>
                <w:szCs w:val="20"/>
              </w:rPr>
            </w:pPr>
          </w:p>
          <w:p w14:paraId="46D2CF17" w14:textId="77777777" w:rsidR="009021F1" w:rsidRPr="0078539E" w:rsidRDefault="009021F1" w:rsidP="00E637E3">
            <w:pPr>
              <w:jc w:val="center"/>
              <w:rPr>
                <w:rFonts w:cs="Arial"/>
                <w:sz w:val="20"/>
                <w:szCs w:val="20"/>
              </w:rPr>
            </w:pPr>
          </w:p>
          <w:p w14:paraId="205F7CB9" w14:textId="77777777" w:rsidR="009021F1" w:rsidRPr="0078539E" w:rsidRDefault="009021F1" w:rsidP="00E637E3">
            <w:pPr>
              <w:jc w:val="center"/>
              <w:rPr>
                <w:rFonts w:cs="Arial"/>
                <w:sz w:val="20"/>
                <w:szCs w:val="20"/>
              </w:rPr>
            </w:pPr>
            <w:r w:rsidRPr="0078539E">
              <w:rPr>
                <w:rFonts w:cs="Arial"/>
                <w:sz w:val="20"/>
                <w:szCs w:val="20"/>
              </w:rPr>
              <w:t>40</w:t>
            </w:r>
          </w:p>
        </w:tc>
      </w:tr>
      <w:tr w:rsidR="009021F1" w:rsidRPr="0008598F" w14:paraId="42F1FE88" w14:textId="77777777" w:rsidTr="00E637E3">
        <w:tc>
          <w:tcPr>
            <w:tcW w:w="555" w:type="dxa"/>
            <w:shd w:val="clear" w:color="auto" w:fill="auto"/>
          </w:tcPr>
          <w:p w14:paraId="6AF1AEBD" w14:textId="77777777" w:rsidR="009021F1" w:rsidRPr="0078539E" w:rsidRDefault="009021F1" w:rsidP="00E637E3">
            <w:pPr>
              <w:rPr>
                <w:rFonts w:cs="Arial"/>
                <w:sz w:val="20"/>
                <w:szCs w:val="20"/>
              </w:rPr>
            </w:pPr>
            <w:r w:rsidRPr="0078539E">
              <w:rPr>
                <w:rFonts w:cs="Arial"/>
                <w:sz w:val="20"/>
                <w:szCs w:val="20"/>
              </w:rPr>
              <w:t>5</w:t>
            </w:r>
          </w:p>
        </w:tc>
        <w:tc>
          <w:tcPr>
            <w:tcW w:w="1220" w:type="dxa"/>
            <w:shd w:val="clear" w:color="auto" w:fill="auto"/>
          </w:tcPr>
          <w:p w14:paraId="54C970E2" w14:textId="77777777" w:rsidR="009021F1" w:rsidRPr="0078539E" w:rsidRDefault="009021F1" w:rsidP="00E637E3">
            <w:pPr>
              <w:rPr>
                <w:rFonts w:cs="Arial"/>
                <w:sz w:val="20"/>
                <w:szCs w:val="20"/>
              </w:rPr>
            </w:pPr>
            <w:r w:rsidRPr="0078539E">
              <w:rPr>
                <w:rFonts w:cs="Arial"/>
                <w:sz w:val="20"/>
                <w:szCs w:val="20"/>
              </w:rPr>
              <w:t xml:space="preserve">Matadi </w:t>
            </w:r>
          </w:p>
        </w:tc>
        <w:tc>
          <w:tcPr>
            <w:tcW w:w="1339" w:type="dxa"/>
            <w:shd w:val="clear" w:color="auto" w:fill="auto"/>
          </w:tcPr>
          <w:p w14:paraId="4EFC816A" w14:textId="77777777" w:rsidR="009021F1" w:rsidRPr="0078539E" w:rsidRDefault="009021F1" w:rsidP="00E637E3">
            <w:pPr>
              <w:rPr>
                <w:rFonts w:cs="Arial"/>
                <w:sz w:val="20"/>
                <w:szCs w:val="20"/>
              </w:rPr>
            </w:pPr>
            <w:r w:rsidRPr="0078539E">
              <w:rPr>
                <w:rFonts w:cs="Arial"/>
                <w:sz w:val="20"/>
                <w:szCs w:val="20"/>
              </w:rPr>
              <w:t>16 décembre 2020</w:t>
            </w:r>
          </w:p>
        </w:tc>
        <w:tc>
          <w:tcPr>
            <w:tcW w:w="3260" w:type="dxa"/>
            <w:shd w:val="clear" w:color="auto" w:fill="auto"/>
          </w:tcPr>
          <w:p w14:paraId="47FDAE40" w14:textId="77777777" w:rsidR="009021F1" w:rsidRPr="0078539E" w:rsidRDefault="009021F1" w:rsidP="00E637E3">
            <w:pPr>
              <w:jc w:val="left"/>
              <w:rPr>
                <w:rFonts w:cs="Arial"/>
                <w:sz w:val="20"/>
                <w:szCs w:val="20"/>
              </w:rPr>
            </w:pPr>
            <w:r w:rsidRPr="0078539E">
              <w:rPr>
                <w:rFonts w:cs="Arial"/>
                <w:sz w:val="20"/>
                <w:szCs w:val="20"/>
              </w:rPr>
              <w:t>Salle du Ministère Provincial de l’Agriculture du Kongo Central, située au n°3 de l’avenue Nkalakala, Commune de Matadi</w:t>
            </w:r>
          </w:p>
        </w:tc>
        <w:tc>
          <w:tcPr>
            <w:tcW w:w="1366" w:type="dxa"/>
            <w:shd w:val="clear" w:color="auto" w:fill="auto"/>
          </w:tcPr>
          <w:p w14:paraId="6A12B8EB" w14:textId="77777777" w:rsidR="009021F1" w:rsidRPr="0078539E" w:rsidRDefault="009021F1" w:rsidP="00E637E3">
            <w:pPr>
              <w:jc w:val="center"/>
              <w:rPr>
                <w:rFonts w:cs="Arial"/>
                <w:sz w:val="20"/>
                <w:szCs w:val="20"/>
              </w:rPr>
            </w:pPr>
          </w:p>
          <w:p w14:paraId="6B4D103F" w14:textId="77777777" w:rsidR="009021F1" w:rsidRPr="0078539E" w:rsidRDefault="009021F1" w:rsidP="00E637E3">
            <w:pPr>
              <w:jc w:val="center"/>
              <w:rPr>
                <w:rFonts w:cs="Arial"/>
                <w:sz w:val="20"/>
                <w:szCs w:val="20"/>
              </w:rPr>
            </w:pPr>
            <w:r w:rsidRPr="0078539E">
              <w:rPr>
                <w:rFonts w:cs="Arial"/>
                <w:sz w:val="20"/>
                <w:szCs w:val="20"/>
              </w:rPr>
              <w:t>49</w:t>
            </w:r>
          </w:p>
        </w:tc>
        <w:tc>
          <w:tcPr>
            <w:tcW w:w="999" w:type="dxa"/>
            <w:shd w:val="clear" w:color="auto" w:fill="auto"/>
          </w:tcPr>
          <w:p w14:paraId="06752AEA" w14:textId="77777777" w:rsidR="009021F1" w:rsidRPr="0078539E" w:rsidRDefault="009021F1" w:rsidP="00E637E3">
            <w:pPr>
              <w:jc w:val="center"/>
              <w:rPr>
                <w:rFonts w:cs="Arial"/>
                <w:sz w:val="20"/>
                <w:szCs w:val="20"/>
              </w:rPr>
            </w:pPr>
          </w:p>
          <w:p w14:paraId="57FC0762" w14:textId="77777777" w:rsidR="009021F1" w:rsidRPr="0078539E" w:rsidRDefault="009021F1" w:rsidP="00E637E3">
            <w:pPr>
              <w:jc w:val="center"/>
              <w:rPr>
                <w:rFonts w:cs="Arial"/>
                <w:sz w:val="20"/>
                <w:szCs w:val="20"/>
              </w:rPr>
            </w:pPr>
            <w:r w:rsidRPr="0078539E">
              <w:rPr>
                <w:rFonts w:cs="Arial"/>
                <w:sz w:val="20"/>
                <w:szCs w:val="20"/>
              </w:rPr>
              <w:t>11</w:t>
            </w:r>
          </w:p>
        </w:tc>
        <w:tc>
          <w:tcPr>
            <w:tcW w:w="1231" w:type="dxa"/>
            <w:shd w:val="clear" w:color="auto" w:fill="auto"/>
          </w:tcPr>
          <w:p w14:paraId="7AB4132A" w14:textId="77777777" w:rsidR="009021F1" w:rsidRPr="0078539E" w:rsidRDefault="009021F1" w:rsidP="00E637E3">
            <w:pPr>
              <w:jc w:val="center"/>
              <w:rPr>
                <w:rFonts w:cs="Arial"/>
                <w:sz w:val="20"/>
                <w:szCs w:val="20"/>
              </w:rPr>
            </w:pPr>
          </w:p>
          <w:p w14:paraId="695026EB" w14:textId="77777777" w:rsidR="009021F1" w:rsidRPr="0078539E" w:rsidRDefault="009021F1" w:rsidP="00E637E3">
            <w:pPr>
              <w:jc w:val="center"/>
              <w:rPr>
                <w:rFonts w:cs="Arial"/>
                <w:sz w:val="20"/>
                <w:szCs w:val="20"/>
              </w:rPr>
            </w:pPr>
            <w:r w:rsidRPr="0078539E">
              <w:rPr>
                <w:rFonts w:cs="Arial"/>
                <w:sz w:val="20"/>
                <w:szCs w:val="20"/>
              </w:rPr>
              <w:t>38</w:t>
            </w:r>
          </w:p>
        </w:tc>
      </w:tr>
      <w:tr w:rsidR="009021F1" w:rsidRPr="0008598F" w14:paraId="1AE080F7" w14:textId="77777777" w:rsidTr="00E637E3">
        <w:trPr>
          <w:trHeight w:val="301"/>
        </w:trPr>
        <w:tc>
          <w:tcPr>
            <w:tcW w:w="6374" w:type="dxa"/>
            <w:gridSpan w:val="4"/>
            <w:shd w:val="clear" w:color="auto" w:fill="auto"/>
          </w:tcPr>
          <w:p w14:paraId="58BE763B" w14:textId="77777777" w:rsidR="009021F1" w:rsidRPr="0078539E" w:rsidRDefault="009021F1" w:rsidP="00E637E3">
            <w:pPr>
              <w:jc w:val="center"/>
              <w:rPr>
                <w:rFonts w:cs="Arial"/>
                <w:b/>
                <w:sz w:val="20"/>
                <w:szCs w:val="20"/>
              </w:rPr>
            </w:pPr>
            <w:r w:rsidRPr="0078539E">
              <w:rPr>
                <w:rFonts w:cs="Arial"/>
                <w:b/>
                <w:sz w:val="20"/>
                <w:szCs w:val="20"/>
              </w:rPr>
              <w:t>TOTAL</w:t>
            </w:r>
          </w:p>
        </w:tc>
        <w:tc>
          <w:tcPr>
            <w:tcW w:w="1366" w:type="dxa"/>
            <w:shd w:val="clear" w:color="auto" w:fill="auto"/>
          </w:tcPr>
          <w:p w14:paraId="1DCA9292" w14:textId="77777777" w:rsidR="009021F1" w:rsidRPr="0078539E" w:rsidRDefault="009021F1" w:rsidP="00E637E3">
            <w:pPr>
              <w:jc w:val="center"/>
              <w:rPr>
                <w:rFonts w:cs="Arial"/>
                <w:b/>
                <w:sz w:val="20"/>
                <w:szCs w:val="20"/>
              </w:rPr>
            </w:pPr>
            <w:r w:rsidRPr="0078539E">
              <w:rPr>
                <w:rFonts w:cs="Arial"/>
                <w:b/>
                <w:sz w:val="20"/>
                <w:szCs w:val="20"/>
              </w:rPr>
              <w:t>209</w:t>
            </w:r>
          </w:p>
        </w:tc>
        <w:tc>
          <w:tcPr>
            <w:tcW w:w="999" w:type="dxa"/>
            <w:shd w:val="clear" w:color="auto" w:fill="auto"/>
          </w:tcPr>
          <w:p w14:paraId="7F65BC68" w14:textId="77777777" w:rsidR="009021F1" w:rsidRPr="0078539E" w:rsidRDefault="009021F1" w:rsidP="00E637E3">
            <w:pPr>
              <w:jc w:val="center"/>
              <w:rPr>
                <w:rFonts w:cs="Arial"/>
                <w:b/>
                <w:sz w:val="20"/>
                <w:szCs w:val="20"/>
              </w:rPr>
            </w:pPr>
            <w:r w:rsidRPr="0078539E">
              <w:rPr>
                <w:rFonts w:cs="Arial"/>
                <w:b/>
                <w:sz w:val="20"/>
                <w:szCs w:val="20"/>
              </w:rPr>
              <w:t>32</w:t>
            </w:r>
          </w:p>
        </w:tc>
        <w:tc>
          <w:tcPr>
            <w:tcW w:w="1231" w:type="dxa"/>
            <w:shd w:val="clear" w:color="auto" w:fill="auto"/>
          </w:tcPr>
          <w:p w14:paraId="7CF9EC05" w14:textId="77777777" w:rsidR="009021F1" w:rsidRPr="0078539E" w:rsidRDefault="009021F1" w:rsidP="00E637E3">
            <w:pPr>
              <w:jc w:val="center"/>
              <w:rPr>
                <w:rFonts w:cs="Arial"/>
                <w:b/>
                <w:sz w:val="20"/>
                <w:szCs w:val="20"/>
              </w:rPr>
            </w:pPr>
            <w:r w:rsidRPr="0078539E">
              <w:rPr>
                <w:rFonts w:cs="Arial"/>
                <w:b/>
                <w:sz w:val="20"/>
                <w:szCs w:val="20"/>
              </w:rPr>
              <w:t>177</w:t>
            </w:r>
          </w:p>
        </w:tc>
      </w:tr>
    </w:tbl>
    <w:p w14:paraId="31C05507" w14:textId="77777777" w:rsidR="009021F1" w:rsidRPr="0078539E" w:rsidRDefault="009021F1" w:rsidP="009021F1">
      <w:pPr>
        <w:rPr>
          <w:szCs w:val="21"/>
        </w:rPr>
      </w:pPr>
    </w:p>
    <w:p w14:paraId="3A8ACA74" w14:textId="77777777" w:rsidR="009021F1" w:rsidRPr="0078539E" w:rsidRDefault="009021F1" w:rsidP="009021F1">
      <w:pPr>
        <w:rPr>
          <w:szCs w:val="21"/>
        </w:rPr>
      </w:pPr>
    </w:p>
    <w:p w14:paraId="5622DC81" w14:textId="77777777" w:rsidR="00E637E3" w:rsidRDefault="009021F1" w:rsidP="009021F1">
      <w:pPr>
        <w:spacing w:line="240" w:lineRule="auto"/>
        <w:rPr>
          <w:rFonts w:cs="Arial"/>
          <w:szCs w:val="21"/>
        </w:rPr>
      </w:pPr>
      <w:r w:rsidRPr="0078539E">
        <w:rPr>
          <w:rFonts w:cs="Arial"/>
          <w:szCs w:val="21"/>
        </w:rPr>
        <w:t>Les détails sur les points discutés, les atouts, les préoccupations et craintes ainsi que les suggestions et recommandations sont repris dans le tableau ci-dessous.</w:t>
      </w:r>
    </w:p>
    <w:p w14:paraId="404BC7FC" w14:textId="77777777" w:rsidR="00E637E3" w:rsidRDefault="00E637E3" w:rsidP="009021F1">
      <w:pPr>
        <w:spacing w:line="240" w:lineRule="auto"/>
        <w:rPr>
          <w:rFonts w:cs="Arial"/>
          <w:sz w:val="22"/>
        </w:rPr>
        <w:sectPr w:rsidR="00E637E3" w:rsidSect="00E637E3">
          <w:footerReference w:type="default" r:id="rId101"/>
          <w:pgSz w:w="11906" w:h="16838"/>
          <w:pgMar w:top="1134" w:right="1418" w:bottom="1134" w:left="1418" w:header="708" w:footer="188" w:gutter="0"/>
          <w:cols w:space="708"/>
          <w:docGrid w:linePitch="360"/>
        </w:sectPr>
      </w:pPr>
    </w:p>
    <w:p w14:paraId="5BA688FA" w14:textId="77777777" w:rsidR="009021F1" w:rsidRPr="00F44B51" w:rsidRDefault="009021F1" w:rsidP="009021F1">
      <w:pPr>
        <w:rPr>
          <w:rFonts w:cs="Arial"/>
          <w:sz w:val="22"/>
        </w:rPr>
      </w:pPr>
      <w:r w:rsidRPr="00F44B51">
        <w:rPr>
          <w:sz w:val="22"/>
        </w:rPr>
        <w:t xml:space="preserve">Tableau </w:t>
      </w:r>
      <w:r w:rsidRPr="00F44B51">
        <w:rPr>
          <w:sz w:val="22"/>
        </w:rPr>
        <w:fldChar w:fldCharType="begin"/>
      </w:r>
      <w:r w:rsidRPr="00F44B51">
        <w:rPr>
          <w:sz w:val="22"/>
        </w:rPr>
        <w:instrText xml:space="preserve"> SEQ Tableau \* ARABIC </w:instrText>
      </w:r>
      <w:r w:rsidRPr="00F44B51">
        <w:rPr>
          <w:sz w:val="22"/>
        </w:rPr>
        <w:fldChar w:fldCharType="separate"/>
      </w:r>
      <w:r>
        <w:rPr>
          <w:noProof/>
          <w:sz w:val="22"/>
        </w:rPr>
        <w:t>42</w:t>
      </w:r>
      <w:r w:rsidRPr="00F44B51">
        <w:rPr>
          <w:sz w:val="22"/>
        </w:rPr>
        <w:fldChar w:fldCharType="end"/>
      </w:r>
      <w:r w:rsidRPr="00F44B51">
        <w:rPr>
          <w:rFonts w:cs="Arial"/>
          <w:sz w:val="22"/>
        </w:rPr>
        <w:t>. Synthèse des résultats des ateliers de restitution</w:t>
      </w:r>
    </w:p>
    <w:p w14:paraId="1EE1C194" w14:textId="77777777" w:rsidR="009021F1" w:rsidRPr="00A32CCF" w:rsidRDefault="009021F1" w:rsidP="009021F1">
      <w:pPr>
        <w:rPr>
          <w:rFonts w:cs="Arial"/>
        </w:rPr>
      </w:pPr>
    </w:p>
    <w:tbl>
      <w:tblPr>
        <w:tblW w:w="14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3"/>
        <w:gridCol w:w="2977"/>
        <w:gridCol w:w="2799"/>
        <w:gridCol w:w="2446"/>
        <w:gridCol w:w="3969"/>
      </w:tblGrid>
      <w:tr w:rsidR="009021F1" w:rsidRPr="0008598F" w14:paraId="685F72F2" w14:textId="77777777" w:rsidTr="00E637E3">
        <w:tc>
          <w:tcPr>
            <w:tcW w:w="2263" w:type="dxa"/>
            <w:shd w:val="clear" w:color="auto" w:fill="auto"/>
          </w:tcPr>
          <w:p w14:paraId="55CC0DAD" w14:textId="77777777" w:rsidR="009021F1" w:rsidRPr="0078539E" w:rsidRDefault="009021F1" w:rsidP="00E637E3">
            <w:pPr>
              <w:jc w:val="center"/>
              <w:rPr>
                <w:rFonts w:cs="Arial"/>
                <w:b/>
                <w:sz w:val="20"/>
                <w:szCs w:val="20"/>
              </w:rPr>
            </w:pPr>
            <w:r w:rsidRPr="0078539E">
              <w:rPr>
                <w:rFonts w:cs="Arial"/>
                <w:b/>
                <w:sz w:val="20"/>
                <w:szCs w:val="20"/>
              </w:rPr>
              <w:t>Acteurs / Institutions</w:t>
            </w:r>
          </w:p>
        </w:tc>
        <w:tc>
          <w:tcPr>
            <w:tcW w:w="2977" w:type="dxa"/>
            <w:shd w:val="clear" w:color="auto" w:fill="auto"/>
          </w:tcPr>
          <w:p w14:paraId="1035878F" w14:textId="77777777" w:rsidR="009021F1" w:rsidRPr="0078539E" w:rsidRDefault="009021F1" w:rsidP="00E637E3">
            <w:pPr>
              <w:jc w:val="center"/>
              <w:rPr>
                <w:rFonts w:cs="Arial"/>
                <w:b/>
                <w:sz w:val="20"/>
                <w:szCs w:val="20"/>
              </w:rPr>
            </w:pPr>
            <w:r w:rsidRPr="0078539E">
              <w:rPr>
                <w:rFonts w:cs="Arial"/>
                <w:b/>
                <w:sz w:val="20"/>
                <w:szCs w:val="20"/>
              </w:rPr>
              <w:t>Points discutés</w:t>
            </w:r>
          </w:p>
        </w:tc>
        <w:tc>
          <w:tcPr>
            <w:tcW w:w="2799" w:type="dxa"/>
            <w:shd w:val="clear" w:color="auto" w:fill="auto"/>
          </w:tcPr>
          <w:p w14:paraId="709E2707" w14:textId="77777777" w:rsidR="009021F1" w:rsidRPr="0078539E" w:rsidRDefault="009021F1" w:rsidP="00E637E3">
            <w:pPr>
              <w:jc w:val="center"/>
              <w:rPr>
                <w:rFonts w:cs="Arial"/>
                <w:b/>
                <w:sz w:val="20"/>
                <w:szCs w:val="20"/>
              </w:rPr>
            </w:pPr>
            <w:r w:rsidRPr="0078539E">
              <w:rPr>
                <w:rFonts w:cs="Arial"/>
                <w:b/>
                <w:sz w:val="20"/>
                <w:szCs w:val="20"/>
              </w:rPr>
              <w:t>Atouts</w:t>
            </w:r>
          </w:p>
        </w:tc>
        <w:tc>
          <w:tcPr>
            <w:tcW w:w="2446" w:type="dxa"/>
            <w:shd w:val="clear" w:color="auto" w:fill="auto"/>
          </w:tcPr>
          <w:p w14:paraId="7E4C2C94" w14:textId="77777777" w:rsidR="009021F1" w:rsidRPr="0078539E" w:rsidRDefault="009021F1" w:rsidP="00E637E3">
            <w:pPr>
              <w:jc w:val="center"/>
              <w:rPr>
                <w:rFonts w:cs="Arial"/>
                <w:b/>
                <w:sz w:val="20"/>
                <w:szCs w:val="20"/>
              </w:rPr>
            </w:pPr>
            <w:r w:rsidRPr="0078539E">
              <w:rPr>
                <w:rFonts w:cs="Arial"/>
                <w:b/>
                <w:sz w:val="20"/>
                <w:szCs w:val="20"/>
              </w:rPr>
              <w:t>Préoccupations et craintes</w:t>
            </w:r>
          </w:p>
        </w:tc>
        <w:tc>
          <w:tcPr>
            <w:tcW w:w="3969" w:type="dxa"/>
            <w:shd w:val="clear" w:color="auto" w:fill="auto"/>
          </w:tcPr>
          <w:p w14:paraId="4B571F7A" w14:textId="77777777" w:rsidR="009021F1" w:rsidRPr="0078539E" w:rsidRDefault="009021F1" w:rsidP="00E637E3">
            <w:pPr>
              <w:jc w:val="center"/>
              <w:rPr>
                <w:rFonts w:cs="Arial"/>
                <w:b/>
                <w:sz w:val="20"/>
                <w:szCs w:val="20"/>
              </w:rPr>
            </w:pPr>
            <w:r w:rsidRPr="0078539E">
              <w:rPr>
                <w:rFonts w:cs="Arial"/>
                <w:b/>
                <w:sz w:val="20"/>
                <w:szCs w:val="20"/>
              </w:rPr>
              <w:t>Suggestions et recommandations</w:t>
            </w:r>
          </w:p>
        </w:tc>
      </w:tr>
      <w:tr w:rsidR="009021F1" w:rsidRPr="0008598F" w14:paraId="05CFABD2" w14:textId="77777777" w:rsidTr="00E637E3">
        <w:tc>
          <w:tcPr>
            <w:tcW w:w="2263" w:type="dxa"/>
            <w:shd w:val="clear" w:color="auto" w:fill="auto"/>
          </w:tcPr>
          <w:p w14:paraId="30C98FC6" w14:textId="77777777" w:rsidR="009021F1" w:rsidRPr="0078539E" w:rsidRDefault="009021F1" w:rsidP="00E637E3">
            <w:pPr>
              <w:rPr>
                <w:rFonts w:cs="Arial"/>
                <w:sz w:val="20"/>
                <w:szCs w:val="20"/>
              </w:rPr>
            </w:pPr>
            <w:r w:rsidRPr="0078539E">
              <w:rPr>
                <w:rFonts w:cs="Arial"/>
                <w:sz w:val="20"/>
                <w:szCs w:val="20"/>
              </w:rPr>
              <w:t>Autorités locales</w:t>
            </w:r>
          </w:p>
        </w:tc>
        <w:tc>
          <w:tcPr>
            <w:tcW w:w="2977" w:type="dxa"/>
            <w:shd w:val="clear" w:color="auto" w:fill="auto"/>
          </w:tcPr>
          <w:p w14:paraId="3F9D5AF3" w14:textId="77777777" w:rsidR="009021F1" w:rsidRPr="0078539E" w:rsidRDefault="009021F1" w:rsidP="00E637E3">
            <w:pPr>
              <w:pStyle w:val="Paragraphedeliste"/>
              <w:numPr>
                <w:ilvl w:val="0"/>
                <w:numId w:val="115"/>
              </w:numPr>
              <w:spacing w:line="240" w:lineRule="auto"/>
              <w:ind w:left="34" w:hanging="99"/>
              <w:jc w:val="left"/>
              <w:rPr>
                <w:rFonts w:cs="Arial"/>
                <w:sz w:val="20"/>
                <w:szCs w:val="20"/>
              </w:rPr>
            </w:pPr>
            <w:r w:rsidRPr="0078539E">
              <w:rPr>
                <w:rFonts w:cs="Arial"/>
                <w:sz w:val="20"/>
                <w:szCs w:val="20"/>
              </w:rPr>
              <w:t>Présentation du Cadre de Gestion Environnementale et Sociale ;</w:t>
            </w:r>
          </w:p>
          <w:p w14:paraId="12B6E2B7" w14:textId="77777777" w:rsidR="009021F1" w:rsidRPr="0078539E" w:rsidRDefault="009021F1" w:rsidP="00E637E3">
            <w:pPr>
              <w:pStyle w:val="Paragraphedeliste"/>
              <w:numPr>
                <w:ilvl w:val="0"/>
                <w:numId w:val="115"/>
              </w:numPr>
              <w:spacing w:line="240" w:lineRule="auto"/>
              <w:ind w:left="34" w:hanging="99"/>
              <w:jc w:val="left"/>
              <w:rPr>
                <w:rFonts w:cs="Arial"/>
                <w:sz w:val="20"/>
                <w:szCs w:val="20"/>
              </w:rPr>
            </w:pPr>
            <w:r w:rsidRPr="0078539E">
              <w:rPr>
                <w:rFonts w:cs="Arial"/>
                <w:sz w:val="20"/>
                <w:szCs w:val="20"/>
              </w:rPr>
              <w:t>Présentation du Cadre de Gestion de Pesticides.</w:t>
            </w:r>
          </w:p>
        </w:tc>
        <w:tc>
          <w:tcPr>
            <w:tcW w:w="2799" w:type="dxa"/>
            <w:shd w:val="clear" w:color="auto" w:fill="auto"/>
          </w:tcPr>
          <w:p w14:paraId="0D243012" w14:textId="77777777" w:rsidR="009021F1" w:rsidRPr="0078539E" w:rsidRDefault="009021F1" w:rsidP="00E637E3">
            <w:pPr>
              <w:pStyle w:val="Paragraphedeliste"/>
              <w:numPr>
                <w:ilvl w:val="0"/>
                <w:numId w:val="115"/>
              </w:numPr>
              <w:spacing w:line="240" w:lineRule="auto"/>
              <w:ind w:left="34" w:hanging="99"/>
              <w:jc w:val="left"/>
              <w:rPr>
                <w:rFonts w:cs="Arial"/>
                <w:sz w:val="20"/>
                <w:szCs w:val="20"/>
              </w:rPr>
            </w:pPr>
            <w:r w:rsidRPr="0078539E">
              <w:rPr>
                <w:rFonts w:cs="Arial"/>
                <w:sz w:val="20"/>
                <w:szCs w:val="20"/>
              </w:rPr>
              <w:t>Acclamation et approbation de la présentation ;</w:t>
            </w:r>
          </w:p>
          <w:p w14:paraId="4054CEBF" w14:textId="77777777" w:rsidR="009021F1" w:rsidRPr="0078539E" w:rsidRDefault="009021F1" w:rsidP="00E637E3">
            <w:pPr>
              <w:pStyle w:val="Paragraphedeliste"/>
              <w:numPr>
                <w:ilvl w:val="0"/>
                <w:numId w:val="115"/>
              </w:numPr>
              <w:spacing w:line="240" w:lineRule="auto"/>
              <w:ind w:left="34" w:hanging="99"/>
              <w:jc w:val="left"/>
              <w:rPr>
                <w:rFonts w:cs="Arial"/>
                <w:sz w:val="20"/>
                <w:szCs w:val="20"/>
              </w:rPr>
            </w:pPr>
            <w:r w:rsidRPr="0078539E">
              <w:rPr>
                <w:rFonts w:cs="Arial"/>
                <w:sz w:val="20"/>
                <w:szCs w:val="20"/>
              </w:rPr>
              <w:t>Disponibilité dans les échanges ;</w:t>
            </w:r>
          </w:p>
          <w:p w14:paraId="108C55AC" w14:textId="77777777" w:rsidR="009021F1" w:rsidRPr="0078539E" w:rsidRDefault="009021F1" w:rsidP="00E637E3">
            <w:pPr>
              <w:pStyle w:val="Paragraphedeliste"/>
              <w:numPr>
                <w:ilvl w:val="0"/>
                <w:numId w:val="115"/>
              </w:numPr>
              <w:spacing w:line="240" w:lineRule="auto"/>
              <w:ind w:left="34" w:hanging="99"/>
              <w:jc w:val="left"/>
              <w:rPr>
                <w:rFonts w:cs="Arial"/>
                <w:sz w:val="20"/>
                <w:szCs w:val="20"/>
              </w:rPr>
            </w:pPr>
            <w:r w:rsidRPr="0078539E">
              <w:rPr>
                <w:rFonts w:cs="Arial"/>
                <w:sz w:val="20"/>
                <w:szCs w:val="20"/>
              </w:rPr>
              <w:t>Participation active et intéressée des Autorités locales en vue de bonifier les rapports du CGES et CGP.</w:t>
            </w:r>
          </w:p>
        </w:tc>
        <w:tc>
          <w:tcPr>
            <w:tcW w:w="2446" w:type="dxa"/>
            <w:shd w:val="clear" w:color="auto" w:fill="auto"/>
          </w:tcPr>
          <w:p w14:paraId="72BF6A9E" w14:textId="77777777" w:rsidR="009021F1" w:rsidRPr="0078539E" w:rsidRDefault="009021F1" w:rsidP="00E637E3">
            <w:pPr>
              <w:pStyle w:val="Paragraphedeliste"/>
              <w:numPr>
                <w:ilvl w:val="0"/>
                <w:numId w:val="115"/>
              </w:numPr>
              <w:spacing w:line="240" w:lineRule="auto"/>
              <w:ind w:left="34" w:hanging="99"/>
              <w:jc w:val="left"/>
              <w:rPr>
                <w:rFonts w:cs="Arial"/>
                <w:sz w:val="20"/>
                <w:szCs w:val="20"/>
              </w:rPr>
            </w:pPr>
            <w:r w:rsidRPr="0078539E">
              <w:rPr>
                <w:rFonts w:cs="Arial"/>
                <w:sz w:val="20"/>
                <w:szCs w:val="20"/>
              </w:rPr>
              <w:t>Mise en place des stratégies pour que la base s’approprie le Programme ;</w:t>
            </w:r>
          </w:p>
          <w:p w14:paraId="346A2603" w14:textId="77777777" w:rsidR="009021F1" w:rsidRPr="0078539E" w:rsidRDefault="009021F1" w:rsidP="00E637E3">
            <w:pPr>
              <w:pStyle w:val="Paragraphedeliste"/>
              <w:numPr>
                <w:ilvl w:val="0"/>
                <w:numId w:val="115"/>
              </w:numPr>
              <w:spacing w:line="240" w:lineRule="auto"/>
              <w:ind w:left="34" w:hanging="99"/>
              <w:jc w:val="left"/>
              <w:rPr>
                <w:rFonts w:cs="Arial"/>
                <w:sz w:val="20"/>
                <w:szCs w:val="20"/>
              </w:rPr>
            </w:pPr>
            <w:r w:rsidRPr="0078539E">
              <w:rPr>
                <w:rFonts w:cs="Arial"/>
                <w:sz w:val="20"/>
                <w:szCs w:val="20"/>
              </w:rPr>
              <w:t>Renforcement des capacités institutionnelles de services techniques devant accompagner le Programme ;</w:t>
            </w:r>
          </w:p>
          <w:p w14:paraId="6741093E" w14:textId="77777777" w:rsidR="009021F1" w:rsidRPr="0078539E" w:rsidRDefault="009021F1" w:rsidP="00E637E3">
            <w:pPr>
              <w:pStyle w:val="Paragraphedeliste"/>
              <w:numPr>
                <w:ilvl w:val="0"/>
                <w:numId w:val="115"/>
              </w:numPr>
              <w:spacing w:line="240" w:lineRule="auto"/>
              <w:ind w:left="34" w:hanging="99"/>
              <w:jc w:val="left"/>
              <w:rPr>
                <w:rFonts w:cs="Arial"/>
                <w:sz w:val="20"/>
                <w:szCs w:val="20"/>
              </w:rPr>
            </w:pPr>
            <w:r w:rsidRPr="0078539E">
              <w:rPr>
                <w:rFonts w:cs="Arial"/>
                <w:sz w:val="20"/>
                <w:szCs w:val="20"/>
              </w:rPr>
              <w:t>Mise en place d’un cadastre agricole.</w:t>
            </w:r>
          </w:p>
        </w:tc>
        <w:tc>
          <w:tcPr>
            <w:tcW w:w="3969" w:type="dxa"/>
            <w:shd w:val="clear" w:color="auto" w:fill="auto"/>
          </w:tcPr>
          <w:p w14:paraId="450C8CA7" w14:textId="77777777" w:rsidR="009021F1" w:rsidRPr="0078539E" w:rsidRDefault="009021F1" w:rsidP="00E637E3">
            <w:pPr>
              <w:pStyle w:val="Paragraphedeliste"/>
              <w:numPr>
                <w:ilvl w:val="0"/>
                <w:numId w:val="115"/>
              </w:numPr>
              <w:spacing w:line="240" w:lineRule="auto"/>
              <w:ind w:left="34" w:hanging="99"/>
              <w:jc w:val="left"/>
              <w:rPr>
                <w:rFonts w:cs="Arial"/>
                <w:sz w:val="20"/>
                <w:szCs w:val="20"/>
              </w:rPr>
            </w:pPr>
            <w:r w:rsidRPr="0078539E">
              <w:rPr>
                <w:rFonts w:cs="Arial"/>
                <w:sz w:val="20"/>
                <w:szCs w:val="20"/>
              </w:rPr>
              <w:t>Installation d’une industrie de production des pesticides dans l’une des Provinces où le PNDA est implémenté pour pérenniser le Programme et mettre fin à la dépendance extérieure des pesticides ;</w:t>
            </w:r>
          </w:p>
          <w:p w14:paraId="0D7CC98C" w14:textId="77777777" w:rsidR="009021F1" w:rsidRPr="0078539E" w:rsidRDefault="009021F1" w:rsidP="00E637E3">
            <w:pPr>
              <w:pStyle w:val="Paragraphedeliste"/>
              <w:numPr>
                <w:ilvl w:val="0"/>
                <w:numId w:val="115"/>
              </w:numPr>
              <w:spacing w:line="240" w:lineRule="auto"/>
              <w:ind w:left="34" w:hanging="99"/>
              <w:jc w:val="left"/>
              <w:rPr>
                <w:rFonts w:cs="Arial"/>
                <w:sz w:val="20"/>
                <w:szCs w:val="20"/>
              </w:rPr>
            </w:pPr>
            <w:r w:rsidRPr="0078539E">
              <w:rPr>
                <w:rFonts w:cs="Arial"/>
                <w:sz w:val="20"/>
                <w:szCs w:val="20"/>
              </w:rPr>
              <w:t>Listage de tous les Ministères impliqués dans le PNDA ;</w:t>
            </w:r>
          </w:p>
          <w:p w14:paraId="074CC266" w14:textId="77777777" w:rsidR="009021F1" w:rsidRPr="0078539E" w:rsidRDefault="009021F1" w:rsidP="00E637E3">
            <w:pPr>
              <w:pStyle w:val="Paragraphedeliste"/>
              <w:numPr>
                <w:ilvl w:val="0"/>
                <w:numId w:val="115"/>
              </w:numPr>
              <w:spacing w:line="240" w:lineRule="auto"/>
              <w:ind w:left="34" w:hanging="99"/>
              <w:jc w:val="left"/>
              <w:rPr>
                <w:rFonts w:cs="Arial"/>
                <w:sz w:val="20"/>
                <w:szCs w:val="20"/>
              </w:rPr>
            </w:pPr>
            <w:r w:rsidRPr="0078539E">
              <w:rPr>
                <w:rFonts w:cs="Arial"/>
                <w:sz w:val="20"/>
                <w:szCs w:val="20"/>
              </w:rPr>
              <w:t>Implication du Service National des Coopératives et des Organisations Paysannes (SNCOOP » pour l’encadrement des organisations paysannes et des coopératives ;</w:t>
            </w:r>
          </w:p>
          <w:p w14:paraId="26CA81EC" w14:textId="77777777" w:rsidR="009021F1" w:rsidRPr="0078539E" w:rsidRDefault="009021F1" w:rsidP="00E637E3">
            <w:pPr>
              <w:pStyle w:val="Paragraphedeliste"/>
              <w:numPr>
                <w:ilvl w:val="0"/>
                <w:numId w:val="115"/>
              </w:numPr>
              <w:spacing w:line="240" w:lineRule="auto"/>
              <w:ind w:left="34" w:hanging="99"/>
              <w:jc w:val="left"/>
              <w:rPr>
                <w:rFonts w:cs="Arial"/>
                <w:sz w:val="20"/>
                <w:szCs w:val="20"/>
              </w:rPr>
            </w:pPr>
            <w:r w:rsidRPr="0078539E">
              <w:rPr>
                <w:rFonts w:cs="Arial"/>
                <w:sz w:val="20"/>
                <w:szCs w:val="20"/>
              </w:rPr>
              <w:t>Implication de l’Aménagement du Territoire et des Affaires Foncières dans la sécurisation du foncier ;</w:t>
            </w:r>
          </w:p>
          <w:p w14:paraId="41E6FD6C" w14:textId="77777777" w:rsidR="009021F1" w:rsidRPr="0078539E" w:rsidRDefault="009021F1" w:rsidP="00E637E3">
            <w:pPr>
              <w:pStyle w:val="Paragraphedeliste"/>
              <w:numPr>
                <w:ilvl w:val="0"/>
                <w:numId w:val="115"/>
              </w:numPr>
              <w:spacing w:line="240" w:lineRule="auto"/>
              <w:ind w:left="34" w:hanging="99"/>
              <w:jc w:val="left"/>
              <w:rPr>
                <w:rFonts w:cs="Arial"/>
                <w:sz w:val="20"/>
                <w:szCs w:val="20"/>
              </w:rPr>
            </w:pPr>
            <w:r w:rsidRPr="0078539E">
              <w:rPr>
                <w:rFonts w:cs="Arial"/>
                <w:sz w:val="20"/>
                <w:szCs w:val="20"/>
              </w:rPr>
              <w:t>Impliquer les techniciens dans  la Coordination, le suivi et contrôle du PNDA en vue de garantir sa réussite ;</w:t>
            </w:r>
          </w:p>
          <w:p w14:paraId="5594E509" w14:textId="77777777" w:rsidR="009021F1" w:rsidRPr="0078539E" w:rsidRDefault="009021F1" w:rsidP="00E637E3">
            <w:pPr>
              <w:pStyle w:val="Paragraphedeliste"/>
              <w:numPr>
                <w:ilvl w:val="0"/>
                <w:numId w:val="115"/>
              </w:numPr>
              <w:spacing w:line="240" w:lineRule="auto"/>
              <w:ind w:left="34" w:hanging="99"/>
              <w:jc w:val="left"/>
              <w:rPr>
                <w:rFonts w:cs="Arial"/>
                <w:sz w:val="20"/>
                <w:szCs w:val="20"/>
              </w:rPr>
            </w:pPr>
            <w:r w:rsidRPr="0078539E">
              <w:rPr>
                <w:rFonts w:cs="Arial"/>
                <w:sz w:val="20"/>
                <w:szCs w:val="20"/>
              </w:rPr>
              <w:t xml:space="preserve">Élaborer un catalogue des ennemis des plantes dans chacune des provinces en vue d’évaluer les dégâts causés par les ravageurs.  </w:t>
            </w:r>
          </w:p>
          <w:p w14:paraId="4C236B14" w14:textId="77777777" w:rsidR="009021F1" w:rsidRPr="0078539E" w:rsidRDefault="009021F1" w:rsidP="00E637E3">
            <w:pPr>
              <w:pStyle w:val="Paragraphedeliste"/>
              <w:numPr>
                <w:ilvl w:val="0"/>
                <w:numId w:val="115"/>
              </w:numPr>
              <w:spacing w:line="240" w:lineRule="auto"/>
              <w:ind w:left="34" w:hanging="99"/>
              <w:jc w:val="left"/>
              <w:rPr>
                <w:rFonts w:cs="Arial"/>
                <w:sz w:val="20"/>
                <w:szCs w:val="20"/>
              </w:rPr>
            </w:pPr>
            <w:r w:rsidRPr="0078539E">
              <w:rPr>
                <w:rFonts w:cs="Arial"/>
                <w:sz w:val="20"/>
                <w:szCs w:val="20"/>
              </w:rPr>
              <w:t>Privilégier les pesticides biologiques à la place des pesticides chimiques.</w:t>
            </w:r>
          </w:p>
        </w:tc>
      </w:tr>
      <w:tr w:rsidR="009021F1" w:rsidRPr="0008598F" w14:paraId="6ABA69E7" w14:textId="77777777" w:rsidTr="00E637E3">
        <w:tc>
          <w:tcPr>
            <w:tcW w:w="2263" w:type="dxa"/>
            <w:shd w:val="clear" w:color="auto" w:fill="auto"/>
          </w:tcPr>
          <w:p w14:paraId="0AFF4AB2" w14:textId="77777777" w:rsidR="009021F1" w:rsidRPr="0078539E" w:rsidRDefault="009021F1" w:rsidP="00E637E3">
            <w:pPr>
              <w:jc w:val="left"/>
              <w:rPr>
                <w:rFonts w:cs="Arial"/>
                <w:sz w:val="20"/>
                <w:szCs w:val="20"/>
              </w:rPr>
            </w:pPr>
            <w:r w:rsidRPr="0078539E">
              <w:rPr>
                <w:rFonts w:cs="Arial"/>
                <w:sz w:val="20"/>
                <w:szCs w:val="20"/>
              </w:rPr>
              <w:t>Agence Congolaise de l’Environnement</w:t>
            </w:r>
          </w:p>
        </w:tc>
        <w:tc>
          <w:tcPr>
            <w:tcW w:w="2977" w:type="dxa"/>
            <w:shd w:val="clear" w:color="auto" w:fill="auto"/>
          </w:tcPr>
          <w:p w14:paraId="7EE13300" w14:textId="77777777" w:rsidR="009021F1" w:rsidRPr="0078539E" w:rsidRDefault="009021F1" w:rsidP="00E637E3">
            <w:pPr>
              <w:pStyle w:val="Paragraphedeliste"/>
              <w:numPr>
                <w:ilvl w:val="0"/>
                <w:numId w:val="115"/>
              </w:numPr>
              <w:spacing w:line="240" w:lineRule="auto"/>
              <w:ind w:left="34" w:hanging="99"/>
              <w:jc w:val="left"/>
              <w:rPr>
                <w:rFonts w:cs="Arial"/>
                <w:sz w:val="20"/>
                <w:szCs w:val="20"/>
              </w:rPr>
            </w:pPr>
            <w:r w:rsidRPr="0078539E">
              <w:rPr>
                <w:rFonts w:cs="Arial"/>
                <w:sz w:val="20"/>
                <w:szCs w:val="20"/>
              </w:rPr>
              <w:t>Présentation du Cadre de Gestion Environnementale et Sociale ;</w:t>
            </w:r>
          </w:p>
          <w:p w14:paraId="206E8AE0" w14:textId="77777777" w:rsidR="009021F1" w:rsidRPr="0078539E" w:rsidRDefault="009021F1" w:rsidP="00E637E3">
            <w:pPr>
              <w:pStyle w:val="Paragraphedeliste"/>
              <w:numPr>
                <w:ilvl w:val="0"/>
                <w:numId w:val="115"/>
              </w:numPr>
              <w:spacing w:line="240" w:lineRule="auto"/>
              <w:ind w:left="34" w:hanging="99"/>
              <w:jc w:val="left"/>
              <w:rPr>
                <w:rFonts w:cs="Arial"/>
                <w:sz w:val="20"/>
                <w:szCs w:val="20"/>
              </w:rPr>
            </w:pPr>
            <w:r w:rsidRPr="0078539E">
              <w:rPr>
                <w:rFonts w:cs="Arial"/>
                <w:sz w:val="20"/>
                <w:szCs w:val="20"/>
              </w:rPr>
              <w:t>Présentation du Cadre de Gestion de Pesticides.</w:t>
            </w:r>
          </w:p>
        </w:tc>
        <w:tc>
          <w:tcPr>
            <w:tcW w:w="2799" w:type="dxa"/>
            <w:shd w:val="clear" w:color="auto" w:fill="auto"/>
          </w:tcPr>
          <w:p w14:paraId="4BD2813A" w14:textId="77777777" w:rsidR="009021F1" w:rsidRPr="0078539E" w:rsidRDefault="009021F1" w:rsidP="00E637E3">
            <w:pPr>
              <w:pStyle w:val="Paragraphedeliste"/>
              <w:numPr>
                <w:ilvl w:val="0"/>
                <w:numId w:val="115"/>
              </w:numPr>
              <w:spacing w:line="240" w:lineRule="auto"/>
              <w:ind w:left="34" w:hanging="99"/>
              <w:jc w:val="left"/>
              <w:rPr>
                <w:rFonts w:cs="Arial"/>
                <w:sz w:val="20"/>
                <w:szCs w:val="20"/>
              </w:rPr>
            </w:pPr>
            <w:r w:rsidRPr="0078539E">
              <w:rPr>
                <w:rFonts w:cs="Arial"/>
                <w:sz w:val="20"/>
                <w:szCs w:val="20"/>
              </w:rPr>
              <w:t>Acclamation et approbation de la présentation ;</w:t>
            </w:r>
          </w:p>
          <w:p w14:paraId="65B45D58" w14:textId="77777777" w:rsidR="009021F1" w:rsidRPr="0078539E" w:rsidRDefault="009021F1" w:rsidP="00E637E3">
            <w:pPr>
              <w:pStyle w:val="Paragraphedeliste"/>
              <w:numPr>
                <w:ilvl w:val="0"/>
                <w:numId w:val="115"/>
              </w:numPr>
              <w:spacing w:line="240" w:lineRule="auto"/>
              <w:ind w:left="34" w:hanging="99"/>
              <w:jc w:val="left"/>
              <w:rPr>
                <w:rFonts w:cs="Arial"/>
                <w:sz w:val="20"/>
                <w:szCs w:val="20"/>
              </w:rPr>
            </w:pPr>
            <w:r w:rsidRPr="0078539E">
              <w:rPr>
                <w:rFonts w:cs="Arial"/>
                <w:sz w:val="20"/>
                <w:szCs w:val="20"/>
              </w:rPr>
              <w:t>Disponibilité dans les échanges.</w:t>
            </w:r>
          </w:p>
        </w:tc>
        <w:tc>
          <w:tcPr>
            <w:tcW w:w="2446" w:type="dxa"/>
            <w:shd w:val="clear" w:color="auto" w:fill="auto"/>
          </w:tcPr>
          <w:p w14:paraId="536DD98D" w14:textId="77777777" w:rsidR="009021F1" w:rsidRPr="0078539E" w:rsidRDefault="009021F1" w:rsidP="00E637E3">
            <w:pPr>
              <w:pStyle w:val="Paragraphedeliste"/>
              <w:numPr>
                <w:ilvl w:val="0"/>
                <w:numId w:val="115"/>
              </w:numPr>
              <w:spacing w:line="240" w:lineRule="auto"/>
              <w:ind w:left="34" w:hanging="99"/>
              <w:jc w:val="left"/>
              <w:rPr>
                <w:rFonts w:cs="Arial"/>
                <w:sz w:val="20"/>
                <w:szCs w:val="20"/>
              </w:rPr>
            </w:pPr>
            <w:r w:rsidRPr="0078539E">
              <w:rPr>
                <w:rFonts w:cs="Arial"/>
                <w:sz w:val="20"/>
                <w:szCs w:val="20"/>
              </w:rPr>
              <w:t>Implication des autorités locales lors de la mise en œuvre du Programme.</w:t>
            </w:r>
          </w:p>
        </w:tc>
        <w:tc>
          <w:tcPr>
            <w:tcW w:w="3969" w:type="dxa"/>
            <w:shd w:val="clear" w:color="auto" w:fill="auto"/>
          </w:tcPr>
          <w:p w14:paraId="383FD53C" w14:textId="77777777" w:rsidR="009021F1" w:rsidRPr="0078539E" w:rsidRDefault="009021F1" w:rsidP="00E637E3">
            <w:pPr>
              <w:pStyle w:val="Paragraphedeliste"/>
              <w:numPr>
                <w:ilvl w:val="0"/>
                <w:numId w:val="115"/>
              </w:numPr>
              <w:spacing w:line="240" w:lineRule="auto"/>
              <w:ind w:left="34" w:hanging="99"/>
              <w:jc w:val="left"/>
              <w:rPr>
                <w:rFonts w:cs="Arial"/>
                <w:color w:val="000000"/>
                <w:sz w:val="20"/>
                <w:szCs w:val="20"/>
              </w:rPr>
            </w:pPr>
            <w:r w:rsidRPr="0078539E">
              <w:rPr>
                <w:rFonts w:cs="Arial"/>
                <w:color w:val="000000"/>
                <w:sz w:val="20"/>
                <w:szCs w:val="20"/>
              </w:rPr>
              <w:t>Implication de l’ACE pour la validation des études environnementales et sociales du Programme ;</w:t>
            </w:r>
          </w:p>
          <w:p w14:paraId="03E41E91" w14:textId="77777777" w:rsidR="009021F1" w:rsidRPr="0078539E" w:rsidRDefault="009021F1" w:rsidP="00E637E3">
            <w:pPr>
              <w:pStyle w:val="Paragraphedeliste"/>
              <w:numPr>
                <w:ilvl w:val="0"/>
                <w:numId w:val="115"/>
              </w:numPr>
              <w:spacing w:line="240" w:lineRule="auto"/>
              <w:ind w:left="34" w:hanging="99"/>
              <w:jc w:val="left"/>
              <w:rPr>
                <w:rFonts w:cs="Arial"/>
                <w:color w:val="000000"/>
                <w:sz w:val="20"/>
                <w:szCs w:val="20"/>
              </w:rPr>
            </w:pPr>
            <w:r w:rsidRPr="0078539E">
              <w:rPr>
                <w:rFonts w:cs="Arial"/>
                <w:color w:val="000000"/>
                <w:sz w:val="20"/>
                <w:szCs w:val="20"/>
              </w:rPr>
              <w:t>Association de l’ACE dans le suivi environnemental et sociale des activités du PNDA ;</w:t>
            </w:r>
          </w:p>
          <w:p w14:paraId="617543E4" w14:textId="77777777" w:rsidR="009021F1" w:rsidRPr="0078539E" w:rsidRDefault="009021F1" w:rsidP="00E637E3">
            <w:pPr>
              <w:pStyle w:val="Paragraphedeliste"/>
              <w:numPr>
                <w:ilvl w:val="0"/>
                <w:numId w:val="115"/>
              </w:numPr>
              <w:spacing w:line="240" w:lineRule="auto"/>
              <w:ind w:left="34" w:hanging="99"/>
              <w:jc w:val="left"/>
              <w:rPr>
                <w:rFonts w:cs="Arial"/>
                <w:sz w:val="20"/>
                <w:szCs w:val="20"/>
              </w:rPr>
            </w:pPr>
            <w:r w:rsidRPr="0078539E">
              <w:rPr>
                <w:rFonts w:cs="Arial"/>
                <w:sz w:val="20"/>
                <w:szCs w:val="20"/>
              </w:rPr>
              <w:t>Célérité au niveau de la Banque Mondiale pour avis de non-objection des environnementales et sociales.</w:t>
            </w:r>
          </w:p>
        </w:tc>
      </w:tr>
      <w:tr w:rsidR="009021F1" w:rsidRPr="0008598F" w14:paraId="5909A4F1" w14:textId="77777777" w:rsidTr="00E637E3">
        <w:tc>
          <w:tcPr>
            <w:tcW w:w="2263" w:type="dxa"/>
            <w:shd w:val="clear" w:color="auto" w:fill="auto"/>
          </w:tcPr>
          <w:p w14:paraId="0C7DA839" w14:textId="77777777" w:rsidR="009021F1" w:rsidRPr="0078539E" w:rsidRDefault="009021F1" w:rsidP="00E637E3">
            <w:pPr>
              <w:rPr>
                <w:rFonts w:cs="Arial"/>
                <w:sz w:val="20"/>
                <w:szCs w:val="20"/>
              </w:rPr>
            </w:pPr>
            <w:r w:rsidRPr="0078539E">
              <w:rPr>
                <w:rFonts w:cs="Arial"/>
                <w:sz w:val="20"/>
                <w:szCs w:val="20"/>
              </w:rPr>
              <w:t>Société Civile</w:t>
            </w:r>
          </w:p>
        </w:tc>
        <w:tc>
          <w:tcPr>
            <w:tcW w:w="2977" w:type="dxa"/>
            <w:shd w:val="clear" w:color="auto" w:fill="auto"/>
          </w:tcPr>
          <w:p w14:paraId="4BAB5C5C" w14:textId="77777777" w:rsidR="009021F1" w:rsidRPr="0078539E" w:rsidRDefault="009021F1" w:rsidP="00E637E3">
            <w:pPr>
              <w:pStyle w:val="Paragraphedeliste"/>
              <w:numPr>
                <w:ilvl w:val="0"/>
                <w:numId w:val="115"/>
              </w:numPr>
              <w:spacing w:line="240" w:lineRule="auto"/>
              <w:ind w:left="34" w:hanging="99"/>
              <w:jc w:val="left"/>
              <w:rPr>
                <w:rFonts w:cs="Arial"/>
                <w:sz w:val="20"/>
                <w:szCs w:val="20"/>
              </w:rPr>
            </w:pPr>
            <w:r w:rsidRPr="0078539E">
              <w:rPr>
                <w:rFonts w:cs="Arial"/>
                <w:sz w:val="20"/>
                <w:szCs w:val="20"/>
              </w:rPr>
              <w:t>Présentation du Cadre de Gestion Environnementale et Sociale ;</w:t>
            </w:r>
          </w:p>
          <w:p w14:paraId="08032478" w14:textId="77777777" w:rsidR="009021F1" w:rsidRPr="0078539E" w:rsidRDefault="009021F1" w:rsidP="00E637E3">
            <w:pPr>
              <w:pStyle w:val="Paragraphedeliste"/>
              <w:numPr>
                <w:ilvl w:val="0"/>
                <w:numId w:val="115"/>
              </w:numPr>
              <w:spacing w:line="240" w:lineRule="auto"/>
              <w:ind w:left="34" w:hanging="99"/>
              <w:jc w:val="left"/>
              <w:rPr>
                <w:rFonts w:cs="Arial"/>
                <w:sz w:val="20"/>
                <w:szCs w:val="20"/>
              </w:rPr>
            </w:pPr>
            <w:r w:rsidRPr="0078539E">
              <w:rPr>
                <w:rFonts w:cs="Arial"/>
                <w:sz w:val="20"/>
                <w:szCs w:val="20"/>
              </w:rPr>
              <w:t>Présentation du Cadre de Gestion de Pesticides.</w:t>
            </w:r>
          </w:p>
        </w:tc>
        <w:tc>
          <w:tcPr>
            <w:tcW w:w="2799" w:type="dxa"/>
            <w:shd w:val="clear" w:color="auto" w:fill="auto"/>
          </w:tcPr>
          <w:p w14:paraId="7B9ACA69" w14:textId="77777777" w:rsidR="009021F1" w:rsidRPr="0078539E" w:rsidRDefault="009021F1" w:rsidP="00E637E3">
            <w:pPr>
              <w:pStyle w:val="Paragraphedeliste"/>
              <w:numPr>
                <w:ilvl w:val="0"/>
                <w:numId w:val="115"/>
              </w:numPr>
              <w:spacing w:line="240" w:lineRule="auto"/>
              <w:ind w:left="34" w:hanging="99"/>
              <w:jc w:val="left"/>
              <w:rPr>
                <w:rFonts w:cs="Arial"/>
                <w:sz w:val="20"/>
                <w:szCs w:val="20"/>
              </w:rPr>
            </w:pPr>
            <w:r w:rsidRPr="0078539E">
              <w:rPr>
                <w:rFonts w:cs="Arial"/>
                <w:sz w:val="20"/>
                <w:szCs w:val="20"/>
              </w:rPr>
              <w:t>Acclamation et approbation de la présentation ;</w:t>
            </w:r>
          </w:p>
          <w:p w14:paraId="7C540E89" w14:textId="77777777" w:rsidR="009021F1" w:rsidRPr="0078539E" w:rsidRDefault="009021F1" w:rsidP="00E637E3">
            <w:pPr>
              <w:pStyle w:val="Paragraphedeliste"/>
              <w:numPr>
                <w:ilvl w:val="0"/>
                <w:numId w:val="115"/>
              </w:numPr>
              <w:spacing w:line="240" w:lineRule="auto"/>
              <w:ind w:left="34" w:hanging="99"/>
              <w:jc w:val="left"/>
              <w:rPr>
                <w:rFonts w:cs="Arial"/>
                <w:sz w:val="20"/>
                <w:szCs w:val="20"/>
              </w:rPr>
            </w:pPr>
            <w:r w:rsidRPr="0078539E">
              <w:rPr>
                <w:rFonts w:cs="Arial"/>
                <w:sz w:val="20"/>
                <w:szCs w:val="20"/>
              </w:rPr>
              <w:t>Disponibilité dans les échanges.</w:t>
            </w:r>
          </w:p>
        </w:tc>
        <w:tc>
          <w:tcPr>
            <w:tcW w:w="2446" w:type="dxa"/>
            <w:shd w:val="clear" w:color="auto" w:fill="auto"/>
          </w:tcPr>
          <w:p w14:paraId="3FBE894B" w14:textId="77777777" w:rsidR="009021F1" w:rsidRPr="0078539E" w:rsidRDefault="009021F1" w:rsidP="00E637E3">
            <w:pPr>
              <w:pStyle w:val="Paragraphedeliste"/>
              <w:numPr>
                <w:ilvl w:val="0"/>
                <w:numId w:val="115"/>
              </w:numPr>
              <w:spacing w:line="240" w:lineRule="auto"/>
              <w:ind w:left="34" w:hanging="99"/>
              <w:jc w:val="left"/>
              <w:rPr>
                <w:rFonts w:cs="Arial"/>
                <w:sz w:val="20"/>
                <w:szCs w:val="20"/>
              </w:rPr>
            </w:pPr>
            <w:r w:rsidRPr="0078539E">
              <w:rPr>
                <w:rFonts w:cs="Arial"/>
                <w:sz w:val="20"/>
                <w:szCs w:val="20"/>
              </w:rPr>
              <w:t>Promotion de l’agropastoralisme, de l’agro-sylviculture et de l’agroforesterie ;</w:t>
            </w:r>
          </w:p>
          <w:p w14:paraId="0BA5CEE7" w14:textId="77777777" w:rsidR="009021F1" w:rsidRPr="0078539E" w:rsidRDefault="009021F1" w:rsidP="00E637E3">
            <w:pPr>
              <w:pStyle w:val="Paragraphedeliste"/>
              <w:numPr>
                <w:ilvl w:val="0"/>
                <w:numId w:val="115"/>
              </w:numPr>
              <w:spacing w:line="240" w:lineRule="auto"/>
              <w:ind w:left="34" w:hanging="99"/>
              <w:jc w:val="left"/>
              <w:rPr>
                <w:rFonts w:cs="Arial"/>
                <w:sz w:val="20"/>
                <w:szCs w:val="20"/>
              </w:rPr>
            </w:pPr>
            <w:r w:rsidRPr="0078539E">
              <w:rPr>
                <w:rFonts w:cs="Arial"/>
                <w:sz w:val="20"/>
                <w:szCs w:val="20"/>
              </w:rPr>
              <w:t>Formation sur la gouvernance financière ;</w:t>
            </w:r>
          </w:p>
          <w:p w14:paraId="72FF206C" w14:textId="77777777" w:rsidR="009021F1" w:rsidRPr="0078539E" w:rsidRDefault="009021F1" w:rsidP="00E637E3">
            <w:pPr>
              <w:pStyle w:val="Paragraphedeliste"/>
              <w:numPr>
                <w:ilvl w:val="0"/>
                <w:numId w:val="115"/>
              </w:numPr>
              <w:spacing w:line="240" w:lineRule="auto"/>
              <w:ind w:left="34" w:hanging="99"/>
              <w:jc w:val="left"/>
              <w:rPr>
                <w:rFonts w:cs="Arial"/>
                <w:sz w:val="20"/>
                <w:szCs w:val="20"/>
              </w:rPr>
            </w:pPr>
            <w:r w:rsidRPr="0078539E">
              <w:rPr>
                <w:rFonts w:cs="Arial"/>
                <w:sz w:val="20"/>
                <w:szCs w:val="20"/>
              </w:rPr>
              <w:t>Implication de la Société Civile lors de la mise en œuvre du Programme ;</w:t>
            </w:r>
          </w:p>
          <w:p w14:paraId="408BCB64" w14:textId="77777777" w:rsidR="009021F1" w:rsidRPr="0078539E" w:rsidRDefault="009021F1" w:rsidP="00E637E3">
            <w:pPr>
              <w:pStyle w:val="Paragraphedeliste"/>
              <w:numPr>
                <w:ilvl w:val="0"/>
                <w:numId w:val="115"/>
              </w:numPr>
              <w:spacing w:line="240" w:lineRule="auto"/>
              <w:ind w:left="34" w:hanging="99"/>
              <w:jc w:val="left"/>
              <w:rPr>
                <w:rFonts w:cs="Arial"/>
                <w:sz w:val="20"/>
                <w:szCs w:val="20"/>
              </w:rPr>
            </w:pPr>
            <w:r w:rsidRPr="0078539E">
              <w:rPr>
                <w:rFonts w:cs="Arial"/>
                <w:sz w:val="20"/>
                <w:szCs w:val="20"/>
              </w:rPr>
              <w:t>Recrutement de la main d’œuvre locale ;</w:t>
            </w:r>
          </w:p>
          <w:p w14:paraId="4E06946B" w14:textId="77777777" w:rsidR="009021F1" w:rsidRPr="0078539E" w:rsidRDefault="009021F1" w:rsidP="00E637E3">
            <w:pPr>
              <w:pStyle w:val="Paragraphedeliste"/>
              <w:numPr>
                <w:ilvl w:val="0"/>
                <w:numId w:val="115"/>
              </w:numPr>
              <w:spacing w:line="240" w:lineRule="auto"/>
              <w:ind w:left="34" w:hanging="99"/>
              <w:jc w:val="left"/>
              <w:rPr>
                <w:rFonts w:cs="Arial"/>
                <w:sz w:val="20"/>
                <w:szCs w:val="20"/>
              </w:rPr>
            </w:pPr>
            <w:r w:rsidRPr="0078539E">
              <w:rPr>
                <w:rFonts w:cs="Arial"/>
                <w:sz w:val="20"/>
                <w:szCs w:val="20"/>
              </w:rPr>
              <w:t>Non-discrimination dans l’octroi de crédits ;</w:t>
            </w:r>
          </w:p>
          <w:p w14:paraId="6D78A595" w14:textId="77777777" w:rsidR="009021F1" w:rsidRPr="0078539E" w:rsidRDefault="009021F1" w:rsidP="00E637E3">
            <w:pPr>
              <w:pStyle w:val="Paragraphedeliste"/>
              <w:numPr>
                <w:ilvl w:val="0"/>
                <w:numId w:val="115"/>
              </w:numPr>
              <w:spacing w:line="240" w:lineRule="auto"/>
              <w:ind w:left="34" w:hanging="99"/>
              <w:jc w:val="left"/>
              <w:rPr>
                <w:rFonts w:cs="Arial"/>
                <w:sz w:val="20"/>
                <w:szCs w:val="20"/>
              </w:rPr>
            </w:pPr>
            <w:r w:rsidRPr="0078539E">
              <w:rPr>
                <w:rFonts w:cs="Arial"/>
                <w:sz w:val="20"/>
                <w:szCs w:val="20"/>
              </w:rPr>
              <w:t>Suivi régulier dans la mise en œuvre du Programme.</w:t>
            </w:r>
          </w:p>
        </w:tc>
        <w:tc>
          <w:tcPr>
            <w:tcW w:w="3969" w:type="dxa"/>
            <w:shd w:val="clear" w:color="auto" w:fill="auto"/>
          </w:tcPr>
          <w:p w14:paraId="487547BB" w14:textId="77777777" w:rsidR="009021F1" w:rsidRPr="0078539E" w:rsidRDefault="009021F1" w:rsidP="00E637E3">
            <w:pPr>
              <w:pStyle w:val="Paragraphedeliste"/>
              <w:numPr>
                <w:ilvl w:val="0"/>
                <w:numId w:val="115"/>
              </w:numPr>
              <w:spacing w:line="240" w:lineRule="auto"/>
              <w:ind w:left="34" w:hanging="99"/>
              <w:jc w:val="left"/>
              <w:rPr>
                <w:rFonts w:cs="Arial"/>
                <w:color w:val="000000"/>
                <w:sz w:val="20"/>
                <w:szCs w:val="20"/>
              </w:rPr>
            </w:pPr>
            <w:r w:rsidRPr="0078539E">
              <w:rPr>
                <w:rFonts w:cs="Arial"/>
                <w:color w:val="000000"/>
                <w:sz w:val="20"/>
                <w:szCs w:val="20"/>
              </w:rPr>
              <w:t>Sensibilisation des agriculteurs sur la durée de rémanence de pesticides (délai entre la dernière application du produit phytosanitaire et la récolte) ;</w:t>
            </w:r>
          </w:p>
          <w:p w14:paraId="564D9B7C" w14:textId="77777777" w:rsidR="009021F1" w:rsidRPr="0078539E" w:rsidRDefault="009021F1" w:rsidP="00E637E3">
            <w:pPr>
              <w:pStyle w:val="Paragraphedeliste"/>
              <w:numPr>
                <w:ilvl w:val="0"/>
                <w:numId w:val="115"/>
              </w:numPr>
              <w:spacing w:line="240" w:lineRule="auto"/>
              <w:ind w:left="34" w:hanging="99"/>
              <w:jc w:val="left"/>
              <w:rPr>
                <w:rFonts w:cs="Arial"/>
                <w:color w:val="000000"/>
                <w:sz w:val="20"/>
                <w:szCs w:val="20"/>
              </w:rPr>
            </w:pPr>
            <w:r w:rsidRPr="0078539E">
              <w:rPr>
                <w:rFonts w:cs="Arial"/>
                <w:color w:val="000000"/>
                <w:sz w:val="20"/>
                <w:szCs w:val="20"/>
              </w:rPr>
              <w:t>Soumission des services publics de l’État devant intervenir dans la mise en œuvre du PNDA au respect du Code de conduite de l’Agent Public de l’État ;</w:t>
            </w:r>
          </w:p>
          <w:p w14:paraId="7A52D9FB" w14:textId="77777777" w:rsidR="009021F1" w:rsidRPr="0078539E" w:rsidRDefault="009021F1" w:rsidP="00E637E3">
            <w:pPr>
              <w:pStyle w:val="Paragraphedeliste"/>
              <w:numPr>
                <w:ilvl w:val="0"/>
                <w:numId w:val="115"/>
              </w:numPr>
              <w:spacing w:line="240" w:lineRule="auto"/>
              <w:ind w:left="34" w:hanging="99"/>
              <w:jc w:val="left"/>
              <w:rPr>
                <w:rFonts w:cs="Arial"/>
                <w:color w:val="000000"/>
                <w:sz w:val="20"/>
                <w:szCs w:val="20"/>
              </w:rPr>
            </w:pPr>
            <w:r w:rsidRPr="0078539E">
              <w:rPr>
                <w:rFonts w:cs="Arial"/>
                <w:color w:val="000000"/>
                <w:sz w:val="20"/>
                <w:szCs w:val="20"/>
              </w:rPr>
              <w:t>Rationalité sur les Mécanismes de Gestion des Plaintes ;</w:t>
            </w:r>
          </w:p>
          <w:p w14:paraId="57816EA3" w14:textId="77777777" w:rsidR="009021F1" w:rsidRPr="0078539E" w:rsidRDefault="009021F1" w:rsidP="00E637E3">
            <w:pPr>
              <w:pStyle w:val="Paragraphedeliste"/>
              <w:numPr>
                <w:ilvl w:val="0"/>
                <w:numId w:val="115"/>
              </w:numPr>
              <w:spacing w:line="240" w:lineRule="auto"/>
              <w:ind w:left="34" w:hanging="99"/>
              <w:jc w:val="left"/>
              <w:rPr>
                <w:rFonts w:cs="Arial"/>
                <w:sz w:val="20"/>
                <w:szCs w:val="20"/>
              </w:rPr>
            </w:pPr>
            <w:r w:rsidRPr="0078539E">
              <w:rPr>
                <w:rFonts w:cs="Arial"/>
                <w:sz w:val="20"/>
                <w:szCs w:val="20"/>
              </w:rPr>
              <w:t>Respect et prise en compte des aspects de VBG dans la mise en œuvre du Programme ;</w:t>
            </w:r>
          </w:p>
          <w:p w14:paraId="1B7E582E" w14:textId="77777777" w:rsidR="009021F1" w:rsidRPr="0078539E" w:rsidRDefault="009021F1" w:rsidP="00E637E3">
            <w:pPr>
              <w:pStyle w:val="Paragraphedeliste"/>
              <w:numPr>
                <w:ilvl w:val="0"/>
                <w:numId w:val="115"/>
              </w:numPr>
              <w:spacing w:line="240" w:lineRule="auto"/>
              <w:ind w:left="34" w:hanging="99"/>
              <w:jc w:val="left"/>
              <w:rPr>
                <w:rFonts w:cs="Arial"/>
                <w:color w:val="000000"/>
                <w:sz w:val="20"/>
                <w:szCs w:val="20"/>
              </w:rPr>
            </w:pPr>
            <w:r w:rsidRPr="0078539E">
              <w:rPr>
                <w:rFonts w:cs="Arial"/>
                <w:sz w:val="20"/>
                <w:szCs w:val="20"/>
              </w:rPr>
              <w:t>Prise en compte des compétences des organisations paysannes locales dans le recrutement</w:t>
            </w:r>
            <w:r w:rsidRPr="0078539E">
              <w:rPr>
                <w:rFonts w:cs="Arial"/>
                <w:color w:val="000000"/>
                <w:sz w:val="20"/>
                <w:szCs w:val="20"/>
              </w:rPr>
              <w:t>.</w:t>
            </w:r>
          </w:p>
        </w:tc>
      </w:tr>
    </w:tbl>
    <w:p w14:paraId="1444C78A" w14:textId="77777777" w:rsidR="009021F1" w:rsidRDefault="009021F1" w:rsidP="009021F1">
      <w:pPr>
        <w:rPr>
          <w:sz w:val="22"/>
        </w:rPr>
      </w:pPr>
    </w:p>
    <w:p w14:paraId="14ACAD50" w14:textId="77777777" w:rsidR="00E637E3" w:rsidRDefault="00E637E3" w:rsidP="009021F1">
      <w:pPr>
        <w:rPr>
          <w:sz w:val="22"/>
        </w:rPr>
      </w:pPr>
    </w:p>
    <w:p w14:paraId="6843FC44" w14:textId="77777777" w:rsidR="00E637E3" w:rsidRDefault="00E637E3" w:rsidP="009021F1">
      <w:pPr>
        <w:rPr>
          <w:sz w:val="22"/>
        </w:rPr>
      </w:pPr>
    </w:p>
    <w:p w14:paraId="759368AD" w14:textId="77777777" w:rsidR="00E637E3" w:rsidRDefault="00E637E3" w:rsidP="009021F1">
      <w:pPr>
        <w:rPr>
          <w:sz w:val="22"/>
        </w:rPr>
        <w:sectPr w:rsidR="00E637E3" w:rsidSect="00E637E3">
          <w:pgSz w:w="16838" w:h="11906" w:orient="landscape"/>
          <w:pgMar w:top="1418" w:right="1134" w:bottom="1418" w:left="1134" w:header="567" w:footer="0" w:gutter="0"/>
          <w:cols w:space="708"/>
          <w:docGrid w:linePitch="360"/>
        </w:sectPr>
      </w:pPr>
    </w:p>
    <w:p w14:paraId="23CAC647" w14:textId="77777777" w:rsidR="009021F1" w:rsidRPr="0078539E" w:rsidRDefault="009021F1" w:rsidP="009021F1">
      <w:pPr>
        <w:pStyle w:val="Titre2"/>
        <w:numPr>
          <w:ilvl w:val="1"/>
          <w:numId w:val="4"/>
        </w:numPr>
        <w:ind w:left="851" w:hanging="425"/>
        <w:rPr>
          <w:rFonts w:cs="Arial"/>
          <w:b/>
          <w:szCs w:val="21"/>
        </w:rPr>
      </w:pPr>
      <w:bookmarkStart w:id="462" w:name="_Toc90471568"/>
      <w:r w:rsidRPr="0078539E">
        <w:rPr>
          <w:rFonts w:cs="Arial"/>
          <w:b/>
          <w:szCs w:val="21"/>
        </w:rPr>
        <w:t>Mécanisme de Gestion des Plaintes (MGP)</w:t>
      </w:r>
      <w:bookmarkEnd w:id="462"/>
    </w:p>
    <w:p w14:paraId="352554B4" w14:textId="77777777" w:rsidR="009021F1" w:rsidRPr="0078539E" w:rsidRDefault="009021F1" w:rsidP="009021F1">
      <w:pPr>
        <w:autoSpaceDE w:val="0"/>
        <w:autoSpaceDN w:val="0"/>
        <w:adjustRightInd w:val="0"/>
        <w:rPr>
          <w:szCs w:val="21"/>
        </w:rPr>
      </w:pPr>
    </w:p>
    <w:p w14:paraId="742F5F18" w14:textId="77777777" w:rsidR="009021F1" w:rsidRPr="0078539E" w:rsidRDefault="009021F1" w:rsidP="009021F1">
      <w:pPr>
        <w:autoSpaceDE w:val="0"/>
        <w:autoSpaceDN w:val="0"/>
        <w:adjustRightInd w:val="0"/>
        <w:rPr>
          <w:szCs w:val="21"/>
        </w:rPr>
      </w:pPr>
      <w:r w:rsidRPr="0078539E">
        <w:rPr>
          <w:szCs w:val="21"/>
        </w:rPr>
        <w:t xml:space="preserve">La procédure de gestion des plaintes dans le cadre des actions du Programme fait appel à neuf (9) étapes partant de l’enregistrement de la plainte à son règlement final et l’archivage du dossier de résolution. </w:t>
      </w:r>
      <w:r w:rsidRPr="0078539E">
        <w:rPr>
          <w:rFonts w:cs="Arial"/>
          <w:szCs w:val="21"/>
        </w:rPr>
        <w:t>À</w:t>
      </w:r>
      <w:r w:rsidRPr="0078539E">
        <w:rPr>
          <w:szCs w:val="21"/>
        </w:rPr>
        <w:t xml:space="preserve"> la phase de mise en œuvre du Programme, le MGP sera formellement élaboré sur la base des neuf (9) étapes décrites ci-dessous. Le rapport préliminaire fera l’objet d’une validation nationale par les représentants des parties prenantes du programme. Le rapport final intégrant les amendements de l’ensemble des parties prenantes sera établi et publié avant le démarrage des activités prévues dans le cadre du Programme. Il sied de noter que le MGP sera aussi adapté à travers des procédures spécifiques qui assureront un traitement éthique et confidentiel des plaintes liées à l’EAS et au HS.</w:t>
      </w:r>
    </w:p>
    <w:p w14:paraId="58601686" w14:textId="77777777" w:rsidR="009021F1" w:rsidRPr="0078539E" w:rsidRDefault="009021F1" w:rsidP="009021F1">
      <w:pPr>
        <w:autoSpaceDE w:val="0"/>
        <w:autoSpaceDN w:val="0"/>
        <w:adjustRightInd w:val="0"/>
        <w:rPr>
          <w:szCs w:val="21"/>
        </w:rPr>
      </w:pPr>
    </w:p>
    <w:p w14:paraId="794D07CA" w14:textId="77777777" w:rsidR="009021F1" w:rsidRPr="0078539E" w:rsidRDefault="009021F1" w:rsidP="009021F1">
      <w:pPr>
        <w:pStyle w:val="Titre2"/>
        <w:numPr>
          <w:ilvl w:val="2"/>
          <w:numId w:val="4"/>
        </w:numPr>
        <w:ind w:left="1560" w:hanging="709"/>
        <w:rPr>
          <w:rFonts w:cs="Arial"/>
          <w:i/>
          <w:szCs w:val="21"/>
        </w:rPr>
      </w:pPr>
      <w:bookmarkStart w:id="463" w:name="_Toc90471569"/>
      <w:r w:rsidRPr="0078539E">
        <w:rPr>
          <w:rFonts w:cs="Arial"/>
          <w:i/>
          <w:szCs w:val="21"/>
        </w:rPr>
        <w:t>Plaintes globales du Programme</w:t>
      </w:r>
      <w:bookmarkEnd w:id="463"/>
    </w:p>
    <w:p w14:paraId="1B30CCEB" w14:textId="77777777" w:rsidR="009021F1" w:rsidRPr="0078539E" w:rsidRDefault="009021F1" w:rsidP="009021F1">
      <w:pPr>
        <w:autoSpaceDE w:val="0"/>
        <w:autoSpaceDN w:val="0"/>
        <w:adjustRightInd w:val="0"/>
        <w:rPr>
          <w:szCs w:val="21"/>
        </w:rPr>
      </w:pPr>
    </w:p>
    <w:p w14:paraId="3A3202A7" w14:textId="77777777" w:rsidR="009021F1" w:rsidRPr="0078539E" w:rsidRDefault="009021F1" w:rsidP="009021F1">
      <w:pPr>
        <w:autoSpaceDE w:val="0"/>
        <w:autoSpaceDN w:val="0"/>
        <w:adjustRightInd w:val="0"/>
        <w:rPr>
          <w:szCs w:val="21"/>
        </w:rPr>
      </w:pPr>
      <w:r w:rsidRPr="0078539E">
        <w:rPr>
          <w:szCs w:val="21"/>
        </w:rPr>
        <w:t>Les plaintes globales du Programme comprennent 9 étapes suivantes :</w:t>
      </w:r>
    </w:p>
    <w:p w14:paraId="2B9C8BBF" w14:textId="77777777" w:rsidR="009021F1" w:rsidRPr="0078539E" w:rsidRDefault="009021F1" w:rsidP="009021F1">
      <w:pPr>
        <w:autoSpaceDE w:val="0"/>
        <w:autoSpaceDN w:val="0"/>
        <w:adjustRightInd w:val="0"/>
        <w:rPr>
          <w:szCs w:val="21"/>
        </w:rPr>
      </w:pPr>
    </w:p>
    <w:p w14:paraId="2FA9F860" w14:textId="77777777" w:rsidR="009021F1" w:rsidRPr="0078539E" w:rsidRDefault="009021F1" w:rsidP="009021F1">
      <w:pPr>
        <w:numPr>
          <w:ilvl w:val="0"/>
          <w:numId w:val="193"/>
        </w:numPr>
        <w:spacing w:line="240" w:lineRule="auto"/>
        <w:contextualSpacing/>
        <w:rPr>
          <w:szCs w:val="21"/>
        </w:rPr>
      </w:pPr>
      <w:r w:rsidRPr="0078539E">
        <w:rPr>
          <w:szCs w:val="21"/>
        </w:rPr>
        <w:t>Etape 1 : réception et enregistrement des plaintes</w:t>
      </w:r>
    </w:p>
    <w:p w14:paraId="26AA5A7C" w14:textId="77777777" w:rsidR="009021F1" w:rsidRPr="0078539E" w:rsidRDefault="009021F1" w:rsidP="009021F1">
      <w:pPr>
        <w:numPr>
          <w:ilvl w:val="0"/>
          <w:numId w:val="193"/>
        </w:numPr>
        <w:spacing w:line="240" w:lineRule="auto"/>
        <w:contextualSpacing/>
        <w:rPr>
          <w:szCs w:val="21"/>
        </w:rPr>
      </w:pPr>
      <w:r w:rsidRPr="0078539E">
        <w:rPr>
          <w:szCs w:val="21"/>
        </w:rPr>
        <w:t xml:space="preserve">Etape 2 : étude des plaintes </w:t>
      </w:r>
    </w:p>
    <w:p w14:paraId="705E1831" w14:textId="77777777" w:rsidR="009021F1" w:rsidRPr="0078539E" w:rsidRDefault="009021F1" w:rsidP="009021F1">
      <w:pPr>
        <w:numPr>
          <w:ilvl w:val="0"/>
          <w:numId w:val="193"/>
        </w:numPr>
        <w:spacing w:line="240" w:lineRule="auto"/>
        <w:contextualSpacing/>
        <w:rPr>
          <w:szCs w:val="21"/>
        </w:rPr>
      </w:pPr>
      <w:r w:rsidRPr="0078539E">
        <w:rPr>
          <w:szCs w:val="21"/>
        </w:rPr>
        <w:t xml:space="preserve">Etape 3 : l’investigation sur la vérification du bien-fondé de la plainte  </w:t>
      </w:r>
    </w:p>
    <w:p w14:paraId="64D30523" w14:textId="77777777" w:rsidR="009021F1" w:rsidRPr="0078539E" w:rsidRDefault="009021F1" w:rsidP="009021F1">
      <w:pPr>
        <w:numPr>
          <w:ilvl w:val="0"/>
          <w:numId w:val="193"/>
        </w:numPr>
        <w:spacing w:line="240" w:lineRule="auto"/>
        <w:contextualSpacing/>
        <w:rPr>
          <w:szCs w:val="21"/>
        </w:rPr>
      </w:pPr>
      <w:r w:rsidRPr="0078539E">
        <w:rPr>
          <w:szCs w:val="21"/>
        </w:rPr>
        <w:t>Etape 4 : Propositions de réponse </w:t>
      </w:r>
    </w:p>
    <w:p w14:paraId="0E78FAF1" w14:textId="77777777" w:rsidR="009021F1" w:rsidRPr="0078539E" w:rsidRDefault="009021F1" w:rsidP="009021F1">
      <w:pPr>
        <w:numPr>
          <w:ilvl w:val="0"/>
          <w:numId w:val="193"/>
        </w:numPr>
        <w:spacing w:line="240" w:lineRule="auto"/>
        <w:contextualSpacing/>
        <w:rPr>
          <w:szCs w:val="21"/>
        </w:rPr>
      </w:pPr>
      <w:r w:rsidRPr="0078539E">
        <w:rPr>
          <w:szCs w:val="21"/>
        </w:rPr>
        <w:t>Etape 5 : Révision des réponses en cas de non résolution en première instance</w:t>
      </w:r>
    </w:p>
    <w:p w14:paraId="523FA041" w14:textId="77777777" w:rsidR="009021F1" w:rsidRPr="0078539E" w:rsidRDefault="009021F1" w:rsidP="009021F1">
      <w:pPr>
        <w:numPr>
          <w:ilvl w:val="0"/>
          <w:numId w:val="193"/>
        </w:numPr>
        <w:spacing w:line="240" w:lineRule="auto"/>
        <w:contextualSpacing/>
        <w:rPr>
          <w:szCs w:val="21"/>
        </w:rPr>
      </w:pPr>
      <w:r w:rsidRPr="0078539E">
        <w:rPr>
          <w:szCs w:val="21"/>
        </w:rPr>
        <w:t>Etape 6 : Mise en œuvre des mesures correctrices</w:t>
      </w:r>
    </w:p>
    <w:p w14:paraId="6DF3B9FF" w14:textId="77777777" w:rsidR="009021F1" w:rsidRPr="0078539E" w:rsidRDefault="009021F1" w:rsidP="009021F1">
      <w:pPr>
        <w:numPr>
          <w:ilvl w:val="0"/>
          <w:numId w:val="193"/>
        </w:numPr>
        <w:spacing w:line="240" w:lineRule="auto"/>
        <w:contextualSpacing/>
        <w:rPr>
          <w:szCs w:val="21"/>
        </w:rPr>
      </w:pPr>
      <w:r w:rsidRPr="0078539E">
        <w:rPr>
          <w:szCs w:val="21"/>
        </w:rPr>
        <w:t>Etape 7 : Clôture ou extinction de la plainte</w:t>
      </w:r>
    </w:p>
    <w:p w14:paraId="3A336A6B" w14:textId="77777777" w:rsidR="009021F1" w:rsidRPr="0078539E" w:rsidRDefault="009021F1" w:rsidP="009021F1">
      <w:pPr>
        <w:numPr>
          <w:ilvl w:val="0"/>
          <w:numId w:val="193"/>
        </w:numPr>
        <w:spacing w:line="240" w:lineRule="auto"/>
        <w:contextualSpacing/>
        <w:rPr>
          <w:szCs w:val="21"/>
        </w:rPr>
      </w:pPr>
      <w:r w:rsidRPr="0078539E">
        <w:rPr>
          <w:szCs w:val="21"/>
        </w:rPr>
        <w:t>Etape 8 : Rapportage</w:t>
      </w:r>
    </w:p>
    <w:p w14:paraId="61864B3C" w14:textId="77777777" w:rsidR="009021F1" w:rsidRPr="0078539E" w:rsidRDefault="009021F1" w:rsidP="009021F1">
      <w:pPr>
        <w:numPr>
          <w:ilvl w:val="0"/>
          <w:numId w:val="193"/>
        </w:numPr>
        <w:spacing w:line="240" w:lineRule="auto"/>
        <w:contextualSpacing/>
        <w:rPr>
          <w:szCs w:val="21"/>
        </w:rPr>
      </w:pPr>
      <w:r w:rsidRPr="0078539E">
        <w:rPr>
          <w:szCs w:val="21"/>
        </w:rPr>
        <w:t xml:space="preserve">Etape 9 : Archivage  </w:t>
      </w:r>
    </w:p>
    <w:p w14:paraId="780117C2" w14:textId="77777777" w:rsidR="009021F1" w:rsidRPr="0078539E" w:rsidRDefault="009021F1" w:rsidP="009021F1">
      <w:pPr>
        <w:rPr>
          <w:bCs/>
          <w:szCs w:val="21"/>
        </w:rPr>
      </w:pPr>
    </w:p>
    <w:p w14:paraId="5CF95AF2" w14:textId="77777777" w:rsidR="009021F1" w:rsidRDefault="009021F1" w:rsidP="009021F1">
      <w:pPr>
        <w:rPr>
          <w:bCs/>
          <w:szCs w:val="21"/>
        </w:rPr>
      </w:pPr>
      <w:r w:rsidRPr="0078539E">
        <w:rPr>
          <w:bCs/>
          <w:szCs w:val="21"/>
        </w:rPr>
        <w:t>Le</w:t>
      </w:r>
      <w:r w:rsidRPr="0078539E">
        <w:rPr>
          <w:szCs w:val="21"/>
        </w:rPr>
        <w:t>s détails sur les 9 étapes des plaintes globales du Programme</w:t>
      </w:r>
      <w:r w:rsidRPr="0078539E">
        <w:rPr>
          <w:bCs/>
          <w:szCs w:val="21"/>
        </w:rPr>
        <w:t xml:space="preserve"> sont compris dans le MGP faisant partie du Plan de Mobilisation des Parties Prenantes.</w:t>
      </w:r>
    </w:p>
    <w:p w14:paraId="6522DE4A" w14:textId="77777777" w:rsidR="009021F1" w:rsidRPr="0078539E" w:rsidRDefault="009021F1" w:rsidP="009021F1">
      <w:pPr>
        <w:rPr>
          <w:bCs/>
          <w:szCs w:val="21"/>
        </w:rPr>
      </w:pPr>
    </w:p>
    <w:p w14:paraId="05B697B3" w14:textId="77777777" w:rsidR="009021F1" w:rsidRDefault="009021F1" w:rsidP="009021F1">
      <w:pPr>
        <w:rPr>
          <w:i/>
          <w:iCs/>
          <w:szCs w:val="21"/>
        </w:rPr>
      </w:pPr>
      <w:r w:rsidRPr="0078539E">
        <w:rPr>
          <w:rFonts w:cs="Arial"/>
          <w:szCs w:val="21"/>
        </w:rPr>
        <w:t>À</w:t>
      </w:r>
      <w:r w:rsidRPr="0078539E">
        <w:rPr>
          <w:szCs w:val="21"/>
        </w:rPr>
        <w:t xml:space="preserve"> noter que le MGP répond au paragraphe 34 de la NES 7, à savoir :</w:t>
      </w:r>
      <w:r w:rsidRPr="0078539E">
        <w:rPr>
          <w:szCs w:val="21"/>
        </w:rPr>
        <w:br/>
      </w:r>
      <w:r w:rsidRPr="0078539E">
        <w:rPr>
          <w:i/>
          <w:iCs/>
          <w:szCs w:val="21"/>
        </w:rPr>
        <w:t>« adapté à la culture des Peuples autochtones/Communautés locales traditionnelles d’Afrique subsaharienne historiquement défavorisées  touchés par le projet, accessible à ceux-ci et tenant compte de la disponibilité de voies de recours judiciaires et de mécanismes coutumiers de règlement des conflits entre les Peuples autochtones/Communautés locales traditionnelles d’Afrique subsaharienne historiquement défavorisées, soit mis en place aux fins du projet, tel que décrit sous la NES no 10. »</w:t>
      </w:r>
    </w:p>
    <w:p w14:paraId="48E66733" w14:textId="77777777" w:rsidR="009021F1" w:rsidRPr="0078539E" w:rsidRDefault="009021F1" w:rsidP="009021F1">
      <w:pPr>
        <w:rPr>
          <w:i/>
          <w:iCs/>
          <w:szCs w:val="21"/>
        </w:rPr>
      </w:pPr>
    </w:p>
    <w:p w14:paraId="4A11D9B5" w14:textId="77777777" w:rsidR="009021F1" w:rsidRPr="0078539E" w:rsidRDefault="009021F1" w:rsidP="009021F1">
      <w:pPr>
        <w:pStyle w:val="Titre2"/>
        <w:numPr>
          <w:ilvl w:val="2"/>
          <w:numId w:val="4"/>
        </w:numPr>
        <w:ind w:left="1560" w:hanging="709"/>
        <w:rPr>
          <w:rFonts w:cs="Arial"/>
          <w:i/>
          <w:szCs w:val="21"/>
        </w:rPr>
      </w:pPr>
      <w:bookmarkStart w:id="464" w:name="_Toc90471570"/>
      <w:r w:rsidRPr="0078539E">
        <w:rPr>
          <w:rFonts w:cs="Arial"/>
          <w:i/>
          <w:szCs w:val="21"/>
        </w:rPr>
        <w:t>Plaintes relatives aux VBG/EAS/HS</w:t>
      </w:r>
      <w:bookmarkEnd w:id="464"/>
    </w:p>
    <w:p w14:paraId="29D9C7DA" w14:textId="77777777" w:rsidR="009021F1" w:rsidRPr="0078539E" w:rsidRDefault="009021F1" w:rsidP="009021F1">
      <w:pPr>
        <w:rPr>
          <w:szCs w:val="21"/>
        </w:rPr>
      </w:pPr>
    </w:p>
    <w:p w14:paraId="22D4BA88" w14:textId="77777777" w:rsidR="009021F1" w:rsidRPr="0078539E" w:rsidRDefault="009021F1" w:rsidP="009021F1">
      <w:pPr>
        <w:rPr>
          <w:szCs w:val="21"/>
        </w:rPr>
      </w:pPr>
      <w:r w:rsidRPr="0078539E">
        <w:rPr>
          <w:szCs w:val="21"/>
        </w:rPr>
        <w:t>Pour les plaintes dites hypersensibles liées aux abus et exploitations sexuels, aux violences sexuelles, au harcèlement sexuel en milieu professionnel, à la fraude, à la corruption, vol, au cas d’accidents graves, etc., la procédure spécifique comprend les (8) étapes suivantes :</w:t>
      </w:r>
    </w:p>
    <w:p w14:paraId="5604C00F" w14:textId="77777777" w:rsidR="009021F1" w:rsidRPr="0078539E" w:rsidRDefault="009021F1" w:rsidP="009021F1">
      <w:pPr>
        <w:rPr>
          <w:szCs w:val="21"/>
        </w:rPr>
      </w:pPr>
    </w:p>
    <w:p w14:paraId="0F48D253" w14:textId="77777777" w:rsidR="009021F1" w:rsidRPr="0078539E" w:rsidRDefault="009021F1" w:rsidP="009021F1">
      <w:pPr>
        <w:numPr>
          <w:ilvl w:val="0"/>
          <w:numId w:val="193"/>
        </w:numPr>
        <w:spacing w:line="240" w:lineRule="auto"/>
        <w:contextualSpacing/>
        <w:rPr>
          <w:szCs w:val="21"/>
        </w:rPr>
      </w:pPr>
      <w:r w:rsidRPr="0078539E">
        <w:rPr>
          <w:szCs w:val="21"/>
        </w:rPr>
        <w:t>Etape 1 : réception et enregistrement des plaintes</w:t>
      </w:r>
    </w:p>
    <w:p w14:paraId="77B96994" w14:textId="77777777" w:rsidR="009021F1" w:rsidRPr="0078539E" w:rsidRDefault="009021F1" w:rsidP="009021F1">
      <w:pPr>
        <w:numPr>
          <w:ilvl w:val="0"/>
          <w:numId w:val="193"/>
        </w:numPr>
        <w:spacing w:line="240" w:lineRule="auto"/>
        <w:contextualSpacing/>
        <w:rPr>
          <w:szCs w:val="21"/>
        </w:rPr>
      </w:pPr>
      <w:r w:rsidRPr="0078539E">
        <w:rPr>
          <w:szCs w:val="21"/>
        </w:rPr>
        <w:t xml:space="preserve">Etape 2 : l’investigation sur la vérification du bien-fondé de la plainte  </w:t>
      </w:r>
    </w:p>
    <w:p w14:paraId="1F145225" w14:textId="77777777" w:rsidR="009021F1" w:rsidRPr="0078539E" w:rsidRDefault="009021F1" w:rsidP="009021F1">
      <w:pPr>
        <w:numPr>
          <w:ilvl w:val="0"/>
          <w:numId w:val="193"/>
        </w:numPr>
        <w:spacing w:line="240" w:lineRule="auto"/>
        <w:contextualSpacing/>
        <w:rPr>
          <w:szCs w:val="21"/>
        </w:rPr>
      </w:pPr>
      <w:r w:rsidRPr="0078539E">
        <w:rPr>
          <w:szCs w:val="21"/>
        </w:rPr>
        <w:t>Etape 3 : Propositions de réponse </w:t>
      </w:r>
    </w:p>
    <w:p w14:paraId="69A02730" w14:textId="77777777" w:rsidR="009021F1" w:rsidRPr="0078539E" w:rsidRDefault="009021F1" w:rsidP="009021F1">
      <w:pPr>
        <w:numPr>
          <w:ilvl w:val="0"/>
          <w:numId w:val="193"/>
        </w:numPr>
        <w:spacing w:line="240" w:lineRule="auto"/>
        <w:contextualSpacing/>
        <w:rPr>
          <w:szCs w:val="21"/>
        </w:rPr>
      </w:pPr>
      <w:r w:rsidRPr="0078539E">
        <w:rPr>
          <w:szCs w:val="21"/>
        </w:rPr>
        <w:t xml:space="preserve">Etape 4 : Révision des réponses en cas de non résolution </w:t>
      </w:r>
    </w:p>
    <w:p w14:paraId="400C3CCC" w14:textId="77777777" w:rsidR="009021F1" w:rsidRPr="0078539E" w:rsidRDefault="009021F1" w:rsidP="009021F1">
      <w:pPr>
        <w:numPr>
          <w:ilvl w:val="0"/>
          <w:numId w:val="193"/>
        </w:numPr>
        <w:spacing w:line="240" w:lineRule="auto"/>
        <w:contextualSpacing/>
        <w:rPr>
          <w:szCs w:val="21"/>
        </w:rPr>
      </w:pPr>
      <w:r w:rsidRPr="0078539E">
        <w:rPr>
          <w:szCs w:val="21"/>
        </w:rPr>
        <w:t>Etape 5 : Mise en œuvre des mesures correctrices</w:t>
      </w:r>
    </w:p>
    <w:p w14:paraId="30852837" w14:textId="77777777" w:rsidR="009021F1" w:rsidRPr="0078539E" w:rsidRDefault="009021F1" w:rsidP="009021F1">
      <w:pPr>
        <w:numPr>
          <w:ilvl w:val="0"/>
          <w:numId w:val="193"/>
        </w:numPr>
        <w:spacing w:line="240" w:lineRule="auto"/>
        <w:contextualSpacing/>
        <w:rPr>
          <w:szCs w:val="21"/>
        </w:rPr>
      </w:pPr>
      <w:r w:rsidRPr="0078539E">
        <w:rPr>
          <w:szCs w:val="21"/>
        </w:rPr>
        <w:t>Etape 6 : Clôture ou extinction de la plainte</w:t>
      </w:r>
    </w:p>
    <w:p w14:paraId="7F64921B" w14:textId="77777777" w:rsidR="009021F1" w:rsidRPr="0078539E" w:rsidRDefault="009021F1" w:rsidP="009021F1">
      <w:pPr>
        <w:numPr>
          <w:ilvl w:val="0"/>
          <w:numId w:val="193"/>
        </w:numPr>
        <w:spacing w:line="240" w:lineRule="auto"/>
        <w:contextualSpacing/>
        <w:rPr>
          <w:szCs w:val="21"/>
        </w:rPr>
      </w:pPr>
      <w:r w:rsidRPr="0078539E">
        <w:rPr>
          <w:szCs w:val="21"/>
        </w:rPr>
        <w:t>Etape 7 : Rapportage</w:t>
      </w:r>
    </w:p>
    <w:p w14:paraId="504604A0" w14:textId="77777777" w:rsidR="009021F1" w:rsidRPr="0078539E" w:rsidRDefault="009021F1" w:rsidP="009021F1">
      <w:pPr>
        <w:numPr>
          <w:ilvl w:val="0"/>
          <w:numId w:val="193"/>
        </w:numPr>
        <w:spacing w:line="240" w:lineRule="auto"/>
        <w:contextualSpacing/>
        <w:rPr>
          <w:szCs w:val="21"/>
        </w:rPr>
      </w:pPr>
      <w:r w:rsidRPr="0078539E">
        <w:rPr>
          <w:szCs w:val="21"/>
        </w:rPr>
        <w:t xml:space="preserve">Etape 8 : Archivage  </w:t>
      </w:r>
    </w:p>
    <w:p w14:paraId="292C60D8" w14:textId="77777777" w:rsidR="009021F1" w:rsidRPr="0078539E" w:rsidRDefault="009021F1" w:rsidP="009021F1">
      <w:pPr>
        <w:rPr>
          <w:szCs w:val="21"/>
        </w:rPr>
      </w:pPr>
    </w:p>
    <w:p w14:paraId="268BF578" w14:textId="77777777" w:rsidR="009021F1" w:rsidRPr="0078539E" w:rsidRDefault="009021F1" w:rsidP="009021F1">
      <w:pPr>
        <w:pStyle w:val="Titre2"/>
        <w:rPr>
          <w:bCs w:val="0"/>
          <w:szCs w:val="21"/>
        </w:rPr>
      </w:pPr>
      <w:bookmarkStart w:id="465" w:name="_Toc90471571"/>
      <w:r w:rsidRPr="0078539E">
        <w:rPr>
          <w:bCs w:val="0"/>
          <w:szCs w:val="21"/>
        </w:rPr>
        <w:t>Le</w:t>
      </w:r>
      <w:r w:rsidRPr="0078539E">
        <w:rPr>
          <w:szCs w:val="21"/>
        </w:rPr>
        <w:t>s détails sur les 8 étapes des</w:t>
      </w:r>
      <w:r w:rsidRPr="0078539E">
        <w:rPr>
          <w:rFonts w:cs="Arial"/>
          <w:szCs w:val="21"/>
        </w:rPr>
        <w:t xml:space="preserve"> Plaintes relatives aux VBG/EAS/HS</w:t>
      </w:r>
      <w:r w:rsidRPr="0078539E">
        <w:rPr>
          <w:szCs w:val="21"/>
        </w:rPr>
        <w:t xml:space="preserve"> du Programme</w:t>
      </w:r>
      <w:r w:rsidRPr="0078539E">
        <w:rPr>
          <w:bCs w:val="0"/>
          <w:szCs w:val="21"/>
        </w:rPr>
        <w:t xml:space="preserve"> sont compris dans le Plan d’action EAS/HS.</w:t>
      </w:r>
      <w:bookmarkEnd w:id="465"/>
    </w:p>
    <w:p w14:paraId="6254BC81" w14:textId="77777777" w:rsidR="009021F1" w:rsidRPr="0078539E" w:rsidRDefault="009021F1" w:rsidP="009021F1">
      <w:pPr>
        <w:rPr>
          <w:szCs w:val="21"/>
        </w:rPr>
      </w:pPr>
    </w:p>
    <w:p w14:paraId="67D09EBE" w14:textId="77777777" w:rsidR="009021F1" w:rsidRPr="0078539E" w:rsidRDefault="009021F1" w:rsidP="009021F1">
      <w:pPr>
        <w:pStyle w:val="Titre2"/>
        <w:numPr>
          <w:ilvl w:val="2"/>
          <w:numId w:val="4"/>
        </w:numPr>
        <w:spacing w:line="240" w:lineRule="auto"/>
        <w:rPr>
          <w:i/>
          <w:iCs/>
          <w:szCs w:val="21"/>
        </w:rPr>
      </w:pPr>
      <w:bookmarkStart w:id="466" w:name="_Toc90471572"/>
      <w:r w:rsidRPr="0078539E">
        <w:rPr>
          <w:i/>
          <w:iCs/>
          <w:szCs w:val="21"/>
        </w:rPr>
        <w:t>Suivi et enregistrement des plaintes</w:t>
      </w:r>
      <w:bookmarkEnd w:id="466"/>
      <w:r w:rsidRPr="0078539E">
        <w:rPr>
          <w:i/>
          <w:iCs/>
          <w:szCs w:val="21"/>
        </w:rPr>
        <w:t xml:space="preserve"> </w:t>
      </w:r>
    </w:p>
    <w:p w14:paraId="4966BEDB" w14:textId="77777777" w:rsidR="009021F1" w:rsidRPr="0078539E" w:rsidRDefault="009021F1" w:rsidP="009021F1">
      <w:pPr>
        <w:spacing w:line="240" w:lineRule="auto"/>
        <w:rPr>
          <w:szCs w:val="21"/>
        </w:rPr>
      </w:pPr>
    </w:p>
    <w:p w14:paraId="05B4BD9D" w14:textId="77777777" w:rsidR="009021F1" w:rsidRDefault="009021F1" w:rsidP="009021F1">
      <w:pPr>
        <w:spacing w:line="240" w:lineRule="auto"/>
        <w:rPr>
          <w:szCs w:val="21"/>
        </w:rPr>
      </w:pPr>
      <w:r w:rsidRPr="0078539E">
        <w:rPr>
          <w:szCs w:val="21"/>
        </w:rPr>
        <w:t>Pour ce faire, le Programme, à travers le CGP, se servira de trois outils ci-après :</w:t>
      </w:r>
    </w:p>
    <w:p w14:paraId="01DAF2A7" w14:textId="77777777" w:rsidR="009021F1" w:rsidRPr="0078539E" w:rsidRDefault="009021F1" w:rsidP="009021F1">
      <w:pPr>
        <w:spacing w:line="240" w:lineRule="auto"/>
        <w:rPr>
          <w:szCs w:val="21"/>
        </w:rPr>
      </w:pPr>
    </w:p>
    <w:p w14:paraId="479B9023" w14:textId="77777777" w:rsidR="009021F1" w:rsidRPr="0078539E" w:rsidRDefault="009021F1" w:rsidP="009021F1">
      <w:pPr>
        <w:numPr>
          <w:ilvl w:val="0"/>
          <w:numId w:val="117"/>
        </w:numPr>
        <w:spacing w:line="240" w:lineRule="auto"/>
        <w:contextualSpacing/>
        <w:rPr>
          <w:szCs w:val="21"/>
        </w:rPr>
      </w:pPr>
      <w:r w:rsidRPr="0078539E">
        <w:rPr>
          <w:szCs w:val="21"/>
        </w:rPr>
        <w:t xml:space="preserve">Fiche d'enregistrement des plaintes ; </w:t>
      </w:r>
    </w:p>
    <w:p w14:paraId="35F573A6" w14:textId="77777777" w:rsidR="009021F1" w:rsidRPr="0078539E" w:rsidRDefault="009021F1" w:rsidP="009021F1">
      <w:pPr>
        <w:numPr>
          <w:ilvl w:val="0"/>
          <w:numId w:val="117"/>
        </w:numPr>
        <w:spacing w:line="240" w:lineRule="auto"/>
        <w:contextualSpacing/>
        <w:rPr>
          <w:szCs w:val="21"/>
        </w:rPr>
      </w:pPr>
      <w:r w:rsidRPr="0078539E">
        <w:rPr>
          <w:szCs w:val="21"/>
        </w:rPr>
        <w:t xml:space="preserve">Registre des plaintes ; et </w:t>
      </w:r>
    </w:p>
    <w:p w14:paraId="2462651F" w14:textId="77777777" w:rsidR="009021F1" w:rsidRPr="0078539E" w:rsidRDefault="009021F1" w:rsidP="009021F1">
      <w:pPr>
        <w:numPr>
          <w:ilvl w:val="0"/>
          <w:numId w:val="117"/>
        </w:numPr>
        <w:spacing w:line="240" w:lineRule="auto"/>
        <w:contextualSpacing/>
        <w:rPr>
          <w:szCs w:val="21"/>
        </w:rPr>
      </w:pPr>
      <w:r w:rsidRPr="0078539E">
        <w:rPr>
          <w:szCs w:val="21"/>
        </w:rPr>
        <w:t>Le système informatique de gestion des plaintes.</w:t>
      </w:r>
    </w:p>
    <w:p w14:paraId="6DCE2A7B" w14:textId="77777777" w:rsidR="009021F1" w:rsidRPr="0078539E" w:rsidRDefault="009021F1" w:rsidP="009021F1">
      <w:pPr>
        <w:spacing w:line="240" w:lineRule="auto"/>
        <w:ind w:left="720"/>
        <w:contextualSpacing/>
        <w:rPr>
          <w:szCs w:val="21"/>
        </w:rPr>
      </w:pPr>
    </w:p>
    <w:p w14:paraId="194090D2" w14:textId="77777777" w:rsidR="009021F1" w:rsidRPr="0078539E" w:rsidRDefault="009021F1" w:rsidP="009021F1">
      <w:pPr>
        <w:pStyle w:val="Titre2"/>
        <w:numPr>
          <w:ilvl w:val="2"/>
          <w:numId w:val="4"/>
        </w:numPr>
        <w:spacing w:line="240" w:lineRule="auto"/>
        <w:rPr>
          <w:i/>
          <w:iCs/>
          <w:szCs w:val="21"/>
        </w:rPr>
      </w:pPr>
      <w:bookmarkStart w:id="467" w:name="_Toc90471573"/>
      <w:r w:rsidRPr="0078539E">
        <w:rPr>
          <w:i/>
          <w:iCs/>
          <w:szCs w:val="21"/>
        </w:rPr>
        <w:t>Rôles et responsabilités institutionnels dans le suivi du MGP</w:t>
      </w:r>
      <w:bookmarkEnd w:id="467"/>
    </w:p>
    <w:p w14:paraId="5D007D90" w14:textId="77777777" w:rsidR="009021F1" w:rsidRPr="0078539E" w:rsidRDefault="009021F1" w:rsidP="009021F1">
      <w:pPr>
        <w:spacing w:line="240" w:lineRule="auto"/>
        <w:rPr>
          <w:szCs w:val="21"/>
        </w:rPr>
      </w:pPr>
    </w:p>
    <w:p w14:paraId="76DDDCC5" w14:textId="77777777" w:rsidR="009021F1" w:rsidRPr="0078539E" w:rsidRDefault="009021F1" w:rsidP="009021F1">
      <w:pPr>
        <w:spacing w:line="240" w:lineRule="auto"/>
        <w:rPr>
          <w:szCs w:val="21"/>
        </w:rPr>
      </w:pPr>
      <w:r w:rsidRPr="0078539E">
        <w:rPr>
          <w:szCs w:val="21"/>
        </w:rPr>
        <w:t>La responsabilité du suivi est partagée entre les différents acteurs notamment : au niveau local ou des riverains, au niveau du projet, au niveau provincial, au niveau national et au niveau de la Banque mondiale.</w:t>
      </w:r>
    </w:p>
    <w:p w14:paraId="386B5B24" w14:textId="77777777" w:rsidR="009021F1" w:rsidRPr="0078539E" w:rsidRDefault="009021F1" w:rsidP="009021F1">
      <w:pPr>
        <w:spacing w:line="240" w:lineRule="auto"/>
        <w:rPr>
          <w:szCs w:val="21"/>
        </w:rPr>
      </w:pPr>
    </w:p>
    <w:p w14:paraId="09944B60" w14:textId="77777777" w:rsidR="009021F1" w:rsidRPr="0078539E" w:rsidRDefault="009021F1" w:rsidP="009021F1">
      <w:pPr>
        <w:pStyle w:val="Titre2"/>
        <w:numPr>
          <w:ilvl w:val="2"/>
          <w:numId w:val="4"/>
        </w:numPr>
        <w:spacing w:line="240" w:lineRule="auto"/>
        <w:rPr>
          <w:i/>
          <w:iCs/>
          <w:szCs w:val="21"/>
        </w:rPr>
      </w:pPr>
      <w:bookmarkStart w:id="468" w:name="_Toc90471574"/>
      <w:r w:rsidRPr="0078539E">
        <w:rPr>
          <w:i/>
          <w:iCs/>
          <w:szCs w:val="21"/>
        </w:rPr>
        <w:t>Indicateurs de suivi</w:t>
      </w:r>
      <w:bookmarkEnd w:id="468"/>
    </w:p>
    <w:p w14:paraId="191C4671" w14:textId="77777777" w:rsidR="009021F1" w:rsidRPr="0078539E" w:rsidRDefault="009021F1" w:rsidP="009021F1">
      <w:pPr>
        <w:spacing w:line="240" w:lineRule="auto"/>
        <w:rPr>
          <w:szCs w:val="21"/>
        </w:rPr>
      </w:pPr>
    </w:p>
    <w:p w14:paraId="6CC7291A" w14:textId="77777777" w:rsidR="009021F1" w:rsidRDefault="009021F1" w:rsidP="009021F1">
      <w:pPr>
        <w:spacing w:line="240" w:lineRule="auto"/>
        <w:rPr>
          <w:szCs w:val="21"/>
        </w:rPr>
      </w:pPr>
      <w:r w:rsidRPr="0078539E">
        <w:rPr>
          <w:szCs w:val="21"/>
        </w:rPr>
        <w:t>Les indicateurs de suivi ci-dessous proposés par le programme en vue de permettre l’atteinte des résultats ainsi que la performance du MGP :</w:t>
      </w:r>
    </w:p>
    <w:p w14:paraId="2F80B24C" w14:textId="77777777" w:rsidR="009021F1" w:rsidRPr="0078539E" w:rsidRDefault="009021F1" w:rsidP="009021F1">
      <w:pPr>
        <w:spacing w:line="240" w:lineRule="auto"/>
        <w:rPr>
          <w:szCs w:val="21"/>
        </w:rPr>
      </w:pPr>
    </w:p>
    <w:p w14:paraId="7744DE27" w14:textId="77777777" w:rsidR="009021F1" w:rsidRPr="0078539E" w:rsidRDefault="009021F1" w:rsidP="009021F1">
      <w:pPr>
        <w:numPr>
          <w:ilvl w:val="0"/>
          <w:numId w:val="118"/>
        </w:numPr>
        <w:spacing w:line="240" w:lineRule="auto"/>
        <w:ind w:left="851" w:hanging="284"/>
        <w:contextualSpacing/>
        <w:rPr>
          <w:szCs w:val="21"/>
        </w:rPr>
      </w:pPr>
      <w:r w:rsidRPr="0078539E">
        <w:rPr>
          <w:szCs w:val="21"/>
        </w:rPr>
        <w:t>Nombre des plaintes reçues et traitées ;</w:t>
      </w:r>
    </w:p>
    <w:p w14:paraId="280B887D" w14:textId="77777777" w:rsidR="009021F1" w:rsidRPr="0078539E" w:rsidRDefault="009021F1" w:rsidP="009021F1">
      <w:pPr>
        <w:numPr>
          <w:ilvl w:val="0"/>
          <w:numId w:val="118"/>
        </w:numPr>
        <w:spacing w:line="240" w:lineRule="auto"/>
        <w:ind w:left="851" w:hanging="284"/>
        <w:contextualSpacing/>
        <w:rPr>
          <w:szCs w:val="21"/>
        </w:rPr>
      </w:pPr>
      <w:r w:rsidRPr="0078539E">
        <w:rPr>
          <w:szCs w:val="21"/>
        </w:rPr>
        <w:t>Nombre des plaignants satisfaits de la réponse leur réservée par le projet ;</w:t>
      </w:r>
    </w:p>
    <w:p w14:paraId="5D7FE2DF" w14:textId="77777777" w:rsidR="009021F1" w:rsidRPr="0078539E" w:rsidRDefault="009021F1" w:rsidP="009021F1">
      <w:pPr>
        <w:numPr>
          <w:ilvl w:val="0"/>
          <w:numId w:val="118"/>
        </w:numPr>
        <w:spacing w:line="240" w:lineRule="auto"/>
        <w:ind w:left="851" w:hanging="284"/>
        <w:contextualSpacing/>
        <w:rPr>
          <w:szCs w:val="21"/>
        </w:rPr>
      </w:pPr>
      <w:r w:rsidRPr="0078539E">
        <w:rPr>
          <w:szCs w:val="21"/>
        </w:rPr>
        <w:t>Nombre de plaintes résolues ;</w:t>
      </w:r>
    </w:p>
    <w:p w14:paraId="0E2F7F73" w14:textId="77777777" w:rsidR="009021F1" w:rsidRPr="0078539E" w:rsidRDefault="009021F1" w:rsidP="009021F1">
      <w:pPr>
        <w:numPr>
          <w:ilvl w:val="0"/>
          <w:numId w:val="118"/>
        </w:numPr>
        <w:spacing w:line="240" w:lineRule="auto"/>
        <w:ind w:left="851" w:hanging="284"/>
        <w:contextualSpacing/>
        <w:rPr>
          <w:szCs w:val="21"/>
        </w:rPr>
      </w:pPr>
      <w:r w:rsidRPr="0078539E">
        <w:rPr>
          <w:szCs w:val="21"/>
        </w:rPr>
        <w:t>Nombre de plaintes non-résolues ;</w:t>
      </w:r>
    </w:p>
    <w:p w14:paraId="4F390A9C" w14:textId="77777777" w:rsidR="009021F1" w:rsidRPr="0078539E" w:rsidRDefault="009021F1" w:rsidP="009021F1">
      <w:pPr>
        <w:numPr>
          <w:ilvl w:val="0"/>
          <w:numId w:val="118"/>
        </w:numPr>
        <w:spacing w:line="240" w:lineRule="auto"/>
        <w:ind w:left="851" w:hanging="284"/>
        <w:contextualSpacing/>
        <w:rPr>
          <w:szCs w:val="21"/>
        </w:rPr>
      </w:pPr>
      <w:r w:rsidRPr="0078539E">
        <w:rPr>
          <w:szCs w:val="21"/>
        </w:rPr>
        <w:t xml:space="preserve">Nombre </w:t>
      </w:r>
      <w:r w:rsidRPr="0078539E">
        <w:rPr>
          <w:szCs w:val="21"/>
          <w:lang w:val="fr-BE"/>
        </w:rPr>
        <w:t>de plaintes de VBG ayant été réfères aux services de prise en charge ;</w:t>
      </w:r>
    </w:p>
    <w:p w14:paraId="5A58E67A" w14:textId="77777777" w:rsidR="009021F1" w:rsidRPr="0078539E" w:rsidRDefault="009021F1" w:rsidP="009021F1">
      <w:pPr>
        <w:numPr>
          <w:ilvl w:val="0"/>
          <w:numId w:val="118"/>
        </w:numPr>
        <w:spacing w:line="240" w:lineRule="auto"/>
        <w:ind w:left="851" w:hanging="284"/>
        <w:contextualSpacing/>
        <w:rPr>
          <w:szCs w:val="21"/>
        </w:rPr>
      </w:pPr>
      <w:r w:rsidRPr="0078539E">
        <w:rPr>
          <w:szCs w:val="21"/>
        </w:rPr>
        <w:t>Délai de réponse apportée aux plaintes, y compris les plaintes de VBG (de manière agrégée) ;</w:t>
      </w:r>
    </w:p>
    <w:p w14:paraId="1F8EAE10" w14:textId="77777777" w:rsidR="009021F1" w:rsidRPr="0078539E" w:rsidRDefault="009021F1" w:rsidP="009021F1">
      <w:pPr>
        <w:numPr>
          <w:ilvl w:val="0"/>
          <w:numId w:val="118"/>
        </w:numPr>
        <w:spacing w:line="240" w:lineRule="auto"/>
        <w:ind w:left="851" w:hanging="284"/>
        <w:contextualSpacing/>
        <w:rPr>
          <w:szCs w:val="21"/>
        </w:rPr>
      </w:pPr>
      <w:r w:rsidRPr="0078539E">
        <w:rPr>
          <w:szCs w:val="21"/>
        </w:rPr>
        <w:t>Nombre de réunions de sensibilisation au MGP tenues ;</w:t>
      </w:r>
    </w:p>
    <w:p w14:paraId="3FB86A30" w14:textId="77777777" w:rsidR="009021F1" w:rsidRPr="0078539E" w:rsidRDefault="009021F1" w:rsidP="009021F1">
      <w:pPr>
        <w:numPr>
          <w:ilvl w:val="0"/>
          <w:numId w:val="118"/>
        </w:numPr>
        <w:spacing w:line="240" w:lineRule="auto"/>
        <w:ind w:left="851" w:hanging="284"/>
        <w:contextualSpacing/>
        <w:rPr>
          <w:szCs w:val="21"/>
        </w:rPr>
      </w:pPr>
      <w:r w:rsidRPr="0078539E">
        <w:rPr>
          <w:szCs w:val="21"/>
        </w:rPr>
        <w:t>Nombre d’atelier de formation et de renforcement des capacités des parties prenantes organisés ;</w:t>
      </w:r>
    </w:p>
    <w:p w14:paraId="20CE8D21" w14:textId="77777777" w:rsidR="009021F1" w:rsidRPr="0078539E" w:rsidRDefault="009021F1" w:rsidP="009021F1">
      <w:pPr>
        <w:numPr>
          <w:ilvl w:val="0"/>
          <w:numId w:val="118"/>
        </w:numPr>
        <w:spacing w:line="240" w:lineRule="auto"/>
        <w:ind w:left="851" w:hanging="284"/>
        <w:contextualSpacing/>
        <w:rPr>
          <w:szCs w:val="21"/>
        </w:rPr>
      </w:pPr>
      <w:r w:rsidRPr="0078539E">
        <w:rPr>
          <w:szCs w:val="21"/>
        </w:rPr>
        <w:t>Nombre de missions de suivi – évaluation du MGP réalisées ;</w:t>
      </w:r>
    </w:p>
    <w:p w14:paraId="2F08EEBA" w14:textId="77777777" w:rsidR="009021F1" w:rsidRPr="0078539E" w:rsidRDefault="009021F1" w:rsidP="009021F1">
      <w:pPr>
        <w:numPr>
          <w:ilvl w:val="0"/>
          <w:numId w:val="118"/>
        </w:numPr>
        <w:spacing w:line="240" w:lineRule="auto"/>
        <w:ind w:left="851" w:hanging="284"/>
        <w:contextualSpacing/>
        <w:rPr>
          <w:szCs w:val="21"/>
        </w:rPr>
      </w:pPr>
      <w:r w:rsidRPr="0078539E">
        <w:rPr>
          <w:szCs w:val="21"/>
        </w:rPr>
        <w:t>Nombre de missions de suivi – évaluation du MGP réalisées ;</w:t>
      </w:r>
    </w:p>
    <w:p w14:paraId="04BB10D8" w14:textId="77777777" w:rsidR="009021F1" w:rsidRPr="0078539E" w:rsidRDefault="009021F1" w:rsidP="009021F1">
      <w:pPr>
        <w:numPr>
          <w:ilvl w:val="0"/>
          <w:numId w:val="118"/>
        </w:numPr>
        <w:spacing w:line="240" w:lineRule="auto"/>
        <w:ind w:left="851" w:hanging="284"/>
        <w:contextualSpacing/>
        <w:rPr>
          <w:szCs w:val="21"/>
        </w:rPr>
      </w:pPr>
      <w:r w:rsidRPr="0078539E">
        <w:rPr>
          <w:szCs w:val="21"/>
        </w:rPr>
        <w:t>Nombre de téléphones distribués et numéros vert mis en place</w:t>
      </w:r>
    </w:p>
    <w:p w14:paraId="1781D596" w14:textId="77777777" w:rsidR="009021F1" w:rsidRPr="0078539E" w:rsidRDefault="009021F1" w:rsidP="009021F1">
      <w:pPr>
        <w:numPr>
          <w:ilvl w:val="0"/>
          <w:numId w:val="118"/>
        </w:numPr>
        <w:spacing w:line="240" w:lineRule="auto"/>
        <w:ind w:left="851" w:hanging="284"/>
        <w:contextualSpacing/>
        <w:rPr>
          <w:szCs w:val="21"/>
        </w:rPr>
      </w:pPr>
      <w:r w:rsidRPr="0078539E">
        <w:rPr>
          <w:szCs w:val="21"/>
        </w:rPr>
        <w:t>Nombre des prestataires des services identifiés, formés et opérationnels</w:t>
      </w:r>
    </w:p>
    <w:p w14:paraId="6AEB87EC" w14:textId="77777777" w:rsidR="009021F1" w:rsidRPr="0078539E" w:rsidRDefault="009021F1" w:rsidP="009021F1">
      <w:pPr>
        <w:numPr>
          <w:ilvl w:val="0"/>
          <w:numId w:val="118"/>
        </w:numPr>
        <w:spacing w:line="240" w:lineRule="auto"/>
        <w:ind w:left="851" w:hanging="284"/>
        <w:contextualSpacing/>
        <w:rPr>
          <w:szCs w:val="21"/>
        </w:rPr>
      </w:pPr>
      <w:r w:rsidRPr="0078539E">
        <w:rPr>
          <w:szCs w:val="21"/>
        </w:rPr>
        <w:t>Nombre de CGP mis en place et opérationnels ;</w:t>
      </w:r>
    </w:p>
    <w:p w14:paraId="68CA5DEC" w14:textId="77777777" w:rsidR="009021F1" w:rsidRPr="0078539E" w:rsidRDefault="009021F1" w:rsidP="009021F1">
      <w:pPr>
        <w:numPr>
          <w:ilvl w:val="0"/>
          <w:numId w:val="118"/>
        </w:numPr>
        <w:spacing w:line="240" w:lineRule="auto"/>
        <w:ind w:left="851" w:hanging="284"/>
        <w:contextualSpacing/>
        <w:rPr>
          <w:szCs w:val="21"/>
        </w:rPr>
      </w:pPr>
      <w:r w:rsidRPr="0078539E">
        <w:rPr>
          <w:szCs w:val="21"/>
        </w:rPr>
        <w:t>Nombre de projets ayant placé les panneaux de sensibilisation du MGP ;</w:t>
      </w:r>
    </w:p>
    <w:p w14:paraId="368203DF" w14:textId="77777777" w:rsidR="009021F1" w:rsidRPr="0078539E" w:rsidRDefault="009021F1" w:rsidP="009021F1">
      <w:pPr>
        <w:numPr>
          <w:ilvl w:val="0"/>
          <w:numId w:val="118"/>
        </w:numPr>
        <w:spacing w:line="240" w:lineRule="auto"/>
        <w:ind w:left="851" w:hanging="284"/>
        <w:contextualSpacing/>
        <w:rPr>
          <w:szCs w:val="21"/>
        </w:rPr>
      </w:pPr>
      <w:r w:rsidRPr="0078539E">
        <w:rPr>
          <w:szCs w:val="21"/>
        </w:rPr>
        <w:t>Nombre des plaintes reçues et jugées non recevables ;</w:t>
      </w:r>
    </w:p>
    <w:p w14:paraId="34DB5363" w14:textId="77777777" w:rsidR="009021F1" w:rsidRPr="0078539E" w:rsidRDefault="009021F1" w:rsidP="009021F1">
      <w:pPr>
        <w:numPr>
          <w:ilvl w:val="0"/>
          <w:numId w:val="118"/>
        </w:numPr>
        <w:spacing w:line="240" w:lineRule="auto"/>
        <w:ind w:left="851" w:hanging="284"/>
        <w:contextualSpacing/>
        <w:rPr>
          <w:szCs w:val="21"/>
        </w:rPr>
      </w:pPr>
      <w:r w:rsidRPr="0078539E">
        <w:rPr>
          <w:szCs w:val="21"/>
        </w:rPr>
        <w:t>Nombre des plaintes ayant fait recours au tribunal ;</w:t>
      </w:r>
    </w:p>
    <w:p w14:paraId="5D1ABA7B" w14:textId="77777777" w:rsidR="009021F1" w:rsidRPr="0078539E" w:rsidRDefault="009021F1" w:rsidP="009021F1">
      <w:pPr>
        <w:numPr>
          <w:ilvl w:val="0"/>
          <w:numId w:val="118"/>
        </w:numPr>
        <w:spacing w:line="240" w:lineRule="auto"/>
        <w:ind w:left="851" w:hanging="284"/>
        <w:contextualSpacing/>
        <w:rPr>
          <w:szCs w:val="21"/>
        </w:rPr>
      </w:pPr>
      <w:r w:rsidRPr="0078539E">
        <w:rPr>
          <w:szCs w:val="21"/>
        </w:rPr>
        <w:t>Canaux utilisés par les plaignants(tes) pour transmettre la plainte.</w:t>
      </w:r>
    </w:p>
    <w:p w14:paraId="6570DF64" w14:textId="77777777" w:rsidR="009021F1" w:rsidRPr="0078539E" w:rsidRDefault="009021F1" w:rsidP="009021F1">
      <w:pPr>
        <w:tabs>
          <w:tab w:val="left" w:pos="7655"/>
          <w:tab w:val="left" w:pos="7797"/>
        </w:tabs>
        <w:autoSpaceDE w:val="0"/>
        <w:autoSpaceDN w:val="0"/>
        <w:adjustRightInd w:val="0"/>
        <w:spacing w:line="240" w:lineRule="auto"/>
        <w:rPr>
          <w:szCs w:val="21"/>
        </w:rPr>
      </w:pPr>
    </w:p>
    <w:p w14:paraId="3636EFF2" w14:textId="77777777" w:rsidR="009021F1" w:rsidRPr="0078539E" w:rsidRDefault="009021F1" w:rsidP="009021F1">
      <w:pPr>
        <w:tabs>
          <w:tab w:val="left" w:pos="7655"/>
          <w:tab w:val="left" w:pos="7797"/>
        </w:tabs>
        <w:autoSpaceDE w:val="0"/>
        <w:autoSpaceDN w:val="0"/>
        <w:adjustRightInd w:val="0"/>
        <w:spacing w:line="240" w:lineRule="auto"/>
        <w:rPr>
          <w:szCs w:val="21"/>
        </w:rPr>
      </w:pPr>
      <w:r w:rsidRPr="0078539E">
        <w:rPr>
          <w:szCs w:val="21"/>
        </w:rPr>
        <w:t xml:space="preserve">Les données relatives à ces indicateurs seront collectées trimestriellement par le RGC, et transmises à la Coordination Nationale par le chargé de suivi-évaluation. </w:t>
      </w:r>
    </w:p>
    <w:p w14:paraId="749FF0FA" w14:textId="77777777" w:rsidR="009021F1" w:rsidRPr="0078539E" w:rsidRDefault="009021F1" w:rsidP="009021F1">
      <w:pPr>
        <w:tabs>
          <w:tab w:val="left" w:pos="7655"/>
          <w:tab w:val="left" w:pos="7797"/>
        </w:tabs>
        <w:autoSpaceDE w:val="0"/>
        <w:autoSpaceDN w:val="0"/>
        <w:adjustRightInd w:val="0"/>
        <w:spacing w:line="240" w:lineRule="auto"/>
        <w:rPr>
          <w:szCs w:val="21"/>
        </w:rPr>
      </w:pPr>
    </w:p>
    <w:p w14:paraId="36EC8D66" w14:textId="77777777" w:rsidR="009021F1" w:rsidRPr="0078539E" w:rsidRDefault="009021F1" w:rsidP="009021F1">
      <w:pPr>
        <w:pStyle w:val="Titre2"/>
        <w:numPr>
          <w:ilvl w:val="1"/>
          <w:numId w:val="4"/>
        </w:numPr>
        <w:ind w:left="851" w:hanging="425"/>
        <w:rPr>
          <w:rFonts w:cs="Arial"/>
          <w:b/>
          <w:szCs w:val="21"/>
        </w:rPr>
      </w:pPr>
      <w:bookmarkStart w:id="469" w:name="_Toc90471575"/>
      <w:r w:rsidRPr="0078539E">
        <w:rPr>
          <w:rFonts w:cs="Arial"/>
          <w:b/>
          <w:szCs w:val="21"/>
        </w:rPr>
        <w:t>Service de règlement des plaintes de la Banque mondiale et le Panel d’inspection de la Banque mondiale</w:t>
      </w:r>
      <w:bookmarkEnd w:id="469"/>
    </w:p>
    <w:p w14:paraId="2BF94F28" w14:textId="77777777" w:rsidR="009021F1" w:rsidRPr="0078539E" w:rsidRDefault="009021F1" w:rsidP="009021F1">
      <w:pPr>
        <w:pStyle w:val="Paragraphedeliste"/>
        <w:ind w:left="0"/>
        <w:rPr>
          <w:rFonts w:cs="Arial"/>
          <w:szCs w:val="21"/>
        </w:rPr>
      </w:pPr>
    </w:p>
    <w:p w14:paraId="165E87DA" w14:textId="77777777" w:rsidR="009021F1" w:rsidRPr="0078539E" w:rsidRDefault="009021F1" w:rsidP="009021F1">
      <w:pPr>
        <w:pStyle w:val="TableauPuce1"/>
        <w:numPr>
          <w:ilvl w:val="0"/>
          <w:numId w:val="0"/>
        </w:numPr>
        <w:jc w:val="both"/>
        <w:rPr>
          <w:rFonts w:ascii="Arial" w:hAnsi="Arial" w:cs="Arial"/>
          <w:sz w:val="21"/>
          <w:szCs w:val="21"/>
        </w:rPr>
      </w:pPr>
      <w:r w:rsidRPr="0078539E">
        <w:rPr>
          <w:rFonts w:ascii="Arial" w:hAnsi="Arial" w:cs="Arial"/>
          <w:sz w:val="21"/>
          <w:szCs w:val="21"/>
        </w:rPr>
        <w:t xml:space="preserve">Pour tout renseignement sur la manière de déposer une plainte auprès de la Service de règlement des plaintes de la Banque mondiale, consulter le site </w:t>
      </w:r>
      <w:hyperlink r:id="rId102" w:history="1">
        <w:r w:rsidRPr="0078539E">
          <w:rPr>
            <w:rStyle w:val="Lienhypertexte"/>
            <w:rFonts w:ascii="Arial" w:hAnsi="Arial" w:cs="Arial"/>
            <w:sz w:val="21"/>
            <w:szCs w:val="21"/>
          </w:rPr>
          <w:t>https://www.worldbank.org/en/projects-operations/products-and-services/grievance-redress-service</w:t>
        </w:r>
      </w:hyperlink>
      <w:r w:rsidRPr="0078539E">
        <w:rPr>
          <w:rFonts w:ascii="Arial" w:hAnsi="Arial" w:cs="Arial"/>
          <w:sz w:val="21"/>
          <w:szCs w:val="21"/>
        </w:rPr>
        <w:t>.</w:t>
      </w:r>
    </w:p>
    <w:p w14:paraId="438E7343" w14:textId="77777777" w:rsidR="009021F1" w:rsidRPr="0078539E" w:rsidRDefault="009021F1" w:rsidP="009021F1">
      <w:pPr>
        <w:pStyle w:val="TableauPuce1"/>
        <w:numPr>
          <w:ilvl w:val="0"/>
          <w:numId w:val="0"/>
        </w:numPr>
        <w:rPr>
          <w:rFonts w:ascii="Arial" w:hAnsi="Arial" w:cs="Arial"/>
          <w:sz w:val="21"/>
          <w:szCs w:val="21"/>
        </w:rPr>
      </w:pPr>
    </w:p>
    <w:p w14:paraId="4AE8AC9A" w14:textId="77777777" w:rsidR="009021F1" w:rsidRPr="0078539E" w:rsidRDefault="009021F1" w:rsidP="009021F1">
      <w:pPr>
        <w:pStyle w:val="TableauPuce1"/>
        <w:numPr>
          <w:ilvl w:val="0"/>
          <w:numId w:val="0"/>
        </w:numPr>
        <w:jc w:val="both"/>
        <w:rPr>
          <w:rFonts w:ascii="Arial" w:hAnsi="Arial" w:cs="Arial"/>
          <w:sz w:val="21"/>
          <w:szCs w:val="21"/>
        </w:rPr>
      </w:pPr>
      <w:r w:rsidRPr="0078539E">
        <w:rPr>
          <w:rFonts w:ascii="Arial" w:hAnsi="Arial" w:cs="Arial"/>
          <w:sz w:val="21"/>
          <w:szCs w:val="21"/>
        </w:rPr>
        <w:t xml:space="preserve">Par contre pour tout renseignement sur la manière de soumettre des plaintes au Panel d’inspection de la Banque mondiale, consulter le site </w:t>
      </w:r>
      <w:hyperlink r:id="rId103" w:history="1">
        <w:r w:rsidRPr="0078539E">
          <w:rPr>
            <w:rStyle w:val="Lienhypertexte"/>
            <w:rFonts w:ascii="Arial" w:hAnsi="Arial" w:cs="Arial"/>
            <w:sz w:val="21"/>
            <w:szCs w:val="21"/>
          </w:rPr>
          <w:t>www.inspectionpanel.org</w:t>
        </w:r>
      </w:hyperlink>
      <w:r w:rsidRPr="0078539E">
        <w:rPr>
          <w:rFonts w:ascii="Arial" w:hAnsi="Arial" w:cs="Arial"/>
          <w:sz w:val="21"/>
          <w:szCs w:val="21"/>
        </w:rPr>
        <w:t>.</w:t>
      </w:r>
    </w:p>
    <w:p w14:paraId="5B3272ED" w14:textId="77777777" w:rsidR="009021F1" w:rsidRPr="0078539E" w:rsidRDefault="009021F1" w:rsidP="009021F1">
      <w:pPr>
        <w:autoSpaceDE w:val="0"/>
        <w:autoSpaceDN w:val="0"/>
        <w:adjustRightInd w:val="0"/>
        <w:rPr>
          <w:rFonts w:cs="Arial"/>
          <w:szCs w:val="21"/>
        </w:rPr>
      </w:pPr>
    </w:p>
    <w:p w14:paraId="396FC5EA" w14:textId="77777777" w:rsidR="009021F1" w:rsidRPr="0078539E" w:rsidRDefault="009021F1" w:rsidP="009021F1">
      <w:pPr>
        <w:spacing w:line="240" w:lineRule="auto"/>
        <w:jc w:val="left"/>
        <w:rPr>
          <w:rFonts w:cs="Arial"/>
          <w:b/>
          <w:bCs/>
          <w:szCs w:val="21"/>
        </w:rPr>
      </w:pPr>
      <w:r w:rsidRPr="0078539E">
        <w:rPr>
          <w:rFonts w:cs="Arial"/>
          <w:szCs w:val="21"/>
        </w:rPr>
        <w:br w:type="page"/>
      </w:r>
    </w:p>
    <w:p w14:paraId="1008775B" w14:textId="77777777" w:rsidR="009021F1" w:rsidRPr="0078539E" w:rsidRDefault="009021F1" w:rsidP="009021F1">
      <w:pPr>
        <w:pStyle w:val="Titre1"/>
        <w:numPr>
          <w:ilvl w:val="0"/>
          <w:numId w:val="4"/>
        </w:numPr>
        <w:ind w:left="567" w:hanging="283"/>
        <w:rPr>
          <w:rFonts w:cs="Arial"/>
          <w:szCs w:val="21"/>
        </w:rPr>
      </w:pPr>
      <w:bookmarkStart w:id="470" w:name="_Toc90471576"/>
      <w:r w:rsidRPr="0078539E">
        <w:rPr>
          <w:rFonts w:cs="Arial"/>
          <w:szCs w:val="21"/>
        </w:rPr>
        <w:t>BUDGET ESTIMATIF DE LA MISE EN ŒUVRE DU CGES</w:t>
      </w:r>
      <w:bookmarkEnd w:id="470"/>
    </w:p>
    <w:p w14:paraId="2FD78D44" w14:textId="77777777" w:rsidR="009021F1" w:rsidRPr="0078539E" w:rsidRDefault="009021F1" w:rsidP="009021F1">
      <w:pPr>
        <w:jc w:val="left"/>
        <w:rPr>
          <w:rFonts w:cs="Arial"/>
          <w:b/>
          <w:color w:val="FF0000"/>
          <w:szCs w:val="21"/>
        </w:rPr>
      </w:pPr>
    </w:p>
    <w:p w14:paraId="7B532DCF" w14:textId="77777777" w:rsidR="009021F1" w:rsidRPr="0078539E" w:rsidRDefault="009021F1" w:rsidP="009021F1">
      <w:pPr>
        <w:pStyle w:val="Paragraphedeliste"/>
        <w:keepNext/>
        <w:numPr>
          <w:ilvl w:val="1"/>
          <w:numId w:val="16"/>
        </w:numPr>
        <w:tabs>
          <w:tab w:val="left" w:pos="720"/>
        </w:tabs>
        <w:spacing w:before="240" w:after="120"/>
        <w:contextualSpacing w:val="0"/>
        <w:jc w:val="left"/>
        <w:outlineLvl w:val="2"/>
        <w:rPr>
          <w:vanish/>
          <w:szCs w:val="21"/>
          <w:u w:val="single"/>
        </w:rPr>
      </w:pPr>
      <w:bookmarkStart w:id="471" w:name="_Toc90471577"/>
      <w:bookmarkEnd w:id="471"/>
    </w:p>
    <w:p w14:paraId="411162AC" w14:textId="77777777" w:rsidR="009021F1" w:rsidRPr="0078539E" w:rsidRDefault="009021F1" w:rsidP="009021F1">
      <w:pPr>
        <w:pStyle w:val="Paragraphedeliste"/>
        <w:keepNext/>
        <w:numPr>
          <w:ilvl w:val="1"/>
          <w:numId w:val="16"/>
        </w:numPr>
        <w:tabs>
          <w:tab w:val="left" w:pos="720"/>
        </w:tabs>
        <w:spacing w:before="240" w:after="120"/>
        <w:contextualSpacing w:val="0"/>
        <w:jc w:val="left"/>
        <w:outlineLvl w:val="2"/>
        <w:rPr>
          <w:vanish/>
          <w:szCs w:val="21"/>
          <w:u w:val="single"/>
        </w:rPr>
      </w:pPr>
      <w:bookmarkStart w:id="472" w:name="_Toc90471578"/>
      <w:bookmarkEnd w:id="472"/>
    </w:p>
    <w:p w14:paraId="53033FB8" w14:textId="77777777" w:rsidR="009021F1" w:rsidRPr="0078539E" w:rsidRDefault="009021F1" w:rsidP="009021F1">
      <w:pPr>
        <w:pStyle w:val="Paragraphedeliste"/>
        <w:keepNext/>
        <w:numPr>
          <w:ilvl w:val="1"/>
          <w:numId w:val="16"/>
        </w:numPr>
        <w:tabs>
          <w:tab w:val="left" w:pos="720"/>
        </w:tabs>
        <w:spacing w:before="240" w:after="120"/>
        <w:contextualSpacing w:val="0"/>
        <w:jc w:val="left"/>
        <w:outlineLvl w:val="2"/>
        <w:rPr>
          <w:vanish/>
          <w:szCs w:val="21"/>
          <w:u w:val="single"/>
        </w:rPr>
      </w:pPr>
      <w:bookmarkStart w:id="473" w:name="_Toc90471579"/>
      <w:bookmarkEnd w:id="473"/>
    </w:p>
    <w:p w14:paraId="3EB04A83" w14:textId="77777777" w:rsidR="009021F1" w:rsidRPr="00327C7A" w:rsidRDefault="009021F1" w:rsidP="009021F1">
      <w:pPr>
        <w:pStyle w:val="Tableautexteclient"/>
        <w:spacing w:line="360" w:lineRule="auto"/>
        <w:jc w:val="both"/>
        <w:rPr>
          <w:rFonts w:eastAsia="Times New Roman" w:cs="Arial"/>
          <w:color w:val="000000"/>
          <w:sz w:val="21"/>
          <w:szCs w:val="21"/>
          <w:lang w:eastAsia="fr-FR"/>
        </w:rPr>
      </w:pPr>
      <w:r w:rsidRPr="00327C7A">
        <w:rPr>
          <w:rFonts w:eastAsia="Times New Roman" w:cs="Arial"/>
          <w:color w:val="000000"/>
          <w:sz w:val="21"/>
          <w:szCs w:val="21"/>
          <w:lang w:eastAsia="fr-FR"/>
        </w:rPr>
        <w:t>Le budget estimatif de la mise en œuvre du CGES s’élève à 15 168 630USD. Le type de sous-projets (composante 2) concernés sont les projets de réhabilitation des routes de desserte agricole, réhabilitation et construction des ouvrages de franchissement (pont, dalots), réhabilitation des voies navigables et construction/aménagement des ports fluviaux, réhabilitation et construction des infrastructures de commercialisation (marchés et entrepôts), construction des magasins de stockage des produits phytosanitaires et vétérinaires et travaux d’aménagement des étangs piscicoles.</w:t>
      </w:r>
    </w:p>
    <w:p w14:paraId="0C27672C" w14:textId="77777777" w:rsidR="009021F1" w:rsidRPr="00327C7A" w:rsidRDefault="009021F1" w:rsidP="009021F1">
      <w:pPr>
        <w:pStyle w:val="Tableautexteclient"/>
        <w:spacing w:line="360" w:lineRule="auto"/>
        <w:jc w:val="both"/>
        <w:rPr>
          <w:rFonts w:eastAsia="Times New Roman" w:cs="Arial"/>
          <w:color w:val="000000"/>
          <w:sz w:val="21"/>
          <w:szCs w:val="21"/>
          <w:lang w:eastAsia="fr-FR"/>
        </w:rPr>
      </w:pPr>
      <w:r w:rsidRPr="00327C7A">
        <w:rPr>
          <w:rFonts w:eastAsia="Times New Roman" w:cs="Arial"/>
          <w:color w:val="000000"/>
          <w:sz w:val="21"/>
          <w:szCs w:val="21"/>
          <w:lang w:eastAsia="fr-FR"/>
        </w:rPr>
        <w:t xml:space="preserve">Etant donné que les études techniques ne sont pas encore disponibles à ce stade (même pas des études préliminaires) au niveau du ministère de l’agriculture, une estimation des besoins en instruments E&amp;S a porté sur 30 EIES/PGES et 30 PAR en raison de 6 EIES/PGES et 6 PAR par provinces. Ce qui donne un nombre approximatif de 30 EIES/PGES et 30 PAR. </w:t>
      </w:r>
    </w:p>
    <w:p w14:paraId="5EADC5D2" w14:textId="77777777" w:rsidR="009021F1" w:rsidRPr="00327C7A" w:rsidRDefault="009021F1" w:rsidP="009021F1">
      <w:pPr>
        <w:spacing w:line="360" w:lineRule="auto"/>
        <w:rPr>
          <w:rFonts w:cs="Arial"/>
          <w:color w:val="000000"/>
          <w:szCs w:val="21"/>
        </w:rPr>
      </w:pPr>
      <w:r w:rsidRPr="00327C7A">
        <w:rPr>
          <w:rFonts w:cs="Arial"/>
          <w:color w:val="000000"/>
          <w:szCs w:val="21"/>
        </w:rPr>
        <w:t>Toutefois, le projet regroupera dans la mesure du possible les instruments E&amp;S à préparer afin de produire un nombre raisonnable desdits instruments.</w:t>
      </w:r>
    </w:p>
    <w:p w14:paraId="4B8AE407" w14:textId="77777777" w:rsidR="009021F1" w:rsidRDefault="009021F1" w:rsidP="009021F1">
      <w:pPr>
        <w:rPr>
          <w:rFonts w:cs="Arial"/>
          <w:szCs w:val="21"/>
        </w:rPr>
      </w:pPr>
    </w:p>
    <w:p w14:paraId="2A5AB91C" w14:textId="77777777" w:rsidR="009021F1" w:rsidRPr="0078539E" w:rsidRDefault="009021F1" w:rsidP="009021F1">
      <w:pPr>
        <w:rPr>
          <w:rFonts w:cs="Arial"/>
          <w:szCs w:val="21"/>
        </w:rPr>
      </w:pPr>
      <w:r w:rsidRPr="0078539E">
        <w:rPr>
          <w:rFonts w:cs="Arial"/>
          <w:szCs w:val="21"/>
        </w:rPr>
        <w:t xml:space="preserve">Ce budget est détaillé par activités telles que regroupées dans le tableau </w:t>
      </w:r>
      <w:r>
        <w:rPr>
          <w:rFonts w:cs="Arial"/>
          <w:szCs w:val="21"/>
        </w:rPr>
        <w:t>43</w:t>
      </w:r>
      <w:r w:rsidRPr="0078539E">
        <w:rPr>
          <w:rFonts w:cs="Arial"/>
          <w:szCs w:val="21"/>
        </w:rPr>
        <w:t xml:space="preserve"> ci-dessous. </w:t>
      </w:r>
    </w:p>
    <w:p w14:paraId="757C3578" w14:textId="77777777" w:rsidR="009021F1" w:rsidRPr="0078539E" w:rsidRDefault="009021F1" w:rsidP="009021F1">
      <w:pPr>
        <w:rPr>
          <w:rFonts w:cs="Arial"/>
          <w:szCs w:val="21"/>
          <w:u w:val="single"/>
        </w:rPr>
      </w:pPr>
    </w:p>
    <w:p w14:paraId="391C35AE" w14:textId="77777777" w:rsidR="009021F1" w:rsidRPr="0078539E" w:rsidRDefault="009021F1" w:rsidP="009021F1">
      <w:pPr>
        <w:rPr>
          <w:szCs w:val="21"/>
          <w:u w:val="single"/>
        </w:rPr>
      </w:pPr>
      <w:r w:rsidRPr="0078539E">
        <w:rPr>
          <w:rFonts w:cs="Arial"/>
          <w:szCs w:val="21"/>
          <w:u w:val="single"/>
        </w:rPr>
        <w:t>É</w:t>
      </w:r>
      <w:r w:rsidRPr="0078539E">
        <w:rPr>
          <w:szCs w:val="21"/>
          <w:u w:val="single"/>
        </w:rPr>
        <w:t>tudes et mesures d’accompagnement :</w:t>
      </w:r>
    </w:p>
    <w:p w14:paraId="0A441C12" w14:textId="77777777" w:rsidR="009021F1" w:rsidRPr="0078539E" w:rsidRDefault="009021F1" w:rsidP="009021F1">
      <w:pPr>
        <w:rPr>
          <w:szCs w:val="21"/>
          <w:u w:val="single"/>
        </w:rPr>
      </w:pPr>
    </w:p>
    <w:p w14:paraId="71F5996E" w14:textId="77777777" w:rsidR="009021F1" w:rsidRPr="0078539E" w:rsidRDefault="009021F1" w:rsidP="009021F1">
      <w:pPr>
        <w:pStyle w:val="Paragraphedeliste"/>
        <w:numPr>
          <w:ilvl w:val="0"/>
          <w:numId w:val="69"/>
        </w:numPr>
        <w:autoSpaceDE w:val="0"/>
        <w:autoSpaceDN w:val="0"/>
        <w:adjustRightInd w:val="0"/>
        <w:rPr>
          <w:rFonts w:cs="Arial"/>
          <w:color w:val="000000"/>
          <w:szCs w:val="21"/>
        </w:rPr>
      </w:pPr>
      <w:r w:rsidRPr="0078539E">
        <w:rPr>
          <w:rFonts w:cs="Arial"/>
          <w:i/>
          <w:color w:val="000000"/>
          <w:szCs w:val="21"/>
        </w:rPr>
        <w:t>Réalisation et mise en œuvre des ÉIES/PGES :</w:t>
      </w:r>
      <w:r w:rsidRPr="0078539E">
        <w:rPr>
          <w:rFonts w:cs="Arial"/>
          <w:color w:val="000000"/>
          <w:szCs w:val="21"/>
        </w:rPr>
        <w:t xml:space="preserve"> il est prévu de réaliser environ 30 EIES/PGES pour les sous-projets ciblés, à raison de 6 EIES/PGES par province. À cet effet, il s’agira de recruter des consultants pour conduire ces études, à raison de 50 000 USD en moyenne par étude, soit un coût total de 1 500 000 USD à provisionner. </w:t>
      </w:r>
    </w:p>
    <w:p w14:paraId="760C0852" w14:textId="77777777" w:rsidR="009021F1" w:rsidRPr="0078539E" w:rsidRDefault="009021F1" w:rsidP="009021F1">
      <w:pPr>
        <w:pStyle w:val="Paragraphedeliste"/>
        <w:autoSpaceDE w:val="0"/>
        <w:autoSpaceDN w:val="0"/>
        <w:adjustRightInd w:val="0"/>
        <w:rPr>
          <w:rFonts w:cs="Arial"/>
          <w:color w:val="000000"/>
          <w:szCs w:val="21"/>
        </w:rPr>
      </w:pPr>
    </w:p>
    <w:p w14:paraId="46A81944" w14:textId="77777777" w:rsidR="009021F1" w:rsidRPr="0078539E" w:rsidRDefault="009021F1" w:rsidP="009021F1">
      <w:pPr>
        <w:pStyle w:val="Paragraphedeliste"/>
        <w:numPr>
          <w:ilvl w:val="0"/>
          <w:numId w:val="69"/>
        </w:numPr>
        <w:autoSpaceDE w:val="0"/>
        <w:autoSpaceDN w:val="0"/>
        <w:adjustRightInd w:val="0"/>
        <w:rPr>
          <w:rFonts w:cs="Arial"/>
          <w:color w:val="000000"/>
          <w:szCs w:val="21"/>
        </w:rPr>
      </w:pPr>
      <w:r w:rsidRPr="0078539E">
        <w:rPr>
          <w:rFonts w:cs="Arial"/>
          <w:i/>
          <w:color w:val="000000"/>
          <w:szCs w:val="21"/>
        </w:rPr>
        <w:t>Élaboration des PAR/PSR</w:t>
      </w:r>
      <w:r w:rsidRPr="0078539E">
        <w:rPr>
          <w:rFonts w:cs="Arial"/>
          <w:color w:val="000000"/>
          <w:szCs w:val="21"/>
        </w:rPr>
        <w:t xml:space="preserve"> : il est prévu de réaliser environ 30 PAR/PSR pour les sous-projets ciblés, à raison de 6 PAR/PSR par province. À cet effet, il s’agira de recruter des consultants pour conduire ces études, à raison de 60 000 USD en moyenne par étude, soit un coût total de 1 800 000 USD à provisionner. </w:t>
      </w:r>
    </w:p>
    <w:p w14:paraId="39DE19B3" w14:textId="77777777" w:rsidR="009021F1" w:rsidRPr="0078539E" w:rsidRDefault="009021F1" w:rsidP="009021F1">
      <w:pPr>
        <w:pStyle w:val="Paragraphedeliste"/>
        <w:autoSpaceDE w:val="0"/>
        <w:autoSpaceDN w:val="0"/>
        <w:adjustRightInd w:val="0"/>
        <w:rPr>
          <w:rFonts w:cs="Arial"/>
          <w:color w:val="000000"/>
          <w:szCs w:val="21"/>
        </w:rPr>
      </w:pPr>
    </w:p>
    <w:p w14:paraId="188CB342" w14:textId="77777777" w:rsidR="009021F1" w:rsidRPr="0078539E" w:rsidRDefault="009021F1" w:rsidP="009021F1">
      <w:pPr>
        <w:pStyle w:val="Paragraphedeliste"/>
        <w:numPr>
          <w:ilvl w:val="0"/>
          <w:numId w:val="69"/>
        </w:numPr>
        <w:autoSpaceDE w:val="0"/>
        <w:autoSpaceDN w:val="0"/>
        <w:adjustRightInd w:val="0"/>
        <w:rPr>
          <w:rFonts w:cs="Arial"/>
          <w:color w:val="000000"/>
          <w:szCs w:val="21"/>
        </w:rPr>
      </w:pPr>
      <w:r w:rsidRPr="0078539E">
        <w:rPr>
          <w:rFonts w:cs="Arial"/>
          <w:i/>
          <w:color w:val="000000"/>
          <w:szCs w:val="21"/>
        </w:rPr>
        <w:t>Mise en œuvre des PAR</w:t>
      </w:r>
      <w:r w:rsidRPr="0078539E">
        <w:rPr>
          <w:rFonts w:cs="Arial"/>
          <w:color w:val="000000"/>
          <w:szCs w:val="21"/>
        </w:rPr>
        <w:t> : il est prévu de mettre en œuvre environ 30 PAR pour les sous-projets à raison de 40 000 USD/PAR-PSR soit une provision de 1 200 000 USD.</w:t>
      </w:r>
    </w:p>
    <w:p w14:paraId="68C5AC89" w14:textId="77777777" w:rsidR="009021F1" w:rsidRPr="0078539E" w:rsidRDefault="009021F1" w:rsidP="009021F1">
      <w:pPr>
        <w:pStyle w:val="Paragraphedeliste"/>
        <w:rPr>
          <w:rFonts w:cs="Arial"/>
          <w:color w:val="000000"/>
          <w:szCs w:val="21"/>
        </w:rPr>
      </w:pPr>
    </w:p>
    <w:p w14:paraId="02790181" w14:textId="77777777" w:rsidR="009021F1" w:rsidRPr="0078539E" w:rsidRDefault="009021F1" w:rsidP="009021F1">
      <w:pPr>
        <w:pStyle w:val="Paragraphedeliste"/>
        <w:numPr>
          <w:ilvl w:val="0"/>
          <w:numId w:val="69"/>
        </w:numPr>
        <w:autoSpaceDE w:val="0"/>
        <w:autoSpaceDN w:val="0"/>
        <w:adjustRightInd w:val="0"/>
        <w:rPr>
          <w:rFonts w:cs="Arial"/>
          <w:color w:val="000000"/>
          <w:szCs w:val="21"/>
        </w:rPr>
      </w:pPr>
      <w:r w:rsidRPr="0078539E">
        <w:rPr>
          <w:rFonts w:cs="Arial"/>
          <w:color w:val="000000"/>
          <w:szCs w:val="21"/>
        </w:rPr>
        <w:t>Elaboration et mise en œuvre du Plan de Gestion de Sécurité (PGS) : une provision d’un montant 100 000 USD est prévue pour ces deux activités.</w:t>
      </w:r>
    </w:p>
    <w:p w14:paraId="773B5D65" w14:textId="77777777" w:rsidR="009021F1" w:rsidRPr="0078539E" w:rsidRDefault="009021F1" w:rsidP="009021F1">
      <w:pPr>
        <w:pStyle w:val="Paragraphedeliste"/>
        <w:rPr>
          <w:rFonts w:cs="Arial"/>
          <w:color w:val="000000"/>
          <w:szCs w:val="21"/>
        </w:rPr>
      </w:pPr>
    </w:p>
    <w:p w14:paraId="3B7AD9FD" w14:textId="77777777" w:rsidR="009021F1" w:rsidRPr="0078539E" w:rsidRDefault="009021F1" w:rsidP="009021F1">
      <w:pPr>
        <w:pStyle w:val="Paragraphedeliste"/>
        <w:numPr>
          <w:ilvl w:val="0"/>
          <w:numId w:val="69"/>
        </w:numPr>
        <w:autoSpaceDE w:val="0"/>
        <w:autoSpaceDN w:val="0"/>
        <w:adjustRightInd w:val="0"/>
        <w:rPr>
          <w:rFonts w:cs="Arial"/>
          <w:color w:val="000000"/>
          <w:szCs w:val="21"/>
        </w:rPr>
      </w:pPr>
      <w:r w:rsidRPr="0078539E">
        <w:rPr>
          <w:rFonts w:cs="Arial"/>
          <w:color w:val="000000"/>
          <w:szCs w:val="21"/>
        </w:rPr>
        <w:t>Elaboration et mise en œuvre du Plan de Gestion de la biodiversité : une provision de 300 000 USD est prévue pour ces deux activités.</w:t>
      </w:r>
    </w:p>
    <w:p w14:paraId="730997D9" w14:textId="77777777" w:rsidR="009021F1" w:rsidRPr="0078539E" w:rsidRDefault="009021F1" w:rsidP="009021F1">
      <w:pPr>
        <w:autoSpaceDE w:val="0"/>
        <w:autoSpaceDN w:val="0"/>
        <w:adjustRightInd w:val="0"/>
        <w:rPr>
          <w:rFonts w:cs="Arial"/>
          <w:color w:val="000000"/>
          <w:szCs w:val="21"/>
        </w:rPr>
      </w:pPr>
    </w:p>
    <w:p w14:paraId="521350F9" w14:textId="77777777" w:rsidR="009021F1" w:rsidRPr="0078539E" w:rsidRDefault="009021F1" w:rsidP="009021F1">
      <w:pPr>
        <w:pStyle w:val="Paragraphedeliste"/>
        <w:numPr>
          <w:ilvl w:val="0"/>
          <w:numId w:val="69"/>
        </w:numPr>
        <w:autoSpaceDE w:val="0"/>
        <w:autoSpaceDN w:val="0"/>
        <w:adjustRightInd w:val="0"/>
        <w:rPr>
          <w:rFonts w:cs="Arial"/>
          <w:i/>
          <w:color w:val="000000"/>
          <w:szCs w:val="21"/>
        </w:rPr>
      </w:pPr>
      <w:r w:rsidRPr="0078539E">
        <w:rPr>
          <w:rFonts w:cs="Arial"/>
          <w:i/>
          <w:color w:val="000000"/>
          <w:szCs w:val="21"/>
        </w:rPr>
        <w:t>Mise en œuvre du PMPP y compris le MGP et le MGP sensible aux VBG</w:t>
      </w:r>
    </w:p>
    <w:p w14:paraId="4A164516" w14:textId="77777777" w:rsidR="009021F1" w:rsidRPr="0078539E" w:rsidRDefault="009021F1" w:rsidP="009021F1">
      <w:pPr>
        <w:pStyle w:val="Paragraphedeliste"/>
        <w:rPr>
          <w:rFonts w:cs="Arial"/>
          <w:color w:val="000000"/>
          <w:szCs w:val="21"/>
        </w:rPr>
      </w:pPr>
    </w:p>
    <w:p w14:paraId="536534A8" w14:textId="77777777" w:rsidR="009021F1" w:rsidRPr="0078539E" w:rsidRDefault="009021F1" w:rsidP="009021F1">
      <w:pPr>
        <w:pStyle w:val="Paragraphedeliste"/>
        <w:autoSpaceDE w:val="0"/>
        <w:autoSpaceDN w:val="0"/>
        <w:adjustRightInd w:val="0"/>
        <w:rPr>
          <w:rFonts w:cs="Arial"/>
          <w:color w:val="000000"/>
          <w:szCs w:val="21"/>
        </w:rPr>
      </w:pPr>
      <w:r w:rsidRPr="0078539E">
        <w:rPr>
          <w:rFonts w:cs="Arial"/>
          <w:color w:val="000000"/>
          <w:szCs w:val="21"/>
        </w:rPr>
        <w:t xml:space="preserve">Une provision de 2 323 000USD suffira pour mettre en œuvre le PMPP, </w:t>
      </w:r>
      <w:r w:rsidRPr="0078539E">
        <w:rPr>
          <w:rFonts w:cs="Arial"/>
          <w:iCs/>
          <w:color w:val="000000"/>
          <w:szCs w:val="21"/>
        </w:rPr>
        <w:t>y compris le MGP</w:t>
      </w:r>
      <w:r w:rsidRPr="0078539E">
        <w:rPr>
          <w:rFonts w:cs="Arial"/>
          <w:i/>
          <w:color w:val="000000"/>
          <w:szCs w:val="21"/>
        </w:rPr>
        <w:t xml:space="preserve"> </w:t>
      </w:r>
      <w:r w:rsidRPr="0078539E">
        <w:rPr>
          <w:rFonts w:cs="Arial"/>
          <w:color w:val="000000"/>
          <w:szCs w:val="21"/>
        </w:rPr>
        <w:t>du PNDA pendant 5 ans.</w:t>
      </w:r>
    </w:p>
    <w:p w14:paraId="6CA1FECC" w14:textId="77777777" w:rsidR="009021F1" w:rsidRPr="0078539E" w:rsidRDefault="009021F1" w:rsidP="009021F1">
      <w:pPr>
        <w:pStyle w:val="Paragraphedeliste"/>
        <w:autoSpaceDE w:val="0"/>
        <w:autoSpaceDN w:val="0"/>
        <w:adjustRightInd w:val="0"/>
        <w:rPr>
          <w:rFonts w:cs="Arial"/>
          <w:color w:val="000000"/>
          <w:szCs w:val="21"/>
        </w:rPr>
      </w:pPr>
    </w:p>
    <w:p w14:paraId="1DB8DC49" w14:textId="77777777" w:rsidR="009021F1" w:rsidRPr="0078539E" w:rsidRDefault="009021F1" w:rsidP="009021F1">
      <w:pPr>
        <w:pStyle w:val="Paragraphedeliste"/>
        <w:numPr>
          <w:ilvl w:val="0"/>
          <w:numId w:val="69"/>
        </w:numPr>
        <w:autoSpaceDE w:val="0"/>
        <w:autoSpaceDN w:val="0"/>
        <w:adjustRightInd w:val="0"/>
        <w:rPr>
          <w:rFonts w:cs="Arial"/>
          <w:i/>
          <w:color w:val="000000"/>
          <w:szCs w:val="21"/>
        </w:rPr>
      </w:pPr>
      <w:r w:rsidRPr="0078539E">
        <w:rPr>
          <w:rFonts w:cs="Arial"/>
          <w:i/>
          <w:color w:val="000000"/>
          <w:szCs w:val="21"/>
        </w:rPr>
        <w:t>Plan d’Actions d’EAS/HS du PNDA</w:t>
      </w:r>
    </w:p>
    <w:p w14:paraId="57E79FE1" w14:textId="77777777" w:rsidR="009021F1" w:rsidRPr="0078539E" w:rsidRDefault="009021F1" w:rsidP="009021F1">
      <w:pPr>
        <w:pStyle w:val="Paragraphedeliste"/>
        <w:autoSpaceDE w:val="0"/>
        <w:autoSpaceDN w:val="0"/>
        <w:adjustRightInd w:val="0"/>
        <w:rPr>
          <w:rFonts w:cs="Arial"/>
          <w:color w:val="000000"/>
          <w:szCs w:val="21"/>
        </w:rPr>
      </w:pPr>
      <w:r w:rsidRPr="0078539E">
        <w:rPr>
          <w:rFonts w:cs="Arial"/>
          <w:color w:val="000000"/>
          <w:szCs w:val="21"/>
        </w:rPr>
        <w:t xml:space="preserve">Une provision de 7 530 000 USD va couvrir les activités suivantes : liées à la prévention, à l’atténuation des risques d’EAS/HS, de prise en charge des survivant€s d’EAS/HS, de la Coordination et des procédures du MGP pour les cas d’EAS/HS (voir annexe 15 pour details). </w:t>
      </w:r>
    </w:p>
    <w:p w14:paraId="6BED5FE4" w14:textId="77777777" w:rsidR="009021F1" w:rsidRPr="0078539E" w:rsidRDefault="009021F1" w:rsidP="009021F1">
      <w:pPr>
        <w:pStyle w:val="Paragraphedeliste"/>
        <w:autoSpaceDE w:val="0"/>
        <w:autoSpaceDN w:val="0"/>
        <w:adjustRightInd w:val="0"/>
        <w:rPr>
          <w:rFonts w:cs="Arial"/>
          <w:color w:val="000000"/>
          <w:szCs w:val="21"/>
        </w:rPr>
      </w:pPr>
    </w:p>
    <w:p w14:paraId="0C848FEA" w14:textId="77777777" w:rsidR="009021F1" w:rsidRPr="0078539E" w:rsidRDefault="009021F1" w:rsidP="009021F1">
      <w:pPr>
        <w:pStyle w:val="Paragraphedeliste"/>
        <w:numPr>
          <w:ilvl w:val="0"/>
          <w:numId w:val="69"/>
        </w:numPr>
        <w:autoSpaceDE w:val="0"/>
        <w:autoSpaceDN w:val="0"/>
        <w:adjustRightInd w:val="0"/>
        <w:rPr>
          <w:rFonts w:cs="Arial"/>
          <w:i/>
          <w:color w:val="000000"/>
          <w:szCs w:val="21"/>
        </w:rPr>
      </w:pPr>
      <w:r w:rsidRPr="0078539E">
        <w:rPr>
          <w:rFonts w:cs="Arial"/>
          <w:i/>
          <w:color w:val="000000"/>
          <w:szCs w:val="21"/>
        </w:rPr>
        <w:t xml:space="preserve">Appui à la préservation et la restauration des carrières / gîtes d’emprunts </w:t>
      </w:r>
    </w:p>
    <w:p w14:paraId="5491AEA4" w14:textId="77777777" w:rsidR="009021F1" w:rsidRPr="0078539E" w:rsidRDefault="009021F1" w:rsidP="009021F1">
      <w:pPr>
        <w:pStyle w:val="Paragraphedeliste"/>
        <w:autoSpaceDE w:val="0"/>
        <w:autoSpaceDN w:val="0"/>
        <w:adjustRightInd w:val="0"/>
        <w:rPr>
          <w:rFonts w:cs="Arial"/>
          <w:color w:val="000000"/>
          <w:szCs w:val="21"/>
        </w:rPr>
      </w:pPr>
      <w:r w:rsidRPr="0078539E">
        <w:rPr>
          <w:rFonts w:cs="Arial"/>
          <w:color w:val="000000"/>
          <w:szCs w:val="21"/>
        </w:rPr>
        <w:t>Une provision de 250 000 USD suffira pour réaliser cette activité dans les cinq Provinces concernées par le PNDA.</w:t>
      </w:r>
    </w:p>
    <w:p w14:paraId="73E5B0FA" w14:textId="77777777" w:rsidR="009021F1" w:rsidRPr="0078539E" w:rsidRDefault="009021F1" w:rsidP="009021F1">
      <w:pPr>
        <w:pStyle w:val="Paragraphedeliste"/>
        <w:autoSpaceDE w:val="0"/>
        <w:autoSpaceDN w:val="0"/>
        <w:adjustRightInd w:val="0"/>
        <w:rPr>
          <w:rFonts w:cs="Arial"/>
          <w:color w:val="000000"/>
          <w:szCs w:val="21"/>
        </w:rPr>
      </w:pPr>
    </w:p>
    <w:p w14:paraId="4DC35A22" w14:textId="77777777" w:rsidR="009021F1" w:rsidRPr="0078539E" w:rsidRDefault="009021F1" w:rsidP="009021F1">
      <w:pPr>
        <w:pStyle w:val="Paragraphedeliste"/>
        <w:numPr>
          <w:ilvl w:val="0"/>
          <w:numId w:val="69"/>
        </w:numPr>
        <w:autoSpaceDE w:val="0"/>
        <w:autoSpaceDN w:val="0"/>
        <w:adjustRightInd w:val="0"/>
        <w:rPr>
          <w:rFonts w:cs="Arial"/>
          <w:i/>
          <w:color w:val="000000"/>
          <w:szCs w:val="21"/>
        </w:rPr>
      </w:pPr>
      <w:r w:rsidRPr="0078539E">
        <w:rPr>
          <w:rFonts w:cs="Arial"/>
          <w:i/>
          <w:color w:val="000000"/>
          <w:szCs w:val="21"/>
        </w:rPr>
        <w:t xml:space="preserve">Formation environnementale et sociale </w:t>
      </w:r>
    </w:p>
    <w:p w14:paraId="5A65B92B" w14:textId="77777777" w:rsidR="009021F1" w:rsidRPr="0078539E" w:rsidRDefault="009021F1" w:rsidP="009021F1">
      <w:pPr>
        <w:pStyle w:val="Paragraphedeliste"/>
        <w:autoSpaceDE w:val="0"/>
        <w:autoSpaceDN w:val="0"/>
        <w:adjustRightInd w:val="0"/>
        <w:rPr>
          <w:rFonts w:cs="Arial"/>
          <w:color w:val="000000"/>
          <w:szCs w:val="21"/>
        </w:rPr>
      </w:pPr>
      <w:r w:rsidRPr="0078539E">
        <w:rPr>
          <w:rFonts w:cs="Arial"/>
          <w:color w:val="000000"/>
          <w:szCs w:val="21"/>
        </w:rPr>
        <w:t>Une provision de 100 000 USD suffira pour organiser 16 ateliers dont un (1) atelier à Kinshasa à l’intention des spécialistes de sauvegarde des entreprises et autres parties prenantes au PNDA ; cinq (5) ateliers dans chaque Province et dix (10) ateliers dans chaque territoire concerné par le programme si la situation de COVID-19 persiste, le Programme trouvera des solutions pour organiser les ateliers virtuels ou en ligne.</w:t>
      </w:r>
    </w:p>
    <w:p w14:paraId="0B7D9944" w14:textId="77777777" w:rsidR="009021F1" w:rsidRPr="0078539E" w:rsidRDefault="009021F1" w:rsidP="009021F1">
      <w:pPr>
        <w:ind w:left="708"/>
        <w:rPr>
          <w:szCs w:val="21"/>
        </w:rPr>
      </w:pPr>
    </w:p>
    <w:p w14:paraId="6C6D75BB" w14:textId="77777777" w:rsidR="009021F1" w:rsidRPr="0078539E" w:rsidRDefault="009021F1" w:rsidP="009021F1">
      <w:pPr>
        <w:pStyle w:val="Paragraphedeliste"/>
        <w:numPr>
          <w:ilvl w:val="0"/>
          <w:numId w:val="69"/>
        </w:numPr>
        <w:autoSpaceDE w:val="0"/>
        <w:autoSpaceDN w:val="0"/>
        <w:adjustRightInd w:val="0"/>
        <w:rPr>
          <w:rFonts w:cs="Arial"/>
          <w:color w:val="000000"/>
          <w:szCs w:val="21"/>
        </w:rPr>
      </w:pPr>
      <w:r w:rsidRPr="0078539E">
        <w:rPr>
          <w:rFonts w:cs="Arial"/>
          <w:i/>
          <w:color w:val="000000"/>
          <w:szCs w:val="21"/>
        </w:rPr>
        <w:t>Information et Sensibilisaton </w:t>
      </w:r>
      <w:r w:rsidRPr="0078539E">
        <w:rPr>
          <w:rFonts w:cs="Arial"/>
          <w:color w:val="000000"/>
          <w:szCs w:val="21"/>
        </w:rPr>
        <w:t>: Il s’agira de recruter une ONG nationale pour mener des activités d’information et de sensibilisation des populations et des structures organisées au niveau de chaque Commune ciblée par le Projet. Il est prévu 20 campagnes de sensibilisation, soit 5 000 USD/Campagne, pour un montant global de 100 000 USD.</w:t>
      </w:r>
    </w:p>
    <w:p w14:paraId="3E4A7155" w14:textId="77777777" w:rsidR="009021F1" w:rsidRPr="0078539E" w:rsidRDefault="009021F1" w:rsidP="009021F1">
      <w:pPr>
        <w:rPr>
          <w:szCs w:val="21"/>
          <w:u w:val="single"/>
        </w:rPr>
      </w:pPr>
    </w:p>
    <w:p w14:paraId="48EAA105" w14:textId="77777777" w:rsidR="009021F1" w:rsidRPr="0078539E" w:rsidRDefault="009021F1" w:rsidP="009021F1">
      <w:pPr>
        <w:rPr>
          <w:szCs w:val="21"/>
          <w:u w:val="single"/>
        </w:rPr>
      </w:pPr>
      <w:r w:rsidRPr="0078539E">
        <w:rPr>
          <w:szCs w:val="21"/>
          <w:u w:val="single"/>
        </w:rPr>
        <w:t>Suivi/Évaluation des activités à mi-parcours et final :</w:t>
      </w:r>
    </w:p>
    <w:p w14:paraId="6C30202B" w14:textId="77777777" w:rsidR="009021F1" w:rsidRPr="0078539E" w:rsidRDefault="009021F1" w:rsidP="009021F1">
      <w:pPr>
        <w:pStyle w:val="Paragraphedeliste"/>
        <w:rPr>
          <w:szCs w:val="21"/>
        </w:rPr>
      </w:pPr>
    </w:p>
    <w:p w14:paraId="0D4F0C48" w14:textId="77777777" w:rsidR="009021F1" w:rsidRPr="0078539E" w:rsidRDefault="009021F1" w:rsidP="009021F1">
      <w:pPr>
        <w:pStyle w:val="Paragraphedeliste"/>
        <w:numPr>
          <w:ilvl w:val="0"/>
          <w:numId w:val="69"/>
        </w:numPr>
        <w:autoSpaceDE w:val="0"/>
        <w:autoSpaceDN w:val="0"/>
        <w:adjustRightInd w:val="0"/>
        <w:rPr>
          <w:rFonts w:cs="Arial"/>
          <w:i/>
          <w:color w:val="000000"/>
          <w:szCs w:val="21"/>
        </w:rPr>
      </w:pPr>
      <w:r w:rsidRPr="0078539E">
        <w:rPr>
          <w:rFonts w:cs="Arial"/>
          <w:i/>
          <w:color w:val="000000"/>
          <w:szCs w:val="21"/>
        </w:rPr>
        <w:t xml:space="preserve">Évaluation et des audits : </w:t>
      </w:r>
      <w:r w:rsidRPr="0078539E">
        <w:rPr>
          <w:rFonts w:cs="Arial"/>
          <w:color w:val="000000"/>
          <w:szCs w:val="21"/>
        </w:rPr>
        <w:t xml:space="preserve">pour l’évaluation, on retiendra deux évaluations (à mi-parcours et à la fin du projet-phase 1), soit un montant de 60 000 USD. Des audits sont aussi à prévoir, pour un montant provisionnel de 60 000 USD, soit un total de 120 000 USD. </w:t>
      </w:r>
    </w:p>
    <w:p w14:paraId="2C96E6F9" w14:textId="77777777" w:rsidR="009021F1" w:rsidRPr="0078539E" w:rsidRDefault="009021F1" w:rsidP="009021F1">
      <w:pPr>
        <w:keepNext/>
        <w:tabs>
          <w:tab w:val="left" w:pos="720"/>
        </w:tabs>
        <w:jc w:val="left"/>
        <w:outlineLvl w:val="2"/>
        <w:rPr>
          <w:rFonts w:cs="Arial"/>
          <w:szCs w:val="21"/>
          <w:u w:val="single"/>
        </w:rPr>
      </w:pPr>
    </w:p>
    <w:p w14:paraId="34279681" w14:textId="77777777" w:rsidR="009021F1" w:rsidRPr="0078539E" w:rsidRDefault="009021F1" w:rsidP="009021F1">
      <w:pPr>
        <w:keepNext/>
        <w:tabs>
          <w:tab w:val="left" w:pos="720"/>
        </w:tabs>
        <w:jc w:val="left"/>
        <w:outlineLvl w:val="2"/>
        <w:rPr>
          <w:rFonts w:cs="Arial"/>
          <w:vanish/>
          <w:szCs w:val="21"/>
          <w:u w:val="single"/>
        </w:rPr>
      </w:pPr>
    </w:p>
    <w:p w14:paraId="6DC5A79B" w14:textId="77777777" w:rsidR="009021F1" w:rsidRPr="0078539E" w:rsidRDefault="009021F1" w:rsidP="009021F1">
      <w:pPr>
        <w:pStyle w:val="Paragraphedeliste"/>
        <w:keepNext/>
        <w:numPr>
          <w:ilvl w:val="1"/>
          <w:numId w:val="16"/>
        </w:numPr>
        <w:tabs>
          <w:tab w:val="left" w:pos="720"/>
        </w:tabs>
        <w:contextualSpacing w:val="0"/>
        <w:jc w:val="left"/>
        <w:outlineLvl w:val="2"/>
        <w:rPr>
          <w:rFonts w:cs="Arial"/>
          <w:vanish/>
          <w:szCs w:val="21"/>
          <w:u w:val="single"/>
        </w:rPr>
      </w:pPr>
      <w:bookmarkStart w:id="474" w:name="_Toc90471580"/>
      <w:bookmarkEnd w:id="474"/>
    </w:p>
    <w:p w14:paraId="52BBCFDB" w14:textId="77777777" w:rsidR="009021F1" w:rsidRPr="0078539E" w:rsidRDefault="009021F1" w:rsidP="009021F1">
      <w:pPr>
        <w:pStyle w:val="Paragraphedeliste"/>
        <w:keepNext/>
        <w:numPr>
          <w:ilvl w:val="1"/>
          <w:numId w:val="16"/>
        </w:numPr>
        <w:tabs>
          <w:tab w:val="left" w:pos="720"/>
        </w:tabs>
        <w:contextualSpacing w:val="0"/>
        <w:jc w:val="left"/>
        <w:outlineLvl w:val="2"/>
        <w:rPr>
          <w:rFonts w:cs="Arial"/>
          <w:vanish/>
          <w:szCs w:val="21"/>
          <w:u w:val="single"/>
        </w:rPr>
      </w:pPr>
      <w:bookmarkStart w:id="475" w:name="_Toc90471581"/>
      <w:bookmarkEnd w:id="475"/>
    </w:p>
    <w:p w14:paraId="0A21E9CA" w14:textId="77777777" w:rsidR="009021F1" w:rsidRPr="0078539E" w:rsidRDefault="009021F1" w:rsidP="009021F1">
      <w:pPr>
        <w:pStyle w:val="Paragraphedeliste"/>
        <w:keepNext/>
        <w:numPr>
          <w:ilvl w:val="1"/>
          <w:numId w:val="16"/>
        </w:numPr>
        <w:tabs>
          <w:tab w:val="left" w:pos="720"/>
        </w:tabs>
        <w:contextualSpacing w:val="0"/>
        <w:jc w:val="left"/>
        <w:outlineLvl w:val="2"/>
        <w:rPr>
          <w:rFonts w:cs="Arial"/>
          <w:vanish/>
          <w:szCs w:val="21"/>
          <w:u w:val="single"/>
        </w:rPr>
      </w:pPr>
      <w:bookmarkStart w:id="476" w:name="_Toc90471582"/>
      <w:bookmarkEnd w:id="476"/>
    </w:p>
    <w:p w14:paraId="5212AD11" w14:textId="77777777" w:rsidR="009021F1" w:rsidRPr="0078539E" w:rsidRDefault="009021F1" w:rsidP="009021F1">
      <w:pPr>
        <w:keepNext/>
        <w:tabs>
          <w:tab w:val="left" w:pos="720"/>
        </w:tabs>
        <w:outlineLvl w:val="2"/>
        <w:rPr>
          <w:rFonts w:cs="Arial"/>
          <w:szCs w:val="21"/>
        </w:rPr>
      </w:pPr>
      <w:bookmarkStart w:id="477" w:name="_Toc90471583"/>
      <w:r w:rsidRPr="0078539E">
        <w:rPr>
          <w:rFonts w:cs="Arial"/>
          <w:szCs w:val="21"/>
        </w:rPr>
        <w:t xml:space="preserve">Le coût quantitatif et estimatif total de mise en œuvre des mesures environnementales et sociales s’élève à </w:t>
      </w:r>
      <w:r w:rsidRPr="0078539E">
        <w:rPr>
          <w:rFonts w:cs="Arial"/>
          <w:color w:val="000000"/>
          <w:sz w:val="20"/>
          <w:szCs w:val="20"/>
        </w:rPr>
        <w:t>18 657</w:t>
      </w:r>
      <w:r>
        <w:rPr>
          <w:rFonts w:cs="Arial"/>
          <w:color w:val="000000"/>
          <w:sz w:val="20"/>
          <w:szCs w:val="20"/>
        </w:rPr>
        <w:t> </w:t>
      </w:r>
      <w:r w:rsidRPr="0078539E">
        <w:rPr>
          <w:rFonts w:cs="Arial"/>
          <w:color w:val="000000"/>
          <w:sz w:val="20"/>
          <w:szCs w:val="20"/>
        </w:rPr>
        <w:t>330</w:t>
      </w:r>
      <w:r>
        <w:rPr>
          <w:rFonts w:cs="Arial"/>
          <w:color w:val="000000"/>
          <w:sz w:val="20"/>
          <w:szCs w:val="20"/>
        </w:rPr>
        <w:t xml:space="preserve"> </w:t>
      </w:r>
      <w:r w:rsidRPr="0078539E">
        <w:rPr>
          <w:rFonts w:cs="Arial"/>
          <w:szCs w:val="21"/>
        </w:rPr>
        <w:t>USD détaillé par rubrique dans le tableau 4</w:t>
      </w:r>
      <w:r>
        <w:rPr>
          <w:rFonts w:cs="Arial"/>
          <w:szCs w:val="21"/>
        </w:rPr>
        <w:t>3</w:t>
      </w:r>
      <w:r w:rsidRPr="0078539E">
        <w:rPr>
          <w:rFonts w:cs="Arial"/>
          <w:szCs w:val="21"/>
        </w:rPr>
        <w:t xml:space="preserve"> ci-dessous.</w:t>
      </w:r>
      <w:bookmarkEnd w:id="477"/>
      <w:r w:rsidRPr="0078539E">
        <w:rPr>
          <w:rFonts w:cs="Arial"/>
          <w:szCs w:val="21"/>
        </w:rPr>
        <w:t xml:space="preserve"> </w:t>
      </w:r>
    </w:p>
    <w:p w14:paraId="31865857" w14:textId="77777777" w:rsidR="009021F1" w:rsidRPr="0078539E" w:rsidRDefault="009021F1" w:rsidP="009021F1">
      <w:pPr>
        <w:keepNext/>
        <w:tabs>
          <w:tab w:val="left" w:pos="720"/>
        </w:tabs>
        <w:outlineLvl w:val="2"/>
        <w:rPr>
          <w:rFonts w:cs="Arial"/>
          <w:szCs w:val="21"/>
        </w:rPr>
      </w:pPr>
    </w:p>
    <w:p w14:paraId="09F7E26B" w14:textId="77777777" w:rsidR="009021F1" w:rsidRPr="0078539E" w:rsidRDefault="009021F1" w:rsidP="009021F1">
      <w:pPr>
        <w:pStyle w:val="Lgende"/>
        <w:keepNext/>
        <w:ind w:left="1418" w:hanging="1418"/>
        <w:rPr>
          <w:szCs w:val="21"/>
        </w:rPr>
      </w:pPr>
      <w:r w:rsidRPr="0078539E">
        <w:rPr>
          <w:szCs w:val="21"/>
        </w:rPr>
        <w:t xml:space="preserve">Tableau </w:t>
      </w:r>
      <w:r w:rsidRPr="0078539E">
        <w:rPr>
          <w:szCs w:val="21"/>
        </w:rPr>
        <w:fldChar w:fldCharType="begin"/>
      </w:r>
      <w:r w:rsidRPr="0078539E">
        <w:rPr>
          <w:szCs w:val="21"/>
        </w:rPr>
        <w:instrText xml:space="preserve"> SEQ Tableau \* ARABIC </w:instrText>
      </w:r>
      <w:r w:rsidRPr="0078539E">
        <w:rPr>
          <w:szCs w:val="21"/>
        </w:rPr>
        <w:fldChar w:fldCharType="separate"/>
      </w:r>
      <w:r>
        <w:rPr>
          <w:noProof/>
          <w:szCs w:val="21"/>
        </w:rPr>
        <w:t>43</w:t>
      </w:r>
      <w:r w:rsidRPr="0078539E">
        <w:rPr>
          <w:szCs w:val="21"/>
        </w:rPr>
        <w:fldChar w:fldCharType="end"/>
      </w:r>
      <w:r w:rsidRPr="0078539E">
        <w:rPr>
          <w:szCs w:val="21"/>
        </w:rPr>
        <w:t>. Budget quantitatif et estimatif global de mise en œuvre des mesures environnementales et sociales d</w:t>
      </w:r>
      <w:r w:rsidRPr="0078539E">
        <w:rPr>
          <w:rFonts w:cs="Arial"/>
          <w:szCs w:val="21"/>
        </w:rPr>
        <w:t xml:space="preserve">es PGRIES </w:t>
      </w:r>
    </w:p>
    <w:p w14:paraId="05B5CA10" w14:textId="77777777" w:rsidR="009021F1" w:rsidRDefault="009021F1" w:rsidP="009021F1">
      <w:pPr>
        <w:rPr>
          <w:lang w:eastAsia="en-US"/>
        </w:rPr>
      </w:pPr>
    </w:p>
    <w:tbl>
      <w:tblPr>
        <w:tblW w:w="93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66"/>
        <w:gridCol w:w="2004"/>
        <w:gridCol w:w="1882"/>
        <w:gridCol w:w="1759"/>
      </w:tblGrid>
      <w:tr w:rsidR="009021F1" w:rsidRPr="002A1EE6" w14:paraId="1817E4BF" w14:textId="77777777" w:rsidTr="00E637E3">
        <w:trPr>
          <w:trHeight w:val="493"/>
          <w:tblHeader/>
        </w:trPr>
        <w:tc>
          <w:tcPr>
            <w:tcW w:w="3666" w:type="dxa"/>
            <w:shd w:val="clear" w:color="auto" w:fill="D5DCE4"/>
            <w:vAlign w:val="center"/>
            <w:hideMark/>
          </w:tcPr>
          <w:p w14:paraId="2A157B37" w14:textId="77777777" w:rsidR="009021F1" w:rsidRPr="0078539E" w:rsidRDefault="009021F1" w:rsidP="00E637E3">
            <w:pPr>
              <w:spacing w:line="240" w:lineRule="auto"/>
              <w:jc w:val="center"/>
              <w:rPr>
                <w:rFonts w:cs="Arial"/>
                <w:color w:val="000000"/>
                <w:sz w:val="20"/>
                <w:szCs w:val="20"/>
              </w:rPr>
            </w:pPr>
            <w:r w:rsidRPr="0078539E">
              <w:rPr>
                <w:rFonts w:cs="Arial"/>
                <w:color w:val="000000"/>
                <w:sz w:val="20"/>
                <w:szCs w:val="20"/>
              </w:rPr>
              <w:t>Activités</w:t>
            </w:r>
          </w:p>
        </w:tc>
        <w:tc>
          <w:tcPr>
            <w:tcW w:w="2004" w:type="dxa"/>
            <w:shd w:val="clear" w:color="auto" w:fill="D5DCE4"/>
            <w:vAlign w:val="center"/>
            <w:hideMark/>
          </w:tcPr>
          <w:p w14:paraId="1524B7B0" w14:textId="77777777" w:rsidR="009021F1" w:rsidRPr="0078539E" w:rsidRDefault="009021F1" w:rsidP="00E637E3">
            <w:pPr>
              <w:spacing w:line="240" w:lineRule="auto"/>
              <w:jc w:val="center"/>
              <w:rPr>
                <w:rFonts w:cs="Arial"/>
                <w:color w:val="000000"/>
                <w:sz w:val="20"/>
                <w:szCs w:val="20"/>
              </w:rPr>
            </w:pPr>
            <w:r w:rsidRPr="0078539E">
              <w:rPr>
                <w:rFonts w:cs="Arial"/>
                <w:bCs/>
                <w:color w:val="000000"/>
                <w:sz w:val="20"/>
                <w:szCs w:val="20"/>
              </w:rPr>
              <w:t>Quantité</w:t>
            </w:r>
          </w:p>
        </w:tc>
        <w:tc>
          <w:tcPr>
            <w:tcW w:w="1882" w:type="dxa"/>
            <w:shd w:val="clear" w:color="auto" w:fill="D5DCE4"/>
            <w:vAlign w:val="center"/>
            <w:hideMark/>
          </w:tcPr>
          <w:p w14:paraId="3CA79216" w14:textId="77777777" w:rsidR="009021F1" w:rsidRPr="0078539E" w:rsidRDefault="009021F1" w:rsidP="00E637E3">
            <w:pPr>
              <w:spacing w:line="240" w:lineRule="auto"/>
              <w:jc w:val="center"/>
              <w:rPr>
                <w:rFonts w:cs="Arial"/>
                <w:color w:val="000000"/>
                <w:sz w:val="20"/>
                <w:szCs w:val="20"/>
              </w:rPr>
            </w:pPr>
            <w:r w:rsidRPr="0078539E">
              <w:rPr>
                <w:rFonts w:cs="Arial"/>
                <w:color w:val="000000"/>
                <w:sz w:val="20"/>
                <w:szCs w:val="20"/>
              </w:rPr>
              <w:t>Coût unitaire (USD)</w:t>
            </w:r>
          </w:p>
        </w:tc>
        <w:tc>
          <w:tcPr>
            <w:tcW w:w="1759" w:type="dxa"/>
            <w:shd w:val="clear" w:color="auto" w:fill="D5DCE4"/>
            <w:vAlign w:val="center"/>
            <w:hideMark/>
          </w:tcPr>
          <w:p w14:paraId="039C23D9" w14:textId="77777777" w:rsidR="009021F1" w:rsidRPr="0078539E" w:rsidRDefault="009021F1" w:rsidP="00E637E3">
            <w:pPr>
              <w:spacing w:line="240" w:lineRule="auto"/>
              <w:jc w:val="center"/>
              <w:rPr>
                <w:rFonts w:cs="Arial"/>
                <w:color w:val="000000"/>
                <w:sz w:val="20"/>
                <w:szCs w:val="20"/>
              </w:rPr>
            </w:pPr>
            <w:r w:rsidRPr="0078539E">
              <w:rPr>
                <w:rFonts w:cs="Arial"/>
                <w:color w:val="000000"/>
                <w:sz w:val="20"/>
                <w:szCs w:val="20"/>
                <w:lang w:val="fr-CA"/>
              </w:rPr>
              <w:t>Coût total (USD)</w:t>
            </w:r>
          </w:p>
        </w:tc>
      </w:tr>
      <w:tr w:rsidR="009021F1" w:rsidRPr="00F7399A" w14:paraId="15A1AB56" w14:textId="77777777" w:rsidTr="00E637E3">
        <w:trPr>
          <w:trHeight w:val="273"/>
        </w:trPr>
        <w:tc>
          <w:tcPr>
            <w:tcW w:w="3666" w:type="dxa"/>
            <w:shd w:val="clear" w:color="auto" w:fill="auto"/>
            <w:vAlign w:val="center"/>
            <w:hideMark/>
          </w:tcPr>
          <w:p w14:paraId="67AF2D9B" w14:textId="77777777" w:rsidR="009021F1" w:rsidRPr="0078539E" w:rsidRDefault="009021F1" w:rsidP="00E637E3">
            <w:pPr>
              <w:spacing w:line="240" w:lineRule="auto"/>
              <w:jc w:val="left"/>
              <w:rPr>
                <w:rFonts w:cs="Arial"/>
                <w:color w:val="000000"/>
                <w:sz w:val="20"/>
                <w:szCs w:val="20"/>
              </w:rPr>
            </w:pPr>
            <w:r w:rsidRPr="0078539E">
              <w:rPr>
                <w:rFonts w:cs="Arial"/>
                <w:bCs/>
                <w:color w:val="000000"/>
                <w:sz w:val="20"/>
                <w:szCs w:val="20"/>
              </w:rPr>
              <w:t xml:space="preserve">Elaborationdes ÉIES/PGES   </w:t>
            </w:r>
          </w:p>
        </w:tc>
        <w:tc>
          <w:tcPr>
            <w:tcW w:w="2004" w:type="dxa"/>
            <w:shd w:val="clear" w:color="auto" w:fill="auto"/>
            <w:vAlign w:val="center"/>
            <w:hideMark/>
          </w:tcPr>
          <w:p w14:paraId="46757251" w14:textId="77777777" w:rsidR="009021F1" w:rsidRPr="0078539E" w:rsidRDefault="009021F1" w:rsidP="00E637E3">
            <w:pPr>
              <w:spacing w:line="240" w:lineRule="auto"/>
              <w:jc w:val="center"/>
              <w:rPr>
                <w:rFonts w:cs="Arial"/>
                <w:color w:val="000000"/>
                <w:sz w:val="20"/>
                <w:szCs w:val="20"/>
              </w:rPr>
            </w:pPr>
            <w:r w:rsidRPr="0078539E">
              <w:rPr>
                <w:rFonts w:cs="Arial"/>
                <w:color w:val="000000"/>
                <w:sz w:val="20"/>
                <w:szCs w:val="20"/>
              </w:rPr>
              <w:t>30</w:t>
            </w:r>
          </w:p>
        </w:tc>
        <w:tc>
          <w:tcPr>
            <w:tcW w:w="1882" w:type="dxa"/>
            <w:shd w:val="clear" w:color="auto" w:fill="auto"/>
            <w:vAlign w:val="center"/>
            <w:hideMark/>
          </w:tcPr>
          <w:p w14:paraId="22AF738E" w14:textId="77777777" w:rsidR="009021F1" w:rsidRPr="0078539E" w:rsidRDefault="009021F1" w:rsidP="00E637E3">
            <w:pPr>
              <w:spacing w:line="240" w:lineRule="auto"/>
              <w:jc w:val="right"/>
              <w:rPr>
                <w:rFonts w:cs="Arial"/>
                <w:color w:val="000000"/>
                <w:sz w:val="20"/>
                <w:szCs w:val="20"/>
              </w:rPr>
            </w:pPr>
            <w:r w:rsidRPr="0078539E">
              <w:rPr>
                <w:rFonts w:cs="Arial"/>
                <w:color w:val="000000"/>
                <w:sz w:val="20"/>
                <w:szCs w:val="20"/>
              </w:rPr>
              <w:t>50 000</w:t>
            </w:r>
          </w:p>
        </w:tc>
        <w:tc>
          <w:tcPr>
            <w:tcW w:w="1759" w:type="dxa"/>
            <w:shd w:val="clear" w:color="auto" w:fill="auto"/>
            <w:vAlign w:val="center"/>
            <w:hideMark/>
          </w:tcPr>
          <w:p w14:paraId="3FF0D82A" w14:textId="77777777" w:rsidR="009021F1" w:rsidRPr="0078539E" w:rsidRDefault="009021F1" w:rsidP="00E637E3">
            <w:pPr>
              <w:spacing w:line="240" w:lineRule="auto"/>
              <w:jc w:val="right"/>
              <w:rPr>
                <w:rFonts w:cs="Arial"/>
                <w:color w:val="000000"/>
                <w:sz w:val="20"/>
                <w:szCs w:val="20"/>
              </w:rPr>
            </w:pPr>
            <w:r w:rsidRPr="0078539E">
              <w:rPr>
                <w:rFonts w:cs="Arial"/>
                <w:color w:val="000000"/>
                <w:sz w:val="20"/>
                <w:szCs w:val="20"/>
              </w:rPr>
              <w:t>1 500 000</w:t>
            </w:r>
          </w:p>
        </w:tc>
      </w:tr>
      <w:tr w:rsidR="009021F1" w:rsidRPr="00F7399A" w14:paraId="5D82D343" w14:textId="77777777" w:rsidTr="00E637E3">
        <w:trPr>
          <w:trHeight w:val="275"/>
        </w:trPr>
        <w:tc>
          <w:tcPr>
            <w:tcW w:w="3666" w:type="dxa"/>
            <w:shd w:val="clear" w:color="auto" w:fill="auto"/>
            <w:vAlign w:val="center"/>
            <w:hideMark/>
          </w:tcPr>
          <w:p w14:paraId="7636C12E" w14:textId="77777777" w:rsidR="009021F1" w:rsidRPr="0078539E" w:rsidRDefault="009021F1" w:rsidP="00E637E3">
            <w:pPr>
              <w:spacing w:line="240" w:lineRule="auto"/>
              <w:jc w:val="left"/>
              <w:rPr>
                <w:rFonts w:cs="Arial"/>
                <w:color w:val="000000"/>
                <w:sz w:val="20"/>
                <w:szCs w:val="20"/>
              </w:rPr>
            </w:pPr>
            <w:r w:rsidRPr="0078539E">
              <w:rPr>
                <w:rFonts w:cs="Arial"/>
                <w:bCs/>
                <w:color w:val="000000"/>
                <w:sz w:val="20"/>
                <w:szCs w:val="20"/>
              </w:rPr>
              <w:t>Élaboration des PAR/PSR</w:t>
            </w:r>
          </w:p>
        </w:tc>
        <w:tc>
          <w:tcPr>
            <w:tcW w:w="2004" w:type="dxa"/>
            <w:shd w:val="clear" w:color="auto" w:fill="auto"/>
            <w:vAlign w:val="center"/>
            <w:hideMark/>
          </w:tcPr>
          <w:p w14:paraId="2D9DF1BB" w14:textId="77777777" w:rsidR="009021F1" w:rsidRPr="0078539E" w:rsidRDefault="009021F1" w:rsidP="00E637E3">
            <w:pPr>
              <w:spacing w:line="240" w:lineRule="auto"/>
              <w:jc w:val="center"/>
              <w:rPr>
                <w:rFonts w:cs="Arial"/>
                <w:color w:val="000000"/>
                <w:sz w:val="20"/>
                <w:szCs w:val="20"/>
              </w:rPr>
            </w:pPr>
            <w:r w:rsidRPr="0078539E">
              <w:rPr>
                <w:rFonts w:cs="Arial"/>
                <w:color w:val="000000"/>
                <w:sz w:val="20"/>
                <w:szCs w:val="20"/>
              </w:rPr>
              <w:t>30</w:t>
            </w:r>
          </w:p>
        </w:tc>
        <w:tc>
          <w:tcPr>
            <w:tcW w:w="1882" w:type="dxa"/>
            <w:shd w:val="clear" w:color="auto" w:fill="auto"/>
            <w:vAlign w:val="center"/>
            <w:hideMark/>
          </w:tcPr>
          <w:p w14:paraId="1F4F5BB1" w14:textId="77777777" w:rsidR="009021F1" w:rsidRPr="0078539E" w:rsidRDefault="009021F1" w:rsidP="00E637E3">
            <w:pPr>
              <w:spacing w:line="240" w:lineRule="auto"/>
              <w:jc w:val="right"/>
              <w:rPr>
                <w:rFonts w:cs="Arial"/>
                <w:color w:val="000000"/>
                <w:sz w:val="20"/>
                <w:szCs w:val="20"/>
              </w:rPr>
            </w:pPr>
            <w:r w:rsidRPr="0078539E">
              <w:rPr>
                <w:rFonts w:cs="Arial"/>
                <w:color w:val="000000"/>
                <w:sz w:val="20"/>
                <w:szCs w:val="20"/>
              </w:rPr>
              <w:t>60 000</w:t>
            </w:r>
          </w:p>
        </w:tc>
        <w:tc>
          <w:tcPr>
            <w:tcW w:w="1759" w:type="dxa"/>
            <w:shd w:val="clear" w:color="auto" w:fill="auto"/>
            <w:vAlign w:val="center"/>
            <w:hideMark/>
          </w:tcPr>
          <w:p w14:paraId="427D5717" w14:textId="77777777" w:rsidR="009021F1" w:rsidRPr="0078539E" w:rsidRDefault="009021F1" w:rsidP="00E637E3">
            <w:pPr>
              <w:spacing w:line="240" w:lineRule="auto"/>
              <w:jc w:val="right"/>
              <w:rPr>
                <w:rFonts w:cs="Arial"/>
                <w:color w:val="000000"/>
                <w:sz w:val="20"/>
                <w:szCs w:val="20"/>
              </w:rPr>
            </w:pPr>
            <w:r w:rsidRPr="0078539E">
              <w:rPr>
                <w:rFonts w:cs="Arial"/>
                <w:color w:val="000000"/>
                <w:sz w:val="20"/>
                <w:szCs w:val="20"/>
              </w:rPr>
              <w:t>1 800 000</w:t>
            </w:r>
          </w:p>
        </w:tc>
      </w:tr>
      <w:tr w:rsidR="009021F1" w:rsidRPr="00F7399A" w14:paraId="1B559B13" w14:textId="77777777" w:rsidTr="00E637E3">
        <w:trPr>
          <w:trHeight w:val="309"/>
        </w:trPr>
        <w:tc>
          <w:tcPr>
            <w:tcW w:w="3666" w:type="dxa"/>
            <w:shd w:val="clear" w:color="auto" w:fill="auto"/>
            <w:vAlign w:val="center"/>
            <w:hideMark/>
          </w:tcPr>
          <w:p w14:paraId="7EEF9D3C" w14:textId="77777777" w:rsidR="009021F1" w:rsidRPr="0078539E" w:rsidRDefault="009021F1" w:rsidP="00E637E3">
            <w:pPr>
              <w:spacing w:line="240" w:lineRule="auto"/>
              <w:jc w:val="left"/>
              <w:rPr>
                <w:rFonts w:cs="Arial"/>
                <w:color w:val="000000"/>
                <w:sz w:val="20"/>
                <w:szCs w:val="20"/>
              </w:rPr>
            </w:pPr>
            <w:r w:rsidRPr="0078539E">
              <w:rPr>
                <w:rFonts w:cs="Arial"/>
                <w:bCs/>
                <w:color w:val="000000"/>
                <w:sz w:val="20"/>
                <w:szCs w:val="20"/>
              </w:rPr>
              <w:t>Mise en œuvre des PAR/PSR</w:t>
            </w:r>
          </w:p>
        </w:tc>
        <w:tc>
          <w:tcPr>
            <w:tcW w:w="2004" w:type="dxa"/>
            <w:shd w:val="clear" w:color="auto" w:fill="auto"/>
            <w:vAlign w:val="center"/>
            <w:hideMark/>
          </w:tcPr>
          <w:p w14:paraId="496FF637" w14:textId="77777777" w:rsidR="009021F1" w:rsidRPr="0078539E" w:rsidRDefault="009021F1" w:rsidP="00E637E3">
            <w:pPr>
              <w:spacing w:line="240" w:lineRule="auto"/>
              <w:jc w:val="center"/>
              <w:rPr>
                <w:rFonts w:cs="Arial"/>
                <w:color w:val="000000"/>
                <w:sz w:val="20"/>
                <w:szCs w:val="20"/>
              </w:rPr>
            </w:pPr>
            <w:r w:rsidRPr="0078539E">
              <w:rPr>
                <w:rFonts w:cs="Arial"/>
                <w:color w:val="000000"/>
                <w:sz w:val="20"/>
                <w:szCs w:val="20"/>
              </w:rPr>
              <w:t>30</w:t>
            </w:r>
          </w:p>
        </w:tc>
        <w:tc>
          <w:tcPr>
            <w:tcW w:w="1882" w:type="dxa"/>
            <w:shd w:val="clear" w:color="auto" w:fill="auto"/>
            <w:vAlign w:val="center"/>
            <w:hideMark/>
          </w:tcPr>
          <w:p w14:paraId="674579B7" w14:textId="77777777" w:rsidR="009021F1" w:rsidRPr="0078539E" w:rsidRDefault="009021F1" w:rsidP="00E637E3">
            <w:pPr>
              <w:spacing w:line="240" w:lineRule="auto"/>
              <w:jc w:val="right"/>
              <w:rPr>
                <w:rFonts w:cs="Arial"/>
                <w:color w:val="000000"/>
                <w:sz w:val="20"/>
                <w:szCs w:val="20"/>
              </w:rPr>
            </w:pPr>
            <w:r w:rsidRPr="0078539E">
              <w:rPr>
                <w:rFonts w:cs="Arial"/>
                <w:color w:val="000000"/>
                <w:sz w:val="20"/>
                <w:szCs w:val="20"/>
              </w:rPr>
              <w:t>40 000</w:t>
            </w:r>
          </w:p>
        </w:tc>
        <w:tc>
          <w:tcPr>
            <w:tcW w:w="1759" w:type="dxa"/>
            <w:shd w:val="clear" w:color="auto" w:fill="auto"/>
            <w:vAlign w:val="center"/>
            <w:hideMark/>
          </w:tcPr>
          <w:p w14:paraId="6F5B443C" w14:textId="77777777" w:rsidR="009021F1" w:rsidRPr="0078539E" w:rsidRDefault="009021F1" w:rsidP="00E637E3">
            <w:pPr>
              <w:spacing w:line="240" w:lineRule="auto"/>
              <w:jc w:val="right"/>
              <w:rPr>
                <w:rFonts w:cs="Arial"/>
                <w:color w:val="000000"/>
                <w:sz w:val="20"/>
                <w:szCs w:val="20"/>
              </w:rPr>
            </w:pPr>
            <w:r w:rsidRPr="0078539E">
              <w:rPr>
                <w:rFonts w:cs="Arial"/>
                <w:color w:val="000000"/>
                <w:sz w:val="20"/>
                <w:szCs w:val="20"/>
              </w:rPr>
              <w:t>1 200 000</w:t>
            </w:r>
          </w:p>
        </w:tc>
      </w:tr>
      <w:tr w:rsidR="009021F1" w:rsidRPr="002A1EE6" w14:paraId="12CE9D01" w14:textId="77777777" w:rsidTr="00E637E3">
        <w:trPr>
          <w:trHeight w:val="309"/>
        </w:trPr>
        <w:tc>
          <w:tcPr>
            <w:tcW w:w="3666" w:type="dxa"/>
            <w:shd w:val="clear" w:color="auto" w:fill="auto"/>
            <w:vAlign w:val="center"/>
          </w:tcPr>
          <w:p w14:paraId="3E2AE352" w14:textId="77777777" w:rsidR="009021F1" w:rsidRPr="0078539E" w:rsidRDefault="009021F1" w:rsidP="00E637E3">
            <w:pPr>
              <w:spacing w:line="240" w:lineRule="auto"/>
              <w:jc w:val="left"/>
              <w:rPr>
                <w:rFonts w:cs="Arial"/>
                <w:bCs/>
                <w:color w:val="000000"/>
                <w:sz w:val="20"/>
                <w:szCs w:val="20"/>
              </w:rPr>
            </w:pPr>
            <w:r w:rsidRPr="0078539E">
              <w:rPr>
                <w:rFonts w:cs="Arial"/>
                <w:bCs/>
                <w:color w:val="000000"/>
                <w:sz w:val="20"/>
                <w:szCs w:val="20"/>
              </w:rPr>
              <w:t>Elaboration et mise en œuvre du PGS</w:t>
            </w:r>
          </w:p>
        </w:tc>
        <w:tc>
          <w:tcPr>
            <w:tcW w:w="2004" w:type="dxa"/>
            <w:shd w:val="clear" w:color="auto" w:fill="auto"/>
            <w:vAlign w:val="center"/>
          </w:tcPr>
          <w:p w14:paraId="0E5F9C34" w14:textId="77777777" w:rsidR="009021F1" w:rsidRPr="0078539E" w:rsidRDefault="009021F1" w:rsidP="00E637E3">
            <w:pPr>
              <w:spacing w:line="240" w:lineRule="auto"/>
              <w:jc w:val="center"/>
              <w:rPr>
                <w:rFonts w:cs="Arial"/>
                <w:color w:val="000000"/>
                <w:sz w:val="20"/>
                <w:szCs w:val="20"/>
              </w:rPr>
            </w:pPr>
            <w:r w:rsidRPr="0078539E">
              <w:rPr>
                <w:rFonts w:cs="Arial"/>
                <w:color w:val="000000"/>
                <w:sz w:val="20"/>
                <w:szCs w:val="20"/>
              </w:rPr>
              <w:t>1</w:t>
            </w:r>
          </w:p>
        </w:tc>
        <w:tc>
          <w:tcPr>
            <w:tcW w:w="1882" w:type="dxa"/>
            <w:shd w:val="clear" w:color="auto" w:fill="auto"/>
            <w:vAlign w:val="center"/>
          </w:tcPr>
          <w:p w14:paraId="04F84173" w14:textId="77777777" w:rsidR="009021F1" w:rsidRPr="0078539E" w:rsidRDefault="009021F1" w:rsidP="00E637E3">
            <w:pPr>
              <w:spacing w:line="240" w:lineRule="auto"/>
              <w:jc w:val="right"/>
              <w:rPr>
                <w:rFonts w:cs="Arial"/>
                <w:color w:val="000000"/>
                <w:sz w:val="20"/>
                <w:szCs w:val="20"/>
              </w:rPr>
            </w:pPr>
            <w:r w:rsidRPr="0078539E">
              <w:rPr>
                <w:rFonts w:cs="Arial"/>
                <w:color w:val="000000"/>
                <w:sz w:val="20"/>
                <w:szCs w:val="20"/>
              </w:rPr>
              <w:t>100 000</w:t>
            </w:r>
          </w:p>
        </w:tc>
        <w:tc>
          <w:tcPr>
            <w:tcW w:w="1759" w:type="dxa"/>
            <w:shd w:val="clear" w:color="auto" w:fill="auto"/>
            <w:vAlign w:val="center"/>
          </w:tcPr>
          <w:p w14:paraId="42F381FD" w14:textId="77777777" w:rsidR="009021F1" w:rsidRPr="0078539E" w:rsidRDefault="009021F1" w:rsidP="00E637E3">
            <w:pPr>
              <w:spacing w:line="240" w:lineRule="auto"/>
              <w:jc w:val="right"/>
              <w:rPr>
                <w:rFonts w:cs="Arial"/>
                <w:color w:val="000000"/>
                <w:sz w:val="20"/>
                <w:szCs w:val="20"/>
              </w:rPr>
            </w:pPr>
            <w:r w:rsidRPr="0078539E">
              <w:rPr>
                <w:rFonts w:cs="Arial"/>
                <w:color w:val="000000"/>
                <w:sz w:val="20"/>
                <w:szCs w:val="20"/>
              </w:rPr>
              <w:t>100 000</w:t>
            </w:r>
          </w:p>
        </w:tc>
      </w:tr>
      <w:tr w:rsidR="009021F1" w:rsidRPr="002A1EE6" w14:paraId="633AB581" w14:textId="77777777" w:rsidTr="00E637E3">
        <w:trPr>
          <w:trHeight w:val="309"/>
        </w:trPr>
        <w:tc>
          <w:tcPr>
            <w:tcW w:w="3666" w:type="dxa"/>
            <w:shd w:val="clear" w:color="auto" w:fill="auto"/>
            <w:vAlign w:val="center"/>
          </w:tcPr>
          <w:p w14:paraId="1B69FDE4" w14:textId="77777777" w:rsidR="009021F1" w:rsidRPr="0078539E" w:rsidRDefault="009021F1" w:rsidP="00E637E3">
            <w:pPr>
              <w:spacing w:line="240" w:lineRule="auto"/>
              <w:jc w:val="left"/>
              <w:rPr>
                <w:rFonts w:cs="Arial"/>
                <w:bCs/>
                <w:color w:val="000000"/>
                <w:sz w:val="20"/>
                <w:szCs w:val="20"/>
              </w:rPr>
            </w:pPr>
            <w:r w:rsidRPr="0078539E">
              <w:rPr>
                <w:rFonts w:cs="Arial"/>
                <w:bCs/>
                <w:color w:val="000000"/>
                <w:sz w:val="20"/>
                <w:szCs w:val="20"/>
              </w:rPr>
              <w:t>Elaboration et mise en œuvre du Plan de Gestion de la Biodiversité (PGB)</w:t>
            </w:r>
          </w:p>
        </w:tc>
        <w:tc>
          <w:tcPr>
            <w:tcW w:w="2004" w:type="dxa"/>
            <w:shd w:val="clear" w:color="auto" w:fill="auto"/>
            <w:vAlign w:val="center"/>
          </w:tcPr>
          <w:p w14:paraId="4C3DD517" w14:textId="77777777" w:rsidR="009021F1" w:rsidRPr="0078539E" w:rsidRDefault="009021F1" w:rsidP="00E637E3">
            <w:pPr>
              <w:spacing w:line="240" w:lineRule="auto"/>
              <w:jc w:val="center"/>
              <w:rPr>
                <w:rFonts w:cs="Arial"/>
                <w:color w:val="000000"/>
                <w:sz w:val="20"/>
                <w:szCs w:val="20"/>
              </w:rPr>
            </w:pPr>
            <w:r w:rsidRPr="0078539E">
              <w:rPr>
                <w:rFonts w:cs="Arial"/>
                <w:color w:val="000000"/>
                <w:sz w:val="20"/>
                <w:szCs w:val="20"/>
              </w:rPr>
              <w:t>1</w:t>
            </w:r>
          </w:p>
        </w:tc>
        <w:tc>
          <w:tcPr>
            <w:tcW w:w="1882" w:type="dxa"/>
            <w:shd w:val="clear" w:color="auto" w:fill="auto"/>
            <w:vAlign w:val="center"/>
          </w:tcPr>
          <w:p w14:paraId="7B24B535" w14:textId="77777777" w:rsidR="009021F1" w:rsidRPr="0078539E" w:rsidRDefault="009021F1" w:rsidP="00E637E3">
            <w:pPr>
              <w:spacing w:line="240" w:lineRule="auto"/>
              <w:jc w:val="right"/>
              <w:rPr>
                <w:rFonts w:cs="Arial"/>
                <w:color w:val="000000"/>
                <w:sz w:val="20"/>
                <w:szCs w:val="20"/>
              </w:rPr>
            </w:pPr>
            <w:r w:rsidRPr="0078539E">
              <w:rPr>
                <w:rFonts w:cs="Arial"/>
                <w:color w:val="000000"/>
                <w:sz w:val="20"/>
                <w:szCs w:val="20"/>
              </w:rPr>
              <w:t>300 000</w:t>
            </w:r>
          </w:p>
        </w:tc>
        <w:tc>
          <w:tcPr>
            <w:tcW w:w="1759" w:type="dxa"/>
            <w:shd w:val="clear" w:color="auto" w:fill="auto"/>
            <w:vAlign w:val="center"/>
          </w:tcPr>
          <w:p w14:paraId="4A48BAFF" w14:textId="77777777" w:rsidR="009021F1" w:rsidRPr="0078539E" w:rsidRDefault="009021F1" w:rsidP="00E637E3">
            <w:pPr>
              <w:spacing w:line="240" w:lineRule="auto"/>
              <w:jc w:val="right"/>
              <w:rPr>
                <w:rFonts w:cs="Arial"/>
                <w:color w:val="000000"/>
                <w:sz w:val="20"/>
                <w:szCs w:val="20"/>
              </w:rPr>
            </w:pPr>
            <w:r w:rsidRPr="0078539E">
              <w:rPr>
                <w:rFonts w:cs="Arial"/>
                <w:color w:val="000000"/>
                <w:sz w:val="20"/>
                <w:szCs w:val="20"/>
              </w:rPr>
              <w:t>300 000</w:t>
            </w:r>
          </w:p>
        </w:tc>
      </w:tr>
      <w:tr w:rsidR="009021F1" w:rsidRPr="002A1EE6" w14:paraId="44B723C6" w14:textId="77777777" w:rsidTr="00E637E3">
        <w:trPr>
          <w:trHeight w:val="597"/>
        </w:trPr>
        <w:tc>
          <w:tcPr>
            <w:tcW w:w="3666" w:type="dxa"/>
            <w:shd w:val="clear" w:color="auto" w:fill="auto"/>
            <w:vAlign w:val="center"/>
            <w:hideMark/>
          </w:tcPr>
          <w:p w14:paraId="5E521324" w14:textId="77777777" w:rsidR="009021F1" w:rsidRPr="0078539E" w:rsidRDefault="009021F1" w:rsidP="00E637E3">
            <w:pPr>
              <w:spacing w:line="240" w:lineRule="auto"/>
              <w:jc w:val="left"/>
              <w:rPr>
                <w:rFonts w:cs="Arial"/>
                <w:color w:val="000000"/>
                <w:sz w:val="20"/>
                <w:szCs w:val="20"/>
              </w:rPr>
            </w:pPr>
            <w:r w:rsidRPr="0078539E">
              <w:rPr>
                <w:rFonts w:cs="Arial"/>
                <w:bCs/>
                <w:color w:val="000000"/>
                <w:sz w:val="20"/>
                <w:szCs w:val="20"/>
              </w:rPr>
              <w:t>Mise en œuvre du PMPP y compris le MGP global et celui sensible au VBG</w:t>
            </w:r>
          </w:p>
        </w:tc>
        <w:tc>
          <w:tcPr>
            <w:tcW w:w="2004" w:type="dxa"/>
            <w:shd w:val="clear" w:color="auto" w:fill="auto"/>
            <w:vAlign w:val="center"/>
            <w:hideMark/>
          </w:tcPr>
          <w:p w14:paraId="0DB540E5" w14:textId="77777777" w:rsidR="009021F1" w:rsidRPr="0078539E" w:rsidRDefault="009021F1" w:rsidP="00E637E3">
            <w:pPr>
              <w:spacing w:line="240" w:lineRule="auto"/>
              <w:jc w:val="center"/>
              <w:rPr>
                <w:rFonts w:cs="Arial"/>
                <w:color w:val="000000"/>
                <w:sz w:val="20"/>
                <w:szCs w:val="20"/>
              </w:rPr>
            </w:pPr>
            <w:r w:rsidRPr="0078539E">
              <w:rPr>
                <w:rFonts w:cs="Arial"/>
                <w:color w:val="000000"/>
                <w:sz w:val="20"/>
                <w:szCs w:val="20"/>
              </w:rPr>
              <w:t>1</w:t>
            </w:r>
          </w:p>
        </w:tc>
        <w:tc>
          <w:tcPr>
            <w:tcW w:w="1882" w:type="dxa"/>
            <w:shd w:val="clear" w:color="auto" w:fill="auto"/>
            <w:vAlign w:val="center"/>
            <w:hideMark/>
          </w:tcPr>
          <w:p w14:paraId="7D874B7B" w14:textId="77777777" w:rsidR="009021F1" w:rsidRPr="0078539E" w:rsidRDefault="009021F1" w:rsidP="00E637E3">
            <w:pPr>
              <w:spacing w:line="240" w:lineRule="auto"/>
              <w:jc w:val="right"/>
              <w:rPr>
                <w:rFonts w:cs="Arial"/>
                <w:color w:val="000000"/>
                <w:sz w:val="20"/>
                <w:szCs w:val="20"/>
              </w:rPr>
            </w:pPr>
            <w:r w:rsidRPr="0078539E">
              <w:rPr>
                <w:rFonts w:cs="Arial"/>
                <w:color w:val="000000"/>
                <w:sz w:val="20"/>
                <w:szCs w:val="20"/>
              </w:rPr>
              <w:t>2 323 000</w:t>
            </w:r>
          </w:p>
          <w:p w14:paraId="4A67BA06" w14:textId="77777777" w:rsidR="009021F1" w:rsidRPr="0078539E" w:rsidRDefault="009021F1" w:rsidP="00E637E3">
            <w:pPr>
              <w:spacing w:line="240" w:lineRule="auto"/>
              <w:jc w:val="right"/>
              <w:rPr>
                <w:rFonts w:cs="Arial"/>
                <w:color w:val="000000"/>
                <w:sz w:val="20"/>
                <w:szCs w:val="20"/>
              </w:rPr>
            </w:pPr>
          </w:p>
        </w:tc>
        <w:tc>
          <w:tcPr>
            <w:tcW w:w="1759" w:type="dxa"/>
            <w:shd w:val="clear" w:color="auto" w:fill="auto"/>
            <w:vAlign w:val="center"/>
            <w:hideMark/>
          </w:tcPr>
          <w:p w14:paraId="08585A44" w14:textId="77777777" w:rsidR="009021F1" w:rsidRPr="0078539E" w:rsidRDefault="009021F1" w:rsidP="00E637E3">
            <w:pPr>
              <w:spacing w:line="240" w:lineRule="auto"/>
              <w:jc w:val="right"/>
              <w:rPr>
                <w:rFonts w:cs="Arial"/>
                <w:color w:val="000000"/>
                <w:sz w:val="20"/>
                <w:szCs w:val="20"/>
              </w:rPr>
            </w:pPr>
            <w:r w:rsidRPr="0078539E">
              <w:rPr>
                <w:rFonts w:cs="Arial"/>
                <w:color w:val="000000"/>
                <w:sz w:val="20"/>
                <w:szCs w:val="20"/>
              </w:rPr>
              <w:t>2 323 000</w:t>
            </w:r>
          </w:p>
          <w:p w14:paraId="408B8D43" w14:textId="77777777" w:rsidR="009021F1" w:rsidRPr="0078539E" w:rsidRDefault="009021F1" w:rsidP="00E637E3">
            <w:pPr>
              <w:spacing w:line="240" w:lineRule="auto"/>
              <w:jc w:val="right"/>
              <w:rPr>
                <w:rFonts w:cs="Arial"/>
                <w:color w:val="000000"/>
                <w:sz w:val="20"/>
                <w:szCs w:val="20"/>
              </w:rPr>
            </w:pPr>
          </w:p>
        </w:tc>
      </w:tr>
      <w:tr w:rsidR="009021F1" w:rsidRPr="002A1EE6" w14:paraId="5ABAC05B" w14:textId="77777777" w:rsidTr="00E637E3">
        <w:trPr>
          <w:trHeight w:val="776"/>
        </w:trPr>
        <w:tc>
          <w:tcPr>
            <w:tcW w:w="3666" w:type="dxa"/>
            <w:shd w:val="clear" w:color="auto" w:fill="auto"/>
            <w:vAlign w:val="center"/>
            <w:hideMark/>
          </w:tcPr>
          <w:p w14:paraId="40E43401" w14:textId="77777777" w:rsidR="009021F1" w:rsidRPr="0078539E" w:rsidRDefault="009021F1" w:rsidP="00E637E3">
            <w:pPr>
              <w:spacing w:line="240" w:lineRule="auto"/>
              <w:jc w:val="left"/>
              <w:rPr>
                <w:rFonts w:cs="Arial"/>
                <w:color w:val="000000"/>
                <w:sz w:val="20"/>
                <w:szCs w:val="20"/>
              </w:rPr>
            </w:pPr>
            <w:r w:rsidRPr="0078539E">
              <w:rPr>
                <w:rFonts w:cs="Arial"/>
                <w:bCs/>
                <w:color w:val="000000"/>
                <w:sz w:val="20"/>
                <w:szCs w:val="20"/>
              </w:rPr>
              <w:t>Appui à la préservation et la restauration des carrières / gîtes d’emprunts</w:t>
            </w:r>
          </w:p>
        </w:tc>
        <w:tc>
          <w:tcPr>
            <w:tcW w:w="2004" w:type="dxa"/>
            <w:shd w:val="clear" w:color="auto" w:fill="auto"/>
            <w:vAlign w:val="center"/>
            <w:hideMark/>
          </w:tcPr>
          <w:p w14:paraId="0DABD25F" w14:textId="77777777" w:rsidR="009021F1" w:rsidRPr="0078539E" w:rsidRDefault="009021F1" w:rsidP="00E637E3">
            <w:pPr>
              <w:spacing w:line="240" w:lineRule="auto"/>
              <w:jc w:val="center"/>
              <w:rPr>
                <w:rFonts w:cs="Arial"/>
                <w:color w:val="000000"/>
                <w:sz w:val="20"/>
                <w:szCs w:val="20"/>
              </w:rPr>
            </w:pPr>
            <w:r w:rsidRPr="0078539E">
              <w:rPr>
                <w:rFonts w:cs="Arial"/>
                <w:color w:val="000000"/>
                <w:sz w:val="20"/>
                <w:szCs w:val="20"/>
              </w:rPr>
              <w:t>5</w:t>
            </w:r>
          </w:p>
        </w:tc>
        <w:tc>
          <w:tcPr>
            <w:tcW w:w="1882" w:type="dxa"/>
            <w:shd w:val="clear" w:color="auto" w:fill="auto"/>
            <w:vAlign w:val="center"/>
            <w:hideMark/>
          </w:tcPr>
          <w:p w14:paraId="13B24F58" w14:textId="77777777" w:rsidR="009021F1" w:rsidRPr="0078539E" w:rsidRDefault="009021F1" w:rsidP="00E637E3">
            <w:pPr>
              <w:spacing w:line="240" w:lineRule="auto"/>
              <w:jc w:val="right"/>
              <w:rPr>
                <w:rFonts w:cs="Arial"/>
                <w:color w:val="000000"/>
                <w:sz w:val="20"/>
                <w:szCs w:val="20"/>
              </w:rPr>
            </w:pPr>
            <w:r w:rsidRPr="0078539E">
              <w:rPr>
                <w:rFonts w:cs="Arial"/>
                <w:color w:val="000000"/>
                <w:sz w:val="20"/>
                <w:szCs w:val="20"/>
              </w:rPr>
              <w:t>50 000</w:t>
            </w:r>
          </w:p>
        </w:tc>
        <w:tc>
          <w:tcPr>
            <w:tcW w:w="1759" w:type="dxa"/>
            <w:shd w:val="clear" w:color="auto" w:fill="auto"/>
            <w:vAlign w:val="center"/>
            <w:hideMark/>
          </w:tcPr>
          <w:p w14:paraId="3A9AABBA" w14:textId="77777777" w:rsidR="009021F1" w:rsidRPr="0078539E" w:rsidRDefault="009021F1" w:rsidP="00E637E3">
            <w:pPr>
              <w:spacing w:line="240" w:lineRule="auto"/>
              <w:jc w:val="right"/>
              <w:rPr>
                <w:rFonts w:cs="Arial"/>
                <w:color w:val="000000"/>
                <w:sz w:val="20"/>
                <w:szCs w:val="20"/>
              </w:rPr>
            </w:pPr>
            <w:r w:rsidRPr="0078539E">
              <w:rPr>
                <w:rFonts w:cs="Arial"/>
                <w:color w:val="000000"/>
                <w:sz w:val="20"/>
                <w:szCs w:val="20"/>
              </w:rPr>
              <w:t>250 000</w:t>
            </w:r>
          </w:p>
        </w:tc>
      </w:tr>
      <w:tr w:rsidR="009021F1" w:rsidRPr="002A1EE6" w14:paraId="0B67853F" w14:textId="77777777" w:rsidTr="00E637E3">
        <w:trPr>
          <w:trHeight w:val="113"/>
        </w:trPr>
        <w:tc>
          <w:tcPr>
            <w:tcW w:w="3666" w:type="dxa"/>
            <w:shd w:val="clear" w:color="auto" w:fill="auto"/>
            <w:vAlign w:val="center"/>
            <w:hideMark/>
          </w:tcPr>
          <w:p w14:paraId="49724F54" w14:textId="77777777" w:rsidR="009021F1" w:rsidRPr="0078539E" w:rsidRDefault="009021F1" w:rsidP="00E637E3">
            <w:pPr>
              <w:spacing w:line="240" w:lineRule="auto"/>
              <w:jc w:val="left"/>
              <w:rPr>
                <w:rFonts w:cs="Arial"/>
                <w:color w:val="000000"/>
                <w:sz w:val="20"/>
                <w:szCs w:val="20"/>
              </w:rPr>
            </w:pPr>
            <w:r w:rsidRPr="0078539E">
              <w:rPr>
                <w:rFonts w:cs="Arial"/>
                <w:color w:val="000000"/>
                <w:sz w:val="20"/>
                <w:szCs w:val="20"/>
              </w:rPr>
              <w:t xml:space="preserve">Dotation des intrants agricoles </w:t>
            </w:r>
          </w:p>
        </w:tc>
        <w:tc>
          <w:tcPr>
            <w:tcW w:w="2004" w:type="dxa"/>
            <w:shd w:val="clear" w:color="auto" w:fill="auto"/>
            <w:vAlign w:val="center"/>
            <w:hideMark/>
          </w:tcPr>
          <w:p w14:paraId="415A356A" w14:textId="77777777" w:rsidR="009021F1" w:rsidRPr="0078539E" w:rsidRDefault="009021F1" w:rsidP="00E637E3">
            <w:pPr>
              <w:spacing w:line="240" w:lineRule="auto"/>
              <w:jc w:val="center"/>
              <w:rPr>
                <w:rFonts w:cs="Arial"/>
                <w:color w:val="000000"/>
                <w:sz w:val="20"/>
                <w:szCs w:val="20"/>
              </w:rPr>
            </w:pPr>
            <w:r w:rsidRPr="0078539E">
              <w:rPr>
                <w:rFonts w:cs="Arial"/>
                <w:color w:val="000000"/>
                <w:sz w:val="20"/>
                <w:szCs w:val="20"/>
              </w:rPr>
              <w:t>-</w:t>
            </w:r>
          </w:p>
        </w:tc>
        <w:tc>
          <w:tcPr>
            <w:tcW w:w="1882" w:type="dxa"/>
            <w:shd w:val="clear" w:color="auto" w:fill="auto"/>
            <w:vAlign w:val="center"/>
            <w:hideMark/>
          </w:tcPr>
          <w:p w14:paraId="3CBFEC90" w14:textId="77777777" w:rsidR="009021F1" w:rsidRPr="0078539E" w:rsidRDefault="009021F1" w:rsidP="00E637E3">
            <w:pPr>
              <w:spacing w:line="240" w:lineRule="auto"/>
              <w:jc w:val="right"/>
              <w:rPr>
                <w:rFonts w:cs="Arial"/>
                <w:color w:val="000000"/>
                <w:sz w:val="20"/>
                <w:szCs w:val="20"/>
              </w:rPr>
            </w:pPr>
            <w:r w:rsidRPr="0078539E">
              <w:rPr>
                <w:rFonts w:cs="Arial"/>
                <w:color w:val="000000"/>
                <w:sz w:val="20"/>
                <w:szCs w:val="20"/>
              </w:rPr>
              <w:t>PM</w:t>
            </w:r>
          </w:p>
        </w:tc>
        <w:tc>
          <w:tcPr>
            <w:tcW w:w="1759" w:type="dxa"/>
            <w:shd w:val="clear" w:color="auto" w:fill="auto"/>
            <w:vAlign w:val="center"/>
            <w:hideMark/>
          </w:tcPr>
          <w:p w14:paraId="29E32DF9" w14:textId="77777777" w:rsidR="009021F1" w:rsidRPr="0078539E" w:rsidRDefault="009021F1" w:rsidP="00E637E3">
            <w:pPr>
              <w:spacing w:line="240" w:lineRule="auto"/>
              <w:jc w:val="right"/>
              <w:rPr>
                <w:rFonts w:cs="Arial"/>
                <w:color w:val="000000"/>
                <w:sz w:val="20"/>
                <w:szCs w:val="20"/>
              </w:rPr>
            </w:pPr>
            <w:r w:rsidRPr="0078539E">
              <w:rPr>
                <w:rFonts w:cs="Arial"/>
                <w:color w:val="000000"/>
                <w:sz w:val="20"/>
                <w:szCs w:val="20"/>
              </w:rPr>
              <w:t>0</w:t>
            </w:r>
          </w:p>
        </w:tc>
      </w:tr>
      <w:tr w:rsidR="009021F1" w:rsidRPr="002A1EE6" w14:paraId="54A71DEE" w14:textId="77777777" w:rsidTr="00E637E3">
        <w:trPr>
          <w:trHeight w:val="319"/>
        </w:trPr>
        <w:tc>
          <w:tcPr>
            <w:tcW w:w="3666" w:type="dxa"/>
            <w:shd w:val="clear" w:color="auto" w:fill="auto"/>
            <w:vAlign w:val="center"/>
            <w:hideMark/>
          </w:tcPr>
          <w:p w14:paraId="1D6F88EC" w14:textId="77777777" w:rsidR="009021F1" w:rsidRPr="0078539E" w:rsidRDefault="009021F1" w:rsidP="00E637E3">
            <w:pPr>
              <w:spacing w:line="240" w:lineRule="auto"/>
              <w:jc w:val="left"/>
              <w:rPr>
                <w:rFonts w:cs="Arial"/>
                <w:color w:val="000000"/>
                <w:sz w:val="20"/>
                <w:szCs w:val="20"/>
              </w:rPr>
            </w:pPr>
            <w:r w:rsidRPr="0078539E">
              <w:rPr>
                <w:rFonts w:cs="Arial"/>
                <w:color w:val="000000"/>
                <w:sz w:val="20"/>
                <w:szCs w:val="20"/>
              </w:rPr>
              <w:t>Dotation des semences agricoles</w:t>
            </w:r>
          </w:p>
        </w:tc>
        <w:tc>
          <w:tcPr>
            <w:tcW w:w="2004" w:type="dxa"/>
            <w:shd w:val="clear" w:color="auto" w:fill="auto"/>
            <w:vAlign w:val="center"/>
            <w:hideMark/>
          </w:tcPr>
          <w:p w14:paraId="5AE480B4" w14:textId="77777777" w:rsidR="009021F1" w:rsidRPr="0078539E" w:rsidRDefault="009021F1" w:rsidP="00E637E3">
            <w:pPr>
              <w:spacing w:line="240" w:lineRule="auto"/>
              <w:jc w:val="center"/>
              <w:rPr>
                <w:rFonts w:cs="Arial"/>
                <w:color w:val="000000"/>
                <w:sz w:val="20"/>
                <w:szCs w:val="20"/>
              </w:rPr>
            </w:pPr>
            <w:r w:rsidRPr="0078539E">
              <w:rPr>
                <w:rFonts w:cs="Arial"/>
                <w:color w:val="000000"/>
                <w:sz w:val="20"/>
                <w:szCs w:val="20"/>
              </w:rPr>
              <w:t> </w:t>
            </w:r>
          </w:p>
        </w:tc>
        <w:tc>
          <w:tcPr>
            <w:tcW w:w="1882" w:type="dxa"/>
            <w:shd w:val="clear" w:color="auto" w:fill="auto"/>
            <w:vAlign w:val="center"/>
            <w:hideMark/>
          </w:tcPr>
          <w:p w14:paraId="0B2A515C" w14:textId="77777777" w:rsidR="009021F1" w:rsidRPr="0078539E" w:rsidRDefault="009021F1" w:rsidP="00E637E3">
            <w:pPr>
              <w:spacing w:line="240" w:lineRule="auto"/>
              <w:jc w:val="right"/>
              <w:rPr>
                <w:rFonts w:cs="Arial"/>
                <w:color w:val="000000"/>
                <w:sz w:val="20"/>
                <w:szCs w:val="20"/>
              </w:rPr>
            </w:pPr>
            <w:r w:rsidRPr="0078539E">
              <w:rPr>
                <w:rFonts w:cs="Arial"/>
                <w:color w:val="000000"/>
                <w:sz w:val="20"/>
                <w:szCs w:val="20"/>
              </w:rPr>
              <w:t>PM</w:t>
            </w:r>
          </w:p>
        </w:tc>
        <w:tc>
          <w:tcPr>
            <w:tcW w:w="1759" w:type="dxa"/>
            <w:shd w:val="clear" w:color="auto" w:fill="auto"/>
            <w:vAlign w:val="center"/>
            <w:hideMark/>
          </w:tcPr>
          <w:p w14:paraId="717FF356" w14:textId="77777777" w:rsidR="009021F1" w:rsidRPr="0078539E" w:rsidRDefault="009021F1" w:rsidP="00E637E3">
            <w:pPr>
              <w:spacing w:line="240" w:lineRule="auto"/>
              <w:jc w:val="right"/>
              <w:rPr>
                <w:rFonts w:cs="Arial"/>
                <w:color w:val="000000"/>
                <w:sz w:val="20"/>
                <w:szCs w:val="20"/>
              </w:rPr>
            </w:pPr>
            <w:r w:rsidRPr="0078539E">
              <w:rPr>
                <w:rFonts w:cs="Arial"/>
                <w:color w:val="000000"/>
                <w:sz w:val="20"/>
                <w:szCs w:val="20"/>
              </w:rPr>
              <w:t>0</w:t>
            </w:r>
          </w:p>
        </w:tc>
      </w:tr>
      <w:tr w:rsidR="009021F1" w:rsidRPr="002A1EE6" w14:paraId="1010532C" w14:textId="77777777" w:rsidTr="00E637E3">
        <w:trPr>
          <w:trHeight w:val="383"/>
        </w:trPr>
        <w:tc>
          <w:tcPr>
            <w:tcW w:w="3666" w:type="dxa"/>
            <w:shd w:val="clear" w:color="auto" w:fill="auto"/>
            <w:vAlign w:val="center"/>
            <w:hideMark/>
          </w:tcPr>
          <w:p w14:paraId="2A341EAF" w14:textId="77777777" w:rsidR="009021F1" w:rsidRPr="0078539E" w:rsidRDefault="009021F1" w:rsidP="00E637E3">
            <w:pPr>
              <w:spacing w:line="240" w:lineRule="auto"/>
              <w:jc w:val="left"/>
              <w:rPr>
                <w:rFonts w:cs="Arial"/>
                <w:color w:val="000000"/>
                <w:sz w:val="20"/>
                <w:szCs w:val="20"/>
              </w:rPr>
            </w:pPr>
            <w:r w:rsidRPr="0078539E">
              <w:rPr>
                <w:rFonts w:cs="Arial"/>
                <w:bCs/>
                <w:color w:val="000000"/>
                <w:sz w:val="20"/>
                <w:szCs w:val="20"/>
              </w:rPr>
              <w:t xml:space="preserve">Formation gestion environnementale et social </w:t>
            </w:r>
          </w:p>
        </w:tc>
        <w:tc>
          <w:tcPr>
            <w:tcW w:w="2004" w:type="dxa"/>
            <w:shd w:val="clear" w:color="auto" w:fill="auto"/>
            <w:vAlign w:val="center"/>
            <w:hideMark/>
          </w:tcPr>
          <w:p w14:paraId="2C89F6A4" w14:textId="77777777" w:rsidR="009021F1" w:rsidRPr="0078539E" w:rsidRDefault="009021F1" w:rsidP="00E637E3">
            <w:pPr>
              <w:spacing w:line="240" w:lineRule="auto"/>
              <w:jc w:val="center"/>
              <w:rPr>
                <w:rFonts w:cs="Arial"/>
                <w:color w:val="000000"/>
                <w:sz w:val="20"/>
                <w:szCs w:val="20"/>
              </w:rPr>
            </w:pPr>
            <w:r w:rsidRPr="0078539E">
              <w:rPr>
                <w:rFonts w:cs="Arial"/>
                <w:color w:val="000000"/>
                <w:sz w:val="20"/>
                <w:szCs w:val="20"/>
              </w:rPr>
              <w:t>2</w:t>
            </w:r>
          </w:p>
        </w:tc>
        <w:tc>
          <w:tcPr>
            <w:tcW w:w="1882" w:type="dxa"/>
            <w:shd w:val="clear" w:color="auto" w:fill="auto"/>
            <w:vAlign w:val="center"/>
            <w:hideMark/>
          </w:tcPr>
          <w:p w14:paraId="43C7CDF7" w14:textId="77777777" w:rsidR="009021F1" w:rsidRPr="0078539E" w:rsidRDefault="009021F1" w:rsidP="00E637E3">
            <w:pPr>
              <w:spacing w:line="240" w:lineRule="auto"/>
              <w:jc w:val="right"/>
              <w:rPr>
                <w:rFonts w:cs="Arial"/>
                <w:color w:val="000000"/>
                <w:sz w:val="20"/>
                <w:szCs w:val="20"/>
              </w:rPr>
            </w:pPr>
            <w:r w:rsidRPr="0078539E">
              <w:rPr>
                <w:rFonts w:cs="Arial"/>
                <w:color w:val="000000"/>
                <w:sz w:val="20"/>
                <w:szCs w:val="20"/>
              </w:rPr>
              <w:t>50 000</w:t>
            </w:r>
          </w:p>
        </w:tc>
        <w:tc>
          <w:tcPr>
            <w:tcW w:w="1759" w:type="dxa"/>
            <w:shd w:val="clear" w:color="auto" w:fill="auto"/>
            <w:vAlign w:val="center"/>
            <w:hideMark/>
          </w:tcPr>
          <w:p w14:paraId="63355525" w14:textId="77777777" w:rsidR="009021F1" w:rsidRPr="0078539E" w:rsidRDefault="009021F1" w:rsidP="00E637E3">
            <w:pPr>
              <w:spacing w:line="240" w:lineRule="auto"/>
              <w:jc w:val="right"/>
              <w:rPr>
                <w:rFonts w:cs="Arial"/>
                <w:color w:val="000000"/>
                <w:sz w:val="20"/>
                <w:szCs w:val="20"/>
              </w:rPr>
            </w:pPr>
            <w:r w:rsidRPr="0078539E">
              <w:rPr>
                <w:rFonts w:cs="Arial"/>
                <w:color w:val="000000"/>
                <w:sz w:val="20"/>
                <w:szCs w:val="20"/>
              </w:rPr>
              <w:t>100 000</w:t>
            </w:r>
          </w:p>
        </w:tc>
      </w:tr>
      <w:tr w:rsidR="009021F1" w:rsidRPr="002A1EE6" w14:paraId="61AED991" w14:textId="77777777" w:rsidTr="00E637E3">
        <w:trPr>
          <w:trHeight w:val="150"/>
        </w:trPr>
        <w:tc>
          <w:tcPr>
            <w:tcW w:w="3666" w:type="dxa"/>
            <w:shd w:val="clear" w:color="auto" w:fill="auto"/>
            <w:vAlign w:val="center"/>
            <w:hideMark/>
          </w:tcPr>
          <w:p w14:paraId="5D537395" w14:textId="77777777" w:rsidR="009021F1" w:rsidRPr="0078539E" w:rsidRDefault="009021F1" w:rsidP="00E637E3">
            <w:pPr>
              <w:spacing w:line="240" w:lineRule="auto"/>
              <w:jc w:val="left"/>
              <w:rPr>
                <w:rFonts w:cs="Arial"/>
                <w:color w:val="000000"/>
                <w:sz w:val="20"/>
                <w:szCs w:val="20"/>
              </w:rPr>
            </w:pPr>
            <w:r w:rsidRPr="0078539E">
              <w:rPr>
                <w:rFonts w:cs="Arial"/>
                <w:color w:val="000000"/>
                <w:sz w:val="20"/>
                <w:szCs w:val="20"/>
              </w:rPr>
              <w:t>Plan d’action EAS/HS, y compris les procédures spécifiques du MGP pour les plaintes d’EAS/HS</w:t>
            </w:r>
          </w:p>
        </w:tc>
        <w:tc>
          <w:tcPr>
            <w:tcW w:w="2004" w:type="dxa"/>
            <w:shd w:val="clear" w:color="auto" w:fill="auto"/>
            <w:vAlign w:val="center"/>
            <w:hideMark/>
          </w:tcPr>
          <w:p w14:paraId="65860899" w14:textId="77777777" w:rsidR="009021F1" w:rsidRPr="0078539E" w:rsidRDefault="009021F1" w:rsidP="00E637E3">
            <w:pPr>
              <w:spacing w:line="240" w:lineRule="auto"/>
              <w:jc w:val="center"/>
              <w:rPr>
                <w:rFonts w:cs="Arial"/>
                <w:color w:val="000000"/>
                <w:sz w:val="20"/>
                <w:szCs w:val="20"/>
              </w:rPr>
            </w:pPr>
            <w:r w:rsidRPr="0078539E">
              <w:rPr>
                <w:rFonts w:cs="Arial"/>
                <w:color w:val="000000"/>
                <w:sz w:val="20"/>
                <w:szCs w:val="20"/>
              </w:rPr>
              <w:t>-</w:t>
            </w:r>
          </w:p>
        </w:tc>
        <w:tc>
          <w:tcPr>
            <w:tcW w:w="1882" w:type="dxa"/>
            <w:shd w:val="clear" w:color="auto" w:fill="auto"/>
            <w:vAlign w:val="center"/>
            <w:hideMark/>
          </w:tcPr>
          <w:p w14:paraId="6204BDE1" w14:textId="77777777" w:rsidR="009021F1" w:rsidRPr="0078539E" w:rsidRDefault="009021F1" w:rsidP="00E637E3">
            <w:pPr>
              <w:spacing w:line="240" w:lineRule="auto"/>
              <w:jc w:val="right"/>
              <w:rPr>
                <w:rFonts w:cs="Arial"/>
                <w:color w:val="000000"/>
                <w:sz w:val="20"/>
                <w:szCs w:val="20"/>
              </w:rPr>
            </w:pPr>
            <w:r w:rsidRPr="0078539E">
              <w:rPr>
                <w:rFonts w:cs="Arial"/>
                <w:color w:val="000000"/>
                <w:sz w:val="20"/>
                <w:szCs w:val="20"/>
              </w:rPr>
              <w:t> -</w:t>
            </w:r>
          </w:p>
        </w:tc>
        <w:tc>
          <w:tcPr>
            <w:tcW w:w="1759" w:type="dxa"/>
            <w:shd w:val="clear" w:color="auto" w:fill="auto"/>
            <w:vAlign w:val="center"/>
            <w:hideMark/>
          </w:tcPr>
          <w:p w14:paraId="6AF55AF2" w14:textId="77777777" w:rsidR="009021F1" w:rsidRPr="0078539E" w:rsidRDefault="009021F1" w:rsidP="00E637E3">
            <w:pPr>
              <w:spacing w:line="240" w:lineRule="auto"/>
              <w:jc w:val="right"/>
              <w:rPr>
                <w:rFonts w:cs="Arial"/>
                <w:color w:val="000000"/>
                <w:sz w:val="20"/>
                <w:szCs w:val="20"/>
              </w:rPr>
            </w:pPr>
            <w:r w:rsidRPr="0078539E">
              <w:rPr>
                <w:rFonts w:cs="Arial"/>
                <w:color w:val="000000"/>
                <w:sz w:val="20"/>
                <w:szCs w:val="20"/>
              </w:rPr>
              <w:t>7 530 000</w:t>
            </w:r>
          </w:p>
        </w:tc>
      </w:tr>
      <w:tr w:rsidR="009021F1" w:rsidRPr="002A1EE6" w14:paraId="7C87F229" w14:textId="77777777" w:rsidTr="00E637E3">
        <w:trPr>
          <w:trHeight w:val="231"/>
        </w:trPr>
        <w:tc>
          <w:tcPr>
            <w:tcW w:w="3666" w:type="dxa"/>
            <w:vMerge w:val="restart"/>
            <w:shd w:val="clear" w:color="auto" w:fill="auto"/>
            <w:vAlign w:val="center"/>
            <w:hideMark/>
          </w:tcPr>
          <w:p w14:paraId="0BDD7FFF" w14:textId="77777777" w:rsidR="009021F1" w:rsidRPr="0078539E" w:rsidRDefault="009021F1" w:rsidP="00E637E3">
            <w:pPr>
              <w:spacing w:line="240" w:lineRule="auto"/>
              <w:jc w:val="left"/>
              <w:rPr>
                <w:rFonts w:cs="Arial"/>
                <w:color w:val="000000"/>
                <w:sz w:val="20"/>
                <w:szCs w:val="20"/>
              </w:rPr>
            </w:pPr>
            <w:r w:rsidRPr="0078539E">
              <w:rPr>
                <w:rFonts w:cs="Arial"/>
                <w:bCs/>
                <w:color w:val="000000"/>
                <w:sz w:val="20"/>
                <w:szCs w:val="20"/>
              </w:rPr>
              <w:t>Suivi/évaluation à mi-parcours et finale du CGES du PNDA et Audits</w:t>
            </w:r>
          </w:p>
        </w:tc>
        <w:tc>
          <w:tcPr>
            <w:tcW w:w="2004" w:type="dxa"/>
            <w:shd w:val="clear" w:color="auto" w:fill="auto"/>
            <w:vAlign w:val="center"/>
            <w:hideMark/>
          </w:tcPr>
          <w:p w14:paraId="4B8417D4" w14:textId="77777777" w:rsidR="009021F1" w:rsidRPr="0078539E" w:rsidRDefault="009021F1" w:rsidP="00E637E3">
            <w:pPr>
              <w:spacing w:line="240" w:lineRule="auto"/>
              <w:jc w:val="center"/>
              <w:rPr>
                <w:rFonts w:cs="Arial"/>
                <w:color w:val="000000"/>
                <w:sz w:val="20"/>
                <w:szCs w:val="20"/>
              </w:rPr>
            </w:pPr>
            <w:r w:rsidRPr="0078539E">
              <w:rPr>
                <w:rFonts w:cs="Arial"/>
                <w:color w:val="000000"/>
                <w:sz w:val="20"/>
                <w:szCs w:val="20"/>
              </w:rPr>
              <w:t>10</w:t>
            </w:r>
          </w:p>
        </w:tc>
        <w:tc>
          <w:tcPr>
            <w:tcW w:w="1882" w:type="dxa"/>
            <w:shd w:val="clear" w:color="auto" w:fill="auto"/>
            <w:vAlign w:val="center"/>
            <w:hideMark/>
          </w:tcPr>
          <w:p w14:paraId="2592F0B7" w14:textId="77777777" w:rsidR="009021F1" w:rsidRPr="0078539E" w:rsidRDefault="009021F1" w:rsidP="00E637E3">
            <w:pPr>
              <w:spacing w:line="240" w:lineRule="auto"/>
              <w:jc w:val="right"/>
              <w:rPr>
                <w:rFonts w:cs="Arial"/>
                <w:color w:val="000000"/>
                <w:sz w:val="20"/>
                <w:szCs w:val="20"/>
              </w:rPr>
            </w:pPr>
            <w:r w:rsidRPr="0078539E">
              <w:rPr>
                <w:rFonts w:cs="Arial"/>
                <w:color w:val="000000"/>
                <w:sz w:val="20"/>
                <w:szCs w:val="20"/>
              </w:rPr>
              <w:t>30 000</w:t>
            </w:r>
          </w:p>
        </w:tc>
        <w:tc>
          <w:tcPr>
            <w:tcW w:w="1759" w:type="dxa"/>
            <w:shd w:val="clear" w:color="auto" w:fill="auto"/>
            <w:vAlign w:val="center"/>
            <w:hideMark/>
          </w:tcPr>
          <w:p w14:paraId="11296803" w14:textId="77777777" w:rsidR="009021F1" w:rsidRPr="0078539E" w:rsidRDefault="009021F1" w:rsidP="00E637E3">
            <w:pPr>
              <w:spacing w:line="240" w:lineRule="auto"/>
              <w:jc w:val="right"/>
              <w:rPr>
                <w:rFonts w:cs="Arial"/>
                <w:color w:val="000000"/>
                <w:sz w:val="20"/>
                <w:szCs w:val="20"/>
              </w:rPr>
            </w:pPr>
            <w:r w:rsidRPr="0078539E">
              <w:rPr>
                <w:rFonts w:cs="Arial"/>
                <w:color w:val="000000"/>
                <w:sz w:val="20"/>
                <w:szCs w:val="20"/>
              </w:rPr>
              <w:t>300 000</w:t>
            </w:r>
          </w:p>
        </w:tc>
      </w:tr>
      <w:tr w:rsidR="009021F1" w:rsidRPr="002A1EE6" w14:paraId="0BBF38E8" w14:textId="77777777" w:rsidTr="00E637E3">
        <w:trPr>
          <w:trHeight w:val="174"/>
        </w:trPr>
        <w:tc>
          <w:tcPr>
            <w:tcW w:w="3666" w:type="dxa"/>
            <w:vMerge/>
            <w:vAlign w:val="center"/>
            <w:hideMark/>
          </w:tcPr>
          <w:p w14:paraId="0661FC25" w14:textId="77777777" w:rsidR="009021F1" w:rsidRPr="0078539E" w:rsidRDefault="009021F1" w:rsidP="00E637E3">
            <w:pPr>
              <w:spacing w:line="240" w:lineRule="auto"/>
              <w:jc w:val="left"/>
              <w:rPr>
                <w:rFonts w:cs="Arial"/>
                <w:color w:val="000000"/>
                <w:sz w:val="20"/>
                <w:szCs w:val="20"/>
              </w:rPr>
            </w:pPr>
          </w:p>
        </w:tc>
        <w:tc>
          <w:tcPr>
            <w:tcW w:w="2004" w:type="dxa"/>
            <w:shd w:val="clear" w:color="auto" w:fill="auto"/>
            <w:vAlign w:val="center"/>
            <w:hideMark/>
          </w:tcPr>
          <w:p w14:paraId="7812C49F" w14:textId="77777777" w:rsidR="009021F1" w:rsidRPr="0078539E" w:rsidRDefault="009021F1" w:rsidP="00E637E3">
            <w:pPr>
              <w:spacing w:line="240" w:lineRule="auto"/>
              <w:jc w:val="center"/>
              <w:rPr>
                <w:rFonts w:cs="Arial"/>
                <w:color w:val="000000"/>
                <w:sz w:val="20"/>
                <w:szCs w:val="20"/>
              </w:rPr>
            </w:pPr>
            <w:r w:rsidRPr="0078539E">
              <w:rPr>
                <w:rFonts w:cs="Arial"/>
                <w:color w:val="000000"/>
                <w:sz w:val="20"/>
                <w:szCs w:val="20"/>
              </w:rPr>
              <w:t>10</w:t>
            </w:r>
          </w:p>
        </w:tc>
        <w:tc>
          <w:tcPr>
            <w:tcW w:w="1882" w:type="dxa"/>
            <w:shd w:val="clear" w:color="auto" w:fill="auto"/>
            <w:vAlign w:val="center"/>
            <w:hideMark/>
          </w:tcPr>
          <w:p w14:paraId="030DF5E9" w14:textId="77777777" w:rsidR="009021F1" w:rsidRPr="0078539E" w:rsidRDefault="009021F1" w:rsidP="00E637E3">
            <w:pPr>
              <w:spacing w:line="240" w:lineRule="auto"/>
              <w:jc w:val="right"/>
              <w:rPr>
                <w:rFonts w:cs="Arial"/>
                <w:color w:val="000000"/>
                <w:sz w:val="20"/>
                <w:szCs w:val="20"/>
              </w:rPr>
            </w:pPr>
            <w:r w:rsidRPr="0078539E">
              <w:rPr>
                <w:rFonts w:cs="Arial"/>
                <w:color w:val="000000"/>
                <w:sz w:val="20"/>
                <w:szCs w:val="20"/>
              </w:rPr>
              <w:t>30 000</w:t>
            </w:r>
          </w:p>
        </w:tc>
        <w:tc>
          <w:tcPr>
            <w:tcW w:w="1759" w:type="dxa"/>
            <w:shd w:val="clear" w:color="auto" w:fill="auto"/>
            <w:vAlign w:val="center"/>
            <w:hideMark/>
          </w:tcPr>
          <w:p w14:paraId="499F9FB8" w14:textId="77777777" w:rsidR="009021F1" w:rsidRPr="0078539E" w:rsidRDefault="009021F1" w:rsidP="00E637E3">
            <w:pPr>
              <w:spacing w:line="240" w:lineRule="auto"/>
              <w:jc w:val="right"/>
              <w:rPr>
                <w:rFonts w:cs="Arial"/>
                <w:color w:val="000000"/>
                <w:sz w:val="20"/>
                <w:szCs w:val="20"/>
              </w:rPr>
            </w:pPr>
            <w:r w:rsidRPr="0078539E">
              <w:rPr>
                <w:rFonts w:cs="Arial"/>
                <w:color w:val="000000"/>
                <w:sz w:val="20"/>
                <w:szCs w:val="20"/>
              </w:rPr>
              <w:t>300 000</w:t>
            </w:r>
          </w:p>
        </w:tc>
      </w:tr>
      <w:tr w:rsidR="009021F1" w:rsidRPr="002A1EE6" w14:paraId="43826764" w14:textId="77777777" w:rsidTr="00E637E3">
        <w:trPr>
          <w:trHeight w:val="349"/>
        </w:trPr>
        <w:tc>
          <w:tcPr>
            <w:tcW w:w="7552" w:type="dxa"/>
            <w:gridSpan w:val="3"/>
            <w:shd w:val="clear" w:color="auto" w:fill="auto"/>
            <w:vAlign w:val="center"/>
            <w:hideMark/>
          </w:tcPr>
          <w:p w14:paraId="41F6C558" w14:textId="77777777" w:rsidR="009021F1" w:rsidRPr="0078539E" w:rsidRDefault="009021F1" w:rsidP="00E637E3">
            <w:pPr>
              <w:spacing w:line="240" w:lineRule="auto"/>
              <w:jc w:val="left"/>
              <w:rPr>
                <w:rFonts w:cs="Arial"/>
                <w:color w:val="000000"/>
                <w:sz w:val="20"/>
                <w:szCs w:val="20"/>
              </w:rPr>
            </w:pPr>
            <w:r w:rsidRPr="0078539E">
              <w:rPr>
                <w:rFonts w:cs="Arial"/>
                <w:bCs/>
                <w:color w:val="000000"/>
                <w:sz w:val="20"/>
                <w:szCs w:val="20"/>
              </w:rPr>
              <w:t>TOTAL</w:t>
            </w:r>
          </w:p>
        </w:tc>
        <w:tc>
          <w:tcPr>
            <w:tcW w:w="1759" w:type="dxa"/>
            <w:shd w:val="clear" w:color="auto" w:fill="auto"/>
            <w:vAlign w:val="bottom"/>
            <w:hideMark/>
          </w:tcPr>
          <w:p w14:paraId="32FD8920" w14:textId="77777777" w:rsidR="009021F1" w:rsidRPr="0078539E" w:rsidRDefault="009021F1" w:rsidP="00E637E3">
            <w:pPr>
              <w:spacing w:line="240" w:lineRule="auto"/>
              <w:jc w:val="right"/>
              <w:rPr>
                <w:rFonts w:cs="Arial"/>
                <w:color w:val="000000"/>
                <w:sz w:val="20"/>
                <w:szCs w:val="20"/>
              </w:rPr>
            </w:pPr>
            <w:r w:rsidRPr="0078539E">
              <w:rPr>
                <w:rFonts w:cs="Arial"/>
                <w:color w:val="000000"/>
                <w:sz w:val="20"/>
                <w:szCs w:val="20"/>
              </w:rPr>
              <w:t>14 446 300</w:t>
            </w:r>
          </w:p>
        </w:tc>
      </w:tr>
      <w:tr w:rsidR="009021F1" w:rsidRPr="002A1EE6" w14:paraId="1EC93203" w14:textId="77777777" w:rsidTr="00E637E3">
        <w:trPr>
          <w:trHeight w:val="283"/>
        </w:trPr>
        <w:tc>
          <w:tcPr>
            <w:tcW w:w="3666" w:type="dxa"/>
            <w:shd w:val="clear" w:color="auto" w:fill="auto"/>
            <w:vAlign w:val="center"/>
            <w:hideMark/>
          </w:tcPr>
          <w:p w14:paraId="7CC54E34" w14:textId="77777777" w:rsidR="009021F1" w:rsidRPr="0078539E" w:rsidRDefault="009021F1" w:rsidP="00E637E3">
            <w:pPr>
              <w:spacing w:line="240" w:lineRule="auto"/>
              <w:jc w:val="left"/>
              <w:rPr>
                <w:rFonts w:cs="Arial"/>
                <w:color w:val="000000"/>
                <w:sz w:val="20"/>
                <w:szCs w:val="20"/>
              </w:rPr>
            </w:pPr>
            <w:r w:rsidRPr="0078539E">
              <w:rPr>
                <w:rFonts w:cs="Arial"/>
                <w:bCs/>
                <w:color w:val="000000"/>
                <w:sz w:val="20"/>
                <w:szCs w:val="20"/>
              </w:rPr>
              <w:t>Imprévus et divers (5 %)</w:t>
            </w:r>
          </w:p>
        </w:tc>
        <w:tc>
          <w:tcPr>
            <w:tcW w:w="2004" w:type="dxa"/>
            <w:shd w:val="clear" w:color="auto" w:fill="auto"/>
            <w:vAlign w:val="center"/>
            <w:hideMark/>
          </w:tcPr>
          <w:p w14:paraId="385609CB" w14:textId="77777777" w:rsidR="009021F1" w:rsidRPr="0078539E" w:rsidRDefault="009021F1" w:rsidP="00E637E3">
            <w:pPr>
              <w:spacing w:line="240" w:lineRule="auto"/>
              <w:jc w:val="center"/>
              <w:rPr>
                <w:rFonts w:cs="Arial"/>
                <w:color w:val="000000"/>
                <w:sz w:val="20"/>
                <w:szCs w:val="20"/>
              </w:rPr>
            </w:pPr>
            <w:r w:rsidRPr="0078539E">
              <w:rPr>
                <w:rFonts w:cs="Arial"/>
                <w:color w:val="000000"/>
                <w:sz w:val="20"/>
                <w:szCs w:val="20"/>
              </w:rPr>
              <w:t>0,05</w:t>
            </w:r>
          </w:p>
        </w:tc>
        <w:tc>
          <w:tcPr>
            <w:tcW w:w="1882" w:type="dxa"/>
            <w:shd w:val="clear" w:color="auto" w:fill="auto"/>
            <w:vAlign w:val="center"/>
            <w:hideMark/>
          </w:tcPr>
          <w:p w14:paraId="57C26F9C" w14:textId="77777777" w:rsidR="009021F1" w:rsidRPr="0078539E" w:rsidRDefault="009021F1" w:rsidP="00E637E3">
            <w:pPr>
              <w:spacing w:line="240" w:lineRule="auto"/>
              <w:jc w:val="right"/>
              <w:rPr>
                <w:rFonts w:cs="Arial"/>
                <w:color w:val="000000"/>
                <w:sz w:val="20"/>
                <w:szCs w:val="20"/>
              </w:rPr>
            </w:pPr>
            <w:r w:rsidRPr="0078539E">
              <w:rPr>
                <w:rFonts w:cs="Arial"/>
                <w:color w:val="000000"/>
                <w:sz w:val="20"/>
                <w:szCs w:val="20"/>
              </w:rPr>
              <w:t> </w:t>
            </w:r>
          </w:p>
        </w:tc>
        <w:tc>
          <w:tcPr>
            <w:tcW w:w="1759" w:type="dxa"/>
            <w:shd w:val="clear" w:color="auto" w:fill="auto"/>
            <w:vAlign w:val="center"/>
            <w:hideMark/>
          </w:tcPr>
          <w:p w14:paraId="59409CB8" w14:textId="77777777" w:rsidR="009021F1" w:rsidRPr="0078539E" w:rsidRDefault="009021F1" w:rsidP="00E637E3">
            <w:pPr>
              <w:spacing w:line="240" w:lineRule="auto"/>
              <w:jc w:val="right"/>
              <w:rPr>
                <w:rFonts w:cs="Arial"/>
                <w:color w:val="000000"/>
                <w:sz w:val="20"/>
                <w:szCs w:val="20"/>
              </w:rPr>
            </w:pPr>
            <w:r w:rsidRPr="0078539E">
              <w:rPr>
                <w:rFonts w:cs="Arial"/>
                <w:color w:val="000000"/>
                <w:sz w:val="20"/>
                <w:szCs w:val="20"/>
              </w:rPr>
              <w:t xml:space="preserve"> 722 315</w:t>
            </w:r>
          </w:p>
        </w:tc>
      </w:tr>
      <w:tr w:rsidR="009021F1" w:rsidRPr="002A1EE6" w14:paraId="7262538D" w14:textId="77777777" w:rsidTr="00E637E3">
        <w:trPr>
          <w:trHeight w:val="401"/>
        </w:trPr>
        <w:tc>
          <w:tcPr>
            <w:tcW w:w="7552" w:type="dxa"/>
            <w:gridSpan w:val="3"/>
            <w:shd w:val="clear" w:color="auto" w:fill="auto"/>
            <w:vAlign w:val="center"/>
            <w:hideMark/>
          </w:tcPr>
          <w:p w14:paraId="27905789" w14:textId="77777777" w:rsidR="009021F1" w:rsidRPr="0078539E" w:rsidRDefault="009021F1" w:rsidP="00E637E3">
            <w:pPr>
              <w:spacing w:line="240" w:lineRule="auto"/>
              <w:jc w:val="center"/>
              <w:rPr>
                <w:rFonts w:cs="Arial"/>
                <w:color w:val="000000"/>
                <w:sz w:val="20"/>
                <w:szCs w:val="20"/>
              </w:rPr>
            </w:pPr>
            <w:r w:rsidRPr="0078539E">
              <w:rPr>
                <w:rFonts w:cs="Arial"/>
                <w:color w:val="000000"/>
                <w:sz w:val="20"/>
                <w:szCs w:val="20"/>
              </w:rPr>
              <w:t>GRAND TOTAL</w:t>
            </w:r>
          </w:p>
        </w:tc>
        <w:tc>
          <w:tcPr>
            <w:tcW w:w="1759" w:type="dxa"/>
            <w:shd w:val="clear" w:color="auto" w:fill="auto"/>
            <w:vAlign w:val="center"/>
            <w:hideMark/>
          </w:tcPr>
          <w:p w14:paraId="677AF051" w14:textId="77777777" w:rsidR="009021F1" w:rsidRPr="0078539E" w:rsidRDefault="009021F1" w:rsidP="00E637E3">
            <w:pPr>
              <w:spacing w:line="240" w:lineRule="auto"/>
              <w:jc w:val="right"/>
              <w:rPr>
                <w:rFonts w:cs="Arial"/>
                <w:color w:val="000000"/>
                <w:sz w:val="20"/>
                <w:szCs w:val="20"/>
              </w:rPr>
            </w:pPr>
            <w:r w:rsidRPr="0078539E">
              <w:rPr>
                <w:rFonts w:cs="Arial"/>
                <w:color w:val="000000"/>
                <w:sz w:val="20"/>
                <w:szCs w:val="20"/>
              </w:rPr>
              <w:t>18 657 330</w:t>
            </w:r>
          </w:p>
        </w:tc>
      </w:tr>
    </w:tbl>
    <w:p w14:paraId="412C394A" w14:textId="77777777" w:rsidR="009021F1" w:rsidRDefault="009021F1" w:rsidP="009021F1">
      <w:pPr>
        <w:rPr>
          <w:lang w:eastAsia="en-US"/>
        </w:rPr>
      </w:pPr>
    </w:p>
    <w:p w14:paraId="589EA978" w14:textId="77777777" w:rsidR="009021F1" w:rsidRDefault="009021F1" w:rsidP="009021F1">
      <w:pPr>
        <w:spacing w:line="240" w:lineRule="auto"/>
        <w:jc w:val="left"/>
        <w:rPr>
          <w:b/>
          <w:sz w:val="22"/>
          <w:lang w:bidi="fr-FR"/>
        </w:rPr>
      </w:pPr>
    </w:p>
    <w:p w14:paraId="59D83569" w14:textId="77777777" w:rsidR="009021F1" w:rsidRDefault="009021F1" w:rsidP="009021F1">
      <w:pPr>
        <w:spacing w:line="240" w:lineRule="auto"/>
        <w:jc w:val="left"/>
        <w:rPr>
          <w:b/>
          <w:sz w:val="22"/>
          <w:lang w:bidi="fr-FR"/>
        </w:rPr>
      </w:pPr>
    </w:p>
    <w:p w14:paraId="5685EEA9" w14:textId="77777777" w:rsidR="009021F1" w:rsidRDefault="009021F1" w:rsidP="009021F1">
      <w:pPr>
        <w:spacing w:line="240" w:lineRule="auto"/>
        <w:jc w:val="left"/>
        <w:rPr>
          <w:b/>
          <w:sz w:val="22"/>
          <w:lang w:bidi="fr-FR"/>
        </w:rPr>
      </w:pPr>
    </w:p>
    <w:p w14:paraId="6B21AA59" w14:textId="77777777" w:rsidR="009021F1" w:rsidRDefault="009021F1" w:rsidP="009021F1">
      <w:pPr>
        <w:spacing w:line="240" w:lineRule="auto"/>
        <w:jc w:val="left"/>
        <w:rPr>
          <w:b/>
          <w:sz w:val="22"/>
          <w:lang w:bidi="fr-FR"/>
        </w:rPr>
      </w:pPr>
    </w:p>
    <w:p w14:paraId="05911A30" w14:textId="77777777" w:rsidR="009021F1" w:rsidRDefault="009021F1" w:rsidP="009021F1">
      <w:pPr>
        <w:spacing w:line="240" w:lineRule="auto"/>
        <w:jc w:val="left"/>
        <w:rPr>
          <w:b/>
          <w:sz w:val="22"/>
          <w:lang w:bidi="fr-FR"/>
        </w:rPr>
      </w:pPr>
    </w:p>
    <w:p w14:paraId="2AA64EAC" w14:textId="77777777" w:rsidR="009021F1" w:rsidRDefault="009021F1" w:rsidP="009021F1">
      <w:pPr>
        <w:spacing w:line="240" w:lineRule="auto"/>
        <w:jc w:val="left"/>
        <w:rPr>
          <w:rFonts w:cs="Arial"/>
          <w:b/>
          <w:bCs/>
          <w:szCs w:val="21"/>
        </w:rPr>
      </w:pPr>
      <w:r>
        <w:rPr>
          <w:rFonts w:cs="Arial"/>
          <w:szCs w:val="21"/>
        </w:rPr>
        <w:br w:type="page"/>
      </w:r>
    </w:p>
    <w:p w14:paraId="4924EEE8" w14:textId="77777777" w:rsidR="009021F1" w:rsidRPr="00000E66" w:rsidRDefault="009021F1" w:rsidP="009021F1">
      <w:pPr>
        <w:pStyle w:val="Titre1"/>
        <w:numPr>
          <w:ilvl w:val="0"/>
          <w:numId w:val="4"/>
        </w:numPr>
        <w:ind w:left="567" w:hanging="283"/>
        <w:rPr>
          <w:rFonts w:cs="Arial"/>
          <w:szCs w:val="21"/>
        </w:rPr>
      </w:pPr>
      <w:bookmarkStart w:id="478" w:name="_Toc90471584"/>
      <w:r w:rsidRPr="00000E66">
        <w:rPr>
          <w:rFonts w:cs="Arial"/>
          <w:szCs w:val="21"/>
        </w:rPr>
        <w:t>CONCLUSION</w:t>
      </w:r>
      <w:bookmarkEnd w:id="478"/>
    </w:p>
    <w:p w14:paraId="28EE0CA1" w14:textId="77777777" w:rsidR="009021F1" w:rsidRPr="00000E66" w:rsidRDefault="009021F1" w:rsidP="009021F1">
      <w:pPr>
        <w:rPr>
          <w:szCs w:val="21"/>
          <w:lang w:bidi="fr-FR"/>
        </w:rPr>
      </w:pPr>
    </w:p>
    <w:p w14:paraId="4F6747DE" w14:textId="77777777" w:rsidR="009021F1" w:rsidRPr="00000E66" w:rsidRDefault="009021F1" w:rsidP="009021F1">
      <w:pPr>
        <w:rPr>
          <w:rFonts w:cs="Arial"/>
          <w:szCs w:val="21"/>
        </w:rPr>
      </w:pPr>
      <w:r w:rsidRPr="00000E66">
        <w:rPr>
          <w:rFonts w:cs="Arial"/>
          <w:szCs w:val="21"/>
        </w:rPr>
        <w:t>La réalisation des activités prévues dans le cadre du PNDA sont d’une grande utilité dans la mesure où elles vont permettre aux provinces bénéficiaires, d’améliorer leur production agricole, la pêche et l’élevage, la prise en compte de l’agriculture intelligente, de réhabiliter les pistes rurales et le balisage des rivières importantes pour faciliter l’évacuation des produits agricoles vers les centres de consommation, de construire les infrastructures communautaires de stockage et vente de produits agricoles, réduire la malnutrition et la sous-alimentation, de renforcer les capacités institutionnelles des acteurs tant étatiques de ceux de la société civile.</w:t>
      </w:r>
    </w:p>
    <w:p w14:paraId="483CDF26" w14:textId="77777777" w:rsidR="009021F1" w:rsidRPr="00000E66" w:rsidRDefault="009021F1" w:rsidP="009021F1">
      <w:pPr>
        <w:rPr>
          <w:szCs w:val="21"/>
          <w:lang w:bidi="fr-FR"/>
        </w:rPr>
      </w:pPr>
    </w:p>
    <w:p w14:paraId="624983ED" w14:textId="77777777" w:rsidR="009021F1" w:rsidRPr="00000E66" w:rsidRDefault="009021F1" w:rsidP="009021F1">
      <w:pPr>
        <w:rPr>
          <w:rFonts w:cs="Arial"/>
          <w:color w:val="000000"/>
          <w:szCs w:val="21"/>
        </w:rPr>
      </w:pPr>
      <w:r w:rsidRPr="00000E66">
        <w:rPr>
          <w:szCs w:val="21"/>
          <w:lang w:bidi="fr-FR"/>
        </w:rPr>
        <w:t xml:space="preserve">Les impacts positifs de la mise en œuvre du PNDA se manifesteront en termes de la </w:t>
      </w:r>
      <w:r w:rsidRPr="00000E66">
        <w:rPr>
          <w:rFonts w:cs="Arial"/>
          <w:color w:val="000000"/>
          <w:szCs w:val="21"/>
        </w:rPr>
        <w:t xml:space="preserve">création d'emplois temporaires et permanents dans les zones d’intervention notamment les </w:t>
      </w:r>
      <w:r w:rsidRPr="00000E66">
        <w:rPr>
          <w:color w:val="000000"/>
          <w:szCs w:val="21"/>
        </w:rPr>
        <w:t xml:space="preserve">travaux à Haute Intensité de Main-d’œuvre </w:t>
      </w:r>
      <w:r w:rsidRPr="00000E66">
        <w:rPr>
          <w:rFonts w:cs="Arial"/>
          <w:color w:val="000000"/>
          <w:szCs w:val="21"/>
        </w:rPr>
        <w:t>(</w:t>
      </w:r>
      <w:r w:rsidRPr="00000E66">
        <w:rPr>
          <w:color w:val="000000"/>
          <w:szCs w:val="21"/>
        </w:rPr>
        <w:t>HIMO) dans la réduction de la pauvreté, avec un quota de 30 % réservé aux femmes et jeunes filles majeures, l’a</w:t>
      </w:r>
      <w:r w:rsidRPr="00000E66">
        <w:rPr>
          <w:rFonts w:cs="Arial"/>
          <w:color w:val="000000"/>
          <w:szCs w:val="21"/>
        </w:rPr>
        <w:t>ccroissement de la productivité et de la production agricoles, augmentation des revenus des petits exploitants et attirer davantage d’emplois dans le secteur agricole, amélioration de la sécurité alimentaires, la bonne circulation des navires suite aux travaux de balisage, l’évacuation des produits agricoles vers les centres de consommation suite aux travaux de réhabilitation des pistes rurales, la commercialisation des produits agricoles suite à la construction des marchés, dépôts, abattoirs, développement économique agricole suite au financement des petits exploitants agricoles par des IF, etc.</w:t>
      </w:r>
    </w:p>
    <w:p w14:paraId="3957141C" w14:textId="77777777" w:rsidR="009021F1" w:rsidRPr="00000E66" w:rsidRDefault="009021F1" w:rsidP="009021F1">
      <w:pPr>
        <w:rPr>
          <w:szCs w:val="21"/>
          <w:lang w:bidi="fr-FR"/>
        </w:rPr>
      </w:pPr>
    </w:p>
    <w:p w14:paraId="5CAB370F" w14:textId="77777777" w:rsidR="009021F1" w:rsidRPr="00000E66" w:rsidRDefault="009021F1" w:rsidP="009021F1">
      <w:pPr>
        <w:rPr>
          <w:rFonts w:eastAsia="MS Mincho" w:cs="Arial"/>
          <w:szCs w:val="21"/>
        </w:rPr>
      </w:pPr>
      <w:r w:rsidRPr="00000E66">
        <w:rPr>
          <w:szCs w:val="21"/>
          <w:lang w:bidi="fr-FR"/>
        </w:rPr>
        <w:t xml:space="preserve">Quant aux risques et impacts négatifs potentiels, ils se résument principalement aux </w:t>
      </w:r>
      <w:r w:rsidRPr="00000E66">
        <w:rPr>
          <w:rFonts w:eastAsia="MS Mincho" w:cs="Arial"/>
          <w:szCs w:val="21"/>
        </w:rPr>
        <w:t>Pollutions du milieu (eaux et sols) par les déchets solides (déblais, démolition, huiles, filtres, batteries, plastics, déchets inertes, etc.), pollution sonore par le bruit des engins, dégradation du milieu par le dépôt des produits de démolition et de chantier, érosion et pollution des sols, pollution de l’air (envol de poussière), pertes de terre, de biens et de sources de revenus et risques de déplacement physique, risques de conflits sociaux en cas de non utilisation de la main-d’œuvre locale, risque de distribution inégale des intrants et semences ou aides directes aux petits exploitants agricoles, risques de conflits sociaux suite au développement des périmètres agricoles, risque des travaux des enfants de moins de 18 ans sur les chantiers, risque d’utilisation des forces de sécurités publiques pour la sécurisation des sites (insécurité dans la Province du Nord-Kivu), perturbation des activités socioéconomiques lors des travaux, risque de discrimination contre des femmes lors du recrutement du personnel, risque d’accident au cours des travaux (personnel et population), risques de dommages sur les autres infrastructures de réseau, risques d’exacerber les VBG, y compris l’EAS et le HS, dans la zone d’intervention du Projet suite au brassage des populations et à l’afflux de la main-d’œuvre allochtone, risque de contamination des IST et VIH/SIDA, risque de propagation et contamination de la COVID-19, pour les bénéficiaires ou d’autres parties prenantes, etc.</w:t>
      </w:r>
    </w:p>
    <w:p w14:paraId="2F6C1FD4" w14:textId="77777777" w:rsidR="009021F1" w:rsidRPr="00000E66" w:rsidRDefault="009021F1" w:rsidP="009021F1">
      <w:pPr>
        <w:rPr>
          <w:szCs w:val="21"/>
          <w:lang w:bidi="fr-FR"/>
        </w:rPr>
      </w:pPr>
    </w:p>
    <w:p w14:paraId="620DD8A3" w14:textId="77777777" w:rsidR="009021F1" w:rsidRPr="00000E66" w:rsidRDefault="009021F1" w:rsidP="009021F1">
      <w:pPr>
        <w:rPr>
          <w:szCs w:val="21"/>
          <w:lang w:bidi="fr-FR"/>
        </w:rPr>
      </w:pPr>
      <w:r w:rsidRPr="00000E66">
        <w:rPr>
          <w:szCs w:val="21"/>
          <w:lang w:bidi="fr-FR"/>
        </w:rPr>
        <w:t>La pertinence de la NES n°1 de la Banque mondiale, et des politiques et lois nationales en matière environnementale et sociale, a rendu nécessaire le présent CGES assorti d</w:t>
      </w:r>
      <w:r w:rsidRPr="00000E66">
        <w:rPr>
          <w:rFonts w:cs="Arial"/>
          <w:szCs w:val="21"/>
        </w:rPr>
        <w:t xml:space="preserve">es PGRIES </w:t>
      </w:r>
      <w:r w:rsidRPr="00000E66">
        <w:rPr>
          <w:szCs w:val="21"/>
          <w:lang w:bidi="fr-FR"/>
        </w:rPr>
        <w:t xml:space="preserve"> destiné à prendre en charge les impacts négatifs induits par le PNDA sur l’environnement et les populations ; toutes choses qui contribueront à minimiser les impacts négatifs liés à la mise en œuvre des activités du projet et à bonifier les impacts positifs y relatifs. </w:t>
      </w:r>
    </w:p>
    <w:p w14:paraId="483CD023" w14:textId="77777777" w:rsidR="009021F1" w:rsidRPr="00000E66" w:rsidRDefault="009021F1" w:rsidP="009021F1">
      <w:pPr>
        <w:rPr>
          <w:szCs w:val="21"/>
          <w:lang w:bidi="fr-FR"/>
        </w:rPr>
      </w:pPr>
    </w:p>
    <w:p w14:paraId="6009B045" w14:textId="77777777" w:rsidR="009021F1" w:rsidRPr="00000E66" w:rsidRDefault="009021F1" w:rsidP="009021F1">
      <w:pPr>
        <w:rPr>
          <w:szCs w:val="21"/>
          <w:lang w:bidi="fr-FR"/>
        </w:rPr>
      </w:pPr>
      <w:r w:rsidRPr="00000E66">
        <w:rPr>
          <w:szCs w:val="21"/>
          <w:lang w:bidi="fr-FR"/>
        </w:rPr>
        <w:t xml:space="preserve">Ces </w:t>
      </w:r>
      <w:r w:rsidRPr="00000E66">
        <w:rPr>
          <w:rFonts w:cs="Arial"/>
          <w:szCs w:val="21"/>
        </w:rPr>
        <w:t>PGRIES</w:t>
      </w:r>
      <w:r w:rsidRPr="00000E66" w:rsidDel="006B658C">
        <w:rPr>
          <w:szCs w:val="21"/>
          <w:lang w:bidi="fr-FR"/>
        </w:rPr>
        <w:t xml:space="preserve"> </w:t>
      </w:r>
      <w:r w:rsidRPr="00000E66">
        <w:rPr>
          <w:szCs w:val="21"/>
          <w:lang w:bidi="fr-FR"/>
        </w:rPr>
        <w:t xml:space="preserve">inclut les éléments clés de la gestion environnementale et sociale, de mise en œuvre et de suivi des mesures, les responsabilités institutionnelles et le budget. Les </w:t>
      </w:r>
      <w:r w:rsidRPr="00000E66">
        <w:rPr>
          <w:rFonts w:cs="Arial"/>
          <w:szCs w:val="21"/>
        </w:rPr>
        <w:t xml:space="preserve">PGRIES </w:t>
      </w:r>
      <w:r w:rsidRPr="00000E66">
        <w:rPr>
          <w:szCs w:val="21"/>
          <w:lang w:bidi="fr-FR"/>
        </w:rPr>
        <w:t xml:space="preserve"> inclut également des mesures de renforcement institutionnelles et techniques ; des mesures de formation et de sensibilisation ; des bonnes pratiques en matière de gestion environnementale ; une provision pour la réalisation et la mise en œuvre des EIES/PGES et le Suivi/Evaluation des activités du projet. </w:t>
      </w:r>
    </w:p>
    <w:p w14:paraId="6EBC33EF" w14:textId="77777777" w:rsidR="009021F1" w:rsidRPr="00000E66" w:rsidRDefault="009021F1" w:rsidP="009021F1">
      <w:pPr>
        <w:rPr>
          <w:szCs w:val="21"/>
          <w:lang w:bidi="fr-FR"/>
        </w:rPr>
      </w:pPr>
      <w:r w:rsidRPr="00000E66">
        <w:rPr>
          <w:szCs w:val="21"/>
          <w:lang w:bidi="fr-FR"/>
        </w:rPr>
        <w:t xml:space="preserve"> </w:t>
      </w:r>
    </w:p>
    <w:p w14:paraId="4521551B" w14:textId="77777777" w:rsidR="009021F1" w:rsidRPr="00000E66" w:rsidRDefault="009021F1" w:rsidP="009021F1">
      <w:pPr>
        <w:rPr>
          <w:szCs w:val="21"/>
          <w:lang w:bidi="fr-FR"/>
        </w:rPr>
      </w:pPr>
      <w:r w:rsidRPr="00000E66">
        <w:rPr>
          <w:szCs w:val="21"/>
          <w:lang w:bidi="fr-FR"/>
        </w:rPr>
        <w:t xml:space="preserve">La mise en œuvre des activités sera assurée par l’Unité de Coordination du Projet du PNDA appuyée par les Missions de Contrôle et sous la supervision du Spécialiste en sauvegarde Environnementale (SSE) et du spécialiste en Sauvegarde Sociale (SSS) ainsi que celui du SVBG du PNDA avec l’implication des Experts en environnement de l’ACE et de CPE ainsi et des ONG.  </w:t>
      </w:r>
    </w:p>
    <w:p w14:paraId="2ACABB43" w14:textId="77777777" w:rsidR="009021F1" w:rsidRPr="00000E66" w:rsidRDefault="009021F1" w:rsidP="009021F1">
      <w:pPr>
        <w:rPr>
          <w:szCs w:val="21"/>
          <w:lang w:bidi="fr-FR"/>
        </w:rPr>
      </w:pPr>
      <w:r w:rsidRPr="00000E66">
        <w:rPr>
          <w:szCs w:val="21"/>
          <w:lang w:bidi="fr-FR"/>
        </w:rPr>
        <w:t xml:space="preserve"> </w:t>
      </w:r>
    </w:p>
    <w:p w14:paraId="3E7EB3A2" w14:textId="77777777" w:rsidR="009021F1" w:rsidRPr="00000E66" w:rsidRDefault="009021F1" w:rsidP="009021F1">
      <w:pPr>
        <w:rPr>
          <w:szCs w:val="21"/>
          <w:lang w:bidi="fr-FR"/>
        </w:rPr>
      </w:pPr>
      <w:r w:rsidRPr="00000E66">
        <w:rPr>
          <w:szCs w:val="21"/>
          <w:lang w:bidi="fr-FR"/>
        </w:rPr>
        <w:t xml:space="preserve">Les membres du Comité de Pilotage du projet et la Banque mondiale participeront aux missions de supervision et d’appui à la mise en œuvre du PNDA.  </w:t>
      </w:r>
    </w:p>
    <w:p w14:paraId="1DBE33D5" w14:textId="77777777" w:rsidR="009021F1" w:rsidRPr="00000E66" w:rsidRDefault="009021F1" w:rsidP="009021F1">
      <w:pPr>
        <w:rPr>
          <w:szCs w:val="21"/>
          <w:lang w:bidi="fr-FR"/>
        </w:rPr>
      </w:pPr>
      <w:r w:rsidRPr="00000E66">
        <w:rPr>
          <w:szCs w:val="21"/>
          <w:lang w:bidi="fr-FR"/>
        </w:rPr>
        <w:t xml:space="preserve"> </w:t>
      </w:r>
    </w:p>
    <w:p w14:paraId="24D72E06" w14:textId="77777777" w:rsidR="009021F1" w:rsidRPr="00000E66" w:rsidRDefault="009021F1" w:rsidP="009021F1">
      <w:pPr>
        <w:rPr>
          <w:szCs w:val="21"/>
          <w:lang w:bidi="fr-FR"/>
        </w:rPr>
      </w:pPr>
      <w:r w:rsidRPr="00000E66">
        <w:rPr>
          <w:szCs w:val="21"/>
          <w:lang w:bidi="fr-FR"/>
        </w:rPr>
        <w:t>Les consultations du public avec des restrictions des mesures barrières de la pandémie de COVID-19 ont été réalisées au cours de la période du 02 au 17 juin 2020 et ont concerné toutes les parties prenantes concernées par le PNDA y compris les organisations de la société civile, des jeunes et des femmes, etc.</w:t>
      </w:r>
    </w:p>
    <w:p w14:paraId="6E0D6622" w14:textId="77777777" w:rsidR="009021F1" w:rsidRPr="00000E66" w:rsidRDefault="009021F1" w:rsidP="009021F1">
      <w:pPr>
        <w:rPr>
          <w:szCs w:val="21"/>
          <w:lang w:bidi="fr-FR"/>
        </w:rPr>
      </w:pPr>
      <w:r w:rsidRPr="00000E66">
        <w:rPr>
          <w:szCs w:val="21"/>
          <w:lang w:bidi="fr-FR"/>
        </w:rPr>
        <w:t xml:space="preserve"> </w:t>
      </w:r>
    </w:p>
    <w:p w14:paraId="13140AE9" w14:textId="77777777" w:rsidR="009021F1" w:rsidRPr="00000E66" w:rsidRDefault="009021F1" w:rsidP="009021F1">
      <w:pPr>
        <w:rPr>
          <w:szCs w:val="21"/>
          <w:lang w:bidi="fr-FR"/>
        </w:rPr>
      </w:pPr>
      <w:r w:rsidRPr="00000E66">
        <w:rPr>
          <w:szCs w:val="21"/>
          <w:lang w:bidi="fr-FR"/>
        </w:rPr>
        <w:t xml:space="preserve">Les différentes recommandations formulées ont été prises en compte aux niveaux suivants : (i) dans les listes des mesures d’atténuation ; (ii) dans la procédure de sélection environnementale et sociale ; (iii) dans les programmes de renforcement des capacités (formation et sensibilisation) et (iv) dans le plan de suivi et les arrangements institutionnels de mise en œuvre. </w:t>
      </w:r>
    </w:p>
    <w:p w14:paraId="02F33722" w14:textId="77777777" w:rsidR="009021F1" w:rsidRPr="00000E66" w:rsidRDefault="009021F1" w:rsidP="009021F1">
      <w:pPr>
        <w:rPr>
          <w:szCs w:val="21"/>
          <w:lang w:bidi="fr-FR"/>
        </w:rPr>
      </w:pPr>
      <w:r w:rsidRPr="00000E66">
        <w:rPr>
          <w:szCs w:val="21"/>
          <w:lang w:bidi="fr-FR"/>
        </w:rPr>
        <w:t xml:space="preserve"> </w:t>
      </w:r>
    </w:p>
    <w:p w14:paraId="4796C674" w14:textId="77777777" w:rsidR="009021F1" w:rsidRPr="00000E66" w:rsidRDefault="009021F1" w:rsidP="009021F1">
      <w:pPr>
        <w:spacing w:line="240" w:lineRule="auto"/>
        <w:rPr>
          <w:szCs w:val="21"/>
        </w:rPr>
      </w:pPr>
      <w:r w:rsidRPr="00000E66">
        <w:rPr>
          <w:szCs w:val="21"/>
          <w:lang w:bidi="fr-FR"/>
        </w:rPr>
        <w:t xml:space="preserve">Les coûts des mesures environnementales et sociales se chiffrent à la somme de </w:t>
      </w:r>
      <w:r w:rsidRPr="0078539E">
        <w:rPr>
          <w:rFonts w:cs="Arial"/>
          <w:color w:val="000000"/>
          <w:sz w:val="20"/>
          <w:szCs w:val="20"/>
        </w:rPr>
        <w:t>18 657</w:t>
      </w:r>
      <w:r>
        <w:rPr>
          <w:rFonts w:cs="Arial"/>
          <w:color w:val="000000"/>
          <w:sz w:val="20"/>
          <w:szCs w:val="20"/>
        </w:rPr>
        <w:t> </w:t>
      </w:r>
      <w:r w:rsidRPr="0078539E">
        <w:rPr>
          <w:rFonts w:cs="Arial"/>
          <w:color w:val="000000"/>
          <w:sz w:val="20"/>
          <w:szCs w:val="20"/>
        </w:rPr>
        <w:t>330</w:t>
      </w:r>
      <w:r>
        <w:rPr>
          <w:rFonts w:cs="Arial"/>
          <w:color w:val="000000"/>
          <w:sz w:val="20"/>
          <w:szCs w:val="20"/>
        </w:rPr>
        <w:t xml:space="preserve"> </w:t>
      </w:r>
      <w:r w:rsidRPr="00000E66">
        <w:rPr>
          <w:szCs w:val="21"/>
        </w:rPr>
        <w:t>USD financés entièrement par le PNDA.</w:t>
      </w:r>
    </w:p>
    <w:p w14:paraId="7E482555" w14:textId="77777777" w:rsidR="009021F1" w:rsidRPr="00000E66" w:rsidRDefault="009021F1" w:rsidP="009021F1">
      <w:pPr>
        <w:rPr>
          <w:rFonts w:cs="Arial"/>
          <w:bCs/>
          <w:szCs w:val="21"/>
        </w:rPr>
      </w:pPr>
      <w:r w:rsidRPr="00000E66">
        <w:rPr>
          <w:szCs w:val="21"/>
          <w:lang w:bidi="fr-FR"/>
        </w:rPr>
        <w:t xml:space="preserve"> </w:t>
      </w:r>
      <w:r w:rsidRPr="00000E66">
        <w:rPr>
          <w:rFonts w:cs="Arial"/>
          <w:b/>
          <w:szCs w:val="21"/>
        </w:rPr>
        <w:br w:type="page"/>
      </w:r>
    </w:p>
    <w:p w14:paraId="30CD32E1" w14:textId="77777777" w:rsidR="009021F1" w:rsidRPr="00000E66" w:rsidRDefault="009021F1" w:rsidP="009021F1">
      <w:pPr>
        <w:pStyle w:val="Titre1"/>
        <w:numPr>
          <w:ilvl w:val="0"/>
          <w:numId w:val="4"/>
        </w:numPr>
        <w:ind w:left="567" w:hanging="283"/>
        <w:rPr>
          <w:rFonts w:cs="Arial"/>
          <w:szCs w:val="21"/>
        </w:rPr>
      </w:pPr>
      <w:bookmarkStart w:id="479" w:name="_Toc90471585"/>
      <w:r w:rsidRPr="00000E66">
        <w:rPr>
          <w:rFonts w:cs="Arial"/>
          <w:szCs w:val="21"/>
        </w:rPr>
        <w:t>RÉFÉRENCES BIBLIOGRAPHIQUES</w:t>
      </w:r>
      <w:bookmarkEnd w:id="479"/>
    </w:p>
    <w:p w14:paraId="4B25A519" w14:textId="77777777" w:rsidR="009021F1" w:rsidRPr="00000E66" w:rsidRDefault="009021F1" w:rsidP="009021F1">
      <w:pPr>
        <w:rPr>
          <w:rFonts w:cs="Arial"/>
          <w:szCs w:val="21"/>
        </w:rPr>
      </w:pPr>
    </w:p>
    <w:p w14:paraId="7E3B953B" w14:textId="77777777" w:rsidR="009021F1" w:rsidRPr="00000E66" w:rsidRDefault="009021F1" w:rsidP="009021F1">
      <w:pPr>
        <w:pStyle w:val="Paragraphedeliste"/>
        <w:autoSpaceDE w:val="0"/>
        <w:autoSpaceDN w:val="0"/>
        <w:adjustRightInd w:val="0"/>
        <w:ind w:left="851" w:hanging="851"/>
        <w:rPr>
          <w:rFonts w:cs="Arial"/>
          <w:szCs w:val="21"/>
        </w:rPr>
      </w:pPr>
      <w:r w:rsidRPr="00000E66">
        <w:rPr>
          <w:rFonts w:cs="Arial"/>
          <w:szCs w:val="21"/>
        </w:rPr>
        <w:t>Banque Mondiale, Cadre Environnemental et Social, Octobre 2018</w:t>
      </w:r>
    </w:p>
    <w:p w14:paraId="4ED900E1" w14:textId="77777777" w:rsidR="009021F1" w:rsidRPr="00000E66" w:rsidRDefault="009021F1" w:rsidP="009021F1">
      <w:pPr>
        <w:pStyle w:val="Paragraphedeliste"/>
        <w:autoSpaceDE w:val="0"/>
        <w:autoSpaceDN w:val="0"/>
        <w:adjustRightInd w:val="0"/>
        <w:ind w:left="851" w:hanging="851"/>
        <w:rPr>
          <w:rFonts w:cs="Arial"/>
          <w:szCs w:val="21"/>
        </w:rPr>
      </w:pPr>
    </w:p>
    <w:p w14:paraId="760388BC" w14:textId="77777777" w:rsidR="009021F1" w:rsidRPr="00000E66" w:rsidRDefault="009021F1" w:rsidP="009021F1">
      <w:pPr>
        <w:pStyle w:val="Paragraphedeliste"/>
        <w:autoSpaceDE w:val="0"/>
        <w:autoSpaceDN w:val="0"/>
        <w:adjustRightInd w:val="0"/>
        <w:ind w:left="851" w:hanging="851"/>
        <w:rPr>
          <w:rFonts w:cs="Arial"/>
          <w:szCs w:val="21"/>
        </w:rPr>
      </w:pPr>
      <w:r w:rsidRPr="00000E66">
        <w:rPr>
          <w:rFonts w:cs="Arial"/>
          <w:szCs w:val="21"/>
        </w:rPr>
        <w:t>Banque Mondiale, Manuel opérationnel de la Banque Mondiale - Politique Opérationnelle 4.1 relative à l’Évaluation environnementale de juillet 2005.</w:t>
      </w:r>
    </w:p>
    <w:p w14:paraId="00A17BB4" w14:textId="77777777" w:rsidR="009021F1" w:rsidRPr="00000E66" w:rsidRDefault="009021F1" w:rsidP="009021F1">
      <w:pPr>
        <w:pStyle w:val="Paragraphedeliste"/>
        <w:autoSpaceDE w:val="0"/>
        <w:autoSpaceDN w:val="0"/>
        <w:adjustRightInd w:val="0"/>
        <w:ind w:left="851" w:hanging="851"/>
        <w:rPr>
          <w:rFonts w:cs="Arial"/>
          <w:szCs w:val="21"/>
        </w:rPr>
      </w:pPr>
    </w:p>
    <w:p w14:paraId="4E134EFA" w14:textId="77777777" w:rsidR="009021F1" w:rsidRPr="00000E66" w:rsidRDefault="009021F1" w:rsidP="009021F1">
      <w:pPr>
        <w:pStyle w:val="Paragraphedeliste"/>
        <w:autoSpaceDE w:val="0"/>
        <w:autoSpaceDN w:val="0"/>
        <w:adjustRightInd w:val="0"/>
        <w:ind w:left="851" w:hanging="851"/>
        <w:rPr>
          <w:rFonts w:cs="Arial"/>
          <w:szCs w:val="21"/>
        </w:rPr>
      </w:pPr>
      <w:r w:rsidRPr="00000E66">
        <w:rPr>
          <w:rFonts w:cs="Arial"/>
          <w:szCs w:val="21"/>
        </w:rPr>
        <w:t xml:space="preserve">Banque Mondiale, </w:t>
      </w:r>
      <w:r w:rsidRPr="00000E66">
        <w:rPr>
          <w:szCs w:val="21"/>
        </w:rPr>
        <w:t>Note de bonnes pratiques Lutter contre les violences sexistes dans le cadre du financement de projets d’investissement comportant de grands travaux de génie civil, Septembre 2018</w:t>
      </w:r>
    </w:p>
    <w:p w14:paraId="55C9BB91" w14:textId="77777777" w:rsidR="009021F1" w:rsidRPr="00000E66" w:rsidRDefault="009021F1" w:rsidP="009021F1">
      <w:pPr>
        <w:pStyle w:val="Paragraphedeliste"/>
        <w:autoSpaceDE w:val="0"/>
        <w:autoSpaceDN w:val="0"/>
        <w:adjustRightInd w:val="0"/>
        <w:ind w:left="851" w:hanging="851"/>
        <w:rPr>
          <w:rFonts w:cs="Arial"/>
          <w:szCs w:val="21"/>
        </w:rPr>
      </w:pPr>
    </w:p>
    <w:p w14:paraId="372D7A73" w14:textId="77777777" w:rsidR="009021F1" w:rsidRPr="00000E66" w:rsidRDefault="009021F1" w:rsidP="009021F1">
      <w:pPr>
        <w:pStyle w:val="Paragraphedeliste"/>
        <w:autoSpaceDE w:val="0"/>
        <w:autoSpaceDN w:val="0"/>
        <w:adjustRightInd w:val="0"/>
        <w:ind w:left="851" w:hanging="851"/>
        <w:rPr>
          <w:rFonts w:cs="Arial"/>
          <w:szCs w:val="21"/>
        </w:rPr>
      </w:pPr>
      <w:r w:rsidRPr="00000E66">
        <w:rPr>
          <w:rFonts w:cs="Arial"/>
          <w:szCs w:val="21"/>
        </w:rPr>
        <w:t>Cadre Stratégique de Mise en Œuvre de la Décentralisation (CSMOD, juillet 2009)</w:t>
      </w:r>
    </w:p>
    <w:p w14:paraId="66BF6045" w14:textId="77777777" w:rsidR="009021F1" w:rsidRPr="00000E66" w:rsidRDefault="009021F1" w:rsidP="009021F1">
      <w:pPr>
        <w:pStyle w:val="Paragraphedeliste"/>
        <w:autoSpaceDE w:val="0"/>
        <w:autoSpaceDN w:val="0"/>
        <w:adjustRightInd w:val="0"/>
        <w:ind w:left="851" w:hanging="851"/>
        <w:rPr>
          <w:rFonts w:cs="Arial"/>
          <w:spacing w:val="-2"/>
          <w:szCs w:val="21"/>
        </w:rPr>
      </w:pPr>
    </w:p>
    <w:p w14:paraId="56DD36BE" w14:textId="77777777" w:rsidR="009021F1" w:rsidRPr="00000E66" w:rsidRDefault="009021F1" w:rsidP="009021F1">
      <w:pPr>
        <w:pStyle w:val="Paragraphedeliste"/>
        <w:autoSpaceDE w:val="0"/>
        <w:autoSpaceDN w:val="0"/>
        <w:adjustRightInd w:val="0"/>
        <w:ind w:left="851" w:hanging="851"/>
        <w:rPr>
          <w:rFonts w:cs="Arial"/>
          <w:szCs w:val="21"/>
        </w:rPr>
      </w:pPr>
      <w:r w:rsidRPr="00000E66">
        <w:rPr>
          <w:rFonts w:cs="Arial"/>
          <w:spacing w:val="-2"/>
          <w:szCs w:val="21"/>
        </w:rPr>
        <w:t xml:space="preserve">Fonds pour la Conservation de la Nature en république Démocratique du Congo (FOCON), </w:t>
      </w:r>
      <w:r w:rsidRPr="00000E66">
        <w:rPr>
          <w:rFonts w:cs="Arial"/>
          <w:szCs w:val="21"/>
        </w:rPr>
        <w:t>Cadre de Gestion Environnementale et Sociale (CGES), Octobre 2017</w:t>
      </w:r>
    </w:p>
    <w:p w14:paraId="7F8A04A4" w14:textId="77777777" w:rsidR="009021F1" w:rsidRPr="00000E66" w:rsidRDefault="009021F1" w:rsidP="009021F1">
      <w:pPr>
        <w:pStyle w:val="Paragraphedeliste"/>
        <w:autoSpaceDE w:val="0"/>
        <w:autoSpaceDN w:val="0"/>
        <w:adjustRightInd w:val="0"/>
        <w:ind w:left="851" w:hanging="851"/>
        <w:rPr>
          <w:rFonts w:cs="Arial"/>
          <w:spacing w:val="-2"/>
          <w:szCs w:val="21"/>
        </w:rPr>
      </w:pPr>
    </w:p>
    <w:p w14:paraId="6CE0FDD0" w14:textId="77777777" w:rsidR="009021F1" w:rsidRPr="00000E66" w:rsidRDefault="009021F1" w:rsidP="009021F1">
      <w:pPr>
        <w:pStyle w:val="Paragraphedeliste"/>
        <w:autoSpaceDE w:val="0"/>
        <w:autoSpaceDN w:val="0"/>
        <w:adjustRightInd w:val="0"/>
        <w:ind w:left="851" w:hanging="851"/>
        <w:rPr>
          <w:rFonts w:cs="Arial"/>
          <w:spacing w:val="-2"/>
          <w:szCs w:val="21"/>
        </w:rPr>
      </w:pPr>
      <w:r w:rsidRPr="00000E66">
        <w:rPr>
          <w:rFonts w:cs="Arial"/>
          <w:spacing w:val="-2"/>
          <w:szCs w:val="21"/>
        </w:rPr>
        <w:t>Journal Officiel de la République Démocratique du Congo, Constitution du 18 février 2006 telle que révisée par la Loi n°11/002 du 20 janvier 2011.</w:t>
      </w:r>
    </w:p>
    <w:p w14:paraId="0E7606AF" w14:textId="77777777" w:rsidR="009021F1" w:rsidRPr="00000E66" w:rsidRDefault="009021F1" w:rsidP="009021F1">
      <w:pPr>
        <w:pStyle w:val="Paragraphedeliste"/>
        <w:autoSpaceDE w:val="0"/>
        <w:autoSpaceDN w:val="0"/>
        <w:adjustRightInd w:val="0"/>
        <w:ind w:left="851" w:hanging="851"/>
        <w:rPr>
          <w:rFonts w:cs="Arial"/>
          <w:spacing w:val="-2"/>
          <w:szCs w:val="21"/>
        </w:rPr>
      </w:pPr>
    </w:p>
    <w:p w14:paraId="60EB0D43" w14:textId="77777777" w:rsidR="009021F1" w:rsidRPr="00000E66" w:rsidRDefault="009021F1" w:rsidP="009021F1">
      <w:pPr>
        <w:pStyle w:val="Paragraphedeliste"/>
        <w:autoSpaceDE w:val="0"/>
        <w:autoSpaceDN w:val="0"/>
        <w:adjustRightInd w:val="0"/>
        <w:ind w:left="851" w:hanging="851"/>
        <w:rPr>
          <w:rFonts w:cs="Arial"/>
          <w:spacing w:val="-2"/>
          <w:szCs w:val="21"/>
        </w:rPr>
      </w:pPr>
      <w:r w:rsidRPr="00000E66">
        <w:rPr>
          <w:rFonts w:cs="Arial"/>
          <w:spacing w:val="-2"/>
          <w:szCs w:val="21"/>
        </w:rPr>
        <w:t>Journal Officiel de la République Démocratique du Congo, Décret n°14/019 du 02 août 2014 fixant les règles de fonctionnement des mécanismes procéduraux de protection de l’environnement </w:t>
      </w:r>
    </w:p>
    <w:p w14:paraId="3468AB31" w14:textId="77777777" w:rsidR="009021F1" w:rsidRPr="00000E66" w:rsidRDefault="009021F1" w:rsidP="009021F1">
      <w:pPr>
        <w:pStyle w:val="Paragraphedeliste"/>
        <w:autoSpaceDE w:val="0"/>
        <w:autoSpaceDN w:val="0"/>
        <w:adjustRightInd w:val="0"/>
        <w:ind w:left="851" w:hanging="851"/>
        <w:rPr>
          <w:rFonts w:cs="Arial"/>
          <w:spacing w:val="-2"/>
          <w:szCs w:val="21"/>
        </w:rPr>
      </w:pPr>
    </w:p>
    <w:p w14:paraId="2E7C4733" w14:textId="77777777" w:rsidR="009021F1" w:rsidRPr="00000E66" w:rsidRDefault="009021F1" w:rsidP="009021F1">
      <w:pPr>
        <w:pStyle w:val="Paragraphedeliste"/>
        <w:autoSpaceDE w:val="0"/>
        <w:autoSpaceDN w:val="0"/>
        <w:adjustRightInd w:val="0"/>
        <w:ind w:left="851" w:hanging="851"/>
        <w:rPr>
          <w:rFonts w:cs="Arial"/>
          <w:spacing w:val="-2"/>
          <w:szCs w:val="21"/>
        </w:rPr>
      </w:pPr>
      <w:r w:rsidRPr="00000E66">
        <w:rPr>
          <w:rFonts w:cs="Arial"/>
          <w:spacing w:val="-2"/>
          <w:szCs w:val="21"/>
        </w:rPr>
        <w:t>Journal Officiel de la République Démocratique du Congo, Décret n°038/2003 du 26 mars 2003 portant Règlement Minier tel que modifié et complété par le Décret n°18/024 du 08 juin 2018 </w:t>
      </w:r>
    </w:p>
    <w:p w14:paraId="70C4458B" w14:textId="77777777" w:rsidR="009021F1" w:rsidRPr="00000E66" w:rsidRDefault="009021F1" w:rsidP="009021F1">
      <w:pPr>
        <w:pStyle w:val="Paragraphedeliste"/>
        <w:autoSpaceDE w:val="0"/>
        <w:autoSpaceDN w:val="0"/>
        <w:adjustRightInd w:val="0"/>
        <w:ind w:left="851" w:hanging="851"/>
        <w:rPr>
          <w:rFonts w:cs="Arial"/>
          <w:spacing w:val="-2"/>
          <w:szCs w:val="21"/>
        </w:rPr>
      </w:pPr>
    </w:p>
    <w:p w14:paraId="34ACD36B" w14:textId="77777777" w:rsidR="009021F1" w:rsidRPr="00000E66" w:rsidRDefault="009021F1" w:rsidP="009021F1">
      <w:pPr>
        <w:pStyle w:val="Paragraphedeliste"/>
        <w:autoSpaceDE w:val="0"/>
        <w:autoSpaceDN w:val="0"/>
        <w:adjustRightInd w:val="0"/>
        <w:ind w:left="851" w:hanging="851"/>
        <w:rPr>
          <w:rFonts w:cs="Arial"/>
          <w:spacing w:val="-2"/>
          <w:szCs w:val="21"/>
        </w:rPr>
      </w:pPr>
      <w:r w:rsidRPr="00000E66">
        <w:rPr>
          <w:rFonts w:cs="Arial"/>
          <w:spacing w:val="-2"/>
          <w:szCs w:val="21"/>
        </w:rPr>
        <w:t>Journal Officiel de la République Démocratique du Congo, Décret n° 14/030 du 18 novembre 2014 fixant les statuts d’un Établissement Public dénommé Agence Congolaise de l’Environnement</w:t>
      </w:r>
    </w:p>
    <w:p w14:paraId="65377554" w14:textId="77777777" w:rsidR="009021F1" w:rsidRPr="00000E66" w:rsidRDefault="009021F1" w:rsidP="009021F1">
      <w:pPr>
        <w:pStyle w:val="Paragraphedeliste"/>
        <w:autoSpaceDE w:val="0"/>
        <w:autoSpaceDN w:val="0"/>
        <w:adjustRightInd w:val="0"/>
        <w:ind w:left="851" w:hanging="851"/>
        <w:rPr>
          <w:rFonts w:cs="Arial"/>
          <w:spacing w:val="-2"/>
          <w:szCs w:val="21"/>
        </w:rPr>
      </w:pPr>
    </w:p>
    <w:p w14:paraId="1B9CFFF8" w14:textId="77777777" w:rsidR="009021F1" w:rsidRPr="00000E66" w:rsidRDefault="009021F1" w:rsidP="009021F1">
      <w:pPr>
        <w:pStyle w:val="Paragraphedeliste"/>
        <w:autoSpaceDE w:val="0"/>
        <w:autoSpaceDN w:val="0"/>
        <w:adjustRightInd w:val="0"/>
        <w:ind w:left="851" w:hanging="851"/>
        <w:rPr>
          <w:rFonts w:cs="Arial"/>
          <w:spacing w:val="-2"/>
          <w:szCs w:val="21"/>
        </w:rPr>
      </w:pPr>
      <w:r w:rsidRPr="00000E66">
        <w:rPr>
          <w:rFonts w:cs="Arial"/>
          <w:spacing w:val="-2"/>
          <w:szCs w:val="21"/>
        </w:rPr>
        <w:t xml:space="preserve">Journal Officiel de la République Démocratique du Congo, Décret n° 14/019 du 02 août 2014 fixant les règles de fonctionnement des mécanismes procéduraux de la protection de l’environnement </w:t>
      </w:r>
    </w:p>
    <w:p w14:paraId="71148882" w14:textId="77777777" w:rsidR="009021F1" w:rsidRPr="00000E66" w:rsidRDefault="009021F1" w:rsidP="009021F1">
      <w:pPr>
        <w:pStyle w:val="Paragraphedeliste"/>
        <w:autoSpaceDE w:val="0"/>
        <w:autoSpaceDN w:val="0"/>
        <w:adjustRightInd w:val="0"/>
        <w:ind w:left="851" w:hanging="851"/>
        <w:rPr>
          <w:rFonts w:cs="Arial"/>
          <w:spacing w:val="-2"/>
          <w:szCs w:val="21"/>
        </w:rPr>
      </w:pPr>
    </w:p>
    <w:p w14:paraId="3BC5E501" w14:textId="77777777" w:rsidR="009021F1" w:rsidRPr="00000E66" w:rsidRDefault="009021F1" w:rsidP="009021F1">
      <w:pPr>
        <w:pStyle w:val="Paragraphedeliste"/>
        <w:autoSpaceDE w:val="0"/>
        <w:autoSpaceDN w:val="0"/>
        <w:adjustRightInd w:val="0"/>
        <w:ind w:left="851" w:hanging="851"/>
        <w:rPr>
          <w:rFonts w:cs="Arial"/>
          <w:spacing w:val="-2"/>
          <w:szCs w:val="21"/>
        </w:rPr>
      </w:pPr>
      <w:r w:rsidRPr="00000E66">
        <w:rPr>
          <w:rFonts w:cs="Arial"/>
          <w:spacing w:val="-2"/>
          <w:szCs w:val="21"/>
        </w:rPr>
        <w:t xml:space="preserve">Journal Officiel de la République Démocratique du Congo, Décret n° 13-015 du 29 mai 2013 portant Réglementation des Installations Classées </w:t>
      </w:r>
    </w:p>
    <w:p w14:paraId="31EF21EB" w14:textId="77777777" w:rsidR="009021F1" w:rsidRPr="00000E66" w:rsidRDefault="009021F1" w:rsidP="009021F1">
      <w:pPr>
        <w:pStyle w:val="Paragraphedeliste"/>
        <w:autoSpaceDE w:val="0"/>
        <w:autoSpaceDN w:val="0"/>
        <w:adjustRightInd w:val="0"/>
        <w:ind w:left="851" w:hanging="851"/>
        <w:rPr>
          <w:rFonts w:cs="Arial"/>
          <w:spacing w:val="-2"/>
          <w:szCs w:val="21"/>
        </w:rPr>
      </w:pPr>
    </w:p>
    <w:p w14:paraId="3DF503F2" w14:textId="77777777" w:rsidR="009021F1" w:rsidRPr="00000E66" w:rsidRDefault="009021F1" w:rsidP="009021F1">
      <w:pPr>
        <w:pStyle w:val="Paragraphedeliste"/>
        <w:autoSpaceDE w:val="0"/>
        <w:autoSpaceDN w:val="0"/>
        <w:adjustRightInd w:val="0"/>
        <w:ind w:left="851" w:hanging="851"/>
        <w:rPr>
          <w:rFonts w:cs="Arial"/>
          <w:spacing w:val="-2"/>
          <w:szCs w:val="21"/>
        </w:rPr>
      </w:pPr>
      <w:r w:rsidRPr="00000E66">
        <w:rPr>
          <w:rFonts w:cs="Arial"/>
          <w:spacing w:val="-2"/>
          <w:szCs w:val="21"/>
        </w:rPr>
        <w:t>Journal Officiel de la République Démocratique du Congo, Journal Officiel de la République Démocratique du Congo, Loi n° 011-2002 du 29 août 2002 portant Code Forestier</w:t>
      </w:r>
    </w:p>
    <w:p w14:paraId="7BA53101" w14:textId="77777777" w:rsidR="009021F1" w:rsidRPr="00000E66" w:rsidRDefault="009021F1" w:rsidP="009021F1">
      <w:pPr>
        <w:pStyle w:val="Paragraphedeliste"/>
        <w:autoSpaceDE w:val="0"/>
        <w:autoSpaceDN w:val="0"/>
        <w:adjustRightInd w:val="0"/>
        <w:ind w:left="851" w:hanging="851"/>
        <w:rPr>
          <w:rFonts w:cs="Arial"/>
          <w:spacing w:val="-2"/>
          <w:szCs w:val="21"/>
        </w:rPr>
      </w:pPr>
    </w:p>
    <w:p w14:paraId="0B55E841" w14:textId="77777777" w:rsidR="009021F1" w:rsidRPr="00000E66" w:rsidRDefault="009021F1" w:rsidP="009021F1">
      <w:pPr>
        <w:pStyle w:val="Paragraphedeliste"/>
        <w:autoSpaceDE w:val="0"/>
        <w:autoSpaceDN w:val="0"/>
        <w:adjustRightInd w:val="0"/>
        <w:ind w:left="851" w:hanging="851"/>
        <w:rPr>
          <w:rFonts w:cs="Arial"/>
          <w:spacing w:val="-2"/>
          <w:szCs w:val="21"/>
        </w:rPr>
      </w:pPr>
      <w:r w:rsidRPr="00000E66">
        <w:rPr>
          <w:rFonts w:cs="Arial"/>
          <w:spacing w:val="-2"/>
          <w:szCs w:val="21"/>
        </w:rPr>
        <w:t>Journal Officiel de la République Démocratique du Congo, Loi 73 - 021 du 20 juillet 1973 porte sur le régime général des biens, régime foncier et immobilier et régime des sûretés</w:t>
      </w:r>
    </w:p>
    <w:p w14:paraId="79BBC6DF" w14:textId="77777777" w:rsidR="009021F1" w:rsidRPr="00000E66" w:rsidRDefault="009021F1" w:rsidP="009021F1">
      <w:pPr>
        <w:pStyle w:val="Paragraphedeliste"/>
        <w:autoSpaceDE w:val="0"/>
        <w:autoSpaceDN w:val="0"/>
        <w:adjustRightInd w:val="0"/>
        <w:ind w:left="851" w:hanging="851"/>
        <w:rPr>
          <w:rFonts w:cs="Arial"/>
          <w:spacing w:val="-2"/>
          <w:szCs w:val="21"/>
        </w:rPr>
      </w:pPr>
    </w:p>
    <w:p w14:paraId="33C9613C" w14:textId="77777777" w:rsidR="009021F1" w:rsidRPr="00000E66" w:rsidRDefault="009021F1" w:rsidP="009021F1">
      <w:pPr>
        <w:pStyle w:val="Paragraphedeliste"/>
        <w:autoSpaceDE w:val="0"/>
        <w:autoSpaceDN w:val="0"/>
        <w:adjustRightInd w:val="0"/>
        <w:ind w:left="851" w:hanging="851"/>
        <w:rPr>
          <w:rFonts w:cs="Arial"/>
          <w:spacing w:val="-2"/>
          <w:szCs w:val="21"/>
        </w:rPr>
      </w:pPr>
      <w:r w:rsidRPr="00000E66">
        <w:rPr>
          <w:rFonts w:cs="Arial"/>
          <w:spacing w:val="-2"/>
          <w:szCs w:val="21"/>
        </w:rPr>
        <w:t xml:space="preserve">Journal Officiel de la République Démocratique du Congo, Loi n° 007/2002 du 11 juillet 2002 portant Code Minier tel que modifiée et complétée par la Loi n°18/001 du 09 mars 2018 </w:t>
      </w:r>
    </w:p>
    <w:p w14:paraId="4FA3F6F7" w14:textId="77777777" w:rsidR="009021F1" w:rsidRPr="00000E66" w:rsidRDefault="009021F1" w:rsidP="009021F1">
      <w:pPr>
        <w:pStyle w:val="Paragraphedeliste"/>
        <w:autoSpaceDE w:val="0"/>
        <w:autoSpaceDN w:val="0"/>
        <w:adjustRightInd w:val="0"/>
        <w:ind w:left="851" w:hanging="851"/>
        <w:rPr>
          <w:rFonts w:cs="Arial"/>
          <w:spacing w:val="-2"/>
          <w:szCs w:val="21"/>
        </w:rPr>
      </w:pPr>
      <w:r w:rsidRPr="00000E66">
        <w:rPr>
          <w:rFonts w:cs="Arial"/>
          <w:spacing w:val="-2"/>
          <w:szCs w:val="21"/>
        </w:rPr>
        <w:t>Journal Officiel de la République Démocratique du Congo, Loi n° 004/2002 du 21 février 2002 portant Codes investissements</w:t>
      </w:r>
    </w:p>
    <w:p w14:paraId="60463619" w14:textId="77777777" w:rsidR="009021F1" w:rsidRPr="00000E66" w:rsidRDefault="009021F1" w:rsidP="009021F1">
      <w:pPr>
        <w:pStyle w:val="Paragraphedeliste"/>
        <w:autoSpaceDE w:val="0"/>
        <w:autoSpaceDN w:val="0"/>
        <w:adjustRightInd w:val="0"/>
        <w:ind w:left="851" w:hanging="851"/>
        <w:rPr>
          <w:rFonts w:cs="Arial"/>
          <w:spacing w:val="-2"/>
          <w:szCs w:val="21"/>
        </w:rPr>
      </w:pPr>
      <w:r w:rsidRPr="00000E66">
        <w:rPr>
          <w:rFonts w:cs="Arial"/>
          <w:spacing w:val="-2"/>
          <w:szCs w:val="21"/>
        </w:rPr>
        <w:t>Journal Officiel de la République Démocratique du Congo, Loi n° 11/022 du 24 décembre 2011 portant Principes fondamentaux relatifs à l’Agriculture</w:t>
      </w:r>
    </w:p>
    <w:p w14:paraId="00964B28" w14:textId="77777777" w:rsidR="009021F1" w:rsidRPr="00000E66" w:rsidRDefault="009021F1" w:rsidP="009021F1">
      <w:pPr>
        <w:pStyle w:val="Paragraphedeliste"/>
        <w:autoSpaceDE w:val="0"/>
        <w:autoSpaceDN w:val="0"/>
        <w:adjustRightInd w:val="0"/>
        <w:ind w:left="851" w:hanging="851"/>
        <w:rPr>
          <w:rFonts w:cs="Arial"/>
          <w:spacing w:val="-2"/>
          <w:szCs w:val="21"/>
        </w:rPr>
      </w:pPr>
    </w:p>
    <w:p w14:paraId="20CDEA7E" w14:textId="77777777" w:rsidR="009021F1" w:rsidRPr="00000E66" w:rsidRDefault="009021F1" w:rsidP="009021F1">
      <w:pPr>
        <w:pStyle w:val="Paragraphedeliste"/>
        <w:autoSpaceDE w:val="0"/>
        <w:autoSpaceDN w:val="0"/>
        <w:adjustRightInd w:val="0"/>
        <w:ind w:left="851" w:hanging="851"/>
        <w:rPr>
          <w:rFonts w:cs="Arial"/>
          <w:spacing w:val="-2"/>
          <w:szCs w:val="21"/>
        </w:rPr>
      </w:pPr>
      <w:r w:rsidRPr="00000E66">
        <w:rPr>
          <w:rFonts w:cs="Arial"/>
          <w:spacing w:val="-2"/>
          <w:szCs w:val="21"/>
        </w:rPr>
        <w:t xml:space="preserve">Journal Officiel de la République Démocratique du Congo, Loi n° 14/003 du 11 février 2014 relative à la conservation de la nature </w:t>
      </w:r>
    </w:p>
    <w:p w14:paraId="16A996A7" w14:textId="77777777" w:rsidR="009021F1" w:rsidRPr="00000E66" w:rsidRDefault="009021F1" w:rsidP="009021F1">
      <w:pPr>
        <w:pStyle w:val="Paragraphedeliste"/>
        <w:autoSpaceDE w:val="0"/>
        <w:autoSpaceDN w:val="0"/>
        <w:adjustRightInd w:val="0"/>
        <w:ind w:left="851" w:hanging="851"/>
        <w:rPr>
          <w:rFonts w:cs="Arial"/>
          <w:spacing w:val="-2"/>
          <w:szCs w:val="21"/>
        </w:rPr>
      </w:pPr>
      <w:r w:rsidRPr="00000E66">
        <w:rPr>
          <w:rFonts w:cs="Arial"/>
          <w:spacing w:val="-2"/>
          <w:szCs w:val="21"/>
        </w:rPr>
        <w:t xml:space="preserve">Journal Officiel de la République Démocratique du Congo, Loi n° 15/026 du 31 décembre 2015 relative à l’eau </w:t>
      </w:r>
    </w:p>
    <w:p w14:paraId="03055076" w14:textId="77777777" w:rsidR="009021F1" w:rsidRPr="00000E66" w:rsidRDefault="009021F1" w:rsidP="009021F1">
      <w:pPr>
        <w:pStyle w:val="Paragraphedeliste"/>
        <w:autoSpaceDE w:val="0"/>
        <w:autoSpaceDN w:val="0"/>
        <w:adjustRightInd w:val="0"/>
        <w:ind w:left="851" w:hanging="851"/>
        <w:rPr>
          <w:rFonts w:cs="Arial"/>
          <w:spacing w:val="-2"/>
          <w:szCs w:val="21"/>
        </w:rPr>
      </w:pPr>
    </w:p>
    <w:p w14:paraId="7DEC7B25" w14:textId="77777777" w:rsidR="009021F1" w:rsidRPr="00000E66" w:rsidRDefault="009021F1" w:rsidP="009021F1">
      <w:pPr>
        <w:pStyle w:val="Paragraphedeliste"/>
        <w:autoSpaceDE w:val="0"/>
        <w:autoSpaceDN w:val="0"/>
        <w:adjustRightInd w:val="0"/>
        <w:ind w:left="851" w:hanging="851"/>
        <w:rPr>
          <w:rFonts w:cs="Arial"/>
          <w:spacing w:val="-2"/>
          <w:szCs w:val="21"/>
        </w:rPr>
      </w:pPr>
      <w:r w:rsidRPr="00000E66">
        <w:rPr>
          <w:rFonts w:cs="Arial"/>
          <w:spacing w:val="-2"/>
          <w:szCs w:val="21"/>
        </w:rPr>
        <w:t>Journal Officiel de la République Démocratique du Congo, Loi n° 16/010 du 15 juillet 2016 modifiant et complétant la Loi n° 015-2002 portant Code du Travail</w:t>
      </w:r>
    </w:p>
    <w:p w14:paraId="743D2C72" w14:textId="77777777" w:rsidR="009021F1" w:rsidRPr="00000E66" w:rsidRDefault="009021F1" w:rsidP="009021F1">
      <w:pPr>
        <w:pStyle w:val="Paragraphedeliste"/>
        <w:autoSpaceDE w:val="0"/>
        <w:autoSpaceDN w:val="0"/>
        <w:adjustRightInd w:val="0"/>
        <w:ind w:left="851" w:hanging="851"/>
        <w:rPr>
          <w:rFonts w:cs="Arial"/>
          <w:spacing w:val="-2"/>
          <w:szCs w:val="21"/>
        </w:rPr>
      </w:pPr>
    </w:p>
    <w:p w14:paraId="69DEFD3C" w14:textId="77777777" w:rsidR="009021F1" w:rsidRPr="00000E66" w:rsidRDefault="009021F1" w:rsidP="009021F1">
      <w:pPr>
        <w:pStyle w:val="Paragraphedeliste"/>
        <w:autoSpaceDE w:val="0"/>
        <w:autoSpaceDN w:val="0"/>
        <w:adjustRightInd w:val="0"/>
        <w:ind w:left="851" w:hanging="851"/>
        <w:rPr>
          <w:rFonts w:cs="Arial"/>
          <w:spacing w:val="-2"/>
          <w:szCs w:val="21"/>
        </w:rPr>
      </w:pPr>
      <w:r w:rsidRPr="00000E66">
        <w:rPr>
          <w:rFonts w:cs="Arial"/>
          <w:spacing w:val="-2"/>
          <w:szCs w:val="21"/>
        </w:rPr>
        <w:t>Journal Officiel de la République Démocratique du Congo, Loi n° 14/011 du 17 juin 2014 relative au secteur de l'électricité</w:t>
      </w:r>
    </w:p>
    <w:p w14:paraId="2AA5CF53" w14:textId="77777777" w:rsidR="009021F1" w:rsidRPr="00000E66" w:rsidRDefault="009021F1" w:rsidP="009021F1">
      <w:pPr>
        <w:pStyle w:val="Paragraphedeliste"/>
        <w:autoSpaceDE w:val="0"/>
        <w:autoSpaceDN w:val="0"/>
        <w:adjustRightInd w:val="0"/>
        <w:ind w:left="851" w:hanging="851"/>
        <w:rPr>
          <w:rFonts w:cs="Arial"/>
          <w:spacing w:val="-2"/>
          <w:szCs w:val="21"/>
        </w:rPr>
      </w:pPr>
    </w:p>
    <w:p w14:paraId="360F658A" w14:textId="77777777" w:rsidR="009021F1" w:rsidRPr="00000E66" w:rsidRDefault="009021F1" w:rsidP="009021F1">
      <w:pPr>
        <w:pStyle w:val="Paragraphedeliste"/>
        <w:autoSpaceDE w:val="0"/>
        <w:autoSpaceDN w:val="0"/>
        <w:adjustRightInd w:val="0"/>
        <w:ind w:left="851" w:hanging="851"/>
        <w:rPr>
          <w:rFonts w:cs="Arial"/>
          <w:spacing w:val="-2"/>
          <w:szCs w:val="21"/>
        </w:rPr>
      </w:pPr>
      <w:r w:rsidRPr="00000E66">
        <w:rPr>
          <w:rFonts w:cs="Arial"/>
          <w:spacing w:val="-2"/>
          <w:szCs w:val="21"/>
        </w:rPr>
        <w:t xml:space="preserve">Journal Officiel de la République Démocratique du Congo, Loi n°82/002 du 28 mai 1982 portant réglementation de la chasse </w:t>
      </w:r>
    </w:p>
    <w:p w14:paraId="07B7366E" w14:textId="77777777" w:rsidR="009021F1" w:rsidRPr="00000E66" w:rsidRDefault="009021F1" w:rsidP="009021F1">
      <w:pPr>
        <w:pStyle w:val="Paragraphedeliste"/>
        <w:autoSpaceDE w:val="0"/>
        <w:autoSpaceDN w:val="0"/>
        <w:adjustRightInd w:val="0"/>
        <w:ind w:left="851" w:hanging="851"/>
        <w:rPr>
          <w:rFonts w:cs="Arial"/>
          <w:spacing w:val="-2"/>
          <w:szCs w:val="21"/>
        </w:rPr>
      </w:pPr>
    </w:p>
    <w:p w14:paraId="1AAFBE87" w14:textId="77777777" w:rsidR="009021F1" w:rsidRPr="00000E66" w:rsidRDefault="009021F1" w:rsidP="009021F1">
      <w:pPr>
        <w:pStyle w:val="Paragraphedeliste"/>
        <w:autoSpaceDE w:val="0"/>
        <w:autoSpaceDN w:val="0"/>
        <w:adjustRightInd w:val="0"/>
        <w:ind w:left="851" w:hanging="851"/>
        <w:rPr>
          <w:rFonts w:cs="Arial"/>
          <w:spacing w:val="-2"/>
          <w:szCs w:val="21"/>
        </w:rPr>
      </w:pPr>
      <w:r w:rsidRPr="00000E66">
        <w:rPr>
          <w:rFonts w:cs="Arial"/>
          <w:spacing w:val="-2"/>
          <w:szCs w:val="21"/>
        </w:rPr>
        <w:t>Journal Officiel de la République Démocratique du Congo, Ordonnance Présidentielle n°20/017 du 27 mars 2020 fixant les attributions des ministères en RDC</w:t>
      </w:r>
    </w:p>
    <w:p w14:paraId="632D0D18" w14:textId="77777777" w:rsidR="009021F1" w:rsidRPr="00000E66" w:rsidRDefault="009021F1" w:rsidP="009021F1">
      <w:pPr>
        <w:pStyle w:val="Paragraphedeliste"/>
        <w:autoSpaceDE w:val="0"/>
        <w:autoSpaceDN w:val="0"/>
        <w:adjustRightInd w:val="0"/>
        <w:ind w:left="851" w:hanging="851"/>
        <w:rPr>
          <w:rFonts w:cs="Arial"/>
          <w:spacing w:val="-2"/>
          <w:szCs w:val="21"/>
        </w:rPr>
      </w:pPr>
    </w:p>
    <w:p w14:paraId="525C3992" w14:textId="77777777" w:rsidR="009021F1" w:rsidRPr="00000E66" w:rsidRDefault="009021F1" w:rsidP="009021F1">
      <w:pPr>
        <w:pStyle w:val="Paragraphedeliste"/>
        <w:autoSpaceDE w:val="0"/>
        <w:autoSpaceDN w:val="0"/>
        <w:adjustRightInd w:val="0"/>
        <w:ind w:left="851" w:hanging="851"/>
        <w:rPr>
          <w:rFonts w:cs="Arial"/>
          <w:spacing w:val="-2"/>
          <w:szCs w:val="21"/>
        </w:rPr>
      </w:pPr>
      <w:r w:rsidRPr="00000E66">
        <w:rPr>
          <w:rFonts w:cs="Arial"/>
          <w:spacing w:val="-2"/>
          <w:szCs w:val="21"/>
        </w:rPr>
        <w:t xml:space="preserve">Journal Officiel de la République Démocratique du Congo, Ordonnance-Loi n °71-016 du 15 mars 1971 relative à la protection des biens culturels </w:t>
      </w:r>
    </w:p>
    <w:p w14:paraId="37196670" w14:textId="77777777" w:rsidR="009021F1" w:rsidRPr="00000E66" w:rsidRDefault="009021F1" w:rsidP="009021F1">
      <w:pPr>
        <w:pStyle w:val="Paragraphedeliste"/>
        <w:autoSpaceDE w:val="0"/>
        <w:autoSpaceDN w:val="0"/>
        <w:adjustRightInd w:val="0"/>
        <w:ind w:left="851" w:hanging="851"/>
        <w:rPr>
          <w:rFonts w:cs="Arial"/>
          <w:szCs w:val="21"/>
        </w:rPr>
      </w:pPr>
    </w:p>
    <w:p w14:paraId="647BACB4" w14:textId="77777777" w:rsidR="009021F1" w:rsidRPr="00000E66" w:rsidRDefault="009021F1" w:rsidP="009021F1">
      <w:pPr>
        <w:pStyle w:val="Paragraphedeliste"/>
        <w:autoSpaceDE w:val="0"/>
        <w:autoSpaceDN w:val="0"/>
        <w:adjustRightInd w:val="0"/>
        <w:ind w:left="851" w:hanging="851"/>
        <w:rPr>
          <w:rFonts w:cs="Arial"/>
          <w:szCs w:val="21"/>
        </w:rPr>
      </w:pPr>
      <w:r w:rsidRPr="00000E66">
        <w:rPr>
          <w:rFonts w:cs="Arial"/>
          <w:szCs w:val="21"/>
        </w:rPr>
        <w:t>Ministère de l’Agriculture, Pêche et Élevage, Cadre de Gestion Environnementale et Sociale du Projet d’Appui à la Réhabilitation et à la Relance du Secteur Agricole (PARRSA) Financement Additionnel (FA), Juin 2019</w:t>
      </w:r>
    </w:p>
    <w:p w14:paraId="779D634F" w14:textId="77777777" w:rsidR="009021F1" w:rsidRPr="00000E66" w:rsidRDefault="009021F1" w:rsidP="009021F1">
      <w:pPr>
        <w:pStyle w:val="Paragraphedeliste"/>
        <w:autoSpaceDE w:val="0"/>
        <w:autoSpaceDN w:val="0"/>
        <w:adjustRightInd w:val="0"/>
        <w:ind w:left="851" w:hanging="851"/>
        <w:rPr>
          <w:rFonts w:cs="Arial"/>
          <w:szCs w:val="21"/>
        </w:rPr>
      </w:pPr>
    </w:p>
    <w:p w14:paraId="6BF7B972" w14:textId="77777777" w:rsidR="009021F1" w:rsidRPr="00000E66" w:rsidRDefault="009021F1" w:rsidP="009021F1">
      <w:pPr>
        <w:pStyle w:val="Paragraphedeliste"/>
        <w:autoSpaceDE w:val="0"/>
        <w:autoSpaceDN w:val="0"/>
        <w:adjustRightInd w:val="0"/>
        <w:ind w:left="851" w:hanging="851"/>
        <w:rPr>
          <w:rFonts w:cs="Arial"/>
          <w:szCs w:val="21"/>
        </w:rPr>
      </w:pPr>
      <w:r w:rsidRPr="00000E66">
        <w:rPr>
          <w:rFonts w:cs="Arial"/>
          <w:szCs w:val="21"/>
        </w:rPr>
        <w:t>Ministère de l’Environnement et Développement Durable, Plan d’Actions National d’Adaptation aux changements climatiques (PANA), 2007</w:t>
      </w:r>
    </w:p>
    <w:p w14:paraId="19922C0C" w14:textId="77777777" w:rsidR="009021F1" w:rsidRPr="00000E66" w:rsidRDefault="009021F1" w:rsidP="009021F1">
      <w:pPr>
        <w:pStyle w:val="Paragraphedeliste"/>
        <w:autoSpaceDE w:val="0"/>
        <w:autoSpaceDN w:val="0"/>
        <w:adjustRightInd w:val="0"/>
        <w:ind w:left="851" w:hanging="851"/>
        <w:rPr>
          <w:rFonts w:cs="Arial"/>
          <w:szCs w:val="21"/>
        </w:rPr>
      </w:pPr>
    </w:p>
    <w:p w14:paraId="17B095EA" w14:textId="77777777" w:rsidR="009021F1" w:rsidRPr="00000E66" w:rsidRDefault="009021F1" w:rsidP="009021F1">
      <w:pPr>
        <w:pStyle w:val="Paragraphedeliste"/>
        <w:autoSpaceDE w:val="0"/>
        <w:autoSpaceDN w:val="0"/>
        <w:adjustRightInd w:val="0"/>
        <w:ind w:left="851" w:hanging="851"/>
        <w:rPr>
          <w:rFonts w:cs="Arial"/>
          <w:szCs w:val="21"/>
        </w:rPr>
      </w:pPr>
      <w:r w:rsidRPr="00000E66">
        <w:rPr>
          <w:rFonts w:cs="Arial"/>
          <w:szCs w:val="21"/>
        </w:rPr>
        <w:t>Ministère de l’Environnement et Développement Durable, Plan National d’Action Environnementale (PNAE), 1997</w:t>
      </w:r>
    </w:p>
    <w:p w14:paraId="6C73E568" w14:textId="77777777" w:rsidR="009021F1" w:rsidRPr="00000E66" w:rsidRDefault="009021F1" w:rsidP="009021F1">
      <w:pPr>
        <w:pStyle w:val="Paragraphedeliste"/>
        <w:autoSpaceDE w:val="0"/>
        <w:autoSpaceDN w:val="0"/>
        <w:adjustRightInd w:val="0"/>
        <w:ind w:left="851" w:hanging="851"/>
        <w:rPr>
          <w:rFonts w:cs="Arial"/>
          <w:szCs w:val="21"/>
        </w:rPr>
      </w:pPr>
    </w:p>
    <w:p w14:paraId="3534B7D9" w14:textId="77777777" w:rsidR="009021F1" w:rsidRPr="00000E66" w:rsidRDefault="009021F1" w:rsidP="009021F1">
      <w:pPr>
        <w:pStyle w:val="Paragraphedeliste"/>
        <w:autoSpaceDE w:val="0"/>
        <w:autoSpaceDN w:val="0"/>
        <w:adjustRightInd w:val="0"/>
        <w:ind w:left="851" w:hanging="851"/>
        <w:rPr>
          <w:rFonts w:cs="Arial"/>
          <w:szCs w:val="21"/>
        </w:rPr>
      </w:pPr>
      <w:r w:rsidRPr="00000E66">
        <w:rPr>
          <w:rFonts w:cs="Arial"/>
          <w:szCs w:val="21"/>
        </w:rPr>
        <w:t>Ministère de l’Urbanisme et Habitat, Cadre de Gestion Environnementale et Sociale du Projet de Développement Urbain, (PDU), Décembre 2017</w:t>
      </w:r>
    </w:p>
    <w:p w14:paraId="427DDD6B" w14:textId="77777777" w:rsidR="009021F1" w:rsidRPr="00000E66" w:rsidRDefault="009021F1" w:rsidP="009021F1">
      <w:pPr>
        <w:pStyle w:val="Paragraphedeliste"/>
        <w:autoSpaceDE w:val="0"/>
        <w:autoSpaceDN w:val="0"/>
        <w:adjustRightInd w:val="0"/>
        <w:ind w:left="851" w:hanging="851"/>
        <w:rPr>
          <w:rFonts w:cs="Arial"/>
          <w:szCs w:val="21"/>
        </w:rPr>
      </w:pPr>
    </w:p>
    <w:p w14:paraId="71A426B0" w14:textId="77777777" w:rsidR="009021F1" w:rsidRPr="00000E66" w:rsidRDefault="009021F1" w:rsidP="009021F1">
      <w:pPr>
        <w:pStyle w:val="Paragraphedeliste"/>
        <w:autoSpaceDE w:val="0"/>
        <w:autoSpaceDN w:val="0"/>
        <w:adjustRightInd w:val="0"/>
        <w:ind w:left="851" w:hanging="851"/>
        <w:rPr>
          <w:rFonts w:cs="Arial"/>
          <w:szCs w:val="21"/>
        </w:rPr>
      </w:pPr>
      <w:r w:rsidRPr="00000E66">
        <w:rPr>
          <w:rFonts w:cs="Arial"/>
          <w:szCs w:val="21"/>
        </w:rPr>
        <w:t>Ministère de la Santé Publique, Plan National de Développement Sanitaire (PNDS 2011-2015)</w:t>
      </w:r>
    </w:p>
    <w:p w14:paraId="416D1F74" w14:textId="77777777" w:rsidR="009021F1" w:rsidRPr="00000E66" w:rsidRDefault="009021F1" w:rsidP="009021F1">
      <w:pPr>
        <w:pStyle w:val="Paragraphedeliste"/>
        <w:autoSpaceDE w:val="0"/>
        <w:autoSpaceDN w:val="0"/>
        <w:adjustRightInd w:val="0"/>
        <w:ind w:left="851" w:hanging="851"/>
        <w:rPr>
          <w:rFonts w:cs="Arial"/>
          <w:szCs w:val="21"/>
        </w:rPr>
      </w:pPr>
    </w:p>
    <w:p w14:paraId="125C862D" w14:textId="77777777" w:rsidR="009021F1" w:rsidRPr="00000E66" w:rsidRDefault="009021F1" w:rsidP="009021F1">
      <w:pPr>
        <w:pStyle w:val="Paragraphedeliste"/>
        <w:autoSpaceDE w:val="0"/>
        <w:autoSpaceDN w:val="0"/>
        <w:adjustRightInd w:val="0"/>
        <w:ind w:left="851" w:hanging="851"/>
        <w:rPr>
          <w:rFonts w:cs="Arial"/>
          <w:szCs w:val="21"/>
        </w:rPr>
      </w:pPr>
      <w:r w:rsidRPr="00000E66">
        <w:rPr>
          <w:rFonts w:cs="Arial"/>
          <w:szCs w:val="21"/>
        </w:rPr>
        <w:t>Ministère des Affaires Sociales, Cadre de Gestion Environnementale et Sociale du Projet d’Inclusion Productive (PIP), mai 2018</w:t>
      </w:r>
    </w:p>
    <w:p w14:paraId="02942872" w14:textId="77777777" w:rsidR="009021F1" w:rsidRPr="00000E66" w:rsidRDefault="009021F1" w:rsidP="009021F1">
      <w:pPr>
        <w:pStyle w:val="Paragraphedeliste"/>
        <w:autoSpaceDE w:val="0"/>
        <w:autoSpaceDN w:val="0"/>
        <w:adjustRightInd w:val="0"/>
        <w:ind w:left="851" w:hanging="851"/>
        <w:rPr>
          <w:rFonts w:cs="Arial"/>
          <w:szCs w:val="21"/>
        </w:rPr>
      </w:pPr>
    </w:p>
    <w:p w14:paraId="08E04475" w14:textId="77777777" w:rsidR="009021F1" w:rsidRPr="00000E66" w:rsidRDefault="009021F1" w:rsidP="009021F1">
      <w:pPr>
        <w:pStyle w:val="Paragraphedeliste"/>
        <w:autoSpaceDE w:val="0"/>
        <w:autoSpaceDN w:val="0"/>
        <w:adjustRightInd w:val="0"/>
        <w:ind w:left="851" w:hanging="851"/>
        <w:rPr>
          <w:rFonts w:cs="Arial"/>
          <w:szCs w:val="21"/>
        </w:rPr>
      </w:pPr>
      <w:r w:rsidRPr="00000E66">
        <w:rPr>
          <w:rFonts w:cs="Arial"/>
          <w:szCs w:val="21"/>
        </w:rPr>
        <w:t>Ministère des Infrastructures et Travaux Publics, Cadre de Gestion Environnementale et Sociale du Projet KIN ELENDA, Juin 2020</w:t>
      </w:r>
    </w:p>
    <w:p w14:paraId="1EAEE1F9" w14:textId="77777777" w:rsidR="009021F1" w:rsidRPr="00000E66" w:rsidRDefault="009021F1" w:rsidP="009021F1">
      <w:pPr>
        <w:pStyle w:val="Paragraphedeliste"/>
        <w:autoSpaceDE w:val="0"/>
        <w:autoSpaceDN w:val="0"/>
        <w:adjustRightInd w:val="0"/>
        <w:ind w:left="851" w:hanging="851"/>
        <w:rPr>
          <w:rFonts w:cs="Arial"/>
          <w:szCs w:val="21"/>
        </w:rPr>
      </w:pPr>
    </w:p>
    <w:p w14:paraId="361FD109" w14:textId="77777777" w:rsidR="009021F1" w:rsidRPr="00000E66" w:rsidRDefault="009021F1" w:rsidP="009021F1">
      <w:pPr>
        <w:pStyle w:val="Paragraphedeliste"/>
        <w:autoSpaceDE w:val="0"/>
        <w:autoSpaceDN w:val="0"/>
        <w:adjustRightInd w:val="0"/>
        <w:ind w:left="851" w:hanging="851"/>
        <w:rPr>
          <w:rFonts w:cs="Arial"/>
          <w:szCs w:val="21"/>
        </w:rPr>
      </w:pPr>
      <w:r w:rsidRPr="00000E66">
        <w:rPr>
          <w:rFonts w:cs="Arial"/>
          <w:szCs w:val="21"/>
        </w:rPr>
        <w:t xml:space="preserve">Ministère du Commerce Extérieur, Cadre de Gestion Environnementale et Sociale du Projet de Facilitation du Commerce dans la région des Grands-Lacs (PFCGL), mars 2018 </w:t>
      </w:r>
    </w:p>
    <w:p w14:paraId="7DA30AB7" w14:textId="77777777" w:rsidR="009021F1" w:rsidRPr="00000E66" w:rsidRDefault="009021F1" w:rsidP="009021F1">
      <w:pPr>
        <w:pStyle w:val="Paragraphedeliste"/>
        <w:autoSpaceDE w:val="0"/>
        <w:autoSpaceDN w:val="0"/>
        <w:adjustRightInd w:val="0"/>
        <w:ind w:left="851" w:hanging="851"/>
        <w:rPr>
          <w:rFonts w:cs="Arial"/>
          <w:szCs w:val="21"/>
        </w:rPr>
      </w:pPr>
      <w:r w:rsidRPr="00000E66">
        <w:rPr>
          <w:rFonts w:cs="Arial"/>
          <w:szCs w:val="21"/>
        </w:rPr>
        <w:t>Ministère du Plan, Document de Stratégie de Croissance et de Réduction de la Pauvreté (DSCRP), Janvier 2017</w:t>
      </w:r>
    </w:p>
    <w:p w14:paraId="72DEF8BA" w14:textId="77777777" w:rsidR="009021F1" w:rsidRPr="00000E66" w:rsidRDefault="009021F1" w:rsidP="009021F1">
      <w:pPr>
        <w:pStyle w:val="Paragraphedeliste"/>
        <w:autoSpaceDE w:val="0"/>
        <w:autoSpaceDN w:val="0"/>
        <w:adjustRightInd w:val="0"/>
        <w:ind w:left="851" w:hanging="851"/>
        <w:rPr>
          <w:rFonts w:cs="Arial"/>
          <w:szCs w:val="21"/>
        </w:rPr>
      </w:pPr>
      <w:r w:rsidRPr="00000E66">
        <w:rPr>
          <w:rFonts w:cs="Arial"/>
          <w:szCs w:val="21"/>
        </w:rPr>
        <w:t>Stratégie nationale et le Plan d’actions de la Diversité biologique, 1999</w:t>
      </w:r>
    </w:p>
    <w:p w14:paraId="6EF8E749" w14:textId="77777777" w:rsidR="009021F1" w:rsidRPr="00000E66" w:rsidRDefault="009021F1" w:rsidP="009021F1">
      <w:pPr>
        <w:pStyle w:val="Paragraphedeliste"/>
        <w:autoSpaceDE w:val="0"/>
        <w:autoSpaceDN w:val="0"/>
        <w:adjustRightInd w:val="0"/>
        <w:ind w:left="851" w:hanging="851"/>
        <w:rPr>
          <w:rFonts w:cs="Arial"/>
          <w:szCs w:val="21"/>
        </w:rPr>
      </w:pPr>
    </w:p>
    <w:p w14:paraId="5DCDD520" w14:textId="77777777" w:rsidR="009021F1" w:rsidRPr="00000E66" w:rsidRDefault="009021F1" w:rsidP="009021F1">
      <w:pPr>
        <w:pStyle w:val="Paragraphedeliste"/>
        <w:autoSpaceDE w:val="0"/>
        <w:autoSpaceDN w:val="0"/>
        <w:adjustRightInd w:val="0"/>
        <w:ind w:left="851" w:hanging="851"/>
        <w:rPr>
          <w:rFonts w:cs="Arial"/>
          <w:szCs w:val="21"/>
        </w:rPr>
      </w:pPr>
    </w:p>
    <w:p w14:paraId="3C762556" w14:textId="77777777" w:rsidR="009021F1" w:rsidRPr="00000E66" w:rsidRDefault="009021F1" w:rsidP="009021F1">
      <w:pPr>
        <w:pStyle w:val="Paragraphedeliste"/>
        <w:autoSpaceDE w:val="0"/>
        <w:autoSpaceDN w:val="0"/>
        <w:adjustRightInd w:val="0"/>
        <w:ind w:left="851" w:hanging="851"/>
        <w:rPr>
          <w:rFonts w:cs="Arial"/>
          <w:i/>
          <w:szCs w:val="21"/>
        </w:rPr>
      </w:pPr>
      <w:r w:rsidRPr="00000E66">
        <w:rPr>
          <w:rFonts w:cs="Arial"/>
          <w:i/>
          <w:szCs w:val="21"/>
        </w:rPr>
        <w:t>Webographie</w:t>
      </w:r>
    </w:p>
    <w:p w14:paraId="1B831F9F" w14:textId="77777777" w:rsidR="009021F1" w:rsidRPr="00000E66" w:rsidRDefault="009021F1" w:rsidP="009021F1">
      <w:pPr>
        <w:pStyle w:val="Paragraphedeliste"/>
        <w:autoSpaceDE w:val="0"/>
        <w:autoSpaceDN w:val="0"/>
        <w:adjustRightInd w:val="0"/>
        <w:ind w:left="851" w:hanging="851"/>
        <w:rPr>
          <w:rFonts w:cs="Arial"/>
          <w:szCs w:val="21"/>
        </w:rPr>
      </w:pPr>
    </w:p>
    <w:p w14:paraId="1060E644" w14:textId="77777777" w:rsidR="009021F1" w:rsidRPr="00000E66" w:rsidRDefault="00B22F56" w:rsidP="009021F1">
      <w:pPr>
        <w:autoSpaceDE w:val="0"/>
        <w:autoSpaceDN w:val="0"/>
        <w:adjustRightInd w:val="0"/>
        <w:spacing w:line="240" w:lineRule="auto"/>
        <w:ind w:left="851" w:hanging="851"/>
        <w:jc w:val="left"/>
        <w:rPr>
          <w:rFonts w:eastAsia="Calibri" w:cs="Arial"/>
          <w:color w:val="0563C2"/>
          <w:szCs w:val="21"/>
          <w:lang w:eastAsia="en-US"/>
        </w:rPr>
      </w:pPr>
      <w:hyperlink r:id="rId104" w:history="1">
        <w:r w:rsidR="009021F1" w:rsidRPr="00000E66">
          <w:rPr>
            <w:rStyle w:val="Lienhypertexte"/>
            <w:rFonts w:eastAsia="Calibri" w:cs="Arial"/>
            <w:szCs w:val="21"/>
            <w:lang w:eastAsia="en-US"/>
          </w:rPr>
          <w:t>http://pubdocs.worldbank.org/en/979391548951977252/ESF-Good-Practice-Notes-on-Security-Personnel-français.pdf</w:t>
        </w:r>
      </w:hyperlink>
    </w:p>
    <w:p w14:paraId="706E6776" w14:textId="77777777" w:rsidR="009021F1" w:rsidRPr="00000E66" w:rsidRDefault="009021F1" w:rsidP="009021F1">
      <w:pPr>
        <w:autoSpaceDE w:val="0"/>
        <w:autoSpaceDN w:val="0"/>
        <w:adjustRightInd w:val="0"/>
        <w:spacing w:line="240" w:lineRule="auto"/>
        <w:ind w:left="851" w:hanging="851"/>
        <w:jc w:val="left"/>
        <w:rPr>
          <w:rStyle w:val="Lienhypertexte"/>
          <w:rFonts w:eastAsia="Calibri"/>
          <w:szCs w:val="21"/>
        </w:rPr>
      </w:pPr>
    </w:p>
    <w:p w14:paraId="568412E0" w14:textId="77777777" w:rsidR="009021F1" w:rsidRPr="00000E66" w:rsidRDefault="009021F1" w:rsidP="009021F1">
      <w:pPr>
        <w:autoSpaceDE w:val="0"/>
        <w:autoSpaceDN w:val="0"/>
        <w:adjustRightInd w:val="0"/>
        <w:spacing w:line="240" w:lineRule="auto"/>
        <w:ind w:left="851" w:hanging="851"/>
        <w:jc w:val="left"/>
        <w:rPr>
          <w:rStyle w:val="Lienhypertexte"/>
          <w:rFonts w:eastAsia="Calibri"/>
          <w:szCs w:val="21"/>
        </w:rPr>
      </w:pPr>
      <w:r w:rsidRPr="00000E66">
        <w:rPr>
          <w:rStyle w:val="Lienhypertexte"/>
          <w:rFonts w:eastAsia="Calibri"/>
          <w:szCs w:val="21"/>
        </w:rPr>
        <w:t>https://ispan.worldbank.org/sites/ppf3/PPFDocuments/3117cd9a95234f79bd3302200981ca60.pdf</w:t>
      </w:r>
    </w:p>
    <w:p w14:paraId="23D502B4" w14:textId="77777777" w:rsidR="009021F1" w:rsidRPr="00000E66" w:rsidRDefault="009021F1" w:rsidP="009021F1">
      <w:pPr>
        <w:autoSpaceDE w:val="0"/>
        <w:autoSpaceDN w:val="0"/>
        <w:adjustRightInd w:val="0"/>
        <w:spacing w:line="240" w:lineRule="auto"/>
        <w:ind w:left="851" w:hanging="851"/>
        <w:jc w:val="left"/>
        <w:rPr>
          <w:rStyle w:val="Lienhypertexte"/>
          <w:rFonts w:eastAsia="Calibri"/>
          <w:szCs w:val="21"/>
        </w:rPr>
      </w:pPr>
    </w:p>
    <w:p w14:paraId="3DD57960" w14:textId="77777777" w:rsidR="009021F1" w:rsidRPr="00000E66" w:rsidRDefault="009021F1" w:rsidP="009021F1">
      <w:pPr>
        <w:autoSpaceDE w:val="0"/>
        <w:autoSpaceDN w:val="0"/>
        <w:adjustRightInd w:val="0"/>
        <w:spacing w:line="240" w:lineRule="auto"/>
        <w:ind w:left="851" w:hanging="851"/>
        <w:jc w:val="left"/>
        <w:rPr>
          <w:rStyle w:val="Lienhypertexte"/>
          <w:rFonts w:eastAsia="Calibri"/>
          <w:szCs w:val="21"/>
        </w:rPr>
      </w:pPr>
      <w:r w:rsidRPr="00000E66">
        <w:rPr>
          <w:rStyle w:val="Lienhypertexte"/>
          <w:rFonts w:eastAsia="Calibri"/>
          <w:szCs w:val="21"/>
        </w:rPr>
        <w:t>https://worldbankgroup.sharepoint.com/sites/wbunits/opcs/Knowledge%20Base/Public%20Consultations%20in%20WB%20Operations.pdf</w:t>
      </w:r>
    </w:p>
    <w:p w14:paraId="419E2461" w14:textId="77777777" w:rsidR="009021F1" w:rsidRPr="00000E66" w:rsidRDefault="009021F1" w:rsidP="009021F1">
      <w:pPr>
        <w:autoSpaceDE w:val="0"/>
        <w:autoSpaceDN w:val="0"/>
        <w:adjustRightInd w:val="0"/>
        <w:spacing w:line="240" w:lineRule="auto"/>
        <w:ind w:left="851" w:hanging="851"/>
        <w:jc w:val="left"/>
        <w:rPr>
          <w:rStyle w:val="Lienhypertexte"/>
          <w:rFonts w:eastAsia="Calibri"/>
          <w:szCs w:val="21"/>
        </w:rPr>
      </w:pPr>
    </w:p>
    <w:p w14:paraId="6AE6622C" w14:textId="77777777" w:rsidR="009021F1" w:rsidRPr="00000E66" w:rsidRDefault="009021F1" w:rsidP="009021F1">
      <w:pPr>
        <w:autoSpaceDE w:val="0"/>
        <w:autoSpaceDN w:val="0"/>
        <w:adjustRightInd w:val="0"/>
        <w:spacing w:line="240" w:lineRule="auto"/>
        <w:ind w:left="851" w:hanging="851"/>
        <w:jc w:val="left"/>
        <w:rPr>
          <w:rStyle w:val="Lienhypertexte"/>
          <w:rFonts w:eastAsia="Calibri"/>
          <w:szCs w:val="21"/>
        </w:rPr>
      </w:pPr>
      <w:r w:rsidRPr="00000E66">
        <w:rPr>
          <w:rStyle w:val="Lienhypertexte"/>
          <w:rFonts w:eastAsia="Calibri"/>
          <w:szCs w:val="21"/>
        </w:rPr>
        <w:t>https://www.ifc.org/wps/wcm/connect/topics_ext_content/ifc_external_corporate_site/sustainability-at-ifc/policies-standards/ehs-guidelines</w:t>
      </w:r>
    </w:p>
    <w:p w14:paraId="23511005" w14:textId="77777777" w:rsidR="009021F1" w:rsidRPr="00000E66" w:rsidRDefault="009021F1" w:rsidP="009021F1">
      <w:pPr>
        <w:autoSpaceDE w:val="0"/>
        <w:autoSpaceDN w:val="0"/>
        <w:adjustRightInd w:val="0"/>
        <w:spacing w:line="240" w:lineRule="auto"/>
        <w:ind w:left="851" w:hanging="851"/>
        <w:jc w:val="left"/>
        <w:rPr>
          <w:rStyle w:val="Lienhypertexte"/>
          <w:rFonts w:eastAsia="Calibri"/>
          <w:szCs w:val="21"/>
        </w:rPr>
      </w:pPr>
    </w:p>
    <w:p w14:paraId="77E06827" w14:textId="77777777" w:rsidR="009021F1" w:rsidRPr="00000E66" w:rsidRDefault="009021F1" w:rsidP="009021F1">
      <w:pPr>
        <w:autoSpaceDE w:val="0"/>
        <w:autoSpaceDN w:val="0"/>
        <w:adjustRightInd w:val="0"/>
        <w:spacing w:line="240" w:lineRule="auto"/>
        <w:ind w:left="851" w:hanging="851"/>
        <w:jc w:val="left"/>
        <w:rPr>
          <w:rStyle w:val="Lienhypertexte"/>
          <w:rFonts w:eastAsia="Calibri"/>
          <w:szCs w:val="21"/>
          <w:lang w:val="en-US"/>
        </w:rPr>
      </w:pPr>
      <w:r w:rsidRPr="00000E66">
        <w:rPr>
          <w:rStyle w:val="Lienhypertexte"/>
          <w:rFonts w:eastAsia="Calibri"/>
          <w:szCs w:val="21"/>
          <w:lang w:val="en-US"/>
        </w:rPr>
        <w:t>www.</w:t>
      </w:r>
      <w:hyperlink r:id="rId105" w:history="1">
        <w:r w:rsidRPr="00000E66">
          <w:rPr>
            <w:rStyle w:val="Lienhypertexte"/>
            <w:rFonts w:eastAsia="Calibri"/>
            <w:szCs w:val="21"/>
            <w:lang w:val="en-US"/>
          </w:rPr>
          <w:t>https://worldbankgroup.sharepoint.com/sites/wbunits/opcs/Knowledge%20Base/Public%20Consulta</w:t>
        </w:r>
      </w:hyperlink>
      <w:r w:rsidRPr="00000E66">
        <w:rPr>
          <w:rStyle w:val="Lienhypertexte"/>
          <w:rFonts w:eastAsia="Calibri"/>
          <w:szCs w:val="21"/>
          <w:lang w:val="en-US"/>
        </w:rPr>
        <w:t xml:space="preserve"> tions%20in%20WB%20Operations.pdf</w:t>
      </w:r>
    </w:p>
    <w:p w14:paraId="7708A649" w14:textId="77777777" w:rsidR="009021F1" w:rsidRPr="00000E66" w:rsidRDefault="009021F1" w:rsidP="009021F1">
      <w:pPr>
        <w:autoSpaceDE w:val="0"/>
        <w:autoSpaceDN w:val="0"/>
        <w:adjustRightInd w:val="0"/>
        <w:spacing w:line="240" w:lineRule="auto"/>
        <w:ind w:left="851" w:hanging="851"/>
        <w:jc w:val="left"/>
        <w:rPr>
          <w:rStyle w:val="Lienhypertexte"/>
          <w:rFonts w:eastAsia="Calibri"/>
          <w:szCs w:val="21"/>
          <w:lang w:val="en-US" w:eastAsia="en-US"/>
        </w:rPr>
      </w:pPr>
    </w:p>
    <w:p w14:paraId="21E0441E" w14:textId="77777777" w:rsidR="009021F1" w:rsidRPr="00000E66" w:rsidRDefault="009021F1" w:rsidP="009021F1">
      <w:pPr>
        <w:autoSpaceDE w:val="0"/>
        <w:autoSpaceDN w:val="0"/>
        <w:adjustRightInd w:val="0"/>
        <w:spacing w:line="240" w:lineRule="auto"/>
        <w:ind w:left="851" w:hanging="851"/>
        <w:jc w:val="left"/>
        <w:rPr>
          <w:rStyle w:val="Lienhypertexte"/>
          <w:rFonts w:eastAsia="Calibri"/>
          <w:szCs w:val="21"/>
          <w:lang w:val="en-US" w:eastAsia="en-US"/>
        </w:rPr>
      </w:pPr>
      <w:r w:rsidRPr="00000E66">
        <w:rPr>
          <w:rStyle w:val="Lienhypertexte"/>
          <w:rFonts w:eastAsia="Calibri"/>
          <w:szCs w:val="21"/>
          <w:lang w:val="en-US" w:eastAsia="en-US"/>
        </w:rPr>
        <w:t xml:space="preserve">www.https://www.ifc.org/wps/wcm/connect/topics_ext_content/ifc_external_corporate_site/sustainability-at- ifc /policies-standards/ ehs -guidelines y-at- ifc/policies-standards/ ehs -guidelines y-at-ifc/policies-standards//policies-standards/ehs-guidelines </w:t>
      </w:r>
    </w:p>
    <w:p w14:paraId="33A207A5" w14:textId="77777777" w:rsidR="009021F1" w:rsidRPr="00000E66" w:rsidRDefault="009021F1" w:rsidP="009021F1">
      <w:pPr>
        <w:autoSpaceDE w:val="0"/>
        <w:autoSpaceDN w:val="0"/>
        <w:adjustRightInd w:val="0"/>
        <w:spacing w:line="240" w:lineRule="auto"/>
        <w:jc w:val="left"/>
        <w:rPr>
          <w:rFonts w:ascii="Calibri" w:eastAsia="Calibri" w:hAnsi="Calibri"/>
          <w:color w:val="000000"/>
          <w:szCs w:val="21"/>
          <w:lang w:val="en-US" w:eastAsia="en-US"/>
        </w:rPr>
      </w:pPr>
    </w:p>
    <w:p w14:paraId="6A0C0920" w14:textId="77777777" w:rsidR="009021F1" w:rsidRPr="00000E66" w:rsidRDefault="009021F1" w:rsidP="009021F1">
      <w:pPr>
        <w:pStyle w:val="Paragraphedeliste"/>
        <w:autoSpaceDE w:val="0"/>
        <w:autoSpaceDN w:val="0"/>
        <w:adjustRightInd w:val="0"/>
        <w:ind w:left="851" w:hanging="851"/>
        <w:rPr>
          <w:rFonts w:cs="Arial"/>
          <w:b/>
          <w:szCs w:val="21"/>
          <w:lang w:val="en-US"/>
        </w:rPr>
      </w:pPr>
    </w:p>
    <w:p w14:paraId="6AC6F5B3" w14:textId="77777777" w:rsidR="009021F1" w:rsidRDefault="009021F1" w:rsidP="009021F1">
      <w:pPr>
        <w:spacing w:line="240" w:lineRule="auto"/>
        <w:jc w:val="left"/>
        <w:rPr>
          <w:lang w:val="en-US"/>
        </w:rPr>
      </w:pPr>
      <w:r w:rsidRPr="00000E66">
        <w:rPr>
          <w:szCs w:val="21"/>
          <w:lang w:val="en-US"/>
        </w:rPr>
        <w:br w:type="page"/>
      </w:r>
    </w:p>
    <w:p w14:paraId="6DCCD580" w14:textId="77777777" w:rsidR="009021F1" w:rsidRDefault="009021F1" w:rsidP="009021F1">
      <w:pPr>
        <w:rPr>
          <w:lang w:val="en-US"/>
        </w:rPr>
      </w:pPr>
    </w:p>
    <w:p w14:paraId="66278AE8" w14:textId="77777777" w:rsidR="009021F1" w:rsidRDefault="009021F1" w:rsidP="009021F1">
      <w:pPr>
        <w:rPr>
          <w:lang w:val="en-US"/>
        </w:rPr>
      </w:pPr>
    </w:p>
    <w:p w14:paraId="1608C66B" w14:textId="77777777" w:rsidR="009021F1" w:rsidRDefault="009021F1" w:rsidP="009021F1">
      <w:pPr>
        <w:rPr>
          <w:lang w:val="en-US"/>
        </w:rPr>
      </w:pPr>
    </w:p>
    <w:p w14:paraId="69B0AC11" w14:textId="77777777" w:rsidR="009021F1" w:rsidRDefault="009021F1" w:rsidP="009021F1">
      <w:pPr>
        <w:rPr>
          <w:lang w:val="en-US"/>
        </w:rPr>
      </w:pPr>
    </w:p>
    <w:p w14:paraId="39C60708" w14:textId="77777777" w:rsidR="009021F1" w:rsidRDefault="009021F1" w:rsidP="009021F1">
      <w:pPr>
        <w:rPr>
          <w:lang w:val="en-US"/>
        </w:rPr>
      </w:pPr>
    </w:p>
    <w:p w14:paraId="7D08853C" w14:textId="77777777" w:rsidR="009021F1" w:rsidRDefault="009021F1" w:rsidP="009021F1">
      <w:pPr>
        <w:rPr>
          <w:lang w:val="en-US"/>
        </w:rPr>
      </w:pPr>
    </w:p>
    <w:p w14:paraId="4AEC4C00" w14:textId="77777777" w:rsidR="009021F1" w:rsidRDefault="009021F1" w:rsidP="009021F1">
      <w:pPr>
        <w:rPr>
          <w:lang w:val="en-US"/>
        </w:rPr>
      </w:pPr>
    </w:p>
    <w:p w14:paraId="662C89EB" w14:textId="77777777" w:rsidR="009021F1" w:rsidRDefault="009021F1" w:rsidP="009021F1">
      <w:pPr>
        <w:rPr>
          <w:lang w:val="en-US"/>
        </w:rPr>
      </w:pPr>
    </w:p>
    <w:p w14:paraId="55B3E81E" w14:textId="77777777" w:rsidR="009021F1" w:rsidRDefault="009021F1" w:rsidP="009021F1">
      <w:pPr>
        <w:rPr>
          <w:lang w:val="en-US"/>
        </w:rPr>
      </w:pPr>
    </w:p>
    <w:p w14:paraId="71DCA861" w14:textId="77777777" w:rsidR="009021F1" w:rsidRDefault="009021F1" w:rsidP="009021F1">
      <w:pPr>
        <w:rPr>
          <w:lang w:val="en-US"/>
        </w:rPr>
      </w:pPr>
    </w:p>
    <w:p w14:paraId="39347724" w14:textId="77777777" w:rsidR="009021F1" w:rsidRDefault="009021F1" w:rsidP="009021F1">
      <w:pPr>
        <w:rPr>
          <w:lang w:val="en-US"/>
        </w:rPr>
      </w:pPr>
    </w:p>
    <w:p w14:paraId="2CCB7B1E" w14:textId="77777777" w:rsidR="009021F1" w:rsidRDefault="009021F1" w:rsidP="009021F1">
      <w:pPr>
        <w:rPr>
          <w:lang w:val="en-US"/>
        </w:rPr>
      </w:pPr>
    </w:p>
    <w:p w14:paraId="153EFBFA" w14:textId="77777777" w:rsidR="009021F1" w:rsidRDefault="009021F1" w:rsidP="009021F1">
      <w:pPr>
        <w:rPr>
          <w:lang w:val="en-US"/>
        </w:rPr>
      </w:pPr>
    </w:p>
    <w:p w14:paraId="2C5563A3" w14:textId="77777777" w:rsidR="009021F1" w:rsidRDefault="009021F1" w:rsidP="009021F1">
      <w:pPr>
        <w:rPr>
          <w:lang w:val="en-US"/>
        </w:rPr>
      </w:pPr>
    </w:p>
    <w:p w14:paraId="62DC386F" w14:textId="77777777" w:rsidR="009021F1" w:rsidRDefault="009021F1" w:rsidP="009021F1">
      <w:pPr>
        <w:rPr>
          <w:lang w:val="en-US"/>
        </w:rPr>
      </w:pPr>
    </w:p>
    <w:p w14:paraId="356DDA75" w14:textId="77777777" w:rsidR="009021F1" w:rsidRDefault="009021F1" w:rsidP="009021F1">
      <w:pPr>
        <w:rPr>
          <w:lang w:val="en-US"/>
        </w:rPr>
      </w:pPr>
    </w:p>
    <w:p w14:paraId="52629611" w14:textId="77777777" w:rsidR="009021F1" w:rsidRDefault="009021F1" w:rsidP="009021F1">
      <w:pPr>
        <w:rPr>
          <w:lang w:val="en-US"/>
        </w:rPr>
      </w:pPr>
    </w:p>
    <w:p w14:paraId="2B23E2AB" w14:textId="77777777" w:rsidR="009021F1" w:rsidRDefault="009021F1" w:rsidP="009021F1">
      <w:pPr>
        <w:rPr>
          <w:lang w:val="en-US"/>
        </w:rPr>
      </w:pPr>
    </w:p>
    <w:p w14:paraId="1ABB8175" w14:textId="77777777" w:rsidR="009021F1" w:rsidRDefault="009021F1" w:rsidP="009021F1">
      <w:pPr>
        <w:rPr>
          <w:lang w:val="en-US"/>
        </w:rPr>
      </w:pPr>
    </w:p>
    <w:p w14:paraId="266215FC" w14:textId="77777777" w:rsidR="009021F1" w:rsidRDefault="009021F1" w:rsidP="009021F1">
      <w:pPr>
        <w:rPr>
          <w:lang w:val="en-US"/>
        </w:rPr>
      </w:pPr>
    </w:p>
    <w:p w14:paraId="1BF22C08" w14:textId="77777777" w:rsidR="009021F1" w:rsidRDefault="009021F1" w:rsidP="009021F1">
      <w:pPr>
        <w:rPr>
          <w:lang w:val="en-US"/>
        </w:rPr>
      </w:pPr>
    </w:p>
    <w:p w14:paraId="348FED53" w14:textId="77777777" w:rsidR="009021F1" w:rsidRDefault="009021F1" w:rsidP="009021F1">
      <w:pPr>
        <w:rPr>
          <w:lang w:val="en-US"/>
        </w:rPr>
      </w:pPr>
    </w:p>
    <w:p w14:paraId="10904865" w14:textId="77777777" w:rsidR="009021F1" w:rsidRPr="00763AEF" w:rsidRDefault="009021F1" w:rsidP="009021F1">
      <w:pPr>
        <w:rPr>
          <w:lang w:val="en-US"/>
        </w:rPr>
      </w:pPr>
    </w:p>
    <w:p w14:paraId="0A3609DC" w14:textId="77777777" w:rsidR="009021F1" w:rsidRDefault="009021F1" w:rsidP="009021F1">
      <w:pPr>
        <w:pStyle w:val="Titre1"/>
        <w:numPr>
          <w:ilvl w:val="0"/>
          <w:numId w:val="4"/>
        </w:numPr>
        <w:jc w:val="center"/>
        <w:rPr>
          <w:rFonts w:cs="Arial"/>
          <w:sz w:val="22"/>
          <w:szCs w:val="22"/>
        </w:rPr>
      </w:pPr>
      <w:bookmarkStart w:id="480" w:name="_Toc90471586"/>
      <w:r w:rsidRPr="00DD6E4F">
        <w:rPr>
          <w:rFonts w:cs="Arial"/>
          <w:sz w:val="22"/>
          <w:szCs w:val="22"/>
        </w:rPr>
        <w:t>ANNEXES</w:t>
      </w:r>
      <w:bookmarkEnd w:id="480"/>
    </w:p>
    <w:p w14:paraId="5624F51E" w14:textId="77777777" w:rsidR="009021F1" w:rsidRDefault="009021F1" w:rsidP="009021F1"/>
    <w:p w14:paraId="62DC6294" w14:textId="77777777" w:rsidR="009021F1" w:rsidRDefault="009021F1" w:rsidP="009021F1"/>
    <w:p w14:paraId="3BBEAA12" w14:textId="77777777" w:rsidR="009021F1" w:rsidRDefault="009021F1" w:rsidP="009021F1"/>
    <w:p w14:paraId="1C8F5A5E" w14:textId="77777777" w:rsidR="009021F1" w:rsidRDefault="009021F1" w:rsidP="009021F1"/>
    <w:p w14:paraId="428A9C38" w14:textId="77777777" w:rsidR="009021F1" w:rsidRDefault="009021F1" w:rsidP="009021F1"/>
    <w:p w14:paraId="5A97E28A" w14:textId="77777777" w:rsidR="009021F1" w:rsidRDefault="009021F1" w:rsidP="009021F1"/>
    <w:p w14:paraId="0FDAABF1" w14:textId="77777777" w:rsidR="009021F1" w:rsidRDefault="009021F1" w:rsidP="009021F1"/>
    <w:p w14:paraId="5302EDED" w14:textId="77777777" w:rsidR="009021F1" w:rsidRDefault="009021F1" w:rsidP="009021F1"/>
    <w:p w14:paraId="326E91D6" w14:textId="77777777" w:rsidR="009021F1" w:rsidRDefault="009021F1" w:rsidP="009021F1"/>
    <w:p w14:paraId="56DD986E" w14:textId="77777777" w:rsidR="009021F1" w:rsidRDefault="009021F1" w:rsidP="009021F1"/>
    <w:p w14:paraId="0E2D9E10" w14:textId="77777777" w:rsidR="009021F1" w:rsidRDefault="009021F1" w:rsidP="009021F1"/>
    <w:p w14:paraId="07158716" w14:textId="77777777" w:rsidR="009021F1" w:rsidRDefault="009021F1" w:rsidP="009021F1"/>
    <w:p w14:paraId="5FEBFE1A" w14:textId="77777777" w:rsidR="009021F1" w:rsidRDefault="009021F1" w:rsidP="009021F1"/>
    <w:p w14:paraId="7B80249A" w14:textId="77777777" w:rsidR="009021F1" w:rsidRDefault="009021F1" w:rsidP="009021F1"/>
    <w:p w14:paraId="7E091D21" w14:textId="77777777" w:rsidR="009021F1" w:rsidRDefault="009021F1" w:rsidP="009021F1"/>
    <w:p w14:paraId="3EAF7E7D" w14:textId="77777777" w:rsidR="009021F1" w:rsidRDefault="009021F1" w:rsidP="009021F1"/>
    <w:p w14:paraId="6D9452DB" w14:textId="77777777" w:rsidR="009021F1" w:rsidRDefault="009021F1" w:rsidP="009021F1"/>
    <w:p w14:paraId="6E3B8667" w14:textId="77777777" w:rsidR="009021F1" w:rsidRDefault="009021F1" w:rsidP="009021F1"/>
    <w:p w14:paraId="7CA01E84" w14:textId="77777777" w:rsidR="009021F1" w:rsidRDefault="009021F1" w:rsidP="009021F1"/>
    <w:p w14:paraId="25BFACF5" w14:textId="77777777" w:rsidR="009021F1" w:rsidRDefault="009021F1" w:rsidP="009021F1"/>
    <w:p w14:paraId="455B0859" w14:textId="77777777" w:rsidR="009021F1" w:rsidRDefault="009021F1" w:rsidP="009021F1"/>
    <w:p w14:paraId="505C13E6" w14:textId="77777777" w:rsidR="009021F1" w:rsidRDefault="009021F1" w:rsidP="009021F1"/>
    <w:p w14:paraId="77744906" w14:textId="77777777" w:rsidR="009021F1" w:rsidRDefault="009021F1" w:rsidP="009021F1"/>
    <w:p w14:paraId="43226FA7" w14:textId="77777777" w:rsidR="009021F1" w:rsidRDefault="009021F1" w:rsidP="009021F1"/>
    <w:p w14:paraId="1B2238E8" w14:textId="77777777" w:rsidR="009021F1" w:rsidRDefault="009021F1" w:rsidP="009021F1"/>
    <w:p w14:paraId="0AEDCA97" w14:textId="77777777" w:rsidR="009021F1" w:rsidRDefault="009021F1" w:rsidP="009021F1"/>
    <w:p w14:paraId="5F81C012" w14:textId="77777777" w:rsidR="009021F1" w:rsidRDefault="009021F1" w:rsidP="009021F1"/>
    <w:p w14:paraId="0FB25BBE" w14:textId="77777777" w:rsidR="009021F1" w:rsidRDefault="009021F1" w:rsidP="009021F1"/>
    <w:p w14:paraId="48763C66" w14:textId="77777777" w:rsidR="009021F1" w:rsidRDefault="009021F1" w:rsidP="009021F1"/>
    <w:p w14:paraId="7AF7ED9E" w14:textId="0D49B434" w:rsidR="009021F1" w:rsidRPr="00A31C45" w:rsidRDefault="009021F1" w:rsidP="009021F1">
      <w:pPr>
        <w:pStyle w:val="Titre1"/>
        <w:tabs>
          <w:tab w:val="right" w:pos="9062"/>
        </w:tabs>
        <w:ind w:left="1276" w:hanging="1276"/>
        <w:rPr>
          <w:rFonts w:cs="Arial"/>
          <w:bCs w:val="0"/>
          <w:szCs w:val="21"/>
        </w:rPr>
      </w:pPr>
      <w:bookmarkStart w:id="481" w:name="_Toc90471587"/>
      <w:r w:rsidRPr="00A31C45">
        <w:rPr>
          <w:rFonts w:cs="Arial"/>
          <w:szCs w:val="21"/>
        </w:rPr>
        <w:t>ANNEXE 1. FORMULAIRE DE SÉLECTION ENVIRONNEMENTALE ET SOCIALE</w:t>
      </w:r>
      <w:bookmarkEnd w:id="481"/>
      <w:r w:rsidRPr="00A31C45">
        <w:rPr>
          <w:rFonts w:cs="Arial"/>
          <w:bCs w:val="0"/>
          <w:szCs w:val="21"/>
        </w:rPr>
        <w:t xml:space="preserve"> </w:t>
      </w:r>
    </w:p>
    <w:p w14:paraId="1463BB11" w14:textId="77777777" w:rsidR="009021F1" w:rsidRPr="00A31C45" w:rsidRDefault="009021F1" w:rsidP="009021F1">
      <w:pPr>
        <w:ind w:right="397"/>
        <w:rPr>
          <w:rFonts w:cs="Arial"/>
          <w:szCs w:val="21"/>
        </w:rPr>
      </w:pPr>
    </w:p>
    <w:p w14:paraId="510C279C" w14:textId="77777777" w:rsidR="009021F1" w:rsidRPr="00A31C45" w:rsidRDefault="009021F1" w:rsidP="009021F1">
      <w:pPr>
        <w:rPr>
          <w:szCs w:val="21"/>
        </w:rPr>
      </w:pPr>
      <w:r w:rsidRPr="00A31C45">
        <w:rPr>
          <w:szCs w:val="21"/>
        </w:rPr>
        <w:t>Classification des risques environnementaux et sociaux des sous-projets du PNDA</w:t>
      </w:r>
    </w:p>
    <w:p w14:paraId="5A585A7F" w14:textId="77777777" w:rsidR="009021F1" w:rsidRPr="00A31C45" w:rsidRDefault="009021F1" w:rsidP="009021F1">
      <w:pPr>
        <w:rPr>
          <w:szCs w:val="21"/>
        </w:rPr>
      </w:pPr>
    </w:p>
    <w:p w14:paraId="0A949747" w14:textId="77777777" w:rsidR="009021F1" w:rsidRPr="00A31C45" w:rsidRDefault="009021F1" w:rsidP="009021F1">
      <w:pPr>
        <w:rPr>
          <w:szCs w:val="21"/>
        </w:rPr>
      </w:pPr>
      <w:r w:rsidRPr="00A31C45">
        <w:rPr>
          <w:szCs w:val="21"/>
        </w:rPr>
        <w:t>La classification des sous-projets du PNDA se fera conformément aux directives du nouveau Cadre environnemental et social (CES) de la Banque mondiale, qui permet de classer tous les sous-projets (y compris ceux faisant intervenir des intermédiaires financiers) selon le niveau de risque environnemental et social dans l’une des quatre catégories suivantes : </w:t>
      </w:r>
      <w:r w:rsidRPr="00A31C45">
        <w:rPr>
          <w:i/>
          <w:szCs w:val="21"/>
        </w:rPr>
        <w:t>Risque élevé, risque substantiel, risque modéré ou risque faible</w:t>
      </w:r>
      <w:r w:rsidRPr="00A31C45">
        <w:rPr>
          <w:szCs w:val="21"/>
        </w:rPr>
        <w:t xml:space="preserve">. </w:t>
      </w:r>
    </w:p>
    <w:p w14:paraId="017C29CE" w14:textId="77777777" w:rsidR="009021F1" w:rsidRPr="00A31C45" w:rsidRDefault="009021F1" w:rsidP="009021F1">
      <w:pPr>
        <w:rPr>
          <w:szCs w:val="21"/>
        </w:rPr>
      </w:pPr>
    </w:p>
    <w:p w14:paraId="135C815B" w14:textId="77777777" w:rsidR="009021F1" w:rsidRPr="00A31C45" w:rsidRDefault="009021F1" w:rsidP="009021F1">
      <w:pPr>
        <w:rPr>
          <w:szCs w:val="21"/>
        </w:rPr>
      </w:pPr>
      <w:r w:rsidRPr="00A31C45">
        <w:rPr>
          <w:szCs w:val="21"/>
        </w:rPr>
        <w:t xml:space="preserve">L’équipe de mise en œuvre du projet entreprendront cette sélection environnementale et sociale des sous-projet dans le but d’évaluer les risques et effets environnementaux et sociaux, et proposer ainsi les mesures de mitigations qui s’imposent, proportionnées aux risques et effets potentiels, y compris la définition du document de sauvegardes environnementale et Sociale à préparer.  </w:t>
      </w:r>
    </w:p>
    <w:p w14:paraId="5EDB3867" w14:textId="77777777" w:rsidR="009021F1" w:rsidRPr="00A31C45" w:rsidRDefault="009021F1" w:rsidP="009021F1">
      <w:pPr>
        <w:rPr>
          <w:szCs w:val="21"/>
        </w:rPr>
      </w:pPr>
    </w:p>
    <w:p w14:paraId="1B0FC38A" w14:textId="77777777" w:rsidR="009021F1" w:rsidRPr="00A31C45" w:rsidRDefault="009021F1" w:rsidP="009021F1">
      <w:pPr>
        <w:rPr>
          <w:szCs w:val="21"/>
        </w:rPr>
      </w:pPr>
      <w:r w:rsidRPr="00A31C45">
        <w:rPr>
          <w:szCs w:val="21"/>
        </w:rPr>
        <w:t>Le présent formulaire de sélection se fait en tenant compte de la nature, la localisation, la sensibilité et l’envergure du sous-projet pour aider dans la classification du niveau de risque environnemental et social. Le formulaire a été conçu afin que les risques et impacts environnementaux et sociaux, ainsi que les mesures d’atténuation y relatives, s’il y en a, soient identifiés et/ou que les exigences en vue d’une analyse environnementale et sociale plus poussée soient déterminées.</w:t>
      </w:r>
    </w:p>
    <w:p w14:paraId="46CD4785" w14:textId="77777777" w:rsidR="009021F1" w:rsidRPr="00A31C45" w:rsidRDefault="009021F1" w:rsidP="009021F1">
      <w:pPr>
        <w:spacing w:before="19" w:line="240" w:lineRule="exact"/>
        <w:rPr>
          <w:szCs w:val="21"/>
        </w:rPr>
      </w:pPr>
    </w:p>
    <w:tbl>
      <w:tblPr>
        <w:tblW w:w="9525" w:type="dxa"/>
        <w:tblInd w:w="97" w:type="dxa"/>
        <w:tblLayout w:type="fixed"/>
        <w:tblCellMar>
          <w:left w:w="0" w:type="dxa"/>
          <w:right w:w="0" w:type="dxa"/>
        </w:tblCellMar>
        <w:tblLook w:val="01E0" w:firstRow="1" w:lastRow="1" w:firstColumn="1" w:lastColumn="1" w:noHBand="0" w:noVBand="0"/>
      </w:tblPr>
      <w:tblGrid>
        <w:gridCol w:w="468"/>
        <w:gridCol w:w="6841"/>
        <w:gridCol w:w="2216"/>
      </w:tblGrid>
      <w:tr w:rsidR="009021F1" w:rsidRPr="00A31C45" w14:paraId="70E17B99" w14:textId="77777777" w:rsidTr="00E637E3">
        <w:trPr>
          <w:trHeight w:hRule="exact" w:val="264"/>
        </w:trPr>
        <w:tc>
          <w:tcPr>
            <w:tcW w:w="9525" w:type="dxa"/>
            <w:gridSpan w:val="3"/>
            <w:tcBorders>
              <w:top w:val="single" w:sz="4" w:space="0" w:color="000000"/>
              <w:left w:val="single" w:sz="4" w:space="0" w:color="000000"/>
              <w:bottom w:val="single" w:sz="4" w:space="0" w:color="000000"/>
              <w:right w:val="single" w:sz="4" w:space="0" w:color="000000"/>
            </w:tcBorders>
          </w:tcPr>
          <w:p w14:paraId="4C3D909C" w14:textId="77777777" w:rsidR="009021F1" w:rsidRPr="00A31C45" w:rsidRDefault="009021F1" w:rsidP="00E637E3">
            <w:pPr>
              <w:spacing w:line="251" w:lineRule="exact"/>
              <w:ind w:left="2327" w:right="-20"/>
              <w:rPr>
                <w:szCs w:val="21"/>
              </w:rPr>
            </w:pPr>
            <w:r w:rsidRPr="00A31C45">
              <w:rPr>
                <w:b/>
                <w:bCs/>
                <w:spacing w:val="2"/>
                <w:szCs w:val="21"/>
              </w:rPr>
              <w:t>F</w:t>
            </w:r>
            <w:r w:rsidRPr="00A31C45">
              <w:rPr>
                <w:b/>
                <w:bCs/>
                <w:szCs w:val="21"/>
              </w:rPr>
              <w:t>o</w:t>
            </w:r>
            <w:r w:rsidRPr="00A31C45">
              <w:rPr>
                <w:b/>
                <w:bCs/>
                <w:spacing w:val="-2"/>
                <w:szCs w:val="21"/>
              </w:rPr>
              <w:t>r</w:t>
            </w:r>
            <w:r w:rsidRPr="00A31C45">
              <w:rPr>
                <w:b/>
                <w:bCs/>
                <w:spacing w:val="1"/>
                <w:szCs w:val="21"/>
              </w:rPr>
              <w:t>m</w:t>
            </w:r>
            <w:r w:rsidRPr="00A31C45">
              <w:rPr>
                <w:b/>
                <w:bCs/>
                <w:spacing w:val="-3"/>
                <w:szCs w:val="21"/>
              </w:rPr>
              <w:t>u</w:t>
            </w:r>
            <w:r w:rsidRPr="00A31C45">
              <w:rPr>
                <w:b/>
                <w:bCs/>
                <w:spacing w:val="1"/>
                <w:szCs w:val="21"/>
              </w:rPr>
              <w:t>l</w:t>
            </w:r>
            <w:r w:rsidRPr="00A31C45">
              <w:rPr>
                <w:b/>
                <w:bCs/>
                <w:szCs w:val="21"/>
              </w:rPr>
              <w:t>a</w:t>
            </w:r>
            <w:r w:rsidRPr="00A31C45">
              <w:rPr>
                <w:b/>
                <w:bCs/>
                <w:spacing w:val="-1"/>
                <w:szCs w:val="21"/>
              </w:rPr>
              <w:t>i</w:t>
            </w:r>
            <w:r w:rsidRPr="00A31C45">
              <w:rPr>
                <w:b/>
                <w:bCs/>
                <w:szCs w:val="21"/>
              </w:rPr>
              <w:t>re</w:t>
            </w:r>
            <w:r w:rsidRPr="00A31C45">
              <w:rPr>
                <w:b/>
                <w:bCs/>
                <w:spacing w:val="1"/>
                <w:szCs w:val="21"/>
              </w:rPr>
              <w:t xml:space="preserve"> </w:t>
            </w:r>
            <w:r w:rsidRPr="00A31C45">
              <w:rPr>
                <w:b/>
                <w:bCs/>
                <w:szCs w:val="21"/>
              </w:rPr>
              <w:t>de</w:t>
            </w:r>
            <w:r w:rsidRPr="00A31C45">
              <w:rPr>
                <w:b/>
                <w:bCs/>
                <w:spacing w:val="-2"/>
                <w:szCs w:val="21"/>
              </w:rPr>
              <w:t xml:space="preserve"> </w:t>
            </w:r>
            <w:r w:rsidRPr="00A31C45">
              <w:rPr>
                <w:b/>
                <w:bCs/>
                <w:szCs w:val="21"/>
              </w:rPr>
              <w:t>s</w:t>
            </w:r>
            <w:r w:rsidRPr="00A31C45">
              <w:rPr>
                <w:b/>
                <w:bCs/>
                <w:spacing w:val="-2"/>
                <w:szCs w:val="21"/>
              </w:rPr>
              <w:t>é</w:t>
            </w:r>
            <w:r w:rsidRPr="00A31C45">
              <w:rPr>
                <w:b/>
                <w:bCs/>
                <w:spacing w:val="1"/>
                <w:szCs w:val="21"/>
              </w:rPr>
              <w:t>l</w:t>
            </w:r>
            <w:r w:rsidRPr="00A31C45">
              <w:rPr>
                <w:b/>
                <w:bCs/>
                <w:szCs w:val="21"/>
              </w:rPr>
              <w:t>e</w:t>
            </w:r>
            <w:r w:rsidRPr="00A31C45">
              <w:rPr>
                <w:b/>
                <w:bCs/>
                <w:spacing w:val="-2"/>
                <w:szCs w:val="21"/>
              </w:rPr>
              <w:t>c</w:t>
            </w:r>
            <w:r w:rsidRPr="00A31C45">
              <w:rPr>
                <w:b/>
                <w:bCs/>
                <w:spacing w:val="1"/>
                <w:szCs w:val="21"/>
              </w:rPr>
              <w:t>ti</w:t>
            </w:r>
            <w:r w:rsidRPr="00A31C45">
              <w:rPr>
                <w:b/>
                <w:bCs/>
                <w:szCs w:val="21"/>
              </w:rPr>
              <w:t>on</w:t>
            </w:r>
            <w:r w:rsidRPr="00A31C45">
              <w:rPr>
                <w:b/>
                <w:bCs/>
                <w:spacing w:val="-3"/>
                <w:szCs w:val="21"/>
              </w:rPr>
              <w:t xml:space="preserve"> (screening) </w:t>
            </w:r>
            <w:r w:rsidRPr="00A31C45">
              <w:rPr>
                <w:b/>
                <w:bCs/>
                <w:spacing w:val="-2"/>
                <w:szCs w:val="21"/>
              </w:rPr>
              <w:t>e</w:t>
            </w:r>
            <w:r w:rsidRPr="00A31C45">
              <w:rPr>
                <w:b/>
                <w:bCs/>
                <w:szCs w:val="21"/>
              </w:rPr>
              <w:t>nvi</w:t>
            </w:r>
            <w:r w:rsidRPr="00A31C45">
              <w:rPr>
                <w:b/>
                <w:bCs/>
                <w:spacing w:val="1"/>
                <w:szCs w:val="21"/>
              </w:rPr>
              <w:t>r</w:t>
            </w:r>
            <w:r w:rsidRPr="00A31C45">
              <w:rPr>
                <w:b/>
                <w:bCs/>
                <w:szCs w:val="21"/>
              </w:rPr>
              <w:t>on</w:t>
            </w:r>
            <w:r w:rsidRPr="00A31C45">
              <w:rPr>
                <w:b/>
                <w:bCs/>
                <w:spacing w:val="-3"/>
                <w:szCs w:val="21"/>
              </w:rPr>
              <w:t>n</w:t>
            </w:r>
            <w:r w:rsidRPr="00A31C45">
              <w:rPr>
                <w:b/>
                <w:bCs/>
                <w:szCs w:val="21"/>
              </w:rPr>
              <w:t>e</w:t>
            </w:r>
            <w:r w:rsidRPr="00A31C45">
              <w:rPr>
                <w:b/>
                <w:bCs/>
                <w:spacing w:val="1"/>
                <w:szCs w:val="21"/>
              </w:rPr>
              <w:t>m</w:t>
            </w:r>
            <w:r w:rsidRPr="00A31C45">
              <w:rPr>
                <w:b/>
                <w:bCs/>
                <w:szCs w:val="21"/>
              </w:rPr>
              <w:t>e</w:t>
            </w:r>
            <w:r w:rsidRPr="00A31C45">
              <w:rPr>
                <w:b/>
                <w:bCs/>
                <w:spacing w:val="-2"/>
                <w:szCs w:val="21"/>
              </w:rPr>
              <w:t>n</w:t>
            </w:r>
            <w:r w:rsidRPr="00A31C45">
              <w:rPr>
                <w:b/>
                <w:bCs/>
                <w:spacing w:val="1"/>
                <w:szCs w:val="21"/>
              </w:rPr>
              <w:t>t</w:t>
            </w:r>
            <w:r w:rsidRPr="00A31C45">
              <w:rPr>
                <w:b/>
                <w:bCs/>
                <w:spacing w:val="-2"/>
                <w:szCs w:val="21"/>
              </w:rPr>
              <w:t>a</w:t>
            </w:r>
            <w:r w:rsidRPr="00A31C45">
              <w:rPr>
                <w:b/>
                <w:bCs/>
                <w:spacing w:val="1"/>
                <w:szCs w:val="21"/>
              </w:rPr>
              <w:t>l</w:t>
            </w:r>
            <w:r w:rsidRPr="00A31C45">
              <w:rPr>
                <w:b/>
                <w:bCs/>
                <w:szCs w:val="21"/>
              </w:rPr>
              <w:t xml:space="preserve">e </w:t>
            </w:r>
            <w:r w:rsidRPr="00A31C45">
              <w:rPr>
                <w:b/>
                <w:bCs/>
                <w:spacing w:val="-2"/>
                <w:szCs w:val="21"/>
              </w:rPr>
              <w:t>e</w:t>
            </w:r>
            <w:r w:rsidRPr="00A31C45">
              <w:rPr>
                <w:b/>
                <w:bCs/>
                <w:szCs w:val="21"/>
              </w:rPr>
              <w:t>t</w:t>
            </w:r>
            <w:r w:rsidRPr="00A31C45">
              <w:rPr>
                <w:b/>
                <w:bCs/>
                <w:spacing w:val="1"/>
                <w:szCs w:val="21"/>
              </w:rPr>
              <w:t xml:space="preserve"> </w:t>
            </w:r>
            <w:r w:rsidRPr="00A31C45">
              <w:rPr>
                <w:b/>
                <w:bCs/>
                <w:szCs w:val="21"/>
              </w:rPr>
              <w:t>s</w:t>
            </w:r>
            <w:r w:rsidRPr="00A31C45">
              <w:rPr>
                <w:b/>
                <w:bCs/>
                <w:spacing w:val="-2"/>
                <w:szCs w:val="21"/>
              </w:rPr>
              <w:t>o</w:t>
            </w:r>
            <w:r w:rsidRPr="00A31C45">
              <w:rPr>
                <w:b/>
                <w:bCs/>
                <w:szCs w:val="21"/>
              </w:rPr>
              <w:t>c</w:t>
            </w:r>
            <w:r w:rsidRPr="00A31C45">
              <w:rPr>
                <w:b/>
                <w:bCs/>
                <w:spacing w:val="1"/>
                <w:szCs w:val="21"/>
              </w:rPr>
              <w:t>i</w:t>
            </w:r>
            <w:r w:rsidRPr="00A31C45">
              <w:rPr>
                <w:b/>
                <w:bCs/>
                <w:spacing w:val="-2"/>
                <w:szCs w:val="21"/>
              </w:rPr>
              <w:t>a</w:t>
            </w:r>
            <w:r w:rsidRPr="00A31C45">
              <w:rPr>
                <w:b/>
                <w:bCs/>
                <w:spacing w:val="-1"/>
                <w:szCs w:val="21"/>
              </w:rPr>
              <w:t>l</w:t>
            </w:r>
            <w:r w:rsidRPr="00A31C45">
              <w:rPr>
                <w:b/>
                <w:bCs/>
                <w:szCs w:val="21"/>
              </w:rPr>
              <w:t>e</w:t>
            </w:r>
          </w:p>
        </w:tc>
      </w:tr>
      <w:tr w:rsidR="009021F1" w:rsidRPr="00A31C45" w14:paraId="2850181C" w14:textId="77777777" w:rsidTr="00E637E3">
        <w:trPr>
          <w:trHeight w:hRule="exact" w:val="262"/>
        </w:trPr>
        <w:tc>
          <w:tcPr>
            <w:tcW w:w="468" w:type="dxa"/>
            <w:tcBorders>
              <w:top w:val="single" w:sz="4" w:space="0" w:color="000000"/>
              <w:left w:val="single" w:sz="4" w:space="0" w:color="000000"/>
              <w:bottom w:val="single" w:sz="4" w:space="0" w:color="000000"/>
              <w:right w:val="single" w:sz="4" w:space="0" w:color="000000"/>
            </w:tcBorders>
          </w:tcPr>
          <w:p w14:paraId="154F8F00" w14:textId="77777777" w:rsidR="009021F1" w:rsidRPr="00A31C45" w:rsidRDefault="009021F1" w:rsidP="00E637E3">
            <w:pPr>
              <w:spacing w:line="250" w:lineRule="exact"/>
              <w:ind w:left="102" w:right="-20"/>
              <w:rPr>
                <w:szCs w:val="21"/>
              </w:rPr>
            </w:pPr>
            <w:r w:rsidRPr="00A31C45">
              <w:rPr>
                <w:b/>
                <w:bCs/>
                <w:szCs w:val="21"/>
              </w:rPr>
              <w:t>1</w:t>
            </w:r>
          </w:p>
        </w:tc>
        <w:tc>
          <w:tcPr>
            <w:tcW w:w="6841" w:type="dxa"/>
            <w:tcBorders>
              <w:top w:val="single" w:sz="4" w:space="0" w:color="000000"/>
              <w:left w:val="single" w:sz="4" w:space="0" w:color="000000"/>
              <w:bottom w:val="single" w:sz="4" w:space="0" w:color="000000"/>
              <w:right w:val="single" w:sz="4" w:space="0" w:color="000000"/>
            </w:tcBorders>
          </w:tcPr>
          <w:p w14:paraId="282DB490" w14:textId="77777777" w:rsidR="009021F1" w:rsidRPr="00A31C45" w:rsidRDefault="009021F1" w:rsidP="00E637E3">
            <w:pPr>
              <w:spacing w:line="246" w:lineRule="exact"/>
              <w:ind w:left="102" w:right="-20"/>
              <w:rPr>
                <w:szCs w:val="21"/>
              </w:rPr>
            </w:pPr>
            <w:r w:rsidRPr="00A31C45">
              <w:rPr>
                <w:spacing w:val="-1"/>
                <w:szCs w:val="21"/>
              </w:rPr>
              <w:t>N</w:t>
            </w:r>
            <w:r w:rsidRPr="00A31C45">
              <w:rPr>
                <w:szCs w:val="21"/>
              </w:rPr>
              <w:t>om</w:t>
            </w:r>
            <w:r w:rsidRPr="00A31C45">
              <w:rPr>
                <w:spacing w:val="-4"/>
                <w:szCs w:val="21"/>
              </w:rPr>
              <w:t xml:space="preserve"> </w:t>
            </w:r>
            <w:r w:rsidRPr="00A31C45">
              <w:rPr>
                <w:szCs w:val="21"/>
              </w:rPr>
              <w:t xml:space="preserve">de </w:t>
            </w:r>
            <w:r w:rsidRPr="00A31C45">
              <w:rPr>
                <w:spacing w:val="1"/>
                <w:szCs w:val="21"/>
              </w:rPr>
              <w:t>l</w:t>
            </w:r>
            <w:r w:rsidRPr="00A31C45">
              <w:rPr>
                <w:szCs w:val="21"/>
              </w:rPr>
              <w:t xml:space="preserve">a </w:t>
            </w:r>
            <w:r w:rsidRPr="00A31C45">
              <w:rPr>
                <w:spacing w:val="1"/>
                <w:szCs w:val="21"/>
              </w:rPr>
              <w:t>l</w:t>
            </w:r>
            <w:r w:rsidRPr="00A31C45">
              <w:rPr>
                <w:szCs w:val="21"/>
              </w:rPr>
              <w:t>o</w:t>
            </w:r>
            <w:r w:rsidRPr="00A31C45">
              <w:rPr>
                <w:spacing w:val="-2"/>
                <w:szCs w:val="21"/>
              </w:rPr>
              <w:t>c</w:t>
            </w:r>
            <w:r w:rsidRPr="00A31C45">
              <w:rPr>
                <w:szCs w:val="21"/>
              </w:rPr>
              <w:t>a</w:t>
            </w:r>
            <w:r w:rsidRPr="00A31C45">
              <w:rPr>
                <w:spacing w:val="-1"/>
                <w:szCs w:val="21"/>
              </w:rPr>
              <w:t>l</w:t>
            </w:r>
            <w:r w:rsidRPr="00A31C45">
              <w:rPr>
                <w:spacing w:val="1"/>
                <w:szCs w:val="21"/>
              </w:rPr>
              <w:t>it</w:t>
            </w:r>
            <w:r w:rsidRPr="00A31C45">
              <w:rPr>
                <w:szCs w:val="21"/>
              </w:rPr>
              <w:t>é, quartier</w:t>
            </w:r>
            <w:r w:rsidRPr="00A31C45">
              <w:rPr>
                <w:spacing w:val="-2"/>
                <w:szCs w:val="21"/>
              </w:rPr>
              <w:t xml:space="preserve"> et </w:t>
            </w:r>
            <w:r w:rsidRPr="00A31C45">
              <w:rPr>
                <w:szCs w:val="21"/>
              </w:rPr>
              <w:t xml:space="preserve">commune où </w:t>
            </w:r>
            <w:r w:rsidRPr="00A31C45">
              <w:rPr>
                <w:spacing w:val="-1"/>
                <w:szCs w:val="21"/>
              </w:rPr>
              <w:t>l</w:t>
            </w:r>
            <w:r w:rsidRPr="00A31C45">
              <w:rPr>
                <w:spacing w:val="1"/>
                <w:szCs w:val="21"/>
              </w:rPr>
              <w:t>’</w:t>
            </w:r>
            <w:r w:rsidRPr="00A31C45">
              <w:rPr>
                <w:spacing w:val="-2"/>
                <w:szCs w:val="21"/>
              </w:rPr>
              <w:t>a</w:t>
            </w:r>
            <w:r w:rsidRPr="00A31C45">
              <w:rPr>
                <w:szCs w:val="21"/>
              </w:rPr>
              <w:t>c</w:t>
            </w:r>
            <w:r w:rsidRPr="00A31C45">
              <w:rPr>
                <w:spacing w:val="-1"/>
                <w:szCs w:val="21"/>
              </w:rPr>
              <w:t>ti</w:t>
            </w:r>
            <w:r w:rsidRPr="00A31C45">
              <w:rPr>
                <w:spacing w:val="-2"/>
                <w:szCs w:val="21"/>
              </w:rPr>
              <w:t>v</w:t>
            </w:r>
            <w:r w:rsidRPr="00A31C45">
              <w:rPr>
                <w:spacing w:val="1"/>
                <w:szCs w:val="21"/>
              </w:rPr>
              <w:t>it</w:t>
            </w:r>
            <w:r w:rsidRPr="00A31C45">
              <w:rPr>
                <w:szCs w:val="21"/>
              </w:rPr>
              <w:t>é</w:t>
            </w:r>
            <w:r w:rsidRPr="00A31C45">
              <w:rPr>
                <w:spacing w:val="2"/>
                <w:szCs w:val="21"/>
              </w:rPr>
              <w:t xml:space="preserve"> </w:t>
            </w:r>
            <w:r w:rsidRPr="00A31C45">
              <w:rPr>
                <w:szCs w:val="21"/>
              </w:rPr>
              <w:t>s</w:t>
            </w:r>
            <w:r w:rsidRPr="00A31C45">
              <w:rPr>
                <w:spacing w:val="-2"/>
                <w:szCs w:val="21"/>
              </w:rPr>
              <w:t>e</w:t>
            </w:r>
            <w:r w:rsidRPr="00A31C45">
              <w:rPr>
                <w:spacing w:val="1"/>
                <w:szCs w:val="21"/>
              </w:rPr>
              <w:t>r</w:t>
            </w:r>
            <w:r w:rsidRPr="00A31C45">
              <w:rPr>
                <w:szCs w:val="21"/>
              </w:rPr>
              <w:t>a</w:t>
            </w:r>
            <w:r w:rsidRPr="00A31C45">
              <w:rPr>
                <w:spacing w:val="-2"/>
                <w:szCs w:val="21"/>
              </w:rPr>
              <w:t xml:space="preserve"> </w:t>
            </w:r>
            <w:r w:rsidRPr="00A31C45">
              <w:rPr>
                <w:spacing w:val="1"/>
                <w:szCs w:val="21"/>
              </w:rPr>
              <w:t>r</w:t>
            </w:r>
            <w:r w:rsidRPr="00A31C45">
              <w:rPr>
                <w:szCs w:val="21"/>
              </w:rPr>
              <w:t>é</w:t>
            </w:r>
            <w:r w:rsidRPr="00A31C45">
              <w:rPr>
                <w:spacing w:val="-2"/>
                <w:szCs w:val="21"/>
              </w:rPr>
              <w:t>a</w:t>
            </w:r>
            <w:r w:rsidRPr="00A31C45">
              <w:rPr>
                <w:spacing w:val="1"/>
                <w:szCs w:val="21"/>
              </w:rPr>
              <w:t>l</w:t>
            </w:r>
            <w:r w:rsidRPr="00A31C45">
              <w:rPr>
                <w:spacing w:val="-1"/>
                <w:szCs w:val="21"/>
              </w:rPr>
              <w:t>i</w:t>
            </w:r>
            <w:r w:rsidRPr="00A31C45">
              <w:rPr>
                <w:szCs w:val="21"/>
              </w:rPr>
              <w:t>s</w:t>
            </w:r>
            <w:r w:rsidRPr="00A31C45">
              <w:rPr>
                <w:spacing w:val="1"/>
                <w:szCs w:val="21"/>
              </w:rPr>
              <w:t>é</w:t>
            </w:r>
            <w:r w:rsidRPr="00A31C45">
              <w:rPr>
                <w:szCs w:val="21"/>
              </w:rPr>
              <w:t>e</w:t>
            </w:r>
          </w:p>
        </w:tc>
        <w:tc>
          <w:tcPr>
            <w:tcW w:w="2216" w:type="dxa"/>
            <w:tcBorders>
              <w:top w:val="single" w:sz="4" w:space="0" w:color="000000"/>
              <w:left w:val="single" w:sz="4" w:space="0" w:color="000000"/>
              <w:bottom w:val="single" w:sz="4" w:space="0" w:color="000000"/>
              <w:right w:val="single" w:sz="4" w:space="0" w:color="000000"/>
            </w:tcBorders>
          </w:tcPr>
          <w:p w14:paraId="7C74CFAD" w14:textId="77777777" w:rsidR="009021F1" w:rsidRPr="00A31C45" w:rsidRDefault="009021F1" w:rsidP="00E637E3">
            <w:pPr>
              <w:rPr>
                <w:szCs w:val="21"/>
              </w:rPr>
            </w:pPr>
          </w:p>
        </w:tc>
      </w:tr>
      <w:tr w:rsidR="009021F1" w:rsidRPr="00A31C45" w14:paraId="4B76D766" w14:textId="77777777" w:rsidTr="00E637E3">
        <w:trPr>
          <w:trHeight w:hRule="exact" w:val="262"/>
        </w:trPr>
        <w:tc>
          <w:tcPr>
            <w:tcW w:w="468" w:type="dxa"/>
            <w:tcBorders>
              <w:top w:val="single" w:sz="4" w:space="0" w:color="000000"/>
              <w:left w:val="single" w:sz="4" w:space="0" w:color="000000"/>
              <w:bottom w:val="single" w:sz="4" w:space="0" w:color="000000"/>
              <w:right w:val="single" w:sz="4" w:space="0" w:color="000000"/>
            </w:tcBorders>
          </w:tcPr>
          <w:p w14:paraId="23B9B22E" w14:textId="77777777" w:rsidR="009021F1" w:rsidRPr="00A31C45" w:rsidRDefault="009021F1" w:rsidP="00E637E3">
            <w:pPr>
              <w:spacing w:line="250" w:lineRule="exact"/>
              <w:ind w:left="102" w:right="-20"/>
              <w:rPr>
                <w:b/>
                <w:bCs/>
                <w:szCs w:val="21"/>
              </w:rPr>
            </w:pPr>
            <w:r w:rsidRPr="00A31C45">
              <w:rPr>
                <w:b/>
                <w:bCs/>
                <w:szCs w:val="21"/>
              </w:rPr>
              <w:t>2</w:t>
            </w:r>
          </w:p>
        </w:tc>
        <w:tc>
          <w:tcPr>
            <w:tcW w:w="6841" w:type="dxa"/>
            <w:tcBorders>
              <w:top w:val="single" w:sz="4" w:space="0" w:color="000000"/>
              <w:left w:val="single" w:sz="4" w:space="0" w:color="000000"/>
              <w:bottom w:val="single" w:sz="4" w:space="0" w:color="000000"/>
              <w:right w:val="single" w:sz="4" w:space="0" w:color="000000"/>
            </w:tcBorders>
          </w:tcPr>
          <w:p w14:paraId="25F5578B" w14:textId="77777777" w:rsidR="009021F1" w:rsidRPr="00A31C45" w:rsidRDefault="009021F1" w:rsidP="00E637E3">
            <w:pPr>
              <w:spacing w:line="246" w:lineRule="exact"/>
              <w:ind w:left="102" w:right="-20"/>
              <w:rPr>
                <w:spacing w:val="-1"/>
                <w:szCs w:val="21"/>
              </w:rPr>
            </w:pPr>
            <w:r w:rsidRPr="00A31C45">
              <w:rPr>
                <w:spacing w:val="-1"/>
                <w:szCs w:val="21"/>
              </w:rPr>
              <w:t>Nom de l’Agence d’Exécution du sous-projet</w:t>
            </w:r>
          </w:p>
        </w:tc>
        <w:tc>
          <w:tcPr>
            <w:tcW w:w="2216" w:type="dxa"/>
            <w:tcBorders>
              <w:top w:val="single" w:sz="4" w:space="0" w:color="000000"/>
              <w:left w:val="single" w:sz="4" w:space="0" w:color="000000"/>
              <w:bottom w:val="single" w:sz="4" w:space="0" w:color="000000"/>
              <w:right w:val="single" w:sz="4" w:space="0" w:color="000000"/>
            </w:tcBorders>
          </w:tcPr>
          <w:p w14:paraId="502C3840" w14:textId="77777777" w:rsidR="009021F1" w:rsidRPr="00A31C45" w:rsidRDefault="009021F1" w:rsidP="00E637E3">
            <w:pPr>
              <w:rPr>
                <w:szCs w:val="21"/>
              </w:rPr>
            </w:pPr>
          </w:p>
        </w:tc>
      </w:tr>
      <w:tr w:rsidR="009021F1" w:rsidRPr="00A31C45" w14:paraId="4F976AF4" w14:textId="77777777" w:rsidTr="00E637E3">
        <w:trPr>
          <w:trHeight w:val="323"/>
        </w:trPr>
        <w:tc>
          <w:tcPr>
            <w:tcW w:w="468" w:type="dxa"/>
            <w:vMerge w:val="restart"/>
            <w:tcBorders>
              <w:top w:val="single" w:sz="4" w:space="0" w:color="000000"/>
              <w:left w:val="single" w:sz="4" w:space="0" w:color="000000"/>
              <w:right w:val="single" w:sz="4" w:space="0" w:color="000000"/>
            </w:tcBorders>
          </w:tcPr>
          <w:p w14:paraId="29325054" w14:textId="77777777" w:rsidR="009021F1" w:rsidRPr="00A31C45" w:rsidRDefault="009021F1" w:rsidP="00E637E3">
            <w:pPr>
              <w:ind w:left="102" w:right="-20"/>
              <w:rPr>
                <w:szCs w:val="21"/>
              </w:rPr>
            </w:pPr>
            <w:r w:rsidRPr="00A31C45">
              <w:rPr>
                <w:b/>
                <w:bCs/>
                <w:szCs w:val="21"/>
              </w:rPr>
              <w:t>3</w:t>
            </w:r>
          </w:p>
        </w:tc>
        <w:tc>
          <w:tcPr>
            <w:tcW w:w="6841" w:type="dxa"/>
            <w:vMerge w:val="restart"/>
            <w:tcBorders>
              <w:top w:val="single" w:sz="4" w:space="0" w:color="000000"/>
              <w:left w:val="single" w:sz="4" w:space="0" w:color="000000"/>
              <w:right w:val="single" w:sz="4" w:space="0" w:color="000000"/>
            </w:tcBorders>
          </w:tcPr>
          <w:p w14:paraId="0A406C0D" w14:textId="77777777" w:rsidR="009021F1" w:rsidRPr="00A31C45" w:rsidRDefault="009021F1" w:rsidP="00E637E3">
            <w:pPr>
              <w:spacing w:line="248" w:lineRule="exact"/>
              <w:ind w:left="102" w:right="181"/>
              <w:rPr>
                <w:szCs w:val="21"/>
              </w:rPr>
            </w:pPr>
            <w:r w:rsidRPr="00A31C45">
              <w:rPr>
                <w:spacing w:val="-1"/>
                <w:szCs w:val="21"/>
              </w:rPr>
              <w:t>N</w:t>
            </w:r>
            <w:r w:rsidRPr="00A31C45">
              <w:rPr>
                <w:szCs w:val="21"/>
              </w:rPr>
              <w:t>o</w:t>
            </w:r>
            <w:r w:rsidRPr="00A31C45">
              <w:rPr>
                <w:spacing w:val="-4"/>
                <w:szCs w:val="21"/>
              </w:rPr>
              <w:t>m</w:t>
            </w:r>
            <w:r w:rsidRPr="00A31C45">
              <w:rPr>
                <w:szCs w:val="21"/>
              </w:rPr>
              <w:t xml:space="preserve">, </w:t>
            </w:r>
            <w:r w:rsidRPr="00A31C45">
              <w:rPr>
                <w:spacing w:val="5"/>
                <w:szCs w:val="21"/>
              </w:rPr>
              <w:t>titre</w:t>
            </w:r>
            <w:r w:rsidRPr="00A31C45">
              <w:rPr>
                <w:szCs w:val="21"/>
              </w:rPr>
              <w:t xml:space="preserve">, </w:t>
            </w:r>
            <w:r w:rsidRPr="00A31C45">
              <w:rPr>
                <w:spacing w:val="3"/>
                <w:szCs w:val="21"/>
              </w:rPr>
              <w:t>et</w:t>
            </w:r>
            <w:r w:rsidRPr="00A31C45">
              <w:rPr>
                <w:szCs w:val="21"/>
              </w:rPr>
              <w:t xml:space="preserve"> </w:t>
            </w:r>
            <w:r w:rsidRPr="00A31C45">
              <w:rPr>
                <w:spacing w:val="4"/>
                <w:szCs w:val="21"/>
              </w:rPr>
              <w:t>informations</w:t>
            </w:r>
            <w:r w:rsidRPr="00A31C45">
              <w:rPr>
                <w:szCs w:val="21"/>
              </w:rPr>
              <w:t xml:space="preserve"> </w:t>
            </w:r>
            <w:r w:rsidRPr="00A31C45">
              <w:rPr>
                <w:spacing w:val="3"/>
                <w:szCs w:val="21"/>
              </w:rPr>
              <w:t>sur</w:t>
            </w:r>
            <w:r w:rsidRPr="00A31C45">
              <w:rPr>
                <w:szCs w:val="21"/>
              </w:rPr>
              <w:t xml:space="preserve"> </w:t>
            </w:r>
            <w:r w:rsidRPr="00A31C45">
              <w:rPr>
                <w:spacing w:val="3"/>
                <w:szCs w:val="21"/>
              </w:rPr>
              <w:t>la</w:t>
            </w:r>
            <w:r w:rsidRPr="00A31C45">
              <w:rPr>
                <w:szCs w:val="21"/>
              </w:rPr>
              <w:t xml:space="preserve"> </w:t>
            </w:r>
            <w:r w:rsidRPr="00A31C45">
              <w:rPr>
                <w:spacing w:val="3"/>
                <w:szCs w:val="21"/>
              </w:rPr>
              <w:t>personne</w:t>
            </w:r>
            <w:r w:rsidRPr="00A31C45">
              <w:rPr>
                <w:szCs w:val="21"/>
              </w:rPr>
              <w:t xml:space="preserve"> </w:t>
            </w:r>
            <w:r w:rsidRPr="00A31C45">
              <w:rPr>
                <w:spacing w:val="3"/>
                <w:szCs w:val="21"/>
              </w:rPr>
              <w:t>chargée</w:t>
            </w:r>
            <w:r w:rsidRPr="00A31C45">
              <w:rPr>
                <w:szCs w:val="21"/>
              </w:rPr>
              <w:t xml:space="preserve"> </w:t>
            </w:r>
            <w:r w:rsidRPr="00A31C45">
              <w:rPr>
                <w:spacing w:val="3"/>
                <w:szCs w:val="21"/>
              </w:rPr>
              <w:t>de</w:t>
            </w:r>
            <w:r w:rsidRPr="00A31C45">
              <w:rPr>
                <w:szCs w:val="21"/>
              </w:rPr>
              <w:t xml:space="preserve"> </w:t>
            </w:r>
            <w:r w:rsidRPr="00A31C45">
              <w:rPr>
                <w:spacing w:val="3"/>
                <w:szCs w:val="21"/>
              </w:rPr>
              <w:t>remplir</w:t>
            </w:r>
            <w:r w:rsidRPr="00A31C45">
              <w:rPr>
                <w:szCs w:val="21"/>
              </w:rPr>
              <w:t xml:space="preserve"> </w:t>
            </w:r>
            <w:r w:rsidRPr="00A31C45">
              <w:rPr>
                <w:spacing w:val="3"/>
                <w:szCs w:val="21"/>
              </w:rPr>
              <w:t xml:space="preserve">le </w:t>
            </w:r>
            <w:r w:rsidRPr="00A31C45">
              <w:rPr>
                <w:szCs w:val="21"/>
              </w:rPr>
              <w:t>p</w:t>
            </w:r>
            <w:r w:rsidRPr="00A31C45">
              <w:rPr>
                <w:spacing w:val="1"/>
                <w:szCs w:val="21"/>
              </w:rPr>
              <w:t>r</w:t>
            </w:r>
            <w:r w:rsidRPr="00A31C45">
              <w:rPr>
                <w:szCs w:val="21"/>
              </w:rPr>
              <w:t>é</w:t>
            </w:r>
            <w:r w:rsidRPr="00A31C45">
              <w:rPr>
                <w:spacing w:val="-1"/>
                <w:szCs w:val="21"/>
              </w:rPr>
              <w:t>s</w:t>
            </w:r>
            <w:r w:rsidRPr="00A31C45">
              <w:rPr>
                <w:szCs w:val="21"/>
              </w:rPr>
              <w:t>ent</w:t>
            </w:r>
            <w:r w:rsidRPr="00A31C45">
              <w:rPr>
                <w:spacing w:val="-1"/>
                <w:szCs w:val="21"/>
              </w:rPr>
              <w:t xml:space="preserve"> </w:t>
            </w:r>
            <w:r w:rsidRPr="00A31C45">
              <w:rPr>
                <w:spacing w:val="1"/>
                <w:szCs w:val="21"/>
              </w:rPr>
              <w:t>f</w:t>
            </w:r>
            <w:r w:rsidRPr="00A31C45">
              <w:rPr>
                <w:szCs w:val="21"/>
              </w:rPr>
              <w:t>o</w:t>
            </w:r>
            <w:r w:rsidRPr="00A31C45">
              <w:rPr>
                <w:spacing w:val="1"/>
                <w:szCs w:val="21"/>
              </w:rPr>
              <w:t>r</w:t>
            </w:r>
            <w:r w:rsidRPr="00A31C45">
              <w:rPr>
                <w:spacing w:val="-4"/>
                <w:szCs w:val="21"/>
              </w:rPr>
              <w:t>m</w:t>
            </w:r>
            <w:r w:rsidRPr="00A31C45">
              <w:rPr>
                <w:szCs w:val="21"/>
              </w:rPr>
              <w:t>u</w:t>
            </w:r>
            <w:r w:rsidRPr="00A31C45">
              <w:rPr>
                <w:spacing w:val="1"/>
                <w:szCs w:val="21"/>
              </w:rPr>
              <w:t>l</w:t>
            </w:r>
            <w:r w:rsidRPr="00A31C45">
              <w:rPr>
                <w:spacing w:val="-2"/>
                <w:szCs w:val="21"/>
              </w:rPr>
              <w:t>a</w:t>
            </w:r>
            <w:r w:rsidRPr="00A31C45">
              <w:rPr>
                <w:spacing w:val="1"/>
                <w:szCs w:val="21"/>
              </w:rPr>
              <w:t>ir</w:t>
            </w:r>
            <w:r w:rsidRPr="00A31C45">
              <w:rPr>
                <w:spacing w:val="-2"/>
                <w:szCs w:val="21"/>
              </w:rPr>
              <w:t>e</w:t>
            </w:r>
            <w:r w:rsidRPr="00A31C45">
              <w:rPr>
                <w:szCs w:val="21"/>
              </w:rPr>
              <w:t>.</w:t>
            </w:r>
          </w:p>
        </w:tc>
        <w:tc>
          <w:tcPr>
            <w:tcW w:w="2216" w:type="dxa"/>
            <w:tcBorders>
              <w:top w:val="single" w:sz="4" w:space="0" w:color="000000"/>
              <w:left w:val="single" w:sz="4" w:space="0" w:color="000000"/>
              <w:bottom w:val="single" w:sz="4" w:space="0" w:color="000000"/>
              <w:right w:val="single" w:sz="4" w:space="0" w:color="000000"/>
            </w:tcBorders>
          </w:tcPr>
          <w:p w14:paraId="647DF7C7" w14:textId="77777777" w:rsidR="009021F1" w:rsidRPr="00A31C45" w:rsidRDefault="009021F1" w:rsidP="00E637E3">
            <w:pPr>
              <w:rPr>
                <w:i/>
                <w:szCs w:val="21"/>
              </w:rPr>
            </w:pPr>
            <w:r w:rsidRPr="00A31C45">
              <w:rPr>
                <w:i/>
                <w:szCs w:val="21"/>
              </w:rPr>
              <w:t>Nom et titre</w:t>
            </w:r>
          </w:p>
        </w:tc>
      </w:tr>
      <w:tr w:rsidR="009021F1" w:rsidRPr="00A31C45" w14:paraId="7CB91745" w14:textId="77777777" w:rsidTr="00E637E3">
        <w:trPr>
          <w:trHeight w:hRule="exact" w:val="305"/>
        </w:trPr>
        <w:tc>
          <w:tcPr>
            <w:tcW w:w="468" w:type="dxa"/>
            <w:vMerge/>
            <w:tcBorders>
              <w:left w:val="single" w:sz="4" w:space="0" w:color="000000"/>
              <w:bottom w:val="single" w:sz="4" w:space="0" w:color="000000"/>
              <w:right w:val="single" w:sz="4" w:space="0" w:color="000000"/>
            </w:tcBorders>
          </w:tcPr>
          <w:p w14:paraId="7EEEEE6D" w14:textId="77777777" w:rsidR="009021F1" w:rsidRPr="00A31C45" w:rsidDel="00B93A45" w:rsidRDefault="009021F1" w:rsidP="00E637E3">
            <w:pPr>
              <w:ind w:left="102" w:right="-20"/>
              <w:rPr>
                <w:b/>
                <w:bCs/>
                <w:szCs w:val="21"/>
              </w:rPr>
            </w:pPr>
          </w:p>
        </w:tc>
        <w:tc>
          <w:tcPr>
            <w:tcW w:w="6841" w:type="dxa"/>
            <w:vMerge/>
            <w:tcBorders>
              <w:left w:val="single" w:sz="4" w:space="0" w:color="000000"/>
              <w:bottom w:val="single" w:sz="4" w:space="0" w:color="000000"/>
              <w:right w:val="single" w:sz="4" w:space="0" w:color="000000"/>
            </w:tcBorders>
          </w:tcPr>
          <w:p w14:paraId="2F3DB8FF" w14:textId="77777777" w:rsidR="009021F1" w:rsidRPr="00A31C45" w:rsidRDefault="009021F1" w:rsidP="00E637E3">
            <w:pPr>
              <w:spacing w:line="248" w:lineRule="exact"/>
              <w:ind w:left="102" w:right="-20"/>
              <w:rPr>
                <w:spacing w:val="-1"/>
                <w:szCs w:val="21"/>
              </w:rPr>
            </w:pPr>
          </w:p>
        </w:tc>
        <w:tc>
          <w:tcPr>
            <w:tcW w:w="2216" w:type="dxa"/>
            <w:tcBorders>
              <w:top w:val="single" w:sz="4" w:space="0" w:color="000000"/>
              <w:left w:val="single" w:sz="4" w:space="0" w:color="000000"/>
              <w:bottom w:val="single" w:sz="4" w:space="0" w:color="000000"/>
              <w:right w:val="single" w:sz="4" w:space="0" w:color="000000"/>
            </w:tcBorders>
          </w:tcPr>
          <w:p w14:paraId="6DEEC99A" w14:textId="77777777" w:rsidR="009021F1" w:rsidRPr="00A31C45" w:rsidRDefault="009021F1" w:rsidP="00E637E3">
            <w:pPr>
              <w:rPr>
                <w:i/>
                <w:szCs w:val="21"/>
              </w:rPr>
            </w:pPr>
            <w:r w:rsidRPr="00A31C45">
              <w:rPr>
                <w:i/>
                <w:szCs w:val="21"/>
              </w:rPr>
              <w:t>Date et signature</w:t>
            </w:r>
          </w:p>
        </w:tc>
      </w:tr>
      <w:tr w:rsidR="009021F1" w:rsidRPr="00A31C45" w14:paraId="037A22CC" w14:textId="77777777" w:rsidTr="00E637E3">
        <w:trPr>
          <w:trHeight w:val="170"/>
        </w:trPr>
        <w:tc>
          <w:tcPr>
            <w:tcW w:w="468" w:type="dxa"/>
            <w:vMerge w:val="restart"/>
            <w:tcBorders>
              <w:top w:val="single" w:sz="4" w:space="0" w:color="000000"/>
              <w:left w:val="single" w:sz="4" w:space="0" w:color="000000"/>
              <w:right w:val="single" w:sz="4" w:space="0" w:color="000000"/>
            </w:tcBorders>
          </w:tcPr>
          <w:p w14:paraId="63BEBBDC" w14:textId="77777777" w:rsidR="009021F1" w:rsidRPr="00A31C45" w:rsidRDefault="009021F1" w:rsidP="00E637E3">
            <w:pPr>
              <w:ind w:left="102" w:right="-20"/>
              <w:rPr>
                <w:b/>
                <w:bCs/>
                <w:szCs w:val="21"/>
              </w:rPr>
            </w:pPr>
            <w:r w:rsidRPr="00A31C45">
              <w:rPr>
                <w:b/>
                <w:bCs/>
                <w:szCs w:val="21"/>
              </w:rPr>
              <w:t>4</w:t>
            </w:r>
          </w:p>
        </w:tc>
        <w:tc>
          <w:tcPr>
            <w:tcW w:w="6841" w:type="dxa"/>
            <w:vMerge w:val="restart"/>
            <w:tcBorders>
              <w:top w:val="single" w:sz="4" w:space="0" w:color="000000"/>
              <w:left w:val="single" w:sz="4" w:space="0" w:color="000000"/>
              <w:right w:val="single" w:sz="4" w:space="0" w:color="000000"/>
            </w:tcBorders>
          </w:tcPr>
          <w:p w14:paraId="2739C243" w14:textId="77777777" w:rsidR="009021F1" w:rsidRPr="00A31C45" w:rsidRDefault="009021F1" w:rsidP="00E637E3">
            <w:pPr>
              <w:spacing w:line="248" w:lineRule="exact"/>
              <w:ind w:left="102" w:right="181"/>
              <w:rPr>
                <w:spacing w:val="-1"/>
                <w:szCs w:val="21"/>
              </w:rPr>
            </w:pPr>
            <w:r w:rsidRPr="00A31C45">
              <w:rPr>
                <w:spacing w:val="-1"/>
                <w:szCs w:val="21"/>
              </w:rPr>
              <w:t>N</w:t>
            </w:r>
            <w:r w:rsidRPr="00A31C45">
              <w:rPr>
                <w:szCs w:val="21"/>
              </w:rPr>
              <w:t>o</w:t>
            </w:r>
            <w:r w:rsidRPr="00A31C45">
              <w:rPr>
                <w:spacing w:val="-4"/>
                <w:szCs w:val="21"/>
              </w:rPr>
              <w:t>m</w:t>
            </w:r>
            <w:r w:rsidRPr="00A31C45">
              <w:rPr>
                <w:szCs w:val="21"/>
              </w:rPr>
              <w:t xml:space="preserve">, </w:t>
            </w:r>
            <w:r w:rsidRPr="00A31C45">
              <w:rPr>
                <w:spacing w:val="5"/>
                <w:szCs w:val="21"/>
              </w:rPr>
              <w:t>fonction</w:t>
            </w:r>
            <w:r w:rsidRPr="00A31C45">
              <w:rPr>
                <w:szCs w:val="21"/>
              </w:rPr>
              <w:t xml:space="preserve">, </w:t>
            </w:r>
            <w:r w:rsidRPr="00A31C45">
              <w:rPr>
                <w:spacing w:val="3"/>
                <w:szCs w:val="21"/>
              </w:rPr>
              <w:t>et</w:t>
            </w:r>
            <w:r w:rsidRPr="00A31C45">
              <w:rPr>
                <w:szCs w:val="21"/>
              </w:rPr>
              <w:t xml:space="preserve"> </w:t>
            </w:r>
            <w:r w:rsidRPr="00A31C45">
              <w:rPr>
                <w:spacing w:val="4"/>
                <w:szCs w:val="21"/>
              </w:rPr>
              <w:t>informations</w:t>
            </w:r>
            <w:r w:rsidRPr="00A31C45">
              <w:rPr>
                <w:szCs w:val="21"/>
              </w:rPr>
              <w:t xml:space="preserve"> </w:t>
            </w:r>
            <w:r w:rsidRPr="00A31C45">
              <w:rPr>
                <w:spacing w:val="3"/>
                <w:szCs w:val="21"/>
              </w:rPr>
              <w:t>sur</w:t>
            </w:r>
            <w:r w:rsidRPr="00A31C45">
              <w:rPr>
                <w:szCs w:val="21"/>
              </w:rPr>
              <w:t xml:space="preserve"> </w:t>
            </w:r>
            <w:r w:rsidRPr="00A31C45">
              <w:rPr>
                <w:spacing w:val="3"/>
                <w:szCs w:val="21"/>
              </w:rPr>
              <w:t>la</w:t>
            </w:r>
            <w:r w:rsidRPr="00A31C45">
              <w:rPr>
                <w:szCs w:val="21"/>
              </w:rPr>
              <w:t xml:space="preserve"> </w:t>
            </w:r>
            <w:r w:rsidRPr="00A31C45">
              <w:rPr>
                <w:spacing w:val="3"/>
                <w:szCs w:val="21"/>
              </w:rPr>
              <w:t>personne</w:t>
            </w:r>
            <w:r w:rsidRPr="00A31C45">
              <w:rPr>
                <w:szCs w:val="21"/>
              </w:rPr>
              <w:t xml:space="preserve"> </w:t>
            </w:r>
            <w:r w:rsidRPr="00A31C45">
              <w:rPr>
                <w:spacing w:val="3"/>
                <w:szCs w:val="21"/>
              </w:rPr>
              <w:t>chargée</w:t>
            </w:r>
            <w:r w:rsidRPr="00A31C45">
              <w:rPr>
                <w:szCs w:val="21"/>
              </w:rPr>
              <w:t xml:space="preserve"> </w:t>
            </w:r>
            <w:r w:rsidRPr="00A31C45">
              <w:rPr>
                <w:spacing w:val="3"/>
                <w:szCs w:val="21"/>
              </w:rPr>
              <w:t>de</w:t>
            </w:r>
            <w:r w:rsidRPr="00A31C45">
              <w:rPr>
                <w:szCs w:val="21"/>
              </w:rPr>
              <w:t xml:space="preserve"> </w:t>
            </w:r>
            <w:r w:rsidRPr="00A31C45">
              <w:rPr>
                <w:spacing w:val="3"/>
                <w:szCs w:val="21"/>
              </w:rPr>
              <w:t>valider</w:t>
            </w:r>
            <w:r w:rsidRPr="00A31C45">
              <w:rPr>
                <w:szCs w:val="21"/>
              </w:rPr>
              <w:t xml:space="preserve"> </w:t>
            </w:r>
            <w:r w:rsidRPr="00A31C45">
              <w:rPr>
                <w:spacing w:val="3"/>
                <w:szCs w:val="21"/>
              </w:rPr>
              <w:t xml:space="preserve">le contenu du </w:t>
            </w:r>
            <w:r w:rsidRPr="00A31C45">
              <w:rPr>
                <w:szCs w:val="21"/>
              </w:rPr>
              <w:t>p</w:t>
            </w:r>
            <w:r w:rsidRPr="00A31C45">
              <w:rPr>
                <w:spacing w:val="1"/>
                <w:szCs w:val="21"/>
              </w:rPr>
              <w:t>r</w:t>
            </w:r>
            <w:r w:rsidRPr="00A31C45">
              <w:rPr>
                <w:szCs w:val="21"/>
              </w:rPr>
              <w:t>é</w:t>
            </w:r>
            <w:r w:rsidRPr="00A31C45">
              <w:rPr>
                <w:spacing w:val="-1"/>
                <w:szCs w:val="21"/>
              </w:rPr>
              <w:t>s</w:t>
            </w:r>
            <w:r w:rsidRPr="00A31C45">
              <w:rPr>
                <w:szCs w:val="21"/>
              </w:rPr>
              <w:t>ent</w:t>
            </w:r>
            <w:r w:rsidRPr="00A31C45">
              <w:rPr>
                <w:spacing w:val="-1"/>
                <w:szCs w:val="21"/>
              </w:rPr>
              <w:t xml:space="preserve"> </w:t>
            </w:r>
            <w:r w:rsidRPr="00A31C45">
              <w:rPr>
                <w:spacing w:val="1"/>
                <w:szCs w:val="21"/>
              </w:rPr>
              <w:t>f</w:t>
            </w:r>
            <w:r w:rsidRPr="00A31C45">
              <w:rPr>
                <w:szCs w:val="21"/>
              </w:rPr>
              <w:t>o</w:t>
            </w:r>
            <w:r w:rsidRPr="00A31C45">
              <w:rPr>
                <w:spacing w:val="1"/>
                <w:szCs w:val="21"/>
              </w:rPr>
              <w:t>r</w:t>
            </w:r>
            <w:r w:rsidRPr="00A31C45">
              <w:rPr>
                <w:spacing w:val="-4"/>
                <w:szCs w:val="21"/>
              </w:rPr>
              <w:t>m</w:t>
            </w:r>
            <w:r w:rsidRPr="00A31C45">
              <w:rPr>
                <w:szCs w:val="21"/>
              </w:rPr>
              <w:t>u</w:t>
            </w:r>
            <w:r w:rsidRPr="00A31C45">
              <w:rPr>
                <w:spacing w:val="1"/>
                <w:szCs w:val="21"/>
              </w:rPr>
              <w:t>l</w:t>
            </w:r>
            <w:r w:rsidRPr="00A31C45">
              <w:rPr>
                <w:spacing w:val="-2"/>
                <w:szCs w:val="21"/>
              </w:rPr>
              <w:t>a</w:t>
            </w:r>
            <w:r w:rsidRPr="00A31C45">
              <w:rPr>
                <w:spacing w:val="1"/>
                <w:szCs w:val="21"/>
              </w:rPr>
              <w:t>ir</w:t>
            </w:r>
            <w:r w:rsidRPr="00A31C45">
              <w:rPr>
                <w:spacing w:val="-2"/>
                <w:szCs w:val="21"/>
              </w:rPr>
              <w:t>e</w:t>
            </w:r>
            <w:r w:rsidRPr="00A31C45">
              <w:rPr>
                <w:szCs w:val="21"/>
              </w:rPr>
              <w:t>.</w:t>
            </w:r>
          </w:p>
        </w:tc>
        <w:tc>
          <w:tcPr>
            <w:tcW w:w="2216" w:type="dxa"/>
            <w:tcBorders>
              <w:top w:val="single" w:sz="4" w:space="0" w:color="000000"/>
              <w:left w:val="single" w:sz="4" w:space="0" w:color="000000"/>
              <w:bottom w:val="single" w:sz="4" w:space="0" w:color="000000"/>
              <w:right w:val="single" w:sz="4" w:space="0" w:color="000000"/>
            </w:tcBorders>
          </w:tcPr>
          <w:p w14:paraId="6DDE47EC" w14:textId="77777777" w:rsidR="009021F1" w:rsidRPr="00A31C45" w:rsidRDefault="009021F1" w:rsidP="00E637E3">
            <w:pPr>
              <w:rPr>
                <w:szCs w:val="21"/>
              </w:rPr>
            </w:pPr>
            <w:r w:rsidRPr="00A31C45">
              <w:rPr>
                <w:i/>
                <w:szCs w:val="21"/>
              </w:rPr>
              <w:t>Nom et titre</w:t>
            </w:r>
          </w:p>
        </w:tc>
      </w:tr>
      <w:tr w:rsidR="009021F1" w:rsidRPr="00A31C45" w14:paraId="6483843B" w14:textId="77777777" w:rsidTr="00E637E3">
        <w:trPr>
          <w:trHeight w:hRule="exact" w:val="427"/>
        </w:trPr>
        <w:tc>
          <w:tcPr>
            <w:tcW w:w="468" w:type="dxa"/>
            <w:vMerge/>
            <w:tcBorders>
              <w:left w:val="single" w:sz="4" w:space="0" w:color="000000"/>
              <w:bottom w:val="single" w:sz="4" w:space="0" w:color="000000"/>
              <w:right w:val="single" w:sz="4" w:space="0" w:color="000000"/>
            </w:tcBorders>
          </w:tcPr>
          <w:p w14:paraId="7F959B89" w14:textId="77777777" w:rsidR="009021F1" w:rsidRPr="00A31C45" w:rsidRDefault="009021F1" w:rsidP="00E637E3">
            <w:pPr>
              <w:ind w:left="102" w:right="-20"/>
              <w:rPr>
                <w:b/>
                <w:bCs/>
                <w:szCs w:val="21"/>
              </w:rPr>
            </w:pPr>
          </w:p>
        </w:tc>
        <w:tc>
          <w:tcPr>
            <w:tcW w:w="6841" w:type="dxa"/>
            <w:vMerge/>
            <w:tcBorders>
              <w:left w:val="single" w:sz="4" w:space="0" w:color="000000"/>
              <w:bottom w:val="single" w:sz="4" w:space="0" w:color="000000"/>
              <w:right w:val="single" w:sz="4" w:space="0" w:color="000000"/>
            </w:tcBorders>
          </w:tcPr>
          <w:p w14:paraId="297CD626" w14:textId="77777777" w:rsidR="009021F1" w:rsidRPr="00A31C45" w:rsidRDefault="009021F1" w:rsidP="00E637E3">
            <w:pPr>
              <w:spacing w:line="248" w:lineRule="exact"/>
              <w:ind w:left="102" w:right="-20"/>
              <w:rPr>
                <w:spacing w:val="-1"/>
                <w:szCs w:val="21"/>
              </w:rPr>
            </w:pPr>
          </w:p>
        </w:tc>
        <w:tc>
          <w:tcPr>
            <w:tcW w:w="2216" w:type="dxa"/>
            <w:tcBorders>
              <w:top w:val="single" w:sz="4" w:space="0" w:color="000000"/>
              <w:left w:val="single" w:sz="4" w:space="0" w:color="000000"/>
              <w:bottom w:val="single" w:sz="4" w:space="0" w:color="000000"/>
              <w:right w:val="single" w:sz="4" w:space="0" w:color="000000"/>
            </w:tcBorders>
          </w:tcPr>
          <w:p w14:paraId="3530418D" w14:textId="77777777" w:rsidR="009021F1" w:rsidRPr="00A31C45" w:rsidRDefault="009021F1" w:rsidP="00E637E3">
            <w:pPr>
              <w:rPr>
                <w:i/>
                <w:szCs w:val="21"/>
              </w:rPr>
            </w:pPr>
            <w:r w:rsidRPr="00A31C45">
              <w:rPr>
                <w:i/>
                <w:szCs w:val="21"/>
              </w:rPr>
              <w:t>Date et signature</w:t>
            </w:r>
          </w:p>
          <w:p w14:paraId="174F9E95" w14:textId="77777777" w:rsidR="009021F1" w:rsidRPr="00A31C45" w:rsidRDefault="009021F1" w:rsidP="00E637E3">
            <w:pPr>
              <w:rPr>
                <w:szCs w:val="21"/>
              </w:rPr>
            </w:pPr>
          </w:p>
        </w:tc>
      </w:tr>
    </w:tbl>
    <w:p w14:paraId="2474BDED" w14:textId="77777777" w:rsidR="009021F1" w:rsidRPr="00A31C45" w:rsidRDefault="009021F1" w:rsidP="009021F1">
      <w:pPr>
        <w:spacing w:before="20" w:line="200" w:lineRule="exact"/>
        <w:rPr>
          <w:szCs w:val="21"/>
        </w:rPr>
      </w:pPr>
    </w:p>
    <w:p w14:paraId="2DA6F58E" w14:textId="77777777" w:rsidR="009021F1" w:rsidRPr="00A31C45" w:rsidRDefault="009021F1" w:rsidP="009021F1">
      <w:pPr>
        <w:rPr>
          <w:szCs w:val="21"/>
          <w:lang w:val="fr-BE"/>
        </w:rPr>
      </w:pPr>
    </w:p>
    <w:p w14:paraId="792714DC" w14:textId="77777777" w:rsidR="009021F1" w:rsidRPr="00A31C45" w:rsidRDefault="009021F1" w:rsidP="009021F1">
      <w:pPr>
        <w:rPr>
          <w:i/>
          <w:szCs w:val="21"/>
        </w:rPr>
      </w:pPr>
      <w:r w:rsidRPr="00A31C45">
        <w:rPr>
          <w:i/>
          <w:szCs w:val="21"/>
        </w:rPr>
        <w:t>Fournir les informations pertinentes sur la nature, la localisation, la sensibilité et l’envergure du projet (i) le sous-projet proposé (nature, localisation, superficie, terrain nécessaire, taille approximative de la surface totale à occuper) ; (ii) les actions nécessaires pendant la mise en œuvre des activités et l’exploitation du sous-projet.</w:t>
      </w:r>
    </w:p>
    <w:p w14:paraId="6B5838AD" w14:textId="77777777" w:rsidR="009021F1" w:rsidRPr="00A31C45" w:rsidRDefault="009021F1" w:rsidP="009021F1">
      <w:pPr>
        <w:rPr>
          <w:i/>
          <w:szCs w:val="21"/>
        </w:rPr>
      </w:pPr>
    </w:p>
    <w:p w14:paraId="32832F52" w14:textId="77777777" w:rsidR="009021F1" w:rsidRPr="00A31C45" w:rsidRDefault="009021F1" w:rsidP="009021F1">
      <w:pPr>
        <w:numPr>
          <w:ilvl w:val="0"/>
          <w:numId w:val="57"/>
        </w:numPr>
        <w:spacing w:line="240" w:lineRule="auto"/>
        <w:rPr>
          <w:b/>
          <w:szCs w:val="21"/>
        </w:rPr>
      </w:pPr>
      <w:r w:rsidRPr="00A31C45">
        <w:rPr>
          <w:b/>
          <w:szCs w:val="21"/>
        </w:rPr>
        <w:t>Principales caractéristiques environnementales et sociales du site du sous-projet</w:t>
      </w:r>
    </w:p>
    <w:p w14:paraId="6DBB3AF9" w14:textId="77777777" w:rsidR="009021F1" w:rsidRPr="00A31C45" w:rsidRDefault="009021F1" w:rsidP="009021F1">
      <w:pPr>
        <w:ind w:left="720"/>
        <w:rPr>
          <w:b/>
          <w:szCs w:val="21"/>
        </w:rPr>
      </w:pPr>
    </w:p>
    <w:p w14:paraId="42D248A9" w14:textId="77777777" w:rsidR="009021F1" w:rsidRPr="00A31C45" w:rsidRDefault="009021F1" w:rsidP="009021F1">
      <w:pPr>
        <w:rPr>
          <w:i/>
          <w:szCs w:val="21"/>
        </w:rPr>
      </w:pPr>
      <w:r w:rsidRPr="00A31C45">
        <w:rPr>
          <w:i/>
          <w:szCs w:val="21"/>
        </w:rPr>
        <w:t>Fournir les informations pertinentes sur les principales caractéristiques environnementales et sociales du site du sous-projet, en mettant un accent sur les éléments valorisés de l’environnement, les groupes vulnérables, etc.</w:t>
      </w:r>
    </w:p>
    <w:p w14:paraId="183A4BF2" w14:textId="77777777" w:rsidR="009021F1" w:rsidRPr="00A31C45" w:rsidRDefault="009021F1" w:rsidP="009021F1">
      <w:pPr>
        <w:rPr>
          <w:i/>
          <w:szCs w:val="21"/>
        </w:rPr>
      </w:pPr>
    </w:p>
    <w:p w14:paraId="0F804082" w14:textId="77777777" w:rsidR="009021F1" w:rsidRPr="00A31C45" w:rsidRDefault="009021F1" w:rsidP="009021F1">
      <w:pPr>
        <w:rPr>
          <w:szCs w:val="21"/>
        </w:rPr>
      </w:pPr>
    </w:p>
    <w:p w14:paraId="46377A8A" w14:textId="77777777" w:rsidR="009021F1" w:rsidRPr="00A31C45" w:rsidRDefault="009021F1" w:rsidP="009021F1">
      <w:pPr>
        <w:rPr>
          <w:szCs w:val="21"/>
        </w:rPr>
      </w:pPr>
    </w:p>
    <w:p w14:paraId="5964ECA1" w14:textId="77777777" w:rsidR="009021F1" w:rsidRPr="00A31C45" w:rsidRDefault="009021F1" w:rsidP="009021F1">
      <w:pPr>
        <w:rPr>
          <w:szCs w:val="21"/>
        </w:rPr>
      </w:pPr>
    </w:p>
    <w:p w14:paraId="0FD6B6EE" w14:textId="77777777" w:rsidR="009021F1" w:rsidRPr="00A31C45" w:rsidRDefault="009021F1" w:rsidP="009021F1">
      <w:pPr>
        <w:rPr>
          <w:szCs w:val="21"/>
        </w:rPr>
      </w:pPr>
    </w:p>
    <w:p w14:paraId="3B348527" w14:textId="77777777" w:rsidR="009021F1" w:rsidRPr="00A31C45" w:rsidRDefault="009021F1" w:rsidP="009021F1">
      <w:pPr>
        <w:rPr>
          <w:szCs w:val="21"/>
        </w:rPr>
      </w:pPr>
    </w:p>
    <w:p w14:paraId="68E507F3" w14:textId="77777777" w:rsidR="009021F1" w:rsidRPr="00A31C45" w:rsidRDefault="009021F1" w:rsidP="009021F1">
      <w:pPr>
        <w:rPr>
          <w:szCs w:val="21"/>
        </w:rPr>
      </w:pPr>
    </w:p>
    <w:p w14:paraId="356EECDD" w14:textId="77777777" w:rsidR="009021F1" w:rsidRPr="00A31C45" w:rsidRDefault="009021F1" w:rsidP="009021F1">
      <w:pPr>
        <w:numPr>
          <w:ilvl w:val="0"/>
          <w:numId w:val="57"/>
        </w:numPr>
        <w:spacing w:line="240" w:lineRule="auto"/>
        <w:rPr>
          <w:b/>
          <w:szCs w:val="21"/>
        </w:rPr>
      </w:pPr>
      <w:r w:rsidRPr="00A31C45">
        <w:rPr>
          <w:b/>
          <w:szCs w:val="21"/>
        </w:rPr>
        <w:br w:type="page"/>
        <w:t>Identification des risques environnementaux et sociaux potentiels</w:t>
      </w:r>
    </w:p>
    <w:p w14:paraId="7B81B039" w14:textId="77777777" w:rsidR="009021F1" w:rsidRPr="00A31C45" w:rsidRDefault="009021F1" w:rsidP="009021F1">
      <w:pPr>
        <w:rPr>
          <w:szCs w:val="21"/>
        </w:rPr>
      </w:pPr>
    </w:p>
    <w:tbl>
      <w:tblPr>
        <w:tblW w:w="5944"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2"/>
        <w:gridCol w:w="3046"/>
        <w:gridCol w:w="1700"/>
        <w:gridCol w:w="1700"/>
        <w:gridCol w:w="1133"/>
        <w:gridCol w:w="1670"/>
      </w:tblGrid>
      <w:tr w:rsidR="009021F1" w:rsidRPr="005308A6" w14:paraId="22E3C83C" w14:textId="77777777" w:rsidTr="00E637E3">
        <w:trPr>
          <w:trHeight w:val="228"/>
          <w:tblHeader/>
        </w:trPr>
        <w:tc>
          <w:tcPr>
            <w:tcW w:w="707" w:type="pct"/>
          </w:tcPr>
          <w:p w14:paraId="39528806" w14:textId="77777777" w:rsidR="009021F1" w:rsidRPr="003D2AD5" w:rsidRDefault="009021F1" w:rsidP="00E637E3">
            <w:pPr>
              <w:jc w:val="center"/>
              <w:rPr>
                <w:b/>
                <w:bCs/>
                <w:sz w:val="18"/>
                <w:szCs w:val="18"/>
              </w:rPr>
            </w:pPr>
            <w:r w:rsidRPr="003D2AD5">
              <w:rPr>
                <w:b/>
                <w:bCs/>
                <w:sz w:val="18"/>
                <w:szCs w:val="18"/>
              </w:rPr>
              <w:t>Composantes</w:t>
            </w:r>
          </w:p>
          <w:p w14:paraId="2E3917D6" w14:textId="77777777" w:rsidR="009021F1" w:rsidRPr="003D2AD5" w:rsidRDefault="009021F1" w:rsidP="00E637E3">
            <w:pPr>
              <w:jc w:val="center"/>
              <w:rPr>
                <w:b/>
                <w:bCs/>
                <w:sz w:val="18"/>
                <w:szCs w:val="18"/>
              </w:rPr>
            </w:pPr>
            <w:r w:rsidRPr="003D2AD5">
              <w:rPr>
                <w:b/>
                <w:bCs/>
                <w:sz w:val="18"/>
                <w:szCs w:val="18"/>
              </w:rPr>
              <w:t>Environnementales et Sociales</w:t>
            </w:r>
          </w:p>
        </w:tc>
        <w:tc>
          <w:tcPr>
            <w:tcW w:w="1414" w:type="pct"/>
            <w:vAlign w:val="bottom"/>
          </w:tcPr>
          <w:p w14:paraId="5F54356C" w14:textId="77777777" w:rsidR="009021F1" w:rsidRPr="003D2AD5" w:rsidRDefault="009021F1" w:rsidP="00E637E3">
            <w:pPr>
              <w:jc w:val="center"/>
              <w:rPr>
                <w:b/>
                <w:bCs/>
                <w:sz w:val="18"/>
                <w:szCs w:val="18"/>
              </w:rPr>
            </w:pPr>
            <w:r w:rsidRPr="003D2AD5">
              <w:rPr>
                <w:b/>
                <w:bCs/>
                <w:sz w:val="18"/>
                <w:szCs w:val="18"/>
              </w:rPr>
              <w:t>Préoccupations environnementales et sociales</w:t>
            </w:r>
          </w:p>
          <w:p w14:paraId="3C92516B" w14:textId="77777777" w:rsidR="009021F1" w:rsidRPr="003D2AD5" w:rsidRDefault="009021F1" w:rsidP="00E637E3">
            <w:pPr>
              <w:jc w:val="center"/>
              <w:rPr>
                <w:bCs/>
                <w:sz w:val="18"/>
                <w:szCs w:val="18"/>
              </w:rPr>
            </w:pPr>
          </w:p>
        </w:tc>
        <w:tc>
          <w:tcPr>
            <w:tcW w:w="789" w:type="pct"/>
            <w:vAlign w:val="bottom"/>
          </w:tcPr>
          <w:p w14:paraId="544A3FE6" w14:textId="77777777" w:rsidR="009021F1" w:rsidRDefault="009021F1" w:rsidP="00E637E3">
            <w:pPr>
              <w:jc w:val="center"/>
              <w:rPr>
                <w:b/>
                <w:bCs/>
                <w:sz w:val="18"/>
                <w:szCs w:val="18"/>
              </w:rPr>
            </w:pPr>
            <w:r w:rsidRPr="003D2AD5">
              <w:rPr>
                <w:b/>
                <w:bCs/>
                <w:sz w:val="18"/>
                <w:szCs w:val="18"/>
              </w:rPr>
              <w:t>Phase des travaux</w:t>
            </w:r>
            <w:r w:rsidRPr="003D2AD5">
              <w:rPr>
                <w:b/>
                <w:bCs/>
                <w:sz w:val="18"/>
                <w:szCs w:val="18"/>
                <w:vertAlign w:val="superscript"/>
              </w:rPr>
              <w:footnoteReference w:id="22"/>
            </w:r>
          </w:p>
          <w:p w14:paraId="3F824614" w14:textId="77777777" w:rsidR="009021F1" w:rsidRPr="003D2AD5" w:rsidRDefault="009021F1" w:rsidP="00E637E3">
            <w:pPr>
              <w:jc w:val="center"/>
              <w:rPr>
                <w:b/>
                <w:bCs/>
                <w:sz w:val="18"/>
                <w:szCs w:val="18"/>
              </w:rPr>
            </w:pPr>
          </w:p>
        </w:tc>
        <w:tc>
          <w:tcPr>
            <w:tcW w:w="789" w:type="pct"/>
            <w:vAlign w:val="bottom"/>
          </w:tcPr>
          <w:p w14:paraId="03C739D9" w14:textId="77777777" w:rsidR="009021F1" w:rsidRDefault="009021F1" w:rsidP="00E637E3">
            <w:pPr>
              <w:jc w:val="center"/>
              <w:rPr>
                <w:b/>
                <w:bCs/>
                <w:sz w:val="18"/>
                <w:szCs w:val="18"/>
              </w:rPr>
            </w:pPr>
            <w:r w:rsidRPr="003D2AD5">
              <w:rPr>
                <w:b/>
                <w:bCs/>
                <w:sz w:val="18"/>
                <w:szCs w:val="18"/>
              </w:rPr>
              <w:t>Phase d’exploitation</w:t>
            </w:r>
            <w:r w:rsidRPr="003D2AD5">
              <w:rPr>
                <w:b/>
                <w:bCs/>
                <w:sz w:val="18"/>
                <w:szCs w:val="18"/>
                <w:vertAlign w:val="superscript"/>
              </w:rPr>
              <w:footnoteReference w:id="23"/>
            </w:r>
          </w:p>
          <w:p w14:paraId="0D02DF60" w14:textId="77777777" w:rsidR="009021F1" w:rsidRPr="003D2AD5" w:rsidRDefault="009021F1" w:rsidP="00E637E3">
            <w:pPr>
              <w:jc w:val="center"/>
              <w:rPr>
                <w:b/>
                <w:bCs/>
                <w:sz w:val="18"/>
                <w:szCs w:val="18"/>
              </w:rPr>
            </w:pPr>
          </w:p>
        </w:tc>
        <w:tc>
          <w:tcPr>
            <w:tcW w:w="526" w:type="pct"/>
          </w:tcPr>
          <w:p w14:paraId="4240196D" w14:textId="77777777" w:rsidR="009021F1" w:rsidRDefault="009021F1" w:rsidP="00E637E3">
            <w:pPr>
              <w:jc w:val="center"/>
              <w:rPr>
                <w:b/>
                <w:bCs/>
                <w:iCs/>
                <w:sz w:val="18"/>
                <w:szCs w:val="18"/>
              </w:rPr>
            </w:pPr>
          </w:p>
          <w:p w14:paraId="301C433D" w14:textId="77777777" w:rsidR="009021F1" w:rsidRPr="003D2AD5" w:rsidRDefault="009021F1" w:rsidP="00E637E3">
            <w:pPr>
              <w:jc w:val="center"/>
              <w:rPr>
                <w:b/>
                <w:bCs/>
                <w:iCs/>
                <w:sz w:val="18"/>
                <w:szCs w:val="18"/>
              </w:rPr>
            </w:pPr>
            <w:r w:rsidRPr="003D2AD5">
              <w:rPr>
                <w:b/>
                <w:bCs/>
                <w:iCs/>
                <w:sz w:val="18"/>
                <w:szCs w:val="18"/>
              </w:rPr>
              <w:t>Résultat</w:t>
            </w:r>
            <w:r w:rsidRPr="003D2AD5">
              <w:rPr>
                <w:b/>
                <w:bCs/>
                <w:iCs/>
                <w:sz w:val="18"/>
                <w:szCs w:val="18"/>
                <w:vertAlign w:val="superscript"/>
              </w:rPr>
              <w:footnoteReference w:id="24"/>
            </w:r>
          </w:p>
          <w:p w14:paraId="474C506E" w14:textId="77777777" w:rsidR="009021F1" w:rsidRPr="003D2AD5" w:rsidRDefault="009021F1" w:rsidP="00E637E3">
            <w:pPr>
              <w:jc w:val="center"/>
              <w:rPr>
                <w:b/>
                <w:bCs/>
                <w:iCs/>
                <w:sz w:val="18"/>
                <w:szCs w:val="18"/>
              </w:rPr>
            </w:pPr>
          </w:p>
        </w:tc>
        <w:tc>
          <w:tcPr>
            <w:tcW w:w="775" w:type="pct"/>
          </w:tcPr>
          <w:p w14:paraId="55B65A8F" w14:textId="77777777" w:rsidR="009021F1" w:rsidRDefault="009021F1" w:rsidP="00E637E3">
            <w:pPr>
              <w:jc w:val="center"/>
              <w:rPr>
                <w:b/>
                <w:bCs/>
                <w:iCs/>
                <w:sz w:val="18"/>
                <w:szCs w:val="18"/>
              </w:rPr>
            </w:pPr>
          </w:p>
          <w:p w14:paraId="4FBD0E8B" w14:textId="77777777" w:rsidR="009021F1" w:rsidRPr="003D2AD5" w:rsidRDefault="009021F1" w:rsidP="00E637E3">
            <w:pPr>
              <w:jc w:val="center"/>
              <w:rPr>
                <w:b/>
                <w:bCs/>
                <w:iCs/>
                <w:sz w:val="18"/>
                <w:szCs w:val="18"/>
              </w:rPr>
            </w:pPr>
            <w:r w:rsidRPr="003D2AD5">
              <w:rPr>
                <w:b/>
                <w:bCs/>
                <w:iCs/>
                <w:sz w:val="18"/>
                <w:szCs w:val="18"/>
              </w:rPr>
              <w:t>Commentaires</w:t>
            </w:r>
            <w:r w:rsidRPr="003D2AD5">
              <w:rPr>
                <w:b/>
                <w:bCs/>
                <w:iCs/>
                <w:sz w:val="18"/>
                <w:szCs w:val="18"/>
                <w:vertAlign w:val="superscript"/>
              </w:rPr>
              <w:footnoteReference w:id="25"/>
            </w:r>
          </w:p>
        </w:tc>
      </w:tr>
      <w:tr w:rsidR="009021F1" w:rsidRPr="005308A6" w14:paraId="73534BF5" w14:textId="77777777" w:rsidTr="00E637E3">
        <w:trPr>
          <w:trHeight w:val="228"/>
        </w:trPr>
        <w:tc>
          <w:tcPr>
            <w:tcW w:w="707" w:type="pct"/>
          </w:tcPr>
          <w:p w14:paraId="17856231" w14:textId="77777777" w:rsidR="009021F1" w:rsidRPr="005308A6" w:rsidRDefault="009021F1" w:rsidP="00E637E3">
            <w:pPr>
              <w:rPr>
                <w:b/>
                <w:bCs/>
                <w:sz w:val="18"/>
                <w:szCs w:val="18"/>
              </w:rPr>
            </w:pPr>
            <w:r w:rsidRPr="005308A6">
              <w:rPr>
                <w:b/>
                <w:bCs/>
                <w:sz w:val="18"/>
                <w:szCs w:val="18"/>
              </w:rPr>
              <w:t>Air</w:t>
            </w:r>
          </w:p>
        </w:tc>
        <w:tc>
          <w:tcPr>
            <w:tcW w:w="1414" w:type="pct"/>
            <w:vAlign w:val="bottom"/>
          </w:tcPr>
          <w:p w14:paraId="7314B4B5" w14:textId="77777777" w:rsidR="009021F1" w:rsidRPr="005308A6" w:rsidRDefault="009021F1" w:rsidP="00E637E3">
            <w:pPr>
              <w:rPr>
                <w:bCs/>
                <w:sz w:val="18"/>
                <w:szCs w:val="18"/>
              </w:rPr>
            </w:pPr>
            <w:r w:rsidRPr="005308A6">
              <w:rPr>
                <w:bCs/>
                <w:sz w:val="18"/>
                <w:szCs w:val="18"/>
              </w:rPr>
              <w:t>L’activité risque-t-elle de causer une pollution de l’air et l’atmosphère (émission de particules, fumées, etc.) ?</w:t>
            </w:r>
          </w:p>
          <w:p w14:paraId="7C658BD2" w14:textId="77777777" w:rsidR="009021F1" w:rsidRPr="005308A6" w:rsidRDefault="009021F1" w:rsidP="00E637E3">
            <w:pPr>
              <w:rPr>
                <w:sz w:val="18"/>
                <w:szCs w:val="18"/>
              </w:rPr>
            </w:pPr>
          </w:p>
        </w:tc>
        <w:tc>
          <w:tcPr>
            <w:tcW w:w="789" w:type="pct"/>
            <w:vAlign w:val="center"/>
          </w:tcPr>
          <w:p w14:paraId="5EB1F218" w14:textId="77777777" w:rsidR="009021F1" w:rsidRPr="005308A6" w:rsidRDefault="009021F1" w:rsidP="00E637E3">
            <w:pPr>
              <w:rPr>
                <w:sz w:val="18"/>
                <w:szCs w:val="18"/>
              </w:rPr>
            </w:pPr>
            <w:r w:rsidRPr="005308A6">
              <w:rPr>
                <w:sz w:val="18"/>
                <w:szCs w:val="18"/>
              </w:rPr>
              <w:t>Oui (majeur) = 2</w:t>
            </w:r>
          </w:p>
          <w:p w14:paraId="6BA177D4" w14:textId="77777777" w:rsidR="009021F1" w:rsidRPr="005308A6" w:rsidRDefault="009021F1" w:rsidP="00E637E3">
            <w:pPr>
              <w:rPr>
                <w:sz w:val="18"/>
                <w:szCs w:val="18"/>
              </w:rPr>
            </w:pPr>
            <w:r w:rsidRPr="005308A6">
              <w:rPr>
                <w:sz w:val="18"/>
                <w:szCs w:val="18"/>
              </w:rPr>
              <w:t>Oui (mineur) = 1</w:t>
            </w:r>
          </w:p>
          <w:p w14:paraId="2C7EFC8C" w14:textId="77777777" w:rsidR="009021F1" w:rsidRPr="005308A6" w:rsidRDefault="009021F1" w:rsidP="00E637E3">
            <w:pPr>
              <w:rPr>
                <w:sz w:val="18"/>
                <w:szCs w:val="18"/>
              </w:rPr>
            </w:pPr>
            <w:r w:rsidRPr="005308A6">
              <w:rPr>
                <w:sz w:val="18"/>
                <w:szCs w:val="18"/>
              </w:rPr>
              <w:t>Non = 0</w:t>
            </w:r>
          </w:p>
        </w:tc>
        <w:tc>
          <w:tcPr>
            <w:tcW w:w="789" w:type="pct"/>
            <w:vAlign w:val="center"/>
          </w:tcPr>
          <w:p w14:paraId="1EAB5C81" w14:textId="77777777" w:rsidR="009021F1" w:rsidRPr="005308A6" w:rsidRDefault="009021F1" w:rsidP="00E637E3">
            <w:pPr>
              <w:rPr>
                <w:sz w:val="18"/>
                <w:szCs w:val="18"/>
              </w:rPr>
            </w:pPr>
            <w:r w:rsidRPr="005308A6">
              <w:rPr>
                <w:sz w:val="18"/>
                <w:szCs w:val="18"/>
              </w:rPr>
              <w:t>Oui (majeur) = 2</w:t>
            </w:r>
          </w:p>
          <w:p w14:paraId="2F088BF1" w14:textId="77777777" w:rsidR="009021F1" w:rsidRPr="005308A6" w:rsidRDefault="009021F1" w:rsidP="00E637E3">
            <w:pPr>
              <w:rPr>
                <w:sz w:val="18"/>
                <w:szCs w:val="18"/>
              </w:rPr>
            </w:pPr>
            <w:r w:rsidRPr="005308A6">
              <w:rPr>
                <w:sz w:val="18"/>
                <w:szCs w:val="18"/>
              </w:rPr>
              <w:t>Oui (mineur) = 1</w:t>
            </w:r>
          </w:p>
          <w:p w14:paraId="75ED7689" w14:textId="77777777" w:rsidR="009021F1" w:rsidRPr="005308A6" w:rsidRDefault="009021F1" w:rsidP="00E637E3">
            <w:pPr>
              <w:rPr>
                <w:sz w:val="18"/>
                <w:szCs w:val="18"/>
              </w:rPr>
            </w:pPr>
            <w:r w:rsidRPr="005308A6">
              <w:rPr>
                <w:sz w:val="18"/>
                <w:szCs w:val="18"/>
              </w:rPr>
              <w:t>Non = 0</w:t>
            </w:r>
          </w:p>
        </w:tc>
        <w:tc>
          <w:tcPr>
            <w:tcW w:w="526" w:type="pct"/>
          </w:tcPr>
          <w:p w14:paraId="31E96BBE" w14:textId="77777777" w:rsidR="009021F1" w:rsidRPr="005308A6" w:rsidRDefault="009021F1" w:rsidP="00E637E3">
            <w:pPr>
              <w:rPr>
                <w:sz w:val="18"/>
                <w:szCs w:val="18"/>
              </w:rPr>
            </w:pPr>
          </w:p>
        </w:tc>
        <w:tc>
          <w:tcPr>
            <w:tcW w:w="775" w:type="pct"/>
          </w:tcPr>
          <w:p w14:paraId="62D7292B" w14:textId="77777777" w:rsidR="009021F1" w:rsidRPr="005308A6" w:rsidRDefault="009021F1" w:rsidP="00E637E3">
            <w:pPr>
              <w:rPr>
                <w:sz w:val="16"/>
                <w:szCs w:val="16"/>
              </w:rPr>
            </w:pPr>
          </w:p>
        </w:tc>
      </w:tr>
      <w:tr w:rsidR="009021F1" w:rsidRPr="005308A6" w14:paraId="59A29EBC" w14:textId="77777777" w:rsidTr="00E637E3">
        <w:trPr>
          <w:cantSplit/>
          <w:trHeight w:val="228"/>
        </w:trPr>
        <w:tc>
          <w:tcPr>
            <w:tcW w:w="707" w:type="pct"/>
            <w:vMerge w:val="restart"/>
          </w:tcPr>
          <w:p w14:paraId="5D95E113" w14:textId="77777777" w:rsidR="009021F1" w:rsidRPr="005308A6" w:rsidRDefault="009021F1" w:rsidP="00E637E3">
            <w:pPr>
              <w:rPr>
                <w:b/>
                <w:bCs/>
                <w:sz w:val="18"/>
                <w:szCs w:val="18"/>
              </w:rPr>
            </w:pPr>
            <w:r w:rsidRPr="005308A6">
              <w:rPr>
                <w:b/>
                <w:bCs/>
                <w:sz w:val="18"/>
                <w:szCs w:val="18"/>
              </w:rPr>
              <w:t>Sols</w:t>
            </w:r>
          </w:p>
        </w:tc>
        <w:tc>
          <w:tcPr>
            <w:tcW w:w="1414" w:type="pct"/>
            <w:vAlign w:val="bottom"/>
          </w:tcPr>
          <w:p w14:paraId="59E88578" w14:textId="77777777" w:rsidR="009021F1" w:rsidRPr="005308A6" w:rsidRDefault="009021F1" w:rsidP="00E637E3">
            <w:pPr>
              <w:rPr>
                <w:bCs/>
                <w:sz w:val="18"/>
                <w:szCs w:val="18"/>
              </w:rPr>
            </w:pPr>
            <w:r w:rsidRPr="005308A6">
              <w:rPr>
                <w:bCs/>
                <w:sz w:val="18"/>
                <w:szCs w:val="18"/>
              </w:rPr>
              <w:t xml:space="preserve">L’activité risque-t-elle de causer une </w:t>
            </w:r>
            <w:r w:rsidRPr="005308A6">
              <w:rPr>
                <w:sz w:val="18"/>
                <w:szCs w:val="18"/>
              </w:rPr>
              <w:t>pollution des sols</w:t>
            </w:r>
            <w:r w:rsidRPr="005308A6">
              <w:rPr>
                <w:bCs/>
                <w:sz w:val="18"/>
                <w:szCs w:val="18"/>
              </w:rPr>
              <w:t xml:space="preserve"> ? </w:t>
            </w:r>
          </w:p>
          <w:p w14:paraId="48553831" w14:textId="77777777" w:rsidR="009021F1" w:rsidRPr="005308A6" w:rsidRDefault="009021F1" w:rsidP="00E637E3">
            <w:pPr>
              <w:rPr>
                <w:sz w:val="18"/>
                <w:szCs w:val="18"/>
              </w:rPr>
            </w:pPr>
          </w:p>
        </w:tc>
        <w:tc>
          <w:tcPr>
            <w:tcW w:w="789" w:type="pct"/>
            <w:vAlign w:val="center"/>
          </w:tcPr>
          <w:p w14:paraId="08598359" w14:textId="77777777" w:rsidR="009021F1" w:rsidRPr="005308A6" w:rsidRDefault="009021F1" w:rsidP="00E637E3">
            <w:pPr>
              <w:rPr>
                <w:sz w:val="18"/>
                <w:szCs w:val="18"/>
              </w:rPr>
            </w:pPr>
            <w:r w:rsidRPr="005308A6">
              <w:rPr>
                <w:sz w:val="18"/>
                <w:szCs w:val="18"/>
              </w:rPr>
              <w:t>Oui (majeur) = 2</w:t>
            </w:r>
          </w:p>
          <w:p w14:paraId="6D10B51C" w14:textId="77777777" w:rsidR="009021F1" w:rsidRPr="005308A6" w:rsidRDefault="009021F1" w:rsidP="00E637E3">
            <w:pPr>
              <w:rPr>
                <w:sz w:val="18"/>
                <w:szCs w:val="18"/>
              </w:rPr>
            </w:pPr>
            <w:r w:rsidRPr="005308A6">
              <w:rPr>
                <w:sz w:val="18"/>
                <w:szCs w:val="18"/>
              </w:rPr>
              <w:t>Oui (mineur) = 1</w:t>
            </w:r>
          </w:p>
          <w:p w14:paraId="3500F3D3" w14:textId="77777777" w:rsidR="009021F1" w:rsidRPr="005308A6" w:rsidRDefault="009021F1" w:rsidP="00E637E3">
            <w:pPr>
              <w:rPr>
                <w:sz w:val="18"/>
                <w:szCs w:val="18"/>
              </w:rPr>
            </w:pPr>
            <w:r w:rsidRPr="005308A6">
              <w:rPr>
                <w:sz w:val="18"/>
                <w:szCs w:val="18"/>
              </w:rPr>
              <w:t>Non = 0</w:t>
            </w:r>
          </w:p>
        </w:tc>
        <w:tc>
          <w:tcPr>
            <w:tcW w:w="789" w:type="pct"/>
            <w:vAlign w:val="center"/>
          </w:tcPr>
          <w:p w14:paraId="0096BADA" w14:textId="77777777" w:rsidR="009021F1" w:rsidRPr="005308A6" w:rsidRDefault="009021F1" w:rsidP="00E637E3">
            <w:pPr>
              <w:rPr>
                <w:sz w:val="18"/>
                <w:szCs w:val="18"/>
              </w:rPr>
            </w:pPr>
            <w:r w:rsidRPr="005308A6">
              <w:rPr>
                <w:sz w:val="18"/>
                <w:szCs w:val="18"/>
              </w:rPr>
              <w:t>Oui (majeur) = 2</w:t>
            </w:r>
          </w:p>
          <w:p w14:paraId="318ADE77" w14:textId="77777777" w:rsidR="009021F1" w:rsidRPr="005308A6" w:rsidRDefault="009021F1" w:rsidP="00E637E3">
            <w:pPr>
              <w:rPr>
                <w:sz w:val="18"/>
                <w:szCs w:val="18"/>
              </w:rPr>
            </w:pPr>
            <w:r w:rsidRPr="005308A6">
              <w:rPr>
                <w:sz w:val="18"/>
                <w:szCs w:val="18"/>
              </w:rPr>
              <w:t>Oui (mineur) = 1</w:t>
            </w:r>
          </w:p>
          <w:p w14:paraId="37854796" w14:textId="77777777" w:rsidR="009021F1" w:rsidRPr="005308A6" w:rsidRDefault="009021F1" w:rsidP="00E637E3">
            <w:pPr>
              <w:rPr>
                <w:sz w:val="18"/>
                <w:szCs w:val="18"/>
              </w:rPr>
            </w:pPr>
            <w:r w:rsidRPr="005308A6">
              <w:rPr>
                <w:sz w:val="18"/>
                <w:szCs w:val="18"/>
              </w:rPr>
              <w:t>Non = 0</w:t>
            </w:r>
          </w:p>
        </w:tc>
        <w:tc>
          <w:tcPr>
            <w:tcW w:w="526" w:type="pct"/>
          </w:tcPr>
          <w:p w14:paraId="0F1807FF" w14:textId="77777777" w:rsidR="009021F1" w:rsidRPr="005308A6" w:rsidRDefault="009021F1" w:rsidP="00E637E3">
            <w:pPr>
              <w:rPr>
                <w:sz w:val="18"/>
                <w:szCs w:val="18"/>
              </w:rPr>
            </w:pPr>
          </w:p>
        </w:tc>
        <w:tc>
          <w:tcPr>
            <w:tcW w:w="775" w:type="pct"/>
          </w:tcPr>
          <w:p w14:paraId="27F769CD" w14:textId="77777777" w:rsidR="009021F1" w:rsidRPr="005308A6" w:rsidRDefault="009021F1" w:rsidP="00E637E3">
            <w:pPr>
              <w:rPr>
                <w:sz w:val="16"/>
                <w:szCs w:val="16"/>
              </w:rPr>
            </w:pPr>
          </w:p>
        </w:tc>
      </w:tr>
      <w:tr w:rsidR="009021F1" w:rsidRPr="005308A6" w14:paraId="3237B4A2" w14:textId="77777777" w:rsidTr="00E637E3">
        <w:trPr>
          <w:cantSplit/>
          <w:trHeight w:val="228"/>
        </w:trPr>
        <w:tc>
          <w:tcPr>
            <w:tcW w:w="707" w:type="pct"/>
            <w:vMerge/>
          </w:tcPr>
          <w:p w14:paraId="4EB07427" w14:textId="77777777" w:rsidR="009021F1" w:rsidRPr="005308A6" w:rsidRDefault="009021F1" w:rsidP="00E637E3">
            <w:pPr>
              <w:rPr>
                <w:b/>
                <w:bCs/>
                <w:sz w:val="18"/>
                <w:szCs w:val="18"/>
              </w:rPr>
            </w:pPr>
          </w:p>
        </w:tc>
        <w:tc>
          <w:tcPr>
            <w:tcW w:w="1414" w:type="pct"/>
            <w:vAlign w:val="bottom"/>
          </w:tcPr>
          <w:p w14:paraId="6264DE8C" w14:textId="77777777" w:rsidR="009021F1" w:rsidRPr="005308A6" w:rsidRDefault="009021F1" w:rsidP="00E637E3">
            <w:pPr>
              <w:rPr>
                <w:sz w:val="18"/>
                <w:szCs w:val="18"/>
              </w:rPr>
            </w:pPr>
            <w:r w:rsidRPr="005308A6">
              <w:rPr>
                <w:bCs/>
                <w:sz w:val="18"/>
                <w:szCs w:val="18"/>
              </w:rPr>
              <w:t xml:space="preserve">L’activité risque-t-elle de causer </w:t>
            </w:r>
            <w:r w:rsidRPr="005308A6">
              <w:rPr>
                <w:sz w:val="18"/>
                <w:szCs w:val="18"/>
              </w:rPr>
              <w:t>la dégradation des sols (érosion, ravinement, compactage, etc.) ?</w:t>
            </w:r>
          </w:p>
          <w:p w14:paraId="52BA8DA8" w14:textId="77777777" w:rsidR="009021F1" w:rsidRPr="005308A6" w:rsidRDefault="009021F1" w:rsidP="00E637E3">
            <w:pPr>
              <w:rPr>
                <w:sz w:val="18"/>
                <w:szCs w:val="18"/>
              </w:rPr>
            </w:pPr>
          </w:p>
        </w:tc>
        <w:tc>
          <w:tcPr>
            <w:tcW w:w="789" w:type="pct"/>
            <w:vAlign w:val="center"/>
          </w:tcPr>
          <w:p w14:paraId="59D935FA" w14:textId="77777777" w:rsidR="009021F1" w:rsidRPr="005308A6" w:rsidRDefault="009021F1" w:rsidP="00E637E3">
            <w:pPr>
              <w:rPr>
                <w:sz w:val="18"/>
                <w:szCs w:val="18"/>
              </w:rPr>
            </w:pPr>
            <w:r w:rsidRPr="005308A6">
              <w:rPr>
                <w:sz w:val="18"/>
                <w:szCs w:val="18"/>
              </w:rPr>
              <w:t>Oui (majeur) = 2</w:t>
            </w:r>
          </w:p>
          <w:p w14:paraId="7CF8B0C0" w14:textId="77777777" w:rsidR="009021F1" w:rsidRPr="005308A6" w:rsidRDefault="009021F1" w:rsidP="00E637E3">
            <w:pPr>
              <w:rPr>
                <w:sz w:val="18"/>
                <w:szCs w:val="18"/>
              </w:rPr>
            </w:pPr>
            <w:r w:rsidRPr="005308A6">
              <w:rPr>
                <w:sz w:val="18"/>
                <w:szCs w:val="18"/>
              </w:rPr>
              <w:t>Oui (mineur) = 1</w:t>
            </w:r>
          </w:p>
          <w:p w14:paraId="6BA1BC65" w14:textId="77777777" w:rsidR="009021F1" w:rsidRPr="005308A6" w:rsidRDefault="009021F1" w:rsidP="00E637E3">
            <w:pPr>
              <w:rPr>
                <w:sz w:val="18"/>
                <w:szCs w:val="18"/>
              </w:rPr>
            </w:pPr>
            <w:r w:rsidRPr="005308A6">
              <w:rPr>
                <w:sz w:val="18"/>
                <w:szCs w:val="18"/>
              </w:rPr>
              <w:t>Non = 0</w:t>
            </w:r>
          </w:p>
        </w:tc>
        <w:tc>
          <w:tcPr>
            <w:tcW w:w="789" w:type="pct"/>
            <w:vAlign w:val="center"/>
          </w:tcPr>
          <w:p w14:paraId="36C55844" w14:textId="77777777" w:rsidR="009021F1" w:rsidRPr="005308A6" w:rsidRDefault="009021F1" w:rsidP="00E637E3">
            <w:pPr>
              <w:rPr>
                <w:sz w:val="18"/>
                <w:szCs w:val="18"/>
              </w:rPr>
            </w:pPr>
            <w:r w:rsidRPr="005308A6">
              <w:rPr>
                <w:sz w:val="18"/>
                <w:szCs w:val="18"/>
              </w:rPr>
              <w:t>Oui (majeur) = 2</w:t>
            </w:r>
          </w:p>
          <w:p w14:paraId="4BD7FFFF" w14:textId="77777777" w:rsidR="009021F1" w:rsidRPr="005308A6" w:rsidRDefault="009021F1" w:rsidP="00E637E3">
            <w:pPr>
              <w:rPr>
                <w:sz w:val="18"/>
                <w:szCs w:val="18"/>
              </w:rPr>
            </w:pPr>
            <w:r w:rsidRPr="005308A6">
              <w:rPr>
                <w:sz w:val="18"/>
                <w:szCs w:val="18"/>
              </w:rPr>
              <w:t>Oui (mineur) = 1</w:t>
            </w:r>
          </w:p>
          <w:p w14:paraId="3884A491" w14:textId="77777777" w:rsidR="009021F1" w:rsidRPr="005308A6" w:rsidRDefault="009021F1" w:rsidP="00E637E3">
            <w:pPr>
              <w:rPr>
                <w:sz w:val="18"/>
                <w:szCs w:val="18"/>
              </w:rPr>
            </w:pPr>
            <w:r w:rsidRPr="005308A6">
              <w:rPr>
                <w:sz w:val="18"/>
                <w:szCs w:val="18"/>
              </w:rPr>
              <w:t>Non = 0</w:t>
            </w:r>
          </w:p>
        </w:tc>
        <w:tc>
          <w:tcPr>
            <w:tcW w:w="526" w:type="pct"/>
          </w:tcPr>
          <w:p w14:paraId="53AA1ABA" w14:textId="77777777" w:rsidR="009021F1" w:rsidRPr="005308A6" w:rsidRDefault="009021F1" w:rsidP="00E637E3">
            <w:pPr>
              <w:rPr>
                <w:sz w:val="18"/>
                <w:szCs w:val="18"/>
              </w:rPr>
            </w:pPr>
          </w:p>
        </w:tc>
        <w:tc>
          <w:tcPr>
            <w:tcW w:w="775" w:type="pct"/>
          </w:tcPr>
          <w:p w14:paraId="3FD0396C" w14:textId="77777777" w:rsidR="009021F1" w:rsidRPr="005308A6" w:rsidRDefault="009021F1" w:rsidP="00E637E3">
            <w:pPr>
              <w:rPr>
                <w:sz w:val="16"/>
                <w:szCs w:val="16"/>
              </w:rPr>
            </w:pPr>
          </w:p>
        </w:tc>
      </w:tr>
      <w:tr w:rsidR="009021F1" w:rsidRPr="005308A6" w14:paraId="6EEBFF1E" w14:textId="77777777" w:rsidTr="00E637E3">
        <w:trPr>
          <w:cantSplit/>
          <w:trHeight w:val="228"/>
        </w:trPr>
        <w:tc>
          <w:tcPr>
            <w:tcW w:w="707" w:type="pct"/>
            <w:vMerge/>
          </w:tcPr>
          <w:p w14:paraId="1E1980DF" w14:textId="77777777" w:rsidR="009021F1" w:rsidRPr="005308A6" w:rsidRDefault="009021F1" w:rsidP="00E637E3">
            <w:pPr>
              <w:rPr>
                <w:b/>
                <w:bCs/>
                <w:sz w:val="18"/>
                <w:szCs w:val="18"/>
              </w:rPr>
            </w:pPr>
          </w:p>
        </w:tc>
        <w:tc>
          <w:tcPr>
            <w:tcW w:w="1414" w:type="pct"/>
            <w:vAlign w:val="bottom"/>
          </w:tcPr>
          <w:p w14:paraId="5371B291" w14:textId="77777777" w:rsidR="009021F1" w:rsidRPr="005308A6" w:rsidRDefault="009021F1" w:rsidP="00E637E3">
            <w:pPr>
              <w:rPr>
                <w:bCs/>
                <w:sz w:val="18"/>
                <w:szCs w:val="18"/>
              </w:rPr>
            </w:pPr>
            <w:r w:rsidRPr="005308A6">
              <w:rPr>
                <w:bCs/>
                <w:sz w:val="18"/>
                <w:szCs w:val="18"/>
              </w:rPr>
              <w:t>L’activité risque-t-elle d’imperméabiliser de grande surface de sol perméable  actuellement</w:t>
            </w:r>
          </w:p>
        </w:tc>
        <w:tc>
          <w:tcPr>
            <w:tcW w:w="789" w:type="pct"/>
            <w:vAlign w:val="center"/>
          </w:tcPr>
          <w:p w14:paraId="4BDC506C" w14:textId="77777777" w:rsidR="009021F1" w:rsidRPr="005308A6" w:rsidRDefault="009021F1" w:rsidP="00E637E3">
            <w:pPr>
              <w:rPr>
                <w:sz w:val="18"/>
                <w:szCs w:val="18"/>
              </w:rPr>
            </w:pPr>
            <w:r w:rsidRPr="005308A6">
              <w:rPr>
                <w:sz w:val="18"/>
                <w:szCs w:val="18"/>
              </w:rPr>
              <w:t>Oui (majeur) = 2</w:t>
            </w:r>
          </w:p>
          <w:p w14:paraId="5E0620B7" w14:textId="77777777" w:rsidR="009021F1" w:rsidRPr="005308A6" w:rsidRDefault="009021F1" w:rsidP="00E637E3">
            <w:pPr>
              <w:rPr>
                <w:sz w:val="18"/>
                <w:szCs w:val="18"/>
              </w:rPr>
            </w:pPr>
            <w:r w:rsidRPr="005308A6">
              <w:rPr>
                <w:sz w:val="18"/>
                <w:szCs w:val="18"/>
              </w:rPr>
              <w:t>Oui (mineur) = 1</w:t>
            </w:r>
          </w:p>
          <w:p w14:paraId="2C21F262" w14:textId="77777777" w:rsidR="009021F1" w:rsidRPr="005308A6" w:rsidRDefault="009021F1" w:rsidP="00E637E3">
            <w:pPr>
              <w:rPr>
                <w:sz w:val="18"/>
                <w:szCs w:val="18"/>
              </w:rPr>
            </w:pPr>
            <w:r w:rsidRPr="005308A6">
              <w:rPr>
                <w:sz w:val="18"/>
                <w:szCs w:val="18"/>
              </w:rPr>
              <w:t>Non = 0</w:t>
            </w:r>
          </w:p>
        </w:tc>
        <w:tc>
          <w:tcPr>
            <w:tcW w:w="789" w:type="pct"/>
            <w:vAlign w:val="center"/>
          </w:tcPr>
          <w:p w14:paraId="2D5C74A4" w14:textId="77777777" w:rsidR="009021F1" w:rsidRPr="005308A6" w:rsidRDefault="009021F1" w:rsidP="00E637E3">
            <w:pPr>
              <w:rPr>
                <w:sz w:val="18"/>
                <w:szCs w:val="18"/>
              </w:rPr>
            </w:pPr>
            <w:r w:rsidRPr="005308A6">
              <w:rPr>
                <w:sz w:val="18"/>
                <w:szCs w:val="18"/>
              </w:rPr>
              <w:t>Oui (majeur) = 2</w:t>
            </w:r>
          </w:p>
          <w:p w14:paraId="4EF385A7" w14:textId="77777777" w:rsidR="009021F1" w:rsidRPr="005308A6" w:rsidRDefault="009021F1" w:rsidP="00E637E3">
            <w:pPr>
              <w:rPr>
                <w:sz w:val="18"/>
                <w:szCs w:val="18"/>
              </w:rPr>
            </w:pPr>
            <w:r w:rsidRPr="005308A6">
              <w:rPr>
                <w:sz w:val="18"/>
                <w:szCs w:val="18"/>
              </w:rPr>
              <w:t>Oui (mineur) = 1</w:t>
            </w:r>
          </w:p>
          <w:p w14:paraId="6F5B3BD8" w14:textId="77777777" w:rsidR="009021F1" w:rsidRPr="005308A6" w:rsidRDefault="009021F1" w:rsidP="00E637E3">
            <w:pPr>
              <w:rPr>
                <w:sz w:val="18"/>
                <w:szCs w:val="18"/>
              </w:rPr>
            </w:pPr>
            <w:r w:rsidRPr="005308A6">
              <w:rPr>
                <w:sz w:val="18"/>
                <w:szCs w:val="18"/>
              </w:rPr>
              <w:t>Non = 0</w:t>
            </w:r>
          </w:p>
        </w:tc>
        <w:tc>
          <w:tcPr>
            <w:tcW w:w="526" w:type="pct"/>
          </w:tcPr>
          <w:p w14:paraId="1A13C80E" w14:textId="77777777" w:rsidR="009021F1" w:rsidRPr="005308A6" w:rsidRDefault="009021F1" w:rsidP="00E637E3">
            <w:pPr>
              <w:rPr>
                <w:sz w:val="18"/>
                <w:szCs w:val="18"/>
              </w:rPr>
            </w:pPr>
          </w:p>
        </w:tc>
        <w:tc>
          <w:tcPr>
            <w:tcW w:w="775" w:type="pct"/>
          </w:tcPr>
          <w:p w14:paraId="03EE7ADC" w14:textId="77777777" w:rsidR="009021F1" w:rsidRPr="005308A6" w:rsidRDefault="009021F1" w:rsidP="00E637E3">
            <w:pPr>
              <w:rPr>
                <w:sz w:val="16"/>
                <w:szCs w:val="16"/>
              </w:rPr>
            </w:pPr>
          </w:p>
        </w:tc>
      </w:tr>
      <w:tr w:rsidR="009021F1" w:rsidRPr="005308A6" w14:paraId="41DD1467" w14:textId="77777777" w:rsidTr="00E637E3">
        <w:trPr>
          <w:cantSplit/>
          <w:trHeight w:val="228"/>
        </w:trPr>
        <w:tc>
          <w:tcPr>
            <w:tcW w:w="707" w:type="pct"/>
            <w:vMerge w:val="restart"/>
          </w:tcPr>
          <w:p w14:paraId="6EA720C0" w14:textId="77777777" w:rsidR="009021F1" w:rsidRPr="005308A6" w:rsidRDefault="009021F1" w:rsidP="00E637E3">
            <w:pPr>
              <w:rPr>
                <w:b/>
                <w:bCs/>
                <w:sz w:val="18"/>
                <w:szCs w:val="18"/>
              </w:rPr>
            </w:pPr>
            <w:r w:rsidRPr="005308A6">
              <w:rPr>
                <w:b/>
                <w:bCs/>
                <w:sz w:val="18"/>
                <w:szCs w:val="18"/>
              </w:rPr>
              <w:t>Eau</w:t>
            </w:r>
          </w:p>
        </w:tc>
        <w:tc>
          <w:tcPr>
            <w:tcW w:w="1414" w:type="pct"/>
            <w:vAlign w:val="bottom"/>
          </w:tcPr>
          <w:p w14:paraId="1CA05386" w14:textId="77777777" w:rsidR="009021F1" w:rsidRPr="005308A6" w:rsidRDefault="009021F1" w:rsidP="00E637E3">
            <w:pPr>
              <w:rPr>
                <w:bCs/>
                <w:sz w:val="18"/>
                <w:szCs w:val="18"/>
              </w:rPr>
            </w:pPr>
            <w:r w:rsidRPr="005308A6">
              <w:rPr>
                <w:bCs/>
                <w:sz w:val="18"/>
                <w:szCs w:val="18"/>
              </w:rPr>
              <w:t xml:space="preserve">L’activité risque-t-elle de causer une </w:t>
            </w:r>
            <w:r w:rsidRPr="005308A6">
              <w:rPr>
                <w:sz w:val="18"/>
                <w:szCs w:val="18"/>
              </w:rPr>
              <w:t xml:space="preserve">pollution des eaux de surfaces (contamination, turbidité, sédimentation, etc.) ? </w:t>
            </w:r>
          </w:p>
        </w:tc>
        <w:tc>
          <w:tcPr>
            <w:tcW w:w="789" w:type="pct"/>
            <w:vAlign w:val="center"/>
          </w:tcPr>
          <w:p w14:paraId="4DB0F333" w14:textId="77777777" w:rsidR="009021F1" w:rsidRPr="005308A6" w:rsidRDefault="009021F1" w:rsidP="00E637E3">
            <w:pPr>
              <w:rPr>
                <w:sz w:val="18"/>
                <w:szCs w:val="18"/>
              </w:rPr>
            </w:pPr>
            <w:r w:rsidRPr="005308A6">
              <w:rPr>
                <w:sz w:val="18"/>
                <w:szCs w:val="18"/>
              </w:rPr>
              <w:t>Oui (majeur) = 2</w:t>
            </w:r>
          </w:p>
          <w:p w14:paraId="186EDC39" w14:textId="77777777" w:rsidR="009021F1" w:rsidRPr="005308A6" w:rsidRDefault="009021F1" w:rsidP="00E637E3">
            <w:pPr>
              <w:rPr>
                <w:sz w:val="18"/>
                <w:szCs w:val="18"/>
              </w:rPr>
            </w:pPr>
            <w:r w:rsidRPr="005308A6">
              <w:rPr>
                <w:sz w:val="18"/>
                <w:szCs w:val="18"/>
              </w:rPr>
              <w:t>Oui (mineur) = 1</w:t>
            </w:r>
          </w:p>
          <w:p w14:paraId="70033160" w14:textId="77777777" w:rsidR="009021F1" w:rsidRPr="005308A6" w:rsidRDefault="009021F1" w:rsidP="00E637E3">
            <w:pPr>
              <w:rPr>
                <w:bCs/>
                <w:sz w:val="18"/>
                <w:szCs w:val="18"/>
              </w:rPr>
            </w:pPr>
            <w:r w:rsidRPr="005308A6">
              <w:rPr>
                <w:sz w:val="18"/>
                <w:szCs w:val="18"/>
              </w:rPr>
              <w:t>Non = 0</w:t>
            </w:r>
          </w:p>
        </w:tc>
        <w:tc>
          <w:tcPr>
            <w:tcW w:w="789" w:type="pct"/>
            <w:vAlign w:val="center"/>
          </w:tcPr>
          <w:p w14:paraId="458A1255" w14:textId="77777777" w:rsidR="009021F1" w:rsidRPr="005308A6" w:rsidRDefault="009021F1" w:rsidP="00E637E3">
            <w:pPr>
              <w:rPr>
                <w:sz w:val="18"/>
                <w:szCs w:val="18"/>
              </w:rPr>
            </w:pPr>
            <w:r w:rsidRPr="005308A6">
              <w:rPr>
                <w:sz w:val="18"/>
                <w:szCs w:val="18"/>
              </w:rPr>
              <w:t>Oui (majeur) = 2</w:t>
            </w:r>
          </w:p>
          <w:p w14:paraId="5CEE146E" w14:textId="77777777" w:rsidR="009021F1" w:rsidRPr="005308A6" w:rsidRDefault="009021F1" w:rsidP="00E637E3">
            <w:pPr>
              <w:rPr>
                <w:sz w:val="18"/>
                <w:szCs w:val="18"/>
              </w:rPr>
            </w:pPr>
            <w:r w:rsidRPr="005308A6">
              <w:rPr>
                <w:sz w:val="18"/>
                <w:szCs w:val="18"/>
              </w:rPr>
              <w:t>Oui (mineur) = 1</w:t>
            </w:r>
          </w:p>
          <w:p w14:paraId="349299BA" w14:textId="77777777" w:rsidR="009021F1" w:rsidRPr="005308A6" w:rsidRDefault="009021F1" w:rsidP="00E637E3">
            <w:pPr>
              <w:rPr>
                <w:bCs/>
                <w:sz w:val="18"/>
                <w:szCs w:val="18"/>
              </w:rPr>
            </w:pPr>
            <w:r w:rsidRPr="005308A6">
              <w:rPr>
                <w:sz w:val="18"/>
                <w:szCs w:val="18"/>
              </w:rPr>
              <w:t>Non = 0</w:t>
            </w:r>
          </w:p>
        </w:tc>
        <w:tc>
          <w:tcPr>
            <w:tcW w:w="526" w:type="pct"/>
          </w:tcPr>
          <w:p w14:paraId="77203F45" w14:textId="77777777" w:rsidR="009021F1" w:rsidRPr="005308A6" w:rsidRDefault="009021F1" w:rsidP="00E637E3">
            <w:pPr>
              <w:rPr>
                <w:sz w:val="18"/>
                <w:szCs w:val="18"/>
              </w:rPr>
            </w:pPr>
          </w:p>
        </w:tc>
        <w:tc>
          <w:tcPr>
            <w:tcW w:w="775" w:type="pct"/>
          </w:tcPr>
          <w:p w14:paraId="2B283DF1" w14:textId="77777777" w:rsidR="009021F1" w:rsidRPr="005308A6" w:rsidRDefault="009021F1" w:rsidP="00E637E3">
            <w:pPr>
              <w:rPr>
                <w:sz w:val="16"/>
                <w:szCs w:val="16"/>
              </w:rPr>
            </w:pPr>
          </w:p>
        </w:tc>
      </w:tr>
      <w:tr w:rsidR="009021F1" w:rsidRPr="005308A6" w14:paraId="7685FA27" w14:textId="77777777" w:rsidTr="00E637E3">
        <w:trPr>
          <w:cantSplit/>
          <w:trHeight w:val="228"/>
        </w:trPr>
        <w:tc>
          <w:tcPr>
            <w:tcW w:w="707" w:type="pct"/>
            <w:vMerge/>
          </w:tcPr>
          <w:p w14:paraId="596482B1" w14:textId="77777777" w:rsidR="009021F1" w:rsidRPr="005308A6" w:rsidRDefault="009021F1" w:rsidP="00E637E3">
            <w:pPr>
              <w:rPr>
                <w:b/>
                <w:bCs/>
                <w:sz w:val="18"/>
                <w:szCs w:val="18"/>
              </w:rPr>
            </w:pPr>
          </w:p>
        </w:tc>
        <w:tc>
          <w:tcPr>
            <w:tcW w:w="1414" w:type="pct"/>
            <w:vAlign w:val="bottom"/>
          </w:tcPr>
          <w:p w14:paraId="7FF6A0E1" w14:textId="77777777" w:rsidR="009021F1" w:rsidRPr="005308A6" w:rsidRDefault="009021F1" w:rsidP="00E637E3">
            <w:pPr>
              <w:rPr>
                <w:sz w:val="18"/>
                <w:szCs w:val="18"/>
              </w:rPr>
            </w:pPr>
            <w:r w:rsidRPr="005308A6">
              <w:rPr>
                <w:bCs/>
                <w:sz w:val="18"/>
                <w:szCs w:val="18"/>
              </w:rPr>
              <w:t>L’activité risque-t-elle de modifier l’écoulement des eaux de surface, leur quantité ?</w:t>
            </w:r>
          </w:p>
          <w:p w14:paraId="3386DD1D" w14:textId="77777777" w:rsidR="009021F1" w:rsidRPr="005308A6" w:rsidRDefault="009021F1" w:rsidP="00E637E3">
            <w:pPr>
              <w:rPr>
                <w:bCs/>
                <w:sz w:val="18"/>
                <w:szCs w:val="18"/>
              </w:rPr>
            </w:pPr>
          </w:p>
        </w:tc>
        <w:tc>
          <w:tcPr>
            <w:tcW w:w="789" w:type="pct"/>
            <w:vAlign w:val="center"/>
          </w:tcPr>
          <w:p w14:paraId="57DD614C" w14:textId="77777777" w:rsidR="009021F1" w:rsidRPr="005308A6" w:rsidRDefault="009021F1" w:rsidP="00E637E3">
            <w:pPr>
              <w:rPr>
                <w:sz w:val="18"/>
                <w:szCs w:val="18"/>
              </w:rPr>
            </w:pPr>
            <w:r w:rsidRPr="005308A6">
              <w:rPr>
                <w:sz w:val="18"/>
                <w:szCs w:val="18"/>
              </w:rPr>
              <w:t>Oui (majeur) = 2</w:t>
            </w:r>
          </w:p>
          <w:p w14:paraId="62EA908D" w14:textId="77777777" w:rsidR="009021F1" w:rsidRPr="005308A6" w:rsidRDefault="009021F1" w:rsidP="00E637E3">
            <w:pPr>
              <w:rPr>
                <w:sz w:val="18"/>
                <w:szCs w:val="18"/>
              </w:rPr>
            </w:pPr>
            <w:r w:rsidRPr="005308A6">
              <w:rPr>
                <w:sz w:val="18"/>
                <w:szCs w:val="18"/>
              </w:rPr>
              <w:t>Oui (mineur) = 1</w:t>
            </w:r>
          </w:p>
          <w:p w14:paraId="5BB8594C" w14:textId="77777777" w:rsidR="009021F1" w:rsidRPr="005308A6" w:rsidRDefault="009021F1" w:rsidP="00E637E3">
            <w:pPr>
              <w:rPr>
                <w:bCs/>
                <w:sz w:val="18"/>
                <w:szCs w:val="18"/>
              </w:rPr>
            </w:pPr>
            <w:r w:rsidRPr="005308A6">
              <w:rPr>
                <w:sz w:val="18"/>
                <w:szCs w:val="18"/>
              </w:rPr>
              <w:t>Non = 0</w:t>
            </w:r>
          </w:p>
        </w:tc>
        <w:tc>
          <w:tcPr>
            <w:tcW w:w="789" w:type="pct"/>
            <w:vAlign w:val="center"/>
          </w:tcPr>
          <w:p w14:paraId="4A469DEA" w14:textId="77777777" w:rsidR="009021F1" w:rsidRPr="005308A6" w:rsidRDefault="009021F1" w:rsidP="00E637E3">
            <w:pPr>
              <w:rPr>
                <w:sz w:val="18"/>
                <w:szCs w:val="18"/>
              </w:rPr>
            </w:pPr>
            <w:r w:rsidRPr="005308A6">
              <w:rPr>
                <w:sz w:val="18"/>
                <w:szCs w:val="18"/>
              </w:rPr>
              <w:t>Oui (majeur) = 2</w:t>
            </w:r>
          </w:p>
          <w:p w14:paraId="1224E3AA" w14:textId="77777777" w:rsidR="009021F1" w:rsidRPr="005308A6" w:rsidRDefault="009021F1" w:rsidP="00E637E3">
            <w:pPr>
              <w:rPr>
                <w:sz w:val="18"/>
                <w:szCs w:val="18"/>
              </w:rPr>
            </w:pPr>
            <w:r w:rsidRPr="005308A6">
              <w:rPr>
                <w:sz w:val="18"/>
                <w:szCs w:val="18"/>
              </w:rPr>
              <w:t>Oui (mineur) = 1</w:t>
            </w:r>
          </w:p>
          <w:p w14:paraId="2C3EB971" w14:textId="77777777" w:rsidR="009021F1" w:rsidRPr="005308A6" w:rsidRDefault="009021F1" w:rsidP="00E637E3">
            <w:pPr>
              <w:rPr>
                <w:bCs/>
                <w:sz w:val="18"/>
                <w:szCs w:val="18"/>
              </w:rPr>
            </w:pPr>
            <w:r w:rsidRPr="005308A6">
              <w:rPr>
                <w:sz w:val="18"/>
                <w:szCs w:val="18"/>
              </w:rPr>
              <w:t>Non = 0</w:t>
            </w:r>
          </w:p>
        </w:tc>
        <w:tc>
          <w:tcPr>
            <w:tcW w:w="526" w:type="pct"/>
          </w:tcPr>
          <w:p w14:paraId="7D5CDEDE" w14:textId="77777777" w:rsidR="009021F1" w:rsidRPr="005308A6" w:rsidRDefault="009021F1" w:rsidP="00E637E3">
            <w:pPr>
              <w:rPr>
                <w:sz w:val="18"/>
                <w:szCs w:val="18"/>
              </w:rPr>
            </w:pPr>
          </w:p>
        </w:tc>
        <w:tc>
          <w:tcPr>
            <w:tcW w:w="775" w:type="pct"/>
          </w:tcPr>
          <w:p w14:paraId="6EDEDB0A" w14:textId="77777777" w:rsidR="009021F1" w:rsidRPr="005308A6" w:rsidRDefault="009021F1" w:rsidP="00E637E3">
            <w:pPr>
              <w:rPr>
                <w:sz w:val="16"/>
                <w:szCs w:val="16"/>
              </w:rPr>
            </w:pPr>
          </w:p>
        </w:tc>
      </w:tr>
      <w:tr w:rsidR="009021F1" w:rsidRPr="005308A6" w14:paraId="572F9F58" w14:textId="77777777" w:rsidTr="00E637E3">
        <w:trPr>
          <w:trHeight w:val="228"/>
        </w:trPr>
        <w:tc>
          <w:tcPr>
            <w:tcW w:w="707" w:type="pct"/>
            <w:vMerge/>
          </w:tcPr>
          <w:p w14:paraId="0CDA9D30" w14:textId="77777777" w:rsidR="009021F1" w:rsidRPr="005308A6" w:rsidRDefault="009021F1" w:rsidP="00E637E3">
            <w:pPr>
              <w:rPr>
                <w:b/>
                <w:bCs/>
                <w:sz w:val="18"/>
                <w:szCs w:val="18"/>
              </w:rPr>
            </w:pPr>
          </w:p>
        </w:tc>
        <w:tc>
          <w:tcPr>
            <w:tcW w:w="1414" w:type="pct"/>
            <w:vAlign w:val="bottom"/>
          </w:tcPr>
          <w:p w14:paraId="39CCE705" w14:textId="77777777" w:rsidR="009021F1" w:rsidRPr="005308A6" w:rsidRDefault="009021F1" w:rsidP="00E637E3">
            <w:pPr>
              <w:rPr>
                <w:bCs/>
                <w:sz w:val="18"/>
                <w:szCs w:val="18"/>
              </w:rPr>
            </w:pPr>
            <w:r w:rsidRPr="005308A6">
              <w:rPr>
                <w:bCs/>
                <w:sz w:val="18"/>
                <w:szCs w:val="18"/>
              </w:rPr>
              <w:t xml:space="preserve">L’activité risque-t-elle de causer une </w:t>
            </w:r>
            <w:r w:rsidRPr="005308A6">
              <w:rPr>
                <w:sz w:val="18"/>
                <w:szCs w:val="18"/>
              </w:rPr>
              <w:t>pollution des eaux souterraines ? Présence nappe phréatique ?</w:t>
            </w:r>
          </w:p>
        </w:tc>
        <w:tc>
          <w:tcPr>
            <w:tcW w:w="789" w:type="pct"/>
            <w:vAlign w:val="center"/>
          </w:tcPr>
          <w:p w14:paraId="04C78795" w14:textId="77777777" w:rsidR="009021F1" w:rsidRPr="005308A6" w:rsidRDefault="009021F1" w:rsidP="00E637E3">
            <w:pPr>
              <w:rPr>
                <w:sz w:val="18"/>
                <w:szCs w:val="18"/>
              </w:rPr>
            </w:pPr>
            <w:r w:rsidRPr="005308A6">
              <w:rPr>
                <w:sz w:val="18"/>
                <w:szCs w:val="18"/>
              </w:rPr>
              <w:t>Oui (majeur) = 2</w:t>
            </w:r>
          </w:p>
          <w:p w14:paraId="75A90DA8" w14:textId="77777777" w:rsidR="009021F1" w:rsidRPr="005308A6" w:rsidRDefault="009021F1" w:rsidP="00E637E3">
            <w:pPr>
              <w:rPr>
                <w:sz w:val="18"/>
                <w:szCs w:val="18"/>
              </w:rPr>
            </w:pPr>
            <w:r w:rsidRPr="005308A6">
              <w:rPr>
                <w:sz w:val="18"/>
                <w:szCs w:val="18"/>
              </w:rPr>
              <w:t>Oui (mineur) = 1</w:t>
            </w:r>
          </w:p>
          <w:p w14:paraId="717DDE83" w14:textId="77777777" w:rsidR="009021F1" w:rsidRPr="005308A6" w:rsidRDefault="009021F1" w:rsidP="00E637E3">
            <w:pPr>
              <w:rPr>
                <w:sz w:val="18"/>
                <w:szCs w:val="18"/>
              </w:rPr>
            </w:pPr>
            <w:r w:rsidRPr="005308A6">
              <w:rPr>
                <w:sz w:val="18"/>
                <w:szCs w:val="18"/>
              </w:rPr>
              <w:t>Non = 0</w:t>
            </w:r>
          </w:p>
        </w:tc>
        <w:tc>
          <w:tcPr>
            <w:tcW w:w="789" w:type="pct"/>
            <w:vAlign w:val="center"/>
          </w:tcPr>
          <w:p w14:paraId="04CE4ACB" w14:textId="77777777" w:rsidR="009021F1" w:rsidRPr="005308A6" w:rsidRDefault="009021F1" w:rsidP="00E637E3">
            <w:pPr>
              <w:rPr>
                <w:sz w:val="18"/>
                <w:szCs w:val="18"/>
              </w:rPr>
            </w:pPr>
            <w:r w:rsidRPr="005308A6">
              <w:rPr>
                <w:sz w:val="18"/>
                <w:szCs w:val="18"/>
              </w:rPr>
              <w:t>Oui (majeur) = 2</w:t>
            </w:r>
          </w:p>
          <w:p w14:paraId="79180351" w14:textId="77777777" w:rsidR="009021F1" w:rsidRPr="005308A6" w:rsidRDefault="009021F1" w:rsidP="00E637E3">
            <w:pPr>
              <w:rPr>
                <w:sz w:val="18"/>
                <w:szCs w:val="18"/>
              </w:rPr>
            </w:pPr>
            <w:r w:rsidRPr="005308A6">
              <w:rPr>
                <w:sz w:val="18"/>
                <w:szCs w:val="18"/>
              </w:rPr>
              <w:t>Oui (mineur) = 1</w:t>
            </w:r>
          </w:p>
          <w:p w14:paraId="294435C2" w14:textId="77777777" w:rsidR="009021F1" w:rsidRPr="005308A6" w:rsidRDefault="009021F1" w:rsidP="00E637E3">
            <w:pPr>
              <w:rPr>
                <w:sz w:val="18"/>
                <w:szCs w:val="18"/>
              </w:rPr>
            </w:pPr>
            <w:r w:rsidRPr="005308A6">
              <w:rPr>
                <w:sz w:val="18"/>
                <w:szCs w:val="18"/>
              </w:rPr>
              <w:t>Non = 0</w:t>
            </w:r>
          </w:p>
        </w:tc>
        <w:tc>
          <w:tcPr>
            <w:tcW w:w="526" w:type="pct"/>
          </w:tcPr>
          <w:p w14:paraId="38CF2CB8" w14:textId="77777777" w:rsidR="009021F1" w:rsidRPr="005308A6" w:rsidRDefault="009021F1" w:rsidP="00E637E3">
            <w:pPr>
              <w:rPr>
                <w:sz w:val="18"/>
                <w:szCs w:val="18"/>
              </w:rPr>
            </w:pPr>
          </w:p>
        </w:tc>
        <w:tc>
          <w:tcPr>
            <w:tcW w:w="775" w:type="pct"/>
          </w:tcPr>
          <w:p w14:paraId="7EF34F21" w14:textId="77777777" w:rsidR="009021F1" w:rsidRPr="005308A6" w:rsidRDefault="009021F1" w:rsidP="00E637E3">
            <w:pPr>
              <w:rPr>
                <w:sz w:val="16"/>
                <w:szCs w:val="16"/>
              </w:rPr>
            </w:pPr>
          </w:p>
        </w:tc>
      </w:tr>
      <w:tr w:rsidR="009021F1" w:rsidRPr="005308A6" w14:paraId="1C275D2A" w14:textId="77777777" w:rsidTr="00E637E3">
        <w:trPr>
          <w:trHeight w:val="228"/>
        </w:trPr>
        <w:tc>
          <w:tcPr>
            <w:tcW w:w="707" w:type="pct"/>
          </w:tcPr>
          <w:p w14:paraId="5900E4A2" w14:textId="77777777" w:rsidR="009021F1" w:rsidRPr="005308A6" w:rsidRDefault="009021F1" w:rsidP="00E637E3">
            <w:pPr>
              <w:rPr>
                <w:b/>
                <w:bCs/>
                <w:sz w:val="18"/>
                <w:szCs w:val="18"/>
              </w:rPr>
            </w:pPr>
            <w:r w:rsidRPr="005308A6">
              <w:rPr>
                <w:b/>
                <w:bCs/>
                <w:sz w:val="18"/>
                <w:szCs w:val="18"/>
              </w:rPr>
              <w:t>Végétation</w:t>
            </w:r>
          </w:p>
        </w:tc>
        <w:tc>
          <w:tcPr>
            <w:tcW w:w="1414" w:type="pct"/>
            <w:vAlign w:val="bottom"/>
          </w:tcPr>
          <w:p w14:paraId="125009C0" w14:textId="77777777" w:rsidR="009021F1" w:rsidRPr="005308A6" w:rsidRDefault="009021F1" w:rsidP="00E637E3">
            <w:pPr>
              <w:rPr>
                <w:sz w:val="18"/>
                <w:szCs w:val="18"/>
              </w:rPr>
            </w:pPr>
            <w:r w:rsidRPr="005308A6">
              <w:rPr>
                <w:bCs/>
                <w:sz w:val="18"/>
                <w:szCs w:val="18"/>
              </w:rPr>
              <w:t xml:space="preserve">L’activité risque-t-elle de causer une </w:t>
            </w:r>
            <w:r w:rsidRPr="005308A6">
              <w:rPr>
                <w:sz w:val="18"/>
                <w:szCs w:val="18"/>
              </w:rPr>
              <w:t>dégradation de la végétation (déboisement, abattage,) ?</w:t>
            </w:r>
          </w:p>
          <w:p w14:paraId="2392B7A2" w14:textId="77777777" w:rsidR="009021F1" w:rsidRPr="005308A6" w:rsidRDefault="009021F1" w:rsidP="00E637E3">
            <w:pPr>
              <w:rPr>
                <w:bCs/>
                <w:sz w:val="18"/>
                <w:szCs w:val="18"/>
              </w:rPr>
            </w:pPr>
            <w:r w:rsidRPr="005308A6">
              <w:rPr>
                <w:bCs/>
                <w:sz w:val="18"/>
                <w:szCs w:val="18"/>
              </w:rPr>
              <w:t xml:space="preserve">Distance &lt; 10 </w:t>
            </w:r>
            <w:r>
              <w:rPr>
                <w:bCs/>
                <w:sz w:val="18"/>
                <w:szCs w:val="18"/>
              </w:rPr>
              <w:t>km</w:t>
            </w:r>
            <w:r w:rsidRPr="005308A6">
              <w:rPr>
                <w:bCs/>
                <w:sz w:val="18"/>
                <w:szCs w:val="18"/>
              </w:rPr>
              <w:t xml:space="preserve"> d’une aire protégée ?</w:t>
            </w:r>
          </w:p>
        </w:tc>
        <w:tc>
          <w:tcPr>
            <w:tcW w:w="789" w:type="pct"/>
            <w:vAlign w:val="center"/>
          </w:tcPr>
          <w:p w14:paraId="4E9B941F" w14:textId="77777777" w:rsidR="009021F1" w:rsidRPr="005308A6" w:rsidRDefault="009021F1" w:rsidP="00E637E3">
            <w:pPr>
              <w:rPr>
                <w:sz w:val="18"/>
                <w:szCs w:val="18"/>
              </w:rPr>
            </w:pPr>
            <w:r w:rsidRPr="005308A6">
              <w:rPr>
                <w:sz w:val="18"/>
                <w:szCs w:val="18"/>
              </w:rPr>
              <w:t>Oui (majeur) = 2</w:t>
            </w:r>
          </w:p>
          <w:p w14:paraId="418E5409" w14:textId="77777777" w:rsidR="009021F1" w:rsidRPr="005308A6" w:rsidRDefault="009021F1" w:rsidP="00E637E3">
            <w:pPr>
              <w:rPr>
                <w:sz w:val="18"/>
                <w:szCs w:val="18"/>
              </w:rPr>
            </w:pPr>
            <w:r w:rsidRPr="005308A6">
              <w:rPr>
                <w:sz w:val="18"/>
                <w:szCs w:val="18"/>
              </w:rPr>
              <w:t>Oui (mineur) = 1</w:t>
            </w:r>
          </w:p>
          <w:p w14:paraId="0C3AB0E5" w14:textId="77777777" w:rsidR="009021F1" w:rsidRPr="005308A6" w:rsidRDefault="009021F1" w:rsidP="00E637E3">
            <w:pPr>
              <w:rPr>
                <w:bCs/>
                <w:sz w:val="18"/>
                <w:szCs w:val="18"/>
              </w:rPr>
            </w:pPr>
            <w:r w:rsidRPr="005308A6">
              <w:rPr>
                <w:sz w:val="18"/>
                <w:szCs w:val="18"/>
              </w:rPr>
              <w:t>Non = 0</w:t>
            </w:r>
          </w:p>
        </w:tc>
        <w:tc>
          <w:tcPr>
            <w:tcW w:w="789" w:type="pct"/>
            <w:vAlign w:val="center"/>
          </w:tcPr>
          <w:p w14:paraId="42A0E994" w14:textId="77777777" w:rsidR="009021F1" w:rsidRPr="005308A6" w:rsidRDefault="009021F1" w:rsidP="00E637E3">
            <w:pPr>
              <w:rPr>
                <w:sz w:val="18"/>
                <w:szCs w:val="18"/>
              </w:rPr>
            </w:pPr>
            <w:r w:rsidRPr="005308A6">
              <w:rPr>
                <w:sz w:val="18"/>
                <w:szCs w:val="18"/>
              </w:rPr>
              <w:t>Oui (majeur) = 2</w:t>
            </w:r>
          </w:p>
          <w:p w14:paraId="322DA8EF" w14:textId="77777777" w:rsidR="009021F1" w:rsidRPr="005308A6" w:rsidRDefault="009021F1" w:rsidP="00E637E3">
            <w:pPr>
              <w:rPr>
                <w:sz w:val="18"/>
                <w:szCs w:val="18"/>
              </w:rPr>
            </w:pPr>
            <w:r w:rsidRPr="005308A6">
              <w:rPr>
                <w:sz w:val="18"/>
                <w:szCs w:val="18"/>
              </w:rPr>
              <w:t>Oui (mineur) = 1</w:t>
            </w:r>
          </w:p>
          <w:p w14:paraId="1CB6AE52" w14:textId="77777777" w:rsidR="009021F1" w:rsidRPr="005308A6" w:rsidRDefault="009021F1" w:rsidP="00E637E3">
            <w:pPr>
              <w:rPr>
                <w:bCs/>
                <w:sz w:val="18"/>
                <w:szCs w:val="18"/>
              </w:rPr>
            </w:pPr>
            <w:r w:rsidRPr="005308A6">
              <w:rPr>
                <w:sz w:val="18"/>
                <w:szCs w:val="18"/>
              </w:rPr>
              <w:t>Non = 0</w:t>
            </w:r>
          </w:p>
        </w:tc>
        <w:tc>
          <w:tcPr>
            <w:tcW w:w="526" w:type="pct"/>
          </w:tcPr>
          <w:p w14:paraId="274A3CEF" w14:textId="77777777" w:rsidR="009021F1" w:rsidRPr="005308A6" w:rsidRDefault="009021F1" w:rsidP="00E637E3">
            <w:pPr>
              <w:rPr>
                <w:sz w:val="18"/>
                <w:szCs w:val="18"/>
              </w:rPr>
            </w:pPr>
          </w:p>
        </w:tc>
        <w:tc>
          <w:tcPr>
            <w:tcW w:w="775" w:type="pct"/>
          </w:tcPr>
          <w:p w14:paraId="661058B1" w14:textId="77777777" w:rsidR="009021F1" w:rsidRPr="005308A6" w:rsidRDefault="009021F1" w:rsidP="00E637E3">
            <w:pPr>
              <w:rPr>
                <w:sz w:val="16"/>
                <w:szCs w:val="16"/>
              </w:rPr>
            </w:pPr>
          </w:p>
        </w:tc>
      </w:tr>
      <w:tr w:rsidR="009021F1" w:rsidRPr="005308A6" w14:paraId="29407357" w14:textId="77777777" w:rsidTr="00E637E3">
        <w:trPr>
          <w:cantSplit/>
          <w:trHeight w:val="228"/>
        </w:trPr>
        <w:tc>
          <w:tcPr>
            <w:tcW w:w="707" w:type="pct"/>
            <w:vMerge w:val="restart"/>
          </w:tcPr>
          <w:p w14:paraId="2D2DC616" w14:textId="77777777" w:rsidR="009021F1" w:rsidRPr="005308A6" w:rsidRDefault="009021F1" w:rsidP="00E637E3">
            <w:pPr>
              <w:rPr>
                <w:b/>
                <w:bCs/>
                <w:sz w:val="18"/>
                <w:szCs w:val="18"/>
              </w:rPr>
            </w:pPr>
            <w:r w:rsidRPr="005308A6">
              <w:rPr>
                <w:b/>
                <w:bCs/>
                <w:sz w:val="18"/>
                <w:szCs w:val="18"/>
              </w:rPr>
              <w:t>Cadre de vie/</w:t>
            </w:r>
          </w:p>
          <w:p w14:paraId="50150BD0" w14:textId="77777777" w:rsidR="009021F1" w:rsidRPr="005308A6" w:rsidRDefault="009021F1" w:rsidP="00E637E3">
            <w:pPr>
              <w:rPr>
                <w:b/>
                <w:bCs/>
                <w:sz w:val="18"/>
                <w:szCs w:val="18"/>
              </w:rPr>
            </w:pPr>
            <w:r w:rsidRPr="005308A6">
              <w:rPr>
                <w:b/>
                <w:bCs/>
                <w:sz w:val="18"/>
                <w:szCs w:val="18"/>
              </w:rPr>
              <w:t>milieu humain</w:t>
            </w:r>
          </w:p>
        </w:tc>
        <w:tc>
          <w:tcPr>
            <w:tcW w:w="1414" w:type="pct"/>
            <w:vAlign w:val="bottom"/>
          </w:tcPr>
          <w:p w14:paraId="527311E3" w14:textId="77777777" w:rsidR="009021F1" w:rsidRPr="005308A6" w:rsidRDefault="009021F1" w:rsidP="00E637E3">
            <w:pPr>
              <w:rPr>
                <w:bCs/>
                <w:sz w:val="18"/>
                <w:szCs w:val="18"/>
              </w:rPr>
            </w:pPr>
            <w:r w:rsidRPr="005308A6">
              <w:rPr>
                <w:bCs/>
                <w:sz w:val="18"/>
                <w:szCs w:val="18"/>
              </w:rPr>
              <w:t xml:space="preserve">L’activité risque-t-elle de générer des déchets solides et liquides ? </w:t>
            </w:r>
          </w:p>
          <w:p w14:paraId="23821DD0" w14:textId="77777777" w:rsidR="009021F1" w:rsidRPr="005308A6" w:rsidRDefault="009021F1" w:rsidP="00E637E3">
            <w:pPr>
              <w:rPr>
                <w:bCs/>
                <w:sz w:val="18"/>
                <w:szCs w:val="18"/>
              </w:rPr>
            </w:pPr>
          </w:p>
        </w:tc>
        <w:tc>
          <w:tcPr>
            <w:tcW w:w="789" w:type="pct"/>
            <w:vAlign w:val="center"/>
          </w:tcPr>
          <w:p w14:paraId="51BE8110" w14:textId="77777777" w:rsidR="009021F1" w:rsidRPr="005308A6" w:rsidRDefault="009021F1" w:rsidP="00E637E3">
            <w:pPr>
              <w:rPr>
                <w:sz w:val="18"/>
                <w:szCs w:val="18"/>
              </w:rPr>
            </w:pPr>
            <w:r w:rsidRPr="005308A6">
              <w:rPr>
                <w:sz w:val="18"/>
                <w:szCs w:val="18"/>
              </w:rPr>
              <w:t>Oui (majeur) = 2</w:t>
            </w:r>
          </w:p>
          <w:p w14:paraId="146A2E1D" w14:textId="77777777" w:rsidR="009021F1" w:rsidRPr="005308A6" w:rsidRDefault="009021F1" w:rsidP="00E637E3">
            <w:pPr>
              <w:rPr>
                <w:sz w:val="18"/>
                <w:szCs w:val="18"/>
              </w:rPr>
            </w:pPr>
            <w:r w:rsidRPr="005308A6">
              <w:rPr>
                <w:sz w:val="18"/>
                <w:szCs w:val="18"/>
              </w:rPr>
              <w:t>Oui (mineur) = 1</w:t>
            </w:r>
          </w:p>
          <w:p w14:paraId="4877C635" w14:textId="77777777" w:rsidR="009021F1" w:rsidRPr="005308A6" w:rsidRDefault="009021F1" w:rsidP="00E637E3">
            <w:pPr>
              <w:rPr>
                <w:bCs/>
                <w:sz w:val="18"/>
                <w:szCs w:val="18"/>
              </w:rPr>
            </w:pPr>
            <w:r w:rsidRPr="005308A6">
              <w:rPr>
                <w:sz w:val="18"/>
                <w:szCs w:val="18"/>
              </w:rPr>
              <w:t>Non = 0</w:t>
            </w:r>
          </w:p>
        </w:tc>
        <w:tc>
          <w:tcPr>
            <w:tcW w:w="789" w:type="pct"/>
            <w:vAlign w:val="center"/>
          </w:tcPr>
          <w:p w14:paraId="35FBB785" w14:textId="77777777" w:rsidR="009021F1" w:rsidRPr="005308A6" w:rsidRDefault="009021F1" w:rsidP="00E637E3">
            <w:pPr>
              <w:rPr>
                <w:sz w:val="18"/>
                <w:szCs w:val="18"/>
              </w:rPr>
            </w:pPr>
            <w:r w:rsidRPr="005308A6">
              <w:rPr>
                <w:sz w:val="18"/>
                <w:szCs w:val="18"/>
              </w:rPr>
              <w:t>Oui (majeur) = 2</w:t>
            </w:r>
          </w:p>
          <w:p w14:paraId="14BC421C" w14:textId="77777777" w:rsidR="009021F1" w:rsidRPr="005308A6" w:rsidRDefault="009021F1" w:rsidP="00E637E3">
            <w:pPr>
              <w:rPr>
                <w:sz w:val="18"/>
                <w:szCs w:val="18"/>
              </w:rPr>
            </w:pPr>
            <w:r w:rsidRPr="005308A6">
              <w:rPr>
                <w:sz w:val="18"/>
                <w:szCs w:val="18"/>
              </w:rPr>
              <w:t>Oui (mineur) = 1</w:t>
            </w:r>
          </w:p>
          <w:p w14:paraId="1540E904" w14:textId="77777777" w:rsidR="009021F1" w:rsidRPr="005308A6" w:rsidRDefault="009021F1" w:rsidP="00E637E3">
            <w:pPr>
              <w:rPr>
                <w:bCs/>
                <w:sz w:val="18"/>
                <w:szCs w:val="18"/>
              </w:rPr>
            </w:pPr>
            <w:r w:rsidRPr="005308A6">
              <w:rPr>
                <w:sz w:val="18"/>
                <w:szCs w:val="18"/>
              </w:rPr>
              <w:t>Non = 0</w:t>
            </w:r>
          </w:p>
        </w:tc>
        <w:tc>
          <w:tcPr>
            <w:tcW w:w="526" w:type="pct"/>
          </w:tcPr>
          <w:p w14:paraId="763804CF" w14:textId="77777777" w:rsidR="009021F1" w:rsidRPr="005308A6" w:rsidRDefault="009021F1" w:rsidP="00E637E3">
            <w:pPr>
              <w:rPr>
                <w:sz w:val="18"/>
                <w:szCs w:val="18"/>
              </w:rPr>
            </w:pPr>
          </w:p>
        </w:tc>
        <w:tc>
          <w:tcPr>
            <w:tcW w:w="775" w:type="pct"/>
          </w:tcPr>
          <w:p w14:paraId="5E1D688B" w14:textId="77777777" w:rsidR="009021F1" w:rsidRPr="005308A6" w:rsidRDefault="009021F1" w:rsidP="00E637E3">
            <w:pPr>
              <w:rPr>
                <w:sz w:val="16"/>
                <w:szCs w:val="16"/>
              </w:rPr>
            </w:pPr>
          </w:p>
        </w:tc>
      </w:tr>
      <w:tr w:rsidR="009021F1" w:rsidRPr="005308A6" w14:paraId="30C63165" w14:textId="77777777" w:rsidTr="00E637E3">
        <w:trPr>
          <w:cantSplit/>
          <w:trHeight w:val="228"/>
        </w:trPr>
        <w:tc>
          <w:tcPr>
            <w:tcW w:w="707" w:type="pct"/>
            <w:vMerge/>
          </w:tcPr>
          <w:p w14:paraId="28959817" w14:textId="77777777" w:rsidR="009021F1" w:rsidRPr="005308A6" w:rsidRDefault="009021F1" w:rsidP="00E637E3">
            <w:pPr>
              <w:rPr>
                <w:b/>
                <w:bCs/>
                <w:sz w:val="18"/>
                <w:szCs w:val="18"/>
              </w:rPr>
            </w:pPr>
          </w:p>
        </w:tc>
        <w:tc>
          <w:tcPr>
            <w:tcW w:w="1414" w:type="pct"/>
            <w:vAlign w:val="bottom"/>
          </w:tcPr>
          <w:p w14:paraId="0DF868C6" w14:textId="77777777" w:rsidR="009021F1" w:rsidRPr="005308A6" w:rsidRDefault="009021F1" w:rsidP="00E637E3">
            <w:pPr>
              <w:rPr>
                <w:sz w:val="18"/>
                <w:szCs w:val="18"/>
              </w:rPr>
            </w:pPr>
            <w:r w:rsidRPr="005308A6">
              <w:rPr>
                <w:bCs/>
                <w:sz w:val="18"/>
                <w:szCs w:val="18"/>
              </w:rPr>
              <w:t xml:space="preserve">L’activité risque-t-elle de générer des gênes et </w:t>
            </w:r>
            <w:r w:rsidRPr="005308A6">
              <w:rPr>
                <w:sz w:val="18"/>
                <w:szCs w:val="18"/>
              </w:rPr>
              <w:t xml:space="preserve">nuisances (bruit, </w:t>
            </w:r>
            <w:r w:rsidRPr="005308A6">
              <w:rPr>
                <w:bCs/>
                <w:sz w:val="18"/>
                <w:szCs w:val="18"/>
              </w:rPr>
              <w:t>libre circulation des biens et des personnes locales</w:t>
            </w:r>
            <w:r w:rsidRPr="005308A6">
              <w:rPr>
                <w:sz w:val="18"/>
                <w:szCs w:val="18"/>
              </w:rPr>
              <w:t>) ?</w:t>
            </w:r>
          </w:p>
          <w:p w14:paraId="0DD8332C" w14:textId="77777777" w:rsidR="009021F1" w:rsidRPr="005308A6" w:rsidRDefault="009021F1" w:rsidP="00E637E3">
            <w:pPr>
              <w:rPr>
                <w:bCs/>
                <w:sz w:val="18"/>
                <w:szCs w:val="18"/>
              </w:rPr>
            </w:pPr>
          </w:p>
        </w:tc>
        <w:tc>
          <w:tcPr>
            <w:tcW w:w="789" w:type="pct"/>
            <w:vAlign w:val="center"/>
          </w:tcPr>
          <w:p w14:paraId="3A2FDE26" w14:textId="77777777" w:rsidR="009021F1" w:rsidRPr="005308A6" w:rsidRDefault="009021F1" w:rsidP="00E637E3">
            <w:pPr>
              <w:rPr>
                <w:sz w:val="18"/>
                <w:szCs w:val="18"/>
              </w:rPr>
            </w:pPr>
            <w:r w:rsidRPr="005308A6">
              <w:rPr>
                <w:sz w:val="18"/>
                <w:szCs w:val="18"/>
              </w:rPr>
              <w:t>Oui (majeur) = 2</w:t>
            </w:r>
          </w:p>
          <w:p w14:paraId="596A365D" w14:textId="77777777" w:rsidR="009021F1" w:rsidRPr="005308A6" w:rsidRDefault="009021F1" w:rsidP="00E637E3">
            <w:pPr>
              <w:rPr>
                <w:sz w:val="18"/>
                <w:szCs w:val="18"/>
              </w:rPr>
            </w:pPr>
            <w:r w:rsidRPr="005308A6">
              <w:rPr>
                <w:sz w:val="18"/>
                <w:szCs w:val="18"/>
              </w:rPr>
              <w:t>Oui (mineur) = 1</w:t>
            </w:r>
          </w:p>
          <w:p w14:paraId="5AB47077" w14:textId="77777777" w:rsidR="009021F1" w:rsidRPr="005308A6" w:rsidRDefault="009021F1" w:rsidP="00E637E3">
            <w:pPr>
              <w:rPr>
                <w:bCs/>
                <w:sz w:val="18"/>
                <w:szCs w:val="18"/>
              </w:rPr>
            </w:pPr>
            <w:r w:rsidRPr="005308A6">
              <w:rPr>
                <w:sz w:val="18"/>
                <w:szCs w:val="18"/>
              </w:rPr>
              <w:t>Non = 0</w:t>
            </w:r>
          </w:p>
        </w:tc>
        <w:tc>
          <w:tcPr>
            <w:tcW w:w="789" w:type="pct"/>
            <w:vAlign w:val="center"/>
          </w:tcPr>
          <w:p w14:paraId="574B6789" w14:textId="77777777" w:rsidR="009021F1" w:rsidRPr="005308A6" w:rsidRDefault="009021F1" w:rsidP="00E637E3">
            <w:pPr>
              <w:rPr>
                <w:sz w:val="18"/>
                <w:szCs w:val="18"/>
              </w:rPr>
            </w:pPr>
            <w:r w:rsidRPr="005308A6">
              <w:rPr>
                <w:sz w:val="18"/>
                <w:szCs w:val="18"/>
              </w:rPr>
              <w:t>Oui (majeur) = 2</w:t>
            </w:r>
          </w:p>
          <w:p w14:paraId="02CFD89A" w14:textId="77777777" w:rsidR="009021F1" w:rsidRPr="005308A6" w:rsidRDefault="009021F1" w:rsidP="00E637E3">
            <w:pPr>
              <w:rPr>
                <w:sz w:val="18"/>
                <w:szCs w:val="18"/>
              </w:rPr>
            </w:pPr>
            <w:r w:rsidRPr="005308A6">
              <w:rPr>
                <w:sz w:val="18"/>
                <w:szCs w:val="18"/>
              </w:rPr>
              <w:t>Oui (mineur) = 1</w:t>
            </w:r>
          </w:p>
          <w:p w14:paraId="7AB539A6" w14:textId="77777777" w:rsidR="009021F1" w:rsidRPr="005308A6" w:rsidRDefault="009021F1" w:rsidP="00E637E3">
            <w:pPr>
              <w:rPr>
                <w:bCs/>
                <w:sz w:val="18"/>
                <w:szCs w:val="18"/>
              </w:rPr>
            </w:pPr>
            <w:r w:rsidRPr="005308A6">
              <w:rPr>
                <w:sz w:val="18"/>
                <w:szCs w:val="18"/>
              </w:rPr>
              <w:t>Non = 0</w:t>
            </w:r>
          </w:p>
        </w:tc>
        <w:tc>
          <w:tcPr>
            <w:tcW w:w="526" w:type="pct"/>
          </w:tcPr>
          <w:p w14:paraId="15718DDF" w14:textId="77777777" w:rsidR="009021F1" w:rsidRPr="005308A6" w:rsidRDefault="009021F1" w:rsidP="00E637E3">
            <w:pPr>
              <w:rPr>
                <w:sz w:val="18"/>
                <w:szCs w:val="18"/>
              </w:rPr>
            </w:pPr>
          </w:p>
        </w:tc>
        <w:tc>
          <w:tcPr>
            <w:tcW w:w="775" w:type="pct"/>
          </w:tcPr>
          <w:p w14:paraId="405C5218" w14:textId="77777777" w:rsidR="009021F1" w:rsidRPr="005308A6" w:rsidRDefault="009021F1" w:rsidP="00E637E3">
            <w:pPr>
              <w:rPr>
                <w:sz w:val="16"/>
                <w:szCs w:val="16"/>
              </w:rPr>
            </w:pPr>
          </w:p>
        </w:tc>
      </w:tr>
      <w:tr w:rsidR="009021F1" w:rsidRPr="005308A6" w14:paraId="76A2F0F4" w14:textId="77777777" w:rsidTr="00E637E3">
        <w:trPr>
          <w:cantSplit/>
          <w:trHeight w:val="228"/>
        </w:trPr>
        <w:tc>
          <w:tcPr>
            <w:tcW w:w="707" w:type="pct"/>
            <w:vMerge/>
          </w:tcPr>
          <w:p w14:paraId="3E61BEE4" w14:textId="77777777" w:rsidR="009021F1" w:rsidRPr="005308A6" w:rsidRDefault="009021F1" w:rsidP="00E637E3">
            <w:pPr>
              <w:rPr>
                <w:b/>
                <w:bCs/>
                <w:sz w:val="18"/>
                <w:szCs w:val="18"/>
              </w:rPr>
            </w:pPr>
          </w:p>
        </w:tc>
        <w:tc>
          <w:tcPr>
            <w:tcW w:w="1414" w:type="pct"/>
            <w:vAlign w:val="bottom"/>
          </w:tcPr>
          <w:p w14:paraId="46E50A71" w14:textId="77777777" w:rsidR="009021F1" w:rsidRPr="005308A6" w:rsidRDefault="009021F1" w:rsidP="00E637E3">
            <w:pPr>
              <w:rPr>
                <w:bCs/>
                <w:sz w:val="18"/>
                <w:szCs w:val="18"/>
              </w:rPr>
            </w:pPr>
            <w:r w:rsidRPr="005308A6">
              <w:rPr>
                <w:bCs/>
                <w:sz w:val="18"/>
                <w:szCs w:val="18"/>
              </w:rPr>
              <w:t>L’activité risque-t-elle d’induire des risques d’accidents pour les travailleurs et les populations ?</w:t>
            </w:r>
          </w:p>
          <w:p w14:paraId="5BCE742E" w14:textId="77777777" w:rsidR="009021F1" w:rsidRPr="005308A6" w:rsidRDefault="009021F1" w:rsidP="00E637E3">
            <w:pPr>
              <w:rPr>
                <w:bCs/>
                <w:sz w:val="18"/>
                <w:szCs w:val="18"/>
              </w:rPr>
            </w:pPr>
          </w:p>
        </w:tc>
        <w:tc>
          <w:tcPr>
            <w:tcW w:w="789" w:type="pct"/>
            <w:vAlign w:val="center"/>
          </w:tcPr>
          <w:p w14:paraId="1A4BEE77" w14:textId="77777777" w:rsidR="009021F1" w:rsidRPr="005308A6" w:rsidRDefault="009021F1" w:rsidP="00E637E3">
            <w:pPr>
              <w:rPr>
                <w:sz w:val="18"/>
                <w:szCs w:val="18"/>
              </w:rPr>
            </w:pPr>
            <w:r w:rsidRPr="005308A6">
              <w:rPr>
                <w:sz w:val="18"/>
                <w:szCs w:val="18"/>
              </w:rPr>
              <w:t>Oui (majeur) = 2</w:t>
            </w:r>
          </w:p>
          <w:p w14:paraId="6E081854" w14:textId="77777777" w:rsidR="009021F1" w:rsidRPr="005308A6" w:rsidRDefault="009021F1" w:rsidP="00E637E3">
            <w:pPr>
              <w:rPr>
                <w:sz w:val="18"/>
                <w:szCs w:val="18"/>
              </w:rPr>
            </w:pPr>
            <w:r w:rsidRPr="005308A6">
              <w:rPr>
                <w:sz w:val="18"/>
                <w:szCs w:val="18"/>
              </w:rPr>
              <w:t>Oui (mineur) = 1</w:t>
            </w:r>
          </w:p>
          <w:p w14:paraId="479A4B32" w14:textId="77777777" w:rsidR="009021F1" w:rsidRPr="005308A6" w:rsidRDefault="009021F1" w:rsidP="00E637E3">
            <w:pPr>
              <w:rPr>
                <w:bCs/>
                <w:sz w:val="18"/>
                <w:szCs w:val="18"/>
              </w:rPr>
            </w:pPr>
            <w:r w:rsidRPr="005308A6">
              <w:rPr>
                <w:sz w:val="18"/>
                <w:szCs w:val="18"/>
              </w:rPr>
              <w:t>Non = 0</w:t>
            </w:r>
          </w:p>
        </w:tc>
        <w:tc>
          <w:tcPr>
            <w:tcW w:w="789" w:type="pct"/>
            <w:vAlign w:val="center"/>
          </w:tcPr>
          <w:p w14:paraId="0543A099" w14:textId="77777777" w:rsidR="009021F1" w:rsidRPr="005308A6" w:rsidRDefault="009021F1" w:rsidP="00E637E3">
            <w:pPr>
              <w:rPr>
                <w:sz w:val="18"/>
                <w:szCs w:val="18"/>
              </w:rPr>
            </w:pPr>
            <w:r w:rsidRPr="005308A6">
              <w:rPr>
                <w:sz w:val="18"/>
                <w:szCs w:val="18"/>
              </w:rPr>
              <w:t>Oui (majeur) = 2</w:t>
            </w:r>
          </w:p>
          <w:p w14:paraId="0E74C27C" w14:textId="77777777" w:rsidR="009021F1" w:rsidRPr="005308A6" w:rsidRDefault="009021F1" w:rsidP="00E637E3">
            <w:pPr>
              <w:rPr>
                <w:sz w:val="18"/>
                <w:szCs w:val="18"/>
              </w:rPr>
            </w:pPr>
            <w:r w:rsidRPr="005308A6">
              <w:rPr>
                <w:sz w:val="18"/>
                <w:szCs w:val="18"/>
              </w:rPr>
              <w:t>Oui (mineur) = 1</w:t>
            </w:r>
          </w:p>
          <w:p w14:paraId="3055CBAA" w14:textId="77777777" w:rsidR="009021F1" w:rsidRPr="005308A6" w:rsidRDefault="009021F1" w:rsidP="00E637E3">
            <w:pPr>
              <w:rPr>
                <w:bCs/>
                <w:sz w:val="18"/>
                <w:szCs w:val="18"/>
              </w:rPr>
            </w:pPr>
            <w:r w:rsidRPr="005308A6">
              <w:rPr>
                <w:sz w:val="18"/>
                <w:szCs w:val="18"/>
              </w:rPr>
              <w:t>Non = 0</w:t>
            </w:r>
          </w:p>
        </w:tc>
        <w:tc>
          <w:tcPr>
            <w:tcW w:w="526" w:type="pct"/>
          </w:tcPr>
          <w:p w14:paraId="66731092" w14:textId="77777777" w:rsidR="009021F1" w:rsidRPr="005308A6" w:rsidRDefault="009021F1" w:rsidP="00E637E3">
            <w:pPr>
              <w:rPr>
                <w:sz w:val="18"/>
                <w:szCs w:val="18"/>
              </w:rPr>
            </w:pPr>
          </w:p>
        </w:tc>
        <w:tc>
          <w:tcPr>
            <w:tcW w:w="775" w:type="pct"/>
          </w:tcPr>
          <w:p w14:paraId="674FACBE" w14:textId="77777777" w:rsidR="009021F1" w:rsidRPr="005308A6" w:rsidRDefault="009021F1" w:rsidP="00E637E3">
            <w:pPr>
              <w:rPr>
                <w:sz w:val="16"/>
                <w:szCs w:val="16"/>
              </w:rPr>
            </w:pPr>
          </w:p>
        </w:tc>
      </w:tr>
      <w:tr w:rsidR="009021F1" w:rsidRPr="005308A6" w14:paraId="22C26420" w14:textId="77777777" w:rsidTr="00E637E3">
        <w:trPr>
          <w:cantSplit/>
          <w:trHeight w:val="228"/>
        </w:trPr>
        <w:tc>
          <w:tcPr>
            <w:tcW w:w="707" w:type="pct"/>
            <w:vMerge/>
          </w:tcPr>
          <w:p w14:paraId="6402AB1D" w14:textId="77777777" w:rsidR="009021F1" w:rsidRPr="005308A6" w:rsidRDefault="009021F1" w:rsidP="00E637E3">
            <w:pPr>
              <w:rPr>
                <w:b/>
                <w:bCs/>
                <w:sz w:val="18"/>
                <w:szCs w:val="18"/>
              </w:rPr>
            </w:pPr>
          </w:p>
        </w:tc>
        <w:tc>
          <w:tcPr>
            <w:tcW w:w="1414" w:type="pct"/>
            <w:vAlign w:val="bottom"/>
          </w:tcPr>
          <w:p w14:paraId="556B55B8" w14:textId="77777777" w:rsidR="009021F1" w:rsidRPr="005308A6" w:rsidRDefault="009021F1" w:rsidP="00E637E3">
            <w:pPr>
              <w:rPr>
                <w:bCs/>
                <w:sz w:val="18"/>
                <w:szCs w:val="18"/>
              </w:rPr>
            </w:pPr>
            <w:r w:rsidRPr="005308A6">
              <w:rPr>
                <w:bCs/>
                <w:sz w:val="18"/>
                <w:szCs w:val="18"/>
              </w:rPr>
              <w:t>L’activité risque-t-elle d’affecter l’alimentation en eau potable des populations (points d’eau, puits, forages, etc.) ?</w:t>
            </w:r>
            <w:r w:rsidRPr="005308A6">
              <w:rPr>
                <w:sz w:val="18"/>
                <w:szCs w:val="18"/>
              </w:rPr>
              <w:t xml:space="preserve"> </w:t>
            </w:r>
            <w:r w:rsidRPr="005308A6">
              <w:rPr>
                <w:bCs/>
                <w:sz w:val="18"/>
                <w:szCs w:val="18"/>
              </w:rPr>
              <w:t>Distance &lt; 500 m</w:t>
            </w:r>
          </w:p>
        </w:tc>
        <w:tc>
          <w:tcPr>
            <w:tcW w:w="789" w:type="pct"/>
            <w:vAlign w:val="center"/>
          </w:tcPr>
          <w:p w14:paraId="11C45A0D" w14:textId="77777777" w:rsidR="009021F1" w:rsidRPr="005308A6" w:rsidRDefault="009021F1" w:rsidP="00E637E3">
            <w:pPr>
              <w:rPr>
                <w:sz w:val="18"/>
                <w:szCs w:val="18"/>
              </w:rPr>
            </w:pPr>
            <w:r w:rsidRPr="005308A6">
              <w:rPr>
                <w:sz w:val="18"/>
                <w:szCs w:val="18"/>
              </w:rPr>
              <w:t>Oui (majeur) = 2</w:t>
            </w:r>
          </w:p>
          <w:p w14:paraId="34BF4EE9" w14:textId="77777777" w:rsidR="009021F1" w:rsidRPr="005308A6" w:rsidRDefault="009021F1" w:rsidP="00E637E3">
            <w:pPr>
              <w:rPr>
                <w:sz w:val="18"/>
                <w:szCs w:val="18"/>
              </w:rPr>
            </w:pPr>
            <w:r w:rsidRPr="005308A6">
              <w:rPr>
                <w:sz w:val="18"/>
                <w:szCs w:val="18"/>
              </w:rPr>
              <w:t>Oui (mineur) = 1</w:t>
            </w:r>
          </w:p>
          <w:p w14:paraId="2A42FE3D" w14:textId="77777777" w:rsidR="009021F1" w:rsidRPr="005308A6" w:rsidRDefault="009021F1" w:rsidP="00E637E3">
            <w:pPr>
              <w:rPr>
                <w:bCs/>
                <w:sz w:val="18"/>
                <w:szCs w:val="18"/>
              </w:rPr>
            </w:pPr>
            <w:r w:rsidRPr="005308A6">
              <w:rPr>
                <w:sz w:val="18"/>
                <w:szCs w:val="18"/>
              </w:rPr>
              <w:t>Non = 0</w:t>
            </w:r>
          </w:p>
        </w:tc>
        <w:tc>
          <w:tcPr>
            <w:tcW w:w="789" w:type="pct"/>
            <w:vAlign w:val="center"/>
          </w:tcPr>
          <w:p w14:paraId="67202979" w14:textId="77777777" w:rsidR="009021F1" w:rsidRPr="005308A6" w:rsidRDefault="009021F1" w:rsidP="00E637E3">
            <w:pPr>
              <w:rPr>
                <w:sz w:val="18"/>
                <w:szCs w:val="18"/>
              </w:rPr>
            </w:pPr>
            <w:r w:rsidRPr="005308A6">
              <w:rPr>
                <w:sz w:val="18"/>
                <w:szCs w:val="18"/>
              </w:rPr>
              <w:t>Oui (majeur) = 2</w:t>
            </w:r>
          </w:p>
          <w:p w14:paraId="57E3F374" w14:textId="77777777" w:rsidR="009021F1" w:rsidRPr="005308A6" w:rsidRDefault="009021F1" w:rsidP="00E637E3">
            <w:pPr>
              <w:rPr>
                <w:sz w:val="18"/>
                <w:szCs w:val="18"/>
              </w:rPr>
            </w:pPr>
            <w:r w:rsidRPr="005308A6">
              <w:rPr>
                <w:sz w:val="18"/>
                <w:szCs w:val="18"/>
              </w:rPr>
              <w:t>Oui (mineur) = 1</w:t>
            </w:r>
          </w:p>
          <w:p w14:paraId="5EFF8394" w14:textId="77777777" w:rsidR="009021F1" w:rsidRPr="005308A6" w:rsidRDefault="009021F1" w:rsidP="00E637E3">
            <w:pPr>
              <w:rPr>
                <w:bCs/>
                <w:sz w:val="18"/>
                <w:szCs w:val="18"/>
              </w:rPr>
            </w:pPr>
            <w:r w:rsidRPr="005308A6">
              <w:rPr>
                <w:sz w:val="18"/>
                <w:szCs w:val="18"/>
              </w:rPr>
              <w:t>Non = 0</w:t>
            </w:r>
          </w:p>
        </w:tc>
        <w:tc>
          <w:tcPr>
            <w:tcW w:w="526" w:type="pct"/>
          </w:tcPr>
          <w:p w14:paraId="0B67A7D3" w14:textId="77777777" w:rsidR="009021F1" w:rsidRPr="005308A6" w:rsidRDefault="009021F1" w:rsidP="00E637E3">
            <w:pPr>
              <w:rPr>
                <w:sz w:val="18"/>
                <w:szCs w:val="18"/>
              </w:rPr>
            </w:pPr>
          </w:p>
        </w:tc>
        <w:tc>
          <w:tcPr>
            <w:tcW w:w="775" w:type="pct"/>
          </w:tcPr>
          <w:p w14:paraId="229E0213" w14:textId="77777777" w:rsidR="009021F1" w:rsidRPr="005308A6" w:rsidRDefault="009021F1" w:rsidP="00E637E3">
            <w:pPr>
              <w:rPr>
                <w:sz w:val="16"/>
                <w:szCs w:val="16"/>
              </w:rPr>
            </w:pPr>
          </w:p>
        </w:tc>
      </w:tr>
      <w:tr w:rsidR="009021F1" w:rsidRPr="005308A6" w14:paraId="2B92EA68" w14:textId="77777777" w:rsidTr="00E637E3">
        <w:trPr>
          <w:cantSplit/>
          <w:trHeight w:val="228"/>
        </w:trPr>
        <w:tc>
          <w:tcPr>
            <w:tcW w:w="707" w:type="pct"/>
            <w:vMerge/>
          </w:tcPr>
          <w:p w14:paraId="1687F592" w14:textId="77777777" w:rsidR="009021F1" w:rsidRPr="005308A6" w:rsidRDefault="009021F1" w:rsidP="00E637E3">
            <w:pPr>
              <w:rPr>
                <w:b/>
                <w:bCs/>
                <w:sz w:val="18"/>
                <w:szCs w:val="18"/>
              </w:rPr>
            </w:pPr>
          </w:p>
        </w:tc>
        <w:tc>
          <w:tcPr>
            <w:tcW w:w="1414" w:type="pct"/>
            <w:vAlign w:val="bottom"/>
          </w:tcPr>
          <w:p w14:paraId="78E4A2A0" w14:textId="77777777" w:rsidR="009021F1" w:rsidRPr="005308A6" w:rsidRDefault="009021F1" w:rsidP="00E637E3">
            <w:pPr>
              <w:rPr>
                <w:bCs/>
                <w:sz w:val="18"/>
                <w:szCs w:val="18"/>
              </w:rPr>
            </w:pPr>
            <w:r w:rsidRPr="005308A6">
              <w:rPr>
                <w:bCs/>
                <w:sz w:val="18"/>
                <w:szCs w:val="18"/>
              </w:rPr>
              <w:t>L’activité risque-t-elle d’affecter la santé travailleurs et des populations locales (IST/VIH/SIDA, autres maladies) ?</w:t>
            </w:r>
          </w:p>
        </w:tc>
        <w:tc>
          <w:tcPr>
            <w:tcW w:w="789" w:type="pct"/>
            <w:vAlign w:val="center"/>
          </w:tcPr>
          <w:p w14:paraId="763FC3FD" w14:textId="77777777" w:rsidR="009021F1" w:rsidRPr="005308A6" w:rsidRDefault="009021F1" w:rsidP="00E637E3">
            <w:pPr>
              <w:rPr>
                <w:sz w:val="18"/>
                <w:szCs w:val="18"/>
              </w:rPr>
            </w:pPr>
            <w:r w:rsidRPr="005308A6">
              <w:rPr>
                <w:sz w:val="18"/>
                <w:szCs w:val="18"/>
              </w:rPr>
              <w:t>Oui (majeur) = 2</w:t>
            </w:r>
          </w:p>
          <w:p w14:paraId="074EC876" w14:textId="77777777" w:rsidR="009021F1" w:rsidRPr="005308A6" w:rsidRDefault="009021F1" w:rsidP="00E637E3">
            <w:pPr>
              <w:rPr>
                <w:sz w:val="18"/>
                <w:szCs w:val="18"/>
              </w:rPr>
            </w:pPr>
            <w:r w:rsidRPr="005308A6">
              <w:rPr>
                <w:sz w:val="18"/>
                <w:szCs w:val="18"/>
              </w:rPr>
              <w:t>Oui (mineur) = 1</w:t>
            </w:r>
          </w:p>
          <w:p w14:paraId="746CFA9B" w14:textId="77777777" w:rsidR="009021F1" w:rsidRPr="005308A6" w:rsidRDefault="009021F1" w:rsidP="00E637E3">
            <w:pPr>
              <w:rPr>
                <w:bCs/>
                <w:sz w:val="18"/>
                <w:szCs w:val="18"/>
              </w:rPr>
            </w:pPr>
            <w:r w:rsidRPr="005308A6">
              <w:rPr>
                <w:sz w:val="18"/>
                <w:szCs w:val="18"/>
              </w:rPr>
              <w:t>Non = 0</w:t>
            </w:r>
          </w:p>
        </w:tc>
        <w:tc>
          <w:tcPr>
            <w:tcW w:w="789" w:type="pct"/>
            <w:vAlign w:val="center"/>
          </w:tcPr>
          <w:p w14:paraId="13D6FECD" w14:textId="77777777" w:rsidR="009021F1" w:rsidRPr="005308A6" w:rsidRDefault="009021F1" w:rsidP="00E637E3">
            <w:pPr>
              <w:rPr>
                <w:sz w:val="18"/>
                <w:szCs w:val="18"/>
              </w:rPr>
            </w:pPr>
            <w:r w:rsidRPr="005308A6">
              <w:rPr>
                <w:sz w:val="18"/>
                <w:szCs w:val="18"/>
              </w:rPr>
              <w:t>Oui (majeur) = 2</w:t>
            </w:r>
          </w:p>
          <w:p w14:paraId="39F9C6EE" w14:textId="77777777" w:rsidR="009021F1" w:rsidRPr="005308A6" w:rsidRDefault="009021F1" w:rsidP="00E637E3">
            <w:pPr>
              <w:rPr>
                <w:sz w:val="18"/>
                <w:szCs w:val="18"/>
              </w:rPr>
            </w:pPr>
            <w:r w:rsidRPr="005308A6">
              <w:rPr>
                <w:sz w:val="18"/>
                <w:szCs w:val="18"/>
              </w:rPr>
              <w:t>Oui (mineur) = 1</w:t>
            </w:r>
          </w:p>
          <w:p w14:paraId="3E5164BD" w14:textId="77777777" w:rsidR="009021F1" w:rsidRPr="005308A6" w:rsidRDefault="009021F1" w:rsidP="00E637E3">
            <w:pPr>
              <w:rPr>
                <w:bCs/>
                <w:sz w:val="18"/>
                <w:szCs w:val="18"/>
              </w:rPr>
            </w:pPr>
            <w:r w:rsidRPr="005308A6">
              <w:rPr>
                <w:sz w:val="18"/>
                <w:szCs w:val="18"/>
              </w:rPr>
              <w:t>Non = 0</w:t>
            </w:r>
          </w:p>
        </w:tc>
        <w:tc>
          <w:tcPr>
            <w:tcW w:w="526" w:type="pct"/>
          </w:tcPr>
          <w:p w14:paraId="53927D0D" w14:textId="77777777" w:rsidR="009021F1" w:rsidRPr="005308A6" w:rsidRDefault="009021F1" w:rsidP="00E637E3">
            <w:pPr>
              <w:rPr>
                <w:sz w:val="18"/>
                <w:szCs w:val="18"/>
              </w:rPr>
            </w:pPr>
          </w:p>
        </w:tc>
        <w:tc>
          <w:tcPr>
            <w:tcW w:w="775" w:type="pct"/>
          </w:tcPr>
          <w:p w14:paraId="35D4461F" w14:textId="77777777" w:rsidR="009021F1" w:rsidRPr="005308A6" w:rsidRDefault="009021F1" w:rsidP="00E637E3">
            <w:pPr>
              <w:rPr>
                <w:sz w:val="16"/>
                <w:szCs w:val="16"/>
              </w:rPr>
            </w:pPr>
          </w:p>
        </w:tc>
      </w:tr>
      <w:tr w:rsidR="009021F1" w:rsidRPr="005308A6" w14:paraId="1CAAD7C3" w14:textId="77777777" w:rsidTr="00E637E3">
        <w:trPr>
          <w:cantSplit/>
          <w:trHeight w:val="228"/>
        </w:trPr>
        <w:tc>
          <w:tcPr>
            <w:tcW w:w="707" w:type="pct"/>
            <w:vMerge/>
          </w:tcPr>
          <w:p w14:paraId="3E3754C6" w14:textId="77777777" w:rsidR="009021F1" w:rsidRPr="005308A6" w:rsidRDefault="009021F1" w:rsidP="00E637E3">
            <w:pPr>
              <w:rPr>
                <w:b/>
                <w:bCs/>
                <w:sz w:val="18"/>
                <w:szCs w:val="18"/>
              </w:rPr>
            </w:pPr>
          </w:p>
        </w:tc>
        <w:tc>
          <w:tcPr>
            <w:tcW w:w="1414" w:type="pct"/>
            <w:vAlign w:val="bottom"/>
          </w:tcPr>
          <w:p w14:paraId="6BBC0439" w14:textId="77777777" w:rsidR="009021F1" w:rsidRPr="005308A6" w:rsidRDefault="009021F1" w:rsidP="00E637E3">
            <w:pPr>
              <w:rPr>
                <w:sz w:val="18"/>
                <w:szCs w:val="18"/>
              </w:rPr>
            </w:pPr>
            <w:r w:rsidRPr="005308A6">
              <w:rPr>
                <w:sz w:val="18"/>
                <w:szCs w:val="18"/>
              </w:rPr>
              <w:t>L’activité peut-elle exacerber les risques de violence</w:t>
            </w:r>
            <w:r>
              <w:rPr>
                <w:sz w:val="18"/>
                <w:szCs w:val="18"/>
              </w:rPr>
              <w:t>s</w:t>
            </w:r>
            <w:r w:rsidRPr="005308A6">
              <w:rPr>
                <w:sz w:val="18"/>
                <w:szCs w:val="18"/>
              </w:rPr>
              <w:t xml:space="preserve"> basée</w:t>
            </w:r>
            <w:r>
              <w:rPr>
                <w:sz w:val="18"/>
                <w:szCs w:val="18"/>
              </w:rPr>
              <w:t>s</w:t>
            </w:r>
            <w:r w:rsidRPr="005308A6">
              <w:rPr>
                <w:sz w:val="18"/>
                <w:szCs w:val="18"/>
              </w:rPr>
              <w:t xml:space="preserve"> sur le genre, </w:t>
            </w:r>
            <w:r>
              <w:rPr>
                <w:sz w:val="18"/>
                <w:szCs w:val="18"/>
              </w:rPr>
              <w:t>y compris l’</w:t>
            </w:r>
            <w:r w:rsidRPr="005308A6">
              <w:rPr>
                <w:sz w:val="18"/>
                <w:szCs w:val="18"/>
              </w:rPr>
              <w:t xml:space="preserve">exploitation et abus sexuels, et </w:t>
            </w:r>
            <w:r>
              <w:rPr>
                <w:sz w:val="18"/>
                <w:szCs w:val="18"/>
              </w:rPr>
              <w:t xml:space="preserve">le </w:t>
            </w:r>
            <w:r w:rsidRPr="005308A6">
              <w:rPr>
                <w:sz w:val="18"/>
                <w:szCs w:val="18"/>
              </w:rPr>
              <w:t>harcèlement sexuel (VBG/EAS/HS) ?</w:t>
            </w:r>
          </w:p>
          <w:p w14:paraId="26FAE5CF" w14:textId="77777777" w:rsidR="009021F1" w:rsidRPr="005308A6" w:rsidRDefault="009021F1" w:rsidP="00E637E3">
            <w:pPr>
              <w:rPr>
                <w:bCs/>
                <w:sz w:val="18"/>
                <w:szCs w:val="18"/>
              </w:rPr>
            </w:pPr>
          </w:p>
        </w:tc>
        <w:tc>
          <w:tcPr>
            <w:tcW w:w="789" w:type="pct"/>
            <w:vAlign w:val="center"/>
          </w:tcPr>
          <w:p w14:paraId="024F0DA5" w14:textId="77777777" w:rsidR="009021F1" w:rsidRPr="005308A6" w:rsidRDefault="009021F1" w:rsidP="00E637E3">
            <w:pPr>
              <w:rPr>
                <w:sz w:val="18"/>
                <w:szCs w:val="18"/>
              </w:rPr>
            </w:pPr>
            <w:r w:rsidRPr="005308A6">
              <w:rPr>
                <w:sz w:val="18"/>
                <w:szCs w:val="18"/>
              </w:rPr>
              <w:t>Oui (majeur) = 2</w:t>
            </w:r>
          </w:p>
          <w:p w14:paraId="2DCB2572" w14:textId="77777777" w:rsidR="009021F1" w:rsidRPr="005308A6" w:rsidRDefault="009021F1" w:rsidP="00E637E3">
            <w:pPr>
              <w:rPr>
                <w:sz w:val="18"/>
                <w:szCs w:val="18"/>
              </w:rPr>
            </w:pPr>
            <w:r w:rsidRPr="005308A6">
              <w:rPr>
                <w:sz w:val="18"/>
                <w:szCs w:val="18"/>
              </w:rPr>
              <w:t>Oui (mineur) = 1</w:t>
            </w:r>
          </w:p>
          <w:p w14:paraId="65684A39" w14:textId="77777777" w:rsidR="009021F1" w:rsidRPr="005308A6" w:rsidRDefault="009021F1" w:rsidP="00E637E3">
            <w:pPr>
              <w:rPr>
                <w:bCs/>
                <w:sz w:val="18"/>
                <w:szCs w:val="18"/>
              </w:rPr>
            </w:pPr>
            <w:r w:rsidRPr="005308A6">
              <w:rPr>
                <w:sz w:val="18"/>
                <w:szCs w:val="18"/>
              </w:rPr>
              <w:t>Non = 0</w:t>
            </w:r>
          </w:p>
        </w:tc>
        <w:tc>
          <w:tcPr>
            <w:tcW w:w="789" w:type="pct"/>
            <w:vAlign w:val="center"/>
          </w:tcPr>
          <w:p w14:paraId="6CF46C4F" w14:textId="77777777" w:rsidR="009021F1" w:rsidRPr="005308A6" w:rsidRDefault="009021F1" w:rsidP="00E637E3">
            <w:pPr>
              <w:rPr>
                <w:sz w:val="18"/>
                <w:szCs w:val="18"/>
              </w:rPr>
            </w:pPr>
            <w:r w:rsidRPr="005308A6">
              <w:rPr>
                <w:sz w:val="18"/>
                <w:szCs w:val="18"/>
              </w:rPr>
              <w:t>Oui (majeur) = 2</w:t>
            </w:r>
          </w:p>
          <w:p w14:paraId="77EBF959" w14:textId="77777777" w:rsidR="009021F1" w:rsidRPr="005308A6" w:rsidRDefault="009021F1" w:rsidP="00E637E3">
            <w:pPr>
              <w:rPr>
                <w:sz w:val="18"/>
                <w:szCs w:val="18"/>
              </w:rPr>
            </w:pPr>
            <w:r w:rsidRPr="005308A6">
              <w:rPr>
                <w:sz w:val="18"/>
                <w:szCs w:val="18"/>
              </w:rPr>
              <w:t>Oui (mineur) = 1</w:t>
            </w:r>
          </w:p>
          <w:p w14:paraId="32C9C5D7" w14:textId="77777777" w:rsidR="009021F1" w:rsidRPr="005308A6" w:rsidRDefault="009021F1" w:rsidP="00E637E3">
            <w:pPr>
              <w:rPr>
                <w:bCs/>
                <w:sz w:val="18"/>
                <w:szCs w:val="18"/>
              </w:rPr>
            </w:pPr>
            <w:r w:rsidRPr="005308A6">
              <w:rPr>
                <w:sz w:val="18"/>
                <w:szCs w:val="18"/>
              </w:rPr>
              <w:t>Non = 0</w:t>
            </w:r>
          </w:p>
        </w:tc>
        <w:tc>
          <w:tcPr>
            <w:tcW w:w="526" w:type="pct"/>
          </w:tcPr>
          <w:p w14:paraId="01B7A259" w14:textId="77777777" w:rsidR="009021F1" w:rsidRPr="005308A6" w:rsidRDefault="009021F1" w:rsidP="00E637E3">
            <w:pPr>
              <w:rPr>
                <w:sz w:val="18"/>
                <w:szCs w:val="18"/>
              </w:rPr>
            </w:pPr>
          </w:p>
        </w:tc>
        <w:tc>
          <w:tcPr>
            <w:tcW w:w="775" w:type="pct"/>
          </w:tcPr>
          <w:p w14:paraId="7CDBF09E" w14:textId="77777777" w:rsidR="009021F1" w:rsidRPr="005308A6" w:rsidRDefault="009021F1" w:rsidP="00E637E3">
            <w:pPr>
              <w:rPr>
                <w:sz w:val="16"/>
                <w:szCs w:val="16"/>
              </w:rPr>
            </w:pPr>
          </w:p>
        </w:tc>
      </w:tr>
      <w:tr w:rsidR="009021F1" w:rsidRPr="005308A6" w14:paraId="5D791DB0" w14:textId="77777777" w:rsidTr="00E637E3">
        <w:trPr>
          <w:cantSplit/>
          <w:trHeight w:val="228"/>
        </w:trPr>
        <w:tc>
          <w:tcPr>
            <w:tcW w:w="707" w:type="pct"/>
            <w:vMerge/>
          </w:tcPr>
          <w:p w14:paraId="61240FB5" w14:textId="77777777" w:rsidR="009021F1" w:rsidRPr="005308A6" w:rsidRDefault="009021F1" w:rsidP="00E637E3">
            <w:pPr>
              <w:rPr>
                <w:b/>
                <w:bCs/>
                <w:sz w:val="18"/>
                <w:szCs w:val="18"/>
              </w:rPr>
            </w:pPr>
          </w:p>
        </w:tc>
        <w:tc>
          <w:tcPr>
            <w:tcW w:w="1414" w:type="pct"/>
            <w:vAlign w:val="bottom"/>
          </w:tcPr>
          <w:p w14:paraId="3F7B719D" w14:textId="77777777" w:rsidR="009021F1" w:rsidRPr="005308A6" w:rsidRDefault="009021F1" w:rsidP="00E637E3">
            <w:pPr>
              <w:rPr>
                <w:bCs/>
                <w:sz w:val="18"/>
                <w:szCs w:val="18"/>
              </w:rPr>
            </w:pPr>
            <w:r w:rsidRPr="005308A6">
              <w:rPr>
                <w:bCs/>
                <w:sz w:val="18"/>
                <w:szCs w:val="18"/>
              </w:rPr>
              <w:t>L’activité nécessite-t-elle  l’utilisation des agents de sécurité publics de manière temporaire ou permanente ?</w:t>
            </w:r>
          </w:p>
        </w:tc>
        <w:tc>
          <w:tcPr>
            <w:tcW w:w="789" w:type="pct"/>
            <w:vAlign w:val="center"/>
          </w:tcPr>
          <w:p w14:paraId="7DC26C39" w14:textId="77777777" w:rsidR="009021F1" w:rsidRPr="005308A6" w:rsidRDefault="009021F1" w:rsidP="00E637E3">
            <w:pPr>
              <w:rPr>
                <w:sz w:val="18"/>
                <w:szCs w:val="18"/>
              </w:rPr>
            </w:pPr>
            <w:r w:rsidRPr="005308A6">
              <w:rPr>
                <w:sz w:val="18"/>
                <w:szCs w:val="18"/>
              </w:rPr>
              <w:t>Oui (majeur) = 2</w:t>
            </w:r>
          </w:p>
          <w:p w14:paraId="26BEBEE5" w14:textId="77777777" w:rsidR="009021F1" w:rsidRPr="005308A6" w:rsidRDefault="009021F1" w:rsidP="00E637E3">
            <w:pPr>
              <w:rPr>
                <w:sz w:val="18"/>
                <w:szCs w:val="18"/>
              </w:rPr>
            </w:pPr>
            <w:r w:rsidRPr="005308A6">
              <w:rPr>
                <w:sz w:val="18"/>
                <w:szCs w:val="18"/>
              </w:rPr>
              <w:t>Oui (mineur) = 1</w:t>
            </w:r>
          </w:p>
          <w:p w14:paraId="7EAE1827" w14:textId="77777777" w:rsidR="009021F1" w:rsidRPr="005308A6" w:rsidRDefault="009021F1" w:rsidP="00E637E3">
            <w:pPr>
              <w:rPr>
                <w:bCs/>
                <w:sz w:val="18"/>
                <w:szCs w:val="18"/>
              </w:rPr>
            </w:pPr>
            <w:r w:rsidRPr="005308A6">
              <w:rPr>
                <w:sz w:val="18"/>
                <w:szCs w:val="18"/>
              </w:rPr>
              <w:t>Non = 0</w:t>
            </w:r>
          </w:p>
        </w:tc>
        <w:tc>
          <w:tcPr>
            <w:tcW w:w="789" w:type="pct"/>
            <w:vAlign w:val="center"/>
          </w:tcPr>
          <w:p w14:paraId="77E17C83" w14:textId="77777777" w:rsidR="009021F1" w:rsidRPr="005308A6" w:rsidRDefault="009021F1" w:rsidP="00E637E3">
            <w:pPr>
              <w:rPr>
                <w:sz w:val="18"/>
                <w:szCs w:val="18"/>
              </w:rPr>
            </w:pPr>
            <w:r w:rsidRPr="005308A6">
              <w:rPr>
                <w:sz w:val="18"/>
                <w:szCs w:val="18"/>
              </w:rPr>
              <w:t>Oui (majeur) = 2</w:t>
            </w:r>
          </w:p>
          <w:p w14:paraId="2072A09B" w14:textId="77777777" w:rsidR="009021F1" w:rsidRPr="005308A6" w:rsidRDefault="009021F1" w:rsidP="00E637E3">
            <w:pPr>
              <w:rPr>
                <w:sz w:val="18"/>
                <w:szCs w:val="18"/>
              </w:rPr>
            </w:pPr>
            <w:r w:rsidRPr="005308A6">
              <w:rPr>
                <w:sz w:val="18"/>
                <w:szCs w:val="18"/>
              </w:rPr>
              <w:t>Oui (mineur) = 1</w:t>
            </w:r>
          </w:p>
          <w:p w14:paraId="68882D41" w14:textId="77777777" w:rsidR="009021F1" w:rsidRPr="005308A6" w:rsidRDefault="009021F1" w:rsidP="00E637E3">
            <w:pPr>
              <w:rPr>
                <w:bCs/>
                <w:sz w:val="18"/>
                <w:szCs w:val="18"/>
              </w:rPr>
            </w:pPr>
            <w:r w:rsidRPr="005308A6">
              <w:rPr>
                <w:sz w:val="18"/>
                <w:szCs w:val="18"/>
              </w:rPr>
              <w:t>Non = 0</w:t>
            </w:r>
          </w:p>
        </w:tc>
        <w:tc>
          <w:tcPr>
            <w:tcW w:w="526" w:type="pct"/>
          </w:tcPr>
          <w:p w14:paraId="4B3CF360" w14:textId="77777777" w:rsidR="009021F1" w:rsidRPr="005308A6" w:rsidRDefault="009021F1" w:rsidP="00E637E3">
            <w:pPr>
              <w:rPr>
                <w:sz w:val="18"/>
                <w:szCs w:val="18"/>
              </w:rPr>
            </w:pPr>
          </w:p>
        </w:tc>
        <w:tc>
          <w:tcPr>
            <w:tcW w:w="775" w:type="pct"/>
          </w:tcPr>
          <w:p w14:paraId="7C517EC4" w14:textId="77777777" w:rsidR="009021F1" w:rsidRPr="005308A6" w:rsidRDefault="009021F1" w:rsidP="00E637E3">
            <w:pPr>
              <w:rPr>
                <w:sz w:val="16"/>
                <w:szCs w:val="16"/>
              </w:rPr>
            </w:pPr>
          </w:p>
        </w:tc>
      </w:tr>
      <w:tr w:rsidR="009021F1" w:rsidRPr="005308A6" w14:paraId="0297FBB5" w14:textId="77777777" w:rsidTr="00E637E3">
        <w:trPr>
          <w:cantSplit/>
          <w:trHeight w:val="228"/>
        </w:trPr>
        <w:tc>
          <w:tcPr>
            <w:tcW w:w="707" w:type="pct"/>
            <w:vMerge/>
          </w:tcPr>
          <w:p w14:paraId="0A74C5C7" w14:textId="77777777" w:rsidR="009021F1" w:rsidRPr="005308A6" w:rsidRDefault="009021F1" w:rsidP="00E637E3">
            <w:pPr>
              <w:rPr>
                <w:b/>
                <w:bCs/>
                <w:sz w:val="18"/>
                <w:szCs w:val="18"/>
              </w:rPr>
            </w:pPr>
          </w:p>
        </w:tc>
        <w:tc>
          <w:tcPr>
            <w:tcW w:w="1414" w:type="pct"/>
            <w:vAlign w:val="bottom"/>
          </w:tcPr>
          <w:p w14:paraId="3CD418CB" w14:textId="77777777" w:rsidR="009021F1" w:rsidRPr="005308A6" w:rsidRDefault="009021F1" w:rsidP="00E637E3">
            <w:pPr>
              <w:rPr>
                <w:bCs/>
                <w:sz w:val="18"/>
                <w:szCs w:val="18"/>
              </w:rPr>
            </w:pPr>
            <w:r w:rsidRPr="005308A6">
              <w:rPr>
                <w:bCs/>
                <w:sz w:val="18"/>
                <w:szCs w:val="18"/>
              </w:rPr>
              <w:t>L’activité peut-elle entraîner une accentuation des inégalités sociales ou exacerber des conflits sociaux au sein de la communauté</w:t>
            </w:r>
            <w:r>
              <w:rPr>
                <w:bCs/>
                <w:sz w:val="18"/>
                <w:szCs w:val="18"/>
              </w:rPr>
              <w:t> ?</w:t>
            </w:r>
          </w:p>
        </w:tc>
        <w:tc>
          <w:tcPr>
            <w:tcW w:w="789" w:type="pct"/>
            <w:vAlign w:val="center"/>
          </w:tcPr>
          <w:p w14:paraId="2FC7F1BF" w14:textId="77777777" w:rsidR="009021F1" w:rsidRPr="005308A6" w:rsidRDefault="009021F1" w:rsidP="00E637E3">
            <w:pPr>
              <w:rPr>
                <w:sz w:val="18"/>
                <w:szCs w:val="18"/>
              </w:rPr>
            </w:pPr>
            <w:r w:rsidRPr="005308A6">
              <w:rPr>
                <w:sz w:val="18"/>
                <w:szCs w:val="18"/>
              </w:rPr>
              <w:t>Oui (majeur) = 2</w:t>
            </w:r>
          </w:p>
          <w:p w14:paraId="24920999" w14:textId="77777777" w:rsidR="009021F1" w:rsidRPr="005308A6" w:rsidRDefault="009021F1" w:rsidP="00E637E3">
            <w:pPr>
              <w:rPr>
                <w:sz w:val="18"/>
                <w:szCs w:val="18"/>
              </w:rPr>
            </w:pPr>
            <w:r w:rsidRPr="005308A6">
              <w:rPr>
                <w:sz w:val="18"/>
                <w:szCs w:val="18"/>
              </w:rPr>
              <w:t>Oui (mineur) = 1</w:t>
            </w:r>
          </w:p>
          <w:p w14:paraId="11870AED" w14:textId="77777777" w:rsidR="009021F1" w:rsidRPr="005308A6" w:rsidRDefault="009021F1" w:rsidP="00E637E3">
            <w:pPr>
              <w:rPr>
                <w:bCs/>
                <w:sz w:val="18"/>
                <w:szCs w:val="18"/>
              </w:rPr>
            </w:pPr>
            <w:r w:rsidRPr="005308A6">
              <w:rPr>
                <w:sz w:val="18"/>
                <w:szCs w:val="18"/>
              </w:rPr>
              <w:t>Non = 0</w:t>
            </w:r>
          </w:p>
        </w:tc>
        <w:tc>
          <w:tcPr>
            <w:tcW w:w="789" w:type="pct"/>
            <w:vAlign w:val="center"/>
          </w:tcPr>
          <w:p w14:paraId="04BADF7F" w14:textId="77777777" w:rsidR="009021F1" w:rsidRPr="005308A6" w:rsidRDefault="009021F1" w:rsidP="00E637E3">
            <w:pPr>
              <w:rPr>
                <w:sz w:val="18"/>
                <w:szCs w:val="18"/>
              </w:rPr>
            </w:pPr>
            <w:r w:rsidRPr="005308A6">
              <w:rPr>
                <w:sz w:val="18"/>
                <w:szCs w:val="18"/>
              </w:rPr>
              <w:t>Oui (majeur) = 2</w:t>
            </w:r>
          </w:p>
          <w:p w14:paraId="101CC3DC" w14:textId="77777777" w:rsidR="009021F1" w:rsidRPr="005308A6" w:rsidRDefault="009021F1" w:rsidP="00E637E3">
            <w:pPr>
              <w:rPr>
                <w:sz w:val="18"/>
                <w:szCs w:val="18"/>
              </w:rPr>
            </w:pPr>
            <w:r w:rsidRPr="005308A6">
              <w:rPr>
                <w:sz w:val="18"/>
                <w:szCs w:val="18"/>
              </w:rPr>
              <w:t>Oui (mineur) = 1</w:t>
            </w:r>
          </w:p>
          <w:p w14:paraId="3A9295A8" w14:textId="77777777" w:rsidR="009021F1" w:rsidRPr="005308A6" w:rsidRDefault="009021F1" w:rsidP="00E637E3">
            <w:pPr>
              <w:rPr>
                <w:bCs/>
                <w:sz w:val="18"/>
                <w:szCs w:val="18"/>
              </w:rPr>
            </w:pPr>
            <w:r w:rsidRPr="005308A6">
              <w:rPr>
                <w:sz w:val="18"/>
                <w:szCs w:val="18"/>
              </w:rPr>
              <w:t>Non = 0</w:t>
            </w:r>
          </w:p>
        </w:tc>
        <w:tc>
          <w:tcPr>
            <w:tcW w:w="526" w:type="pct"/>
          </w:tcPr>
          <w:p w14:paraId="2484137E" w14:textId="77777777" w:rsidR="009021F1" w:rsidRPr="005308A6" w:rsidRDefault="009021F1" w:rsidP="00E637E3">
            <w:pPr>
              <w:rPr>
                <w:sz w:val="18"/>
                <w:szCs w:val="18"/>
              </w:rPr>
            </w:pPr>
          </w:p>
        </w:tc>
        <w:tc>
          <w:tcPr>
            <w:tcW w:w="775" w:type="pct"/>
          </w:tcPr>
          <w:p w14:paraId="79EC8ADB" w14:textId="77777777" w:rsidR="009021F1" w:rsidRPr="005308A6" w:rsidRDefault="009021F1" w:rsidP="00E637E3">
            <w:pPr>
              <w:rPr>
                <w:sz w:val="16"/>
                <w:szCs w:val="16"/>
              </w:rPr>
            </w:pPr>
          </w:p>
        </w:tc>
      </w:tr>
      <w:tr w:rsidR="009021F1" w:rsidRPr="005308A6" w14:paraId="27C2A8A2" w14:textId="77777777" w:rsidTr="00E637E3">
        <w:trPr>
          <w:cantSplit/>
          <w:trHeight w:val="572"/>
        </w:trPr>
        <w:tc>
          <w:tcPr>
            <w:tcW w:w="707" w:type="pct"/>
            <w:vMerge/>
          </w:tcPr>
          <w:p w14:paraId="1BA003E1" w14:textId="77777777" w:rsidR="009021F1" w:rsidRPr="005308A6" w:rsidRDefault="009021F1" w:rsidP="00E637E3">
            <w:pPr>
              <w:rPr>
                <w:b/>
                <w:bCs/>
                <w:sz w:val="18"/>
                <w:szCs w:val="18"/>
              </w:rPr>
            </w:pPr>
          </w:p>
        </w:tc>
        <w:tc>
          <w:tcPr>
            <w:tcW w:w="1414" w:type="pct"/>
            <w:vAlign w:val="bottom"/>
          </w:tcPr>
          <w:p w14:paraId="64C1A043" w14:textId="77777777" w:rsidR="009021F1" w:rsidRPr="005308A6" w:rsidRDefault="009021F1" w:rsidP="00E637E3">
            <w:pPr>
              <w:rPr>
                <w:bCs/>
                <w:sz w:val="18"/>
                <w:szCs w:val="18"/>
              </w:rPr>
            </w:pPr>
            <w:r w:rsidRPr="005308A6">
              <w:rPr>
                <w:bCs/>
                <w:sz w:val="18"/>
                <w:szCs w:val="18"/>
              </w:rPr>
              <w:t>L’activité peut-elle entraîner des altérations de la qualité esthétique du paysage (incompatibilité avec le paysage ; destruction d’espaces vert, abattage d’arbres d’alignement, déboisement) ?</w:t>
            </w:r>
          </w:p>
        </w:tc>
        <w:tc>
          <w:tcPr>
            <w:tcW w:w="789" w:type="pct"/>
            <w:vAlign w:val="center"/>
          </w:tcPr>
          <w:p w14:paraId="732E0CCB" w14:textId="77777777" w:rsidR="009021F1" w:rsidRPr="005308A6" w:rsidRDefault="009021F1" w:rsidP="00E637E3">
            <w:pPr>
              <w:rPr>
                <w:sz w:val="18"/>
                <w:szCs w:val="18"/>
              </w:rPr>
            </w:pPr>
            <w:r w:rsidRPr="005308A6">
              <w:rPr>
                <w:sz w:val="18"/>
                <w:szCs w:val="18"/>
              </w:rPr>
              <w:t>Oui (majeur) = 2</w:t>
            </w:r>
          </w:p>
          <w:p w14:paraId="48ADBB83" w14:textId="77777777" w:rsidR="009021F1" w:rsidRPr="005308A6" w:rsidRDefault="009021F1" w:rsidP="00E637E3">
            <w:pPr>
              <w:rPr>
                <w:sz w:val="18"/>
                <w:szCs w:val="18"/>
              </w:rPr>
            </w:pPr>
            <w:r w:rsidRPr="005308A6">
              <w:rPr>
                <w:sz w:val="18"/>
                <w:szCs w:val="18"/>
              </w:rPr>
              <w:t>Oui (mineur) = 1</w:t>
            </w:r>
          </w:p>
          <w:p w14:paraId="4BFF5C7E" w14:textId="77777777" w:rsidR="009021F1" w:rsidRPr="005308A6" w:rsidRDefault="009021F1" w:rsidP="00E637E3">
            <w:pPr>
              <w:rPr>
                <w:sz w:val="18"/>
                <w:szCs w:val="18"/>
              </w:rPr>
            </w:pPr>
            <w:r w:rsidRPr="005308A6">
              <w:rPr>
                <w:sz w:val="18"/>
                <w:szCs w:val="18"/>
              </w:rPr>
              <w:t>Non = 0</w:t>
            </w:r>
          </w:p>
        </w:tc>
        <w:tc>
          <w:tcPr>
            <w:tcW w:w="789" w:type="pct"/>
            <w:vAlign w:val="center"/>
          </w:tcPr>
          <w:p w14:paraId="1E8C27B1" w14:textId="77777777" w:rsidR="009021F1" w:rsidRPr="005308A6" w:rsidRDefault="009021F1" w:rsidP="00E637E3">
            <w:pPr>
              <w:rPr>
                <w:sz w:val="18"/>
                <w:szCs w:val="18"/>
              </w:rPr>
            </w:pPr>
            <w:r w:rsidRPr="005308A6">
              <w:rPr>
                <w:sz w:val="18"/>
                <w:szCs w:val="18"/>
              </w:rPr>
              <w:t>Oui (majeur) = 2</w:t>
            </w:r>
          </w:p>
          <w:p w14:paraId="01DB6395" w14:textId="77777777" w:rsidR="009021F1" w:rsidRPr="005308A6" w:rsidRDefault="009021F1" w:rsidP="00E637E3">
            <w:pPr>
              <w:rPr>
                <w:sz w:val="18"/>
                <w:szCs w:val="18"/>
              </w:rPr>
            </w:pPr>
            <w:r w:rsidRPr="005308A6">
              <w:rPr>
                <w:sz w:val="18"/>
                <w:szCs w:val="18"/>
              </w:rPr>
              <w:t>Oui (mineur) = 1</w:t>
            </w:r>
          </w:p>
          <w:p w14:paraId="5887FA08" w14:textId="77777777" w:rsidR="009021F1" w:rsidRPr="005308A6" w:rsidRDefault="009021F1" w:rsidP="00E637E3">
            <w:pPr>
              <w:rPr>
                <w:sz w:val="18"/>
                <w:szCs w:val="18"/>
              </w:rPr>
            </w:pPr>
            <w:r w:rsidRPr="005308A6">
              <w:rPr>
                <w:sz w:val="18"/>
                <w:szCs w:val="18"/>
              </w:rPr>
              <w:t>Non = 0</w:t>
            </w:r>
          </w:p>
        </w:tc>
        <w:tc>
          <w:tcPr>
            <w:tcW w:w="526" w:type="pct"/>
          </w:tcPr>
          <w:p w14:paraId="738FF9DE" w14:textId="77777777" w:rsidR="009021F1" w:rsidRPr="005308A6" w:rsidRDefault="009021F1" w:rsidP="00E637E3">
            <w:pPr>
              <w:rPr>
                <w:sz w:val="18"/>
                <w:szCs w:val="18"/>
              </w:rPr>
            </w:pPr>
          </w:p>
        </w:tc>
        <w:tc>
          <w:tcPr>
            <w:tcW w:w="775" w:type="pct"/>
          </w:tcPr>
          <w:p w14:paraId="7571BF3E" w14:textId="77777777" w:rsidR="009021F1" w:rsidRPr="005308A6" w:rsidRDefault="009021F1" w:rsidP="00E637E3">
            <w:pPr>
              <w:rPr>
                <w:sz w:val="16"/>
                <w:szCs w:val="16"/>
              </w:rPr>
            </w:pPr>
          </w:p>
        </w:tc>
      </w:tr>
      <w:tr w:rsidR="009021F1" w:rsidRPr="005308A6" w14:paraId="779A8781" w14:textId="77777777" w:rsidTr="00E637E3">
        <w:trPr>
          <w:cantSplit/>
          <w:trHeight w:val="228"/>
        </w:trPr>
        <w:tc>
          <w:tcPr>
            <w:tcW w:w="707" w:type="pct"/>
            <w:vMerge/>
          </w:tcPr>
          <w:p w14:paraId="71CC131C" w14:textId="77777777" w:rsidR="009021F1" w:rsidRPr="005308A6" w:rsidRDefault="009021F1" w:rsidP="00E637E3">
            <w:pPr>
              <w:rPr>
                <w:b/>
                <w:bCs/>
                <w:sz w:val="18"/>
                <w:szCs w:val="18"/>
              </w:rPr>
            </w:pPr>
          </w:p>
        </w:tc>
        <w:tc>
          <w:tcPr>
            <w:tcW w:w="1414" w:type="pct"/>
            <w:vAlign w:val="bottom"/>
          </w:tcPr>
          <w:p w14:paraId="3D060538" w14:textId="77777777" w:rsidR="009021F1" w:rsidRPr="005308A6" w:rsidRDefault="009021F1" w:rsidP="00E637E3">
            <w:pPr>
              <w:rPr>
                <w:bCs/>
                <w:sz w:val="18"/>
                <w:szCs w:val="18"/>
              </w:rPr>
            </w:pPr>
            <w:r w:rsidRPr="005308A6">
              <w:rPr>
                <w:sz w:val="18"/>
                <w:szCs w:val="18"/>
              </w:rPr>
              <w:t>Le site du projet est-il sujet à des phénomènes naturels (inondation, glissement de terrain, érosion, etc.)</w:t>
            </w:r>
            <w:r>
              <w:rPr>
                <w:sz w:val="18"/>
                <w:szCs w:val="18"/>
              </w:rPr>
              <w:t> ?</w:t>
            </w:r>
          </w:p>
        </w:tc>
        <w:tc>
          <w:tcPr>
            <w:tcW w:w="789" w:type="pct"/>
            <w:vAlign w:val="center"/>
          </w:tcPr>
          <w:p w14:paraId="2B030C7D" w14:textId="77777777" w:rsidR="009021F1" w:rsidRPr="005308A6" w:rsidRDefault="009021F1" w:rsidP="00E637E3">
            <w:pPr>
              <w:rPr>
                <w:sz w:val="18"/>
                <w:szCs w:val="18"/>
              </w:rPr>
            </w:pPr>
            <w:r w:rsidRPr="005308A6">
              <w:rPr>
                <w:sz w:val="18"/>
                <w:szCs w:val="18"/>
              </w:rPr>
              <w:t>Oui (majeur) = 2</w:t>
            </w:r>
          </w:p>
          <w:p w14:paraId="2F02D467" w14:textId="77777777" w:rsidR="009021F1" w:rsidRPr="005308A6" w:rsidRDefault="009021F1" w:rsidP="00E637E3">
            <w:pPr>
              <w:rPr>
                <w:sz w:val="18"/>
                <w:szCs w:val="18"/>
              </w:rPr>
            </w:pPr>
            <w:r w:rsidRPr="005308A6">
              <w:rPr>
                <w:sz w:val="18"/>
                <w:szCs w:val="18"/>
              </w:rPr>
              <w:t>Oui (mineur) = 1</w:t>
            </w:r>
          </w:p>
          <w:p w14:paraId="1A9B47B7" w14:textId="77777777" w:rsidR="009021F1" w:rsidRPr="005308A6" w:rsidRDefault="009021F1" w:rsidP="00E637E3">
            <w:pPr>
              <w:rPr>
                <w:sz w:val="18"/>
                <w:szCs w:val="18"/>
              </w:rPr>
            </w:pPr>
            <w:r w:rsidRPr="005308A6">
              <w:rPr>
                <w:sz w:val="18"/>
                <w:szCs w:val="18"/>
              </w:rPr>
              <w:t>Non = 0</w:t>
            </w:r>
          </w:p>
        </w:tc>
        <w:tc>
          <w:tcPr>
            <w:tcW w:w="789" w:type="pct"/>
            <w:vAlign w:val="center"/>
          </w:tcPr>
          <w:p w14:paraId="521AF838" w14:textId="77777777" w:rsidR="009021F1" w:rsidRPr="005308A6" w:rsidRDefault="009021F1" w:rsidP="00E637E3">
            <w:pPr>
              <w:rPr>
                <w:sz w:val="18"/>
                <w:szCs w:val="18"/>
              </w:rPr>
            </w:pPr>
            <w:r w:rsidRPr="005308A6">
              <w:rPr>
                <w:sz w:val="18"/>
                <w:szCs w:val="18"/>
              </w:rPr>
              <w:t>Oui (majeur) = 2</w:t>
            </w:r>
          </w:p>
          <w:p w14:paraId="6FB153C8" w14:textId="77777777" w:rsidR="009021F1" w:rsidRPr="005308A6" w:rsidRDefault="009021F1" w:rsidP="00E637E3">
            <w:pPr>
              <w:rPr>
                <w:sz w:val="18"/>
                <w:szCs w:val="18"/>
              </w:rPr>
            </w:pPr>
            <w:r w:rsidRPr="005308A6">
              <w:rPr>
                <w:sz w:val="18"/>
                <w:szCs w:val="18"/>
              </w:rPr>
              <w:t>Oui (mineur) = 1</w:t>
            </w:r>
          </w:p>
          <w:p w14:paraId="00E81EE4" w14:textId="77777777" w:rsidR="009021F1" w:rsidRPr="005308A6" w:rsidRDefault="009021F1" w:rsidP="00E637E3">
            <w:pPr>
              <w:rPr>
                <w:bCs/>
                <w:sz w:val="18"/>
                <w:szCs w:val="18"/>
              </w:rPr>
            </w:pPr>
            <w:r w:rsidRPr="005308A6">
              <w:rPr>
                <w:sz w:val="18"/>
                <w:szCs w:val="18"/>
              </w:rPr>
              <w:t>Non = 0</w:t>
            </w:r>
          </w:p>
        </w:tc>
        <w:tc>
          <w:tcPr>
            <w:tcW w:w="526" w:type="pct"/>
          </w:tcPr>
          <w:p w14:paraId="63F5AE6C" w14:textId="77777777" w:rsidR="009021F1" w:rsidRPr="005308A6" w:rsidRDefault="009021F1" w:rsidP="00E637E3">
            <w:pPr>
              <w:rPr>
                <w:sz w:val="18"/>
                <w:szCs w:val="18"/>
              </w:rPr>
            </w:pPr>
          </w:p>
        </w:tc>
        <w:tc>
          <w:tcPr>
            <w:tcW w:w="775" w:type="pct"/>
          </w:tcPr>
          <w:p w14:paraId="63315BC5" w14:textId="77777777" w:rsidR="009021F1" w:rsidRPr="005308A6" w:rsidRDefault="009021F1" w:rsidP="00E637E3">
            <w:pPr>
              <w:rPr>
                <w:sz w:val="16"/>
                <w:szCs w:val="16"/>
              </w:rPr>
            </w:pPr>
          </w:p>
        </w:tc>
      </w:tr>
      <w:tr w:rsidR="009021F1" w:rsidRPr="005308A6" w14:paraId="2C43C524" w14:textId="77777777" w:rsidTr="00E637E3">
        <w:trPr>
          <w:cantSplit/>
          <w:trHeight w:val="228"/>
        </w:trPr>
        <w:tc>
          <w:tcPr>
            <w:tcW w:w="707" w:type="pct"/>
            <w:vMerge/>
          </w:tcPr>
          <w:p w14:paraId="7E4D5220" w14:textId="77777777" w:rsidR="009021F1" w:rsidRPr="005308A6" w:rsidRDefault="009021F1" w:rsidP="00E637E3">
            <w:pPr>
              <w:rPr>
                <w:b/>
                <w:bCs/>
                <w:sz w:val="18"/>
                <w:szCs w:val="18"/>
              </w:rPr>
            </w:pPr>
          </w:p>
        </w:tc>
        <w:tc>
          <w:tcPr>
            <w:tcW w:w="1414" w:type="pct"/>
            <w:vAlign w:val="bottom"/>
          </w:tcPr>
          <w:p w14:paraId="775495F9" w14:textId="77777777" w:rsidR="009021F1" w:rsidRPr="005308A6" w:rsidRDefault="009021F1" w:rsidP="00E637E3">
            <w:pPr>
              <w:rPr>
                <w:bCs/>
                <w:sz w:val="18"/>
                <w:szCs w:val="18"/>
              </w:rPr>
            </w:pPr>
            <w:r w:rsidRPr="005308A6">
              <w:rPr>
                <w:bCs/>
                <w:sz w:val="18"/>
                <w:szCs w:val="18"/>
              </w:rPr>
              <w:t>L’activité</w:t>
            </w:r>
            <w:r w:rsidRPr="005308A6">
              <w:rPr>
                <w:sz w:val="18"/>
                <w:szCs w:val="18"/>
              </w:rPr>
              <w:t xml:space="preserve"> entraîne-t-elle un déplacement physique de populations</w:t>
            </w:r>
            <w:r w:rsidRPr="005308A6">
              <w:rPr>
                <w:bCs/>
                <w:sz w:val="18"/>
                <w:szCs w:val="18"/>
              </w:rPr>
              <w:t xml:space="preserve"> ?</w:t>
            </w:r>
          </w:p>
        </w:tc>
        <w:tc>
          <w:tcPr>
            <w:tcW w:w="789" w:type="pct"/>
            <w:vAlign w:val="center"/>
          </w:tcPr>
          <w:p w14:paraId="030A7782" w14:textId="77777777" w:rsidR="009021F1" w:rsidRPr="005308A6" w:rsidRDefault="009021F1" w:rsidP="00E637E3">
            <w:pPr>
              <w:rPr>
                <w:sz w:val="18"/>
                <w:szCs w:val="18"/>
              </w:rPr>
            </w:pPr>
            <w:r w:rsidRPr="005308A6">
              <w:rPr>
                <w:sz w:val="18"/>
                <w:szCs w:val="18"/>
              </w:rPr>
              <w:t>Oui (majeur) = 2</w:t>
            </w:r>
          </w:p>
          <w:p w14:paraId="4397680E" w14:textId="77777777" w:rsidR="009021F1" w:rsidRPr="005308A6" w:rsidRDefault="009021F1" w:rsidP="00E637E3">
            <w:pPr>
              <w:rPr>
                <w:sz w:val="18"/>
                <w:szCs w:val="18"/>
              </w:rPr>
            </w:pPr>
            <w:r w:rsidRPr="005308A6">
              <w:rPr>
                <w:sz w:val="18"/>
                <w:szCs w:val="18"/>
              </w:rPr>
              <w:t>Oui (mineur) = 1</w:t>
            </w:r>
          </w:p>
          <w:p w14:paraId="227FB2E9" w14:textId="77777777" w:rsidR="009021F1" w:rsidRPr="005308A6" w:rsidRDefault="009021F1" w:rsidP="00E637E3">
            <w:pPr>
              <w:rPr>
                <w:bCs/>
                <w:sz w:val="18"/>
                <w:szCs w:val="18"/>
              </w:rPr>
            </w:pPr>
            <w:r w:rsidRPr="005308A6">
              <w:rPr>
                <w:sz w:val="18"/>
                <w:szCs w:val="18"/>
              </w:rPr>
              <w:t>Non = 0</w:t>
            </w:r>
          </w:p>
        </w:tc>
        <w:tc>
          <w:tcPr>
            <w:tcW w:w="789" w:type="pct"/>
            <w:vAlign w:val="center"/>
          </w:tcPr>
          <w:p w14:paraId="17FF6C9D" w14:textId="77777777" w:rsidR="009021F1" w:rsidRPr="005308A6" w:rsidRDefault="009021F1" w:rsidP="00E637E3">
            <w:pPr>
              <w:rPr>
                <w:sz w:val="18"/>
                <w:szCs w:val="18"/>
              </w:rPr>
            </w:pPr>
            <w:r w:rsidRPr="005308A6">
              <w:rPr>
                <w:sz w:val="18"/>
                <w:szCs w:val="18"/>
              </w:rPr>
              <w:t>Oui (majeur) = 2</w:t>
            </w:r>
          </w:p>
          <w:p w14:paraId="3CF67FF4" w14:textId="77777777" w:rsidR="009021F1" w:rsidRPr="005308A6" w:rsidRDefault="009021F1" w:rsidP="00E637E3">
            <w:pPr>
              <w:rPr>
                <w:sz w:val="18"/>
                <w:szCs w:val="18"/>
              </w:rPr>
            </w:pPr>
            <w:r w:rsidRPr="005308A6">
              <w:rPr>
                <w:sz w:val="18"/>
                <w:szCs w:val="18"/>
              </w:rPr>
              <w:t>Oui (mineur) = 1</w:t>
            </w:r>
          </w:p>
          <w:p w14:paraId="579780F7" w14:textId="77777777" w:rsidR="009021F1" w:rsidRPr="005308A6" w:rsidRDefault="009021F1" w:rsidP="00E637E3">
            <w:pPr>
              <w:rPr>
                <w:bCs/>
                <w:sz w:val="18"/>
                <w:szCs w:val="18"/>
              </w:rPr>
            </w:pPr>
            <w:r w:rsidRPr="005308A6">
              <w:rPr>
                <w:sz w:val="18"/>
                <w:szCs w:val="18"/>
              </w:rPr>
              <w:t>Non = 0</w:t>
            </w:r>
          </w:p>
        </w:tc>
        <w:tc>
          <w:tcPr>
            <w:tcW w:w="526" w:type="pct"/>
          </w:tcPr>
          <w:p w14:paraId="6A3B6EF3" w14:textId="77777777" w:rsidR="009021F1" w:rsidRPr="005308A6" w:rsidRDefault="009021F1" w:rsidP="00E637E3">
            <w:pPr>
              <w:rPr>
                <w:sz w:val="18"/>
                <w:szCs w:val="18"/>
              </w:rPr>
            </w:pPr>
          </w:p>
        </w:tc>
        <w:tc>
          <w:tcPr>
            <w:tcW w:w="775" w:type="pct"/>
          </w:tcPr>
          <w:p w14:paraId="051C5DB6" w14:textId="77777777" w:rsidR="009021F1" w:rsidRPr="005308A6" w:rsidRDefault="009021F1" w:rsidP="00E637E3">
            <w:pPr>
              <w:rPr>
                <w:sz w:val="16"/>
                <w:szCs w:val="16"/>
              </w:rPr>
            </w:pPr>
          </w:p>
        </w:tc>
      </w:tr>
      <w:tr w:rsidR="009021F1" w:rsidRPr="005308A6" w14:paraId="6562D451" w14:textId="77777777" w:rsidTr="00E637E3">
        <w:trPr>
          <w:cantSplit/>
          <w:trHeight w:val="824"/>
        </w:trPr>
        <w:tc>
          <w:tcPr>
            <w:tcW w:w="707" w:type="pct"/>
            <w:vMerge w:val="restart"/>
            <w:shd w:val="clear" w:color="auto" w:fill="auto"/>
          </w:tcPr>
          <w:p w14:paraId="3EEECE7E" w14:textId="77777777" w:rsidR="009021F1" w:rsidRPr="005308A6" w:rsidRDefault="009021F1" w:rsidP="00E637E3">
            <w:pPr>
              <w:rPr>
                <w:b/>
                <w:bCs/>
                <w:sz w:val="18"/>
                <w:szCs w:val="18"/>
              </w:rPr>
            </w:pPr>
            <w:r w:rsidRPr="005308A6">
              <w:rPr>
                <w:b/>
                <w:bCs/>
                <w:sz w:val="18"/>
                <w:szCs w:val="18"/>
              </w:rPr>
              <w:t xml:space="preserve">Activités économiques </w:t>
            </w:r>
          </w:p>
        </w:tc>
        <w:tc>
          <w:tcPr>
            <w:tcW w:w="1414" w:type="pct"/>
            <w:vAlign w:val="bottom"/>
          </w:tcPr>
          <w:p w14:paraId="6A749E7F" w14:textId="77777777" w:rsidR="009021F1" w:rsidRPr="005308A6" w:rsidRDefault="009021F1" w:rsidP="00E637E3">
            <w:pPr>
              <w:rPr>
                <w:bCs/>
                <w:sz w:val="18"/>
                <w:szCs w:val="18"/>
              </w:rPr>
            </w:pPr>
            <w:r w:rsidRPr="005308A6">
              <w:rPr>
                <w:bCs/>
                <w:sz w:val="18"/>
                <w:szCs w:val="18"/>
              </w:rPr>
              <w:t>L’activité risque-t-elle d’entraîner une perturbation/dégradation des activités agricoles (destruction de champs agricole, dégradation de terres de cultures, etc.) ?</w:t>
            </w:r>
          </w:p>
        </w:tc>
        <w:tc>
          <w:tcPr>
            <w:tcW w:w="789" w:type="pct"/>
            <w:vAlign w:val="center"/>
          </w:tcPr>
          <w:p w14:paraId="16F16F77" w14:textId="77777777" w:rsidR="009021F1" w:rsidRPr="005308A6" w:rsidRDefault="009021F1" w:rsidP="00E637E3">
            <w:pPr>
              <w:rPr>
                <w:sz w:val="18"/>
                <w:szCs w:val="18"/>
              </w:rPr>
            </w:pPr>
            <w:r w:rsidRPr="005308A6">
              <w:rPr>
                <w:sz w:val="18"/>
                <w:szCs w:val="18"/>
              </w:rPr>
              <w:t>Oui (majeur) = 2</w:t>
            </w:r>
          </w:p>
          <w:p w14:paraId="474DEF56" w14:textId="77777777" w:rsidR="009021F1" w:rsidRPr="005308A6" w:rsidRDefault="009021F1" w:rsidP="00E637E3">
            <w:pPr>
              <w:rPr>
                <w:sz w:val="18"/>
                <w:szCs w:val="18"/>
              </w:rPr>
            </w:pPr>
            <w:r w:rsidRPr="005308A6">
              <w:rPr>
                <w:sz w:val="18"/>
                <w:szCs w:val="18"/>
              </w:rPr>
              <w:t>Oui (mineur) = 1</w:t>
            </w:r>
          </w:p>
          <w:p w14:paraId="13E39E8C" w14:textId="77777777" w:rsidR="009021F1" w:rsidRPr="005308A6" w:rsidRDefault="009021F1" w:rsidP="00E637E3">
            <w:pPr>
              <w:rPr>
                <w:sz w:val="18"/>
                <w:szCs w:val="18"/>
              </w:rPr>
            </w:pPr>
            <w:r w:rsidRPr="005308A6">
              <w:rPr>
                <w:sz w:val="18"/>
                <w:szCs w:val="18"/>
              </w:rPr>
              <w:t>Non = 0</w:t>
            </w:r>
          </w:p>
        </w:tc>
        <w:tc>
          <w:tcPr>
            <w:tcW w:w="789" w:type="pct"/>
            <w:vAlign w:val="center"/>
          </w:tcPr>
          <w:p w14:paraId="1E460E58" w14:textId="77777777" w:rsidR="009021F1" w:rsidRPr="005308A6" w:rsidRDefault="009021F1" w:rsidP="00E637E3">
            <w:pPr>
              <w:rPr>
                <w:sz w:val="18"/>
                <w:szCs w:val="18"/>
              </w:rPr>
            </w:pPr>
            <w:r w:rsidRPr="005308A6">
              <w:rPr>
                <w:sz w:val="18"/>
                <w:szCs w:val="18"/>
              </w:rPr>
              <w:t>Oui (majeur) = 2</w:t>
            </w:r>
          </w:p>
          <w:p w14:paraId="00A10344" w14:textId="77777777" w:rsidR="009021F1" w:rsidRPr="005308A6" w:rsidRDefault="009021F1" w:rsidP="00E637E3">
            <w:pPr>
              <w:rPr>
                <w:sz w:val="18"/>
                <w:szCs w:val="18"/>
              </w:rPr>
            </w:pPr>
            <w:r w:rsidRPr="005308A6">
              <w:rPr>
                <w:sz w:val="18"/>
                <w:szCs w:val="18"/>
              </w:rPr>
              <w:t>Oui (mineur) = 1</w:t>
            </w:r>
          </w:p>
          <w:p w14:paraId="3C06EB25" w14:textId="77777777" w:rsidR="009021F1" w:rsidRPr="005308A6" w:rsidRDefault="009021F1" w:rsidP="00E637E3">
            <w:pPr>
              <w:rPr>
                <w:sz w:val="18"/>
                <w:szCs w:val="18"/>
              </w:rPr>
            </w:pPr>
            <w:r w:rsidRPr="005308A6">
              <w:rPr>
                <w:sz w:val="18"/>
                <w:szCs w:val="18"/>
              </w:rPr>
              <w:t>Non = 0</w:t>
            </w:r>
          </w:p>
        </w:tc>
        <w:tc>
          <w:tcPr>
            <w:tcW w:w="526" w:type="pct"/>
          </w:tcPr>
          <w:p w14:paraId="7077C10F" w14:textId="77777777" w:rsidR="009021F1" w:rsidRPr="005308A6" w:rsidRDefault="009021F1" w:rsidP="00E637E3">
            <w:pPr>
              <w:rPr>
                <w:sz w:val="18"/>
                <w:szCs w:val="18"/>
              </w:rPr>
            </w:pPr>
          </w:p>
        </w:tc>
        <w:tc>
          <w:tcPr>
            <w:tcW w:w="775" w:type="pct"/>
          </w:tcPr>
          <w:p w14:paraId="3D3640DB" w14:textId="77777777" w:rsidR="009021F1" w:rsidRPr="005308A6" w:rsidRDefault="009021F1" w:rsidP="00E637E3">
            <w:pPr>
              <w:rPr>
                <w:sz w:val="16"/>
                <w:szCs w:val="16"/>
              </w:rPr>
            </w:pPr>
          </w:p>
        </w:tc>
      </w:tr>
      <w:tr w:rsidR="009021F1" w:rsidRPr="005308A6" w14:paraId="644345BB" w14:textId="77777777" w:rsidTr="00E637E3">
        <w:trPr>
          <w:cantSplit/>
          <w:trHeight w:val="228"/>
        </w:trPr>
        <w:tc>
          <w:tcPr>
            <w:tcW w:w="707" w:type="pct"/>
            <w:vMerge/>
            <w:shd w:val="clear" w:color="auto" w:fill="auto"/>
          </w:tcPr>
          <w:p w14:paraId="1B782190" w14:textId="77777777" w:rsidR="009021F1" w:rsidRPr="005308A6" w:rsidRDefault="009021F1" w:rsidP="00E637E3">
            <w:pPr>
              <w:rPr>
                <w:b/>
                <w:bCs/>
                <w:sz w:val="18"/>
                <w:szCs w:val="18"/>
              </w:rPr>
            </w:pPr>
          </w:p>
        </w:tc>
        <w:tc>
          <w:tcPr>
            <w:tcW w:w="1414" w:type="pct"/>
            <w:vAlign w:val="bottom"/>
          </w:tcPr>
          <w:p w14:paraId="6AAC47A2" w14:textId="77777777" w:rsidR="009021F1" w:rsidRPr="005308A6" w:rsidRDefault="009021F1" w:rsidP="00E637E3">
            <w:pPr>
              <w:rPr>
                <w:bCs/>
                <w:sz w:val="18"/>
                <w:szCs w:val="18"/>
              </w:rPr>
            </w:pPr>
            <w:r w:rsidRPr="005308A6">
              <w:rPr>
                <w:bCs/>
                <w:sz w:val="18"/>
                <w:szCs w:val="18"/>
              </w:rPr>
              <w:t xml:space="preserve">L’activité risque-t-elle d’entraîner une perturbation des activités industrielles ? </w:t>
            </w:r>
          </w:p>
        </w:tc>
        <w:tc>
          <w:tcPr>
            <w:tcW w:w="789" w:type="pct"/>
            <w:vAlign w:val="center"/>
          </w:tcPr>
          <w:p w14:paraId="6E450623" w14:textId="77777777" w:rsidR="009021F1" w:rsidRPr="005308A6" w:rsidRDefault="009021F1" w:rsidP="00E637E3">
            <w:pPr>
              <w:rPr>
                <w:sz w:val="18"/>
                <w:szCs w:val="18"/>
              </w:rPr>
            </w:pPr>
            <w:r w:rsidRPr="005308A6">
              <w:rPr>
                <w:sz w:val="18"/>
                <w:szCs w:val="18"/>
              </w:rPr>
              <w:t>Oui (majeur) = 2</w:t>
            </w:r>
          </w:p>
          <w:p w14:paraId="69096952" w14:textId="77777777" w:rsidR="009021F1" w:rsidRPr="005308A6" w:rsidRDefault="009021F1" w:rsidP="00E637E3">
            <w:pPr>
              <w:rPr>
                <w:sz w:val="18"/>
                <w:szCs w:val="18"/>
              </w:rPr>
            </w:pPr>
            <w:r w:rsidRPr="005308A6">
              <w:rPr>
                <w:sz w:val="18"/>
                <w:szCs w:val="18"/>
              </w:rPr>
              <w:t>Oui (mineur) = 1</w:t>
            </w:r>
          </w:p>
          <w:p w14:paraId="291A4B54" w14:textId="77777777" w:rsidR="009021F1" w:rsidRPr="005308A6" w:rsidRDefault="009021F1" w:rsidP="00E637E3">
            <w:pPr>
              <w:rPr>
                <w:bCs/>
                <w:sz w:val="18"/>
                <w:szCs w:val="18"/>
              </w:rPr>
            </w:pPr>
            <w:r w:rsidRPr="005308A6">
              <w:rPr>
                <w:sz w:val="18"/>
                <w:szCs w:val="18"/>
              </w:rPr>
              <w:t>Non = 0</w:t>
            </w:r>
          </w:p>
        </w:tc>
        <w:tc>
          <w:tcPr>
            <w:tcW w:w="789" w:type="pct"/>
            <w:vAlign w:val="center"/>
          </w:tcPr>
          <w:p w14:paraId="70C89580" w14:textId="77777777" w:rsidR="009021F1" w:rsidRPr="005308A6" w:rsidRDefault="009021F1" w:rsidP="00E637E3">
            <w:pPr>
              <w:rPr>
                <w:sz w:val="18"/>
                <w:szCs w:val="18"/>
              </w:rPr>
            </w:pPr>
            <w:r w:rsidRPr="005308A6">
              <w:rPr>
                <w:sz w:val="18"/>
                <w:szCs w:val="18"/>
              </w:rPr>
              <w:t>Oui (majeur) = 2</w:t>
            </w:r>
          </w:p>
          <w:p w14:paraId="5A1C5459" w14:textId="77777777" w:rsidR="009021F1" w:rsidRPr="005308A6" w:rsidRDefault="009021F1" w:rsidP="00E637E3">
            <w:pPr>
              <w:rPr>
                <w:sz w:val="18"/>
                <w:szCs w:val="18"/>
              </w:rPr>
            </w:pPr>
            <w:r w:rsidRPr="005308A6">
              <w:rPr>
                <w:sz w:val="18"/>
                <w:szCs w:val="18"/>
              </w:rPr>
              <w:t>Oui (mineur) = 1</w:t>
            </w:r>
          </w:p>
          <w:p w14:paraId="0BDCB61F" w14:textId="77777777" w:rsidR="009021F1" w:rsidRPr="005308A6" w:rsidRDefault="009021F1" w:rsidP="00E637E3">
            <w:pPr>
              <w:rPr>
                <w:bCs/>
                <w:sz w:val="18"/>
                <w:szCs w:val="18"/>
              </w:rPr>
            </w:pPr>
            <w:r w:rsidRPr="005308A6">
              <w:rPr>
                <w:sz w:val="18"/>
                <w:szCs w:val="18"/>
              </w:rPr>
              <w:t>Non = 0</w:t>
            </w:r>
          </w:p>
        </w:tc>
        <w:tc>
          <w:tcPr>
            <w:tcW w:w="526" w:type="pct"/>
          </w:tcPr>
          <w:p w14:paraId="2D438A4C" w14:textId="77777777" w:rsidR="009021F1" w:rsidRPr="005308A6" w:rsidRDefault="009021F1" w:rsidP="00E637E3">
            <w:pPr>
              <w:rPr>
                <w:sz w:val="18"/>
                <w:szCs w:val="18"/>
              </w:rPr>
            </w:pPr>
          </w:p>
        </w:tc>
        <w:tc>
          <w:tcPr>
            <w:tcW w:w="775" w:type="pct"/>
          </w:tcPr>
          <w:p w14:paraId="131D4095" w14:textId="77777777" w:rsidR="009021F1" w:rsidRPr="005308A6" w:rsidRDefault="009021F1" w:rsidP="00E637E3">
            <w:pPr>
              <w:rPr>
                <w:sz w:val="16"/>
                <w:szCs w:val="16"/>
              </w:rPr>
            </w:pPr>
          </w:p>
        </w:tc>
      </w:tr>
      <w:tr w:rsidR="009021F1" w:rsidRPr="005308A6" w14:paraId="151777F2" w14:textId="77777777" w:rsidTr="00E637E3">
        <w:trPr>
          <w:cantSplit/>
          <w:trHeight w:val="143"/>
        </w:trPr>
        <w:tc>
          <w:tcPr>
            <w:tcW w:w="707" w:type="pct"/>
            <w:vMerge/>
            <w:shd w:val="clear" w:color="auto" w:fill="auto"/>
          </w:tcPr>
          <w:p w14:paraId="03D6FA38" w14:textId="77777777" w:rsidR="009021F1" w:rsidRPr="005308A6" w:rsidRDefault="009021F1" w:rsidP="00E637E3">
            <w:pPr>
              <w:rPr>
                <w:sz w:val="18"/>
                <w:szCs w:val="18"/>
              </w:rPr>
            </w:pPr>
          </w:p>
        </w:tc>
        <w:tc>
          <w:tcPr>
            <w:tcW w:w="1414" w:type="pct"/>
            <w:vAlign w:val="bottom"/>
          </w:tcPr>
          <w:p w14:paraId="6949DD4E" w14:textId="77777777" w:rsidR="009021F1" w:rsidRPr="005308A6" w:rsidRDefault="009021F1" w:rsidP="00E637E3">
            <w:pPr>
              <w:rPr>
                <w:bCs/>
                <w:sz w:val="18"/>
                <w:szCs w:val="18"/>
              </w:rPr>
            </w:pPr>
            <w:r w:rsidRPr="005308A6">
              <w:rPr>
                <w:bCs/>
                <w:sz w:val="18"/>
                <w:szCs w:val="18"/>
              </w:rPr>
              <w:t>L’activité risque-t-elle d’entraîner une perturbation/dégradation des activités artisanales ?</w:t>
            </w:r>
          </w:p>
          <w:p w14:paraId="51BBE48F" w14:textId="77777777" w:rsidR="009021F1" w:rsidRPr="005308A6" w:rsidRDefault="009021F1" w:rsidP="00E637E3">
            <w:pPr>
              <w:rPr>
                <w:bCs/>
                <w:sz w:val="18"/>
                <w:szCs w:val="18"/>
              </w:rPr>
            </w:pPr>
          </w:p>
        </w:tc>
        <w:tc>
          <w:tcPr>
            <w:tcW w:w="789" w:type="pct"/>
            <w:vAlign w:val="center"/>
          </w:tcPr>
          <w:p w14:paraId="303C1904" w14:textId="77777777" w:rsidR="009021F1" w:rsidRPr="005308A6" w:rsidRDefault="009021F1" w:rsidP="00E637E3">
            <w:pPr>
              <w:rPr>
                <w:sz w:val="18"/>
                <w:szCs w:val="18"/>
              </w:rPr>
            </w:pPr>
            <w:r w:rsidRPr="005308A6">
              <w:rPr>
                <w:sz w:val="18"/>
                <w:szCs w:val="18"/>
              </w:rPr>
              <w:t>Oui (majeur) = 2</w:t>
            </w:r>
          </w:p>
          <w:p w14:paraId="0C988AD8" w14:textId="77777777" w:rsidR="009021F1" w:rsidRPr="005308A6" w:rsidRDefault="009021F1" w:rsidP="00E637E3">
            <w:pPr>
              <w:rPr>
                <w:sz w:val="18"/>
                <w:szCs w:val="18"/>
              </w:rPr>
            </w:pPr>
            <w:r w:rsidRPr="005308A6">
              <w:rPr>
                <w:sz w:val="18"/>
                <w:szCs w:val="18"/>
              </w:rPr>
              <w:t>Oui (mineur) = 1</w:t>
            </w:r>
          </w:p>
          <w:p w14:paraId="53133285" w14:textId="77777777" w:rsidR="009021F1" w:rsidRPr="005308A6" w:rsidRDefault="009021F1" w:rsidP="00E637E3">
            <w:pPr>
              <w:rPr>
                <w:sz w:val="18"/>
                <w:szCs w:val="18"/>
              </w:rPr>
            </w:pPr>
            <w:r w:rsidRPr="005308A6">
              <w:rPr>
                <w:sz w:val="18"/>
                <w:szCs w:val="18"/>
              </w:rPr>
              <w:t>Non = 0</w:t>
            </w:r>
          </w:p>
        </w:tc>
        <w:tc>
          <w:tcPr>
            <w:tcW w:w="789" w:type="pct"/>
            <w:vAlign w:val="center"/>
          </w:tcPr>
          <w:p w14:paraId="2285FF0C" w14:textId="77777777" w:rsidR="009021F1" w:rsidRPr="005308A6" w:rsidRDefault="009021F1" w:rsidP="00E637E3">
            <w:pPr>
              <w:rPr>
                <w:sz w:val="18"/>
                <w:szCs w:val="18"/>
              </w:rPr>
            </w:pPr>
            <w:r w:rsidRPr="005308A6">
              <w:rPr>
                <w:sz w:val="18"/>
                <w:szCs w:val="18"/>
              </w:rPr>
              <w:t>Oui (majeur) = 2</w:t>
            </w:r>
          </w:p>
          <w:p w14:paraId="099623F6" w14:textId="77777777" w:rsidR="009021F1" w:rsidRPr="005308A6" w:rsidRDefault="009021F1" w:rsidP="00E637E3">
            <w:pPr>
              <w:rPr>
                <w:sz w:val="18"/>
                <w:szCs w:val="18"/>
              </w:rPr>
            </w:pPr>
            <w:r w:rsidRPr="005308A6">
              <w:rPr>
                <w:sz w:val="18"/>
                <w:szCs w:val="18"/>
              </w:rPr>
              <w:t>Oui (mineur) = 1</w:t>
            </w:r>
          </w:p>
          <w:p w14:paraId="5FEE5B79" w14:textId="77777777" w:rsidR="009021F1" w:rsidRPr="005308A6" w:rsidRDefault="009021F1" w:rsidP="00E637E3">
            <w:pPr>
              <w:rPr>
                <w:sz w:val="18"/>
                <w:szCs w:val="18"/>
              </w:rPr>
            </w:pPr>
            <w:r w:rsidRPr="005308A6">
              <w:rPr>
                <w:sz w:val="18"/>
                <w:szCs w:val="18"/>
              </w:rPr>
              <w:t>Non = 0</w:t>
            </w:r>
          </w:p>
        </w:tc>
        <w:tc>
          <w:tcPr>
            <w:tcW w:w="526" w:type="pct"/>
          </w:tcPr>
          <w:p w14:paraId="56381942" w14:textId="77777777" w:rsidR="009021F1" w:rsidRPr="005308A6" w:rsidRDefault="009021F1" w:rsidP="00E637E3">
            <w:pPr>
              <w:rPr>
                <w:sz w:val="18"/>
                <w:szCs w:val="18"/>
              </w:rPr>
            </w:pPr>
          </w:p>
        </w:tc>
        <w:tc>
          <w:tcPr>
            <w:tcW w:w="775" w:type="pct"/>
          </w:tcPr>
          <w:p w14:paraId="412DCCD2" w14:textId="77777777" w:rsidR="009021F1" w:rsidRPr="005308A6" w:rsidRDefault="009021F1" w:rsidP="00E637E3">
            <w:pPr>
              <w:rPr>
                <w:sz w:val="16"/>
                <w:szCs w:val="16"/>
              </w:rPr>
            </w:pPr>
          </w:p>
        </w:tc>
      </w:tr>
      <w:tr w:rsidR="009021F1" w:rsidRPr="005308A6" w14:paraId="5B8B2A9B" w14:textId="77777777" w:rsidTr="00E637E3">
        <w:trPr>
          <w:cantSplit/>
          <w:trHeight w:val="228"/>
        </w:trPr>
        <w:tc>
          <w:tcPr>
            <w:tcW w:w="707" w:type="pct"/>
            <w:vMerge/>
            <w:shd w:val="clear" w:color="auto" w:fill="auto"/>
          </w:tcPr>
          <w:p w14:paraId="406148B8" w14:textId="77777777" w:rsidR="009021F1" w:rsidRPr="005308A6" w:rsidRDefault="009021F1" w:rsidP="00E637E3">
            <w:pPr>
              <w:rPr>
                <w:sz w:val="18"/>
                <w:szCs w:val="18"/>
              </w:rPr>
            </w:pPr>
          </w:p>
        </w:tc>
        <w:tc>
          <w:tcPr>
            <w:tcW w:w="1414" w:type="pct"/>
          </w:tcPr>
          <w:p w14:paraId="6F2F9175" w14:textId="77777777" w:rsidR="009021F1" w:rsidRPr="005308A6" w:rsidRDefault="009021F1" w:rsidP="00E637E3">
            <w:pPr>
              <w:rPr>
                <w:bCs/>
                <w:sz w:val="18"/>
                <w:szCs w:val="18"/>
              </w:rPr>
            </w:pPr>
            <w:r w:rsidRPr="005308A6">
              <w:rPr>
                <w:bCs/>
                <w:sz w:val="18"/>
                <w:szCs w:val="18"/>
              </w:rPr>
              <w:t>L’activité risque-t-elle d’entraîner une perturbation/dégradation des activités commerciales ?</w:t>
            </w:r>
          </w:p>
        </w:tc>
        <w:tc>
          <w:tcPr>
            <w:tcW w:w="789" w:type="pct"/>
            <w:vAlign w:val="center"/>
          </w:tcPr>
          <w:p w14:paraId="0EEC34CF" w14:textId="77777777" w:rsidR="009021F1" w:rsidRPr="005308A6" w:rsidRDefault="009021F1" w:rsidP="00E637E3">
            <w:pPr>
              <w:rPr>
                <w:sz w:val="18"/>
                <w:szCs w:val="18"/>
              </w:rPr>
            </w:pPr>
            <w:r w:rsidRPr="005308A6">
              <w:rPr>
                <w:sz w:val="18"/>
                <w:szCs w:val="18"/>
              </w:rPr>
              <w:t>Oui (majeur) = 2</w:t>
            </w:r>
          </w:p>
          <w:p w14:paraId="16B2B40E" w14:textId="77777777" w:rsidR="009021F1" w:rsidRPr="005308A6" w:rsidRDefault="009021F1" w:rsidP="00E637E3">
            <w:pPr>
              <w:rPr>
                <w:sz w:val="18"/>
                <w:szCs w:val="18"/>
              </w:rPr>
            </w:pPr>
            <w:r w:rsidRPr="005308A6">
              <w:rPr>
                <w:sz w:val="18"/>
                <w:szCs w:val="18"/>
              </w:rPr>
              <w:t>Oui (mineur) = 1</w:t>
            </w:r>
          </w:p>
          <w:p w14:paraId="60B2422B" w14:textId="77777777" w:rsidR="009021F1" w:rsidRPr="005308A6" w:rsidRDefault="009021F1" w:rsidP="00E637E3">
            <w:pPr>
              <w:rPr>
                <w:sz w:val="18"/>
                <w:szCs w:val="18"/>
              </w:rPr>
            </w:pPr>
            <w:r w:rsidRPr="005308A6">
              <w:rPr>
                <w:sz w:val="18"/>
                <w:szCs w:val="18"/>
              </w:rPr>
              <w:t>Non = 0</w:t>
            </w:r>
          </w:p>
        </w:tc>
        <w:tc>
          <w:tcPr>
            <w:tcW w:w="789" w:type="pct"/>
            <w:vAlign w:val="center"/>
          </w:tcPr>
          <w:p w14:paraId="31A15798" w14:textId="77777777" w:rsidR="009021F1" w:rsidRPr="005308A6" w:rsidRDefault="009021F1" w:rsidP="00E637E3">
            <w:pPr>
              <w:rPr>
                <w:sz w:val="18"/>
                <w:szCs w:val="18"/>
              </w:rPr>
            </w:pPr>
            <w:r w:rsidRPr="005308A6">
              <w:rPr>
                <w:sz w:val="18"/>
                <w:szCs w:val="18"/>
              </w:rPr>
              <w:t>Oui (majeur) = 2</w:t>
            </w:r>
          </w:p>
          <w:p w14:paraId="15AA323F" w14:textId="77777777" w:rsidR="009021F1" w:rsidRPr="005308A6" w:rsidRDefault="009021F1" w:rsidP="00E637E3">
            <w:pPr>
              <w:rPr>
                <w:sz w:val="18"/>
                <w:szCs w:val="18"/>
              </w:rPr>
            </w:pPr>
            <w:r w:rsidRPr="005308A6">
              <w:rPr>
                <w:sz w:val="18"/>
                <w:szCs w:val="18"/>
              </w:rPr>
              <w:t>Oui (mineur) = 1</w:t>
            </w:r>
          </w:p>
          <w:p w14:paraId="3D564E10" w14:textId="77777777" w:rsidR="009021F1" w:rsidRPr="005308A6" w:rsidRDefault="009021F1" w:rsidP="00E637E3">
            <w:pPr>
              <w:rPr>
                <w:sz w:val="18"/>
                <w:szCs w:val="18"/>
              </w:rPr>
            </w:pPr>
            <w:r w:rsidRPr="005308A6">
              <w:rPr>
                <w:sz w:val="18"/>
                <w:szCs w:val="18"/>
              </w:rPr>
              <w:t>Non = 0</w:t>
            </w:r>
          </w:p>
        </w:tc>
        <w:tc>
          <w:tcPr>
            <w:tcW w:w="526" w:type="pct"/>
          </w:tcPr>
          <w:p w14:paraId="32FD97FA" w14:textId="77777777" w:rsidR="009021F1" w:rsidRPr="005308A6" w:rsidRDefault="009021F1" w:rsidP="00E637E3">
            <w:pPr>
              <w:rPr>
                <w:sz w:val="18"/>
                <w:szCs w:val="18"/>
              </w:rPr>
            </w:pPr>
          </w:p>
        </w:tc>
        <w:tc>
          <w:tcPr>
            <w:tcW w:w="775" w:type="pct"/>
          </w:tcPr>
          <w:p w14:paraId="45BC1555" w14:textId="77777777" w:rsidR="009021F1" w:rsidRPr="005308A6" w:rsidRDefault="009021F1" w:rsidP="00E637E3">
            <w:pPr>
              <w:rPr>
                <w:sz w:val="16"/>
                <w:szCs w:val="16"/>
              </w:rPr>
            </w:pPr>
          </w:p>
        </w:tc>
      </w:tr>
      <w:tr w:rsidR="009021F1" w:rsidRPr="005308A6" w14:paraId="3DC1CCB3" w14:textId="77777777" w:rsidTr="00E637E3">
        <w:trPr>
          <w:cantSplit/>
          <w:trHeight w:val="228"/>
        </w:trPr>
        <w:tc>
          <w:tcPr>
            <w:tcW w:w="707" w:type="pct"/>
            <w:vMerge/>
            <w:shd w:val="clear" w:color="auto" w:fill="auto"/>
          </w:tcPr>
          <w:p w14:paraId="04EE5627" w14:textId="77777777" w:rsidR="009021F1" w:rsidRPr="005308A6" w:rsidRDefault="009021F1" w:rsidP="00E637E3">
            <w:pPr>
              <w:rPr>
                <w:sz w:val="18"/>
                <w:szCs w:val="18"/>
              </w:rPr>
            </w:pPr>
          </w:p>
        </w:tc>
        <w:tc>
          <w:tcPr>
            <w:tcW w:w="1414" w:type="pct"/>
          </w:tcPr>
          <w:p w14:paraId="466BC17A" w14:textId="77777777" w:rsidR="009021F1" w:rsidRPr="005308A6" w:rsidRDefault="009021F1" w:rsidP="00E637E3">
            <w:pPr>
              <w:rPr>
                <w:bCs/>
                <w:sz w:val="18"/>
                <w:szCs w:val="18"/>
              </w:rPr>
            </w:pPr>
            <w:r>
              <w:rPr>
                <w:bCs/>
                <w:sz w:val="18"/>
                <w:szCs w:val="18"/>
              </w:rPr>
              <w:t>L’activité risque-t-elle d’affecter les populations autochtones ?</w:t>
            </w:r>
          </w:p>
        </w:tc>
        <w:tc>
          <w:tcPr>
            <w:tcW w:w="789" w:type="pct"/>
            <w:vAlign w:val="center"/>
          </w:tcPr>
          <w:p w14:paraId="2EEA3EB6" w14:textId="77777777" w:rsidR="009021F1" w:rsidRPr="005308A6" w:rsidRDefault="009021F1" w:rsidP="00E637E3">
            <w:pPr>
              <w:rPr>
                <w:sz w:val="18"/>
                <w:szCs w:val="18"/>
              </w:rPr>
            </w:pPr>
            <w:r w:rsidRPr="005308A6">
              <w:rPr>
                <w:sz w:val="18"/>
                <w:szCs w:val="18"/>
              </w:rPr>
              <w:t>Oui (majeur) = 2</w:t>
            </w:r>
          </w:p>
          <w:p w14:paraId="6B749A57" w14:textId="77777777" w:rsidR="009021F1" w:rsidRPr="005308A6" w:rsidRDefault="009021F1" w:rsidP="00E637E3">
            <w:pPr>
              <w:rPr>
                <w:sz w:val="18"/>
                <w:szCs w:val="18"/>
              </w:rPr>
            </w:pPr>
            <w:r w:rsidRPr="005308A6">
              <w:rPr>
                <w:sz w:val="18"/>
                <w:szCs w:val="18"/>
              </w:rPr>
              <w:t>Oui (mineur) = 1</w:t>
            </w:r>
          </w:p>
          <w:p w14:paraId="7351EDB8" w14:textId="77777777" w:rsidR="009021F1" w:rsidRPr="005308A6" w:rsidRDefault="009021F1" w:rsidP="00E637E3">
            <w:pPr>
              <w:rPr>
                <w:sz w:val="18"/>
                <w:szCs w:val="18"/>
              </w:rPr>
            </w:pPr>
            <w:r w:rsidRPr="005308A6">
              <w:rPr>
                <w:sz w:val="18"/>
                <w:szCs w:val="18"/>
              </w:rPr>
              <w:t>Non = 0</w:t>
            </w:r>
          </w:p>
        </w:tc>
        <w:tc>
          <w:tcPr>
            <w:tcW w:w="789" w:type="pct"/>
            <w:vAlign w:val="center"/>
          </w:tcPr>
          <w:p w14:paraId="29199E43" w14:textId="77777777" w:rsidR="009021F1" w:rsidRPr="005308A6" w:rsidRDefault="009021F1" w:rsidP="00E637E3">
            <w:pPr>
              <w:rPr>
                <w:sz w:val="18"/>
                <w:szCs w:val="18"/>
              </w:rPr>
            </w:pPr>
            <w:r w:rsidRPr="005308A6">
              <w:rPr>
                <w:sz w:val="18"/>
                <w:szCs w:val="18"/>
              </w:rPr>
              <w:t>Oui (majeur) = 2</w:t>
            </w:r>
          </w:p>
          <w:p w14:paraId="56D931E7" w14:textId="77777777" w:rsidR="009021F1" w:rsidRPr="005308A6" w:rsidRDefault="009021F1" w:rsidP="00E637E3">
            <w:pPr>
              <w:rPr>
                <w:sz w:val="18"/>
                <w:szCs w:val="18"/>
              </w:rPr>
            </w:pPr>
            <w:r w:rsidRPr="005308A6">
              <w:rPr>
                <w:sz w:val="18"/>
                <w:szCs w:val="18"/>
              </w:rPr>
              <w:t>Oui (mineur) = 1</w:t>
            </w:r>
          </w:p>
          <w:p w14:paraId="655C4248" w14:textId="77777777" w:rsidR="009021F1" w:rsidRPr="005308A6" w:rsidRDefault="009021F1" w:rsidP="00E637E3">
            <w:pPr>
              <w:rPr>
                <w:sz w:val="18"/>
                <w:szCs w:val="18"/>
              </w:rPr>
            </w:pPr>
            <w:r w:rsidRPr="005308A6">
              <w:rPr>
                <w:sz w:val="18"/>
                <w:szCs w:val="18"/>
              </w:rPr>
              <w:t>Non = 0</w:t>
            </w:r>
          </w:p>
        </w:tc>
        <w:tc>
          <w:tcPr>
            <w:tcW w:w="526" w:type="pct"/>
          </w:tcPr>
          <w:p w14:paraId="1F67BC6B" w14:textId="77777777" w:rsidR="009021F1" w:rsidRPr="005308A6" w:rsidRDefault="009021F1" w:rsidP="00E637E3">
            <w:pPr>
              <w:rPr>
                <w:sz w:val="18"/>
                <w:szCs w:val="18"/>
              </w:rPr>
            </w:pPr>
          </w:p>
        </w:tc>
        <w:tc>
          <w:tcPr>
            <w:tcW w:w="775" w:type="pct"/>
          </w:tcPr>
          <w:p w14:paraId="69B41CCD" w14:textId="77777777" w:rsidR="009021F1" w:rsidRPr="005308A6" w:rsidRDefault="009021F1" w:rsidP="00E637E3">
            <w:pPr>
              <w:rPr>
                <w:sz w:val="16"/>
                <w:szCs w:val="16"/>
              </w:rPr>
            </w:pPr>
          </w:p>
        </w:tc>
      </w:tr>
      <w:tr w:rsidR="009021F1" w:rsidRPr="005308A6" w14:paraId="1090EE8D" w14:textId="77777777" w:rsidTr="00E637E3">
        <w:trPr>
          <w:trHeight w:val="586"/>
        </w:trPr>
        <w:tc>
          <w:tcPr>
            <w:tcW w:w="707" w:type="pct"/>
          </w:tcPr>
          <w:p w14:paraId="4ED6BBE7" w14:textId="77777777" w:rsidR="009021F1" w:rsidRPr="005308A6" w:rsidRDefault="009021F1" w:rsidP="00E637E3">
            <w:pPr>
              <w:rPr>
                <w:b/>
                <w:bCs/>
                <w:sz w:val="18"/>
                <w:szCs w:val="18"/>
              </w:rPr>
            </w:pPr>
            <w:r w:rsidRPr="005308A6">
              <w:rPr>
                <w:b/>
                <w:bCs/>
                <w:sz w:val="18"/>
                <w:szCs w:val="18"/>
              </w:rPr>
              <w:t>Equipements socioéducatifs et sanitaires</w:t>
            </w:r>
          </w:p>
        </w:tc>
        <w:tc>
          <w:tcPr>
            <w:tcW w:w="1414" w:type="pct"/>
            <w:vAlign w:val="bottom"/>
          </w:tcPr>
          <w:p w14:paraId="1EF374B2" w14:textId="77777777" w:rsidR="009021F1" w:rsidRPr="005308A6" w:rsidRDefault="009021F1" w:rsidP="00E637E3">
            <w:pPr>
              <w:rPr>
                <w:bCs/>
                <w:sz w:val="18"/>
                <w:szCs w:val="18"/>
              </w:rPr>
            </w:pPr>
            <w:r w:rsidRPr="005308A6">
              <w:rPr>
                <w:bCs/>
                <w:sz w:val="18"/>
                <w:szCs w:val="18"/>
              </w:rPr>
              <w:t>L’activité peut-elle affecter négativement le fonctionnement des infrastructures socioéducatives et sanitaires environnantes ?</w:t>
            </w:r>
            <w:r w:rsidRPr="005308A6">
              <w:rPr>
                <w:sz w:val="18"/>
                <w:szCs w:val="18"/>
              </w:rPr>
              <w:t xml:space="preserve"> </w:t>
            </w:r>
            <w:r w:rsidRPr="005308A6">
              <w:rPr>
                <w:bCs/>
                <w:sz w:val="18"/>
                <w:szCs w:val="18"/>
              </w:rPr>
              <w:t>Distance &lt; 250 m</w:t>
            </w:r>
          </w:p>
          <w:p w14:paraId="7CD09A17" w14:textId="77777777" w:rsidR="009021F1" w:rsidRPr="005308A6" w:rsidRDefault="009021F1" w:rsidP="00E637E3">
            <w:pPr>
              <w:rPr>
                <w:bCs/>
                <w:sz w:val="18"/>
                <w:szCs w:val="18"/>
              </w:rPr>
            </w:pPr>
          </w:p>
        </w:tc>
        <w:tc>
          <w:tcPr>
            <w:tcW w:w="789" w:type="pct"/>
            <w:vAlign w:val="center"/>
          </w:tcPr>
          <w:p w14:paraId="69B464DB" w14:textId="77777777" w:rsidR="009021F1" w:rsidRPr="005308A6" w:rsidRDefault="009021F1" w:rsidP="00E637E3">
            <w:pPr>
              <w:rPr>
                <w:sz w:val="18"/>
                <w:szCs w:val="18"/>
              </w:rPr>
            </w:pPr>
            <w:r w:rsidRPr="005308A6">
              <w:rPr>
                <w:sz w:val="18"/>
                <w:szCs w:val="18"/>
              </w:rPr>
              <w:t>Oui (majeur) = 2</w:t>
            </w:r>
          </w:p>
          <w:p w14:paraId="488E132E" w14:textId="77777777" w:rsidR="009021F1" w:rsidRPr="005308A6" w:rsidRDefault="009021F1" w:rsidP="00E637E3">
            <w:pPr>
              <w:rPr>
                <w:sz w:val="18"/>
                <w:szCs w:val="18"/>
              </w:rPr>
            </w:pPr>
            <w:r w:rsidRPr="005308A6">
              <w:rPr>
                <w:sz w:val="18"/>
                <w:szCs w:val="18"/>
              </w:rPr>
              <w:t>Oui (mineur) = 1</w:t>
            </w:r>
          </w:p>
          <w:p w14:paraId="0D829B97" w14:textId="77777777" w:rsidR="009021F1" w:rsidRPr="005308A6" w:rsidRDefault="009021F1" w:rsidP="00E637E3">
            <w:pPr>
              <w:rPr>
                <w:sz w:val="18"/>
                <w:szCs w:val="18"/>
              </w:rPr>
            </w:pPr>
            <w:r w:rsidRPr="005308A6">
              <w:rPr>
                <w:sz w:val="18"/>
                <w:szCs w:val="18"/>
              </w:rPr>
              <w:t>Non = 0</w:t>
            </w:r>
          </w:p>
        </w:tc>
        <w:tc>
          <w:tcPr>
            <w:tcW w:w="789" w:type="pct"/>
            <w:vAlign w:val="center"/>
          </w:tcPr>
          <w:p w14:paraId="66979518" w14:textId="77777777" w:rsidR="009021F1" w:rsidRPr="005308A6" w:rsidRDefault="009021F1" w:rsidP="00E637E3">
            <w:pPr>
              <w:rPr>
                <w:sz w:val="18"/>
                <w:szCs w:val="18"/>
              </w:rPr>
            </w:pPr>
            <w:r w:rsidRPr="005308A6">
              <w:rPr>
                <w:sz w:val="18"/>
                <w:szCs w:val="18"/>
              </w:rPr>
              <w:t>Oui (majeur) = 2</w:t>
            </w:r>
          </w:p>
          <w:p w14:paraId="603F9E1F" w14:textId="77777777" w:rsidR="009021F1" w:rsidRPr="005308A6" w:rsidRDefault="009021F1" w:rsidP="00E637E3">
            <w:pPr>
              <w:rPr>
                <w:sz w:val="18"/>
                <w:szCs w:val="18"/>
              </w:rPr>
            </w:pPr>
            <w:r w:rsidRPr="005308A6">
              <w:rPr>
                <w:sz w:val="18"/>
                <w:szCs w:val="18"/>
              </w:rPr>
              <w:t>Oui (mineur) = 1</w:t>
            </w:r>
          </w:p>
          <w:p w14:paraId="03A1F464" w14:textId="77777777" w:rsidR="009021F1" w:rsidRPr="005308A6" w:rsidRDefault="009021F1" w:rsidP="00E637E3">
            <w:pPr>
              <w:rPr>
                <w:sz w:val="18"/>
                <w:szCs w:val="18"/>
              </w:rPr>
            </w:pPr>
            <w:r w:rsidRPr="005308A6">
              <w:rPr>
                <w:sz w:val="18"/>
                <w:szCs w:val="18"/>
              </w:rPr>
              <w:t>Non = 0</w:t>
            </w:r>
          </w:p>
        </w:tc>
        <w:tc>
          <w:tcPr>
            <w:tcW w:w="526" w:type="pct"/>
          </w:tcPr>
          <w:p w14:paraId="77294DBB" w14:textId="77777777" w:rsidR="009021F1" w:rsidRPr="005308A6" w:rsidRDefault="009021F1" w:rsidP="00E637E3">
            <w:pPr>
              <w:rPr>
                <w:sz w:val="18"/>
                <w:szCs w:val="18"/>
              </w:rPr>
            </w:pPr>
          </w:p>
        </w:tc>
        <w:tc>
          <w:tcPr>
            <w:tcW w:w="775" w:type="pct"/>
          </w:tcPr>
          <w:p w14:paraId="069801FD" w14:textId="77777777" w:rsidR="009021F1" w:rsidRPr="005308A6" w:rsidRDefault="009021F1" w:rsidP="00E637E3">
            <w:pPr>
              <w:rPr>
                <w:sz w:val="16"/>
                <w:szCs w:val="16"/>
              </w:rPr>
            </w:pPr>
          </w:p>
        </w:tc>
      </w:tr>
      <w:tr w:rsidR="009021F1" w:rsidRPr="005308A6" w14:paraId="7CDA437F" w14:textId="77777777" w:rsidTr="00E637E3">
        <w:trPr>
          <w:trHeight w:val="536"/>
        </w:trPr>
        <w:tc>
          <w:tcPr>
            <w:tcW w:w="707" w:type="pct"/>
          </w:tcPr>
          <w:p w14:paraId="231C4E12" w14:textId="77777777" w:rsidR="009021F1" w:rsidRPr="005308A6" w:rsidRDefault="009021F1" w:rsidP="00E637E3">
            <w:pPr>
              <w:rPr>
                <w:b/>
                <w:bCs/>
                <w:sz w:val="18"/>
                <w:szCs w:val="18"/>
              </w:rPr>
            </w:pPr>
            <w:r w:rsidRPr="005308A6">
              <w:rPr>
                <w:b/>
                <w:bCs/>
                <w:sz w:val="18"/>
                <w:szCs w:val="18"/>
              </w:rPr>
              <w:t>Patrimoine culturel</w:t>
            </w:r>
          </w:p>
        </w:tc>
        <w:tc>
          <w:tcPr>
            <w:tcW w:w="1414" w:type="pct"/>
            <w:vAlign w:val="bottom"/>
          </w:tcPr>
          <w:p w14:paraId="0FEBE0E2" w14:textId="77777777" w:rsidR="009021F1" w:rsidRPr="005308A6" w:rsidRDefault="009021F1" w:rsidP="00E637E3">
            <w:pPr>
              <w:rPr>
                <w:bCs/>
                <w:sz w:val="18"/>
                <w:szCs w:val="18"/>
              </w:rPr>
            </w:pPr>
            <w:r w:rsidRPr="005308A6">
              <w:rPr>
                <w:bCs/>
                <w:sz w:val="18"/>
                <w:szCs w:val="18"/>
              </w:rPr>
              <w:t>L’activité risque-t-elle d’affecter des sites d’importance culturelle, archéologique ou historique ?</w:t>
            </w:r>
          </w:p>
          <w:p w14:paraId="671EF77F" w14:textId="77777777" w:rsidR="009021F1" w:rsidRPr="005308A6" w:rsidRDefault="009021F1" w:rsidP="00E637E3">
            <w:pPr>
              <w:rPr>
                <w:bCs/>
                <w:sz w:val="18"/>
                <w:szCs w:val="18"/>
              </w:rPr>
            </w:pPr>
          </w:p>
        </w:tc>
        <w:tc>
          <w:tcPr>
            <w:tcW w:w="789" w:type="pct"/>
            <w:vAlign w:val="center"/>
          </w:tcPr>
          <w:p w14:paraId="2A09A239" w14:textId="77777777" w:rsidR="009021F1" w:rsidRPr="005308A6" w:rsidRDefault="009021F1" w:rsidP="00E637E3">
            <w:pPr>
              <w:rPr>
                <w:sz w:val="18"/>
                <w:szCs w:val="18"/>
              </w:rPr>
            </w:pPr>
            <w:r w:rsidRPr="005308A6">
              <w:rPr>
                <w:sz w:val="18"/>
                <w:szCs w:val="18"/>
              </w:rPr>
              <w:t>Oui (majeur) = 2</w:t>
            </w:r>
          </w:p>
          <w:p w14:paraId="4EA12B70" w14:textId="77777777" w:rsidR="009021F1" w:rsidRPr="005308A6" w:rsidRDefault="009021F1" w:rsidP="00E637E3">
            <w:pPr>
              <w:rPr>
                <w:sz w:val="18"/>
                <w:szCs w:val="18"/>
              </w:rPr>
            </w:pPr>
            <w:r w:rsidRPr="005308A6">
              <w:rPr>
                <w:sz w:val="18"/>
                <w:szCs w:val="18"/>
              </w:rPr>
              <w:t>Oui (mineur) = 1</w:t>
            </w:r>
          </w:p>
          <w:p w14:paraId="180C5383" w14:textId="77777777" w:rsidR="009021F1" w:rsidRPr="005308A6" w:rsidRDefault="009021F1" w:rsidP="00E637E3">
            <w:pPr>
              <w:rPr>
                <w:sz w:val="18"/>
                <w:szCs w:val="18"/>
              </w:rPr>
            </w:pPr>
            <w:r w:rsidRPr="005308A6">
              <w:rPr>
                <w:sz w:val="18"/>
                <w:szCs w:val="18"/>
              </w:rPr>
              <w:t>Non = 0</w:t>
            </w:r>
          </w:p>
        </w:tc>
        <w:tc>
          <w:tcPr>
            <w:tcW w:w="789" w:type="pct"/>
            <w:vAlign w:val="center"/>
          </w:tcPr>
          <w:p w14:paraId="2BEC8AAE" w14:textId="77777777" w:rsidR="009021F1" w:rsidRPr="005308A6" w:rsidRDefault="009021F1" w:rsidP="00E637E3">
            <w:pPr>
              <w:rPr>
                <w:sz w:val="18"/>
                <w:szCs w:val="18"/>
              </w:rPr>
            </w:pPr>
            <w:r w:rsidRPr="005308A6">
              <w:rPr>
                <w:sz w:val="18"/>
                <w:szCs w:val="18"/>
              </w:rPr>
              <w:t>Oui (majeur) = 2</w:t>
            </w:r>
          </w:p>
          <w:p w14:paraId="2C90F0A1" w14:textId="77777777" w:rsidR="009021F1" w:rsidRPr="005308A6" w:rsidRDefault="009021F1" w:rsidP="00E637E3">
            <w:pPr>
              <w:rPr>
                <w:sz w:val="18"/>
                <w:szCs w:val="18"/>
              </w:rPr>
            </w:pPr>
            <w:r w:rsidRPr="005308A6">
              <w:rPr>
                <w:sz w:val="18"/>
                <w:szCs w:val="18"/>
              </w:rPr>
              <w:t>Oui (mineur) = 1</w:t>
            </w:r>
          </w:p>
          <w:p w14:paraId="4F6C2BE6" w14:textId="77777777" w:rsidR="009021F1" w:rsidRPr="005308A6" w:rsidRDefault="009021F1" w:rsidP="00E637E3">
            <w:pPr>
              <w:rPr>
                <w:sz w:val="18"/>
                <w:szCs w:val="18"/>
              </w:rPr>
            </w:pPr>
            <w:r w:rsidRPr="005308A6">
              <w:rPr>
                <w:sz w:val="18"/>
                <w:szCs w:val="18"/>
              </w:rPr>
              <w:t>Non = 0</w:t>
            </w:r>
          </w:p>
        </w:tc>
        <w:tc>
          <w:tcPr>
            <w:tcW w:w="526" w:type="pct"/>
          </w:tcPr>
          <w:p w14:paraId="03DD077A" w14:textId="77777777" w:rsidR="009021F1" w:rsidRPr="005308A6" w:rsidRDefault="009021F1" w:rsidP="00E637E3">
            <w:pPr>
              <w:rPr>
                <w:sz w:val="18"/>
                <w:szCs w:val="18"/>
              </w:rPr>
            </w:pPr>
          </w:p>
        </w:tc>
        <w:tc>
          <w:tcPr>
            <w:tcW w:w="775" w:type="pct"/>
          </w:tcPr>
          <w:p w14:paraId="51747C88" w14:textId="77777777" w:rsidR="009021F1" w:rsidRPr="005308A6" w:rsidRDefault="009021F1" w:rsidP="00E637E3">
            <w:pPr>
              <w:rPr>
                <w:sz w:val="16"/>
                <w:szCs w:val="16"/>
              </w:rPr>
            </w:pPr>
          </w:p>
        </w:tc>
      </w:tr>
      <w:tr w:rsidR="009021F1" w:rsidRPr="005308A6" w14:paraId="0144B06C" w14:textId="77777777" w:rsidTr="00E637E3">
        <w:trPr>
          <w:trHeight w:val="222"/>
        </w:trPr>
        <w:tc>
          <w:tcPr>
            <w:tcW w:w="707" w:type="pct"/>
          </w:tcPr>
          <w:p w14:paraId="5C5C5406" w14:textId="77777777" w:rsidR="009021F1" w:rsidRPr="005308A6" w:rsidRDefault="009021F1" w:rsidP="00E637E3">
            <w:pPr>
              <w:rPr>
                <w:b/>
                <w:bCs/>
                <w:sz w:val="18"/>
                <w:szCs w:val="18"/>
              </w:rPr>
            </w:pPr>
            <w:r w:rsidRPr="005308A6">
              <w:rPr>
                <w:b/>
                <w:bCs/>
                <w:sz w:val="18"/>
                <w:szCs w:val="18"/>
              </w:rPr>
              <w:t>TOTAL</w:t>
            </w:r>
          </w:p>
        </w:tc>
        <w:tc>
          <w:tcPr>
            <w:tcW w:w="1414" w:type="pct"/>
            <w:vAlign w:val="bottom"/>
          </w:tcPr>
          <w:p w14:paraId="5D1051CE" w14:textId="77777777" w:rsidR="009021F1" w:rsidRPr="005308A6" w:rsidRDefault="009021F1" w:rsidP="00E637E3">
            <w:pPr>
              <w:rPr>
                <w:bCs/>
                <w:sz w:val="18"/>
                <w:szCs w:val="18"/>
              </w:rPr>
            </w:pPr>
          </w:p>
        </w:tc>
        <w:tc>
          <w:tcPr>
            <w:tcW w:w="789" w:type="pct"/>
          </w:tcPr>
          <w:p w14:paraId="561F2DB1" w14:textId="77777777" w:rsidR="009021F1" w:rsidRPr="005308A6" w:rsidRDefault="009021F1" w:rsidP="00E637E3">
            <w:pPr>
              <w:rPr>
                <w:sz w:val="18"/>
                <w:szCs w:val="18"/>
              </w:rPr>
            </w:pPr>
          </w:p>
        </w:tc>
        <w:tc>
          <w:tcPr>
            <w:tcW w:w="789" w:type="pct"/>
          </w:tcPr>
          <w:p w14:paraId="0528C1AF" w14:textId="77777777" w:rsidR="009021F1" w:rsidRPr="005308A6" w:rsidRDefault="009021F1" w:rsidP="00E637E3">
            <w:pPr>
              <w:rPr>
                <w:sz w:val="18"/>
                <w:szCs w:val="18"/>
              </w:rPr>
            </w:pPr>
          </w:p>
        </w:tc>
        <w:tc>
          <w:tcPr>
            <w:tcW w:w="526" w:type="pct"/>
          </w:tcPr>
          <w:p w14:paraId="079B1D03" w14:textId="77777777" w:rsidR="009021F1" w:rsidRPr="005308A6" w:rsidRDefault="009021F1" w:rsidP="00E637E3">
            <w:pPr>
              <w:rPr>
                <w:b/>
                <w:sz w:val="18"/>
                <w:szCs w:val="18"/>
              </w:rPr>
            </w:pPr>
          </w:p>
        </w:tc>
        <w:tc>
          <w:tcPr>
            <w:tcW w:w="775" w:type="pct"/>
          </w:tcPr>
          <w:p w14:paraId="64B4A5AC" w14:textId="77777777" w:rsidR="009021F1" w:rsidRPr="005308A6" w:rsidRDefault="009021F1" w:rsidP="00E637E3">
            <w:pPr>
              <w:rPr>
                <w:b/>
                <w:sz w:val="16"/>
                <w:szCs w:val="16"/>
              </w:rPr>
            </w:pPr>
          </w:p>
        </w:tc>
      </w:tr>
    </w:tbl>
    <w:p w14:paraId="4330D927" w14:textId="77777777" w:rsidR="009021F1" w:rsidRPr="005308A6" w:rsidRDefault="009021F1" w:rsidP="009021F1"/>
    <w:p w14:paraId="440796AB" w14:textId="77777777" w:rsidR="009021F1" w:rsidRPr="005308A6" w:rsidRDefault="009021F1" w:rsidP="009021F1">
      <w:pPr>
        <w:numPr>
          <w:ilvl w:val="0"/>
          <w:numId w:val="57"/>
        </w:numPr>
        <w:spacing w:line="240" w:lineRule="auto"/>
        <w:rPr>
          <w:b/>
        </w:rPr>
      </w:pPr>
      <w:r w:rsidRPr="005308A6">
        <w:rPr>
          <w:b/>
        </w:rPr>
        <w:t>Classification du sous-projet</w:t>
      </w:r>
    </w:p>
    <w:p w14:paraId="722BF9D5" w14:textId="77777777" w:rsidR="009021F1" w:rsidRPr="005308A6" w:rsidRDefault="009021F1" w:rsidP="009021F1">
      <w:pPr>
        <w:ind w:left="720"/>
        <w:rPr>
          <w:b/>
        </w:rPr>
      </w:pPr>
    </w:p>
    <w:tbl>
      <w:tblPr>
        <w:tblW w:w="53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9"/>
        <w:gridCol w:w="1977"/>
        <w:gridCol w:w="3132"/>
        <w:gridCol w:w="2896"/>
      </w:tblGrid>
      <w:tr w:rsidR="009021F1" w:rsidRPr="005308A6" w14:paraId="6EA6049C" w14:textId="77777777" w:rsidTr="00E637E3">
        <w:trPr>
          <w:cantSplit/>
          <w:trHeight w:val="416"/>
        </w:trPr>
        <w:tc>
          <w:tcPr>
            <w:tcW w:w="854" w:type="pct"/>
            <w:vMerge w:val="restart"/>
          </w:tcPr>
          <w:p w14:paraId="1C1C46CF" w14:textId="77777777" w:rsidR="009021F1" w:rsidRPr="005308A6" w:rsidRDefault="009021F1" w:rsidP="00E637E3">
            <w:pPr>
              <w:rPr>
                <w:b/>
                <w:bCs/>
                <w:sz w:val="18"/>
                <w:szCs w:val="18"/>
              </w:rPr>
            </w:pPr>
            <w:r w:rsidRPr="005308A6">
              <w:rPr>
                <w:b/>
                <w:bCs/>
                <w:sz w:val="18"/>
                <w:szCs w:val="18"/>
              </w:rPr>
              <w:t>Appréciation du risque du sous-projet</w:t>
            </w:r>
          </w:p>
        </w:tc>
        <w:tc>
          <w:tcPr>
            <w:tcW w:w="1024" w:type="pct"/>
          </w:tcPr>
          <w:p w14:paraId="03D5325E" w14:textId="77777777" w:rsidR="009021F1" w:rsidRPr="005308A6" w:rsidRDefault="009021F1" w:rsidP="00E637E3">
            <w:pPr>
              <w:rPr>
                <w:b/>
                <w:bCs/>
                <w:sz w:val="18"/>
                <w:szCs w:val="18"/>
              </w:rPr>
            </w:pPr>
            <w:r w:rsidRPr="005308A6">
              <w:rPr>
                <w:b/>
                <w:bCs/>
                <w:sz w:val="18"/>
                <w:szCs w:val="18"/>
              </w:rPr>
              <w:t>Valeurs de RN</w:t>
            </w:r>
          </w:p>
        </w:tc>
        <w:tc>
          <w:tcPr>
            <w:tcW w:w="1622" w:type="pct"/>
            <w:shd w:val="clear" w:color="auto" w:fill="auto"/>
          </w:tcPr>
          <w:p w14:paraId="24F9F859" w14:textId="77777777" w:rsidR="009021F1" w:rsidRPr="00983134" w:rsidRDefault="009021F1" w:rsidP="00E637E3">
            <w:pPr>
              <w:rPr>
                <w:b/>
                <w:bCs/>
                <w:sz w:val="18"/>
                <w:szCs w:val="18"/>
              </w:rPr>
            </w:pPr>
            <w:r w:rsidRPr="005308A6">
              <w:rPr>
                <w:b/>
                <w:bCs/>
                <w:sz w:val="18"/>
                <w:szCs w:val="18"/>
              </w:rPr>
              <w:t>Types d’ét</w:t>
            </w:r>
            <w:r>
              <w:rPr>
                <w:b/>
                <w:bCs/>
                <w:sz w:val="18"/>
                <w:szCs w:val="18"/>
              </w:rPr>
              <w:t>ude environnementale à réaliser</w:t>
            </w:r>
          </w:p>
        </w:tc>
        <w:tc>
          <w:tcPr>
            <w:tcW w:w="1500" w:type="pct"/>
            <w:shd w:val="clear" w:color="auto" w:fill="auto"/>
          </w:tcPr>
          <w:p w14:paraId="24B92AA7" w14:textId="77777777" w:rsidR="009021F1" w:rsidRPr="005308A6" w:rsidRDefault="009021F1" w:rsidP="00E637E3">
            <w:pPr>
              <w:rPr>
                <w:b/>
                <w:bCs/>
                <w:sz w:val="18"/>
                <w:szCs w:val="18"/>
              </w:rPr>
            </w:pPr>
            <w:r w:rsidRPr="005308A6">
              <w:rPr>
                <w:b/>
                <w:bCs/>
                <w:sz w:val="18"/>
                <w:szCs w:val="18"/>
              </w:rPr>
              <w:t>Niveau de risque  selon le nouveau CES</w:t>
            </w:r>
          </w:p>
        </w:tc>
      </w:tr>
      <w:tr w:rsidR="009021F1" w:rsidRPr="005308A6" w14:paraId="5F0DD1C7" w14:textId="77777777" w:rsidTr="00E637E3">
        <w:trPr>
          <w:cantSplit/>
          <w:trHeight w:val="225"/>
        </w:trPr>
        <w:tc>
          <w:tcPr>
            <w:tcW w:w="854" w:type="pct"/>
            <w:vMerge/>
          </w:tcPr>
          <w:p w14:paraId="720BBA7F" w14:textId="77777777" w:rsidR="009021F1" w:rsidRPr="005308A6" w:rsidRDefault="009021F1" w:rsidP="00E637E3">
            <w:pPr>
              <w:rPr>
                <w:b/>
                <w:bCs/>
                <w:sz w:val="18"/>
                <w:szCs w:val="18"/>
              </w:rPr>
            </w:pPr>
          </w:p>
        </w:tc>
        <w:tc>
          <w:tcPr>
            <w:tcW w:w="1024" w:type="pct"/>
          </w:tcPr>
          <w:p w14:paraId="46FE94A5" w14:textId="77777777" w:rsidR="009021F1" w:rsidRPr="005308A6" w:rsidRDefault="009021F1" w:rsidP="00E637E3">
            <w:pPr>
              <w:rPr>
                <w:bCs/>
                <w:sz w:val="18"/>
                <w:szCs w:val="18"/>
              </w:rPr>
            </w:pPr>
            <w:r w:rsidRPr="005308A6">
              <w:rPr>
                <w:bCs/>
                <w:sz w:val="18"/>
                <w:szCs w:val="18"/>
              </w:rPr>
              <w:t>0 &lt;= RN &lt; = 30 points</w:t>
            </w:r>
          </w:p>
        </w:tc>
        <w:tc>
          <w:tcPr>
            <w:tcW w:w="1622" w:type="pct"/>
            <w:shd w:val="clear" w:color="auto" w:fill="auto"/>
          </w:tcPr>
          <w:p w14:paraId="2F99572F" w14:textId="77777777" w:rsidR="009021F1" w:rsidRPr="005308A6" w:rsidRDefault="009021F1" w:rsidP="00E637E3">
            <w:pPr>
              <w:rPr>
                <w:bCs/>
                <w:sz w:val="18"/>
                <w:szCs w:val="18"/>
              </w:rPr>
            </w:pPr>
            <w:r>
              <w:rPr>
                <w:bCs/>
                <w:sz w:val="18"/>
                <w:szCs w:val="18"/>
              </w:rPr>
              <w:t xml:space="preserve">Aucune étude demandée </w:t>
            </w:r>
          </w:p>
        </w:tc>
        <w:tc>
          <w:tcPr>
            <w:tcW w:w="1500" w:type="pct"/>
            <w:shd w:val="clear" w:color="auto" w:fill="auto"/>
          </w:tcPr>
          <w:p w14:paraId="28B2665D" w14:textId="77777777" w:rsidR="009021F1" w:rsidRPr="005308A6" w:rsidRDefault="009021F1" w:rsidP="00E637E3">
            <w:pPr>
              <w:rPr>
                <w:b/>
                <w:bCs/>
                <w:i/>
                <w:sz w:val="18"/>
                <w:szCs w:val="18"/>
              </w:rPr>
            </w:pPr>
            <w:r w:rsidRPr="005308A6">
              <w:rPr>
                <w:b/>
                <w:bCs/>
                <w:i/>
                <w:sz w:val="18"/>
                <w:szCs w:val="18"/>
              </w:rPr>
              <w:t>Faible</w:t>
            </w:r>
          </w:p>
        </w:tc>
      </w:tr>
      <w:tr w:rsidR="009021F1" w:rsidRPr="005308A6" w14:paraId="271DB16E" w14:textId="77777777" w:rsidTr="00E637E3">
        <w:trPr>
          <w:cantSplit/>
          <w:trHeight w:val="460"/>
        </w:trPr>
        <w:tc>
          <w:tcPr>
            <w:tcW w:w="854" w:type="pct"/>
            <w:vMerge/>
          </w:tcPr>
          <w:p w14:paraId="3035B0E3" w14:textId="77777777" w:rsidR="009021F1" w:rsidRPr="005308A6" w:rsidRDefault="009021F1" w:rsidP="00E637E3">
            <w:pPr>
              <w:rPr>
                <w:b/>
                <w:bCs/>
                <w:sz w:val="18"/>
                <w:szCs w:val="18"/>
              </w:rPr>
            </w:pPr>
          </w:p>
        </w:tc>
        <w:tc>
          <w:tcPr>
            <w:tcW w:w="1024" w:type="pct"/>
          </w:tcPr>
          <w:p w14:paraId="16CFB608" w14:textId="77777777" w:rsidR="009021F1" w:rsidRPr="005308A6" w:rsidRDefault="009021F1" w:rsidP="00E637E3">
            <w:pPr>
              <w:rPr>
                <w:bCs/>
                <w:sz w:val="18"/>
                <w:szCs w:val="18"/>
              </w:rPr>
            </w:pPr>
            <w:r w:rsidRPr="005308A6">
              <w:rPr>
                <w:bCs/>
                <w:sz w:val="18"/>
                <w:szCs w:val="18"/>
              </w:rPr>
              <w:t>30 &lt; RN &lt;= 60</w:t>
            </w:r>
          </w:p>
        </w:tc>
        <w:tc>
          <w:tcPr>
            <w:tcW w:w="1622" w:type="pct"/>
            <w:shd w:val="clear" w:color="auto" w:fill="auto"/>
          </w:tcPr>
          <w:p w14:paraId="398701E9" w14:textId="77777777" w:rsidR="009021F1" w:rsidRPr="005308A6" w:rsidRDefault="009021F1" w:rsidP="00E637E3">
            <w:pPr>
              <w:rPr>
                <w:bCs/>
                <w:sz w:val="18"/>
                <w:szCs w:val="18"/>
              </w:rPr>
            </w:pPr>
            <w:r w:rsidRPr="005308A6">
              <w:rPr>
                <w:bCs/>
                <w:sz w:val="18"/>
                <w:szCs w:val="18"/>
              </w:rPr>
              <w:t>Etude d’impact environnemental et social (simplifiée)</w:t>
            </w:r>
          </w:p>
        </w:tc>
        <w:tc>
          <w:tcPr>
            <w:tcW w:w="1500" w:type="pct"/>
            <w:shd w:val="clear" w:color="auto" w:fill="auto"/>
          </w:tcPr>
          <w:p w14:paraId="0B61198B" w14:textId="77777777" w:rsidR="009021F1" w:rsidRPr="005308A6" w:rsidRDefault="009021F1" w:rsidP="00E637E3">
            <w:pPr>
              <w:rPr>
                <w:b/>
                <w:bCs/>
                <w:i/>
                <w:sz w:val="18"/>
                <w:szCs w:val="18"/>
              </w:rPr>
            </w:pPr>
            <w:r w:rsidRPr="005308A6">
              <w:rPr>
                <w:b/>
                <w:bCs/>
                <w:i/>
                <w:sz w:val="18"/>
                <w:szCs w:val="18"/>
              </w:rPr>
              <w:t>Modéré</w:t>
            </w:r>
          </w:p>
        </w:tc>
      </w:tr>
      <w:tr w:rsidR="009021F1" w:rsidRPr="005308A6" w14:paraId="725B5CDA" w14:textId="77777777" w:rsidTr="00E637E3">
        <w:trPr>
          <w:cantSplit/>
          <w:trHeight w:val="200"/>
        </w:trPr>
        <w:tc>
          <w:tcPr>
            <w:tcW w:w="854" w:type="pct"/>
            <w:vMerge/>
          </w:tcPr>
          <w:p w14:paraId="392C8AD3" w14:textId="77777777" w:rsidR="009021F1" w:rsidRPr="005308A6" w:rsidRDefault="009021F1" w:rsidP="00E637E3">
            <w:pPr>
              <w:rPr>
                <w:b/>
                <w:bCs/>
                <w:sz w:val="18"/>
                <w:szCs w:val="18"/>
              </w:rPr>
            </w:pPr>
          </w:p>
        </w:tc>
        <w:tc>
          <w:tcPr>
            <w:tcW w:w="1024" w:type="pct"/>
          </w:tcPr>
          <w:p w14:paraId="7CD68D86" w14:textId="77777777" w:rsidR="009021F1" w:rsidRPr="005308A6" w:rsidRDefault="009021F1" w:rsidP="00E637E3">
            <w:pPr>
              <w:rPr>
                <w:bCs/>
                <w:sz w:val="18"/>
                <w:szCs w:val="18"/>
              </w:rPr>
            </w:pPr>
            <w:r w:rsidRPr="005308A6">
              <w:rPr>
                <w:bCs/>
                <w:sz w:val="18"/>
                <w:szCs w:val="18"/>
              </w:rPr>
              <w:t>60 &lt; RN &lt;= 80 points</w:t>
            </w:r>
          </w:p>
        </w:tc>
        <w:tc>
          <w:tcPr>
            <w:tcW w:w="1622" w:type="pct"/>
            <w:shd w:val="clear" w:color="auto" w:fill="auto"/>
          </w:tcPr>
          <w:p w14:paraId="4E005BD1" w14:textId="77777777" w:rsidR="009021F1" w:rsidRPr="005308A6" w:rsidRDefault="009021F1" w:rsidP="00E637E3">
            <w:pPr>
              <w:rPr>
                <w:bCs/>
                <w:sz w:val="18"/>
                <w:szCs w:val="18"/>
              </w:rPr>
            </w:pPr>
            <w:r w:rsidRPr="005308A6">
              <w:rPr>
                <w:bCs/>
                <w:sz w:val="18"/>
                <w:szCs w:val="18"/>
              </w:rPr>
              <w:t xml:space="preserve">Etude d’impact environnemental et social </w:t>
            </w:r>
          </w:p>
        </w:tc>
        <w:tc>
          <w:tcPr>
            <w:tcW w:w="1500" w:type="pct"/>
            <w:shd w:val="clear" w:color="auto" w:fill="auto"/>
          </w:tcPr>
          <w:p w14:paraId="7ECF50CA" w14:textId="77777777" w:rsidR="009021F1" w:rsidRPr="005308A6" w:rsidRDefault="009021F1" w:rsidP="00E637E3">
            <w:pPr>
              <w:rPr>
                <w:b/>
                <w:bCs/>
                <w:i/>
                <w:sz w:val="18"/>
                <w:szCs w:val="18"/>
              </w:rPr>
            </w:pPr>
            <w:r w:rsidRPr="005308A6">
              <w:rPr>
                <w:b/>
                <w:bCs/>
                <w:i/>
                <w:sz w:val="18"/>
                <w:szCs w:val="18"/>
              </w:rPr>
              <w:t>Substantiel</w:t>
            </w:r>
          </w:p>
        </w:tc>
      </w:tr>
      <w:tr w:rsidR="009021F1" w:rsidRPr="005308A6" w14:paraId="02C40301" w14:textId="77777777" w:rsidTr="00E637E3">
        <w:trPr>
          <w:cantSplit/>
          <w:trHeight w:val="200"/>
        </w:trPr>
        <w:tc>
          <w:tcPr>
            <w:tcW w:w="854" w:type="pct"/>
            <w:vMerge/>
          </w:tcPr>
          <w:p w14:paraId="3606009F" w14:textId="77777777" w:rsidR="009021F1" w:rsidRPr="005308A6" w:rsidRDefault="009021F1" w:rsidP="00E637E3">
            <w:pPr>
              <w:rPr>
                <w:b/>
                <w:bCs/>
                <w:sz w:val="18"/>
                <w:szCs w:val="18"/>
              </w:rPr>
            </w:pPr>
          </w:p>
        </w:tc>
        <w:tc>
          <w:tcPr>
            <w:tcW w:w="1024" w:type="pct"/>
          </w:tcPr>
          <w:p w14:paraId="1F529D1E" w14:textId="77777777" w:rsidR="009021F1" w:rsidRPr="005308A6" w:rsidRDefault="009021F1" w:rsidP="00E637E3">
            <w:pPr>
              <w:rPr>
                <w:bCs/>
                <w:sz w:val="18"/>
                <w:szCs w:val="18"/>
              </w:rPr>
            </w:pPr>
            <w:r w:rsidRPr="005308A6">
              <w:rPr>
                <w:bCs/>
                <w:sz w:val="18"/>
                <w:szCs w:val="18"/>
              </w:rPr>
              <w:t>80 &lt; RN &lt;= 100 points</w:t>
            </w:r>
            <w:r w:rsidRPr="005308A6" w:rsidDel="00A31897">
              <w:rPr>
                <w:bCs/>
                <w:sz w:val="18"/>
                <w:szCs w:val="18"/>
              </w:rPr>
              <w:t xml:space="preserve"> </w:t>
            </w:r>
          </w:p>
        </w:tc>
        <w:tc>
          <w:tcPr>
            <w:tcW w:w="1622" w:type="pct"/>
            <w:shd w:val="clear" w:color="auto" w:fill="auto"/>
          </w:tcPr>
          <w:p w14:paraId="3F625B12" w14:textId="77777777" w:rsidR="009021F1" w:rsidRPr="005308A6" w:rsidRDefault="009021F1" w:rsidP="00E637E3">
            <w:pPr>
              <w:rPr>
                <w:bCs/>
                <w:sz w:val="18"/>
                <w:szCs w:val="18"/>
              </w:rPr>
            </w:pPr>
            <w:r w:rsidRPr="005308A6">
              <w:rPr>
                <w:bCs/>
                <w:sz w:val="18"/>
                <w:szCs w:val="18"/>
              </w:rPr>
              <w:t xml:space="preserve">Etude d’impact environnemental et social </w:t>
            </w:r>
          </w:p>
        </w:tc>
        <w:tc>
          <w:tcPr>
            <w:tcW w:w="1500" w:type="pct"/>
            <w:shd w:val="clear" w:color="auto" w:fill="auto"/>
          </w:tcPr>
          <w:p w14:paraId="3B4C8CD8" w14:textId="77777777" w:rsidR="009021F1" w:rsidRPr="005308A6" w:rsidRDefault="009021F1" w:rsidP="00E637E3">
            <w:pPr>
              <w:rPr>
                <w:b/>
                <w:bCs/>
                <w:i/>
                <w:sz w:val="18"/>
                <w:szCs w:val="18"/>
              </w:rPr>
            </w:pPr>
            <w:r w:rsidRPr="005308A6">
              <w:rPr>
                <w:b/>
                <w:bCs/>
                <w:i/>
                <w:sz w:val="18"/>
                <w:szCs w:val="18"/>
              </w:rPr>
              <w:t xml:space="preserve">Elevé </w:t>
            </w:r>
          </w:p>
        </w:tc>
      </w:tr>
    </w:tbl>
    <w:p w14:paraId="34B3EA3F" w14:textId="77777777" w:rsidR="009021F1" w:rsidRPr="00A31C45" w:rsidRDefault="009021F1" w:rsidP="009021F1">
      <w:pPr>
        <w:rPr>
          <w:b/>
          <w:bCs/>
          <w:szCs w:val="21"/>
        </w:rPr>
      </w:pPr>
    </w:p>
    <w:p w14:paraId="752E4528" w14:textId="77777777" w:rsidR="009021F1" w:rsidRPr="00A31C45" w:rsidRDefault="009021F1" w:rsidP="009021F1">
      <w:pPr>
        <w:rPr>
          <w:b/>
          <w:i/>
          <w:szCs w:val="21"/>
        </w:rPr>
      </w:pPr>
      <w:r w:rsidRPr="00A31C45">
        <w:rPr>
          <w:b/>
          <w:i/>
          <w:szCs w:val="21"/>
        </w:rPr>
        <w:t>Conclusion et recommandation</w:t>
      </w:r>
    </w:p>
    <w:p w14:paraId="0B201150" w14:textId="77777777" w:rsidR="009021F1" w:rsidRPr="00A31C45" w:rsidRDefault="009021F1" w:rsidP="009021F1">
      <w:pPr>
        <w:spacing w:before="6" w:line="200" w:lineRule="exact"/>
        <w:rPr>
          <w:szCs w:val="21"/>
        </w:rPr>
      </w:pPr>
      <w:r w:rsidRPr="00A31C45">
        <w:rPr>
          <w:noProof/>
          <w:szCs w:val="21"/>
        </w:rPr>
        <mc:AlternateContent>
          <mc:Choice Requires="wpg">
            <w:drawing>
              <wp:anchor distT="0" distB="0" distL="114300" distR="114300" simplePos="0" relativeHeight="251721772" behindDoc="1" locked="0" layoutInCell="1" allowOverlap="1" wp14:anchorId="5A1AAF5D" wp14:editId="4CC65FD8">
                <wp:simplePos x="0" y="0"/>
                <wp:positionH relativeFrom="page">
                  <wp:posOffset>5391785</wp:posOffset>
                </wp:positionH>
                <wp:positionV relativeFrom="paragraph">
                  <wp:posOffset>86995</wp:posOffset>
                </wp:positionV>
                <wp:extent cx="228600" cy="228600"/>
                <wp:effectExtent l="0" t="0" r="19050" b="19050"/>
                <wp:wrapNone/>
                <wp:docPr id="207" name="Groupe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6729" y="-141"/>
                          <a:chExt cx="360" cy="360"/>
                        </a:xfrm>
                      </wpg:grpSpPr>
                      <wps:wsp>
                        <wps:cNvPr id="208" name="Freeform 236"/>
                        <wps:cNvSpPr>
                          <a:spLocks noChangeArrowheads="1"/>
                        </wps:cNvSpPr>
                        <wps:spPr bwMode="auto">
                          <a:xfrm>
                            <a:off x="6729" y="-141"/>
                            <a:ext cx="360" cy="360"/>
                          </a:xfrm>
                          <a:custGeom>
                            <a:avLst/>
                            <a:gdLst>
                              <a:gd name="T0" fmla="+- 0 6729 6729"/>
                              <a:gd name="T1" fmla="*/ T0 w 360"/>
                              <a:gd name="T2" fmla="+- 0 219 -141"/>
                              <a:gd name="T3" fmla="*/ 219 h 360"/>
                              <a:gd name="T4" fmla="+- 0 7089 6729"/>
                              <a:gd name="T5" fmla="*/ T4 w 360"/>
                              <a:gd name="T6" fmla="+- 0 219 -141"/>
                              <a:gd name="T7" fmla="*/ 219 h 360"/>
                              <a:gd name="T8" fmla="+- 0 7089 6729"/>
                              <a:gd name="T9" fmla="*/ T8 w 360"/>
                              <a:gd name="T10" fmla="+- 0 -141 -141"/>
                              <a:gd name="T11" fmla="*/ -141 h 360"/>
                              <a:gd name="T12" fmla="+- 0 6729 6729"/>
                              <a:gd name="T13" fmla="*/ T12 w 360"/>
                              <a:gd name="T14" fmla="+- 0 -141 -141"/>
                              <a:gd name="T15" fmla="*/ -141 h 360"/>
                              <a:gd name="T16" fmla="+- 0 6729 6729"/>
                              <a:gd name="T17" fmla="*/ T16 w 360"/>
                              <a:gd name="T18" fmla="+- 0 219 -141"/>
                              <a:gd name="T19" fmla="*/ 219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5DC72D8C" id="Groupe 207" o:spid="_x0000_s1026" style="position:absolute;margin-left:424.55pt;margin-top:6.85pt;width:18pt;height:18pt;z-index:-251594708;mso-position-horizontal-relative:page" coordorigin="6729,-141"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">
                <v:shape id="Freeform 236" o:spid="_x0000_s1027" style="position:absolute;left:6729;top:-141;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" path="m,360r360,l360,,,,,360xe" filled="f">
                  <v:path o:connecttype="custom" o:connectlocs="0,219;360,219;360,-141;0,-141;0,219" o:connectangles="0,0,0,0,0"/>
                </v:shape>
                <w10:wrap anchorx="page"/>
              </v:group>
            </w:pict>
          </mc:Fallback>
        </mc:AlternateContent>
      </w:r>
      <w:r w:rsidRPr="00A31C45">
        <w:rPr>
          <w:noProof/>
          <w:szCs w:val="21"/>
        </w:rPr>
        <mc:AlternateContent>
          <mc:Choice Requires="wpg">
            <w:drawing>
              <wp:anchor distT="0" distB="0" distL="114300" distR="114300" simplePos="0" relativeHeight="251719724" behindDoc="1" locked="0" layoutInCell="1" allowOverlap="1" wp14:anchorId="7157D23C" wp14:editId="51292FCC">
                <wp:simplePos x="0" y="0"/>
                <wp:positionH relativeFrom="page">
                  <wp:posOffset>3239770</wp:posOffset>
                </wp:positionH>
                <wp:positionV relativeFrom="paragraph">
                  <wp:posOffset>99060</wp:posOffset>
                </wp:positionV>
                <wp:extent cx="228600" cy="228600"/>
                <wp:effectExtent l="0" t="0" r="19050" b="19050"/>
                <wp:wrapNone/>
                <wp:docPr id="209" name="Groupe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3556" y="-134"/>
                          <a:chExt cx="360" cy="360"/>
                        </a:xfrm>
                      </wpg:grpSpPr>
                      <wps:wsp>
                        <wps:cNvPr id="210" name="Freeform 240"/>
                        <wps:cNvSpPr>
                          <a:spLocks noChangeArrowheads="1"/>
                        </wps:cNvSpPr>
                        <wps:spPr bwMode="auto">
                          <a:xfrm>
                            <a:off x="3556" y="-134"/>
                            <a:ext cx="360" cy="360"/>
                          </a:xfrm>
                          <a:custGeom>
                            <a:avLst/>
                            <a:gdLst>
                              <a:gd name="T0" fmla="+- 0 3556 3556"/>
                              <a:gd name="T1" fmla="*/ T0 w 360"/>
                              <a:gd name="T2" fmla="+- 0 226 -134"/>
                              <a:gd name="T3" fmla="*/ 226 h 360"/>
                              <a:gd name="T4" fmla="+- 0 3916 3556"/>
                              <a:gd name="T5" fmla="*/ T4 w 360"/>
                              <a:gd name="T6" fmla="+- 0 226 -134"/>
                              <a:gd name="T7" fmla="*/ 226 h 360"/>
                              <a:gd name="T8" fmla="+- 0 3916 3556"/>
                              <a:gd name="T9" fmla="*/ T8 w 360"/>
                              <a:gd name="T10" fmla="+- 0 -134 -134"/>
                              <a:gd name="T11" fmla="*/ -134 h 360"/>
                              <a:gd name="T12" fmla="+- 0 3556 3556"/>
                              <a:gd name="T13" fmla="*/ T12 w 360"/>
                              <a:gd name="T14" fmla="+- 0 -134 -134"/>
                              <a:gd name="T15" fmla="*/ -134 h 360"/>
                              <a:gd name="T16" fmla="+- 0 3556 3556"/>
                              <a:gd name="T17" fmla="*/ T16 w 360"/>
                              <a:gd name="T18" fmla="+- 0 226 -134"/>
                              <a:gd name="T19" fmla="*/ 226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2862A623" id="Groupe 209" o:spid="_x0000_s1026" style="position:absolute;margin-left:255.1pt;margin-top:7.8pt;width:18pt;height:18pt;z-index:-251596756;mso-position-horizontal-relative:page" coordorigin="3556,-134"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">
                <v:shape id="Freeform 240" o:spid="_x0000_s1027" style="position:absolute;left:3556;top:-134;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" path="m,360r360,l360,,,,,360xe" filled="f">
                  <v:path o:connecttype="custom" o:connectlocs="0,226;360,226;360,-134;0,-134;0,226" o:connectangles="0,0,0,0,0"/>
                </v:shape>
                <w10:wrap anchorx="page"/>
              </v:group>
            </w:pict>
          </mc:Fallback>
        </mc:AlternateContent>
      </w:r>
    </w:p>
    <w:p w14:paraId="6844CE40" w14:textId="77777777" w:rsidR="009021F1" w:rsidRPr="00A31C45" w:rsidRDefault="009021F1" w:rsidP="009021F1">
      <w:pPr>
        <w:tabs>
          <w:tab w:val="left" w:pos="1960"/>
          <w:tab w:val="left" w:pos="5060"/>
          <w:tab w:val="left" w:pos="6920"/>
        </w:tabs>
        <w:spacing w:before="32"/>
        <w:ind w:left="116" w:right="-20"/>
        <w:rPr>
          <w:szCs w:val="21"/>
        </w:rPr>
      </w:pPr>
      <w:r w:rsidRPr="00A31C45">
        <w:rPr>
          <w:b/>
          <w:bCs/>
          <w:i/>
          <w:szCs w:val="21"/>
        </w:rPr>
        <w:t>Pro</w:t>
      </w:r>
      <w:r w:rsidRPr="00A31C45">
        <w:rPr>
          <w:b/>
          <w:bCs/>
          <w:i/>
          <w:spacing w:val="1"/>
          <w:szCs w:val="21"/>
        </w:rPr>
        <w:t>j</w:t>
      </w:r>
      <w:r w:rsidRPr="00A31C45">
        <w:rPr>
          <w:b/>
          <w:bCs/>
          <w:i/>
          <w:spacing w:val="-2"/>
          <w:szCs w:val="21"/>
        </w:rPr>
        <w:t>e</w:t>
      </w:r>
      <w:r w:rsidRPr="00A31C45">
        <w:rPr>
          <w:b/>
          <w:bCs/>
          <w:i/>
          <w:szCs w:val="21"/>
        </w:rPr>
        <w:t>t</w:t>
      </w:r>
      <w:r w:rsidRPr="00A31C45">
        <w:rPr>
          <w:b/>
          <w:bCs/>
          <w:i/>
          <w:spacing w:val="1"/>
          <w:szCs w:val="21"/>
        </w:rPr>
        <w:t xml:space="preserve"> </w:t>
      </w:r>
      <w:r w:rsidRPr="00A31C45">
        <w:rPr>
          <w:b/>
          <w:bCs/>
          <w:i/>
          <w:szCs w:val="21"/>
        </w:rPr>
        <w:t>de</w:t>
      </w:r>
      <w:r w:rsidRPr="00A31C45">
        <w:rPr>
          <w:b/>
          <w:bCs/>
          <w:i/>
          <w:spacing w:val="-2"/>
          <w:szCs w:val="21"/>
        </w:rPr>
        <w:t xml:space="preserve"> </w:t>
      </w:r>
      <w:r w:rsidRPr="00A31C45">
        <w:rPr>
          <w:b/>
          <w:bCs/>
          <w:i/>
          <w:spacing w:val="1"/>
          <w:szCs w:val="21"/>
        </w:rPr>
        <w:t>t</w:t>
      </w:r>
      <w:r w:rsidRPr="00A31C45">
        <w:rPr>
          <w:b/>
          <w:bCs/>
          <w:i/>
          <w:spacing w:val="-2"/>
          <w:szCs w:val="21"/>
        </w:rPr>
        <w:t>y</w:t>
      </w:r>
      <w:r w:rsidRPr="00A31C45">
        <w:rPr>
          <w:b/>
          <w:bCs/>
          <w:i/>
          <w:szCs w:val="21"/>
        </w:rPr>
        <w:t>pe</w:t>
      </w:r>
      <w:r w:rsidRPr="00A31C45">
        <w:rPr>
          <w:b/>
          <w:bCs/>
          <w:i/>
          <w:spacing w:val="1"/>
          <w:szCs w:val="21"/>
        </w:rPr>
        <w:t xml:space="preserve"> </w:t>
      </w:r>
      <w:r w:rsidRPr="00A31C45">
        <w:rPr>
          <w:szCs w:val="21"/>
        </w:rPr>
        <w:t>:              Risque élevé</w:t>
      </w:r>
      <w:r w:rsidRPr="00A31C45">
        <w:rPr>
          <w:szCs w:val="21"/>
        </w:rPr>
        <w:tab/>
        <w:t xml:space="preserve">Risque substantiel </w:t>
      </w:r>
    </w:p>
    <w:p w14:paraId="32A96330" w14:textId="77777777" w:rsidR="009021F1" w:rsidRPr="00A31C45" w:rsidRDefault="009021F1" w:rsidP="009021F1">
      <w:pPr>
        <w:spacing w:before="18" w:line="240" w:lineRule="exact"/>
        <w:rPr>
          <w:szCs w:val="21"/>
        </w:rPr>
      </w:pPr>
      <w:r w:rsidRPr="00A31C45">
        <w:rPr>
          <w:noProof/>
          <w:szCs w:val="21"/>
        </w:rPr>
        <mc:AlternateContent>
          <mc:Choice Requires="wpg">
            <w:drawing>
              <wp:anchor distT="0" distB="0" distL="114300" distR="114300" simplePos="0" relativeHeight="251725868" behindDoc="1" locked="0" layoutInCell="1" allowOverlap="1" wp14:anchorId="341B8372" wp14:editId="1E8E7A31">
                <wp:simplePos x="0" y="0"/>
                <wp:positionH relativeFrom="page">
                  <wp:posOffset>5398135</wp:posOffset>
                </wp:positionH>
                <wp:positionV relativeFrom="paragraph">
                  <wp:posOffset>158750</wp:posOffset>
                </wp:positionV>
                <wp:extent cx="228600" cy="228600"/>
                <wp:effectExtent l="0" t="0" r="19050" b="19050"/>
                <wp:wrapNone/>
                <wp:docPr id="211" name="Groupe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8512" y="-134"/>
                          <a:chExt cx="360" cy="360"/>
                        </a:xfrm>
                      </wpg:grpSpPr>
                      <wps:wsp>
                        <wps:cNvPr id="212" name="Freeform 238"/>
                        <wps:cNvSpPr>
                          <a:spLocks noChangeArrowheads="1"/>
                        </wps:cNvSpPr>
                        <wps:spPr bwMode="auto">
                          <a:xfrm>
                            <a:off x="8512" y="-134"/>
                            <a:ext cx="360" cy="360"/>
                          </a:xfrm>
                          <a:custGeom>
                            <a:avLst/>
                            <a:gdLst>
                              <a:gd name="T0" fmla="+- 0 8512 8512"/>
                              <a:gd name="T1" fmla="*/ T0 w 360"/>
                              <a:gd name="T2" fmla="+- 0 226 -134"/>
                              <a:gd name="T3" fmla="*/ 226 h 360"/>
                              <a:gd name="T4" fmla="+- 0 8872 8512"/>
                              <a:gd name="T5" fmla="*/ T4 w 360"/>
                              <a:gd name="T6" fmla="+- 0 226 -134"/>
                              <a:gd name="T7" fmla="*/ 226 h 360"/>
                              <a:gd name="T8" fmla="+- 0 8872 8512"/>
                              <a:gd name="T9" fmla="*/ T8 w 360"/>
                              <a:gd name="T10" fmla="+- 0 -134 -134"/>
                              <a:gd name="T11" fmla="*/ -134 h 360"/>
                              <a:gd name="T12" fmla="+- 0 8512 8512"/>
                              <a:gd name="T13" fmla="*/ T12 w 360"/>
                              <a:gd name="T14" fmla="+- 0 -134 -134"/>
                              <a:gd name="T15" fmla="*/ -134 h 360"/>
                              <a:gd name="T16" fmla="+- 0 8512 8512"/>
                              <a:gd name="T17" fmla="*/ T16 w 360"/>
                              <a:gd name="T18" fmla="+- 0 226 -134"/>
                              <a:gd name="T19" fmla="*/ 226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D4D62EE" id="Groupe 211" o:spid="_x0000_s1026" style="position:absolute;margin-left:425.05pt;margin-top:12.5pt;width:18pt;height:18pt;z-index:-251590612;mso-position-horizontal-relative:page" coordorigin="8512,-134"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">
                <v:shape id="Freeform 238" o:spid="_x0000_s1027" style="position:absolute;left:8512;top:-134;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" path="m,360r360,l360,,,,,360xe" filled="f">
                  <v:path o:connecttype="custom" o:connectlocs="0,226;360,226;360,-134;0,-134;0,226" o:connectangles="0,0,0,0,0"/>
                </v:shape>
                <w10:wrap anchorx="page"/>
              </v:group>
            </w:pict>
          </mc:Fallback>
        </mc:AlternateContent>
      </w:r>
      <w:r w:rsidRPr="00A31C45">
        <w:rPr>
          <w:noProof/>
          <w:szCs w:val="21"/>
        </w:rPr>
        <mc:AlternateContent>
          <mc:Choice Requires="wpg">
            <w:drawing>
              <wp:anchor distT="0" distB="0" distL="114300" distR="114300" simplePos="0" relativeHeight="251720748" behindDoc="1" locked="0" layoutInCell="1" allowOverlap="1" wp14:anchorId="5AF2721B" wp14:editId="22105A84">
                <wp:simplePos x="0" y="0"/>
                <wp:positionH relativeFrom="page">
                  <wp:posOffset>3241040</wp:posOffset>
                </wp:positionH>
                <wp:positionV relativeFrom="paragraph">
                  <wp:posOffset>158750</wp:posOffset>
                </wp:positionV>
                <wp:extent cx="228600" cy="228600"/>
                <wp:effectExtent l="0" t="0" r="19050" b="19050"/>
                <wp:wrapNone/>
                <wp:docPr id="213" name="Groupe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8512" y="-134"/>
                          <a:chExt cx="360" cy="360"/>
                        </a:xfrm>
                      </wpg:grpSpPr>
                      <wps:wsp>
                        <wps:cNvPr id="214" name="Freeform 238"/>
                        <wps:cNvSpPr>
                          <a:spLocks noChangeArrowheads="1"/>
                        </wps:cNvSpPr>
                        <wps:spPr bwMode="auto">
                          <a:xfrm>
                            <a:off x="8512" y="-134"/>
                            <a:ext cx="360" cy="360"/>
                          </a:xfrm>
                          <a:custGeom>
                            <a:avLst/>
                            <a:gdLst>
                              <a:gd name="T0" fmla="+- 0 8512 8512"/>
                              <a:gd name="T1" fmla="*/ T0 w 360"/>
                              <a:gd name="T2" fmla="+- 0 226 -134"/>
                              <a:gd name="T3" fmla="*/ 226 h 360"/>
                              <a:gd name="T4" fmla="+- 0 8872 8512"/>
                              <a:gd name="T5" fmla="*/ T4 w 360"/>
                              <a:gd name="T6" fmla="+- 0 226 -134"/>
                              <a:gd name="T7" fmla="*/ 226 h 360"/>
                              <a:gd name="T8" fmla="+- 0 8872 8512"/>
                              <a:gd name="T9" fmla="*/ T8 w 360"/>
                              <a:gd name="T10" fmla="+- 0 -134 -134"/>
                              <a:gd name="T11" fmla="*/ -134 h 360"/>
                              <a:gd name="T12" fmla="+- 0 8512 8512"/>
                              <a:gd name="T13" fmla="*/ T12 w 360"/>
                              <a:gd name="T14" fmla="+- 0 -134 -134"/>
                              <a:gd name="T15" fmla="*/ -134 h 360"/>
                              <a:gd name="T16" fmla="+- 0 8512 8512"/>
                              <a:gd name="T17" fmla="*/ T16 w 360"/>
                              <a:gd name="T18" fmla="+- 0 226 -134"/>
                              <a:gd name="T19" fmla="*/ 226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FAFBFE0" id="Groupe 213" o:spid="_x0000_s1026" style="position:absolute;margin-left:255.2pt;margin-top:12.5pt;width:18pt;height:18pt;z-index:-251595732;mso-position-horizontal-relative:page" coordorigin="8512,-134"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">
                <v:shape id="Freeform 238" o:spid="_x0000_s1027" style="position:absolute;left:8512;top:-134;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" path="m,360r360,l360,,,,,360xe" filled="f">
                  <v:path o:connecttype="custom" o:connectlocs="0,226;360,226;360,-134;0,-134;0,226" o:connectangles="0,0,0,0,0"/>
                </v:shape>
                <w10:wrap anchorx="page"/>
              </v:group>
            </w:pict>
          </mc:Fallback>
        </mc:AlternateContent>
      </w:r>
    </w:p>
    <w:p w14:paraId="274EFE88" w14:textId="77777777" w:rsidR="009021F1" w:rsidRPr="00A31C45" w:rsidRDefault="009021F1" w:rsidP="009021F1">
      <w:pPr>
        <w:spacing w:before="18" w:line="240" w:lineRule="exact"/>
        <w:rPr>
          <w:szCs w:val="21"/>
        </w:rPr>
      </w:pPr>
      <w:r w:rsidRPr="00A31C45">
        <w:rPr>
          <w:szCs w:val="21"/>
        </w:rPr>
        <w:t xml:space="preserve">                                 </w:t>
      </w:r>
      <w:r w:rsidRPr="00A31C45">
        <w:rPr>
          <w:szCs w:val="21"/>
        </w:rPr>
        <w:tab/>
        <w:t>Risque modéré</w:t>
      </w:r>
      <w:r w:rsidRPr="00A31C45">
        <w:rPr>
          <w:szCs w:val="21"/>
        </w:rPr>
        <w:tab/>
      </w:r>
      <w:r w:rsidRPr="00A31C45">
        <w:rPr>
          <w:szCs w:val="21"/>
        </w:rPr>
        <w:tab/>
      </w:r>
      <w:r w:rsidRPr="00A31C45">
        <w:rPr>
          <w:szCs w:val="21"/>
        </w:rPr>
        <w:tab/>
        <w:t xml:space="preserve">   Risque faible  </w:t>
      </w:r>
    </w:p>
    <w:p w14:paraId="1C8775EF" w14:textId="77777777" w:rsidR="009021F1" w:rsidRPr="00A31C45" w:rsidRDefault="009021F1" w:rsidP="009021F1">
      <w:pPr>
        <w:spacing w:before="18" w:line="240" w:lineRule="exact"/>
        <w:rPr>
          <w:szCs w:val="21"/>
        </w:rPr>
      </w:pPr>
    </w:p>
    <w:p w14:paraId="13C41317" w14:textId="77777777" w:rsidR="009021F1" w:rsidRPr="00A31C45" w:rsidRDefault="009021F1" w:rsidP="009021F1">
      <w:pPr>
        <w:ind w:left="116" w:right="-20"/>
        <w:rPr>
          <w:szCs w:val="21"/>
        </w:rPr>
      </w:pPr>
      <w:r w:rsidRPr="00A31C45">
        <w:rPr>
          <w:b/>
          <w:bCs/>
          <w:i/>
          <w:szCs w:val="21"/>
        </w:rPr>
        <w:t>Trava</w:t>
      </w:r>
      <w:r w:rsidRPr="00A31C45">
        <w:rPr>
          <w:b/>
          <w:bCs/>
          <w:i/>
          <w:spacing w:val="-1"/>
          <w:szCs w:val="21"/>
        </w:rPr>
        <w:t>i</w:t>
      </w:r>
      <w:r w:rsidRPr="00A31C45">
        <w:rPr>
          <w:b/>
          <w:bCs/>
          <w:i/>
          <w:szCs w:val="21"/>
        </w:rPr>
        <w:t>l</w:t>
      </w:r>
      <w:r w:rsidRPr="00A31C45">
        <w:rPr>
          <w:b/>
          <w:bCs/>
          <w:i/>
          <w:spacing w:val="1"/>
          <w:szCs w:val="21"/>
        </w:rPr>
        <w:t xml:space="preserve"> </w:t>
      </w:r>
      <w:r w:rsidRPr="00A31C45">
        <w:rPr>
          <w:b/>
          <w:bCs/>
          <w:i/>
          <w:szCs w:val="21"/>
        </w:rPr>
        <w:t>e</w:t>
      </w:r>
      <w:r w:rsidRPr="00A31C45">
        <w:rPr>
          <w:b/>
          <w:bCs/>
          <w:i/>
          <w:spacing w:val="-2"/>
          <w:szCs w:val="21"/>
        </w:rPr>
        <w:t>n</w:t>
      </w:r>
      <w:r w:rsidRPr="00A31C45">
        <w:rPr>
          <w:b/>
          <w:bCs/>
          <w:i/>
          <w:szCs w:val="21"/>
        </w:rPr>
        <w:t>v</w:t>
      </w:r>
      <w:r w:rsidRPr="00A31C45">
        <w:rPr>
          <w:b/>
          <w:bCs/>
          <w:i/>
          <w:spacing w:val="-1"/>
          <w:szCs w:val="21"/>
        </w:rPr>
        <w:t>i</w:t>
      </w:r>
      <w:r w:rsidRPr="00A31C45">
        <w:rPr>
          <w:b/>
          <w:bCs/>
          <w:i/>
          <w:szCs w:val="21"/>
        </w:rPr>
        <w:t>ronn</w:t>
      </w:r>
      <w:r w:rsidRPr="00A31C45">
        <w:rPr>
          <w:b/>
          <w:bCs/>
          <w:i/>
          <w:spacing w:val="-2"/>
          <w:szCs w:val="21"/>
        </w:rPr>
        <w:t>e</w:t>
      </w:r>
      <w:r w:rsidRPr="00A31C45">
        <w:rPr>
          <w:b/>
          <w:bCs/>
          <w:i/>
          <w:spacing w:val="1"/>
          <w:szCs w:val="21"/>
        </w:rPr>
        <w:t>m</w:t>
      </w:r>
      <w:r w:rsidRPr="00A31C45">
        <w:rPr>
          <w:b/>
          <w:bCs/>
          <w:i/>
          <w:szCs w:val="21"/>
        </w:rPr>
        <w:t>e</w:t>
      </w:r>
      <w:r w:rsidRPr="00A31C45">
        <w:rPr>
          <w:b/>
          <w:bCs/>
          <w:i/>
          <w:spacing w:val="-2"/>
          <w:szCs w:val="21"/>
        </w:rPr>
        <w:t>n</w:t>
      </w:r>
      <w:r w:rsidRPr="00A31C45">
        <w:rPr>
          <w:b/>
          <w:bCs/>
          <w:i/>
          <w:spacing w:val="1"/>
          <w:szCs w:val="21"/>
        </w:rPr>
        <w:t>t</w:t>
      </w:r>
      <w:r w:rsidRPr="00A31C45">
        <w:rPr>
          <w:b/>
          <w:bCs/>
          <w:i/>
          <w:szCs w:val="21"/>
        </w:rPr>
        <w:t>al</w:t>
      </w:r>
      <w:r w:rsidRPr="00A31C45">
        <w:rPr>
          <w:b/>
          <w:bCs/>
          <w:i/>
          <w:spacing w:val="1"/>
          <w:szCs w:val="21"/>
        </w:rPr>
        <w:t xml:space="preserve"> </w:t>
      </w:r>
      <w:r w:rsidRPr="00A31C45">
        <w:rPr>
          <w:b/>
          <w:bCs/>
          <w:i/>
          <w:spacing w:val="-3"/>
          <w:szCs w:val="21"/>
        </w:rPr>
        <w:t>n</w:t>
      </w:r>
      <w:r w:rsidRPr="00A31C45">
        <w:rPr>
          <w:b/>
          <w:bCs/>
          <w:i/>
          <w:szCs w:val="21"/>
        </w:rPr>
        <w:t>éce</w:t>
      </w:r>
      <w:r w:rsidRPr="00A31C45">
        <w:rPr>
          <w:b/>
          <w:bCs/>
          <w:i/>
          <w:spacing w:val="-2"/>
          <w:szCs w:val="21"/>
        </w:rPr>
        <w:t>s</w:t>
      </w:r>
      <w:r w:rsidRPr="00A31C45">
        <w:rPr>
          <w:b/>
          <w:bCs/>
          <w:i/>
          <w:szCs w:val="21"/>
        </w:rPr>
        <w:t>sa</w:t>
      </w:r>
      <w:r w:rsidRPr="00A31C45">
        <w:rPr>
          <w:b/>
          <w:bCs/>
          <w:i/>
          <w:spacing w:val="-1"/>
          <w:szCs w:val="21"/>
        </w:rPr>
        <w:t>i</w:t>
      </w:r>
      <w:r w:rsidRPr="00A31C45">
        <w:rPr>
          <w:b/>
          <w:bCs/>
          <w:i/>
          <w:szCs w:val="21"/>
        </w:rPr>
        <w:t>re</w:t>
      </w:r>
      <w:r w:rsidRPr="00A31C45">
        <w:rPr>
          <w:b/>
          <w:bCs/>
          <w:i/>
          <w:spacing w:val="3"/>
          <w:szCs w:val="21"/>
        </w:rPr>
        <w:t xml:space="preserve"> </w:t>
      </w:r>
      <w:r w:rsidRPr="00A31C45">
        <w:rPr>
          <w:b/>
          <w:bCs/>
          <w:i/>
          <w:szCs w:val="21"/>
        </w:rPr>
        <w:t>:</w:t>
      </w:r>
    </w:p>
    <w:p w14:paraId="641D14D9" w14:textId="77777777" w:rsidR="009021F1" w:rsidRPr="00A31C45" w:rsidRDefault="009021F1" w:rsidP="009021F1">
      <w:pPr>
        <w:spacing w:before="2" w:line="130" w:lineRule="exact"/>
        <w:rPr>
          <w:szCs w:val="21"/>
        </w:rPr>
      </w:pPr>
    </w:p>
    <w:p w14:paraId="4AB5AB36" w14:textId="77777777" w:rsidR="009021F1" w:rsidRPr="00A31C45" w:rsidRDefault="009021F1" w:rsidP="009021F1">
      <w:pPr>
        <w:tabs>
          <w:tab w:val="left" w:pos="460"/>
        </w:tabs>
        <w:ind w:left="116" w:right="-20"/>
        <w:rPr>
          <w:szCs w:val="21"/>
        </w:rPr>
      </w:pPr>
      <w:r w:rsidRPr="00A31C45">
        <w:rPr>
          <w:noProof/>
          <w:szCs w:val="21"/>
        </w:rPr>
        <mc:AlternateContent>
          <mc:Choice Requires="wpg">
            <w:drawing>
              <wp:anchor distT="0" distB="0" distL="114300" distR="114300" simplePos="0" relativeHeight="251722796" behindDoc="1" locked="0" layoutInCell="1" allowOverlap="1" wp14:anchorId="686D3239" wp14:editId="402C9E5B">
                <wp:simplePos x="0" y="0"/>
                <wp:positionH relativeFrom="page">
                  <wp:posOffset>3689350</wp:posOffset>
                </wp:positionH>
                <wp:positionV relativeFrom="paragraph">
                  <wp:posOffset>67945</wp:posOffset>
                </wp:positionV>
                <wp:extent cx="228600" cy="114300"/>
                <wp:effectExtent l="0" t="0" r="19050" b="19050"/>
                <wp:wrapNone/>
                <wp:docPr id="215" name="Groupe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114300"/>
                          <a:chOff x="5377" y="107"/>
                          <a:chExt cx="360" cy="180"/>
                        </a:xfrm>
                      </wpg:grpSpPr>
                      <wps:wsp>
                        <wps:cNvPr id="216" name="Freeform 234"/>
                        <wps:cNvSpPr>
                          <a:spLocks noChangeArrowheads="1"/>
                        </wps:cNvSpPr>
                        <wps:spPr bwMode="auto">
                          <a:xfrm>
                            <a:off x="5377" y="107"/>
                            <a:ext cx="360" cy="180"/>
                          </a:xfrm>
                          <a:custGeom>
                            <a:avLst/>
                            <a:gdLst>
                              <a:gd name="T0" fmla="+- 0 5377 5377"/>
                              <a:gd name="T1" fmla="*/ T0 w 360"/>
                              <a:gd name="T2" fmla="+- 0 287 107"/>
                              <a:gd name="T3" fmla="*/ 287 h 180"/>
                              <a:gd name="T4" fmla="+- 0 5737 5377"/>
                              <a:gd name="T5" fmla="*/ T4 w 360"/>
                              <a:gd name="T6" fmla="+- 0 287 107"/>
                              <a:gd name="T7" fmla="*/ 287 h 180"/>
                              <a:gd name="T8" fmla="+- 0 5737 5377"/>
                              <a:gd name="T9" fmla="*/ T8 w 360"/>
                              <a:gd name="T10" fmla="+- 0 107 107"/>
                              <a:gd name="T11" fmla="*/ 107 h 180"/>
                              <a:gd name="T12" fmla="+- 0 5377 5377"/>
                              <a:gd name="T13" fmla="*/ T12 w 360"/>
                              <a:gd name="T14" fmla="+- 0 107 107"/>
                              <a:gd name="T15" fmla="*/ 107 h 180"/>
                              <a:gd name="T16" fmla="+- 0 5377 5377"/>
                              <a:gd name="T17" fmla="*/ T16 w 360"/>
                              <a:gd name="T18" fmla="+- 0 287 107"/>
                              <a:gd name="T19" fmla="*/ 287 h 180"/>
                            </a:gdLst>
                            <a:ahLst/>
                            <a:cxnLst>
                              <a:cxn ang="0">
                                <a:pos x="T1" y="T3"/>
                              </a:cxn>
                              <a:cxn ang="0">
                                <a:pos x="T5" y="T7"/>
                              </a:cxn>
                              <a:cxn ang="0">
                                <a:pos x="T9" y="T11"/>
                              </a:cxn>
                              <a:cxn ang="0">
                                <a:pos x="T13" y="T15"/>
                              </a:cxn>
                              <a:cxn ang="0">
                                <a:pos x="T17" y="T19"/>
                              </a:cxn>
                            </a:cxnLst>
                            <a:rect l="0" t="0" r="r" b="b"/>
                            <a:pathLst>
                              <a:path w="360" h="180">
                                <a:moveTo>
                                  <a:pt x="0" y="180"/>
                                </a:moveTo>
                                <a:lnTo>
                                  <a:pt x="360" y="180"/>
                                </a:lnTo>
                                <a:lnTo>
                                  <a:pt x="360" y="0"/>
                                </a:lnTo>
                                <a:lnTo>
                                  <a:pt x="0" y="0"/>
                                </a:lnTo>
                                <a:lnTo>
                                  <a:pt x="0" y="180"/>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02F67D50" id="Groupe 215" o:spid="_x0000_s1026" style="position:absolute;margin-left:290.5pt;margin-top:5.35pt;width:18pt;height:9pt;z-index:-251593684;mso-position-horizontal-relative:page" coordorigin="5377,107"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">
                <v:shape id="Freeform 234" o:spid="_x0000_s1027" style="position:absolute;left:5377;top:107;width:360;height:180;visibility:visible;mso-wrap-style:square;v-text-anchor:top"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" path="m,180r360,l360,,,,,180xe" filled="f">
                  <v:path o:connecttype="custom" o:connectlocs="0,287;360,287;360,107;0,107;0,287" o:connectangles="0,0,0,0,0"/>
                </v:shape>
                <w10:wrap anchorx="page"/>
              </v:group>
            </w:pict>
          </mc:Fallback>
        </mc:AlternateContent>
      </w:r>
      <w:r w:rsidRPr="00A31C45">
        <w:rPr>
          <w:rFonts w:eastAsia="Symbol"/>
          <w:szCs w:val="21"/>
        </w:rPr>
        <w:t></w:t>
      </w:r>
      <w:r w:rsidRPr="00A31C45">
        <w:rPr>
          <w:szCs w:val="21"/>
        </w:rPr>
        <w:tab/>
        <w:t>Pas de</w:t>
      </w:r>
      <w:r w:rsidRPr="00A31C45">
        <w:rPr>
          <w:spacing w:val="-2"/>
          <w:szCs w:val="21"/>
        </w:rPr>
        <w:t xml:space="preserve"> </w:t>
      </w:r>
      <w:r w:rsidRPr="00A31C45">
        <w:rPr>
          <w:spacing w:val="1"/>
          <w:szCs w:val="21"/>
        </w:rPr>
        <w:t>t</w:t>
      </w:r>
      <w:r w:rsidRPr="00A31C45">
        <w:rPr>
          <w:spacing w:val="-2"/>
          <w:szCs w:val="21"/>
        </w:rPr>
        <w:t>r</w:t>
      </w:r>
      <w:r w:rsidRPr="00A31C45">
        <w:rPr>
          <w:szCs w:val="21"/>
        </w:rPr>
        <w:t>a</w:t>
      </w:r>
      <w:r w:rsidRPr="00A31C45">
        <w:rPr>
          <w:spacing w:val="-2"/>
          <w:szCs w:val="21"/>
        </w:rPr>
        <w:t>v</w:t>
      </w:r>
      <w:r w:rsidRPr="00A31C45">
        <w:rPr>
          <w:szCs w:val="21"/>
        </w:rPr>
        <w:t>a</w:t>
      </w:r>
      <w:r w:rsidRPr="00A31C45">
        <w:rPr>
          <w:spacing w:val="1"/>
          <w:szCs w:val="21"/>
        </w:rPr>
        <w:t>i</w:t>
      </w:r>
      <w:r w:rsidRPr="00A31C45">
        <w:rPr>
          <w:szCs w:val="21"/>
        </w:rPr>
        <w:t>l</w:t>
      </w:r>
      <w:r w:rsidRPr="00A31C45">
        <w:rPr>
          <w:spacing w:val="-1"/>
          <w:szCs w:val="21"/>
        </w:rPr>
        <w:t xml:space="preserve"> </w:t>
      </w:r>
      <w:r w:rsidRPr="00A31C45">
        <w:rPr>
          <w:szCs w:val="21"/>
        </w:rPr>
        <w:t>en</w:t>
      </w:r>
      <w:r w:rsidRPr="00A31C45">
        <w:rPr>
          <w:spacing w:val="-2"/>
          <w:szCs w:val="21"/>
        </w:rPr>
        <w:t>v</w:t>
      </w:r>
      <w:r w:rsidRPr="00A31C45">
        <w:rPr>
          <w:spacing w:val="1"/>
          <w:szCs w:val="21"/>
        </w:rPr>
        <w:t>ir</w:t>
      </w:r>
      <w:r w:rsidRPr="00A31C45">
        <w:rPr>
          <w:szCs w:val="21"/>
        </w:rPr>
        <w:t>on</w:t>
      </w:r>
      <w:r w:rsidRPr="00A31C45">
        <w:rPr>
          <w:spacing w:val="-2"/>
          <w:szCs w:val="21"/>
        </w:rPr>
        <w:t>n</w:t>
      </w:r>
      <w:r w:rsidRPr="00A31C45">
        <w:rPr>
          <w:szCs w:val="21"/>
        </w:rPr>
        <w:t>e</w:t>
      </w:r>
      <w:r w:rsidRPr="00A31C45">
        <w:rPr>
          <w:spacing w:val="-3"/>
          <w:szCs w:val="21"/>
        </w:rPr>
        <w:t>m</w:t>
      </w:r>
      <w:r w:rsidRPr="00A31C45">
        <w:rPr>
          <w:szCs w:val="21"/>
        </w:rPr>
        <w:t>en</w:t>
      </w:r>
      <w:r w:rsidRPr="00A31C45">
        <w:rPr>
          <w:spacing w:val="1"/>
          <w:szCs w:val="21"/>
        </w:rPr>
        <w:t>t</w:t>
      </w:r>
      <w:r w:rsidRPr="00A31C45">
        <w:rPr>
          <w:spacing w:val="-2"/>
          <w:szCs w:val="21"/>
        </w:rPr>
        <w:t>a</w:t>
      </w:r>
      <w:r w:rsidRPr="00A31C45">
        <w:rPr>
          <w:szCs w:val="21"/>
        </w:rPr>
        <w:t>l</w:t>
      </w:r>
    </w:p>
    <w:p w14:paraId="3676236A" w14:textId="77777777" w:rsidR="009021F1" w:rsidRPr="00A31C45" w:rsidRDefault="009021F1" w:rsidP="009021F1">
      <w:pPr>
        <w:tabs>
          <w:tab w:val="left" w:pos="460"/>
        </w:tabs>
        <w:ind w:left="116" w:right="-20"/>
        <w:rPr>
          <w:szCs w:val="21"/>
        </w:rPr>
      </w:pPr>
      <w:r w:rsidRPr="00A31C45">
        <w:rPr>
          <w:noProof/>
          <w:szCs w:val="21"/>
        </w:rPr>
        <mc:AlternateContent>
          <mc:Choice Requires="wpg">
            <w:drawing>
              <wp:anchor distT="0" distB="0" distL="114300" distR="114300" simplePos="0" relativeHeight="251723820" behindDoc="1" locked="0" layoutInCell="1" allowOverlap="1" wp14:anchorId="0AC3E73F" wp14:editId="188B1BBA">
                <wp:simplePos x="0" y="0"/>
                <wp:positionH relativeFrom="page">
                  <wp:posOffset>3695065</wp:posOffset>
                </wp:positionH>
                <wp:positionV relativeFrom="paragraph">
                  <wp:posOffset>36830</wp:posOffset>
                </wp:positionV>
                <wp:extent cx="228600" cy="114300"/>
                <wp:effectExtent l="0" t="0" r="19050" b="19050"/>
                <wp:wrapNone/>
                <wp:docPr id="217" name="Groupe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114300"/>
                          <a:chOff x="5377" y="58"/>
                          <a:chExt cx="360" cy="180"/>
                        </a:xfrm>
                      </wpg:grpSpPr>
                      <wps:wsp>
                        <wps:cNvPr id="218" name="Freeform 232"/>
                        <wps:cNvSpPr>
                          <a:spLocks noChangeArrowheads="1"/>
                        </wps:cNvSpPr>
                        <wps:spPr bwMode="auto">
                          <a:xfrm>
                            <a:off x="5377" y="58"/>
                            <a:ext cx="360" cy="180"/>
                          </a:xfrm>
                          <a:custGeom>
                            <a:avLst/>
                            <a:gdLst>
                              <a:gd name="T0" fmla="+- 0 5377 5377"/>
                              <a:gd name="T1" fmla="*/ T0 w 360"/>
                              <a:gd name="T2" fmla="+- 0 238 58"/>
                              <a:gd name="T3" fmla="*/ 238 h 180"/>
                              <a:gd name="T4" fmla="+- 0 5737 5377"/>
                              <a:gd name="T5" fmla="*/ T4 w 360"/>
                              <a:gd name="T6" fmla="+- 0 238 58"/>
                              <a:gd name="T7" fmla="*/ 238 h 180"/>
                              <a:gd name="T8" fmla="+- 0 5737 5377"/>
                              <a:gd name="T9" fmla="*/ T8 w 360"/>
                              <a:gd name="T10" fmla="+- 0 58 58"/>
                              <a:gd name="T11" fmla="*/ 58 h 180"/>
                              <a:gd name="T12" fmla="+- 0 5377 5377"/>
                              <a:gd name="T13" fmla="*/ T12 w 360"/>
                              <a:gd name="T14" fmla="+- 0 58 58"/>
                              <a:gd name="T15" fmla="*/ 58 h 180"/>
                              <a:gd name="T16" fmla="+- 0 5377 5377"/>
                              <a:gd name="T17" fmla="*/ T16 w 360"/>
                              <a:gd name="T18" fmla="+- 0 238 58"/>
                              <a:gd name="T19" fmla="*/ 238 h 180"/>
                            </a:gdLst>
                            <a:ahLst/>
                            <a:cxnLst>
                              <a:cxn ang="0">
                                <a:pos x="T1" y="T3"/>
                              </a:cxn>
                              <a:cxn ang="0">
                                <a:pos x="T5" y="T7"/>
                              </a:cxn>
                              <a:cxn ang="0">
                                <a:pos x="T9" y="T11"/>
                              </a:cxn>
                              <a:cxn ang="0">
                                <a:pos x="T13" y="T15"/>
                              </a:cxn>
                              <a:cxn ang="0">
                                <a:pos x="T17" y="T19"/>
                              </a:cxn>
                            </a:cxnLst>
                            <a:rect l="0" t="0" r="r" b="b"/>
                            <a:pathLst>
                              <a:path w="360" h="180">
                                <a:moveTo>
                                  <a:pt x="0" y="180"/>
                                </a:moveTo>
                                <a:lnTo>
                                  <a:pt x="360" y="180"/>
                                </a:lnTo>
                                <a:lnTo>
                                  <a:pt x="360" y="0"/>
                                </a:lnTo>
                                <a:lnTo>
                                  <a:pt x="0" y="0"/>
                                </a:lnTo>
                                <a:lnTo>
                                  <a:pt x="0" y="180"/>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22CDD59" id="Groupe 217" o:spid="_x0000_s1026" style="position:absolute;margin-left:290.95pt;margin-top:2.9pt;width:18pt;height:9pt;z-index:-251592660;mso-position-horizontal-relative:page" coordorigin="5377,58"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">
                <v:shape id="Freeform 232" o:spid="_x0000_s1027" style="position:absolute;left:5377;top:58;width:360;height:180;visibility:visible;mso-wrap-style:square;v-text-anchor:top"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" path="m,180r360,l360,,,,,180xe" filled="f">
                  <v:path o:connecttype="custom" o:connectlocs="0,238;360,238;360,58;0,58;0,238" o:connectangles="0,0,0,0,0"/>
                </v:shape>
                <w10:wrap anchorx="page"/>
              </v:group>
            </w:pict>
          </mc:Fallback>
        </mc:AlternateContent>
      </w:r>
      <w:r w:rsidRPr="00A31C45">
        <w:rPr>
          <w:rFonts w:eastAsia="Symbol"/>
          <w:szCs w:val="21"/>
        </w:rPr>
        <w:t></w:t>
      </w:r>
      <w:r w:rsidRPr="00A31C45">
        <w:rPr>
          <w:szCs w:val="21"/>
        </w:rPr>
        <w:tab/>
        <w:t>Si</w:t>
      </w:r>
      <w:r w:rsidRPr="00A31C45">
        <w:rPr>
          <w:spacing w:val="-3"/>
          <w:szCs w:val="21"/>
        </w:rPr>
        <w:t>m</w:t>
      </w:r>
      <w:r w:rsidRPr="00A31C45">
        <w:rPr>
          <w:szCs w:val="21"/>
        </w:rPr>
        <w:t>p</w:t>
      </w:r>
      <w:r w:rsidRPr="00A31C45">
        <w:rPr>
          <w:spacing w:val="1"/>
          <w:szCs w:val="21"/>
        </w:rPr>
        <w:t>l</w:t>
      </w:r>
      <w:r w:rsidRPr="00A31C45">
        <w:rPr>
          <w:szCs w:val="21"/>
        </w:rPr>
        <w:t>es</w:t>
      </w:r>
      <w:r w:rsidRPr="00A31C45">
        <w:rPr>
          <w:spacing w:val="1"/>
          <w:szCs w:val="21"/>
        </w:rPr>
        <w:t xml:space="preserve"> </w:t>
      </w:r>
      <w:r w:rsidRPr="00A31C45">
        <w:rPr>
          <w:spacing w:val="-4"/>
          <w:szCs w:val="21"/>
        </w:rPr>
        <w:t>m</w:t>
      </w:r>
      <w:r w:rsidRPr="00A31C45">
        <w:rPr>
          <w:szCs w:val="21"/>
        </w:rPr>
        <w:t>e</w:t>
      </w:r>
      <w:r w:rsidRPr="00A31C45">
        <w:rPr>
          <w:spacing w:val="1"/>
          <w:szCs w:val="21"/>
        </w:rPr>
        <w:t>s</w:t>
      </w:r>
      <w:r w:rsidRPr="00A31C45">
        <w:rPr>
          <w:szCs w:val="21"/>
        </w:rPr>
        <w:t>u</w:t>
      </w:r>
      <w:r w:rsidRPr="00A31C45">
        <w:rPr>
          <w:spacing w:val="1"/>
          <w:szCs w:val="21"/>
        </w:rPr>
        <w:t>r</w:t>
      </w:r>
      <w:r w:rsidRPr="00A31C45">
        <w:rPr>
          <w:szCs w:val="21"/>
        </w:rPr>
        <w:t>es</w:t>
      </w:r>
      <w:r w:rsidRPr="00A31C45">
        <w:rPr>
          <w:spacing w:val="1"/>
          <w:szCs w:val="21"/>
        </w:rPr>
        <w:t xml:space="preserve"> </w:t>
      </w:r>
      <w:r w:rsidRPr="00A31C45">
        <w:rPr>
          <w:spacing w:val="-2"/>
          <w:szCs w:val="21"/>
        </w:rPr>
        <w:t>d</w:t>
      </w:r>
      <w:r w:rsidRPr="00A31C45">
        <w:rPr>
          <w:szCs w:val="21"/>
        </w:rPr>
        <w:t xml:space="preserve">e </w:t>
      </w:r>
      <w:r w:rsidRPr="00A31C45">
        <w:rPr>
          <w:spacing w:val="-3"/>
          <w:szCs w:val="21"/>
        </w:rPr>
        <w:t>m</w:t>
      </w:r>
      <w:r w:rsidRPr="00A31C45">
        <w:rPr>
          <w:spacing w:val="1"/>
          <w:szCs w:val="21"/>
        </w:rPr>
        <w:t>iti</w:t>
      </w:r>
      <w:r w:rsidRPr="00A31C45">
        <w:rPr>
          <w:spacing w:val="-2"/>
          <w:szCs w:val="21"/>
        </w:rPr>
        <w:t>g</w:t>
      </w:r>
      <w:r w:rsidRPr="00A31C45">
        <w:rPr>
          <w:szCs w:val="21"/>
        </w:rPr>
        <w:t>a</w:t>
      </w:r>
      <w:r w:rsidRPr="00A31C45">
        <w:rPr>
          <w:spacing w:val="-1"/>
          <w:szCs w:val="21"/>
        </w:rPr>
        <w:t>t</w:t>
      </w:r>
      <w:r w:rsidRPr="00A31C45">
        <w:rPr>
          <w:spacing w:val="1"/>
          <w:szCs w:val="21"/>
        </w:rPr>
        <w:t>i</w:t>
      </w:r>
      <w:r w:rsidRPr="00A31C45">
        <w:rPr>
          <w:szCs w:val="21"/>
        </w:rPr>
        <w:t>on</w:t>
      </w:r>
    </w:p>
    <w:p w14:paraId="6D396974" w14:textId="77777777" w:rsidR="009021F1" w:rsidRPr="00A31C45" w:rsidRDefault="009021F1" w:rsidP="009021F1">
      <w:pPr>
        <w:tabs>
          <w:tab w:val="left" w:pos="460"/>
        </w:tabs>
        <w:ind w:left="116" w:right="-20"/>
        <w:rPr>
          <w:szCs w:val="21"/>
        </w:rPr>
      </w:pPr>
      <w:r w:rsidRPr="00A31C45">
        <w:rPr>
          <w:noProof/>
          <w:szCs w:val="21"/>
        </w:rPr>
        <mc:AlternateContent>
          <mc:Choice Requires="wpg">
            <w:drawing>
              <wp:anchor distT="0" distB="0" distL="114300" distR="114300" simplePos="0" relativeHeight="251724844" behindDoc="1" locked="0" layoutInCell="1" allowOverlap="1" wp14:anchorId="2BB37F1F" wp14:editId="202085DB">
                <wp:simplePos x="0" y="0"/>
                <wp:positionH relativeFrom="page">
                  <wp:posOffset>3695700</wp:posOffset>
                </wp:positionH>
                <wp:positionV relativeFrom="paragraph">
                  <wp:posOffset>5080</wp:posOffset>
                </wp:positionV>
                <wp:extent cx="228600" cy="128270"/>
                <wp:effectExtent l="0" t="0" r="19050" b="24130"/>
                <wp:wrapNone/>
                <wp:docPr id="219" name="Groupe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128270"/>
                          <a:chOff x="5377" y="8"/>
                          <a:chExt cx="360" cy="202"/>
                        </a:xfrm>
                      </wpg:grpSpPr>
                      <wps:wsp>
                        <wps:cNvPr id="220" name="Freeform 230"/>
                        <wps:cNvSpPr>
                          <a:spLocks noChangeArrowheads="1"/>
                        </wps:cNvSpPr>
                        <wps:spPr bwMode="auto">
                          <a:xfrm>
                            <a:off x="5377" y="8"/>
                            <a:ext cx="360" cy="202"/>
                          </a:xfrm>
                          <a:custGeom>
                            <a:avLst/>
                            <a:gdLst>
                              <a:gd name="T0" fmla="+- 0 5377 5377"/>
                              <a:gd name="T1" fmla="*/ T0 w 360"/>
                              <a:gd name="T2" fmla="+- 0 210 8"/>
                              <a:gd name="T3" fmla="*/ 210 h 202"/>
                              <a:gd name="T4" fmla="+- 0 5737 5377"/>
                              <a:gd name="T5" fmla="*/ T4 w 360"/>
                              <a:gd name="T6" fmla="+- 0 210 8"/>
                              <a:gd name="T7" fmla="*/ 210 h 202"/>
                              <a:gd name="T8" fmla="+- 0 5737 5377"/>
                              <a:gd name="T9" fmla="*/ T8 w 360"/>
                              <a:gd name="T10" fmla="+- 0 8 8"/>
                              <a:gd name="T11" fmla="*/ 8 h 202"/>
                              <a:gd name="T12" fmla="+- 0 5377 5377"/>
                              <a:gd name="T13" fmla="*/ T12 w 360"/>
                              <a:gd name="T14" fmla="+- 0 8 8"/>
                              <a:gd name="T15" fmla="*/ 8 h 202"/>
                              <a:gd name="T16" fmla="+- 0 5377 5377"/>
                              <a:gd name="T17" fmla="*/ T16 w 360"/>
                              <a:gd name="T18" fmla="+- 0 210 8"/>
                              <a:gd name="T19" fmla="*/ 210 h 202"/>
                            </a:gdLst>
                            <a:ahLst/>
                            <a:cxnLst>
                              <a:cxn ang="0">
                                <a:pos x="T1" y="T3"/>
                              </a:cxn>
                              <a:cxn ang="0">
                                <a:pos x="T5" y="T7"/>
                              </a:cxn>
                              <a:cxn ang="0">
                                <a:pos x="T9" y="T11"/>
                              </a:cxn>
                              <a:cxn ang="0">
                                <a:pos x="T13" y="T15"/>
                              </a:cxn>
                              <a:cxn ang="0">
                                <a:pos x="T17" y="T19"/>
                              </a:cxn>
                            </a:cxnLst>
                            <a:rect l="0" t="0" r="r" b="b"/>
                            <a:pathLst>
                              <a:path w="360" h="202">
                                <a:moveTo>
                                  <a:pt x="0" y="202"/>
                                </a:moveTo>
                                <a:lnTo>
                                  <a:pt x="360" y="202"/>
                                </a:lnTo>
                                <a:lnTo>
                                  <a:pt x="360" y="0"/>
                                </a:lnTo>
                                <a:lnTo>
                                  <a:pt x="0" y="0"/>
                                </a:lnTo>
                                <a:lnTo>
                                  <a:pt x="0" y="202"/>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9F8F7DC" id="Groupe 219" o:spid="_x0000_s1026" style="position:absolute;margin-left:291pt;margin-top:.4pt;width:18pt;height:10.1pt;z-index:-251591636;mso-position-horizontal-relative:page" coordorigin="5377,8" coordsize="360,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">
                <v:shape id="Freeform 230" o:spid="_x0000_s1027" style="position:absolute;left:5377;top:8;width:360;height:202;visibility:visible;mso-wrap-style:square;v-text-anchor:top" coordsize="36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" path="m,202r360,l360,,,,,202xe" filled="f">
                  <v:path o:connecttype="custom" o:connectlocs="0,210;360,210;360,8;0,8;0,210" o:connectangles="0,0,0,0,0"/>
                </v:shape>
                <w10:wrap anchorx="page"/>
              </v:group>
            </w:pict>
          </mc:Fallback>
        </mc:AlternateContent>
      </w:r>
      <w:r w:rsidRPr="00A31C45">
        <w:rPr>
          <w:rFonts w:eastAsia="Symbol"/>
          <w:szCs w:val="21"/>
        </w:rPr>
        <w:t></w:t>
      </w:r>
      <w:r w:rsidRPr="00A31C45">
        <w:rPr>
          <w:szCs w:val="21"/>
        </w:rPr>
        <w:tab/>
        <w:t>Étude</w:t>
      </w:r>
      <w:r w:rsidRPr="00A31C45">
        <w:rPr>
          <w:spacing w:val="1"/>
          <w:szCs w:val="21"/>
        </w:rPr>
        <w:t xml:space="preserve"> </w:t>
      </w:r>
      <w:r w:rsidRPr="00A31C45">
        <w:rPr>
          <w:spacing w:val="-2"/>
          <w:szCs w:val="21"/>
        </w:rPr>
        <w:t>d</w:t>
      </w:r>
      <w:r w:rsidRPr="00A31C45">
        <w:rPr>
          <w:spacing w:val="1"/>
          <w:szCs w:val="21"/>
        </w:rPr>
        <w:t>’</w:t>
      </w:r>
      <w:r w:rsidRPr="00A31C45">
        <w:rPr>
          <w:spacing w:val="-2"/>
          <w:szCs w:val="21"/>
        </w:rPr>
        <w:t>I</w:t>
      </w:r>
      <w:r w:rsidRPr="00A31C45">
        <w:rPr>
          <w:spacing w:val="-4"/>
          <w:szCs w:val="21"/>
        </w:rPr>
        <w:t>m</w:t>
      </w:r>
      <w:r w:rsidRPr="00A31C45">
        <w:rPr>
          <w:szCs w:val="21"/>
        </w:rPr>
        <w:t>pact</w:t>
      </w:r>
      <w:r w:rsidRPr="00A31C45">
        <w:rPr>
          <w:spacing w:val="1"/>
          <w:szCs w:val="21"/>
        </w:rPr>
        <w:t xml:space="preserve"> </w:t>
      </w:r>
      <w:r w:rsidRPr="00A31C45">
        <w:rPr>
          <w:szCs w:val="21"/>
        </w:rPr>
        <w:t>En</w:t>
      </w:r>
      <w:r w:rsidRPr="00A31C45">
        <w:rPr>
          <w:spacing w:val="-3"/>
          <w:szCs w:val="21"/>
        </w:rPr>
        <w:t>v</w:t>
      </w:r>
      <w:r w:rsidRPr="00A31C45">
        <w:rPr>
          <w:spacing w:val="1"/>
          <w:szCs w:val="21"/>
        </w:rPr>
        <w:t>ir</w:t>
      </w:r>
      <w:r w:rsidRPr="00A31C45">
        <w:rPr>
          <w:szCs w:val="21"/>
        </w:rPr>
        <w:t>on</w:t>
      </w:r>
      <w:r w:rsidRPr="00A31C45">
        <w:rPr>
          <w:spacing w:val="-2"/>
          <w:szCs w:val="21"/>
        </w:rPr>
        <w:t>ne</w:t>
      </w:r>
      <w:r w:rsidRPr="00A31C45">
        <w:rPr>
          <w:spacing w:val="-4"/>
          <w:szCs w:val="21"/>
        </w:rPr>
        <w:t>m</w:t>
      </w:r>
      <w:r w:rsidRPr="00A31C45">
        <w:rPr>
          <w:szCs w:val="21"/>
        </w:rPr>
        <w:t>en</w:t>
      </w:r>
      <w:r w:rsidRPr="00A31C45">
        <w:rPr>
          <w:spacing w:val="1"/>
          <w:szCs w:val="21"/>
        </w:rPr>
        <w:t>t</w:t>
      </w:r>
      <w:r w:rsidRPr="00A31C45">
        <w:rPr>
          <w:szCs w:val="21"/>
        </w:rPr>
        <w:t>al et Social</w:t>
      </w:r>
    </w:p>
    <w:p w14:paraId="4E8F8013" w14:textId="77777777" w:rsidR="009021F1" w:rsidRPr="00A31C45" w:rsidRDefault="009021F1" w:rsidP="009021F1">
      <w:pPr>
        <w:spacing w:before="3" w:line="220" w:lineRule="exact"/>
        <w:rPr>
          <w:szCs w:val="21"/>
        </w:rPr>
      </w:pPr>
    </w:p>
    <w:p w14:paraId="72313955" w14:textId="77777777" w:rsidR="009021F1" w:rsidRPr="00A31C45" w:rsidRDefault="009021F1" w:rsidP="009021F1">
      <w:pPr>
        <w:spacing w:before="32"/>
        <w:ind w:right="-20"/>
        <w:rPr>
          <w:szCs w:val="21"/>
        </w:rPr>
      </w:pPr>
      <w:r w:rsidRPr="00A31C45">
        <w:rPr>
          <w:b/>
          <w:bCs/>
          <w:i/>
          <w:spacing w:val="1"/>
          <w:szCs w:val="21"/>
          <w:u w:val="thick" w:color="000000"/>
        </w:rPr>
        <w:t>T</w:t>
      </w:r>
      <w:r w:rsidRPr="00A31C45">
        <w:rPr>
          <w:b/>
          <w:bCs/>
          <w:i/>
          <w:szCs w:val="21"/>
          <w:u w:val="thick" w:color="000000"/>
        </w:rPr>
        <w:t>ra</w:t>
      </w:r>
      <w:r w:rsidRPr="00A31C45">
        <w:rPr>
          <w:b/>
          <w:bCs/>
          <w:i/>
          <w:spacing w:val="-2"/>
          <w:szCs w:val="21"/>
          <w:u w:val="thick" w:color="000000"/>
        </w:rPr>
        <w:t>v</w:t>
      </w:r>
      <w:r w:rsidRPr="00A31C45">
        <w:rPr>
          <w:b/>
          <w:bCs/>
          <w:i/>
          <w:szCs w:val="21"/>
          <w:u w:val="thick" w:color="000000"/>
        </w:rPr>
        <w:t>a</w:t>
      </w:r>
      <w:r w:rsidRPr="00A31C45">
        <w:rPr>
          <w:b/>
          <w:bCs/>
          <w:i/>
          <w:spacing w:val="-1"/>
          <w:szCs w:val="21"/>
          <w:u w:val="thick" w:color="000000"/>
        </w:rPr>
        <w:t>i</w:t>
      </w:r>
      <w:r w:rsidRPr="00A31C45">
        <w:rPr>
          <w:b/>
          <w:bCs/>
          <w:i/>
          <w:szCs w:val="21"/>
          <w:u w:val="thick" w:color="000000"/>
        </w:rPr>
        <w:t>l</w:t>
      </w:r>
      <w:r w:rsidRPr="00A31C45">
        <w:rPr>
          <w:b/>
          <w:bCs/>
          <w:i/>
          <w:spacing w:val="1"/>
          <w:szCs w:val="21"/>
          <w:u w:val="thick" w:color="000000"/>
        </w:rPr>
        <w:t xml:space="preserve"> </w:t>
      </w:r>
      <w:r w:rsidRPr="00A31C45">
        <w:rPr>
          <w:b/>
          <w:bCs/>
          <w:i/>
          <w:szCs w:val="21"/>
          <w:u w:val="thick" w:color="000000"/>
        </w:rPr>
        <w:t>social</w:t>
      </w:r>
      <w:r w:rsidRPr="00A31C45">
        <w:rPr>
          <w:b/>
          <w:bCs/>
          <w:i/>
          <w:spacing w:val="-1"/>
          <w:szCs w:val="21"/>
          <w:u w:val="thick" w:color="000000"/>
        </w:rPr>
        <w:t xml:space="preserve"> </w:t>
      </w:r>
      <w:r w:rsidRPr="00A31C45">
        <w:rPr>
          <w:b/>
          <w:bCs/>
          <w:i/>
          <w:szCs w:val="21"/>
          <w:u w:val="thick" w:color="000000"/>
        </w:rPr>
        <w:t>néc</w:t>
      </w:r>
      <w:r w:rsidRPr="00A31C45">
        <w:rPr>
          <w:b/>
          <w:bCs/>
          <w:i/>
          <w:spacing w:val="-2"/>
          <w:szCs w:val="21"/>
          <w:u w:val="thick" w:color="000000"/>
        </w:rPr>
        <w:t>e</w:t>
      </w:r>
      <w:r w:rsidRPr="00A31C45">
        <w:rPr>
          <w:b/>
          <w:bCs/>
          <w:i/>
          <w:szCs w:val="21"/>
          <w:u w:val="thick" w:color="000000"/>
        </w:rPr>
        <w:t>s</w:t>
      </w:r>
      <w:r w:rsidRPr="00A31C45">
        <w:rPr>
          <w:b/>
          <w:bCs/>
          <w:i/>
          <w:spacing w:val="1"/>
          <w:szCs w:val="21"/>
          <w:u w:val="thick" w:color="000000"/>
        </w:rPr>
        <w:t>s</w:t>
      </w:r>
      <w:r w:rsidRPr="00A31C45">
        <w:rPr>
          <w:b/>
          <w:bCs/>
          <w:i/>
          <w:spacing w:val="-2"/>
          <w:szCs w:val="21"/>
          <w:u w:val="thick" w:color="000000"/>
        </w:rPr>
        <w:t>a</w:t>
      </w:r>
      <w:r w:rsidRPr="00A31C45">
        <w:rPr>
          <w:b/>
          <w:bCs/>
          <w:i/>
          <w:spacing w:val="1"/>
          <w:szCs w:val="21"/>
          <w:u w:val="thick" w:color="000000"/>
        </w:rPr>
        <w:t>i</w:t>
      </w:r>
      <w:r w:rsidRPr="00A31C45">
        <w:rPr>
          <w:b/>
          <w:bCs/>
          <w:i/>
          <w:szCs w:val="21"/>
          <w:u w:val="thick" w:color="000000"/>
        </w:rPr>
        <w:t>re</w:t>
      </w:r>
    </w:p>
    <w:p w14:paraId="65716950" w14:textId="77777777" w:rsidR="009021F1" w:rsidRPr="00A31C45" w:rsidRDefault="009021F1" w:rsidP="009021F1">
      <w:pPr>
        <w:spacing w:line="150" w:lineRule="exact"/>
        <w:rPr>
          <w:szCs w:val="21"/>
        </w:rPr>
      </w:pPr>
    </w:p>
    <w:p w14:paraId="4AE21095" w14:textId="77777777" w:rsidR="009021F1" w:rsidRPr="00A31C45" w:rsidRDefault="009021F1" w:rsidP="009021F1">
      <w:pPr>
        <w:tabs>
          <w:tab w:val="left" w:pos="1180"/>
        </w:tabs>
        <w:ind w:left="836" w:right="-20"/>
        <w:rPr>
          <w:szCs w:val="21"/>
        </w:rPr>
      </w:pPr>
      <w:r w:rsidRPr="00A31C45">
        <w:rPr>
          <w:noProof/>
          <w:szCs w:val="21"/>
        </w:rPr>
        <mc:AlternateContent>
          <mc:Choice Requires="wpg">
            <w:drawing>
              <wp:anchor distT="0" distB="0" distL="114300" distR="114300" simplePos="0" relativeHeight="251717676" behindDoc="1" locked="0" layoutInCell="1" allowOverlap="1" wp14:anchorId="1ABBE1E0" wp14:editId="34D51482">
                <wp:simplePos x="0" y="0"/>
                <wp:positionH relativeFrom="page">
                  <wp:posOffset>3662045</wp:posOffset>
                </wp:positionH>
                <wp:positionV relativeFrom="paragraph">
                  <wp:posOffset>57150</wp:posOffset>
                </wp:positionV>
                <wp:extent cx="228600" cy="114300"/>
                <wp:effectExtent l="0" t="0" r="19050" b="19050"/>
                <wp:wrapNone/>
                <wp:docPr id="221" name="Groupe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114300"/>
                          <a:chOff x="5377" y="90"/>
                          <a:chExt cx="360" cy="180"/>
                        </a:xfrm>
                      </wpg:grpSpPr>
                      <wps:wsp>
                        <wps:cNvPr id="222" name="Freeform 294"/>
                        <wps:cNvSpPr>
                          <a:spLocks noChangeArrowheads="1"/>
                        </wps:cNvSpPr>
                        <wps:spPr bwMode="auto">
                          <a:xfrm>
                            <a:off x="5377" y="90"/>
                            <a:ext cx="360" cy="180"/>
                          </a:xfrm>
                          <a:custGeom>
                            <a:avLst/>
                            <a:gdLst>
                              <a:gd name="T0" fmla="+- 0 5377 5377"/>
                              <a:gd name="T1" fmla="*/ T0 w 360"/>
                              <a:gd name="T2" fmla="+- 0 270 90"/>
                              <a:gd name="T3" fmla="*/ 270 h 180"/>
                              <a:gd name="T4" fmla="+- 0 5737 5377"/>
                              <a:gd name="T5" fmla="*/ T4 w 360"/>
                              <a:gd name="T6" fmla="+- 0 270 90"/>
                              <a:gd name="T7" fmla="*/ 270 h 180"/>
                              <a:gd name="T8" fmla="+- 0 5737 5377"/>
                              <a:gd name="T9" fmla="*/ T8 w 360"/>
                              <a:gd name="T10" fmla="+- 0 90 90"/>
                              <a:gd name="T11" fmla="*/ 90 h 180"/>
                              <a:gd name="T12" fmla="+- 0 5377 5377"/>
                              <a:gd name="T13" fmla="*/ T12 w 360"/>
                              <a:gd name="T14" fmla="+- 0 90 90"/>
                              <a:gd name="T15" fmla="*/ 90 h 180"/>
                              <a:gd name="T16" fmla="+- 0 5377 5377"/>
                              <a:gd name="T17" fmla="*/ T16 w 360"/>
                              <a:gd name="T18" fmla="+- 0 270 90"/>
                              <a:gd name="T19" fmla="*/ 270 h 180"/>
                            </a:gdLst>
                            <a:ahLst/>
                            <a:cxnLst>
                              <a:cxn ang="0">
                                <a:pos x="T1" y="T3"/>
                              </a:cxn>
                              <a:cxn ang="0">
                                <a:pos x="T5" y="T7"/>
                              </a:cxn>
                              <a:cxn ang="0">
                                <a:pos x="T9" y="T11"/>
                              </a:cxn>
                              <a:cxn ang="0">
                                <a:pos x="T13" y="T15"/>
                              </a:cxn>
                              <a:cxn ang="0">
                                <a:pos x="T17" y="T19"/>
                              </a:cxn>
                            </a:cxnLst>
                            <a:rect l="0" t="0" r="r" b="b"/>
                            <a:pathLst>
                              <a:path w="360" h="180">
                                <a:moveTo>
                                  <a:pt x="0" y="180"/>
                                </a:moveTo>
                                <a:lnTo>
                                  <a:pt x="360" y="180"/>
                                </a:lnTo>
                                <a:lnTo>
                                  <a:pt x="360" y="0"/>
                                </a:lnTo>
                                <a:lnTo>
                                  <a:pt x="0" y="0"/>
                                </a:lnTo>
                                <a:lnTo>
                                  <a:pt x="0" y="180"/>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7B260CE" id="Groupe 221" o:spid="_x0000_s1026" style="position:absolute;margin-left:288.35pt;margin-top:4.5pt;width:18pt;height:9pt;z-index:-251598804;mso-position-horizontal-relative:page" coordorigin="5377,90"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">
                <v:shape id="Freeform 294" o:spid="_x0000_s1027" style="position:absolute;left:5377;top:90;width:360;height:180;visibility:visible;mso-wrap-style:square;v-text-anchor:top"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" path="m,180r360,l360,,,,,180xe" filled="f">
                  <v:path o:connecttype="custom" o:connectlocs="0,270;360,270;360,90;0,90;0,270" o:connectangles="0,0,0,0,0"/>
                </v:shape>
                <w10:wrap anchorx="page"/>
              </v:group>
            </w:pict>
          </mc:Fallback>
        </mc:AlternateContent>
      </w:r>
      <w:r w:rsidRPr="00A31C45">
        <w:rPr>
          <w:rFonts w:eastAsia="Courier New"/>
          <w:szCs w:val="21"/>
        </w:rPr>
        <w:t>o</w:t>
      </w:r>
      <w:r w:rsidRPr="00A31C45">
        <w:rPr>
          <w:rFonts w:eastAsia="Courier New"/>
          <w:szCs w:val="21"/>
        </w:rPr>
        <w:tab/>
      </w:r>
      <w:r w:rsidRPr="00A31C45">
        <w:rPr>
          <w:szCs w:val="21"/>
        </w:rPr>
        <w:t>Pas de</w:t>
      </w:r>
      <w:r w:rsidRPr="00A31C45">
        <w:rPr>
          <w:spacing w:val="-2"/>
          <w:szCs w:val="21"/>
        </w:rPr>
        <w:t xml:space="preserve"> </w:t>
      </w:r>
      <w:r w:rsidRPr="00A31C45">
        <w:rPr>
          <w:spacing w:val="1"/>
          <w:szCs w:val="21"/>
        </w:rPr>
        <w:t>t</w:t>
      </w:r>
      <w:r w:rsidRPr="00A31C45">
        <w:rPr>
          <w:spacing w:val="-2"/>
          <w:szCs w:val="21"/>
        </w:rPr>
        <w:t>r</w:t>
      </w:r>
      <w:r w:rsidRPr="00A31C45">
        <w:rPr>
          <w:szCs w:val="21"/>
        </w:rPr>
        <w:t>a</w:t>
      </w:r>
      <w:r w:rsidRPr="00A31C45">
        <w:rPr>
          <w:spacing w:val="-2"/>
          <w:szCs w:val="21"/>
        </w:rPr>
        <w:t>v</w:t>
      </w:r>
      <w:r w:rsidRPr="00A31C45">
        <w:rPr>
          <w:szCs w:val="21"/>
        </w:rPr>
        <w:t>a</w:t>
      </w:r>
      <w:r w:rsidRPr="00A31C45">
        <w:rPr>
          <w:spacing w:val="1"/>
          <w:szCs w:val="21"/>
        </w:rPr>
        <w:t>i</w:t>
      </w:r>
      <w:r w:rsidRPr="00A31C45">
        <w:rPr>
          <w:szCs w:val="21"/>
        </w:rPr>
        <w:t>l</w:t>
      </w:r>
      <w:r w:rsidRPr="00A31C45">
        <w:rPr>
          <w:spacing w:val="-1"/>
          <w:szCs w:val="21"/>
        </w:rPr>
        <w:t xml:space="preserve"> </w:t>
      </w:r>
      <w:r w:rsidRPr="00A31C45">
        <w:rPr>
          <w:szCs w:val="21"/>
        </w:rPr>
        <w:t>so</w:t>
      </w:r>
      <w:r w:rsidRPr="00A31C45">
        <w:rPr>
          <w:spacing w:val="-2"/>
          <w:szCs w:val="21"/>
        </w:rPr>
        <w:t>c</w:t>
      </w:r>
      <w:r w:rsidRPr="00A31C45">
        <w:rPr>
          <w:spacing w:val="1"/>
          <w:szCs w:val="21"/>
        </w:rPr>
        <w:t>i</w:t>
      </w:r>
      <w:r w:rsidRPr="00A31C45">
        <w:rPr>
          <w:szCs w:val="21"/>
        </w:rPr>
        <w:t>al</w:t>
      </w:r>
      <w:r w:rsidRPr="00A31C45">
        <w:rPr>
          <w:spacing w:val="-1"/>
          <w:szCs w:val="21"/>
        </w:rPr>
        <w:t xml:space="preserve"> </w:t>
      </w:r>
      <w:r w:rsidRPr="00A31C45">
        <w:rPr>
          <w:szCs w:val="21"/>
        </w:rPr>
        <w:t xml:space="preserve">à </w:t>
      </w:r>
      <w:r w:rsidRPr="00A31C45">
        <w:rPr>
          <w:spacing w:val="-1"/>
          <w:szCs w:val="21"/>
        </w:rPr>
        <w:t>f</w:t>
      </w:r>
      <w:r w:rsidRPr="00A31C45">
        <w:rPr>
          <w:szCs w:val="21"/>
        </w:rPr>
        <w:t>a</w:t>
      </w:r>
      <w:r w:rsidRPr="00A31C45">
        <w:rPr>
          <w:spacing w:val="-1"/>
          <w:szCs w:val="21"/>
        </w:rPr>
        <w:t>i</w:t>
      </w:r>
      <w:r w:rsidRPr="00A31C45">
        <w:rPr>
          <w:spacing w:val="1"/>
          <w:szCs w:val="21"/>
        </w:rPr>
        <w:t>r</w:t>
      </w:r>
      <w:r w:rsidRPr="00A31C45">
        <w:rPr>
          <w:szCs w:val="21"/>
        </w:rPr>
        <w:t>e</w:t>
      </w:r>
    </w:p>
    <w:p w14:paraId="5DA2FAE5" w14:textId="77777777" w:rsidR="009021F1" w:rsidRPr="00A31C45" w:rsidRDefault="009021F1" w:rsidP="009021F1">
      <w:pPr>
        <w:tabs>
          <w:tab w:val="left" w:pos="1180"/>
        </w:tabs>
        <w:ind w:left="836" w:right="-20"/>
        <w:rPr>
          <w:szCs w:val="21"/>
        </w:rPr>
      </w:pPr>
      <w:r w:rsidRPr="00A31C45">
        <w:rPr>
          <w:noProof/>
          <w:szCs w:val="21"/>
        </w:rPr>
        <mc:AlternateContent>
          <mc:Choice Requires="wpg">
            <w:drawing>
              <wp:anchor distT="0" distB="0" distL="114300" distR="114300" simplePos="0" relativeHeight="251718700" behindDoc="1" locked="0" layoutInCell="1" allowOverlap="1" wp14:anchorId="6D8099AA" wp14:editId="7993F1CF">
                <wp:simplePos x="0" y="0"/>
                <wp:positionH relativeFrom="page">
                  <wp:posOffset>3668395</wp:posOffset>
                </wp:positionH>
                <wp:positionV relativeFrom="paragraph">
                  <wp:posOffset>172085</wp:posOffset>
                </wp:positionV>
                <wp:extent cx="228600" cy="128270"/>
                <wp:effectExtent l="0" t="0" r="19050" b="24130"/>
                <wp:wrapNone/>
                <wp:docPr id="223" name="Groupe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128270"/>
                          <a:chOff x="5377" y="-7"/>
                          <a:chExt cx="360" cy="202"/>
                        </a:xfrm>
                      </wpg:grpSpPr>
                      <wps:wsp>
                        <wps:cNvPr id="224" name="Freeform 290"/>
                        <wps:cNvSpPr>
                          <a:spLocks noChangeArrowheads="1"/>
                        </wps:cNvSpPr>
                        <wps:spPr bwMode="auto">
                          <a:xfrm>
                            <a:off x="5377" y="-7"/>
                            <a:ext cx="360" cy="202"/>
                          </a:xfrm>
                          <a:custGeom>
                            <a:avLst/>
                            <a:gdLst>
                              <a:gd name="T0" fmla="+- 0 5377 5377"/>
                              <a:gd name="T1" fmla="*/ T0 w 360"/>
                              <a:gd name="T2" fmla="+- 0 195 -7"/>
                              <a:gd name="T3" fmla="*/ 195 h 202"/>
                              <a:gd name="T4" fmla="+- 0 5737 5377"/>
                              <a:gd name="T5" fmla="*/ T4 w 360"/>
                              <a:gd name="T6" fmla="+- 0 195 -7"/>
                              <a:gd name="T7" fmla="*/ 195 h 202"/>
                              <a:gd name="T8" fmla="+- 0 5737 5377"/>
                              <a:gd name="T9" fmla="*/ T8 w 360"/>
                              <a:gd name="T10" fmla="+- 0 -7 -7"/>
                              <a:gd name="T11" fmla="*/ -7 h 202"/>
                              <a:gd name="T12" fmla="+- 0 5377 5377"/>
                              <a:gd name="T13" fmla="*/ T12 w 360"/>
                              <a:gd name="T14" fmla="+- 0 -7 -7"/>
                              <a:gd name="T15" fmla="*/ -7 h 202"/>
                              <a:gd name="T16" fmla="+- 0 5377 5377"/>
                              <a:gd name="T17" fmla="*/ T16 w 360"/>
                              <a:gd name="T18" fmla="+- 0 195 -7"/>
                              <a:gd name="T19" fmla="*/ 195 h 202"/>
                            </a:gdLst>
                            <a:ahLst/>
                            <a:cxnLst>
                              <a:cxn ang="0">
                                <a:pos x="T1" y="T3"/>
                              </a:cxn>
                              <a:cxn ang="0">
                                <a:pos x="T5" y="T7"/>
                              </a:cxn>
                              <a:cxn ang="0">
                                <a:pos x="T9" y="T11"/>
                              </a:cxn>
                              <a:cxn ang="0">
                                <a:pos x="T13" y="T15"/>
                              </a:cxn>
                              <a:cxn ang="0">
                                <a:pos x="T17" y="T19"/>
                              </a:cxn>
                            </a:cxnLst>
                            <a:rect l="0" t="0" r="r" b="b"/>
                            <a:pathLst>
                              <a:path w="360" h="202">
                                <a:moveTo>
                                  <a:pt x="0" y="202"/>
                                </a:moveTo>
                                <a:lnTo>
                                  <a:pt x="360" y="202"/>
                                </a:lnTo>
                                <a:lnTo>
                                  <a:pt x="360" y="0"/>
                                </a:lnTo>
                                <a:lnTo>
                                  <a:pt x="0" y="0"/>
                                </a:lnTo>
                                <a:lnTo>
                                  <a:pt x="0" y="202"/>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AF8E8A6" id="Groupe 223" o:spid="_x0000_s1026" style="position:absolute;margin-left:288.85pt;margin-top:13.55pt;width:18pt;height:10.1pt;z-index:-251597780;mso-position-horizontal-relative:page" coordorigin="5377,-7" coordsize="360,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">
                <v:shape id="Freeform 290" o:spid="_x0000_s1027" style="position:absolute;left:5377;top:-7;width:360;height:202;visibility:visible;mso-wrap-style:square;v-text-anchor:top" coordsize="36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" path="m,202r360,l360,,,,,202xe" filled="f">
                  <v:path o:connecttype="custom" o:connectlocs="0,195;360,195;360,-7;0,-7;0,195" o:connectangles="0,0,0,0,0"/>
                </v:shape>
                <w10:wrap anchorx="page"/>
              </v:group>
            </w:pict>
          </mc:Fallback>
        </mc:AlternateContent>
      </w:r>
      <w:r w:rsidRPr="00A31C45">
        <w:rPr>
          <w:noProof/>
          <w:szCs w:val="21"/>
        </w:rPr>
        <mc:AlternateContent>
          <mc:Choice Requires="wpg">
            <w:drawing>
              <wp:anchor distT="0" distB="0" distL="114300" distR="114300" simplePos="0" relativeHeight="251726892" behindDoc="1" locked="0" layoutInCell="1" allowOverlap="1" wp14:anchorId="3BB0977F" wp14:editId="00B0C260">
                <wp:simplePos x="0" y="0"/>
                <wp:positionH relativeFrom="page">
                  <wp:posOffset>3668395</wp:posOffset>
                </wp:positionH>
                <wp:positionV relativeFrom="paragraph">
                  <wp:posOffset>14605</wp:posOffset>
                </wp:positionV>
                <wp:extent cx="228600" cy="128270"/>
                <wp:effectExtent l="0" t="0" r="19050" b="24130"/>
                <wp:wrapNone/>
                <wp:docPr id="225" name="Groupe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128270"/>
                          <a:chOff x="5377" y="-7"/>
                          <a:chExt cx="360" cy="202"/>
                        </a:xfrm>
                      </wpg:grpSpPr>
                      <wps:wsp>
                        <wps:cNvPr id="226" name="Freeform 290"/>
                        <wps:cNvSpPr>
                          <a:spLocks noChangeArrowheads="1"/>
                        </wps:cNvSpPr>
                        <wps:spPr bwMode="auto">
                          <a:xfrm>
                            <a:off x="5377" y="-7"/>
                            <a:ext cx="360" cy="202"/>
                          </a:xfrm>
                          <a:custGeom>
                            <a:avLst/>
                            <a:gdLst>
                              <a:gd name="T0" fmla="+- 0 5377 5377"/>
                              <a:gd name="T1" fmla="*/ T0 w 360"/>
                              <a:gd name="T2" fmla="+- 0 195 -7"/>
                              <a:gd name="T3" fmla="*/ 195 h 202"/>
                              <a:gd name="T4" fmla="+- 0 5737 5377"/>
                              <a:gd name="T5" fmla="*/ T4 w 360"/>
                              <a:gd name="T6" fmla="+- 0 195 -7"/>
                              <a:gd name="T7" fmla="*/ 195 h 202"/>
                              <a:gd name="T8" fmla="+- 0 5737 5377"/>
                              <a:gd name="T9" fmla="*/ T8 w 360"/>
                              <a:gd name="T10" fmla="+- 0 -7 -7"/>
                              <a:gd name="T11" fmla="*/ -7 h 202"/>
                              <a:gd name="T12" fmla="+- 0 5377 5377"/>
                              <a:gd name="T13" fmla="*/ T12 w 360"/>
                              <a:gd name="T14" fmla="+- 0 -7 -7"/>
                              <a:gd name="T15" fmla="*/ -7 h 202"/>
                              <a:gd name="T16" fmla="+- 0 5377 5377"/>
                              <a:gd name="T17" fmla="*/ T16 w 360"/>
                              <a:gd name="T18" fmla="+- 0 195 -7"/>
                              <a:gd name="T19" fmla="*/ 195 h 202"/>
                            </a:gdLst>
                            <a:ahLst/>
                            <a:cxnLst>
                              <a:cxn ang="0">
                                <a:pos x="T1" y="T3"/>
                              </a:cxn>
                              <a:cxn ang="0">
                                <a:pos x="T5" y="T7"/>
                              </a:cxn>
                              <a:cxn ang="0">
                                <a:pos x="T9" y="T11"/>
                              </a:cxn>
                              <a:cxn ang="0">
                                <a:pos x="T13" y="T15"/>
                              </a:cxn>
                              <a:cxn ang="0">
                                <a:pos x="T17" y="T19"/>
                              </a:cxn>
                            </a:cxnLst>
                            <a:rect l="0" t="0" r="r" b="b"/>
                            <a:pathLst>
                              <a:path w="360" h="202">
                                <a:moveTo>
                                  <a:pt x="0" y="202"/>
                                </a:moveTo>
                                <a:lnTo>
                                  <a:pt x="360" y="202"/>
                                </a:lnTo>
                                <a:lnTo>
                                  <a:pt x="360" y="0"/>
                                </a:lnTo>
                                <a:lnTo>
                                  <a:pt x="0" y="0"/>
                                </a:lnTo>
                                <a:lnTo>
                                  <a:pt x="0" y="202"/>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F852825" id="Groupe 225" o:spid="_x0000_s1026" style="position:absolute;margin-left:288.85pt;margin-top:1.15pt;width:18pt;height:10.1pt;z-index:-251589588;mso-position-horizontal-relative:page" coordorigin="5377,-7" coordsize="360,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">
                <v:shape id="Freeform 290" o:spid="_x0000_s1027" style="position:absolute;left:5377;top:-7;width:360;height:202;visibility:visible;mso-wrap-style:square;v-text-anchor:top" coordsize="36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" path="m,202r360,l360,,,,,202xe" filled="f">
                  <v:path o:connecttype="custom" o:connectlocs="0,195;360,195;360,-7;0,-7;0,195" o:connectangles="0,0,0,0,0"/>
                </v:shape>
                <w10:wrap anchorx="page"/>
              </v:group>
            </w:pict>
          </mc:Fallback>
        </mc:AlternateContent>
      </w:r>
      <w:r w:rsidRPr="00A31C45">
        <w:rPr>
          <w:rFonts w:eastAsia="Courier New"/>
          <w:szCs w:val="21"/>
        </w:rPr>
        <w:t>o</w:t>
      </w:r>
      <w:r w:rsidRPr="00A31C45">
        <w:rPr>
          <w:rFonts w:eastAsia="Courier New"/>
          <w:szCs w:val="21"/>
        </w:rPr>
        <w:tab/>
      </w:r>
      <w:r w:rsidRPr="00A31C45">
        <w:rPr>
          <w:szCs w:val="21"/>
        </w:rPr>
        <w:t>Plan de subsistance à élaborer</w:t>
      </w:r>
    </w:p>
    <w:p w14:paraId="50800A11" w14:textId="77777777" w:rsidR="009021F1" w:rsidRPr="00A31C45" w:rsidRDefault="009021F1" w:rsidP="009021F1">
      <w:pPr>
        <w:tabs>
          <w:tab w:val="left" w:pos="1180"/>
        </w:tabs>
        <w:ind w:left="836" w:right="-20"/>
        <w:rPr>
          <w:szCs w:val="21"/>
        </w:rPr>
      </w:pPr>
      <w:r w:rsidRPr="00A31C45">
        <w:rPr>
          <w:rFonts w:eastAsia="Courier New"/>
          <w:szCs w:val="21"/>
        </w:rPr>
        <w:t>o</w:t>
      </w:r>
      <w:r w:rsidRPr="00A31C45">
        <w:rPr>
          <w:rFonts w:eastAsia="Courier New"/>
          <w:szCs w:val="21"/>
        </w:rPr>
        <w:tab/>
      </w:r>
      <w:r w:rsidRPr="00A31C45">
        <w:rPr>
          <w:szCs w:val="21"/>
        </w:rPr>
        <w:t>P</w:t>
      </w:r>
      <w:r w:rsidRPr="00A31C45">
        <w:rPr>
          <w:spacing w:val="-1"/>
          <w:szCs w:val="21"/>
        </w:rPr>
        <w:t>A</w:t>
      </w:r>
      <w:r w:rsidRPr="00A31C45">
        <w:rPr>
          <w:szCs w:val="21"/>
        </w:rPr>
        <w:t>R à élaborer</w:t>
      </w:r>
    </w:p>
    <w:p w14:paraId="5B0F1713" w14:textId="77777777" w:rsidR="009021F1" w:rsidRPr="00D579BE" w:rsidRDefault="009021F1" w:rsidP="009021F1">
      <w:pPr>
        <w:pStyle w:val="Titre1"/>
        <w:tabs>
          <w:tab w:val="right" w:pos="9062"/>
        </w:tabs>
        <w:ind w:left="1276" w:hanging="1276"/>
        <w:rPr>
          <w:rFonts w:cs="Arial"/>
          <w:b w:val="0"/>
          <w:szCs w:val="21"/>
        </w:rPr>
      </w:pPr>
      <w:r w:rsidRPr="00D579BE">
        <w:rPr>
          <w:szCs w:val="21"/>
        </w:rPr>
        <w:br w:type="page"/>
      </w:r>
      <w:bookmarkStart w:id="482" w:name="_Toc90471588"/>
      <w:r w:rsidRPr="00B76D27">
        <w:rPr>
          <w:rFonts w:cs="Arial"/>
          <w:szCs w:val="21"/>
        </w:rPr>
        <w:t>ANNEXE 2.</w:t>
      </w:r>
      <w:r w:rsidRPr="00B76D27">
        <w:rPr>
          <w:rFonts w:cs="Arial"/>
          <w:szCs w:val="21"/>
        </w:rPr>
        <w:tab/>
        <w:t>LISTE DE CONTRÔLE ENVIRONNEMENTAL ET SOCIAL</w:t>
      </w:r>
      <w:bookmarkEnd w:id="482"/>
      <w:r w:rsidRPr="00D579BE">
        <w:rPr>
          <w:rFonts w:cs="Arial"/>
          <w:b w:val="0"/>
          <w:szCs w:val="21"/>
        </w:rPr>
        <w:t xml:space="preserve"> </w:t>
      </w:r>
    </w:p>
    <w:p w14:paraId="6CF51921" w14:textId="77777777" w:rsidR="009021F1" w:rsidRPr="00D579BE" w:rsidRDefault="009021F1" w:rsidP="009021F1">
      <w:pPr>
        <w:rPr>
          <w:rFonts w:cs="Arial"/>
          <w:szCs w:val="21"/>
        </w:rPr>
      </w:pPr>
    </w:p>
    <w:p w14:paraId="11D1F00A" w14:textId="77777777" w:rsidR="009021F1" w:rsidRPr="00D579BE" w:rsidRDefault="009021F1" w:rsidP="009021F1">
      <w:pPr>
        <w:rPr>
          <w:rFonts w:cs="Arial"/>
          <w:szCs w:val="21"/>
        </w:rPr>
      </w:pPr>
      <w:r w:rsidRPr="00D579BE">
        <w:rPr>
          <w:rFonts w:cs="Arial"/>
          <w:szCs w:val="21"/>
        </w:rPr>
        <w:t xml:space="preserve">Pour chaque sous-projet proposé, remplir la section correspondante de la liste de contrôle ci-dessous. </w:t>
      </w:r>
    </w:p>
    <w:p w14:paraId="3DF27C96" w14:textId="77777777" w:rsidR="009021F1" w:rsidRPr="00D579BE" w:rsidRDefault="009021F1" w:rsidP="009021F1">
      <w:pPr>
        <w:rPr>
          <w:rFonts w:cs="Arial"/>
          <w:sz w:val="10"/>
          <w:szCs w:val="10"/>
        </w:rPr>
      </w:pPr>
    </w:p>
    <w:tbl>
      <w:tblPr>
        <w:tblW w:w="9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6"/>
        <w:gridCol w:w="4638"/>
        <w:gridCol w:w="708"/>
        <w:gridCol w:w="843"/>
        <w:gridCol w:w="1992"/>
      </w:tblGrid>
      <w:tr w:rsidR="009021F1" w:rsidRPr="00D579BE" w14:paraId="76399C8E" w14:textId="77777777" w:rsidTr="00E637E3">
        <w:tc>
          <w:tcPr>
            <w:tcW w:w="1736" w:type="dxa"/>
            <w:shd w:val="clear" w:color="auto" w:fill="auto"/>
          </w:tcPr>
          <w:p w14:paraId="1AA24EE0" w14:textId="77777777" w:rsidR="009021F1" w:rsidRPr="00D579BE" w:rsidRDefault="009021F1" w:rsidP="00E637E3">
            <w:pPr>
              <w:autoSpaceDE w:val="0"/>
              <w:autoSpaceDN w:val="0"/>
              <w:adjustRightInd w:val="0"/>
              <w:spacing w:line="240" w:lineRule="auto"/>
              <w:rPr>
                <w:rFonts w:eastAsia="Calibri" w:cs="Arial"/>
                <w:b/>
                <w:sz w:val="20"/>
                <w:szCs w:val="20"/>
                <w:lang w:val="en-US" w:eastAsia="en-US"/>
              </w:rPr>
            </w:pPr>
            <w:r w:rsidRPr="00D579BE">
              <w:rPr>
                <w:rFonts w:eastAsia="Calibri" w:cs="Arial"/>
                <w:b/>
                <w:sz w:val="20"/>
                <w:szCs w:val="20"/>
                <w:lang w:val="en-US" w:eastAsia="en-US"/>
              </w:rPr>
              <w:t xml:space="preserve">Activité </w:t>
            </w:r>
          </w:p>
          <w:p w14:paraId="5FB8ACAF" w14:textId="77777777" w:rsidR="009021F1" w:rsidRPr="00D579BE" w:rsidRDefault="009021F1" w:rsidP="00E637E3">
            <w:pPr>
              <w:autoSpaceDE w:val="0"/>
              <w:autoSpaceDN w:val="0"/>
              <w:adjustRightInd w:val="0"/>
              <w:spacing w:line="240" w:lineRule="auto"/>
              <w:rPr>
                <w:rFonts w:eastAsia="Calibri" w:cs="Arial"/>
                <w:b/>
                <w:sz w:val="20"/>
                <w:szCs w:val="20"/>
                <w:lang w:val="en-US" w:eastAsia="en-US"/>
              </w:rPr>
            </w:pPr>
          </w:p>
        </w:tc>
        <w:tc>
          <w:tcPr>
            <w:tcW w:w="4638" w:type="dxa"/>
            <w:shd w:val="clear" w:color="auto" w:fill="auto"/>
          </w:tcPr>
          <w:p w14:paraId="4AC59016" w14:textId="77777777" w:rsidR="009021F1" w:rsidRPr="00D579BE" w:rsidRDefault="009021F1" w:rsidP="00E637E3">
            <w:pPr>
              <w:autoSpaceDE w:val="0"/>
              <w:autoSpaceDN w:val="0"/>
              <w:adjustRightInd w:val="0"/>
              <w:spacing w:line="240" w:lineRule="auto"/>
              <w:rPr>
                <w:rFonts w:eastAsia="Calibri" w:cs="Arial"/>
                <w:b/>
                <w:sz w:val="20"/>
                <w:szCs w:val="20"/>
                <w:lang w:eastAsia="en-US"/>
              </w:rPr>
            </w:pPr>
            <w:r w:rsidRPr="00D579BE">
              <w:rPr>
                <w:rFonts w:eastAsia="Calibri" w:cs="Arial"/>
                <w:b/>
                <w:sz w:val="20"/>
                <w:szCs w:val="20"/>
                <w:lang w:eastAsia="en-US"/>
              </w:rPr>
              <w:t>Questions auxquelles il faut répondre</w:t>
            </w:r>
          </w:p>
        </w:tc>
        <w:tc>
          <w:tcPr>
            <w:tcW w:w="708" w:type="dxa"/>
            <w:shd w:val="clear" w:color="auto" w:fill="auto"/>
          </w:tcPr>
          <w:p w14:paraId="18358605" w14:textId="77777777" w:rsidR="009021F1" w:rsidRPr="00D579BE" w:rsidRDefault="009021F1" w:rsidP="00E637E3">
            <w:pPr>
              <w:autoSpaceDE w:val="0"/>
              <w:autoSpaceDN w:val="0"/>
              <w:adjustRightInd w:val="0"/>
              <w:spacing w:line="240" w:lineRule="auto"/>
              <w:rPr>
                <w:rFonts w:eastAsia="Calibri" w:cs="Arial"/>
                <w:b/>
                <w:sz w:val="20"/>
                <w:szCs w:val="20"/>
                <w:lang w:val="en-US" w:eastAsia="en-US"/>
              </w:rPr>
            </w:pPr>
            <w:r w:rsidRPr="00D579BE">
              <w:rPr>
                <w:rFonts w:eastAsia="Calibri" w:cs="Arial"/>
                <w:b/>
                <w:sz w:val="20"/>
                <w:szCs w:val="20"/>
                <w:lang w:val="en-US" w:eastAsia="en-US"/>
              </w:rPr>
              <w:t>OUI</w:t>
            </w:r>
          </w:p>
        </w:tc>
        <w:tc>
          <w:tcPr>
            <w:tcW w:w="843" w:type="dxa"/>
            <w:shd w:val="clear" w:color="auto" w:fill="auto"/>
          </w:tcPr>
          <w:p w14:paraId="5863221D" w14:textId="77777777" w:rsidR="009021F1" w:rsidRPr="00D579BE" w:rsidRDefault="009021F1" w:rsidP="00E637E3">
            <w:pPr>
              <w:autoSpaceDE w:val="0"/>
              <w:autoSpaceDN w:val="0"/>
              <w:adjustRightInd w:val="0"/>
              <w:spacing w:line="240" w:lineRule="auto"/>
              <w:rPr>
                <w:rFonts w:eastAsia="Calibri" w:cs="Arial"/>
                <w:b/>
                <w:sz w:val="20"/>
                <w:szCs w:val="20"/>
                <w:lang w:val="en-US" w:eastAsia="en-US"/>
              </w:rPr>
            </w:pPr>
            <w:r w:rsidRPr="00D579BE">
              <w:rPr>
                <w:rFonts w:eastAsia="Calibri" w:cs="Arial"/>
                <w:b/>
                <w:sz w:val="20"/>
                <w:szCs w:val="20"/>
                <w:lang w:val="en-US" w:eastAsia="en-US"/>
              </w:rPr>
              <w:t xml:space="preserve">NON </w:t>
            </w:r>
          </w:p>
        </w:tc>
        <w:tc>
          <w:tcPr>
            <w:tcW w:w="1992" w:type="dxa"/>
            <w:shd w:val="clear" w:color="auto" w:fill="auto"/>
          </w:tcPr>
          <w:p w14:paraId="6E20AA7E" w14:textId="77777777" w:rsidR="009021F1" w:rsidRPr="00D579BE" w:rsidRDefault="009021F1" w:rsidP="00E637E3">
            <w:pPr>
              <w:autoSpaceDE w:val="0"/>
              <w:autoSpaceDN w:val="0"/>
              <w:adjustRightInd w:val="0"/>
              <w:spacing w:line="240" w:lineRule="auto"/>
              <w:rPr>
                <w:rFonts w:eastAsia="Calibri" w:cs="Arial"/>
                <w:b/>
                <w:sz w:val="20"/>
                <w:szCs w:val="20"/>
                <w:lang w:val="en-US" w:eastAsia="en-US"/>
              </w:rPr>
            </w:pPr>
            <w:r w:rsidRPr="00D579BE">
              <w:rPr>
                <w:rFonts w:eastAsia="Calibri" w:cs="Arial"/>
                <w:b/>
                <w:sz w:val="20"/>
                <w:szCs w:val="20"/>
                <w:lang w:val="en-US" w:eastAsia="en-US"/>
              </w:rPr>
              <w:t>SI OUI,</w:t>
            </w:r>
          </w:p>
        </w:tc>
      </w:tr>
      <w:tr w:rsidR="009021F1" w:rsidRPr="00D579BE" w14:paraId="27D2A34C" w14:textId="77777777" w:rsidTr="00E637E3">
        <w:tc>
          <w:tcPr>
            <w:tcW w:w="1736" w:type="dxa"/>
            <w:shd w:val="clear" w:color="auto" w:fill="auto"/>
          </w:tcPr>
          <w:p w14:paraId="1B37EC4C" w14:textId="77777777" w:rsidR="009021F1" w:rsidRPr="00D579BE" w:rsidRDefault="009021F1" w:rsidP="00E637E3">
            <w:pPr>
              <w:autoSpaceDE w:val="0"/>
              <w:autoSpaceDN w:val="0"/>
              <w:adjustRightInd w:val="0"/>
              <w:spacing w:line="240" w:lineRule="auto"/>
              <w:rPr>
                <w:rFonts w:eastAsia="Calibri" w:cs="Arial"/>
                <w:sz w:val="20"/>
                <w:szCs w:val="20"/>
                <w:lang w:val="en-US" w:eastAsia="en-US"/>
              </w:rPr>
            </w:pPr>
            <w:r w:rsidRPr="00D579BE">
              <w:rPr>
                <w:rFonts w:eastAsia="Calibri" w:cs="Arial"/>
                <w:sz w:val="20"/>
                <w:szCs w:val="20"/>
                <w:lang w:val="en-US" w:eastAsia="en-US"/>
              </w:rPr>
              <w:t>Construction et</w:t>
            </w:r>
          </w:p>
          <w:p w14:paraId="4B70EB10" w14:textId="77777777" w:rsidR="009021F1" w:rsidRPr="00D579BE" w:rsidRDefault="009021F1" w:rsidP="00E637E3">
            <w:pPr>
              <w:autoSpaceDE w:val="0"/>
              <w:autoSpaceDN w:val="0"/>
              <w:adjustRightInd w:val="0"/>
              <w:spacing w:line="240" w:lineRule="auto"/>
              <w:rPr>
                <w:rFonts w:eastAsia="Calibri" w:cs="Arial"/>
                <w:sz w:val="20"/>
                <w:szCs w:val="20"/>
                <w:lang w:val="en-US" w:eastAsia="en-US"/>
              </w:rPr>
            </w:pPr>
            <w:r w:rsidRPr="00D579BE">
              <w:rPr>
                <w:rFonts w:eastAsia="Calibri" w:cs="Arial"/>
                <w:sz w:val="20"/>
                <w:szCs w:val="20"/>
                <w:lang w:val="en-US" w:eastAsia="en-US"/>
              </w:rPr>
              <w:t>Réhabilitation</w:t>
            </w:r>
          </w:p>
          <w:p w14:paraId="45F69B48" w14:textId="77777777" w:rsidR="009021F1" w:rsidRPr="00D579BE" w:rsidRDefault="009021F1" w:rsidP="00E637E3">
            <w:pPr>
              <w:autoSpaceDE w:val="0"/>
              <w:autoSpaceDN w:val="0"/>
              <w:adjustRightInd w:val="0"/>
              <w:spacing w:line="240" w:lineRule="auto"/>
              <w:rPr>
                <w:rFonts w:eastAsia="Calibri" w:cs="Arial"/>
                <w:sz w:val="20"/>
                <w:szCs w:val="20"/>
                <w:lang w:val="en-US" w:eastAsia="en-US"/>
              </w:rPr>
            </w:pPr>
            <w:r w:rsidRPr="00D579BE">
              <w:rPr>
                <w:rFonts w:eastAsia="Calibri" w:cs="Arial"/>
                <w:sz w:val="20"/>
                <w:szCs w:val="20"/>
                <w:lang w:val="en-US" w:eastAsia="en-US"/>
              </w:rPr>
              <w:t>d’infrastructures</w:t>
            </w:r>
          </w:p>
          <w:p w14:paraId="20AFE429" w14:textId="77777777" w:rsidR="009021F1" w:rsidRPr="00D579BE" w:rsidRDefault="009021F1" w:rsidP="00E637E3">
            <w:pPr>
              <w:autoSpaceDE w:val="0"/>
              <w:autoSpaceDN w:val="0"/>
              <w:adjustRightInd w:val="0"/>
              <w:spacing w:line="240" w:lineRule="auto"/>
              <w:rPr>
                <w:rFonts w:eastAsia="Calibri" w:cs="Arial"/>
                <w:sz w:val="20"/>
                <w:szCs w:val="20"/>
                <w:lang w:val="en-US" w:eastAsia="en-US"/>
              </w:rPr>
            </w:pPr>
          </w:p>
        </w:tc>
        <w:tc>
          <w:tcPr>
            <w:tcW w:w="4638" w:type="dxa"/>
            <w:shd w:val="clear" w:color="auto" w:fill="auto"/>
          </w:tcPr>
          <w:p w14:paraId="16D0CBEB" w14:textId="77777777" w:rsidR="009021F1" w:rsidRPr="00D579BE" w:rsidRDefault="009021F1" w:rsidP="00E637E3">
            <w:pPr>
              <w:numPr>
                <w:ilvl w:val="0"/>
                <w:numId w:val="19"/>
              </w:numPr>
              <w:ind w:left="247" w:hanging="180"/>
              <w:jc w:val="left"/>
              <w:rPr>
                <w:rFonts w:cs="Arial"/>
                <w:sz w:val="20"/>
                <w:szCs w:val="20"/>
              </w:rPr>
            </w:pPr>
            <w:r w:rsidRPr="00D579BE">
              <w:rPr>
                <w:rFonts w:cs="Arial"/>
                <w:sz w:val="20"/>
                <w:szCs w:val="20"/>
              </w:rPr>
              <w:t>Y a-t-il des terres cultivées ou non cultivées, des ressources naturelles, des structures ou autres propriétés, utilisées ou non utilisées à des fins quelconques, d’une manière quelconque ?</w:t>
            </w:r>
          </w:p>
          <w:p w14:paraId="632BB3BC" w14:textId="77777777" w:rsidR="009021F1" w:rsidRPr="00D579BE" w:rsidRDefault="009021F1" w:rsidP="00E637E3">
            <w:pPr>
              <w:numPr>
                <w:ilvl w:val="0"/>
                <w:numId w:val="19"/>
              </w:numPr>
              <w:ind w:left="247" w:hanging="180"/>
              <w:jc w:val="left"/>
              <w:rPr>
                <w:rFonts w:cs="Arial"/>
                <w:sz w:val="20"/>
                <w:szCs w:val="20"/>
              </w:rPr>
            </w:pPr>
            <w:r w:rsidRPr="00D579BE">
              <w:rPr>
                <w:rFonts w:cs="Arial"/>
                <w:sz w:val="20"/>
                <w:szCs w:val="20"/>
              </w:rPr>
              <w:t>Y aura-t-il perte de végétation quelconque pendant la réhabilitation ?</w:t>
            </w:r>
          </w:p>
          <w:p w14:paraId="1E9B2A6F" w14:textId="77777777" w:rsidR="009021F1" w:rsidRPr="00D579BE" w:rsidRDefault="009021F1" w:rsidP="00E637E3">
            <w:pPr>
              <w:numPr>
                <w:ilvl w:val="0"/>
                <w:numId w:val="19"/>
              </w:numPr>
              <w:ind w:left="247" w:hanging="180"/>
              <w:jc w:val="left"/>
              <w:rPr>
                <w:rFonts w:cs="Arial"/>
                <w:sz w:val="20"/>
                <w:szCs w:val="20"/>
              </w:rPr>
            </w:pPr>
            <w:r w:rsidRPr="00D579BE">
              <w:rPr>
                <w:rFonts w:cs="Arial"/>
                <w:sz w:val="20"/>
                <w:szCs w:val="20"/>
              </w:rPr>
              <w:t>Y a-t-il des services adéquats pour</w:t>
            </w:r>
          </w:p>
          <w:p w14:paraId="41B7B6D2" w14:textId="77777777" w:rsidR="009021F1" w:rsidRPr="00D579BE" w:rsidRDefault="009021F1" w:rsidP="00E637E3">
            <w:pPr>
              <w:numPr>
                <w:ilvl w:val="0"/>
                <w:numId w:val="19"/>
              </w:numPr>
              <w:ind w:left="247" w:hanging="180"/>
              <w:jc w:val="left"/>
              <w:rPr>
                <w:rFonts w:cs="Arial"/>
                <w:sz w:val="20"/>
                <w:szCs w:val="20"/>
              </w:rPr>
            </w:pPr>
            <w:r w:rsidRPr="00D579BE">
              <w:rPr>
                <w:rFonts w:cs="Arial"/>
                <w:sz w:val="20"/>
                <w:szCs w:val="20"/>
              </w:rPr>
              <w:t>l’évacuation des déchets prévus pendant la réhabilitation ?</w:t>
            </w:r>
          </w:p>
          <w:p w14:paraId="3FED6F9B" w14:textId="77777777" w:rsidR="009021F1" w:rsidRPr="00D579BE" w:rsidRDefault="009021F1" w:rsidP="00E637E3">
            <w:pPr>
              <w:numPr>
                <w:ilvl w:val="0"/>
                <w:numId w:val="19"/>
              </w:numPr>
              <w:ind w:left="247" w:hanging="180"/>
              <w:jc w:val="left"/>
              <w:rPr>
                <w:rFonts w:cs="Arial"/>
                <w:sz w:val="20"/>
                <w:szCs w:val="20"/>
              </w:rPr>
            </w:pPr>
            <w:r w:rsidRPr="00D579BE">
              <w:rPr>
                <w:rFonts w:cs="Arial"/>
                <w:sz w:val="20"/>
                <w:szCs w:val="20"/>
              </w:rPr>
              <w:t>Le site de construction sera-t-il nettoyé régulièrement, en utilisant de l’eau pour maîtriser la poussière?</w:t>
            </w:r>
          </w:p>
          <w:p w14:paraId="12DF5492" w14:textId="77777777" w:rsidR="009021F1" w:rsidRPr="00D579BE" w:rsidRDefault="009021F1" w:rsidP="00E637E3">
            <w:pPr>
              <w:numPr>
                <w:ilvl w:val="0"/>
                <w:numId w:val="19"/>
              </w:numPr>
              <w:ind w:left="247" w:hanging="180"/>
              <w:jc w:val="left"/>
              <w:rPr>
                <w:rFonts w:cs="Arial"/>
                <w:sz w:val="20"/>
                <w:szCs w:val="20"/>
              </w:rPr>
            </w:pPr>
            <w:r w:rsidRPr="00D579BE">
              <w:rPr>
                <w:rFonts w:cs="Arial"/>
                <w:sz w:val="20"/>
                <w:szCs w:val="20"/>
              </w:rPr>
              <w:t>Les détritus générés pendant les activités de construction seront-ils nettoyés ?</w:t>
            </w:r>
          </w:p>
          <w:p w14:paraId="1CBC0E8D" w14:textId="77777777" w:rsidR="009021F1" w:rsidRPr="00D579BE" w:rsidRDefault="009021F1" w:rsidP="00E637E3">
            <w:pPr>
              <w:numPr>
                <w:ilvl w:val="0"/>
                <w:numId w:val="19"/>
              </w:numPr>
              <w:ind w:left="247" w:hanging="180"/>
              <w:jc w:val="left"/>
              <w:rPr>
                <w:rFonts w:eastAsia="Calibri" w:cs="Arial"/>
                <w:sz w:val="20"/>
                <w:szCs w:val="20"/>
                <w:lang w:eastAsia="en-US"/>
              </w:rPr>
            </w:pPr>
            <w:r w:rsidRPr="00D579BE">
              <w:rPr>
                <w:rFonts w:cs="Arial"/>
                <w:sz w:val="20"/>
                <w:szCs w:val="20"/>
              </w:rPr>
              <w:t>Les matières ou installations de secours seront-elles disponibles pendant la réhabilitation ?</w:t>
            </w:r>
          </w:p>
          <w:p w14:paraId="758702D3" w14:textId="77777777" w:rsidR="009021F1" w:rsidRPr="00D579BE" w:rsidRDefault="009021F1" w:rsidP="00E637E3">
            <w:pPr>
              <w:numPr>
                <w:ilvl w:val="0"/>
                <w:numId w:val="19"/>
              </w:numPr>
              <w:ind w:left="247" w:hanging="180"/>
              <w:jc w:val="left"/>
              <w:rPr>
                <w:rFonts w:eastAsia="Calibri" w:cs="Arial"/>
                <w:sz w:val="20"/>
                <w:szCs w:val="20"/>
                <w:lang w:eastAsia="en-US"/>
              </w:rPr>
            </w:pPr>
            <w:r w:rsidRPr="00D579BE">
              <w:rPr>
                <w:rFonts w:cs="Arial"/>
                <w:sz w:val="20"/>
                <w:szCs w:val="20"/>
              </w:rPr>
              <w:t>Y a-t-il le risque de réinstallation involontaire ?</w:t>
            </w:r>
          </w:p>
          <w:p w14:paraId="57843D0E" w14:textId="77777777" w:rsidR="009021F1" w:rsidRPr="00D579BE" w:rsidRDefault="009021F1" w:rsidP="00E637E3">
            <w:pPr>
              <w:numPr>
                <w:ilvl w:val="0"/>
                <w:numId w:val="19"/>
              </w:numPr>
              <w:ind w:left="247" w:hanging="180"/>
              <w:jc w:val="left"/>
              <w:rPr>
                <w:rFonts w:eastAsia="Calibri" w:cs="Arial"/>
                <w:sz w:val="20"/>
                <w:szCs w:val="20"/>
                <w:lang w:eastAsia="en-US"/>
              </w:rPr>
            </w:pPr>
            <w:r w:rsidRPr="00D579BE">
              <w:rPr>
                <w:rFonts w:cs="Arial"/>
                <w:sz w:val="20"/>
                <w:szCs w:val="20"/>
              </w:rPr>
              <w:t>Y a-t-il la présence des Populations Autochtones ?</w:t>
            </w:r>
          </w:p>
          <w:p w14:paraId="07272B37" w14:textId="77777777" w:rsidR="009021F1" w:rsidRPr="00D579BE" w:rsidRDefault="009021F1" w:rsidP="00E637E3">
            <w:pPr>
              <w:numPr>
                <w:ilvl w:val="0"/>
                <w:numId w:val="19"/>
              </w:numPr>
              <w:ind w:left="247" w:hanging="180"/>
              <w:jc w:val="left"/>
              <w:rPr>
                <w:rFonts w:eastAsia="Calibri" w:cs="Arial"/>
                <w:sz w:val="20"/>
                <w:szCs w:val="20"/>
                <w:lang w:eastAsia="en-US"/>
              </w:rPr>
            </w:pPr>
            <w:r w:rsidRPr="00D579BE">
              <w:rPr>
                <w:rFonts w:cs="Arial"/>
                <w:sz w:val="20"/>
                <w:szCs w:val="20"/>
              </w:rPr>
              <w:t>Y a-t-il un problème de sécurité dans la zone du Projet ?</w:t>
            </w:r>
          </w:p>
        </w:tc>
        <w:tc>
          <w:tcPr>
            <w:tcW w:w="708" w:type="dxa"/>
            <w:shd w:val="clear" w:color="auto" w:fill="auto"/>
          </w:tcPr>
          <w:p w14:paraId="04B18A64" w14:textId="77777777" w:rsidR="009021F1" w:rsidRPr="00D579BE" w:rsidRDefault="009021F1" w:rsidP="00E637E3">
            <w:pPr>
              <w:autoSpaceDE w:val="0"/>
              <w:autoSpaceDN w:val="0"/>
              <w:adjustRightInd w:val="0"/>
              <w:spacing w:line="240" w:lineRule="auto"/>
              <w:rPr>
                <w:rFonts w:eastAsia="Calibri" w:cs="Arial"/>
                <w:sz w:val="20"/>
                <w:szCs w:val="20"/>
                <w:lang w:eastAsia="en-US"/>
              </w:rPr>
            </w:pPr>
          </w:p>
        </w:tc>
        <w:tc>
          <w:tcPr>
            <w:tcW w:w="843" w:type="dxa"/>
            <w:shd w:val="clear" w:color="auto" w:fill="auto"/>
          </w:tcPr>
          <w:p w14:paraId="2A16D4A7" w14:textId="77777777" w:rsidR="009021F1" w:rsidRPr="00D579BE" w:rsidRDefault="009021F1" w:rsidP="00E637E3">
            <w:pPr>
              <w:autoSpaceDE w:val="0"/>
              <w:autoSpaceDN w:val="0"/>
              <w:adjustRightInd w:val="0"/>
              <w:spacing w:line="240" w:lineRule="auto"/>
              <w:rPr>
                <w:rFonts w:eastAsia="Calibri" w:cs="Arial"/>
                <w:sz w:val="20"/>
                <w:szCs w:val="20"/>
                <w:lang w:eastAsia="en-US"/>
              </w:rPr>
            </w:pPr>
          </w:p>
        </w:tc>
        <w:tc>
          <w:tcPr>
            <w:tcW w:w="1992" w:type="dxa"/>
            <w:shd w:val="clear" w:color="auto" w:fill="auto"/>
          </w:tcPr>
          <w:p w14:paraId="48E8D898" w14:textId="77777777" w:rsidR="009021F1" w:rsidRPr="00D579BE" w:rsidRDefault="009021F1" w:rsidP="00E637E3">
            <w:pPr>
              <w:autoSpaceDE w:val="0"/>
              <w:autoSpaceDN w:val="0"/>
              <w:adjustRightInd w:val="0"/>
              <w:spacing w:line="240" w:lineRule="auto"/>
              <w:jc w:val="left"/>
              <w:rPr>
                <w:rFonts w:eastAsia="Calibri" w:cs="Arial"/>
                <w:sz w:val="20"/>
                <w:szCs w:val="20"/>
                <w:lang w:eastAsia="en-US"/>
              </w:rPr>
            </w:pPr>
            <w:r w:rsidRPr="00D579BE">
              <w:rPr>
                <w:rFonts w:eastAsia="Calibri" w:cs="Arial"/>
                <w:sz w:val="20"/>
                <w:szCs w:val="20"/>
                <w:lang w:eastAsia="en-US"/>
              </w:rPr>
              <w:t>S’inspirer des mesures</w:t>
            </w:r>
          </w:p>
          <w:p w14:paraId="27CA1577" w14:textId="77777777" w:rsidR="009021F1" w:rsidRPr="00D579BE" w:rsidRDefault="009021F1" w:rsidP="00E637E3">
            <w:pPr>
              <w:autoSpaceDE w:val="0"/>
              <w:autoSpaceDN w:val="0"/>
              <w:adjustRightInd w:val="0"/>
              <w:spacing w:line="240" w:lineRule="auto"/>
              <w:jc w:val="left"/>
              <w:rPr>
                <w:rFonts w:eastAsia="Calibri" w:cs="Arial"/>
                <w:sz w:val="20"/>
                <w:szCs w:val="20"/>
                <w:lang w:eastAsia="en-US"/>
              </w:rPr>
            </w:pPr>
            <w:r w:rsidRPr="00D579BE">
              <w:rPr>
                <w:rFonts w:eastAsia="Calibri" w:cs="Arial"/>
                <w:sz w:val="20"/>
                <w:szCs w:val="20"/>
                <w:lang w:eastAsia="en-US"/>
              </w:rPr>
              <w:t>générales d’atténuation</w:t>
            </w:r>
          </w:p>
          <w:p w14:paraId="0EA62C55" w14:textId="77777777" w:rsidR="009021F1" w:rsidRPr="00D579BE" w:rsidRDefault="009021F1" w:rsidP="00E637E3">
            <w:pPr>
              <w:autoSpaceDE w:val="0"/>
              <w:autoSpaceDN w:val="0"/>
              <w:adjustRightInd w:val="0"/>
              <w:spacing w:line="240" w:lineRule="auto"/>
              <w:jc w:val="left"/>
              <w:rPr>
                <w:rFonts w:eastAsia="Calibri" w:cs="Arial"/>
                <w:sz w:val="20"/>
                <w:szCs w:val="20"/>
                <w:lang w:eastAsia="en-US"/>
              </w:rPr>
            </w:pPr>
            <w:r w:rsidRPr="00D579BE">
              <w:rPr>
                <w:rFonts w:eastAsia="Calibri" w:cs="Arial"/>
                <w:sz w:val="20"/>
                <w:szCs w:val="20"/>
                <w:lang w:eastAsia="en-US"/>
              </w:rPr>
              <w:t xml:space="preserve"> et des</w:t>
            </w:r>
          </w:p>
          <w:p w14:paraId="17FF71E7" w14:textId="77777777" w:rsidR="009021F1" w:rsidRPr="00D579BE" w:rsidRDefault="009021F1" w:rsidP="00E637E3">
            <w:pPr>
              <w:autoSpaceDE w:val="0"/>
              <w:autoSpaceDN w:val="0"/>
              <w:adjustRightInd w:val="0"/>
              <w:spacing w:line="240" w:lineRule="auto"/>
              <w:jc w:val="left"/>
              <w:rPr>
                <w:rFonts w:eastAsia="Calibri" w:cs="Arial"/>
                <w:sz w:val="20"/>
                <w:szCs w:val="20"/>
                <w:lang w:val="en-US" w:eastAsia="en-US"/>
              </w:rPr>
            </w:pPr>
            <w:r w:rsidRPr="00D579BE">
              <w:rPr>
                <w:rFonts w:eastAsia="Calibri" w:cs="Arial"/>
                <w:sz w:val="20"/>
                <w:szCs w:val="20"/>
                <w:lang w:val="en-US" w:eastAsia="en-US"/>
              </w:rPr>
              <w:t>Directives</w:t>
            </w:r>
          </w:p>
          <w:p w14:paraId="3DC16729" w14:textId="77777777" w:rsidR="009021F1" w:rsidRPr="00D579BE" w:rsidRDefault="009021F1" w:rsidP="00E637E3">
            <w:pPr>
              <w:autoSpaceDE w:val="0"/>
              <w:autoSpaceDN w:val="0"/>
              <w:adjustRightInd w:val="0"/>
              <w:spacing w:line="240" w:lineRule="auto"/>
              <w:jc w:val="left"/>
              <w:rPr>
                <w:rFonts w:eastAsia="Calibri" w:cs="Arial"/>
                <w:sz w:val="20"/>
                <w:szCs w:val="20"/>
                <w:lang w:val="en-US" w:eastAsia="en-US"/>
              </w:rPr>
            </w:pPr>
            <w:r w:rsidRPr="00D579BE">
              <w:rPr>
                <w:rFonts w:eastAsia="Calibri" w:cs="Arial"/>
                <w:sz w:val="20"/>
                <w:szCs w:val="20"/>
                <w:lang w:val="en-US" w:eastAsia="en-US"/>
              </w:rPr>
              <w:t>Environnementales</w:t>
            </w:r>
          </w:p>
          <w:p w14:paraId="3F9F6B3C" w14:textId="77777777" w:rsidR="009021F1" w:rsidRPr="00D579BE" w:rsidRDefault="009021F1" w:rsidP="00E637E3">
            <w:pPr>
              <w:autoSpaceDE w:val="0"/>
              <w:autoSpaceDN w:val="0"/>
              <w:adjustRightInd w:val="0"/>
              <w:spacing w:line="240" w:lineRule="auto"/>
              <w:jc w:val="left"/>
              <w:rPr>
                <w:rFonts w:eastAsia="Calibri" w:cs="Arial"/>
                <w:sz w:val="20"/>
                <w:szCs w:val="20"/>
                <w:lang w:val="en-US" w:eastAsia="en-US"/>
              </w:rPr>
            </w:pPr>
            <w:r w:rsidRPr="00D579BE">
              <w:rPr>
                <w:rFonts w:eastAsia="Calibri" w:cs="Arial"/>
                <w:sz w:val="20"/>
                <w:szCs w:val="20"/>
                <w:lang w:val="en-US" w:eastAsia="en-US"/>
              </w:rPr>
              <w:t>pour les Contractants</w:t>
            </w:r>
          </w:p>
          <w:p w14:paraId="61E1A061" w14:textId="77777777" w:rsidR="009021F1" w:rsidRPr="00D579BE" w:rsidRDefault="009021F1" w:rsidP="00E637E3">
            <w:pPr>
              <w:autoSpaceDE w:val="0"/>
              <w:autoSpaceDN w:val="0"/>
              <w:adjustRightInd w:val="0"/>
              <w:spacing w:line="240" w:lineRule="auto"/>
              <w:rPr>
                <w:rFonts w:eastAsia="Calibri" w:cs="Arial"/>
                <w:sz w:val="20"/>
                <w:szCs w:val="20"/>
                <w:lang w:val="en-US" w:eastAsia="en-US"/>
              </w:rPr>
            </w:pPr>
          </w:p>
        </w:tc>
      </w:tr>
      <w:tr w:rsidR="009021F1" w:rsidRPr="00D579BE" w14:paraId="68DEC5BC" w14:textId="77777777" w:rsidTr="00E637E3">
        <w:tc>
          <w:tcPr>
            <w:tcW w:w="1736" w:type="dxa"/>
            <w:shd w:val="clear" w:color="auto" w:fill="auto"/>
          </w:tcPr>
          <w:p w14:paraId="56CF7054" w14:textId="77777777" w:rsidR="009021F1" w:rsidRPr="00D579BE" w:rsidRDefault="009021F1" w:rsidP="00E637E3">
            <w:pPr>
              <w:autoSpaceDE w:val="0"/>
              <w:autoSpaceDN w:val="0"/>
              <w:adjustRightInd w:val="0"/>
              <w:spacing w:line="240" w:lineRule="auto"/>
              <w:rPr>
                <w:rFonts w:eastAsia="Calibri" w:cs="Arial"/>
                <w:sz w:val="20"/>
                <w:szCs w:val="20"/>
                <w:lang w:val="en-US" w:eastAsia="en-US"/>
              </w:rPr>
            </w:pPr>
            <w:r w:rsidRPr="00D579BE">
              <w:rPr>
                <w:rFonts w:eastAsia="Calibri" w:cs="Arial"/>
                <w:sz w:val="20"/>
                <w:szCs w:val="20"/>
                <w:lang w:val="en-US" w:eastAsia="en-US"/>
              </w:rPr>
              <w:t>Fonctionnement</w:t>
            </w:r>
          </w:p>
          <w:p w14:paraId="6F15188F" w14:textId="77777777" w:rsidR="009021F1" w:rsidRPr="00D579BE" w:rsidRDefault="009021F1" w:rsidP="00E637E3">
            <w:pPr>
              <w:autoSpaceDE w:val="0"/>
              <w:autoSpaceDN w:val="0"/>
              <w:adjustRightInd w:val="0"/>
              <w:spacing w:line="240" w:lineRule="auto"/>
              <w:rPr>
                <w:rFonts w:eastAsia="Calibri" w:cs="Arial"/>
                <w:sz w:val="20"/>
                <w:szCs w:val="20"/>
                <w:lang w:val="en-US" w:eastAsia="en-US"/>
              </w:rPr>
            </w:pPr>
            <w:r w:rsidRPr="00D579BE">
              <w:rPr>
                <w:rFonts w:eastAsia="Calibri" w:cs="Arial"/>
                <w:sz w:val="20"/>
                <w:szCs w:val="20"/>
                <w:lang w:val="en-US" w:eastAsia="en-US"/>
              </w:rPr>
              <w:t>des infrastructures</w:t>
            </w:r>
          </w:p>
          <w:p w14:paraId="175C222F" w14:textId="77777777" w:rsidR="009021F1" w:rsidRPr="00D579BE" w:rsidRDefault="009021F1" w:rsidP="00E637E3">
            <w:pPr>
              <w:autoSpaceDE w:val="0"/>
              <w:autoSpaceDN w:val="0"/>
              <w:adjustRightInd w:val="0"/>
              <w:spacing w:line="240" w:lineRule="auto"/>
              <w:rPr>
                <w:rFonts w:eastAsia="Calibri" w:cs="Arial"/>
                <w:sz w:val="20"/>
                <w:szCs w:val="20"/>
                <w:lang w:val="en-US" w:eastAsia="en-US"/>
              </w:rPr>
            </w:pPr>
          </w:p>
        </w:tc>
        <w:tc>
          <w:tcPr>
            <w:tcW w:w="4638" w:type="dxa"/>
            <w:shd w:val="clear" w:color="auto" w:fill="auto"/>
          </w:tcPr>
          <w:p w14:paraId="44981ED8" w14:textId="77777777" w:rsidR="009021F1" w:rsidRPr="00D579BE" w:rsidRDefault="009021F1" w:rsidP="00E637E3">
            <w:pPr>
              <w:numPr>
                <w:ilvl w:val="0"/>
                <w:numId w:val="19"/>
              </w:numPr>
              <w:ind w:left="247" w:hanging="180"/>
              <w:jc w:val="left"/>
              <w:rPr>
                <w:rFonts w:cs="Arial"/>
                <w:sz w:val="20"/>
                <w:szCs w:val="20"/>
              </w:rPr>
            </w:pPr>
            <w:r w:rsidRPr="00D579BE">
              <w:rPr>
                <w:rFonts w:cs="Arial"/>
                <w:sz w:val="20"/>
                <w:szCs w:val="20"/>
              </w:rPr>
              <w:t>Y a-t-il des risques de pollution des eaux souterraines ?</w:t>
            </w:r>
          </w:p>
          <w:p w14:paraId="1AE42009" w14:textId="77777777" w:rsidR="009021F1" w:rsidRPr="00D579BE" w:rsidRDefault="009021F1" w:rsidP="00E637E3">
            <w:pPr>
              <w:numPr>
                <w:ilvl w:val="0"/>
                <w:numId w:val="19"/>
              </w:numPr>
              <w:ind w:left="247" w:hanging="180"/>
              <w:jc w:val="left"/>
              <w:rPr>
                <w:rFonts w:cs="Arial"/>
                <w:sz w:val="20"/>
                <w:szCs w:val="20"/>
              </w:rPr>
            </w:pPr>
            <w:r w:rsidRPr="00D579BE">
              <w:rPr>
                <w:rFonts w:cs="Arial"/>
                <w:sz w:val="20"/>
                <w:szCs w:val="20"/>
              </w:rPr>
              <w:t>Y a-t-il des zones écologiques sensibles dans les environs de l’infrastructure éducative qui pourraient être impactés négativement?</w:t>
            </w:r>
          </w:p>
          <w:p w14:paraId="3CADAB66" w14:textId="77777777" w:rsidR="009021F1" w:rsidRPr="00D579BE" w:rsidRDefault="009021F1" w:rsidP="00E637E3">
            <w:pPr>
              <w:numPr>
                <w:ilvl w:val="0"/>
                <w:numId w:val="19"/>
              </w:numPr>
              <w:ind w:left="247" w:hanging="180"/>
              <w:jc w:val="left"/>
              <w:rPr>
                <w:rFonts w:cs="Arial"/>
                <w:sz w:val="20"/>
                <w:szCs w:val="20"/>
              </w:rPr>
            </w:pPr>
            <w:r w:rsidRPr="00D579BE">
              <w:rPr>
                <w:rFonts w:cs="Arial"/>
                <w:sz w:val="20"/>
                <w:szCs w:val="20"/>
              </w:rPr>
              <w:t>Y a-t-il des impacts causés par les polluants par fumée ou par air, des gaz toxiques ou des résidus de cendres provenant des destructions par le feu?</w:t>
            </w:r>
          </w:p>
          <w:p w14:paraId="6D952F62" w14:textId="77777777" w:rsidR="009021F1" w:rsidRPr="00D579BE" w:rsidRDefault="009021F1" w:rsidP="00E637E3">
            <w:pPr>
              <w:numPr>
                <w:ilvl w:val="0"/>
                <w:numId w:val="19"/>
              </w:numPr>
              <w:ind w:left="247" w:hanging="180"/>
              <w:jc w:val="left"/>
              <w:rPr>
                <w:rFonts w:cs="Arial"/>
                <w:sz w:val="20"/>
                <w:szCs w:val="20"/>
              </w:rPr>
            </w:pPr>
            <w:r w:rsidRPr="00D579BE">
              <w:rPr>
                <w:rFonts w:cs="Arial"/>
                <w:sz w:val="20"/>
                <w:szCs w:val="20"/>
              </w:rPr>
              <w:t>Y a-t-il des impacts sur la santé du public et la santé du personnel des infrastructures éducatives?</w:t>
            </w:r>
          </w:p>
          <w:p w14:paraId="0F47BFCF" w14:textId="77777777" w:rsidR="009021F1" w:rsidRPr="00D579BE" w:rsidRDefault="009021F1" w:rsidP="00E637E3">
            <w:pPr>
              <w:numPr>
                <w:ilvl w:val="0"/>
                <w:numId w:val="19"/>
              </w:numPr>
              <w:ind w:left="247" w:hanging="180"/>
              <w:jc w:val="left"/>
              <w:rPr>
                <w:rFonts w:cs="Arial"/>
                <w:sz w:val="20"/>
                <w:szCs w:val="20"/>
              </w:rPr>
            </w:pPr>
            <w:r w:rsidRPr="00D579BE">
              <w:rPr>
                <w:rFonts w:cs="Arial"/>
                <w:sz w:val="20"/>
                <w:szCs w:val="20"/>
              </w:rPr>
              <w:t>Y a-t-il des impacts visuels sur les pratiques de transport, de traitement et d’évacuation des déchets?</w:t>
            </w:r>
          </w:p>
          <w:p w14:paraId="4E962FC1" w14:textId="77777777" w:rsidR="009021F1" w:rsidRPr="00D579BE" w:rsidRDefault="009021F1" w:rsidP="00E637E3">
            <w:pPr>
              <w:numPr>
                <w:ilvl w:val="0"/>
                <w:numId w:val="19"/>
              </w:numPr>
              <w:ind w:left="247" w:hanging="180"/>
              <w:jc w:val="left"/>
              <w:rPr>
                <w:rFonts w:cs="Arial"/>
                <w:sz w:val="20"/>
                <w:szCs w:val="20"/>
              </w:rPr>
            </w:pPr>
            <w:r w:rsidRPr="00D579BE">
              <w:rPr>
                <w:rFonts w:cs="Arial"/>
                <w:sz w:val="20"/>
                <w:szCs w:val="20"/>
              </w:rPr>
              <w:t>Y a-t-il des odeurs provenant de la</w:t>
            </w:r>
          </w:p>
          <w:p w14:paraId="72B2EADB" w14:textId="77777777" w:rsidR="009021F1" w:rsidRPr="00D579BE" w:rsidRDefault="009021F1" w:rsidP="00E637E3">
            <w:pPr>
              <w:numPr>
                <w:ilvl w:val="0"/>
                <w:numId w:val="19"/>
              </w:numPr>
              <w:ind w:left="247" w:hanging="180"/>
              <w:jc w:val="left"/>
              <w:rPr>
                <w:rFonts w:cs="Arial"/>
                <w:sz w:val="20"/>
                <w:szCs w:val="20"/>
                <w:lang w:val="en-US"/>
              </w:rPr>
            </w:pPr>
            <w:r w:rsidRPr="00D579BE">
              <w:rPr>
                <w:rFonts w:cs="Arial"/>
                <w:sz w:val="20"/>
                <w:szCs w:val="20"/>
                <w:lang w:val="en-US"/>
              </w:rPr>
              <w:t>dégradation des déchets?</w:t>
            </w:r>
          </w:p>
          <w:p w14:paraId="54E8DB67" w14:textId="77777777" w:rsidR="009021F1" w:rsidRPr="00D579BE" w:rsidRDefault="009021F1" w:rsidP="00E637E3">
            <w:pPr>
              <w:numPr>
                <w:ilvl w:val="0"/>
                <w:numId w:val="19"/>
              </w:numPr>
              <w:ind w:left="247" w:hanging="180"/>
              <w:jc w:val="left"/>
              <w:rPr>
                <w:rFonts w:eastAsia="Calibri" w:cs="Arial"/>
                <w:sz w:val="20"/>
                <w:szCs w:val="20"/>
                <w:lang w:eastAsia="en-US"/>
              </w:rPr>
            </w:pPr>
            <w:r w:rsidRPr="00D579BE">
              <w:rPr>
                <w:rFonts w:cs="Arial"/>
                <w:sz w:val="20"/>
                <w:szCs w:val="20"/>
              </w:rPr>
              <w:t>Y a-t-il des établissements humains et des usages de la terre (comme l’agriculture, le pâturage, les terrains de récréation) près des infrastructures éducatives, ou des sites d’importance culturelle, religieuse, ou historique?</w:t>
            </w:r>
          </w:p>
        </w:tc>
        <w:tc>
          <w:tcPr>
            <w:tcW w:w="708" w:type="dxa"/>
            <w:shd w:val="clear" w:color="auto" w:fill="auto"/>
          </w:tcPr>
          <w:p w14:paraId="0435E466" w14:textId="77777777" w:rsidR="009021F1" w:rsidRPr="00D579BE" w:rsidRDefault="009021F1" w:rsidP="00E637E3">
            <w:pPr>
              <w:autoSpaceDE w:val="0"/>
              <w:autoSpaceDN w:val="0"/>
              <w:adjustRightInd w:val="0"/>
              <w:spacing w:line="240" w:lineRule="auto"/>
              <w:rPr>
                <w:rFonts w:eastAsia="Calibri" w:cs="Arial"/>
                <w:sz w:val="20"/>
                <w:szCs w:val="20"/>
                <w:lang w:eastAsia="en-US"/>
              </w:rPr>
            </w:pPr>
          </w:p>
        </w:tc>
        <w:tc>
          <w:tcPr>
            <w:tcW w:w="843" w:type="dxa"/>
            <w:shd w:val="clear" w:color="auto" w:fill="auto"/>
          </w:tcPr>
          <w:p w14:paraId="2287D8B3" w14:textId="77777777" w:rsidR="009021F1" w:rsidRPr="00D579BE" w:rsidRDefault="009021F1" w:rsidP="00E637E3">
            <w:pPr>
              <w:autoSpaceDE w:val="0"/>
              <w:autoSpaceDN w:val="0"/>
              <w:adjustRightInd w:val="0"/>
              <w:spacing w:line="240" w:lineRule="auto"/>
              <w:rPr>
                <w:rFonts w:eastAsia="Calibri" w:cs="Arial"/>
                <w:sz w:val="20"/>
                <w:szCs w:val="20"/>
                <w:lang w:eastAsia="en-US"/>
              </w:rPr>
            </w:pPr>
          </w:p>
        </w:tc>
        <w:tc>
          <w:tcPr>
            <w:tcW w:w="1992" w:type="dxa"/>
            <w:shd w:val="clear" w:color="auto" w:fill="auto"/>
          </w:tcPr>
          <w:p w14:paraId="509114FB" w14:textId="77777777" w:rsidR="009021F1" w:rsidRPr="00D579BE" w:rsidRDefault="009021F1" w:rsidP="00E637E3">
            <w:pPr>
              <w:autoSpaceDE w:val="0"/>
              <w:autoSpaceDN w:val="0"/>
              <w:adjustRightInd w:val="0"/>
              <w:spacing w:line="240" w:lineRule="auto"/>
              <w:jc w:val="left"/>
              <w:rPr>
                <w:rFonts w:eastAsia="Calibri" w:cs="Arial"/>
                <w:sz w:val="20"/>
                <w:szCs w:val="20"/>
                <w:lang w:eastAsia="en-US"/>
              </w:rPr>
            </w:pPr>
            <w:r w:rsidRPr="00D579BE">
              <w:rPr>
                <w:rFonts w:cs="Arial"/>
                <w:sz w:val="20"/>
                <w:szCs w:val="20"/>
              </w:rPr>
              <w:t>Si Oui, s’inspirer des mesures adéquates d’atténuation décrite dans le paragraphe 5.4.1</w:t>
            </w:r>
          </w:p>
        </w:tc>
      </w:tr>
    </w:tbl>
    <w:p w14:paraId="4554B45C" w14:textId="77777777" w:rsidR="009021F1" w:rsidRPr="00D579BE" w:rsidRDefault="009021F1" w:rsidP="009021F1">
      <w:pPr>
        <w:pStyle w:val="Normal11"/>
        <w:spacing w:line="276" w:lineRule="auto"/>
        <w:rPr>
          <w:rFonts w:ascii="Arial" w:hAnsi="Arial" w:cs="Arial"/>
          <w:sz w:val="21"/>
          <w:szCs w:val="21"/>
        </w:rPr>
      </w:pPr>
      <w:r w:rsidRPr="00D579BE">
        <w:rPr>
          <w:rFonts w:ascii="Arial" w:hAnsi="Arial" w:cs="Arial"/>
          <w:b/>
          <w:sz w:val="21"/>
          <w:szCs w:val="21"/>
        </w:rPr>
        <w:t>Nota :</w:t>
      </w:r>
      <w:r w:rsidRPr="00D579BE">
        <w:rPr>
          <w:rFonts w:ascii="Arial" w:hAnsi="Arial" w:cs="Arial"/>
          <w:sz w:val="21"/>
          <w:szCs w:val="21"/>
        </w:rPr>
        <w:t xml:space="preserve"> la liste de contrôle environnemental et social doit aider aussi à mieux apprécier les résultats issus de l’analyse du formulaire de sélection environnementale et sociale</w:t>
      </w:r>
      <w:r w:rsidRPr="00D579BE">
        <w:rPr>
          <w:rFonts w:ascii="Arial" w:hAnsi="Arial" w:cs="Arial"/>
          <w:b/>
          <w:bCs/>
          <w:sz w:val="21"/>
          <w:szCs w:val="21"/>
        </w:rPr>
        <w:t xml:space="preserve"> </w:t>
      </w:r>
      <w:r w:rsidRPr="00D579BE">
        <w:rPr>
          <w:rFonts w:ascii="Arial" w:hAnsi="Arial" w:cs="Arial"/>
          <w:sz w:val="21"/>
          <w:szCs w:val="21"/>
        </w:rPr>
        <w:t>défini en Annexe 1 ci-dessus</w:t>
      </w:r>
      <w:r>
        <w:rPr>
          <w:rFonts w:ascii="Arial" w:hAnsi="Arial" w:cs="Arial"/>
          <w:sz w:val="21"/>
          <w:szCs w:val="21"/>
        </w:rPr>
        <w:t>. C</w:t>
      </w:r>
      <w:r w:rsidRPr="00D444FF">
        <w:rPr>
          <w:rFonts w:ascii="Arial" w:hAnsi="Arial" w:cs="Arial"/>
          <w:sz w:val="21"/>
          <w:szCs w:val="21"/>
        </w:rPr>
        <w:t>ette liste de contrôle sera utilisée</w:t>
      </w:r>
      <w:r>
        <w:rPr>
          <w:rFonts w:ascii="Arial" w:hAnsi="Arial" w:cs="Arial"/>
          <w:sz w:val="21"/>
          <w:szCs w:val="21"/>
        </w:rPr>
        <w:t xml:space="preserve"> pendant la phase de la mise en œuvre des sous-projets.</w:t>
      </w:r>
    </w:p>
    <w:p w14:paraId="5D97F8F3" w14:textId="77777777" w:rsidR="009021F1" w:rsidRPr="00D579BE" w:rsidRDefault="009021F1" w:rsidP="009021F1">
      <w:pPr>
        <w:pStyle w:val="Titre1"/>
        <w:tabs>
          <w:tab w:val="right" w:pos="9062"/>
        </w:tabs>
        <w:ind w:left="1276" w:hanging="1276"/>
        <w:rPr>
          <w:rFonts w:cs="Arial"/>
          <w:b w:val="0"/>
          <w:szCs w:val="21"/>
        </w:rPr>
      </w:pPr>
      <w:r w:rsidRPr="00D579BE">
        <w:rPr>
          <w:szCs w:val="21"/>
        </w:rPr>
        <w:br w:type="page"/>
      </w:r>
      <w:bookmarkStart w:id="483" w:name="_Toc90471589"/>
      <w:r w:rsidRPr="00B76D27">
        <w:rPr>
          <w:rFonts w:cs="Arial"/>
          <w:szCs w:val="21"/>
        </w:rPr>
        <w:t>ANNEXE 3. CLAUSES ENVIRONNEMENTALES, SOCIALES, SANITAIRES (ESSS OU E3S)</w:t>
      </w:r>
      <w:bookmarkEnd w:id="483"/>
      <w:r w:rsidRPr="00D579BE">
        <w:rPr>
          <w:rFonts w:cs="Arial"/>
          <w:b w:val="0"/>
          <w:szCs w:val="21"/>
        </w:rPr>
        <w:t xml:space="preserve"> </w:t>
      </w:r>
    </w:p>
    <w:p w14:paraId="2A365FB7" w14:textId="77777777" w:rsidR="009021F1" w:rsidRPr="00D579BE" w:rsidRDefault="009021F1" w:rsidP="009021F1">
      <w:pPr>
        <w:rPr>
          <w:szCs w:val="21"/>
        </w:rPr>
      </w:pPr>
    </w:p>
    <w:p w14:paraId="0302B65E" w14:textId="77777777" w:rsidR="009021F1" w:rsidRPr="00D579BE" w:rsidRDefault="009021F1" w:rsidP="009021F1">
      <w:pPr>
        <w:numPr>
          <w:ilvl w:val="1"/>
          <w:numId w:val="120"/>
        </w:numPr>
        <w:rPr>
          <w:b/>
          <w:szCs w:val="21"/>
        </w:rPr>
      </w:pPr>
      <w:r w:rsidRPr="00D579BE">
        <w:rPr>
          <w:b/>
          <w:szCs w:val="21"/>
        </w:rPr>
        <w:t>Dispositions préalables pour l’exécution des travaux</w:t>
      </w:r>
    </w:p>
    <w:p w14:paraId="1A1AE12F" w14:textId="77777777" w:rsidR="009021F1" w:rsidRPr="00D579BE" w:rsidRDefault="009021F1" w:rsidP="009021F1">
      <w:pPr>
        <w:autoSpaceDE w:val="0"/>
        <w:autoSpaceDN w:val="0"/>
        <w:adjustRightInd w:val="0"/>
        <w:rPr>
          <w:szCs w:val="21"/>
        </w:rPr>
      </w:pPr>
    </w:p>
    <w:p w14:paraId="143D81ED" w14:textId="77777777" w:rsidR="009021F1" w:rsidRPr="00D579BE" w:rsidRDefault="009021F1" w:rsidP="009021F1">
      <w:pPr>
        <w:tabs>
          <w:tab w:val="left" w:pos="720"/>
        </w:tabs>
        <w:spacing w:after="240"/>
        <w:rPr>
          <w:szCs w:val="21"/>
        </w:rPr>
      </w:pPr>
      <w:r w:rsidRPr="00D579BE">
        <w:rPr>
          <w:szCs w:val="21"/>
        </w:rPr>
        <w:t xml:space="preserve">Processus de contractualisation des clauses environnementales et sociales pour les entrepreneurs. </w:t>
      </w:r>
    </w:p>
    <w:p w14:paraId="16AE0DE8" w14:textId="77777777" w:rsidR="009021F1" w:rsidRPr="00D579BE" w:rsidRDefault="009021F1" w:rsidP="009021F1">
      <w:pPr>
        <w:tabs>
          <w:tab w:val="left" w:pos="720"/>
        </w:tabs>
        <w:spacing w:after="240"/>
        <w:rPr>
          <w:szCs w:val="21"/>
        </w:rPr>
      </w:pPr>
      <w:r w:rsidRPr="00D579BE">
        <w:rPr>
          <w:szCs w:val="21"/>
        </w:rPr>
        <w:t xml:space="preserve"> Ce processus devra aussi être repris dans le Processus de Gestion de la Main-d’œuvre.</w:t>
      </w:r>
    </w:p>
    <w:p w14:paraId="2E584896" w14:textId="77777777" w:rsidR="009021F1" w:rsidRPr="00D579BE" w:rsidRDefault="009021F1" w:rsidP="009021F1">
      <w:pPr>
        <w:pStyle w:val="Paragraphedeliste"/>
        <w:numPr>
          <w:ilvl w:val="0"/>
          <w:numId w:val="56"/>
        </w:numPr>
        <w:rPr>
          <w:szCs w:val="21"/>
          <w:lang w:val="fr-CA" w:eastAsia="en-US"/>
        </w:rPr>
      </w:pPr>
      <w:r w:rsidRPr="00D579BE">
        <w:rPr>
          <w:szCs w:val="21"/>
          <w:lang w:val="fr-CA" w:eastAsia="en-US"/>
        </w:rPr>
        <w:t>Les appels à propositions (DAO) pour les travaux référeront aux exigences E3S (voir Annexe ci-jointe)</w:t>
      </w:r>
    </w:p>
    <w:p w14:paraId="0BE56B07" w14:textId="77777777" w:rsidR="009021F1" w:rsidRPr="00D579BE" w:rsidRDefault="009021F1" w:rsidP="009021F1">
      <w:pPr>
        <w:pStyle w:val="Paragraphedeliste"/>
        <w:numPr>
          <w:ilvl w:val="0"/>
          <w:numId w:val="56"/>
        </w:numPr>
        <w:rPr>
          <w:szCs w:val="21"/>
          <w:lang w:val="fr-CA" w:eastAsia="en-US"/>
        </w:rPr>
      </w:pPr>
      <w:r w:rsidRPr="00D579BE">
        <w:rPr>
          <w:szCs w:val="21"/>
          <w:lang w:val="fr-CA" w:eastAsia="en-US"/>
        </w:rPr>
        <w:t>Les soumissionnaires soumettront un plan environnemental et social préliminaire dans le cadre de leurs offres, décrivant les principes et la méthodologie qu'ils utiliseront pour traiter les questions environnementales, sociales, de santé et de sécurité dans le cadre du contrat, et incluront tous les coûts associés à la gestion des questions environnementales et sociales dans leurs offres.</w:t>
      </w:r>
    </w:p>
    <w:p w14:paraId="7B47986C" w14:textId="77777777" w:rsidR="009021F1" w:rsidRPr="00D579BE" w:rsidRDefault="009021F1" w:rsidP="009021F1">
      <w:pPr>
        <w:pStyle w:val="Paragraphedeliste"/>
        <w:numPr>
          <w:ilvl w:val="0"/>
          <w:numId w:val="56"/>
        </w:numPr>
        <w:rPr>
          <w:szCs w:val="21"/>
          <w:lang w:val="fr-CA" w:eastAsia="en-US"/>
        </w:rPr>
      </w:pPr>
      <w:r w:rsidRPr="00D579BE">
        <w:rPr>
          <w:szCs w:val="21"/>
          <w:lang w:val="fr-CA" w:eastAsia="en-US"/>
        </w:rPr>
        <w:t>La qualité du plan environnemental et social préliminaire, les performances environnementales et sociales passées des soumissionnaires, ainsi que leur capacité à gérer les questions environnementales et sociales, seront pris en compte lors de la sélection des entreprises.</w:t>
      </w:r>
    </w:p>
    <w:p w14:paraId="04AF5FDF" w14:textId="77777777" w:rsidR="009021F1" w:rsidRPr="00D579BE" w:rsidRDefault="009021F1" w:rsidP="009021F1">
      <w:pPr>
        <w:pStyle w:val="Paragraphedeliste"/>
        <w:numPr>
          <w:ilvl w:val="0"/>
          <w:numId w:val="56"/>
        </w:numPr>
        <w:rPr>
          <w:szCs w:val="21"/>
          <w:lang w:val="fr-CA" w:eastAsia="en-US"/>
        </w:rPr>
      </w:pPr>
      <w:r w:rsidRPr="00D579BE">
        <w:rPr>
          <w:szCs w:val="21"/>
          <w:lang w:val="fr-CA" w:eastAsia="en-US"/>
        </w:rPr>
        <w:t>Les entreprises sélectionnées prépareront un Plan de Gestion Environnementale et Sociale qui leur est spécifique (PGES-Entreprise), détaillant la manière dont les critères environnementaux et sociaux minimums seront mis en œuvre, y compris les procédures de mise en œuvre et le personnel requis.</w:t>
      </w:r>
    </w:p>
    <w:p w14:paraId="56FDB292" w14:textId="77777777" w:rsidR="009021F1" w:rsidRPr="00D579BE" w:rsidRDefault="009021F1" w:rsidP="009021F1">
      <w:pPr>
        <w:pStyle w:val="Paragraphedeliste"/>
        <w:numPr>
          <w:ilvl w:val="0"/>
          <w:numId w:val="56"/>
        </w:numPr>
        <w:rPr>
          <w:szCs w:val="21"/>
          <w:lang w:val="fr-CA" w:eastAsia="en-US"/>
        </w:rPr>
      </w:pPr>
      <w:r w:rsidRPr="00D579BE">
        <w:rPr>
          <w:szCs w:val="21"/>
          <w:lang w:val="fr-CA" w:eastAsia="en-US"/>
        </w:rPr>
        <w:t>La CI devra approuver le PGES de chaque entreprise avant que celle-ci puisse démarrer ses activités.</w:t>
      </w:r>
    </w:p>
    <w:p w14:paraId="5DB86C98" w14:textId="77777777" w:rsidR="009021F1" w:rsidRPr="00D579BE" w:rsidRDefault="009021F1" w:rsidP="009021F1">
      <w:pPr>
        <w:pStyle w:val="Paragraphedeliste"/>
        <w:numPr>
          <w:ilvl w:val="0"/>
          <w:numId w:val="56"/>
        </w:numPr>
        <w:rPr>
          <w:szCs w:val="21"/>
          <w:lang w:val="fr-CA" w:eastAsia="en-US"/>
        </w:rPr>
      </w:pPr>
      <w:r w:rsidRPr="00D579BE">
        <w:rPr>
          <w:szCs w:val="21"/>
          <w:lang w:val="fr-CA" w:eastAsia="en-US"/>
        </w:rPr>
        <w:t>Le PGES préparé par chaque entreprise servira de référence lors du suivi et de l’évaluation de sa performance environnementale et sociale.</w:t>
      </w:r>
    </w:p>
    <w:p w14:paraId="072AF018" w14:textId="77777777" w:rsidR="009021F1" w:rsidRPr="00D579BE" w:rsidRDefault="009021F1" w:rsidP="009021F1">
      <w:pPr>
        <w:rPr>
          <w:szCs w:val="21"/>
        </w:rPr>
      </w:pPr>
    </w:p>
    <w:p w14:paraId="15497946" w14:textId="77777777" w:rsidR="009021F1" w:rsidRPr="00D579BE" w:rsidRDefault="009021F1" w:rsidP="009021F1">
      <w:pPr>
        <w:rPr>
          <w:b/>
          <w:bCs/>
          <w:i/>
          <w:iCs/>
          <w:color w:val="000000"/>
          <w:szCs w:val="21"/>
        </w:rPr>
      </w:pPr>
      <w:r w:rsidRPr="00D579BE">
        <w:rPr>
          <w:b/>
          <w:bCs/>
          <w:color w:val="000000"/>
          <w:szCs w:val="21"/>
        </w:rPr>
        <w:t>Prescriptions Environnementales, Sociales, Sanitaires et Sécuritaires (E3S)</w:t>
      </w:r>
      <w:r w:rsidRPr="00D579BE">
        <w:rPr>
          <w:b/>
          <w:bCs/>
          <w:color w:val="000000"/>
          <w:szCs w:val="21"/>
        </w:rPr>
        <w:br/>
      </w:r>
      <w:r w:rsidRPr="00D579BE">
        <w:rPr>
          <w:b/>
          <w:bCs/>
          <w:i/>
          <w:iCs/>
          <w:color w:val="000000"/>
          <w:szCs w:val="21"/>
        </w:rPr>
        <w:t>applicables aux entreprises impliquées dans le PNDA</w:t>
      </w:r>
    </w:p>
    <w:p w14:paraId="3EBE40E1" w14:textId="77777777" w:rsidR="009021F1" w:rsidRPr="00D579BE" w:rsidRDefault="009021F1" w:rsidP="009021F1">
      <w:pPr>
        <w:rPr>
          <w:szCs w:val="21"/>
        </w:rPr>
      </w:pPr>
    </w:p>
    <w:p w14:paraId="23CBD866" w14:textId="77777777" w:rsidR="009021F1" w:rsidRPr="00D579BE" w:rsidRDefault="009021F1" w:rsidP="009021F1">
      <w:pPr>
        <w:rPr>
          <w:szCs w:val="21"/>
        </w:rPr>
      </w:pPr>
      <w:r w:rsidRPr="00D579BE">
        <w:rPr>
          <w:szCs w:val="21"/>
        </w:rPr>
        <w:t>Cette annexe définit les prescriptions minimales concernant les mesures d'atténuation des risques environnementaux, sociaux, sanitaires, et sécuritaires (E3S), que les entreprises doivent prendre en considération lors de la préparation de leur PGES.</w:t>
      </w:r>
    </w:p>
    <w:p w14:paraId="5E3980AB" w14:textId="77777777" w:rsidR="009021F1" w:rsidRPr="00D579BE" w:rsidRDefault="009021F1" w:rsidP="009021F1">
      <w:pPr>
        <w:rPr>
          <w:b/>
          <w:bCs/>
          <w:color w:val="000000"/>
          <w:szCs w:val="21"/>
        </w:rPr>
      </w:pPr>
    </w:p>
    <w:p w14:paraId="5F0A0220" w14:textId="77777777" w:rsidR="009021F1" w:rsidRPr="00D579BE" w:rsidRDefault="009021F1" w:rsidP="009021F1">
      <w:pPr>
        <w:rPr>
          <w:b/>
          <w:bCs/>
          <w:color w:val="000000"/>
          <w:szCs w:val="21"/>
        </w:rPr>
      </w:pPr>
      <w:r w:rsidRPr="00D579BE">
        <w:rPr>
          <w:b/>
          <w:bCs/>
          <w:color w:val="000000"/>
          <w:szCs w:val="21"/>
        </w:rPr>
        <w:t>Dispositions Générales</w:t>
      </w:r>
    </w:p>
    <w:p w14:paraId="1E0075F2" w14:textId="77777777" w:rsidR="009021F1" w:rsidRPr="00D579BE" w:rsidRDefault="009021F1" w:rsidP="009021F1">
      <w:pPr>
        <w:rPr>
          <w:b/>
          <w:szCs w:val="21"/>
          <w:lang w:val="x-none" w:eastAsia="x-none"/>
        </w:rPr>
      </w:pPr>
    </w:p>
    <w:p w14:paraId="12B9831C" w14:textId="77777777" w:rsidR="009021F1" w:rsidRPr="00D579BE" w:rsidRDefault="009021F1" w:rsidP="009021F1">
      <w:pPr>
        <w:rPr>
          <w:b/>
          <w:i/>
          <w:szCs w:val="21"/>
          <w:lang w:val="x-none" w:eastAsia="x-none"/>
        </w:rPr>
      </w:pPr>
      <w:r w:rsidRPr="00D579BE">
        <w:rPr>
          <w:b/>
          <w:i/>
          <w:szCs w:val="21"/>
          <w:lang w:val="x-none" w:eastAsia="x-none"/>
        </w:rPr>
        <w:t>Plan de Gestion de l’Entreprise</w:t>
      </w:r>
    </w:p>
    <w:p w14:paraId="71E77381" w14:textId="77777777" w:rsidR="009021F1" w:rsidRPr="00D579BE" w:rsidRDefault="009021F1" w:rsidP="009021F1">
      <w:pPr>
        <w:rPr>
          <w:szCs w:val="21"/>
        </w:rPr>
      </w:pPr>
    </w:p>
    <w:p w14:paraId="57470DC1" w14:textId="77777777" w:rsidR="009021F1" w:rsidRPr="00D579BE" w:rsidRDefault="009021F1" w:rsidP="009021F1">
      <w:pPr>
        <w:rPr>
          <w:szCs w:val="21"/>
        </w:rPr>
      </w:pPr>
      <w:r w:rsidRPr="00D579BE">
        <w:rPr>
          <w:szCs w:val="21"/>
        </w:rPr>
        <w:t>L’Entreprise doit établir et soumettre à l'approbation du Maître d’Ouvrage délégué un Plan détaillant comment l’Entreprise (PGES-Entreprise) satisfera les prescriptions environnementales, sociales, sanitaires, et sécuritaires (E3S).  Ce Plan comprendra les sections suivantes :</w:t>
      </w:r>
    </w:p>
    <w:p w14:paraId="5BE7828C" w14:textId="77777777" w:rsidR="009021F1" w:rsidRPr="00D579BE" w:rsidRDefault="009021F1" w:rsidP="009021F1">
      <w:pPr>
        <w:rPr>
          <w:szCs w:val="21"/>
        </w:rPr>
      </w:pPr>
    </w:p>
    <w:p w14:paraId="5B88221A" w14:textId="77777777" w:rsidR="009021F1" w:rsidRPr="00D579BE" w:rsidRDefault="009021F1" w:rsidP="009021F1">
      <w:pPr>
        <w:rPr>
          <w:szCs w:val="21"/>
        </w:rPr>
      </w:pPr>
      <w:r w:rsidRPr="00D579BE">
        <w:rPr>
          <w:szCs w:val="21"/>
        </w:rPr>
        <w:t>Formation E3S :</w:t>
      </w:r>
    </w:p>
    <w:p w14:paraId="10913935" w14:textId="77777777" w:rsidR="009021F1" w:rsidRPr="00D579BE" w:rsidRDefault="009021F1" w:rsidP="009021F1">
      <w:pPr>
        <w:rPr>
          <w:szCs w:val="21"/>
        </w:rPr>
      </w:pPr>
    </w:p>
    <w:p w14:paraId="2E4C601A" w14:textId="77777777" w:rsidR="009021F1" w:rsidRPr="00D579BE" w:rsidRDefault="009021F1" w:rsidP="009021F1">
      <w:pPr>
        <w:pStyle w:val="Paragraphedeliste"/>
        <w:numPr>
          <w:ilvl w:val="0"/>
          <w:numId w:val="56"/>
        </w:numPr>
        <w:rPr>
          <w:szCs w:val="21"/>
          <w:lang w:val="fr-CA" w:eastAsia="en-US"/>
        </w:rPr>
      </w:pPr>
      <w:r w:rsidRPr="00D579BE">
        <w:rPr>
          <w:szCs w:val="21"/>
          <w:lang w:val="fr-CA" w:eastAsia="en-US"/>
        </w:rPr>
        <w:t>Gestion des Installations et Chantiers</w:t>
      </w:r>
    </w:p>
    <w:p w14:paraId="430F819D" w14:textId="77777777" w:rsidR="009021F1" w:rsidRPr="00D579BE" w:rsidRDefault="009021F1" w:rsidP="009021F1">
      <w:pPr>
        <w:pStyle w:val="Paragraphedeliste"/>
        <w:numPr>
          <w:ilvl w:val="0"/>
          <w:numId w:val="56"/>
        </w:numPr>
        <w:rPr>
          <w:szCs w:val="21"/>
          <w:lang w:val="fr-CA" w:eastAsia="en-US"/>
        </w:rPr>
      </w:pPr>
      <w:r w:rsidRPr="00D579BE">
        <w:rPr>
          <w:szCs w:val="21"/>
          <w:lang w:val="fr-CA" w:eastAsia="en-US"/>
        </w:rPr>
        <w:t>Gestion de la Sécurité au Travail</w:t>
      </w:r>
    </w:p>
    <w:p w14:paraId="44EC3868" w14:textId="77777777" w:rsidR="009021F1" w:rsidRPr="00D579BE" w:rsidRDefault="009021F1" w:rsidP="009021F1">
      <w:pPr>
        <w:pStyle w:val="Paragraphedeliste"/>
        <w:numPr>
          <w:ilvl w:val="0"/>
          <w:numId w:val="56"/>
        </w:numPr>
        <w:rPr>
          <w:szCs w:val="21"/>
          <w:lang w:val="fr-CA" w:eastAsia="en-US"/>
        </w:rPr>
      </w:pPr>
      <w:r w:rsidRPr="00D579BE">
        <w:rPr>
          <w:szCs w:val="21"/>
          <w:lang w:val="fr-CA" w:eastAsia="en-US"/>
        </w:rPr>
        <w:t>Gestion de la Santé</w:t>
      </w:r>
    </w:p>
    <w:p w14:paraId="353CB57D" w14:textId="77777777" w:rsidR="009021F1" w:rsidRPr="00D579BE" w:rsidRDefault="009021F1" w:rsidP="009021F1">
      <w:pPr>
        <w:pStyle w:val="Paragraphedeliste"/>
        <w:numPr>
          <w:ilvl w:val="0"/>
          <w:numId w:val="56"/>
        </w:numPr>
        <w:rPr>
          <w:szCs w:val="21"/>
          <w:lang w:val="fr-CA" w:eastAsia="en-US"/>
        </w:rPr>
      </w:pPr>
      <w:r w:rsidRPr="00D579BE">
        <w:rPr>
          <w:szCs w:val="21"/>
          <w:lang w:val="fr-CA" w:eastAsia="en-US"/>
        </w:rPr>
        <w:t>Gestion de la Main-D'œuvre</w:t>
      </w:r>
    </w:p>
    <w:p w14:paraId="750B4FBA" w14:textId="77777777" w:rsidR="009021F1" w:rsidRPr="00D579BE" w:rsidRDefault="009021F1" w:rsidP="009021F1">
      <w:pPr>
        <w:pStyle w:val="Paragraphedeliste"/>
        <w:numPr>
          <w:ilvl w:val="0"/>
          <w:numId w:val="56"/>
        </w:numPr>
        <w:rPr>
          <w:szCs w:val="21"/>
          <w:lang w:val="fr-CA" w:eastAsia="en-US"/>
        </w:rPr>
      </w:pPr>
      <w:r w:rsidRPr="00D579BE">
        <w:rPr>
          <w:szCs w:val="21"/>
          <w:lang w:val="fr-CA" w:eastAsia="en-US"/>
        </w:rPr>
        <w:t>Préparation et Réponse aux Urgences</w:t>
      </w:r>
    </w:p>
    <w:p w14:paraId="4DFE922C" w14:textId="77777777" w:rsidR="009021F1" w:rsidRPr="00D579BE" w:rsidRDefault="009021F1" w:rsidP="009021F1">
      <w:pPr>
        <w:pStyle w:val="Paragraphedeliste"/>
        <w:numPr>
          <w:ilvl w:val="0"/>
          <w:numId w:val="56"/>
        </w:numPr>
        <w:rPr>
          <w:szCs w:val="21"/>
          <w:lang w:val="fr-CA" w:eastAsia="en-US"/>
        </w:rPr>
      </w:pPr>
      <w:r w:rsidRPr="00D579BE">
        <w:rPr>
          <w:szCs w:val="21"/>
          <w:lang w:val="fr-CA" w:eastAsia="en-US"/>
        </w:rPr>
        <w:t>Sécurité Extérieure des Chantiers, Installations, et des Personnes</w:t>
      </w:r>
    </w:p>
    <w:p w14:paraId="3A3A88B6" w14:textId="77777777" w:rsidR="009021F1" w:rsidRPr="00D579BE" w:rsidRDefault="009021F1" w:rsidP="009021F1">
      <w:pPr>
        <w:pStyle w:val="Paragraphedeliste"/>
        <w:numPr>
          <w:ilvl w:val="0"/>
          <w:numId w:val="56"/>
        </w:numPr>
        <w:rPr>
          <w:szCs w:val="21"/>
          <w:lang w:val="fr-CA" w:eastAsia="en-US"/>
        </w:rPr>
      </w:pPr>
      <w:r w:rsidRPr="00D579BE">
        <w:rPr>
          <w:szCs w:val="21"/>
          <w:lang w:val="fr-CA" w:eastAsia="en-US"/>
        </w:rPr>
        <w:t>Engagement des Parties Prenantes</w:t>
      </w:r>
    </w:p>
    <w:p w14:paraId="729B8914" w14:textId="77777777" w:rsidR="009021F1" w:rsidRPr="00D579BE" w:rsidRDefault="009021F1" w:rsidP="009021F1">
      <w:pPr>
        <w:pStyle w:val="Paragraphedeliste"/>
        <w:numPr>
          <w:ilvl w:val="0"/>
          <w:numId w:val="56"/>
        </w:numPr>
        <w:rPr>
          <w:szCs w:val="21"/>
          <w:lang w:val="fr-CA" w:eastAsia="en-US"/>
        </w:rPr>
      </w:pPr>
      <w:r w:rsidRPr="00D579BE">
        <w:rPr>
          <w:szCs w:val="21"/>
          <w:lang w:val="fr-CA" w:eastAsia="en-US"/>
        </w:rPr>
        <w:t>Suivi Environnemental et Socia</w:t>
      </w:r>
    </w:p>
    <w:p w14:paraId="53E6B1BC" w14:textId="77777777" w:rsidR="009021F1" w:rsidRPr="00D579BE" w:rsidRDefault="009021F1" w:rsidP="009021F1">
      <w:pPr>
        <w:rPr>
          <w:szCs w:val="21"/>
        </w:rPr>
      </w:pPr>
    </w:p>
    <w:p w14:paraId="543D61AC" w14:textId="77777777" w:rsidR="009021F1" w:rsidRPr="00D579BE" w:rsidRDefault="009021F1" w:rsidP="009021F1">
      <w:pPr>
        <w:rPr>
          <w:b/>
          <w:i/>
          <w:szCs w:val="21"/>
          <w:lang w:val="fr-CA" w:eastAsia="en-US"/>
        </w:rPr>
      </w:pPr>
      <w:r w:rsidRPr="00D579BE">
        <w:rPr>
          <w:b/>
          <w:i/>
          <w:szCs w:val="21"/>
        </w:rPr>
        <w:t>L’Entreprise  doit se conformer au PGES approuvé par le Maitre d’Ouvrage Délégué.</w:t>
      </w:r>
    </w:p>
    <w:p w14:paraId="51D8DE4C" w14:textId="77777777" w:rsidR="009021F1" w:rsidRPr="00D579BE" w:rsidRDefault="009021F1" w:rsidP="009021F1">
      <w:pPr>
        <w:rPr>
          <w:b/>
          <w:szCs w:val="21"/>
          <w:lang w:val="x-none" w:eastAsia="x-none"/>
        </w:rPr>
      </w:pPr>
    </w:p>
    <w:p w14:paraId="07D4E926" w14:textId="77777777" w:rsidR="009021F1" w:rsidRPr="00D579BE" w:rsidRDefault="009021F1" w:rsidP="009021F1">
      <w:pPr>
        <w:rPr>
          <w:b/>
          <w:szCs w:val="21"/>
          <w:lang w:val="x-none" w:eastAsia="x-none"/>
        </w:rPr>
      </w:pPr>
      <w:r w:rsidRPr="00D579BE">
        <w:rPr>
          <w:b/>
          <w:szCs w:val="21"/>
          <w:lang w:val="x-none" w:eastAsia="x-none"/>
        </w:rPr>
        <w:t xml:space="preserve">Responsable Hygiène, Sécurité et Environnement </w:t>
      </w:r>
    </w:p>
    <w:p w14:paraId="0E00FAA0" w14:textId="77777777" w:rsidR="009021F1" w:rsidRPr="00D579BE" w:rsidRDefault="009021F1" w:rsidP="009021F1">
      <w:pPr>
        <w:rPr>
          <w:szCs w:val="21"/>
        </w:rPr>
      </w:pPr>
    </w:p>
    <w:p w14:paraId="569B78DB" w14:textId="77777777" w:rsidR="009021F1" w:rsidRPr="00D579BE" w:rsidRDefault="009021F1" w:rsidP="009021F1">
      <w:pPr>
        <w:rPr>
          <w:szCs w:val="21"/>
        </w:rPr>
      </w:pPr>
      <w:r w:rsidRPr="00D579BE">
        <w:rPr>
          <w:szCs w:val="21"/>
        </w:rPr>
        <w:t>L’Entreprise doit :</w:t>
      </w:r>
    </w:p>
    <w:p w14:paraId="25785442" w14:textId="77777777" w:rsidR="009021F1" w:rsidRPr="00D579BE" w:rsidRDefault="009021F1" w:rsidP="009021F1">
      <w:pPr>
        <w:rPr>
          <w:szCs w:val="21"/>
        </w:rPr>
      </w:pPr>
    </w:p>
    <w:p w14:paraId="144534A2" w14:textId="77777777" w:rsidR="009021F1" w:rsidRPr="00D579BE" w:rsidRDefault="009021F1" w:rsidP="009021F1">
      <w:pPr>
        <w:rPr>
          <w:szCs w:val="21"/>
        </w:rPr>
      </w:pPr>
      <w:r w:rsidRPr="00D579BE">
        <w:rPr>
          <w:szCs w:val="21"/>
        </w:rPr>
        <w:t>Désigner un responsable 3SE qui veillera à ce les prescriptions 3SE soient rigoureusement suivies par tous et à tous les niveaux d’exécution, tant pour les employés de l’Entreprise que pour la population et autres personnes en contact avec le chantier.</w:t>
      </w:r>
    </w:p>
    <w:p w14:paraId="3E00D75C" w14:textId="77777777" w:rsidR="009021F1" w:rsidRPr="00D579BE" w:rsidRDefault="009021F1" w:rsidP="009021F1">
      <w:pPr>
        <w:rPr>
          <w:b/>
          <w:szCs w:val="21"/>
          <w:lang w:val="x-none" w:eastAsia="x-none"/>
        </w:rPr>
      </w:pPr>
    </w:p>
    <w:p w14:paraId="4152BA37" w14:textId="77777777" w:rsidR="009021F1" w:rsidRPr="00D579BE" w:rsidRDefault="009021F1" w:rsidP="009021F1">
      <w:pPr>
        <w:rPr>
          <w:b/>
          <w:szCs w:val="21"/>
          <w:lang w:val="x-none" w:eastAsia="x-none"/>
        </w:rPr>
      </w:pPr>
      <w:r w:rsidRPr="00D579BE">
        <w:rPr>
          <w:b/>
          <w:szCs w:val="21"/>
          <w:lang w:val="x-none" w:eastAsia="x-none"/>
        </w:rPr>
        <w:t>Respect des Lois, Règlements, et Normes Nationales</w:t>
      </w:r>
    </w:p>
    <w:p w14:paraId="1DBEA8FF" w14:textId="77777777" w:rsidR="009021F1" w:rsidRPr="00D579BE" w:rsidRDefault="009021F1" w:rsidP="009021F1">
      <w:pPr>
        <w:rPr>
          <w:b/>
          <w:szCs w:val="21"/>
          <w:lang w:val="x-none" w:eastAsia="x-none"/>
        </w:rPr>
      </w:pPr>
    </w:p>
    <w:p w14:paraId="36661062" w14:textId="77777777" w:rsidR="009021F1" w:rsidRPr="00D579BE" w:rsidRDefault="009021F1" w:rsidP="009021F1">
      <w:pPr>
        <w:rPr>
          <w:szCs w:val="21"/>
        </w:rPr>
      </w:pPr>
      <w:r w:rsidRPr="00D579BE">
        <w:rPr>
          <w:szCs w:val="21"/>
        </w:rPr>
        <w:t>L’Entreprise et ses sous-traitants doivent :</w:t>
      </w:r>
    </w:p>
    <w:p w14:paraId="048F5FF7" w14:textId="77777777" w:rsidR="009021F1" w:rsidRPr="00D579BE" w:rsidRDefault="009021F1" w:rsidP="009021F1">
      <w:pPr>
        <w:rPr>
          <w:szCs w:val="21"/>
        </w:rPr>
      </w:pPr>
    </w:p>
    <w:p w14:paraId="0B612A7A" w14:textId="77777777" w:rsidR="009021F1" w:rsidRPr="00D579BE" w:rsidRDefault="009021F1" w:rsidP="009021F1">
      <w:pPr>
        <w:pStyle w:val="Paragraphedeliste"/>
        <w:numPr>
          <w:ilvl w:val="0"/>
          <w:numId w:val="56"/>
        </w:numPr>
        <w:rPr>
          <w:szCs w:val="21"/>
          <w:lang w:val="fr-CA" w:eastAsia="en-US"/>
        </w:rPr>
      </w:pPr>
      <w:r w:rsidRPr="00D579BE">
        <w:rPr>
          <w:szCs w:val="21"/>
          <w:lang w:val="fr-CA" w:eastAsia="en-US"/>
        </w:rPr>
        <w:t>Connaître, respecter et appliquer les lois, règlements, et normes en vigueur au Niger relatifs à l’environnement, ainsi qu’aux aspects sociaux, sanitaires et sécuritaires ; et</w:t>
      </w:r>
    </w:p>
    <w:p w14:paraId="29A73016" w14:textId="77777777" w:rsidR="009021F1" w:rsidRPr="00D579BE" w:rsidRDefault="009021F1" w:rsidP="009021F1">
      <w:pPr>
        <w:pStyle w:val="Paragraphedeliste"/>
        <w:numPr>
          <w:ilvl w:val="0"/>
          <w:numId w:val="56"/>
        </w:numPr>
        <w:rPr>
          <w:szCs w:val="21"/>
          <w:lang w:val="fr-CA" w:eastAsia="en-US"/>
        </w:rPr>
      </w:pPr>
      <w:r w:rsidRPr="00D579BE">
        <w:rPr>
          <w:szCs w:val="21"/>
          <w:lang w:val="fr-CA" w:eastAsia="en-US"/>
        </w:rPr>
        <w:t>Assumer entière responsabilité pour toute réclamation liée à une activité sous leur contrôle qui n’a pas respecté ces lois, règlements, ou normes.</w:t>
      </w:r>
    </w:p>
    <w:p w14:paraId="0DEC8474" w14:textId="77777777" w:rsidR="009021F1" w:rsidRPr="00D579BE" w:rsidRDefault="009021F1" w:rsidP="009021F1">
      <w:pPr>
        <w:rPr>
          <w:b/>
          <w:szCs w:val="21"/>
          <w:lang w:val="x-none" w:eastAsia="x-none"/>
        </w:rPr>
      </w:pPr>
    </w:p>
    <w:p w14:paraId="45A1FC0E" w14:textId="77777777" w:rsidR="009021F1" w:rsidRPr="00D579BE" w:rsidRDefault="009021F1" w:rsidP="009021F1">
      <w:pPr>
        <w:rPr>
          <w:b/>
          <w:szCs w:val="21"/>
          <w:lang w:val="x-none" w:eastAsia="x-none"/>
        </w:rPr>
      </w:pPr>
      <w:r w:rsidRPr="00D579BE">
        <w:rPr>
          <w:b/>
          <w:szCs w:val="21"/>
          <w:lang w:val="x-none" w:eastAsia="x-none"/>
        </w:rPr>
        <w:t>Obligations Contractuelles</w:t>
      </w:r>
    </w:p>
    <w:p w14:paraId="724F7B7A" w14:textId="77777777" w:rsidR="009021F1" w:rsidRPr="00D579BE" w:rsidRDefault="009021F1" w:rsidP="009021F1">
      <w:pPr>
        <w:rPr>
          <w:b/>
          <w:szCs w:val="21"/>
          <w:lang w:val="x-none" w:eastAsia="x-none"/>
        </w:rPr>
      </w:pPr>
    </w:p>
    <w:p w14:paraId="6E40E1B7" w14:textId="77777777" w:rsidR="009021F1" w:rsidRPr="00D579BE" w:rsidRDefault="009021F1" w:rsidP="009021F1">
      <w:pPr>
        <w:rPr>
          <w:szCs w:val="21"/>
        </w:rPr>
      </w:pPr>
      <w:r w:rsidRPr="00D579BE">
        <w:rPr>
          <w:szCs w:val="21"/>
        </w:rPr>
        <w:t>L’Entreprise doit :</w:t>
      </w:r>
    </w:p>
    <w:p w14:paraId="4A2026FC" w14:textId="77777777" w:rsidR="009021F1" w:rsidRPr="00D579BE" w:rsidRDefault="009021F1" w:rsidP="009021F1">
      <w:pPr>
        <w:rPr>
          <w:szCs w:val="21"/>
        </w:rPr>
      </w:pPr>
    </w:p>
    <w:p w14:paraId="4E8474FA" w14:textId="77777777" w:rsidR="009021F1" w:rsidRPr="00D579BE" w:rsidRDefault="009021F1" w:rsidP="009021F1">
      <w:pPr>
        <w:pStyle w:val="Paragraphedeliste"/>
        <w:numPr>
          <w:ilvl w:val="0"/>
          <w:numId w:val="56"/>
        </w:numPr>
        <w:rPr>
          <w:szCs w:val="21"/>
          <w:lang w:val="fr-CA" w:eastAsia="en-US"/>
        </w:rPr>
      </w:pPr>
      <w:r w:rsidRPr="00D579BE">
        <w:rPr>
          <w:szCs w:val="21"/>
          <w:lang w:val="fr-CA" w:eastAsia="en-US"/>
        </w:rPr>
        <w:t>Redresser tout défaut, manquement, ou non-exécution des prescriptions E3S ou de son Plan E3S qui lui est dûment notifiées par le Maître d’Ouvrage délégué</w:t>
      </w:r>
    </w:p>
    <w:p w14:paraId="4A887615" w14:textId="77777777" w:rsidR="009021F1" w:rsidRPr="00D579BE" w:rsidRDefault="009021F1" w:rsidP="009021F1">
      <w:pPr>
        <w:pStyle w:val="Paragraphedeliste"/>
        <w:numPr>
          <w:ilvl w:val="0"/>
          <w:numId w:val="56"/>
        </w:numPr>
        <w:rPr>
          <w:szCs w:val="21"/>
          <w:lang w:val="fr-CA" w:eastAsia="en-US"/>
        </w:rPr>
      </w:pPr>
      <w:r w:rsidRPr="00D579BE">
        <w:rPr>
          <w:szCs w:val="21"/>
          <w:lang w:val="fr-CA" w:eastAsia="en-US"/>
        </w:rPr>
        <w:t>Assumer les coûts associés à tout retard ou interruption des travaux, ainsi qu’à tous travaux supplémentaires découlant du non-respect des prescriptions E3S ou de son Plan E3S.</w:t>
      </w:r>
    </w:p>
    <w:p w14:paraId="7026E69B" w14:textId="77777777" w:rsidR="009021F1" w:rsidRPr="00D579BE" w:rsidRDefault="009021F1" w:rsidP="009021F1">
      <w:pPr>
        <w:pStyle w:val="Paragraphedeliste"/>
        <w:numPr>
          <w:ilvl w:val="0"/>
          <w:numId w:val="56"/>
        </w:numPr>
        <w:rPr>
          <w:szCs w:val="21"/>
          <w:lang w:val="fr-CA" w:eastAsia="en-US"/>
        </w:rPr>
      </w:pPr>
      <w:r w:rsidRPr="00D579BE">
        <w:rPr>
          <w:szCs w:val="21"/>
          <w:lang w:val="fr-CA" w:eastAsia="en-US"/>
        </w:rPr>
        <w:t>En application des dispositions contractuelles, le non-respect des E3S de manière générale, et du Plan E3S de l’Entreprise de manière spécifique, dûment constaté par le Maître d’Ouvrage délégué, peut être un motif de résiliation du contrat.</w:t>
      </w:r>
    </w:p>
    <w:p w14:paraId="1F69C67D" w14:textId="77777777" w:rsidR="009021F1" w:rsidRPr="00D579BE" w:rsidRDefault="009021F1" w:rsidP="009021F1">
      <w:pPr>
        <w:pStyle w:val="Paragraphedeliste"/>
        <w:numPr>
          <w:ilvl w:val="0"/>
          <w:numId w:val="56"/>
        </w:numPr>
        <w:rPr>
          <w:szCs w:val="21"/>
          <w:lang w:val="fr-CA" w:eastAsia="en-US"/>
        </w:rPr>
      </w:pPr>
      <w:r w:rsidRPr="00D579BE">
        <w:rPr>
          <w:szCs w:val="21"/>
          <w:lang w:val="fr-CA" w:eastAsia="en-US"/>
        </w:rPr>
        <w:t>L’Entreprise ayant fait l’objet d’une résiliation pour cause de non application des E3S ou du Plan E3S s’expose à des sanctions allant jusqu’à la suspension du droit de soumissionner pour une période déterminée par le Maître d’Ouvrage délégué, avec une réfaction sur le prix et un blocage de la retenue de garantie.</w:t>
      </w:r>
    </w:p>
    <w:p w14:paraId="37F07EC1" w14:textId="77777777" w:rsidR="009021F1" w:rsidRPr="00D579BE" w:rsidRDefault="009021F1" w:rsidP="009021F1">
      <w:pPr>
        <w:pStyle w:val="Paragraphedeliste"/>
        <w:numPr>
          <w:ilvl w:val="0"/>
          <w:numId w:val="56"/>
        </w:numPr>
        <w:rPr>
          <w:szCs w:val="21"/>
          <w:lang w:val="fr-CA" w:eastAsia="en-US"/>
        </w:rPr>
      </w:pPr>
      <w:r w:rsidRPr="00D579BE">
        <w:rPr>
          <w:szCs w:val="21"/>
          <w:lang w:val="fr-CA" w:eastAsia="en-US"/>
        </w:rPr>
        <w:t>Le non-respect d’une ou de plusieurs prescriptions E3S ou de son Plan E3S par l’Entreprise peut l’exposer au refus de réception provisoire ou définitive des travaux par la Commission de réception.</w:t>
      </w:r>
    </w:p>
    <w:p w14:paraId="203B87AF" w14:textId="77777777" w:rsidR="009021F1" w:rsidRPr="00D579BE" w:rsidRDefault="009021F1" w:rsidP="009021F1">
      <w:pPr>
        <w:pStyle w:val="Paragraphedeliste"/>
        <w:numPr>
          <w:ilvl w:val="0"/>
          <w:numId w:val="56"/>
        </w:numPr>
        <w:rPr>
          <w:szCs w:val="21"/>
          <w:lang w:val="fr-CA" w:eastAsia="en-US"/>
        </w:rPr>
      </w:pPr>
      <w:r w:rsidRPr="00D579BE">
        <w:rPr>
          <w:szCs w:val="21"/>
          <w:lang w:val="fr-CA" w:eastAsia="en-US"/>
        </w:rPr>
        <w:t>Les obligations de l’Entreprise vis-à-vis les E3S courent jusqu’à la réception définitive des travaux qui ne sera acquise qu’après que toutes les mesures requises par les prescriptions E3S aient été satisfaites.</w:t>
      </w:r>
    </w:p>
    <w:p w14:paraId="26D108B0" w14:textId="77777777" w:rsidR="009021F1" w:rsidRPr="00D579BE" w:rsidRDefault="009021F1" w:rsidP="009021F1">
      <w:pPr>
        <w:rPr>
          <w:b/>
          <w:bCs/>
          <w:color w:val="000000"/>
          <w:szCs w:val="21"/>
        </w:rPr>
      </w:pPr>
    </w:p>
    <w:p w14:paraId="3C46FFAF" w14:textId="77777777" w:rsidR="009021F1" w:rsidRPr="00D579BE" w:rsidRDefault="009021F1" w:rsidP="009021F1">
      <w:pPr>
        <w:rPr>
          <w:b/>
          <w:bCs/>
          <w:color w:val="000000"/>
          <w:szCs w:val="21"/>
        </w:rPr>
      </w:pPr>
      <w:r w:rsidRPr="00D579BE">
        <w:rPr>
          <w:b/>
          <w:bCs/>
          <w:color w:val="000000"/>
          <w:szCs w:val="21"/>
        </w:rPr>
        <w:t>Formation E3S</w:t>
      </w:r>
    </w:p>
    <w:p w14:paraId="0ACBBBD0" w14:textId="77777777" w:rsidR="009021F1" w:rsidRPr="00D579BE" w:rsidRDefault="009021F1" w:rsidP="009021F1">
      <w:pPr>
        <w:rPr>
          <w:szCs w:val="21"/>
        </w:rPr>
      </w:pPr>
    </w:p>
    <w:p w14:paraId="44F0C8DE" w14:textId="77777777" w:rsidR="009021F1" w:rsidRPr="00D579BE" w:rsidRDefault="009021F1" w:rsidP="009021F1">
      <w:pPr>
        <w:rPr>
          <w:szCs w:val="21"/>
        </w:rPr>
      </w:pPr>
      <w:r w:rsidRPr="00D579BE">
        <w:rPr>
          <w:szCs w:val="21"/>
        </w:rPr>
        <w:t>L’Entreprise doit :</w:t>
      </w:r>
    </w:p>
    <w:p w14:paraId="6456D03A" w14:textId="77777777" w:rsidR="009021F1" w:rsidRPr="00D579BE" w:rsidRDefault="009021F1" w:rsidP="009021F1">
      <w:pPr>
        <w:rPr>
          <w:szCs w:val="21"/>
        </w:rPr>
      </w:pPr>
    </w:p>
    <w:p w14:paraId="717F2A44" w14:textId="77777777" w:rsidR="009021F1" w:rsidRPr="00D579BE" w:rsidRDefault="009021F1" w:rsidP="009021F1">
      <w:pPr>
        <w:pStyle w:val="Paragraphedeliste"/>
        <w:numPr>
          <w:ilvl w:val="0"/>
          <w:numId w:val="56"/>
        </w:numPr>
        <w:rPr>
          <w:szCs w:val="21"/>
          <w:lang w:val="fr-CA" w:eastAsia="en-US"/>
        </w:rPr>
      </w:pPr>
      <w:r w:rsidRPr="00D579BE">
        <w:rPr>
          <w:szCs w:val="21"/>
          <w:lang w:val="fr-CA" w:eastAsia="en-US"/>
        </w:rPr>
        <w:t>Déterminer ses besoins de formation en matière d'E3S en collaboration avec le Maître d’Ouvrage délégué ;</w:t>
      </w:r>
    </w:p>
    <w:p w14:paraId="368573CE" w14:textId="77777777" w:rsidR="009021F1" w:rsidRPr="00D579BE" w:rsidRDefault="009021F1" w:rsidP="009021F1">
      <w:pPr>
        <w:pStyle w:val="Paragraphedeliste"/>
        <w:numPr>
          <w:ilvl w:val="0"/>
          <w:numId w:val="56"/>
        </w:numPr>
        <w:rPr>
          <w:szCs w:val="21"/>
          <w:lang w:val="fr-CA" w:eastAsia="en-US"/>
        </w:rPr>
      </w:pPr>
      <w:r w:rsidRPr="00D579BE">
        <w:rPr>
          <w:szCs w:val="21"/>
          <w:lang w:val="fr-CA" w:eastAsia="en-US"/>
        </w:rPr>
        <w:t>Tenir un registre de toutes les formations, orientations et initiations en matière d'E3S ;</w:t>
      </w:r>
    </w:p>
    <w:p w14:paraId="38B87E7A" w14:textId="77777777" w:rsidR="009021F1" w:rsidRPr="00D579BE" w:rsidRDefault="009021F1" w:rsidP="009021F1">
      <w:pPr>
        <w:pStyle w:val="Paragraphedeliste"/>
        <w:numPr>
          <w:ilvl w:val="0"/>
          <w:numId w:val="56"/>
        </w:numPr>
        <w:rPr>
          <w:szCs w:val="21"/>
          <w:lang w:val="fr-CA" w:eastAsia="en-US"/>
        </w:rPr>
      </w:pPr>
      <w:r w:rsidRPr="00D579BE">
        <w:rPr>
          <w:szCs w:val="21"/>
          <w:lang w:val="fr-CA" w:eastAsia="en-US"/>
        </w:rPr>
        <w:t>S'assurer, par des spécifications contractuelles appropriées et un suivi, que les prestataires de services, ainsi que la main-d’œuvre contractuelle et sous-traitants, sont formés de manière adéquate avant le début des travaux ; et</w:t>
      </w:r>
    </w:p>
    <w:p w14:paraId="18D8E397" w14:textId="77777777" w:rsidR="009021F1" w:rsidRPr="00D579BE" w:rsidRDefault="009021F1" w:rsidP="009021F1">
      <w:pPr>
        <w:pStyle w:val="Paragraphedeliste"/>
        <w:numPr>
          <w:ilvl w:val="0"/>
          <w:numId w:val="56"/>
        </w:numPr>
        <w:rPr>
          <w:szCs w:val="21"/>
          <w:lang w:val="fr-CA" w:eastAsia="en-US"/>
        </w:rPr>
      </w:pPr>
      <w:r w:rsidRPr="00D579BE">
        <w:rPr>
          <w:szCs w:val="21"/>
          <w:lang w:val="fr-CA" w:eastAsia="en-US"/>
        </w:rPr>
        <w:t>Démontrer au Maître d’Ouvrage délégué que ses employés sont compétents pour exercer leurs activités et leurs fonctions en toute sécurité.  À cette fin, l’Entreprise doit délivrer un certificat de compétence pour chaque personne travaillant sur le site (relatif au métier et à l'aspect de l'affectation du travail) qui précise les tâches qui peuvent être entreprises par chaque personnel clé.</w:t>
      </w:r>
    </w:p>
    <w:p w14:paraId="539FE674" w14:textId="77777777" w:rsidR="009021F1" w:rsidRPr="00D579BE" w:rsidRDefault="009021F1" w:rsidP="009021F1">
      <w:pPr>
        <w:rPr>
          <w:b/>
          <w:szCs w:val="21"/>
          <w:lang w:val="x-none" w:eastAsia="x-none"/>
        </w:rPr>
      </w:pPr>
    </w:p>
    <w:p w14:paraId="3858DEBC" w14:textId="77777777" w:rsidR="009021F1" w:rsidRPr="00D579BE" w:rsidRDefault="009021F1" w:rsidP="009021F1">
      <w:pPr>
        <w:rPr>
          <w:b/>
          <w:szCs w:val="21"/>
          <w:lang w:val="x-none" w:eastAsia="x-none"/>
        </w:rPr>
      </w:pPr>
      <w:r w:rsidRPr="00D579BE">
        <w:rPr>
          <w:b/>
          <w:szCs w:val="21"/>
          <w:lang w:val="x-none" w:eastAsia="x-none"/>
        </w:rPr>
        <w:t>Formation de base</w:t>
      </w:r>
    </w:p>
    <w:p w14:paraId="4465B008" w14:textId="77777777" w:rsidR="009021F1" w:rsidRPr="00D579BE" w:rsidRDefault="009021F1" w:rsidP="009021F1">
      <w:pPr>
        <w:rPr>
          <w:b/>
          <w:szCs w:val="21"/>
          <w:lang w:val="x-none" w:eastAsia="x-none"/>
        </w:rPr>
      </w:pPr>
    </w:p>
    <w:p w14:paraId="0C1F05AA" w14:textId="77777777" w:rsidR="009021F1" w:rsidRPr="00D579BE" w:rsidRDefault="009021F1" w:rsidP="009021F1">
      <w:pPr>
        <w:rPr>
          <w:szCs w:val="21"/>
        </w:rPr>
      </w:pPr>
      <w:r w:rsidRPr="00D579BE">
        <w:rPr>
          <w:szCs w:val="21"/>
        </w:rPr>
        <w:t>L’Entreprise s'assurera que tous les employés, y compris la direction, les superviseurs et les ouvriers, ainsi que les sous-traitants, ont reçu une formation et des informations sur la santé et la sécurité au travail, avant le début de nouveaux travaux.  Cette formation doit leur permettre de comprendre les risques professionnels et de protéger leur santé contre les facteurs ambiants dangereux potentiels.  Elle devrait couvrir de manière adéquate les processus étape par étape qui sont nécessaires pour que les travaux soient réalisés en toute sécurité.</w:t>
      </w:r>
    </w:p>
    <w:p w14:paraId="1D290DAC" w14:textId="77777777" w:rsidR="009021F1" w:rsidRPr="00D579BE" w:rsidRDefault="009021F1" w:rsidP="009021F1">
      <w:pPr>
        <w:rPr>
          <w:szCs w:val="21"/>
        </w:rPr>
      </w:pPr>
    </w:p>
    <w:p w14:paraId="4AFE3AD4" w14:textId="77777777" w:rsidR="009021F1" w:rsidRPr="00D579BE" w:rsidRDefault="009021F1" w:rsidP="009021F1">
      <w:pPr>
        <w:rPr>
          <w:szCs w:val="21"/>
        </w:rPr>
      </w:pPr>
      <w:r w:rsidRPr="00D579BE">
        <w:rPr>
          <w:szCs w:val="21"/>
        </w:rPr>
        <w:t>La formation devrait comprendre une sensibilisation aux dangers, y compris aux dangers spécifiques au site, aux pratiques de travail sûres, aux exigences en matière d'hygiène, au port et à l'utilisation d'équipements et de vêtements de protection, et aux procédures d'urgence en cas d'incendie, d'évacuation et de catastrophe naturelle, selon les cas.  Tout danger spécifique à un site ou tout code de couleur utilisé devrait être examiné en détail dans le cadre de la formation d'orientation.</w:t>
      </w:r>
    </w:p>
    <w:p w14:paraId="1623AB76" w14:textId="77777777" w:rsidR="009021F1" w:rsidRPr="00D579BE" w:rsidRDefault="009021F1" w:rsidP="009021F1">
      <w:pPr>
        <w:rPr>
          <w:b/>
          <w:szCs w:val="21"/>
          <w:lang w:val="x-none" w:eastAsia="x-none"/>
        </w:rPr>
      </w:pPr>
    </w:p>
    <w:p w14:paraId="71759C8A" w14:textId="77777777" w:rsidR="009021F1" w:rsidRPr="00D579BE" w:rsidRDefault="009021F1" w:rsidP="009021F1">
      <w:pPr>
        <w:rPr>
          <w:b/>
          <w:szCs w:val="21"/>
          <w:lang w:val="x-none" w:eastAsia="x-none"/>
        </w:rPr>
      </w:pPr>
      <w:r w:rsidRPr="00D579BE">
        <w:rPr>
          <w:b/>
          <w:szCs w:val="21"/>
          <w:lang w:val="x-none" w:eastAsia="x-none"/>
        </w:rPr>
        <w:t>Orientation des visiteurs</w:t>
      </w:r>
    </w:p>
    <w:p w14:paraId="48034FB2" w14:textId="77777777" w:rsidR="009021F1" w:rsidRPr="00D579BE" w:rsidRDefault="009021F1" w:rsidP="009021F1">
      <w:pPr>
        <w:rPr>
          <w:szCs w:val="21"/>
        </w:rPr>
      </w:pPr>
    </w:p>
    <w:p w14:paraId="4215395A" w14:textId="77777777" w:rsidR="009021F1" w:rsidRPr="00D579BE" w:rsidRDefault="009021F1" w:rsidP="009021F1">
      <w:pPr>
        <w:rPr>
          <w:szCs w:val="21"/>
        </w:rPr>
      </w:pPr>
      <w:r w:rsidRPr="00D579BE">
        <w:rPr>
          <w:szCs w:val="21"/>
        </w:rPr>
        <w:t>L’Entreprise établira un programme d'orientation et de contrôle des visiteurs, si les visiteurs du site de construction, y compris les fournisseurs, peuvent accéder aux zones où des conditions ou des substances dangereuses peuvent être présentes.</w:t>
      </w:r>
    </w:p>
    <w:p w14:paraId="43461BCB" w14:textId="77777777" w:rsidR="009021F1" w:rsidRPr="00D579BE" w:rsidRDefault="009021F1" w:rsidP="009021F1">
      <w:pPr>
        <w:rPr>
          <w:szCs w:val="21"/>
        </w:rPr>
      </w:pPr>
    </w:p>
    <w:p w14:paraId="73A51C60" w14:textId="77777777" w:rsidR="009021F1" w:rsidRPr="00D579BE" w:rsidRDefault="009021F1" w:rsidP="009021F1">
      <w:pPr>
        <w:rPr>
          <w:szCs w:val="21"/>
        </w:rPr>
      </w:pPr>
      <w:r w:rsidRPr="00D579BE">
        <w:rPr>
          <w:szCs w:val="21"/>
        </w:rPr>
        <w:t>Les visiteurs seront toujours accompagnés d'un membre autorisé de l’Entreprise ou d’un représentant du Maître d’Ouvrage délégué qui a suivi avec succès la formation d'orientation E3S et qui connaît bien les dangers spécifiques au site du projet, sa disposition, et les zones restreintes.</w:t>
      </w:r>
    </w:p>
    <w:p w14:paraId="203E82B7" w14:textId="77777777" w:rsidR="009021F1" w:rsidRPr="00D579BE" w:rsidRDefault="009021F1" w:rsidP="009021F1">
      <w:pPr>
        <w:rPr>
          <w:b/>
          <w:bCs/>
          <w:color w:val="000000"/>
          <w:szCs w:val="21"/>
        </w:rPr>
      </w:pPr>
    </w:p>
    <w:p w14:paraId="1929796E" w14:textId="77777777" w:rsidR="009021F1" w:rsidRPr="00D579BE" w:rsidRDefault="009021F1" w:rsidP="009021F1">
      <w:pPr>
        <w:rPr>
          <w:b/>
          <w:bCs/>
          <w:color w:val="000000"/>
          <w:szCs w:val="21"/>
        </w:rPr>
      </w:pPr>
      <w:r w:rsidRPr="00D579BE">
        <w:rPr>
          <w:b/>
          <w:bCs/>
          <w:color w:val="000000"/>
          <w:szCs w:val="21"/>
        </w:rPr>
        <w:t>Gestion des Installations et Chantiers</w:t>
      </w:r>
    </w:p>
    <w:p w14:paraId="6724275B" w14:textId="77777777" w:rsidR="009021F1" w:rsidRPr="00D579BE" w:rsidRDefault="009021F1" w:rsidP="009021F1">
      <w:pPr>
        <w:rPr>
          <w:b/>
          <w:szCs w:val="21"/>
          <w:lang w:eastAsia="x-none"/>
        </w:rPr>
      </w:pPr>
    </w:p>
    <w:p w14:paraId="7106C950" w14:textId="77777777" w:rsidR="009021F1" w:rsidRPr="00D579BE" w:rsidRDefault="009021F1" w:rsidP="009021F1">
      <w:pPr>
        <w:rPr>
          <w:b/>
          <w:szCs w:val="21"/>
          <w:lang w:val="x-none" w:eastAsia="x-none"/>
        </w:rPr>
      </w:pPr>
      <w:r w:rsidRPr="00D579BE">
        <w:rPr>
          <w:b/>
          <w:szCs w:val="21"/>
          <w:lang w:val="x-none" w:eastAsia="x-none"/>
        </w:rPr>
        <w:t>Règles Générales</w:t>
      </w:r>
    </w:p>
    <w:p w14:paraId="2C65FA8C" w14:textId="77777777" w:rsidR="009021F1" w:rsidRPr="00D579BE" w:rsidRDefault="009021F1" w:rsidP="009021F1">
      <w:pPr>
        <w:rPr>
          <w:b/>
          <w:szCs w:val="21"/>
          <w:lang w:val="x-none" w:eastAsia="x-none"/>
        </w:rPr>
      </w:pPr>
    </w:p>
    <w:p w14:paraId="5F49A9B2" w14:textId="77777777" w:rsidR="009021F1" w:rsidRPr="00D579BE" w:rsidRDefault="009021F1" w:rsidP="009021F1">
      <w:pPr>
        <w:rPr>
          <w:szCs w:val="21"/>
        </w:rPr>
      </w:pPr>
      <w:r w:rsidRPr="00D579BE">
        <w:rPr>
          <w:szCs w:val="21"/>
        </w:rPr>
        <w:t>L’Entreprise doit :</w:t>
      </w:r>
    </w:p>
    <w:p w14:paraId="27FFED87" w14:textId="77777777" w:rsidR="009021F1" w:rsidRPr="00D579BE" w:rsidRDefault="009021F1" w:rsidP="009021F1">
      <w:pPr>
        <w:rPr>
          <w:szCs w:val="21"/>
        </w:rPr>
      </w:pPr>
    </w:p>
    <w:p w14:paraId="2048220C" w14:textId="77777777" w:rsidR="009021F1" w:rsidRPr="00D579BE" w:rsidRDefault="009021F1" w:rsidP="009021F1">
      <w:pPr>
        <w:pStyle w:val="Paragraphedeliste"/>
        <w:numPr>
          <w:ilvl w:val="0"/>
          <w:numId w:val="56"/>
        </w:numPr>
        <w:rPr>
          <w:szCs w:val="21"/>
          <w:lang w:val="fr-CA" w:eastAsia="en-US"/>
        </w:rPr>
      </w:pPr>
      <w:r w:rsidRPr="00D579BE">
        <w:rPr>
          <w:szCs w:val="21"/>
          <w:lang w:val="fr-CA" w:eastAsia="en-US"/>
        </w:rPr>
        <w:t>Définir le périmètre d’utilité publique où les travaux sont susceptibles d’être menés, y compris les emprises des chantiers.  L’Entreprise peut aménager des zones secondaires pour le stationnement des engins qui ne sont pas autorisés à stationner sur la voie publique en dehors des heures de travail et de l’emprise des chantiers.  Ces zones peuvent comporter également un espace permettant les travaux de soudure, d’assemblage, de petit usinage, et de petit entretien d’engins, mais ne pourront pas stocker des hydrocarbures ;</w:t>
      </w:r>
    </w:p>
    <w:p w14:paraId="0A4EDD36" w14:textId="77777777" w:rsidR="009021F1" w:rsidRPr="00D579BE" w:rsidRDefault="009021F1" w:rsidP="009021F1">
      <w:pPr>
        <w:pStyle w:val="Paragraphedeliste"/>
        <w:numPr>
          <w:ilvl w:val="0"/>
          <w:numId w:val="56"/>
        </w:numPr>
        <w:rPr>
          <w:szCs w:val="21"/>
          <w:lang w:val="fr-CA" w:eastAsia="en-US"/>
        </w:rPr>
      </w:pPr>
      <w:r w:rsidRPr="00D579BE">
        <w:rPr>
          <w:szCs w:val="21"/>
          <w:lang w:val="fr-CA" w:eastAsia="en-US"/>
        </w:rPr>
        <w:t>Tout stockage de quelque nature que ce soit, est formellement interdit en dehors des emprises de chantiers et des zones prédéfinies ;</w:t>
      </w:r>
    </w:p>
    <w:p w14:paraId="0E891299" w14:textId="77777777" w:rsidR="009021F1" w:rsidRPr="00D579BE" w:rsidRDefault="009021F1" w:rsidP="009021F1">
      <w:pPr>
        <w:pStyle w:val="Paragraphedeliste"/>
        <w:numPr>
          <w:ilvl w:val="0"/>
          <w:numId w:val="56"/>
        </w:numPr>
        <w:rPr>
          <w:szCs w:val="21"/>
          <w:lang w:val="fr-CA" w:eastAsia="en-US"/>
        </w:rPr>
      </w:pPr>
      <w:r w:rsidRPr="00D579BE">
        <w:rPr>
          <w:szCs w:val="21"/>
          <w:lang w:val="fr-CA" w:eastAsia="en-US"/>
        </w:rPr>
        <w:t>Obtenir tous les permis nécessaires pour réaliser les travaux prévus dans le contrat, y compris les autorisations délivrées par les collectivités locales, les services forestiers (en cas de déboisement, ou d’élagage), les services miniers (en cas d’exploitation de carrières et de sites d’emprunt), les services d’hydraulique (en cas d’utilisation de points d’eau), ou de l'inspection du travail ;</w:t>
      </w:r>
    </w:p>
    <w:p w14:paraId="3B9B30FA" w14:textId="77777777" w:rsidR="009021F1" w:rsidRPr="00D579BE" w:rsidRDefault="009021F1" w:rsidP="009021F1">
      <w:pPr>
        <w:pStyle w:val="Paragraphedeliste"/>
        <w:numPr>
          <w:ilvl w:val="0"/>
          <w:numId w:val="56"/>
        </w:numPr>
        <w:rPr>
          <w:szCs w:val="21"/>
          <w:lang w:val="fr-CA" w:eastAsia="en-US"/>
        </w:rPr>
      </w:pPr>
      <w:r w:rsidRPr="00D579BE">
        <w:rPr>
          <w:szCs w:val="21"/>
          <w:lang w:val="fr-CA" w:eastAsia="en-US"/>
        </w:rPr>
        <w:t>Débuter les travaux dans les emprises privées que lorsque celles-ci sont libérées suite à une procédure d’acquisition ; et</w:t>
      </w:r>
    </w:p>
    <w:p w14:paraId="4BB2C5E7" w14:textId="77777777" w:rsidR="009021F1" w:rsidRPr="00D579BE" w:rsidRDefault="009021F1" w:rsidP="009021F1">
      <w:pPr>
        <w:pStyle w:val="Paragraphedeliste"/>
        <w:numPr>
          <w:ilvl w:val="0"/>
          <w:numId w:val="56"/>
        </w:numPr>
        <w:rPr>
          <w:szCs w:val="21"/>
        </w:rPr>
      </w:pPr>
      <w:r w:rsidRPr="00D579BE">
        <w:rPr>
          <w:szCs w:val="21"/>
          <w:lang w:val="fr-CA" w:eastAsia="en-US"/>
        </w:rPr>
        <w:t>Éviter de circuler en dehors de la zone d’utilité publique, et surtout éviter d’endommager toute bien, propriété, ou aménagement existant, y compris les bâtiments, les clôtures, les champs de cultures, et les mares d’abreuvement ;</w:t>
      </w:r>
    </w:p>
    <w:p w14:paraId="245F1C04" w14:textId="77777777" w:rsidR="009021F1" w:rsidRPr="00D579BE" w:rsidRDefault="009021F1" w:rsidP="009021F1">
      <w:pPr>
        <w:pStyle w:val="Paragraphedeliste"/>
        <w:numPr>
          <w:ilvl w:val="0"/>
          <w:numId w:val="56"/>
        </w:numPr>
        <w:rPr>
          <w:szCs w:val="21"/>
        </w:rPr>
      </w:pPr>
      <w:r w:rsidRPr="00D579BE">
        <w:rPr>
          <w:szCs w:val="21"/>
        </w:rPr>
        <w:t>Repérer les réseaux des concessionnaires (e.g., eau potable, électricité, téléphone, égouts) sur plan avant le démarrage des travaux, et formaliser ce repérage par un procès-verbal signé par toutes les parties (Entreprise, Maître d’Ouvrage délégué, concessionnaires) ;</w:t>
      </w:r>
    </w:p>
    <w:p w14:paraId="6FC28AE9" w14:textId="77777777" w:rsidR="009021F1" w:rsidRPr="00D579BE" w:rsidRDefault="009021F1" w:rsidP="009021F1">
      <w:pPr>
        <w:pStyle w:val="Paragraphedeliste"/>
        <w:numPr>
          <w:ilvl w:val="0"/>
          <w:numId w:val="56"/>
        </w:numPr>
        <w:rPr>
          <w:szCs w:val="21"/>
        </w:rPr>
      </w:pPr>
      <w:r w:rsidRPr="00D579BE">
        <w:rPr>
          <w:szCs w:val="21"/>
        </w:rPr>
        <w:t>Maintenir un personnel en astreinte, tous les jours sans exception (samedi, dimanche, jours fériés), de jour comme de nuit pendant toute la durée du contrat, afin d’assurer la garde, la surveillance et le maintien en sécurité de ses chantiers et installations, et pour pallier à tout incident et/ou accident susceptible de se produire en relation avec ses activités.</w:t>
      </w:r>
    </w:p>
    <w:p w14:paraId="1557F519" w14:textId="77777777" w:rsidR="009021F1" w:rsidRPr="00D579BE" w:rsidRDefault="009021F1" w:rsidP="009021F1">
      <w:pPr>
        <w:rPr>
          <w:b/>
          <w:szCs w:val="21"/>
          <w:lang w:val="x-none" w:eastAsia="x-none"/>
        </w:rPr>
      </w:pPr>
    </w:p>
    <w:p w14:paraId="6A627BA6" w14:textId="77777777" w:rsidR="009021F1" w:rsidRPr="00D579BE" w:rsidRDefault="009021F1" w:rsidP="009021F1">
      <w:pPr>
        <w:rPr>
          <w:b/>
          <w:szCs w:val="21"/>
          <w:lang w:val="x-none" w:eastAsia="x-none"/>
        </w:rPr>
      </w:pPr>
      <w:r w:rsidRPr="00D579BE">
        <w:rPr>
          <w:b/>
          <w:szCs w:val="21"/>
          <w:lang w:val="x-none" w:eastAsia="x-none"/>
        </w:rPr>
        <w:t>Localisation des Bases-vie</w:t>
      </w:r>
    </w:p>
    <w:p w14:paraId="5F2E78A7" w14:textId="77777777" w:rsidR="009021F1" w:rsidRPr="00D579BE" w:rsidRDefault="009021F1" w:rsidP="009021F1">
      <w:pPr>
        <w:rPr>
          <w:szCs w:val="21"/>
        </w:rPr>
      </w:pPr>
    </w:p>
    <w:p w14:paraId="14D78759" w14:textId="77777777" w:rsidR="009021F1" w:rsidRPr="00D579BE" w:rsidRDefault="009021F1" w:rsidP="009021F1">
      <w:pPr>
        <w:rPr>
          <w:szCs w:val="21"/>
        </w:rPr>
      </w:pPr>
      <w:r w:rsidRPr="00D579BE">
        <w:rPr>
          <w:szCs w:val="21"/>
        </w:rPr>
        <w:t>L’Entreprise doit :</w:t>
      </w:r>
    </w:p>
    <w:p w14:paraId="2B700B4B" w14:textId="77777777" w:rsidR="009021F1" w:rsidRPr="00D579BE" w:rsidRDefault="009021F1" w:rsidP="009021F1">
      <w:pPr>
        <w:rPr>
          <w:szCs w:val="21"/>
        </w:rPr>
      </w:pPr>
    </w:p>
    <w:p w14:paraId="046E0B4D" w14:textId="77777777" w:rsidR="009021F1" w:rsidRPr="00D579BE" w:rsidRDefault="009021F1" w:rsidP="009021F1">
      <w:pPr>
        <w:pStyle w:val="Paragraphedeliste"/>
        <w:numPr>
          <w:ilvl w:val="0"/>
          <w:numId w:val="56"/>
        </w:numPr>
        <w:rPr>
          <w:szCs w:val="21"/>
        </w:rPr>
      </w:pPr>
      <w:r w:rsidRPr="00D579BE">
        <w:rPr>
          <w:szCs w:val="21"/>
        </w:rPr>
        <w:t>Consulter et négocier avec les parties prenantes locales avant de proposer un emplacement pour ses camps ;</w:t>
      </w:r>
    </w:p>
    <w:p w14:paraId="0CB42E4A" w14:textId="77777777" w:rsidR="009021F1" w:rsidRPr="00D579BE" w:rsidRDefault="009021F1" w:rsidP="009021F1">
      <w:pPr>
        <w:pStyle w:val="Paragraphedeliste"/>
        <w:numPr>
          <w:ilvl w:val="0"/>
          <w:numId w:val="56"/>
        </w:numPr>
        <w:rPr>
          <w:szCs w:val="21"/>
        </w:rPr>
      </w:pPr>
      <w:r w:rsidRPr="00D579BE">
        <w:rPr>
          <w:szCs w:val="21"/>
        </w:rPr>
        <w:t>Soumettre les emplacements proposés au Maître d’Ouvrage délégué pour approbation, y compris une justification de leur emplacement, ainsi que les mesures proposées pour atténuer les risques et les impacts environnementaux et sociaux autour du camp et pour renforcer les avantages sociaux.</w:t>
      </w:r>
    </w:p>
    <w:p w14:paraId="776091E4" w14:textId="77777777" w:rsidR="009021F1" w:rsidRPr="00D579BE" w:rsidRDefault="009021F1" w:rsidP="009021F1">
      <w:pPr>
        <w:rPr>
          <w:b/>
          <w:szCs w:val="21"/>
          <w:lang w:val="x-none" w:eastAsia="x-none"/>
        </w:rPr>
      </w:pPr>
    </w:p>
    <w:p w14:paraId="4EC9BCD5" w14:textId="77777777" w:rsidR="009021F1" w:rsidRPr="00D579BE" w:rsidRDefault="009021F1" w:rsidP="009021F1">
      <w:pPr>
        <w:rPr>
          <w:b/>
          <w:szCs w:val="21"/>
          <w:lang w:val="x-none" w:eastAsia="x-none"/>
        </w:rPr>
      </w:pPr>
      <w:r w:rsidRPr="00D579BE">
        <w:rPr>
          <w:b/>
          <w:szCs w:val="21"/>
          <w:lang w:val="x-none" w:eastAsia="x-none"/>
        </w:rPr>
        <w:t>Signalisation</w:t>
      </w:r>
    </w:p>
    <w:p w14:paraId="2C5E0B86" w14:textId="77777777" w:rsidR="009021F1" w:rsidRPr="00D579BE" w:rsidRDefault="009021F1" w:rsidP="009021F1">
      <w:pPr>
        <w:rPr>
          <w:szCs w:val="21"/>
        </w:rPr>
      </w:pPr>
    </w:p>
    <w:p w14:paraId="2EECECD9" w14:textId="77777777" w:rsidR="009021F1" w:rsidRPr="00D579BE" w:rsidRDefault="009021F1" w:rsidP="009021F1">
      <w:pPr>
        <w:rPr>
          <w:szCs w:val="21"/>
        </w:rPr>
      </w:pPr>
      <w:r w:rsidRPr="00D579BE">
        <w:rPr>
          <w:szCs w:val="21"/>
        </w:rPr>
        <w:t>L’Entreprise doit :</w:t>
      </w:r>
    </w:p>
    <w:p w14:paraId="5246FA27" w14:textId="77777777" w:rsidR="009021F1" w:rsidRPr="00D579BE" w:rsidRDefault="009021F1" w:rsidP="009021F1">
      <w:pPr>
        <w:rPr>
          <w:szCs w:val="21"/>
        </w:rPr>
      </w:pPr>
    </w:p>
    <w:p w14:paraId="07F7824A" w14:textId="77777777" w:rsidR="009021F1" w:rsidRPr="00D579BE" w:rsidRDefault="009021F1" w:rsidP="009021F1">
      <w:pPr>
        <w:pStyle w:val="Paragraphedeliste"/>
        <w:numPr>
          <w:ilvl w:val="0"/>
          <w:numId w:val="56"/>
        </w:numPr>
        <w:rPr>
          <w:szCs w:val="21"/>
        </w:rPr>
      </w:pPr>
      <w:r w:rsidRPr="00D579BE">
        <w:rPr>
          <w:szCs w:val="21"/>
        </w:rPr>
        <w:t>Placer, préalablement à l’ouverture des chantiers et chaque fois que de besoin, une pré-signalisation et une signalisation des chantiers à longue distance (sortie de carrières ou de bases-vie, circuit utilisé par les engins, etc.) qui réponde aux lois et règlements en vigueur, être conforme aux normes internationales, et être facilement comprise par les ouvriers, les visiteurs et le grand public, selon le cas ;</w:t>
      </w:r>
    </w:p>
    <w:p w14:paraId="3D4DF560" w14:textId="77777777" w:rsidR="009021F1" w:rsidRPr="00D579BE" w:rsidRDefault="009021F1" w:rsidP="009021F1">
      <w:pPr>
        <w:pStyle w:val="Paragraphedeliste"/>
        <w:numPr>
          <w:ilvl w:val="0"/>
          <w:numId w:val="56"/>
        </w:numPr>
        <w:rPr>
          <w:szCs w:val="21"/>
        </w:rPr>
      </w:pPr>
      <w:r w:rsidRPr="00D579BE">
        <w:rPr>
          <w:szCs w:val="21"/>
        </w:rPr>
        <w:t>Interdire l’accès des chantiers par le public, les protéger par des balises et des panneaux de signalisation, indiquer les différents accès, et prendre toutes les mesures d’ordre et de sécurité propres à éviter les accidents.</w:t>
      </w:r>
    </w:p>
    <w:p w14:paraId="72CB28F5" w14:textId="77777777" w:rsidR="009021F1" w:rsidRPr="00D579BE" w:rsidRDefault="009021F1" w:rsidP="009021F1">
      <w:pPr>
        <w:rPr>
          <w:b/>
          <w:szCs w:val="21"/>
          <w:lang w:val="x-none" w:eastAsia="x-none"/>
        </w:rPr>
      </w:pPr>
    </w:p>
    <w:p w14:paraId="76EF2AF9" w14:textId="77777777" w:rsidR="009021F1" w:rsidRPr="00D579BE" w:rsidRDefault="009021F1" w:rsidP="009021F1">
      <w:pPr>
        <w:rPr>
          <w:b/>
          <w:szCs w:val="21"/>
          <w:lang w:val="x-none" w:eastAsia="x-none"/>
        </w:rPr>
      </w:pPr>
      <w:r w:rsidRPr="00D579BE">
        <w:rPr>
          <w:b/>
          <w:szCs w:val="21"/>
          <w:lang w:val="x-none" w:eastAsia="x-none"/>
        </w:rPr>
        <w:t>Gestion des paysages établis</w:t>
      </w:r>
    </w:p>
    <w:p w14:paraId="505088EB" w14:textId="77777777" w:rsidR="009021F1" w:rsidRPr="00D579BE" w:rsidRDefault="009021F1" w:rsidP="009021F1">
      <w:pPr>
        <w:rPr>
          <w:b/>
          <w:szCs w:val="21"/>
          <w:lang w:val="x-none" w:eastAsia="x-none"/>
        </w:rPr>
      </w:pPr>
    </w:p>
    <w:p w14:paraId="3CA17FF4" w14:textId="77777777" w:rsidR="009021F1" w:rsidRPr="00D579BE" w:rsidRDefault="009021F1" w:rsidP="009021F1">
      <w:pPr>
        <w:rPr>
          <w:szCs w:val="21"/>
        </w:rPr>
      </w:pPr>
      <w:r w:rsidRPr="00D579BE">
        <w:rPr>
          <w:szCs w:val="21"/>
        </w:rPr>
        <w:t>Afin de préserver le paysage naturel, l’Entreprise doit :</w:t>
      </w:r>
    </w:p>
    <w:p w14:paraId="1AB692A7" w14:textId="77777777" w:rsidR="009021F1" w:rsidRPr="00D579BE" w:rsidRDefault="009021F1" w:rsidP="009021F1">
      <w:pPr>
        <w:rPr>
          <w:szCs w:val="21"/>
        </w:rPr>
      </w:pPr>
    </w:p>
    <w:p w14:paraId="6924D06E" w14:textId="77777777" w:rsidR="009021F1" w:rsidRPr="00D579BE" w:rsidRDefault="009021F1" w:rsidP="009021F1">
      <w:pPr>
        <w:pStyle w:val="Paragraphedeliste"/>
        <w:numPr>
          <w:ilvl w:val="0"/>
          <w:numId w:val="56"/>
        </w:numPr>
        <w:rPr>
          <w:szCs w:val="21"/>
        </w:rPr>
      </w:pPr>
      <w:r w:rsidRPr="00D579BE">
        <w:rPr>
          <w:szCs w:val="21"/>
        </w:rPr>
        <w:t>Mener les travaux de manière à éviter toute destruction, cicatrisation ou dégradation inutile de l'environnement naturel ;</w:t>
      </w:r>
    </w:p>
    <w:p w14:paraId="445CFBE7" w14:textId="77777777" w:rsidR="009021F1" w:rsidRPr="00D579BE" w:rsidRDefault="009021F1" w:rsidP="009021F1">
      <w:pPr>
        <w:pStyle w:val="Paragraphedeliste"/>
        <w:numPr>
          <w:ilvl w:val="0"/>
          <w:numId w:val="56"/>
        </w:numPr>
        <w:rPr>
          <w:szCs w:val="21"/>
        </w:rPr>
      </w:pPr>
      <w:r w:rsidRPr="00D579BE">
        <w:rPr>
          <w:szCs w:val="21"/>
        </w:rPr>
        <w:t>Limiter les aménagements temporaires, tels que les aires d’entreposage et de stationnement, ou les chemins de contournement ou de travail, et surtout éviter de combler les mares temporaires existantes ;</w:t>
      </w:r>
    </w:p>
    <w:p w14:paraId="3E38B4FE" w14:textId="77777777" w:rsidR="009021F1" w:rsidRPr="00D579BE" w:rsidRDefault="009021F1" w:rsidP="009021F1">
      <w:pPr>
        <w:pStyle w:val="Paragraphedeliste"/>
        <w:numPr>
          <w:ilvl w:val="0"/>
          <w:numId w:val="56"/>
        </w:numPr>
        <w:rPr>
          <w:szCs w:val="21"/>
        </w:rPr>
      </w:pPr>
      <w:r w:rsidRPr="00D579BE">
        <w:rPr>
          <w:szCs w:val="21"/>
        </w:rPr>
        <w:t>Construire ses installations temporaires de façon à déranger le moins possible l’environnement, de préférence dans des endroits déjà déboisés ou perturbés lorsque de tels sites existent, ou sur des sites qui seront réutilisés lors d’une phase ultérieure pour d’autres fins ;</w:t>
      </w:r>
    </w:p>
    <w:p w14:paraId="20845994" w14:textId="77777777" w:rsidR="009021F1" w:rsidRPr="00D579BE" w:rsidRDefault="009021F1" w:rsidP="009021F1">
      <w:pPr>
        <w:pStyle w:val="Paragraphedeliste"/>
        <w:numPr>
          <w:ilvl w:val="0"/>
          <w:numId w:val="56"/>
        </w:numPr>
        <w:rPr>
          <w:szCs w:val="21"/>
        </w:rPr>
      </w:pPr>
      <w:r w:rsidRPr="00D579BE">
        <w:rPr>
          <w:szCs w:val="21"/>
        </w:rPr>
        <w:t>Strictement éviter toute activité ou implantation dans une aire protégée, ou un habitat naturel critique au sens de la NES 6 de la Banque mondiale ;</w:t>
      </w:r>
    </w:p>
    <w:p w14:paraId="106D4C6C" w14:textId="77777777" w:rsidR="009021F1" w:rsidRPr="00D579BE" w:rsidRDefault="009021F1" w:rsidP="009021F1">
      <w:pPr>
        <w:pStyle w:val="Paragraphedeliste"/>
        <w:numPr>
          <w:ilvl w:val="0"/>
          <w:numId w:val="56"/>
        </w:numPr>
        <w:rPr>
          <w:szCs w:val="21"/>
        </w:rPr>
      </w:pPr>
      <w:r w:rsidRPr="00D579BE">
        <w:rPr>
          <w:szCs w:val="21"/>
        </w:rPr>
        <w:t>Protéger tous les arbres et la végétation contre les dommages causés par les travaux de construction et les équipements de l’Entreprise, sauf lorsque le défrichement est nécessaire et convenu pour des travaux permanents, des routes de construction approuvées, ou des opérations d'excavation ;</w:t>
      </w:r>
    </w:p>
    <w:p w14:paraId="4C1993EA" w14:textId="77777777" w:rsidR="009021F1" w:rsidRPr="00D579BE" w:rsidRDefault="009021F1" w:rsidP="009021F1">
      <w:pPr>
        <w:pStyle w:val="Paragraphedeliste"/>
        <w:numPr>
          <w:ilvl w:val="0"/>
          <w:numId w:val="56"/>
        </w:numPr>
        <w:rPr>
          <w:szCs w:val="21"/>
        </w:rPr>
      </w:pPr>
      <w:r w:rsidRPr="00D579BE">
        <w:rPr>
          <w:szCs w:val="21"/>
        </w:rPr>
        <w:t>Limiter au strict minimum le décapage, le déblaiement, le remblayage et le nivellement des aires de travail afin de respecter la topographie naturelle et de prévenir l’érosion ;</w:t>
      </w:r>
    </w:p>
    <w:p w14:paraId="0C4C5931" w14:textId="77777777" w:rsidR="009021F1" w:rsidRPr="00D579BE" w:rsidRDefault="009021F1" w:rsidP="009021F1">
      <w:pPr>
        <w:pStyle w:val="Paragraphedeliste"/>
        <w:numPr>
          <w:ilvl w:val="0"/>
          <w:numId w:val="56"/>
        </w:numPr>
        <w:rPr>
          <w:szCs w:val="21"/>
        </w:rPr>
      </w:pPr>
      <w:r w:rsidRPr="00D579BE">
        <w:rPr>
          <w:szCs w:val="21"/>
        </w:rPr>
        <w:t>En cas de déboisement, découper et stocker les arbres abattus à des endroits agréés par le Maître d’Ouvrage délégué, et informer les populations riveraines de la possibilité de disposer de ce bois à leur convenance ;</w:t>
      </w:r>
    </w:p>
    <w:p w14:paraId="680676D4" w14:textId="77777777" w:rsidR="009021F1" w:rsidRPr="00D579BE" w:rsidRDefault="009021F1" w:rsidP="009021F1">
      <w:pPr>
        <w:pStyle w:val="Paragraphedeliste"/>
        <w:numPr>
          <w:ilvl w:val="0"/>
          <w:numId w:val="56"/>
        </w:numPr>
        <w:rPr>
          <w:szCs w:val="21"/>
        </w:rPr>
      </w:pPr>
      <w:r w:rsidRPr="00D579BE">
        <w:rPr>
          <w:szCs w:val="21"/>
        </w:rPr>
        <w:t>Les arbres abattus ne doivent pas être abandonnés sur place, ni brûlés ni enfouis sous les matériaux de terrassement ;</w:t>
      </w:r>
    </w:p>
    <w:p w14:paraId="5B098E89" w14:textId="77777777" w:rsidR="009021F1" w:rsidRPr="00D579BE" w:rsidRDefault="009021F1" w:rsidP="009021F1">
      <w:pPr>
        <w:pStyle w:val="Paragraphedeliste"/>
        <w:numPr>
          <w:ilvl w:val="0"/>
          <w:numId w:val="56"/>
        </w:numPr>
        <w:rPr>
          <w:szCs w:val="21"/>
        </w:rPr>
      </w:pPr>
      <w:r w:rsidRPr="00D579BE">
        <w:rPr>
          <w:szCs w:val="21"/>
        </w:rPr>
        <w:t>Après le décapage de la couche de sol arable, extraire et mettre en réserve la terre végétale et l’utiliser pour le réaménagement des talus et autres surfaces perturbées ;</w:t>
      </w:r>
    </w:p>
    <w:p w14:paraId="18AE10B6" w14:textId="77777777" w:rsidR="009021F1" w:rsidRPr="00D579BE" w:rsidRDefault="009021F1" w:rsidP="009021F1">
      <w:pPr>
        <w:pStyle w:val="Paragraphedeliste"/>
        <w:numPr>
          <w:ilvl w:val="0"/>
          <w:numId w:val="56"/>
        </w:numPr>
        <w:rPr>
          <w:szCs w:val="21"/>
        </w:rPr>
      </w:pPr>
      <w:r w:rsidRPr="00D579BE">
        <w:rPr>
          <w:szCs w:val="21"/>
        </w:rPr>
        <w:t>Revégétaliser les zones endommagées à l'achèvement des travaux et, pour les zones qui ne peuvent pas être revégétalisées, scarifier la zone de travail de manière à faciliter la revégétalisation naturelle, à assurer un drainage adéquat et à prévenir l'érosion ;</w:t>
      </w:r>
    </w:p>
    <w:p w14:paraId="68C3E204" w14:textId="77777777" w:rsidR="009021F1" w:rsidRPr="00D579BE" w:rsidRDefault="009021F1" w:rsidP="009021F1">
      <w:pPr>
        <w:pStyle w:val="Paragraphedeliste"/>
        <w:numPr>
          <w:ilvl w:val="0"/>
          <w:numId w:val="56"/>
        </w:numPr>
        <w:rPr>
          <w:szCs w:val="21"/>
        </w:rPr>
      </w:pPr>
      <w:r w:rsidRPr="00D579BE">
        <w:rPr>
          <w:szCs w:val="21"/>
        </w:rPr>
        <w:t>Utiliser, dans la mesure du possible, des espèces locales appropriées pour revégétaliser, et éviter les espèces répertoriées comme nuisibles ou l’introduction de nouvelles espèces sans l’avis des services forestiers ;</w:t>
      </w:r>
    </w:p>
    <w:p w14:paraId="3DC2B3BB" w14:textId="77777777" w:rsidR="009021F1" w:rsidRPr="00D579BE" w:rsidRDefault="009021F1" w:rsidP="009021F1">
      <w:pPr>
        <w:pStyle w:val="Paragraphedeliste"/>
        <w:numPr>
          <w:ilvl w:val="0"/>
          <w:numId w:val="56"/>
        </w:numPr>
        <w:rPr>
          <w:szCs w:val="21"/>
        </w:rPr>
      </w:pPr>
      <w:r w:rsidRPr="00D579BE">
        <w:rPr>
          <w:szCs w:val="21"/>
        </w:rPr>
        <w:t>Réparer, replanter, réensemencer ou corriger de toute autre manière, selon les instructions du Maître d’Ouvrage délégué, et aux frais de la société de projet, toute destruction, cicatrisation, dommage ou dégradation inutile du paysage résultant des activités de l’Entreprise ;</w:t>
      </w:r>
    </w:p>
    <w:p w14:paraId="7175E592" w14:textId="77777777" w:rsidR="009021F1" w:rsidRPr="00D579BE" w:rsidRDefault="009021F1" w:rsidP="009021F1">
      <w:pPr>
        <w:pStyle w:val="Paragraphedeliste"/>
        <w:numPr>
          <w:ilvl w:val="0"/>
          <w:numId w:val="56"/>
        </w:numPr>
        <w:rPr>
          <w:szCs w:val="21"/>
        </w:rPr>
      </w:pPr>
      <w:r w:rsidRPr="00D579BE">
        <w:rPr>
          <w:szCs w:val="21"/>
        </w:rPr>
        <w:t>Prévenir les feux de brousse sur l’étendue de ses travaux, ainsi que sur ses installations, conformément aux instructions, lois et règlements édictés par les autorités compétentes.</w:t>
      </w:r>
    </w:p>
    <w:p w14:paraId="52F50DAC" w14:textId="77777777" w:rsidR="009021F1" w:rsidRPr="00D579BE" w:rsidRDefault="009021F1" w:rsidP="009021F1">
      <w:pPr>
        <w:pStyle w:val="Paragraphedeliste"/>
        <w:numPr>
          <w:ilvl w:val="0"/>
          <w:numId w:val="56"/>
        </w:numPr>
        <w:rPr>
          <w:szCs w:val="21"/>
        </w:rPr>
      </w:pPr>
      <w:r w:rsidRPr="00D579BE">
        <w:rPr>
          <w:szCs w:val="21"/>
        </w:rPr>
        <w:t>Tenir compte du calendrier des travaux afin de limiter les perturbations des activités agricoles (semences, récoltes) ; et</w:t>
      </w:r>
    </w:p>
    <w:p w14:paraId="1E1A4E3D" w14:textId="77777777" w:rsidR="009021F1" w:rsidRPr="00D579BE" w:rsidRDefault="009021F1" w:rsidP="009021F1">
      <w:pPr>
        <w:pStyle w:val="Paragraphedeliste"/>
        <w:numPr>
          <w:ilvl w:val="0"/>
          <w:numId w:val="56"/>
        </w:numPr>
        <w:rPr>
          <w:szCs w:val="21"/>
        </w:rPr>
      </w:pPr>
      <w:r w:rsidRPr="00D579BE">
        <w:rPr>
          <w:szCs w:val="21"/>
        </w:rPr>
        <w:t>Identifier et éviter, en consultation avec les populations riveraines, les passages pour les animaux, le bétail et les personnes.</w:t>
      </w:r>
    </w:p>
    <w:p w14:paraId="723829F6" w14:textId="77777777" w:rsidR="009021F1" w:rsidRPr="00D579BE" w:rsidRDefault="009021F1" w:rsidP="009021F1">
      <w:pPr>
        <w:rPr>
          <w:szCs w:val="21"/>
          <w:u w:val="single"/>
          <w:lang w:val="x-none" w:eastAsia="x-none"/>
        </w:rPr>
      </w:pPr>
    </w:p>
    <w:p w14:paraId="6FAEBE39" w14:textId="77777777" w:rsidR="009021F1" w:rsidRPr="00D579BE" w:rsidRDefault="009021F1" w:rsidP="009021F1">
      <w:pPr>
        <w:rPr>
          <w:szCs w:val="21"/>
          <w:lang w:val="x-none" w:eastAsia="x-none"/>
        </w:rPr>
      </w:pPr>
      <w:r w:rsidRPr="00D579BE">
        <w:rPr>
          <w:b/>
          <w:szCs w:val="21"/>
          <w:lang w:val="x-none" w:eastAsia="x-none"/>
        </w:rPr>
        <w:t>Procédure en cas de découverte fortuite</w:t>
      </w:r>
    </w:p>
    <w:p w14:paraId="1DC4744A" w14:textId="77777777" w:rsidR="009021F1" w:rsidRPr="00D579BE" w:rsidRDefault="009021F1" w:rsidP="009021F1">
      <w:pPr>
        <w:rPr>
          <w:szCs w:val="21"/>
          <w:lang w:val="x-none"/>
        </w:rPr>
      </w:pPr>
    </w:p>
    <w:p w14:paraId="14ADFDCC" w14:textId="77777777" w:rsidR="009021F1" w:rsidRPr="00D579BE" w:rsidRDefault="009021F1" w:rsidP="009021F1">
      <w:pPr>
        <w:rPr>
          <w:szCs w:val="21"/>
        </w:rPr>
      </w:pPr>
      <w:r w:rsidRPr="00D579BE">
        <w:rPr>
          <w:szCs w:val="21"/>
        </w:rPr>
        <w:t>Pour les projets de génie civil comportant des travaux d’excavation, des procédures sont normalement prévues en cas de « découverte fortuite</w:t>
      </w:r>
      <w:r w:rsidRPr="00D579BE">
        <w:rPr>
          <w:szCs w:val="21"/>
          <w:vertAlign w:val="superscript"/>
        </w:rPr>
        <w:footnoteReference w:id="26"/>
      </w:r>
      <w:r w:rsidRPr="00D579BE">
        <w:rPr>
          <w:szCs w:val="21"/>
        </w:rPr>
        <w:t xml:space="preserve"> » de biens culturels physiques enfouis. </w:t>
      </w:r>
    </w:p>
    <w:p w14:paraId="71EE3673" w14:textId="77777777" w:rsidR="009021F1" w:rsidRPr="00D579BE" w:rsidRDefault="009021F1" w:rsidP="009021F1">
      <w:pPr>
        <w:rPr>
          <w:szCs w:val="21"/>
        </w:rPr>
      </w:pPr>
      <w:r w:rsidRPr="00D579BE">
        <w:rPr>
          <w:szCs w:val="21"/>
        </w:rPr>
        <w:t>Les procédures arrêtées dépendent du cadre réglementaire locale qui tient compte notamment des dispositions législatives applicables à la découverte fortuite d’antiquité sous de biens archéologiques.</w:t>
      </w:r>
    </w:p>
    <w:p w14:paraId="5AABD495" w14:textId="77777777" w:rsidR="009021F1" w:rsidRPr="00D579BE" w:rsidRDefault="009021F1" w:rsidP="009021F1">
      <w:pPr>
        <w:rPr>
          <w:szCs w:val="21"/>
        </w:rPr>
      </w:pPr>
    </w:p>
    <w:p w14:paraId="0D074D3F" w14:textId="77777777" w:rsidR="009021F1" w:rsidRPr="00D579BE" w:rsidRDefault="009021F1" w:rsidP="009021F1">
      <w:pPr>
        <w:rPr>
          <w:szCs w:val="21"/>
        </w:rPr>
      </w:pPr>
      <w:r w:rsidRPr="00D579BE">
        <w:rPr>
          <w:szCs w:val="21"/>
        </w:rPr>
        <w:t>Note : Les recommandations générales ci-après s’appliquent aux situations dans lesquelles il sera fait appel à un archéologue. Dans les situations exceptionnelles où les travaux d’excavation sont effectués dans des régions riches en biens culturels physiques, comme un site du patrimoine mondial de l’UNESCO, un archéologue est généralement présent sur place pour surveiller les fouilles et prendre les décisions qui s’imposent. Dans ce cas, les procédures doivent être modifiées en conséquence, avec l’accord des autorités chargées des questions culturelles.</w:t>
      </w:r>
    </w:p>
    <w:p w14:paraId="6C2B19B0" w14:textId="77777777" w:rsidR="009021F1" w:rsidRPr="00D579BE" w:rsidRDefault="009021F1" w:rsidP="009021F1">
      <w:pPr>
        <w:rPr>
          <w:szCs w:val="21"/>
        </w:rPr>
      </w:pPr>
    </w:p>
    <w:p w14:paraId="4C8570CB" w14:textId="77777777" w:rsidR="009021F1" w:rsidRPr="00D579BE" w:rsidRDefault="009021F1" w:rsidP="009021F1">
      <w:pPr>
        <w:rPr>
          <w:szCs w:val="21"/>
        </w:rPr>
      </w:pPr>
      <w:r w:rsidRPr="00D579BE">
        <w:rPr>
          <w:szCs w:val="21"/>
        </w:rPr>
        <w:t>Les procédures applicables aux découvertes fortuites comprennent généralement les éléments ci-après :</w:t>
      </w:r>
    </w:p>
    <w:p w14:paraId="3644FF54" w14:textId="77777777" w:rsidR="009021F1" w:rsidRPr="00D579BE" w:rsidRDefault="009021F1" w:rsidP="009021F1">
      <w:pPr>
        <w:rPr>
          <w:szCs w:val="21"/>
        </w:rPr>
      </w:pPr>
    </w:p>
    <w:p w14:paraId="1003FC5B" w14:textId="77777777" w:rsidR="009021F1" w:rsidRPr="00D579BE" w:rsidRDefault="009021F1" w:rsidP="009021F1">
      <w:pPr>
        <w:rPr>
          <w:szCs w:val="21"/>
          <w:lang w:bidi="fr-FR"/>
        </w:rPr>
      </w:pPr>
      <w:r w:rsidRPr="00D579BE">
        <w:rPr>
          <w:szCs w:val="21"/>
          <w:lang w:bidi="fr-FR"/>
        </w:rPr>
        <w:t>Définition des biens culturels physiques</w:t>
      </w:r>
    </w:p>
    <w:p w14:paraId="03F4E370" w14:textId="77777777" w:rsidR="009021F1" w:rsidRPr="00D579BE" w:rsidRDefault="009021F1" w:rsidP="009021F1">
      <w:pPr>
        <w:rPr>
          <w:szCs w:val="21"/>
        </w:rPr>
      </w:pPr>
    </w:p>
    <w:p w14:paraId="64C5F1E3" w14:textId="77777777" w:rsidR="009021F1" w:rsidRPr="00D579BE" w:rsidRDefault="009021F1" w:rsidP="009021F1">
      <w:pPr>
        <w:rPr>
          <w:szCs w:val="21"/>
        </w:rPr>
      </w:pPr>
      <w:r w:rsidRPr="00D579BE">
        <w:rPr>
          <w:szCs w:val="21"/>
        </w:rPr>
        <w:t>Les biens culturels physiques sont définis comme : « objets mobiliers ou immobiliers, sites, ouvrages ou groupes d’ouvrages ayant une valeur archéologique, paléontologique, historique, architecturale, religieuse, esthétique ou autre ».</w:t>
      </w:r>
    </w:p>
    <w:p w14:paraId="18DD8622" w14:textId="77777777" w:rsidR="009021F1" w:rsidRPr="00D579BE" w:rsidRDefault="009021F1" w:rsidP="009021F1">
      <w:pPr>
        <w:rPr>
          <w:szCs w:val="21"/>
        </w:rPr>
      </w:pPr>
    </w:p>
    <w:p w14:paraId="056F72B7" w14:textId="77777777" w:rsidR="009021F1" w:rsidRPr="00D579BE" w:rsidRDefault="009021F1" w:rsidP="009021F1">
      <w:pPr>
        <w:rPr>
          <w:i/>
          <w:szCs w:val="21"/>
          <w:lang w:bidi="fr-FR"/>
        </w:rPr>
      </w:pPr>
      <w:r w:rsidRPr="00D579BE">
        <w:rPr>
          <w:i/>
          <w:szCs w:val="21"/>
          <w:lang w:bidi="fr-FR"/>
        </w:rPr>
        <w:t>Propriété</w:t>
      </w:r>
    </w:p>
    <w:p w14:paraId="1F9077FA" w14:textId="77777777" w:rsidR="009021F1" w:rsidRPr="00D579BE" w:rsidRDefault="009021F1" w:rsidP="009021F1">
      <w:pPr>
        <w:rPr>
          <w:szCs w:val="21"/>
        </w:rPr>
      </w:pPr>
    </w:p>
    <w:p w14:paraId="04576CB8" w14:textId="77777777" w:rsidR="009021F1" w:rsidRPr="00D579BE" w:rsidRDefault="009021F1" w:rsidP="009021F1">
      <w:pPr>
        <w:rPr>
          <w:szCs w:val="21"/>
        </w:rPr>
      </w:pPr>
      <w:r w:rsidRPr="00D579BE">
        <w:rPr>
          <w:szCs w:val="21"/>
        </w:rPr>
        <w:t>Selon les circonstances, une propriété peut être l’administration locale, l’État, une institution religieuse ou le propriétaire du site. Il arrive également que l’identité du propriétaire soit déterminée ultérieurement par les autorités compétentes.</w:t>
      </w:r>
    </w:p>
    <w:p w14:paraId="28F2797B" w14:textId="77777777" w:rsidR="009021F1" w:rsidRPr="00D579BE" w:rsidRDefault="009021F1" w:rsidP="009021F1">
      <w:pPr>
        <w:rPr>
          <w:szCs w:val="21"/>
        </w:rPr>
      </w:pPr>
    </w:p>
    <w:p w14:paraId="792B24B8" w14:textId="77777777" w:rsidR="009021F1" w:rsidRPr="00D579BE" w:rsidRDefault="009021F1" w:rsidP="009021F1">
      <w:pPr>
        <w:rPr>
          <w:i/>
          <w:szCs w:val="21"/>
          <w:lang w:bidi="fr-FR"/>
        </w:rPr>
      </w:pPr>
      <w:r w:rsidRPr="00D579BE">
        <w:rPr>
          <w:i/>
          <w:szCs w:val="21"/>
          <w:lang w:bidi="fr-FR"/>
        </w:rPr>
        <w:t>Reconnaissance</w:t>
      </w:r>
    </w:p>
    <w:p w14:paraId="072C9A2A" w14:textId="77777777" w:rsidR="009021F1" w:rsidRPr="00D579BE" w:rsidRDefault="009021F1" w:rsidP="009021F1">
      <w:pPr>
        <w:rPr>
          <w:szCs w:val="21"/>
        </w:rPr>
      </w:pPr>
    </w:p>
    <w:p w14:paraId="5522DF59" w14:textId="77777777" w:rsidR="009021F1" w:rsidRPr="00D579BE" w:rsidRDefault="009021F1" w:rsidP="009021F1">
      <w:pPr>
        <w:rPr>
          <w:szCs w:val="21"/>
        </w:rPr>
      </w:pPr>
      <w:r w:rsidRPr="00D579BE">
        <w:rPr>
          <w:szCs w:val="21"/>
        </w:rPr>
        <w:t>C’est la manière avec laquelle l’entreprise reconnaîtra un bien culturel physique n’est pas spécifiée et l’entreprise peut exiger une clause limitative de responsabilité.</w:t>
      </w:r>
    </w:p>
    <w:p w14:paraId="35DF4BF9" w14:textId="77777777" w:rsidR="009021F1" w:rsidRPr="00D579BE" w:rsidRDefault="009021F1" w:rsidP="009021F1">
      <w:pPr>
        <w:rPr>
          <w:szCs w:val="21"/>
        </w:rPr>
      </w:pPr>
    </w:p>
    <w:p w14:paraId="527265D9" w14:textId="77777777" w:rsidR="009021F1" w:rsidRPr="00D579BE" w:rsidRDefault="009021F1" w:rsidP="009021F1">
      <w:pPr>
        <w:rPr>
          <w:i/>
          <w:szCs w:val="21"/>
          <w:lang w:bidi="fr-FR"/>
        </w:rPr>
      </w:pPr>
      <w:r w:rsidRPr="00D579BE">
        <w:rPr>
          <w:i/>
          <w:szCs w:val="21"/>
          <w:lang w:bidi="fr-FR"/>
        </w:rPr>
        <w:t>Procédure applicable en cas de découverte</w:t>
      </w:r>
    </w:p>
    <w:p w14:paraId="09BA203C" w14:textId="77777777" w:rsidR="009021F1" w:rsidRPr="00D579BE" w:rsidRDefault="009021F1" w:rsidP="009021F1">
      <w:pPr>
        <w:rPr>
          <w:szCs w:val="21"/>
          <w:lang w:bidi="fr-FR"/>
        </w:rPr>
      </w:pPr>
    </w:p>
    <w:p w14:paraId="44734E93" w14:textId="77777777" w:rsidR="009021F1" w:rsidRPr="00D579BE" w:rsidRDefault="009021F1" w:rsidP="009021F1">
      <w:pPr>
        <w:rPr>
          <w:szCs w:val="21"/>
          <w:lang w:bidi="fr-FR"/>
        </w:rPr>
      </w:pPr>
      <w:r w:rsidRPr="00D579BE">
        <w:rPr>
          <w:szCs w:val="21"/>
          <w:lang w:bidi="fr-FR"/>
        </w:rPr>
        <w:t xml:space="preserve">Suspension des travaux : </w:t>
      </w:r>
    </w:p>
    <w:p w14:paraId="169A40C3" w14:textId="77777777" w:rsidR="009021F1" w:rsidRPr="00D579BE" w:rsidRDefault="009021F1" w:rsidP="009021F1">
      <w:pPr>
        <w:rPr>
          <w:szCs w:val="21"/>
        </w:rPr>
      </w:pPr>
    </w:p>
    <w:p w14:paraId="36B326C6" w14:textId="77777777" w:rsidR="009021F1" w:rsidRPr="00D579BE" w:rsidRDefault="009021F1" w:rsidP="009021F1">
      <w:pPr>
        <w:rPr>
          <w:szCs w:val="21"/>
        </w:rPr>
      </w:pPr>
      <w:r w:rsidRPr="00D579BE">
        <w:rPr>
          <w:szCs w:val="21"/>
        </w:rPr>
        <w:t>Après la suspension des travaux, l’entreprise doit immédiatement signaler la découverte à l’ingénieur résident. Il se peut que l’entreprise ne soit pas en droit de réclamer une indemnisation pour la période de suspension des travaux.</w:t>
      </w:r>
    </w:p>
    <w:p w14:paraId="11E33AAC" w14:textId="77777777" w:rsidR="009021F1" w:rsidRPr="00D579BE" w:rsidRDefault="009021F1" w:rsidP="009021F1">
      <w:pPr>
        <w:rPr>
          <w:szCs w:val="21"/>
        </w:rPr>
      </w:pPr>
    </w:p>
    <w:p w14:paraId="554E8990" w14:textId="77777777" w:rsidR="009021F1" w:rsidRPr="00D579BE" w:rsidRDefault="009021F1" w:rsidP="009021F1">
      <w:pPr>
        <w:rPr>
          <w:szCs w:val="21"/>
        </w:rPr>
      </w:pPr>
      <w:r w:rsidRPr="00D579BE">
        <w:rPr>
          <w:szCs w:val="21"/>
        </w:rPr>
        <w:t>L’ingénieur résident peut être habilité à suspendre les travaux et à demander à l’entreprise de procéder à des fouilles à ses propres frais s’il estime qu’une découverte qui vient d’être faite n’a pas été signalée.</w:t>
      </w:r>
    </w:p>
    <w:p w14:paraId="4100322D" w14:textId="77777777" w:rsidR="009021F1" w:rsidRPr="00D579BE" w:rsidRDefault="009021F1" w:rsidP="009021F1">
      <w:pPr>
        <w:rPr>
          <w:szCs w:val="21"/>
        </w:rPr>
      </w:pPr>
    </w:p>
    <w:p w14:paraId="3F91D285" w14:textId="77777777" w:rsidR="009021F1" w:rsidRPr="00D579BE" w:rsidRDefault="009021F1" w:rsidP="009021F1">
      <w:pPr>
        <w:rPr>
          <w:i/>
          <w:szCs w:val="21"/>
          <w:lang w:bidi="fr-FR"/>
        </w:rPr>
      </w:pPr>
      <w:r w:rsidRPr="00D579BE">
        <w:rPr>
          <w:i/>
          <w:szCs w:val="21"/>
          <w:lang w:bidi="fr-FR"/>
        </w:rPr>
        <w:t>Délimitation du site de la découverte</w:t>
      </w:r>
    </w:p>
    <w:p w14:paraId="584620EA" w14:textId="77777777" w:rsidR="009021F1" w:rsidRPr="00D579BE" w:rsidRDefault="009021F1" w:rsidP="009021F1">
      <w:pPr>
        <w:rPr>
          <w:szCs w:val="21"/>
        </w:rPr>
      </w:pPr>
    </w:p>
    <w:p w14:paraId="1569A0BB" w14:textId="77777777" w:rsidR="009021F1" w:rsidRPr="00D579BE" w:rsidRDefault="009021F1" w:rsidP="009021F1">
      <w:pPr>
        <w:rPr>
          <w:szCs w:val="21"/>
        </w:rPr>
      </w:pPr>
      <w:r w:rsidRPr="00D579BE">
        <w:rPr>
          <w:szCs w:val="21"/>
        </w:rPr>
        <w:t>Avec l’approbation de l’ingénieur résident, il est ensuite demandé à l’entreprise de délimiter temporairement le site et d’en restreindre l’accès.</w:t>
      </w:r>
    </w:p>
    <w:p w14:paraId="1047D2BE" w14:textId="77777777" w:rsidR="009021F1" w:rsidRPr="00D579BE" w:rsidRDefault="009021F1" w:rsidP="009021F1">
      <w:pPr>
        <w:rPr>
          <w:szCs w:val="21"/>
        </w:rPr>
      </w:pPr>
    </w:p>
    <w:p w14:paraId="2E6C8E54" w14:textId="77777777" w:rsidR="009021F1" w:rsidRPr="00D579BE" w:rsidRDefault="009021F1" w:rsidP="009021F1">
      <w:pPr>
        <w:rPr>
          <w:i/>
          <w:szCs w:val="21"/>
          <w:lang w:bidi="fr-FR"/>
        </w:rPr>
      </w:pPr>
      <w:r w:rsidRPr="00D579BE">
        <w:rPr>
          <w:i/>
          <w:szCs w:val="21"/>
          <w:lang w:bidi="fr-FR"/>
        </w:rPr>
        <w:t>Non suspension des travaux</w:t>
      </w:r>
    </w:p>
    <w:p w14:paraId="159CF50D" w14:textId="77777777" w:rsidR="009021F1" w:rsidRPr="00D579BE" w:rsidRDefault="009021F1" w:rsidP="009021F1">
      <w:pPr>
        <w:rPr>
          <w:szCs w:val="21"/>
        </w:rPr>
      </w:pPr>
    </w:p>
    <w:p w14:paraId="4171A09B" w14:textId="77777777" w:rsidR="009021F1" w:rsidRPr="00D579BE" w:rsidRDefault="009021F1" w:rsidP="009021F1">
      <w:pPr>
        <w:rPr>
          <w:szCs w:val="21"/>
        </w:rPr>
      </w:pPr>
      <w:r w:rsidRPr="00D579BE">
        <w:rPr>
          <w:szCs w:val="21"/>
        </w:rPr>
        <w:t>La procédure peut autoriser d’ingénieur résident à déterminer si le bien culturel physique peut être transporté ailleurs avant de poursuivre les travaux, par exemple si l’objet découvert est une pièce de monnaie.</w:t>
      </w:r>
    </w:p>
    <w:p w14:paraId="3F2B2C95" w14:textId="77777777" w:rsidR="009021F1" w:rsidRPr="00D579BE" w:rsidRDefault="009021F1" w:rsidP="009021F1">
      <w:pPr>
        <w:rPr>
          <w:szCs w:val="21"/>
        </w:rPr>
      </w:pPr>
    </w:p>
    <w:p w14:paraId="765A1489" w14:textId="77777777" w:rsidR="009021F1" w:rsidRPr="00D579BE" w:rsidRDefault="009021F1" w:rsidP="009021F1">
      <w:pPr>
        <w:rPr>
          <w:i/>
          <w:szCs w:val="21"/>
          <w:lang w:bidi="fr-FR"/>
        </w:rPr>
      </w:pPr>
      <w:r w:rsidRPr="00D579BE">
        <w:rPr>
          <w:i/>
          <w:szCs w:val="21"/>
          <w:lang w:bidi="fr-FR"/>
        </w:rPr>
        <w:t>Rapport de découverte fortuite</w:t>
      </w:r>
    </w:p>
    <w:p w14:paraId="78D2C5C0" w14:textId="77777777" w:rsidR="009021F1" w:rsidRPr="00D579BE" w:rsidRDefault="009021F1" w:rsidP="009021F1">
      <w:pPr>
        <w:rPr>
          <w:szCs w:val="21"/>
        </w:rPr>
      </w:pPr>
    </w:p>
    <w:p w14:paraId="48F94BDD" w14:textId="77777777" w:rsidR="009021F1" w:rsidRPr="00D579BE" w:rsidRDefault="009021F1" w:rsidP="009021F1">
      <w:pPr>
        <w:rPr>
          <w:szCs w:val="21"/>
        </w:rPr>
      </w:pPr>
      <w:r w:rsidRPr="00D579BE">
        <w:rPr>
          <w:szCs w:val="21"/>
        </w:rPr>
        <w:t>L’entreprise doit ensuite, sur la demande de l’ingénieur résident et dans les délais spécifiés, établir un Rapport de découverte fortuite fournissant les informations suivantes :</w:t>
      </w:r>
    </w:p>
    <w:p w14:paraId="1EE03388" w14:textId="77777777" w:rsidR="009021F1" w:rsidRPr="00D579BE" w:rsidRDefault="009021F1" w:rsidP="009021F1">
      <w:pPr>
        <w:rPr>
          <w:szCs w:val="21"/>
        </w:rPr>
      </w:pPr>
    </w:p>
    <w:p w14:paraId="1A259E82" w14:textId="77777777" w:rsidR="009021F1" w:rsidRPr="00D579BE" w:rsidRDefault="009021F1" w:rsidP="009021F1">
      <w:pPr>
        <w:pStyle w:val="Paragraphedeliste"/>
        <w:numPr>
          <w:ilvl w:val="0"/>
          <w:numId w:val="56"/>
        </w:numPr>
        <w:rPr>
          <w:szCs w:val="21"/>
        </w:rPr>
      </w:pPr>
      <w:r w:rsidRPr="00D579BE">
        <w:rPr>
          <w:szCs w:val="21"/>
        </w:rPr>
        <w:t>Date et heure de la découverte ;</w:t>
      </w:r>
    </w:p>
    <w:p w14:paraId="303E9A40" w14:textId="77777777" w:rsidR="009021F1" w:rsidRPr="00D579BE" w:rsidRDefault="009021F1" w:rsidP="009021F1">
      <w:pPr>
        <w:pStyle w:val="Paragraphedeliste"/>
        <w:numPr>
          <w:ilvl w:val="0"/>
          <w:numId w:val="56"/>
        </w:numPr>
        <w:rPr>
          <w:szCs w:val="21"/>
        </w:rPr>
      </w:pPr>
      <w:r w:rsidRPr="00D579BE">
        <w:rPr>
          <w:szCs w:val="21"/>
        </w:rPr>
        <w:t>Emplacement de la découverte ;</w:t>
      </w:r>
    </w:p>
    <w:p w14:paraId="6CB0457D" w14:textId="77777777" w:rsidR="009021F1" w:rsidRPr="00D579BE" w:rsidRDefault="009021F1" w:rsidP="009021F1">
      <w:pPr>
        <w:pStyle w:val="Paragraphedeliste"/>
        <w:numPr>
          <w:ilvl w:val="0"/>
          <w:numId w:val="56"/>
        </w:numPr>
        <w:rPr>
          <w:szCs w:val="21"/>
        </w:rPr>
      </w:pPr>
      <w:r w:rsidRPr="00D579BE">
        <w:rPr>
          <w:szCs w:val="21"/>
        </w:rPr>
        <w:t>Description du bien culturel physique ;</w:t>
      </w:r>
    </w:p>
    <w:p w14:paraId="4166CE1C" w14:textId="77777777" w:rsidR="009021F1" w:rsidRPr="00D579BE" w:rsidRDefault="009021F1" w:rsidP="009021F1">
      <w:pPr>
        <w:pStyle w:val="Paragraphedeliste"/>
        <w:numPr>
          <w:ilvl w:val="0"/>
          <w:numId w:val="56"/>
        </w:numPr>
        <w:rPr>
          <w:szCs w:val="21"/>
        </w:rPr>
      </w:pPr>
      <w:r w:rsidRPr="00D579BE">
        <w:rPr>
          <w:szCs w:val="21"/>
        </w:rPr>
        <w:t>Estimation du poids et des dimensions du bien ; et</w:t>
      </w:r>
    </w:p>
    <w:p w14:paraId="1FFDF233" w14:textId="77777777" w:rsidR="009021F1" w:rsidRPr="00D579BE" w:rsidRDefault="009021F1" w:rsidP="009021F1">
      <w:pPr>
        <w:pStyle w:val="Paragraphedeliste"/>
        <w:numPr>
          <w:ilvl w:val="0"/>
          <w:numId w:val="56"/>
        </w:numPr>
        <w:rPr>
          <w:szCs w:val="21"/>
        </w:rPr>
      </w:pPr>
      <w:r w:rsidRPr="00D579BE">
        <w:rPr>
          <w:szCs w:val="21"/>
        </w:rPr>
        <w:t>Mesures de protection temporaire mises en place.</w:t>
      </w:r>
    </w:p>
    <w:p w14:paraId="6C4142D3" w14:textId="77777777" w:rsidR="009021F1" w:rsidRPr="00D579BE" w:rsidRDefault="009021F1" w:rsidP="009021F1">
      <w:pPr>
        <w:rPr>
          <w:szCs w:val="21"/>
        </w:rPr>
      </w:pPr>
    </w:p>
    <w:p w14:paraId="1EAD909D" w14:textId="77777777" w:rsidR="009021F1" w:rsidRPr="00D579BE" w:rsidRDefault="009021F1" w:rsidP="009021F1">
      <w:pPr>
        <w:rPr>
          <w:szCs w:val="21"/>
        </w:rPr>
      </w:pPr>
      <w:r w:rsidRPr="00D579BE">
        <w:rPr>
          <w:szCs w:val="21"/>
        </w:rPr>
        <w:t xml:space="preserve">Le Rapport de découverte fortuite doit être présenté à l’ingénieur résident et aux autres parties désignées d’un commun accord avec les services culturels, et conformément à la législation nationale. </w:t>
      </w:r>
    </w:p>
    <w:p w14:paraId="0391A989" w14:textId="77777777" w:rsidR="009021F1" w:rsidRPr="00D579BE" w:rsidRDefault="009021F1" w:rsidP="009021F1">
      <w:pPr>
        <w:rPr>
          <w:szCs w:val="21"/>
        </w:rPr>
      </w:pPr>
    </w:p>
    <w:p w14:paraId="06219FBA" w14:textId="77777777" w:rsidR="009021F1" w:rsidRPr="00D579BE" w:rsidRDefault="009021F1" w:rsidP="009021F1">
      <w:pPr>
        <w:rPr>
          <w:szCs w:val="21"/>
        </w:rPr>
      </w:pPr>
      <w:r w:rsidRPr="00D579BE">
        <w:rPr>
          <w:szCs w:val="21"/>
        </w:rPr>
        <w:t>L’ingénieur réside, ou toute autre partie désignée d’un commun accord, doit informer les services culturels de la découverte.</w:t>
      </w:r>
    </w:p>
    <w:p w14:paraId="52F94377" w14:textId="77777777" w:rsidR="009021F1" w:rsidRPr="00D579BE" w:rsidRDefault="009021F1" w:rsidP="009021F1">
      <w:pPr>
        <w:rPr>
          <w:szCs w:val="21"/>
        </w:rPr>
      </w:pPr>
    </w:p>
    <w:p w14:paraId="3F9DFC1B" w14:textId="77777777" w:rsidR="009021F1" w:rsidRPr="00D579BE" w:rsidRDefault="009021F1" w:rsidP="009021F1">
      <w:pPr>
        <w:rPr>
          <w:szCs w:val="21"/>
          <w:lang w:bidi="fr-FR"/>
        </w:rPr>
      </w:pPr>
      <w:r w:rsidRPr="00D579BE">
        <w:rPr>
          <w:szCs w:val="21"/>
          <w:lang w:bidi="fr-FR"/>
        </w:rPr>
        <w:t>Arrivée des services culturels et mesures prises</w:t>
      </w:r>
    </w:p>
    <w:p w14:paraId="2ADD636A" w14:textId="77777777" w:rsidR="009021F1" w:rsidRPr="00D579BE" w:rsidRDefault="009021F1" w:rsidP="009021F1">
      <w:pPr>
        <w:rPr>
          <w:szCs w:val="21"/>
          <w:lang w:bidi="fr-FR"/>
        </w:rPr>
      </w:pPr>
    </w:p>
    <w:p w14:paraId="0A3B978D" w14:textId="77777777" w:rsidR="009021F1" w:rsidRPr="00D579BE" w:rsidRDefault="009021F1" w:rsidP="009021F1">
      <w:pPr>
        <w:rPr>
          <w:szCs w:val="21"/>
        </w:rPr>
      </w:pPr>
      <w:r w:rsidRPr="00D579BE">
        <w:rPr>
          <w:szCs w:val="21"/>
        </w:rPr>
        <w:t>Les services responsables du patrimoine culturel font le nécessaire pour envoyer un représentant sur le lieu de la découverte dans des délais convenus (dans les 24 heures, par exemple) et déterminer les mesures à prendre, notamment :</w:t>
      </w:r>
    </w:p>
    <w:p w14:paraId="2B31BEFC" w14:textId="77777777" w:rsidR="009021F1" w:rsidRPr="00D579BE" w:rsidRDefault="009021F1" w:rsidP="009021F1">
      <w:pPr>
        <w:rPr>
          <w:szCs w:val="21"/>
        </w:rPr>
      </w:pPr>
    </w:p>
    <w:p w14:paraId="2E789D51" w14:textId="77777777" w:rsidR="009021F1" w:rsidRPr="00D579BE" w:rsidRDefault="009021F1" w:rsidP="009021F1">
      <w:pPr>
        <w:rPr>
          <w:szCs w:val="21"/>
          <w:lang w:bidi="fr-FR"/>
        </w:rPr>
      </w:pPr>
      <w:r w:rsidRPr="00D579BE">
        <w:rPr>
          <w:szCs w:val="21"/>
          <w:lang w:bidi="fr-FR"/>
        </w:rPr>
        <w:t>Retrait des biens culturels physiques jugés importants ;</w:t>
      </w:r>
    </w:p>
    <w:p w14:paraId="6438091C" w14:textId="77777777" w:rsidR="009021F1" w:rsidRPr="00D579BE" w:rsidRDefault="009021F1" w:rsidP="009021F1">
      <w:pPr>
        <w:rPr>
          <w:szCs w:val="21"/>
          <w:lang w:bidi="fr-FR"/>
        </w:rPr>
      </w:pPr>
      <w:r w:rsidRPr="00D579BE">
        <w:rPr>
          <w:szCs w:val="21"/>
          <w:lang w:bidi="fr-FR"/>
        </w:rPr>
        <w:t>Poursuite des travaux d’excavation dans un rayon spécifié autour du site de la découverte ;</w:t>
      </w:r>
    </w:p>
    <w:p w14:paraId="54C26B76" w14:textId="77777777" w:rsidR="009021F1" w:rsidRPr="00D579BE" w:rsidRDefault="009021F1" w:rsidP="009021F1">
      <w:pPr>
        <w:rPr>
          <w:szCs w:val="21"/>
          <w:lang w:bidi="fr-FR"/>
        </w:rPr>
      </w:pPr>
      <w:r w:rsidRPr="00D579BE">
        <w:rPr>
          <w:szCs w:val="21"/>
          <w:lang w:bidi="fr-FR"/>
        </w:rPr>
        <w:t>Élargissement ou réduction de la zone délimitée par l’entreprise.</w:t>
      </w:r>
    </w:p>
    <w:p w14:paraId="41A1641C" w14:textId="77777777" w:rsidR="009021F1" w:rsidRPr="00D579BE" w:rsidRDefault="009021F1" w:rsidP="009021F1">
      <w:pPr>
        <w:rPr>
          <w:szCs w:val="21"/>
        </w:rPr>
      </w:pPr>
    </w:p>
    <w:p w14:paraId="678A62A2" w14:textId="77777777" w:rsidR="009021F1" w:rsidRPr="00D579BE" w:rsidRDefault="009021F1" w:rsidP="009021F1">
      <w:pPr>
        <w:rPr>
          <w:szCs w:val="21"/>
        </w:rPr>
      </w:pPr>
      <w:r w:rsidRPr="00D579BE">
        <w:rPr>
          <w:szCs w:val="21"/>
        </w:rPr>
        <w:t>Ces mesures doivent être prises dans un délai donné (dans les 7 jours, par exemple).</w:t>
      </w:r>
    </w:p>
    <w:p w14:paraId="42F6C03C" w14:textId="77777777" w:rsidR="009021F1" w:rsidRPr="00D579BE" w:rsidRDefault="009021F1" w:rsidP="009021F1">
      <w:pPr>
        <w:rPr>
          <w:szCs w:val="21"/>
        </w:rPr>
      </w:pPr>
    </w:p>
    <w:p w14:paraId="0F39A068" w14:textId="77777777" w:rsidR="009021F1" w:rsidRPr="00D579BE" w:rsidRDefault="009021F1" w:rsidP="009021F1">
      <w:pPr>
        <w:rPr>
          <w:szCs w:val="21"/>
        </w:rPr>
      </w:pPr>
      <w:r w:rsidRPr="00D579BE">
        <w:rPr>
          <w:szCs w:val="21"/>
        </w:rPr>
        <w:t>L’entreprise peut, mais pas nécessairement, prétendre à une indemnisation pour la période de suspension des travaux.</w:t>
      </w:r>
    </w:p>
    <w:p w14:paraId="30CB6AC2" w14:textId="77777777" w:rsidR="009021F1" w:rsidRPr="00D579BE" w:rsidRDefault="009021F1" w:rsidP="009021F1">
      <w:pPr>
        <w:rPr>
          <w:szCs w:val="21"/>
        </w:rPr>
      </w:pPr>
    </w:p>
    <w:p w14:paraId="06CB5811" w14:textId="77777777" w:rsidR="009021F1" w:rsidRPr="00D579BE" w:rsidRDefault="009021F1" w:rsidP="009021F1">
      <w:pPr>
        <w:rPr>
          <w:szCs w:val="21"/>
        </w:rPr>
      </w:pPr>
      <w:r w:rsidRPr="00D579BE">
        <w:rPr>
          <w:szCs w:val="21"/>
        </w:rPr>
        <w:t>Si les services culturels n’envoient pas un représentant dans les délais spécifiés (dans les 24 heures, par exemple), l’ingénieur résident peut être autorisé à proroger ces délais pour une période spécifiée.</w:t>
      </w:r>
    </w:p>
    <w:p w14:paraId="41FE3182" w14:textId="77777777" w:rsidR="009021F1" w:rsidRPr="00D579BE" w:rsidRDefault="009021F1" w:rsidP="009021F1">
      <w:pPr>
        <w:rPr>
          <w:szCs w:val="21"/>
        </w:rPr>
      </w:pPr>
    </w:p>
    <w:p w14:paraId="4FBE1DF2" w14:textId="77777777" w:rsidR="009021F1" w:rsidRPr="00D579BE" w:rsidRDefault="009021F1" w:rsidP="009021F1">
      <w:pPr>
        <w:rPr>
          <w:szCs w:val="21"/>
        </w:rPr>
      </w:pPr>
      <w:r w:rsidRPr="00D579BE">
        <w:rPr>
          <w:szCs w:val="21"/>
        </w:rPr>
        <w:t>Si les services culturels n’envoient pas un représentant dans la période de prorogation, l’ingénieur résident peut être autorisé à demander à l’entreprise de déplacer le bien culturel physique ou de prendre d’autres mesures d’atténuation et de reprendre les travaux. Les travaux supplémentaires seront imputés sur le marché, mais l’entreprise ne pourra pas réclamer une indemnisation pour la période de suspension des travaux.</w:t>
      </w:r>
    </w:p>
    <w:p w14:paraId="4B8F9EF6" w14:textId="77777777" w:rsidR="009021F1" w:rsidRPr="00D579BE" w:rsidRDefault="009021F1" w:rsidP="009021F1">
      <w:pPr>
        <w:rPr>
          <w:szCs w:val="21"/>
        </w:rPr>
      </w:pPr>
    </w:p>
    <w:p w14:paraId="5FD2193C" w14:textId="77777777" w:rsidR="009021F1" w:rsidRPr="00D579BE" w:rsidRDefault="009021F1" w:rsidP="009021F1">
      <w:pPr>
        <w:rPr>
          <w:i/>
          <w:szCs w:val="21"/>
          <w:lang w:bidi="fr-FR"/>
        </w:rPr>
      </w:pPr>
      <w:r w:rsidRPr="00D579BE">
        <w:rPr>
          <w:i/>
          <w:szCs w:val="21"/>
          <w:lang w:bidi="fr-FR"/>
        </w:rPr>
        <w:t>Suspension supplémentaire des travaux</w:t>
      </w:r>
    </w:p>
    <w:p w14:paraId="1A1EF2C8" w14:textId="77777777" w:rsidR="009021F1" w:rsidRPr="00D579BE" w:rsidRDefault="009021F1" w:rsidP="009021F1">
      <w:pPr>
        <w:rPr>
          <w:szCs w:val="21"/>
        </w:rPr>
      </w:pPr>
    </w:p>
    <w:p w14:paraId="3054B049" w14:textId="77777777" w:rsidR="009021F1" w:rsidRPr="00D579BE" w:rsidRDefault="009021F1" w:rsidP="009021F1">
      <w:pPr>
        <w:rPr>
          <w:szCs w:val="21"/>
        </w:rPr>
      </w:pPr>
      <w:r w:rsidRPr="00D579BE">
        <w:rPr>
          <w:szCs w:val="21"/>
        </w:rPr>
        <w:t>Durant la période de 7 jours, les services culturels peuvent être en droit de demander la suspension temporaire des travaux sur le site de la découverte ou à proximité pendant une période supplémentaire de 30 jours, par exemple.</w:t>
      </w:r>
    </w:p>
    <w:p w14:paraId="3BFB9AE4" w14:textId="77777777" w:rsidR="009021F1" w:rsidRPr="00D579BE" w:rsidRDefault="009021F1" w:rsidP="009021F1">
      <w:pPr>
        <w:rPr>
          <w:szCs w:val="21"/>
        </w:rPr>
      </w:pPr>
    </w:p>
    <w:p w14:paraId="3E71E369" w14:textId="77777777" w:rsidR="009021F1" w:rsidRPr="00D579BE" w:rsidRDefault="009021F1" w:rsidP="009021F1">
      <w:pPr>
        <w:rPr>
          <w:szCs w:val="21"/>
        </w:rPr>
      </w:pPr>
      <w:r w:rsidRPr="00D579BE">
        <w:rPr>
          <w:szCs w:val="21"/>
        </w:rPr>
        <w:t>L’entreprise peut, mais pas nécessairement, prétendre à une indemnisation pour cette période supplémentaire de suspension des travaux.</w:t>
      </w:r>
    </w:p>
    <w:p w14:paraId="322E1108" w14:textId="77777777" w:rsidR="009021F1" w:rsidRPr="00D579BE" w:rsidRDefault="009021F1" w:rsidP="009021F1">
      <w:pPr>
        <w:rPr>
          <w:szCs w:val="21"/>
        </w:rPr>
      </w:pPr>
    </w:p>
    <w:p w14:paraId="2C502A3D" w14:textId="77777777" w:rsidR="009021F1" w:rsidRPr="00D579BE" w:rsidRDefault="009021F1" w:rsidP="009021F1">
      <w:pPr>
        <w:rPr>
          <w:szCs w:val="21"/>
        </w:rPr>
      </w:pPr>
      <w:r w:rsidRPr="00D579BE">
        <w:rPr>
          <w:szCs w:val="21"/>
        </w:rPr>
        <w:t>L’entreprise peut cependant être autorisée à signer avec les services responsables du patrimoine culturel un nouvel accord portant sur la fourniture de services ou de ressources supplémentaires durant cette période.</w:t>
      </w:r>
    </w:p>
    <w:p w14:paraId="1A7120D5" w14:textId="77777777" w:rsidR="009021F1" w:rsidRPr="00D579BE" w:rsidRDefault="009021F1" w:rsidP="009021F1">
      <w:pPr>
        <w:rPr>
          <w:szCs w:val="21"/>
        </w:rPr>
      </w:pPr>
    </w:p>
    <w:p w14:paraId="0105477A" w14:textId="77777777" w:rsidR="009021F1" w:rsidRPr="00D579BE" w:rsidRDefault="009021F1" w:rsidP="009021F1">
      <w:pPr>
        <w:rPr>
          <w:b/>
          <w:szCs w:val="21"/>
          <w:lang w:val="x-none" w:eastAsia="x-none"/>
        </w:rPr>
      </w:pPr>
      <w:r w:rsidRPr="00D579BE">
        <w:rPr>
          <w:b/>
          <w:szCs w:val="21"/>
          <w:lang w:val="x-none" w:eastAsia="x-none"/>
        </w:rPr>
        <w:t>Approvisionnement en Eau</w:t>
      </w:r>
    </w:p>
    <w:p w14:paraId="4293BA5C" w14:textId="77777777" w:rsidR="009021F1" w:rsidRPr="00D579BE" w:rsidRDefault="009021F1" w:rsidP="009021F1">
      <w:pPr>
        <w:rPr>
          <w:szCs w:val="21"/>
        </w:rPr>
      </w:pPr>
    </w:p>
    <w:p w14:paraId="38612740" w14:textId="77777777" w:rsidR="009021F1" w:rsidRPr="00D579BE" w:rsidRDefault="009021F1" w:rsidP="009021F1">
      <w:pPr>
        <w:pStyle w:val="Paragraphedeliste"/>
        <w:numPr>
          <w:ilvl w:val="0"/>
          <w:numId w:val="56"/>
        </w:numPr>
        <w:rPr>
          <w:szCs w:val="21"/>
        </w:rPr>
      </w:pPr>
      <w:r w:rsidRPr="00D579BE">
        <w:rPr>
          <w:szCs w:val="21"/>
        </w:rPr>
        <w:t>Eviter que les besoins en eau des chantiers ne portent préjudice aux sources d’eau utilisées par les communautés locales ;</w:t>
      </w:r>
    </w:p>
    <w:p w14:paraId="022BA0AA" w14:textId="77777777" w:rsidR="009021F1" w:rsidRPr="00D579BE" w:rsidRDefault="009021F1" w:rsidP="009021F1">
      <w:pPr>
        <w:pStyle w:val="Paragraphedeliste"/>
        <w:numPr>
          <w:ilvl w:val="0"/>
          <w:numId w:val="56"/>
        </w:numPr>
        <w:rPr>
          <w:szCs w:val="21"/>
        </w:rPr>
      </w:pPr>
      <w:r w:rsidRPr="00D579BE">
        <w:rPr>
          <w:szCs w:val="21"/>
        </w:rPr>
        <w:t>Utiliser dans la mesure du possible les services publics d’eau potable, s’ils sont disponibles ;</w:t>
      </w:r>
    </w:p>
    <w:p w14:paraId="5EBF4823" w14:textId="77777777" w:rsidR="009021F1" w:rsidRPr="00D579BE" w:rsidRDefault="009021F1" w:rsidP="009021F1">
      <w:pPr>
        <w:pStyle w:val="Paragraphedeliste"/>
        <w:numPr>
          <w:ilvl w:val="0"/>
          <w:numId w:val="56"/>
        </w:numPr>
        <w:rPr>
          <w:szCs w:val="21"/>
        </w:rPr>
      </w:pPr>
      <w:r w:rsidRPr="00D579BE">
        <w:rPr>
          <w:szCs w:val="21"/>
        </w:rPr>
        <w:t>Au besoin, rechercher et exploiter des points d’eau qui seront à sa charge ;</w:t>
      </w:r>
    </w:p>
    <w:p w14:paraId="6B3F5143" w14:textId="77777777" w:rsidR="009021F1" w:rsidRPr="00D579BE" w:rsidRDefault="009021F1" w:rsidP="009021F1">
      <w:pPr>
        <w:pStyle w:val="Paragraphedeliste"/>
        <w:numPr>
          <w:ilvl w:val="0"/>
          <w:numId w:val="56"/>
        </w:numPr>
        <w:rPr>
          <w:szCs w:val="21"/>
        </w:rPr>
      </w:pPr>
      <w:r w:rsidRPr="00D579BE">
        <w:rPr>
          <w:szCs w:val="21"/>
        </w:rPr>
        <w:t>Obtenir une autorisation du Service de l’hydraulique local, et respecter la réglementation en vigueur, en cas d’approvisionnement en eau à partir des eaux souterraines ou de surface ;</w:t>
      </w:r>
    </w:p>
    <w:p w14:paraId="771D736B" w14:textId="77777777" w:rsidR="009021F1" w:rsidRPr="00D579BE" w:rsidRDefault="009021F1" w:rsidP="009021F1">
      <w:pPr>
        <w:pStyle w:val="Paragraphedeliste"/>
        <w:numPr>
          <w:ilvl w:val="0"/>
          <w:numId w:val="56"/>
        </w:numPr>
        <w:rPr>
          <w:szCs w:val="21"/>
        </w:rPr>
      </w:pPr>
      <w:r w:rsidRPr="00D579BE">
        <w:rPr>
          <w:szCs w:val="21"/>
        </w:rPr>
        <w:t>Désinfecter l’eau de surface destinée à la consommation humaine (personnel de chantier) par chloration ou autre procédé approuvé par les services environnementaux et sanitaires concernés ;</w:t>
      </w:r>
    </w:p>
    <w:p w14:paraId="3FE1C848" w14:textId="77777777" w:rsidR="009021F1" w:rsidRPr="00D579BE" w:rsidRDefault="009021F1" w:rsidP="009021F1">
      <w:pPr>
        <w:pStyle w:val="Paragraphedeliste"/>
        <w:numPr>
          <w:ilvl w:val="0"/>
          <w:numId w:val="56"/>
        </w:numPr>
        <w:rPr>
          <w:szCs w:val="21"/>
        </w:rPr>
      </w:pPr>
      <w:r w:rsidRPr="00D579BE">
        <w:rPr>
          <w:szCs w:val="21"/>
        </w:rPr>
        <w:t xml:space="preserve">Si l’eau n’est pas entièrement conforme aux critères de qualité d’une eau potable, l’Entreprise doit prendre des mesures alternatives telles que la fourniture d’eau embouteillée ou l’installation de réservoirs d'eau en quantité et en qualité suffisantes.  Cette eau doit être conforme au règlement sur les eaux potables </w:t>
      </w:r>
    </w:p>
    <w:p w14:paraId="53CD4819" w14:textId="77777777" w:rsidR="009021F1" w:rsidRPr="00D579BE" w:rsidRDefault="009021F1" w:rsidP="009021F1">
      <w:pPr>
        <w:rPr>
          <w:b/>
          <w:szCs w:val="21"/>
          <w:lang w:val="x-none" w:eastAsia="x-none"/>
        </w:rPr>
      </w:pPr>
    </w:p>
    <w:p w14:paraId="0553CE0A" w14:textId="77777777" w:rsidR="009021F1" w:rsidRPr="00D579BE" w:rsidRDefault="009021F1" w:rsidP="009021F1">
      <w:pPr>
        <w:rPr>
          <w:b/>
          <w:szCs w:val="21"/>
          <w:lang w:val="x-none" w:eastAsia="x-none"/>
        </w:rPr>
      </w:pPr>
      <w:r w:rsidRPr="00D579BE">
        <w:rPr>
          <w:b/>
          <w:szCs w:val="21"/>
          <w:lang w:val="x-none" w:eastAsia="x-none"/>
        </w:rPr>
        <w:t>Déblais et déchets d’excavation</w:t>
      </w:r>
    </w:p>
    <w:p w14:paraId="7B13F8C5" w14:textId="77777777" w:rsidR="009021F1" w:rsidRPr="00D579BE" w:rsidRDefault="009021F1" w:rsidP="009021F1">
      <w:pPr>
        <w:rPr>
          <w:b/>
          <w:szCs w:val="21"/>
          <w:lang w:val="x-none" w:eastAsia="x-none"/>
        </w:rPr>
      </w:pPr>
    </w:p>
    <w:p w14:paraId="483BA509" w14:textId="77777777" w:rsidR="009021F1" w:rsidRPr="00D579BE" w:rsidRDefault="009021F1" w:rsidP="009021F1">
      <w:pPr>
        <w:rPr>
          <w:szCs w:val="21"/>
        </w:rPr>
      </w:pPr>
      <w:r w:rsidRPr="00D579BE">
        <w:rPr>
          <w:szCs w:val="21"/>
        </w:rPr>
        <w:t>L’Entreprise doit :</w:t>
      </w:r>
    </w:p>
    <w:p w14:paraId="333733B2" w14:textId="77777777" w:rsidR="009021F1" w:rsidRPr="00D579BE" w:rsidRDefault="009021F1" w:rsidP="009021F1">
      <w:pPr>
        <w:rPr>
          <w:szCs w:val="21"/>
        </w:rPr>
      </w:pPr>
    </w:p>
    <w:p w14:paraId="67C6FCF1" w14:textId="77777777" w:rsidR="009021F1" w:rsidRPr="00D579BE" w:rsidRDefault="009021F1" w:rsidP="009021F1">
      <w:pPr>
        <w:pStyle w:val="Paragraphedeliste"/>
        <w:numPr>
          <w:ilvl w:val="0"/>
          <w:numId w:val="56"/>
        </w:numPr>
        <w:rPr>
          <w:szCs w:val="21"/>
        </w:rPr>
      </w:pPr>
      <w:r w:rsidRPr="00D579BE">
        <w:rPr>
          <w:szCs w:val="21"/>
        </w:rPr>
        <w:t>Déposer les déblais non réutilisés dans des aires d’entreposage s’il est prévu de les utiliser plus tard ; sinon les transporter dans des zones de remblais préalablement autorisées ;</w:t>
      </w:r>
    </w:p>
    <w:p w14:paraId="57E29C1D" w14:textId="77777777" w:rsidR="009021F1" w:rsidRPr="00D579BE" w:rsidRDefault="009021F1" w:rsidP="009021F1">
      <w:pPr>
        <w:pStyle w:val="Paragraphedeliste"/>
        <w:numPr>
          <w:ilvl w:val="0"/>
          <w:numId w:val="56"/>
        </w:numPr>
        <w:rPr>
          <w:szCs w:val="21"/>
        </w:rPr>
      </w:pPr>
      <w:r w:rsidRPr="00D579BE">
        <w:rPr>
          <w:szCs w:val="21"/>
        </w:rPr>
        <w:t>Collecter et gérer correctement tous les déchets solides provenant des travaux de construction ;</w:t>
      </w:r>
    </w:p>
    <w:p w14:paraId="2B8BFA53" w14:textId="77777777" w:rsidR="009021F1" w:rsidRPr="00D579BE" w:rsidRDefault="009021F1" w:rsidP="009021F1">
      <w:pPr>
        <w:pStyle w:val="Paragraphedeliste"/>
        <w:numPr>
          <w:ilvl w:val="0"/>
          <w:numId w:val="56"/>
        </w:numPr>
        <w:rPr>
          <w:szCs w:val="21"/>
        </w:rPr>
      </w:pPr>
      <w:r w:rsidRPr="00D579BE">
        <w:rPr>
          <w:szCs w:val="21"/>
        </w:rPr>
        <w:t>Transporter les déchets et débris de construction ou d’excavation dans des sites d'élimination approuvés par les autorités compétentes ; et</w:t>
      </w:r>
    </w:p>
    <w:p w14:paraId="340F0A4F" w14:textId="77777777" w:rsidR="009021F1" w:rsidRPr="00D579BE" w:rsidRDefault="009021F1" w:rsidP="009021F1">
      <w:pPr>
        <w:pStyle w:val="Paragraphedeliste"/>
        <w:numPr>
          <w:ilvl w:val="0"/>
          <w:numId w:val="56"/>
        </w:numPr>
        <w:rPr>
          <w:szCs w:val="21"/>
        </w:rPr>
      </w:pPr>
      <w:r w:rsidRPr="00D579BE">
        <w:rPr>
          <w:szCs w:val="21"/>
        </w:rPr>
        <w:t>Enlever dès que possible les matériaux d'excavation inutiles des sites de construction.</w:t>
      </w:r>
    </w:p>
    <w:p w14:paraId="400B4F77" w14:textId="77777777" w:rsidR="009021F1" w:rsidRPr="00D579BE" w:rsidRDefault="009021F1" w:rsidP="009021F1">
      <w:pPr>
        <w:rPr>
          <w:b/>
          <w:szCs w:val="21"/>
          <w:lang w:val="x-none" w:eastAsia="x-none"/>
        </w:rPr>
      </w:pPr>
    </w:p>
    <w:p w14:paraId="0CF46F1C" w14:textId="77777777" w:rsidR="009021F1" w:rsidRPr="00D579BE" w:rsidRDefault="009021F1" w:rsidP="009021F1">
      <w:pPr>
        <w:rPr>
          <w:b/>
          <w:szCs w:val="21"/>
          <w:lang w:val="x-none" w:eastAsia="x-none"/>
        </w:rPr>
      </w:pPr>
      <w:r w:rsidRPr="00D579BE">
        <w:rPr>
          <w:b/>
          <w:szCs w:val="21"/>
          <w:lang w:val="x-none" w:eastAsia="x-none"/>
        </w:rPr>
        <w:t>Émanations et Projections</w:t>
      </w:r>
    </w:p>
    <w:p w14:paraId="185747B6" w14:textId="77777777" w:rsidR="009021F1" w:rsidRPr="00D579BE" w:rsidRDefault="009021F1" w:rsidP="009021F1">
      <w:pPr>
        <w:rPr>
          <w:szCs w:val="21"/>
        </w:rPr>
      </w:pPr>
    </w:p>
    <w:p w14:paraId="6766CFFB" w14:textId="77777777" w:rsidR="009021F1" w:rsidRPr="00D579BE" w:rsidRDefault="009021F1" w:rsidP="009021F1">
      <w:pPr>
        <w:rPr>
          <w:szCs w:val="21"/>
        </w:rPr>
      </w:pPr>
      <w:r w:rsidRPr="00D579BE">
        <w:rPr>
          <w:szCs w:val="21"/>
        </w:rPr>
        <w:t>L’Entreprise doit :</w:t>
      </w:r>
    </w:p>
    <w:p w14:paraId="6E45B93B" w14:textId="77777777" w:rsidR="009021F1" w:rsidRPr="00D579BE" w:rsidRDefault="009021F1" w:rsidP="009021F1">
      <w:pPr>
        <w:rPr>
          <w:szCs w:val="21"/>
        </w:rPr>
      </w:pPr>
    </w:p>
    <w:p w14:paraId="03DFFF9A" w14:textId="77777777" w:rsidR="009021F1" w:rsidRPr="00D579BE" w:rsidRDefault="009021F1" w:rsidP="009021F1">
      <w:pPr>
        <w:pStyle w:val="Paragraphedeliste"/>
        <w:numPr>
          <w:ilvl w:val="0"/>
          <w:numId w:val="56"/>
        </w:numPr>
        <w:rPr>
          <w:szCs w:val="21"/>
        </w:rPr>
      </w:pPr>
      <w:r w:rsidRPr="00D579BE">
        <w:rPr>
          <w:szCs w:val="21"/>
        </w:rPr>
        <w:t>Hermétiquement contenir au moyen d’une bâche le sable, le ciment et les autres matériaux fins durant leur transport, afin d'éviter l’envol de poussière ou leur déversement ;</w:t>
      </w:r>
    </w:p>
    <w:p w14:paraId="435D7177" w14:textId="77777777" w:rsidR="009021F1" w:rsidRPr="00D579BE" w:rsidRDefault="009021F1" w:rsidP="009021F1">
      <w:pPr>
        <w:pStyle w:val="Paragraphedeliste"/>
        <w:numPr>
          <w:ilvl w:val="0"/>
          <w:numId w:val="56"/>
        </w:numPr>
        <w:rPr>
          <w:szCs w:val="21"/>
        </w:rPr>
      </w:pPr>
      <w:r w:rsidRPr="00D579BE">
        <w:rPr>
          <w:szCs w:val="21"/>
        </w:rPr>
        <w:t>Prendre des protections spéciales (filets, bâches) contre les risques de projections, émanations et chutes d’objets ;</w:t>
      </w:r>
    </w:p>
    <w:p w14:paraId="72D6B6BF" w14:textId="77777777" w:rsidR="009021F1" w:rsidRPr="00D579BE" w:rsidRDefault="009021F1" w:rsidP="009021F1">
      <w:pPr>
        <w:pStyle w:val="Paragraphedeliste"/>
        <w:numPr>
          <w:ilvl w:val="0"/>
          <w:numId w:val="56"/>
        </w:numPr>
        <w:rPr>
          <w:szCs w:val="21"/>
        </w:rPr>
      </w:pPr>
      <w:r w:rsidRPr="00D579BE">
        <w:rPr>
          <w:szCs w:val="21"/>
        </w:rPr>
        <w:t>Utiliser des méthodes de contrôle des poussières, telles que le recouvrement, l’arrosage, ou l'augmentation de la teneur en humidité des piles de stockage de matériaux à ciel ouvert, ou mettre en place des mesures de contrôle, y compris l'extraction et le traitement de l'air par un dépoussiéreur à sacs filtrants ou un cyclone pour les moyens de manutention des matériaux, telles que les convoyeurs et les bacs ;</w:t>
      </w:r>
    </w:p>
    <w:p w14:paraId="322DB965" w14:textId="77777777" w:rsidR="009021F1" w:rsidRPr="00D579BE" w:rsidRDefault="009021F1" w:rsidP="009021F1">
      <w:pPr>
        <w:pStyle w:val="Paragraphedeliste"/>
        <w:numPr>
          <w:ilvl w:val="0"/>
          <w:numId w:val="56"/>
        </w:numPr>
        <w:rPr>
          <w:szCs w:val="21"/>
        </w:rPr>
      </w:pPr>
      <w:r w:rsidRPr="00D579BE">
        <w:rPr>
          <w:szCs w:val="21"/>
        </w:rPr>
        <w:t>Arroser pour contrôler la poussière sur les routes et pistes empruntées par ses engins de transport pour éviter la poussière, plus particulièrement au niveau des zones habitées.  Les sous-produits du pétrole ne doivent pas être utilisés ;</w:t>
      </w:r>
    </w:p>
    <w:p w14:paraId="1F2E22D9" w14:textId="77777777" w:rsidR="009021F1" w:rsidRPr="00D579BE" w:rsidRDefault="009021F1" w:rsidP="009021F1">
      <w:pPr>
        <w:pStyle w:val="Paragraphedeliste"/>
        <w:numPr>
          <w:ilvl w:val="0"/>
          <w:numId w:val="56"/>
        </w:numPr>
        <w:rPr>
          <w:szCs w:val="21"/>
        </w:rPr>
      </w:pPr>
      <w:r w:rsidRPr="00D579BE">
        <w:rPr>
          <w:szCs w:val="21"/>
        </w:rPr>
        <w:t>Choisir l’emplacement des concasseurs et des équipements similaires en fonction du bruit et de la poussière qu'ils produisent. Le port de lunettes et de masques anti poussières est obligatoire ;</w:t>
      </w:r>
    </w:p>
    <w:p w14:paraId="47FB996D" w14:textId="77777777" w:rsidR="009021F1" w:rsidRPr="00D579BE" w:rsidRDefault="009021F1" w:rsidP="009021F1">
      <w:pPr>
        <w:pStyle w:val="Paragraphedeliste"/>
        <w:numPr>
          <w:ilvl w:val="0"/>
          <w:numId w:val="56"/>
        </w:numPr>
        <w:rPr>
          <w:szCs w:val="21"/>
        </w:rPr>
      </w:pPr>
      <w:r w:rsidRPr="00D579BE">
        <w:rPr>
          <w:szCs w:val="21"/>
        </w:rPr>
        <w:t>Nettoyer régulièrement les surfaces des routes sur les sites de construction pour éliminer les poussières accumulées, et nettoyer régulièrement les véhicules de transport.</w:t>
      </w:r>
    </w:p>
    <w:p w14:paraId="1A39C616" w14:textId="77777777" w:rsidR="009021F1" w:rsidRPr="00D579BE" w:rsidRDefault="009021F1" w:rsidP="009021F1">
      <w:pPr>
        <w:pStyle w:val="Paragraphedeliste"/>
        <w:numPr>
          <w:ilvl w:val="0"/>
          <w:numId w:val="56"/>
        </w:numPr>
        <w:rPr>
          <w:szCs w:val="21"/>
        </w:rPr>
      </w:pPr>
      <w:r w:rsidRPr="00D579BE">
        <w:rPr>
          <w:szCs w:val="21"/>
        </w:rPr>
        <w:t>Utiliser des lave-roues dans les carrières, les usines de préparation de mélanges, les chantiers de construction et autres installations pour empêcher la formation de boue, de poussière et de saleté sur la voie publique ; et</w:t>
      </w:r>
    </w:p>
    <w:p w14:paraId="35710B84" w14:textId="77777777" w:rsidR="009021F1" w:rsidRPr="00D579BE" w:rsidRDefault="009021F1" w:rsidP="009021F1">
      <w:pPr>
        <w:pStyle w:val="Paragraphedeliste"/>
        <w:numPr>
          <w:ilvl w:val="0"/>
          <w:numId w:val="56"/>
        </w:numPr>
        <w:rPr>
          <w:szCs w:val="21"/>
        </w:rPr>
      </w:pPr>
      <w:r w:rsidRPr="00D579BE">
        <w:rPr>
          <w:szCs w:val="21"/>
        </w:rPr>
        <w:t>Minimiser la fumée des moteurs diesel par un entretien régulier et adéquat, notamment en veillant à ce que le moteur, le système d'injection et les filtres à air soient en bon état.</w:t>
      </w:r>
    </w:p>
    <w:p w14:paraId="4CD39268" w14:textId="77777777" w:rsidR="009021F1" w:rsidRPr="00D579BE" w:rsidRDefault="009021F1" w:rsidP="009021F1">
      <w:pPr>
        <w:rPr>
          <w:b/>
          <w:szCs w:val="21"/>
          <w:lang w:val="x-none" w:eastAsia="x-none"/>
        </w:rPr>
      </w:pPr>
    </w:p>
    <w:p w14:paraId="6BA4763F" w14:textId="77777777" w:rsidR="009021F1" w:rsidRPr="00D579BE" w:rsidRDefault="009021F1" w:rsidP="009021F1">
      <w:pPr>
        <w:rPr>
          <w:b/>
          <w:szCs w:val="21"/>
          <w:lang w:val="x-none" w:eastAsia="x-none"/>
        </w:rPr>
      </w:pPr>
      <w:r w:rsidRPr="00D579BE">
        <w:rPr>
          <w:b/>
          <w:szCs w:val="21"/>
          <w:lang w:val="x-none" w:eastAsia="x-none"/>
        </w:rPr>
        <w:t>Produits Dangereux et Toxiques</w:t>
      </w:r>
    </w:p>
    <w:p w14:paraId="1F594041" w14:textId="77777777" w:rsidR="009021F1" w:rsidRPr="00D579BE" w:rsidRDefault="009021F1" w:rsidP="009021F1">
      <w:pPr>
        <w:rPr>
          <w:szCs w:val="21"/>
        </w:rPr>
      </w:pPr>
    </w:p>
    <w:p w14:paraId="3E02D0B6" w14:textId="77777777" w:rsidR="009021F1" w:rsidRPr="00D579BE" w:rsidRDefault="009021F1" w:rsidP="009021F1">
      <w:pPr>
        <w:rPr>
          <w:szCs w:val="21"/>
        </w:rPr>
      </w:pPr>
      <w:r w:rsidRPr="00D579BE">
        <w:rPr>
          <w:szCs w:val="21"/>
        </w:rPr>
        <w:t xml:space="preserve">Les produits et déchets dangereux, toxiques ou nocifs résultant des activités de construction requièrent une attention particulière afin de prévenir leur introduction dans l'environnement naturel, qui pourrait nuire aux personnes ou à l’environnement terrestre et aquatique.  </w:t>
      </w:r>
    </w:p>
    <w:p w14:paraId="0D0D9A75" w14:textId="77777777" w:rsidR="009021F1" w:rsidRPr="00D579BE" w:rsidRDefault="009021F1" w:rsidP="009021F1">
      <w:pPr>
        <w:rPr>
          <w:szCs w:val="21"/>
        </w:rPr>
      </w:pPr>
    </w:p>
    <w:p w14:paraId="5DEB20CA" w14:textId="77777777" w:rsidR="009021F1" w:rsidRPr="00D579BE" w:rsidRDefault="009021F1" w:rsidP="009021F1">
      <w:pPr>
        <w:rPr>
          <w:szCs w:val="21"/>
        </w:rPr>
      </w:pPr>
      <w:r w:rsidRPr="00D579BE">
        <w:rPr>
          <w:szCs w:val="21"/>
        </w:rPr>
        <w:t>L’Entreprise doit :</w:t>
      </w:r>
    </w:p>
    <w:p w14:paraId="2055DE9E" w14:textId="77777777" w:rsidR="009021F1" w:rsidRPr="00D579BE" w:rsidRDefault="009021F1" w:rsidP="009021F1">
      <w:pPr>
        <w:rPr>
          <w:szCs w:val="21"/>
        </w:rPr>
      </w:pPr>
    </w:p>
    <w:p w14:paraId="194A2932" w14:textId="77777777" w:rsidR="009021F1" w:rsidRPr="00D579BE" w:rsidRDefault="009021F1" w:rsidP="009021F1">
      <w:pPr>
        <w:pStyle w:val="Paragraphedeliste"/>
        <w:numPr>
          <w:ilvl w:val="0"/>
          <w:numId w:val="56"/>
        </w:numPr>
        <w:rPr>
          <w:szCs w:val="21"/>
        </w:rPr>
      </w:pPr>
      <w:r w:rsidRPr="00D579BE">
        <w:rPr>
          <w:szCs w:val="21"/>
        </w:rPr>
        <w:t>Transporter les produits pétroliers, les lubrifiants et les autres matières dangereuses de façon sécuritaire, dans des contenants étanches sur lesquels le nom du produit est clairement identifié ;</w:t>
      </w:r>
    </w:p>
    <w:p w14:paraId="4D1B15D1" w14:textId="77777777" w:rsidR="009021F1" w:rsidRPr="00D579BE" w:rsidRDefault="009021F1" w:rsidP="009021F1">
      <w:pPr>
        <w:pStyle w:val="Paragraphedeliste"/>
        <w:numPr>
          <w:ilvl w:val="0"/>
          <w:numId w:val="56"/>
        </w:numPr>
        <w:rPr>
          <w:szCs w:val="21"/>
        </w:rPr>
      </w:pPr>
      <w:r w:rsidRPr="00D579BE">
        <w:rPr>
          <w:szCs w:val="21"/>
        </w:rPr>
        <w:t>La livraison doit être effectuée par des camions citernes conformes à la réglementation en vigueur et les conducteurs doivent être sensibilisés sur les dégâts en cas d’accident ;</w:t>
      </w:r>
    </w:p>
    <w:p w14:paraId="2320C4AD" w14:textId="77777777" w:rsidR="009021F1" w:rsidRPr="00D579BE" w:rsidRDefault="009021F1" w:rsidP="009021F1">
      <w:pPr>
        <w:pStyle w:val="Paragraphedeliste"/>
        <w:numPr>
          <w:ilvl w:val="0"/>
          <w:numId w:val="56"/>
        </w:numPr>
        <w:rPr>
          <w:szCs w:val="21"/>
        </w:rPr>
      </w:pPr>
      <w:r w:rsidRPr="00D579BE">
        <w:rPr>
          <w:szCs w:val="21"/>
        </w:rPr>
        <w:t>Étiqueter tous les récipients susceptibles de contenir des substances dangereuses en raison de leurs propriétés chimiques ou toxicologiques, ou de la température ou de la pression, en fonction de leur contenu et du danger qu'ils présentent, ou selon un code de couleur approprié ;</w:t>
      </w:r>
    </w:p>
    <w:p w14:paraId="3B25DAD8" w14:textId="77777777" w:rsidR="009021F1" w:rsidRPr="00D579BE" w:rsidRDefault="009021F1" w:rsidP="009021F1">
      <w:pPr>
        <w:pStyle w:val="Paragraphedeliste"/>
        <w:numPr>
          <w:ilvl w:val="0"/>
          <w:numId w:val="56"/>
        </w:numPr>
        <w:rPr>
          <w:szCs w:val="21"/>
        </w:rPr>
      </w:pPr>
      <w:r w:rsidRPr="00D579BE">
        <w:rPr>
          <w:szCs w:val="21"/>
        </w:rPr>
        <w:t>Installer les entrepôts de combustible, de lubrifiants et de produits pétroliers à une distance d’au moins 200 m des plans et cours d’eau.  Les lieux d'entreposage doivent être localisés à l’extérieur de toute zone inondable et d’habitation, et être bien identifiés afin d’éviter des collisions entre les véhicules de chantier et les réservoirs de produits pétroliers ;</w:t>
      </w:r>
    </w:p>
    <w:p w14:paraId="36495A93" w14:textId="77777777" w:rsidR="009021F1" w:rsidRPr="00D579BE" w:rsidRDefault="009021F1" w:rsidP="009021F1">
      <w:pPr>
        <w:pStyle w:val="Paragraphedeliste"/>
        <w:numPr>
          <w:ilvl w:val="0"/>
          <w:numId w:val="56"/>
        </w:numPr>
        <w:rPr>
          <w:szCs w:val="21"/>
        </w:rPr>
      </w:pPr>
      <w:r w:rsidRPr="00D579BE">
        <w:rPr>
          <w:szCs w:val="21"/>
        </w:rPr>
        <w:t>Faire effectuer les opérations de transbordement vers les citernes de stockage par un personnel qualifié.  Les citernes de stockage doivent être étanches et posées sur des surfaces protégées disposant d'un système de protection contre des épanchements intempestifs de produit ;</w:t>
      </w:r>
    </w:p>
    <w:p w14:paraId="37248588" w14:textId="77777777" w:rsidR="009021F1" w:rsidRPr="00D579BE" w:rsidRDefault="009021F1" w:rsidP="009021F1">
      <w:pPr>
        <w:pStyle w:val="Paragraphedeliste"/>
        <w:numPr>
          <w:ilvl w:val="0"/>
          <w:numId w:val="56"/>
        </w:numPr>
        <w:rPr>
          <w:szCs w:val="21"/>
        </w:rPr>
      </w:pPr>
      <w:r w:rsidRPr="00D579BE">
        <w:rPr>
          <w:szCs w:val="21"/>
        </w:rPr>
        <w:t>Utiliser des surfaces imperméables pour les zones de ravitaillement en carburant et autres zones de transfert de fluides ;</w:t>
      </w:r>
    </w:p>
    <w:p w14:paraId="0F237ADD" w14:textId="77777777" w:rsidR="009021F1" w:rsidRPr="00D579BE" w:rsidRDefault="009021F1" w:rsidP="009021F1">
      <w:pPr>
        <w:pStyle w:val="Paragraphedeliste"/>
        <w:numPr>
          <w:ilvl w:val="0"/>
          <w:numId w:val="56"/>
        </w:numPr>
        <w:rPr>
          <w:szCs w:val="21"/>
        </w:rPr>
      </w:pPr>
      <w:r w:rsidRPr="00D579BE">
        <w:rPr>
          <w:szCs w:val="21"/>
        </w:rPr>
        <w:t>Protéger les réservoirs de produits pétroliers et les équipements de remplissage par une cuvette pour la rétention du contenu en cas de déversement accidentel.  Tous les réservoirs doivent être fermés quand ils ne sont pas utilisés ;</w:t>
      </w:r>
    </w:p>
    <w:p w14:paraId="5F2D3C90" w14:textId="77777777" w:rsidR="009021F1" w:rsidRPr="00D579BE" w:rsidRDefault="009021F1" w:rsidP="009021F1">
      <w:pPr>
        <w:pStyle w:val="Paragraphedeliste"/>
        <w:numPr>
          <w:ilvl w:val="0"/>
          <w:numId w:val="56"/>
        </w:numPr>
        <w:rPr>
          <w:szCs w:val="21"/>
        </w:rPr>
      </w:pPr>
      <w:r w:rsidRPr="00D579BE">
        <w:rPr>
          <w:szCs w:val="21"/>
        </w:rPr>
        <w:t>Prévoir un confinement secondaire adéquat pour les réservoirs de stockage de carburant et pour le stockage temporaire d'autres fluides tels que les huiles de lubrification et les fluides hydrauliques ;</w:t>
      </w:r>
    </w:p>
    <w:p w14:paraId="657936B4" w14:textId="77777777" w:rsidR="009021F1" w:rsidRPr="00D579BE" w:rsidRDefault="009021F1" w:rsidP="009021F1">
      <w:pPr>
        <w:pStyle w:val="Paragraphedeliste"/>
        <w:numPr>
          <w:ilvl w:val="0"/>
          <w:numId w:val="56"/>
        </w:numPr>
        <w:rPr>
          <w:szCs w:val="21"/>
        </w:rPr>
      </w:pPr>
      <w:r w:rsidRPr="00D579BE">
        <w:rPr>
          <w:szCs w:val="21"/>
        </w:rPr>
        <w:t>Éviter de stocker ou de manipuler des liquides toxiques à proximité des installations de drainage ou de les évacuer vers celles-ci ;</w:t>
      </w:r>
    </w:p>
    <w:p w14:paraId="763481C9" w14:textId="77777777" w:rsidR="009021F1" w:rsidRPr="00D579BE" w:rsidRDefault="009021F1" w:rsidP="009021F1">
      <w:pPr>
        <w:pStyle w:val="Paragraphedeliste"/>
        <w:numPr>
          <w:ilvl w:val="0"/>
          <w:numId w:val="56"/>
        </w:numPr>
        <w:rPr>
          <w:szCs w:val="21"/>
        </w:rPr>
      </w:pPr>
      <w:r w:rsidRPr="00D579BE">
        <w:rPr>
          <w:szCs w:val="21"/>
        </w:rPr>
        <w:t>Préparer un plan d’urgence en cas de déversement accidentel de contaminants et le soumettre au Maître d’Ouvrage délégué avant le début des travaux ; et</w:t>
      </w:r>
    </w:p>
    <w:p w14:paraId="5763F986" w14:textId="77777777" w:rsidR="009021F1" w:rsidRPr="00D579BE" w:rsidRDefault="009021F1" w:rsidP="009021F1">
      <w:pPr>
        <w:pStyle w:val="Paragraphedeliste"/>
        <w:numPr>
          <w:ilvl w:val="0"/>
          <w:numId w:val="56"/>
        </w:numPr>
        <w:rPr>
          <w:szCs w:val="21"/>
        </w:rPr>
      </w:pPr>
      <w:r w:rsidRPr="00D579BE">
        <w:rPr>
          <w:szCs w:val="21"/>
        </w:rPr>
        <w:t>Former les ouvriers sur le transfert et la manipulation corrects des carburants et des produits chimiques, et sur la réponse à apporter en cas de déversement.  Les mesures de lutte et de contrôle contre les déversements de produits contaminants doivent être clairement définies et les ouvriers doivent les connaître et pouvoir les mettre en œuvre en cas d’accident ;</w:t>
      </w:r>
    </w:p>
    <w:p w14:paraId="31686D1C" w14:textId="77777777" w:rsidR="009021F1" w:rsidRPr="00D579BE" w:rsidRDefault="009021F1" w:rsidP="009021F1">
      <w:pPr>
        <w:pStyle w:val="Paragraphedeliste"/>
        <w:numPr>
          <w:ilvl w:val="0"/>
          <w:numId w:val="56"/>
        </w:numPr>
        <w:rPr>
          <w:szCs w:val="21"/>
        </w:rPr>
      </w:pPr>
      <w:r w:rsidRPr="00D579BE">
        <w:rPr>
          <w:szCs w:val="21"/>
        </w:rPr>
        <w:t>Garder des matériaux ou composés absorbants et d’isolants (e.g., coussins, feuilles, boudins) sur le site en quantités suffisantes correspondant à l'ampleur des déversements potentiels, ainsi que des récipients étanches bien identifiés, destinés à recevoir les résidus pétroliers et les déchets ;</w:t>
      </w:r>
    </w:p>
    <w:p w14:paraId="0E2EA670" w14:textId="77777777" w:rsidR="009021F1" w:rsidRPr="00D579BE" w:rsidRDefault="009021F1" w:rsidP="009021F1">
      <w:pPr>
        <w:pStyle w:val="Paragraphedeliste"/>
        <w:numPr>
          <w:ilvl w:val="0"/>
          <w:numId w:val="56"/>
        </w:numPr>
        <w:rPr>
          <w:szCs w:val="21"/>
        </w:rPr>
      </w:pPr>
      <w:r w:rsidRPr="00D579BE">
        <w:rPr>
          <w:szCs w:val="21"/>
        </w:rPr>
        <w:t>Mettre en place sur le chantier et les installations des équipements portables de confinement et de nettoyage des déversements (e.g., pelles, pompes, machinerie, contenants, gants, isolants), les équipements de communication (radio émetteur et téléphone), ainsi que le matériel requis pour signaler le déversement ;</w:t>
      </w:r>
    </w:p>
    <w:p w14:paraId="2EB3D34E" w14:textId="77777777" w:rsidR="009021F1" w:rsidRPr="00D579BE" w:rsidRDefault="009021F1" w:rsidP="009021F1">
      <w:pPr>
        <w:pStyle w:val="Paragraphedeliste"/>
        <w:numPr>
          <w:ilvl w:val="0"/>
          <w:numId w:val="56"/>
        </w:numPr>
        <w:rPr>
          <w:szCs w:val="21"/>
        </w:rPr>
      </w:pPr>
      <w:r w:rsidRPr="00D579BE">
        <w:rPr>
          <w:szCs w:val="21"/>
        </w:rPr>
        <w:t>Verser les produits toxiques, tels que des liquides, des produits chimiques, du carburant, et des lubrifiants, dans des conteneurs en vue de leur récupération ou de leur transport ultérieur hors site ;</w:t>
      </w:r>
    </w:p>
    <w:p w14:paraId="43BE2F27" w14:textId="77777777" w:rsidR="009021F1" w:rsidRPr="00D579BE" w:rsidRDefault="009021F1" w:rsidP="009021F1">
      <w:pPr>
        <w:pStyle w:val="Paragraphedeliste"/>
        <w:numPr>
          <w:ilvl w:val="0"/>
          <w:numId w:val="56"/>
        </w:numPr>
        <w:rPr>
          <w:szCs w:val="21"/>
        </w:rPr>
      </w:pPr>
      <w:r w:rsidRPr="00D579BE">
        <w:rPr>
          <w:szCs w:val="21"/>
        </w:rPr>
        <w:t>Nettoyer les aires de travail ou de stockage où des produits pétroliers ou autres contaminants ont été manipulés.</w:t>
      </w:r>
    </w:p>
    <w:p w14:paraId="7223C082" w14:textId="77777777" w:rsidR="009021F1" w:rsidRPr="00D579BE" w:rsidRDefault="009021F1" w:rsidP="009021F1">
      <w:pPr>
        <w:rPr>
          <w:szCs w:val="21"/>
        </w:rPr>
      </w:pPr>
    </w:p>
    <w:p w14:paraId="609D3728" w14:textId="77777777" w:rsidR="009021F1" w:rsidRPr="00D579BE" w:rsidRDefault="009021F1" w:rsidP="009021F1">
      <w:pPr>
        <w:rPr>
          <w:b/>
          <w:szCs w:val="21"/>
          <w:lang w:val="x-none" w:eastAsia="x-none"/>
        </w:rPr>
      </w:pPr>
      <w:r w:rsidRPr="00D579BE">
        <w:rPr>
          <w:b/>
          <w:szCs w:val="21"/>
          <w:lang w:val="x-none" w:eastAsia="x-none"/>
        </w:rPr>
        <w:t>Entretien des engins et équipements de chantiers</w:t>
      </w:r>
    </w:p>
    <w:p w14:paraId="0A59E428" w14:textId="77777777" w:rsidR="009021F1" w:rsidRPr="00D579BE" w:rsidRDefault="009021F1" w:rsidP="009021F1">
      <w:pPr>
        <w:rPr>
          <w:szCs w:val="21"/>
        </w:rPr>
      </w:pPr>
    </w:p>
    <w:p w14:paraId="35929837" w14:textId="77777777" w:rsidR="009021F1" w:rsidRPr="00D579BE" w:rsidRDefault="009021F1" w:rsidP="009021F1">
      <w:pPr>
        <w:rPr>
          <w:szCs w:val="21"/>
        </w:rPr>
      </w:pPr>
      <w:r w:rsidRPr="00D579BE">
        <w:rPr>
          <w:szCs w:val="21"/>
        </w:rPr>
        <w:t>L'Entreprise doit :</w:t>
      </w:r>
    </w:p>
    <w:p w14:paraId="53E64CF9" w14:textId="77777777" w:rsidR="009021F1" w:rsidRPr="00D579BE" w:rsidRDefault="009021F1" w:rsidP="009021F1">
      <w:pPr>
        <w:rPr>
          <w:szCs w:val="21"/>
        </w:rPr>
      </w:pPr>
    </w:p>
    <w:p w14:paraId="4523C1E0" w14:textId="77777777" w:rsidR="009021F1" w:rsidRPr="00D579BE" w:rsidRDefault="009021F1" w:rsidP="009021F1">
      <w:pPr>
        <w:pStyle w:val="Paragraphedeliste"/>
        <w:numPr>
          <w:ilvl w:val="0"/>
          <w:numId w:val="56"/>
        </w:numPr>
        <w:rPr>
          <w:szCs w:val="21"/>
        </w:rPr>
      </w:pPr>
      <w:r w:rsidRPr="00D579BE">
        <w:rPr>
          <w:szCs w:val="21"/>
        </w:rPr>
        <w:t>Respecter les normes d’entretien des engins de chantiers et des véhicules et effectuer le ravitaillement en carburant et lubrifiant dans un lieu désigné à cet effet.</w:t>
      </w:r>
    </w:p>
    <w:p w14:paraId="07D18AEA" w14:textId="77777777" w:rsidR="009021F1" w:rsidRPr="00D579BE" w:rsidRDefault="009021F1" w:rsidP="009021F1">
      <w:pPr>
        <w:pStyle w:val="Paragraphedeliste"/>
        <w:numPr>
          <w:ilvl w:val="0"/>
          <w:numId w:val="56"/>
        </w:numPr>
        <w:rPr>
          <w:szCs w:val="21"/>
        </w:rPr>
      </w:pPr>
      <w:r w:rsidRPr="00D579BE">
        <w:rPr>
          <w:szCs w:val="21"/>
        </w:rPr>
        <w:t>Recueillir, traiter ou recycler tous les résidus pétroliers, les huiles usagées et les déchets produits lors des activités d'entretien ou de réparation de la machinerie.  Il est interdit de les rejeter dans l'environnement ou sur le site du chantier.</w:t>
      </w:r>
    </w:p>
    <w:p w14:paraId="0CCAF300" w14:textId="77777777" w:rsidR="009021F1" w:rsidRPr="00D579BE" w:rsidRDefault="009021F1" w:rsidP="009021F1">
      <w:pPr>
        <w:pStyle w:val="Paragraphedeliste"/>
        <w:numPr>
          <w:ilvl w:val="0"/>
          <w:numId w:val="56"/>
        </w:numPr>
        <w:rPr>
          <w:szCs w:val="21"/>
        </w:rPr>
      </w:pPr>
      <w:r w:rsidRPr="00D579BE">
        <w:rPr>
          <w:szCs w:val="21"/>
        </w:rPr>
        <w:t>S’assurer que les aires de lavage et d'entretien d'engins soient bétonnées et pourvues d'un ouvrage de récupération des huiles et graisses, avec une pente orientée de manière à éviter l'écoulement des produits polluants vers les sols non revêtus. Les bétonnières et les équipements servant au transport et à la pose du béton doivent être lavés dans des aires prévues à cet effet.</w:t>
      </w:r>
    </w:p>
    <w:p w14:paraId="60D8FF1F" w14:textId="77777777" w:rsidR="009021F1" w:rsidRPr="00D579BE" w:rsidRDefault="009021F1" w:rsidP="009021F1">
      <w:pPr>
        <w:pStyle w:val="Paragraphedeliste"/>
        <w:numPr>
          <w:ilvl w:val="0"/>
          <w:numId w:val="56"/>
        </w:numPr>
        <w:rPr>
          <w:szCs w:val="21"/>
        </w:rPr>
      </w:pPr>
      <w:r w:rsidRPr="00D579BE">
        <w:rPr>
          <w:szCs w:val="21"/>
        </w:rPr>
        <w:t xml:space="preserve">Effectuer les vidanges dans des fûts étanches et conserver les huiles usagées pour les remettre au fournisseur (recyclage) ou aux populations locales pour d’autres usages.  Les pièces de rechange usagées doivent être envoyées à la décharge publique. </w:t>
      </w:r>
    </w:p>
    <w:p w14:paraId="7FC023F8" w14:textId="77777777" w:rsidR="009021F1" w:rsidRPr="00D579BE" w:rsidRDefault="009021F1" w:rsidP="009021F1">
      <w:pPr>
        <w:rPr>
          <w:szCs w:val="21"/>
        </w:rPr>
      </w:pPr>
    </w:p>
    <w:p w14:paraId="0930EDE3" w14:textId="77777777" w:rsidR="009021F1" w:rsidRPr="00D579BE" w:rsidRDefault="009021F1" w:rsidP="009021F1">
      <w:pPr>
        <w:rPr>
          <w:b/>
          <w:szCs w:val="21"/>
          <w:lang w:val="x-none" w:eastAsia="x-none"/>
        </w:rPr>
      </w:pPr>
      <w:r w:rsidRPr="00D579BE">
        <w:rPr>
          <w:b/>
          <w:szCs w:val="21"/>
          <w:lang w:val="x-none" w:eastAsia="x-none"/>
        </w:rPr>
        <w:t>Gestion des déchets liquides</w:t>
      </w:r>
    </w:p>
    <w:p w14:paraId="3522DCA1" w14:textId="77777777" w:rsidR="009021F1" w:rsidRPr="00D579BE" w:rsidRDefault="009021F1" w:rsidP="009021F1">
      <w:pPr>
        <w:rPr>
          <w:szCs w:val="21"/>
        </w:rPr>
      </w:pPr>
    </w:p>
    <w:p w14:paraId="1576EB0D" w14:textId="77777777" w:rsidR="009021F1" w:rsidRPr="00D579BE" w:rsidRDefault="009021F1" w:rsidP="009021F1">
      <w:pPr>
        <w:rPr>
          <w:szCs w:val="21"/>
        </w:rPr>
      </w:pPr>
      <w:r w:rsidRPr="00D579BE">
        <w:rPr>
          <w:szCs w:val="21"/>
        </w:rPr>
        <w:t>L’entreprise doit :</w:t>
      </w:r>
    </w:p>
    <w:p w14:paraId="0E240E0B" w14:textId="77777777" w:rsidR="009021F1" w:rsidRPr="00D579BE" w:rsidRDefault="009021F1" w:rsidP="009021F1">
      <w:pPr>
        <w:rPr>
          <w:szCs w:val="21"/>
        </w:rPr>
      </w:pPr>
    </w:p>
    <w:p w14:paraId="183B77F1" w14:textId="77777777" w:rsidR="009021F1" w:rsidRPr="00D579BE" w:rsidRDefault="009021F1" w:rsidP="009021F1">
      <w:pPr>
        <w:pStyle w:val="Paragraphedeliste"/>
        <w:numPr>
          <w:ilvl w:val="0"/>
          <w:numId w:val="56"/>
        </w:numPr>
        <w:rPr>
          <w:szCs w:val="21"/>
        </w:rPr>
      </w:pPr>
      <w:r w:rsidRPr="00D579BE">
        <w:rPr>
          <w:szCs w:val="21"/>
        </w:rPr>
        <w:t>Pouvoir les bureaux et les logements d'installations sanitaires en nombre suffisant (latrines, fosses septiques, lavabos et douches), en accord avec le Maître d’Ouvrage délégué, et en conformité avec les règlements sanitaires applicables ;</w:t>
      </w:r>
    </w:p>
    <w:p w14:paraId="3C751804" w14:textId="77777777" w:rsidR="009021F1" w:rsidRPr="00D579BE" w:rsidRDefault="009021F1" w:rsidP="009021F1">
      <w:pPr>
        <w:pStyle w:val="Paragraphedeliste"/>
        <w:numPr>
          <w:ilvl w:val="0"/>
          <w:numId w:val="56"/>
        </w:numPr>
        <w:rPr>
          <w:szCs w:val="21"/>
        </w:rPr>
      </w:pPr>
      <w:r w:rsidRPr="00D579BE">
        <w:rPr>
          <w:szCs w:val="21"/>
        </w:rPr>
        <w:t>Assurer un traitement primaire adéquat des effluents d'assainissement par la mise en place un système d’assainissement autonome approprié, par exemple une fosse étanche ou septique ; et</w:t>
      </w:r>
    </w:p>
    <w:p w14:paraId="73272585" w14:textId="77777777" w:rsidR="009021F1" w:rsidRPr="00D579BE" w:rsidRDefault="009021F1" w:rsidP="009021F1">
      <w:pPr>
        <w:pStyle w:val="Paragraphedeliste"/>
        <w:numPr>
          <w:ilvl w:val="0"/>
          <w:numId w:val="56"/>
        </w:numPr>
        <w:rPr>
          <w:szCs w:val="21"/>
        </w:rPr>
      </w:pPr>
      <w:r w:rsidRPr="00D579BE">
        <w:rPr>
          <w:szCs w:val="21"/>
        </w:rPr>
        <w:t>Éviter tout déversement ou rejet d’eaux usées, d’eaux de vidange des fosses, de boues, hydrocarbures, et polluants de toute natures, dans les eaux superficielles ou souterraines, les égouts, ou les fossés de drainage.</w:t>
      </w:r>
    </w:p>
    <w:p w14:paraId="3FD757E0" w14:textId="77777777" w:rsidR="009021F1" w:rsidRPr="00D579BE" w:rsidRDefault="009021F1" w:rsidP="009021F1">
      <w:pPr>
        <w:rPr>
          <w:szCs w:val="21"/>
        </w:rPr>
      </w:pPr>
    </w:p>
    <w:p w14:paraId="43531041" w14:textId="77777777" w:rsidR="009021F1" w:rsidRPr="00D579BE" w:rsidRDefault="009021F1" w:rsidP="009021F1">
      <w:pPr>
        <w:rPr>
          <w:b/>
          <w:szCs w:val="21"/>
          <w:lang w:val="x-none" w:eastAsia="x-none"/>
        </w:rPr>
      </w:pPr>
      <w:r w:rsidRPr="00D579BE">
        <w:rPr>
          <w:b/>
          <w:szCs w:val="21"/>
          <w:lang w:val="x-none" w:eastAsia="x-none"/>
        </w:rPr>
        <w:t>Gestion des déchets solides</w:t>
      </w:r>
    </w:p>
    <w:p w14:paraId="64A36C52" w14:textId="77777777" w:rsidR="009021F1" w:rsidRPr="00D579BE" w:rsidRDefault="009021F1" w:rsidP="009021F1">
      <w:pPr>
        <w:rPr>
          <w:b/>
          <w:szCs w:val="21"/>
          <w:lang w:val="x-none" w:eastAsia="x-none"/>
        </w:rPr>
      </w:pPr>
    </w:p>
    <w:p w14:paraId="6C7F7667" w14:textId="77777777" w:rsidR="009021F1" w:rsidRPr="00D579BE" w:rsidRDefault="009021F1" w:rsidP="009021F1">
      <w:pPr>
        <w:rPr>
          <w:szCs w:val="21"/>
        </w:rPr>
      </w:pPr>
      <w:r w:rsidRPr="00D579BE">
        <w:rPr>
          <w:szCs w:val="21"/>
        </w:rPr>
        <w:t>L’Entreprise doit :</w:t>
      </w:r>
    </w:p>
    <w:p w14:paraId="70EE4DD8" w14:textId="77777777" w:rsidR="009021F1" w:rsidRPr="00D579BE" w:rsidRDefault="009021F1" w:rsidP="009021F1">
      <w:pPr>
        <w:rPr>
          <w:szCs w:val="21"/>
        </w:rPr>
      </w:pPr>
    </w:p>
    <w:p w14:paraId="012D3E33" w14:textId="77777777" w:rsidR="009021F1" w:rsidRPr="00D579BE" w:rsidRDefault="009021F1" w:rsidP="009021F1">
      <w:pPr>
        <w:pStyle w:val="Paragraphedeliste"/>
        <w:numPr>
          <w:ilvl w:val="0"/>
          <w:numId w:val="56"/>
        </w:numPr>
        <w:rPr>
          <w:szCs w:val="21"/>
        </w:rPr>
      </w:pPr>
      <w:r w:rsidRPr="00D579BE">
        <w:rPr>
          <w:szCs w:val="21"/>
        </w:rPr>
        <w:t>Déposer les ordures ménagères dans des poubelles étanches qui seront vidées périodiquement ;</w:t>
      </w:r>
    </w:p>
    <w:p w14:paraId="3FB7DF34" w14:textId="77777777" w:rsidR="009021F1" w:rsidRPr="00D579BE" w:rsidRDefault="009021F1" w:rsidP="009021F1">
      <w:pPr>
        <w:pStyle w:val="Paragraphedeliste"/>
        <w:numPr>
          <w:ilvl w:val="0"/>
          <w:numId w:val="56"/>
        </w:numPr>
        <w:rPr>
          <w:szCs w:val="21"/>
        </w:rPr>
      </w:pPr>
      <w:r w:rsidRPr="00D579BE">
        <w:rPr>
          <w:szCs w:val="21"/>
        </w:rPr>
        <w:t>Utiliser des bennes étanches en cas d’évacuation par les camions du chantier, de façon à ne pas laisser échapper de déchets ;</w:t>
      </w:r>
    </w:p>
    <w:p w14:paraId="0BFA9BF8" w14:textId="77777777" w:rsidR="009021F1" w:rsidRPr="00D579BE" w:rsidRDefault="009021F1" w:rsidP="009021F1">
      <w:pPr>
        <w:pStyle w:val="Paragraphedeliste"/>
        <w:numPr>
          <w:ilvl w:val="0"/>
          <w:numId w:val="56"/>
        </w:numPr>
        <w:rPr>
          <w:szCs w:val="21"/>
        </w:rPr>
      </w:pPr>
      <w:r w:rsidRPr="00D579BE">
        <w:rPr>
          <w:szCs w:val="21"/>
        </w:rPr>
        <w:t>De préférence, collecter les ordures quotidiennement pour ne pas attirer les vecteurs, surtout durant les périodes de chaleur ;</w:t>
      </w:r>
    </w:p>
    <w:p w14:paraId="283E4260" w14:textId="77777777" w:rsidR="009021F1" w:rsidRPr="00D579BE" w:rsidRDefault="009021F1" w:rsidP="009021F1">
      <w:pPr>
        <w:pStyle w:val="Paragraphedeliste"/>
        <w:numPr>
          <w:ilvl w:val="0"/>
          <w:numId w:val="56"/>
        </w:numPr>
        <w:rPr>
          <w:szCs w:val="21"/>
        </w:rPr>
      </w:pPr>
      <w:r w:rsidRPr="00D579BE">
        <w:rPr>
          <w:szCs w:val="21"/>
        </w:rPr>
        <w:t>Éliminer ou recycler les déchets de manière écologiquement rationnelle ;</w:t>
      </w:r>
    </w:p>
    <w:p w14:paraId="77852913" w14:textId="77777777" w:rsidR="009021F1" w:rsidRPr="00D579BE" w:rsidRDefault="009021F1" w:rsidP="009021F1">
      <w:pPr>
        <w:pStyle w:val="Paragraphedeliste"/>
        <w:numPr>
          <w:ilvl w:val="0"/>
          <w:numId w:val="56"/>
        </w:numPr>
        <w:rPr>
          <w:szCs w:val="21"/>
        </w:rPr>
      </w:pPr>
      <w:r w:rsidRPr="00D579BE">
        <w:rPr>
          <w:szCs w:val="21"/>
        </w:rPr>
        <w:t>Localiser les décharges pour l'élimination des déchets solides à au moins 100 m des cours d'eau, et les clôturer afin d’empêcher l’accès par les populations locales ; et</w:t>
      </w:r>
    </w:p>
    <w:p w14:paraId="4A85B3B0" w14:textId="77777777" w:rsidR="009021F1" w:rsidRPr="00D579BE" w:rsidRDefault="009021F1" w:rsidP="009021F1">
      <w:pPr>
        <w:pStyle w:val="Paragraphedeliste"/>
        <w:numPr>
          <w:ilvl w:val="0"/>
          <w:numId w:val="56"/>
        </w:numPr>
        <w:rPr>
          <w:szCs w:val="21"/>
        </w:rPr>
      </w:pPr>
      <w:r w:rsidRPr="00D579BE">
        <w:rPr>
          <w:szCs w:val="21"/>
        </w:rPr>
        <w:t>Si possible, acheminer les déchets, vers les lieux d’élimination autorisés existants.</w:t>
      </w:r>
    </w:p>
    <w:p w14:paraId="064B5576" w14:textId="77777777" w:rsidR="009021F1" w:rsidRPr="00D579BE" w:rsidRDefault="009021F1" w:rsidP="009021F1">
      <w:pPr>
        <w:rPr>
          <w:b/>
          <w:szCs w:val="21"/>
          <w:lang w:val="x-none" w:eastAsia="x-none"/>
        </w:rPr>
      </w:pPr>
    </w:p>
    <w:p w14:paraId="131A4046" w14:textId="77777777" w:rsidR="009021F1" w:rsidRPr="00D579BE" w:rsidRDefault="009021F1" w:rsidP="009021F1">
      <w:pPr>
        <w:rPr>
          <w:b/>
          <w:szCs w:val="21"/>
          <w:lang w:val="x-none" w:eastAsia="x-none"/>
        </w:rPr>
      </w:pPr>
      <w:r w:rsidRPr="00D579BE">
        <w:rPr>
          <w:b/>
          <w:szCs w:val="21"/>
          <w:lang w:val="x-none" w:eastAsia="x-none"/>
        </w:rPr>
        <w:t>Étiquetage des Équipements</w:t>
      </w:r>
    </w:p>
    <w:p w14:paraId="71207DF1" w14:textId="77777777" w:rsidR="009021F1" w:rsidRPr="00D579BE" w:rsidRDefault="009021F1" w:rsidP="009021F1">
      <w:pPr>
        <w:rPr>
          <w:b/>
          <w:szCs w:val="21"/>
          <w:lang w:val="x-none" w:eastAsia="x-none"/>
        </w:rPr>
      </w:pPr>
    </w:p>
    <w:p w14:paraId="068C6F74" w14:textId="77777777" w:rsidR="009021F1" w:rsidRPr="00D579BE" w:rsidRDefault="009021F1" w:rsidP="009021F1">
      <w:pPr>
        <w:rPr>
          <w:szCs w:val="21"/>
        </w:rPr>
      </w:pPr>
      <w:r w:rsidRPr="00D579BE">
        <w:rPr>
          <w:szCs w:val="21"/>
        </w:rPr>
        <w:t>Tous les récipients susceptibles de contenir des substances dangereuses en raison de leurs propriétés chimiques ou toxicologiques, ou de la température ou de la pression, doivent être étiquetés en fonction de leur contenu et du danger qu'ils présentent, ou porter un code de couleur approprié.</w:t>
      </w:r>
    </w:p>
    <w:p w14:paraId="549C7401" w14:textId="77777777" w:rsidR="009021F1" w:rsidRPr="00D579BE" w:rsidRDefault="009021F1" w:rsidP="009021F1">
      <w:pPr>
        <w:rPr>
          <w:b/>
          <w:szCs w:val="21"/>
          <w:lang w:val="x-none" w:eastAsia="x-none"/>
        </w:rPr>
      </w:pPr>
    </w:p>
    <w:p w14:paraId="111B336A" w14:textId="77777777" w:rsidR="009021F1" w:rsidRDefault="009021F1" w:rsidP="009021F1">
      <w:pPr>
        <w:rPr>
          <w:b/>
          <w:szCs w:val="21"/>
          <w:lang w:val="x-none" w:eastAsia="x-none"/>
        </w:rPr>
      </w:pPr>
    </w:p>
    <w:p w14:paraId="5B90364F" w14:textId="77777777" w:rsidR="009021F1" w:rsidRDefault="009021F1" w:rsidP="009021F1">
      <w:pPr>
        <w:rPr>
          <w:b/>
          <w:szCs w:val="21"/>
          <w:lang w:val="x-none" w:eastAsia="x-none"/>
        </w:rPr>
      </w:pPr>
    </w:p>
    <w:p w14:paraId="46805582" w14:textId="77777777" w:rsidR="009021F1" w:rsidRPr="00D579BE" w:rsidRDefault="009021F1" w:rsidP="009021F1">
      <w:pPr>
        <w:rPr>
          <w:b/>
          <w:szCs w:val="21"/>
          <w:lang w:val="x-none" w:eastAsia="x-none"/>
        </w:rPr>
      </w:pPr>
      <w:r w:rsidRPr="00D579BE">
        <w:rPr>
          <w:b/>
          <w:szCs w:val="21"/>
          <w:lang w:val="x-none" w:eastAsia="x-none"/>
        </w:rPr>
        <w:t>Bancs d’Emprunt et Carrières</w:t>
      </w:r>
    </w:p>
    <w:p w14:paraId="445D29C7" w14:textId="77777777" w:rsidR="009021F1" w:rsidRPr="00D579BE" w:rsidRDefault="009021F1" w:rsidP="009021F1">
      <w:pPr>
        <w:rPr>
          <w:b/>
          <w:szCs w:val="21"/>
          <w:lang w:val="x-none" w:eastAsia="x-none"/>
        </w:rPr>
      </w:pPr>
    </w:p>
    <w:p w14:paraId="4518910F" w14:textId="77777777" w:rsidR="009021F1" w:rsidRPr="00D579BE" w:rsidRDefault="009021F1" w:rsidP="009021F1">
      <w:pPr>
        <w:pStyle w:val="Paragraphedeliste"/>
        <w:numPr>
          <w:ilvl w:val="0"/>
          <w:numId w:val="56"/>
        </w:numPr>
        <w:rPr>
          <w:szCs w:val="21"/>
        </w:rPr>
      </w:pPr>
      <w:r w:rsidRPr="00D579BE">
        <w:rPr>
          <w:szCs w:val="21"/>
        </w:rPr>
        <w:t>Les matériaux nécessaires au remblayage qui ne sont pas disponibles sur place seront obtenus à partir de zones d'emprunt et de carrières que l’Entreprise identifiera, sous réserve de l'approbation du Maître d’Ouvrage délégué.</w:t>
      </w:r>
    </w:p>
    <w:p w14:paraId="5A81B727" w14:textId="77777777" w:rsidR="009021F1" w:rsidRPr="00D579BE" w:rsidRDefault="009021F1" w:rsidP="009021F1">
      <w:pPr>
        <w:pStyle w:val="Paragraphedeliste"/>
        <w:numPr>
          <w:ilvl w:val="0"/>
          <w:numId w:val="56"/>
        </w:numPr>
        <w:rPr>
          <w:szCs w:val="21"/>
        </w:rPr>
      </w:pPr>
      <w:r w:rsidRPr="00D579BE">
        <w:rPr>
          <w:szCs w:val="21"/>
        </w:rPr>
        <w:t>L’Entreprise doit :</w:t>
      </w:r>
    </w:p>
    <w:p w14:paraId="3D5C30AE" w14:textId="77777777" w:rsidR="009021F1" w:rsidRPr="00D579BE" w:rsidRDefault="009021F1" w:rsidP="009021F1">
      <w:pPr>
        <w:pStyle w:val="Paragraphedeliste"/>
        <w:numPr>
          <w:ilvl w:val="0"/>
          <w:numId w:val="56"/>
        </w:numPr>
        <w:rPr>
          <w:szCs w:val="21"/>
        </w:rPr>
      </w:pPr>
      <w:r w:rsidRPr="00D579BE">
        <w:rPr>
          <w:szCs w:val="21"/>
        </w:rPr>
        <w:t>Obtenir tous les permis et autorisations nécessaires pour ouvrir et exploiter des bancs d'emprunt et des carrières (temporaires et permanents), en conformité à la législation nationale en la matière.</w:t>
      </w:r>
    </w:p>
    <w:p w14:paraId="14C45110" w14:textId="77777777" w:rsidR="009021F1" w:rsidRPr="00D579BE" w:rsidRDefault="009021F1" w:rsidP="009021F1">
      <w:pPr>
        <w:pStyle w:val="Paragraphedeliste"/>
        <w:numPr>
          <w:ilvl w:val="0"/>
          <w:numId w:val="56"/>
        </w:numPr>
        <w:rPr>
          <w:szCs w:val="21"/>
        </w:rPr>
      </w:pPr>
      <w:r w:rsidRPr="00D579BE">
        <w:rPr>
          <w:szCs w:val="21"/>
        </w:rPr>
        <w:t>Utiliser, dans la mesure du possible, un site existant.</w:t>
      </w:r>
    </w:p>
    <w:p w14:paraId="4A66A216" w14:textId="77777777" w:rsidR="009021F1" w:rsidRPr="00D579BE" w:rsidRDefault="009021F1" w:rsidP="009021F1">
      <w:pPr>
        <w:pStyle w:val="Paragraphedeliste"/>
        <w:numPr>
          <w:ilvl w:val="0"/>
          <w:numId w:val="56"/>
        </w:numPr>
        <w:rPr>
          <w:szCs w:val="21"/>
        </w:rPr>
      </w:pPr>
      <w:r w:rsidRPr="00D579BE">
        <w:rPr>
          <w:szCs w:val="21"/>
        </w:rPr>
        <w:t>Situer les carrières aussi loin que possible des agglomérations.  L'exploitation des carrières produira du bruit et de la poussière qui auront un impact sur les communautés voisines, même si des contrôles sont imposés.</w:t>
      </w:r>
    </w:p>
    <w:p w14:paraId="5E650693" w14:textId="77777777" w:rsidR="009021F1" w:rsidRPr="00D579BE" w:rsidRDefault="009021F1" w:rsidP="009021F1">
      <w:pPr>
        <w:pStyle w:val="Paragraphedeliste"/>
        <w:numPr>
          <w:ilvl w:val="0"/>
          <w:numId w:val="56"/>
        </w:numPr>
        <w:rPr>
          <w:szCs w:val="21"/>
        </w:rPr>
      </w:pPr>
      <w:r w:rsidRPr="00D579BE">
        <w:rPr>
          <w:szCs w:val="21"/>
        </w:rPr>
        <w:t>Clôturer et sécuriser les sites de carrières.  Les parois abruptes des carrières constituent un danger pour les personnes et le bétail.</w:t>
      </w:r>
    </w:p>
    <w:p w14:paraId="64BA1469" w14:textId="77777777" w:rsidR="009021F1" w:rsidRPr="00D579BE" w:rsidRDefault="009021F1" w:rsidP="009021F1">
      <w:pPr>
        <w:pStyle w:val="Paragraphedeliste"/>
        <w:numPr>
          <w:ilvl w:val="0"/>
          <w:numId w:val="56"/>
        </w:numPr>
        <w:rPr>
          <w:szCs w:val="21"/>
        </w:rPr>
      </w:pPr>
      <w:r w:rsidRPr="00D579BE">
        <w:rPr>
          <w:szCs w:val="21"/>
        </w:rPr>
        <w:t>Localiser les bancs d'emprunt et les carrières à au moins 100 m des cours d'eau ou des habitations humaines.</w:t>
      </w:r>
    </w:p>
    <w:p w14:paraId="51ADE645" w14:textId="77777777" w:rsidR="009021F1" w:rsidRPr="00D579BE" w:rsidRDefault="009021F1" w:rsidP="009021F1">
      <w:pPr>
        <w:pStyle w:val="Paragraphedeliste"/>
        <w:numPr>
          <w:ilvl w:val="0"/>
          <w:numId w:val="56"/>
        </w:numPr>
        <w:rPr>
          <w:szCs w:val="21"/>
        </w:rPr>
      </w:pPr>
      <w:r w:rsidRPr="00D579BE">
        <w:rPr>
          <w:szCs w:val="21"/>
        </w:rPr>
        <w:t>Effectuer une inspection/enquête préalable à tout dynamitage, en consultation avec les résidents/propriétaires, avant d'exploiter une carrière, pour documenter l'état existant des bâtiments et identifier toute structure, élément de bâtiment ou contenu sensible.  Les conditions du site et les informations de l'inspection doivent être utilisées pour concevoir l'opération de dynamitage afin d'éviter tout impact sur la propriété.</w:t>
      </w:r>
    </w:p>
    <w:p w14:paraId="1767D503" w14:textId="77777777" w:rsidR="009021F1" w:rsidRPr="00D579BE" w:rsidRDefault="009021F1" w:rsidP="009021F1">
      <w:pPr>
        <w:pStyle w:val="Paragraphedeliste"/>
        <w:numPr>
          <w:ilvl w:val="0"/>
          <w:numId w:val="56"/>
        </w:numPr>
        <w:rPr>
          <w:szCs w:val="21"/>
        </w:rPr>
      </w:pPr>
      <w:r w:rsidRPr="00D579BE">
        <w:rPr>
          <w:szCs w:val="21"/>
        </w:rPr>
        <w:t>Localiser, dans la mesure du possible, les bancs d'emprunt sur des terres qui ne sont pas utilisées pour la culture et qui ne sont pas boisées.</w:t>
      </w:r>
    </w:p>
    <w:p w14:paraId="056395CE" w14:textId="77777777" w:rsidR="009021F1" w:rsidRPr="00D579BE" w:rsidRDefault="009021F1" w:rsidP="009021F1">
      <w:pPr>
        <w:pStyle w:val="Paragraphedeliste"/>
        <w:numPr>
          <w:ilvl w:val="0"/>
          <w:numId w:val="56"/>
        </w:numPr>
        <w:rPr>
          <w:szCs w:val="21"/>
        </w:rPr>
      </w:pPr>
      <w:r w:rsidRPr="00D579BE">
        <w:rPr>
          <w:szCs w:val="21"/>
        </w:rPr>
        <w:t>Éviter les zones présentant un intérêt historique ou culturel local et éviter de creuser à moins de 25 m des tombes.</w:t>
      </w:r>
    </w:p>
    <w:p w14:paraId="5876BEC6" w14:textId="77777777" w:rsidR="009021F1" w:rsidRPr="00D579BE" w:rsidRDefault="009021F1" w:rsidP="009021F1">
      <w:pPr>
        <w:pStyle w:val="Paragraphedeliste"/>
        <w:numPr>
          <w:ilvl w:val="0"/>
          <w:numId w:val="56"/>
        </w:numPr>
        <w:rPr>
          <w:szCs w:val="21"/>
        </w:rPr>
      </w:pPr>
      <w:r w:rsidRPr="00D579BE">
        <w:rPr>
          <w:szCs w:val="21"/>
        </w:rPr>
        <w:t>Cacher, dans la mesure du possible, les bancs d’emprunt de la route, et concevoir les carrières et les bancs d'emprunt de manière à minimiser les impacts visibles sur le paysage.</w:t>
      </w:r>
    </w:p>
    <w:p w14:paraId="5E81A1F2" w14:textId="77777777" w:rsidR="009021F1" w:rsidRPr="00D579BE" w:rsidRDefault="009021F1" w:rsidP="009021F1">
      <w:pPr>
        <w:rPr>
          <w:szCs w:val="21"/>
        </w:rPr>
      </w:pPr>
    </w:p>
    <w:p w14:paraId="2E2EAFF6" w14:textId="77777777" w:rsidR="009021F1" w:rsidRPr="00D579BE" w:rsidRDefault="009021F1" w:rsidP="009021F1">
      <w:pPr>
        <w:rPr>
          <w:b/>
          <w:szCs w:val="21"/>
          <w:lang w:val="x-none" w:eastAsia="x-none"/>
        </w:rPr>
      </w:pPr>
      <w:r w:rsidRPr="00D579BE">
        <w:rPr>
          <w:b/>
          <w:szCs w:val="21"/>
          <w:lang w:val="x-none" w:eastAsia="x-none"/>
        </w:rPr>
        <w:t>Fermeture des chantier et installations</w:t>
      </w:r>
    </w:p>
    <w:p w14:paraId="50212B2F" w14:textId="77777777" w:rsidR="009021F1" w:rsidRPr="00D579BE" w:rsidRDefault="009021F1" w:rsidP="009021F1">
      <w:pPr>
        <w:rPr>
          <w:b/>
          <w:szCs w:val="21"/>
          <w:lang w:val="x-none" w:eastAsia="x-none"/>
        </w:rPr>
      </w:pPr>
    </w:p>
    <w:p w14:paraId="23829A78" w14:textId="77777777" w:rsidR="009021F1" w:rsidRPr="00D579BE" w:rsidRDefault="009021F1" w:rsidP="009021F1">
      <w:pPr>
        <w:rPr>
          <w:szCs w:val="21"/>
        </w:rPr>
      </w:pPr>
      <w:r w:rsidRPr="00D579BE">
        <w:rPr>
          <w:szCs w:val="21"/>
        </w:rPr>
        <w:t>L’entreprise doit à la fin des travaux :</w:t>
      </w:r>
    </w:p>
    <w:p w14:paraId="646CB2C0" w14:textId="77777777" w:rsidR="009021F1" w:rsidRPr="00D579BE" w:rsidRDefault="009021F1" w:rsidP="009021F1">
      <w:pPr>
        <w:rPr>
          <w:szCs w:val="21"/>
        </w:rPr>
      </w:pPr>
    </w:p>
    <w:p w14:paraId="391262B1" w14:textId="77777777" w:rsidR="009021F1" w:rsidRPr="00D579BE" w:rsidRDefault="009021F1" w:rsidP="009021F1">
      <w:pPr>
        <w:pStyle w:val="Paragraphedeliste"/>
        <w:numPr>
          <w:ilvl w:val="0"/>
          <w:numId w:val="56"/>
        </w:numPr>
        <w:rPr>
          <w:szCs w:val="21"/>
        </w:rPr>
      </w:pPr>
      <w:r w:rsidRPr="00D579BE">
        <w:rPr>
          <w:szCs w:val="21"/>
        </w:rPr>
        <w:t>Laisser les sites qu’elle a occupé ou utilisé dans un état propre à leur affectation immédiate et faire constater cet état par le Maître d’Ouvrage délégué avant d’être libéré de ses engagements et de sa responsabilité concernant leur usage. En cas de défaillance de l'Entreprise, le Maître d’Ouvrage délégué peut faire effectuer ces travaux par une entreprise de son choix aux frais du défaillant ;</w:t>
      </w:r>
    </w:p>
    <w:p w14:paraId="1160EC35" w14:textId="77777777" w:rsidR="009021F1" w:rsidRPr="00D579BE" w:rsidRDefault="009021F1" w:rsidP="009021F1">
      <w:pPr>
        <w:pStyle w:val="Paragraphedeliste"/>
        <w:numPr>
          <w:ilvl w:val="0"/>
          <w:numId w:val="56"/>
        </w:numPr>
        <w:rPr>
          <w:szCs w:val="21"/>
        </w:rPr>
      </w:pPr>
      <w:r w:rsidRPr="00D579BE">
        <w:rPr>
          <w:szCs w:val="21"/>
        </w:rPr>
        <w:t>Remettre les installations permanentes qui ont été endommagées dans un état équivalent à ce qu’elles étaient avant le début des travaux ;</w:t>
      </w:r>
    </w:p>
    <w:p w14:paraId="4E5260CE" w14:textId="77777777" w:rsidR="009021F1" w:rsidRPr="00D579BE" w:rsidRDefault="009021F1" w:rsidP="009021F1">
      <w:pPr>
        <w:pStyle w:val="Paragraphedeliste"/>
        <w:numPr>
          <w:ilvl w:val="0"/>
          <w:numId w:val="56"/>
        </w:numPr>
        <w:rPr>
          <w:szCs w:val="21"/>
        </w:rPr>
      </w:pPr>
      <w:r w:rsidRPr="00D579BE">
        <w:rPr>
          <w:szCs w:val="21"/>
        </w:rPr>
        <w:t>Débarrasser les chantiers et les installations des bâtiments temporaires, des clôtures ou autre obstacle à la circulation, de tout équipement, déchets solides ou liquides, et matériaux excédentaires, et les éliminer ou recycler d’une manière appropriée, tel qu’indiqué par les autorités compétentes ;</w:t>
      </w:r>
    </w:p>
    <w:p w14:paraId="4958977A" w14:textId="77777777" w:rsidR="009021F1" w:rsidRPr="00D579BE" w:rsidRDefault="009021F1" w:rsidP="009021F1">
      <w:pPr>
        <w:pStyle w:val="Paragraphedeliste"/>
        <w:numPr>
          <w:ilvl w:val="0"/>
          <w:numId w:val="56"/>
        </w:numPr>
        <w:rPr>
          <w:szCs w:val="21"/>
        </w:rPr>
      </w:pPr>
      <w:r w:rsidRPr="00D579BE">
        <w:rPr>
          <w:szCs w:val="21"/>
        </w:rPr>
        <w:t>Enlever les revêtements de béton, les pavés et les dalles, les transporter aux sites de rejet autorisés, et recouvrir les sites recouverts de terre ;</w:t>
      </w:r>
    </w:p>
    <w:p w14:paraId="66B7F896" w14:textId="77777777" w:rsidR="009021F1" w:rsidRPr="00D579BE" w:rsidRDefault="009021F1" w:rsidP="009021F1">
      <w:pPr>
        <w:pStyle w:val="Paragraphedeliste"/>
        <w:numPr>
          <w:ilvl w:val="0"/>
          <w:numId w:val="56"/>
        </w:numPr>
        <w:rPr>
          <w:szCs w:val="21"/>
        </w:rPr>
      </w:pPr>
      <w:r w:rsidRPr="00D579BE">
        <w:rPr>
          <w:szCs w:val="21"/>
        </w:rPr>
        <w:t>Décontaminer les sols souillés (les parties contaminées doivent être décaissées et remblayées par du sable) et nettoyer et détruire les fosses de vidange ;</w:t>
      </w:r>
    </w:p>
    <w:p w14:paraId="3AC88775" w14:textId="77777777" w:rsidR="009021F1" w:rsidRPr="00D579BE" w:rsidRDefault="009021F1" w:rsidP="009021F1">
      <w:pPr>
        <w:pStyle w:val="Paragraphedeliste"/>
        <w:numPr>
          <w:ilvl w:val="0"/>
          <w:numId w:val="56"/>
        </w:numPr>
        <w:rPr>
          <w:szCs w:val="21"/>
        </w:rPr>
      </w:pPr>
      <w:r w:rsidRPr="00D579BE">
        <w:rPr>
          <w:szCs w:val="21"/>
        </w:rPr>
        <w:t>S’assurer que les sites sont exempts de toute contamination ;</w:t>
      </w:r>
    </w:p>
    <w:p w14:paraId="3A015BBC" w14:textId="77777777" w:rsidR="009021F1" w:rsidRPr="00D579BE" w:rsidRDefault="009021F1" w:rsidP="009021F1">
      <w:pPr>
        <w:pStyle w:val="Paragraphedeliste"/>
        <w:numPr>
          <w:ilvl w:val="0"/>
          <w:numId w:val="56"/>
        </w:numPr>
        <w:rPr>
          <w:szCs w:val="21"/>
        </w:rPr>
      </w:pPr>
      <w:r w:rsidRPr="00D579BE">
        <w:rPr>
          <w:szCs w:val="21"/>
        </w:rPr>
        <w:t>Rectifier les défauts de drainage et régaler toutes les zones excavées ;</w:t>
      </w:r>
    </w:p>
    <w:p w14:paraId="61291908" w14:textId="77777777" w:rsidR="009021F1" w:rsidRPr="00D579BE" w:rsidRDefault="009021F1" w:rsidP="009021F1">
      <w:pPr>
        <w:pStyle w:val="Paragraphedeliste"/>
        <w:numPr>
          <w:ilvl w:val="0"/>
          <w:numId w:val="56"/>
        </w:numPr>
        <w:rPr>
          <w:szCs w:val="21"/>
        </w:rPr>
      </w:pPr>
      <w:r w:rsidRPr="00D579BE">
        <w:rPr>
          <w:szCs w:val="21"/>
        </w:rPr>
        <w:t>Scarifier le sol partout où il a été compacté (aires de travail, voies de circulation, etc.) sur au moins 15 cm de profondeur pour faciliter la régénération de la végétation ;</w:t>
      </w:r>
    </w:p>
    <w:p w14:paraId="00B22AAA" w14:textId="77777777" w:rsidR="009021F1" w:rsidRPr="00D579BE" w:rsidRDefault="009021F1" w:rsidP="009021F1">
      <w:pPr>
        <w:pStyle w:val="Paragraphedeliste"/>
        <w:numPr>
          <w:ilvl w:val="0"/>
          <w:numId w:val="56"/>
        </w:numPr>
        <w:rPr>
          <w:szCs w:val="21"/>
        </w:rPr>
      </w:pPr>
      <w:r w:rsidRPr="00D579BE">
        <w:rPr>
          <w:szCs w:val="21"/>
        </w:rPr>
        <w:t>Reboiser les zones initialement déboisées avec des espèces appropriées, en rapport avec les services forestiers locaux ;</w:t>
      </w:r>
    </w:p>
    <w:p w14:paraId="4E1B7EAB" w14:textId="77777777" w:rsidR="009021F1" w:rsidRPr="00D579BE" w:rsidRDefault="009021F1" w:rsidP="009021F1">
      <w:pPr>
        <w:pStyle w:val="Paragraphedeliste"/>
        <w:numPr>
          <w:ilvl w:val="0"/>
          <w:numId w:val="56"/>
        </w:numPr>
        <w:rPr>
          <w:szCs w:val="21"/>
        </w:rPr>
      </w:pPr>
      <w:r w:rsidRPr="00D579BE">
        <w:rPr>
          <w:szCs w:val="21"/>
        </w:rPr>
        <w:t>Protéger les ouvrages restés dangereux (puits, tranchées ouvertes, dénivelés, etc.)</w:t>
      </w:r>
    </w:p>
    <w:p w14:paraId="0FD747D5" w14:textId="77777777" w:rsidR="009021F1" w:rsidRPr="00D579BE" w:rsidRDefault="009021F1" w:rsidP="009021F1">
      <w:pPr>
        <w:pStyle w:val="Paragraphedeliste"/>
        <w:numPr>
          <w:ilvl w:val="0"/>
          <w:numId w:val="56"/>
        </w:numPr>
        <w:rPr>
          <w:szCs w:val="21"/>
        </w:rPr>
      </w:pPr>
      <w:r w:rsidRPr="00D579BE">
        <w:rPr>
          <w:szCs w:val="21"/>
        </w:rPr>
        <w:t>Rendre fonctionnel les chaussées, trottoirs, caniveaux, rampes et autres ouvrages rendus au service public ;</w:t>
      </w:r>
    </w:p>
    <w:p w14:paraId="50EB6FEC" w14:textId="77777777" w:rsidR="009021F1" w:rsidRPr="00D579BE" w:rsidRDefault="009021F1" w:rsidP="009021F1">
      <w:pPr>
        <w:pStyle w:val="Paragraphedeliste"/>
        <w:numPr>
          <w:ilvl w:val="0"/>
          <w:numId w:val="56"/>
        </w:numPr>
        <w:rPr>
          <w:szCs w:val="21"/>
        </w:rPr>
      </w:pPr>
      <w:r w:rsidRPr="00D579BE">
        <w:rPr>
          <w:szCs w:val="21"/>
        </w:rPr>
        <w:t>Remettre les sites aux propriétaires initiaux, en tenant compte de leurs souhaits et de la législation nationale ;</w:t>
      </w:r>
    </w:p>
    <w:p w14:paraId="73319DC1" w14:textId="77777777" w:rsidR="009021F1" w:rsidRPr="00D579BE" w:rsidRDefault="009021F1" w:rsidP="009021F1">
      <w:pPr>
        <w:pStyle w:val="Paragraphedeliste"/>
        <w:numPr>
          <w:ilvl w:val="0"/>
          <w:numId w:val="56"/>
        </w:numPr>
        <w:rPr>
          <w:szCs w:val="21"/>
        </w:rPr>
      </w:pPr>
      <w:r w:rsidRPr="00D579BE">
        <w:rPr>
          <w:szCs w:val="21"/>
        </w:rPr>
        <w:t>Céder les installations fixes sans dédommagement s'il est de l'intérêt du Maître d’Ouvrage ou des collectivités locales de les récupérer pour une utilisation future ; et</w:t>
      </w:r>
    </w:p>
    <w:p w14:paraId="517DD9F7" w14:textId="77777777" w:rsidR="009021F1" w:rsidRPr="00D579BE" w:rsidRDefault="009021F1" w:rsidP="009021F1">
      <w:pPr>
        <w:pStyle w:val="Paragraphedeliste"/>
        <w:numPr>
          <w:ilvl w:val="0"/>
          <w:numId w:val="56"/>
        </w:numPr>
        <w:rPr>
          <w:szCs w:val="21"/>
        </w:rPr>
      </w:pPr>
      <w:r w:rsidRPr="00D579BE">
        <w:rPr>
          <w:szCs w:val="21"/>
        </w:rPr>
        <w:t>Remettre les voies d’accès à leur état initial</w:t>
      </w:r>
    </w:p>
    <w:p w14:paraId="641FC573" w14:textId="77777777" w:rsidR="009021F1" w:rsidRPr="00D579BE" w:rsidRDefault="009021F1" w:rsidP="009021F1">
      <w:pPr>
        <w:rPr>
          <w:b/>
          <w:szCs w:val="21"/>
          <w:lang w:val="x-none" w:eastAsia="x-none"/>
        </w:rPr>
      </w:pPr>
    </w:p>
    <w:p w14:paraId="31E6BC1F" w14:textId="77777777" w:rsidR="009021F1" w:rsidRPr="00D579BE" w:rsidRDefault="009021F1" w:rsidP="009021F1">
      <w:pPr>
        <w:rPr>
          <w:b/>
          <w:szCs w:val="21"/>
          <w:lang w:val="x-none" w:eastAsia="x-none"/>
        </w:rPr>
      </w:pPr>
      <w:r w:rsidRPr="00D579BE">
        <w:rPr>
          <w:b/>
          <w:szCs w:val="21"/>
          <w:lang w:val="x-none" w:eastAsia="x-none"/>
        </w:rPr>
        <w:t>Fermeture des Carrières</w:t>
      </w:r>
    </w:p>
    <w:p w14:paraId="7BCBC7F3" w14:textId="77777777" w:rsidR="009021F1" w:rsidRPr="00D579BE" w:rsidRDefault="009021F1" w:rsidP="009021F1">
      <w:pPr>
        <w:rPr>
          <w:b/>
          <w:szCs w:val="21"/>
          <w:lang w:val="x-none" w:eastAsia="x-none"/>
        </w:rPr>
      </w:pPr>
    </w:p>
    <w:p w14:paraId="53C2BB8C" w14:textId="77777777" w:rsidR="009021F1" w:rsidRPr="00D579BE" w:rsidRDefault="009021F1" w:rsidP="009021F1">
      <w:pPr>
        <w:rPr>
          <w:szCs w:val="21"/>
        </w:rPr>
      </w:pPr>
      <w:r w:rsidRPr="00D579BE">
        <w:rPr>
          <w:szCs w:val="21"/>
        </w:rPr>
        <w:t>L’Entreprise doit :</w:t>
      </w:r>
    </w:p>
    <w:p w14:paraId="70A1D6E1" w14:textId="77777777" w:rsidR="009021F1" w:rsidRPr="00D579BE" w:rsidRDefault="009021F1" w:rsidP="009021F1">
      <w:pPr>
        <w:rPr>
          <w:szCs w:val="21"/>
        </w:rPr>
      </w:pPr>
    </w:p>
    <w:p w14:paraId="0BBD5A98" w14:textId="77777777" w:rsidR="009021F1" w:rsidRPr="00D579BE" w:rsidRDefault="009021F1" w:rsidP="009021F1">
      <w:pPr>
        <w:pStyle w:val="Paragraphedeliste"/>
        <w:numPr>
          <w:ilvl w:val="0"/>
          <w:numId w:val="56"/>
        </w:numPr>
        <w:rPr>
          <w:szCs w:val="21"/>
        </w:rPr>
      </w:pPr>
      <w:r w:rsidRPr="00D579BE">
        <w:rPr>
          <w:szCs w:val="21"/>
        </w:rPr>
        <w:t>Remettre en état le site d’emprunt et/ou la carrière temporaire à la fin des travaux, selon un plan de restauration approuvé par le Maître d’Ouvrage délégué et les autorités compétentes, y compris :</w:t>
      </w:r>
    </w:p>
    <w:p w14:paraId="7A493F93" w14:textId="77777777" w:rsidR="009021F1" w:rsidRPr="00D579BE" w:rsidRDefault="009021F1" w:rsidP="009021F1">
      <w:pPr>
        <w:pStyle w:val="Paragraphedeliste"/>
        <w:numPr>
          <w:ilvl w:val="0"/>
          <w:numId w:val="56"/>
        </w:numPr>
        <w:rPr>
          <w:szCs w:val="21"/>
        </w:rPr>
      </w:pPr>
      <w:r w:rsidRPr="00D579BE">
        <w:rPr>
          <w:szCs w:val="21"/>
        </w:rPr>
        <w:t>Régaler le terrain et restaurer son couvert végétal (arbres, arbustes, pelouse, ou culture)</w:t>
      </w:r>
    </w:p>
    <w:p w14:paraId="6718D9BE" w14:textId="77777777" w:rsidR="009021F1" w:rsidRPr="00D579BE" w:rsidRDefault="009021F1" w:rsidP="009021F1">
      <w:pPr>
        <w:pStyle w:val="Paragraphedeliste"/>
        <w:numPr>
          <w:ilvl w:val="0"/>
          <w:numId w:val="56"/>
        </w:numPr>
        <w:rPr>
          <w:szCs w:val="21"/>
        </w:rPr>
      </w:pPr>
      <w:r w:rsidRPr="00D579BE">
        <w:rPr>
          <w:szCs w:val="21"/>
        </w:rPr>
        <w:t>Rétablir les écoulements naturels antérieurs</w:t>
      </w:r>
    </w:p>
    <w:p w14:paraId="3F664B3B" w14:textId="77777777" w:rsidR="009021F1" w:rsidRPr="00D579BE" w:rsidRDefault="009021F1" w:rsidP="009021F1">
      <w:pPr>
        <w:pStyle w:val="Paragraphedeliste"/>
        <w:numPr>
          <w:ilvl w:val="0"/>
          <w:numId w:val="56"/>
        </w:numPr>
        <w:rPr>
          <w:szCs w:val="21"/>
        </w:rPr>
      </w:pPr>
      <w:r w:rsidRPr="00D579BE">
        <w:rPr>
          <w:szCs w:val="21"/>
        </w:rPr>
        <w:t>Répartir et dissimuler les gros blocs rocheux</w:t>
      </w:r>
    </w:p>
    <w:p w14:paraId="5260DDEA" w14:textId="77777777" w:rsidR="009021F1" w:rsidRPr="00D579BE" w:rsidRDefault="009021F1" w:rsidP="009021F1">
      <w:pPr>
        <w:pStyle w:val="Paragraphedeliste"/>
        <w:numPr>
          <w:ilvl w:val="0"/>
          <w:numId w:val="56"/>
        </w:numPr>
        <w:rPr>
          <w:szCs w:val="21"/>
        </w:rPr>
      </w:pPr>
      <w:r w:rsidRPr="00D579BE">
        <w:rPr>
          <w:szCs w:val="21"/>
        </w:rPr>
        <w:t>Aménager des fossés de garde afin d’éviter l’érosion des terres régalées</w:t>
      </w:r>
    </w:p>
    <w:p w14:paraId="692E3EC9" w14:textId="77777777" w:rsidR="009021F1" w:rsidRPr="00D579BE" w:rsidRDefault="009021F1" w:rsidP="009021F1">
      <w:pPr>
        <w:pStyle w:val="Paragraphedeliste"/>
        <w:numPr>
          <w:ilvl w:val="0"/>
          <w:numId w:val="56"/>
        </w:numPr>
        <w:rPr>
          <w:szCs w:val="21"/>
        </w:rPr>
      </w:pPr>
      <w:r w:rsidRPr="00D579BE">
        <w:rPr>
          <w:szCs w:val="21"/>
        </w:rPr>
        <w:t xml:space="preserve">Aménager des fossés de récupération des eaux de ruissellement.   </w:t>
      </w:r>
    </w:p>
    <w:p w14:paraId="2E2B8AA0" w14:textId="77777777" w:rsidR="009021F1" w:rsidRPr="00D579BE" w:rsidRDefault="009021F1" w:rsidP="009021F1">
      <w:pPr>
        <w:pStyle w:val="Paragraphedeliste"/>
        <w:numPr>
          <w:ilvl w:val="0"/>
          <w:numId w:val="56"/>
        </w:numPr>
        <w:rPr>
          <w:szCs w:val="21"/>
        </w:rPr>
      </w:pPr>
      <w:r w:rsidRPr="00D579BE">
        <w:rPr>
          <w:szCs w:val="21"/>
        </w:rPr>
        <w:t>Aménager des plans d’eau (bassins, mares) pour les communautés locales qui en exprime le souhait, et au besoin conserver la rampe d’accès, si la carrière est déclarée utilisable pour le bétail ou les riverains</w:t>
      </w:r>
    </w:p>
    <w:p w14:paraId="5771DB4A" w14:textId="77777777" w:rsidR="009021F1" w:rsidRPr="00D579BE" w:rsidRDefault="009021F1" w:rsidP="009021F1">
      <w:pPr>
        <w:rPr>
          <w:b/>
          <w:bCs/>
          <w:color w:val="000000"/>
          <w:szCs w:val="21"/>
        </w:rPr>
      </w:pPr>
    </w:p>
    <w:p w14:paraId="45F68471" w14:textId="77777777" w:rsidR="009021F1" w:rsidRPr="00D579BE" w:rsidRDefault="009021F1" w:rsidP="009021F1">
      <w:pPr>
        <w:rPr>
          <w:b/>
          <w:bCs/>
          <w:color w:val="000000"/>
          <w:szCs w:val="21"/>
        </w:rPr>
      </w:pPr>
      <w:r w:rsidRPr="00D579BE">
        <w:rPr>
          <w:b/>
          <w:bCs/>
          <w:color w:val="000000"/>
          <w:szCs w:val="21"/>
        </w:rPr>
        <w:t>Gestion de la Sécurité au Travail (SST)</w:t>
      </w:r>
    </w:p>
    <w:p w14:paraId="1D43C5BC" w14:textId="77777777" w:rsidR="009021F1" w:rsidRPr="00D579BE" w:rsidRDefault="009021F1" w:rsidP="009021F1">
      <w:pPr>
        <w:rPr>
          <w:b/>
          <w:bCs/>
          <w:color w:val="000000"/>
          <w:szCs w:val="21"/>
        </w:rPr>
      </w:pPr>
    </w:p>
    <w:p w14:paraId="4C05793D" w14:textId="77777777" w:rsidR="009021F1" w:rsidRPr="00D579BE" w:rsidRDefault="009021F1" w:rsidP="009021F1">
      <w:pPr>
        <w:rPr>
          <w:b/>
          <w:szCs w:val="21"/>
          <w:lang w:val="x-none" w:eastAsia="x-none"/>
        </w:rPr>
      </w:pPr>
      <w:r w:rsidRPr="00D579BE">
        <w:rPr>
          <w:b/>
          <w:szCs w:val="21"/>
          <w:lang w:val="x-none" w:eastAsia="x-none"/>
        </w:rPr>
        <w:t>Intempéries</w:t>
      </w:r>
    </w:p>
    <w:p w14:paraId="0908FEFE" w14:textId="77777777" w:rsidR="009021F1" w:rsidRPr="00D579BE" w:rsidRDefault="009021F1" w:rsidP="009021F1">
      <w:pPr>
        <w:rPr>
          <w:b/>
          <w:szCs w:val="21"/>
          <w:lang w:val="x-none" w:eastAsia="x-none"/>
        </w:rPr>
      </w:pPr>
    </w:p>
    <w:p w14:paraId="392B03FB" w14:textId="77777777" w:rsidR="009021F1" w:rsidRPr="00D579BE" w:rsidRDefault="009021F1" w:rsidP="009021F1">
      <w:pPr>
        <w:rPr>
          <w:szCs w:val="21"/>
        </w:rPr>
      </w:pPr>
      <w:r w:rsidRPr="00D579BE">
        <w:rPr>
          <w:szCs w:val="21"/>
        </w:rPr>
        <w:t>L’Entreprise doit :</w:t>
      </w:r>
    </w:p>
    <w:p w14:paraId="42448661" w14:textId="77777777" w:rsidR="009021F1" w:rsidRPr="00D579BE" w:rsidRDefault="009021F1" w:rsidP="009021F1">
      <w:pPr>
        <w:rPr>
          <w:szCs w:val="21"/>
        </w:rPr>
      </w:pPr>
    </w:p>
    <w:p w14:paraId="59E41B0B" w14:textId="77777777" w:rsidR="009021F1" w:rsidRPr="00D579BE" w:rsidRDefault="009021F1" w:rsidP="009021F1">
      <w:pPr>
        <w:pStyle w:val="Paragraphedeliste"/>
        <w:numPr>
          <w:ilvl w:val="0"/>
          <w:numId w:val="56"/>
        </w:numPr>
        <w:rPr>
          <w:szCs w:val="21"/>
        </w:rPr>
      </w:pPr>
      <w:r w:rsidRPr="00D579BE">
        <w:rPr>
          <w:szCs w:val="21"/>
        </w:rPr>
        <w:t>Désigner et construire les structures des lieux de travail pour résister aux intempéries et inclure une zone désignée comme refuge sûr, le cas échéant.</w:t>
      </w:r>
    </w:p>
    <w:p w14:paraId="1EEE4CBD" w14:textId="77777777" w:rsidR="009021F1" w:rsidRPr="00D579BE" w:rsidRDefault="009021F1" w:rsidP="009021F1">
      <w:pPr>
        <w:pStyle w:val="Paragraphedeliste"/>
        <w:numPr>
          <w:ilvl w:val="0"/>
          <w:numId w:val="56"/>
        </w:numPr>
        <w:rPr>
          <w:szCs w:val="21"/>
        </w:rPr>
      </w:pPr>
      <w:r w:rsidRPr="00D579BE">
        <w:rPr>
          <w:szCs w:val="21"/>
        </w:rPr>
        <w:t>Élaborer des procédures opérationnelles standard (POS) pour la fermeture du site, y compris un plan d'évacuation.</w:t>
      </w:r>
    </w:p>
    <w:p w14:paraId="3702BD09" w14:textId="77777777" w:rsidR="009021F1" w:rsidRPr="00D579BE" w:rsidRDefault="009021F1" w:rsidP="009021F1">
      <w:pPr>
        <w:rPr>
          <w:b/>
          <w:szCs w:val="21"/>
          <w:lang w:val="x-none" w:eastAsia="x-none"/>
        </w:rPr>
      </w:pPr>
    </w:p>
    <w:p w14:paraId="7F1ADBF5" w14:textId="77777777" w:rsidR="009021F1" w:rsidRPr="00D579BE" w:rsidRDefault="009021F1" w:rsidP="009021F1">
      <w:pPr>
        <w:rPr>
          <w:b/>
          <w:szCs w:val="21"/>
          <w:lang w:val="x-none" w:eastAsia="x-none"/>
        </w:rPr>
      </w:pPr>
      <w:r w:rsidRPr="00D579BE">
        <w:rPr>
          <w:b/>
          <w:szCs w:val="21"/>
          <w:lang w:val="x-none" w:eastAsia="x-none"/>
        </w:rPr>
        <w:t>Toilettes et douches</w:t>
      </w:r>
    </w:p>
    <w:p w14:paraId="4475301A" w14:textId="77777777" w:rsidR="009021F1" w:rsidRPr="00D579BE" w:rsidRDefault="009021F1" w:rsidP="009021F1">
      <w:pPr>
        <w:rPr>
          <w:b/>
          <w:szCs w:val="21"/>
          <w:lang w:val="x-none" w:eastAsia="x-none"/>
        </w:rPr>
      </w:pPr>
    </w:p>
    <w:p w14:paraId="5EC33713" w14:textId="77777777" w:rsidR="009021F1" w:rsidRPr="00D579BE" w:rsidRDefault="009021F1" w:rsidP="009021F1">
      <w:pPr>
        <w:rPr>
          <w:szCs w:val="21"/>
        </w:rPr>
      </w:pPr>
      <w:r w:rsidRPr="00D579BE">
        <w:rPr>
          <w:szCs w:val="21"/>
        </w:rPr>
        <w:t>L’Entreprise doit :</w:t>
      </w:r>
    </w:p>
    <w:p w14:paraId="0224C7BF" w14:textId="77777777" w:rsidR="009021F1" w:rsidRPr="00D579BE" w:rsidRDefault="009021F1" w:rsidP="009021F1">
      <w:pPr>
        <w:rPr>
          <w:szCs w:val="21"/>
        </w:rPr>
      </w:pPr>
    </w:p>
    <w:p w14:paraId="580F96D1" w14:textId="77777777" w:rsidR="009021F1" w:rsidRPr="00D579BE" w:rsidRDefault="009021F1" w:rsidP="009021F1">
      <w:pPr>
        <w:pStyle w:val="Paragraphedeliste"/>
        <w:numPr>
          <w:ilvl w:val="0"/>
          <w:numId w:val="56"/>
        </w:numPr>
        <w:rPr>
          <w:szCs w:val="21"/>
        </w:rPr>
      </w:pPr>
      <w:r w:rsidRPr="00D579BE">
        <w:rPr>
          <w:szCs w:val="21"/>
        </w:rPr>
        <w:t>Prévoir des installations sanitaires adéquates (toilettes et lavabos) pour le nombre de personnes qui travailleront sur le chantier, y compris des installations séparées pour les femmes, et inclure un mécanisme pour indiquer si les toilettes sont "en service" ou "vacantes".  Les toilettes doivent également être équipées d'un approvisionnement suffisant en eau courante chaude et froide, de savon et de sèche-mains.</w:t>
      </w:r>
    </w:p>
    <w:p w14:paraId="6919C51D" w14:textId="77777777" w:rsidR="009021F1" w:rsidRPr="00D579BE" w:rsidRDefault="009021F1" w:rsidP="009021F1">
      <w:pPr>
        <w:pStyle w:val="Paragraphedeliste"/>
        <w:numPr>
          <w:ilvl w:val="0"/>
          <w:numId w:val="56"/>
        </w:numPr>
        <w:rPr>
          <w:szCs w:val="21"/>
        </w:rPr>
      </w:pPr>
      <w:r w:rsidRPr="00D579BE">
        <w:rPr>
          <w:szCs w:val="21"/>
        </w:rPr>
        <w:t>Prévoir un local permettant aux ouvriers de prendre une douche et de se changer en vêtements de ville s’ils sont exposés à des substances toxiques.</w:t>
      </w:r>
    </w:p>
    <w:p w14:paraId="1CABDDAD" w14:textId="77777777" w:rsidR="009021F1" w:rsidRPr="00D579BE" w:rsidRDefault="009021F1" w:rsidP="009021F1">
      <w:pPr>
        <w:rPr>
          <w:b/>
          <w:szCs w:val="21"/>
          <w:lang w:val="x-none" w:eastAsia="x-none"/>
        </w:rPr>
      </w:pPr>
    </w:p>
    <w:p w14:paraId="0863FE28" w14:textId="77777777" w:rsidR="009021F1" w:rsidRPr="00D579BE" w:rsidRDefault="009021F1" w:rsidP="009021F1">
      <w:pPr>
        <w:rPr>
          <w:b/>
          <w:szCs w:val="21"/>
          <w:lang w:val="x-none" w:eastAsia="x-none"/>
        </w:rPr>
      </w:pPr>
      <w:r w:rsidRPr="00D579BE">
        <w:rPr>
          <w:b/>
          <w:szCs w:val="21"/>
          <w:lang w:val="x-none" w:eastAsia="x-none"/>
        </w:rPr>
        <w:t>Approvisionnement en eau potable</w:t>
      </w:r>
    </w:p>
    <w:p w14:paraId="7F1A02DE" w14:textId="77777777" w:rsidR="009021F1" w:rsidRPr="00D579BE" w:rsidRDefault="009021F1" w:rsidP="009021F1">
      <w:pPr>
        <w:rPr>
          <w:b/>
          <w:szCs w:val="21"/>
          <w:lang w:val="x-none" w:eastAsia="x-none"/>
        </w:rPr>
      </w:pPr>
    </w:p>
    <w:p w14:paraId="23ED03A6" w14:textId="77777777" w:rsidR="009021F1" w:rsidRPr="00D579BE" w:rsidRDefault="009021F1" w:rsidP="009021F1">
      <w:pPr>
        <w:rPr>
          <w:rFonts w:eastAsia="Helvetica Neue"/>
          <w:color w:val="000000"/>
          <w:szCs w:val="21"/>
        </w:rPr>
      </w:pPr>
      <w:r w:rsidRPr="00D579BE">
        <w:rPr>
          <w:rFonts w:eastAsia="Helvetica Neue"/>
          <w:color w:val="000000"/>
          <w:szCs w:val="21"/>
        </w:rPr>
        <w:t>L’Entreprise doit :</w:t>
      </w:r>
    </w:p>
    <w:p w14:paraId="56B1BAAA" w14:textId="77777777" w:rsidR="009021F1" w:rsidRPr="00D579BE" w:rsidRDefault="009021F1" w:rsidP="009021F1">
      <w:pPr>
        <w:rPr>
          <w:rFonts w:eastAsia="Helvetica Neue"/>
          <w:color w:val="000000"/>
          <w:szCs w:val="21"/>
        </w:rPr>
      </w:pPr>
    </w:p>
    <w:p w14:paraId="7B52F0E8" w14:textId="77777777" w:rsidR="009021F1" w:rsidRPr="00D579BE" w:rsidRDefault="009021F1" w:rsidP="009021F1">
      <w:pPr>
        <w:pStyle w:val="Paragraphedeliste"/>
        <w:numPr>
          <w:ilvl w:val="0"/>
          <w:numId w:val="56"/>
        </w:numPr>
        <w:rPr>
          <w:szCs w:val="21"/>
        </w:rPr>
      </w:pPr>
      <w:r w:rsidRPr="00D579BE">
        <w:rPr>
          <w:szCs w:val="21"/>
        </w:rPr>
        <w:t>Assurer un approvisionnement suffisant en eau potable pour boire par une fontaine à jet ascendant ou par un moyen sanitaire de collecte de l'eau.</w:t>
      </w:r>
    </w:p>
    <w:p w14:paraId="37F0FCBA" w14:textId="77777777" w:rsidR="009021F1" w:rsidRPr="00D579BE" w:rsidRDefault="009021F1" w:rsidP="009021F1">
      <w:pPr>
        <w:pStyle w:val="Paragraphedeliste"/>
        <w:numPr>
          <w:ilvl w:val="0"/>
          <w:numId w:val="56"/>
        </w:numPr>
        <w:rPr>
          <w:szCs w:val="21"/>
        </w:rPr>
      </w:pPr>
      <w:r w:rsidRPr="00D579BE">
        <w:rPr>
          <w:szCs w:val="21"/>
        </w:rPr>
        <w:t>Assurer que l'eau fournie aux zones de préparation des aliments ou à des fins d'hygiène personnelle (lavage ou bain) réponde aux normes de qualité de l'eau potable</w:t>
      </w:r>
    </w:p>
    <w:p w14:paraId="331C3C92" w14:textId="77777777" w:rsidR="009021F1" w:rsidRPr="00D579BE" w:rsidRDefault="009021F1" w:rsidP="009021F1">
      <w:pPr>
        <w:rPr>
          <w:b/>
          <w:szCs w:val="21"/>
          <w:lang w:val="x-none" w:eastAsia="x-none"/>
        </w:rPr>
      </w:pPr>
    </w:p>
    <w:p w14:paraId="5D4C6E13" w14:textId="77777777" w:rsidR="009021F1" w:rsidRPr="00D579BE" w:rsidRDefault="009021F1" w:rsidP="009021F1">
      <w:pPr>
        <w:rPr>
          <w:b/>
          <w:szCs w:val="21"/>
          <w:lang w:val="x-none" w:eastAsia="x-none"/>
        </w:rPr>
      </w:pPr>
      <w:r w:rsidRPr="00D579BE">
        <w:rPr>
          <w:b/>
          <w:szCs w:val="21"/>
          <w:lang w:val="x-none" w:eastAsia="x-none"/>
        </w:rPr>
        <w:t>Restauration</w:t>
      </w:r>
    </w:p>
    <w:p w14:paraId="5827C237" w14:textId="77777777" w:rsidR="009021F1" w:rsidRPr="00D579BE" w:rsidRDefault="009021F1" w:rsidP="009021F1">
      <w:pPr>
        <w:rPr>
          <w:b/>
          <w:szCs w:val="21"/>
          <w:lang w:val="x-none" w:eastAsia="x-none"/>
        </w:rPr>
      </w:pPr>
    </w:p>
    <w:p w14:paraId="0852A6BA" w14:textId="77777777" w:rsidR="009021F1" w:rsidRPr="00D579BE" w:rsidRDefault="009021F1" w:rsidP="009021F1">
      <w:pPr>
        <w:rPr>
          <w:rFonts w:eastAsia="Helvetica Neue"/>
          <w:color w:val="000000"/>
          <w:szCs w:val="21"/>
        </w:rPr>
      </w:pPr>
      <w:r w:rsidRPr="00D579BE">
        <w:rPr>
          <w:rFonts w:eastAsia="Helvetica Neue"/>
          <w:color w:val="000000"/>
          <w:szCs w:val="21"/>
        </w:rPr>
        <w:t>L’Entreprise doit :</w:t>
      </w:r>
    </w:p>
    <w:p w14:paraId="65D2F2E1" w14:textId="77777777" w:rsidR="009021F1" w:rsidRPr="00D579BE" w:rsidRDefault="009021F1" w:rsidP="009021F1">
      <w:pPr>
        <w:rPr>
          <w:rFonts w:eastAsia="Helvetica Neue"/>
          <w:color w:val="000000"/>
          <w:szCs w:val="21"/>
        </w:rPr>
      </w:pPr>
    </w:p>
    <w:p w14:paraId="68BC7C40" w14:textId="77777777" w:rsidR="009021F1" w:rsidRPr="00D579BE" w:rsidRDefault="009021F1" w:rsidP="009021F1">
      <w:pPr>
        <w:rPr>
          <w:szCs w:val="21"/>
        </w:rPr>
      </w:pPr>
      <w:r w:rsidRPr="00D579BE">
        <w:rPr>
          <w:szCs w:val="21"/>
        </w:rPr>
        <w:t>Mettre à disposition des ouvriers des zones de restauration propres qui ne sont pas exposés à des substances dangereuses ou nocives.</w:t>
      </w:r>
    </w:p>
    <w:p w14:paraId="21F78D47" w14:textId="77777777" w:rsidR="009021F1" w:rsidRPr="00D579BE" w:rsidRDefault="009021F1" w:rsidP="009021F1">
      <w:pPr>
        <w:rPr>
          <w:b/>
          <w:szCs w:val="21"/>
          <w:lang w:val="x-none" w:eastAsia="x-none"/>
        </w:rPr>
      </w:pPr>
    </w:p>
    <w:p w14:paraId="30F39118" w14:textId="77777777" w:rsidR="009021F1" w:rsidRPr="00D579BE" w:rsidRDefault="009021F1" w:rsidP="009021F1">
      <w:pPr>
        <w:rPr>
          <w:b/>
          <w:szCs w:val="21"/>
          <w:lang w:val="x-none" w:eastAsia="x-none"/>
        </w:rPr>
      </w:pPr>
      <w:r w:rsidRPr="00D579BE">
        <w:rPr>
          <w:b/>
          <w:szCs w:val="21"/>
          <w:lang w:val="x-none" w:eastAsia="x-none"/>
        </w:rPr>
        <w:t>Protection du personnel</w:t>
      </w:r>
    </w:p>
    <w:p w14:paraId="0B121752" w14:textId="77777777" w:rsidR="009021F1" w:rsidRPr="00D579BE" w:rsidRDefault="009021F1" w:rsidP="009021F1">
      <w:pPr>
        <w:rPr>
          <w:b/>
          <w:szCs w:val="21"/>
          <w:lang w:val="x-none" w:eastAsia="x-none"/>
        </w:rPr>
      </w:pPr>
    </w:p>
    <w:p w14:paraId="501550D9" w14:textId="77777777" w:rsidR="009021F1" w:rsidRPr="00D579BE" w:rsidRDefault="009021F1" w:rsidP="009021F1">
      <w:pPr>
        <w:rPr>
          <w:szCs w:val="21"/>
        </w:rPr>
      </w:pPr>
      <w:r w:rsidRPr="00D579BE">
        <w:rPr>
          <w:szCs w:val="21"/>
        </w:rPr>
        <w:t>L’Entreprise doit :</w:t>
      </w:r>
    </w:p>
    <w:p w14:paraId="5CCB672D" w14:textId="77777777" w:rsidR="009021F1" w:rsidRPr="00D579BE" w:rsidRDefault="009021F1" w:rsidP="009021F1">
      <w:pPr>
        <w:rPr>
          <w:szCs w:val="21"/>
        </w:rPr>
      </w:pPr>
    </w:p>
    <w:p w14:paraId="02421B18" w14:textId="77777777" w:rsidR="009021F1" w:rsidRPr="00D579BE" w:rsidRDefault="009021F1" w:rsidP="009021F1">
      <w:pPr>
        <w:pStyle w:val="Paragraphedeliste"/>
        <w:numPr>
          <w:ilvl w:val="0"/>
          <w:numId w:val="56"/>
        </w:numPr>
        <w:rPr>
          <w:szCs w:val="21"/>
        </w:rPr>
      </w:pPr>
      <w:r w:rsidRPr="00D579BE">
        <w:rPr>
          <w:szCs w:val="21"/>
        </w:rPr>
        <w:t>Fournir gratuitement au personnel de chantier des tenues de travail correctes réglementaires et en bon état ;</w:t>
      </w:r>
    </w:p>
    <w:p w14:paraId="3D1610DB" w14:textId="77777777" w:rsidR="009021F1" w:rsidRPr="00D579BE" w:rsidRDefault="009021F1" w:rsidP="009021F1">
      <w:pPr>
        <w:pStyle w:val="Paragraphedeliste"/>
        <w:numPr>
          <w:ilvl w:val="0"/>
          <w:numId w:val="56"/>
        </w:numPr>
        <w:rPr>
          <w:szCs w:val="21"/>
        </w:rPr>
      </w:pPr>
      <w:r w:rsidRPr="00D579BE">
        <w:rPr>
          <w:szCs w:val="21"/>
        </w:rPr>
        <w:t>Fournir gratuitement au personnel de chantier et aux visiteurs tous les équipements personnels de protection (EPI) propres à leurs activités (e.g., casques, bottes, ceintures, masques, gants, lunettes) appropriés, et veiller à ce que cette obligation soit répercutée sur les sous-traitants éventuels ;</w:t>
      </w:r>
    </w:p>
    <w:p w14:paraId="129170B0" w14:textId="77777777" w:rsidR="009021F1" w:rsidRPr="00D579BE" w:rsidRDefault="009021F1" w:rsidP="009021F1">
      <w:pPr>
        <w:pStyle w:val="Paragraphedeliste"/>
        <w:numPr>
          <w:ilvl w:val="0"/>
          <w:numId w:val="56"/>
        </w:numPr>
        <w:rPr>
          <w:szCs w:val="21"/>
        </w:rPr>
      </w:pPr>
      <w:r w:rsidRPr="00D579BE">
        <w:rPr>
          <w:szCs w:val="21"/>
        </w:rPr>
        <w:t>Rendre obligatoire l'utilisation des EPI appropriés sur les chantiers.  Un contrôle permanent doit être effectué à cet effet et, en cas de manquement, des mesures coercitives (avertissement, mise à pied, renvoi) doivent être appliquées au personnel concerné ; et</w:t>
      </w:r>
    </w:p>
    <w:p w14:paraId="709CD338" w14:textId="77777777" w:rsidR="009021F1" w:rsidRPr="00D579BE" w:rsidRDefault="009021F1" w:rsidP="009021F1">
      <w:pPr>
        <w:pStyle w:val="Paragraphedeliste"/>
        <w:numPr>
          <w:ilvl w:val="0"/>
          <w:numId w:val="56"/>
        </w:numPr>
        <w:rPr>
          <w:szCs w:val="21"/>
        </w:rPr>
      </w:pPr>
      <w:r w:rsidRPr="00D579BE">
        <w:rPr>
          <w:szCs w:val="21"/>
        </w:rPr>
        <w:t>Fournir à ses employés une formation suffisante sur l'utilisation, le stockage et l'entretien des ouvrages.</w:t>
      </w:r>
    </w:p>
    <w:p w14:paraId="4B600FE4" w14:textId="77777777" w:rsidR="009021F1" w:rsidRPr="00D579BE" w:rsidRDefault="009021F1" w:rsidP="009021F1">
      <w:pPr>
        <w:rPr>
          <w:szCs w:val="21"/>
        </w:rPr>
      </w:pPr>
    </w:p>
    <w:p w14:paraId="3F4E841B" w14:textId="77777777" w:rsidR="009021F1" w:rsidRPr="00D579BE" w:rsidRDefault="009021F1" w:rsidP="009021F1">
      <w:pPr>
        <w:rPr>
          <w:b/>
          <w:szCs w:val="21"/>
        </w:rPr>
      </w:pPr>
      <w:r w:rsidRPr="00D579BE">
        <w:rPr>
          <w:b/>
          <w:szCs w:val="21"/>
        </w:rPr>
        <w:t>Equipement de Protection Individuelle</w:t>
      </w:r>
    </w:p>
    <w:p w14:paraId="422ED753" w14:textId="77777777" w:rsidR="009021F1" w:rsidRPr="00D579BE" w:rsidRDefault="009021F1" w:rsidP="009021F1">
      <w:pPr>
        <w:rPr>
          <w:b/>
          <w:szCs w:val="21"/>
        </w:rPr>
      </w:pPr>
    </w:p>
    <w:p w14:paraId="1A076AFD" w14:textId="77777777" w:rsidR="009021F1" w:rsidRPr="00D579BE" w:rsidRDefault="009021F1" w:rsidP="009021F1">
      <w:pPr>
        <w:pStyle w:val="Paragraphedeliste"/>
        <w:numPr>
          <w:ilvl w:val="0"/>
          <w:numId w:val="56"/>
        </w:numPr>
        <w:rPr>
          <w:szCs w:val="21"/>
        </w:rPr>
      </w:pPr>
      <w:r w:rsidRPr="00D579BE">
        <w:rPr>
          <w:szCs w:val="21"/>
        </w:rPr>
        <w:t>Entretenir correctement les EPI, notamment en les nettoyant lorsqu'ils sont sales et en les remplaçant lorsqu'ils sont endommagés ou usés ;</w:t>
      </w:r>
    </w:p>
    <w:p w14:paraId="29A02B9A" w14:textId="77777777" w:rsidR="009021F1" w:rsidRPr="00D579BE" w:rsidRDefault="009021F1" w:rsidP="009021F1">
      <w:pPr>
        <w:pStyle w:val="Paragraphedeliste"/>
        <w:numPr>
          <w:ilvl w:val="0"/>
          <w:numId w:val="56"/>
        </w:numPr>
        <w:rPr>
          <w:szCs w:val="21"/>
        </w:rPr>
      </w:pPr>
      <w:r w:rsidRPr="00D579BE">
        <w:rPr>
          <w:szCs w:val="21"/>
        </w:rPr>
        <w:t>Déterminer les exigences en matière d'EPI standard et/ou spécifique à une tâche, sur la base d'une analyse de sécurité spécifique à la tâche ; et</w:t>
      </w:r>
    </w:p>
    <w:p w14:paraId="00B57590" w14:textId="77777777" w:rsidR="009021F1" w:rsidRPr="00D579BE" w:rsidRDefault="009021F1" w:rsidP="009021F1">
      <w:pPr>
        <w:pStyle w:val="Paragraphedeliste"/>
        <w:numPr>
          <w:ilvl w:val="0"/>
          <w:numId w:val="56"/>
        </w:numPr>
        <w:rPr>
          <w:szCs w:val="21"/>
        </w:rPr>
      </w:pPr>
      <w:r w:rsidRPr="00D579BE">
        <w:rPr>
          <w:szCs w:val="21"/>
        </w:rPr>
        <w:t>Considérer l'utilisation des EPI comme un dernier recours lorsqu'il s'agit de contrôler et de prévenir les dangers, et toujours se référer à la hiérarchie des contrôles des dangers lors de la planification d'un processus de sécurité.</w:t>
      </w:r>
    </w:p>
    <w:p w14:paraId="4C6BB4C8" w14:textId="77777777" w:rsidR="009021F1" w:rsidRPr="00D579BE" w:rsidRDefault="009021F1" w:rsidP="009021F1">
      <w:pPr>
        <w:rPr>
          <w:b/>
          <w:szCs w:val="21"/>
          <w:lang w:val="x-none" w:eastAsia="x-none"/>
        </w:rPr>
      </w:pPr>
    </w:p>
    <w:p w14:paraId="5B034196" w14:textId="77777777" w:rsidR="009021F1" w:rsidRPr="00D579BE" w:rsidRDefault="009021F1" w:rsidP="009021F1">
      <w:pPr>
        <w:rPr>
          <w:b/>
          <w:szCs w:val="21"/>
          <w:lang w:val="x-none" w:eastAsia="x-none"/>
        </w:rPr>
      </w:pPr>
      <w:r w:rsidRPr="00D579BE">
        <w:rPr>
          <w:b/>
          <w:szCs w:val="21"/>
          <w:lang w:val="x-none" w:eastAsia="x-none"/>
        </w:rPr>
        <w:t>Bruit</w:t>
      </w:r>
    </w:p>
    <w:p w14:paraId="26F7F022" w14:textId="77777777" w:rsidR="009021F1" w:rsidRPr="00D579BE" w:rsidRDefault="009021F1" w:rsidP="009021F1">
      <w:pPr>
        <w:rPr>
          <w:szCs w:val="21"/>
        </w:rPr>
      </w:pPr>
    </w:p>
    <w:p w14:paraId="10C41DA0" w14:textId="77777777" w:rsidR="009021F1" w:rsidRPr="00D579BE" w:rsidRDefault="009021F1" w:rsidP="009021F1">
      <w:pPr>
        <w:pStyle w:val="Paragraphedeliste"/>
        <w:numPr>
          <w:ilvl w:val="0"/>
          <w:numId w:val="56"/>
        </w:numPr>
        <w:rPr>
          <w:szCs w:val="21"/>
        </w:rPr>
      </w:pPr>
      <w:r w:rsidRPr="00D579BE">
        <w:rPr>
          <w:szCs w:val="21"/>
        </w:rPr>
        <w:t>L’Entreprise doit mettre en place des mesures appropriées pour atténuer l'impact des bruits de construction à un niveau acceptable ;</w:t>
      </w:r>
    </w:p>
    <w:p w14:paraId="4EB12B5C" w14:textId="77777777" w:rsidR="009021F1" w:rsidRPr="00D579BE" w:rsidRDefault="009021F1" w:rsidP="009021F1">
      <w:pPr>
        <w:pStyle w:val="Paragraphedeliste"/>
        <w:numPr>
          <w:ilvl w:val="0"/>
          <w:numId w:val="56"/>
        </w:numPr>
        <w:rPr>
          <w:szCs w:val="21"/>
        </w:rPr>
      </w:pPr>
      <w:r w:rsidRPr="00D579BE">
        <w:rPr>
          <w:szCs w:val="21"/>
        </w:rPr>
        <w:t>Les précautions visant à réduire l'exposition des ouvriers au bruit doivent inclure, entre autres, les éléments suivants ;</w:t>
      </w:r>
    </w:p>
    <w:p w14:paraId="7DD95703" w14:textId="77777777" w:rsidR="009021F1" w:rsidRPr="00D579BE" w:rsidRDefault="009021F1" w:rsidP="009021F1">
      <w:pPr>
        <w:pStyle w:val="Paragraphedeliste"/>
        <w:numPr>
          <w:ilvl w:val="0"/>
          <w:numId w:val="56"/>
        </w:numPr>
        <w:rPr>
          <w:szCs w:val="21"/>
        </w:rPr>
      </w:pPr>
      <w:r w:rsidRPr="00D579BE">
        <w:rPr>
          <w:szCs w:val="21"/>
        </w:rPr>
        <w:t>Aucun employé ne doit être exposé à un niveau de bruit supérieur à 85 dB(A) pendant plus de 8 heures par jour sans protection auditive.  En outre, aucune oreille non protégée ne doit être exposée à un niveau de pression acoustique de pointe (instantané) supérieur à 140 dB(C) ;</w:t>
      </w:r>
    </w:p>
    <w:p w14:paraId="15EC1231" w14:textId="77777777" w:rsidR="009021F1" w:rsidRPr="00D579BE" w:rsidRDefault="009021F1" w:rsidP="009021F1">
      <w:pPr>
        <w:pStyle w:val="Paragraphedeliste"/>
        <w:numPr>
          <w:ilvl w:val="0"/>
          <w:numId w:val="56"/>
        </w:numPr>
        <w:rPr>
          <w:szCs w:val="21"/>
        </w:rPr>
      </w:pPr>
      <w:r w:rsidRPr="00D579BE">
        <w:rPr>
          <w:szCs w:val="21"/>
        </w:rPr>
        <w:t>Appliquer activement l'utilisation de protection auditive lorsque le niveau sonore équivalent sur 8 heures atteint 85 dB(A), que les niveaux sonores de crête atteignent 140 dB(C), ou que le niveau sonore maximal moyen atteint 110 dB(A).  Les dispositifs de protection auditive fournis doivent être capables de réduire les niveaux sonores à l'oreille à au moins 85 dB(A) ;</w:t>
      </w:r>
    </w:p>
    <w:p w14:paraId="1C829E45" w14:textId="77777777" w:rsidR="009021F1" w:rsidRPr="00D579BE" w:rsidRDefault="009021F1" w:rsidP="009021F1">
      <w:pPr>
        <w:pStyle w:val="Paragraphedeliste"/>
        <w:numPr>
          <w:ilvl w:val="0"/>
          <w:numId w:val="56"/>
        </w:numPr>
        <w:rPr>
          <w:szCs w:val="21"/>
        </w:rPr>
      </w:pPr>
      <w:r w:rsidRPr="00D579BE">
        <w:rPr>
          <w:szCs w:val="21"/>
        </w:rPr>
        <w:t>Bien que la protection auditive soit préférable pour toute période d'exposition au bruit supérieure à 85 dB(A), un niveau de protection équivalent peut être obtenu, mais moins facilement géré, en limitant la durée d'exposition au bruit.  Pour chaque augmentation de 3 dB(A) des niveaux sonores, la période ou la durée d'exposition "autorisée" doit être réduite de 50 % ;</w:t>
      </w:r>
    </w:p>
    <w:p w14:paraId="59FE86F2" w14:textId="77777777" w:rsidR="009021F1" w:rsidRPr="00D579BE" w:rsidRDefault="009021F1" w:rsidP="009021F1">
      <w:pPr>
        <w:pStyle w:val="Paragraphedeliste"/>
        <w:numPr>
          <w:ilvl w:val="0"/>
          <w:numId w:val="56"/>
        </w:numPr>
        <w:rPr>
          <w:szCs w:val="21"/>
        </w:rPr>
      </w:pPr>
      <w:r w:rsidRPr="00D579BE">
        <w:rPr>
          <w:szCs w:val="21"/>
        </w:rPr>
        <w:t>Effectuer des contrôles auditifs médicaux périodiques sur les ouvriers exposés à des niveaux sonores élevés ;</w:t>
      </w:r>
    </w:p>
    <w:p w14:paraId="148BCF81" w14:textId="77777777" w:rsidR="009021F1" w:rsidRPr="00D579BE" w:rsidRDefault="009021F1" w:rsidP="009021F1">
      <w:pPr>
        <w:pStyle w:val="Paragraphedeliste"/>
        <w:numPr>
          <w:ilvl w:val="0"/>
          <w:numId w:val="56"/>
        </w:numPr>
        <w:rPr>
          <w:szCs w:val="21"/>
        </w:rPr>
      </w:pPr>
      <w:r w:rsidRPr="00D579BE">
        <w:rPr>
          <w:szCs w:val="21"/>
        </w:rPr>
        <w:t>Effectuer une rotation du personnel pour limiter l'exposition individuelle à des niveaux élevés ;</w:t>
      </w:r>
    </w:p>
    <w:p w14:paraId="52A43651" w14:textId="77777777" w:rsidR="009021F1" w:rsidRPr="00D579BE" w:rsidRDefault="009021F1" w:rsidP="009021F1">
      <w:pPr>
        <w:pStyle w:val="Paragraphedeliste"/>
        <w:numPr>
          <w:ilvl w:val="0"/>
          <w:numId w:val="56"/>
        </w:numPr>
        <w:rPr>
          <w:szCs w:val="21"/>
        </w:rPr>
      </w:pPr>
      <w:r w:rsidRPr="00D579BE">
        <w:rPr>
          <w:szCs w:val="21"/>
        </w:rPr>
        <w:t>Installer des dispositifs pratiques d'atténuation acoustique sur les équipements de construction, tels que les silencieux.  Des compresseurs d'air et des générateurs avec silencieux devraient être utilisés, et toutes les machines devraient être maintenues en bon état ;</w:t>
      </w:r>
    </w:p>
    <w:p w14:paraId="00C4B2F2" w14:textId="77777777" w:rsidR="009021F1" w:rsidRPr="00D579BE" w:rsidRDefault="009021F1" w:rsidP="009021F1">
      <w:pPr>
        <w:pStyle w:val="Paragraphedeliste"/>
        <w:numPr>
          <w:ilvl w:val="0"/>
          <w:numId w:val="56"/>
        </w:numPr>
        <w:rPr>
          <w:szCs w:val="21"/>
        </w:rPr>
      </w:pPr>
      <w:r w:rsidRPr="00D579BE">
        <w:rPr>
          <w:szCs w:val="21"/>
        </w:rPr>
        <w:t>Des silencieux doivent être installés sur les bulldozers, les compacteurs, les grues, les camions à benne, les pelles, les niveleuses, les chargeuses, les décapeuses et les pelles.</w:t>
      </w:r>
    </w:p>
    <w:p w14:paraId="1511A883" w14:textId="77777777" w:rsidR="009021F1" w:rsidRPr="00D579BE" w:rsidRDefault="009021F1" w:rsidP="009021F1">
      <w:pPr>
        <w:pStyle w:val="Paragraphedeliste"/>
        <w:numPr>
          <w:ilvl w:val="0"/>
          <w:numId w:val="56"/>
        </w:numPr>
        <w:rPr>
          <w:szCs w:val="21"/>
        </w:rPr>
      </w:pPr>
      <w:r w:rsidRPr="00D579BE">
        <w:rPr>
          <w:szCs w:val="21"/>
        </w:rPr>
        <w:t>Poser des panneaux indicateurs dans toutes les zones où le niveau de pression acoustique dépasse 85 dB(A) ;</w:t>
      </w:r>
    </w:p>
    <w:p w14:paraId="617A5EB7" w14:textId="77777777" w:rsidR="009021F1" w:rsidRPr="00D579BE" w:rsidRDefault="009021F1" w:rsidP="009021F1">
      <w:pPr>
        <w:pStyle w:val="Paragraphedeliste"/>
        <w:numPr>
          <w:ilvl w:val="0"/>
          <w:numId w:val="56"/>
        </w:numPr>
        <w:rPr>
          <w:szCs w:val="21"/>
        </w:rPr>
      </w:pPr>
      <w:r w:rsidRPr="00D579BE">
        <w:rPr>
          <w:szCs w:val="21"/>
        </w:rPr>
        <w:t>Limiter les bruits de chantier susceptibles d’importuner gravement les riverains, soit par une durée exagérément longue, soit par leur prolongation en dehors des heures normales de travail. Les seuils à ne pas dépasser sont : 55 à 60 décibels le jour ; 40 décibels la nuit ; et</w:t>
      </w:r>
    </w:p>
    <w:p w14:paraId="2E906F81" w14:textId="77777777" w:rsidR="009021F1" w:rsidRPr="00D579BE" w:rsidRDefault="009021F1" w:rsidP="009021F1">
      <w:pPr>
        <w:pStyle w:val="Paragraphedeliste"/>
        <w:numPr>
          <w:ilvl w:val="0"/>
          <w:numId w:val="56"/>
        </w:numPr>
        <w:rPr>
          <w:szCs w:val="21"/>
        </w:rPr>
      </w:pPr>
      <w:r w:rsidRPr="00D579BE">
        <w:rPr>
          <w:szCs w:val="21"/>
        </w:rPr>
        <w:t>Prévenir les habitants si une activité causant un niveau de bruit élevé se déroule à proximité d’une communauté.</w:t>
      </w:r>
    </w:p>
    <w:p w14:paraId="761281ED" w14:textId="77777777" w:rsidR="009021F1" w:rsidRPr="00D579BE" w:rsidRDefault="009021F1" w:rsidP="009021F1">
      <w:pPr>
        <w:rPr>
          <w:b/>
          <w:bCs/>
          <w:color w:val="000000"/>
          <w:szCs w:val="21"/>
        </w:rPr>
      </w:pPr>
    </w:p>
    <w:p w14:paraId="3F0F47AD" w14:textId="77777777" w:rsidR="009021F1" w:rsidRPr="00D579BE" w:rsidRDefault="009021F1" w:rsidP="009021F1">
      <w:pPr>
        <w:rPr>
          <w:b/>
          <w:bCs/>
          <w:color w:val="000000"/>
          <w:szCs w:val="21"/>
        </w:rPr>
      </w:pPr>
      <w:r w:rsidRPr="00D579BE">
        <w:rPr>
          <w:b/>
          <w:bCs/>
          <w:color w:val="000000"/>
          <w:szCs w:val="21"/>
        </w:rPr>
        <w:t>Gestion de la Santé</w:t>
      </w:r>
    </w:p>
    <w:p w14:paraId="483D84F3" w14:textId="77777777" w:rsidR="009021F1" w:rsidRPr="00D579BE" w:rsidRDefault="009021F1" w:rsidP="009021F1">
      <w:pPr>
        <w:rPr>
          <w:b/>
          <w:bCs/>
          <w:color w:val="000000"/>
          <w:szCs w:val="21"/>
        </w:rPr>
      </w:pPr>
    </w:p>
    <w:p w14:paraId="7B223497" w14:textId="77777777" w:rsidR="009021F1" w:rsidRPr="00D579BE" w:rsidRDefault="009021F1" w:rsidP="009021F1">
      <w:pPr>
        <w:rPr>
          <w:b/>
          <w:szCs w:val="21"/>
          <w:lang w:val="x-none" w:eastAsia="x-none"/>
        </w:rPr>
      </w:pPr>
      <w:r w:rsidRPr="00D579BE">
        <w:rPr>
          <w:b/>
          <w:szCs w:val="21"/>
          <w:lang w:val="x-none" w:eastAsia="x-none"/>
        </w:rPr>
        <w:t>Premiers secours et accidents</w:t>
      </w:r>
    </w:p>
    <w:p w14:paraId="6A488EA5" w14:textId="77777777" w:rsidR="009021F1" w:rsidRPr="00D579BE" w:rsidRDefault="009021F1" w:rsidP="009021F1">
      <w:pPr>
        <w:rPr>
          <w:b/>
          <w:szCs w:val="21"/>
          <w:lang w:val="x-none" w:eastAsia="x-none"/>
        </w:rPr>
      </w:pPr>
    </w:p>
    <w:p w14:paraId="7C9551A4" w14:textId="77777777" w:rsidR="009021F1" w:rsidRPr="00D579BE" w:rsidRDefault="009021F1" w:rsidP="009021F1">
      <w:pPr>
        <w:rPr>
          <w:szCs w:val="21"/>
        </w:rPr>
      </w:pPr>
      <w:r w:rsidRPr="00D579BE">
        <w:rPr>
          <w:szCs w:val="21"/>
        </w:rPr>
        <w:t>L’Entreprise doit :</w:t>
      </w:r>
    </w:p>
    <w:p w14:paraId="0769EA88" w14:textId="77777777" w:rsidR="009021F1" w:rsidRPr="00D579BE" w:rsidRDefault="009021F1" w:rsidP="009021F1">
      <w:pPr>
        <w:rPr>
          <w:szCs w:val="21"/>
        </w:rPr>
      </w:pPr>
    </w:p>
    <w:p w14:paraId="055710E4" w14:textId="77777777" w:rsidR="009021F1" w:rsidRPr="00D579BE" w:rsidRDefault="009021F1" w:rsidP="009021F1">
      <w:pPr>
        <w:pStyle w:val="Paragraphedeliste"/>
        <w:numPr>
          <w:ilvl w:val="0"/>
          <w:numId w:val="56"/>
        </w:numPr>
        <w:rPr>
          <w:szCs w:val="21"/>
        </w:rPr>
      </w:pPr>
      <w:r w:rsidRPr="00D579BE">
        <w:rPr>
          <w:szCs w:val="21"/>
        </w:rPr>
        <w:t>Mettre en place un service médical courant et d’urgence à la base-vie, adapté à l’effectif de son personnel ;</w:t>
      </w:r>
    </w:p>
    <w:p w14:paraId="782FB81E" w14:textId="77777777" w:rsidR="009021F1" w:rsidRPr="00D579BE" w:rsidRDefault="009021F1" w:rsidP="009021F1">
      <w:pPr>
        <w:pStyle w:val="Paragraphedeliste"/>
        <w:numPr>
          <w:ilvl w:val="0"/>
          <w:numId w:val="56"/>
        </w:numPr>
        <w:rPr>
          <w:szCs w:val="21"/>
        </w:rPr>
      </w:pPr>
      <w:r w:rsidRPr="00D579BE">
        <w:rPr>
          <w:szCs w:val="21"/>
        </w:rPr>
        <w:t>Veiller à ce que les premiers secours soient toujours dispensés par un personnel qualifié.  Des postes de premiers secours correctement équipés doivent être facilement accessibles depuis le lieu de travail ;</w:t>
      </w:r>
    </w:p>
    <w:p w14:paraId="59B74711" w14:textId="77777777" w:rsidR="009021F1" w:rsidRPr="00D579BE" w:rsidRDefault="009021F1" w:rsidP="009021F1">
      <w:pPr>
        <w:pStyle w:val="Paragraphedeliste"/>
        <w:numPr>
          <w:ilvl w:val="0"/>
          <w:numId w:val="56"/>
        </w:numPr>
        <w:rPr>
          <w:szCs w:val="21"/>
        </w:rPr>
      </w:pPr>
      <w:r w:rsidRPr="00D579BE">
        <w:rPr>
          <w:szCs w:val="21"/>
        </w:rPr>
        <w:t>Fournir aux ouvriers chargés des tâches de sauvetage et de premiers secours une formation spécifique, afin de ne pas aggraver par inadvertance les expositions et les risques pour la santé, pour eux-mêmes ou pour leurs collègues.  La formation doit inclure les risques d'infection par des agents pathogènes transmissibles par le sang suite à des contacts avec des fluides et des tissus corporels ;</w:t>
      </w:r>
    </w:p>
    <w:p w14:paraId="672E2DDE" w14:textId="77777777" w:rsidR="009021F1" w:rsidRPr="00D579BE" w:rsidRDefault="009021F1" w:rsidP="009021F1">
      <w:pPr>
        <w:pStyle w:val="Paragraphedeliste"/>
        <w:numPr>
          <w:ilvl w:val="0"/>
          <w:numId w:val="56"/>
        </w:numPr>
        <w:rPr>
          <w:szCs w:val="21"/>
        </w:rPr>
      </w:pPr>
      <w:r w:rsidRPr="00D579BE">
        <w:rPr>
          <w:szCs w:val="21"/>
        </w:rPr>
        <w:t>Prévoir des douches oculaires et/ou des douches d'urgence à proximité de tous les postes de travail où il pourrait être nécessaire de se rincer immédiatement à l'eau ;</w:t>
      </w:r>
    </w:p>
    <w:p w14:paraId="71A27D8E" w14:textId="77777777" w:rsidR="009021F1" w:rsidRPr="00D579BE" w:rsidRDefault="009021F1" w:rsidP="009021F1">
      <w:pPr>
        <w:pStyle w:val="Paragraphedeliste"/>
        <w:numPr>
          <w:ilvl w:val="0"/>
          <w:numId w:val="56"/>
        </w:numPr>
        <w:rPr>
          <w:szCs w:val="21"/>
        </w:rPr>
      </w:pPr>
      <w:r w:rsidRPr="00D579BE">
        <w:rPr>
          <w:szCs w:val="21"/>
        </w:rPr>
        <w:t>Assurer que des procédures d'urgence écrites sont disponibles pour le traitement des cas de traumatisme ou de maladie grave, y compris les procédures de transfert des patients vers un établissement médical approprié ;</w:t>
      </w:r>
    </w:p>
    <w:p w14:paraId="01B79D9C" w14:textId="77777777" w:rsidR="009021F1" w:rsidRPr="00D579BE" w:rsidRDefault="009021F1" w:rsidP="009021F1">
      <w:pPr>
        <w:pStyle w:val="Paragraphedeliste"/>
        <w:numPr>
          <w:ilvl w:val="0"/>
          <w:numId w:val="56"/>
        </w:numPr>
        <w:rPr>
          <w:szCs w:val="21"/>
        </w:rPr>
      </w:pPr>
      <w:r w:rsidRPr="00D579BE">
        <w:rPr>
          <w:szCs w:val="21"/>
        </w:rPr>
        <w:t>Signaler immédiatement au Maître d’Ouvrage délégué toute situation susceptible de provoquer un accident grave, tel que les défaillances majeures d'équipements, le contact avec des lignes à haute tension, l'exposition à des matières dangereuses, les glissements ou les éboulements ;</w:t>
      </w:r>
    </w:p>
    <w:p w14:paraId="7C26283C" w14:textId="77777777" w:rsidR="009021F1" w:rsidRPr="00D579BE" w:rsidRDefault="009021F1" w:rsidP="009021F1">
      <w:pPr>
        <w:pStyle w:val="Paragraphedeliste"/>
        <w:numPr>
          <w:ilvl w:val="0"/>
          <w:numId w:val="56"/>
        </w:numPr>
        <w:rPr>
          <w:szCs w:val="21"/>
        </w:rPr>
      </w:pPr>
      <w:r w:rsidRPr="00D579BE">
        <w:rPr>
          <w:szCs w:val="21"/>
        </w:rPr>
        <w:t>Enquêter immédiatement concernant toute blessure ou maladie grave ou mortelle causée par les travaux dont l’Entreprise est responsable, et soumettre un rapport complet au Maître d’Ouvrage délégué.</w:t>
      </w:r>
    </w:p>
    <w:p w14:paraId="5EE27956" w14:textId="77777777" w:rsidR="009021F1" w:rsidRPr="00D579BE" w:rsidRDefault="009021F1" w:rsidP="009021F1">
      <w:pPr>
        <w:rPr>
          <w:b/>
          <w:szCs w:val="21"/>
          <w:lang w:val="x-none" w:eastAsia="x-none"/>
        </w:rPr>
      </w:pPr>
    </w:p>
    <w:p w14:paraId="3155CC9B" w14:textId="77777777" w:rsidR="009021F1" w:rsidRPr="00D579BE" w:rsidRDefault="009021F1" w:rsidP="009021F1">
      <w:pPr>
        <w:rPr>
          <w:b/>
          <w:szCs w:val="21"/>
          <w:lang w:val="x-none" w:eastAsia="x-none"/>
        </w:rPr>
      </w:pPr>
      <w:r w:rsidRPr="00D579BE">
        <w:rPr>
          <w:b/>
          <w:szCs w:val="21"/>
          <w:lang w:val="x-none" w:eastAsia="x-none"/>
        </w:rPr>
        <w:t>Maladies à Transmission Vectorielle</w:t>
      </w:r>
    </w:p>
    <w:p w14:paraId="43973385" w14:textId="77777777" w:rsidR="009021F1" w:rsidRPr="00D579BE" w:rsidRDefault="009021F1" w:rsidP="009021F1">
      <w:pPr>
        <w:rPr>
          <w:b/>
          <w:szCs w:val="21"/>
          <w:lang w:val="x-none" w:eastAsia="x-none"/>
        </w:rPr>
      </w:pPr>
    </w:p>
    <w:p w14:paraId="1AA04DA9" w14:textId="77777777" w:rsidR="009021F1" w:rsidRPr="00D579BE" w:rsidRDefault="009021F1" w:rsidP="009021F1">
      <w:pPr>
        <w:pStyle w:val="Paragraphedeliste"/>
        <w:numPr>
          <w:ilvl w:val="0"/>
          <w:numId w:val="56"/>
        </w:numPr>
        <w:rPr>
          <w:szCs w:val="21"/>
        </w:rPr>
      </w:pPr>
      <w:r w:rsidRPr="00D579BE">
        <w:rPr>
          <w:szCs w:val="21"/>
        </w:rPr>
        <w:t>La meilleure façon de réduire l'impact des maladies à transmission vectorielle sur la santé à long terme des ouvriers et des communautés voisines est d'éliminer les facteurs qui conduisent à la maladie.  L'Entreprise, en étroite collaboration avec les autorités sanitaires de la communauté, doit mettre en œuvre une stratégie intégrée de lutte contre les maladies transmises par les moustiques et autres arthropodes, y compris :</w:t>
      </w:r>
    </w:p>
    <w:p w14:paraId="12D005CB" w14:textId="77777777" w:rsidR="009021F1" w:rsidRPr="00D579BE" w:rsidRDefault="009021F1" w:rsidP="009021F1">
      <w:pPr>
        <w:pStyle w:val="Paragraphedeliste"/>
        <w:numPr>
          <w:ilvl w:val="0"/>
          <w:numId w:val="56"/>
        </w:numPr>
        <w:rPr>
          <w:szCs w:val="21"/>
        </w:rPr>
      </w:pPr>
      <w:r w:rsidRPr="00D579BE">
        <w:rPr>
          <w:szCs w:val="21"/>
        </w:rPr>
        <w:t>Prévenir la propagation des larves et des adultes par des améliorations sanitaires, et l'élimination des habitats de reproduction à proximité des établissements humains ;</w:t>
      </w:r>
    </w:p>
    <w:p w14:paraId="517AF577" w14:textId="77777777" w:rsidR="009021F1" w:rsidRPr="00D579BE" w:rsidRDefault="009021F1" w:rsidP="009021F1">
      <w:pPr>
        <w:pStyle w:val="Paragraphedeliste"/>
        <w:numPr>
          <w:ilvl w:val="0"/>
          <w:numId w:val="56"/>
        </w:numPr>
        <w:rPr>
          <w:szCs w:val="21"/>
        </w:rPr>
      </w:pPr>
      <w:r w:rsidRPr="00D579BE">
        <w:rPr>
          <w:szCs w:val="21"/>
        </w:rPr>
        <w:t>Prévenir et minimiser la contamination et la propagation ;</w:t>
      </w:r>
    </w:p>
    <w:p w14:paraId="7527C353" w14:textId="77777777" w:rsidR="009021F1" w:rsidRPr="00D579BE" w:rsidRDefault="009021F1" w:rsidP="009021F1">
      <w:pPr>
        <w:pStyle w:val="Paragraphedeliste"/>
        <w:numPr>
          <w:ilvl w:val="0"/>
          <w:numId w:val="56"/>
        </w:numPr>
        <w:rPr>
          <w:szCs w:val="21"/>
        </w:rPr>
      </w:pPr>
      <w:r w:rsidRPr="00D579BE">
        <w:rPr>
          <w:szCs w:val="21"/>
        </w:rPr>
        <w:t>Éliminer les eaux stagnantes ;</w:t>
      </w:r>
    </w:p>
    <w:p w14:paraId="117D32FA" w14:textId="77777777" w:rsidR="009021F1" w:rsidRPr="00D579BE" w:rsidRDefault="009021F1" w:rsidP="009021F1">
      <w:pPr>
        <w:pStyle w:val="Paragraphedeliste"/>
        <w:numPr>
          <w:ilvl w:val="0"/>
          <w:numId w:val="56"/>
        </w:numPr>
        <w:rPr>
          <w:szCs w:val="21"/>
        </w:rPr>
      </w:pPr>
      <w:r w:rsidRPr="00D579BE">
        <w:rPr>
          <w:szCs w:val="21"/>
        </w:rPr>
        <w:t>Mettre en œuvre des programmes de lutte intégrée contre les vecteurs ;</w:t>
      </w:r>
    </w:p>
    <w:p w14:paraId="0B1962FC" w14:textId="77777777" w:rsidR="009021F1" w:rsidRPr="00D579BE" w:rsidRDefault="009021F1" w:rsidP="009021F1">
      <w:pPr>
        <w:pStyle w:val="Paragraphedeliste"/>
        <w:numPr>
          <w:ilvl w:val="0"/>
          <w:numId w:val="56"/>
        </w:numPr>
        <w:rPr>
          <w:szCs w:val="21"/>
        </w:rPr>
      </w:pPr>
      <w:r w:rsidRPr="00D579BE">
        <w:rPr>
          <w:szCs w:val="21"/>
        </w:rPr>
        <w:t>Promouvoir l'utilisation de répulsifs, de vêtements, de filets et d'autres barrières pour prévenir les piqûres d'insectes ;</w:t>
      </w:r>
    </w:p>
    <w:p w14:paraId="67F71FEE" w14:textId="77777777" w:rsidR="009021F1" w:rsidRPr="00D579BE" w:rsidRDefault="009021F1" w:rsidP="009021F1">
      <w:pPr>
        <w:pStyle w:val="Paragraphedeliste"/>
        <w:numPr>
          <w:ilvl w:val="0"/>
          <w:numId w:val="56"/>
        </w:numPr>
        <w:rPr>
          <w:szCs w:val="21"/>
        </w:rPr>
      </w:pPr>
      <w:r w:rsidRPr="00D579BE">
        <w:rPr>
          <w:szCs w:val="21"/>
        </w:rPr>
        <w:t>Sensibiliser le personnel du projet aux risques, à la prévention et aux traitements disponibles ;</w:t>
      </w:r>
    </w:p>
    <w:p w14:paraId="0E90EB1E" w14:textId="77777777" w:rsidR="009021F1" w:rsidRPr="00D579BE" w:rsidRDefault="009021F1" w:rsidP="009021F1">
      <w:pPr>
        <w:pStyle w:val="Paragraphedeliste"/>
        <w:numPr>
          <w:ilvl w:val="0"/>
          <w:numId w:val="56"/>
        </w:numPr>
        <w:rPr>
          <w:szCs w:val="21"/>
        </w:rPr>
      </w:pPr>
      <w:r w:rsidRPr="00D579BE">
        <w:rPr>
          <w:szCs w:val="21"/>
        </w:rPr>
        <w:t>Distribuer du matériel éducatif approprié ; et</w:t>
      </w:r>
    </w:p>
    <w:p w14:paraId="6898A8D3" w14:textId="77777777" w:rsidR="009021F1" w:rsidRPr="00D579BE" w:rsidRDefault="009021F1" w:rsidP="009021F1">
      <w:pPr>
        <w:pStyle w:val="Paragraphedeliste"/>
        <w:numPr>
          <w:ilvl w:val="0"/>
          <w:numId w:val="56"/>
        </w:numPr>
        <w:rPr>
          <w:szCs w:val="21"/>
        </w:rPr>
      </w:pPr>
      <w:r w:rsidRPr="00D579BE">
        <w:rPr>
          <w:szCs w:val="21"/>
        </w:rPr>
        <w:t>Suivre les directives de sécurité pour le stockage, le transport et la distribution des pesticides afin de minimiser les risques de mauvaise utilisation, de déversement et d'exposition humaine accidentelle.</w:t>
      </w:r>
    </w:p>
    <w:p w14:paraId="43919911" w14:textId="77777777" w:rsidR="009021F1" w:rsidRPr="00D579BE" w:rsidRDefault="009021F1" w:rsidP="009021F1">
      <w:pPr>
        <w:rPr>
          <w:b/>
          <w:szCs w:val="21"/>
          <w:lang w:val="x-none" w:eastAsia="x-none"/>
        </w:rPr>
      </w:pPr>
    </w:p>
    <w:p w14:paraId="43AA0907" w14:textId="77777777" w:rsidR="009021F1" w:rsidRPr="00D579BE" w:rsidRDefault="009021F1" w:rsidP="009021F1">
      <w:pPr>
        <w:rPr>
          <w:b/>
          <w:szCs w:val="21"/>
          <w:lang w:val="x-none" w:eastAsia="x-none"/>
        </w:rPr>
      </w:pPr>
      <w:r w:rsidRPr="00D579BE">
        <w:rPr>
          <w:b/>
          <w:szCs w:val="21"/>
          <w:lang w:val="x-none" w:eastAsia="x-none"/>
        </w:rPr>
        <w:t>Maladies Contagieuses</w:t>
      </w:r>
    </w:p>
    <w:p w14:paraId="6D2921F0" w14:textId="77777777" w:rsidR="009021F1" w:rsidRPr="00D579BE" w:rsidRDefault="009021F1" w:rsidP="009021F1">
      <w:pPr>
        <w:rPr>
          <w:b/>
          <w:szCs w:val="21"/>
          <w:lang w:val="x-none" w:eastAsia="x-none"/>
        </w:rPr>
      </w:pPr>
    </w:p>
    <w:p w14:paraId="5E07F091" w14:textId="77777777" w:rsidR="009021F1" w:rsidRPr="00D579BE" w:rsidRDefault="009021F1" w:rsidP="009021F1">
      <w:pPr>
        <w:rPr>
          <w:szCs w:val="21"/>
        </w:rPr>
      </w:pPr>
      <w:r w:rsidRPr="00D579BE">
        <w:rPr>
          <w:szCs w:val="21"/>
        </w:rPr>
        <w:t>La mobilité de la main-d'œuvre pendant les travaux peut propager les maladies contagieuses, notamment les maladies sexuellement transmissibles (MST), telles que le VIH/SIDA.  Reconnaissant qu'aucune mesure unique n'est susceptible d'être efficace à long terme, l’Entreprise doit inclure une combinaison de modifications comportementales et environnementales pour atténuer ces maladies transmissibles :</w:t>
      </w:r>
    </w:p>
    <w:p w14:paraId="71A4D898" w14:textId="77777777" w:rsidR="009021F1" w:rsidRPr="00D579BE" w:rsidRDefault="009021F1" w:rsidP="009021F1">
      <w:pPr>
        <w:pStyle w:val="Paragraphedeliste"/>
        <w:numPr>
          <w:ilvl w:val="0"/>
          <w:numId w:val="56"/>
        </w:numPr>
        <w:rPr>
          <w:szCs w:val="21"/>
        </w:rPr>
      </w:pPr>
      <w:r w:rsidRPr="00D579BE">
        <w:rPr>
          <w:szCs w:val="21"/>
        </w:rPr>
        <w:t>Prévoir un dépistage actif, un diagnostic, des conseils et l'orientation des travailleurs vers un programme national dédié aux MST et au VIH/SIDA, (sauf accord contraire) de l'ensemble du personnel et de la main-d'œuvre du chantier ;</w:t>
      </w:r>
    </w:p>
    <w:p w14:paraId="5C162AF7" w14:textId="77777777" w:rsidR="009021F1" w:rsidRPr="00D579BE" w:rsidRDefault="009021F1" w:rsidP="009021F1">
      <w:pPr>
        <w:pStyle w:val="Paragraphedeliste"/>
        <w:numPr>
          <w:ilvl w:val="0"/>
          <w:numId w:val="56"/>
        </w:numPr>
        <w:rPr>
          <w:szCs w:val="21"/>
        </w:rPr>
      </w:pPr>
      <w:r w:rsidRPr="00D579BE">
        <w:rPr>
          <w:szCs w:val="21"/>
        </w:rPr>
        <w:t>Mener des campagnes d'information, d'éducation et de consultation (IEC), au moins tous les deux mois, à l'intention de l'ensemble du personnel et de la main-d'œuvre du site (y compris tous les employés de l’Entreprise, tous les sous-traitants de tout niveau et les employés des consultants travaillant sur le site, ainsi que les chauffeurs de camion et les équipes effectuant des livraisons sur le site pour les travaux et les services exécutés dans le cadre du contrat), concernant les risques, les dangers et l'impact, et les comportements appropriés pour éviter la propagation ;</w:t>
      </w:r>
    </w:p>
    <w:p w14:paraId="597B275C" w14:textId="77777777" w:rsidR="009021F1" w:rsidRPr="00D579BE" w:rsidRDefault="009021F1" w:rsidP="009021F1">
      <w:pPr>
        <w:pStyle w:val="Paragraphedeliste"/>
        <w:numPr>
          <w:ilvl w:val="0"/>
          <w:numId w:val="56"/>
        </w:numPr>
        <w:rPr>
          <w:szCs w:val="21"/>
        </w:rPr>
      </w:pPr>
      <w:r w:rsidRPr="00D579BE">
        <w:rPr>
          <w:szCs w:val="21"/>
        </w:rPr>
        <w:t>Fournir des préservatifs masculins ou féminins à l'ensemble du personnel et des travailleurs du site, selon le cas ;</w:t>
      </w:r>
    </w:p>
    <w:p w14:paraId="64A1E842" w14:textId="77777777" w:rsidR="009021F1" w:rsidRPr="00D579BE" w:rsidRDefault="009021F1" w:rsidP="009021F1">
      <w:pPr>
        <w:pStyle w:val="Paragraphedeliste"/>
        <w:numPr>
          <w:ilvl w:val="0"/>
          <w:numId w:val="56"/>
        </w:numPr>
        <w:rPr>
          <w:szCs w:val="21"/>
        </w:rPr>
      </w:pPr>
      <w:r w:rsidRPr="00D579BE">
        <w:rPr>
          <w:szCs w:val="21"/>
        </w:rPr>
        <w:t>Fournir un traitement par le biais d'une gestion de cas standard dans les établissements de soins de santé du site ou de la communauté ;</w:t>
      </w:r>
    </w:p>
    <w:p w14:paraId="32582523" w14:textId="77777777" w:rsidR="009021F1" w:rsidRPr="00D579BE" w:rsidRDefault="009021F1" w:rsidP="009021F1">
      <w:pPr>
        <w:pStyle w:val="Paragraphedeliste"/>
        <w:numPr>
          <w:ilvl w:val="0"/>
          <w:numId w:val="56"/>
        </w:numPr>
        <w:rPr>
          <w:szCs w:val="21"/>
        </w:rPr>
      </w:pPr>
      <w:r w:rsidRPr="00D579BE">
        <w:rPr>
          <w:szCs w:val="21"/>
        </w:rPr>
        <w:t>Garantir un accès facile au traitement médical, à la confidentialité et aux soins appropriés, en particulier en ce qui concerne les travailleurs migrants ;</w:t>
      </w:r>
    </w:p>
    <w:p w14:paraId="7A957E89" w14:textId="77777777" w:rsidR="009021F1" w:rsidRPr="00D579BE" w:rsidRDefault="009021F1" w:rsidP="009021F1">
      <w:pPr>
        <w:pStyle w:val="Paragraphedeliste"/>
        <w:numPr>
          <w:ilvl w:val="0"/>
          <w:numId w:val="56"/>
        </w:numPr>
        <w:rPr>
          <w:szCs w:val="21"/>
        </w:rPr>
      </w:pPr>
      <w:r w:rsidRPr="00D579BE">
        <w:rPr>
          <w:szCs w:val="21"/>
        </w:rPr>
        <w:t>Promouvoir la collaboration avec les autorités locales pour améliorer l'accès des familles des travailleurs et de la communauté aux services de santé publique et assurer l'immunisation des travailleurs contre les maladies courantes et localement répandues ;</w:t>
      </w:r>
    </w:p>
    <w:p w14:paraId="54245145" w14:textId="77777777" w:rsidR="009021F1" w:rsidRPr="00D579BE" w:rsidRDefault="009021F1" w:rsidP="009021F1">
      <w:pPr>
        <w:pStyle w:val="Paragraphedeliste"/>
        <w:numPr>
          <w:ilvl w:val="0"/>
          <w:numId w:val="56"/>
        </w:numPr>
        <w:rPr>
          <w:szCs w:val="21"/>
        </w:rPr>
      </w:pPr>
      <w:r w:rsidRPr="00D579BE">
        <w:rPr>
          <w:szCs w:val="21"/>
        </w:rPr>
        <w:t>Fournir une éducation de base sur les conditions qui permettent la propagation d'autres maladies telles que la fièvre de Lassa, le choléra et le virus Ébola.  La formation doit couvrir l'éducation à l'hygiène sanitaire ;</w:t>
      </w:r>
    </w:p>
    <w:p w14:paraId="104E9584" w14:textId="77777777" w:rsidR="009021F1" w:rsidRPr="00D579BE" w:rsidRDefault="009021F1" w:rsidP="009021F1">
      <w:pPr>
        <w:pStyle w:val="Paragraphedeliste"/>
        <w:numPr>
          <w:ilvl w:val="0"/>
          <w:numId w:val="56"/>
        </w:numPr>
        <w:rPr>
          <w:szCs w:val="21"/>
        </w:rPr>
      </w:pPr>
      <w:r w:rsidRPr="00D579BE">
        <w:rPr>
          <w:szCs w:val="21"/>
        </w:rPr>
        <w:t>Prévenir les maladies dans les communautés voisines des installations du Projet ;</w:t>
      </w:r>
    </w:p>
    <w:p w14:paraId="31CAAD70" w14:textId="77777777" w:rsidR="009021F1" w:rsidRPr="00D579BE" w:rsidRDefault="009021F1" w:rsidP="009021F1">
      <w:pPr>
        <w:pStyle w:val="Paragraphedeliste"/>
        <w:numPr>
          <w:ilvl w:val="0"/>
          <w:numId w:val="56"/>
        </w:numPr>
        <w:rPr>
          <w:szCs w:val="21"/>
        </w:rPr>
      </w:pPr>
      <w:r w:rsidRPr="00D579BE">
        <w:rPr>
          <w:szCs w:val="21"/>
        </w:rPr>
        <w:t>Mettre en œuvre une stratégie d'information pour renforcer les conseils de personne à personne sur les facteurs systémiques qui peuvent influencer le comportement individuel ainsi qu'en promouvant la protection individuelle et en protégeant les autres de l'infection, en encourageant l'utilisation de préservatifs ;</w:t>
      </w:r>
    </w:p>
    <w:p w14:paraId="476C7C47" w14:textId="77777777" w:rsidR="009021F1" w:rsidRPr="00D579BE" w:rsidRDefault="009021F1" w:rsidP="009021F1">
      <w:pPr>
        <w:pStyle w:val="Paragraphedeliste"/>
        <w:numPr>
          <w:ilvl w:val="0"/>
          <w:numId w:val="56"/>
        </w:numPr>
        <w:rPr>
          <w:szCs w:val="21"/>
        </w:rPr>
      </w:pPr>
      <w:r w:rsidRPr="00D579BE">
        <w:rPr>
          <w:szCs w:val="21"/>
        </w:rPr>
        <w:t>Former les travailleurs de la santé au traitement des maladies ;</w:t>
      </w:r>
    </w:p>
    <w:p w14:paraId="27E87A6C" w14:textId="77777777" w:rsidR="009021F1" w:rsidRPr="00D579BE" w:rsidRDefault="009021F1" w:rsidP="009021F1">
      <w:pPr>
        <w:pStyle w:val="Paragraphedeliste"/>
        <w:numPr>
          <w:ilvl w:val="0"/>
          <w:numId w:val="56"/>
        </w:numPr>
        <w:rPr>
          <w:szCs w:val="21"/>
        </w:rPr>
      </w:pPr>
      <w:r w:rsidRPr="00D579BE">
        <w:rPr>
          <w:szCs w:val="21"/>
        </w:rPr>
        <w:t>Mener des programmes de vaccination pour les travailleurs des communautés locales afin d'améliorer la santé et de se prémunir contre les infections ;</w:t>
      </w:r>
    </w:p>
    <w:p w14:paraId="1CAD57C7" w14:textId="77777777" w:rsidR="009021F1" w:rsidRPr="00D579BE" w:rsidRDefault="009021F1" w:rsidP="009021F1">
      <w:pPr>
        <w:pStyle w:val="Paragraphedeliste"/>
        <w:numPr>
          <w:ilvl w:val="0"/>
          <w:numId w:val="56"/>
        </w:numPr>
        <w:rPr>
          <w:szCs w:val="21"/>
        </w:rPr>
      </w:pPr>
      <w:r w:rsidRPr="00D579BE">
        <w:rPr>
          <w:szCs w:val="21"/>
        </w:rPr>
        <w:t>Fournir des services de santé ; et</w:t>
      </w:r>
    </w:p>
    <w:p w14:paraId="410D3F44" w14:textId="77777777" w:rsidR="009021F1" w:rsidRPr="00D579BE" w:rsidRDefault="009021F1" w:rsidP="009021F1">
      <w:pPr>
        <w:pStyle w:val="Paragraphedeliste"/>
        <w:numPr>
          <w:ilvl w:val="0"/>
          <w:numId w:val="56"/>
        </w:numPr>
        <w:rPr>
          <w:szCs w:val="21"/>
        </w:rPr>
      </w:pPr>
      <w:r w:rsidRPr="00D579BE">
        <w:rPr>
          <w:szCs w:val="21"/>
        </w:rPr>
        <w:t>Confier à un prestataire de services VIH la tâche d'être disponible sur place.</w:t>
      </w:r>
    </w:p>
    <w:p w14:paraId="3440E29B" w14:textId="77777777" w:rsidR="009021F1" w:rsidRPr="00D579BE" w:rsidRDefault="009021F1" w:rsidP="009021F1">
      <w:pPr>
        <w:rPr>
          <w:b/>
          <w:szCs w:val="21"/>
          <w:lang w:val="x-none" w:eastAsia="x-none"/>
        </w:rPr>
      </w:pPr>
    </w:p>
    <w:p w14:paraId="3842120D" w14:textId="77777777" w:rsidR="009021F1" w:rsidRPr="00D579BE" w:rsidRDefault="009021F1" w:rsidP="009021F1">
      <w:pPr>
        <w:rPr>
          <w:b/>
          <w:szCs w:val="21"/>
          <w:lang w:val="x-none" w:eastAsia="x-none"/>
        </w:rPr>
      </w:pPr>
      <w:r w:rsidRPr="00D579BE">
        <w:rPr>
          <w:b/>
          <w:szCs w:val="21"/>
          <w:lang w:val="x-none" w:eastAsia="x-none"/>
        </w:rPr>
        <w:t>COVID-19</w:t>
      </w:r>
    </w:p>
    <w:p w14:paraId="59BB49F9" w14:textId="77777777" w:rsidR="009021F1" w:rsidRPr="00D579BE" w:rsidRDefault="009021F1" w:rsidP="009021F1">
      <w:pPr>
        <w:rPr>
          <w:szCs w:val="21"/>
        </w:rPr>
      </w:pPr>
    </w:p>
    <w:p w14:paraId="0111B9B7" w14:textId="77777777" w:rsidR="009021F1" w:rsidRPr="00D579BE" w:rsidRDefault="009021F1" w:rsidP="009021F1">
      <w:pPr>
        <w:rPr>
          <w:szCs w:val="21"/>
        </w:rPr>
      </w:pPr>
      <w:r w:rsidRPr="00D579BE">
        <w:rPr>
          <w:szCs w:val="21"/>
        </w:rPr>
        <w:t>Dans le contexte de la pandémie COVID-19, l’Entreprise devra élaborer et mettre en œuvre des mesures visant à prévenir ou à réduire au minimum la pandémie, et indiquant ce qu'il convient de faire si un travailleur tombe malade.  À ce titre, l’Entreprise doit :</w:t>
      </w:r>
    </w:p>
    <w:p w14:paraId="200E564F" w14:textId="77777777" w:rsidR="009021F1" w:rsidRPr="00D579BE" w:rsidRDefault="009021F1" w:rsidP="009021F1">
      <w:pPr>
        <w:rPr>
          <w:szCs w:val="21"/>
        </w:rPr>
      </w:pPr>
    </w:p>
    <w:p w14:paraId="6111CA59" w14:textId="77777777" w:rsidR="009021F1" w:rsidRPr="00D579BE" w:rsidRDefault="009021F1" w:rsidP="009021F1">
      <w:pPr>
        <w:pStyle w:val="Paragraphedeliste"/>
        <w:numPr>
          <w:ilvl w:val="0"/>
          <w:numId w:val="56"/>
        </w:numPr>
        <w:rPr>
          <w:szCs w:val="21"/>
        </w:rPr>
      </w:pPr>
      <w:r w:rsidRPr="00D579BE">
        <w:rPr>
          <w:szCs w:val="21"/>
        </w:rPr>
        <w:t>Identifier les employés qui présentent des problèmes de santé sous-jacents ou qui peuvent être autrement à risque ;</w:t>
      </w:r>
    </w:p>
    <w:p w14:paraId="028C9FC6" w14:textId="77777777" w:rsidR="009021F1" w:rsidRPr="00D579BE" w:rsidRDefault="009021F1" w:rsidP="009021F1">
      <w:pPr>
        <w:pStyle w:val="Paragraphedeliste"/>
        <w:numPr>
          <w:ilvl w:val="0"/>
          <w:numId w:val="56"/>
        </w:numPr>
        <w:rPr>
          <w:szCs w:val="21"/>
        </w:rPr>
      </w:pPr>
      <w:r w:rsidRPr="00D579BE">
        <w:rPr>
          <w:szCs w:val="21"/>
        </w:rPr>
        <w:t>Confirmer que les travailleurs sont aptes au travail, y compris en contrôlant leur température et en refusant l'entrée aux travailleurs malades ;</w:t>
      </w:r>
    </w:p>
    <w:p w14:paraId="67DA2C38" w14:textId="77777777" w:rsidR="009021F1" w:rsidRPr="00D579BE" w:rsidRDefault="009021F1" w:rsidP="009021F1">
      <w:pPr>
        <w:pStyle w:val="Paragraphedeliste"/>
        <w:numPr>
          <w:ilvl w:val="0"/>
          <w:numId w:val="56"/>
        </w:numPr>
        <w:rPr>
          <w:szCs w:val="21"/>
        </w:rPr>
      </w:pPr>
      <w:r w:rsidRPr="00D579BE">
        <w:rPr>
          <w:szCs w:val="21"/>
        </w:rPr>
        <w:t>Envisager des moyens afin de réduire au minimum les entrées/sorties sur le site ou le lieu de travail et de limiter les contacts entre les travailleurs et la communauté/le grand public ;</w:t>
      </w:r>
    </w:p>
    <w:p w14:paraId="37DF5084" w14:textId="77777777" w:rsidR="009021F1" w:rsidRPr="00D579BE" w:rsidRDefault="009021F1" w:rsidP="009021F1">
      <w:pPr>
        <w:pStyle w:val="Paragraphedeliste"/>
        <w:numPr>
          <w:ilvl w:val="0"/>
          <w:numId w:val="56"/>
        </w:numPr>
        <w:rPr>
          <w:szCs w:val="21"/>
        </w:rPr>
      </w:pPr>
      <w:r w:rsidRPr="00D579BE">
        <w:rPr>
          <w:szCs w:val="21"/>
        </w:rPr>
        <w:t>Former les employés à l'hygiène et aux autres mesures préventives, et mettre en œuvre une stratégie de communication, y compris des mises à jour régulières sur les questions liées à COVID-19 et le statut des travailleurs concernés ;</w:t>
      </w:r>
    </w:p>
    <w:p w14:paraId="0D209F37" w14:textId="77777777" w:rsidR="009021F1" w:rsidRPr="00D579BE" w:rsidRDefault="009021F1" w:rsidP="009021F1">
      <w:pPr>
        <w:pStyle w:val="Paragraphedeliste"/>
        <w:numPr>
          <w:ilvl w:val="0"/>
          <w:numId w:val="56"/>
        </w:numPr>
        <w:rPr>
          <w:szCs w:val="21"/>
        </w:rPr>
      </w:pPr>
      <w:r w:rsidRPr="00D579BE">
        <w:rPr>
          <w:szCs w:val="21"/>
        </w:rPr>
        <w:t>Continuer de traiter les travailleurs qui s'isolent ou devraient s'isoler et/ou qui présentent des symptômes ;</w:t>
      </w:r>
    </w:p>
    <w:p w14:paraId="3788AA7E" w14:textId="77777777" w:rsidR="009021F1" w:rsidRPr="00D579BE" w:rsidRDefault="009021F1" w:rsidP="009021F1">
      <w:pPr>
        <w:pStyle w:val="Paragraphedeliste"/>
        <w:numPr>
          <w:ilvl w:val="0"/>
          <w:numId w:val="56"/>
        </w:numPr>
        <w:rPr>
          <w:szCs w:val="21"/>
        </w:rPr>
      </w:pPr>
      <w:r w:rsidRPr="00D579BE">
        <w:rPr>
          <w:szCs w:val="21"/>
        </w:rPr>
        <w:t>Évaluer les risques pour la continuité de l'approvisionnement en médicaments, en eau, en carburant, en nourriture et en EPI, en tenant compte des chaînes d'approvisionnement internationales, nationales et locales ;</w:t>
      </w:r>
    </w:p>
    <w:p w14:paraId="11016F61" w14:textId="77777777" w:rsidR="009021F1" w:rsidRPr="00D579BE" w:rsidRDefault="009021F1" w:rsidP="009021F1">
      <w:pPr>
        <w:pStyle w:val="Paragraphedeliste"/>
        <w:numPr>
          <w:ilvl w:val="0"/>
          <w:numId w:val="56"/>
        </w:numPr>
        <w:rPr>
          <w:szCs w:val="21"/>
        </w:rPr>
      </w:pPr>
      <w:r w:rsidRPr="00D579BE">
        <w:rPr>
          <w:szCs w:val="21"/>
        </w:rPr>
        <w:t>Réduire, stocker et éliminer les déchets médicaux ;</w:t>
      </w:r>
    </w:p>
    <w:p w14:paraId="7F1A9A46" w14:textId="77777777" w:rsidR="009021F1" w:rsidRPr="00D579BE" w:rsidRDefault="009021F1" w:rsidP="009021F1">
      <w:pPr>
        <w:pStyle w:val="Paragraphedeliste"/>
        <w:numPr>
          <w:ilvl w:val="0"/>
          <w:numId w:val="56"/>
        </w:numPr>
        <w:rPr>
          <w:szCs w:val="21"/>
        </w:rPr>
      </w:pPr>
      <w:r w:rsidRPr="00D579BE">
        <w:rPr>
          <w:szCs w:val="21"/>
        </w:rPr>
        <w:t>Adapter des pratiques de travail permettant de réduire le nombre de travailleurs et d’accroître la distance sociale ;</w:t>
      </w:r>
    </w:p>
    <w:p w14:paraId="3A9D7EEB" w14:textId="77777777" w:rsidR="009021F1" w:rsidRPr="00D579BE" w:rsidRDefault="009021F1" w:rsidP="009021F1">
      <w:pPr>
        <w:pStyle w:val="Paragraphedeliste"/>
        <w:numPr>
          <w:ilvl w:val="0"/>
          <w:numId w:val="56"/>
        </w:numPr>
        <w:rPr>
          <w:szCs w:val="21"/>
        </w:rPr>
      </w:pPr>
      <w:r w:rsidRPr="00D579BE">
        <w:rPr>
          <w:szCs w:val="21"/>
        </w:rPr>
        <w:t>Développer les capacités de traitement sur le site par rapport au niveau habituel, développer les relations avec les établissements de santé locaux, et organiser le traitement des travailleurs malades ;</w:t>
      </w:r>
    </w:p>
    <w:p w14:paraId="471AD137" w14:textId="77777777" w:rsidR="009021F1" w:rsidRPr="00D579BE" w:rsidRDefault="009021F1" w:rsidP="009021F1">
      <w:pPr>
        <w:pStyle w:val="Paragraphedeliste"/>
        <w:numPr>
          <w:ilvl w:val="0"/>
          <w:numId w:val="56"/>
        </w:numPr>
        <w:rPr>
          <w:szCs w:val="21"/>
        </w:rPr>
      </w:pPr>
      <w:r w:rsidRPr="00D579BE">
        <w:rPr>
          <w:szCs w:val="21"/>
        </w:rPr>
        <w:t>Construire des logements pour les travailleurs plus éloignés les uns des autres, ou avoir un logement dans une zone plus isolée, qui peut être facilement converti en installations de quarantaine et de traitement, si nécessaire ;</w:t>
      </w:r>
    </w:p>
    <w:p w14:paraId="6AD90EA2" w14:textId="77777777" w:rsidR="009021F1" w:rsidRPr="00D579BE" w:rsidRDefault="009021F1" w:rsidP="009021F1">
      <w:pPr>
        <w:pStyle w:val="Paragraphedeliste"/>
        <w:numPr>
          <w:ilvl w:val="0"/>
          <w:numId w:val="56"/>
        </w:numPr>
        <w:rPr>
          <w:szCs w:val="21"/>
        </w:rPr>
      </w:pPr>
      <w:r w:rsidRPr="00D579BE">
        <w:rPr>
          <w:szCs w:val="21"/>
        </w:rPr>
        <w:t>Établir la procédure à suivre si un travailleur tombe malade (en suivant les directives de l'OMS) ; et</w:t>
      </w:r>
    </w:p>
    <w:p w14:paraId="24134D05" w14:textId="77777777" w:rsidR="009021F1" w:rsidRPr="00D579BE" w:rsidRDefault="009021F1" w:rsidP="009021F1">
      <w:pPr>
        <w:pStyle w:val="Paragraphedeliste"/>
        <w:numPr>
          <w:ilvl w:val="0"/>
          <w:numId w:val="56"/>
        </w:numPr>
        <w:rPr>
          <w:szCs w:val="21"/>
        </w:rPr>
      </w:pPr>
      <w:r w:rsidRPr="00D579BE">
        <w:rPr>
          <w:szCs w:val="21"/>
        </w:rPr>
        <w:t>Mettre en œuvre une stratégie de communication avec la communauté, les dirigeants communautaires et les autorités locales en ce qui concerne les questions relatives à COVID-19 sur les sites du Projet.</w:t>
      </w:r>
    </w:p>
    <w:p w14:paraId="137E8F83" w14:textId="77777777" w:rsidR="009021F1" w:rsidRPr="00D579BE" w:rsidRDefault="009021F1" w:rsidP="009021F1">
      <w:pPr>
        <w:rPr>
          <w:b/>
          <w:szCs w:val="21"/>
        </w:rPr>
      </w:pPr>
    </w:p>
    <w:p w14:paraId="79544E22" w14:textId="77777777" w:rsidR="009021F1" w:rsidRPr="00D579BE" w:rsidRDefault="009021F1" w:rsidP="009021F1">
      <w:pPr>
        <w:rPr>
          <w:b/>
          <w:szCs w:val="21"/>
        </w:rPr>
      </w:pPr>
      <w:r w:rsidRPr="00D579BE">
        <w:rPr>
          <w:b/>
          <w:szCs w:val="21"/>
        </w:rPr>
        <w:t>Interdiction du travail et exploitation des enfants</w:t>
      </w:r>
    </w:p>
    <w:p w14:paraId="32465B60" w14:textId="77777777" w:rsidR="009021F1" w:rsidRPr="00D579BE" w:rsidRDefault="009021F1" w:rsidP="009021F1">
      <w:pPr>
        <w:rPr>
          <w:b/>
          <w:i/>
          <w:szCs w:val="21"/>
        </w:rPr>
      </w:pPr>
    </w:p>
    <w:p w14:paraId="502C3071" w14:textId="77777777" w:rsidR="009021F1" w:rsidRPr="00D579BE" w:rsidRDefault="009021F1" w:rsidP="009021F1">
      <w:pPr>
        <w:rPr>
          <w:szCs w:val="21"/>
        </w:rPr>
      </w:pPr>
      <w:r w:rsidRPr="00D579BE">
        <w:rPr>
          <w:szCs w:val="21"/>
        </w:rPr>
        <w:t>L’entrepreneur ne doit pas embaucher les enfants de moins de 18 ans. Ex : L’Entrepreneur n'emploiera pas d’enfants d’une manière qui revient à les exploiter économiquement ou dont il est probable qu'elle soit dangereuse ou qu'elle interfère avec l'éducation de l'enfant ou qu'elle soit dommageable pour sa santé ou son développement physique, mental, spirituel, moral ou social. Si le droit national prévoit l’emploi des mineurs, l’Entrepreneur respectera les lois qui lui sont applicables. Les enfants de moins de dix-huit ans ne seront pas employés à des travaux dangereux.</w:t>
      </w:r>
    </w:p>
    <w:p w14:paraId="4A4B2C3A" w14:textId="77777777" w:rsidR="009021F1" w:rsidRPr="00D579BE" w:rsidRDefault="009021F1" w:rsidP="009021F1">
      <w:pPr>
        <w:rPr>
          <w:szCs w:val="21"/>
        </w:rPr>
      </w:pPr>
    </w:p>
    <w:p w14:paraId="40EC8A5B" w14:textId="77777777" w:rsidR="009021F1" w:rsidRPr="00D579BE" w:rsidRDefault="009021F1" w:rsidP="009021F1">
      <w:pPr>
        <w:rPr>
          <w:b/>
          <w:szCs w:val="21"/>
        </w:rPr>
      </w:pPr>
      <w:r w:rsidRPr="00D579BE">
        <w:rPr>
          <w:b/>
          <w:szCs w:val="21"/>
        </w:rPr>
        <w:t>Prévention, atténuation er réponse contre les VBG/EAS/HS</w:t>
      </w:r>
    </w:p>
    <w:p w14:paraId="4D84A45E" w14:textId="77777777" w:rsidR="009021F1" w:rsidRPr="00D579BE" w:rsidRDefault="009021F1" w:rsidP="009021F1">
      <w:pPr>
        <w:rPr>
          <w:b/>
          <w:i/>
          <w:szCs w:val="21"/>
        </w:rPr>
      </w:pPr>
    </w:p>
    <w:p w14:paraId="74A285C8" w14:textId="77777777" w:rsidR="009021F1" w:rsidRPr="00D579BE" w:rsidRDefault="009021F1" w:rsidP="009021F1">
      <w:pPr>
        <w:rPr>
          <w:szCs w:val="21"/>
        </w:rPr>
      </w:pPr>
      <w:r w:rsidRPr="00D579BE">
        <w:rPr>
          <w:szCs w:val="21"/>
        </w:rPr>
        <w:t>L’Entrepreneur doit informer et former son personnel sur les risques liés à la commission des incidents VBG/EAS/HS. Il doit veiller à créer un environnement dans lequel les incidents des VBG ne se perpétuent pas. Et l’entrepreneur sera responsable aussi de prévoir des mesures de prévention comme : (i) l’affichage du code de conduite dans lieux visibles et accessibles pour tous les travailleurs, et ce dans différentes langues, (ii) faciliter la formation des travailleurs, et la signature du Code de Conduite etc.</w:t>
      </w:r>
    </w:p>
    <w:p w14:paraId="19F34F7B" w14:textId="77777777" w:rsidR="009021F1" w:rsidRPr="00D579BE" w:rsidRDefault="009021F1" w:rsidP="009021F1">
      <w:pPr>
        <w:rPr>
          <w:szCs w:val="21"/>
        </w:rPr>
      </w:pPr>
    </w:p>
    <w:p w14:paraId="263CE50C" w14:textId="77777777" w:rsidR="009021F1" w:rsidRPr="00D579BE" w:rsidRDefault="009021F1" w:rsidP="009021F1">
      <w:pPr>
        <w:rPr>
          <w:szCs w:val="21"/>
        </w:rPr>
      </w:pPr>
      <w:r w:rsidRPr="00D579BE">
        <w:rPr>
          <w:szCs w:val="21"/>
        </w:rPr>
        <w:t>Les Spécifications pour les Travaux doivent également comprendre les exigences environnementales, sociales (y compris les dispositions sur l’exploitation et les abus sexuels (EAS) et les violences à caractère sexiste (VCS), hygiène et sécurité (ESHS) que l’Entrepreneur doit satisfaire en exécutant les Travaux.</w:t>
      </w:r>
    </w:p>
    <w:p w14:paraId="092BBC27" w14:textId="77777777" w:rsidR="009021F1" w:rsidRPr="00D579BE" w:rsidRDefault="009021F1" w:rsidP="009021F1">
      <w:pPr>
        <w:rPr>
          <w:szCs w:val="21"/>
        </w:rPr>
      </w:pPr>
    </w:p>
    <w:p w14:paraId="6DDDDFE2" w14:textId="77777777" w:rsidR="009021F1" w:rsidRPr="00D579BE" w:rsidRDefault="009021F1" w:rsidP="009021F1">
      <w:pPr>
        <w:rPr>
          <w:szCs w:val="21"/>
        </w:rPr>
      </w:pPr>
      <w:r w:rsidRPr="00D579BE">
        <w:rPr>
          <w:szCs w:val="21"/>
        </w:rPr>
        <w:t>Les actes de VBG ou VCE constituent une faute grave et sont donc des motifs de sanctions, qui peuvent inclure des sanctions et/ou la cessation d'emploi, et si nécessaire le renvoi à la police pour d'autres mesures.</w:t>
      </w:r>
    </w:p>
    <w:p w14:paraId="73E2D862" w14:textId="77777777" w:rsidR="009021F1" w:rsidRPr="00D579BE" w:rsidRDefault="009021F1" w:rsidP="009021F1">
      <w:pPr>
        <w:rPr>
          <w:szCs w:val="21"/>
        </w:rPr>
      </w:pPr>
    </w:p>
    <w:tbl>
      <w:tblPr>
        <w:tblW w:w="9440" w:type="dxa"/>
        <w:tblCellMar>
          <w:left w:w="70" w:type="dxa"/>
          <w:right w:w="70" w:type="dxa"/>
        </w:tblCellMar>
        <w:tblLook w:val="04A0" w:firstRow="1" w:lastRow="0" w:firstColumn="1" w:lastColumn="0" w:noHBand="0" w:noVBand="1"/>
      </w:tblPr>
      <w:tblGrid>
        <w:gridCol w:w="3238"/>
        <w:gridCol w:w="6202"/>
      </w:tblGrid>
      <w:tr w:rsidR="009021F1" w:rsidRPr="00D579BE" w14:paraId="2C7429DE" w14:textId="77777777" w:rsidTr="00E637E3">
        <w:trPr>
          <w:trHeight w:val="744"/>
          <w:tblHeader/>
        </w:trPr>
        <w:tc>
          <w:tcPr>
            <w:tcW w:w="3238" w:type="dxa"/>
            <w:tcBorders>
              <w:top w:val="double" w:sz="6" w:space="0" w:color="auto"/>
              <w:left w:val="double" w:sz="6" w:space="0" w:color="auto"/>
              <w:bottom w:val="double" w:sz="6" w:space="0" w:color="auto"/>
              <w:right w:val="double" w:sz="6" w:space="0" w:color="auto"/>
            </w:tcBorders>
            <w:shd w:val="clear" w:color="000000" w:fill="E6B8B7"/>
            <w:vAlign w:val="center"/>
            <w:hideMark/>
          </w:tcPr>
          <w:p w14:paraId="60942E65" w14:textId="77777777" w:rsidR="009021F1" w:rsidRPr="00D579BE" w:rsidRDefault="009021F1" w:rsidP="00E637E3">
            <w:pPr>
              <w:jc w:val="center"/>
              <w:rPr>
                <w:b/>
                <w:bCs/>
                <w:color w:val="000000"/>
                <w:szCs w:val="21"/>
              </w:rPr>
            </w:pPr>
            <w:r w:rsidRPr="00D579BE">
              <w:rPr>
                <w:b/>
                <w:bCs/>
                <w:color w:val="000000"/>
                <w:szCs w:val="21"/>
              </w:rPr>
              <w:t>Mesures d'atténuation des risques VBG</w:t>
            </w:r>
          </w:p>
        </w:tc>
        <w:tc>
          <w:tcPr>
            <w:tcW w:w="6202" w:type="dxa"/>
            <w:tcBorders>
              <w:top w:val="double" w:sz="6" w:space="0" w:color="auto"/>
              <w:left w:val="nil"/>
              <w:bottom w:val="double" w:sz="6" w:space="0" w:color="auto"/>
              <w:right w:val="double" w:sz="6" w:space="0" w:color="auto"/>
            </w:tcBorders>
            <w:shd w:val="clear" w:color="000000" w:fill="E6B8B7"/>
            <w:vAlign w:val="center"/>
            <w:hideMark/>
          </w:tcPr>
          <w:p w14:paraId="2FC4D034" w14:textId="77777777" w:rsidR="009021F1" w:rsidRPr="00D579BE" w:rsidRDefault="009021F1" w:rsidP="00E637E3">
            <w:pPr>
              <w:jc w:val="center"/>
              <w:rPr>
                <w:b/>
                <w:bCs/>
                <w:color w:val="000000"/>
                <w:szCs w:val="21"/>
              </w:rPr>
            </w:pPr>
            <w:r w:rsidRPr="00D579BE">
              <w:rPr>
                <w:b/>
                <w:bCs/>
                <w:color w:val="000000"/>
                <w:szCs w:val="21"/>
              </w:rPr>
              <w:t>Cadrage</w:t>
            </w:r>
          </w:p>
        </w:tc>
      </w:tr>
      <w:tr w:rsidR="009021F1" w:rsidRPr="00D579BE" w14:paraId="598BEDDA" w14:textId="77777777" w:rsidTr="00E637E3">
        <w:trPr>
          <w:trHeight w:val="600"/>
        </w:trPr>
        <w:tc>
          <w:tcPr>
            <w:tcW w:w="3238" w:type="dxa"/>
            <w:tcBorders>
              <w:top w:val="nil"/>
              <w:left w:val="double" w:sz="6" w:space="0" w:color="auto"/>
              <w:bottom w:val="double" w:sz="6" w:space="0" w:color="auto"/>
              <w:right w:val="double" w:sz="6" w:space="0" w:color="auto"/>
            </w:tcBorders>
            <w:shd w:val="clear" w:color="auto" w:fill="auto"/>
            <w:hideMark/>
          </w:tcPr>
          <w:p w14:paraId="7F76EE5B" w14:textId="77777777" w:rsidR="009021F1" w:rsidRPr="00D579BE" w:rsidRDefault="009021F1" w:rsidP="00E637E3">
            <w:pPr>
              <w:rPr>
                <w:color w:val="000000"/>
                <w:szCs w:val="21"/>
              </w:rPr>
            </w:pPr>
            <w:r w:rsidRPr="00D579BE">
              <w:rPr>
                <w:color w:val="000000"/>
                <w:szCs w:val="21"/>
              </w:rPr>
              <w:t>Dépôt des plaintes au MGP</w:t>
            </w:r>
          </w:p>
        </w:tc>
        <w:tc>
          <w:tcPr>
            <w:tcW w:w="6202" w:type="dxa"/>
            <w:tcBorders>
              <w:top w:val="nil"/>
              <w:left w:val="nil"/>
              <w:bottom w:val="double" w:sz="6" w:space="0" w:color="auto"/>
              <w:right w:val="double" w:sz="6" w:space="0" w:color="auto"/>
            </w:tcBorders>
            <w:shd w:val="clear" w:color="auto" w:fill="auto"/>
            <w:hideMark/>
          </w:tcPr>
          <w:p w14:paraId="10A3088E" w14:textId="77777777" w:rsidR="009021F1" w:rsidRPr="00D579BE" w:rsidRDefault="009021F1" w:rsidP="00E637E3">
            <w:pPr>
              <w:rPr>
                <w:color w:val="000000"/>
                <w:szCs w:val="21"/>
              </w:rPr>
            </w:pPr>
            <w:r w:rsidRPr="00D579BE">
              <w:rPr>
                <w:color w:val="000000"/>
                <w:szCs w:val="21"/>
              </w:rPr>
              <w:t xml:space="preserve">Renforcer le système de partage d'information au sein de la coordination des ONG partenaires. </w:t>
            </w:r>
          </w:p>
        </w:tc>
      </w:tr>
      <w:tr w:rsidR="009021F1" w:rsidRPr="00D579BE" w14:paraId="206A481D" w14:textId="77777777" w:rsidTr="00E637E3">
        <w:trPr>
          <w:trHeight w:val="1674"/>
        </w:trPr>
        <w:tc>
          <w:tcPr>
            <w:tcW w:w="3238" w:type="dxa"/>
            <w:tcBorders>
              <w:top w:val="nil"/>
              <w:left w:val="double" w:sz="6" w:space="0" w:color="auto"/>
              <w:bottom w:val="double" w:sz="6" w:space="0" w:color="auto"/>
              <w:right w:val="double" w:sz="6" w:space="0" w:color="auto"/>
            </w:tcBorders>
            <w:shd w:val="clear" w:color="auto" w:fill="auto"/>
            <w:hideMark/>
          </w:tcPr>
          <w:p w14:paraId="68309BDC" w14:textId="77777777" w:rsidR="009021F1" w:rsidRPr="00D579BE" w:rsidRDefault="009021F1" w:rsidP="00E637E3">
            <w:pPr>
              <w:rPr>
                <w:color w:val="000000"/>
                <w:szCs w:val="21"/>
              </w:rPr>
            </w:pPr>
            <w:r w:rsidRPr="00D579BE">
              <w:rPr>
                <w:color w:val="000000"/>
                <w:szCs w:val="21"/>
              </w:rPr>
              <w:t>Formation des travailleurs et personnel</w:t>
            </w:r>
          </w:p>
        </w:tc>
        <w:tc>
          <w:tcPr>
            <w:tcW w:w="6202" w:type="dxa"/>
            <w:tcBorders>
              <w:top w:val="nil"/>
              <w:left w:val="nil"/>
              <w:bottom w:val="double" w:sz="6" w:space="0" w:color="auto"/>
              <w:right w:val="double" w:sz="6" w:space="0" w:color="auto"/>
            </w:tcBorders>
            <w:shd w:val="clear" w:color="auto" w:fill="auto"/>
            <w:hideMark/>
          </w:tcPr>
          <w:p w14:paraId="2BD834B2" w14:textId="77777777" w:rsidR="009021F1" w:rsidRPr="00D579BE" w:rsidRDefault="009021F1" w:rsidP="00E637E3">
            <w:pPr>
              <w:rPr>
                <w:color w:val="000000"/>
                <w:szCs w:val="21"/>
              </w:rPr>
            </w:pPr>
            <w:r w:rsidRPr="00D579BE">
              <w:rPr>
                <w:color w:val="000000"/>
                <w:szCs w:val="21"/>
              </w:rPr>
              <w:t xml:space="preserve">Renforcer les séances de conscientisation des staffs en rapport aux AES et code des bonnes conduites et le responsabiliser davantage. Demander aux entreprises et à la mission de contrôle de constituer une liste de travailleurs potentiels (roster) qui soient préalablement formés et aient signé le code de conduite. Les entreprises peuvent puiser dans cette liste pour combler les besoins en travailleur. </w:t>
            </w:r>
          </w:p>
        </w:tc>
      </w:tr>
      <w:tr w:rsidR="009021F1" w:rsidRPr="00D579BE" w14:paraId="05F54B0E" w14:textId="77777777" w:rsidTr="00E637E3">
        <w:trPr>
          <w:trHeight w:val="600"/>
        </w:trPr>
        <w:tc>
          <w:tcPr>
            <w:tcW w:w="3238" w:type="dxa"/>
            <w:tcBorders>
              <w:top w:val="nil"/>
              <w:left w:val="double" w:sz="6" w:space="0" w:color="auto"/>
              <w:bottom w:val="double" w:sz="6" w:space="0" w:color="auto"/>
              <w:right w:val="double" w:sz="6" w:space="0" w:color="auto"/>
            </w:tcBorders>
            <w:shd w:val="clear" w:color="auto" w:fill="auto"/>
            <w:hideMark/>
          </w:tcPr>
          <w:p w14:paraId="285D43E6" w14:textId="77777777" w:rsidR="009021F1" w:rsidRPr="00D579BE" w:rsidRDefault="009021F1" w:rsidP="00E637E3">
            <w:pPr>
              <w:rPr>
                <w:color w:val="000000"/>
                <w:szCs w:val="21"/>
              </w:rPr>
            </w:pPr>
            <w:r w:rsidRPr="00D579BE">
              <w:rPr>
                <w:color w:val="000000"/>
                <w:szCs w:val="21"/>
              </w:rPr>
              <w:t>Appropriation du code de bonne conduite</w:t>
            </w:r>
          </w:p>
        </w:tc>
        <w:tc>
          <w:tcPr>
            <w:tcW w:w="6202" w:type="dxa"/>
            <w:tcBorders>
              <w:top w:val="nil"/>
              <w:left w:val="nil"/>
              <w:bottom w:val="double" w:sz="6" w:space="0" w:color="auto"/>
              <w:right w:val="double" w:sz="6" w:space="0" w:color="auto"/>
            </w:tcBorders>
            <w:shd w:val="clear" w:color="auto" w:fill="auto"/>
            <w:hideMark/>
          </w:tcPr>
          <w:p w14:paraId="1D028D59" w14:textId="77777777" w:rsidR="009021F1" w:rsidRPr="00D579BE" w:rsidRDefault="009021F1" w:rsidP="00E637E3">
            <w:pPr>
              <w:rPr>
                <w:color w:val="000000"/>
                <w:szCs w:val="21"/>
              </w:rPr>
            </w:pPr>
            <w:r w:rsidRPr="00D579BE">
              <w:rPr>
                <w:color w:val="000000"/>
                <w:szCs w:val="21"/>
              </w:rPr>
              <w:t xml:space="preserve">Assurer l'affichage du code de conduite sur les bases vie et les chantiers. </w:t>
            </w:r>
          </w:p>
        </w:tc>
      </w:tr>
      <w:tr w:rsidR="009021F1" w:rsidRPr="00D579BE" w14:paraId="3F90B7F3" w14:textId="77777777" w:rsidTr="00E637E3">
        <w:trPr>
          <w:trHeight w:val="923"/>
        </w:trPr>
        <w:tc>
          <w:tcPr>
            <w:tcW w:w="3238" w:type="dxa"/>
            <w:tcBorders>
              <w:top w:val="nil"/>
              <w:left w:val="double" w:sz="6" w:space="0" w:color="auto"/>
              <w:bottom w:val="double" w:sz="6" w:space="0" w:color="auto"/>
              <w:right w:val="double" w:sz="6" w:space="0" w:color="auto"/>
            </w:tcBorders>
            <w:shd w:val="clear" w:color="auto" w:fill="auto"/>
            <w:hideMark/>
          </w:tcPr>
          <w:p w14:paraId="2E4D02A6" w14:textId="77777777" w:rsidR="009021F1" w:rsidRPr="00D579BE" w:rsidRDefault="009021F1" w:rsidP="00E637E3">
            <w:pPr>
              <w:rPr>
                <w:color w:val="000000"/>
                <w:szCs w:val="21"/>
              </w:rPr>
            </w:pPr>
            <w:r w:rsidRPr="00D579BE">
              <w:rPr>
                <w:color w:val="000000"/>
                <w:szCs w:val="21"/>
              </w:rPr>
              <w:t>Signature du contrat avec code comme annexe</w:t>
            </w:r>
          </w:p>
        </w:tc>
        <w:tc>
          <w:tcPr>
            <w:tcW w:w="6202" w:type="dxa"/>
            <w:tcBorders>
              <w:top w:val="nil"/>
              <w:left w:val="nil"/>
              <w:bottom w:val="double" w:sz="6" w:space="0" w:color="auto"/>
              <w:right w:val="double" w:sz="6" w:space="0" w:color="auto"/>
            </w:tcBorders>
            <w:shd w:val="clear" w:color="auto" w:fill="auto"/>
            <w:hideMark/>
          </w:tcPr>
          <w:p w14:paraId="5B6B545F" w14:textId="77777777" w:rsidR="009021F1" w:rsidRPr="00D579BE" w:rsidRDefault="009021F1" w:rsidP="00E637E3">
            <w:pPr>
              <w:rPr>
                <w:color w:val="000000"/>
                <w:szCs w:val="21"/>
              </w:rPr>
            </w:pPr>
            <w:r w:rsidRPr="00D579BE">
              <w:rPr>
                <w:color w:val="000000"/>
                <w:szCs w:val="21"/>
              </w:rPr>
              <w:t>A l'embauche, renforcer la prise d'identité complète des travailleurs avec leur photo  et sensibiliser sur les lois de lutte contre l'impunité en cas d'EAS.</w:t>
            </w:r>
          </w:p>
        </w:tc>
      </w:tr>
      <w:tr w:rsidR="009021F1" w:rsidRPr="00D579BE" w14:paraId="13844F74" w14:textId="77777777" w:rsidTr="00E637E3">
        <w:trPr>
          <w:trHeight w:val="1947"/>
        </w:trPr>
        <w:tc>
          <w:tcPr>
            <w:tcW w:w="3238" w:type="dxa"/>
            <w:tcBorders>
              <w:top w:val="nil"/>
              <w:left w:val="double" w:sz="6" w:space="0" w:color="auto"/>
              <w:bottom w:val="double" w:sz="6" w:space="0" w:color="auto"/>
              <w:right w:val="double" w:sz="6" w:space="0" w:color="auto"/>
            </w:tcBorders>
            <w:shd w:val="clear" w:color="auto" w:fill="auto"/>
            <w:hideMark/>
          </w:tcPr>
          <w:p w14:paraId="2DEDAD49" w14:textId="77777777" w:rsidR="009021F1" w:rsidRPr="00D579BE" w:rsidRDefault="009021F1" w:rsidP="00E637E3">
            <w:pPr>
              <w:rPr>
                <w:color w:val="000000"/>
                <w:szCs w:val="21"/>
              </w:rPr>
            </w:pPr>
            <w:r w:rsidRPr="00D579BE">
              <w:rPr>
                <w:color w:val="000000"/>
                <w:szCs w:val="21"/>
              </w:rPr>
              <w:t>Compréhension du code de bonne conduite</w:t>
            </w:r>
          </w:p>
        </w:tc>
        <w:tc>
          <w:tcPr>
            <w:tcW w:w="6202" w:type="dxa"/>
            <w:tcBorders>
              <w:top w:val="nil"/>
              <w:left w:val="nil"/>
              <w:bottom w:val="double" w:sz="6" w:space="0" w:color="auto"/>
              <w:right w:val="double" w:sz="6" w:space="0" w:color="auto"/>
            </w:tcBorders>
            <w:shd w:val="clear" w:color="auto" w:fill="auto"/>
            <w:hideMark/>
          </w:tcPr>
          <w:p w14:paraId="121D925A" w14:textId="77777777" w:rsidR="009021F1" w:rsidRPr="00D579BE" w:rsidRDefault="009021F1" w:rsidP="00E637E3">
            <w:pPr>
              <w:rPr>
                <w:color w:val="000000"/>
                <w:szCs w:val="21"/>
              </w:rPr>
            </w:pPr>
            <w:r w:rsidRPr="00D579BE">
              <w:rPr>
                <w:color w:val="000000"/>
                <w:szCs w:val="21"/>
              </w:rPr>
              <w:t>Disponibiliser des dépliants auprès du staff des entreprises pour lecture aux heures de pause. Accroître le nombre d'affiche sur le code de conduite sur les lieux de travail</w:t>
            </w:r>
            <w:r w:rsidRPr="00D579BE">
              <w:rPr>
                <w:color w:val="000000"/>
                <w:szCs w:val="21"/>
              </w:rPr>
              <w:br/>
            </w:r>
            <w:r w:rsidRPr="00D579BE">
              <w:rPr>
                <w:color w:val="000000"/>
                <w:szCs w:val="21"/>
              </w:rPr>
              <w:br/>
              <w:t xml:space="preserve">Multiplier les sensibilisations communautaires et des travailleurs sur le contenu du code de bonne conduite, la prévention du sexe contre argent/contre un service et ou une faveur. </w:t>
            </w:r>
          </w:p>
        </w:tc>
      </w:tr>
      <w:tr w:rsidR="009021F1" w:rsidRPr="00D579BE" w14:paraId="3021B80C" w14:textId="77777777" w:rsidTr="00E637E3">
        <w:trPr>
          <w:trHeight w:val="1228"/>
        </w:trPr>
        <w:tc>
          <w:tcPr>
            <w:tcW w:w="3238" w:type="dxa"/>
            <w:tcBorders>
              <w:top w:val="nil"/>
              <w:left w:val="double" w:sz="6" w:space="0" w:color="auto"/>
              <w:bottom w:val="double" w:sz="6" w:space="0" w:color="auto"/>
              <w:right w:val="double" w:sz="6" w:space="0" w:color="auto"/>
            </w:tcBorders>
            <w:shd w:val="clear" w:color="auto" w:fill="auto"/>
            <w:hideMark/>
          </w:tcPr>
          <w:p w14:paraId="55E8D6ED" w14:textId="77777777" w:rsidR="009021F1" w:rsidRPr="00D579BE" w:rsidRDefault="009021F1" w:rsidP="00E637E3">
            <w:pPr>
              <w:rPr>
                <w:color w:val="000000"/>
                <w:szCs w:val="21"/>
              </w:rPr>
            </w:pPr>
            <w:r w:rsidRPr="00D579BE">
              <w:rPr>
                <w:color w:val="000000"/>
                <w:szCs w:val="21"/>
              </w:rPr>
              <w:t>Règlement d'ordre intérieur</w:t>
            </w:r>
          </w:p>
        </w:tc>
        <w:tc>
          <w:tcPr>
            <w:tcW w:w="6202" w:type="dxa"/>
            <w:tcBorders>
              <w:top w:val="nil"/>
              <w:left w:val="nil"/>
              <w:bottom w:val="double" w:sz="6" w:space="0" w:color="auto"/>
              <w:right w:val="double" w:sz="6" w:space="0" w:color="auto"/>
            </w:tcBorders>
            <w:shd w:val="clear" w:color="auto" w:fill="auto"/>
            <w:hideMark/>
          </w:tcPr>
          <w:p w14:paraId="608A2E5E" w14:textId="77777777" w:rsidR="009021F1" w:rsidRPr="00D579BE" w:rsidRDefault="009021F1" w:rsidP="00E637E3">
            <w:pPr>
              <w:rPr>
                <w:color w:val="000000"/>
                <w:szCs w:val="21"/>
              </w:rPr>
            </w:pPr>
            <w:r w:rsidRPr="00D579BE">
              <w:rPr>
                <w:color w:val="000000"/>
                <w:szCs w:val="21"/>
              </w:rPr>
              <w:t xml:space="preserve">Rappeler le contenu du règlement aux staffs au moins une fois par trimestre. </w:t>
            </w:r>
            <w:r w:rsidRPr="00D579BE">
              <w:rPr>
                <w:color w:val="000000"/>
                <w:szCs w:val="21"/>
              </w:rPr>
              <w:br/>
            </w:r>
            <w:r w:rsidRPr="00D579BE">
              <w:rPr>
                <w:color w:val="000000"/>
                <w:szCs w:val="21"/>
              </w:rPr>
              <w:br/>
              <w:t>Afficher en grande caractère les points essentiel dudit règlement.</w:t>
            </w:r>
          </w:p>
        </w:tc>
      </w:tr>
      <w:tr w:rsidR="009021F1" w:rsidRPr="00D579BE" w14:paraId="56E1A268" w14:textId="77777777" w:rsidTr="00E637E3">
        <w:trPr>
          <w:trHeight w:val="600"/>
        </w:trPr>
        <w:tc>
          <w:tcPr>
            <w:tcW w:w="3238" w:type="dxa"/>
            <w:tcBorders>
              <w:top w:val="nil"/>
              <w:left w:val="double" w:sz="6" w:space="0" w:color="auto"/>
              <w:bottom w:val="double" w:sz="6" w:space="0" w:color="auto"/>
              <w:right w:val="double" w:sz="6" w:space="0" w:color="auto"/>
            </w:tcBorders>
            <w:shd w:val="clear" w:color="auto" w:fill="auto"/>
            <w:hideMark/>
          </w:tcPr>
          <w:p w14:paraId="189E6D6B" w14:textId="77777777" w:rsidR="009021F1" w:rsidRPr="00D579BE" w:rsidRDefault="009021F1" w:rsidP="00E637E3">
            <w:pPr>
              <w:rPr>
                <w:color w:val="000000"/>
                <w:szCs w:val="21"/>
              </w:rPr>
            </w:pPr>
            <w:r w:rsidRPr="00D579BE">
              <w:rPr>
                <w:color w:val="000000"/>
                <w:szCs w:val="21"/>
              </w:rPr>
              <w:t>Briefing de tout nouveau travailleur</w:t>
            </w:r>
          </w:p>
        </w:tc>
        <w:tc>
          <w:tcPr>
            <w:tcW w:w="6202" w:type="dxa"/>
            <w:tcBorders>
              <w:top w:val="nil"/>
              <w:left w:val="nil"/>
              <w:bottom w:val="double" w:sz="6" w:space="0" w:color="auto"/>
              <w:right w:val="double" w:sz="6" w:space="0" w:color="auto"/>
            </w:tcBorders>
            <w:shd w:val="clear" w:color="auto" w:fill="auto"/>
            <w:hideMark/>
          </w:tcPr>
          <w:p w14:paraId="10D8592C" w14:textId="77777777" w:rsidR="009021F1" w:rsidRPr="00D579BE" w:rsidRDefault="009021F1" w:rsidP="00E637E3">
            <w:pPr>
              <w:rPr>
                <w:color w:val="000000"/>
                <w:szCs w:val="21"/>
              </w:rPr>
            </w:pPr>
            <w:r w:rsidRPr="00D579BE">
              <w:rPr>
                <w:color w:val="000000"/>
                <w:szCs w:val="21"/>
              </w:rPr>
              <w:t>S'assurer de la présence des tous nouveaux travailleurs pour une formation sur les VBG avant affectation sur le chantier</w:t>
            </w:r>
          </w:p>
        </w:tc>
      </w:tr>
      <w:tr w:rsidR="009021F1" w:rsidRPr="00D579BE" w14:paraId="6CF3B32D" w14:textId="77777777" w:rsidTr="00E637E3">
        <w:trPr>
          <w:trHeight w:val="2040"/>
        </w:trPr>
        <w:tc>
          <w:tcPr>
            <w:tcW w:w="3238" w:type="dxa"/>
            <w:tcBorders>
              <w:top w:val="nil"/>
              <w:left w:val="double" w:sz="6" w:space="0" w:color="auto"/>
              <w:bottom w:val="double" w:sz="6" w:space="0" w:color="auto"/>
              <w:right w:val="double" w:sz="6" w:space="0" w:color="auto"/>
            </w:tcBorders>
            <w:shd w:val="clear" w:color="auto" w:fill="auto"/>
            <w:hideMark/>
          </w:tcPr>
          <w:p w14:paraId="29205D2E" w14:textId="77777777" w:rsidR="009021F1" w:rsidRPr="00D579BE" w:rsidRDefault="009021F1" w:rsidP="00E637E3">
            <w:pPr>
              <w:rPr>
                <w:color w:val="000000"/>
                <w:szCs w:val="21"/>
              </w:rPr>
            </w:pPr>
            <w:r w:rsidRPr="00D579BE">
              <w:rPr>
                <w:color w:val="000000"/>
                <w:szCs w:val="21"/>
              </w:rPr>
              <w:t>Travailleurs TT engagés et résident dans les milieux des chantiers et/ou en dehors</w:t>
            </w:r>
          </w:p>
        </w:tc>
        <w:tc>
          <w:tcPr>
            <w:tcW w:w="6202" w:type="dxa"/>
            <w:tcBorders>
              <w:top w:val="nil"/>
              <w:left w:val="nil"/>
              <w:bottom w:val="double" w:sz="6" w:space="0" w:color="auto"/>
              <w:right w:val="double" w:sz="6" w:space="0" w:color="auto"/>
            </w:tcBorders>
            <w:shd w:val="clear" w:color="auto" w:fill="auto"/>
            <w:hideMark/>
          </w:tcPr>
          <w:p w14:paraId="59A368AE" w14:textId="77777777" w:rsidR="009021F1" w:rsidRPr="00D579BE" w:rsidRDefault="009021F1" w:rsidP="00E637E3">
            <w:pPr>
              <w:rPr>
                <w:color w:val="000000"/>
                <w:szCs w:val="21"/>
              </w:rPr>
            </w:pPr>
            <w:r w:rsidRPr="00D579BE">
              <w:rPr>
                <w:color w:val="000000"/>
                <w:szCs w:val="21"/>
              </w:rPr>
              <w:t xml:space="preserve">Etablir un campement (base vie mobile) pour le personnel congolais qui est déplacé sur les chantiers pour éviter qu'il soit obligé de trouver une habitation auprès de la communauté. </w:t>
            </w:r>
            <w:r w:rsidRPr="00D579BE">
              <w:rPr>
                <w:color w:val="000000"/>
                <w:szCs w:val="21"/>
              </w:rPr>
              <w:br/>
            </w:r>
            <w:r w:rsidRPr="00D579BE">
              <w:rPr>
                <w:color w:val="000000"/>
                <w:szCs w:val="21"/>
              </w:rPr>
              <w:br/>
              <w:t>Faciliter le déplacement des travailleurs migrants avec sa famille. A la rigueur donner la chance aux autochtones pour effectuer les travaux sur chantiers</w:t>
            </w:r>
          </w:p>
        </w:tc>
      </w:tr>
      <w:tr w:rsidR="009021F1" w:rsidRPr="00D579BE" w14:paraId="5FA7F7A7" w14:textId="77777777" w:rsidTr="00E637E3">
        <w:trPr>
          <w:trHeight w:val="1097"/>
        </w:trPr>
        <w:tc>
          <w:tcPr>
            <w:tcW w:w="3238" w:type="dxa"/>
            <w:tcBorders>
              <w:top w:val="nil"/>
              <w:left w:val="double" w:sz="6" w:space="0" w:color="auto"/>
              <w:bottom w:val="double" w:sz="6" w:space="0" w:color="auto"/>
              <w:right w:val="double" w:sz="6" w:space="0" w:color="auto"/>
            </w:tcBorders>
            <w:shd w:val="clear" w:color="auto" w:fill="auto"/>
            <w:hideMark/>
          </w:tcPr>
          <w:p w14:paraId="5C2DA8A0" w14:textId="77777777" w:rsidR="009021F1" w:rsidRPr="00D579BE" w:rsidRDefault="009021F1" w:rsidP="00E637E3">
            <w:pPr>
              <w:rPr>
                <w:color w:val="000000"/>
                <w:szCs w:val="21"/>
              </w:rPr>
            </w:pPr>
            <w:r w:rsidRPr="00D579BE">
              <w:rPr>
                <w:color w:val="000000"/>
                <w:szCs w:val="21"/>
              </w:rPr>
              <w:t>Vérification des faits avec les environnementalistes des entreprises</w:t>
            </w:r>
          </w:p>
        </w:tc>
        <w:tc>
          <w:tcPr>
            <w:tcW w:w="6202" w:type="dxa"/>
            <w:tcBorders>
              <w:top w:val="nil"/>
              <w:left w:val="nil"/>
              <w:bottom w:val="double" w:sz="6" w:space="0" w:color="auto"/>
              <w:right w:val="double" w:sz="6" w:space="0" w:color="auto"/>
            </w:tcBorders>
            <w:shd w:val="clear" w:color="auto" w:fill="auto"/>
            <w:hideMark/>
          </w:tcPr>
          <w:p w14:paraId="5EAAF5E3" w14:textId="77777777" w:rsidR="009021F1" w:rsidRPr="00D579BE" w:rsidRDefault="009021F1" w:rsidP="00E637E3">
            <w:pPr>
              <w:rPr>
                <w:color w:val="000000"/>
                <w:szCs w:val="21"/>
              </w:rPr>
            </w:pPr>
            <w:r w:rsidRPr="00D579BE">
              <w:rPr>
                <w:color w:val="000000"/>
                <w:szCs w:val="21"/>
              </w:rPr>
              <w:t>Avoir un point focal dédié spécifiquement pour les activités VBG pour assurer l'efficacité et la confidentialité des cas incident.</w:t>
            </w:r>
            <w:r w:rsidRPr="00D579BE">
              <w:rPr>
                <w:color w:val="000000"/>
                <w:szCs w:val="21"/>
              </w:rPr>
              <w:br/>
            </w:r>
            <w:r w:rsidRPr="00D579BE">
              <w:rPr>
                <w:color w:val="000000"/>
                <w:szCs w:val="21"/>
              </w:rPr>
              <w:br/>
              <w:t>Assurer la sécurité contractuelle du PF VBG face à sa hiérarchie.</w:t>
            </w:r>
          </w:p>
        </w:tc>
      </w:tr>
      <w:tr w:rsidR="009021F1" w:rsidRPr="00D579BE" w14:paraId="40155A06" w14:textId="77777777" w:rsidTr="00E637E3">
        <w:trPr>
          <w:trHeight w:val="1695"/>
        </w:trPr>
        <w:tc>
          <w:tcPr>
            <w:tcW w:w="3238" w:type="dxa"/>
            <w:tcBorders>
              <w:top w:val="nil"/>
              <w:left w:val="double" w:sz="6" w:space="0" w:color="auto"/>
              <w:bottom w:val="double" w:sz="6" w:space="0" w:color="auto"/>
              <w:right w:val="double" w:sz="6" w:space="0" w:color="auto"/>
            </w:tcBorders>
            <w:shd w:val="clear" w:color="auto" w:fill="auto"/>
            <w:hideMark/>
          </w:tcPr>
          <w:p w14:paraId="49D4BAFA" w14:textId="77777777" w:rsidR="009021F1" w:rsidRPr="00D579BE" w:rsidRDefault="009021F1" w:rsidP="00E637E3">
            <w:pPr>
              <w:rPr>
                <w:color w:val="000000"/>
                <w:szCs w:val="21"/>
              </w:rPr>
            </w:pPr>
            <w:r w:rsidRPr="00D579BE">
              <w:rPr>
                <w:color w:val="000000"/>
                <w:szCs w:val="21"/>
              </w:rPr>
              <w:t>Sanction de l'entreprise pour les présumés auteurs</w:t>
            </w:r>
          </w:p>
        </w:tc>
        <w:tc>
          <w:tcPr>
            <w:tcW w:w="6202" w:type="dxa"/>
            <w:tcBorders>
              <w:top w:val="nil"/>
              <w:left w:val="nil"/>
              <w:bottom w:val="double" w:sz="6" w:space="0" w:color="auto"/>
              <w:right w:val="double" w:sz="6" w:space="0" w:color="auto"/>
            </w:tcBorders>
            <w:shd w:val="clear" w:color="auto" w:fill="auto"/>
            <w:hideMark/>
          </w:tcPr>
          <w:p w14:paraId="0115E596" w14:textId="77777777" w:rsidR="009021F1" w:rsidRPr="00D579BE" w:rsidRDefault="009021F1" w:rsidP="00E637E3">
            <w:pPr>
              <w:rPr>
                <w:color w:val="000000"/>
                <w:szCs w:val="21"/>
              </w:rPr>
            </w:pPr>
            <w:r w:rsidRPr="00D579BE">
              <w:rPr>
                <w:color w:val="000000"/>
                <w:szCs w:val="21"/>
              </w:rPr>
              <w:t>Constituer un dossier complet de chaque travailleur, y compris les surnoms, une photo et une copie de carte d'identité lors de l'embauche pour faciliter l’identification des présumés auteurs. Veiller à rendre disponible à toutes les missions de contrôle et les entreprises travaillant sur le Projet la liste des auteurs avec faits avérés</w:t>
            </w:r>
          </w:p>
        </w:tc>
      </w:tr>
    </w:tbl>
    <w:p w14:paraId="0E2B6A4E" w14:textId="77777777" w:rsidR="009021F1" w:rsidRPr="00D579BE" w:rsidRDefault="009021F1" w:rsidP="009021F1">
      <w:pPr>
        <w:rPr>
          <w:b/>
          <w:bCs/>
          <w:color w:val="000000"/>
          <w:szCs w:val="21"/>
        </w:rPr>
      </w:pPr>
    </w:p>
    <w:p w14:paraId="3299F446" w14:textId="77777777" w:rsidR="009021F1" w:rsidRPr="00D579BE" w:rsidRDefault="009021F1" w:rsidP="009021F1">
      <w:pPr>
        <w:rPr>
          <w:b/>
          <w:bCs/>
          <w:color w:val="000000"/>
          <w:szCs w:val="21"/>
        </w:rPr>
      </w:pPr>
      <w:r w:rsidRPr="00D579BE">
        <w:rPr>
          <w:b/>
          <w:bCs/>
          <w:color w:val="000000"/>
          <w:szCs w:val="21"/>
        </w:rPr>
        <w:t>Gestion de la Main-D'œuvre</w:t>
      </w:r>
    </w:p>
    <w:p w14:paraId="573CF546" w14:textId="77777777" w:rsidR="009021F1" w:rsidRPr="00D579BE" w:rsidRDefault="009021F1" w:rsidP="009021F1">
      <w:pPr>
        <w:rPr>
          <w:b/>
          <w:szCs w:val="21"/>
          <w:lang w:val="x-none" w:eastAsia="x-none"/>
        </w:rPr>
      </w:pPr>
    </w:p>
    <w:p w14:paraId="589A6215" w14:textId="77777777" w:rsidR="009021F1" w:rsidRPr="00D579BE" w:rsidRDefault="009021F1" w:rsidP="009021F1">
      <w:pPr>
        <w:rPr>
          <w:b/>
          <w:szCs w:val="21"/>
          <w:lang w:val="x-none" w:eastAsia="x-none"/>
        </w:rPr>
      </w:pPr>
      <w:r w:rsidRPr="00D579BE">
        <w:rPr>
          <w:b/>
          <w:szCs w:val="21"/>
          <w:lang w:val="x-none" w:eastAsia="x-none"/>
        </w:rPr>
        <w:t>Conditions de Travail</w:t>
      </w:r>
    </w:p>
    <w:p w14:paraId="35B1AFCC" w14:textId="77777777" w:rsidR="009021F1" w:rsidRPr="00D579BE" w:rsidRDefault="009021F1" w:rsidP="009021F1">
      <w:pPr>
        <w:rPr>
          <w:b/>
          <w:szCs w:val="21"/>
          <w:lang w:val="x-none" w:eastAsia="x-none"/>
        </w:rPr>
      </w:pPr>
    </w:p>
    <w:p w14:paraId="7CB1FBB9" w14:textId="77777777" w:rsidR="009021F1" w:rsidRPr="00D579BE" w:rsidRDefault="009021F1" w:rsidP="009021F1">
      <w:pPr>
        <w:rPr>
          <w:szCs w:val="21"/>
        </w:rPr>
      </w:pPr>
      <w:r w:rsidRPr="00D579BE">
        <w:rPr>
          <w:szCs w:val="21"/>
        </w:rPr>
        <w:t>L’Entreprise doit :</w:t>
      </w:r>
    </w:p>
    <w:p w14:paraId="5312E782" w14:textId="77777777" w:rsidR="009021F1" w:rsidRPr="00D579BE" w:rsidRDefault="009021F1" w:rsidP="009021F1">
      <w:pPr>
        <w:rPr>
          <w:szCs w:val="21"/>
        </w:rPr>
      </w:pPr>
    </w:p>
    <w:p w14:paraId="17485772" w14:textId="77777777" w:rsidR="009021F1" w:rsidRPr="00D579BE" w:rsidRDefault="009021F1" w:rsidP="009021F1">
      <w:pPr>
        <w:pStyle w:val="Paragraphedeliste"/>
        <w:numPr>
          <w:ilvl w:val="0"/>
          <w:numId w:val="56"/>
        </w:numPr>
        <w:rPr>
          <w:szCs w:val="21"/>
        </w:rPr>
      </w:pPr>
      <w:r w:rsidRPr="00D579BE">
        <w:rPr>
          <w:szCs w:val="21"/>
        </w:rPr>
        <w:t>Respecter le Code du Travail de la RDC ;</w:t>
      </w:r>
    </w:p>
    <w:p w14:paraId="4D4F757F" w14:textId="77777777" w:rsidR="009021F1" w:rsidRPr="00D579BE" w:rsidRDefault="009021F1" w:rsidP="009021F1">
      <w:pPr>
        <w:pStyle w:val="Paragraphedeliste"/>
        <w:numPr>
          <w:ilvl w:val="0"/>
          <w:numId w:val="56"/>
        </w:numPr>
        <w:rPr>
          <w:szCs w:val="21"/>
        </w:rPr>
      </w:pPr>
      <w:r w:rsidRPr="00D579BE">
        <w:rPr>
          <w:szCs w:val="21"/>
        </w:rPr>
        <w:t>Indemniser les travailleurs et leurs familles en cas de blessures ou de décès sur le lieu de travail ;</w:t>
      </w:r>
    </w:p>
    <w:p w14:paraId="7C5B751B" w14:textId="77777777" w:rsidR="009021F1" w:rsidRPr="00D579BE" w:rsidRDefault="009021F1" w:rsidP="009021F1">
      <w:pPr>
        <w:pStyle w:val="Paragraphedeliste"/>
        <w:numPr>
          <w:ilvl w:val="0"/>
          <w:numId w:val="56"/>
        </w:numPr>
        <w:rPr>
          <w:szCs w:val="21"/>
        </w:rPr>
      </w:pPr>
      <w:r w:rsidRPr="00D579BE">
        <w:rPr>
          <w:szCs w:val="21"/>
        </w:rPr>
        <w:t>Les entrepreneurs pourraient ne pas indemniser les travailleurs et leurs familles en cas de blessures ou de décès sur le lieu de travail Engager (en dehors de son personnel cadre technique) le plus de main-d’œuvre possible dans la zone où les travaux sont réalisés. À défaut de trouver le personnel qualifié sur place, l’Entreprise peut engager la main d’œuvre à l’extérieur de la zone de travail ;</w:t>
      </w:r>
    </w:p>
    <w:p w14:paraId="5BA88332" w14:textId="77777777" w:rsidR="009021F1" w:rsidRPr="00D579BE" w:rsidRDefault="009021F1" w:rsidP="009021F1">
      <w:pPr>
        <w:pStyle w:val="Paragraphedeliste"/>
        <w:numPr>
          <w:ilvl w:val="0"/>
          <w:numId w:val="56"/>
        </w:numPr>
        <w:rPr>
          <w:szCs w:val="21"/>
        </w:rPr>
      </w:pPr>
      <w:r w:rsidRPr="00D579BE">
        <w:rPr>
          <w:szCs w:val="21"/>
        </w:rPr>
        <w:t>Embaucher des travailleurs par l'intermédiaire des bureaux de recrutement, et éviter d'embaucher "à la porte" pour décourager l'afflux spontané de demandeurs d'emploi ;</w:t>
      </w:r>
    </w:p>
    <w:p w14:paraId="6ABDEEB3" w14:textId="77777777" w:rsidR="009021F1" w:rsidRPr="00D579BE" w:rsidRDefault="009021F1" w:rsidP="009021F1">
      <w:pPr>
        <w:pStyle w:val="Paragraphedeliste"/>
        <w:numPr>
          <w:ilvl w:val="0"/>
          <w:numId w:val="56"/>
        </w:numPr>
        <w:rPr>
          <w:szCs w:val="21"/>
        </w:rPr>
      </w:pPr>
      <w:r w:rsidRPr="00D579BE">
        <w:rPr>
          <w:szCs w:val="21"/>
        </w:rPr>
        <w:t>S’assurer que les conditions de travail de ses employés respectent les lois et règlements nationaux en vigueur. Toute dérogation est soumise à l’approbation du Maître d’Ouvrage délégué.  Dans la mesure du possible, (sauf en cas d’exception accordé par le Maître d’Ouvrage délégué), l’Entreprise doit éviter d’exécuter les travaux pendant les heures de repos, ou les jours fériés ;</w:t>
      </w:r>
    </w:p>
    <w:p w14:paraId="137B4B8E" w14:textId="77777777" w:rsidR="009021F1" w:rsidRPr="00D579BE" w:rsidRDefault="009021F1" w:rsidP="009021F1">
      <w:pPr>
        <w:pStyle w:val="Paragraphedeliste"/>
        <w:numPr>
          <w:ilvl w:val="0"/>
          <w:numId w:val="56"/>
        </w:numPr>
        <w:rPr>
          <w:szCs w:val="21"/>
        </w:rPr>
      </w:pPr>
      <w:r w:rsidRPr="00D579BE">
        <w:rPr>
          <w:szCs w:val="21"/>
        </w:rPr>
        <w:t>Offrir aux travailleurs la possibilité de retourner régulièrement dans leur famille ;</w:t>
      </w:r>
    </w:p>
    <w:p w14:paraId="7C0E4A18" w14:textId="77777777" w:rsidR="009021F1" w:rsidRPr="00D579BE" w:rsidRDefault="009021F1" w:rsidP="009021F1">
      <w:pPr>
        <w:pStyle w:val="Paragraphedeliste"/>
        <w:numPr>
          <w:ilvl w:val="0"/>
          <w:numId w:val="56"/>
        </w:numPr>
        <w:rPr>
          <w:szCs w:val="21"/>
        </w:rPr>
      </w:pPr>
      <w:r w:rsidRPr="00D579BE">
        <w:rPr>
          <w:szCs w:val="21"/>
        </w:rPr>
        <w:t>Offrir aux travailleurs la possibilité de profiter d'opportunités de divertissement loin des communautés rurales d'accueil, et créer des zones de loisirs surveillées dans les camps de travailleurs ;</w:t>
      </w:r>
    </w:p>
    <w:p w14:paraId="4B3D6DCF" w14:textId="77777777" w:rsidR="009021F1" w:rsidRPr="00D579BE" w:rsidRDefault="009021F1" w:rsidP="009021F1">
      <w:pPr>
        <w:pStyle w:val="Paragraphedeliste"/>
        <w:numPr>
          <w:ilvl w:val="0"/>
          <w:numId w:val="56"/>
        </w:numPr>
        <w:rPr>
          <w:szCs w:val="21"/>
        </w:rPr>
      </w:pPr>
      <w:r w:rsidRPr="00D579BE">
        <w:rPr>
          <w:szCs w:val="21"/>
        </w:rPr>
        <w:t>Éviter strictement d’employer directement ou indirectement des enfants et les mineurs dans le cadre du contrat ;</w:t>
      </w:r>
    </w:p>
    <w:p w14:paraId="0EAA780B" w14:textId="77777777" w:rsidR="009021F1" w:rsidRPr="00D579BE" w:rsidRDefault="009021F1" w:rsidP="009021F1">
      <w:pPr>
        <w:pStyle w:val="Paragraphedeliste"/>
        <w:numPr>
          <w:ilvl w:val="0"/>
          <w:numId w:val="56"/>
        </w:numPr>
        <w:rPr>
          <w:szCs w:val="21"/>
        </w:rPr>
      </w:pPr>
      <w:r w:rsidRPr="00D579BE">
        <w:rPr>
          <w:szCs w:val="21"/>
        </w:rPr>
        <w:t>Payer des salaires adéquats aux travailleurs afin de réduire l'incitation au vol ;</w:t>
      </w:r>
    </w:p>
    <w:p w14:paraId="3CCBE94E" w14:textId="77777777" w:rsidR="009021F1" w:rsidRPr="00D579BE" w:rsidRDefault="009021F1" w:rsidP="009021F1">
      <w:pPr>
        <w:pStyle w:val="Paragraphedeliste"/>
        <w:numPr>
          <w:ilvl w:val="0"/>
          <w:numId w:val="56"/>
        </w:numPr>
        <w:rPr>
          <w:szCs w:val="21"/>
        </w:rPr>
      </w:pPr>
      <w:r w:rsidRPr="00D579BE">
        <w:rPr>
          <w:szCs w:val="21"/>
        </w:rPr>
        <w:t>Verser les salaires sur les comptes bancaires des travailleurs plutôt qu'en espèces ;</w:t>
      </w:r>
    </w:p>
    <w:p w14:paraId="75C22EB9" w14:textId="77777777" w:rsidR="009021F1" w:rsidRPr="00D579BE" w:rsidRDefault="009021F1" w:rsidP="009021F1">
      <w:pPr>
        <w:pStyle w:val="Paragraphedeliste"/>
        <w:numPr>
          <w:ilvl w:val="0"/>
          <w:numId w:val="56"/>
        </w:numPr>
        <w:rPr>
          <w:szCs w:val="21"/>
        </w:rPr>
      </w:pPr>
      <w:r w:rsidRPr="00D579BE">
        <w:rPr>
          <w:szCs w:val="21"/>
        </w:rPr>
        <w:t>Mettre en place des programmes de prévention et de gestion de la toxicomanie ; et</w:t>
      </w:r>
    </w:p>
    <w:p w14:paraId="358763CC" w14:textId="77777777" w:rsidR="009021F1" w:rsidRPr="00D579BE" w:rsidRDefault="009021F1" w:rsidP="009021F1">
      <w:pPr>
        <w:pStyle w:val="Paragraphedeliste"/>
        <w:numPr>
          <w:ilvl w:val="0"/>
          <w:numId w:val="56"/>
        </w:numPr>
        <w:rPr>
          <w:szCs w:val="21"/>
        </w:rPr>
      </w:pPr>
      <w:r w:rsidRPr="00D579BE">
        <w:rPr>
          <w:szCs w:val="21"/>
        </w:rPr>
        <w:t>Élaborer et adopter un plan d'action pour l'égalité des sexes afin de promouvoir le transfert de compétences en matière de construction aux femmes locales, pour faciliter leur emploi sur le site du projet, y compris des objectifs de formation et de recrutement.</w:t>
      </w:r>
    </w:p>
    <w:p w14:paraId="260C54DD" w14:textId="77777777" w:rsidR="009021F1" w:rsidRPr="00D579BE" w:rsidRDefault="009021F1" w:rsidP="009021F1">
      <w:pPr>
        <w:rPr>
          <w:b/>
          <w:bCs/>
          <w:color w:val="000000"/>
          <w:szCs w:val="21"/>
        </w:rPr>
      </w:pPr>
    </w:p>
    <w:p w14:paraId="42206E43" w14:textId="77777777" w:rsidR="009021F1" w:rsidRPr="00D579BE" w:rsidRDefault="009021F1" w:rsidP="009021F1">
      <w:pPr>
        <w:rPr>
          <w:b/>
          <w:bCs/>
          <w:color w:val="000000"/>
          <w:szCs w:val="21"/>
        </w:rPr>
      </w:pPr>
      <w:r w:rsidRPr="00D579BE">
        <w:rPr>
          <w:b/>
          <w:bCs/>
          <w:color w:val="000000"/>
          <w:szCs w:val="21"/>
        </w:rPr>
        <w:t>Recours au personnel de sécurité</w:t>
      </w:r>
    </w:p>
    <w:p w14:paraId="7132E138" w14:textId="77777777" w:rsidR="009021F1" w:rsidRPr="00D579BE" w:rsidRDefault="009021F1" w:rsidP="009021F1">
      <w:pPr>
        <w:rPr>
          <w:b/>
          <w:szCs w:val="21"/>
          <w:lang w:val="x-none" w:eastAsia="x-none"/>
        </w:rPr>
      </w:pPr>
    </w:p>
    <w:p w14:paraId="47F71C3A" w14:textId="77777777" w:rsidR="009021F1" w:rsidRPr="00D579BE" w:rsidRDefault="009021F1" w:rsidP="009021F1">
      <w:pPr>
        <w:rPr>
          <w:szCs w:val="21"/>
        </w:rPr>
      </w:pPr>
      <w:r w:rsidRPr="00D579BE">
        <w:rPr>
          <w:szCs w:val="21"/>
        </w:rPr>
        <w:t>Si l’Entrepreneur emploie, directement ou dans le cadre de son contrat de services, des agents pour assurer la sécurité de son personnel et de ses biens, il évaluera les risques posés par ses dispositifs de sécurité aux personnes sur le site du projet ou à l’extérieur de ce dernier. Lorsqu’il prendra ces dispositions, il respectera les principes de proportionnalité, de bonnes pratiques internationales en matière d’embauche, de règles de conduite, de formation, d’équipement et de surveillance de ce personnel, ainsi que la législation nationale applicable.</w:t>
      </w:r>
    </w:p>
    <w:p w14:paraId="6E02B2B6" w14:textId="77777777" w:rsidR="009021F1" w:rsidRPr="00D579BE" w:rsidRDefault="009021F1" w:rsidP="009021F1">
      <w:pPr>
        <w:rPr>
          <w:szCs w:val="21"/>
        </w:rPr>
      </w:pPr>
    </w:p>
    <w:p w14:paraId="788EE18E" w14:textId="77777777" w:rsidR="009021F1" w:rsidRPr="00D579BE" w:rsidRDefault="009021F1" w:rsidP="009021F1">
      <w:pPr>
        <w:rPr>
          <w:szCs w:val="21"/>
        </w:rPr>
      </w:pPr>
      <w:r w:rsidRPr="00D579BE">
        <w:rPr>
          <w:szCs w:val="21"/>
        </w:rPr>
        <w:t>L’Entrepreneur procèdera à des enquêtes raisonnables pour s’assurer que les agents chargés d’assurer la sécurité ne sont pas soupçonnées d’avoir participé à des actions abusives ; veillera à ce que lesdits agents reçoivent une formation adéquate à l’utilisation de la force (et le cas échant, l’utilisation des armes à feu), et à une conduite appropriée envers les employés et les Communautés affectées, et leur imposera d’agir conformément aux lois applicables.</w:t>
      </w:r>
    </w:p>
    <w:p w14:paraId="1C700517" w14:textId="77777777" w:rsidR="009021F1" w:rsidRPr="00D579BE" w:rsidRDefault="009021F1" w:rsidP="009021F1">
      <w:pPr>
        <w:rPr>
          <w:szCs w:val="21"/>
        </w:rPr>
      </w:pPr>
    </w:p>
    <w:p w14:paraId="10800A9E" w14:textId="77777777" w:rsidR="009021F1" w:rsidRPr="00D579BE" w:rsidRDefault="009021F1" w:rsidP="009021F1">
      <w:pPr>
        <w:rPr>
          <w:szCs w:val="21"/>
        </w:rPr>
      </w:pPr>
      <w:r w:rsidRPr="00D579BE">
        <w:rPr>
          <w:szCs w:val="21"/>
        </w:rPr>
        <w:t xml:space="preserve">L’Entrepreneur n’autorisera pas le recours à la force sauf à des fins préventives ou défensives proportionnées à la nature et à la gravité de la menace. </w:t>
      </w:r>
    </w:p>
    <w:p w14:paraId="1B23F8E9" w14:textId="77777777" w:rsidR="009021F1" w:rsidRPr="00D579BE" w:rsidRDefault="009021F1" w:rsidP="009021F1">
      <w:pPr>
        <w:rPr>
          <w:szCs w:val="21"/>
        </w:rPr>
      </w:pPr>
    </w:p>
    <w:p w14:paraId="4E10CE3F" w14:textId="77777777" w:rsidR="009021F1" w:rsidRPr="00D579BE" w:rsidRDefault="009021F1" w:rsidP="009021F1">
      <w:pPr>
        <w:rPr>
          <w:szCs w:val="21"/>
        </w:rPr>
      </w:pPr>
      <w:r w:rsidRPr="00D579BE">
        <w:rPr>
          <w:szCs w:val="21"/>
        </w:rPr>
        <w:t xml:space="preserve">L’entrepreneur mettra en place un mécanisme de règlement des griefs permettant aux Communautés affectées d’exprimer leurs préoccupations quant aux mesures de sécurité et aux actions du personnel de sécurité. </w:t>
      </w:r>
    </w:p>
    <w:p w14:paraId="75C52B4A" w14:textId="77777777" w:rsidR="009021F1" w:rsidRPr="00D579BE" w:rsidRDefault="009021F1" w:rsidP="009021F1">
      <w:pPr>
        <w:rPr>
          <w:szCs w:val="21"/>
        </w:rPr>
      </w:pPr>
    </w:p>
    <w:p w14:paraId="281A9F02" w14:textId="77777777" w:rsidR="009021F1" w:rsidRPr="00D579BE" w:rsidRDefault="009021F1" w:rsidP="009021F1">
      <w:pPr>
        <w:rPr>
          <w:szCs w:val="21"/>
        </w:rPr>
      </w:pPr>
      <w:r w:rsidRPr="00D579BE">
        <w:rPr>
          <w:szCs w:val="21"/>
        </w:rPr>
        <w:t xml:space="preserve">L’Entrepreneur évaluera et justifiera par écrit les risques associés au déploiement d’agents de sécurité de l’État pour assurer les services de sécurité dans le cadre du projet. </w:t>
      </w:r>
    </w:p>
    <w:p w14:paraId="2052E393" w14:textId="77777777" w:rsidR="009021F1" w:rsidRPr="00D579BE" w:rsidRDefault="009021F1" w:rsidP="009021F1">
      <w:pPr>
        <w:rPr>
          <w:szCs w:val="21"/>
        </w:rPr>
      </w:pPr>
    </w:p>
    <w:p w14:paraId="26F13BB2" w14:textId="77777777" w:rsidR="009021F1" w:rsidRPr="00D579BE" w:rsidRDefault="009021F1" w:rsidP="009021F1">
      <w:pPr>
        <w:rPr>
          <w:szCs w:val="21"/>
        </w:rPr>
      </w:pPr>
      <w:r w:rsidRPr="00D579BE">
        <w:rPr>
          <w:szCs w:val="21"/>
        </w:rPr>
        <w:t>L’Entrepreneur prendra les dispositions nécessaires pour s’assurer que le personnel de sécurité agit conformément aux dispositions telles que décrites ci-dessus, et encouragera les autorités publiques pertinentes à communiquer au public les mesures de sécurité concernant ses installations, sauf s’il existe des raisons impératives de ne pas les diffuser.</w:t>
      </w:r>
    </w:p>
    <w:p w14:paraId="0F8BE579" w14:textId="77777777" w:rsidR="009021F1" w:rsidRPr="00D579BE" w:rsidRDefault="009021F1" w:rsidP="009021F1">
      <w:pPr>
        <w:rPr>
          <w:szCs w:val="21"/>
        </w:rPr>
      </w:pPr>
      <w:r w:rsidRPr="00D579BE">
        <w:rPr>
          <w:szCs w:val="21"/>
        </w:rPr>
        <w:t xml:space="preserve"> </w:t>
      </w:r>
    </w:p>
    <w:p w14:paraId="04EF0337" w14:textId="77777777" w:rsidR="009021F1" w:rsidRPr="00D579BE" w:rsidRDefault="009021F1" w:rsidP="009021F1">
      <w:pPr>
        <w:rPr>
          <w:szCs w:val="21"/>
        </w:rPr>
      </w:pPr>
      <w:r w:rsidRPr="00D579BE">
        <w:rPr>
          <w:szCs w:val="21"/>
        </w:rPr>
        <w:t>L’Entrepreneur mènera une enquête pour toute allégation crédible d’acte illicites ou de violations du personnel de sécurité et prendra des mesures (ou imposera aux parties appropriées de prendre des mesures) pour empêcher que ces actions ne se reproduisent, et informera les pouvoirs publics des actes illicites et abusif.</w:t>
      </w:r>
    </w:p>
    <w:p w14:paraId="605B078E" w14:textId="77777777" w:rsidR="009021F1" w:rsidRPr="00D579BE" w:rsidRDefault="009021F1" w:rsidP="009021F1">
      <w:pPr>
        <w:rPr>
          <w:szCs w:val="21"/>
        </w:rPr>
      </w:pPr>
    </w:p>
    <w:p w14:paraId="1F3DC3BB" w14:textId="77777777" w:rsidR="009021F1" w:rsidRPr="00D579BE" w:rsidRDefault="009021F1" w:rsidP="009021F1">
      <w:pPr>
        <w:rPr>
          <w:szCs w:val="21"/>
        </w:rPr>
      </w:pPr>
      <w:r w:rsidRPr="00D579BE">
        <w:rPr>
          <w:szCs w:val="21"/>
        </w:rPr>
        <w:t>Le mécanisme d’examen des plaintes au niveau du projet doit être en mesure de recevoir les préoccupations ou les plaintes concernant la conduite du personnel de sécurité. Les préoccupations et plaintes doivent être rapidement consignées et évaluées et que des mesures soient prises pour éviter toute récidive. Les réponses mises en œuvre à la suite de plaintes feront l’objet d’un suivi dont les résultats seront communiqués aux parties concernées, en tenant compte de la nécessité de protéger la confidentialité des informations relatives aux victimes et aux plaignants.</w:t>
      </w:r>
    </w:p>
    <w:p w14:paraId="1F8A9B0D" w14:textId="77777777" w:rsidR="009021F1" w:rsidRPr="00D579BE" w:rsidRDefault="009021F1" w:rsidP="009021F1">
      <w:pPr>
        <w:rPr>
          <w:szCs w:val="21"/>
          <w:lang w:val="x-none" w:eastAsia="x-none"/>
        </w:rPr>
      </w:pPr>
    </w:p>
    <w:p w14:paraId="236B0B74" w14:textId="77777777" w:rsidR="009021F1" w:rsidRPr="00D579BE" w:rsidRDefault="009021F1" w:rsidP="009021F1">
      <w:pPr>
        <w:rPr>
          <w:b/>
          <w:bCs/>
          <w:szCs w:val="21"/>
        </w:rPr>
      </w:pPr>
      <w:r w:rsidRPr="00D579BE">
        <w:rPr>
          <w:b/>
          <w:bCs/>
          <w:szCs w:val="21"/>
        </w:rPr>
        <w:t>CODE DE CONDUITE POUR LE PERSONNEL DE L’ENTREPRISE</w:t>
      </w:r>
    </w:p>
    <w:p w14:paraId="5CA330CA" w14:textId="77777777" w:rsidR="009021F1" w:rsidRPr="00D579BE" w:rsidRDefault="009021F1" w:rsidP="009021F1">
      <w:pPr>
        <w:rPr>
          <w:b/>
          <w:bCs/>
          <w:szCs w:val="21"/>
        </w:rPr>
      </w:pPr>
    </w:p>
    <w:p w14:paraId="7B939271" w14:textId="77777777" w:rsidR="009021F1" w:rsidRPr="00D579BE" w:rsidRDefault="009021F1" w:rsidP="009021F1">
      <w:pPr>
        <w:rPr>
          <w:szCs w:val="21"/>
        </w:rPr>
      </w:pPr>
      <w:r w:rsidRPr="00D579BE">
        <w:rPr>
          <w:szCs w:val="21"/>
        </w:rPr>
        <w:t>L'Entreprise doit élaborer et mettre en œuvre un Code de Conduite pour traiter les risques environnementaux et sociaux liés à ses activités.  Le Code de Conduite s'appliquera à tout le personnel, les ouvriers et les autres employés sur le site de construction ou tout autre lieu où des activités liées à la construction sont menées.  Il s'applique également au personnel de chaque sous-traitant et à tout autre personnel qui assiste l’Entreprise dans l'exécution des travaux.</w:t>
      </w:r>
    </w:p>
    <w:p w14:paraId="6765E9D1" w14:textId="77777777" w:rsidR="009021F1" w:rsidRPr="00D579BE" w:rsidRDefault="009021F1" w:rsidP="009021F1">
      <w:pPr>
        <w:rPr>
          <w:szCs w:val="21"/>
        </w:rPr>
      </w:pPr>
    </w:p>
    <w:p w14:paraId="4BC7DF00" w14:textId="77777777" w:rsidR="009021F1" w:rsidRPr="00D579BE" w:rsidRDefault="009021F1" w:rsidP="009021F1">
      <w:pPr>
        <w:rPr>
          <w:szCs w:val="21"/>
        </w:rPr>
      </w:pPr>
      <w:r w:rsidRPr="00D579BE">
        <w:rPr>
          <w:szCs w:val="21"/>
        </w:rPr>
        <w:t>L'objectif du Code de Conduite est de garantir un environnement dans lequel les comportements dangereux, offensants, abusifs, ou violents ne sont pas tolérés, et où toutes les personnes devraient se sentir à l'aise pour soulever des questions ou des préoccupations sans crainte de représailles.</w:t>
      </w:r>
    </w:p>
    <w:p w14:paraId="4DC2E84D" w14:textId="77777777" w:rsidR="009021F1" w:rsidRPr="00D579BE" w:rsidRDefault="009021F1" w:rsidP="009021F1">
      <w:pPr>
        <w:rPr>
          <w:szCs w:val="21"/>
        </w:rPr>
      </w:pPr>
      <w:r w:rsidRPr="00D579BE">
        <w:rPr>
          <w:szCs w:val="21"/>
        </w:rPr>
        <w:t>Les entreprises veilleront à ce que tous les employés, y compris ceux des sous-traitants, soient informés du code de conduite et le signent :</w:t>
      </w:r>
    </w:p>
    <w:p w14:paraId="4956C1FD" w14:textId="77777777" w:rsidR="009021F1" w:rsidRPr="00D579BE" w:rsidRDefault="009021F1" w:rsidP="009021F1">
      <w:pPr>
        <w:rPr>
          <w:b/>
          <w:szCs w:val="21"/>
          <w:lang w:eastAsia="x-none"/>
        </w:rPr>
      </w:pPr>
    </w:p>
    <w:p w14:paraId="205CF5F5" w14:textId="77777777" w:rsidR="009021F1" w:rsidRPr="00D579BE" w:rsidRDefault="009021F1" w:rsidP="009021F1">
      <w:pPr>
        <w:rPr>
          <w:b/>
          <w:szCs w:val="21"/>
          <w:lang w:val="x-none" w:eastAsia="x-none"/>
        </w:rPr>
      </w:pPr>
      <w:r w:rsidRPr="00D579BE">
        <w:rPr>
          <w:b/>
          <w:szCs w:val="21"/>
          <w:lang w:eastAsia="x-none"/>
        </w:rPr>
        <w:t xml:space="preserve">Modèle de </w:t>
      </w:r>
      <w:r w:rsidRPr="00D579BE">
        <w:rPr>
          <w:b/>
          <w:szCs w:val="21"/>
          <w:lang w:val="x-none" w:eastAsia="x-none"/>
        </w:rPr>
        <w:t>Code de Conduite</w:t>
      </w:r>
    </w:p>
    <w:p w14:paraId="295472D3" w14:textId="77777777" w:rsidR="009021F1" w:rsidRPr="00D579BE" w:rsidRDefault="009021F1" w:rsidP="009021F1">
      <w:pPr>
        <w:rPr>
          <w:b/>
          <w:szCs w:val="21"/>
          <w:lang w:val="x-none" w:eastAsia="x-none"/>
        </w:rPr>
      </w:pPr>
    </w:p>
    <w:p w14:paraId="27C5D2AF" w14:textId="77777777" w:rsidR="009021F1" w:rsidRPr="00D579BE" w:rsidRDefault="009021F1" w:rsidP="009021F1">
      <w:pPr>
        <w:rPr>
          <w:szCs w:val="21"/>
        </w:rPr>
      </w:pPr>
      <w:r w:rsidRPr="00D579BE">
        <w:rPr>
          <w:szCs w:val="21"/>
        </w:rPr>
        <w:t>Nous, l’entreprise [entrez le nom], avons signé un contrat avec le Projet PNDA pour [entrez la description des activités]. Ces activités seront menées à [entrez le site et les autres endroits où les activités seront menées].  Notre contrat exige que nous mettions en œuvre des mesures pour faire face aux risques environnementaux et sociaux liés aux activités, y compris les risques d'exploitation et d'agression sexuelles et de violence sexiste.</w:t>
      </w:r>
    </w:p>
    <w:p w14:paraId="6B3048BB" w14:textId="77777777" w:rsidR="009021F1" w:rsidRPr="00D579BE" w:rsidRDefault="009021F1" w:rsidP="009021F1">
      <w:pPr>
        <w:rPr>
          <w:szCs w:val="21"/>
        </w:rPr>
      </w:pPr>
    </w:p>
    <w:p w14:paraId="366320E0" w14:textId="77777777" w:rsidR="009021F1" w:rsidRPr="00D579BE" w:rsidRDefault="009021F1" w:rsidP="009021F1">
      <w:pPr>
        <w:rPr>
          <w:szCs w:val="21"/>
        </w:rPr>
      </w:pPr>
      <w:r w:rsidRPr="00D579BE">
        <w:rPr>
          <w:szCs w:val="21"/>
        </w:rPr>
        <w:t>Ce code de conduite fait partie des mesures que nous prenons pour faire face aux risques environnementaux et sociaux liés à nos activités.  Il s'applique à l'ensemble de notre personnel, y compris les ouvriers et les autres employés sur tous les lieux où les activités sont menées.  Il s'applique également au personnel de chaque sous-traitant et à tout autre personnel qui nous assiste dans l'exécution des activités.  Toutes ces personnes sont appelées "personnel du sous-traitant" et sont soumises au présent code de conduite.</w:t>
      </w:r>
    </w:p>
    <w:p w14:paraId="13F0FD6E" w14:textId="77777777" w:rsidR="009021F1" w:rsidRPr="00D579BE" w:rsidRDefault="009021F1" w:rsidP="009021F1">
      <w:pPr>
        <w:rPr>
          <w:szCs w:val="21"/>
        </w:rPr>
      </w:pPr>
    </w:p>
    <w:p w14:paraId="1F372673" w14:textId="77777777" w:rsidR="009021F1" w:rsidRPr="00D579BE" w:rsidRDefault="009021F1" w:rsidP="009021F1">
      <w:pPr>
        <w:rPr>
          <w:b/>
          <w:bCs/>
          <w:szCs w:val="21"/>
        </w:rPr>
      </w:pPr>
      <w:r w:rsidRPr="00D579BE">
        <w:rPr>
          <w:b/>
          <w:bCs/>
          <w:szCs w:val="21"/>
        </w:rPr>
        <w:t>Le présent code de conduite définit le comportement que nous exigeons de la part de tout le personnel de l’Entreprise</w:t>
      </w:r>
    </w:p>
    <w:p w14:paraId="21CADA2D" w14:textId="77777777" w:rsidR="009021F1" w:rsidRPr="00D579BE" w:rsidRDefault="009021F1" w:rsidP="009021F1">
      <w:pPr>
        <w:rPr>
          <w:szCs w:val="21"/>
        </w:rPr>
      </w:pPr>
    </w:p>
    <w:p w14:paraId="7E20C65D" w14:textId="77777777" w:rsidR="009021F1" w:rsidRPr="00D579BE" w:rsidRDefault="009021F1" w:rsidP="009021F1">
      <w:pPr>
        <w:rPr>
          <w:szCs w:val="21"/>
        </w:rPr>
      </w:pPr>
      <w:r w:rsidRPr="00D579BE">
        <w:rPr>
          <w:szCs w:val="21"/>
        </w:rPr>
        <w:t>Notre lieu de travail est un environnement où les comportements dangereux, offensants, abusifs ou violents ne seront pas tolérés et où toutes les personnes doivent se sentir à l'aise pour soulever des questions ou des préoccupations sans crainte de représailles.</w:t>
      </w:r>
    </w:p>
    <w:p w14:paraId="4A66CBB4" w14:textId="77777777" w:rsidR="009021F1" w:rsidRPr="00D579BE" w:rsidRDefault="009021F1" w:rsidP="009021F1">
      <w:pPr>
        <w:rPr>
          <w:b/>
          <w:bCs/>
          <w:szCs w:val="21"/>
        </w:rPr>
      </w:pPr>
    </w:p>
    <w:p w14:paraId="64A1A436" w14:textId="77777777" w:rsidR="009021F1" w:rsidRPr="00D579BE" w:rsidRDefault="009021F1" w:rsidP="009021F1">
      <w:pPr>
        <w:rPr>
          <w:b/>
          <w:bCs/>
          <w:szCs w:val="21"/>
        </w:rPr>
      </w:pPr>
      <w:r w:rsidRPr="00D579BE">
        <w:rPr>
          <w:b/>
          <w:bCs/>
          <w:szCs w:val="21"/>
        </w:rPr>
        <w:t>Conduite requise</w:t>
      </w:r>
    </w:p>
    <w:p w14:paraId="28259412" w14:textId="77777777" w:rsidR="009021F1" w:rsidRPr="00D579BE" w:rsidRDefault="009021F1" w:rsidP="009021F1">
      <w:pPr>
        <w:rPr>
          <w:b/>
          <w:bCs/>
          <w:szCs w:val="21"/>
        </w:rPr>
      </w:pPr>
    </w:p>
    <w:p w14:paraId="44AE31F5" w14:textId="77777777" w:rsidR="009021F1" w:rsidRPr="00D579BE" w:rsidRDefault="009021F1" w:rsidP="009021F1">
      <w:pPr>
        <w:rPr>
          <w:szCs w:val="21"/>
        </w:rPr>
      </w:pPr>
      <w:r w:rsidRPr="00D579BE">
        <w:rPr>
          <w:szCs w:val="21"/>
        </w:rPr>
        <w:t>Le personnel de l’Entreprise doit :</w:t>
      </w:r>
    </w:p>
    <w:p w14:paraId="69BF5F6A" w14:textId="77777777" w:rsidR="009021F1" w:rsidRPr="00D579BE" w:rsidRDefault="009021F1" w:rsidP="009021F1">
      <w:pPr>
        <w:rPr>
          <w:szCs w:val="21"/>
        </w:rPr>
      </w:pPr>
    </w:p>
    <w:p w14:paraId="6DBC566C" w14:textId="77777777" w:rsidR="009021F1" w:rsidRPr="00D579BE" w:rsidRDefault="009021F1" w:rsidP="009021F1">
      <w:pPr>
        <w:pStyle w:val="Paragraphedeliste"/>
        <w:numPr>
          <w:ilvl w:val="0"/>
          <w:numId w:val="56"/>
        </w:numPr>
        <w:rPr>
          <w:szCs w:val="21"/>
        </w:rPr>
      </w:pPr>
      <w:r w:rsidRPr="00D579BE">
        <w:rPr>
          <w:szCs w:val="21"/>
        </w:rPr>
        <w:t>S’acquitter de ses tâches avec compétence et diligence.</w:t>
      </w:r>
    </w:p>
    <w:p w14:paraId="6D4C632B" w14:textId="77777777" w:rsidR="009021F1" w:rsidRPr="00D579BE" w:rsidRDefault="009021F1" w:rsidP="009021F1">
      <w:pPr>
        <w:pStyle w:val="Paragraphedeliste"/>
        <w:numPr>
          <w:ilvl w:val="0"/>
          <w:numId w:val="56"/>
        </w:numPr>
        <w:rPr>
          <w:szCs w:val="21"/>
        </w:rPr>
      </w:pPr>
      <w:r w:rsidRPr="00D579BE">
        <w:rPr>
          <w:szCs w:val="21"/>
        </w:rPr>
        <w:t>Se conformer au présent code de conduite et à toutes les lois, réglementations et autres exigences applicables, y compris les exigences visant à protéger la santé, la sécurité et le bien-être des autres membres du personnel de l’Entreprise et de toute autre personne.</w:t>
      </w:r>
    </w:p>
    <w:p w14:paraId="2685653B" w14:textId="77777777" w:rsidR="009021F1" w:rsidRPr="00D579BE" w:rsidRDefault="009021F1" w:rsidP="009021F1">
      <w:pPr>
        <w:pStyle w:val="Paragraphedeliste"/>
        <w:numPr>
          <w:ilvl w:val="0"/>
          <w:numId w:val="56"/>
        </w:numPr>
        <w:rPr>
          <w:szCs w:val="21"/>
        </w:rPr>
      </w:pPr>
      <w:r w:rsidRPr="00D579BE">
        <w:rPr>
          <w:szCs w:val="21"/>
        </w:rPr>
        <w:t>Maintenir un environnement de travail sûr, y compris en :</w:t>
      </w:r>
    </w:p>
    <w:p w14:paraId="66893E9B" w14:textId="77777777" w:rsidR="009021F1" w:rsidRPr="00D579BE" w:rsidRDefault="009021F1" w:rsidP="009021F1">
      <w:pPr>
        <w:pStyle w:val="Paragraphedeliste"/>
        <w:numPr>
          <w:ilvl w:val="0"/>
          <w:numId w:val="56"/>
        </w:numPr>
        <w:rPr>
          <w:szCs w:val="21"/>
        </w:rPr>
      </w:pPr>
      <w:r w:rsidRPr="00D579BE">
        <w:rPr>
          <w:szCs w:val="21"/>
        </w:rPr>
        <w:t>Veillant à ce que les lieux de travail, les machines, les équipements et les processus sous le contrôle de chaque personne soient sûrs et sans risque pour la santé oula sécurité.</w:t>
      </w:r>
    </w:p>
    <w:p w14:paraId="3A33A6A9" w14:textId="77777777" w:rsidR="009021F1" w:rsidRPr="00D579BE" w:rsidRDefault="009021F1" w:rsidP="009021F1">
      <w:pPr>
        <w:pStyle w:val="Paragraphedeliste"/>
        <w:numPr>
          <w:ilvl w:val="0"/>
          <w:numId w:val="56"/>
        </w:numPr>
        <w:rPr>
          <w:szCs w:val="21"/>
        </w:rPr>
      </w:pPr>
      <w:r w:rsidRPr="00D579BE">
        <w:rPr>
          <w:szCs w:val="21"/>
        </w:rPr>
        <w:t>Portant les équipements de protection individuelle requis.</w:t>
      </w:r>
    </w:p>
    <w:p w14:paraId="6A8D7FE0" w14:textId="77777777" w:rsidR="009021F1" w:rsidRPr="00D579BE" w:rsidRDefault="009021F1" w:rsidP="009021F1">
      <w:pPr>
        <w:pStyle w:val="Paragraphedeliste"/>
        <w:numPr>
          <w:ilvl w:val="0"/>
          <w:numId w:val="56"/>
        </w:numPr>
        <w:rPr>
          <w:szCs w:val="21"/>
        </w:rPr>
      </w:pPr>
      <w:r w:rsidRPr="00D579BE">
        <w:rPr>
          <w:szCs w:val="21"/>
        </w:rPr>
        <w:t>Utilisant les mesures appropriées relatives aux substances et agents chimiques, physiques et biologiques.</w:t>
      </w:r>
    </w:p>
    <w:p w14:paraId="516FB673" w14:textId="77777777" w:rsidR="009021F1" w:rsidRPr="00D579BE" w:rsidRDefault="009021F1" w:rsidP="009021F1">
      <w:pPr>
        <w:pStyle w:val="Paragraphedeliste"/>
        <w:numPr>
          <w:ilvl w:val="0"/>
          <w:numId w:val="56"/>
        </w:numPr>
        <w:rPr>
          <w:szCs w:val="21"/>
        </w:rPr>
      </w:pPr>
      <w:r w:rsidRPr="00D579BE">
        <w:rPr>
          <w:szCs w:val="21"/>
        </w:rPr>
        <w:t>Suivant les procédures d'exploitation d'urgence applicables.</w:t>
      </w:r>
    </w:p>
    <w:p w14:paraId="45B74034" w14:textId="77777777" w:rsidR="009021F1" w:rsidRPr="00D579BE" w:rsidRDefault="009021F1" w:rsidP="009021F1">
      <w:pPr>
        <w:pStyle w:val="Paragraphedeliste"/>
        <w:numPr>
          <w:ilvl w:val="0"/>
          <w:numId w:val="56"/>
        </w:numPr>
        <w:rPr>
          <w:szCs w:val="21"/>
        </w:rPr>
      </w:pPr>
      <w:r w:rsidRPr="00D579BE">
        <w:rPr>
          <w:szCs w:val="21"/>
        </w:rPr>
        <w:t>Ne pas détenir ou consommer des stupéfiants</w:t>
      </w:r>
    </w:p>
    <w:p w14:paraId="2226F058" w14:textId="77777777" w:rsidR="009021F1" w:rsidRPr="00D579BE" w:rsidRDefault="009021F1" w:rsidP="009021F1">
      <w:pPr>
        <w:pStyle w:val="Paragraphedeliste"/>
        <w:numPr>
          <w:ilvl w:val="0"/>
          <w:numId w:val="56"/>
        </w:numPr>
        <w:rPr>
          <w:szCs w:val="21"/>
        </w:rPr>
      </w:pPr>
      <w:r w:rsidRPr="00D579BE">
        <w:rPr>
          <w:szCs w:val="21"/>
        </w:rPr>
        <w:t>Ne pas consommer des boissons alcoolisées pendant les heures de travail</w:t>
      </w:r>
    </w:p>
    <w:p w14:paraId="4ADF378F" w14:textId="77777777" w:rsidR="009021F1" w:rsidRPr="00D579BE" w:rsidRDefault="009021F1" w:rsidP="009021F1">
      <w:pPr>
        <w:pStyle w:val="Paragraphedeliste"/>
        <w:numPr>
          <w:ilvl w:val="0"/>
          <w:numId w:val="56"/>
        </w:numPr>
        <w:rPr>
          <w:szCs w:val="21"/>
        </w:rPr>
      </w:pPr>
      <w:r w:rsidRPr="00D579BE">
        <w:rPr>
          <w:szCs w:val="21"/>
        </w:rPr>
        <w:t>Ne pas détenir ou transporter des armes exception faite des partenaires sécuritaires</w:t>
      </w:r>
    </w:p>
    <w:p w14:paraId="70634FC0" w14:textId="77777777" w:rsidR="009021F1" w:rsidRPr="00D579BE" w:rsidRDefault="009021F1" w:rsidP="009021F1">
      <w:pPr>
        <w:pStyle w:val="Paragraphedeliste"/>
        <w:numPr>
          <w:ilvl w:val="0"/>
          <w:numId w:val="56"/>
        </w:numPr>
        <w:rPr>
          <w:szCs w:val="21"/>
        </w:rPr>
      </w:pPr>
      <w:r w:rsidRPr="00D579BE">
        <w:rPr>
          <w:szCs w:val="21"/>
        </w:rPr>
        <w:t>Ne pas acquérir, détenir, ou de consommer les viandes et autres produits provenant de la faune sauvage protégée, ou participer ou assister à des activités de chasse de faune sauvage protégée.</w:t>
      </w:r>
    </w:p>
    <w:p w14:paraId="2CF75AAF" w14:textId="77777777" w:rsidR="009021F1" w:rsidRPr="00D579BE" w:rsidRDefault="009021F1" w:rsidP="009021F1">
      <w:pPr>
        <w:pStyle w:val="Paragraphedeliste"/>
        <w:numPr>
          <w:ilvl w:val="0"/>
          <w:numId w:val="56"/>
        </w:numPr>
        <w:rPr>
          <w:szCs w:val="21"/>
        </w:rPr>
      </w:pPr>
      <w:r w:rsidRPr="00D579BE">
        <w:rPr>
          <w:szCs w:val="21"/>
        </w:rPr>
        <w:t>Signaler les situations de travail qu'il/elle estime ne pas être sûres ou saines et se retirer d'une situation de travail dont il/elle pense raisonnablement qu'elle présente un danger imminent et grave pour sa vie ou sa santé.</w:t>
      </w:r>
    </w:p>
    <w:p w14:paraId="285EAEA3" w14:textId="77777777" w:rsidR="009021F1" w:rsidRPr="00D579BE" w:rsidRDefault="009021F1" w:rsidP="009021F1">
      <w:pPr>
        <w:pStyle w:val="Paragraphedeliste"/>
        <w:numPr>
          <w:ilvl w:val="0"/>
          <w:numId w:val="56"/>
        </w:numPr>
        <w:rPr>
          <w:szCs w:val="21"/>
        </w:rPr>
      </w:pPr>
      <w:r w:rsidRPr="00D579BE">
        <w:rPr>
          <w:szCs w:val="21"/>
        </w:rPr>
        <w:t>Traiter les autres personnes avec respect et ne pas faire de discrimination à l'encontre de groupes spécifiques tels que les femmes, les personnes handicapées, les travailleurs migrants ou les enfants.</w:t>
      </w:r>
    </w:p>
    <w:p w14:paraId="535E6C7E" w14:textId="77777777" w:rsidR="009021F1" w:rsidRPr="00D579BE" w:rsidRDefault="009021F1" w:rsidP="009021F1">
      <w:pPr>
        <w:pStyle w:val="Paragraphedeliste"/>
        <w:numPr>
          <w:ilvl w:val="0"/>
          <w:numId w:val="56"/>
        </w:numPr>
        <w:rPr>
          <w:szCs w:val="21"/>
        </w:rPr>
      </w:pPr>
      <w:r w:rsidRPr="00D579BE">
        <w:rPr>
          <w:szCs w:val="21"/>
        </w:rPr>
        <w:t>Ne pas se livrer à une forme quelconque de harcèlement sexuel, y compris des avances sexuelles non sollicitées, des demandes de faveurs sexuelles et tout autre comportement verbal ou physique non désiré de nature sexuelle avec le personnel d'autres entrepreneurs ou employeurs.</w:t>
      </w:r>
    </w:p>
    <w:p w14:paraId="68751056" w14:textId="77777777" w:rsidR="009021F1" w:rsidRPr="00D579BE" w:rsidRDefault="009021F1" w:rsidP="009021F1">
      <w:pPr>
        <w:pStyle w:val="Paragraphedeliste"/>
        <w:numPr>
          <w:ilvl w:val="0"/>
          <w:numId w:val="56"/>
        </w:numPr>
        <w:rPr>
          <w:szCs w:val="21"/>
        </w:rPr>
      </w:pPr>
      <w:r w:rsidRPr="00D579BE">
        <w:rPr>
          <w:szCs w:val="21"/>
        </w:rPr>
        <w:t>Ne pas se livrer à l'exploitation sexuelle, ce qui signifie tout abus ou tentative d'abus de position de vulnérabilité, de pouvoir différentiel ou de confiance, à des fins sexuelles, y compris, mais sans s'y limiter, le fait de tirer un profit monétaire, social ou politique de l'exploitation sexuelle d'autrui.  Dans les projets financés par la Banque, l'exploitation sexuelle se produit lorsque l'accès à des biens, travaux, services de conseil ou services autres financés par la Banque, est utilisé pour en tirer un gain sexuel.</w:t>
      </w:r>
    </w:p>
    <w:p w14:paraId="6E00A907" w14:textId="77777777" w:rsidR="009021F1" w:rsidRPr="00D579BE" w:rsidRDefault="009021F1" w:rsidP="009021F1">
      <w:pPr>
        <w:pStyle w:val="Paragraphedeliste"/>
        <w:numPr>
          <w:ilvl w:val="0"/>
          <w:numId w:val="56"/>
        </w:numPr>
        <w:rPr>
          <w:szCs w:val="21"/>
        </w:rPr>
      </w:pPr>
      <w:r w:rsidRPr="00D579BE">
        <w:rPr>
          <w:szCs w:val="21"/>
        </w:rPr>
        <w:t>Ne pas se livrer à une agression sexuelle, ce qui signifie une activité sexuelle avec une autre personne qui n'y consent pas. Il s'agit d'une violation de l'intégrité corporelle et de l'autonomie sexuelle, qui dépasse les conceptions plus étroites du "viol", notamment parce que (a) il peut être commis par d'autres moyens que la force ou la violence, et (b) il n'implique pas nécessairement la pénétration.</w:t>
      </w:r>
    </w:p>
    <w:p w14:paraId="2A616010" w14:textId="77777777" w:rsidR="009021F1" w:rsidRPr="00D579BE" w:rsidRDefault="009021F1" w:rsidP="009021F1">
      <w:pPr>
        <w:pStyle w:val="Paragraphedeliste"/>
        <w:numPr>
          <w:ilvl w:val="0"/>
          <w:numId w:val="56"/>
        </w:numPr>
        <w:rPr>
          <w:szCs w:val="21"/>
        </w:rPr>
      </w:pPr>
      <w:r w:rsidRPr="00D579BE">
        <w:rPr>
          <w:szCs w:val="21"/>
        </w:rPr>
        <w:t>Ne pas se livrer à une forme quelconque d'activité sexuelle avec des personnes âgées de moins de 18 ans, sauf en cas de mariage préexistant.</w:t>
      </w:r>
    </w:p>
    <w:p w14:paraId="74AF1CA7" w14:textId="77777777" w:rsidR="009021F1" w:rsidRPr="00D579BE" w:rsidRDefault="009021F1" w:rsidP="009021F1">
      <w:pPr>
        <w:pStyle w:val="Paragraphedeliste"/>
        <w:numPr>
          <w:ilvl w:val="0"/>
          <w:numId w:val="56"/>
        </w:numPr>
        <w:rPr>
          <w:szCs w:val="21"/>
        </w:rPr>
      </w:pPr>
      <w:r w:rsidRPr="00D579BE">
        <w:rPr>
          <w:szCs w:val="21"/>
        </w:rPr>
        <w:t>Suivre les cours de formation pertinents qui seront dispensés en rapport avec les aspects environnementaux et sociaux du contrat, y compris sur les questions de santé et de sécurité, et sur l'exploitation et les agressions sexuelles ainsi que le harcèlement sexuel (EAS et HS).</w:t>
      </w:r>
    </w:p>
    <w:p w14:paraId="7CEB2082" w14:textId="77777777" w:rsidR="009021F1" w:rsidRPr="00D579BE" w:rsidRDefault="009021F1" w:rsidP="009021F1">
      <w:pPr>
        <w:pStyle w:val="Paragraphedeliste"/>
        <w:numPr>
          <w:ilvl w:val="0"/>
          <w:numId w:val="56"/>
        </w:numPr>
        <w:rPr>
          <w:szCs w:val="21"/>
        </w:rPr>
      </w:pPr>
      <w:r w:rsidRPr="00D579BE">
        <w:rPr>
          <w:szCs w:val="21"/>
        </w:rPr>
        <w:t>Signaler les violations du présent code de conduite.</w:t>
      </w:r>
    </w:p>
    <w:p w14:paraId="634B2684" w14:textId="77777777" w:rsidR="009021F1" w:rsidRPr="00D579BE" w:rsidRDefault="009021F1" w:rsidP="009021F1">
      <w:pPr>
        <w:pStyle w:val="Paragraphedeliste"/>
        <w:numPr>
          <w:ilvl w:val="0"/>
          <w:numId w:val="56"/>
        </w:numPr>
        <w:rPr>
          <w:szCs w:val="21"/>
        </w:rPr>
      </w:pPr>
      <w:r w:rsidRPr="00D579BE">
        <w:rPr>
          <w:szCs w:val="21"/>
        </w:rPr>
        <w:t>Ne pas exercer de représailles contre toute personne qui signale des violations du présent code de conduite, que ce soit à nous ou à l'employeur, ou qui fait usage du [mécanisme de règlement des griefs [recours] du projet].  De telles représailles constitueraient en soi une violation du Code de Conduite.</w:t>
      </w:r>
    </w:p>
    <w:p w14:paraId="55118991" w14:textId="77777777" w:rsidR="009021F1" w:rsidRPr="00D579BE" w:rsidRDefault="009021F1" w:rsidP="009021F1">
      <w:pPr>
        <w:rPr>
          <w:b/>
          <w:bCs/>
          <w:szCs w:val="21"/>
        </w:rPr>
      </w:pPr>
    </w:p>
    <w:p w14:paraId="1CD763EF" w14:textId="77777777" w:rsidR="009021F1" w:rsidRPr="00D579BE" w:rsidRDefault="009021F1" w:rsidP="009021F1">
      <w:pPr>
        <w:rPr>
          <w:b/>
          <w:bCs/>
          <w:szCs w:val="21"/>
        </w:rPr>
      </w:pPr>
      <w:r w:rsidRPr="00D579BE">
        <w:rPr>
          <w:b/>
          <w:bCs/>
          <w:szCs w:val="21"/>
        </w:rPr>
        <w:t>Signaler des Fautes</w:t>
      </w:r>
    </w:p>
    <w:p w14:paraId="0E217CA7" w14:textId="77777777" w:rsidR="009021F1" w:rsidRPr="00D579BE" w:rsidRDefault="009021F1" w:rsidP="009021F1">
      <w:pPr>
        <w:rPr>
          <w:b/>
          <w:bCs/>
          <w:szCs w:val="21"/>
        </w:rPr>
      </w:pPr>
    </w:p>
    <w:p w14:paraId="35B7C851" w14:textId="77777777" w:rsidR="009021F1" w:rsidRPr="00D579BE" w:rsidRDefault="009021F1" w:rsidP="009021F1">
      <w:pPr>
        <w:rPr>
          <w:szCs w:val="21"/>
        </w:rPr>
      </w:pPr>
      <w:r w:rsidRPr="00D579BE">
        <w:rPr>
          <w:szCs w:val="21"/>
        </w:rPr>
        <w:t>Si une personne observe un comportement qui, selon elle, peut représenter une violation du présent code de conduite, ou qui la concerne d'une autre manière, elle doit soulever la question rapidement.  Cela peut se faire de l'une ou l'autre des manières suivantes :</w:t>
      </w:r>
    </w:p>
    <w:p w14:paraId="668CA75C" w14:textId="77777777" w:rsidR="009021F1" w:rsidRPr="00D579BE" w:rsidRDefault="009021F1" w:rsidP="009021F1">
      <w:pPr>
        <w:rPr>
          <w:szCs w:val="21"/>
        </w:rPr>
      </w:pPr>
    </w:p>
    <w:p w14:paraId="3CFD6FC1" w14:textId="77777777" w:rsidR="009021F1" w:rsidRPr="00D579BE" w:rsidRDefault="009021F1" w:rsidP="009021F1">
      <w:pPr>
        <w:pStyle w:val="Paragraphedeliste"/>
        <w:numPr>
          <w:ilvl w:val="0"/>
          <w:numId w:val="56"/>
        </w:numPr>
        <w:rPr>
          <w:szCs w:val="21"/>
        </w:rPr>
      </w:pPr>
      <w:r w:rsidRPr="00D579BE">
        <w:rPr>
          <w:szCs w:val="21"/>
        </w:rPr>
        <w:t>En contactant la personne désignée par l’Entreprise [indiquer le nom du contact) ;</w:t>
      </w:r>
    </w:p>
    <w:p w14:paraId="61B51834" w14:textId="77777777" w:rsidR="009021F1" w:rsidRPr="00D579BE" w:rsidRDefault="009021F1" w:rsidP="009021F1">
      <w:pPr>
        <w:pStyle w:val="Paragraphedeliste"/>
        <w:numPr>
          <w:ilvl w:val="0"/>
          <w:numId w:val="56"/>
        </w:numPr>
        <w:rPr>
          <w:szCs w:val="21"/>
        </w:rPr>
      </w:pPr>
      <w:r w:rsidRPr="00D579BE">
        <w:rPr>
          <w:szCs w:val="21"/>
        </w:rPr>
        <w:t>Par écrit à l'adresse suivante [ ] ;</w:t>
      </w:r>
    </w:p>
    <w:p w14:paraId="7B6E5B9A" w14:textId="77777777" w:rsidR="009021F1" w:rsidRPr="00D579BE" w:rsidRDefault="009021F1" w:rsidP="009021F1">
      <w:pPr>
        <w:pStyle w:val="Paragraphedeliste"/>
        <w:numPr>
          <w:ilvl w:val="0"/>
          <w:numId w:val="56"/>
        </w:numPr>
        <w:rPr>
          <w:szCs w:val="21"/>
        </w:rPr>
      </w:pPr>
      <w:r w:rsidRPr="00D579BE">
        <w:rPr>
          <w:szCs w:val="21"/>
        </w:rPr>
        <w:t>Par téléphone au [ ] ;</w:t>
      </w:r>
    </w:p>
    <w:p w14:paraId="53BD258B" w14:textId="77777777" w:rsidR="009021F1" w:rsidRPr="00D579BE" w:rsidRDefault="009021F1" w:rsidP="009021F1">
      <w:pPr>
        <w:pStyle w:val="Paragraphedeliste"/>
        <w:numPr>
          <w:ilvl w:val="0"/>
          <w:numId w:val="56"/>
        </w:numPr>
        <w:rPr>
          <w:szCs w:val="21"/>
        </w:rPr>
      </w:pPr>
      <w:r w:rsidRPr="00D579BE">
        <w:rPr>
          <w:szCs w:val="21"/>
        </w:rPr>
        <w:t>En personne à [ ] ; et</w:t>
      </w:r>
    </w:p>
    <w:p w14:paraId="1A56366A" w14:textId="77777777" w:rsidR="009021F1" w:rsidRPr="00D579BE" w:rsidRDefault="009021F1" w:rsidP="009021F1">
      <w:pPr>
        <w:pStyle w:val="Paragraphedeliste"/>
        <w:numPr>
          <w:ilvl w:val="0"/>
          <w:numId w:val="56"/>
        </w:numPr>
        <w:rPr>
          <w:szCs w:val="21"/>
        </w:rPr>
      </w:pPr>
      <w:r w:rsidRPr="00D579BE">
        <w:rPr>
          <w:szCs w:val="21"/>
        </w:rPr>
        <w:t>Appeler [ ] pour joindre la ligne directe de l’Entreprise et laisser un message (si disponible)</w:t>
      </w:r>
    </w:p>
    <w:p w14:paraId="78725014" w14:textId="77777777" w:rsidR="009021F1" w:rsidRPr="00D579BE" w:rsidRDefault="009021F1" w:rsidP="009021F1">
      <w:pPr>
        <w:rPr>
          <w:szCs w:val="21"/>
        </w:rPr>
      </w:pPr>
    </w:p>
    <w:p w14:paraId="54770BB8" w14:textId="77777777" w:rsidR="009021F1" w:rsidRPr="00D579BE" w:rsidRDefault="009021F1" w:rsidP="009021F1">
      <w:pPr>
        <w:rPr>
          <w:szCs w:val="21"/>
        </w:rPr>
      </w:pPr>
      <w:r w:rsidRPr="00D579BE">
        <w:rPr>
          <w:szCs w:val="21"/>
        </w:rPr>
        <w:t xml:space="preserve">L'identité de la personne sera gardée confidentielle, à moins que la loi du pays n'impose de signaler les allégations.  Des plaintes ou allégations anonymes peuvent également être soumises et seront dûment prises en considération.  Nous prendrons au sérieux tous les signalements de fautes éventuelles et nous enquêterons et prendrons les mesures appropriées.  Nous fournirons des références chaleureuses aux prestataires de services qui peuvent aider à soutenir le </w:t>
      </w:r>
    </w:p>
    <w:p w14:paraId="760986CE" w14:textId="77777777" w:rsidR="009021F1" w:rsidRPr="00D579BE" w:rsidRDefault="009021F1" w:rsidP="009021F1">
      <w:pPr>
        <w:rPr>
          <w:szCs w:val="21"/>
        </w:rPr>
      </w:pPr>
      <w:r w:rsidRPr="00D579BE">
        <w:rPr>
          <w:szCs w:val="21"/>
        </w:rPr>
        <w:t>La loi du pays.  Des plaintes ou allégations anonymes peuvent également être déposées et seront dûment prises en considération.  Nous prenons au sérieux tous les signalements de fautes éventuelles et nous enquêterons et prendrons les mesures appropriées.  Au besoin, nous recommanderons des prestataires de services susceptibles de soutenir la personne qui a vécu l'incident présumé.</w:t>
      </w:r>
    </w:p>
    <w:p w14:paraId="66857B6E" w14:textId="77777777" w:rsidR="009021F1" w:rsidRPr="00D579BE" w:rsidRDefault="009021F1" w:rsidP="009021F1">
      <w:pPr>
        <w:rPr>
          <w:szCs w:val="21"/>
        </w:rPr>
      </w:pPr>
      <w:r w:rsidRPr="00D579BE">
        <w:rPr>
          <w:szCs w:val="21"/>
        </w:rPr>
        <w:t>Il n'y aura pas de représailles à l'encontre de toute personne qui soulève de bonne foi une préoccupation concernant un comportement interdit par le présent code de conduite.  De telles représailles constitueraient une violation du présent code de conduite.</w:t>
      </w:r>
    </w:p>
    <w:p w14:paraId="29DD08B3" w14:textId="77777777" w:rsidR="009021F1" w:rsidRPr="00D579BE" w:rsidRDefault="009021F1" w:rsidP="009021F1">
      <w:pPr>
        <w:rPr>
          <w:b/>
          <w:bCs/>
          <w:szCs w:val="21"/>
        </w:rPr>
      </w:pPr>
    </w:p>
    <w:p w14:paraId="1FA3776C" w14:textId="77777777" w:rsidR="009021F1" w:rsidRPr="00D579BE" w:rsidRDefault="009021F1" w:rsidP="009021F1">
      <w:pPr>
        <w:rPr>
          <w:b/>
          <w:bCs/>
          <w:szCs w:val="21"/>
        </w:rPr>
      </w:pPr>
      <w:r w:rsidRPr="00D579BE">
        <w:rPr>
          <w:b/>
          <w:bCs/>
          <w:szCs w:val="21"/>
        </w:rPr>
        <w:t>Conséquences d'une violation du code de conduite</w:t>
      </w:r>
    </w:p>
    <w:p w14:paraId="5D292D25" w14:textId="77777777" w:rsidR="009021F1" w:rsidRPr="00D579BE" w:rsidRDefault="009021F1" w:rsidP="009021F1">
      <w:pPr>
        <w:rPr>
          <w:b/>
          <w:bCs/>
          <w:szCs w:val="21"/>
        </w:rPr>
      </w:pPr>
    </w:p>
    <w:p w14:paraId="0FB5C627" w14:textId="77777777" w:rsidR="009021F1" w:rsidRPr="00D579BE" w:rsidRDefault="009021F1" w:rsidP="009021F1">
      <w:pPr>
        <w:rPr>
          <w:szCs w:val="21"/>
        </w:rPr>
      </w:pPr>
      <w:r w:rsidRPr="00D579BE">
        <w:rPr>
          <w:szCs w:val="21"/>
        </w:rPr>
        <w:t>Toute violation du présent code de conduite par le personnel de l’Entreprise peut entraîner de graves conséquences, pouvant aller jusqu'à la résiliation et à l'éventuel renvoi devant les autorités judiciaires.</w:t>
      </w:r>
    </w:p>
    <w:p w14:paraId="4B7F7440" w14:textId="77777777" w:rsidR="009021F1" w:rsidRPr="00D579BE" w:rsidRDefault="009021F1" w:rsidP="009021F1">
      <w:pPr>
        <w:rPr>
          <w:b/>
          <w:bCs/>
          <w:szCs w:val="21"/>
        </w:rPr>
      </w:pPr>
    </w:p>
    <w:p w14:paraId="739B89EC" w14:textId="77777777" w:rsidR="009021F1" w:rsidRPr="00D579BE" w:rsidRDefault="009021F1" w:rsidP="009021F1">
      <w:pPr>
        <w:rPr>
          <w:b/>
          <w:bCs/>
          <w:szCs w:val="21"/>
        </w:rPr>
      </w:pPr>
      <w:r w:rsidRPr="00D579BE">
        <w:rPr>
          <w:b/>
          <w:bCs/>
          <w:szCs w:val="21"/>
        </w:rPr>
        <w:t>Pour le personnel de l’Entreprise</w:t>
      </w:r>
    </w:p>
    <w:p w14:paraId="3107184C" w14:textId="77777777" w:rsidR="009021F1" w:rsidRPr="00D579BE" w:rsidRDefault="009021F1" w:rsidP="009021F1">
      <w:pPr>
        <w:rPr>
          <w:b/>
          <w:bCs/>
          <w:szCs w:val="21"/>
        </w:rPr>
      </w:pPr>
    </w:p>
    <w:p w14:paraId="783BF54C" w14:textId="77777777" w:rsidR="009021F1" w:rsidRPr="00D579BE" w:rsidRDefault="009021F1" w:rsidP="009021F1">
      <w:pPr>
        <w:rPr>
          <w:szCs w:val="21"/>
        </w:rPr>
      </w:pPr>
      <w:r w:rsidRPr="00D579BE">
        <w:rPr>
          <w:szCs w:val="21"/>
        </w:rPr>
        <w:t>J'ai reçu un exemplaire du présent code de conduite rédigé dans une langue que je comprends.  Je comprends que si j'ai des questions sur le présent code de conduite, je peux contacter [indiquer le nom de la personne de contact de l’Entreprise ayant une expérience pertinente dans le traitement de la violence fondée sur le sexe] pour demander des explications.</w:t>
      </w:r>
    </w:p>
    <w:p w14:paraId="2F3E4EB6" w14:textId="77777777" w:rsidR="009021F1" w:rsidRPr="00D579BE" w:rsidRDefault="009021F1" w:rsidP="009021F1">
      <w:pPr>
        <w:rPr>
          <w:szCs w:val="21"/>
        </w:rPr>
      </w:pPr>
      <w:r w:rsidRPr="00D579BE">
        <w:rPr>
          <w:szCs w:val="21"/>
        </w:rPr>
        <w:t>Nom du personnel du contractant : [insérer le nom]</w:t>
      </w:r>
    </w:p>
    <w:p w14:paraId="045E5764" w14:textId="77777777" w:rsidR="009021F1" w:rsidRPr="00D579BE" w:rsidRDefault="009021F1" w:rsidP="009021F1">
      <w:pPr>
        <w:rPr>
          <w:szCs w:val="21"/>
        </w:rPr>
      </w:pPr>
      <w:r w:rsidRPr="00D579BE">
        <w:rPr>
          <w:szCs w:val="21"/>
        </w:rPr>
        <w:t xml:space="preserve">Signature </w:t>
      </w:r>
      <w:r w:rsidRPr="00D579BE">
        <w:rPr>
          <w:szCs w:val="21"/>
        </w:rPr>
        <w:tab/>
      </w:r>
      <w:r w:rsidRPr="00D579BE">
        <w:rPr>
          <w:szCs w:val="21"/>
        </w:rPr>
        <w:tab/>
      </w:r>
      <w:r w:rsidRPr="00D579BE">
        <w:rPr>
          <w:szCs w:val="21"/>
        </w:rPr>
        <w:tab/>
        <w:t>: ______________________________________________</w:t>
      </w:r>
    </w:p>
    <w:p w14:paraId="324B3E71" w14:textId="77777777" w:rsidR="009021F1" w:rsidRPr="00D579BE" w:rsidRDefault="009021F1" w:rsidP="009021F1">
      <w:pPr>
        <w:rPr>
          <w:szCs w:val="21"/>
        </w:rPr>
      </w:pPr>
      <w:r w:rsidRPr="00D579BE">
        <w:rPr>
          <w:szCs w:val="21"/>
        </w:rPr>
        <w:t xml:space="preserve">Date : (jour mois année) </w:t>
      </w:r>
      <w:r w:rsidRPr="00D579BE">
        <w:rPr>
          <w:szCs w:val="21"/>
        </w:rPr>
        <w:tab/>
        <w:t>: ______________________________________________</w:t>
      </w:r>
    </w:p>
    <w:p w14:paraId="0BA747DA" w14:textId="77777777" w:rsidR="009021F1" w:rsidRPr="00D579BE" w:rsidRDefault="009021F1" w:rsidP="009021F1">
      <w:pPr>
        <w:rPr>
          <w:szCs w:val="21"/>
        </w:rPr>
      </w:pPr>
      <w:r w:rsidRPr="00D579BE">
        <w:rPr>
          <w:szCs w:val="21"/>
        </w:rPr>
        <w:t>Contre-signature du représentant autorisé du contractant : _______________________</w:t>
      </w:r>
    </w:p>
    <w:p w14:paraId="2B7C1EA8" w14:textId="77777777" w:rsidR="009021F1" w:rsidRPr="00D579BE" w:rsidRDefault="009021F1" w:rsidP="009021F1">
      <w:pPr>
        <w:rPr>
          <w:szCs w:val="21"/>
        </w:rPr>
      </w:pPr>
      <w:r w:rsidRPr="00D579BE">
        <w:rPr>
          <w:szCs w:val="21"/>
        </w:rPr>
        <w:t xml:space="preserve">Signature </w:t>
      </w:r>
      <w:r w:rsidRPr="00D579BE">
        <w:rPr>
          <w:szCs w:val="21"/>
        </w:rPr>
        <w:tab/>
      </w:r>
      <w:r w:rsidRPr="00D579BE">
        <w:rPr>
          <w:szCs w:val="21"/>
        </w:rPr>
        <w:tab/>
      </w:r>
      <w:r w:rsidRPr="00D579BE">
        <w:rPr>
          <w:szCs w:val="21"/>
        </w:rPr>
        <w:tab/>
        <w:t>: ______________________________________________</w:t>
      </w:r>
    </w:p>
    <w:p w14:paraId="53B0F02B" w14:textId="77777777" w:rsidR="009021F1" w:rsidRPr="00D579BE" w:rsidRDefault="009021F1" w:rsidP="009021F1">
      <w:pPr>
        <w:rPr>
          <w:szCs w:val="21"/>
        </w:rPr>
      </w:pPr>
      <w:r w:rsidRPr="00D579BE">
        <w:rPr>
          <w:szCs w:val="21"/>
        </w:rPr>
        <w:t xml:space="preserve">Date : (jour mois année) </w:t>
      </w:r>
      <w:r w:rsidRPr="00D579BE">
        <w:rPr>
          <w:szCs w:val="21"/>
        </w:rPr>
        <w:tab/>
        <w:t>: ______________________________________________</w:t>
      </w:r>
    </w:p>
    <w:p w14:paraId="45FA72FE" w14:textId="77777777" w:rsidR="009021F1" w:rsidRPr="00D579BE" w:rsidRDefault="009021F1" w:rsidP="009021F1">
      <w:pPr>
        <w:rPr>
          <w:szCs w:val="21"/>
        </w:rPr>
      </w:pPr>
    </w:p>
    <w:p w14:paraId="341A5E27" w14:textId="77777777" w:rsidR="009021F1" w:rsidRPr="00D579BE" w:rsidRDefault="009021F1" w:rsidP="009021F1">
      <w:pPr>
        <w:rPr>
          <w:szCs w:val="21"/>
        </w:rPr>
      </w:pPr>
      <w:r w:rsidRPr="00D579BE">
        <w:rPr>
          <w:szCs w:val="21"/>
        </w:rPr>
        <w:t>Une copie du code de conduite en français doit être affichée dans un endroit facilement accessible par les communautés voisines et les personnes concernées par le projet.  Il doit au besoin être fourni dans des langues compréhensibles pour la communauté locale, le personnel de l’Entreprise (y compris les sous-traitants et les travailleurs journaliers), le personnel du Maître d’ouvrage projet, et les personnes potentiellement affectées.</w:t>
      </w:r>
    </w:p>
    <w:p w14:paraId="729ADCE0" w14:textId="77777777" w:rsidR="009021F1" w:rsidRPr="00D579BE" w:rsidRDefault="009021F1" w:rsidP="009021F1">
      <w:pPr>
        <w:rPr>
          <w:b/>
          <w:szCs w:val="21"/>
          <w:lang w:val="x-none" w:eastAsia="x-none"/>
        </w:rPr>
      </w:pPr>
    </w:p>
    <w:p w14:paraId="3A186DFE" w14:textId="77777777" w:rsidR="009021F1" w:rsidRPr="00D579BE" w:rsidRDefault="009021F1" w:rsidP="009021F1">
      <w:pPr>
        <w:rPr>
          <w:b/>
          <w:szCs w:val="21"/>
          <w:lang w:val="x-none" w:eastAsia="x-none"/>
        </w:rPr>
      </w:pPr>
      <w:r w:rsidRPr="00D579BE">
        <w:rPr>
          <w:b/>
          <w:szCs w:val="21"/>
          <w:lang w:val="x-none" w:eastAsia="x-none"/>
        </w:rPr>
        <w:t>Mécanisme de Gestion des Griefs pour les Employés</w:t>
      </w:r>
    </w:p>
    <w:p w14:paraId="56408369" w14:textId="77777777" w:rsidR="009021F1" w:rsidRPr="00D579BE" w:rsidRDefault="009021F1" w:rsidP="009021F1">
      <w:pPr>
        <w:rPr>
          <w:b/>
          <w:szCs w:val="21"/>
          <w:lang w:val="x-none" w:eastAsia="x-none"/>
        </w:rPr>
      </w:pPr>
    </w:p>
    <w:p w14:paraId="03FE40B2" w14:textId="77777777" w:rsidR="009021F1" w:rsidRPr="00D579BE" w:rsidRDefault="009021F1" w:rsidP="009021F1">
      <w:pPr>
        <w:rPr>
          <w:szCs w:val="21"/>
        </w:rPr>
      </w:pPr>
      <w:r w:rsidRPr="00D579BE">
        <w:rPr>
          <w:szCs w:val="21"/>
        </w:rPr>
        <w:t>L’Entreprise mettra en place un mécanisme de gestion des griefs pour ses employés et les employés de leurs sous-traitants qui sera proportionnel à leur effectif.  Ce mécanisme de gestion des griefs sera distinct du mécanisme de gestion des griefs au niveau du projet et respectera les principes suivants :</w:t>
      </w:r>
    </w:p>
    <w:p w14:paraId="4C048F35" w14:textId="77777777" w:rsidR="009021F1" w:rsidRPr="00D579BE" w:rsidRDefault="009021F1" w:rsidP="009021F1">
      <w:pPr>
        <w:rPr>
          <w:szCs w:val="21"/>
        </w:rPr>
      </w:pPr>
      <w:r w:rsidRPr="00D579BE">
        <w:rPr>
          <w:szCs w:val="21"/>
        </w:rPr>
        <w:t>Fourniture d'informations.  Tous les employés doivent être informés sur le mécanisme de gestion des griefs au moment de leur embauche, et les détails sur son fonctionnement doivent être facilement accessibles, par exemple, dans la documentation fourniers aux employés ou sur les tableaux d'affichage.</w:t>
      </w:r>
    </w:p>
    <w:p w14:paraId="65F6B3FA" w14:textId="77777777" w:rsidR="009021F1" w:rsidRPr="00D579BE" w:rsidRDefault="009021F1" w:rsidP="009021F1">
      <w:pPr>
        <w:rPr>
          <w:szCs w:val="21"/>
        </w:rPr>
      </w:pPr>
    </w:p>
    <w:p w14:paraId="446361DA" w14:textId="77777777" w:rsidR="009021F1" w:rsidRPr="00D579BE" w:rsidRDefault="009021F1" w:rsidP="009021F1">
      <w:pPr>
        <w:rPr>
          <w:szCs w:val="21"/>
        </w:rPr>
      </w:pPr>
      <w:r w:rsidRPr="00D579BE">
        <w:rPr>
          <w:szCs w:val="21"/>
        </w:rPr>
        <w:t>Transparence du processus.  Les ouvriers doivent savoir à qui ils peuvent s'adresser en cas de grief, et être informé du soutien et des sources de conseil qui sont à leur disposition.  Tous les cadres hiérarchiques et supérieurs doivent connaître le mécanisme de gestion des griefs de leur organisation.</w:t>
      </w:r>
    </w:p>
    <w:p w14:paraId="33ADAE7B" w14:textId="77777777" w:rsidR="009021F1" w:rsidRPr="00D579BE" w:rsidRDefault="009021F1" w:rsidP="009021F1">
      <w:pPr>
        <w:rPr>
          <w:szCs w:val="21"/>
        </w:rPr>
      </w:pPr>
    </w:p>
    <w:p w14:paraId="290B66B2" w14:textId="77777777" w:rsidR="009021F1" w:rsidRPr="00D579BE" w:rsidRDefault="009021F1" w:rsidP="009021F1">
      <w:pPr>
        <w:rPr>
          <w:szCs w:val="21"/>
        </w:rPr>
      </w:pPr>
      <w:r w:rsidRPr="00D579BE">
        <w:rPr>
          <w:szCs w:val="21"/>
        </w:rPr>
        <w:t>Mise à jour.  Le mécanisme doit être régulièrement revue et mis à jour, par exemple en faisant référence à toute nouvelle directive statutaire, à tout changement de contrat ou de représentation.</w:t>
      </w:r>
    </w:p>
    <w:p w14:paraId="356F957A" w14:textId="77777777" w:rsidR="009021F1" w:rsidRPr="00D579BE" w:rsidRDefault="009021F1" w:rsidP="009021F1">
      <w:pPr>
        <w:rPr>
          <w:szCs w:val="21"/>
        </w:rPr>
      </w:pPr>
    </w:p>
    <w:p w14:paraId="14C648DB" w14:textId="77777777" w:rsidR="009021F1" w:rsidRPr="00D579BE" w:rsidRDefault="009021F1" w:rsidP="009021F1">
      <w:pPr>
        <w:rPr>
          <w:szCs w:val="21"/>
        </w:rPr>
      </w:pPr>
      <w:r w:rsidRPr="00D579BE">
        <w:rPr>
          <w:szCs w:val="21"/>
        </w:rPr>
        <w:t>Confidentialité. Le mécanisme doit garantir que les plaintes sont traitées de manière confidentielle.  Si les procédures spécifient que les plaintes doivent d'abord être adressées au supérieur hiérarchique, il doit également être possible de porter plainte en premier lieu auprès d'un autre responsable, par exemple le responsable des ressources humaines.</w:t>
      </w:r>
    </w:p>
    <w:p w14:paraId="15E5C3BE" w14:textId="77777777" w:rsidR="009021F1" w:rsidRPr="00D579BE" w:rsidRDefault="009021F1" w:rsidP="009021F1">
      <w:pPr>
        <w:rPr>
          <w:szCs w:val="21"/>
        </w:rPr>
      </w:pPr>
      <w:r w:rsidRPr="00D579BE">
        <w:rPr>
          <w:szCs w:val="21"/>
        </w:rPr>
        <w:t>Représailles.  Le mécanisme doit garantir que tout employé sera à l’abri de toutes formes de représailles.</w:t>
      </w:r>
    </w:p>
    <w:p w14:paraId="2A92FCC2" w14:textId="77777777" w:rsidR="009021F1" w:rsidRPr="00D579BE" w:rsidRDefault="009021F1" w:rsidP="009021F1">
      <w:pPr>
        <w:rPr>
          <w:szCs w:val="21"/>
        </w:rPr>
      </w:pPr>
    </w:p>
    <w:p w14:paraId="63F762CF" w14:textId="77777777" w:rsidR="009021F1" w:rsidRPr="00D579BE" w:rsidRDefault="009021F1" w:rsidP="009021F1">
      <w:pPr>
        <w:rPr>
          <w:szCs w:val="21"/>
        </w:rPr>
      </w:pPr>
      <w:r w:rsidRPr="00D579BE">
        <w:rPr>
          <w:szCs w:val="21"/>
        </w:rPr>
        <w:t>Délais raisonnables.  Le mécanisme doit indiquer le temps requis pour examiner les plaintes de manière approfondie, mais doit aussi viser à une résolution rapide.  Plus la durée de la procédure est longue, plus il peut être difficile pour les deux parties de revenir à la normale par la suite.  Des délais doivent être fixés pour chaque étape de la procédure, par exemple, un délai maximum entre le moment où une plainte est communiquée et la tenue d'une réunion pour l'examiner.</w:t>
      </w:r>
    </w:p>
    <w:p w14:paraId="24969237" w14:textId="77777777" w:rsidR="009021F1" w:rsidRPr="00D579BE" w:rsidRDefault="009021F1" w:rsidP="009021F1">
      <w:pPr>
        <w:rPr>
          <w:szCs w:val="21"/>
        </w:rPr>
      </w:pPr>
    </w:p>
    <w:p w14:paraId="3F741ADA" w14:textId="77777777" w:rsidR="009021F1" w:rsidRPr="00D579BE" w:rsidRDefault="009021F1" w:rsidP="009021F1">
      <w:pPr>
        <w:rPr>
          <w:szCs w:val="21"/>
        </w:rPr>
      </w:pPr>
      <w:r w:rsidRPr="00D579BE">
        <w:rPr>
          <w:szCs w:val="21"/>
        </w:rPr>
        <w:t>Droit de recours. Un employé doit pouvoir faire appel auprès de la Banque mondiale ou des tribunaux nationaux, s'il n'est pas satisfait de la conclusion initiale.</w:t>
      </w:r>
    </w:p>
    <w:p w14:paraId="6436F2FC" w14:textId="77777777" w:rsidR="009021F1" w:rsidRPr="00D579BE" w:rsidRDefault="009021F1" w:rsidP="009021F1">
      <w:pPr>
        <w:rPr>
          <w:szCs w:val="21"/>
        </w:rPr>
      </w:pPr>
      <w:r w:rsidRPr="00D579BE">
        <w:rPr>
          <w:szCs w:val="21"/>
        </w:rPr>
        <w:t>Droit d'être accompagné.  Lors de toute réunion ou audience, l’employé doit avoir le droit d'être accompagné par un collègue, un ami ou un représentant syndical.</w:t>
      </w:r>
    </w:p>
    <w:p w14:paraId="2B14ACED" w14:textId="77777777" w:rsidR="009021F1" w:rsidRPr="00D579BE" w:rsidRDefault="009021F1" w:rsidP="009021F1">
      <w:pPr>
        <w:rPr>
          <w:szCs w:val="21"/>
        </w:rPr>
      </w:pPr>
    </w:p>
    <w:p w14:paraId="533AD1D8" w14:textId="77777777" w:rsidR="009021F1" w:rsidRPr="00D579BE" w:rsidRDefault="009021F1" w:rsidP="009021F1">
      <w:pPr>
        <w:rPr>
          <w:szCs w:val="21"/>
        </w:rPr>
      </w:pPr>
      <w:r w:rsidRPr="00D579BE">
        <w:rPr>
          <w:szCs w:val="21"/>
        </w:rPr>
        <w:t>Maintien d’un registre. Un registre écrit doit être tenu afin de documenter tous les stades de la gestion d’une plainte, notamment une copie de la plainte initiale, la réponse de l’Entreprise, les notes de toute réunion, les conclusions et les raisons de ces conclusions.  Tout dossier relatif à l’exploitation sexuelle ou l’abus sexuel doit être enregistré séparément et sous la plus stricte confidentialité.</w:t>
      </w:r>
    </w:p>
    <w:p w14:paraId="12912BD4" w14:textId="77777777" w:rsidR="009021F1" w:rsidRPr="00D579BE" w:rsidRDefault="009021F1" w:rsidP="009021F1">
      <w:pPr>
        <w:rPr>
          <w:szCs w:val="21"/>
        </w:rPr>
      </w:pPr>
    </w:p>
    <w:p w14:paraId="664B2E1E" w14:textId="77777777" w:rsidR="009021F1" w:rsidRPr="00D579BE" w:rsidRDefault="009021F1" w:rsidP="009021F1">
      <w:pPr>
        <w:rPr>
          <w:szCs w:val="21"/>
        </w:rPr>
      </w:pPr>
      <w:r w:rsidRPr="00D579BE">
        <w:rPr>
          <w:szCs w:val="21"/>
        </w:rPr>
        <w:t>Relation avec les conventions collectives. Les procédures de réclamation doivent être conformes à toute convention collective.</w:t>
      </w:r>
    </w:p>
    <w:p w14:paraId="6D352763" w14:textId="77777777" w:rsidR="009021F1" w:rsidRPr="00D579BE" w:rsidRDefault="009021F1" w:rsidP="009021F1">
      <w:pPr>
        <w:rPr>
          <w:szCs w:val="21"/>
        </w:rPr>
      </w:pPr>
    </w:p>
    <w:p w14:paraId="2B34EFC9" w14:textId="77777777" w:rsidR="009021F1" w:rsidRPr="00D579BE" w:rsidRDefault="009021F1" w:rsidP="009021F1">
      <w:pPr>
        <w:rPr>
          <w:szCs w:val="21"/>
        </w:rPr>
      </w:pPr>
      <w:r w:rsidRPr="00D579BE">
        <w:rPr>
          <w:szCs w:val="21"/>
        </w:rPr>
        <w:t>Relation avec la réglementation. Le mécanisme de gestion des griefs doit être conforme avec le code national du travail.</w:t>
      </w:r>
    </w:p>
    <w:p w14:paraId="28DFBE60" w14:textId="77777777" w:rsidR="009021F1" w:rsidRPr="00D579BE" w:rsidRDefault="009021F1" w:rsidP="009021F1">
      <w:pPr>
        <w:rPr>
          <w:b/>
          <w:bCs/>
          <w:color w:val="000000"/>
          <w:szCs w:val="21"/>
        </w:rPr>
      </w:pPr>
    </w:p>
    <w:p w14:paraId="2A971FE0" w14:textId="77777777" w:rsidR="009021F1" w:rsidRPr="00D579BE" w:rsidRDefault="009021F1" w:rsidP="009021F1">
      <w:pPr>
        <w:rPr>
          <w:b/>
          <w:bCs/>
          <w:color w:val="000000"/>
          <w:szCs w:val="21"/>
        </w:rPr>
      </w:pPr>
      <w:r w:rsidRPr="00D579BE">
        <w:rPr>
          <w:b/>
          <w:bCs/>
          <w:color w:val="000000"/>
          <w:szCs w:val="21"/>
        </w:rPr>
        <w:t>Gestion de la Circulation Routière</w:t>
      </w:r>
    </w:p>
    <w:p w14:paraId="02AE944B" w14:textId="77777777" w:rsidR="009021F1" w:rsidRPr="00D579BE" w:rsidRDefault="009021F1" w:rsidP="009021F1">
      <w:pPr>
        <w:rPr>
          <w:b/>
          <w:bCs/>
          <w:color w:val="000000"/>
          <w:szCs w:val="21"/>
        </w:rPr>
      </w:pPr>
    </w:p>
    <w:p w14:paraId="7E7BB265" w14:textId="77777777" w:rsidR="009021F1" w:rsidRPr="00D579BE" w:rsidRDefault="009021F1" w:rsidP="009021F1">
      <w:pPr>
        <w:rPr>
          <w:szCs w:val="21"/>
        </w:rPr>
      </w:pPr>
      <w:r w:rsidRPr="00D579BE">
        <w:rPr>
          <w:szCs w:val="21"/>
        </w:rPr>
        <w:t>L’Entreprise assurera la sécurité de la circulation de tout le personnel du projet pendant les déplacements vers et depuis le lieu de travail, et pendant l'exploitation des équipements du projet sur les routes privées ou publiques.  À ce titre, l’Entreprise doit appliquer les bonnes pratiques en matière de sécurité routière à l’ensemble de ses activités, afin de prévenir les accidents de la circulation et de réduire au minimum les blessures subies par le personnel du projet et le public</w:t>
      </w:r>
    </w:p>
    <w:p w14:paraId="6A77D2E3" w14:textId="77777777" w:rsidR="009021F1" w:rsidRPr="00D579BE" w:rsidRDefault="009021F1" w:rsidP="009021F1">
      <w:pPr>
        <w:rPr>
          <w:b/>
          <w:szCs w:val="21"/>
          <w:lang w:val="x-none" w:eastAsia="x-none"/>
        </w:rPr>
      </w:pPr>
    </w:p>
    <w:p w14:paraId="11E24B86" w14:textId="77777777" w:rsidR="009021F1" w:rsidRPr="00D579BE" w:rsidRDefault="009021F1" w:rsidP="009021F1">
      <w:pPr>
        <w:rPr>
          <w:b/>
          <w:szCs w:val="21"/>
          <w:lang w:val="x-none" w:eastAsia="x-none"/>
        </w:rPr>
      </w:pPr>
      <w:r w:rsidRPr="00D579BE">
        <w:rPr>
          <w:b/>
          <w:szCs w:val="21"/>
          <w:lang w:val="x-none" w:eastAsia="x-none"/>
        </w:rPr>
        <w:t>Sécurité routière au niveau de l’Entreprise</w:t>
      </w:r>
    </w:p>
    <w:p w14:paraId="31780D3A" w14:textId="77777777" w:rsidR="009021F1" w:rsidRPr="00D579BE" w:rsidRDefault="009021F1" w:rsidP="009021F1">
      <w:pPr>
        <w:rPr>
          <w:b/>
          <w:szCs w:val="21"/>
          <w:lang w:val="x-none" w:eastAsia="x-none"/>
        </w:rPr>
      </w:pPr>
    </w:p>
    <w:p w14:paraId="65A030BA" w14:textId="77777777" w:rsidR="009021F1" w:rsidRPr="00D579BE" w:rsidRDefault="009021F1" w:rsidP="009021F1">
      <w:pPr>
        <w:rPr>
          <w:szCs w:val="21"/>
        </w:rPr>
      </w:pPr>
      <w:r w:rsidRPr="00D579BE">
        <w:rPr>
          <w:szCs w:val="21"/>
        </w:rPr>
        <w:t>L’Entreprise doit :</w:t>
      </w:r>
    </w:p>
    <w:p w14:paraId="4D7A346C" w14:textId="77777777" w:rsidR="009021F1" w:rsidRPr="00D579BE" w:rsidRDefault="009021F1" w:rsidP="009021F1">
      <w:pPr>
        <w:rPr>
          <w:szCs w:val="21"/>
        </w:rPr>
      </w:pPr>
    </w:p>
    <w:p w14:paraId="6439FFCE" w14:textId="77777777" w:rsidR="009021F1" w:rsidRPr="00D579BE" w:rsidRDefault="009021F1" w:rsidP="009021F1">
      <w:pPr>
        <w:pStyle w:val="Paragraphedeliste"/>
        <w:numPr>
          <w:ilvl w:val="0"/>
          <w:numId w:val="56"/>
        </w:numPr>
        <w:rPr>
          <w:szCs w:val="21"/>
        </w:rPr>
      </w:pPr>
      <w:r w:rsidRPr="00D579BE">
        <w:rPr>
          <w:szCs w:val="21"/>
        </w:rPr>
        <w:t>Exiger le permis de conduire pour toute personne conduisant un véhicule de l’Entreprise</w:t>
      </w:r>
    </w:p>
    <w:p w14:paraId="2017633F" w14:textId="77777777" w:rsidR="009021F1" w:rsidRPr="00D579BE" w:rsidRDefault="009021F1" w:rsidP="009021F1">
      <w:pPr>
        <w:pStyle w:val="Paragraphedeliste"/>
        <w:numPr>
          <w:ilvl w:val="0"/>
          <w:numId w:val="56"/>
        </w:numPr>
        <w:rPr>
          <w:szCs w:val="21"/>
        </w:rPr>
      </w:pPr>
      <w:r w:rsidRPr="00D579BE">
        <w:rPr>
          <w:szCs w:val="21"/>
        </w:rPr>
        <w:t>Former tous les conducteurs de l’Entreprise à la conduite préventive avant qu’ils ne commencent leur travail ;</w:t>
      </w:r>
    </w:p>
    <w:p w14:paraId="3C472075" w14:textId="77777777" w:rsidR="009021F1" w:rsidRPr="00D579BE" w:rsidRDefault="009021F1" w:rsidP="009021F1">
      <w:pPr>
        <w:pStyle w:val="Paragraphedeliste"/>
        <w:numPr>
          <w:ilvl w:val="0"/>
          <w:numId w:val="56"/>
        </w:numPr>
        <w:rPr>
          <w:szCs w:val="21"/>
        </w:rPr>
      </w:pPr>
      <w:r w:rsidRPr="00D579BE">
        <w:rPr>
          <w:szCs w:val="21"/>
        </w:rPr>
        <w:t>Adopter des limites pour la durée des trajets et établir un suivi documenté des conducteurs pour éviter la fatigue excessive ;</w:t>
      </w:r>
    </w:p>
    <w:p w14:paraId="0FB507AB" w14:textId="77777777" w:rsidR="009021F1" w:rsidRPr="00D579BE" w:rsidRDefault="009021F1" w:rsidP="009021F1">
      <w:pPr>
        <w:pStyle w:val="Paragraphedeliste"/>
        <w:numPr>
          <w:ilvl w:val="0"/>
          <w:numId w:val="56"/>
        </w:numPr>
        <w:rPr>
          <w:szCs w:val="21"/>
        </w:rPr>
      </w:pPr>
      <w:r w:rsidRPr="00D579BE">
        <w:rPr>
          <w:szCs w:val="21"/>
        </w:rPr>
        <w:t>Éviter les itinéraires et les moments dangereux de la journée pour réduire le risque d'accident</w:t>
      </w:r>
    </w:p>
    <w:p w14:paraId="2EF3D276" w14:textId="77777777" w:rsidR="009021F1" w:rsidRPr="00D579BE" w:rsidRDefault="009021F1" w:rsidP="009021F1">
      <w:pPr>
        <w:pStyle w:val="Paragraphedeliste"/>
        <w:numPr>
          <w:ilvl w:val="0"/>
          <w:numId w:val="56"/>
        </w:numPr>
        <w:rPr>
          <w:szCs w:val="21"/>
        </w:rPr>
      </w:pPr>
      <w:r w:rsidRPr="00D579BE">
        <w:rPr>
          <w:szCs w:val="21"/>
        </w:rPr>
        <w:t>Utiliser des dispositifs de contrôle de la vitesse (régulateurs) sur les camions, et des dispositifs de surveillance à distance des actions des conducteurs ;</w:t>
      </w:r>
    </w:p>
    <w:p w14:paraId="5ADDBA34" w14:textId="77777777" w:rsidR="009021F1" w:rsidRPr="00D579BE" w:rsidRDefault="009021F1" w:rsidP="009021F1">
      <w:pPr>
        <w:pStyle w:val="Paragraphedeliste"/>
        <w:numPr>
          <w:ilvl w:val="0"/>
          <w:numId w:val="56"/>
        </w:numPr>
        <w:rPr>
          <w:szCs w:val="21"/>
        </w:rPr>
      </w:pPr>
      <w:r w:rsidRPr="00D579BE">
        <w:rPr>
          <w:szCs w:val="21"/>
        </w:rPr>
        <w:t>Exiger le port de la ceinture de sécurité par les conducteurs et les passagers.  Les contrevenants seront sanctionnés ;</w:t>
      </w:r>
    </w:p>
    <w:p w14:paraId="073D45B8" w14:textId="77777777" w:rsidR="009021F1" w:rsidRPr="00D579BE" w:rsidRDefault="009021F1" w:rsidP="009021F1">
      <w:pPr>
        <w:pStyle w:val="Paragraphedeliste"/>
        <w:numPr>
          <w:ilvl w:val="0"/>
          <w:numId w:val="56"/>
        </w:numPr>
        <w:rPr>
          <w:szCs w:val="21"/>
        </w:rPr>
      </w:pPr>
      <w:r w:rsidRPr="00D579BE">
        <w:rPr>
          <w:szCs w:val="21"/>
        </w:rPr>
        <w:t>Entretenir régulièrement les véhicules, et utiliser de pièces approuvées par le constructeur afin de réduire au minimum les accidents potentiellement graves causés par un mauvais fonctionnement ou une défaillance prématurée des équipements ;</w:t>
      </w:r>
    </w:p>
    <w:p w14:paraId="54A85BBD" w14:textId="77777777" w:rsidR="009021F1" w:rsidRPr="00D579BE" w:rsidRDefault="009021F1" w:rsidP="009021F1">
      <w:pPr>
        <w:pStyle w:val="Paragraphedeliste"/>
        <w:numPr>
          <w:ilvl w:val="0"/>
          <w:numId w:val="56"/>
        </w:numPr>
        <w:rPr>
          <w:szCs w:val="21"/>
        </w:rPr>
      </w:pPr>
      <w:r w:rsidRPr="00D579BE">
        <w:rPr>
          <w:szCs w:val="21"/>
        </w:rPr>
        <w:t>Se conformer aux prescriptions du code de la route en vigueur en RDC, notamment en ce qui concerne le poids des véhicules en charge ;</w:t>
      </w:r>
    </w:p>
    <w:p w14:paraId="59D44ED4" w14:textId="77777777" w:rsidR="009021F1" w:rsidRPr="00D579BE" w:rsidRDefault="009021F1" w:rsidP="009021F1">
      <w:pPr>
        <w:pStyle w:val="Paragraphedeliste"/>
        <w:numPr>
          <w:ilvl w:val="0"/>
          <w:numId w:val="56"/>
        </w:numPr>
        <w:rPr>
          <w:szCs w:val="21"/>
        </w:rPr>
      </w:pPr>
      <w:r w:rsidRPr="00D579BE">
        <w:rPr>
          <w:szCs w:val="21"/>
        </w:rPr>
        <w:t>Limiter l’accès au chantier aux matériels strictement indispensables ;</w:t>
      </w:r>
    </w:p>
    <w:p w14:paraId="40E10DCE" w14:textId="77777777" w:rsidR="009021F1" w:rsidRPr="00D579BE" w:rsidRDefault="009021F1" w:rsidP="009021F1">
      <w:pPr>
        <w:pStyle w:val="Paragraphedeliste"/>
        <w:numPr>
          <w:ilvl w:val="0"/>
          <w:numId w:val="56"/>
        </w:numPr>
        <w:rPr>
          <w:szCs w:val="21"/>
        </w:rPr>
      </w:pPr>
      <w:r w:rsidRPr="00D579BE">
        <w:rPr>
          <w:szCs w:val="21"/>
        </w:rPr>
        <w:t>Interdire de circuler avec des engins de chantier en dehors des accès, des lieux de passage désignés et des aires de travail ;</w:t>
      </w:r>
    </w:p>
    <w:p w14:paraId="14DB7C2B" w14:textId="77777777" w:rsidR="009021F1" w:rsidRPr="00D579BE" w:rsidRDefault="009021F1" w:rsidP="009021F1">
      <w:pPr>
        <w:pStyle w:val="Paragraphedeliste"/>
        <w:numPr>
          <w:ilvl w:val="0"/>
          <w:numId w:val="56"/>
        </w:numPr>
        <w:rPr>
          <w:szCs w:val="21"/>
        </w:rPr>
      </w:pPr>
      <w:r w:rsidRPr="00D579BE">
        <w:rPr>
          <w:szCs w:val="21"/>
        </w:rPr>
        <w:t>Limiter de manière rigoureuse la vitesse pour tous les véhicules de chantier circulant sur la voie publique, avec un maximum de 60 km/h en rase campagne et 40 km/h au niveau des agglomérations et à la traversée des villages.  Les conducteurs dépassant ces limites feront l’objet de mesures disciplinaires pouvant aller jusqu’au licenciement ; et</w:t>
      </w:r>
    </w:p>
    <w:p w14:paraId="4337396A" w14:textId="77777777" w:rsidR="009021F1" w:rsidRPr="00D579BE" w:rsidRDefault="009021F1" w:rsidP="009021F1">
      <w:pPr>
        <w:pStyle w:val="Paragraphedeliste"/>
        <w:numPr>
          <w:ilvl w:val="0"/>
          <w:numId w:val="56"/>
        </w:numPr>
        <w:rPr>
          <w:szCs w:val="21"/>
        </w:rPr>
      </w:pPr>
      <w:r w:rsidRPr="00D579BE">
        <w:rPr>
          <w:szCs w:val="21"/>
        </w:rPr>
        <w:t>Éviter toute circulation lourde et toute surcharge lors du démantèlement d’ouvrages en milieux instables afin de ne pas accentuer l’instabilité du sol.</w:t>
      </w:r>
    </w:p>
    <w:p w14:paraId="38A26F66" w14:textId="77777777" w:rsidR="009021F1" w:rsidRPr="00D579BE" w:rsidRDefault="009021F1" w:rsidP="009021F1">
      <w:pPr>
        <w:rPr>
          <w:b/>
          <w:szCs w:val="21"/>
          <w:lang w:val="x-none" w:eastAsia="x-none"/>
        </w:rPr>
      </w:pPr>
    </w:p>
    <w:p w14:paraId="4A98785E" w14:textId="77777777" w:rsidR="009021F1" w:rsidRPr="00D579BE" w:rsidRDefault="009021F1" w:rsidP="009021F1">
      <w:pPr>
        <w:rPr>
          <w:b/>
          <w:szCs w:val="21"/>
          <w:lang w:val="x-none" w:eastAsia="x-none"/>
        </w:rPr>
      </w:pPr>
      <w:r w:rsidRPr="00D579BE">
        <w:rPr>
          <w:b/>
          <w:szCs w:val="21"/>
          <w:lang w:val="x-none" w:eastAsia="x-none"/>
        </w:rPr>
        <w:t>Sécurité routière des communautés</w:t>
      </w:r>
    </w:p>
    <w:p w14:paraId="564E7F98" w14:textId="77777777" w:rsidR="009021F1" w:rsidRPr="00D579BE" w:rsidRDefault="009021F1" w:rsidP="009021F1">
      <w:pPr>
        <w:rPr>
          <w:b/>
          <w:szCs w:val="21"/>
          <w:lang w:val="x-none" w:eastAsia="x-none"/>
        </w:rPr>
      </w:pPr>
    </w:p>
    <w:p w14:paraId="1C81D512" w14:textId="77777777" w:rsidR="009021F1" w:rsidRPr="00D579BE" w:rsidRDefault="009021F1" w:rsidP="009021F1">
      <w:pPr>
        <w:rPr>
          <w:szCs w:val="21"/>
        </w:rPr>
      </w:pPr>
      <w:r w:rsidRPr="00D579BE">
        <w:rPr>
          <w:szCs w:val="21"/>
        </w:rPr>
        <w:t>L’Entreprise doit :</w:t>
      </w:r>
    </w:p>
    <w:p w14:paraId="3BD7C7C4" w14:textId="77777777" w:rsidR="009021F1" w:rsidRPr="00D579BE" w:rsidRDefault="009021F1" w:rsidP="009021F1">
      <w:pPr>
        <w:rPr>
          <w:szCs w:val="21"/>
        </w:rPr>
      </w:pPr>
    </w:p>
    <w:p w14:paraId="601774D4" w14:textId="77777777" w:rsidR="009021F1" w:rsidRPr="00D579BE" w:rsidRDefault="009021F1" w:rsidP="009021F1">
      <w:pPr>
        <w:pStyle w:val="Paragraphedeliste"/>
        <w:numPr>
          <w:ilvl w:val="0"/>
          <w:numId w:val="56"/>
        </w:numPr>
        <w:rPr>
          <w:szCs w:val="21"/>
        </w:rPr>
      </w:pPr>
      <w:r w:rsidRPr="00D579BE">
        <w:rPr>
          <w:szCs w:val="21"/>
        </w:rPr>
        <w:t>Ajuster faire approuver par le Maître d’Ouvrage délégué l'horaire et l'itinéraire des véhicules lourds qui doivent traverser des zones d'habitation, de façon à réduire les nuisances (bruit, poussière, et congestion) ;</w:t>
      </w:r>
    </w:p>
    <w:p w14:paraId="7EE9E5EB" w14:textId="77777777" w:rsidR="009021F1" w:rsidRPr="00D579BE" w:rsidRDefault="009021F1" w:rsidP="009021F1">
      <w:pPr>
        <w:pStyle w:val="Paragraphedeliste"/>
        <w:numPr>
          <w:ilvl w:val="0"/>
          <w:numId w:val="56"/>
        </w:numPr>
        <w:rPr>
          <w:szCs w:val="21"/>
        </w:rPr>
      </w:pPr>
      <w:r w:rsidRPr="00D579BE">
        <w:rPr>
          <w:szCs w:val="21"/>
        </w:rPr>
        <w:t>Réduire au minimum les interactions entre les piétons et les véhicules du chantier, en particulier au niveau des écoles et des marchés, grâce à une signalisation appropriée, des sentiers aménagés, ou des dispositifs de ralentissement de la circulation tels les dos d’ânes ;</w:t>
      </w:r>
    </w:p>
    <w:p w14:paraId="6E2660B4" w14:textId="77777777" w:rsidR="009021F1" w:rsidRPr="00D579BE" w:rsidRDefault="009021F1" w:rsidP="009021F1">
      <w:pPr>
        <w:pStyle w:val="Paragraphedeliste"/>
        <w:numPr>
          <w:ilvl w:val="0"/>
          <w:numId w:val="56"/>
        </w:numPr>
        <w:rPr>
          <w:szCs w:val="21"/>
        </w:rPr>
      </w:pPr>
      <w:r w:rsidRPr="00D579BE">
        <w:rPr>
          <w:szCs w:val="21"/>
        </w:rPr>
        <w:t>Collaborer avec les communautés voisines et les autorités responsables afin d’améliorer la signalisation, la visibilité de la circulation routière, et la sécurité générale des routes d'accès, en particulier le long des tronçons situés près des écoles ou d'autres endroits où les enfants peuvent être présents ;</w:t>
      </w:r>
    </w:p>
    <w:p w14:paraId="5158CECD" w14:textId="77777777" w:rsidR="009021F1" w:rsidRPr="00D579BE" w:rsidRDefault="009021F1" w:rsidP="009021F1">
      <w:pPr>
        <w:pStyle w:val="Paragraphedeliste"/>
        <w:numPr>
          <w:ilvl w:val="0"/>
          <w:numId w:val="56"/>
        </w:numPr>
        <w:rPr>
          <w:szCs w:val="21"/>
        </w:rPr>
      </w:pPr>
      <w:r w:rsidRPr="00D579BE">
        <w:rPr>
          <w:szCs w:val="21"/>
        </w:rPr>
        <w:t>Utiliser des mesures de contrôle de la circulation sécuritaires, notamment des panneaux de signalisation et des porteurs de drapeaux pour avertir des conditions dangereuses ;</w:t>
      </w:r>
    </w:p>
    <w:p w14:paraId="57028096" w14:textId="77777777" w:rsidR="009021F1" w:rsidRPr="00D579BE" w:rsidRDefault="009021F1" w:rsidP="009021F1">
      <w:pPr>
        <w:pStyle w:val="Paragraphedeliste"/>
        <w:numPr>
          <w:ilvl w:val="0"/>
          <w:numId w:val="56"/>
        </w:numPr>
        <w:rPr>
          <w:szCs w:val="21"/>
        </w:rPr>
      </w:pPr>
      <w:r w:rsidRPr="00D579BE">
        <w:rPr>
          <w:szCs w:val="21"/>
        </w:rPr>
        <w:t>Éviter d’obstruer les accès publics, afin de maintenir en permanence la circulation et l’accès des riverains en cours de travaux ;</w:t>
      </w:r>
    </w:p>
    <w:p w14:paraId="160BECD6" w14:textId="77777777" w:rsidR="009021F1" w:rsidRPr="00D579BE" w:rsidRDefault="009021F1" w:rsidP="009021F1">
      <w:pPr>
        <w:pStyle w:val="Paragraphedeliste"/>
        <w:numPr>
          <w:ilvl w:val="0"/>
          <w:numId w:val="56"/>
        </w:numPr>
        <w:rPr>
          <w:szCs w:val="21"/>
        </w:rPr>
      </w:pPr>
      <w:r w:rsidRPr="00D579BE">
        <w:rPr>
          <w:szCs w:val="21"/>
        </w:rPr>
        <w:t>Identifier avec le Maître d'Ouvrage délégué et les autorités locales les dispositions requises pour maintenir l’accès par les services publics tels la police, les pompiers, et les ambulances ;</w:t>
      </w:r>
    </w:p>
    <w:p w14:paraId="62898842" w14:textId="77777777" w:rsidR="009021F1" w:rsidRPr="00D579BE" w:rsidRDefault="009021F1" w:rsidP="009021F1">
      <w:pPr>
        <w:pStyle w:val="Paragraphedeliste"/>
        <w:numPr>
          <w:ilvl w:val="0"/>
          <w:numId w:val="56"/>
        </w:numPr>
        <w:rPr>
          <w:szCs w:val="21"/>
        </w:rPr>
      </w:pPr>
      <w:r w:rsidRPr="00D579BE">
        <w:rPr>
          <w:szCs w:val="21"/>
        </w:rPr>
        <w:t>Assurer l’accès aux propriétés riveraines, ainsi que la jouissance des entrées charretières et piétonnes, des vitrines d’exposition, au moyen de ponts provisoires ou passerelles munis de garde-corps, placés au-dessus des tranchées ou autres obstacles créés par les travaux ;</w:t>
      </w:r>
    </w:p>
    <w:p w14:paraId="513D46DC" w14:textId="77777777" w:rsidR="009021F1" w:rsidRPr="00D579BE" w:rsidRDefault="009021F1" w:rsidP="009021F1">
      <w:pPr>
        <w:pStyle w:val="Paragraphedeliste"/>
        <w:numPr>
          <w:ilvl w:val="0"/>
          <w:numId w:val="56"/>
        </w:numPr>
        <w:rPr>
          <w:szCs w:val="21"/>
        </w:rPr>
      </w:pPr>
      <w:r w:rsidRPr="00D579BE">
        <w:rPr>
          <w:szCs w:val="21"/>
        </w:rPr>
        <w:t>Veiller à ce qu’aucune fouille ou tranchée ne reste ouverte la nuit, sans signalisation adéquate acceptée par le Maître d’Ouvrage délégué ;</w:t>
      </w:r>
    </w:p>
    <w:p w14:paraId="36D43B91" w14:textId="77777777" w:rsidR="009021F1" w:rsidRPr="00D579BE" w:rsidRDefault="009021F1" w:rsidP="009021F1">
      <w:pPr>
        <w:pStyle w:val="Paragraphedeliste"/>
        <w:numPr>
          <w:ilvl w:val="0"/>
          <w:numId w:val="56"/>
        </w:numPr>
        <w:rPr>
          <w:szCs w:val="21"/>
        </w:rPr>
      </w:pPr>
      <w:r w:rsidRPr="00D579BE">
        <w:rPr>
          <w:szCs w:val="21"/>
        </w:rPr>
        <w:t>Veiller à ce que les déviations provisoires permettent une circulation facile et sans danger ; et</w:t>
      </w:r>
    </w:p>
    <w:p w14:paraId="06FDF4C2" w14:textId="77777777" w:rsidR="009021F1" w:rsidRPr="00D579BE" w:rsidRDefault="009021F1" w:rsidP="009021F1">
      <w:pPr>
        <w:pStyle w:val="Paragraphedeliste"/>
        <w:numPr>
          <w:ilvl w:val="0"/>
          <w:numId w:val="56"/>
        </w:numPr>
        <w:rPr>
          <w:szCs w:val="21"/>
        </w:rPr>
      </w:pPr>
      <w:r w:rsidRPr="00D579BE">
        <w:rPr>
          <w:szCs w:val="21"/>
        </w:rPr>
        <w:t>Obtenir l’accord préalable des autorités avant d’utiliser des routes locales comme route de déviation. L’entreprise doit maintenir ces routes locales afin d’éviter leur dégradation prématurée, et les remettre à leur état original à la fin des travaux.</w:t>
      </w:r>
    </w:p>
    <w:p w14:paraId="57A36A1A" w14:textId="77777777" w:rsidR="009021F1" w:rsidRPr="00D579BE" w:rsidRDefault="009021F1" w:rsidP="009021F1">
      <w:pPr>
        <w:rPr>
          <w:b/>
          <w:bCs/>
          <w:color w:val="000000"/>
          <w:szCs w:val="21"/>
        </w:rPr>
      </w:pPr>
    </w:p>
    <w:p w14:paraId="332A470E" w14:textId="77777777" w:rsidR="009021F1" w:rsidRPr="00D579BE" w:rsidRDefault="009021F1" w:rsidP="009021F1">
      <w:pPr>
        <w:rPr>
          <w:b/>
          <w:bCs/>
          <w:color w:val="000000"/>
          <w:szCs w:val="21"/>
        </w:rPr>
      </w:pPr>
      <w:r w:rsidRPr="00D579BE">
        <w:rPr>
          <w:b/>
          <w:bCs/>
          <w:color w:val="000000"/>
          <w:szCs w:val="21"/>
        </w:rPr>
        <w:t>Préparation et Réponse aux Urgences</w:t>
      </w:r>
    </w:p>
    <w:p w14:paraId="77F4B53B" w14:textId="77777777" w:rsidR="009021F1" w:rsidRPr="00D579BE" w:rsidRDefault="009021F1" w:rsidP="009021F1">
      <w:pPr>
        <w:rPr>
          <w:szCs w:val="21"/>
        </w:rPr>
      </w:pPr>
    </w:p>
    <w:p w14:paraId="01D98DC7" w14:textId="77777777" w:rsidR="009021F1" w:rsidRPr="00D579BE" w:rsidRDefault="009021F1" w:rsidP="009021F1">
      <w:pPr>
        <w:rPr>
          <w:szCs w:val="21"/>
        </w:rPr>
      </w:pPr>
      <w:r w:rsidRPr="00D579BE">
        <w:rPr>
          <w:szCs w:val="21"/>
        </w:rPr>
        <w:t>L’Entreprise doit :</w:t>
      </w:r>
    </w:p>
    <w:p w14:paraId="1220A9CB" w14:textId="77777777" w:rsidR="009021F1" w:rsidRPr="00D579BE" w:rsidRDefault="009021F1" w:rsidP="009021F1">
      <w:pPr>
        <w:rPr>
          <w:szCs w:val="21"/>
        </w:rPr>
      </w:pPr>
    </w:p>
    <w:p w14:paraId="0A1E8175" w14:textId="77777777" w:rsidR="009021F1" w:rsidRPr="00D579BE" w:rsidRDefault="009021F1" w:rsidP="009021F1">
      <w:pPr>
        <w:rPr>
          <w:szCs w:val="21"/>
        </w:rPr>
      </w:pPr>
      <w:r w:rsidRPr="00D579BE">
        <w:rPr>
          <w:szCs w:val="21"/>
        </w:rPr>
        <w:t>Préparer et mettre en œuvre un Plan de réponse aux situations d'urgence, en collaboration avec les tiers appropriés et pertinents.</w:t>
      </w:r>
    </w:p>
    <w:p w14:paraId="4F590C2B" w14:textId="77777777" w:rsidR="009021F1" w:rsidRPr="00D579BE" w:rsidRDefault="009021F1" w:rsidP="009021F1">
      <w:pPr>
        <w:rPr>
          <w:szCs w:val="21"/>
        </w:rPr>
      </w:pPr>
    </w:p>
    <w:p w14:paraId="26349CF9" w14:textId="77777777" w:rsidR="009021F1" w:rsidRPr="00D579BE" w:rsidRDefault="009021F1" w:rsidP="009021F1">
      <w:pPr>
        <w:rPr>
          <w:szCs w:val="21"/>
        </w:rPr>
      </w:pPr>
      <w:r w:rsidRPr="00D579BE">
        <w:rPr>
          <w:szCs w:val="21"/>
        </w:rPr>
        <w:t>Le plan couvrira : (i) les situations d'urgence qui pourraient affecter le personnel et le chantier, (ii) la nécessité de protéger la santé et la sécurité des ouvriers du projet, et (iii) la nécessité de protéger la santé et la sécurité des communautés voisines.  Il doit plus particulièrement inclure :</w:t>
      </w:r>
    </w:p>
    <w:p w14:paraId="4B76BDA5" w14:textId="77777777" w:rsidR="009021F1" w:rsidRPr="00D579BE" w:rsidRDefault="009021F1" w:rsidP="009021F1">
      <w:pPr>
        <w:rPr>
          <w:szCs w:val="21"/>
        </w:rPr>
      </w:pPr>
    </w:p>
    <w:p w14:paraId="25563DD5" w14:textId="77777777" w:rsidR="009021F1" w:rsidRPr="00D579BE" w:rsidRDefault="009021F1" w:rsidP="009021F1">
      <w:pPr>
        <w:pStyle w:val="Paragraphedeliste"/>
        <w:numPr>
          <w:ilvl w:val="0"/>
          <w:numId w:val="56"/>
        </w:numPr>
        <w:rPr>
          <w:szCs w:val="21"/>
        </w:rPr>
      </w:pPr>
      <w:r w:rsidRPr="00D579BE">
        <w:rPr>
          <w:szCs w:val="21"/>
        </w:rPr>
        <w:t>L'identification des scénarios d'urgence ;</w:t>
      </w:r>
    </w:p>
    <w:p w14:paraId="788ED484" w14:textId="77777777" w:rsidR="009021F1" w:rsidRPr="00D579BE" w:rsidRDefault="009021F1" w:rsidP="009021F1">
      <w:pPr>
        <w:pStyle w:val="Paragraphedeliste"/>
        <w:numPr>
          <w:ilvl w:val="0"/>
          <w:numId w:val="56"/>
        </w:numPr>
        <w:rPr>
          <w:szCs w:val="21"/>
        </w:rPr>
      </w:pPr>
      <w:r w:rsidRPr="00D579BE">
        <w:rPr>
          <w:szCs w:val="21"/>
        </w:rPr>
        <w:t>Des procédures spécifiques d'intervention en cas d'urgence ;</w:t>
      </w:r>
    </w:p>
    <w:p w14:paraId="1A7BB861" w14:textId="77777777" w:rsidR="009021F1" w:rsidRPr="00D579BE" w:rsidRDefault="009021F1" w:rsidP="009021F1">
      <w:pPr>
        <w:pStyle w:val="Paragraphedeliste"/>
        <w:numPr>
          <w:ilvl w:val="0"/>
          <w:numId w:val="56"/>
        </w:numPr>
        <w:rPr>
          <w:szCs w:val="21"/>
        </w:rPr>
      </w:pPr>
      <w:r w:rsidRPr="00D579BE">
        <w:rPr>
          <w:szCs w:val="21"/>
        </w:rPr>
        <w:t>La formation préalable des équipes d'intervention ;</w:t>
      </w:r>
    </w:p>
    <w:p w14:paraId="175D0E6C" w14:textId="77777777" w:rsidR="009021F1" w:rsidRPr="00D579BE" w:rsidRDefault="009021F1" w:rsidP="009021F1">
      <w:pPr>
        <w:pStyle w:val="Paragraphedeliste"/>
        <w:numPr>
          <w:ilvl w:val="0"/>
          <w:numId w:val="56"/>
        </w:numPr>
        <w:rPr>
          <w:szCs w:val="21"/>
        </w:rPr>
      </w:pPr>
      <w:r w:rsidRPr="00D579BE">
        <w:rPr>
          <w:szCs w:val="21"/>
        </w:rPr>
        <w:t>Les contacts d'urgence et systèmes/protocoles de communication (y compris la communication avec les communautés voisines si nécessaire) ;</w:t>
      </w:r>
    </w:p>
    <w:p w14:paraId="67FF0D03" w14:textId="77777777" w:rsidR="009021F1" w:rsidRPr="00D579BE" w:rsidRDefault="009021F1" w:rsidP="009021F1">
      <w:pPr>
        <w:pStyle w:val="Paragraphedeliste"/>
        <w:numPr>
          <w:ilvl w:val="0"/>
          <w:numId w:val="56"/>
        </w:numPr>
        <w:rPr>
          <w:szCs w:val="21"/>
        </w:rPr>
      </w:pPr>
      <w:r w:rsidRPr="00D579BE">
        <w:rPr>
          <w:szCs w:val="21"/>
        </w:rPr>
        <w:t>Des procédures d'interaction avec les autorités gouvernementales (autorités d'urgence, sanitaires ou environnementales) ;</w:t>
      </w:r>
    </w:p>
    <w:p w14:paraId="3EA32CBE" w14:textId="77777777" w:rsidR="009021F1" w:rsidRPr="00D579BE" w:rsidRDefault="009021F1" w:rsidP="009021F1">
      <w:pPr>
        <w:pStyle w:val="Paragraphedeliste"/>
        <w:numPr>
          <w:ilvl w:val="0"/>
          <w:numId w:val="56"/>
        </w:numPr>
        <w:rPr>
          <w:szCs w:val="21"/>
        </w:rPr>
      </w:pPr>
      <w:r w:rsidRPr="00D579BE">
        <w:rPr>
          <w:szCs w:val="21"/>
        </w:rPr>
        <w:t>L’identification des itinéraires d'évacuation et des points de rassemblement ;</w:t>
      </w:r>
    </w:p>
    <w:p w14:paraId="14F84A25" w14:textId="77777777" w:rsidR="009021F1" w:rsidRPr="00D579BE" w:rsidRDefault="009021F1" w:rsidP="009021F1">
      <w:pPr>
        <w:pStyle w:val="Paragraphedeliste"/>
        <w:numPr>
          <w:ilvl w:val="0"/>
          <w:numId w:val="56"/>
        </w:numPr>
        <w:rPr>
          <w:szCs w:val="21"/>
        </w:rPr>
      </w:pPr>
      <w:r w:rsidRPr="00D579BE">
        <w:rPr>
          <w:szCs w:val="21"/>
        </w:rPr>
        <w:t>Des exercices de préparation pour les urgences, selon une périodicité qui est fonction des niveaux d'urgence attribués ; et</w:t>
      </w:r>
    </w:p>
    <w:p w14:paraId="14412E1C" w14:textId="77777777" w:rsidR="009021F1" w:rsidRPr="00D579BE" w:rsidRDefault="009021F1" w:rsidP="009021F1">
      <w:pPr>
        <w:pStyle w:val="Paragraphedeliste"/>
        <w:numPr>
          <w:ilvl w:val="0"/>
          <w:numId w:val="56"/>
        </w:numPr>
        <w:rPr>
          <w:szCs w:val="21"/>
        </w:rPr>
      </w:pPr>
      <w:r w:rsidRPr="00D579BE">
        <w:rPr>
          <w:szCs w:val="21"/>
        </w:rPr>
        <w:t>Des procédures de décontamination et un protocole pour déployer les mesures correctives urgentes afin de contenir, limiter et réduire la pollution dans les limites physiques des chantiers.</w:t>
      </w:r>
    </w:p>
    <w:p w14:paraId="23929249" w14:textId="77777777" w:rsidR="009021F1" w:rsidRPr="00D579BE" w:rsidRDefault="009021F1" w:rsidP="009021F1">
      <w:pPr>
        <w:rPr>
          <w:b/>
          <w:bCs/>
          <w:color w:val="000000"/>
          <w:szCs w:val="21"/>
        </w:rPr>
      </w:pPr>
    </w:p>
    <w:p w14:paraId="4902B124" w14:textId="77777777" w:rsidR="009021F1" w:rsidRPr="00D579BE" w:rsidRDefault="009021F1" w:rsidP="009021F1">
      <w:pPr>
        <w:rPr>
          <w:b/>
          <w:bCs/>
          <w:color w:val="000000"/>
          <w:szCs w:val="21"/>
        </w:rPr>
      </w:pPr>
      <w:r w:rsidRPr="00D579BE">
        <w:rPr>
          <w:b/>
          <w:bCs/>
          <w:color w:val="000000"/>
          <w:szCs w:val="21"/>
        </w:rPr>
        <w:t>Sécurité Extérieure des Chantiers, Installations, et des Personnes</w:t>
      </w:r>
    </w:p>
    <w:p w14:paraId="07529BE1" w14:textId="77777777" w:rsidR="009021F1" w:rsidRPr="00D579BE" w:rsidRDefault="009021F1" w:rsidP="009021F1">
      <w:pPr>
        <w:rPr>
          <w:b/>
          <w:bCs/>
          <w:color w:val="000000"/>
          <w:szCs w:val="21"/>
        </w:rPr>
      </w:pPr>
    </w:p>
    <w:p w14:paraId="0732CC80" w14:textId="77777777" w:rsidR="009021F1" w:rsidRPr="00D579BE" w:rsidRDefault="009021F1" w:rsidP="009021F1">
      <w:pPr>
        <w:rPr>
          <w:szCs w:val="21"/>
        </w:rPr>
      </w:pPr>
      <w:r w:rsidRPr="00D579BE">
        <w:rPr>
          <w:szCs w:val="21"/>
        </w:rPr>
        <w:t>De manière complémentaire au Plan d’urgence ci-dessus, chaque Entreprise doit préparer un Plan de sécurité qui couvrira les rubriques suivantes :</w:t>
      </w:r>
    </w:p>
    <w:p w14:paraId="42DC0219" w14:textId="77777777" w:rsidR="009021F1" w:rsidRPr="00D579BE" w:rsidRDefault="009021F1" w:rsidP="009021F1">
      <w:pPr>
        <w:rPr>
          <w:szCs w:val="21"/>
        </w:rPr>
      </w:pPr>
    </w:p>
    <w:p w14:paraId="0D494A62" w14:textId="77777777" w:rsidR="009021F1" w:rsidRPr="00D579BE" w:rsidRDefault="009021F1" w:rsidP="009021F1">
      <w:pPr>
        <w:pStyle w:val="Paragraphedeliste"/>
        <w:numPr>
          <w:ilvl w:val="0"/>
          <w:numId w:val="56"/>
        </w:numPr>
        <w:rPr>
          <w:szCs w:val="21"/>
        </w:rPr>
      </w:pPr>
      <w:r w:rsidRPr="00D579BE">
        <w:rPr>
          <w:szCs w:val="21"/>
        </w:rPr>
        <w:t>Principes appliqués ;</w:t>
      </w:r>
    </w:p>
    <w:p w14:paraId="4FB74826" w14:textId="77777777" w:rsidR="009021F1" w:rsidRPr="00D579BE" w:rsidRDefault="009021F1" w:rsidP="009021F1">
      <w:pPr>
        <w:pStyle w:val="Paragraphedeliste"/>
        <w:numPr>
          <w:ilvl w:val="0"/>
          <w:numId w:val="56"/>
        </w:numPr>
        <w:rPr>
          <w:szCs w:val="21"/>
        </w:rPr>
      </w:pPr>
      <w:r w:rsidRPr="00D579BE">
        <w:rPr>
          <w:szCs w:val="21"/>
        </w:rPr>
        <w:t>Aperçu de l'environnement opérationnel ;</w:t>
      </w:r>
    </w:p>
    <w:p w14:paraId="4557BCA3" w14:textId="77777777" w:rsidR="009021F1" w:rsidRPr="00D579BE" w:rsidRDefault="009021F1" w:rsidP="009021F1">
      <w:pPr>
        <w:pStyle w:val="Paragraphedeliste"/>
        <w:numPr>
          <w:ilvl w:val="0"/>
          <w:numId w:val="56"/>
        </w:numPr>
        <w:rPr>
          <w:szCs w:val="21"/>
        </w:rPr>
      </w:pPr>
      <w:r w:rsidRPr="00D579BE">
        <w:rPr>
          <w:szCs w:val="21"/>
        </w:rPr>
        <w:t>Risques environnementaux/naturels ;</w:t>
      </w:r>
    </w:p>
    <w:p w14:paraId="51EC8318" w14:textId="77777777" w:rsidR="009021F1" w:rsidRPr="00D579BE" w:rsidRDefault="009021F1" w:rsidP="009021F1">
      <w:pPr>
        <w:pStyle w:val="Paragraphedeliste"/>
        <w:numPr>
          <w:ilvl w:val="0"/>
          <w:numId w:val="56"/>
        </w:numPr>
        <w:rPr>
          <w:szCs w:val="21"/>
        </w:rPr>
      </w:pPr>
      <w:r w:rsidRPr="00D579BE">
        <w:rPr>
          <w:szCs w:val="21"/>
        </w:rPr>
        <w:t>Météo et climat ;</w:t>
      </w:r>
    </w:p>
    <w:p w14:paraId="796E0D4D" w14:textId="77777777" w:rsidR="009021F1" w:rsidRPr="00D579BE" w:rsidRDefault="009021F1" w:rsidP="009021F1">
      <w:pPr>
        <w:pStyle w:val="Paragraphedeliste"/>
        <w:numPr>
          <w:ilvl w:val="0"/>
          <w:numId w:val="56"/>
        </w:numPr>
        <w:rPr>
          <w:szCs w:val="21"/>
        </w:rPr>
      </w:pPr>
      <w:r w:rsidRPr="00D579BE">
        <w:rPr>
          <w:szCs w:val="21"/>
        </w:rPr>
        <w:t>Résumé des menaces ;</w:t>
      </w:r>
    </w:p>
    <w:p w14:paraId="0E013E28" w14:textId="77777777" w:rsidR="009021F1" w:rsidRPr="00D579BE" w:rsidRDefault="009021F1" w:rsidP="009021F1">
      <w:pPr>
        <w:pStyle w:val="Paragraphedeliste"/>
        <w:numPr>
          <w:ilvl w:val="0"/>
          <w:numId w:val="56"/>
        </w:numPr>
        <w:rPr>
          <w:szCs w:val="21"/>
        </w:rPr>
      </w:pPr>
      <w:r w:rsidRPr="00D579BE">
        <w:rPr>
          <w:szCs w:val="21"/>
        </w:rPr>
        <w:t>Signalement et gestion des incidents ;</w:t>
      </w:r>
    </w:p>
    <w:p w14:paraId="60BA4FAF" w14:textId="77777777" w:rsidR="009021F1" w:rsidRPr="00D579BE" w:rsidRDefault="009021F1" w:rsidP="009021F1">
      <w:pPr>
        <w:pStyle w:val="Paragraphedeliste"/>
        <w:numPr>
          <w:ilvl w:val="0"/>
          <w:numId w:val="56"/>
        </w:numPr>
        <w:rPr>
          <w:szCs w:val="21"/>
        </w:rPr>
      </w:pPr>
      <w:r w:rsidRPr="00D579BE">
        <w:rPr>
          <w:szCs w:val="21"/>
        </w:rPr>
        <w:t>Rapports d'incidents ;</w:t>
      </w:r>
    </w:p>
    <w:p w14:paraId="668FCD88" w14:textId="77777777" w:rsidR="009021F1" w:rsidRPr="00D579BE" w:rsidRDefault="009021F1" w:rsidP="009021F1">
      <w:pPr>
        <w:pStyle w:val="Paragraphedeliste"/>
        <w:numPr>
          <w:ilvl w:val="0"/>
          <w:numId w:val="56"/>
        </w:numPr>
        <w:rPr>
          <w:szCs w:val="21"/>
        </w:rPr>
      </w:pPr>
      <w:r w:rsidRPr="00D579BE">
        <w:rPr>
          <w:szCs w:val="21"/>
        </w:rPr>
        <w:t>Lieux fixes liés au projet ;</w:t>
      </w:r>
    </w:p>
    <w:p w14:paraId="35CCB5E5" w14:textId="77777777" w:rsidR="009021F1" w:rsidRPr="00D579BE" w:rsidRDefault="009021F1" w:rsidP="009021F1">
      <w:pPr>
        <w:pStyle w:val="Paragraphedeliste"/>
        <w:numPr>
          <w:ilvl w:val="0"/>
          <w:numId w:val="56"/>
        </w:numPr>
        <w:rPr>
          <w:szCs w:val="21"/>
        </w:rPr>
      </w:pPr>
      <w:r w:rsidRPr="00D579BE">
        <w:rPr>
          <w:szCs w:val="21"/>
        </w:rPr>
        <w:t>Bases vies ou logements ;</w:t>
      </w:r>
    </w:p>
    <w:p w14:paraId="096AE3B8" w14:textId="77777777" w:rsidR="009021F1" w:rsidRPr="00D579BE" w:rsidRDefault="009021F1" w:rsidP="009021F1">
      <w:pPr>
        <w:pStyle w:val="Paragraphedeliste"/>
        <w:numPr>
          <w:ilvl w:val="0"/>
          <w:numId w:val="56"/>
        </w:numPr>
        <w:rPr>
          <w:szCs w:val="21"/>
        </w:rPr>
      </w:pPr>
      <w:r w:rsidRPr="00D579BE">
        <w:rPr>
          <w:szCs w:val="21"/>
        </w:rPr>
        <w:t>Autres installations, y compris les carrières ;</w:t>
      </w:r>
    </w:p>
    <w:p w14:paraId="64AEAEEE" w14:textId="77777777" w:rsidR="009021F1" w:rsidRPr="00D579BE" w:rsidRDefault="009021F1" w:rsidP="009021F1">
      <w:pPr>
        <w:pStyle w:val="Paragraphedeliste"/>
        <w:numPr>
          <w:ilvl w:val="0"/>
          <w:numId w:val="56"/>
        </w:numPr>
        <w:tabs>
          <w:tab w:val="left" w:pos="709"/>
        </w:tabs>
        <w:rPr>
          <w:szCs w:val="21"/>
        </w:rPr>
      </w:pPr>
      <w:r w:rsidRPr="00D579BE">
        <w:rPr>
          <w:szCs w:val="21"/>
        </w:rPr>
        <w:tab/>
        <w:t>Caractéristiques physiques des installations de l’Entreprise ;</w:t>
      </w:r>
    </w:p>
    <w:p w14:paraId="1C79DD4B" w14:textId="77777777" w:rsidR="009021F1" w:rsidRPr="00D579BE" w:rsidRDefault="009021F1" w:rsidP="009021F1">
      <w:pPr>
        <w:pStyle w:val="Paragraphedeliste"/>
        <w:numPr>
          <w:ilvl w:val="0"/>
          <w:numId w:val="56"/>
        </w:numPr>
        <w:rPr>
          <w:szCs w:val="21"/>
        </w:rPr>
      </w:pPr>
      <w:r w:rsidRPr="00D579BE">
        <w:rPr>
          <w:szCs w:val="21"/>
        </w:rPr>
        <w:t>Positionnement ;</w:t>
      </w:r>
    </w:p>
    <w:p w14:paraId="0A2B5141" w14:textId="77777777" w:rsidR="009021F1" w:rsidRPr="00D579BE" w:rsidRDefault="009021F1" w:rsidP="009021F1">
      <w:pPr>
        <w:pStyle w:val="Paragraphedeliste"/>
        <w:numPr>
          <w:ilvl w:val="0"/>
          <w:numId w:val="56"/>
        </w:numPr>
        <w:rPr>
          <w:szCs w:val="21"/>
        </w:rPr>
      </w:pPr>
      <w:r w:rsidRPr="00D579BE">
        <w:rPr>
          <w:szCs w:val="21"/>
        </w:rPr>
        <w:t>Murs / clôtures ;</w:t>
      </w:r>
    </w:p>
    <w:p w14:paraId="3AD8D745" w14:textId="77777777" w:rsidR="009021F1" w:rsidRPr="00D579BE" w:rsidRDefault="009021F1" w:rsidP="009021F1">
      <w:pPr>
        <w:pStyle w:val="Paragraphedeliste"/>
        <w:numPr>
          <w:ilvl w:val="0"/>
          <w:numId w:val="56"/>
        </w:numPr>
        <w:rPr>
          <w:szCs w:val="21"/>
        </w:rPr>
      </w:pPr>
      <w:r w:rsidRPr="00D579BE">
        <w:rPr>
          <w:szCs w:val="21"/>
        </w:rPr>
        <w:t>Portes ;</w:t>
      </w:r>
    </w:p>
    <w:p w14:paraId="2BC755CC" w14:textId="77777777" w:rsidR="009021F1" w:rsidRPr="00D579BE" w:rsidRDefault="009021F1" w:rsidP="009021F1">
      <w:pPr>
        <w:pStyle w:val="Paragraphedeliste"/>
        <w:numPr>
          <w:ilvl w:val="0"/>
          <w:numId w:val="56"/>
        </w:numPr>
        <w:rPr>
          <w:szCs w:val="21"/>
        </w:rPr>
      </w:pPr>
      <w:r w:rsidRPr="00D579BE">
        <w:rPr>
          <w:szCs w:val="21"/>
        </w:rPr>
        <w:t>Barrières routières routes ;</w:t>
      </w:r>
    </w:p>
    <w:p w14:paraId="193343E3" w14:textId="77777777" w:rsidR="009021F1" w:rsidRPr="00D579BE" w:rsidRDefault="009021F1" w:rsidP="009021F1">
      <w:pPr>
        <w:pStyle w:val="Paragraphedeliste"/>
        <w:numPr>
          <w:ilvl w:val="0"/>
          <w:numId w:val="56"/>
        </w:numPr>
        <w:rPr>
          <w:szCs w:val="21"/>
        </w:rPr>
      </w:pPr>
      <w:r w:rsidRPr="00D579BE">
        <w:rPr>
          <w:szCs w:val="21"/>
        </w:rPr>
        <w:t>Portes et fenêtres ;</w:t>
      </w:r>
    </w:p>
    <w:p w14:paraId="5EC00799" w14:textId="77777777" w:rsidR="009021F1" w:rsidRPr="00D579BE" w:rsidRDefault="009021F1" w:rsidP="009021F1">
      <w:pPr>
        <w:pStyle w:val="Paragraphedeliste"/>
        <w:numPr>
          <w:ilvl w:val="0"/>
          <w:numId w:val="56"/>
        </w:numPr>
        <w:rPr>
          <w:szCs w:val="21"/>
        </w:rPr>
      </w:pPr>
      <w:r w:rsidRPr="00D579BE">
        <w:rPr>
          <w:szCs w:val="21"/>
        </w:rPr>
        <w:t>Sécurité des personnes ;</w:t>
      </w:r>
    </w:p>
    <w:p w14:paraId="07F051E6" w14:textId="77777777" w:rsidR="009021F1" w:rsidRPr="00D579BE" w:rsidRDefault="009021F1" w:rsidP="009021F1">
      <w:pPr>
        <w:pStyle w:val="Paragraphedeliste"/>
        <w:numPr>
          <w:ilvl w:val="0"/>
          <w:numId w:val="56"/>
        </w:numPr>
        <w:rPr>
          <w:szCs w:val="21"/>
        </w:rPr>
      </w:pPr>
      <w:r w:rsidRPr="00D579BE">
        <w:rPr>
          <w:szCs w:val="21"/>
        </w:rPr>
        <w:t>Serrures, clés et combinaisons ;</w:t>
      </w:r>
    </w:p>
    <w:p w14:paraId="2982ABD0" w14:textId="77777777" w:rsidR="009021F1" w:rsidRPr="00D579BE" w:rsidRDefault="009021F1" w:rsidP="009021F1">
      <w:pPr>
        <w:pStyle w:val="Paragraphedeliste"/>
        <w:numPr>
          <w:ilvl w:val="0"/>
          <w:numId w:val="56"/>
        </w:numPr>
        <w:rPr>
          <w:szCs w:val="21"/>
        </w:rPr>
      </w:pPr>
      <w:r w:rsidRPr="00D579BE">
        <w:rPr>
          <w:szCs w:val="21"/>
        </w:rPr>
        <w:t>Moral, bien-être, lieux de loisirs ;</w:t>
      </w:r>
    </w:p>
    <w:p w14:paraId="15061A70" w14:textId="77777777" w:rsidR="009021F1" w:rsidRPr="00D579BE" w:rsidRDefault="009021F1" w:rsidP="009021F1">
      <w:pPr>
        <w:pStyle w:val="Paragraphedeliste"/>
        <w:numPr>
          <w:ilvl w:val="0"/>
          <w:numId w:val="56"/>
        </w:numPr>
        <w:rPr>
          <w:szCs w:val="21"/>
        </w:rPr>
      </w:pPr>
      <w:r w:rsidRPr="00D579BE">
        <w:rPr>
          <w:szCs w:val="21"/>
        </w:rPr>
        <w:t>Mesures de transport ;</w:t>
      </w:r>
    </w:p>
    <w:p w14:paraId="2631064B" w14:textId="77777777" w:rsidR="009021F1" w:rsidRPr="00D579BE" w:rsidRDefault="009021F1" w:rsidP="009021F1">
      <w:pPr>
        <w:pStyle w:val="Paragraphedeliste"/>
        <w:numPr>
          <w:ilvl w:val="0"/>
          <w:numId w:val="56"/>
        </w:numPr>
        <w:rPr>
          <w:szCs w:val="21"/>
        </w:rPr>
      </w:pPr>
      <w:r w:rsidRPr="00D579BE">
        <w:rPr>
          <w:szCs w:val="21"/>
        </w:rPr>
        <w:t>Contrôle des déplacements ;</w:t>
      </w:r>
    </w:p>
    <w:p w14:paraId="41CB2949" w14:textId="77777777" w:rsidR="009021F1" w:rsidRPr="00D579BE" w:rsidRDefault="009021F1" w:rsidP="009021F1">
      <w:pPr>
        <w:pStyle w:val="Paragraphedeliste"/>
        <w:numPr>
          <w:ilvl w:val="0"/>
          <w:numId w:val="56"/>
        </w:numPr>
        <w:rPr>
          <w:szCs w:val="21"/>
        </w:rPr>
      </w:pPr>
      <w:r w:rsidRPr="00D579BE">
        <w:rPr>
          <w:szCs w:val="21"/>
        </w:rPr>
        <w:t>Sécurité des transports ;</w:t>
      </w:r>
    </w:p>
    <w:p w14:paraId="29FBBEA5" w14:textId="77777777" w:rsidR="009021F1" w:rsidRPr="00D579BE" w:rsidRDefault="009021F1" w:rsidP="009021F1">
      <w:pPr>
        <w:pStyle w:val="Paragraphedeliste"/>
        <w:numPr>
          <w:ilvl w:val="0"/>
          <w:numId w:val="56"/>
        </w:numPr>
        <w:rPr>
          <w:szCs w:val="21"/>
        </w:rPr>
      </w:pPr>
      <w:r w:rsidRPr="00D579BE">
        <w:rPr>
          <w:szCs w:val="21"/>
        </w:rPr>
        <w:t>Sélection des itinéraires ;</w:t>
      </w:r>
    </w:p>
    <w:p w14:paraId="39CD93B6" w14:textId="77777777" w:rsidR="009021F1" w:rsidRPr="00D579BE" w:rsidRDefault="009021F1" w:rsidP="009021F1">
      <w:pPr>
        <w:pStyle w:val="Paragraphedeliste"/>
        <w:numPr>
          <w:ilvl w:val="0"/>
          <w:numId w:val="56"/>
        </w:numPr>
        <w:rPr>
          <w:szCs w:val="21"/>
        </w:rPr>
      </w:pPr>
      <w:r w:rsidRPr="00D579BE">
        <w:rPr>
          <w:szCs w:val="21"/>
        </w:rPr>
        <w:t>Lieux de refuge ;</w:t>
      </w:r>
    </w:p>
    <w:p w14:paraId="1EA889CE" w14:textId="77777777" w:rsidR="009021F1" w:rsidRPr="00D579BE" w:rsidRDefault="009021F1" w:rsidP="009021F1">
      <w:pPr>
        <w:pStyle w:val="Paragraphedeliste"/>
        <w:numPr>
          <w:ilvl w:val="0"/>
          <w:numId w:val="56"/>
        </w:numPr>
        <w:rPr>
          <w:szCs w:val="21"/>
        </w:rPr>
      </w:pPr>
      <w:r w:rsidRPr="00D579BE">
        <w:rPr>
          <w:szCs w:val="21"/>
        </w:rPr>
        <w:t>Briefing des passagers ;</w:t>
      </w:r>
    </w:p>
    <w:p w14:paraId="42BB71C3" w14:textId="77777777" w:rsidR="009021F1" w:rsidRPr="00D579BE" w:rsidRDefault="009021F1" w:rsidP="009021F1">
      <w:pPr>
        <w:pStyle w:val="Paragraphedeliste"/>
        <w:numPr>
          <w:ilvl w:val="0"/>
          <w:numId w:val="56"/>
        </w:numPr>
        <w:rPr>
          <w:szCs w:val="21"/>
        </w:rPr>
      </w:pPr>
      <w:r w:rsidRPr="00D579BE">
        <w:rPr>
          <w:szCs w:val="21"/>
        </w:rPr>
        <w:t>Arrivées et départs ;</w:t>
      </w:r>
    </w:p>
    <w:p w14:paraId="2C081C15" w14:textId="77777777" w:rsidR="009021F1" w:rsidRPr="00D579BE" w:rsidRDefault="009021F1" w:rsidP="009021F1">
      <w:pPr>
        <w:pStyle w:val="Paragraphedeliste"/>
        <w:numPr>
          <w:ilvl w:val="0"/>
          <w:numId w:val="56"/>
        </w:numPr>
        <w:rPr>
          <w:szCs w:val="21"/>
        </w:rPr>
      </w:pPr>
      <w:r w:rsidRPr="00D579BE">
        <w:rPr>
          <w:szCs w:val="21"/>
        </w:rPr>
        <w:t>Dans le véhicule ;</w:t>
      </w:r>
    </w:p>
    <w:p w14:paraId="4E2A2E17" w14:textId="77777777" w:rsidR="009021F1" w:rsidRPr="00D579BE" w:rsidRDefault="009021F1" w:rsidP="009021F1">
      <w:pPr>
        <w:pStyle w:val="Paragraphedeliste"/>
        <w:numPr>
          <w:ilvl w:val="0"/>
          <w:numId w:val="56"/>
        </w:numPr>
        <w:rPr>
          <w:szCs w:val="21"/>
        </w:rPr>
      </w:pPr>
      <w:r w:rsidRPr="00D579BE">
        <w:rPr>
          <w:szCs w:val="21"/>
        </w:rPr>
        <w:t>Aux points de contrôle ;</w:t>
      </w:r>
    </w:p>
    <w:p w14:paraId="433707BD" w14:textId="77777777" w:rsidR="009021F1" w:rsidRPr="00D579BE" w:rsidRDefault="009021F1" w:rsidP="009021F1">
      <w:pPr>
        <w:pStyle w:val="Paragraphedeliste"/>
        <w:numPr>
          <w:ilvl w:val="0"/>
          <w:numId w:val="56"/>
        </w:numPr>
        <w:rPr>
          <w:szCs w:val="21"/>
        </w:rPr>
      </w:pPr>
      <w:r w:rsidRPr="00D579BE">
        <w:rPr>
          <w:szCs w:val="21"/>
        </w:rPr>
        <w:t>Transports publics ;</w:t>
      </w:r>
    </w:p>
    <w:p w14:paraId="3130C044" w14:textId="77777777" w:rsidR="009021F1" w:rsidRPr="00D579BE" w:rsidRDefault="009021F1" w:rsidP="009021F1">
      <w:pPr>
        <w:pStyle w:val="Paragraphedeliste"/>
        <w:numPr>
          <w:ilvl w:val="0"/>
          <w:numId w:val="56"/>
        </w:numPr>
        <w:rPr>
          <w:szCs w:val="21"/>
        </w:rPr>
      </w:pPr>
      <w:r w:rsidRPr="00D579BE">
        <w:rPr>
          <w:szCs w:val="21"/>
        </w:rPr>
        <w:t>Premiers soins et soins médicaux ;</w:t>
      </w:r>
    </w:p>
    <w:p w14:paraId="364CCC0B" w14:textId="77777777" w:rsidR="009021F1" w:rsidRPr="00D579BE" w:rsidRDefault="009021F1" w:rsidP="009021F1">
      <w:pPr>
        <w:pStyle w:val="Paragraphedeliste"/>
        <w:numPr>
          <w:ilvl w:val="0"/>
          <w:numId w:val="56"/>
        </w:numPr>
        <w:rPr>
          <w:szCs w:val="21"/>
        </w:rPr>
      </w:pPr>
      <w:r w:rsidRPr="00D579BE">
        <w:rPr>
          <w:szCs w:val="21"/>
        </w:rPr>
        <w:t>Trousses de premiers soins et formation ;</w:t>
      </w:r>
    </w:p>
    <w:p w14:paraId="3B3C8595" w14:textId="77777777" w:rsidR="009021F1" w:rsidRPr="00D579BE" w:rsidRDefault="009021F1" w:rsidP="009021F1">
      <w:pPr>
        <w:pStyle w:val="Paragraphedeliste"/>
        <w:numPr>
          <w:ilvl w:val="0"/>
          <w:numId w:val="56"/>
        </w:numPr>
        <w:rPr>
          <w:szCs w:val="21"/>
        </w:rPr>
      </w:pPr>
      <w:r w:rsidRPr="00D579BE">
        <w:rPr>
          <w:szCs w:val="21"/>
        </w:rPr>
        <w:t>Services d'ambulance ;</w:t>
      </w:r>
    </w:p>
    <w:p w14:paraId="1BDD78D4" w14:textId="77777777" w:rsidR="009021F1" w:rsidRPr="00D579BE" w:rsidRDefault="009021F1" w:rsidP="009021F1">
      <w:pPr>
        <w:pStyle w:val="Paragraphedeliste"/>
        <w:numPr>
          <w:ilvl w:val="0"/>
          <w:numId w:val="56"/>
        </w:numPr>
        <w:rPr>
          <w:szCs w:val="21"/>
        </w:rPr>
      </w:pPr>
      <w:r w:rsidRPr="00D579BE">
        <w:rPr>
          <w:szCs w:val="21"/>
        </w:rPr>
        <w:t>Soins hospitaliers ;</w:t>
      </w:r>
    </w:p>
    <w:p w14:paraId="1A710C5F" w14:textId="77777777" w:rsidR="009021F1" w:rsidRPr="00D579BE" w:rsidRDefault="009021F1" w:rsidP="009021F1">
      <w:pPr>
        <w:pStyle w:val="Paragraphedeliste"/>
        <w:numPr>
          <w:ilvl w:val="0"/>
          <w:numId w:val="56"/>
        </w:numPr>
        <w:rPr>
          <w:szCs w:val="21"/>
        </w:rPr>
      </w:pPr>
      <w:r w:rsidRPr="00D579BE">
        <w:rPr>
          <w:szCs w:val="21"/>
        </w:rPr>
        <w:t>Évacuation médicale ;</w:t>
      </w:r>
    </w:p>
    <w:p w14:paraId="7DF46A8E" w14:textId="77777777" w:rsidR="009021F1" w:rsidRPr="00D579BE" w:rsidRDefault="009021F1" w:rsidP="009021F1">
      <w:pPr>
        <w:pStyle w:val="Paragraphedeliste"/>
        <w:numPr>
          <w:ilvl w:val="0"/>
          <w:numId w:val="56"/>
        </w:numPr>
        <w:rPr>
          <w:szCs w:val="21"/>
        </w:rPr>
      </w:pPr>
      <w:r w:rsidRPr="00D579BE">
        <w:rPr>
          <w:szCs w:val="21"/>
        </w:rPr>
        <w:t>Communications ;</w:t>
      </w:r>
    </w:p>
    <w:p w14:paraId="24A8C5D2" w14:textId="77777777" w:rsidR="009021F1" w:rsidRPr="00D579BE" w:rsidRDefault="009021F1" w:rsidP="009021F1">
      <w:pPr>
        <w:pStyle w:val="Paragraphedeliste"/>
        <w:numPr>
          <w:ilvl w:val="0"/>
          <w:numId w:val="56"/>
        </w:numPr>
        <w:rPr>
          <w:szCs w:val="21"/>
        </w:rPr>
      </w:pPr>
      <w:r w:rsidRPr="00D579BE">
        <w:rPr>
          <w:szCs w:val="21"/>
        </w:rPr>
        <w:t>Sécurité de l'information ;</w:t>
      </w:r>
    </w:p>
    <w:p w14:paraId="79B9C30E" w14:textId="77777777" w:rsidR="009021F1" w:rsidRPr="00D579BE" w:rsidRDefault="009021F1" w:rsidP="009021F1">
      <w:pPr>
        <w:pStyle w:val="Paragraphedeliste"/>
        <w:numPr>
          <w:ilvl w:val="0"/>
          <w:numId w:val="56"/>
        </w:numPr>
        <w:rPr>
          <w:szCs w:val="21"/>
        </w:rPr>
      </w:pPr>
      <w:r w:rsidRPr="00D579BE">
        <w:rPr>
          <w:szCs w:val="21"/>
        </w:rPr>
        <w:t>Sauvegarde des données informatiques ;</w:t>
      </w:r>
    </w:p>
    <w:p w14:paraId="667CF202" w14:textId="77777777" w:rsidR="009021F1" w:rsidRPr="00D579BE" w:rsidRDefault="009021F1" w:rsidP="009021F1">
      <w:pPr>
        <w:pStyle w:val="Paragraphedeliste"/>
        <w:numPr>
          <w:ilvl w:val="0"/>
          <w:numId w:val="56"/>
        </w:numPr>
        <w:rPr>
          <w:szCs w:val="21"/>
        </w:rPr>
      </w:pPr>
      <w:r w:rsidRPr="00D579BE">
        <w:rPr>
          <w:szCs w:val="21"/>
        </w:rPr>
        <w:t>Sécurité des documents et des fichiers informatiques ;</w:t>
      </w:r>
    </w:p>
    <w:p w14:paraId="625D35BA" w14:textId="77777777" w:rsidR="009021F1" w:rsidRPr="00D579BE" w:rsidRDefault="009021F1" w:rsidP="009021F1">
      <w:pPr>
        <w:pStyle w:val="Paragraphedeliste"/>
        <w:numPr>
          <w:ilvl w:val="0"/>
          <w:numId w:val="56"/>
        </w:numPr>
        <w:rPr>
          <w:szCs w:val="21"/>
        </w:rPr>
      </w:pPr>
      <w:r w:rsidRPr="00D579BE">
        <w:rPr>
          <w:szCs w:val="21"/>
        </w:rPr>
        <w:t>Préoccupations et orientations concernant les médias sociaux ;</w:t>
      </w:r>
    </w:p>
    <w:p w14:paraId="2CE31C34" w14:textId="77777777" w:rsidR="009021F1" w:rsidRPr="00D579BE" w:rsidRDefault="009021F1" w:rsidP="009021F1">
      <w:pPr>
        <w:pStyle w:val="Paragraphedeliste"/>
        <w:numPr>
          <w:ilvl w:val="0"/>
          <w:numId w:val="56"/>
        </w:numPr>
        <w:rPr>
          <w:szCs w:val="21"/>
        </w:rPr>
      </w:pPr>
      <w:r w:rsidRPr="00D579BE">
        <w:rPr>
          <w:szCs w:val="21"/>
        </w:rPr>
        <w:t>Rencontres avec les médias et médias négatifs ;</w:t>
      </w:r>
    </w:p>
    <w:p w14:paraId="1FBDC57E" w14:textId="77777777" w:rsidR="009021F1" w:rsidRPr="00D579BE" w:rsidRDefault="009021F1" w:rsidP="009021F1">
      <w:pPr>
        <w:pStyle w:val="Paragraphedeliste"/>
        <w:numPr>
          <w:ilvl w:val="0"/>
          <w:numId w:val="56"/>
        </w:numPr>
        <w:rPr>
          <w:szCs w:val="21"/>
        </w:rPr>
      </w:pPr>
      <w:r w:rsidRPr="00D579BE">
        <w:rPr>
          <w:szCs w:val="21"/>
        </w:rPr>
        <w:t>Autres directives administratives ;</w:t>
      </w:r>
    </w:p>
    <w:p w14:paraId="4E4E3B01" w14:textId="77777777" w:rsidR="009021F1" w:rsidRPr="00D579BE" w:rsidRDefault="009021F1" w:rsidP="009021F1">
      <w:pPr>
        <w:pStyle w:val="Paragraphedeliste"/>
        <w:numPr>
          <w:ilvl w:val="0"/>
          <w:numId w:val="56"/>
        </w:numPr>
        <w:rPr>
          <w:szCs w:val="21"/>
        </w:rPr>
      </w:pPr>
      <w:r w:rsidRPr="00D579BE">
        <w:rPr>
          <w:szCs w:val="21"/>
        </w:rPr>
        <w:t>Procédures de gestion des espèces (monnaie) ;</w:t>
      </w:r>
    </w:p>
    <w:p w14:paraId="2A3A731A" w14:textId="77777777" w:rsidR="009021F1" w:rsidRPr="00D579BE" w:rsidRDefault="009021F1" w:rsidP="009021F1">
      <w:pPr>
        <w:pStyle w:val="Paragraphedeliste"/>
        <w:numPr>
          <w:ilvl w:val="0"/>
          <w:numId w:val="56"/>
        </w:numPr>
        <w:rPr>
          <w:szCs w:val="21"/>
        </w:rPr>
      </w:pPr>
      <w:r w:rsidRPr="00D579BE">
        <w:rPr>
          <w:szCs w:val="21"/>
        </w:rPr>
        <w:t>Documentation personnelle ;</w:t>
      </w:r>
    </w:p>
    <w:p w14:paraId="1F5E68D7" w14:textId="77777777" w:rsidR="009021F1" w:rsidRPr="00D579BE" w:rsidRDefault="009021F1" w:rsidP="009021F1">
      <w:pPr>
        <w:pStyle w:val="Paragraphedeliste"/>
        <w:numPr>
          <w:ilvl w:val="0"/>
          <w:numId w:val="56"/>
        </w:numPr>
        <w:rPr>
          <w:szCs w:val="21"/>
        </w:rPr>
      </w:pPr>
      <w:r w:rsidRPr="00D579BE">
        <w:rPr>
          <w:szCs w:val="21"/>
        </w:rPr>
        <w:t>Enregistrement des données d'urgence ;</w:t>
      </w:r>
    </w:p>
    <w:p w14:paraId="03E8C305" w14:textId="77777777" w:rsidR="009021F1" w:rsidRPr="00D579BE" w:rsidRDefault="009021F1" w:rsidP="009021F1">
      <w:pPr>
        <w:pStyle w:val="Paragraphedeliste"/>
        <w:numPr>
          <w:ilvl w:val="0"/>
          <w:numId w:val="56"/>
        </w:numPr>
        <w:rPr>
          <w:szCs w:val="21"/>
        </w:rPr>
      </w:pPr>
      <w:r w:rsidRPr="00D579BE">
        <w:rPr>
          <w:szCs w:val="21"/>
        </w:rPr>
        <w:t>Briefing et formation sur la sécurité ;</w:t>
      </w:r>
    </w:p>
    <w:p w14:paraId="138E522A" w14:textId="77777777" w:rsidR="009021F1" w:rsidRPr="00D579BE" w:rsidRDefault="009021F1" w:rsidP="009021F1">
      <w:pPr>
        <w:pStyle w:val="Paragraphedeliste"/>
        <w:numPr>
          <w:ilvl w:val="0"/>
          <w:numId w:val="56"/>
        </w:numPr>
        <w:rPr>
          <w:szCs w:val="21"/>
        </w:rPr>
      </w:pPr>
      <w:r w:rsidRPr="00D579BE">
        <w:rPr>
          <w:szCs w:val="21"/>
        </w:rPr>
        <w:t>Sécurité des visiteurs ;</w:t>
      </w:r>
    </w:p>
    <w:p w14:paraId="55F2C356" w14:textId="77777777" w:rsidR="009021F1" w:rsidRPr="00D579BE" w:rsidRDefault="009021F1" w:rsidP="009021F1">
      <w:pPr>
        <w:pStyle w:val="Paragraphedeliste"/>
        <w:numPr>
          <w:ilvl w:val="0"/>
          <w:numId w:val="56"/>
        </w:numPr>
        <w:rPr>
          <w:szCs w:val="21"/>
        </w:rPr>
      </w:pPr>
      <w:r w:rsidRPr="00D579BE">
        <w:rPr>
          <w:szCs w:val="21"/>
        </w:rPr>
        <w:t>Actions immédiates ;</w:t>
      </w:r>
    </w:p>
    <w:p w14:paraId="5D3CAF47" w14:textId="77777777" w:rsidR="009021F1" w:rsidRPr="00D579BE" w:rsidRDefault="009021F1" w:rsidP="009021F1">
      <w:pPr>
        <w:pStyle w:val="Paragraphedeliste"/>
        <w:numPr>
          <w:ilvl w:val="0"/>
          <w:numId w:val="56"/>
        </w:numPr>
        <w:rPr>
          <w:szCs w:val="21"/>
        </w:rPr>
      </w:pPr>
      <w:r w:rsidRPr="00D579BE">
        <w:rPr>
          <w:szCs w:val="21"/>
        </w:rPr>
        <w:t>Feu ;</w:t>
      </w:r>
    </w:p>
    <w:p w14:paraId="7C1D2C5A" w14:textId="77777777" w:rsidR="009021F1" w:rsidRPr="00D579BE" w:rsidRDefault="009021F1" w:rsidP="009021F1">
      <w:pPr>
        <w:pStyle w:val="Paragraphedeliste"/>
        <w:numPr>
          <w:ilvl w:val="0"/>
          <w:numId w:val="56"/>
        </w:numPr>
        <w:rPr>
          <w:szCs w:val="21"/>
        </w:rPr>
      </w:pPr>
      <w:r w:rsidRPr="00D579BE">
        <w:rPr>
          <w:szCs w:val="21"/>
        </w:rPr>
        <w:t>Chocs électriques ;</w:t>
      </w:r>
    </w:p>
    <w:p w14:paraId="063B78AD" w14:textId="77777777" w:rsidR="009021F1" w:rsidRPr="00D579BE" w:rsidRDefault="009021F1" w:rsidP="009021F1">
      <w:pPr>
        <w:pStyle w:val="Paragraphedeliste"/>
        <w:numPr>
          <w:ilvl w:val="0"/>
          <w:numId w:val="56"/>
        </w:numPr>
        <w:rPr>
          <w:szCs w:val="21"/>
        </w:rPr>
      </w:pPr>
      <w:r w:rsidRPr="00D579BE">
        <w:rPr>
          <w:szCs w:val="21"/>
        </w:rPr>
        <w:t>Urgences médicales ;</w:t>
      </w:r>
    </w:p>
    <w:p w14:paraId="3291419E" w14:textId="77777777" w:rsidR="009021F1" w:rsidRPr="00D579BE" w:rsidRDefault="009021F1" w:rsidP="009021F1">
      <w:pPr>
        <w:pStyle w:val="Paragraphedeliste"/>
        <w:numPr>
          <w:ilvl w:val="0"/>
          <w:numId w:val="56"/>
        </w:numPr>
        <w:rPr>
          <w:szCs w:val="21"/>
        </w:rPr>
      </w:pPr>
      <w:r w:rsidRPr="00D579BE">
        <w:rPr>
          <w:szCs w:val="21"/>
        </w:rPr>
        <w:t>Confrontation, vol et agression ;</w:t>
      </w:r>
    </w:p>
    <w:p w14:paraId="098F09CB" w14:textId="77777777" w:rsidR="009021F1" w:rsidRPr="00D579BE" w:rsidRDefault="009021F1" w:rsidP="009021F1">
      <w:pPr>
        <w:pStyle w:val="Paragraphedeliste"/>
        <w:numPr>
          <w:ilvl w:val="0"/>
          <w:numId w:val="56"/>
        </w:numPr>
        <w:rPr>
          <w:szCs w:val="21"/>
        </w:rPr>
      </w:pPr>
      <w:r w:rsidRPr="00D579BE">
        <w:rPr>
          <w:szCs w:val="21"/>
        </w:rPr>
        <w:t>Tir d’armes à feu ;</w:t>
      </w:r>
    </w:p>
    <w:p w14:paraId="4F77577C" w14:textId="77777777" w:rsidR="009021F1" w:rsidRPr="00D579BE" w:rsidRDefault="009021F1" w:rsidP="009021F1">
      <w:pPr>
        <w:pStyle w:val="Paragraphedeliste"/>
        <w:numPr>
          <w:ilvl w:val="0"/>
          <w:numId w:val="56"/>
        </w:numPr>
        <w:rPr>
          <w:szCs w:val="21"/>
        </w:rPr>
      </w:pPr>
      <w:r w:rsidRPr="00D579BE">
        <w:rPr>
          <w:szCs w:val="21"/>
        </w:rPr>
        <w:t>Embuscade ;</w:t>
      </w:r>
    </w:p>
    <w:p w14:paraId="3064065E" w14:textId="77777777" w:rsidR="009021F1" w:rsidRPr="00D579BE" w:rsidRDefault="009021F1" w:rsidP="009021F1">
      <w:pPr>
        <w:pStyle w:val="Paragraphedeliste"/>
        <w:numPr>
          <w:ilvl w:val="0"/>
          <w:numId w:val="56"/>
        </w:numPr>
        <w:rPr>
          <w:szCs w:val="21"/>
        </w:rPr>
      </w:pPr>
      <w:r w:rsidRPr="00D579BE">
        <w:rPr>
          <w:szCs w:val="21"/>
        </w:rPr>
        <w:t>Tir indirect (artillerie, mortier ou roquettes) ;</w:t>
      </w:r>
    </w:p>
    <w:p w14:paraId="08550138" w14:textId="77777777" w:rsidR="009021F1" w:rsidRPr="00D579BE" w:rsidRDefault="009021F1" w:rsidP="009021F1">
      <w:pPr>
        <w:pStyle w:val="Paragraphedeliste"/>
        <w:numPr>
          <w:ilvl w:val="0"/>
          <w:numId w:val="56"/>
        </w:numPr>
        <w:rPr>
          <w:szCs w:val="21"/>
        </w:rPr>
      </w:pPr>
      <w:r w:rsidRPr="00D579BE">
        <w:rPr>
          <w:szCs w:val="21"/>
        </w:rPr>
        <w:t>Grenades ;</w:t>
      </w:r>
    </w:p>
    <w:p w14:paraId="401C763E" w14:textId="77777777" w:rsidR="009021F1" w:rsidRPr="00D579BE" w:rsidRDefault="009021F1" w:rsidP="009021F1">
      <w:pPr>
        <w:pStyle w:val="Paragraphedeliste"/>
        <w:numPr>
          <w:ilvl w:val="0"/>
          <w:numId w:val="56"/>
        </w:numPr>
        <w:rPr>
          <w:szCs w:val="21"/>
        </w:rPr>
      </w:pPr>
      <w:r w:rsidRPr="00D579BE">
        <w:rPr>
          <w:szCs w:val="21"/>
        </w:rPr>
        <w:t>Incidents liés à des explosifs (attentats à la bombe) ;</w:t>
      </w:r>
    </w:p>
    <w:p w14:paraId="1EF10B82" w14:textId="77777777" w:rsidR="009021F1" w:rsidRPr="00D579BE" w:rsidRDefault="009021F1" w:rsidP="009021F1">
      <w:pPr>
        <w:pStyle w:val="Paragraphedeliste"/>
        <w:numPr>
          <w:ilvl w:val="0"/>
          <w:numId w:val="56"/>
        </w:numPr>
        <w:rPr>
          <w:szCs w:val="21"/>
        </w:rPr>
      </w:pPr>
      <w:r w:rsidRPr="00D579BE">
        <w:rPr>
          <w:szCs w:val="21"/>
        </w:rPr>
        <w:t>Enlèvements et prises d'otages ;</w:t>
      </w:r>
    </w:p>
    <w:p w14:paraId="20532BAE" w14:textId="77777777" w:rsidR="009021F1" w:rsidRPr="00D579BE" w:rsidRDefault="009021F1" w:rsidP="009021F1">
      <w:pPr>
        <w:pStyle w:val="Paragraphedeliste"/>
        <w:numPr>
          <w:ilvl w:val="0"/>
          <w:numId w:val="56"/>
        </w:numPr>
        <w:rPr>
          <w:szCs w:val="21"/>
        </w:rPr>
      </w:pPr>
      <w:r w:rsidRPr="00D579BE">
        <w:rPr>
          <w:szCs w:val="21"/>
        </w:rPr>
        <w:t>Captivité ;</w:t>
      </w:r>
    </w:p>
    <w:p w14:paraId="31BF878E" w14:textId="77777777" w:rsidR="009021F1" w:rsidRPr="00D579BE" w:rsidRDefault="009021F1" w:rsidP="009021F1">
      <w:pPr>
        <w:pStyle w:val="Paragraphedeliste"/>
        <w:numPr>
          <w:ilvl w:val="0"/>
          <w:numId w:val="56"/>
        </w:numPr>
        <w:rPr>
          <w:szCs w:val="21"/>
        </w:rPr>
      </w:pPr>
      <w:r w:rsidRPr="00D579BE">
        <w:rPr>
          <w:szCs w:val="21"/>
        </w:rPr>
        <w:t>Négociation ;</w:t>
      </w:r>
    </w:p>
    <w:p w14:paraId="1BC02828" w14:textId="77777777" w:rsidR="009021F1" w:rsidRPr="00D579BE" w:rsidRDefault="009021F1" w:rsidP="009021F1">
      <w:pPr>
        <w:pStyle w:val="Paragraphedeliste"/>
        <w:numPr>
          <w:ilvl w:val="0"/>
          <w:numId w:val="56"/>
        </w:numPr>
        <w:rPr>
          <w:szCs w:val="21"/>
        </w:rPr>
      </w:pPr>
      <w:r w:rsidRPr="00D579BE">
        <w:rPr>
          <w:szCs w:val="21"/>
        </w:rPr>
        <w:t>Libération ;</w:t>
      </w:r>
    </w:p>
    <w:p w14:paraId="35D14AA4" w14:textId="77777777" w:rsidR="009021F1" w:rsidRPr="00D579BE" w:rsidRDefault="009021F1" w:rsidP="009021F1">
      <w:pPr>
        <w:pStyle w:val="Paragraphedeliste"/>
        <w:numPr>
          <w:ilvl w:val="0"/>
          <w:numId w:val="56"/>
        </w:numPr>
        <w:rPr>
          <w:szCs w:val="21"/>
        </w:rPr>
      </w:pPr>
      <w:r w:rsidRPr="00D579BE">
        <w:rPr>
          <w:szCs w:val="21"/>
        </w:rPr>
        <w:t>Évacuations ;</w:t>
      </w:r>
    </w:p>
    <w:p w14:paraId="392953B0" w14:textId="77777777" w:rsidR="009021F1" w:rsidRPr="00D579BE" w:rsidRDefault="009021F1" w:rsidP="009021F1">
      <w:pPr>
        <w:rPr>
          <w:b/>
          <w:bCs/>
          <w:color w:val="000000"/>
          <w:szCs w:val="21"/>
        </w:rPr>
      </w:pPr>
    </w:p>
    <w:p w14:paraId="017C662D" w14:textId="77777777" w:rsidR="009021F1" w:rsidRPr="00D579BE" w:rsidRDefault="009021F1" w:rsidP="009021F1">
      <w:pPr>
        <w:rPr>
          <w:b/>
          <w:bCs/>
          <w:color w:val="000000"/>
          <w:szCs w:val="21"/>
        </w:rPr>
      </w:pPr>
      <w:r w:rsidRPr="00D579BE">
        <w:rPr>
          <w:b/>
          <w:bCs/>
          <w:color w:val="000000"/>
          <w:szCs w:val="21"/>
        </w:rPr>
        <w:t>Engagement des Parties Prenantes</w:t>
      </w:r>
    </w:p>
    <w:p w14:paraId="1C687AA8" w14:textId="77777777" w:rsidR="009021F1" w:rsidRPr="00D579BE" w:rsidRDefault="009021F1" w:rsidP="009021F1">
      <w:pPr>
        <w:rPr>
          <w:b/>
          <w:bCs/>
          <w:color w:val="000000"/>
          <w:szCs w:val="21"/>
        </w:rPr>
      </w:pPr>
    </w:p>
    <w:p w14:paraId="6F363C3F" w14:textId="77777777" w:rsidR="009021F1" w:rsidRPr="00D579BE" w:rsidRDefault="009021F1" w:rsidP="009021F1">
      <w:pPr>
        <w:rPr>
          <w:szCs w:val="21"/>
        </w:rPr>
      </w:pPr>
      <w:r w:rsidRPr="00D579BE">
        <w:rPr>
          <w:szCs w:val="21"/>
        </w:rPr>
        <w:t>L’Entreprise doit :</w:t>
      </w:r>
    </w:p>
    <w:p w14:paraId="0EB23197" w14:textId="77777777" w:rsidR="009021F1" w:rsidRPr="00D579BE" w:rsidRDefault="009021F1" w:rsidP="009021F1">
      <w:pPr>
        <w:rPr>
          <w:szCs w:val="21"/>
        </w:rPr>
      </w:pPr>
    </w:p>
    <w:p w14:paraId="652530EA" w14:textId="77777777" w:rsidR="009021F1" w:rsidRPr="00D579BE" w:rsidRDefault="009021F1" w:rsidP="009021F1">
      <w:pPr>
        <w:pStyle w:val="Paragraphedeliste"/>
        <w:numPr>
          <w:ilvl w:val="0"/>
          <w:numId w:val="56"/>
        </w:numPr>
        <w:rPr>
          <w:szCs w:val="21"/>
        </w:rPr>
      </w:pPr>
      <w:r w:rsidRPr="00D579BE">
        <w:rPr>
          <w:szCs w:val="21"/>
        </w:rPr>
        <w:t>Préparer un plan d'engagement des parties prenantes avec les personnes et les communautés voisines du site de construction, et informera ces personnes et communautés des plans et des calendriers qui pourraient les affecter avant que leurs mises en œuvre ;</w:t>
      </w:r>
    </w:p>
    <w:p w14:paraId="5ED270A6" w14:textId="77777777" w:rsidR="009021F1" w:rsidRPr="00D579BE" w:rsidRDefault="009021F1" w:rsidP="009021F1">
      <w:pPr>
        <w:pStyle w:val="Paragraphedeliste"/>
        <w:numPr>
          <w:ilvl w:val="0"/>
          <w:numId w:val="56"/>
        </w:numPr>
        <w:rPr>
          <w:szCs w:val="21"/>
        </w:rPr>
      </w:pPr>
      <w:r w:rsidRPr="00D579BE">
        <w:rPr>
          <w:szCs w:val="21"/>
        </w:rPr>
        <w:t>Se concerter avec les communautés riveraines des chantiers avant le démarrage des travaux, afin de prendre des arrangements qui faciliteront leur déroulement ;</w:t>
      </w:r>
    </w:p>
    <w:p w14:paraId="4A3882DF" w14:textId="77777777" w:rsidR="009021F1" w:rsidRPr="00D579BE" w:rsidRDefault="009021F1" w:rsidP="009021F1">
      <w:pPr>
        <w:pStyle w:val="Paragraphedeliste"/>
        <w:numPr>
          <w:ilvl w:val="0"/>
          <w:numId w:val="56"/>
        </w:numPr>
        <w:rPr>
          <w:szCs w:val="21"/>
        </w:rPr>
      </w:pPr>
      <w:r w:rsidRPr="00D579BE">
        <w:rPr>
          <w:szCs w:val="21"/>
        </w:rPr>
        <w:t>Informer les populations concernées avant toute activité de destruction de champs, des biens impactés dans le cadre du projet.  La libération de l’emprise doit se faire selon un calendrier défini en accord avec les populations affectées et le Maître d’ouvrage ;</w:t>
      </w:r>
    </w:p>
    <w:p w14:paraId="7501746F" w14:textId="77777777" w:rsidR="009021F1" w:rsidRPr="00D579BE" w:rsidRDefault="009021F1" w:rsidP="009021F1">
      <w:pPr>
        <w:pStyle w:val="Paragraphedeliste"/>
        <w:numPr>
          <w:ilvl w:val="0"/>
          <w:numId w:val="56"/>
        </w:numPr>
        <w:rPr>
          <w:szCs w:val="21"/>
        </w:rPr>
      </w:pPr>
      <w:r w:rsidRPr="00D579BE">
        <w:rPr>
          <w:szCs w:val="21"/>
        </w:rPr>
        <w:t>S’assurer que les indemnisations/compensations sont effectivement payées aux ayant-droits par le Maître d’ouvrage avant l’installation et le début des travaux ; et</w:t>
      </w:r>
    </w:p>
    <w:p w14:paraId="53DCB4D8" w14:textId="77777777" w:rsidR="009021F1" w:rsidRPr="00D579BE" w:rsidRDefault="009021F1" w:rsidP="009021F1">
      <w:pPr>
        <w:pStyle w:val="Paragraphedeliste"/>
        <w:numPr>
          <w:ilvl w:val="0"/>
          <w:numId w:val="56"/>
        </w:numPr>
        <w:rPr>
          <w:szCs w:val="21"/>
        </w:rPr>
      </w:pPr>
      <w:r w:rsidRPr="00D579BE">
        <w:rPr>
          <w:szCs w:val="21"/>
        </w:rPr>
        <w:t>Organiser des réunions avant le démarrage des travaux, sous la supervision du Maître d’ouvrage, avec les autorités locales, les représentants des populations présentes dans la zone du projet ainsi que les services techniques compétents, pour les informer de la consistance des travaux à réaliser et leur durée, des itinéraires concernés et les emplacements susceptibles d'être affectés.</w:t>
      </w:r>
    </w:p>
    <w:p w14:paraId="5512994F" w14:textId="77777777" w:rsidR="009021F1" w:rsidRPr="00D579BE" w:rsidRDefault="009021F1" w:rsidP="009021F1">
      <w:pPr>
        <w:rPr>
          <w:b/>
          <w:bCs/>
          <w:color w:val="000000"/>
          <w:szCs w:val="21"/>
        </w:rPr>
      </w:pPr>
    </w:p>
    <w:p w14:paraId="4590598B" w14:textId="77777777" w:rsidR="009021F1" w:rsidRPr="00D579BE" w:rsidRDefault="009021F1" w:rsidP="009021F1">
      <w:pPr>
        <w:rPr>
          <w:b/>
          <w:bCs/>
          <w:color w:val="000000"/>
          <w:szCs w:val="21"/>
        </w:rPr>
      </w:pPr>
      <w:r w:rsidRPr="00D579BE">
        <w:rPr>
          <w:b/>
          <w:bCs/>
          <w:color w:val="000000"/>
          <w:szCs w:val="21"/>
        </w:rPr>
        <w:t>Suivi Environnemental et Social</w:t>
      </w:r>
    </w:p>
    <w:p w14:paraId="4DC80E46" w14:textId="77777777" w:rsidR="009021F1" w:rsidRPr="00D579BE" w:rsidRDefault="009021F1" w:rsidP="009021F1">
      <w:pPr>
        <w:rPr>
          <w:szCs w:val="21"/>
        </w:rPr>
      </w:pPr>
    </w:p>
    <w:p w14:paraId="0ED87909" w14:textId="77777777" w:rsidR="009021F1" w:rsidRPr="00D579BE" w:rsidRDefault="009021F1" w:rsidP="009021F1">
      <w:pPr>
        <w:rPr>
          <w:szCs w:val="21"/>
        </w:rPr>
      </w:pPr>
      <w:r w:rsidRPr="00D579BE">
        <w:rPr>
          <w:szCs w:val="21"/>
        </w:rPr>
        <w:t>L’Entreprise doit :</w:t>
      </w:r>
    </w:p>
    <w:p w14:paraId="21A80D70" w14:textId="77777777" w:rsidR="009021F1" w:rsidRPr="00D579BE" w:rsidRDefault="009021F1" w:rsidP="009021F1">
      <w:pPr>
        <w:rPr>
          <w:szCs w:val="21"/>
        </w:rPr>
      </w:pPr>
    </w:p>
    <w:p w14:paraId="471839E2" w14:textId="77777777" w:rsidR="009021F1" w:rsidRPr="00D579BE" w:rsidRDefault="009021F1" w:rsidP="009021F1">
      <w:pPr>
        <w:pStyle w:val="Paragraphedeliste"/>
        <w:numPr>
          <w:ilvl w:val="0"/>
          <w:numId w:val="56"/>
        </w:numPr>
        <w:rPr>
          <w:szCs w:val="21"/>
        </w:rPr>
      </w:pPr>
      <w:r w:rsidRPr="00D579BE">
        <w:rPr>
          <w:szCs w:val="21"/>
        </w:rPr>
        <w:t>Tenir à jour un journal de chantier, dans lequel seront consignés les réclamations, les manquements ou incidents ayant un impact significatif sur l’environnement ou à un incident avec la population.  Le journal de chantier est unique pour le chantier et les notes doivent être écrites à l’encre ; et</w:t>
      </w:r>
    </w:p>
    <w:p w14:paraId="077175C9" w14:textId="77777777" w:rsidR="009021F1" w:rsidRPr="00D579BE" w:rsidRDefault="009021F1" w:rsidP="009021F1">
      <w:pPr>
        <w:pStyle w:val="Paragraphedeliste"/>
        <w:numPr>
          <w:ilvl w:val="0"/>
          <w:numId w:val="56"/>
        </w:numPr>
        <w:rPr>
          <w:szCs w:val="21"/>
        </w:rPr>
      </w:pPr>
      <w:r w:rsidRPr="00D579BE">
        <w:rPr>
          <w:szCs w:val="21"/>
        </w:rPr>
        <w:t>Informer le public en général, et les populations riveraines en particulier, de l’existence de ce journal, avec indication du lieu où il peut être consulté.</w:t>
      </w:r>
    </w:p>
    <w:p w14:paraId="26C05BF7" w14:textId="77777777" w:rsidR="009021F1" w:rsidRPr="00D579BE" w:rsidRDefault="009021F1" w:rsidP="009021F1">
      <w:pPr>
        <w:rPr>
          <w:szCs w:val="21"/>
        </w:rPr>
      </w:pPr>
    </w:p>
    <w:p w14:paraId="3C94D232" w14:textId="77777777" w:rsidR="009021F1" w:rsidRPr="00D579BE" w:rsidRDefault="009021F1" w:rsidP="009021F1">
      <w:pPr>
        <w:rPr>
          <w:szCs w:val="21"/>
        </w:rPr>
      </w:pPr>
      <w:r w:rsidRPr="00D579BE">
        <w:rPr>
          <w:szCs w:val="21"/>
        </w:rPr>
        <w:t>Assurer le suivi, tenir des registres et rendre compte sur les points suivants :</w:t>
      </w:r>
    </w:p>
    <w:p w14:paraId="34509C3C" w14:textId="77777777" w:rsidR="009021F1" w:rsidRPr="00D579BE" w:rsidRDefault="009021F1" w:rsidP="009021F1">
      <w:pPr>
        <w:rPr>
          <w:szCs w:val="21"/>
        </w:rPr>
      </w:pPr>
    </w:p>
    <w:p w14:paraId="13867BFF" w14:textId="77777777" w:rsidR="009021F1" w:rsidRPr="00D579BE" w:rsidRDefault="009021F1" w:rsidP="009021F1">
      <w:pPr>
        <w:rPr>
          <w:rFonts w:eastAsia="Calibri"/>
          <w:szCs w:val="21"/>
          <w:lang w:eastAsia="en-US"/>
        </w:rPr>
      </w:pPr>
      <w:r w:rsidRPr="00D579BE">
        <w:rPr>
          <w:rFonts w:eastAsia="Calibri"/>
          <w:b/>
          <w:bCs/>
          <w:i/>
          <w:iCs/>
          <w:szCs w:val="21"/>
          <w:lang w:eastAsia="en-US"/>
        </w:rPr>
        <w:t>Disponibilité du personnel clé</w:t>
      </w:r>
      <w:r w:rsidRPr="00D579BE">
        <w:rPr>
          <w:rFonts w:eastAsia="Calibri"/>
          <w:szCs w:val="21"/>
          <w:lang w:eastAsia="en-US"/>
        </w:rPr>
        <w:t>.  Responsable E3S, spécialiste de la gestion environnementale, spécialiste de la gestion sociale, spécialiste santé et sécurité, et responsable des relations avec les communautés.</w:t>
      </w:r>
    </w:p>
    <w:p w14:paraId="294FA314" w14:textId="77777777" w:rsidR="009021F1" w:rsidRPr="00D579BE" w:rsidRDefault="009021F1" w:rsidP="009021F1">
      <w:pPr>
        <w:rPr>
          <w:rFonts w:eastAsia="Calibri"/>
          <w:b/>
          <w:bCs/>
          <w:i/>
          <w:iCs/>
          <w:szCs w:val="21"/>
          <w:lang w:eastAsia="en-US"/>
        </w:rPr>
      </w:pPr>
    </w:p>
    <w:p w14:paraId="6F300E01" w14:textId="77777777" w:rsidR="009021F1" w:rsidRPr="00D579BE" w:rsidRDefault="009021F1" w:rsidP="009021F1">
      <w:pPr>
        <w:rPr>
          <w:rFonts w:eastAsia="Calibri"/>
          <w:szCs w:val="21"/>
          <w:lang w:eastAsia="en-US"/>
        </w:rPr>
      </w:pPr>
      <w:r w:rsidRPr="00D579BE">
        <w:rPr>
          <w:rFonts w:eastAsia="Calibri"/>
          <w:b/>
          <w:bCs/>
          <w:i/>
          <w:iCs/>
          <w:szCs w:val="21"/>
          <w:lang w:eastAsia="en-US"/>
        </w:rPr>
        <w:t xml:space="preserve">Sécurité. </w:t>
      </w:r>
      <w:r w:rsidRPr="00D579BE">
        <w:rPr>
          <w:rFonts w:eastAsia="Calibri"/>
          <w:szCs w:val="21"/>
          <w:lang w:eastAsia="en-US"/>
        </w:rPr>
        <w:t xml:space="preserve"> Heures travaillées, incidents enregistrables, et analyse des causes sous-jacentes</w:t>
      </w:r>
    </w:p>
    <w:p w14:paraId="2196311B" w14:textId="77777777" w:rsidR="009021F1" w:rsidRPr="00D579BE" w:rsidRDefault="009021F1" w:rsidP="009021F1">
      <w:pPr>
        <w:rPr>
          <w:rFonts w:eastAsia="Calibri"/>
          <w:szCs w:val="21"/>
          <w:lang w:eastAsia="en-US"/>
        </w:rPr>
      </w:pPr>
      <w:r w:rsidRPr="00D579BE">
        <w:rPr>
          <w:rFonts w:eastAsia="Calibri"/>
          <w:b/>
          <w:bCs/>
          <w:i/>
          <w:iCs/>
          <w:szCs w:val="21"/>
          <w:lang w:eastAsia="en-US"/>
        </w:rPr>
        <w:t>Incidents environnementaux et quasi-accidents.</w:t>
      </w:r>
      <w:r w:rsidRPr="00D579BE">
        <w:rPr>
          <w:rFonts w:eastAsia="Calibri"/>
          <w:szCs w:val="21"/>
          <w:lang w:eastAsia="en-US"/>
        </w:rPr>
        <w:t xml:space="preserve"> Incidents environnementaux et quasi-accidents à fort potentiel (poussière, érosion, déversements, dégradation de l'habitat), comment ils ont été résolus, ce qui reste à faire, et les leçons tirées.</w:t>
      </w:r>
    </w:p>
    <w:p w14:paraId="19E68C49" w14:textId="77777777" w:rsidR="009021F1" w:rsidRPr="00D579BE" w:rsidRDefault="009021F1" w:rsidP="009021F1">
      <w:pPr>
        <w:rPr>
          <w:rFonts w:eastAsia="Calibri"/>
          <w:b/>
          <w:bCs/>
          <w:i/>
          <w:iCs/>
          <w:szCs w:val="21"/>
          <w:lang w:eastAsia="en-US"/>
        </w:rPr>
      </w:pPr>
    </w:p>
    <w:p w14:paraId="3CA09E31" w14:textId="77777777" w:rsidR="009021F1" w:rsidRPr="00D579BE" w:rsidRDefault="009021F1" w:rsidP="009021F1">
      <w:pPr>
        <w:rPr>
          <w:rFonts w:eastAsia="Calibri"/>
          <w:szCs w:val="21"/>
          <w:lang w:eastAsia="en-US"/>
        </w:rPr>
      </w:pPr>
      <w:r w:rsidRPr="00D579BE">
        <w:rPr>
          <w:rFonts w:eastAsia="Calibri"/>
          <w:b/>
          <w:bCs/>
          <w:i/>
          <w:iCs/>
          <w:szCs w:val="21"/>
          <w:lang w:eastAsia="en-US"/>
        </w:rPr>
        <w:t xml:space="preserve">Accidents de la circulation (véhicules du projet et véhicules hors projet). </w:t>
      </w:r>
      <w:r w:rsidRPr="00D579BE">
        <w:rPr>
          <w:rFonts w:eastAsia="Calibri"/>
          <w:szCs w:val="21"/>
          <w:lang w:eastAsia="en-US"/>
        </w:rPr>
        <w:t xml:space="preserve"> Indiquer la date, le lieu, les dommages, la cause, et le suivi.</w:t>
      </w:r>
    </w:p>
    <w:p w14:paraId="78E19730" w14:textId="77777777" w:rsidR="009021F1" w:rsidRPr="00D579BE" w:rsidRDefault="009021F1" w:rsidP="009021F1">
      <w:pPr>
        <w:rPr>
          <w:rFonts w:eastAsia="Calibri"/>
          <w:b/>
          <w:bCs/>
          <w:i/>
          <w:iCs/>
          <w:szCs w:val="21"/>
          <w:lang w:eastAsia="en-US"/>
        </w:rPr>
      </w:pPr>
    </w:p>
    <w:p w14:paraId="01720108" w14:textId="77777777" w:rsidR="009021F1" w:rsidRPr="00D579BE" w:rsidRDefault="009021F1" w:rsidP="009021F1">
      <w:pPr>
        <w:rPr>
          <w:rFonts w:eastAsia="Calibri"/>
          <w:szCs w:val="21"/>
          <w:lang w:eastAsia="en-US"/>
        </w:rPr>
      </w:pPr>
      <w:r w:rsidRPr="00D579BE">
        <w:rPr>
          <w:rFonts w:eastAsia="Calibri"/>
          <w:b/>
          <w:bCs/>
          <w:i/>
          <w:iCs/>
          <w:szCs w:val="21"/>
          <w:lang w:eastAsia="en-US"/>
        </w:rPr>
        <w:t>Statut des permis et des accords.</w:t>
      </w:r>
      <w:r w:rsidRPr="00D579BE">
        <w:rPr>
          <w:rFonts w:eastAsia="Calibri"/>
          <w:szCs w:val="21"/>
          <w:lang w:eastAsia="en-US"/>
        </w:rPr>
        <w:t xml:space="preserve">  Zones/installations pour lesquelles des permis sont requis, dont les carrières, zones pour lesquelles des accords avec les propriétaires fonciers sont requis (zones d'emprunt et de déversement, campements).</w:t>
      </w:r>
    </w:p>
    <w:p w14:paraId="0D9E354D" w14:textId="77777777" w:rsidR="009021F1" w:rsidRPr="00D579BE" w:rsidRDefault="009021F1" w:rsidP="009021F1">
      <w:pPr>
        <w:rPr>
          <w:rFonts w:eastAsia="Calibri"/>
          <w:b/>
          <w:bCs/>
          <w:i/>
          <w:iCs/>
          <w:szCs w:val="21"/>
          <w:lang w:eastAsia="en-US"/>
        </w:rPr>
      </w:pPr>
    </w:p>
    <w:p w14:paraId="096F7097" w14:textId="77777777" w:rsidR="009021F1" w:rsidRPr="00D579BE" w:rsidRDefault="009021F1" w:rsidP="009021F1">
      <w:pPr>
        <w:rPr>
          <w:rFonts w:eastAsia="Calibri"/>
          <w:szCs w:val="21"/>
          <w:lang w:eastAsia="en-US"/>
        </w:rPr>
      </w:pPr>
      <w:r w:rsidRPr="00D579BE">
        <w:rPr>
          <w:rFonts w:eastAsia="Calibri"/>
          <w:b/>
          <w:bCs/>
          <w:i/>
          <w:iCs/>
          <w:szCs w:val="21"/>
          <w:lang w:eastAsia="en-US"/>
        </w:rPr>
        <w:t>Principaux travaux.</w:t>
      </w:r>
      <w:r w:rsidRPr="00D579BE">
        <w:rPr>
          <w:rFonts w:eastAsia="Calibri"/>
          <w:szCs w:val="21"/>
          <w:lang w:eastAsia="en-US"/>
        </w:rPr>
        <w:t xml:space="preserve">  Ceux qui ont été entrepris et achevés, les progrès réalisés par rapport au calendrier du projet, et les principales zones de travaux.</w:t>
      </w:r>
    </w:p>
    <w:p w14:paraId="133F16E1" w14:textId="77777777" w:rsidR="009021F1" w:rsidRPr="00D579BE" w:rsidRDefault="009021F1" w:rsidP="009021F1">
      <w:pPr>
        <w:rPr>
          <w:rFonts w:eastAsia="Calibri"/>
          <w:b/>
          <w:bCs/>
          <w:i/>
          <w:iCs/>
          <w:szCs w:val="21"/>
          <w:lang w:eastAsia="en-US"/>
        </w:rPr>
      </w:pPr>
    </w:p>
    <w:p w14:paraId="765D728A" w14:textId="77777777" w:rsidR="009021F1" w:rsidRPr="00D579BE" w:rsidRDefault="009021F1" w:rsidP="009021F1">
      <w:pPr>
        <w:rPr>
          <w:rFonts w:eastAsia="Calibri"/>
          <w:szCs w:val="21"/>
          <w:lang w:eastAsia="en-US"/>
        </w:rPr>
      </w:pPr>
      <w:r w:rsidRPr="00D579BE">
        <w:rPr>
          <w:rFonts w:eastAsia="Calibri"/>
          <w:b/>
          <w:bCs/>
          <w:i/>
          <w:iCs/>
          <w:szCs w:val="21"/>
          <w:lang w:eastAsia="en-US"/>
        </w:rPr>
        <w:t>Prescriptions E3S.</w:t>
      </w:r>
      <w:r w:rsidRPr="00D579BE">
        <w:rPr>
          <w:rFonts w:eastAsia="Calibri"/>
          <w:szCs w:val="21"/>
          <w:lang w:eastAsia="en-US"/>
        </w:rPr>
        <w:t xml:space="preserve">  Incidents de non-conformité avec les permis et la législation nationale (non-conformité légale), engagements du projet ou autres prescriptions E3S.</w:t>
      </w:r>
    </w:p>
    <w:p w14:paraId="7A00148C" w14:textId="77777777" w:rsidR="009021F1" w:rsidRPr="00D579BE" w:rsidRDefault="009021F1" w:rsidP="009021F1">
      <w:pPr>
        <w:rPr>
          <w:rFonts w:eastAsia="Calibri"/>
          <w:b/>
          <w:bCs/>
          <w:i/>
          <w:iCs/>
          <w:szCs w:val="21"/>
          <w:lang w:eastAsia="en-US"/>
        </w:rPr>
      </w:pPr>
    </w:p>
    <w:p w14:paraId="7021438E" w14:textId="77777777" w:rsidR="009021F1" w:rsidRPr="00D579BE" w:rsidRDefault="009021F1" w:rsidP="009021F1">
      <w:pPr>
        <w:rPr>
          <w:rFonts w:eastAsia="Calibri"/>
          <w:szCs w:val="21"/>
          <w:lang w:eastAsia="en-US"/>
        </w:rPr>
      </w:pPr>
      <w:r w:rsidRPr="00D579BE">
        <w:rPr>
          <w:rFonts w:eastAsia="Calibri"/>
          <w:b/>
          <w:bCs/>
          <w:i/>
          <w:iCs/>
          <w:szCs w:val="21"/>
          <w:lang w:eastAsia="en-US"/>
        </w:rPr>
        <w:t>Inspections et audits E3S.</w:t>
      </w:r>
      <w:r w:rsidRPr="00D579BE">
        <w:rPr>
          <w:rFonts w:eastAsia="Calibri"/>
          <w:szCs w:val="21"/>
          <w:lang w:eastAsia="en-US"/>
        </w:rPr>
        <w:t xml:space="preserve">  Effectués par l’Entreprise, un ingénieur indépendant, lle Maître d’ouvrage délégué ou autre - avec indication de la date, du nom de l'inspecteur ou de l'auditeur, des sites visités et des dossiers examinés, des principales constatations et des mesures prises.</w:t>
      </w:r>
    </w:p>
    <w:p w14:paraId="472992CD" w14:textId="77777777" w:rsidR="009021F1" w:rsidRPr="00D579BE" w:rsidRDefault="009021F1" w:rsidP="009021F1">
      <w:pPr>
        <w:rPr>
          <w:rFonts w:eastAsia="Calibri"/>
          <w:b/>
          <w:bCs/>
          <w:i/>
          <w:iCs/>
          <w:szCs w:val="21"/>
          <w:lang w:eastAsia="en-US"/>
        </w:rPr>
      </w:pPr>
    </w:p>
    <w:p w14:paraId="20F191D3" w14:textId="77777777" w:rsidR="009021F1" w:rsidRPr="00D579BE" w:rsidRDefault="009021F1" w:rsidP="009021F1">
      <w:pPr>
        <w:rPr>
          <w:rFonts w:eastAsia="Calibri"/>
          <w:szCs w:val="21"/>
          <w:lang w:eastAsia="en-US"/>
        </w:rPr>
      </w:pPr>
      <w:r w:rsidRPr="00D579BE">
        <w:rPr>
          <w:rFonts w:eastAsia="Calibri"/>
          <w:b/>
          <w:bCs/>
          <w:i/>
          <w:iCs/>
          <w:szCs w:val="21"/>
          <w:lang w:eastAsia="en-US"/>
        </w:rPr>
        <w:t>Ouvriers.</w:t>
      </w:r>
      <w:r w:rsidRPr="00D579BE">
        <w:rPr>
          <w:rFonts w:eastAsia="Calibri"/>
          <w:szCs w:val="21"/>
          <w:lang w:eastAsia="en-US"/>
        </w:rPr>
        <w:t xml:space="preserve">  Nombre d’ouvriers, indication de l'origine (expatrié, local, ressortissants non locaux), sexe, âge avec preuve qu'il n'y a pas de travail des enfants, et niveau de compétence (non qualifié, qualifié, supervision, professionnel, gestion).</w:t>
      </w:r>
    </w:p>
    <w:p w14:paraId="6E740CD6" w14:textId="77777777" w:rsidR="009021F1" w:rsidRPr="00D579BE" w:rsidRDefault="009021F1" w:rsidP="009021F1">
      <w:pPr>
        <w:rPr>
          <w:rFonts w:eastAsia="Calibri"/>
          <w:b/>
          <w:bCs/>
          <w:i/>
          <w:iCs/>
          <w:szCs w:val="21"/>
          <w:lang w:eastAsia="en-US"/>
        </w:rPr>
      </w:pPr>
    </w:p>
    <w:p w14:paraId="751D6EFE" w14:textId="77777777" w:rsidR="009021F1" w:rsidRPr="00D579BE" w:rsidRDefault="009021F1" w:rsidP="009021F1">
      <w:pPr>
        <w:rPr>
          <w:rFonts w:eastAsia="Calibri"/>
          <w:szCs w:val="21"/>
          <w:lang w:eastAsia="en-US"/>
        </w:rPr>
      </w:pPr>
      <w:r w:rsidRPr="00D579BE">
        <w:rPr>
          <w:rFonts w:eastAsia="Calibri"/>
          <w:b/>
          <w:bCs/>
          <w:i/>
          <w:iCs/>
          <w:szCs w:val="21"/>
          <w:lang w:eastAsia="en-US"/>
        </w:rPr>
        <w:t>Logements.</w:t>
      </w:r>
      <w:r w:rsidRPr="00D579BE">
        <w:rPr>
          <w:rFonts w:eastAsia="Calibri"/>
          <w:szCs w:val="21"/>
          <w:lang w:eastAsia="en-US"/>
        </w:rPr>
        <w:t xml:space="preserve">  État de la conformité des logements et campements avec la législation et les bonnes pratiques nationales et locales ; mesures prises pour recommander/exiger l'amélioration des conditions, ou pour améliorer les conditions.</w:t>
      </w:r>
    </w:p>
    <w:p w14:paraId="0537ECDB" w14:textId="77777777" w:rsidR="009021F1" w:rsidRPr="00D579BE" w:rsidRDefault="009021F1" w:rsidP="009021F1">
      <w:pPr>
        <w:rPr>
          <w:rFonts w:eastAsia="Calibri"/>
          <w:b/>
          <w:bCs/>
          <w:i/>
          <w:iCs/>
          <w:szCs w:val="21"/>
          <w:lang w:eastAsia="en-US"/>
        </w:rPr>
      </w:pPr>
    </w:p>
    <w:p w14:paraId="4D86344C" w14:textId="77777777" w:rsidR="009021F1" w:rsidRPr="00D579BE" w:rsidRDefault="009021F1" w:rsidP="009021F1">
      <w:pPr>
        <w:rPr>
          <w:rFonts w:eastAsia="Calibri"/>
          <w:szCs w:val="21"/>
          <w:lang w:eastAsia="en-US"/>
        </w:rPr>
      </w:pPr>
      <w:r w:rsidRPr="00D579BE">
        <w:rPr>
          <w:rFonts w:eastAsia="Calibri"/>
          <w:b/>
          <w:bCs/>
          <w:i/>
          <w:iCs/>
          <w:szCs w:val="21"/>
          <w:lang w:eastAsia="en-US"/>
        </w:rPr>
        <w:t>Formation E3S.</w:t>
      </w:r>
      <w:r w:rsidRPr="00D579BE">
        <w:rPr>
          <w:rFonts w:eastAsia="Calibri"/>
          <w:szCs w:val="21"/>
          <w:lang w:eastAsia="en-US"/>
        </w:rPr>
        <w:t xml:space="preserve">  Y compris abus et exploitation sexuels : dates, nombre de stagiaires et thèmes.</w:t>
      </w:r>
    </w:p>
    <w:p w14:paraId="30911DEE" w14:textId="77777777" w:rsidR="009021F1" w:rsidRPr="00D579BE" w:rsidRDefault="009021F1" w:rsidP="009021F1">
      <w:pPr>
        <w:rPr>
          <w:rFonts w:eastAsia="Calibri"/>
          <w:b/>
          <w:bCs/>
          <w:i/>
          <w:iCs/>
          <w:szCs w:val="21"/>
          <w:lang w:eastAsia="en-US"/>
        </w:rPr>
      </w:pPr>
    </w:p>
    <w:p w14:paraId="4A35F087" w14:textId="77777777" w:rsidR="009021F1" w:rsidRPr="00D579BE" w:rsidRDefault="009021F1" w:rsidP="009021F1">
      <w:pPr>
        <w:rPr>
          <w:rFonts w:eastAsia="Calibri"/>
          <w:szCs w:val="21"/>
          <w:lang w:eastAsia="en-US"/>
        </w:rPr>
      </w:pPr>
      <w:r w:rsidRPr="00D579BE">
        <w:rPr>
          <w:rFonts w:eastAsia="Calibri"/>
          <w:b/>
          <w:bCs/>
          <w:i/>
          <w:iCs/>
          <w:szCs w:val="21"/>
          <w:lang w:eastAsia="en-US"/>
        </w:rPr>
        <w:t>Gestion de l'emprise.</w:t>
      </w:r>
      <w:r w:rsidRPr="00D579BE">
        <w:rPr>
          <w:rFonts w:eastAsia="Calibri"/>
          <w:szCs w:val="21"/>
          <w:lang w:eastAsia="en-US"/>
        </w:rPr>
        <w:t xml:space="preserve">  Détails de tous travaux effectués en dehors des limites du site ou des impacts majeurs hors site causés par la construction en cours - y compris la date, le lieu, les impacts et les activités entreprises.</w:t>
      </w:r>
    </w:p>
    <w:p w14:paraId="1259464F" w14:textId="77777777" w:rsidR="009021F1" w:rsidRPr="00D579BE" w:rsidRDefault="009021F1" w:rsidP="009021F1">
      <w:pPr>
        <w:rPr>
          <w:rFonts w:eastAsia="Calibri"/>
          <w:b/>
          <w:bCs/>
          <w:i/>
          <w:iCs/>
          <w:szCs w:val="21"/>
          <w:lang w:eastAsia="en-US"/>
        </w:rPr>
      </w:pPr>
    </w:p>
    <w:p w14:paraId="05EB0152" w14:textId="77777777" w:rsidR="009021F1" w:rsidRPr="00D579BE" w:rsidRDefault="009021F1" w:rsidP="009021F1">
      <w:pPr>
        <w:rPr>
          <w:rFonts w:eastAsia="Calibri"/>
          <w:szCs w:val="21"/>
          <w:lang w:eastAsia="en-US"/>
        </w:rPr>
      </w:pPr>
      <w:r w:rsidRPr="00D579BE">
        <w:rPr>
          <w:rFonts w:eastAsia="Calibri"/>
          <w:b/>
          <w:bCs/>
          <w:i/>
          <w:iCs/>
          <w:szCs w:val="21"/>
          <w:lang w:eastAsia="en-US"/>
        </w:rPr>
        <w:t>Engagement des parties prenantes externes.</w:t>
      </w:r>
      <w:r w:rsidRPr="00D579BE">
        <w:rPr>
          <w:rFonts w:eastAsia="Calibri"/>
          <w:szCs w:val="21"/>
          <w:lang w:eastAsia="en-US"/>
        </w:rPr>
        <w:t xml:space="preserve">  Faits marquants, y compris les réunions formelles et informelles, ainsi que la divulgation et la diffusion des informations, y compris une ventilation des femmes et des hommes consultés.</w:t>
      </w:r>
    </w:p>
    <w:p w14:paraId="239E583E" w14:textId="77777777" w:rsidR="009021F1" w:rsidRPr="00D579BE" w:rsidRDefault="009021F1" w:rsidP="009021F1">
      <w:pPr>
        <w:rPr>
          <w:rFonts w:eastAsia="Calibri"/>
          <w:b/>
          <w:bCs/>
          <w:i/>
          <w:iCs/>
          <w:szCs w:val="21"/>
          <w:lang w:eastAsia="en-US"/>
        </w:rPr>
      </w:pPr>
    </w:p>
    <w:p w14:paraId="0CAC17DF" w14:textId="77777777" w:rsidR="009021F1" w:rsidRPr="00D579BE" w:rsidRDefault="009021F1" w:rsidP="009021F1">
      <w:pPr>
        <w:rPr>
          <w:rFonts w:eastAsia="Calibri"/>
          <w:szCs w:val="21"/>
          <w:lang w:eastAsia="en-US"/>
        </w:rPr>
      </w:pPr>
      <w:r w:rsidRPr="00D579BE">
        <w:rPr>
          <w:rFonts w:eastAsia="Calibri"/>
          <w:b/>
          <w:bCs/>
          <w:i/>
          <w:iCs/>
          <w:szCs w:val="21"/>
          <w:lang w:eastAsia="en-US"/>
        </w:rPr>
        <w:t>Griefs des parties prenantes externes.</w:t>
      </w:r>
      <w:r w:rsidRPr="00D579BE">
        <w:rPr>
          <w:rFonts w:eastAsia="Calibri"/>
          <w:szCs w:val="21"/>
          <w:lang w:eastAsia="en-US"/>
        </w:rPr>
        <w:t xml:space="preserve">  Grief et date de soumission, action(s) prise(s) et date(s), résolution (le cas échéant) et date, et suivi à prendre - les griefs énumérés doivent inclure ceux reçus depuis le rapport précédent et ceux qui n'étaient pas résolus au moment de ce rapport.  Les données relatives aux griefs doivent être ventilées par sexe.</w:t>
      </w:r>
    </w:p>
    <w:p w14:paraId="411C7538" w14:textId="77777777" w:rsidR="009021F1" w:rsidRPr="00D579BE" w:rsidRDefault="009021F1" w:rsidP="009021F1">
      <w:pPr>
        <w:rPr>
          <w:rFonts w:eastAsia="Calibri"/>
          <w:b/>
          <w:bCs/>
          <w:i/>
          <w:iCs/>
          <w:szCs w:val="21"/>
          <w:lang w:eastAsia="en-US"/>
        </w:rPr>
      </w:pPr>
    </w:p>
    <w:p w14:paraId="7BC9A973" w14:textId="77777777" w:rsidR="009021F1" w:rsidRPr="00D579BE" w:rsidRDefault="009021F1" w:rsidP="009021F1">
      <w:pPr>
        <w:rPr>
          <w:rFonts w:eastAsia="Calibri"/>
          <w:szCs w:val="21"/>
          <w:lang w:eastAsia="en-US"/>
        </w:rPr>
      </w:pPr>
      <w:r w:rsidRPr="00D579BE">
        <w:rPr>
          <w:rFonts w:eastAsia="Calibri"/>
          <w:b/>
          <w:bCs/>
          <w:i/>
          <w:iCs/>
          <w:szCs w:val="21"/>
          <w:lang w:eastAsia="en-US"/>
        </w:rPr>
        <w:t>Risques de sécurité.</w:t>
      </w:r>
      <w:r w:rsidRPr="00D579BE">
        <w:rPr>
          <w:rFonts w:eastAsia="Calibri"/>
          <w:szCs w:val="21"/>
          <w:lang w:eastAsia="en-US"/>
        </w:rPr>
        <w:t xml:space="preserve">  Détails des risques auxquels les ouvriers peuvent être exposés pendant l'exécution de leur travail - les menaces peuvent provenir de tiers extérieurs au projet.</w:t>
      </w:r>
    </w:p>
    <w:p w14:paraId="0276A541" w14:textId="77777777" w:rsidR="009021F1" w:rsidRPr="00D579BE" w:rsidRDefault="009021F1" w:rsidP="009021F1">
      <w:pPr>
        <w:rPr>
          <w:rFonts w:eastAsia="Calibri"/>
          <w:b/>
          <w:bCs/>
          <w:i/>
          <w:iCs/>
          <w:szCs w:val="21"/>
          <w:lang w:eastAsia="en-US"/>
        </w:rPr>
      </w:pPr>
    </w:p>
    <w:p w14:paraId="1CAE677D" w14:textId="77777777" w:rsidR="009021F1" w:rsidRPr="00D579BE" w:rsidRDefault="009021F1" w:rsidP="009021F1">
      <w:pPr>
        <w:rPr>
          <w:rFonts w:eastAsia="Calibri"/>
          <w:szCs w:val="21"/>
          <w:lang w:eastAsia="en-US"/>
        </w:rPr>
      </w:pPr>
      <w:r w:rsidRPr="00D579BE">
        <w:rPr>
          <w:rFonts w:eastAsia="Calibri"/>
          <w:b/>
          <w:bCs/>
          <w:i/>
          <w:iCs/>
          <w:szCs w:val="21"/>
          <w:lang w:eastAsia="en-US"/>
        </w:rPr>
        <w:t>Réclamations des ouvriers et employés.</w:t>
      </w:r>
      <w:r w:rsidRPr="00D579BE">
        <w:rPr>
          <w:rFonts w:eastAsia="Calibri"/>
          <w:szCs w:val="21"/>
          <w:lang w:eastAsia="en-US"/>
        </w:rPr>
        <w:t xml:space="preserve">  Détails, y compris la date de l'incident, la réclamation et la date à laquelle elle a été soumise ; les mesures prises et les dates ; la résolution (le cas échéant) et la date ; et le suivi qui reste à faire - les réclamations doivent inclure celles reçues depuis le rapport précédent et celles qui n'étaient pas résolues au moment du nouveau rapport.</w:t>
      </w:r>
    </w:p>
    <w:p w14:paraId="69C4D4B7" w14:textId="77777777" w:rsidR="009021F1" w:rsidRPr="00D579BE" w:rsidRDefault="009021F1" w:rsidP="009021F1">
      <w:pPr>
        <w:rPr>
          <w:rFonts w:eastAsia="Calibri"/>
          <w:b/>
          <w:bCs/>
          <w:i/>
          <w:iCs/>
          <w:szCs w:val="21"/>
          <w:lang w:eastAsia="en-US"/>
        </w:rPr>
      </w:pPr>
    </w:p>
    <w:p w14:paraId="3F216B10" w14:textId="77777777" w:rsidR="009021F1" w:rsidRPr="00D579BE" w:rsidRDefault="009021F1" w:rsidP="009021F1">
      <w:pPr>
        <w:rPr>
          <w:rFonts w:eastAsia="Calibri"/>
          <w:b/>
          <w:bCs/>
          <w:i/>
          <w:iCs/>
          <w:szCs w:val="21"/>
          <w:lang w:eastAsia="en-US"/>
        </w:rPr>
      </w:pPr>
      <w:r w:rsidRPr="00D579BE">
        <w:rPr>
          <w:rFonts w:eastAsia="Calibri"/>
          <w:b/>
          <w:bCs/>
          <w:i/>
          <w:iCs/>
          <w:szCs w:val="21"/>
          <w:lang w:eastAsia="en-US"/>
        </w:rPr>
        <w:t>Changements majeurs apportés aux pratiques environnementales et sociales de l’Entreprise.</w:t>
      </w:r>
    </w:p>
    <w:p w14:paraId="001524F3" w14:textId="77777777" w:rsidR="009021F1" w:rsidRPr="00D579BE" w:rsidRDefault="009021F1" w:rsidP="009021F1">
      <w:pPr>
        <w:rPr>
          <w:rFonts w:eastAsia="Calibri"/>
          <w:b/>
          <w:bCs/>
          <w:i/>
          <w:iCs/>
          <w:szCs w:val="21"/>
          <w:lang w:eastAsia="en-US"/>
        </w:rPr>
      </w:pPr>
    </w:p>
    <w:p w14:paraId="4637337A" w14:textId="77777777" w:rsidR="009021F1" w:rsidRPr="00D579BE" w:rsidRDefault="009021F1" w:rsidP="009021F1">
      <w:pPr>
        <w:rPr>
          <w:rFonts w:eastAsia="Calibri"/>
          <w:szCs w:val="21"/>
          <w:lang w:eastAsia="en-US"/>
        </w:rPr>
      </w:pPr>
      <w:r w:rsidRPr="00D579BE">
        <w:rPr>
          <w:rFonts w:eastAsia="Calibri"/>
          <w:b/>
          <w:bCs/>
          <w:i/>
          <w:iCs/>
          <w:szCs w:val="21"/>
          <w:lang w:eastAsia="en-US"/>
        </w:rPr>
        <w:t>Gestion des insuffisances et de la performance E3S.</w:t>
      </w:r>
      <w:r w:rsidRPr="00D579BE">
        <w:rPr>
          <w:rFonts w:eastAsia="Calibri"/>
          <w:szCs w:val="21"/>
          <w:lang w:eastAsia="en-US"/>
        </w:rPr>
        <w:t xml:space="preserve">  Les mesures prises en réponse à des avis d'insuffisance ou à des observations antérieures concernant les performances en matière d'E3S et/ou les plans d'actions à prendre.  Ces mesures ou plans doivent continuer à être signalés au Maître d’ouvrage délégué jusqu'à ce que celle-ci détermine que le problème est résolu de manière satisfaisante.</w:t>
      </w:r>
    </w:p>
    <w:p w14:paraId="4EBEA7D0" w14:textId="77777777" w:rsidR="009021F1" w:rsidRPr="00D579BE" w:rsidRDefault="009021F1" w:rsidP="009021F1">
      <w:pPr>
        <w:rPr>
          <w:rFonts w:eastAsia="Calibri"/>
          <w:b/>
          <w:bCs/>
          <w:i/>
          <w:iCs/>
          <w:szCs w:val="21"/>
          <w:lang w:eastAsia="en-US"/>
        </w:rPr>
      </w:pPr>
    </w:p>
    <w:p w14:paraId="0338AB89" w14:textId="77777777" w:rsidR="009021F1" w:rsidRPr="00D579BE" w:rsidRDefault="009021F1" w:rsidP="009021F1">
      <w:pPr>
        <w:rPr>
          <w:b/>
          <w:szCs w:val="21"/>
        </w:rPr>
      </w:pPr>
      <w:r w:rsidRPr="00D579BE">
        <w:rPr>
          <w:b/>
          <w:szCs w:val="21"/>
        </w:rPr>
        <w:t xml:space="preserve">Clauses environnementales et sociales liées à la phase d’exploitation et entretien des ouvrages </w:t>
      </w:r>
    </w:p>
    <w:p w14:paraId="3019597F" w14:textId="77777777" w:rsidR="009021F1" w:rsidRPr="00D579BE" w:rsidRDefault="009021F1" w:rsidP="009021F1">
      <w:pPr>
        <w:rPr>
          <w:b/>
          <w:szCs w:val="21"/>
        </w:rPr>
      </w:pPr>
    </w:p>
    <w:p w14:paraId="578B35DA" w14:textId="77777777" w:rsidR="009021F1" w:rsidRPr="00D579BE" w:rsidRDefault="009021F1" w:rsidP="009021F1">
      <w:pPr>
        <w:rPr>
          <w:szCs w:val="21"/>
        </w:rPr>
      </w:pPr>
      <w:r w:rsidRPr="00D579BE">
        <w:rPr>
          <w:szCs w:val="21"/>
        </w:rPr>
        <w:t>L’entretien et l’exploitation des différents sous-projets seront assurés par les entités bénéficiaires à savoir le service technique sectoriel (OVDA pour les routes de desserte agricole, RVF pour les voies navigables, l’administration locale pour les marchés et dépôt agricoles). Pour assurer une bonne gestion environnementale et sociale durant cette phase les entités adopteront les dispositions suivantes :</w:t>
      </w:r>
    </w:p>
    <w:p w14:paraId="129DDF70" w14:textId="77777777" w:rsidR="009021F1" w:rsidRPr="00D579BE" w:rsidRDefault="009021F1" w:rsidP="009021F1">
      <w:pPr>
        <w:rPr>
          <w:szCs w:val="21"/>
        </w:rPr>
      </w:pPr>
      <w:r w:rsidRPr="00D579BE">
        <w:rPr>
          <w:szCs w:val="21"/>
        </w:rPr>
        <w:t xml:space="preserve"> </w:t>
      </w:r>
    </w:p>
    <w:p w14:paraId="4D918D19" w14:textId="77777777" w:rsidR="009021F1" w:rsidRPr="00D579BE" w:rsidRDefault="009021F1" w:rsidP="009021F1">
      <w:pPr>
        <w:rPr>
          <w:b/>
          <w:szCs w:val="21"/>
        </w:rPr>
      </w:pPr>
      <w:r w:rsidRPr="00D579BE">
        <w:rPr>
          <w:b/>
          <w:szCs w:val="21"/>
        </w:rPr>
        <w:t xml:space="preserve">Dispositions particulières pour la phase d’exploitation </w:t>
      </w:r>
    </w:p>
    <w:p w14:paraId="63DEE7E0" w14:textId="77777777" w:rsidR="009021F1" w:rsidRPr="00D579BE" w:rsidRDefault="009021F1" w:rsidP="009021F1">
      <w:pPr>
        <w:rPr>
          <w:b/>
          <w:szCs w:val="21"/>
        </w:rPr>
      </w:pPr>
    </w:p>
    <w:p w14:paraId="79725683" w14:textId="77777777" w:rsidR="009021F1" w:rsidRPr="00D579BE" w:rsidRDefault="009021F1" w:rsidP="009021F1">
      <w:pPr>
        <w:rPr>
          <w:szCs w:val="21"/>
        </w:rPr>
      </w:pPr>
      <w:r w:rsidRPr="00D579BE">
        <w:rPr>
          <w:szCs w:val="21"/>
        </w:rPr>
        <w:t>Les prescriptions environnementales et sociales ci-dessous reprennent les principales dispositions destinées à limiter les impacts environnementaux et sociaux pendant la phase d’exploitation</w:t>
      </w:r>
    </w:p>
    <w:p w14:paraId="326DCD23" w14:textId="77777777" w:rsidR="009021F1" w:rsidRDefault="009021F1" w:rsidP="009021F1">
      <w:pPr>
        <w:rPr>
          <w:szCs w:val="21"/>
        </w:rPr>
      </w:pPr>
    </w:p>
    <w:p w14:paraId="396380C5" w14:textId="77777777" w:rsidR="009021F1" w:rsidRDefault="009021F1" w:rsidP="009021F1">
      <w:pPr>
        <w:rPr>
          <w:szCs w:val="21"/>
        </w:rPr>
      </w:pPr>
    </w:p>
    <w:p w14:paraId="394FE33A" w14:textId="77777777" w:rsidR="009021F1" w:rsidRPr="00D579BE" w:rsidRDefault="009021F1" w:rsidP="009021F1">
      <w:pPr>
        <w:rPr>
          <w:szCs w:val="21"/>
        </w:rPr>
      </w:pPr>
    </w:p>
    <w:p w14:paraId="48CD03DB" w14:textId="77777777" w:rsidR="009021F1" w:rsidRPr="00D579BE" w:rsidRDefault="009021F1" w:rsidP="009021F1">
      <w:pPr>
        <w:rPr>
          <w:b/>
          <w:color w:val="323E4F"/>
          <w:szCs w:val="21"/>
          <w:lang w:eastAsia="en-US"/>
        </w:rPr>
      </w:pPr>
      <w:r w:rsidRPr="00D579BE">
        <w:rPr>
          <w:b/>
          <w:szCs w:val="21"/>
        </w:rPr>
        <w:t xml:space="preserve">Responsable Hygiène, Santé, Sécurité et Environnement </w:t>
      </w:r>
    </w:p>
    <w:p w14:paraId="7C19D5F3" w14:textId="77777777" w:rsidR="009021F1" w:rsidRPr="00D579BE" w:rsidRDefault="009021F1" w:rsidP="009021F1">
      <w:pPr>
        <w:rPr>
          <w:szCs w:val="21"/>
        </w:rPr>
      </w:pPr>
    </w:p>
    <w:p w14:paraId="0631D2FA" w14:textId="77777777" w:rsidR="009021F1" w:rsidRPr="00D579BE" w:rsidRDefault="009021F1" w:rsidP="009021F1">
      <w:pPr>
        <w:rPr>
          <w:szCs w:val="21"/>
        </w:rPr>
      </w:pPr>
      <w:r w:rsidRPr="00D579BE">
        <w:rPr>
          <w:szCs w:val="21"/>
        </w:rPr>
        <w:t>Chaque Entité bénéficiaire d’un sous projet doit désigner parmi son personnel un responsable Hygiene ,Santé, Sécurité et Environnement (RHSSE) qui fera le suivi des prescriptions environnementales, sociales, sanitaires, et sécuritaires  sur le site du sous-projet tant pour ses employés ainsi que pour la population riveraine.</w:t>
      </w:r>
    </w:p>
    <w:p w14:paraId="40777280" w14:textId="77777777" w:rsidR="009021F1" w:rsidRPr="00D579BE" w:rsidRDefault="009021F1" w:rsidP="009021F1">
      <w:pPr>
        <w:rPr>
          <w:szCs w:val="21"/>
        </w:rPr>
      </w:pPr>
    </w:p>
    <w:p w14:paraId="41705C63" w14:textId="77777777" w:rsidR="009021F1" w:rsidRPr="00D579BE" w:rsidRDefault="009021F1" w:rsidP="009021F1">
      <w:pPr>
        <w:rPr>
          <w:b/>
          <w:szCs w:val="21"/>
        </w:rPr>
      </w:pPr>
      <w:r w:rsidRPr="00D579BE">
        <w:rPr>
          <w:b/>
          <w:szCs w:val="21"/>
        </w:rPr>
        <w:t xml:space="preserve">Dispositions pour la gestion des déchets </w:t>
      </w:r>
    </w:p>
    <w:p w14:paraId="0E950B2C" w14:textId="77777777" w:rsidR="009021F1" w:rsidRPr="00D579BE" w:rsidRDefault="009021F1" w:rsidP="009021F1">
      <w:pPr>
        <w:rPr>
          <w:b/>
          <w:szCs w:val="21"/>
        </w:rPr>
      </w:pPr>
    </w:p>
    <w:p w14:paraId="06DA5C39" w14:textId="77777777" w:rsidR="009021F1" w:rsidRPr="00D579BE" w:rsidRDefault="009021F1" w:rsidP="009021F1">
      <w:pPr>
        <w:rPr>
          <w:szCs w:val="21"/>
        </w:rPr>
      </w:pPr>
      <w:r w:rsidRPr="00D579BE">
        <w:rPr>
          <w:szCs w:val="21"/>
        </w:rPr>
        <w:t xml:space="preserve">Chaque Entité bénéficiaire va assurer la gestion des déchets liés à l’exploitation et l’entretien des infrastructures du sous-projet. Il devra assurer la collecte et l’évacuation des déchets vers les sites autorisés pendant la phase d’exploitation. </w:t>
      </w:r>
    </w:p>
    <w:p w14:paraId="0210A3E5" w14:textId="77777777" w:rsidR="009021F1" w:rsidRPr="00D579BE" w:rsidRDefault="009021F1" w:rsidP="009021F1">
      <w:pPr>
        <w:rPr>
          <w:rFonts w:eastAsia="Calibri"/>
          <w:szCs w:val="21"/>
          <w:lang w:eastAsia="en-US"/>
        </w:rPr>
      </w:pPr>
    </w:p>
    <w:p w14:paraId="536C299C" w14:textId="77777777" w:rsidR="009021F1" w:rsidRPr="00D579BE" w:rsidRDefault="009021F1" w:rsidP="009021F1">
      <w:pPr>
        <w:rPr>
          <w:b/>
          <w:szCs w:val="21"/>
        </w:rPr>
      </w:pPr>
      <w:r w:rsidRPr="00D579BE">
        <w:rPr>
          <w:b/>
          <w:szCs w:val="21"/>
        </w:rPr>
        <w:t xml:space="preserve">Entretien des ouvrages d’assainissement, la lutte contre l’érosion et l’ensablement </w:t>
      </w:r>
    </w:p>
    <w:p w14:paraId="77851FF6" w14:textId="77777777" w:rsidR="009021F1" w:rsidRPr="00D579BE" w:rsidRDefault="009021F1" w:rsidP="009021F1">
      <w:pPr>
        <w:rPr>
          <w:szCs w:val="21"/>
        </w:rPr>
      </w:pPr>
    </w:p>
    <w:p w14:paraId="49280C7D" w14:textId="77777777" w:rsidR="009021F1" w:rsidRPr="00D579BE" w:rsidRDefault="009021F1" w:rsidP="009021F1">
      <w:pPr>
        <w:rPr>
          <w:szCs w:val="21"/>
        </w:rPr>
      </w:pPr>
      <w:r w:rsidRPr="00D579BE">
        <w:rPr>
          <w:szCs w:val="21"/>
        </w:rPr>
        <w:t xml:space="preserve">L’Entité bénéficiaire va périodiquement procéder au curage des ouvrages d’assainissement se trouvant sur le site du sous-projet pour limiter les érosions, les inondations et l’ensablement. Les travaux d’entretien concernent également le curage des cours d’eau servant d’exutoire, </w:t>
      </w:r>
    </w:p>
    <w:p w14:paraId="2073F573" w14:textId="77777777" w:rsidR="009021F1" w:rsidRPr="00D579BE" w:rsidRDefault="009021F1" w:rsidP="009021F1">
      <w:pPr>
        <w:rPr>
          <w:szCs w:val="21"/>
        </w:rPr>
      </w:pPr>
    </w:p>
    <w:p w14:paraId="1B9BEEAF" w14:textId="77777777" w:rsidR="009021F1" w:rsidRPr="00D579BE" w:rsidRDefault="009021F1" w:rsidP="009021F1">
      <w:pPr>
        <w:rPr>
          <w:b/>
          <w:szCs w:val="21"/>
        </w:rPr>
      </w:pPr>
      <w:r w:rsidRPr="00D579BE">
        <w:rPr>
          <w:b/>
          <w:szCs w:val="21"/>
        </w:rPr>
        <w:t>Gestion de la Main-D'œuvre et Conditions de Travail</w:t>
      </w:r>
    </w:p>
    <w:p w14:paraId="48206200" w14:textId="77777777" w:rsidR="009021F1" w:rsidRPr="00D579BE" w:rsidRDefault="009021F1" w:rsidP="009021F1">
      <w:pPr>
        <w:rPr>
          <w:szCs w:val="21"/>
          <w:lang w:bidi="fr-FR"/>
        </w:rPr>
      </w:pPr>
    </w:p>
    <w:p w14:paraId="1D5C7D35" w14:textId="77777777" w:rsidR="009021F1" w:rsidRPr="00D579BE" w:rsidRDefault="009021F1" w:rsidP="009021F1">
      <w:pPr>
        <w:rPr>
          <w:szCs w:val="21"/>
          <w:lang w:bidi="fr-FR"/>
        </w:rPr>
      </w:pPr>
      <w:r w:rsidRPr="00D579BE">
        <w:rPr>
          <w:szCs w:val="21"/>
          <w:lang w:bidi="fr-FR"/>
        </w:rPr>
        <w:t xml:space="preserve">L’Entité bénéficiaire devra respecter le Code du Travail de la RDC et S’assurer que les conditions de travail de ses employés respectent les lois et règlements nationaux en vigueur, </w:t>
      </w:r>
    </w:p>
    <w:p w14:paraId="003C209E" w14:textId="77777777" w:rsidR="009021F1" w:rsidRPr="00D579BE" w:rsidRDefault="009021F1" w:rsidP="009021F1">
      <w:pPr>
        <w:rPr>
          <w:szCs w:val="21"/>
          <w:lang w:bidi="fr-FR"/>
        </w:rPr>
      </w:pPr>
    </w:p>
    <w:p w14:paraId="1DBBF005" w14:textId="77777777" w:rsidR="009021F1" w:rsidRPr="00D579BE" w:rsidRDefault="009021F1" w:rsidP="009021F1">
      <w:pPr>
        <w:rPr>
          <w:szCs w:val="21"/>
          <w:lang w:bidi="fr-FR"/>
        </w:rPr>
      </w:pPr>
      <w:r w:rsidRPr="00D579BE">
        <w:rPr>
          <w:szCs w:val="21"/>
          <w:lang w:bidi="fr-FR"/>
        </w:rPr>
        <w:t>Il doit:</w:t>
      </w:r>
    </w:p>
    <w:p w14:paraId="4DF3A025" w14:textId="77777777" w:rsidR="009021F1" w:rsidRPr="00D579BE" w:rsidRDefault="009021F1" w:rsidP="009021F1">
      <w:pPr>
        <w:pStyle w:val="Paragraphedeliste"/>
        <w:numPr>
          <w:ilvl w:val="0"/>
          <w:numId w:val="56"/>
        </w:numPr>
        <w:rPr>
          <w:szCs w:val="21"/>
        </w:rPr>
      </w:pPr>
      <w:r w:rsidRPr="00D579BE">
        <w:rPr>
          <w:szCs w:val="21"/>
        </w:rPr>
        <w:t>Éviter strictement d’employer directement ou indirectement des enfants et les mineurs pendant l’exploitation des infrastructures ;</w:t>
      </w:r>
    </w:p>
    <w:p w14:paraId="165399BD" w14:textId="77777777" w:rsidR="009021F1" w:rsidRPr="00D579BE" w:rsidRDefault="009021F1" w:rsidP="009021F1">
      <w:pPr>
        <w:pStyle w:val="Paragraphedeliste"/>
        <w:numPr>
          <w:ilvl w:val="0"/>
          <w:numId w:val="56"/>
        </w:numPr>
        <w:rPr>
          <w:szCs w:val="21"/>
        </w:rPr>
      </w:pPr>
      <w:r w:rsidRPr="00D579BE">
        <w:rPr>
          <w:szCs w:val="21"/>
        </w:rPr>
        <w:t>Interdire à son personnel la consommation  des stupéfiants et des boissons alcoolisées pendant les heures de travail ;</w:t>
      </w:r>
    </w:p>
    <w:p w14:paraId="203DA986" w14:textId="77777777" w:rsidR="009021F1" w:rsidRPr="00D579BE" w:rsidRDefault="009021F1" w:rsidP="009021F1">
      <w:pPr>
        <w:pStyle w:val="Paragraphedeliste"/>
        <w:numPr>
          <w:ilvl w:val="0"/>
          <w:numId w:val="56"/>
        </w:numPr>
        <w:rPr>
          <w:szCs w:val="21"/>
        </w:rPr>
      </w:pPr>
      <w:r w:rsidRPr="00D579BE">
        <w:rPr>
          <w:szCs w:val="21"/>
        </w:rPr>
        <w:t>Veiller à l'égalité des sexes pendant le recrutement de personnel et faciliter l’emploi des femmes.</w:t>
      </w:r>
    </w:p>
    <w:p w14:paraId="789D468E" w14:textId="77777777" w:rsidR="009021F1" w:rsidRPr="00D579BE" w:rsidRDefault="009021F1" w:rsidP="009021F1">
      <w:pPr>
        <w:rPr>
          <w:b/>
          <w:szCs w:val="21"/>
        </w:rPr>
      </w:pPr>
    </w:p>
    <w:p w14:paraId="44A89D5D" w14:textId="77777777" w:rsidR="009021F1" w:rsidRPr="00D579BE" w:rsidRDefault="009021F1" w:rsidP="009021F1">
      <w:pPr>
        <w:rPr>
          <w:b/>
          <w:szCs w:val="21"/>
        </w:rPr>
      </w:pPr>
      <w:r w:rsidRPr="00D579BE">
        <w:rPr>
          <w:b/>
          <w:szCs w:val="21"/>
        </w:rPr>
        <w:t>COVID-19</w:t>
      </w:r>
    </w:p>
    <w:p w14:paraId="13A9C24B" w14:textId="77777777" w:rsidR="009021F1" w:rsidRPr="00D579BE" w:rsidRDefault="009021F1" w:rsidP="009021F1">
      <w:pPr>
        <w:rPr>
          <w:szCs w:val="21"/>
        </w:rPr>
      </w:pPr>
    </w:p>
    <w:p w14:paraId="728F71FD" w14:textId="77777777" w:rsidR="009021F1" w:rsidRPr="00D579BE" w:rsidRDefault="009021F1" w:rsidP="009021F1">
      <w:pPr>
        <w:rPr>
          <w:szCs w:val="21"/>
        </w:rPr>
      </w:pPr>
      <w:r w:rsidRPr="00D579BE">
        <w:rPr>
          <w:szCs w:val="21"/>
        </w:rPr>
        <w:t>Dans le contexte de la pandémie COVID-19, l’Entité bénéficiaire devra élaborer et mettre en œuvre des mesures visant à prévenir ou à réduire au minimum la pandémie, et indiquant ce qu'il convient de faire si un travailleur tombe malade :</w:t>
      </w:r>
    </w:p>
    <w:p w14:paraId="0414E057" w14:textId="77777777" w:rsidR="009021F1" w:rsidRPr="00D579BE" w:rsidRDefault="009021F1" w:rsidP="009021F1">
      <w:pPr>
        <w:rPr>
          <w:szCs w:val="21"/>
        </w:rPr>
      </w:pPr>
      <w:r w:rsidRPr="00D579BE">
        <w:rPr>
          <w:szCs w:val="21"/>
        </w:rPr>
        <w:t xml:space="preserve">  </w:t>
      </w:r>
    </w:p>
    <w:p w14:paraId="2FEF0C99" w14:textId="77777777" w:rsidR="009021F1" w:rsidRPr="00D579BE" w:rsidRDefault="009021F1" w:rsidP="009021F1">
      <w:pPr>
        <w:rPr>
          <w:szCs w:val="21"/>
          <w:lang w:bidi="fr-FR"/>
        </w:rPr>
      </w:pPr>
      <w:r w:rsidRPr="00D579BE">
        <w:rPr>
          <w:szCs w:val="21"/>
          <w:lang w:bidi="fr-FR"/>
        </w:rPr>
        <w:t>Appliquer les mesures barrières ;</w:t>
      </w:r>
    </w:p>
    <w:p w14:paraId="00C31CC2" w14:textId="77777777" w:rsidR="009021F1" w:rsidRPr="00D579BE" w:rsidRDefault="009021F1" w:rsidP="009021F1">
      <w:pPr>
        <w:rPr>
          <w:szCs w:val="21"/>
          <w:lang w:bidi="fr-FR"/>
        </w:rPr>
      </w:pPr>
    </w:p>
    <w:p w14:paraId="5832E36A" w14:textId="77777777" w:rsidR="009021F1" w:rsidRPr="00D579BE" w:rsidRDefault="009021F1" w:rsidP="009021F1">
      <w:pPr>
        <w:pStyle w:val="Paragraphedeliste"/>
        <w:numPr>
          <w:ilvl w:val="0"/>
          <w:numId w:val="121"/>
        </w:numPr>
        <w:rPr>
          <w:szCs w:val="21"/>
        </w:rPr>
      </w:pPr>
      <w:r w:rsidRPr="00D579BE">
        <w:rPr>
          <w:szCs w:val="21"/>
        </w:rPr>
        <w:t xml:space="preserve">(port des masques, contrôle de température et lavage des mains l'entrée en refusant l’accès au site aux travailleurs et visiteurs malades </w:t>
      </w:r>
    </w:p>
    <w:p w14:paraId="334B4867" w14:textId="77777777" w:rsidR="009021F1" w:rsidRPr="00D579BE" w:rsidRDefault="009021F1" w:rsidP="009021F1">
      <w:pPr>
        <w:pStyle w:val="Paragraphedeliste"/>
        <w:numPr>
          <w:ilvl w:val="0"/>
          <w:numId w:val="121"/>
        </w:numPr>
        <w:rPr>
          <w:szCs w:val="21"/>
        </w:rPr>
      </w:pPr>
      <w:r w:rsidRPr="00D579BE">
        <w:rPr>
          <w:szCs w:val="21"/>
        </w:rPr>
        <w:t>Former le RHSSE sur l'hygiène et les mesures préventives, et mettre en œuvre une stratégie de communication, y compris des mises à jour régulières sur les questions liées à COVID-19 ;</w:t>
      </w:r>
    </w:p>
    <w:p w14:paraId="6A257620" w14:textId="77777777" w:rsidR="009021F1" w:rsidRPr="00D579BE" w:rsidRDefault="009021F1" w:rsidP="009021F1">
      <w:pPr>
        <w:pStyle w:val="Paragraphedeliste"/>
        <w:numPr>
          <w:ilvl w:val="0"/>
          <w:numId w:val="121"/>
        </w:numPr>
        <w:rPr>
          <w:szCs w:val="21"/>
        </w:rPr>
      </w:pPr>
      <w:r w:rsidRPr="00D579BE">
        <w:rPr>
          <w:szCs w:val="21"/>
        </w:rPr>
        <w:t>Adapter des pratiques de travail permettant de réduire le nombre de travailleurs et d’accroître la distance sociale ;</w:t>
      </w:r>
    </w:p>
    <w:p w14:paraId="3A319A3E" w14:textId="77777777" w:rsidR="009021F1" w:rsidRPr="00D579BE" w:rsidRDefault="009021F1" w:rsidP="009021F1">
      <w:pPr>
        <w:pStyle w:val="Paragraphedeliste"/>
        <w:numPr>
          <w:ilvl w:val="0"/>
          <w:numId w:val="121"/>
        </w:numPr>
        <w:rPr>
          <w:szCs w:val="21"/>
        </w:rPr>
      </w:pPr>
      <w:r w:rsidRPr="00D579BE">
        <w:rPr>
          <w:szCs w:val="21"/>
        </w:rPr>
        <w:t>Développer les relations avec les établissements de santé locaux, et organiser le traitement des travailleurs malades ;</w:t>
      </w:r>
    </w:p>
    <w:p w14:paraId="1BF71697" w14:textId="77777777" w:rsidR="009021F1" w:rsidRPr="00D579BE" w:rsidRDefault="009021F1" w:rsidP="009021F1">
      <w:pPr>
        <w:pStyle w:val="Paragraphedeliste"/>
        <w:numPr>
          <w:ilvl w:val="0"/>
          <w:numId w:val="121"/>
        </w:numPr>
        <w:rPr>
          <w:szCs w:val="21"/>
        </w:rPr>
      </w:pPr>
      <w:r w:rsidRPr="00D579BE">
        <w:rPr>
          <w:szCs w:val="21"/>
        </w:rPr>
        <w:t>Établir la procédure à suivre si un travailleur tombe malade (en suivant les directives de l'OMS) ;</w:t>
      </w:r>
    </w:p>
    <w:p w14:paraId="712A5F11" w14:textId="77777777" w:rsidR="009021F1" w:rsidRPr="00D579BE" w:rsidRDefault="009021F1" w:rsidP="009021F1">
      <w:pPr>
        <w:pStyle w:val="Paragraphedeliste"/>
        <w:numPr>
          <w:ilvl w:val="0"/>
          <w:numId w:val="121"/>
        </w:numPr>
        <w:rPr>
          <w:szCs w:val="21"/>
        </w:rPr>
      </w:pPr>
      <w:r w:rsidRPr="00D579BE">
        <w:rPr>
          <w:szCs w:val="21"/>
        </w:rPr>
        <w:t>Mettre en œuvre une stratégie de communication avec la communauté, les dirigeants communautaires et les autorités locales en ce qui concerne les questions relatives à COVID-19 sur les sites du sous Projet.</w:t>
      </w:r>
    </w:p>
    <w:p w14:paraId="018E0292" w14:textId="77777777" w:rsidR="009021F1" w:rsidRPr="00D579BE" w:rsidRDefault="009021F1" w:rsidP="009021F1">
      <w:pPr>
        <w:rPr>
          <w:b/>
          <w:szCs w:val="21"/>
        </w:rPr>
      </w:pPr>
    </w:p>
    <w:p w14:paraId="40054406" w14:textId="77777777" w:rsidR="009021F1" w:rsidRPr="00D579BE" w:rsidRDefault="009021F1" w:rsidP="009021F1">
      <w:pPr>
        <w:rPr>
          <w:b/>
          <w:szCs w:val="21"/>
        </w:rPr>
      </w:pPr>
      <w:r w:rsidRPr="00D579BE">
        <w:rPr>
          <w:b/>
          <w:szCs w:val="21"/>
        </w:rPr>
        <w:t>Prévention, atténuation er réponse contre les VBG/EAS/HS</w:t>
      </w:r>
    </w:p>
    <w:p w14:paraId="250F81BC" w14:textId="77777777" w:rsidR="009021F1" w:rsidRPr="00D579BE" w:rsidRDefault="009021F1" w:rsidP="009021F1">
      <w:pPr>
        <w:rPr>
          <w:b/>
          <w:szCs w:val="21"/>
        </w:rPr>
      </w:pPr>
    </w:p>
    <w:p w14:paraId="5EF0C949" w14:textId="77777777" w:rsidR="009021F1" w:rsidRPr="00D579BE" w:rsidRDefault="009021F1" w:rsidP="009021F1">
      <w:pPr>
        <w:rPr>
          <w:szCs w:val="21"/>
        </w:rPr>
      </w:pPr>
      <w:r w:rsidRPr="00D579BE">
        <w:rPr>
          <w:szCs w:val="21"/>
        </w:rPr>
        <w:t>L’Entité bénéficiaire doit informer et former son personnel sur les risques liés aux VBG/EAS/HS. Il doit veiller à créer un environnement dans lequel les incidents des VBG ne se perpétuent pas. Il doit prévoir des mesures de prévention comme : (i) l’affichage du code de conduite dans des lieux visibles et accessibles pour tous les travailleurs, et cela dans différentes langues, (ii) faciliter la formation des travailleurs, et la signature du Code de Conduite etc.</w:t>
      </w:r>
    </w:p>
    <w:p w14:paraId="5666D401" w14:textId="77777777" w:rsidR="009021F1" w:rsidRPr="00D579BE" w:rsidRDefault="009021F1" w:rsidP="009021F1">
      <w:pPr>
        <w:rPr>
          <w:szCs w:val="21"/>
        </w:rPr>
      </w:pPr>
    </w:p>
    <w:p w14:paraId="41E00613" w14:textId="77777777" w:rsidR="009021F1" w:rsidRPr="00D579BE" w:rsidRDefault="009021F1" w:rsidP="009021F1">
      <w:pPr>
        <w:rPr>
          <w:szCs w:val="21"/>
        </w:rPr>
      </w:pPr>
      <w:r w:rsidRPr="00D579BE">
        <w:rPr>
          <w:szCs w:val="21"/>
        </w:rPr>
        <w:t>Les actes de VBG ou VCE constituent une faute grave et sont donc des motifs de sanctions, qui peuvent inclure des sanctions et/ou la cessation d'emploi, et si nécessaire le renvoi à la police pour d'autres mesures</w:t>
      </w:r>
    </w:p>
    <w:p w14:paraId="4A55ED54" w14:textId="77777777" w:rsidR="009021F1" w:rsidRPr="00D579BE" w:rsidRDefault="009021F1" w:rsidP="009021F1">
      <w:pPr>
        <w:rPr>
          <w:szCs w:val="21"/>
        </w:rPr>
      </w:pPr>
      <w:r w:rsidRPr="00D579BE">
        <w:rPr>
          <w:szCs w:val="21"/>
        </w:rPr>
        <w:t>L’Entité bénéficiaire doit multiplier les sensibilisations des travailleurs et de la population riveraine sur le code de bonne conduite et la prévention du sexe contre argent/contre un service et ou une faveur.</w:t>
      </w:r>
    </w:p>
    <w:p w14:paraId="5D7E94F8" w14:textId="77777777" w:rsidR="009021F1" w:rsidRPr="00D579BE" w:rsidRDefault="009021F1" w:rsidP="009021F1">
      <w:pPr>
        <w:rPr>
          <w:szCs w:val="21"/>
        </w:rPr>
      </w:pPr>
    </w:p>
    <w:p w14:paraId="5C25C5AF" w14:textId="77777777" w:rsidR="009021F1" w:rsidRPr="00D579BE" w:rsidRDefault="009021F1" w:rsidP="009021F1">
      <w:pPr>
        <w:rPr>
          <w:b/>
          <w:szCs w:val="21"/>
        </w:rPr>
      </w:pPr>
      <w:r w:rsidRPr="00D579BE">
        <w:rPr>
          <w:b/>
          <w:szCs w:val="21"/>
        </w:rPr>
        <w:t>Sécurité et hygiène sur site</w:t>
      </w:r>
    </w:p>
    <w:p w14:paraId="301DB161" w14:textId="77777777" w:rsidR="009021F1" w:rsidRPr="00D579BE" w:rsidRDefault="009021F1" w:rsidP="009021F1">
      <w:pPr>
        <w:rPr>
          <w:b/>
          <w:szCs w:val="21"/>
        </w:rPr>
      </w:pPr>
    </w:p>
    <w:p w14:paraId="7E2A91CE" w14:textId="77777777" w:rsidR="009021F1" w:rsidRPr="00D579BE" w:rsidRDefault="009021F1" w:rsidP="009021F1">
      <w:pPr>
        <w:rPr>
          <w:szCs w:val="21"/>
        </w:rPr>
      </w:pPr>
      <w:r w:rsidRPr="00D579BE">
        <w:rPr>
          <w:szCs w:val="21"/>
        </w:rPr>
        <w:t>L’Entité bénéficiaire doit :</w:t>
      </w:r>
    </w:p>
    <w:p w14:paraId="4228752F" w14:textId="77777777" w:rsidR="009021F1" w:rsidRPr="00D579BE" w:rsidRDefault="009021F1" w:rsidP="009021F1">
      <w:pPr>
        <w:rPr>
          <w:szCs w:val="21"/>
        </w:rPr>
      </w:pPr>
    </w:p>
    <w:p w14:paraId="252474E7" w14:textId="77777777" w:rsidR="009021F1" w:rsidRPr="00D579BE" w:rsidRDefault="009021F1" w:rsidP="009021F1">
      <w:pPr>
        <w:pStyle w:val="Paragraphedeliste"/>
        <w:numPr>
          <w:ilvl w:val="0"/>
          <w:numId w:val="122"/>
        </w:numPr>
        <w:rPr>
          <w:szCs w:val="21"/>
        </w:rPr>
      </w:pPr>
      <w:r w:rsidRPr="00D579BE">
        <w:rPr>
          <w:szCs w:val="21"/>
        </w:rPr>
        <w:t>Organiser la circulation routière sur le site afin d’éviter les accidents en plaçant des panneaux de signalisation à l’intérieur du site pour signaler les parkings et autres endroits dangereux et éviter d’obstruer les entrées aux différents services ;</w:t>
      </w:r>
    </w:p>
    <w:p w14:paraId="02A579D2" w14:textId="77777777" w:rsidR="009021F1" w:rsidRPr="00D579BE" w:rsidRDefault="009021F1" w:rsidP="009021F1">
      <w:pPr>
        <w:pStyle w:val="Paragraphedeliste"/>
        <w:numPr>
          <w:ilvl w:val="0"/>
          <w:numId w:val="122"/>
        </w:numPr>
        <w:rPr>
          <w:szCs w:val="21"/>
        </w:rPr>
      </w:pPr>
      <w:r w:rsidRPr="00D579BE">
        <w:rPr>
          <w:szCs w:val="21"/>
        </w:rPr>
        <w:t>Assurer l’accès aux propriétés riveraines du site du sous projet ;</w:t>
      </w:r>
    </w:p>
    <w:p w14:paraId="213F0DBC" w14:textId="77777777" w:rsidR="009021F1" w:rsidRPr="00D579BE" w:rsidRDefault="009021F1" w:rsidP="009021F1">
      <w:pPr>
        <w:pStyle w:val="Paragraphedeliste"/>
        <w:numPr>
          <w:ilvl w:val="0"/>
          <w:numId w:val="122"/>
        </w:numPr>
        <w:rPr>
          <w:szCs w:val="21"/>
        </w:rPr>
      </w:pPr>
      <w:r w:rsidRPr="00D579BE">
        <w:rPr>
          <w:szCs w:val="21"/>
        </w:rPr>
        <w:t xml:space="preserve">Placer des dispositifs antiincendies sur site (extincteur, etc.) ; et </w:t>
      </w:r>
    </w:p>
    <w:p w14:paraId="0AFEB1BB" w14:textId="77777777" w:rsidR="009021F1" w:rsidRPr="00D579BE" w:rsidRDefault="009021F1" w:rsidP="009021F1">
      <w:pPr>
        <w:pStyle w:val="Paragraphedeliste"/>
        <w:numPr>
          <w:ilvl w:val="0"/>
          <w:numId w:val="122"/>
        </w:numPr>
        <w:rPr>
          <w:szCs w:val="21"/>
          <w:lang w:eastAsia="en-US"/>
        </w:rPr>
      </w:pPr>
      <w:r w:rsidRPr="00D579BE">
        <w:rPr>
          <w:szCs w:val="21"/>
        </w:rPr>
        <w:t>Assurer l’entretien journalier des installations hygiéniques par un personnel permanent y affecté,</w:t>
      </w:r>
    </w:p>
    <w:p w14:paraId="67F50189" w14:textId="77777777" w:rsidR="009021F1" w:rsidRPr="00D579BE" w:rsidRDefault="009021F1" w:rsidP="009021F1">
      <w:pPr>
        <w:rPr>
          <w:b/>
          <w:szCs w:val="21"/>
        </w:rPr>
      </w:pPr>
    </w:p>
    <w:p w14:paraId="3D48E439" w14:textId="77777777" w:rsidR="009021F1" w:rsidRPr="00D579BE" w:rsidRDefault="009021F1" w:rsidP="009021F1">
      <w:pPr>
        <w:rPr>
          <w:b/>
          <w:szCs w:val="21"/>
        </w:rPr>
      </w:pPr>
      <w:r w:rsidRPr="00D579BE">
        <w:rPr>
          <w:b/>
          <w:szCs w:val="21"/>
        </w:rPr>
        <w:t xml:space="preserve">Dispositions à la protection des arbres plantés </w:t>
      </w:r>
    </w:p>
    <w:p w14:paraId="3068376C" w14:textId="77777777" w:rsidR="009021F1" w:rsidRPr="00D579BE" w:rsidRDefault="009021F1" w:rsidP="009021F1">
      <w:pPr>
        <w:rPr>
          <w:b/>
          <w:szCs w:val="21"/>
        </w:rPr>
      </w:pPr>
    </w:p>
    <w:p w14:paraId="29230679" w14:textId="77777777" w:rsidR="009021F1" w:rsidRPr="00D579BE" w:rsidRDefault="009021F1" w:rsidP="009021F1">
      <w:pPr>
        <w:rPr>
          <w:szCs w:val="21"/>
        </w:rPr>
      </w:pPr>
      <w:r w:rsidRPr="00D579BE">
        <w:rPr>
          <w:szCs w:val="21"/>
        </w:rPr>
        <w:t>L’Entité bénéficiaire du sous projet doit faire le suivi de la croissance des arbres plantés sur le site du sous projet y compris la protection de la végétation antiérosive. Il devra remplacer les arabes qui n’ont pas poussé par d’autres et assurer leur protection.</w:t>
      </w:r>
    </w:p>
    <w:p w14:paraId="3FBC1A70" w14:textId="77777777" w:rsidR="009021F1" w:rsidRPr="00D579BE" w:rsidRDefault="009021F1" w:rsidP="009021F1">
      <w:pPr>
        <w:pStyle w:val="Paragraphedeliste"/>
        <w:widowControl w:val="0"/>
        <w:numPr>
          <w:ilvl w:val="1"/>
          <w:numId w:val="94"/>
        </w:numPr>
        <w:tabs>
          <w:tab w:val="left" w:pos="851"/>
        </w:tabs>
        <w:autoSpaceDE w:val="0"/>
        <w:autoSpaceDN w:val="0"/>
        <w:ind w:hanging="1133"/>
        <w:contextualSpacing w:val="0"/>
        <w:rPr>
          <w:rFonts w:cs="Arial"/>
          <w:szCs w:val="21"/>
        </w:rPr>
      </w:pPr>
      <w:r w:rsidRPr="00D579BE">
        <w:rPr>
          <w:rFonts w:cs="Arial"/>
          <w:szCs w:val="21"/>
        </w:rPr>
        <w:t>Exemple Format : Avis D'Incident</w:t>
      </w:r>
      <w:r w:rsidRPr="00D579BE">
        <w:rPr>
          <w:rFonts w:cs="Arial"/>
          <w:spacing w:val="-8"/>
          <w:szCs w:val="21"/>
        </w:rPr>
        <w:t xml:space="preserve"> </w:t>
      </w:r>
      <w:r w:rsidRPr="00D579BE">
        <w:rPr>
          <w:rFonts w:cs="Arial"/>
          <w:szCs w:val="21"/>
        </w:rPr>
        <w:t>d'ESS (hors des incidents liés à VBG/EAS/HS)</w:t>
      </w:r>
    </w:p>
    <w:p w14:paraId="2E4F034B" w14:textId="77777777" w:rsidR="009021F1" w:rsidRPr="00D579BE" w:rsidRDefault="009021F1" w:rsidP="009021F1">
      <w:pPr>
        <w:pStyle w:val="Titre2"/>
        <w:ind w:left="1350" w:hanging="1350"/>
        <w:rPr>
          <w:rFonts w:cs="Arial"/>
          <w:szCs w:val="21"/>
        </w:rPr>
      </w:pPr>
    </w:p>
    <w:p w14:paraId="283E2E76" w14:textId="77777777" w:rsidR="009021F1" w:rsidRPr="00D579BE" w:rsidRDefault="009021F1" w:rsidP="009021F1">
      <w:pPr>
        <w:pStyle w:val="Titre1"/>
        <w:tabs>
          <w:tab w:val="right" w:pos="9062"/>
        </w:tabs>
        <w:ind w:left="1276" w:hanging="1276"/>
        <w:rPr>
          <w:rFonts w:cs="Arial"/>
          <w:b w:val="0"/>
          <w:szCs w:val="21"/>
        </w:rPr>
      </w:pPr>
      <w:r w:rsidRPr="00D579BE">
        <w:rPr>
          <w:rFonts w:cs="Arial"/>
          <w:szCs w:val="21"/>
        </w:rPr>
        <w:br w:type="page"/>
      </w:r>
      <w:bookmarkStart w:id="484" w:name="_Toc90471590"/>
      <w:r w:rsidRPr="00B76D27">
        <w:rPr>
          <w:rFonts w:cs="Arial"/>
          <w:szCs w:val="21"/>
        </w:rPr>
        <w:t>ANNEXE 4. TERMES DE RÉFÉRENCE TYPE POUR LA RÉALISATION D’UNE ÉTUDE D’IMPACT ENVIRONNEMENTAL ET SOCIAL</w:t>
      </w:r>
      <w:bookmarkEnd w:id="484"/>
      <w:r w:rsidRPr="00D579BE">
        <w:rPr>
          <w:rFonts w:cs="Arial"/>
          <w:b w:val="0"/>
          <w:szCs w:val="21"/>
        </w:rPr>
        <w:t xml:space="preserve"> </w:t>
      </w:r>
    </w:p>
    <w:p w14:paraId="74893304" w14:textId="77777777" w:rsidR="009021F1" w:rsidRPr="00D579BE" w:rsidRDefault="009021F1" w:rsidP="009021F1">
      <w:pPr>
        <w:pStyle w:val="Paragraphedeliste"/>
        <w:rPr>
          <w:rFonts w:cs="Arial"/>
          <w:b/>
          <w:szCs w:val="21"/>
        </w:rPr>
      </w:pPr>
    </w:p>
    <w:p w14:paraId="4E770B9A" w14:textId="77777777" w:rsidR="009021F1" w:rsidRPr="00D579BE" w:rsidRDefault="009021F1" w:rsidP="009021F1">
      <w:pPr>
        <w:pStyle w:val="Corpsdetexte"/>
        <w:spacing w:line="276" w:lineRule="auto"/>
        <w:rPr>
          <w:rFonts w:cs="Arial"/>
          <w:sz w:val="21"/>
          <w:szCs w:val="21"/>
        </w:rPr>
      </w:pPr>
      <w:r w:rsidRPr="00D579BE">
        <w:rPr>
          <w:rFonts w:cs="Arial"/>
          <w:sz w:val="21"/>
          <w:szCs w:val="21"/>
        </w:rPr>
        <w:t>Le Consultant préparera une EIES qui suit la structure et traiter le contenu détaillé ci-dessous</w:t>
      </w:r>
      <w:r w:rsidRPr="00D579BE">
        <w:rPr>
          <w:rStyle w:val="Appelnotedebasdep"/>
          <w:rFonts w:cs="Arial"/>
          <w:sz w:val="21"/>
          <w:szCs w:val="21"/>
        </w:rPr>
        <w:footnoteReference w:id="27"/>
      </w:r>
      <w:r w:rsidRPr="00D579BE">
        <w:rPr>
          <w:rFonts w:cs="Arial"/>
          <w:sz w:val="21"/>
          <w:szCs w:val="21"/>
        </w:rPr>
        <w:t>.  Bien que l’EIES soit constituée de différents chapitres et sections, le Consultant assurera l’articulation entre ces chapitres et sections, afin de constituer un tout cohérent, compréhensible, et facile à lire.</w:t>
      </w:r>
    </w:p>
    <w:p w14:paraId="4804E331" w14:textId="77777777" w:rsidR="009021F1" w:rsidRPr="00D579BE" w:rsidRDefault="009021F1" w:rsidP="009021F1">
      <w:pPr>
        <w:pStyle w:val="Corpsdetexte"/>
        <w:spacing w:line="276" w:lineRule="auto"/>
        <w:rPr>
          <w:rFonts w:cs="Arial"/>
          <w:sz w:val="21"/>
          <w:szCs w:val="21"/>
        </w:rPr>
      </w:pPr>
    </w:p>
    <w:p w14:paraId="7E8CBD3E" w14:textId="77777777" w:rsidR="009021F1" w:rsidRPr="00D579BE" w:rsidRDefault="009021F1" w:rsidP="009021F1">
      <w:pPr>
        <w:pStyle w:val="Listenumros3"/>
        <w:tabs>
          <w:tab w:val="clear" w:pos="360"/>
        </w:tabs>
        <w:spacing w:line="276" w:lineRule="auto"/>
        <w:jc w:val="both"/>
        <w:rPr>
          <w:rFonts w:ascii="Arial" w:hAnsi="Arial" w:cs="Arial"/>
          <w:b/>
          <w:i/>
          <w:sz w:val="21"/>
          <w:szCs w:val="21"/>
        </w:rPr>
      </w:pPr>
      <w:r w:rsidRPr="00D579BE">
        <w:rPr>
          <w:rFonts w:ascii="Arial" w:hAnsi="Arial" w:cs="Arial"/>
          <w:b/>
          <w:i/>
          <w:sz w:val="21"/>
          <w:szCs w:val="21"/>
        </w:rPr>
        <w:t>Page de Garde</w:t>
      </w:r>
    </w:p>
    <w:p w14:paraId="7844E9AF" w14:textId="77777777" w:rsidR="009021F1" w:rsidRPr="00D579BE" w:rsidRDefault="009021F1" w:rsidP="009021F1">
      <w:pPr>
        <w:pStyle w:val="Listenumros3"/>
        <w:tabs>
          <w:tab w:val="clear" w:pos="360"/>
        </w:tabs>
        <w:spacing w:line="276" w:lineRule="auto"/>
        <w:jc w:val="both"/>
        <w:rPr>
          <w:rFonts w:ascii="Arial" w:hAnsi="Arial" w:cs="Arial"/>
          <w:sz w:val="21"/>
          <w:szCs w:val="21"/>
        </w:rPr>
      </w:pPr>
    </w:p>
    <w:p w14:paraId="06C5C9A7" w14:textId="77777777" w:rsidR="009021F1" w:rsidRPr="00D579BE" w:rsidRDefault="009021F1" w:rsidP="009021F1">
      <w:pPr>
        <w:pStyle w:val="Corpsdetexte2"/>
        <w:spacing w:after="0" w:line="276" w:lineRule="auto"/>
        <w:rPr>
          <w:rFonts w:cs="Arial"/>
          <w:szCs w:val="21"/>
        </w:rPr>
      </w:pPr>
      <w:r w:rsidRPr="00D579BE">
        <w:rPr>
          <w:rFonts w:cs="Arial"/>
          <w:szCs w:val="21"/>
        </w:rPr>
        <w:t xml:space="preserve">La page de garde indiquera l’institution pour qui l’EIES a été préparée, le sousprojet concerné par l’EIES, la </w:t>
      </w:r>
      <w:r w:rsidRPr="00D579BE">
        <w:rPr>
          <w:rFonts w:cs="Arial"/>
          <w:b/>
          <w:bCs/>
          <w:szCs w:val="21"/>
        </w:rPr>
        <w:t>date de soumission du document</w:t>
      </w:r>
      <w:r w:rsidRPr="00D579BE">
        <w:rPr>
          <w:rFonts w:cs="Arial"/>
          <w:szCs w:val="21"/>
        </w:rPr>
        <w:t>, et son envers indiquera le nom du Consultant, et présentera un tableau retraçant l’historique des différentes versions.</w:t>
      </w:r>
    </w:p>
    <w:p w14:paraId="6CD5AE82" w14:textId="77777777" w:rsidR="009021F1" w:rsidRPr="00D579BE" w:rsidRDefault="009021F1" w:rsidP="009021F1">
      <w:pPr>
        <w:pStyle w:val="Corpsdetexte2"/>
        <w:spacing w:after="0" w:line="276" w:lineRule="auto"/>
        <w:rPr>
          <w:rFonts w:cs="Arial"/>
          <w:szCs w:val="21"/>
        </w:rPr>
      </w:pPr>
    </w:p>
    <w:p w14:paraId="5C949CD2" w14:textId="77777777" w:rsidR="009021F1" w:rsidRPr="00D579BE" w:rsidRDefault="009021F1" w:rsidP="009021F1">
      <w:pPr>
        <w:pStyle w:val="Listenumros3"/>
        <w:tabs>
          <w:tab w:val="clear" w:pos="360"/>
        </w:tabs>
        <w:spacing w:line="276" w:lineRule="auto"/>
        <w:jc w:val="both"/>
        <w:rPr>
          <w:rFonts w:ascii="Arial" w:hAnsi="Arial" w:cs="Arial"/>
          <w:b/>
          <w:i/>
          <w:sz w:val="21"/>
          <w:szCs w:val="21"/>
        </w:rPr>
      </w:pPr>
      <w:r w:rsidRPr="00D579BE">
        <w:rPr>
          <w:rFonts w:ascii="Arial" w:hAnsi="Arial" w:cs="Arial"/>
          <w:b/>
          <w:i/>
          <w:sz w:val="21"/>
          <w:szCs w:val="21"/>
        </w:rPr>
        <w:t>Table des matières</w:t>
      </w:r>
    </w:p>
    <w:p w14:paraId="4C511E32" w14:textId="77777777" w:rsidR="009021F1" w:rsidRPr="00D579BE" w:rsidRDefault="009021F1" w:rsidP="009021F1">
      <w:pPr>
        <w:pStyle w:val="Listenumros3"/>
        <w:tabs>
          <w:tab w:val="clear" w:pos="360"/>
        </w:tabs>
        <w:spacing w:line="276" w:lineRule="auto"/>
        <w:jc w:val="both"/>
        <w:rPr>
          <w:rFonts w:ascii="Arial" w:hAnsi="Arial" w:cs="Arial"/>
          <w:sz w:val="21"/>
          <w:szCs w:val="21"/>
        </w:rPr>
      </w:pPr>
    </w:p>
    <w:p w14:paraId="5F00524F" w14:textId="77777777" w:rsidR="009021F1" w:rsidRPr="00D579BE" w:rsidRDefault="009021F1" w:rsidP="009021F1">
      <w:pPr>
        <w:pStyle w:val="Corpsdetexte2"/>
        <w:spacing w:after="0" w:line="276" w:lineRule="auto"/>
        <w:rPr>
          <w:rFonts w:cs="Arial"/>
          <w:szCs w:val="21"/>
        </w:rPr>
      </w:pPr>
      <w:r w:rsidRPr="00D579BE">
        <w:rPr>
          <w:rFonts w:cs="Arial"/>
          <w:szCs w:val="21"/>
        </w:rPr>
        <w:t>La Table des matières détaillera au moins les trois premiers niveaux d’organisation du document (Chapitre, Section et Sous-section).  Elle sera générée automatiquement sous Word, ce qui demande l’utilisation systématique d’une hiérarchie de titres dans le document.</w:t>
      </w:r>
    </w:p>
    <w:p w14:paraId="2A627AFD" w14:textId="77777777" w:rsidR="009021F1" w:rsidRPr="00D579BE" w:rsidRDefault="009021F1" w:rsidP="009021F1">
      <w:pPr>
        <w:pStyle w:val="Corpsdetexte2"/>
        <w:spacing w:after="0" w:line="276" w:lineRule="auto"/>
        <w:rPr>
          <w:rFonts w:cs="Arial"/>
          <w:szCs w:val="21"/>
        </w:rPr>
      </w:pPr>
    </w:p>
    <w:p w14:paraId="1F151108" w14:textId="77777777" w:rsidR="009021F1" w:rsidRPr="00D579BE" w:rsidRDefault="009021F1" w:rsidP="009021F1">
      <w:pPr>
        <w:pStyle w:val="Listenumros3"/>
        <w:tabs>
          <w:tab w:val="clear" w:pos="360"/>
        </w:tabs>
        <w:spacing w:line="276" w:lineRule="auto"/>
        <w:jc w:val="both"/>
        <w:rPr>
          <w:rFonts w:ascii="Arial" w:hAnsi="Arial" w:cs="Arial"/>
          <w:b/>
          <w:i/>
          <w:sz w:val="21"/>
          <w:szCs w:val="21"/>
        </w:rPr>
      </w:pPr>
      <w:r w:rsidRPr="00D579BE">
        <w:rPr>
          <w:rFonts w:ascii="Arial" w:hAnsi="Arial" w:cs="Arial"/>
          <w:b/>
          <w:i/>
          <w:sz w:val="21"/>
          <w:szCs w:val="21"/>
        </w:rPr>
        <w:t>Sigles et acronymes</w:t>
      </w:r>
    </w:p>
    <w:p w14:paraId="063B2093" w14:textId="77777777" w:rsidR="009021F1" w:rsidRPr="00D579BE" w:rsidRDefault="009021F1" w:rsidP="009021F1">
      <w:pPr>
        <w:pStyle w:val="Listenumros3"/>
        <w:tabs>
          <w:tab w:val="clear" w:pos="360"/>
        </w:tabs>
        <w:spacing w:line="276" w:lineRule="auto"/>
        <w:jc w:val="both"/>
        <w:rPr>
          <w:rFonts w:ascii="Arial" w:hAnsi="Arial" w:cs="Arial"/>
          <w:sz w:val="21"/>
          <w:szCs w:val="21"/>
        </w:rPr>
      </w:pPr>
    </w:p>
    <w:p w14:paraId="255D5184" w14:textId="77777777" w:rsidR="009021F1" w:rsidRPr="00D579BE" w:rsidRDefault="009021F1" w:rsidP="009021F1">
      <w:pPr>
        <w:pStyle w:val="Corpsdetexte2"/>
        <w:spacing w:after="0" w:line="276" w:lineRule="auto"/>
        <w:rPr>
          <w:rFonts w:cs="Arial"/>
          <w:szCs w:val="21"/>
        </w:rPr>
      </w:pPr>
      <w:r w:rsidRPr="00D579BE">
        <w:rPr>
          <w:rFonts w:cs="Arial"/>
          <w:szCs w:val="21"/>
        </w:rPr>
        <w:t>Cette section inclura tous les sigles et acronymes mentionnés dans l’EIES</w:t>
      </w:r>
    </w:p>
    <w:p w14:paraId="080CEB94" w14:textId="77777777" w:rsidR="009021F1" w:rsidRPr="00D579BE" w:rsidRDefault="009021F1" w:rsidP="009021F1">
      <w:pPr>
        <w:pStyle w:val="Listenumros3"/>
        <w:tabs>
          <w:tab w:val="clear" w:pos="360"/>
        </w:tabs>
        <w:spacing w:line="276" w:lineRule="auto"/>
        <w:jc w:val="both"/>
        <w:rPr>
          <w:rFonts w:ascii="Arial" w:hAnsi="Arial" w:cs="Arial"/>
          <w:sz w:val="21"/>
          <w:szCs w:val="21"/>
        </w:rPr>
      </w:pPr>
      <w:r w:rsidRPr="00D579BE">
        <w:rPr>
          <w:rFonts w:ascii="Arial" w:hAnsi="Arial" w:cs="Arial"/>
          <w:sz w:val="21"/>
          <w:szCs w:val="21"/>
        </w:rPr>
        <w:t>Résumé non-technique</w:t>
      </w:r>
    </w:p>
    <w:p w14:paraId="72B65033" w14:textId="77777777" w:rsidR="009021F1" w:rsidRPr="00D579BE" w:rsidRDefault="009021F1" w:rsidP="009021F1">
      <w:pPr>
        <w:pStyle w:val="Listenumros3"/>
        <w:tabs>
          <w:tab w:val="clear" w:pos="360"/>
        </w:tabs>
        <w:spacing w:line="276" w:lineRule="auto"/>
        <w:jc w:val="both"/>
        <w:rPr>
          <w:rFonts w:ascii="Arial" w:hAnsi="Arial" w:cs="Arial"/>
          <w:sz w:val="21"/>
          <w:szCs w:val="21"/>
        </w:rPr>
      </w:pPr>
    </w:p>
    <w:p w14:paraId="572FA0A6" w14:textId="77777777" w:rsidR="009021F1" w:rsidRPr="00D579BE" w:rsidRDefault="009021F1" w:rsidP="009021F1">
      <w:pPr>
        <w:pStyle w:val="Corpsdetexte2"/>
        <w:spacing w:after="0" w:line="276" w:lineRule="auto"/>
        <w:rPr>
          <w:rFonts w:cs="Arial"/>
          <w:szCs w:val="21"/>
        </w:rPr>
      </w:pPr>
      <w:r w:rsidRPr="00D579BE">
        <w:rPr>
          <w:rFonts w:cs="Arial"/>
          <w:szCs w:val="21"/>
        </w:rPr>
        <w:t>Le résumé non-technique décrit avec concision les principales conclusions et les actions recommandées.  Il est préparé en français, en anglais et en Tshiluba, Swahili et Kikongo.</w:t>
      </w:r>
    </w:p>
    <w:p w14:paraId="5932DE57" w14:textId="77777777" w:rsidR="009021F1" w:rsidRPr="00D579BE" w:rsidRDefault="009021F1" w:rsidP="009021F1">
      <w:pPr>
        <w:pStyle w:val="Corpsdetexte2"/>
        <w:spacing w:after="0" w:line="276" w:lineRule="auto"/>
        <w:rPr>
          <w:rFonts w:cs="Arial"/>
          <w:szCs w:val="21"/>
        </w:rPr>
      </w:pPr>
    </w:p>
    <w:p w14:paraId="0F8887E0" w14:textId="77777777" w:rsidR="009021F1" w:rsidRPr="00D579BE" w:rsidRDefault="009021F1" w:rsidP="009021F1">
      <w:pPr>
        <w:rPr>
          <w:rFonts w:cs="Arial"/>
          <w:b/>
          <w:bCs/>
          <w:szCs w:val="21"/>
        </w:rPr>
      </w:pPr>
      <w:r w:rsidRPr="00D579BE">
        <w:rPr>
          <w:rFonts w:cs="Arial"/>
          <w:b/>
          <w:bCs/>
          <w:szCs w:val="21"/>
        </w:rPr>
        <w:t>NOTE : Le consultant redémarrera la numérotation des pages à partir du Chapitre 1.</w:t>
      </w:r>
    </w:p>
    <w:p w14:paraId="03D14ECE" w14:textId="77777777" w:rsidR="009021F1" w:rsidRPr="00D579BE" w:rsidRDefault="009021F1" w:rsidP="009021F1">
      <w:pPr>
        <w:pStyle w:val="Listenumros3"/>
        <w:keepNext/>
        <w:keepLines/>
        <w:tabs>
          <w:tab w:val="clear" w:pos="360"/>
          <w:tab w:val="left" w:pos="1191"/>
        </w:tabs>
        <w:snapToGrid/>
        <w:spacing w:line="276" w:lineRule="auto"/>
        <w:jc w:val="both"/>
        <w:rPr>
          <w:rFonts w:ascii="Arial" w:hAnsi="Arial" w:cs="Arial"/>
          <w:sz w:val="21"/>
          <w:szCs w:val="21"/>
        </w:rPr>
      </w:pPr>
    </w:p>
    <w:p w14:paraId="0FC8F1AE" w14:textId="77777777" w:rsidR="009021F1" w:rsidRPr="00D579BE" w:rsidRDefault="009021F1" w:rsidP="009021F1">
      <w:pPr>
        <w:pStyle w:val="Listenumros3"/>
        <w:keepNext/>
        <w:keepLines/>
        <w:numPr>
          <w:ilvl w:val="3"/>
          <w:numId w:val="119"/>
        </w:numPr>
        <w:tabs>
          <w:tab w:val="left" w:pos="709"/>
        </w:tabs>
        <w:snapToGrid/>
        <w:spacing w:line="276" w:lineRule="auto"/>
        <w:ind w:hanging="76"/>
        <w:jc w:val="both"/>
        <w:rPr>
          <w:rFonts w:ascii="Arial" w:hAnsi="Arial" w:cs="Arial"/>
          <w:b/>
          <w:i/>
          <w:sz w:val="21"/>
          <w:szCs w:val="21"/>
        </w:rPr>
      </w:pPr>
      <w:r w:rsidRPr="00D579BE">
        <w:rPr>
          <w:rFonts w:ascii="Arial" w:hAnsi="Arial" w:cs="Arial"/>
          <w:b/>
          <w:i/>
          <w:sz w:val="21"/>
          <w:szCs w:val="21"/>
        </w:rPr>
        <w:t>Introduction et Contexte</w:t>
      </w:r>
    </w:p>
    <w:p w14:paraId="2AEC6692" w14:textId="77777777" w:rsidR="009021F1" w:rsidRPr="00D579BE" w:rsidRDefault="009021F1" w:rsidP="009021F1">
      <w:pPr>
        <w:pStyle w:val="Listenumros3"/>
        <w:keepNext/>
        <w:keepLines/>
        <w:tabs>
          <w:tab w:val="clear" w:pos="360"/>
          <w:tab w:val="left" w:pos="1191"/>
        </w:tabs>
        <w:snapToGrid/>
        <w:spacing w:line="276" w:lineRule="auto"/>
        <w:jc w:val="both"/>
        <w:rPr>
          <w:rFonts w:ascii="Arial" w:hAnsi="Arial" w:cs="Arial"/>
          <w:sz w:val="21"/>
          <w:szCs w:val="21"/>
        </w:rPr>
      </w:pPr>
    </w:p>
    <w:p w14:paraId="4A27B805" w14:textId="77777777" w:rsidR="009021F1" w:rsidRPr="00D579BE" w:rsidRDefault="009021F1" w:rsidP="009021F1">
      <w:pPr>
        <w:pStyle w:val="Listepuces"/>
        <w:widowControl/>
        <w:numPr>
          <w:ilvl w:val="0"/>
          <w:numId w:val="123"/>
        </w:numPr>
        <w:tabs>
          <w:tab w:val="left" w:pos="851"/>
          <w:tab w:val="left" w:pos="1134"/>
        </w:tabs>
        <w:spacing w:line="276" w:lineRule="auto"/>
        <w:ind w:left="851" w:hanging="284"/>
        <w:jc w:val="both"/>
        <w:rPr>
          <w:rFonts w:ascii="Arial" w:hAnsi="Arial" w:cs="Arial"/>
          <w:sz w:val="21"/>
          <w:szCs w:val="21"/>
        </w:rPr>
      </w:pPr>
      <w:r w:rsidRPr="00D579BE">
        <w:rPr>
          <w:rFonts w:ascii="Arial" w:hAnsi="Arial" w:cs="Arial"/>
          <w:sz w:val="21"/>
          <w:szCs w:val="21"/>
        </w:rPr>
        <w:t>Explique la raison d’être du document et identifie l’entité pour laquelle il a été préparé.</w:t>
      </w:r>
    </w:p>
    <w:p w14:paraId="70CB6E81" w14:textId="77777777" w:rsidR="009021F1" w:rsidRPr="00D579BE" w:rsidRDefault="009021F1" w:rsidP="009021F1">
      <w:pPr>
        <w:pStyle w:val="Listepuces"/>
        <w:widowControl/>
        <w:numPr>
          <w:ilvl w:val="0"/>
          <w:numId w:val="123"/>
        </w:numPr>
        <w:tabs>
          <w:tab w:val="left" w:pos="851"/>
          <w:tab w:val="left" w:pos="1134"/>
        </w:tabs>
        <w:spacing w:line="276" w:lineRule="auto"/>
        <w:ind w:left="851" w:hanging="284"/>
        <w:jc w:val="both"/>
        <w:rPr>
          <w:rFonts w:ascii="Arial" w:hAnsi="Arial" w:cs="Arial"/>
          <w:sz w:val="21"/>
          <w:szCs w:val="21"/>
        </w:rPr>
      </w:pPr>
      <w:r w:rsidRPr="00D579BE">
        <w:rPr>
          <w:rFonts w:ascii="Arial" w:hAnsi="Arial" w:cs="Arial"/>
          <w:sz w:val="21"/>
          <w:szCs w:val="21"/>
        </w:rPr>
        <w:t xml:space="preserve">Explique les objectifs du </w:t>
      </w:r>
      <w:r w:rsidRPr="00D579BE">
        <w:rPr>
          <w:rFonts w:ascii="Arial" w:hAnsi="Arial" w:cs="Arial"/>
          <w:i/>
          <w:iCs/>
          <w:sz w:val="21"/>
          <w:szCs w:val="21"/>
        </w:rPr>
        <w:t>Projet</w:t>
      </w:r>
    </w:p>
    <w:p w14:paraId="475B5122" w14:textId="77777777" w:rsidR="009021F1" w:rsidRPr="00D579BE" w:rsidRDefault="009021F1" w:rsidP="009021F1">
      <w:pPr>
        <w:pStyle w:val="Listepuces"/>
        <w:widowControl/>
        <w:numPr>
          <w:ilvl w:val="0"/>
          <w:numId w:val="123"/>
        </w:numPr>
        <w:tabs>
          <w:tab w:val="left" w:pos="851"/>
          <w:tab w:val="left" w:pos="1134"/>
        </w:tabs>
        <w:spacing w:line="276" w:lineRule="auto"/>
        <w:ind w:left="851" w:hanging="284"/>
        <w:jc w:val="both"/>
        <w:rPr>
          <w:rFonts w:ascii="Arial" w:hAnsi="Arial" w:cs="Arial"/>
          <w:sz w:val="21"/>
          <w:szCs w:val="21"/>
        </w:rPr>
      </w:pPr>
      <w:r w:rsidRPr="00D579BE">
        <w:rPr>
          <w:rFonts w:ascii="Arial" w:hAnsi="Arial" w:cs="Arial"/>
          <w:sz w:val="21"/>
          <w:szCs w:val="21"/>
        </w:rPr>
        <w:t>Fournit le contexte et l'historique des activités concernés par l’EIES</w:t>
      </w:r>
    </w:p>
    <w:p w14:paraId="15447260" w14:textId="77777777" w:rsidR="009021F1" w:rsidRPr="00D579BE" w:rsidRDefault="009021F1" w:rsidP="009021F1">
      <w:pPr>
        <w:pStyle w:val="Listepuces"/>
        <w:widowControl/>
        <w:numPr>
          <w:ilvl w:val="0"/>
          <w:numId w:val="123"/>
        </w:numPr>
        <w:tabs>
          <w:tab w:val="left" w:pos="851"/>
          <w:tab w:val="left" w:pos="1134"/>
        </w:tabs>
        <w:spacing w:line="276" w:lineRule="auto"/>
        <w:ind w:left="851" w:hanging="284"/>
        <w:jc w:val="both"/>
        <w:rPr>
          <w:rFonts w:ascii="Arial" w:hAnsi="Arial" w:cs="Arial"/>
          <w:sz w:val="21"/>
          <w:szCs w:val="21"/>
        </w:rPr>
      </w:pPr>
      <w:r w:rsidRPr="00D579BE">
        <w:rPr>
          <w:rFonts w:ascii="Arial" w:hAnsi="Arial" w:cs="Arial"/>
          <w:sz w:val="21"/>
          <w:szCs w:val="21"/>
        </w:rPr>
        <w:t>Présente la méthodologie de l’EIES incluant l’approche de définition de la zone d’influence, les méthodes d’échantillonnage et de collecte des données.</w:t>
      </w:r>
    </w:p>
    <w:p w14:paraId="7DE48B5D" w14:textId="77777777" w:rsidR="009021F1" w:rsidRPr="00D579BE" w:rsidRDefault="009021F1" w:rsidP="009021F1">
      <w:pPr>
        <w:pStyle w:val="Listenumros3"/>
        <w:keepNext/>
        <w:keepLines/>
        <w:tabs>
          <w:tab w:val="clear" w:pos="360"/>
          <w:tab w:val="left" w:pos="1191"/>
        </w:tabs>
        <w:snapToGrid/>
        <w:spacing w:line="276" w:lineRule="auto"/>
        <w:jc w:val="both"/>
        <w:rPr>
          <w:rFonts w:ascii="Arial" w:hAnsi="Arial" w:cs="Arial"/>
          <w:b/>
          <w:i/>
          <w:sz w:val="21"/>
          <w:szCs w:val="21"/>
        </w:rPr>
      </w:pPr>
    </w:p>
    <w:p w14:paraId="43C35B5B" w14:textId="77777777" w:rsidR="009021F1" w:rsidRPr="00D579BE" w:rsidRDefault="009021F1" w:rsidP="009021F1">
      <w:pPr>
        <w:pStyle w:val="Listenumros3"/>
        <w:keepNext/>
        <w:keepLines/>
        <w:tabs>
          <w:tab w:val="clear" w:pos="360"/>
          <w:tab w:val="left" w:pos="1191"/>
        </w:tabs>
        <w:snapToGrid/>
        <w:spacing w:line="276" w:lineRule="auto"/>
        <w:jc w:val="both"/>
        <w:rPr>
          <w:rFonts w:ascii="Arial" w:hAnsi="Arial" w:cs="Arial"/>
          <w:sz w:val="21"/>
          <w:szCs w:val="21"/>
        </w:rPr>
      </w:pPr>
      <w:r w:rsidRPr="00D579BE">
        <w:rPr>
          <w:rFonts w:ascii="Arial" w:hAnsi="Arial" w:cs="Arial"/>
          <w:sz w:val="21"/>
          <w:szCs w:val="21"/>
        </w:rPr>
        <w:t>Description du sous-projet concerné par l’EIES</w:t>
      </w:r>
    </w:p>
    <w:p w14:paraId="3894938B" w14:textId="77777777" w:rsidR="009021F1" w:rsidRPr="00D579BE" w:rsidRDefault="009021F1" w:rsidP="009021F1">
      <w:pPr>
        <w:pStyle w:val="Listenumros3"/>
        <w:keepNext/>
        <w:keepLines/>
        <w:tabs>
          <w:tab w:val="clear" w:pos="360"/>
          <w:tab w:val="left" w:pos="1191"/>
        </w:tabs>
        <w:snapToGrid/>
        <w:spacing w:line="276" w:lineRule="auto"/>
        <w:jc w:val="both"/>
        <w:rPr>
          <w:rFonts w:ascii="Arial" w:hAnsi="Arial" w:cs="Arial"/>
          <w:b/>
          <w:i/>
          <w:sz w:val="21"/>
          <w:szCs w:val="21"/>
        </w:rPr>
      </w:pPr>
    </w:p>
    <w:p w14:paraId="36ECFB09" w14:textId="77777777" w:rsidR="009021F1" w:rsidRPr="00D579BE" w:rsidRDefault="009021F1" w:rsidP="009021F1">
      <w:pPr>
        <w:pStyle w:val="Listepuces"/>
        <w:widowControl/>
        <w:numPr>
          <w:ilvl w:val="0"/>
          <w:numId w:val="123"/>
        </w:numPr>
        <w:tabs>
          <w:tab w:val="left" w:pos="851"/>
          <w:tab w:val="left" w:pos="1134"/>
        </w:tabs>
        <w:spacing w:line="276" w:lineRule="auto"/>
        <w:ind w:left="851" w:hanging="284"/>
        <w:jc w:val="both"/>
        <w:rPr>
          <w:rFonts w:ascii="Arial" w:hAnsi="Arial" w:cs="Arial"/>
          <w:sz w:val="21"/>
          <w:szCs w:val="21"/>
        </w:rPr>
      </w:pPr>
      <w:r w:rsidRPr="00D579BE">
        <w:rPr>
          <w:rFonts w:ascii="Arial" w:hAnsi="Arial" w:cs="Arial"/>
          <w:sz w:val="21"/>
          <w:szCs w:val="21"/>
        </w:rPr>
        <w:t>Précise l’entité de mise en œuvre du sous-projet et l’administration de tutelle</w:t>
      </w:r>
    </w:p>
    <w:p w14:paraId="3C67634F" w14:textId="77777777" w:rsidR="009021F1" w:rsidRPr="00D579BE" w:rsidRDefault="009021F1" w:rsidP="009021F1">
      <w:pPr>
        <w:pStyle w:val="Listepuces"/>
        <w:widowControl/>
        <w:numPr>
          <w:ilvl w:val="0"/>
          <w:numId w:val="123"/>
        </w:numPr>
        <w:tabs>
          <w:tab w:val="left" w:pos="851"/>
          <w:tab w:val="left" w:pos="1134"/>
        </w:tabs>
        <w:spacing w:line="276" w:lineRule="auto"/>
        <w:ind w:left="851" w:hanging="284"/>
        <w:jc w:val="both"/>
        <w:rPr>
          <w:rFonts w:ascii="Arial" w:hAnsi="Arial" w:cs="Arial"/>
          <w:sz w:val="21"/>
          <w:szCs w:val="21"/>
        </w:rPr>
      </w:pPr>
      <w:r w:rsidRPr="00D579BE">
        <w:rPr>
          <w:rFonts w:ascii="Arial" w:hAnsi="Arial" w:cs="Arial"/>
          <w:sz w:val="21"/>
          <w:szCs w:val="21"/>
        </w:rPr>
        <w:t>Résume les études techniques.  En particulier il décrit, localise et délimite les activités concernées et toute installation associée</w:t>
      </w:r>
      <w:r w:rsidRPr="00D579BE">
        <w:rPr>
          <w:rStyle w:val="Appelnotedebasdep"/>
          <w:rFonts w:ascii="Arial" w:hAnsi="Arial" w:cs="Arial"/>
          <w:sz w:val="21"/>
          <w:szCs w:val="21"/>
        </w:rPr>
        <w:footnoteReference w:id="28"/>
      </w:r>
      <w:r w:rsidRPr="00D579BE">
        <w:rPr>
          <w:rFonts w:ascii="Arial" w:hAnsi="Arial" w:cs="Arial"/>
          <w:sz w:val="21"/>
          <w:szCs w:val="21"/>
        </w:rPr>
        <w:t>, en indiquant la nature et la taille potentielle des travaux de construction et des investissements physiques, y compris les investissements hors du site principal qui seront nécessaires (par exemple des voies d’accès, des réseaux électriques, des adductions d’eau, des logements, des installations de stockage de matières premières et d’autres produits, des carrières ou zones d’emprunts, ou des sites d’élimination des déchets), ainsi que les fournisseurs principaux du projet.</w:t>
      </w:r>
    </w:p>
    <w:p w14:paraId="65599BC6" w14:textId="77777777" w:rsidR="009021F1" w:rsidRPr="00D579BE" w:rsidRDefault="009021F1" w:rsidP="009021F1">
      <w:pPr>
        <w:pStyle w:val="Listepuces"/>
        <w:widowControl/>
        <w:tabs>
          <w:tab w:val="left" w:pos="851"/>
          <w:tab w:val="left" w:pos="1134"/>
        </w:tabs>
        <w:spacing w:line="276" w:lineRule="auto"/>
        <w:ind w:left="851" w:firstLine="0"/>
        <w:jc w:val="both"/>
        <w:rPr>
          <w:rFonts w:ascii="Arial" w:hAnsi="Arial" w:cs="Arial"/>
          <w:sz w:val="21"/>
          <w:szCs w:val="21"/>
        </w:rPr>
      </w:pPr>
      <w:r w:rsidRPr="00D579BE">
        <w:rPr>
          <w:rFonts w:ascii="Arial" w:hAnsi="Arial" w:cs="Arial"/>
          <w:sz w:val="21"/>
          <w:szCs w:val="21"/>
        </w:rPr>
        <w:br/>
        <w:t>Ce résumé devra présenter brièvement les éléments qui déterminent le choix des caractéristiques techniques particulières proposées pour le projet, précise et justifie le type, quantité et technologie/méthodes/emplacement choisi pour une meilleure maîtrise des risques et impacts du projet. De plus, il devra Inclure également un résumé des intrants, procédés et produits pour toutes les phases du projet. Emplois (type/quantité) à créer et services de main-d'œuvre connexes : assurer la cohérence avec le PGMO si applicable.</w:t>
      </w:r>
    </w:p>
    <w:p w14:paraId="39B9DF1C" w14:textId="77777777" w:rsidR="009021F1" w:rsidRPr="00D579BE" w:rsidRDefault="009021F1" w:rsidP="009021F1">
      <w:pPr>
        <w:pStyle w:val="Listepuces"/>
        <w:widowControl/>
        <w:numPr>
          <w:ilvl w:val="0"/>
          <w:numId w:val="123"/>
        </w:numPr>
        <w:tabs>
          <w:tab w:val="left" w:pos="851"/>
          <w:tab w:val="left" w:pos="1134"/>
        </w:tabs>
        <w:spacing w:line="276" w:lineRule="auto"/>
        <w:ind w:left="851" w:hanging="284"/>
        <w:jc w:val="both"/>
        <w:rPr>
          <w:rFonts w:ascii="Arial" w:hAnsi="Arial" w:cs="Arial"/>
          <w:sz w:val="21"/>
          <w:szCs w:val="21"/>
        </w:rPr>
      </w:pPr>
      <w:r w:rsidRPr="00D579BE">
        <w:rPr>
          <w:rFonts w:ascii="Arial" w:hAnsi="Arial" w:cs="Arial"/>
          <w:sz w:val="21"/>
          <w:szCs w:val="21"/>
        </w:rPr>
        <w:t>Comprend un calendrier estimatif des travaux</w:t>
      </w:r>
    </w:p>
    <w:p w14:paraId="2AB10965" w14:textId="77777777" w:rsidR="009021F1" w:rsidRPr="00D579BE" w:rsidRDefault="009021F1" w:rsidP="009021F1">
      <w:pPr>
        <w:pStyle w:val="Listepuces"/>
        <w:widowControl/>
        <w:numPr>
          <w:ilvl w:val="0"/>
          <w:numId w:val="123"/>
        </w:numPr>
        <w:tabs>
          <w:tab w:val="left" w:pos="851"/>
          <w:tab w:val="left" w:pos="1134"/>
        </w:tabs>
        <w:spacing w:line="276" w:lineRule="auto"/>
        <w:ind w:left="851" w:hanging="284"/>
        <w:jc w:val="both"/>
        <w:rPr>
          <w:rFonts w:ascii="Arial" w:hAnsi="Arial" w:cs="Arial"/>
          <w:sz w:val="21"/>
          <w:szCs w:val="21"/>
        </w:rPr>
      </w:pPr>
      <w:r w:rsidRPr="00D579BE">
        <w:rPr>
          <w:rFonts w:ascii="Arial" w:hAnsi="Arial" w:cs="Arial"/>
          <w:sz w:val="21"/>
          <w:szCs w:val="21"/>
        </w:rPr>
        <w:t>Comprend des cartes suffisamment détaillées et à des échelles appropriées, localisant le sous-projet, et illustrant la disposition des aménagements proposés (il est approprié d’utiliser des figures provenant des documents techniques si elles sont adéquates)</w:t>
      </w:r>
    </w:p>
    <w:p w14:paraId="64C22176" w14:textId="77777777" w:rsidR="009021F1" w:rsidRPr="00D579BE" w:rsidRDefault="009021F1" w:rsidP="009021F1">
      <w:pPr>
        <w:pStyle w:val="Listepuces"/>
        <w:widowControl/>
        <w:tabs>
          <w:tab w:val="left" w:pos="851"/>
          <w:tab w:val="left" w:pos="1134"/>
        </w:tabs>
        <w:spacing w:line="276" w:lineRule="auto"/>
        <w:ind w:left="851" w:firstLine="0"/>
        <w:jc w:val="both"/>
        <w:rPr>
          <w:rFonts w:ascii="Arial" w:hAnsi="Arial" w:cs="Arial"/>
          <w:sz w:val="21"/>
          <w:szCs w:val="21"/>
        </w:rPr>
      </w:pPr>
    </w:p>
    <w:p w14:paraId="068A876F" w14:textId="77777777" w:rsidR="009021F1" w:rsidRPr="00D579BE" w:rsidRDefault="009021F1" w:rsidP="009021F1">
      <w:pPr>
        <w:pStyle w:val="Listenumros3"/>
        <w:keepNext/>
        <w:keepLines/>
        <w:numPr>
          <w:ilvl w:val="3"/>
          <w:numId w:val="119"/>
        </w:numPr>
        <w:tabs>
          <w:tab w:val="left" w:pos="709"/>
        </w:tabs>
        <w:snapToGrid/>
        <w:spacing w:line="276" w:lineRule="auto"/>
        <w:ind w:hanging="76"/>
        <w:jc w:val="both"/>
        <w:rPr>
          <w:rFonts w:ascii="Arial" w:hAnsi="Arial" w:cs="Arial"/>
          <w:b/>
          <w:i/>
          <w:sz w:val="21"/>
          <w:szCs w:val="21"/>
        </w:rPr>
      </w:pPr>
      <w:r w:rsidRPr="00D579BE">
        <w:rPr>
          <w:rFonts w:ascii="Arial" w:hAnsi="Arial" w:cs="Arial"/>
          <w:b/>
          <w:i/>
          <w:sz w:val="21"/>
          <w:szCs w:val="21"/>
        </w:rPr>
        <w:t>Cadre juridique et institutionnel</w:t>
      </w:r>
    </w:p>
    <w:p w14:paraId="0B7A5F74" w14:textId="77777777" w:rsidR="009021F1" w:rsidRPr="00D579BE" w:rsidRDefault="009021F1" w:rsidP="009021F1">
      <w:pPr>
        <w:pStyle w:val="Corpsdetexte2"/>
        <w:spacing w:after="0" w:line="276" w:lineRule="auto"/>
        <w:rPr>
          <w:rFonts w:cs="Arial"/>
          <w:szCs w:val="21"/>
        </w:rPr>
      </w:pPr>
    </w:p>
    <w:p w14:paraId="70ACAC78" w14:textId="77777777" w:rsidR="009021F1" w:rsidRPr="00D579BE" w:rsidRDefault="009021F1" w:rsidP="009021F1">
      <w:pPr>
        <w:pStyle w:val="Corpsdetexte2"/>
        <w:spacing w:after="0" w:line="276" w:lineRule="auto"/>
        <w:rPr>
          <w:rFonts w:cs="Arial"/>
          <w:szCs w:val="21"/>
        </w:rPr>
      </w:pPr>
      <w:r w:rsidRPr="00D579BE">
        <w:rPr>
          <w:rFonts w:cs="Arial"/>
          <w:szCs w:val="21"/>
        </w:rPr>
        <w:t>Ce chapitre se concentre uniquement sur les dispositions pertinentes aux activités du Projet.  Il :</w:t>
      </w:r>
    </w:p>
    <w:p w14:paraId="2B6174CD" w14:textId="77777777" w:rsidR="009021F1" w:rsidRPr="00D579BE" w:rsidRDefault="009021F1" w:rsidP="009021F1">
      <w:pPr>
        <w:pStyle w:val="Listepuces"/>
        <w:widowControl/>
        <w:numPr>
          <w:ilvl w:val="0"/>
          <w:numId w:val="123"/>
        </w:numPr>
        <w:tabs>
          <w:tab w:val="left" w:pos="851"/>
          <w:tab w:val="left" w:pos="1134"/>
        </w:tabs>
        <w:spacing w:line="276" w:lineRule="auto"/>
        <w:ind w:left="851" w:hanging="284"/>
        <w:jc w:val="both"/>
        <w:rPr>
          <w:rFonts w:ascii="Arial" w:hAnsi="Arial" w:cs="Arial"/>
          <w:sz w:val="21"/>
          <w:szCs w:val="21"/>
        </w:rPr>
      </w:pPr>
      <w:r w:rsidRPr="00D579BE">
        <w:rPr>
          <w:rFonts w:ascii="Arial" w:hAnsi="Arial" w:cs="Arial"/>
          <w:sz w:val="21"/>
          <w:szCs w:val="21"/>
        </w:rPr>
        <w:t>Décrit et analyse :</w:t>
      </w:r>
    </w:p>
    <w:p w14:paraId="54CAA407" w14:textId="77777777" w:rsidR="009021F1" w:rsidRPr="00D579BE" w:rsidRDefault="009021F1" w:rsidP="009021F1">
      <w:pPr>
        <w:pStyle w:val="Listepuces2"/>
        <w:numPr>
          <w:ilvl w:val="0"/>
          <w:numId w:val="124"/>
        </w:numPr>
        <w:tabs>
          <w:tab w:val="left" w:pos="851"/>
        </w:tabs>
        <w:spacing w:line="276" w:lineRule="auto"/>
        <w:ind w:left="1418" w:hanging="284"/>
        <w:jc w:val="both"/>
        <w:rPr>
          <w:rFonts w:ascii="Arial" w:hAnsi="Arial" w:cs="Arial"/>
          <w:sz w:val="21"/>
          <w:szCs w:val="21"/>
        </w:rPr>
      </w:pPr>
      <w:r w:rsidRPr="00D579BE">
        <w:rPr>
          <w:rFonts w:ascii="Arial" w:hAnsi="Arial" w:cs="Arial"/>
          <w:sz w:val="21"/>
          <w:szCs w:val="21"/>
        </w:rPr>
        <w:t>Les dispositions politiques, juridiques et réglementaires nationales relatives aux questions environnementales et sociales, qui sont directement pertinentes pour les activités proposées dans le cadre du Projet, y compris les exigences et procédures nationales en matière d’évaluation environnementale, de gestion de la main d’œuvre, de protection sociale, de gestion foncière, et de protection de la biodiversité</w:t>
      </w:r>
    </w:p>
    <w:p w14:paraId="7D038C49" w14:textId="77777777" w:rsidR="009021F1" w:rsidRPr="00D579BE" w:rsidRDefault="009021F1" w:rsidP="009021F1">
      <w:pPr>
        <w:pStyle w:val="Listepuces2"/>
        <w:numPr>
          <w:ilvl w:val="0"/>
          <w:numId w:val="124"/>
        </w:numPr>
        <w:tabs>
          <w:tab w:val="left" w:pos="851"/>
        </w:tabs>
        <w:spacing w:line="276" w:lineRule="auto"/>
        <w:ind w:left="1418" w:hanging="284"/>
        <w:jc w:val="both"/>
        <w:rPr>
          <w:rFonts w:ascii="Arial" w:hAnsi="Arial" w:cs="Arial"/>
          <w:sz w:val="21"/>
          <w:szCs w:val="21"/>
        </w:rPr>
      </w:pPr>
      <w:r w:rsidRPr="00D579BE">
        <w:rPr>
          <w:rFonts w:ascii="Arial" w:hAnsi="Arial" w:cs="Arial"/>
          <w:sz w:val="21"/>
          <w:szCs w:val="21"/>
        </w:rPr>
        <w:t>Les normes environnementales et sociales de la Banque mondiale (ESS) pertinentes pour le Projet</w:t>
      </w:r>
      <w:r w:rsidRPr="00D579BE">
        <w:rPr>
          <w:rStyle w:val="Appelnotedebasdep"/>
          <w:rFonts w:ascii="Arial" w:hAnsi="Arial" w:cs="Arial"/>
          <w:sz w:val="21"/>
          <w:szCs w:val="21"/>
        </w:rPr>
        <w:footnoteReference w:id="29"/>
      </w:r>
      <w:r w:rsidRPr="00D579BE">
        <w:rPr>
          <w:rFonts w:ascii="Arial" w:hAnsi="Arial" w:cs="Arial"/>
          <w:sz w:val="21"/>
          <w:szCs w:val="21"/>
        </w:rPr>
        <w:t>.</w:t>
      </w:r>
    </w:p>
    <w:p w14:paraId="0C29D45E" w14:textId="77777777" w:rsidR="009021F1" w:rsidRPr="00D579BE" w:rsidRDefault="009021F1" w:rsidP="009021F1">
      <w:pPr>
        <w:pStyle w:val="Listepuces2"/>
        <w:numPr>
          <w:ilvl w:val="0"/>
          <w:numId w:val="124"/>
        </w:numPr>
        <w:tabs>
          <w:tab w:val="left" w:pos="851"/>
        </w:tabs>
        <w:spacing w:line="276" w:lineRule="auto"/>
        <w:ind w:left="1418" w:hanging="284"/>
        <w:jc w:val="both"/>
        <w:rPr>
          <w:rFonts w:ascii="Arial" w:hAnsi="Arial" w:cs="Arial"/>
          <w:sz w:val="21"/>
          <w:szCs w:val="21"/>
        </w:rPr>
      </w:pPr>
      <w:r w:rsidRPr="00D579BE">
        <w:rPr>
          <w:rFonts w:ascii="Arial" w:hAnsi="Arial" w:cs="Arial"/>
          <w:sz w:val="21"/>
          <w:szCs w:val="21"/>
        </w:rPr>
        <w:t xml:space="preserve">Les instruments de gestion des risques environnementaux et sociaux requis dans le cadre du </w:t>
      </w:r>
      <w:r w:rsidRPr="00D579BE">
        <w:rPr>
          <w:rFonts w:ascii="Arial" w:hAnsi="Arial" w:cs="Arial"/>
          <w:i/>
          <w:iCs/>
          <w:sz w:val="21"/>
          <w:szCs w:val="21"/>
        </w:rPr>
        <w:t>Projet</w:t>
      </w:r>
      <w:r w:rsidRPr="00D579BE">
        <w:rPr>
          <w:rFonts w:ascii="Arial" w:hAnsi="Arial" w:cs="Arial"/>
          <w:sz w:val="21"/>
          <w:szCs w:val="21"/>
        </w:rPr>
        <w:t>, et une indication de leur articulation</w:t>
      </w:r>
    </w:p>
    <w:p w14:paraId="3BC4D9C3" w14:textId="77777777" w:rsidR="009021F1" w:rsidRPr="00D579BE" w:rsidRDefault="009021F1" w:rsidP="009021F1">
      <w:pPr>
        <w:pStyle w:val="Listepuces2"/>
        <w:numPr>
          <w:ilvl w:val="0"/>
          <w:numId w:val="124"/>
        </w:numPr>
        <w:tabs>
          <w:tab w:val="left" w:pos="851"/>
        </w:tabs>
        <w:spacing w:line="276" w:lineRule="auto"/>
        <w:ind w:left="1418" w:hanging="284"/>
        <w:jc w:val="both"/>
        <w:rPr>
          <w:rFonts w:ascii="Arial" w:hAnsi="Arial" w:cs="Arial"/>
          <w:sz w:val="21"/>
          <w:szCs w:val="21"/>
        </w:rPr>
      </w:pPr>
      <w:r w:rsidRPr="00D579BE">
        <w:rPr>
          <w:rFonts w:ascii="Arial" w:hAnsi="Arial" w:cs="Arial"/>
          <w:sz w:val="21"/>
          <w:szCs w:val="21"/>
        </w:rPr>
        <w:t>Les directives du Groupe de la Banque mondiale en matière d'environnement, de santé et de sécurité (directives EHS) applicables au projet, notamment la Directive Générale</w:t>
      </w:r>
      <w:r w:rsidRPr="00D579BE">
        <w:rPr>
          <w:rStyle w:val="Appelnotedebasdep"/>
          <w:rFonts w:ascii="Arial" w:hAnsi="Arial" w:cs="Arial"/>
          <w:sz w:val="21"/>
          <w:szCs w:val="21"/>
        </w:rPr>
        <w:footnoteReference w:id="30"/>
      </w:r>
    </w:p>
    <w:p w14:paraId="09E2EFDA" w14:textId="77777777" w:rsidR="009021F1" w:rsidRPr="00D579BE" w:rsidRDefault="009021F1" w:rsidP="009021F1">
      <w:pPr>
        <w:pStyle w:val="Listepuces2"/>
        <w:numPr>
          <w:ilvl w:val="0"/>
          <w:numId w:val="124"/>
        </w:numPr>
        <w:tabs>
          <w:tab w:val="left" w:pos="851"/>
        </w:tabs>
        <w:spacing w:line="276" w:lineRule="auto"/>
        <w:ind w:left="1418" w:hanging="284"/>
        <w:jc w:val="both"/>
        <w:rPr>
          <w:rFonts w:ascii="Arial" w:hAnsi="Arial" w:cs="Arial"/>
          <w:sz w:val="21"/>
          <w:szCs w:val="21"/>
        </w:rPr>
      </w:pPr>
      <w:r w:rsidRPr="00D579BE">
        <w:rPr>
          <w:rFonts w:ascii="Arial" w:hAnsi="Arial" w:cs="Arial"/>
          <w:sz w:val="21"/>
          <w:szCs w:val="21"/>
        </w:rPr>
        <w:t>Les conventions internationales et régionales directement pertinentes pour le Projet qui ont été adoptées par le pays, telles que la Convention de Stockholm sur les polluants organiques persistants ou la Convention de Bâle sur les déchets dangereux et leur élimination</w:t>
      </w:r>
    </w:p>
    <w:p w14:paraId="621821C9" w14:textId="77777777" w:rsidR="009021F1" w:rsidRPr="00D579BE" w:rsidRDefault="009021F1" w:rsidP="009021F1">
      <w:pPr>
        <w:pStyle w:val="Listepuces2"/>
        <w:numPr>
          <w:ilvl w:val="0"/>
          <w:numId w:val="124"/>
        </w:numPr>
        <w:tabs>
          <w:tab w:val="left" w:pos="851"/>
        </w:tabs>
        <w:spacing w:line="276" w:lineRule="auto"/>
        <w:ind w:left="1418" w:hanging="284"/>
        <w:jc w:val="both"/>
        <w:rPr>
          <w:rFonts w:ascii="Arial" w:hAnsi="Arial" w:cs="Arial"/>
          <w:sz w:val="21"/>
          <w:szCs w:val="21"/>
        </w:rPr>
      </w:pPr>
      <w:r w:rsidRPr="00D579BE">
        <w:rPr>
          <w:rFonts w:ascii="Arial" w:hAnsi="Arial" w:cs="Arial"/>
          <w:sz w:val="21"/>
          <w:szCs w:val="21"/>
        </w:rPr>
        <w:t>Les principales prenantes qui sont directement pertinentes pour les activités proposées dans le cadre du Projet, ainsi que tout autre intervenant, lors de la mise en œuvre du Projet.</w:t>
      </w:r>
    </w:p>
    <w:p w14:paraId="52D50093" w14:textId="77777777" w:rsidR="009021F1" w:rsidRPr="00D579BE" w:rsidRDefault="009021F1" w:rsidP="009021F1">
      <w:pPr>
        <w:pStyle w:val="Listepuces"/>
        <w:widowControl/>
        <w:numPr>
          <w:ilvl w:val="0"/>
          <w:numId w:val="123"/>
        </w:numPr>
        <w:tabs>
          <w:tab w:val="left" w:pos="851"/>
          <w:tab w:val="left" w:pos="1134"/>
        </w:tabs>
        <w:spacing w:line="276" w:lineRule="auto"/>
        <w:ind w:left="851" w:hanging="284"/>
        <w:jc w:val="both"/>
        <w:rPr>
          <w:rFonts w:ascii="Arial" w:hAnsi="Arial" w:cs="Arial"/>
          <w:sz w:val="21"/>
          <w:szCs w:val="21"/>
        </w:rPr>
      </w:pPr>
      <w:r w:rsidRPr="00D579BE">
        <w:rPr>
          <w:rFonts w:ascii="Arial" w:hAnsi="Arial" w:cs="Arial"/>
          <w:sz w:val="21"/>
          <w:szCs w:val="21"/>
        </w:rPr>
        <w:t>Identifie les écarts entre les dispositions nationales et les exigences de la Banque mondiale de chacune des Normes Environnementales et Sociales (NES) pertinentes au sous-projet, et proposera des palliatifs (sous la forme d’un tableau).  À cet effet le Consultant utilisera le tableau des exigences clefs joint en Annexe à ces TdRs.  Le tableau est applicable aux deux EIES.</w:t>
      </w:r>
    </w:p>
    <w:p w14:paraId="5083D819" w14:textId="77777777" w:rsidR="009021F1" w:rsidRPr="00D579BE" w:rsidRDefault="009021F1" w:rsidP="009021F1">
      <w:pPr>
        <w:pStyle w:val="Listepuces"/>
        <w:widowControl/>
        <w:tabs>
          <w:tab w:val="left" w:pos="851"/>
          <w:tab w:val="left" w:pos="1134"/>
        </w:tabs>
        <w:spacing w:line="276" w:lineRule="auto"/>
        <w:ind w:left="851" w:firstLine="0"/>
        <w:jc w:val="both"/>
        <w:rPr>
          <w:rFonts w:ascii="Arial" w:hAnsi="Arial" w:cs="Arial"/>
          <w:sz w:val="21"/>
          <w:szCs w:val="21"/>
        </w:rPr>
      </w:pPr>
    </w:p>
    <w:p w14:paraId="6D0628F8" w14:textId="77777777" w:rsidR="009021F1" w:rsidRPr="00D579BE" w:rsidRDefault="009021F1" w:rsidP="009021F1">
      <w:pPr>
        <w:pStyle w:val="Listenumros3"/>
        <w:keepNext/>
        <w:keepLines/>
        <w:numPr>
          <w:ilvl w:val="3"/>
          <w:numId w:val="119"/>
        </w:numPr>
        <w:tabs>
          <w:tab w:val="left" w:pos="709"/>
        </w:tabs>
        <w:snapToGrid/>
        <w:spacing w:line="276" w:lineRule="auto"/>
        <w:ind w:hanging="76"/>
        <w:jc w:val="both"/>
        <w:rPr>
          <w:rFonts w:ascii="Arial" w:hAnsi="Arial" w:cs="Arial"/>
          <w:b/>
          <w:i/>
          <w:sz w:val="21"/>
          <w:szCs w:val="21"/>
        </w:rPr>
      </w:pPr>
      <w:r w:rsidRPr="00D579BE">
        <w:rPr>
          <w:rFonts w:ascii="Arial" w:hAnsi="Arial" w:cs="Arial"/>
          <w:b/>
          <w:i/>
          <w:sz w:val="21"/>
          <w:szCs w:val="21"/>
        </w:rPr>
        <w:t>Données de base</w:t>
      </w:r>
    </w:p>
    <w:p w14:paraId="205EB5E5" w14:textId="77777777" w:rsidR="009021F1" w:rsidRPr="00D579BE" w:rsidRDefault="009021F1" w:rsidP="009021F1">
      <w:pPr>
        <w:pStyle w:val="Listenumros3"/>
        <w:keepNext/>
        <w:keepLines/>
        <w:tabs>
          <w:tab w:val="clear" w:pos="360"/>
          <w:tab w:val="left" w:pos="1191"/>
        </w:tabs>
        <w:snapToGrid/>
        <w:spacing w:line="276" w:lineRule="auto"/>
        <w:ind w:left="360"/>
        <w:jc w:val="both"/>
        <w:rPr>
          <w:rFonts w:ascii="Arial" w:hAnsi="Arial" w:cs="Arial"/>
          <w:b/>
          <w:i/>
          <w:sz w:val="21"/>
          <w:szCs w:val="21"/>
        </w:rPr>
      </w:pPr>
    </w:p>
    <w:p w14:paraId="6C74D925" w14:textId="77777777" w:rsidR="009021F1" w:rsidRPr="00D579BE" w:rsidRDefault="009021F1" w:rsidP="009021F1">
      <w:pPr>
        <w:pStyle w:val="Listepuces"/>
        <w:widowControl/>
        <w:numPr>
          <w:ilvl w:val="0"/>
          <w:numId w:val="123"/>
        </w:numPr>
        <w:tabs>
          <w:tab w:val="left" w:pos="851"/>
          <w:tab w:val="left" w:pos="1134"/>
        </w:tabs>
        <w:spacing w:line="276" w:lineRule="auto"/>
        <w:ind w:left="851" w:hanging="284"/>
        <w:jc w:val="both"/>
        <w:rPr>
          <w:rFonts w:ascii="Arial" w:hAnsi="Arial" w:cs="Arial"/>
          <w:sz w:val="21"/>
          <w:szCs w:val="21"/>
        </w:rPr>
      </w:pPr>
      <w:r w:rsidRPr="00D579BE">
        <w:rPr>
          <w:rFonts w:ascii="Arial" w:hAnsi="Arial" w:cs="Arial"/>
          <w:sz w:val="21"/>
          <w:szCs w:val="21"/>
        </w:rPr>
        <w:t>Présente uniquement et de manière succincte les informations requises pour comprendre les enjeux environnementaux et sociaux du Projet, notamment ce qui pourrait être affecté par le Projet ou ce qui pourrait affecter le Projet, y compris les informations pertinentes sur la zone d’accueil du sousprojet et les installations associées (localités, populations, économie locale, pauvreté, conflit, sécurité, géographie, secteurs ciblés, hydrologie, climat, biodiversité, aires protégées).</w:t>
      </w:r>
      <w:r w:rsidRPr="00D579BE">
        <w:rPr>
          <w:rFonts w:ascii="Arial" w:hAnsi="Arial" w:cs="Arial"/>
          <w:sz w:val="21"/>
          <w:szCs w:val="21"/>
        </w:rPr>
        <w:br/>
      </w:r>
      <w:r w:rsidRPr="00D579BE">
        <w:rPr>
          <w:rFonts w:ascii="Arial" w:hAnsi="Arial" w:cs="Arial"/>
          <w:sz w:val="21"/>
          <w:szCs w:val="21"/>
        </w:rPr>
        <w:tab/>
        <w:t>Le niveau de détail des informations présentées doit être suffisant et approprié pour renseigner sur la nature et les caractéristiques des risques et des impacts ainsi que sur les mesures d’atténuation du projet.  Tout détail monographique doit être en Annexe, afin de ne pas alourdir le texte et faciliter sa lecture.</w:t>
      </w:r>
    </w:p>
    <w:p w14:paraId="59BB612B" w14:textId="77777777" w:rsidR="009021F1" w:rsidRPr="00D579BE" w:rsidRDefault="009021F1" w:rsidP="009021F1">
      <w:pPr>
        <w:pStyle w:val="Listepuces"/>
        <w:widowControl/>
        <w:numPr>
          <w:ilvl w:val="0"/>
          <w:numId w:val="123"/>
        </w:numPr>
        <w:tabs>
          <w:tab w:val="left" w:pos="851"/>
          <w:tab w:val="left" w:pos="1134"/>
        </w:tabs>
        <w:spacing w:line="276" w:lineRule="auto"/>
        <w:ind w:left="851" w:hanging="284"/>
        <w:jc w:val="both"/>
        <w:rPr>
          <w:rFonts w:ascii="Arial" w:hAnsi="Arial" w:cs="Arial"/>
          <w:sz w:val="21"/>
          <w:szCs w:val="21"/>
        </w:rPr>
      </w:pPr>
      <w:r w:rsidRPr="00D579BE">
        <w:rPr>
          <w:rFonts w:ascii="Arial" w:hAnsi="Arial" w:cs="Arial"/>
          <w:sz w:val="21"/>
          <w:szCs w:val="21"/>
        </w:rPr>
        <w:t xml:space="preserve">Accompagne le texte avec des cartes qui localisent tous les toponymes mentionnés dans l’EIES.  </w:t>
      </w:r>
    </w:p>
    <w:p w14:paraId="048B8ADD" w14:textId="77777777" w:rsidR="009021F1" w:rsidRPr="00D579BE" w:rsidRDefault="009021F1" w:rsidP="009021F1">
      <w:pPr>
        <w:pStyle w:val="Listepuces"/>
        <w:widowControl/>
        <w:numPr>
          <w:ilvl w:val="0"/>
          <w:numId w:val="123"/>
        </w:numPr>
        <w:tabs>
          <w:tab w:val="left" w:pos="851"/>
          <w:tab w:val="left" w:pos="1134"/>
        </w:tabs>
        <w:spacing w:line="276" w:lineRule="auto"/>
        <w:ind w:left="851" w:hanging="284"/>
        <w:jc w:val="both"/>
        <w:rPr>
          <w:rFonts w:ascii="Arial" w:hAnsi="Arial" w:cs="Arial"/>
          <w:sz w:val="21"/>
          <w:szCs w:val="21"/>
        </w:rPr>
      </w:pPr>
      <w:r w:rsidRPr="00D579BE">
        <w:rPr>
          <w:rFonts w:ascii="Arial" w:hAnsi="Arial" w:cs="Arial"/>
          <w:sz w:val="21"/>
          <w:szCs w:val="21"/>
        </w:rPr>
        <w:t>Identifie et documente les groupes défavorisés ou vulnérables, y compris les personnes déplacées par des conflits, qui peuvent être affectés par le sousprojet, soit parce qu'ils sont touchés de manière disproportionnée, soit parce qu'ils pourraient être limités dans l'accès aux bénéfices découlant de ces activités.  Une attention particulière doit être portée à la présence ou non de communautés autochtones près du site du sous-projet.</w:t>
      </w:r>
    </w:p>
    <w:p w14:paraId="785AE466" w14:textId="77777777" w:rsidR="009021F1" w:rsidRPr="00D579BE" w:rsidRDefault="009021F1" w:rsidP="009021F1">
      <w:pPr>
        <w:pStyle w:val="Listepuces"/>
        <w:widowControl/>
        <w:numPr>
          <w:ilvl w:val="0"/>
          <w:numId w:val="123"/>
        </w:numPr>
        <w:tabs>
          <w:tab w:val="left" w:pos="851"/>
          <w:tab w:val="left" w:pos="1134"/>
        </w:tabs>
        <w:spacing w:line="276" w:lineRule="auto"/>
        <w:ind w:left="851" w:hanging="284"/>
        <w:jc w:val="both"/>
        <w:rPr>
          <w:rFonts w:ascii="Arial" w:hAnsi="Arial" w:cs="Arial"/>
          <w:sz w:val="21"/>
          <w:szCs w:val="21"/>
        </w:rPr>
      </w:pPr>
      <w:r w:rsidRPr="00D579BE">
        <w:rPr>
          <w:rFonts w:ascii="Arial" w:hAnsi="Arial" w:cs="Arial"/>
          <w:sz w:val="21"/>
          <w:szCs w:val="21"/>
        </w:rPr>
        <w:t>Analyse les données existantes sur la VBG, y compris les données sur la violence sexuelle et physique par les partenaires/non-partenaires, l’exploitation et l’abus sexuels, le harcèlement sexuel, la violence intime par un partenaire, la violence familiale, les mariages précoces et les pratiques traditionnelles nuisibles, notamment celles qui risquent d’être exacerbées par la mise en œuvre du projet</w:t>
      </w:r>
      <w:r w:rsidRPr="00D579BE">
        <w:rPr>
          <w:rStyle w:val="Appelnotedebasdep"/>
          <w:rFonts w:ascii="Arial" w:hAnsi="Arial" w:cs="Arial"/>
          <w:sz w:val="21"/>
          <w:szCs w:val="21"/>
        </w:rPr>
        <w:footnoteReference w:id="31"/>
      </w:r>
      <w:r w:rsidRPr="00D579BE">
        <w:rPr>
          <w:rFonts w:ascii="Arial" w:hAnsi="Arial" w:cs="Arial"/>
          <w:sz w:val="21"/>
          <w:szCs w:val="21"/>
        </w:rPr>
        <w:t xml:space="preserve">. </w:t>
      </w:r>
    </w:p>
    <w:p w14:paraId="51F90C06" w14:textId="77777777" w:rsidR="009021F1" w:rsidRPr="00D579BE" w:rsidRDefault="009021F1" w:rsidP="009021F1">
      <w:pPr>
        <w:pStyle w:val="Listepuces"/>
        <w:widowControl/>
        <w:numPr>
          <w:ilvl w:val="0"/>
          <w:numId w:val="123"/>
        </w:numPr>
        <w:tabs>
          <w:tab w:val="left" w:pos="851"/>
          <w:tab w:val="left" w:pos="1134"/>
        </w:tabs>
        <w:spacing w:line="276" w:lineRule="auto"/>
        <w:ind w:left="851" w:hanging="284"/>
        <w:jc w:val="both"/>
        <w:rPr>
          <w:rFonts w:ascii="Arial" w:hAnsi="Arial" w:cs="Arial"/>
          <w:sz w:val="21"/>
          <w:szCs w:val="21"/>
        </w:rPr>
      </w:pPr>
      <w:r w:rsidRPr="00D579BE">
        <w:rPr>
          <w:rFonts w:ascii="Arial" w:hAnsi="Arial" w:cs="Arial"/>
          <w:sz w:val="21"/>
          <w:szCs w:val="21"/>
        </w:rPr>
        <w:t>Analyse la disponibilité et l’accessibilité de services de réponse à la VBG sûrs et éthiques, notamment les soins médicaux, les services psychologiques, l’aide juridique, les services de protection et les opportunités de subsistance</w:t>
      </w:r>
      <w:r w:rsidRPr="00D579BE">
        <w:rPr>
          <w:rStyle w:val="Appelnotedebasdep"/>
          <w:rFonts w:ascii="Arial" w:hAnsi="Arial" w:cs="Arial"/>
          <w:sz w:val="21"/>
          <w:szCs w:val="21"/>
        </w:rPr>
        <w:footnoteReference w:id="32"/>
      </w:r>
      <w:r w:rsidRPr="00D579BE">
        <w:rPr>
          <w:rFonts w:ascii="Arial" w:hAnsi="Arial" w:cs="Arial"/>
          <w:sz w:val="21"/>
          <w:szCs w:val="21"/>
        </w:rPr>
        <w:t>.</w:t>
      </w:r>
    </w:p>
    <w:p w14:paraId="5A4F1C78" w14:textId="77777777" w:rsidR="009021F1" w:rsidRPr="00D579BE" w:rsidRDefault="009021F1" w:rsidP="009021F1">
      <w:pPr>
        <w:pStyle w:val="Listepuces"/>
        <w:widowControl/>
        <w:numPr>
          <w:ilvl w:val="0"/>
          <w:numId w:val="123"/>
        </w:numPr>
        <w:tabs>
          <w:tab w:val="left" w:pos="851"/>
          <w:tab w:val="left" w:pos="1134"/>
        </w:tabs>
        <w:spacing w:line="276" w:lineRule="auto"/>
        <w:ind w:left="851" w:hanging="284"/>
        <w:jc w:val="both"/>
        <w:rPr>
          <w:rFonts w:ascii="Arial" w:hAnsi="Arial" w:cs="Arial"/>
          <w:sz w:val="21"/>
          <w:szCs w:val="21"/>
        </w:rPr>
      </w:pPr>
      <w:r w:rsidRPr="00D579BE">
        <w:rPr>
          <w:rFonts w:ascii="Arial" w:hAnsi="Arial" w:cs="Arial"/>
          <w:sz w:val="21"/>
          <w:szCs w:val="21"/>
        </w:rPr>
        <w:t>Évalue la qualité, le degré de précision et la fiabilité des données disponibles, indique les sources de ces données et l’année de leur collecte, et identifie les lacunes essentielles.</w:t>
      </w:r>
    </w:p>
    <w:p w14:paraId="2803FCB7" w14:textId="77777777" w:rsidR="009021F1" w:rsidRPr="00D579BE" w:rsidRDefault="009021F1" w:rsidP="009021F1">
      <w:pPr>
        <w:pStyle w:val="Listepuces"/>
        <w:widowControl/>
        <w:numPr>
          <w:ilvl w:val="0"/>
          <w:numId w:val="123"/>
        </w:numPr>
        <w:tabs>
          <w:tab w:val="left" w:pos="851"/>
          <w:tab w:val="left" w:pos="1134"/>
        </w:tabs>
        <w:spacing w:line="276" w:lineRule="auto"/>
        <w:ind w:left="851" w:hanging="284"/>
        <w:jc w:val="both"/>
        <w:rPr>
          <w:rFonts w:ascii="Arial" w:hAnsi="Arial" w:cs="Arial"/>
          <w:sz w:val="21"/>
          <w:szCs w:val="21"/>
        </w:rPr>
      </w:pPr>
      <w:r w:rsidRPr="00D579BE">
        <w:rPr>
          <w:rFonts w:ascii="Arial" w:hAnsi="Arial" w:cs="Arial"/>
          <w:sz w:val="21"/>
          <w:szCs w:val="21"/>
        </w:rPr>
        <w:t>Prend en compte les autres activités de développement passées, en cours ou envisagées dans la zone concernée, ainsi que tout changement escompté avant le démarrage des activités.</w:t>
      </w:r>
    </w:p>
    <w:p w14:paraId="3C02B925" w14:textId="77777777" w:rsidR="009021F1" w:rsidRPr="00D579BE" w:rsidRDefault="009021F1" w:rsidP="009021F1">
      <w:pPr>
        <w:pStyle w:val="Listepuces"/>
        <w:widowControl/>
        <w:tabs>
          <w:tab w:val="left" w:pos="851"/>
          <w:tab w:val="left" w:pos="1134"/>
        </w:tabs>
        <w:spacing w:line="276" w:lineRule="auto"/>
        <w:ind w:left="851" w:firstLine="0"/>
        <w:jc w:val="both"/>
        <w:rPr>
          <w:rFonts w:ascii="Arial" w:hAnsi="Arial" w:cs="Arial"/>
          <w:sz w:val="21"/>
          <w:szCs w:val="21"/>
        </w:rPr>
      </w:pPr>
    </w:p>
    <w:p w14:paraId="4F8590EA" w14:textId="77777777" w:rsidR="009021F1" w:rsidRPr="00D579BE" w:rsidRDefault="009021F1" w:rsidP="009021F1">
      <w:pPr>
        <w:pStyle w:val="Listenumros3"/>
        <w:keepNext/>
        <w:keepLines/>
        <w:numPr>
          <w:ilvl w:val="3"/>
          <w:numId w:val="119"/>
        </w:numPr>
        <w:tabs>
          <w:tab w:val="left" w:pos="709"/>
        </w:tabs>
        <w:snapToGrid/>
        <w:spacing w:line="276" w:lineRule="auto"/>
        <w:ind w:hanging="76"/>
        <w:jc w:val="both"/>
        <w:rPr>
          <w:rFonts w:ascii="Arial" w:hAnsi="Arial" w:cs="Arial"/>
          <w:b/>
          <w:i/>
          <w:sz w:val="21"/>
          <w:szCs w:val="21"/>
        </w:rPr>
      </w:pPr>
      <w:r w:rsidRPr="00D579BE">
        <w:rPr>
          <w:rFonts w:ascii="Arial" w:hAnsi="Arial" w:cs="Arial"/>
          <w:b/>
          <w:i/>
          <w:sz w:val="21"/>
          <w:szCs w:val="21"/>
        </w:rPr>
        <w:t>Analyse des variantes</w:t>
      </w:r>
    </w:p>
    <w:p w14:paraId="52153DFE" w14:textId="77777777" w:rsidR="009021F1" w:rsidRPr="00D579BE" w:rsidRDefault="009021F1" w:rsidP="009021F1">
      <w:pPr>
        <w:pStyle w:val="Listenumros3"/>
        <w:keepNext/>
        <w:keepLines/>
        <w:tabs>
          <w:tab w:val="clear" w:pos="360"/>
          <w:tab w:val="left" w:pos="1191"/>
        </w:tabs>
        <w:snapToGrid/>
        <w:spacing w:line="276" w:lineRule="auto"/>
        <w:ind w:left="360"/>
        <w:jc w:val="both"/>
        <w:rPr>
          <w:rFonts w:ascii="Arial" w:hAnsi="Arial" w:cs="Arial"/>
          <w:b/>
          <w:i/>
          <w:sz w:val="21"/>
          <w:szCs w:val="21"/>
        </w:rPr>
      </w:pPr>
    </w:p>
    <w:p w14:paraId="13F82313" w14:textId="77777777" w:rsidR="009021F1" w:rsidRPr="00D579BE" w:rsidRDefault="009021F1" w:rsidP="009021F1">
      <w:pPr>
        <w:pStyle w:val="Listepuces"/>
        <w:widowControl/>
        <w:numPr>
          <w:ilvl w:val="0"/>
          <w:numId w:val="123"/>
        </w:numPr>
        <w:tabs>
          <w:tab w:val="left" w:pos="851"/>
          <w:tab w:val="left" w:pos="1134"/>
        </w:tabs>
        <w:spacing w:line="276" w:lineRule="auto"/>
        <w:ind w:left="851" w:hanging="284"/>
        <w:jc w:val="both"/>
        <w:rPr>
          <w:rFonts w:ascii="Arial" w:hAnsi="Arial" w:cs="Arial"/>
          <w:sz w:val="21"/>
          <w:szCs w:val="21"/>
        </w:rPr>
      </w:pPr>
      <w:r w:rsidRPr="00D579BE">
        <w:rPr>
          <w:rFonts w:ascii="Arial" w:hAnsi="Arial" w:cs="Arial"/>
          <w:sz w:val="21"/>
          <w:szCs w:val="21"/>
        </w:rPr>
        <w:t>Compare systématiquement les variantes acceptables par rapport à l’emplacement, la conception, la dimension, les technologies, et l’exploitation du sousprojet, y compris l’absence d’activités, sur la base de leurs effets environnementaux et sociaux potentiels. Dans la mesure du possible, des stratégies de construction alternatives (par exemple le calendrier, la main-d'œuvre locale par rapport à la main-d'œuvre importée, considération des besoins des personnes vivant avec un handicap (rampes d’accès), des femmes chefs de ménages, etc.) sont envisagées et évaluées en fonction de leurs implications environnementales et socio-économiques.</w:t>
      </w:r>
    </w:p>
    <w:p w14:paraId="316655A9" w14:textId="77777777" w:rsidR="009021F1" w:rsidRPr="00D579BE" w:rsidRDefault="009021F1" w:rsidP="009021F1">
      <w:pPr>
        <w:pStyle w:val="Listepuces"/>
        <w:widowControl/>
        <w:numPr>
          <w:ilvl w:val="0"/>
          <w:numId w:val="123"/>
        </w:numPr>
        <w:tabs>
          <w:tab w:val="left" w:pos="851"/>
          <w:tab w:val="left" w:pos="1134"/>
        </w:tabs>
        <w:spacing w:line="276" w:lineRule="auto"/>
        <w:ind w:left="851" w:hanging="284"/>
        <w:jc w:val="both"/>
        <w:rPr>
          <w:rFonts w:ascii="Arial" w:hAnsi="Arial" w:cs="Arial"/>
          <w:sz w:val="21"/>
          <w:szCs w:val="21"/>
        </w:rPr>
      </w:pPr>
      <w:r w:rsidRPr="00D579BE">
        <w:rPr>
          <w:rFonts w:ascii="Arial" w:hAnsi="Arial" w:cs="Arial"/>
          <w:sz w:val="21"/>
          <w:szCs w:val="21"/>
        </w:rPr>
        <w:t xml:space="preserve">Quantifie les impacts environnementaux et sociaux, y compris ceux liés à l’EAS/HS pour chaque variante, autant que faire se peut, et leur attribue une valeur économique lorsque cela est possible. </w:t>
      </w:r>
    </w:p>
    <w:p w14:paraId="3DF1125B" w14:textId="77777777" w:rsidR="009021F1" w:rsidRPr="00D579BE" w:rsidRDefault="009021F1" w:rsidP="009021F1">
      <w:pPr>
        <w:pStyle w:val="Listepuces"/>
        <w:widowControl/>
        <w:numPr>
          <w:ilvl w:val="0"/>
          <w:numId w:val="123"/>
        </w:numPr>
        <w:tabs>
          <w:tab w:val="left" w:pos="851"/>
          <w:tab w:val="left" w:pos="1134"/>
        </w:tabs>
        <w:spacing w:line="276" w:lineRule="auto"/>
        <w:ind w:left="851" w:hanging="284"/>
        <w:jc w:val="both"/>
        <w:rPr>
          <w:rFonts w:ascii="Arial" w:hAnsi="Arial" w:cs="Arial"/>
          <w:sz w:val="21"/>
          <w:szCs w:val="21"/>
        </w:rPr>
      </w:pPr>
      <w:r w:rsidRPr="00D579BE">
        <w:rPr>
          <w:rFonts w:ascii="Arial" w:hAnsi="Arial" w:cs="Arial"/>
          <w:sz w:val="21"/>
          <w:szCs w:val="21"/>
        </w:rPr>
        <w:t>Évalue les coûts d’investissement et les charges récurrentes correspondant aux mesures d’atténuation de chaque variante, ainsi que la faisabilité des mesures proposées par rapport aux conditions locales et les capacités institutionnelles en place ou à mettre en place.</w:t>
      </w:r>
    </w:p>
    <w:p w14:paraId="6459FE5B" w14:textId="77777777" w:rsidR="009021F1" w:rsidRPr="00D579BE" w:rsidRDefault="009021F1" w:rsidP="009021F1">
      <w:pPr>
        <w:pStyle w:val="Listepuces"/>
        <w:widowControl/>
        <w:tabs>
          <w:tab w:val="left" w:pos="851"/>
          <w:tab w:val="left" w:pos="1134"/>
        </w:tabs>
        <w:spacing w:line="276" w:lineRule="auto"/>
        <w:ind w:left="851" w:firstLine="0"/>
        <w:jc w:val="both"/>
        <w:rPr>
          <w:rFonts w:ascii="Arial" w:hAnsi="Arial" w:cs="Arial"/>
          <w:sz w:val="21"/>
          <w:szCs w:val="21"/>
        </w:rPr>
      </w:pPr>
    </w:p>
    <w:p w14:paraId="6B7FC5F8" w14:textId="77777777" w:rsidR="009021F1" w:rsidRPr="00D579BE" w:rsidRDefault="009021F1" w:rsidP="009021F1">
      <w:pPr>
        <w:pStyle w:val="Listenumros3"/>
        <w:keepNext/>
        <w:keepLines/>
        <w:numPr>
          <w:ilvl w:val="3"/>
          <w:numId w:val="119"/>
        </w:numPr>
        <w:tabs>
          <w:tab w:val="left" w:pos="709"/>
        </w:tabs>
        <w:snapToGrid/>
        <w:spacing w:line="276" w:lineRule="auto"/>
        <w:ind w:hanging="76"/>
        <w:jc w:val="both"/>
        <w:rPr>
          <w:rFonts w:ascii="Arial" w:hAnsi="Arial" w:cs="Arial"/>
          <w:b/>
          <w:i/>
          <w:sz w:val="21"/>
          <w:szCs w:val="21"/>
        </w:rPr>
      </w:pPr>
      <w:r w:rsidRPr="00D579BE">
        <w:rPr>
          <w:rFonts w:ascii="Arial" w:hAnsi="Arial" w:cs="Arial"/>
          <w:b/>
          <w:i/>
          <w:sz w:val="21"/>
          <w:szCs w:val="21"/>
        </w:rPr>
        <w:t>Risques et impacts environnementaux et sociaux</w:t>
      </w:r>
    </w:p>
    <w:p w14:paraId="1FDA9DED" w14:textId="77777777" w:rsidR="009021F1" w:rsidRPr="00D579BE" w:rsidRDefault="009021F1" w:rsidP="009021F1">
      <w:pPr>
        <w:pStyle w:val="Listenumros3"/>
        <w:keepNext/>
        <w:keepLines/>
        <w:tabs>
          <w:tab w:val="clear" w:pos="360"/>
          <w:tab w:val="left" w:pos="1191"/>
        </w:tabs>
        <w:snapToGrid/>
        <w:spacing w:line="276" w:lineRule="auto"/>
        <w:ind w:left="360"/>
        <w:jc w:val="both"/>
        <w:rPr>
          <w:rFonts w:ascii="Arial" w:hAnsi="Arial" w:cs="Arial"/>
          <w:b/>
          <w:i/>
          <w:sz w:val="21"/>
          <w:szCs w:val="21"/>
        </w:rPr>
      </w:pPr>
    </w:p>
    <w:p w14:paraId="20E9570E" w14:textId="77777777" w:rsidR="009021F1" w:rsidRPr="00D579BE" w:rsidRDefault="009021F1" w:rsidP="009021F1">
      <w:pPr>
        <w:pStyle w:val="Listepuces"/>
        <w:widowControl/>
        <w:numPr>
          <w:ilvl w:val="0"/>
          <w:numId w:val="123"/>
        </w:numPr>
        <w:tabs>
          <w:tab w:val="left" w:pos="851"/>
          <w:tab w:val="left" w:pos="1134"/>
        </w:tabs>
        <w:spacing w:line="276" w:lineRule="auto"/>
        <w:ind w:left="851" w:hanging="284"/>
        <w:jc w:val="both"/>
        <w:rPr>
          <w:rFonts w:ascii="Arial" w:hAnsi="Arial" w:cs="Arial"/>
          <w:sz w:val="21"/>
          <w:szCs w:val="21"/>
        </w:rPr>
      </w:pPr>
      <w:r w:rsidRPr="00D579BE">
        <w:rPr>
          <w:rFonts w:ascii="Arial" w:hAnsi="Arial" w:cs="Arial"/>
          <w:sz w:val="21"/>
          <w:szCs w:val="21"/>
        </w:rPr>
        <w:t>Identifie, établit une typologie, décrit, analyse et évalue l’importance des risques et impacts environnementaux et sociaux directs, indirects, ou cumulatifs, y compris ceux liés à l’EAS/HS  pouvant découler du sousprojet ou des installations associées pendant leur durée de vie.</w:t>
      </w:r>
    </w:p>
    <w:p w14:paraId="32BD7247" w14:textId="77777777" w:rsidR="009021F1" w:rsidRPr="00D579BE" w:rsidRDefault="009021F1" w:rsidP="009021F1">
      <w:pPr>
        <w:pStyle w:val="Listepuces"/>
        <w:widowControl/>
        <w:numPr>
          <w:ilvl w:val="0"/>
          <w:numId w:val="123"/>
        </w:numPr>
        <w:tabs>
          <w:tab w:val="left" w:pos="851"/>
          <w:tab w:val="left" w:pos="1134"/>
        </w:tabs>
        <w:spacing w:line="276" w:lineRule="auto"/>
        <w:ind w:left="851" w:hanging="284"/>
        <w:jc w:val="both"/>
        <w:rPr>
          <w:rFonts w:ascii="Arial" w:hAnsi="Arial" w:cs="Arial"/>
          <w:sz w:val="21"/>
          <w:szCs w:val="21"/>
        </w:rPr>
      </w:pPr>
      <w:r w:rsidRPr="00D579BE">
        <w:rPr>
          <w:rFonts w:ascii="Arial" w:hAnsi="Arial" w:cs="Arial"/>
          <w:sz w:val="21"/>
          <w:szCs w:val="21"/>
        </w:rPr>
        <w:t>Mets en relation ces risques et impacts avec les Normes Environnementales et Sociales de la Banque mondiale.  À cet effet le Chapitre doit, entre autres, porter une attention particulière aux risques et impacts associés :</w:t>
      </w:r>
    </w:p>
    <w:p w14:paraId="28D5DE7E" w14:textId="77777777" w:rsidR="009021F1" w:rsidRPr="00D579BE" w:rsidRDefault="009021F1" w:rsidP="009021F1">
      <w:pPr>
        <w:pStyle w:val="Listepuces2"/>
        <w:numPr>
          <w:ilvl w:val="0"/>
          <w:numId w:val="124"/>
        </w:numPr>
        <w:tabs>
          <w:tab w:val="left" w:pos="851"/>
        </w:tabs>
        <w:spacing w:line="276" w:lineRule="auto"/>
        <w:ind w:left="1418" w:hanging="284"/>
        <w:jc w:val="both"/>
        <w:rPr>
          <w:rFonts w:ascii="Arial" w:hAnsi="Arial" w:cs="Arial"/>
          <w:sz w:val="21"/>
          <w:szCs w:val="21"/>
        </w:rPr>
      </w:pPr>
      <w:r w:rsidRPr="00D579BE">
        <w:rPr>
          <w:rFonts w:ascii="Arial" w:hAnsi="Arial" w:cs="Arial"/>
          <w:sz w:val="21"/>
          <w:szCs w:val="21"/>
        </w:rPr>
        <w:t>Aux personnes ou groupes potentiellement défavorisés ou vulnérables du fait de leur situation particulière, tels que définis dans la NES1</w:t>
      </w:r>
      <w:r w:rsidRPr="00D579BE">
        <w:rPr>
          <w:rStyle w:val="Appelnotedebasdep"/>
          <w:rFonts w:ascii="Arial" w:hAnsi="Arial" w:cs="Arial"/>
          <w:sz w:val="21"/>
          <w:szCs w:val="21"/>
        </w:rPr>
        <w:footnoteReference w:id="33"/>
      </w:r>
      <w:r w:rsidRPr="00D579BE">
        <w:rPr>
          <w:rFonts w:ascii="Arial" w:hAnsi="Arial" w:cs="Arial"/>
          <w:sz w:val="21"/>
          <w:szCs w:val="21"/>
        </w:rPr>
        <w:t xml:space="preserve"> et NES7 ; notamment les Batwas. </w:t>
      </w:r>
    </w:p>
    <w:p w14:paraId="2FC5534D" w14:textId="77777777" w:rsidR="009021F1" w:rsidRPr="00D579BE" w:rsidRDefault="009021F1" w:rsidP="009021F1">
      <w:pPr>
        <w:pStyle w:val="Listepuces2"/>
        <w:numPr>
          <w:ilvl w:val="0"/>
          <w:numId w:val="124"/>
        </w:numPr>
        <w:tabs>
          <w:tab w:val="left" w:pos="851"/>
        </w:tabs>
        <w:spacing w:line="276" w:lineRule="auto"/>
        <w:ind w:left="1418" w:hanging="284"/>
        <w:jc w:val="both"/>
        <w:rPr>
          <w:rFonts w:ascii="Arial" w:hAnsi="Arial" w:cs="Arial"/>
          <w:sz w:val="21"/>
          <w:szCs w:val="21"/>
        </w:rPr>
      </w:pPr>
      <w:r w:rsidRPr="00D579BE">
        <w:rPr>
          <w:rFonts w:ascii="Arial" w:hAnsi="Arial" w:cs="Arial"/>
          <w:sz w:val="21"/>
          <w:szCs w:val="21"/>
        </w:rPr>
        <w:t>Aux conditions de travail et d’emploi, à la discrimination, et à la santé et la sécurité au travail, tels qu’indiqués dans la NES2.</w:t>
      </w:r>
    </w:p>
    <w:p w14:paraId="40198E69" w14:textId="77777777" w:rsidR="009021F1" w:rsidRPr="00D579BE" w:rsidRDefault="009021F1" w:rsidP="009021F1">
      <w:pPr>
        <w:pStyle w:val="Listepuces2"/>
        <w:numPr>
          <w:ilvl w:val="0"/>
          <w:numId w:val="124"/>
        </w:numPr>
        <w:tabs>
          <w:tab w:val="left" w:pos="851"/>
        </w:tabs>
        <w:spacing w:line="276" w:lineRule="auto"/>
        <w:ind w:left="1418" w:hanging="284"/>
        <w:jc w:val="both"/>
        <w:rPr>
          <w:rFonts w:ascii="Arial" w:hAnsi="Arial" w:cs="Arial"/>
          <w:sz w:val="21"/>
          <w:szCs w:val="21"/>
        </w:rPr>
      </w:pPr>
      <w:r w:rsidRPr="00D579BE">
        <w:rPr>
          <w:rFonts w:ascii="Arial" w:hAnsi="Arial" w:cs="Arial"/>
          <w:sz w:val="21"/>
          <w:szCs w:val="21"/>
        </w:rPr>
        <w:t>Aux fournisseurs principaux.  Ces risques seront traités manière proportionnée au contrôle ou à l’influence exercés sur ces fournisseurs principaux, tel qu’indiqué dans les NES2 et NES6.</w:t>
      </w:r>
    </w:p>
    <w:p w14:paraId="2F791907" w14:textId="77777777" w:rsidR="009021F1" w:rsidRPr="00D579BE" w:rsidRDefault="009021F1" w:rsidP="009021F1">
      <w:pPr>
        <w:pStyle w:val="Listepuces2"/>
        <w:numPr>
          <w:ilvl w:val="0"/>
          <w:numId w:val="124"/>
        </w:numPr>
        <w:tabs>
          <w:tab w:val="left" w:pos="851"/>
        </w:tabs>
        <w:spacing w:line="276" w:lineRule="auto"/>
        <w:ind w:left="1418" w:hanging="284"/>
        <w:jc w:val="both"/>
        <w:rPr>
          <w:rFonts w:ascii="Arial" w:hAnsi="Arial" w:cs="Arial"/>
          <w:sz w:val="21"/>
          <w:szCs w:val="21"/>
        </w:rPr>
      </w:pPr>
      <w:r w:rsidRPr="00D579BE">
        <w:rPr>
          <w:rFonts w:ascii="Arial" w:hAnsi="Arial" w:cs="Arial"/>
          <w:sz w:val="21"/>
          <w:szCs w:val="21"/>
        </w:rPr>
        <w:t>A la pollution, tel que défini dans la NES3, et dans le paragraphe 18 de la NES1, y compris le risque de pollution des cours d’eau qui pourrait constituer un enjeu international.</w:t>
      </w:r>
    </w:p>
    <w:p w14:paraId="53C1F4F0" w14:textId="77777777" w:rsidR="009021F1" w:rsidRPr="00D579BE" w:rsidRDefault="009021F1" w:rsidP="009021F1">
      <w:pPr>
        <w:pStyle w:val="Listepuces2"/>
        <w:numPr>
          <w:ilvl w:val="0"/>
          <w:numId w:val="124"/>
        </w:numPr>
        <w:tabs>
          <w:tab w:val="left" w:pos="851"/>
        </w:tabs>
        <w:spacing w:line="276" w:lineRule="auto"/>
        <w:ind w:left="1418" w:hanging="284"/>
        <w:jc w:val="both"/>
        <w:rPr>
          <w:rFonts w:ascii="Arial" w:hAnsi="Arial" w:cs="Arial"/>
          <w:sz w:val="21"/>
          <w:szCs w:val="21"/>
        </w:rPr>
      </w:pPr>
      <w:r w:rsidRPr="00D579BE">
        <w:rPr>
          <w:rFonts w:ascii="Arial" w:hAnsi="Arial" w:cs="Arial"/>
          <w:sz w:val="21"/>
          <w:szCs w:val="21"/>
        </w:rPr>
        <w:t>À l’utilisation de produits chimiques et des substances dangereuses, dont les pesticides, tel qu’indiqué dans la NES3.</w:t>
      </w:r>
    </w:p>
    <w:p w14:paraId="52DE7B65" w14:textId="77777777" w:rsidR="009021F1" w:rsidRPr="00D579BE" w:rsidRDefault="009021F1" w:rsidP="009021F1">
      <w:pPr>
        <w:pStyle w:val="Listepuces2"/>
        <w:numPr>
          <w:ilvl w:val="0"/>
          <w:numId w:val="124"/>
        </w:numPr>
        <w:tabs>
          <w:tab w:val="left" w:pos="851"/>
        </w:tabs>
        <w:spacing w:line="276" w:lineRule="auto"/>
        <w:ind w:left="1418" w:hanging="284"/>
        <w:jc w:val="both"/>
        <w:rPr>
          <w:rFonts w:ascii="Arial" w:hAnsi="Arial" w:cs="Arial"/>
          <w:sz w:val="21"/>
          <w:szCs w:val="21"/>
        </w:rPr>
      </w:pPr>
      <w:r w:rsidRPr="00D579BE">
        <w:rPr>
          <w:rFonts w:ascii="Arial" w:hAnsi="Arial" w:cs="Arial"/>
          <w:sz w:val="21"/>
          <w:szCs w:val="21"/>
        </w:rPr>
        <w:t>À la santé publique, notamment la transmission et la propagation de maladies infectieuses (i.e., le paludisme) et contagieuses (e.g., la COVID-19, VIG/SIDA, et Ébola)</w:t>
      </w:r>
    </w:p>
    <w:p w14:paraId="3C30B439" w14:textId="77777777" w:rsidR="009021F1" w:rsidRPr="00D579BE" w:rsidRDefault="009021F1" w:rsidP="009021F1">
      <w:pPr>
        <w:pStyle w:val="Listepuces2"/>
        <w:numPr>
          <w:ilvl w:val="0"/>
          <w:numId w:val="124"/>
        </w:numPr>
        <w:tabs>
          <w:tab w:val="left" w:pos="851"/>
        </w:tabs>
        <w:spacing w:line="276" w:lineRule="auto"/>
        <w:ind w:left="1418" w:hanging="284"/>
        <w:jc w:val="both"/>
        <w:rPr>
          <w:rFonts w:ascii="Arial" w:hAnsi="Arial" w:cs="Arial"/>
          <w:sz w:val="21"/>
          <w:szCs w:val="21"/>
        </w:rPr>
      </w:pPr>
      <w:r w:rsidRPr="00D579BE">
        <w:rPr>
          <w:rFonts w:ascii="Arial" w:hAnsi="Arial" w:cs="Arial"/>
          <w:sz w:val="21"/>
          <w:szCs w:val="21"/>
        </w:rPr>
        <w:t>Aux violences basées sur le genre (VBG), notamment les abus, l’exploitation et les atteintes sexuelles ainsi que le harcèlement sexuel (EAS/HS)</w:t>
      </w:r>
    </w:p>
    <w:p w14:paraId="337EC314" w14:textId="77777777" w:rsidR="009021F1" w:rsidRPr="00D579BE" w:rsidRDefault="009021F1" w:rsidP="009021F1">
      <w:pPr>
        <w:pStyle w:val="Listepuces2"/>
        <w:numPr>
          <w:ilvl w:val="0"/>
          <w:numId w:val="124"/>
        </w:numPr>
        <w:tabs>
          <w:tab w:val="left" w:pos="851"/>
        </w:tabs>
        <w:spacing w:line="276" w:lineRule="auto"/>
        <w:ind w:left="1418" w:hanging="284"/>
        <w:jc w:val="both"/>
        <w:rPr>
          <w:rFonts w:ascii="Arial" w:hAnsi="Arial" w:cs="Arial"/>
          <w:sz w:val="21"/>
          <w:szCs w:val="21"/>
        </w:rPr>
      </w:pPr>
      <w:r w:rsidRPr="00D579BE">
        <w:rPr>
          <w:rFonts w:ascii="Arial" w:hAnsi="Arial" w:cs="Arial"/>
          <w:sz w:val="21"/>
          <w:szCs w:val="21"/>
        </w:rPr>
        <w:t>A la recrudescence des conflits interpersonnels, communautaires et interétatiques, de la criminalité, le banditisme ou de la violence</w:t>
      </w:r>
    </w:p>
    <w:p w14:paraId="210E9DF9" w14:textId="77777777" w:rsidR="009021F1" w:rsidRPr="00D579BE" w:rsidRDefault="009021F1" w:rsidP="009021F1">
      <w:pPr>
        <w:pStyle w:val="Listepuces2"/>
        <w:numPr>
          <w:ilvl w:val="0"/>
          <w:numId w:val="124"/>
        </w:numPr>
        <w:tabs>
          <w:tab w:val="left" w:pos="851"/>
        </w:tabs>
        <w:spacing w:line="276" w:lineRule="auto"/>
        <w:ind w:left="1418" w:hanging="284"/>
        <w:jc w:val="both"/>
        <w:rPr>
          <w:rFonts w:ascii="Arial" w:hAnsi="Arial" w:cs="Arial"/>
          <w:sz w:val="21"/>
          <w:szCs w:val="21"/>
        </w:rPr>
      </w:pPr>
      <w:r w:rsidRPr="00D579BE">
        <w:rPr>
          <w:rFonts w:ascii="Arial" w:hAnsi="Arial" w:cs="Arial"/>
          <w:sz w:val="21"/>
          <w:szCs w:val="21"/>
        </w:rPr>
        <w:t>À l’adaptation et la résilience au changement climatique, notamment l’augmentation des périodes de sécheresse, les inondations, ou les tempêtes, tel qu’indiqué dans la NES4.</w:t>
      </w:r>
    </w:p>
    <w:p w14:paraId="48CF2CC7" w14:textId="77777777" w:rsidR="009021F1" w:rsidRPr="00D579BE" w:rsidRDefault="009021F1" w:rsidP="009021F1">
      <w:pPr>
        <w:pStyle w:val="Listepuces2"/>
        <w:numPr>
          <w:ilvl w:val="0"/>
          <w:numId w:val="124"/>
        </w:numPr>
        <w:tabs>
          <w:tab w:val="left" w:pos="851"/>
        </w:tabs>
        <w:spacing w:line="276" w:lineRule="auto"/>
        <w:ind w:left="1418" w:hanging="284"/>
        <w:jc w:val="both"/>
        <w:rPr>
          <w:rFonts w:ascii="Arial" w:hAnsi="Arial" w:cs="Arial"/>
          <w:sz w:val="21"/>
          <w:szCs w:val="21"/>
        </w:rPr>
      </w:pPr>
      <w:r w:rsidRPr="00D579BE">
        <w:rPr>
          <w:rFonts w:ascii="Arial" w:hAnsi="Arial" w:cs="Arial"/>
          <w:sz w:val="21"/>
          <w:szCs w:val="21"/>
        </w:rPr>
        <w:t>A la réquisition forcée ou involontaire de terres ou aux restrictions à l’utilisation des terres, tel qu’indiqué à la NES6</w:t>
      </w:r>
    </w:p>
    <w:p w14:paraId="4EF5A788" w14:textId="77777777" w:rsidR="009021F1" w:rsidRPr="00D579BE" w:rsidRDefault="009021F1" w:rsidP="009021F1">
      <w:pPr>
        <w:pStyle w:val="Listepuces2"/>
        <w:numPr>
          <w:ilvl w:val="0"/>
          <w:numId w:val="124"/>
        </w:numPr>
        <w:tabs>
          <w:tab w:val="left" w:pos="851"/>
        </w:tabs>
        <w:spacing w:line="276" w:lineRule="auto"/>
        <w:ind w:left="1418" w:hanging="284"/>
        <w:jc w:val="both"/>
        <w:rPr>
          <w:rFonts w:ascii="Arial" w:hAnsi="Arial" w:cs="Arial"/>
          <w:sz w:val="21"/>
          <w:szCs w:val="21"/>
        </w:rPr>
      </w:pPr>
      <w:r w:rsidRPr="00D579BE">
        <w:rPr>
          <w:rFonts w:ascii="Arial" w:hAnsi="Arial" w:cs="Arial"/>
          <w:sz w:val="21"/>
          <w:szCs w:val="21"/>
        </w:rPr>
        <w:t>À la propriété et l’accès aux terres et aux ressources naturelles, notamment les régimes fonciers applicables, l’accessibilité et la disponibilité des terres, la sécurité alimentaire et la valeur foncière.</w:t>
      </w:r>
    </w:p>
    <w:p w14:paraId="4128F30F" w14:textId="77777777" w:rsidR="009021F1" w:rsidRPr="00D579BE" w:rsidRDefault="009021F1" w:rsidP="009021F1">
      <w:pPr>
        <w:pStyle w:val="Listepuces2"/>
        <w:numPr>
          <w:ilvl w:val="0"/>
          <w:numId w:val="124"/>
        </w:numPr>
        <w:tabs>
          <w:tab w:val="left" w:pos="851"/>
        </w:tabs>
        <w:spacing w:line="276" w:lineRule="auto"/>
        <w:ind w:left="1418" w:hanging="284"/>
        <w:jc w:val="both"/>
        <w:rPr>
          <w:rFonts w:ascii="Arial" w:hAnsi="Arial" w:cs="Arial"/>
          <w:sz w:val="21"/>
          <w:szCs w:val="21"/>
        </w:rPr>
      </w:pPr>
      <w:r w:rsidRPr="00D579BE">
        <w:rPr>
          <w:rFonts w:ascii="Arial" w:hAnsi="Arial" w:cs="Arial"/>
          <w:sz w:val="21"/>
          <w:szCs w:val="21"/>
        </w:rPr>
        <w:t>À l’accès à la terre et aux ressources naturelles, compte tenu de la possibilité d’exacerber les tensions, aggraver la pauvreté et les inégalités, notamment chez les groupes défavorisés ou vulnérables, et chez les femmes.</w:t>
      </w:r>
    </w:p>
    <w:p w14:paraId="5B015A71" w14:textId="77777777" w:rsidR="009021F1" w:rsidRPr="00D579BE" w:rsidRDefault="009021F1" w:rsidP="009021F1">
      <w:pPr>
        <w:pStyle w:val="Listepuces2"/>
        <w:numPr>
          <w:ilvl w:val="0"/>
          <w:numId w:val="124"/>
        </w:numPr>
        <w:tabs>
          <w:tab w:val="left" w:pos="851"/>
        </w:tabs>
        <w:spacing w:line="276" w:lineRule="auto"/>
        <w:ind w:left="1418" w:hanging="284"/>
        <w:jc w:val="both"/>
        <w:rPr>
          <w:rFonts w:ascii="Arial" w:hAnsi="Arial" w:cs="Arial"/>
          <w:sz w:val="21"/>
          <w:szCs w:val="21"/>
        </w:rPr>
      </w:pPr>
      <w:r w:rsidRPr="00D579BE">
        <w:rPr>
          <w:rFonts w:ascii="Arial" w:hAnsi="Arial" w:cs="Arial"/>
          <w:sz w:val="21"/>
          <w:szCs w:val="21"/>
        </w:rPr>
        <w:t>A la protection, la préservation, le maintien et la régénération des habitats naturels et de la biodiversité, tel qu’indiqué dans la NES6, notamment les habitats de reproduction pour les poissons et les habitats d’accueil pour les oiseaux résidents ou migrateurs.</w:t>
      </w:r>
    </w:p>
    <w:p w14:paraId="5DF792A4" w14:textId="77777777" w:rsidR="009021F1" w:rsidRPr="00D579BE" w:rsidRDefault="009021F1" w:rsidP="009021F1">
      <w:pPr>
        <w:pStyle w:val="Listepuces2"/>
        <w:numPr>
          <w:ilvl w:val="0"/>
          <w:numId w:val="124"/>
        </w:numPr>
        <w:tabs>
          <w:tab w:val="left" w:pos="851"/>
        </w:tabs>
        <w:spacing w:line="276" w:lineRule="auto"/>
        <w:ind w:left="1418" w:hanging="284"/>
        <w:jc w:val="both"/>
        <w:rPr>
          <w:rFonts w:ascii="Arial" w:hAnsi="Arial" w:cs="Arial"/>
          <w:sz w:val="21"/>
          <w:szCs w:val="21"/>
        </w:rPr>
      </w:pPr>
      <w:r w:rsidRPr="00D579BE">
        <w:rPr>
          <w:rFonts w:ascii="Arial" w:hAnsi="Arial" w:cs="Arial"/>
          <w:sz w:val="21"/>
          <w:szCs w:val="21"/>
        </w:rPr>
        <w:t>Aux services écosystémiques</w:t>
      </w:r>
      <w:r w:rsidRPr="00D579BE">
        <w:rPr>
          <w:rStyle w:val="Appelnotedebasdep"/>
          <w:rFonts w:ascii="Arial" w:hAnsi="Arial" w:cs="Arial"/>
          <w:sz w:val="21"/>
          <w:szCs w:val="21"/>
        </w:rPr>
        <w:footnoteReference w:id="34"/>
      </w:r>
      <w:r w:rsidRPr="00D579BE">
        <w:rPr>
          <w:rFonts w:ascii="Arial" w:hAnsi="Arial" w:cs="Arial"/>
          <w:sz w:val="21"/>
          <w:szCs w:val="21"/>
        </w:rPr>
        <w:t xml:space="preserve"> tel que défini dans la NES 1</w:t>
      </w:r>
    </w:p>
    <w:p w14:paraId="7DC18580" w14:textId="77777777" w:rsidR="009021F1" w:rsidRPr="00D579BE" w:rsidRDefault="009021F1" w:rsidP="009021F1">
      <w:pPr>
        <w:pStyle w:val="Listepuces2"/>
        <w:numPr>
          <w:ilvl w:val="0"/>
          <w:numId w:val="124"/>
        </w:numPr>
        <w:tabs>
          <w:tab w:val="left" w:pos="851"/>
        </w:tabs>
        <w:spacing w:line="276" w:lineRule="auto"/>
        <w:ind w:left="1418" w:hanging="284"/>
        <w:jc w:val="both"/>
        <w:rPr>
          <w:rFonts w:ascii="Arial" w:hAnsi="Arial" w:cs="Arial"/>
          <w:sz w:val="21"/>
          <w:szCs w:val="21"/>
        </w:rPr>
      </w:pPr>
      <w:r w:rsidRPr="00D579BE">
        <w:rPr>
          <w:rFonts w:ascii="Arial" w:hAnsi="Arial" w:cs="Arial"/>
          <w:sz w:val="21"/>
          <w:szCs w:val="21"/>
        </w:rPr>
        <w:t>À l’exploitation des ressources naturelles biologiques, tel qu’indiqué dans la NES6.</w:t>
      </w:r>
    </w:p>
    <w:p w14:paraId="042B7D3C" w14:textId="77777777" w:rsidR="009021F1" w:rsidRPr="00D579BE" w:rsidRDefault="009021F1" w:rsidP="009021F1">
      <w:pPr>
        <w:pStyle w:val="Listepuces2"/>
        <w:numPr>
          <w:ilvl w:val="0"/>
          <w:numId w:val="124"/>
        </w:numPr>
        <w:tabs>
          <w:tab w:val="left" w:pos="851"/>
        </w:tabs>
        <w:spacing w:line="276" w:lineRule="auto"/>
        <w:ind w:left="1418" w:hanging="284"/>
        <w:jc w:val="both"/>
        <w:rPr>
          <w:rFonts w:ascii="Arial" w:hAnsi="Arial" w:cs="Arial"/>
          <w:sz w:val="21"/>
          <w:szCs w:val="21"/>
        </w:rPr>
      </w:pPr>
      <w:r w:rsidRPr="00D579BE">
        <w:rPr>
          <w:rFonts w:ascii="Arial" w:hAnsi="Arial" w:cs="Arial"/>
          <w:sz w:val="21"/>
          <w:szCs w:val="21"/>
        </w:rPr>
        <w:t>Au patrimoine culturel, tel qu’indiqué dans la NES8.</w:t>
      </w:r>
    </w:p>
    <w:p w14:paraId="1370127C" w14:textId="77777777" w:rsidR="009021F1" w:rsidRPr="00D579BE" w:rsidRDefault="009021F1" w:rsidP="009021F1">
      <w:pPr>
        <w:pStyle w:val="Listenumros3"/>
        <w:keepNext/>
        <w:keepLines/>
        <w:tabs>
          <w:tab w:val="clear" w:pos="360"/>
          <w:tab w:val="left" w:pos="1191"/>
        </w:tabs>
        <w:snapToGrid/>
        <w:spacing w:line="276" w:lineRule="auto"/>
        <w:jc w:val="both"/>
        <w:rPr>
          <w:rFonts w:ascii="Arial" w:hAnsi="Arial" w:cs="Arial"/>
          <w:sz w:val="21"/>
          <w:szCs w:val="21"/>
        </w:rPr>
      </w:pPr>
    </w:p>
    <w:p w14:paraId="4D81CE8D" w14:textId="77777777" w:rsidR="009021F1" w:rsidRPr="00D579BE" w:rsidRDefault="009021F1" w:rsidP="009021F1">
      <w:pPr>
        <w:pStyle w:val="Listenumros3"/>
        <w:keepNext/>
        <w:keepLines/>
        <w:numPr>
          <w:ilvl w:val="3"/>
          <w:numId w:val="119"/>
        </w:numPr>
        <w:tabs>
          <w:tab w:val="left" w:pos="709"/>
        </w:tabs>
        <w:snapToGrid/>
        <w:spacing w:line="276" w:lineRule="auto"/>
        <w:ind w:hanging="76"/>
        <w:jc w:val="both"/>
        <w:rPr>
          <w:rFonts w:ascii="Arial" w:hAnsi="Arial" w:cs="Arial"/>
          <w:b/>
          <w:i/>
          <w:sz w:val="21"/>
          <w:szCs w:val="21"/>
        </w:rPr>
      </w:pPr>
      <w:r w:rsidRPr="00D579BE">
        <w:rPr>
          <w:rFonts w:ascii="Arial" w:hAnsi="Arial" w:cs="Arial"/>
          <w:b/>
          <w:i/>
          <w:sz w:val="21"/>
          <w:szCs w:val="21"/>
        </w:rPr>
        <w:t>Plan de gestion environnementale et sociale (PGES)</w:t>
      </w:r>
    </w:p>
    <w:p w14:paraId="07DDD736" w14:textId="77777777" w:rsidR="009021F1" w:rsidRPr="00D579BE" w:rsidRDefault="009021F1" w:rsidP="009021F1">
      <w:pPr>
        <w:pStyle w:val="Listenumros3"/>
        <w:keepNext/>
        <w:keepLines/>
        <w:tabs>
          <w:tab w:val="clear" w:pos="360"/>
          <w:tab w:val="left" w:pos="1191"/>
        </w:tabs>
        <w:snapToGrid/>
        <w:spacing w:line="276" w:lineRule="auto"/>
        <w:jc w:val="both"/>
        <w:rPr>
          <w:rFonts w:ascii="Arial" w:hAnsi="Arial" w:cs="Arial"/>
          <w:sz w:val="21"/>
          <w:szCs w:val="21"/>
        </w:rPr>
      </w:pPr>
    </w:p>
    <w:p w14:paraId="6495D9E1" w14:textId="77777777" w:rsidR="009021F1" w:rsidRPr="00D579BE" w:rsidRDefault="009021F1" w:rsidP="009021F1">
      <w:pPr>
        <w:pStyle w:val="Corpsdetexte2"/>
        <w:spacing w:after="0" w:line="276" w:lineRule="auto"/>
        <w:rPr>
          <w:rFonts w:cs="Arial"/>
          <w:szCs w:val="21"/>
        </w:rPr>
      </w:pPr>
      <w:r w:rsidRPr="00D579BE">
        <w:rPr>
          <w:rFonts w:cs="Arial"/>
          <w:szCs w:val="21"/>
        </w:rPr>
        <w:t>Ce Chapitre présente le Plan de Gestion Environnementale et Sociale (PGES) pour le sous- projet.  Le plan comprend 5 sections :</w:t>
      </w:r>
    </w:p>
    <w:p w14:paraId="63D46D78" w14:textId="77777777" w:rsidR="009021F1" w:rsidRPr="00D579BE" w:rsidRDefault="009021F1" w:rsidP="009021F1">
      <w:pPr>
        <w:pStyle w:val="Listepuces"/>
        <w:widowControl/>
        <w:numPr>
          <w:ilvl w:val="0"/>
          <w:numId w:val="123"/>
        </w:numPr>
        <w:tabs>
          <w:tab w:val="left" w:pos="851"/>
          <w:tab w:val="left" w:pos="1134"/>
        </w:tabs>
        <w:spacing w:line="276" w:lineRule="auto"/>
        <w:ind w:left="851" w:hanging="284"/>
        <w:jc w:val="both"/>
        <w:rPr>
          <w:rFonts w:ascii="Arial" w:hAnsi="Arial" w:cs="Arial"/>
          <w:sz w:val="21"/>
          <w:szCs w:val="21"/>
        </w:rPr>
      </w:pPr>
      <w:r w:rsidRPr="00D579BE">
        <w:rPr>
          <w:rFonts w:ascii="Arial" w:hAnsi="Arial" w:cs="Arial"/>
          <w:sz w:val="21"/>
          <w:szCs w:val="21"/>
        </w:rPr>
        <w:t>Atténuation</w:t>
      </w:r>
    </w:p>
    <w:p w14:paraId="6778818A" w14:textId="77777777" w:rsidR="009021F1" w:rsidRPr="00D579BE" w:rsidRDefault="009021F1" w:rsidP="009021F1">
      <w:pPr>
        <w:pStyle w:val="Listepuces"/>
        <w:widowControl/>
        <w:numPr>
          <w:ilvl w:val="0"/>
          <w:numId w:val="123"/>
        </w:numPr>
        <w:tabs>
          <w:tab w:val="left" w:pos="851"/>
          <w:tab w:val="left" w:pos="1134"/>
        </w:tabs>
        <w:spacing w:line="276" w:lineRule="auto"/>
        <w:ind w:left="851" w:hanging="284"/>
        <w:jc w:val="both"/>
        <w:rPr>
          <w:rFonts w:ascii="Arial" w:hAnsi="Arial" w:cs="Arial"/>
          <w:sz w:val="21"/>
          <w:szCs w:val="21"/>
        </w:rPr>
      </w:pPr>
      <w:r w:rsidRPr="00D579BE">
        <w:rPr>
          <w:rFonts w:ascii="Arial" w:hAnsi="Arial" w:cs="Arial"/>
          <w:sz w:val="21"/>
          <w:szCs w:val="21"/>
        </w:rPr>
        <w:t>Suivi</w:t>
      </w:r>
    </w:p>
    <w:p w14:paraId="150E6905" w14:textId="77777777" w:rsidR="009021F1" w:rsidRPr="00D579BE" w:rsidRDefault="009021F1" w:rsidP="009021F1">
      <w:pPr>
        <w:pStyle w:val="Listepuces"/>
        <w:widowControl/>
        <w:numPr>
          <w:ilvl w:val="0"/>
          <w:numId w:val="123"/>
        </w:numPr>
        <w:tabs>
          <w:tab w:val="left" w:pos="851"/>
          <w:tab w:val="left" w:pos="1134"/>
        </w:tabs>
        <w:spacing w:line="276" w:lineRule="auto"/>
        <w:ind w:left="851" w:hanging="284"/>
        <w:jc w:val="both"/>
        <w:rPr>
          <w:rFonts w:ascii="Arial" w:hAnsi="Arial" w:cs="Arial"/>
          <w:sz w:val="21"/>
          <w:szCs w:val="21"/>
        </w:rPr>
      </w:pPr>
      <w:r w:rsidRPr="00D579BE">
        <w:rPr>
          <w:rFonts w:ascii="Arial" w:hAnsi="Arial" w:cs="Arial"/>
          <w:sz w:val="21"/>
          <w:szCs w:val="21"/>
        </w:rPr>
        <w:t>Engagement des parties prenantes</w:t>
      </w:r>
    </w:p>
    <w:p w14:paraId="64DFAF25" w14:textId="77777777" w:rsidR="009021F1" w:rsidRPr="00D579BE" w:rsidRDefault="009021F1" w:rsidP="009021F1">
      <w:pPr>
        <w:pStyle w:val="Listepuces"/>
        <w:widowControl/>
        <w:numPr>
          <w:ilvl w:val="0"/>
          <w:numId w:val="123"/>
        </w:numPr>
        <w:tabs>
          <w:tab w:val="left" w:pos="851"/>
          <w:tab w:val="left" w:pos="1134"/>
        </w:tabs>
        <w:spacing w:line="276" w:lineRule="auto"/>
        <w:ind w:left="851" w:hanging="284"/>
        <w:jc w:val="both"/>
        <w:rPr>
          <w:rFonts w:ascii="Arial" w:hAnsi="Arial" w:cs="Arial"/>
          <w:sz w:val="21"/>
          <w:szCs w:val="21"/>
        </w:rPr>
      </w:pPr>
      <w:r w:rsidRPr="00D579BE">
        <w:rPr>
          <w:rFonts w:ascii="Arial" w:hAnsi="Arial" w:cs="Arial"/>
          <w:sz w:val="21"/>
          <w:szCs w:val="21"/>
        </w:rPr>
        <w:t xml:space="preserve">Cadre institutionnel pour la mise en œuvre du PGES </w:t>
      </w:r>
    </w:p>
    <w:p w14:paraId="744EFF78" w14:textId="77777777" w:rsidR="009021F1" w:rsidRPr="00D579BE" w:rsidRDefault="009021F1" w:rsidP="009021F1">
      <w:pPr>
        <w:pStyle w:val="Listepuces"/>
        <w:widowControl/>
        <w:numPr>
          <w:ilvl w:val="0"/>
          <w:numId w:val="123"/>
        </w:numPr>
        <w:tabs>
          <w:tab w:val="left" w:pos="851"/>
          <w:tab w:val="left" w:pos="1134"/>
        </w:tabs>
        <w:spacing w:line="276" w:lineRule="auto"/>
        <w:ind w:left="851" w:hanging="284"/>
        <w:jc w:val="both"/>
        <w:rPr>
          <w:rFonts w:ascii="Arial" w:hAnsi="Arial" w:cs="Arial"/>
          <w:sz w:val="21"/>
          <w:szCs w:val="21"/>
        </w:rPr>
      </w:pPr>
      <w:r w:rsidRPr="00D579BE">
        <w:rPr>
          <w:rFonts w:ascii="Arial" w:hAnsi="Arial" w:cs="Arial"/>
          <w:sz w:val="21"/>
          <w:szCs w:val="21"/>
        </w:rPr>
        <w:t>Budget</w:t>
      </w:r>
    </w:p>
    <w:p w14:paraId="15ABA76A" w14:textId="77777777" w:rsidR="009021F1" w:rsidRPr="00D579BE" w:rsidRDefault="009021F1" w:rsidP="009021F1">
      <w:pPr>
        <w:pStyle w:val="Titre4"/>
        <w:spacing w:before="0" w:after="0"/>
        <w:jc w:val="both"/>
        <w:rPr>
          <w:rFonts w:ascii="Arial" w:hAnsi="Arial" w:cs="Arial"/>
          <w:sz w:val="21"/>
          <w:szCs w:val="21"/>
        </w:rPr>
      </w:pPr>
    </w:p>
    <w:p w14:paraId="75425B0E" w14:textId="77777777" w:rsidR="009021F1" w:rsidRPr="00D579BE" w:rsidRDefault="009021F1" w:rsidP="009021F1">
      <w:pPr>
        <w:pStyle w:val="Titre4"/>
        <w:spacing w:before="0" w:after="0"/>
        <w:jc w:val="both"/>
        <w:rPr>
          <w:rFonts w:ascii="Arial" w:hAnsi="Arial" w:cs="Arial"/>
          <w:sz w:val="21"/>
          <w:szCs w:val="21"/>
        </w:rPr>
      </w:pPr>
      <w:r w:rsidRPr="00D579BE">
        <w:rPr>
          <w:rFonts w:ascii="Arial" w:hAnsi="Arial" w:cs="Arial"/>
          <w:sz w:val="21"/>
          <w:szCs w:val="21"/>
        </w:rPr>
        <w:t>Atténuation</w:t>
      </w:r>
    </w:p>
    <w:p w14:paraId="0DAC2837" w14:textId="77777777" w:rsidR="009021F1" w:rsidRPr="00D579BE" w:rsidRDefault="009021F1" w:rsidP="009021F1">
      <w:pPr>
        <w:pStyle w:val="Corpsdetexte2"/>
        <w:spacing w:after="0" w:line="276" w:lineRule="auto"/>
        <w:rPr>
          <w:rFonts w:cs="Arial"/>
          <w:szCs w:val="21"/>
        </w:rPr>
      </w:pPr>
      <w:r w:rsidRPr="00D579BE">
        <w:rPr>
          <w:rFonts w:cs="Arial"/>
          <w:szCs w:val="21"/>
        </w:rPr>
        <w:t>Cette section :</w:t>
      </w:r>
    </w:p>
    <w:p w14:paraId="208F90D6" w14:textId="77777777" w:rsidR="009021F1" w:rsidRPr="00D579BE" w:rsidRDefault="009021F1" w:rsidP="009021F1">
      <w:pPr>
        <w:pStyle w:val="Listepuces"/>
        <w:widowControl/>
        <w:numPr>
          <w:ilvl w:val="0"/>
          <w:numId w:val="123"/>
        </w:numPr>
        <w:tabs>
          <w:tab w:val="left" w:pos="851"/>
          <w:tab w:val="left" w:pos="1134"/>
        </w:tabs>
        <w:spacing w:line="276" w:lineRule="auto"/>
        <w:ind w:left="851" w:hanging="284"/>
        <w:jc w:val="both"/>
        <w:rPr>
          <w:rFonts w:ascii="Arial" w:hAnsi="Arial" w:cs="Arial"/>
          <w:sz w:val="21"/>
          <w:szCs w:val="21"/>
        </w:rPr>
      </w:pPr>
      <w:r w:rsidRPr="00D579BE">
        <w:rPr>
          <w:rFonts w:ascii="Arial" w:hAnsi="Arial" w:cs="Arial"/>
          <w:sz w:val="21"/>
          <w:szCs w:val="21"/>
        </w:rPr>
        <w:t>Définit les mesures et actions, suivant le principe de la hiérarchie d’atténuation, requises pour atténuer à un niveau acceptable chacun des impacts environnementaux et sociaux négatifs évalués dans le chapitre précédent, d’une manière qui satisfait les exigences des NES de la Banque mondiale, ainsi que les réglementations nationales.</w:t>
      </w:r>
    </w:p>
    <w:p w14:paraId="3EB426D4" w14:textId="77777777" w:rsidR="009021F1" w:rsidRPr="00D579BE" w:rsidRDefault="009021F1" w:rsidP="009021F1">
      <w:pPr>
        <w:pStyle w:val="Listepuces"/>
        <w:widowControl/>
        <w:numPr>
          <w:ilvl w:val="0"/>
          <w:numId w:val="123"/>
        </w:numPr>
        <w:tabs>
          <w:tab w:val="left" w:pos="851"/>
          <w:tab w:val="left" w:pos="1134"/>
        </w:tabs>
        <w:spacing w:line="276" w:lineRule="auto"/>
        <w:ind w:left="851" w:hanging="284"/>
        <w:jc w:val="both"/>
        <w:rPr>
          <w:rFonts w:ascii="Arial" w:hAnsi="Arial" w:cs="Arial"/>
          <w:sz w:val="21"/>
          <w:szCs w:val="21"/>
        </w:rPr>
      </w:pPr>
      <w:r w:rsidRPr="00D579BE">
        <w:rPr>
          <w:rFonts w:ascii="Arial" w:hAnsi="Arial" w:cs="Arial"/>
          <w:sz w:val="21"/>
          <w:szCs w:val="21"/>
        </w:rPr>
        <w:t>Décrit chacune des mesures d’atténuation avec un niveau de détail technique suffisant pour comprendre les enjeux de sa mise en œuvre.</w:t>
      </w:r>
    </w:p>
    <w:p w14:paraId="204258A0" w14:textId="77777777" w:rsidR="009021F1" w:rsidRPr="00D579BE" w:rsidRDefault="009021F1" w:rsidP="009021F1">
      <w:pPr>
        <w:pStyle w:val="Listepuces"/>
        <w:widowControl/>
        <w:numPr>
          <w:ilvl w:val="0"/>
          <w:numId w:val="123"/>
        </w:numPr>
        <w:tabs>
          <w:tab w:val="left" w:pos="851"/>
          <w:tab w:val="left" w:pos="1134"/>
        </w:tabs>
        <w:spacing w:line="276" w:lineRule="auto"/>
        <w:ind w:left="851" w:hanging="284"/>
        <w:jc w:val="both"/>
        <w:rPr>
          <w:rFonts w:ascii="Arial" w:hAnsi="Arial" w:cs="Arial"/>
          <w:sz w:val="21"/>
          <w:szCs w:val="21"/>
        </w:rPr>
      </w:pPr>
      <w:r w:rsidRPr="00D579BE">
        <w:rPr>
          <w:rFonts w:ascii="Arial" w:hAnsi="Arial" w:cs="Arial"/>
          <w:sz w:val="21"/>
          <w:szCs w:val="21"/>
        </w:rPr>
        <w:t>Applique le principe de la hiérarchie d’atténuation tel que défini dans le paragraphe 27 de la NES1</w:t>
      </w:r>
      <w:r w:rsidRPr="00D579BE">
        <w:rPr>
          <w:rStyle w:val="Appelnotedebasdep"/>
          <w:rFonts w:ascii="Arial" w:hAnsi="Arial" w:cs="Arial"/>
          <w:sz w:val="21"/>
          <w:szCs w:val="21"/>
        </w:rPr>
        <w:footnoteReference w:id="35"/>
      </w:r>
      <w:r w:rsidRPr="00D579BE">
        <w:rPr>
          <w:rFonts w:ascii="Arial" w:hAnsi="Arial" w:cs="Arial"/>
          <w:sz w:val="21"/>
          <w:szCs w:val="21"/>
        </w:rPr>
        <w:t>, lors de la définition des mesures d’atténuation appropriées des risques et impacts environnementaux et sociaux du sousprojet.</w:t>
      </w:r>
    </w:p>
    <w:p w14:paraId="2C4EC226" w14:textId="77777777" w:rsidR="009021F1" w:rsidRPr="00D579BE" w:rsidRDefault="009021F1" w:rsidP="009021F1">
      <w:pPr>
        <w:pStyle w:val="Listepuces"/>
        <w:widowControl/>
        <w:numPr>
          <w:ilvl w:val="0"/>
          <w:numId w:val="123"/>
        </w:numPr>
        <w:tabs>
          <w:tab w:val="left" w:pos="851"/>
          <w:tab w:val="left" w:pos="1134"/>
        </w:tabs>
        <w:spacing w:line="276" w:lineRule="auto"/>
        <w:ind w:left="851" w:hanging="284"/>
        <w:jc w:val="both"/>
        <w:rPr>
          <w:rFonts w:ascii="Arial" w:hAnsi="Arial" w:cs="Arial"/>
          <w:sz w:val="21"/>
          <w:szCs w:val="21"/>
        </w:rPr>
      </w:pPr>
      <w:r w:rsidRPr="00D579BE">
        <w:rPr>
          <w:rFonts w:ascii="Arial" w:hAnsi="Arial" w:cs="Arial"/>
          <w:sz w:val="21"/>
          <w:szCs w:val="21"/>
        </w:rPr>
        <w:t>Identifie les impacts résiduels négatifs importants qui ne peuvent pas être atténués à des niveaux acceptables, et évalue l’acceptabilité de ces impacts résiduels et explique les motifs de telles décisions.</w:t>
      </w:r>
    </w:p>
    <w:p w14:paraId="647B0558" w14:textId="77777777" w:rsidR="009021F1" w:rsidRPr="00D579BE" w:rsidRDefault="009021F1" w:rsidP="009021F1">
      <w:pPr>
        <w:pStyle w:val="Listepuces"/>
        <w:widowControl/>
        <w:numPr>
          <w:ilvl w:val="0"/>
          <w:numId w:val="123"/>
        </w:numPr>
        <w:tabs>
          <w:tab w:val="left" w:pos="851"/>
          <w:tab w:val="left" w:pos="1134"/>
        </w:tabs>
        <w:spacing w:line="276" w:lineRule="auto"/>
        <w:ind w:left="851" w:hanging="284"/>
        <w:jc w:val="both"/>
        <w:rPr>
          <w:rFonts w:ascii="Arial" w:hAnsi="Arial" w:cs="Arial"/>
          <w:sz w:val="21"/>
          <w:szCs w:val="21"/>
        </w:rPr>
      </w:pPr>
      <w:r w:rsidRPr="00D579BE">
        <w:rPr>
          <w:rFonts w:ascii="Arial" w:hAnsi="Arial" w:cs="Arial"/>
          <w:sz w:val="21"/>
          <w:szCs w:val="21"/>
        </w:rPr>
        <w:t>Évalue les risques et impacts environnementaux et sociaux que la mise en œuvre des mesures d’atténuation pourrait causer.</w:t>
      </w:r>
    </w:p>
    <w:p w14:paraId="5E88DD21" w14:textId="77777777" w:rsidR="009021F1" w:rsidRPr="00D579BE" w:rsidRDefault="009021F1" w:rsidP="009021F1">
      <w:pPr>
        <w:pStyle w:val="Listepuces"/>
        <w:widowControl/>
        <w:numPr>
          <w:ilvl w:val="0"/>
          <w:numId w:val="123"/>
        </w:numPr>
        <w:tabs>
          <w:tab w:val="left" w:pos="851"/>
          <w:tab w:val="left" w:pos="1134"/>
        </w:tabs>
        <w:spacing w:line="276" w:lineRule="auto"/>
        <w:ind w:left="851" w:hanging="284"/>
        <w:jc w:val="both"/>
        <w:rPr>
          <w:rFonts w:ascii="Arial" w:hAnsi="Arial" w:cs="Arial"/>
          <w:sz w:val="21"/>
          <w:szCs w:val="21"/>
        </w:rPr>
      </w:pPr>
      <w:r w:rsidRPr="00D579BE">
        <w:rPr>
          <w:rFonts w:ascii="Arial" w:hAnsi="Arial" w:cs="Arial"/>
          <w:sz w:val="21"/>
          <w:szCs w:val="21"/>
        </w:rPr>
        <w:t>Traite les risques et impacts des installations associées d’une manière proportionnée au contrôle ou à l’influence que l’entité responsable exerce sur celles-ci.  Recense les risques et impacts que ces installations pourraient engendrer pour le sousprojet, si un contrôle ou une influence ne peuvent pas être exercée sur les installations associées permettant de satisfaire les exigences des NES,</w:t>
      </w:r>
    </w:p>
    <w:p w14:paraId="439824DD" w14:textId="77777777" w:rsidR="009021F1" w:rsidRPr="00D579BE" w:rsidRDefault="009021F1" w:rsidP="009021F1">
      <w:pPr>
        <w:pStyle w:val="Listepuces"/>
        <w:widowControl/>
        <w:numPr>
          <w:ilvl w:val="0"/>
          <w:numId w:val="123"/>
        </w:numPr>
        <w:tabs>
          <w:tab w:val="left" w:pos="851"/>
          <w:tab w:val="left" w:pos="1134"/>
        </w:tabs>
        <w:spacing w:line="276" w:lineRule="auto"/>
        <w:ind w:left="851" w:hanging="284"/>
        <w:jc w:val="both"/>
        <w:rPr>
          <w:rFonts w:ascii="Arial" w:hAnsi="Arial" w:cs="Arial"/>
          <w:sz w:val="21"/>
          <w:szCs w:val="21"/>
        </w:rPr>
      </w:pPr>
      <w:r w:rsidRPr="00D579BE">
        <w:rPr>
          <w:rFonts w:ascii="Arial" w:hAnsi="Arial" w:cs="Arial"/>
          <w:sz w:val="21"/>
          <w:szCs w:val="21"/>
        </w:rPr>
        <w:t>Assure l’articulation et la cohérence avec les autres instruments de gestion des risques et impacts environnementaux et sociaux préparés à l’échelle du Projet, dont le Cadre de Gestion Environnementale et Sociale (CGES), le Plan de Gestion de la Main d’œuvre (PGMO), le Cadre de Réinstallation, le Plan pour les Peuples autochtones, et le Plan de Mobilisation des Parties Prenantes (PMPP).</w:t>
      </w:r>
    </w:p>
    <w:p w14:paraId="3ECAFF03" w14:textId="77777777" w:rsidR="009021F1" w:rsidRPr="00D579BE" w:rsidRDefault="009021F1" w:rsidP="009021F1">
      <w:pPr>
        <w:pStyle w:val="Listepuces"/>
        <w:widowControl/>
        <w:numPr>
          <w:ilvl w:val="0"/>
          <w:numId w:val="123"/>
        </w:numPr>
        <w:tabs>
          <w:tab w:val="left" w:pos="851"/>
          <w:tab w:val="left" w:pos="1134"/>
        </w:tabs>
        <w:spacing w:line="276" w:lineRule="auto"/>
        <w:ind w:left="851" w:hanging="284"/>
        <w:jc w:val="both"/>
        <w:rPr>
          <w:rFonts w:ascii="Arial" w:hAnsi="Arial" w:cs="Arial"/>
          <w:sz w:val="21"/>
          <w:szCs w:val="21"/>
        </w:rPr>
      </w:pPr>
      <w:r w:rsidRPr="00D579BE">
        <w:rPr>
          <w:rFonts w:ascii="Arial" w:hAnsi="Arial" w:cs="Arial"/>
          <w:sz w:val="21"/>
          <w:szCs w:val="21"/>
        </w:rPr>
        <w:t>Propose des mesures d’atténuation différenciées afin que les impacts négatifs des activités proposées n’affectent pas les personnes ou les groupes défavorisés ou vulnérables (notamment les femmes, les groupes ethniques dont les communautés autochtones, les personnes handicapées, les jeunes, les personnes analphabètes, et les personnes déplacées) de manière disproportionnée, et pour qu’elles ne soient pas lésées dans le partage des avantages et opportunités de développement résultant du sousprojet.</w:t>
      </w:r>
    </w:p>
    <w:p w14:paraId="0CA5EFEF" w14:textId="77777777" w:rsidR="009021F1" w:rsidRPr="00D579BE" w:rsidRDefault="009021F1" w:rsidP="009021F1">
      <w:pPr>
        <w:pStyle w:val="Listepuces"/>
        <w:widowControl/>
        <w:numPr>
          <w:ilvl w:val="0"/>
          <w:numId w:val="123"/>
        </w:numPr>
        <w:tabs>
          <w:tab w:val="left" w:pos="851"/>
          <w:tab w:val="left" w:pos="1134"/>
        </w:tabs>
        <w:spacing w:line="276" w:lineRule="auto"/>
        <w:ind w:left="851" w:hanging="284"/>
        <w:jc w:val="both"/>
        <w:rPr>
          <w:rFonts w:ascii="Arial" w:hAnsi="Arial" w:cs="Arial"/>
          <w:sz w:val="21"/>
          <w:szCs w:val="21"/>
        </w:rPr>
      </w:pPr>
      <w:r w:rsidRPr="00D579BE">
        <w:rPr>
          <w:rFonts w:ascii="Arial" w:hAnsi="Arial" w:cs="Arial"/>
          <w:sz w:val="21"/>
          <w:szCs w:val="21"/>
        </w:rPr>
        <w:t>Tient compte des répercussions potentielles sur les cultures, les coutumes, et les économies locales, en particulier les impacts potentiels sur les moyens de subsistance, la pauvreté, et les dynamiques intercommunautaires au cœur des inégalités d’accès aux services (notamment à l’eau, à la nourriture et à la terre).</w:t>
      </w:r>
    </w:p>
    <w:p w14:paraId="54F24F22" w14:textId="77777777" w:rsidR="009021F1" w:rsidRPr="00D579BE" w:rsidRDefault="009021F1" w:rsidP="009021F1">
      <w:pPr>
        <w:pStyle w:val="Listepuces"/>
        <w:widowControl/>
        <w:numPr>
          <w:ilvl w:val="0"/>
          <w:numId w:val="123"/>
        </w:numPr>
        <w:tabs>
          <w:tab w:val="left" w:pos="851"/>
          <w:tab w:val="left" w:pos="1134"/>
        </w:tabs>
        <w:spacing w:line="276" w:lineRule="auto"/>
        <w:ind w:left="851" w:hanging="284"/>
        <w:jc w:val="both"/>
        <w:rPr>
          <w:rFonts w:ascii="Arial" w:hAnsi="Arial" w:cs="Arial"/>
          <w:sz w:val="21"/>
          <w:szCs w:val="21"/>
        </w:rPr>
      </w:pPr>
      <w:r w:rsidRPr="00D579BE">
        <w:rPr>
          <w:rFonts w:ascii="Arial" w:hAnsi="Arial" w:cs="Arial"/>
          <w:sz w:val="21"/>
          <w:szCs w:val="21"/>
        </w:rPr>
        <w:t>Distingue les risques et impacts qui seront directement gérés par les services publics, de ceux dont l’atténuation sera assumée par les entreprises dans le cadre de leurs contrats respectifs.</w:t>
      </w:r>
    </w:p>
    <w:p w14:paraId="6ED2A4BD" w14:textId="77777777" w:rsidR="009021F1" w:rsidRPr="00D579BE" w:rsidRDefault="009021F1" w:rsidP="009021F1">
      <w:pPr>
        <w:pStyle w:val="Listepuces"/>
        <w:widowControl/>
        <w:numPr>
          <w:ilvl w:val="0"/>
          <w:numId w:val="123"/>
        </w:numPr>
        <w:tabs>
          <w:tab w:val="left" w:pos="851"/>
          <w:tab w:val="left" w:pos="1134"/>
        </w:tabs>
        <w:spacing w:line="276" w:lineRule="auto"/>
        <w:ind w:left="851" w:hanging="284"/>
        <w:jc w:val="both"/>
        <w:rPr>
          <w:rFonts w:ascii="Arial" w:hAnsi="Arial" w:cs="Arial"/>
          <w:sz w:val="21"/>
          <w:szCs w:val="21"/>
        </w:rPr>
      </w:pPr>
      <w:r w:rsidRPr="00D579BE">
        <w:rPr>
          <w:rFonts w:ascii="Arial" w:hAnsi="Arial" w:cs="Arial"/>
          <w:sz w:val="21"/>
          <w:szCs w:val="21"/>
        </w:rPr>
        <w:t>Regroupe toutes les mesures d’atténuation assumées par les entreprises en un jeu d’exigences Environnementales, Sociales, Sanitaires, et Sécuritaires qui seront annexées à l’EIES, y compris un code de conduite et une description du processus de préparation des PGES Entreprise qui détaille comment les exigences seront opérationnalisées.  Ce jeu d’exigences sera organisé en sections, et doit au minimum couvrir les thèmes suivants :</w:t>
      </w:r>
    </w:p>
    <w:p w14:paraId="2206DB40" w14:textId="77777777" w:rsidR="009021F1" w:rsidRPr="00D579BE" w:rsidRDefault="009021F1" w:rsidP="009021F1">
      <w:pPr>
        <w:pStyle w:val="Listepuces2"/>
        <w:numPr>
          <w:ilvl w:val="0"/>
          <w:numId w:val="124"/>
        </w:numPr>
        <w:tabs>
          <w:tab w:val="left" w:pos="851"/>
        </w:tabs>
        <w:spacing w:line="276" w:lineRule="auto"/>
        <w:ind w:left="1418" w:hanging="284"/>
        <w:jc w:val="both"/>
        <w:rPr>
          <w:rFonts w:ascii="Arial" w:hAnsi="Arial" w:cs="Arial"/>
          <w:sz w:val="21"/>
          <w:szCs w:val="21"/>
        </w:rPr>
      </w:pPr>
      <w:r w:rsidRPr="00D579BE">
        <w:rPr>
          <w:rFonts w:ascii="Arial" w:hAnsi="Arial" w:cs="Arial"/>
          <w:sz w:val="21"/>
          <w:szCs w:val="21"/>
        </w:rPr>
        <w:t>Formation ESSS</w:t>
      </w:r>
    </w:p>
    <w:p w14:paraId="7C15F200" w14:textId="77777777" w:rsidR="009021F1" w:rsidRPr="00D579BE" w:rsidRDefault="009021F1" w:rsidP="009021F1">
      <w:pPr>
        <w:pStyle w:val="Listepuces2"/>
        <w:numPr>
          <w:ilvl w:val="0"/>
          <w:numId w:val="124"/>
        </w:numPr>
        <w:tabs>
          <w:tab w:val="left" w:pos="851"/>
        </w:tabs>
        <w:spacing w:line="276" w:lineRule="auto"/>
        <w:ind w:left="1418" w:hanging="284"/>
        <w:jc w:val="both"/>
        <w:rPr>
          <w:rFonts w:ascii="Arial" w:hAnsi="Arial" w:cs="Arial"/>
          <w:sz w:val="21"/>
          <w:szCs w:val="21"/>
        </w:rPr>
      </w:pPr>
      <w:r w:rsidRPr="00D579BE">
        <w:rPr>
          <w:rFonts w:ascii="Arial" w:hAnsi="Arial" w:cs="Arial"/>
          <w:sz w:val="21"/>
          <w:szCs w:val="21"/>
        </w:rPr>
        <w:t>Gestion des installations et chantiers</w:t>
      </w:r>
    </w:p>
    <w:p w14:paraId="70F1DC57" w14:textId="77777777" w:rsidR="009021F1" w:rsidRPr="00D579BE" w:rsidRDefault="009021F1" w:rsidP="009021F1">
      <w:pPr>
        <w:pStyle w:val="Listepuces2"/>
        <w:numPr>
          <w:ilvl w:val="0"/>
          <w:numId w:val="124"/>
        </w:numPr>
        <w:tabs>
          <w:tab w:val="left" w:pos="851"/>
        </w:tabs>
        <w:spacing w:line="276" w:lineRule="auto"/>
        <w:ind w:left="1418" w:hanging="284"/>
        <w:jc w:val="both"/>
        <w:rPr>
          <w:rFonts w:ascii="Arial" w:hAnsi="Arial" w:cs="Arial"/>
          <w:sz w:val="21"/>
          <w:szCs w:val="21"/>
        </w:rPr>
      </w:pPr>
      <w:r w:rsidRPr="00D579BE">
        <w:rPr>
          <w:rFonts w:ascii="Arial" w:hAnsi="Arial" w:cs="Arial"/>
          <w:sz w:val="21"/>
          <w:szCs w:val="21"/>
        </w:rPr>
        <w:t>Gestion de la sécurité au travail</w:t>
      </w:r>
    </w:p>
    <w:p w14:paraId="099ED6A4" w14:textId="77777777" w:rsidR="009021F1" w:rsidRPr="00D579BE" w:rsidRDefault="009021F1" w:rsidP="009021F1">
      <w:pPr>
        <w:pStyle w:val="Listepuces2"/>
        <w:numPr>
          <w:ilvl w:val="0"/>
          <w:numId w:val="124"/>
        </w:numPr>
        <w:tabs>
          <w:tab w:val="left" w:pos="851"/>
        </w:tabs>
        <w:spacing w:line="276" w:lineRule="auto"/>
        <w:ind w:left="1418" w:hanging="284"/>
        <w:jc w:val="both"/>
        <w:rPr>
          <w:rFonts w:ascii="Arial" w:hAnsi="Arial" w:cs="Arial"/>
          <w:sz w:val="21"/>
          <w:szCs w:val="21"/>
        </w:rPr>
      </w:pPr>
      <w:r w:rsidRPr="00D579BE">
        <w:rPr>
          <w:rFonts w:ascii="Arial" w:hAnsi="Arial" w:cs="Arial"/>
          <w:sz w:val="21"/>
          <w:szCs w:val="21"/>
        </w:rPr>
        <w:t>Gestion de la santé au travail</w:t>
      </w:r>
    </w:p>
    <w:p w14:paraId="2D9D0DBF" w14:textId="77777777" w:rsidR="009021F1" w:rsidRPr="00D579BE" w:rsidRDefault="009021F1" w:rsidP="009021F1">
      <w:pPr>
        <w:pStyle w:val="Listepuces2"/>
        <w:numPr>
          <w:ilvl w:val="0"/>
          <w:numId w:val="124"/>
        </w:numPr>
        <w:tabs>
          <w:tab w:val="left" w:pos="851"/>
        </w:tabs>
        <w:spacing w:line="276" w:lineRule="auto"/>
        <w:ind w:left="1418" w:hanging="284"/>
        <w:jc w:val="both"/>
        <w:rPr>
          <w:rFonts w:ascii="Arial" w:hAnsi="Arial" w:cs="Arial"/>
          <w:sz w:val="21"/>
          <w:szCs w:val="21"/>
        </w:rPr>
      </w:pPr>
      <w:r w:rsidRPr="00D579BE">
        <w:rPr>
          <w:rFonts w:ascii="Arial" w:hAnsi="Arial" w:cs="Arial"/>
          <w:sz w:val="21"/>
          <w:szCs w:val="21"/>
        </w:rPr>
        <w:t>Gestion de la main-d'œuvre, y compris un Code de Conduite relatif à l’exploitation, aux abus, et au harcèlement sexuel.</w:t>
      </w:r>
    </w:p>
    <w:p w14:paraId="7D252CC1" w14:textId="77777777" w:rsidR="009021F1" w:rsidRPr="00D579BE" w:rsidRDefault="009021F1" w:rsidP="009021F1">
      <w:pPr>
        <w:pStyle w:val="Listepuces2"/>
        <w:numPr>
          <w:ilvl w:val="0"/>
          <w:numId w:val="124"/>
        </w:numPr>
        <w:tabs>
          <w:tab w:val="left" w:pos="851"/>
        </w:tabs>
        <w:spacing w:line="276" w:lineRule="auto"/>
        <w:ind w:left="1418" w:hanging="284"/>
        <w:jc w:val="both"/>
        <w:rPr>
          <w:rFonts w:ascii="Arial" w:hAnsi="Arial" w:cs="Arial"/>
          <w:sz w:val="21"/>
          <w:szCs w:val="21"/>
        </w:rPr>
      </w:pPr>
      <w:r w:rsidRPr="00D579BE">
        <w:rPr>
          <w:rFonts w:ascii="Arial" w:hAnsi="Arial" w:cs="Arial"/>
          <w:sz w:val="21"/>
          <w:szCs w:val="21"/>
        </w:rPr>
        <w:t>Préparation et réponse aux urgences</w:t>
      </w:r>
    </w:p>
    <w:p w14:paraId="1632D630" w14:textId="77777777" w:rsidR="009021F1" w:rsidRPr="00D579BE" w:rsidRDefault="009021F1" w:rsidP="009021F1">
      <w:pPr>
        <w:pStyle w:val="Listepuces2"/>
        <w:numPr>
          <w:ilvl w:val="0"/>
          <w:numId w:val="124"/>
        </w:numPr>
        <w:tabs>
          <w:tab w:val="left" w:pos="851"/>
        </w:tabs>
        <w:spacing w:line="276" w:lineRule="auto"/>
        <w:ind w:left="1418" w:hanging="284"/>
        <w:jc w:val="both"/>
        <w:rPr>
          <w:rFonts w:ascii="Arial" w:hAnsi="Arial" w:cs="Arial"/>
          <w:sz w:val="21"/>
          <w:szCs w:val="21"/>
        </w:rPr>
      </w:pPr>
      <w:r w:rsidRPr="00D579BE">
        <w:rPr>
          <w:rFonts w:ascii="Arial" w:hAnsi="Arial" w:cs="Arial"/>
          <w:sz w:val="21"/>
          <w:szCs w:val="21"/>
        </w:rPr>
        <w:t>Sécurité extérieure des chantiers, installations, et des personnes</w:t>
      </w:r>
    </w:p>
    <w:p w14:paraId="374F9C78" w14:textId="77777777" w:rsidR="009021F1" w:rsidRPr="00D579BE" w:rsidRDefault="009021F1" w:rsidP="009021F1">
      <w:pPr>
        <w:pStyle w:val="Listepuces2"/>
        <w:numPr>
          <w:ilvl w:val="0"/>
          <w:numId w:val="124"/>
        </w:numPr>
        <w:tabs>
          <w:tab w:val="left" w:pos="851"/>
        </w:tabs>
        <w:spacing w:line="276" w:lineRule="auto"/>
        <w:ind w:left="1418" w:hanging="284"/>
        <w:jc w:val="both"/>
        <w:rPr>
          <w:rFonts w:ascii="Arial" w:hAnsi="Arial" w:cs="Arial"/>
          <w:sz w:val="21"/>
          <w:szCs w:val="21"/>
        </w:rPr>
      </w:pPr>
      <w:r w:rsidRPr="00D579BE">
        <w:rPr>
          <w:rFonts w:ascii="Arial" w:hAnsi="Arial" w:cs="Arial"/>
          <w:sz w:val="21"/>
          <w:szCs w:val="21"/>
        </w:rPr>
        <w:t>Gestion du trafic et sécurité routière</w:t>
      </w:r>
    </w:p>
    <w:p w14:paraId="043287CE" w14:textId="77777777" w:rsidR="009021F1" w:rsidRPr="00D579BE" w:rsidRDefault="009021F1" w:rsidP="009021F1">
      <w:pPr>
        <w:pStyle w:val="Listepuces2"/>
        <w:numPr>
          <w:ilvl w:val="0"/>
          <w:numId w:val="124"/>
        </w:numPr>
        <w:tabs>
          <w:tab w:val="left" w:pos="851"/>
        </w:tabs>
        <w:spacing w:line="276" w:lineRule="auto"/>
        <w:ind w:left="1418" w:hanging="284"/>
        <w:jc w:val="both"/>
        <w:rPr>
          <w:rFonts w:ascii="Arial" w:hAnsi="Arial" w:cs="Arial"/>
          <w:sz w:val="21"/>
          <w:szCs w:val="21"/>
        </w:rPr>
      </w:pPr>
      <w:r w:rsidRPr="00D579BE">
        <w:rPr>
          <w:rFonts w:ascii="Arial" w:hAnsi="Arial" w:cs="Arial"/>
          <w:sz w:val="21"/>
          <w:szCs w:val="21"/>
        </w:rPr>
        <w:t>Engagement des parties prenantes par les entreprises</w:t>
      </w:r>
    </w:p>
    <w:p w14:paraId="2190A601" w14:textId="77777777" w:rsidR="009021F1" w:rsidRPr="00D579BE" w:rsidRDefault="009021F1" w:rsidP="009021F1">
      <w:pPr>
        <w:pStyle w:val="Listepuces2"/>
        <w:numPr>
          <w:ilvl w:val="0"/>
          <w:numId w:val="124"/>
        </w:numPr>
        <w:tabs>
          <w:tab w:val="left" w:pos="851"/>
        </w:tabs>
        <w:spacing w:line="276" w:lineRule="auto"/>
        <w:ind w:left="1418" w:hanging="284"/>
        <w:jc w:val="both"/>
        <w:rPr>
          <w:rFonts w:ascii="Arial" w:hAnsi="Arial" w:cs="Arial"/>
          <w:sz w:val="21"/>
          <w:szCs w:val="21"/>
        </w:rPr>
      </w:pPr>
      <w:r w:rsidRPr="00D579BE">
        <w:rPr>
          <w:rFonts w:ascii="Arial" w:hAnsi="Arial" w:cs="Arial"/>
          <w:sz w:val="21"/>
          <w:szCs w:val="21"/>
        </w:rPr>
        <w:t>Suivi et rapportage environnemental et social par les entreprises</w:t>
      </w:r>
    </w:p>
    <w:p w14:paraId="453D48BC" w14:textId="77777777" w:rsidR="009021F1" w:rsidRPr="00D579BE" w:rsidRDefault="009021F1" w:rsidP="009021F1">
      <w:pPr>
        <w:pStyle w:val="Listepuces"/>
        <w:widowControl/>
        <w:numPr>
          <w:ilvl w:val="0"/>
          <w:numId w:val="123"/>
        </w:numPr>
        <w:tabs>
          <w:tab w:val="left" w:pos="851"/>
          <w:tab w:val="left" w:pos="1134"/>
        </w:tabs>
        <w:spacing w:line="276" w:lineRule="auto"/>
        <w:ind w:left="851" w:hanging="284"/>
        <w:jc w:val="both"/>
        <w:rPr>
          <w:rFonts w:ascii="Arial" w:hAnsi="Arial" w:cs="Arial"/>
          <w:sz w:val="21"/>
          <w:szCs w:val="21"/>
        </w:rPr>
      </w:pPr>
      <w:r w:rsidRPr="00D579BE">
        <w:rPr>
          <w:rFonts w:ascii="Arial" w:hAnsi="Arial" w:cs="Arial"/>
          <w:sz w:val="21"/>
          <w:szCs w:val="21"/>
        </w:rPr>
        <w:t>Décrit comment ces exigences seront pris en considération lors du processus de DAO et lors de l’octroi des contrats.</w:t>
      </w:r>
    </w:p>
    <w:p w14:paraId="5B1C1C00" w14:textId="77777777" w:rsidR="009021F1" w:rsidRPr="00D579BE" w:rsidRDefault="009021F1" w:rsidP="009021F1">
      <w:pPr>
        <w:pStyle w:val="Titre4"/>
        <w:spacing w:before="0" w:after="0"/>
        <w:jc w:val="both"/>
        <w:rPr>
          <w:rFonts w:ascii="Arial" w:hAnsi="Arial" w:cs="Arial"/>
          <w:sz w:val="21"/>
          <w:szCs w:val="21"/>
        </w:rPr>
      </w:pPr>
    </w:p>
    <w:p w14:paraId="606B25AF" w14:textId="77777777" w:rsidR="009021F1" w:rsidRPr="00D579BE" w:rsidRDefault="009021F1" w:rsidP="009021F1">
      <w:pPr>
        <w:pStyle w:val="Titre4"/>
        <w:spacing w:before="0" w:after="0"/>
        <w:jc w:val="both"/>
        <w:rPr>
          <w:rFonts w:ascii="Arial" w:hAnsi="Arial" w:cs="Arial"/>
          <w:sz w:val="21"/>
          <w:szCs w:val="21"/>
        </w:rPr>
      </w:pPr>
      <w:r w:rsidRPr="00D579BE">
        <w:rPr>
          <w:rFonts w:ascii="Arial" w:hAnsi="Arial" w:cs="Arial"/>
          <w:sz w:val="21"/>
          <w:szCs w:val="21"/>
        </w:rPr>
        <w:t>Suivi</w:t>
      </w:r>
    </w:p>
    <w:p w14:paraId="099183D1" w14:textId="77777777" w:rsidR="009021F1" w:rsidRPr="00D579BE" w:rsidRDefault="009021F1" w:rsidP="009021F1">
      <w:pPr>
        <w:pStyle w:val="Listepuces"/>
        <w:widowControl/>
        <w:numPr>
          <w:ilvl w:val="0"/>
          <w:numId w:val="123"/>
        </w:numPr>
        <w:tabs>
          <w:tab w:val="left" w:pos="851"/>
          <w:tab w:val="left" w:pos="1134"/>
        </w:tabs>
        <w:spacing w:line="276" w:lineRule="auto"/>
        <w:ind w:left="851" w:hanging="284"/>
        <w:jc w:val="both"/>
        <w:rPr>
          <w:rFonts w:ascii="Arial" w:hAnsi="Arial" w:cs="Arial"/>
          <w:sz w:val="21"/>
          <w:szCs w:val="21"/>
        </w:rPr>
      </w:pPr>
      <w:r w:rsidRPr="00D579BE">
        <w:rPr>
          <w:rFonts w:ascii="Arial" w:hAnsi="Arial" w:cs="Arial"/>
          <w:sz w:val="21"/>
          <w:szCs w:val="21"/>
        </w:rPr>
        <w:t>Présente un mécanisme de suivi et d’évaluation systématique de la mise en œuvre des mesures d’atténuation, ainsi que de l’impact du sousprojet sur l’environnement physique et social.</w:t>
      </w:r>
    </w:p>
    <w:p w14:paraId="2E7AA937" w14:textId="77777777" w:rsidR="009021F1" w:rsidRPr="00D579BE" w:rsidRDefault="009021F1" w:rsidP="009021F1">
      <w:pPr>
        <w:pStyle w:val="Listepuces"/>
        <w:widowControl/>
        <w:numPr>
          <w:ilvl w:val="0"/>
          <w:numId w:val="123"/>
        </w:numPr>
        <w:tabs>
          <w:tab w:val="left" w:pos="851"/>
          <w:tab w:val="left" w:pos="1134"/>
        </w:tabs>
        <w:spacing w:line="276" w:lineRule="auto"/>
        <w:ind w:left="851" w:hanging="284"/>
        <w:jc w:val="both"/>
        <w:rPr>
          <w:rFonts w:ascii="Arial" w:hAnsi="Arial" w:cs="Arial"/>
          <w:sz w:val="21"/>
          <w:szCs w:val="21"/>
        </w:rPr>
      </w:pPr>
      <w:r w:rsidRPr="00D579BE">
        <w:rPr>
          <w:rFonts w:ascii="Arial" w:hAnsi="Arial" w:cs="Arial"/>
          <w:sz w:val="21"/>
          <w:szCs w:val="21"/>
        </w:rPr>
        <w:t>Définit la nature et les paramètres du suivi de l’impact du sousprojet, y compris les paramètres à mesurer, les méthodes à utiliser, les lieux d’échantillonnage, la fréquence des mesures, les limites de détection (s’il y a lieu), et une définition des seuils qui indiqueront la nécessité d’appliquer des mesures correctives.</w:t>
      </w:r>
    </w:p>
    <w:p w14:paraId="32BA76FA" w14:textId="77777777" w:rsidR="009021F1" w:rsidRPr="00D579BE" w:rsidRDefault="009021F1" w:rsidP="009021F1">
      <w:pPr>
        <w:pStyle w:val="Listepuces"/>
        <w:widowControl/>
        <w:numPr>
          <w:ilvl w:val="0"/>
          <w:numId w:val="123"/>
        </w:numPr>
        <w:tabs>
          <w:tab w:val="left" w:pos="851"/>
          <w:tab w:val="left" w:pos="1134"/>
        </w:tabs>
        <w:spacing w:line="276" w:lineRule="auto"/>
        <w:ind w:left="851" w:hanging="284"/>
        <w:jc w:val="both"/>
        <w:rPr>
          <w:rFonts w:ascii="Arial" w:hAnsi="Arial" w:cs="Arial"/>
          <w:sz w:val="21"/>
          <w:szCs w:val="21"/>
        </w:rPr>
      </w:pPr>
      <w:r w:rsidRPr="00D579BE">
        <w:rPr>
          <w:rFonts w:ascii="Arial" w:hAnsi="Arial" w:cs="Arial"/>
          <w:sz w:val="21"/>
          <w:szCs w:val="21"/>
        </w:rPr>
        <w:t>Détaille le processus de rapportage de la performance des entreprises dans la mise en œuvre des exigences environnementales et sociales qu’elles doivent assumer dans le cadre de leurs contrats</w:t>
      </w:r>
    </w:p>
    <w:p w14:paraId="3673200D" w14:textId="77777777" w:rsidR="009021F1" w:rsidRPr="00D579BE" w:rsidRDefault="009021F1" w:rsidP="009021F1">
      <w:pPr>
        <w:pStyle w:val="Listepuces"/>
        <w:widowControl/>
        <w:numPr>
          <w:ilvl w:val="0"/>
          <w:numId w:val="123"/>
        </w:numPr>
        <w:tabs>
          <w:tab w:val="left" w:pos="851"/>
          <w:tab w:val="left" w:pos="1134"/>
        </w:tabs>
        <w:spacing w:line="276" w:lineRule="auto"/>
        <w:ind w:left="851" w:hanging="284"/>
        <w:jc w:val="both"/>
        <w:rPr>
          <w:rFonts w:ascii="Arial" w:hAnsi="Arial" w:cs="Arial"/>
          <w:sz w:val="21"/>
          <w:szCs w:val="21"/>
        </w:rPr>
      </w:pPr>
      <w:r w:rsidRPr="00D579BE">
        <w:rPr>
          <w:rFonts w:ascii="Arial" w:hAnsi="Arial" w:cs="Arial"/>
          <w:sz w:val="21"/>
          <w:szCs w:val="21"/>
        </w:rPr>
        <w:t>Définit les rapports de suivi qui doivent être préparés, qui doit les préparer, qui sont les destinataires, leur fréquence, et leur contenu.</w:t>
      </w:r>
    </w:p>
    <w:p w14:paraId="79A15448" w14:textId="77777777" w:rsidR="009021F1" w:rsidRPr="00D579BE" w:rsidRDefault="009021F1" w:rsidP="009021F1">
      <w:pPr>
        <w:pStyle w:val="Titre4"/>
        <w:spacing w:before="0" w:after="0"/>
        <w:jc w:val="both"/>
        <w:rPr>
          <w:rFonts w:ascii="Arial" w:hAnsi="Arial" w:cs="Arial"/>
          <w:sz w:val="21"/>
          <w:szCs w:val="21"/>
        </w:rPr>
      </w:pPr>
    </w:p>
    <w:p w14:paraId="3D2B4BE3" w14:textId="77777777" w:rsidR="009021F1" w:rsidRPr="00D579BE" w:rsidRDefault="009021F1" w:rsidP="009021F1">
      <w:pPr>
        <w:pStyle w:val="Titre4"/>
        <w:spacing w:before="0" w:after="0"/>
        <w:jc w:val="both"/>
        <w:rPr>
          <w:rFonts w:ascii="Arial" w:hAnsi="Arial" w:cs="Arial"/>
          <w:sz w:val="21"/>
          <w:szCs w:val="21"/>
        </w:rPr>
      </w:pPr>
      <w:r w:rsidRPr="00D579BE">
        <w:rPr>
          <w:rFonts w:ascii="Arial" w:hAnsi="Arial" w:cs="Arial"/>
          <w:sz w:val="21"/>
          <w:szCs w:val="21"/>
        </w:rPr>
        <w:t>Engagement des parties prenantes</w:t>
      </w:r>
    </w:p>
    <w:p w14:paraId="410B1583" w14:textId="77777777" w:rsidR="009021F1" w:rsidRPr="00D579BE" w:rsidRDefault="009021F1" w:rsidP="009021F1">
      <w:pPr>
        <w:pStyle w:val="Listepuces"/>
        <w:widowControl/>
        <w:numPr>
          <w:ilvl w:val="0"/>
          <w:numId w:val="123"/>
        </w:numPr>
        <w:tabs>
          <w:tab w:val="left" w:pos="851"/>
          <w:tab w:val="left" w:pos="1134"/>
        </w:tabs>
        <w:spacing w:line="276" w:lineRule="auto"/>
        <w:ind w:left="851" w:hanging="284"/>
        <w:jc w:val="both"/>
        <w:rPr>
          <w:rFonts w:ascii="Arial" w:hAnsi="Arial" w:cs="Arial"/>
          <w:sz w:val="21"/>
          <w:szCs w:val="21"/>
        </w:rPr>
      </w:pPr>
      <w:r w:rsidRPr="00D579BE">
        <w:rPr>
          <w:rFonts w:ascii="Arial" w:hAnsi="Arial" w:cs="Arial"/>
          <w:sz w:val="21"/>
          <w:szCs w:val="21"/>
        </w:rPr>
        <w:t xml:space="preserve">Fait référence au Plan de Mobilisation des Parties Prenantes (PMPP) du </w:t>
      </w:r>
      <w:r w:rsidRPr="00D579BE">
        <w:rPr>
          <w:rFonts w:ascii="Arial" w:hAnsi="Arial" w:cs="Arial"/>
          <w:i/>
          <w:iCs/>
          <w:sz w:val="21"/>
          <w:szCs w:val="21"/>
        </w:rPr>
        <w:t>Projet</w:t>
      </w:r>
      <w:r w:rsidRPr="00D579BE">
        <w:rPr>
          <w:rFonts w:ascii="Arial" w:hAnsi="Arial" w:cs="Arial"/>
          <w:sz w:val="21"/>
          <w:szCs w:val="21"/>
        </w:rPr>
        <w:t>, et en résumer les portions pertinentes au sousprojet, notamment le mécanisme de gestion des plaintes.</w:t>
      </w:r>
    </w:p>
    <w:p w14:paraId="61451875" w14:textId="77777777" w:rsidR="009021F1" w:rsidRPr="00D579BE" w:rsidRDefault="009021F1" w:rsidP="009021F1">
      <w:pPr>
        <w:pStyle w:val="Listepuces"/>
        <w:widowControl/>
        <w:numPr>
          <w:ilvl w:val="0"/>
          <w:numId w:val="123"/>
        </w:numPr>
        <w:tabs>
          <w:tab w:val="left" w:pos="851"/>
          <w:tab w:val="left" w:pos="1134"/>
        </w:tabs>
        <w:spacing w:line="276" w:lineRule="auto"/>
        <w:ind w:left="851" w:hanging="284"/>
        <w:jc w:val="both"/>
        <w:rPr>
          <w:rFonts w:ascii="Arial" w:hAnsi="Arial" w:cs="Arial"/>
          <w:sz w:val="21"/>
          <w:szCs w:val="21"/>
        </w:rPr>
      </w:pPr>
      <w:r w:rsidRPr="00D579BE">
        <w:rPr>
          <w:rFonts w:ascii="Arial" w:hAnsi="Arial" w:cs="Arial"/>
          <w:sz w:val="21"/>
          <w:szCs w:val="21"/>
        </w:rPr>
        <w:t>Incorpore, le cas échéant, des méthodes traditionnelles de gestion des plaintes tout en veillant à assurer l’accès ou la prise en compte des individus et groupes défavorisés et marginalisés conformément au PMPP.</w:t>
      </w:r>
    </w:p>
    <w:p w14:paraId="32C8207D" w14:textId="77777777" w:rsidR="009021F1" w:rsidRPr="00D579BE" w:rsidRDefault="009021F1" w:rsidP="009021F1">
      <w:pPr>
        <w:pStyle w:val="Titre4"/>
        <w:spacing w:before="0" w:after="0"/>
        <w:jc w:val="both"/>
        <w:rPr>
          <w:rFonts w:ascii="Arial" w:hAnsi="Arial" w:cs="Arial"/>
          <w:sz w:val="21"/>
          <w:szCs w:val="21"/>
        </w:rPr>
      </w:pPr>
    </w:p>
    <w:p w14:paraId="42932909" w14:textId="77777777" w:rsidR="009021F1" w:rsidRPr="00D579BE" w:rsidRDefault="009021F1" w:rsidP="009021F1">
      <w:pPr>
        <w:pStyle w:val="Titre4"/>
        <w:spacing w:before="0" w:after="0"/>
        <w:jc w:val="both"/>
        <w:rPr>
          <w:rFonts w:ascii="Arial" w:hAnsi="Arial" w:cs="Arial"/>
          <w:sz w:val="21"/>
          <w:szCs w:val="21"/>
        </w:rPr>
      </w:pPr>
      <w:r w:rsidRPr="00D579BE">
        <w:rPr>
          <w:rFonts w:ascii="Arial" w:hAnsi="Arial" w:cs="Arial"/>
          <w:sz w:val="21"/>
          <w:szCs w:val="21"/>
        </w:rPr>
        <w:t>Cadre institutionnel pour la mise en œuvre du PGES</w:t>
      </w:r>
    </w:p>
    <w:p w14:paraId="229A1F01" w14:textId="77777777" w:rsidR="009021F1" w:rsidRPr="00D579BE" w:rsidRDefault="009021F1" w:rsidP="009021F1">
      <w:pPr>
        <w:pStyle w:val="Listepuces"/>
        <w:widowControl/>
        <w:numPr>
          <w:ilvl w:val="0"/>
          <w:numId w:val="123"/>
        </w:numPr>
        <w:tabs>
          <w:tab w:val="left" w:pos="851"/>
          <w:tab w:val="left" w:pos="1134"/>
        </w:tabs>
        <w:spacing w:line="276" w:lineRule="auto"/>
        <w:ind w:left="851" w:hanging="284"/>
        <w:jc w:val="both"/>
        <w:rPr>
          <w:rFonts w:ascii="Arial" w:hAnsi="Arial" w:cs="Arial"/>
          <w:sz w:val="21"/>
          <w:szCs w:val="21"/>
        </w:rPr>
      </w:pPr>
      <w:r w:rsidRPr="00D579BE">
        <w:rPr>
          <w:rFonts w:ascii="Arial" w:hAnsi="Arial" w:cs="Arial"/>
          <w:sz w:val="21"/>
          <w:szCs w:val="21"/>
        </w:rPr>
        <w:t>Décrit les rôles et les responsabilités des différents acteurs (qui fera quoi, par poste) impliqués dans la préparation et l’approbation de l’EIES, les entités chargées de l’exécution des mesures d’atténuation et de suivi (notamment concernant l’exploitation, la supervision, la mise en œuvre, le suivi, les mesures correctives, le financement, l’établissement des rapports et la formation du personnel), la contractualisation des exigences Environnementales, Sociales, Sanitaires, et Sécuritaires (ESSS), ainsi que dans la mise en œuvre et le suivi de la mise en œuvre du PGES et des entreprises pour le sous-projet.</w:t>
      </w:r>
    </w:p>
    <w:p w14:paraId="0DA42FF3" w14:textId="77777777" w:rsidR="009021F1" w:rsidRPr="00D579BE" w:rsidRDefault="009021F1" w:rsidP="009021F1">
      <w:pPr>
        <w:pStyle w:val="Listepuces"/>
        <w:widowControl/>
        <w:numPr>
          <w:ilvl w:val="0"/>
          <w:numId w:val="123"/>
        </w:numPr>
        <w:tabs>
          <w:tab w:val="left" w:pos="851"/>
          <w:tab w:val="left" w:pos="1134"/>
        </w:tabs>
        <w:spacing w:line="276" w:lineRule="auto"/>
        <w:ind w:left="851" w:hanging="284"/>
        <w:jc w:val="both"/>
        <w:rPr>
          <w:rFonts w:ascii="Arial" w:hAnsi="Arial" w:cs="Arial"/>
          <w:sz w:val="21"/>
          <w:szCs w:val="21"/>
        </w:rPr>
      </w:pPr>
      <w:r w:rsidRPr="00D579BE">
        <w:rPr>
          <w:rFonts w:ascii="Arial" w:hAnsi="Arial" w:cs="Arial"/>
          <w:sz w:val="21"/>
          <w:szCs w:val="21"/>
        </w:rPr>
        <w:t>Évalue les capacités techniques et organisationnelles existantes de tous les acteurs ci-dessus, en termes de personnel qualifié, de procédures, et de performance dans le passé.</w:t>
      </w:r>
    </w:p>
    <w:p w14:paraId="6ED034CC" w14:textId="77777777" w:rsidR="009021F1" w:rsidRPr="00D579BE" w:rsidRDefault="009021F1" w:rsidP="009021F1">
      <w:pPr>
        <w:pStyle w:val="Listepuces"/>
        <w:widowControl/>
        <w:numPr>
          <w:ilvl w:val="0"/>
          <w:numId w:val="123"/>
        </w:numPr>
        <w:tabs>
          <w:tab w:val="left" w:pos="851"/>
          <w:tab w:val="left" w:pos="1134"/>
        </w:tabs>
        <w:spacing w:line="276" w:lineRule="auto"/>
        <w:ind w:left="851" w:hanging="284"/>
        <w:jc w:val="both"/>
        <w:rPr>
          <w:rFonts w:ascii="Arial" w:hAnsi="Arial" w:cs="Arial"/>
          <w:sz w:val="21"/>
          <w:szCs w:val="21"/>
        </w:rPr>
      </w:pPr>
      <w:r w:rsidRPr="00D579BE">
        <w:rPr>
          <w:rFonts w:ascii="Arial" w:hAnsi="Arial" w:cs="Arial"/>
          <w:sz w:val="21"/>
          <w:szCs w:val="21"/>
        </w:rPr>
        <w:t xml:space="preserve">Recommande les mesures de renforcement des capacités des acteurs afin qu’ils puissent de jouer le rôle et assumer les responsabilités décrites ci-dessus.  Le consultant doit tenir compte du fait que le sousprojet concerné par l’EIES ne représente qu’une petite partie des activités prévues dans le cadre du </w:t>
      </w:r>
      <w:r w:rsidRPr="00D579BE">
        <w:rPr>
          <w:rFonts w:ascii="Arial" w:hAnsi="Arial" w:cs="Arial"/>
          <w:i/>
          <w:iCs/>
          <w:sz w:val="21"/>
          <w:szCs w:val="21"/>
        </w:rPr>
        <w:t>Projet</w:t>
      </w:r>
      <w:r w:rsidRPr="00D579BE">
        <w:rPr>
          <w:rFonts w:ascii="Arial" w:hAnsi="Arial" w:cs="Arial"/>
          <w:sz w:val="21"/>
          <w:szCs w:val="21"/>
        </w:rPr>
        <w:t xml:space="preserve">, et que le Cadre de Gestion Environnemental et Social (CGES) du </w:t>
      </w:r>
      <w:r w:rsidRPr="00D579BE">
        <w:rPr>
          <w:rFonts w:ascii="Arial" w:hAnsi="Arial" w:cs="Arial"/>
          <w:i/>
          <w:iCs/>
          <w:sz w:val="21"/>
          <w:szCs w:val="21"/>
        </w:rPr>
        <w:t>Projet</w:t>
      </w:r>
      <w:r w:rsidRPr="00D579BE">
        <w:rPr>
          <w:rFonts w:ascii="Arial" w:hAnsi="Arial" w:cs="Arial"/>
          <w:sz w:val="21"/>
          <w:szCs w:val="21"/>
        </w:rPr>
        <w:t xml:space="preserve"> prévoira aussi des activités de renforcement des capacités.</w:t>
      </w:r>
    </w:p>
    <w:p w14:paraId="448666CD" w14:textId="77777777" w:rsidR="009021F1" w:rsidRPr="00D579BE" w:rsidRDefault="009021F1" w:rsidP="009021F1">
      <w:pPr>
        <w:pStyle w:val="Listepuces"/>
        <w:widowControl/>
        <w:tabs>
          <w:tab w:val="left" w:pos="851"/>
          <w:tab w:val="left" w:pos="1134"/>
        </w:tabs>
        <w:spacing w:line="276" w:lineRule="auto"/>
        <w:ind w:left="851" w:firstLine="0"/>
        <w:jc w:val="both"/>
        <w:rPr>
          <w:rFonts w:ascii="Arial" w:hAnsi="Arial" w:cs="Arial"/>
          <w:sz w:val="21"/>
          <w:szCs w:val="21"/>
        </w:rPr>
      </w:pPr>
      <w:r w:rsidRPr="00D579BE">
        <w:rPr>
          <w:rFonts w:ascii="Arial" w:hAnsi="Arial" w:cs="Arial"/>
          <w:sz w:val="21"/>
          <w:szCs w:val="21"/>
        </w:rPr>
        <w:br/>
        <w:t>Le renforcement des capacités nationales qui ne sont pas spécifiquement requises par le sous-projet est un objectif valide qui peut constituer une activité du Projet lui-même, plutôt qu’une mesure d’atténuation pour le sous-projet.</w:t>
      </w:r>
    </w:p>
    <w:p w14:paraId="7322A781" w14:textId="77777777" w:rsidR="009021F1" w:rsidRPr="00D579BE" w:rsidRDefault="009021F1" w:rsidP="009021F1">
      <w:pPr>
        <w:pStyle w:val="Listepuces"/>
        <w:widowControl/>
        <w:numPr>
          <w:ilvl w:val="0"/>
          <w:numId w:val="123"/>
        </w:numPr>
        <w:tabs>
          <w:tab w:val="left" w:pos="851"/>
          <w:tab w:val="left" w:pos="1134"/>
        </w:tabs>
        <w:spacing w:line="276" w:lineRule="auto"/>
        <w:ind w:left="851" w:hanging="284"/>
        <w:jc w:val="both"/>
        <w:rPr>
          <w:rFonts w:ascii="Arial" w:hAnsi="Arial" w:cs="Arial"/>
          <w:sz w:val="21"/>
          <w:szCs w:val="21"/>
        </w:rPr>
      </w:pPr>
      <w:r w:rsidRPr="00D579BE">
        <w:rPr>
          <w:rFonts w:ascii="Arial" w:hAnsi="Arial" w:cs="Arial"/>
          <w:sz w:val="21"/>
          <w:szCs w:val="21"/>
        </w:rPr>
        <w:t>Prévoit le renforcement des capacités des entreprises et des agents exécutants les activités du Projet</w:t>
      </w:r>
    </w:p>
    <w:p w14:paraId="1380E252" w14:textId="77777777" w:rsidR="009021F1" w:rsidRPr="00D579BE" w:rsidRDefault="009021F1" w:rsidP="009021F1">
      <w:pPr>
        <w:pStyle w:val="Listepuces"/>
        <w:widowControl/>
        <w:numPr>
          <w:ilvl w:val="0"/>
          <w:numId w:val="123"/>
        </w:numPr>
        <w:tabs>
          <w:tab w:val="left" w:pos="851"/>
          <w:tab w:val="left" w:pos="1134"/>
        </w:tabs>
        <w:spacing w:line="276" w:lineRule="auto"/>
        <w:ind w:left="851" w:hanging="284"/>
        <w:jc w:val="both"/>
        <w:rPr>
          <w:rFonts w:ascii="Arial" w:hAnsi="Arial" w:cs="Arial"/>
          <w:sz w:val="21"/>
          <w:szCs w:val="21"/>
        </w:rPr>
      </w:pPr>
      <w:r w:rsidRPr="00D579BE">
        <w:rPr>
          <w:rFonts w:ascii="Arial" w:hAnsi="Arial" w:cs="Arial"/>
          <w:sz w:val="21"/>
          <w:szCs w:val="21"/>
        </w:rPr>
        <w:t>Évalue la faisabilité technique, institutionnelle, et financière de la mise en œuvre des mesures d’atténuation proposées.</w:t>
      </w:r>
    </w:p>
    <w:p w14:paraId="52773157" w14:textId="77777777" w:rsidR="009021F1" w:rsidRPr="00D579BE" w:rsidRDefault="009021F1" w:rsidP="009021F1">
      <w:pPr>
        <w:pStyle w:val="Titre4"/>
        <w:spacing w:before="0" w:after="0"/>
        <w:jc w:val="both"/>
        <w:rPr>
          <w:rFonts w:ascii="Arial" w:hAnsi="Arial" w:cs="Arial"/>
          <w:sz w:val="21"/>
          <w:szCs w:val="21"/>
        </w:rPr>
      </w:pPr>
    </w:p>
    <w:p w14:paraId="41ACB05F" w14:textId="77777777" w:rsidR="009021F1" w:rsidRPr="00D579BE" w:rsidRDefault="009021F1" w:rsidP="009021F1">
      <w:pPr>
        <w:pStyle w:val="Titre4"/>
        <w:spacing w:before="0" w:after="0"/>
        <w:jc w:val="both"/>
        <w:rPr>
          <w:rFonts w:ascii="Arial" w:hAnsi="Arial" w:cs="Arial"/>
          <w:sz w:val="21"/>
          <w:szCs w:val="21"/>
        </w:rPr>
      </w:pPr>
      <w:r w:rsidRPr="00D579BE">
        <w:rPr>
          <w:rFonts w:ascii="Arial" w:hAnsi="Arial" w:cs="Arial"/>
          <w:sz w:val="21"/>
          <w:szCs w:val="21"/>
        </w:rPr>
        <w:t>Budget</w:t>
      </w:r>
    </w:p>
    <w:p w14:paraId="18F6F738" w14:textId="77777777" w:rsidR="009021F1" w:rsidRPr="00D579BE" w:rsidRDefault="009021F1" w:rsidP="009021F1">
      <w:pPr>
        <w:pStyle w:val="Listepuces"/>
        <w:widowControl/>
        <w:numPr>
          <w:ilvl w:val="0"/>
          <w:numId w:val="123"/>
        </w:numPr>
        <w:tabs>
          <w:tab w:val="left" w:pos="851"/>
          <w:tab w:val="left" w:pos="1134"/>
        </w:tabs>
        <w:spacing w:line="276" w:lineRule="auto"/>
        <w:ind w:left="851" w:hanging="284"/>
        <w:jc w:val="both"/>
        <w:rPr>
          <w:rFonts w:ascii="Arial" w:hAnsi="Arial" w:cs="Arial"/>
          <w:sz w:val="21"/>
          <w:szCs w:val="21"/>
        </w:rPr>
      </w:pPr>
      <w:r w:rsidRPr="00D579BE">
        <w:rPr>
          <w:rFonts w:ascii="Arial" w:hAnsi="Arial" w:cs="Arial"/>
          <w:sz w:val="21"/>
          <w:szCs w:val="21"/>
        </w:rPr>
        <w:t>Inclut un budget pour la mise en œuvre et le suivi de la mise en œuvre du PGES, sachant que le coût des mesures d’atténuation à la charge des entreprises sera intégré dans leurs contrats respectifs.</w:t>
      </w:r>
    </w:p>
    <w:p w14:paraId="5576D67D" w14:textId="77777777" w:rsidR="009021F1" w:rsidRPr="00D579BE" w:rsidRDefault="009021F1" w:rsidP="009021F1">
      <w:pPr>
        <w:pStyle w:val="Listepuces"/>
        <w:widowControl/>
        <w:numPr>
          <w:ilvl w:val="0"/>
          <w:numId w:val="123"/>
        </w:numPr>
        <w:tabs>
          <w:tab w:val="left" w:pos="851"/>
          <w:tab w:val="left" w:pos="1134"/>
        </w:tabs>
        <w:spacing w:line="276" w:lineRule="auto"/>
        <w:ind w:left="851" w:hanging="284"/>
        <w:jc w:val="both"/>
        <w:rPr>
          <w:rFonts w:ascii="Arial" w:hAnsi="Arial" w:cs="Arial"/>
          <w:sz w:val="21"/>
          <w:szCs w:val="21"/>
        </w:rPr>
      </w:pPr>
      <w:r w:rsidRPr="00D579BE">
        <w:rPr>
          <w:rFonts w:ascii="Arial" w:hAnsi="Arial" w:cs="Arial"/>
          <w:sz w:val="21"/>
          <w:szCs w:val="21"/>
        </w:rPr>
        <w:t xml:space="preserve">Évalue les coûts d’investissement et les charges récurrentes correspondant aux mesures d’atténuation proposées </w:t>
      </w:r>
    </w:p>
    <w:p w14:paraId="4B0F6DA0" w14:textId="77777777" w:rsidR="009021F1" w:rsidRPr="00D579BE" w:rsidRDefault="009021F1" w:rsidP="009021F1">
      <w:pPr>
        <w:pStyle w:val="Listepuces"/>
        <w:widowControl/>
        <w:tabs>
          <w:tab w:val="left" w:pos="851"/>
          <w:tab w:val="left" w:pos="1134"/>
        </w:tabs>
        <w:spacing w:line="276" w:lineRule="auto"/>
        <w:ind w:left="851" w:firstLine="0"/>
        <w:jc w:val="both"/>
        <w:rPr>
          <w:rFonts w:ascii="Arial" w:hAnsi="Arial" w:cs="Arial"/>
          <w:sz w:val="21"/>
          <w:szCs w:val="21"/>
        </w:rPr>
      </w:pPr>
    </w:p>
    <w:p w14:paraId="29ED6267" w14:textId="77777777" w:rsidR="009021F1" w:rsidRPr="00D579BE" w:rsidRDefault="009021F1" w:rsidP="009021F1">
      <w:pPr>
        <w:pStyle w:val="Listenumros3"/>
        <w:keepNext/>
        <w:keepLines/>
        <w:numPr>
          <w:ilvl w:val="3"/>
          <w:numId w:val="119"/>
        </w:numPr>
        <w:tabs>
          <w:tab w:val="left" w:pos="709"/>
        </w:tabs>
        <w:snapToGrid/>
        <w:spacing w:line="276" w:lineRule="auto"/>
        <w:ind w:hanging="76"/>
        <w:jc w:val="both"/>
        <w:rPr>
          <w:rFonts w:ascii="Arial" w:hAnsi="Arial" w:cs="Arial"/>
          <w:b/>
          <w:i/>
          <w:sz w:val="21"/>
          <w:szCs w:val="21"/>
        </w:rPr>
      </w:pPr>
      <w:r w:rsidRPr="00D579BE">
        <w:rPr>
          <w:rFonts w:ascii="Arial" w:hAnsi="Arial" w:cs="Arial"/>
          <w:b/>
          <w:i/>
          <w:sz w:val="21"/>
          <w:szCs w:val="21"/>
        </w:rPr>
        <w:t>Consultation des parties prenantes</w:t>
      </w:r>
    </w:p>
    <w:p w14:paraId="12E4C3A4" w14:textId="77777777" w:rsidR="009021F1" w:rsidRPr="00D579BE" w:rsidRDefault="009021F1" w:rsidP="009021F1">
      <w:pPr>
        <w:pStyle w:val="Listenumros3"/>
        <w:keepNext/>
        <w:keepLines/>
        <w:tabs>
          <w:tab w:val="clear" w:pos="360"/>
          <w:tab w:val="left" w:pos="1191"/>
        </w:tabs>
        <w:snapToGrid/>
        <w:spacing w:line="276" w:lineRule="auto"/>
        <w:ind w:left="360"/>
        <w:jc w:val="both"/>
        <w:rPr>
          <w:rFonts w:ascii="Arial" w:hAnsi="Arial" w:cs="Arial"/>
          <w:b/>
          <w:i/>
          <w:sz w:val="21"/>
          <w:szCs w:val="21"/>
        </w:rPr>
      </w:pPr>
    </w:p>
    <w:p w14:paraId="6D322339" w14:textId="77777777" w:rsidR="009021F1" w:rsidRPr="00D579BE" w:rsidRDefault="009021F1" w:rsidP="009021F1">
      <w:pPr>
        <w:pStyle w:val="Corpsdetexte2"/>
        <w:spacing w:after="0" w:line="276" w:lineRule="auto"/>
        <w:rPr>
          <w:rFonts w:cs="Arial"/>
          <w:szCs w:val="21"/>
        </w:rPr>
      </w:pPr>
      <w:r w:rsidRPr="00D579BE">
        <w:rPr>
          <w:rFonts w:cs="Arial"/>
          <w:szCs w:val="21"/>
        </w:rPr>
        <w:t xml:space="preserve">Ce Chapitre résume toutes les consultations avec les parties prenantes concernées sur les impacts et risques potentiels du sous-projet, y compris les principaux bénéficiaires et les populations directement touchées par le sous-projet, notamment les femmes, les jeunes et les groupes vulnérables.  Le résumé doit indiquer les attentes et les préoccupations exprimées par les parties prenantes, ainsi que les dates et les lieux des consultations, et inclure une liste des participants, et indiquer comment les avis des parties prenantes ont été pris en compte dans l’EIES.  Les consultations relatives au </w:t>
      </w:r>
      <w:r w:rsidRPr="00D579BE">
        <w:rPr>
          <w:rFonts w:cs="Arial"/>
          <w:i/>
          <w:iCs/>
          <w:szCs w:val="21"/>
        </w:rPr>
        <w:t>Projet</w:t>
      </w:r>
      <w:r w:rsidRPr="00D579BE">
        <w:rPr>
          <w:rFonts w:cs="Arial"/>
          <w:szCs w:val="21"/>
        </w:rPr>
        <w:t xml:space="preserve"> lui-même, ainsi que les procédures de divulgation de l’EIES seront traitées dans le PMPP.</w:t>
      </w:r>
    </w:p>
    <w:p w14:paraId="377E27D6" w14:textId="77777777" w:rsidR="009021F1" w:rsidRPr="00D579BE" w:rsidRDefault="009021F1" w:rsidP="009021F1">
      <w:pPr>
        <w:pStyle w:val="Listenumros3"/>
        <w:tabs>
          <w:tab w:val="clear" w:pos="360"/>
        </w:tabs>
        <w:spacing w:line="276" w:lineRule="auto"/>
        <w:jc w:val="both"/>
        <w:rPr>
          <w:rFonts w:ascii="Arial" w:hAnsi="Arial" w:cs="Arial"/>
          <w:sz w:val="21"/>
          <w:szCs w:val="21"/>
        </w:rPr>
      </w:pPr>
      <w:r w:rsidRPr="00D579BE">
        <w:rPr>
          <w:rFonts w:ascii="Arial" w:hAnsi="Arial" w:cs="Arial"/>
          <w:sz w:val="21"/>
          <w:szCs w:val="21"/>
        </w:rPr>
        <w:t>Bibliographie</w:t>
      </w:r>
    </w:p>
    <w:p w14:paraId="7DCB0665" w14:textId="77777777" w:rsidR="009021F1" w:rsidRPr="00D579BE" w:rsidRDefault="009021F1" w:rsidP="009021F1">
      <w:pPr>
        <w:pStyle w:val="Corpsdetexte2"/>
        <w:spacing w:after="0" w:line="276" w:lineRule="auto"/>
        <w:rPr>
          <w:rFonts w:cs="Arial"/>
          <w:szCs w:val="21"/>
        </w:rPr>
      </w:pPr>
    </w:p>
    <w:p w14:paraId="70C13FBC" w14:textId="77777777" w:rsidR="009021F1" w:rsidRPr="00D579BE" w:rsidRDefault="009021F1" w:rsidP="009021F1">
      <w:pPr>
        <w:pStyle w:val="Listenumros3"/>
        <w:keepNext/>
        <w:keepLines/>
        <w:numPr>
          <w:ilvl w:val="3"/>
          <w:numId w:val="119"/>
        </w:numPr>
        <w:tabs>
          <w:tab w:val="left" w:pos="709"/>
        </w:tabs>
        <w:snapToGrid/>
        <w:spacing w:line="276" w:lineRule="auto"/>
        <w:ind w:hanging="76"/>
        <w:jc w:val="both"/>
        <w:rPr>
          <w:rFonts w:ascii="Arial" w:hAnsi="Arial" w:cs="Arial"/>
          <w:b/>
          <w:i/>
          <w:sz w:val="21"/>
          <w:szCs w:val="21"/>
        </w:rPr>
      </w:pPr>
      <w:r w:rsidRPr="00D579BE">
        <w:rPr>
          <w:rFonts w:ascii="Arial" w:hAnsi="Arial" w:cs="Arial"/>
          <w:b/>
          <w:i/>
          <w:sz w:val="21"/>
          <w:szCs w:val="21"/>
        </w:rPr>
        <w:t>Conclusion</w:t>
      </w:r>
    </w:p>
    <w:p w14:paraId="40B6F0A1" w14:textId="77777777" w:rsidR="009021F1" w:rsidRPr="00D579BE" w:rsidRDefault="009021F1" w:rsidP="009021F1">
      <w:pPr>
        <w:pStyle w:val="Listenumros3"/>
        <w:keepNext/>
        <w:keepLines/>
        <w:tabs>
          <w:tab w:val="clear" w:pos="360"/>
          <w:tab w:val="left" w:pos="1191"/>
        </w:tabs>
        <w:snapToGrid/>
        <w:spacing w:line="276" w:lineRule="auto"/>
        <w:ind w:left="360"/>
        <w:jc w:val="both"/>
        <w:rPr>
          <w:rFonts w:cs="Arial"/>
          <w:b/>
          <w:i/>
          <w:sz w:val="21"/>
          <w:szCs w:val="21"/>
        </w:rPr>
      </w:pPr>
    </w:p>
    <w:p w14:paraId="453A2887" w14:textId="77777777" w:rsidR="009021F1" w:rsidRPr="00D579BE" w:rsidRDefault="009021F1" w:rsidP="009021F1">
      <w:pPr>
        <w:pStyle w:val="Listenumros3"/>
        <w:keepNext/>
        <w:keepLines/>
        <w:numPr>
          <w:ilvl w:val="3"/>
          <w:numId w:val="119"/>
        </w:numPr>
        <w:tabs>
          <w:tab w:val="left" w:pos="709"/>
        </w:tabs>
        <w:snapToGrid/>
        <w:spacing w:line="276" w:lineRule="auto"/>
        <w:ind w:hanging="76"/>
        <w:jc w:val="both"/>
        <w:rPr>
          <w:rFonts w:ascii="Arial" w:hAnsi="Arial" w:cs="Arial"/>
          <w:b/>
          <w:i/>
          <w:sz w:val="21"/>
          <w:szCs w:val="21"/>
        </w:rPr>
      </w:pPr>
      <w:r w:rsidRPr="00D579BE">
        <w:rPr>
          <w:rFonts w:ascii="Arial" w:hAnsi="Arial" w:cs="Arial"/>
          <w:b/>
          <w:i/>
          <w:sz w:val="21"/>
          <w:szCs w:val="21"/>
        </w:rPr>
        <w:t>Référence bibliographie</w:t>
      </w:r>
    </w:p>
    <w:p w14:paraId="6331AD4A" w14:textId="77777777" w:rsidR="009021F1" w:rsidRPr="00D579BE" w:rsidRDefault="009021F1" w:rsidP="009021F1">
      <w:pPr>
        <w:pStyle w:val="Corpsdetexte2"/>
        <w:spacing w:after="0" w:line="276" w:lineRule="auto"/>
        <w:rPr>
          <w:rFonts w:cs="Arial"/>
          <w:szCs w:val="21"/>
        </w:rPr>
      </w:pPr>
    </w:p>
    <w:p w14:paraId="03D1DF74" w14:textId="77777777" w:rsidR="009021F1" w:rsidRPr="00D579BE" w:rsidRDefault="009021F1" w:rsidP="009021F1">
      <w:pPr>
        <w:pStyle w:val="Corpsdetexte2"/>
        <w:spacing w:after="0" w:line="276" w:lineRule="auto"/>
        <w:rPr>
          <w:rFonts w:cs="Arial"/>
          <w:szCs w:val="21"/>
        </w:rPr>
      </w:pPr>
      <w:r w:rsidRPr="00D579BE">
        <w:rPr>
          <w:rFonts w:cs="Arial"/>
          <w:szCs w:val="21"/>
        </w:rPr>
        <w:t>La bibliographie indique toutes les sources écrites, publiées ou non, qui ont été exploitées ou mentionnées dans l’EIES.</w:t>
      </w:r>
    </w:p>
    <w:p w14:paraId="25762A60" w14:textId="77777777" w:rsidR="009021F1" w:rsidRPr="00D579BE" w:rsidRDefault="009021F1" w:rsidP="009021F1">
      <w:pPr>
        <w:pStyle w:val="Corpsdetexte2"/>
        <w:spacing w:after="0" w:line="276" w:lineRule="auto"/>
        <w:rPr>
          <w:rFonts w:cs="Arial"/>
          <w:szCs w:val="21"/>
        </w:rPr>
      </w:pPr>
    </w:p>
    <w:p w14:paraId="4144786C" w14:textId="77777777" w:rsidR="009021F1" w:rsidRPr="00D579BE" w:rsidRDefault="009021F1" w:rsidP="009021F1">
      <w:pPr>
        <w:pStyle w:val="Listenumros3"/>
        <w:keepNext/>
        <w:keepLines/>
        <w:numPr>
          <w:ilvl w:val="3"/>
          <w:numId w:val="119"/>
        </w:numPr>
        <w:tabs>
          <w:tab w:val="left" w:pos="709"/>
        </w:tabs>
        <w:snapToGrid/>
        <w:spacing w:line="276" w:lineRule="auto"/>
        <w:ind w:hanging="76"/>
        <w:jc w:val="both"/>
        <w:rPr>
          <w:rFonts w:ascii="Arial" w:hAnsi="Arial" w:cs="Arial"/>
          <w:b/>
          <w:i/>
          <w:sz w:val="21"/>
          <w:szCs w:val="21"/>
        </w:rPr>
      </w:pPr>
      <w:r w:rsidRPr="00D579BE">
        <w:rPr>
          <w:rFonts w:ascii="Arial" w:hAnsi="Arial" w:cs="Arial"/>
          <w:b/>
          <w:i/>
          <w:sz w:val="21"/>
          <w:szCs w:val="21"/>
        </w:rPr>
        <w:t>Annexes</w:t>
      </w:r>
    </w:p>
    <w:p w14:paraId="7ACC8F03" w14:textId="77777777" w:rsidR="009021F1" w:rsidRPr="00D579BE" w:rsidRDefault="009021F1" w:rsidP="009021F1">
      <w:pPr>
        <w:pStyle w:val="Listenumros3"/>
        <w:keepNext/>
        <w:keepLines/>
        <w:tabs>
          <w:tab w:val="clear" w:pos="360"/>
          <w:tab w:val="left" w:pos="709"/>
        </w:tabs>
        <w:snapToGrid/>
        <w:spacing w:line="276" w:lineRule="auto"/>
        <w:ind w:left="360"/>
        <w:jc w:val="both"/>
        <w:rPr>
          <w:rFonts w:ascii="Arial" w:hAnsi="Arial" w:cs="Arial"/>
          <w:b/>
          <w:i/>
          <w:sz w:val="21"/>
          <w:szCs w:val="21"/>
        </w:rPr>
      </w:pPr>
    </w:p>
    <w:p w14:paraId="149766BF" w14:textId="77777777" w:rsidR="009021F1" w:rsidRPr="00D579BE" w:rsidRDefault="009021F1" w:rsidP="009021F1">
      <w:pPr>
        <w:pStyle w:val="Listepuces"/>
        <w:widowControl/>
        <w:numPr>
          <w:ilvl w:val="0"/>
          <w:numId w:val="123"/>
        </w:numPr>
        <w:tabs>
          <w:tab w:val="left" w:pos="851"/>
          <w:tab w:val="left" w:pos="1134"/>
        </w:tabs>
        <w:spacing w:line="276" w:lineRule="auto"/>
        <w:ind w:left="851" w:hanging="284"/>
        <w:jc w:val="both"/>
        <w:rPr>
          <w:rFonts w:ascii="Arial" w:hAnsi="Arial" w:cs="Arial"/>
          <w:sz w:val="21"/>
          <w:szCs w:val="21"/>
        </w:rPr>
      </w:pPr>
      <w:r w:rsidRPr="00D579BE">
        <w:rPr>
          <w:rFonts w:ascii="Arial" w:hAnsi="Arial" w:cs="Arial"/>
          <w:sz w:val="21"/>
          <w:szCs w:val="21"/>
        </w:rPr>
        <w:t>Liste des personnes qui ont préparé l’étude d’impact environnemental et social ou qui y ont contribué.</w:t>
      </w:r>
    </w:p>
    <w:p w14:paraId="0F4D5C38" w14:textId="77777777" w:rsidR="009021F1" w:rsidRPr="00D579BE" w:rsidRDefault="009021F1" w:rsidP="009021F1">
      <w:pPr>
        <w:pStyle w:val="Listepuces"/>
        <w:widowControl/>
        <w:numPr>
          <w:ilvl w:val="0"/>
          <w:numId w:val="123"/>
        </w:numPr>
        <w:tabs>
          <w:tab w:val="left" w:pos="851"/>
          <w:tab w:val="left" w:pos="1134"/>
        </w:tabs>
        <w:spacing w:line="276" w:lineRule="auto"/>
        <w:ind w:left="851" w:hanging="284"/>
        <w:jc w:val="both"/>
        <w:rPr>
          <w:rFonts w:ascii="Arial" w:hAnsi="Arial" w:cs="Arial"/>
          <w:sz w:val="21"/>
          <w:szCs w:val="21"/>
        </w:rPr>
      </w:pPr>
      <w:r w:rsidRPr="00D579BE">
        <w:rPr>
          <w:rFonts w:ascii="Arial" w:hAnsi="Arial" w:cs="Arial"/>
          <w:sz w:val="21"/>
          <w:szCs w:val="21"/>
        </w:rPr>
        <w:t>Comptes rendus des réunions, des consultations et des enquêtes associant les parties prenantes, y compris les personnes touchées et les autres parties concernées. Ces comptes rendus décrivent les moyens utilisés auxdites occasions pour obtenir les points de vue des populations touchées et des autres parties concernées.</w:t>
      </w:r>
    </w:p>
    <w:p w14:paraId="25D797FA" w14:textId="77777777" w:rsidR="009021F1" w:rsidRPr="00D579BE" w:rsidRDefault="009021F1" w:rsidP="009021F1">
      <w:pPr>
        <w:pStyle w:val="Listepuces"/>
        <w:widowControl/>
        <w:numPr>
          <w:ilvl w:val="0"/>
          <w:numId w:val="123"/>
        </w:numPr>
        <w:tabs>
          <w:tab w:val="left" w:pos="851"/>
          <w:tab w:val="left" w:pos="1134"/>
        </w:tabs>
        <w:spacing w:line="276" w:lineRule="auto"/>
        <w:ind w:left="851" w:hanging="284"/>
        <w:jc w:val="both"/>
        <w:rPr>
          <w:rFonts w:ascii="Arial" w:hAnsi="Arial" w:cs="Arial"/>
          <w:sz w:val="21"/>
          <w:szCs w:val="21"/>
        </w:rPr>
      </w:pPr>
      <w:r w:rsidRPr="00D579BE">
        <w:rPr>
          <w:rFonts w:ascii="Arial" w:hAnsi="Arial" w:cs="Arial"/>
          <w:sz w:val="21"/>
          <w:szCs w:val="21"/>
        </w:rPr>
        <w:t>Exigences environnementales, sociales, sanitaires et sécuritaires (ESSS) pour les entreprises</w:t>
      </w:r>
    </w:p>
    <w:p w14:paraId="5AEE1E2C" w14:textId="77777777" w:rsidR="009021F1" w:rsidRPr="00D579BE" w:rsidRDefault="009021F1" w:rsidP="009021F1">
      <w:pPr>
        <w:pStyle w:val="Listepuces"/>
        <w:widowControl/>
        <w:numPr>
          <w:ilvl w:val="0"/>
          <w:numId w:val="123"/>
        </w:numPr>
        <w:tabs>
          <w:tab w:val="left" w:pos="851"/>
          <w:tab w:val="left" w:pos="1134"/>
        </w:tabs>
        <w:spacing w:line="276" w:lineRule="auto"/>
        <w:ind w:left="851" w:hanging="284"/>
        <w:jc w:val="both"/>
        <w:rPr>
          <w:rFonts w:ascii="Arial" w:hAnsi="Arial" w:cs="Arial"/>
          <w:sz w:val="21"/>
          <w:szCs w:val="21"/>
        </w:rPr>
      </w:pPr>
      <w:r w:rsidRPr="00D579BE">
        <w:rPr>
          <w:rFonts w:ascii="Arial" w:hAnsi="Arial" w:cs="Arial"/>
          <w:sz w:val="21"/>
          <w:szCs w:val="21"/>
        </w:rPr>
        <w:t>Modèle de rapports périodiques d’avancement incluant les aspects relatifs à la gestion des risques et impacts environnementaux et sociaux</w:t>
      </w:r>
    </w:p>
    <w:p w14:paraId="7C085B57" w14:textId="77777777" w:rsidR="009021F1" w:rsidRPr="00B76D27" w:rsidRDefault="009021F1" w:rsidP="009021F1">
      <w:pPr>
        <w:pStyle w:val="Titre1"/>
        <w:tabs>
          <w:tab w:val="right" w:pos="9062"/>
        </w:tabs>
        <w:ind w:left="1276" w:hanging="1276"/>
        <w:rPr>
          <w:rFonts w:cs="Arial"/>
          <w:szCs w:val="21"/>
        </w:rPr>
      </w:pPr>
      <w:r w:rsidRPr="00D579BE">
        <w:rPr>
          <w:rFonts w:cs="Arial"/>
          <w:szCs w:val="21"/>
        </w:rPr>
        <w:br w:type="page"/>
      </w:r>
      <w:bookmarkStart w:id="485" w:name="_Toc90471591"/>
      <w:r w:rsidRPr="00B76D27">
        <w:rPr>
          <w:rFonts w:cs="Arial"/>
          <w:szCs w:val="21"/>
        </w:rPr>
        <w:t>ANNEXE 5. TERMES DE RÉFÉRENCE POUR L’ÉLABORATION DU CADRE DE GESTION ENVIRONNEMENTALE ET SOCIALE</w:t>
      </w:r>
      <w:bookmarkEnd w:id="485"/>
    </w:p>
    <w:p w14:paraId="67A5253E" w14:textId="77777777" w:rsidR="009021F1" w:rsidRPr="00D579BE" w:rsidRDefault="009021F1" w:rsidP="009021F1">
      <w:pPr>
        <w:rPr>
          <w:rFonts w:cs="Arial"/>
          <w:b/>
          <w:szCs w:val="21"/>
        </w:rPr>
      </w:pPr>
    </w:p>
    <w:p w14:paraId="4592B97A" w14:textId="77777777" w:rsidR="009021F1" w:rsidRPr="00D579BE" w:rsidRDefault="009021F1" w:rsidP="009021F1">
      <w:pPr>
        <w:pStyle w:val="Titre1"/>
        <w:keepNext w:val="0"/>
        <w:keepLines w:val="0"/>
        <w:numPr>
          <w:ilvl w:val="0"/>
          <w:numId w:val="58"/>
        </w:numPr>
        <w:ind w:left="357" w:hanging="357"/>
        <w:contextualSpacing/>
        <w:rPr>
          <w:rFonts w:cs="Arial"/>
          <w:szCs w:val="21"/>
        </w:rPr>
      </w:pPr>
      <w:bookmarkStart w:id="486" w:name="_Toc90471592"/>
      <w:r w:rsidRPr="00D579BE">
        <w:rPr>
          <w:rFonts w:cs="Arial"/>
          <w:szCs w:val="21"/>
        </w:rPr>
        <w:t>Contexte du projet et justification</w:t>
      </w:r>
      <w:bookmarkEnd w:id="486"/>
    </w:p>
    <w:p w14:paraId="28E26420" w14:textId="77777777" w:rsidR="009021F1" w:rsidRPr="00D579BE" w:rsidRDefault="009021F1" w:rsidP="009021F1">
      <w:pPr>
        <w:rPr>
          <w:rFonts w:cs="Arial"/>
          <w:szCs w:val="21"/>
        </w:rPr>
      </w:pPr>
    </w:p>
    <w:p w14:paraId="1027DB32" w14:textId="77777777" w:rsidR="009021F1" w:rsidRPr="00D579BE" w:rsidRDefault="009021F1" w:rsidP="009021F1">
      <w:pPr>
        <w:rPr>
          <w:rFonts w:cs="Arial"/>
          <w:b/>
          <w:szCs w:val="21"/>
        </w:rPr>
      </w:pPr>
      <w:r w:rsidRPr="00D579BE">
        <w:rPr>
          <w:rFonts w:cs="Arial"/>
          <w:b/>
          <w:szCs w:val="21"/>
        </w:rPr>
        <w:t>I.1. Contexte du Projet</w:t>
      </w:r>
    </w:p>
    <w:p w14:paraId="6410D026" w14:textId="77777777" w:rsidR="009021F1" w:rsidRPr="00D579BE" w:rsidRDefault="009021F1" w:rsidP="009021F1">
      <w:pPr>
        <w:rPr>
          <w:rFonts w:cs="Arial"/>
          <w:b/>
          <w:szCs w:val="21"/>
        </w:rPr>
      </w:pPr>
    </w:p>
    <w:p w14:paraId="740E2A7A" w14:textId="77777777" w:rsidR="009021F1" w:rsidRPr="00D579BE" w:rsidRDefault="009021F1" w:rsidP="009021F1">
      <w:pPr>
        <w:rPr>
          <w:rFonts w:cs="Arial"/>
          <w:szCs w:val="21"/>
        </w:rPr>
      </w:pPr>
      <w:r w:rsidRPr="00D579BE">
        <w:rPr>
          <w:rFonts w:cs="Arial"/>
          <w:szCs w:val="21"/>
        </w:rPr>
        <w:t xml:space="preserve">Le Gouvernement de la République démocratique du Congo (RDC) prépare, avec le soutien financier et technique de l’Association internationale de développement ci-après « la Banque mondiale »), un projet dénommé « Programme National de Développement Agricole », PNDA, en sigle. Le Gouvernement prévoit la mise en œuvre du PNDA sous la conduite du Ministère de l’Agriculture ainsi, la Banque mondiale a accepté d’accorder à ce projet un financement  de l’ordre de 500 millions de dollars américains pendant une durée de 5 ans renouvelables </w:t>
      </w:r>
    </w:p>
    <w:p w14:paraId="5E808101" w14:textId="77777777" w:rsidR="009021F1" w:rsidRPr="00D579BE" w:rsidRDefault="009021F1" w:rsidP="009021F1">
      <w:pPr>
        <w:rPr>
          <w:rFonts w:cs="Arial"/>
          <w:szCs w:val="21"/>
        </w:rPr>
      </w:pPr>
    </w:p>
    <w:p w14:paraId="02E1F8C8" w14:textId="77777777" w:rsidR="009021F1" w:rsidRPr="00D579BE" w:rsidRDefault="009021F1" w:rsidP="009021F1">
      <w:pPr>
        <w:rPr>
          <w:rFonts w:cs="Arial"/>
          <w:szCs w:val="21"/>
        </w:rPr>
      </w:pPr>
      <w:r w:rsidRPr="00D579BE">
        <w:rPr>
          <w:rFonts w:cs="Arial"/>
          <w:szCs w:val="21"/>
        </w:rPr>
        <w:t>Le PNDA a 4 composantes principales :</w:t>
      </w:r>
    </w:p>
    <w:p w14:paraId="3211B5F9" w14:textId="77777777" w:rsidR="009021F1" w:rsidRPr="00D579BE" w:rsidRDefault="009021F1" w:rsidP="009021F1">
      <w:pPr>
        <w:rPr>
          <w:rFonts w:cs="Arial"/>
          <w:szCs w:val="21"/>
        </w:rPr>
      </w:pPr>
    </w:p>
    <w:p w14:paraId="6C7ED677" w14:textId="77777777" w:rsidR="009021F1" w:rsidRPr="00D579BE" w:rsidRDefault="009021F1" w:rsidP="009021F1">
      <w:pPr>
        <w:rPr>
          <w:rFonts w:cs="Arial"/>
          <w:szCs w:val="21"/>
        </w:rPr>
      </w:pPr>
      <w:r w:rsidRPr="00D579BE">
        <w:rPr>
          <w:rFonts w:cs="Arial"/>
          <w:szCs w:val="21"/>
        </w:rPr>
        <w:t>Les objectifs spécifiques du programme se déclinent comme suit :</w:t>
      </w:r>
    </w:p>
    <w:p w14:paraId="58F68F3C" w14:textId="77777777" w:rsidR="009021F1" w:rsidRPr="00D579BE" w:rsidRDefault="009021F1" w:rsidP="009021F1">
      <w:pPr>
        <w:rPr>
          <w:rFonts w:cs="Arial"/>
          <w:szCs w:val="21"/>
        </w:rPr>
      </w:pPr>
    </w:p>
    <w:p w14:paraId="05E1E251" w14:textId="77777777" w:rsidR="009021F1" w:rsidRPr="00D579BE" w:rsidRDefault="009021F1" w:rsidP="009021F1">
      <w:pPr>
        <w:pStyle w:val="Paragraphedeliste"/>
        <w:numPr>
          <w:ilvl w:val="0"/>
          <w:numId w:val="59"/>
        </w:numPr>
        <w:spacing w:line="240" w:lineRule="auto"/>
        <w:rPr>
          <w:rFonts w:cs="Arial"/>
          <w:szCs w:val="21"/>
        </w:rPr>
      </w:pPr>
      <w:r w:rsidRPr="00D579BE">
        <w:rPr>
          <w:rFonts w:cs="Arial"/>
          <w:szCs w:val="21"/>
        </w:rPr>
        <w:t>soutenir la croissance de la productivité agricole au niveau de l’exploitation, permettant aux petits exploitants agricoles d’accroître leurs actifs et leur production, puis d’intervenir pour favoriser l’accès au marché et l’intégration productive de ces petits exploitants dans les chaînes d’approvisionnement agricoles ;</w:t>
      </w:r>
    </w:p>
    <w:p w14:paraId="45B3F805" w14:textId="77777777" w:rsidR="009021F1" w:rsidRPr="00D579BE" w:rsidRDefault="009021F1" w:rsidP="009021F1">
      <w:pPr>
        <w:numPr>
          <w:ilvl w:val="0"/>
          <w:numId w:val="59"/>
        </w:numPr>
        <w:autoSpaceDN w:val="0"/>
        <w:spacing w:line="240" w:lineRule="auto"/>
        <w:rPr>
          <w:rFonts w:cs="Arial"/>
          <w:szCs w:val="21"/>
        </w:rPr>
      </w:pPr>
      <w:r w:rsidRPr="00D579BE">
        <w:rPr>
          <w:rFonts w:cs="Arial"/>
          <w:szCs w:val="21"/>
        </w:rPr>
        <w:t>soutenir par des investissements importants dans la fourniture de biens et services publics agricoles aux niveaux national et local, notamment la recherche et le développement agricoles, la santé animale et végétale et les infrastructures ;</w:t>
      </w:r>
    </w:p>
    <w:p w14:paraId="243EB34E" w14:textId="77777777" w:rsidR="009021F1" w:rsidRPr="00D579BE" w:rsidRDefault="009021F1" w:rsidP="009021F1">
      <w:pPr>
        <w:numPr>
          <w:ilvl w:val="0"/>
          <w:numId w:val="59"/>
        </w:numPr>
        <w:autoSpaceDN w:val="0"/>
        <w:spacing w:line="240" w:lineRule="auto"/>
        <w:rPr>
          <w:rFonts w:cs="Arial"/>
          <w:szCs w:val="21"/>
        </w:rPr>
      </w:pPr>
      <w:r w:rsidRPr="00D579BE">
        <w:rPr>
          <w:rFonts w:cs="Arial"/>
          <w:szCs w:val="21"/>
        </w:rPr>
        <w:t>renforcer les capacités des du secteur public en particulier des ministères de l’Agriculture, Pêche et Elevage et du ministère du Développement Rural en vue de la fourniture des biens et services publics agricoles de base dans la zone du projet et renforcer la gestion du programme et le suivi et évaluation aux niveaux national et provincial dans les provinces participantes ; et</w:t>
      </w:r>
    </w:p>
    <w:p w14:paraId="147188DC" w14:textId="77777777" w:rsidR="009021F1" w:rsidRPr="00D579BE" w:rsidRDefault="009021F1" w:rsidP="009021F1">
      <w:pPr>
        <w:numPr>
          <w:ilvl w:val="0"/>
          <w:numId w:val="59"/>
        </w:numPr>
        <w:autoSpaceDN w:val="0"/>
        <w:spacing w:line="240" w:lineRule="auto"/>
        <w:rPr>
          <w:rFonts w:cs="Arial"/>
          <w:szCs w:val="21"/>
        </w:rPr>
      </w:pPr>
      <w:r w:rsidRPr="00D579BE">
        <w:rPr>
          <w:rFonts w:cs="Arial"/>
          <w:szCs w:val="21"/>
        </w:rPr>
        <w:t>renforcer les interventions d’urgence dans le secteur de l’Agriculture.</w:t>
      </w:r>
    </w:p>
    <w:p w14:paraId="629C2B5F" w14:textId="77777777" w:rsidR="009021F1" w:rsidRPr="00D579BE" w:rsidRDefault="009021F1" w:rsidP="009021F1">
      <w:pPr>
        <w:rPr>
          <w:rFonts w:cs="Arial"/>
          <w:spacing w:val="-3"/>
          <w:szCs w:val="21"/>
        </w:rPr>
      </w:pPr>
    </w:p>
    <w:p w14:paraId="1C38D858" w14:textId="77777777" w:rsidR="009021F1" w:rsidRPr="00D579BE" w:rsidRDefault="009021F1" w:rsidP="009021F1">
      <w:pPr>
        <w:rPr>
          <w:rFonts w:cs="Arial"/>
          <w:szCs w:val="21"/>
        </w:rPr>
      </w:pPr>
      <w:r w:rsidRPr="00D579BE">
        <w:rPr>
          <w:rFonts w:cs="Arial"/>
          <w:szCs w:val="21"/>
        </w:rPr>
        <w:t>Le Projet sera exécuté dans les Provinces du Nord Kivu, Kwilu,  Kasaï et  Kasaï Occidental et Kongo Central. Il s’appuiera sur des approches validées et les expériences réussies en RDC et dans la région.</w:t>
      </w:r>
    </w:p>
    <w:p w14:paraId="4BD072F9" w14:textId="77777777" w:rsidR="009021F1" w:rsidRPr="00D579BE" w:rsidRDefault="009021F1" w:rsidP="009021F1">
      <w:pPr>
        <w:rPr>
          <w:rFonts w:cs="Arial"/>
          <w:bCs/>
          <w:szCs w:val="21"/>
        </w:rPr>
      </w:pPr>
    </w:p>
    <w:p w14:paraId="16D78D7B" w14:textId="77777777" w:rsidR="009021F1" w:rsidRPr="00D579BE" w:rsidRDefault="009021F1" w:rsidP="009021F1">
      <w:pPr>
        <w:rPr>
          <w:rFonts w:cs="Arial"/>
          <w:b/>
          <w:bCs/>
          <w:szCs w:val="21"/>
        </w:rPr>
      </w:pPr>
      <w:r w:rsidRPr="00D579BE">
        <w:rPr>
          <w:rFonts w:cs="Arial"/>
          <w:b/>
          <w:bCs/>
          <w:szCs w:val="21"/>
        </w:rPr>
        <w:t>1.2. Justification du projet</w:t>
      </w:r>
    </w:p>
    <w:p w14:paraId="665B650C" w14:textId="77777777" w:rsidR="009021F1" w:rsidRPr="00D579BE" w:rsidRDefault="009021F1" w:rsidP="009021F1">
      <w:pPr>
        <w:rPr>
          <w:rFonts w:cs="Arial"/>
          <w:spacing w:val="-3"/>
          <w:szCs w:val="21"/>
        </w:rPr>
      </w:pPr>
    </w:p>
    <w:p w14:paraId="5B40747E" w14:textId="77777777" w:rsidR="009021F1" w:rsidRPr="00D579BE" w:rsidRDefault="009021F1" w:rsidP="009021F1">
      <w:pPr>
        <w:rPr>
          <w:rFonts w:cs="Arial"/>
          <w:szCs w:val="21"/>
          <w:lang w:val="fr-CI"/>
        </w:rPr>
      </w:pPr>
      <w:r w:rsidRPr="00D579BE">
        <w:rPr>
          <w:rFonts w:cs="Arial"/>
          <w:spacing w:val="-3"/>
          <w:szCs w:val="21"/>
        </w:rPr>
        <w:t xml:space="preserve">Le secteur agricole de la RDC est particulièrement exposé aux changements climatiques et l’incidence d’autres chocs externes comme la sécheresse, les inondations et autres phénomènes météorologiques extrêmes qui devraient augmenter en fréquence et en gravité. Bien que le bassin de la RDC semble être relativement moins exposé au changement climatique </w:t>
      </w:r>
      <w:r w:rsidRPr="00D579BE">
        <w:rPr>
          <w:rFonts w:cs="Arial"/>
          <w:szCs w:val="21"/>
          <w:lang w:val="fr-CI"/>
        </w:rPr>
        <w:t>que les régions plus sèches d’Afrique, les agriculteurs de la RDC sont particulièrement pauvres et isolés, et sont vulnérables aux impacts climatiques et à d’autres chocs externes, comme la récente infestation de maladie des légionnaires, causant d’importantes pertes économiques. En même temps, le brûlis dominant l’agriculture de subsistance, 82 % des émissions de GES du pays proviennent du changement d’affectation des sols et de la foresterie.  L’agriculture est mise en avant comme un des secteurs prioritaires tant pour l’adaptation que pour l’atténuation du changement climatique dans la contribution prévue déterminée au niveau (INDC) en reconnaissant à la fois la vulnérabilité du secteur et son rôle dans les efforts d’atténuation du changement climatique. Par conséquent, les approches, les pratiques et les technologies d’agriculture intelligente face au climat(CSA) sont essentielles pour améliorer la productivité et les revenus de l’agriculture, tout en s’attaquant à la résilience du climat local et à l’atténuation du climat mondial. Plusieurs technologies et pratiques d’agriculture intelligente face au climat existantes et potentielles en RDC ont déjà été identifiées. Les principales disparités entre les sexes dans le secteur agricole sont le faible accès des femmes aux actifs de production, aux pratiques agricoles améliorées, aux intrants et aux technologies. Les ménages dirigés par une femme produisent environ 30 % de moins de production agricole que leurs homologues masculins. Les femmes représentent 38,5 % de la population active dans l’économie et la part de ces femmes actives dans l’agriculture est de 72,6 % (FAO, 2011). En outre, il existe en RDC un lien étroit entre l’inégalité des sexes, la malnutrition et l’insécurité alimentaire. Des études récentes ont mis en lumière l’importance d’améliorer l’égalité des sexes en ciblant les femmes dans leurs rôles spécifiques dans la chaîne de valeur agricole. L’écart entre les sexes dans le secteur de l’agriculture en RDC s’explique en partie par le faible niveau d’autonomisation des femmes dans les cinq dimensions définies par l’Indice d’autonomisation des femmes dans l’agriculture (WEIA).</w:t>
      </w:r>
    </w:p>
    <w:p w14:paraId="52C1FEA2" w14:textId="77777777" w:rsidR="009021F1" w:rsidRPr="00D579BE" w:rsidRDefault="009021F1" w:rsidP="009021F1">
      <w:pPr>
        <w:rPr>
          <w:rFonts w:cs="Arial"/>
          <w:szCs w:val="21"/>
          <w:lang w:val="fr-CI"/>
        </w:rPr>
      </w:pPr>
    </w:p>
    <w:p w14:paraId="7752662A" w14:textId="77777777" w:rsidR="009021F1" w:rsidRPr="00D579BE" w:rsidRDefault="009021F1" w:rsidP="009021F1">
      <w:pPr>
        <w:rPr>
          <w:rFonts w:cs="Arial"/>
          <w:b/>
          <w:szCs w:val="21"/>
          <w:lang w:val="fr-CI"/>
        </w:rPr>
      </w:pPr>
      <w:r w:rsidRPr="00D579BE">
        <w:rPr>
          <w:rFonts w:cs="Arial"/>
          <w:b/>
          <w:szCs w:val="21"/>
          <w:lang w:val="fr-CI"/>
        </w:rPr>
        <w:t>1.3. Objectif de développement</w:t>
      </w:r>
    </w:p>
    <w:p w14:paraId="2F2646E1" w14:textId="77777777" w:rsidR="009021F1" w:rsidRPr="00D579BE" w:rsidRDefault="009021F1" w:rsidP="009021F1">
      <w:pPr>
        <w:rPr>
          <w:rFonts w:cs="Arial"/>
          <w:szCs w:val="21"/>
          <w:lang w:val="fr-CI"/>
        </w:rPr>
      </w:pPr>
    </w:p>
    <w:p w14:paraId="6A79F5AF" w14:textId="77777777" w:rsidR="009021F1" w:rsidRPr="00D579BE" w:rsidRDefault="009021F1" w:rsidP="009021F1">
      <w:pPr>
        <w:rPr>
          <w:rFonts w:cs="Arial"/>
          <w:spacing w:val="-3"/>
          <w:szCs w:val="21"/>
        </w:rPr>
      </w:pPr>
      <w:r w:rsidRPr="00D579BE">
        <w:rPr>
          <w:rFonts w:cs="Arial"/>
          <w:szCs w:val="21"/>
          <w:lang w:val="fr-CI"/>
        </w:rPr>
        <w:t>L’objectif de développement du PNDA est de réduire la pauvreté rurale en rétablissant et modernisant les systèmes de production agricole, en améliorant la nutrition et la sécurité alimentaire et en mobilisant des investissements importants des secteurs public et privé. Ces dernières années, l’agriculture est devenue une priorité absolue pour le gouvernement de la RDC, comme en témoigne l’allocation de 8 % du budget total en 2016 (à partir de 3 %) plus proche de l’objectif de 10 % de la Déclaration des chefs d’État africains de Maputo. Plusieurs documents de politique régissent le secteur agricole, notamment le Plan national d’Investissement agricole (PNIA), la loi sur l’agriculture et la stratégie de relance de l’agro-industrie. En outre, le ministère du Développement rural a également proposé une nouvelle stratégie pour les centres de développement rural intégré reposant principalement sur le développement de l’agriculture. En pratique, la propriété de ces politiques au niveau provincial et même occasionnellement au niveau central est faible. Une politique nationale de sécurité alimentaire et de nutrition (Politique nationale de Sécurité alimentaire et nutritionnelle, PNSAN 2018 – 2030) a récemment été mise au point avec l’assistance technique de la FAO. La coordination et l’harmonisation entre les différentes politiques et agences d’exécution sont faibles. Les</w:t>
      </w:r>
      <w:r w:rsidRPr="00D579BE">
        <w:rPr>
          <w:rFonts w:cs="Arial"/>
          <w:spacing w:val="-3"/>
          <w:szCs w:val="21"/>
        </w:rPr>
        <w:t xml:space="preserve"> capacités humaines, techniques et financières pour mettre en œuvre les stratégies agricoles sont également faibles.</w:t>
      </w:r>
    </w:p>
    <w:p w14:paraId="63D33382" w14:textId="77777777" w:rsidR="009021F1" w:rsidRPr="00D579BE" w:rsidRDefault="009021F1" w:rsidP="009021F1">
      <w:pPr>
        <w:rPr>
          <w:rFonts w:cs="Arial"/>
          <w:spacing w:val="-3"/>
          <w:szCs w:val="21"/>
        </w:rPr>
      </w:pPr>
    </w:p>
    <w:p w14:paraId="386BE283" w14:textId="77777777" w:rsidR="009021F1" w:rsidRPr="00D579BE" w:rsidRDefault="009021F1" w:rsidP="009021F1">
      <w:pPr>
        <w:rPr>
          <w:rFonts w:cs="Arial"/>
          <w:spacing w:val="-3"/>
          <w:szCs w:val="21"/>
        </w:rPr>
      </w:pPr>
      <w:r w:rsidRPr="00D579BE">
        <w:rPr>
          <w:rFonts w:cs="Arial"/>
          <w:spacing w:val="-3"/>
          <w:szCs w:val="21"/>
        </w:rPr>
        <w:t xml:space="preserve">Le PNDA sera mené conformément aux normes environnementales et sociales (NES) de la Banque mondiale, à savoir : NES 1 – Evaluation et gestion des risques et effets environnementaux et sociaux ; NES 2 – Emploi et conditions de travail ; NES 3 – Utilisation rationnelle des ressources et prévention et gestion de la pollution ; NES 4 – Santé et sécurité des populations ; NES 5 – Acquisition des terres, restrictions à l’utilisation des terres et réinstallation forcée ; NES 6 – Préservation de la biodiversité et gestion durable des ressources naturelles biologiques ; NES 7 – Peuples autochtones/Communautés locales traditionnelles d’Afrique subsaharienne historiquement défavorisées ; NES 8 – Patrimoine culturel ; NES 9 –Intermédiaires financiers ; NES 10 – Mobilisation des parties prenantes et information. </w:t>
      </w:r>
    </w:p>
    <w:p w14:paraId="1DDD7EBA" w14:textId="77777777" w:rsidR="009021F1" w:rsidRPr="00D579BE" w:rsidRDefault="009021F1" w:rsidP="009021F1">
      <w:pPr>
        <w:rPr>
          <w:rFonts w:cs="Arial"/>
          <w:spacing w:val="-3"/>
          <w:szCs w:val="21"/>
        </w:rPr>
      </w:pPr>
    </w:p>
    <w:p w14:paraId="555375D1" w14:textId="77777777" w:rsidR="009021F1" w:rsidRPr="00D579BE" w:rsidRDefault="009021F1" w:rsidP="009021F1">
      <w:pPr>
        <w:spacing w:line="259" w:lineRule="auto"/>
        <w:contextualSpacing/>
        <w:rPr>
          <w:rFonts w:cs="Arial"/>
          <w:spacing w:val="-3"/>
          <w:szCs w:val="21"/>
        </w:rPr>
      </w:pPr>
      <w:r w:rsidRPr="00D579BE">
        <w:rPr>
          <w:rFonts w:cs="Arial"/>
          <w:spacing w:val="-3"/>
          <w:szCs w:val="21"/>
        </w:rPr>
        <w:t>Ainsi, le gouvernement de la République Démocratique du Congo se propose de recruter un Consultant (Firme) ayant une bonne connaissance de la législation nationale en matière d’environnement et des normes environnementales et sociales de la Banque mondiale.</w:t>
      </w:r>
    </w:p>
    <w:p w14:paraId="7DDBC15E" w14:textId="77777777" w:rsidR="009021F1" w:rsidRPr="00D579BE" w:rsidRDefault="009021F1" w:rsidP="009021F1">
      <w:pPr>
        <w:rPr>
          <w:rFonts w:cs="Arial"/>
          <w:spacing w:val="-3"/>
          <w:szCs w:val="21"/>
        </w:rPr>
      </w:pPr>
      <w:r w:rsidRPr="00D579BE">
        <w:rPr>
          <w:rFonts w:cs="Arial"/>
          <w:spacing w:val="-3"/>
          <w:szCs w:val="21"/>
        </w:rPr>
        <w:t xml:space="preserve">Les présents termes de référence ont pour but de guider la Firme </w:t>
      </w:r>
      <w:r w:rsidRPr="00D579BE">
        <w:rPr>
          <w:rFonts w:cs="Arial"/>
          <w:b/>
          <w:spacing w:val="-3"/>
          <w:szCs w:val="21"/>
        </w:rPr>
        <w:t>chargée d’élaborer le Cadre de Gestion Environnementale et Sociale (CGES), le Plan de Gestion des Pestes (PUNCP) et le Plan d’Engagement Environnemental et Social (PEES)</w:t>
      </w:r>
      <w:r w:rsidRPr="00D579BE">
        <w:rPr>
          <w:rFonts w:cs="Arial"/>
          <w:spacing w:val="-3"/>
          <w:szCs w:val="21"/>
        </w:rPr>
        <w:t xml:space="preserve"> du Programme National de Développement Agricole en RDC.</w:t>
      </w:r>
    </w:p>
    <w:p w14:paraId="7296294F" w14:textId="77777777" w:rsidR="009021F1" w:rsidRPr="00D579BE" w:rsidRDefault="009021F1" w:rsidP="009021F1">
      <w:pPr>
        <w:rPr>
          <w:rFonts w:cs="Arial"/>
          <w:b/>
          <w:bCs/>
          <w:szCs w:val="21"/>
          <w:lang w:val="fr-CI"/>
        </w:rPr>
      </w:pPr>
    </w:p>
    <w:p w14:paraId="05BBA6C7" w14:textId="77777777" w:rsidR="009021F1" w:rsidRPr="00D579BE" w:rsidRDefault="009021F1" w:rsidP="009021F1">
      <w:pPr>
        <w:pStyle w:val="Titre2"/>
        <w:keepNext w:val="0"/>
        <w:keepLines w:val="0"/>
        <w:numPr>
          <w:ilvl w:val="0"/>
          <w:numId w:val="58"/>
        </w:numPr>
        <w:spacing w:line="271" w:lineRule="auto"/>
        <w:rPr>
          <w:rFonts w:cs="Arial"/>
          <w:szCs w:val="21"/>
        </w:rPr>
      </w:pPr>
      <w:bookmarkStart w:id="487" w:name="_Toc90471593"/>
      <w:r w:rsidRPr="00D579BE">
        <w:rPr>
          <w:rFonts w:cs="Arial"/>
          <w:szCs w:val="21"/>
        </w:rPr>
        <w:t>Objectifs et exigences du CGES, UNCP et PEES</w:t>
      </w:r>
      <w:bookmarkEnd w:id="487"/>
    </w:p>
    <w:p w14:paraId="0AF9C323" w14:textId="77777777" w:rsidR="009021F1" w:rsidRPr="00D579BE" w:rsidRDefault="009021F1" w:rsidP="009021F1">
      <w:pPr>
        <w:rPr>
          <w:szCs w:val="21"/>
        </w:rPr>
      </w:pPr>
    </w:p>
    <w:p w14:paraId="2ABFDAF3" w14:textId="77777777" w:rsidR="009021F1" w:rsidRPr="00D579BE" w:rsidRDefault="009021F1" w:rsidP="009021F1">
      <w:pPr>
        <w:spacing w:line="259" w:lineRule="auto"/>
        <w:contextualSpacing/>
        <w:rPr>
          <w:rFonts w:cs="Arial"/>
          <w:b/>
          <w:szCs w:val="21"/>
        </w:rPr>
      </w:pPr>
      <w:r w:rsidRPr="00D579BE">
        <w:rPr>
          <w:rFonts w:cs="Arial"/>
          <w:b/>
          <w:szCs w:val="21"/>
        </w:rPr>
        <w:t>2.1 Objectifs et exigences du CGES</w:t>
      </w:r>
    </w:p>
    <w:p w14:paraId="1D3F6FD3" w14:textId="77777777" w:rsidR="009021F1" w:rsidRPr="00D579BE" w:rsidRDefault="009021F1" w:rsidP="009021F1">
      <w:pPr>
        <w:spacing w:line="259" w:lineRule="auto"/>
        <w:contextualSpacing/>
        <w:rPr>
          <w:rFonts w:cs="Arial"/>
          <w:szCs w:val="21"/>
        </w:rPr>
      </w:pPr>
    </w:p>
    <w:p w14:paraId="25B1B970" w14:textId="77777777" w:rsidR="009021F1" w:rsidRPr="00D579BE" w:rsidRDefault="009021F1" w:rsidP="009021F1">
      <w:pPr>
        <w:spacing w:line="259" w:lineRule="auto"/>
        <w:contextualSpacing/>
        <w:rPr>
          <w:rFonts w:cs="Arial"/>
          <w:szCs w:val="21"/>
          <w:lang w:val="fr-CI"/>
        </w:rPr>
      </w:pPr>
      <w:r w:rsidRPr="00D579BE">
        <w:rPr>
          <w:rFonts w:cs="Arial"/>
          <w:szCs w:val="21"/>
        </w:rPr>
        <w:t>1.</w:t>
      </w:r>
      <w:r w:rsidRPr="00D579BE">
        <w:rPr>
          <w:rFonts w:cs="Arial"/>
          <w:szCs w:val="21"/>
          <w:lang w:val="fr-CI"/>
        </w:rPr>
        <w:t>Le Cadre de Gestion Environnementale et Sociale (CGES) est un instrument qui s’applique aux risques et aux impacts d’un projet consistant en une série de sous-projets et dans le cas où les risques et les impacts ne peuvent pas être déterminés pour le moment ou en attendant que les détails du programme ou les sous-projet soient identifiés.</w:t>
      </w:r>
    </w:p>
    <w:p w14:paraId="2E23B19D" w14:textId="77777777" w:rsidR="009021F1" w:rsidRPr="00D579BE" w:rsidRDefault="009021F1" w:rsidP="009021F1">
      <w:pPr>
        <w:spacing w:line="259" w:lineRule="auto"/>
        <w:contextualSpacing/>
        <w:rPr>
          <w:rFonts w:cs="Arial"/>
          <w:szCs w:val="21"/>
          <w:lang w:val="fr-CI"/>
        </w:rPr>
      </w:pPr>
    </w:p>
    <w:p w14:paraId="2A61A928" w14:textId="77777777" w:rsidR="009021F1" w:rsidRPr="00D579BE" w:rsidRDefault="009021F1" w:rsidP="009021F1">
      <w:pPr>
        <w:spacing w:line="259" w:lineRule="auto"/>
        <w:contextualSpacing/>
        <w:rPr>
          <w:rFonts w:cs="Arial"/>
          <w:szCs w:val="21"/>
          <w:lang w:val="fr-CI"/>
        </w:rPr>
      </w:pPr>
      <w:r w:rsidRPr="00D579BE">
        <w:rPr>
          <w:rFonts w:cs="Arial"/>
          <w:szCs w:val="21"/>
          <w:lang w:val="fr-CI"/>
        </w:rPr>
        <w:t xml:space="preserve">2. Le CGES définit les principes, les règles, les lignes conductrices et les procédures pour évaluer les risques et les impacts environnementaux et sociaux. Il contient des mesures et des plans d’action pour réduire, mitiger et/ compenser les risques et les impacts négatifs. Il contient aussi des provisions et un budget pour telles mesures, et des informations sur l’Agence ou les Agences responsables tels, y compris leur capacité à gérer les impacts même et risques sociaux. </w:t>
      </w:r>
    </w:p>
    <w:p w14:paraId="7FA32431" w14:textId="77777777" w:rsidR="009021F1" w:rsidRPr="00D579BE" w:rsidRDefault="009021F1" w:rsidP="009021F1">
      <w:pPr>
        <w:spacing w:line="259" w:lineRule="auto"/>
        <w:contextualSpacing/>
        <w:rPr>
          <w:rFonts w:cs="Arial"/>
          <w:szCs w:val="21"/>
          <w:lang w:val="fr-CI"/>
        </w:rPr>
      </w:pPr>
    </w:p>
    <w:p w14:paraId="30B062A3" w14:textId="77777777" w:rsidR="009021F1" w:rsidRPr="00D579BE" w:rsidRDefault="009021F1" w:rsidP="009021F1">
      <w:pPr>
        <w:spacing w:line="259" w:lineRule="auto"/>
        <w:contextualSpacing/>
        <w:rPr>
          <w:rFonts w:cs="Arial"/>
          <w:szCs w:val="21"/>
          <w:lang w:val="fr-CI"/>
        </w:rPr>
      </w:pPr>
      <w:r w:rsidRPr="00D579BE">
        <w:rPr>
          <w:rFonts w:cs="Arial"/>
          <w:szCs w:val="21"/>
          <w:lang w:val="fr-CI"/>
        </w:rPr>
        <w:t>3. Il contient aussi des informations sur la zone dans laquelle les sous-projets seront localisés, y compris les vulnérabilités environnementales et sociales potentielles de la zone ; et sur les impacts que pourraient se vérifier et les mesures de mitigation que l’on attend de mettre en œuvre.</w:t>
      </w:r>
    </w:p>
    <w:p w14:paraId="79C4E459" w14:textId="77777777" w:rsidR="009021F1" w:rsidRPr="00D579BE" w:rsidRDefault="009021F1" w:rsidP="009021F1">
      <w:pPr>
        <w:spacing w:line="259" w:lineRule="auto"/>
        <w:contextualSpacing/>
        <w:rPr>
          <w:rFonts w:cs="Arial"/>
          <w:szCs w:val="21"/>
          <w:lang w:val="fr-CI"/>
        </w:rPr>
      </w:pPr>
    </w:p>
    <w:p w14:paraId="11792212" w14:textId="77777777" w:rsidR="009021F1" w:rsidRPr="00D579BE" w:rsidRDefault="009021F1" w:rsidP="009021F1">
      <w:pPr>
        <w:spacing w:line="259" w:lineRule="auto"/>
        <w:contextualSpacing/>
        <w:rPr>
          <w:rFonts w:cs="Arial"/>
          <w:szCs w:val="21"/>
          <w:lang w:val="fr-CI"/>
        </w:rPr>
      </w:pPr>
      <w:r w:rsidRPr="00D579BE">
        <w:rPr>
          <w:rFonts w:cs="Arial"/>
          <w:szCs w:val="21"/>
          <w:lang w:val="fr-CI"/>
        </w:rPr>
        <w:t>Le CGES décrit le fait que l’emprunteur réalisera une évaluation environnementale et sociales du projet afin d’évaluer les risques environnementaux et sociaux du projet tout au long du cycle du projet. L’évaluation sera proportionnée aux risques et aux impacts potentiels du projet, et évaluera de manière intégrée tous les risques environnementaux et sociaux directs</w:t>
      </w:r>
      <w:r w:rsidRPr="00D579BE">
        <w:rPr>
          <w:rFonts w:cs="Arial"/>
          <w:szCs w:val="21"/>
          <w:lang w:val="fr-CI"/>
        </w:rPr>
        <w:footnoteReference w:id="36"/>
      </w:r>
      <w:r w:rsidRPr="00D579BE">
        <w:rPr>
          <w:rFonts w:cs="Arial"/>
          <w:szCs w:val="21"/>
          <w:lang w:val="fr-CI"/>
        </w:rPr>
        <w:t>, indirects</w:t>
      </w:r>
      <w:r w:rsidRPr="00D579BE">
        <w:rPr>
          <w:rFonts w:cs="Arial"/>
          <w:szCs w:val="21"/>
          <w:lang w:val="fr-CI"/>
        </w:rPr>
        <w:footnoteReference w:id="37"/>
      </w:r>
      <w:r w:rsidRPr="00D579BE">
        <w:rPr>
          <w:rFonts w:cs="Arial"/>
          <w:szCs w:val="21"/>
          <w:lang w:val="fr-CI"/>
        </w:rPr>
        <w:t>e cumulés</w:t>
      </w:r>
      <w:r w:rsidRPr="00D579BE">
        <w:rPr>
          <w:rFonts w:cs="Arial"/>
          <w:szCs w:val="21"/>
          <w:lang w:val="fr-CI"/>
        </w:rPr>
        <w:footnoteReference w:id="38"/>
      </w:r>
      <w:r w:rsidRPr="00D579BE">
        <w:rPr>
          <w:rFonts w:cs="Arial"/>
          <w:szCs w:val="21"/>
          <w:lang w:val="fr-CI"/>
        </w:rPr>
        <w:t xml:space="preserve"> tout le long du cycle du projet, y compris ceux spécifiquement identifiés dans les normes environnementales et sociales (NES) 2-10 du CES.</w:t>
      </w:r>
    </w:p>
    <w:p w14:paraId="6F1CCA34" w14:textId="77777777" w:rsidR="009021F1" w:rsidRPr="00D579BE" w:rsidRDefault="009021F1" w:rsidP="009021F1">
      <w:pPr>
        <w:rPr>
          <w:rFonts w:cs="Arial"/>
          <w:szCs w:val="21"/>
          <w:lang w:val="fr-CI"/>
        </w:rPr>
      </w:pPr>
    </w:p>
    <w:p w14:paraId="3E861989" w14:textId="77777777" w:rsidR="009021F1" w:rsidRPr="00D579BE" w:rsidRDefault="009021F1" w:rsidP="009021F1">
      <w:pPr>
        <w:rPr>
          <w:rFonts w:cs="Arial"/>
          <w:szCs w:val="21"/>
          <w:lang w:val="fr-CI"/>
        </w:rPr>
      </w:pPr>
      <w:r w:rsidRPr="00D579BE">
        <w:rPr>
          <w:rFonts w:cs="Arial"/>
          <w:szCs w:val="21"/>
          <w:lang w:val="fr-CI"/>
        </w:rPr>
        <w:t>Le CGES sera basé sur des informations courantes, y compris une description précise et une délinéation du projet et de tout aspect associé, une base de données sur les aspects sociaux et environnementaux contenant un niveau de détail suffisant pour informer la caractérisation et l’identification des risques, des impacts et les mesures de mitigation.</w:t>
      </w:r>
    </w:p>
    <w:p w14:paraId="398E854C" w14:textId="77777777" w:rsidR="009021F1" w:rsidRPr="00D579BE" w:rsidRDefault="009021F1" w:rsidP="009021F1">
      <w:pPr>
        <w:rPr>
          <w:rFonts w:cs="Arial"/>
          <w:szCs w:val="21"/>
          <w:lang w:val="fr-CI"/>
        </w:rPr>
      </w:pPr>
    </w:p>
    <w:p w14:paraId="2B9C76FF" w14:textId="77777777" w:rsidR="009021F1" w:rsidRPr="00D579BE" w:rsidRDefault="009021F1" w:rsidP="009021F1">
      <w:pPr>
        <w:rPr>
          <w:rFonts w:cs="Arial"/>
          <w:b/>
          <w:color w:val="000000"/>
          <w:szCs w:val="21"/>
        </w:rPr>
      </w:pPr>
      <w:r w:rsidRPr="00D579BE">
        <w:rPr>
          <w:rFonts w:cs="Arial"/>
          <w:szCs w:val="21"/>
          <w:lang w:val="fr-CI"/>
        </w:rPr>
        <w:t xml:space="preserve"> Le CGES évaluera les risques et les impacts environnementaux et sociaux potentiels, examinera les alternatives, et identifiera la façon pour améliorer la sélection du projet, son localisation, planification, design et mise en œuvre. Cela afin d’appliquer la hiérarchie de mitigation pour les impacts environnementaux et sociaux et chercher des opportunités pour augmenter les impacts positifs du projet. Le CGES comprendra un plan d’engagement des parties prenantes comme partie intégrale de l’évaluation, en conformité avec la NES 10.</w:t>
      </w:r>
    </w:p>
    <w:p w14:paraId="2C8DEBEE" w14:textId="77777777" w:rsidR="009021F1" w:rsidRPr="00D579BE" w:rsidRDefault="009021F1" w:rsidP="009021F1">
      <w:pPr>
        <w:numPr>
          <w:ilvl w:val="0"/>
          <w:numId w:val="60"/>
        </w:numPr>
        <w:spacing w:line="240" w:lineRule="auto"/>
        <w:contextualSpacing/>
        <w:rPr>
          <w:rFonts w:cs="Arial"/>
          <w:szCs w:val="21"/>
          <w:lang w:val="fr-CI"/>
        </w:rPr>
      </w:pPr>
      <w:r w:rsidRPr="00D579BE">
        <w:rPr>
          <w:rFonts w:cs="Arial"/>
          <w:szCs w:val="21"/>
          <w:lang w:val="fr-CI"/>
        </w:rPr>
        <w:t>Le CGES constituera une évaluation et une présentation adéquate, précise et objective des risques et impacts connus, préparées par des personnes qualifiées et expérimentées.</w:t>
      </w:r>
    </w:p>
    <w:p w14:paraId="5BA0D463" w14:textId="77777777" w:rsidR="009021F1" w:rsidRPr="00D579BE" w:rsidRDefault="009021F1" w:rsidP="009021F1">
      <w:pPr>
        <w:ind w:left="1800"/>
        <w:contextualSpacing/>
        <w:rPr>
          <w:rFonts w:cs="Arial"/>
          <w:szCs w:val="21"/>
          <w:lang w:val="fr-CI"/>
        </w:rPr>
      </w:pPr>
    </w:p>
    <w:p w14:paraId="4400CC61" w14:textId="77777777" w:rsidR="009021F1" w:rsidRPr="00D579BE" w:rsidRDefault="009021F1" w:rsidP="009021F1">
      <w:pPr>
        <w:numPr>
          <w:ilvl w:val="0"/>
          <w:numId w:val="60"/>
        </w:numPr>
        <w:spacing w:line="240" w:lineRule="auto"/>
        <w:contextualSpacing/>
        <w:rPr>
          <w:rFonts w:cs="Arial"/>
          <w:szCs w:val="21"/>
          <w:lang w:val="fr-CI"/>
        </w:rPr>
      </w:pPr>
      <w:r w:rsidRPr="00D579BE">
        <w:rPr>
          <w:rFonts w:cs="Arial"/>
          <w:szCs w:val="21"/>
          <w:lang w:val="fr-CI"/>
        </w:rPr>
        <w:t>Le CGES prendra en compte de manière appropriée toutes les questions pertinentes du projet, notamment:</w:t>
      </w:r>
    </w:p>
    <w:p w14:paraId="6DAD8D16" w14:textId="77777777" w:rsidR="009021F1" w:rsidRPr="00D579BE" w:rsidRDefault="009021F1" w:rsidP="009021F1">
      <w:pPr>
        <w:pStyle w:val="Paragraphedeliste"/>
        <w:rPr>
          <w:rFonts w:cs="Arial"/>
          <w:szCs w:val="21"/>
          <w:lang w:val="fr-CI"/>
        </w:rPr>
      </w:pPr>
    </w:p>
    <w:p w14:paraId="360A7BC1" w14:textId="77777777" w:rsidR="009021F1" w:rsidRPr="00D579BE" w:rsidRDefault="009021F1" w:rsidP="009021F1">
      <w:pPr>
        <w:numPr>
          <w:ilvl w:val="1"/>
          <w:numId w:val="60"/>
        </w:numPr>
        <w:spacing w:line="240" w:lineRule="auto"/>
        <w:contextualSpacing/>
        <w:rPr>
          <w:rFonts w:cs="Arial"/>
          <w:szCs w:val="21"/>
          <w:lang w:val="fr-CI"/>
        </w:rPr>
      </w:pPr>
      <w:r w:rsidRPr="00D579BE">
        <w:rPr>
          <w:rFonts w:cs="Arial"/>
          <w:szCs w:val="21"/>
          <w:lang w:val="fr-CI"/>
        </w:rPr>
        <w:t xml:space="preserve">Le cadre politique, les lois et réglementations nationales applicables et les capacités institutionnelles (y compris la mise en œuvre) du pays en matière d’environnement et de questions sociales; </w:t>
      </w:r>
    </w:p>
    <w:p w14:paraId="4B3A7135" w14:textId="77777777" w:rsidR="009021F1" w:rsidRPr="00D579BE" w:rsidRDefault="009021F1" w:rsidP="009021F1">
      <w:pPr>
        <w:numPr>
          <w:ilvl w:val="1"/>
          <w:numId w:val="60"/>
        </w:numPr>
        <w:spacing w:line="240" w:lineRule="auto"/>
        <w:contextualSpacing/>
        <w:rPr>
          <w:rFonts w:cs="Arial"/>
          <w:szCs w:val="21"/>
          <w:lang w:val="fr-CI"/>
        </w:rPr>
      </w:pPr>
      <w:r w:rsidRPr="00D579BE">
        <w:rPr>
          <w:rFonts w:cs="Arial"/>
          <w:szCs w:val="21"/>
          <w:lang w:val="fr-CI"/>
        </w:rPr>
        <w:t xml:space="preserve">Les variations des conditions du pays et du contexte du projet; </w:t>
      </w:r>
    </w:p>
    <w:p w14:paraId="1C15CCC8" w14:textId="77777777" w:rsidR="009021F1" w:rsidRPr="00D579BE" w:rsidRDefault="009021F1" w:rsidP="009021F1">
      <w:pPr>
        <w:numPr>
          <w:ilvl w:val="1"/>
          <w:numId w:val="60"/>
        </w:numPr>
        <w:spacing w:line="240" w:lineRule="auto"/>
        <w:contextualSpacing/>
        <w:rPr>
          <w:rFonts w:cs="Arial"/>
          <w:szCs w:val="21"/>
          <w:lang w:val="fr-CI"/>
        </w:rPr>
      </w:pPr>
      <w:r w:rsidRPr="00D579BE">
        <w:rPr>
          <w:rFonts w:cs="Arial"/>
          <w:szCs w:val="21"/>
          <w:lang w:val="fr-CI"/>
        </w:rPr>
        <w:t xml:space="preserve">Les études environnementales ou sociales du pays; les plans d'action environnementaux ou sociaux nationaux; et les obligations du pays directement applicables au projet en vertu des traités et accords internationaux pertinents; </w:t>
      </w:r>
    </w:p>
    <w:p w14:paraId="0B5DD5EC" w14:textId="77777777" w:rsidR="009021F1" w:rsidRPr="00D579BE" w:rsidRDefault="009021F1" w:rsidP="009021F1">
      <w:pPr>
        <w:numPr>
          <w:ilvl w:val="1"/>
          <w:numId w:val="60"/>
        </w:numPr>
        <w:spacing w:line="240" w:lineRule="auto"/>
        <w:contextualSpacing/>
        <w:rPr>
          <w:rFonts w:cs="Arial"/>
          <w:szCs w:val="21"/>
          <w:lang w:val="fr-CI"/>
        </w:rPr>
      </w:pPr>
      <w:r w:rsidRPr="00D579BE">
        <w:rPr>
          <w:rFonts w:cs="Arial"/>
          <w:szCs w:val="21"/>
          <w:lang w:val="fr-CI"/>
        </w:rPr>
        <w:t>Les exigences applicables en vertu des NES; et les Directives pour la Sécurité de l'environnement et de la Santé (DSS) et les autres Bonnes Pratiques Internationales du Secteur (BPIS) pertinentes.</w:t>
      </w:r>
    </w:p>
    <w:p w14:paraId="29E47A3B" w14:textId="77777777" w:rsidR="009021F1" w:rsidRPr="00D579BE" w:rsidRDefault="009021F1" w:rsidP="009021F1">
      <w:pPr>
        <w:ind w:left="1800"/>
        <w:contextualSpacing/>
        <w:rPr>
          <w:rFonts w:cs="Arial"/>
          <w:szCs w:val="21"/>
          <w:lang w:val="fr-CI"/>
        </w:rPr>
      </w:pPr>
    </w:p>
    <w:p w14:paraId="3D31E574" w14:textId="77777777" w:rsidR="009021F1" w:rsidRPr="00D579BE" w:rsidRDefault="009021F1" w:rsidP="009021F1">
      <w:pPr>
        <w:contextualSpacing/>
        <w:rPr>
          <w:rFonts w:cs="Arial"/>
          <w:szCs w:val="21"/>
          <w:lang w:val="fr-CI"/>
        </w:rPr>
      </w:pPr>
      <w:r w:rsidRPr="00D579BE">
        <w:rPr>
          <w:rFonts w:cs="Arial"/>
          <w:szCs w:val="21"/>
          <w:lang w:val="fr-CI"/>
        </w:rPr>
        <w:t>Le CGES établira et appliquera une hiérarchie de mesures d’atténuation pour :</w:t>
      </w:r>
    </w:p>
    <w:p w14:paraId="3E3C5993" w14:textId="77777777" w:rsidR="009021F1" w:rsidRPr="00D579BE" w:rsidRDefault="009021F1" w:rsidP="009021F1">
      <w:pPr>
        <w:contextualSpacing/>
        <w:rPr>
          <w:rFonts w:cs="Arial"/>
          <w:szCs w:val="21"/>
          <w:lang w:val="fr-CI"/>
        </w:rPr>
      </w:pPr>
    </w:p>
    <w:p w14:paraId="2C452C5A" w14:textId="77777777" w:rsidR="009021F1" w:rsidRPr="00D579BE" w:rsidRDefault="009021F1" w:rsidP="009021F1">
      <w:pPr>
        <w:numPr>
          <w:ilvl w:val="0"/>
          <w:numId w:val="62"/>
        </w:numPr>
        <w:spacing w:line="240" w:lineRule="auto"/>
        <w:contextualSpacing/>
        <w:rPr>
          <w:rFonts w:cs="Arial"/>
          <w:szCs w:val="21"/>
          <w:lang w:val="fr-CI"/>
        </w:rPr>
      </w:pPr>
      <w:r w:rsidRPr="00D579BE">
        <w:rPr>
          <w:rFonts w:cs="Arial"/>
          <w:szCs w:val="21"/>
          <w:lang w:val="fr-CI"/>
        </w:rPr>
        <w:t>Anticiper et éviter les risques et les impacts;</w:t>
      </w:r>
    </w:p>
    <w:p w14:paraId="74C34B43" w14:textId="77777777" w:rsidR="009021F1" w:rsidRPr="00D579BE" w:rsidRDefault="009021F1" w:rsidP="009021F1">
      <w:pPr>
        <w:numPr>
          <w:ilvl w:val="0"/>
          <w:numId w:val="62"/>
        </w:numPr>
        <w:spacing w:line="240" w:lineRule="auto"/>
        <w:contextualSpacing/>
        <w:rPr>
          <w:rFonts w:cs="Arial"/>
          <w:szCs w:val="21"/>
          <w:lang w:val="fr-CI"/>
        </w:rPr>
      </w:pPr>
      <w:r w:rsidRPr="00D579BE">
        <w:rPr>
          <w:rFonts w:cs="Arial"/>
          <w:szCs w:val="21"/>
          <w:lang w:val="fr-CI"/>
        </w:rPr>
        <w:t>Lorsque ce n'est pas possible de l’éviter, minimisez ou réduire les risques et les impacts à des niveaux acceptables;</w:t>
      </w:r>
    </w:p>
    <w:p w14:paraId="032B4FFD" w14:textId="77777777" w:rsidR="009021F1" w:rsidRPr="00D579BE" w:rsidRDefault="009021F1" w:rsidP="009021F1">
      <w:pPr>
        <w:numPr>
          <w:ilvl w:val="0"/>
          <w:numId w:val="62"/>
        </w:numPr>
        <w:spacing w:line="240" w:lineRule="auto"/>
        <w:contextualSpacing/>
        <w:rPr>
          <w:rFonts w:cs="Arial"/>
          <w:szCs w:val="21"/>
          <w:lang w:val="fr-CI"/>
        </w:rPr>
      </w:pPr>
      <w:r w:rsidRPr="00D579BE">
        <w:rPr>
          <w:rFonts w:cs="Arial"/>
          <w:szCs w:val="21"/>
          <w:lang w:val="fr-CI"/>
        </w:rPr>
        <w:t>Une fois que les risques et les impacts ont été minimisés ou réduits, les atténuer ; et</w:t>
      </w:r>
    </w:p>
    <w:p w14:paraId="2FA8601F" w14:textId="77777777" w:rsidR="009021F1" w:rsidRPr="00D579BE" w:rsidRDefault="009021F1" w:rsidP="009021F1">
      <w:pPr>
        <w:numPr>
          <w:ilvl w:val="0"/>
          <w:numId w:val="62"/>
        </w:numPr>
        <w:spacing w:line="240" w:lineRule="auto"/>
        <w:contextualSpacing/>
        <w:rPr>
          <w:rFonts w:cs="Arial"/>
          <w:szCs w:val="21"/>
          <w:lang w:val="fr-CI"/>
        </w:rPr>
      </w:pPr>
      <w:r w:rsidRPr="00D579BE">
        <w:rPr>
          <w:rFonts w:cs="Arial"/>
          <w:szCs w:val="21"/>
          <w:lang w:val="fr-CI"/>
        </w:rPr>
        <w:t>Si des impacts résiduels importants subsistent, de les corriger ou compenser lorsque cela est techniquement et financièrement réalisable.</w:t>
      </w:r>
    </w:p>
    <w:p w14:paraId="697C5C7A" w14:textId="77777777" w:rsidR="009021F1" w:rsidRPr="00D579BE" w:rsidRDefault="009021F1" w:rsidP="009021F1">
      <w:pPr>
        <w:ind w:left="1800"/>
        <w:contextualSpacing/>
        <w:rPr>
          <w:rFonts w:cs="Arial"/>
          <w:szCs w:val="21"/>
          <w:lang w:val="fr-CI"/>
        </w:rPr>
      </w:pPr>
    </w:p>
    <w:p w14:paraId="62F4B5A5" w14:textId="77777777" w:rsidR="009021F1" w:rsidRPr="00D579BE" w:rsidRDefault="009021F1" w:rsidP="009021F1">
      <w:pPr>
        <w:contextualSpacing/>
        <w:rPr>
          <w:rFonts w:cs="Arial"/>
          <w:szCs w:val="21"/>
          <w:lang w:val="fr-CI"/>
        </w:rPr>
      </w:pPr>
      <w:r w:rsidRPr="00D579BE">
        <w:rPr>
          <w:rFonts w:cs="Arial"/>
          <w:szCs w:val="21"/>
          <w:lang w:val="fr-CI"/>
        </w:rPr>
        <w:t>Le CGES, informé de la portée des problèmes, tiendra compte de tous les risques et impacts environnementaux et sociaux pertinents du projet, notamment :</w:t>
      </w:r>
    </w:p>
    <w:p w14:paraId="60E96869" w14:textId="77777777" w:rsidR="009021F1" w:rsidRPr="00D579BE" w:rsidRDefault="009021F1" w:rsidP="009021F1">
      <w:pPr>
        <w:ind w:left="1800"/>
        <w:contextualSpacing/>
        <w:rPr>
          <w:rFonts w:cs="Arial"/>
          <w:szCs w:val="21"/>
          <w:lang w:val="fr-CI"/>
        </w:rPr>
      </w:pPr>
    </w:p>
    <w:p w14:paraId="75576C71" w14:textId="77777777" w:rsidR="009021F1" w:rsidRPr="00D579BE" w:rsidRDefault="009021F1" w:rsidP="009021F1">
      <w:pPr>
        <w:numPr>
          <w:ilvl w:val="0"/>
          <w:numId w:val="61"/>
        </w:numPr>
        <w:spacing w:line="240" w:lineRule="auto"/>
        <w:ind w:left="1068"/>
        <w:contextualSpacing/>
        <w:rPr>
          <w:rFonts w:cs="Arial"/>
          <w:szCs w:val="21"/>
          <w:lang w:val="fr-CI"/>
        </w:rPr>
      </w:pPr>
      <w:r w:rsidRPr="00D579BE">
        <w:rPr>
          <w:rFonts w:cs="Arial"/>
          <w:szCs w:val="21"/>
          <w:lang w:val="fr-CI"/>
        </w:rPr>
        <w:t>Les risques et impacts environnementaux, y compris : (i) ceux définis par les DSS; (ii) ceux liées à la sécurité communautaire (y compris la sécurité des barrages et l'utilisation sans danger des pesticides); (iii) ceux liés au changement climatique et à d'autres risques et impacts transfrontières ou mondiaux; (iv) toute menace matérielle à la protection, la conservation, le maintien et la restauration des habitats naturels et de la biodiversité; et (v) ceux liés aux services éco systémiques et à l'utilisation de ressources naturelles vivantes, telles que les pêcheries et les forêts ;</w:t>
      </w:r>
    </w:p>
    <w:p w14:paraId="35E82543" w14:textId="77777777" w:rsidR="009021F1" w:rsidRPr="00D579BE" w:rsidRDefault="009021F1" w:rsidP="009021F1">
      <w:pPr>
        <w:ind w:left="1068"/>
        <w:contextualSpacing/>
        <w:rPr>
          <w:rFonts w:cs="Arial"/>
          <w:szCs w:val="21"/>
          <w:lang w:val="fr-CI"/>
        </w:rPr>
      </w:pPr>
    </w:p>
    <w:p w14:paraId="25EA38B5" w14:textId="77777777" w:rsidR="009021F1" w:rsidRPr="00D579BE" w:rsidRDefault="009021F1" w:rsidP="009021F1">
      <w:pPr>
        <w:numPr>
          <w:ilvl w:val="0"/>
          <w:numId w:val="61"/>
        </w:numPr>
        <w:spacing w:line="240" w:lineRule="auto"/>
        <w:ind w:left="1068"/>
        <w:contextualSpacing/>
        <w:rPr>
          <w:rFonts w:cs="Arial"/>
          <w:szCs w:val="21"/>
          <w:lang w:val="fr-CI"/>
        </w:rPr>
      </w:pPr>
      <w:r w:rsidRPr="00D579BE">
        <w:rPr>
          <w:rFonts w:cs="Arial"/>
          <w:szCs w:val="21"/>
          <w:lang w:val="fr-CI"/>
        </w:rPr>
        <w:t>Les risques et les impacts sociaux, notamment : (i) les menaces à la sécurité humaine résultant de conflits, de crimes ou des violences</w:t>
      </w:r>
      <w:r w:rsidRPr="00D579BE">
        <w:rPr>
          <w:rFonts w:cs="Arial"/>
          <w:szCs w:val="21"/>
          <w:lang w:val="fr-CI"/>
        </w:rPr>
        <w:footnoteReference w:id="39"/>
      </w:r>
      <w:r w:rsidRPr="00D579BE">
        <w:rPr>
          <w:rFonts w:cs="Arial"/>
          <w:szCs w:val="21"/>
          <w:lang w:val="fr-CI"/>
        </w:rPr>
        <w:t>, communautaires ou interétatiques ; (ii) les risques dû au fait que les impacts du projet touchent de manière disproportionnée des individus et des groupes qui, en raison de leur situation particulière, peuvent être désavantagés ou vulnérables ; (iii) tout préjudice ou discrimination à l'égard de personnes ou de groupes en ce qui concerne l'accès aux ressources et aux avantages du projet, en particulier dans le cas de personnes susceptibles d'être défavorisées ou vulnérables; (iv) des impacts économiques et sociaux négatifs liés à la prise de terre involontaire ou à des restrictions d'utilisation du sol ; (v) les risques ou impacts associés au régime foncier et à l'utilisation des terres et des ressources naturelles, y compris (le cas échéant) les impacts potentiels du projet sur les schémas d'utilisation des terres et les régimes fonciers locaux, l'accès et la disponibilité des terres, la sécurité alimentaire et la valeur des terres, ainsi que les risques correspondants liés à conflit ou contestation sur la terre et les ressources naturelles ; (vi) les impacts sur la santé, la sécurité et le bien-être des travailleurs et des communautés affectées par le projet ; et (vii) les risques pour le patrimoine culturel.</w:t>
      </w:r>
    </w:p>
    <w:p w14:paraId="258E4887" w14:textId="77777777" w:rsidR="009021F1" w:rsidRPr="00D579BE" w:rsidRDefault="009021F1" w:rsidP="009021F1">
      <w:pPr>
        <w:ind w:left="1068"/>
        <w:contextualSpacing/>
        <w:rPr>
          <w:rFonts w:cs="Arial"/>
          <w:szCs w:val="21"/>
          <w:lang w:val="fr-CI"/>
        </w:rPr>
      </w:pPr>
    </w:p>
    <w:p w14:paraId="5E81358A" w14:textId="77777777" w:rsidR="009021F1" w:rsidRPr="00D579BE" w:rsidRDefault="009021F1" w:rsidP="009021F1">
      <w:pPr>
        <w:numPr>
          <w:ilvl w:val="0"/>
          <w:numId w:val="61"/>
        </w:numPr>
        <w:spacing w:line="240" w:lineRule="auto"/>
        <w:ind w:left="1068"/>
        <w:contextualSpacing/>
        <w:rPr>
          <w:rFonts w:cs="Arial"/>
          <w:szCs w:val="21"/>
          <w:lang w:val="fr-CI"/>
        </w:rPr>
      </w:pPr>
      <w:r w:rsidRPr="00D579BE">
        <w:rPr>
          <w:rFonts w:cs="Arial"/>
          <w:szCs w:val="21"/>
          <w:lang w:val="fr-CI"/>
        </w:rPr>
        <w:t>Lorsque des individus ou des groupes spécifiques comme désavantagés ou vulnérables sont identifiés, le CGES proposera des mesures différenciées à mettre en œuvre par l’emprunteur afin que les effets négatifs ne tombent pas de manière disproportionnée sur les personnes défavorisées ou vulnérables, et ils ne le sont pas dans le partage des avantages et des opportunités de développement résultant du projet.</w:t>
      </w:r>
    </w:p>
    <w:p w14:paraId="1DEFC873" w14:textId="77777777" w:rsidR="009021F1" w:rsidRPr="00D579BE" w:rsidRDefault="009021F1" w:rsidP="009021F1">
      <w:pPr>
        <w:ind w:left="720"/>
        <w:contextualSpacing/>
        <w:rPr>
          <w:rFonts w:cs="Arial"/>
          <w:szCs w:val="21"/>
          <w:lang w:val="fr-CI"/>
        </w:rPr>
      </w:pPr>
    </w:p>
    <w:p w14:paraId="12E9AB0A" w14:textId="77777777" w:rsidR="009021F1" w:rsidRPr="00D579BE" w:rsidRDefault="009021F1" w:rsidP="009021F1">
      <w:pPr>
        <w:numPr>
          <w:ilvl w:val="0"/>
          <w:numId w:val="61"/>
        </w:numPr>
        <w:spacing w:line="240" w:lineRule="auto"/>
        <w:ind w:left="1068"/>
        <w:contextualSpacing/>
        <w:rPr>
          <w:rFonts w:cs="Arial"/>
          <w:szCs w:val="21"/>
          <w:lang w:val="fr-CI"/>
        </w:rPr>
      </w:pPr>
      <w:r w:rsidRPr="00D579BE">
        <w:rPr>
          <w:rFonts w:cs="Arial"/>
          <w:szCs w:val="21"/>
          <w:lang w:val="fr-CI"/>
        </w:rPr>
        <w:t>Pour les projets impliquant plusieurs petits sous-projets,</w:t>
      </w:r>
      <w:r w:rsidRPr="00D579BE">
        <w:rPr>
          <w:rFonts w:cs="Arial"/>
          <w:szCs w:val="21"/>
          <w:lang w:val="fr-CI"/>
        </w:rPr>
        <w:footnoteReference w:id="40"/>
      </w:r>
      <w:r w:rsidRPr="00D579BE">
        <w:rPr>
          <w:rFonts w:cs="Arial"/>
          <w:szCs w:val="21"/>
          <w:lang w:val="fr-CI"/>
        </w:rPr>
        <w:t>qui sont identifiés, préparés et mis en œuvre au cours du projet, l'emprunteur effectuera une évaluation environnementale et sociale appropriée des sous-projets, et préparera et mettra en œuvre ces sous-projets, comme suit : a) sous-projets à risque élevé, en conformément aux ESS; b Sous-projets de risques substantiels, de risques modérés et à faible risque, conformément au droit national et à toutes les exigences des Normes Environnementales et Sociales (NES) que la Banque juge pertinentes pour ces sous-projets.</w:t>
      </w:r>
    </w:p>
    <w:p w14:paraId="29534825" w14:textId="77777777" w:rsidR="009021F1" w:rsidRPr="00D579BE" w:rsidRDefault="009021F1" w:rsidP="009021F1">
      <w:pPr>
        <w:pStyle w:val="Paragraphedeliste"/>
        <w:rPr>
          <w:rFonts w:cs="Arial"/>
          <w:szCs w:val="21"/>
          <w:lang w:val="fr-CI"/>
        </w:rPr>
      </w:pPr>
    </w:p>
    <w:p w14:paraId="7B037F0A" w14:textId="77777777" w:rsidR="009021F1" w:rsidRPr="00D579BE" w:rsidRDefault="009021F1" w:rsidP="009021F1">
      <w:pPr>
        <w:numPr>
          <w:ilvl w:val="0"/>
          <w:numId w:val="62"/>
        </w:numPr>
        <w:spacing w:line="259" w:lineRule="auto"/>
        <w:contextualSpacing/>
        <w:rPr>
          <w:rFonts w:cs="Arial"/>
          <w:szCs w:val="21"/>
          <w:lang w:val="fr-CI"/>
        </w:rPr>
      </w:pPr>
      <w:r w:rsidRPr="00D579BE">
        <w:rPr>
          <w:rFonts w:cs="Arial"/>
          <w:szCs w:val="21"/>
          <w:lang w:val="fr-CI"/>
        </w:rPr>
        <w:t>Le CGES identifiera et évaluera également, dans la mesure du possible, les risques environnementaux et sociaux potentiels et les impacts des installations associées. L'emprunteur abordera les risques et les répercussions des installations associées d'une manière proportionnelle à son contrôle ou à son influence sur les installations connexes. Dans la mesure où l'emprunteur ne peut pas contrôler ou influencer les activités associées pour répondre aux exigences des NES, l'évaluation environnementale et sociale permettra également d'identifier les risques et les impacts que les installations associées peuvent présenter au projet.</w:t>
      </w:r>
    </w:p>
    <w:p w14:paraId="502DAD66" w14:textId="77777777" w:rsidR="009021F1" w:rsidRPr="00D579BE" w:rsidRDefault="009021F1" w:rsidP="009021F1">
      <w:pPr>
        <w:spacing w:line="259" w:lineRule="auto"/>
        <w:ind w:left="1068"/>
        <w:contextualSpacing/>
        <w:rPr>
          <w:rFonts w:cs="Arial"/>
          <w:szCs w:val="21"/>
          <w:lang w:val="fr-CI"/>
        </w:rPr>
      </w:pPr>
    </w:p>
    <w:p w14:paraId="03620B2F" w14:textId="77777777" w:rsidR="009021F1" w:rsidRPr="00D579BE" w:rsidRDefault="009021F1" w:rsidP="009021F1">
      <w:pPr>
        <w:numPr>
          <w:ilvl w:val="0"/>
          <w:numId w:val="62"/>
        </w:numPr>
        <w:spacing w:line="259" w:lineRule="auto"/>
        <w:contextualSpacing/>
        <w:rPr>
          <w:rFonts w:cs="Arial"/>
          <w:szCs w:val="21"/>
        </w:rPr>
      </w:pPr>
      <w:r w:rsidRPr="00D579BE">
        <w:rPr>
          <w:rFonts w:cs="Arial"/>
          <w:szCs w:val="21"/>
        </w:rPr>
        <w:t>Le CGES tiendra également compte des risques</w:t>
      </w:r>
      <w:r w:rsidRPr="00D579BE">
        <w:rPr>
          <w:rFonts w:cs="Arial"/>
          <w:szCs w:val="21"/>
          <w:vertAlign w:val="superscript"/>
        </w:rPr>
        <w:footnoteReference w:id="41"/>
      </w:r>
      <w:r w:rsidRPr="00D579BE">
        <w:rPr>
          <w:rFonts w:cs="Arial"/>
          <w:szCs w:val="21"/>
        </w:rPr>
        <w:t xml:space="preserve">et </w:t>
      </w:r>
      <w:r w:rsidRPr="00D579BE">
        <w:rPr>
          <w:rFonts w:cs="Arial"/>
          <w:b/>
          <w:szCs w:val="21"/>
        </w:rPr>
        <w:t>des impacts associés aux principaux fournisseurs</w:t>
      </w:r>
      <w:r w:rsidRPr="00D579BE">
        <w:rPr>
          <w:rFonts w:cs="Arial"/>
          <w:szCs w:val="21"/>
        </w:rPr>
        <w:t>, comme l'exigent NES 2 et NES 6. L'emprunteur s'attaquera à ces risques et impacts d'une manière proportionnelle au contrôle ou à l'influence de l'emprunteur sur ses principaux fournisseurs tels qu'ils sont énoncés dans NES 2 et NES 6.</w:t>
      </w:r>
    </w:p>
    <w:p w14:paraId="6353B77B" w14:textId="77777777" w:rsidR="009021F1" w:rsidRPr="00D579BE" w:rsidRDefault="009021F1" w:rsidP="009021F1">
      <w:pPr>
        <w:pStyle w:val="Paragraphedeliste"/>
        <w:rPr>
          <w:rFonts w:cs="Arial"/>
          <w:szCs w:val="21"/>
        </w:rPr>
      </w:pPr>
    </w:p>
    <w:p w14:paraId="1DB2C65F" w14:textId="77777777" w:rsidR="009021F1" w:rsidRPr="00D579BE" w:rsidRDefault="009021F1" w:rsidP="009021F1">
      <w:pPr>
        <w:numPr>
          <w:ilvl w:val="0"/>
          <w:numId w:val="62"/>
        </w:numPr>
        <w:spacing w:line="259" w:lineRule="auto"/>
        <w:contextualSpacing/>
        <w:rPr>
          <w:rFonts w:cs="Arial"/>
          <w:szCs w:val="21"/>
        </w:rPr>
      </w:pPr>
      <w:r w:rsidRPr="00D579BE">
        <w:rPr>
          <w:rFonts w:cs="Arial"/>
          <w:szCs w:val="21"/>
        </w:rPr>
        <w:t xml:space="preserve">Le CGES tiendra compte des risques et impacts transfrontaliers et mondiaux potentiellement importants liés aux projets, tels que les impacts des décharges et des </w:t>
      </w:r>
      <w:r w:rsidRPr="00D579BE">
        <w:rPr>
          <w:rFonts w:cs="Arial"/>
          <w:b/>
          <w:szCs w:val="21"/>
        </w:rPr>
        <w:t>émissions, l'utilisation accrue ou la contamination des voies navigables internationales</w:t>
      </w:r>
      <w:r w:rsidRPr="00D579BE">
        <w:rPr>
          <w:rFonts w:cs="Arial"/>
          <w:szCs w:val="21"/>
        </w:rPr>
        <w:t xml:space="preserve"> ; l'émissions de polluants climatiques à courte et à longue durée de vie,</w:t>
      </w:r>
      <w:r w:rsidRPr="00D579BE">
        <w:rPr>
          <w:rFonts w:cs="Arial"/>
          <w:szCs w:val="21"/>
          <w:vertAlign w:val="superscript"/>
        </w:rPr>
        <w:footnoteReference w:id="42"/>
      </w:r>
      <w:r w:rsidRPr="00D579BE">
        <w:rPr>
          <w:rFonts w:cs="Arial"/>
          <w:szCs w:val="21"/>
        </w:rPr>
        <w:t>les problèmes d'atténuation, d'adaptation et de résilience liés au changement climatique, ainsi que les impacts sur les espèces migratrices menacées ou appauvries et leurs habitats.</w:t>
      </w:r>
    </w:p>
    <w:p w14:paraId="6E70F86F" w14:textId="77777777" w:rsidR="009021F1" w:rsidRPr="00D579BE" w:rsidRDefault="009021F1" w:rsidP="009021F1">
      <w:pPr>
        <w:pStyle w:val="Paragraphedeliste"/>
        <w:rPr>
          <w:rFonts w:cs="Arial"/>
          <w:szCs w:val="21"/>
        </w:rPr>
      </w:pPr>
    </w:p>
    <w:p w14:paraId="7EF7B6ED" w14:textId="77777777" w:rsidR="009021F1" w:rsidRPr="00D579BE" w:rsidRDefault="009021F1" w:rsidP="009021F1">
      <w:pPr>
        <w:rPr>
          <w:rFonts w:cs="Arial"/>
          <w:b/>
          <w:szCs w:val="21"/>
        </w:rPr>
      </w:pPr>
      <w:r w:rsidRPr="00D579BE">
        <w:rPr>
          <w:rFonts w:cs="Arial"/>
          <w:b/>
          <w:szCs w:val="21"/>
        </w:rPr>
        <w:t>Engagement des parties prenantes et divulgation de l'information</w:t>
      </w:r>
    </w:p>
    <w:p w14:paraId="0031A500" w14:textId="77777777" w:rsidR="009021F1" w:rsidRPr="00D579BE" w:rsidRDefault="009021F1" w:rsidP="009021F1">
      <w:pPr>
        <w:contextualSpacing/>
        <w:rPr>
          <w:rFonts w:cs="Arial"/>
          <w:szCs w:val="21"/>
        </w:rPr>
      </w:pPr>
    </w:p>
    <w:p w14:paraId="0B93B111" w14:textId="77777777" w:rsidR="009021F1" w:rsidRPr="00D579BE" w:rsidRDefault="009021F1" w:rsidP="009021F1">
      <w:pPr>
        <w:numPr>
          <w:ilvl w:val="0"/>
          <w:numId w:val="63"/>
        </w:numPr>
        <w:spacing w:line="259" w:lineRule="auto"/>
        <w:contextualSpacing/>
        <w:rPr>
          <w:rFonts w:cs="Arial"/>
          <w:szCs w:val="21"/>
        </w:rPr>
      </w:pPr>
      <w:r w:rsidRPr="00D579BE">
        <w:rPr>
          <w:rFonts w:cs="Arial"/>
          <w:szCs w:val="21"/>
        </w:rPr>
        <w:t>Comme prévu par la NES 10, l'Emprunteur continuera de s'engager et de fournir suffisamment d'information aux parties prenantes tout au long du cycle de vie du projet, d'une manière appropriée à la nature de leurs intérêts et aux risques environnementaux et sociaux potentiels et impacts du projet. Le PGES devrait définir les exigences de base pour la préparation d'un plan de participation des parties prenantes, y compris les exigences en matière de divulgation d'informations et de consultations significatives tout au long du projet.</w:t>
      </w:r>
    </w:p>
    <w:p w14:paraId="3BFC9844" w14:textId="77777777" w:rsidR="009021F1" w:rsidRPr="00D579BE" w:rsidRDefault="009021F1" w:rsidP="009021F1">
      <w:pPr>
        <w:spacing w:line="259" w:lineRule="auto"/>
        <w:ind w:left="720"/>
        <w:contextualSpacing/>
        <w:rPr>
          <w:rFonts w:cs="Arial"/>
          <w:szCs w:val="21"/>
        </w:rPr>
      </w:pPr>
    </w:p>
    <w:p w14:paraId="646A4EAB" w14:textId="77777777" w:rsidR="009021F1" w:rsidRPr="00D579BE" w:rsidRDefault="009021F1" w:rsidP="009021F1">
      <w:pPr>
        <w:numPr>
          <w:ilvl w:val="0"/>
          <w:numId w:val="63"/>
        </w:numPr>
        <w:spacing w:line="259" w:lineRule="auto"/>
        <w:contextualSpacing/>
        <w:rPr>
          <w:rFonts w:cs="Arial"/>
          <w:szCs w:val="21"/>
        </w:rPr>
      </w:pPr>
      <w:r w:rsidRPr="00D579BE">
        <w:rPr>
          <w:rFonts w:eastAsia="Calibri" w:cs="Arial"/>
          <w:color w:val="000000"/>
          <w:szCs w:val="21"/>
        </w:rPr>
        <w:t>Le PGES doit inclure une description de la manière dont l’Emprunteur proposera et mettra en œuvre un mécanisme de gestion des plaintes pour entendre ces préoccupations et recevoir ces plaintes et en faciliter le règlement. Le PGES définira clairement les rôles, les responsabilités et les attributions et désignera les personnes qui se chargeront de la mise en œuvre et du suivi des activités de mobilisation des parties prenantes et de la mise en conformité avec les dispositions de la présente NES.</w:t>
      </w:r>
    </w:p>
    <w:p w14:paraId="5D58EF34" w14:textId="77777777" w:rsidR="009021F1" w:rsidRPr="00D579BE" w:rsidRDefault="009021F1" w:rsidP="009021F1">
      <w:pPr>
        <w:pStyle w:val="Paragraphedeliste"/>
        <w:rPr>
          <w:rFonts w:cs="Arial"/>
          <w:szCs w:val="21"/>
        </w:rPr>
      </w:pPr>
    </w:p>
    <w:p w14:paraId="37DD8C1C" w14:textId="77777777" w:rsidR="009021F1" w:rsidRPr="00D579BE" w:rsidRDefault="009021F1" w:rsidP="009021F1">
      <w:pPr>
        <w:numPr>
          <w:ilvl w:val="0"/>
          <w:numId w:val="63"/>
        </w:numPr>
        <w:spacing w:line="259" w:lineRule="auto"/>
        <w:contextualSpacing/>
        <w:rPr>
          <w:rFonts w:cs="Arial"/>
          <w:szCs w:val="21"/>
        </w:rPr>
      </w:pPr>
      <w:r w:rsidRPr="00D579BE">
        <w:rPr>
          <w:rFonts w:cs="Arial"/>
          <w:szCs w:val="21"/>
        </w:rPr>
        <w:t>Pour les projets à risque élevé et à risque substantiel, l'emprunteur fournira à la Banque et divulguera des documents, comme convenu avec la Banque, concernant les risques environnementaux et sociaux et les impacts du projet avant l'évaluation du projet. La documentation traitera, de façon adéquate, des principaux risques et impacts du projet et fournira suffisamment de détails pour éclairer l'engagement des intervenants et la prise de décisions de la Banque. L'emprunteur fournira à la Banque et divulguera les documents définitifs ou mis à jour tels que spécifiés dans le PEES.</w:t>
      </w:r>
    </w:p>
    <w:p w14:paraId="4954EF6E" w14:textId="77777777" w:rsidR="009021F1" w:rsidRDefault="009021F1" w:rsidP="009021F1">
      <w:pPr>
        <w:spacing w:line="259" w:lineRule="auto"/>
        <w:contextualSpacing/>
        <w:rPr>
          <w:rFonts w:cs="Arial"/>
          <w:szCs w:val="21"/>
        </w:rPr>
      </w:pPr>
    </w:p>
    <w:p w14:paraId="5A721FF5" w14:textId="77777777" w:rsidR="009021F1" w:rsidRDefault="009021F1" w:rsidP="009021F1">
      <w:pPr>
        <w:spacing w:line="259" w:lineRule="auto"/>
        <w:contextualSpacing/>
        <w:rPr>
          <w:rFonts w:cs="Arial"/>
          <w:szCs w:val="21"/>
        </w:rPr>
      </w:pPr>
    </w:p>
    <w:p w14:paraId="6740E167" w14:textId="77777777" w:rsidR="009021F1" w:rsidRDefault="009021F1" w:rsidP="009021F1">
      <w:pPr>
        <w:spacing w:line="259" w:lineRule="auto"/>
        <w:contextualSpacing/>
        <w:rPr>
          <w:rFonts w:cs="Arial"/>
          <w:szCs w:val="21"/>
        </w:rPr>
      </w:pPr>
    </w:p>
    <w:p w14:paraId="3F141FBC" w14:textId="77777777" w:rsidR="009021F1" w:rsidRPr="00D579BE" w:rsidRDefault="009021F1" w:rsidP="009021F1">
      <w:pPr>
        <w:spacing w:line="259" w:lineRule="auto"/>
        <w:contextualSpacing/>
        <w:rPr>
          <w:rFonts w:cs="Arial"/>
          <w:szCs w:val="21"/>
        </w:rPr>
      </w:pPr>
    </w:p>
    <w:p w14:paraId="021237AF" w14:textId="77777777" w:rsidR="009021F1" w:rsidRPr="00D579BE" w:rsidRDefault="009021F1" w:rsidP="009021F1">
      <w:pPr>
        <w:rPr>
          <w:rFonts w:cs="Arial"/>
          <w:b/>
          <w:szCs w:val="21"/>
        </w:rPr>
      </w:pPr>
      <w:r w:rsidRPr="00D579BE">
        <w:rPr>
          <w:rFonts w:cs="Arial"/>
          <w:b/>
          <w:szCs w:val="21"/>
        </w:rPr>
        <w:t>Suivi et reporting du projet</w:t>
      </w:r>
    </w:p>
    <w:p w14:paraId="0FEED386" w14:textId="77777777" w:rsidR="009021F1" w:rsidRPr="00D579BE" w:rsidRDefault="009021F1" w:rsidP="009021F1">
      <w:pPr>
        <w:contextualSpacing/>
        <w:rPr>
          <w:rFonts w:cs="Arial"/>
          <w:b/>
          <w:szCs w:val="21"/>
        </w:rPr>
      </w:pPr>
    </w:p>
    <w:p w14:paraId="58356FD5" w14:textId="77777777" w:rsidR="009021F1" w:rsidRPr="00D579BE" w:rsidRDefault="009021F1" w:rsidP="009021F1">
      <w:pPr>
        <w:numPr>
          <w:ilvl w:val="0"/>
          <w:numId w:val="64"/>
        </w:numPr>
        <w:spacing w:line="259" w:lineRule="auto"/>
        <w:contextualSpacing/>
        <w:rPr>
          <w:rFonts w:cs="Arial"/>
          <w:szCs w:val="21"/>
        </w:rPr>
      </w:pPr>
      <w:r w:rsidRPr="00D579BE">
        <w:rPr>
          <w:rFonts w:cs="Arial"/>
          <w:szCs w:val="21"/>
        </w:rPr>
        <w:t>L'Emprunteur veillera à la performance environnementale et sociale du projet conformément à l'accord juridique (y compris le PEES). L'étendue et le mode de surveillance seront convenus avec la Banque et seront proportionnels à la nature du projet, aux risques et impacts environnementaux et sociaux du projet et aux exigences de conformité. L'emprunteur veillera à ce que des arrangements institutionnels, des systèmes, des ressources et du personnel adéquat soient en place pour effectuer la surveillance. Le cas échéant et tel qu'il est indiqué dans le PEES, l'Emprunteur engagera les parties prenantes et les tiers, tels que des experts indépendants, des communautés locales ou des ONG, pour compléter ou vérifier ses propres activités de surveillance. Lorsque d'autres organismes ou tiers sont responsables de la gestion des risques et des impacts spécifiques et de la mise en œuvre des mesures d'atténuation, l'emprunteur collaborera avec ces organismes et des tiers pour établir et surveiller ces mesures d'atténuation.</w:t>
      </w:r>
    </w:p>
    <w:p w14:paraId="1510190C" w14:textId="77777777" w:rsidR="009021F1" w:rsidRPr="00D579BE" w:rsidRDefault="009021F1" w:rsidP="009021F1">
      <w:pPr>
        <w:spacing w:line="259" w:lineRule="auto"/>
        <w:ind w:left="720"/>
        <w:contextualSpacing/>
        <w:rPr>
          <w:rFonts w:cs="Arial"/>
          <w:szCs w:val="21"/>
        </w:rPr>
      </w:pPr>
    </w:p>
    <w:p w14:paraId="259D8C98" w14:textId="77777777" w:rsidR="009021F1" w:rsidRPr="00D579BE" w:rsidRDefault="009021F1" w:rsidP="009021F1">
      <w:pPr>
        <w:numPr>
          <w:ilvl w:val="0"/>
          <w:numId w:val="64"/>
        </w:numPr>
        <w:spacing w:line="259" w:lineRule="auto"/>
        <w:contextualSpacing/>
        <w:rPr>
          <w:rFonts w:cs="Arial"/>
          <w:szCs w:val="21"/>
        </w:rPr>
      </w:pPr>
      <w:r w:rsidRPr="00D579BE">
        <w:rPr>
          <w:rFonts w:cs="Arial"/>
          <w:szCs w:val="21"/>
        </w:rPr>
        <w:t>Le suivi comprendra normalement l'enregistrement de l'information pour le suivi de la performance et l'établissement de contrôles opérationnels pertinents pour vérifier et comparer la conformité et les progrès. Le suivi sera ajusté en fonction de l'expérience de performance, ainsi que des mesures demandées par les autorités réglementaires compétentes et des commentaires des intervenants tels que les membres de la collectivité. L'Emprunteur va documenter les résultats du suivi.</w:t>
      </w:r>
    </w:p>
    <w:p w14:paraId="282775A4" w14:textId="77777777" w:rsidR="009021F1" w:rsidRPr="00D579BE" w:rsidRDefault="009021F1" w:rsidP="009021F1">
      <w:pPr>
        <w:pStyle w:val="Paragraphedeliste"/>
        <w:rPr>
          <w:rFonts w:cs="Arial"/>
          <w:szCs w:val="21"/>
        </w:rPr>
      </w:pPr>
    </w:p>
    <w:p w14:paraId="0CD8E6EE" w14:textId="77777777" w:rsidR="009021F1" w:rsidRPr="00D579BE" w:rsidRDefault="009021F1" w:rsidP="009021F1">
      <w:pPr>
        <w:numPr>
          <w:ilvl w:val="0"/>
          <w:numId w:val="64"/>
        </w:numPr>
        <w:spacing w:line="259" w:lineRule="auto"/>
        <w:contextualSpacing/>
        <w:rPr>
          <w:rFonts w:cs="Arial"/>
          <w:szCs w:val="21"/>
        </w:rPr>
      </w:pPr>
      <w:r w:rsidRPr="00D579BE">
        <w:rPr>
          <w:rFonts w:cs="Arial"/>
          <w:szCs w:val="21"/>
        </w:rPr>
        <w:t>L'Emprunteur fournira des rapports réguliers tels qu'ils sont énoncés dans le PEES (en tout état de cause, pas moins d'une année) à la Banque des résultats du suivi. Ces rapports fourniront un dossier précis et objectif de la mise en œuvre du projet, y compris le respect du PEES et des exigences des NES. Ces rapports comprendront de l'information sur l'engagement des intervenants effectuée pendant la mise en œuvre du projet conformément à la NES 10. L'Emprunteur et les organismes qui mettent en œuvre le projet désigneront des hauts fonctionnaires chargés d'examiner les rapports.</w:t>
      </w:r>
    </w:p>
    <w:p w14:paraId="781FDD79" w14:textId="77777777" w:rsidR="009021F1" w:rsidRPr="00D579BE" w:rsidRDefault="009021F1" w:rsidP="009021F1">
      <w:pPr>
        <w:pStyle w:val="Paragraphedeliste"/>
        <w:rPr>
          <w:rFonts w:cs="Arial"/>
          <w:szCs w:val="21"/>
        </w:rPr>
      </w:pPr>
    </w:p>
    <w:p w14:paraId="798060D1" w14:textId="77777777" w:rsidR="009021F1" w:rsidRPr="00D579BE" w:rsidRDefault="009021F1" w:rsidP="009021F1">
      <w:pPr>
        <w:numPr>
          <w:ilvl w:val="0"/>
          <w:numId w:val="64"/>
        </w:numPr>
        <w:spacing w:line="259" w:lineRule="auto"/>
        <w:contextualSpacing/>
        <w:rPr>
          <w:rFonts w:cs="Arial"/>
          <w:szCs w:val="21"/>
        </w:rPr>
      </w:pPr>
      <w:r w:rsidRPr="00D579BE">
        <w:rPr>
          <w:rFonts w:cs="Arial"/>
          <w:szCs w:val="21"/>
        </w:rPr>
        <w:t>Sur la base des résultats du suivi, l'emprunteur identifiera toutes les mesures correctives et préventives nécessaires et les intégrera dans un PEES modifié ou dans l'outil de gestion pertinent, d'une manière acceptable pour la Banque. L'emprunteur mettra en œuvre les mesures correctives et préventives convenues conformément à le PEES modifié ou l'outil de gestion pertinent et surveillera et rendra compte de ces actions.</w:t>
      </w:r>
    </w:p>
    <w:p w14:paraId="4D0F277D" w14:textId="77777777" w:rsidR="009021F1" w:rsidRPr="00D579BE" w:rsidRDefault="009021F1" w:rsidP="009021F1">
      <w:pPr>
        <w:pStyle w:val="Paragraphedeliste"/>
        <w:rPr>
          <w:rFonts w:cs="Arial"/>
          <w:szCs w:val="21"/>
        </w:rPr>
      </w:pPr>
    </w:p>
    <w:p w14:paraId="596AC019" w14:textId="77777777" w:rsidR="009021F1" w:rsidRPr="00D579BE" w:rsidRDefault="009021F1" w:rsidP="009021F1">
      <w:pPr>
        <w:numPr>
          <w:ilvl w:val="0"/>
          <w:numId w:val="64"/>
        </w:numPr>
        <w:spacing w:line="259" w:lineRule="auto"/>
        <w:contextualSpacing/>
        <w:rPr>
          <w:rFonts w:cs="Arial"/>
          <w:szCs w:val="21"/>
        </w:rPr>
      </w:pPr>
      <w:r w:rsidRPr="00D579BE">
        <w:rPr>
          <w:rFonts w:cs="Arial"/>
          <w:szCs w:val="21"/>
        </w:rPr>
        <w:t>L'Emprunteur facilitera les visites sur place par le personnel de la Banque ou des consultants agissant au nom de la Banque. L'Emprunteur avisera la Banque rapidement de tout incident ou accident lié au projet qui a, ou est susceptible d'avoir, un effet négatif important sur l'environnement, les communautés touchées, le public ou les travailleurs. La notification fournira suffisamment de détails sur un tel incident ou accident, y compris les décès ou les blessures graves. L'Emprunteur prendra des mesures immédiates pour faire face à l'incident ou à l'accident et pour éviter toute récidive, conformément à la législation nationale et aux NES.</w:t>
      </w:r>
    </w:p>
    <w:p w14:paraId="6F58692E" w14:textId="77777777" w:rsidR="009021F1" w:rsidRPr="00D579BE" w:rsidRDefault="009021F1" w:rsidP="009021F1">
      <w:pPr>
        <w:widowControl w:val="0"/>
        <w:suppressAutoHyphens/>
        <w:rPr>
          <w:rFonts w:cs="Arial"/>
          <w:bCs/>
          <w:iCs/>
          <w:szCs w:val="21"/>
          <w:lang w:val="fr-CA"/>
        </w:rPr>
      </w:pPr>
    </w:p>
    <w:p w14:paraId="2DC7EB58" w14:textId="77777777" w:rsidR="009021F1" w:rsidRPr="00D579BE" w:rsidRDefault="009021F1" w:rsidP="009021F1">
      <w:pPr>
        <w:rPr>
          <w:rFonts w:cs="Arial"/>
          <w:szCs w:val="21"/>
          <w:lang w:val="fr-CA"/>
        </w:rPr>
      </w:pPr>
    </w:p>
    <w:p w14:paraId="699C5C84" w14:textId="77777777" w:rsidR="009021F1" w:rsidRPr="00D579BE" w:rsidRDefault="009021F1" w:rsidP="009021F1">
      <w:pPr>
        <w:pStyle w:val="Titre1"/>
        <w:tabs>
          <w:tab w:val="right" w:pos="9062"/>
        </w:tabs>
        <w:ind w:left="1276" w:hanging="1276"/>
        <w:rPr>
          <w:rFonts w:cs="Arial"/>
          <w:b w:val="0"/>
          <w:szCs w:val="21"/>
        </w:rPr>
      </w:pPr>
      <w:r w:rsidRPr="00D579BE">
        <w:rPr>
          <w:rFonts w:cs="Arial"/>
          <w:szCs w:val="21"/>
        </w:rPr>
        <w:br w:type="page"/>
      </w:r>
      <w:bookmarkStart w:id="488" w:name="_Toc90471594"/>
      <w:r w:rsidRPr="00B76D27">
        <w:rPr>
          <w:rFonts w:cs="Arial"/>
          <w:szCs w:val="21"/>
        </w:rPr>
        <w:t>ANNEXE 6. LISTE DES PERSONNES RENCONTRÉES</w:t>
      </w:r>
      <w:bookmarkEnd w:id="488"/>
    </w:p>
    <w:p w14:paraId="2E963415" w14:textId="77777777" w:rsidR="009021F1" w:rsidRPr="00D579BE" w:rsidRDefault="009021F1" w:rsidP="009021F1">
      <w:pPr>
        <w:spacing w:line="240" w:lineRule="auto"/>
        <w:jc w:val="left"/>
        <w:rPr>
          <w:rFonts w:cs="Arial"/>
          <w:szCs w:val="21"/>
        </w:rPr>
      </w:pPr>
    </w:p>
    <w:tbl>
      <w:tblPr>
        <w:tblW w:w="10360" w:type="dxa"/>
        <w:tblInd w:w="-431" w:type="dxa"/>
        <w:tblCellMar>
          <w:left w:w="70" w:type="dxa"/>
          <w:right w:w="70" w:type="dxa"/>
        </w:tblCellMar>
        <w:tblLook w:val="04A0" w:firstRow="1" w:lastRow="0" w:firstColumn="1" w:lastColumn="0" w:noHBand="0" w:noVBand="1"/>
      </w:tblPr>
      <w:tblGrid>
        <w:gridCol w:w="499"/>
        <w:gridCol w:w="3011"/>
        <w:gridCol w:w="3723"/>
        <w:gridCol w:w="3127"/>
      </w:tblGrid>
      <w:tr w:rsidR="009021F1" w:rsidRPr="00D579BE" w14:paraId="1F815B48" w14:textId="77777777" w:rsidTr="00E637E3">
        <w:trPr>
          <w:trHeight w:val="440"/>
        </w:trPr>
        <w:tc>
          <w:tcPr>
            <w:tcW w:w="4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58D455" w14:textId="77777777" w:rsidR="009021F1" w:rsidRPr="00D579BE" w:rsidRDefault="009021F1" w:rsidP="00E637E3">
            <w:pPr>
              <w:spacing w:line="240" w:lineRule="auto"/>
              <w:jc w:val="center"/>
              <w:rPr>
                <w:rFonts w:cs="Arial"/>
                <w:szCs w:val="21"/>
              </w:rPr>
            </w:pPr>
            <w:r w:rsidRPr="00D579BE">
              <w:rPr>
                <w:rFonts w:cs="Arial"/>
                <w:szCs w:val="21"/>
              </w:rPr>
              <w:t>N°</w:t>
            </w:r>
          </w:p>
        </w:tc>
        <w:tc>
          <w:tcPr>
            <w:tcW w:w="3011" w:type="dxa"/>
            <w:tcBorders>
              <w:top w:val="single" w:sz="4" w:space="0" w:color="auto"/>
              <w:left w:val="nil"/>
              <w:bottom w:val="single" w:sz="4" w:space="0" w:color="auto"/>
              <w:right w:val="single" w:sz="4" w:space="0" w:color="auto"/>
            </w:tcBorders>
            <w:shd w:val="clear" w:color="auto" w:fill="auto"/>
            <w:vAlign w:val="center"/>
            <w:hideMark/>
          </w:tcPr>
          <w:p w14:paraId="11D69E64" w14:textId="77777777" w:rsidR="009021F1" w:rsidRPr="00D579BE" w:rsidRDefault="009021F1" w:rsidP="00E637E3">
            <w:pPr>
              <w:spacing w:line="240" w:lineRule="auto"/>
              <w:jc w:val="center"/>
              <w:rPr>
                <w:rFonts w:cs="Arial"/>
                <w:szCs w:val="21"/>
              </w:rPr>
            </w:pPr>
            <w:r w:rsidRPr="00D579BE">
              <w:rPr>
                <w:rFonts w:cs="Arial"/>
                <w:szCs w:val="21"/>
              </w:rPr>
              <w:t>Noms et Post-nom</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14:paraId="7187302D" w14:textId="77777777" w:rsidR="009021F1" w:rsidRPr="00D579BE" w:rsidRDefault="009021F1" w:rsidP="00E637E3">
            <w:pPr>
              <w:spacing w:line="240" w:lineRule="auto"/>
              <w:jc w:val="center"/>
              <w:rPr>
                <w:rFonts w:cs="Arial"/>
                <w:szCs w:val="21"/>
              </w:rPr>
            </w:pPr>
            <w:r w:rsidRPr="00D579BE">
              <w:rPr>
                <w:rFonts w:cs="Arial"/>
                <w:szCs w:val="21"/>
              </w:rPr>
              <w:t>Fonction</w:t>
            </w:r>
          </w:p>
        </w:tc>
        <w:tc>
          <w:tcPr>
            <w:tcW w:w="3127" w:type="dxa"/>
            <w:tcBorders>
              <w:top w:val="single" w:sz="4" w:space="0" w:color="auto"/>
              <w:left w:val="nil"/>
              <w:bottom w:val="single" w:sz="4" w:space="0" w:color="auto"/>
              <w:right w:val="single" w:sz="4" w:space="0" w:color="auto"/>
            </w:tcBorders>
            <w:shd w:val="clear" w:color="auto" w:fill="auto"/>
            <w:vAlign w:val="center"/>
            <w:hideMark/>
          </w:tcPr>
          <w:p w14:paraId="6A5023FC" w14:textId="77777777" w:rsidR="009021F1" w:rsidRPr="00D579BE" w:rsidRDefault="009021F1" w:rsidP="00E637E3">
            <w:pPr>
              <w:spacing w:line="240" w:lineRule="auto"/>
              <w:jc w:val="center"/>
              <w:rPr>
                <w:rFonts w:cs="Arial"/>
                <w:szCs w:val="21"/>
              </w:rPr>
            </w:pPr>
            <w:r w:rsidRPr="00D579BE">
              <w:rPr>
                <w:rFonts w:cs="Arial"/>
                <w:szCs w:val="21"/>
              </w:rPr>
              <w:t>Contact</w:t>
            </w:r>
          </w:p>
        </w:tc>
      </w:tr>
      <w:tr w:rsidR="009021F1" w:rsidRPr="00D579BE" w14:paraId="4AE8C420" w14:textId="77777777" w:rsidTr="00E637E3">
        <w:trPr>
          <w:trHeight w:val="1728"/>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40979FBD" w14:textId="77777777" w:rsidR="009021F1" w:rsidRPr="00D579BE" w:rsidRDefault="009021F1" w:rsidP="00E637E3">
            <w:pPr>
              <w:spacing w:line="240" w:lineRule="auto"/>
              <w:jc w:val="center"/>
              <w:rPr>
                <w:rFonts w:cs="Arial"/>
                <w:szCs w:val="21"/>
              </w:rPr>
            </w:pPr>
            <w:r w:rsidRPr="00D579BE">
              <w:rPr>
                <w:rFonts w:cs="Arial"/>
                <w:szCs w:val="21"/>
              </w:rPr>
              <w:t>1</w:t>
            </w:r>
          </w:p>
        </w:tc>
        <w:tc>
          <w:tcPr>
            <w:tcW w:w="3011" w:type="dxa"/>
            <w:tcBorders>
              <w:top w:val="nil"/>
              <w:left w:val="nil"/>
              <w:bottom w:val="single" w:sz="4" w:space="0" w:color="auto"/>
              <w:right w:val="single" w:sz="4" w:space="0" w:color="auto"/>
            </w:tcBorders>
            <w:shd w:val="clear" w:color="auto" w:fill="auto"/>
            <w:vAlign w:val="center"/>
            <w:hideMark/>
          </w:tcPr>
          <w:p w14:paraId="13D7F38C" w14:textId="77777777" w:rsidR="009021F1" w:rsidRPr="00D579BE" w:rsidRDefault="009021F1" w:rsidP="00E637E3">
            <w:pPr>
              <w:spacing w:line="240" w:lineRule="auto"/>
              <w:jc w:val="left"/>
              <w:rPr>
                <w:rFonts w:cs="Arial"/>
                <w:szCs w:val="21"/>
              </w:rPr>
            </w:pPr>
            <w:r w:rsidRPr="00D579BE">
              <w:rPr>
                <w:rFonts w:cs="Arial"/>
                <w:szCs w:val="21"/>
              </w:rPr>
              <w:t>Ir. Corneille KABAMBA MANONGO</w:t>
            </w:r>
          </w:p>
        </w:tc>
        <w:tc>
          <w:tcPr>
            <w:tcW w:w="3723" w:type="dxa"/>
            <w:tcBorders>
              <w:top w:val="nil"/>
              <w:left w:val="nil"/>
              <w:bottom w:val="single" w:sz="4" w:space="0" w:color="auto"/>
              <w:right w:val="single" w:sz="4" w:space="0" w:color="auto"/>
            </w:tcBorders>
            <w:shd w:val="clear" w:color="auto" w:fill="auto"/>
            <w:vAlign w:val="center"/>
            <w:hideMark/>
          </w:tcPr>
          <w:p w14:paraId="5EA70C30" w14:textId="77777777" w:rsidR="009021F1" w:rsidRPr="00D579BE" w:rsidRDefault="009021F1" w:rsidP="00E637E3">
            <w:pPr>
              <w:spacing w:line="240" w:lineRule="auto"/>
              <w:jc w:val="left"/>
              <w:rPr>
                <w:rFonts w:cs="Arial"/>
                <w:szCs w:val="21"/>
              </w:rPr>
            </w:pPr>
            <w:r w:rsidRPr="00D579BE">
              <w:rPr>
                <w:rFonts w:cs="Arial"/>
                <w:szCs w:val="21"/>
              </w:rPr>
              <w:t>Ministre Provincial du Plan, Développement Rural, Agriculture, Infrastructures, Travaux Publics, Aménagement et Modernisation de la Province, Affaires Foncières, Habitat, Partenariats et Coordination des Projets / Kasaï Central</w:t>
            </w:r>
          </w:p>
        </w:tc>
        <w:tc>
          <w:tcPr>
            <w:tcW w:w="3127" w:type="dxa"/>
            <w:tcBorders>
              <w:top w:val="nil"/>
              <w:left w:val="nil"/>
              <w:bottom w:val="single" w:sz="4" w:space="0" w:color="auto"/>
              <w:right w:val="single" w:sz="4" w:space="0" w:color="auto"/>
            </w:tcBorders>
            <w:shd w:val="clear" w:color="auto" w:fill="auto"/>
            <w:vAlign w:val="center"/>
            <w:hideMark/>
          </w:tcPr>
          <w:p w14:paraId="498B6E78" w14:textId="77777777" w:rsidR="009021F1" w:rsidRPr="00D579BE" w:rsidRDefault="009021F1" w:rsidP="00E637E3">
            <w:pPr>
              <w:spacing w:line="240" w:lineRule="auto"/>
              <w:jc w:val="left"/>
              <w:rPr>
                <w:rFonts w:cs="Arial"/>
                <w:szCs w:val="21"/>
              </w:rPr>
            </w:pPr>
            <w:r w:rsidRPr="00D579BE">
              <w:rPr>
                <w:rFonts w:cs="Arial"/>
                <w:szCs w:val="21"/>
              </w:rPr>
              <w:t xml:space="preserve">0815262789 / 0998 231254        Courriel : </w:t>
            </w:r>
            <w:hyperlink r:id="rId106" w:history="1">
              <w:r w:rsidRPr="00D579BE">
                <w:rPr>
                  <w:rStyle w:val="Lienhypertexte"/>
                  <w:rFonts w:cs="Arial"/>
                  <w:szCs w:val="21"/>
                </w:rPr>
                <w:t>corneillekm@yahoo.fr</w:t>
              </w:r>
            </w:hyperlink>
          </w:p>
          <w:p w14:paraId="0519D40E" w14:textId="77777777" w:rsidR="009021F1" w:rsidRPr="00D579BE" w:rsidRDefault="009021F1" w:rsidP="00E637E3">
            <w:pPr>
              <w:spacing w:line="240" w:lineRule="auto"/>
              <w:jc w:val="left"/>
              <w:rPr>
                <w:rFonts w:cs="Arial"/>
                <w:szCs w:val="21"/>
              </w:rPr>
            </w:pPr>
          </w:p>
        </w:tc>
      </w:tr>
      <w:tr w:rsidR="009021F1" w:rsidRPr="00D579BE" w14:paraId="0FA52798" w14:textId="77777777" w:rsidTr="00E637E3">
        <w:trPr>
          <w:trHeight w:val="480"/>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5EB8CB73" w14:textId="77777777" w:rsidR="009021F1" w:rsidRPr="00D579BE" w:rsidRDefault="009021F1" w:rsidP="00E637E3">
            <w:pPr>
              <w:spacing w:line="240" w:lineRule="auto"/>
              <w:jc w:val="center"/>
              <w:rPr>
                <w:rFonts w:cs="Arial"/>
                <w:szCs w:val="21"/>
              </w:rPr>
            </w:pPr>
            <w:r w:rsidRPr="00D579BE">
              <w:rPr>
                <w:rFonts w:cs="Arial"/>
                <w:szCs w:val="21"/>
              </w:rPr>
              <w:t>2</w:t>
            </w:r>
          </w:p>
        </w:tc>
        <w:tc>
          <w:tcPr>
            <w:tcW w:w="3011" w:type="dxa"/>
            <w:tcBorders>
              <w:top w:val="nil"/>
              <w:left w:val="nil"/>
              <w:bottom w:val="single" w:sz="4" w:space="0" w:color="auto"/>
              <w:right w:val="single" w:sz="4" w:space="0" w:color="auto"/>
            </w:tcBorders>
            <w:shd w:val="clear" w:color="auto" w:fill="auto"/>
            <w:vAlign w:val="center"/>
            <w:hideMark/>
          </w:tcPr>
          <w:p w14:paraId="7261F415" w14:textId="77777777" w:rsidR="009021F1" w:rsidRPr="00D579BE" w:rsidRDefault="009021F1" w:rsidP="00E637E3">
            <w:pPr>
              <w:spacing w:line="240" w:lineRule="auto"/>
              <w:jc w:val="left"/>
              <w:rPr>
                <w:rFonts w:cs="Arial"/>
                <w:szCs w:val="21"/>
              </w:rPr>
            </w:pPr>
            <w:r w:rsidRPr="00D579BE">
              <w:rPr>
                <w:rFonts w:cs="Arial"/>
                <w:szCs w:val="21"/>
              </w:rPr>
              <w:t>Benedict KIANGANTA</w:t>
            </w:r>
          </w:p>
        </w:tc>
        <w:tc>
          <w:tcPr>
            <w:tcW w:w="3723" w:type="dxa"/>
            <w:tcBorders>
              <w:top w:val="nil"/>
              <w:left w:val="nil"/>
              <w:bottom w:val="single" w:sz="4" w:space="0" w:color="auto"/>
              <w:right w:val="single" w:sz="4" w:space="0" w:color="auto"/>
            </w:tcBorders>
            <w:shd w:val="clear" w:color="auto" w:fill="auto"/>
            <w:vAlign w:val="center"/>
            <w:hideMark/>
          </w:tcPr>
          <w:p w14:paraId="32DDCCC1" w14:textId="77777777" w:rsidR="009021F1" w:rsidRPr="00D579BE" w:rsidRDefault="009021F1" w:rsidP="00E637E3">
            <w:pPr>
              <w:spacing w:line="240" w:lineRule="auto"/>
              <w:jc w:val="left"/>
              <w:rPr>
                <w:rFonts w:cs="Arial"/>
                <w:szCs w:val="21"/>
              </w:rPr>
            </w:pPr>
            <w:r w:rsidRPr="00D579BE">
              <w:rPr>
                <w:rFonts w:cs="Arial"/>
                <w:szCs w:val="21"/>
              </w:rPr>
              <w:t>Ministre Provincial de l'Agriculture, Pêche et Élevage / Kwilu</w:t>
            </w:r>
          </w:p>
        </w:tc>
        <w:tc>
          <w:tcPr>
            <w:tcW w:w="3127" w:type="dxa"/>
            <w:tcBorders>
              <w:top w:val="nil"/>
              <w:left w:val="nil"/>
              <w:bottom w:val="single" w:sz="4" w:space="0" w:color="auto"/>
              <w:right w:val="single" w:sz="4" w:space="0" w:color="auto"/>
            </w:tcBorders>
            <w:shd w:val="clear" w:color="auto" w:fill="auto"/>
            <w:vAlign w:val="center"/>
            <w:hideMark/>
          </w:tcPr>
          <w:p w14:paraId="0204DD29" w14:textId="77777777" w:rsidR="009021F1" w:rsidRPr="00D579BE" w:rsidRDefault="009021F1" w:rsidP="00E637E3">
            <w:pPr>
              <w:spacing w:line="240" w:lineRule="auto"/>
              <w:jc w:val="left"/>
              <w:rPr>
                <w:rFonts w:cs="Arial"/>
                <w:szCs w:val="21"/>
              </w:rPr>
            </w:pPr>
            <w:r w:rsidRPr="00D579BE">
              <w:rPr>
                <w:rFonts w:cs="Arial"/>
                <w:szCs w:val="21"/>
              </w:rPr>
              <w:t> </w:t>
            </w:r>
          </w:p>
        </w:tc>
      </w:tr>
      <w:tr w:rsidR="009021F1" w:rsidRPr="00D579BE" w14:paraId="58FB7D70" w14:textId="77777777" w:rsidTr="00E637E3">
        <w:trPr>
          <w:trHeight w:val="994"/>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4DECA074" w14:textId="77777777" w:rsidR="009021F1" w:rsidRPr="00D579BE" w:rsidRDefault="009021F1" w:rsidP="00E637E3">
            <w:pPr>
              <w:spacing w:line="240" w:lineRule="auto"/>
              <w:jc w:val="center"/>
              <w:rPr>
                <w:rFonts w:cs="Arial"/>
                <w:szCs w:val="21"/>
              </w:rPr>
            </w:pPr>
            <w:r w:rsidRPr="00D579BE">
              <w:rPr>
                <w:rFonts w:cs="Arial"/>
                <w:szCs w:val="21"/>
              </w:rPr>
              <w:t>3</w:t>
            </w:r>
          </w:p>
        </w:tc>
        <w:tc>
          <w:tcPr>
            <w:tcW w:w="3011" w:type="dxa"/>
            <w:tcBorders>
              <w:top w:val="nil"/>
              <w:left w:val="nil"/>
              <w:bottom w:val="single" w:sz="4" w:space="0" w:color="auto"/>
              <w:right w:val="single" w:sz="4" w:space="0" w:color="auto"/>
            </w:tcBorders>
            <w:shd w:val="clear" w:color="auto" w:fill="auto"/>
            <w:vAlign w:val="center"/>
            <w:hideMark/>
          </w:tcPr>
          <w:p w14:paraId="09D44F65" w14:textId="77777777" w:rsidR="009021F1" w:rsidRPr="00D579BE" w:rsidRDefault="009021F1" w:rsidP="00E637E3">
            <w:pPr>
              <w:spacing w:line="240" w:lineRule="auto"/>
              <w:jc w:val="left"/>
              <w:rPr>
                <w:rFonts w:cs="Arial"/>
                <w:szCs w:val="21"/>
              </w:rPr>
            </w:pPr>
            <w:r w:rsidRPr="00D579BE">
              <w:rPr>
                <w:rFonts w:cs="Arial"/>
                <w:szCs w:val="21"/>
              </w:rPr>
              <w:t>Thomas YOBILA</w:t>
            </w:r>
          </w:p>
        </w:tc>
        <w:tc>
          <w:tcPr>
            <w:tcW w:w="3723" w:type="dxa"/>
            <w:tcBorders>
              <w:top w:val="nil"/>
              <w:left w:val="nil"/>
              <w:bottom w:val="single" w:sz="4" w:space="0" w:color="auto"/>
              <w:right w:val="single" w:sz="4" w:space="0" w:color="auto"/>
            </w:tcBorders>
            <w:shd w:val="clear" w:color="auto" w:fill="auto"/>
            <w:vAlign w:val="center"/>
            <w:hideMark/>
          </w:tcPr>
          <w:p w14:paraId="30F69395" w14:textId="77777777" w:rsidR="009021F1" w:rsidRPr="00D579BE" w:rsidRDefault="009021F1" w:rsidP="00E637E3">
            <w:pPr>
              <w:spacing w:line="240" w:lineRule="auto"/>
              <w:jc w:val="left"/>
              <w:rPr>
                <w:rFonts w:cs="Arial"/>
                <w:szCs w:val="21"/>
              </w:rPr>
            </w:pPr>
            <w:r w:rsidRPr="00D579BE">
              <w:rPr>
                <w:rFonts w:cs="Arial"/>
                <w:szCs w:val="21"/>
              </w:rPr>
              <w:t>Conseiller en Développemnt et Coopération Institutionnelle / Gouvernorat de la Province du Kongo Central</w:t>
            </w:r>
          </w:p>
        </w:tc>
        <w:tc>
          <w:tcPr>
            <w:tcW w:w="3127" w:type="dxa"/>
            <w:tcBorders>
              <w:top w:val="nil"/>
              <w:left w:val="nil"/>
              <w:bottom w:val="single" w:sz="4" w:space="0" w:color="auto"/>
              <w:right w:val="single" w:sz="4" w:space="0" w:color="auto"/>
            </w:tcBorders>
            <w:shd w:val="clear" w:color="auto" w:fill="auto"/>
            <w:vAlign w:val="center"/>
            <w:hideMark/>
          </w:tcPr>
          <w:p w14:paraId="7E889650" w14:textId="77777777" w:rsidR="009021F1" w:rsidRPr="00D579BE" w:rsidRDefault="009021F1" w:rsidP="00E637E3">
            <w:pPr>
              <w:spacing w:line="240" w:lineRule="auto"/>
              <w:jc w:val="left"/>
              <w:rPr>
                <w:rFonts w:cs="Arial"/>
                <w:szCs w:val="21"/>
              </w:rPr>
            </w:pPr>
            <w:r w:rsidRPr="00D579BE">
              <w:rPr>
                <w:rFonts w:cs="Arial"/>
                <w:szCs w:val="21"/>
              </w:rPr>
              <w:t>0897180287</w:t>
            </w:r>
          </w:p>
        </w:tc>
      </w:tr>
      <w:tr w:rsidR="009021F1" w:rsidRPr="00D579BE" w14:paraId="2C80973F" w14:textId="77777777" w:rsidTr="00E637E3">
        <w:trPr>
          <w:trHeight w:val="800"/>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43080DA0" w14:textId="77777777" w:rsidR="009021F1" w:rsidRPr="00D579BE" w:rsidRDefault="009021F1" w:rsidP="00E637E3">
            <w:pPr>
              <w:spacing w:line="240" w:lineRule="auto"/>
              <w:jc w:val="center"/>
              <w:rPr>
                <w:rFonts w:cs="Arial"/>
                <w:szCs w:val="21"/>
              </w:rPr>
            </w:pPr>
            <w:r w:rsidRPr="00D579BE">
              <w:rPr>
                <w:rFonts w:cs="Arial"/>
                <w:szCs w:val="21"/>
              </w:rPr>
              <w:t>4</w:t>
            </w:r>
          </w:p>
        </w:tc>
        <w:tc>
          <w:tcPr>
            <w:tcW w:w="3011" w:type="dxa"/>
            <w:tcBorders>
              <w:top w:val="nil"/>
              <w:left w:val="nil"/>
              <w:bottom w:val="single" w:sz="4" w:space="0" w:color="auto"/>
              <w:right w:val="single" w:sz="4" w:space="0" w:color="auto"/>
            </w:tcBorders>
            <w:shd w:val="clear" w:color="auto" w:fill="auto"/>
            <w:vAlign w:val="center"/>
            <w:hideMark/>
          </w:tcPr>
          <w:p w14:paraId="26FF8818" w14:textId="77777777" w:rsidR="009021F1" w:rsidRPr="00D579BE" w:rsidRDefault="009021F1" w:rsidP="00E637E3">
            <w:pPr>
              <w:spacing w:line="240" w:lineRule="auto"/>
              <w:jc w:val="left"/>
              <w:rPr>
                <w:rFonts w:cs="Arial"/>
                <w:szCs w:val="21"/>
              </w:rPr>
            </w:pPr>
            <w:r w:rsidRPr="00D579BE">
              <w:rPr>
                <w:rFonts w:cs="Arial"/>
                <w:szCs w:val="21"/>
              </w:rPr>
              <w:t xml:space="preserve">Gérard BIYUDI KINDA </w:t>
            </w:r>
          </w:p>
        </w:tc>
        <w:tc>
          <w:tcPr>
            <w:tcW w:w="3723" w:type="dxa"/>
            <w:tcBorders>
              <w:top w:val="nil"/>
              <w:left w:val="nil"/>
              <w:bottom w:val="single" w:sz="4" w:space="0" w:color="auto"/>
              <w:right w:val="single" w:sz="4" w:space="0" w:color="auto"/>
            </w:tcBorders>
            <w:shd w:val="clear" w:color="auto" w:fill="auto"/>
            <w:vAlign w:val="center"/>
            <w:hideMark/>
          </w:tcPr>
          <w:p w14:paraId="3414D9CF" w14:textId="77777777" w:rsidR="009021F1" w:rsidRPr="00D579BE" w:rsidRDefault="009021F1" w:rsidP="00E637E3">
            <w:pPr>
              <w:spacing w:line="240" w:lineRule="auto"/>
              <w:jc w:val="left"/>
              <w:rPr>
                <w:rFonts w:cs="Arial"/>
                <w:szCs w:val="21"/>
              </w:rPr>
            </w:pPr>
            <w:r w:rsidRPr="00D579BE">
              <w:rPr>
                <w:rFonts w:cs="Arial"/>
                <w:szCs w:val="21"/>
              </w:rPr>
              <w:t>Directeur de Cabinet du Ministre Provincial de l'Agriculture Pêche et Élevage / Kongo Central</w:t>
            </w:r>
          </w:p>
        </w:tc>
        <w:tc>
          <w:tcPr>
            <w:tcW w:w="3127" w:type="dxa"/>
            <w:tcBorders>
              <w:top w:val="nil"/>
              <w:left w:val="nil"/>
              <w:bottom w:val="single" w:sz="4" w:space="0" w:color="auto"/>
              <w:right w:val="single" w:sz="4" w:space="0" w:color="auto"/>
            </w:tcBorders>
            <w:shd w:val="clear" w:color="auto" w:fill="auto"/>
            <w:vAlign w:val="center"/>
            <w:hideMark/>
          </w:tcPr>
          <w:p w14:paraId="1EF4B2EB" w14:textId="77777777" w:rsidR="009021F1" w:rsidRPr="00D579BE" w:rsidRDefault="009021F1" w:rsidP="00E637E3">
            <w:pPr>
              <w:spacing w:line="240" w:lineRule="auto"/>
              <w:jc w:val="left"/>
              <w:rPr>
                <w:rFonts w:cs="Arial"/>
                <w:szCs w:val="21"/>
              </w:rPr>
            </w:pPr>
            <w:r w:rsidRPr="00D579BE">
              <w:rPr>
                <w:rFonts w:cs="Arial"/>
                <w:szCs w:val="21"/>
              </w:rPr>
              <w:t>0897676223</w:t>
            </w:r>
          </w:p>
        </w:tc>
      </w:tr>
      <w:tr w:rsidR="009021F1" w:rsidRPr="00D579BE" w14:paraId="4EFB7AFB" w14:textId="77777777" w:rsidTr="00E637E3">
        <w:trPr>
          <w:trHeight w:val="800"/>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5C37165D" w14:textId="77777777" w:rsidR="009021F1" w:rsidRPr="00D579BE" w:rsidRDefault="009021F1" w:rsidP="00E637E3">
            <w:pPr>
              <w:spacing w:line="240" w:lineRule="auto"/>
              <w:jc w:val="center"/>
              <w:rPr>
                <w:rFonts w:cs="Arial"/>
                <w:szCs w:val="21"/>
              </w:rPr>
            </w:pPr>
            <w:r w:rsidRPr="00D579BE">
              <w:rPr>
                <w:rFonts w:cs="Arial"/>
                <w:szCs w:val="21"/>
              </w:rPr>
              <w:t>5</w:t>
            </w:r>
          </w:p>
        </w:tc>
        <w:tc>
          <w:tcPr>
            <w:tcW w:w="3011" w:type="dxa"/>
            <w:tcBorders>
              <w:top w:val="nil"/>
              <w:left w:val="nil"/>
              <w:bottom w:val="single" w:sz="4" w:space="0" w:color="auto"/>
              <w:right w:val="single" w:sz="4" w:space="0" w:color="auto"/>
            </w:tcBorders>
            <w:shd w:val="clear" w:color="auto" w:fill="auto"/>
            <w:vAlign w:val="center"/>
            <w:hideMark/>
          </w:tcPr>
          <w:p w14:paraId="4861DCC1" w14:textId="77777777" w:rsidR="009021F1" w:rsidRPr="00D579BE" w:rsidRDefault="009021F1" w:rsidP="00E637E3">
            <w:pPr>
              <w:spacing w:line="240" w:lineRule="auto"/>
              <w:jc w:val="left"/>
              <w:rPr>
                <w:rFonts w:cs="Arial"/>
                <w:szCs w:val="21"/>
              </w:rPr>
            </w:pPr>
            <w:r w:rsidRPr="00D579BE">
              <w:rPr>
                <w:rFonts w:cs="Arial"/>
                <w:szCs w:val="21"/>
              </w:rPr>
              <w:t>KINDANI KASIMBA</w:t>
            </w:r>
          </w:p>
        </w:tc>
        <w:tc>
          <w:tcPr>
            <w:tcW w:w="3723" w:type="dxa"/>
            <w:tcBorders>
              <w:top w:val="nil"/>
              <w:left w:val="nil"/>
              <w:bottom w:val="single" w:sz="4" w:space="0" w:color="auto"/>
              <w:right w:val="single" w:sz="4" w:space="0" w:color="auto"/>
            </w:tcBorders>
            <w:shd w:val="clear" w:color="auto" w:fill="auto"/>
            <w:vAlign w:val="center"/>
            <w:hideMark/>
          </w:tcPr>
          <w:p w14:paraId="6D5EB253" w14:textId="77777777" w:rsidR="009021F1" w:rsidRPr="00D579BE" w:rsidRDefault="009021F1" w:rsidP="00E637E3">
            <w:pPr>
              <w:spacing w:line="240" w:lineRule="auto"/>
              <w:jc w:val="left"/>
              <w:rPr>
                <w:rFonts w:cs="Arial"/>
                <w:szCs w:val="21"/>
              </w:rPr>
            </w:pPr>
            <w:r w:rsidRPr="00D579BE">
              <w:rPr>
                <w:rFonts w:cs="Arial"/>
                <w:szCs w:val="21"/>
              </w:rPr>
              <w:t>Directeur de Cabinet du Ministre Provincial de l'Agriculture Pêche et Élevage / Kwilu</w:t>
            </w:r>
          </w:p>
        </w:tc>
        <w:tc>
          <w:tcPr>
            <w:tcW w:w="3127" w:type="dxa"/>
            <w:tcBorders>
              <w:top w:val="nil"/>
              <w:left w:val="nil"/>
              <w:bottom w:val="single" w:sz="4" w:space="0" w:color="auto"/>
              <w:right w:val="single" w:sz="4" w:space="0" w:color="auto"/>
            </w:tcBorders>
            <w:shd w:val="clear" w:color="auto" w:fill="auto"/>
            <w:vAlign w:val="center"/>
            <w:hideMark/>
          </w:tcPr>
          <w:p w14:paraId="64EC0EAA" w14:textId="77777777" w:rsidR="009021F1" w:rsidRPr="00D579BE" w:rsidRDefault="009021F1" w:rsidP="00E637E3">
            <w:pPr>
              <w:spacing w:line="240" w:lineRule="auto"/>
              <w:jc w:val="left"/>
              <w:rPr>
                <w:rFonts w:cs="Arial"/>
                <w:szCs w:val="21"/>
              </w:rPr>
            </w:pPr>
            <w:r w:rsidRPr="00D579BE">
              <w:rPr>
                <w:rFonts w:cs="Arial"/>
                <w:szCs w:val="21"/>
              </w:rPr>
              <w:t>0811788918</w:t>
            </w:r>
          </w:p>
        </w:tc>
      </w:tr>
      <w:tr w:rsidR="009021F1" w:rsidRPr="00D579BE" w14:paraId="5953B604" w14:textId="77777777" w:rsidTr="00E637E3">
        <w:trPr>
          <w:trHeight w:val="320"/>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20A9C641" w14:textId="77777777" w:rsidR="009021F1" w:rsidRPr="00D579BE" w:rsidRDefault="009021F1" w:rsidP="00E637E3">
            <w:pPr>
              <w:spacing w:line="240" w:lineRule="auto"/>
              <w:jc w:val="center"/>
              <w:rPr>
                <w:rFonts w:cs="Arial"/>
                <w:szCs w:val="21"/>
              </w:rPr>
            </w:pPr>
            <w:r w:rsidRPr="00D579BE">
              <w:rPr>
                <w:rFonts w:cs="Arial"/>
                <w:szCs w:val="21"/>
              </w:rPr>
              <w:t>6</w:t>
            </w:r>
          </w:p>
        </w:tc>
        <w:tc>
          <w:tcPr>
            <w:tcW w:w="3011" w:type="dxa"/>
            <w:tcBorders>
              <w:top w:val="nil"/>
              <w:left w:val="nil"/>
              <w:bottom w:val="single" w:sz="4" w:space="0" w:color="auto"/>
              <w:right w:val="single" w:sz="4" w:space="0" w:color="auto"/>
            </w:tcBorders>
            <w:shd w:val="clear" w:color="auto" w:fill="auto"/>
            <w:vAlign w:val="center"/>
            <w:hideMark/>
          </w:tcPr>
          <w:p w14:paraId="2C2761A3" w14:textId="77777777" w:rsidR="009021F1" w:rsidRPr="00D579BE" w:rsidRDefault="009021F1" w:rsidP="00E637E3">
            <w:pPr>
              <w:spacing w:line="240" w:lineRule="auto"/>
              <w:jc w:val="left"/>
              <w:rPr>
                <w:rFonts w:cs="Arial"/>
                <w:szCs w:val="21"/>
              </w:rPr>
            </w:pPr>
            <w:r w:rsidRPr="00D579BE">
              <w:rPr>
                <w:rFonts w:cs="Arial"/>
                <w:szCs w:val="21"/>
              </w:rPr>
              <w:t>DITONA PANZU</w:t>
            </w:r>
          </w:p>
        </w:tc>
        <w:tc>
          <w:tcPr>
            <w:tcW w:w="3723" w:type="dxa"/>
            <w:tcBorders>
              <w:top w:val="nil"/>
              <w:left w:val="nil"/>
              <w:bottom w:val="single" w:sz="4" w:space="0" w:color="auto"/>
              <w:right w:val="single" w:sz="4" w:space="0" w:color="auto"/>
            </w:tcBorders>
            <w:shd w:val="clear" w:color="auto" w:fill="auto"/>
            <w:vAlign w:val="center"/>
            <w:hideMark/>
          </w:tcPr>
          <w:p w14:paraId="7DD982A0" w14:textId="77777777" w:rsidR="009021F1" w:rsidRPr="00D579BE" w:rsidRDefault="009021F1" w:rsidP="00E637E3">
            <w:pPr>
              <w:spacing w:line="240" w:lineRule="auto"/>
              <w:jc w:val="left"/>
              <w:rPr>
                <w:rFonts w:cs="Arial"/>
                <w:szCs w:val="21"/>
              </w:rPr>
            </w:pPr>
            <w:r w:rsidRPr="00D579BE">
              <w:rPr>
                <w:rFonts w:cs="Arial"/>
                <w:szCs w:val="21"/>
              </w:rPr>
              <w:t>Conseiller AGRIPO/Kongo Central</w:t>
            </w:r>
          </w:p>
        </w:tc>
        <w:tc>
          <w:tcPr>
            <w:tcW w:w="3127" w:type="dxa"/>
            <w:tcBorders>
              <w:top w:val="nil"/>
              <w:left w:val="nil"/>
              <w:bottom w:val="single" w:sz="4" w:space="0" w:color="auto"/>
              <w:right w:val="single" w:sz="4" w:space="0" w:color="auto"/>
            </w:tcBorders>
            <w:shd w:val="clear" w:color="auto" w:fill="auto"/>
            <w:vAlign w:val="center"/>
            <w:hideMark/>
          </w:tcPr>
          <w:p w14:paraId="1C754138" w14:textId="77777777" w:rsidR="009021F1" w:rsidRPr="00D579BE" w:rsidRDefault="009021F1" w:rsidP="00E637E3">
            <w:pPr>
              <w:spacing w:line="240" w:lineRule="auto"/>
              <w:jc w:val="left"/>
              <w:rPr>
                <w:rFonts w:cs="Arial"/>
                <w:szCs w:val="21"/>
              </w:rPr>
            </w:pPr>
            <w:r w:rsidRPr="00D579BE">
              <w:rPr>
                <w:rFonts w:cs="Arial"/>
                <w:szCs w:val="21"/>
              </w:rPr>
              <w:t>0897352135</w:t>
            </w:r>
          </w:p>
        </w:tc>
      </w:tr>
      <w:tr w:rsidR="009021F1" w:rsidRPr="00D579BE" w14:paraId="360B2BD0" w14:textId="77777777" w:rsidTr="00E637E3">
        <w:trPr>
          <w:trHeight w:val="427"/>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7B7AABE3" w14:textId="77777777" w:rsidR="009021F1" w:rsidRPr="00D579BE" w:rsidRDefault="009021F1" w:rsidP="00E637E3">
            <w:pPr>
              <w:spacing w:line="240" w:lineRule="auto"/>
              <w:jc w:val="center"/>
              <w:rPr>
                <w:rFonts w:cs="Arial"/>
                <w:szCs w:val="21"/>
              </w:rPr>
            </w:pPr>
            <w:r w:rsidRPr="00D579BE">
              <w:rPr>
                <w:rFonts w:cs="Arial"/>
                <w:szCs w:val="21"/>
              </w:rPr>
              <w:t>7</w:t>
            </w:r>
          </w:p>
        </w:tc>
        <w:tc>
          <w:tcPr>
            <w:tcW w:w="3011" w:type="dxa"/>
            <w:tcBorders>
              <w:top w:val="nil"/>
              <w:left w:val="nil"/>
              <w:bottom w:val="single" w:sz="4" w:space="0" w:color="auto"/>
              <w:right w:val="single" w:sz="4" w:space="0" w:color="auto"/>
            </w:tcBorders>
            <w:shd w:val="clear" w:color="auto" w:fill="auto"/>
            <w:vAlign w:val="center"/>
            <w:hideMark/>
          </w:tcPr>
          <w:p w14:paraId="2C212E02" w14:textId="77777777" w:rsidR="009021F1" w:rsidRPr="00D579BE" w:rsidRDefault="009021F1" w:rsidP="00E637E3">
            <w:pPr>
              <w:spacing w:line="240" w:lineRule="auto"/>
              <w:jc w:val="left"/>
              <w:rPr>
                <w:rFonts w:cs="Arial"/>
                <w:szCs w:val="21"/>
              </w:rPr>
            </w:pPr>
            <w:r w:rsidRPr="00D579BE">
              <w:rPr>
                <w:rFonts w:cs="Arial"/>
                <w:szCs w:val="21"/>
              </w:rPr>
              <w:t>Félix MBUMBA</w:t>
            </w:r>
          </w:p>
        </w:tc>
        <w:tc>
          <w:tcPr>
            <w:tcW w:w="3723" w:type="dxa"/>
            <w:tcBorders>
              <w:top w:val="nil"/>
              <w:left w:val="nil"/>
              <w:bottom w:val="single" w:sz="4" w:space="0" w:color="auto"/>
              <w:right w:val="single" w:sz="4" w:space="0" w:color="auto"/>
            </w:tcBorders>
            <w:shd w:val="clear" w:color="auto" w:fill="auto"/>
            <w:vAlign w:val="center"/>
            <w:hideMark/>
          </w:tcPr>
          <w:p w14:paraId="0FEED706" w14:textId="77777777" w:rsidR="009021F1" w:rsidRPr="00D579BE" w:rsidRDefault="009021F1" w:rsidP="00E637E3">
            <w:pPr>
              <w:spacing w:line="240" w:lineRule="auto"/>
              <w:jc w:val="left"/>
              <w:rPr>
                <w:rFonts w:cs="Arial"/>
                <w:szCs w:val="21"/>
              </w:rPr>
            </w:pPr>
            <w:r w:rsidRPr="00D579BE">
              <w:rPr>
                <w:rFonts w:cs="Arial"/>
                <w:szCs w:val="21"/>
              </w:rPr>
              <w:t>Directeur Suivi et Inspection / Direction Générale ACE</w:t>
            </w:r>
          </w:p>
        </w:tc>
        <w:tc>
          <w:tcPr>
            <w:tcW w:w="3127" w:type="dxa"/>
            <w:tcBorders>
              <w:top w:val="nil"/>
              <w:left w:val="nil"/>
              <w:bottom w:val="single" w:sz="4" w:space="0" w:color="auto"/>
              <w:right w:val="single" w:sz="4" w:space="0" w:color="auto"/>
            </w:tcBorders>
            <w:shd w:val="clear" w:color="auto" w:fill="auto"/>
            <w:vAlign w:val="center"/>
            <w:hideMark/>
          </w:tcPr>
          <w:p w14:paraId="58BBC1EB" w14:textId="77777777" w:rsidR="009021F1" w:rsidRPr="00D579BE" w:rsidRDefault="009021F1" w:rsidP="00E637E3">
            <w:pPr>
              <w:spacing w:line="240" w:lineRule="auto"/>
              <w:jc w:val="left"/>
              <w:rPr>
                <w:rFonts w:cs="Arial"/>
                <w:szCs w:val="21"/>
              </w:rPr>
            </w:pPr>
            <w:r w:rsidRPr="00D579BE">
              <w:rPr>
                <w:rFonts w:cs="Arial"/>
                <w:szCs w:val="21"/>
              </w:rPr>
              <w:t>0810077147</w:t>
            </w:r>
          </w:p>
        </w:tc>
      </w:tr>
      <w:tr w:rsidR="009021F1" w:rsidRPr="00D579BE" w14:paraId="2D9107FE" w14:textId="77777777" w:rsidTr="00E637E3">
        <w:trPr>
          <w:trHeight w:val="580"/>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659CA36D" w14:textId="77777777" w:rsidR="009021F1" w:rsidRPr="00D579BE" w:rsidRDefault="009021F1" w:rsidP="00E637E3">
            <w:pPr>
              <w:spacing w:line="240" w:lineRule="auto"/>
              <w:jc w:val="center"/>
              <w:rPr>
                <w:rFonts w:cs="Arial"/>
                <w:szCs w:val="21"/>
              </w:rPr>
            </w:pPr>
            <w:r w:rsidRPr="00D579BE">
              <w:rPr>
                <w:rFonts w:cs="Arial"/>
                <w:szCs w:val="21"/>
              </w:rPr>
              <w:t>8</w:t>
            </w:r>
          </w:p>
        </w:tc>
        <w:tc>
          <w:tcPr>
            <w:tcW w:w="3011" w:type="dxa"/>
            <w:tcBorders>
              <w:top w:val="nil"/>
              <w:left w:val="nil"/>
              <w:bottom w:val="single" w:sz="4" w:space="0" w:color="auto"/>
              <w:right w:val="single" w:sz="4" w:space="0" w:color="auto"/>
            </w:tcBorders>
            <w:shd w:val="clear" w:color="auto" w:fill="auto"/>
            <w:vAlign w:val="center"/>
            <w:hideMark/>
          </w:tcPr>
          <w:p w14:paraId="453676C5" w14:textId="77777777" w:rsidR="009021F1" w:rsidRPr="00D579BE" w:rsidRDefault="009021F1" w:rsidP="00E637E3">
            <w:pPr>
              <w:spacing w:line="240" w:lineRule="auto"/>
              <w:jc w:val="left"/>
              <w:rPr>
                <w:rFonts w:cs="Arial"/>
                <w:szCs w:val="21"/>
              </w:rPr>
            </w:pPr>
            <w:r w:rsidRPr="00D579BE">
              <w:rPr>
                <w:rFonts w:cs="Arial"/>
                <w:szCs w:val="21"/>
              </w:rPr>
              <w:t>BIOKO DIMONEKENE</w:t>
            </w:r>
          </w:p>
        </w:tc>
        <w:tc>
          <w:tcPr>
            <w:tcW w:w="3723" w:type="dxa"/>
            <w:tcBorders>
              <w:top w:val="nil"/>
              <w:left w:val="nil"/>
              <w:bottom w:val="single" w:sz="4" w:space="0" w:color="auto"/>
              <w:right w:val="single" w:sz="4" w:space="0" w:color="auto"/>
            </w:tcBorders>
            <w:shd w:val="clear" w:color="auto" w:fill="auto"/>
            <w:vAlign w:val="center"/>
            <w:hideMark/>
          </w:tcPr>
          <w:p w14:paraId="55774C2A" w14:textId="77777777" w:rsidR="009021F1" w:rsidRPr="00D579BE" w:rsidRDefault="009021F1" w:rsidP="00E637E3">
            <w:pPr>
              <w:spacing w:line="240" w:lineRule="auto"/>
              <w:jc w:val="left"/>
              <w:rPr>
                <w:rFonts w:cs="Arial"/>
                <w:szCs w:val="21"/>
              </w:rPr>
            </w:pPr>
            <w:r w:rsidRPr="00D579BE">
              <w:rPr>
                <w:rFonts w:cs="Arial"/>
                <w:szCs w:val="21"/>
              </w:rPr>
              <w:t>Directeur Provincial de l'ACE / Kongo Central</w:t>
            </w:r>
          </w:p>
        </w:tc>
        <w:tc>
          <w:tcPr>
            <w:tcW w:w="3127" w:type="dxa"/>
            <w:tcBorders>
              <w:top w:val="nil"/>
              <w:left w:val="nil"/>
              <w:bottom w:val="single" w:sz="4" w:space="0" w:color="auto"/>
              <w:right w:val="single" w:sz="4" w:space="0" w:color="auto"/>
            </w:tcBorders>
            <w:shd w:val="clear" w:color="auto" w:fill="auto"/>
            <w:vAlign w:val="center"/>
            <w:hideMark/>
          </w:tcPr>
          <w:p w14:paraId="5CB1D6F9" w14:textId="77777777" w:rsidR="009021F1" w:rsidRPr="00D579BE" w:rsidRDefault="009021F1" w:rsidP="00E637E3">
            <w:pPr>
              <w:spacing w:line="240" w:lineRule="auto"/>
              <w:jc w:val="left"/>
              <w:rPr>
                <w:rFonts w:cs="Arial"/>
                <w:szCs w:val="21"/>
              </w:rPr>
            </w:pPr>
            <w:r w:rsidRPr="00D579BE">
              <w:rPr>
                <w:rFonts w:cs="Arial"/>
                <w:szCs w:val="21"/>
              </w:rPr>
              <w:t>0897686444</w:t>
            </w:r>
          </w:p>
        </w:tc>
      </w:tr>
      <w:tr w:rsidR="009021F1" w:rsidRPr="00D579BE" w14:paraId="47BB60CA" w14:textId="77777777" w:rsidTr="00E637E3">
        <w:trPr>
          <w:trHeight w:val="580"/>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2FEC6694" w14:textId="77777777" w:rsidR="009021F1" w:rsidRPr="00D579BE" w:rsidRDefault="009021F1" w:rsidP="00E637E3">
            <w:pPr>
              <w:spacing w:line="240" w:lineRule="auto"/>
              <w:jc w:val="center"/>
              <w:rPr>
                <w:rFonts w:cs="Arial"/>
                <w:szCs w:val="21"/>
              </w:rPr>
            </w:pPr>
            <w:r w:rsidRPr="00D579BE">
              <w:rPr>
                <w:rFonts w:cs="Arial"/>
                <w:szCs w:val="21"/>
              </w:rPr>
              <w:t>9</w:t>
            </w:r>
          </w:p>
        </w:tc>
        <w:tc>
          <w:tcPr>
            <w:tcW w:w="3011" w:type="dxa"/>
            <w:tcBorders>
              <w:top w:val="nil"/>
              <w:left w:val="nil"/>
              <w:bottom w:val="single" w:sz="4" w:space="0" w:color="auto"/>
              <w:right w:val="single" w:sz="4" w:space="0" w:color="auto"/>
            </w:tcBorders>
            <w:shd w:val="clear" w:color="auto" w:fill="auto"/>
            <w:vAlign w:val="center"/>
            <w:hideMark/>
          </w:tcPr>
          <w:p w14:paraId="1B28044C" w14:textId="77777777" w:rsidR="009021F1" w:rsidRPr="00D579BE" w:rsidRDefault="009021F1" w:rsidP="00E637E3">
            <w:pPr>
              <w:spacing w:line="240" w:lineRule="auto"/>
              <w:jc w:val="left"/>
              <w:rPr>
                <w:rFonts w:cs="Arial"/>
                <w:szCs w:val="21"/>
              </w:rPr>
            </w:pPr>
            <w:r w:rsidRPr="00D579BE">
              <w:rPr>
                <w:rFonts w:cs="Arial"/>
                <w:szCs w:val="21"/>
              </w:rPr>
              <w:t>LUFANGA SHINDANO</w:t>
            </w:r>
          </w:p>
        </w:tc>
        <w:tc>
          <w:tcPr>
            <w:tcW w:w="3723" w:type="dxa"/>
            <w:tcBorders>
              <w:top w:val="nil"/>
              <w:left w:val="nil"/>
              <w:bottom w:val="single" w:sz="4" w:space="0" w:color="auto"/>
              <w:right w:val="single" w:sz="4" w:space="0" w:color="auto"/>
            </w:tcBorders>
            <w:shd w:val="clear" w:color="auto" w:fill="auto"/>
            <w:vAlign w:val="center"/>
            <w:hideMark/>
          </w:tcPr>
          <w:p w14:paraId="6939AADA" w14:textId="77777777" w:rsidR="009021F1" w:rsidRPr="00D579BE" w:rsidRDefault="009021F1" w:rsidP="00E637E3">
            <w:pPr>
              <w:spacing w:line="240" w:lineRule="auto"/>
              <w:jc w:val="left"/>
              <w:rPr>
                <w:rFonts w:cs="Arial"/>
                <w:szCs w:val="21"/>
              </w:rPr>
            </w:pPr>
            <w:r w:rsidRPr="00D579BE">
              <w:rPr>
                <w:rFonts w:cs="Arial"/>
                <w:szCs w:val="21"/>
              </w:rPr>
              <w:t>Chef de Service Technique /Direction Provinciale de l'ACE / Kongo Central</w:t>
            </w:r>
          </w:p>
        </w:tc>
        <w:tc>
          <w:tcPr>
            <w:tcW w:w="3127" w:type="dxa"/>
            <w:tcBorders>
              <w:top w:val="nil"/>
              <w:left w:val="nil"/>
              <w:bottom w:val="single" w:sz="4" w:space="0" w:color="auto"/>
              <w:right w:val="single" w:sz="4" w:space="0" w:color="auto"/>
            </w:tcBorders>
            <w:shd w:val="clear" w:color="auto" w:fill="auto"/>
            <w:vAlign w:val="center"/>
            <w:hideMark/>
          </w:tcPr>
          <w:p w14:paraId="645C65D4" w14:textId="77777777" w:rsidR="009021F1" w:rsidRPr="00D579BE" w:rsidRDefault="009021F1" w:rsidP="00E637E3">
            <w:pPr>
              <w:spacing w:line="240" w:lineRule="auto"/>
              <w:jc w:val="left"/>
              <w:rPr>
                <w:rFonts w:cs="Arial"/>
                <w:szCs w:val="21"/>
              </w:rPr>
            </w:pPr>
            <w:r w:rsidRPr="00D579BE">
              <w:rPr>
                <w:rFonts w:cs="Arial"/>
                <w:szCs w:val="21"/>
              </w:rPr>
              <w:t>0892460989</w:t>
            </w:r>
          </w:p>
        </w:tc>
      </w:tr>
      <w:tr w:rsidR="009021F1" w:rsidRPr="00D579BE" w14:paraId="0ED13180" w14:textId="77777777" w:rsidTr="00E637E3">
        <w:trPr>
          <w:trHeight w:val="580"/>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7A7CF900" w14:textId="77777777" w:rsidR="009021F1" w:rsidRPr="00D579BE" w:rsidRDefault="009021F1" w:rsidP="00E637E3">
            <w:pPr>
              <w:spacing w:line="240" w:lineRule="auto"/>
              <w:jc w:val="center"/>
              <w:rPr>
                <w:rFonts w:cs="Arial"/>
                <w:szCs w:val="21"/>
              </w:rPr>
            </w:pPr>
            <w:r w:rsidRPr="00D579BE">
              <w:rPr>
                <w:rFonts w:cs="Arial"/>
                <w:szCs w:val="21"/>
              </w:rPr>
              <w:t>10</w:t>
            </w:r>
          </w:p>
        </w:tc>
        <w:tc>
          <w:tcPr>
            <w:tcW w:w="3011" w:type="dxa"/>
            <w:tcBorders>
              <w:top w:val="nil"/>
              <w:left w:val="nil"/>
              <w:bottom w:val="single" w:sz="4" w:space="0" w:color="auto"/>
              <w:right w:val="single" w:sz="4" w:space="0" w:color="auto"/>
            </w:tcBorders>
            <w:shd w:val="clear" w:color="auto" w:fill="auto"/>
            <w:vAlign w:val="center"/>
            <w:hideMark/>
          </w:tcPr>
          <w:p w14:paraId="27696A1D" w14:textId="77777777" w:rsidR="009021F1" w:rsidRPr="00D579BE" w:rsidRDefault="009021F1" w:rsidP="00E637E3">
            <w:pPr>
              <w:spacing w:line="240" w:lineRule="auto"/>
              <w:jc w:val="left"/>
              <w:rPr>
                <w:rFonts w:cs="Arial"/>
                <w:szCs w:val="21"/>
              </w:rPr>
            </w:pPr>
            <w:r w:rsidRPr="00D579BE">
              <w:rPr>
                <w:rFonts w:cs="Arial"/>
                <w:szCs w:val="21"/>
              </w:rPr>
              <w:t>Claude NYONGOLO</w:t>
            </w:r>
          </w:p>
        </w:tc>
        <w:tc>
          <w:tcPr>
            <w:tcW w:w="3723" w:type="dxa"/>
            <w:tcBorders>
              <w:top w:val="nil"/>
              <w:left w:val="nil"/>
              <w:bottom w:val="single" w:sz="4" w:space="0" w:color="auto"/>
              <w:right w:val="single" w:sz="4" w:space="0" w:color="auto"/>
            </w:tcBorders>
            <w:shd w:val="clear" w:color="auto" w:fill="auto"/>
            <w:vAlign w:val="center"/>
            <w:hideMark/>
          </w:tcPr>
          <w:p w14:paraId="1218B0C8" w14:textId="77777777" w:rsidR="009021F1" w:rsidRPr="00D579BE" w:rsidRDefault="009021F1" w:rsidP="00E637E3">
            <w:pPr>
              <w:spacing w:line="240" w:lineRule="auto"/>
              <w:jc w:val="left"/>
              <w:rPr>
                <w:rFonts w:cs="Arial"/>
                <w:szCs w:val="21"/>
              </w:rPr>
            </w:pPr>
            <w:r w:rsidRPr="00D579BE">
              <w:rPr>
                <w:rFonts w:cs="Arial"/>
                <w:szCs w:val="21"/>
              </w:rPr>
              <w:t>Ched de Service Technique /Direction Provinciale de l'ACE / Nord-Kivu</w:t>
            </w:r>
          </w:p>
        </w:tc>
        <w:tc>
          <w:tcPr>
            <w:tcW w:w="3127" w:type="dxa"/>
            <w:tcBorders>
              <w:top w:val="nil"/>
              <w:left w:val="nil"/>
              <w:bottom w:val="single" w:sz="4" w:space="0" w:color="auto"/>
              <w:right w:val="single" w:sz="4" w:space="0" w:color="auto"/>
            </w:tcBorders>
            <w:shd w:val="clear" w:color="auto" w:fill="auto"/>
            <w:vAlign w:val="center"/>
            <w:hideMark/>
          </w:tcPr>
          <w:p w14:paraId="58429EC1" w14:textId="77777777" w:rsidR="009021F1" w:rsidRPr="00D579BE" w:rsidRDefault="009021F1" w:rsidP="00E637E3">
            <w:pPr>
              <w:spacing w:line="240" w:lineRule="auto"/>
              <w:jc w:val="left"/>
              <w:rPr>
                <w:rFonts w:cs="Arial"/>
                <w:szCs w:val="21"/>
              </w:rPr>
            </w:pPr>
            <w:r w:rsidRPr="00D579BE">
              <w:rPr>
                <w:rFonts w:cs="Arial"/>
                <w:szCs w:val="21"/>
              </w:rPr>
              <w:t>0970615913</w:t>
            </w:r>
          </w:p>
        </w:tc>
      </w:tr>
      <w:tr w:rsidR="009021F1" w:rsidRPr="00D579BE" w14:paraId="72B02CF8" w14:textId="77777777" w:rsidTr="00E637E3">
        <w:trPr>
          <w:trHeight w:val="320"/>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0A64B7BF" w14:textId="77777777" w:rsidR="009021F1" w:rsidRPr="00D579BE" w:rsidRDefault="009021F1" w:rsidP="00E637E3">
            <w:pPr>
              <w:spacing w:line="240" w:lineRule="auto"/>
              <w:jc w:val="center"/>
              <w:rPr>
                <w:rFonts w:cs="Arial"/>
                <w:szCs w:val="21"/>
              </w:rPr>
            </w:pPr>
            <w:r w:rsidRPr="00D579BE">
              <w:rPr>
                <w:rFonts w:cs="Arial"/>
                <w:szCs w:val="21"/>
              </w:rPr>
              <w:t>11</w:t>
            </w:r>
          </w:p>
        </w:tc>
        <w:tc>
          <w:tcPr>
            <w:tcW w:w="3011" w:type="dxa"/>
            <w:tcBorders>
              <w:top w:val="nil"/>
              <w:left w:val="nil"/>
              <w:bottom w:val="single" w:sz="4" w:space="0" w:color="auto"/>
              <w:right w:val="single" w:sz="4" w:space="0" w:color="auto"/>
            </w:tcBorders>
            <w:shd w:val="clear" w:color="auto" w:fill="auto"/>
            <w:vAlign w:val="center"/>
            <w:hideMark/>
          </w:tcPr>
          <w:p w14:paraId="54E9CF5C" w14:textId="77777777" w:rsidR="009021F1" w:rsidRPr="00D579BE" w:rsidRDefault="009021F1" w:rsidP="00E637E3">
            <w:pPr>
              <w:spacing w:line="240" w:lineRule="auto"/>
              <w:jc w:val="left"/>
              <w:rPr>
                <w:rFonts w:cs="Arial"/>
                <w:szCs w:val="21"/>
              </w:rPr>
            </w:pPr>
            <w:r w:rsidRPr="00D579BE">
              <w:rPr>
                <w:rFonts w:cs="Arial"/>
                <w:szCs w:val="21"/>
              </w:rPr>
              <w:t>Alexis NDALIHORANDA</w:t>
            </w:r>
          </w:p>
        </w:tc>
        <w:tc>
          <w:tcPr>
            <w:tcW w:w="3723" w:type="dxa"/>
            <w:tcBorders>
              <w:top w:val="nil"/>
              <w:left w:val="nil"/>
              <w:bottom w:val="single" w:sz="4" w:space="0" w:color="auto"/>
              <w:right w:val="single" w:sz="4" w:space="0" w:color="auto"/>
            </w:tcBorders>
            <w:shd w:val="clear" w:color="auto" w:fill="auto"/>
            <w:vAlign w:val="center"/>
            <w:hideMark/>
          </w:tcPr>
          <w:p w14:paraId="28C4E65F" w14:textId="77777777" w:rsidR="009021F1" w:rsidRPr="00D579BE" w:rsidRDefault="009021F1" w:rsidP="00E637E3">
            <w:pPr>
              <w:spacing w:line="240" w:lineRule="auto"/>
              <w:jc w:val="left"/>
              <w:rPr>
                <w:rFonts w:cs="Arial"/>
                <w:szCs w:val="21"/>
              </w:rPr>
            </w:pPr>
            <w:r w:rsidRPr="00D579BE">
              <w:rPr>
                <w:rFonts w:cs="Arial"/>
                <w:szCs w:val="21"/>
              </w:rPr>
              <w:t>Chef de Division Urbaine / Nord-Kivu</w:t>
            </w:r>
          </w:p>
        </w:tc>
        <w:tc>
          <w:tcPr>
            <w:tcW w:w="3127" w:type="dxa"/>
            <w:tcBorders>
              <w:top w:val="nil"/>
              <w:left w:val="nil"/>
              <w:bottom w:val="single" w:sz="4" w:space="0" w:color="auto"/>
              <w:right w:val="single" w:sz="4" w:space="0" w:color="auto"/>
            </w:tcBorders>
            <w:shd w:val="clear" w:color="auto" w:fill="auto"/>
            <w:vAlign w:val="center"/>
            <w:hideMark/>
          </w:tcPr>
          <w:p w14:paraId="24C69E35" w14:textId="77777777" w:rsidR="009021F1" w:rsidRPr="00D579BE" w:rsidRDefault="009021F1" w:rsidP="00E637E3">
            <w:pPr>
              <w:spacing w:line="240" w:lineRule="auto"/>
              <w:jc w:val="left"/>
              <w:rPr>
                <w:rFonts w:cs="Arial"/>
                <w:szCs w:val="21"/>
              </w:rPr>
            </w:pPr>
            <w:r w:rsidRPr="00D579BE">
              <w:rPr>
                <w:rFonts w:cs="Arial"/>
                <w:szCs w:val="21"/>
              </w:rPr>
              <w:t>0992589947</w:t>
            </w:r>
          </w:p>
        </w:tc>
      </w:tr>
      <w:tr w:rsidR="009021F1" w:rsidRPr="00D579BE" w14:paraId="48716276" w14:textId="77777777" w:rsidTr="00E637E3">
        <w:trPr>
          <w:trHeight w:val="580"/>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6BBA1E80" w14:textId="77777777" w:rsidR="009021F1" w:rsidRPr="00D579BE" w:rsidRDefault="009021F1" w:rsidP="00E637E3">
            <w:pPr>
              <w:spacing w:line="240" w:lineRule="auto"/>
              <w:jc w:val="center"/>
              <w:rPr>
                <w:rFonts w:cs="Arial"/>
                <w:szCs w:val="21"/>
              </w:rPr>
            </w:pPr>
            <w:r w:rsidRPr="00D579BE">
              <w:rPr>
                <w:rFonts w:cs="Arial"/>
                <w:szCs w:val="21"/>
              </w:rPr>
              <w:t>12</w:t>
            </w:r>
          </w:p>
        </w:tc>
        <w:tc>
          <w:tcPr>
            <w:tcW w:w="3011" w:type="dxa"/>
            <w:tcBorders>
              <w:top w:val="nil"/>
              <w:left w:val="nil"/>
              <w:bottom w:val="single" w:sz="4" w:space="0" w:color="auto"/>
              <w:right w:val="single" w:sz="4" w:space="0" w:color="auto"/>
            </w:tcBorders>
            <w:shd w:val="clear" w:color="auto" w:fill="auto"/>
            <w:vAlign w:val="center"/>
            <w:hideMark/>
          </w:tcPr>
          <w:p w14:paraId="5E3110CE" w14:textId="77777777" w:rsidR="009021F1" w:rsidRPr="00D579BE" w:rsidRDefault="009021F1" w:rsidP="00E637E3">
            <w:pPr>
              <w:spacing w:line="240" w:lineRule="auto"/>
              <w:jc w:val="left"/>
              <w:rPr>
                <w:rFonts w:cs="Arial"/>
                <w:szCs w:val="21"/>
              </w:rPr>
            </w:pPr>
            <w:r w:rsidRPr="00D579BE">
              <w:rPr>
                <w:rFonts w:cs="Arial"/>
                <w:szCs w:val="21"/>
              </w:rPr>
              <w:t>Jean-Marie MADIKANI MUNGALA</w:t>
            </w:r>
          </w:p>
        </w:tc>
        <w:tc>
          <w:tcPr>
            <w:tcW w:w="3723" w:type="dxa"/>
            <w:tcBorders>
              <w:top w:val="nil"/>
              <w:left w:val="nil"/>
              <w:bottom w:val="single" w:sz="4" w:space="0" w:color="auto"/>
              <w:right w:val="single" w:sz="4" w:space="0" w:color="auto"/>
            </w:tcBorders>
            <w:shd w:val="clear" w:color="auto" w:fill="auto"/>
            <w:vAlign w:val="center"/>
            <w:hideMark/>
          </w:tcPr>
          <w:p w14:paraId="1B5E95DD" w14:textId="77777777" w:rsidR="009021F1" w:rsidRPr="00D579BE" w:rsidRDefault="009021F1" w:rsidP="00E637E3">
            <w:pPr>
              <w:spacing w:line="240" w:lineRule="auto"/>
              <w:jc w:val="left"/>
              <w:rPr>
                <w:rFonts w:cs="Arial"/>
                <w:szCs w:val="21"/>
              </w:rPr>
            </w:pPr>
            <w:r w:rsidRPr="00D579BE">
              <w:rPr>
                <w:rFonts w:cs="Arial"/>
                <w:szCs w:val="21"/>
              </w:rPr>
              <w:t>Coordonnateur Provincial de l'Environnement /Kwilu</w:t>
            </w:r>
          </w:p>
        </w:tc>
        <w:tc>
          <w:tcPr>
            <w:tcW w:w="3127" w:type="dxa"/>
            <w:tcBorders>
              <w:top w:val="nil"/>
              <w:left w:val="nil"/>
              <w:bottom w:val="single" w:sz="4" w:space="0" w:color="auto"/>
              <w:right w:val="single" w:sz="4" w:space="0" w:color="auto"/>
            </w:tcBorders>
            <w:shd w:val="clear" w:color="auto" w:fill="auto"/>
            <w:vAlign w:val="center"/>
            <w:hideMark/>
          </w:tcPr>
          <w:p w14:paraId="16A80FC3" w14:textId="77777777" w:rsidR="009021F1" w:rsidRPr="00D579BE" w:rsidRDefault="009021F1" w:rsidP="00E637E3">
            <w:pPr>
              <w:spacing w:line="240" w:lineRule="auto"/>
              <w:jc w:val="left"/>
              <w:rPr>
                <w:rFonts w:cs="Arial"/>
                <w:szCs w:val="21"/>
              </w:rPr>
            </w:pPr>
            <w:r w:rsidRPr="00D579BE">
              <w:rPr>
                <w:rFonts w:cs="Arial"/>
                <w:szCs w:val="21"/>
              </w:rPr>
              <w:t>0816766884</w:t>
            </w:r>
          </w:p>
        </w:tc>
      </w:tr>
      <w:tr w:rsidR="009021F1" w:rsidRPr="00D579BE" w14:paraId="6B25A910" w14:textId="77777777" w:rsidTr="00E637E3">
        <w:trPr>
          <w:trHeight w:val="580"/>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40DB32AB" w14:textId="77777777" w:rsidR="009021F1" w:rsidRPr="00D579BE" w:rsidRDefault="009021F1" w:rsidP="00E637E3">
            <w:pPr>
              <w:spacing w:line="240" w:lineRule="auto"/>
              <w:jc w:val="center"/>
              <w:rPr>
                <w:rFonts w:cs="Arial"/>
                <w:szCs w:val="21"/>
              </w:rPr>
            </w:pPr>
            <w:r w:rsidRPr="00D579BE">
              <w:rPr>
                <w:rFonts w:cs="Arial"/>
                <w:szCs w:val="21"/>
              </w:rPr>
              <w:t>13</w:t>
            </w:r>
          </w:p>
        </w:tc>
        <w:tc>
          <w:tcPr>
            <w:tcW w:w="3011" w:type="dxa"/>
            <w:tcBorders>
              <w:top w:val="nil"/>
              <w:left w:val="nil"/>
              <w:bottom w:val="single" w:sz="4" w:space="0" w:color="auto"/>
              <w:right w:val="single" w:sz="4" w:space="0" w:color="auto"/>
            </w:tcBorders>
            <w:shd w:val="clear" w:color="auto" w:fill="auto"/>
            <w:vAlign w:val="center"/>
            <w:hideMark/>
          </w:tcPr>
          <w:p w14:paraId="34338FE1" w14:textId="77777777" w:rsidR="009021F1" w:rsidRPr="00D579BE" w:rsidRDefault="009021F1" w:rsidP="00E637E3">
            <w:pPr>
              <w:spacing w:line="240" w:lineRule="auto"/>
              <w:jc w:val="left"/>
              <w:rPr>
                <w:rFonts w:cs="Arial"/>
                <w:szCs w:val="21"/>
              </w:rPr>
            </w:pPr>
            <w:r w:rsidRPr="00D579BE">
              <w:rPr>
                <w:rFonts w:cs="Arial"/>
                <w:szCs w:val="21"/>
              </w:rPr>
              <w:t>Patrice LUKUNYI KALALA</w:t>
            </w:r>
          </w:p>
        </w:tc>
        <w:tc>
          <w:tcPr>
            <w:tcW w:w="3723" w:type="dxa"/>
            <w:tcBorders>
              <w:top w:val="nil"/>
              <w:left w:val="nil"/>
              <w:bottom w:val="single" w:sz="4" w:space="0" w:color="auto"/>
              <w:right w:val="single" w:sz="4" w:space="0" w:color="auto"/>
            </w:tcBorders>
            <w:shd w:val="clear" w:color="auto" w:fill="auto"/>
            <w:vAlign w:val="center"/>
            <w:hideMark/>
          </w:tcPr>
          <w:p w14:paraId="392388B3" w14:textId="77777777" w:rsidR="009021F1" w:rsidRPr="00D579BE" w:rsidRDefault="009021F1" w:rsidP="00E637E3">
            <w:pPr>
              <w:spacing w:line="240" w:lineRule="auto"/>
              <w:jc w:val="left"/>
              <w:rPr>
                <w:rFonts w:cs="Arial"/>
                <w:szCs w:val="21"/>
              </w:rPr>
            </w:pPr>
            <w:r w:rsidRPr="00D579BE">
              <w:rPr>
                <w:rFonts w:cs="Arial"/>
                <w:szCs w:val="21"/>
              </w:rPr>
              <w:t xml:space="preserve">Coordonnateur Provincial de l’Environnement / Kasaï </w:t>
            </w:r>
          </w:p>
        </w:tc>
        <w:tc>
          <w:tcPr>
            <w:tcW w:w="3127" w:type="dxa"/>
            <w:tcBorders>
              <w:top w:val="nil"/>
              <w:left w:val="nil"/>
              <w:bottom w:val="single" w:sz="4" w:space="0" w:color="auto"/>
              <w:right w:val="single" w:sz="4" w:space="0" w:color="auto"/>
            </w:tcBorders>
            <w:shd w:val="clear" w:color="auto" w:fill="auto"/>
            <w:vAlign w:val="center"/>
            <w:hideMark/>
          </w:tcPr>
          <w:p w14:paraId="23400C54" w14:textId="77777777" w:rsidR="009021F1" w:rsidRPr="00D579BE" w:rsidRDefault="009021F1" w:rsidP="00E637E3">
            <w:pPr>
              <w:spacing w:line="240" w:lineRule="auto"/>
              <w:jc w:val="left"/>
              <w:rPr>
                <w:rFonts w:cs="Arial"/>
                <w:szCs w:val="21"/>
              </w:rPr>
            </w:pPr>
            <w:r w:rsidRPr="00D579BE">
              <w:rPr>
                <w:rFonts w:cs="Arial"/>
                <w:szCs w:val="21"/>
              </w:rPr>
              <w:t>0998099172/ 817276840</w:t>
            </w:r>
          </w:p>
        </w:tc>
      </w:tr>
      <w:tr w:rsidR="009021F1" w:rsidRPr="00D579BE" w14:paraId="216E3086" w14:textId="77777777" w:rsidTr="00E637E3">
        <w:trPr>
          <w:trHeight w:val="580"/>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1ED3ADA5" w14:textId="77777777" w:rsidR="009021F1" w:rsidRPr="00D579BE" w:rsidRDefault="009021F1" w:rsidP="00E637E3">
            <w:pPr>
              <w:spacing w:line="240" w:lineRule="auto"/>
              <w:jc w:val="center"/>
              <w:rPr>
                <w:rFonts w:cs="Arial"/>
                <w:szCs w:val="21"/>
              </w:rPr>
            </w:pPr>
            <w:r w:rsidRPr="00D579BE">
              <w:rPr>
                <w:rFonts w:cs="Arial"/>
                <w:szCs w:val="21"/>
              </w:rPr>
              <w:t>14</w:t>
            </w:r>
          </w:p>
        </w:tc>
        <w:tc>
          <w:tcPr>
            <w:tcW w:w="3011" w:type="dxa"/>
            <w:tcBorders>
              <w:top w:val="nil"/>
              <w:left w:val="nil"/>
              <w:bottom w:val="single" w:sz="4" w:space="0" w:color="auto"/>
              <w:right w:val="single" w:sz="4" w:space="0" w:color="auto"/>
            </w:tcBorders>
            <w:shd w:val="clear" w:color="auto" w:fill="auto"/>
            <w:vAlign w:val="center"/>
            <w:hideMark/>
          </w:tcPr>
          <w:p w14:paraId="39B95CE5" w14:textId="77777777" w:rsidR="009021F1" w:rsidRPr="00D579BE" w:rsidRDefault="009021F1" w:rsidP="00E637E3">
            <w:pPr>
              <w:spacing w:line="240" w:lineRule="auto"/>
              <w:jc w:val="left"/>
              <w:rPr>
                <w:rFonts w:cs="Arial"/>
                <w:szCs w:val="21"/>
              </w:rPr>
            </w:pPr>
            <w:r w:rsidRPr="00D579BE">
              <w:rPr>
                <w:rFonts w:cs="Arial"/>
                <w:szCs w:val="21"/>
              </w:rPr>
              <w:t xml:space="preserve">Honoré WULAMBA </w:t>
            </w:r>
          </w:p>
        </w:tc>
        <w:tc>
          <w:tcPr>
            <w:tcW w:w="3723" w:type="dxa"/>
            <w:tcBorders>
              <w:top w:val="nil"/>
              <w:left w:val="nil"/>
              <w:bottom w:val="single" w:sz="4" w:space="0" w:color="auto"/>
              <w:right w:val="single" w:sz="4" w:space="0" w:color="auto"/>
            </w:tcBorders>
            <w:shd w:val="clear" w:color="auto" w:fill="auto"/>
            <w:vAlign w:val="center"/>
            <w:hideMark/>
          </w:tcPr>
          <w:p w14:paraId="172DA1BF" w14:textId="77777777" w:rsidR="009021F1" w:rsidRPr="00D579BE" w:rsidRDefault="009021F1" w:rsidP="00E637E3">
            <w:pPr>
              <w:spacing w:line="240" w:lineRule="auto"/>
              <w:jc w:val="left"/>
              <w:rPr>
                <w:rFonts w:cs="Arial"/>
                <w:szCs w:val="21"/>
              </w:rPr>
            </w:pPr>
            <w:r w:rsidRPr="00D579BE">
              <w:rPr>
                <w:rFonts w:cs="Arial"/>
                <w:szCs w:val="21"/>
              </w:rPr>
              <w:t>Chef de Division Pèche et Élevage / Kasaï</w:t>
            </w:r>
          </w:p>
        </w:tc>
        <w:tc>
          <w:tcPr>
            <w:tcW w:w="3127" w:type="dxa"/>
            <w:tcBorders>
              <w:top w:val="nil"/>
              <w:left w:val="nil"/>
              <w:bottom w:val="single" w:sz="4" w:space="0" w:color="auto"/>
              <w:right w:val="single" w:sz="4" w:space="0" w:color="auto"/>
            </w:tcBorders>
            <w:shd w:val="clear" w:color="auto" w:fill="auto"/>
            <w:vAlign w:val="center"/>
            <w:hideMark/>
          </w:tcPr>
          <w:p w14:paraId="4CA2ED16" w14:textId="77777777" w:rsidR="009021F1" w:rsidRPr="00D579BE" w:rsidRDefault="009021F1" w:rsidP="00E637E3">
            <w:pPr>
              <w:spacing w:line="240" w:lineRule="auto"/>
              <w:jc w:val="left"/>
              <w:rPr>
                <w:rFonts w:cs="Arial"/>
                <w:szCs w:val="21"/>
              </w:rPr>
            </w:pPr>
            <w:r w:rsidRPr="00D579BE">
              <w:rPr>
                <w:rFonts w:cs="Arial"/>
                <w:szCs w:val="21"/>
              </w:rPr>
              <w:t>0998600237</w:t>
            </w:r>
          </w:p>
        </w:tc>
      </w:tr>
      <w:tr w:rsidR="009021F1" w:rsidRPr="00D579BE" w14:paraId="0C0AA112" w14:textId="77777777" w:rsidTr="00E637E3">
        <w:trPr>
          <w:trHeight w:val="455"/>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1B483BC1" w14:textId="77777777" w:rsidR="009021F1" w:rsidRPr="00D579BE" w:rsidRDefault="009021F1" w:rsidP="00E637E3">
            <w:pPr>
              <w:spacing w:line="240" w:lineRule="auto"/>
              <w:jc w:val="center"/>
              <w:rPr>
                <w:rFonts w:cs="Arial"/>
                <w:szCs w:val="21"/>
              </w:rPr>
            </w:pPr>
            <w:r w:rsidRPr="00D579BE">
              <w:rPr>
                <w:rFonts w:cs="Arial"/>
                <w:szCs w:val="21"/>
              </w:rPr>
              <w:t>15</w:t>
            </w:r>
          </w:p>
        </w:tc>
        <w:tc>
          <w:tcPr>
            <w:tcW w:w="3011" w:type="dxa"/>
            <w:tcBorders>
              <w:top w:val="nil"/>
              <w:left w:val="nil"/>
              <w:bottom w:val="single" w:sz="4" w:space="0" w:color="auto"/>
              <w:right w:val="single" w:sz="4" w:space="0" w:color="auto"/>
            </w:tcBorders>
            <w:shd w:val="clear" w:color="auto" w:fill="auto"/>
            <w:vAlign w:val="center"/>
            <w:hideMark/>
          </w:tcPr>
          <w:p w14:paraId="3D2921FF" w14:textId="77777777" w:rsidR="009021F1" w:rsidRPr="00D579BE" w:rsidRDefault="009021F1" w:rsidP="00E637E3">
            <w:pPr>
              <w:spacing w:line="240" w:lineRule="auto"/>
              <w:jc w:val="left"/>
              <w:rPr>
                <w:rFonts w:cs="Arial"/>
                <w:szCs w:val="21"/>
              </w:rPr>
            </w:pPr>
            <w:r w:rsidRPr="00D579BE">
              <w:rPr>
                <w:rFonts w:cs="Arial"/>
                <w:szCs w:val="21"/>
              </w:rPr>
              <w:t>Albert SAMBAYI</w:t>
            </w:r>
          </w:p>
        </w:tc>
        <w:tc>
          <w:tcPr>
            <w:tcW w:w="3723" w:type="dxa"/>
            <w:tcBorders>
              <w:top w:val="nil"/>
              <w:left w:val="nil"/>
              <w:bottom w:val="single" w:sz="4" w:space="0" w:color="auto"/>
              <w:right w:val="single" w:sz="4" w:space="0" w:color="auto"/>
            </w:tcBorders>
            <w:shd w:val="clear" w:color="auto" w:fill="auto"/>
            <w:vAlign w:val="center"/>
            <w:hideMark/>
          </w:tcPr>
          <w:p w14:paraId="6E0A0708" w14:textId="77777777" w:rsidR="009021F1" w:rsidRPr="00D579BE" w:rsidRDefault="009021F1" w:rsidP="00E637E3">
            <w:pPr>
              <w:spacing w:line="240" w:lineRule="auto"/>
              <w:jc w:val="left"/>
              <w:rPr>
                <w:rFonts w:cs="Arial"/>
                <w:szCs w:val="21"/>
              </w:rPr>
            </w:pPr>
            <w:r w:rsidRPr="00D579BE">
              <w:rPr>
                <w:rFonts w:cs="Arial"/>
                <w:szCs w:val="21"/>
              </w:rPr>
              <w:t>Inspecteur Provincial de l'Agriculture / Kwilu</w:t>
            </w:r>
          </w:p>
        </w:tc>
        <w:tc>
          <w:tcPr>
            <w:tcW w:w="3127" w:type="dxa"/>
            <w:tcBorders>
              <w:top w:val="nil"/>
              <w:left w:val="nil"/>
              <w:bottom w:val="single" w:sz="4" w:space="0" w:color="auto"/>
              <w:right w:val="single" w:sz="4" w:space="0" w:color="auto"/>
            </w:tcBorders>
            <w:shd w:val="clear" w:color="auto" w:fill="auto"/>
            <w:vAlign w:val="center"/>
            <w:hideMark/>
          </w:tcPr>
          <w:p w14:paraId="11BC9E1E" w14:textId="77777777" w:rsidR="009021F1" w:rsidRPr="00D579BE" w:rsidRDefault="009021F1" w:rsidP="00E637E3">
            <w:pPr>
              <w:spacing w:line="240" w:lineRule="auto"/>
              <w:jc w:val="left"/>
              <w:rPr>
                <w:rFonts w:cs="Arial"/>
                <w:szCs w:val="21"/>
              </w:rPr>
            </w:pPr>
            <w:r w:rsidRPr="00D579BE">
              <w:rPr>
                <w:rFonts w:cs="Arial"/>
                <w:szCs w:val="21"/>
              </w:rPr>
              <w:t>816586820</w:t>
            </w:r>
          </w:p>
        </w:tc>
      </w:tr>
      <w:tr w:rsidR="009021F1" w:rsidRPr="00D579BE" w14:paraId="0AA7D71B" w14:textId="77777777" w:rsidTr="00E637E3">
        <w:trPr>
          <w:trHeight w:val="435"/>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0ED1DD8C" w14:textId="77777777" w:rsidR="009021F1" w:rsidRPr="00D579BE" w:rsidRDefault="009021F1" w:rsidP="00E637E3">
            <w:pPr>
              <w:spacing w:line="240" w:lineRule="auto"/>
              <w:jc w:val="center"/>
              <w:rPr>
                <w:rFonts w:cs="Arial"/>
                <w:szCs w:val="21"/>
              </w:rPr>
            </w:pPr>
            <w:r w:rsidRPr="00D579BE">
              <w:rPr>
                <w:rFonts w:cs="Arial"/>
                <w:szCs w:val="21"/>
              </w:rPr>
              <w:t>16</w:t>
            </w:r>
          </w:p>
        </w:tc>
        <w:tc>
          <w:tcPr>
            <w:tcW w:w="3011" w:type="dxa"/>
            <w:tcBorders>
              <w:top w:val="nil"/>
              <w:left w:val="nil"/>
              <w:bottom w:val="single" w:sz="4" w:space="0" w:color="auto"/>
              <w:right w:val="single" w:sz="4" w:space="0" w:color="auto"/>
            </w:tcBorders>
            <w:shd w:val="clear" w:color="auto" w:fill="auto"/>
            <w:vAlign w:val="center"/>
            <w:hideMark/>
          </w:tcPr>
          <w:p w14:paraId="242D0B91" w14:textId="77777777" w:rsidR="009021F1" w:rsidRPr="00D579BE" w:rsidRDefault="009021F1" w:rsidP="00E637E3">
            <w:pPr>
              <w:spacing w:line="240" w:lineRule="auto"/>
              <w:jc w:val="left"/>
              <w:rPr>
                <w:rFonts w:cs="Arial"/>
                <w:szCs w:val="21"/>
              </w:rPr>
            </w:pPr>
            <w:r w:rsidRPr="00D579BE">
              <w:rPr>
                <w:rFonts w:cs="Arial"/>
                <w:szCs w:val="21"/>
              </w:rPr>
              <w:t>Ir Didier SEBEBIMI MAZINA</w:t>
            </w:r>
          </w:p>
        </w:tc>
        <w:tc>
          <w:tcPr>
            <w:tcW w:w="3723" w:type="dxa"/>
            <w:tcBorders>
              <w:top w:val="nil"/>
              <w:left w:val="nil"/>
              <w:bottom w:val="single" w:sz="4" w:space="0" w:color="auto"/>
              <w:right w:val="single" w:sz="4" w:space="0" w:color="auto"/>
            </w:tcBorders>
            <w:shd w:val="clear" w:color="auto" w:fill="auto"/>
            <w:vAlign w:val="center"/>
            <w:hideMark/>
          </w:tcPr>
          <w:p w14:paraId="6F218CFE" w14:textId="77777777" w:rsidR="009021F1" w:rsidRPr="00D579BE" w:rsidRDefault="009021F1" w:rsidP="00E637E3">
            <w:pPr>
              <w:spacing w:line="240" w:lineRule="auto"/>
              <w:jc w:val="left"/>
              <w:rPr>
                <w:rFonts w:cs="Arial"/>
                <w:szCs w:val="21"/>
              </w:rPr>
            </w:pPr>
            <w:r w:rsidRPr="00D579BE">
              <w:rPr>
                <w:rFonts w:cs="Arial"/>
                <w:szCs w:val="21"/>
              </w:rPr>
              <w:t>Inspecteur Provincial de l'Agriculture / Kwilu</w:t>
            </w:r>
          </w:p>
        </w:tc>
        <w:tc>
          <w:tcPr>
            <w:tcW w:w="3127" w:type="dxa"/>
            <w:tcBorders>
              <w:top w:val="nil"/>
              <w:left w:val="nil"/>
              <w:bottom w:val="single" w:sz="4" w:space="0" w:color="auto"/>
              <w:right w:val="single" w:sz="4" w:space="0" w:color="auto"/>
            </w:tcBorders>
            <w:shd w:val="clear" w:color="auto" w:fill="auto"/>
            <w:vAlign w:val="center"/>
            <w:hideMark/>
          </w:tcPr>
          <w:p w14:paraId="752AEBE0" w14:textId="77777777" w:rsidR="009021F1" w:rsidRPr="00D579BE" w:rsidRDefault="009021F1" w:rsidP="00E637E3">
            <w:pPr>
              <w:spacing w:line="240" w:lineRule="auto"/>
              <w:jc w:val="left"/>
              <w:rPr>
                <w:rFonts w:cs="Arial"/>
                <w:szCs w:val="21"/>
              </w:rPr>
            </w:pPr>
            <w:r w:rsidRPr="00D579BE">
              <w:rPr>
                <w:rFonts w:cs="Arial"/>
                <w:szCs w:val="21"/>
              </w:rPr>
              <w:t>0817108100</w:t>
            </w:r>
          </w:p>
        </w:tc>
      </w:tr>
      <w:tr w:rsidR="009021F1" w:rsidRPr="00D579BE" w14:paraId="06EA5934" w14:textId="77777777" w:rsidTr="00E637E3">
        <w:trPr>
          <w:trHeight w:val="580"/>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63F3DB7B" w14:textId="77777777" w:rsidR="009021F1" w:rsidRPr="00D579BE" w:rsidRDefault="009021F1" w:rsidP="00E637E3">
            <w:pPr>
              <w:spacing w:line="240" w:lineRule="auto"/>
              <w:jc w:val="center"/>
              <w:rPr>
                <w:rFonts w:cs="Arial"/>
                <w:szCs w:val="21"/>
              </w:rPr>
            </w:pPr>
            <w:r w:rsidRPr="00D579BE">
              <w:rPr>
                <w:rFonts w:cs="Arial"/>
                <w:szCs w:val="21"/>
              </w:rPr>
              <w:t>17</w:t>
            </w:r>
          </w:p>
        </w:tc>
        <w:tc>
          <w:tcPr>
            <w:tcW w:w="3011" w:type="dxa"/>
            <w:tcBorders>
              <w:top w:val="nil"/>
              <w:left w:val="nil"/>
              <w:bottom w:val="single" w:sz="4" w:space="0" w:color="auto"/>
              <w:right w:val="single" w:sz="4" w:space="0" w:color="auto"/>
            </w:tcBorders>
            <w:shd w:val="clear" w:color="auto" w:fill="auto"/>
            <w:vAlign w:val="center"/>
            <w:hideMark/>
          </w:tcPr>
          <w:p w14:paraId="1D37F220" w14:textId="77777777" w:rsidR="009021F1" w:rsidRPr="00D579BE" w:rsidRDefault="009021F1" w:rsidP="00E637E3">
            <w:pPr>
              <w:spacing w:line="240" w:lineRule="auto"/>
              <w:jc w:val="left"/>
              <w:rPr>
                <w:rFonts w:cs="Arial"/>
                <w:szCs w:val="21"/>
              </w:rPr>
            </w:pPr>
            <w:r w:rsidRPr="00D579BE">
              <w:rPr>
                <w:rFonts w:cs="Arial"/>
                <w:szCs w:val="21"/>
              </w:rPr>
              <w:t>KIATOKO SOLI</w:t>
            </w:r>
          </w:p>
        </w:tc>
        <w:tc>
          <w:tcPr>
            <w:tcW w:w="3723" w:type="dxa"/>
            <w:tcBorders>
              <w:top w:val="nil"/>
              <w:left w:val="nil"/>
              <w:bottom w:val="single" w:sz="4" w:space="0" w:color="auto"/>
              <w:right w:val="single" w:sz="4" w:space="0" w:color="auto"/>
            </w:tcBorders>
            <w:shd w:val="clear" w:color="auto" w:fill="auto"/>
            <w:vAlign w:val="center"/>
            <w:hideMark/>
          </w:tcPr>
          <w:p w14:paraId="06507372" w14:textId="77777777" w:rsidR="009021F1" w:rsidRPr="00D579BE" w:rsidRDefault="009021F1" w:rsidP="00E637E3">
            <w:pPr>
              <w:spacing w:line="240" w:lineRule="auto"/>
              <w:jc w:val="left"/>
              <w:rPr>
                <w:rFonts w:cs="Arial"/>
                <w:szCs w:val="21"/>
              </w:rPr>
            </w:pPr>
            <w:r w:rsidRPr="00D579BE">
              <w:rPr>
                <w:rFonts w:cs="Arial"/>
                <w:szCs w:val="21"/>
              </w:rPr>
              <w:t>Inspecteur Provincial de l'Agriculture / Kongo Central</w:t>
            </w:r>
          </w:p>
        </w:tc>
        <w:tc>
          <w:tcPr>
            <w:tcW w:w="3127" w:type="dxa"/>
            <w:tcBorders>
              <w:top w:val="nil"/>
              <w:left w:val="nil"/>
              <w:bottom w:val="single" w:sz="4" w:space="0" w:color="auto"/>
              <w:right w:val="single" w:sz="4" w:space="0" w:color="auto"/>
            </w:tcBorders>
            <w:shd w:val="clear" w:color="auto" w:fill="auto"/>
            <w:vAlign w:val="center"/>
            <w:hideMark/>
          </w:tcPr>
          <w:p w14:paraId="57698A45" w14:textId="77777777" w:rsidR="009021F1" w:rsidRPr="00D579BE" w:rsidRDefault="009021F1" w:rsidP="00E637E3">
            <w:pPr>
              <w:spacing w:line="240" w:lineRule="auto"/>
              <w:jc w:val="left"/>
              <w:rPr>
                <w:rFonts w:cs="Arial"/>
                <w:szCs w:val="21"/>
              </w:rPr>
            </w:pPr>
            <w:r w:rsidRPr="00D579BE">
              <w:rPr>
                <w:rFonts w:cs="Arial"/>
                <w:szCs w:val="21"/>
              </w:rPr>
              <w:t> -</w:t>
            </w:r>
          </w:p>
        </w:tc>
      </w:tr>
      <w:tr w:rsidR="009021F1" w:rsidRPr="00D579BE" w14:paraId="5C6B09ED" w14:textId="77777777" w:rsidTr="00E637E3">
        <w:trPr>
          <w:trHeight w:val="580"/>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676CD516" w14:textId="77777777" w:rsidR="009021F1" w:rsidRPr="00D579BE" w:rsidRDefault="009021F1" w:rsidP="00E637E3">
            <w:pPr>
              <w:spacing w:line="240" w:lineRule="auto"/>
              <w:jc w:val="center"/>
              <w:rPr>
                <w:rFonts w:cs="Arial"/>
                <w:szCs w:val="21"/>
              </w:rPr>
            </w:pPr>
            <w:r w:rsidRPr="00D579BE">
              <w:rPr>
                <w:rFonts w:cs="Arial"/>
                <w:szCs w:val="21"/>
              </w:rPr>
              <w:t>18</w:t>
            </w:r>
          </w:p>
        </w:tc>
        <w:tc>
          <w:tcPr>
            <w:tcW w:w="3011" w:type="dxa"/>
            <w:tcBorders>
              <w:top w:val="nil"/>
              <w:left w:val="nil"/>
              <w:bottom w:val="single" w:sz="4" w:space="0" w:color="auto"/>
              <w:right w:val="single" w:sz="4" w:space="0" w:color="auto"/>
            </w:tcBorders>
            <w:shd w:val="clear" w:color="auto" w:fill="auto"/>
            <w:vAlign w:val="center"/>
            <w:hideMark/>
          </w:tcPr>
          <w:p w14:paraId="5537ABD8" w14:textId="77777777" w:rsidR="009021F1" w:rsidRPr="00D579BE" w:rsidRDefault="009021F1" w:rsidP="00E637E3">
            <w:pPr>
              <w:spacing w:line="240" w:lineRule="auto"/>
              <w:jc w:val="left"/>
              <w:rPr>
                <w:rFonts w:cs="Arial"/>
                <w:szCs w:val="21"/>
              </w:rPr>
            </w:pPr>
            <w:r w:rsidRPr="00D579BE">
              <w:rPr>
                <w:rFonts w:cs="Arial"/>
                <w:szCs w:val="21"/>
              </w:rPr>
              <w:t>KAPITEN BONSO</w:t>
            </w:r>
          </w:p>
        </w:tc>
        <w:tc>
          <w:tcPr>
            <w:tcW w:w="3723" w:type="dxa"/>
            <w:tcBorders>
              <w:top w:val="nil"/>
              <w:left w:val="nil"/>
              <w:bottom w:val="single" w:sz="4" w:space="0" w:color="auto"/>
              <w:right w:val="single" w:sz="4" w:space="0" w:color="auto"/>
            </w:tcBorders>
            <w:shd w:val="clear" w:color="auto" w:fill="auto"/>
            <w:vAlign w:val="center"/>
            <w:hideMark/>
          </w:tcPr>
          <w:p w14:paraId="53C86B2A" w14:textId="77777777" w:rsidR="009021F1" w:rsidRPr="00D579BE" w:rsidRDefault="009021F1" w:rsidP="00E637E3">
            <w:pPr>
              <w:spacing w:line="240" w:lineRule="auto"/>
              <w:jc w:val="left"/>
              <w:rPr>
                <w:rFonts w:cs="Arial"/>
                <w:szCs w:val="21"/>
              </w:rPr>
            </w:pPr>
            <w:r w:rsidRPr="00D579BE">
              <w:rPr>
                <w:rFonts w:cs="Arial"/>
                <w:szCs w:val="21"/>
              </w:rPr>
              <w:t>Inspecteur Provincial de Développement Rural / Kwilu</w:t>
            </w:r>
          </w:p>
        </w:tc>
        <w:tc>
          <w:tcPr>
            <w:tcW w:w="3127" w:type="dxa"/>
            <w:tcBorders>
              <w:top w:val="nil"/>
              <w:left w:val="nil"/>
              <w:bottom w:val="single" w:sz="4" w:space="0" w:color="auto"/>
              <w:right w:val="single" w:sz="4" w:space="0" w:color="auto"/>
            </w:tcBorders>
            <w:shd w:val="clear" w:color="auto" w:fill="auto"/>
            <w:vAlign w:val="center"/>
            <w:hideMark/>
          </w:tcPr>
          <w:p w14:paraId="4AC40119" w14:textId="77777777" w:rsidR="009021F1" w:rsidRPr="00D579BE" w:rsidRDefault="009021F1" w:rsidP="00E637E3">
            <w:pPr>
              <w:spacing w:line="240" w:lineRule="auto"/>
              <w:jc w:val="left"/>
              <w:rPr>
                <w:rFonts w:cs="Arial"/>
                <w:szCs w:val="21"/>
              </w:rPr>
            </w:pPr>
            <w:r w:rsidRPr="00D579BE">
              <w:rPr>
                <w:rFonts w:cs="Arial"/>
                <w:szCs w:val="21"/>
              </w:rPr>
              <w:t>0816437228</w:t>
            </w:r>
          </w:p>
        </w:tc>
      </w:tr>
      <w:tr w:rsidR="009021F1" w:rsidRPr="00D579BE" w14:paraId="0E0D9862" w14:textId="77777777" w:rsidTr="00E637E3">
        <w:trPr>
          <w:trHeight w:val="580"/>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1168ADE1" w14:textId="77777777" w:rsidR="009021F1" w:rsidRPr="00D579BE" w:rsidRDefault="009021F1" w:rsidP="00E637E3">
            <w:pPr>
              <w:spacing w:line="240" w:lineRule="auto"/>
              <w:jc w:val="center"/>
              <w:rPr>
                <w:rFonts w:cs="Arial"/>
                <w:szCs w:val="21"/>
              </w:rPr>
            </w:pPr>
            <w:r w:rsidRPr="00D579BE">
              <w:rPr>
                <w:rFonts w:cs="Arial"/>
                <w:szCs w:val="21"/>
              </w:rPr>
              <w:t>19</w:t>
            </w:r>
          </w:p>
        </w:tc>
        <w:tc>
          <w:tcPr>
            <w:tcW w:w="3011" w:type="dxa"/>
            <w:tcBorders>
              <w:top w:val="nil"/>
              <w:left w:val="nil"/>
              <w:bottom w:val="single" w:sz="4" w:space="0" w:color="auto"/>
              <w:right w:val="single" w:sz="4" w:space="0" w:color="auto"/>
            </w:tcBorders>
            <w:shd w:val="clear" w:color="auto" w:fill="auto"/>
            <w:vAlign w:val="center"/>
            <w:hideMark/>
          </w:tcPr>
          <w:p w14:paraId="77E34FFA" w14:textId="77777777" w:rsidR="009021F1" w:rsidRPr="00D579BE" w:rsidRDefault="009021F1" w:rsidP="00E637E3">
            <w:pPr>
              <w:spacing w:line="240" w:lineRule="auto"/>
              <w:jc w:val="left"/>
              <w:rPr>
                <w:rFonts w:cs="Arial"/>
                <w:szCs w:val="21"/>
              </w:rPr>
            </w:pPr>
            <w:r w:rsidRPr="00D579BE">
              <w:rPr>
                <w:rFonts w:cs="Arial"/>
                <w:szCs w:val="21"/>
              </w:rPr>
              <w:t>Anicet NZIMBUKILA</w:t>
            </w:r>
          </w:p>
        </w:tc>
        <w:tc>
          <w:tcPr>
            <w:tcW w:w="3723" w:type="dxa"/>
            <w:tcBorders>
              <w:top w:val="nil"/>
              <w:left w:val="nil"/>
              <w:bottom w:val="single" w:sz="4" w:space="0" w:color="auto"/>
              <w:right w:val="single" w:sz="4" w:space="0" w:color="auto"/>
            </w:tcBorders>
            <w:shd w:val="clear" w:color="auto" w:fill="auto"/>
            <w:vAlign w:val="center"/>
            <w:hideMark/>
          </w:tcPr>
          <w:p w14:paraId="66800F59" w14:textId="77777777" w:rsidR="009021F1" w:rsidRPr="00D579BE" w:rsidRDefault="009021F1" w:rsidP="00E637E3">
            <w:pPr>
              <w:spacing w:line="240" w:lineRule="auto"/>
              <w:jc w:val="left"/>
              <w:rPr>
                <w:rFonts w:cs="Arial"/>
                <w:szCs w:val="21"/>
              </w:rPr>
            </w:pPr>
            <w:r w:rsidRPr="00D579BE">
              <w:rPr>
                <w:rFonts w:cs="Arial"/>
                <w:szCs w:val="21"/>
              </w:rPr>
              <w:t>Coordonnateur Provincial SENASEM / Kongo Central</w:t>
            </w:r>
          </w:p>
        </w:tc>
        <w:tc>
          <w:tcPr>
            <w:tcW w:w="3127" w:type="dxa"/>
            <w:tcBorders>
              <w:top w:val="nil"/>
              <w:left w:val="nil"/>
              <w:bottom w:val="single" w:sz="4" w:space="0" w:color="auto"/>
              <w:right w:val="single" w:sz="4" w:space="0" w:color="auto"/>
            </w:tcBorders>
            <w:shd w:val="clear" w:color="auto" w:fill="auto"/>
            <w:vAlign w:val="center"/>
            <w:hideMark/>
          </w:tcPr>
          <w:p w14:paraId="59D9A7F7" w14:textId="77777777" w:rsidR="009021F1" w:rsidRPr="00D579BE" w:rsidRDefault="009021F1" w:rsidP="00E637E3">
            <w:pPr>
              <w:spacing w:line="240" w:lineRule="auto"/>
              <w:jc w:val="left"/>
              <w:rPr>
                <w:rFonts w:cs="Arial"/>
                <w:szCs w:val="21"/>
              </w:rPr>
            </w:pPr>
            <w:r w:rsidRPr="00D579BE">
              <w:rPr>
                <w:rFonts w:cs="Arial"/>
                <w:szCs w:val="21"/>
              </w:rPr>
              <w:t>0855798586</w:t>
            </w:r>
          </w:p>
        </w:tc>
      </w:tr>
      <w:tr w:rsidR="009021F1" w:rsidRPr="00D579BE" w14:paraId="61B6A14C" w14:textId="77777777" w:rsidTr="00E637E3">
        <w:trPr>
          <w:trHeight w:val="580"/>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3A9B9F6C" w14:textId="77777777" w:rsidR="009021F1" w:rsidRPr="00D579BE" w:rsidRDefault="009021F1" w:rsidP="00E637E3">
            <w:pPr>
              <w:spacing w:line="240" w:lineRule="auto"/>
              <w:jc w:val="center"/>
              <w:rPr>
                <w:rFonts w:cs="Arial"/>
                <w:szCs w:val="21"/>
              </w:rPr>
            </w:pPr>
            <w:r w:rsidRPr="00D579BE">
              <w:rPr>
                <w:rFonts w:cs="Arial"/>
                <w:szCs w:val="21"/>
              </w:rPr>
              <w:t>20</w:t>
            </w:r>
          </w:p>
        </w:tc>
        <w:tc>
          <w:tcPr>
            <w:tcW w:w="3011" w:type="dxa"/>
            <w:tcBorders>
              <w:top w:val="nil"/>
              <w:left w:val="nil"/>
              <w:bottom w:val="single" w:sz="4" w:space="0" w:color="auto"/>
              <w:right w:val="single" w:sz="4" w:space="0" w:color="auto"/>
            </w:tcBorders>
            <w:shd w:val="clear" w:color="auto" w:fill="auto"/>
            <w:vAlign w:val="center"/>
            <w:hideMark/>
          </w:tcPr>
          <w:p w14:paraId="7F3FD86F" w14:textId="77777777" w:rsidR="009021F1" w:rsidRPr="00D579BE" w:rsidRDefault="009021F1" w:rsidP="00E637E3">
            <w:pPr>
              <w:spacing w:line="240" w:lineRule="auto"/>
              <w:jc w:val="left"/>
              <w:rPr>
                <w:rFonts w:cs="Arial"/>
                <w:szCs w:val="21"/>
              </w:rPr>
            </w:pPr>
            <w:r w:rsidRPr="00D579BE">
              <w:rPr>
                <w:rFonts w:cs="Arial"/>
                <w:szCs w:val="21"/>
              </w:rPr>
              <w:t>TEMBO KASEKWA</w:t>
            </w:r>
          </w:p>
        </w:tc>
        <w:tc>
          <w:tcPr>
            <w:tcW w:w="3723" w:type="dxa"/>
            <w:tcBorders>
              <w:top w:val="nil"/>
              <w:left w:val="nil"/>
              <w:bottom w:val="single" w:sz="4" w:space="0" w:color="auto"/>
              <w:right w:val="single" w:sz="4" w:space="0" w:color="auto"/>
            </w:tcBorders>
            <w:shd w:val="clear" w:color="auto" w:fill="auto"/>
            <w:vAlign w:val="center"/>
            <w:hideMark/>
          </w:tcPr>
          <w:p w14:paraId="4F5F113C" w14:textId="77777777" w:rsidR="009021F1" w:rsidRPr="00D579BE" w:rsidRDefault="009021F1" w:rsidP="00E637E3">
            <w:pPr>
              <w:spacing w:line="240" w:lineRule="auto"/>
              <w:jc w:val="left"/>
              <w:rPr>
                <w:rFonts w:cs="Arial"/>
                <w:szCs w:val="21"/>
              </w:rPr>
            </w:pPr>
            <w:r w:rsidRPr="00D579BE">
              <w:rPr>
                <w:rFonts w:cs="Arial"/>
                <w:szCs w:val="21"/>
              </w:rPr>
              <w:t>Coordonnateur Provincial SENASEM / Nord Kivu</w:t>
            </w:r>
          </w:p>
        </w:tc>
        <w:tc>
          <w:tcPr>
            <w:tcW w:w="3127" w:type="dxa"/>
            <w:tcBorders>
              <w:top w:val="nil"/>
              <w:left w:val="nil"/>
              <w:bottom w:val="single" w:sz="4" w:space="0" w:color="auto"/>
              <w:right w:val="single" w:sz="4" w:space="0" w:color="auto"/>
            </w:tcBorders>
            <w:shd w:val="clear" w:color="auto" w:fill="auto"/>
            <w:vAlign w:val="center"/>
            <w:hideMark/>
          </w:tcPr>
          <w:p w14:paraId="0D250ED4" w14:textId="77777777" w:rsidR="009021F1" w:rsidRPr="00D579BE" w:rsidRDefault="009021F1" w:rsidP="00E637E3">
            <w:pPr>
              <w:spacing w:line="240" w:lineRule="auto"/>
              <w:jc w:val="left"/>
              <w:rPr>
                <w:rFonts w:cs="Arial"/>
                <w:szCs w:val="21"/>
              </w:rPr>
            </w:pPr>
            <w:r w:rsidRPr="00D579BE">
              <w:rPr>
                <w:rFonts w:cs="Arial"/>
                <w:szCs w:val="21"/>
              </w:rPr>
              <w:t>0993899356</w:t>
            </w:r>
          </w:p>
        </w:tc>
      </w:tr>
      <w:tr w:rsidR="009021F1" w:rsidRPr="00D579BE" w14:paraId="37EA0152" w14:textId="77777777" w:rsidTr="00E637E3">
        <w:trPr>
          <w:trHeight w:val="580"/>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3656C8FC" w14:textId="77777777" w:rsidR="009021F1" w:rsidRPr="00D579BE" w:rsidRDefault="009021F1" w:rsidP="00E637E3">
            <w:pPr>
              <w:spacing w:line="240" w:lineRule="auto"/>
              <w:jc w:val="center"/>
              <w:rPr>
                <w:rFonts w:cs="Arial"/>
                <w:szCs w:val="21"/>
              </w:rPr>
            </w:pPr>
            <w:r w:rsidRPr="00D579BE">
              <w:rPr>
                <w:rFonts w:cs="Arial"/>
                <w:szCs w:val="21"/>
              </w:rPr>
              <w:t>21</w:t>
            </w:r>
          </w:p>
        </w:tc>
        <w:tc>
          <w:tcPr>
            <w:tcW w:w="3011" w:type="dxa"/>
            <w:tcBorders>
              <w:top w:val="nil"/>
              <w:left w:val="nil"/>
              <w:bottom w:val="single" w:sz="4" w:space="0" w:color="auto"/>
              <w:right w:val="single" w:sz="4" w:space="0" w:color="auto"/>
            </w:tcBorders>
            <w:shd w:val="clear" w:color="auto" w:fill="auto"/>
            <w:vAlign w:val="center"/>
            <w:hideMark/>
          </w:tcPr>
          <w:p w14:paraId="3A69465C" w14:textId="77777777" w:rsidR="009021F1" w:rsidRPr="00D579BE" w:rsidRDefault="009021F1" w:rsidP="00E637E3">
            <w:pPr>
              <w:spacing w:line="240" w:lineRule="auto"/>
              <w:jc w:val="left"/>
              <w:rPr>
                <w:rFonts w:cs="Arial"/>
                <w:szCs w:val="21"/>
              </w:rPr>
            </w:pPr>
            <w:r w:rsidRPr="00D579BE">
              <w:rPr>
                <w:rFonts w:cs="Arial"/>
                <w:szCs w:val="21"/>
              </w:rPr>
              <w:t>GUDALABUNA ROMAIN</w:t>
            </w:r>
          </w:p>
        </w:tc>
        <w:tc>
          <w:tcPr>
            <w:tcW w:w="3723" w:type="dxa"/>
            <w:tcBorders>
              <w:top w:val="nil"/>
              <w:left w:val="nil"/>
              <w:bottom w:val="single" w:sz="4" w:space="0" w:color="auto"/>
              <w:right w:val="single" w:sz="4" w:space="0" w:color="auto"/>
            </w:tcBorders>
            <w:shd w:val="clear" w:color="auto" w:fill="auto"/>
            <w:vAlign w:val="center"/>
            <w:hideMark/>
          </w:tcPr>
          <w:p w14:paraId="73BD16F4" w14:textId="77777777" w:rsidR="009021F1" w:rsidRPr="00D579BE" w:rsidRDefault="009021F1" w:rsidP="00E637E3">
            <w:pPr>
              <w:spacing w:line="240" w:lineRule="auto"/>
              <w:jc w:val="left"/>
              <w:rPr>
                <w:rFonts w:cs="Arial"/>
                <w:szCs w:val="21"/>
              </w:rPr>
            </w:pPr>
            <w:r w:rsidRPr="00D579BE">
              <w:rPr>
                <w:rFonts w:cs="Arial"/>
                <w:szCs w:val="21"/>
              </w:rPr>
              <w:t>Chef de Division Pêche et Elevage / Kwilu</w:t>
            </w:r>
          </w:p>
        </w:tc>
        <w:tc>
          <w:tcPr>
            <w:tcW w:w="3127" w:type="dxa"/>
            <w:tcBorders>
              <w:top w:val="nil"/>
              <w:left w:val="nil"/>
              <w:bottom w:val="single" w:sz="4" w:space="0" w:color="auto"/>
              <w:right w:val="single" w:sz="4" w:space="0" w:color="auto"/>
            </w:tcBorders>
            <w:shd w:val="clear" w:color="auto" w:fill="auto"/>
            <w:vAlign w:val="center"/>
            <w:hideMark/>
          </w:tcPr>
          <w:p w14:paraId="38267F2F" w14:textId="77777777" w:rsidR="009021F1" w:rsidRPr="00D579BE" w:rsidRDefault="009021F1" w:rsidP="00E637E3">
            <w:pPr>
              <w:spacing w:line="240" w:lineRule="auto"/>
              <w:jc w:val="left"/>
              <w:rPr>
                <w:rFonts w:cs="Arial"/>
                <w:szCs w:val="21"/>
              </w:rPr>
            </w:pPr>
            <w:r w:rsidRPr="00D579BE">
              <w:rPr>
                <w:rFonts w:cs="Arial"/>
                <w:szCs w:val="21"/>
              </w:rPr>
              <w:t>0812126950</w:t>
            </w:r>
          </w:p>
        </w:tc>
      </w:tr>
      <w:tr w:rsidR="009021F1" w:rsidRPr="00D579BE" w14:paraId="66BA20DE" w14:textId="77777777" w:rsidTr="00E637E3">
        <w:trPr>
          <w:trHeight w:val="580"/>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27417910" w14:textId="77777777" w:rsidR="009021F1" w:rsidRPr="00D579BE" w:rsidRDefault="009021F1" w:rsidP="00E637E3">
            <w:pPr>
              <w:spacing w:line="240" w:lineRule="auto"/>
              <w:jc w:val="center"/>
              <w:rPr>
                <w:rFonts w:cs="Arial"/>
                <w:szCs w:val="21"/>
              </w:rPr>
            </w:pPr>
            <w:r w:rsidRPr="00D579BE">
              <w:rPr>
                <w:rFonts w:cs="Arial"/>
                <w:szCs w:val="21"/>
              </w:rPr>
              <w:t>22</w:t>
            </w:r>
          </w:p>
        </w:tc>
        <w:tc>
          <w:tcPr>
            <w:tcW w:w="3011" w:type="dxa"/>
            <w:tcBorders>
              <w:top w:val="nil"/>
              <w:left w:val="nil"/>
              <w:bottom w:val="single" w:sz="4" w:space="0" w:color="auto"/>
              <w:right w:val="single" w:sz="4" w:space="0" w:color="auto"/>
            </w:tcBorders>
            <w:shd w:val="clear" w:color="auto" w:fill="auto"/>
            <w:vAlign w:val="center"/>
            <w:hideMark/>
          </w:tcPr>
          <w:p w14:paraId="15CE1F3A" w14:textId="77777777" w:rsidR="009021F1" w:rsidRPr="00D579BE" w:rsidRDefault="009021F1" w:rsidP="00E637E3">
            <w:pPr>
              <w:spacing w:line="240" w:lineRule="auto"/>
              <w:jc w:val="left"/>
              <w:rPr>
                <w:rFonts w:cs="Arial"/>
                <w:szCs w:val="21"/>
              </w:rPr>
            </w:pPr>
            <w:r w:rsidRPr="00D579BE">
              <w:rPr>
                <w:rFonts w:cs="Arial"/>
                <w:szCs w:val="21"/>
              </w:rPr>
              <w:t>Phanzu MBUMBA</w:t>
            </w:r>
          </w:p>
        </w:tc>
        <w:tc>
          <w:tcPr>
            <w:tcW w:w="3723" w:type="dxa"/>
            <w:tcBorders>
              <w:top w:val="nil"/>
              <w:left w:val="nil"/>
              <w:bottom w:val="single" w:sz="4" w:space="0" w:color="auto"/>
              <w:right w:val="single" w:sz="4" w:space="0" w:color="auto"/>
            </w:tcBorders>
            <w:shd w:val="clear" w:color="auto" w:fill="auto"/>
            <w:vAlign w:val="center"/>
            <w:hideMark/>
          </w:tcPr>
          <w:p w14:paraId="1F90A154" w14:textId="77777777" w:rsidR="009021F1" w:rsidRPr="00D579BE" w:rsidRDefault="009021F1" w:rsidP="00E637E3">
            <w:pPr>
              <w:spacing w:line="240" w:lineRule="auto"/>
              <w:jc w:val="left"/>
              <w:rPr>
                <w:rFonts w:cs="Arial"/>
                <w:szCs w:val="21"/>
              </w:rPr>
            </w:pPr>
            <w:r w:rsidRPr="00D579BE">
              <w:rPr>
                <w:rFonts w:cs="Arial"/>
                <w:szCs w:val="21"/>
              </w:rPr>
              <w:t>Chef de Division Pèche et Élevage / Kongo Central</w:t>
            </w:r>
          </w:p>
        </w:tc>
        <w:tc>
          <w:tcPr>
            <w:tcW w:w="3127" w:type="dxa"/>
            <w:tcBorders>
              <w:top w:val="nil"/>
              <w:left w:val="nil"/>
              <w:bottom w:val="single" w:sz="4" w:space="0" w:color="auto"/>
              <w:right w:val="single" w:sz="4" w:space="0" w:color="auto"/>
            </w:tcBorders>
            <w:shd w:val="clear" w:color="auto" w:fill="auto"/>
            <w:vAlign w:val="center"/>
            <w:hideMark/>
          </w:tcPr>
          <w:p w14:paraId="0A89E245" w14:textId="77777777" w:rsidR="009021F1" w:rsidRPr="00D579BE" w:rsidRDefault="009021F1" w:rsidP="00E637E3">
            <w:pPr>
              <w:spacing w:line="240" w:lineRule="auto"/>
              <w:jc w:val="left"/>
              <w:rPr>
                <w:rFonts w:cs="Arial"/>
                <w:szCs w:val="21"/>
              </w:rPr>
            </w:pPr>
            <w:r w:rsidRPr="00D579BE">
              <w:rPr>
                <w:rFonts w:cs="Arial"/>
                <w:szCs w:val="21"/>
              </w:rPr>
              <w:t>0898388802</w:t>
            </w:r>
          </w:p>
        </w:tc>
      </w:tr>
      <w:tr w:rsidR="009021F1" w:rsidRPr="00D579BE" w14:paraId="706D0F45" w14:textId="77777777" w:rsidTr="00E637E3">
        <w:trPr>
          <w:trHeight w:val="349"/>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0D8BE082" w14:textId="77777777" w:rsidR="009021F1" w:rsidRPr="00D579BE" w:rsidRDefault="009021F1" w:rsidP="00E637E3">
            <w:pPr>
              <w:spacing w:line="240" w:lineRule="auto"/>
              <w:jc w:val="center"/>
              <w:rPr>
                <w:rFonts w:cs="Arial"/>
                <w:szCs w:val="21"/>
              </w:rPr>
            </w:pPr>
            <w:r w:rsidRPr="00D579BE">
              <w:rPr>
                <w:rFonts w:cs="Arial"/>
                <w:szCs w:val="21"/>
              </w:rPr>
              <w:t>23</w:t>
            </w:r>
          </w:p>
        </w:tc>
        <w:tc>
          <w:tcPr>
            <w:tcW w:w="3011" w:type="dxa"/>
            <w:tcBorders>
              <w:top w:val="nil"/>
              <w:left w:val="nil"/>
              <w:bottom w:val="single" w:sz="4" w:space="0" w:color="auto"/>
              <w:right w:val="single" w:sz="4" w:space="0" w:color="auto"/>
            </w:tcBorders>
            <w:shd w:val="clear" w:color="auto" w:fill="auto"/>
            <w:vAlign w:val="center"/>
            <w:hideMark/>
          </w:tcPr>
          <w:p w14:paraId="4A30985E" w14:textId="77777777" w:rsidR="009021F1" w:rsidRPr="00D579BE" w:rsidRDefault="009021F1" w:rsidP="00E637E3">
            <w:pPr>
              <w:spacing w:line="240" w:lineRule="auto"/>
              <w:jc w:val="left"/>
              <w:rPr>
                <w:rFonts w:cs="Arial"/>
                <w:szCs w:val="21"/>
              </w:rPr>
            </w:pPr>
            <w:r w:rsidRPr="00D579BE">
              <w:rPr>
                <w:rFonts w:cs="Arial"/>
                <w:szCs w:val="21"/>
              </w:rPr>
              <w:t>BAKEBIMO KANDA</w:t>
            </w:r>
          </w:p>
        </w:tc>
        <w:tc>
          <w:tcPr>
            <w:tcW w:w="3723" w:type="dxa"/>
            <w:tcBorders>
              <w:top w:val="nil"/>
              <w:left w:val="nil"/>
              <w:bottom w:val="single" w:sz="4" w:space="0" w:color="auto"/>
              <w:right w:val="single" w:sz="4" w:space="0" w:color="auto"/>
            </w:tcBorders>
            <w:shd w:val="clear" w:color="auto" w:fill="auto"/>
            <w:vAlign w:val="center"/>
            <w:hideMark/>
          </w:tcPr>
          <w:p w14:paraId="45523061" w14:textId="77777777" w:rsidR="009021F1" w:rsidRPr="00D579BE" w:rsidRDefault="009021F1" w:rsidP="00E637E3">
            <w:pPr>
              <w:spacing w:line="240" w:lineRule="auto"/>
              <w:jc w:val="left"/>
              <w:rPr>
                <w:rFonts w:cs="Arial"/>
                <w:szCs w:val="21"/>
              </w:rPr>
            </w:pPr>
            <w:r w:rsidRPr="00D579BE">
              <w:rPr>
                <w:rFonts w:cs="Arial"/>
                <w:szCs w:val="21"/>
              </w:rPr>
              <w:t>Chef de Bureau Service Vétérinaire</w:t>
            </w:r>
          </w:p>
        </w:tc>
        <w:tc>
          <w:tcPr>
            <w:tcW w:w="3127" w:type="dxa"/>
            <w:tcBorders>
              <w:top w:val="nil"/>
              <w:left w:val="nil"/>
              <w:bottom w:val="single" w:sz="4" w:space="0" w:color="auto"/>
              <w:right w:val="single" w:sz="4" w:space="0" w:color="auto"/>
            </w:tcBorders>
            <w:shd w:val="clear" w:color="auto" w:fill="auto"/>
            <w:vAlign w:val="center"/>
            <w:hideMark/>
          </w:tcPr>
          <w:p w14:paraId="7D16D818" w14:textId="77777777" w:rsidR="009021F1" w:rsidRPr="00D579BE" w:rsidRDefault="009021F1" w:rsidP="00E637E3">
            <w:pPr>
              <w:spacing w:line="240" w:lineRule="auto"/>
              <w:jc w:val="left"/>
              <w:rPr>
                <w:rFonts w:cs="Arial"/>
                <w:szCs w:val="21"/>
              </w:rPr>
            </w:pPr>
            <w:r w:rsidRPr="00D579BE">
              <w:rPr>
                <w:rFonts w:cs="Arial"/>
                <w:szCs w:val="21"/>
              </w:rPr>
              <w:t>0899128620</w:t>
            </w:r>
          </w:p>
        </w:tc>
      </w:tr>
      <w:tr w:rsidR="009021F1" w:rsidRPr="00D579BE" w14:paraId="484D571E" w14:textId="77777777" w:rsidTr="00E637E3">
        <w:trPr>
          <w:trHeight w:val="425"/>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22EFC254" w14:textId="77777777" w:rsidR="009021F1" w:rsidRPr="00D579BE" w:rsidRDefault="009021F1" w:rsidP="00E637E3">
            <w:pPr>
              <w:spacing w:line="240" w:lineRule="auto"/>
              <w:jc w:val="center"/>
              <w:rPr>
                <w:rFonts w:cs="Arial"/>
                <w:szCs w:val="21"/>
              </w:rPr>
            </w:pPr>
            <w:r w:rsidRPr="00D579BE">
              <w:rPr>
                <w:rFonts w:cs="Arial"/>
                <w:szCs w:val="21"/>
              </w:rPr>
              <w:t>24</w:t>
            </w:r>
          </w:p>
        </w:tc>
        <w:tc>
          <w:tcPr>
            <w:tcW w:w="3011" w:type="dxa"/>
            <w:tcBorders>
              <w:top w:val="nil"/>
              <w:left w:val="nil"/>
              <w:bottom w:val="single" w:sz="4" w:space="0" w:color="auto"/>
              <w:right w:val="single" w:sz="4" w:space="0" w:color="auto"/>
            </w:tcBorders>
            <w:shd w:val="clear" w:color="auto" w:fill="auto"/>
            <w:vAlign w:val="center"/>
            <w:hideMark/>
          </w:tcPr>
          <w:p w14:paraId="62FED885" w14:textId="77777777" w:rsidR="009021F1" w:rsidRPr="00D579BE" w:rsidRDefault="009021F1" w:rsidP="00E637E3">
            <w:pPr>
              <w:spacing w:line="240" w:lineRule="auto"/>
              <w:jc w:val="left"/>
              <w:rPr>
                <w:rFonts w:cs="Arial"/>
                <w:szCs w:val="21"/>
              </w:rPr>
            </w:pPr>
            <w:r w:rsidRPr="00D579BE">
              <w:rPr>
                <w:rFonts w:cs="Arial"/>
                <w:szCs w:val="21"/>
              </w:rPr>
              <w:t>Robert KAMBALE MANYANI</w:t>
            </w:r>
          </w:p>
        </w:tc>
        <w:tc>
          <w:tcPr>
            <w:tcW w:w="3723" w:type="dxa"/>
            <w:tcBorders>
              <w:top w:val="nil"/>
              <w:left w:val="nil"/>
              <w:bottom w:val="single" w:sz="4" w:space="0" w:color="auto"/>
              <w:right w:val="single" w:sz="4" w:space="0" w:color="auto"/>
            </w:tcBorders>
            <w:shd w:val="clear" w:color="auto" w:fill="auto"/>
            <w:vAlign w:val="center"/>
            <w:hideMark/>
          </w:tcPr>
          <w:p w14:paraId="65C55582" w14:textId="77777777" w:rsidR="009021F1" w:rsidRPr="00D579BE" w:rsidRDefault="009021F1" w:rsidP="00E637E3">
            <w:pPr>
              <w:spacing w:line="240" w:lineRule="auto"/>
              <w:jc w:val="left"/>
              <w:rPr>
                <w:rFonts w:cs="Arial"/>
                <w:szCs w:val="21"/>
              </w:rPr>
            </w:pPr>
            <w:r w:rsidRPr="00D579BE">
              <w:rPr>
                <w:rFonts w:cs="Arial"/>
                <w:szCs w:val="21"/>
              </w:rPr>
              <w:t>Ir Coordonnateur DVDA / Nord-Kivu</w:t>
            </w:r>
          </w:p>
        </w:tc>
        <w:tc>
          <w:tcPr>
            <w:tcW w:w="3127" w:type="dxa"/>
            <w:tcBorders>
              <w:top w:val="nil"/>
              <w:left w:val="nil"/>
              <w:bottom w:val="single" w:sz="4" w:space="0" w:color="auto"/>
              <w:right w:val="single" w:sz="4" w:space="0" w:color="auto"/>
            </w:tcBorders>
            <w:shd w:val="clear" w:color="auto" w:fill="auto"/>
            <w:vAlign w:val="center"/>
            <w:hideMark/>
          </w:tcPr>
          <w:p w14:paraId="5E6E4B58" w14:textId="77777777" w:rsidR="009021F1" w:rsidRPr="00D579BE" w:rsidRDefault="009021F1" w:rsidP="00E637E3">
            <w:pPr>
              <w:spacing w:line="240" w:lineRule="auto"/>
              <w:jc w:val="left"/>
              <w:rPr>
                <w:rFonts w:cs="Arial"/>
                <w:szCs w:val="21"/>
              </w:rPr>
            </w:pPr>
            <w:r w:rsidRPr="00D579BE">
              <w:rPr>
                <w:rFonts w:cs="Arial"/>
                <w:szCs w:val="21"/>
              </w:rPr>
              <w:t>0990573582</w:t>
            </w:r>
          </w:p>
        </w:tc>
      </w:tr>
      <w:tr w:rsidR="009021F1" w:rsidRPr="00D579BE" w14:paraId="1E5E4BC6" w14:textId="77777777" w:rsidTr="00E637E3">
        <w:trPr>
          <w:trHeight w:val="510"/>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5A14062B" w14:textId="77777777" w:rsidR="009021F1" w:rsidRPr="00D579BE" w:rsidRDefault="009021F1" w:rsidP="00E637E3">
            <w:pPr>
              <w:spacing w:line="240" w:lineRule="auto"/>
              <w:jc w:val="center"/>
              <w:rPr>
                <w:rFonts w:cs="Arial"/>
                <w:szCs w:val="21"/>
              </w:rPr>
            </w:pPr>
            <w:r w:rsidRPr="00D579BE">
              <w:rPr>
                <w:rFonts w:cs="Arial"/>
                <w:szCs w:val="21"/>
              </w:rPr>
              <w:t>25</w:t>
            </w:r>
          </w:p>
        </w:tc>
        <w:tc>
          <w:tcPr>
            <w:tcW w:w="3011" w:type="dxa"/>
            <w:tcBorders>
              <w:top w:val="nil"/>
              <w:left w:val="nil"/>
              <w:bottom w:val="single" w:sz="4" w:space="0" w:color="auto"/>
              <w:right w:val="single" w:sz="4" w:space="0" w:color="auto"/>
            </w:tcBorders>
            <w:shd w:val="clear" w:color="auto" w:fill="auto"/>
            <w:vAlign w:val="center"/>
            <w:hideMark/>
          </w:tcPr>
          <w:p w14:paraId="4D3D8B84" w14:textId="77777777" w:rsidR="009021F1" w:rsidRPr="00D579BE" w:rsidRDefault="009021F1" w:rsidP="00E637E3">
            <w:pPr>
              <w:spacing w:line="240" w:lineRule="auto"/>
              <w:jc w:val="left"/>
              <w:rPr>
                <w:rFonts w:cs="Arial"/>
                <w:szCs w:val="21"/>
              </w:rPr>
            </w:pPr>
            <w:r w:rsidRPr="00D579BE">
              <w:rPr>
                <w:rFonts w:cs="Arial"/>
                <w:szCs w:val="21"/>
              </w:rPr>
              <w:t>Jérôme Casimir WANGU</w:t>
            </w:r>
          </w:p>
        </w:tc>
        <w:tc>
          <w:tcPr>
            <w:tcW w:w="3723" w:type="dxa"/>
            <w:tcBorders>
              <w:top w:val="nil"/>
              <w:left w:val="nil"/>
              <w:bottom w:val="single" w:sz="4" w:space="0" w:color="auto"/>
              <w:right w:val="single" w:sz="4" w:space="0" w:color="auto"/>
            </w:tcBorders>
            <w:shd w:val="clear" w:color="auto" w:fill="auto"/>
            <w:vAlign w:val="center"/>
            <w:hideMark/>
          </w:tcPr>
          <w:p w14:paraId="4D1E365F" w14:textId="77777777" w:rsidR="009021F1" w:rsidRPr="00D579BE" w:rsidRDefault="009021F1" w:rsidP="00E637E3">
            <w:pPr>
              <w:spacing w:line="240" w:lineRule="auto"/>
              <w:jc w:val="left"/>
              <w:rPr>
                <w:rFonts w:cs="Arial"/>
                <w:szCs w:val="21"/>
              </w:rPr>
            </w:pPr>
            <w:r w:rsidRPr="00D579BE">
              <w:rPr>
                <w:rFonts w:cs="Arial"/>
                <w:szCs w:val="21"/>
              </w:rPr>
              <w:t>Directeur Administratif et Financier DVDA / Kongo Central</w:t>
            </w:r>
          </w:p>
        </w:tc>
        <w:tc>
          <w:tcPr>
            <w:tcW w:w="3127" w:type="dxa"/>
            <w:tcBorders>
              <w:top w:val="nil"/>
              <w:left w:val="nil"/>
              <w:bottom w:val="single" w:sz="4" w:space="0" w:color="auto"/>
              <w:right w:val="single" w:sz="4" w:space="0" w:color="auto"/>
            </w:tcBorders>
            <w:shd w:val="clear" w:color="auto" w:fill="auto"/>
            <w:vAlign w:val="center"/>
            <w:hideMark/>
          </w:tcPr>
          <w:p w14:paraId="1B18B82D" w14:textId="77777777" w:rsidR="009021F1" w:rsidRPr="00D579BE" w:rsidRDefault="009021F1" w:rsidP="00E637E3">
            <w:pPr>
              <w:spacing w:line="240" w:lineRule="auto"/>
              <w:jc w:val="left"/>
              <w:rPr>
                <w:rFonts w:cs="Arial"/>
                <w:szCs w:val="21"/>
              </w:rPr>
            </w:pPr>
            <w:r w:rsidRPr="00D579BE">
              <w:rPr>
                <w:rFonts w:cs="Arial"/>
                <w:szCs w:val="21"/>
              </w:rPr>
              <w:t>0855705821</w:t>
            </w:r>
          </w:p>
        </w:tc>
      </w:tr>
      <w:tr w:rsidR="009021F1" w:rsidRPr="00D579BE" w14:paraId="53AA0CE9" w14:textId="77777777" w:rsidTr="00E637E3">
        <w:trPr>
          <w:trHeight w:val="510"/>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228DB1F7" w14:textId="77777777" w:rsidR="009021F1" w:rsidRPr="00D579BE" w:rsidRDefault="009021F1" w:rsidP="00E637E3">
            <w:pPr>
              <w:spacing w:line="240" w:lineRule="auto"/>
              <w:jc w:val="center"/>
              <w:rPr>
                <w:rFonts w:cs="Arial"/>
                <w:szCs w:val="21"/>
              </w:rPr>
            </w:pPr>
            <w:r w:rsidRPr="00D579BE">
              <w:rPr>
                <w:rFonts w:cs="Arial"/>
                <w:szCs w:val="21"/>
              </w:rPr>
              <w:t>26</w:t>
            </w:r>
          </w:p>
        </w:tc>
        <w:tc>
          <w:tcPr>
            <w:tcW w:w="3011" w:type="dxa"/>
            <w:tcBorders>
              <w:top w:val="nil"/>
              <w:left w:val="nil"/>
              <w:bottom w:val="single" w:sz="4" w:space="0" w:color="auto"/>
              <w:right w:val="single" w:sz="4" w:space="0" w:color="auto"/>
            </w:tcBorders>
            <w:shd w:val="clear" w:color="auto" w:fill="auto"/>
            <w:vAlign w:val="center"/>
            <w:hideMark/>
          </w:tcPr>
          <w:p w14:paraId="30F10BB3" w14:textId="77777777" w:rsidR="009021F1" w:rsidRPr="00D579BE" w:rsidRDefault="009021F1" w:rsidP="00E637E3">
            <w:pPr>
              <w:spacing w:line="240" w:lineRule="auto"/>
              <w:jc w:val="left"/>
              <w:rPr>
                <w:rFonts w:cs="Arial"/>
                <w:szCs w:val="21"/>
              </w:rPr>
            </w:pPr>
            <w:r w:rsidRPr="00D579BE">
              <w:rPr>
                <w:rFonts w:cs="Arial"/>
                <w:szCs w:val="21"/>
              </w:rPr>
              <w:t>Augustin KALAMBA UFILE</w:t>
            </w:r>
          </w:p>
        </w:tc>
        <w:tc>
          <w:tcPr>
            <w:tcW w:w="3723" w:type="dxa"/>
            <w:tcBorders>
              <w:top w:val="nil"/>
              <w:left w:val="nil"/>
              <w:bottom w:val="single" w:sz="4" w:space="0" w:color="auto"/>
              <w:right w:val="single" w:sz="4" w:space="0" w:color="auto"/>
            </w:tcBorders>
            <w:shd w:val="clear" w:color="auto" w:fill="auto"/>
            <w:vAlign w:val="center"/>
            <w:hideMark/>
          </w:tcPr>
          <w:p w14:paraId="2A5AA9FF" w14:textId="77777777" w:rsidR="009021F1" w:rsidRPr="00D579BE" w:rsidRDefault="009021F1" w:rsidP="00E637E3">
            <w:pPr>
              <w:spacing w:line="240" w:lineRule="auto"/>
              <w:jc w:val="left"/>
              <w:rPr>
                <w:rFonts w:cs="Arial"/>
                <w:szCs w:val="21"/>
              </w:rPr>
            </w:pPr>
            <w:r w:rsidRPr="00D579BE">
              <w:rPr>
                <w:rFonts w:cs="Arial"/>
                <w:szCs w:val="21"/>
              </w:rPr>
              <w:t>Chargé de SECAL ONG/Kasaï Central</w:t>
            </w:r>
          </w:p>
        </w:tc>
        <w:tc>
          <w:tcPr>
            <w:tcW w:w="3127" w:type="dxa"/>
            <w:tcBorders>
              <w:top w:val="nil"/>
              <w:left w:val="nil"/>
              <w:bottom w:val="single" w:sz="4" w:space="0" w:color="auto"/>
              <w:right w:val="single" w:sz="4" w:space="0" w:color="auto"/>
            </w:tcBorders>
            <w:shd w:val="clear" w:color="auto" w:fill="auto"/>
            <w:vAlign w:val="center"/>
            <w:hideMark/>
          </w:tcPr>
          <w:p w14:paraId="7338588D" w14:textId="77777777" w:rsidR="009021F1" w:rsidRPr="00D579BE" w:rsidRDefault="009021F1" w:rsidP="00E637E3">
            <w:pPr>
              <w:spacing w:line="240" w:lineRule="auto"/>
              <w:jc w:val="left"/>
              <w:rPr>
                <w:rFonts w:cs="Arial"/>
                <w:szCs w:val="21"/>
              </w:rPr>
            </w:pPr>
            <w:r w:rsidRPr="00D579BE">
              <w:rPr>
                <w:rFonts w:cs="Arial"/>
                <w:szCs w:val="21"/>
              </w:rPr>
              <w:t>0992376271 / 0818866533</w:t>
            </w:r>
          </w:p>
        </w:tc>
      </w:tr>
      <w:tr w:rsidR="009021F1" w:rsidRPr="00D579BE" w14:paraId="76E1E589" w14:textId="77777777" w:rsidTr="00E637E3">
        <w:trPr>
          <w:trHeight w:val="510"/>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3DBE31DE" w14:textId="77777777" w:rsidR="009021F1" w:rsidRPr="00D579BE" w:rsidRDefault="009021F1" w:rsidP="00E637E3">
            <w:pPr>
              <w:spacing w:line="240" w:lineRule="auto"/>
              <w:jc w:val="center"/>
              <w:rPr>
                <w:rFonts w:cs="Arial"/>
                <w:szCs w:val="21"/>
              </w:rPr>
            </w:pPr>
            <w:r w:rsidRPr="00D579BE">
              <w:rPr>
                <w:rFonts w:cs="Arial"/>
                <w:szCs w:val="21"/>
              </w:rPr>
              <w:t>27</w:t>
            </w:r>
          </w:p>
        </w:tc>
        <w:tc>
          <w:tcPr>
            <w:tcW w:w="3011" w:type="dxa"/>
            <w:tcBorders>
              <w:top w:val="nil"/>
              <w:left w:val="nil"/>
              <w:bottom w:val="single" w:sz="4" w:space="0" w:color="auto"/>
              <w:right w:val="single" w:sz="4" w:space="0" w:color="auto"/>
            </w:tcBorders>
            <w:shd w:val="clear" w:color="auto" w:fill="auto"/>
            <w:vAlign w:val="center"/>
            <w:hideMark/>
          </w:tcPr>
          <w:p w14:paraId="448BE8B7" w14:textId="77777777" w:rsidR="009021F1" w:rsidRPr="00D579BE" w:rsidRDefault="009021F1" w:rsidP="00E637E3">
            <w:pPr>
              <w:spacing w:line="240" w:lineRule="auto"/>
              <w:jc w:val="left"/>
              <w:rPr>
                <w:rFonts w:cs="Arial"/>
                <w:szCs w:val="21"/>
              </w:rPr>
            </w:pPr>
            <w:r w:rsidRPr="00D579BE">
              <w:rPr>
                <w:rFonts w:cs="Arial"/>
                <w:szCs w:val="21"/>
              </w:rPr>
              <w:t xml:space="preserve">Jean-Paul TUBAJIKA </w:t>
            </w:r>
          </w:p>
        </w:tc>
        <w:tc>
          <w:tcPr>
            <w:tcW w:w="3723" w:type="dxa"/>
            <w:tcBorders>
              <w:top w:val="nil"/>
              <w:left w:val="nil"/>
              <w:bottom w:val="single" w:sz="4" w:space="0" w:color="auto"/>
              <w:right w:val="single" w:sz="4" w:space="0" w:color="auto"/>
            </w:tcBorders>
            <w:shd w:val="clear" w:color="auto" w:fill="auto"/>
            <w:vAlign w:val="center"/>
            <w:hideMark/>
          </w:tcPr>
          <w:p w14:paraId="466B90DE" w14:textId="77777777" w:rsidR="009021F1" w:rsidRPr="00D579BE" w:rsidRDefault="009021F1" w:rsidP="00E637E3">
            <w:pPr>
              <w:spacing w:line="240" w:lineRule="auto"/>
              <w:jc w:val="left"/>
              <w:rPr>
                <w:rFonts w:cs="Arial"/>
                <w:szCs w:val="21"/>
              </w:rPr>
            </w:pPr>
            <w:r w:rsidRPr="00D579BE">
              <w:rPr>
                <w:rFonts w:cs="Arial"/>
                <w:szCs w:val="21"/>
              </w:rPr>
              <w:t>Chargé du social ONG AIDS/ONG / Kasaï Central</w:t>
            </w:r>
          </w:p>
        </w:tc>
        <w:tc>
          <w:tcPr>
            <w:tcW w:w="3127" w:type="dxa"/>
            <w:tcBorders>
              <w:top w:val="nil"/>
              <w:left w:val="nil"/>
              <w:bottom w:val="single" w:sz="4" w:space="0" w:color="auto"/>
              <w:right w:val="single" w:sz="4" w:space="0" w:color="auto"/>
            </w:tcBorders>
            <w:shd w:val="clear" w:color="auto" w:fill="auto"/>
            <w:vAlign w:val="center"/>
            <w:hideMark/>
          </w:tcPr>
          <w:p w14:paraId="27A16D11" w14:textId="77777777" w:rsidR="009021F1" w:rsidRPr="00D579BE" w:rsidRDefault="009021F1" w:rsidP="00E637E3">
            <w:pPr>
              <w:spacing w:line="240" w:lineRule="auto"/>
              <w:jc w:val="left"/>
              <w:rPr>
                <w:rFonts w:cs="Arial"/>
                <w:szCs w:val="21"/>
              </w:rPr>
            </w:pPr>
            <w:r w:rsidRPr="00D579BE">
              <w:rPr>
                <w:rFonts w:cs="Arial"/>
                <w:szCs w:val="21"/>
              </w:rPr>
              <w:t>0974602555 / 0826266764</w:t>
            </w:r>
          </w:p>
        </w:tc>
      </w:tr>
      <w:tr w:rsidR="009021F1" w:rsidRPr="00D579BE" w14:paraId="1B5BBFED" w14:textId="77777777" w:rsidTr="00E637E3">
        <w:trPr>
          <w:trHeight w:val="610"/>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532FBA18" w14:textId="77777777" w:rsidR="009021F1" w:rsidRPr="00D579BE" w:rsidRDefault="009021F1" w:rsidP="00E637E3">
            <w:pPr>
              <w:spacing w:line="240" w:lineRule="auto"/>
              <w:jc w:val="center"/>
              <w:rPr>
                <w:rFonts w:cs="Arial"/>
                <w:szCs w:val="21"/>
              </w:rPr>
            </w:pPr>
            <w:r w:rsidRPr="00D579BE">
              <w:rPr>
                <w:rFonts w:cs="Arial"/>
                <w:szCs w:val="21"/>
              </w:rPr>
              <w:t>28</w:t>
            </w:r>
          </w:p>
        </w:tc>
        <w:tc>
          <w:tcPr>
            <w:tcW w:w="3011" w:type="dxa"/>
            <w:tcBorders>
              <w:top w:val="nil"/>
              <w:left w:val="nil"/>
              <w:bottom w:val="single" w:sz="4" w:space="0" w:color="auto"/>
              <w:right w:val="single" w:sz="4" w:space="0" w:color="auto"/>
            </w:tcBorders>
            <w:shd w:val="clear" w:color="auto" w:fill="auto"/>
            <w:vAlign w:val="center"/>
            <w:hideMark/>
          </w:tcPr>
          <w:p w14:paraId="69031856" w14:textId="77777777" w:rsidR="009021F1" w:rsidRPr="00D579BE" w:rsidRDefault="009021F1" w:rsidP="00E637E3">
            <w:pPr>
              <w:spacing w:line="240" w:lineRule="auto"/>
              <w:jc w:val="left"/>
              <w:rPr>
                <w:rFonts w:cs="Arial"/>
                <w:szCs w:val="21"/>
              </w:rPr>
            </w:pPr>
            <w:r w:rsidRPr="00D579BE">
              <w:rPr>
                <w:rFonts w:cs="Arial"/>
                <w:szCs w:val="21"/>
              </w:rPr>
              <w:t>Rose BUKUMBA MAKABU</w:t>
            </w:r>
          </w:p>
        </w:tc>
        <w:tc>
          <w:tcPr>
            <w:tcW w:w="3723" w:type="dxa"/>
            <w:tcBorders>
              <w:top w:val="nil"/>
              <w:left w:val="nil"/>
              <w:bottom w:val="single" w:sz="4" w:space="0" w:color="auto"/>
              <w:right w:val="single" w:sz="4" w:space="0" w:color="auto"/>
            </w:tcBorders>
            <w:shd w:val="clear" w:color="auto" w:fill="auto"/>
            <w:vAlign w:val="center"/>
            <w:hideMark/>
          </w:tcPr>
          <w:p w14:paraId="36C9917B" w14:textId="77777777" w:rsidR="009021F1" w:rsidRPr="00D579BE" w:rsidRDefault="009021F1" w:rsidP="00E637E3">
            <w:pPr>
              <w:spacing w:line="240" w:lineRule="auto"/>
              <w:jc w:val="left"/>
              <w:rPr>
                <w:rFonts w:cs="Arial"/>
                <w:szCs w:val="21"/>
              </w:rPr>
            </w:pPr>
            <w:r w:rsidRPr="00D579BE">
              <w:rPr>
                <w:rFonts w:cs="Arial"/>
                <w:szCs w:val="21"/>
              </w:rPr>
              <w:t>Directrice ONG des femmes paysannes / Kasaï Central</w:t>
            </w:r>
          </w:p>
        </w:tc>
        <w:tc>
          <w:tcPr>
            <w:tcW w:w="3127" w:type="dxa"/>
            <w:tcBorders>
              <w:top w:val="nil"/>
              <w:left w:val="nil"/>
              <w:bottom w:val="single" w:sz="4" w:space="0" w:color="auto"/>
              <w:right w:val="single" w:sz="4" w:space="0" w:color="auto"/>
            </w:tcBorders>
            <w:shd w:val="clear" w:color="auto" w:fill="auto"/>
            <w:vAlign w:val="center"/>
            <w:hideMark/>
          </w:tcPr>
          <w:p w14:paraId="6DDEE749" w14:textId="77777777" w:rsidR="009021F1" w:rsidRPr="00D579BE" w:rsidRDefault="009021F1" w:rsidP="00E637E3">
            <w:pPr>
              <w:spacing w:line="240" w:lineRule="auto"/>
              <w:jc w:val="left"/>
              <w:rPr>
                <w:rFonts w:cs="Arial"/>
                <w:szCs w:val="21"/>
              </w:rPr>
            </w:pPr>
            <w:r w:rsidRPr="00D579BE">
              <w:rPr>
                <w:rFonts w:cs="Arial"/>
                <w:szCs w:val="21"/>
              </w:rPr>
              <w:t>0816036499 / 0994791980</w:t>
            </w:r>
          </w:p>
        </w:tc>
      </w:tr>
      <w:tr w:rsidR="009021F1" w:rsidRPr="00D579BE" w14:paraId="0B4D44FD" w14:textId="77777777" w:rsidTr="00E637E3">
        <w:trPr>
          <w:trHeight w:val="540"/>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29DEA9DC" w14:textId="77777777" w:rsidR="009021F1" w:rsidRPr="00D579BE" w:rsidRDefault="009021F1" w:rsidP="00E637E3">
            <w:pPr>
              <w:spacing w:line="240" w:lineRule="auto"/>
              <w:jc w:val="center"/>
              <w:rPr>
                <w:rFonts w:cs="Arial"/>
                <w:szCs w:val="21"/>
              </w:rPr>
            </w:pPr>
            <w:r w:rsidRPr="00D579BE">
              <w:rPr>
                <w:rFonts w:cs="Arial"/>
                <w:szCs w:val="21"/>
              </w:rPr>
              <w:t>29</w:t>
            </w:r>
          </w:p>
        </w:tc>
        <w:tc>
          <w:tcPr>
            <w:tcW w:w="3011" w:type="dxa"/>
            <w:tcBorders>
              <w:top w:val="nil"/>
              <w:left w:val="nil"/>
              <w:bottom w:val="single" w:sz="4" w:space="0" w:color="auto"/>
              <w:right w:val="single" w:sz="4" w:space="0" w:color="auto"/>
            </w:tcBorders>
            <w:shd w:val="clear" w:color="auto" w:fill="auto"/>
            <w:vAlign w:val="center"/>
            <w:hideMark/>
          </w:tcPr>
          <w:p w14:paraId="5E2730B1" w14:textId="77777777" w:rsidR="009021F1" w:rsidRPr="00D579BE" w:rsidRDefault="009021F1" w:rsidP="00E637E3">
            <w:pPr>
              <w:spacing w:line="240" w:lineRule="auto"/>
              <w:jc w:val="left"/>
              <w:rPr>
                <w:rFonts w:cs="Arial"/>
                <w:szCs w:val="21"/>
              </w:rPr>
            </w:pPr>
            <w:r w:rsidRPr="00D579BE">
              <w:rPr>
                <w:rFonts w:cs="Arial"/>
                <w:szCs w:val="21"/>
              </w:rPr>
              <w:t xml:space="preserve">Ir Victor LUTENDA NTUMBA </w:t>
            </w:r>
          </w:p>
        </w:tc>
        <w:tc>
          <w:tcPr>
            <w:tcW w:w="3723" w:type="dxa"/>
            <w:tcBorders>
              <w:top w:val="nil"/>
              <w:left w:val="nil"/>
              <w:bottom w:val="single" w:sz="4" w:space="0" w:color="auto"/>
              <w:right w:val="single" w:sz="4" w:space="0" w:color="auto"/>
            </w:tcBorders>
            <w:shd w:val="clear" w:color="auto" w:fill="auto"/>
            <w:vAlign w:val="center"/>
            <w:hideMark/>
          </w:tcPr>
          <w:p w14:paraId="2083D2FD" w14:textId="77777777" w:rsidR="009021F1" w:rsidRPr="00D579BE" w:rsidRDefault="009021F1" w:rsidP="00E637E3">
            <w:pPr>
              <w:spacing w:line="240" w:lineRule="auto"/>
              <w:jc w:val="left"/>
              <w:rPr>
                <w:rFonts w:cs="Arial"/>
                <w:szCs w:val="21"/>
              </w:rPr>
            </w:pPr>
            <w:r w:rsidRPr="00D579BE">
              <w:rPr>
                <w:rFonts w:cs="Arial"/>
                <w:szCs w:val="21"/>
              </w:rPr>
              <w:t>Coordonnateur ONG UPDMS / Kasaï Central</w:t>
            </w:r>
          </w:p>
        </w:tc>
        <w:tc>
          <w:tcPr>
            <w:tcW w:w="3127" w:type="dxa"/>
            <w:tcBorders>
              <w:top w:val="nil"/>
              <w:left w:val="nil"/>
              <w:bottom w:val="single" w:sz="4" w:space="0" w:color="auto"/>
              <w:right w:val="single" w:sz="4" w:space="0" w:color="auto"/>
            </w:tcBorders>
            <w:shd w:val="clear" w:color="auto" w:fill="auto"/>
            <w:vAlign w:val="center"/>
            <w:hideMark/>
          </w:tcPr>
          <w:p w14:paraId="7C4201D5" w14:textId="77777777" w:rsidR="009021F1" w:rsidRPr="00D579BE" w:rsidRDefault="009021F1" w:rsidP="00E637E3">
            <w:pPr>
              <w:spacing w:line="240" w:lineRule="auto"/>
              <w:jc w:val="left"/>
              <w:rPr>
                <w:rFonts w:cs="Arial"/>
                <w:szCs w:val="21"/>
              </w:rPr>
            </w:pPr>
            <w:r w:rsidRPr="00D579BE">
              <w:rPr>
                <w:rFonts w:cs="Arial"/>
                <w:szCs w:val="21"/>
              </w:rPr>
              <w:t>0995781545 / 0824091086</w:t>
            </w:r>
          </w:p>
        </w:tc>
      </w:tr>
      <w:tr w:rsidR="009021F1" w:rsidRPr="00D579BE" w14:paraId="32EFDECF" w14:textId="77777777" w:rsidTr="00E637E3">
        <w:trPr>
          <w:trHeight w:val="610"/>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2E5C5416" w14:textId="77777777" w:rsidR="009021F1" w:rsidRPr="00D579BE" w:rsidRDefault="009021F1" w:rsidP="00E637E3">
            <w:pPr>
              <w:spacing w:line="240" w:lineRule="auto"/>
              <w:jc w:val="center"/>
              <w:rPr>
                <w:rFonts w:cs="Arial"/>
                <w:szCs w:val="21"/>
              </w:rPr>
            </w:pPr>
            <w:r w:rsidRPr="00D579BE">
              <w:rPr>
                <w:rFonts w:cs="Arial"/>
                <w:szCs w:val="21"/>
              </w:rPr>
              <w:t>30</w:t>
            </w:r>
          </w:p>
        </w:tc>
        <w:tc>
          <w:tcPr>
            <w:tcW w:w="3011" w:type="dxa"/>
            <w:tcBorders>
              <w:top w:val="nil"/>
              <w:left w:val="nil"/>
              <w:bottom w:val="single" w:sz="4" w:space="0" w:color="auto"/>
              <w:right w:val="single" w:sz="4" w:space="0" w:color="auto"/>
            </w:tcBorders>
            <w:shd w:val="clear" w:color="auto" w:fill="auto"/>
            <w:vAlign w:val="center"/>
            <w:hideMark/>
          </w:tcPr>
          <w:p w14:paraId="27128FFC" w14:textId="77777777" w:rsidR="009021F1" w:rsidRPr="00D579BE" w:rsidRDefault="009021F1" w:rsidP="00E637E3">
            <w:pPr>
              <w:spacing w:line="240" w:lineRule="auto"/>
              <w:jc w:val="left"/>
              <w:rPr>
                <w:rFonts w:cs="Arial"/>
                <w:szCs w:val="21"/>
              </w:rPr>
            </w:pPr>
            <w:r w:rsidRPr="00D579BE">
              <w:rPr>
                <w:rFonts w:cs="Arial"/>
                <w:szCs w:val="21"/>
              </w:rPr>
              <w:t xml:space="preserve">Modeste MPOYI BAGABEBA </w:t>
            </w:r>
          </w:p>
        </w:tc>
        <w:tc>
          <w:tcPr>
            <w:tcW w:w="3723" w:type="dxa"/>
            <w:tcBorders>
              <w:top w:val="nil"/>
              <w:left w:val="nil"/>
              <w:bottom w:val="single" w:sz="4" w:space="0" w:color="auto"/>
              <w:right w:val="single" w:sz="4" w:space="0" w:color="auto"/>
            </w:tcBorders>
            <w:shd w:val="clear" w:color="auto" w:fill="auto"/>
            <w:vAlign w:val="center"/>
            <w:hideMark/>
          </w:tcPr>
          <w:p w14:paraId="0E2A6EAC" w14:textId="77777777" w:rsidR="009021F1" w:rsidRPr="00D579BE" w:rsidRDefault="009021F1" w:rsidP="00E637E3">
            <w:pPr>
              <w:spacing w:line="240" w:lineRule="auto"/>
              <w:jc w:val="left"/>
              <w:rPr>
                <w:rFonts w:cs="Arial"/>
                <w:szCs w:val="21"/>
              </w:rPr>
            </w:pPr>
            <w:r w:rsidRPr="00D579BE">
              <w:rPr>
                <w:rFonts w:cs="Arial"/>
                <w:szCs w:val="21"/>
              </w:rPr>
              <w:t>Fédération des Entreprises du Congo/ Kasaï Central</w:t>
            </w:r>
          </w:p>
        </w:tc>
        <w:tc>
          <w:tcPr>
            <w:tcW w:w="3127" w:type="dxa"/>
            <w:tcBorders>
              <w:top w:val="nil"/>
              <w:left w:val="nil"/>
              <w:bottom w:val="single" w:sz="4" w:space="0" w:color="auto"/>
              <w:right w:val="single" w:sz="4" w:space="0" w:color="auto"/>
            </w:tcBorders>
            <w:shd w:val="clear" w:color="auto" w:fill="auto"/>
            <w:vAlign w:val="center"/>
            <w:hideMark/>
          </w:tcPr>
          <w:p w14:paraId="0CE471D6" w14:textId="77777777" w:rsidR="009021F1" w:rsidRPr="00D579BE" w:rsidRDefault="00B22F56" w:rsidP="00E637E3">
            <w:pPr>
              <w:spacing w:line="240" w:lineRule="auto"/>
              <w:jc w:val="left"/>
              <w:rPr>
                <w:rFonts w:cs="Arial"/>
                <w:szCs w:val="21"/>
                <w:u w:val="single"/>
              </w:rPr>
            </w:pPr>
            <w:hyperlink r:id="rId107" w:history="1">
              <w:r w:rsidR="009021F1" w:rsidRPr="00D579BE">
                <w:rPr>
                  <w:rStyle w:val="Lienhypertexte"/>
                  <w:rFonts w:cs="Arial"/>
                  <w:szCs w:val="21"/>
                </w:rPr>
                <w:t xml:space="preserve">Poyimodeste2020@gmail.com </w:t>
              </w:r>
            </w:hyperlink>
          </w:p>
        </w:tc>
      </w:tr>
      <w:tr w:rsidR="009021F1" w:rsidRPr="00D579BE" w14:paraId="40EE9B21" w14:textId="77777777" w:rsidTr="00E637E3">
        <w:trPr>
          <w:trHeight w:val="420"/>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37436A4A" w14:textId="77777777" w:rsidR="009021F1" w:rsidRPr="00D579BE" w:rsidRDefault="009021F1" w:rsidP="00E637E3">
            <w:pPr>
              <w:spacing w:line="240" w:lineRule="auto"/>
              <w:jc w:val="center"/>
              <w:rPr>
                <w:rFonts w:cs="Arial"/>
                <w:szCs w:val="21"/>
              </w:rPr>
            </w:pPr>
            <w:r w:rsidRPr="00D579BE">
              <w:rPr>
                <w:rFonts w:cs="Arial"/>
                <w:szCs w:val="21"/>
              </w:rPr>
              <w:t>31</w:t>
            </w:r>
          </w:p>
        </w:tc>
        <w:tc>
          <w:tcPr>
            <w:tcW w:w="3011" w:type="dxa"/>
            <w:tcBorders>
              <w:top w:val="nil"/>
              <w:left w:val="nil"/>
              <w:bottom w:val="single" w:sz="4" w:space="0" w:color="auto"/>
              <w:right w:val="single" w:sz="4" w:space="0" w:color="auto"/>
            </w:tcBorders>
            <w:shd w:val="clear" w:color="auto" w:fill="auto"/>
            <w:vAlign w:val="center"/>
            <w:hideMark/>
          </w:tcPr>
          <w:p w14:paraId="3051707A" w14:textId="77777777" w:rsidR="009021F1" w:rsidRPr="00D579BE" w:rsidRDefault="009021F1" w:rsidP="00E637E3">
            <w:pPr>
              <w:spacing w:line="240" w:lineRule="auto"/>
              <w:jc w:val="left"/>
              <w:rPr>
                <w:rFonts w:cs="Arial"/>
                <w:szCs w:val="21"/>
              </w:rPr>
            </w:pPr>
            <w:r w:rsidRPr="00D579BE">
              <w:rPr>
                <w:rFonts w:cs="Arial"/>
                <w:szCs w:val="21"/>
              </w:rPr>
              <w:t>MBOMA SABINE</w:t>
            </w:r>
          </w:p>
        </w:tc>
        <w:tc>
          <w:tcPr>
            <w:tcW w:w="3723" w:type="dxa"/>
            <w:tcBorders>
              <w:top w:val="nil"/>
              <w:left w:val="nil"/>
              <w:bottom w:val="single" w:sz="4" w:space="0" w:color="auto"/>
              <w:right w:val="single" w:sz="4" w:space="0" w:color="auto"/>
            </w:tcBorders>
            <w:shd w:val="clear" w:color="auto" w:fill="auto"/>
            <w:vAlign w:val="center"/>
            <w:hideMark/>
          </w:tcPr>
          <w:p w14:paraId="3F54B8C2" w14:textId="77777777" w:rsidR="009021F1" w:rsidRPr="00D579BE" w:rsidRDefault="009021F1" w:rsidP="00E637E3">
            <w:pPr>
              <w:spacing w:line="240" w:lineRule="auto"/>
              <w:jc w:val="left"/>
              <w:rPr>
                <w:rFonts w:cs="Arial"/>
                <w:szCs w:val="21"/>
              </w:rPr>
            </w:pPr>
            <w:r w:rsidRPr="00D579BE">
              <w:rPr>
                <w:rFonts w:cs="Arial"/>
                <w:szCs w:val="21"/>
              </w:rPr>
              <w:t>Présidente ONG RRFR/Kwilu</w:t>
            </w:r>
          </w:p>
        </w:tc>
        <w:tc>
          <w:tcPr>
            <w:tcW w:w="3127" w:type="dxa"/>
            <w:tcBorders>
              <w:top w:val="nil"/>
              <w:left w:val="nil"/>
              <w:bottom w:val="single" w:sz="4" w:space="0" w:color="auto"/>
              <w:right w:val="single" w:sz="4" w:space="0" w:color="auto"/>
            </w:tcBorders>
            <w:shd w:val="clear" w:color="auto" w:fill="auto"/>
            <w:vAlign w:val="center"/>
            <w:hideMark/>
          </w:tcPr>
          <w:p w14:paraId="3040CC69" w14:textId="77777777" w:rsidR="009021F1" w:rsidRPr="00D579BE" w:rsidRDefault="009021F1" w:rsidP="00E637E3">
            <w:pPr>
              <w:spacing w:line="240" w:lineRule="auto"/>
              <w:jc w:val="left"/>
              <w:rPr>
                <w:rFonts w:cs="Arial"/>
                <w:szCs w:val="21"/>
              </w:rPr>
            </w:pPr>
            <w:r w:rsidRPr="00D579BE">
              <w:rPr>
                <w:rFonts w:cs="Arial"/>
                <w:szCs w:val="21"/>
              </w:rPr>
              <w:t>0816676519</w:t>
            </w:r>
          </w:p>
        </w:tc>
      </w:tr>
      <w:tr w:rsidR="009021F1" w:rsidRPr="00D579BE" w14:paraId="787E14D5" w14:textId="77777777" w:rsidTr="00E637E3">
        <w:trPr>
          <w:trHeight w:val="420"/>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1CC229AA" w14:textId="77777777" w:rsidR="009021F1" w:rsidRPr="00D579BE" w:rsidRDefault="009021F1" w:rsidP="00E637E3">
            <w:pPr>
              <w:spacing w:line="240" w:lineRule="auto"/>
              <w:jc w:val="center"/>
              <w:rPr>
                <w:rFonts w:cs="Arial"/>
                <w:szCs w:val="21"/>
              </w:rPr>
            </w:pPr>
            <w:r w:rsidRPr="00D579BE">
              <w:rPr>
                <w:rFonts w:cs="Arial"/>
                <w:szCs w:val="21"/>
              </w:rPr>
              <w:t>32</w:t>
            </w:r>
          </w:p>
        </w:tc>
        <w:tc>
          <w:tcPr>
            <w:tcW w:w="3011" w:type="dxa"/>
            <w:tcBorders>
              <w:top w:val="nil"/>
              <w:left w:val="nil"/>
              <w:bottom w:val="single" w:sz="4" w:space="0" w:color="auto"/>
              <w:right w:val="single" w:sz="4" w:space="0" w:color="auto"/>
            </w:tcBorders>
            <w:shd w:val="clear" w:color="auto" w:fill="auto"/>
            <w:vAlign w:val="center"/>
            <w:hideMark/>
          </w:tcPr>
          <w:p w14:paraId="5FC52F14" w14:textId="77777777" w:rsidR="009021F1" w:rsidRPr="00D579BE" w:rsidRDefault="009021F1" w:rsidP="00E637E3">
            <w:pPr>
              <w:spacing w:line="240" w:lineRule="auto"/>
              <w:jc w:val="left"/>
              <w:rPr>
                <w:rFonts w:cs="Arial"/>
                <w:szCs w:val="21"/>
              </w:rPr>
            </w:pPr>
            <w:r w:rsidRPr="00D579BE">
              <w:rPr>
                <w:rFonts w:cs="Arial"/>
                <w:szCs w:val="21"/>
              </w:rPr>
              <w:t>Laurent KAMATE</w:t>
            </w:r>
          </w:p>
        </w:tc>
        <w:tc>
          <w:tcPr>
            <w:tcW w:w="3723" w:type="dxa"/>
            <w:tcBorders>
              <w:top w:val="nil"/>
              <w:left w:val="nil"/>
              <w:bottom w:val="single" w:sz="4" w:space="0" w:color="auto"/>
              <w:right w:val="single" w:sz="4" w:space="0" w:color="auto"/>
            </w:tcBorders>
            <w:shd w:val="clear" w:color="auto" w:fill="auto"/>
            <w:vAlign w:val="center"/>
            <w:hideMark/>
          </w:tcPr>
          <w:p w14:paraId="2AAC07AE" w14:textId="77777777" w:rsidR="009021F1" w:rsidRPr="00D579BE" w:rsidRDefault="009021F1" w:rsidP="00E637E3">
            <w:pPr>
              <w:spacing w:line="240" w:lineRule="auto"/>
              <w:jc w:val="left"/>
              <w:rPr>
                <w:rFonts w:cs="Arial"/>
                <w:szCs w:val="21"/>
              </w:rPr>
            </w:pPr>
            <w:r w:rsidRPr="00D579BE">
              <w:rPr>
                <w:rFonts w:cs="Arial"/>
                <w:szCs w:val="21"/>
              </w:rPr>
              <w:t>Agronome APPRONA/Nord Kivu</w:t>
            </w:r>
          </w:p>
        </w:tc>
        <w:tc>
          <w:tcPr>
            <w:tcW w:w="3127" w:type="dxa"/>
            <w:tcBorders>
              <w:top w:val="nil"/>
              <w:left w:val="nil"/>
              <w:bottom w:val="single" w:sz="4" w:space="0" w:color="auto"/>
              <w:right w:val="single" w:sz="4" w:space="0" w:color="auto"/>
            </w:tcBorders>
            <w:shd w:val="clear" w:color="auto" w:fill="auto"/>
            <w:vAlign w:val="center"/>
            <w:hideMark/>
          </w:tcPr>
          <w:p w14:paraId="24AF69E4" w14:textId="77777777" w:rsidR="009021F1" w:rsidRPr="00D579BE" w:rsidRDefault="009021F1" w:rsidP="00E637E3">
            <w:pPr>
              <w:spacing w:line="240" w:lineRule="auto"/>
              <w:jc w:val="left"/>
              <w:rPr>
                <w:rFonts w:cs="Arial"/>
                <w:szCs w:val="21"/>
              </w:rPr>
            </w:pPr>
            <w:r w:rsidRPr="00D579BE">
              <w:rPr>
                <w:rFonts w:cs="Arial"/>
                <w:szCs w:val="21"/>
              </w:rPr>
              <w:t>0821409411</w:t>
            </w:r>
          </w:p>
        </w:tc>
      </w:tr>
    </w:tbl>
    <w:p w14:paraId="17F23AC0" w14:textId="77777777" w:rsidR="009021F1" w:rsidRPr="00D579BE" w:rsidRDefault="009021F1" w:rsidP="009021F1">
      <w:pPr>
        <w:spacing w:line="240" w:lineRule="auto"/>
        <w:jc w:val="left"/>
        <w:rPr>
          <w:rFonts w:cs="Arial"/>
          <w:szCs w:val="21"/>
        </w:rPr>
      </w:pPr>
    </w:p>
    <w:p w14:paraId="42C48588" w14:textId="77777777" w:rsidR="009021F1" w:rsidRPr="00D579BE" w:rsidRDefault="009021F1" w:rsidP="009021F1">
      <w:pPr>
        <w:spacing w:line="240" w:lineRule="auto"/>
        <w:jc w:val="left"/>
        <w:rPr>
          <w:rFonts w:cs="Arial"/>
          <w:szCs w:val="21"/>
        </w:rPr>
      </w:pPr>
    </w:p>
    <w:p w14:paraId="08438B93" w14:textId="77777777" w:rsidR="009021F1" w:rsidRPr="00D579BE" w:rsidRDefault="009021F1" w:rsidP="009021F1">
      <w:pPr>
        <w:spacing w:line="240" w:lineRule="auto"/>
        <w:jc w:val="left"/>
        <w:rPr>
          <w:rFonts w:cs="Arial"/>
          <w:szCs w:val="21"/>
        </w:rPr>
      </w:pPr>
    </w:p>
    <w:p w14:paraId="224E3FBA" w14:textId="77777777" w:rsidR="009021F1" w:rsidRPr="00D579BE" w:rsidRDefault="009021F1" w:rsidP="009021F1">
      <w:pPr>
        <w:spacing w:line="240" w:lineRule="auto"/>
        <w:jc w:val="left"/>
        <w:rPr>
          <w:rFonts w:cs="Arial"/>
          <w:szCs w:val="21"/>
        </w:rPr>
      </w:pPr>
    </w:p>
    <w:p w14:paraId="2EEF7453" w14:textId="77777777" w:rsidR="009021F1" w:rsidRPr="00D579BE" w:rsidRDefault="009021F1" w:rsidP="009021F1">
      <w:pPr>
        <w:spacing w:line="240" w:lineRule="auto"/>
        <w:jc w:val="left"/>
        <w:rPr>
          <w:rFonts w:cs="Arial"/>
          <w:szCs w:val="21"/>
        </w:rPr>
      </w:pPr>
    </w:p>
    <w:p w14:paraId="334E5F02" w14:textId="77777777" w:rsidR="009021F1" w:rsidRPr="00D579BE" w:rsidRDefault="009021F1" w:rsidP="009021F1">
      <w:pPr>
        <w:spacing w:line="240" w:lineRule="auto"/>
        <w:jc w:val="left"/>
        <w:rPr>
          <w:rFonts w:cs="Arial"/>
          <w:szCs w:val="21"/>
        </w:rPr>
      </w:pPr>
    </w:p>
    <w:p w14:paraId="609F94CF" w14:textId="77777777" w:rsidR="009021F1" w:rsidRPr="00D579BE" w:rsidRDefault="009021F1" w:rsidP="009021F1">
      <w:pPr>
        <w:spacing w:line="240" w:lineRule="auto"/>
        <w:jc w:val="left"/>
        <w:rPr>
          <w:rFonts w:cs="Arial"/>
          <w:szCs w:val="21"/>
        </w:rPr>
      </w:pPr>
    </w:p>
    <w:p w14:paraId="651CB52B" w14:textId="77777777" w:rsidR="009021F1" w:rsidRPr="00D579BE" w:rsidRDefault="009021F1" w:rsidP="009021F1">
      <w:pPr>
        <w:spacing w:line="240" w:lineRule="auto"/>
        <w:jc w:val="left"/>
        <w:rPr>
          <w:rFonts w:cs="Arial"/>
          <w:szCs w:val="21"/>
        </w:rPr>
      </w:pPr>
    </w:p>
    <w:p w14:paraId="195F2903" w14:textId="77777777" w:rsidR="009021F1" w:rsidRPr="00D579BE" w:rsidRDefault="009021F1" w:rsidP="009021F1">
      <w:pPr>
        <w:spacing w:line="240" w:lineRule="auto"/>
        <w:jc w:val="left"/>
        <w:rPr>
          <w:rFonts w:cs="Arial"/>
          <w:szCs w:val="21"/>
        </w:rPr>
      </w:pPr>
    </w:p>
    <w:p w14:paraId="72B50B43" w14:textId="77777777" w:rsidR="009021F1" w:rsidRPr="00D579BE" w:rsidRDefault="009021F1" w:rsidP="009021F1">
      <w:pPr>
        <w:spacing w:line="240" w:lineRule="auto"/>
        <w:jc w:val="left"/>
        <w:rPr>
          <w:rFonts w:cs="Arial"/>
          <w:szCs w:val="21"/>
        </w:rPr>
      </w:pPr>
    </w:p>
    <w:p w14:paraId="267E0BDE" w14:textId="77777777" w:rsidR="009021F1" w:rsidRPr="00D579BE" w:rsidRDefault="009021F1" w:rsidP="009021F1">
      <w:pPr>
        <w:spacing w:line="240" w:lineRule="auto"/>
        <w:jc w:val="left"/>
        <w:rPr>
          <w:rFonts w:cs="Arial"/>
          <w:szCs w:val="21"/>
        </w:rPr>
      </w:pPr>
    </w:p>
    <w:p w14:paraId="4C9A074F" w14:textId="77777777" w:rsidR="009021F1" w:rsidRPr="00D579BE" w:rsidRDefault="009021F1" w:rsidP="009021F1">
      <w:pPr>
        <w:spacing w:line="240" w:lineRule="auto"/>
        <w:jc w:val="left"/>
        <w:rPr>
          <w:rFonts w:cs="Arial"/>
          <w:szCs w:val="21"/>
        </w:rPr>
      </w:pPr>
    </w:p>
    <w:p w14:paraId="4C173C5D" w14:textId="77777777" w:rsidR="009021F1" w:rsidRPr="00D579BE" w:rsidRDefault="009021F1" w:rsidP="009021F1">
      <w:pPr>
        <w:spacing w:line="240" w:lineRule="auto"/>
        <w:jc w:val="left"/>
        <w:rPr>
          <w:rFonts w:cs="Arial"/>
          <w:szCs w:val="21"/>
        </w:rPr>
      </w:pPr>
    </w:p>
    <w:p w14:paraId="32738D62" w14:textId="77777777" w:rsidR="009021F1" w:rsidRPr="00D579BE" w:rsidRDefault="009021F1" w:rsidP="009021F1">
      <w:pPr>
        <w:spacing w:line="240" w:lineRule="auto"/>
        <w:jc w:val="left"/>
        <w:rPr>
          <w:rFonts w:cs="Arial"/>
          <w:szCs w:val="21"/>
        </w:rPr>
      </w:pPr>
    </w:p>
    <w:p w14:paraId="1603BB07" w14:textId="77777777" w:rsidR="009021F1" w:rsidRPr="00D579BE" w:rsidRDefault="009021F1" w:rsidP="009021F1">
      <w:pPr>
        <w:spacing w:line="240" w:lineRule="auto"/>
        <w:jc w:val="left"/>
        <w:rPr>
          <w:rFonts w:cs="Arial"/>
          <w:szCs w:val="21"/>
        </w:rPr>
      </w:pPr>
    </w:p>
    <w:p w14:paraId="282AA787" w14:textId="77777777" w:rsidR="009021F1" w:rsidRPr="00D579BE" w:rsidRDefault="009021F1" w:rsidP="009021F1">
      <w:pPr>
        <w:spacing w:line="240" w:lineRule="auto"/>
        <w:jc w:val="left"/>
        <w:rPr>
          <w:rFonts w:cs="Arial"/>
          <w:szCs w:val="21"/>
        </w:rPr>
      </w:pPr>
    </w:p>
    <w:p w14:paraId="0769B16D" w14:textId="77777777" w:rsidR="009021F1" w:rsidRPr="00D579BE" w:rsidRDefault="009021F1" w:rsidP="009021F1">
      <w:pPr>
        <w:spacing w:line="240" w:lineRule="auto"/>
        <w:jc w:val="left"/>
        <w:rPr>
          <w:rFonts w:cs="Arial"/>
          <w:szCs w:val="21"/>
        </w:rPr>
      </w:pPr>
    </w:p>
    <w:p w14:paraId="7CC84BBB" w14:textId="77777777" w:rsidR="009021F1" w:rsidRPr="00D579BE" w:rsidRDefault="009021F1" w:rsidP="009021F1">
      <w:pPr>
        <w:spacing w:line="240" w:lineRule="auto"/>
        <w:jc w:val="left"/>
        <w:rPr>
          <w:rFonts w:cs="Arial"/>
          <w:szCs w:val="21"/>
        </w:rPr>
      </w:pPr>
    </w:p>
    <w:p w14:paraId="2B0E3A6C" w14:textId="77777777" w:rsidR="009021F1" w:rsidRPr="00D579BE" w:rsidRDefault="009021F1" w:rsidP="009021F1">
      <w:pPr>
        <w:spacing w:line="240" w:lineRule="auto"/>
        <w:jc w:val="left"/>
        <w:rPr>
          <w:rFonts w:cs="Arial"/>
          <w:szCs w:val="21"/>
        </w:rPr>
      </w:pPr>
    </w:p>
    <w:p w14:paraId="5BE413E1" w14:textId="77777777" w:rsidR="009021F1" w:rsidRPr="00D579BE" w:rsidRDefault="009021F1" w:rsidP="009021F1">
      <w:pPr>
        <w:spacing w:line="240" w:lineRule="auto"/>
        <w:jc w:val="left"/>
        <w:rPr>
          <w:rFonts w:cs="Arial"/>
          <w:szCs w:val="21"/>
        </w:rPr>
      </w:pPr>
    </w:p>
    <w:p w14:paraId="57DB85FD" w14:textId="77777777" w:rsidR="009021F1" w:rsidRPr="00D579BE" w:rsidRDefault="009021F1" w:rsidP="009021F1">
      <w:pPr>
        <w:spacing w:line="240" w:lineRule="auto"/>
        <w:jc w:val="left"/>
        <w:rPr>
          <w:rFonts w:cs="Arial"/>
          <w:szCs w:val="21"/>
        </w:rPr>
      </w:pPr>
    </w:p>
    <w:p w14:paraId="1BB0204A" w14:textId="77777777" w:rsidR="009021F1" w:rsidRPr="00D579BE" w:rsidRDefault="009021F1" w:rsidP="009021F1">
      <w:pPr>
        <w:spacing w:line="240" w:lineRule="auto"/>
        <w:jc w:val="left"/>
        <w:rPr>
          <w:rFonts w:cs="Arial"/>
          <w:szCs w:val="21"/>
        </w:rPr>
      </w:pPr>
    </w:p>
    <w:p w14:paraId="4ED38781" w14:textId="77777777" w:rsidR="009021F1" w:rsidRPr="00D579BE" w:rsidRDefault="009021F1" w:rsidP="009021F1">
      <w:pPr>
        <w:spacing w:line="240" w:lineRule="auto"/>
        <w:jc w:val="left"/>
        <w:rPr>
          <w:rFonts w:cs="Arial"/>
          <w:szCs w:val="21"/>
        </w:rPr>
      </w:pPr>
    </w:p>
    <w:p w14:paraId="24024ACA" w14:textId="77777777" w:rsidR="009021F1" w:rsidRPr="00D579BE" w:rsidRDefault="009021F1" w:rsidP="009021F1">
      <w:pPr>
        <w:spacing w:line="240" w:lineRule="auto"/>
        <w:jc w:val="left"/>
        <w:rPr>
          <w:rFonts w:cs="Arial"/>
          <w:szCs w:val="21"/>
        </w:rPr>
      </w:pPr>
    </w:p>
    <w:p w14:paraId="06FBE294" w14:textId="77777777" w:rsidR="009021F1" w:rsidRPr="00D579BE" w:rsidRDefault="009021F1" w:rsidP="009021F1">
      <w:pPr>
        <w:spacing w:line="240" w:lineRule="auto"/>
        <w:jc w:val="left"/>
        <w:rPr>
          <w:rFonts w:cs="Arial"/>
          <w:szCs w:val="21"/>
        </w:rPr>
      </w:pPr>
    </w:p>
    <w:p w14:paraId="08300E47" w14:textId="77777777" w:rsidR="009021F1" w:rsidRPr="00D579BE" w:rsidRDefault="009021F1" w:rsidP="009021F1">
      <w:pPr>
        <w:spacing w:line="240" w:lineRule="auto"/>
        <w:jc w:val="left"/>
        <w:rPr>
          <w:rFonts w:cs="Arial"/>
          <w:szCs w:val="21"/>
        </w:rPr>
      </w:pPr>
    </w:p>
    <w:p w14:paraId="36A06A59" w14:textId="77777777" w:rsidR="009021F1" w:rsidRPr="00D579BE" w:rsidRDefault="009021F1" w:rsidP="009021F1">
      <w:pPr>
        <w:spacing w:line="240" w:lineRule="auto"/>
        <w:jc w:val="left"/>
        <w:rPr>
          <w:rFonts w:cs="Arial"/>
          <w:szCs w:val="21"/>
        </w:rPr>
      </w:pPr>
    </w:p>
    <w:p w14:paraId="431CA6C8" w14:textId="77777777" w:rsidR="009021F1" w:rsidRPr="00D579BE" w:rsidRDefault="009021F1" w:rsidP="009021F1">
      <w:pPr>
        <w:spacing w:line="240" w:lineRule="auto"/>
        <w:jc w:val="left"/>
        <w:rPr>
          <w:rFonts w:cs="Arial"/>
          <w:szCs w:val="21"/>
        </w:rPr>
      </w:pPr>
    </w:p>
    <w:p w14:paraId="3D372750" w14:textId="77777777" w:rsidR="009021F1" w:rsidRPr="00D579BE" w:rsidRDefault="009021F1" w:rsidP="009021F1">
      <w:pPr>
        <w:spacing w:line="240" w:lineRule="auto"/>
        <w:jc w:val="left"/>
        <w:rPr>
          <w:rFonts w:cs="Arial"/>
          <w:szCs w:val="21"/>
        </w:rPr>
      </w:pPr>
    </w:p>
    <w:p w14:paraId="07EC0E0B" w14:textId="77777777" w:rsidR="009021F1" w:rsidRPr="00D579BE" w:rsidRDefault="009021F1" w:rsidP="009021F1">
      <w:pPr>
        <w:tabs>
          <w:tab w:val="center" w:pos="4536"/>
        </w:tabs>
        <w:ind w:left="1276" w:hanging="1276"/>
        <w:rPr>
          <w:rFonts w:cs="Arial"/>
          <w:b/>
          <w:szCs w:val="21"/>
        </w:rPr>
      </w:pPr>
    </w:p>
    <w:p w14:paraId="05E377A5" w14:textId="77777777" w:rsidR="009021F1" w:rsidRPr="00D579BE" w:rsidRDefault="009021F1" w:rsidP="009021F1">
      <w:pPr>
        <w:tabs>
          <w:tab w:val="center" w:pos="4536"/>
        </w:tabs>
        <w:ind w:left="1276" w:hanging="1276"/>
        <w:rPr>
          <w:rFonts w:cs="Arial"/>
          <w:b/>
          <w:szCs w:val="21"/>
        </w:rPr>
      </w:pPr>
    </w:p>
    <w:p w14:paraId="02719889" w14:textId="77777777" w:rsidR="009021F1" w:rsidRDefault="009021F1" w:rsidP="009021F1">
      <w:pPr>
        <w:spacing w:line="240" w:lineRule="auto"/>
        <w:jc w:val="left"/>
        <w:rPr>
          <w:rFonts w:cs="Arial"/>
          <w:b/>
          <w:bCs/>
          <w:szCs w:val="21"/>
        </w:rPr>
      </w:pPr>
      <w:r>
        <w:rPr>
          <w:rFonts w:cs="Arial"/>
          <w:szCs w:val="21"/>
        </w:rPr>
        <w:br w:type="page"/>
      </w:r>
    </w:p>
    <w:p w14:paraId="5AF57DF5" w14:textId="77777777" w:rsidR="009021F1" w:rsidRPr="00B76D27" w:rsidRDefault="009021F1" w:rsidP="009021F1">
      <w:pPr>
        <w:pStyle w:val="Titre1"/>
        <w:tabs>
          <w:tab w:val="right" w:pos="9062"/>
        </w:tabs>
        <w:ind w:left="1276" w:hanging="1276"/>
        <w:rPr>
          <w:rFonts w:cs="Arial"/>
          <w:szCs w:val="21"/>
        </w:rPr>
      </w:pPr>
      <w:bookmarkStart w:id="489" w:name="_Toc90471595"/>
      <w:r w:rsidRPr="00B76D27">
        <w:rPr>
          <w:rFonts w:cs="Arial"/>
          <w:szCs w:val="21"/>
        </w:rPr>
        <w:t>ANNEXE 7. QUELQUES EXEMPLAIRES DES PROCÈS-VERBAUX DES RÉUNIONS DE CONSULTATIONS DU PUBLIC ORGANISÉES DANS LES PROVINCES DU     KASAÏ, KASAÏ CENTRAL, KONGO CENTRAL, KWILU ET NORD-KIVU</w:t>
      </w:r>
      <w:bookmarkEnd w:id="489"/>
    </w:p>
    <w:p w14:paraId="16EE1712" w14:textId="77777777" w:rsidR="009021F1" w:rsidRPr="00D579BE" w:rsidRDefault="009021F1" w:rsidP="009021F1">
      <w:pPr>
        <w:tabs>
          <w:tab w:val="center" w:pos="4536"/>
        </w:tabs>
        <w:ind w:left="1276" w:hanging="1276"/>
        <w:rPr>
          <w:rFonts w:cs="Arial"/>
          <w:szCs w:val="21"/>
        </w:rPr>
      </w:pPr>
    </w:p>
    <w:p w14:paraId="46F7C9B5" w14:textId="77777777" w:rsidR="009021F1" w:rsidRPr="00D579BE" w:rsidRDefault="009021F1" w:rsidP="009021F1">
      <w:pPr>
        <w:rPr>
          <w:szCs w:val="21"/>
        </w:rPr>
      </w:pPr>
      <w:r w:rsidRPr="00D579BE">
        <w:rPr>
          <w:rFonts w:cs="Arial"/>
          <w:noProof/>
          <w:color w:val="000000"/>
          <w:szCs w:val="21"/>
          <w:u w:val="single"/>
        </w:rPr>
        <w:drawing>
          <wp:inline distT="0" distB="0" distL="0" distR="0" wp14:anchorId="181D8B2F" wp14:editId="4071474B">
            <wp:extent cx="5721350" cy="7285990"/>
            <wp:effectExtent l="0" t="0" r="0" b="0"/>
            <wp:docPr id="5252" name="Image 5252" descr="C:\Users\user\Documents\PNDA MAI 2020\CGES PNDA\PNDA_Missions de terrain\PNDA_PV réunion de consultation du public_Matadi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C:\Users\user\Documents\PNDA MAI 2020\CGES PNDA\PNDA_Missions de terrain\PNDA_PV réunion de consultation du public_Matadi .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21350" cy="7285990"/>
                    </a:xfrm>
                    <a:prstGeom prst="rect">
                      <a:avLst/>
                    </a:prstGeom>
                    <a:noFill/>
                    <a:ln>
                      <a:noFill/>
                    </a:ln>
                  </pic:spPr>
                </pic:pic>
              </a:graphicData>
            </a:graphic>
          </wp:inline>
        </w:drawing>
      </w:r>
    </w:p>
    <w:p w14:paraId="2B01F920" w14:textId="77777777" w:rsidR="009021F1" w:rsidRPr="00D579BE" w:rsidRDefault="009021F1" w:rsidP="009021F1">
      <w:pPr>
        <w:rPr>
          <w:rFonts w:cs="Arial"/>
          <w:color w:val="000000"/>
          <w:szCs w:val="21"/>
          <w:u w:val="single"/>
        </w:rPr>
      </w:pPr>
    </w:p>
    <w:p w14:paraId="05BF0856" w14:textId="77777777" w:rsidR="009021F1" w:rsidRPr="00D579BE" w:rsidRDefault="009021F1" w:rsidP="009021F1">
      <w:pPr>
        <w:rPr>
          <w:szCs w:val="21"/>
        </w:rPr>
      </w:pPr>
      <w:r w:rsidRPr="00D579BE">
        <w:rPr>
          <w:rFonts w:cs="Arial"/>
          <w:noProof/>
          <w:color w:val="000000"/>
          <w:szCs w:val="21"/>
          <w:u w:val="single"/>
        </w:rPr>
        <w:drawing>
          <wp:inline distT="0" distB="0" distL="0" distR="0" wp14:anchorId="54C8D695" wp14:editId="37DCFB7B">
            <wp:extent cx="6014720" cy="7926705"/>
            <wp:effectExtent l="0" t="0" r="5080" b="0"/>
            <wp:docPr id="5253" name="Image 5253" descr="C:\Users\user\Documents\PNDA MAI 2020\CGES PNDA\PNDA_Missions de terrain\PNDA_PV réunion de consultation du public_Matadi 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C:\Users\user\Documents\PNDA MAI 2020\CGES PNDA\PNDA_Missions de terrain\PNDA_PV réunion de consultation du public_Matadi _0001.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014720" cy="7926705"/>
                    </a:xfrm>
                    <a:prstGeom prst="rect">
                      <a:avLst/>
                    </a:prstGeom>
                    <a:noFill/>
                    <a:ln>
                      <a:noFill/>
                    </a:ln>
                  </pic:spPr>
                </pic:pic>
              </a:graphicData>
            </a:graphic>
          </wp:inline>
        </w:drawing>
      </w:r>
    </w:p>
    <w:p w14:paraId="0CAF7834" w14:textId="77777777" w:rsidR="009021F1" w:rsidRPr="00D579BE" w:rsidRDefault="009021F1" w:rsidP="009021F1">
      <w:pPr>
        <w:pageBreakBefore/>
        <w:rPr>
          <w:szCs w:val="21"/>
        </w:rPr>
      </w:pPr>
      <w:r w:rsidRPr="00D579BE">
        <w:rPr>
          <w:rFonts w:cs="Arial"/>
          <w:noProof/>
          <w:color w:val="000000"/>
          <w:szCs w:val="21"/>
          <w:u w:val="single"/>
        </w:rPr>
        <w:drawing>
          <wp:inline distT="0" distB="0" distL="0" distR="0" wp14:anchorId="33A85FFF" wp14:editId="5D7789F5">
            <wp:extent cx="6116955" cy="7926705"/>
            <wp:effectExtent l="0" t="0" r="0" b="0"/>
            <wp:docPr id="5254" name="Image 5254" descr="C:\Users\user\Documents\PNDA MAI 2020\CGES PNDA\PNDA_Missions de terrain\PNDA_PV réunion de consultation du public_Matadi 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C:\Users\user\Documents\PNDA MAI 2020\CGES PNDA\PNDA_Missions de terrain\PNDA_PV réunion de consultation du public_Matadi _0002.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116955" cy="7926705"/>
                    </a:xfrm>
                    <a:prstGeom prst="rect">
                      <a:avLst/>
                    </a:prstGeom>
                    <a:noFill/>
                    <a:ln>
                      <a:noFill/>
                    </a:ln>
                  </pic:spPr>
                </pic:pic>
              </a:graphicData>
            </a:graphic>
          </wp:inline>
        </w:drawing>
      </w:r>
    </w:p>
    <w:p w14:paraId="42A315C4" w14:textId="77777777" w:rsidR="009021F1" w:rsidRPr="00D579BE" w:rsidRDefault="009021F1" w:rsidP="009021F1">
      <w:pPr>
        <w:pageBreakBefore/>
        <w:rPr>
          <w:szCs w:val="21"/>
        </w:rPr>
      </w:pPr>
      <w:r w:rsidRPr="00D579BE">
        <w:rPr>
          <w:rFonts w:cs="Arial"/>
          <w:noProof/>
          <w:color w:val="000000"/>
          <w:szCs w:val="21"/>
          <w:u w:val="single"/>
        </w:rPr>
        <w:drawing>
          <wp:inline distT="0" distB="0" distL="0" distR="0" wp14:anchorId="4DF4716A" wp14:editId="35AFE18D">
            <wp:extent cx="5853430" cy="8278495"/>
            <wp:effectExtent l="0" t="0" r="0" b="8255"/>
            <wp:docPr id="5255" name="Image 5255" descr="C:\Users\user\Documents\PNDA MAI 2020\CGES PNDA\PNDA_Missions de terrain\BDD\PNDA_PV réunion de consultation du public_Bandun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C:\Users\user\Documents\PNDA MAI 2020\CGES PNDA\PNDA_Missions de terrain\BDD\PNDA_PV réunion de consultation du public_Bandundu.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853430" cy="8278495"/>
                    </a:xfrm>
                    <a:prstGeom prst="rect">
                      <a:avLst/>
                    </a:prstGeom>
                    <a:noFill/>
                    <a:ln>
                      <a:noFill/>
                    </a:ln>
                  </pic:spPr>
                </pic:pic>
              </a:graphicData>
            </a:graphic>
          </wp:inline>
        </w:drawing>
      </w:r>
    </w:p>
    <w:p w14:paraId="0586E6DC" w14:textId="77777777" w:rsidR="009021F1" w:rsidRPr="00D579BE" w:rsidRDefault="009021F1" w:rsidP="009021F1">
      <w:pPr>
        <w:rPr>
          <w:rFonts w:cs="Arial"/>
          <w:color w:val="000000"/>
          <w:szCs w:val="21"/>
          <w:u w:val="single"/>
        </w:rPr>
      </w:pPr>
    </w:p>
    <w:p w14:paraId="2353338E" w14:textId="77777777" w:rsidR="009021F1" w:rsidRPr="00D579BE" w:rsidRDefault="009021F1" w:rsidP="009021F1">
      <w:pPr>
        <w:rPr>
          <w:szCs w:val="21"/>
        </w:rPr>
      </w:pPr>
      <w:r w:rsidRPr="00D579BE">
        <w:rPr>
          <w:rFonts w:cs="Arial"/>
          <w:noProof/>
          <w:color w:val="000000"/>
          <w:w w:val="1"/>
          <w:szCs w:val="21"/>
          <w:shd w:val="clear" w:color="auto" w:fill="000000"/>
        </w:rPr>
        <w:drawing>
          <wp:inline distT="0" distB="0" distL="0" distR="0" wp14:anchorId="376CA33C" wp14:editId="5DBEF36F">
            <wp:extent cx="6229350" cy="7070725"/>
            <wp:effectExtent l="0" t="0" r="0" b="0"/>
            <wp:docPr id="5256" name="Image 5256" descr="C:\Users\user\Documents\PNDA MAI 2020\CGES PNDA\PNDA_Missions de terrain\BDD\PNDA_PV réunion de consultation du public_Bandundu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C:\Users\user\Documents\PNDA MAI 2020\CGES PNDA\PNDA_Missions de terrain\BDD\PNDA_PV réunion de consultation du public_Bandundu_0001.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229350" cy="7070725"/>
                    </a:xfrm>
                    <a:prstGeom prst="rect">
                      <a:avLst/>
                    </a:prstGeom>
                    <a:noFill/>
                    <a:ln>
                      <a:noFill/>
                    </a:ln>
                  </pic:spPr>
                </pic:pic>
              </a:graphicData>
            </a:graphic>
          </wp:inline>
        </w:drawing>
      </w:r>
    </w:p>
    <w:p w14:paraId="49ED99D0" w14:textId="77777777" w:rsidR="009021F1" w:rsidRPr="00D579BE" w:rsidRDefault="009021F1" w:rsidP="009021F1">
      <w:pPr>
        <w:rPr>
          <w:szCs w:val="21"/>
        </w:rPr>
      </w:pPr>
      <w:r w:rsidRPr="00D579BE">
        <w:rPr>
          <w:rFonts w:cs="Arial"/>
          <w:noProof/>
          <w:color w:val="000000"/>
          <w:w w:val="1"/>
          <w:szCs w:val="21"/>
          <w:shd w:val="clear" w:color="auto" w:fill="000000"/>
        </w:rPr>
        <w:drawing>
          <wp:inline distT="0" distB="0" distL="0" distR="0" wp14:anchorId="018DE3D6" wp14:editId="3B6A3B8B">
            <wp:extent cx="5853430" cy="8278495"/>
            <wp:effectExtent l="0" t="0" r="0" b="8255"/>
            <wp:docPr id="5257" name="Image 5257" descr="C:\Users\user\Documents\PNDA MAI 2020\CGES PNDA\PNDA_Missions de terrain\BDD\PNDA_PV réunion de consultation du public_Bandundu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C:\Users\user\Documents\PNDA MAI 2020\CGES PNDA\PNDA_Missions de terrain\BDD\PNDA_PV réunion de consultation du public_Bandundu_0002.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853430" cy="8278495"/>
                    </a:xfrm>
                    <a:prstGeom prst="rect">
                      <a:avLst/>
                    </a:prstGeom>
                    <a:noFill/>
                    <a:ln>
                      <a:noFill/>
                    </a:ln>
                  </pic:spPr>
                </pic:pic>
              </a:graphicData>
            </a:graphic>
          </wp:inline>
        </w:drawing>
      </w:r>
    </w:p>
    <w:p w14:paraId="3B32A87D" w14:textId="77777777" w:rsidR="009021F1" w:rsidRPr="00D579BE" w:rsidRDefault="009021F1" w:rsidP="009021F1">
      <w:pPr>
        <w:rPr>
          <w:szCs w:val="21"/>
        </w:rPr>
      </w:pPr>
      <w:r w:rsidRPr="00D579BE">
        <w:rPr>
          <w:rFonts w:cs="Arial"/>
          <w:noProof/>
          <w:color w:val="000000"/>
          <w:w w:val="1"/>
          <w:szCs w:val="21"/>
          <w:shd w:val="clear" w:color="auto" w:fill="000000"/>
        </w:rPr>
        <w:drawing>
          <wp:inline distT="0" distB="0" distL="0" distR="0" wp14:anchorId="757B232E" wp14:editId="10017F4B">
            <wp:extent cx="5857875" cy="8283575"/>
            <wp:effectExtent l="0" t="0" r="9525" b="3175"/>
            <wp:docPr id="5258" name="Image 5258" descr="C:\Users\user\Documents\PNDA MAI 2020\CGES PNDA\PNDA_Missions de terrain\BDD\PNDA_PV réunion de consultation du public_Bandundu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C:\Users\user\Documents\PNDA MAI 2020\CGES PNDA\PNDA_Missions de terrain\BDD\PNDA_PV réunion de consultation du public_Bandundu_0003.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857875" cy="8283575"/>
                    </a:xfrm>
                    <a:prstGeom prst="rect">
                      <a:avLst/>
                    </a:prstGeom>
                    <a:noFill/>
                    <a:ln>
                      <a:noFill/>
                    </a:ln>
                  </pic:spPr>
                </pic:pic>
              </a:graphicData>
            </a:graphic>
          </wp:inline>
        </w:drawing>
      </w:r>
    </w:p>
    <w:p w14:paraId="21769AC7" w14:textId="77777777" w:rsidR="009021F1" w:rsidRPr="00D579BE" w:rsidRDefault="009021F1" w:rsidP="009021F1">
      <w:pPr>
        <w:rPr>
          <w:rFonts w:cs="Arial"/>
          <w:szCs w:val="21"/>
        </w:rPr>
      </w:pPr>
    </w:p>
    <w:p w14:paraId="5E1C9630" w14:textId="77777777" w:rsidR="009021F1" w:rsidRPr="00D579BE" w:rsidRDefault="009021F1" w:rsidP="009021F1">
      <w:pPr>
        <w:spacing w:after="160"/>
        <w:rPr>
          <w:rFonts w:cs="Arial"/>
          <w:szCs w:val="21"/>
        </w:rPr>
      </w:pPr>
      <w:r w:rsidRPr="00D579BE">
        <w:rPr>
          <w:rFonts w:cs="Arial"/>
          <w:noProof/>
          <w:szCs w:val="21"/>
        </w:rPr>
        <w:drawing>
          <wp:inline distT="0" distB="0" distL="0" distR="0" wp14:anchorId="247D2329" wp14:editId="6FBA973C">
            <wp:extent cx="5853430" cy="8063230"/>
            <wp:effectExtent l="0" t="0" r="0" b="0"/>
            <wp:docPr id="5259" name="Image 5259" descr="C:\Users\HP SPECTRE\AppData\Local\Microsoft\Windows\INetCache\Content.Outlook\XQP08MFT\scan PV consultatio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C:\Users\HP SPECTRE\AppData\Local\Microsoft\Windows\INetCache\Content.Outlook\XQP08MFT\scan PV consultation0001.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853430" cy="8063230"/>
                    </a:xfrm>
                    <a:prstGeom prst="rect">
                      <a:avLst/>
                    </a:prstGeom>
                    <a:noFill/>
                    <a:ln>
                      <a:noFill/>
                    </a:ln>
                  </pic:spPr>
                </pic:pic>
              </a:graphicData>
            </a:graphic>
          </wp:inline>
        </w:drawing>
      </w:r>
    </w:p>
    <w:p w14:paraId="09BA9DBC" w14:textId="77777777" w:rsidR="009021F1" w:rsidRPr="00D579BE" w:rsidRDefault="009021F1" w:rsidP="009021F1">
      <w:pPr>
        <w:spacing w:after="160"/>
        <w:rPr>
          <w:rFonts w:cs="Arial"/>
          <w:szCs w:val="21"/>
        </w:rPr>
      </w:pPr>
      <w:r w:rsidRPr="00D579BE">
        <w:rPr>
          <w:rFonts w:cs="Arial"/>
          <w:noProof/>
          <w:szCs w:val="21"/>
        </w:rPr>
        <w:drawing>
          <wp:inline distT="0" distB="0" distL="0" distR="0" wp14:anchorId="6448D39A" wp14:editId="58EAB00F">
            <wp:extent cx="5853430" cy="8043545"/>
            <wp:effectExtent l="0" t="0" r="0" b="0"/>
            <wp:docPr id="5260" name="Image 5260" descr="C:\Users\HP SPECTRE\AppData\Local\Microsoft\Windows\INetCache\Content.Outlook\XQP08MFT\scan PV consultatio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descr="C:\Users\HP SPECTRE\AppData\Local\Microsoft\Windows\INetCache\Content.Outlook\XQP08MFT\scan PV consultation0002.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853430" cy="8043545"/>
                    </a:xfrm>
                    <a:prstGeom prst="rect">
                      <a:avLst/>
                    </a:prstGeom>
                    <a:noFill/>
                    <a:ln>
                      <a:noFill/>
                    </a:ln>
                  </pic:spPr>
                </pic:pic>
              </a:graphicData>
            </a:graphic>
          </wp:inline>
        </w:drawing>
      </w:r>
      <w:r w:rsidRPr="00D579BE">
        <w:rPr>
          <w:rFonts w:cs="Arial"/>
          <w:szCs w:val="21"/>
        </w:rPr>
        <w:br w:type="page"/>
      </w:r>
    </w:p>
    <w:p w14:paraId="5741F728" w14:textId="77777777" w:rsidR="009021F1" w:rsidRPr="00D579BE" w:rsidRDefault="009021F1" w:rsidP="009021F1">
      <w:pPr>
        <w:spacing w:after="160"/>
        <w:rPr>
          <w:rFonts w:cs="Arial"/>
          <w:szCs w:val="21"/>
        </w:rPr>
      </w:pPr>
      <w:r w:rsidRPr="00D579BE">
        <w:rPr>
          <w:rFonts w:cs="Arial"/>
          <w:noProof/>
          <w:szCs w:val="21"/>
        </w:rPr>
        <w:drawing>
          <wp:inline distT="0" distB="0" distL="0" distR="0" wp14:anchorId="3E71059E" wp14:editId="10F153E5">
            <wp:extent cx="5853430" cy="8043545"/>
            <wp:effectExtent l="0" t="0" r="0" b="0"/>
            <wp:docPr id="5261" name="Image 5261" descr="C:\Users\HP SPECTRE\AppData\Local\Microsoft\Windows\INetCache\Content.Outlook\XQP08MFT\scan PV consultatio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 descr="C:\Users\HP SPECTRE\AppData\Local\Microsoft\Windows\INetCache\Content.Outlook\XQP08MFT\scan PV consultation0003.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853430" cy="8043545"/>
                    </a:xfrm>
                    <a:prstGeom prst="rect">
                      <a:avLst/>
                    </a:prstGeom>
                    <a:noFill/>
                    <a:ln>
                      <a:noFill/>
                    </a:ln>
                  </pic:spPr>
                </pic:pic>
              </a:graphicData>
            </a:graphic>
          </wp:inline>
        </w:drawing>
      </w:r>
      <w:r w:rsidRPr="00D579BE">
        <w:rPr>
          <w:rFonts w:cs="Arial"/>
          <w:szCs w:val="21"/>
        </w:rPr>
        <w:br w:type="page"/>
      </w:r>
    </w:p>
    <w:p w14:paraId="18B3ACC6" w14:textId="77777777" w:rsidR="009021F1" w:rsidRPr="00D579BE" w:rsidRDefault="009021F1" w:rsidP="009021F1">
      <w:pPr>
        <w:spacing w:after="160"/>
        <w:rPr>
          <w:rFonts w:cs="Arial"/>
          <w:szCs w:val="21"/>
        </w:rPr>
      </w:pPr>
      <w:r w:rsidRPr="00D579BE">
        <w:rPr>
          <w:rFonts w:cs="Arial"/>
          <w:noProof/>
          <w:szCs w:val="21"/>
        </w:rPr>
        <w:drawing>
          <wp:inline distT="0" distB="0" distL="0" distR="0" wp14:anchorId="152C3556" wp14:editId="5C06E01C">
            <wp:extent cx="5853430" cy="8043545"/>
            <wp:effectExtent l="0" t="0" r="0" b="0"/>
            <wp:docPr id="5262" name="Image 5262" descr="C:\Users\HP SPECTRE\AppData\Local\Microsoft\Windows\INetCache\Content.Outlook\XQP08MFT\scan PV consultation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 descr="C:\Users\HP SPECTRE\AppData\Local\Microsoft\Windows\INetCache\Content.Outlook\XQP08MFT\scan PV consultation0004.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853430" cy="8043545"/>
                    </a:xfrm>
                    <a:prstGeom prst="rect">
                      <a:avLst/>
                    </a:prstGeom>
                    <a:noFill/>
                    <a:ln>
                      <a:noFill/>
                    </a:ln>
                  </pic:spPr>
                </pic:pic>
              </a:graphicData>
            </a:graphic>
          </wp:inline>
        </w:drawing>
      </w:r>
      <w:r w:rsidRPr="00D579BE">
        <w:rPr>
          <w:rFonts w:cs="Arial"/>
          <w:szCs w:val="21"/>
        </w:rPr>
        <w:br w:type="page"/>
      </w:r>
    </w:p>
    <w:p w14:paraId="3FF7E958" w14:textId="77777777" w:rsidR="009021F1" w:rsidRPr="00D579BE" w:rsidRDefault="009021F1" w:rsidP="009021F1">
      <w:pPr>
        <w:spacing w:after="160"/>
        <w:rPr>
          <w:rFonts w:cs="Arial"/>
          <w:szCs w:val="21"/>
        </w:rPr>
      </w:pPr>
      <w:r w:rsidRPr="00D579BE">
        <w:rPr>
          <w:rFonts w:cs="Arial"/>
          <w:noProof/>
          <w:szCs w:val="21"/>
        </w:rPr>
        <w:drawing>
          <wp:inline distT="0" distB="0" distL="0" distR="0" wp14:anchorId="0ED07109" wp14:editId="6D8D1818">
            <wp:extent cx="5853430" cy="8043545"/>
            <wp:effectExtent l="0" t="0" r="0" b="0"/>
            <wp:docPr id="5263" name="Image 5263" descr="C:\Users\HP SPECTRE\AppData\Local\Microsoft\Windows\INetCache\Content.Outlook\XQP08MFT\scan PV consultation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descr="C:\Users\HP SPECTRE\AppData\Local\Microsoft\Windows\INetCache\Content.Outlook\XQP08MFT\scan PV consultation0005.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853430" cy="8043545"/>
                    </a:xfrm>
                    <a:prstGeom prst="rect">
                      <a:avLst/>
                    </a:prstGeom>
                    <a:noFill/>
                    <a:ln>
                      <a:noFill/>
                    </a:ln>
                  </pic:spPr>
                </pic:pic>
              </a:graphicData>
            </a:graphic>
          </wp:inline>
        </w:drawing>
      </w:r>
    </w:p>
    <w:p w14:paraId="24BF9E67" w14:textId="77777777" w:rsidR="009021F1" w:rsidRPr="00D579BE" w:rsidRDefault="009021F1" w:rsidP="009021F1">
      <w:pPr>
        <w:spacing w:after="160"/>
        <w:rPr>
          <w:rFonts w:cs="Arial"/>
          <w:szCs w:val="21"/>
        </w:rPr>
      </w:pPr>
      <w:r w:rsidRPr="00D579BE">
        <w:rPr>
          <w:rFonts w:cs="Arial"/>
          <w:szCs w:val="21"/>
        </w:rPr>
        <w:br w:type="page"/>
      </w:r>
      <w:r w:rsidRPr="00D579BE">
        <w:rPr>
          <w:rFonts w:cs="Arial"/>
          <w:noProof/>
          <w:szCs w:val="21"/>
        </w:rPr>
        <w:drawing>
          <wp:inline distT="0" distB="0" distL="0" distR="0" wp14:anchorId="58E248E7" wp14:editId="7C13AD3E">
            <wp:extent cx="5853430" cy="8043545"/>
            <wp:effectExtent l="0" t="0" r="0" b="0"/>
            <wp:docPr id="5264" name="Image 5264" descr="C:\Users\HP SPECTRE\AppData\Local\Microsoft\Windows\INetCache\Content.Outlook\XQP08MFT\scan PV consultation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descr="C:\Users\HP SPECTRE\AppData\Local\Microsoft\Windows\INetCache\Content.Outlook\XQP08MFT\scan PV consultation0006.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853430" cy="8043545"/>
                    </a:xfrm>
                    <a:prstGeom prst="rect">
                      <a:avLst/>
                    </a:prstGeom>
                    <a:noFill/>
                    <a:ln>
                      <a:noFill/>
                    </a:ln>
                  </pic:spPr>
                </pic:pic>
              </a:graphicData>
            </a:graphic>
          </wp:inline>
        </w:drawing>
      </w:r>
    </w:p>
    <w:p w14:paraId="662C8931" w14:textId="77777777" w:rsidR="009021F1" w:rsidRPr="00D579BE" w:rsidRDefault="009021F1" w:rsidP="009021F1">
      <w:pPr>
        <w:spacing w:after="160"/>
        <w:rPr>
          <w:rFonts w:cs="Arial"/>
          <w:szCs w:val="21"/>
        </w:rPr>
      </w:pPr>
      <w:r w:rsidRPr="00D579BE">
        <w:rPr>
          <w:rFonts w:cs="Arial"/>
          <w:szCs w:val="21"/>
        </w:rPr>
        <w:br w:type="page"/>
      </w:r>
      <w:r w:rsidRPr="00D579BE">
        <w:rPr>
          <w:rFonts w:cs="Arial"/>
          <w:noProof/>
          <w:szCs w:val="21"/>
        </w:rPr>
        <w:drawing>
          <wp:inline distT="0" distB="0" distL="0" distR="0" wp14:anchorId="19EA0FDF" wp14:editId="436FAAAA">
            <wp:extent cx="5853430" cy="8043545"/>
            <wp:effectExtent l="0" t="0" r="0" b="0"/>
            <wp:docPr id="5265" name="Image 5265" descr="C:\Users\HP SPECTRE\AppData\Local\Microsoft\Windows\INetCache\Content.Outlook\XQP08MFT\scan PV consultation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 descr="C:\Users\HP SPECTRE\AppData\Local\Microsoft\Windows\INetCache\Content.Outlook\XQP08MFT\scan PV consultation0007.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853430" cy="8043545"/>
                    </a:xfrm>
                    <a:prstGeom prst="rect">
                      <a:avLst/>
                    </a:prstGeom>
                    <a:noFill/>
                    <a:ln>
                      <a:noFill/>
                    </a:ln>
                  </pic:spPr>
                </pic:pic>
              </a:graphicData>
            </a:graphic>
          </wp:inline>
        </w:drawing>
      </w:r>
    </w:p>
    <w:p w14:paraId="55980A58" w14:textId="77777777" w:rsidR="009021F1" w:rsidRPr="00D579BE" w:rsidRDefault="009021F1" w:rsidP="009021F1">
      <w:pPr>
        <w:spacing w:after="160"/>
        <w:rPr>
          <w:rFonts w:cs="Arial"/>
          <w:szCs w:val="21"/>
        </w:rPr>
      </w:pPr>
      <w:r w:rsidRPr="00D579BE">
        <w:rPr>
          <w:rFonts w:cs="Arial"/>
          <w:noProof/>
          <w:szCs w:val="21"/>
        </w:rPr>
        <w:drawing>
          <wp:inline distT="0" distB="0" distL="0" distR="0" wp14:anchorId="2DF30EA1" wp14:editId="60850C48">
            <wp:extent cx="5853430" cy="8034020"/>
            <wp:effectExtent l="0" t="0" r="0" b="5080"/>
            <wp:docPr id="5266" name="Image 5266" descr="C:\Users\HP SPECTRE\AppData\Local\Microsoft\Windows\INetCache\Content.Outlook\XQP08MFT\scan PV consultation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descr="C:\Users\HP SPECTRE\AppData\Local\Microsoft\Windows\INetCache\Content.Outlook\XQP08MFT\scan PV consultation0008.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853430" cy="8034020"/>
                    </a:xfrm>
                    <a:prstGeom prst="rect">
                      <a:avLst/>
                    </a:prstGeom>
                    <a:noFill/>
                    <a:ln>
                      <a:noFill/>
                    </a:ln>
                  </pic:spPr>
                </pic:pic>
              </a:graphicData>
            </a:graphic>
          </wp:inline>
        </w:drawing>
      </w:r>
      <w:r w:rsidRPr="00D579BE">
        <w:rPr>
          <w:rFonts w:cs="Arial"/>
          <w:szCs w:val="21"/>
        </w:rPr>
        <w:br w:type="page"/>
      </w:r>
    </w:p>
    <w:p w14:paraId="44D1C13D" w14:textId="77777777" w:rsidR="009021F1" w:rsidRPr="00D579BE" w:rsidRDefault="009021F1" w:rsidP="009021F1">
      <w:pPr>
        <w:spacing w:after="160"/>
        <w:rPr>
          <w:rFonts w:cs="Arial"/>
          <w:szCs w:val="21"/>
        </w:rPr>
      </w:pPr>
      <w:r w:rsidRPr="00D579BE">
        <w:rPr>
          <w:rFonts w:cs="Arial"/>
          <w:noProof/>
          <w:szCs w:val="21"/>
        </w:rPr>
        <w:drawing>
          <wp:inline distT="0" distB="0" distL="0" distR="0" wp14:anchorId="6B34FF2B" wp14:editId="6B2E0CBB">
            <wp:extent cx="5853430" cy="8043545"/>
            <wp:effectExtent l="0" t="0" r="0" b="0"/>
            <wp:docPr id="5267" name="Image 5267" descr="C:\Users\HP SPECTRE\AppData\Local\Microsoft\Windows\INetCache\Content.Outlook\XQP08MFT\scan PV consultation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descr="C:\Users\HP SPECTRE\AppData\Local\Microsoft\Windows\INetCache\Content.Outlook\XQP08MFT\scan PV consultation0009.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853430" cy="8043545"/>
                    </a:xfrm>
                    <a:prstGeom prst="rect">
                      <a:avLst/>
                    </a:prstGeom>
                    <a:noFill/>
                    <a:ln>
                      <a:noFill/>
                    </a:ln>
                  </pic:spPr>
                </pic:pic>
              </a:graphicData>
            </a:graphic>
          </wp:inline>
        </w:drawing>
      </w:r>
      <w:r w:rsidRPr="00D579BE">
        <w:rPr>
          <w:rFonts w:cs="Arial"/>
          <w:szCs w:val="21"/>
        </w:rPr>
        <w:br w:type="page"/>
      </w:r>
    </w:p>
    <w:p w14:paraId="3DEF10E2" w14:textId="77777777" w:rsidR="009021F1" w:rsidRPr="00D579BE" w:rsidRDefault="009021F1" w:rsidP="009021F1">
      <w:pPr>
        <w:spacing w:after="160"/>
        <w:rPr>
          <w:rFonts w:cs="Arial"/>
          <w:szCs w:val="21"/>
        </w:rPr>
      </w:pPr>
      <w:r w:rsidRPr="00D579BE">
        <w:rPr>
          <w:rFonts w:cs="Arial"/>
          <w:noProof/>
          <w:szCs w:val="21"/>
        </w:rPr>
        <w:drawing>
          <wp:inline distT="0" distB="0" distL="0" distR="0" wp14:anchorId="60AB425D" wp14:editId="251DE14C">
            <wp:extent cx="5853430" cy="8043545"/>
            <wp:effectExtent l="0" t="0" r="0" b="0"/>
            <wp:docPr id="5268" name="Image 5268" descr="C:\Users\HP SPECTRE\AppData\Local\Microsoft\Windows\INetCache\Content.Outlook\XQP08MFT\scan PV consultation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descr="C:\Users\HP SPECTRE\AppData\Local\Microsoft\Windows\INetCache\Content.Outlook\XQP08MFT\scan PV consultation0010.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853430" cy="8043545"/>
                    </a:xfrm>
                    <a:prstGeom prst="rect">
                      <a:avLst/>
                    </a:prstGeom>
                    <a:noFill/>
                    <a:ln>
                      <a:noFill/>
                    </a:ln>
                  </pic:spPr>
                </pic:pic>
              </a:graphicData>
            </a:graphic>
          </wp:inline>
        </w:drawing>
      </w:r>
    </w:p>
    <w:p w14:paraId="17679222" w14:textId="77777777" w:rsidR="009021F1" w:rsidRPr="00D579BE" w:rsidRDefault="009021F1" w:rsidP="009021F1">
      <w:pPr>
        <w:spacing w:after="160"/>
        <w:rPr>
          <w:rFonts w:cs="Arial"/>
          <w:szCs w:val="21"/>
        </w:rPr>
      </w:pPr>
      <w:r w:rsidRPr="00D579BE">
        <w:rPr>
          <w:rFonts w:cs="Arial"/>
          <w:noProof/>
          <w:szCs w:val="21"/>
        </w:rPr>
        <w:drawing>
          <wp:inline distT="0" distB="0" distL="0" distR="0" wp14:anchorId="0658EF96" wp14:editId="1CEC1234">
            <wp:extent cx="5853430" cy="8043545"/>
            <wp:effectExtent l="0" t="0" r="0" b="0"/>
            <wp:docPr id="5269" name="Image 5269" descr="C:\Users\HP SPECTRE\AppData\Local\Microsoft\Windows\INetCache\Content.Outlook\XQP08MFT\scan PV consultation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 descr="C:\Users\HP SPECTRE\AppData\Local\Microsoft\Windows\INetCache\Content.Outlook\XQP08MFT\scan PV consultation0011.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853430" cy="8043545"/>
                    </a:xfrm>
                    <a:prstGeom prst="rect">
                      <a:avLst/>
                    </a:prstGeom>
                    <a:noFill/>
                    <a:ln>
                      <a:noFill/>
                    </a:ln>
                  </pic:spPr>
                </pic:pic>
              </a:graphicData>
            </a:graphic>
          </wp:inline>
        </w:drawing>
      </w:r>
      <w:r w:rsidRPr="00D579BE">
        <w:rPr>
          <w:rFonts w:cs="Arial"/>
          <w:szCs w:val="21"/>
        </w:rPr>
        <w:br w:type="page"/>
      </w:r>
    </w:p>
    <w:p w14:paraId="7B5DE8A2" w14:textId="77777777" w:rsidR="009021F1" w:rsidRPr="00D579BE" w:rsidRDefault="009021F1" w:rsidP="009021F1">
      <w:pPr>
        <w:spacing w:after="160"/>
        <w:rPr>
          <w:rFonts w:cs="Arial"/>
          <w:szCs w:val="21"/>
        </w:rPr>
      </w:pPr>
      <w:r w:rsidRPr="00D579BE">
        <w:rPr>
          <w:rFonts w:cs="Arial"/>
          <w:noProof/>
          <w:szCs w:val="21"/>
        </w:rPr>
        <w:drawing>
          <wp:inline distT="0" distB="0" distL="0" distR="0" wp14:anchorId="27831E06" wp14:editId="6C238A71">
            <wp:extent cx="5853430" cy="8043545"/>
            <wp:effectExtent l="0" t="0" r="0" b="0"/>
            <wp:docPr id="5270" name="Image 5270" descr="C:\Users\HP SPECTRE\AppData\Local\Microsoft\Windows\INetCache\Content.Outlook\XQP08MFT\scan PV consultation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descr="C:\Users\HP SPECTRE\AppData\Local\Microsoft\Windows\INetCache\Content.Outlook\XQP08MFT\scan PV consultation0012.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853430" cy="8043545"/>
                    </a:xfrm>
                    <a:prstGeom prst="rect">
                      <a:avLst/>
                    </a:prstGeom>
                    <a:noFill/>
                    <a:ln>
                      <a:noFill/>
                    </a:ln>
                  </pic:spPr>
                </pic:pic>
              </a:graphicData>
            </a:graphic>
          </wp:inline>
        </w:drawing>
      </w:r>
    </w:p>
    <w:p w14:paraId="5CB2773A" w14:textId="77777777" w:rsidR="009021F1" w:rsidRPr="00D579BE" w:rsidRDefault="009021F1" w:rsidP="009021F1">
      <w:pPr>
        <w:spacing w:after="160"/>
        <w:rPr>
          <w:rFonts w:cs="Arial"/>
          <w:szCs w:val="21"/>
        </w:rPr>
      </w:pPr>
      <w:r w:rsidRPr="00D579BE">
        <w:rPr>
          <w:rFonts w:cs="Arial"/>
          <w:noProof/>
          <w:szCs w:val="21"/>
        </w:rPr>
        <w:drawing>
          <wp:inline distT="0" distB="0" distL="0" distR="0" wp14:anchorId="2A830F15" wp14:editId="00E66031">
            <wp:extent cx="5853430" cy="8043545"/>
            <wp:effectExtent l="0" t="0" r="0" b="0"/>
            <wp:docPr id="5271" name="Image 5271" descr="C:\Users\HP SPECTRE\AppData\Local\Microsoft\Windows\INetCache\Content.Outlook\XQP08MFT\scan PV consultation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descr="C:\Users\HP SPECTRE\AppData\Local\Microsoft\Windows\INetCache\Content.Outlook\XQP08MFT\scan PV consultation0013.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853430" cy="8043545"/>
                    </a:xfrm>
                    <a:prstGeom prst="rect">
                      <a:avLst/>
                    </a:prstGeom>
                    <a:noFill/>
                    <a:ln>
                      <a:noFill/>
                    </a:ln>
                  </pic:spPr>
                </pic:pic>
              </a:graphicData>
            </a:graphic>
          </wp:inline>
        </w:drawing>
      </w:r>
    </w:p>
    <w:p w14:paraId="4594C6F5" w14:textId="77777777" w:rsidR="009021F1" w:rsidRDefault="009021F1" w:rsidP="009021F1">
      <w:pPr>
        <w:spacing w:line="240" w:lineRule="auto"/>
        <w:jc w:val="left"/>
        <w:rPr>
          <w:rFonts w:cs="Arial"/>
          <w:b/>
          <w:bCs/>
          <w:szCs w:val="21"/>
        </w:rPr>
      </w:pPr>
      <w:r>
        <w:rPr>
          <w:rFonts w:cs="Arial"/>
          <w:szCs w:val="21"/>
        </w:rPr>
        <w:br w:type="page"/>
      </w:r>
    </w:p>
    <w:p w14:paraId="77A18B81" w14:textId="77777777" w:rsidR="009021F1" w:rsidRPr="00D579BE" w:rsidRDefault="009021F1" w:rsidP="009021F1">
      <w:pPr>
        <w:pStyle w:val="Titre1"/>
        <w:tabs>
          <w:tab w:val="right" w:pos="9062"/>
        </w:tabs>
        <w:ind w:left="1276" w:hanging="1276"/>
        <w:rPr>
          <w:rFonts w:cs="Arial"/>
          <w:b w:val="0"/>
          <w:szCs w:val="21"/>
        </w:rPr>
      </w:pPr>
      <w:bookmarkStart w:id="490" w:name="_Toc90471596"/>
      <w:r w:rsidRPr="00B76D27">
        <w:rPr>
          <w:rFonts w:cs="Arial"/>
          <w:noProof/>
          <w:szCs w:val="21"/>
        </w:rPr>
        <w:drawing>
          <wp:anchor distT="0" distB="0" distL="114300" distR="114300" simplePos="0" relativeHeight="251727916" behindDoc="0" locked="0" layoutInCell="1" allowOverlap="1" wp14:anchorId="2104D6D3" wp14:editId="51B217C5">
            <wp:simplePos x="0" y="0"/>
            <wp:positionH relativeFrom="margin">
              <wp:posOffset>-79375</wp:posOffset>
            </wp:positionH>
            <wp:positionV relativeFrom="paragraph">
              <wp:posOffset>739775</wp:posOffset>
            </wp:positionV>
            <wp:extent cx="5850890" cy="7278370"/>
            <wp:effectExtent l="0" t="0" r="0" b="0"/>
            <wp:wrapNone/>
            <wp:docPr id="5272" name="Image 5272" descr="C:\Users\user\Documents\PNDA MAI 2020\CGES PNDA\Photos Kananga\IMG-20200523-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descr="C:\Users\user\Documents\PNDA MAI 2020\CGES PNDA\Photos Kananga\IMG-20200523-WA0016.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850890" cy="7278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6D27">
        <w:rPr>
          <w:rFonts w:cs="Arial"/>
          <w:szCs w:val="21"/>
        </w:rPr>
        <w:t>ANNEXE 8. LISTES DES PRÉSENCES DES RÉUNIONS DE CONSULTATIONS DU PUBLIC ORGANISÉES DANS LES PROVINCE DU KASAÏ, KASAÏ CENTRAL, KONGO CENTRAL, KWILU, ET NORD-KIVU</w:t>
      </w:r>
      <w:bookmarkEnd w:id="490"/>
      <w:r w:rsidRPr="00D579BE">
        <w:rPr>
          <w:rFonts w:cs="Arial"/>
          <w:b w:val="0"/>
          <w:szCs w:val="21"/>
        </w:rPr>
        <w:br w:type="page"/>
      </w:r>
    </w:p>
    <w:p w14:paraId="0B71C04A" w14:textId="77777777" w:rsidR="009021F1" w:rsidRPr="00D579BE" w:rsidRDefault="009021F1" w:rsidP="009021F1">
      <w:pPr>
        <w:spacing w:after="160"/>
        <w:rPr>
          <w:rFonts w:cs="Arial"/>
          <w:szCs w:val="21"/>
        </w:rPr>
      </w:pPr>
      <w:r w:rsidRPr="00D579BE">
        <w:rPr>
          <w:noProof/>
          <w:szCs w:val="21"/>
        </w:rPr>
        <w:drawing>
          <wp:anchor distT="0" distB="0" distL="114300" distR="114300" simplePos="0" relativeHeight="251728940" behindDoc="0" locked="0" layoutInCell="1" allowOverlap="1" wp14:anchorId="3846D1F9" wp14:editId="0FF200BF">
            <wp:simplePos x="0" y="0"/>
            <wp:positionH relativeFrom="margin">
              <wp:align>right</wp:align>
            </wp:positionH>
            <wp:positionV relativeFrom="paragraph">
              <wp:posOffset>224155</wp:posOffset>
            </wp:positionV>
            <wp:extent cx="5850890" cy="7980045"/>
            <wp:effectExtent l="0" t="0" r="0" b="1905"/>
            <wp:wrapNone/>
            <wp:docPr id="5273" name="Image 5273" descr="C:\Users\user\Documents\PNDA MAI 2020\CGES PNDA\TSHIKAPA\IMG-20200610-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C:\Users\user\Documents\PNDA MAI 2020\CGES PNDA\TSHIKAPA\IMG-20200610-WA0050.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850890" cy="7980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EA8411" w14:textId="77777777" w:rsidR="009021F1" w:rsidRPr="00D579BE" w:rsidRDefault="009021F1" w:rsidP="009021F1">
      <w:pPr>
        <w:spacing w:after="160"/>
        <w:rPr>
          <w:rFonts w:cs="Arial"/>
          <w:szCs w:val="21"/>
        </w:rPr>
      </w:pPr>
    </w:p>
    <w:p w14:paraId="30D947F5" w14:textId="77777777" w:rsidR="009021F1" w:rsidRPr="00D579BE" w:rsidRDefault="009021F1" w:rsidP="009021F1">
      <w:pPr>
        <w:pageBreakBefore/>
        <w:ind w:left="1170" w:hanging="1170"/>
        <w:rPr>
          <w:rFonts w:cs="Arial"/>
          <w:szCs w:val="21"/>
        </w:rPr>
      </w:pPr>
    </w:p>
    <w:p w14:paraId="1AAA5C4C" w14:textId="77777777" w:rsidR="009021F1" w:rsidRPr="00D579BE" w:rsidRDefault="009021F1" w:rsidP="009021F1">
      <w:pPr>
        <w:spacing w:after="160"/>
        <w:rPr>
          <w:szCs w:val="21"/>
        </w:rPr>
      </w:pPr>
      <w:r w:rsidRPr="00D579BE">
        <w:rPr>
          <w:rFonts w:cs="Arial"/>
          <w:noProof/>
          <w:szCs w:val="21"/>
        </w:rPr>
        <w:drawing>
          <wp:inline distT="0" distB="0" distL="0" distR="0" wp14:anchorId="52135735" wp14:editId="4B057275">
            <wp:extent cx="5872480" cy="7447280"/>
            <wp:effectExtent l="0" t="0" r="0" b="1270"/>
            <wp:docPr id="5274" name="Image 5274" descr="C:\Users\user\Documents\PNDA MAI 2020\CGES PNDA\PNDA_Missions de terrain\PNDA_Liste de présences consultation du public-Matadi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C:\Users\user\Documents\PNDA MAI 2020\CGES PNDA\PNDA_Missions de terrain\PNDA_Liste de présences consultation du public-Matadi .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872480" cy="7447280"/>
                    </a:xfrm>
                    <a:prstGeom prst="rect">
                      <a:avLst/>
                    </a:prstGeom>
                    <a:noFill/>
                    <a:ln>
                      <a:noFill/>
                    </a:ln>
                  </pic:spPr>
                </pic:pic>
              </a:graphicData>
            </a:graphic>
          </wp:inline>
        </w:drawing>
      </w:r>
    </w:p>
    <w:p w14:paraId="14A37E5E" w14:textId="77777777" w:rsidR="009021F1" w:rsidRPr="00D579BE" w:rsidRDefault="009021F1" w:rsidP="009021F1">
      <w:pPr>
        <w:rPr>
          <w:szCs w:val="21"/>
        </w:rPr>
      </w:pPr>
      <w:r w:rsidRPr="00D579BE">
        <w:rPr>
          <w:rFonts w:cs="Arial"/>
          <w:noProof/>
          <w:szCs w:val="21"/>
        </w:rPr>
        <w:drawing>
          <wp:inline distT="0" distB="0" distL="0" distR="0" wp14:anchorId="2B04C30E" wp14:editId="70BBADAD">
            <wp:extent cx="6082665" cy="7921625"/>
            <wp:effectExtent l="0" t="0" r="0" b="3175"/>
            <wp:docPr id="5275" name="Image 5275" descr="C:\Users\user\Documents\PNDA MAI 2020\CGES PNDA\PNDA_Missions de terrain\PNDA_Liste de présences consultation du public-Matadi 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descr="C:\Users\user\Documents\PNDA MAI 2020\CGES PNDA\PNDA_Missions de terrain\PNDA_Liste de présences consultation du public-Matadi _0001.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082665" cy="7921625"/>
                    </a:xfrm>
                    <a:prstGeom prst="rect">
                      <a:avLst/>
                    </a:prstGeom>
                    <a:noFill/>
                    <a:ln>
                      <a:noFill/>
                    </a:ln>
                  </pic:spPr>
                </pic:pic>
              </a:graphicData>
            </a:graphic>
          </wp:inline>
        </w:drawing>
      </w:r>
    </w:p>
    <w:p w14:paraId="5F339CCF" w14:textId="77777777" w:rsidR="009021F1" w:rsidRPr="00D579BE" w:rsidRDefault="009021F1" w:rsidP="009021F1">
      <w:pPr>
        <w:rPr>
          <w:rFonts w:cs="Arial"/>
          <w:szCs w:val="21"/>
        </w:rPr>
      </w:pPr>
    </w:p>
    <w:p w14:paraId="5A13A809" w14:textId="77777777" w:rsidR="009021F1" w:rsidRPr="00D579BE" w:rsidRDefault="009021F1" w:rsidP="009021F1">
      <w:pPr>
        <w:rPr>
          <w:szCs w:val="21"/>
        </w:rPr>
      </w:pPr>
      <w:r w:rsidRPr="00D579BE">
        <w:rPr>
          <w:rFonts w:cs="Arial"/>
          <w:noProof/>
          <w:szCs w:val="21"/>
        </w:rPr>
        <w:drawing>
          <wp:inline distT="0" distB="0" distL="0" distR="0" wp14:anchorId="6B02AB86" wp14:editId="607B2040">
            <wp:extent cx="6043930" cy="7921625"/>
            <wp:effectExtent l="0" t="0" r="0" b="3175"/>
            <wp:docPr id="5276" name="Image 5276" descr="C:\Users\user\Documents\PNDA MAI 2020\CGES PNDA\PNDA_Missions de terrain\BDD\PNDA_Liste des présences consultation du public_Bandun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descr="C:\Users\user\Documents\PNDA MAI 2020\CGES PNDA\PNDA_Missions de terrain\BDD\PNDA_Liste des présences consultation du public_Bandundu.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043930" cy="7921625"/>
                    </a:xfrm>
                    <a:prstGeom prst="rect">
                      <a:avLst/>
                    </a:prstGeom>
                    <a:noFill/>
                    <a:ln>
                      <a:noFill/>
                    </a:ln>
                  </pic:spPr>
                </pic:pic>
              </a:graphicData>
            </a:graphic>
          </wp:inline>
        </w:drawing>
      </w:r>
    </w:p>
    <w:p w14:paraId="3F223E42" w14:textId="77777777" w:rsidR="009021F1" w:rsidRPr="00D579BE" w:rsidRDefault="009021F1" w:rsidP="009021F1">
      <w:pPr>
        <w:pageBreakBefore/>
        <w:rPr>
          <w:szCs w:val="21"/>
        </w:rPr>
      </w:pPr>
      <w:r w:rsidRPr="00D579BE">
        <w:rPr>
          <w:rFonts w:cs="Arial"/>
          <w:noProof/>
          <w:szCs w:val="21"/>
        </w:rPr>
        <w:drawing>
          <wp:inline distT="0" distB="0" distL="0" distR="0" wp14:anchorId="6E9118BB" wp14:editId="4F6EA3D6">
            <wp:extent cx="5853430" cy="8278495"/>
            <wp:effectExtent l="0" t="0" r="0" b="8255"/>
            <wp:docPr id="5277" name="Image 5277" descr="C:\Users\user\Documents\PNDA MAI 2020\CGES PNDA\PNDA_Missions de terrain\BDD\PNDA_Liste des présences consultation du public_Bandundu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descr="C:\Users\user\Documents\PNDA MAI 2020\CGES PNDA\PNDA_Missions de terrain\BDD\PNDA_Liste des présences consultation du public_Bandundu_0001.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853430" cy="8278495"/>
                    </a:xfrm>
                    <a:prstGeom prst="rect">
                      <a:avLst/>
                    </a:prstGeom>
                    <a:noFill/>
                    <a:ln>
                      <a:noFill/>
                    </a:ln>
                  </pic:spPr>
                </pic:pic>
              </a:graphicData>
            </a:graphic>
          </wp:inline>
        </w:drawing>
      </w:r>
    </w:p>
    <w:p w14:paraId="1FBB2D6A" w14:textId="77777777" w:rsidR="009021F1" w:rsidRPr="00D579BE" w:rsidRDefault="009021F1" w:rsidP="009021F1">
      <w:pPr>
        <w:spacing w:after="160"/>
        <w:rPr>
          <w:rFonts w:cs="Arial"/>
          <w:szCs w:val="21"/>
        </w:rPr>
      </w:pPr>
      <w:r w:rsidRPr="00D579BE">
        <w:rPr>
          <w:rFonts w:cs="Arial"/>
          <w:noProof/>
          <w:szCs w:val="21"/>
        </w:rPr>
        <w:drawing>
          <wp:inline distT="0" distB="0" distL="0" distR="0" wp14:anchorId="629023C7" wp14:editId="4EB97DBB">
            <wp:extent cx="5853430" cy="8043545"/>
            <wp:effectExtent l="0" t="0" r="0" b="0"/>
            <wp:docPr id="5278" name="Image 5278" descr="C:\Users\HP SPECTRE\AppData\Local\Microsoft\Windows\INetCache\Content.Outlook\XQP08MFT\scan liste de présenc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descr="C:\Users\HP SPECTRE\AppData\Local\Microsoft\Windows\INetCache\Content.Outlook\XQP08MFT\scan liste de présence0001.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853430" cy="8043545"/>
                    </a:xfrm>
                    <a:prstGeom prst="rect">
                      <a:avLst/>
                    </a:prstGeom>
                    <a:noFill/>
                    <a:ln>
                      <a:noFill/>
                    </a:ln>
                  </pic:spPr>
                </pic:pic>
              </a:graphicData>
            </a:graphic>
          </wp:inline>
        </w:drawing>
      </w:r>
    </w:p>
    <w:p w14:paraId="6ACA0144" w14:textId="77777777" w:rsidR="009021F1" w:rsidRPr="00D579BE" w:rsidRDefault="009021F1" w:rsidP="009021F1">
      <w:pPr>
        <w:spacing w:after="160"/>
        <w:rPr>
          <w:rFonts w:cs="Arial"/>
          <w:szCs w:val="21"/>
        </w:rPr>
      </w:pPr>
      <w:r w:rsidRPr="00D579BE">
        <w:rPr>
          <w:rFonts w:cs="Arial"/>
          <w:szCs w:val="21"/>
        </w:rPr>
        <w:br w:type="page"/>
      </w:r>
      <w:r w:rsidRPr="00D579BE">
        <w:rPr>
          <w:rFonts w:cs="Arial"/>
          <w:noProof/>
          <w:szCs w:val="21"/>
        </w:rPr>
        <w:drawing>
          <wp:inline distT="0" distB="0" distL="0" distR="0" wp14:anchorId="3D19531D" wp14:editId="0F9653C2">
            <wp:extent cx="5853430" cy="8043545"/>
            <wp:effectExtent l="0" t="0" r="0" b="0"/>
            <wp:docPr id="5279" name="Image 5279" descr="C:\Users\HP SPECTRE\AppData\Local\Microsoft\Windows\INetCache\Content.Outlook\XQP08MFT\scan liste de présenc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descr="C:\Users\HP SPECTRE\AppData\Local\Microsoft\Windows\INetCache\Content.Outlook\XQP08MFT\scan liste de présence0002.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853430" cy="8043545"/>
                    </a:xfrm>
                    <a:prstGeom prst="rect">
                      <a:avLst/>
                    </a:prstGeom>
                    <a:noFill/>
                    <a:ln>
                      <a:noFill/>
                    </a:ln>
                  </pic:spPr>
                </pic:pic>
              </a:graphicData>
            </a:graphic>
          </wp:inline>
        </w:drawing>
      </w:r>
    </w:p>
    <w:p w14:paraId="629F6BA9" w14:textId="77777777" w:rsidR="009021F1" w:rsidRPr="00D579BE" w:rsidRDefault="009021F1" w:rsidP="009021F1">
      <w:pPr>
        <w:pStyle w:val="Titre1"/>
        <w:tabs>
          <w:tab w:val="right" w:pos="9062"/>
        </w:tabs>
        <w:ind w:left="1134" w:hanging="1134"/>
        <w:rPr>
          <w:rFonts w:cs="Arial"/>
          <w:szCs w:val="21"/>
        </w:rPr>
      </w:pPr>
      <w:r w:rsidRPr="00D579BE">
        <w:rPr>
          <w:rFonts w:cs="Arial"/>
          <w:szCs w:val="21"/>
        </w:rPr>
        <w:br w:type="page"/>
      </w:r>
      <w:bookmarkStart w:id="491" w:name="_Toc90471597"/>
      <w:r w:rsidRPr="00B42E21">
        <w:rPr>
          <w:rFonts w:cs="Arial"/>
          <w:szCs w:val="21"/>
        </w:rPr>
        <w:t>ANNEXE 9. QUELQUES EXEMPLAIRES DES COMMUNIQUES RADIOPHONIQUES DIFFUSÉS DANS LES VILLES KANANGA, TSHIKAPA, MATADI, BANDUNDU ET GOMA</w:t>
      </w:r>
      <w:bookmarkEnd w:id="491"/>
    </w:p>
    <w:p w14:paraId="18F22A35" w14:textId="77777777" w:rsidR="009021F1" w:rsidRPr="00D579BE" w:rsidRDefault="009021F1" w:rsidP="009021F1">
      <w:pPr>
        <w:ind w:left="1170" w:hanging="1170"/>
        <w:rPr>
          <w:rFonts w:cs="Arial"/>
          <w:szCs w:val="21"/>
        </w:rPr>
      </w:pPr>
    </w:p>
    <w:p w14:paraId="1D49F7BE" w14:textId="77777777" w:rsidR="009021F1" w:rsidRPr="00D579BE" w:rsidRDefault="009021F1" w:rsidP="009021F1">
      <w:pPr>
        <w:ind w:left="1170" w:hanging="1170"/>
        <w:rPr>
          <w:rFonts w:cs="Arial"/>
          <w:szCs w:val="21"/>
        </w:rPr>
      </w:pPr>
    </w:p>
    <w:p w14:paraId="39B1E840" w14:textId="77777777" w:rsidR="009021F1" w:rsidRPr="00D579BE" w:rsidRDefault="009021F1" w:rsidP="009021F1">
      <w:pPr>
        <w:spacing w:after="160"/>
        <w:rPr>
          <w:rFonts w:cs="Arial"/>
          <w:szCs w:val="21"/>
        </w:rPr>
      </w:pPr>
      <w:r w:rsidRPr="00D579BE">
        <w:rPr>
          <w:rFonts w:cs="Arial"/>
          <w:noProof/>
          <w:szCs w:val="21"/>
        </w:rPr>
        <w:drawing>
          <wp:inline distT="0" distB="0" distL="0" distR="0" wp14:anchorId="1517F340" wp14:editId="52DB9373">
            <wp:extent cx="5853430" cy="6821170"/>
            <wp:effectExtent l="0" t="0" r="0" b="0"/>
            <wp:docPr id="5280" name="Image 5280" descr="C:\Users\user\Documents\PNDA MAI 2020\CGES PNDA\TSHIKAPA\IMG-20200611-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C:\Users\user\Documents\PNDA MAI 2020\CGES PNDA\TSHIKAPA\IMG-20200611-WA0007.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853430" cy="6821170"/>
                    </a:xfrm>
                    <a:prstGeom prst="rect">
                      <a:avLst/>
                    </a:prstGeom>
                    <a:noFill/>
                    <a:ln>
                      <a:noFill/>
                    </a:ln>
                  </pic:spPr>
                </pic:pic>
              </a:graphicData>
            </a:graphic>
          </wp:inline>
        </w:drawing>
      </w:r>
      <w:r w:rsidRPr="00D579BE">
        <w:rPr>
          <w:rFonts w:cs="Arial"/>
          <w:szCs w:val="21"/>
        </w:rPr>
        <w:br w:type="page"/>
      </w:r>
    </w:p>
    <w:p w14:paraId="7927A9E0" w14:textId="77777777" w:rsidR="009021F1" w:rsidRPr="00D579BE" w:rsidRDefault="009021F1" w:rsidP="009021F1">
      <w:pPr>
        <w:spacing w:after="160"/>
        <w:rPr>
          <w:rFonts w:cs="Arial"/>
          <w:szCs w:val="21"/>
        </w:rPr>
      </w:pPr>
      <w:r w:rsidRPr="00D579BE">
        <w:rPr>
          <w:rFonts w:cs="Arial"/>
          <w:noProof/>
          <w:szCs w:val="21"/>
        </w:rPr>
        <w:drawing>
          <wp:inline distT="0" distB="0" distL="0" distR="0" wp14:anchorId="4CB47B44" wp14:editId="42E9CD66">
            <wp:extent cx="5853430" cy="8043545"/>
            <wp:effectExtent l="0" t="0" r="0" b="0"/>
            <wp:docPr id="5281" name="Image 5281" descr="C:\Users\user\Documents\PNDA MAI 2020\CGES PNDA\PNDA_Missions de terrain\PNDA_Communiqué radiophonique_Matadi 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descr="C:\Users\user\Documents\PNDA MAI 2020\CGES PNDA\PNDA_Missions de terrain\PNDA_Communiqué radiophonique_Matadi _0001.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853430" cy="8043545"/>
                    </a:xfrm>
                    <a:prstGeom prst="rect">
                      <a:avLst/>
                    </a:prstGeom>
                    <a:noFill/>
                    <a:ln>
                      <a:noFill/>
                    </a:ln>
                  </pic:spPr>
                </pic:pic>
              </a:graphicData>
            </a:graphic>
          </wp:inline>
        </w:drawing>
      </w:r>
    </w:p>
    <w:p w14:paraId="01ACF349" w14:textId="77777777" w:rsidR="009021F1" w:rsidRPr="00D579BE" w:rsidRDefault="009021F1" w:rsidP="009021F1">
      <w:pPr>
        <w:spacing w:after="160"/>
        <w:rPr>
          <w:rFonts w:cs="Arial"/>
          <w:szCs w:val="21"/>
        </w:rPr>
      </w:pPr>
      <w:r w:rsidRPr="00D579BE">
        <w:rPr>
          <w:rFonts w:cs="Arial"/>
          <w:szCs w:val="21"/>
        </w:rPr>
        <w:br w:type="page"/>
      </w:r>
      <w:r w:rsidRPr="00D579BE">
        <w:rPr>
          <w:rFonts w:cs="Arial"/>
          <w:noProof/>
          <w:szCs w:val="21"/>
        </w:rPr>
        <w:drawing>
          <wp:inline distT="0" distB="0" distL="0" distR="0" wp14:anchorId="1E7998E6" wp14:editId="39EB7709">
            <wp:extent cx="5853430" cy="7569200"/>
            <wp:effectExtent l="0" t="0" r="0" b="0"/>
            <wp:docPr id="5282" name="Image 5282" descr="C:\Users\user\Documents\PNDA MAI 2020\CGES PNDA\TSHIKAPA\IMG-20200611-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C:\Users\user\Documents\PNDA MAI 2020\CGES PNDA\TSHIKAPA\IMG-20200611-WA0008.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853430" cy="7569200"/>
                    </a:xfrm>
                    <a:prstGeom prst="rect">
                      <a:avLst/>
                    </a:prstGeom>
                    <a:noFill/>
                    <a:ln>
                      <a:noFill/>
                    </a:ln>
                  </pic:spPr>
                </pic:pic>
              </a:graphicData>
            </a:graphic>
          </wp:inline>
        </w:drawing>
      </w:r>
    </w:p>
    <w:p w14:paraId="62FDE333" w14:textId="77777777" w:rsidR="009021F1" w:rsidRPr="00D579BE" w:rsidRDefault="009021F1" w:rsidP="009021F1">
      <w:pPr>
        <w:spacing w:after="160"/>
        <w:rPr>
          <w:rFonts w:cs="Arial"/>
          <w:szCs w:val="21"/>
        </w:rPr>
      </w:pPr>
      <w:r w:rsidRPr="00D579BE">
        <w:rPr>
          <w:rFonts w:cs="Arial"/>
          <w:szCs w:val="21"/>
        </w:rPr>
        <w:br w:type="page"/>
      </w:r>
    </w:p>
    <w:p w14:paraId="410217C3" w14:textId="77777777" w:rsidR="009021F1" w:rsidRPr="00D579BE" w:rsidRDefault="009021F1" w:rsidP="009021F1">
      <w:pPr>
        <w:spacing w:after="160"/>
        <w:rPr>
          <w:rFonts w:cs="Arial"/>
          <w:szCs w:val="21"/>
        </w:rPr>
      </w:pPr>
      <w:r w:rsidRPr="00D579BE">
        <w:rPr>
          <w:rFonts w:cs="Arial"/>
          <w:noProof/>
          <w:szCs w:val="21"/>
        </w:rPr>
        <w:drawing>
          <wp:inline distT="0" distB="0" distL="0" distR="0" wp14:anchorId="1942790D" wp14:editId="262AA6F7">
            <wp:extent cx="5853430" cy="8161020"/>
            <wp:effectExtent l="0" t="0" r="0" b="0"/>
            <wp:docPr id="5283" name="Image 5283" descr="C:\Users\user\Documents\PNDA MAI 2020\CGES PNDA\PNDA_Missions de terrain\PNDA_Communiqué radiophonique_Matadi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C:\Users\user\Documents\PNDA MAI 2020\CGES PNDA\PNDA_Missions de terrain\PNDA_Communiqué radiophonique_Matadi .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853430" cy="8161020"/>
                    </a:xfrm>
                    <a:prstGeom prst="rect">
                      <a:avLst/>
                    </a:prstGeom>
                    <a:noFill/>
                    <a:ln>
                      <a:noFill/>
                    </a:ln>
                  </pic:spPr>
                </pic:pic>
              </a:graphicData>
            </a:graphic>
          </wp:inline>
        </w:drawing>
      </w:r>
      <w:r w:rsidRPr="00D579BE">
        <w:rPr>
          <w:rFonts w:cs="Arial"/>
          <w:szCs w:val="21"/>
        </w:rPr>
        <w:br w:type="page"/>
      </w:r>
    </w:p>
    <w:p w14:paraId="08566477" w14:textId="77777777" w:rsidR="009021F1" w:rsidRPr="00D579BE" w:rsidRDefault="009021F1" w:rsidP="009021F1">
      <w:pPr>
        <w:spacing w:after="160"/>
        <w:rPr>
          <w:rFonts w:cs="Arial"/>
          <w:szCs w:val="21"/>
        </w:rPr>
      </w:pPr>
      <w:r w:rsidRPr="00D579BE">
        <w:rPr>
          <w:rFonts w:cs="Arial"/>
          <w:noProof/>
          <w:szCs w:val="21"/>
        </w:rPr>
        <w:drawing>
          <wp:inline distT="0" distB="0" distL="0" distR="0" wp14:anchorId="4D5410E5" wp14:editId="2D18FFC1">
            <wp:extent cx="5853430" cy="8043545"/>
            <wp:effectExtent l="0" t="0" r="0" b="0"/>
            <wp:docPr id="5284" name="Image 5284" descr="C:\Users\user\Documents\PNDA MAI 2020\CGES PNDA\PNDA_Missions de terrain\PNDA_Communiqué radiophonique_Matadi 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descr="C:\Users\user\Documents\PNDA MAI 2020\CGES PNDA\PNDA_Missions de terrain\PNDA_Communiqué radiophonique_Matadi _0001.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853430" cy="8043545"/>
                    </a:xfrm>
                    <a:prstGeom prst="rect">
                      <a:avLst/>
                    </a:prstGeom>
                    <a:noFill/>
                    <a:ln>
                      <a:noFill/>
                    </a:ln>
                  </pic:spPr>
                </pic:pic>
              </a:graphicData>
            </a:graphic>
          </wp:inline>
        </w:drawing>
      </w:r>
      <w:r w:rsidRPr="00D579BE">
        <w:rPr>
          <w:rFonts w:cs="Arial"/>
          <w:szCs w:val="21"/>
        </w:rPr>
        <w:br w:type="page"/>
      </w:r>
    </w:p>
    <w:p w14:paraId="7558EDC9" w14:textId="77777777" w:rsidR="009021F1" w:rsidRPr="00D579BE" w:rsidRDefault="009021F1" w:rsidP="009021F1">
      <w:pPr>
        <w:spacing w:after="160"/>
        <w:rPr>
          <w:rFonts w:cs="Arial"/>
          <w:szCs w:val="21"/>
        </w:rPr>
      </w:pPr>
      <w:r w:rsidRPr="00D579BE">
        <w:rPr>
          <w:rFonts w:cs="Arial"/>
          <w:noProof/>
          <w:szCs w:val="21"/>
        </w:rPr>
        <w:drawing>
          <wp:inline distT="0" distB="0" distL="0" distR="0" wp14:anchorId="33184B6F" wp14:editId="46129D44">
            <wp:extent cx="5853430" cy="8161020"/>
            <wp:effectExtent l="0" t="0" r="0" b="0"/>
            <wp:docPr id="5285" name="Image 5285" descr="C:\Users\user\Documents\PNDA MAI 2020\CGES PNDA\PNDA_Missions de terrain\PNDA_Communiqué radiophonique_Matadi 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C:\Users\user\Documents\PNDA MAI 2020\CGES PNDA\PNDA_Missions de terrain\PNDA_Communiqué radiophonique_Matadi _0002.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853430" cy="8161020"/>
                    </a:xfrm>
                    <a:prstGeom prst="rect">
                      <a:avLst/>
                    </a:prstGeom>
                    <a:noFill/>
                    <a:ln>
                      <a:noFill/>
                    </a:ln>
                  </pic:spPr>
                </pic:pic>
              </a:graphicData>
            </a:graphic>
          </wp:inline>
        </w:drawing>
      </w:r>
      <w:r w:rsidRPr="00D579BE">
        <w:rPr>
          <w:rFonts w:cs="Arial"/>
          <w:szCs w:val="21"/>
        </w:rPr>
        <w:br w:type="page"/>
      </w:r>
    </w:p>
    <w:p w14:paraId="6FA73FF0" w14:textId="77777777" w:rsidR="009021F1" w:rsidRPr="00D579BE" w:rsidRDefault="009021F1" w:rsidP="009021F1">
      <w:pPr>
        <w:spacing w:after="160"/>
        <w:rPr>
          <w:rFonts w:cs="Arial"/>
          <w:szCs w:val="21"/>
        </w:rPr>
      </w:pPr>
      <w:r w:rsidRPr="00D579BE">
        <w:rPr>
          <w:rFonts w:cs="Arial"/>
          <w:noProof/>
          <w:szCs w:val="21"/>
        </w:rPr>
        <w:drawing>
          <wp:inline distT="0" distB="0" distL="0" distR="0" wp14:anchorId="53281F88" wp14:editId="454E787A">
            <wp:extent cx="5853430" cy="8043545"/>
            <wp:effectExtent l="0" t="0" r="0" b="0"/>
            <wp:docPr id="5286" name="Image 5286" descr="C:\Users\HP SPECTRE\AppData\Local\Microsoft\Windows\INetCache\Content.Outlook\XQP08MFT\scan communiqué radiophoniqu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descr="C:\Users\HP SPECTRE\AppData\Local\Microsoft\Windows\INetCache\Content.Outlook\XQP08MFT\scan communiqué radiophonique0001.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853430" cy="8043545"/>
                    </a:xfrm>
                    <a:prstGeom prst="rect">
                      <a:avLst/>
                    </a:prstGeom>
                    <a:noFill/>
                    <a:ln>
                      <a:noFill/>
                    </a:ln>
                  </pic:spPr>
                </pic:pic>
              </a:graphicData>
            </a:graphic>
          </wp:inline>
        </w:drawing>
      </w:r>
    </w:p>
    <w:p w14:paraId="7E4CC734" w14:textId="77777777" w:rsidR="009021F1" w:rsidRPr="00D579BE" w:rsidRDefault="009021F1" w:rsidP="009021F1">
      <w:pPr>
        <w:spacing w:after="160"/>
        <w:rPr>
          <w:rFonts w:cs="Arial"/>
          <w:szCs w:val="21"/>
        </w:rPr>
      </w:pPr>
      <w:r w:rsidRPr="00D579BE">
        <w:rPr>
          <w:rFonts w:cs="Arial"/>
          <w:szCs w:val="21"/>
        </w:rPr>
        <w:br w:type="page"/>
      </w:r>
      <w:r w:rsidRPr="00D579BE">
        <w:rPr>
          <w:rFonts w:cs="Arial"/>
          <w:noProof/>
          <w:szCs w:val="21"/>
        </w:rPr>
        <w:drawing>
          <wp:inline distT="0" distB="0" distL="0" distR="0" wp14:anchorId="6E70B284" wp14:editId="747D55C1">
            <wp:extent cx="5853430" cy="8043545"/>
            <wp:effectExtent l="0" t="0" r="0" b="0"/>
            <wp:docPr id="5287" name="Image 5287" descr="C:\Users\HP SPECTRE\AppData\Local\Microsoft\Windows\INetCache\Content.Outlook\XQP08MFT\scan communiqué radiophoniqu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descr="C:\Users\HP SPECTRE\AppData\Local\Microsoft\Windows\INetCache\Content.Outlook\XQP08MFT\scan communiqué radiophonique0002.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853430" cy="8043545"/>
                    </a:xfrm>
                    <a:prstGeom prst="rect">
                      <a:avLst/>
                    </a:prstGeom>
                    <a:noFill/>
                    <a:ln>
                      <a:noFill/>
                    </a:ln>
                  </pic:spPr>
                </pic:pic>
              </a:graphicData>
            </a:graphic>
          </wp:inline>
        </w:drawing>
      </w:r>
    </w:p>
    <w:p w14:paraId="6283212E" w14:textId="77777777" w:rsidR="009021F1" w:rsidRPr="00D579BE" w:rsidRDefault="009021F1" w:rsidP="009021F1">
      <w:pPr>
        <w:spacing w:after="160"/>
        <w:rPr>
          <w:rFonts w:cs="Arial"/>
          <w:szCs w:val="21"/>
        </w:rPr>
      </w:pPr>
      <w:r w:rsidRPr="00D579BE">
        <w:rPr>
          <w:rFonts w:cs="Arial"/>
          <w:szCs w:val="21"/>
        </w:rPr>
        <w:br w:type="page"/>
      </w:r>
      <w:r w:rsidRPr="00D579BE">
        <w:rPr>
          <w:rFonts w:cs="Arial"/>
          <w:noProof/>
          <w:szCs w:val="21"/>
        </w:rPr>
        <w:drawing>
          <wp:inline distT="0" distB="0" distL="0" distR="0" wp14:anchorId="074FCB39" wp14:editId="1B33F1CC">
            <wp:extent cx="5853430" cy="8043545"/>
            <wp:effectExtent l="0" t="0" r="0" b="0"/>
            <wp:docPr id="5288" name="Image 5288" descr="C:\Users\HP SPECTRE\AppData\Local\Microsoft\Windows\INetCache\Content.Outlook\XQP08MFT\scan communiqué radiophoniqu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71" descr="C:\Users\HP SPECTRE\AppData\Local\Microsoft\Windows\INetCache\Content.Outlook\XQP08MFT\scan communiqué radiophonique0003.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853430" cy="8043545"/>
                    </a:xfrm>
                    <a:prstGeom prst="rect">
                      <a:avLst/>
                    </a:prstGeom>
                    <a:noFill/>
                    <a:ln>
                      <a:noFill/>
                    </a:ln>
                  </pic:spPr>
                </pic:pic>
              </a:graphicData>
            </a:graphic>
          </wp:inline>
        </w:drawing>
      </w:r>
    </w:p>
    <w:p w14:paraId="5B9CD553" w14:textId="77777777" w:rsidR="009021F1" w:rsidRPr="003D2AD5" w:rsidRDefault="009021F1" w:rsidP="009021F1">
      <w:pPr>
        <w:pStyle w:val="Titre1"/>
        <w:tabs>
          <w:tab w:val="right" w:pos="9062"/>
        </w:tabs>
        <w:ind w:left="1418" w:hanging="1418"/>
        <w:rPr>
          <w:rFonts w:cs="Arial"/>
          <w:szCs w:val="21"/>
        </w:rPr>
      </w:pPr>
      <w:r w:rsidRPr="00D579BE">
        <w:rPr>
          <w:rFonts w:cs="Arial"/>
          <w:szCs w:val="21"/>
        </w:rPr>
        <w:br w:type="page"/>
      </w:r>
      <w:bookmarkStart w:id="492" w:name="_Toc90471598"/>
      <w:r w:rsidRPr="003D2AD5">
        <w:rPr>
          <w:rFonts w:cs="Arial"/>
          <w:szCs w:val="21"/>
        </w:rPr>
        <w:t>ANNEXE 10. QUELQUES PHOTOS DE LA TENUE DES CONSULTATIONS DU PUBLIC ET DES ATELIERS DE RESTITUTION</w:t>
      </w:r>
      <w:bookmarkEnd w:id="492"/>
    </w:p>
    <w:p w14:paraId="2AB0B568" w14:textId="77777777" w:rsidR="009021F1" w:rsidRPr="00B76D27" w:rsidRDefault="009021F1" w:rsidP="009021F1">
      <w:pPr>
        <w:pStyle w:val="Titre1"/>
        <w:tabs>
          <w:tab w:val="right" w:pos="9062"/>
        </w:tabs>
        <w:ind w:left="1418" w:hanging="1418"/>
        <w:rPr>
          <w:rFonts w:cs="Arial"/>
          <w:szCs w:val="21"/>
        </w:rPr>
      </w:pPr>
    </w:p>
    <w:p w14:paraId="582C31F8" w14:textId="77777777" w:rsidR="009021F1" w:rsidRPr="008A6F75" w:rsidRDefault="009021F1" w:rsidP="009021F1">
      <w:pPr>
        <w:pStyle w:val="Titre1"/>
        <w:tabs>
          <w:tab w:val="right" w:pos="9062"/>
        </w:tabs>
        <w:ind w:left="1418" w:hanging="1418"/>
        <w:rPr>
          <w:rFonts w:cs="Arial"/>
          <w:i/>
          <w:szCs w:val="21"/>
        </w:rPr>
      </w:pPr>
      <w:bookmarkStart w:id="493" w:name="_Toc90471599"/>
      <w:r w:rsidRPr="003D2AD5">
        <w:rPr>
          <w:rFonts w:cs="Arial"/>
          <w:i/>
          <w:szCs w:val="21"/>
        </w:rPr>
        <w:t>ANNEXE 10.A) PH</w:t>
      </w:r>
      <w:r w:rsidRPr="008A6F75">
        <w:rPr>
          <w:rFonts w:cs="Arial"/>
          <w:i/>
          <w:szCs w:val="21"/>
        </w:rPr>
        <w:t>OTOS DES CONSULTATIONS DU PUBLIC</w:t>
      </w:r>
      <w:bookmarkEnd w:id="493"/>
    </w:p>
    <w:p w14:paraId="3285D31B" w14:textId="77777777" w:rsidR="009021F1" w:rsidRPr="00D579BE" w:rsidRDefault="009021F1" w:rsidP="009021F1">
      <w:pPr>
        <w:pStyle w:val="Paragraphedeliste"/>
        <w:ind w:left="426"/>
        <w:jc w:val="left"/>
        <w:rPr>
          <w:i/>
          <w:szCs w:val="21"/>
        </w:rPr>
      </w:pPr>
    </w:p>
    <w:p w14:paraId="53008EBF" w14:textId="77777777" w:rsidR="009021F1" w:rsidRPr="00D579BE" w:rsidRDefault="009021F1" w:rsidP="009021F1">
      <w:pPr>
        <w:ind w:left="1418" w:hanging="1418"/>
        <w:rPr>
          <w:i/>
          <w:szCs w:val="21"/>
        </w:rPr>
      </w:pPr>
      <w:r w:rsidRPr="00D579BE">
        <w:rPr>
          <w:i/>
          <w:szCs w:val="21"/>
        </w:rPr>
        <w:t>Photos 1 et 2. Réunion de consultation du public organisée dans la salle de réunion du Ministère Provincial de l’Agriculture du Kongo Central / Ville de Matadi</w:t>
      </w:r>
    </w:p>
    <w:p w14:paraId="57710A5B" w14:textId="77777777" w:rsidR="009021F1" w:rsidRPr="00D579BE" w:rsidRDefault="009021F1" w:rsidP="009021F1">
      <w:pPr>
        <w:tabs>
          <w:tab w:val="left" w:pos="0"/>
        </w:tabs>
        <w:jc w:val="center"/>
        <w:rPr>
          <w:noProof/>
          <w:szCs w:val="21"/>
          <w:lang w:eastAsia="en-US"/>
        </w:rPr>
      </w:pPr>
      <w:r w:rsidRPr="00D579BE">
        <w:rPr>
          <w:noProof/>
          <w:szCs w:val="21"/>
        </w:rPr>
        <w:drawing>
          <wp:inline distT="0" distB="0" distL="0" distR="0" wp14:anchorId="32CFD968" wp14:editId="6AD42A65">
            <wp:extent cx="5481320" cy="2665095"/>
            <wp:effectExtent l="0" t="0" r="5080" b="1905"/>
            <wp:docPr id="5289" name="Image 5289" descr="C:\Users\user\Documents\PNDA MAI 2020\CGES PNDA\Photos Matadi\IMG-20200606-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user\Documents\PNDA MAI 2020\CGES PNDA\Photos Matadi\IMG-20200606-WA0003.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481320" cy="2665095"/>
                    </a:xfrm>
                    <a:prstGeom prst="rect">
                      <a:avLst/>
                    </a:prstGeom>
                    <a:noFill/>
                    <a:ln>
                      <a:noFill/>
                    </a:ln>
                  </pic:spPr>
                </pic:pic>
              </a:graphicData>
            </a:graphic>
          </wp:inline>
        </w:drawing>
      </w:r>
    </w:p>
    <w:p w14:paraId="26A71E26" w14:textId="77777777" w:rsidR="009021F1" w:rsidRPr="00D579BE" w:rsidRDefault="009021F1" w:rsidP="009021F1">
      <w:pPr>
        <w:tabs>
          <w:tab w:val="left" w:pos="0"/>
        </w:tabs>
        <w:rPr>
          <w:noProof/>
          <w:szCs w:val="21"/>
          <w:lang w:eastAsia="en-US"/>
        </w:rPr>
      </w:pPr>
    </w:p>
    <w:p w14:paraId="743C7084" w14:textId="77777777" w:rsidR="009021F1" w:rsidRPr="00D579BE" w:rsidRDefault="009021F1" w:rsidP="009021F1">
      <w:pPr>
        <w:tabs>
          <w:tab w:val="left" w:pos="0"/>
        </w:tabs>
        <w:jc w:val="center"/>
        <w:rPr>
          <w:noProof/>
          <w:szCs w:val="21"/>
          <w:lang w:eastAsia="en-US"/>
        </w:rPr>
      </w:pPr>
      <w:r w:rsidRPr="00D579BE">
        <w:rPr>
          <w:noProof/>
          <w:szCs w:val="21"/>
        </w:rPr>
        <w:drawing>
          <wp:inline distT="0" distB="0" distL="0" distR="0" wp14:anchorId="686B46B2" wp14:editId="76840AFB">
            <wp:extent cx="5481320" cy="2665095"/>
            <wp:effectExtent l="0" t="0" r="5080" b="1905"/>
            <wp:docPr id="5290" name="Image 5290" descr="C:\Users\user\Documents\PNDA MAI 2020\CGES PNDA\Photos Matadi\IMG-20200606-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Users\user\Documents\PNDA MAI 2020\CGES PNDA\Photos Matadi\IMG-20200606-WA0010.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481320" cy="2665095"/>
                    </a:xfrm>
                    <a:prstGeom prst="rect">
                      <a:avLst/>
                    </a:prstGeom>
                    <a:noFill/>
                    <a:ln>
                      <a:noFill/>
                    </a:ln>
                  </pic:spPr>
                </pic:pic>
              </a:graphicData>
            </a:graphic>
          </wp:inline>
        </w:drawing>
      </w:r>
    </w:p>
    <w:p w14:paraId="4DB57A8D" w14:textId="77777777" w:rsidR="009021F1" w:rsidRPr="00D579BE" w:rsidRDefault="009021F1" w:rsidP="009021F1">
      <w:pPr>
        <w:spacing w:line="240" w:lineRule="auto"/>
        <w:jc w:val="left"/>
        <w:rPr>
          <w:i/>
          <w:szCs w:val="21"/>
        </w:rPr>
      </w:pPr>
    </w:p>
    <w:p w14:paraId="462B6424" w14:textId="77777777" w:rsidR="009021F1" w:rsidRPr="00D579BE" w:rsidRDefault="009021F1" w:rsidP="009021F1">
      <w:pPr>
        <w:ind w:left="1418" w:hanging="1418"/>
        <w:rPr>
          <w:i/>
          <w:szCs w:val="21"/>
        </w:rPr>
      </w:pPr>
    </w:p>
    <w:p w14:paraId="09AD88A8" w14:textId="77777777" w:rsidR="009021F1" w:rsidRPr="00D579BE" w:rsidRDefault="009021F1" w:rsidP="009021F1">
      <w:pPr>
        <w:ind w:left="1418" w:hanging="1418"/>
        <w:rPr>
          <w:i/>
          <w:szCs w:val="21"/>
        </w:rPr>
      </w:pPr>
    </w:p>
    <w:p w14:paraId="616044C2" w14:textId="77777777" w:rsidR="009021F1" w:rsidRPr="00D579BE" w:rsidRDefault="009021F1" w:rsidP="009021F1">
      <w:pPr>
        <w:ind w:left="1418" w:hanging="1418"/>
        <w:rPr>
          <w:i/>
          <w:szCs w:val="21"/>
        </w:rPr>
      </w:pPr>
    </w:p>
    <w:p w14:paraId="453ABB5D" w14:textId="77777777" w:rsidR="009021F1" w:rsidRPr="00D579BE" w:rsidRDefault="009021F1" w:rsidP="009021F1">
      <w:pPr>
        <w:ind w:left="1418" w:hanging="1418"/>
        <w:rPr>
          <w:i/>
          <w:szCs w:val="21"/>
        </w:rPr>
      </w:pPr>
    </w:p>
    <w:p w14:paraId="7932C668" w14:textId="77777777" w:rsidR="009021F1" w:rsidRPr="00D579BE" w:rsidRDefault="009021F1" w:rsidP="009021F1">
      <w:pPr>
        <w:ind w:left="1418" w:hanging="1418"/>
        <w:rPr>
          <w:i/>
          <w:szCs w:val="21"/>
        </w:rPr>
      </w:pPr>
    </w:p>
    <w:p w14:paraId="2BF28C01" w14:textId="77777777" w:rsidR="009021F1" w:rsidRPr="00D579BE" w:rsidRDefault="009021F1" w:rsidP="009021F1">
      <w:pPr>
        <w:ind w:left="1418" w:hanging="1418"/>
        <w:rPr>
          <w:i/>
          <w:szCs w:val="21"/>
        </w:rPr>
      </w:pPr>
    </w:p>
    <w:p w14:paraId="12F1BE89" w14:textId="77777777" w:rsidR="009021F1" w:rsidRPr="00D579BE" w:rsidRDefault="009021F1" w:rsidP="009021F1">
      <w:pPr>
        <w:ind w:left="1418" w:hanging="1418"/>
        <w:rPr>
          <w:i/>
          <w:szCs w:val="21"/>
        </w:rPr>
      </w:pPr>
    </w:p>
    <w:p w14:paraId="5F273BC6" w14:textId="77777777" w:rsidR="009021F1" w:rsidRPr="00D579BE" w:rsidRDefault="009021F1" w:rsidP="009021F1">
      <w:pPr>
        <w:ind w:left="1418" w:hanging="1418"/>
        <w:rPr>
          <w:i/>
          <w:szCs w:val="21"/>
        </w:rPr>
      </w:pPr>
    </w:p>
    <w:p w14:paraId="7F2D08FF" w14:textId="77777777" w:rsidR="009021F1" w:rsidRPr="00D579BE" w:rsidRDefault="009021F1" w:rsidP="009021F1">
      <w:pPr>
        <w:ind w:left="1418" w:hanging="1418"/>
        <w:rPr>
          <w:i/>
          <w:szCs w:val="21"/>
        </w:rPr>
      </w:pPr>
    </w:p>
    <w:p w14:paraId="7DBF1851" w14:textId="77777777" w:rsidR="009021F1" w:rsidRPr="00D579BE" w:rsidRDefault="009021F1" w:rsidP="009021F1">
      <w:pPr>
        <w:ind w:left="1418" w:hanging="1418"/>
        <w:rPr>
          <w:i/>
          <w:szCs w:val="21"/>
        </w:rPr>
      </w:pPr>
    </w:p>
    <w:p w14:paraId="2714DB08" w14:textId="77777777" w:rsidR="009021F1" w:rsidRPr="00D579BE" w:rsidRDefault="009021F1" w:rsidP="009021F1">
      <w:pPr>
        <w:ind w:left="1418" w:hanging="1418"/>
        <w:rPr>
          <w:i/>
          <w:szCs w:val="21"/>
        </w:rPr>
      </w:pPr>
    </w:p>
    <w:p w14:paraId="66238245" w14:textId="77777777" w:rsidR="009021F1" w:rsidRPr="00D579BE" w:rsidRDefault="009021F1" w:rsidP="009021F1">
      <w:pPr>
        <w:ind w:left="1418" w:hanging="1418"/>
        <w:rPr>
          <w:i/>
          <w:szCs w:val="21"/>
        </w:rPr>
      </w:pPr>
    </w:p>
    <w:p w14:paraId="7B496C07" w14:textId="77777777" w:rsidR="009021F1" w:rsidRPr="00D579BE" w:rsidRDefault="009021F1" w:rsidP="009021F1">
      <w:pPr>
        <w:ind w:left="1418" w:hanging="1418"/>
        <w:rPr>
          <w:i/>
          <w:szCs w:val="21"/>
        </w:rPr>
      </w:pPr>
      <w:r w:rsidRPr="00D579BE">
        <w:rPr>
          <w:i/>
          <w:szCs w:val="21"/>
        </w:rPr>
        <w:t>Photos 3 et 4. Réunion de consultation du public organisée dans la Ville de Kananga dans la Province du Kasaï Central</w:t>
      </w:r>
    </w:p>
    <w:p w14:paraId="4AC23603" w14:textId="77777777" w:rsidR="009021F1" w:rsidRPr="00D579BE" w:rsidRDefault="009021F1" w:rsidP="009021F1">
      <w:pPr>
        <w:jc w:val="center"/>
        <w:rPr>
          <w:noProof/>
          <w:szCs w:val="21"/>
          <w:lang w:eastAsia="en-US"/>
        </w:rPr>
      </w:pPr>
      <w:r w:rsidRPr="00D579BE">
        <w:rPr>
          <w:noProof/>
          <w:szCs w:val="21"/>
        </w:rPr>
        <w:drawing>
          <wp:inline distT="0" distB="0" distL="0" distR="0" wp14:anchorId="42A623BD" wp14:editId="7AB5DA81">
            <wp:extent cx="5437505" cy="2449830"/>
            <wp:effectExtent l="0" t="0" r="0" b="7620"/>
            <wp:docPr id="5291" name="Image 5291" descr="C:\Users\user\Documents\PNDA MAI 2020\CGES PNDA\Photos Kananga\IMG-20200523-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C:\Users\user\Documents\PNDA MAI 2020\CGES PNDA\Photos Kananga\IMG-20200523-WA0053.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437505" cy="2449830"/>
                    </a:xfrm>
                    <a:prstGeom prst="rect">
                      <a:avLst/>
                    </a:prstGeom>
                    <a:noFill/>
                    <a:ln>
                      <a:noFill/>
                    </a:ln>
                  </pic:spPr>
                </pic:pic>
              </a:graphicData>
            </a:graphic>
          </wp:inline>
        </w:drawing>
      </w:r>
    </w:p>
    <w:p w14:paraId="179EF978" w14:textId="77777777" w:rsidR="009021F1" w:rsidRPr="00D579BE" w:rsidRDefault="009021F1" w:rsidP="009021F1">
      <w:pPr>
        <w:rPr>
          <w:noProof/>
          <w:szCs w:val="21"/>
          <w:lang w:eastAsia="en-US"/>
        </w:rPr>
      </w:pPr>
    </w:p>
    <w:p w14:paraId="48D5250B" w14:textId="77777777" w:rsidR="009021F1" w:rsidRPr="00D579BE" w:rsidRDefault="009021F1" w:rsidP="009021F1">
      <w:pPr>
        <w:rPr>
          <w:noProof/>
          <w:szCs w:val="21"/>
          <w:lang w:eastAsia="en-US"/>
        </w:rPr>
      </w:pPr>
      <w:r w:rsidRPr="00D579BE">
        <w:rPr>
          <w:noProof/>
          <w:szCs w:val="21"/>
        </w:rPr>
        <w:drawing>
          <wp:inline distT="0" distB="0" distL="0" distR="0" wp14:anchorId="2D8C86B1" wp14:editId="031809A6">
            <wp:extent cx="5520690" cy="2484120"/>
            <wp:effectExtent l="0" t="0" r="3810" b="0"/>
            <wp:docPr id="5292" name="Image 5292" descr="C:\Users\user\Documents\PNDA MAI 2020\CGES PNDA\Photos Kananga\IMG-20200523-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C:\Users\user\Documents\PNDA MAI 2020\CGES PNDA\Photos Kananga\IMG-20200523-WA0046.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520690" cy="2484120"/>
                    </a:xfrm>
                    <a:prstGeom prst="rect">
                      <a:avLst/>
                    </a:prstGeom>
                    <a:noFill/>
                    <a:ln>
                      <a:noFill/>
                    </a:ln>
                  </pic:spPr>
                </pic:pic>
              </a:graphicData>
            </a:graphic>
          </wp:inline>
        </w:drawing>
      </w:r>
    </w:p>
    <w:p w14:paraId="33FAF688" w14:textId="77777777" w:rsidR="009021F1" w:rsidRPr="00D579BE" w:rsidRDefault="009021F1" w:rsidP="009021F1">
      <w:pPr>
        <w:jc w:val="center"/>
        <w:rPr>
          <w:i/>
          <w:szCs w:val="21"/>
        </w:rPr>
      </w:pPr>
    </w:p>
    <w:p w14:paraId="3DD08996" w14:textId="77777777" w:rsidR="009021F1" w:rsidRPr="00D579BE" w:rsidRDefault="009021F1" w:rsidP="009021F1">
      <w:pPr>
        <w:ind w:left="1560" w:hanging="1560"/>
        <w:rPr>
          <w:i/>
          <w:szCs w:val="21"/>
        </w:rPr>
      </w:pPr>
      <w:r w:rsidRPr="00D579BE">
        <w:rPr>
          <w:i/>
          <w:szCs w:val="21"/>
        </w:rPr>
        <w:t>Photos 5 et 6. Réunion de consultation du public organisée dans la Ville de Tshikapa dans la Province du Kasaï</w:t>
      </w:r>
    </w:p>
    <w:p w14:paraId="043B1297" w14:textId="77777777" w:rsidR="009021F1" w:rsidRPr="00D579BE" w:rsidRDefault="009021F1" w:rsidP="009021F1">
      <w:pPr>
        <w:jc w:val="center"/>
        <w:rPr>
          <w:noProof/>
          <w:szCs w:val="21"/>
          <w:lang w:eastAsia="en-US"/>
        </w:rPr>
      </w:pPr>
      <w:r w:rsidRPr="00D579BE">
        <w:rPr>
          <w:noProof/>
          <w:szCs w:val="21"/>
        </w:rPr>
        <w:drawing>
          <wp:inline distT="0" distB="0" distL="0" distR="0" wp14:anchorId="4C36D482" wp14:editId="6E8369B3">
            <wp:extent cx="5579110" cy="2508250"/>
            <wp:effectExtent l="0" t="0" r="2540" b="6350"/>
            <wp:docPr id="5293" name="Image 5293" descr="C:\Users\user\Documents\PNDA MAI 2020\CGES PNDA\TSHIKAPA\IMG-20200610-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C:\Users\user\Documents\PNDA MAI 2020\CGES PNDA\TSHIKAPA\IMG-20200610-WA0019.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579110" cy="2508250"/>
                    </a:xfrm>
                    <a:prstGeom prst="rect">
                      <a:avLst/>
                    </a:prstGeom>
                    <a:noFill/>
                    <a:ln>
                      <a:noFill/>
                    </a:ln>
                  </pic:spPr>
                </pic:pic>
              </a:graphicData>
            </a:graphic>
          </wp:inline>
        </w:drawing>
      </w:r>
    </w:p>
    <w:p w14:paraId="6944EF30" w14:textId="77777777" w:rsidR="009021F1" w:rsidRPr="00D579BE" w:rsidRDefault="009021F1" w:rsidP="009021F1">
      <w:pPr>
        <w:rPr>
          <w:noProof/>
          <w:szCs w:val="21"/>
          <w:lang w:eastAsia="en-US"/>
        </w:rPr>
      </w:pPr>
    </w:p>
    <w:p w14:paraId="1498F775" w14:textId="77777777" w:rsidR="009021F1" w:rsidRPr="00D579BE" w:rsidRDefault="009021F1" w:rsidP="009021F1">
      <w:pPr>
        <w:jc w:val="center"/>
        <w:rPr>
          <w:noProof/>
          <w:szCs w:val="21"/>
          <w:lang w:eastAsia="en-US"/>
        </w:rPr>
      </w:pPr>
      <w:r w:rsidRPr="00D579BE">
        <w:rPr>
          <w:noProof/>
          <w:szCs w:val="21"/>
        </w:rPr>
        <w:drawing>
          <wp:inline distT="0" distB="0" distL="0" distR="0" wp14:anchorId="427AED24" wp14:editId="00E85453">
            <wp:extent cx="5579110" cy="2508250"/>
            <wp:effectExtent l="0" t="0" r="2540" b="6350"/>
            <wp:docPr id="5294" name="Image 5294" descr="C:\Users\user\Documents\PNDA MAI 2020\CGES PNDA\TSHIKAPA\IMG-20200610-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C:\Users\user\Documents\PNDA MAI 2020\CGES PNDA\TSHIKAPA\IMG-20200610-WA0033.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579110" cy="2508250"/>
                    </a:xfrm>
                    <a:prstGeom prst="rect">
                      <a:avLst/>
                    </a:prstGeom>
                    <a:noFill/>
                    <a:ln>
                      <a:noFill/>
                    </a:ln>
                  </pic:spPr>
                </pic:pic>
              </a:graphicData>
            </a:graphic>
          </wp:inline>
        </w:drawing>
      </w:r>
    </w:p>
    <w:p w14:paraId="4B59F003" w14:textId="77777777" w:rsidR="009021F1" w:rsidRPr="00D579BE" w:rsidRDefault="009021F1" w:rsidP="009021F1">
      <w:pPr>
        <w:jc w:val="center"/>
        <w:rPr>
          <w:i/>
          <w:szCs w:val="21"/>
        </w:rPr>
      </w:pPr>
    </w:p>
    <w:p w14:paraId="545978E2" w14:textId="77777777" w:rsidR="009021F1" w:rsidRPr="00D579BE" w:rsidRDefault="009021F1" w:rsidP="009021F1">
      <w:pPr>
        <w:ind w:left="851" w:hanging="851"/>
        <w:rPr>
          <w:i/>
          <w:szCs w:val="21"/>
        </w:rPr>
      </w:pPr>
      <w:r w:rsidRPr="00D579BE">
        <w:rPr>
          <w:i/>
          <w:szCs w:val="21"/>
        </w:rPr>
        <w:t xml:space="preserve">Photo 7. Présentation des civilités auprès du Ministre Provincial de l’Agriculture, Pêche et </w:t>
      </w:r>
      <w:r w:rsidRPr="00D579BE">
        <w:rPr>
          <w:rFonts w:cs="Arial"/>
          <w:i/>
          <w:szCs w:val="21"/>
        </w:rPr>
        <w:t>É</w:t>
      </w:r>
      <w:r w:rsidRPr="00D579BE">
        <w:rPr>
          <w:i/>
          <w:szCs w:val="21"/>
        </w:rPr>
        <w:t>levage, et Développement Rural du Kwilu dans la Ville de Bandundu</w:t>
      </w:r>
    </w:p>
    <w:p w14:paraId="077F4F1F" w14:textId="77777777" w:rsidR="009021F1" w:rsidRPr="00D579BE" w:rsidRDefault="009021F1" w:rsidP="009021F1">
      <w:pPr>
        <w:jc w:val="center"/>
        <w:rPr>
          <w:i/>
          <w:szCs w:val="21"/>
        </w:rPr>
      </w:pPr>
      <w:r w:rsidRPr="00D579BE">
        <w:rPr>
          <w:i/>
          <w:noProof/>
          <w:szCs w:val="21"/>
        </w:rPr>
        <w:drawing>
          <wp:inline distT="0" distB="0" distL="0" distR="0" wp14:anchorId="6BF7AA40" wp14:editId="174B38A3">
            <wp:extent cx="5579110" cy="2708910"/>
            <wp:effectExtent l="0" t="0" r="2540" b="0"/>
            <wp:docPr id="5295" name="Image 5295" descr="C:\Users\user\Documents\PNDA MAI 2020\CGES PNDA\PNDA_Missions de terrain\BDD\IMG-20200615-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C:\Users\user\Documents\PNDA MAI 2020\CGES PNDA\PNDA_Missions de terrain\BDD\IMG-20200615-WA0021.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579110" cy="2708910"/>
                    </a:xfrm>
                    <a:prstGeom prst="rect">
                      <a:avLst/>
                    </a:prstGeom>
                    <a:noFill/>
                    <a:ln>
                      <a:noFill/>
                    </a:ln>
                  </pic:spPr>
                </pic:pic>
              </a:graphicData>
            </a:graphic>
          </wp:inline>
        </w:drawing>
      </w:r>
    </w:p>
    <w:p w14:paraId="3A0B03A5" w14:textId="77777777" w:rsidR="009021F1" w:rsidRPr="00D579BE" w:rsidRDefault="009021F1" w:rsidP="009021F1">
      <w:pPr>
        <w:spacing w:line="240" w:lineRule="auto"/>
        <w:jc w:val="left"/>
        <w:rPr>
          <w:i/>
          <w:szCs w:val="21"/>
        </w:rPr>
      </w:pPr>
    </w:p>
    <w:p w14:paraId="5397B14C" w14:textId="77777777" w:rsidR="009021F1" w:rsidRPr="00D579BE" w:rsidRDefault="009021F1" w:rsidP="009021F1">
      <w:pPr>
        <w:ind w:left="993" w:hanging="993"/>
        <w:rPr>
          <w:i/>
          <w:szCs w:val="21"/>
        </w:rPr>
      </w:pPr>
      <w:r w:rsidRPr="00D579BE">
        <w:rPr>
          <w:noProof/>
          <w:szCs w:val="21"/>
        </w:rPr>
        <w:drawing>
          <wp:anchor distT="0" distB="0" distL="114300" distR="114300" simplePos="0" relativeHeight="251730988" behindDoc="0" locked="0" layoutInCell="1" allowOverlap="1" wp14:anchorId="3BC88D12" wp14:editId="17D8CCCC">
            <wp:simplePos x="0" y="0"/>
            <wp:positionH relativeFrom="column">
              <wp:posOffset>90170</wp:posOffset>
            </wp:positionH>
            <wp:positionV relativeFrom="paragraph">
              <wp:posOffset>351155</wp:posOffset>
            </wp:positionV>
            <wp:extent cx="5578475" cy="2711450"/>
            <wp:effectExtent l="0" t="0" r="3175" b="0"/>
            <wp:wrapNone/>
            <wp:docPr id="5296" name="Image 5296" descr="C:\Users\user\Documents\PNDA MAI 2020\CGES PNDA\PNDA_Missions de terrain\BDD\IMG-20200615-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C:\Users\user\Documents\PNDA MAI 2020\CGES PNDA\PNDA_Missions de terrain\BDD\IMG-20200615-WA0033.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578475" cy="271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79BE">
        <w:rPr>
          <w:i/>
          <w:szCs w:val="21"/>
        </w:rPr>
        <w:t>Photo 8. Réunion d’e consultation du public organisée dans la salle de réunion de l’Inspection Provinciale de l’Agriculture du Kwilu / Ville de Bandundu</w:t>
      </w:r>
    </w:p>
    <w:p w14:paraId="7D79A113" w14:textId="77777777" w:rsidR="009021F1" w:rsidRPr="00D579BE" w:rsidRDefault="009021F1" w:rsidP="009021F1">
      <w:pPr>
        <w:rPr>
          <w:noProof/>
          <w:szCs w:val="21"/>
          <w:lang w:eastAsia="en-US"/>
        </w:rPr>
      </w:pPr>
    </w:p>
    <w:p w14:paraId="3E254865" w14:textId="77777777" w:rsidR="009021F1" w:rsidRPr="00D579BE" w:rsidRDefault="009021F1" w:rsidP="009021F1">
      <w:pPr>
        <w:rPr>
          <w:noProof/>
          <w:szCs w:val="21"/>
          <w:lang w:eastAsia="en-US"/>
        </w:rPr>
      </w:pPr>
    </w:p>
    <w:p w14:paraId="37571326" w14:textId="77777777" w:rsidR="009021F1" w:rsidRPr="00D579BE" w:rsidRDefault="009021F1" w:rsidP="009021F1">
      <w:pPr>
        <w:spacing w:after="160" w:line="259" w:lineRule="auto"/>
        <w:ind w:left="1418" w:hanging="1418"/>
        <w:jc w:val="left"/>
        <w:rPr>
          <w:i/>
          <w:szCs w:val="21"/>
        </w:rPr>
      </w:pPr>
      <w:r w:rsidRPr="00D579BE">
        <w:rPr>
          <w:i/>
          <w:szCs w:val="21"/>
        </w:rPr>
        <w:br w:type="page"/>
        <w:t xml:space="preserve">Photos 9 et 10 Réunion d’e consultation du public organisée dans la salle Polyvalente de la Maison de la femme du Ministère Provincial du Genre, Familles et Enfats du Nord-Kivu / Ville de Goma </w:t>
      </w:r>
    </w:p>
    <w:p w14:paraId="22866515" w14:textId="77777777" w:rsidR="009021F1" w:rsidRPr="00D579BE" w:rsidRDefault="009021F1" w:rsidP="009021F1">
      <w:pPr>
        <w:jc w:val="center"/>
        <w:rPr>
          <w:i/>
          <w:szCs w:val="21"/>
        </w:rPr>
      </w:pPr>
      <w:r w:rsidRPr="00D579BE">
        <w:rPr>
          <w:noProof/>
          <w:szCs w:val="21"/>
        </w:rPr>
        <w:drawing>
          <wp:inline distT="0" distB="0" distL="0" distR="0" wp14:anchorId="73357F1B" wp14:editId="665A1635">
            <wp:extent cx="4318000" cy="3237230"/>
            <wp:effectExtent l="0" t="0" r="6350" b="1270"/>
            <wp:docPr id="5297" name="Image 5297" descr="C:\Users\HP Notebook\Pictures\Dossier PNDA_ Goma juin 2020\PHOTOS CONSULTATION GOMA PNDA\TimePhoto_20200619_123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descr="C:\Users\HP Notebook\Pictures\Dossier PNDA_ Goma juin 2020\PHOTOS CONSULTATION GOMA PNDA\TimePhoto_20200619_123413.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318000" cy="3237230"/>
                    </a:xfrm>
                    <a:prstGeom prst="rect">
                      <a:avLst/>
                    </a:prstGeom>
                    <a:noFill/>
                    <a:ln>
                      <a:noFill/>
                    </a:ln>
                  </pic:spPr>
                </pic:pic>
              </a:graphicData>
            </a:graphic>
          </wp:inline>
        </w:drawing>
      </w:r>
    </w:p>
    <w:p w14:paraId="18E0AD06" w14:textId="77777777" w:rsidR="009021F1" w:rsidRPr="00D579BE" w:rsidRDefault="009021F1" w:rsidP="009021F1">
      <w:pPr>
        <w:jc w:val="center"/>
        <w:rPr>
          <w:i/>
          <w:szCs w:val="21"/>
        </w:rPr>
      </w:pPr>
    </w:p>
    <w:p w14:paraId="7E5A8336" w14:textId="77777777" w:rsidR="009021F1" w:rsidRPr="00D579BE" w:rsidRDefault="009021F1" w:rsidP="009021F1">
      <w:pPr>
        <w:jc w:val="center"/>
        <w:rPr>
          <w:i/>
          <w:szCs w:val="21"/>
        </w:rPr>
      </w:pPr>
      <w:r w:rsidRPr="00D579BE">
        <w:rPr>
          <w:noProof/>
          <w:szCs w:val="21"/>
        </w:rPr>
        <w:drawing>
          <wp:anchor distT="0" distB="0" distL="114300" distR="114300" simplePos="0" relativeHeight="251729964" behindDoc="0" locked="0" layoutInCell="1" allowOverlap="1" wp14:anchorId="2912E292" wp14:editId="548AC36B">
            <wp:simplePos x="0" y="0"/>
            <wp:positionH relativeFrom="column">
              <wp:posOffset>655320</wp:posOffset>
            </wp:positionH>
            <wp:positionV relativeFrom="paragraph">
              <wp:posOffset>22225</wp:posOffset>
            </wp:positionV>
            <wp:extent cx="4320540" cy="3239770"/>
            <wp:effectExtent l="0" t="0" r="3810" b="0"/>
            <wp:wrapThrough wrapText="bothSides">
              <wp:wrapPolygon edited="0">
                <wp:start x="0" y="0"/>
                <wp:lineTo x="0" y="21465"/>
                <wp:lineTo x="21524" y="21465"/>
                <wp:lineTo x="21524" y="0"/>
                <wp:lineTo x="0" y="0"/>
              </wp:wrapPolygon>
            </wp:wrapThrough>
            <wp:docPr id="5298" name="Image 5298" descr="C:\Users\HP Notebook\Pictures\Dossier PNDA_ Goma juin 2020\PHOTOS CONSULTATION GOMA PNDA\TimePhoto_20200619_145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descr="C:\Users\HP Notebook\Pictures\Dossier PNDA_ Goma juin 2020\PHOTOS CONSULTATION GOMA PNDA\TimePhoto_20200619_145256.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320540" cy="3239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68AC1F" w14:textId="77777777" w:rsidR="009021F1" w:rsidRPr="00D579BE" w:rsidRDefault="009021F1" w:rsidP="009021F1">
      <w:pPr>
        <w:jc w:val="center"/>
        <w:rPr>
          <w:i/>
          <w:szCs w:val="21"/>
        </w:rPr>
      </w:pPr>
    </w:p>
    <w:p w14:paraId="57A004B1" w14:textId="77777777" w:rsidR="009021F1" w:rsidRPr="00D579BE" w:rsidRDefault="009021F1" w:rsidP="009021F1">
      <w:pPr>
        <w:jc w:val="center"/>
        <w:rPr>
          <w:i/>
          <w:szCs w:val="21"/>
        </w:rPr>
      </w:pPr>
    </w:p>
    <w:p w14:paraId="30E0D5A4" w14:textId="77777777" w:rsidR="009021F1" w:rsidRPr="00D579BE" w:rsidRDefault="009021F1" w:rsidP="009021F1">
      <w:pPr>
        <w:jc w:val="center"/>
        <w:rPr>
          <w:i/>
          <w:szCs w:val="21"/>
        </w:rPr>
      </w:pPr>
    </w:p>
    <w:p w14:paraId="3C70B82A" w14:textId="77777777" w:rsidR="009021F1" w:rsidRPr="00D579BE" w:rsidRDefault="009021F1" w:rsidP="009021F1">
      <w:pPr>
        <w:jc w:val="center"/>
        <w:rPr>
          <w:i/>
          <w:szCs w:val="21"/>
        </w:rPr>
      </w:pPr>
    </w:p>
    <w:p w14:paraId="4B55F6F4" w14:textId="77777777" w:rsidR="009021F1" w:rsidRPr="00D579BE" w:rsidRDefault="009021F1" w:rsidP="009021F1">
      <w:pPr>
        <w:jc w:val="center"/>
        <w:rPr>
          <w:i/>
          <w:szCs w:val="21"/>
        </w:rPr>
      </w:pPr>
    </w:p>
    <w:p w14:paraId="3BEFC45C" w14:textId="77777777" w:rsidR="009021F1" w:rsidRPr="00D579BE" w:rsidRDefault="009021F1" w:rsidP="009021F1">
      <w:pPr>
        <w:jc w:val="center"/>
        <w:rPr>
          <w:i/>
          <w:szCs w:val="21"/>
        </w:rPr>
      </w:pPr>
    </w:p>
    <w:p w14:paraId="784CCF77" w14:textId="77777777" w:rsidR="009021F1" w:rsidRPr="00D579BE" w:rsidRDefault="009021F1" w:rsidP="009021F1">
      <w:pPr>
        <w:jc w:val="center"/>
        <w:rPr>
          <w:i/>
          <w:szCs w:val="21"/>
        </w:rPr>
      </w:pPr>
    </w:p>
    <w:p w14:paraId="35C00476" w14:textId="77777777" w:rsidR="009021F1" w:rsidRPr="00D579BE" w:rsidRDefault="009021F1" w:rsidP="009021F1">
      <w:pPr>
        <w:jc w:val="center"/>
        <w:rPr>
          <w:i/>
          <w:szCs w:val="21"/>
        </w:rPr>
      </w:pPr>
    </w:p>
    <w:p w14:paraId="22780301" w14:textId="77777777" w:rsidR="009021F1" w:rsidRPr="00D579BE" w:rsidRDefault="009021F1" w:rsidP="009021F1">
      <w:pPr>
        <w:jc w:val="center"/>
        <w:rPr>
          <w:i/>
          <w:szCs w:val="21"/>
        </w:rPr>
      </w:pPr>
    </w:p>
    <w:p w14:paraId="7117F28F" w14:textId="77777777" w:rsidR="009021F1" w:rsidRPr="00D579BE" w:rsidRDefault="009021F1" w:rsidP="009021F1">
      <w:pPr>
        <w:jc w:val="center"/>
        <w:rPr>
          <w:i/>
          <w:szCs w:val="21"/>
        </w:rPr>
      </w:pPr>
    </w:p>
    <w:p w14:paraId="3EC156CE" w14:textId="77777777" w:rsidR="009021F1" w:rsidRPr="00D579BE" w:rsidRDefault="009021F1" w:rsidP="009021F1">
      <w:pPr>
        <w:jc w:val="center"/>
        <w:rPr>
          <w:i/>
          <w:szCs w:val="21"/>
        </w:rPr>
      </w:pPr>
    </w:p>
    <w:p w14:paraId="1A2BE43F" w14:textId="77777777" w:rsidR="009021F1" w:rsidRPr="00D579BE" w:rsidRDefault="009021F1" w:rsidP="009021F1">
      <w:pPr>
        <w:jc w:val="center"/>
        <w:rPr>
          <w:i/>
          <w:szCs w:val="21"/>
        </w:rPr>
      </w:pPr>
    </w:p>
    <w:p w14:paraId="20DFFC56" w14:textId="77777777" w:rsidR="009021F1" w:rsidRPr="00D579BE" w:rsidRDefault="009021F1" w:rsidP="009021F1">
      <w:pPr>
        <w:jc w:val="center"/>
        <w:rPr>
          <w:i/>
          <w:szCs w:val="21"/>
        </w:rPr>
      </w:pPr>
    </w:p>
    <w:p w14:paraId="4BE0329A" w14:textId="77777777" w:rsidR="009021F1" w:rsidRPr="00D579BE" w:rsidRDefault="009021F1" w:rsidP="009021F1">
      <w:pPr>
        <w:jc w:val="center"/>
        <w:rPr>
          <w:i/>
          <w:szCs w:val="21"/>
        </w:rPr>
      </w:pPr>
    </w:p>
    <w:p w14:paraId="73022319" w14:textId="77777777" w:rsidR="009021F1" w:rsidRPr="00D579BE" w:rsidRDefault="009021F1" w:rsidP="009021F1">
      <w:pPr>
        <w:jc w:val="center"/>
        <w:rPr>
          <w:i/>
          <w:szCs w:val="21"/>
        </w:rPr>
      </w:pPr>
    </w:p>
    <w:p w14:paraId="3409582A" w14:textId="77777777" w:rsidR="009021F1" w:rsidRPr="00D579BE" w:rsidRDefault="009021F1" w:rsidP="009021F1">
      <w:pPr>
        <w:jc w:val="center"/>
        <w:rPr>
          <w:i/>
          <w:szCs w:val="21"/>
        </w:rPr>
      </w:pPr>
    </w:p>
    <w:p w14:paraId="65881441" w14:textId="77777777" w:rsidR="009021F1" w:rsidRPr="00D579BE" w:rsidRDefault="009021F1" w:rsidP="009021F1">
      <w:pPr>
        <w:jc w:val="center"/>
        <w:rPr>
          <w:i/>
          <w:szCs w:val="21"/>
        </w:rPr>
      </w:pPr>
    </w:p>
    <w:p w14:paraId="307DE904" w14:textId="77777777" w:rsidR="009021F1" w:rsidRPr="003D2AD5" w:rsidRDefault="009021F1" w:rsidP="009021F1">
      <w:pPr>
        <w:pStyle w:val="Titre1"/>
        <w:tabs>
          <w:tab w:val="right" w:pos="9062"/>
        </w:tabs>
        <w:ind w:left="1418" w:hanging="1418"/>
        <w:rPr>
          <w:i/>
          <w:szCs w:val="21"/>
        </w:rPr>
      </w:pPr>
      <w:r w:rsidRPr="00D579BE">
        <w:rPr>
          <w:rFonts w:cs="Arial"/>
          <w:szCs w:val="21"/>
        </w:rPr>
        <w:br w:type="page"/>
      </w:r>
      <w:bookmarkStart w:id="494" w:name="_Toc90471600"/>
      <w:r w:rsidRPr="003D2AD5">
        <w:rPr>
          <w:rFonts w:cs="Arial"/>
          <w:i/>
          <w:szCs w:val="21"/>
        </w:rPr>
        <w:t>ANNEXE 10.B) PHOTOS DES ATELIERS DE RESTITUTION</w:t>
      </w:r>
      <w:bookmarkEnd w:id="494"/>
    </w:p>
    <w:p w14:paraId="69610B67" w14:textId="77777777" w:rsidR="009021F1" w:rsidRPr="00D579BE" w:rsidRDefault="009021F1" w:rsidP="009021F1">
      <w:pPr>
        <w:ind w:left="2880" w:hanging="2880"/>
        <w:jc w:val="left"/>
        <w:rPr>
          <w:i/>
          <w:szCs w:val="21"/>
        </w:rPr>
      </w:pPr>
    </w:p>
    <w:p w14:paraId="4AFF5D29" w14:textId="77777777" w:rsidR="009021F1" w:rsidRPr="00D579BE" w:rsidRDefault="009021F1" w:rsidP="009021F1">
      <w:pPr>
        <w:ind w:left="2880" w:hanging="2880"/>
        <w:jc w:val="left"/>
        <w:rPr>
          <w:i/>
          <w:szCs w:val="21"/>
        </w:rPr>
      </w:pPr>
      <w:r w:rsidRPr="00D579BE">
        <w:rPr>
          <w:i/>
          <w:szCs w:val="21"/>
        </w:rPr>
        <w:t>Photos 11 et 12 Atelier de restitution de Goma dans la Province du Nors-Kivu</w:t>
      </w:r>
    </w:p>
    <w:p w14:paraId="41A5D991" w14:textId="77777777" w:rsidR="009021F1" w:rsidRPr="00D579BE" w:rsidRDefault="009021F1" w:rsidP="009021F1">
      <w:pPr>
        <w:ind w:left="2880" w:hanging="2880"/>
        <w:jc w:val="left"/>
        <w:rPr>
          <w:i/>
          <w:szCs w:val="21"/>
        </w:rPr>
      </w:pPr>
      <w:r w:rsidRPr="00D579BE">
        <w:rPr>
          <w:noProof/>
          <w:szCs w:val="21"/>
        </w:rPr>
        <w:drawing>
          <wp:anchor distT="0" distB="0" distL="114300" distR="114300" simplePos="0" relativeHeight="251735084" behindDoc="1" locked="0" layoutInCell="1" allowOverlap="1" wp14:anchorId="6A77CB8A" wp14:editId="10C86E03">
            <wp:simplePos x="0" y="0"/>
            <wp:positionH relativeFrom="column">
              <wp:posOffset>-43815</wp:posOffset>
            </wp:positionH>
            <wp:positionV relativeFrom="paragraph">
              <wp:posOffset>54610</wp:posOffset>
            </wp:positionV>
            <wp:extent cx="5760720" cy="3239135"/>
            <wp:effectExtent l="0" t="0" r="0" b="0"/>
            <wp:wrapNone/>
            <wp:docPr id="5299" name="Image 5299" descr="C:\Users\HP SPECTRE\Documents\Groupement SCET-TUNISIE-GECT-OKAPI-EGC\Goma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79" descr="C:\Users\HP SPECTRE\Documents\Groupement SCET-TUNISIE-GECT-OKAPI-EGC\Goma2.jf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760720" cy="3239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986A31" w14:textId="77777777" w:rsidR="009021F1" w:rsidRPr="00D579BE" w:rsidRDefault="009021F1" w:rsidP="009021F1">
      <w:pPr>
        <w:ind w:left="2880" w:hanging="2880"/>
        <w:jc w:val="left"/>
        <w:rPr>
          <w:i/>
          <w:szCs w:val="21"/>
        </w:rPr>
      </w:pPr>
    </w:p>
    <w:p w14:paraId="7C2E9D75" w14:textId="77777777" w:rsidR="009021F1" w:rsidRPr="00D579BE" w:rsidRDefault="009021F1" w:rsidP="009021F1">
      <w:pPr>
        <w:ind w:left="2880" w:hanging="2880"/>
        <w:jc w:val="left"/>
        <w:rPr>
          <w:i/>
          <w:szCs w:val="21"/>
        </w:rPr>
      </w:pPr>
    </w:p>
    <w:p w14:paraId="235B9288" w14:textId="77777777" w:rsidR="009021F1" w:rsidRPr="00D579BE" w:rsidRDefault="009021F1" w:rsidP="009021F1">
      <w:pPr>
        <w:ind w:left="2880" w:hanging="2880"/>
        <w:jc w:val="left"/>
        <w:rPr>
          <w:i/>
          <w:szCs w:val="21"/>
        </w:rPr>
      </w:pPr>
    </w:p>
    <w:p w14:paraId="0B113D28" w14:textId="77777777" w:rsidR="009021F1" w:rsidRPr="00D579BE" w:rsidRDefault="009021F1" w:rsidP="009021F1">
      <w:pPr>
        <w:ind w:left="2880" w:hanging="2880"/>
        <w:jc w:val="left"/>
        <w:rPr>
          <w:i/>
          <w:szCs w:val="21"/>
        </w:rPr>
      </w:pPr>
    </w:p>
    <w:p w14:paraId="2F63E187" w14:textId="77777777" w:rsidR="009021F1" w:rsidRPr="00D579BE" w:rsidRDefault="009021F1" w:rsidP="009021F1">
      <w:pPr>
        <w:ind w:left="2880" w:hanging="2880"/>
        <w:jc w:val="left"/>
        <w:rPr>
          <w:i/>
          <w:szCs w:val="21"/>
        </w:rPr>
      </w:pPr>
    </w:p>
    <w:p w14:paraId="25CFC226" w14:textId="77777777" w:rsidR="009021F1" w:rsidRPr="00D579BE" w:rsidRDefault="009021F1" w:rsidP="009021F1">
      <w:pPr>
        <w:ind w:left="2880" w:hanging="2880"/>
        <w:jc w:val="left"/>
        <w:rPr>
          <w:i/>
          <w:szCs w:val="21"/>
        </w:rPr>
      </w:pPr>
    </w:p>
    <w:p w14:paraId="2E57F7EF" w14:textId="77777777" w:rsidR="009021F1" w:rsidRPr="00D579BE" w:rsidRDefault="009021F1" w:rsidP="009021F1">
      <w:pPr>
        <w:ind w:left="2880" w:hanging="2880"/>
        <w:jc w:val="left"/>
        <w:rPr>
          <w:i/>
          <w:szCs w:val="21"/>
        </w:rPr>
      </w:pPr>
    </w:p>
    <w:p w14:paraId="7FCF5447" w14:textId="77777777" w:rsidR="009021F1" w:rsidRPr="00D579BE" w:rsidRDefault="009021F1" w:rsidP="009021F1">
      <w:pPr>
        <w:ind w:left="2880" w:hanging="2880"/>
        <w:jc w:val="left"/>
        <w:rPr>
          <w:i/>
          <w:szCs w:val="21"/>
        </w:rPr>
      </w:pPr>
    </w:p>
    <w:p w14:paraId="4FE11A6F" w14:textId="77777777" w:rsidR="009021F1" w:rsidRPr="00D579BE" w:rsidRDefault="009021F1" w:rsidP="009021F1">
      <w:pPr>
        <w:ind w:left="2880" w:hanging="2880"/>
        <w:jc w:val="left"/>
        <w:rPr>
          <w:i/>
          <w:szCs w:val="21"/>
        </w:rPr>
      </w:pPr>
    </w:p>
    <w:p w14:paraId="09BFEADF" w14:textId="77777777" w:rsidR="009021F1" w:rsidRPr="00D579BE" w:rsidRDefault="009021F1" w:rsidP="009021F1">
      <w:pPr>
        <w:ind w:left="2880" w:hanging="2880"/>
        <w:jc w:val="left"/>
        <w:rPr>
          <w:i/>
          <w:szCs w:val="21"/>
        </w:rPr>
      </w:pPr>
    </w:p>
    <w:p w14:paraId="22A2189F" w14:textId="77777777" w:rsidR="009021F1" w:rsidRPr="00D579BE" w:rsidRDefault="009021F1" w:rsidP="009021F1">
      <w:pPr>
        <w:ind w:left="2880" w:hanging="2880"/>
        <w:jc w:val="left"/>
        <w:rPr>
          <w:i/>
          <w:szCs w:val="21"/>
        </w:rPr>
      </w:pPr>
    </w:p>
    <w:p w14:paraId="3F975AA9" w14:textId="77777777" w:rsidR="009021F1" w:rsidRPr="00D579BE" w:rsidRDefault="009021F1" w:rsidP="009021F1">
      <w:pPr>
        <w:ind w:left="2880" w:hanging="2880"/>
        <w:jc w:val="left"/>
        <w:rPr>
          <w:i/>
          <w:szCs w:val="21"/>
        </w:rPr>
      </w:pPr>
    </w:p>
    <w:p w14:paraId="2C7DE980" w14:textId="77777777" w:rsidR="009021F1" w:rsidRPr="00D579BE" w:rsidRDefault="009021F1" w:rsidP="009021F1">
      <w:pPr>
        <w:ind w:left="2880" w:hanging="2880"/>
        <w:jc w:val="left"/>
        <w:rPr>
          <w:i/>
          <w:szCs w:val="21"/>
        </w:rPr>
      </w:pPr>
    </w:p>
    <w:p w14:paraId="7573A0C0" w14:textId="77777777" w:rsidR="009021F1" w:rsidRPr="00D579BE" w:rsidRDefault="009021F1" w:rsidP="009021F1">
      <w:pPr>
        <w:ind w:left="2880" w:hanging="2880"/>
        <w:jc w:val="left"/>
        <w:rPr>
          <w:i/>
          <w:szCs w:val="21"/>
        </w:rPr>
      </w:pPr>
    </w:p>
    <w:p w14:paraId="6FEACA00" w14:textId="77777777" w:rsidR="009021F1" w:rsidRPr="00D579BE" w:rsidRDefault="009021F1" w:rsidP="009021F1">
      <w:pPr>
        <w:ind w:left="2880" w:hanging="2880"/>
        <w:jc w:val="left"/>
        <w:rPr>
          <w:i/>
          <w:szCs w:val="21"/>
        </w:rPr>
      </w:pPr>
    </w:p>
    <w:p w14:paraId="1D5463B4" w14:textId="77777777" w:rsidR="009021F1" w:rsidRPr="00D579BE" w:rsidRDefault="009021F1" w:rsidP="009021F1">
      <w:pPr>
        <w:ind w:left="2880" w:hanging="2880"/>
        <w:jc w:val="left"/>
        <w:rPr>
          <w:i/>
          <w:szCs w:val="21"/>
        </w:rPr>
      </w:pPr>
    </w:p>
    <w:p w14:paraId="4981B40D" w14:textId="77777777" w:rsidR="009021F1" w:rsidRPr="00D579BE" w:rsidRDefault="009021F1" w:rsidP="009021F1">
      <w:pPr>
        <w:ind w:left="2880" w:hanging="2880"/>
        <w:jc w:val="left"/>
        <w:rPr>
          <w:i/>
          <w:szCs w:val="21"/>
        </w:rPr>
      </w:pPr>
      <w:r w:rsidRPr="00D579BE">
        <w:rPr>
          <w:noProof/>
          <w:szCs w:val="21"/>
        </w:rPr>
        <w:drawing>
          <wp:anchor distT="0" distB="0" distL="114300" distR="114300" simplePos="0" relativeHeight="251734060" behindDoc="0" locked="0" layoutInCell="1" allowOverlap="1" wp14:anchorId="74312CBF" wp14:editId="1D8E9C6A">
            <wp:simplePos x="0" y="0"/>
            <wp:positionH relativeFrom="column">
              <wp:posOffset>-41275</wp:posOffset>
            </wp:positionH>
            <wp:positionV relativeFrom="paragraph">
              <wp:posOffset>194310</wp:posOffset>
            </wp:positionV>
            <wp:extent cx="5760720" cy="3239770"/>
            <wp:effectExtent l="0" t="0" r="0" b="0"/>
            <wp:wrapNone/>
            <wp:docPr id="5300" name="Image 5300" descr="C:\Users\HP SPECTRE\Documents\Groupement SCET-TUNISIE-GECT-OKAPI-EGC\Goma3.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78" descr="C:\Users\HP SPECTRE\Documents\Groupement SCET-TUNISIE-GECT-OKAPI-EGC\Goma3.jfif"/>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760720" cy="3239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E53164" w14:textId="77777777" w:rsidR="009021F1" w:rsidRPr="00D579BE" w:rsidRDefault="009021F1" w:rsidP="009021F1">
      <w:pPr>
        <w:ind w:left="2880" w:hanging="2880"/>
        <w:jc w:val="left"/>
        <w:rPr>
          <w:i/>
          <w:szCs w:val="21"/>
        </w:rPr>
      </w:pPr>
    </w:p>
    <w:p w14:paraId="66A4748F" w14:textId="77777777" w:rsidR="009021F1" w:rsidRPr="00D579BE" w:rsidRDefault="009021F1" w:rsidP="009021F1">
      <w:pPr>
        <w:ind w:left="2880" w:hanging="2880"/>
        <w:jc w:val="left"/>
        <w:rPr>
          <w:i/>
          <w:szCs w:val="21"/>
        </w:rPr>
      </w:pPr>
    </w:p>
    <w:p w14:paraId="4E188ABC" w14:textId="77777777" w:rsidR="009021F1" w:rsidRPr="00D579BE" w:rsidRDefault="009021F1" w:rsidP="009021F1">
      <w:pPr>
        <w:ind w:left="2880" w:hanging="2880"/>
        <w:jc w:val="left"/>
        <w:rPr>
          <w:i/>
          <w:szCs w:val="21"/>
        </w:rPr>
      </w:pPr>
    </w:p>
    <w:p w14:paraId="1E8F20A5" w14:textId="77777777" w:rsidR="009021F1" w:rsidRPr="00D579BE" w:rsidRDefault="009021F1" w:rsidP="009021F1">
      <w:pPr>
        <w:ind w:left="2880" w:hanging="2880"/>
        <w:jc w:val="left"/>
        <w:rPr>
          <w:i/>
          <w:szCs w:val="21"/>
        </w:rPr>
      </w:pPr>
    </w:p>
    <w:p w14:paraId="73E42551" w14:textId="77777777" w:rsidR="009021F1" w:rsidRPr="00D579BE" w:rsidRDefault="009021F1" w:rsidP="009021F1">
      <w:pPr>
        <w:ind w:left="2880" w:hanging="2880"/>
        <w:jc w:val="left"/>
        <w:rPr>
          <w:i/>
          <w:szCs w:val="21"/>
        </w:rPr>
      </w:pPr>
    </w:p>
    <w:p w14:paraId="12788A4B" w14:textId="77777777" w:rsidR="009021F1" w:rsidRPr="00D579BE" w:rsidRDefault="009021F1" w:rsidP="009021F1">
      <w:pPr>
        <w:ind w:left="2880" w:hanging="2880"/>
        <w:jc w:val="left"/>
        <w:rPr>
          <w:i/>
          <w:szCs w:val="21"/>
        </w:rPr>
      </w:pPr>
    </w:p>
    <w:p w14:paraId="355E0815" w14:textId="77777777" w:rsidR="009021F1" w:rsidRPr="00D579BE" w:rsidRDefault="009021F1" w:rsidP="009021F1">
      <w:pPr>
        <w:ind w:left="2880" w:hanging="2880"/>
        <w:jc w:val="left"/>
        <w:rPr>
          <w:i/>
          <w:szCs w:val="21"/>
        </w:rPr>
      </w:pPr>
    </w:p>
    <w:p w14:paraId="7368E73E" w14:textId="77777777" w:rsidR="009021F1" w:rsidRPr="00D579BE" w:rsidRDefault="009021F1" w:rsidP="009021F1">
      <w:pPr>
        <w:ind w:left="2880" w:hanging="2880"/>
        <w:jc w:val="left"/>
        <w:rPr>
          <w:i/>
          <w:szCs w:val="21"/>
        </w:rPr>
      </w:pPr>
    </w:p>
    <w:p w14:paraId="1A7C18A8" w14:textId="77777777" w:rsidR="009021F1" w:rsidRPr="00D579BE" w:rsidRDefault="009021F1" w:rsidP="009021F1">
      <w:pPr>
        <w:ind w:left="2880" w:hanging="2880"/>
        <w:jc w:val="left"/>
        <w:rPr>
          <w:i/>
          <w:szCs w:val="21"/>
        </w:rPr>
      </w:pPr>
    </w:p>
    <w:p w14:paraId="25CAA47F" w14:textId="77777777" w:rsidR="009021F1" w:rsidRPr="00D579BE" w:rsidRDefault="009021F1" w:rsidP="009021F1">
      <w:pPr>
        <w:ind w:left="2880" w:hanging="2880"/>
        <w:jc w:val="left"/>
        <w:rPr>
          <w:i/>
          <w:szCs w:val="21"/>
        </w:rPr>
      </w:pPr>
    </w:p>
    <w:p w14:paraId="6A157034" w14:textId="77777777" w:rsidR="009021F1" w:rsidRPr="00D579BE" w:rsidRDefault="009021F1" w:rsidP="009021F1">
      <w:pPr>
        <w:ind w:left="2880" w:hanging="2880"/>
        <w:jc w:val="left"/>
        <w:rPr>
          <w:i/>
          <w:szCs w:val="21"/>
        </w:rPr>
      </w:pPr>
    </w:p>
    <w:p w14:paraId="537E7373" w14:textId="77777777" w:rsidR="009021F1" w:rsidRPr="00D579BE" w:rsidRDefault="009021F1" w:rsidP="009021F1">
      <w:pPr>
        <w:ind w:left="2880" w:hanging="2880"/>
        <w:jc w:val="left"/>
        <w:rPr>
          <w:i/>
          <w:szCs w:val="21"/>
        </w:rPr>
      </w:pPr>
    </w:p>
    <w:p w14:paraId="351FE695" w14:textId="77777777" w:rsidR="009021F1" w:rsidRPr="00D579BE" w:rsidRDefault="009021F1" w:rsidP="009021F1">
      <w:pPr>
        <w:ind w:left="2880" w:hanging="2880"/>
        <w:jc w:val="left"/>
        <w:rPr>
          <w:i/>
          <w:szCs w:val="21"/>
        </w:rPr>
      </w:pPr>
    </w:p>
    <w:p w14:paraId="23DDB9DF" w14:textId="77777777" w:rsidR="009021F1" w:rsidRPr="00D579BE" w:rsidRDefault="009021F1" w:rsidP="009021F1">
      <w:pPr>
        <w:ind w:left="2880" w:hanging="2880"/>
        <w:jc w:val="left"/>
        <w:rPr>
          <w:i/>
          <w:szCs w:val="21"/>
        </w:rPr>
      </w:pPr>
    </w:p>
    <w:p w14:paraId="0C306E64" w14:textId="77777777" w:rsidR="009021F1" w:rsidRPr="00D579BE" w:rsidRDefault="009021F1" w:rsidP="009021F1">
      <w:pPr>
        <w:ind w:left="2880" w:hanging="2880"/>
        <w:jc w:val="left"/>
        <w:rPr>
          <w:i/>
          <w:szCs w:val="21"/>
        </w:rPr>
      </w:pPr>
    </w:p>
    <w:p w14:paraId="3907A5A8" w14:textId="77777777" w:rsidR="009021F1" w:rsidRPr="00D579BE" w:rsidRDefault="009021F1" w:rsidP="009021F1">
      <w:pPr>
        <w:ind w:left="2880" w:hanging="2880"/>
        <w:jc w:val="left"/>
        <w:rPr>
          <w:i/>
          <w:szCs w:val="21"/>
        </w:rPr>
      </w:pPr>
    </w:p>
    <w:p w14:paraId="756AE1C3" w14:textId="77777777" w:rsidR="009021F1" w:rsidRPr="00D579BE" w:rsidRDefault="009021F1" w:rsidP="009021F1">
      <w:pPr>
        <w:ind w:left="2880" w:hanging="2880"/>
        <w:jc w:val="left"/>
        <w:rPr>
          <w:i/>
          <w:szCs w:val="21"/>
        </w:rPr>
      </w:pPr>
    </w:p>
    <w:p w14:paraId="2063FDD6" w14:textId="77777777" w:rsidR="009021F1" w:rsidRPr="00D579BE" w:rsidRDefault="009021F1" w:rsidP="009021F1">
      <w:pPr>
        <w:ind w:left="2880" w:hanging="2880"/>
        <w:jc w:val="left"/>
        <w:rPr>
          <w:i/>
          <w:szCs w:val="21"/>
        </w:rPr>
      </w:pPr>
    </w:p>
    <w:p w14:paraId="370DC84B" w14:textId="77777777" w:rsidR="009021F1" w:rsidRPr="00D579BE" w:rsidRDefault="009021F1" w:rsidP="009021F1">
      <w:pPr>
        <w:ind w:left="2880" w:hanging="2880"/>
        <w:jc w:val="left"/>
        <w:rPr>
          <w:i/>
          <w:szCs w:val="21"/>
        </w:rPr>
      </w:pPr>
    </w:p>
    <w:p w14:paraId="26C9BF03" w14:textId="77777777" w:rsidR="009021F1" w:rsidRPr="00D579BE" w:rsidRDefault="009021F1" w:rsidP="009021F1">
      <w:pPr>
        <w:ind w:left="2880" w:hanging="2880"/>
        <w:jc w:val="left"/>
        <w:rPr>
          <w:i/>
          <w:szCs w:val="21"/>
        </w:rPr>
      </w:pPr>
    </w:p>
    <w:p w14:paraId="24B1A0CC" w14:textId="77777777" w:rsidR="009021F1" w:rsidRPr="00D579BE" w:rsidRDefault="009021F1" w:rsidP="009021F1">
      <w:pPr>
        <w:ind w:left="2880" w:hanging="2880"/>
        <w:jc w:val="left"/>
        <w:rPr>
          <w:i/>
          <w:szCs w:val="21"/>
        </w:rPr>
      </w:pPr>
    </w:p>
    <w:p w14:paraId="4D726942" w14:textId="77777777" w:rsidR="009021F1" w:rsidRPr="00D579BE" w:rsidRDefault="009021F1" w:rsidP="009021F1">
      <w:pPr>
        <w:ind w:left="2880" w:hanging="2880"/>
        <w:jc w:val="left"/>
        <w:rPr>
          <w:i/>
          <w:szCs w:val="21"/>
        </w:rPr>
      </w:pPr>
    </w:p>
    <w:p w14:paraId="393CD6D4" w14:textId="77777777" w:rsidR="009021F1" w:rsidRPr="00D579BE" w:rsidRDefault="009021F1" w:rsidP="009021F1">
      <w:pPr>
        <w:ind w:left="2880" w:hanging="2880"/>
        <w:jc w:val="left"/>
        <w:rPr>
          <w:i/>
          <w:szCs w:val="21"/>
        </w:rPr>
      </w:pPr>
    </w:p>
    <w:p w14:paraId="6E0A524A" w14:textId="77777777" w:rsidR="009021F1" w:rsidRPr="00D579BE" w:rsidRDefault="009021F1" w:rsidP="009021F1">
      <w:pPr>
        <w:ind w:left="2880" w:hanging="2880"/>
        <w:jc w:val="left"/>
        <w:rPr>
          <w:i/>
          <w:szCs w:val="21"/>
        </w:rPr>
      </w:pPr>
    </w:p>
    <w:p w14:paraId="1D03C178" w14:textId="77777777" w:rsidR="009021F1" w:rsidRPr="00D579BE" w:rsidRDefault="009021F1" w:rsidP="009021F1">
      <w:pPr>
        <w:ind w:left="2880" w:hanging="2880"/>
        <w:jc w:val="left"/>
        <w:rPr>
          <w:i/>
          <w:szCs w:val="21"/>
        </w:rPr>
      </w:pPr>
    </w:p>
    <w:p w14:paraId="3421D151" w14:textId="77777777" w:rsidR="009021F1" w:rsidRPr="00D579BE" w:rsidRDefault="009021F1" w:rsidP="009021F1">
      <w:pPr>
        <w:ind w:left="2880" w:hanging="2880"/>
        <w:jc w:val="left"/>
        <w:rPr>
          <w:i/>
          <w:szCs w:val="21"/>
        </w:rPr>
      </w:pPr>
    </w:p>
    <w:p w14:paraId="1067D729" w14:textId="77777777" w:rsidR="009021F1" w:rsidRPr="00D579BE" w:rsidRDefault="009021F1" w:rsidP="009021F1">
      <w:pPr>
        <w:ind w:left="2880" w:hanging="2880"/>
        <w:jc w:val="left"/>
        <w:rPr>
          <w:i/>
          <w:szCs w:val="21"/>
        </w:rPr>
      </w:pPr>
    </w:p>
    <w:p w14:paraId="7AB6055A" w14:textId="77777777" w:rsidR="009021F1" w:rsidRPr="00D579BE" w:rsidRDefault="009021F1" w:rsidP="009021F1">
      <w:pPr>
        <w:ind w:left="2880" w:hanging="2880"/>
        <w:jc w:val="left"/>
        <w:rPr>
          <w:i/>
          <w:szCs w:val="21"/>
        </w:rPr>
      </w:pPr>
    </w:p>
    <w:p w14:paraId="33F83625" w14:textId="77777777" w:rsidR="009021F1" w:rsidRPr="00D579BE" w:rsidRDefault="009021F1" w:rsidP="009021F1">
      <w:pPr>
        <w:ind w:left="2880" w:hanging="2880"/>
        <w:jc w:val="left"/>
        <w:rPr>
          <w:i/>
          <w:szCs w:val="21"/>
        </w:rPr>
      </w:pPr>
    </w:p>
    <w:p w14:paraId="54420B5F" w14:textId="77777777" w:rsidR="009021F1" w:rsidRDefault="009021F1" w:rsidP="009021F1">
      <w:pPr>
        <w:spacing w:line="240" w:lineRule="auto"/>
        <w:jc w:val="left"/>
        <w:rPr>
          <w:i/>
          <w:szCs w:val="21"/>
        </w:rPr>
      </w:pPr>
      <w:r>
        <w:rPr>
          <w:i/>
          <w:szCs w:val="21"/>
        </w:rPr>
        <w:br w:type="page"/>
      </w:r>
    </w:p>
    <w:p w14:paraId="04BB24DD" w14:textId="77777777" w:rsidR="009021F1" w:rsidRPr="00D579BE" w:rsidRDefault="009021F1" w:rsidP="009021F1">
      <w:pPr>
        <w:ind w:left="2880" w:hanging="2880"/>
        <w:jc w:val="left"/>
        <w:rPr>
          <w:i/>
          <w:szCs w:val="21"/>
        </w:rPr>
      </w:pPr>
      <w:r w:rsidRPr="00D579BE">
        <w:rPr>
          <w:i/>
          <w:szCs w:val="21"/>
        </w:rPr>
        <w:t>Photos 13 et 14 Atelier de restitution de Kananga dans la Province du Kasaï Central</w:t>
      </w:r>
    </w:p>
    <w:p w14:paraId="1A81F499" w14:textId="77777777" w:rsidR="009021F1" w:rsidRPr="00D579BE" w:rsidRDefault="009021F1" w:rsidP="009021F1">
      <w:pPr>
        <w:ind w:left="2880" w:hanging="2880"/>
        <w:jc w:val="left"/>
        <w:rPr>
          <w:i/>
          <w:szCs w:val="21"/>
        </w:rPr>
      </w:pPr>
      <w:r w:rsidRPr="00D579BE">
        <w:rPr>
          <w:noProof/>
          <w:szCs w:val="21"/>
        </w:rPr>
        <w:drawing>
          <wp:anchor distT="0" distB="0" distL="114300" distR="114300" simplePos="0" relativeHeight="251736108" behindDoc="0" locked="0" layoutInCell="1" allowOverlap="1" wp14:anchorId="03136042" wp14:editId="19607DF9">
            <wp:simplePos x="0" y="0"/>
            <wp:positionH relativeFrom="column">
              <wp:posOffset>0</wp:posOffset>
            </wp:positionH>
            <wp:positionV relativeFrom="paragraph">
              <wp:posOffset>60325</wp:posOffset>
            </wp:positionV>
            <wp:extent cx="5760720" cy="3239770"/>
            <wp:effectExtent l="0" t="0" r="0" b="0"/>
            <wp:wrapNone/>
            <wp:docPr id="5301" name="Image 5301" descr="C:\Users\HP SPECTRE\Documents\Groupement SCET-TUNISIE-GECT-OKAPI-EGC\Kananga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80" descr="C:\Users\HP SPECTRE\Documents\Groupement SCET-TUNISIE-GECT-OKAPI-EGC\Kananga1.jfif"/>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760720" cy="3239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9161E9" w14:textId="77777777" w:rsidR="009021F1" w:rsidRPr="00D579BE" w:rsidRDefault="009021F1" w:rsidP="009021F1">
      <w:pPr>
        <w:ind w:left="2880" w:hanging="2880"/>
        <w:jc w:val="left"/>
        <w:rPr>
          <w:i/>
          <w:szCs w:val="21"/>
        </w:rPr>
      </w:pPr>
    </w:p>
    <w:p w14:paraId="1265D055" w14:textId="77777777" w:rsidR="009021F1" w:rsidRPr="00D579BE" w:rsidRDefault="009021F1" w:rsidP="009021F1">
      <w:pPr>
        <w:ind w:left="2880" w:hanging="2880"/>
        <w:jc w:val="left"/>
        <w:rPr>
          <w:i/>
          <w:szCs w:val="21"/>
        </w:rPr>
      </w:pPr>
    </w:p>
    <w:p w14:paraId="66F6188E" w14:textId="77777777" w:rsidR="009021F1" w:rsidRPr="00D579BE" w:rsidRDefault="009021F1" w:rsidP="009021F1">
      <w:pPr>
        <w:ind w:left="2880" w:hanging="2880"/>
        <w:jc w:val="left"/>
        <w:rPr>
          <w:i/>
          <w:szCs w:val="21"/>
        </w:rPr>
      </w:pPr>
    </w:p>
    <w:p w14:paraId="0A18EAF6" w14:textId="77777777" w:rsidR="009021F1" w:rsidRPr="00D579BE" w:rsidRDefault="009021F1" w:rsidP="009021F1">
      <w:pPr>
        <w:ind w:left="2880" w:hanging="2880"/>
        <w:jc w:val="left"/>
        <w:rPr>
          <w:i/>
          <w:szCs w:val="21"/>
        </w:rPr>
      </w:pPr>
    </w:p>
    <w:p w14:paraId="78FA9E01" w14:textId="77777777" w:rsidR="009021F1" w:rsidRPr="00D579BE" w:rsidRDefault="009021F1" w:rsidP="009021F1">
      <w:pPr>
        <w:ind w:left="2880" w:hanging="2880"/>
        <w:jc w:val="left"/>
        <w:rPr>
          <w:i/>
          <w:szCs w:val="21"/>
        </w:rPr>
      </w:pPr>
    </w:p>
    <w:p w14:paraId="418C86DF" w14:textId="77777777" w:rsidR="009021F1" w:rsidRPr="00D579BE" w:rsidRDefault="009021F1" w:rsidP="009021F1">
      <w:pPr>
        <w:ind w:left="2880" w:hanging="2880"/>
        <w:jc w:val="left"/>
        <w:rPr>
          <w:i/>
          <w:szCs w:val="21"/>
        </w:rPr>
      </w:pPr>
    </w:p>
    <w:p w14:paraId="471EF240" w14:textId="77777777" w:rsidR="009021F1" w:rsidRPr="00D579BE" w:rsidRDefault="009021F1" w:rsidP="009021F1">
      <w:pPr>
        <w:ind w:left="2880" w:hanging="2880"/>
        <w:jc w:val="left"/>
        <w:rPr>
          <w:i/>
          <w:szCs w:val="21"/>
        </w:rPr>
      </w:pPr>
    </w:p>
    <w:p w14:paraId="094067E8" w14:textId="77777777" w:rsidR="009021F1" w:rsidRPr="00D579BE" w:rsidRDefault="009021F1" w:rsidP="009021F1">
      <w:pPr>
        <w:ind w:left="2880" w:hanging="2880"/>
        <w:jc w:val="left"/>
        <w:rPr>
          <w:i/>
          <w:szCs w:val="21"/>
        </w:rPr>
      </w:pPr>
    </w:p>
    <w:p w14:paraId="06DEDCEB" w14:textId="77777777" w:rsidR="009021F1" w:rsidRPr="00D579BE" w:rsidRDefault="009021F1" w:rsidP="009021F1">
      <w:pPr>
        <w:ind w:left="2880" w:hanging="2880"/>
        <w:jc w:val="left"/>
        <w:rPr>
          <w:i/>
          <w:szCs w:val="21"/>
        </w:rPr>
      </w:pPr>
    </w:p>
    <w:p w14:paraId="2ECDC83D" w14:textId="77777777" w:rsidR="009021F1" w:rsidRPr="00D579BE" w:rsidRDefault="009021F1" w:rsidP="009021F1">
      <w:pPr>
        <w:ind w:left="2880" w:hanging="2880"/>
        <w:jc w:val="left"/>
        <w:rPr>
          <w:i/>
          <w:szCs w:val="21"/>
        </w:rPr>
      </w:pPr>
    </w:p>
    <w:p w14:paraId="27878DB9" w14:textId="77777777" w:rsidR="009021F1" w:rsidRPr="00D579BE" w:rsidRDefault="009021F1" w:rsidP="009021F1">
      <w:pPr>
        <w:ind w:left="2880" w:hanging="2880"/>
        <w:jc w:val="left"/>
        <w:rPr>
          <w:i/>
          <w:szCs w:val="21"/>
        </w:rPr>
      </w:pPr>
    </w:p>
    <w:p w14:paraId="1654C994" w14:textId="77777777" w:rsidR="009021F1" w:rsidRPr="00D579BE" w:rsidRDefault="009021F1" w:rsidP="009021F1">
      <w:pPr>
        <w:ind w:left="2880" w:hanging="2880"/>
        <w:jc w:val="left"/>
        <w:rPr>
          <w:i/>
          <w:szCs w:val="21"/>
        </w:rPr>
      </w:pPr>
    </w:p>
    <w:p w14:paraId="4DC5DE4C" w14:textId="77777777" w:rsidR="009021F1" w:rsidRPr="00D579BE" w:rsidRDefault="009021F1" w:rsidP="009021F1">
      <w:pPr>
        <w:ind w:left="2880" w:hanging="2880"/>
        <w:jc w:val="left"/>
        <w:rPr>
          <w:i/>
          <w:szCs w:val="21"/>
        </w:rPr>
      </w:pPr>
    </w:p>
    <w:p w14:paraId="3AEDF7E8" w14:textId="77777777" w:rsidR="009021F1" w:rsidRPr="00D579BE" w:rsidRDefault="009021F1" w:rsidP="009021F1">
      <w:pPr>
        <w:ind w:left="2880" w:hanging="2880"/>
        <w:jc w:val="left"/>
        <w:rPr>
          <w:i/>
          <w:szCs w:val="21"/>
        </w:rPr>
      </w:pPr>
    </w:p>
    <w:p w14:paraId="564C4124" w14:textId="77777777" w:rsidR="009021F1" w:rsidRPr="00D579BE" w:rsidRDefault="009021F1" w:rsidP="009021F1">
      <w:pPr>
        <w:ind w:left="2880" w:hanging="2880"/>
        <w:jc w:val="left"/>
        <w:rPr>
          <w:i/>
          <w:szCs w:val="21"/>
        </w:rPr>
      </w:pPr>
    </w:p>
    <w:p w14:paraId="466BF551" w14:textId="77777777" w:rsidR="009021F1" w:rsidRPr="00D579BE" w:rsidRDefault="009021F1" w:rsidP="009021F1">
      <w:pPr>
        <w:ind w:left="2880" w:hanging="2880"/>
        <w:jc w:val="left"/>
        <w:rPr>
          <w:i/>
          <w:szCs w:val="21"/>
        </w:rPr>
      </w:pPr>
    </w:p>
    <w:p w14:paraId="36AF0C34" w14:textId="77777777" w:rsidR="009021F1" w:rsidRPr="00D579BE" w:rsidRDefault="009021F1" w:rsidP="009021F1">
      <w:pPr>
        <w:ind w:left="2880" w:hanging="2880"/>
        <w:jc w:val="left"/>
        <w:rPr>
          <w:i/>
          <w:szCs w:val="21"/>
        </w:rPr>
      </w:pPr>
    </w:p>
    <w:p w14:paraId="7473F051" w14:textId="77777777" w:rsidR="009021F1" w:rsidRPr="00D579BE" w:rsidRDefault="009021F1" w:rsidP="009021F1">
      <w:pPr>
        <w:ind w:left="2880" w:hanging="2880"/>
        <w:jc w:val="left"/>
        <w:rPr>
          <w:i/>
          <w:szCs w:val="21"/>
        </w:rPr>
      </w:pPr>
      <w:r w:rsidRPr="00D579BE">
        <w:rPr>
          <w:noProof/>
          <w:szCs w:val="21"/>
        </w:rPr>
        <w:drawing>
          <wp:anchor distT="0" distB="0" distL="114300" distR="114300" simplePos="0" relativeHeight="251737132" behindDoc="0" locked="0" layoutInCell="1" allowOverlap="1" wp14:anchorId="25CD8391" wp14:editId="583D0E71">
            <wp:simplePos x="0" y="0"/>
            <wp:positionH relativeFrom="column">
              <wp:posOffset>0</wp:posOffset>
            </wp:positionH>
            <wp:positionV relativeFrom="paragraph">
              <wp:posOffset>13970</wp:posOffset>
            </wp:positionV>
            <wp:extent cx="5760720" cy="3239770"/>
            <wp:effectExtent l="0" t="0" r="0" b="0"/>
            <wp:wrapNone/>
            <wp:docPr id="5302" name="Image 5302" descr="C:\Users\HP SPECTRE\Documents\Groupement SCET-TUNISIE-GECT-OKAPI-EGC\Kananga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81" descr="C:\Users\HP SPECTRE\Documents\Groupement SCET-TUNISIE-GECT-OKAPI-EGC\Kananga2.jfif"/>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760720" cy="3239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D753EE" w14:textId="77777777" w:rsidR="009021F1" w:rsidRPr="00D579BE" w:rsidRDefault="009021F1" w:rsidP="009021F1">
      <w:pPr>
        <w:ind w:left="2880" w:hanging="2880"/>
        <w:jc w:val="left"/>
        <w:rPr>
          <w:i/>
          <w:szCs w:val="21"/>
        </w:rPr>
      </w:pPr>
    </w:p>
    <w:p w14:paraId="45BB98B8" w14:textId="77777777" w:rsidR="009021F1" w:rsidRPr="00D579BE" w:rsidRDefault="009021F1" w:rsidP="009021F1">
      <w:pPr>
        <w:ind w:left="2880" w:hanging="2880"/>
        <w:jc w:val="left"/>
        <w:rPr>
          <w:i/>
          <w:szCs w:val="21"/>
        </w:rPr>
      </w:pPr>
    </w:p>
    <w:p w14:paraId="48DE9AB8" w14:textId="77777777" w:rsidR="009021F1" w:rsidRPr="00D579BE" w:rsidRDefault="009021F1" w:rsidP="009021F1">
      <w:pPr>
        <w:ind w:left="2880" w:hanging="2880"/>
        <w:jc w:val="left"/>
        <w:rPr>
          <w:i/>
          <w:szCs w:val="21"/>
        </w:rPr>
      </w:pPr>
    </w:p>
    <w:p w14:paraId="1EE25073" w14:textId="77777777" w:rsidR="009021F1" w:rsidRPr="00D579BE" w:rsidRDefault="009021F1" w:rsidP="009021F1">
      <w:pPr>
        <w:ind w:left="2880" w:hanging="2880"/>
        <w:jc w:val="left"/>
        <w:rPr>
          <w:i/>
          <w:szCs w:val="21"/>
        </w:rPr>
      </w:pPr>
    </w:p>
    <w:p w14:paraId="6B3509D1" w14:textId="77777777" w:rsidR="009021F1" w:rsidRPr="00D579BE" w:rsidRDefault="009021F1" w:rsidP="009021F1">
      <w:pPr>
        <w:ind w:left="2880" w:hanging="2880"/>
        <w:jc w:val="left"/>
        <w:rPr>
          <w:i/>
          <w:szCs w:val="21"/>
        </w:rPr>
      </w:pPr>
    </w:p>
    <w:p w14:paraId="6CC6800C" w14:textId="77777777" w:rsidR="009021F1" w:rsidRPr="00D579BE" w:rsidRDefault="009021F1" w:rsidP="009021F1">
      <w:pPr>
        <w:ind w:left="2880" w:hanging="2880"/>
        <w:jc w:val="left"/>
        <w:rPr>
          <w:i/>
          <w:szCs w:val="21"/>
        </w:rPr>
      </w:pPr>
    </w:p>
    <w:p w14:paraId="162B4692" w14:textId="77777777" w:rsidR="009021F1" w:rsidRPr="00D579BE" w:rsidRDefault="009021F1" w:rsidP="009021F1">
      <w:pPr>
        <w:ind w:left="2880" w:hanging="2880"/>
        <w:jc w:val="left"/>
        <w:rPr>
          <w:i/>
          <w:szCs w:val="21"/>
        </w:rPr>
      </w:pPr>
    </w:p>
    <w:p w14:paraId="153F0C69" w14:textId="77777777" w:rsidR="009021F1" w:rsidRPr="00D579BE" w:rsidRDefault="009021F1" w:rsidP="009021F1">
      <w:pPr>
        <w:ind w:left="2880" w:hanging="2880"/>
        <w:jc w:val="left"/>
        <w:rPr>
          <w:i/>
          <w:szCs w:val="21"/>
        </w:rPr>
      </w:pPr>
    </w:p>
    <w:p w14:paraId="2ECBC28E" w14:textId="77777777" w:rsidR="009021F1" w:rsidRPr="00D579BE" w:rsidRDefault="009021F1" w:rsidP="009021F1">
      <w:pPr>
        <w:ind w:left="2880" w:hanging="2880"/>
        <w:jc w:val="left"/>
        <w:rPr>
          <w:i/>
          <w:szCs w:val="21"/>
        </w:rPr>
      </w:pPr>
    </w:p>
    <w:p w14:paraId="59F39415" w14:textId="77777777" w:rsidR="009021F1" w:rsidRPr="00D579BE" w:rsidRDefault="009021F1" w:rsidP="009021F1">
      <w:pPr>
        <w:ind w:left="2880" w:hanging="2880"/>
        <w:jc w:val="left"/>
        <w:rPr>
          <w:i/>
          <w:szCs w:val="21"/>
        </w:rPr>
      </w:pPr>
    </w:p>
    <w:p w14:paraId="7084C2F1" w14:textId="77777777" w:rsidR="009021F1" w:rsidRPr="00D579BE" w:rsidRDefault="009021F1" w:rsidP="009021F1">
      <w:pPr>
        <w:ind w:left="2880" w:hanging="2880"/>
        <w:jc w:val="left"/>
        <w:rPr>
          <w:i/>
          <w:szCs w:val="21"/>
        </w:rPr>
      </w:pPr>
    </w:p>
    <w:p w14:paraId="3037852C" w14:textId="77777777" w:rsidR="009021F1" w:rsidRPr="00D579BE" w:rsidRDefault="009021F1" w:rsidP="009021F1">
      <w:pPr>
        <w:ind w:left="2880" w:hanging="2880"/>
        <w:jc w:val="left"/>
        <w:rPr>
          <w:i/>
          <w:szCs w:val="21"/>
        </w:rPr>
      </w:pPr>
    </w:p>
    <w:p w14:paraId="5CFCB8EE" w14:textId="77777777" w:rsidR="009021F1" w:rsidRPr="00D579BE" w:rsidRDefault="009021F1" w:rsidP="009021F1">
      <w:pPr>
        <w:ind w:left="2880" w:hanging="2880"/>
        <w:jc w:val="left"/>
        <w:rPr>
          <w:i/>
          <w:szCs w:val="21"/>
        </w:rPr>
      </w:pPr>
    </w:p>
    <w:p w14:paraId="664F7B65" w14:textId="77777777" w:rsidR="009021F1" w:rsidRPr="00D579BE" w:rsidRDefault="009021F1" w:rsidP="009021F1">
      <w:pPr>
        <w:ind w:left="2880" w:hanging="2880"/>
        <w:jc w:val="left"/>
        <w:rPr>
          <w:i/>
          <w:szCs w:val="21"/>
        </w:rPr>
      </w:pPr>
    </w:p>
    <w:p w14:paraId="123DB1FA" w14:textId="77777777" w:rsidR="009021F1" w:rsidRPr="00D579BE" w:rsidRDefault="009021F1" w:rsidP="009021F1">
      <w:pPr>
        <w:ind w:left="2880" w:hanging="2880"/>
        <w:jc w:val="left"/>
        <w:rPr>
          <w:i/>
          <w:szCs w:val="21"/>
        </w:rPr>
      </w:pPr>
    </w:p>
    <w:p w14:paraId="63E186F4" w14:textId="77777777" w:rsidR="009021F1" w:rsidRPr="00D579BE" w:rsidRDefault="009021F1" w:rsidP="009021F1">
      <w:pPr>
        <w:ind w:left="2880" w:hanging="2880"/>
        <w:jc w:val="left"/>
        <w:rPr>
          <w:i/>
          <w:szCs w:val="21"/>
        </w:rPr>
      </w:pPr>
    </w:p>
    <w:p w14:paraId="5E033540" w14:textId="77777777" w:rsidR="009021F1" w:rsidRPr="00D579BE" w:rsidRDefault="009021F1" w:rsidP="009021F1">
      <w:pPr>
        <w:ind w:left="2880" w:hanging="2880"/>
        <w:jc w:val="left"/>
        <w:rPr>
          <w:i/>
          <w:szCs w:val="21"/>
        </w:rPr>
      </w:pPr>
    </w:p>
    <w:p w14:paraId="3C1EC6B2" w14:textId="77777777" w:rsidR="009021F1" w:rsidRPr="00D579BE" w:rsidRDefault="009021F1" w:rsidP="009021F1">
      <w:pPr>
        <w:ind w:left="2880" w:hanging="2880"/>
        <w:jc w:val="left"/>
        <w:rPr>
          <w:i/>
          <w:szCs w:val="21"/>
        </w:rPr>
      </w:pPr>
    </w:p>
    <w:p w14:paraId="03B96A77" w14:textId="77777777" w:rsidR="009021F1" w:rsidRPr="00D579BE" w:rsidRDefault="009021F1" w:rsidP="009021F1">
      <w:pPr>
        <w:ind w:left="2880" w:hanging="2880"/>
        <w:jc w:val="left"/>
        <w:rPr>
          <w:i/>
          <w:szCs w:val="21"/>
        </w:rPr>
      </w:pPr>
    </w:p>
    <w:p w14:paraId="7B361BDD" w14:textId="77777777" w:rsidR="009021F1" w:rsidRPr="00D579BE" w:rsidRDefault="009021F1" w:rsidP="009021F1">
      <w:pPr>
        <w:ind w:left="2880" w:hanging="2880"/>
        <w:jc w:val="left"/>
        <w:rPr>
          <w:i/>
          <w:szCs w:val="21"/>
        </w:rPr>
      </w:pPr>
    </w:p>
    <w:p w14:paraId="65D7D5CF" w14:textId="77777777" w:rsidR="009021F1" w:rsidRPr="00D579BE" w:rsidRDefault="009021F1" w:rsidP="009021F1">
      <w:pPr>
        <w:ind w:left="2880" w:hanging="2880"/>
        <w:jc w:val="left"/>
        <w:rPr>
          <w:i/>
          <w:szCs w:val="21"/>
        </w:rPr>
      </w:pPr>
    </w:p>
    <w:p w14:paraId="24324F07" w14:textId="77777777" w:rsidR="009021F1" w:rsidRPr="00D579BE" w:rsidRDefault="009021F1" w:rsidP="009021F1">
      <w:pPr>
        <w:ind w:left="2880" w:hanging="2880"/>
        <w:jc w:val="left"/>
        <w:rPr>
          <w:i/>
          <w:szCs w:val="21"/>
        </w:rPr>
      </w:pPr>
    </w:p>
    <w:p w14:paraId="390E7771" w14:textId="77777777" w:rsidR="009021F1" w:rsidRPr="00D579BE" w:rsidRDefault="009021F1" w:rsidP="009021F1">
      <w:pPr>
        <w:ind w:left="2880" w:hanging="2880"/>
        <w:jc w:val="left"/>
        <w:rPr>
          <w:i/>
          <w:szCs w:val="21"/>
        </w:rPr>
      </w:pPr>
    </w:p>
    <w:p w14:paraId="7B08F0DB" w14:textId="77777777" w:rsidR="009021F1" w:rsidRPr="00D579BE" w:rsidRDefault="009021F1" w:rsidP="009021F1">
      <w:pPr>
        <w:ind w:left="2880" w:hanging="2880"/>
        <w:jc w:val="left"/>
        <w:rPr>
          <w:i/>
          <w:szCs w:val="21"/>
        </w:rPr>
      </w:pPr>
    </w:p>
    <w:p w14:paraId="210CF45A" w14:textId="77777777" w:rsidR="009021F1" w:rsidRPr="00D579BE" w:rsidRDefault="009021F1" w:rsidP="009021F1">
      <w:pPr>
        <w:ind w:left="2880" w:hanging="2880"/>
        <w:jc w:val="left"/>
        <w:rPr>
          <w:i/>
          <w:szCs w:val="21"/>
        </w:rPr>
      </w:pPr>
    </w:p>
    <w:p w14:paraId="0906DEAA" w14:textId="77777777" w:rsidR="009021F1" w:rsidRPr="00D579BE" w:rsidRDefault="009021F1" w:rsidP="009021F1">
      <w:pPr>
        <w:ind w:left="2880" w:hanging="2880"/>
        <w:jc w:val="left"/>
        <w:rPr>
          <w:i/>
          <w:szCs w:val="21"/>
        </w:rPr>
      </w:pPr>
    </w:p>
    <w:p w14:paraId="6798DB8C" w14:textId="77777777" w:rsidR="009021F1" w:rsidRPr="00D579BE" w:rsidRDefault="009021F1" w:rsidP="009021F1">
      <w:pPr>
        <w:ind w:left="2880" w:hanging="2880"/>
        <w:jc w:val="left"/>
        <w:rPr>
          <w:i/>
          <w:szCs w:val="21"/>
        </w:rPr>
      </w:pPr>
    </w:p>
    <w:p w14:paraId="6E2B881C" w14:textId="77777777" w:rsidR="009021F1" w:rsidRPr="00D579BE" w:rsidRDefault="009021F1" w:rsidP="009021F1">
      <w:pPr>
        <w:ind w:left="2880" w:hanging="2880"/>
        <w:jc w:val="left"/>
        <w:rPr>
          <w:i/>
          <w:szCs w:val="21"/>
        </w:rPr>
      </w:pPr>
    </w:p>
    <w:p w14:paraId="17119CDA" w14:textId="77777777" w:rsidR="009021F1" w:rsidRPr="00D579BE" w:rsidRDefault="009021F1" w:rsidP="009021F1">
      <w:pPr>
        <w:ind w:left="2880" w:hanging="2880"/>
        <w:jc w:val="left"/>
        <w:rPr>
          <w:i/>
          <w:szCs w:val="21"/>
        </w:rPr>
      </w:pPr>
    </w:p>
    <w:p w14:paraId="19BB0248" w14:textId="77777777" w:rsidR="009021F1" w:rsidRPr="00D579BE" w:rsidRDefault="009021F1" w:rsidP="009021F1">
      <w:pPr>
        <w:ind w:left="2880" w:hanging="2880"/>
        <w:jc w:val="left"/>
        <w:rPr>
          <w:i/>
          <w:szCs w:val="21"/>
        </w:rPr>
      </w:pPr>
    </w:p>
    <w:p w14:paraId="365348A4" w14:textId="77777777" w:rsidR="009021F1" w:rsidRDefault="009021F1" w:rsidP="009021F1">
      <w:pPr>
        <w:spacing w:line="240" w:lineRule="auto"/>
        <w:jc w:val="left"/>
        <w:rPr>
          <w:i/>
          <w:szCs w:val="21"/>
        </w:rPr>
      </w:pPr>
      <w:r>
        <w:rPr>
          <w:i/>
          <w:szCs w:val="21"/>
        </w:rPr>
        <w:br w:type="page"/>
      </w:r>
    </w:p>
    <w:p w14:paraId="3416962B" w14:textId="77777777" w:rsidR="009021F1" w:rsidRPr="00D579BE" w:rsidRDefault="009021F1" w:rsidP="009021F1">
      <w:pPr>
        <w:ind w:left="2880" w:hanging="2880"/>
        <w:jc w:val="left"/>
        <w:rPr>
          <w:i/>
          <w:szCs w:val="21"/>
        </w:rPr>
      </w:pPr>
      <w:r w:rsidRPr="00D579BE">
        <w:rPr>
          <w:i/>
          <w:szCs w:val="21"/>
        </w:rPr>
        <w:t>Photos 15 et 16 Atelier de restitution de Matadi dans la Province du Kongo Central</w:t>
      </w:r>
    </w:p>
    <w:p w14:paraId="618BBA3F" w14:textId="77777777" w:rsidR="009021F1" w:rsidRPr="00D579BE" w:rsidRDefault="009021F1" w:rsidP="009021F1">
      <w:pPr>
        <w:spacing w:after="160" w:line="259" w:lineRule="auto"/>
        <w:jc w:val="left"/>
        <w:rPr>
          <w:rFonts w:cs="Arial"/>
          <w:szCs w:val="21"/>
        </w:rPr>
      </w:pPr>
      <w:r w:rsidRPr="00D579BE">
        <w:rPr>
          <w:noProof/>
          <w:szCs w:val="21"/>
        </w:rPr>
        <w:drawing>
          <wp:anchor distT="0" distB="0" distL="114300" distR="114300" simplePos="0" relativeHeight="251732012" behindDoc="0" locked="0" layoutInCell="1" allowOverlap="1" wp14:anchorId="395FEACE" wp14:editId="2FBFADF0">
            <wp:simplePos x="0" y="0"/>
            <wp:positionH relativeFrom="column">
              <wp:posOffset>-13970</wp:posOffset>
            </wp:positionH>
            <wp:positionV relativeFrom="paragraph">
              <wp:posOffset>64770</wp:posOffset>
            </wp:positionV>
            <wp:extent cx="5760720" cy="2802255"/>
            <wp:effectExtent l="0" t="0" r="0" b="0"/>
            <wp:wrapNone/>
            <wp:docPr id="5303" name="Image 5303" descr="C:\Users\HP SPECTRE\Documents\Matadi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75" descr="C:\Users\HP SPECTRE\Documents\Matadi1.jfif"/>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760720" cy="2802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74FFCB" w14:textId="77777777" w:rsidR="009021F1" w:rsidRPr="00D579BE" w:rsidRDefault="009021F1" w:rsidP="009021F1">
      <w:pPr>
        <w:spacing w:after="160" w:line="259" w:lineRule="auto"/>
        <w:jc w:val="left"/>
        <w:rPr>
          <w:rFonts w:cs="Arial"/>
          <w:szCs w:val="21"/>
        </w:rPr>
      </w:pPr>
    </w:p>
    <w:p w14:paraId="4B85E0B8" w14:textId="77777777" w:rsidR="009021F1" w:rsidRPr="00D579BE" w:rsidRDefault="009021F1" w:rsidP="009021F1">
      <w:pPr>
        <w:spacing w:after="160" w:line="259" w:lineRule="auto"/>
        <w:jc w:val="left"/>
        <w:rPr>
          <w:rFonts w:cs="Arial"/>
          <w:szCs w:val="21"/>
        </w:rPr>
      </w:pPr>
    </w:p>
    <w:p w14:paraId="6A0AC1BE" w14:textId="77777777" w:rsidR="009021F1" w:rsidRPr="00D579BE" w:rsidRDefault="009021F1" w:rsidP="009021F1">
      <w:pPr>
        <w:spacing w:after="160" w:line="259" w:lineRule="auto"/>
        <w:jc w:val="left"/>
        <w:rPr>
          <w:rFonts w:cs="Arial"/>
          <w:szCs w:val="21"/>
        </w:rPr>
      </w:pPr>
    </w:p>
    <w:p w14:paraId="39B77A21" w14:textId="77777777" w:rsidR="009021F1" w:rsidRPr="00D579BE" w:rsidRDefault="009021F1" w:rsidP="009021F1">
      <w:pPr>
        <w:spacing w:after="160" w:line="259" w:lineRule="auto"/>
        <w:jc w:val="left"/>
        <w:rPr>
          <w:rFonts w:cs="Arial"/>
          <w:szCs w:val="21"/>
        </w:rPr>
      </w:pPr>
    </w:p>
    <w:p w14:paraId="4ED5113D" w14:textId="77777777" w:rsidR="009021F1" w:rsidRPr="00D579BE" w:rsidRDefault="009021F1" w:rsidP="009021F1">
      <w:pPr>
        <w:spacing w:after="160" w:line="259" w:lineRule="auto"/>
        <w:jc w:val="left"/>
        <w:rPr>
          <w:rFonts w:cs="Arial"/>
          <w:szCs w:val="21"/>
        </w:rPr>
      </w:pPr>
    </w:p>
    <w:p w14:paraId="5F03356A" w14:textId="77777777" w:rsidR="009021F1" w:rsidRPr="00D579BE" w:rsidRDefault="009021F1" w:rsidP="009021F1">
      <w:pPr>
        <w:spacing w:after="160" w:line="259" w:lineRule="auto"/>
        <w:jc w:val="left"/>
        <w:rPr>
          <w:rFonts w:cs="Arial"/>
          <w:szCs w:val="21"/>
        </w:rPr>
      </w:pPr>
    </w:p>
    <w:p w14:paraId="1924FEB3" w14:textId="77777777" w:rsidR="009021F1" w:rsidRPr="00D579BE" w:rsidRDefault="009021F1" w:rsidP="009021F1">
      <w:pPr>
        <w:spacing w:after="160" w:line="259" w:lineRule="auto"/>
        <w:jc w:val="left"/>
        <w:rPr>
          <w:rFonts w:cs="Arial"/>
          <w:szCs w:val="21"/>
        </w:rPr>
      </w:pPr>
    </w:p>
    <w:p w14:paraId="3B4BCEAD" w14:textId="77777777" w:rsidR="009021F1" w:rsidRPr="00D579BE" w:rsidRDefault="009021F1" w:rsidP="009021F1">
      <w:pPr>
        <w:spacing w:after="160" w:line="259" w:lineRule="auto"/>
        <w:jc w:val="left"/>
        <w:rPr>
          <w:rFonts w:cs="Arial"/>
          <w:szCs w:val="21"/>
        </w:rPr>
      </w:pPr>
    </w:p>
    <w:p w14:paraId="66449EC8" w14:textId="77777777" w:rsidR="009021F1" w:rsidRPr="00D579BE" w:rsidRDefault="009021F1" w:rsidP="009021F1">
      <w:pPr>
        <w:spacing w:after="160" w:line="259" w:lineRule="auto"/>
        <w:jc w:val="left"/>
        <w:rPr>
          <w:rFonts w:cs="Arial"/>
          <w:szCs w:val="21"/>
        </w:rPr>
      </w:pPr>
    </w:p>
    <w:p w14:paraId="718C59FC" w14:textId="77777777" w:rsidR="009021F1" w:rsidRPr="00D579BE" w:rsidRDefault="009021F1" w:rsidP="009021F1">
      <w:pPr>
        <w:spacing w:after="160" w:line="259" w:lineRule="auto"/>
        <w:jc w:val="left"/>
        <w:rPr>
          <w:rFonts w:cs="Arial"/>
          <w:szCs w:val="21"/>
        </w:rPr>
      </w:pPr>
      <w:r w:rsidRPr="00D579BE">
        <w:rPr>
          <w:noProof/>
          <w:szCs w:val="21"/>
        </w:rPr>
        <w:drawing>
          <wp:anchor distT="0" distB="0" distL="114300" distR="114300" simplePos="0" relativeHeight="251733036" behindDoc="0" locked="0" layoutInCell="1" allowOverlap="1" wp14:anchorId="6780A681" wp14:editId="4D80864B">
            <wp:simplePos x="0" y="0"/>
            <wp:positionH relativeFrom="column">
              <wp:posOffset>-13970</wp:posOffset>
            </wp:positionH>
            <wp:positionV relativeFrom="paragraph">
              <wp:posOffset>144145</wp:posOffset>
            </wp:positionV>
            <wp:extent cx="5760720" cy="2802255"/>
            <wp:effectExtent l="0" t="0" r="0" b="0"/>
            <wp:wrapNone/>
            <wp:docPr id="5304" name="Image 5304" descr="C:\Users\HP SPECTRE\Documents\Matadi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76" descr="C:\Users\HP SPECTRE\Documents\Matadi2.jfif"/>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760720" cy="2802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651800" w14:textId="77777777" w:rsidR="009021F1" w:rsidRPr="00D579BE" w:rsidRDefault="009021F1" w:rsidP="009021F1">
      <w:pPr>
        <w:spacing w:after="160" w:line="259" w:lineRule="auto"/>
        <w:jc w:val="left"/>
        <w:rPr>
          <w:rFonts w:cs="Arial"/>
          <w:szCs w:val="21"/>
        </w:rPr>
      </w:pPr>
    </w:p>
    <w:p w14:paraId="315690CB" w14:textId="77777777" w:rsidR="009021F1" w:rsidRPr="00D579BE" w:rsidRDefault="009021F1" w:rsidP="009021F1">
      <w:pPr>
        <w:spacing w:after="160" w:line="259" w:lineRule="auto"/>
        <w:jc w:val="left"/>
        <w:rPr>
          <w:rFonts w:cs="Arial"/>
          <w:szCs w:val="21"/>
        </w:rPr>
      </w:pPr>
    </w:p>
    <w:p w14:paraId="60FD7896" w14:textId="77777777" w:rsidR="009021F1" w:rsidRPr="00D579BE" w:rsidRDefault="009021F1" w:rsidP="009021F1">
      <w:pPr>
        <w:spacing w:after="160" w:line="259" w:lineRule="auto"/>
        <w:jc w:val="left"/>
        <w:rPr>
          <w:rFonts w:cs="Arial"/>
          <w:szCs w:val="21"/>
        </w:rPr>
      </w:pPr>
    </w:p>
    <w:p w14:paraId="7707FF36" w14:textId="77777777" w:rsidR="009021F1" w:rsidRPr="00D579BE" w:rsidRDefault="009021F1" w:rsidP="009021F1">
      <w:pPr>
        <w:spacing w:after="160" w:line="259" w:lineRule="auto"/>
        <w:jc w:val="left"/>
        <w:rPr>
          <w:rFonts w:cs="Arial"/>
          <w:szCs w:val="21"/>
        </w:rPr>
      </w:pPr>
    </w:p>
    <w:p w14:paraId="08D6A9F7" w14:textId="77777777" w:rsidR="009021F1" w:rsidRPr="00D579BE" w:rsidRDefault="009021F1" w:rsidP="009021F1">
      <w:pPr>
        <w:spacing w:after="160" w:line="259" w:lineRule="auto"/>
        <w:jc w:val="left"/>
        <w:rPr>
          <w:rFonts w:cs="Arial"/>
          <w:szCs w:val="21"/>
        </w:rPr>
      </w:pPr>
    </w:p>
    <w:p w14:paraId="2E431936" w14:textId="77777777" w:rsidR="009021F1" w:rsidRPr="00D579BE" w:rsidRDefault="009021F1" w:rsidP="009021F1">
      <w:pPr>
        <w:spacing w:after="160" w:line="259" w:lineRule="auto"/>
        <w:jc w:val="left"/>
        <w:rPr>
          <w:rFonts w:cs="Arial"/>
          <w:szCs w:val="21"/>
        </w:rPr>
      </w:pPr>
    </w:p>
    <w:p w14:paraId="5F2AF419" w14:textId="77777777" w:rsidR="009021F1" w:rsidRPr="00D579BE" w:rsidRDefault="009021F1" w:rsidP="009021F1">
      <w:pPr>
        <w:spacing w:after="160" w:line="259" w:lineRule="auto"/>
        <w:jc w:val="left"/>
        <w:rPr>
          <w:rFonts w:cs="Arial"/>
          <w:szCs w:val="21"/>
        </w:rPr>
      </w:pPr>
    </w:p>
    <w:p w14:paraId="0DE347DD" w14:textId="77777777" w:rsidR="009021F1" w:rsidRPr="00D579BE" w:rsidRDefault="009021F1" w:rsidP="009021F1">
      <w:pPr>
        <w:spacing w:after="160" w:line="259" w:lineRule="auto"/>
        <w:jc w:val="left"/>
        <w:rPr>
          <w:rFonts w:cs="Arial"/>
          <w:szCs w:val="21"/>
        </w:rPr>
      </w:pPr>
    </w:p>
    <w:p w14:paraId="6348A886" w14:textId="77777777" w:rsidR="009021F1" w:rsidRPr="00D579BE" w:rsidRDefault="009021F1" w:rsidP="009021F1">
      <w:pPr>
        <w:spacing w:after="160" w:line="259" w:lineRule="auto"/>
        <w:jc w:val="left"/>
        <w:rPr>
          <w:rFonts w:cs="Arial"/>
          <w:szCs w:val="21"/>
        </w:rPr>
      </w:pPr>
    </w:p>
    <w:p w14:paraId="75760234" w14:textId="77777777" w:rsidR="009021F1" w:rsidRPr="00D579BE" w:rsidRDefault="009021F1" w:rsidP="009021F1">
      <w:pPr>
        <w:spacing w:after="160" w:line="259" w:lineRule="auto"/>
        <w:jc w:val="left"/>
        <w:rPr>
          <w:rFonts w:cs="Arial"/>
          <w:szCs w:val="21"/>
        </w:rPr>
      </w:pPr>
    </w:p>
    <w:p w14:paraId="4B3F89D0" w14:textId="77777777" w:rsidR="009021F1" w:rsidRPr="00D579BE" w:rsidRDefault="009021F1" w:rsidP="009021F1">
      <w:pPr>
        <w:spacing w:after="160" w:line="259" w:lineRule="auto"/>
        <w:jc w:val="left"/>
        <w:rPr>
          <w:rFonts w:cs="Arial"/>
          <w:szCs w:val="21"/>
        </w:rPr>
      </w:pPr>
    </w:p>
    <w:p w14:paraId="5F96D364" w14:textId="77777777" w:rsidR="009021F1" w:rsidRPr="00D579BE" w:rsidRDefault="009021F1" w:rsidP="009021F1">
      <w:pPr>
        <w:spacing w:after="160" w:line="259" w:lineRule="auto"/>
        <w:jc w:val="left"/>
        <w:rPr>
          <w:rFonts w:cs="Arial"/>
          <w:szCs w:val="21"/>
        </w:rPr>
      </w:pPr>
    </w:p>
    <w:p w14:paraId="38389392" w14:textId="77777777" w:rsidR="009021F1" w:rsidRPr="00D579BE" w:rsidRDefault="009021F1" w:rsidP="009021F1">
      <w:pPr>
        <w:spacing w:after="160" w:line="259" w:lineRule="auto"/>
        <w:jc w:val="left"/>
        <w:rPr>
          <w:rFonts w:cs="Arial"/>
          <w:szCs w:val="21"/>
        </w:rPr>
      </w:pPr>
    </w:p>
    <w:p w14:paraId="6D82259F" w14:textId="77777777" w:rsidR="009021F1" w:rsidRPr="00D579BE" w:rsidRDefault="009021F1" w:rsidP="009021F1">
      <w:pPr>
        <w:spacing w:after="160" w:line="259" w:lineRule="auto"/>
        <w:jc w:val="left"/>
        <w:rPr>
          <w:rFonts w:cs="Arial"/>
          <w:szCs w:val="21"/>
        </w:rPr>
      </w:pPr>
    </w:p>
    <w:p w14:paraId="34EA3FF2" w14:textId="77777777" w:rsidR="009021F1" w:rsidRPr="00D579BE" w:rsidRDefault="009021F1" w:rsidP="009021F1">
      <w:pPr>
        <w:spacing w:after="160" w:line="259" w:lineRule="auto"/>
        <w:jc w:val="left"/>
        <w:rPr>
          <w:rFonts w:cs="Arial"/>
          <w:szCs w:val="21"/>
        </w:rPr>
      </w:pPr>
    </w:p>
    <w:p w14:paraId="19A3F212" w14:textId="77777777" w:rsidR="009021F1" w:rsidRPr="00D579BE" w:rsidRDefault="009021F1" w:rsidP="009021F1">
      <w:pPr>
        <w:pStyle w:val="Titre1"/>
        <w:tabs>
          <w:tab w:val="right" w:pos="9062"/>
        </w:tabs>
        <w:ind w:left="1418" w:hanging="1418"/>
        <w:rPr>
          <w:rFonts w:cs="Arial"/>
          <w:szCs w:val="21"/>
        </w:rPr>
      </w:pPr>
      <w:r w:rsidRPr="00D579BE">
        <w:rPr>
          <w:rFonts w:cs="Arial"/>
          <w:szCs w:val="21"/>
        </w:rPr>
        <w:br w:type="page"/>
      </w:r>
      <w:bookmarkStart w:id="495" w:name="_Toc90471601"/>
      <w:r w:rsidRPr="00D579BE">
        <w:rPr>
          <w:rFonts w:cs="Arial"/>
          <w:szCs w:val="21"/>
        </w:rPr>
        <w:t xml:space="preserve">ANNEXE </w:t>
      </w:r>
      <w:r>
        <w:rPr>
          <w:rFonts w:cs="Arial"/>
          <w:szCs w:val="21"/>
        </w:rPr>
        <w:t>11</w:t>
      </w:r>
      <w:r w:rsidRPr="00D579BE">
        <w:rPr>
          <w:rFonts w:cs="Arial"/>
          <w:szCs w:val="21"/>
        </w:rPr>
        <w:t>. FICHE D’ENREGISTREMENT DES PLAINTES GLOBALES DU PROJET</w:t>
      </w:r>
      <w:bookmarkEnd w:id="495"/>
    </w:p>
    <w:p w14:paraId="418A5722" w14:textId="77777777" w:rsidR="009021F1" w:rsidRPr="00D579BE" w:rsidRDefault="009021F1" w:rsidP="009021F1">
      <w:pPr>
        <w:widowControl w:val="0"/>
        <w:ind w:right="691"/>
        <w:jc w:val="center"/>
        <w:rPr>
          <w:rFonts w:eastAsia="Arial" w:cs="Arial"/>
          <w:b/>
          <w:szCs w:val="21"/>
        </w:rPr>
      </w:pPr>
    </w:p>
    <w:p w14:paraId="733D8ED6" w14:textId="77777777" w:rsidR="009021F1" w:rsidRPr="00D579BE" w:rsidRDefault="009021F1" w:rsidP="009021F1">
      <w:pPr>
        <w:widowControl w:val="0"/>
        <w:ind w:right="691"/>
        <w:rPr>
          <w:rFonts w:eastAsia="Arial" w:cs="Arial"/>
          <w:b/>
          <w:szCs w:val="21"/>
        </w:rPr>
      </w:pPr>
      <w:r w:rsidRPr="00D579BE">
        <w:rPr>
          <w:rFonts w:eastAsia="Arial" w:cs="Arial"/>
          <w:b/>
          <w:szCs w:val="21"/>
        </w:rPr>
        <w:t>Projet PNDA</w:t>
      </w:r>
    </w:p>
    <w:p w14:paraId="1B9D9FA1" w14:textId="77777777" w:rsidR="009021F1" w:rsidRPr="00D579BE" w:rsidRDefault="009021F1" w:rsidP="009021F1">
      <w:pPr>
        <w:widowControl w:val="0"/>
        <w:ind w:right="691"/>
        <w:rPr>
          <w:rFonts w:eastAsia="Arial" w:cs="Arial"/>
          <w:b/>
          <w:szCs w:val="21"/>
        </w:rPr>
      </w:pPr>
    </w:p>
    <w:p w14:paraId="0901AEF2" w14:textId="77777777" w:rsidR="009021F1" w:rsidRPr="00D579BE" w:rsidRDefault="009021F1" w:rsidP="009021F1">
      <w:pPr>
        <w:widowControl w:val="0"/>
        <w:ind w:right="691"/>
        <w:rPr>
          <w:rFonts w:eastAsia="Arial" w:cs="Arial"/>
          <w:b/>
          <w:szCs w:val="21"/>
        </w:rPr>
      </w:pPr>
      <w:r w:rsidRPr="00D579BE">
        <w:rPr>
          <w:rFonts w:eastAsia="Arial" w:cs="Arial"/>
          <w:b/>
          <w:szCs w:val="21"/>
        </w:rPr>
        <w:t>1. Informations sur le sous-projet en exécution (à compléter par le CGP)</w:t>
      </w:r>
    </w:p>
    <w:p w14:paraId="20A12A05" w14:textId="77777777" w:rsidR="009021F1" w:rsidRPr="00D579BE" w:rsidRDefault="009021F1" w:rsidP="009021F1">
      <w:pPr>
        <w:widowControl w:val="0"/>
        <w:ind w:right="691"/>
        <w:rPr>
          <w:rFonts w:eastAsia="Arial" w:cs="Arial"/>
          <w:szCs w:val="21"/>
        </w:rPr>
      </w:pPr>
    </w:p>
    <w:p w14:paraId="61D5CCD1" w14:textId="77777777" w:rsidR="009021F1" w:rsidRPr="00D579BE" w:rsidRDefault="009021F1" w:rsidP="009021F1">
      <w:pPr>
        <w:widowControl w:val="0"/>
        <w:ind w:right="691"/>
        <w:rPr>
          <w:rFonts w:eastAsia="Arial" w:cs="Arial"/>
          <w:szCs w:val="21"/>
        </w:rPr>
      </w:pPr>
      <w:r w:rsidRPr="00D579BE">
        <w:rPr>
          <w:rFonts w:eastAsia="Arial" w:cs="Arial"/>
          <w:szCs w:val="21"/>
        </w:rPr>
        <w:t>Date : Le………………../…………/……………………………………………….………….</w:t>
      </w:r>
    </w:p>
    <w:p w14:paraId="621F674F" w14:textId="77777777" w:rsidR="009021F1" w:rsidRPr="00D579BE" w:rsidRDefault="009021F1" w:rsidP="009021F1">
      <w:pPr>
        <w:widowControl w:val="0"/>
        <w:ind w:right="691"/>
        <w:rPr>
          <w:rFonts w:eastAsia="Arial" w:cs="Arial"/>
          <w:szCs w:val="21"/>
        </w:rPr>
      </w:pPr>
    </w:p>
    <w:p w14:paraId="69CB256D" w14:textId="77777777" w:rsidR="009021F1" w:rsidRPr="00D579BE" w:rsidRDefault="009021F1" w:rsidP="009021F1">
      <w:pPr>
        <w:widowControl w:val="0"/>
        <w:ind w:right="691"/>
        <w:rPr>
          <w:rFonts w:eastAsia="Arial" w:cs="Arial"/>
          <w:szCs w:val="21"/>
        </w:rPr>
      </w:pPr>
      <w:r w:rsidRPr="00D579BE">
        <w:rPr>
          <w:rFonts w:eastAsia="Arial" w:cs="Arial"/>
          <w:szCs w:val="21"/>
        </w:rPr>
        <w:t>Sous-projet ou activité : …………………………………………………………………….…</w:t>
      </w:r>
    </w:p>
    <w:p w14:paraId="3167BDBC" w14:textId="77777777" w:rsidR="009021F1" w:rsidRPr="00D579BE" w:rsidRDefault="009021F1" w:rsidP="009021F1">
      <w:pPr>
        <w:widowControl w:val="0"/>
        <w:ind w:right="691"/>
        <w:rPr>
          <w:rFonts w:eastAsia="Arial" w:cs="Arial"/>
          <w:szCs w:val="21"/>
        </w:rPr>
      </w:pPr>
    </w:p>
    <w:p w14:paraId="73E6A7CA" w14:textId="77777777" w:rsidR="009021F1" w:rsidRPr="00D579BE" w:rsidRDefault="009021F1" w:rsidP="009021F1">
      <w:pPr>
        <w:widowControl w:val="0"/>
        <w:ind w:right="691"/>
        <w:rPr>
          <w:rFonts w:eastAsia="Arial" w:cs="Arial"/>
          <w:szCs w:val="21"/>
        </w:rPr>
      </w:pPr>
      <w:r w:rsidRPr="00D579BE">
        <w:rPr>
          <w:rFonts w:eastAsia="Arial" w:cs="Arial"/>
          <w:szCs w:val="21"/>
        </w:rPr>
        <w:t>UPEP PNDA : ……………………………………………………………………………….…</w:t>
      </w:r>
    </w:p>
    <w:p w14:paraId="72BFF00F" w14:textId="77777777" w:rsidR="009021F1" w:rsidRPr="00D579BE" w:rsidRDefault="009021F1" w:rsidP="009021F1">
      <w:pPr>
        <w:widowControl w:val="0"/>
        <w:ind w:right="691"/>
        <w:rPr>
          <w:rFonts w:eastAsia="Arial" w:cs="Arial"/>
          <w:szCs w:val="21"/>
        </w:rPr>
      </w:pPr>
    </w:p>
    <w:p w14:paraId="48695D12" w14:textId="77777777" w:rsidR="009021F1" w:rsidRPr="00D579BE" w:rsidRDefault="009021F1" w:rsidP="009021F1">
      <w:pPr>
        <w:widowControl w:val="0"/>
        <w:ind w:right="691"/>
        <w:rPr>
          <w:rFonts w:eastAsia="Arial" w:cs="Arial"/>
          <w:szCs w:val="21"/>
        </w:rPr>
      </w:pPr>
      <w:r w:rsidRPr="00D579BE">
        <w:rPr>
          <w:rFonts w:eastAsia="Arial" w:cs="Arial"/>
          <w:szCs w:val="21"/>
        </w:rPr>
        <w:t>Ville/Village :……………………………………………………………………….…………...</w:t>
      </w:r>
    </w:p>
    <w:p w14:paraId="0D244B7E" w14:textId="77777777" w:rsidR="009021F1" w:rsidRPr="00D579BE" w:rsidRDefault="009021F1" w:rsidP="009021F1">
      <w:pPr>
        <w:widowControl w:val="0"/>
        <w:ind w:right="691"/>
        <w:rPr>
          <w:rFonts w:eastAsia="Arial" w:cs="Arial"/>
          <w:szCs w:val="21"/>
        </w:rPr>
      </w:pPr>
    </w:p>
    <w:p w14:paraId="4470CCFB" w14:textId="77777777" w:rsidR="009021F1" w:rsidRPr="00D579BE" w:rsidRDefault="009021F1" w:rsidP="009021F1">
      <w:pPr>
        <w:widowControl w:val="0"/>
        <w:ind w:right="691"/>
        <w:rPr>
          <w:rFonts w:eastAsia="Arial" w:cs="Arial"/>
          <w:szCs w:val="21"/>
        </w:rPr>
      </w:pPr>
      <w:r w:rsidRPr="00D579BE">
        <w:rPr>
          <w:rFonts w:eastAsia="Arial" w:cs="Arial"/>
          <w:szCs w:val="21"/>
        </w:rPr>
        <w:t>Territoire/Commune/Mairie de : ……………………………………………………….….....</w:t>
      </w:r>
    </w:p>
    <w:p w14:paraId="36749978" w14:textId="77777777" w:rsidR="009021F1" w:rsidRPr="00D579BE" w:rsidRDefault="009021F1" w:rsidP="009021F1">
      <w:pPr>
        <w:widowControl w:val="0"/>
        <w:ind w:right="691"/>
        <w:rPr>
          <w:rFonts w:eastAsia="Arial" w:cs="Arial"/>
          <w:szCs w:val="21"/>
        </w:rPr>
      </w:pPr>
    </w:p>
    <w:p w14:paraId="323053BB" w14:textId="77777777" w:rsidR="009021F1" w:rsidRPr="00D579BE" w:rsidRDefault="009021F1" w:rsidP="009021F1">
      <w:pPr>
        <w:widowControl w:val="0"/>
        <w:ind w:right="691"/>
        <w:rPr>
          <w:rFonts w:eastAsia="Arial" w:cs="Arial"/>
          <w:szCs w:val="21"/>
        </w:rPr>
      </w:pPr>
      <w:r w:rsidRPr="00D579BE">
        <w:rPr>
          <w:rFonts w:eastAsia="Arial" w:cs="Arial"/>
          <w:szCs w:val="21"/>
        </w:rPr>
        <w:t>Comité local de développement :…………………………………………………………….</w:t>
      </w:r>
    </w:p>
    <w:p w14:paraId="0308FD30" w14:textId="77777777" w:rsidR="009021F1" w:rsidRPr="00D579BE" w:rsidRDefault="009021F1" w:rsidP="009021F1">
      <w:pPr>
        <w:widowControl w:val="0"/>
        <w:ind w:right="691"/>
        <w:rPr>
          <w:rFonts w:eastAsia="Arial" w:cs="Arial"/>
          <w:szCs w:val="21"/>
        </w:rPr>
      </w:pPr>
    </w:p>
    <w:p w14:paraId="0AE5BC29" w14:textId="77777777" w:rsidR="009021F1" w:rsidRPr="00D579BE" w:rsidRDefault="009021F1" w:rsidP="009021F1">
      <w:pPr>
        <w:widowControl w:val="0"/>
        <w:ind w:right="691"/>
        <w:rPr>
          <w:rFonts w:eastAsia="Arial" w:cs="Arial"/>
          <w:szCs w:val="21"/>
        </w:rPr>
      </w:pPr>
      <w:r w:rsidRPr="00D579BE">
        <w:rPr>
          <w:rFonts w:eastAsia="Arial" w:cs="Arial"/>
          <w:szCs w:val="21"/>
        </w:rPr>
        <w:t>Dossier N° :……………………………………………………………………………………..</w:t>
      </w:r>
    </w:p>
    <w:p w14:paraId="2A701A55" w14:textId="77777777" w:rsidR="009021F1" w:rsidRPr="00D579BE" w:rsidRDefault="009021F1" w:rsidP="009021F1">
      <w:pPr>
        <w:rPr>
          <w:rFonts w:eastAsia="Arial" w:cs="Arial"/>
          <w:b/>
          <w:szCs w:val="21"/>
        </w:rPr>
      </w:pPr>
    </w:p>
    <w:p w14:paraId="29AF0A82" w14:textId="77777777" w:rsidR="009021F1" w:rsidRPr="00D579BE" w:rsidRDefault="009021F1" w:rsidP="009021F1">
      <w:pPr>
        <w:rPr>
          <w:rFonts w:eastAsia="Arial" w:cs="Arial"/>
          <w:b/>
          <w:szCs w:val="21"/>
        </w:rPr>
      </w:pPr>
      <w:r w:rsidRPr="00D579BE">
        <w:rPr>
          <w:rFonts w:eastAsia="Arial" w:cs="Arial"/>
          <w:b/>
          <w:szCs w:val="21"/>
        </w:rPr>
        <w:t>2. Informations relatives à la plainte</w:t>
      </w:r>
    </w:p>
    <w:p w14:paraId="3B32ED70" w14:textId="77777777" w:rsidR="009021F1" w:rsidRPr="00D579BE" w:rsidRDefault="009021F1" w:rsidP="009021F1">
      <w:pPr>
        <w:rPr>
          <w:rFonts w:eastAsia="Arial" w:cs="Arial"/>
          <w:szCs w:val="21"/>
        </w:rPr>
      </w:pPr>
      <w:r w:rsidRPr="00D579BE">
        <w:rPr>
          <w:rFonts w:eastAsia="Arial" w:cs="Arial"/>
          <w:szCs w:val="21"/>
        </w:rPr>
        <w:t>Nom du plaignant :……………………………………………………………………………..</w:t>
      </w:r>
    </w:p>
    <w:p w14:paraId="2BCBB978" w14:textId="77777777" w:rsidR="009021F1" w:rsidRPr="00D579BE" w:rsidRDefault="009021F1" w:rsidP="009021F1">
      <w:pPr>
        <w:rPr>
          <w:rFonts w:eastAsia="Arial" w:cs="Arial"/>
          <w:szCs w:val="21"/>
        </w:rPr>
      </w:pPr>
    </w:p>
    <w:p w14:paraId="4196EF3C" w14:textId="77777777" w:rsidR="009021F1" w:rsidRPr="00D579BE" w:rsidRDefault="009021F1" w:rsidP="009021F1">
      <w:pPr>
        <w:rPr>
          <w:rFonts w:eastAsia="Arial" w:cs="Arial"/>
          <w:szCs w:val="21"/>
        </w:rPr>
      </w:pPr>
      <w:r w:rsidRPr="00D579BE">
        <w:rPr>
          <w:rFonts w:eastAsia="Arial" w:cs="Arial"/>
          <w:szCs w:val="21"/>
        </w:rPr>
        <w:t>Adresse :………………………………………………………………………………………..</w:t>
      </w:r>
    </w:p>
    <w:p w14:paraId="5664A4F1" w14:textId="77777777" w:rsidR="009021F1" w:rsidRPr="00D579BE" w:rsidRDefault="009021F1" w:rsidP="009021F1">
      <w:pPr>
        <w:rPr>
          <w:rFonts w:eastAsia="Arial" w:cs="Arial"/>
          <w:szCs w:val="21"/>
        </w:rPr>
      </w:pPr>
    </w:p>
    <w:p w14:paraId="6E188AB7" w14:textId="77777777" w:rsidR="009021F1" w:rsidRPr="00D579BE" w:rsidRDefault="009021F1" w:rsidP="009021F1">
      <w:pPr>
        <w:rPr>
          <w:rFonts w:eastAsia="Arial" w:cs="Arial"/>
          <w:szCs w:val="21"/>
        </w:rPr>
      </w:pPr>
      <w:r w:rsidRPr="00D579BE">
        <w:rPr>
          <w:rFonts w:eastAsia="Arial" w:cs="Arial"/>
          <w:szCs w:val="21"/>
        </w:rPr>
        <w:t>Province/Commune/Mairie/Territoire/Quartier :……………………………………………</w:t>
      </w:r>
    </w:p>
    <w:p w14:paraId="3E8E6E2A" w14:textId="77777777" w:rsidR="009021F1" w:rsidRPr="00D579BE" w:rsidRDefault="009021F1" w:rsidP="009021F1">
      <w:pPr>
        <w:rPr>
          <w:rFonts w:eastAsia="Arial" w:cs="Arial"/>
          <w:szCs w:val="21"/>
        </w:rPr>
      </w:pPr>
    </w:p>
    <w:p w14:paraId="79251972" w14:textId="77777777" w:rsidR="009021F1" w:rsidRPr="00D579BE" w:rsidRDefault="009021F1" w:rsidP="009021F1">
      <w:pPr>
        <w:rPr>
          <w:rFonts w:eastAsia="Arial" w:cs="Arial"/>
          <w:b/>
          <w:szCs w:val="21"/>
        </w:rPr>
      </w:pPr>
      <w:r w:rsidRPr="00D579BE">
        <w:rPr>
          <w:rFonts w:eastAsia="Arial" w:cs="Arial"/>
          <w:szCs w:val="21"/>
        </w:rPr>
        <w:t>Bien affecté (Culture, Terrain et/ou Immeuble, etc.) :…………………………………….</w:t>
      </w:r>
    </w:p>
    <w:p w14:paraId="1F4E229A" w14:textId="77777777" w:rsidR="009021F1" w:rsidRPr="00D579BE" w:rsidRDefault="009021F1" w:rsidP="009021F1">
      <w:pPr>
        <w:rPr>
          <w:rFonts w:eastAsia="Arial" w:cs="Arial"/>
          <w:b/>
          <w:szCs w:val="21"/>
        </w:rPr>
      </w:pPr>
    </w:p>
    <w:p w14:paraId="13922EE9" w14:textId="77777777" w:rsidR="009021F1" w:rsidRPr="00D579BE" w:rsidRDefault="009021F1" w:rsidP="009021F1">
      <w:pPr>
        <w:rPr>
          <w:rFonts w:eastAsia="Arial" w:cs="Arial"/>
          <w:b/>
          <w:szCs w:val="21"/>
        </w:rPr>
      </w:pPr>
      <w:r w:rsidRPr="00D579BE">
        <w:rPr>
          <w:rFonts w:eastAsia="Arial" w:cs="Arial"/>
          <w:b/>
          <w:szCs w:val="21"/>
        </w:rPr>
        <w:t>3. Description de la plainte</w:t>
      </w:r>
    </w:p>
    <w:p w14:paraId="6A1E66A0" w14:textId="77777777" w:rsidR="009021F1" w:rsidRPr="00D579BE" w:rsidRDefault="009021F1" w:rsidP="009021F1">
      <w:pPr>
        <w:rPr>
          <w:rFonts w:eastAsia="Arial" w:cs="Arial"/>
          <w:b/>
          <w:szCs w:val="21"/>
        </w:rPr>
      </w:pPr>
      <w:r w:rsidRPr="00D579BE">
        <w:rPr>
          <w:rFonts w:eastAsia="Arial" w:cs="Arial"/>
          <w:b/>
          <w:szCs w:val="21"/>
        </w:rPr>
        <w:t>………………………………………………………………………………………………….</w:t>
      </w:r>
    </w:p>
    <w:p w14:paraId="2B53FAFE" w14:textId="77777777" w:rsidR="009021F1" w:rsidRPr="00D579BE" w:rsidRDefault="009021F1" w:rsidP="009021F1">
      <w:pPr>
        <w:rPr>
          <w:rFonts w:eastAsia="Arial" w:cs="Arial"/>
          <w:b/>
          <w:szCs w:val="21"/>
        </w:rPr>
      </w:pPr>
      <w:r w:rsidRPr="00D579BE">
        <w:rPr>
          <w:rFonts w:eastAsia="Arial" w:cs="Arial"/>
          <w:b/>
          <w:szCs w:val="21"/>
        </w:rPr>
        <w:t>………………………………………………………………………………………………….</w:t>
      </w:r>
    </w:p>
    <w:p w14:paraId="4FD0A735" w14:textId="77777777" w:rsidR="009021F1" w:rsidRPr="00D579BE" w:rsidRDefault="009021F1" w:rsidP="009021F1">
      <w:pPr>
        <w:rPr>
          <w:rFonts w:eastAsia="Arial" w:cs="Arial"/>
          <w:szCs w:val="21"/>
        </w:rPr>
      </w:pPr>
    </w:p>
    <w:p w14:paraId="12AB7A4B" w14:textId="77777777" w:rsidR="009021F1" w:rsidRPr="00D579BE" w:rsidRDefault="009021F1" w:rsidP="009021F1">
      <w:pPr>
        <w:rPr>
          <w:rFonts w:eastAsia="Arial" w:cs="Arial"/>
          <w:b/>
          <w:szCs w:val="21"/>
        </w:rPr>
      </w:pPr>
      <w:r w:rsidRPr="00D579BE">
        <w:rPr>
          <w:rFonts w:eastAsia="Arial" w:cs="Arial"/>
          <w:szCs w:val="21"/>
        </w:rPr>
        <w:t>Fait à………………………………., Le…………./…………../………………………</w:t>
      </w:r>
      <w:r w:rsidRPr="00D579BE">
        <w:rPr>
          <w:rFonts w:eastAsia="Arial" w:cs="Arial"/>
          <w:b/>
          <w:szCs w:val="21"/>
        </w:rPr>
        <w:t>…….</w:t>
      </w:r>
    </w:p>
    <w:p w14:paraId="577F4126" w14:textId="77777777" w:rsidR="009021F1" w:rsidRPr="00D579BE" w:rsidRDefault="009021F1" w:rsidP="009021F1">
      <w:pPr>
        <w:rPr>
          <w:rFonts w:eastAsia="Arial" w:cs="Arial"/>
          <w:szCs w:val="21"/>
        </w:rPr>
      </w:pPr>
    </w:p>
    <w:p w14:paraId="47F32798" w14:textId="77777777" w:rsidR="009021F1" w:rsidRPr="00D579BE" w:rsidRDefault="009021F1" w:rsidP="009021F1">
      <w:pPr>
        <w:rPr>
          <w:rFonts w:eastAsia="Arial" w:cs="Arial"/>
          <w:szCs w:val="21"/>
        </w:rPr>
      </w:pPr>
      <w:r w:rsidRPr="00D579BE">
        <w:rPr>
          <w:rFonts w:eastAsia="Arial" w:cs="Arial"/>
          <w:szCs w:val="21"/>
        </w:rPr>
        <w:t>Signature du/de la plaignant(e)</w:t>
      </w:r>
    </w:p>
    <w:p w14:paraId="5642D56C" w14:textId="77777777" w:rsidR="009021F1" w:rsidRPr="00D579BE" w:rsidRDefault="009021F1" w:rsidP="009021F1">
      <w:pPr>
        <w:rPr>
          <w:rFonts w:eastAsia="Arial" w:cs="Arial"/>
          <w:b/>
          <w:szCs w:val="21"/>
        </w:rPr>
      </w:pPr>
      <w:r w:rsidRPr="00D579BE">
        <w:rPr>
          <w:rFonts w:eastAsia="Arial" w:cs="Arial"/>
          <w:b/>
          <w:szCs w:val="21"/>
        </w:rPr>
        <w:t>………………………………………………………………………………………………….</w:t>
      </w:r>
    </w:p>
    <w:p w14:paraId="5D027CF4" w14:textId="77777777" w:rsidR="009021F1" w:rsidRPr="00D579BE" w:rsidRDefault="009021F1" w:rsidP="009021F1">
      <w:pPr>
        <w:rPr>
          <w:rFonts w:eastAsia="Arial" w:cs="Arial"/>
          <w:b/>
          <w:szCs w:val="21"/>
        </w:rPr>
      </w:pPr>
    </w:p>
    <w:p w14:paraId="43808BFC" w14:textId="77777777" w:rsidR="009021F1" w:rsidRPr="00D579BE" w:rsidRDefault="009021F1" w:rsidP="009021F1">
      <w:pPr>
        <w:rPr>
          <w:rFonts w:eastAsia="Arial" w:cs="Arial"/>
          <w:b/>
          <w:szCs w:val="21"/>
        </w:rPr>
      </w:pPr>
      <w:r w:rsidRPr="00D579BE">
        <w:rPr>
          <w:rFonts w:eastAsia="Arial" w:cs="Arial"/>
          <w:b/>
          <w:szCs w:val="21"/>
        </w:rPr>
        <w:t>4. Observations du CGP sur la plainte</w:t>
      </w:r>
    </w:p>
    <w:p w14:paraId="3587193D" w14:textId="77777777" w:rsidR="009021F1" w:rsidRPr="00D579BE" w:rsidRDefault="009021F1" w:rsidP="009021F1">
      <w:pPr>
        <w:rPr>
          <w:rFonts w:eastAsia="Arial" w:cs="Arial"/>
          <w:b/>
          <w:szCs w:val="21"/>
        </w:rPr>
      </w:pPr>
      <w:r w:rsidRPr="00D579BE">
        <w:rPr>
          <w:rFonts w:eastAsia="Arial" w:cs="Arial"/>
          <w:b/>
          <w:szCs w:val="21"/>
        </w:rPr>
        <w:t>………………………………………………………………………………………………….</w:t>
      </w:r>
    </w:p>
    <w:p w14:paraId="1AE01912" w14:textId="77777777" w:rsidR="009021F1" w:rsidRPr="00D579BE" w:rsidRDefault="009021F1" w:rsidP="009021F1">
      <w:pPr>
        <w:rPr>
          <w:rFonts w:eastAsia="Arial" w:cs="Arial"/>
          <w:b/>
          <w:szCs w:val="21"/>
        </w:rPr>
      </w:pPr>
      <w:r w:rsidRPr="00D579BE">
        <w:rPr>
          <w:rFonts w:eastAsia="Arial" w:cs="Arial"/>
          <w:b/>
          <w:szCs w:val="21"/>
        </w:rPr>
        <w:t>………………………………………………………………………………………………….</w:t>
      </w:r>
    </w:p>
    <w:p w14:paraId="222E8E33" w14:textId="77777777" w:rsidR="009021F1" w:rsidRPr="00D579BE" w:rsidRDefault="009021F1" w:rsidP="009021F1">
      <w:pPr>
        <w:rPr>
          <w:rFonts w:eastAsia="Arial" w:cs="Arial"/>
          <w:b/>
          <w:szCs w:val="21"/>
        </w:rPr>
      </w:pPr>
      <w:r w:rsidRPr="00D579BE">
        <w:rPr>
          <w:rFonts w:eastAsia="Arial" w:cs="Arial"/>
          <w:b/>
          <w:szCs w:val="21"/>
        </w:rPr>
        <w:t>………………………………………………………………………………………………….</w:t>
      </w:r>
    </w:p>
    <w:p w14:paraId="6F11F904" w14:textId="77777777" w:rsidR="009021F1" w:rsidRPr="00D579BE" w:rsidRDefault="009021F1" w:rsidP="009021F1">
      <w:pPr>
        <w:rPr>
          <w:rFonts w:eastAsia="Arial" w:cs="Arial"/>
          <w:b/>
          <w:szCs w:val="21"/>
        </w:rPr>
      </w:pPr>
      <w:r w:rsidRPr="00D579BE">
        <w:rPr>
          <w:rFonts w:eastAsia="Arial" w:cs="Arial"/>
          <w:b/>
          <w:szCs w:val="21"/>
        </w:rPr>
        <w:t>Fait à…......................................, le……………../……………./………………………..…</w:t>
      </w:r>
    </w:p>
    <w:p w14:paraId="1F8AFB07" w14:textId="77777777" w:rsidR="009021F1" w:rsidRPr="00D579BE" w:rsidRDefault="009021F1" w:rsidP="009021F1">
      <w:pPr>
        <w:rPr>
          <w:rFonts w:eastAsia="Arial" w:cs="Arial"/>
          <w:b/>
          <w:szCs w:val="21"/>
        </w:rPr>
      </w:pPr>
    </w:p>
    <w:p w14:paraId="31CCF6AA" w14:textId="77777777" w:rsidR="009021F1" w:rsidRPr="00D579BE" w:rsidRDefault="009021F1" w:rsidP="009021F1">
      <w:pPr>
        <w:rPr>
          <w:rFonts w:eastAsia="Arial" w:cs="Arial"/>
          <w:b/>
          <w:szCs w:val="21"/>
        </w:rPr>
      </w:pPr>
      <w:r w:rsidRPr="00D579BE">
        <w:rPr>
          <w:rFonts w:eastAsia="Arial" w:cs="Arial"/>
          <w:b/>
          <w:szCs w:val="21"/>
        </w:rPr>
        <w:t>…………………………………………………………………………………………………..</w:t>
      </w:r>
    </w:p>
    <w:p w14:paraId="1F1F974D" w14:textId="77777777" w:rsidR="009021F1" w:rsidRPr="00D579BE" w:rsidRDefault="009021F1" w:rsidP="009021F1">
      <w:pPr>
        <w:rPr>
          <w:rFonts w:eastAsia="Arial" w:cs="Arial"/>
          <w:b/>
          <w:szCs w:val="21"/>
        </w:rPr>
      </w:pPr>
      <w:r w:rsidRPr="00D579BE">
        <w:rPr>
          <w:rFonts w:eastAsia="Arial" w:cs="Arial"/>
          <w:b/>
          <w:szCs w:val="21"/>
        </w:rPr>
        <w:t>(Signature du représentant du comité)</w:t>
      </w:r>
    </w:p>
    <w:p w14:paraId="19FC19A6" w14:textId="77777777" w:rsidR="009021F1" w:rsidRPr="00D579BE" w:rsidRDefault="009021F1" w:rsidP="009021F1">
      <w:pPr>
        <w:rPr>
          <w:rFonts w:eastAsia="Arial" w:cs="Arial"/>
          <w:b/>
          <w:szCs w:val="21"/>
        </w:rPr>
      </w:pPr>
    </w:p>
    <w:p w14:paraId="7770C360" w14:textId="77777777" w:rsidR="009021F1" w:rsidRPr="00D579BE" w:rsidRDefault="009021F1" w:rsidP="009021F1">
      <w:pPr>
        <w:rPr>
          <w:rFonts w:eastAsia="Arial" w:cs="Arial"/>
          <w:b/>
          <w:szCs w:val="21"/>
        </w:rPr>
      </w:pPr>
      <w:r w:rsidRPr="00D579BE">
        <w:rPr>
          <w:rFonts w:eastAsia="Arial" w:cs="Arial"/>
          <w:b/>
          <w:szCs w:val="21"/>
        </w:rPr>
        <w:t>5. Réponse du/de la plaignant(e) sur les observations du CGP</w:t>
      </w:r>
    </w:p>
    <w:p w14:paraId="3C04446B" w14:textId="77777777" w:rsidR="009021F1" w:rsidRPr="00D579BE" w:rsidRDefault="009021F1" w:rsidP="009021F1">
      <w:pPr>
        <w:rPr>
          <w:rFonts w:eastAsia="Arial" w:cs="Arial"/>
          <w:b/>
          <w:szCs w:val="21"/>
        </w:rPr>
      </w:pPr>
      <w:r w:rsidRPr="00D579BE">
        <w:rPr>
          <w:rFonts w:eastAsia="Arial" w:cs="Arial"/>
          <w:b/>
          <w:szCs w:val="21"/>
        </w:rPr>
        <w:t>………………………………………………………………………………………………….</w:t>
      </w:r>
    </w:p>
    <w:p w14:paraId="0AC1912B" w14:textId="77777777" w:rsidR="009021F1" w:rsidRPr="00D579BE" w:rsidRDefault="009021F1" w:rsidP="009021F1">
      <w:pPr>
        <w:rPr>
          <w:rFonts w:eastAsia="Arial" w:cs="Arial"/>
          <w:b/>
          <w:szCs w:val="21"/>
        </w:rPr>
      </w:pPr>
      <w:r w:rsidRPr="00D579BE">
        <w:rPr>
          <w:rFonts w:eastAsia="Arial" w:cs="Arial"/>
          <w:b/>
          <w:szCs w:val="21"/>
        </w:rPr>
        <w:t>………………………………………………………………………………………………….</w:t>
      </w:r>
    </w:p>
    <w:p w14:paraId="3EEADF5C" w14:textId="77777777" w:rsidR="009021F1" w:rsidRPr="00D579BE" w:rsidRDefault="009021F1" w:rsidP="009021F1">
      <w:pPr>
        <w:rPr>
          <w:rFonts w:eastAsia="Arial" w:cs="Arial"/>
          <w:b/>
          <w:szCs w:val="21"/>
        </w:rPr>
      </w:pPr>
      <w:r w:rsidRPr="00D579BE">
        <w:rPr>
          <w:rFonts w:eastAsia="Arial" w:cs="Arial"/>
          <w:b/>
          <w:szCs w:val="21"/>
        </w:rPr>
        <w:t>…………………………………………………………………………………………………..</w:t>
      </w:r>
    </w:p>
    <w:p w14:paraId="5387A3DD" w14:textId="77777777" w:rsidR="009021F1" w:rsidRPr="00D579BE" w:rsidRDefault="009021F1" w:rsidP="009021F1">
      <w:pPr>
        <w:rPr>
          <w:rFonts w:eastAsia="Arial" w:cs="Arial"/>
          <w:b/>
          <w:szCs w:val="21"/>
        </w:rPr>
      </w:pPr>
    </w:p>
    <w:p w14:paraId="15A62E27" w14:textId="77777777" w:rsidR="009021F1" w:rsidRPr="00D579BE" w:rsidRDefault="009021F1" w:rsidP="009021F1">
      <w:pPr>
        <w:rPr>
          <w:rFonts w:eastAsia="Arial" w:cs="Arial"/>
          <w:b/>
          <w:szCs w:val="21"/>
        </w:rPr>
      </w:pPr>
      <w:r w:rsidRPr="00D579BE">
        <w:rPr>
          <w:rFonts w:eastAsia="Arial" w:cs="Arial"/>
          <w:b/>
          <w:szCs w:val="21"/>
        </w:rPr>
        <w:t>Fait à : ……………………………….., le………./………../………………………………...</w:t>
      </w:r>
    </w:p>
    <w:p w14:paraId="234551FB" w14:textId="77777777" w:rsidR="009021F1" w:rsidRPr="00D579BE" w:rsidRDefault="009021F1" w:rsidP="009021F1">
      <w:pPr>
        <w:rPr>
          <w:rFonts w:eastAsia="Arial" w:cs="Arial"/>
          <w:b/>
          <w:szCs w:val="21"/>
        </w:rPr>
      </w:pPr>
    </w:p>
    <w:p w14:paraId="3566CC6C" w14:textId="77777777" w:rsidR="009021F1" w:rsidRPr="00D579BE" w:rsidRDefault="009021F1" w:rsidP="009021F1">
      <w:pPr>
        <w:rPr>
          <w:rFonts w:eastAsia="Arial" w:cs="Arial"/>
          <w:b/>
          <w:szCs w:val="21"/>
        </w:rPr>
      </w:pPr>
      <w:r w:rsidRPr="00D579BE">
        <w:rPr>
          <w:rFonts w:eastAsia="Arial" w:cs="Arial"/>
          <w:b/>
          <w:szCs w:val="21"/>
        </w:rPr>
        <w:t>…………………………………………………………………………………………………..</w:t>
      </w:r>
    </w:p>
    <w:p w14:paraId="43BD1497" w14:textId="77777777" w:rsidR="009021F1" w:rsidRPr="00D579BE" w:rsidRDefault="009021F1" w:rsidP="009021F1">
      <w:pPr>
        <w:rPr>
          <w:rFonts w:eastAsia="Arial" w:cs="Arial"/>
          <w:b/>
          <w:szCs w:val="21"/>
        </w:rPr>
      </w:pPr>
      <w:r w:rsidRPr="00D579BE">
        <w:rPr>
          <w:rFonts w:eastAsia="Arial" w:cs="Arial"/>
          <w:b/>
          <w:szCs w:val="21"/>
        </w:rPr>
        <w:t>Signature du/de la plaignant(e)</w:t>
      </w:r>
    </w:p>
    <w:p w14:paraId="47CBB807" w14:textId="77777777" w:rsidR="009021F1" w:rsidRPr="00D579BE" w:rsidRDefault="009021F1" w:rsidP="009021F1">
      <w:pPr>
        <w:rPr>
          <w:rFonts w:eastAsia="Arial" w:cs="Arial"/>
          <w:b/>
          <w:szCs w:val="21"/>
        </w:rPr>
      </w:pPr>
    </w:p>
    <w:p w14:paraId="6D5FAFD8" w14:textId="77777777" w:rsidR="009021F1" w:rsidRPr="00D579BE" w:rsidRDefault="009021F1" w:rsidP="009021F1">
      <w:pPr>
        <w:rPr>
          <w:rFonts w:eastAsia="Arial" w:cs="Arial"/>
          <w:b/>
          <w:szCs w:val="21"/>
        </w:rPr>
      </w:pPr>
      <w:r w:rsidRPr="00D579BE">
        <w:rPr>
          <w:rFonts w:eastAsia="Arial" w:cs="Arial"/>
          <w:b/>
          <w:szCs w:val="21"/>
        </w:rPr>
        <w:t>6. Résolution proposée de commun accord avec plaignant(e)</w:t>
      </w:r>
    </w:p>
    <w:p w14:paraId="0AE9E05E" w14:textId="77777777" w:rsidR="009021F1" w:rsidRPr="00D579BE" w:rsidRDefault="009021F1" w:rsidP="009021F1">
      <w:pPr>
        <w:rPr>
          <w:rFonts w:eastAsia="Arial" w:cs="Arial"/>
          <w:b/>
          <w:szCs w:val="21"/>
        </w:rPr>
      </w:pPr>
      <w:r w:rsidRPr="00D579BE">
        <w:rPr>
          <w:rFonts w:eastAsia="Arial" w:cs="Arial"/>
          <w:b/>
          <w:szCs w:val="21"/>
        </w:rPr>
        <w:t>……………………………………………………………………………………………….…</w:t>
      </w:r>
    </w:p>
    <w:p w14:paraId="49512308" w14:textId="77777777" w:rsidR="009021F1" w:rsidRPr="00D579BE" w:rsidRDefault="009021F1" w:rsidP="009021F1">
      <w:pPr>
        <w:rPr>
          <w:rFonts w:eastAsia="Arial" w:cs="Arial"/>
          <w:b/>
          <w:szCs w:val="21"/>
        </w:rPr>
      </w:pPr>
      <w:r w:rsidRPr="00D579BE">
        <w:rPr>
          <w:rFonts w:eastAsia="Arial" w:cs="Arial"/>
          <w:b/>
          <w:szCs w:val="21"/>
        </w:rPr>
        <w:t>………………………………………………………………………………………………….</w:t>
      </w:r>
    </w:p>
    <w:p w14:paraId="48B9BC2D" w14:textId="77777777" w:rsidR="009021F1" w:rsidRPr="00D579BE" w:rsidRDefault="009021F1" w:rsidP="009021F1">
      <w:pPr>
        <w:rPr>
          <w:rFonts w:eastAsia="Arial" w:cs="Arial"/>
          <w:b/>
          <w:szCs w:val="21"/>
        </w:rPr>
      </w:pPr>
    </w:p>
    <w:p w14:paraId="1874F520" w14:textId="77777777" w:rsidR="009021F1" w:rsidRPr="00D579BE" w:rsidRDefault="009021F1" w:rsidP="009021F1">
      <w:pPr>
        <w:rPr>
          <w:rFonts w:eastAsia="Arial" w:cs="Arial"/>
          <w:b/>
          <w:szCs w:val="21"/>
        </w:rPr>
      </w:pPr>
      <w:r w:rsidRPr="00D579BE">
        <w:rPr>
          <w:rFonts w:eastAsia="Arial" w:cs="Arial"/>
          <w:b/>
          <w:szCs w:val="21"/>
        </w:rPr>
        <w:t>Fait à : ……………………………, le …………../……………./…………………………..</w:t>
      </w:r>
    </w:p>
    <w:p w14:paraId="59EC79E1" w14:textId="77777777" w:rsidR="009021F1" w:rsidRPr="00D579BE" w:rsidRDefault="009021F1" w:rsidP="009021F1">
      <w:pPr>
        <w:tabs>
          <w:tab w:val="left" w:pos="6375"/>
        </w:tabs>
        <w:rPr>
          <w:rFonts w:eastAsia="Arial" w:cs="Arial"/>
          <w:b/>
          <w:szCs w:val="21"/>
        </w:rPr>
      </w:pPr>
    </w:p>
    <w:p w14:paraId="600CA1D9" w14:textId="77777777" w:rsidR="009021F1" w:rsidRPr="00D579BE" w:rsidRDefault="009021F1" w:rsidP="009021F1">
      <w:pPr>
        <w:tabs>
          <w:tab w:val="left" w:pos="6375"/>
        </w:tabs>
        <w:rPr>
          <w:rFonts w:eastAsia="Arial" w:cs="Arial"/>
          <w:b/>
          <w:szCs w:val="21"/>
        </w:rPr>
      </w:pPr>
    </w:p>
    <w:p w14:paraId="5FA9FE5C" w14:textId="77777777" w:rsidR="009021F1" w:rsidRPr="00D579BE" w:rsidRDefault="009021F1" w:rsidP="009021F1">
      <w:pPr>
        <w:tabs>
          <w:tab w:val="left" w:pos="5400"/>
        </w:tabs>
        <w:rPr>
          <w:rFonts w:eastAsia="Arial" w:cs="Arial"/>
          <w:b/>
          <w:szCs w:val="21"/>
        </w:rPr>
      </w:pPr>
      <w:r w:rsidRPr="00D579BE">
        <w:rPr>
          <w:rFonts w:eastAsia="Arial" w:cs="Arial"/>
          <w:b/>
          <w:szCs w:val="21"/>
        </w:rPr>
        <w:t xml:space="preserve">Signature du représentant du CGP </w:t>
      </w:r>
      <w:r w:rsidRPr="00D579BE">
        <w:rPr>
          <w:rFonts w:eastAsia="Arial" w:cs="Arial"/>
          <w:b/>
          <w:szCs w:val="21"/>
        </w:rPr>
        <w:tab/>
        <w:t>Signature du/de la plaignant(e)</w:t>
      </w:r>
    </w:p>
    <w:p w14:paraId="17900B48" w14:textId="77777777" w:rsidR="009021F1" w:rsidRPr="00D579BE" w:rsidRDefault="009021F1" w:rsidP="009021F1">
      <w:pPr>
        <w:rPr>
          <w:rFonts w:eastAsia="Arial" w:cs="Arial"/>
          <w:szCs w:val="21"/>
        </w:rPr>
      </w:pPr>
    </w:p>
    <w:p w14:paraId="0C0D864D" w14:textId="77777777" w:rsidR="009021F1" w:rsidRPr="00D579BE" w:rsidRDefault="009021F1" w:rsidP="009021F1">
      <w:pPr>
        <w:pStyle w:val="Titre1"/>
        <w:tabs>
          <w:tab w:val="right" w:pos="9062"/>
        </w:tabs>
        <w:ind w:left="1418" w:hanging="1418"/>
        <w:rPr>
          <w:rFonts w:cs="Arial"/>
          <w:b w:val="0"/>
          <w:szCs w:val="21"/>
        </w:rPr>
      </w:pPr>
      <w:r w:rsidRPr="00D579BE">
        <w:rPr>
          <w:rFonts w:cs="Arial"/>
          <w:b w:val="0"/>
          <w:szCs w:val="21"/>
        </w:rPr>
        <w:br w:type="page"/>
      </w:r>
      <w:bookmarkStart w:id="496" w:name="_Toc90471602"/>
      <w:r w:rsidRPr="00D579BE">
        <w:rPr>
          <w:rFonts w:cs="Arial"/>
          <w:szCs w:val="21"/>
        </w:rPr>
        <w:t xml:space="preserve">ANNEXE </w:t>
      </w:r>
      <w:r>
        <w:rPr>
          <w:rFonts w:cs="Arial"/>
          <w:szCs w:val="21"/>
        </w:rPr>
        <w:t>12</w:t>
      </w:r>
      <w:r w:rsidRPr="00D579BE">
        <w:rPr>
          <w:rFonts w:cs="Arial"/>
          <w:szCs w:val="21"/>
        </w:rPr>
        <w:t>. CONSIDÉRATIONS SUR LE COVID-19 À PRENDRE EN COMPTE  DANS LES PROJETS DE CONSTRUCTION / TRAVAUX CIVILS</w:t>
      </w:r>
      <w:bookmarkEnd w:id="496"/>
    </w:p>
    <w:p w14:paraId="7DE5F3D6" w14:textId="77777777" w:rsidR="009021F1" w:rsidRPr="00D579BE" w:rsidRDefault="009021F1" w:rsidP="009021F1">
      <w:pPr>
        <w:rPr>
          <w:rFonts w:cs="Arial"/>
          <w:b/>
          <w:bCs/>
          <w:szCs w:val="21"/>
        </w:rPr>
      </w:pPr>
    </w:p>
    <w:p w14:paraId="79C85DF6" w14:textId="77777777" w:rsidR="009021F1" w:rsidRPr="00D579BE" w:rsidRDefault="009021F1" w:rsidP="009021F1">
      <w:pPr>
        <w:pStyle w:val="Paragraphedeliste"/>
        <w:numPr>
          <w:ilvl w:val="0"/>
          <w:numId w:val="126"/>
        </w:numPr>
        <w:spacing w:line="259" w:lineRule="auto"/>
        <w:ind w:left="360"/>
        <w:rPr>
          <w:rFonts w:cs="Arial"/>
          <w:b/>
          <w:bCs/>
          <w:szCs w:val="21"/>
        </w:rPr>
      </w:pPr>
      <w:r w:rsidRPr="00D579BE">
        <w:rPr>
          <w:rFonts w:cs="Arial"/>
          <w:b/>
          <w:bCs/>
          <w:szCs w:val="21"/>
        </w:rPr>
        <w:t xml:space="preserve">INTRODUCTION </w:t>
      </w:r>
    </w:p>
    <w:p w14:paraId="16C9A513" w14:textId="77777777" w:rsidR="009021F1" w:rsidRPr="00D579BE" w:rsidRDefault="009021F1" w:rsidP="009021F1">
      <w:pPr>
        <w:rPr>
          <w:rFonts w:cs="Arial"/>
          <w:szCs w:val="21"/>
        </w:rPr>
      </w:pPr>
    </w:p>
    <w:p w14:paraId="50CE835F" w14:textId="77777777" w:rsidR="009021F1" w:rsidRPr="00D579BE" w:rsidRDefault="009021F1" w:rsidP="009021F1">
      <w:pPr>
        <w:rPr>
          <w:rFonts w:cs="Arial"/>
          <w:szCs w:val="21"/>
        </w:rPr>
      </w:pPr>
      <w:r w:rsidRPr="00D579BE">
        <w:rPr>
          <w:rFonts w:cs="Arial"/>
          <w:szCs w:val="21"/>
        </w:rPr>
        <w:t xml:space="preserve">La pandémie de COVID-19 présente aux gouvernements des défis sans précédent. Pour résoudre les problèmes liés à cette pandémie dans les projets de construction, il faut commencer par reconnaître que ce n'est pas comme d'habitude et que les circonstances nécessitent une conception de gestion réactive très adaptative pour éviter, minimiser et gérer ce qui pourrait être une situation en évolution rapide. Dans de nombreux projets, des mesures visant à éviter ou à réduire au minimum devront être mises en œuvre en même temps que la prise en charge des travailleurs malades et les relations avec la communauté, dont certains peuvent également être malades ou préoccupés par une infection. Ainsi, cette annexe est destinée à fournir des orientations pour aider les Unités de Gestion des Projets (UGP) à résoudre les problèmes clés associés à COVID-19. </w:t>
      </w:r>
    </w:p>
    <w:p w14:paraId="1D92B991" w14:textId="77777777" w:rsidR="009021F1" w:rsidRPr="00D579BE" w:rsidRDefault="009021F1" w:rsidP="009021F1">
      <w:pPr>
        <w:rPr>
          <w:rFonts w:cs="Arial"/>
          <w:szCs w:val="21"/>
        </w:rPr>
      </w:pPr>
    </w:p>
    <w:p w14:paraId="20E5B24A" w14:textId="77777777" w:rsidR="009021F1" w:rsidRPr="00D579BE" w:rsidRDefault="009021F1" w:rsidP="009021F1">
      <w:pPr>
        <w:pStyle w:val="Paragraphedeliste"/>
        <w:numPr>
          <w:ilvl w:val="0"/>
          <w:numId w:val="126"/>
        </w:numPr>
        <w:spacing w:line="259" w:lineRule="auto"/>
        <w:ind w:left="360" w:right="-180"/>
        <w:rPr>
          <w:rFonts w:cs="Arial"/>
          <w:b/>
          <w:bCs/>
          <w:szCs w:val="21"/>
        </w:rPr>
      </w:pPr>
      <w:r w:rsidRPr="00D579BE">
        <w:rPr>
          <w:rFonts w:cs="Arial"/>
          <w:b/>
          <w:bCs/>
          <w:szCs w:val="21"/>
        </w:rPr>
        <w:t>QUELLE PLANIFICATION DEVRAIT FAIRE L’UNITE DE GESTION DU PROJET ?</w:t>
      </w:r>
    </w:p>
    <w:p w14:paraId="26F586B8" w14:textId="77777777" w:rsidR="009021F1" w:rsidRPr="00D579BE" w:rsidRDefault="009021F1" w:rsidP="009021F1">
      <w:pPr>
        <w:rPr>
          <w:rFonts w:cs="Arial"/>
          <w:szCs w:val="21"/>
        </w:rPr>
      </w:pPr>
    </w:p>
    <w:p w14:paraId="343DFF69" w14:textId="77777777" w:rsidR="009021F1" w:rsidRPr="00D579BE" w:rsidRDefault="009021F1" w:rsidP="009021F1">
      <w:pPr>
        <w:rPr>
          <w:rFonts w:cs="Arial"/>
          <w:szCs w:val="21"/>
        </w:rPr>
      </w:pPr>
      <w:r w:rsidRPr="00D579BE">
        <w:rPr>
          <w:rFonts w:cs="Arial"/>
          <w:szCs w:val="21"/>
        </w:rPr>
        <w:t xml:space="preserve">L’Unité de Gestion du Projet (UGP) doivent s’assurer (i) de prendre des précautions adéquates dans le projet pour prévenir ou minimiser l’épidémie de COVID-19, et (ii) identifier ce qu’il faut faire en cas d’épidémie. Voici des suggestions sur la façon de procéder : </w:t>
      </w:r>
    </w:p>
    <w:p w14:paraId="497C2C52" w14:textId="77777777" w:rsidR="009021F1" w:rsidRPr="00D579BE" w:rsidRDefault="009021F1" w:rsidP="009021F1">
      <w:pPr>
        <w:rPr>
          <w:rFonts w:cs="Arial"/>
          <w:szCs w:val="21"/>
        </w:rPr>
      </w:pPr>
    </w:p>
    <w:p w14:paraId="3BBD2313" w14:textId="77777777" w:rsidR="009021F1" w:rsidRPr="00D579BE" w:rsidRDefault="009021F1" w:rsidP="009021F1">
      <w:pPr>
        <w:pStyle w:val="Paragraphedeliste"/>
        <w:numPr>
          <w:ilvl w:val="0"/>
          <w:numId w:val="125"/>
        </w:numPr>
        <w:spacing w:line="259" w:lineRule="auto"/>
        <w:rPr>
          <w:rFonts w:cs="Arial"/>
          <w:szCs w:val="21"/>
        </w:rPr>
      </w:pPr>
      <w:r w:rsidRPr="00D579BE">
        <w:rPr>
          <w:rFonts w:cs="Arial"/>
          <w:szCs w:val="21"/>
        </w:rPr>
        <w:t>L’UGP doit demander par écrit au contractant les détails des mesures prises pour faire face aux risques de COVID-19. De ce fait, le contrat de construction doit inclure des exigences en matière de santé et de sécurité, et celles-ci peuvent être utilisées comme base pour l'identification et les exigences de mise en œuvre des mesures spécifiques COVID-19. Les mesures peuvent être présentées comme un plan d'urgence, comme une extension du plan d'urgence et de préparation du projet existant ou comme des procédures autonomes. Les mesures peuvent se refléter dans les révisions du manuel de santé et de sécurité du projet. Cette demande doit être faite par écrit (en suivant toute procédure pertinente prévue dans le contrat entre l'Emprunteur et le contractant).</w:t>
      </w:r>
    </w:p>
    <w:p w14:paraId="61F76F36" w14:textId="77777777" w:rsidR="009021F1" w:rsidRPr="00D579BE" w:rsidRDefault="009021F1" w:rsidP="009021F1">
      <w:pPr>
        <w:pStyle w:val="Paragraphedeliste"/>
        <w:numPr>
          <w:ilvl w:val="0"/>
          <w:numId w:val="127"/>
        </w:numPr>
        <w:spacing w:line="259" w:lineRule="auto"/>
        <w:rPr>
          <w:rFonts w:cs="Arial"/>
          <w:szCs w:val="21"/>
        </w:rPr>
      </w:pPr>
      <w:r w:rsidRPr="00D579BE">
        <w:rPr>
          <w:rFonts w:cs="Arial"/>
          <w:szCs w:val="21"/>
        </w:rPr>
        <w:t xml:space="preserve">Lors de la demande, il peut être utile pour l’UGP de spécifier les domaines qui devraient être couverts. Cela devrait inclure les éléments énoncés dans la section 3 ci-dessous et tenir compte des orientations actuelles et pertinentes fournies par les autorités nationales, l'OMS et d'autres organisations. </w:t>
      </w:r>
    </w:p>
    <w:p w14:paraId="6C724641" w14:textId="77777777" w:rsidR="009021F1" w:rsidRPr="00D579BE" w:rsidRDefault="009021F1" w:rsidP="009021F1">
      <w:pPr>
        <w:pStyle w:val="Paragraphedeliste"/>
        <w:numPr>
          <w:ilvl w:val="0"/>
          <w:numId w:val="127"/>
        </w:numPr>
        <w:spacing w:line="259" w:lineRule="auto"/>
        <w:rPr>
          <w:rFonts w:cs="Arial"/>
          <w:szCs w:val="21"/>
        </w:rPr>
      </w:pPr>
      <w:r w:rsidRPr="00D579BE">
        <w:rPr>
          <w:rFonts w:cs="Arial"/>
          <w:szCs w:val="21"/>
        </w:rPr>
        <w:t>L’UGP devrait exiger que le contractant convoque des réunions régulières avec les spécialistes de la santé et de la sécurité du projet et le personnel médical (et, le cas échéant, les autorités sanitaires locales), et de prendre leurs conseils dans la conception et la mise en œuvre des mesures convenues.</w:t>
      </w:r>
    </w:p>
    <w:p w14:paraId="76FE0B12" w14:textId="77777777" w:rsidR="009021F1" w:rsidRPr="00D579BE" w:rsidRDefault="009021F1" w:rsidP="009021F1">
      <w:pPr>
        <w:pStyle w:val="Paragraphedeliste"/>
        <w:numPr>
          <w:ilvl w:val="0"/>
          <w:numId w:val="127"/>
        </w:numPr>
        <w:spacing w:line="259" w:lineRule="auto"/>
        <w:rPr>
          <w:rFonts w:cs="Arial"/>
          <w:szCs w:val="21"/>
        </w:rPr>
      </w:pPr>
      <w:r w:rsidRPr="00D579BE">
        <w:rPr>
          <w:rFonts w:cs="Arial"/>
          <w:szCs w:val="21"/>
        </w:rPr>
        <w:t>Dans la mesure du possible, une personne devrait être identifiée parmi le personnel de l’entreprise comme point focal pour traiter les problèmes liés au COVID-19. Il pourrait s’agir d’un superviseur de travail ou du chargé des aspects ESS (Environnement, santé et sécurité). Cette personne peut être chargée de coordonner la préparation du site et de s'assurer que les mesures prises sont communiquées aux travailleurs, à ceux qui entrent sur le site et à la communauté locale. Il est également conseillé de désigner au moins une personne de secours, au cas où le point focal tombe malade; cette personne doit être au courant des dispositions en place.</w:t>
      </w:r>
    </w:p>
    <w:p w14:paraId="0AFB9B44" w14:textId="77777777" w:rsidR="009021F1" w:rsidRPr="00D579BE" w:rsidRDefault="009021F1" w:rsidP="009021F1">
      <w:pPr>
        <w:pStyle w:val="Paragraphedeliste"/>
        <w:numPr>
          <w:ilvl w:val="0"/>
          <w:numId w:val="127"/>
        </w:numPr>
        <w:spacing w:line="259" w:lineRule="auto"/>
        <w:rPr>
          <w:rFonts w:cs="Arial"/>
          <w:szCs w:val="21"/>
        </w:rPr>
      </w:pPr>
      <w:r w:rsidRPr="00D579BE">
        <w:rPr>
          <w:rFonts w:cs="Arial"/>
          <w:szCs w:val="21"/>
        </w:rPr>
        <w:t>Sur les sites où il y a un certain nombre d'entrepreneurs et donc (en fait) des effectifs différents, la demande devrait souligner l'importance de la coordination et de la communication entre les différentes parties. Le cas échéant, l’UGP devrait demander au contractant principal de mettre en place un protocole pour les réunions régulières des différents contractants, exigeant que chacun nomme un membre du personnel désigné (avec un remplaçant) pour assister à ces réunions. Si les réunions ne peuvent pas avoir lieu en personne, elles doivent être menées à l'aide de l'informatique disponible. L'efficacité des mesures d'atténuation dépendra de l’implication de toutes les parties, et il est donc important que tous les contractants et sous-traitants comprennent les risques et la procédure à suivre.</w:t>
      </w:r>
    </w:p>
    <w:p w14:paraId="71803E91" w14:textId="77777777" w:rsidR="009021F1" w:rsidRPr="00D579BE" w:rsidRDefault="009021F1" w:rsidP="009021F1">
      <w:pPr>
        <w:pStyle w:val="Paragraphedeliste"/>
        <w:numPr>
          <w:ilvl w:val="0"/>
          <w:numId w:val="127"/>
        </w:numPr>
        <w:spacing w:line="259" w:lineRule="auto"/>
        <w:rPr>
          <w:rFonts w:cs="Arial"/>
          <w:szCs w:val="21"/>
        </w:rPr>
      </w:pPr>
      <w:r w:rsidRPr="00D579BE">
        <w:rPr>
          <w:rFonts w:cs="Arial"/>
          <w:szCs w:val="21"/>
        </w:rPr>
        <w:t>L’UGP, soit directement, soit par l'intermédiaire du bureau de contrôle, peut apporter un soutien aux projets pour identifier les mesures d'atténuation appropriées, en particulier lorsque celles-ci impliqueront une interface avec les services locaux, en particulier les services de santé et d'urgence. Dans de nombreux cas, l’UGP peut jouer un rôle précieux en connectant les représentants du projet avec les agences gouvernementales locales et en aidant à coordonner une réponse stratégique, qui prend en compte la disponibilité des ressources. Pour être plus efficaces, les projets doivent consulter et coordonner les agences gouvernementales compétentes et d'autres projets à proximité.</w:t>
      </w:r>
    </w:p>
    <w:p w14:paraId="5FED29B9" w14:textId="77777777" w:rsidR="009021F1" w:rsidRPr="00D579BE" w:rsidRDefault="009021F1" w:rsidP="009021F1">
      <w:pPr>
        <w:pStyle w:val="Paragraphedeliste"/>
        <w:numPr>
          <w:ilvl w:val="0"/>
          <w:numId w:val="127"/>
        </w:numPr>
        <w:spacing w:line="259" w:lineRule="auto"/>
        <w:rPr>
          <w:rFonts w:cs="Arial"/>
          <w:szCs w:val="21"/>
        </w:rPr>
      </w:pPr>
      <w:r w:rsidRPr="00D579BE">
        <w:rPr>
          <w:rFonts w:cs="Arial"/>
          <w:szCs w:val="21"/>
        </w:rPr>
        <w:t>Les travailleurs devraient être encouragés à utiliser le mécanisme de règlement des griefs du projet pour signaler les préoccupations liées à COVID-19, les préparatifs en cours d'élaboration par le projet pour résoudre les problèmes liés à COVID-19, la façon dont les procédures sont mises en œuvre et les préoccupations concernant la santé de leurs collègues et autre personnel.</w:t>
      </w:r>
    </w:p>
    <w:p w14:paraId="28669186" w14:textId="77777777" w:rsidR="009021F1" w:rsidRPr="00D579BE" w:rsidRDefault="009021F1" w:rsidP="009021F1">
      <w:pPr>
        <w:pStyle w:val="Paragraphedeliste"/>
        <w:rPr>
          <w:rFonts w:cs="Arial"/>
          <w:szCs w:val="21"/>
        </w:rPr>
      </w:pPr>
    </w:p>
    <w:p w14:paraId="01E98A11" w14:textId="77777777" w:rsidR="009021F1" w:rsidRPr="00D579BE" w:rsidRDefault="009021F1" w:rsidP="009021F1">
      <w:pPr>
        <w:pStyle w:val="Paragraphedeliste"/>
        <w:numPr>
          <w:ilvl w:val="0"/>
          <w:numId w:val="126"/>
        </w:numPr>
        <w:spacing w:line="259" w:lineRule="auto"/>
        <w:ind w:left="360"/>
        <w:rPr>
          <w:rFonts w:cs="Arial"/>
          <w:b/>
          <w:bCs/>
          <w:szCs w:val="21"/>
        </w:rPr>
      </w:pPr>
      <w:r w:rsidRPr="00D579BE">
        <w:rPr>
          <w:rFonts w:cs="Arial"/>
          <w:b/>
          <w:bCs/>
          <w:szCs w:val="21"/>
        </w:rPr>
        <w:t>QUE DEVRAIT COUVRIR LE CONTRACTANT ?</w:t>
      </w:r>
    </w:p>
    <w:p w14:paraId="77624D1E" w14:textId="77777777" w:rsidR="009021F1" w:rsidRPr="00D579BE" w:rsidRDefault="009021F1" w:rsidP="009021F1">
      <w:pPr>
        <w:rPr>
          <w:rFonts w:cs="Arial"/>
          <w:szCs w:val="21"/>
        </w:rPr>
      </w:pPr>
    </w:p>
    <w:p w14:paraId="113578C8" w14:textId="77777777" w:rsidR="009021F1" w:rsidRPr="00D579BE" w:rsidRDefault="009021F1" w:rsidP="009021F1">
      <w:pPr>
        <w:rPr>
          <w:rFonts w:cs="Arial"/>
          <w:szCs w:val="21"/>
        </w:rPr>
      </w:pPr>
      <w:r w:rsidRPr="00D579BE">
        <w:rPr>
          <w:rFonts w:cs="Arial"/>
          <w:szCs w:val="21"/>
        </w:rPr>
        <w:t>Le contractant devrait identifier des mesures pour faire face à la situation du COVID-19. Ce qui sera possible dépendra du contexte du projet : l'emplacement, les ressources existantes du projet, la disponibilité des fournitures, la capacité des services d'urgence / de santé locaux, la mesure dans laquelle le virus existe déjà dans la zone. Une approche systématique de la planification, reconnaissant les défis associés à l'évolution rapide des circonstances, aidera le projet à mettre en place les meilleures mesures possibles pour faire face à la situation. Comme indiqué ci-dessus, les mesures visant à lutter contre le COVID-19 peuvent être présentées de différentes manières (en tant que plan d'urgence, en tant qu'extension du plan d'urgence et de préparation du projet existant ou en tant que procédures autonomes). Les UGP et les contractants doivent se référer aux directives émises par les autorités compétentes, tant nationales qu'internationales (par exemple l'OMS), qui sont régulièrement mises à jour (voir des exemples de références et de liens fournis en annexe).</w:t>
      </w:r>
    </w:p>
    <w:p w14:paraId="4B674508" w14:textId="77777777" w:rsidR="009021F1" w:rsidRPr="00D579BE" w:rsidRDefault="009021F1" w:rsidP="009021F1">
      <w:pPr>
        <w:rPr>
          <w:rFonts w:cs="Arial"/>
          <w:szCs w:val="21"/>
        </w:rPr>
      </w:pPr>
    </w:p>
    <w:p w14:paraId="53D01C78" w14:textId="77777777" w:rsidR="009021F1" w:rsidRDefault="009021F1" w:rsidP="009021F1">
      <w:pPr>
        <w:rPr>
          <w:rFonts w:cs="Arial"/>
          <w:szCs w:val="21"/>
        </w:rPr>
      </w:pPr>
      <w:r w:rsidRPr="00D579BE">
        <w:rPr>
          <w:rFonts w:cs="Arial"/>
          <w:szCs w:val="21"/>
        </w:rPr>
        <w:t>Le traitement de COVID-19 sur un site de projet va au-delà de la santé et de la sécurité au travail et est une question de projet plus large qui nécessitera la participation de différents membres d'une équipe de gestion de projet. Dans de nombreux cas, l'approche la plus efficace consistera à établir des procédures pour résoudre les problèmes, puis à veiller à ce que ces procédures soient systématiquement mises en œuvre. Le cas échéant, compte tenu du contexte du projet, une équipe désignée doit être mise en place pour traiter les problèmes liés au COVID-19, y compris les représentants de l’UGP, le bureau de contrôle, la gestion (par exemple le chef de projet) du contractant et des sous-traitants, la sécurité et les professionnels de la santé et de la santé et sécurité au travail. Les procédures doivent être claires et simples, améliorées si nécessaire, et supervisées et contrôlées par le ou les points focaux COVID-19. Les procédures doivent être documentées, distribuées à tous les contractants et discutées lors de réunions régulières pour faciliter la gestion adaptative. Les problèmes énoncés ci-dessous comprennent un certain nombre qui représentent une bonne gestion attendue du lieu de travail, mais sont particulièrement pertinents pour préparer la réponse du projet à COVID-19.</w:t>
      </w:r>
    </w:p>
    <w:p w14:paraId="71E11C41" w14:textId="77777777" w:rsidR="009021F1" w:rsidRPr="00D579BE" w:rsidRDefault="009021F1" w:rsidP="009021F1">
      <w:pPr>
        <w:rPr>
          <w:rFonts w:cs="Arial"/>
          <w:szCs w:val="21"/>
        </w:rPr>
      </w:pPr>
    </w:p>
    <w:p w14:paraId="6405E2B2" w14:textId="77777777" w:rsidR="009021F1" w:rsidRPr="00D579BE" w:rsidRDefault="009021F1" w:rsidP="009021F1">
      <w:pPr>
        <w:pStyle w:val="Paragraphedeliste"/>
        <w:numPr>
          <w:ilvl w:val="0"/>
          <w:numId w:val="128"/>
        </w:numPr>
        <w:spacing w:line="259" w:lineRule="auto"/>
        <w:ind w:left="360"/>
        <w:rPr>
          <w:rFonts w:cs="Arial"/>
          <w:b/>
          <w:bCs/>
          <w:i/>
          <w:iCs/>
          <w:szCs w:val="21"/>
        </w:rPr>
      </w:pPr>
      <w:r w:rsidRPr="00D579BE">
        <w:rPr>
          <w:rFonts w:cs="Arial"/>
          <w:b/>
          <w:bCs/>
          <w:i/>
          <w:iCs/>
          <w:szCs w:val="21"/>
        </w:rPr>
        <w:t>Evaluation des caractéristiques de la main d’œuvre</w:t>
      </w:r>
    </w:p>
    <w:p w14:paraId="50D6B4E2" w14:textId="77777777" w:rsidR="009021F1" w:rsidRPr="00D579BE" w:rsidRDefault="009021F1" w:rsidP="009021F1">
      <w:pPr>
        <w:rPr>
          <w:rFonts w:cs="Arial"/>
          <w:szCs w:val="21"/>
        </w:rPr>
      </w:pPr>
    </w:p>
    <w:p w14:paraId="57E6235B" w14:textId="77777777" w:rsidR="009021F1" w:rsidRPr="00D579BE" w:rsidRDefault="009021F1" w:rsidP="009021F1">
      <w:pPr>
        <w:rPr>
          <w:rFonts w:cs="Arial"/>
          <w:szCs w:val="21"/>
        </w:rPr>
      </w:pPr>
      <w:r w:rsidRPr="00D579BE">
        <w:rPr>
          <w:rFonts w:cs="Arial"/>
          <w:szCs w:val="21"/>
        </w:rPr>
        <w:t>De nombreux chantiers de construction auront un mélange de travailleurs, par exemple les travailleurs des communautés locales ; les travailleurs d'une autre partie du pays ; travailleurs d'un autre pays. Les travailleurs seront employés selon des conditions différentes et seront logés de différentes manières. L'évaluation de ces différents aspects de la main-d'œuvre aidera à identifier les mesures d'atténuation appropriées :</w:t>
      </w:r>
    </w:p>
    <w:p w14:paraId="32E7516C" w14:textId="77777777" w:rsidR="009021F1" w:rsidRPr="00D579BE" w:rsidRDefault="009021F1" w:rsidP="009021F1">
      <w:pPr>
        <w:rPr>
          <w:rFonts w:cs="Arial"/>
          <w:szCs w:val="21"/>
        </w:rPr>
      </w:pPr>
    </w:p>
    <w:p w14:paraId="6F2B5D45" w14:textId="77777777" w:rsidR="009021F1" w:rsidRPr="00D579BE" w:rsidRDefault="009021F1" w:rsidP="009021F1">
      <w:pPr>
        <w:pStyle w:val="Paragraphedeliste"/>
        <w:numPr>
          <w:ilvl w:val="0"/>
          <w:numId w:val="129"/>
        </w:numPr>
        <w:spacing w:line="259" w:lineRule="auto"/>
        <w:ind w:left="540"/>
        <w:rPr>
          <w:rFonts w:cs="Arial"/>
          <w:szCs w:val="21"/>
        </w:rPr>
      </w:pPr>
      <w:r w:rsidRPr="00D579BE">
        <w:rPr>
          <w:rFonts w:cs="Arial"/>
          <w:szCs w:val="21"/>
        </w:rPr>
        <w:t>Le contracteur doit préparer un profil détaillé de l'effectif du projet, des activités de travail clés, du calendrier d'exécution de ces activités, des durées de contrat et des rotations différentes (par exemple, 4 semaines de travail, 4 semaines de congé). Cela devrait inclure une ventilation des travailleurs qui résident à la maison (c'est-à-dire des travailleurs de la communauté), des travailleurs qui logent dans la communauté locale et des travailleurs dans un logement sur place. Dans la mesure du possible, il devrait également identifier les travailleurs qui peuvent être plus à risque de COVID-19, ceux qui ont des problèmes de santé sous-jacents ou qui sont autrement à risque.</w:t>
      </w:r>
    </w:p>
    <w:p w14:paraId="6DA61361" w14:textId="77777777" w:rsidR="009021F1" w:rsidRPr="00D579BE" w:rsidRDefault="009021F1" w:rsidP="009021F1">
      <w:pPr>
        <w:pStyle w:val="Paragraphedeliste"/>
        <w:numPr>
          <w:ilvl w:val="0"/>
          <w:numId w:val="129"/>
        </w:numPr>
        <w:spacing w:line="259" w:lineRule="auto"/>
        <w:ind w:left="540"/>
        <w:rPr>
          <w:rFonts w:cs="Arial"/>
          <w:szCs w:val="21"/>
        </w:rPr>
      </w:pPr>
      <w:r w:rsidRPr="00D579BE">
        <w:rPr>
          <w:rFonts w:cs="Arial"/>
          <w:szCs w:val="21"/>
        </w:rPr>
        <w:t>Il faudrait envisager les moyens de minimiser les déplacements à l'intérieur et à l'extérieur du site. Cela pourrait inclure l'allongement de la durée des contrats existants, afin d'éviter que les travailleurs ne rentrent chez eux dans les zones touchées ou ne reviennent sur le site depuis les zones touchées.</w:t>
      </w:r>
    </w:p>
    <w:p w14:paraId="17425F0F" w14:textId="77777777" w:rsidR="009021F1" w:rsidRPr="00D579BE" w:rsidRDefault="009021F1" w:rsidP="009021F1">
      <w:pPr>
        <w:pStyle w:val="Paragraphedeliste"/>
        <w:numPr>
          <w:ilvl w:val="0"/>
          <w:numId w:val="129"/>
        </w:numPr>
        <w:spacing w:line="259" w:lineRule="auto"/>
        <w:ind w:left="540"/>
        <w:rPr>
          <w:rFonts w:cs="Arial"/>
          <w:szCs w:val="21"/>
        </w:rPr>
      </w:pPr>
      <w:r w:rsidRPr="00D579BE">
        <w:rPr>
          <w:rFonts w:cs="Arial"/>
          <w:szCs w:val="21"/>
        </w:rPr>
        <w:t>Les travailleurs hébergés sur le site devraient être tenus de minimiser les contacts avec les personnes à proximité du site, et dans certains cas, être interdits de quitter le site pour la durée de leur contrat, afin d'éviter tout contact avec les communautés locales.</w:t>
      </w:r>
    </w:p>
    <w:p w14:paraId="68458ECD" w14:textId="77777777" w:rsidR="009021F1" w:rsidRPr="00D579BE" w:rsidRDefault="009021F1" w:rsidP="009021F1">
      <w:pPr>
        <w:pStyle w:val="Paragraphedeliste"/>
        <w:numPr>
          <w:ilvl w:val="0"/>
          <w:numId w:val="129"/>
        </w:numPr>
        <w:spacing w:line="259" w:lineRule="auto"/>
        <w:ind w:left="540"/>
        <w:rPr>
          <w:rFonts w:cs="Arial"/>
          <w:szCs w:val="21"/>
        </w:rPr>
      </w:pPr>
      <w:r w:rsidRPr="00D579BE">
        <w:rPr>
          <w:rFonts w:cs="Arial"/>
          <w:szCs w:val="21"/>
        </w:rPr>
        <w:t>Il faudrait envisager d'obliger les travailleurs hébergés dans la communauté locale à déménager dans un lieu d'hébergement (sous réserve de disponibilité) où ils seraient soumis aux mêmes restrictions.</w:t>
      </w:r>
    </w:p>
    <w:p w14:paraId="4F842BD5" w14:textId="77777777" w:rsidR="009021F1" w:rsidRPr="00D579BE" w:rsidRDefault="009021F1" w:rsidP="009021F1">
      <w:pPr>
        <w:pStyle w:val="Paragraphedeliste"/>
        <w:numPr>
          <w:ilvl w:val="0"/>
          <w:numId w:val="129"/>
        </w:numPr>
        <w:spacing w:line="259" w:lineRule="auto"/>
        <w:ind w:left="540"/>
        <w:rPr>
          <w:rFonts w:cs="Arial"/>
          <w:szCs w:val="21"/>
        </w:rPr>
      </w:pPr>
      <w:r w:rsidRPr="00D579BE">
        <w:rPr>
          <w:rFonts w:cs="Arial"/>
          <w:szCs w:val="21"/>
        </w:rPr>
        <w:t>Les travailleurs des communautés locales, qui rentrent chez eux quotidiennement, hebdomadairement ou mensuellement, seront plus difficiles à gérer. Ils devraient être soumis à des contrôles de santé à l'entrée du site (comme indiqué ci-dessus) et à un moment donné, les circonstances peuvent nécessiter de les obliger à utiliser l'hébergement sur le site ou à ne pas venir travailler.</w:t>
      </w:r>
    </w:p>
    <w:p w14:paraId="1C9270A9" w14:textId="77777777" w:rsidR="009021F1" w:rsidRPr="00D579BE" w:rsidRDefault="009021F1" w:rsidP="009021F1">
      <w:pPr>
        <w:pStyle w:val="Paragraphedeliste"/>
        <w:rPr>
          <w:rFonts w:cs="Arial"/>
          <w:szCs w:val="21"/>
        </w:rPr>
      </w:pPr>
    </w:p>
    <w:p w14:paraId="38F8B48C" w14:textId="77777777" w:rsidR="009021F1" w:rsidRPr="00D579BE" w:rsidRDefault="009021F1" w:rsidP="009021F1">
      <w:pPr>
        <w:pStyle w:val="Paragraphedeliste"/>
        <w:numPr>
          <w:ilvl w:val="0"/>
          <w:numId w:val="128"/>
        </w:numPr>
        <w:spacing w:line="259" w:lineRule="auto"/>
        <w:ind w:left="360"/>
        <w:rPr>
          <w:rFonts w:cs="Arial"/>
          <w:szCs w:val="21"/>
        </w:rPr>
      </w:pPr>
      <w:r w:rsidRPr="00D579BE">
        <w:rPr>
          <w:rFonts w:cs="Arial"/>
          <w:b/>
          <w:bCs/>
          <w:i/>
          <w:iCs/>
          <w:szCs w:val="21"/>
        </w:rPr>
        <w:t>Entrée/Sortie sur le lieu de travail et contrôles de début des travaux</w:t>
      </w:r>
    </w:p>
    <w:p w14:paraId="38333EB2" w14:textId="77777777" w:rsidR="009021F1" w:rsidRPr="00D579BE" w:rsidRDefault="009021F1" w:rsidP="009021F1">
      <w:pPr>
        <w:rPr>
          <w:rFonts w:cs="Arial"/>
          <w:szCs w:val="21"/>
        </w:rPr>
      </w:pPr>
    </w:p>
    <w:p w14:paraId="20F8F25B" w14:textId="77777777" w:rsidR="009021F1" w:rsidRPr="00D579BE" w:rsidRDefault="009021F1" w:rsidP="009021F1">
      <w:pPr>
        <w:rPr>
          <w:rFonts w:cs="Arial"/>
          <w:szCs w:val="21"/>
        </w:rPr>
      </w:pPr>
      <w:r w:rsidRPr="00D579BE">
        <w:rPr>
          <w:rFonts w:cs="Arial"/>
          <w:szCs w:val="21"/>
        </w:rPr>
        <w:t>L'entrée / sortie sur le chantier doit être contrôlée et documentée pour les travailleurs et les autres parties, y compris le personnel de soutien et les fournisseurs. Les mesures possibles peuvent inclure :</w:t>
      </w:r>
    </w:p>
    <w:p w14:paraId="09764FAC" w14:textId="77777777" w:rsidR="009021F1" w:rsidRPr="00D579BE" w:rsidRDefault="009021F1" w:rsidP="009021F1">
      <w:pPr>
        <w:rPr>
          <w:rFonts w:cs="Arial"/>
          <w:szCs w:val="21"/>
        </w:rPr>
      </w:pPr>
    </w:p>
    <w:p w14:paraId="1ADB3F52" w14:textId="77777777" w:rsidR="009021F1" w:rsidRPr="00D579BE" w:rsidRDefault="009021F1" w:rsidP="009021F1">
      <w:pPr>
        <w:pStyle w:val="Paragraphedeliste"/>
        <w:numPr>
          <w:ilvl w:val="0"/>
          <w:numId w:val="129"/>
        </w:numPr>
        <w:spacing w:line="259" w:lineRule="auto"/>
        <w:ind w:left="540"/>
        <w:rPr>
          <w:rFonts w:cs="Arial"/>
          <w:szCs w:val="21"/>
        </w:rPr>
      </w:pPr>
      <w:r w:rsidRPr="00D579BE">
        <w:rPr>
          <w:rFonts w:cs="Arial"/>
          <w:szCs w:val="21"/>
        </w:rPr>
        <w:t>Mettre en place un système de contrôle des entrées / sorties sur le site, sécuriser les limites du site, et établir des points d'entrée / sortie (s'ils n'existent pas déjà). L'entrée / sortie sur le site doit être documentée.</w:t>
      </w:r>
    </w:p>
    <w:p w14:paraId="6818EB5A" w14:textId="77777777" w:rsidR="009021F1" w:rsidRPr="00D579BE" w:rsidRDefault="009021F1" w:rsidP="009021F1">
      <w:pPr>
        <w:pStyle w:val="Paragraphedeliste"/>
        <w:numPr>
          <w:ilvl w:val="0"/>
          <w:numId w:val="129"/>
        </w:numPr>
        <w:spacing w:line="259" w:lineRule="auto"/>
        <w:ind w:left="540"/>
        <w:rPr>
          <w:rFonts w:cs="Arial"/>
          <w:szCs w:val="21"/>
        </w:rPr>
      </w:pPr>
      <w:r w:rsidRPr="00D579BE">
        <w:rPr>
          <w:rFonts w:cs="Arial"/>
          <w:szCs w:val="21"/>
        </w:rPr>
        <w:t>Former le personnel de sécurité sur le système (amélioré) qui a été mis en place pour sécuriser le site et contrôler les entrées et les sorties, les comportements requis pour appliquer ce système et toutes les considérations spécifiques à COVID -19.</w:t>
      </w:r>
    </w:p>
    <w:p w14:paraId="1F09CF3D" w14:textId="77777777" w:rsidR="009021F1" w:rsidRPr="00D579BE" w:rsidRDefault="009021F1" w:rsidP="009021F1">
      <w:pPr>
        <w:pStyle w:val="Paragraphedeliste"/>
        <w:numPr>
          <w:ilvl w:val="0"/>
          <w:numId w:val="129"/>
        </w:numPr>
        <w:spacing w:line="259" w:lineRule="auto"/>
        <w:ind w:left="540"/>
        <w:rPr>
          <w:rFonts w:cs="Arial"/>
          <w:szCs w:val="21"/>
        </w:rPr>
      </w:pPr>
      <w:r w:rsidRPr="00D579BE">
        <w:rPr>
          <w:rFonts w:cs="Arial"/>
          <w:szCs w:val="21"/>
        </w:rPr>
        <w:t>Former le personnel qui surveillera l'entrée sur le site, en leur fournissant les ressources dont ils ont besoin pour documenter l'entrée des travailleurs, en effectuant des contrôles de température et en enregistrant les détails de tout travailleur qui se voit refuser l'entrée.</w:t>
      </w:r>
    </w:p>
    <w:p w14:paraId="56600E15" w14:textId="77777777" w:rsidR="009021F1" w:rsidRPr="00D579BE" w:rsidRDefault="009021F1" w:rsidP="009021F1">
      <w:pPr>
        <w:pStyle w:val="Paragraphedeliste"/>
        <w:numPr>
          <w:ilvl w:val="0"/>
          <w:numId w:val="129"/>
        </w:numPr>
        <w:spacing w:line="259" w:lineRule="auto"/>
        <w:ind w:left="540"/>
        <w:rPr>
          <w:rFonts w:cs="Arial"/>
          <w:szCs w:val="21"/>
        </w:rPr>
      </w:pPr>
      <w:r w:rsidRPr="00D579BE">
        <w:rPr>
          <w:rFonts w:cs="Arial"/>
          <w:szCs w:val="21"/>
        </w:rPr>
        <w:t>Confirmer que les travailleurs sont aptes au travail avant d'entrer sur le site ou de commencer à travailler. Bien que des procédures devraient déjà être en place pour cela, une attention particulière devrait être accordée aux travailleurs ayant des problèmes de santé sous-jacents ou qui pourraient autrement être à risque. Il faudrait envisager la démobilisation du personnel souffrant de problèmes de santé sous-jacents.</w:t>
      </w:r>
    </w:p>
    <w:p w14:paraId="3E091AF0" w14:textId="77777777" w:rsidR="009021F1" w:rsidRPr="00D579BE" w:rsidRDefault="009021F1" w:rsidP="009021F1">
      <w:pPr>
        <w:pStyle w:val="Paragraphedeliste"/>
        <w:numPr>
          <w:ilvl w:val="0"/>
          <w:numId w:val="129"/>
        </w:numPr>
        <w:spacing w:line="259" w:lineRule="auto"/>
        <w:ind w:left="540"/>
        <w:rPr>
          <w:rFonts w:cs="Arial"/>
          <w:szCs w:val="21"/>
        </w:rPr>
      </w:pPr>
      <w:r w:rsidRPr="00D579BE">
        <w:rPr>
          <w:rFonts w:cs="Arial"/>
          <w:szCs w:val="21"/>
        </w:rPr>
        <w:t>Vérifier et enregistrer les températures des travailleurs et des autres personnes entrant sur le site ou nécessitant une auto-déclaration avant ou sur le site.</w:t>
      </w:r>
    </w:p>
    <w:p w14:paraId="7E5B44D2" w14:textId="77777777" w:rsidR="009021F1" w:rsidRPr="00D579BE" w:rsidRDefault="009021F1" w:rsidP="009021F1">
      <w:pPr>
        <w:pStyle w:val="Paragraphedeliste"/>
        <w:numPr>
          <w:ilvl w:val="0"/>
          <w:numId w:val="129"/>
        </w:numPr>
        <w:spacing w:line="259" w:lineRule="auto"/>
        <w:ind w:left="540"/>
        <w:rPr>
          <w:rFonts w:cs="Arial"/>
          <w:szCs w:val="21"/>
        </w:rPr>
      </w:pPr>
      <w:r w:rsidRPr="00D579BE">
        <w:rPr>
          <w:rFonts w:cs="Arial"/>
          <w:szCs w:val="21"/>
        </w:rPr>
        <w:t>Fournir des séances d'information quotidiennes aux travailleurs avant de commencer le travail, en se concentrant sur les considérations spécifiques à COVID-19, y compris l'étiquette contre la toux, l'hygiène des mains et les mesures de distance, en utilisant des démonstrations et des méthodes participatives.</w:t>
      </w:r>
    </w:p>
    <w:p w14:paraId="0E6C321D" w14:textId="77777777" w:rsidR="009021F1" w:rsidRPr="00D579BE" w:rsidRDefault="009021F1" w:rsidP="009021F1">
      <w:pPr>
        <w:pStyle w:val="Paragraphedeliste"/>
        <w:numPr>
          <w:ilvl w:val="0"/>
          <w:numId w:val="129"/>
        </w:numPr>
        <w:spacing w:line="259" w:lineRule="auto"/>
        <w:ind w:left="540"/>
        <w:rPr>
          <w:rFonts w:cs="Arial"/>
          <w:szCs w:val="21"/>
        </w:rPr>
      </w:pPr>
      <w:r w:rsidRPr="00D579BE">
        <w:rPr>
          <w:rFonts w:cs="Arial"/>
          <w:szCs w:val="21"/>
        </w:rPr>
        <w:t>Au cours des séances d'information quotidiennes, rappelez aux travailleurs de surveiller eux-mêmes les symptômes possibles (fièvre, toux) et de signaler à leur superviseur ou au point focal COVID-19 s'ils présentent des symptômes ou se sentent mal.</w:t>
      </w:r>
    </w:p>
    <w:p w14:paraId="67CB45E5" w14:textId="77777777" w:rsidR="009021F1" w:rsidRPr="00D579BE" w:rsidRDefault="009021F1" w:rsidP="009021F1">
      <w:pPr>
        <w:pStyle w:val="Paragraphedeliste"/>
        <w:numPr>
          <w:ilvl w:val="0"/>
          <w:numId w:val="129"/>
        </w:numPr>
        <w:spacing w:line="259" w:lineRule="auto"/>
        <w:ind w:left="540"/>
        <w:rPr>
          <w:rFonts w:cs="Arial"/>
          <w:szCs w:val="21"/>
        </w:rPr>
      </w:pPr>
      <w:r w:rsidRPr="00D579BE">
        <w:rPr>
          <w:rFonts w:cs="Arial"/>
          <w:szCs w:val="21"/>
        </w:rPr>
        <w:t>Empêcher un travailleur d'une zone affectée ou qui a été en contact avec une personne infectée de retourner sur le site pendant 14 jours ou (si ce n'est pas possible) isoler ce travailleur pendant 14 jours.</w:t>
      </w:r>
    </w:p>
    <w:p w14:paraId="7C454757" w14:textId="77777777" w:rsidR="009021F1" w:rsidRPr="00D579BE" w:rsidRDefault="009021F1" w:rsidP="009021F1">
      <w:pPr>
        <w:pStyle w:val="Paragraphedeliste"/>
        <w:numPr>
          <w:ilvl w:val="0"/>
          <w:numId w:val="129"/>
        </w:numPr>
        <w:spacing w:line="259" w:lineRule="auto"/>
        <w:ind w:left="540"/>
        <w:rPr>
          <w:rFonts w:cs="Arial"/>
          <w:szCs w:val="21"/>
        </w:rPr>
      </w:pPr>
      <w:r w:rsidRPr="00D579BE">
        <w:rPr>
          <w:rFonts w:cs="Arial"/>
          <w:szCs w:val="21"/>
        </w:rPr>
        <w:t>Empêcher un travailleur malade de pénétrer sur le site, le référer aux services de santé locaux si nécessaire ou l'obliger à s'isoler chez lui pendant 14 jours.</w:t>
      </w:r>
    </w:p>
    <w:p w14:paraId="08CEDD0E" w14:textId="77777777" w:rsidR="009021F1" w:rsidRPr="00D579BE" w:rsidRDefault="009021F1" w:rsidP="009021F1">
      <w:pPr>
        <w:pStyle w:val="Paragraphedeliste"/>
        <w:ind w:left="540"/>
        <w:rPr>
          <w:rFonts w:cs="Arial"/>
          <w:szCs w:val="21"/>
        </w:rPr>
      </w:pPr>
    </w:p>
    <w:p w14:paraId="03030CB9" w14:textId="77777777" w:rsidR="009021F1" w:rsidRPr="00D579BE" w:rsidRDefault="009021F1" w:rsidP="009021F1">
      <w:pPr>
        <w:pStyle w:val="Paragraphedeliste"/>
        <w:numPr>
          <w:ilvl w:val="0"/>
          <w:numId w:val="128"/>
        </w:numPr>
        <w:spacing w:line="259" w:lineRule="auto"/>
        <w:ind w:left="360"/>
        <w:rPr>
          <w:rFonts w:cs="Arial"/>
          <w:szCs w:val="21"/>
        </w:rPr>
      </w:pPr>
      <w:r w:rsidRPr="00D579BE">
        <w:rPr>
          <w:rFonts w:cs="Arial"/>
          <w:b/>
          <w:bCs/>
          <w:i/>
          <w:iCs/>
          <w:szCs w:val="21"/>
        </w:rPr>
        <w:t>Hygiène générale</w:t>
      </w:r>
    </w:p>
    <w:p w14:paraId="270BD63F" w14:textId="77777777" w:rsidR="009021F1" w:rsidRPr="00D579BE" w:rsidRDefault="009021F1" w:rsidP="009021F1">
      <w:pPr>
        <w:rPr>
          <w:rFonts w:cs="Arial"/>
          <w:szCs w:val="21"/>
        </w:rPr>
      </w:pPr>
    </w:p>
    <w:p w14:paraId="0C26FBD8" w14:textId="77777777" w:rsidR="009021F1" w:rsidRPr="00D579BE" w:rsidRDefault="009021F1" w:rsidP="009021F1">
      <w:pPr>
        <w:rPr>
          <w:rFonts w:cs="Arial"/>
          <w:szCs w:val="21"/>
        </w:rPr>
      </w:pPr>
      <w:r w:rsidRPr="00D579BE">
        <w:rPr>
          <w:rFonts w:cs="Arial"/>
          <w:szCs w:val="21"/>
        </w:rPr>
        <w:t>Les exigences en matière d'hygiène générale devraient être communiquées et contrôlées, y compris:</w:t>
      </w:r>
    </w:p>
    <w:p w14:paraId="4E98467D" w14:textId="77777777" w:rsidR="009021F1" w:rsidRPr="00D579BE" w:rsidRDefault="009021F1" w:rsidP="009021F1">
      <w:pPr>
        <w:rPr>
          <w:rFonts w:cs="Arial"/>
          <w:szCs w:val="21"/>
        </w:rPr>
      </w:pPr>
    </w:p>
    <w:p w14:paraId="42D50C04" w14:textId="77777777" w:rsidR="009021F1" w:rsidRPr="00D579BE" w:rsidRDefault="009021F1" w:rsidP="009021F1">
      <w:pPr>
        <w:pStyle w:val="Paragraphedeliste"/>
        <w:numPr>
          <w:ilvl w:val="0"/>
          <w:numId w:val="129"/>
        </w:numPr>
        <w:spacing w:line="259" w:lineRule="auto"/>
        <w:ind w:left="540"/>
        <w:rPr>
          <w:rFonts w:cs="Arial"/>
          <w:szCs w:val="21"/>
        </w:rPr>
      </w:pPr>
      <w:r w:rsidRPr="00D579BE">
        <w:rPr>
          <w:rFonts w:cs="Arial"/>
          <w:szCs w:val="21"/>
        </w:rPr>
        <w:t xml:space="preserve">Former les travailleurs et le personnel sur place sur les signes et symptômes de COVID-19, comment il se propage, comment se protéger (y compris le lavage des mains régulier et la distanciation sociale) et que faire si eux ou d'autres personnes présentent des symptômes (pour plus d'informations, voir OMS COVID-19 conseils au public ; </w:t>
      </w:r>
      <w:hyperlink r:id="rId160" w:history="1">
        <w:r w:rsidRPr="00D579BE">
          <w:rPr>
            <w:rStyle w:val="Lienhypertexte"/>
            <w:rFonts w:cs="Arial"/>
            <w:szCs w:val="21"/>
          </w:rPr>
          <w:t>https://www.who.int/emergencies/diseases/novel-coronavirus-2019/advice-for-public</w:t>
        </w:r>
      </w:hyperlink>
      <w:r w:rsidRPr="00D579BE">
        <w:rPr>
          <w:rFonts w:cs="Arial"/>
          <w:szCs w:val="21"/>
        </w:rPr>
        <w:t>).</w:t>
      </w:r>
    </w:p>
    <w:p w14:paraId="023AD0CB" w14:textId="77777777" w:rsidR="009021F1" w:rsidRPr="00D579BE" w:rsidRDefault="009021F1" w:rsidP="009021F1">
      <w:pPr>
        <w:pStyle w:val="Paragraphedeliste"/>
        <w:numPr>
          <w:ilvl w:val="0"/>
          <w:numId w:val="129"/>
        </w:numPr>
        <w:spacing w:line="259" w:lineRule="auto"/>
        <w:ind w:left="540"/>
        <w:rPr>
          <w:rFonts w:cs="Arial"/>
          <w:szCs w:val="21"/>
        </w:rPr>
      </w:pPr>
      <w:r w:rsidRPr="00D579BE">
        <w:rPr>
          <w:rFonts w:cs="Arial"/>
          <w:szCs w:val="21"/>
        </w:rPr>
        <w:t>Placer des affiches et des panneaux autour du site, avec des images et du texte dans les langues locales.</w:t>
      </w:r>
    </w:p>
    <w:p w14:paraId="2568BF55" w14:textId="77777777" w:rsidR="009021F1" w:rsidRPr="00D579BE" w:rsidRDefault="009021F1" w:rsidP="009021F1">
      <w:pPr>
        <w:pStyle w:val="Paragraphedeliste"/>
        <w:numPr>
          <w:ilvl w:val="0"/>
          <w:numId w:val="129"/>
        </w:numPr>
        <w:spacing w:line="259" w:lineRule="auto"/>
        <w:ind w:left="540"/>
        <w:rPr>
          <w:rFonts w:cs="Arial"/>
          <w:szCs w:val="21"/>
        </w:rPr>
      </w:pPr>
      <w:r w:rsidRPr="00D579BE">
        <w:rPr>
          <w:rFonts w:cs="Arial"/>
          <w:szCs w:val="21"/>
        </w:rPr>
        <w:t>Veiller à ce que des installations de lavage des mains alimentées en savon, en serviettes en papier jetables et en poubelles fermées existent à des endroits clés du site, y compris aux entrées / sorties des zones de travail ; où il y a des toilettes, une cantine ou une distribution de nourriture, ou l'approvisionnement en eau potable ; dans le logement des travailleurs ; dans les stations-service ; dans les magasins ; et dans les espaces communs. Lorsque les installations de lavage des mains n'existent pas ou ne sont pas adéquates, des dispositions devraient être prises pour les mettre en place. Un désinfectant à base d'alcool (si disponible, 60-95% d'alcool) peut également être utilisé.</w:t>
      </w:r>
    </w:p>
    <w:p w14:paraId="3E80F394" w14:textId="77777777" w:rsidR="009021F1" w:rsidRPr="00D579BE" w:rsidRDefault="009021F1" w:rsidP="009021F1">
      <w:pPr>
        <w:pStyle w:val="Paragraphedeliste"/>
        <w:numPr>
          <w:ilvl w:val="0"/>
          <w:numId w:val="129"/>
        </w:numPr>
        <w:spacing w:line="259" w:lineRule="auto"/>
        <w:ind w:left="540"/>
        <w:rPr>
          <w:rFonts w:cs="Arial"/>
          <w:szCs w:val="21"/>
        </w:rPr>
      </w:pPr>
      <w:r w:rsidRPr="00D579BE">
        <w:rPr>
          <w:rFonts w:cs="Arial"/>
          <w:szCs w:val="21"/>
        </w:rPr>
        <w:t>Mettre de côté une partie du logement des travailleurs pour l'auto-quarantaine de précaution ainsi que l'isolement plus formel du personnel susceptible d'être infecté.</w:t>
      </w:r>
    </w:p>
    <w:p w14:paraId="740D3B1F" w14:textId="77777777" w:rsidR="009021F1" w:rsidRPr="00D579BE" w:rsidRDefault="009021F1" w:rsidP="009021F1">
      <w:pPr>
        <w:rPr>
          <w:rFonts w:cs="Arial"/>
          <w:szCs w:val="21"/>
          <w:lang w:bidi="fr-FR"/>
        </w:rPr>
      </w:pPr>
    </w:p>
    <w:p w14:paraId="3AA2039B" w14:textId="77777777" w:rsidR="009021F1" w:rsidRPr="00D579BE" w:rsidRDefault="009021F1" w:rsidP="009021F1">
      <w:pPr>
        <w:pStyle w:val="Paragraphedeliste"/>
        <w:numPr>
          <w:ilvl w:val="0"/>
          <w:numId w:val="128"/>
        </w:numPr>
        <w:spacing w:line="259" w:lineRule="auto"/>
        <w:ind w:left="360"/>
        <w:rPr>
          <w:rFonts w:cs="Arial"/>
          <w:b/>
          <w:bCs/>
          <w:szCs w:val="21"/>
        </w:rPr>
      </w:pPr>
      <w:r w:rsidRPr="00D579BE">
        <w:rPr>
          <w:rFonts w:cs="Arial"/>
          <w:b/>
          <w:bCs/>
          <w:i/>
          <w:iCs/>
          <w:szCs w:val="21"/>
        </w:rPr>
        <w:t>Nettoyage et élimination des déchets</w:t>
      </w:r>
    </w:p>
    <w:p w14:paraId="74712826" w14:textId="77777777" w:rsidR="009021F1" w:rsidRPr="00D579BE" w:rsidRDefault="009021F1" w:rsidP="009021F1">
      <w:pPr>
        <w:rPr>
          <w:rFonts w:cs="Arial"/>
          <w:szCs w:val="21"/>
        </w:rPr>
      </w:pPr>
    </w:p>
    <w:p w14:paraId="341E27A7" w14:textId="77777777" w:rsidR="009021F1" w:rsidRPr="00D579BE" w:rsidRDefault="009021F1" w:rsidP="009021F1">
      <w:pPr>
        <w:rPr>
          <w:rFonts w:cs="Arial"/>
          <w:szCs w:val="21"/>
        </w:rPr>
      </w:pPr>
      <w:r w:rsidRPr="00D579BE">
        <w:rPr>
          <w:rFonts w:cs="Arial"/>
          <w:szCs w:val="21"/>
        </w:rPr>
        <w:t>Effectuer un nettoyage régulier et complet de toutes les installations du site, y compris les bureaux, les logements, les cantines et les espaces communs. Revoir les protocoles de nettoyage des principaux équipements de construction (en particulier s'ils sont utilisés par différents travailleurs). Cela devrait comprendre :</w:t>
      </w:r>
    </w:p>
    <w:p w14:paraId="03E3F03D" w14:textId="77777777" w:rsidR="009021F1" w:rsidRPr="00D579BE" w:rsidRDefault="009021F1" w:rsidP="009021F1">
      <w:pPr>
        <w:rPr>
          <w:rFonts w:cs="Arial"/>
          <w:szCs w:val="21"/>
        </w:rPr>
      </w:pPr>
    </w:p>
    <w:p w14:paraId="5A83FAF9" w14:textId="77777777" w:rsidR="009021F1" w:rsidRPr="00D579BE" w:rsidRDefault="009021F1" w:rsidP="009021F1">
      <w:pPr>
        <w:pStyle w:val="Paragraphedeliste"/>
        <w:numPr>
          <w:ilvl w:val="0"/>
          <w:numId w:val="129"/>
        </w:numPr>
        <w:spacing w:line="259" w:lineRule="auto"/>
        <w:ind w:left="540"/>
        <w:rPr>
          <w:rFonts w:cs="Arial"/>
          <w:szCs w:val="21"/>
        </w:rPr>
      </w:pPr>
      <w:r w:rsidRPr="00D579BE">
        <w:rPr>
          <w:rFonts w:cs="Arial"/>
          <w:szCs w:val="21"/>
        </w:rPr>
        <w:t>Fournir au personnel de nettoyage un équipement de nettoyage, des matériaux et un désinfectant adéquat.</w:t>
      </w:r>
    </w:p>
    <w:p w14:paraId="143FFFBF" w14:textId="77777777" w:rsidR="009021F1" w:rsidRPr="00D579BE" w:rsidRDefault="009021F1" w:rsidP="009021F1">
      <w:pPr>
        <w:pStyle w:val="Paragraphedeliste"/>
        <w:numPr>
          <w:ilvl w:val="0"/>
          <w:numId w:val="129"/>
        </w:numPr>
        <w:spacing w:line="259" w:lineRule="auto"/>
        <w:ind w:left="540"/>
        <w:rPr>
          <w:rFonts w:cs="Arial"/>
          <w:szCs w:val="21"/>
        </w:rPr>
      </w:pPr>
      <w:r w:rsidRPr="00D579BE">
        <w:rPr>
          <w:rFonts w:cs="Arial"/>
          <w:szCs w:val="21"/>
        </w:rPr>
        <w:t>Examiner les systèmes de nettoyage généraux, former le personnel de nettoyage aux procédures de nettoyage appropriées et à la fréquence appropriée dans les zones à forte utilisation ou à haut risque.</w:t>
      </w:r>
    </w:p>
    <w:p w14:paraId="7642FB54" w14:textId="77777777" w:rsidR="009021F1" w:rsidRPr="00D579BE" w:rsidRDefault="009021F1" w:rsidP="009021F1">
      <w:pPr>
        <w:pStyle w:val="Paragraphedeliste"/>
        <w:numPr>
          <w:ilvl w:val="0"/>
          <w:numId w:val="129"/>
        </w:numPr>
        <w:spacing w:line="259" w:lineRule="auto"/>
        <w:ind w:left="540"/>
        <w:rPr>
          <w:rFonts w:cs="Arial"/>
          <w:szCs w:val="21"/>
        </w:rPr>
      </w:pPr>
      <w:r w:rsidRPr="00D579BE">
        <w:rPr>
          <w:rFonts w:cs="Arial"/>
          <w:szCs w:val="21"/>
        </w:rPr>
        <w:t>Lorsqu'il est prévu que des nettoyeurs devront nettoyer les zones qui ont été ou sont soupçonnées d'avoir été contaminées par COVID-19, en leur fournissant des EPI appropriés: blouses ou tabliers, gants, protection oculaire (masques, lunettes ou écrans faciaux) et des bottes ou des chaussures de travail fermées. Si l'EPI approprié n'est pas disponible, les nettoyants doivent être fournis avec les meilleures alternatives disponibles.</w:t>
      </w:r>
    </w:p>
    <w:p w14:paraId="02B0C785" w14:textId="77777777" w:rsidR="009021F1" w:rsidRPr="00D579BE" w:rsidRDefault="009021F1" w:rsidP="009021F1">
      <w:pPr>
        <w:pStyle w:val="Paragraphedeliste"/>
        <w:numPr>
          <w:ilvl w:val="0"/>
          <w:numId w:val="129"/>
        </w:numPr>
        <w:spacing w:line="259" w:lineRule="auto"/>
        <w:ind w:left="540"/>
        <w:rPr>
          <w:rFonts w:cs="Arial"/>
          <w:szCs w:val="21"/>
        </w:rPr>
      </w:pPr>
      <w:r w:rsidRPr="00D579BE">
        <w:rPr>
          <w:rFonts w:cs="Arial"/>
          <w:szCs w:val="21"/>
        </w:rPr>
        <w:t>Former les nettoyeurs à l'hygiène appropriée (y compris le lavage des mains) avant, pendant et après la conduite des activités de nettoyage; comment utiliser l'EPI en toute sécurité (le cas échéant); dans le contrôle des déchets (y compris pour les EPI et les produits de nettoyage usagés).</w:t>
      </w:r>
    </w:p>
    <w:p w14:paraId="52E2F27C" w14:textId="77777777" w:rsidR="009021F1" w:rsidRPr="00D579BE" w:rsidRDefault="009021F1" w:rsidP="009021F1">
      <w:pPr>
        <w:pStyle w:val="Paragraphedeliste"/>
        <w:numPr>
          <w:ilvl w:val="0"/>
          <w:numId w:val="129"/>
        </w:numPr>
        <w:spacing w:line="259" w:lineRule="auto"/>
        <w:ind w:left="540"/>
        <w:rPr>
          <w:rFonts w:cs="Arial"/>
          <w:szCs w:val="21"/>
        </w:rPr>
      </w:pPr>
      <w:r w:rsidRPr="00D579BE">
        <w:rPr>
          <w:rFonts w:cs="Arial"/>
          <w:szCs w:val="21"/>
        </w:rPr>
        <w:t xml:space="preserve">Tous les déchets médicaux produits pendant la prise en charge des travailleurs malades doivent être collectés en toute sécurité dans des conteneurs ou des sacs désignés et traités et éliminés conformément aux exigences pertinentes (par exemple, nationales, OMS). Si le brûlage à l'air libre et l'incinération de déchets médicaux sont nécessaires, cette durée devrait être aussi limitée que possible. Les déchets doivent être réduits et triés de manière à ce que seule la plus petite quantité de déchets soit incinérée (pour plus d'informations, voir les directives provisoires de l'OMS sur l'eau, l'assainissement et la gestion des déchets pour COVID-19 ; </w:t>
      </w:r>
      <w:hyperlink r:id="rId161" w:history="1">
        <w:r w:rsidRPr="00D579BE">
          <w:rPr>
            <w:rStyle w:val="Lienhypertexte"/>
            <w:rFonts w:cs="Arial"/>
            <w:szCs w:val="21"/>
          </w:rPr>
          <w:t>https://www.who.int/publications-detail/water-sanitation-hygiene-and-waste-management-for-covid-19</w:t>
        </w:r>
      </w:hyperlink>
      <w:r w:rsidRPr="00D579BE">
        <w:rPr>
          <w:rFonts w:cs="Arial"/>
          <w:szCs w:val="21"/>
        </w:rPr>
        <w:t>).</w:t>
      </w:r>
    </w:p>
    <w:p w14:paraId="677D6F97" w14:textId="77777777" w:rsidR="009021F1" w:rsidRPr="00D579BE" w:rsidRDefault="009021F1" w:rsidP="009021F1">
      <w:pPr>
        <w:pStyle w:val="Paragraphedeliste"/>
        <w:ind w:left="540"/>
        <w:rPr>
          <w:rFonts w:cs="Arial"/>
          <w:szCs w:val="21"/>
        </w:rPr>
      </w:pPr>
    </w:p>
    <w:p w14:paraId="522EDDF4" w14:textId="77777777" w:rsidR="009021F1" w:rsidRPr="00D579BE" w:rsidRDefault="009021F1" w:rsidP="009021F1">
      <w:pPr>
        <w:pStyle w:val="Paragraphedeliste"/>
        <w:numPr>
          <w:ilvl w:val="0"/>
          <w:numId w:val="128"/>
        </w:numPr>
        <w:spacing w:line="259" w:lineRule="auto"/>
        <w:ind w:left="360"/>
        <w:rPr>
          <w:rFonts w:cs="Arial"/>
          <w:b/>
          <w:bCs/>
          <w:szCs w:val="21"/>
        </w:rPr>
      </w:pPr>
      <w:r w:rsidRPr="00D579BE">
        <w:rPr>
          <w:rFonts w:cs="Arial"/>
          <w:b/>
          <w:bCs/>
          <w:i/>
          <w:iCs/>
          <w:szCs w:val="21"/>
        </w:rPr>
        <w:t>Réglage des pratiques de travail</w:t>
      </w:r>
    </w:p>
    <w:p w14:paraId="6B05BB45" w14:textId="77777777" w:rsidR="009021F1" w:rsidRPr="00D579BE" w:rsidRDefault="009021F1" w:rsidP="009021F1">
      <w:pPr>
        <w:rPr>
          <w:rFonts w:cs="Arial"/>
          <w:szCs w:val="21"/>
        </w:rPr>
      </w:pPr>
    </w:p>
    <w:p w14:paraId="55EE39E8" w14:textId="77777777" w:rsidR="009021F1" w:rsidRPr="00D579BE" w:rsidRDefault="009021F1" w:rsidP="009021F1">
      <w:pPr>
        <w:rPr>
          <w:rFonts w:cs="Arial"/>
          <w:szCs w:val="21"/>
        </w:rPr>
      </w:pPr>
      <w:r w:rsidRPr="00D579BE">
        <w:rPr>
          <w:rFonts w:cs="Arial"/>
          <w:szCs w:val="21"/>
        </w:rPr>
        <w:t>Envisagez de modifier les processus de travail et les horaires pour réduire ou minimiser les contacts entre les travailleurs, en reconnaissant que cela est susceptible d'avoir un impact sur le calendrier du projet. Ces mesures pourraient comprendre :</w:t>
      </w:r>
    </w:p>
    <w:p w14:paraId="2F304C3A" w14:textId="77777777" w:rsidR="009021F1" w:rsidRPr="00D579BE" w:rsidRDefault="009021F1" w:rsidP="009021F1">
      <w:pPr>
        <w:rPr>
          <w:rFonts w:cs="Arial"/>
          <w:szCs w:val="21"/>
        </w:rPr>
      </w:pPr>
    </w:p>
    <w:p w14:paraId="6AE929D4" w14:textId="77777777" w:rsidR="009021F1" w:rsidRPr="00D579BE" w:rsidRDefault="009021F1" w:rsidP="009021F1">
      <w:pPr>
        <w:pStyle w:val="Paragraphedeliste"/>
        <w:numPr>
          <w:ilvl w:val="0"/>
          <w:numId w:val="129"/>
        </w:numPr>
        <w:spacing w:line="259" w:lineRule="auto"/>
        <w:ind w:left="540"/>
        <w:rPr>
          <w:rFonts w:cs="Arial"/>
          <w:szCs w:val="21"/>
        </w:rPr>
      </w:pPr>
      <w:r w:rsidRPr="00D579BE">
        <w:rPr>
          <w:rFonts w:cs="Arial"/>
          <w:szCs w:val="21"/>
        </w:rPr>
        <w:t>Diminuer la taille des équipes de travail.</w:t>
      </w:r>
    </w:p>
    <w:p w14:paraId="0DF6A547" w14:textId="77777777" w:rsidR="009021F1" w:rsidRPr="00D579BE" w:rsidRDefault="009021F1" w:rsidP="009021F1">
      <w:pPr>
        <w:pStyle w:val="Paragraphedeliste"/>
        <w:numPr>
          <w:ilvl w:val="0"/>
          <w:numId w:val="129"/>
        </w:numPr>
        <w:spacing w:line="259" w:lineRule="auto"/>
        <w:ind w:left="540"/>
        <w:rPr>
          <w:rFonts w:cs="Arial"/>
          <w:szCs w:val="21"/>
        </w:rPr>
      </w:pPr>
      <w:r w:rsidRPr="00D579BE">
        <w:rPr>
          <w:rFonts w:cs="Arial"/>
          <w:szCs w:val="21"/>
        </w:rPr>
        <w:t>Limiter le nombre de travailleurs sur le site à tout moment.</w:t>
      </w:r>
    </w:p>
    <w:p w14:paraId="4A2F40A0" w14:textId="77777777" w:rsidR="009021F1" w:rsidRPr="00D579BE" w:rsidRDefault="009021F1" w:rsidP="009021F1">
      <w:pPr>
        <w:pStyle w:val="Paragraphedeliste"/>
        <w:numPr>
          <w:ilvl w:val="0"/>
          <w:numId w:val="129"/>
        </w:numPr>
        <w:spacing w:line="259" w:lineRule="auto"/>
        <w:ind w:left="540"/>
        <w:rPr>
          <w:rFonts w:cs="Arial"/>
          <w:szCs w:val="21"/>
        </w:rPr>
      </w:pPr>
      <w:r w:rsidRPr="00D579BE">
        <w:rPr>
          <w:rFonts w:cs="Arial"/>
          <w:szCs w:val="21"/>
        </w:rPr>
        <w:t>Passer à une rotation de travail de 24 heures.</w:t>
      </w:r>
    </w:p>
    <w:p w14:paraId="11CF1DEF" w14:textId="77777777" w:rsidR="009021F1" w:rsidRPr="00D579BE" w:rsidRDefault="009021F1" w:rsidP="009021F1">
      <w:pPr>
        <w:pStyle w:val="Paragraphedeliste"/>
        <w:numPr>
          <w:ilvl w:val="0"/>
          <w:numId w:val="129"/>
        </w:numPr>
        <w:spacing w:line="259" w:lineRule="auto"/>
        <w:ind w:left="540"/>
        <w:rPr>
          <w:rFonts w:cs="Arial"/>
          <w:szCs w:val="21"/>
        </w:rPr>
      </w:pPr>
      <w:r w:rsidRPr="00D579BE">
        <w:rPr>
          <w:rFonts w:cs="Arial"/>
          <w:szCs w:val="21"/>
        </w:rPr>
        <w:t>L'adaptation ou la refonte des processus de travail pour des activités et des tâches de travail spécifiques afin de permettre la distanciation sociale et la formation des travailleurs à ces processus.</w:t>
      </w:r>
    </w:p>
    <w:p w14:paraId="51BC0B34" w14:textId="77777777" w:rsidR="009021F1" w:rsidRPr="00D579BE" w:rsidRDefault="009021F1" w:rsidP="009021F1">
      <w:pPr>
        <w:pStyle w:val="Paragraphedeliste"/>
        <w:numPr>
          <w:ilvl w:val="0"/>
          <w:numId w:val="129"/>
        </w:numPr>
        <w:spacing w:line="259" w:lineRule="auto"/>
        <w:ind w:left="540"/>
        <w:rPr>
          <w:rFonts w:cs="Arial"/>
          <w:szCs w:val="21"/>
        </w:rPr>
      </w:pPr>
      <w:r w:rsidRPr="00D579BE">
        <w:rPr>
          <w:rFonts w:cs="Arial"/>
          <w:szCs w:val="21"/>
        </w:rPr>
        <w:t>Poursuivre les formations de sécurité habituelles, en ajoutant des considérations spécifiques au COVID-19. La formation doit inclure l'utilisation appropriée de l'EPI normal. Bien qu'à ce jour l'avis général soit que les travailleurs de la construction n'ont pas besoin d'EPI spécifique au COVID-19, cela doit être maintenu à l'étude (pour plus d'informations, voir les directives provisoires de l'OMS sur l'utilisation rationnelle des équipements de protection individuelle (EPI) pour le COVID -19).</w:t>
      </w:r>
    </w:p>
    <w:p w14:paraId="36069844" w14:textId="77777777" w:rsidR="009021F1" w:rsidRPr="00D579BE" w:rsidRDefault="009021F1" w:rsidP="009021F1">
      <w:pPr>
        <w:pStyle w:val="Paragraphedeliste"/>
        <w:numPr>
          <w:ilvl w:val="0"/>
          <w:numId w:val="129"/>
        </w:numPr>
        <w:spacing w:line="259" w:lineRule="auto"/>
        <w:ind w:left="540"/>
        <w:rPr>
          <w:rFonts w:cs="Arial"/>
          <w:szCs w:val="21"/>
        </w:rPr>
      </w:pPr>
      <w:r w:rsidRPr="00D579BE">
        <w:rPr>
          <w:rFonts w:cs="Arial"/>
          <w:szCs w:val="21"/>
        </w:rPr>
        <w:t>Revoir les méthodes de travail pour réduire l'utilisation des EPI de construction, au cas où les fournitures deviendraient rares ou si les EPI sont nécessaires pour les travailleurs médicaux ou les nettoyeurs. Cela pourrait inclure, par exemple essayer de réduire le besoin de masques anti-poussière en vérifiant que les systèmes d'arrosage sont en bon état de fonctionnement et sont maintenus ou en réduisant la limite de vitesse pour les camions de transport.</w:t>
      </w:r>
    </w:p>
    <w:p w14:paraId="360C4265" w14:textId="77777777" w:rsidR="009021F1" w:rsidRPr="00D579BE" w:rsidRDefault="009021F1" w:rsidP="009021F1">
      <w:pPr>
        <w:pStyle w:val="Paragraphedeliste"/>
        <w:numPr>
          <w:ilvl w:val="0"/>
          <w:numId w:val="129"/>
        </w:numPr>
        <w:spacing w:line="259" w:lineRule="auto"/>
        <w:ind w:left="540"/>
        <w:rPr>
          <w:rFonts w:cs="Arial"/>
          <w:szCs w:val="21"/>
        </w:rPr>
      </w:pPr>
      <w:r w:rsidRPr="00D579BE">
        <w:rPr>
          <w:rFonts w:cs="Arial"/>
          <w:szCs w:val="21"/>
        </w:rPr>
        <w:t>Organiser (si possible) des pauses de travail à prendre dans les zones extérieures du site.</w:t>
      </w:r>
    </w:p>
    <w:p w14:paraId="0F5BE06E" w14:textId="77777777" w:rsidR="009021F1" w:rsidRPr="00D579BE" w:rsidRDefault="009021F1" w:rsidP="009021F1">
      <w:pPr>
        <w:pStyle w:val="Paragraphedeliste"/>
        <w:numPr>
          <w:ilvl w:val="0"/>
          <w:numId w:val="129"/>
        </w:numPr>
        <w:spacing w:line="259" w:lineRule="auto"/>
        <w:ind w:left="540"/>
        <w:rPr>
          <w:rFonts w:cs="Arial"/>
          <w:szCs w:val="21"/>
        </w:rPr>
      </w:pPr>
      <w:r w:rsidRPr="00D579BE">
        <w:rPr>
          <w:rFonts w:cs="Arial"/>
          <w:szCs w:val="21"/>
        </w:rPr>
        <w:t>Envisager de modifier l'aménagement de la cantine et de réduire progressivement les heures de repas pour permettre une distanciation sociale et un accès progressif et / ou restreindre temporairement l'accès aux installations de loisirs qui peuvent exister sur le site, y compris les gymnases.</w:t>
      </w:r>
    </w:p>
    <w:p w14:paraId="52BD973A" w14:textId="77777777" w:rsidR="009021F1" w:rsidRPr="00D579BE" w:rsidRDefault="009021F1" w:rsidP="009021F1">
      <w:pPr>
        <w:pStyle w:val="Paragraphedeliste"/>
        <w:numPr>
          <w:ilvl w:val="0"/>
          <w:numId w:val="129"/>
        </w:numPr>
        <w:spacing w:line="259" w:lineRule="auto"/>
        <w:ind w:left="540"/>
        <w:rPr>
          <w:rFonts w:cs="Arial"/>
          <w:szCs w:val="21"/>
        </w:rPr>
      </w:pPr>
      <w:r w:rsidRPr="00D579BE">
        <w:rPr>
          <w:rFonts w:cs="Arial"/>
          <w:szCs w:val="21"/>
        </w:rPr>
        <w:t>À un moment donné, il peut être nécessaire de revoir le calendrier global du projet, afin d'évaluer dans quelle mesure il doit être ajusté (ou le travail complètement arrêté) pour refléter des pratiques de travail prudentes, l'exposition potentielle des travailleurs et de la communauté et la disponibilité des fournitures. , en tenant compte des conseils et instructions du gouvernement.</w:t>
      </w:r>
    </w:p>
    <w:p w14:paraId="4E5F7FE9" w14:textId="77777777" w:rsidR="009021F1" w:rsidRPr="00D579BE" w:rsidRDefault="009021F1" w:rsidP="009021F1">
      <w:pPr>
        <w:pStyle w:val="Paragraphedeliste"/>
        <w:ind w:left="540"/>
        <w:rPr>
          <w:rFonts w:cs="Arial"/>
          <w:szCs w:val="21"/>
        </w:rPr>
      </w:pPr>
    </w:p>
    <w:p w14:paraId="40BAE071" w14:textId="77777777" w:rsidR="009021F1" w:rsidRPr="00D579BE" w:rsidRDefault="009021F1" w:rsidP="009021F1">
      <w:pPr>
        <w:pStyle w:val="Paragraphedeliste"/>
        <w:numPr>
          <w:ilvl w:val="0"/>
          <w:numId w:val="128"/>
        </w:numPr>
        <w:spacing w:line="259" w:lineRule="auto"/>
        <w:ind w:left="360"/>
        <w:rPr>
          <w:rFonts w:cs="Arial"/>
          <w:b/>
          <w:bCs/>
          <w:szCs w:val="21"/>
        </w:rPr>
      </w:pPr>
      <w:r w:rsidRPr="00D579BE">
        <w:rPr>
          <w:rFonts w:cs="Arial"/>
          <w:b/>
          <w:bCs/>
          <w:i/>
          <w:iCs/>
          <w:szCs w:val="21"/>
        </w:rPr>
        <w:t>Services médicaux et autres locaux</w:t>
      </w:r>
    </w:p>
    <w:p w14:paraId="5C411DE0" w14:textId="77777777" w:rsidR="009021F1" w:rsidRPr="00D579BE" w:rsidRDefault="009021F1" w:rsidP="009021F1">
      <w:pPr>
        <w:rPr>
          <w:rFonts w:cs="Arial"/>
          <w:szCs w:val="21"/>
        </w:rPr>
      </w:pPr>
    </w:p>
    <w:p w14:paraId="4923F783" w14:textId="77777777" w:rsidR="009021F1" w:rsidRPr="00D579BE" w:rsidRDefault="009021F1" w:rsidP="009021F1">
      <w:pPr>
        <w:rPr>
          <w:rFonts w:cs="Arial"/>
          <w:szCs w:val="21"/>
        </w:rPr>
      </w:pPr>
      <w:r w:rsidRPr="00D579BE">
        <w:rPr>
          <w:rFonts w:cs="Arial"/>
          <w:szCs w:val="21"/>
        </w:rPr>
        <w:t>Compte tenu de la portée limitée des services médicaux du projet, le projet devra peut-être référer les travailleurs malades aux services médicaux locaux. La préparation pour cela comprend :</w:t>
      </w:r>
    </w:p>
    <w:p w14:paraId="03DB2DF7" w14:textId="77777777" w:rsidR="009021F1" w:rsidRPr="00D579BE" w:rsidRDefault="009021F1" w:rsidP="009021F1">
      <w:pPr>
        <w:rPr>
          <w:rFonts w:cs="Arial"/>
          <w:szCs w:val="21"/>
        </w:rPr>
      </w:pPr>
    </w:p>
    <w:p w14:paraId="0A7F1A40" w14:textId="77777777" w:rsidR="009021F1" w:rsidRPr="00D579BE" w:rsidRDefault="009021F1" w:rsidP="009021F1">
      <w:pPr>
        <w:pStyle w:val="Paragraphedeliste"/>
        <w:numPr>
          <w:ilvl w:val="0"/>
          <w:numId w:val="129"/>
        </w:numPr>
        <w:spacing w:line="259" w:lineRule="auto"/>
        <w:ind w:left="540"/>
        <w:rPr>
          <w:rFonts w:cs="Arial"/>
          <w:szCs w:val="21"/>
        </w:rPr>
      </w:pPr>
      <w:r w:rsidRPr="00D579BE">
        <w:rPr>
          <w:rFonts w:cs="Arial"/>
          <w:szCs w:val="21"/>
        </w:rPr>
        <w:t>Obtenir des informations sur les ressources et la capacité des services médicaux locaux (par exemple nombre de lits, disponibilité de personnel qualifié et fournitures essentielles).</w:t>
      </w:r>
    </w:p>
    <w:p w14:paraId="491EC199" w14:textId="77777777" w:rsidR="009021F1" w:rsidRPr="00D579BE" w:rsidRDefault="009021F1" w:rsidP="009021F1">
      <w:pPr>
        <w:pStyle w:val="Paragraphedeliste"/>
        <w:numPr>
          <w:ilvl w:val="0"/>
          <w:numId w:val="129"/>
        </w:numPr>
        <w:spacing w:line="259" w:lineRule="auto"/>
        <w:ind w:left="540"/>
        <w:rPr>
          <w:rFonts w:cs="Arial"/>
          <w:szCs w:val="21"/>
        </w:rPr>
      </w:pPr>
      <w:r w:rsidRPr="00D579BE">
        <w:rPr>
          <w:rFonts w:cs="Arial"/>
          <w:szCs w:val="21"/>
        </w:rPr>
        <w:t>Mener des discussions préliminaires avec des installations médicales spécifiques, pour convenir de ce qui devrait être fait en cas de besoin de renvoyer des travailleurs malades.</w:t>
      </w:r>
    </w:p>
    <w:p w14:paraId="3BF5D4D6" w14:textId="77777777" w:rsidR="009021F1" w:rsidRPr="00D579BE" w:rsidRDefault="009021F1" w:rsidP="009021F1">
      <w:pPr>
        <w:pStyle w:val="Paragraphedeliste"/>
        <w:numPr>
          <w:ilvl w:val="0"/>
          <w:numId w:val="129"/>
        </w:numPr>
        <w:spacing w:line="259" w:lineRule="auto"/>
        <w:ind w:left="540"/>
        <w:rPr>
          <w:rFonts w:cs="Arial"/>
          <w:szCs w:val="21"/>
        </w:rPr>
      </w:pPr>
      <w:r w:rsidRPr="00D579BE">
        <w:rPr>
          <w:rFonts w:cs="Arial"/>
          <w:szCs w:val="21"/>
        </w:rPr>
        <w:t>Examiner les moyens par lesquels le projet peut être en mesure d'aider les services médicaux locaux à se préparer à la maladie des membres de la communauté, reconnaissant que les personnes âgées ou celles qui ont des conditions médicales préexistantes ont besoin d'un soutien supplémentaire pour accéder à un traitement approprié en cas de maladie.</w:t>
      </w:r>
    </w:p>
    <w:p w14:paraId="60F2EFCE" w14:textId="77777777" w:rsidR="009021F1" w:rsidRPr="00D579BE" w:rsidRDefault="009021F1" w:rsidP="009021F1">
      <w:pPr>
        <w:pStyle w:val="Paragraphedeliste"/>
        <w:numPr>
          <w:ilvl w:val="0"/>
          <w:numId w:val="129"/>
        </w:numPr>
        <w:spacing w:line="259" w:lineRule="auto"/>
        <w:ind w:left="540"/>
        <w:rPr>
          <w:rFonts w:cs="Arial"/>
          <w:szCs w:val="21"/>
        </w:rPr>
      </w:pPr>
      <w:r w:rsidRPr="00D579BE">
        <w:rPr>
          <w:rFonts w:cs="Arial"/>
          <w:szCs w:val="21"/>
        </w:rPr>
        <w:t>Clarifier la manière dont un travailleur malade sera transporté vers l'établissement médical et vérifier la disponibilité de ce type de transport.</w:t>
      </w:r>
    </w:p>
    <w:p w14:paraId="62E69869" w14:textId="77777777" w:rsidR="009021F1" w:rsidRPr="00D579BE" w:rsidRDefault="009021F1" w:rsidP="009021F1">
      <w:pPr>
        <w:pStyle w:val="Paragraphedeliste"/>
        <w:numPr>
          <w:ilvl w:val="0"/>
          <w:numId w:val="129"/>
        </w:numPr>
        <w:spacing w:line="259" w:lineRule="auto"/>
        <w:ind w:left="540"/>
        <w:rPr>
          <w:rFonts w:cs="Arial"/>
          <w:szCs w:val="21"/>
        </w:rPr>
      </w:pPr>
      <w:r w:rsidRPr="00D579BE">
        <w:rPr>
          <w:rFonts w:cs="Arial"/>
          <w:szCs w:val="21"/>
        </w:rPr>
        <w:t>Établir un protocole convenu pour les communications avec les services d'urgence / médicaux locaux.</w:t>
      </w:r>
    </w:p>
    <w:p w14:paraId="4371E789" w14:textId="77777777" w:rsidR="009021F1" w:rsidRPr="00D579BE" w:rsidRDefault="009021F1" w:rsidP="009021F1">
      <w:pPr>
        <w:pStyle w:val="Paragraphedeliste"/>
        <w:numPr>
          <w:ilvl w:val="0"/>
          <w:numId w:val="129"/>
        </w:numPr>
        <w:spacing w:line="259" w:lineRule="auto"/>
        <w:ind w:left="540"/>
        <w:rPr>
          <w:rFonts w:cs="Arial"/>
          <w:szCs w:val="21"/>
        </w:rPr>
      </w:pPr>
      <w:r w:rsidRPr="00D579BE">
        <w:rPr>
          <w:rFonts w:cs="Arial"/>
          <w:szCs w:val="21"/>
        </w:rPr>
        <w:t>Convenir avec les services médicaux locaux / les installations médicales spécifiques de l'étendue des services à fournir, de la procédure de prise en charge des patients et (le cas échéant) des coûts ou paiements pouvant être impliqués.</w:t>
      </w:r>
    </w:p>
    <w:p w14:paraId="03CC421F" w14:textId="77777777" w:rsidR="009021F1" w:rsidRPr="00D579BE" w:rsidRDefault="009021F1" w:rsidP="009021F1">
      <w:pPr>
        <w:pStyle w:val="Paragraphedeliste"/>
        <w:numPr>
          <w:ilvl w:val="0"/>
          <w:numId w:val="129"/>
        </w:numPr>
        <w:spacing w:line="259" w:lineRule="auto"/>
        <w:ind w:left="540"/>
        <w:rPr>
          <w:rFonts w:cs="Arial"/>
          <w:szCs w:val="21"/>
        </w:rPr>
      </w:pPr>
      <w:r w:rsidRPr="00D579BE">
        <w:rPr>
          <w:rFonts w:cs="Arial"/>
          <w:szCs w:val="21"/>
        </w:rPr>
        <w:t>Une procédure doit également être préparée afin que la direction du projet sache quoi faire dans le cas malheureux où un travailleur atteint de COVID-19 décède. Bien que les procédures normales du projet continuent de s'appliquer, COVID-19 peut soulever d'autres problèmes en raison de la nature infectieuse de la maladie. Le projet devrait assurer la liaison avec les autorités locales compétentes pour coordonner ce qui devrait être fait, y compris tout rapport ou toute autre exigence en vertu de la législation nationale.</w:t>
      </w:r>
    </w:p>
    <w:p w14:paraId="4E116073" w14:textId="77777777" w:rsidR="009021F1" w:rsidRPr="00D579BE" w:rsidRDefault="009021F1" w:rsidP="009021F1">
      <w:pPr>
        <w:pStyle w:val="Paragraphedeliste"/>
        <w:ind w:left="540"/>
        <w:rPr>
          <w:rFonts w:cs="Arial"/>
          <w:szCs w:val="21"/>
        </w:rPr>
      </w:pPr>
    </w:p>
    <w:p w14:paraId="0BADF6AB" w14:textId="77777777" w:rsidR="009021F1" w:rsidRPr="00D579BE" w:rsidRDefault="009021F1" w:rsidP="009021F1">
      <w:pPr>
        <w:pStyle w:val="Paragraphedeliste"/>
        <w:numPr>
          <w:ilvl w:val="0"/>
          <w:numId w:val="128"/>
        </w:numPr>
        <w:spacing w:line="259" w:lineRule="auto"/>
        <w:ind w:left="360"/>
        <w:rPr>
          <w:rFonts w:cs="Arial"/>
          <w:b/>
          <w:bCs/>
          <w:szCs w:val="21"/>
        </w:rPr>
      </w:pPr>
      <w:r w:rsidRPr="00D579BE">
        <w:rPr>
          <w:rFonts w:cs="Arial"/>
          <w:b/>
          <w:bCs/>
          <w:i/>
          <w:iCs/>
          <w:szCs w:val="21"/>
        </w:rPr>
        <w:t>Instances ou diffusion du virus</w:t>
      </w:r>
    </w:p>
    <w:p w14:paraId="2BDCBE43" w14:textId="77777777" w:rsidR="009021F1" w:rsidRPr="00D579BE" w:rsidRDefault="009021F1" w:rsidP="009021F1">
      <w:pPr>
        <w:rPr>
          <w:rFonts w:cs="Arial"/>
          <w:szCs w:val="21"/>
        </w:rPr>
      </w:pPr>
    </w:p>
    <w:p w14:paraId="4E7BD666" w14:textId="77777777" w:rsidR="009021F1" w:rsidRPr="00D579BE" w:rsidRDefault="009021F1" w:rsidP="009021F1">
      <w:pPr>
        <w:rPr>
          <w:rFonts w:cs="Arial"/>
          <w:szCs w:val="21"/>
        </w:rPr>
      </w:pPr>
      <w:r w:rsidRPr="00D579BE">
        <w:rPr>
          <w:rFonts w:cs="Arial"/>
          <w:szCs w:val="21"/>
        </w:rPr>
        <w:t>L'OMS fournit des conseils détaillés sur ce qui devrait être fait pour traiter une personne qui tombe malade ou présente des symptômes qui pourraient être associés au virus COVID-19 (pour de plus amples informations, voir les directives provisoires de l'OMS sur la prévention et le contrôle des infections pendant les soins de santé lorsqu'un nouveau coronavirus (nCoV) l'infection est suspectée). Le projet devrait définir les procédures fondées sur les risques à suivre, avec des approches différenciées en fonction de la gravité des cas (légère, modérée, sévère, critique) et des facteurs de risque (tels que l'âge, l'hypertension, le diabète) (pour plus d'informations, voir les directives provisoires de l'OMS sur considérations opérationnelles pour la prise en charge des cas de COVID-19 dans un établissement de santé et dans la communauté). Il peut s'agir des éléments suivants :</w:t>
      </w:r>
    </w:p>
    <w:p w14:paraId="7FDCDA85" w14:textId="77777777" w:rsidR="009021F1" w:rsidRPr="00D579BE" w:rsidRDefault="009021F1" w:rsidP="009021F1">
      <w:pPr>
        <w:pStyle w:val="Paragraphedeliste"/>
        <w:numPr>
          <w:ilvl w:val="0"/>
          <w:numId w:val="129"/>
        </w:numPr>
        <w:spacing w:line="259" w:lineRule="auto"/>
        <w:ind w:left="540"/>
        <w:rPr>
          <w:rFonts w:cs="Arial"/>
          <w:szCs w:val="21"/>
        </w:rPr>
      </w:pPr>
      <w:r w:rsidRPr="00D579BE">
        <w:rPr>
          <w:rFonts w:cs="Arial"/>
          <w:szCs w:val="21"/>
        </w:rPr>
        <w:t>Si un travailleur présente des symptômes de COVID-19 (par exemple fièvre, toux sèche, fatigue), il doit être immédiatement retiré des activités de travail et isolé sur place.</w:t>
      </w:r>
    </w:p>
    <w:p w14:paraId="56B82DDB" w14:textId="77777777" w:rsidR="009021F1" w:rsidRPr="00D579BE" w:rsidRDefault="009021F1" w:rsidP="009021F1">
      <w:pPr>
        <w:pStyle w:val="Paragraphedeliste"/>
        <w:numPr>
          <w:ilvl w:val="0"/>
          <w:numId w:val="129"/>
        </w:numPr>
        <w:spacing w:line="259" w:lineRule="auto"/>
        <w:ind w:left="540"/>
        <w:rPr>
          <w:rFonts w:cs="Arial"/>
          <w:szCs w:val="21"/>
        </w:rPr>
      </w:pPr>
      <w:r w:rsidRPr="00D579BE">
        <w:rPr>
          <w:rFonts w:cs="Arial"/>
          <w:szCs w:val="21"/>
        </w:rPr>
        <w:t>Si des tests sont disponibles sur site, le travailleur doit être testé sur site. Si un test n'est pas disponible sur le site, le travailleur doit être transporté vers les établissements de santé locaux pour être testé (si le test est disponible).</w:t>
      </w:r>
    </w:p>
    <w:p w14:paraId="72C4090A" w14:textId="77777777" w:rsidR="009021F1" w:rsidRPr="00D579BE" w:rsidRDefault="009021F1" w:rsidP="009021F1">
      <w:pPr>
        <w:pStyle w:val="Paragraphedeliste"/>
        <w:numPr>
          <w:ilvl w:val="0"/>
          <w:numId w:val="129"/>
        </w:numPr>
        <w:spacing w:line="259" w:lineRule="auto"/>
        <w:ind w:left="540"/>
        <w:rPr>
          <w:rFonts w:cs="Arial"/>
          <w:szCs w:val="21"/>
        </w:rPr>
      </w:pPr>
      <w:r w:rsidRPr="00D579BE">
        <w:rPr>
          <w:rFonts w:cs="Arial"/>
          <w:szCs w:val="21"/>
        </w:rPr>
        <w:t>Si le test est positif pour COVID-19 ou si aucun test n'est disponible, le travailleur doit continuer à être isolé. Ce sera sur le lieu de travail ou à la maison. S'il est à la maison, le travailleur doit être transporté à son domicile par le moyen de transport fourni par le projet.</w:t>
      </w:r>
    </w:p>
    <w:p w14:paraId="659BC6B5" w14:textId="77777777" w:rsidR="009021F1" w:rsidRPr="00D579BE" w:rsidRDefault="009021F1" w:rsidP="009021F1">
      <w:pPr>
        <w:pStyle w:val="Paragraphedeliste"/>
        <w:numPr>
          <w:ilvl w:val="0"/>
          <w:numId w:val="129"/>
        </w:numPr>
        <w:spacing w:line="259" w:lineRule="auto"/>
        <w:ind w:left="540"/>
        <w:rPr>
          <w:rFonts w:cs="Arial"/>
          <w:szCs w:val="21"/>
        </w:rPr>
      </w:pPr>
      <w:r w:rsidRPr="00D579BE">
        <w:rPr>
          <w:rFonts w:cs="Arial"/>
          <w:szCs w:val="21"/>
        </w:rPr>
        <w:t>Des procédures de nettoyage approfondies avec un désinfectant à haute teneur en alcool devraient être entreprises dans la zone où le travailleur était présent, avant de poursuivre tout travail dans cette zone. Les outils utilisés par le travailleur doivent être nettoyés avec un désinfectant et des EPI éliminés.</w:t>
      </w:r>
    </w:p>
    <w:p w14:paraId="2422F42F" w14:textId="77777777" w:rsidR="009021F1" w:rsidRPr="00D579BE" w:rsidRDefault="009021F1" w:rsidP="009021F1">
      <w:pPr>
        <w:pStyle w:val="Paragraphedeliste"/>
        <w:numPr>
          <w:ilvl w:val="0"/>
          <w:numId w:val="129"/>
        </w:numPr>
        <w:spacing w:line="259" w:lineRule="auto"/>
        <w:ind w:left="540"/>
        <w:rPr>
          <w:rFonts w:cs="Arial"/>
          <w:szCs w:val="21"/>
        </w:rPr>
      </w:pPr>
      <w:r w:rsidRPr="00D579BE">
        <w:rPr>
          <w:rFonts w:cs="Arial"/>
          <w:szCs w:val="21"/>
        </w:rPr>
        <w:t>Les collègues (c'est-à-dire les travailleurs avec lesquels le travailleur malade était en contact étroit) devraient être tenus d'arrêter le travail et devraient se mettre en quarantaine pendant 14 jours, même s'ils ne présentent aucun symptôme.</w:t>
      </w:r>
    </w:p>
    <w:p w14:paraId="6BFE6E29" w14:textId="77777777" w:rsidR="009021F1" w:rsidRPr="00D579BE" w:rsidRDefault="009021F1" w:rsidP="009021F1">
      <w:pPr>
        <w:pStyle w:val="Paragraphedeliste"/>
        <w:numPr>
          <w:ilvl w:val="0"/>
          <w:numId w:val="129"/>
        </w:numPr>
        <w:spacing w:line="259" w:lineRule="auto"/>
        <w:ind w:left="540"/>
        <w:rPr>
          <w:rFonts w:cs="Arial"/>
          <w:szCs w:val="21"/>
        </w:rPr>
      </w:pPr>
      <w:r w:rsidRPr="00D579BE">
        <w:rPr>
          <w:rFonts w:cs="Arial"/>
          <w:szCs w:val="21"/>
        </w:rPr>
        <w:t>La famille et les autres contacts étroits du travailleur devraient être tenus de se mettre en quarantaine pendant 14 jours, même s'ils ne présentent aucun symptôme.</w:t>
      </w:r>
    </w:p>
    <w:p w14:paraId="1AD518DA" w14:textId="77777777" w:rsidR="009021F1" w:rsidRPr="00D579BE" w:rsidRDefault="009021F1" w:rsidP="009021F1">
      <w:pPr>
        <w:pStyle w:val="Paragraphedeliste"/>
        <w:numPr>
          <w:ilvl w:val="0"/>
          <w:numId w:val="129"/>
        </w:numPr>
        <w:spacing w:line="259" w:lineRule="auto"/>
        <w:ind w:left="540"/>
        <w:rPr>
          <w:rFonts w:cs="Arial"/>
          <w:szCs w:val="21"/>
        </w:rPr>
      </w:pPr>
      <w:r w:rsidRPr="00D579BE">
        <w:rPr>
          <w:rFonts w:cs="Arial"/>
          <w:szCs w:val="21"/>
        </w:rPr>
        <w:t>Si un cas de COVID-19 est confirmé chez un travailleur sur le site, les visiteurs doivent être empêchés d'entrer sur le site et les groupes de travailleurs doivent être isolés les uns des autres autant que possible.</w:t>
      </w:r>
    </w:p>
    <w:p w14:paraId="7C2723B5" w14:textId="77777777" w:rsidR="009021F1" w:rsidRPr="00D579BE" w:rsidRDefault="009021F1" w:rsidP="009021F1">
      <w:pPr>
        <w:pStyle w:val="Paragraphedeliste"/>
        <w:numPr>
          <w:ilvl w:val="0"/>
          <w:numId w:val="129"/>
        </w:numPr>
        <w:spacing w:line="259" w:lineRule="auto"/>
        <w:ind w:left="540"/>
        <w:rPr>
          <w:rFonts w:cs="Arial"/>
          <w:szCs w:val="21"/>
        </w:rPr>
      </w:pPr>
      <w:r w:rsidRPr="00D579BE">
        <w:rPr>
          <w:rFonts w:cs="Arial"/>
          <w:szCs w:val="21"/>
        </w:rPr>
        <w:t>Si les travailleurs vivent à la maison et ont un membre de la famille qui a un cas confirmé ou suspecté de COVID-19, le travailleur doit se mettre en quarantaine et ne pas être autorisé à rester sur le site du projet pendant 14 jours, même s'il ne présente aucun symptôme.</w:t>
      </w:r>
    </w:p>
    <w:p w14:paraId="0491BFA8" w14:textId="77777777" w:rsidR="009021F1" w:rsidRPr="00D579BE" w:rsidRDefault="009021F1" w:rsidP="009021F1">
      <w:pPr>
        <w:pStyle w:val="Paragraphedeliste"/>
        <w:numPr>
          <w:ilvl w:val="0"/>
          <w:numId w:val="129"/>
        </w:numPr>
        <w:spacing w:line="259" w:lineRule="auto"/>
        <w:ind w:left="540"/>
        <w:rPr>
          <w:rFonts w:cs="Arial"/>
          <w:szCs w:val="21"/>
        </w:rPr>
      </w:pPr>
      <w:r w:rsidRPr="00D579BE">
        <w:rPr>
          <w:rFonts w:cs="Arial"/>
          <w:szCs w:val="21"/>
        </w:rPr>
        <w:t>Les travailleurs devraient continuer à être payés pendant les périodes de maladie, d'isolement ou de quarantaine, ou s'ils doivent arrêter de travailler, conformément à la législation nationale.</w:t>
      </w:r>
    </w:p>
    <w:p w14:paraId="66724EE5" w14:textId="77777777" w:rsidR="009021F1" w:rsidRPr="00D579BE" w:rsidRDefault="009021F1" w:rsidP="009021F1">
      <w:pPr>
        <w:pStyle w:val="Paragraphedeliste"/>
        <w:numPr>
          <w:ilvl w:val="0"/>
          <w:numId w:val="129"/>
        </w:numPr>
        <w:spacing w:line="259" w:lineRule="auto"/>
        <w:ind w:left="540"/>
        <w:rPr>
          <w:rFonts w:cs="Arial"/>
          <w:szCs w:val="21"/>
        </w:rPr>
      </w:pPr>
      <w:r w:rsidRPr="00D579BE">
        <w:rPr>
          <w:rFonts w:cs="Arial"/>
          <w:szCs w:val="21"/>
        </w:rPr>
        <w:t>Les soins médicaux (sur place ou dans un hôpital ou une clinique locale) requis par un travailleur doivent être payés par l'employeur.</w:t>
      </w:r>
    </w:p>
    <w:p w14:paraId="4A49903E" w14:textId="77777777" w:rsidR="009021F1" w:rsidRDefault="009021F1" w:rsidP="009021F1">
      <w:pPr>
        <w:pStyle w:val="Paragraphedeliste"/>
        <w:spacing w:line="259" w:lineRule="auto"/>
        <w:ind w:left="360"/>
        <w:rPr>
          <w:rFonts w:cs="Arial"/>
          <w:b/>
          <w:bCs/>
          <w:szCs w:val="21"/>
        </w:rPr>
      </w:pPr>
    </w:p>
    <w:p w14:paraId="032F6754" w14:textId="77777777" w:rsidR="009021F1" w:rsidRDefault="009021F1" w:rsidP="009021F1">
      <w:pPr>
        <w:pStyle w:val="Paragraphedeliste"/>
        <w:spacing w:line="259" w:lineRule="auto"/>
        <w:ind w:left="360"/>
        <w:rPr>
          <w:rFonts w:cs="Arial"/>
          <w:b/>
          <w:bCs/>
          <w:szCs w:val="21"/>
        </w:rPr>
      </w:pPr>
    </w:p>
    <w:p w14:paraId="4C9BBBF6" w14:textId="77777777" w:rsidR="009021F1" w:rsidRPr="00D579BE" w:rsidRDefault="009021F1" w:rsidP="009021F1">
      <w:pPr>
        <w:pStyle w:val="Paragraphedeliste"/>
        <w:spacing w:line="259" w:lineRule="auto"/>
        <w:ind w:left="360"/>
        <w:rPr>
          <w:rFonts w:cs="Arial"/>
          <w:b/>
          <w:bCs/>
          <w:szCs w:val="21"/>
        </w:rPr>
      </w:pPr>
    </w:p>
    <w:p w14:paraId="0D8699EC" w14:textId="77777777" w:rsidR="009021F1" w:rsidRPr="00D579BE" w:rsidRDefault="009021F1" w:rsidP="009021F1">
      <w:pPr>
        <w:pStyle w:val="Paragraphedeliste"/>
        <w:numPr>
          <w:ilvl w:val="0"/>
          <w:numId w:val="128"/>
        </w:numPr>
        <w:spacing w:line="259" w:lineRule="auto"/>
        <w:ind w:left="360"/>
        <w:rPr>
          <w:rFonts w:cs="Arial"/>
          <w:b/>
          <w:bCs/>
          <w:szCs w:val="21"/>
        </w:rPr>
      </w:pPr>
      <w:r w:rsidRPr="00D579BE">
        <w:rPr>
          <w:rFonts w:cs="Arial"/>
          <w:b/>
          <w:bCs/>
          <w:i/>
          <w:iCs/>
          <w:szCs w:val="21"/>
        </w:rPr>
        <w:t xml:space="preserve">Continuité des fournitures et des activités du projet </w:t>
      </w:r>
    </w:p>
    <w:p w14:paraId="7FCBBD22" w14:textId="77777777" w:rsidR="009021F1" w:rsidRPr="00D579BE" w:rsidRDefault="009021F1" w:rsidP="009021F1">
      <w:pPr>
        <w:rPr>
          <w:rFonts w:cs="Arial"/>
          <w:szCs w:val="21"/>
        </w:rPr>
      </w:pPr>
    </w:p>
    <w:p w14:paraId="4623CFB7" w14:textId="77777777" w:rsidR="009021F1" w:rsidRPr="00D579BE" w:rsidRDefault="009021F1" w:rsidP="009021F1">
      <w:pPr>
        <w:rPr>
          <w:rFonts w:cs="Arial"/>
          <w:szCs w:val="21"/>
        </w:rPr>
      </w:pPr>
      <w:r w:rsidRPr="00D579BE">
        <w:rPr>
          <w:rFonts w:cs="Arial"/>
          <w:szCs w:val="21"/>
        </w:rPr>
        <w:t>Lorsque COVID-19 se produit, sur le site du projet ou dans la communauté, l'accès au site du projet peut être restreint et le mouvement des fournitures peut être affecté.</w:t>
      </w:r>
    </w:p>
    <w:p w14:paraId="66E47DD0" w14:textId="77777777" w:rsidR="009021F1" w:rsidRPr="00D579BE" w:rsidRDefault="009021F1" w:rsidP="009021F1">
      <w:pPr>
        <w:rPr>
          <w:rFonts w:cs="Arial"/>
          <w:szCs w:val="21"/>
        </w:rPr>
      </w:pPr>
    </w:p>
    <w:p w14:paraId="66BB88B3" w14:textId="77777777" w:rsidR="009021F1" w:rsidRPr="00D579BE" w:rsidRDefault="009021F1" w:rsidP="009021F1">
      <w:pPr>
        <w:pStyle w:val="Paragraphedeliste"/>
        <w:numPr>
          <w:ilvl w:val="0"/>
          <w:numId w:val="129"/>
        </w:numPr>
        <w:spacing w:line="259" w:lineRule="auto"/>
        <w:ind w:left="540"/>
        <w:rPr>
          <w:rFonts w:cs="Arial"/>
          <w:szCs w:val="21"/>
        </w:rPr>
      </w:pPr>
      <w:r w:rsidRPr="00D579BE">
        <w:rPr>
          <w:rFonts w:cs="Arial"/>
          <w:szCs w:val="21"/>
        </w:rPr>
        <w:t>Identifier les personnes de remplacement, au cas où des personnes clés au sein de l'équipe de gestion de projet (UGP, bureau de contrôle, contractant, sous-traitants) tombent malades et communiquer qui elles sont afin que les gens soient au courant des dispositions qui ont été mises en place.</w:t>
      </w:r>
    </w:p>
    <w:p w14:paraId="437829B2" w14:textId="77777777" w:rsidR="009021F1" w:rsidRPr="00D579BE" w:rsidRDefault="009021F1" w:rsidP="009021F1">
      <w:pPr>
        <w:pStyle w:val="Paragraphedeliste"/>
        <w:numPr>
          <w:ilvl w:val="0"/>
          <w:numId w:val="129"/>
        </w:numPr>
        <w:spacing w:line="259" w:lineRule="auto"/>
        <w:ind w:left="540"/>
        <w:rPr>
          <w:rFonts w:cs="Arial"/>
          <w:szCs w:val="21"/>
        </w:rPr>
      </w:pPr>
      <w:r w:rsidRPr="00D579BE">
        <w:rPr>
          <w:rFonts w:cs="Arial"/>
          <w:szCs w:val="21"/>
        </w:rPr>
        <w:t>Documenter les procédures afin que les gens sachent ce qu’ils sont et ne dépendent pas des connaissances d’une seule personne.</w:t>
      </w:r>
    </w:p>
    <w:p w14:paraId="73E4765D" w14:textId="77777777" w:rsidR="009021F1" w:rsidRPr="00D579BE" w:rsidRDefault="009021F1" w:rsidP="009021F1">
      <w:pPr>
        <w:pStyle w:val="Paragraphedeliste"/>
        <w:ind w:left="540"/>
        <w:rPr>
          <w:rFonts w:cs="Arial"/>
          <w:szCs w:val="21"/>
        </w:rPr>
      </w:pPr>
    </w:p>
    <w:p w14:paraId="1E9DD2C9" w14:textId="77777777" w:rsidR="009021F1" w:rsidRPr="00D579BE" w:rsidRDefault="009021F1" w:rsidP="009021F1">
      <w:pPr>
        <w:pStyle w:val="Paragraphedeliste"/>
        <w:numPr>
          <w:ilvl w:val="0"/>
          <w:numId w:val="128"/>
        </w:numPr>
        <w:spacing w:line="259" w:lineRule="auto"/>
        <w:ind w:left="360"/>
        <w:rPr>
          <w:rFonts w:cs="Arial"/>
          <w:b/>
          <w:bCs/>
          <w:szCs w:val="21"/>
        </w:rPr>
      </w:pPr>
      <w:r w:rsidRPr="00D579BE">
        <w:rPr>
          <w:rFonts w:cs="Arial"/>
          <w:b/>
          <w:bCs/>
          <w:i/>
          <w:iCs/>
          <w:szCs w:val="21"/>
        </w:rPr>
        <w:t>Formation et communication avec les travailleurs</w:t>
      </w:r>
    </w:p>
    <w:p w14:paraId="27AC2C62" w14:textId="77777777" w:rsidR="009021F1" w:rsidRPr="00D579BE" w:rsidRDefault="009021F1" w:rsidP="009021F1">
      <w:pPr>
        <w:rPr>
          <w:rFonts w:cs="Arial"/>
          <w:szCs w:val="21"/>
        </w:rPr>
      </w:pPr>
    </w:p>
    <w:p w14:paraId="132F6A65" w14:textId="77777777" w:rsidR="009021F1" w:rsidRPr="00D579BE" w:rsidRDefault="009021F1" w:rsidP="009021F1">
      <w:pPr>
        <w:rPr>
          <w:rFonts w:cs="Arial"/>
          <w:szCs w:val="21"/>
        </w:rPr>
      </w:pPr>
      <w:r w:rsidRPr="00D579BE">
        <w:rPr>
          <w:rFonts w:cs="Arial"/>
          <w:szCs w:val="21"/>
        </w:rPr>
        <w:t>Les travailleurs doivent avoir régulièrement la possibilité de comprendre leur situation et la meilleure façon de se protéger eux-mêmes, leur famille et la communauté. Ils doivent être informés des procédures mises en place par le projet et de leurs propres responsabilités dans leur mise en œuvre.</w:t>
      </w:r>
    </w:p>
    <w:p w14:paraId="1D116069" w14:textId="77777777" w:rsidR="009021F1" w:rsidRPr="00D579BE" w:rsidRDefault="009021F1" w:rsidP="009021F1">
      <w:pPr>
        <w:rPr>
          <w:rFonts w:cs="Arial"/>
          <w:szCs w:val="21"/>
        </w:rPr>
      </w:pPr>
    </w:p>
    <w:p w14:paraId="3EAC6D11" w14:textId="77777777" w:rsidR="009021F1" w:rsidRPr="00D579BE" w:rsidRDefault="009021F1" w:rsidP="009021F1">
      <w:pPr>
        <w:pStyle w:val="Paragraphedeliste"/>
        <w:numPr>
          <w:ilvl w:val="0"/>
          <w:numId w:val="129"/>
        </w:numPr>
        <w:spacing w:line="259" w:lineRule="auto"/>
        <w:ind w:left="540"/>
        <w:rPr>
          <w:rFonts w:cs="Arial"/>
          <w:szCs w:val="21"/>
        </w:rPr>
      </w:pPr>
      <w:r w:rsidRPr="00D579BE">
        <w:rPr>
          <w:rFonts w:cs="Arial"/>
          <w:szCs w:val="21"/>
        </w:rPr>
        <w:t>Il est important de savoir que dans les communautés proches du site et parmi les travailleurs n'ayant pas accès à la gestion de projet, les médias sociaux sont susceptibles d'être une source majeure d'informations. Cela souligne l'importance d'une information et d'un engagement réguliers avec les travailleurs (par exemple par le biais de formations, de mairies, de boîtes à outils) qui mettent l'accent sur ce que la direction fait pour faire face aux risques de COVID-19. Apaiser la peur est un aspect important de la tranquillité d'esprit et de la continuité des activités. Les travailleurs devraient avoir la possibilité de poser des questions, d'exprimer leurs préoccupations et de faire des suggestions.</w:t>
      </w:r>
    </w:p>
    <w:p w14:paraId="77E1059B" w14:textId="77777777" w:rsidR="009021F1" w:rsidRPr="00D579BE" w:rsidRDefault="009021F1" w:rsidP="009021F1">
      <w:pPr>
        <w:pStyle w:val="Paragraphedeliste"/>
        <w:numPr>
          <w:ilvl w:val="0"/>
          <w:numId w:val="129"/>
        </w:numPr>
        <w:spacing w:line="259" w:lineRule="auto"/>
        <w:ind w:left="540"/>
        <w:rPr>
          <w:rFonts w:cs="Arial"/>
          <w:szCs w:val="21"/>
        </w:rPr>
      </w:pPr>
      <w:r w:rsidRPr="00D579BE">
        <w:rPr>
          <w:rFonts w:cs="Arial"/>
          <w:szCs w:val="21"/>
        </w:rPr>
        <w:t>Comprendre la chaîne d'approvisionnement pour les fournitures nécessaires d'énergie, d'eau, de nourriture, de fournitures médicales et de matériel de nettoyage, examiner comment cela pourrait être impacté et quelles alternatives sont disponibles. Un examen proactif précoce des chaînes d'approvisionnement internationales, régionales et nationales, en particulier pour les fournitures qui sont essentielles pour le projet, est important (par exemple, carburant, nourriture, soins médicaux, nettoyage et autres fournitures essentielles). La planification d'une interruption de 1 à 2 mois des marchandises critiques peut être appropriée pour des projets dans des régions plus éloignées.</w:t>
      </w:r>
    </w:p>
    <w:p w14:paraId="0EA102BF" w14:textId="77777777" w:rsidR="009021F1" w:rsidRPr="00D579BE" w:rsidRDefault="009021F1" w:rsidP="009021F1">
      <w:pPr>
        <w:pStyle w:val="Paragraphedeliste"/>
        <w:numPr>
          <w:ilvl w:val="0"/>
          <w:numId w:val="129"/>
        </w:numPr>
        <w:spacing w:line="259" w:lineRule="auto"/>
        <w:ind w:left="540"/>
        <w:rPr>
          <w:rFonts w:cs="Arial"/>
          <w:szCs w:val="21"/>
        </w:rPr>
      </w:pPr>
      <w:r w:rsidRPr="00D579BE">
        <w:rPr>
          <w:rFonts w:cs="Arial"/>
          <w:szCs w:val="21"/>
        </w:rPr>
        <w:t>Passer des commandes / se procurer des fournitures essentielles. Si elles ne sont pas disponibles, envisagez des alternatives (si possible).</w:t>
      </w:r>
    </w:p>
    <w:p w14:paraId="51F3218B" w14:textId="77777777" w:rsidR="009021F1" w:rsidRPr="00D579BE" w:rsidRDefault="009021F1" w:rsidP="009021F1">
      <w:pPr>
        <w:pStyle w:val="Paragraphedeliste"/>
        <w:numPr>
          <w:ilvl w:val="0"/>
          <w:numId w:val="129"/>
        </w:numPr>
        <w:spacing w:line="259" w:lineRule="auto"/>
        <w:ind w:left="540"/>
        <w:rPr>
          <w:rFonts w:cs="Arial"/>
          <w:szCs w:val="21"/>
        </w:rPr>
      </w:pPr>
      <w:r w:rsidRPr="00D579BE">
        <w:rPr>
          <w:rFonts w:cs="Arial"/>
          <w:szCs w:val="21"/>
        </w:rPr>
        <w:t>Examiner les dispositions de sécurité existantes et déterminer si elles seront adéquates en cas d'interruption des opérations normales du projet.</w:t>
      </w:r>
    </w:p>
    <w:p w14:paraId="775AA843" w14:textId="77777777" w:rsidR="009021F1" w:rsidRPr="00D579BE" w:rsidRDefault="009021F1" w:rsidP="009021F1">
      <w:pPr>
        <w:pStyle w:val="Paragraphedeliste"/>
        <w:numPr>
          <w:ilvl w:val="0"/>
          <w:numId w:val="129"/>
        </w:numPr>
        <w:spacing w:line="259" w:lineRule="auto"/>
        <w:ind w:left="540"/>
        <w:rPr>
          <w:rFonts w:cs="Arial"/>
          <w:szCs w:val="21"/>
        </w:rPr>
      </w:pPr>
      <w:r w:rsidRPr="00D579BE">
        <w:rPr>
          <w:rFonts w:cs="Arial"/>
          <w:szCs w:val="21"/>
        </w:rPr>
        <w:t>Réfléchissez à quel moment il peut devenir nécessaire pour le projet de réduire considérablement les activités ou d'arrêter complètement le travail, et ce qui devrait être fait pour s'y préparer et recommencer le travail quand cela devient possible ou faisable.</w:t>
      </w:r>
    </w:p>
    <w:p w14:paraId="6BF5F937" w14:textId="77777777" w:rsidR="009021F1" w:rsidRPr="00D579BE" w:rsidRDefault="009021F1" w:rsidP="009021F1">
      <w:pPr>
        <w:pStyle w:val="Paragraphedeliste"/>
        <w:numPr>
          <w:ilvl w:val="0"/>
          <w:numId w:val="129"/>
        </w:numPr>
        <w:spacing w:line="259" w:lineRule="auto"/>
        <w:ind w:left="540"/>
        <w:rPr>
          <w:rFonts w:cs="Arial"/>
          <w:szCs w:val="21"/>
        </w:rPr>
      </w:pPr>
      <w:r w:rsidRPr="00D579BE">
        <w:rPr>
          <w:rFonts w:cs="Arial"/>
          <w:szCs w:val="21"/>
        </w:rPr>
        <w:t>La formation des travailleurs devrait être menée régulièrement, comme indiqué dans les sections ci-dessus, afin de fournir aux travailleurs une compréhension claire de la façon dont ils doivent se comporter et s'acquitter de leurs tâches.</w:t>
      </w:r>
    </w:p>
    <w:p w14:paraId="56669BF4" w14:textId="77777777" w:rsidR="009021F1" w:rsidRPr="00D579BE" w:rsidRDefault="009021F1" w:rsidP="009021F1">
      <w:pPr>
        <w:pStyle w:val="Paragraphedeliste"/>
        <w:numPr>
          <w:ilvl w:val="0"/>
          <w:numId w:val="129"/>
        </w:numPr>
        <w:spacing w:line="259" w:lineRule="auto"/>
        <w:ind w:left="540"/>
        <w:rPr>
          <w:rFonts w:cs="Arial"/>
          <w:szCs w:val="21"/>
        </w:rPr>
      </w:pPr>
      <w:r w:rsidRPr="00D579BE">
        <w:rPr>
          <w:rFonts w:cs="Arial"/>
          <w:szCs w:val="21"/>
        </w:rPr>
        <w:t>La formation devrait aborder les problèmes de discrimination ou de préjugés si un travailleur tombe malade et permettre de comprendre la trajectoire du virus, où les travailleurs retournent au travail.</w:t>
      </w:r>
    </w:p>
    <w:p w14:paraId="3979CBEA" w14:textId="77777777" w:rsidR="009021F1" w:rsidRPr="00D579BE" w:rsidRDefault="009021F1" w:rsidP="009021F1">
      <w:pPr>
        <w:pStyle w:val="Paragraphedeliste"/>
        <w:numPr>
          <w:ilvl w:val="0"/>
          <w:numId w:val="129"/>
        </w:numPr>
        <w:spacing w:line="259" w:lineRule="auto"/>
        <w:ind w:left="540"/>
        <w:rPr>
          <w:rFonts w:cs="Arial"/>
          <w:szCs w:val="21"/>
        </w:rPr>
      </w:pPr>
      <w:r w:rsidRPr="00D579BE">
        <w:rPr>
          <w:rFonts w:cs="Arial"/>
          <w:szCs w:val="21"/>
        </w:rPr>
        <w:t>La formation devrait couvrir toutes les questions qui seraient normalement requises sur le chantier, y compris l'utilisation des procédures de sécurité, l'utilisation des EPI de construction, les questions de santé et de sécurité au travail et le code de conduite, en tenant compte du fait que les pratiques de travail peuvent avoir été ajustées.</w:t>
      </w:r>
    </w:p>
    <w:p w14:paraId="1090958B" w14:textId="77777777" w:rsidR="009021F1" w:rsidRPr="00D579BE" w:rsidRDefault="009021F1" w:rsidP="009021F1">
      <w:pPr>
        <w:pStyle w:val="Paragraphedeliste"/>
        <w:numPr>
          <w:ilvl w:val="0"/>
          <w:numId w:val="129"/>
        </w:numPr>
        <w:spacing w:line="259" w:lineRule="auto"/>
        <w:ind w:left="540"/>
        <w:rPr>
          <w:rFonts w:cs="Arial"/>
          <w:szCs w:val="21"/>
        </w:rPr>
      </w:pPr>
      <w:r w:rsidRPr="00D579BE">
        <w:rPr>
          <w:rFonts w:cs="Arial"/>
          <w:szCs w:val="21"/>
        </w:rPr>
        <w:t>Les communications doivent être claires, fondées sur des faits et conçues pour être facilement comprises par les travailleurs, par exemple en affichant des affiches sur le lavage des mains et la distanciation sociale, et ce qu'il faut faire si un travailleur présente des symptômes.</w:t>
      </w:r>
    </w:p>
    <w:p w14:paraId="15C5BE8E" w14:textId="77777777" w:rsidR="009021F1" w:rsidRPr="00D579BE" w:rsidRDefault="009021F1" w:rsidP="009021F1">
      <w:pPr>
        <w:pStyle w:val="Paragraphedeliste"/>
        <w:ind w:left="540"/>
        <w:rPr>
          <w:rFonts w:cs="Arial"/>
          <w:szCs w:val="21"/>
        </w:rPr>
      </w:pPr>
    </w:p>
    <w:p w14:paraId="5E2C04E2" w14:textId="77777777" w:rsidR="009021F1" w:rsidRPr="00D579BE" w:rsidRDefault="009021F1" w:rsidP="009021F1">
      <w:pPr>
        <w:pStyle w:val="Paragraphedeliste"/>
        <w:numPr>
          <w:ilvl w:val="0"/>
          <w:numId w:val="128"/>
        </w:numPr>
        <w:spacing w:line="259" w:lineRule="auto"/>
        <w:ind w:left="360"/>
        <w:rPr>
          <w:rFonts w:cs="Arial"/>
          <w:b/>
          <w:bCs/>
          <w:szCs w:val="21"/>
        </w:rPr>
      </w:pPr>
      <w:r w:rsidRPr="00D579BE">
        <w:rPr>
          <w:rFonts w:cs="Arial"/>
          <w:b/>
          <w:bCs/>
          <w:i/>
          <w:iCs/>
          <w:szCs w:val="21"/>
        </w:rPr>
        <w:t xml:space="preserve">Communication et contact avec la communauté </w:t>
      </w:r>
    </w:p>
    <w:p w14:paraId="59C42DE3" w14:textId="77777777" w:rsidR="009021F1" w:rsidRPr="00D579BE" w:rsidRDefault="009021F1" w:rsidP="009021F1">
      <w:pPr>
        <w:rPr>
          <w:rFonts w:cs="Arial"/>
          <w:szCs w:val="21"/>
        </w:rPr>
      </w:pPr>
    </w:p>
    <w:p w14:paraId="56214ADC" w14:textId="77777777" w:rsidR="009021F1" w:rsidRDefault="009021F1" w:rsidP="009021F1">
      <w:pPr>
        <w:rPr>
          <w:rFonts w:cs="Arial"/>
          <w:szCs w:val="21"/>
        </w:rPr>
      </w:pPr>
      <w:r w:rsidRPr="00D579BE">
        <w:rPr>
          <w:rFonts w:cs="Arial"/>
          <w:szCs w:val="21"/>
        </w:rPr>
        <w:t xml:space="preserve">Les relations avec la communauté doivent être gérées avec soin, en mettant l'accent sur les mesures mises en œuvre pour protéger les travailleurs et la communauté. La communauté peut être préoccupée par la présence de travailleurs non locaux ou par les risques posés à la communauté par la présence de travailleurs locaux sur le site du projet. Le projet doit définir les procédures fondées sur les risques à suivre, qui peuvent refléter les orientations de l'OMS (pour de plus amples informations, voir le plan d'action de l'OMS sur la communication des risques et l'engagement communautaire (RCCE) COVID-19 Préparation et réponse ; </w:t>
      </w:r>
      <w:hyperlink r:id="rId162" w:history="1">
        <w:r w:rsidRPr="008F3C69">
          <w:rPr>
            <w:rStyle w:val="Lienhypertexte"/>
            <w:rFonts w:cs="Arial"/>
            <w:szCs w:val="21"/>
          </w:rPr>
          <w:t>https://www.who.int/publications-detail/risk-communication-and-community-engagement-(rcce)-action-plan-guidance)</w:t>
        </w:r>
      </w:hyperlink>
      <w:r w:rsidRPr="00D579BE">
        <w:rPr>
          <w:rFonts w:cs="Arial"/>
          <w:szCs w:val="21"/>
        </w:rPr>
        <w:t xml:space="preserve">. </w:t>
      </w:r>
    </w:p>
    <w:p w14:paraId="5641BB41" w14:textId="77777777" w:rsidR="009021F1" w:rsidRPr="00D579BE" w:rsidRDefault="009021F1" w:rsidP="009021F1">
      <w:pPr>
        <w:rPr>
          <w:rFonts w:cs="Arial"/>
          <w:szCs w:val="21"/>
        </w:rPr>
      </w:pPr>
    </w:p>
    <w:p w14:paraId="32B98495" w14:textId="77777777" w:rsidR="009021F1" w:rsidRPr="00D579BE" w:rsidRDefault="009021F1" w:rsidP="009021F1">
      <w:pPr>
        <w:rPr>
          <w:rFonts w:cs="Arial"/>
          <w:szCs w:val="21"/>
        </w:rPr>
      </w:pPr>
      <w:r w:rsidRPr="00D579BE">
        <w:rPr>
          <w:rFonts w:cs="Arial"/>
          <w:szCs w:val="21"/>
        </w:rPr>
        <w:t>Les bonnes pratiques suivantes doivent être prises en compte :</w:t>
      </w:r>
    </w:p>
    <w:p w14:paraId="1220050C" w14:textId="77777777" w:rsidR="009021F1" w:rsidRPr="00D579BE" w:rsidRDefault="009021F1" w:rsidP="009021F1">
      <w:pPr>
        <w:rPr>
          <w:rFonts w:cs="Arial"/>
          <w:szCs w:val="21"/>
        </w:rPr>
      </w:pPr>
    </w:p>
    <w:p w14:paraId="716E6AAF" w14:textId="77777777" w:rsidR="009021F1" w:rsidRPr="00D579BE" w:rsidRDefault="009021F1" w:rsidP="009021F1">
      <w:pPr>
        <w:pStyle w:val="Paragraphedeliste"/>
        <w:numPr>
          <w:ilvl w:val="0"/>
          <w:numId w:val="129"/>
        </w:numPr>
        <w:spacing w:line="259" w:lineRule="auto"/>
        <w:ind w:left="540"/>
        <w:rPr>
          <w:rFonts w:cs="Arial"/>
          <w:szCs w:val="21"/>
        </w:rPr>
      </w:pPr>
      <w:r w:rsidRPr="00D579BE">
        <w:rPr>
          <w:rFonts w:cs="Arial"/>
          <w:szCs w:val="21"/>
        </w:rPr>
        <w:t>Les communications doivent être claires, régulières, fondées sur des faits et conçues pour être facilement comprises par les membres de la communauté.</w:t>
      </w:r>
    </w:p>
    <w:p w14:paraId="33FFA6CC" w14:textId="77777777" w:rsidR="009021F1" w:rsidRPr="00D579BE" w:rsidRDefault="009021F1" w:rsidP="009021F1">
      <w:pPr>
        <w:pStyle w:val="Paragraphedeliste"/>
        <w:numPr>
          <w:ilvl w:val="0"/>
          <w:numId w:val="129"/>
        </w:numPr>
        <w:spacing w:line="259" w:lineRule="auto"/>
        <w:ind w:left="540"/>
        <w:rPr>
          <w:rFonts w:cs="Arial"/>
          <w:szCs w:val="21"/>
        </w:rPr>
      </w:pPr>
      <w:r w:rsidRPr="00D579BE">
        <w:rPr>
          <w:rFonts w:cs="Arial"/>
          <w:szCs w:val="21"/>
        </w:rPr>
        <w:t>Les communications devraient utiliser les moyens disponibles. Dans la plupart des cas, des rencontres en personne avec la communauté ou des représentants de la communauté ne seront pas possibles. D'autres formes de communication devraient être utilisées : affiches, brochures, radio, SMS, réunions électroniques. Les moyens utilisés devraient prendre en compte la capacité des différents membres de la communauté à y accéder, pour s'assurer que la communication parvienne à ces groupes.</w:t>
      </w:r>
    </w:p>
    <w:p w14:paraId="71AEB740" w14:textId="77777777" w:rsidR="009021F1" w:rsidRPr="00D579BE" w:rsidRDefault="009021F1" w:rsidP="009021F1">
      <w:pPr>
        <w:pStyle w:val="Paragraphedeliste"/>
        <w:numPr>
          <w:ilvl w:val="0"/>
          <w:numId w:val="129"/>
        </w:numPr>
        <w:spacing w:line="259" w:lineRule="auto"/>
        <w:ind w:left="540"/>
        <w:rPr>
          <w:rFonts w:cs="Arial"/>
          <w:szCs w:val="21"/>
        </w:rPr>
      </w:pPr>
      <w:r w:rsidRPr="00D579BE">
        <w:rPr>
          <w:rFonts w:cs="Arial"/>
          <w:szCs w:val="21"/>
        </w:rPr>
        <w:t>La communauté doit être informée des procédures mises en place sur le site pour résoudre les problèmes liés à COVID-19. Cela devrait inclure toutes les mesures mises en œuvre pour limiter ou interdire les contacts entre les travailleurs et la communauté. Ceux-ci doivent être communiqués clairement, car certaines mesures auront des implications financières pour la communauté (par exemple, si les travailleurs paient pour le logement ou utilisent les installations locales). La communauté doit être informée de la procédure d'entrée / sortie sur le site, de la formation dispensée aux travailleurs et de la procédure qui sera suivie par le projet si un travailleur tombe malade.</w:t>
      </w:r>
    </w:p>
    <w:p w14:paraId="56B8F59B" w14:textId="77777777" w:rsidR="009021F1" w:rsidRPr="00D579BE" w:rsidRDefault="009021F1" w:rsidP="009021F1">
      <w:pPr>
        <w:pStyle w:val="Paragraphedeliste"/>
        <w:numPr>
          <w:ilvl w:val="0"/>
          <w:numId w:val="129"/>
        </w:numPr>
        <w:spacing w:line="259" w:lineRule="auto"/>
        <w:ind w:left="540"/>
        <w:rPr>
          <w:rFonts w:cs="Arial"/>
          <w:szCs w:val="21"/>
        </w:rPr>
      </w:pPr>
      <w:r w:rsidRPr="00D579BE">
        <w:rPr>
          <w:rFonts w:cs="Arial"/>
          <w:szCs w:val="21"/>
        </w:rPr>
        <w:t>Si les représentants du projet, les sous-traitants ou les travailleurs interagissent avec la communauté, ils doivent pratiquer la distanciation sociale et suivre les autres directives COVID-19 émises par les autorités compétentes, nationales et internationales (par exemple l'OMS).</w:t>
      </w:r>
    </w:p>
    <w:p w14:paraId="10B30FC2" w14:textId="77777777" w:rsidR="009021F1" w:rsidRPr="00D579BE" w:rsidRDefault="009021F1" w:rsidP="009021F1">
      <w:pPr>
        <w:pStyle w:val="Paragraphedeliste"/>
        <w:numPr>
          <w:ilvl w:val="0"/>
          <w:numId w:val="129"/>
        </w:numPr>
        <w:spacing w:line="259" w:lineRule="auto"/>
        <w:ind w:left="540"/>
        <w:rPr>
          <w:rFonts w:cs="Arial"/>
          <w:szCs w:val="21"/>
        </w:rPr>
      </w:pPr>
      <w:r w:rsidRPr="00D579BE">
        <w:rPr>
          <w:rFonts w:cs="Arial"/>
          <w:szCs w:val="21"/>
        </w:rPr>
        <w:t>Autoriser le recours à la police ou à l'armée dans certaines activités (par exemple, appliquer des couvre-feux ou des restrictions de mouvement)</w:t>
      </w:r>
    </w:p>
    <w:p w14:paraId="40702DCA" w14:textId="77777777" w:rsidR="009021F1" w:rsidRPr="00D579BE" w:rsidRDefault="009021F1" w:rsidP="009021F1">
      <w:pPr>
        <w:pStyle w:val="Paragraphedeliste"/>
        <w:numPr>
          <w:ilvl w:val="0"/>
          <w:numId w:val="129"/>
        </w:numPr>
        <w:spacing w:line="259" w:lineRule="auto"/>
        <w:ind w:left="540"/>
        <w:rPr>
          <w:rFonts w:cs="Arial"/>
          <w:szCs w:val="21"/>
        </w:rPr>
      </w:pPr>
      <w:r w:rsidRPr="00D579BE">
        <w:rPr>
          <w:rFonts w:cs="Arial"/>
          <w:szCs w:val="21"/>
        </w:rPr>
        <w:t>Ordonner à certaines catégories d'employés de travailler de plus longues heures, de ne pas prendre de vacances ou de ne pas quitter leur emploi (par exemple, les agents de santé)</w:t>
      </w:r>
    </w:p>
    <w:p w14:paraId="2A996D95" w14:textId="77777777" w:rsidR="009021F1" w:rsidRPr="00D579BE" w:rsidRDefault="009021F1" w:rsidP="009021F1">
      <w:pPr>
        <w:pStyle w:val="Paragraphedeliste"/>
        <w:numPr>
          <w:ilvl w:val="0"/>
          <w:numId w:val="129"/>
        </w:numPr>
        <w:spacing w:line="259" w:lineRule="auto"/>
        <w:ind w:left="540"/>
        <w:rPr>
          <w:rFonts w:cs="Arial"/>
          <w:szCs w:val="21"/>
        </w:rPr>
      </w:pPr>
      <w:r w:rsidRPr="00D579BE">
        <w:rPr>
          <w:rFonts w:cs="Arial"/>
          <w:szCs w:val="21"/>
        </w:rPr>
        <w:t>Ordonner aux travailleurs non essentiels de rester à la maison, pour un salaire réduit ou des vacances obligatoires</w:t>
      </w:r>
    </w:p>
    <w:p w14:paraId="5B0DC6BE" w14:textId="77777777" w:rsidR="009021F1" w:rsidRPr="00D579BE" w:rsidRDefault="009021F1" w:rsidP="009021F1">
      <w:pPr>
        <w:ind w:left="180"/>
        <w:rPr>
          <w:rFonts w:cs="Arial"/>
          <w:szCs w:val="21"/>
        </w:rPr>
      </w:pPr>
    </w:p>
    <w:p w14:paraId="3A8E4A27" w14:textId="77777777" w:rsidR="009021F1" w:rsidRPr="00D579BE" w:rsidRDefault="009021F1" w:rsidP="009021F1">
      <w:pPr>
        <w:ind w:left="180"/>
        <w:rPr>
          <w:rFonts w:cs="Arial"/>
          <w:szCs w:val="21"/>
        </w:rPr>
      </w:pPr>
      <w:r w:rsidRPr="00D579BE">
        <w:rPr>
          <w:rFonts w:cs="Arial"/>
          <w:szCs w:val="21"/>
        </w:rPr>
        <w:t>Il est important que l'emprunteur comprenne comment les exigences obligatoires de la législation auront un impact sur le projet. Les UGP devraient demander aux contractants d'examiner comment la législation d'urgence affectera les obligations de l'emprunteur énoncées dans l'accord juridique et les obligations énoncées dans les contrats de construction. Lorsque la législation exige une dérogation substantielle aux obligations contractuelles existantes, cela devrait être documenté, énonçant les dispositions pertinentes.</w:t>
      </w:r>
    </w:p>
    <w:p w14:paraId="7FBF9FEB" w14:textId="77777777" w:rsidR="009021F1" w:rsidRPr="00D579BE" w:rsidRDefault="009021F1" w:rsidP="009021F1">
      <w:pPr>
        <w:pStyle w:val="Titre1"/>
        <w:tabs>
          <w:tab w:val="right" w:pos="9062"/>
        </w:tabs>
        <w:ind w:left="1560" w:hanging="1560"/>
        <w:rPr>
          <w:rFonts w:cs="Arial"/>
          <w:szCs w:val="21"/>
        </w:rPr>
      </w:pPr>
      <w:r w:rsidRPr="00D579BE">
        <w:rPr>
          <w:rFonts w:cs="Arial"/>
          <w:szCs w:val="21"/>
        </w:rPr>
        <w:br w:type="page"/>
      </w:r>
    </w:p>
    <w:p w14:paraId="7566EDD5" w14:textId="77777777" w:rsidR="009021F1" w:rsidRPr="00D579BE" w:rsidRDefault="009021F1" w:rsidP="009021F1">
      <w:pPr>
        <w:pStyle w:val="Titre1"/>
        <w:tabs>
          <w:tab w:val="right" w:pos="9062"/>
        </w:tabs>
        <w:ind w:left="1560" w:hanging="1560"/>
        <w:rPr>
          <w:b w:val="0"/>
          <w:szCs w:val="21"/>
        </w:rPr>
      </w:pPr>
      <w:bookmarkStart w:id="497" w:name="_Toc90471603"/>
      <w:r w:rsidRPr="00D579BE">
        <w:rPr>
          <w:rFonts w:cs="Arial"/>
          <w:szCs w:val="21"/>
        </w:rPr>
        <w:t xml:space="preserve">ANNEXE </w:t>
      </w:r>
      <w:r>
        <w:rPr>
          <w:rFonts w:cs="Arial"/>
          <w:szCs w:val="21"/>
        </w:rPr>
        <w:t>13</w:t>
      </w:r>
      <w:r w:rsidRPr="00D579BE">
        <w:rPr>
          <w:rFonts w:cs="Arial"/>
          <w:szCs w:val="21"/>
        </w:rPr>
        <w:t>. BUDGET DE LA MISE EN ŒUVRE DU PLAN D’ACTION EAS/HS</w:t>
      </w:r>
      <w:bookmarkEnd w:id="497"/>
    </w:p>
    <w:p w14:paraId="08BF0123" w14:textId="77777777" w:rsidR="009021F1" w:rsidRPr="00D579BE" w:rsidRDefault="009021F1" w:rsidP="009021F1">
      <w:pPr>
        <w:rPr>
          <w:szCs w:val="21"/>
        </w:rPr>
      </w:pPr>
    </w:p>
    <w:p w14:paraId="229B5FD4" w14:textId="77777777" w:rsidR="009021F1" w:rsidRPr="00D579BE" w:rsidRDefault="009021F1" w:rsidP="009021F1">
      <w:pPr>
        <w:rPr>
          <w:szCs w:val="21"/>
          <w:u w:val="single"/>
        </w:rPr>
      </w:pPr>
      <w:r w:rsidRPr="00D579BE">
        <w:rPr>
          <w:szCs w:val="21"/>
        </w:rPr>
        <w:t xml:space="preserve"> Budget de la mise en œuvre du Plan d’action EAS/HS du PNDA</w:t>
      </w:r>
    </w:p>
    <w:p w14:paraId="3DB7FFC3" w14:textId="77777777" w:rsidR="009021F1" w:rsidRPr="00BB0401" w:rsidRDefault="009021F1" w:rsidP="009021F1">
      <w:pPr>
        <w:rPr>
          <w:sz w:val="22"/>
          <w:u w:val="single"/>
        </w:rPr>
      </w:pPr>
    </w:p>
    <w:tbl>
      <w:tblPr>
        <w:tblW w:w="10256" w:type="dxa"/>
        <w:tblInd w:w="-572" w:type="dxa"/>
        <w:tblCellMar>
          <w:left w:w="70" w:type="dxa"/>
          <w:right w:w="70" w:type="dxa"/>
        </w:tblCellMar>
        <w:tblLook w:val="04A0" w:firstRow="1" w:lastRow="0" w:firstColumn="1" w:lastColumn="0" w:noHBand="0" w:noVBand="1"/>
      </w:tblPr>
      <w:tblGrid>
        <w:gridCol w:w="420"/>
        <w:gridCol w:w="4929"/>
        <w:gridCol w:w="1052"/>
        <w:gridCol w:w="1162"/>
        <w:gridCol w:w="567"/>
        <w:gridCol w:w="927"/>
        <w:gridCol w:w="1200"/>
      </w:tblGrid>
      <w:tr w:rsidR="009021F1" w:rsidRPr="0008598F" w14:paraId="439274BB" w14:textId="77777777" w:rsidTr="00E637E3">
        <w:trPr>
          <w:trHeight w:val="360"/>
          <w:tblHeader/>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DBBB13" w14:textId="77777777" w:rsidR="009021F1" w:rsidRPr="0008598F" w:rsidRDefault="009021F1" w:rsidP="00E637E3">
            <w:pPr>
              <w:spacing w:line="240" w:lineRule="auto"/>
              <w:jc w:val="left"/>
              <w:rPr>
                <w:rFonts w:cs="Arial"/>
                <w:color w:val="000000"/>
                <w:sz w:val="20"/>
                <w:szCs w:val="20"/>
              </w:rPr>
            </w:pPr>
            <w:r w:rsidRPr="0008598F">
              <w:rPr>
                <w:rFonts w:cs="Arial"/>
                <w:color w:val="000000"/>
                <w:sz w:val="20"/>
                <w:szCs w:val="20"/>
              </w:rPr>
              <w:t>N°</w:t>
            </w:r>
          </w:p>
        </w:tc>
        <w:tc>
          <w:tcPr>
            <w:tcW w:w="5392" w:type="dxa"/>
            <w:tcBorders>
              <w:top w:val="single" w:sz="4" w:space="0" w:color="auto"/>
              <w:left w:val="nil"/>
              <w:bottom w:val="single" w:sz="4" w:space="0" w:color="auto"/>
              <w:right w:val="single" w:sz="4" w:space="0" w:color="auto"/>
            </w:tcBorders>
            <w:shd w:val="clear" w:color="auto" w:fill="auto"/>
            <w:vAlign w:val="center"/>
            <w:hideMark/>
          </w:tcPr>
          <w:p w14:paraId="46A49C92" w14:textId="77777777" w:rsidR="009021F1" w:rsidRPr="0008598F" w:rsidRDefault="009021F1" w:rsidP="00E637E3">
            <w:pPr>
              <w:spacing w:line="240" w:lineRule="auto"/>
              <w:jc w:val="center"/>
              <w:rPr>
                <w:rFonts w:cs="Arial"/>
                <w:color w:val="000000"/>
                <w:sz w:val="20"/>
                <w:szCs w:val="20"/>
              </w:rPr>
            </w:pPr>
            <w:r w:rsidRPr="0008598F">
              <w:rPr>
                <w:rFonts w:cs="Arial"/>
                <w:color w:val="000000"/>
                <w:sz w:val="20"/>
                <w:szCs w:val="20"/>
              </w:rPr>
              <w:t>Activités planifiées</w:t>
            </w:r>
          </w:p>
        </w:tc>
        <w:tc>
          <w:tcPr>
            <w:tcW w:w="529" w:type="dxa"/>
            <w:tcBorders>
              <w:top w:val="single" w:sz="4" w:space="0" w:color="auto"/>
              <w:left w:val="nil"/>
              <w:bottom w:val="single" w:sz="4" w:space="0" w:color="auto"/>
              <w:right w:val="single" w:sz="4" w:space="0" w:color="auto"/>
            </w:tcBorders>
            <w:shd w:val="clear" w:color="auto" w:fill="auto"/>
            <w:vAlign w:val="center"/>
            <w:hideMark/>
          </w:tcPr>
          <w:p w14:paraId="3417709F" w14:textId="77777777" w:rsidR="009021F1" w:rsidRPr="0008598F" w:rsidRDefault="009021F1" w:rsidP="00E637E3">
            <w:pPr>
              <w:spacing w:line="240" w:lineRule="auto"/>
              <w:jc w:val="center"/>
              <w:rPr>
                <w:rFonts w:cs="Arial"/>
                <w:sz w:val="20"/>
                <w:szCs w:val="20"/>
              </w:rPr>
            </w:pPr>
            <w:r w:rsidRPr="0008598F">
              <w:rPr>
                <w:rFonts w:cs="Arial"/>
                <w:sz w:val="20"/>
                <w:szCs w:val="20"/>
              </w:rPr>
              <w:t>Unité</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14:paraId="0248469A" w14:textId="77777777" w:rsidR="009021F1" w:rsidRPr="0008598F" w:rsidRDefault="009021F1" w:rsidP="00E637E3">
            <w:pPr>
              <w:spacing w:line="240" w:lineRule="auto"/>
              <w:jc w:val="center"/>
              <w:rPr>
                <w:rFonts w:cs="Arial"/>
                <w:sz w:val="20"/>
                <w:szCs w:val="20"/>
              </w:rPr>
            </w:pPr>
            <w:r w:rsidRPr="0008598F">
              <w:rPr>
                <w:rFonts w:cs="Arial"/>
                <w:sz w:val="20"/>
                <w:szCs w:val="20"/>
              </w:rPr>
              <w:t>Fréquence</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29C93652" w14:textId="77777777" w:rsidR="009021F1" w:rsidRPr="0008598F" w:rsidRDefault="009021F1" w:rsidP="00E637E3">
            <w:pPr>
              <w:spacing w:line="240" w:lineRule="auto"/>
              <w:jc w:val="center"/>
              <w:rPr>
                <w:rFonts w:cs="Arial"/>
                <w:sz w:val="20"/>
                <w:szCs w:val="20"/>
              </w:rPr>
            </w:pPr>
            <w:r w:rsidRPr="0008598F">
              <w:rPr>
                <w:rFonts w:cs="Arial"/>
                <w:sz w:val="20"/>
                <w:szCs w:val="20"/>
              </w:rPr>
              <w:t>Qté</w:t>
            </w:r>
          </w:p>
        </w:tc>
        <w:tc>
          <w:tcPr>
            <w:tcW w:w="956" w:type="dxa"/>
            <w:tcBorders>
              <w:top w:val="single" w:sz="4" w:space="0" w:color="auto"/>
              <w:left w:val="nil"/>
              <w:bottom w:val="single" w:sz="4" w:space="0" w:color="auto"/>
              <w:right w:val="single" w:sz="4" w:space="0" w:color="auto"/>
            </w:tcBorders>
            <w:shd w:val="clear" w:color="auto" w:fill="auto"/>
            <w:vAlign w:val="center"/>
            <w:hideMark/>
          </w:tcPr>
          <w:p w14:paraId="2735C05C" w14:textId="77777777" w:rsidR="009021F1" w:rsidRPr="0008598F" w:rsidRDefault="009021F1" w:rsidP="00E637E3">
            <w:pPr>
              <w:spacing w:line="240" w:lineRule="auto"/>
              <w:jc w:val="center"/>
              <w:rPr>
                <w:rFonts w:cs="Arial"/>
                <w:sz w:val="20"/>
                <w:szCs w:val="20"/>
              </w:rPr>
            </w:pPr>
            <w:r w:rsidRPr="0008598F">
              <w:rPr>
                <w:rFonts w:cs="Arial"/>
                <w:sz w:val="20"/>
                <w:szCs w:val="20"/>
              </w:rPr>
              <w:t>Coût unitaire</w:t>
            </w:r>
          </w:p>
          <w:p w14:paraId="5421485C" w14:textId="77777777" w:rsidR="009021F1" w:rsidRPr="0008598F" w:rsidRDefault="009021F1" w:rsidP="00E637E3">
            <w:pPr>
              <w:spacing w:line="240" w:lineRule="auto"/>
              <w:jc w:val="center"/>
              <w:rPr>
                <w:rFonts w:cs="Arial"/>
                <w:sz w:val="20"/>
                <w:szCs w:val="20"/>
              </w:rPr>
            </w:pPr>
            <w:r w:rsidRPr="0008598F">
              <w:rPr>
                <w:rFonts w:cs="Arial"/>
                <w:sz w:val="20"/>
                <w:szCs w:val="20"/>
              </w:rPr>
              <w:t>en USD</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1BE1E171" w14:textId="77777777" w:rsidR="009021F1" w:rsidRPr="0008598F" w:rsidRDefault="009021F1" w:rsidP="00E637E3">
            <w:pPr>
              <w:spacing w:line="240" w:lineRule="auto"/>
              <w:rPr>
                <w:rFonts w:cs="Arial"/>
                <w:sz w:val="20"/>
                <w:szCs w:val="20"/>
              </w:rPr>
            </w:pPr>
            <w:r w:rsidRPr="0008598F">
              <w:rPr>
                <w:rFonts w:cs="Arial"/>
                <w:sz w:val="20"/>
                <w:szCs w:val="20"/>
              </w:rPr>
              <w:t>Coût total en USD</w:t>
            </w:r>
          </w:p>
        </w:tc>
      </w:tr>
      <w:tr w:rsidR="009021F1" w:rsidRPr="0008598F" w14:paraId="6B53C92F" w14:textId="77777777" w:rsidTr="00E637E3">
        <w:trPr>
          <w:trHeight w:val="105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64950B1D" w14:textId="77777777" w:rsidR="009021F1" w:rsidRPr="0008598F" w:rsidRDefault="009021F1" w:rsidP="00E637E3">
            <w:pPr>
              <w:spacing w:line="240" w:lineRule="auto"/>
              <w:jc w:val="right"/>
              <w:rPr>
                <w:rFonts w:cs="Arial"/>
                <w:color w:val="000000"/>
                <w:sz w:val="20"/>
                <w:szCs w:val="20"/>
              </w:rPr>
            </w:pPr>
            <w:r w:rsidRPr="0008598F">
              <w:rPr>
                <w:rFonts w:cs="Arial"/>
                <w:color w:val="000000"/>
                <w:sz w:val="20"/>
                <w:szCs w:val="20"/>
              </w:rPr>
              <w:t>1</w:t>
            </w:r>
          </w:p>
        </w:tc>
        <w:tc>
          <w:tcPr>
            <w:tcW w:w="5392" w:type="dxa"/>
            <w:tcBorders>
              <w:top w:val="nil"/>
              <w:left w:val="nil"/>
              <w:bottom w:val="single" w:sz="4" w:space="0" w:color="auto"/>
              <w:right w:val="single" w:sz="4" w:space="0" w:color="auto"/>
            </w:tcBorders>
            <w:shd w:val="clear" w:color="auto" w:fill="auto"/>
            <w:vAlign w:val="center"/>
            <w:hideMark/>
          </w:tcPr>
          <w:p w14:paraId="44D847ED" w14:textId="77777777" w:rsidR="009021F1" w:rsidRPr="0008598F" w:rsidRDefault="009021F1" w:rsidP="00E637E3">
            <w:pPr>
              <w:spacing w:line="240" w:lineRule="auto"/>
              <w:rPr>
                <w:rFonts w:cs="Arial"/>
                <w:color w:val="000000"/>
                <w:sz w:val="20"/>
                <w:szCs w:val="20"/>
              </w:rPr>
            </w:pPr>
            <w:r w:rsidRPr="0008598F">
              <w:rPr>
                <w:rFonts w:cs="Arial"/>
                <w:color w:val="000000"/>
                <w:sz w:val="20"/>
                <w:szCs w:val="20"/>
              </w:rPr>
              <w:t>Organiser des petites évaluations rapides des risques d’EAS/HS tout au long de la mise en œuvre, par Province, qui peuvent être générés et/ou exacerbés par les travaux liés au projet, formuler des mesures d’atténuation, prévention et réponse dans la conception du projet.</w:t>
            </w:r>
          </w:p>
        </w:tc>
        <w:tc>
          <w:tcPr>
            <w:tcW w:w="529" w:type="dxa"/>
            <w:tcBorders>
              <w:top w:val="nil"/>
              <w:left w:val="nil"/>
              <w:bottom w:val="single" w:sz="4" w:space="0" w:color="auto"/>
              <w:right w:val="single" w:sz="4" w:space="0" w:color="auto"/>
            </w:tcBorders>
            <w:shd w:val="clear" w:color="auto" w:fill="auto"/>
            <w:vAlign w:val="center"/>
            <w:hideMark/>
          </w:tcPr>
          <w:p w14:paraId="384C3A9F" w14:textId="77777777" w:rsidR="009021F1" w:rsidRPr="0008598F" w:rsidRDefault="009021F1" w:rsidP="00E637E3">
            <w:pPr>
              <w:spacing w:line="240" w:lineRule="auto"/>
              <w:jc w:val="center"/>
              <w:rPr>
                <w:rFonts w:cs="Arial"/>
                <w:sz w:val="20"/>
                <w:szCs w:val="20"/>
              </w:rPr>
            </w:pPr>
            <w:r w:rsidRPr="0008598F">
              <w:rPr>
                <w:rFonts w:cs="Arial"/>
                <w:sz w:val="20"/>
                <w:szCs w:val="20"/>
              </w:rPr>
              <w:t>Jour</w:t>
            </w:r>
          </w:p>
        </w:tc>
        <w:tc>
          <w:tcPr>
            <w:tcW w:w="1192" w:type="dxa"/>
            <w:tcBorders>
              <w:top w:val="nil"/>
              <w:left w:val="nil"/>
              <w:bottom w:val="single" w:sz="4" w:space="0" w:color="auto"/>
              <w:right w:val="single" w:sz="4" w:space="0" w:color="auto"/>
            </w:tcBorders>
            <w:shd w:val="clear" w:color="auto" w:fill="auto"/>
            <w:vAlign w:val="center"/>
            <w:hideMark/>
          </w:tcPr>
          <w:p w14:paraId="5F71B256" w14:textId="77777777" w:rsidR="009021F1" w:rsidRPr="0008598F" w:rsidRDefault="009021F1" w:rsidP="00E637E3">
            <w:pPr>
              <w:spacing w:line="240" w:lineRule="auto"/>
              <w:jc w:val="center"/>
              <w:rPr>
                <w:rFonts w:cs="Arial"/>
                <w:sz w:val="20"/>
                <w:szCs w:val="20"/>
              </w:rPr>
            </w:pPr>
            <w:r w:rsidRPr="0008598F">
              <w:rPr>
                <w:rFonts w:cs="Arial"/>
                <w:sz w:val="20"/>
                <w:szCs w:val="20"/>
              </w:rPr>
              <w:t>6</w:t>
            </w:r>
          </w:p>
        </w:tc>
        <w:tc>
          <w:tcPr>
            <w:tcW w:w="567" w:type="dxa"/>
            <w:tcBorders>
              <w:top w:val="nil"/>
              <w:left w:val="nil"/>
              <w:bottom w:val="single" w:sz="4" w:space="0" w:color="auto"/>
              <w:right w:val="single" w:sz="4" w:space="0" w:color="auto"/>
            </w:tcBorders>
            <w:shd w:val="clear" w:color="auto" w:fill="auto"/>
            <w:vAlign w:val="center"/>
            <w:hideMark/>
          </w:tcPr>
          <w:p w14:paraId="27D37F82" w14:textId="77777777" w:rsidR="009021F1" w:rsidRPr="0008598F" w:rsidRDefault="009021F1" w:rsidP="00E637E3">
            <w:pPr>
              <w:spacing w:line="240" w:lineRule="auto"/>
              <w:jc w:val="center"/>
              <w:rPr>
                <w:rFonts w:cs="Arial"/>
                <w:sz w:val="20"/>
                <w:szCs w:val="20"/>
              </w:rPr>
            </w:pPr>
            <w:r w:rsidRPr="0008598F">
              <w:rPr>
                <w:rFonts w:cs="Arial"/>
                <w:sz w:val="20"/>
                <w:szCs w:val="20"/>
              </w:rPr>
              <w:t>10</w:t>
            </w:r>
          </w:p>
        </w:tc>
        <w:tc>
          <w:tcPr>
            <w:tcW w:w="956" w:type="dxa"/>
            <w:tcBorders>
              <w:top w:val="nil"/>
              <w:left w:val="nil"/>
              <w:bottom w:val="single" w:sz="4" w:space="0" w:color="auto"/>
              <w:right w:val="single" w:sz="4" w:space="0" w:color="auto"/>
            </w:tcBorders>
            <w:shd w:val="clear" w:color="auto" w:fill="auto"/>
            <w:vAlign w:val="center"/>
            <w:hideMark/>
          </w:tcPr>
          <w:p w14:paraId="77CF7823" w14:textId="77777777" w:rsidR="009021F1" w:rsidRPr="0008598F" w:rsidRDefault="009021F1" w:rsidP="00E637E3">
            <w:pPr>
              <w:spacing w:line="240" w:lineRule="auto"/>
              <w:jc w:val="center"/>
              <w:rPr>
                <w:rFonts w:cs="Arial"/>
                <w:sz w:val="20"/>
                <w:szCs w:val="20"/>
              </w:rPr>
            </w:pPr>
            <w:r w:rsidRPr="0008598F">
              <w:rPr>
                <w:rFonts w:cs="Arial"/>
                <w:sz w:val="20"/>
                <w:szCs w:val="20"/>
              </w:rPr>
              <w:t>1 000</w:t>
            </w:r>
          </w:p>
        </w:tc>
        <w:tc>
          <w:tcPr>
            <w:tcW w:w="1200" w:type="dxa"/>
            <w:tcBorders>
              <w:top w:val="nil"/>
              <w:left w:val="nil"/>
              <w:bottom w:val="single" w:sz="4" w:space="0" w:color="auto"/>
              <w:right w:val="single" w:sz="4" w:space="0" w:color="auto"/>
            </w:tcBorders>
            <w:shd w:val="clear" w:color="auto" w:fill="auto"/>
            <w:noWrap/>
            <w:vAlign w:val="center"/>
            <w:hideMark/>
          </w:tcPr>
          <w:p w14:paraId="6D40D5B7" w14:textId="77777777" w:rsidR="009021F1" w:rsidRPr="0008598F" w:rsidRDefault="009021F1" w:rsidP="00E637E3">
            <w:pPr>
              <w:spacing w:line="240" w:lineRule="auto"/>
              <w:jc w:val="right"/>
              <w:rPr>
                <w:rFonts w:cs="Arial"/>
                <w:color w:val="000000"/>
                <w:sz w:val="20"/>
                <w:szCs w:val="20"/>
              </w:rPr>
            </w:pPr>
            <w:r w:rsidRPr="0008598F">
              <w:rPr>
                <w:rFonts w:cs="Arial"/>
                <w:color w:val="000000"/>
                <w:sz w:val="20"/>
                <w:szCs w:val="20"/>
              </w:rPr>
              <w:t>60 000</w:t>
            </w:r>
          </w:p>
        </w:tc>
      </w:tr>
      <w:tr w:rsidR="009021F1" w:rsidRPr="0008598F" w14:paraId="5F1C47B6" w14:textId="77777777" w:rsidTr="00E637E3">
        <w:trPr>
          <w:trHeight w:val="9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085A0C16" w14:textId="77777777" w:rsidR="009021F1" w:rsidRPr="0008598F" w:rsidRDefault="009021F1" w:rsidP="00E637E3">
            <w:pPr>
              <w:spacing w:line="240" w:lineRule="auto"/>
              <w:jc w:val="right"/>
              <w:rPr>
                <w:rFonts w:cs="Arial"/>
                <w:color w:val="000000"/>
                <w:sz w:val="20"/>
                <w:szCs w:val="20"/>
              </w:rPr>
            </w:pPr>
            <w:r w:rsidRPr="0008598F">
              <w:rPr>
                <w:rFonts w:cs="Arial"/>
                <w:color w:val="000000"/>
                <w:sz w:val="20"/>
                <w:szCs w:val="20"/>
              </w:rPr>
              <w:t>2</w:t>
            </w:r>
          </w:p>
        </w:tc>
        <w:tc>
          <w:tcPr>
            <w:tcW w:w="5392" w:type="dxa"/>
            <w:tcBorders>
              <w:top w:val="nil"/>
              <w:left w:val="nil"/>
              <w:bottom w:val="single" w:sz="4" w:space="0" w:color="auto"/>
              <w:right w:val="single" w:sz="4" w:space="0" w:color="auto"/>
            </w:tcBorders>
            <w:shd w:val="clear" w:color="auto" w:fill="auto"/>
            <w:vAlign w:val="center"/>
            <w:hideMark/>
          </w:tcPr>
          <w:p w14:paraId="018E4CC9" w14:textId="77777777" w:rsidR="009021F1" w:rsidRPr="0008598F" w:rsidRDefault="009021F1" w:rsidP="00E637E3">
            <w:pPr>
              <w:spacing w:line="240" w:lineRule="auto"/>
              <w:rPr>
                <w:rFonts w:cs="Arial"/>
                <w:color w:val="000000"/>
                <w:sz w:val="20"/>
                <w:szCs w:val="20"/>
              </w:rPr>
            </w:pPr>
            <w:r w:rsidRPr="0008598F">
              <w:rPr>
                <w:rFonts w:cs="Arial"/>
                <w:color w:val="000000"/>
                <w:sz w:val="20"/>
                <w:szCs w:val="20"/>
              </w:rPr>
              <w:t xml:space="preserve">Organiser des séances d'échange durant la mise en œuvre du projet avec les groupes les plus vulnérables aux violences pour définir les types de VBG dont ils sont affectés dans la communauté, notamment les lieux où les femmes et les filles se sentent le moins en sécurité. </w:t>
            </w:r>
          </w:p>
        </w:tc>
        <w:tc>
          <w:tcPr>
            <w:tcW w:w="529" w:type="dxa"/>
            <w:tcBorders>
              <w:top w:val="nil"/>
              <w:left w:val="nil"/>
              <w:bottom w:val="single" w:sz="4" w:space="0" w:color="auto"/>
              <w:right w:val="single" w:sz="4" w:space="0" w:color="auto"/>
            </w:tcBorders>
            <w:shd w:val="clear" w:color="auto" w:fill="auto"/>
            <w:vAlign w:val="center"/>
            <w:hideMark/>
          </w:tcPr>
          <w:p w14:paraId="4B24759D" w14:textId="77777777" w:rsidR="009021F1" w:rsidRPr="0008598F" w:rsidRDefault="009021F1" w:rsidP="00E637E3">
            <w:pPr>
              <w:spacing w:line="240" w:lineRule="auto"/>
              <w:jc w:val="center"/>
              <w:rPr>
                <w:rFonts w:cs="Arial"/>
                <w:sz w:val="20"/>
                <w:szCs w:val="20"/>
              </w:rPr>
            </w:pPr>
            <w:r w:rsidRPr="0008598F">
              <w:rPr>
                <w:rFonts w:cs="Arial"/>
                <w:sz w:val="20"/>
                <w:szCs w:val="20"/>
              </w:rPr>
              <w:t>Jour</w:t>
            </w:r>
          </w:p>
        </w:tc>
        <w:tc>
          <w:tcPr>
            <w:tcW w:w="1192" w:type="dxa"/>
            <w:tcBorders>
              <w:top w:val="nil"/>
              <w:left w:val="nil"/>
              <w:bottom w:val="single" w:sz="4" w:space="0" w:color="auto"/>
              <w:right w:val="single" w:sz="4" w:space="0" w:color="auto"/>
            </w:tcBorders>
            <w:shd w:val="clear" w:color="auto" w:fill="auto"/>
            <w:vAlign w:val="center"/>
            <w:hideMark/>
          </w:tcPr>
          <w:p w14:paraId="50C0E386" w14:textId="77777777" w:rsidR="009021F1" w:rsidRPr="0008598F" w:rsidRDefault="009021F1" w:rsidP="00E637E3">
            <w:pPr>
              <w:spacing w:line="240" w:lineRule="auto"/>
              <w:jc w:val="center"/>
              <w:rPr>
                <w:rFonts w:cs="Arial"/>
                <w:sz w:val="20"/>
                <w:szCs w:val="20"/>
              </w:rPr>
            </w:pPr>
            <w:r w:rsidRPr="0008598F">
              <w:rPr>
                <w:rFonts w:cs="Arial"/>
                <w:sz w:val="20"/>
                <w:szCs w:val="20"/>
              </w:rPr>
              <w:t>6</w:t>
            </w:r>
          </w:p>
        </w:tc>
        <w:tc>
          <w:tcPr>
            <w:tcW w:w="567" w:type="dxa"/>
            <w:tcBorders>
              <w:top w:val="nil"/>
              <w:left w:val="nil"/>
              <w:bottom w:val="single" w:sz="4" w:space="0" w:color="auto"/>
              <w:right w:val="single" w:sz="4" w:space="0" w:color="auto"/>
            </w:tcBorders>
            <w:shd w:val="clear" w:color="auto" w:fill="auto"/>
            <w:vAlign w:val="center"/>
            <w:hideMark/>
          </w:tcPr>
          <w:p w14:paraId="12E568AB" w14:textId="77777777" w:rsidR="009021F1" w:rsidRPr="0008598F" w:rsidRDefault="009021F1" w:rsidP="00E637E3">
            <w:pPr>
              <w:spacing w:line="240" w:lineRule="auto"/>
              <w:jc w:val="center"/>
              <w:rPr>
                <w:rFonts w:cs="Arial"/>
                <w:sz w:val="20"/>
                <w:szCs w:val="20"/>
              </w:rPr>
            </w:pPr>
            <w:r w:rsidRPr="0008598F">
              <w:rPr>
                <w:rFonts w:cs="Arial"/>
                <w:sz w:val="20"/>
                <w:szCs w:val="20"/>
              </w:rPr>
              <w:t>10</w:t>
            </w:r>
          </w:p>
        </w:tc>
        <w:tc>
          <w:tcPr>
            <w:tcW w:w="956" w:type="dxa"/>
            <w:tcBorders>
              <w:top w:val="nil"/>
              <w:left w:val="nil"/>
              <w:bottom w:val="single" w:sz="4" w:space="0" w:color="auto"/>
              <w:right w:val="single" w:sz="4" w:space="0" w:color="auto"/>
            </w:tcBorders>
            <w:shd w:val="clear" w:color="auto" w:fill="auto"/>
            <w:vAlign w:val="center"/>
            <w:hideMark/>
          </w:tcPr>
          <w:p w14:paraId="05ED2B8F" w14:textId="77777777" w:rsidR="009021F1" w:rsidRPr="0008598F" w:rsidRDefault="009021F1" w:rsidP="00E637E3">
            <w:pPr>
              <w:spacing w:line="240" w:lineRule="auto"/>
              <w:jc w:val="center"/>
              <w:rPr>
                <w:rFonts w:cs="Arial"/>
                <w:sz w:val="20"/>
                <w:szCs w:val="20"/>
              </w:rPr>
            </w:pPr>
            <w:r w:rsidRPr="0008598F">
              <w:rPr>
                <w:rFonts w:cs="Arial"/>
                <w:sz w:val="20"/>
                <w:szCs w:val="20"/>
              </w:rPr>
              <w:t>300</w:t>
            </w:r>
          </w:p>
        </w:tc>
        <w:tc>
          <w:tcPr>
            <w:tcW w:w="1200" w:type="dxa"/>
            <w:tcBorders>
              <w:top w:val="nil"/>
              <w:left w:val="nil"/>
              <w:bottom w:val="single" w:sz="4" w:space="0" w:color="auto"/>
              <w:right w:val="single" w:sz="4" w:space="0" w:color="auto"/>
            </w:tcBorders>
            <w:shd w:val="clear" w:color="auto" w:fill="auto"/>
            <w:noWrap/>
            <w:vAlign w:val="center"/>
            <w:hideMark/>
          </w:tcPr>
          <w:p w14:paraId="76ACD2B4" w14:textId="77777777" w:rsidR="009021F1" w:rsidRPr="0008598F" w:rsidRDefault="009021F1" w:rsidP="00E637E3">
            <w:pPr>
              <w:spacing w:line="240" w:lineRule="auto"/>
              <w:jc w:val="right"/>
              <w:rPr>
                <w:rFonts w:cs="Arial"/>
                <w:color w:val="000000"/>
                <w:sz w:val="20"/>
                <w:szCs w:val="20"/>
              </w:rPr>
            </w:pPr>
            <w:r w:rsidRPr="0008598F">
              <w:rPr>
                <w:rFonts w:cs="Arial"/>
                <w:color w:val="000000"/>
                <w:sz w:val="20"/>
                <w:szCs w:val="20"/>
              </w:rPr>
              <w:t>18 000</w:t>
            </w:r>
          </w:p>
        </w:tc>
      </w:tr>
      <w:tr w:rsidR="009021F1" w:rsidRPr="0008598F" w14:paraId="5867171D" w14:textId="77777777" w:rsidTr="00E637E3">
        <w:trPr>
          <w:trHeight w:val="652"/>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5AF808ED" w14:textId="77777777" w:rsidR="009021F1" w:rsidRPr="0008598F" w:rsidRDefault="009021F1" w:rsidP="00E637E3">
            <w:pPr>
              <w:spacing w:line="240" w:lineRule="auto"/>
              <w:jc w:val="right"/>
              <w:rPr>
                <w:rFonts w:cs="Arial"/>
                <w:color w:val="000000"/>
                <w:sz w:val="20"/>
                <w:szCs w:val="20"/>
              </w:rPr>
            </w:pPr>
            <w:r w:rsidRPr="0008598F">
              <w:rPr>
                <w:rFonts w:cs="Arial"/>
                <w:color w:val="000000"/>
                <w:sz w:val="20"/>
                <w:szCs w:val="20"/>
              </w:rPr>
              <w:t>3</w:t>
            </w:r>
          </w:p>
        </w:tc>
        <w:tc>
          <w:tcPr>
            <w:tcW w:w="5392" w:type="dxa"/>
            <w:tcBorders>
              <w:top w:val="nil"/>
              <w:left w:val="nil"/>
              <w:bottom w:val="single" w:sz="4" w:space="0" w:color="auto"/>
              <w:right w:val="single" w:sz="4" w:space="0" w:color="auto"/>
            </w:tcBorders>
            <w:shd w:val="clear" w:color="auto" w:fill="auto"/>
            <w:vAlign w:val="center"/>
            <w:hideMark/>
          </w:tcPr>
          <w:p w14:paraId="787B56F1" w14:textId="77777777" w:rsidR="009021F1" w:rsidRPr="0008598F" w:rsidRDefault="009021F1" w:rsidP="00E637E3">
            <w:pPr>
              <w:spacing w:line="240" w:lineRule="auto"/>
              <w:rPr>
                <w:rFonts w:cs="Arial"/>
                <w:color w:val="000000"/>
                <w:sz w:val="20"/>
                <w:szCs w:val="20"/>
              </w:rPr>
            </w:pPr>
            <w:r w:rsidRPr="0008598F">
              <w:rPr>
                <w:rFonts w:cs="Arial"/>
                <w:color w:val="000000"/>
                <w:sz w:val="20"/>
                <w:szCs w:val="20"/>
              </w:rPr>
              <w:t>Cartographier les interventions et les intervenants dans la prévention et réponse aux VBG, y compris l’EAS et le HS</w:t>
            </w:r>
          </w:p>
        </w:tc>
        <w:tc>
          <w:tcPr>
            <w:tcW w:w="529" w:type="dxa"/>
            <w:tcBorders>
              <w:top w:val="nil"/>
              <w:left w:val="nil"/>
              <w:bottom w:val="single" w:sz="4" w:space="0" w:color="auto"/>
              <w:right w:val="single" w:sz="4" w:space="0" w:color="auto"/>
            </w:tcBorders>
            <w:shd w:val="clear" w:color="auto" w:fill="auto"/>
            <w:vAlign w:val="center"/>
            <w:hideMark/>
          </w:tcPr>
          <w:p w14:paraId="2EC35C81" w14:textId="77777777" w:rsidR="009021F1" w:rsidRPr="0008598F" w:rsidRDefault="009021F1" w:rsidP="00E637E3">
            <w:pPr>
              <w:spacing w:line="240" w:lineRule="auto"/>
              <w:jc w:val="center"/>
              <w:rPr>
                <w:rFonts w:cs="Arial"/>
                <w:sz w:val="20"/>
                <w:szCs w:val="20"/>
              </w:rPr>
            </w:pPr>
            <w:r w:rsidRPr="0008598F">
              <w:rPr>
                <w:rFonts w:cs="Arial"/>
                <w:sz w:val="20"/>
                <w:szCs w:val="20"/>
              </w:rPr>
              <w:t>Jour</w:t>
            </w:r>
          </w:p>
        </w:tc>
        <w:tc>
          <w:tcPr>
            <w:tcW w:w="1192" w:type="dxa"/>
            <w:tcBorders>
              <w:top w:val="nil"/>
              <w:left w:val="nil"/>
              <w:bottom w:val="single" w:sz="4" w:space="0" w:color="auto"/>
              <w:right w:val="single" w:sz="4" w:space="0" w:color="auto"/>
            </w:tcBorders>
            <w:shd w:val="clear" w:color="auto" w:fill="auto"/>
            <w:vAlign w:val="center"/>
            <w:hideMark/>
          </w:tcPr>
          <w:p w14:paraId="17C08B92" w14:textId="77777777" w:rsidR="009021F1" w:rsidRPr="0008598F" w:rsidRDefault="009021F1" w:rsidP="00E637E3">
            <w:pPr>
              <w:spacing w:line="240" w:lineRule="auto"/>
              <w:jc w:val="center"/>
              <w:rPr>
                <w:rFonts w:cs="Arial"/>
                <w:sz w:val="20"/>
                <w:szCs w:val="20"/>
              </w:rPr>
            </w:pPr>
            <w:r w:rsidRPr="0008598F">
              <w:rPr>
                <w:rFonts w:cs="Arial"/>
                <w:sz w:val="20"/>
                <w:szCs w:val="20"/>
              </w:rPr>
              <w:t>6</w:t>
            </w:r>
          </w:p>
        </w:tc>
        <w:tc>
          <w:tcPr>
            <w:tcW w:w="567" w:type="dxa"/>
            <w:tcBorders>
              <w:top w:val="nil"/>
              <w:left w:val="nil"/>
              <w:bottom w:val="single" w:sz="4" w:space="0" w:color="auto"/>
              <w:right w:val="single" w:sz="4" w:space="0" w:color="auto"/>
            </w:tcBorders>
            <w:shd w:val="clear" w:color="auto" w:fill="auto"/>
            <w:noWrap/>
            <w:vAlign w:val="center"/>
            <w:hideMark/>
          </w:tcPr>
          <w:p w14:paraId="50B71730" w14:textId="77777777" w:rsidR="009021F1" w:rsidRPr="0008598F" w:rsidRDefault="009021F1" w:rsidP="00E637E3">
            <w:pPr>
              <w:spacing w:line="240" w:lineRule="auto"/>
              <w:jc w:val="center"/>
              <w:rPr>
                <w:rFonts w:cs="Arial"/>
                <w:color w:val="000000"/>
                <w:sz w:val="20"/>
                <w:szCs w:val="20"/>
              </w:rPr>
            </w:pPr>
            <w:r w:rsidRPr="0008598F">
              <w:rPr>
                <w:rFonts w:cs="Arial"/>
                <w:color w:val="000000"/>
                <w:sz w:val="20"/>
                <w:szCs w:val="20"/>
              </w:rPr>
              <w:t>1</w:t>
            </w:r>
          </w:p>
        </w:tc>
        <w:tc>
          <w:tcPr>
            <w:tcW w:w="956" w:type="dxa"/>
            <w:tcBorders>
              <w:top w:val="nil"/>
              <w:left w:val="nil"/>
              <w:bottom w:val="single" w:sz="4" w:space="0" w:color="auto"/>
              <w:right w:val="single" w:sz="4" w:space="0" w:color="auto"/>
            </w:tcBorders>
            <w:shd w:val="clear" w:color="auto" w:fill="auto"/>
            <w:vAlign w:val="center"/>
            <w:hideMark/>
          </w:tcPr>
          <w:p w14:paraId="1B015A4A" w14:textId="77777777" w:rsidR="009021F1" w:rsidRPr="0008598F" w:rsidRDefault="009021F1" w:rsidP="00E637E3">
            <w:pPr>
              <w:spacing w:line="240" w:lineRule="auto"/>
              <w:jc w:val="center"/>
              <w:rPr>
                <w:rFonts w:cs="Arial"/>
                <w:sz w:val="20"/>
                <w:szCs w:val="20"/>
              </w:rPr>
            </w:pPr>
            <w:r w:rsidRPr="0008598F">
              <w:rPr>
                <w:rFonts w:cs="Arial"/>
                <w:sz w:val="20"/>
                <w:szCs w:val="20"/>
              </w:rPr>
              <w:t>5 000</w:t>
            </w:r>
          </w:p>
        </w:tc>
        <w:tc>
          <w:tcPr>
            <w:tcW w:w="1200" w:type="dxa"/>
            <w:tcBorders>
              <w:top w:val="nil"/>
              <w:left w:val="nil"/>
              <w:bottom w:val="single" w:sz="4" w:space="0" w:color="auto"/>
              <w:right w:val="single" w:sz="4" w:space="0" w:color="auto"/>
            </w:tcBorders>
            <w:shd w:val="clear" w:color="auto" w:fill="auto"/>
            <w:noWrap/>
            <w:vAlign w:val="center"/>
            <w:hideMark/>
          </w:tcPr>
          <w:p w14:paraId="1DF19829" w14:textId="77777777" w:rsidR="009021F1" w:rsidRPr="0008598F" w:rsidRDefault="009021F1" w:rsidP="00E637E3">
            <w:pPr>
              <w:spacing w:line="240" w:lineRule="auto"/>
              <w:jc w:val="right"/>
              <w:rPr>
                <w:rFonts w:cs="Arial"/>
                <w:color w:val="000000"/>
                <w:sz w:val="20"/>
                <w:szCs w:val="20"/>
              </w:rPr>
            </w:pPr>
            <w:r w:rsidRPr="0008598F">
              <w:rPr>
                <w:rFonts w:cs="Arial"/>
                <w:color w:val="000000"/>
                <w:sz w:val="20"/>
                <w:szCs w:val="20"/>
              </w:rPr>
              <w:t>30 000</w:t>
            </w:r>
          </w:p>
        </w:tc>
      </w:tr>
      <w:tr w:rsidR="009021F1" w:rsidRPr="0008598F" w14:paraId="481FCFD4" w14:textId="77777777" w:rsidTr="00E637E3">
        <w:trPr>
          <w:trHeight w:val="934"/>
        </w:trPr>
        <w:tc>
          <w:tcPr>
            <w:tcW w:w="420" w:type="dxa"/>
            <w:tcBorders>
              <w:top w:val="nil"/>
              <w:left w:val="single" w:sz="4" w:space="0" w:color="auto"/>
              <w:bottom w:val="single" w:sz="4" w:space="0" w:color="auto"/>
              <w:right w:val="single" w:sz="4" w:space="0" w:color="auto"/>
            </w:tcBorders>
            <w:shd w:val="clear" w:color="auto" w:fill="auto"/>
            <w:noWrap/>
            <w:vAlign w:val="center"/>
          </w:tcPr>
          <w:p w14:paraId="05EE928C" w14:textId="77777777" w:rsidR="009021F1" w:rsidRPr="0008598F" w:rsidRDefault="009021F1" w:rsidP="00E637E3">
            <w:pPr>
              <w:spacing w:line="240" w:lineRule="auto"/>
              <w:jc w:val="right"/>
              <w:rPr>
                <w:rFonts w:cs="Arial"/>
                <w:color w:val="000000"/>
                <w:sz w:val="20"/>
                <w:szCs w:val="20"/>
              </w:rPr>
            </w:pPr>
            <w:r w:rsidRPr="0008598F">
              <w:rPr>
                <w:rFonts w:cs="Arial"/>
                <w:color w:val="000000"/>
                <w:sz w:val="20"/>
                <w:szCs w:val="20"/>
              </w:rPr>
              <w:t>4</w:t>
            </w:r>
          </w:p>
        </w:tc>
        <w:tc>
          <w:tcPr>
            <w:tcW w:w="5392" w:type="dxa"/>
            <w:tcBorders>
              <w:top w:val="nil"/>
              <w:left w:val="nil"/>
              <w:bottom w:val="single" w:sz="4" w:space="0" w:color="auto"/>
              <w:right w:val="single" w:sz="4" w:space="0" w:color="auto"/>
            </w:tcBorders>
            <w:shd w:val="clear" w:color="auto" w:fill="auto"/>
            <w:vAlign w:val="center"/>
          </w:tcPr>
          <w:p w14:paraId="2C78C4A0" w14:textId="77777777" w:rsidR="009021F1" w:rsidRPr="0008598F" w:rsidRDefault="009021F1" w:rsidP="00E637E3">
            <w:pPr>
              <w:spacing w:line="240" w:lineRule="auto"/>
              <w:rPr>
                <w:rFonts w:cs="Arial"/>
                <w:color w:val="000000"/>
                <w:sz w:val="20"/>
                <w:szCs w:val="20"/>
              </w:rPr>
            </w:pPr>
            <w:r w:rsidRPr="0008598F">
              <w:rPr>
                <w:rFonts w:cs="Arial"/>
                <w:color w:val="000000"/>
                <w:sz w:val="20"/>
                <w:szCs w:val="20"/>
              </w:rPr>
              <w:t>Mettre en place le protocole de réponse aux incidents et les structures de référencement et contre référencement des survivant(e)s d’EAS/HS pour une prise en charge médicale, psychosociale et juridique</w:t>
            </w:r>
          </w:p>
        </w:tc>
        <w:tc>
          <w:tcPr>
            <w:tcW w:w="529" w:type="dxa"/>
            <w:tcBorders>
              <w:top w:val="nil"/>
              <w:left w:val="nil"/>
              <w:bottom w:val="single" w:sz="4" w:space="0" w:color="auto"/>
              <w:right w:val="single" w:sz="4" w:space="0" w:color="auto"/>
            </w:tcBorders>
            <w:shd w:val="clear" w:color="auto" w:fill="auto"/>
          </w:tcPr>
          <w:p w14:paraId="301BF7B5" w14:textId="77777777" w:rsidR="009021F1" w:rsidRPr="0008598F" w:rsidRDefault="009021F1" w:rsidP="00E637E3">
            <w:pPr>
              <w:spacing w:line="240" w:lineRule="auto"/>
              <w:jc w:val="center"/>
              <w:rPr>
                <w:rFonts w:cs="Arial"/>
                <w:color w:val="000000"/>
                <w:sz w:val="20"/>
                <w:szCs w:val="20"/>
              </w:rPr>
            </w:pPr>
          </w:p>
          <w:p w14:paraId="3BFA9C77" w14:textId="77777777" w:rsidR="009021F1" w:rsidRPr="0008598F" w:rsidRDefault="009021F1" w:rsidP="00E637E3">
            <w:pPr>
              <w:spacing w:line="240" w:lineRule="auto"/>
              <w:jc w:val="center"/>
              <w:rPr>
                <w:rFonts w:cs="Arial"/>
                <w:color w:val="000000"/>
                <w:sz w:val="20"/>
                <w:szCs w:val="20"/>
              </w:rPr>
            </w:pPr>
          </w:p>
          <w:p w14:paraId="18516689" w14:textId="77777777" w:rsidR="009021F1" w:rsidRPr="0008598F" w:rsidRDefault="009021F1" w:rsidP="00E637E3">
            <w:pPr>
              <w:spacing w:line="240" w:lineRule="auto"/>
              <w:jc w:val="center"/>
              <w:rPr>
                <w:rFonts w:cs="Arial"/>
                <w:sz w:val="20"/>
                <w:szCs w:val="20"/>
              </w:rPr>
            </w:pPr>
            <w:r w:rsidRPr="0008598F">
              <w:rPr>
                <w:rFonts w:cs="Arial"/>
                <w:color w:val="000000"/>
                <w:sz w:val="20"/>
                <w:szCs w:val="20"/>
              </w:rPr>
              <w:t>Structures</w:t>
            </w:r>
          </w:p>
        </w:tc>
        <w:tc>
          <w:tcPr>
            <w:tcW w:w="1192" w:type="dxa"/>
            <w:tcBorders>
              <w:top w:val="nil"/>
              <w:left w:val="nil"/>
              <w:bottom w:val="single" w:sz="4" w:space="0" w:color="auto"/>
              <w:right w:val="single" w:sz="4" w:space="0" w:color="auto"/>
            </w:tcBorders>
            <w:shd w:val="clear" w:color="auto" w:fill="auto"/>
          </w:tcPr>
          <w:p w14:paraId="05D75F6E" w14:textId="77777777" w:rsidR="009021F1" w:rsidRPr="0008598F" w:rsidRDefault="009021F1" w:rsidP="00E637E3">
            <w:pPr>
              <w:spacing w:line="240" w:lineRule="auto"/>
              <w:jc w:val="center"/>
              <w:rPr>
                <w:rFonts w:cs="Arial"/>
                <w:color w:val="000000"/>
                <w:sz w:val="20"/>
                <w:szCs w:val="20"/>
              </w:rPr>
            </w:pPr>
          </w:p>
          <w:p w14:paraId="3274A147" w14:textId="77777777" w:rsidR="009021F1" w:rsidRPr="0008598F" w:rsidRDefault="009021F1" w:rsidP="00E637E3">
            <w:pPr>
              <w:spacing w:line="240" w:lineRule="auto"/>
              <w:jc w:val="center"/>
              <w:rPr>
                <w:rFonts w:cs="Arial"/>
                <w:color w:val="000000"/>
                <w:sz w:val="20"/>
                <w:szCs w:val="20"/>
              </w:rPr>
            </w:pPr>
          </w:p>
          <w:p w14:paraId="3F5C01FA" w14:textId="77777777" w:rsidR="009021F1" w:rsidRPr="0008598F" w:rsidRDefault="009021F1" w:rsidP="00E637E3">
            <w:pPr>
              <w:spacing w:line="240" w:lineRule="auto"/>
              <w:jc w:val="center"/>
              <w:rPr>
                <w:rFonts w:cs="Arial"/>
                <w:sz w:val="20"/>
                <w:szCs w:val="20"/>
              </w:rPr>
            </w:pPr>
            <w:r w:rsidRPr="0008598F">
              <w:rPr>
                <w:rFonts w:cs="Arial"/>
                <w:color w:val="000000"/>
                <w:sz w:val="20"/>
                <w:szCs w:val="20"/>
              </w:rPr>
              <w:t>6</w:t>
            </w:r>
          </w:p>
        </w:tc>
        <w:tc>
          <w:tcPr>
            <w:tcW w:w="567" w:type="dxa"/>
            <w:tcBorders>
              <w:top w:val="nil"/>
              <w:left w:val="nil"/>
              <w:bottom w:val="single" w:sz="4" w:space="0" w:color="auto"/>
              <w:right w:val="single" w:sz="4" w:space="0" w:color="auto"/>
            </w:tcBorders>
            <w:shd w:val="clear" w:color="auto" w:fill="auto"/>
            <w:noWrap/>
          </w:tcPr>
          <w:p w14:paraId="47C49DD9" w14:textId="77777777" w:rsidR="009021F1" w:rsidRPr="0008598F" w:rsidRDefault="009021F1" w:rsidP="00E637E3">
            <w:pPr>
              <w:spacing w:line="240" w:lineRule="auto"/>
              <w:jc w:val="center"/>
              <w:rPr>
                <w:rFonts w:cs="Arial"/>
                <w:color w:val="000000"/>
                <w:sz w:val="20"/>
                <w:szCs w:val="20"/>
              </w:rPr>
            </w:pPr>
          </w:p>
          <w:p w14:paraId="5CE8795A" w14:textId="77777777" w:rsidR="009021F1" w:rsidRPr="0008598F" w:rsidRDefault="009021F1" w:rsidP="00E637E3">
            <w:pPr>
              <w:spacing w:line="240" w:lineRule="auto"/>
              <w:jc w:val="center"/>
              <w:rPr>
                <w:rFonts w:cs="Arial"/>
                <w:color w:val="000000"/>
                <w:sz w:val="20"/>
                <w:szCs w:val="20"/>
              </w:rPr>
            </w:pPr>
          </w:p>
          <w:p w14:paraId="5D8464A2" w14:textId="77777777" w:rsidR="009021F1" w:rsidRPr="0008598F" w:rsidRDefault="009021F1" w:rsidP="00E637E3">
            <w:pPr>
              <w:spacing w:line="240" w:lineRule="auto"/>
              <w:jc w:val="center"/>
              <w:rPr>
                <w:rFonts w:cs="Arial"/>
                <w:color w:val="000000"/>
                <w:sz w:val="20"/>
                <w:szCs w:val="20"/>
              </w:rPr>
            </w:pPr>
            <w:r w:rsidRPr="0008598F">
              <w:rPr>
                <w:rFonts w:cs="Arial"/>
                <w:color w:val="000000"/>
                <w:sz w:val="20"/>
                <w:szCs w:val="20"/>
              </w:rPr>
              <w:t>6</w:t>
            </w:r>
          </w:p>
        </w:tc>
        <w:tc>
          <w:tcPr>
            <w:tcW w:w="956" w:type="dxa"/>
            <w:tcBorders>
              <w:top w:val="nil"/>
              <w:left w:val="nil"/>
              <w:bottom w:val="single" w:sz="4" w:space="0" w:color="auto"/>
              <w:right w:val="single" w:sz="4" w:space="0" w:color="auto"/>
            </w:tcBorders>
            <w:shd w:val="clear" w:color="auto" w:fill="auto"/>
          </w:tcPr>
          <w:p w14:paraId="3B158D1E" w14:textId="77777777" w:rsidR="009021F1" w:rsidRPr="0008598F" w:rsidRDefault="009021F1" w:rsidP="00E637E3">
            <w:pPr>
              <w:spacing w:line="240" w:lineRule="auto"/>
              <w:jc w:val="center"/>
              <w:rPr>
                <w:rFonts w:cs="Arial"/>
                <w:color w:val="000000"/>
                <w:sz w:val="20"/>
                <w:szCs w:val="20"/>
              </w:rPr>
            </w:pPr>
          </w:p>
          <w:p w14:paraId="44D391D0" w14:textId="77777777" w:rsidR="009021F1" w:rsidRPr="0008598F" w:rsidRDefault="009021F1" w:rsidP="00E637E3">
            <w:pPr>
              <w:spacing w:line="240" w:lineRule="auto"/>
              <w:jc w:val="center"/>
              <w:rPr>
                <w:rFonts w:cs="Arial"/>
                <w:color w:val="000000"/>
                <w:sz w:val="20"/>
                <w:szCs w:val="20"/>
              </w:rPr>
            </w:pPr>
          </w:p>
          <w:p w14:paraId="038DB135" w14:textId="77777777" w:rsidR="009021F1" w:rsidRPr="0008598F" w:rsidRDefault="009021F1" w:rsidP="00E637E3">
            <w:pPr>
              <w:spacing w:line="240" w:lineRule="auto"/>
              <w:jc w:val="center"/>
              <w:rPr>
                <w:rFonts w:cs="Arial"/>
                <w:sz w:val="20"/>
                <w:szCs w:val="20"/>
              </w:rPr>
            </w:pPr>
            <w:r w:rsidRPr="0008598F">
              <w:rPr>
                <w:rFonts w:cs="Arial"/>
                <w:color w:val="000000"/>
                <w:sz w:val="20"/>
                <w:szCs w:val="20"/>
              </w:rPr>
              <w:t>3 000</w:t>
            </w:r>
          </w:p>
        </w:tc>
        <w:tc>
          <w:tcPr>
            <w:tcW w:w="1200" w:type="dxa"/>
            <w:tcBorders>
              <w:top w:val="nil"/>
              <w:left w:val="nil"/>
              <w:bottom w:val="single" w:sz="4" w:space="0" w:color="auto"/>
              <w:right w:val="single" w:sz="4" w:space="0" w:color="auto"/>
            </w:tcBorders>
            <w:shd w:val="clear" w:color="auto" w:fill="auto"/>
            <w:noWrap/>
          </w:tcPr>
          <w:p w14:paraId="6DD3ED28" w14:textId="77777777" w:rsidR="009021F1" w:rsidRPr="0008598F" w:rsidRDefault="009021F1" w:rsidP="00E637E3">
            <w:pPr>
              <w:spacing w:line="240" w:lineRule="auto"/>
              <w:jc w:val="right"/>
              <w:rPr>
                <w:rFonts w:cs="Arial"/>
                <w:color w:val="000000"/>
                <w:sz w:val="20"/>
                <w:szCs w:val="20"/>
              </w:rPr>
            </w:pPr>
          </w:p>
          <w:p w14:paraId="763E0C7E" w14:textId="77777777" w:rsidR="009021F1" w:rsidRPr="0008598F" w:rsidRDefault="009021F1" w:rsidP="00E637E3">
            <w:pPr>
              <w:spacing w:line="240" w:lineRule="auto"/>
              <w:jc w:val="right"/>
              <w:rPr>
                <w:rFonts w:cs="Arial"/>
                <w:color w:val="000000"/>
                <w:sz w:val="20"/>
                <w:szCs w:val="20"/>
              </w:rPr>
            </w:pPr>
          </w:p>
          <w:p w14:paraId="45722C71" w14:textId="77777777" w:rsidR="009021F1" w:rsidRPr="0008598F" w:rsidRDefault="009021F1" w:rsidP="00E637E3">
            <w:pPr>
              <w:spacing w:line="240" w:lineRule="auto"/>
              <w:jc w:val="right"/>
              <w:rPr>
                <w:rFonts w:cs="Arial"/>
                <w:color w:val="000000"/>
                <w:sz w:val="20"/>
                <w:szCs w:val="20"/>
              </w:rPr>
            </w:pPr>
            <w:r w:rsidRPr="0008598F">
              <w:rPr>
                <w:rFonts w:cs="Arial"/>
                <w:color w:val="000000"/>
                <w:sz w:val="20"/>
                <w:szCs w:val="20"/>
              </w:rPr>
              <w:t>108 000</w:t>
            </w:r>
          </w:p>
        </w:tc>
      </w:tr>
      <w:tr w:rsidR="009021F1" w:rsidRPr="0008598F" w14:paraId="64C6889A" w14:textId="77777777" w:rsidTr="00E637E3">
        <w:trPr>
          <w:trHeight w:val="656"/>
        </w:trPr>
        <w:tc>
          <w:tcPr>
            <w:tcW w:w="420" w:type="dxa"/>
            <w:tcBorders>
              <w:top w:val="nil"/>
              <w:left w:val="single" w:sz="4" w:space="0" w:color="auto"/>
              <w:bottom w:val="single" w:sz="4" w:space="0" w:color="auto"/>
              <w:right w:val="single" w:sz="4" w:space="0" w:color="auto"/>
            </w:tcBorders>
            <w:shd w:val="clear" w:color="auto" w:fill="auto"/>
            <w:noWrap/>
            <w:vAlign w:val="center"/>
          </w:tcPr>
          <w:p w14:paraId="0774DD9F" w14:textId="77777777" w:rsidR="009021F1" w:rsidRPr="0008598F" w:rsidRDefault="009021F1" w:rsidP="00E637E3">
            <w:pPr>
              <w:spacing w:line="240" w:lineRule="auto"/>
              <w:jc w:val="right"/>
              <w:rPr>
                <w:rFonts w:cs="Arial"/>
                <w:color w:val="000000"/>
                <w:sz w:val="20"/>
                <w:szCs w:val="20"/>
              </w:rPr>
            </w:pPr>
            <w:r w:rsidRPr="0008598F">
              <w:rPr>
                <w:rFonts w:cs="Arial"/>
                <w:color w:val="000000"/>
                <w:sz w:val="20"/>
                <w:szCs w:val="20"/>
              </w:rPr>
              <w:t>5</w:t>
            </w:r>
          </w:p>
        </w:tc>
        <w:tc>
          <w:tcPr>
            <w:tcW w:w="5392" w:type="dxa"/>
            <w:tcBorders>
              <w:top w:val="nil"/>
              <w:left w:val="nil"/>
              <w:bottom w:val="single" w:sz="4" w:space="0" w:color="auto"/>
              <w:right w:val="single" w:sz="4" w:space="0" w:color="auto"/>
            </w:tcBorders>
            <w:shd w:val="clear" w:color="auto" w:fill="auto"/>
            <w:vAlign w:val="center"/>
          </w:tcPr>
          <w:p w14:paraId="2966DBEE" w14:textId="77777777" w:rsidR="009021F1" w:rsidRPr="0008598F" w:rsidRDefault="009021F1" w:rsidP="00E637E3">
            <w:pPr>
              <w:spacing w:line="240" w:lineRule="auto"/>
              <w:rPr>
                <w:rFonts w:cs="Arial"/>
                <w:color w:val="000000"/>
                <w:sz w:val="20"/>
                <w:szCs w:val="20"/>
              </w:rPr>
            </w:pPr>
            <w:r w:rsidRPr="0008598F">
              <w:rPr>
                <w:rFonts w:cs="Arial"/>
                <w:color w:val="000000"/>
                <w:sz w:val="20"/>
                <w:szCs w:val="20"/>
              </w:rPr>
              <w:t>Mettre en place les procédures spécifiques dans le MGP pour assurer la gestion éthique et confidentielle des plaintes liées à l’EAS/HS.</w:t>
            </w:r>
          </w:p>
        </w:tc>
        <w:tc>
          <w:tcPr>
            <w:tcW w:w="529" w:type="dxa"/>
            <w:tcBorders>
              <w:top w:val="nil"/>
              <w:left w:val="nil"/>
              <w:bottom w:val="single" w:sz="4" w:space="0" w:color="auto"/>
              <w:right w:val="single" w:sz="4" w:space="0" w:color="auto"/>
            </w:tcBorders>
            <w:shd w:val="clear" w:color="auto" w:fill="auto"/>
          </w:tcPr>
          <w:p w14:paraId="6A0FF1A8" w14:textId="77777777" w:rsidR="009021F1" w:rsidRPr="0008598F" w:rsidRDefault="009021F1" w:rsidP="00E637E3">
            <w:pPr>
              <w:spacing w:line="240" w:lineRule="auto"/>
              <w:jc w:val="center"/>
              <w:rPr>
                <w:rFonts w:cs="Arial"/>
                <w:color w:val="000000"/>
                <w:sz w:val="20"/>
                <w:szCs w:val="20"/>
              </w:rPr>
            </w:pPr>
          </w:p>
          <w:p w14:paraId="00B69CB7" w14:textId="77777777" w:rsidR="009021F1" w:rsidRPr="0008598F" w:rsidRDefault="009021F1" w:rsidP="00E637E3">
            <w:pPr>
              <w:spacing w:line="240" w:lineRule="auto"/>
              <w:jc w:val="center"/>
              <w:rPr>
                <w:rFonts w:cs="Arial"/>
                <w:sz w:val="20"/>
                <w:szCs w:val="20"/>
              </w:rPr>
            </w:pPr>
            <w:r w:rsidRPr="0008598F">
              <w:rPr>
                <w:rFonts w:cs="Arial"/>
                <w:color w:val="000000"/>
                <w:sz w:val="20"/>
                <w:szCs w:val="20"/>
              </w:rPr>
              <w:t>PM</w:t>
            </w:r>
          </w:p>
        </w:tc>
        <w:tc>
          <w:tcPr>
            <w:tcW w:w="1192" w:type="dxa"/>
            <w:tcBorders>
              <w:top w:val="nil"/>
              <w:left w:val="nil"/>
              <w:bottom w:val="single" w:sz="4" w:space="0" w:color="auto"/>
              <w:right w:val="single" w:sz="4" w:space="0" w:color="auto"/>
            </w:tcBorders>
            <w:shd w:val="clear" w:color="auto" w:fill="auto"/>
          </w:tcPr>
          <w:p w14:paraId="78A6D46C" w14:textId="77777777" w:rsidR="009021F1" w:rsidRPr="0008598F" w:rsidRDefault="009021F1" w:rsidP="00E637E3">
            <w:pPr>
              <w:spacing w:line="240" w:lineRule="auto"/>
              <w:jc w:val="center"/>
              <w:rPr>
                <w:rFonts w:cs="Arial"/>
                <w:color w:val="000000"/>
                <w:sz w:val="20"/>
                <w:szCs w:val="20"/>
              </w:rPr>
            </w:pPr>
          </w:p>
          <w:p w14:paraId="33301910" w14:textId="77777777" w:rsidR="009021F1" w:rsidRPr="0008598F" w:rsidRDefault="009021F1" w:rsidP="00E637E3">
            <w:pPr>
              <w:spacing w:line="240" w:lineRule="auto"/>
              <w:jc w:val="center"/>
              <w:rPr>
                <w:rFonts w:cs="Arial"/>
                <w:sz w:val="20"/>
                <w:szCs w:val="20"/>
              </w:rPr>
            </w:pPr>
            <w:r w:rsidRPr="0008598F">
              <w:rPr>
                <w:rFonts w:cs="Arial"/>
                <w:color w:val="000000"/>
                <w:sz w:val="20"/>
                <w:szCs w:val="20"/>
              </w:rPr>
              <w:t>0</w:t>
            </w:r>
          </w:p>
        </w:tc>
        <w:tc>
          <w:tcPr>
            <w:tcW w:w="567" w:type="dxa"/>
            <w:tcBorders>
              <w:top w:val="nil"/>
              <w:left w:val="nil"/>
              <w:bottom w:val="single" w:sz="4" w:space="0" w:color="auto"/>
              <w:right w:val="single" w:sz="4" w:space="0" w:color="auto"/>
            </w:tcBorders>
            <w:shd w:val="clear" w:color="auto" w:fill="auto"/>
            <w:noWrap/>
          </w:tcPr>
          <w:p w14:paraId="573E5A7F" w14:textId="77777777" w:rsidR="009021F1" w:rsidRPr="0008598F" w:rsidRDefault="009021F1" w:rsidP="00E637E3">
            <w:pPr>
              <w:spacing w:line="240" w:lineRule="auto"/>
              <w:jc w:val="center"/>
              <w:rPr>
                <w:rFonts w:cs="Arial"/>
                <w:color w:val="000000"/>
                <w:sz w:val="20"/>
                <w:szCs w:val="20"/>
              </w:rPr>
            </w:pPr>
          </w:p>
          <w:p w14:paraId="0E229241" w14:textId="77777777" w:rsidR="009021F1" w:rsidRPr="0008598F" w:rsidRDefault="009021F1" w:rsidP="00E637E3">
            <w:pPr>
              <w:spacing w:line="240" w:lineRule="auto"/>
              <w:jc w:val="center"/>
              <w:rPr>
                <w:rFonts w:cs="Arial"/>
                <w:color w:val="000000"/>
                <w:sz w:val="20"/>
                <w:szCs w:val="20"/>
              </w:rPr>
            </w:pPr>
            <w:r w:rsidRPr="0008598F">
              <w:rPr>
                <w:rFonts w:cs="Arial"/>
                <w:color w:val="000000"/>
                <w:sz w:val="20"/>
                <w:szCs w:val="20"/>
              </w:rPr>
              <w:t>0</w:t>
            </w:r>
          </w:p>
        </w:tc>
        <w:tc>
          <w:tcPr>
            <w:tcW w:w="956" w:type="dxa"/>
            <w:tcBorders>
              <w:top w:val="nil"/>
              <w:left w:val="nil"/>
              <w:bottom w:val="single" w:sz="4" w:space="0" w:color="auto"/>
              <w:right w:val="single" w:sz="4" w:space="0" w:color="auto"/>
            </w:tcBorders>
            <w:shd w:val="clear" w:color="auto" w:fill="auto"/>
          </w:tcPr>
          <w:p w14:paraId="5F519277" w14:textId="77777777" w:rsidR="009021F1" w:rsidRPr="0008598F" w:rsidRDefault="009021F1" w:rsidP="00E637E3">
            <w:pPr>
              <w:spacing w:line="240" w:lineRule="auto"/>
              <w:jc w:val="center"/>
              <w:rPr>
                <w:rFonts w:cs="Arial"/>
                <w:color w:val="000000"/>
                <w:sz w:val="20"/>
                <w:szCs w:val="20"/>
              </w:rPr>
            </w:pPr>
          </w:p>
          <w:p w14:paraId="576CCAAD" w14:textId="77777777" w:rsidR="009021F1" w:rsidRPr="0008598F" w:rsidRDefault="009021F1" w:rsidP="00E637E3">
            <w:pPr>
              <w:spacing w:line="240" w:lineRule="auto"/>
              <w:jc w:val="center"/>
              <w:rPr>
                <w:rFonts w:cs="Arial"/>
                <w:sz w:val="20"/>
                <w:szCs w:val="20"/>
              </w:rPr>
            </w:pPr>
            <w:r w:rsidRPr="0008598F">
              <w:rPr>
                <w:rFonts w:cs="Arial"/>
                <w:color w:val="000000"/>
                <w:sz w:val="20"/>
                <w:szCs w:val="20"/>
              </w:rPr>
              <w:t>0</w:t>
            </w:r>
          </w:p>
        </w:tc>
        <w:tc>
          <w:tcPr>
            <w:tcW w:w="1200" w:type="dxa"/>
            <w:tcBorders>
              <w:top w:val="nil"/>
              <w:left w:val="nil"/>
              <w:bottom w:val="single" w:sz="4" w:space="0" w:color="auto"/>
              <w:right w:val="single" w:sz="4" w:space="0" w:color="auto"/>
            </w:tcBorders>
            <w:shd w:val="clear" w:color="auto" w:fill="auto"/>
            <w:noWrap/>
          </w:tcPr>
          <w:p w14:paraId="03A83AD3" w14:textId="77777777" w:rsidR="009021F1" w:rsidRPr="0008598F" w:rsidRDefault="009021F1" w:rsidP="00E637E3">
            <w:pPr>
              <w:spacing w:line="240" w:lineRule="auto"/>
              <w:jc w:val="right"/>
              <w:rPr>
                <w:rFonts w:cs="Arial"/>
                <w:color w:val="000000"/>
                <w:sz w:val="20"/>
                <w:szCs w:val="20"/>
              </w:rPr>
            </w:pPr>
          </w:p>
          <w:p w14:paraId="67E55A4F" w14:textId="77777777" w:rsidR="009021F1" w:rsidRPr="0008598F" w:rsidRDefault="009021F1" w:rsidP="00E637E3">
            <w:pPr>
              <w:spacing w:line="240" w:lineRule="auto"/>
              <w:jc w:val="right"/>
              <w:rPr>
                <w:rFonts w:cs="Arial"/>
                <w:color w:val="000000"/>
                <w:sz w:val="20"/>
                <w:szCs w:val="20"/>
              </w:rPr>
            </w:pPr>
            <w:r w:rsidRPr="0008598F">
              <w:rPr>
                <w:rFonts w:cs="Arial"/>
                <w:color w:val="000000"/>
                <w:sz w:val="20"/>
                <w:szCs w:val="20"/>
              </w:rPr>
              <w:t>0</w:t>
            </w:r>
          </w:p>
        </w:tc>
      </w:tr>
      <w:tr w:rsidR="009021F1" w:rsidRPr="0008598F" w14:paraId="02452E84" w14:textId="77777777" w:rsidTr="00E637E3">
        <w:trPr>
          <w:trHeight w:val="557"/>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2F73581C" w14:textId="77777777" w:rsidR="009021F1" w:rsidRPr="0008598F" w:rsidRDefault="009021F1" w:rsidP="00E637E3">
            <w:pPr>
              <w:spacing w:line="240" w:lineRule="auto"/>
              <w:jc w:val="right"/>
              <w:rPr>
                <w:rFonts w:cs="Arial"/>
                <w:color w:val="000000"/>
                <w:sz w:val="20"/>
                <w:szCs w:val="20"/>
              </w:rPr>
            </w:pPr>
            <w:r w:rsidRPr="0008598F">
              <w:rPr>
                <w:rFonts w:cs="Arial"/>
                <w:color w:val="000000"/>
                <w:sz w:val="20"/>
                <w:szCs w:val="20"/>
              </w:rPr>
              <w:t>6</w:t>
            </w:r>
          </w:p>
        </w:tc>
        <w:tc>
          <w:tcPr>
            <w:tcW w:w="5392" w:type="dxa"/>
            <w:tcBorders>
              <w:top w:val="nil"/>
              <w:left w:val="nil"/>
              <w:bottom w:val="single" w:sz="4" w:space="0" w:color="auto"/>
              <w:right w:val="single" w:sz="4" w:space="0" w:color="auto"/>
            </w:tcBorders>
            <w:shd w:val="clear" w:color="auto" w:fill="auto"/>
            <w:vAlign w:val="center"/>
            <w:hideMark/>
          </w:tcPr>
          <w:p w14:paraId="7707EDAE" w14:textId="77777777" w:rsidR="009021F1" w:rsidRPr="0008598F" w:rsidRDefault="009021F1" w:rsidP="00E637E3">
            <w:pPr>
              <w:spacing w:line="240" w:lineRule="auto"/>
              <w:jc w:val="left"/>
              <w:rPr>
                <w:rFonts w:cs="Arial"/>
                <w:color w:val="000000"/>
                <w:sz w:val="20"/>
                <w:szCs w:val="20"/>
              </w:rPr>
            </w:pPr>
            <w:r w:rsidRPr="0008598F">
              <w:rPr>
                <w:rFonts w:cs="Arial"/>
                <w:color w:val="000000"/>
                <w:sz w:val="20"/>
                <w:szCs w:val="20"/>
              </w:rPr>
              <w:t>Organiser des formations des différentes parties prenantes, y compris les travailleurs et le personnel du Projet, en pool par Province sur l’EAS/HS (y compris le code de bonne conduite, le règlement intérieur, les services de prise en charge, la gestion des plaintes d’EAS/HS, le MGP, etc.)</w:t>
            </w:r>
          </w:p>
        </w:tc>
        <w:tc>
          <w:tcPr>
            <w:tcW w:w="529" w:type="dxa"/>
            <w:tcBorders>
              <w:top w:val="nil"/>
              <w:left w:val="nil"/>
              <w:bottom w:val="single" w:sz="4" w:space="0" w:color="auto"/>
              <w:right w:val="single" w:sz="4" w:space="0" w:color="auto"/>
            </w:tcBorders>
            <w:shd w:val="clear" w:color="auto" w:fill="auto"/>
            <w:vAlign w:val="center"/>
            <w:hideMark/>
          </w:tcPr>
          <w:p w14:paraId="06361F4E" w14:textId="77777777" w:rsidR="009021F1" w:rsidRPr="0008598F" w:rsidRDefault="009021F1" w:rsidP="00E637E3">
            <w:pPr>
              <w:spacing w:line="240" w:lineRule="auto"/>
              <w:jc w:val="center"/>
              <w:rPr>
                <w:rFonts w:cs="Arial"/>
                <w:sz w:val="20"/>
                <w:szCs w:val="20"/>
              </w:rPr>
            </w:pPr>
            <w:r w:rsidRPr="0008598F">
              <w:rPr>
                <w:rFonts w:cs="Arial"/>
                <w:sz w:val="20"/>
                <w:szCs w:val="20"/>
              </w:rPr>
              <w:t>Jour</w:t>
            </w:r>
          </w:p>
        </w:tc>
        <w:tc>
          <w:tcPr>
            <w:tcW w:w="1192" w:type="dxa"/>
            <w:tcBorders>
              <w:top w:val="nil"/>
              <w:left w:val="nil"/>
              <w:bottom w:val="single" w:sz="4" w:space="0" w:color="auto"/>
              <w:right w:val="single" w:sz="4" w:space="0" w:color="auto"/>
            </w:tcBorders>
            <w:shd w:val="clear" w:color="auto" w:fill="auto"/>
            <w:vAlign w:val="center"/>
            <w:hideMark/>
          </w:tcPr>
          <w:p w14:paraId="655BA6CF" w14:textId="77777777" w:rsidR="009021F1" w:rsidRPr="0008598F" w:rsidRDefault="009021F1" w:rsidP="00E637E3">
            <w:pPr>
              <w:spacing w:line="240" w:lineRule="auto"/>
              <w:jc w:val="center"/>
              <w:rPr>
                <w:rFonts w:cs="Arial"/>
                <w:sz w:val="20"/>
                <w:szCs w:val="20"/>
              </w:rPr>
            </w:pPr>
            <w:r w:rsidRPr="0008598F">
              <w:rPr>
                <w:rFonts w:cs="Arial"/>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14:paraId="081B4B3D" w14:textId="77777777" w:rsidR="009021F1" w:rsidRPr="0008598F" w:rsidRDefault="009021F1" w:rsidP="00E637E3">
            <w:pPr>
              <w:spacing w:line="240" w:lineRule="auto"/>
              <w:jc w:val="center"/>
              <w:rPr>
                <w:rFonts w:cs="Arial"/>
                <w:sz w:val="20"/>
                <w:szCs w:val="20"/>
              </w:rPr>
            </w:pPr>
            <w:r w:rsidRPr="0008598F">
              <w:rPr>
                <w:rFonts w:cs="Arial"/>
                <w:sz w:val="20"/>
                <w:szCs w:val="20"/>
              </w:rPr>
              <w:t>6</w:t>
            </w:r>
          </w:p>
        </w:tc>
        <w:tc>
          <w:tcPr>
            <w:tcW w:w="956" w:type="dxa"/>
            <w:tcBorders>
              <w:top w:val="nil"/>
              <w:left w:val="nil"/>
              <w:bottom w:val="single" w:sz="4" w:space="0" w:color="auto"/>
              <w:right w:val="single" w:sz="4" w:space="0" w:color="auto"/>
            </w:tcBorders>
            <w:shd w:val="clear" w:color="auto" w:fill="auto"/>
            <w:vAlign w:val="center"/>
            <w:hideMark/>
          </w:tcPr>
          <w:p w14:paraId="1A221630" w14:textId="77777777" w:rsidR="009021F1" w:rsidRPr="0008598F" w:rsidRDefault="009021F1" w:rsidP="00E637E3">
            <w:pPr>
              <w:spacing w:line="240" w:lineRule="auto"/>
              <w:jc w:val="center"/>
              <w:rPr>
                <w:rFonts w:cs="Arial"/>
                <w:sz w:val="20"/>
                <w:szCs w:val="20"/>
              </w:rPr>
            </w:pPr>
            <w:r w:rsidRPr="0008598F">
              <w:rPr>
                <w:rFonts w:cs="Arial"/>
                <w:sz w:val="20"/>
                <w:szCs w:val="20"/>
              </w:rPr>
              <w:t>1 500</w:t>
            </w:r>
          </w:p>
        </w:tc>
        <w:tc>
          <w:tcPr>
            <w:tcW w:w="1200" w:type="dxa"/>
            <w:tcBorders>
              <w:top w:val="nil"/>
              <w:left w:val="nil"/>
              <w:bottom w:val="single" w:sz="4" w:space="0" w:color="auto"/>
              <w:right w:val="single" w:sz="4" w:space="0" w:color="auto"/>
            </w:tcBorders>
            <w:shd w:val="clear" w:color="auto" w:fill="auto"/>
            <w:noWrap/>
            <w:vAlign w:val="center"/>
            <w:hideMark/>
          </w:tcPr>
          <w:p w14:paraId="28B9FDAA" w14:textId="77777777" w:rsidR="009021F1" w:rsidRPr="0008598F" w:rsidRDefault="009021F1" w:rsidP="00E637E3">
            <w:pPr>
              <w:spacing w:line="240" w:lineRule="auto"/>
              <w:jc w:val="right"/>
              <w:rPr>
                <w:rFonts w:cs="Arial"/>
                <w:color w:val="000000"/>
                <w:sz w:val="20"/>
                <w:szCs w:val="20"/>
              </w:rPr>
            </w:pPr>
            <w:r w:rsidRPr="0008598F">
              <w:rPr>
                <w:rFonts w:cs="Arial"/>
                <w:color w:val="000000"/>
                <w:sz w:val="20"/>
                <w:szCs w:val="20"/>
              </w:rPr>
              <w:t>90 000</w:t>
            </w:r>
          </w:p>
        </w:tc>
      </w:tr>
      <w:tr w:rsidR="009021F1" w:rsidRPr="0008598F" w14:paraId="7B57C28C" w14:textId="77777777" w:rsidTr="00E637E3">
        <w:trPr>
          <w:trHeight w:val="760"/>
        </w:trPr>
        <w:tc>
          <w:tcPr>
            <w:tcW w:w="420" w:type="dxa"/>
            <w:tcBorders>
              <w:top w:val="nil"/>
              <w:left w:val="single" w:sz="4" w:space="0" w:color="auto"/>
              <w:bottom w:val="single" w:sz="4" w:space="0" w:color="auto"/>
              <w:right w:val="single" w:sz="4" w:space="0" w:color="auto"/>
            </w:tcBorders>
            <w:shd w:val="clear" w:color="auto" w:fill="auto"/>
            <w:noWrap/>
            <w:vAlign w:val="center"/>
          </w:tcPr>
          <w:p w14:paraId="33162391" w14:textId="77777777" w:rsidR="009021F1" w:rsidRPr="0008598F" w:rsidRDefault="009021F1" w:rsidP="00E637E3">
            <w:pPr>
              <w:spacing w:line="240" w:lineRule="auto"/>
              <w:jc w:val="right"/>
              <w:rPr>
                <w:rFonts w:cs="Arial"/>
                <w:color w:val="000000"/>
                <w:sz w:val="20"/>
                <w:szCs w:val="20"/>
              </w:rPr>
            </w:pPr>
            <w:r w:rsidRPr="0008598F">
              <w:rPr>
                <w:rFonts w:cs="Arial"/>
                <w:color w:val="000000"/>
                <w:sz w:val="20"/>
                <w:szCs w:val="20"/>
              </w:rPr>
              <w:t>7</w:t>
            </w:r>
          </w:p>
        </w:tc>
        <w:tc>
          <w:tcPr>
            <w:tcW w:w="5392" w:type="dxa"/>
            <w:tcBorders>
              <w:top w:val="nil"/>
              <w:left w:val="nil"/>
              <w:bottom w:val="single" w:sz="4" w:space="0" w:color="auto"/>
              <w:right w:val="single" w:sz="4" w:space="0" w:color="auto"/>
            </w:tcBorders>
            <w:shd w:val="clear" w:color="auto" w:fill="auto"/>
          </w:tcPr>
          <w:p w14:paraId="735F528F" w14:textId="77777777" w:rsidR="009021F1" w:rsidRPr="0008598F" w:rsidRDefault="009021F1" w:rsidP="00E637E3">
            <w:pPr>
              <w:spacing w:line="240" w:lineRule="auto"/>
              <w:jc w:val="left"/>
              <w:rPr>
                <w:rFonts w:cs="Arial"/>
                <w:color w:val="000000"/>
                <w:sz w:val="20"/>
                <w:szCs w:val="20"/>
              </w:rPr>
            </w:pPr>
            <w:r w:rsidRPr="0008598F">
              <w:rPr>
                <w:rFonts w:cs="Arial"/>
                <w:color w:val="000000"/>
                <w:sz w:val="20"/>
                <w:szCs w:val="20"/>
              </w:rPr>
              <w:t>Elaboration d'un Plan d’action EAS/HS  dans la mise en œuvre du projet pour chaque Province suivant ses spécificités</w:t>
            </w:r>
          </w:p>
        </w:tc>
        <w:tc>
          <w:tcPr>
            <w:tcW w:w="529" w:type="dxa"/>
            <w:tcBorders>
              <w:top w:val="nil"/>
              <w:left w:val="nil"/>
              <w:bottom w:val="single" w:sz="4" w:space="0" w:color="auto"/>
              <w:right w:val="single" w:sz="4" w:space="0" w:color="auto"/>
            </w:tcBorders>
            <w:shd w:val="clear" w:color="auto" w:fill="auto"/>
          </w:tcPr>
          <w:p w14:paraId="2AEF2379" w14:textId="77777777" w:rsidR="009021F1" w:rsidRPr="0008598F" w:rsidRDefault="009021F1" w:rsidP="00E637E3">
            <w:pPr>
              <w:spacing w:line="240" w:lineRule="auto"/>
              <w:jc w:val="center"/>
              <w:rPr>
                <w:rFonts w:cs="Arial"/>
                <w:color w:val="000000"/>
                <w:sz w:val="20"/>
                <w:szCs w:val="20"/>
              </w:rPr>
            </w:pPr>
          </w:p>
          <w:p w14:paraId="3330A59C" w14:textId="77777777" w:rsidR="009021F1" w:rsidRPr="0008598F" w:rsidRDefault="009021F1" w:rsidP="00E637E3">
            <w:pPr>
              <w:spacing w:line="240" w:lineRule="auto"/>
              <w:jc w:val="center"/>
              <w:rPr>
                <w:rFonts w:cs="Arial"/>
                <w:sz w:val="20"/>
                <w:szCs w:val="20"/>
              </w:rPr>
            </w:pPr>
            <w:r w:rsidRPr="0008598F">
              <w:rPr>
                <w:rFonts w:cs="Arial"/>
                <w:color w:val="000000"/>
                <w:sz w:val="20"/>
                <w:szCs w:val="20"/>
              </w:rPr>
              <w:t xml:space="preserve">PM </w:t>
            </w:r>
          </w:p>
        </w:tc>
        <w:tc>
          <w:tcPr>
            <w:tcW w:w="1192" w:type="dxa"/>
            <w:tcBorders>
              <w:top w:val="nil"/>
              <w:left w:val="nil"/>
              <w:bottom w:val="single" w:sz="4" w:space="0" w:color="auto"/>
              <w:right w:val="single" w:sz="4" w:space="0" w:color="auto"/>
            </w:tcBorders>
            <w:shd w:val="clear" w:color="auto" w:fill="auto"/>
          </w:tcPr>
          <w:p w14:paraId="6C4E248A" w14:textId="77777777" w:rsidR="009021F1" w:rsidRPr="0008598F" w:rsidRDefault="009021F1" w:rsidP="00E637E3">
            <w:pPr>
              <w:spacing w:line="240" w:lineRule="auto"/>
              <w:jc w:val="center"/>
              <w:rPr>
                <w:rFonts w:cs="Arial"/>
                <w:color w:val="000000"/>
                <w:sz w:val="20"/>
                <w:szCs w:val="20"/>
              </w:rPr>
            </w:pPr>
          </w:p>
          <w:p w14:paraId="0CDCBE4B" w14:textId="77777777" w:rsidR="009021F1" w:rsidRPr="0008598F" w:rsidRDefault="009021F1" w:rsidP="00E637E3">
            <w:pPr>
              <w:spacing w:line="240" w:lineRule="auto"/>
              <w:jc w:val="center"/>
              <w:rPr>
                <w:rFonts w:cs="Arial"/>
                <w:sz w:val="20"/>
                <w:szCs w:val="20"/>
              </w:rPr>
            </w:pPr>
            <w:r w:rsidRPr="0008598F">
              <w:rPr>
                <w:rFonts w:cs="Arial"/>
                <w:color w:val="000000"/>
                <w:sz w:val="20"/>
                <w:szCs w:val="20"/>
              </w:rPr>
              <w:t>0</w:t>
            </w:r>
          </w:p>
        </w:tc>
        <w:tc>
          <w:tcPr>
            <w:tcW w:w="567" w:type="dxa"/>
            <w:tcBorders>
              <w:top w:val="nil"/>
              <w:left w:val="nil"/>
              <w:bottom w:val="single" w:sz="4" w:space="0" w:color="auto"/>
              <w:right w:val="single" w:sz="4" w:space="0" w:color="auto"/>
            </w:tcBorders>
            <w:shd w:val="clear" w:color="auto" w:fill="auto"/>
          </w:tcPr>
          <w:p w14:paraId="0B7CF5FA" w14:textId="77777777" w:rsidR="009021F1" w:rsidRPr="0008598F" w:rsidRDefault="009021F1" w:rsidP="00E637E3">
            <w:pPr>
              <w:spacing w:line="240" w:lineRule="auto"/>
              <w:jc w:val="center"/>
              <w:rPr>
                <w:rFonts w:cs="Arial"/>
                <w:color w:val="000000"/>
                <w:sz w:val="20"/>
                <w:szCs w:val="20"/>
              </w:rPr>
            </w:pPr>
          </w:p>
          <w:p w14:paraId="53F52A2C" w14:textId="77777777" w:rsidR="009021F1" w:rsidRPr="0008598F" w:rsidRDefault="009021F1" w:rsidP="00E637E3">
            <w:pPr>
              <w:spacing w:line="240" w:lineRule="auto"/>
              <w:jc w:val="center"/>
              <w:rPr>
                <w:rFonts w:cs="Arial"/>
                <w:sz w:val="20"/>
                <w:szCs w:val="20"/>
              </w:rPr>
            </w:pPr>
            <w:r w:rsidRPr="0008598F">
              <w:rPr>
                <w:rFonts w:cs="Arial"/>
                <w:color w:val="000000"/>
                <w:sz w:val="20"/>
                <w:szCs w:val="20"/>
              </w:rPr>
              <w:t>0</w:t>
            </w:r>
          </w:p>
        </w:tc>
        <w:tc>
          <w:tcPr>
            <w:tcW w:w="956" w:type="dxa"/>
            <w:tcBorders>
              <w:top w:val="nil"/>
              <w:left w:val="nil"/>
              <w:bottom w:val="single" w:sz="4" w:space="0" w:color="auto"/>
              <w:right w:val="single" w:sz="4" w:space="0" w:color="auto"/>
            </w:tcBorders>
            <w:shd w:val="clear" w:color="auto" w:fill="auto"/>
          </w:tcPr>
          <w:p w14:paraId="7F5FB638" w14:textId="77777777" w:rsidR="009021F1" w:rsidRPr="0008598F" w:rsidRDefault="009021F1" w:rsidP="00E637E3">
            <w:pPr>
              <w:spacing w:line="240" w:lineRule="auto"/>
              <w:jc w:val="center"/>
              <w:rPr>
                <w:rFonts w:cs="Arial"/>
                <w:color w:val="000000"/>
                <w:sz w:val="20"/>
                <w:szCs w:val="20"/>
              </w:rPr>
            </w:pPr>
          </w:p>
          <w:p w14:paraId="15DE7330" w14:textId="77777777" w:rsidR="009021F1" w:rsidRPr="0008598F" w:rsidRDefault="009021F1" w:rsidP="00E637E3">
            <w:pPr>
              <w:spacing w:line="240" w:lineRule="auto"/>
              <w:jc w:val="center"/>
              <w:rPr>
                <w:rFonts w:cs="Arial"/>
                <w:sz w:val="20"/>
                <w:szCs w:val="20"/>
              </w:rPr>
            </w:pPr>
            <w:r w:rsidRPr="0008598F">
              <w:rPr>
                <w:rFonts w:cs="Arial"/>
                <w:color w:val="000000"/>
                <w:sz w:val="20"/>
                <w:szCs w:val="20"/>
              </w:rPr>
              <w:t>0</w:t>
            </w:r>
          </w:p>
        </w:tc>
        <w:tc>
          <w:tcPr>
            <w:tcW w:w="1200" w:type="dxa"/>
            <w:tcBorders>
              <w:top w:val="nil"/>
              <w:left w:val="nil"/>
              <w:bottom w:val="single" w:sz="4" w:space="0" w:color="auto"/>
              <w:right w:val="single" w:sz="4" w:space="0" w:color="auto"/>
            </w:tcBorders>
            <w:shd w:val="clear" w:color="auto" w:fill="auto"/>
            <w:noWrap/>
          </w:tcPr>
          <w:p w14:paraId="11F5C132" w14:textId="77777777" w:rsidR="009021F1" w:rsidRPr="0008598F" w:rsidRDefault="009021F1" w:rsidP="00E637E3">
            <w:pPr>
              <w:spacing w:line="240" w:lineRule="auto"/>
              <w:jc w:val="right"/>
              <w:rPr>
                <w:rFonts w:cs="Arial"/>
                <w:color w:val="000000"/>
                <w:sz w:val="20"/>
                <w:szCs w:val="20"/>
              </w:rPr>
            </w:pPr>
          </w:p>
          <w:p w14:paraId="1C015CF4" w14:textId="77777777" w:rsidR="009021F1" w:rsidRPr="0008598F" w:rsidRDefault="009021F1" w:rsidP="00E637E3">
            <w:pPr>
              <w:spacing w:line="240" w:lineRule="auto"/>
              <w:jc w:val="right"/>
              <w:rPr>
                <w:rFonts w:cs="Arial"/>
                <w:color w:val="000000"/>
                <w:sz w:val="20"/>
                <w:szCs w:val="20"/>
              </w:rPr>
            </w:pPr>
            <w:r w:rsidRPr="0008598F">
              <w:rPr>
                <w:rFonts w:cs="Arial"/>
                <w:color w:val="000000"/>
                <w:sz w:val="20"/>
                <w:szCs w:val="20"/>
              </w:rPr>
              <w:t>0</w:t>
            </w:r>
          </w:p>
        </w:tc>
      </w:tr>
      <w:tr w:rsidR="009021F1" w:rsidRPr="0008598F" w14:paraId="5CF84B97" w14:textId="77777777" w:rsidTr="00E637E3">
        <w:trPr>
          <w:trHeight w:val="688"/>
        </w:trPr>
        <w:tc>
          <w:tcPr>
            <w:tcW w:w="420" w:type="dxa"/>
            <w:tcBorders>
              <w:top w:val="nil"/>
              <w:left w:val="single" w:sz="4" w:space="0" w:color="auto"/>
              <w:bottom w:val="single" w:sz="4" w:space="0" w:color="auto"/>
              <w:right w:val="single" w:sz="4" w:space="0" w:color="auto"/>
            </w:tcBorders>
            <w:shd w:val="clear" w:color="auto" w:fill="auto"/>
            <w:noWrap/>
            <w:vAlign w:val="center"/>
          </w:tcPr>
          <w:p w14:paraId="70CF60C1" w14:textId="77777777" w:rsidR="009021F1" w:rsidRPr="0008598F" w:rsidRDefault="009021F1" w:rsidP="00E637E3">
            <w:pPr>
              <w:spacing w:line="240" w:lineRule="auto"/>
              <w:jc w:val="right"/>
              <w:rPr>
                <w:rFonts w:cs="Arial"/>
                <w:color w:val="000000"/>
                <w:sz w:val="20"/>
                <w:szCs w:val="20"/>
              </w:rPr>
            </w:pPr>
            <w:r w:rsidRPr="0008598F">
              <w:rPr>
                <w:rFonts w:cs="Arial"/>
                <w:color w:val="000000"/>
                <w:sz w:val="20"/>
                <w:szCs w:val="20"/>
              </w:rPr>
              <w:t>8</w:t>
            </w:r>
          </w:p>
        </w:tc>
        <w:tc>
          <w:tcPr>
            <w:tcW w:w="5392" w:type="dxa"/>
            <w:tcBorders>
              <w:top w:val="nil"/>
              <w:left w:val="nil"/>
              <w:bottom w:val="single" w:sz="4" w:space="0" w:color="auto"/>
              <w:right w:val="single" w:sz="4" w:space="0" w:color="auto"/>
            </w:tcBorders>
            <w:shd w:val="clear" w:color="auto" w:fill="auto"/>
          </w:tcPr>
          <w:p w14:paraId="5EBFBB88" w14:textId="77777777" w:rsidR="009021F1" w:rsidRPr="0008598F" w:rsidRDefault="009021F1" w:rsidP="00E637E3">
            <w:pPr>
              <w:spacing w:line="240" w:lineRule="auto"/>
              <w:jc w:val="left"/>
              <w:rPr>
                <w:rFonts w:cs="Arial"/>
                <w:color w:val="000000"/>
                <w:sz w:val="20"/>
                <w:szCs w:val="20"/>
              </w:rPr>
            </w:pPr>
            <w:r w:rsidRPr="0008598F">
              <w:rPr>
                <w:rFonts w:cs="Arial"/>
                <w:color w:val="000000"/>
                <w:sz w:val="20"/>
                <w:szCs w:val="20"/>
              </w:rPr>
              <w:t>Identifier et former les sensibilisateurs communautaires pour informer la communauté sur les risques d’EAS/HS </w:t>
            </w:r>
          </w:p>
        </w:tc>
        <w:tc>
          <w:tcPr>
            <w:tcW w:w="529" w:type="dxa"/>
            <w:tcBorders>
              <w:top w:val="nil"/>
              <w:left w:val="nil"/>
              <w:bottom w:val="single" w:sz="4" w:space="0" w:color="auto"/>
              <w:right w:val="single" w:sz="4" w:space="0" w:color="auto"/>
            </w:tcBorders>
            <w:shd w:val="clear" w:color="auto" w:fill="auto"/>
          </w:tcPr>
          <w:p w14:paraId="7C8A2E23" w14:textId="77777777" w:rsidR="009021F1" w:rsidRPr="0008598F" w:rsidRDefault="009021F1" w:rsidP="00E637E3">
            <w:pPr>
              <w:spacing w:line="240" w:lineRule="auto"/>
              <w:jc w:val="center"/>
              <w:rPr>
                <w:rFonts w:cs="Arial"/>
                <w:color w:val="000000"/>
                <w:sz w:val="20"/>
                <w:szCs w:val="20"/>
              </w:rPr>
            </w:pPr>
          </w:p>
          <w:p w14:paraId="5C18FDD5" w14:textId="77777777" w:rsidR="009021F1" w:rsidRPr="0008598F" w:rsidRDefault="009021F1" w:rsidP="00E637E3">
            <w:pPr>
              <w:spacing w:line="240" w:lineRule="auto"/>
              <w:jc w:val="center"/>
              <w:rPr>
                <w:rFonts w:cs="Arial"/>
                <w:sz w:val="20"/>
                <w:szCs w:val="20"/>
              </w:rPr>
            </w:pPr>
            <w:r w:rsidRPr="0008598F">
              <w:rPr>
                <w:rFonts w:cs="Arial"/>
                <w:color w:val="000000"/>
                <w:sz w:val="20"/>
                <w:szCs w:val="20"/>
              </w:rPr>
              <w:t>Jour</w:t>
            </w:r>
          </w:p>
        </w:tc>
        <w:tc>
          <w:tcPr>
            <w:tcW w:w="1192" w:type="dxa"/>
            <w:tcBorders>
              <w:top w:val="nil"/>
              <w:left w:val="nil"/>
              <w:bottom w:val="single" w:sz="4" w:space="0" w:color="auto"/>
              <w:right w:val="single" w:sz="4" w:space="0" w:color="auto"/>
            </w:tcBorders>
            <w:shd w:val="clear" w:color="auto" w:fill="auto"/>
          </w:tcPr>
          <w:p w14:paraId="45CEBDCE" w14:textId="77777777" w:rsidR="009021F1" w:rsidRPr="0008598F" w:rsidRDefault="009021F1" w:rsidP="00E637E3">
            <w:pPr>
              <w:spacing w:line="240" w:lineRule="auto"/>
              <w:jc w:val="center"/>
              <w:rPr>
                <w:rFonts w:cs="Arial"/>
                <w:color w:val="000000"/>
                <w:sz w:val="20"/>
                <w:szCs w:val="20"/>
              </w:rPr>
            </w:pPr>
          </w:p>
          <w:p w14:paraId="2754511E" w14:textId="77777777" w:rsidR="009021F1" w:rsidRPr="0008598F" w:rsidRDefault="009021F1" w:rsidP="00E637E3">
            <w:pPr>
              <w:spacing w:line="240" w:lineRule="auto"/>
              <w:jc w:val="center"/>
              <w:rPr>
                <w:rFonts w:cs="Arial"/>
                <w:sz w:val="20"/>
                <w:szCs w:val="20"/>
              </w:rPr>
            </w:pPr>
            <w:r w:rsidRPr="0008598F">
              <w:rPr>
                <w:rFonts w:cs="Arial"/>
                <w:color w:val="000000"/>
                <w:sz w:val="20"/>
                <w:szCs w:val="20"/>
              </w:rPr>
              <w:t>6</w:t>
            </w:r>
          </w:p>
        </w:tc>
        <w:tc>
          <w:tcPr>
            <w:tcW w:w="567" w:type="dxa"/>
            <w:tcBorders>
              <w:top w:val="nil"/>
              <w:left w:val="nil"/>
              <w:bottom w:val="single" w:sz="4" w:space="0" w:color="auto"/>
              <w:right w:val="single" w:sz="4" w:space="0" w:color="auto"/>
            </w:tcBorders>
            <w:shd w:val="clear" w:color="auto" w:fill="auto"/>
          </w:tcPr>
          <w:p w14:paraId="68B8B819" w14:textId="77777777" w:rsidR="009021F1" w:rsidRPr="0008598F" w:rsidRDefault="009021F1" w:rsidP="00E637E3">
            <w:pPr>
              <w:spacing w:line="240" w:lineRule="auto"/>
              <w:jc w:val="center"/>
              <w:rPr>
                <w:rFonts w:cs="Arial"/>
                <w:color w:val="000000"/>
                <w:sz w:val="20"/>
                <w:szCs w:val="20"/>
              </w:rPr>
            </w:pPr>
          </w:p>
          <w:p w14:paraId="117B8CDF" w14:textId="77777777" w:rsidR="009021F1" w:rsidRPr="0008598F" w:rsidRDefault="009021F1" w:rsidP="00E637E3">
            <w:pPr>
              <w:spacing w:line="240" w:lineRule="auto"/>
              <w:jc w:val="center"/>
              <w:rPr>
                <w:rFonts w:cs="Arial"/>
                <w:sz w:val="20"/>
                <w:szCs w:val="20"/>
              </w:rPr>
            </w:pPr>
            <w:r w:rsidRPr="0008598F">
              <w:rPr>
                <w:rFonts w:cs="Arial"/>
                <w:color w:val="000000"/>
                <w:sz w:val="20"/>
                <w:szCs w:val="20"/>
              </w:rPr>
              <w:t>180</w:t>
            </w:r>
          </w:p>
        </w:tc>
        <w:tc>
          <w:tcPr>
            <w:tcW w:w="956" w:type="dxa"/>
            <w:tcBorders>
              <w:top w:val="nil"/>
              <w:left w:val="nil"/>
              <w:bottom w:val="single" w:sz="4" w:space="0" w:color="auto"/>
              <w:right w:val="single" w:sz="4" w:space="0" w:color="auto"/>
            </w:tcBorders>
            <w:shd w:val="clear" w:color="auto" w:fill="auto"/>
          </w:tcPr>
          <w:p w14:paraId="4BD80F2B" w14:textId="77777777" w:rsidR="009021F1" w:rsidRPr="0008598F" w:rsidRDefault="009021F1" w:rsidP="00E637E3">
            <w:pPr>
              <w:spacing w:line="240" w:lineRule="auto"/>
              <w:jc w:val="center"/>
              <w:rPr>
                <w:rFonts w:cs="Arial"/>
                <w:color w:val="000000"/>
                <w:sz w:val="20"/>
                <w:szCs w:val="20"/>
              </w:rPr>
            </w:pPr>
          </w:p>
          <w:p w14:paraId="3ACABB64" w14:textId="77777777" w:rsidR="009021F1" w:rsidRPr="0008598F" w:rsidRDefault="009021F1" w:rsidP="00E637E3">
            <w:pPr>
              <w:spacing w:line="240" w:lineRule="auto"/>
              <w:jc w:val="center"/>
              <w:rPr>
                <w:rFonts w:cs="Arial"/>
                <w:sz w:val="20"/>
                <w:szCs w:val="20"/>
              </w:rPr>
            </w:pPr>
            <w:r w:rsidRPr="0008598F">
              <w:rPr>
                <w:rFonts w:cs="Arial"/>
                <w:color w:val="000000"/>
                <w:sz w:val="20"/>
                <w:szCs w:val="20"/>
              </w:rPr>
              <w:t>20</w:t>
            </w:r>
          </w:p>
        </w:tc>
        <w:tc>
          <w:tcPr>
            <w:tcW w:w="1200" w:type="dxa"/>
            <w:tcBorders>
              <w:top w:val="nil"/>
              <w:left w:val="nil"/>
              <w:bottom w:val="single" w:sz="4" w:space="0" w:color="auto"/>
              <w:right w:val="single" w:sz="4" w:space="0" w:color="auto"/>
            </w:tcBorders>
            <w:shd w:val="clear" w:color="auto" w:fill="auto"/>
            <w:noWrap/>
          </w:tcPr>
          <w:p w14:paraId="0E83ABD8" w14:textId="77777777" w:rsidR="009021F1" w:rsidRPr="0008598F" w:rsidRDefault="009021F1" w:rsidP="00E637E3">
            <w:pPr>
              <w:spacing w:line="240" w:lineRule="auto"/>
              <w:jc w:val="right"/>
              <w:rPr>
                <w:rFonts w:cs="Arial"/>
                <w:color w:val="000000"/>
                <w:sz w:val="20"/>
                <w:szCs w:val="20"/>
              </w:rPr>
            </w:pPr>
          </w:p>
          <w:p w14:paraId="6C644001" w14:textId="77777777" w:rsidR="009021F1" w:rsidRPr="0008598F" w:rsidRDefault="009021F1" w:rsidP="00E637E3">
            <w:pPr>
              <w:spacing w:line="240" w:lineRule="auto"/>
              <w:jc w:val="right"/>
              <w:rPr>
                <w:rFonts w:cs="Arial"/>
                <w:color w:val="000000"/>
                <w:sz w:val="20"/>
                <w:szCs w:val="20"/>
              </w:rPr>
            </w:pPr>
            <w:r w:rsidRPr="0008598F">
              <w:rPr>
                <w:rFonts w:cs="Arial"/>
                <w:color w:val="000000"/>
                <w:sz w:val="20"/>
                <w:szCs w:val="20"/>
              </w:rPr>
              <w:t>21 600</w:t>
            </w:r>
          </w:p>
        </w:tc>
      </w:tr>
      <w:tr w:rsidR="009021F1" w:rsidRPr="0008598F" w14:paraId="6BD6559C" w14:textId="77777777" w:rsidTr="00E637E3">
        <w:trPr>
          <w:trHeight w:val="760"/>
        </w:trPr>
        <w:tc>
          <w:tcPr>
            <w:tcW w:w="420" w:type="dxa"/>
            <w:tcBorders>
              <w:top w:val="nil"/>
              <w:left w:val="single" w:sz="4" w:space="0" w:color="auto"/>
              <w:bottom w:val="single" w:sz="4" w:space="0" w:color="auto"/>
              <w:right w:val="single" w:sz="4" w:space="0" w:color="auto"/>
            </w:tcBorders>
            <w:shd w:val="clear" w:color="auto" w:fill="auto"/>
            <w:noWrap/>
            <w:vAlign w:val="center"/>
          </w:tcPr>
          <w:p w14:paraId="3C78C8FB" w14:textId="77777777" w:rsidR="009021F1" w:rsidRPr="0008598F" w:rsidRDefault="009021F1" w:rsidP="00E637E3">
            <w:pPr>
              <w:spacing w:line="240" w:lineRule="auto"/>
              <w:jc w:val="right"/>
              <w:rPr>
                <w:rFonts w:cs="Arial"/>
                <w:color w:val="000000"/>
                <w:sz w:val="20"/>
                <w:szCs w:val="20"/>
              </w:rPr>
            </w:pPr>
            <w:r w:rsidRPr="0008598F">
              <w:rPr>
                <w:rFonts w:cs="Arial"/>
                <w:color w:val="000000"/>
                <w:sz w:val="20"/>
                <w:szCs w:val="20"/>
              </w:rPr>
              <w:t>9</w:t>
            </w:r>
          </w:p>
        </w:tc>
        <w:tc>
          <w:tcPr>
            <w:tcW w:w="5392" w:type="dxa"/>
            <w:tcBorders>
              <w:top w:val="nil"/>
              <w:left w:val="nil"/>
              <w:bottom w:val="single" w:sz="4" w:space="0" w:color="auto"/>
              <w:right w:val="single" w:sz="4" w:space="0" w:color="auto"/>
            </w:tcBorders>
            <w:shd w:val="clear" w:color="auto" w:fill="auto"/>
          </w:tcPr>
          <w:p w14:paraId="00C318F5" w14:textId="77777777" w:rsidR="009021F1" w:rsidRPr="0008598F" w:rsidRDefault="009021F1" w:rsidP="00E637E3">
            <w:pPr>
              <w:spacing w:line="240" w:lineRule="auto"/>
              <w:jc w:val="left"/>
              <w:rPr>
                <w:rFonts w:cs="Arial"/>
                <w:color w:val="000000"/>
                <w:sz w:val="20"/>
                <w:szCs w:val="20"/>
              </w:rPr>
            </w:pPr>
            <w:r w:rsidRPr="0008598F">
              <w:rPr>
                <w:rFonts w:cs="Arial"/>
                <w:color w:val="000000"/>
                <w:sz w:val="20"/>
                <w:szCs w:val="20"/>
              </w:rPr>
              <w:t>Organiser des sensibilisations communautaires sur les risques d’EAS/HS, les comportements interdits, et l'existence du MGP en guise d'une appropriation par la communauté</w:t>
            </w:r>
          </w:p>
        </w:tc>
        <w:tc>
          <w:tcPr>
            <w:tcW w:w="529" w:type="dxa"/>
            <w:tcBorders>
              <w:top w:val="nil"/>
              <w:left w:val="nil"/>
              <w:bottom w:val="single" w:sz="4" w:space="0" w:color="auto"/>
              <w:right w:val="single" w:sz="4" w:space="0" w:color="auto"/>
            </w:tcBorders>
            <w:shd w:val="clear" w:color="auto" w:fill="auto"/>
          </w:tcPr>
          <w:p w14:paraId="57A12553" w14:textId="77777777" w:rsidR="009021F1" w:rsidRPr="0008598F" w:rsidRDefault="009021F1" w:rsidP="00E637E3">
            <w:pPr>
              <w:spacing w:line="240" w:lineRule="auto"/>
              <w:jc w:val="center"/>
              <w:rPr>
                <w:rFonts w:cs="Arial"/>
                <w:color w:val="000000"/>
                <w:sz w:val="20"/>
                <w:szCs w:val="20"/>
              </w:rPr>
            </w:pPr>
          </w:p>
          <w:p w14:paraId="5C21D571" w14:textId="77777777" w:rsidR="009021F1" w:rsidRPr="0008598F" w:rsidRDefault="009021F1" w:rsidP="00E637E3">
            <w:pPr>
              <w:spacing w:line="240" w:lineRule="auto"/>
              <w:jc w:val="center"/>
              <w:rPr>
                <w:rFonts w:cs="Arial"/>
                <w:color w:val="000000"/>
                <w:sz w:val="20"/>
                <w:szCs w:val="20"/>
              </w:rPr>
            </w:pPr>
          </w:p>
          <w:p w14:paraId="190631C3" w14:textId="77777777" w:rsidR="009021F1" w:rsidRPr="0008598F" w:rsidRDefault="009021F1" w:rsidP="00E637E3">
            <w:pPr>
              <w:spacing w:line="240" w:lineRule="auto"/>
              <w:jc w:val="center"/>
              <w:rPr>
                <w:rFonts w:cs="Arial"/>
                <w:sz w:val="20"/>
                <w:szCs w:val="20"/>
              </w:rPr>
            </w:pPr>
            <w:r w:rsidRPr="0008598F">
              <w:rPr>
                <w:rFonts w:cs="Arial"/>
                <w:color w:val="000000"/>
                <w:sz w:val="20"/>
                <w:szCs w:val="20"/>
              </w:rPr>
              <w:t>Séance</w:t>
            </w:r>
          </w:p>
        </w:tc>
        <w:tc>
          <w:tcPr>
            <w:tcW w:w="1192" w:type="dxa"/>
            <w:tcBorders>
              <w:top w:val="nil"/>
              <w:left w:val="nil"/>
              <w:bottom w:val="single" w:sz="4" w:space="0" w:color="auto"/>
              <w:right w:val="single" w:sz="4" w:space="0" w:color="auto"/>
            </w:tcBorders>
            <w:shd w:val="clear" w:color="auto" w:fill="auto"/>
          </w:tcPr>
          <w:p w14:paraId="1DAFB3EC" w14:textId="77777777" w:rsidR="009021F1" w:rsidRPr="0008598F" w:rsidRDefault="009021F1" w:rsidP="00E637E3">
            <w:pPr>
              <w:spacing w:line="240" w:lineRule="auto"/>
              <w:jc w:val="center"/>
              <w:rPr>
                <w:rFonts w:cs="Arial"/>
                <w:color w:val="000000"/>
                <w:sz w:val="20"/>
                <w:szCs w:val="20"/>
              </w:rPr>
            </w:pPr>
          </w:p>
          <w:p w14:paraId="78963368" w14:textId="77777777" w:rsidR="009021F1" w:rsidRPr="0008598F" w:rsidRDefault="009021F1" w:rsidP="00E637E3">
            <w:pPr>
              <w:spacing w:line="240" w:lineRule="auto"/>
              <w:jc w:val="center"/>
              <w:rPr>
                <w:rFonts w:cs="Arial"/>
                <w:color w:val="000000"/>
                <w:sz w:val="20"/>
                <w:szCs w:val="20"/>
              </w:rPr>
            </w:pPr>
          </w:p>
          <w:p w14:paraId="353F1258" w14:textId="77777777" w:rsidR="009021F1" w:rsidRPr="0008598F" w:rsidRDefault="009021F1" w:rsidP="00E637E3">
            <w:pPr>
              <w:spacing w:line="240" w:lineRule="auto"/>
              <w:jc w:val="center"/>
              <w:rPr>
                <w:rFonts w:cs="Arial"/>
                <w:sz w:val="20"/>
                <w:szCs w:val="20"/>
              </w:rPr>
            </w:pPr>
            <w:r w:rsidRPr="0008598F">
              <w:rPr>
                <w:rFonts w:cs="Arial"/>
                <w:color w:val="000000"/>
                <w:sz w:val="20"/>
                <w:szCs w:val="20"/>
              </w:rPr>
              <w:t>60</w:t>
            </w:r>
          </w:p>
        </w:tc>
        <w:tc>
          <w:tcPr>
            <w:tcW w:w="567" w:type="dxa"/>
            <w:tcBorders>
              <w:top w:val="nil"/>
              <w:left w:val="nil"/>
              <w:bottom w:val="single" w:sz="4" w:space="0" w:color="auto"/>
              <w:right w:val="single" w:sz="4" w:space="0" w:color="auto"/>
            </w:tcBorders>
            <w:shd w:val="clear" w:color="auto" w:fill="auto"/>
          </w:tcPr>
          <w:p w14:paraId="4FAF93A8" w14:textId="77777777" w:rsidR="009021F1" w:rsidRPr="0008598F" w:rsidRDefault="009021F1" w:rsidP="00E637E3">
            <w:pPr>
              <w:spacing w:line="240" w:lineRule="auto"/>
              <w:jc w:val="center"/>
              <w:rPr>
                <w:rFonts w:cs="Arial"/>
                <w:color w:val="000000"/>
                <w:sz w:val="20"/>
                <w:szCs w:val="20"/>
              </w:rPr>
            </w:pPr>
          </w:p>
          <w:p w14:paraId="1DC07E22" w14:textId="77777777" w:rsidR="009021F1" w:rsidRPr="0008598F" w:rsidRDefault="009021F1" w:rsidP="00E637E3">
            <w:pPr>
              <w:spacing w:line="240" w:lineRule="auto"/>
              <w:jc w:val="center"/>
              <w:rPr>
                <w:rFonts w:cs="Arial"/>
                <w:color w:val="000000"/>
                <w:sz w:val="20"/>
                <w:szCs w:val="20"/>
              </w:rPr>
            </w:pPr>
          </w:p>
          <w:p w14:paraId="7CB3999E" w14:textId="77777777" w:rsidR="009021F1" w:rsidRPr="0008598F" w:rsidRDefault="009021F1" w:rsidP="00E637E3">
            <w:pPr>
              <w:spacing w:line="240" w:lineRule="auto"/>
              <w:jc w:val="center"/>
              <w:rPr>
                <w:rFonts w:cs="Arial"/>
                <w:sz w:val="20"/>
                <w:szCs w:val="20"/>
              </w:rPr>
            </w:pPr>
            <w:r w:rsidRPr="0008598F">
              <w:rPr>
                <w:rFonts w:cs="Arial"/>
                <w:color w:val="000000"/>
                <w:sz w:val="20"/>
                <w:szCs w:val="20"/>
              </w:rPr>
              <w:t>6</w:t>
            </w:r>
          </w:p>
        </w:tc>
        <w:tc>
          <w:tcPr>
            <w:tcW w:w="956" w:type="dxa"/>
            <w:tcBorders>
              <w:top w:val="nil"/>
              <w:left w:val="nil"/>
              <w:bottom w:val="single" w:sz="4" w:space="0" w:color="auto"/>
              <w:right w:val="single" w:sz="4" w:space="0" w:color="auto"/>
            </w:tcBorders>
            <w:shd w:val="clear" w:color="auto" w:fill="auto"/>
          </w:tcPr>
          <w:p w14:paraId="1119363E" w14:textId="77777777" w:rsidR="009021F1" w:rsidRPr="0008598F" w:rsidRDefault="009021F1" w:rsidP="00E637E3">
            <w:pPr>
              <w:spacing w:line="240" w:lineRule="auto"/>
              <w:jc w:val="center"/>
              <w:rPr>
                <w:rFonts w:cs="Arial"/>
                <w:color w:val="000000"/>
                <w:sz w:val="20"/>
                <w:szCs w:val="20"/>
              </w:rPr>
            </w:pPr>
          </w:p>
          <w:p w14:paraId="0F42951C" w14:textId="77777777" w:rsidR="009021F1" w:rsidRPr="0008598F" w:rsidRDefault="009021F1" w:rsidP="00E637E3">
            <w:pPr>
              <w:spacing w:line="240" w:lineRule="auto"/>
              <w:jc w:val="center"/>
              <w:rPr>
                <w:rFonts w:cs="Arial"/>
                <w:color w:val="000000"/>
                <w:sz w:val="20"/>
                <w:szCs w:val="20"/>
              </w:rPr>
            </w:pPr>
          </w:p>
          <w:p w14:paraId="085F0993" w14:textId="77777777" w:rsidR="009021F1" w:rsidRPr="0008598F" w:rsidRDefault="009021F1" w:rsidP="00E637E3">
            <w:pPr>
              <w:spacing w:line="240" w:lineRule="auto"/>
              <w:jc w:val="center"/>
              <w:rPr>
                <w:rFonts w:cs="Arial"/>
                <w:sz w:val="20"/>
                <w:szCs w:val="20"/>
              </w:rPr>
            </w:pPr>
            <w:r w:rsidRPr="0008598F">
              <w:rPr>
                <w:rFonts w:cs="Arial"/>
                <w:color w:val="000000"/>
                <w:sz w:val="20"/>
                <w:szCs w:val="20"/>
              </w:rPr>
              <w:t>150</w:t>
            </w:r>
          </w:p>
        </w:tc>
        <w:tc>
          <w:tcPr>
            <w:tcW w:w="1200" w:type="dxa"/>
            <w:tcBorders>
              <w:top w:val="nil"/>
              <w:left w:val="nil"/>
              <w:bottom w:val="single" w:sz="4" w:space="0" w:color="auto"/>
              <w:right w:val="single" w:sz="4" w:space="0" w:color="auto"/>
            </w:tcBorders>
            <w:shd w:val="clear" w:color="auto" w:fill="auto"/>
            <w:noWrap/>
          </w:tcPr>
          <w:p w14:paraId="40FEFAEF" w14:textId="77777777" w:rsidR="009021F1" w:rsidRPr="0008598F" w:rsidRDefault="009021F1" w:rsidP="00E637E3">
            <w:pPr>
              <w:spacing w:line="240" w:lineRule="auto"/>
              <w:jc w:val="right"/>
              <w:rPr>
                <w:rFonts w:cs="Arial"/>
                <w:color w:val="000000"/>
                <w:sz w:val="20"/>
                <w:szCs w:val="20"/>
              </w:rPr>
            </w:pPr>
          </w:p>
          <w:p w14:paraId="10ED74F3" w14:textId="77777777" w:rsidR="009021F1" w:rsidRPr="0008598F" w:rsidRDefault="009021F1" w:rsidP="00E637E3">
            <w:pPr>
              <w:spacing w:line="240" w:lineRule="auto"/>
              <w:jc w:val="right"/>
              <w:rPr>
                <w:rFonts w:cs="Arial"/>
                <w:color w:val="000000"/>
                <w:sz w:val="20"/>
                <w:szCs w:val="20"/>
              </w:rPr>
            </w:pPr>
          </w:p>
          <w:p w14:paraId="00AC44C1" w14:textId="77777777" w:rsidR="009021F1" w:rsidRPr="0008598F" w:rsidRDefault="009021F1" w:rsidP="00E637E3">
            <w:pPr>
              <w:spacing w:line="240" w:lineRule="auto"/>
              <w:jc w:val="right"/>
              <w:rPr>
                <w:rFonts w:cs="Arial"/>
                <w:color w:val="000000"/>
                <w:sz w:val="20"/>
                <w:szCs w:val="20"/>
              </w:rPr>
            </w:pPr>
            <w:r w:rsidRPr="0008598F">
              <w:rPr>
                <w:rFonts w:cs="Arial"/>
                <w:color w:val="000000"/>
                <w:sz w:val="20"/>
                <w:szCs w:val="20"/>
              </w:rPr>
              <w:t>54 000</w:t>
            </w:r>
          </w:p>
        </w:tc>
      </w:tr>
      <w:tr w:rsidR="009021F1" w:rsidRPr="0008598F" w14:paraId="1C2BA798" w14:textId="77777777" w:rsidTr="00E637E3">
        <w:trPr>
          <w:trHeight w:val="542"/>
        </w:trPr>
        <w:tc>
          <w:tcPr>
            <w:tcW w:w="420" w:type="dxa"/>
            <w:tcBorders>
              <w:top w:val="nil"/>
              <w:left w:val="single" w:sz="4" w:space="0" w:color="auto"/>
              <w:bottom w:val="single" w:sz="4" w:space="0" w:color="auto"/>
              <w:right w:val="single" w:sz="4" w:space="0" w:color="auto"/>
            </w:tcBorders>
            <w:shd w:val="clear" w:color="auto" w:fill="auto"/>
            <w:noWrap/>
            <w:vAlign w:val="center"/>
          </w:tcPr>
          <w:p w14:paraId="189F360A" w14:textId="77777777" w:rsidR="009021F1" w:rsidRPr="0008598F" w:rsidRDefault="009021F1" w:rsidP="00E637E3">
            <w:pPr>
              <w:spacing w:line="240" w:lineRule="auto"/>
              <w:jc w:val="right"/>
              <w:rPr>
                <w:rFonts w:cs="Arial"/>
                <w:color w:val="000000"/>
                <w:sz w:val="20"/>
                <w:szCs w:val="20"/>
              </w:rPr>
            </w:pPr>
            <w:r w:rsidRPr="0008598F">
              <w:rPr>
                <w:rFonts w:cs="Arial"/>
                <w:color w:val="000000"/>
                <w:sz w:val="20"/>
                <w:szCs w:val="20"/>
              </w:rPr>
              <w:t>10</w:t>
            </w:r>
          </w:p>
        </w:tc>
        <w:tc>
          <w:tcPr>
            <w:tcW w:w="5392" w:type="dxa"/>
            <w:tcBorders>
              <w:top w:val="nil"/>
              <w:left w:val="nil"/>
              <w:bottom w:val="single" w:sz="4" w:space="0" w:color="auto"/>
              <w:right w:val="single" w:sz="4" w:space="0" w:color="auto"/>
            </w:tcBorders>
            <w:shd w:val="clear" w:color="auto" w:fill="auto"/>
          </w:tcPr>
          <w:p w14:paraId="2EE8E018" w14:textId="77777777" w:rsidR="009021F1" w:rsidRPr="0008598F" w:rsidRDefault="009021F1" w:rsidP="00E637E3">
            <w:pPr>
              <w:spacing w:line="240" w:lineRule="auto"/>
              <w:jc w:val="left"/>
              <w:rPr>
                <w:rFonts w:cs="Arial"/>
                <w:color w:val="000000"/>
                <w:sz w:val="20"/>
                <w:szCs w:val="20"/>
              </w:rPr>
            </w:pPr>
            <w:r w:rsidRPr="0008598F">
              <w:rPr>
                <w:rFonts w:cs="Arial"/>
                <w:color w:val="000000"/>
                <w:sz w:val="20"/>
                <w:szCs w:val="20"/>
              </w:rPr>
              <w:t>Vulgariser les instruments nationaux sur le travail et ceux qui assurent la protection et la promotion de la femme. </w:t>
            </w:r>
          </w:p>
        </w:tc>
        <w:tc>
          <w:tcPr>
            <w:tcW w:w="529" w:type="dxa"/>
            <w:tcBorders>
              <w:top w:val="nil"/>
              <w:left w:val="nil"/>
              <w:bottom w:val="single" w:sz="4" w:space="0" w:color="auto"/>
              <w:right w:val="single" w:sz="4" w:space="0" w:color="auto"/>
            </w:tcBorders>
            <w:shd w:val="clear" w:color="auto" w:fill="auto"/>
          </w:tcPr>
          <w:p w14:paraId="36E9D6FB" w14:textId="77777777" w:rsidR="009021F1" w:rsidRPr="0008598F" w:rsidRDefault="009021F1" w:rsidP="00E637E3">
            <w:pPr>
              <w:spacing w:line="240" w:lineRule="auto"/>
              <w:jc w:val="center"/>
              <w:rPr>
                <w:rFonts w:cs="Arial"/>
                <w:color w:val="000000"/>
                <w:sz w:val="20"/>
                <w:szCs w:val="20"/>
              </w:rPr>
            </w:pPr>
          </w:p>
          <w:p w14:paraId="43E921FE" w14:textId="77777777" w:rsidR="009021F1" w:rsidRPr="0008598F" w:rsidRDefault="009021F1" w:rsidP="00E637E3">
            <w:pPr>
              <w:spacing w:line="240" w:lineRule="auto"/>
              <w:jc w:val="center"/>
              <w:rPr>
                <w:rFonts w:cs="Arial"/>
                <w:sz w:val="20"/>
                <w:szCs w:val="20"/>
              </w:rPr>
            </w:pPr>
            <w:r w:rsidRPr="0008598F">
              <w:rPr>
                <w:rFonts w:cs="Arial"/>
                <w:color w:val="000000"/>
                <w:sz w:val="20"/>
                <w:szCs w:val="20"/>
              </w:rPr>
              <w:t>Jour</w:t>
            </w:r>
          </w:p>
        </w:tc>
        <w:tc>
          <w:tcPr>
            <w:tcW w:w="1192" w:type="dxa"/>
            <w:tcBorders>
              <w:top w:val="nil"/>
              <w:left w:val="nil"/>
              <w:bottom w:val="single" w:sz="4" w:space="0" w:color="auto"/>
              <w:right w:val="single" w:sz="4" w:space="0" w:color="auto"/>
            </w:tcBorders>
            <w:shd w:val="clear" w:color="auto" w:fill="auto"/>
          </w:tcPr>
          <w:p w14:paraId="61C9D9B3" w14:textId="77777777" w:rsidR="009021F1" w:rsidRPr="0008598F" w:rsidRDefault="009021F1" w:rsidP="00E637E3">
            <w:pPr>
              <w:spacing w:line="240" w:lineRule="auto"/>
              <w:jc w:val="center"/>
              <w:rPr>
                <w:rFonts w:cs="Arial"/>
                <w:color w:val="000000"/>
                <w:sz w:val="20"/>
                <w:szCs w:val="20"/>
              </w:rPr>
            </w:pPr>
          </w:p>
          <w:p w14:paraId="17B18C5C" w14:textId="77777777" w:rsidR="009021F1" w:rsidRPr="0008598F" w:rsidRDefault="009021F1" w:rsidP="00E637E3">
            <w:pPr>
              <w:spacing w:line="240" w:lineRule="auto"/>
              <w:jc w:val="center"/>
              <w:rPr>
                <w:rFonts w:cs="Arial"/>
                <w:sz w:val="20"/>
                <w:szCs w:val="20"/>
              </w:rPr>
            </w:pPr>
            <w:r w:rsidRPr="0008598F">
              <w:rPr>
                <w:rFonts w:cs="Arial"/>
                <w:color w:val="000000"/>
                <w:sz w:val="20"/>
                <w:szCs w:val="20"/>
              </w:rPr>
              <w:t>6</w:t>
            </w:r>
          </w:p>
        </w:tc>
        <w:tc>
          <w:tcPr>
            <w:tcW w:w="567" w:type="dxa"/>
            <w:tcBorders>
              <w:top w:val="nil"/>
              <w:left w:val="nil"/>
              <w:bottom w:val="single" w:sz="4" w:space="0" w:color="auto"/>
              <w:right w:val="single" w:sz="4" w:space="0" w:color="auto"/>
            </w:tcBorders>
            <w:shd w:val="clear" w:color="auto" w:fill="auto"/>
          </w:tcPr>
          <w:p w14:paraId="11626138" w14:textId="77777777" w:rsidR="009021F1" w:rsidRPr="0008598F" w:rsidRDefault="009021F1" w:rsidP="00E637E3">
            <w:pPr>
              <w:spacing w:line="240" w:lineRule="auto"/>
              <w:jc w:val="center"/>
              <w:rPr>
                <w:rFonts w:cs="Arial"/>
                <w:color w:val="000000"/>
                <w:sz w:val="20"/>
                <w:szCs w:val="20"/>
              </w:rPr>
            </w:pPr>
          </w:p>
          <w:p w14:paraId="063852E0" w14:textId="77777777" w:rsidR="009021F1" w:rsidRPr="0008598F" w:rsidRDefault="009021F1" w:rsidP="00E637E3">
            <w:pPr>
              <w:spacing w:line="240" w:lineRule="auto"/>
              <w:jc w:val="center"/>
              <w:rPr>
                <w:rFonts w:cs="Arial"/>
                <w:sz w:val="20"/>
                <w:szCs w:val="20"/>
              </w:rPr>
            </w:pPr>
            <w:r w:rsidRPr="0008598F">
              <w:rPr>
                <w:rFonts w:cs="Arial"/>
                <w:color w:val="000000"/>
                <w:sz w:val="20"/>
                <w:szCs w:val="20"/>
              </w:rPr>
              <w:t>60</w:t>
            </w:r>
          </w:p>
        </w:tc>
        <w:tc>
          <w:tcPr>
            <w:tcW w:w="956" w:type="dxa"/>
            <w:tcBorders>
              <w:top w:val="nil"/>
              <w:left w:val="nil"/>
              <w:bottom w:val="single" w:sz="4" w:space="0" w:color="auto"/>
              <w:right w:val="single" w:sz="4" w:space="0" w:color="auto"/>
            </w:tcBorders>
            <w:shd w:val="clear" w:color="auto" w:fill="auto"/>
          </w:tcPr>
          <w:p w14:paraId="39D01153" w14:textId="77777777" w:rsidR="009021F1" w:rsidRPr="0008598F" w:rsidRDefault="009021F1" w:rsidP="00E637E3">
            <w:pPr>
              <w:spacing w:line="240" w:lineRule="auto"/>
              <w:jc w:val="center"/>
              <w:rPr>
                <w:rFonts w:cs="Arial"/>
                <w:color w:val="000000"/>
                <w:sz w:val="20"/>
                <w:szCs w:val="20"/>
              </w:rPr>
            </w:pPr>
          </w:p>
          <w:p w14:paraId="7E356E99" w14:textId="77777777" w:rsidR="009021F1" w:rsidRPr="0008598F" w:rsidRDefault="009021F1" w:rsidP="00E637E3">
            <w:pPr>
              <w:spacing w:line="240" w:lineRule="auto"/>
              <w:jc w:val="center"/>
              <w:rPr>
                <w:rFonts w:cs="Arial"/>
                <w:sz w:val="20"/>
                <w:szCs w:val="20"/>
              </w:rPr>
            </w:pPr>
            <w:r w:rsidRPr="0008598F">
              <w:rPr>
                <w:rFonts w:cs="Arial"/>
                <w:color w:val="000000"/>
                <w:sz w:val="20"/>
                <w:szCs w:val="20"/>
              </w:rPr>
              <w:t>220</w:t>
            </w:r>
          </w:p>
        </w:tc>
        <w:tc>
          <w:tcPr>
            <w:tcW w:w="1200" w:type="dxa"/>
            <w:tcBorders>
              <w:top w:val="nil"/>
              <w:left w:val="nil"/>
              <w:bottom w:val="single" w:sz="4" w:space="0" w:color="auto"/>
              <w:right w:val="single" w:sz="4" w:space="0" w:color="auto"/>
            </w:tcBorders>
            <w:shd w:val="clear" w:color="auto" w:fill="auto"/>
            <w:noWrap/>
          </w:tcPr>
          <w:p w14:paraId="62E0CE6E" w14:textId="77777777" w:rsidR="009021F1" w:rsidRPr="0008598F" w:rsidRDefault="009021F1" w:rsidP="00E637E3">
            <w:pPr>
              <w:spacing w:line="240" w:lineRule="auto"/>
              <w:jc w:val="right"/>
              <w:rPr>
                <w:rFonts w:cs="Arial"/>
                <w:color w:val="000000"/>
                <w:sz w:val="20"/>
                <w:szCs w:val="20"/>
              </w:rPr>
            </w:pPr>
          </w:p>
          <w:p w14:paraId="655C2CB2" w14:textId="77777777" w:rsidR="009021F1" w:rsidRPr="0008598F" w:rsidRDefault="009021F1" w:rsidP="00E637E3">
            <w:pPr>
              <w:spacing w:line="240" w:lineRule="auto"/>
              <w:jc w:val="right"/>
              <w:rPr>
                <w:rFonts w:cs="Arial"/>
                <w:color w:val="000000"/>
                <w:sz w:val="20"/>
                <w:szCs w:val="20"/>
              </w:rPr>
            </w:pPr>
            <w:r w:rsidRPr="0008598F">
              <w:rPr>
                <w:rFonts w:cs="Arial"/>
                <w:color w:val="000000"/>
                <w:sz w:val="20"/>
                <w:szCs w:val="20"/>
              </w:rPr>
              <w:t>79 200</w:t>
            </w:r>
          </w:p>
        </w:tc>
      </w:tr>
      <w:tr w:rsidR="009021F1" w:rsidRPr="0008598F" w14:paraId="6AC8DC31" w14:textId="77777777" w:rsidTr="00E637E3">
        <w:trPr>
          <w:trHeight w:val="624"/>
        </w:trPr>
        <w:tc>
          <w:tcPr>
            <w:tcW w:w="420" w:type="dxa"/>
            <w:tcBorders>
              <w:top w:val="nil"/>
              <w:left w:val="single" w:sz="4" w:space="0" w:color="auto"/>
              <w:bottom w:val="single" w:sz="4" w:space="0" w:color="auto"/>
              <w:right w:val="single" w:sz="4" w:space="0" w:color="auto"/>
            </w:tcBorders>
            <w:shd w:val="clear" w:color="auto" w:fill="auto"/>
            <w:noWrap/>
            <w:vAlign w:val="center"/>
          </w:tcPr>
          <w:p w14:paraId="51C94085" w14:textId="77777777" w:rsidR="009021F1" w:rsidRPr="0008598F" w:rsidRDefault="009021F1" w:rsidP="00E637E3">
            <w:pPr>
              <w:spacing w:line="240" w:lineRule="auto"/>
              <w:jc w:val="right"/>
              <w:rPr>
                <w:rFonts w:cs="Arial"/>
                <w:color w:val="000000"/>
                <w:sz w:val="20"/>
                <w:szCs w:val="20"/>
              </w:rPr>
            </w:pPr>
            <w:r w:rsidRPr="0008598F">
              <w:rPr>
                <w:rFonts w:cs="Arial"/>
                <w:color w:val="000000"/>
                <w:sz w:val="20"/>
                <w:szCs w:val="20"/>
              </w:rPr>
              <w:t>11</w:t>
            </w:r>
          </w:p>
        </w:tc>
        <w:tc>
          <w:tcPr>
            <w:tcW w:w="5392" w:type="dxa"/>
            <w:tcBorders>
              <w:top w:val="nil"/>
              <w:left w:val="nil"/>
              <w:bottom w:val="single" w:sz="4" w:space="0" w:color="auto"/>
              <w:right w:val="single" w:sz="4" w:space="0" w:color="auto"/>
            </w:tcBorders>
            <w:shd w:val="clear" w:color="auto" w:fill="auto"/>
          </w:tcPr>
          <w:p w14:paraId="30BD010A" w14:textId="77777777" w:rsidR="009021F1" w:rsidRPr="0008598F" w:rsidRDefault="009021F1" w:rsidP="00E637E3">
            <w:pPr>
              <w:spacing w:line="240" w:lineRule="auto"/>
              <w:jc w:val="left"/>
              <w:rPr>
                <w:rFonts w:cs="Arial"/>
                <w:color w:val="000000"/>
                <w:sz w:val="20"/>
                <w:szCs w:val="20"/>
              </w:rPr>
            </w:pPr>
            <w:r w:rsidRPr="0008598F">
              <w:rPr>
                <w:rFonts w:cs="Arial"/>
                <w:color w:val="000000"/>
                <w:sz w:val="20"/>
                <w:szCs w:val="20"/>
              </w:rPr>
              <w:t>Renforcer les capacités des parties prenantes sur la gestion, références et contre références des cas de VBG  </w:t>
            </w:r>
          </w:p>
        </w:tc>
        <w:tc>
          <w:tcPr>
            <w:tcW w:w="529" w:type="dxa"/>
            <w:tcBorders>
              <w:top w:val="nil"/>
              <w:left w:val="nil"/>
              <w:bottom w:val="single" w:sz="4" w:space="0" w:color="auto"/>
              <w:right w:val="single" w:sz="4" w:space="0" w:color="auto"/>
            </w:tcBorders>
            <w:shd w:val="clear" w:color="auto" w:fill="auto"/>
          </w:tcPr>
          <w:p w14:paraId="5DDDA47D" w14:textId="77777777" w:rsidR="009021F1" w:rsidRPr="0008598F" w:rsidRDefault="009021F1" w:rsidP="00E637E3">
            <w:pPr>
              <w:spacing w:line="240" w:lineRule="auto"/>
              <w:jc w:val="center"/>
              <w:rPr>
                <w:rFonts w:cs="Arial"/>
                <w:color w:val="000000"/>
                <w:sz w:val="20"/>
                <w:szCs w:val="20"/>
              </w:rPr>
            </w:pPr>
          </w:p>
          <w:p w14:paraId="1AFC30AB" w14:textId="77777777" w:rsidR="009021F1" w:rsidRPr="0008598F" w:rsidRDefault="009021F1" w:rsidP="00E637E3">
            <w:pPr>
              <w:spacing w:line="240" w:lineRule="auto"/>
              <w:jc w:val="center"/>
              <w:rPr>
                <w:rFonts w:cs="Arial"/>
                <w:sz w:val="20"/>
                <w:szCs w:val="20"/>
              </w:rPr>
            </w:pPr>
            <w:r w:rsidRPr="0008598F">
              <w:rPr>
                <w:rFonts w:cs="Arial"/>
                <w:color w:val="000000"/>
                <w:sz w:val="20"/>
                <w:szCs w:val="20"/>
              </w:rPr>
              <w:t>Jour</w:t>
            </w:r>
          </w:p>
        </w:tc>
        <w:tc>
          <w:tcPr>
            <w:tcW w:w="1192" w:type="dxa"/>
            <w:tcBorders>
              <w:top w:val="nil"/>
              <w:left w:val="nil"/>
              <w:bottom w:val="single" w:sz="4" w:space="0" w:color="auto"/>
              <w:right w:val="single" w:sz="4" w:space="0" w:color="auto"/>
            </w:tcBorders>
            <w:shd w:val="clear" w:color="auto" w:fill="auto"/>
          </w:tcPr>
          <w:p w14:paraId="57E3E11E" w14:textId="77777777" w:rsidR="009021F1" w:rsidRPr="0008598F" w:rsidRDefault="009021F1" w:rsidP="00E637E3">
            <w:pPr>
              <w:spacing w:line="240" w:lineRule="auto"/>
              <w:jc w:val="center"/>
              <w:rPr>
                <w:rFonts w:cs="Arial"/>
                <w:color w:val="000000"/>
                <w:sz w:val="20"/>
                <w:szCs w:val="20"/>
              </w:rPr>
            </w:pPr>
          </w:p>
          <w:p w14:paraId="5C40234C" w14:textId="77777777" w:rsidR="009021F1" w:rsidRPr="0008598F" w:rsidRDefault="009021F1" w:rsidP="00E637E3">
            <w:pPr>
              <w:spacing w:line="240" w:lineRule="auto"/>
              <w:jc w:val="center"/>
              <w:rPr>
                <w:rFonts w:cs="Arial"/>
                <w:sz w:val="20"/>
                <w:szCs w:val="20"/>
              </w:rPr>
            </w:pPr>
            <w:r w:rsidRPr="0008598F">
              <w:rPr>
                <w:rFonts w:cs="Arial"/>
                <w:color w:val="000000"/>
                <w:sz w:val="20"/>
                <w:szCs w:val="20"/>
              </w:rPr>
              <w:t>5</w:t>
            </w:r>
          </w:p>
        </w:tc>
        <w:tc>
          <w:tcPr>
            <w:tcW w:w="567" w:type="dxa"/>
            <w:tcBorders>
              <w:top w:val="nil"/>
              <w:left w:val="nil"/>
              <w:bottom w:val="single" w:sz="4" w:space="0" w:color="auto"/>
              <w:right w:val="single" w:sz="4" w:space="0" w:color="auto"/>
            </w:tcBorders>
            <w:shd w:val="clear" w:color="auto" w:fill="auto"/>
          </w:tcPr>
          <w:p w14:paraId="23970DED" w14:textId="77777777" w:rsidR="009021F1" w:rsidRPr="0008598F" w:rsidRDefault="009021F1" w:rsidP="00E637E3">
            <w:pPr>
              <w:spacing w:line="240" w:lineRule="auto"/>
              <w:jc w:val="center"/>
              <w:rPr>
                <w:rFonts w:cs="Arial"/>
                <w:color w:val="000000"/>
                <w:sz w:val="20"/>
                <w:szCs w:val="20"/>
              </w:rPr>
            </w:pPr>
          </w:p>
          <w:p w14:paraId="74FE057A" w14:textId="77777777" w:rsidR="009021F1" w:rsidRPr="0008598F" w:rsidRDefault="009021F1" w:rsidP="00E637E3">
            <w:pPr>
              <w:spacing w:line="240" w:lineRule="auto"/>
              <w:jc w:val="center"/>
              <w:rPr>
                <w:rFonts w:cs="Arial"/>
                <w:sz w:val="20"/>
                <w:szCs w:val="20"/>
              </w:rPr>
            </w:pPr>
            <w:r w:rsidRPr="0008598F">
              <w:rPr>
                <w:rFonts w:cs="Arial"/>
                <w:color w:val="000000"/>
                <w:sz w:val="20"/>
                <w:szCs w:val="20"/>
              </w:rPr>
              <w:t>6</w:t>
            </w:r>
          </w:p>
        </w:tc>
        <w:tc>
          <w:tcPr>
            <w:tcW w:w="956" w:type="dxa"/>
            <w:tcBorders>
              <w:top w:val="nil"/>
              <w:left w:val="nil"/>
              <w:bottom w:val="single" w:sz="4" w:space="0" w:color="auto"/>
              <w:right w:val="single" w:sz="4" w:space="0" w:color="auto"/>
            </w:tcBorders>
            <w:shd w:val="clear" w:color="auto" w:fill="auto"/>
          </w:tcPr>
          <w:p w14:paraId="502504FE" w14:textId="77777777" w:rsidR="009021F1" w:rsidRPr="0008598F" w:rsidRDefault="009021F1" w:rsidP="00E637E3">
            <w:pPr>
              <w:spacing w:line="240" w:lineRule="auto"/>
              <w:jc w:val="center"/>
              <w:rPr>
                <w:rFonts w:cs="Arial"/>
                <w:color w:val="000000"/>
                <w:sz w:val="20"/>
                <w:szCs w:val="20"/>
              </w:rPr>
            </w:pPr>
          </w:p>
          <w:p w14:paraId="373D5EDD" w14:textId="77777777" w:rsidR="009021F1" w:rsidRPr="0008598F" w:rsidRDefault="009021F1" w:rsidP="00E637E3">
            <w:pPr>
              <w:spacing w:line="240" w:lineRule="auto"/>
              <w:jc w:val="center"/>
              <w:rPr>
                <w:rFonts w:cs="Arial"/>
                <w:sz w:val="20"/>
                <w:szCs w:val="20"/>
              </w:rPr>
            </w:pPr>
            <w:r w:rsidRPr="0008598F">
              <w:rPr>
                <w:rFonts w:cs="Arial"/>
                <w:color w:val="000000"/>
                <w:sz w:val="20"/>
                <w:szCs w:val="20"/>
              </w:rPr>
              <w:t>2 500</w:t>
            </w:r>
          </w:p>
        </w:tc>
        <w:tc>
          <w:tcPr>
            <w:tcW w:w="1200" w:type="dxa"/>
            <w:tcBorders>
              <w:top w:val="nil"/>
              <w:left w:val="nil"/>
              <w:bottom w:val="single" w:sz="4" w:space="0" w:color="auto"/>
              <w:right w:val="single" w:sz="4" w:space="0" w:color="auto"/>
            </w:tcBorders>
            <w:shd w:val="clear" w:color="auto" w:fill="auto"/>
            <w:noWrap/>
          </w:tcPr>
          <w:p w14:paraId="486D0EEA" w14:textId="77777777" w:rsidR="009021F1" w:rsidRPr="0008598F" w:rsidRDefault="009021F1" w:rsidP="00E637E3">
            <w:pPr>
              <w:spacing w:line="240" w:lineRule="auto"/>
              <w:jc w:val="right"/>
              <w:rPr>
                <w:rFonts w:cs="Arial"/>
                <w:color w:val="000000"/>
                <w:sz w:val="20"/>
                <w:szCs w:val="20"/>
              </w:rPr>
            </w:pPr>
          </w:p>
          <w:p w14:paraId="1AE1FD8D" w14:textId="77777777" w:rsidR="009021F1" w:rsidRPr="0008598F" w:rsidRDefault="009021F1" w:rsidP="00E637E3">
            <w:pPr>
              <w:spacing w:line="240" w:lineRule="auto"/>
              <w:jc w:val="right"/>
              <w:rPr>
                <w:rFonts w:cs="Arial"/>
                <w:color w:val="000000"/>
                <w:sz w:val="20"/>
                <w:szCs w:val="20"/>
              </w:rPr>
            </w:pPr>
            <w:r w:rsidRPr="0008598F">
              <w:rPr>
                <w:rFonts w:cs="Arial"/>
                <w:color w:val="000000"/>
                <w:sz w:val="20"/>
                <w:szCs w:val="20"/>
              </w:rPr>
              <w:t>75 000</w:t>
            </w:r>
          </w:p>
        </w:tc>
      </w:tr>
      <w:tr w:rsidR="009021F1" w:rsidRPr="0008598F" w14:paraId="4D5A31DE" w14:textId="77777777" w:rsidTr="00E637E3">
        <w:trPr>
          <w:trHeight w:val="97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36B43911" w14:textId="77777777" w:rsidR="009021F1" w:rsidRPr="0008598F" w:rsidRDefault="009021F1" w:rsidP="00E637E3">
            <w:pPr>
              <w:spacing w:line="240" w:lineRule="auto"/>
              <w:jc w:val="right"/>
              <w:rPr>
                <w:rFonts w:cs="Arial"/>
                <w:color w:val="000000"/>
                <w:sz w:val="20"/>
                <w:szCs w:val="20"/>
              </w:rPr>
            </w:pPr>
            <w:r w:rsidRPr="0008598F">
              <w:rPr>
                <w:rFonts w:cs="Arial"/>
                <w:color w:val="000000"/>
                <w:sz w:val="20"/>
                <w:szCs w:val="20"/>
              </w:rPr>
              <w:t>12</w:t>
            </w:r>
          </w:p>
        </w:tc>
        <w:tc>
          <w:tcPr>
            <w:tcW w:w="5392" w:type="dxa"/>
            <w:tcBorders>
              <w:top w:val="nil"/>
              <w:left w:val="nil"/>
              <w:bottom w:val="single" w:sz="4" w:space="0" w:color="auto"/>
              <w:right w:val="single" w:sz="4" w:space="0" w:color="auto"/>
            </w:tcBorders>
            <w:shd w:val="clear" w:color="auto" w:fill="auto"/>
            <w:vAlign w:val="center"/>
            <w:hideMark/>
          </w:tcPr>
          <w:p w14:paraId="3AFDFEFE" w14:textId="77777777" w:rsidR="009021F1" w:rsidRPr="0008598F" w:rsidRDefault="009021F1" w:rsidP="00E637E3">
            <w:pPr>
              <w:spacing w:line="240" w:lineRule="auto"/>
              <w:rPr>
                <w:rFonts w:cs="Arial"/>
                <w:color w:val="000000"/>
                <w:sz w:val="20"/>
                <w:szCs w:val="20"/>
              </w:rPr>
            </w:pPr>
            <w:r w:rsidRPr="0008598F">
              <w:rPr>
                <w:rFonts w:cs="Arial"/>
                <w:color w:val="000000"/>
                <w:sz w:val="20"/>
                <w:szCs w:val="20"/>
              </w:rPr>
              <w:t>Déclencher le processus de vérification des plaintes liées à l’EAS/HS, à travers les procédures du MGP et la structure de vérification (ex. la Sous-Commission VBG),  afin de dégager leur lien au Projet.</w:t>
            </w:r>
          </w:p>
        </w:tc>
        <w:tc>
          <w:tcPr>
            <w:tcW w:w="529" w:type="dxa"/>
            <w:tcBorders>
              <w:top w:val="nil"/>
              <w:left w:val="nil"/>
              <w:bottom w:val="single" w:sz="4" w:space="0" w:color="auto"/>
              <w:right w:val="single" w:sz="4" w:space="0" w:color="auto"/>
            </w:tcBorders>
            <w:shd w:val="clear" w:color="auto" w:fill="auto"/>
            <w:vAlign w:val="center"/>
            <w:hideMark/>
          </w:tcPr>
          <w:p w14:paraId="3D2C2A7E" w14:textId="77777777" w:rsidR="009021F1" w:rsidRPr="0008598F" w:rsidRDefault="009021F1" w:rsidP="00E637E3">
            <w:pPr>
              <w:spacing w:line="240" w:lineRule="auto"/>
              <w:jc w:val="center"/>
              <w:rPr>
                <w:rFonts w:cs="Arial"/>
                <w:sz w:val="20"/>
                <w:szCs w:val="20"/>
              </w:rPr>
            </w:pPr>
            <w:r w:rsidRPr="0008598F">
              <w:rPr>
                <w:rFonts w:cs="Arial"/>
                <w:sz w:val="20"/>
                <w:szCs w:val="20"/>
              </w:rPr>
              <w:t>Jour</w:t>
            </w:r>
          </w:p>
        </w:tc>
        <w:tc>
          <w:tcPr>
            <w:tcW w:w="1192" w:type="dxa"/>
            <w:tcBorders>
              <w:top w:val="nil"/>
              <w:left w:val="nil"/>
              <w:bottom w:val="single" w:sz="4" w:space="0" w:color="auto"/>
              <w:right w:val="single" w:sz="4" w:space="0" w:color="auto"/>
            </w:tcBorders>
            <w:shd w:val="clear" w:color="auto" w:fill="auto"/>
            <w:vAlign w:val="center"/>
            <w:hideMark/>
          </w:tcPr>
          <w:p w14:paraId="626703E8" w14:textId="77777777" w:rsidR="009021F1" w:rsidRPr="0008598F" w:rsidRDefault="009021F1" w:rsidP="00E637E3">
            <w:pPr>
              <w:spacing w:line="240" w:lineRule="auto"/>
              <w:jc w:val="center"/>
              <w:rPr>
                <w:rFonts w:cs="Arial"/>
                <w:sz w:val="20"/>
                <w:szCs w:val="20"/>
              </w:rPr>
            </w:pPr>
            <w:r w:rsidRPr="0008598F">
              <w:rPr>
                <w:rFonts w:cs="Arial"/>
                <w:sz w:val="20"/>
                <w:szCs w:val="20"/>
              </w:rPr>
              <w:t>150</w:t>
            </w:r>
          </w:p>
        </w:tc>
        <w:tc>
          <w:tcPr>
            <w:tcW w:w="567" w:type="dxa"/>
            <w:tcBorders>
              <w:top w:val="nil"/>
              <w:left w:val="nil"/>
              <w:bottom w:val="single" w:sz="4" w:space="0" w:color="auto"/>
              <w:right w:val="single" w:sz="4" w:space="0" w:color="auto"/>
            </w:tcBorders>
            <w:shd w:val="clear" w:color="auto" w:fill="auto"/>
            <w:vAlign w:val="center"/>
            <w:hideMark/>
          </w:tcPr>
          <w:p w14:paraId="250DB6D8" w14:textId="77777777" w:rsidR="009021F1" w:rsidRPr="0008598F" w:rsidRDefault="009021F1" w:rsidP="00E637E3">
            <w:pPr>
              <w:spacing w:line="240" w:lineRule="auto"/>
              <w:jc w:val="center"/>
              <w:rPr>
                <w:rFonts w:cs="Arial"/>
                <w:sz w:val="20"/>
                <w:szCs w:val="20"/>
              </w:rPr>
            </w:pPr>
            <w:r w:rsidRPr="0008598F">
              <w:rPr>
                <w:rFonts w:cs="Arial"/>
                <w:sz w:val="20"/>
                <w:szCs w:val="20"/>
              </w:rPr>
              <w:t>6</w:t>
            </w:r>
          </w:p>
        </w:tc>
        <w:tc>
          <w:tcPr>
            <w:tcW w:w="956" w:type="dxa"/>
            <w:tcBorders>
              <w:top w:val="nil"/>
              <w:left w:val="nil"/>
              <w:bottom w:val="single" w:sz="4" w:space="0" w:color="auto"/>
              <w:right w:val="single" w:sz="4" w:space="0" w:color="auto"/>
            </w:tcBorders>
            <w:shd w:val="clear" w:color="auto" w:fill="auto"/>
            <w:vAlign w:val="center"/>
            <w:hideMark/>
          </w:tcPr>
          <w:p w14:paraId="1A2C54F6" w14:textId="77777777" w:rsidR="009021F1" w:rsidRPr="0008598F" w:rsidRDefault="009021F1" w:rsidP="00E637E3">
            <w:pPr>
              <w:spacing w:line="240" w:lineRule="auto"/>
              <w:jc w:val="center"/>
              <w:rPr>
                <w:rFonts w:cs="Arial"/>
                <w:sz w:val="20"/>
                <w:szCs w:val="20"/>
              </w:rPr>
            </w:pPr>
            <w:r w:rsidRPr="0008598F">
              <w:rPr>
                <w:rFonts w:cs="Arial"/>
                <w:sz w:val="20"/>
                <w:szCs w:val="20"/>
              </w:rPr>
              <w:t>25</w:t>
            </w:r>
          </w:p>
        </w:tc>
        <w:tc>
          <w:tcPr>
            <w:tcW w:w="1200" w:type="dxa"/>
            <w:tcBorders>
              <w:top w:val="nil"/>
              <w:left w:val="nil"/>
              <w:bottom w:val="single" w:sz="4" w:space="0" w:color="auto"/>
              <w:right w:val="single" w:sz="4" w:space="0" w:color="auto"/>
            </w:tcBorders>
            <w:shd w:val="clear" w:color="auto" w:fill="auto"/>
            <w:noWrap/>
            <w:vAlign w:val="center"/>
            <w:hideMark/>
          </w:tcPr>
          <w:p w14:paraId="31C428B3" w14:textId="77777777" w:rsidR="009021F1" w:rsidRPr="0008598F" w:rsidRDefault="009021F1" w:rsidP="00E637E3">
            <w:pPr>
              <w:spacing w:line="240" w:lineRule="auto"/>
              <w:jc w:val="right"/>
              <w:rPr>
                <w:rFonts w:cs="Arial"/>
                <w:color w:val="000000"/>
                <w:sz w:val="20"/>
                <w:szCs w:val="20"/>
              </w:rPr>
            </w:pPr>
            <w:r w:rsidRPr="0008598F">
              <w:rPr>
                <w:rFonts w:cs="Arial"/>
                <w:color w:val="000000"/>
                <w:sz w:val="20"/>
                <w:szCs w:val="20"/>
              </w:rPr>
              <w:t>22 500</w:t>
            </w:r>
          </w:p>
        </w:tc>
      </w:tr>
      <w:tr w:rsidR="009021F1" w:rsidRPr="0008598F" w14:paraId="250B6C21" w14:textId="77777777" w:rsidTr="00E637E3">
        <w:trPr>
          <w:trHeight w:val="67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1837FF7F" w14:textId="77777777" w:rsidR="009021F1" w:rsidRPr="0008598F" w:rsidRDefault="009021F1" w:rsidP="00E637E3">
            <w:pPr>
              <w:spacing w:line="240" w:lineRule="auto"/>
              <w:jc w:val="right"/>
              <w:rPr>
                <w:rFonts w:cs="Arial"/>
                <w:color w:val="000000"/>
                <w:sz w:val="20"/>
                <w:szCs w:val="20"/>
              </w:rPr>
            </w:pPr>
            <w:r w:rsidRPr="0008598F">
              <w:rPr>
                <w:rFonts w:cs="Arial"/>
                <w:color w:val="000000"/>
                <w:sz w:val="20"/>
                <w:szCs w:val="20"/>
              </w:rPr>
              <w:t>13</w:t>
            </w:r>
          </w:p>
        </w:tc>
        <w:tc>
          <w:tcPr>
            <w:tcW w:w="5392" w:type="dxa"/>
            <w:tcBorders>
              <w:top w:val="nil"/>
              <w:left w:val="nil"/>
              <w:bottom w:val="single" w:sz="4" w:space="0" w:color="auto"/>
              <w:right w:val="single" w:sz="4" w:space="0" w:color="auto"/>
            </w:tcBorders>
            <w:shd w:val="clear" w:color="auto" w:fill="auto"/>
            <w:vAlign w:val="center"/>
            <w:hideMark/>
          </w:tcPr>
          <w:p w14:paraId="3751698E" w14:textId="77777777" w:rsidR="009021F1" w:rsidRPr="0008598F" w:rsidRDefault="009021F1" w:rsidP="00E637E3">
            <w:pPr>
              <w:spacing w:line="240" w:lineRule="auto"/>
              <w:rPr>
                <w:rFonts w:cs="Arial"/>
                <w:color w:val="000000"/>
                <w:sz w:val="20"/>
                <w:szCs w:val="20"/>
              </w:rPr>
            </w:pPr>
            <w:r w:rsidRPr="0008598F">
              <w:rPr>
                <w:rFonts w:cs="Arial"/>
                <w:color w:val="000000"/>
                <w:sz w:val="20"/>
                <w:szCs w:val="20"/>
              </w:rPr>
              <w:t>Reproduire les outils de collecte des données et les rendre disponibles auprès des acteurs de terrain et des prestataires</w:t>
            </w:r>
          </w:p>
        </w:tc>
        <w:tc>
          <w:tcPr>
            <w:tcW w:w="529" w:type="dxa"/>
            <w:tcBorders>
              <w:top w:val="nil"/>
              <w:left w:val="nil"/>
              <w:bottom w:val="single" w:sz="4" w:space="0" w:color="auto"/>
              <w:right w:val="single" w:sz="4" w:space="0" w:color="auto"/>
            </w:tcBorders>
            <w:shd w:val="clear" w:color="auto" w:fill="auto"/>
            <w:vAlign w:val="center"/>
            <w:hideMark/>
          </w:tcPr>
          <w:p w14:paraId="494B2BD3" w14:textId="77777777" w:rsidR="009021F1" w:rsidRPr="0008598F" w:rsidRDefault="009021F1" w:rsidP="00E637E3">
            <w:pPr>
              <w:spacing w:line="240" w:lineRule="auto"/>
              <w:jc w:val="center"/>
              <w:rPr>
                <w:rFonts w:cs="Arial"/>
                <w:sz w:val="20"/>
                <w:szCs w:val="20"/>
              </w:rPr>
            </w:pPr>
            <w:r w:rsidRPr="0008598F">
              <w:rPr>
                <w:rFonts w:cs="Arial"/>
                <w:sz w:val="20"/>
                <w:szCs w:val="20"/>
              </w:rPr>
              <w:t>Forfait</w:t>
            </w:r>
          </w:p>
        </w:tc>
        <w:tc>
          <w:tcPr>
            <w:tcW w:w="1192" w:type="dxa"/>
            <w:tcBorders>
              <w:top w:val="nil"/>
              <w:left w:val="nil"/>
              <w:bottom w:val="single" w:sz="4" w:space="0" w:color="auto"/>
              <w:right w:val="single" w:sz="4" w:space="0" w:color="auto"/>
            </w:tcBorders>
            <w:shd w:val="clear" w:color="auto" w:fill="auto"/>
            <w:vAlign w:val="center"/>
            <w:hideMark/>
          </w:tcPr>
          <w:p w14:paraId="63DD232E" w14:textId="77777777" w:rsidR="009021F1" w:rsidRPr="0008598F" w:rsidRDefault="009021F1" w:rsidP="00E637E3">
            <w:pPr>
              <w:spacing w:line="240" w:lineRule="auto"/>
              <w:jc w:val="center"/>
              <w:rPr>
                <w:rFonts w:cs="Arial"/>
                <w:sz w:val="20"/>
                <w:szCs w:val="20"/>
              </w:rPr>
            </w:pPr>
            <w:r w:rsidRPr="0008598F">
              <w:rPr>
                <w:rFonts w:cs="Arial"/>
                <w:sz w:val="20"/>
                <w:szCs w:val="20"/>
              </w:rPr>
              <w:t>6</w:t>
            </w:r>
          </w:p>
        </w:tc>
        <w:tc>
          <w:tcPr>
            <w:tcW w:w="567" w:type="dxa"/>
            <w:tcBorders>
              <w:top w:val="nil"/>
              <w:left w:val="nil"/>
              <w:bottom w:val="single" w:sz="4" w:space="0" w:color="auto"/>
              <w:right w:val="single" w:sz="4" w:space="0" w:color="auto"/>
            </w:tcBorders>
            <w:shd w:val="clear" w:color="auto" w:fill="auto"/>
            <w:vAlign w:val="center"/>
            <w:hideMark/>
          </w:tcPr>
          <w:p w14:paraId="359B7A45" w14:textId="77777777" w:rsidR="009021F1" w:rsidRPr="0008598F" w:rsidRDefault="009021F1" w:rsidP="00E637E3">
            <w:pPr>
              <w:spacing w:line="240" w:lineRule="auto"/>
              <w:jc w:val="center"/>
              <w:rPr>
                <w:rFonts w:cs="Arial"/>
                <w:sz w:val="20"/>
                <w:szCs w:val="20"/>
              </w:rPr>
            </w:pPr>
            <w:r w:rsidRPr="0008598F">
              <w:rPr>
                <w:rFonts w:cs="Arial"/>
                <w:sz w:val="20"/>
                <w:szCs w:val="20"/>
              </w:rPr>
              <w:t>5</w:t>
            </w:r>
          </w:p>
        </w:tc>
        <w:tc>
          <w:tcPr>
            <w:tcW w:w="956" w:type="dxa"/>
            <w:tcBorders>
              <w:top w:val="nil"/>
              <w:left w:val="nil"/>
              <w:bottom w:val="single" w:sz="4" w:space="0" w:color="auto"/>
              <w:right w:val="single" w:sz="4" w:space="0" w:color="auto"/>
            </w:tcBorders>
            <w:shd w:val="clear" w:color="auto" w:fill="auto"/>
            <w:vAlign w:val="center"/>
            <w:hideMark/>
          </w:tcPr>
          <w:p w14:paraId="28AE8BC0" w14:textId="77777777" w:rsidR="009021F1" w:rsidRPr="0008598F" w:rsidRDefault="009021F1" w:rsidP="00E637E3">
            <w:pPr>
              <w:spacing w:line="240" w:lineRule="auto"/>
              <w:jc w:val="center"/>
              <w:rPr>
                <w:rFonts w:cs="Arial"/>
                <w:sz w:val="20"/>
                <w:szCs w:val="20"/>
              </w:rPr>
            </w:pPr>
            <w:r w:rsidRPr="0008598F">
              <w:rPr>
                <w:rFonts w:cs="Arial"/>
                <w:sz w:val="20"/>
                <w:szCs w:val="20"/>
              </w:rPr>
              <w:t>1 500</w:t>
            </w:r>
          </w:p>
        </w:tc>
        <w:tc>
          <w:tcPr>
            <w:tcW w:w="1200" w:type="dxa"/>
            <w:tcBorders>
              <w:top w:val="nil"/>
              <w:left w:val="nil"/>
              <w:bottom w:val="single" w:sz="4" w:space="0" w:color="auto"/>
              <w:right w:val="single" w:sz="4" w:space="0" w:color="auto"/>
            </w:tcBorders>
            <w:shd w:val="clear" w:color="auto" w:fill="auto"/>
            <w:noWrap/>
            <w:vAlign w:val="center"/>
            <w:hideMark/>
          </w:tcPr>
          <w:p w14:paraId="4B3400B1" w14:textId="77777777" w:rsidR="009021F1" w:rsidRPr="0008598F" w:rsidRDefault="009021F1" w:rsidP="00E637E3">
            <w:pPr>
              <w:spacing w:line="240" w:lineRule="auto"/>
              <w:jc w:val="right"/>
              <w:rPr>
                <w:rFonts w:cs="Arial"/>
                <w:color w:val="000000"/>
                <w:sz w:val="20"/>
                <w:szCs w:val="20"/>
              </w:rPr>
            </w:pPr>
            <w:r w:rsidRPr="0008598F">
              <w:rPr>
                <w:rFonts w:cs="Arial"/>
                <w:color w:val="000000"/>
                <w:sz w:val="20"/>
                <w:szCs w:val="20"/>
              </w:rPr>
              <w:t>45 000</w:t>
            </w:r>
          </w:p>
        </w:tc>
      </w:tr>
      <w:tr w:rsidR="009021F1" w:rsidRPr="0008598F" w14:paraId="43061A5A" w14:textId="77777777" w:rsidTr="00E637E3">
        <w:trPr>
          <w:trHeight w:val="690"/>
        </w:trPr>
        <w:tc>
          <w:tcPr>
            <w:tcW w:w="420" w:type="dxa"/>
            <w:tcBorders>
              <w:top w:val="nil"/>
              <w:left w:val="single" w:sz="4" w:space="0" w:color="auto"/>
              <w:bottom w:val="single" w:sz="4" w:space="0" w:color="auto"/>
              <w:right w:val="single" w:sz="4" w:space="0" w:color="auto"/>
            </w:tcBorders>
            <w:shd w:val="clear" w:color="auto" w:fill="auto"/>
            <w:noWrap/>
            <w:vAlign w:val="center"/>
          </w:tcPr>
          <w:p w14:paraId="4240020F" w14:textId="77777777" w:rsidR="009021F1" w:rsidRPr="0008598F" w:rsidRDefault="009021F1" w:rsidP="00E637E3">
            <w:pPr>
              <w:spacing w:line="240" w:lineRule="auto"/>
              <w:jc w:val="right"/>
              <w:rPr>
                <w:rFonts w:cs="Arial"/>
                <w:color w:val="000000"/>
                <w:sz w:val="20"/>
                <w:szCs w:val="20"/>
              </w:rPr>
            </w:pPr>
            <w:r w:rsidRPr="0008598F">
              <w:rPr>
                <w:rFonts w:cs="Arial"/>
                <w:color w:val="000000"/>
                <w:sz w:val="20"/>
                <w:szCs w:val="20"/>
              </w:rPr>
              <w:t>14</w:t>
            </w:r>
          </w:p>
        </w:tc>
        <w:tc>
          <w:tcPr>
            <w:tcW w:w="5392" w:type="dxa"/>
            <w:tcBorders>
              <w:top w:val="nil"/>
              <w:left w:val="nil"/>
              <w:bottom w:val="single" w:sz="4" w:space="0" w:color="auto"/>
              <w:right w:val="single" w:sz="4" w:space="0" w:color="auto"/>
            </w:tcBorders>
            <w:shd w:val="clear" w:color="auto" w:fill="auto"/>
          </w:tcPr>
          <w:p w14:paraId="2C9BCBA6" w14:textId="77777777" w:rsidR="009021F1" w:rsidRPr="0008598F" w:rsidRDefault="009021F1" w:rsidP="00E637E3">
            <w:pPr>
              <w:spacing w:line="240" w:lineRule="auto"/>
              <w:rPr>
                <w:rFonts w:cs="Arial"/>
                <w:color w:val="000000"/>
                <w:sz w:val="20"/>
                <w:szCs w:val="20"/>
              </w:rPr>
            </w:pPr>
            <w:r w:rsidRPr="0008598F">
              <w:rPr>
                <w:rFonts w:cs="Arial"/>
                <w:color w:val="000000"/>
                <w:sz w:val="20"/>
                <w:szCs w:val="20"/>
              </w:rPr>
              <w:t>Appuyer les activités de suivi et évaluation des interventions VBG à travers les missions sur terrain</w:t>
            </w:r>
          </w:p>
        </w:tc>
        <w:tc>
          <w:tcPr>
            <w:tcW w:w="529" w:type="dxa"/>
            <w:tcBorders>
              <w:top w:val="nil"/>
              <w:left w:val="nil"/>
              <w:bottom w:val="single" w:sz="4" w:space="0" w:color="auto"/>
              <w:right w:val="single" w:sz="4" w:space="0" w:color="auto"/>
            </w:tcBorders>
            <w:shd w:val="clear" w:color="auto" w:fill="auto"/>
          </w:tcPr>
          <w:p w14:paraId="6FE05CBE" w14:textId="77777777" w:rsidR="009021F1" w:rsidRPr="0008598F" w:rsidRDefault="009021F1" w:rsidP="00E637E3">
            <w:pPr>
              <w:spacing w:line="240" w:lineRule="auto"/>
              <w:jc w:val="center"/>
              <w:rPr>
                <w:rFonts w:cs="Arial"/>
                <w:color w:val="000000"/>
                <w:sz w:val="20"/>
                <w:szCs w:val="20"/>
              </w:rPr>
            </w:pPr>
          </w:p>
          <w:p w14:paraId="0D52E322" w14:textId="77777777" w:rsidR="009021F1" w:rsidRPr="0008598F" w:rsidRDefault="009021F1" w:rsidP="00E637E3">
            <w:pPr>
              <w:spacing w:line="240" w:lineRule="auto"/>
              <w:jc w:val="center"/>
              <w:rPr>
                <w:rFonts w:cs="Arial"/>
                <w:sz w:val="20"/>
                <w:szCs w:val="20"/>
              </w:rPr>
            </w:pPr>
            <w:r w:rsidRPr="0008598F">
              <w:rPr>
                <w:rFonts w:cs="Arial"/>
                <w:color w:val="000000"/>
                <w:sz w:val="20"/>
                <w:szCs w:val="20"/>
              </w:rPr>
              <w:t>Mission</w:t>
            </w:r>
          </w:p>
        </w:tc>
        <w:tc>
          <w:tcPr>
            <w:tcW w:w="1192" w:type="dxa"/>
            <w:tcBorders>
              <w:top w:val="nil"/>
              <w:left w:val="nil"/>
              <w:bottom w:val="single" w:sz="4" w:space="0" w:color="auto"/>
              <w:right w:val="single" w:sz="4" w:space="0" w:color="auto"/>
            </w:tcBorders>
            <w:shd w:val="clear" w:color="auto" w:fill="auto"/>
          </w:tcPr>
          <w:p w14:paraId="3FE03770" w14:textId="77777777" w:rsidR="009021F1" w:rsidRPr="0008598F" w:rsidRDefault="009021F1" w:rsidP="00E637E3">
            <w:pPr>
              <w:spacing w:line="240" w:lineRule="auto"/>
              <w:jc w:val="center"/>
              <w:rPr>
                <w:rFonts w:cs="Arial"/>
                <w:color w:val="000000"/>
                <w:sz w:val="20"/>
                <w:szCs w:val="20"/>
              </w:rPr>
            </w:pPr>
          </w:p>
          <w:p w14:paraId="17BBA459" w14:textId="77777777" w:rsidR="009021F1" w:rsidRPr="0008598F" w:rsidRDefault="009021F1" w:rsidP="00E637E3">
            <w:pPr>
              <w:spacing w:line="240" w:lineRule="auto"/>
              <w:jc w:val="center"/>
              <w:rPr>
                <w:rFonts w:cs="Arial"/>
                <w:sz w:val="20"/>
                <w:szCs w:val="20"/>
              </w:rPr>
            </w:pPr>
            <w:r w:rsidRPr="0008598F">
              <w:rPr>
                <w:rFonts w:cs="Arial"/>
                <w:color w:val="000000"/>
                <w:sz w:val="20"/>
                <w:szCs w:val="20"/>
              </w:rPr>
              <w:t>10</w:t>
            </w:r>
          </w:p>
        </w:tc>
        <w:tc>
          <w:tcPr>
            <w:tcW w:w="567" w:type="dxa"/>
            <w:tcBorders>
              <w:top w:val="nil"/>
              <w:left w:val="nil"/>
              <w:bottom w:val="single" w:sz="4" w:space="0" w:color="auto"/>
              <w:right w:val="single" w:sz="4" w:space="0" w:color="auto"/>
            </w:tcBorders>
            <w:shd w:val="clear" w:color="auto" w:fill="auto"/>
          </w:tcPr>
          <w:p w14:paraId="149CA9F3" w14:textId="77777777" w:rsidR="009021F1" w:rsidRPr="0008598F" w:rsidRDefault="009021F1" w:rsidP="00E637E3">
            <w:pPr>
              <w:spacing w:line="240" w:lineRule="auto"/>
              <w:jc w:val="center"/>
              <w:rPr>
                <w:rFonts w:cs="Arial"/>
                <w:color w:val="000000"/>
                <w:sz w:val="20"/>
                <w:szCs w:val="20"/>
              </w:rPr>
            </w:pPr>
          </w:p>
          <w:p w14:paraId="59308AEB" w14:textId="77777777" w:rsidR="009021F1" w:rsidRPr="0008598F" w:rsidRDefault="009021F1" w:rsidP="00E637E3">
            <w:pPr>
              <w:spacing w:line="240" w:lineRule="auto"/>
              <w:jc w:val="center"/>
              <w:rPr>
                <w:rFonts w:cs="Arial"/>
                <w:sz w:val="20"/>
                <w:szCs w:val="20"/>
              </w:rPr>
            </w:pPr>
            <w:r w:rsidRPr="0008598F">
              <w:rPr>
                <w:rFonts w:cs="Arial"/>
                <w:color w:val="000000"/>
                <w:sz w:val="20"/>
                <w:szCs w:val="20"/>
              </w:rPr>
              <w:t>6</w:t>
            </w:r>
          </w:p>
        </w:tc>
        <w:tc>
          <w:tcPr>
            <w:tcW w:w="956" w:type="dxa"/>
            <w:tcBorders>
              <w:top w:val="nil"/>
              <w:left w:val="nil"/>
              <w:bottom w:val="single" w:sz="4" w:space="0" w:color="auto"/>
              <w:right w:val="single" w:sz="4" w:space="0" w:color="auto"/>
            </w:tcBorders>
            <w:shd w:val="clear" w:color="auto" w:fill="auto"/>
          </w:tcPr>
          <w:p w14:paraId="364E49B1" w14:textId="77777777" w:rsidR="009021F1" w:rsidRPr="0008598F" w:rsidRDefault="009021F1" w:rsidP="00E637E3">
            <w:pPr>
              <w:spacing w:line="240" w:lineRule="auto"/>
              <w:jc w:val="center"/>
              <w:rPr>
                <w:rFonts w:cs="Arial"/>
                <w:color w:val="000000"/>
                <w:sz w:val="20"/>
                <w:szCs w:val="20"/>
              </w:rPr>
            </w:pPr>
          </w:p>
          <w:p w14:paraId="746DC97D" w14:textId="77777777" w:rsidR="009021F1" w:rsidRPr="0008598F" w:rsidRDefault="009021F1" w:rsidP="00E637E3">
            <w:pPr>
              <w:spacing w:line="240" w:lineRule="auto"/>
              <w:jc w:val="center"/>
              <w:rPr>
                <w:rFonts w:cs="Arial"/>
                <w:sz w:val="20"/>
                <w:szCs w:val="20"/>
              </w:rPr>
            </w:pPr>
            <w:r w:rsidRPr="0008598F">
              <w:rPr>
                <w:rFonts w:cs="Arial"/>
                <w:color w:val="000000"/>
                <w:sz w:val="20"/>
                <w:szCs w:val="20"/>
              </w:rPr>
              <w:t>500</w:t>
            </w:r>
          </w:p>
        </w:tc>
        <w:tc>
          <w:tcPr>
            <w:tcW w:w="1200" w:type="dxa"/>
            <w:tcBorders>
              <w:top w:val="nil"/>
              <w:left w:val="nil"/>
              <w:bottom w:val="single" w:sz="4" w:space="0" w:color="auto"/>
              <w:right w:val="single" w:sz="4" w:space="0" w:color="auto"/>
            </w:tcBorders>
            <w:shd w:val="clear" w:color="auto" w:fill="auto"/>
            <w:noWrap/>
          </w:tcPr>
          <w:p w14:paraId="32D7B779" w14:textId="77777777" w:rsidR="009021F1" w:rsidRPr="0008598F" w:rsidRDefault="009021F1" w:rsidP="00E637E3">
            <w:pPr>
              <w:spacing w:line="240" w:lineRule="auto"/>
              <w:jc w:val="right"/>
              <w:rPr>
                <w:rFonts w:cs="Arial"/>
                <w:color w:val="000000"/>
                <w:sz w:val="20"/>
                <w:szCs w:val="20"/>
              </w:rPr>
            </w:pPr>
          </w:p>
          <w:p w14:paraId="18A66890" w14:textId="77777777" w:rsidR="009021F1" w:rsidRPr="0008598F" w:rsidRDefault="009021F1" w:rsidP="00E637E3">
            <w:pPr>
              <w:spacing w:line="240" w:lineRule="auto"/>
              <w:jc w:val="right"/>
              <w:rPr>
                <w:rFonts w:cs="Arial"/>
                <w:color w:val="000000"/>
                <w:sz w:val="20"/>
                <w:szCs w:val="20"/>
              </w:rPr>
            </w:pPr>
            <w:r w:rsidRPr="0008598F">
              <w:rPr>
                <w:rFonts w:cs="Arial"/>
                <w:color w:val="000000"/>
                <w:sz w:val="20"/>
                <w:szCs w:val="20"/>
              </w:rPr>
              <w:t>30 000</w:t>
            </w:r>
          </w:p>
        </w:tc>
      </w:tr>
      <w:tr w:rsidR="009021F1" w:rsidRPr="0008598F" w14:paraId="7F8952AD" w14:textId="77777777" w:rsidTr="00E637E3">
        <w:trPr>
          <w:trHeight w:val="690"/>
        </w:trPr>
        <w:tc>
          <w:tcPr>
            <w:tcW w:w="420" w:type="dxa"/>
            <w:tcBorders>
              <w:top w:val="nil"/>
              <w:left w:val="single" w:sz="4" w:space="0" w:color="auto"/>
              <w:bottom w:val="single" w:sz="4" w:space="0" w:color="auto"/>
              <w:right w:val="single" w:sz="4" w:space="0" w:color="auto"/>
            </w:tcBorders>
            <w:shd w:val="clear" w:color="auto" w:fill="auto"/>
            <w:noWrap/>
            <w:vAlign w:val="center"/>
          </w:tcPr>
          <w:p w14:paraId="5C2DD7D1" w14:textId="77777777" w:rsidR="009021F1" w:rsidRPr="0008598F" w:rsidRDefault="009021F1" w:rsidP="00E637E3">
            <w:pPr>
              <w:spacing w:line="240" w:lineRule="auto"/>
              <w:jc w:val="right"/>
              <w:rPr>
                <w:rFonts w:cs="Arial"/>
                <w:color w:val="000000"/>
                <w:sz w:val="20"/>
                <w:szCs w:val="20"/>
              </w:rPr>
            </w:pPr>
            <w:r w:rsidRPr="0008598F">
              <w:rPr>
                <w:rFonts w:cs="Arial"/>
                <w:color w:val="000000"/>
                <w:sz w:val="20"/>
                <w:szCs w:val="20"/>
              </w:rPr>
              <w:t>15</w:t>
            </w:r>
          </w:p>
        </w:tc>
        <w:tc>
          <w:tcPr>
            <w:tcW w:w="5392" w:type="dxa"/>
            <w:tcBorders>
              <w:top w:val="nil"/>
              <w:left w:val="nil"/>
              <w:bottom w:val="single" w:sz="4" w:space="0" w:color="auto"/>
              <w:right w:val="single" w:sz="4" w:space="0" w:color="auto"/>
            </w:tcBorders>
            <w:shd w:val="clear" w:color="auto" w:fill="auto"/>
          </w:tcPr>
          <w:p w14:paraId="65BD670F" w14:textId="77777777" w:rsidR="009021F1" w:rsidRPr="0008598F" w:rsidRDefault="009021F1" w:rsidP="00E637E3">
            <w:pPr>
              <w:spacing w:line="240" w:lineRule="auto"/>
              <w:rPr>
                <w:rFonts w:cs="Arial"/>
                <w:color w:val="000000"/>
                <w:sz w:val="20"/>
                <w:szCs w:val="20"/>
              </w:rPr>
            </w:pPr>
            <w:r w:rsidRPr="0008598F">
              <w:rPr>
                <w:rFonts w:cs="Arial"/>
                <w:color w:val="000000"/>
                <w:sz w:val="20"/>
                <w:szCs w:val="20"/>
              </w:rPr>
              <w:t>Contractualiser avec une ONG spécialisée  par Province pour un appui technique dans la mise en œuvre des activités d’atténuation des risques d’EAS/HS.</w:t>
            </w:r>
          </w:p>
        </w:tc>
        <w:tc>
          <w:tcPr>
            <w:tcW w:w="529" w:type="dxa"/>
            <w:tcBorders>
              <w:top w:val="nil"/>
              <w:left w:val="nil"/>
              <w:bottom w:val="single" w:sz="4" w:space="0" w:color="auto"/>
              <w:right w:val="single" w:sz="4" w:space="0" w:color="auto"/>
            </w:tcBorders>
            <w:shd w:val="clear" w:color="auto" w:fill="auto"/>
          </w:tcPr>
          <w:p w14:paraId="2E278723" w14:textId="77777777" w:rsidR="009021F1" w:rsidRPr="0008598F" w:rsidRDefault="009021F1" w:rsidP="00E637E3">
            <w:pPr>
              <w:spacing w:line="240" w:lineRule="auto"/>
              <w:jc w:val="center"/>
              <w:rPr>
                <w:rFonts w:cs="Arial"/>
                <w:color w:val="000000"/>
                <w:sz w:val="20"/>
                <w:szCs w:val="20"/>
              </w:rPr>
            </w:pPr>
          </w:p>
          <w:p w14:paraId="3D7817A4" w14:textId="77777777" w:rsidR="009021F1" w:rsidRPr="0008598F" w:rsidRDefault="009021F1" w:rsidP="00E637E3">
            <w:pPr>
              <w:spacing w:line="240" w:lineRule="auto"/>
              <w:jc w:val="center"/>
              <w:rPr>
                <w:rFonts w:cs="Arial"/>
                <w:color w:val="000000"/>
                <w:sz w:val="20"/>
                <w:szCs w:val="20"/>
              </w:rPr>
            </w:pPr>
          </w:p>
          <w:p w14:paraId="432FC4D2" w14:textId="77777777" w:rsidR="009021F1" w:rsidRPr="0008598F" w:rsidRDefault="009021F1" w:rsidP="00E637E3">
            <w:pPr>
              <w:spacing w:line="240" w:lineRule="auto"/>
              <w:jc w:val="center"/>
              <w:rPr>
                <w:rFonts w:cs="Arial"/>
                <w:sz w:val="20"/>
                <w:szCs w:val="20"/>
              </w:rPr>
            </w:pPr>
            <w:r w:rsidRPr="0008598F">
              <w:rPr>
                <w:rFonts w:cs="Arial"/>
                <w:color w:val="000000"/>
                <w:sz w:val="20"/>
                <w:szCs w:val="20"/>
              </w:rPr>
              <w:t>Forfait</w:t>
            </w:r>
          </w:p>
        </w:tc>
        <w:tc>
          <w:tcPr>
            <w:tcW w:w="1192" w:type="dxa"/>
            <w:tcBorders>
              <w:top w:val="nil"/>
              <w:left w:val="nil"/>
              <w:bottom w:val="single" w:sz="4" w:space="0" w:color="auto"/>
              <w:right w:val="single" w:sz="4" w:space="0" w:color="auto"/>
            </w:tcBorders>
            <w:shd w:val="clear" w:color="auto" w:fill="auto"/>
          </w:tcPr>
          <w:p w14:paraId="1A9E88C1" w14:textId="77777777" w:rsidR="009021F1" w:rsidRPr="0008598F" w:rsidRDefault="009021F1" w:rsidP="00E637E3">
            <w:pPr>
              <w:spacing w:line="240" w:lineRule="auto"/>
              <w:jc w:val="center"/>
              <w:rPr>
                <w:rFonts w:cs="Arial"/>
                <w:color w:val="000000"/>
                <w:sz w:val="20"/>
                <w:szCs w:val="20"/>
              </w:rPr>
            </w:pPr>
          </w:p>
          <w:p w14:paraId="4EF10D22" w14:textId="77777777" w:rsidR="009021F1" w:rsidRPr="0008598F" w:rsidRDefault="009021F1" w:rsidP="00E637E3">
            <w:pPr>
              <w:spacing w:line="240" w:lineRule="auto"/>
              <w:jc w:val="center"/>
              <w:rPr>
                <w:rFonts w:cs="Arial"/>
                <w:color w:val="000000"/>
                <w:sz w:val="20"/>
                <w:szCs w:val="20"/>
              </w:rPr>
            </w:pPr>
          </w:p>
          <w:p w14:paraId="1091B3F6" w14:textId="77777777" w:rsidR="009021F1" w:rsidRPr="0008598F" w:rsidRDefault="009021F1" w:rsidP="00E637E3">
            <w:pPr>
              <w:spacing w:line="240" w:lineRule="auto"/>
              <w:jc w:val="center"/>
              <w:rPr>
                <w:rFonts w:cs="Arial"/>
                <w:sz w:val="20"/>
                <w:szCs w:val="20"/>
              </w:rPr>
            </w:pPr>
            <w:r w:rsidRPr="0008598F">
              <w:rPr>
                <w:rFonts w:cs="Arial"/>
                <w:color w:val="000000"/>
                <w:sz w:val="20"/>
                <w:szCs w:val="20"/>
              </w:rPr>
              <w:t>5</w:t>
            </w:r>
          </w:p>
        </w:tc>
        <w:tc>
          <w:tcPr>
            <w:tcW w:w="567" w:type="dxa"/>
            <w:tcBorders>
              <w:top w:val="nil"/>
              <w:left w:val="nil"/>
              <w:bottom w:val="single" w:sz="4" w:space="0" w:color="auto"/>
              <w:right w:val="single" w:sz="4" w:space="0" w:color="auto"/>
            </w:tcBorders>
            <w:shd w:val="clear" w:color="auto" w:fill="auto"/>
          </w:tcPr>
          <w:p w14:paraId="40B19957" w14:textId="77777777" w:rsidR="009021F1" w:rsidRPr="0008598F" w:rsidRDefault="009021F1" w:rsidP="00E637E3">
            <w:pPr>
              <w:spacing w:line="240" w:lineRule="auto"/>
              <w:jc w:val="center"/>
              <w:rPr>
                <w:rFonts w:cs="Arial"/>
                <w:color w:val="000000"/>
                <w:sz w:val="20"/>
                <w:szCs w:val="20"/>
              </w:rPr>
            </w:pPr>
          </w:p>
          <w:p w14:paraId="7854888D" w14:textId="77777777" w:rsidR="009021F1" w:rsidRPr="0008598F" w:rsidRDefault="009021F1" w:rsidP="00E637E3">
            <w:pPr>
              <w:spacing w:line="240" w:lineRule="auto"/>
              <w:jc w:val="center"/>
              <w:rPr>
                <w:rFonts w:cs="Arial"/>
                <w:color w:val="000000"/>
                <w:sz w:val="20"/>
                <w:szCs w:val="20"/>
              </w:rPr>
            </w:pPr>
          </w:p>
          <w:p w14:paraId="5E078348" w14:textId="77777777" w:rsidR="009021F1" w:rsidRPr="0008598F" w:rsidRDefault="009021F1" w:rsidP="00E637E3">
            <w:pPr>
              <w:spacing w:line="240" w:lineRule="auto"/>
              <w:jc w:val="center"/>
              <w:rPr>
                <w:rFonts w:cs="Arial"/>
                <w:sz w:val="20"/>
                <w:szCs w:val="20"/>
              </w:rPr>
            </w:pPr>
            <w:r w:rsidRPr="0008598F">
              <w:rPr>
                <w:rFonts w:cs="Arial"/>
                <w:color w:val="000000"/>
                <w:sz w:val="20"/>
                <w:szCs w:val="20"/>
              </w:rPr>
              <w:t>6</w:t>
            </w:r>
          </w:p>
        </w:tc>
        <w:tc>
          <w:tcPr>
            <w:tcW w:w="956" w:type="dxa"/>
            <w:tcBorders>
              <w:top w:val="nil"/>
              <w:left w:val="nil"/>
              <w:bottom w:val="single" w:sz="4" w:space="0" w:color="auto"/>
              <w:right w:val="single" w:sz="4" w:space="0" w:color="auto"/>
            </w:tcBorders>
            <w:shd w:val="clear" w:color="auto" w:fill="auto"/>
          </w:tcPr>
          <w:p w14:paraId="614436F3" w14:textId="77777777" w:rsidR="009021F1" w:rsidRPr="0008598F" w:rsidRDefault="009021F1" w:rsidP="00E637E3">
            <w:pPr>
              <w:spacing w:line="240" w:lineRule="auto"/>
              <w:jc w:val="center"/>
              <w:rPr>
                <w:rFonts w:cs="Arial"/>
                <w:color w:val="000000"/>
                <w:sz w:val="20"/>
                <w:szCs w:val="20"/>
              </w:rPr>
            </w:pPr>
          </w:p>
          <w:p w14:paraId="10FCE14C" w14:textId="77777777" w:rsidR="009021F1" w:rsidRPr="0008598F" w:rsidRDefault="009021F1" w:rsidP="00E637E3">
            <w:pPr>
              <w:spacing w:line="240" w:lineRule="auto"/>
              <w:jc w:val="center"/>
              <w:rPr>
                <w:rFonts w:cs="Arial"/>
                <w:color w:val="000000"/>
                <w:sz w:val="20"/>
                <w:szCs w:val="20"/>
              </w:rPr>
            </w:pPr>
          </w:p>
          <w:p w14:paraId="505BCBFE" w14:textId="77777777" w:rsidR="009021F1" w:rsidRPr="0008598F" w:rsidRDefault="009021F1" w:rsidP="00E637E3">
            <w:pPr>
              <w:spacing w:line="240" w:lineRule="auto"/>
              <w:jc w:val="center"/>
              <w:rPr>
                <w:rFonts w:cs="Arial"/>
                <w:sz w:val="20"/>
                <w:szCs w:val="20"/>
              </w:rPr>
            </w:pPr>
            <w:r w:rsidRPr="0008598F">
              <w:rPr>
                <w:rFonts w:cs="Arial"/>
                <w:color w:val="000000"/>
                <w:sz w:val="20"/>
                <w:szCs w:val="20"/>
              </w:rPr>
              <w:t>100 000</w:t>
            </w:r>
          </w:p>
        </w:tc>
        <w:tc>
          <w:tcPr>
            <w:tcW w:w="1200" w:type="dxa"/>
            <w:tcBorders>
              <w:top w:val="nil"/>
              <w:left w:val="nil"/>
              <w:bottom w:val="single" w:sz="4" w:space="0" w:color="auto"/>
              <w:right w:val="single" w:sz="4" w:space="0" w:color="auto"/>
            </w:tcBorders>
            <w:shd w:val="clear" w:color="auto" w:fill="auto"/>
            <w:noWrap/>
          </w:tcPr>
          <w:p w14:paraId="6CADAFA1" w14:textId="77777777" w:rsidR="009021F1" w:rsidRPr="0008598F" w:rsidRDefault="009021F1" w:rsidP="00E637E3">
            <w:pPr>
              <w:spacing w:line="240" w:lineRule="auto"/>
              <w:jc w:val="right"/>
              <w:rPr>
                <w:rFonts w:cs="Arial"/>
                <w:color w:val="000000"/>
                <w:sz w:val="20"/>
                <w:szCs w:val="20"/>
              </w:rPr>
            </w:pPr>
          </w:p>
          <w:p w14:paraId="5E37A3F4" w14:textId="77777777" w:rsidR="009021F1" w:rsidRPr="0008598F" w:rsidRDefault="009021F1" w:rsidP="00E637E3">
            <w:pPr>
              <w:spacing w:line="240" w:lineRule="auto"/>
              <w:jc w:val="right"/>
              <w:rPr>
                <w:rFonts w:cs="Arial"/>
                <w:color w:val="000000"/>
                <w:sz w:val="20"/>
                <w:szCs w:val="20"/>
              </w:rPr>
            </w:pPr>
          </w:p>
          <w:p w14:paraId="1799BA35" w14:textId="77777777" w:rsidR="009021F1" w:rsidRPr="0008598F" w:rsidRDefault="009021F1" w:rsidP="00E637E3">
            <w:pPr>
              <w:spacing w:line="240" w:lineRule="auto"/>
              <w:jc w:val="right"/>
              <w:rPr>
                <w:rFonts w:cs="Arial"/>
                <w:color w:val="000000"/>
                <w:sz w:val="20"/>
                <w:szCs w:val="20"/>
              </w:rPr>
            </w:pPr>
            <w:r w:rsidRPr="0008598F">
              <w:rPr>
                <w:rFonts w:cs="Arial"/>
                <w:color w:val="000000"/>
                <w:sz w:val="20"/>
                <w:szCs w:val="20"/>
              </w:rPr>
              <w:t>3 000 000</w:t>
            </w:r>
          </w:p>
        </w:tc>
      </w:tr>
      <w:tr w:rsidR="009021F1" w:rsidRPr="0008598F" w14:paraId="524A332D" w14:textId="77777777" w:rsidTr="00E637E3">
        <w:trPr>
          <w:trHeight w:val="690"/>
        </w:trPr>
        <w:tc>
          <w:tcPr>
            <w:tcW w:w="420" w:type="dxa"/>
            <w:tcBorders>
              <w:top w:val="nil"/>
              <w:left w:val="single" w:sz="4" w:space="0" w:color="auto"/>
              <w:bottom w:val="single" w:sz="4" w:space="0" w:color="auto"/>
              <w:right w:val="single" w:sz="4" w:space="0" w:color="auto"/>
            </w:tcBorders>
            <w:shd w:val="clear" w:color="auto" w:fill="auto"/>
            <w:noWrap/>
            <w:vAlign w:val="center"/>
          </w:tcPr>
          <w:p w14:paraId="5235A55E" w14:textId="77777777" w:rsidR="009021F1" w:rsidRPr="0008598F" w:rsidRDefault="009021F1" w:rsidP="00E637E3">
            <w:pPr>
              <w:spacing w:line="240" w:lineRule="auto"/>
              <w:jc w:val="right"/>
              <w:rPr>
                <w:rFonts w:cs="Arial"/>
                <w:color w:val="000000"/>
                <w:sz w:val="20"/>
                <w:szCs w:val="20"/>
              </w:rPr>
            </w:pPr>
            <w:r w:rsidRPr="0008598F">
              <w:rPr>
                <w:rFonts w:cs="Arial"/>
                <w:color w:val="000000"/>
                <w:sz w:val="20"/>
                <w:szCs w:val="20"/>
              </w:rPr>
              <w:t>16</w:t>
            </w:r>
          </w:p>
        </w:tc>
        <w:tc>
          <w:tcPr>
            <w:tcW w:w="5392" w:type="dxa"/>
            <w:tcBorders>
              <w:top w:val="nil"/>
              <w:left w:val="nil"/>
              <w:bottom w:val="single" w:sz="4" w:space="0" w:color="auto"/>
              <w:right w:val="single" w:sz="4" w:space="0" w:color="auto"/>
            </w:tcBorders>
            <w:shd w:val="clear" w:color="auto" w:fill="auto"/>
          </w:tcPr>
          <w:p w14:paraId="6F15DDFD" w14:textId="77777777" w:rsidR="009021F1" w:rsidRPr="0008598F" w:rsidRDefault="009021F1" w:rsidP="00E637E3">
            <w:pPr>
              <w:spacing w:line="240" w:lineRule="auto"/>
              <w:rPr>
                <w:rFonts w:cs="Arial"/>
                <w:color w:val="000000"/>
                <w:sz w:val="20"/>
                <w:szCs w:val="20"/>
              </w:rPr>
            </w:pPr>
            <w:r w:rsidRPr="0008598F">
              <w:rPr>
                <w:rFonts w:cs="Arial"/>
                <w:color w:val="000000"/>
                <w:sz w:val="20"/>
                <w:szCs w:val="20"/>
              </w:rPr>
              <w:t>Mettre en place une base des données à travers un consultant ayant des notions sur les VBG dans le respect des principes directeurs  </w:t>
            </w:r>
          </w:p>
        </w:tc>
        <w:tc>
          <w:tcPr>
            <w:tcW w:w="529" w:type="dxa"/>
            <w:tcBorders>
              <w:top w:val="nil"/>
              <w:left w:val="nil"/>
              <w:bottom w:val="single" w:sz="4" w:space="0" w:color="auto"/>
              <w:right w:val="single" w:sz="4" w:space="0" w:color="auto"/>
            </w:tcBorders>
            <w:shd w:val="clear" w:color="auto" w:fill="auto"/>
          </w:tcPr>
          <w:p w14:paraId="34F220C2" w14:textId="77777777" w:rsidR="009021F1" w:rsidRPr="0008598F" w:rsidRDefault="009021F1" w:rsidP="00E637E3">
            <w:pPr>
              <w:spacing w:line="240" w:lineRule="auto"/>
              <w:jc w:val="center"/>
              <w:rPr>
                <w:rFonts w:cs="Arial"/>
                <w:color w:val="000000"/>
                <w:sz w:val="20"/>
                <w:szCs w:val="20"/>
              </w:rPr>
            </w:pPr>
          </w:p>
          <w:p w14:paraId="47DF710B" w14:textId="77777777" w:rsidR="009021F1" w:rsidRPr="0008598F" w:rsidRDefault="009021F1" w:rsidP="00E637E3">
            <w:pPr>
              <w:spacing w:line="240" w:lineRule="auto"/>
              <w:jc w:val="center"/>
              <w:rPr>
                <w:rFonts w:cs="Arial"/>
                <w:sz w:val="20"/>
                <w:szCs w:val="20"/>
              </w:rPr>
            </w:pPr>
            <w:r w:rsidRPr="0008598F">
              <w:rPr>
                <w:rFonts w:cs="Arial"/>
                <w:color w:val="000000"/>
                <w:sz w:val="20"/>
                <w:szCs w:val="20"/>
              </w:rPr>
              <w:t>Jour</w:t>
            </w:r>
          </w:p>
        </w:tc>
        <w:tc>
          <w:tcPr>
            <w:tcW w:w="1192" w:type="dxa"/>
            <w:tcBorders>
              <w:top w:val="nil"/>
              <w:left w:val="nil"/>
              <w:bottom w:val="single" w:sz="4" w:space="0" w:color="auto"/>
              <w:right w:val="single" w:sz="4" w:space="0" w:color="auto"/>
            </w:tcBorders>
            <w:shd w:val="clear" w:color="auto" w:fill="auto"/>
          </w:tcPr>
          <w:p w14:paraId="6200802C" w14:textId="77777777" w:rsidR="009021F1" w:rsidRPr="0008598F" w:rsidRDefault="009021F1" w:rsidP="00E637E3">
            <w:pPr>
              <w:spacing w:line="240" w:lineRule="auto"/>
              <w:jc w:val="center"/>
              <w:rPr>
                <w:rFonts w:cs="Arial"/>
                <w:color w:val="000000"/>
                <w:sz w:val="20"/>
                <w:szCs w:val="20"/>
              </w:rPr>
            </w:pPr>
          </w:p>
          <w:p w14:paraId="4841F545" w14:textId="77777777" w:rsidR="009021F1" w:rsidRPr="0008598F" w:rsidRDefault="009021F1" w:rsidP="00E637E3">
            <w:pPr>
              <w:spacing w:line="240" w:lineRule="auto"/>
              <w:jc w:val="center"/>
              <w:rPr>
                <w:rFonts w:cs="Arial"/>
                <w:sz w:val="20"/>
                <w:szCs w:val="20"/>
              </w:rPr>
            </w:pPr>
            <w:r w:rsidRPr="0008598F">
              <w:rPr>
                <w:rFonts w:cs="Arial"/>
                <w:color w:val="000000"/>
                <w:sz w:val="20"/>
                <w:szCs w:val="20"/>
              </w:rPr>
              <w:t>60</w:t>
            </w:r>
          </w:p>
        </w:tc>
        <w:tc>
          <w:tcPr>
            <w:tcW w:w="567" w:type="dxa"/>
            <w:tcBorders>
              <w:top w:val="nil"/>
              <w:left w:val="nil"/>
              <w:bottom w:val="single" w:sz="4" w:space="0" w:color="auto"/>
              <w:right w:val="single" w:sz="4" w:space="0" w:color="auto"/>
            </w:tcBorders>
            <w:shd w:val="clear" w:color="auto" w:fill="auto"/>
          </w:tcPr>
          <w:p w14:paraId="256B3761" w14:textId="77777777" w:rsidR="009021F1" w:rsidRPr="0008598F" w:rsidRDefault="009021F1" w:rsidP="00E637E3">
            <w:pPr>
              <w:spacing w:line="240" w:lineRule="auto"/>
              <w:jc w:val="center"/>
              <w:rPr>
                <w:rFonts w:cs="Arial"/>
                <w:color w:val="000000"/>
                <w:sz w:val="20"/>
                <w:szCs w:val="20"/>
              </w:rPr>
            </w:pPr>
          </w:p>
          <w:p w14:paraId="1D383984" w14:textId="77777777" w:rsidR="009021F1" w:rsidRPr="0008598F" w:rsidRDefault="009021F1" w:rsidP="00E637E3">
            <w:pPr>
              <w:spacing w:line="240" w:lineRule="auto"/>
              <w:jc w:val="center"/>
              <w:rPr>
                <w:rFonts w:cs="Arial"/>
                <w:sz w:val="20"/>
                <w:szCs w:val="20"/>
              </w:rPr>
            </w:pPr>
            <w:r w:rsidRPr="0008598F">
              <w:rPr>
                <w:rFonts w:cs="Arial"/>
                <w:color w:val="000000"/>
                <w:sz w:val="20"/>
                <w:szCs w:val="20"/>
              </w:rPr>
              <w:t>2</w:t>
            </w:r>
          </w:p>
        </w:tc>
        <w:tc>
          <w:tcPr>
            <w:tcW w:w="956" w:type="dxa"/>
            <w:tcBorders>
              <w:top w:val="nil"/>
              <w:left w:val="nil"/>
              <w:bottom w:val="single" w:sz="4" w:space="0" w:color="auto"/>
              <w:right w:val="single" w:sz="4" w:space="0" w:color="auto"/>
            </w:tcBorders>
            <w:shd w:val="clear" w:color="auto" w:fill="auto"/>
          </w:tcPr>
          <w:p w14:paraId="1103360D" w14:textId="77777777" w:rsidR="009021F1" w:rsidRPr="0008598F" w:rsidRDefault="009021F1" w:rsidP="00E637E3">
            <w:pPr>
              <w:spacing w:line="240" w:lineRule="auto"/>
              <w:jc w:val="center"/>
              <w:rPr>
                <w:rFonts w:cs="Arial"/>
                <w:color w:val="000000"/>
                <w:sz w:val="20"/>
                <w:szCs w:val="20"/>
              </w:rPr>
            </w:pPr>
          </w:p>
          <w:p w14:paraId="433D53EF" w14:textId="77777777" w:rsidR="009021F1" w:rsidRPr="0008598F" w:rsidRDefault="009021F1" w:rsidP="00E637E3">
            <w:pPr>
              <w:spacing w:line="240" w:lineRule="auto"/>
              <w:jc w:val="center"/>
              <w:rPr>
                <w:rFonts w:cs="Arial"/>
                <w:sz w:val="20"/>
                <w:szCs w:val="20"/>
              </w:rPr>
            </w:pPr>
            <w:r w:rsidRPr="0008598F">
              <w:rPr>
                <w:rFonts w:cs="Arial"/>
                <w:color w:val="000000"/>
                <w:sz w:val="20"/>
                <w:szCs w:val="20"/>
              </w:rPr>
              <w:t>200</w:t>
            </w:r>
          </w:p>
        </w:tc>
        <w:tc>
          <w:tcPr>
            <w:tcW w:w="1200" w:type="dxa"/>
            <w:tcBorders>
              <w:top w:val="nil"/>
              <w:left w:val="nil"/>
              <w:bottom w:val="single" w:sz="4" w:space="0" w:color="auto"/>
              <w:right w:val="single" w:sz="4" w:space="0" w:color="auto"/>
            </w:tcBorders>
            <w:shd w:val="clear" w:color="auto" w:fill="auto"/>
            <w:noWrap/>
          </w:tcPr>
          <w:p w14:paraId="22C9CF0B" w14:textId="77777777" w:rsidR="009021F1" w:rsidRPr="0008598F" w:rsidRDefault="009021F1" w:rsidP="00E637E3">
            <w:pPr>
              <w:spacing w:line="240" w:lineRule="auto"/>
              <w:jc w:val="right"/>
              <w:rPr>
                <w:rFonts w:cs="Arial"/>
                <w:color w:val="000000"/>
                <w:sz w:val="20"/>
                <w:szCs w:val="20"/>
              </w:rPr>
            </w:pPr>
          </w:p>
          <w:p w14:paraId="33189CF5" w14:textId="77777777" w:rsidR="009021F1" w:rsidRPr="0008598F" w:rsidRDefault="009021F1" w:rsidP="00E637E3">
            <w:pPr>
              <w:spacing w:line="240" w:lineRule="auto"/>
              <w:jc w:val="right"/>
              <w:rPr>
                <w:rFonts w:cs="Arial"/>
                <w:color w:val="000000"/>
                <w:sz w:val="20"/>
                <w:szCs w:val="20"/>
              </w:rPr>
            </w:pPr>
            <w:r w:rsidRPr="0008598F">
              <w:rPr>
                <w:rFonts w:cs="Arial"/>
                <w:color w:val="000000"/>
                <w:sz w:val="20"/>
                <w:szCs w:val="20"/>
              </w:rPr>
              <w:t>24 000</w:t>
            </w:r>
          </w:p>
        </w:tc>
      </w:tr>
      <w:tr w:rsidR="009021F1" w:rsidRPr="0008598F" w14:paraId="44734B7F" w14:textId="77777777" w:rsidTr="00E637E3">
        <w:trPr>
          <w:trHeight w:val="506"/>
        </w:trPr>
        <w:tc>
          <w:tcPr>
            <w:tcW w:w="420" w:type="dxa"/>
            <w:tcBorders>
              <w:top w:val="nil"/>
              <w:left w:val="single" w:sz="4" w:space="0" w:color="auto"/>
              <w:bottom w:val="single" w:sz="4" w:space="0" w:color="auto"/>
              <w:right w:val="single" w:sz="4" w:space="0" w:color="auto"/>
            </w:tcBorders>
            <w:shd w:val="clear" w:color="auto" w:fill="auto"/>
            <w:noWrap/>
            <w:vAlign w:val="center"/>
          </w:tcPr>
          <w:p w14:paraId="039A2CD4" w14:textId="77777777" w:rsidR="009021F1" w:rsidRPr="0008598F" w:rsidRDefault="009021F1" w:rsidP="00E637E3">
            <w:pPr>
              <w:spacing w:line="240" w:lineRule="auto"/>
              <w:jc w:val="right"/>
              <w:rPr>
                <w:rFonts w:cs="Arial"/>
                <w:color w:val="000000"/>
                <w:sz w:val="20"/>
                <w:szCs w:val="20"/>
              </w:rPr>
            </w:pPr>
            <w:r w:rsidRPr="0008598F">
              <w:rPr>
                <w:rFonts w:cs="Arial"/>
                <w:color w:val="000000"/>
                <w:sz w:val="20"/>
                <w:szCs w:val="20"/>
              </w:rPr>
              <w:t>17</w:t>
            </w:r>
          </w:p>
        </w:tc>
        <w:tc>
          <w:tcPr>
            <w:tcW w:w="5392" w:type="dxa"/>
            <w:tcBorders>
              <w:top w:val="nil"/>
              <w:left w:val="nil"/>
              <w:bottom w:val="single" w:sz="4" w:space="0" w:color="auto"/>
              <w:right w:val="single" w:sz="4" w:space="0" w:color="auto"/>
            </w:tcBorders>
            <w:shd w:val="clear" w:color="auto" w:fill="auto"/>
          </w:tcPr>
          <w:p w14:paraId="4CB66E92" w14:textId="77777777" w:rsidR="009021F1" w:rsidRPr="0008598F" w:rsidRDefault="009021F1" w:rsidP="00E637E3">
            <w:pPr>
              <w:spacing w:line="240" w:lineRule="auto"/>
              <w:rPr>
                <w:rFonts w:cs="Arial"/>
                <w:color w:val="000000"/>
                <w:sz w:val="20"/>
                <w:szCs w:val="20"/>
              </w:rPr>
            </w:pPr>
            <w:r w:rsidRPr="0008598F">
              <w:rPr>
                <w:rFonts w:cs="Arial"/>
                <w:color w:val="000000"/>
                <w:sz w:val="20"/>
                <w:szCs w:val="20"/>
              </w:rPr>
              <w:t>Organiser des missions trimestrielles de suivi des activités sur terrain par l’SVBG de l’UNCP.</w:t>
            </w:r>
          </w:p>
        </w:tc>
        <w:tc>
          <w:tcPr>
            <w:tcW w:w="529" w:type="dxa"/>
            <w:tcBorders>
              <w:top w:val="nil"/>
              <w:left w:val="nil"/>
              <w:bottom w:val="single" w:sz="4" w:space="0" w:color="auto"/>
              <w:right w:val="single" w:sz="4" w:space="0" w:color="auto"/>
            </w:tcBorders>
            <w:shd w:val="clear" w:color="auto" w:fill="auto"/>
          </w:tcPr>
          <w:p w14:paraId="0DBCC1AA" w14:textId="77777777" w:rsidR="009021F1" w:rsidRPr="0008598F" w:rsidRDefault="009021F1" w:rsidP="00E637E3">
            <w:pPr>
              <w:spacing w:line="240" w:lineRule="auto"/>
              <w:jc w:val="center"/>
              <w:rPr>
                <w:rFonts w:cs="Arial"/>
                <w:color w:val="000000"/>
                <w:sz w:val="20"/>
                <w:szCs w:val="20"/>
              </w:rPr>
            </w:pPr>
          </w:p>
          <w:p w14:paraId="1D5E5C72" w14:textId="77777777" w:rsidR="009021F1" w:rsidRPr="0008598F" w:rsidRDefault="009021F1" w:rsidP="00E637E3">
            <w:pPr>
              <w:spacing w:line="240" w:lineRule="auto"/>
              <w:jc w:val="center"/>
              <w:rPr>
                <w:rFonts w:cs="Arial"/>
                <w:sz w:val="20"/>
                <w:szCs w:val="20"/>
              </w:rPr>
            </w:pPr>
            <w:r w:rsidRPr="0008598F">
              <w:rPr>
                <w:rFonts w:cs="Arial"/>
                <w:color w:val="000000"/>
                <w:sz w:val="20"/>
                <w:szCs w:val="20"/>
              </w:rPr>
              <w:t>Jour</w:t>
            </w:r>
          </w:p>
        </w:tc>
        <w:tc>
          <w:tcPr>
            <w:tcW w:w="1192" w:type="dxa"/>
            <w:tcBorders>
              <w:top w:val="nil"/>
              <w:left w:val="nil"/>
              <w:bottom w:val="single" w:sz="4" w:space="0" w:color="auto"/>
              <w:right w:val="single" w:sz="4" w:space="0" w:color="auto"/>
            </w:tcBorders>
            <w:shd w:val="clear" w:color="auto" w:fill="auto"/>
          </w:tcPr>
          <w:p w14:paraId="480D320B" w14:textId="77777777" w:rsidR="009021F1" w:rsidRPr="0008598F" w:rsidRDefault="009021F1" w:rsidP="00E637E3">
            <w:pPr>
              <w:spacing w:line="240" w:lineRule="auto"/>
              <w:jc w:val="center"/>
              <w:rPr>
                <w:rFonts w:cs="Arial"/>
                <w:color w:val="000000"/>
                <w:sz w:val="20"/>
                <w:szCs w:val="20"/>
              </w:rPr>
            </w:pPr>
          </w:p>
          <w:p w14:paraId="3D45A56A" w14:textId="77777777" w:rsidR="009021F1" w:rsidRPr="0008598F" w:rsidRDefault="009021F1" w:rsidP="00E637E3">
            <w:pPr>
              <w:spacing w:line="240" w:lineRule="auto"/>
              <w:jc w:val="center"/>
              <w:rPr>
                <w:rFonts w:cs="Arial"/>
                <w:sz w:val="20"/>
                <w:szCs w:val="20"/>
              </w:rPr>
            </w:pPr>
            <w:r w:rsidRPr="0008598F">
              <w:rPr>
                <w:rFonts w:cs="Arial"/>
                <w:color w:val="000000"/>
                <w:sz w:val="20"/>
                <w:szCs w:val="20"/>
              </w:rPr>
              <w:t>20</w:t>
            </w:r>
          </w:p>
        </w:tc>
        <w:tc>
          <w:tcPr>
            <w:tcW w:w="567" w:type="dxa"/>
            <w:tcBorders>
              <w:top w:val="nil"/>
              <w:left w:val="nil"/>
              <w:bottom w:val="single" w:sz="4" w:space="0" w:color="auto"/>
              <w:right w:val="single" w:sz="4" w:space="0" w:color="auto"/>
            </w:tcBorders>
            <w:shd w:val="clear" w:color="auto" w:fill="auto"/>
          </w:tcPr>
          <w:p w14:paraId="33E7B00C" w14:textId="77777777" w:rsidR="009021F1" w:rsidRPr="0008598F" w:rsidRDefault="009021F1" w:rsidP="00E637E3">
            <w:pPr>
              <w:spacing w:line="240" w:lineRule="auto"/>
              <w:jc w:val="center"/>
              <w:rPr>
                <w:rFonts w:cs="Arial"/>
                <w:color w:val="000000"/>
                <w:sz w:val="20"/>
                <w:szCs w:val="20"/>
              </w:rPr>
            </w:pPr>
          </w:p>
          <w:p w14:paraId="5A597C59" w14:textId="77777777" w:rsidR="009021F1" w:rsidRPr="0008598F" w:rsidRDefault="009021F1" w:rsidP="00E637E3">
            <w:pPr>
              <w:spacing w:line="240" w:lineRule="auto"/>
              <w:jc w:val="center"/>
              <w:rPr>
                <w:rFonts w:cs="Arial"/>
                <w:sz w:val="20"/>
                <w:szCs w:val="20"/>
              </w:rPr>
            </w:pPr>
            <w:r w:rsidRPr="0008598F">
              <w:rPr>
                <w:rFonts w:cs="Arial"/>
                <w:color w:val="000000"/>
                <w:sz w:val="20"/>
                <w:szCs w:val="20"/>
              </w:rPr>
              <w:t>6</w:t>
            </w:r>
          </w:p>
        </w:tc>
        <w:tc>
          <w:tcPr>
            <w:tcW w:w="956" w:type="dxa"/>
            <w:tcBorders>
              <w:top w:val="nil"/>
              <w:left w:val="nil"/>
              <w:bottom w:val="single" w:sz="4" w:space="0" w:color="auto"/>
              <w:right w:val="single" w:sz="4" w:space="0" w:color="auto"/>
            </w:tcBorders>
            <w:shd w:val="clear" w:color="auto" w:fill="auto"/>
          </w:tcPr>
          <w:p w14:paraId="360440D1" w14:textId="77777777" w:rsidR="009021F1" w:rsidRPr="0008598F" w:rsidRDefault="009021F1" w:rsidP="00E637E3">
            <w:pPr>
              <w:spacing w:line="240" w:lineRule="auto"/>
              <w:jc w:val="center"/>
              <w:rPr>
                <w:rFonts w:cs="Arial"/>
                <w:color w:val="000000"/>
                <w:sz w:val="20"/>
                <w:szCs w:val="20"/>
              </w:rPr>
            </w:pPr>
          </w:p>
          <w:p w14:paraId="5C376DA3" w14:textId="77777777" w:rsidR="009021F1" w:rsidRPr="0008598F" w:rsidRDefault="009021F1" w:rsidP="00E637E3">
            <w:pPr>
              <w:spacing w:line="240" w:lineRule="auto"/>
              <w:jc w:val="center"/>
              <w:rPr>
                <w:rFonts w:cs="Arial"/>
                <w:sz w:val="20"/>
                <w:szCs w:val="20"/>
              </w:rPr>
            </w:pPr>
            <w:r w:rsidRPr="0008598F">
              <w:rPr>
                <w:rFonts w:cs="Arial"/>
                <w:color w:val="000000"/>
                <w:sz w:val="20"/>
                <w:szCs w:val="20"/>
              </w:rPr>
              <w:t>2 300</w:t>
            </w:r>
          </w:p>
        </w:tc>
        <w:tc>
          <w:tcPr>
            <w:tcW w:w="1200" w:type="dxa"/>
            <w:tcBorders>
              <w:top w:val="nil"/>
              <w:left w:val="nil"/>
              <w:bottom w:val="single" w:sz="4" w:space="0" w:color="auto"/>
              <w:right w:val="single" w:sz="4" w:space="0" w:color="auto"/>
            </w:tcBorders>
            <w:shd w:val="clear" w:color="auto" w:fill="auto"/>
            <w:noWrap/>
          </w:tcPr>
          <w:p w14:paraId="5575ECA4" w14:textId="77777777" w:rsidR="009021F1" w:rsidRPr="0008598F" w:rsidRDefault="009021F1" w:rsidP="00E637E3">
            <w:pPr>
              <w:spacing w:line="240" w:lineRule="auto"/>
              <w:jc w:val="right"/>
              <w:rPr>
                <w:rFonts w:cs="Arial"/>
                <w:color w:val="000000"/>
                <w:sz w:val="20"/>
                <w:szCs w:val="20"/>
              </w:rPr>
            </w:pPr>
          </w:p>
          <w:p w14:paraId="28043508" w14:textId="77777777" w:rsidR="009021F1" w:rsidRPr="0008598F" w:rsidRDefault="009021F1" w:rsidP="00E637E3">
            <w:pPr>
              <w:spacing w:line="240" w:lineRule="auto"/>
              <w:jc w:val="right"/>
              <w:rPr>
                <w:rFonts w:cs="Arial"/>
                <w:color w:val="000000"/>
                <w:sz w:val="20"/>
                <w:szCs w:val="20"/>
              </w:rPr>
            </w:pPr>
            <w:r w:rsidRPr="0008598F">
              <w:rPr>
                <w:rFonts w:cs="Arial"/>
                <w:color w:val="000000"/>
                <w:sz w:val="20"/>
                <w:szCs w:val="20"/>
              </w:rPr>
              <w:t>276 000</w:t>
            </w:r>
          </w:p>
        </w:tc>
      </w:tr>
      <w:tr w:rsidR="009021F1" w:rsidRPr="0008598F" w14:paraId="72CB095E" w14:textId="77777777" w:rsidTr="00E637E3">
        <w:trPr>
          <w:trHeight w:val="690"/>
        </w:trPr>
        <w:tc>
          <w:tcPr>
            <w:tcW w:w="420" w:type="dxa"/>
            <w:tcBorders>
              <w:top w:val="nil"/>
              <w:left w:val="single" w:sz="4" w:space="0" w:color="auto"/>
              <w:bottom w:val="single" w:sz="4" w:space="0" w:color="auto"/>
              <w:right w:val="single" w:sz="4" w:space="0" w:color="auto"/>
            </w:tcBorders>
            <w:shd w:val="clear" w:color="auto" w:fill="auto"/>
            <w:noWrap/>
            <w:vAlign w:val="center"/>
          </w:tcPr>
          <w:p w14:paraId="16242DF1" w14:textId="77777777" w:rsidR="009021F1" w:rsidRPr="0008598F" w:rsidRDefault="009021F1" w:rsidP="00E637E3">
            <w:pPr>
              <w:spacing w:line="240" w:lineRule="auto"/>
              <w:jc w:val="right"/>
              <w:rPr>
                <w:rFonts w:cs="Arial"/>
                <w:color w:val="000000"/>
                <w:sz w:val="20"/>
                <w:szCs w:val="20"/>
              </w:rPr>
            </w:pPr>
            <w:r w:rsidRPr="0008598F">
              <w:rPr>
                <w:rFonts w:cs="Arial"/>
                <w:color w:val="000000"/>
                <w:sz w:val="20"/>
                <w:szCs w:val="20"/>
              </w:rPr>
              <w:t>17</w:t>
            </w:r>
          </w:p>
        </w:tc>
        <w:tc>
          <w:tcPr>
            <w:tcW w:w="5392" w:type="dxa"/>
            <w:tcBorders>
              <w:top w:val="nil"/>
              <w:left w:val="nil"/>
              <w:bottom w:val="single" w:sz="4" w:space="0" w:color="auto"/>
              <w:right w:val="single" w:sz="4" w:space="0" w:color="auto"/>
            </w:tcBorders>
            <w:shd w:val="clear" w:color="auto" w:fill="auto"/>
          </w:tcPr>
          <w:p w14:paraId="0503321F" w14:textId="77777777" w:rsidR="009021F1" w:rsidRPr="0008598F" w:rsidRDefault="009021F1" w:rsidP="00E637E3">
            <w:pPr>
              <w:spacing w:line="240" w:lineRule="auto"/>
              <w:rPr>
                <w:rFonts w:cs="Arial"/>
                <w:color w:val="000000"/>
                <w:sz w:val="20"/>
                <w:szCs w:val="20"/>
              </w:rPr>
            </w:pPr>
            <w:r w:rsidRPr="0008598F">
              <w:rPr>
                <w:rFonts w:cs="Arial"/>
                <w:color w:val="000000"/>
                <w:sz w:val="20"/>
                <w:szCs w:val="20"/>
              </w:rPr>
              <w:t>Organiser une revue semestrielle des activités d’atténuation des risques d’EAS/HS mises en œuvre dans le projet PNDA afin de dégager les risques possibles et les leçons apprises de cette synergie d’interventions.</w:t>
            </w:r>
          </w:p>
        </w:tc>
        <w:tc>
          <w:tcPr>
            <w:tcW w:w="529" w:type="dxa"/>
            <w:tcBorders>
              <w:top w:val="nil"/>
              <w:left w:val="nil"/>
              <w:bottom w:val="single" w:sz="4" w:space="0" w:color="auto"/>
              <w:right w:val="single" w:sz="4" w:space="0" w:color="auto"/>
            </w:tcBorders>
            <w:shd w:val="clear" w:color="auto" w:fill="auto"/>
          </w:tcPr>
          <w:p w14:paraId="66A6923F" w14:textId="77777777" w:rsidR="009021F1" w:rsidRPr="0008598F" w:rsidRDefault="009021F1" w:rsidP="00E637E3">
            <w:pPr>
              <w:spacing w:line="240" w:lineRule="auto"/>
              <w:jc w:val="center"/>
              <w:rPr>
                <w:rFonts w:cs="Arial"/>
                <w:color w:val="000000"/>
                <w:sz w:val="20"/>
                <w:szCs w:val="20"/>
              </w:rPr>
            </w:pPr>
          </w:p>
          <w:p w14:paraId="1F456390" w14:textId="77777777" w:rsidR="009021F1" w:rsidRPr="0008598F" w:rsidRDefault="009021F1" w:rsidP="00E637E3">
            <w:pPr>
              <w:spacing w:line="240" w:lineRule="auto"/>
              <w:jc w:val="center"/>
              <w:rPr>
                <w:rFonts w:cs="Arial"/>
                <w:sz w:val="20"/>
                <w:szCs w:val="20"/>
              </w:rPr>
            </w:pPr>
            <w:r w:rsidRPr="0008598F">
              <w:rPr>
                <w:rFonts w:cs="Arial"/>
                <w:color w:val="000000"/>
                <w:sz w:val="20"/>
                <w:szCs w:val="20"/>
              </w:rPr>
              <w:t>Jour</w:t>
            </w:r>
          </w:p>
        </w:tc>
        <w:tc>
          <w:tcPr>
            <w:tcW w:w="1192" w:type="dxa"/>
            <w:tcBorders>
              <w:top w:val="nil"/>
              <w:left w:val="nil"/>
              <w:bottom w:val="single" w:sz="4" w:space="0" w:color="auto"/>
              <w:right w:val="single" w:sz="4" w:space="0" w:color="auto"/>
            </w:tcBorders>
            <w:shd w:val="clear" w:color="auto" w:fill="auto"/>
          </w:tcPr>
          <w:p w14:paraId="44095BA3" w14:textId="77777777" w:rsidR="009021F1" w:rsidRPr="0008598F" w:rsidRDefault="009021F1" w:rsidP="00E637E3">
            <w:pPr>
              <w:spacing w:line="240" w:lineRule="auto"/>
              <w:jc w:val="center"/>
              <w:rPr>
                <w:rFonts w:cs="Arial"/>
                <w:color w:val="000000"/>
                <w:sz w:val="20"/>
                <w:szCs w:val="20"/>
              </w:rPr>
            </w:pPr>
          </w:p>
          <w:p w14:paraId="360D4B44" w14:textId="77777777" w:rsidR="009021F1" w:rsidRPr="0008598F" w:rsidRDefault="009021F1" w:rsidP="00E637E3">
            <w:pPr>
              <w:spacing w:line="240" w:lineRule="auto"/>
              <w:jc w:val="center"/>
              <w:rPr>
                <w:rFonts w:cs="Arial"/>
                <w:sz w:val="20"/>
                <w:szCs w:val="20"/>
              </w:rPr>
            </w:pPr>
            <w:r w:rsidRPr="0008598F">
              <w:rPr>
                <w:rFonts w:cs="Arial"/>
                <w:color w:val="000000"/>
                <w:sz w:val="20"/>
                <w:szCs w:val="20"/>
              </w:rPr>
              <w:t>10</w:t>
            </w:r>
          </w:p>
        </w:tc>
        <w:tc>
          <w:tcPr>
            <w:tcW w:w="567" w:type="dxa"/>
            <w:tcBorders>
              <w:top w:val="nil"/>
              <w:left w:val="nil"/>
              <w:bottom w:val="single" w:sz="4" w:space="0" w:color="auto"/>
              <w:right w:val="single" w:sz="4" w:space="0" w:color="auto"/>
            </w:tcBorders>
            <w:shd w:val="clear" w:color="auto" w:fill="auto"/>
          </w:tcPr>
          <w:p w14:paraId="370D3B62" w14:textId="77777777" w:rsidR="009021F1" w:rsidRPr="0008598F" w:rsidRDefault="009021F1" w:rsidP="00E637E3">
            <w:pPr>
              <w:spacing w:line="240" w:lineRule="auto"/>
              <w:jc w:val="center"/>
              <w:rPr>
                <w:rFonts w:cs="Arial"/>
                <w:color w:val="000000"/>
                <w:sz w:val="20"/>
                <w:szCs w:val="20"/>
              </w:rPr>
            </w:pPr>
          </w:p>
          <w:p w14:paraId="11ABE39D" w14:textId="77777777" w:rsidR="009021F1" w:rsidRPr="0008598F" w:rsidRDefault="009021F1" w:rsidP="00E637E3">
            <w:pPr>
              <w:spacing w:line="240" w:lineRule="auto"/>
              <w:jc w:val="center"/>
              <w:rPr>
                <w:rFonts w:cs="Arial"/>
                <w:sz w:val="20"/>
                <w:szCs w:val="20"/>
              </w:rPr>
            </w:pPr>
            <w:r w:rsidRPr="0008598F">
              <w:rPr>
                <w:rFonts w:cs="Arial"/>
                <w:color w:val="000000"/>
                <w:sz w:val="20"/>
                <w:szCs w:val="20"/>
              </w:rPr>
              <w:t>6</w:t>
            </w:r>
          </w:p>
        </w:tc>
        <w:tc>
          <w:tcPr>
            <w:tcW w:w="956" w:type="dxa"/>
            <w:tcBorders>
              <w:top w:val="nil"/>
              <w:left w:val="nil"/>
              <w:bottom w:val="single" w:sz="4" w:space="0" w:color="auto"/>
              <w:right w:val="single" w:sz="4" w:space="0" w:color="auto"/>
            </w:tcBorders>
            <w:shd w:val="clear" w:color="auto" w:fill="auto"/>
          </w:tcPr>
          <w:p w14:paraId="0A47BCAE" w14:textId="77777777" w:rsidR="009021F1" w:rsidRPr="0008598F" w:rsidRDefault="009021F1" w:rsidP="00E637E3">
            <w:pPr>
              <w:spacing w:line="240" w:lineRule="auto"/>
              <w:jc w:val="center"/>
              <w:rPr>
                <w:rFonts w:cs="Arial"/>
                <w:color w:val="000000"/>
                <w:sz w:val="20"/>
                <w:szCs w:val="20"/>
              </w:rPr>
            </w:pPr>
          </w:p>
          <w:p w14:paraId="7D1E0CFD" w14:textId="77777777" w:rsidR="009021F1" w:rsidRPr="0008598F" w:rsidRDefault="009021F1" w:rsidP="00E637E3">
            <w:pPr>
              <w:spacing w:line="240" w:lineRule="auto"/>
              <w:jc w:val="center"/>
              <w:rPr>
                <w:rFonts w:cs="Arial"/>
                <w:sz w:val="20"/>
                <w:szCs w:val="20"/>
              </w:rPr>
            </w:pPr>
            <w:r w:rsidRPr="0008598F">
              <w:rPr>
                <w:rFonts w:cs="Arial"/>
                <w:color w:val="000000"/>
                <w:sz w:val="20"/>
                <w:szCs w:val="20"/>
              </w:rPr>
              <w:t>1 500</w:t>
            </w:r>
          </w:p>
        </w:tc>
        <w:tc>
          <w:tcPr>
            <w:tcW w:w="1200" w:type="dxa"/>
            <w:tcBorders>
              <w:top w:val="nil"/>
              <w:left w:val="nil"/>
              <w:bottom w:val="single" w:sz="4" w:space="0" w:color="auto"/>
              <w:right w:val="single" w:sz="4" w:space="0" w:color="auto"/>
            </w:tcBorders>
            <w:shd w:val="clear" w:color="auto" w:fill="auto"/>
            <w:noWrap/>
          </w:tcPr>
          <w:p w14:paraId="04E54571" w14:textId="77777777" w:rsidR="009021F1" w:rsidRPr="0008598F" w:rsidRDefault="009021F1" w:rsidP="00E637E3">
            <w:pPr>
              <w:spacing w:line="240" w:lineRule="auto"/>
              <w:jc w:val="right"/>
              <w:rPr>
                <w:rFonts w:cs="Arial"/>
                <w:color w:val="000000"/>
                <w:sz w:val="20"/>
                <w:szCs w:val="20"/>
              </w:rPr>
            </w:pPr>
          </w:p>
          <w:p w14:paraId="6AA5B985" w14:textId="77777777" w:rsidR="009021F1" w:rsidRPr="0008598F" w:rsidRDefault="009021F1" w:rsidP="00E637E3">
            <w:pPr>
              <w:spacing w:line="240" w:lineRule="auto"/>
              <w:jc w:val="right"/>
              <w:rPr>
                <w:rFonts w:cs="Arial"/>
                <w:color w:val="000000"/>
                <w:sz w:val="20"/>
                <w:szCs w:val="20"/>
              </w:rPr>
            </w:pPr>
            <w:r w:rsidRPr="0008598F">
              <w:rPr>
                <w:rFonts w:cs="Arial"/>
                <w:color w:val="000000"/>
                <w:sz w:val="20"/>
                <w:szCs w:val="20"/>
              </w:rPr>
              <w:t>90 000</w:t>
            </w:r>
          </w:p>
        </w:tc>
      </w:tr>
      <w:tr w:rsidR="009021F1" w:rsidRPr="0008598F" w14:paraId="239A7F44" w14:textId="77777777" w:rsidTr="00E637E3">
        <w:trPr>
          <w:trHeight w:val="388"/>
        </w:trPr>
        <w:tc>
          <w:tcPr>
            <w:tcW w:w="420" w:type="dxa"/>
            <w:tcBorders>
              <w:top w:val="nil"/>
              <w:left w:val="single" w:sz="4" w:space="0" w:color="auto"/>
              <w:bottom w:val="single" w:sz="4" w:space="0" w:color="auto"/>
              <w:right w:val="single" w:sz="4" w:space="0" w:color="auto"/>
            </w:tcBorders>
            <w:shd w:val="clear" w:color="auto" w:fill="auto"/>
            <w:noWrap/>
            <w:vAlign w:val="center"/>
          </w:tcPr>
          <w:p w14:paraId="7233441F" w14:textId="77777777" w:rsidR="009021F1" w:rsidRPr="0008598F" w:rsidRDefault="009021F1" w:rsidP="00E637E3">
            <w:pPr>
              <w:spacing w:line="240" w:lineRule="auto"/>
              <w:jc w:val="left"/>
              <w:rPr>
                <w:rFonts w:cs="Arial"/>
                <w:color w:val="000000"/>
                <w:sz w:val="20"/>
                <w:szCs w:val="20"/>
              </w:rPr>
            </w:pPr>
          </w:p>
        </w:tc>
        <w:tc>
          <w:tcPr>
            <w:tcW w:w="8636" w:type="dxa"/>
            <w:gridSpan w:val="5"/>
            <w:tcBorders>
              <w:top w:val="nil"/>
              <w:left w:val="nil"/>
              <w:bottom w:val="single" w:sz="4" w:space="0" w:color="auto"/>
              <w:right w:val="single" w:sz="4" w:space="0" w:color="auto"/>
            </w:tcBorders>
            <w:shd w:val="clear" w:color="auto" w:fill="auto"/>
            <w:noWrap/>
            <w:vAlign w:val="center"/>
          </w:tcPr>
          <w:p w14:paraId="33C94589" w14:textId="77777777" w:rsidR="009021F1" w:rsidRPr="0008598F" w:rsidRDefault="009021F1" w:rsidP="00E637E3">
            <w:pPr>
              <w:spacing w:line="240" w:lineRule="auto"/>
              <w:jc w:val="center"/>
              <w:rPr>
                <w:rFonts w:cs="Arial"/>
                <w:color w:val="000000"/>
                <w:sz w:val="20"/>
                <w:szCs w:val="20"/>
              </w:rPr>
            </w:pPr>
            <w:r w:rsidRPr="0008598F">
              <w:rPr>
                <w:rFonts w:cs="Arial"/>
                <w:color w:val="000000"/>
                <w:sz w:val="20"/>
                <w:szCs w:val="20"/>
              </w:rPr>
              <w:t>Total 5 ans</w:t>
            </w:r>
          </w:p>
        </w:tc>
        <w:tc>
          <w:tcPr>
            <w:tcW w:w="1200" w:type="dxa"/>
            <w:tcBorders>
              <w:top w:val="nil"/>
              <w:left w:val="nil"/>
              <w:bottom w:val="single" w:sz="4" w:space="0" w:color="auto"/>
              <w:right w:val="single" w:sz="4" w:space="0" w:color="auto"/>
            </w:tcBorders>
            <w:shd w:val="clear" w:color="auto" w:fill="auto"/>
            <w:noWrap/>
            <w:vAlign w:val="center"/>
            <w:hideMark/>
          </w:tcPr>
          <w:p w14:paraId="4B7D5E61" w14:textId="77777777" w:rsidR="009021F1" w:rsidRPr="0008598F" w:rsidRDefault="009021F1" w:rsidP="00E637E3">
            <w:pPr>
              <w:spacing w:line="240" w:lineRule="auto"/>
              <w:jc w:val="right"/>
              <w:rPr>
                <w:rFonts w:cs="Arial"/>
                <w:color w:val="000000"/>
                <w:sz w:val="20"/>
                <w:szCs w:val="20"/>
              </w:rPr>
            </w:pPr>
            <w:r w:rsidRPr="0008598F">
              <w:rPr>
                <w:rFonts w:cs="Arial"/>
                <w:color w:val="000000"/>
                <w:sz w:val="20"/>
                <w:szCs w:val="20"/>
              </w:rPr>
              <w:t>4 023 300</w:t>
            </w:r>
          </w:p>
        </w:tc>
      </w:tr>
    </w:tbl>
    <w:p w14:paraId="791106E0" w14:textId="77777777" w:rsidR="009021F1" w:rsidRPr="00730A4A" w:rsidRDefault="009021F1" w:rsidP="009021F1"/>
    <w:p w14:paraId="1D41C1E7" w14:textId="77777777" w:rsidR="009021F1" w:rsidRDefault="009021F1" w:rsidP="009021F1">
      <w:pPr>
        <w:spacing w:after="160" w:line="259" w:lineRule="auto"/>
        <w:jc w:val="left"/>
        <w:rPr>
          <w:rFonts w:cs="Arial"/>
          <w:b/>
          <w:bCs/>
          <w:sz w:val="22"/>
        </w:rPr>
      </w:pPr>
    </w:p>
    <w:p w14:paraId="7EB87E93" w14:textId="77777777" w:rsidR="009021F1" w:rsidRPr="000B21B3" w:rsidRDefault="009021F1" w:rsidP="009021F1">
      <w:pPr>
        <w:pStyle w:val="Titre1"/>
        <w:tabs>
          <w:tab w:val="right" w:pos="9062"/>
        </w:tabs>
        <w:ind w:left="1560" w:hanging="1560"/>
        <w:rPr>
          <w:rFonts w:cs="Arial"/>
          <w:szCs w:val="21"/>
        </w:rPr>
      </w:pPr>
      <w:r>
        <w:rPr>
          <w:rFonts w:cs="Arial"/>
          <w:sz w:val="22"/>
        </w:rPr>
        <w:br w:type="page"/>
      </w:r>
      <w:bookmarkStart w:id="498" w:name="_Toc90471604"/>
      <w:r w:rsidRPr="000B21B3">
        <w:rPr>
          <w:rFonts w:cs="Arial"/>
          <w:szCs w:val="21"/>
        </w:rPr>
        <w:t xml:space="preserve">ANNEXE </w:t>
      </w:r>
      <w:r>
        <w:rPr>
          <w:rFonts w:cs="Arial"/>
          <w:szCs w:val="21"/>
        </w:rPr>
        <w:t>14</w:t>
      </w:r>
      <w:r w:rsidRPr="000B21B3">
        <w:rPr>
          <w:rFonts w:cs="Arial"/>
          <w:szCs w:val="21"/>
        </w:rPr>
        <w:t>. PGES PROPORTIONNÉS</w:t>
      </w:r>
      <w:bookmarkEnd w:id="498"/>
      <w:r w:rsidRPr="000B21B3">
        <w:rPr>
          <w:rFonts w:cs="Arial"/>
          <w:szCs w:val="21"/>
        </w:rPr>
        <w:t xml:space="preserve"> </w:t>
      </w:r>
    </w:p>
    <w:p w14:paraId="06DCCE6F" w14:textId="77777777" w:rsidR="009021F1" w:rsidRDefault="009021F1" w:rsidP="009021F1">
      <w:pPr>
        <w:tabs>
          <w:tab w:val="left" w:pos="454"/>
        </w:tabs>
        <w:rPr>
          <w:rFonts w:cs="Arial"/>
          <w:szCs w:val="21"/>
        </w:rPr>
      </w:pPr>
    </w:p>
    <w:p w14:paraId="5FE823B5" w14:textId="77777777" w:rsidR="009021F1" w:rsidRDefault="009021F1" w:rsidP="009021F1">
      <w:pPr>
        <w:tabs>
          <w:tab w:val="left" w:pos="454"/>
        </w:tabs>
        <w:rPr>
          <w:rFonts w:cs="Arial"/>
          <w:szCs w:val="21"/>
        </w:rPr>
      </w:pPr>
      <w:r w:rsidRPr="00A07A37">
        <w:rPr>
          <w:rFonts w:cs="Arial"/>
          <w:szCs w:val="21"/>
        </w:rPr>
        <w:t>Les PGES proportionnés seront préparés selon le modèle suivant :</w:t>
      </w:r>
    </w:p>
    <w:p w14:paraId="67AEB71C" w14:textId="77777777" w:rsidR="009021F1" w:rsidRPr="00A07A37" w:rsidRDefault="009021F1" w:rsidP="009021F1">
      <w:pPr>
        <w:tabs>
          <w:tab w:val="left" w:pos="454"/>
        </w:tabs>
        <w:rPr>
          <w:rFonts w:cs="Arial"/>
          <w:szCs w:val="21"/>
        </w:rPr>
      </w:pPr>
    </w:p>
    <w:p w14:paraId="34B39DA4" w14:textId="77777777" w:rsidR="009021F1" w:rsidRDefault="009021F1" w:rsidP="009021F1">
      <w:pPr>
        <w:ind w:left="567"/>
        <w:rPr>
          <w:rFonts w:cs="Arial"/>
          <w:b/>
          <w:bCs/>
          <w:szCs w:val="21"/>
        </w:rPr>
      </w:pPr>
      <w:r w:rsidRPr="00A07A37">
        <w:rPr>
          <w:rFonts w:cs="Arial"/>
          <w:b/>
          <w:bCs/>
          <w:szCs w:val="21"/>
        </w:rPr>
        <w:t>Fiche récapitulative</w:t>
      </w:r>
    </w:p>
    <w:p w14:paraId="69B368B4" w14:textId="77777777" w:rsidR="009021F1" w:rsidRPr="00A07A37" w:rsidRDefault="009021F1" w:rsidP="009021F1">
      <w:pPr>
        <w:ind w:left="567"/>
        <w:rPr>
          <w:rFonts w:cs="Arial"/>
          <w:b/>
          <w:bCs/>
          <w:szCs w:val="21"/>
        </w:rPr>
      </w:pPr>
    </w:p>
    <w:tbl>
      <w:tblPr>
        <w:tblStyle w:val="Vale41"/>
        <w:tblW w:w="0" w:type="auto"/>
        <w:tblInd w:w="-5" w:type="dxa"/>
        <w:tblLook w:val="04A0" w:firstRow="1" w:lastRow="0" w:firstColumn="1" w:lastColumn="0" w:noHBand="0" w:noVBand="1"/>
      </w:tblPr>
      <w:tblGrid>
        <w:gridCol w:w="5141"/>
        <w:gridCol w:w="3924"/>
      </w:tblGrid>
      <w:tr w:rsidR="009021F1" w:rsidRPr="00A07A37" w14:paraId="5DD5CE95" w14:textId="77777777" w:rsidTr="00E637E3">
        <w:trPr>
          <w:cantSplit/>
          <w:trHeight w:val="20"/>
        </w:trPr>
        <w:tc>
          <w:tcPr>
            <w:tcW w:w="5245" w:type="dxa"/>
          </w:tcPr>
          <w:p w14:paraId="22C4B036" w14:textId="77777777" w:rsidR="009021F1" w:rsidRPr="00A07A37" w:rsidRDefault="009021F1" w:rsidP="00E637E3">
            <w:pPr>
              <w:rPr>
                <w:rFonts w:cs="Arial"/>
                <w:b/>
                <w:bCs/>
                <w:szCs w:val="21"/>
              </w:rPr>
            </w:pPr>
            <w:r w:rsidRPr="00A07A37">
              <w:rPr>
                <w:rFonts w:cs="Arial"/>
                <w:b/>
                <w:bCs/>
                <w:szCs w:val="21"/>
              </w:rPr>
              <w:t>Nom du Sous-projet</w:t>
            </w:r>
          </w:p>
        </w:tc>
        <w:tc>
          <w:tcPr>
            <w:tcW w:w="4111" w:type="dxa"/>
          </w:tcPr>
          <w:p w14:paraId="6EA8D3E4" w14:textId="77777777" w:rsidR="009021F1" w:rsidRPr="00A07A37" w:rsidRDefault="009021F1" w:rsidP="00E637E3">
            <w:pPr>
              <w:rPr>
                <w:rFonts w:cs="Arial"/>
                <w:b/>
                <w:bCs/>
                <w:i/>
                <w:szCs w:val="21"/>
              </w:rPr>
            </w:pPr>
          </w:p>
        </w:tc>
      </w:tr>
      <w:tr w:rsidR="009021F1" w:rsidRPr="00A07A37" w14:paraId="0A989653" w14:textId="77777777" w:rsidTr="00E637E3">
        <w:trPr>
          <w:cantSplit/>
          <w:trHeight w:val="20"/>
        </w:trPr>
        <w:tc>
          <w:tcPr>
            <w:tcW w:w="5245" w:type="dxa"/>
          </w:tcPr>
          <w:p w14:paraId="6E631499" w14:textId="77777777" w:rsidR="009021F1" w:rsidRPr="00A07A37" w:rsidRDefault="009021F1" w:rsidP="00E637E3">
            <w:pPr>
              <w:rPr>
                <w:rFonts w:cs="Arial"/>
                <w:b/>
                <w:bCs/>
                <w:szCs w:val="21"/>
              </w:rPr>
            </w:pPr>
            <w:r w:rsidRPr="00A07A37">
              <w:rPr>
                <w:rFonts w:cs="Arial"/>
                <w:b/>
                <w:bCs/>
                <w:szCs w:val="21"/>
              </w:rPr>
              <w:t>Lieu de l’activité</w:t>
            </w:r>
          </w:p>
        </w:tc>
        <w:tc>
          <w:tcPr>
            <w:tcW w:w="4111" w:type="dxa"/>
          </w:tcPr>
          <w:p w14:paraId="6A1A360E" w14:textId="77777777" w:rsidR="009021F1" w:rsidRPr="00A07A37" w:rsidRDefault="009021F1" w:rsidP="00E637E3">
            <w:pPr>
              <w:rPr>
                <w:rFonts w:cs="Arial"/>
                <w:b/>
                <w:bCs/>
                <w:szCs w:val="21"/>
              </w:rPr>
            </w:pPr>
          </w:p>
        </w:tc>
      </w:tr>
      <w:tr w:rsidR="009021F1" w:rsidRPr="00A07A37" w14:paraId="392EC6D4" w14:textId="77777777" w:rsidTr="00E637E3">
        <w:trPr>
          <w:cantSplit/>
          <w:trHeight w:val="20"/>
        </w:trPr>
        <w:tc>
          <w:tcPr>
            <w:tcW w:w="5245" w:type="dxa"/>
          </w:tcPr>
          <w:p w14:paraId="1ACB9C76" w14:textId="77777777" w:rsidR="009021F1" w:rsidRPr="00A07A37" w:rsidRDefault="009021F1" w:rsidP="00E637E3">
            <w:pPr>
              <w:rPr>
                <w:rFonts w:cs="Arial"/>
                <w:b/>
                <w:bCs/>
                <w:szCs w:val="21"/>
              </w:rPr>
            </w:pPr>
            <w:r w:rsidRPr="00A07A37">
              <w:rPr>
                <w:rFonts w:cs="Arial"/>
                <w:b/>
                <w:bCs/>
                <w:szCs w:val="21"/>
              </w:rPr>
              <w:t>Agence de mise en œuvre</w:t>
            </w:r>
          </w:p>
        </w:tc>
        <w:tc>
          <w:tcPr>
            <w:tcW w:w="4111" w:type="dxa"/>
          </w:tcPr>
          <w:p w14:paraId="103E1816" w14:textId="77777777" w:rsidR="009021F1" w:rsidRPr="00A07A37" w:rsidRDefault="009021F1" w:rsidP="00E637E3">
            <w:pPr>
              <w:rPr>
                <w:rFonts w:cs="Arial"/>
                <w:b/>
                <w:bCs/>
                <w:szCs w:val="21"/>
              </w:rPr>
            </w:pPr>
          </w:p>
        </w:tc>
      </w:tr>
      <w:tr w:rsidR="009021F1" w:rsidRPr="00A07A37" w14:paraId="6F70CA82" w14:textId="77777777" w:rsidTr="00E637E3">
        <w:trPr>
          <w:cantSplit/>
          <w:trHeight w:val="20"/>
        </w:trPr>
        <w:tc>
          <w:tcPr>
            <w:tcW w:w="5245" w:type="dxa"/>
          </w:tcPr>
          <w:p w14:paraId="528E8DC1" w14:textId="77777777" w:rsidR="009021F1" w:rsidRPr="00A07A37" w:rsidRDefault="009021F1" w:rsidP="00E637E3">
            <w:pPr>
              <w:rPr>
                <w:rFonts w:cs="Arial"/>
                <w:b/>
                <w:bCs/>
                <w:szCs w:val="21"/>
              </w:rPr>
            </w:pPr>
            <w:r w:rsidRPr="00A07A37">
              <w:rPr>
                <w:rFonts w:cs="Arial"/>
                <w:b/>
                <w:bCs/>
                <w:szCs w:val="21"/>
              </w:rPr>
              <w:t>Niveau de risque (faible, modéré, substantiel, élevé)</w:t>
            </w:r>
          </w:p>
        </w:tc>
        <w:tc>
          <w:tcPr>
            <w:tcW w:w="4111" w:type="dxa"/>
          </w:tcPr>
          <w:p w14:paraId="41E0FDAE" w14:textId="77777777" w:rsidR="009021F1" w:rsidRPr="00A07A37" w:rsidRDefault="009021F1" w:rsidP="00E637E3">
            <w:pPr>
              <w:rPr>
                <w:rFonts w:cs="Arial"/>
                <w:b/>
                <w:bCs/>
                <w:szCs w:val="21"/>
              </w:rPr>
            </w:pPr>
          </w:p>
        </w:tc>
      </w:tr>
      <w:tr w:rsidR="009021F1" w:rsidRPr="00A07A37" w14:paraId="376A52A1" w14:textId="77777777" w:rsidTr="00E637E3">
        <w:trPr>
          <w:cantSplit/>
          <w:trHeight w:val="20"/>
        </w:trPr>
        <w:tc>
          <w:tcPr>
            <w:tcW w:w="5245" w:type="dxa"/>
          </w:tcPr>
          <w:p w14:paraId="5515D64F" w14:textId="77777777" w:rsidR="009021F1" w:rsidRPr="00A07A37" w:rsidRDefault="009021F1" w:rsidP="00E637E3">
            <w:pPr>
              <w:rPr>
                <w:rFonts w:cs="Arial"/>
                <w:b/>
                <w:bCs/>
                <w:szCs w:val="21"/>
              </w:rPr>
            </w:pPr>
            <w:r w:rsidRPr="00A07A37">
              <w:rPr>
                <w:rFonts w:cs="Arial"/>
                <w:b/>
                <w:bCs/>
                <w:szCs w:val="21"/>
              </w:rPr>
              <w:t>Date de la visite de terrain</w:t>
            </w:r>
          </w:p>
        </w:tc>
        <w:tc>
          <w:tcPr>
            <w:tcW w:w="4111" w:type="dxa"/>
          </w:tcPr>
          <w:p w14:paraId="41CB82EB" w14:textId="77777777" w:rsidR="009021F1" w:rsidRPr="00A07A37" w:rsidRDefault="009021F1" w:rsidP="00E637E3">
            <w:pPr>
              <w:rPr>
                <w:rFonts w:cs="Arial"/>
                <w:b/>
                <w:bCs/>
                <w:szCs w:val="21"/>
              </w:rPr>
            </w:pPr>
          </w:p>
        </w:tc>
      </w:tr>
      <w:tr w:rsidR="009021F1" w:rsidRPr="00A07A37" w14:paraId="4207E7BB" w14:textId="77777777" w:rsidTr="00E637E3">
        <w:trPr>
          <w:cantSplit/>
          <w:trHeight w:val="20"/>
        </w:trPr>
        <w:tc>
          <w:tcPr>
            <w:tcW w:w="5245" w:type="dxa"/>
          </w:tcPr>
          <w:p w14:paraId="04F0BB7D" w14:textId="77777777" w:rsidR="009021F1" w:rsidRPr="00A07A37" w:rsidRDefault="009021F1" w:rsidP="00E637E3">
            <w:pPr>
              <w:rPr>
                <w:rFonts w:cs="Arial"/>
                <w:b/>
                <w:bCs/>
                <w:szCs w:val="21"/>
              </w:rPr>
            </w:pPr>
            <w:r w:rsidRPr="00A07A37">
              <w:rPr>
                <w:rFonts w:cs="Arial"/>
                <w:b/>
                <w:bCs/>
                <w:szCs w:val="21"/>
              </w:rPr>
              <w:t>Résumé des consultations avec les parties prenantes</w:t>
            </w:r>
          </w:p>
        </w:tc>
        <w:tc>
          <w:tcPr>
            <w:tcW w:w="4111" w:type="dxa"/>
          </w:tcPr>
          <w:p w14:paraId="22556B73" w14:textId="77777777" w:rsidR="009021F1" w:rsidRPr="00A07A37" w:rsidRDefault="009021F1" w:rsidP="00E637E3">
            <w:pPr>
              <w:rPr>
                <w:rFonts w:cs="Arial"/>
                <w:b/>
                <w:bCs/>
                <w:szCs w:val="21"/>
              </w:rPr>
            </w:pPr>
          </w:p>
        </w:tc>
      </w:tr>
      <w:tr w:rsidR="009021F1" w:rsidRPr="00A07A37" w14:paraId="26648FD0" w14:textId="77777777" w:rsidTr="00E637E3">
        <w:trPr>
          <w:cantSplit/>
          <w:trHeight w:val="20"/>
        </w:trPr>
        <w:tc>
          <w:tcPr>
            <w:tcW w:w="5245" w:type="dxa"/>
          </w:tcPr>
          <w:p w14:paraId="4451B950" w14:textId="77777777" w:rsidR="009021F1" w:rsidRPr="00A07A37" w:rsidRDefault="009021F1" w:rsidP="00E637E3">
            <w:pPr>
              <w:rPr>
                <w:rFonts w:cs="Arial"/>
                <w:b/>
                <w:bCs/>
                <w:szCs w:val="21"/>
              </w:rPr>
            </w:pPr>
            <w:r w:rsidRPr="00A07A37">
              <w:rPr>
                <w:rFonts w:cs="Arial"/>
                <w:b/>
                <w:bCs/>
                <w:szCs w:val="21"/>
              </w:rPr>
              <w:t>Observations/Commentaires</w:t>
            </w:r>
          </w:p>
        </w:tc>
        <w:tc>
          <w:tcPr>
            <w:tcW w:w="4111" w:type="dxa"/>
          </w:tcPr>
          <w:p w14:paraId="0E3F1DBD" w14:textId="77777777" w:rsidR="009021F1" w:rsidRPr="00A07A37" w:rsidRDefault="009021F1" w:rsidP="00E637E3">
            <w:pPr>
              <w:rPr>
                <w:rFonts w:cs="Arial"/>
                <w:b/>
                <w:bCs/>
                <w:szCs w:val="21"/>
              </w:rPr>
            </w:pPr>
          </w:p>
        </w:tc>
      </w:tr>
      <w:tr w:rsidR="009021F1" w:rsidRPr="00A07A37" w14:paraId="617F3142" w14:textId="77777777" w:rsidTr="00E637E3">
        <w:trPr>
          <w:cantSplit/>
          <w:trHeight w:val="20"/>
        </w:trPr>
        <w:tc>
          <w:tcPr>
            <w:tcW w:w="5245" w:type="dxa"/>
          </w:tcPr>
          <w:p w14:paraId="7AEDE238" w14:textId="77777777" w:rsidR="009021F1" w:rsidRPr="00A07A37" w:rsidRDefault="009021F1" w:rsidP="00E637E3">
            <w:pPr>
              <w:rPr>
                <w:rFonts w:cs="Arial"/>
                <w:b/>
                <w:bCs/>
                <w:szCs w:val="21"/>
              </w:rPr>
            </w:pPr>
            <w:r w:rsidRPr="00A07A37">
              <w:rPr>
                <w:rFonts w:cs="Arial"/>
                <w:b/>
                <w:bCs/>
                <w:szCs w:val="21"/>
              </w:rPr>
              <w:t>Signature du Responsable</w:t>
            </w:r>
          </w:p>
        </w:tc>
        <w:tc>
          <w:tcPr>
            <w:tcW w:w="4111" w:type="dxa"/>
          </w:tcPr>
          <w:p w14:paraId="130C7F60" w14:textId="77777777" w:rsidR="009021F1" w:rsidRPr="00A07A37" w:rsidRDefault="009021F1" w:rsidP="00E637E3">
            <w:pPr>
              <w:rPr>
                <w:rFonts w:cs="Arial"/>
                <w:b/>
                <w:bCs/>
                <w:szCs w:val="21"/>
              </w:rPr>
            </w:pPr>
          </w:p>
        </w:tc>
      </w:tr>
      <w:tr w:rsidR="009021F1" w:rsidRPr="00A07A37" w14:paraId="3B73D476" w14:textId="77777777" w:rsidTr="00E637E3">
        <w:trPr>
          <w:cantSplit/>
          <w:trHeight w:val="20"/>
        </w:trPr>
        <w:tc>
          <w:tcPr>
            <w:tcW w:w="5245" w:type="dxa"/>
          </w:tcPr>
          <w:p w14:paraId="67919155" w14:textId="77777777" w:rsidR="009021F1" w:rsidRPr="00A07A37" w:rsidRDefault="009021F1" w:rsidP="00E637E3">
            <w:pPr>
              <w:rPr>
                <w:rFonts w:cs="Arial"/>
                <w:b/>
                <w:bCs/>
                <w:szCs w:val="21"/>
              </w:rPr>
            </w:pPr>
            <w:r w:rsidRPr="00A07A37">
              <w:rPr>
                <w:rFonts w:cs="Arial"/>
                <w:b/>
                <w:bCs/>
                <w:szCs w:val="21"/>
              </w:rPr>
              <w:t>Date</w:t>
            </w:r>
          </w:p>
        </w:tc>
        <w:tc>
          <w:tcPr>
            <w:tcW w:w="4111" w:type="dxa"/>
          </w:tcPr>
          <w:p w14:paraId="56815A58" w14:textId="77777777" w:rsidR="009021F1" w:rsidRPr="00A07A37" w:rsidRDefault="009021F1" w:rsidP="00E637E3">
            <w:pPr>
              <w:rPr>
                <w:rFonts w:cs="Arial"/>
                <w:b/>
                <w:bCs/>
                <w:szCs w:val="21"/>
              </w:rPr>
            </w:pPr>
          </w:p>
        </w:tc>
      </w:tr>
    </w:tbl>
    <w:p w14:paraId="65AA7B52" w14:textId="77777777" w:rsidR="009021F1" w:rsidRDefault="009021F1" w:rsidP="009021F1">
      <w:pPr>
        <w:keepNext/>
        <w:keepLines/>
        <w:ind w:left="567"/>
        <w:rPr>
          <w:rFonts w:cs="Arial"/>
          <w:b/>
          <w:bCs/>
          <w:szCs w:val="21"/>
        </w:rPr>
      </w:pPr>
    </w:p>
    <w:p w14:paraId="5849EB6E" w14:textId="77777777" w:rsidR="009021F1" w:rsidRPr="00A07A37" w:rsidRDefault="009021F1" w:rsidP="009021F1">
      <w:pPr>
        <w:keepNext/>
        <w:keepLines/>
        <w:ind w:left="567"/>
        <w:rPr>
          <w:rFonts w:cs="Arial"/>
          <w:b/>
          <w:bCs/>
          <w:szCs w:val="21"/>
        </w:rPr>
      </w:pPr>
      <w:r w:rsidRPr="00A07A37">
        <w:rPr>
          <w:rFonts w:cs="Arial"/>
          <w:b/>
          <w:bCs/>
          <w:szCs w:val="21"/>
        </w:rPr>
        <w:t>Description du sous-projet</w:t>
      </w:r>
    </w:p>
    <w:p w14:paraId="26D9B15B" w14:textId="77777777" w:rsidR="009021F1" w:rsidRPr="00A07A37" w:rsidRDefault="009021F1" w:rsidP="009021F1">
      <w:pPr>
        <w:pStyle w:val="TableauPuce1"/>
        <w:ind w:left="1135" w:right="57" w:hanging="284"/>
        <w:contextualSpacing/>
        <w:jc w:val="both"/>
        <w:rPr>
          <w:rFonts w:ascii="Arial" w:hAnsi="Arial" w:cs="Arial"/>
          <w:w w:val="105"/>
          <w:sz w:val="21"/>
          <w:szCs w:val="21"/>
        </w:rPr>
      </w:pPr>
      <w:r w:rsidRPr="00A07A37">
        <w:rPr>
          <w:rFonts w:ascii="Arial" w:hAnsi="Arial" w:cs="Arial"/>
          <w:w w:val="105"/>
          <w:sz w:val="21"/>
          <w:szCs w:val="21"/>
        </w:rPr>
        <w:t>Nature et portée des activités du sous-projet</w:t>
      </w:r>
    </w:p>
    <w:p w14:paraId="0875B419" w14:textId="77777777" w:rsidR="009021F1" w:rsidRPr="00A07A37" w:rsidRDefault="009021F1" w:rsidP="009021F1">
      <w:pPr>
        <w:pStyle w:val="TableauPuce1"/>
        <w:ind w:left="1135" w:right="57" w:hanging="284"/>
        <w:contextualSpacing/>
        <w:jc w:val="both"/>
        <w:rPr>
          <w:rFonts w:ascii="Arial" w:hAnsi="Arial" w:cs="Arial"/>
          <w:w w:val="105"/>
          <w:sz w:val="21"/>
          <w:szCs w:val="21"/>
        </w:rPr>
      </w:pPr>
      <w:r w:rsidRPr="00A07A37">
        <w:rPr>
          <w:rFonts w:ascii="Arial" w:hAnsi="Arial" w:cs="Arial"/>
          <w:w w:val="105"/>
          <w:sz w:val="21"/>
          <w:szCs w:val="21"/>
        </w:rPr>
        <w:t>Localisation, y compris une carte.  Si les activités portent sur plusieurs lieux, les détails de chaque lieu doivent être fournis.</w:t>
      </w:r>
    </w:p>
    <w:p w14:paraId="268AD3DD" w14:textId="77777777" w:rsidR="009021F1" w:rsidRPr="00A07A37" w:rsidRDefault="009021F1" w:rsidP="009021F1">
      <w:pPr>
        <w:pStyle w:val="TableauPuce1"/>
        <w:ind w:left="1135" w:right="57" w:hanging="284"/>
        <w:contextualSpacing/>
        <w:jc w:val="both"/>
        <w:rPr>
          <w:rFonts w:ascii="Arial" w:hAnsi="Arial" w:cs="Arial"/>
          <w:w w:val="105"/>
          <w:sz w:val="21"/>
          <w:szCs w:val="21"/>
        </w:rPr>
      </w:pPr>
      <w:r w:rsidRPr="00A07A37">
        <w:rPr>
          <w:rFonts w:ascii="Arial" w:hAnsi="Arial" w:cs="Arial"/>
          <w:w w:val="105"/>
          <w:sz w:val="21"/>
          <w:szCs w:val="21"/>
        </w:rPr>
        <w:t>Durée des travaux et nombre d’ouvriers impliqués</w:t>
      </w:r>
    </w:p>
    <w:p w14:paraId="36EE8247" w14:textId="77777777" w:rsidR="009021F1" w:rsidRDefault="009021F1" w:rsidP="009021F1">
      <w:pPr>
        <w:ind w:left="567"/>
        <w:rPr>
          <w:rFonts w:cs="Arial"/>
          <w:b/>
          <w:bCs/>
          <w:szCs w:val="21"/>
        </w:rPr>
      </w:pPr>
    </w:p>
    <w:p w14:paraId="7708B216" w14:textId="77777777" w:rsidR="009021F1" w:rsidRPr="00A07A37" w:rsidRDefault="009021F1" w:rsidP="009021F1">
      <w:pPr>
        <w:ind w:left="567"/>
        <w:rPr>
          <w:rFonts w:cs="Arial"/>
          <w:b/>
          <w:bCs/>
          <w:szCs w:val="21"/>
        </w:rPr>
      </w:pPr>
      <w:r w:rsidRPr="00A07A37">
        <w:rPr>
          <w:rFonts w:cs="Arial"/>
          <w:b/>
          <w:bCs/>
          <w:szCs w:val="21"/>
        </w:rPr>
        <w:t>Situation de référence environnementale et sociale</w:t>
      </w:r>
    </w:p>
    <w:p w14:paraId="23A4DD18" w14:textId="77777777" w:rsidR="009021F1" w:rsidRPr="00A07A37" w:rsidRDefault="009021F1" w:rsidP="009021F1">
      <w:pPr>
        <w:pStyle w:val="TableauPuce1"/>
        <w:ind w:left="1135" w:right="57" w:hanging="284"/>
        <w:contextualSpacing/>
        <w:jc w:val="both"/>
        <w:rPr>
          <w:rFonts w:ascii="Arial" w:hAnsi="Arial" w:cs="Arial"/>
          <w:w w:val="105"/>
          <w:sz w:val="21"/>
          <w:szCs w:val="21"/>
        </w:rPr>
      </w:pPr>
      <w:r w:rsidRPr="00A07A37">
        <w:rPr>
          <w:rFonts w:ascii="Arial" w:hAnsi="Arial" w:cs="Arial"/>
          <w:w w:val="105"/>
          <w:sz w:val="21"/>
          <w:szCs w:val="21"/>
        </w:rPr>
        <w:t>Fournir les informations nécessaires pour comprendre les risques et les impacts environnementaux et sociaux du sous-projet.</w:t>
      </w:r>
    </w:p>
    <w:p w14:paraId="06C2B92A" w14:textId="77777777" w:rsidR="009021F1" w:rsidRPr="00A07A37" w:rsidRDefault="009021F1" w:rsidP="009021F1">
      <w:pPr>
        <w:pStyle w:val="TableauPuce1"/>
        <w:ind w:left="1135" w:right="57" w:hanging="284"/>
        <w:contextualSpacing/>
        <w:jc w:val="both"/>
        <w:rPr>
          <w:rFonts w:ascii="Arial" w:hAnsi="Arial" w:cs="Arial"/>
          <w:w w:val="105"/>
          <w:sz w:val="21"/>
          <w:szCs w:val="21"/>
        </w:rPr>
      </w:pPr>
      <w:r w:rsidRPr="00A07A37">
        <w:rPr>
          <w:rFonts w:ascii="Arial" w:hAnsi="Arial" w:cs="Arial"/>
          <w:w w:val="105"/>
          <w:sz w:val="21"/>
          <w:szCs w:val="21"/>
        </w:rPr>
        <w:t>Fournir suffisamment d'images pour illustrer les questions environnementales et sociales, avec les légendes appropriées.</w:t>
      </w:r>
    </w:p>
    <w:p w14:paraId="774632C2" w14:textId="77777777" w:rsidR="009021F1" w:rsidRDefault="009021F1" w:rsidP="009021F1">
      <w:pPr>
        <w:ind w:left="567"/>
        <w:rPr>
          <w:rFonts w:cs="Arial"/>
          <w:b/>
          <w:bCs/>
          <w:szCs w:val="21"/>
        </w:rPr>
      </w:pPr>
    </w:p>
    <w:p w14:paraId="5B1626A6" w14:textId="77777777" w:rsidR="009021F1" w:rsidRPr="00A07A37" w:rsidRDefault="009021F1" w:rsidP="009021F1">
      <w:pPr>
        <w:ind w:left="567"/>
        <w:rPr>
          <w:rFonts w:cs="Arial"/>
          <w:b/>
          <w:bCs/>
          <w:szCs w:val="21"/>
        </w:rPr>
      </w:pPr>
      <w:r w:rsidRPr="00A07A37">
        <w:rPr>
          <w:rFonts w:cs="Arial"/>
          <w:b/>
          <w:bCs/>
          <w:szCs w:val="21"/>
        </w:rPr>
        <w:t>Risques et impacts environnementaux et sociaux</w:t>
      </w:r>
    </w:p>
    <w:p w14:paraId="7BD596FA" w14:textId="77777777" w:rsidR="009021F1" w:rsidRPr="00A07A37" w:rsidRDefault="009021F1" w:rsidP="009021F1">
      <w:pPr>
        <w:pStyle w:val="TableauPuce1"/>
        <w:ind w:left="1135" w:right="57" w:hanging="284"/>
        <w:contextualSpacing/>
        <w:jc w:val="both"/>
        <w:rPr>
          <w:rFonts w:ascii="Arial" w:hAnsi="Arial" w:cs="Arial"/>
          <w:w w:val="105"/>
          <w:sz w:val="21"/>
          <w:szCs w:val="21"/>
        </w:rPr>
      </w:pPr>
      <w:r w:rsidRPr="00A07A37">
        <w:rPr>
          <w:rFonts w:ascii="Arial" w:hAnsi="Arial" w:cs="Arial"/>
          <w:w w:val="105"/>
          <w:sz w:val="21"/>
          <w:szCs w:val="21"/>
        </w:rPr>
        <w:t>Décrire les risques et impacts sur la base de la typologie développée au Chapitre 5</w:t>
      </w:r>
    </w:p>
    <w:p w14:paraId="4C0DEB82" w14:textId="77777777" w:rsidR="009021F1" w:rsidRDefault="009021F1" w:rsidP="009021F1">
      <w:pPr>
        <w:ind w:left="567"/>
        <w:rPr>
          <w:rFonts w:cs="Arial"/>
          <w:b/>
          <w:bCs/>
          <w:szCs w:val="21"/>
        </w:rPr>
      </w:pPr>
    </w:p>
    <w:p w14:paraId="4D10A947" w14:textId="77777777" w:rsidR="009021F1" w:rsidRPr="00A07A37" w:rsidRDefault="009021F1" w:rsidP="009021F1">
      <w:pPr>
        <w:ind w:left="567"/>
        <w:rPr>
          <w:rFonts w:cs="Arial"/>
          <w:b/>
          <w:bCs/>
          <w:szCs w:val="21"/>
        </w:rPr>
      </w:pPr>
      <w:r w:rsidRPr="00A07A37">
        <w:rPr>
          <w:rFonts w:cs="Arial"/>
          <w:b/>
          <w:bCs/>
          <w:szCs w:val="21"/>
        </w:rPr>
        <w:t>Mesures d'atténuation</w:t>
      </w:r>
    </w:p>
    <w:p w14:paraId="133AD479" w14:textId="77777777" w:rsidR="009021F1" w:rsidRPr="00A07A37" w:rsidRDefault="009021F1" w:rsidP="009021F1">
      <w:pPr>
        <w:pStyle w:val="TableauPuce1"/>
        <w:ind w:left="1135" w:right="57" w:hanging="284"/>
        <w:contextualSpacing/>
        <w:jc w:val="both"/>
        <w:rPr>
          <w:rFonts w:ascii="Arial" w:hAnsi="Arial" w:cs="Arial"/>
          <w:w w:val="105"/>
          <w:sz w:val="21"/>
          <w:szCs w:val="21"/>
        </w:rPr>
      </w:pPr>
      <w:r w:rsidRPr="00A07A37">
        <w:rPr>
          <w:rFonts w:ascii="Arial" w:hAnsi="Arial" w:cs="Arial"/>
          <w:w w:val="105"/>
          <w:sz w:val="21"/>
          <w:szCs w:val="21"/>
        </w:rPr>
        <w:t>Se référer aux exigences environnementales, sociales, sanitaires et sécuritaires (E3S) du Projet et les</w:t>
      </w:r>
      <w:r w:rsidRPr="00A07A37">
        <w:rPr>
          <w:rFonts w:ascii="Arial" w:hAnsi="Arial" w:cs="Arial"/>
          <w:b/>
          <w:bCs/>
          <w:w w:val="105"/>
          <w:sz w:val="21"/>
          <w:szCs w:val="21"/>
        </w:rPr>
        <w:t xml:space="preserve"> joindre au PGES</w:t>
      </w:r>
      <w:r w:rsidRPr="00A07A37">
        <w:rPr>
          <w:rFonts w:ascii="Arial" w:hAnsi="Arial" w:cs="Arial"/>
          <w:w w:val="105"/>
          <w:sz w:val="21"/>
          <w:szCs w:val="21"/>
        </w:rPr>
        <w:t>.  Mettre en évidence les exigences E3S auxquelles l’entreprise devra accorder la plus grande attention.  Si nécessaire, "proportionner" les exigences E3S à la nature et à la portée du sous-projet, et au nombre de travailleurs impliqués. Par exemple, le Projet peut avoir besoin de spécifier pour les petits contrats le type d'EPI, ou le contenu des boîtes de premiers secours.  Au besoin, indiquer les exigences supplémentaires qui seront applicables à l’entreprise.</w:t>
      </w:r>
    </w:p>
    <w:p w14:paraId="52F5EAF7" w14:textId="77777777" w:rsidR="009021F1" w:rsidRPr="00A07A37" w:rsidRDefault="009021F1" w:rsidP="009021F1">
      <w:pPr>
        <w:pStyle w:val="TableauPuce1"/>
        <w:ind w:left="1135" w:right="57" w:hanging="284"/>
        <w:contextualSpacing/>
        <w:jc w:val="both"/>
        <w:rPr>
          <w:rFonts w:ascii="Arial" w:hAnsi="Arial" w:cs="Arial"/>
          <w:w w:val="105"/>
          <w:sz w:val="21"/>
          <w:szCs w:val="21"/>
        </w:rPr>
      </w:pPr>
      <w:r w:rsidRPr="00A07A37">
        <w:rPr>
          <w:rFonts w:ascii="Arial" w:hAnsi="Arial" w:cs="Arial"/>
          <w:w w:val="105"/>
          <w:sz w:val="21"/>
          <w:szCs w:val="21"/>
        </w:rPr>
        <w:t xml:space="preserve">Indiquer les mesures de gestion de la main d’œuvre spécifiques au sous-projet qui découleraient du </w:t>
      </w:r>
      <w:r w:rsidRPr="00A07A37">
        <w:rPr>
          <w:rFonts w:ascii="Arial" w:hAnsi="Arial" w:cs="Arial"/>
          <w:b/>
          <w:bCs/>
          <w:w w:val="105"/>
          <w:sz w:val="21"/>
          <w:szCs w:val="21"/>
        </w:rPr>
        <w:t>Plan de gestion de la main d’œuvre (PGMO)</w:t>
      </w:r>
      <w:r w:rsidRPr="00A07A37">
        <w:rPr>
          <w:rFonts w:ascii="Arial" w:hAnsi="Arial" w:cs="Arial"/>
          <w:w w:val="105"/>
          <w:sz w:val="21"/>
          <w:szCs w:val="21"/>
        </w:rPr>
        <w:t xml:space="preserve"> du Projet</w:t>
      </w:r>
    </w:p>
    <w:p w14:paraId="3F43EABC" w14:textId="77777777" w:rsidR="009021F1" w:rsidRPr="00A07A37" w:rsidRDefault="009021F1" w:rsidP="009021F1">
      <w:pPr>
        <w:pStyle w:val="TableauPuce1"/>
        <w:ind w:left="1135" w:right="57" w:hanging="284"/>
        <w:contextualSpacing/>
        <w:jc w:val="both"/>
        <w:rPr>
          <w:rFonts w:ascii="Arial" w:hAnsi="Arial" w:cs="Arial"/>
          <w:w w:val="105"/>
          <w:sz w:val="21"/>
          <w:szCs w:val="21"/>
        </w:rPr>
      </w:pPr>
      <w:r w:rsidRPr="00A07A37">
        <w:rPr>
          <w:rFonts w:ascii="Arial" w:hAnsi="Arial" w:cs="Arial"/>
          <w:w w:val="105"/>
          <w:sz w:val="21"/>
          <w:szCs w:val="21"/>
        </w:rPr>
        <w:t xml:space="preserve">Indiquer les mesures de prévention et de lutte contre la violence basée sur le genre spécifique au sous-projet qui découleraient du </w:t>
      </w:r>
      <w:r w:rsidRPr="00A07A37">
        <w:rPr>
          <w:rFonts w:ascii="Arial" w:hAnsi="Arial" w:cs="Arial"/>
          <w:b/>
          <w:bCs/>
          <w:w w:val="105"/>
          <w:sz w:val="21"/>
          <w:szCs w:val="21"/>
        </w:rPr>
        <w:t>Plan d’action de prévention et de réponse à l’exploitation, aux abus, et au harcèlement sexuel</w:t>
      </w:r>
    </w:p>
    <w:p w14:paraId="2B910271" w14:textId="77777777" w:rsidR="009021F1" w:rsidRPr="00A07A37" w:rsidRDefault="009021F1" w:rsidP="009021F1">
      <w:pPr>
        <w:pStyle w:val="TableauPuce1"/>
        <w:ind w:left="1135" w:right="57" w:hanging="284"/>
        <w:contextualSpacing/>
        <w:jc w:val="both"/>
        <w:rPr>
          <w:rFonts w:ascii="Arial" w:hAnsi="Arial" w:cs="Arial"/>
          <w:w w:val="105"/>
          <w:sz w:val="21"/>
          <w:szCs w:val="21"/>
        </w:rPr>
      </w:pPr>
      <w:r w:rsidRPr="00A07A37">
        <w:rPr>
          <w:rFonts w:ascii="Arial" w:hAnsi="Arial" w:cs="Arial"/>
          <w:w w:val="105"/>
          <w:sz w:val="21"/>
          <w:szCs w:val="21"/>
        </w:rPr>
        <w:t xml:space="preserve">Indiquer les mesures d’engagement des parties prenantes spécifiques au sous-projet qui découleraient du </w:t>
      </w:r>
      <w:r w:rsidRPr="00A07A37">
        <w:rPr>
          <w:rFonts w:ascii="Arial" w:hAnsi="Arial" w:cs="Arial"/>
          <w:b/>
          <w:bCs/>
          <w:w w:val="105"/>
          <w:sz w:val="21"/>
          <w:szCs w:val="21"/>
        </w:rPr>
        <w:t>Plan de mobilisation des parties prenantes (PMPP)</w:t>
      </w:r>
      <w:r w:rsidRPr="00A07A37">
        <w:rPr>
          <w:rFonts w:ascii="Arial" w:hAnsi="Arial" w:cs="Arial"/>
          <w:w w:val="105"/>
          <w:sz w:val="21"/>
          <w:szCs w:val="21"/>
        </w:rPr>
        <w:t xml:space="preserve"> du Projet, y compris comment le mécanisme de gestion des plaintes sera mis en œuvre pour le sous-projet</w:t>
      </w:r>
    </w:p>
    <w:p w14:paraId="75178236" w14:textId="77777777" w:rsidR="009021F1" w:rsidRPr="00A07A37" w:rsidRDefault="009021F1" w:rsidP="009021F1">
      <w:pPr>
        <w:pStyle w:val="TableauPuce1"/>
        <w:ind w:left="1135" w:right="57" w:hanging="284"/>
        <w:contextualSpacing/>
        <w:jc w:val="both"/>
        <w:rPr>
          <w:rFonts w:ascii="Arial" w:hAnsi="Arial" w:cs="Arial"/>
          <w:w w:val="105"/>
          <w:sz w:val="21"/>
          <w:szCs w:val="21"/>
        </w:rPr>
      </w:pPr>
      <w:r w:rsidRPr="00A07A37">
        <w:rPr>
          <w:rFonts w:ascii="Arial" w:hAnsi="Arial" w:cs="Arial"/>
          <w:w w:val="105"/>
          <w:sz w:val="21"/>
          <w:szCs w:val="21"/>
        </w:rPr>
        <w:t>Indiquer toute mesure d'atténuation que la Projet et ses partenaires techniques mettront directement en œuvre pour atténuer les risques et impacts environnementaux et sociaux qui ne sont pas associés à l’entreprise, y compris l’assistance technique.</w:t>
      </w:r>
    </w:p>
    <w:p w14:paraId="21EB57AB" w14:textId="77777777" w:rsidR="009021F1" w:rsidRPr="00A07A37" w:rsidRDefault="009021F1" w:rsidP="009021F1">
      <w:pPr>
        <w:pStyle w:val="TableauPuce1"/>
        <w:ind w:left="1135" w:right="57" w:hanging="284"/>
        <w:contextualSpacing/>
        <w:jc w:val="both"/>
        <w:rPr>
          <w:rFonts w:ascii="Arial" w:hAnsi="Arial" w:cs="Arial"/>
          <w:w w:val="105"/>
          <w:sz w:val="21"/>
          <w:szCs w:val="21"/>
        </w:rPr>
      </w:pPr>
      <w:r w:rsidRPr="00A07A37">
        <w:rPr>
          <w:rFonts w:ascii="Arial" w:hAnsi="Arial" w:cs="Arial"/>
          <w:w w:val="105"/>
          <w:sz w:val="21"/>
          <w:szCs w:val="21"/>
        </w:rPr>
        <w:t>Fournir un plan de suivi succinct spécifique au sous-projet, qui indique les paramètres qui seront contrôlés, comment ils le seront, qui les contrôlera et à quelle fréquence ils le seront.</w:t>
      </w:r>
    </w:p>
    <w:p w14:paraId="5C8EECF2" w14:textId="77777777" w:rsidR="009021F1" w:rsidRPr="00A07A37" w:rsidRDefault="009021F1" w:rsidP="009021F1">
      <w:pPr>
        <w:pStyle w:val="TableauPuce1"/>
        <w:ind w:left="1135" w:right="57" w:hanging="284"/>
        <w:contextualSpacing/>
        <w:jc w:val="both"/>
        <w:rPr>
          <w:rFonts w:ascii="Arial" w:hAnsi="Arial" w:cs="Arial"/>
          <w:w w:val="105"/>
          <w:sz w:val="21"/>
          <w:szCs w:val="21"/>
        </w:rPr>
      </w:pPr>
      <w:r w:rsidRPr="00A07A37">
        <w:rPr>
          <w:rFonts w:ascii="Arial" w:hAnsi="Arial" w:cs="Arial"/>
          <w:w w:val="105"/>
          <w:sz w:val="21"/>
          <w:szCs w:val="21"/>
        </w:rPr>
        <w:t>Détailler toute formation que le Projet dispensera à l’entreprise et à ses employés.</w:t>
      </w:r>
    </w:p>
    <w:p w14:paraId="7224F819" w14:textId="77777777" w:rsidR="009021F1" w:rsidRDefault="009021F1" w:rsidP="009021F1">
      <w:pPr>
        <w:keepNext/>
        <w:keepLines/>
        <w:ind w:left="567"/>
        <w:rPr>
          <w:rFonts w:cs="Arial"/>
          <w:b/>
          <w:bCs/>
          <w:szCs w:val="21"/>
        </w:rPr>
      </w:pPr>
    </w:p>
    <w:p w14:paraId="0F4EBE69" w14:textId="77777777" w:rsidR="009021F1" w:rsidRPr="00A07A37" w:rsidRDefault="009021F1" w:rsidP="009021F1">
      <w:pPr>
        <w:keepNext/>
        <w:keepLines/>
        <w:ind w:left="567"/>
        <w:rPr>
          <w:rFonts w:cs="Arial"/>
          <w:b/>
          <w:bCs/>
          <w:szCs w:val="21"/>
        </w:rPr>
      </w:pPr>
      <w:r w:rsidRPr="00A07A37">
        <w:rPr>
          <w:rFonts w:cs="Arial"/>
          <w:b/>
          <w:bCs/>
          <w:szCs w:val="21"/>
        </w:rPr>
        <w:t>Consultations</w:t>
      </w:r>
    </w:p>
    <w:p w14:paraId="5AEB8833" w14:textId="77777777" w:rsidR="009021F1" w:rsidRPr="00A07A37" w:rsidRDefault="009021F1" w:rsidP="009021F1">
      <w:pPr>
        <w:pStyle w:val="TableauPuce1"/>
        <w:ind w:left="1135" w:right="57" w:hanging="284"/>
        <w:contextualSpacing/>
        <w:jc w:val="both"/>
        <w:rPr>
          <w:rFonts w:ascii="Arial" w:hAnsi="Arial" w:cs="Arial"/>
          <w:w w:val="105"/>
          <w:sz w:val="21"/>
          <w:szCs w:val="21"/>
        </w:rPr>
      </w:pPr>
      <w:r w:rsidRPr="00A07A37">
        <w:rPr>
          <w:rFonts w:ascii="Arial" w:hAnsi="Arial" w:cs="Arial"/>
          <w:w w:val="105"/>
          <w:sz w:val="21"/>
          <w:szCs w:val="21"/>
        </w:rPr>
        <w:t>Documenter toutes les consultations avec les parties prenantes susceptibles d'être touchées par le sous-projet (date, lieu, liste des participants, thèmes abordés, conclusions).  Les consultations doivent inclure les personnes qui pourraient être affectées négativement, et pas seulement les bénéficiaires ou les parties intéressées et concernées.</w:t>
      </w:r>
    </w:p>
    <w:p w14:paraId="18D5065D" w14:textId="77777777" w:rsidR="009021F1" w:rsidRPr="00A07A37" w:rsidRDefault="009021F1" w:rsidP="009021F1">
      <w:pPr>
        <w:pStyle w:val="TableauPuce1"/>
        <w:ind w:left="1135" w:right="57" w:hanging="284"/>
        <w:contextualSpacing/>
        <w:jc w:val="both"/>
        <w:rPr>
          <w:rFonts w:ascii="Arial" w:hAnsi="Arial" w:cs="Arial"/>
          <w:w w:val="105"/>
          <w:sz w:val="21"/>
          <w:szCs w:val="21"/>
        </w:rPr>
      </w:pPr>
      <w:r w:rsidRPr="00A07A37">
        <w:rPr>
          <w:rFonts w:ascii="Arial" w:hAnsi="Arial" w:cs="Arial"/>
          <w:w w:val="105"/>
          <w:sz w:val="21"/>
          <w:szCs w:val="21"/>
        </w:rPr>
        <w:t>Joindre des photos des consultations.</w:t>
      </w:r>
    </w:p>
    <w:p w14:paraId="3F61DE99" w14:textId="77777777" w:rsidR="009021F1" w:rsidRPr="00A07A37" w:rsidRDefault="009021F1" w:rsidP="009021F1">
      <w:pPr>
        <w:pStyle w:val="TableauPuce1"/>
        <w:ind w:left="1135" w:right="57" w:hanging="284"/>
        <w:contextualSpacing/>
        <w:jc w:val="both"/>
        <w:rPr>
          <w:rFonts w:ascii="Arial" w:hAnsi="Arial" w:cs="Arial"/>
          <w:w w:val="105"/>
          <w:sz w:val="21"/>
          <w:szCs w:val="21"/>
        </w:rPr>
      </w:pPr>
      <w:r w:rsidRPr="00A07A37">
        <w:rPr>
          <w:rFonts w:ascii="Arial" w:hAnsi="Arial" w:cs="Arial"/>
          <w:w w:val="105"/>
          <w:sz w:val="21"/>
          <w:szCs w:val="21"/>
        </w:rPr>
        <w:t>Détailler le mécanisme de gestion des plaintes spécifique au sous-projet.</w:t>
      </w:r>
    </w:p>
    <w:p w14:paraId="28A571FE" w14:textId="77777777" w:rsidR="009021F1" w:rsidRDefault="009021F1" w:rsidP="009021F1">
      <w:pPr>
        <w:ind w:left="567"/>
        <w:rPr>
          <w:rFonts w:cs="Arial"/>
          <w:b/>
          <w:bCs/>
          <w:szCs w:val="21"/>
        </w:rPr>
      </w:pPr>
    </w:p>
    <w:p w14:paraId="6E12F204" w14:textId="77777777" w:rsidR="009021F1" w:rsidRPr="00A07A37" w:rsidRDefault="009021F1" w:rsidP="009021F1">
      <w:pPr>
        <w:ind w:left="567"/>
        <w:rPr>
          <w:rFonts w:cs="Arial"/>
          <w:b/>
          <w:bCs/>
          <w:szCs w:val="21"/>
        </w:rPr>
      </w:pPr>
      <w:r w:rsidRPr="00A07A37">
        <w:rPr>
          <w:rFonts w:cs="Arial"/>
          <w:b/>
          <w:bCs/>
          <w:szCs w:val="21"/>
        </w:rPr>
        <w:t>Budget</w:t>
      </w:r>
    </w:p>
    <w:p w14:paraId="67DB6E00" w14:textId="77777777" w:rsidR="009021F1" w:rsidRPr="00A07A37" w:rsidRDefault="009021F1" w:rsidP="009021F1">
      <w:pPr>
        <w:pStyle w:val="TableauPuce1"/>
        <w:ind w:left="1135" w:right="57" w:hanging="284"/>
        <w:contextualSpacing/>
        <w:jc w:val="both"/>
        <w:rPr>
          <w:rFonts w:ascii="Arial" w:hAnsi="Arial" w:cs="Arial"/>
          <w:w w:val="105"/>
          <w:sz w:val="21"/>
          <w:szCs w:val="21"/>
        </w:rPr>
      </w:pPr>
      <w:r w:rsidRPr="00A07A37">
        <w:rPr>
          <w:rFonts w:ascii="Arial" w:hAnsi="Arial" w:cs="Arial"/>
          <w:w w:val="105"/>
          <w:sz w:val="21"/>
          <w:szCs w:val="21"/>
        </w:rPr>
        <w:t>Fournir un budget pour les mesures d'atténuation à la charge de la CMOP ou de ses partenaires techniques.  Le coût pour les entreprises du respect des exigences E3S sera inclus dans leurs contrats respectifs.</w:t>
      </w:r>
    </w:p>
    <w:p w14:paraId="6817DB3A" w14:textId="77777777" w:rsidR="009021F1" w:rsidRDefault="009021F1" w:rsidP="009021F1">
      <w:pPr>
        <w:keepNext/>
        <w:keepLines/>
        <w:numPr>
          <w:ilvl w:val="1"/>
          <w:numId w:val="0"/>
        </w:numPr>
        <w:ind w:left="578" w:hanging="578"/>
        <w:outlineLvl w:val="1"/>
        <w:rPr>
          <w:rFonts w:cs="Arial"/>
          <w:b/>
          <w:bCs/>
          <w:szCs w:val="21"/>
        </w:rPr>
      </w:pPr>
    </w:p>
    <w:p w14:paraId="7642291E" w14:textId="77777777" w:rsidR="009021F1" w:rsidRDefault="009021F1" w:rsidP="009021F1">
      <w:pPr>
        <w:keepNext/>
        <w:keepLines/>
        <w:numPr>
          <w:ilvl w:val="1"/>
          <w:numId w:val="0"/>
        </w:numPr>
        <w:ind w:left="578" w:hanging="578"/>
        <w:outlineLvl w:val="1"/>
        <w:rPr>
          <w:rFonts w:cs="Arial"/>
          <w:b/>
          <w:bCs/>
          <w:szCs w:val="21"/>
        </w:rPr>
      </w:pPr>
    </w:p>
    <w:p w14:paraId="63305710" w14:textId="77777777" w:rsidR="009021F1" w:rsidRDefault="009021F1" w:rsidP="009021F1">
      <w:pPr>
        <w:spacing w:line="240" w:lineRule="auto"/>
        <w:jc w:val="left"/>
        <w:rPr>
          <w:rFonts w:cs="Arial"/>
          <w:b/>
          <w:bCs/>
          <w:szCs w:val="21"/>
        </w:rPr>
      </w:pPr>
      <w:r>
        <w:rPr>
          <w:rFonts w:cs="Arial"/>
          <w:b/>
          <w:bCs/>
          <w:szCs w:val="21"/>
        </w:rPr>
        <w:br w:type="page"/>
      </w:r>
    </w:p>
    <w:p w14:paraId="5088E1B2" w14:textId="77777777" w:rsidR="009021F1" w:rsidRPr="00A07A37" w:rsidRDefault="009021F1" w:rsidP="009021F1">
      <w:pPr>
        <w:keepNext/>
        <w:keepLines/>
        <w:numPr>
          <w:ilvl w:val="1"/>
          <w:numId w:val="0"/>
        </w:numPr>
        <w:ind w:left="578" w:hanging="578"/>
        <w:outlineLvl w:val="1"/>
        <w:rPr>
          <w:rFonts w:cs="Arial"/>
          <w:b/>
          <w:bCs/>
          <w:szCs w:val="21"/>
        </w:rPr>
      </w:pPr>
      <w:bookmarkStart w:id="499" w:name="_Toc90471605"/>
      <w:r>
        <w:rPr>
          <w:rFonts w:cs="Arial"/>
          <w:b/>
          <w:bCs/>
          <w:szCs w:val="21"/>
        </w:rPr>
        <w:t xml:space="preserve">ANNEXE 15. </w:t>
      </w:r>
      <w:r w:rsidRPr="00A07A37">
        <w:rPr>
          <w:rFonts w:cs="Arial"/>
          <w:b/>
          <w:bCs/>
          <w:szCs w:val="21"/>
        </w:rPr>
        <w:t>CONTRACTUALISATION</w:t>
      </w:r>
      <w:bookmarkEnd w:id="499"/>
    </w:p>
    <w:p w14:paraId="2E473E2F" w14:textId="77777777" w:rsidR="009021F1" w:rsidRDefault="009021F1" w:rsidP="009021F1">
      <w:pPr>
        <w:tabs>
          <w:tab w:val="left" w:pos="454"/>
        </w:tabs>
        <w:rPr>
          <w:rFonts w:cs="Arial"/>
          <w:szCs w:val="21"/>
        </w:rPr>
      </w:pPr>
    </w:p>
    <w:p w14:paraId="7E2966B7" w14:textId="77777777" w:rsidR="009021F1" w:rsidRDefault="009021F1" w:rsidP="009021F1">
      <w:pPr>
        <w:tabs>
          <w:tab w:val="left" w:pos="454"/>
        </w:tabs>
        <w:rPr>
          <w:rFonts w:cs="Arial"/>
          <w:szCs w:val="21"/>
        </w:rPr>
      </w:pPr>
      <w:r w:rsidRPr="00A07A37">
        <w:rPr>
          <w:rFonts w:cs="Arial"/>
          <w:szCs w:val="21"/>
        </w:rPr>
        <w:t>Le Projet prendra les mesures suivantes afin d’assurer que les obligations des entreprises soient contractualisées :</w:t>
      </w:r>
    </w:p>
    <w:p w14:paraId="15566BED" w14:textId="77777777" w:rsidR="009021F1" w:rsidRPr="00A07A37" w:rsidRDefault="009021F1" w:rsidP="009021F1">
      <w:pPr>
        <w:tabs>
          <w:tab w:val="left" w:pos="454"/>
        </w:tabs>
        <w:rPr>
          <w:rFonts w:cs="Arial"/>
          <w:szCs w:val="21"/>
        </w:rPr>
      </w:pPr>
    </w:p>
    <w:p w14:paraId="2F7716E0" w14:textId="77777777" w:rsidR="009021F1" w:rsidRPr="00A07A37" w:rsidRDefault="009021F1" w:rsidP="009021F1">
      <w:pPr>
        <w:pStyle w:val="TableauPuce1"/>
        <w:ind w:left="340" w:right="57"/>
        <w:contextualSpacing/>
        <w:jc w:val="both"/>
        <w:rPr>
          <w:rFonts w:ascii="Arial" w:hAnsi="Arial" w:cs="Arial"/>
          <w:sz w:val="21"/>
          <w:szCs w:val="21"/>
        </w:rPr>
      </w:pPr>
      <w:r w:rsidRPr="00A07A37">
        <w:rPr>
          <w:rFonts w:ascii="Arial" w:hAnsi="Arial" w:cs="Arial"/>
          <w:sz w:val="21"/>
          <w:szCs w:val="21"/>
        </w:rPr>
        <w:t>Les exigences E3S seront jointes aux appels à propositions (DAO) pour les travaux</w:t>
      </w:r>
    </w:p>
    <w:p w14:paraId="06B55690" w14:textId="77777777" w:rsidR="009021F1" w:rsidRPr="00A07A37" w:rsidRDefault="009021F1" w:rsidP="009021F1">
      <w:pPr>
        <w:pStyle w:val="TableauPuce1"/>
        <w:ind w:left="340" w:right="57"/>
        <w:contextualSpacing/>
        <w:jc w:val="both"/>
        <w:rPr>
          <w:rFonts w:ascii="Arial" w:hAnsi="Arial" w:cs="Arial"/>
          <w:sz w:val="21"/>
          <w:szCs w:val="21"/>
        </w:rPr>
      </w:pPr>
      <w:r w:rsidRPr="00A07A37">
        <w:rPr>
          <w:rFonts w:ascii="Arial" w:hAnsi="Arial" w:cs="Arial"/>
          <w:sz w:val="21"/>
          <w:szCs w:val="21"/>
        </w:rPr>
        <w:t>Les soumissionnaires soumettront un plan environnemental et social préliminaire dans le cadre de leurs offres, décrivant les principes et la méthodologie qu'ils utiliseront pour traiter les exigences E3S dans le cadre du contrat, et incluront tous les coûts associés à la gestion des questions environnementales et sociales dans leurs offres.</w:t>
      </w:r>
    </w:p>
    <w:p w14:paraId="75C674DA" w14:textId="77777777" w:rsidR="009021F1" w:rsidRPr="00A07A37" w:rsidRDefault="009021F1" w:rsidP="009021F1">
      <w:pPr>
        <w:pStyle w:val="TableauPuce1"/>
        <w:ind w:left="340" w:right="57"/>
        <w:contextualSpacing/>
        <w:jc w:val="both"/>
        <w:rPr>
          <w:rFonts w:ascii="Arial" w:hAnsi="Arial" w:cs="Arial"/>
          <w:sz w:val="21"/>
          <w:szCs w:val="21"/>
        </w:rPr>
      </w:pPr>
      <w:r w:rsidRPr="00A07A37">
        <w:rPr>
          <w:rFonts w:ascii="Arial" w:hAnsi="Arial" w:cs="Arial"/>
          <w:sz w:val="21"/>
          <w:szCs w:val="21"/>
        </w:rPr>
        <w:t>La qualité du plan environnemental et social préliminaire, les performances environnementales et sociales passées des soumissionnaires, ainsi que leur capacité à gérer les questions environnementales et sociales, seront prises en compte lors de la sélection des entreprises.</w:t>
      </w:r>
    </w:p>
    <w:p w14:paraId="597DC548" w14:textId="77777777" w:rsidR="009021F1" w:rsidRPr="00A07A37" w:rsidRDefault="009021F1" w:rsidP="009021F1">
      <w:pPr>
        <w:pStyle w:val="TableauPuce1"/>
        <w:ind w:left="340" w:right="57"/>
        <w:contextualSpacing/>
        <w:jc w:val="both"/>
        <w:rPr>
          <w:rFonts w:ascii="Arial" w:hAnsi="Arial" w:cs="Arial"/>
          <w:sz w:val="21"/>
          <w:szCs w:val="21"/>
        </w:rPr>
      </w:pPr>
      <w:r w:rsidRPr="00A07A37">
        <w:rPr>
          <w:rFonts w:ascii="Arial" w:hAnsi="Arial" w:cs="Arial"/>
          <w:sz w:val="21"/>
          <w:szCs w:val="21"/>
        </w:rPr>
        <w:t>Les entreprises sélectionnées prépareront un Plan de Gestion Environnementale et Sociale qui leur est spécifique (PGES-Entreprise), détaillant la manière dont les exigences E3S seront mises en œuvre, y compris le personnel requis.</w:t>
      </w:r>
    </w:p>
    <w:p w14:paraId="49063F2F" w14:textId="77777777" w:rsidR="009021F1" w:rsidRPr="00A07A37" w:rsidRDefault="009021F1" w:rsidP="009021F1">
      <w:pPr>
        <w:pStyle w:val="TableauPuce1"/>
        <w:ind w:left="340" w:right="57"/>
        <w:contextualSpacing/>
        <w:jc w:val="both"/>
        <w:rPr>
          <w:rFonts w:ascii="Arial" w:hAnsi="Arial" w:cs="Arial"/>
          <w:sz w:val="21"/>
          <w:szCs w:val="21"/>
        </w:rPr>
      </w:pPr>
      <w:r w:rsidRPr="00A07A37">
        <w:rPr>
          <w:rFonts w:ascii="Arial" w:hAnsi="Arial" w:cs="Arial"/>
          <w:sz w:val="21"/>
          <w:szCs w:val="21"/>
        </w:rPr>
        <w:t>La CMOP devra approuver le PGES de chaque entreprise avant que celle-ci puisse démarrer ses activités.</w:t>
      </w:r>
    </w:p>
    <w:p w14:paraId="0FB2DAB9" w14:textId="77777777" w:rsidR="009021F1" w:rsidRDefault="009021F1" w:rsidP="009021F1">
      <w:pPr>
        <w:spacing w:line="259" w:lineRule="auto"/>
        <w:rPr>
          <w:rFonts w:cs="Arial"/>
          <w:szCs w:val="21"/>
        </w:rPr>
      </w:pPr>
    </w:p>
    <w:p w14:paraId="5B7DAD38" w14:textId="77777777" w:rsidR="009021F1" w:rsidRPr="00A07A37" w:rsidRDefault="009021F1" w:rsidP="009021F1">
      <w:pPr>
        <w:spacing w:line="259" w:lineRule="auto"/>
        <w:rPr>
          <w:rFonts w:cs="Arial"/>
          <w:snapToGrid w:val="0"/>
          <w:szCs w:val="21"/>
        </w:rPr>
      </w:pPr>
      <w:r w:rsidRPr="00A07A37">
        <w:rPr>
          <w:rFonts w:cs="Arial"/>
          <w:szCs w:val="21"/>
        </w:rPr>
        <w:t xml:space="preserve">Le PGES préparé par chaque entreprise servira de référence lors du suivi et de l’évaluation de sa performance environnementale et sociale. </w:t>
      </w:r>
    </w:p>
    <w:p w14:paraId="7F6B1827" w14:textId="77777777" w:rsidR="009021F1" w:rsidRDefault="009021F1" w:rsidP="009021F1">
      <w:pPr>
        <w:rPr>
          <w:rFonts w:cs="Arial"/>
          <w:b/>
          <w:sz w:val="22"/>
        </w:rPr>
      </w:pPr>
    </w:p>
    <w:p w14:paraId="4A8A9611" w14:textId="77777777" w:rsidR="009021F1" w:rsidRDefault="009021F1" w:rsidP="009021F1">
      <w:pPr>
        <w:spacing w:after="160" w:line="259" w:lineRule="auto"/>
        <w:jc w:val="left"/>
        <w:rPr>
          <w:rFonts w:cs="Arial"/>
          <w:b/>
          <w:sz w:val="22"/>
        </w:rPr>
      </w:pPr>
      <w:r>
        <w:rPr>
          <w:rFonts w:cs="Arial"/>
          <w:b/>
          <w:sz w:val="22"/>
        </w:rPr>
        <w:br w:type="page"/>
      </w:r>
    </w:p>
    <w:p w14:paraId="41ABD46E" w14:textId="77777777" w:rsidR="009021F1" w:rsidRDefault="009021F1" w:rsidP="009021F1">
      <w:pPr>
        <w:spacing w:line="240" w:lineRule="auto"/>
        <w:jc w:val="left"/>
        <w:rPr>
          <w:rFonts w:cs="Arial"/>
          <w:b/>
          <w:sz w:val="22"/>
        </w:rPr>
      </w:pPr>
    </w:p>
    <w:p w14:paraId="78015A06" w14:textId="77777777" w:rsidR="009021F1" w:rsidRDefault="009021F1" w:rsidP="009021F1">
      <w:pPr>
        <w:rPr>
          <w:rFonts w:cs="Arial"/>
          <w:b/>
          <w:sz w:val="22"/>
        </w:rPr>
      </w:pPr>
    </w:p>
    <w:p w14:paraId="66E77EC1" w14:textId="77777777" w:rsidR="009021F1" w:rsidRDefault="009021F1" w:rsidP="009021F1">
      <w:pPr>
        <w:rPr>
          <w:rFonts w:cs="Arial"/>
          <w:b/>
          <w:sz w:val="22"/>
        </w:rPr>
      </w:pPr>
    </w:p>
    <w:p w14:paraId="01DDD7A5" w14:textId="77777777" w:rsidR="009021F1" w:rsidRPr="00871A3A" w:rsidRDefault="009021F1" w:rsidP="009021F1">
      <w:pPr>
        <w:rPr>
          <w:rFonts w:cs="Arial"/>
          <w:b/>
          <w:sz w:val="22"/>
        </w:rPr>
      </w:pPr>
      <w:r w:rsidRPr="00871A3A">
        <w:rPr>
          <w:rFonts w:cs="Arial"/>
          <w:b/>
          <w:sz w:val="22"/>
        </w:rPr>
        <w:t xml:space="preserve">ANNEXE 1. FORMULAIRE DE SÉLECTION ENVIRONNEMENTALE ET SOCIALE </w:t>
      </w:r>
    </w:p>
    <w:p w14:paraId="36A67BD5" w14:textId="77777777" w:rsidR="009021F1" w:rsidRPr="007E3D1A" w:rsidRDefault="009021F1" w:rsidP="009021F1">
      <w:pPr>
        <w:rPr>
          <w:rFonts w:cs="Arial"/>
          <w:sz w:val="22"/>
        </w:rPr>
      </w:pPr>
    </w:p>
    <w:p w14:paraId="2BE95846" w14:textId="77777777" w:rsidR="009021F1" w:rsidRPr="007E3D1A" w:rsidRDefault="009021F1" w:rsidP="009021F1">
      <w:pPr>
        <w:rPr>
          <w:rFonts w:cs="Arial"/>
          <w:sz w:val="22"/>
        </w:rPr>
      </w:pPr>
      <w:r w:rsidRPr="007E3D1A">
        <w:rPr>
          <w:rFonts w:cs="Arial"/>
          <w:sz w:val="22"/>
        </w:rPr>
        <w:t>Classification des risques environnementaux et sociaux des sous-projets du PNDA</w:t>
      </w:r>
    </w:p>
    <w:p w14:paraId="31EC4142" w14:textId="77777777" w:rsidR="009021F1" w:rsidRPr="007E3D1A" w:rsidRDefault="009021F1" w:rsidP="009021F1">
      <w:pPr>
        <w:rPr>
          <w:rFonts w:cs="Arial"/>
          <w:sz w:val="22"/>
        </w:rPr>
      </w:pPr>
    </w:p>
    <w:p w14:paraId="4F9053EC" w14:textId="77777777" w:rsidR="009021F1" w:rsidRPr="007E3D1A" w:rsidRDefault="009021F1" w:rsidP="009021F1">
      <w:pPr>
        <w:rPr>
          <w:rFonts w:cs="Arial"/>
          <w:sz w:val="22"/>
        </w:rPr>
      </w:pPr>
      <w:r w:rsidRPr="007E3D1A">
        <w:rPr>
          <w:rFonts w:cs="Arial"/>
          <w:sz w:val="22"/>
        </w:rPr>
        <w:t xml:space="preserve">La classification des sous-projets du PNDA se fera conformément aux directives du nouveau Cadre environnemental et social (CES) de la Banque mondiale, qui permet de classer tous les sous-projets (y compris ceux faisant intervenir des intermédiaires financiers) selon le niveau de risque environnemental et social dans l’une des quatre catégories suivantes : Risque élevé, risque substantiel, risque modéré ou risque faible. </w:t>
      </w:r>
    </w:p>
    <w:p w14:paraId="6EF0617E" w14:textId="77777777" w:rsidR="009021F1" w:rsidRPr="007E3D1A" w:rsidRDefault="009021F1" w:rsidP="009021F1">
      <w:pPr>
        <w:rPr>
          <w:rFonts w:cs="Arial"/>
          <w:sz w:val="22"/>
        </w:rPr>
      </w:pPr>
    </w:p>
    <w:p w14:paraId="16D91A09" w14:textId="77777777" w:rsidR="009021F1" w:rsidRPr="007E3D1A" w:rsidRDefault="009021F1" w:rsidP="009021F1">
      <w:pPr>
        <w:rPr>
          <w:rFonts w:cs="Arial"/>
          <w:sz w:val="22"/>
        </w:rPr>
      </w:pPr>
      <w:r w:rsidRPr="007E3D1A">
        <w:rPr>
          <w:rFonts w:cs="Arial"/>
          <w:sz w:val="22"/>
        </w:rPr>
        <w:t xml:space="preserve">L’équipe de mise en œuvre du projet entreprendront cette sélection environnementale et sociale des sous-projet dans le but d’évaluer les risques et effets environnementaux et sociaux, et proposer ainsi les mesures de mitigations qui s’imposent, proportionnées aux risques et effets potentiels, y compris la définition du document de sauvegardes environnementale et Sociale à préparer.  </w:t>
      </w:r>
    </w:p>
    <w:p w14:paraId="21C8771B" w14:textId="77777777" w:rsidR="009021F1" w:rsidRPr="007E3D1A" w:rsidRDefault="009021F1" w:rsidP="009021F1">
      <w:pPr>
        <w:rPr>
          <w:rFonts w:cs="Arial"/>
          <w:sz w:val="22"/>
        </w:rPr>
      </w:pPr>
    </w:p>
    <w:p w14:paraId="228E0440" w14:textId="77777777" w:rsidR="009021F1" w:rsidRPr="007E3D1A" w:rsidRDefault="009021F1" w:rsidP="009021F1">
      <w:pPr>
        <w:rPr>
          <w:rFonts w:cs="Arial"/>
          <w:sz w:val="22"/>
        </w:rPr>
      </w:pPr>
      <w:r w:rsidRPr="007E3D1A">
        <w:rPr>
          <w:rFonts w:cs="Arial"/>
          <w:sz w:val="22"/>
        </w:rPr>
        <w:t>Le présent formulaire de sélection se fait en tenant compte de la nature, la localisation, la sensibilité et l’envergure du sous-projet pour aider dans la classification du niveau de risque environnemental et social. Le formulaire a été conçu afin que les risques et impacts environnementaux et sociaux, ainsi que les mesures d’atténuation y relatives, s’il y en a, soient identifiés et/ou que les exigences en vue d’une analyse environnementale et sociale plus poussée soient déterminées.</w:t>
      </w:r>
    </w:p>
    <w:p w14:paraId="3D45E2FE" w14:textId="77777777" w:rsidR="009021F1" w:rsidRPr="007E3D1A" w:rsidRDefault="009021F1" w:rsidP="009021F1">
      <w:pPr>
        <w:rPr>
          <w:rFonts w:cs="Arial"/>
          <w:sz w:val="22"/>
        </w:rPr>
      </w:pPr>
    </w:p>
    <w:tbl>
      <w:tblPr>
        <w:tblW w:w="9525" w:type="dxa"/>
        <w:tblInd w:w="97" w:type="dxa"/>
        <w:tblLayout w:type="fixed"/>
        <w:tblCellMar>
          <w:left w:w="0" w:type="dxa"/>
          <w:right w:w="0" w:type="dxa"/>
        </w:tblCellMar>
        <w:tblLook w:val="01E0" w:firstRow="1" w:lastRow="1" w:firstColumn="1" w:lastColumn="1" w:noHBand="0" w:noVBand="0"/>
      </w:tblPr>
      <w:tblGrid>
        <w:gridCol w:w="468"/>
        <w:gridCol w:w="6841"/>
        <w:gridCol w:w="2216"/>
      </w:tblGrid>
      <w:tr w:rsidR="009021F1" w:rsidRPr="007E3D1A" w14:paraId="5B4CD1FE" w14:textId="77777777" w:rsidTr="00E637E3">
        <w:trPr>
          <w:trHeight w:hRule="exact" w:val="264"/>
        </w:trPr>
        <w:tc>
          <w:tcPr>
            <w:tcW w:w="9525" w:type="dxa"/>
            <w:gridSpan w:val="3"/>
            <w:tcBorders>
              <w:top w:val="single" w:sz="4" w:space="0" w:color="000000"/>
              <w:left w:val="single" w:sz="4" w:space="0" w:color="000000"/>
              <w:bottom w:val="single" w:sz="4" w:space="0" w:color="000000"/>
              <w:right w:val="single" w:sz="4" w:space="0" w:color="000000"/>
            </w:tcBorders>
          </w:tcPr>
          <w:p w14:paraId="3D21F8A6" w14:textId="77777777" w:rsidR="009021F1" w:rsidRPr="007E3D1A" w:rsidRDefault="009021F1" w:rsidP="00E637E3">
            <w:pPr>
              <w:rPr>
                <w:rFonts w:cs="Arial"/>
                <w:sz w:val="22"/>
              </w:rPr>
            </w:pPr>
            <w:r w:rsidRPr="007E3D1A">
              <w:rPr>
                <w:rFonts w:cs="Arial"/>
                <w:sz w:val="22"/>
              </w:rPr>
              <w:t>Formulaire de sélection (screening) environnementale et sociale</w:t>
            </w:r>
          </w:p>
        </w:tc>
      </w:tr>
      <w:tr w:rsidR="009021F1" w:rsidRPr="007E3D1A" w14:paraId="5477132A" w14:textId="77777777" w:rsidTr="00E637E3">
        <w:trPr>
          <w:trHeight w:hRule="exact" w:val="262"/>
        </w:trPr>
        <w:tc>
          <w:tcPr>
            <w:tcW w:w="468" w:type="dxa"/>
            <w:tcBorders>
              <w:top w:val="single" w:sz="4" w:space="0" w:color="000000"/>
              <w:left w:val="single" w:sz="4" w:space="0" w:color="000000"/>
              <w:bottom w:val="single" w:sz="4" w:space="0" w:color="000000"/>
              <w:right w:val="single" w:sz="4" w:space="0" w:color="000000"/>
            </w:tcBorders>
          </w:tcPr>
          <w:p w14:paraId="2D20E760" w14:textId="77777777" w:rsidR="009021F1" w:rsidRPr="007E3D1A" w:rsidRDefault="009021F1" w:rsidP="00E637E3">
            <w:pPr>
              <w:rPr>
                <w:rFonts w:cs="Arial"/>
                <w:sz w:val="22"/>
              </w:rPr>
            </w:pPr>
            <w:r w:rsidRPr="007E3D1A">
              <w:rPr>
                <w:rFonts w:cs="Arial"/>
                <w:sz w:val="22"/>
              </w:rPr>
              <w:t>1</w:t>
            </w:r>
          </w:p>
        </w:tc>
        <w:tc>
          <w:tcPr>
            <w:tcW w:w="6841" w:type="dxa"/>
            <w:tcBorders>
              <w:top w:val="single" w:sz="4" w:space="0" w:color="000000"/>
              <w:left w:val="single" w:sz="4" w:space="0" w:color="000000"/>
              <w:bottom w:val="single" w:sz="4" w:space="0" w:color="000000"/>
              <w:right w:val="single" w:sz="4" w:space="0" w:color="000000"/>
            </w:tcBorders>
          </w:tcPr>
          <w:p w14:paraId="62590924" w14:textId="77777777" w:rsidR="009021F1" w:rsidRPr="007E3D1A" w:rsidRDefault="009021F1" w:rsidP="00E637E3">
            <w:pPr>
              <w:rPr>
                <w:rFonts w:cs="Arial"/>
                <w:sz w:val="22"/>
              </w:rPr>
            </w:pPr>
            <w:r w:rsidRPr="007E3D1A">
              <w:rPr>
                <w:rFonts w:cs="Arial"/>
                <w:sz w:val="22"/>
              </w:rPr>
              <w:t>Nom de la localité, quartier et commune où l’activité sera réalisée</w:t>
            </w:r>
          </w:p>
        </w:tc>
        <w:tc>
          <w:tcPr>
            <w:tcW w:w="2216" w:type="dxa"/>
            <w:tcBorders>
              <w:top w:val="single" w:sz="4" w:space="0" w:color="000000"/>
              <w:left w:val="single" w:sz="4" w:space="0" w:color="000000"/>
              <w:bottom w:val="single" w:sz="4" w:space="0" w:color="000000"/>
              <w:right w:val="single" w:sz="4" w:space="0" w:color="000000"/>
            </w:tcBorders>
          </w:tcPr>
          <w:p w14:paraId="0CC09DEC" w14:textId="77777777" w:rsidR="009021F1" w:rsidRPr="007E3D1A" w:rsidRDefault="009021F1" w:rsidP="00E637E3">
            <w:pPr>
              <w:rPr>
                <w:rFonts w:cs="Arial"/>
                <w:sz w:val="22"/>
              </w:rPr>
            </w:pPr>
          </w:p>
        </w:tc>
      </w:tr>
      <w:tr w:rsidR="009021F1" w:rsidRPr="007E3D1A" w14:paraId="03D039F9" w14:textId="77777777" w:rsidTr="00E637E3">
        <w:trPr>
          <w:trHeight w:hRule="exact" w:val="262"/>
        </w:trPr>
        <w:tc>
          <w:tcPr>
            <w:tcW w:w="468" w:type="dxa"/>
            <w:tcBorders>
              <w:top w:val="single" w:sz="4" w:space="0" w:color="000000"/>
              <w:left w:val="single" w:sz="4" w:space="0" w:color="000000"/>
              <w:bottom w:val="single" w:sz="4" w:space="0" w:color="000000"/>
              <w:right w:val="single" w:sz="4" w:space="0" w:color="000000"/>
            </w:tcBorders>
          </w:tcPr>
          <w:p w14:paraId="77272771" w14:textId="77777777" w:rsidR="009021F1" w:rsidRPr="007E3D1A" w:rsidRDefault="009021F1" w:rsidP="00E637E3">
            <w:pPr>
              <w:rPr>
                <w:rFonts w:cs="Arial"/>
                <w:sz w:val="22"/>
              </w:rPr>
            </w:pPr>
            <w:r w:rsidRPr="007E3D1A">
              <w:rPr>
                <w:rFonts w:cs="Arial"/>
                <w:sz w:val="22"/>
              </w:rPr>
              <w:t>2</w:t>
            </w:r>
          </w:p>
        </w:tc>
        <w:tc>
          <w:tcPr>
            <w:tcW w:w="6841" w:type="dxa"/>
            <w:tcBorders>
              <w:top w:val="single" w:sz="4" w:space="0" w:color="000000"/>
              <w:left w:val="single" w:sz="4" w:space="0" w:color="000000"/>
              <w:bottom w:val="single" w:sz="4" w:space="0" w:color="000000"/>
              <w:right w:val="single" w:sz="4" w:space="0" w:color="000000"/>
            </w:tcBorders>
          </w:tcPr>
          <w:p w14:paraId="34211D8D" w14:textId="77777777" w:rsidR="009021F1" w:rsidRPr="007E3D1A" w:rsidRDefault="009021F1" w:rsidP="00E637E3">
            <w:pPr>
              <w:rPr>
                <w:rFonts w:cs="Arial"/>
                <w:sz w:val="22"/>
              </w:rPr>
            </w:pPr>
            <w:r w:rsidRPr="007E3D1A">
              <w:rPr>
                <w:rFonts w:cs="Arial"/>
                <w:sz w:val="22"/>
              </w:rPr>
              <w:t>Nom de l’Agence d’Exécution du sous-projet</w:t>
            </w:r>
          </w:p>
        </w:tc>
        <w:tc>
          <w:tcPr>
            <w:tcW w:w="2216" w:type="dxa"/>
            <w:tcBorders>
              <w:top w:val="single" w:sz="4" w:space="0" w:color="000000"/>
              <w:left w:val="single" w:sz="4" w:space="0" w:color="000000"/>
              <w:bottom w:val="single" w:sz="4" w:space="0" w:color="000000"/>
              <w:right w:val="single" w:sz="4" w:space="0" w:color="000000"/>
            </w:tcBorders>
          </w:tcPr>
          <w:p w14:paraId="75777BAB" w14:textId="77777777" w:rsidR="009021F1" w:rsidRPr="007E3D1A" w:rsidRDefault="009021F1" w:rsidP="00E637E3">
            <w:pPr>
              <w:rPr>
                <w:rFonts w:cs="Arial"/>
                <w:sz w:val="22"/>
              </w:rPr>
            </w:pPr>
          </w:p>
        </w:tc>
      </w:tr>
      <w:tr w:rsidR="009021F1" w:rsidRPr="007E3D1A" w14:paraId="0EB852B4" w14:textId="77777777" w:rsidTr="00E637E3">
        <w:trPr>
          <w:trHeight w:val="323"/>
        </w:trPr>
        <w:tc>
          <w:tcPr>
            <w:tcW w:w="468" w:type="dxa"/>
            <w:vMerge w:val="restart"/>
            <w:tcBorders>
              <w:top w:val="single" w:sz="4" w:space="0" w:color="000000"/>
              <w:left w:val="single" w:sz="4" w:space="0" w:color="000000"/>
              <w:right w:val="single" w:sz="4" w:space="0" w:color="000000"/>
            </w:tcBorders>
          </w:tcPr>
          <w:p w14:paraId="664CB9D4" w14:textId="77777777" w:rsidR="009021F1" w:rsidRPr="007E3D1A" w:rsidRDefault="009021F1" w:rsidP="00E637E3">
            <w:pPr>
              <w:rPr>
                <w:rFonts w:cs="Arial"/>
                <w:sz w:val="22"/>
              </w:rPr>
            </w:pPr>
            <w:r w:rsidRPr="007E3D1A">
              <w:rPr>
                <w:rFonts w:cs="Arial"/>
                <w:sz w:val="22"/>
              </w:rPr>
              <w:t>3</w:t>
            </w:r>
          </w:p>
        </w:tc>
        <w:tc>
          <w:tcPr>
            <w:tcW w:w="6841" w:type="dxa"/>
            <w:vMerge w:val="restart"/>
            <w:tcBorders>
              <w:top w:val="single" w:sz="4" w:space="0" w:color="000000"/>
              <w:left w:val="single" w:sz="4" w:space="0" w:color="000000"/>
              <w:right w:val="single" w:sz="4" w:space="0" w:color="000000"/>
            </w:tcBorders>
          </w:tcPr>
          <w:p w14:paraId="2881F8F2" w14:textId="77777777" w:rsidR="009021F1" w:rsidRPr="007E3D1A" w:rsidRDefault="009021F1" w:rsidP="00E637E3">
            <w:pPr>
              <w:rPr>
                <w:rFonts w:cs="Arial"/>
                <w:sz w:val="22"/>
              </w:rPr>
            </w:pPr>
            <w:r w:rsidRPr="007E3D1A">
              <w:rPr>
                <w:rFonts w:cs="Arial"/>
                <w:sz w:val="22"/>
              </w:rPr>
              <w:t>Nom, titre, et informations sur la personne chargée de remplir le présent formulaire.</w:t>
            </w:r>
          </w:p>
        </w:tc>
        <w:tc>
          <w:tcPr>
            <w:tcW w:w="2216" w:type="dxa"/>
            <w:tcBorders>
              <w:top w:val="single" w:sz="4" w:space="0" w:color="000000"/>
              <w:left w:val="single" w:sz="4" w:space="0" w:color="000000"/>
              <w:bottom w:val="single" w:sz="4" w:space="0" w:color="000000"/>
              <w:right w:val="single" w:sz="4" w:space="0" w:color="000000"/>
            </w:tcBorders>
          </w:tcPr>
          <w:p w14:paraId="1D382A37" w14:textId="77777777" w:rsidR="009021F1" w:rsidRPr="007E3D1A" w:rsidRDefault="009021F1" w:rsidP="00E637E3">
            <w:pPr>
              <w:rPr>
                <w:rFonts w:cs="Arial"/>
                <w:sz w:val="22"/>
              </w:rPr>
            </w:pPr>
            <w:r w:rsidRPr="007E3D1A">
              <w:rPr>
                <w:rFonts w:cs="Arial"/>
                <w:sz w:val="22"/>
              </w:rPr>
              <w:t>Nom et titre</w:t>
            </w:r>
          </w:p>
        </w:tc>
      </w:tr>
      <w:tr w:rsidR="009021F1" w:rsidRPr="007E3D1A" w14:paraId="2E893517" w14:textId="77777777" w:rsidTr="00E637E3">
        <w:trPr>
          <w:trHeight w:hRule="exact" w:val="305"/>
        </w:trPr>
        <w:tc>
          <w:tcPr>
            <w:tcW w:w="468" w:type="dxa"/>
            <w:vMerge/>
            <w:tcBorders>
              <w:left w:val="single" w:sz="4" w:space="0" w:color="000000"/>
              <w:bottom w:val="single" w:sz="4" w:space="0" w:color="000000"/>
              <w:right w:val="single" w:sz="4" w:space="0" w:color="000000"/>
            </w:tcBorders>
          </w:tcPr>
          <w:p w14:paraId="50498B3F" w14:textId="77777777" w:rsidR="009021F1" w:rsidRPr="007E3D1A" w:rsidDel="00B93A45" w:rsidRDefault="009021F1" w:rsidP="00E637E3">
            <w:pPr>
              <w:rPr>
                <w:rFonts w:cs="Arial"/>
                <w:sz w:val="22"/>
              </w:rPr>
            </w:pPr>
          </w:p>
        </w:tc>
        <w:tc>
          <w:tcPr>
            <w:tcW w:w="6841" w:type="dxa"/>
            <w:vMerge/>
            <w:tcBorders>
              <w:left w:val="single" w:sz="4" w:space="0" w:color="000000"/>
              <w:bottom w:val="single" w:sz="4" w:space="0" w:color="000000"/>
              <w:right w:val="single" w:sz="4" w:space="0" w:color="000000"/>
            </w:tcBorders>
          </w:tcPr>
          <w:p w14:paraId="306FD125" w14:textId="77777777" w:rsidR="009021F1" w:rsidRPr="007E3D1A" w:rsidRDefault="009021F1" w:rsidP="00E637E3">
            <w:pPr>
              <w:rPr>
                <w:rFonts w:cs="Arial"/>
                <w:sz w:val="22"/>
              </w:rPr>
            </w:pPr>
          </w:p>
        </w:tc>
        <w:tc>
          <w:tcPr>
            <w:tcW w:w="2216" w:type="dxa"/>
            <w:tcBorders>
              <w:top w:val="single" w:sz="4" w:space="0" w:color="000000"/>
              <w:left w:val="single" w:sz="4" w:space="0" w:color="000000"/>
              <w:bottom w:val="single" w:sz="4" w:space="0" w:color="000000"/>
              <w:right w:val="single" w:sz="4" w:space="0" w:color="000000"/>
            </w:tcBorders>
          </w:tcPr>
          <w:p w14:paraId="4CB74970" w14:textId="77777777" w:rsidR="009021F1" w:rsidRPr="007E3D1A" w:rsidRDefault="009021F1" w:rsidP="00E637E3">
            <w:pPr>
              <w:rPr>
                <w:rFonts w:cs="Arial"/>
                <w:sz w:val="22"/>
              </w:rPr>
            </w:pPr>
            <w:r w:rsidRPr="007E3D1A">
              <w:rPr>
                <w:rFonts w:cs="Arial"/>
                <w:sz w:val="22"/>
              </w:rPr>
              <w:t>Date et signature</w:t>
            </w:r>
          </w:p>
        </w:tc>
      </w:tr>
      <w:tr w:rsidR="009021F1" w:rsidRPr="007E3D1A" w14:paraId="594D2AB3" w14:textId="77777777" w:rsidTr="00E637E3">
        <w:trPr>
          <w:trHeight w:val="170"/>
        </w:trPr>
        <w:tc>
          <w:tcPr>
            <w:tcW w:w="468" w:type="dxa"/>
            <w:vMerge w:val="restart"/>
            <w:tcBorders>
              <w:top w:val="single" w:sz="4" w:space="0" w:color="000000"/>
              <w:left w:val="single" w:sz="4" w:space="0" w:color="000000"/>
              <w:right w:val="single" w:sz="4" w:space="0" w:color="000000"/>
            </w:tcBorders>
          </w:tcPr>
          <w:p w14:paraId="60C6804E" w14:textId="77777777" w:rsidR="009021F1" w:rsidRPr="007E3D1A" w:rsidRDefault="009021F1" w:rsidP="00E637E3">
            <w:pPr>
              <w:rPr>
                <w:rFonts w:cs="Arial"/>
                <w:sz w:val="22"/>
              </w:rPr>
            </w:pPr>
            <w:r w:rsidRPr="007E3D1A">
              <w:rPr>
                <w:rFonts w:cs="Arial"/>
                <w:sz w:val="22"/>
              </w:rPr>
              <w:t>4</w:t>
            </w:r>
          </w:p>
        </w:tc>
        <w:tc>
          <w:tcPr>
            <w:tcW w:w="6841" w:type="dxa"/>
            <w:vMerge w:val="restart"/>
            <w:tcBorders>
              <w:top w:val="single" w:sz="4" w:space="0" w:color="000000"/>
              <w:left w:val="single" w:sz="4" w:space="0" w:color="000000"/>
              <w:right w:val="single" w:sz="4" w:space="0" w:color="000000"/>
            </w:tcBorders>
          </w:tcPr>
          <w:p w14:paraId="3A351F15" w14:textId="77777777" w:rsidR="009021F1" w:rsidRPr="007E3D1A" w:rsidRDefault="009021F1" w:rsidP="00E637E3">
            <w:pPr>
              <w:rPr>
                <w:rFonts w:cs="Arial"/>
                <w:sz w:val="22"/>
              </w:rPr>
            </w:pPr>
            <w:r w:rsidRPr="007E3D1A">
              <w:rPr>
                <w:rFonts w:cs="Arial"/>
                <w:sz w:val="22"/>
              </w:rPr>
              <w:t>Nom, fonction, et informations sur la personne chargée de valider le contenu du présent formulaire.</w:t>
            </w:r>
          </w:p>
        </w:tc>
        <w:tc>
          <w:tcPr>
            <w:tcW w:w="2216" w:type="dxa"/>
            <w:tcBorders>
              <w:top w:val="single" w:sz="4" w:space="0" w:color="000000"/>
              <w:left w:val="single" w:sz="4" w:space="0" w:color="000000"/>
              <w:bottom w:val="single" w:sz="4" w:space="0" w:color="000000"/>
              <w:right w:val="single" w:sz="4" w:space="0" w:color="000000"/>
            </w:tcBorders>
          </w:tcPr>
          <w:p w14:paraId="22F62DF1" w14:textId="77777777" w:rsidR="009021F1" w:rsidRPr="007E3D1A" w:rsidRDefault="009021F1" w:rsidP="00E637E3">
            <w:pPr>
              <w:rPr>
                <w:rFonts w:cs="Arial"/>
                <w:sz w:val="22"/>
              </w:rPr>
            </w:pPr>
            <w:r w:rsidRPr="007E3D1A">
              <w:rPr>
                <w:rFonts w:cs="Arial"/>
                <w:sz w:val="22"/>
              </w:rPr>
              <w:t>Nom et titre</w:t>
            </w:r>
          </w:p>
        </w:tc>
      </w:tr>
      <w:tr w:rsidR="009021F1" w:rsidRPr="007E3D1A" w14:paraId="19BB27EF" w14:textId="77777777" w:rsidTr="00E637E3">
        <w:trPr>
          <w:trHeight w:hRule="exact" w:val="427"/>
        </w:trPr>
        <w:tc>
          <w:tcPr>
            <w:tcW w:w="468" w:type="dxa"/>
            <w:vMerge/>
            <w:tcBorders>
              <w:left w:val="single" w:sz="4" w:space="0" w:color="000000"/>
              <w:bottom w:val="single" w:sz="4" w:space="0" w:color="000000"/>
              <w:right w:val="single" w:sz="4" w:space="0" w:color="000000"/>
            </w:tcBorders>
          </w:tcPr>
          <w:p w14:paraId="006BFF0E" w14:textId="77777777" w:rsidR="009021F1" w:rsidRPr="007E3D1A" w:rsidRDefault="009021F1" w:rsidP="00E637E3">
            <w:pPr>
              <w:rPr>
                <w:rFonts w:cs="Arial"/>
                <w:sz w:val="22"/>
              </w:rPr>
            </w:pPr>
          </w:p>
        </w:tc>
        <w:tc>
          <w:tcPr>
            <w:tcW w:w="6841" w:type="dxa"/>
            <w:vMerge/>
            <w:tcBorders>
              <w:left w:val="single" w:sz="4" w:space="0" w:color="000000"/>
              <w:bottom w:val="single" w:sz="4" w:space="0" w:color="000000"/>
              <w:right w:val="single" w:sz="4" w:space="0" w:color="000000"/>
            </w:tcBorders>
          </w:tcPr>
          <w:p w14:paraId="4A247063" w14:textId="77777777" w:rsidR="009021F1" w:rsidRPr="007E3D1A" w:rsidRDefault="009021F1" w:rsidP="00E637E3">
            <w:pPr>
              <w:rPr>
                <w:rFonts w:cs="Arial"/>
                <w:sz w:val="22"/>
              </w:rPr>
            </w:pPr>
          </w:p>
        </w:tc>
        <w:tc>
          <w:tcPr>
            <w:tcW w:w="2216" w:type="dxa"/>
            <w:tcBorders>
              <w:top w:val="single" w:sz="4" w:space="0" w:color="000000"/>
              <w:left w:val="single" w:sz="4" w:space="0" w:color="000000"/>
              <w:bottom w:val="single" w:sz="4" w:space="0" w:color="000000"/>
              <w:right w:val="single" w:sz="4" w:space="0" w:color="000000"/>
            </w:tcBorders>
          </w:tcPr>
          <w:p w14:paraId="72F8578F" w14:textId="77777777" w:rsidR="009021F1" w:rsidRPr="007E3D1A" w:rsidRDefault="009021F1" w:rsidP="00E637E3">
            <w:pPr>
              <w:rPr>
                <w:rFonts w:cs="Arial"/>
                <w:sz w:val="22"/>
              </w:rPr>
            </w:pPr>
            <w:r w:rsidRPr="007E3D1A">
              <w:rPr>
                <w:rFonts w:cs="Arial"/>
                <w:sz w:val="22"/>
              </w:rPr>
              <w:t>Date et signature</w:t>
            </w:r>
          </w:p>
          <w:p w14:paraId="3C440D33" w14:textId="77777777" w:rsidR="009021F1" w:rsidRPr="007E3D1A" w:rsidRDefault="009021F1" w:rsidP="00E637E3">
            <w:pPr>
              <w:rPr>
                <w:rFonts w:cs="Arial"/>
                <w:sz w:val="22"/>
              </w:rPr>
            </w:pPr>
          </w:p>
        </w:tc>
      </w:tr>
    </w:tbl>
    <w:p w14:paraId="3BF7BD76" w14:textId="77777777" w:rsidR="009021F1" w:rsidRPr="007E3D1A" w:rsidRDefault="009021F1" w:rsidP="009021F1">
      <w:pPr>
        <w:rPr>
          <w:rFonts w:cs="Arial"/>
          <w:sz w:val="22"/>
        </w:rPr>
      </w:pPr>
    </w:p>
    <w:p w14:paraId="2A2C3634" w14:textId="77777777" w:rsidR="009021F1" w:rsidRPr="007E3D1A" w:rsidRDefault="009021F1" w:rsidP="009021F1">
      <w:pPr>
        <w:rPr>
          <w:rFonts w:cs="Arial"/>
          <w:sz w:val="22"/>
        </w:rPr>
      </w:pPr>
    </w:p>
    <w:p w14:paraId="7D2836AA" w14:textId="77777777" w:rsidR="009021F1" w:rsidRPr="007E3D1A" w:rsidRDefault="009021F1" w:rsidP="009021F1">
      <w:pPr>
        <w:rPr>
          <w:rFonts w:cs="Arial"/>
          <w:sz w:val="22"/>
        </w:rPr>
      </w:pPr>
      <w:r w:rsidRPr="007E3D1A">
        <w:rPr>
          <w:rFonts w:cs="Arial"/>
          <w:sz w:val="22"/>
        </w:rPr>
        <w:t>Fournir les informations pertinentes sur la nature, la localisation, la sensibilité et l’envergure du projet (i) le sous-projet proposé (nature, localisation, superficie, terrain nécessaire, taille approximative de la surface totale à occuper) ; (ii) les actions nécessaires pendant la mise en œuvre des activités et l’exploitation du sous-projet.</w:t>
      </w:r>
    </w:p>
    <w:p w14:paraId="0AC6066E" w14:textId="77777777" w:rsidR="009021F1" w:rsidRPr="007E3D1A" w:rsidRDefault="009021F1" w:rsidP="009021F1">
      <w:pPr>
        <w:rPr>
          <w:rFonts w:cs="Arial"/>
          <w:sz w:val="22"/>
        </w:rPr>
      </w:pPr>
    </w:p>
    <w:p w14:paraId="69F16860" w14:textId="77777777" w:rsidR="009021F1" w:rsidRPr="007E3D1A" w:rsidRDefault="009021F1" w:rsidP="009021F1">
      <w:pPr>
        <w:rPr>
          <w:rFonts w:cs="Arial"/>
          <w:sz w:val="22"/>
        </w:rPr>
      </w:pPr>
      <w:r w:rsidRPr="007E3D1A">
        <w:rPr>
          <w:rFonts w:cs="Arial"/>
          <w:sz w:val="22"/>
        </w:rPr>
        <w:t>Principales caractéristiques environnementales et sociales du site du sous-projet</w:t>
      </w:r>
    </w:p>
    <w:p w14:paraId="6D3E107A" w14:textId="77777777" w:rsidR="009021F1" w:rsidRPr="007E3D1A" w:rsidRDefault="009021F1" w:rsidP="009021F1">
      <w:pPr>
        <w:rPr>
          <w:rFonts w:cs="Arial"/>
          <w:sz w:val="22"/>
        </w:rPr>
      </w:pPr>
    </w:p>
    <w:p w14:paraId="010AFDDA" w14:textId="77777777" w:rsidR="009021F1" w:rsidRPr="007E3D1A" w:rsidRDefault="009021F1" w:rsidP="009021F1">
      <w:pPr>
        <w:rPr>
          <w:rFonts w:cs="Arial"/>
          <w:sz w:val="22"/>
        </w:rPr>
      </w:pPr>
      <w:r w:rsidRPr="007E3D1A">
        <w:rPr>
          <w:rFonts w:cs="Arial"/>
          <w:sz w:val="22"/>
        </w:rPr>
        <w:t>Fournir les informations pertinentes sur les principales caractéristiques environnementales et sociales du site du sous-projet, en mettant un accent sur les éléments valorisés de l’environnement, les groupes vulnérables, etc.</w:t>
      </w:r>
    </w:p>
    <w:p w14:paraId="1DB94C78" w14:textId="77777777" w:rsidR="009021F1" w:rsidRPr="007E3D1A" w:rsidRDefault="009021F1" w:rsidP="009021F1">
      <w:pPr>
        <w:rPr>
          <w:rFonts w:cs="Arial"/>
          <w:sz w:val="22"/>
        </w:rPr>
      </w:pPr>
    </w:p>
    <w:p w14:paraId="68B75AE1" w14:textId="77777777" w:rsidR="009021F1" w:rsidRPr="007E3D1A" w:rsidRDefault="009021F1" w:rsidP="009021F1">
      <w:pPr>
        <w:rPr>
          <w:rFonts w:cs="Arial"/>
          <w:sz w:val="22"/>
        </w:rPr>
      </w:pPr>
    </w:p>
    <w:p w14:paraId="5D26536C" w14:textId="77777777" w:rsidR="009021F1" w:rsidRPr="007E3D1A" w:rsidRDefault="009021F1" w:rsidP="009021F1">
      <w:pPr>
        <w:rPr>
          <w:rFonts w:cs="Arial"/>
          <w:sz w:val="22"/>
        </w:rPr>
      </w:pPr>
      <w:r w:rsidRPr="007E3D1A">
        <w:rPr>
          <w:rFonts w:cs="Arial"/>
          <w:sz w:val="22"/>
        </w:rPr>
        <w:t>Identification des risques environnementaux et sociaux potentiels</w:t>
      </w:r>
    </w:p>
    <w:p w14:paraId="225B4B20" w14:textId="77777777" w:rsidR="009021F1" w:rsidRPr="007E3D1A" w:rsidRDefault="009021F1" w:rsidP="009021F1">
      <w:pPr>
        <w:rPr>
          <w:rFonts w:cs="Arial"/>
          <w:sz w:val="22"/>
        </w:rPr>
      </w:pPr>
    </w:p>
    <w:tbl>
      <w:tblPr>
        <w:tblW w:w="5455"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0"/>
        <w:gridCol w:w="3042"/>
        <w:gridCol w:w="1465"/>
        <w:gridCol w:w="1437"/>
        <w:gridCol w:w="830"/>
        <w:gridCol w:w="1520"/>
      </w:tblGrid>
      <w:tr w:rsidR="009021F1" w:rsidRPr="007E3D1A" w14:paraId="7E960D7B" w14:textId="77777777" w:rsidTr="00E637E3">
        <w:trPr>
          <w:trHeight w:val="228"/>
          <w:tblHeader/>
        </w:trPr>
        <w:tc>
          <w:tcPr>
            <w:tcW w:w="804" w:type="pct"/>
          </w:tcPr>
          <w:p w14:paraId="235DCBE4" w14:textId="77777777" w:rsidR="009021F1" w:rsidRPr="007E3D1A" w:rsidRDefault="009021F1" w:rsidP="00E637E3">
            <w:pPr>
              <w:jc w:val="center"/>
              <w:rPr>
                <w:rFonts w:cs="Arial"/>
                <w:sz w:val="22"/>
              </w:rPr>
            </w:pPr>
            <w:r w:rsidRPr="007E3D1A">
              <w:rPr>
                <w:rFonts w:cs="Arial"/>
                <w:sz w:val="22"/>
              </w:rPr>
              <w:t>Composantes</w:t>
            </w:r>
          </w:p>
          <w:p w14:paraId="6063A552" w14:textId="77777777" w:rsidR="009021F1" w:rsidRPr="007E3D1A" w:rsidRDefault="009021F1" w:rsidP="00E637E3">
            <w:pPr>
              <w:jc w:val="center"/>
              <w:rPr>
                <w:rFonts w:cs="Arial"/>
                <w:sz w:val="22"/>
              </w:rPr>
            </w:pPr>
            <w:r w:rsidRPr="007E3D1A">
              <w:rPr>
                <w:rFonts w:cs="Arial"/>
                <w:sz w:val="22"/>
              </w:rPr>
              <w:t>Environnementales et Sociales</w:t>
            </w:r>
          </w:p>
        </w:tc>
        <w:tc>
          <w:tcPr>
            <w:tcW w:w="1539" w:type="pct"/>
            <w:vAlign w:val="bottom"/>
          </w:tcPr>
          <w:p w14:paraId="69CA1D2B" w14:textId="77777777" w:rsidR="009021F1" w:rsidRPr="007E3D1A" w:rsidRDefault="009021F1" w:rsidP="00E637E3">
            <w:pPr>
              <w:jc w:val="center"/>
              <w:rPr>
                <w:rFonts w:cs="Arial"/>
                <w:sz w:val="22"/>
              </w:rPr>
            </w:pPr>
            <w:r w:rsidRPr="007E3D1A">
              <w:rPr>
                <w:rFonts w:cs="Arial"/>
                <w:sz w:val="22"/>
              </w:rPr>
              <w:t>Préoccupations environnementales et sociales</w:t>
            </w:r>
          </w:p>
          <w:p w14:paraId="09CDE76C" w14:textId="77777777" w:rsidR="009021F1" w:rsidRPr="007E3D1A" w:rsidRDefault="009021F1" w:rsidP="00E637E3">
            <w:pPr>
              <w:jc w:val="center"/>
              <w:rPr>
                <w:rFonts w:cs="Arial"/>
                <w:sz w:val="22"/>
              </w:rPr>
            </w:pPr>
          </w:p>
        </w:tc>
        <w:tc>
          <w:tcPr>
            <w:tcW w:w="741" w:type="pct"/>
            <w:vAlign w:val="bottom"/>
          </w:tcPr>
          <w:p w14:paraId="3B33C3D2" w14:textId="77777777" w:rsidR="009021F1" w:rsidRDefault="009021F1" w:rsidP="00E637E3">
            <w:pPr>
              <w:jc w:val="center"/>
              <w:rPr>
                <w:rFonts w:cs="Arial"/>
                <w:sz w:val="22"/>
              </w:rPr>
            </w:pPr>
            <w:r w:rsidRPr="007E3D1A">
              <w:rPr>
                <w:rFonts w:cs="Arial"/>
                <w:sz w:val="22"/>
              </w:rPr>
              <w:t>Phase des travaux</w:t>
            </w:r>
            <w:r w:rsidRPr="007E3D1A">
              <w:rPr>
                <w:rFonts w:cs="Arial"/>
                <w:sz w:val="22"/>
              </w:rPr>
              <w:footnoteReference w:id="43"/>
            </w:r>
          </w:p>
          <w:p w14:paraId="4BEC21DC" w14:textId="77777777" w:rsidR="009021F1" w:rsidRPr="007E3D1A" w:rsidRDefault="009021F1" w:rsidP="00E637E3">
            <w:pPr>
              <w:jc w:val="center"/>
              <w:rPr>
                <w:rFonts w:cs="Arial"/>
                <w:sz w:val="22"/>
              </w:rPr>
            </w:pPr>
          </w:p>
        </w:tc>
        <w:tc>
          <w:tcPr>
            <w:tcW w:w="727" w:type="pct"/>
            <w:vAlign w:val="bottom"/>
          </w:tcPr>
          <w:p w14:paraId="3CDBD535" w14:textId="77777777" w:rsidR="009021F1" w:rsidRDefault="009021F1" w:rsidP="00E637E3">
            <w:pPr>
              <w:jc w:val="center"/>
              <w:rPr>
                <w:rFonts w:cs="Arial"/>
                <w:sz w:val="22"/>
              </w:rPr>
            </w:pPr>
            <w:r w:rsidRPr="007E3D1A">
              <w:rPr>
                <w:rFonts w:cs="Arial"/>
                <w:sz w:val="22"/>
              </w:rPr>
              <w:t>Phase d’exploitation</w:t>
            </w:r>
            <w:r w:rsidRPr="007E3D1A">
              <w:rPr>
                <w:rFonts w:cs="Arial"/>
                <w:sz w:val="22"/>
              </w:rPr>
              <w:footnoteReference w:id="44"/>
            </w:r>
          </w:p>
          <w:p w14:paraId="588F1563" w14:textId="77777777" w:rsidR="009021F1" w:rsidRPr="007E3D1A" w:rsidRDefault="009021F1" w:rsidP="00E637E3">
            <w:pPr>
              <w:jc w:val="center"/>
              <w:rPr>
                <w:rFonts w:cs="Arial"/>
                <w:sz w:val="22"/>
              </w:rPr>
            </w:pPr>
          </w:p>
        </w:tc>
        <w:tc>
          <w:tcPr>
            <w:tcW w:w="420" w:type="pct"/>
          </w:tcPr>
          <w:p w14:paraId="04346D95" w14:textId="77777777" w:rsidR="009021F1" w:rsidRPr="007E3D1A" w:rsidRDefault="009021F1" w:rsidP="00E637E3">
            <w:pPr>
              <w:jc w:val="center"/>
              <w:rPr>
                <w:rFonts w:cs="Arial"/>
                <w:sz w:val="22"/>
              </w:rPr>
            </w:pPr>
            <w:r w:rsidRPr="007E3D1A">
              <w:rPr>
                <w:rFonts w:cs="Arial"/>
                <w:sz w:val="22"/>
              </w:rPr>
              <w:t>Résultat</w:t>
            </w:r>
            <w:r w:rsidRPr="007E3D1A">
              <w:rPr>
                <w:rFonts w:cs="Arial"/>
                <w:sz w:val="22"/>
              </w:rPr>
              <w:footnoteReference w:id="45"/>
            </w:r>
          </w:p>
          <w:p w14:paraId="6A5C8ED8" w14:textId="77777777" w:rsidR="009021F1" w:rsidRPr="007E3D1A" w:rsidRDefault="009021F1" w:rsidP="00E637E3">
            <w:pPr>
              <w:jc w:val="center"/>
              <w:rPr>
                <w:rFonts w:cs="Arial"/>
                <w:sz w:val="22"/>
              </w:rPr>
            </w:pPr>
          </w:p>
        </w:tc>
        <w:tc>
          <w:tcPr>
            <w:tcW w:w="769" w:type="pct"/>
          </w:tcPr>
          <w:p w14:paraId="7BE0EAA1" w14:textId="77777777" w:rsidR="009021F1" w:rsidRPr="007E3D1A" w:rsidRDefault="009021F1" w:rsidP="00E637E3">
            <w:pPr>
              <w:jc w:val="center"/>
              <w:rPr>
                <w:rFonts w:cs="Arial"/>
                <w:sz w:val="22"/>
              </w:rPr>
            </w:pPr>
            <w:r w:rsidRPr="007E3D1A">
              <w:rPr>
                <w:rFonts w:cs="Arial"/>
                <w:sz w:val="22"/>
              </w:rPr>
              <w:t>Commentaires</w:t>
            </w:r>
            <w:r w:rsidRPr="007E3D1A">
              <w:rPr>
                <w:rFonts w:cs="Arial"/>
                <w:sz w:val="22"/>
              </w:rPr>
              <w:footnoteReference w:id="46"/>
            </w:r>
          </w:p>
        </w:tc>
      </w:tr>
      <w:tr w:rsidR="009021F1" w:rsidRPr="007E3D1A" w14:paraId="076BD512" w14:textId="77777777" w:rsidTr="00E637E3">
        <w:trPr>
          <w:trHeight w:val="228"/>
        </w:trPr>
        <w:tc>
          <w:tcPr>
            <w:tcW w:w="804" w:type="pct"/>
          </w:tcPr>
          <w:p w14:paraId="5D903692" w14:textId="77777777" w:rsidR="009021F1" w:rsidRPr="007E3D1A" w:rsidRDefault="009021F1" w:rsidP="00E637E3">
            <w:pPr>
              <w:rPr>
                <w:rFonts w:cs="Arial"/>
                <w:sz w:val="22"/>
              </w:rPr>
            </w:pPr>
            <w:r w:rsidRPr="007E3D1A">
              <w:rPr>
                <w:rFonts w:cs="Arial"/>
                <w:sz w:val="22"/>
              </w:rPr>
              <w:t>Air</w:t>
            </w:r>
          </w:p>
        </w:tc>
        <w:tc>
          <w:tcPr>
            <w:tcW w:w="1539" w:type="pct"/>
            <w:vAlign w:val="bottom"/>
          </w:tcPr>
          <w:p w14:paraId="008A67DE" w14:textId="77777777" w:rsidR="009021F1" w:rsidRPr="007E3D1A" w:rsidRDefault="009021F1" w:rsidP="00E637E3">
            <w:pPr>
              <w:rPr>
                <w:rFonts w:cs="Arial"/>
                <w:sz w:val="22"/>
              </w:rPr>
            </w:pPr>
            <w:r w:rsidRPr="007E3D1A">
              <w:rPr>
                <w:rFonts w:cs="Arial"/>
                <w:sz w:val="22"/>
              </w:rPr>
              <w:t>L’activité risque-t-elle de causer une pollution de l’air et l’atmosphère (émission de particules, fumées, etc.) ?</w:t>
            </w:r>
          </w:p>
          <w:p w14:paraId="58BF678B" w14:textId="77777777" w:rsidR="009021F1" w:rsidRPr="007E3D1A" w:rsidRDefault="009021F1" w:rsidP="00E637E3">
            <w:pPr>
              <w:rPr>
                <w:rFonts w:cs="Arial"/>
                <w:sz w:val="22"/>
              </w:rPr>
            </w:pPr>
          </w:p>
        </w:tc>
        <w:tc>
          <w:tcPr>
            <w:tcW w:w="741" w:type="pct"/>
            <w:vAlign w:val="center"/>
          </w:tcPr>
          <w:p w14:paraId="41F42CAB" w14:textId="77777777" w:rsidR="009021F1" w:rsidRPr="007E3D1A" w:rsidRDefault="009021F1" w:rsidP="00E637E3">
            <w:pPr>
              <w:rPr>
                <w:rFonts w:cs="Arial"/>
                <w:sz w:val="22"/>
              </w:rPr>
            </w:pPr>
            <w:r w:rsidRPr="007E3D1A">
              <w:rPr>
                <w:rFonts w:cs="Arial"/>
                <w:sz w:val="22"/>
              </w:rPr>
              <w:t>Oui (majeur) = 2</w:t>
            </w:r>
          </w:p>
          <w:p w14:paraId="4F627403" w14:textId="77777777" w:rsidR="009021F1" w:rsidRPr="007E3D1A" w:rsidRDefault="009021F1" w:rsidP="00E637E3">
            <w:pPr>
              <w:rPr>
                <w:rFonts w:cs="Arial"/>
                <w:sz w:val="22"/>
              </w:rPr>
            </w:pPr>
            <w:r w:rsidRPr="007E3D1A">
              <w:rPr>
                <w:rFonts w:cs="Arial"/>
                <w:sz w:val="22"/>
              </w:rPr>
              <w:t>Oui (mineur) = 1</w:t>
            </w:r>
          </w:p>
          <w:p w14:paraId="0F097368" w14:textId="77777777" w:rsidR="009021F1" w:rsidRPr="007E3D1A" w:rsidRDefault="009021F1" w:rsidP="00E637E3">
            <w:pPr>
              <w:rPr>
                <w:rFonts w:cs="Arial"/>
                <w:sz w:val="22"/>
              </w:rPr>
            </w:pPr>
            <w:r w:rsidRPr="007E3D1A">
              <w:rPr>
                <w:rFonts w:cs="Arial"/>
                <w:sz w:val="22"/>
              </w:rPr>
              <w:t>Non = 0</w:t>
            </w:r>
          </w:p>
        </w:tc>
        <w:tc>
          <w:tcPr>
            <w:tcW w:w="727" w:type="pct"/>
            <w:vAlign w:val="center"/>
          </w:tcPr>
          <w:p w14:paraId="789D07DD" w14:textId="77777777" w:rsidR="009021F1" w:rsidRPr="007E3D1A" w:rsidRDefault="009021F1" w:rsidP="00E637E3">
            <w:pPr>
              <w:rPr>
                <w:rFonts w:cs="Arial"/>
                <w:sz w:val="22"/>
              </w:rPr>
            </w:pPr>
            <w:r w:rsidRPr="007E3D1A">
              <w:rPr>
                <w:rFonts w:cs="Arial"/>
                <w:sz w:val="22"/>
              </w:rPr>
              <w:t>Oui (majeur) = 2</w:t>
            </w:r>
          </w:p>
          <w:p w14:paraId="3B439422" w14:textId="77777777" w:rsidR="009021F1" w:rsidRPr="007E3D1A" w:rsidRDefault="009021F1" w:rsidP="00E637E3">
            <w:pPr>
              <w:rPr>
                <w:rFonts w:cs="Arial"/>
                <w:sz w:val="22"/>
              </w:rPr>
            </w:pPr>
            <w:r w:rsidRPr="007E3D1A">
              <w:rPr>
                <w:rFonts w:cs="Arial"/>
                <w:sz w:val="22"/>
              </w:rPr>
              <w:t>Oui (mineur) = 1</w:t>
            </w:r>
          </w:p>
          <w:p w14:paraId="2A96B717" w14:textId="77777777" w:rsidR="009021F1" w:rsidRPr="007E3D1A" w:rsidRDefault="009021F1" w:rsidP="00E637E3">
            <w:pPr>
              <w:rPr>
                <w:rFonts w:cs="Arial"/>
                <w:sz w:val="22"/>
              </w:rPr>
            </w:pPr>
            <w:r w:rsidRPr="007E3D1A">
              <w:rPr>
                <w:rFonts w:cs="Arial"/>
                <w:sz w:val="22"/>
              </w:rPr>
              <w:t>Non = 0</w:t>
            </w:r>
          </w:p>
        </w:tc>
        <w:tc>
          <w:tcPr>
            <w:tcW w:w="420" w:type="pct"/>
          </w:tcPr>
          <w:p w14:paraId="72FAC5EB" w14:textId="77777777" w:rsidR="009021F1" w:rsidRPr="007E3D1A" w:rsidRDefault="009021F1" w:rsidP="00E637E3">
            <w:pPr>
              <w:rPr>
                <w:rFonts w:cs="Arial"/>
                <w:sz w:val="22"/>
              </w:rPr>
            </w:pPr>
          </w:p>
        </w:tc>
        <w:tc>
          <w:tcPr>
            <w:tcW w:w="769" w:type="pct"/>
          </w:tcPr>
          <w:p w14:paraId="1987BD0A" w14:textId="77777777" w:rsidR="009021F1" w:rsidRPr="007E3D1A" w:rsidRDefault="009021F1" w:rsidP="00E637E3">
            <w:pPr>
              <w:rPr>
                <w:rFonts w:cs="Arial"/>
                <w:sz w:val="22"/>
              </w:rPr>
            </w:pPr>
          </w:p>
        </w:tc>
      </w:tr>
      <w:tr w:rsidR="009021F1" w:rsidRPr="007E3D1A" w14:paraId="10732051" w14:textId="77777777" w:rsidTr="00E637E3">
        <w:trPr>
          <w:cantSplit/>
          <w:trHeight w:val="228"/>
        </w:trPr>
        <w:tc>
          <w:tcPr>
            <w:tcW w:w="804" w:type="pct"/>
            <w:vMerge w:val="restart"/>
          </w:tcPr>
          <w:p w14:paraId="4ED9BC00" w14:textId="77777777" w:rsidR="009021F1" w:rsidRPr="007E3D1A" w:rsidRDefault="009021F1" w:rsidP="00E637E3">
            <w:pPr>
              <w:rPr>
                <w:rFonts w:cs="Arial"/>
                <w:sz w:val="22"/>
              </w:rPr>
            </w:pPr>
            <w:r w:rsidRPr="007E3D1A">
              <w:rPr>
                <w:rFonts w:cs="Arial"/>
                <w:sz w:val="22"/>
              </w:rPr>
              <w:t>Sols</w:t>
            </w:r>
          </w:p>
        </w:tc>
        <w:tc>
          <w:tcPr>
            <w:tcW w:w="1539" w:type="pct"/>
            <w:vAlign w:val="bottom"/>
          </w:tcPr>
          <w:p w14:paraId="120E2924" w14:textId="77777777" w:rsidR="009021F1" w:rsidRPr="007E3D1A" w:rsidRDefault="009021F1" w:rsidP="00E637E3">
            <w:pPr>
              <w:rPr>
                <w:rFonts w:cs="Arial"/>
                <w:sz w:val="22"/>
              </w:rPr>
            </w:pPr>
            <w:r w:rsidRPr="007E3D1A">
              <w:rPr>
                <w:rFonts w:cs="Arial"/>
                <w:sz w:val="22"/>
              </w:rPr>
              <w:t xml:space="preserve">L’activité risque-t-elle de causer une pollution des sols ? </w:t>
            </w:r>
          </w:p>
          <w:p w14:paraId="444CF516" w14:textId="77777777" w:rsidR="009021F1" w:rsidRPr="007E3D1A" w:rsidRDefault="009021F1" w:rsidP="00E637E3">
            <w:pPr>
              <w:rPr>
                <w:rFonts w:cs="Arial"/>
                <w:sz w:val="22"/>
              </w:rPr>
            </w:pPr>
          </w:p>
        </w:tc>
        <w:tc>
          <w:tcPr>
            <w:tcW w:w="741" w:type="pct"/>
            <w:vAlign w:val="center"/>
          </w:tcPr>
          <w:p w14:paraId="576330DF" w14:textId="77777777" w:rsidR="009021F1" w:rsidRPr="007E3D1A" w:rsidRDefault="009021F1" w:rsidP="00E637E3">
            <w:pPr>
              <w:rPr>
                <w:rFonts w:cs="Arial"/>
                <w:sz w:val="22"/>
              </w:rPr>
            </w:pPr>
            <w:r w:rsidRPr="007E3D1A">
              <w:rPr>
                <w:rFonts w:cs="Arial"/>
                <w:sz w:val="22"/>
              </w:rPr>
              <w:t>Oui (majeur) = 2</w:t>
            </w:r>
          </w:p>
          <w:p w14:paraId="1356B9B9" w14:textId="77777777" w:rsidR="009021F1" w:rsidRPr="007E3D1A" w:rsidRDefault="009021F1" w:rsidP="00E637E3">
            <w:pPr>
              <w:rPr>
                <w:rFonts w:cs="Arial"/>
                <w:sz w:val="22"/>
              </w:rPr>
            </w:pPr>
            <w:r w:rsidRPr="007E3D1A">
              <w:rPr>
                <w:rFonts w:cs="Arial"/>
                <w:sz w:val="22"/>
              </w:rPr>
              <w:t>Oui (mineur) = 1</w:t>
            </w:r>
          </w:p>
          <w:p w14:paraId="011FB877" w14:textId="77777777" w:rsidR="009021F1" w:rsidRPr="007E3D1A" w:rsidRDefault="009021F1" w:rsidP="00E637E3">
            <w:pPr>
              <w:rPr>
                <w:rFonts w:cs="Arial"/>
                <w:sz w:val="22"/>
              </w:rPr>
            </w:pPr>
            <w:r w:rsidRPr="007E3D1A">
              <w:rPr>
                <w:rFonts w:cs="Arial"/>
                <w:sz w:val="22"/>
              </w:rPr>
              <w:t>Non = 0</w:t>
            </w:r>
          </w:p>
        </w:tc>
        <w:tc>
          <w:tcPr>
            <w:tcW w:w="727" w:type="pct"/>
            <w:vAlign w:val="center"/>
          </w:tcPr>
          <w:p w14:paraId="38F460EF" w14:textId="77777777" w:rsidR="009021F1" w:rsidRPr="007E3D1A" w:rsidRDefault="009021F1" w:rsidP="00E637E3">
            <w:pPr>
              <w:rPr>
                <w:rFonts w:cs="Arial"/>
                <w:sz w:val="22"/>
              </w:rPr>
            </w:pPr>
            <w:r w:rsidRPr="007E3D1A">
              <w:rPr>
                <w:rFonts w:cs="Arial"/>
                <w:sz w:val="22"/>
              </w:rPr>
              <w:t>Oui (majeur) = 2</w:t>
            </w:r>
          </w:p>
          <w:p w14:paraId="1237710B" w14:textId="77777777" w:rsidR="009021F1" w:rsidRPr="007E3D1A" w:rsidRDefault="009021F1" w:rsidP="00E637E3">
            <w:pPr>
              <w:rPr>
                <w:rFonts w:cs="Arial"/>
                <w:sz w:val="22"/>
              </w:rPr>
            </w:pPr>
            <w:r w:rsidRPr="007E3D1A">
              <w:rPr>
                <w:rFonts w:cs="Arial"/>
                <w:sz w:val="22"/>
              </w:rPr>
              <w:t>Oui (mineur) = 1</w:t>
            </w:r>
          </w:p>
          <w:p w14:paraId="73F8651F" w14:textId="77777777" w:rsidR="009021F1" w:rsidRPr="007E3D1A" w:rsidRDefault="009021F1" w:rsidP="00E637E3">
            <w:pPr>
              <w:rPr>
                <w:rFonts w:cs="Arial"/>
                <w:sz w:val="22"/>
              </w:rPr>
            </w:pPr>
            <w:r w:rsidRPr="007E3D1A">
              <w:rPr>
                <w:rFonts w:cs="Arial"/>
                <w:sz w:val="22"/>
              </w:rPr>
              <w:t>Non = 0</w:t>
            </w:r>
          </w:p>
        </w:tc>
        <w:tc>
          <w:tcPr>
            <w:tcW w:w="420" w:type="pct"/>
          </w:tcPr>
          <w:p w14:paraId="1B4C43F6" w14:textId="77777777" w:rsidR="009021F1" w:rsidRPr="007E3D1A" w:rsidRDefault="009021F1" w:rsidP="00E637E3">
            <w:pPr>
              <w:rPr>
                <w:rFonts w:cs="Arial"/>
                <w:sz w:val="22"/>
              </w:rPr>
            </w:pPr>
          </w:p>
        </w:tc>
        <w:tc>
          <w:tcPr>
            <w:tcW w:w="769" w:type="pct"/>
          </w:tcPr>
          <w:p w14:paraId="57D7E4D8" w14:textId="77777777" w:rsidR="009021F1" w:rsidRPr="007E3D1A" w:rsidRDefault="009021F1" w:rsidP="00E637E3">
            <w:pPr>
              <w:rPr>
                <w:rFonts w:cs="Arial"/>
                <w:sz w:val="22"/>
              </w:rPr>
            </w:pPr>
          </w:p>
        </w:tc>
      </w:tr>
      <w:tr w:rsidR="009021F1" w:rsidRPr="007E3D1A" w14:paraId="16FF7DDC" w14:textId="77777777" w:rsidTr="00E637E3">
        <w:trPr>
          <w:cantSplit/>
          <w:trHeight w:val="228"/>
        </w:trPr>
        <w:tc>
          <w:tcPr>
            <w:tcW w:w="804" w:type="pct"/>
            <w:vMerge/>
          </w:tcPr>
          <w:p w14:paraId="2BAB81D8" w14:textId="77777777" w:rsidR="009021F1" w:rsidRPr="007E3D1A" w:rsidRDefault="009021F1" w:rsidP="00E637E3">
            <w:pPr>
              <w:rPr>
                <w:rFonts w:cs="Arial"/>
                <w:sz w:val="22"/>
              </w:rPr>
            </w:pPr>
          </w:p>
        </w:tc>
        <w:tc>
          <w:tcPr>
            <w:tcW w:w="1539" w:type="pct"/>
            <w:vAlign w:val="bottom"/>
          </w:tcPr>
          <w:p w14:paraId="6DA0FAB5" w14:textId="77777777" w:rsidR="009021F1" w:rsidRPr="007E3D1A" w:rsidRDefault="009021F1" w:rsidP="00E637E3">
            <w:pPr>
              <w:rPr>
                <w:rFonts w:cs="Arial"/>
                <w:sz w:val="22"/>
              </w:rPr>
            </w:pPr>
            <w:r w:rsidRPr="007E3D1A">
              <w:rPr>
                <w:rFonts w:cs="Arial"/>
                <w:sz w:val="22"/>
              </w:rPr>
              <w:t>L’activité risque-t-elle de causer la dégradation des sols (érosion, ravinement, compactage, etc.) ?</w:t>
            </w:r>
          </w:p>
          <w:p w14:paraId="53BED748" w14:textId="77777777" w:rsidR="009021F1" w:rsidRPr="007E3D1A" w:rsidRDefault="009021F1" w:rsidP="00E637E3">
            <w:pPr>
              <w:rPr>
                <w:rFonts w:cs="Arial"/>
                <w:sz w:val="22"/>
              </w:rPr>
            </w:pPr>
          </w:p>
        </w:tc>
        <w:tc>
          <w:tcPr>
            <w:tcW w:w="741" w:type="pct"/>
            <w:vAlign w:val="center"/>
          </w:tcPr>
          <w:p w14:paraId="5B55C3CA" w14:textId="77777777" w:rsidR="009021F1" w:rsidRPr="007E3D1A" w:rsidRDefault="009021F1" w:rsidP="00E637E3">
            <w:pPr>
              <w:rPr>
                <w:rFonts w:cs="Arial"/>
                <w:sz w:val="22"/>
              </w:rPr>
            </w:pPr>
            <w:r w:rsidRPr="007E3D1A">
              <w:rPr>
                <w:rFonts w:cs="Arial"/>
                <w:sz w:val="22"/>
              </w:rPr>
              <w:t>Oui (majeur) = 2</w:t>
            </w:r>
          </w:p>
          <w:p w14:paraId="04450609" w14:textId="77777777" w:rsidR="009021F1" w:rsidRPr="007E3D1A" w:rsidRDefault="009021F1" w:rsidP="00E637E3">
            <w:pPr>
              <w:rPr>
                <w:rFonts w:cs="Arial"/>
                <w:sz w:val="22"/>
              </w:rPr>
            </w:pPr>
            <w:r w:rsidRPr="007E3D1A">
              <w:rPr>
                <w:rFonts w:cs="Arial"/>
                <w:sz w:val="22"/>
              </w:rPr>
              <w:t>Oui (mineur) = 1</w:t>
            </w:r>
          </w:p>
          <w:p w14:paraId="67053F17" w14:textId="77777777" w:rsidR="009021F1" w:rsidRPr="007E3D1A" w:rsidRDefault="009021F1" w:rsidP="00E637E3">
            <w:pPr>
              <w:rPr>
                <w:rFonts w:cs="Arial"/>
                <w:sz w:val="22"/>
              </w:rPr>
            </w:pPr>
            <w:r w:rsidRPr="007E3D1A">
              <w:rPr>
                <w:rFonts w:cs="Arial"/>
                <w:sz w:val="22"/>
              </w:rPr>
              <w:t>Non = 0</w:t>
            </w:r>
          </w:p>
        </w:tc>
        <w:tc>
          <w:tcPr>
            <w:tcW w:w="727" w:type="pct"/>
            <w:vAlign w:val="center"/>
          </w:tcPr>
          <w:p w14:paraId="4F523B8F" w14:textId="77777777" w:rsidR="009021F1" w:rsidRPr="007E3D1A" w:rsidRDefault="009021F1" w:rsidP="00E637E3">
            <w:pPr>
              <w:rPr>
                <w:rFonts w:cs="Arial"/>
                <w:sz w:val="22"/>
              </w:rPr>
            </w:pPr>
            <w:r w:rsidRPr="007E3D1A">
              <w:rPr>
                <w:rFonts w:cs="Arial"/>
                <w:sz w:val="22"/>
              </w:rPr>
              <w:t>Oui (majeur) = 2</w:t>
            </w:r>
          </w:p>
          <w:p w14:paraId="20C3AD80" w14:textId="77777777" w:rsidR="009021F1" w:rsidRPr="007E3D1A" w:rsidRDefault="009021F1" w:rsidP="00E637E3">
            <w:pPr>
              <w:rPr>
                <w:rFonts w:cs="Arial"/>
                <w:sz w:val="22"/>
              </w:rPr>
            </w:pPr>
            <w:r w:rsidRPr="007E3D1A">
              <w:rPr>
                <w:rFonts w:cs="Arial"/>
                <w:sz w:val="22"/>
              </w:rPr>
              <w:t>Oui (mineur) = 1</w:t>
            </w:r>
          </w:p>
          <w:p w14:paraId="0DE3C518" w14:textId="77777777" w:rsidR="009021F1" w:rsidRPr="007E3D1A" w:rsidRDefault="009021F1" w:rsidP="00E637E3">
            <w:pPr>
              <w:rPr>
                <w:rFonts w:cs="Arial"/>
                <w:sz w:val="22"/>
              </w:rPr>
            </w:pPr>
            <w:r w:rsidRPr="007E3D1A">
              <w:rPr>
                <w:rFonts w:cs="Arial"/>
                <w:sz w:val="22"/>
              </w:rPr>
              <w:t>Non = 0</w:t>
            </w:r>
          </w:p>
        </w:tc>
        <w:tc>
          <w:tcPr>
            <w:tcW w:w="420" w:type="pct"/>
          </w:tcPr>
          <w:p w14:paraId="760CE908" w14:textId="77777777" w:rsidR="009021F1" w:rsidRPr="007E3D1A" w:rsidRDefault="009021F1" w:rsidP="00E637E3">
            <w:pPr>
              <w:rPr>
                <w:rFonts w:cs="Arial"/>
                <w:sz w:val="22"/>
              </w:rPr>
            </w:pPr>
          </w:p>
        </w:tc>
        <w:tc>
          <w:tcPr>
            <w:tcW w:w="769" w:type="pct"/>
          </w:tcPr>
          <w:p w14:paraId="6854C466" w14:textId="77777777" w:rsidR="009021F1" w:rsidRPr="007E3D1A" w:rsidRDefault="009021F1" w:rsidP="00E637E3">
            <w:pPr>
              <w:rPr>
                <w:rFonts w:cs="Arial"/>
                <w:sz w:val="22"/>
              </w:rPr>
            </w:pPr>
          </w:p>
        </w:tc>
      </w:tr>
      <w:tr w:rsidR="009021F1" w:rsidRPr="007E3D1A" w14:paraId="225115CD" w14:textId="77777777" w:rsidTr="00E637E3">
        <w:trPr>
          <w:cantSplit/>
          <w:trHeight w:val="228"/>
        </w:trPr>
        <w:tc>
          <w:tcPr>
            <w:tcW w:w="804" w:type="pct"/>
            <w:vMerge/>
          </w:tcPr>
          <w:p w14:paraId="628C1D9D" w14:textId="77777777" w:rsidR="009021F1" w:rsidRPr="007E3D1A" w:rsidRDefault="009021F1" w:rsidP="00E637E3">
            <w:pPr>
              <w:rPr>
                <w:rFonts w:cs="Arial"/>
                <w:sz w:val="22"/>
              </w:rPr>
            </w:pPr>
          </w:p>
        </w:tc>
        <w:tc>
          <w:tcPr>
            <w:tcW w:w="1539" w:type="pct"/>
            <w:vAlign w:val="bottom"/>
          </w:tcPr>
          <w:p w14:paraId="3458EED2" w14:textId="77777777" w:rsidR="009021F1" w:rsidRPr="007E3D1A" w:rsidRDefault="009021F1" w:rsidP="00E637E3">
            <w:pPr>
              <w:rPr>
                <w:rFonts w:cs="Arial"/>
                <w:sz w:val="22"/>
              </w:rPr>
            </w:pPr>
            <w:r w:rsidRPr="007E3D1A">
              <w:rPr>
                <w:rFonts w:cs="Arial"/>
                <w:sz w:val="22"/>
              </w:rPr>
              <w:t>L’activité risque-t-elle d’imperméabiliser de grande surface de sol perméable  actuellement</w:t>
            </w:r>
          </w:p>
        </w:tc>
        <w:tc>
          <w:tcPr>
            <w:tcW w:w="741" w:type="pct"/>
            <w:vAlign w:val="center"/>
          </w:tcPr>
          <w:p w14:paraId="52CEBF83" w14:textId="77777777" w:rsidR="009021F1" w:rsidRPr="007E3D1A" w:rsidRDefault="009021F1" w:rsidP="00E637E3">
            <w:pPr>
              <w:rPr>
                <w:rFonts w:cs="Arial"/>
                <w:sz w:val="22"/>
              </w:rPr>
            </w:pPr>
            <w:r w:rsidRPr="007E3D1A">
              <w:rPr>
                <w:rFonts w:cs="Arial"/>
                <w:sz w:val="22"/>
              </w:rPr>
              <w:t>Oui (majeur) = 2</w:t>
            </w:r>
          </w:p>
          <w:p w14:paraId="6095DA88" w14:textId="77777777" w:rsidR="009021F1" w:rsidRPr="007E3D1A" w:rsidRDefault="009021F1" w:rsidP="00E637E3">
            <w:pPr>
              <w:rPr>
                <w:rFonts w:cs="Arial"/>
                <w:sz w:val="22"/>
              </w:rPr>
            </w:pPr>
            <w:r w:rsidRPr="007E3D1A">
              <w:rPr>
                <w:rFonts w:cs="Arial"/>
                <w:sz w:val="22"/>
              </w:rPr>
              <w:t>Oui (mineur) = 1</w:t>
            </w:r>
          </w:p>
          <w:p w14:paraId="6FED7A5B" w14:textId="77777777" w:rsidR="009021F1" w:rsidRPr="007E3D1A" w:rsidRDefault="009021F1" w:rsidP="00E637E3">
            <w:pPr>
              <w:rPr>
                <w:rFonts w:cs="Arial"/>
                <w:sz w:val="22"/>
              </w:rPr>
            </w:pPr>
            <w:r w:rsidRPr="007E3D1A">
              <w:rPr>
                <w:rFonts w:cs="Arial"/>
                <w:sz w:val="22"/>
              </w:rPr>
              <w:t>Non = 0</w:t>
            </w:r>
          </w:p>
        </w:tc>
        <w:tc>
          <w:tcPr>
            <w:tcW w:w="727" w:type="pct"/>
            <w:vAlign w:val="center"/>
          </w:tcPr>
          <w:p w14:paraId="047BE4EE" w14:textId="77777777" w:rsidR="009021F1" w:rsidRPr="007E3D1A" w:rsidRDefault="009021F1" w:rsidP="00E637E3">
            <w:pPr>
              <w:rPr>
                <w:rFonts w:cs="Arial"/>
                <w:sz w:val="22"/>
              </w:rPr>
            </w:pPr>
            <w:r w:rsidRPr="007E3D1A">
              <w:rPr>
                <w:rFonts w:cs="Arial"/>
                <w:sz w:val="22"/>
              </w:rPr>
              <w:t>Oui (majeur) = 2</w:t>
            </w:r>
          </w:p>
          <w:p w14:paraId="200A3948" w14:textId="77777777" w:rsidR="009021F1" w:rsidRPr="007E3D1A" w:rsidRDefault="009021F1" w:rsidP="00E637E3">
            <w:pPr>
              <w:rPr>
                <w:rFonts w:cs="Arial"/>
                <w:sz w:val="22"/>
              </w:rPr>
            </w:pPr>
            <w:r w:rsidRPr="007E3D1A">
              <w:rPr>
                <w:rFonts w:cs="Arial"/>
                <w:sz w:val="22"/>
              </w:rPr>
              <w:t>Oui (mineur) = 1</w:t>
            </w:r>
          </w:p>
          <w:p w14:paraId="4344492F" w14:textId="77777777" w:rsidR="009021F1" w:rsidRPr="007E3D1A" w:rsidRDefault="009021F1" w:rsidP="00E637E3">
            <w:pPr>
              <w:rPr>
                <w:rFonts w:cs="Arial"/>
                <w:sz w:val="22"/>
              </w:rPr>
            </w:pPr>
            <w:r w:rsidRPr="007E3D1A">
              <w:rPr>
                <w:rFonts w:cs="Arial"/>
                <w:sz w:val="22"/>
              </w:rPr>
              <w:t>Non = 0</w:t>
            </w:r>
          </w:p>
        </w:tc>
        <w:tc>
          <w:tcPr>
            <w:tcW w:w="420" w:type="pct"/>
          </w:tcPr>
          <w:p w14:paraId="2DB87B99" w14:textId="77777777" w:rsidR="009021F1" w:rsidRPr="007E3D1A" w:rsidRDefault="009021F1" w:rsidP="00E637E3">
            <w:pPr>
              <w:rPr>
                <w:rFonts w:cs="Arial"/>
                <w:sz w:val="22"/>
              </w:rPr>
            </w:pPr>
          </w:p>
        </w:tc>
        <w:tc>
          <w:tcPr>
            <w:tcW w:w="769" w:type="pct"/>
          </w:tcPr>
          <w:p w14:paraId="196A6929" w14:textId="77777777" w:rsidR="009021F1" w:rsidRPr="007E3D1A" w:rsidRDefault="009021F1" w:rsidP="00E637E3">
            <w:pPr>
              <w:rPr>
                <w:rFonts w:cs="Arial"/>
                <w:sz w:val="22"/>
              </w:rPr>
            </w:pPr>
          </w:p>
        </w:tc>
      </w:tr>
      <w:tr w:rsidR="009021F1" w:rsidRPr="007E3D1A" w14:paraId="305C9C83" w14:textId="77777777" w:rsidTr="00E637E3">
        <w:trPr>
          <w:cantSplit/>
          <w:trHeight w:val="228"/>
        </w:trPr>
        <w:tc>
          <w:tcPr>
            <w:tcW w:w="804" w:type="pct"/>
            <w:vMerge w:val="restart"/>
          </w:tcPr>
          <w:p w14:paraId="1BBE0D07" w14:textId="77777777" w:rsidR="009021F1" w:rsidRPr="007E3D1A" w:rsidRDefault="009021F1" w:rsidP="00E637E3">
            <w:pPr>
              <w:rPr>
                <w:rFonts w:cs="Arial"/>
                <w:sz w:val="22"/>
              </w:rPr>
            </w:pPr>
            <w:r w:rsidRPr="007E3D1A">
              <w:rPr>
                <w:rFonts w:cs="Arial"/>
                <w:sz w:val="22"/>
              </w:rPr>
              <w:t>Eau</w:t>
            </w:r>
          </w:p>
        </w:tc>
        <w:tc>
          <w:tcPr>
            <w:tcW w:w="1539" w:type="pct"/>
            <w:vAlign w:val="bottom"/>
          </w:tcPr>
          <w:p w14:paraId="650677D1" w14:textId="77777777" w:rsidR="009021F1" w:rsidRPr="007E3D1A" w:rsidRDefault="009021F1" w:rsidP="00E637E3">
            <w:pPr>
              <w:rPr>
                <w:rFonts w:cs="Arial"/>
                <w:sz w:val="22"/>
              </w:rPr>
            </w:pPr>
            <w:r w:rsidRPr="007E3D1A">
              <w:rPr>
                <w:rFonts w:cs="Arial"/>
                <w:sz w:val="22"/>
              </w:rPr>
              <w:t xml:space="preserve">L’activité risque-t-elle de causer une pollution des eaux de surfaces (contamination, turbidité, sédimentation, etc.) ? </w:t>
            </w:r>
          </w:p>
        </w:tc>
        <w:tc>
          <w:tcPr>
            <w:tcW w:w="741" w:type="pct"/>
            <w:vAlign w:val="center"/>
          </w:tcPr>
          <w:p w14:paraId="442F888F" w14:textId="77777777" w:rsidR="009021F1" w:rsidRPr="007E3D1A" w:rsidRDefault="009021F1" w:rsidP="00E637E3">
            <w:pPr>
              <w:rPr>
                <w:rFonts w:cs="Arial"/>
                <w:sz w:val="22"/>
              </w:rPr>
            </w:pPr>
            <w:r w:rsidRPr="007E3D1A">
              <w:rPr>
                <w:rFonts w:cs="Arial"/>
                <w:sz w:val="22"/>
              </w:rPr>
              <w:t>Oui (majeur) = 2</w:t>
            </w:r>
          </w:p>
          <w:p w14:paraId="6E96A48C" w14:textId="77777777" w:rsidR="009021F1" w:rsidRPr="007E3D1A" w:rsidRDefault="009021F1" w:rsidP="00E637E3">
            <w:pPr>
              <w:rPr>
                <w:rFonts w:cs="Arial"/>
                <w:sz w:val="22"/>
              </w:rPr>
            </w:pPr>
            <w:r w:rsidRPr="007E3D1A">
              <w:rPr>
                <w:rFonts w:cs="Arial"/>
                <w:sz w:val="22"/>
              </w:rPr>
              <w:t>Oui (mineur) = 1</w:t>
            </w:r>
          </w:p>
          <w:p w14:paraId="24337D75" w14:textId="77777777" w:rsidR="009021F1" w:rsidRPr="007E3D1A" w:rsidRDefault="009021F1" w:rsidP="00E637E3">
            <w:pPr>
              <w:rPr>
                <w:rFonts w:cs="Arial"/>
                <w:sz w:val="22"/>
              </w:rPr>
            </w:pPr>
            <w:r w:rsidRPr="007E3D1A">
              <w:rPr>
                <w:rFonts w:cs="Arial"/>
                <w:sz w:val="22"/>
              </w:rPr>
              <w:t>Non = 0</w:t>
            </w:r>
          </w:p>
        </w:tc>
        <w:tc>
          <w:tcPr>
            <w:tcW w:w="727" w:type="pct"/>
            <w:vAlign w:val="center"/>
          </w:tcPr>
          <w:p w14:paraId="6660A8E0" w14:textId="77777777" w:rsidR="009021F1" w:rsidRPr="007E3D1A" w:rsidRDefault="009021F1" w:rsidP="00E637E3">
            <w:pPr>
              <w:rPr>
                <w:rFonts w:cs="Arial"/>
                <w:sz w:val="22"/>
              </w:rPr>
            </w:pPr>
            <w:r w:rsidRPr="007E3D1A">
              <w:rPr>
                <w:rFonts w:cs="Arial"/>
                <w:sz w:val="22"/>
              </w:rPr>
              <w:t>Oui (majeur) = 2</w:t>
            </w:r>
          </w:p>
          <w:p w14:paraId="253B7C22" w14:textId="77777777" w:rsidR="009021F1" w:rsidRPr="007E3D1A" w:rsidRDefault="009021F1" w:rsidP="00E637E3">
            <w:pPr>
              <w:rPr>
                <w:rFonts w:cs="Arial"/>
                <w:sz w:val="22"/>
              </w:rPr>
            </w:pPr>
            <w:r w:rsidRPr="007E3D1A">
              <w:rPr>
                <w:rFonts w:cs="Arial"/>
                <w:sz w:val="22"/>
              </w:rPr>
              <w:t>Oui (mineur) = 1</w:t>
            </w:r>
          </w:p>
          <w:p w14:paraId="7615E742" w14:textId="77777777" w:rsidR="009021F1" w:rsidRPr="007E3D1A" w:rsidRDefault="009021F1" w:rsidP="00E637E3">
            <w:pPr>
              <w:rPr>
                <w:rFonts w:cs="Arial"/>
                <w:sz w:val="22"/>
              </w:rPr>
            </w:pPr>
            <w:r w:rsidRPr="007E3D1A">
              <w:rPr>
                <w:rFonts w:cs="Arial"/>
                <w:sz w:val="22"/>
              </w:rPr>
              <w:t>Non = 0</w:t>
            </w:r>
          </w:p>
        </w:tc>
        <w:tc>
          <w:tcPr>
            <w:tcW w:w="420" w:type="pct"/>
          </w:tcPr>
          <w:p w14:paraId="4155D70C" w14:textId="77777777" w:rsidR="009021F1" w:rsidRPr="007E3D1A" w:rsidRDefault="009021F1" w:rsidP="00E637E3">
            <w:pPr>
              <w:rPr>
                <w:rFonts w:cs="Arial"/>
                <w:sz w:val="22"/>
              </w:rPr>
            </w:pPr>
          </w:p>
        </w:tc>
        <w:tc>
          <w:tcPr>
            <w:tcW w:w="769" w:type="pct"/>
          </w:tcPr>
          <w:p w14:paraId="1527BBCE" w14:textId="77777777" w:rsidR="009021F1" w:rsidRPr="007E3D1A" w:rsidRDefault="009021F1" w:rsidP="00E637E3">
            <w:pPr>
              <w:rPr>
                <w:rFonts w:cs="Arial"/>
                <w:sz w:val="22"/>
              </w:rPr>
            </w:pPr>
          </w:p>
        </w:tc>
      </w:tr>
      <w:tr w:rsidR="009021F1" w:rsidRPr="007E3D1A" w14:paraId="18A6F2BF" w14:textId="77777777" w:rsidTr="00E637E3">
        <w:trPr>
          <w:cantSplit/>
          <w:trHeight w:val="228"/>
        </w:trPr>
        <w:tc>
          <w:tcPr>
            <w:tcW w:w="804" w:type="pct"/>
            <w:vMerge/>
          </w:tcPr>
          <w:p w14:paraId="6BED1CC9" w14:textId="77777777" w:rsidR="009021F1" w:rsidRPr="007E3D1A" w:rsidRDefault="009021F1" w:rsidP="00E637E3">
            <w:pPr>
              <w:rPr>
                <w:rFonts w:cs="Arial"/>
                <w:sz w:val="22"/>
              </w:rPr>
            </w:pPr>
          </w:p>
        </w:tc>
        <w:tc>
          <w:tcPr>
            <w:tcW w:w="1539" w:type="pct"/>
            <w:vAlign w:val="bottom"/>
          </w:tcPr>
          <w:p w14:paraId="02764B00" w14:textId="77777777" w:rsidR="009021F1" w:rsidRPr="007E3D1A" w:rsidRDefault="009021F1" w:rsidP="00E637E3">
            <w:pPr>
              <w:rPr>
                <w:rFonts w:cs="Arial"/>
                <w:sz w:val="22"/>
              </w:rPr>
            </w:pPr>
            <w:r w:rsidRPr="007E3D1A">
              <w:rPr>
                <w:rFonts w:cs="Arial"/>
                <w:sz w:val="22"/>
              </w:rPr>
              <w:t>L’activité risque-t-elle de modifier l’écoulement des eaux de surface, leur quantité ?</w:t>
            </w:r>
          </w:p>
          <w:p w14:paraId="0F27FBC5" w14:textId="77777777" w:rsidR="009021F1" w:rsidRPr="007E3D1A" w:rsidRDefault="009021F1" w:rsidP="00E637E3">
            <w:pPr>
              <w:rPr>
                <w:rFonts w:cs="Arial"/>
                <w:sz w:val="22"/>
              </w:rPr>
            </w:pPr>
          </w:p>
        </w:tc>
        <w:tc>
          <w:tcPr>
            <w:tcW w:w="741" w:type="pct"/>
            <w:vAlign w:val="center"/>
          </w:tcPr>
          <w:p w14:paraId="0BF273F6" w14:textId="77777777" w:rsidR="009021F1" w:rsidRPr="007E3D1A" w:rsidRDefault="009021F1" w:rsidP="00E637E3">
            <w:pPr>
              <w:rPr>
                <w:rFonts w:cs="Arial"/>
                <w:sz w:val="22"/>
              </w:rPr>
            </w:pPr>
            <w:r w:rsidRPr="007E3D1A">
              <w:rPr>
                <w:rFonts w:cs="Arial"/>
                <w:sz w:val="22"/>
              </w:rPr>
              <w:t>Oui (majeur) = 2</w:t>
            </w:r>
          </w:p>
          <w:p w14:paraId="6F57621B" w14:textId="77777777" w:rsidR="009021F1" w:rsidRPr="007E3D1A" w:rsidRDefault="009021F1" w:rsidP="00E637E3">
            <w:pPr>
              <w:rPr>
                <w:rFonts w:cs="Arial"/>
                <w:sz w:val="22"/>
              </w:rPr>
            </w:pPr>
            <w:r w:rsidRPr="007E3D1A">
              <w:rPr>
                <w:rFonts w:cs="Arial"/>
                <w:sz w:val="22"/>
              </w:rPr>
              <w:t>Oui (mineur) = 1</w:t>
            </w:r>
          </w:p>
          <w:p w14:paraId="065B996D" w14:textId="77777777" w:rsidR="009021F1" w:rsidRPr="007E3D1A" w:rsidRDefault="009021F1" w:rsidP="00E637E3">
            <w:pPr>
              <w:rPr>
                <w:rFonts w:cs="Arial"/>
                <w:sz w:val="22"/>
              </w:rPr>
            </w:pPr>
            <w:r w:rsidRPr="007E3D1A">
              <w:rPr>
                <w:rFonts w:cs="Arial"/>
                <w:sz w:val="22"/>
              </w:rPr>
              <w:t>Non = 0</w:t>
            </w:r>
          </w:p>
        </w:tc>
        <w:tc>
          <w:tcPr>
            <w:tcW w:w="727" w:type="pct"/>
            <w:vAlign w:val="center"/>
          </w:tcPr>
          <w:p w14:paraId="0319A891" w14:textId="77777777" w:rsidR="009021F1" w:rsidRPr="007E3D1A" w:rsidRDefault="009021F1" w:rsidP="00E637E3">
            <w:pPr>
              <w:rPr>
                <w:rFonts w:cs="Arial"/>
                <w:sz w:val="22"/>
              </w:rPr>
            </w:pPr>
            <w:r w:rsidRPr="007E3D1A">
              <w:rPr>
                <w:rFonts w:cs="Arial"/>
                <w:sz w:val="22"/>
              </w:rPr>
              <w:t>Oui (majeur) = 2</w:t>
            </w:r>
          </w:p>
          <w:p w14:paraId="0A647E79" w14:textId="77777777" w:rsidR="009021F1" w:rsidRPr="007E3D1A" w:rsidRDefault="009021F1" w:rsidP="00E637E3">
            <w:pPr>
              <w:rPr>
                <w:rFonts w:cs="Arial"/>
                <w:sz w:val="22"/>
              </w:rPr>
            </w:pPr>
            <w:r w:rsidRPr="007E3D1A">
              <w:rPr>
                <w:rFonts w:cs="Arial"/>
                <w:sz w:val="22"/>
              </w:rPr>
              <w:t>Oui (mineur) = 1</w:t>
            </w:r>
          </w:p>
          <w:p w14:paraId="4C54997D" w14:textId="77777777" w:rsidR="009021F1" w:rsidRPr="007E3D1A" w:rsidRDefault="009021F1" w:rsidP="00E637E3">
            <w:pPr>
              <w:rPr>
                <w:rFonts w:cs="Arial"/>
                <w:sz w:val="22"/>
              </w:rPr>
            </w:pPr>
            <w:r w:rsidRPr="007E3D1A">
              <w:rPr>
                <w:rFonts w:cs="Arial"/>
                <w:sz w:val="22"/>
              </w:rPr>
              <w:t>Non = 0</w:t>
            </w:r>
          </w:p>
        </w:tc>
        <w:tc>
          <w:tcPr>
            <w:tcW w:w="420" w:type="pct"/>
          </w:tcPr>
          <w:p w14:paraId="64911D5A" w14:textId="77777777" w:rsidR="009021F1" w:rsidRPr="007E3D1A" w:rsidRDefault="009021F1" w:rsidP="00E637E3">
            <w:pPr>
              <w:rPr>
                <w:rFonts w:cs="Arial"/>
                <w:sz w:val="22"/>
              </w:rPr>
            </w:pPr>
          </w:p>
        </w:tc>
        <w:tc>
          <w:tcPr>
            <w:tcW w:w="769" w:type="pct"/>
          </w:tcPr>
          <w:p w14:paraId="2E1FE528" w14:textId="77777777" w:rsidR="009021F1" w:rsidRPr="007E3D1A" w:rsidRDefault="009021F1" w:rsidP="00E637E3">
            <w:pPr>
              <w:rPr>
                <w:rFonts w:cs="Arial"/>
                <w:sz w:val="22"/>
              </w:rPr>
            </w:pPr>
          </w:p>
        </w:tc>
      </w:tr>
      <w:tr w:rsidR="009021F1" w:rsidRPr="007E3D1A" w14:paraId="5C08B4A2" w14:textId="77777777" w:rsidTr="00E637E3">
        <w:trPr>
          <w:trHeight w:val="228"/>
        </w:trPr>
        <w:tc>
          <w:tcPr>
            <w:tcW w:w="804" w:type="pct"/>
            <w:vMerge/>
          </w:tcPr>
          <w:p w14:paraId="57BB3A3D" w14:textId="77777777" w:rsidR="009021F1" w:rsidRPr="007E3D1A" w:rsidRDefault="009021F1" w:rsidP="00E637E3">
            <w:pPr>
              <w:rPr>
                <w:rFonts w:cs="Arial"/>
                <w:sz w:val="22"/>
              </w:rPr>
            </w:pPr>
          </w:p>
        </w:tc>
        <w:tc>
          <w:tcPr>
            <w:tcW w:w="1539" w:type="pct"/>
            <w:vAlign w:val="bottom"/>
          </w:tcPr>
          <w:p w14:paraId="44B6207C" w14:textId="77777777" w:rsidR="009021F1" w:rsidRPr="007E3D1A" w:rsidRDefault="009021F1" w:rsidP="00E637E3">
            <w:pPr>
              <w:rPr>
                <w:rFonts w:cs="Arial"/>
                <w:sz w:val="22"/>
              </w:rPr>
            </w:pPr>
            <w:r w:rsidRPr="007E3D1A">
              <w:rPr>
                <w:rFonts w:cs="Arial"/>
                <w:sz w:val="22"/>
              </w:rPr>
              <w:t>L’activité risque-t-elle de causer une pollution des eaux souterraines ? Présence nappe phréatique ?</w:t>
            </w:r>
          </w:p>
        </w:tc>
        <w:tc>
          <w:tcPr>
            <w:tcW w:w="741" w:type="pct"/>
            <w:vAlign w:val="center"/>
          </w:tcPr>
          <w:p w14:paraId="1A090539" w14:textId="77777777" w:rsidR="009021F1" w:rsidRPr="007E3D1A" w:rsidRDefault="009021F1" w:rsidP="00E637E3">
            <w:pPr>
              <w:rPr>
                <w:rFonts w:cs="Arial"/>
                <w:sz w:val="22"/>
              </w:rPr>
            </w:pPr>
            <w:r w:rsidRPr="007E3D1A">
              <w:rPr>
                <w:rFonts w:cs="Arial"/>
                <w:sz w:val="22"/>
              </w:rPr>
              <w:t>Oui (majeur) = 2</w:t>
            </w:r>
          </w:p>
          <w:p w14:paraId="671A1CD1" w14:textId="77777777" w:rsidR="009021F1" w:rsidRPr="007E3D1A" w:rsidRDefault="009021F1" w:rsidP="00E637E3">
            <w:pPr>
              <w:rPr>
                <w:rFonts w:cs="Arial"/>
                <w:sz w:val="22"/>
              </w:rPr>
            </w:pPr>
            <w:r w:rsidRPr="007E3D1A">
              <w:rPr>
                <w:rFonts w:cs="Arial"/>
                <w:sz w:val="22"/>
              </w:rPr>
              <w:t>Oui (mineur) = 1</w:t>
            </w:r>
          </w:p>
          <w:p w14:paraId="6FD07835" w14:textId="77777777" w:rsidR="009021F1" w:rsidRPr="007E3D1A" w:rsidRDefault="009021F1" w:rsidP="00E637E3">
            <w:pPr>
              <w:rPr>
                <w:rFonts w:cs="Arial"/>
                <w:sz w:val="22"/>
              </w:rPr>
            </w:pPr>
            <w:r w:rsidRPr="007E3D1A">
              <w:rPr>
                <w:rFonts w:cs="Arial"/>
                <w:sz w:val="22"/>
              </w:rPr>
              <w:t>Non = 0</w:t>
            </w:r>
          </w:p>
        </w:tc>
        <w:tc>
          <w:tcPr>
            <w:tcW w:w="727" w:type="pct"/>
            <w:vAlign w:val="center"/>
          </w:tcPr>
          <w:p w14:paraId="2BA073E1" w14:textId="77777777" w:rsidR="009021F1" w:rsidRPr="007E3D1A" w:rsidRDefault="009021F1" w:rsidP="00E637E3">
            <w:pPr>
              <w:rPr>
                <w:rFonts w:cs="Arial"/>
                <w:sz w:val="22"/>
              </w:rPr>
            </w:pPr>
            <w:r w:rsidRPr="007E3D1A">
              <w:rPr>
                <w:rFonts w:cs="Arial"/>
                <w:sz w:val="22"/>
              </w:rPr>
              <w:t>Oui (majeur) = 2</w:t>
            </w:r>
          </w:p>
          <w:p w14:paraId="458A447F" w14:textId="77777777" w:rsidR="009021F1" w:rsidRPr="007E3D1A" w:rsidRDefault="009021F1" w:rsidP="00E637E3">
            <w:pPr>
              <w:rPr>
                <w:rFonts w:cs="Arial"/>
                <w:sz w:val="22"/>
              </w:rPr>
            </w:pPr>
            <w:r w:rsidRPr="007E3D1A">
              <w:rPr>
                <w:rFonts w:cs="Arial"/>
                <w:sz w:val="22"/>
              </w:rPr>
              <w:t>Oui (mineur) = 1</w:t>
            </w:r>
          </w:p>
          <w:p w14:paraId="64729A18" w14:textId="77777777" w:rsidR="009021F1" w:rsidRPr="007E3D1A" w:rsidRDefault="009021F1" w:rsidP="00E637E3">
            <w:pPr>
              <w:rPr>
                <w:rFonts w:cs="Arial"/>
                <w:sz w:val="22"/>
              </w:rPr>
            </w:pPr>
            <w:r w:rsidRPr="007E3D1A">
              <w:rPr>
                <w:rFonts w:cs="Arial"/>
                <w:sz w:val="22"/>
              </w:rPr>
              <w:t>Non = 0</w:t>
            </w:r>
          </w:p>
        </w:tc>
        <w:tc>
          <w:tcPr>
            <w:tcW w:w="420" w:type="pct"/>
          </w:tcPr>
          <w:p w14:paraId="1B8E8262" w14:textId="77777777" w:rsidR="009021F1" w:rsidRPr="007E3D1A" w:rsidRDefault="009021F1" w:rsidP="00E637E3">
            <w:pPr>
              <w:rPr>
                <w:rFonts w:cs="Arial"/>
                <w:sz w:val="22"/>
              </w:rPr>
            </w:pPr>
          </w:p>
        </w:tc>
        <w:tc>
          <w:tcPr>
            <w:tcW w:w="769" w:type="pct"/>
          </w:tcPr>
          <w:p w14:paraId="452CA026" w14:textId="77777777" w:rsidR="009021F1" w:rsidRPr="007E3D1A" w:rsidRDefault="009021F1" w:rsidP="00E637E3">
            <w:pPr>
              <w:rPr>
                <w:rFonts w:cs="Arial"/>
                <w:sz w:val="22"/>
              </w:rPr>
            </w:pPr>
          </w:p>
        </w:tc>
      </w:tr>
      <w:tr w:rsidR="009021F1" w:rsidRPr="007E3D1A" w14:paraId="23AC0D23" w14:textId="77777777" w:rsidTr="00E637E3">
        <w:trPr>
          <w:trHeight w:val="228"/>
        </w:trPr>
        <w:tc>
          <w:tcPr>
            <w:tcW w:w="804" w:type="pct"/>
          </w:tcPr>
          <w:p w14:paraId="55069B18" w14:textId="77777777" w:rsidR="009021F1" w:rsidRPr="007E3D1A" w:rsidRDefault="009021F1" w:rsidP="00E637E3">
            <w:pPr>
              <w:rPr>
                <w:rFonts w:cs="Arial"/>
                <w:sz w:val="22"/>
              </w:rPr>
            </w:pPr>
            <w:r w:rsidRPr="007E3D1A">
              <w:rPr>
                <w:rFonts w:cs="Arial"/>
                <w:sz w:val="22"/>
              </w:rPr>
              <w:t>Végétation</w:t>
            </w:r>
          </w:p>
        </w:tc>
        <w:tc>
          <w:tcPr>
            <w:tcW w:w="1539" w:type="pct"/>
            <w:vAlign w:val="bottom"/>
          </w:tcPr>
          <w:p w14:paraId="7978C54D" w14:textId="77777777" w:rsidR="009021F1" w:rsidRPr="007E3D1A" w:rsidRDefault="009021F1" w:rsidP="00E637E3">
            <w:pPr>
              <w:rPr>
                <w:rFonts w:cs="Arial"/>
                <w:sz w:val="22"/>
              </w:rPr>
            </w:pPr>
            <w:r w:rsidRPr="007E3D1A">
              <w:rPr>
                <w:rFonts w:cs="Arial"/>
                <w:sz w:val="22"/>
              </w:rPr>
              <w:t>L’activité risque-t-elle de causer une dégradation de la végétation (déboisement, abattage,) ?</w:t>
            </w:r>
          </w:p>
          <w:p w14:paraId="29361628" w14:textId="77777777" w:rsidR="009021F1" w:rsidRPr="007E3D1A" w:rsidRDefault="009021F1" w:rsidP="00E637E3">
            <w:pPr>
              <w:rPr>
                <w:rFonts w:cs="Arial"/>
                <w:sz w:val="22"/>
              </w:rPr>
            </w:pPr>
            <w:r w:rsidRPr="007E3D1A">
              <w:rPr>
                <w:rFonts w:cs="Arial"/>
                <w:sz w:val="22"/>
              </w:rPr>
              <w:t>Distance &lt; 10 km d’une aire protégée ?</w:t>
            </w:r>
          </w:p>
        </w:tc>
        <w:tc>
          <w:tcPr>
            <w:tcW w:w="741" w:type="pct"/>
            <w:vAlign w:val="center"/>
          </w:tcPr>
          <w:p w14:paraId="1AFCC7B0" w14:textId="77777777" w:rsidR="009021F1" w:rsidRPr="007E3D1A" w:rsidRDefault="009021F1" w:rsidP="00E637E3">
            <w:pPr>
              <w:rPr>
                <w:rFonts w:cs="Arial"/>
                <w:sz w:val="22"/>
              </w:rPr>
            </w:pPr>
            <w:r w:rsidRPr="007E3D1A">
              <w:rPr>
                <w:rFonts w:cs="Arial"/>
                <w:sz w:val="22"/>
              </w:rPr>
              <w:t>Oui (majeur) = 2</w:t>
            </w:r>
          </w:p>
          <w:p w14:paraId="6E856587" w14:textId="77777777" w:rsidR="009021F1" w:rsidRPr="007E3D1A" w:rsidRDefault="009021F1" w:rsidP="00E637E3">
            <w:pPr>
              <w:rPr>
                <w:rFonts w:cs="Arial"/>
                <w:sz w:val="22"/>
              </w:rPr>
            </w:pPr>
            <w:r w:rsidRPr="007E3D1A">
              <w:rPr>
                <w:rFonts w:cs="Arial"/>
                <w:sz w:val="22"/>
              </w:rPr>
              <w:t>Oui (mineur) = 1</w:t>
            </w:r>
          </w:p>
          <w:p w14:paraId="0E94EDE6" w14:textId="77777777" w:rsidR="009021F1" w:rsidRPr="007E3D1A" w:rsidRDefault="009021F1" w:rsidP="00E637E3">
            <w:pPr>
              <w:rPr>
                <w:rFonts w:cs="Arial"/>
                <w:sz w:val="22"/>
              </w:rPr>
            </w:pPr>
            <w:r w:rsidRPr="007E3D1A">
              <w:rPr>
                <w:rFonts w:cs="Arial"/>
                <w:sz w:val="22"/>
              </w:rPr>
              <w:t>Non = 0</w:t>
            </w:r>
          </w:p>
        </w:tc>
        <w:tc>
          <w:tcPr>
            <w:tcW w:w="727" w:type="pct"/>
            <w:vAlign w:val="center"/>
          </w:tcPr>
          <w:p w14:paraId="02773BCB" w14:textId="77777777" w:rsidR="009021F1" w:rsidRPr="007E3D1A" w:rsidRDefault="009021F1" w:rsidP="00E637E3">
            <w:pPr>
              <w:rPr>
                <w:rFonts w:cs="Arial"/>
                <w:sz w:val="22"/>
              </w:rPr>
            </w:pPr>
            <w:r w:rsidRPr="007E3D1A">
              <w:rPr>
                <w:rFonts w:cs="Arial"/>
                <w:sz w:val="22"/>
              </w:rPr>
              <w:t>Oui (majeur) = 2</w:t>
            </w:r>
          </w:p>
          <w:p w14:paraId="333D86CE" w14:textId="77777777" w:rsidR="009021F1" w:rsidRPr="007E3D1A" w:rsidRDefault="009021F1" w:rsidP="00E637E3">
            <w:pPr>
              <w:rPr>
                <w:rFonts w:cs="Arial"/>
                <w:sz w:val="22"/>
              </w:rPr>
            </w:pPr>
            <w:r w:rsidRPr="007E3D1A">
              <w:rPr>
                <w:rFonts w:cs="Arial"/>
                <w:sz w:val="22"/>
              </w:rPr>
              <w:t>Oui (mineur) = 1</w:t>
            </w:r>
          </w:p>
          <w:p w14:paraId="5A695F2F" w14:textId="77777777" w:rsidR="009021F1" w:rsidRPr="007E3D1A" w:rsidRDefault="009021F1" w:rsidP="00E637E3">
            <w:pPr>
              <w:rPr>
                <w:rFonts w:cs="Arial"/>
                <w:sz w:val="22"/>
              </w:rPr>
            </w:pPr>
            <w:r w:rsidRPr="007E3D1A">
              <w:rPr>
                <w:rFonts w:cs="Arial"/>
                <w:sz w:val="22"/>
              </w:rPr>
              <w:t>Non = 0</w:t>
            </w:r>
          </w:p>
        </w:tc>
        <w:tc>
          <w:tcPr>
            <w:tcW w:w="420" w:type="pct"/>
          </w:tcPr>
          <w:p w14:paraId="17757075" w14:textId="77777777" w:rsidR="009021F1" w:rsidRPr="007E3D1A" w:rsidRDefault="009021F1" w:rsidP="00E637E3">
            <w:pPr>
              <w:rPr>
                <w:rFonts w:cs="Arial"/>
                <w:sz w:val="22"/>
              </w:rPr>
            </w:pPr>
          </w:p>
        </w:tc>
        <w:tc>
          <w:tcPr>
            <w:tcW w:w="769" w:type="pct"/>
          </w:tcPr>
          <w:p w14:paraId="0F67FEF1" w14:textId="77777777" w:rsidR="009021F1" w:rsidRPr="007E3D1A" w:rsidRDefault="009021F1" w:rsidP="00E637E3">
            <w:pPr>
              <w:rPr>
                <w:rFonts w:cs="Arial"/>
                <w:sz w:val="22"/>
              </w:rPr>
            </w:pPr>
          </w:p>
        </w:tc>
      </w:tr>
      <w:tr w:rsidR="009021F1" w:rsidRPr="007E3D1A" w14:paraId="465E21EF" w14:textId="77777777" w:rsidTr="00E637E3">
        <w:trPr>
          <w:cantSplit/>
          <w:trHeight w:val="228"/>
        </w:trPr>
        <w:tc>
          <w:tcPr>
            <w:tcW w:w="804" w:type="pct"/>
            <w:vMerge w:val="restart"/>
          </w:tcPr>
          <w:p w14:paraId="1A80CA4A" w14:textId="77777777" w:rsidR="009021F1" w:rsidRPr="007E3D1A" w:rsidRDefault="009021F1" w:rsidP="00E637E3">
            <w:pPr>
              <w:rPr>
                <w:rFonts w:cs="Arial"/>
                <w:sz w:val="22"/>
              </w:rPr>
            </w:pPr>
            <w:r w:rsidRPr="007E3D1A">
              <w:rPr>
                <w:rFonts w:cs="Arial"/>
                <w:sz w:val="22"/>
              </w:rPr>
              <w:t>Cadre de vie/</w:t>
            </w:r>
          </w:p>
          <w:p w14:paraId="59DD32CD" w14:textId="77777777" w:rsidR="009021F1" w:rsidRPr="007E3D1A" w:rsidRDefault="009021F1" w:rsidP="00E637E3">
            <w:pPr>
              <w:rPr>
                <w:rFonts w:cs="Arial"/>
                <w:sz w:val="22"/>
              </w:rPr>
            </w:pPr>
            <w:r w:rsidRPr="007E3D1A">
              <w:rPr>
                <w:rFonts w:cs="Arial"/>
                <w:sz w:val="22"/>
              </w:rPr>
              <w:t>milieu humain</w:t>
            </w:r>
          </w:p>
        </w:tc>
        <w:tc>
          <w:tcPr>
            <w:tcW w:w="1539" w:type="pct"/>
            <w:vAlign w:val="bottom"/>
          </w:tcPr>
          <w:p w14:paraId="15F2CBF9" w14:textId="77777777" w:rsidR="009021F1" w:rsidRPr="007E3D1A" w:rsidRDefault="009021F1" w:rsidP="00E637E3">
            <w:pPr>
              <w:rPr>
                <w:rFonts w:cs="Arial"/>
                <w:sz w:val="22"/>
              </w:rPr>
            </w:pPr>
            <w:r w:rsidRPr="007E3D1A">
              <w:rPr>
                <w:rFonts w:cs="Arial"/>
                <w:sz w:val="22"/>
              </w:rPr>
              <w:t xml:space="preserve">L’activité risque-t-elle de générer des déchets solides et liquides ? </w:t>
            </w:r>
          </w:p>
          <w:p w14:paraId="1E87DFB5" w14:textId="77777777" w:rsidR="009021F1" w:rsidRPr="007E3D1A" w:rsidRDefault="009021F1" w:rsidP="00E637E3">
            <w:pPr>
              <w:rPr>
                <w:rFonts w:cs="Arial"/>
                <w:sz w:val="22"/>
              </w:rPr>
            </w:pPr>
          </w:p>
        </w:tc>
        <w:tc>
          <w:tcPr>
            <w:tcW w:w="741" w:type="pct"/>
            <w:vAlign w:val="center"/>
          </w:tcPr>
          <w:p w14:paraId="5D9DEAD5" w14:textId="77777777" w:rsidR="009021F1" w:rsidRPr="007E3D1A" w:rsidRDefault="009021F1" w:rsidP="00E637E3">
            <w:pPr>
              <w:rPr>
                <w:rFonts w:cs="Arial"/>
                <w:sz w:val="22"/>
              </w:rPr>
            </w:pPr>
            <w:r w:rsidRPr="007E3D1A">
              <w:rPr>
                <w:rFonts w:cs="Arial"/>
                <w:sz w:val="22"/>
              </w:rPr>
              <w:t>Oui (majeur) = 2</w:t>
            </w:r>
          </w:p>
          <w:p w14:paraId="0E46E38B" w14:textId="77777777" w:rsidR="009021F1" w:rsidRPr="007E3D1A" w:rsidRDefault="009021F1" w:rsidP="00E637E3">
            <w:pPr>
              <w:rPr>
                <w:rFonts w:cs="Arial"/>
                <w:sz w:val="22"/>
              </w:rPr>
            </w:pPr>
            <w:r w:rsidRPr="007E3D1A">
              <w:rPr>
                <w:rFonts w:cs="Arial"/>
                <w:sz w:val="22"/>
              </w:rPr>
              <w:t>Oui (mineur) = 1</w:t>
            </w:r>
          </w:p>
          <w:p w14:paraId="50941021" w14:textId="77777777" w:rsidR="009021F1" w:rsidRPr="007E3D1A" w:rsidRDefault="009021F1" w:rsidP="00E637E3">
            <w:pPr>
              <w:rPr>
                <w:rFonts w:cs="Arial"/>
                <w:sz w:val="22"/>
              </w:rPr>
            </w:pPr>
            <w:r w:rsidRPr="007E3D1A">
              <w:rPr>
                <w:rFonts w:cs="Arial"/>
                <w:sz w:val="22"/>
              </w:rPr>
              <w:t>Non = 0</w:t>
            </w:r>
          </w:p>
        </w:tc>
        <w:tc>
          <w:tcPr>
            <w:tcW w:w="727" w:type="pct"/>
            <w:vAlign w:val="center"/>
          </w:tcPr>
          <w:p w14:paraId="5B3BAA83" w14:textId="77777777" w:rsidR="009021F1" w:rsidRPr="007E3D1A" w:rsidRDefault="009021F1" w:rsidP="00E637E3">
            <w:pPr>
              <w:rPr>
                <w:rFonts w:cs="Arial"/>
                <w:sz w:val="22"/>
              </w:rPr>
            </w:pPr>
            <w:r w:rsidRPr="007E3D1A">
              <w:rPr>
                <w:rFonts w:cs="Arial"/>
                <w:sz w:val="22"/>
              </w:rPr>
              <w:t>Oui (majeur) = 2</w:t>
            </w:r>
          </w:p>
          <w:p w14:paraId="1B094C58" w14:textId="77777777" w:rsidR="009021F1" w:rsidRPr="007E3D1A" w:rsidRDefault="009021F1" w:rsidP="00E637E3">
            <w:pPr>
              <w:rPr>
                <w:rFonts w:cs="Arial"/>
                <w:sz w:val="22"/>
              </w:rPr>
            </w:pPr>
            <w:r w:rsidRPr="007E3D1A">
              <w:rPr>
                <w:rFonts w:cs="Arial"/>
                <w:sz w:val="22"/>
              </w:rPr>
              <w:t>Oui (mineur) = 1</w:t>
            </w:r>
          </w:p>
          <w:p w14:paraId="4EC27CE5" w14:textId="77777777" w:rsidR="009021F1" w:rsidRPr="007E3D1A" w:rsidRDefault="009021F1" w:rsidP="00E637E3">
            <w:pPr>
              <w:rPr>
                <w:rFonts w:cs="Arial"/>
                <w:sz w:val="22"/>
              </w:rPr>
            </w:pPr>
            <w:r w:rsidRPr="007E3D1A">
              <w:rPr>
                <w:rFonts w:cs="Arial"/>
                <w:sz w:val="22"/>
              </w:rPr>
              <w:t>Non = 0</w:t>
            </w:r>
          </w:p>
        </w:tc>
        <w:tc>
          <w:tcPr>
            <w:tcW w:w="420" w:type="pct"/>
          </w:tcPr>
          <w:p w14:paraId="163E4E7C" w14:textId="77777777" w:rsidR="009021F1" w:rsidRPr="007E3D1A" w:rsidRDefault="009021F1" w:rsidP="00E637E3">
            <w:pPr>
              <w:rPr>
                <w:rFonts w:cs="Arial"/>
                <w:sz w:val="22"/>
              </w:rPr>
            </w:pPr>
          </w:p>
        </w:tc>
        <w:tc>
          <w:tcPr>
            <w:tcW w:w="769" w:type="pct"/>
          </w:tcPr>
          <w:p w14:paraId="6F55B719" w14:textId="77777777" w:rsidR="009021F1" w:rsidRPr="007E3D1A" w:rsidRDefault="009021F1" w:rsidP="00E637E3">
            <w:pPr>
              <w:rPr>
                <w:rFonts w:cs="Arial"/>
                <w:sz w:val="22"/>
              </w:rPr>
            </w:pPr>
          </w:p>
        </w:tc>
      </w:tr>
      <w:tr w:rsidR="009021F1" w:rsidRPr="007E3D1A" w14:paraId="6BE9793A" w14:textId="77777777" w:rsidTr="00E637E3">
        <w:trPr>
          <w:cantSplit/>
          <w:trHeight w:val="228"/>
        </w:trPr>
        <w:tc>
          <w:tcPr>
            <w:tcW w:w="804" w:type="pct"/>
            <w:vMerge/>
          </w:tcPr>
          <w:p w14:paraId="24489E60" w14:textId="77777777" w:rsidR="009021F1" w:rsidRPr="007E3D1A" w:rsidRDefault="009021F1" w:rsidP="00E637E3">
            <w:pPr>
              <w:rPr>
                <w:rFonts w:cs="Arial"/>
                <w:sz w:val="22"/>
              </w:rPr>
            </w:pPr>
          </w:p>
        </w:tc>
        <w:tc>
          <w:tcPr>
            <w:tcW w:w="1539" w:type="pct"/>
            <w:vAlign w:val="bottom"/>
          </w:tcPr>
          <w:p w14:paraId="10F08678" w14:textId="77777777" w:rsidR="009021F1" w:rsidRPr="007E3D1A" w:rsidRDefault="009021F1" w:rsidP="00E637E3">
            <w:pPr>
              <w:rPr>
                <w:rFonts w:cs="Arial"/>
                <w:sz w:val="22"/>
              </w:rPr>
            </w:pPr>
            <w:r w:rsidRPr="007E3D1A">
              <w:rPr>
                <w:rFonts w:cs="Arial"/>
                <w:sz w:val="22"/>
              </w:rPr>
              <w:t>L’activité risque-t-elle de générer des gênes et nuisances (bruit, libre circulation des biens et des personnes locales) ?</w:t>
            </w:r>
          </w:p>
          <w:p w14:paraId="766368E8" w14:textId="77777777" w:rsidR="009021F1" w:rsidRPr="007E3D1A" w:rsidRDefault="009021F1" w:rsidP="00E637E3">
            <w:pPr>
              <w:rPr>
                <w:rFonts w:cs="Arial"/>
                <w:sz w:val="22"/>
              </w:rPr>
            </w:pPr>
          </w:p>
        </w:tc>
        <w:tc>
          <w:tcPr>
            <w:tcW w:w="741" w:type="pct"/>
            <w:vAlign w:val="center"/>
          </w:tcPr>
          <w:p w14:paraId="5EBC78C7" w14:textId="77777777" w:rsidR="009021F1" w:rsidRPr="007E3D1A" w:rsidRDefault="009021F1" w:rsidP="00E637E3">
            <w:pPr>
              <w:rPr>
                <w:rFonts w:cs="Arial"/>
                <w:sz w:val="22"/>
              </w:rPr>
            </w:pPr>
            <w:r w:rsidRPr="007E3D1A">
              <w:rPr>
                <w:rFonts w:cs="Arial"/>
                <w:sz w:val="22"/>
              </w:rPr>
              <w:t>Oui (majeur) = 2</w:t>
            </w:r>
          </w:p>
          <w:p w14:paraId="7F7244BA" w14:textId="77777777" w:rsidR="009021F1" w:rsidRPr="007E3D1A" w:rsidRDefault="009021F1" w:rsidP="00E637E3">
            <w:pPr>
              <w:rPr>
                <w:rFonts w:cs="Arial"/>
                <w:sz w:val="22"/>
              </w:rPr>
            </w:pPr>
            <w:r w:rsidRPr="007E3D1A">
              <w:rPr>
                <w:rFonts w:cs="Arial"/>
                <w:sz w:val="22"/>
              </w:rPr>
              <w:t>Oui (mineur) = 1</w:t>
            </w:r>
          </w:p>
          <w:p w14:paraId="5DC39CFD" w14:textId="77777777" w:rsidR="009021F1" w:rsidRPr="007E3D1A" w:rsidRDefault="009021F1" w:rsidP="00E637E3">
            <w:pPr>
              <w:rPr>
                <w:rFonts w:cs="Arial"/>
                <w:sz w:val="22"/>
              </w:rPr>
            </w:pPr>
            <w:r w:rsidRPr="007E3D1A">
              <w:rPr>
                <w:rFonts w:cs="Arial"/>
                <w:sz w:val="22"/>
              </w:rPr>
              <w:t>Non = 0</w:t>
            </w:r>
          </w:p>
        </w:tc>
        <w:tc>
          <w:tcPr>
            <w:tcW w:w="727" w:type="pct"/>
            <w:vAlign w:val="center"/>
          </w:tcPr>
          <w:p w14:paraId="346A74D8" w14:textId="77777777" w:rsidR="009021F1" w:rsidRPr="007E3D1A" w:rsidRDefault="009021F1" w:rsidP="00E637E3">
            <w:pPr>
              <w:rPr>
                <w:rFonts w:cs="Arial"/>
                <w:sz w:val="22"/>
              </w:rPr>
            </w:pPr>
            <w:r w:rsidRPr="007E3D1A">
              <w:rPr>
                <w:rFonts w:cs="Arial"/>
                <w:sz w:val="22"/>
              </w:rPr>
              <w:t>Oui (majeur) = 2</w:t>
            </w:r>
          </w:p>
          <w:p w14:paraId="731161A0" w14:textId="77777777" w:rsidR="009021F1" w:rsidRPr="007E3D1A" w:rsidRDefault="009021F1" w:rsidP="00E637E3">
            <w:pPr>
              <w:rPr>
                <w:rFonts w:cs="Arial"/>
                <w:sz w:val="22"/>
              </w:rPr>
            </w:pPr>
            <w:r w:rsidRPr="007E3D1A">
              <w:rPr>
                <w:rFonts w:cs="Arial"/>
                <w:sz w:val="22"/>
              </w:rPr>
              <w:t>Oui (mineur) = 1</w:t>
            </w:r>
          </w:p>
          <w:p w14:paraId="7CDB2B2F" w14:textId="77777777" w:rsidR="009021F1" w:rsidRPr="007E3D1A" w:rsidRDefault="009021F1" w:rsidP="00E637E3">
            <w:pPr>
              <w:rPr>
                <w:rFonts w:cs="Arial"/>
                <w:sz w:val="22"/>
              </w:rPr>
            </w:pPr>
            <w:r w:rsidRPr="007E3D1A">
              <w:rPr>
                <w:rFonts w:cs="Arial"/>
                <w:sz w:val="22"/>
              </w:rPr>
              <w:t>Non = 0</w:t>
            </w:r>
          </w:p>
        </w:tc>
        <w:tc>
          <w:tcPr>
            <w:tcW w:w="420" w:type="pct"/>
          </w:tcPr>
          <w:p w14:paraId="7F14B836" w14:textId="77777777" w:rsidR="009021F1" w:rsidRPr="007E3D1A" w:rsidRDefault="009021F1" w:rsidP="00E637E3">
            <w:pPr>
              <w:rPr>
                <w:rFonts w:cs="Arial"/>
                <w:sz w:val="22"/>
              </w:rPr>
            </w:pPr>
          </w:p>
        </w:tc>
        <w:tc>
          <w:tcPr>
            <w:tcW w:w="769" w:type="pct"/>
          </w:tcPr>
          <w:p w14:paraId="58EBDF7C" w14:textId="77777777" w:rsidR="009021F1" w:rsidRPr="007E3D1A" w:rsidRDefault="009021F1" w:rsidP="00E637E3">
            <w:pPr>
              <w:rPr>
                <w:rFonts w:cs="Arial"/>
                <w:sz w:val="22"/>
              </w:rPr>
            </w:pPr>
          </w:p>
        </w:tc>
      </w:tr>
      <w:tr w:rsidR="009021F1" w:rsidRPr="007E3D1A" w14:paraId="4B811DE4" w14:textId="77777777" w:rsidTr="00E637E3">
        <w:trPr>
          <w:cantSplit/>
          <w:trHeight w:val="228"/>
        </w:trPr>
        <w:tc>
          <w:tcPr>
            <w:tcW w:w="804" w:type="pct"/>
            <w:vMerge/>
          </w:tcPr>
          <w:p w14:paraId="76DC9676" w14:textId="77777777" w:rsidR="009021F1" w:rsidRPr="007E3D1A" w:rsidRDefault="009021F1" w:rsidP="00E637E3">
            <w:pPr>
              <w:rPr>
                <w:rFonts w:cs="Arial"/>
                <w:sz w:val="22"/>
              </w:rPr>
            </w:pPr>
          </w:p>
        </w:tc>
        <w:tc>
          <w:tcPr>
            <w:tcW w:w="1539" w:type="pct"/>
            <w:vAlign w:val="bottom"/>
          </w:tcPr>
          <w:p w14:paraId="07851865" w14:textId="77777777" w:rsidR="009021F1" w:rsidRPr="007E3D1A" w:rsidRDefault="009021F1" w:rsidP="00E637E3">
            <w:pPr>
              <w:rPr>
                <w:rFonts w:cs="Arial"/>
                <w:sz w:val="22"/>
              </w:rPr>
            </w:pPr>
            <w:r w:rsidRPr="007E3D1A">
              <w:rPr>
                <w:rFonts w:cs="Arial"/>
                <w:sz w:val="22"/>
              </w:rPr>
              <w:t>L’activité risque-t-elle d’induire des risques d’accidents pour les travailleurs et les populations ?</w:t>
            </w:r>
          </w:p>
          <w:p w14:paraId="180580FC" w14:textId="77777777" w:rsidR="009021F1" w:rsidRPr="007E3D1A" w:rsidRDefault="009021F1" w:rsidP="00E637E3">
            <w:pPr>
              <w:rPr>
                <w:rFonts w:cs="Arial"/>
                <w:sz w:val="22"/>
              </w:rPr>
            </w:pPr>
          </w:p>
        </w:tc>
        <w:tc>
          <w:tcPr>
            <w:tcW w:w="741" w:type="pct"/>
            <w:vAlign w:val="center"/>
          </w:tcPr>
          <w:p w14:paraId="2631F00E" w14:textId="77777777" w:rsidR="009021F1" w:rsidRPr="007E3D1A" w:rsidRDefault="009021F1" w:rsidP="00E637E3">
            <w:pPr>
              <w:rPr>
                <w:rFonts w:cs="Arial"/>
                <w:sz w:val="22"/>
              </w:rPr>
            </w:pPr>
            <w:r w:rsidRPr="007E3D1A">
              <w:rPr>
                <w:rFonts w:cs="Arial"/>
                <w:sz w:val="22"/>
              </w:rPr>
              <w:t>Oui (majeur) = 2</w:t>
            </w:r>
          </w:p>
          <w:p w14:paraId="64D31EE0" w14:textId="77777777" w:rsidR="009021F1" w:rsidRPr="007E3D1A" w:rsidRDefault="009021F1" w:rsidP="00E637E3">
            <w:pPr>
              <w:rPr>
                <w:rFonts w:cs="Arial"/>
                <w:sz w:val="22"/>
              </w:rPr>
            </w:pPr>
            <w:r w:rsidRPr="007E3D1A">
              <w:rPr>
                <w:rFonts w:cs="Arial"/>
                <w:sz w:val="22"/>
              </w:rPr>
              <w:t>Oui (mineur) = 1</w:t>
            </w:r>
          </w:p>
          <w:p w14:paraId="125476C2" w14:textId="77777777" w:rsidR="009021F1" w:rsidRPr="007E3D1A" w:rsidRDefault="009021F1" w:rsidP="00E637E3">
            <w:pPr>
              <w:rPr>
                <w:rFonts w:cs="Arial"/>
                <w:sz w:val="22"/>
              </w:rPr>
            </w:pPr>
            <w:r w:rsidRPr="007E3D1A">
              <w:rPr>
                <w:rFonts w:cs="Arial"/>
                <w:sz w:val="22"/>
              </w:rPr>
              <w:t>Non = 0</w:t>
            </w:r>
          </w:p>
        </w:tc>
        <w:tc>
          <w:tcPr>
            <w:tcW w:w="727" w:type="pct"/>
            <w:vAlign w:val="center"/>
          </w:tcPr>
          <w:p w14:paraId="4D5C9BDC" w14:textId="77777777" w:rsidR="009021F1" w:rsidRPr="007E3D1A" w:rsidRDefault="009021F1" w:rsidP="00E637E3">
            <w:pPr>
              <w:rPr>
                <w:rFonts w:cs="Arial"/>
                <w:sz w:val="22"/>
              </w:rPr>
            </w:pPr>
            <w:r w:rsidRPr="007E3D1A">
              <w:rPr>
                <w:rFonts w:cs="Arial"/>
                <w:sz w:val="22"/>
              </w:rPr>
              <w:t>Oui (majeur) = 2</w:t>
            </w:r>
          </w:p>
          <w:p w14:paraId="74D42747" w14:textId="77777777" w:rsidR="009021F1" w:rsidRPr="007E3D1A" w:rsidRDefault="009021F1" w:rsidP="00E637E3">
            <w:pPr>
              <w:rPr>
                <w:rFonts w:cs="Arial"/>
                <w:sz w:val="22"/>
              </w:rPr>
            </w:pPr>
            <w:r w:rsidRPr="007E3D1A">
              <w:rPr>
                <w:rFonts w:cs="Arial"/>
                <w:sz w:val="22"/>
              </w:rPr>
              <w:t>Oui (mineur) = 1</w:t>
            </w:r>
          </w:p>
          <w:p w14:paraId="09F3BF44" w14:textId="77777777" w:rsidR="009021F1" w:rsidRPr="007E3D1A" w:rsidRDefault="009021F1" w:rsidP="00E637E3">
            <w:pPr>
              <w:rPr>
                <w:rFonts w:cs="Arial"/>
                <w:sz w:val="22"/>
              </w:rPr>
            </w:pPr>
            <w:r w:rsidRPr="007E3D1A">
              <w:rPr>
                <w:rFonts w:cs="Arial"/>
                <w:sz w:val="22"/>
              </w:rPr>
              <w:t>Non = 0</w:t>
            </w:r>
          </w:p>
        </w:tc>
        <w:tc>
          <w:tcPr>
            <w:tcW w:w="420" w:type="pct"/>
          </w:tcPr>
          <w:p w14:paraId="66FD398A" w14:textId="77777777" w:rsidR="009021F1" w:rsidRPr="007E3D1A" w:rsidRDefault="009021F1" w:rsidP="00E637E3">
            <w:pPr>
              <w:rPr>
                <w:rFonts w:cs="Arial"/>
                <w:sz w:val="22"/>
              </w:rPr>
            </w:pPr>
          </w:p>
        </w:tc>
        <w:tc>
          <w:tcPr>
            <w:tcW w:w="769" w:type="pct"/>
          </w:tcPr>
          <w:p w14:paraId="1B9558EC" w14:textId="77777777" w:rsidR="009021F1" w:rsidRPr="007E3D1A" w:rsidRDefault="009021F1" w:rsidP="00E637E3">
            <w:pPr>
              <w:rPr>
                <w:rFonts w:cs="Arial"/>
                <w:sz w:val="22"/>
              </w:rPr>
            </w:pPr>
          </w:p>
        </w:tc>
      </w:tr>
      <w:tr w:rsidR="009021F1" w:rsidRPr="007E3D1A" w14:paraId="76A975B8" w14:textId="77777777" w:rsidTr="00E637E3">
        <w:trPr>
          <w:cantSplit/>
          <w:trHeight w:val="228"/>
        </w:trPr>
        <w:tc>
          <w:tcPr>
            <w:tcW w:w="804" w:type="pct"/>
            <w:vMerge/>
          </w:tcPr>
          <w:p w14:paraId="33648A99" w14:textId="77777777" w:rsidR="009021F1" w:rsidRPr="007E3D1A" w:rsidRDefault="009021F1" w:rsidP="00E637E3">
            <w:pPr>
              <w:rPr>
                <w:rFonts w:cs="Arial"/>
                <w:sz w:val="22"/>
              </w:rPr>
            </w:pPr>
          </w:p>
        </w:tc>
        <w:tc>
          <w:tcPr>
            <w:tcW w:w="1539" w:type="pct"/>
            <w:vAlign w:val="bottom"/>
          </w:tcPr>
          <w:p w14:paraId="3325D019" w14:textId="77777777" w:rsidR="009021F1" w:rsidRPr="007E3D1A" w:rsidRDefault="009021F1" w:rsidP="00E637E3">
            <w:pPr>
              <w:rPr>
                <w:rFonts w:cs="Arial"/>
                <w:sz w:val="22"/>
              </w:rPr>
            </w:pPr>
            <w:r w:rsidRPr="007E3D1A">
              <w:rPr>
                <w:rFonts w:cs="Arial"/>
                <w:sz w:val="22"/>
              </w:rPr>
              <w:t>L’activité risque-t-elle d’affecter l’alimentation en eau potable des populations (points d’eau, puits, forages, etc.) ? Distance &lt; 500 m</w:t>
            </w:r>
          </w:p>
        </w:tc>
        <w:tc>
          <w:tcPr>
            <w:tcW w:w="741" w:type="pct"/>
            <w:vAlign w:val="center"/>
          </w:tcPr>
          <w:p w14:paraId="4CAD119E" w14:textId="77777777" w:rsidR="009021F1" w:rsidRPr="007E3D1A" w:rsidRDefault="009021F1" w:rsidP="00E637E3">
            <w:pPr>
              <w:rPr>
                <w:rFonts w:cs="Arial"/>
                <w:sz w:val="22"/>
              </w:rPr>
            </w:pPr>
            <w:r w:rsidRPr="007E3D1A">
              <w:rPr>
                <w:rFonts w:cs="Arial"/>
                <w:sz w:val="22"/>
              </w:rPr>
              <w:t>Oui (majeur) = 2</w:t>
            </w:r>
          </w:p>
          <w:p w14:paraId="2689BFA1" w14:textId="77777777" w:rsidR="009021F1" w:rsidRPr="007E3D1A" w:rsidRDefault="009021F1" w:rsidP="00E637E3">
            <w:pPr>
              <w:rPr>
                <w:rFonts w:cs="Arial"/>
                <w:sz w:val="22"/>
              </w:rPr>
            </w:pPr>
            <w:r w:rsidRPr="007E3D1A">
              <w:rPr>
                <w:rFonts w:cs="Arial"/>
                <w:sz w:val="22"/>
              </w:rPr>
              <w:t>Oui (mineur) = 1</w:t>
            </w:r>
          </w:p>
          <w:p w14:paraId="0D89462E" w14:textId="77777777" w:rsidR="009021F1" w:rsidRPr="007E3D1A" w:rsidRDefault="009021F1" w:rsidP="00E637E3">
            <w:pPr>
              <w:rPr>
                <w:rFonts w:cs="Arial"/>
                <w:sz w:val="22"/>
              </w:rPr>
            </w:pPr>
            <w:r w:rsidRPr="007E3D1A">
              <w:rPr>
                <w:rFonts w:cs="Arial"/>
                <w:sz w:val="22"/>
              </w:rPr>
              <w:t>Non = 0</w:t>
            </w:r>
          </w:p>
        </w:tc>
        <w:tc>
          <w:tcPr>
            <w:tcW w:w="727" w:type="pct"/>
            <w:vAlign w:val="center"/>
          </w:tcPr>
          <w:p w14:paraId="6655F926" w14:textId="77777777" w:rsidR="009021F1" w:rsidRPr="007E3D1A" w:rsidRDefault="009021F1" w:rsidP="00E637E3">
            <w:pPr>
              <w:rPr>
                <w:rFonts w:cs="Arial"/>
                <w:sz w:val="22"/>
              </w:rPr>
            </w:pPr>
            <w:r w:rsidRPr="007E3D1A">
              <w:rPr>
                <w:rFonts w:cs="Arial"/>
                <w:sz w:val="22"/>
              </w:rPr>
              <w:t>Oui (majeur) = 2</w:t>
            </w:r>
          </w:p>
          <w:p w14:paraId="0B44079E" w14:textId="77777777" w:rsidR="009021F1" w:rsidRPr="007E3D1A" w:rsidRDefault="009021F1" w:rsidP="00E637E3">
            <w:pPr>
              <w:rPr>
                <w:rFonts w:cs="Arial"/>
                <w:sz w:val="22"/>
              </w:rPr>
            </w:pPr>
            <w:r w:rsidRPr="007E3D1A">
              <w:rPr>
                <w:rFonts w:cs="Arial"/>
                <w:sz w:val="22"/>
              </w:rPr>
              <w:t>Oui (mineur) = 1</w:t>
            </w:r>
          </w:p>
          <w:p w14:paraId="4BE4DF96" w14:textId="77777777" w:rsidR="009021F1" w:rsidRPr="007E3D1A" w:rsidRDefault="009021F1" w:rsidP="00E637E3">
            <w:pPr>
              <w:rPr>
                <w:rFonts w:cs="Arial"/>
                <w:sz w:val="22"/>
              </w:rPr>
            </w:pPr>
            <w:r w:rsidRPr="007E3D1A">
              <w:rPr>
                <w:rFonts w:cs="Arial"/>
                <w:sz w:val="22"/>
              </w:rPr>
              <w:t>Non = 0</w:t>
            </w:r>
          </w:p>
        </w:tc>
        <w:tc>
          <w:tcPr>
            <w:tcW w:w="420" w:type="pct"/>
          </w:tcPr>
          <w:p w14:paraId="26625742" w14:textId="77777777" w:rsidR="009021F1" w:rsidRPr="007E3D1A" w:rsidRDefault="009021F1" w:rsidP="00E637E3">
            <w:pPr>
              <w:rPr>
                <w:rFonts w:cs="Arial"/>
                <w:sz w:val="22"/>
              </w:rPr>
            </w:pPr>
          </w:p>
        </w:tc>
        <w:tc>
          <w:tcPr>
            <w:tcW w:w="769" w:type="pct"/>
          </w:tcPr>
          <w:p w14:paraId="25BA49AF" w14:textId="77777777" w:rsidR="009021F1" w:rsidRPr="007E3D1A" w:rsidRDefault="009021F1" w:rsidP="00E637E3">
            <w:pPr>
              <w:rPr>
                <w:rFonts w:cs="Arial"/>
                <w:sz w:val="22"/>
              </w:rPr>
            </w:pPr>
          </w:p>
        </w:tc>
      </w:tr>
      <w:tr w:rsidR="009021F1" w:rsidRPr="007E3D1A" w14:paraId="079D1341" w14:textId="77777777" w:rsidTr="00E637E3">
        <w:trPr>
          <w:cantSplit/>
          <w:trHeight w:val="228"/>
        </w:trPr>
        <w:tc>
          <w:tcPr>
            <w:tcW w:w="804" w:type="pct"/>
            <w:vMerge/>
          </w:tcPr>
          <w:p w14:paraId="5E16080E" w14:textId="77777777" w:rsidR="009021F1" w:rsidRPr="007E3D1A" w:rsidRDefault="009021F1" w:rsidP="00E637E3">
            <w:pPr>
              <w:rPr>
                <w:rFonts w:cs="Arial"/>
                <w:sz w:val="22"/>
              </w:rPr>
            </w:pPr>
          </w:p>
        </w:tc>
        <w:tc>
          <w:tcPr>
            <w:tcW w:w="1539" w:type="pct"/>
            <w:vAlign w:val="bottom"/>
          </w:tcPr>
          <w:p w14:paraId="0E3FF6CD" w14:textId="77777777" w:rsidR="009021F1" w:rsidRPr="007E3D1A" w:rsidRDefault="009021F1" w:rsidP="00E637E3">
            <w:pPr>
              <w:rPr>
                <w:rFonts w:cs="Arial"/>
                <w:sz w:val="22"/>
              </w:rPr>
            </w:pPr>
            <w:r w:rsidRPr="007E3D1A">
              <w:rPr>
                <w:rFonts w:cs="Arial"/>
                <w:sz w:val="22"/>
              </w:rPr>
              <w:t>L’activité risque-t-elle d’affecter la santé travailleurs et des populations locales (IST/VIH/SIDA, autres maladies) ?</w:t>
            </w:r>
          </w:p>
        </w:tc>
        <w:tc>
          <w:tcPr>
            <w:tcW w:w="741" w:type="pct"/>
            <w:vAlign w:val="center"/>
          </w:tcPr>
          <w:p w14:paraId="46EBD7A9" w14:textId="77777777" w:rsidR="009021F1" w:rsidRPr="007E3D1A" w:rsidRDefault="009021F1" w:rsidP="00E637E3">
            <w:pPr>
              <w:rPr>
                <w:rFonts w:cs="Arial"/>
                <w:sz w:val="22"/>
              </w:rPr>
            </w:pPr>
            <w:r w:rsidRPr="007E3D1A">
              <w:rPr>
                <w:rFonts w:cs="Arial"/>
                <w:sz w:val="22"/>
              </w:rPr>
              <w:t>Oui (majeur) = 2</w:t>
            </w:r>
          </w:p>
          <w:p w14:paraId="60BD4948" w14:textId="77777777" w:rsidR="009021F1" w:rsidRPr="007E3D1A" w:rsidRDefault="009021F1" w:rsidP="00E637E3">
            <w:pPr>
              <w:rPr>
                <w:rFonts w:cs="Arial"/>
                <w:sz w:val="22"/>
              </w:rPr>
            </w:pPr>
            <w:r w:rsidRPr="007E3D1A">
              <w:rPr>
                <w:rFonts w:cs="Arial"/>
                <w:sz w:val="22"/>
              </w:rPr>
              <w:t>Oui (mineur) = 1</w:t>
            </w:r>
          </w:p>
          <w:p w14:paraId="58B135A8" w14:textId="77777777" w:rsidR="009021F1" w:rsidRPr="007E3D1A" w:rsidRDefault="009021F1" w:rsidP="00E637E3">
            <w:pPr>
              <w:rPr>
                <w:rFonts w:cs="Arial"/>
                <w:sz w:val="22"/>
              </w:rPr>
            </w:pPr>
            <w:r w:rsidRPr="007E3D1A">
              <w:rPr>
                <w:rFonts w:cs="Arial"/>
                <w:sz w:val="22"/>
              </w:rPr>
              <w:t>Non = 0</w:t>
            </w:r>
          </w:p>
        </w:tc>
        <w:tc>
          <w:tcPr>
            <w:tcW w:w="727" w:type="pct"/>
            <w:vAlign w:val="center"/>
          </w:tcPr>
          <w:p w14:paraId="21645A74" w14:textId="77777777" w:rsidR="009021F1" w:rsidRPr="007E3D1A" w:rsidRDefault="009021F1" w:rsidP="00E637E3">
            <w:pPr>
              <w:rPr>
                <w:rFonts w:cs="Arial"/>
                <w:sz w:val="22"/>
              </w:rPr>
            </w:pPr>
            <w:r w:rsidRPr="007E3D1A">
              <w:rPr>
                <w:rFonts w:cs="Arial"/>
                <w:sz w:val="22"/>
              </w:rPr>
              <w:t>Oui (majeur) = 2</w:t>
            </w:r>
          </w:p>
          <w:p w14:paraId="21EEE79D" w14:textId="77777777" w:rsidR="009021F1" w:rsidRPr="007E3D1A" w:rsidRDefault="009021F1" w:rsidP="00E637E3">
            <w:pPr>
              <w:rPr>
                <w:rFonts w:cs="Arial"/>
                <w:sz w:val="22"/>
              </w:rPr>
            </w:pPr>
            <w:r w:rsidRPr="007E3D1A">
              <w:rPr>
                <w:rFonts w:cs="Arial"/>
                <w:sz w:val="22"/>
              </w:rPr>
              <w:t>Oui (mineur) = 1</w:t>
            </w:r>
          </w:p>
          <w:p w14:paraId="653832D9" w14:textId="77777777" w:rsidR="009021F1" w:rsidRPr="007E3D1A" w:rsidRDefault="009021F1" w:rsidP="00E637E3">
            <w:pPr>
              <w:rPr>
                <w:rFonts w:cs="Arial"/>
                <w:sz w:val="22"/>
              </w:rPr>
            </w:pPr>
            <w:r w:rsidRPr="007E3D1A">
              <w:rPr>
                <w:rFonts w:cs="Arial"/>
                <w:sz w:val="22"/>
              </w:rPr>
              <w:t>Non = 0</w:t>
            </w:r>
          </w:p>
        </w:tc>
        <w:tc>
          <w:tcPr>
            <w:tcW w:w="420" w:type="pct"/>
          </w:tcPr>
          <w:p w14:paraId="38038D3E" w14:textId="77777777" w:rsidR="009021F1" w:rsidRPr="007E3D1A" w:rsidRDefault="009021F1" w:rsidP="00E637E3">
            <w:pPr>
              <w:rPr>
                <w:rFonts w:cs="Arial"/>
                <w:sz w:val="22"/>
              </w:rPr>
            </w:pPr>
          </w:p>
        </w:tc>
        <w:tc>
          <w:tcPr>
            <w:tcW w:w="769" w:type="pct"/>
          </w:tcPr>
          <w:p w14:paraId="7B4E5844" w14:textId="77777777" w:rsidR="009021F1" w:rsidRPr="007E3D1A" w:rsidRDefault="009021F1" w:rsidP="00E637E3">
            <w:pPr>
              <w:rPr>
                <w:rFonts w:cs="Arial"/>
                <w:sz w:val="22"/>
              </w:rPr>
            </w:pPr>
          </w:p>
        </w:tc>
      </w:tr>
      <w:tr w:rsidR="009021F1" w:rsidRPr="007E3D1A" w14:paraId="6008DC0D" w14:textId="77777777" w:rsidTr="00E637E3">
        <w:trPr>
          <w:cantSplit/>
          <w:trHeight w:val="228"/>
        </w:trPr>
        <w:tc>
          <w:tcPr>
            <w:tcW w:w="804" w:type="pct"/>
            <w:vMerge/>
          </w:tcPr>
          <w:p w14:paraId="2FF8637B" w14:textId="77777777" w:rsidR="009021F1" w:rsidRPr="007E3D1A" w:rsidRDefault="009021F1" w:rsidP="00E637E3">
            <w:pPr>
              <w:rPr>
                <w:rFonts w:cs="Arial"/>
                <w:sz w:val="22"/>
              </w:rPr>
            </w:pPr>
          </w:p>
        </w:tc>
        <w:tc>
          <w:tcPr>
            <w:tcW w:w="1539" w:type="pct"/>
            <w:vAlign w:val="bottom"/>
          </w:tcPr>
          <w:p w14:paraId="670D285E" w14:textId="77777777" w:rsidR="009021F1" w:rsidRPr="007E3D1A" w:rsidRDefault="009021F1" w:rsidP="00E637E3">
            <w:pPr>
              <w:rPr>
                <w:rFonts w:cs="Arial"/>
                <w:sz w:val="22"/>
              </w:rPr>
            </w:pPr>
            <w:r w:rsidRPr="007E3D1A">
              <w:rPr>
                <w:rFonts w:cs="Arial"/>
                <w:sz w:val="22"/>
              </w:rPr>
              <w:t>L’activité peut-elle exacerber les risques de violences basées sur le genre, y compris l’exploitation et abus sexuels, et le harcèlement sexuel (VBG/EAS/HS) ?</w:t>
            </w:r>
          </w:p>
          <w:p w14:paraId="7ED2914F" w14:textId="77777777" w:rsidR="009021F1" w:rsidRPr="007E3D1A" w:rsidRDefault="009021F1" w:rsidP="00E637E3">
            <w:pPr>
              <w:rPr>
                <w:rFonts w:cs="Arial"/>
                <w:sz w:val="22"/>
              </w:rPr>
            </w:pPr>
          </w:p>
        </w:tc>
        <w:tc>
          <w:tcPr>
            <w:tcW w:w="741" w:type="pct"/>
            <w:vAlign w:val="center"/>
          </w:tcPr>
          <w:p w14:paraId="6F1D8ADE" w14:textId="77777777" w:rsidR="009021F1" w:rsidRPr="007E3D1A" w:rsidRDefault="009021F1" w:rsidP="00E637E3">
            <w:pPr>
              <w:rPr>
                <w:rFonts w:cs="Arial"/>
                <w:sz w:val="22"/>
              </w:rPr>
            </w:pPr>
            <w:r w:rsidRPr="007E3D1A">
              <w:rPr>
                <w:rFonts w:cs="Arial"/>
                <w:sz w:val="22"/>
              </w:rPr>
              <w:t>Oui (majeur) = 2</w:t>
            </w:r>
          </w:p>
          <w:p w14:paraId="5B655A90" w14:textId="77777777" w:rsidR="009021F1" w:rsidRPr="007E3D1A" w:rsidRDefault="009021F1" w:rsidP="00E637E3">
            <w:pPr>
              <w:rPr>
                <w:rFonts w:cs="Arial"/>
                <w:sz w:val="22"/>
              </w:rPr>
            </w:pPr>
            <w:r w:rsidRPr="007E3D1A">
              <w:rPr>
                <w:rFonts w:cs="Arial"/>
                <w:sz w:val="22"/>
              </w:rPr>
              <w:t>Oui (mineur) = 1</w:t>
            </w:r>
          </w:p>
          <w:p w14:paraId="5A502026" w14:textId="77777777" w:rsidR="009021F1" w:rsidRPr="007E3D1A" w:rsidRDefault="009021F1" w:rsidP="00E637E3">
            <w:pPr>
              <w:rPr>
                <w:rFonts w:cs="Arial"/>
                <w:sz w:val="22"/>
              </w:rPr>
            </w:pPr>
            <w:r w:rsidRPr="007E3D1A">
              <w:rPr>
                <w:rFonts w:cs="Arial"/>
                <w:sz w:val="22"/>
              </w:rPr>
              <w:t>Non = 0</w:t>
            </w:r>
          </w:p>
        </w:tc>
        <w:tc>
          <w:tcPr>
            <w:tcW w:w="727" w:type="pct"/>
            <w:vAlign w:val="center"/>
          </w:tcPr>
          <w:p w14:paraId="4EEE49D7" w14:textId="77777777" w:rsidR="009021F1" w:rsidRPr="007E3D1A" w:rsidRDefault="009021F1" w:rsidP="00E637E3">
            <w:pPr>
              <w:rPr>
                <w:rFonts w:cs="Arial"/>
                <w:sz w:val="22"/>
              </w:rPr>
            </w:pPr>
            <w:r w:rsidRPr="007E3D1A">
              <w:rPr>
                <w:rFonts w:cs="Arial"/>
                <w:sz w:val="22"/>
              </w:rPr>
              <w:t>Oui (majeur) = 2</w:t>
            </w:r>
          </w:p>
          <w:p w14:paraId="2693967F" w14:textId="77777777" w:rsidR="009021F1" w:rsidRPr="007E3D1A" w:rsidRDefault="009021F1" w:rsidP="00E637E3">
            <w:pPr>
              <w:rPr>
                <w:rFonts w:cs="Arial"/>
                <w:sz w:val="22"/>
              </w:rPr>
            </w:pPr>
            <w:r w:rsidRPr="007E3D1A">
              <w:rPr>
                <w:rFonts w:cs="Arial"/>
                <w:sz w:val="22"/>
              </w:rPr>
              <w:t>Oui (mineur) = 1</w:t>
            </w:r>
          </w:p>
          <w:p w14:paraId="0701545E" w14:textId="77777777" w:rsidR="009021F1" w:rsidRPr="007E3D1A" w:rsidRDefault="009021F1" w:rsidP="00E637E3">
            <w:pPr>
              <w:rPr>
                <w:rFonts w:cs="Arial"/>
                <w:sz w:val="22"/>
              </w:rPr>
            </w:pPr>
            <w:r w:rsidRPr="007E3D1A">
              <w:rPr>
                <w:rFonts w:cs="Arial"/>
                <w:sz w:val="22"/>
              </w:rPr>
              <w:t>Non = 0</w:t>
            </w:r>
          </w:p>
        </w:tc>
        <w:tc>
          <w:tcPr>
            <w:tcW w:w="420" w:type="pct"/>
          </w:tcPr>
          <w:p w14:paraId="590E3F89" w14:textId="77777777" w:rsidR="009021F1" w:rsidRPr="007E3D1A" w:rsidRDefault="009021F1" w:rsidP="00E637E3">
            <w:pPr>
              <w:rPr>
                <w:rFonts w:cs="Arial"/>
                <w:sz w:val="22"/>
              </w:rPr>
            </w:pPr>
          </w:p>
        </w:tc>
        <w:tc>
          <w:tcPr>
            <w:tcW w:w="769" w:type="pct"/>
          </w:tcPr>
          <w:p w14:paraId="12A85D1D" w14:textId="77777777" w:rsidR="009021F1" w:rsidRPr="007E3D1A" w:rsidRDefault="009021F1" w:rsidP="00E637E3">
            <w:pPr>
              <w:rPr>
                <w:rFonts w:cs="Arial"/>
                <w:sz w:val="22"/>
              </w:rPr>
            </w:pPr>
          </w:p>
        </w:tc>
      </w:tr>
      <w:tr w:rsidR="009021F1" w:rsidRPr="007E3D1A" w14:paraId="6B03DE29" w14:textId="77777777" w:rsidTr="00E637E3">
        <w:trPr>
          <w:cantSplit/>
          <w:trHeight w:val="228"/>
        </w:trPr>
        <w:tc>
          <w:tcPr>
            <w:tcW w:w="804" w:type="pct"/>
            <w:vMerge/>
          </w:tcPr>
          <w:p w14:paraId="4EEED99B" w14:textId="77777777" w:rsidR="009021F1" w:rsidRPr="007E3D1A" w:rsidRDefault="009021F1" w:rsidP="00E637E3">
            <w:pPr>
              <w:rPr>
                <w:rFonts w:cs="Arial"/>
                <w:sz w:val="22"/>
              </w:rPr>
            </w:pPr>
          </w:p>
        </w:tc>
        <w:tc>
          <w:tcPr>
            <w:tcW w:w="1539" w:type="pct"/>
            <w:vAlign w:val="bottom"/>
          </w:tcPr>
          <w:p w14:paraId="3C1EE4F4" w14:textId="77777777" w:rsidR="009021F1" w:rsidRPr="007E3D1A" w:rsidRDefault="009021F1" w:rsidP="00E637E3">
            <w:pPr>
              <w:rPr>
                <w:rFonts w:cs="Arial"/>
                <w:sz w:val="22"/>
              </w:rPr>
            </w:pPr>
            <w:r w:rsidRPr="007E3D1A">
              <w:rPr>
                <w:rFonts w:cs="Arial"/>
                <w:sz w:val="22"/>
              </w:rPr>
              <w:t>L’activité nécessite-t-elle  l’utilisation des agents de sécurité publics de manière temporaire ou permanente ?</w:t>
            </w:r>
          </w:p>
        </w:tc>
        <w:tc>
          <w:tcPr>
            <w:tcW w:w="741" w:type="pct"/>
            <w:vAlign w:val="center"/>
          </w:tcPr>
          <w:p w14:paraId="08422FB9" w14:textId="77777777" w:rsidR="009021F1" w:rsidRPr="007E3D1A" w:rsidRDefault="009021F1" w:rsidP="00E637E3">
            <w:pPr>
              <w:rPr>
                <w:rFonts w:cs="Arial"/>
                <w:sz w:val="22"/>
              </w:rPr>
            </w:pPr>
            <w:r w:rsidRPr="007E3D1A">
              <w:rPr>
                <w:rFonts w:cs="Arial"/>
                <w:sz w:val="22"/>
              </w:rPr>
              <w:t>Oui (majeur) = 2</w:t>
            </w:r>
          </w:p>
          <w:p w14:paraId="6E2D7FD5" w14:textId="77777777" w:rsidR="009021F1" w:rsidRPr="007E3D1A" w:rsidRDefault="009021F1" w:rsidP="00E637E3">
            <w:pPr>
              <w:rPr>
                <w:rFonts w:cs="Arial"/>
                <w:sz w:val="22"/>
              </w:rPr>
            </w:pPr>
            <w:r w:rsidRPr="007E3D1A">
              <w:rPr>
                <w:rFonts w:cs="Arial"/>
                <w:sz w:val="22"/>
              </w:rPr>
              <w:t>Oui (mineur) = 1</w:t>
            </w:r>
          </w:p>
          <w:p w14:paraId="628DEDFC" w14:textId="77777777" w:rsidR="009021F1" w:rsidRPr="007E3D1A" w:rsidRDefault="009021F1" w:rsidP="00E637E3">
            <w:pPr>
              <w:rPr>
                <w:rFonts w:cs="Arial"/>
                <w:sz w:val="22"/>
              </w:rPr>
            </w:pPr>
            <w:r w:rsidRPr="007E3D1A">
              <w:rPr>
                <w:rFonts w:cs="Arial"/>
                <w:sz w:val="22"/>
              </w:rPr>
              <w:t>Non = 0</w:t>
            </w:r>
          </w:p>
        </w:tc>
        <w:tc>
          <w:tcPr>
            <w:tcW w:w="727" w:type="pct"/>
            <w:vAlign w:val="center"/>
          </w:tcPr>
          <w:p w14:paraId="79EFD40E" w14:textId="77777777" w:rsidR="009021F1" w:rsidRPr="007E3D1A" w:rsidRDefault="009021F1" w:rsidP="00E637E3">
            <w:pPr>
              <w:rPr>
                <w:rFonts w:cs="Arial"/>
                <w:sz w:val="22"/>
              </w:rPr>
            </w:pPr>
            <w:r w:rsidRPr="007E3D1A">
              <w:rPr>
                <w:rFonts w:cs="Arial"/>
                <w:sz w:val="22"/>
              </w:rPr>
              <w:t>Oui (majeur) = 2</w:t>
            </w:r>
          </w:p>
          <w:p w14:paraId="00A7126E" w14:textId="77777777" w:rsidR="009021F1" w:rsidRPr="007E3D1A" w:rsidRDefault="009021F1" w:rsidP="00E637E3">
            <w:pPr>
              <w:rPr>
                <w:rFonts w:cs="Arial"/>
                <w:sz w:val="22"/>
              </w:rPr>
            </w:pPr>
            <w:r w:rsidRPr="007E3D1A">
              <w:rPr>
                <w:rFonts w:cs="Arial"/>
                <w:sz w:val="22"/>
              </w:rPr>
              <w:t>Oui (mineur) = 1</w:t>
            </w:r>
          </w:p>
          <w:p w14:paraId="247AA475" w14:textId="77777777" w:rsidR="009021F1" w:rsidRPr="007E3D1A" w:rsidRDefault="009021F1" w:rsidP="00E637E3">
            <w:pPr>
              <w:rPr>
                <w:rFonts w:cs="Arial"/>
                <w:sz w:val="22"/>
              </w:rPr>
            </w:pPr>
            <w:r w:rsidRPr="007E3D1A">
              <w:rPr>
                <w:rFonts w:cs="Arial"/>
                <w:sz w:val="22"/>
              </w:rPr>
              <w:t>Non = 0</w:t>
            </w:r>
          </w:p>
        </w:tc>
        <w:tc>
          <w:tcPr>
            <w:tcW w:w="420" w:type="pct"/>
          </w:tcPr>
          <w:p w14:paraId="1003F393" w14:textId="77777777" w:rsidR="009021F1" w:rsidRPr="007E3D1A" w:rsidRDefault="009021F1" w:rsidP="00E637E3">
            <w:pPr>
              <w:rPr>
                <w:rFonts w:cs="Arial"/>
                <w:sz w:val="22"/>
              </w:rPr>
            </w:pPr>
          </w:p>
        </w:tc>
        <w:tc>
          <w:tcPr>
            <w:tcW w:w="769" w:type="pct"/>
          </w:tcPr>
          <w:p w14:paraId="02A40FEE" w14:textId="77777777" w:rsidR="009021F1" w:rsidRPr="007E3D1A" w:rsidRDefault="009021F1" w:rsidP="00E637E3">
            <w:pPr>
              <w:rPr>
                <w:rFonts w:cs="Arial"/>
                <w:sz w:val="22"/>
              </w:rPr>
            </w:pPr>
          </w:p>
        </w:tc>
      </w:tr>
      <w:tr w:rsidR="009021F1" w:rsidRPr="007E3D1A" w14:paraId="02A1A2BB" w14:textId="77777777" w:rsidTr="00E637E3">
        <w:trPr>
          <w:cantSplit/>
          <w:trHeight w:val="228"/>
        </w:trPr>
        <w:tc>
          <w:tcPr>
            <w:tcW w:w="804" w:type="pct"/>
            <w:vMerge/>
          </w:tcPr>
          <w:p w14:paraId="0E6EB20A" w14:textId="77777777" w:rsidR="009021F1" w:rsidRPr="007E3D1A" w:rsidRDefault="009021F1" w:rsidP="00E637E3">
            <w:pPr>
              <w:rPr>
                <w:rFonts w:cs="Arial"/>
                <w:sz w:val="22"/>
              </w:rPr>
            </w:pPr>
          </w:p>
        </w:tc>
        <w:tc>
          <w:tcPr>
            <w:tcW w:w="1539" w:type="pct"/>
            <w:vAlign w:val="bottom"/>
          </w:tcPr>
          <w:p w14:paraId="47B0E20E" w14:textId="77777777" w:rsidR="009021F1" w:rsidRPr="007E3D1A" w:rsidRDefault="009021F1" w:rsidP="00E637E3">
            <w:pPr>
              <w:rPr>
                <w:rFonts w:cs="Arial"/>
                <w:sz w:val="22"/>
              </w:rPr>
            </w:pPr>
            <w:r w:rsidRPr="007E3D1A">
              <w:rPr>
                <w:rFonts w:cs="Arial"/>
                <w:sz w:val="22"/>
              </w:rPr>
              <w:t>L’activité peut-elle entraîner une accentuation des inégalités sociales ou exacerber des conflits sociaux au sein de la communauté ?</w:t>
            </w:r>
          </w:p>
        </w:tc>
        <w:tc>
          <w:tcPr>
            <w:tcW w:w="741" w:type="pct"/>
            <w:vAlign w:val="center"/>
          </w:tcPr>
          <w:p w14:paraId="67DD044E" w14:textId="77777777" w:rsidR="009021F1" w:rsidRPr="007E3D1A" w:rsidRDefault="009021F1" w:rsidP="00E637E3">
            <w:pPr>
              <w:rPr>
                <w:rFonts w:cs="Arial"/>
                <w:sz w:val="22"/>
              </w:rPr>
            </w:pPr>
            <w:r w:rsidRPr="007E3D1A">
              <w:rPr>
                <w:rFonts w:cs="Arial"/>
                <w:sz w:val="22"/>
              </w:rPr>
              <w:t>Oui (majeur) = 2</w:t>
            </w:r>
          </w:p>
          <w:p w14:paraId="24FB20A5" w14:textId="77777777" w:rsidR="009021F1" w:rsidRPr="007E3D1A" w:rsidRDefault="009021F1" w:rsidP="00E637E3">
            <w:pPr>
              <w:rPr>
                <w:rFonts w:cs="Arial"/>
                <w:sz w:val="22"/>
              </w:rPr>
            </w:pPr>
            <w:r w:rsidRPr="007E3D1A">
              <w:rPr>
                <w:rFonts w:cs="Arial"/>
                <w:sz w:val="22"/>
              </w:rPr>
              <w:t>Oui (mineur) = 1</w:t>
            </w:r>
          </w:p>
          <w:p w14:paraId="51201A87" w14:textId="77777777" w:rsidR="009021F1" w:rsidRPr="007E3D1A" w:rsidRDefault="009021F1" w:rsidP="00E637E3">
            <w:pPr>
              <w:rPr>
                <w:rFonts w:cs="Arial"/>
                <w:sz w:val="22"/>
              </w:rPr>
            </w:pPr>
            <w:r w:rsidRPr="007E3D1A">
              <w:rPr>
                <w:rFonts w:cs="Arial"/>
                <w:sz w:val="22"/>
              </w:rPr>
              <w:t>Non = 0</w:t>
            </w:r>
          </w:p>
        </w:tc>
        <w:tc>
          <w:tcPr>
            <w:tcW w:w="727" w:type="pct"/>
            <w:vAlign w:val="center"/>
          </w:tcPr>
          <w:p w14:paraId="57A69CE9" w14:textId="77777777" w:rsidR="009021F1" w:rsidRPr="007E3D1A" w:rsidRDefault="009021F1" w:rsidP="00E637E3">
            <w:pPr>
              <w:rPr>
                <w:rFonts w:cs="Arial"/>
                <w:sz w:val="22"/>
              </w:rPr>
            </w:pPr>
            <w:r w:rsidRPr="007E3D1A">
              <w:rPr>
                <w:rFonts w:cs="Arial"/>
                <w:sz w:val="22"/>
              </w:rPr>
              <w:t>Oui (majeur) = 2</w:t>
            </w:r>
          </w:p>
          <w:p w14:paraId="2DDE77C1" w14:textId="77777777" w:rsidR="009021F1" w:rsidRPr="007E3D1A" w:rsidRDefault="009021F1" w:rsidP="00E637E3">
            <w:pPr>
              <w:rPr>
                <w:rFonts w:cs="Arial"/>
                <w:sz w:val="22"/>
              </w:rPr>
            </w:pPr>
            <w:r w:rsidRPr="007E3D1A">
              <w:rPr>
                <w:rFonts w:cs="Arial"/>
                <w:sz w:val="22"/>
              </w:rPr>
              <w:t>Oui (mineur) = 1</w:t>
            </w:r>
          </w:p>
          <w:p w14:paraId="4AA4EA2C" w14:textId="77777777" w:rsidR="009021F1" w:rsidRPr="007E3D1A" w:rsidRDefault="009021F1" w:rsidP="00E637E3">
            <w:pPr>
              <w:rPr>
                <w:rFonts w:cs="Arial"/>
                <w:sz w:val="22"/>
              </w:rPr>
            </w:pPr>
            <w:r w:rsidRPr="007E3D1A">
              <w:rPr>
                <w:rFonts w:cs="Arial"/>
                <w:sz w:val="22"/>
              </w:rPr>
              <w:t>Non = 0</w:t>
            </w:r>
          </w:p>
        </w:tc>
        <w:tc>
          <w:tcPr>
            <w:tcW w:w="420" w:type="pct"/>
          </w:tcPr>
          <w:p w14:paraId="33B889A1" w14:textId="77777777" w:rsidR="009021F1" w:rsidRPr="007E3D1A" w:rsidRDefault="009021F1" w:rsidP="00E637E3">
            <w:pPr>
              <w:rPr>
                <w:rFonts w:cs="Arial"/>
                <w:sz w:val="22"/>
              </w:rPr>
            </w:pPr>
          </w:p>
        </w:tc>
        <w:tc>
          <w:tcPr>
            <w:tcW w:w="769" w:type="pct"/>
          </w:tcPr>
          <w:p w14:paraId="4984B1B1" w14:textId="77777777" w:rsidR="009021F1" w:rsidRPr="007E3D1A" w:rsidRDefault="009021F1" w:rsidP="00E637E3">
            <w:pPr>
              <w:rPr>
                <w:rFonts w:cs="Arial"/>
                <w:sz w:val="22"/>
              </w:rPr>
            </w:pPr>
          </w:p>
        </w:tc>
      </w:tr>
      <w:tr w:rsidR="009021F1" w:rsidRPr="007E3D1A" w14:paraId="3A485C47" w14:textId="77777777" w:rsidTr="00E637E3">
        <w:trPr>
          <w:cantSplit/>
          <w:trHeight w:val="572"/>
        </w:trPr>
        <w:tc>
          <w:tcPr>
            <w:tcW w:w="804" w:type="pct"/>
            <w:vMerge/>
          </w:tcPr>
          <w:p w14:paraId="0DEC81BB" w14:textId="77777777" w:rsidR="009021F1" w:rsidRPr="007E3D1A" w:rsidRDefault="009021F1" w:rsidP="00E637E3">
            <w:pPr>
              <w:rPr>
                <w:rFonts w:cs="Arial"/>
                <w:sz w:val="22"/>
              </w:rPr>
            </w:pPr>
          </w:p>
        </w:tc>
        <w:tc>
          <w:tcPr>
            <w:tcW w:w="1539" w:type="pct"/>
            <w:vAlign w:val="bottom"/>
          </w:tcPr>
          <w:p w14:paraId="45399357" w14:textId="77777777" w:rsidR="009021F1" w:rsidRPr="007E3D1A" w:rsidRDefault="009021F1" w:rsidP="00E637E3">
            <w:pPr>
              <w:rPr>
                <w:rFonts w:cs="Arial"/>
                <w:sz w:val="22"/>
              </w:rPr>
            </w:pPr>
            <w:r w:rsidRPr="007E3D1A">
              <w:rPr>
                <w:rFonts w:cs="Arial"/>
                <w:sz w:val="22"/>
              </w:rPr>
              <w:t>L’activité peut-elle entraîner des altérations de la qualité esthétique du paysage (incompatibilité avec le paysage ; destruction d’espaces vert, abattage d’arbres d’alignement, déboisement) ?</w:t>
            </w:r>
          </w:p>
        </w:tc>
        <w:tc>
          <w:tcPr>
            <w:tcW w:w="741" w:type="pct"/>
            <w:vAlign w:val="center"/>
          </w:tcPr>
          <w:p w14:paraId="4CD6481F" w14:textId="77777777" w:rsidR="009021F1" w:rsidRPr="007E3D1A" w:rsidRDefault="009021F1" w:rsidP="00E637E3">
            <w:pPr>
              <w:rPr>
                <w:rFonts w:cs="Arial"/>
                <w:sz w:val="22"/>
              </w:rPr>
            </w:pPr>
            <w:r w:rsidRPr="007E3D1A">
              <w:rPr>
                <w:rFonts w:cs="Arial"/>
                <w:sz w:val="22"/>
              </w:rPr>
              <w:t>Oui (majeur) = 2</w:t>
            </w:r>
          </w:p>
          <w:p w14:paraId="5399AD18" w14:textId="77777777" w:rsidR="009021F1" w:rsidRPr="007E3D1A" w:rsidRDefault="009021F1" w:rsidP="00E637E3">
            <w:pPr>
              <w:rPr>
                <w:rFonts w:cs="Arial"/>
                <w:sz w:val="22"/>
              </w:rPr>
            </w:pPr>
            <w:r w:rsidRPr="007E3D1A">
              <w:rPr>
                <w:rFonts w:cs="Arial"/>
                <w:sz w:val="22"/>
              </w:rPr>
              <w:t>Oui (mineur) = 1</w:t>
            </w:r>
          </w:p>
          <w:p w14:paraId="499257C5" w14:textId="77777777" w:rsidR="009021F1" w:rsidRPr="007E3D1A" w:rsidRDefault="009021F1" w:rsidP="00E637E3">
            <w:pPr>
              <w:rPr>
                <w:rFonts w:cs="Arial"/>
                <w:sz w:val="22"/>
              </w:rPr>
            </w:pPr>
            <w:r w:rsidRPr="007E3D1A">
              <w:rPr>
                <w:rFonts w:cs="Arial"/>
                <w:sz w:val="22"/>
              </w:rPr>
              <w:t>Non = 0</w:t>
            </w:r>
          </w:p>
        </w:tc>
        <w:tc>
          <w:tcPr>
            <w:tcW w:w="727" w:type="pct"/>
            <w:vAlign w:val="center"/>
          </w:tcPr>
          <w:p w14:paraId="0E3E098B" w14:textId="77777777" w:rsidR="009021F1" w:rsidRPr="007E3D1A" w:rsidRDefault="009021F1" w:rsidP="00E637E3">
            <w:pPr>
              <w:rPr>
                <w:rFonts w:cs="Arial"/>
                <w:sz w:val="22"/>
              </w:rPr>
            </w:pPr>
            <w:r w:rsidRPr="007E3D1A">
              <w:rPr>
                <w:rFonts w:cs="Arial"/>
                <w:sz w:val="22"/>
              </w:rPr>
              <w:t>Oui (majeur) = 2</w:t>
            </w:r>
          </w:p>
          <w:p w14:paraId="7D00DF53" w14:textId="77777777" w:rsidR="009021F1" w:rsidRPr="007E3D1A" w:rsidRDefault="009021F1" w:rsidP="00E637E3">
            <w:pPr>
              <w:rPr>
                <w:rFonts w:cs="Arial"/>
                <w:sz w:val="22"/>
              </w:rPr>
            </w:pPr>
            <w:r w:rsidRPr="007E3D1A">
              <w:rPr>
                <w:rFonts w:cs="Arial"/>
                <w:sz w:val="22"/>
              </w:rPr>
              <w:t>Oui (mineur) = 1</w:t>
            </w:r>
          </w:p>
          <w:p w14:paraId="25847E72" w14:textId="77777777" w:rsidR="009021F1" w:rsidRPr="007E3D1A" w:rsidRDefault="009021F1" w:rsidP="00E637E3">
            <w:pPr>
              <w:rPr>
                <w:rFonts w:cs="Arial"/>
                <w:sz w:val="22"/>
              </w:rPr>
            </w:pPr>
            <w:r w:rsidRPr="007E3D1A">
              <w:rPr>
                <w:rFonts w:cs="Arial"/>
                <w:sz w:val="22"/>
              </w:rPr>
              <w:t>Non = 0</w:t>
            </w:r>
          </w:p>
        </w:tc>
        <w:tc>
          <w:tcPr>
            <w:tcW w:w="420" w:type="pct"/>
          </w:tcPr>
          <w:p w14:paraId="66F3A8AA" w14:textId="77777777" w:rsidR="009021F1" w:rsidRPr="007E3D1A" w:rsidRDefault="009021F1" w:rsidP="00E637E3">
            <w:pPr>
              <w:rPr>
                <w:rFonts w:cs="Arial"/>
                <w:sz w:val="22"/>
              </w:rPr>
            </w:pPr>
          </w:p>
        </w:tc>
        <w:tc>
          <w:tcPr>
            <w:tcW w:w="769" w:type="pct"/>
          </w:tcPr>
          <w:p w14:paraId="2C9A6603" w14:textId="77777777" w:rsidR="009021F1" w:rsidRPr="007E3D1A" w:rsidRDefault="009021F1" w:rsidP="00E637E3">
            <w:pPr>
              <w:rPr>
                <w:rFonts w:cs="Arial"/>
                <w:sz w:val="22"/>
              </w:rPr>
            </w:pPr>
          </w:p>
        </w:tc>
      </w:tr>
      <w:tr w:rsidR="009021F1" w:rsidRPr="007E3D1A" w14:paraId="5A10F975" w14:textId="77777777" w:rsidTr="00E637E3">
        <w:trPr>
          <w:cantSplit/>
          <w:trHeight w:val="228"/>
        </w:trPr>
        <w:tc>
          <w:tcPr>
            <w:tcW w:w="804" w:type="pct"/>
            <w:vMerge/>
          </w:tcPr>
          <w:p w14:paraId="0508EBCF" w14:textId="77777777" w:rsidR="009021F1" w:rsidRPr="007E3D1A" w:rsidRDefault="009021F1" w:rsidP="00E637E3">
            <w:pPr>
              <w:rPr>
                <w:rFonts w:cs="Arial"/>
                <w:sz w:val="22"/>
              </w:rPr>
            </w:pPr>
          </w:p>
        </w:tc>
        <w:tc>
          <w:tcPr>
            <w:tcW w:w="1539" w:type="pct"/>
            <w:vAlign w:val="bottom"/>
          </w:tcPr>
          <w:p w14:paraId="424B19C6" w14:textId="77777777" w:rsidR="009021F1" w:rsidRPr="007E3D1A" w:rsidRDefault="009021F1" w:rsidP="00E637E3">
            <w:pPr>
              <w:rPr>
                <w:rFonts w:cs="Arial"/>
                <w:sz w:val="22"/>
              </w:rPr>
            </w:pPr>
            <w:r w:rsidRPr="007E3D1A">
              <w:rPr>
                <w:rFonts w:cs="Arial"/>
                <w:sz w:val="22"/>
              </w:rPr>
              <w:t>Le site du projet est-il sujet à des phénomènes naturels (inondation, glissement de terrain, érosion, etc.) ?</w:t>
            </w:r>
          </w:p>
        </w:tc>
        <w:tc>
          <w:tcPr>
            <w:tcW w:w="741" w:type="pct"/>
            <w:vAlign w:val="center"/>
          </w:tcPr>
          <w:p w14:paraId="562895E6" w14:textId="77777777" w:rsidR="009021F1" w:rsidRPr="007E3D1A" w:rsidRDefault="009021F1" w:rsidP="00E637E3">
            <w:pPr>
              <w:rPr>
                <w:rFonts w:cs="Arial"/>
                <w:sz w:val="22"/>
              </w:rPr>
            </w:pPr>
            <w:r w:rsidRPr="007E3D1A">
              <w:rPr>
                <w:rFonts w:cs="Arial"/>
                <w:sz w:val="22"/>
              </w:rPr>
              <w:t>Oui (majeur) = 2</w:t>
            </w:r>
          </w:p>
          <w:p w14:paraId="6E0B71A4" w14:textId="77777777" w:rsidR="009021F1" w:rsidRPr="007E3D1A" w:rsidRDefault="009021F1" w:rsidP="00E637E3">
            <w:pPr>
              <w:rPr>
                <w:rFonts w:cs="Arial"/>
                <w:sz w:val="22"/>
              </w:rPr>
            </w:pPr>
            <w:r w:rsidRPr="007E3D1A">
              <w:rPr>
                <w:rFonts w:cs="Arial"/>
                <w:sz w:val="22"/>
              </w:rPr>
              <w:t>Oui (mineur) = 1</w:t>
            </w:r>
          </w:p>
          <w:p w14:paraId="48139FA8" w14:textId="77777777" w:rsidR="009021F1" w:rsidRPr="007E3D1A" w:rsidRDefault="009021F1" w:rsidP="00E637E3">
            <w:pPr>
              <w:rPr>
                <w:rFonts w:cs="Arial"/>
                <w:sz w:val="22"/>
              </w:rPr>
            </w:pPr>
            <w:r w:rsidRPr="007E3D1A">
              <w:rPr>
                <w:rFonts w:cs="Arial"/>
                <w:sz w:val="22"/>
              </w:rPr>
              <w:t>Non = 0</w:t>
            </w:r>
          </w:p>
        </w:tc>
        <w:tc>
          <w:tcPr>
            <w:tcW w:w="727" w:type="pct"/>
            <w:vAlign w:val="center"/>
          </w:tcPr>
          <w:p w14:paraId="33E0CC45" w14:textId="77777777" w:rsidR="009021F1" w:rsidRPr="007E3D1A" w:rsidRDefault="009021F1" w:rsidP="00E637E3">
            <w:pPr>
              <w:rPr>
                <w:rFonts w:cs="Arial"/>
                <w:sz w:val="22"/>
              </w:rPr>
            </w:pPr>
            <w:r w:rsidRPr="007E3D1A">
              <w:rPr>
                <w:rFonts w:cs="Arial"/>
                <w:sz w:val="22"/>
              </w:rPr>
              <w:t>Oui (majeur) = 2</w:t>
            </w:r>
          </w:p>
          <w:p w14:paraId="52093D8B" w14:textId="77777777" w:rsidR="009021F1" w:rsidRPr="007E3D1A" w:rsidRDefault="009021F1" w:rsidP="00E637E3">
            <w:pPr>
              <w:rPr>
                <w:rFonts w:cs="Arial"/>
                <w:sz w:val="22"/>
              </w:rPr>
            </w:pPr>
            <w:r w:rsidRPr="007E3D1A">
              <w:rPr>
                <w:rFonts w:cs="Arial"/>
                <w:sz w:val="22"/>
              </w:rPr>
              <w:t>Oui (mineur) = 1</w:t>
            </w:r>
          </w:p>
          <w:p w14:paraId="478AEC77" w14:textId="77777777" w:rsidR="009021F1" w:rsidRPr="007E3D1A" w:rsidRDefault="009021F1" w:rsidP="00E637E3">
            <w:pPr>
              <w:rPr>
                <w:rFonts w:cs="Arial"/>
                <w:sz w:val="22"/>
              </w:rPr>
            </w:pPr>
            <w:r w:rsidRPr="007E3D1A">
              <w:rPr>
                <w:rFonts w:cs="Arial"/>
                <w:sz w:val="22"/>
              </w:rPr>
              <w:t>Non = 0</w:t>
            </w:r>
          </w:p>
        </w:tc>
        <w:tc>
          <w:tcPr>
            <w:tcW w:w="420" w:type="pct"/>
          </w:tcPr>
          <w:p w14:paraId="379E6B72" w14:textId="77777777" w:rsidR="009021F1" w:rsidRPr="007E3D1A" w:rsidRDefault="009021F1" w:rsidP="00E637E3">
            <w:pPr>
              <w:rPr>
                <w:rFonts w:cs="Arial"/>
                <w:sz w:val="22"/>
              </w:rPr>
            </w:pPr>
          </w:p>
        </w:tc>
        <w:tc>
          <w:tcPr>
            <w:tcW w:w="769" w:type="pct"/>
          </w:tcPr>
          <w:p w14:paraId="538CC290" w14:textId="77777777" w:rsidR="009021F1" w:rsidRPr="007E3D1A" w:rsidRDefault="009021F1" w:rsidP="00E637E3">
            <w:pPr>
              <w:rPr>
                <w:rFonts w:cs="Arial"/>
                <w:sz w:val="22"/>
              </w:rPr>
            </w:pPr>
          </w:p>
        </w:tc>
      </w:tr>
      <w:tr w:rsidR="009021F1" w:rsidRPr="007E3D1A" w14:paraId="0FF4760E" w14:textId="77777777" w:rsidTr="00E637E3">
        <w:trPr>
          <w:cantSplit/>
          <w:trHeight w:val="228"/>
        </w:trPr>
        <w:tc>
          <w:tcPr>
            <w:tcW w:w="804" w:type="pct"/>
            <w:vMerge/>
          </w:tcPr>
          <w:p w14:paraId="583EF3F7" w14:textId="77777777" w:rsidR="009021F1" w:rsidRPr="007E3D1A" w:rsidRDefault="009021F1" w:rsidP="00E637E3">
            <w:pPr>
              <w:rPr>
                <w:rFonts w:cs="Arial"/>
                <w:sz w:val="22"/>
              </w:rPr>
            </w:pPr>
          </w:p>
        </w:tc>
        <w:tc>
          <w:tcPr>
            <w:tcW w:w="1539" w:type="pct"/>
            <w:vAlign w:val="bottom"/>
          </w:tcPr>
          <w:p w14:paraId="02222B3E" w14:textId="77777777" w:rsidR="009021F1" w:rsidRPr="007E3D1A" w:rsidRDefault="009021F1" w:rsidP="00E637E3">
            <w:pPr>
              <w:rPr>
                <w:rFonts w:cs="Arial"/>
                <w:sz w:val="22"/>
              </w:rPr>
            </w:pPr>
            <w:r w:rsidRPr="007E3D1A">
              <w:rPr>
                <w:rFonts w:cs="Arial"/>
                <w:sz w:val="22"/>
              </w:rPr>
              <w:t>L’activité entraîne-t-elle un déplacement physique de populations ?</w:t>
            </w:r>
          </w:p>
        </w:tc>
        <w:tc>
          <w:tcPr>
            <w:tcW w:w="741" w:type="pct"/>
            <w:vAlign w:val="center"/>
          </w:tcPr>
          <w:p w14:paraId="73E19B33" w14:textId="77777777" w:rsidR="009021F1" w:rsidRPr="007E3D1A" w:rsidRDefault="009021F1" w:rsidP="00E637E3">
            <w:pPr>
              <w:rPr>
                <w:rFonts w:cs="Arial"/>
                <w:sz w:val="22"/>
              </w:rPr>
            </w:pPr>
            <w:r w:rsidRPr="007E3D1A">
              <w:rPr>
                <w:rFonts w:cs="Arial"/>
                <w:sz w:val="22"/>
              </w:rPr>
              <w:t>Oui (majeur) = 2</w:t>
            </w:r>
          </w:p>
          <w:p w14:paraId="310BDDC7" w14:textId="77777777" w:rsidR="009021F1" w:rsidRPr="007E3D1A" w:rsidRDefault="009021F1" w:rsidP="00E637E3">
            <w:pPr>
              <w:rPr>
                <w:rFonts w:cs="Arial"/>
                <w:sz w:val="22"/>
              </w:rPr>
            </w:pPr>
            <w:r w:rsidRPr="007E3D1A">
              <w:rPr>
                <w:rFonts w:cs="Arial"/>
                <w:sz w:val="22"/>
              </w:rPr>
              <w:t>Oui (mineur) = 1</w:t>
            </w:r>
          </w:p>
          <w:p w14:paraId="2F47FB94" w14:textId="77777777" w:rsidR="009021F1" w:rsidRPr="007E3D1A" w:rsidRDefault="009021F1" w:rsidP="00E637E3">
            <w:pPr>
              <w:rPr>
                <w:rFonts w:cs="Arial"/>
                <w:sz w:val="22"/>
              </w:rPr>
            </w:pPr>
            <w:r w:rsidRPr="007E3D1A">
              <w:rPr>
                <w:rFonts w:cs="Arial"/>
                <w:sz w:val="22"/>
              </w:rPr>
              <w:t>Non = 0</w:t>
            </w:r>
          </w:p>
        </w:tc>
        <w:tc>
          <w:tcPr>
            <w:tcW w:w="727" w:type="pct"/>
            <w:vAlign w:val="center"/>
          </w:tcPr>
          <w:p w14:paraId="778B1FE6" w14:textId="77777777" w:rsidR="009021F1" w:rsidRPr="007E3D1A" w:rsidRDefault="009021F1" w:rsidP="00E637E3">
            <w:pPr>
              <w:rPr>
                <w:rFonts w:cs="Arial"/>
                <w:sz w:val="22"/>
              </w:rPr>
            </w:pPr>
            <w:r w:rsidRPr="007E3D1A">
              <w:rPr>
                <w:rFonts w:cs="Arial"/>
                <w:sz w:val="22"/>
              </w:rPr>
              <w:t>Oui (majeur) = 2</w:t>
            </w:r>
          </w:p>
          <w:p w14:paraId="2F53B12B" w14:textId="77777777" w:rsidR="009021F1" w:rsidRPr="007E3D1A" w:rsidRDefault="009021F1" w:rsidP="00E637E3">
            <w:pPr>
              <w:rPr>
                <w:rFonts w:cs="Arial"/>
                <w:sz w:val="22"/>
              </w:rPr>
            </w:pPr>
            <w:r w:rsidRPr="007E3D1A">
              <w:rPr>
                <w:rFonts w:cs="Arial"/>
                <w:sz w:val="22"/>
              </w:rPr>
              <w:t>Oui (mineur) = 1</w:t>
            </w:r>
          </w:p>
          <w:p w14:paraId="38C086C7" w14:textId="77777777" w:rsidR="009021F1" w:rsidRPr="007E3D1A" w:rsidRDefault="009021F1" w:rsidP="00E637E3">
            <w:pPr>
              <w:rPr>
                <w:rFonts w:cs="Arial"/>
                <w:sz w:val="22"/>
              </w:rPr>
            </w:pPr>
            <w:r w:rsidRPr="007E3D1A">
              <w:rPr>
                <w:rFonts w:cs="Arial"/>
                <w:sz w:val="22"/>
              </w:rPr>
              <w:t>Non = 0</w:t>
            </w:r>
          </w:p>
        </w:tc>
        <w:tc>
          <w:tcPr>
            <w:tcW w:w="420" w:type="pct"/>
          </w:tcPr>
          <w:p w14:paraId="4CFF570F" w14:textId="77777777" w:rsidR="009021F1" w:rsidRPr="007E3D1A" w:rsidRDefault="009021F1" w:rsidP="00E637E3">
            <w:pPr>
              <w:rPr>
                <w:rFonts w:cs="Arial"/>
                <w:sz w:val="22"/>
              </w:rPr>
            </w:pPr>
          </w:p>
        </w:tc>
        <w:tc>
          <w:tcPr>
            <w:tcW w:w="769" w:type="pct"/>
          </w:tcPr>
          <w:p w14:paraId="7ABBC153" w14:textId="77777777" w:rsidR="009021F1" w:rsidRPr="007E3D1A" w:rsidRDefault="009021F1" w:rsidP="00E637E3">
            <w:pPr>
              <w:rPr>
                <w:rFonts w:cs="Arial"/>
                <w:sz w:val="22"/>
              </w:rPr>
            </w:pPr>
          </w:p>
        </w:tc>
      </w:tr>
      <w:tr w:rsidR="009021F1" w:rsidRPr="007E3D1A" w14:paraId="72D77791" w14:textId="77777777" w:rsidTr="00E637E3">
        <w:trPr>
          <w:cantSplit/>
          <w:trHeight w:val="824"/>
        </w:trPr>
        <w:tc>
          <w:tcPr>
            <w:tcW w:w="804" w:type="pct"/>
            <w:vMerge w:val="restart"/>
            <w:shd w:val="clear" w:color="auto" w:fill="auto"/>
          </w:tcPr>
          <w:p w14:paraId="3061B5F4" w14:textId="77777777" w:rsidR="009021F1" w:rsidRPr="007E3D1A" w:rsidRDefault="009021F1" w:rsidP="00E637E3">
            <w:pPr>
              <w:rPr>
                <w:rFonts w:cs="Arial"/>
                <w:sz w:val="22"/>
              </w:rPr>
            </w:pPr>
            <w:r w:rsidRPr="007E3D1A">
              <w:rPr>
                <w:rFonts w:cs="Arial"/>
                <w:sz w:val="22"/>
              </w:rPr>
              <w:t xml:space="preserve">Activités économiques </w:t>
            </w:r>
          </w:p>
        </w:tc>
        <w:tc>
          <w:tcPr>
            <w:tcW w:w="1539" w:type="pct"/>
            <w:vAlign w:val="bottom"/>
          </w:tcPr>
          <w:p w14:paraId="2F8E1454" w14:textId="77777777" w:rsidR="009021F1" w:rsidRPr="007E3D1A" w:rsidRDefault="009021F1" w:rsidP="00E637E3">
            <w:pPr>
              <w:rPr>
                <w:rFonts w:cs="Arial"/>
                <w:sz w:val="22"/>
              </w:rPr>
            </w:pPr>
            <w:r w:rsidRPr="007E3D1A">
              <w:rPr>
                <w:rFonts w:cs="Arial"/>
                <w:sz w:val="22"/>
              </w:rPr>
              <w:t>L’activité risque-t-elle d’entraîner une perturbation/dégradation des activités agricoles (destruction de champs agricole, dégradation de terres de cultures, etc.) ?</w:t>
            </w:r>
          </w:p>
        </w:tc>
        <w:tc>
          <w:tcPr>
            <w:tcW w:w="741" w:type="pct"/>
            <w:vAlign w:val="center"/>
          </w:tcPr>
          <w:p w14:paraId="78AEA750" w14:textId="77777777" w:rsidR="009021F1" w:rsidRPr="007E3D1A" w:rsidRDefault="009021F1" w:rsidP="00E637E3">
            <w:pPr>
              <w:rPr>
                <w:rFonts w:cs="Arial"/>
                <w:sz w:val="22"/>
              </w:rPr>
            </w:pPr>
            <w:r w:rsidRPr="007E3D1A">
              <w:rPr>
                <w:rFonts w:cs="Arial"/>
                <w:sz w:val="22"/>
              </w:rPr>
              <w:t>Oui (majeur) = 2</w:t>
            </w:r>
          </w:p>
          <w:p w14:paraId="5F55AF3B" w14:textId="77777777" w:rsidR="009021F1" w:rsidRPr="007E3D1A" w:rsidRDefault="009021F1" w:rsidP="00E637E3">
            <w:pPr>
              <w:rPr>
                <w:rFonts w:cs="Arial"/>
                <w:sz w:val="22"/>
              </w:rPr>
            </w:pPr>
            <w:r w:rsidRPr="007E3D1A">
              <w:rPr>
                <w:rFonts w:cs="Arial"/>
                <w:sz w:val="22"/>
              </w:rPr>
              <w:t>Oui (mineur) = 1</w:t>
            </w:r>
          </w:p>
          <w:p w14:paraId="75305E58" w14:textId="77777777" w:rsidR="009021F1" w:rsidRPr="007E3D1A" w:rsidRDefault="009021F1" w:rsidP="00E637E3">
            <w:pPr>
              <w:rPr>
                <w:rFonts w:cs="Arial"/>
                <w:sz w:val="22"/>
              </w:rPr>
            </w:pPr>
            <w:r w:rsidRPr="007E3D1A">
              <w:rPr>
                <w:rFonts w:cs="Arial"/>
                <w:sz w:val="22"/>
              </w:rPr>
              <w:t>Non = 0</w:t>
            </w:r>
          </w:p>
        </w:tc>
        <w:tc>
          <w:tcPr>
            <w:tcW w:w="727" w:type="pct"/>
            <w:vAlign w:val="center"/>
          </w:tcPr>
          <w:p w14:paraId="5BA05618" w14:textId="77777777" w:rsidR="009021F1" w:rsidRPr="007E3D1A" w:rsidRDefault="009021F1" w:rsidP="00E637E3">
            <w:pPr>
              <w:rPr>
                <w:rFonts w:cs="Arial"/>
                <w:sz w:val="22"/>
              </w:rPr>
            </w:pPr>
            <w:r w:rsidRPr="007E3D1A">
              <w:rPr>
                <w:rFonts w:cs="Arial"/>
                <w:sz w:val="22"/>
              </w:rPr>
              <w:t>Oui (majeur) = 2</w:t>
            </w:r>
          </w:p>
          <w:p w14:paraId="3113C7F0" w14:textId="77777777" w:rsidR="009021F1" w:rsidRPr="007E3D1A" w:rsidRDefault="009021F1" w:rsidP="00E637E3">
            <w:pPr>
              <w:rPr>
                <w:rFonts w:cs="Arial"/>
                <w:sz w:val="22"/>
              </w:rPr>
            </w:pPr>
            <w:r w:rsidRPr="007E3D1A">
              <w:rPr>
                <w:rFonts w:cs="Arial"/>
                <w:sz w:val="22"/>
              </w:rPr>
              <w:t>Oui (mineur) = 1</w:t>
            </w:r>
          </w:p>
          <w:p w14:paraId="5EEA0745" w14:textId="77777777" w:rsidR="009021F1" w:rsidRPr="007E3D1A" w:rsidRDefault="009021F1" w:rsidP="00E637E3">
            <w:pPr>
              <w:rPr>
                <w:rFonts w:cs="Arial"/>
                <w:sz w:val="22"/>
              </w:rPr>
            </w:pPr>
            <w:r w:rsidRPr="007E3D1A">
              <w:rPr>
                <w:rFonts w:cs="Arial"/>
                <w:sz w:val="22"/>
              </w:rPr>
              <w:t>Non = 0</w:t>
            </w:r>
          </w:p>
        </w:tc>
        <w:tc>
          <w:tcPr>
            <w:tcW w:w="420" w:type="pct"/>
          </w:tcPr>
          <w:p w14:paraId="5325CE0A" w14:textId="77777777" w:rsidR="009021F1" w:rsidRPr="007E3D1A" w:rsidRDefault="009021F1" w:rsidP="00E637E3">
            <w:pPr>
              <w:rPr>
                <w:rFonts w:cs="Arial"/>
                <w:sz w:val="22"/>
              </w:rPr>
            </w:pPr>
          </w:p>
        </w:tc>
        <w:tc>
          <w:tcPr>
            <w:tcW w:w="769" w:type="pct"/>
          </w:tcPr>
          <w:p w14:paraId="6C5E25A7" w14:textId="77777777" w:rsidR="009021F1" w:rsidRPr="007E3D1A" w:rsidRDefault="009021F1" w:rsidP="00E637E3">
            <w:pPr>
              <w:rPr>
                <w:rFonts w:cs="Arial"/>
                <w:sz w:val="22"/>
              </w:rPr>
            </w:pPr>
          </w:p>
        </w:tc>
      </w:tr>
      <w:tr w:rsidR="009021F1" w:rsidRPr="007E3D1A" w14:paraId="3207B750" w14:textId="77777777" w:rsidTr="00E637E3">
        <w:trPr>
          <w:cantSplit/>
          <w:trHeight w:val="228"/>
        </w:trPr>
        <w:tc>
          <w:tcPr>
            <w:tcW w:w="804" w:type="pct"/>
            <w:vMerge/>
            <w:shd w:val="clear" w:color="auto" w:fill="auto"/>
          </w:tcPr>
          <w:p w14:paraId="4F12F846" w14:textId="77777777" w:rsidR="009021F1" w:rsidRPr="007E3D1A" w:rsidRDefault="009021F1" w:rsidP="00E637E3">
            <w:pPr>
              <w:rPr>
                <w:rFonts w:cs="Arial"/>
                <w:sz w:val="22"/>
              </w:rPr>
            </w:pPr>
          </w:p>
        </w:tc>
        <w:tc>
          <w:tcPr>
            <w:tcW w:w="1539" w:type="pct"/>
            <w:vAlign w:val="bottom"/>
          </w:tcPr>
          <w:p w14:paraId="25CB8659" w14:textId="77777777" w:rsidR="009021F1" w:rsidRPr="007E3D1A" w:rsidRDefault="009021F1" w:rsidP="00E637E3">
            <w:pPr>
              <w:rPr>
                <w:rFonts w:cs="Arial"/>
                <w:sz w:val="22"/>
              </w:rPr>
            </w:pPr>
            <w:r w:rsidRPr="007E3D1A">
              <w:rPr>
                <w:rFonts w:cs="Arial"/>
                <w:sz w:val="22"/>
              </w:rPr>
              <w:t xml:space="preserve">L’activité risque-t-elle d’entraîner une perturbation des activités industrielles ? </w:t>
            </w:r>
          </w:p>
        </w:tc>
        <w:tc>
          <w:tcPr>
            <w:tcW w:w="741" w:type="pct"/>
            <w:vAlign w:val="center"/>
          </w:tcPr>
          <w:p w14:paraId="0BEDD3E9" w14:textId="77777777" w:rsidR="009021F1" w:rsidRPr="007E3D1A" w:rsidRDefault="009021F1" w:rsidP="00E637E3">
            <w:pPr>
              <w:rPr>
                <w:rFonts w:cs="Arial"/>
                <w:sz w:val="22"/>
              </w:rPr>
            </w:pPr>
            <w:r w:rsidRPr="007E3D1A">
              <w:rPr>
                <w:rFonts w:cs="Arial"/>
                <w:sz w:val="22"/>
              </w:rPr>
              <w:t>Oui (majeur) = 2</w:t>
            </w:r>
          </w:p>
          <w:p w14:paraId="3DE74160" w14:textId="77777777" w:rsidR="009021F1" w:rsidRPr="007E3D1A" w:rsidRDefault="009021F1" w:rsidP="00E637E3">
            <w:pPr>
              <w:rPr>
                <w:rFonts w:cs="Arial"/>
                <w:sz w:val="22"/>
              </w:rPr>
            </w:pPr>
            <w:r w:rsidRPr="007E3D1A">
              <w:rPr>
                <w:rFonts w:cs="Arial"/>
                <w:sz w:val="22"/>
              </w:rPr>
              <w:t>Oui (mineur) = 1</w:t>
            </w:r>
          </w:p>
          <w:p w14:paraId="6BC3CE66" w14:textId="77777777" w:rsidR="009021F1" w:rsidRPr="007E3D1A" w:rsidRDefault="009021F1" w:rsidP="00E637E3">
            <w:pPr>
              <w:rPr>
                <w:rFonts w:cs="Arial"/>
                <w:sz w:val="22"/>
              </w:rPr>
            </w:pPr>
            <w:r w:rsidRPr="007E3D1A">
              <w:rPr>
                <w:rFonts w:cs="Arial"/>
                <w:sz w:val="22"/>
              </w:rPr>
              <w:t>Non = 0</w:t>
            </w:r>
          </w:p>
        </w:tc>
        <w:tc>
          <w:tcPr>
            <w:tcW w:w="727" w:type="pct"/>
            <w:vAlign w:val="center"/>
          </w:tcPr>
          <w:p w14:paraId="51D206AE" w14:textId="77777777" w:rsidR="009021F1" w:rsidRPr="007E3D1A" w:rsidRDefault="009021F1" w:rsidP="00E637E3">
            <w:pPr>
              <w:rPr>
                <w:rFonts w:cs="Arial"/>
                <w:sz w:val="22"/>
              </w:rPr>
            </w:pPr>
            <w:r w:rsidRPr="007E3D1A">
              <w:rPr>
                <w:rFonts w:cs="Arial"/>
                <w:sz w:val="22"/>
              </w:rPr>
              <w:t>Oui (majeur) = 2</w:t>
            </w:r>
          </w:p>
          <w:p w14:paraId="01572325" w14:textId="77777777" w:rsidR="009021F1" w:rsidRPr="007E3D1A" w:rsidRDefault="009021F1" w:rsidP="00E637E3">
            <w:pPr>
              <w:rPr>
                <w:rFonts w:cs="Arial"/>
                <w:sz w:val="22"/>
              </w:rPr>
            </w:pPr>
            <w:r w:rsidRPr="007E3D1A">
              <w:rPr>
                <w:rFonts w:cs="Arial"/>
                <w:sz w:val="22"/>
              </w:rPr>
              <w:t>Oui (mineur) = 1</w:t>
            </w:r>
          </w:p>
          <w:p w14:paraId="06EC056E" w14:textId="77777777" w:rsidR="009021F1" w:rsidRPr="007E3D1A" w:rsidRDefault="009021F1" w:rsidP="00E637E3">
            <w:pPr>
              <w:rPr>
                <w:rFonts w:cs="Arial"/>
                <w:sz w:val="22"/>
              </w:rPr>
            </w:pPr>
            <w:r w:rsidRPr="007E3D1A">
              <w:rPr>
                <w:rFonts w:cs="Arial"/>
                <w:sz w:val="22"/>
              </w:rPr>
              <w:t>Non = 0</w:t>
            </w:r>
          </w:p>
        </w:tc>
        <w:tc>
          <w:tcPr>
            <w:tcW w:w="420" w:type="pct"/>
          </w:tcPr>
          <w:p w14:paraId="27990F47" w14:textId="77777777" w:rsidR="009021F1" w:rsidRPr="007E3D1A" w:rsidRDefault="009021F1" w:rsidP="00E637E3">
            <w:pPr>
              <w:rPr>
                <w:rFonts w:cs="Arial"/>
                <w:sz w:val="22"/>
              </w:rPr>
            </w:pPr>
          </w:p>
        </w:tc>
        <w:tc>
          <w:tcPr>
            <w:tcW w:w="769" w:type="pct"/>
          </w:tcPr>
          <w:p w14:paraId="35EBCC41" w14:textId="77777777" w:rsidR="009021F1" w:rsidRPr="007E3D1A" w:rsidRDefault="009021F1" w:rsidP="00E637E3">
            <w:pPr>
              <w:rPr>
                <w:rFonts w:cs="Arial"/>
                <w:sz w:val="22"/>
              </w:rPr>
            </w:pPr>
          </w:p>
        </w:tc>
      </w:tr>
      <w:tr w:rsidR="009021F1" w:rsidRPr="007E3D1A" w14:paraId="31E34A27" w14:textId="77777777" w:rsidTr="00E637E3">
        <w:trPr>
          <w:cantSplit/>
          <w:trHeight w:val="143"/>
        </w:trPr>
        <w:tc>
          <w:tcPr>
            <w:tcW w:w="804" w:type="pct"/>
            <w:vMerge/>
            <w:shd w:val="clear" w:color="auto" w:fill="auto"/>
          </w:tcPr>
          <w:p w14:paraId="6D104430" w14:textId="77777777" w:rsidR="009021F1" w:rsidRPr="007E3D1A" w:rsidRDefault="009021F1" w:rsidP="00E637E3">
            <w:pPr>
              <w:rPr>
                <w:rFonts w:cs="Arial"/>
                <w:sz w:val="22"/>
              </w:rPr>
            </w:pPr>
          </w:p>
        </w:tc>
        <w:tc>
          <w:tcPr>
            <w:tcW w:w="1539" w:type="pct"/>
            <w:vAlign w:val="bottom"/>
          </w:tcPr>
          <w:p w14:paraId="2414D442" w14:textId="77777777" w:rsidR="009021F1" w:rsidRPr="007E3D1A" w:rsidRDefault="009021F1" w:rsidP="00E637E3">
            <w:pPr>
              <w:rPr>
                <w:rFonts w:cs="Arial"/>
                <w:sz w:val="22"/>
              </w:rPr>
            </w:pPr>
            <w:r w:rsidRPr="007E3D1A">
              <w:rPr>
                <w:rFonts w:cs="Arial"/>
                <w:sz w:val="22"/>
              </w:rPr>
              <w:t>L’activité risque-t-elle d’entraîner une perturbation/dégradation des activités artisanales ?</w:t>
            </w:r>
          </w:p>
          <w:p w14:paraId="4E1FB454" w14:textId="77777777" w:rsidR="009021F1" w:rsidRPr="007E3D1A" w:rsidRDefault="009021F1" w:rsidP="00E637E3">
            <w:pPr>
              <w:rPr>
                <w:rFonts w:cs="Arial"/>
                <w:sz w:val="22"/>
              </w:rPr>
            </w:pPr>
          </w:p>
        </w:tc>
        <w:tc>
          <w:tcPr>
            <w:tcW w:w="741" w:type="pct"/>
            <w:vAlign w:val="center"/>
          </w:tcPr>
          <w:p w14:paraId="3155D7E1" w14:textId="77777777" w:rsidR="009021F1" w:rsidRPr="007E3D1A" w:rsidRDefault="009021F1" w:rsidP="00E637E3">
            <w:pPr>
              <w:rPr>
                <w:rFonts w:cs="Arial"/>
                <w:sz w:val="22"/>
              </w:rPr>
            </w:pPr>
            <w:r w:rsidRPr="007E3D1A">
              <w:rPr>
                <w:rFonts w:cs="Arial"/>
                <w:sz w:val="22"/>
              </w:rPr>
              <w:t>Oui (majeur) = 2</w:t>
            </w:r>
          </w:p>
          <w:p w14:paraId="454792A7" w14:textId="77777777" w:rsidR="009021F1" w:rsidRPr="007E3D1A" w:rsidRDefault="009021F1" w:rsidP="00E637E3">
            <w:pPr>
              <w:rPr>
                <w:rFonts w:cs="Arial"/>
                <w:sz w:val="22"/>
              </w:rPr>
            </w:pPr>
            <w:r w:rsidRPr="007E3D1A">
              <w:rPr>
                <w:rFonts w:cs="Arial"/>
                <w:sz w:val="22"/>
              </w:rPr>
              <w:t>Oui (mineur) = 1</w:t>
            </w:r>
          </w:p>
          <w:p w14:paraId="65D1E82F" w14:textId="77777777" w:rsidR="009021F1" w:rsidRPr="007E3D1A" w:rsidRDefault="009021F1" w:rsidP="00E637E3">
            <w:pPr>
              <w:rPr>
                <w:rFonts w:cs="Arial"/>
                <w:sz w:val="22"/>
              </w:rPr>
            </w:pPr>
            <w:r w:rsidRPr="007E3D1A">
              <w:rPr>
                <w:rFonts w:cs="Arial"/>
                <w:sz w:val="22"/>
              </w:rPr>
              <w:t>Non = 0</w:t>
            </w:r>
          </w:p>
        </w:tc>
        <w:tc>
          <w:tcPr>
            <w:tcW w:w="727" w:type="pct"/>
            <w:vAlign w:val="center"/>
          </w:tcPr>
          <w:p w14:paraId="40C532E8" w14:textId="77777777" w:rsidR="009021F1" w:rsidRPr="007E3D1A" w:rsidRDefault="009021F1" w:rsidP="00E637E3">
            <w:pPr>
              <w:rPr>
                <w:rFonts w:cs="Arial"/>
                <w:sz w:val="22"/>
              </w:rPr>
            </w:pPr>
            <w:r w:rsidRPr="007E3D1A">
              <w:rPr>
                <w:rFonts w:cs="Arial"/>
                <w:sz w:val="22"/>
              </w:rPr>
              <w:t>Oui (majeur) = 2</w:t>
            </w:r>
          </w:p>
          <w:p w14:paraId="683ED455" w14:textId="77777777" w:rsidR="009021F1" w:rsidRPr="007E3D1A" w:rsidRDefault="009021F1" w:rsidP="00E637E3">
            <w:pPr>
              <w:rPr>
                <w:rFonts w:cs="Arial"/>
                <w:sz w:val="22"/>
              </w:rPr>
            </w:pPr>
            <w:r w:rsidRPr="007E3D1A">
              <w:rPr>
                <w:rFonts w:cs="Arial"/>
                <w:sz w:val="22"/>
              </w:rPr>
              <w:t>Oui (mineur) = 1</w:t>
            </w:r>
          </w:p>
          <w:p w14:paraId="4D64A9DA" w14:textId="77777777" w:rsidR="009021F1" w:rsidRPr="007E3D1A" w:rsidRDefault="009021F1" w:rsidP="00E637E3">
            <w:pPr>
              <w:rPr>
                <w:rFonts w:cs="Arial"/>
                <w:sz w:val="22"/>
              </w:rPr>
            </w:pPr>
            <w:r w:rsidRPr="007E3D1A">
              <w:rPr>
                <w:rFonts w:cs="Arial"/>
                <w:sz w:val="22"/>
              </w:rPr>
              <w:t>Non = 0</w:t>
            </w:r>
          </w:p>
        </w:tc>
        <w:tc>
          <w:tcPr>
            <w:tcW w:w="420" w:type="pct"/>
          </w:tcPr>
          <w:p w14:paraId="29D4FC65" w14:textId="77777777" w:rsidR="009021F1" w:rsidRPr="007E3D1A" w:rsidRDefault="009021F1" w:rsidP="00E637E3">
            <w:pPr>
              <w:rPr>
                <w:rFonts w:cs="Arial"/>
                <w:sz w:val="22"/>
              </w:rPr>
            </w:pPr>
          </w:p>
        </w:tc>
        <w:tc>
          <w:tcPr>
            <w:tcW w:w="769" w:type="pct"/>
          </w:tcPr>
          <w:p w14:paraId="6AE36D41" w14:textId="77777777" w:rsidR="009021F1" w:rsidRPr="007E3D1A" w:rsidRDefault="009021F1" w:rsidP="00E637E3">
            <w:pPr>
              <w:rPr>
                <w:rFonts w:cs="Arial"/>
                <w:sz w:val="22"/>
              </w:rPr>
            </w:pPr>
          </w:p>
        </w:tc>
      </w:tr>
      <w:tr w:rsidR="009021F1" w:rsidRPr="007E3D1A" w14:paraId="29B1E202" w14:textId="77777777" w:rsidTr="00E637E3">
        <w:trPr>
          <w:cantSplit/>
          <w:trHeight w:val="228"/>
        </w:trPr>
        <w:tc>
          <w:tcPr>
            <w:tcW w:w="804" w:type="pct"/>
            <w:vMerge/>
            <w:shd w:val="clear" w:color="auto" w:fill="auto"/>
          </w:tcPr>
          <w:p w14:paraId="77A0979A" w14:textId="77777777" w:rsidR="009021F1" w:rsidRPr="007E3D1A" w:rsidRDefault="009021F1" w:rsidP="00E637E3">
            <w:pPr>
              <w:rPr>
                <w:rFonts w:cs="Arial"/>
                <w:sz w:val="22"/>
              </w:rPr>
            </w:pPr>
          </w:p>
        </w:tc>
        <w:tc>
          <w:tcPr>
            <w:tcW w:w="1539" w:type="pct"/>
          </w:tcPr>
          <w:p w14:paraId="66E4DC30" w14:textId="77777777" w:rsidR="009021F1" w:rsidRPr="007E3D1A" w:rsidRDefault="009021F1" w:rsidP="00E637E3">
            <w:pPr>
              <w:rPr>
                <w:rFonts w:cs="Arial"/>
                <w:sz w:val="22"/>
              </w:rPr>
            </w:pPr>
            <w:r w:rsidRPr="007E3D1A">
              <w:rPr>
                <w:rFonts w:cs="Arial"/>
                <w:sz w:val="22"/>
              </w:rPr>
              <w:t>L’activité risque-t-elle d’entraîner une perturbation/dégradation des activités commerciales ?</w:t>
            </w:r>
          </w:p>
        </w:tc>
        <w:tc>
          <w:tcPr>
            <w:tcW w:w="741" w:type="pct"/>
            <w:vAlign w:val="center"/>
          </w:tcPr>
          <w:p w14:paraId="74E01758" w14:textId="77777777" w:rsidR="009021F1" w:rsidRPr="007E3D1A" w:rsidRDefault="009021F1" w:rsidP="00E637E3">
            <w:pPr>
              <w:rPr>
                <w:rFonts w:cs="Arial"/>
                <w:sz w:val="22"/>
              </w:rPr>
            </w:pPr>
            <w:r w:rsidRPr="007E3D1A">
              <w:rPr>
                <w:rFonts w:cs="Arial"/>
                <w:sz w:val="22"/>
              </w:rPr>
              <w:t>Oui (majeur) = 2</w:t>
            </w:r>
          </w:p>
          <w:p w14:paraId="53EC791D" w14:textId="77777777" w:rsidR="009021F1" w:rsidRPr="007E3D1A" w:rsidRDefault="009021F1" w:rsidP="00E637E3">
            <w:pPr>
              <w:rPr>
                <w:rFonts w:cs="Arial"/>
                <w:sz w:val="22"/>
              </w:rPr>
            </w:pPr>
            <w:r w:rsidRPr="007E3D1A">
              <w:rPr>
                <w:rFonts w:cs="Arial"/>
                <w:sz w:val="22"/>
              </w:rPr>
              <w:t>Oui (mineur) = 1</w:t>
            </w:r>
          </w:p>
          <w:p w14:paraId="31EF27FA" w14:textId="77777777" w:rsidR="009021F1" w:rsidRPr="007E3D1A" w:rsidRDefault="009021F1" w:rsidP="00E637E3">
            <w:pPr>
              <w:rPr>
                <w:rFonts w:cs="Arial"/>
                <w:sz w:val="22"/>
              </w:rPr>
            </w:pPr>
            <w:r w:rsidRPr="007E3D1A">
              <w:rPr>
                <w:rFonts w:cs="Arial"/>
                <w:sz w:val="22"/>
              </w:rPr>
              <w:t>Non = 0</w:t>
            </w:r>
          </w:p>
        </w:tc>
        <w:tc>
          <w:tcPr>
            <w:tcW w:w="727" w:type="pct"/>
            <w:vAlign w:val="center"/>
          </w:tcPr>
          <w:p w14:paraId="3EDD5E83" w14:textId="77777777" w:rsidR="009021F1" w:rsidRPr="007E3D1A" w:rsidRDefault="009021F1" w:rsidP="00E637E3">
            <w:pPr>
              <w:rPr>
                <w:rFonts w:cs="Arial"/>
                <w:sz w:val="22"/>
              </w:rPr>
            </w:pPr>
            <w:r w:rsidRPr="007E3D1A">
              <w:rPr>
                <w:rFonts w:cs="Arial"/>
                <w:sz w:val="22"/>
              </w:rPr>
              <w:t>Oui (majeur) = 2</w:t>
            </w:r>
          </w:p>
          <w:p w14:paraId="4D7FA660" w14:textId="77777777" w:rsidR="009021F1" w:rsidRPr="007E3D1A" w:rsidRDefault="009021F1" w:rsidP="00E637E3">
            <w:pPr>
              <w:rPr>
                <w:rFonts w:cs="Arial"/>
                <w:sz w:val="22"/>
              </w:rPr>
            </w:pPr>
            <w:r w:rsidRPr="007E3D1A">
              <w:rPr>
                <w:rFonts w:cs="Arial"/>
                <w:sz w:val="22"/>
              </w:rPr>
              <w:t>Oui (mineur) = 1</w:t>
            </w:r>
          </w:p>
          <w:p w14:paraId="351E8219" w14:textId="77777777" w:rsidR="009021F1" w:rsidRPr="007E3D1A" w:rsidRDefault="009021F1" w:rsidP="00E637E3">
            <w:pPr>
              <w:rPr>
                <w:rFonts w:cs="Arial"/>
                <w:sz w:val="22"/>
              </w:rPr>
            </w:pPr>
            <w:r w:rsidRPr="007E3D1A">
              <w:rPr>
                <w:rFonts w:cs="Arial"/>
                <w:sz w:val="22"/>
              </w:rPr>
              <w:t>Non = 0</w:t>
            </w:r>
          </w:p>
        </w:tc>
        <w:tc>
          <w:tcPr>
            <w:tcW w:w="420" w:type="pct"/>
          </w:tcPr>
          <w:p w14:paraId="6E71CF06" w14:textId="77777777" w:rsidR="009021F1" w:rsidRPr="007E3D1A" w:rsidRDefault="009021F1" w:rsidP="00E637E3">
            <w:pPr>
              <w:rPr>
                <w:rFonts w:cs="Arial"/>
                <w:sz w:val="22"/>
              </w:rPr>
            </w:pPr>
          </w:p>
        </w:tc>
        <w:tc>
          <w:tcPr>
            <w:tcW w:w="769" w:type="pct"/>
          </w:tcPr>
          <w:p w14:paraId="1F200022" w14:textId="77777777" w:rsidR="009021F1" w:rsidRPr="007E3D1A" w:rsidRDefault="009021F1" w:rsidP="00E637E3">
            <w:pPr>
              <w:rPr>
                <w:rFonts w:cs="Arial"/>
                <w:sz w:val="22"/>
              </w:rPr>
            </w:pPr>
          </w:p>
        </w:tc>
      </w:tr>
      <w:tr w:rsidR="009021F1" w:rsidRPr="007E3D1A" w14:paraId="2D28CAE7" w14:textId="77777777" w:rsidTr="00E637E3">
        <w:trPr>
          <w:cantSplit/>
          <w:trHeight w:val="228"/>
        </w:trPr>
        <w:tc>
          <w:tcPr>
            <w:tcW w:w="804" w:type="pct"/>
            <w:vMerge/>
            <w:shd w:val="clear" w:color="auto" w:fill="auto"/>
          </w:tcPr>
          <w:p w14:paraId="28382F69" w14:textId="77777777" w:rsidR="009021F1" w:rsidRPr="007E3D1A" w:rsidRDefault="009021F1" w:rsidP="00E637E3">
            <w:pPr>
              <w:rPr>
                <w:rFonts w:cs="Arial"/>
                <w:sz w:val="22"/>
              </w:rPr>
            </w:pPr>
          </w:p>
        </w:tc>
        <w:tc>
          <w:tcPr>
            <w:tcW w:w="1539" w:type="pct"/>
          </w:tcPr>
          <w:p w14:paraId="0E7F89F7" w14:textId="77777777" w:rsidR="009021F1" w:rsidRPr="007E3D1A" w:rsidRDefault="009021F1" w:rsidP="00E637E3">
            <w:pPr>
              <w:rPr>
                <w:rFonts w:cs="Arial"/>
                <w:sz w:val="22"/>
              </w:rPr>
            </w:pPr>
            <w:r w:rsidRPr="007E3D1A">
              <w:rPr>
                <w:rFonts w:cs="Arial"/>
                <w:sz w:val="22"/>
              </w:rPr>
              <w:t>L’activité risque-t-elle d’affecter les populations autochtones ?</w:t>
            </w:r>
          </w:p>
        </w:tc>
        <w:tc>
          <w:tcPr>
            <w:tcW w:w="741" w:type="pct"/>
            <w:vAlign w:val="center"/>
          </w:tcPr>
          <w:p w14:paraId="4DDC92C2" w14:textId="77777777" w:rsidR="009021F1" w:rsidRPr="007E3D1A" w:rsidRDefault="009021F1" w:rsidP="00E637E3">
            <w:pPr>
              <w:rPr>
                <w:rFonts w:cs="Arial"/>
                <w:sz w:val="22"/>
              </w:rPr>
            </w:pPr>
            <w:r w:rsidRPr="007E3D1A">
              <w:rPr>
                <w:rFonts w:cs="Arial"/>
                <w:sz w:val="22"/>
              </w:rPr>
              <w:t>Oui (majeur) = 2</w:t>
            </w:r>
          </w:p>
          <w:p w14:paraId="21F70800" w14:textId="77777777" w:rsidR="009021F1" w:rsidRPr="007E3D1A" w:rsidRDefault="009021F1" w:rsidP="00E637E3">
            <w:pPr>
              <w:rPr>
                <w:rFonts w:cs="Arial"/>
                <w:sz w:val="22"/>
              </w:rPr>
            </w:pPr>
            <w:r w:rsidRPr="007E3D1A">
              <w:rPr>
                <w:rFonts w:cs="Arial"/>
                <w:sz w:val="22"/>
              </w:rPr>
              <w:t>Oui (mineur) = 1</w:t>
            </w:r>
          </w:p>
          <w:p w14:paraId="1CFAB494" w14:textId="77777777" w:rsidR="009021F1" w:rsidRPr="007E3D1A" w:rsidRDefault="009021F1" w:rsidP="00E637E3">
            <w:pPr>
              <w:rPr>
                <w:rFonts w:cs="Arial"/>
                <w:sz w:val="22"/>
              </w:rPr>
            </w:pPr>
            <w:r w:rsidRPr="007E3D1A">
              <w:rPr>
                <w:rFonts w:cs="Arial"/>
                <w:sz w:val="22"/>
              </w:rPr>
              <w:t>Non = 0</w:t>
            </w:r>
          </w:p>
        </w:tc>
        <w:tc>
          <w:tcPr>
            <w:tcW w:w="727" w:type="pct"/>
            <w:vAlign w:val="center"/>
          </w:tcPr>
          <w:p w14:paraId="58EE5DAB" w14:textId="77777777" w:rsidR="009021F1" w:rsidRPr="007E3D1A" w:rsidRDefault="009021F1" w:rsidP="00E637E3">
            <w:pPr>
              <w:rPr>
                <w:rFonts w:cs="Arial"/>
                <w:sz w:val="22"/>
              </w:rPr>
            </w:pPr>
            <w:r w:rsidRPr="007E3D1A">
              <w:rPr>
                <w:rFonts w:cs="Arial"/>
                <w:sz w:val="22"/>
              </w:rPr>
              <w:t>Oui (majeur) = 2</w:t>
            </w:r>
          </w:p>
          <w:p w14:paraId="4B8C4309" w14:textId="77777777" w:rsidR="009021F1" w:rsidRPr="007E3D1A" w:rsidRDefault="009021F1" w:rsidP="00E637E3">
            <w:pPr>
              <w:rPr>
                <w:rFonts w:cs="Arial"/>
                <w:sz w:val="22"/>
              </w:rPr>
            </w:pPr>
            <w:r w:rsidRPr="007E3D1A">
              <w:rPr>
                <w:rFonts w:cs="Arial"/>
                <w:sz w:val="22"/>
              </w:rPr>
              <w:t>Oui (mineur) = 1</w:t>
            </w:r>
          </w:p>
          <w:p w14:paraId="5EF488E8" w14:textId="77777777" w:rsidR="009021F1" w:rsidRPr="007E3D1A" w:rsidRDefault="009021F1" w:rsidP="00E637E3">
            <w:pPr>
              <w:rPr>
                <w:rFonts w:cs="Arial"/>
                <w:sz w:val="22"/>
              </w:rPr>
            </w:pPr>
            <w:r w:rsidRPr="007E3D1A">
              <w:rPr>
                <w:rFonts w:cs="Arial"/>
                <w:sz w:val="22"/>
              </w:rPr>
              <w:t>Non = 0</w:t>
            </w:r>
          </w:p>
        </w:tc>
        <w:tc>
          <w:tcPr>
            <w:tcW w:w="420" w:type="pct"/>
          </w:tcPr>
          <w:p w14:paraId="663527E9" w14:textId="77777777" w:rsidR="009021F1" w:rsidRPr="007E3D1A" w:rsidRDefault="009021F1" w:rsidP="00E637E3">
            <w:pPr>
              <w:rPr>
                <w:rFonts w:cs="Arial"/>
                <w:sz w:val="22"/>
              </w:rPr>
            </w:pPr>
          </w:p>
        </w:tc>
        <w:tc>
          <w:tcPr>
            <w:tcW w:w="769" w:type="pct"/>
          </w:tcPr>
          <w:p w14:paraId="20490A9C" w14:textId="77777777" w:rsidR="009021F1" w:rsidRPr="007E3D1A" w:rsidRDefault="009021F1" w:rsidP="00E637E3">
            <w:pPr>
              <w:rPr>
                <w:rFonts w:cs="Arial"/>
                <w:sz w:val="22"/>
              </w:rPr>
            </w:pPr>
          </w:p>
        </w:tc>
      </w:tr>
      <w:tr w:rsidR="009021F1" w:rsidRPr="007E3D1A" w14:paraId="6A1EB819" w14:textId="77777777" w:rsidTr="00E637E3">
        <w:trPr>
          <w:trHeight w:val="586"/>
        </w:trPr>
        <w:tc>
          <w:tcPr>
            <w:tcW w:w="804" w:type="pct"/>
          </w:tcPr>
          <w:p w14:paraId="10FCDDA8" w14:textId="77777777" w:rsidR="009021F1" w:rsidRPr="007E3D1A" w:rsidRDefault="009021F1" w:rsidP="00E637E3">
            <w:pPr>
              <w:rPr>
                <w:rFonts w:cs="Arial"/>
                <w:sz w:val="22"/>
              </w:rPr>
            </w:pPr>
            <w:r w:rsidRPr="007E3D1A">
              <w:rPr>
                <w:rFonts w:cs="Arial"/>
                <w:sz w:val="22"/>
              </w:rPr>
              <w:t>Equipements socioéducatifs et sanitaires</w:t>
            </w:r>
          </w:p>
        </w:tc>
        <w:tc>
          <w:tcPr>
            <w:tcW w:w="1539" w:type="pct"/>
            <w:vAlign w:val="bottom"/>
          </w:tcPr>
          <w:p w14:paraId="4FD0326C" w14:textId="77777777" w:rsidR="009021F1" w:rsidRPr="007E3D1A" w:rsidRDefault="009021F1" w:rsidP="00E637E3">
            <w:pPr>
              <w:rPr>
                <w:rFonts w:cs="Arial"/>
                <w:sz w:val="22"/>
              </w:rPr>
            </w:pPr>
            <w:r w:rsidRPr="007E3D1A">
              <w:rPr>
                <w:rFonts w:cs="Arial"/>
                <w:sz w:val="22"/>
              </w:rPr>
              <w:t>L’activité peut-elle affecter négativement le fonctionnement des infrastructures socioéducatives et sanitaires environnantes ? Distance &lt; 250 m</w:t>
            </w:r>
          </w:p>
          <w:p w14:paraId="012B4283" w14:textId="77777777" w:rsidR="009021F1" w:rsidRPr="007E3D1A" w:rsidRDefault="009021F1" w:rsidP="00E637E3">
            <w:pPr>
              <w:rPr>
                <w:rFonts w:cs="Arial"/>
                <w:sz w:val="22"/>
              </w:rPr>
            </w:pPr>
          </w:p>
        </w:tc>
        <w:tc>
          <w:tcPr>
            <w:tcW w:w="741" w:type="pct"/>
            <w:vAlign w:val="center"/>
          </w:tcPr>
          <w:p w14:paraId="73A356EE" w14:textId="77777777" w:rsidR="009021F1" w:rsidRPr="007E3D1A" w:rsidRDefault="009021F1" w:rsidP="00E637E3">
            <w:pPr>
              <w:rPr>
                <w:rFonts w:cs="Arial"/>
                <w:sz w:val="22"/>
              </w:rPr>
            </w:pPr>
            <w:r w:rsidRPr="007E3D1A">
              <w:rPr>
                <w:rFonts w:cs="Arial"/>
                <w:sz w:val="22"/>
              </w:rPr>
              <w:t>Oui (majeur) = 2</w:t>
            </w:r>
          </w:p>
          <w:p w14:paraId="5C4AE345" w14:textId="77777777" w:rsidR="009021F1" w:rsidRPr="007E3D1A" w:rsidRDefault="009021F1" w:rsidP="00E637E3">
            <w:pPr>
              <w:rPr>
                <w:rFonts w:cs="Arial"/>
                <w:sz w:val="22"/>
              </w:rPr>
            </w:pPr>
            <w:r w:rsidRPr="007E3D1A">
              <w:rPr>
                <w:rFonts w:cs="Arial"/>
                <w:sz w:val="22"/>
              </w:rPr>
              <w:t>Oui (mineur) = 1</w:t>
            </w:r>
          </w:p>
          <w:p w14:paraId="3FFDA85B" w14:textId="77777777" w:rsidR="009021F1" w:rsidRPr="007E3D1A" w:rsidRDefault="009021F1" w:rsidP="00E637E3">
            <w:pPr>
              <w:rPr>
                <w:rFonts w:cs="Arial"/>
                <w:sz w:val="22"/>
              </w:rPr>
            </w:pPr>
            <w:r w:rsidRPr="007E3D1A">
              <w:rPr>
                <w:rFonts w:cs="Arial"/>
                <w:sz w:val="22"/>
              </w:rPr>
              <w:t>Non = 0</w:t>
            </w:r>
          </w:p>
        </w:tc>
        <w:tc>
          <w:tcPr>
            <w:tcW w:w="727" w:type="pct"/>
            <w:vAlign w:val="center"/>
          </w:tcPr>
          <w:p w14:paraId="0130802E" w14:textId="77777777" w:rsidR="009021F1" w:rsidRPr="007E3D1A" w:rsidRDefault="009021F1" w:rsidP="00E637E3">
            <w:pPr>
              <w:rPr>
                <w:rFonts w:cs="Arial"/>
                <w:sz w:val="22"/>
              </w:rPr>
            </w:pPr>
            <w:r w:rsidRPr="007E3D1A">
              <w:rPr>
                <w:rFonts w:cs="Arial"/>
                <w:sz w:val="22"/>
              </w:rPr>
              <w:t>Oui (majeur) = 2</w:t>
            </w:r>
          </w:p>
          <w:p w14:paraId="3CB22560" w14:textId="77777777" w:rsidR="009021F1" w:rsidRPr="007E3D1A" w:rsidRDefault="009021F1" w:rsidP="00E637E3">
            <w:pPr>
              <w:rPr>
                <w:rFonts w:cs="Arial"/>
                <w:sz w:val="22"/>
              </w:rPr>
            </w:pPr>
            <w:r w:rsidRPr="007E3D1A">
              <w:rPr>
                <w:rFonts w:cs="Arial"/>
                <w:sz w:val="22"/>
              </w:rPr>
              <w:t>Oui (mineur) = 1</w:t>
            </w:r>
          </w:p>
          <w:p w14:paraId="1950A45A" w14:textId="77777777" w:rsidR="009021F1" w:rsidRPr="007E3D1A" w:rsidRDefault="009021F1" w:rsidP="00E637E3">
            <w:pPr>
              <w:rPr>
                <w:rFonts w:cs="Arial"/>
                <w:sz w:val="22"/>
              </w:rPr>
            </w:pPr>
            <w:r w:rsidRPr="007E3D1A">
              <w:rPr>
                <w:rFonts w:cs="Arial"/>
                <w:sz w:val="22"/>
              </w:rPr>
              <w:t>Non = 0</w:t>
            </w:r>
          </w:p>
        </w:tc>
        <w:tc>
          <w:tcPr>
            <w:tcW w:w="420" w:type="pct"/>
          </w:tcPr>
          <w:p w14:paraId="45BDD2C8" w14:textId="77777777" w:rsidR="009021F1" w:rsidRPr="007E3D1A" w:rsidRDefault="009021F1" w:rsidP="00E637E3">
            <w:pPr>
              <w:rPr>
                <w:rFonts w:cs="Arial"/>
                <w:sz w:val="22"/>
              </w:rPr>
            </w:pPr>
          </w:p>
        </w:tc>
        <w:tc>
          <w:tcPr>
            <w:tcW w:w="769" w:type="pct"/>
          </w:tcPr>
          <w:p w14:paraId="1E4C2471" w14:textId="77777777" w:rsidR="009021F1" w:rsidRPr="007E3D1A" w:rsidRDefault="009021F1" w:rsidP="00E637E3">
            <w:pPr>
              <w:rPr>
                <w:rFonts w:cs="Arial"/>
                <w:sz w:val="22"/>
              </w:rPr>
            </w:pPr>
          </w:p>
        </w:tc>
      </w:tr>
      <w:tr w:rsidR="009021F1" w:rsidRPr="007E3D1A" w14:paraId="00C31C5D" w14:textId="77777777" w:rsidTr="00E637E3">
        <w:trPr>
          <w:trHeight w:val="536"/>
        </w:trPr>
        <w:tc>
          <w:tcPr>
            <w:tcW w:w="804" w:type="pct"/>
          </w:tcPr>
          <w:p w14:paraId="37898800" w14:textId="77777777" w:rsidR="009021F1" w:rsidRPr="007E3D1A" w:rsidRDefault="009021F1" w:rsidP="00E637E3">
            <w:pPr>
              <w:rPr>
                <w:rFonts w:cs="Arial"/>
                <w:sz w:val="22"/>
              </w:rPr>
            </w:pPr>
            <w:r w:rsidRPr="007E3D1A">
              <w:rPr>
                <w:rFonts w:cs="Arial"/>
                <w:sz w:val="22"/>
              </w:rPr>
              <w:t>Patrimoine culturel</w:t>
            </w:r>
          </w:p>
        </w:tc>
        <w:tc>
          <w:tcPr>
            <w:tcW w:w="1539" w:type="pct"/>
            <w:vAlign w:val="bottom"/>
          </w:tcPr>
          <w:p w14:paraId="32333793" w14:textId="77777777" w:rsidR="009021F1" w:rsidRPr="007E3D1A" w:rsidRDefault="009021F1" w:rsidP="00E637E3">
            <w:pPr>
              <w:rPr>
                <w:rFonts w:cs="Arial"/>
                <w:sz w:val="22"/>
              </w:rPr>
            </w:pPr>
            <w:r w:rsidRPr="007E3D1A">
              <w:rPr>
                <w:rFonts w:cs="Arial"/>
                <w:sz w:val="22"/>
              </w:rPr>
              <w:t>L’activité risque-t-elle d’affecter des sites d’importance culturelle, archéologique ou historique ?</w:t>
            </w:r>
          </w:p>
          <w:p w14:paraId="71E7D87E" w14:textId="77777777" w:rsidR="009021F1" w:rsidRPr="007E3D1A" w:rsidRDefault="009021F1" w:rsidP="00E637E3">
            <w:pPr>
              <w:rPr>
                <w:rFonts w:cs="Arial"/>
                <w:sz w:val="22"/>
              </w:rPr>
            </w:pPr>
          </w:p>
        </w:tc>
        <w:tc>
          <w:tcPr>
            <w:tcW w:w="741" w:type="pct"/>
            <w:vAlign w:val="center"/>
          </w:tcPr>
          <w:p w14:paraId="66694EA9" w14:textId="77777777" w:rsidR="009021F1" w:rsidRPr="007E3D1A" w:rsidRDefault="009021F1" w:rsidP="00E637E3">
            <w:pPr>
              <w:rPr>
                <w:rFonts w:cs="Arial"/>
                <w:sz w:val="22"/>
              </w:rPr>
            </w:pPr>
            <w:r w:rsidRPr="007E3D1A">
              <w:rPr>
                <w:rFonts w:cs="Arial"/>
                <w:sz w:val="22"/>
              </w:rPr>
              <w:t>Oui (majeur) = 2</w:t>
            </w:r>
          </w:p>
          <w:p w14:paraId="70FB9105" w14:textId="77777777" w:rsidR="009021F1" w:rsidRPr="007E3D1A" w:rsidRDefault="009021F1" w:rsidP="00E637E3">
            <w:pPr>
              <w:rPr>
                <w:rFonts w:cs="Arial"/>
                <w:sz w:val="22"/>
              </w:rPr>
            </w:pPr>
            <w:r w:rsidRPr="007E3D1A">
              <w:rPr>
                <w:rFonts w:cs="Arial"/>
                <w:sz w:val="22"/>
              </w:rPr>
              <w:t>Oui (mineur) = 1</w:t>
            </w:r>
          </w:p>
          <w:p w14:paraId="7DF74EAB" w14:textId="77777777" w:rsidR="009021F1" w:rsidRPr="007E3D1A" w:rsidRDefault="009021F1" w:rsidP="00E637E3">
            <w:pPr>
              <w:rPr>
                <w:rFonts w:cs="Arial"/>
                <w:sz w:val="22"/>
              </w:rPr>
            </w:pPr>
            <w:r w:rsidRPr="007E3D1A">
              <w:rPr>
                <w:rFonts w:cs="Arial"/>
                <w:sz w:val="22"/>
              </w:rPr>
              <w:t>Non = 0</w:t>
            </w:r>
          </w:p>
        </w:tc>
        <w:tc>
          <w:tcPr>
            <w:tcW w:w="727" w:type="pct"/>
            <w:vAlign w:val="center"/>
          </w:tcPr>
          <w:p w14:paraId="1391FF05" w14:textId="77777777" w:rsidR="009021F1" w:rsidRPr="007E3D1A" w:rsidRDefault="009021F1" w:rsidP="00E637E3">
            <w:pPr>
              <w:rPr>
                <w:rFonts w:cs="Arial"/>
                <w:sz w:val="22"/>
              </w:rPr>
            </w:pPr>
            <w:r w:rsidRPr="007E3D1A">
              <w:rPr>
                <w:rFonts w:cs="Arial"/>
                <w:sz w:val="22"/>
              </w:rPr>
              <w:t>Oui (majeur) = 2</w:t>
            </w:r>
          </w:p>
          <w:p w14:paraId="62F110E5" w14:textId="77777777" w:rsidR="009021F1" w:rsidRPr="007E3D1A" w:rsidRDefault="009021F1" w:rsidP="00E637E3">
            <w:pPr>
              <w:rPr>
                <w:rFonts w:cs="Arial"/>
                <w:sz w:val="22"/>
              </w:rPr>
            </w:pPr>
            <w:r w:rsidRPr="007E3D1A">
              <w:rPr>
                <w:rFonts w:cs="Arial"/>
                <w:sz w:val="22"/>
              </w:rPr>
              <w:t>Oui (mineur) = 1</w:t>
            </w:r>
          </w:p>
          <w:p w14:paraId="5522163A" w14:textId="77777777" w:rsidR="009021F1" w:rsidRPr="007E3D1A" w:rsidRDefault="009021F1" w:rsidP="00E637E3">
            <w:pPr>
              <w:rPr>
                <w:rFonts w:cs="Arial"/>
                <w:sz w:val="22"/>
              </w:rPr>
            </w:pPr>
            <w:r w:rsidRPr="007E3D1A">
              <w:rPr>
                <w:rFonts w:cs="Arial"/>
                <w:sz w:val="22"/>
              </w:rPr>
              <w:t>Non = 0</w:t>
            </w:r>
          </w:p>
        </w:tc>
        <w:tc>
          <w:tcPr>
            <w:tcW w:w="420" w:type="pct"/>
          </w:tcPr>
          <w:p w14:paraId="17BBA4A3" w14:textId="77777777" w:rsidR="009021F1" w:rsidRPr="007E3D1A" w:rsidRDefault="009021F1" w:rsidP="00E637E3">
            <w:pPr>
              <w:rPr>
                <w:rFonts w:cs="Arial"/>
                <w:sz w:val="22"/>
              </w:rPr>
            </w:pPr>
          </w:p>
        </w:tc>
        <w:tc>
          <w:tcPr>
            <w:tcW w:w="769" w:type="pct"/>
          </w:tcPr>
          <w:p w14:paraId="14A7B478" w14:textId="77777777" w:rsidR="009021F1" w:rsidRPr="007E3D1A" w:rsidRDefault="009021F1" w:rsidP="00E637E3">
            <w:pPr>
              <w:rPr>
                <w:rFonts w:cs="Arial"/>
                <w:sz w:val="22"/>
              </w:rPr>
            </w:pPr>
          </w:p>
        </w:tc>
      </w:tr>
      <w:tr w:rsidR="009021F1" w:rsidRPr="007E3D1A" w14:paraId="5CD81601" w14:textId="77777777" w:rsidTr="00E637E3">
        <w:trPr>
          <w:trHeight w:val="222"/>
        </w:trPr>
        <w:tc>
          <w:tcPr>
            <w:tcW w:w="804" w:type="pct"/>
          </w:tcPr>
          <w:p w14:paraId="5823DB2C" w14:textId="77777777" w:rsidR="009021F1" w:rsidRPr="007E3D1A" w:rsidRDefault="009021F1" w:rsidP="00E637E3">
            <w:pPr>
              <w:rPr>
                <w:rFonts w:cs="Arial"/>
                <w:sz w:val="22"/>
              </w:rPr>
            </w:pPr>
            <w:r w:rsidRPr="007E3D1A">
              <w:rPr>
                <w:rFonts w:cs="Arial"/>
                <w:sz w:val="22"/>
              </w:rPr>
              <w:t>TOTAL</w:t>
            </w:r>
          </w:p>
        </w:tc>
        <w:tc>
          <w:tcPr>
            <w:tcW w:w="1539" w:type="pct"/>
            <w:vAlign w:val="bottom"/>
          </w:tcPr>
          <w:p w14:paraId="729C1A73" w14:textId="77777777" w:rsidR="009021F1" w:rsidRPr="007E3D1A" w:rsidRDefault="009021F1" w:rsidP="00E637E3">
            <w:pPr>
              <w:rPr>
                <w:rFonts w:cs="Arial"/>
                <w:sz w:val="22"/>
              </w:rPr>
            </w:pPr>
          </w:p>
        </w:tc>
        <w:tc>
          <w:tcPr>
            <w:tcW w:w="741" w:type="pct"/>
          </w:tcPr>
          <w:p w14:paraId="69AF8F8E" w14:textId="77777777" w:rsidR="009021F1" w:rsidRPr="007E3D1A" w:rsidRDefault="009021F1" w:rsidP="00E637E3">
            <w:pPr>
              <w:rPr>
                <w:rFonts w:cs="Arial"/>
                <w:sz w:val="22"/>
              </w:rPr>
            </w:pPr>
          </w:p>
        </w:tc>
        <w:tc>
          <w:tcPr>
            <w:tcW w:w="727" w:type="pct"/>
          </w:tcPr>
          <w:p w14:paraId="0F233C71" w14:textId="77777777" w:rsidR="009021F1" w:rsidRPr="007E3D1A" w:rsidRDefault="009021F1" w:rsidP="00E637E3">
            <w:pPr>
              <w:rPr>
                <w:rFonts w:cs="Arial"/>
                <w:sz w:val="22"/>
              </w:rPr>
            </w:pPr>
          </w:p>
        </w:tc>
        <w:tc>
          <w:tcPr>
            <w:tcW w:w="420" w:type="pct"/>
          </w:tcPr>
          <w:p w14:paraId="55D26635" w14:textId="77777777" w:rsidR="009021F1" w:rsidRPr="007E3D1A" w:rsidRDefault="009021F1" w:rsidP="00E637E3">
            <w:pPr>
              <w:rPr>
                <w:rFonts w:cs="Arial"/>
                <w:sz w:val="22"/>
              </w:rPr>
            </w:pPr>
          </w:p>
        </w:tc>
        <w:tc>
          <w:tcPr>
            <w:tcW w:w="769" w:type="pct"/>
          </w:tcPr>
          <w:p w14:paraId="03A7F113" w14:textId="77777777" w:rsidR="009021F1" w:rsidRPr="007E3D1A" w:rsidRDefault="009021F1" w:rsidP="00E637E3">
            <w:pPr>
              <w:rPr>
                <w:rFonts w:cs="Arial"/>
                <w:sz w:val="22"/>
              </w:rPr>
            </w:pPr>
          </w:p>
        </w:tc>
      </w:tr>
    </w:tbl>
    <w:p w14:paraId="68D115BA" w14:textId="77777777" w:rsidR="009021F1" w:rsidRPr="007E3D1A" w:rsidRDefault="009021F1" w:rsidP="009021F1">
      <w:pPr>
        <w:rPr>
          <w:rFonts w:cs="Arial"/>
          <w:sz w:val="22"/>
        </w:rPr>
      </w:pPr>
    </w:p>
    <w:p w14:paraId="383B79F4" w14:textId="77777777" w:rsidR="009021F1" w:rsidRPr="007E3D1A" w:rsidRDefault="009021F1" w:rsidP="009021F1">
      <w:pPr>
        <w:rPr>
          <w:rFonts w:cs="Arial"/>
          <w:sz w:val="22"/>
        </w:rPr>
      </w:pPr>
      <w:r w:rsidRPr="007E3D1A">
        <w:rPr>
          <w:rFonts w:cs="Arial"/>
          <w:sz w:val="22"/>
        </w:rPr>
        <w:br w:type="page"/>
      </w:r>
    </w:p>
    <w:p w14:paraId="5CC2695E" w14:textId="77777777" w:rsidR="009021F1" w:rsidRPr="007E3D1A" w:rsidRDefault="009021F1" w:rsidP="009021F1">
      <w:pPr>
        <w:rPr>
          <w:rFonts w:cs="Arial"/>
          <w:sz w:val="22"/>
        </w:rPr>
      </w:pPr>
      <w:r w:rsidRPr="007E3D1A">
        <w:rPr>
          <w:rFonts w:cs="Arial"/>
          <w:sz w:val="22"/>
        </w:rPr>
        <w:t>Classification du sous-projet</w:t>
      </w:r>
    </w:p>
    <w:p w14:paraId="29513249" w14:textId="77777777" w:rsidR="009021F1" w:rsidRPr="007E3D1A" w:rsidRDefault="009021F1" w:rsidP="009021F1">
      <w:pPr>
        <w:rPr>
          <w:rFonts w:cs="Arial"/>
          <w:sz w:val="22"/>
        </w:rPr>
      </w:pPr>
    </w:p>
    <w:tbl>
      <w:tblPr>
        <w:tblW w:w="53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9"/>
        <w:gridCol w:w="1977"/>
        <w:gridCol w:w="3132"/>
        <w:gridCol w:w="2896"/>
      </w:tblGrid>
      <w:tr w:rsidR="009021F1" w:rsidRPr="007E3D1A" w14:paraId="15EE216C" w14:textId="77777777" w:rsidTr="00E637E3">
        <w:trPr>
          <w:cantSplit/>
          <w:trHeight w:val="330"/>
        </w:trPr>
        <w:tc>
          <w:tcPr>
            <w:tcW w:w="854" w:type="pct"/>
            <w:vMerge w:val="restart"/>
          </w:tcPr>
          <w:p w14:paraId="2B02ED04" w14:textId="77777777" w:rsidR="009021F1" w:rsidRPr="007E3D1A" w:rsidRDefault="009021F1" w:rsidP="00E637E3">
            <w:pPr>
              <w:rPr>
                <w:rFonts w:cs="Arial"/>
                <w:sz w:val="22"/>
              </w:rPr>
            </w:pPr>
            <w:r w:rsidRPr="007E3D1A">
              <w:rPr>
                <w:rFonts w:cs="Arial"/>
                <w:sz w:val="22"/>
              </w:rPr>
              <w:t>Appréciation du risque du sous-projet</w:t>
            </w:r>
          </w:p>
        </w:tc>
        <w:tc>
          <w:tcPr>
            <w:tcW w:w="1024" w:type="pct"/>
          </w:tcPr>
          <w:p w14:paraId="2A4B8BC5" w14:textId="77777777" w:rsidR="009021F1" w:rsidRPr="007E3D1A" w:rsidRDefault="009021F1" w:rsidP="00E637E3">
            <w:pPr>
              <w:rPr>
                <w:rFonts w:cs="Arial"/>
                <w:sz w:val="22"/>
              </w:rPr>
            </w:pPr>
            <w:r w:rsidRPr="007E3D1A">
              <w:rPr>
                <w:rFonts w:cs="Arial"/>
                <w:sz w:val="22"/>
              </w:rPr>
              <w:t>Valeurs de RN</w:t>
            </w:r>
          </w:p>
        </w:tc>
        <w:tc>
          <w:tcPr>
            <w:tcW w:w="1622" w:type="pct"/>
            <w:shd w:val="clear" w:color="auto" w:fill="auto"/>
          </w:tcPr>
          <w:p w14:paraId="2F3DCBD3" w14:textId="77777777" w:rsidR="009021F1" w:rsidRPr="007E3D1A" w:rsidRDefault="009021F1" w:rsidP="00E637E3">
            <w:pPr>
              <w:rPr>
                <w:rFonts w:cs="Arial"/>
                <w:sz w:val="22"/>
              </w:rPr>
            </w:pPr>
            <w:r w:rsidRPr="007E3D1A">
              <w:rPr>
                <w:rFonts w:cs="Arial"/>
                <w:sz w:val="22"/>
              </w:rPr>
              <w:t>Types d’étude environnementale à réaliser</w:t>
            </w:r>
          </w:p>
          <w:p w14:paraId="70C12D86" w14:textId="77777777" w:rsidR="009021F1" w:rsidRPr="007E3D1A" w:rsidRDefault="009021F1" w:rsidP="00E637E3">
            <w:pPr>
              <w:rPr>
                <w:rFonts w:cs="Arial"/>
                <w:sz w:val="22"/>
              </w:rPr>
            </w:pPr>
          </w:p>
        </w:tc>
        <w:tc>
          <w:tcPr>
            <w:tcW w:w="1500" w:type="pct"/>
            <w:shd w:val="clear" w:color="auto" w:fill="auto"/>
          </w:tcPr>
          <w:p w14:paraId="3DFC5FA5" w14:textId="77777777" w:rsidR="009021F1" w:rsidRPr="007E3D1A" w:rsidRDefault="009021F1" w:rsidP="00E637E3">
            <w:pPr>
              <w:rPr>
                <w:rFonts w:cs="Arial"/>
                <w:sz w:val="22"/>
              </w:rPr>
            </w:pPr>
            <w:r w:rsidRPr="007E3D1A">
              <w:rPr>
                <w:rFonts w:cs="Arial"/>
                <w:sz w:val="22"/>
              </w:rPr>
              <w:t>Niveau de risque  selon le nouveau CES</w:t>
            </w:r>
          </w:p>
        </w:tc>
      </w:tr>
      <w:tr w:rsidR="009021F1" w:rsidRPr="007E3D1A" w14:paraId="414CA7FD" w14:textId="77777777" w:rsidTr="00E637E3">
        <w:trPr>
          <w:cantSplit/>
          <w:trHeight w:val="475"/>
        </w:trPr>
        <w:tc>
          <w:tcPr>
            <w:tcW w:w="854" w:type="pct"/>
            <w:vMerge/>
          </w:tcPr>
          <w:p w14:paraId="6B84F5F6" w14:textId="77777777" w:rsidR="009021F1" w:rsidRPr="007E3D1A" w:rsidRDefault="009021F1" w:rsidP="00E637E3">
            <w:pPr>
              <w:rPr>
                <w:rFonts w:cs="Arial"/>
                <w:sz w:val="22"/>
              </w:rPr>
            </w:pPr>
          </w:p>
        </w:tc>
        <w:tc>
          <w:tcPr>
            <w:tcW w:w="1024" w:type="pct"/>
          </w:tcPr>
          <w:p w14:paraId="66DCD461" w14:textId="77777777" w:rsidR="009021F1" w:rsidRPr="007E3D1A" w:rsidRDefault="009021F1" w:rsidP="00E637E3">
            <w:pPr>
              <w:rPr>
                <w:rFonts w:cs="Arial"/>
                <w:sz w:val="22"/>
              </w:rPr>
            </w:pPr>
            <w:r w:rsidRPr="007E3D1A">
              <w:rPr>
                <w:rFonts w:cs="Arial"/>
                <w:sz w:val="22"/>
              </w:rPr>
              <w:t>0 &lt;= RN &lt; = 30 points</w:t>
            </w:r>
          </w:p>
        </w:tc>
        <w:tc>
          <w:tcPr>
            <w:tcW w:w="1622" w:type="pct"/>
            <w:shd w:val="clear" w:color="auto" w:fill="auto"/>
          </w:tcPr>
          <w:p w14:paraId="40CC6A60" w14:textId="77777777" w:rsidR="009021F1" w:rsidRPr="007E3D1A" w:rsidRDefault="009021F1" w:rsidP="00E637E3">
            <w:pPr>
              <w:rPr>
                <w:rFonts w:cs="Arial"/>
                <w:sz w:val="22"/>
              </w:rPr>
            </w:pPr>
            <w:r w:rsidRPr="007E3D1A">
              <w:rPr>
                <w:rFonts w:cs="Arial"/>
                <w:sz w:val="22"/>
              </w:rPr>
              <w:t xml:space="preserve">Aucune étude demandée </w:t>
            </w:r>
          </w:p>
          <w:p w14:paraId="7D19B63E" w14:textId="77777777" w:rsidR="009021F1" w:rsidRPr="007E3D1A" w:rsidRDefault="009021F1" w:rsidP="00E637E3">
            <w:pPr>
              <w:rPr>
                <w:rFonts w:cs="Arial"/>
                <w:sz w:val="22"/>
              </w:rPr>
            </w:pPr>
          </w:p>
        </w:tc>
        <w:tc>
          <w:tcPr>
            <w:tcW w:w="1500" w:type="pct"/>
            <w:shd w:val="clear" w:color="auto" w:fill="auto"/>
          </w:tcPr>
          <w:p w14:paraId="5E7172C4" w14:textId="77777777" w:rsidR="009021F1" w:rsidRPr="007E3D1A" w:rsidRDefault="009021F1" w:rsidP="00E637E3">
            <w:pPr>
              <w:rPr>
                <w:rFonts w:cs="Arial"/>
                <w:sz w:val="22"/>
              </w:rPr>
            </w:pPr>
            <w:r w:rsidRPr="007E3D1A">
              <w:rPr>
                <w:rFonts w:cs="Arial"/>
                <w:sz w:val="22"/>
              </w:rPr>
              <w:t>Faible</w:t>
            </w:r>
          </w:p>
        </w:tc>
      </w:tr>
      <w:tr w:rsidR="009021F1" w:rsidRPr="007E3D1A" w14:paraId="5FE7F9C1" w14:textId="77777777" w:rsidTr="00E637E3">
        <w:trPr>
          <w:cantSplit/>
          <w:trHeight w:val="460"/>
        </w:trPr>
        <w:tc>
          <w:tcPr>
            <w:tcW w:w="854" w:type="pct"/>
            <w:vMerge/>
          </w:tcPr>
          <w:p w14:paraId="34D56622" w14:textId="77777777" w:rsidR="009021F1" w:rsidRPr="007E3D1A" w:rsidRDefault="009021F1" w:rsidP="00E637E3">
            <w:pPr>
              <w:rPr>
                <w:rFonts w:cs="Arial"/>
                <w:sz w:val="22"/>
              </w:rPr>
            </w:pPr>
          </w:p>
        </w:tc>
        <w:tc>
          <w:tcPr>
            <w:tcW w:w="1024" w:type="pct"/>
          </w:tcPr>
          <w:p w14:paraId="79BBFC4B" w14:textId="77777777" w:rsidR="009021F1" w:rsidRPr="007E3D1A" w:rsidRDefault="009021F1" w:rsidP="00E637E3">
            <w:pPr>
              <w:rPr>
                <w:rFonts w:cs="Arial"/>
                <w:sz w:val="22"/>
              </w:rPr>
            </w:pPr>
            <w:r w:rsidRPr="007E3D1A">
              <w:rPr>
                <w:rFonts w:cs="Arial"/>
                <w:sz w:val="22"/>
              </w:rPr>
              <w:t>30 &lt; RN &lt;= 60</w:t>
            </w:r>
          </w:p>
        </w:tc>
        <w:tc>
          <w:tcPr>
            <w:tcW w:w="1622" w:type="pct"/>
            <w:shd w:val="clear" w:color="auto" w:fill="auto"/>
          </w:tcPr>
          <w:p w14:paraId="3BCAB033" w14:textId="77777777" w:rsidR="009021F1" w:rsidRPr="007E3D1A" w:rsidRDefault="009021F1" w:rsidP="00E637E3">
            <w:pPr>
              <w:rPr>
                <w:rFonts w:cs="Arial"/>
                <w:sz w:val="22"/>
              </w:rPr>
            </w:pPr>
            <w:r w:rsidRPr="007E3D1A">
              <w:rPr>
                <w:rFonts w:cs="Arial"/>
                <w:sz w:val="22"/>
              </w:rPr>
              <w:t>Etude d’impact environnemental et social (simplifiée)</w:t>
            </w:r>
          </w:p>
        </w:tc>
        <w:tc>
          <w:tcPr>
            <w:tcW w:w="1500" w:type="pct"/>
            <w:shd w:val="clear" w:color="auto" w:fill="auto"/>
          </w:tcPr>
          <w:p w14:paraId="69D65E2E" w14:textId="77777777" w:rsidR="009021F1" w:rsidRPr="007E3D1A" w:rsidRDefault="009021F1" w:rsidP="00E637E3">
            <w:pPr>
              <w:rPr>
                <w:rFonts w:cs="Arial"/>
                <w:sz w:val="22"/>
              </w:rPr>
            </w:pPr>
            <w:r w:rsidRPr="007E3D1A">
              <w:rPr>
                <w:rFonts w:cs="Arial"/>
                <w:sz w:val="22"/>
              </w:rPr>
              <w:t>Modéré</w:t>
            </w:r>
          </w:p>
        </w:tc>
      </w:tr>
      <w:tr w:rsidR="009021F1" w:rsidRPr="007E3D1A" w14:paraId="20C40E11" w14:textId="77777777" w:rsidTr="00E637E3">
        <w:trPr>
          <w:cantSplit/>
          <w:trHeight w:val="200"/>
        </w:trPr>
        <w:tc>
          <w:tcPr>
            <w:tcW w:w="854" w:type="pct"/>
            <w:vMerge/>
          </w:tcPr>
          <w:p w14:paraId="6165424B" w14:textId="77777777" w:rsidR="009021F1" w:rsidRPr="007E3D1A" w:rsidRDefault="009021F1" w:rsidP="00E637E3">
            <w:pPr>
              <w:rPr>
                <w:rFonts w:cs="Arial"/>
                <w:sz w:val="22"/>
              </w:rPr>
            </w:pPr>
          </w:p>
        </w:tc>
        <w:tc>
          <w:tcPr>
            <w:tcW w:w="1024" w:type="pct"/>
          </w:tcPr>
          <w:p w14:paraId="04AD27A4" w14:textId="77777777" w:rsidR="009021F1" w:rsidRPr="007E3D1A" w:rsidRDefault="009021F1" w:rsidP="00E637E3">
            <w:pPr>
              <w:rPr>
                <w:rFonts w:cs="Arial"/>
                <w:sz w:val="22"/>
              </w:rPr>
            </w:pPr>
            <w:r w:rsidRPr="007E3D1A">
              <w:rPr>
                <w:rFonts w:cs="Arial"/>
                <w:sz w:val="22"/>
              </w:rPr>
              <w:t>60 &lt; RN &lt;= 80 points</w:t>
            </w:r>
          </w:p>
        </w:tc>
        <w:tc>
          <w:tcPr>
            <w:tcW w:w="1622" w:type="pct"/>
            <w:shd w:val="clear" w:color="auto" w:fill="auto"/>
          </w:tcPr>
          <w:p w14:paraId="01D683BE" w14:textId="77777777" w:rsidR="009021F1" w:rsidRPr="007E3D1A" w:rsidRDefault="009021F1" w:rsidP="00E637E3">
            <w:pPr>
              <w:rPr>
                <w:rFonts w:cs="Arial"/>
                <w:sz w:val="22"/>
              </w:rPr>
            </w:pPr>
            <w:r w:rsidRPr="007E3D1A">
              <w:rPr>
                <w:rFonts w:cs="Arial"/>
                <w:sz w:val="22"/>
              </w:rPr>
              <w:t xml:space="preserve">Etude d’impact environnemental et social </w:t>
            </w:r>
          </w:p>
        </w:tc>
        <w:tc>
          <w:tcPr>
            <w:tcW w:w="1500" w:type="pct"/>
            <w:shd w:val="clear" w:color="auto" w:fill="auto"/>
          </w:tcPr>
          <w:p w14:paraId="1D88B63D" w14:textId="77777777" w:rsidR="009021F1" w:rsidRPr="007E3D1A" w:rsidRDefault="009021F1" w:rsidP="00E637E3">
            <w:pPr>
              <w:rPr>
                <w:rFonts w:cs="Arial"/>
                <w:sz w:val="22"/>
              </w:rPr>
            </w:pPr>
            <w:r w:rsidRPr="007E3D1A">
              <w:rPr>
                <w:rFonts w:cs="Arial"/>
                <w:sz w:val="22"/>
              </w:rPr>
              <w:t>Substantiel</w:t>
            </w:r>
          </w:p>
        </w:tc>
      </w:tr>
      <w:tr w:rsidR="009021F1" w:rsidRPr="007E3D1A" w14:paraId="180F8AB1" w14:textId="77777777" w:rsidTr="00E637E3">
        <w:trPr>
          <w:cantSplit/>
          <w:trHeight w:val="200"/>
        </w:trPr>
        <w:tc>
          <w:tcPr>
            <w:tcW w:w="854" w:type="pct"/>
            <w:vMerge/>
          </w:tcPr>
          <w:p w14:paraId="1C5C6CBB" w14:textId="77777777" w:rsidR="009021F1" w:rsidRPr="007E3D1A" w:rsidRDefault="009021F1" w:rsidP="00E637E3">
            <w:pPr>
              <w:rPr>
                <w:rFonts w:cs="Arial"/>
                <w:sz w:val="22"/>
              </w:rPr>
            </w:pPr>
          </w:p>
        </w:tc>
        <w:tc>
          <w:tcPr>
            <w:tcW w:w="1024" w:type="pct"/>
          </w:tcPr>
          <w:p w14:paraId="20C41182" w14:textId="77777777" w:rsidR="009021F1" w:rsidRPr="007E3D1A" w:rsidRDefault="009021F1" w:rsidP="00E637E3">
            <w:pPr>
              <w:rPr>
                <w:rFonts w:cs="Arial"/>
                <w:sz w:val="22"/>
              </w:rPr>
            </w:pPr>
            <w:r w:rsidRPr="007E3D1A">
              <w:rPr>
                <w:rFonts w:cs="Arial"/>
                <w:sz w:val="22"/>
              </w:rPr>
              <w:t>80 &lt; RN &lt;= 100 points</w:t>
            </w:r>
            <w:r w:rsidRPr="007E3D1A" w:rsidDel="00A31897">
              <w:rPr>
                <w:rFonts w:cs="Arial"/>
                <w:sz w:val="22"/>
              </w:rPr>
              <w:t xml:space="preserve"> </w:t>
            </w:r>
          </w:p>
        </w:tc>
        <w:tc>
          <w:tcPr>
            <w:tcW w:w="1622" w:type="pct"/>
            <w:shd w:val="clear" w:color="auto" w:fill="auto"/>
          </w:tcPr>
          <w:p w14:paraId="1CE07E52" w14:textId="77777777" w:rsidR="009021F1" w:rsidRPr="007E3D1A" w:rsidRDefault="009021F1" w:rsidP="00E637E3">
            <w:pPr>
              <w:rPr>
                <w:rFonts w:cs="Arial"/>
                <w:sz w:val="22"/>
              </w:rPr>
            </w:pPr>
            <w:r w:rsidRPr="007E3D1A">
              <w:rPr>
                <w:rFonts w:cs="Arial"/>
                <w:sz w:val="22"/>
              </w:rPr>
              <w:t xml:space="preserve">Etude d’impact environnemental et social </w:t>
            </w:r>
          </w:p>
        </w:tc>
        <w:tc>
          <w:tcPr>
            <w:tcW w:w="1500" w:type="pct"/>
            <w:shd w:val="clear" w:color="auto" w:fill="auto"/>
          </w:tcPr>
          <w:p w14:paraId="6B5ADE50" w14:textId="77777777" w:rsidR="009021F1" w:rsidRPr="007E3D1A" w:rsidRDefault="009021F1" w:rsidP="00E637E3">
            <w:pPr>
              <w:rPr>
                <w:rFonts w:cs="Arial"/>
                <w:sz w:val="22"/>
              </w:rPr>
            </w:pPr>
            <w:r w:rsidRPr="007E3D1A">
              <w:rPr>
                <w:rFonts w:cs="Arial"/>
                <w:sz w:val="22"/>
              </w:rPr>
              <w:t xml:space="preserve">Elevé </w:t>
            </w:r>
          </w:p>
        </w:tc>
      </w:tr>
    </w:tbl>
    <w:p w14:paraId="274863DF" w14:textId="77777777" w:rsidR="009021F1" w:rsidRPr="007E3D1A" w:rsidRDefault="009021F1" w:rsidP="009021F1">
      <w:pPr>
        <w:rPr>
          <w:rFonts w:cs="Arial"/>
          <w:sz w:val="22"/>
        </w:rPr>
      </w:pPr>
    </w:p>
    <w:p w14:paraId="1F2C2500" w14:textId="77777777" w:rsidR="009021F1" w:rsidRPr="007E3D1A" w:rsidRDefault="009021F1" w:rsidP="009021F1">
      <w:pPr>
        <w:rPr>
          <w:rFonts w:cs="Arial"/>
          <w:sz w:val="22"/>
        </w:rPr>
      </w:pPr>
      <w:r w:rsidRPr="007E3D1A">
        <w:rPr>
          <w:rFonts w:cs="Arial"/>
          <w:sz w:val="22"/>
        </w:rPr>
        <w:t>Conclusion et recommandation</w:t>
      </w:r>
    </w:p>
    <w:p w14:paraId="7B94334F" w14:textId="77777777" w:rsidR="009021F1" w:rsidRPr="007E3D1A" w:rsidRDefault="009021F1" w:rsidP="009021F1">
      <w:pPr>
        <w:rPr>
          <w:rFonts w:cs="Arial"/>
          <w:sz w:val="22"/>
        </w:rPr>
      </w:pPr>
      <w:r>
        <w:rPr>
          <w:noProof/>
        </w:rPr>
        <mc:AlternateContent>
          <mc:Choice Requires="wpg">
            <w:drawing>
              <wp:anchor distT="0" distB="0" distL="114300" distR="114300" simplePos="0" relativeHeight="251701292" behindDoc="1" locked="0" layoutInCell="1" allowOverlap="1" wp14:anchorId="56ACC682" wp14:editId="3D484C35">
                <wp:simplePos x="0" y="0"/>
                <wp:positionH relativeFrom="page">
                  <wp:posOffset>5385435</wp:posOffset>
                </wp:positionH>
                <wp:positionV relativeFrom="paragraph">
                  <wp:posOffset>86995</wp:posOffset>
                </wp:positionV>
                <wp:extent cx="228600" cy="228600"/>
                <wp:effectExtent l="0" t="0" r="0" b="0"/>
                <wp:wrapNone/>
                <wp:docPr id="227"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6729" y="-141"/>
                          <a:chExt cx="360" cy="360"/>
                        </a:xfrm>
                      </wpg:grpSpPr>
                      <wps:wsp>
                        <wps:cNvPr id="228" name="Freeform 236"/>
                        <wps:cNvSpPr>
                          <a:spLocks noChangeArrowheads="1"/>
                        </wps:cNvSpPr>
                        <wps:spPr bwMode="auto">
                          <a:xfrm>
                            <a:off x="6729" y="-141"/>
                            <a:ext cx="360" cy="360"/>
                          </a:xfrm>
                          <a:custGeom>
                            <a:avLst/>
                            <a:gdLst>
                              <a:gd name="T0" fmla="+- 0 6729 6729"/>
                              <a:gd name="T1" fmla="*/ T0 w 360"/>
                              <a:gd name="T2" fmla="+- 0 219 -141"/>
                              <a:gd name="T3" fmla="*/ 219 h 360"/>
                              <a:gd name="T4" fmla="+- 0 7089 6729"/>
                              <a:gd name="T5" fmla="*/ T4 w 360"/>
                              <a:gd name="T6" fmla="+- 0 219 -141"/>
                              <a:gd name="T7" fmla="*/ 219 h 360"/>
                              <a:gd name="T8" fmla="+- 0 7089 6729"/>
                              <a:gd name="T9" fmla="*/ T8 w 360"/>
                              <a:gd name="T10" fmla="+- 0 -141 -141"/>
                              <a:gd name="T11" fmla="*/ -141 h 360"/>
                              <a:gd name="T12" fmla="+- 0 6729 6729"/>
                              <a:gd name="T13" fmla="*/ T12 w 360"/>
                              <a:gd name="T14" fmla="+- 0 -141 -141"/>
                              <a:gd name="T15" fmla="*/ -141 h 360"/>
                              <a:gd name="T16" fmla="+- 0 6729 6729"/>
                              <a:gd name="T17" fmla="*/ T16 w 360"/>
                              <a:gd name="T18" fmla="+- 0 219 -141"/>
                              <a:gd name="T19" fmla="*/ 219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5A5F7B79" id="Groupe 1" o:spid="_x0000_s1026" style="position:absolute;margin-left:424.05pt;margin-top:6.85pt;width:18pt;height:18pt;z-index:-251615188;mso-position-horizontal-relative:page" coordorigin="6729,-141"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">
                <v:shape id="Freeform 236" o:spid="_x0000_s1027" style="position:absolute;left:6729;top:-141;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" path="m,360r360,l360,,,,,360xe" filled="f">
                  <v:path o:connecttype="custom" o:connectlocs="0,219;360,219;360,-141;0,-141;0,219" o:connectangles="0,0,0,0,0"/>
                </v:shape>
                <w10:wrap anchorx="page"/>
              </v:group>
            </w:pict>
          </mc:Fallback>
        </mc:AlternateContent>
      </w:r>
      <w:r>
        <w:rPr>
          <w:noProof/>
        </w:rPr>
        <mc:AlternateContent>
          <mc:Choice Requires="wpg">
            <w:drawing>
              <wp:anchor distT="0" distB="0" distL="114300" distR="114300" simplePos="0" relativeHeight="251699244" behindDoc="1" locked="0" layoutInCell="1" allowOverlap="1" wp14:anchorId="19A06513" wp14:editId="395238E2">
                <wp:simplePos x="0" y="0"/>
                <wp:positionH relativeFrom="page">
                  <wp:posOffset>3195320</wp:posOffset>
                </wp:positionH>
                <wp:positionV relativeFrom="paragraph">
                  <wp:posOffset>99060</wp:posOffset>
                </wp:positionV>
                <wp:extent cx="228600" cy="228600"/>
                <wp:effectExtent l="0" t="0" r="0" b="0"/>
                <wp:wrapNone/>
                <wp:docPr id="229" name="Groupe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3556" y="-134"/>
                          <a:chExt cx="360" cy="360"/>
                        </a:xfrm>
                      </wpg:grpSpPr>
                      <wps:wsp>
                        <wps:cNvPr id="230" name="Freeform 240"/>
                        <wps:cNvSpPr>
                          <a:spLocks noChangeArrowheads="1"/>
                        </wps:cNvSpPr>
                        <wps:spPr bwMode="auto">
                          <a:xfrm>
                            <a:off x="3556" y="-134"/>
                            <a:ext cx="360" cy="360"/>
                          </a:xfrm>
                          <a:custGeom>
                            <a:avLst/>
                            <a:gdLst>
                              <a:gd name="T0" fmla="+- 0 3556 3556"/>
                              <a:gd name="T1" fmla="*/ T0 w 360"/>
                              <a:gd name="T2" fmla="+- 0 226 -134"/>
                              <a:gd name="T3" fmla="*/ 226 h 360"/>
                              <a:gd name="T4" fmla="+- 0 3916 3556"/>
                              <a:gd name="T5" fmla="*/ T4 w 360"/>
                              <a:gd name="T6" fmla="+- 0 226 -134"/>
                              <a:gd name="T7" fmla="*/ 226 h 360"/>
                              <a:gd name="T8" fmla="+- 0 3916 3556"/>
                              <a:gd name="T9" fmla="*/ T8 w 360"/>
                              <a:gd name="T10" fmla="+- 0 -134 -134"/>
                              <a:gd name="T11" fmla="*/ -134 h 360"/>
                              <a:gd name="T12" fmla="+- 0 3556 3556"/>
                              <a:gd name="T13" fmla="*/ T12 w 360"/>
                              <a:gd name="T14" fmla="+- 0 -134 -134"/>
                              <a:gd name="T15" fmla="*/ -134 h 360"/>
                              <a:gd name="T16" fmla="+- 0 3556 3556"/>
                              <a:gd name="T17" fmla="*/ T16 w 360"/>
                              <a:gd name="T18" fmla="+- 0 226 -134"/>
                              <a:gd name="T19" fmla="*/ 226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542AA5BA" id="Groupe 51" o:spid="_x0000_s1026" style="position:absolute;margin-left:251.6pt;margin-top:7.8pt;width:18pt;height:18pt;z-index:-251617236;mso-position-horizontal-relative:page" coordorigin="3556,-134"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">
                <v:shape id="Freeform 240" o:spid="_x0000_s1027" style="position:absolute;left:3556;top:-134;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" path="m,360r360,l360,,,,,360xe" filled="f">
                  <v:path o:connecttype="custom" o:connectlocs="0,226;360,226;360,-134;0,-134;0,226" o:connectangles="0,0,0,0,0"/>
                </v:shape>
                <w10:wrap anchorx="page"/>
              </v:group>
            </w:pict>
          </mc:Fallback>
        </mc:AlternateContent>
      </w:r>
    </w:p>
    <w:p w14:paraId="7F815462" w14:textId="77777777" w:rsidR="009021F1" w:rsidRPr="007E3D1A" w:rsidRDefault="009021F1" w:rsidP="009021F1">
      <w:pPr>
        <w:rPr>
          <w:rFonts w:cs="Arial"/>
          <w:sz w:val="22"/>
        </w:rPr>
      </w:pPr>
      <w:r w:rsidRPr="007E3D1A">
        <w:rPr>
          <w:rFonts w:cs="Arial"/>
          <w:sz w:val="22"/>
        </w:rPr>
        <w:t>Projet de type :              Risque élevé</w:t>
      </w:r>
      <w:r w:rsidRPr="007E3D1A">
        <w:rPr>
          <w:rFonts w:cs="Arial"/>
          <w:sz w:val="22"/>
        </w:rPr>
        <w:tab/>
        <w:t xml:space="preserve">Risque substantiel </w:t>
      </w:r>
    </w:p>
    <w:p w14:paraId="1F8F2904" w14:textId="77777777" w:rsidR="009021F1" w:rsidRPr="007E3D1A" w:rsidRDefault="009021F1" w:rsidP="009021F1">
      <w:pPr>
        <w:rPr>
          <w:rFonts w:cs="Arial"/>
          <w:sz w:val="22"/>
        </w:rPr>
      </w:pPr>
      <w:r>
        <w:rPr>
          <w:noProof/>
        </w:rPr>
        <mc:AlternateContent>
          <mc:Choice Requires="wpg">
            <w:drawing>
              <wp:anchor distT="0" distB="0" distL="114300" distR="114300" simplePos="0" relativeHeight="251700268" behindDoc="1" locked="0" layoutInCell="1" allowOverlap="1" wp14:anchorId="225D0BAC" wp14:editId="66958998">
                <wp:simplePos x="0" y="0"/>
                <wp:positionH relativeFrom="page">
                  <wp:posOffset>3202940</wp:posOffset>
                </wp:positionH>
                <wp:positionV relativeFrom="paragraph">
                  <wp:posOffset>158750</wp:posOffset>
                </wp:positionV>
                <wp:extent cx="228600" cy="228600"/>
                <wp:effectExtent l="0" t="0" r="0" b="0"/>
                <wp:wrapNone/>
                <wp:docPr id="231" name="Groupe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8512" y="-134"/>
                          <a:chExt cx="360" cy="360"/>
                        </a:xfrm>
                      </wpg:grpSpPr>
                      <wps:wsp>
                        <wps:cNvPr id="232" name="Freeform 238"/>
                        <wps:cNvSpPr>
                          <a:spLocks noChangeArrowheads="1"/>
                        </wps:cNvSpPr>
                        <wps:spPr bwMode="auto">
                          <a:xfrm>
                            <a:off x="8512" y="-134"/>
                            <a:ext cx="360" cy="360"/>
                          </a:xfrm>
                          <a:custGeom>
                            <a:avLst/>
                            <a:gdLst>
                              <a:gd name="T0" fmla="+- 0 8512 8512"/>
                              <a:gd name="T1" fmla="*/ T0 w 360"/>
                              <a:gd name="T2" fmla="+- 0 226 -134"/>
                              <a:gd name="T3" fmla="*/ 226 h 360"/>
                              <a:gd name="T4" fmla="+- 0 8872 8512"/>
                              <a:gd name="T5" fmla="*/ T4 w 360"/>
                              <a:gd name="T6" fmla="+- 0 226 -134"/>
                              <a:gd name="T7" fmla="*/ 226 h 360"/>
                              <a:gd name="T8" fmla="+- 0 8872 8512"/>
                              <a:gd name="T9" fmla="*/ T8 w 360"/>
                              <a:gd name="T10" fmla="+- 0 -134 -134"/>
                              <a:gd name="T11" fmla="*/ -134 h 360"/>
                              <a:gd name="T12" fmla="+- 0 8512 8512"/>
                              <a:gd name="T13" fmla="*/ T12 w 360"/>
                              <a:gd name="T14" fmla="+- 0 -134 -134"/>
                              <a:gd name="T15" fmla="*/ -134 h 360"/>
                              <a:gd name="T16" fmla="+- 0 8512 8512"/>
                              <a:gd name="T17" fmla="*/ T16 w 360"/>
                              <a:gd name="T18" fmla="+- 0 226 -134"/>
                              <a:gd name="T19" fmla="*/ 226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590B8D0E" id="Groupe 135" o:spid="_x0000_s1026" style="position:absolute;margin-left:252.2pt;margin-top:12.5pt;width:18pt;height:18pt;z-index:-251616212;mso-position-horizontal-relative:page" coordorigin="8512,-134"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">
                <v:shape id="Freeform 238" o:spid="_x0000_s1027" style="position:absolute;left:8512;top:-134;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" path="m,360r360,l360,,,,,360xe" filled="f">
                  <v:path o:connecttype="custom" o:connectlocs="0,226;360,226;360,-134;0,-134;0,226" o:connectangles="0,0,0,0,0"/>
                </v:shape>
                <w10:wrap anchorx="page"/>
              </v:group>
            </w:pict>
          </mc:Fallback>
        </mc:AlternateContent>
      </w:r>
      <w:r>
        <w:rPr>
          <w:noProof/>
        </w:rPr>
        <mc:AlternateContent>
          <mc:Choice Requires="wpg">
            <w:drawing>
              <wp:anchor distT="0" distB="0" distL="114300" distR="114300" simplePos="0" relativeHeight="251705388" behindDoc="1" locked="0" layoutInCell="1" allowOverlap="1" wp14:anchorId="11CC6A55" wp14:editId="6A17F7BF">
                <wp:simplePos x="0" y="0"/>
                <wp:positionH relativeFrom="page">
                  <wp:posOffset>5385435</wp:posOffset>
                </wp:positionH>
                <wp:positionV relativeFrom="paragraph">
                  <wp:posOffset>158750</wp:posOffset>
                </wp:positionV>
                <wp:extent cx="228600" cy="228600"/>
                <wp:effectExtent l="0" t="0" r="0" b="0"/>
                <wp:wrapNone/>
                <wp:docPr id="233" name="Groupe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8512" y="-134"/>
                          <a:chExt cx="360" cy="360"/>
                        </a:xfrm>
                      </wpg:grpSpPr>
                      <wps:wsp>
                        <wps:cNvPr id="234" name="Freeform 238"/>
                        <wps:cNvSpPr>
                          <a:spLocks noChangeArrowheads="1"/>
                        </wps:cNvSpPr>
                        <wps:spPr bwMode="auto">
                          <a:xfrm>
                            <a:off x="8512" y="-134"/>
                            <a:ext cx="360" cy="360"/>
                          </a:xfrm>
                          <a:custGeom>
                            <a:avLst/>
                            <a:gdLst>
                              <a:gd name="T0" fmla="+- 0 8512 8512"/>
                              <a:gd name="T1" fmla="*/ T0 w 360"/>
                              <a:gd name="T2" fmla="+- 0 226 -134"/>
                              <a:gd name="T3" fmla="*/ 226 h 360"/>
                              <a:gd name="T4" fmla="+- 0 8872 8512"/>
                              <a:gd name="T5" fmla="*/ T4 w 360"/>
                              <a:gd name="T6" fmla="+- 0 226 -134"/>
                              <a:gd name="T7" fmla="*/ 226 h 360"/>
                              <a:gd name="T8" fmla="+- 0 8872 8512"/>
                              <a:gd name="T9" fmla="*/ T8 w 360"/>
                              <a:gd name="T10" fmla="+- 0 -134 -134"/>
                              <a:gd name="T11" fmla="*/ -134 h 360"/>
                              <a:gd name="T12" fmla="+- 0 8512 8512"/>
                              <a:gd name="T13" fmla="*/ T12 w 360"/>
                              <a:gd name="T14" fmla="+- 0 -134 -134"/>
                              <a:gd name="T15" fmla="*/ -134 h 360"/>
                              <a:gd name="T16" fmla="+- 0 8512 8512"/>
                              <a:gd name="T17" fmla="*/ T16 w 360"/>
                              <a:gd name="T18" fmla="+- 0 226 -134"/>
                              <a:gd name="T19" fmla="*/ 226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2E0A803C" id="Groupe 137" o:spid="_x0000_s1026" style="position:absolute;margin-left:424.05pt;margin-top:12.5pt;width:18pt;height:18pt;z-index:-251611092;mso-position-horizontal-relative:page" coordorigin="8512,-134"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">
                <v:shape id="Freeform 238" o:spid="_x0000_s1027" style="position:absolute;left:8512;top:-134;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" path="m,360r360,l360,,,,,360xe" filled="f">
                  <v:path o:connecttype="custom" o:connectlocs="0,226;360,226;360,-134;0,-134;0,226" o:connectangles="0,0,0,0,0"/>
                </v:shape>
                <w10:wrap anchorx="page"/>
              </v:group>
            </w:pict>
          </mc:Fallback>
        </mc:AlternateContent>
      </w:r>
    </w:p>
    <w:p w14:paraId="52254A34" w14:textId="77777777" w:rsidR="009021F1" w:rsidRPr="007E3D1A" w:rsidRDefault="009021F1" w:rsidP="009021F1">
      <w:pPr>
        <w:rPr>
          <w:rFonts w:cs="Arial"/>
          <w:sz w:val="22"/>
        </w:rPr>
      </w:pPr>
      <w:r w:rsidRPr="007E3D1A">
        <w:rPr>
          <w:rFonts w:cs="Arial"/>
          <w:sz w:val="22"/>
        </w:rPr>
        <w:t xml:space="preserve">                                 </w:t>
      </w:r>
      <w:r w:rsidRPr="007E3D1A">
        <w:rPr>
          <w:rFonts w:cs="Arial"/>
          <w:sz w:val="22"/>
        </w:rPr>
        <w:tab/>
        <w:t>Risque modéré</w:t>
      </w:r>
      <w:r w:rsidRPr="007E3D1A">
        <w:rPr>
          <w:rFonts w:cs="Arial"/>
          <w:sz w:val="22"/>
        </w:rPr>
        <w:tab/>
      </w:r>
      <w:r w:rsidRPr="007E3D1A">
        <w:rPr>
          <w:rFonts w:cs="Arial"/>
          <w:sz w:val="22"/>
        </w:rPr>
        <w:tab/>
      </w:r>
      <w:r w:rsidRPr="007E3D1A">
        <w:rPr>
          <w:rFonts w:cs="Arial"/>
          <w:sz w:val="22"/>
        </w:rPr>
        <w:tab/>
        <w:t xml:space="preserve">   Risque faible  </w:t>
      </w:r>
    </w:p>
    <w:p w14:paraId="7B9C9F3A" w14:textId="77777777" w:rsidR="009021F1" w:rsidRPr="007E3D1A" w:rsidRDefault="009021F1" w:rsidP="009021F1">
      <w:pPr>
        <w:rPr>
          <w:rFonts w:cs="Arial"/>
          <w:sz w:val="22"/>
        </w:rPr>
      </w:pPr>
    </w:p>
    <w:p w14:paraId="42957B51" w14:textId="77777777" w:rsidR="009021F1" w:rsidRPr="007E3D1A" w:rsidRDefault="009021F1" w:rsidP="009021F1">
      <w:pPr>
        <w:rPr>
          <w:rFonts w:cs="Arial"/>
          <w:sz w:val="22"/>
        </w:rPr>
      </w:pPr>
      <w:r w:rsidRPr="007E3D1A">
        <w:rPr>
          <w:rFonts w:cs="Arial"/>
          <w:sz w:val="22"/>
        </w:rPr>
        <w:t>Travail environnemental nécessaire :</w:t>
      </w:r>
    </w:p>
    <w:p w14:paraId="7BA8A704" w14:textId="77777777" w:rsidR="009021F1" w:rsidRPr="007E3D1A" w:rsidRDefault="009021F1" w:rsidP="009021F1">
      <w:pPr>
        <w:rPr>
          <w:rFonts w:cs="Arial"/>
          <w:sz w:val="22"/>
        </w:rPr>
      </w:pPr>
    </w:p>
    <w:p w14:paraId="101C476E" w14:textId="77777777" w:rsidR="009021F1" w:rsidRPr="007E3D1A" w:rsidRDefault="009021F1" w:rsidP="009021F1">
      <w:pPr>
        <w:rPr>
          <w:rFonts w:cs="Arial"/>
          <w:sz w:val="22"/>
        </w:rPr>
      </w:pPr>
      <w:r>
        <w:rPr>
          <w:noProof/>
        </w:rPr>
        <mc:AlternateContent>
          <mc:Choice Requires="wpg">
            <w:drawing>
              <wp:anchor distT="0" distB="0" distL="114300" distR="114300" simplePos="0" relativeHeight="251702316" behindDoc="1" locked="0" layoutInCell="1" allowOverlap="1" wp14:anchorId="3488556C" wp14:editId="6D41CD73">
                <wp:simplePos x="0" y="0"/>
                <wp:positionH relativeFrom="page">
                  <wp:posOffset>3414395</wp:posOffset>
                </wp:positionH>
                <wp:positionV relativeFrom="paragraph">
                  <wp:posOffset>67945</wp:posOffset>
                </wp:positionV>
                <wp:extent cx="228600" cy="114300"/>
                <wp:effectExtent l="0" t="0" r="0" b="0"/>
                <wp:wrapNone/>
                <wp:docPr id="235" name="Groupe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114300"/>
                          <a:chOff x="5377" y="107"/>
                          <a:chExt cx="360" cy="180"/>
                        </a:xfrm>
                      </wpg:grpSpPr>
                      <wps:wsp>
                        <wps:cNvPr id="236" name="Freeform 234"/>
                        <wps:cNvSpPr>
                          <a:spLocks noChangeArrowheads="1"/>
                        </wps:cNvSpPr>
                        <wps:spPr bwMode="auto">
                          <a:xfrm>
                            <a:off x="5377" y="107"/>
                            <a:ext cx="360" cy="180"/>
                          </a:xfrm>
                          <a:custGeom>
                            <a:avLst/>
                            <a:gdLst>
                              <a:gd name="T0" fmla="+- 0 5377 5377"/>
                              <a:gd name="T1" fmla="*/ T0 w 360"/>
                              <a:gd name="T2" fmla="+- 0 287 107"/>
                              <a:gd name="T3" fmla="*/ 287 h 180"/>
                              <a:gd name="T4" fmla="+- 0 5737 5377"/>
                              <a:gd name="T5" fmla="*/ T4 w 360"/>
                              <a:gd name="T6" fmla="+- 0 287 107"/>
                              <a:gd name="T7" fmla="*/ 287 h 180"/>
                              <a:gd name="T8" fmla="+- 0 5737 5377"/>
                              <a:gd name="T9" fmla="*/ T8 w 360"/>
                              <a:gd name="T10" fmla="+- 0 107 107"/>
                              <a:gd name="T11" fmla="*/ 107 h 180"/>
                              <a:gd name="T12" fmla="+- 0 5377 5377"/>
                              <a:gd name="T13" fmla="*/ T12 w 360"/>
                              <a:gd name="T14" fmla="+- 0 107 107"/>
                              <a:gd name="T15" fmla="*/ 107 h 180"/>
                              <a:gd name="T16" fmla="+- 0 5377 5377"/>
                              <a:gd name="T17" fmla="*/ T16 w 360"/>
                              <a:gd name="T18" fmla="+- 0 287 107"/>
                              <a:gd name="T19" fmla="*/ 287 h 180"/>
                            </a:gdLst>
                            <a:ahLst/>
                            <a:cxnLst>
                              <a:cxn ang="0">
                                <a:pos x="T1" y="T3"/>
                              </a:cxn>
                              <a:cxn ang="0">
                                <a:pos x="T5" y="T7"/>
                              </a:cxn>
                              <a:cxn ang="0">
                                <a:pos x="T9" y="T11"/>
                              </a:cxn>
                              <a:cxn ang="0">
                                <a:pos x="T13" y="T15"/>
                              </a:cxn>
                              <a:cxn ang="0">
                                <a:pos x="T17" y="T19"/>
                              </a:cxn>
                            </a:cxnLst>
                            <a:rect l="0" t="0" r="r" b="b"/>
                            <a:pathLst>
                              <a:path w="360" h="180">
                                <a:moveTo>
                                  <a:pt x="0" y="180"/>
                                </a:moveTo>
                                <a:lnTo>
                                  <a:pt x="360" y="180"/>
                                </a:lnTo>
                                <a:lnTo>
                                  <a:pt x="360" y="0"/>
                                </a:lnTo>
                                <a:lnTo>
                                  <a:pt x="0" y="0"/>
                                </a:lnTo>
                                <a:lnTo>
                                  <a:pt x="0" y="180"/>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8BA1EFA" id="Groupe 139" o:spid="_x0000_s1026" style="position:absolute;margin-left:268.85pt;margin-top:5.35pt;width:18pt;height:9pt;z-index:-251614164;mso-position-horizontal-relative:page" coordorigin="5377,107"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">
                <v:shape id="Freeform 234" o:spid="_x0000_s1027" style="position:absolute;left:5377;top:107;width:360;height:180;visibility:visible;mso-wrap-style:square;v-text-anchor:top"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" path="m,180r360,l360,,,,,180xe" filled="f">
                  <v:path o:connecttype="custom" o:connectlocs="0,287;360,287;360,107;0,107;0,287" o:connectangles="0,0,0,0,0"/>
                </v:shape>
                <w10:wrap anchorx="page"/>
              </v:group>
            </w:pict>
          </mc:Fallback>
        </mc:AlternateContent>
      </w:r>
      <w:r w:rsidRPr="007E3D1A">
        <w:rPr>
          <w:rFonts w:eastAsia="Symbol" w:cs="Arial"/>
          <w:sz w:val="22"/>
        </w:rPr>
        <w:t></w:t>
      </w:r>
      <w:r w:rsidRPr="007E3D1A">
        <w:rPr>
          <w:rFonts w:cs="Arial"/>
          <w:sz w:val="22"/>
        </w:rPr>
        <w:tab/>
        <w:t>Pas de travail environnemental</w:t>
      </w:r>
    </w:p>
    <w:p w14:paraId="27ED0DEB" w14:textId="77777777" w:rsidR="009021F1" w:rsidRPr="007E3D1A" w:rsidRDefault="009021F1" w:rsidP="009021F1">
      <w:pPr>
        <w:rPr>
          <w:rFonts w:cs="Arial"/>
          <w:sz w:val="22"/>
        </w:rPr>
      </w:pPr>
      <w:r>
        <w:rPr>
          <w:noProof/>
        </w:rPr>
        <mc:AlternateContent>
          <mc:Choice Requires="wpg">
            <w:drawing>
              <wp:anchor distT="0" distB="0" distL="114300" distR="114300" simplePos="0" relativeHeight="251703340" behindDoc="1" locked="0" layoutInCell="1" allowOverlap="1" wp14:anchorId="10739DFB" wp14:editId="3E805A8F">
                <wp:simplePos x="0" y="0"/>
                <wp:positionH relativeFrom="page">
                  <wp:posOffset>3414395</wp:posOffset>
                </wp:positionH>
                <wp:positionV relativeFrom="paragraph">
                  <wp:posOffset>36830</wp:posOffset>
                </wp:positionV>
                <wp:extent cx="228600" cy="114300"/>
                <wp:effectExtent l="0" t="0" r="0" b="0"/>
                <wp:wrapNone/>
                <wp:docPr id="237" name="Groupe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114300"/>
                          <a:chOff x="5377" y="58"/>
                          <a:chExt cx="360" cy="180"/>
                        </a:xfrm>
                      </wpg:grpSpPr>
                      <wps:wsp>
                        <wps:cNvPr id="238" name="Freeform 232"/>
                        <wps:cNvSpPr>
                          <a:spLocks noChangeArrowheads="1"/>
                        </wps:cNvSpPr>
                        <wps:spPr bwMode="auto">
                          <a:xfrm>
                            <a:off x="5377" y="58"/>
                            <a:ext cx="360" cy="180"/>
                          </a:xfrm>
                          <a:custGeom>
                            <a:avLst/>
                            <a:gdLst>
                              <a:gd name="T0" fmla="+- 0 5377 5377"/>
                              <a:gd name="T1" fmla="*/ T0 w 360"/>
                              <a:gd name="T2" fmla="+- 0 238 58"/>
                              <a:gd name="T3" fmla="*/ 238 h 180"/>
                              <a:gd name="T4" fmla="+- 0 5737 5377"/>
                              <a:gd name="T5" fmla="*/ T4 w 360"/>
                              <a:gd name="T6" fmla="+- 0 238 58"/>
                              <a:gd name="T7" fmla="*/ 238 h 180"/>
                              <a:gd name="T8" fmla="+- 0 5737 5377"/>
                              <a:gd name="T9" fmla="*/ T8 w 360"/>
                              <a:gd name="T10" fmla="+- 0 58 58"/>
                              <a:gd name="T11" fmla="*/ 58 h 180"/>
                              <a:gd name="T12" fmla="+- 0 5377 5377"/>
                              <a:gd name="T13" fmla="*/ T12 w 360"/>
                              <a:gd name="T14" fmla="+- 0 58 58"/>
                              <a:gd name="T15" fmla="*/ 58 h 180"/>
                              <a:gd name="T16" fmla="+- 0 5377 5377"/>
                              <a:gd name="T17" fmla="*/ T16 w 360"/>
                              <a:gd name="T18" fmla="+- 0 238 58"/>
                              <a:gd name="T19" fmla="*/ 238 h 180"/>
                            </a:gdLst>
                            <a:ahLst/>
                            <a:cxnLst>
                              <a:cxn ang="0">
                                <a:pos x="T1" y="T3"/>
                              </a:cxn>
                              <a:cxn ang="0">
                                <a:pos x="T5" y="T7"/>
                              </a:cxn>
                              <a:cxn ang="0">
                                <a:pos x="T9" y="T11"/>
                              </a:cxn>
                              <a:cxn ang="0">
                                <a:pos x="T13" y="T15"/>
                              </a:cxn>
                              <a:cxn ang="0">
                                <a:pos x="T17" y="T19"/>
                              </a:cxn>
                            </a:cxnLst>
                            <a:rect l="0" t="0" r="r" b="b"/>
                            <a:pathLst>
                              <a:path w="360" h="180">
                                <a:moveTo>
                                  <a:pt x="0" y="180"/>
                                </a:moveTo>
                                <a:lnTo>
                                  <a:pt x="360" y="180"/>
                                </a:lnTo>
                                <a:lnTo>
                                  <a:pt x="360" y="0"/>
                                </a:lnTo>
                                <a:lnTo>
                                  <a:pt x="0" y="0"/>
                                </a:lnTo>
                                <a:lnTo>
                                  <a:pt x="0" y="180"/>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76A1C652" id="Groupe 141" o:spid="_x0000_s1026" style="position:absolute;margin-left:268.85pt;margin-top:2.9pt;width:18pt;height:9pt;z-index:-251613140;mso-position-horizontal-relative:page" coordorigin="5377,58"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">
                <v:shape id="Freeform 232" o:spid="_x0000_s1027" style="position:absolute;left:5377;top:58;width:360;height:180;visibility:visible;mso-wrap-style:square;v-text-anchor:top"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" path="m,180r360,l360,,,,,180xe" filled="f">
                  <v:path o:connecttype="custom" o:connectlocs="0,238;360,238;360,58;0,58;0,238" o:connectangles="0,0,0,0,0"/>
                </v:shape>
                <w10:wrap anchorx="page"/>
              </v:group>
            </w:pict>
          </mc:Fallback>
        </mc:AlternateContent>
      </w:r>
      <w:r w:rsidRPr="007E3D1A">
        <w:rPr>
          <w:rFonts w:eastAsia="Symbol" w:cs="Arial"/>
          <w:sz w:val="22"/>
        </w:rPr>
        <w:t></w:t>
      </w:r>
      <w:r w:rsidRPr="007E3D1A">
        <w:rPr>
          <w:rFonts w:cs="Arial"/>
          <w:sz w:val="22"/>
        </w:rPr>
        <w:tab/>
        <w:t>Simples mesures de mitigation</w:t>
      </w:r>
    </w:p>
    <w:p w14:paraId="4C3BCABC" w14:textId="77777777" w:rsidR="009021F1" w:rsidRPr="007E3D1A" w:rsidRDefault="009021F1" w:rsidP="009021F1">
      <w:pPr>
        <w:rPr>
          <w:rFonts w:cs="Arial"/>
          <w:sz w:val="22"/>
        </w:rPr>
      </w:pPr>
      <w:r>
        <w:rPr>
          <w:noProof/>
        </w:rPr>
        <mc:AlternateContent>
          <mc:Choice Requires="wpg">
            <w:drawing>
              <wp:anchor distT="0" distB="0" distL="114300" distR="114300" simplePos="0" relativeHeight="251704364" behindDoc="1" locked="0" layoutInCell="1" allowOverlap="1" wp14:anchorId="5D1EF883" wp14:editId="0830AE42">
                <wp:simplePos x="0" y="0"/>
                <wp:positionH relativeFrom="page">
                  <wp:posOffset>3414395</wp:posOffset>
                </wp:positionH>
                <wp:positionV relativeFrom="paragraph">
                  <wp:posOffset>5080</wp:posOffset>
                </wp:positionV>
                <wp:extent cx="228600" cy="128270"/>
                <wp:effectExtent l="0" t="0" r="0" b="5080"/>
                <wp:wrapNone/>
                <wp:docPr id="239" name="Groupe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128270"/>
                          <a:chOff x="5377" y="8"/>
                          <a:chExt cx="360" cy="202"/>
                        </a:xfrm>
                      </wpg:grpSpPr>
                      <wps:wsp>
                        <wps:cNvPr id="240" name="Freeform 230"/>
                        <wps:cNvSpPr>
                          <a:spLocks noChangeArrowheads="1"/>
                        </wps:cNvSpPr>
                        <wps:spPr bwMode="auto">
                          <a:xfrm>
                            <a:off x="5377" y="8"/>
                            <a:ext cx="360" cy="202"/>
                          </a:xfrm>
                          <a:custGeom>
                            <a:avLst/>
                            <a:gdLst>
                              <a:gd name="T0" fmla="+- 0 5377 5377"/>
                              <a:gd name="T1" fmla="*/ T0 w 360"/>
                              <a:gd name="T2" fmla="+- 0 210 8"/>
                              <a:gd name="T3" fmla="*/ 210 h 202"/>
                              <a:gd name="T4" fmla="+- 0 5737 5377"/>
                              <a:gd name="T5" fmla="*/ T4 w 360"/>
                              <a:gd name="T6" fmla="+- 0 210 8"/>
                              <a:gd name="T7" fmla="*/ 210 h 202"/>
                              <a:gd name="T8" fmla="+- 0 5737 5377"/>
                              <a:gd name="T9" fmla="*/ T8 w 360"/>
                              <a:gd name="T10" fmla="+- 0 8 8"/>
                              <a:gd name="T11" fmla="*/ 8 h 202"/>
                              <a:gd name="T12" fmla="+- 0 5377 5377"/>
                              <a:gd name="T13" fmla="*/ T12 w 360"/>
                              <a:gd name="T14" fmla="+- 0 8 8"/>
                              <a:gd name="T15" fmla="*/ 8 h 202"/>
                              <a:gd name="T16" fmla="+- 0 5377 5377"/>
                              <a:gd name="T17" fmla="*/ T16 w 360"/>
                              <a:gd name="T18" fmla="+- 0 210 8"/>
                              <a:gd name="T19" fmla="*/ 210 h 202"/>
                            </a:gdLst>
                            <a:ahLst/>
                            <a:cxnLst>
                              <a:cxn ang="0">
                                <a:pos x="T1" y="T3"/>
                              </a:cxn>
                              <a:cxn ang="0">
                                <a:pos x="T5" y="T7"/>
                              </a:cxn>
                              <a:cxn ang="0">
                                <a:pos x="T9" y="T11"/>
                              </a:cxn>
                              <a:cxn ang="0">
                                <a:pos x="T13" y="T15"/>
                              </a:cxn>
                              <a:cxn ang="0">
                                <a:pos x="T17" y="T19"/>
                              </a:cxn>
                            </a:cxnLst>
                            <a:rect l="0" t="0" r="r" b="b"/>
                            <a:pathLst>
                              <a:path w="360" h="202">
                                <a:moveTo>
                                  <a:pt x="0" y="202"/>
                                </a:moveTo>
                                <a:lnTo>
                                  <a:pt x="360" y="202"/>
                                </a:lnTo>
                                <a:lnTo>
                                  <a:pt x="360" y="0"/>
                                </a:lnTo>
                                <a:lnTo>
                                  <a:pt x="0" y="0"/>
                                </a:lnTo>
                                <a:lnTo>
                                  <a:pt x="0" y="202"/>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6AB461B6" id="Groupe 143" o:spid="_x0000_s1026" style="position:absolute;margin-left:268.85pt;margin-top:.4pt;width:18pt;height:10.1pt;z-index:-251612116;mso-position-horizontal-relative:page" coordorigin="5377,8" coordsize="360,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">
                <v:shape id="Freeform 230" o:spid="_x0000_s1027" style="position:absolute;left:5377;top:8;width:360;height:202;visibility:visible;mso-wrap-style:square;v-text-anchor:top" coordsize="36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" path="m,202r360,l360,,,,,202xe" filled="f">
                  <v:path o:connecttype="custom" o:connectlocs="0,210;360,210;360,8;0,8;0,210" o:connectangles="0,0,0,0,0"/>
                </v:shape>
                <w10:wrap anchorx="page"/>
              </v:group>
            </w:pict>
          </mc:Fallback>
        </mc:AlternateContent>
      </w:r>
      <w:r w:rsidRPr="007E3D1A">
        <w:rPr>
          <w:rFonts w:eastAsia="Symbol" w:cs="Arial"/>
          <w:sz w:val="22"/>
        </w:rPr>
        <w:t></w:t>
      </w:r>
      <w:r w:rsidRPr="007E3D1A">
        <w:rPr>
          <w:rFonts w:cs="Arial"/>
          <w:sz w:val="22"/>
        </w:rPr>
        <w:tab/>
        <w:t>Étude d’Impact Environnemental et Social</w:t>
      </w:r>
    </w:p>
    <w:p w14:paraId="2CDD6A63" w14:textId="77777777" w:rsidR="009021F1" w:rsidRPr="007E3D1A" w:rsidRDefault="009021F1" w:rsidP="009021F1">
      <w:pPr>
        <w:rPr>
          <w:rFonts w:cs="Arial"/>
          <w:sz w:val="22"/>
        </w:rPr>
      </w:pPr>
    </w:p>
    <w:p w14:paraId="45471482" w14:textId="77777777" w:rsidR="009021F1" w:rsidRPr="007E3D1A" w:rsidRDefault="009021F1" w:rsidP="009021F1">
      <w:pPr>
        <w:rPr>
          <w:rFonts w:cs="Arial"/>
          <w:sz w:val="22"/>
        </w:rPr>
      </w:pPr>
      <w:r w:rsidRPr="007E3D1A">
        <w:rPr>
          <w:rFonts w:cs="Arial"/>
          <w:sz w:val="22"/>
        </w:rPr>
        <w:t>Travail social nécessaire</w:t>
      </w:r>
    </w:p>
    <w:p w14:paraId="52EA9013" w14:textId="77777777" w:rsidR="009021F1" w:rsidRPr="007E3D1A" w:rsidRDefault="009021F1" w:rsidP="009021F1">
      <w:pPr>
        <w:rPr>
          <w:rFonts w:cs="Arial"/>
          <w:sz w:val="22"/>
        </w:rPr>
      </w:pPr>
    </w:p>
    <w:p w14:paraId="0BA6025F" w14:textId="77777777" w:rsidR="009021F1" w:rsidRPr="007E3D1A" w:rsidRDefault="009021F1" w:rsidP="009021F1">
      <w:pPr>
        <w:rPr>
          <w:rFonts w:cs="Arial"/>
          <w:sz w:val="22"/>
        </w:rPr>
      </w:pPr>
      <w:r>
        <w:rPr>
          <w:noProof/>
        </w:rPr>
        <mc:AlternateContent>
          <mc:Choice Requires="wpg">
            <w:drawing>
              <wp:anchor distT="0" distB="0" distL="114300" distR="114300" simplePos="0" relativeHeight="251697196" behindDoc="1" locked="0" layoutInCell="1" allowOverlap="1" wp14:anchorId="4E99C655" wp14:editId="7C5A9918">
                <wp:simplePos x="0" y="0"/>
                <wp:positionH relativeFrom="page">
                  <wp:posOffset>3414395</wp:posOffset>
                </wp:positionH>
                <wp:positionV relativeFrom="paragraph">
                  <wp:posOffset>57150</wp:posOffset>
                </wp:positionV>
                <wp:extent cx="228600" cy="114300"/>
                <wp:effectExtent l="0" t="0" r="0" b="0"/>
                <wp:wrapNone/>
                <wp:docPr id="241" name="Groupe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114300"/>
                          <a:chOff x="5377" y="90"/>
                          <a:chExt cx="360" cy="180"/>
                        </a:xfrm>
                      </wpg:grpSpPr>
                      <wps:wsp>
                        <wps:cNvPr id="242" name="Freeform 294"/>
                        <wps:cNvSpPr>
                          <a:spLocks noChangeArrowheads="1"/>
                        </wps:cNvSpPr>
                        <wps:spPr bwMode="auto">
                          <a:xfrm>
                            <a:off x="5377" y="90"/>
                            <a:ext cx="360" cy="180"/>
                          </a:xfrm>
                          <a:custGeom>
                            <a:avLst/>
                            <a:gdLst>
                              <a:gd name="T0" fmla="+- 0 5377 5377"/>
                              <a:gd name="T1" fmla="*/ T0 w 360"/>
                              <a:gd name="T2" fmla="+- 0 270 90"/>
                              <a:gd name="T3" fmla="*/ 270 h 180"/>
                              <a:gd name="T4" fmla="+- 0 5737 5377"/>
                              <a:gd name="T5" fmla="*/ T4 w 360"/>
                              <a:gd name="T6" fmla="+- 0 270 90"/>
                              <a:gd name="T7" fmla="*/ 270 h 180"/>
                              <a:gd name="T8" fmla="+- 0 5737 5377"/>
                              <a:gd name="T9" fmla="*/ T8 w 360"/>
                              <a:gd name="T10" fmla="+- 0 90 90"/>
                              <a:gd name="T11" fmla="*/ 90 h 180"/>
                              <a:gd name="T12" fmla="+- 0 5377 5377"/>
                              <a:gd name="T13" fmla="*/ T12 w 360"/>
                              <a:gd name="T14" fmla="+- 0 90 90"/>
                              <a:gd name="T15" fmla="*/ 90 h 180"/>
                              <a:gd name="T16" fmla="+- 0 5377 5377"/>
                              <a:gd name="T17" fmla="*/ T16 w 360"/>
                              <a:gd name="T18" fmla="+- 0 270 90"/>
                              <a:gd name="T19" fmla="*/ 270 h 180"/>
                            </a:gdLst>
                            <a:ahLst/>
                            <a:cxnLst>
                              <a:cxn ang="0">
                                <a:pos x="T1" y="T3"/>
                              </a:cxn>
                              <a:cxn ang="0">
                                <a:pos x="T5" y="T7"/>
                              </a:cxn>
                              <a:cxn ang="0">
                                <a:pos x="T9" y="T11"/>
                              </a:cxn>
                              <a:cxn ang="0">
                                <a:pos x="T13" y="T15"/>
                              </a:cxn>
                              <a:cxn ang="0">
                                <a:pos x="T17" y="T19"/>
                              </a:cxn>
                            </a:cxnLst>
                            <a:rect l="0" t="0" r="r" b="b"/>
                            <a:pathLst>
                              <a:path w="360" h="180">
                                <a:moveTo>
                                  <a:pt x="0" y="180"/>
                                </a:moveTo>
                                <a:lnTo>
                                  <a:pt x="360" y="180"/>
                                </a:lnTo>
                                <a:lnTo>
                                  <a:pt x="360" y="0"/>
                                </a:lnTo>
                                <a:lnTo>
                                  <a:pt x="0" y="0"/>
                                </a:lnTo>
                                <a:lnTo>
                                  <a:pt x="0" y="180"/>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DBB84F9" id="Groupe 145" o:spid="_x0000_s1026" style="position:absolute;margin-left:268.85pt;margin-top:4.5pt;width:18pt;height:9pt;z-index:-251619284;mso-position-horizontal-relative:page" coordorigin="5377,90"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">
                <v:shape id="Freeform 294" o:spid="_x0000_s1027" style="position:absolute;left:5377;top:90;width:360;height:180;visibility:visible;mso-wrap-style:square;v-text-anchor:top"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" path="m,180r360,l360,,,,,180xe" filled="f">
                  <v:path o:connecttype="custom" o:connectlocs="0,270;360,270;360,90;0,90;0,270" o:connectangles="0,0,0,0,0"/>
                </v:shape>
                <w10:wrap anchorx="page"/>
              </v:group>
            </w:pict>
          </mc:Fallback>
        </mc:AlternateContent>
      </w:r>
      <w:r w:rsidRPr="007E3D1A">
        <w:rPr>
          <w:rFonts w:eastAsia="Courier New" w:cs="Arial"/>
          <w:sz w:val="22"/>
        </w:rPr>
        <w:t>o</w:t>
      </w:r>
      <w:r w:rsidRPr="007E3D1A">
        <w:rPr>
          <w:rFonts w:eastAsia="Courier New" w:cs="Arial"/>
          <w:sz w:val="22"/>
        </w:rPr>
        <w:tab/>
      </w:r>
      <w:r w:rsidRPr="007E3D1A">
        <w:rPr>
          <w:rFonts w:cs="Arial"/>
          <w:sz w:val="22"/>
        </w:rPr>
        <w:t>Pas de travail social à faire</w:t>
      </w:r>
    </w:p>
    <w:p w14:paraId="7AB5A557" w14:textId="77777777" w:rsidR="009021F1" w:rsidRPr="007E3D1A" w:rsidRDefault="009021F1" w:rsidP="009021F1">
      <w:pPr>
        <w:rPr>
          <w:rFonts w:cs="Arial"/>
          <w:sz w:val="22"/>
        </w:rPr>
      </w:pPr>
      <w:r>
        <w:rPr>
          <w:noProof/>
        </w:rPr>
        <mc:AlternateContent>
          <mc:Choice Requires="wpg">
            <w:drawing>
              <wp:anchor distT="0" distB="0" distL="114300" distR="114300" simplePos="0" relativeHeight="251706412" behindDoc="1" locked="0" layoutInCell="1" allowOverlap="1" wp14:anchorId="3AB03557" wp14:editId="14FB1BC1">
                <wp:simplePos x="0" y="0"/>
                <wp:positionH relativeFrom="page">
                  <wp:posOffset>3414395</wp:posOffset>
                </wp:positionH>
                <wp:positionV relativeFrom="paragraph">
                  <wp:posOffset>-4445</wp:posOffset>
                </wp:positionV>
                <wp:extent cx="228600" cy="128270"/>
                <wp:effectExtent l="0" t="0" r="0" b="5080"/>
                <wp:wrapNone/>
                <wp:docPr id="243" name="Groupe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128270"/>
                          <a:chOff x="5377" y="-7"/>
                          <a:chExt cx="360" cy="202"/>
                        </a:xfrm>
                      </wpg:grpSpPr>
                      <wps:wsp>
                        <wps:cNvPr id="244" name="Freeform 290"/>
                        <wps:cNvSpPr>
                          <a:spLocks noChangeArrowheads="1"/>
                        </wps:cNvSpPr>
                        <wps:spPr bwMode="auto">
                          <a:xfrm>
                            <a:off x="5377" y="-7"/>
                            <a:ext cx="360" cy="202"/>
                          </a:xfrm>
                          <a:custGeom>
                            <a:avLst/>
                            <a:gdLst>
                              <a:gd name="T0" fmla="+- 0 5377 5377"/>
                              <a:gd name="T1" fmla="*/ T0 w 360"/>
                              <a:gd name="T2" fmla="+- 0 195 -7"/>
                              <a:gd name="T3" fmla="*/ 195 h 202"/>
                              <a:gd name="T4" fmla="+- 0 5737 5377"/>
                              <a:gd name="T5" fmla="*/ T4 w 360"/>
                              <a:gd name="T6" fmla="+- 0 195 -7"/>
                              <a:gd name="T7" fmla="*/ 195 h 202"/>
                              <a:gd name="T8" fmla="+- 0 5737 5377"/>
                              <a:gd name="T9" fmla="*/ T8 w 360"/>
                              <a:gd name="T10" fmla="+- 0 -7 -7"/>
                              <a:gd name="T11" fmla="*/ -7 h 202"/>
                              <a:gd name="T12" fmla="+- 0 5377 5377"/>
                              <a:gd name="T13" fmla="*/ T12 w 360"/>
                              <a:gd name="T14" fmla="+- 0 -7 -7"/>
                              <a:gd name="T15" fmla="*/ -7 h 202"/>
                              <a:gd name="T16" fmla="+- 0 5377 5377"/>
                              <a:gd name="T17" fmla="*/ T16 w 360"/>
                              <a:gd name="T18" fmla="+- 0 195 -7"/>
                              <a:gd name="T19" fmla="*/ 195 h 202"/>
                            </a:gdLst>
                            <a:ahLst/>
                            <a:cxnLst>
                              <a:cxn ang="0">
                                <a:pos x="T1" y="T3"/>
                              </a:cxn>
                              <a:cxn ang="0">
                                <a:pos x="T5" y="T7"/>
                              </a:cxn>
                              <a:cxn ang="0">
                                <a:pos x="T9" y="T11"/>
                              </a:cxn>
                              <a:cxn ang="0">
                                <a:pos x="T13" y="T15"/>
                              </a:cxn>
                              <a:cxn ang="0">
                                <a:pos x="T17" y="T19"/>
                              </a:cxn>
                            </a:cxnLst>
                            <a:rect l="0" t="0" r="r" b="b"/>
                            <a:pathLst>
                              <a:path w="360" h="202">
                                <a:moveTo>
                                  <a:pt x="0" y="202"/>
                                </a:moveTo>
                                <a:lnTo>
                                  <a:pt x="360" y="202"/>
                                </a:lnTo>
                                <a:lnTo>
                                  <a:pt x="360" y="0"/>
                                </a:lnTo>
                                <a:lnTo>
                                  <a:pt x="0" y="0"/>
                                </a:lnTo>
                                <a:lnTo>
                                  <a:pt x="0" y="202"/>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4FDDB8A" id="Groupe 147" o:spid="_x0000_s1026" style="position:absolute;margin-left:268.85pt;margin-top:-.35pt;width:18pt;height:10.1pt;z-index:-251610068;mso-position-horizontal-relative:page" coordorigin="5377,-7" coordsize="360,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">
                <v:shape id="Freeform 290" o:spid="_x0000_s1027" style="position:absolute;left:5377;top:-7;width:360;height:202;visibility:visible;mso-wrap-style:square;v-text-anchor:top" coordsize="36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" path="m,202r360,l360,,,,,202xe" filled="f">
                  <v:path o:connecttype="custom" o:connectlocs="0,195;360,195;360,-7;0,-7;0,195" o:connectangles="0,0,0,0,0"/>
                </v:shape>
                <w10:wrap anchorx="page"/>
              </v:group>
            </w:pict>
          </mc:Fallback>
        </mc:AlternateContent>
      </w:r>
      <w:r w:rsidRPr="007E3D1A">
        <w:rPr>
          <w:rFonts w:eastAsia="Courier New" w:cs="Arial"/>
          <w:sz w:val="22"/>
        </w:rPr>
        <w:t>o</w:t>
      </w:r>
      <w:r w:rsidRPr="007E3D1A">
        <w:rPr>
          <w:rFonts w:eastAsia="Courier New" w:cs="Arial"/>
          <w:sz w:val="22"/>
        </w:rPr>
        <w:tab/>
      </w:r>
      <w:r w:rsidRPr="007E3D1A">
        <w:rPr>
          <w:rFonts w:cs="Arial"/>
          <w:sz w:val="22"/>
        </w:rPr>
        <w:t>Plan de subsistance à élaborer</w:t>
      </w:r>
    </w:p>
    <w:p w14:paraId="2594E89A" w14:textId="77777777" w:rsidR="009021F1" w:rsidRPr="007E3D1A" w:rsidRDefault="009021F1" w:rsidP="009021F1">
      <w:pPr>
        <w:rPr>
          <w:rFonts w:cs="Arial"/>
          <w:sz w:val="22"/>
        </w:rPr>
      </w:pPr>
      <w:r>
        <w:rPr>
          <w:noProof/>
        </w:rPr>
        <mc:AlternateContent>
          <mc:Choice Requires="wpg">
            <w:drawing>
              <wp:anchor distT="0" distB="0" distL="114300" distR="114300" simplePos="0" relativeHeight="251698220" behindDoc="1" locked="0" layoutInCell="1" allowOverlap="1" wp14:anchorId="00648A18" wp14:editId="2C125911">
                <wp:simplePos x="0" y="0"/>
                <wp:positionH relativeFrom="page">
                  <wp:posOffset>3414395</wp:posOffset>
                </wp:positionH>
                <wp:positionV relativeFrom="paragraph">
                  <wp:posOffset>-4445</wp:posOffset>
                </wp:positionV>
                <wp:extent cx="228600" cy="128270"/>
                <wp:effectExtent l="0" t="0" r="0" b="5080"/>
                <wp:wrapNone/>
                <wp:docPr id="5249" name="Groupe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128270"/>
                          <a:chOff x="5377" y="-7"/>
                          <a:chExt cx="360" cy="202"/>
                        </a:xfrm>
                      </wpg:grpSpPr>
                      <wps:wsp>
                        <wps:cNvPr id="5250" name="Freeform 290"/>
                        <wps:cNvSpPr>
                          <a:spLocks noChangeArrowheads="1"/>
                        </wps:cNvSpPr>
                        <wps:spPr bwMode="auto">
                          <a:xfrm>
                            <a:off x="5377" y="-7"/>
                            <a:ext cx="360" cy="202"/>
                          </a:xfrm>
                          <a:custGeom>
                            <a:avLst/>
                            <a:gdLst>
                              <a:gd name="T0" fmla="+- 0 5377 5377"/>
                              <a:gd name="T1" fmla="*/ T0 w 360"/>
                              <a:gd name="T2" fmla="+- 0 195 -7"/>
                              <a:gd name="T3" fmla="*/ 195 h 202"/>
                              <a:gd name="T4" fmla="+- 0 5737 5377"/>
                              <a:gd name="T5" fmla="*/ T4 w 360"/>
                              <a:gd name="T6" fmla="+- 0 195 -7"/>
                              <a:gd name="T7" fmla="*/ 195 h 202"/>
                              <a:gd name="T8" fmla="+- 0 5737 5377"/>
                              <a:gd name="T9" fmla="*/ T8 w 360"/>
                              <a:gd name="T10" fmla="+- 0 -7 -7"/>
                              <a:gd name="T11" fmla="*/ -7 h 202"/>
                              <a:gd name="T12" fmla="+- 0 5377 5377"/>
                              <a:gd name="T13" fmla="*/ T12 w 360"/>
                              <a:gd name="T14" fmla="+- 0 -7 -7"/>
                              <a:gd name="T15" fmla="*/ -7 h 202"/>
                              <a:gd name="T16" fmla="+- 0 5377 5377"/>
                              <a:gd name="T17" fmla="*/ T16 w 360"/>
                              <a:gd name="T18" fmla="+- 0 195 -7"/>
                              <a:gd name="T19" fmla="*/ 195 h 202"/>
                            </a:gdLst>
                            <a:ahLst/>
                            <a:cxnLst>
                              <a:cxn ang="0">
                                <a:pos x="T1" y="T3"/>
                              </a:cxn>
                              <a:cxn ang="0">
                                <a:pos x="T5" y="T7"/>
                              </a:cxn>
                              <a:cxn ang="0">
                                <a:pos x="T9" y="T11"/>
                              </a:cxn>
                              <a:cxn ang="0">
                                <a:pos x="T13" y="T15"/>
                              </a:cxn>
                              <a:cxn ang="0">
                                <a:pos x="T17" y="T19"/>
                              </a:cxn>
                            </a:cxnLst>
                            <a:rect l="0" t="0" r="r" b="b"/>
                            <a:pathLst>
                              <a:path w="360" h="202">
                                <a:moveTo>
                                  <a:pt x="0" y="202"/>
                                </a:moveTo>
                                <a:lnTo>
                                  <a:pt x="360" y="202"/>
                                </a:lnTo>
                                <a:lnTo>
                                  <a:pt x="360" y="0"/>
                                </a:lnTo>
                                <a:lnTo>
                                  <a:pt x="0" y="0"/>
                                </a:lnTo>
                                <a:lnTo>
                                  <a:pt x="0" y="202"/>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52BECE9B" id="Groupe 149" o:spid="_x0000_s1026" style="position:absolute;margin-left:268.85pt;margin-top:-.35pt;width:18pt;height:10.1pt;z-index:-251618260;mso-position-horizontal-relative:page" coordorigin="5377,-7" coordsize="360,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">
                <v:shape id="Freeform 290" o:spid="_x0000_s1027" style="position:absolute;left:5377;top:-7;width:360;height:202;visibility:visible;mso-wrap-style:square;v-text-anchor:top" coordsize="36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" path="m,202r360,l360,,,,,202xe" filled="f">
                  <v:path o:connecttype="custom" o:connectlocs="0,195;360,195;360,-7;0,-7;0,195" o:connectangles="0,0,0,0,0"/>
                </v:shape>
                <w10:wrap anchorx="page"/>
              </v:group>
            </w:pict>
          </mc:Fallback>
        </mc:AlternateContent>
      </w:r>
      <w:r w:rsidRPr="007E3D1A">
        <w:rPr>
          <w:rFonts w:eastAsia="Courier New" w:cs="Arial"/>
          <w:sz w:val="22"/>
        </w:rPr>
        <w:t>o</w:t>
      </w:r>
      <w:r w:rsidRPr="007E3D1A">
        <w:rPr>
          <w:rFonts w:eastAsia="Courier New" w:cs="Arial"/>
          <w:sz w:val="22"/>
        </w:rPr>
        <w:tab/>
      </w:r>
      <w:r w:rsidRPr="007E3D1A">
        <w:rPr>
          <w:rFonts w:cs="Arial"/>
          <w:sz w:val="22"/>
        </w:rPr>
        <w:t>PAR à élaborer</w:t>
      </w:r>
    </w:p>
    <w:p w14:paraId="5CAC284C" w14:textId="77777777" w:rsidR="009021F1" w:rsidRPr="007E3D1A" w:rsidRDefault="009021F1" w:rsidP="009021F1">
      <w:pPr>
        <w:rPr>
          <w:rFonts w:cs="Arial"/>
          <w:sz w:val="22"/>
        </w:rPr>
      </w:pPr>
      <w:r w:rsidRPr="007E3D1A">
        <w:rPr>
          <w:rFonts w:cs="Arial"/>
          <w:sz w:val="22"/>
        </w:rPr>
        <w:br/>
      </w:r>
    </w:p>
    <w:p w14:paraId="5392C8F8" w14:textId="77777777" w:rsidR="009021F1" w:rsidRPr="00871A3A" w:rsidRDefault="009021F1" w:rsidP="009021F1">
      <w:pPr>
        <w:rPr>
          <w:rFonts w:cs="Arial"/>
          <w:b/>
          <w:sz w:val="22"/>
        </w:rPr>
      </w:pPr>
      <w:r w:rsidRPr="007E3D1A">
        <w:rPr>
          <w:rFonts w:cs="Arial"/>
          <w:sz w:val="22"/>
        </w:rPr>
        <w:br w:type="page"/>
      </w:r>
      <w:r w:rsidRPr="00871A3A">
        <w:rPr>
          <w:rFonts w:cs="Arial"/>
          <w:b/>
          <w:sz w:val="22"/>
        </w:rPr>
        <w:t>ANNEXE 2.</w:t>
      </w:r>
      <w:r w:rsidRPr="00871A3A">
        <w:rPr>
          <w:rFonts w:cs="Arial"/>
          <w:b/>
          <w:sz w:val="22"/>
        </w:rPr>
        <w:tab/>
        <w:t xml:space="preserve">LISTE DE CONTRÔLE ENVIRONNEMENTAL ET SOCIAL </w:t>
      </w:r>
    </w:p>
    <w:p w14:paraId="4134B85F" w14:textId="77777777" w:rsidR="009021F1" w:rsidRPr="007E3D1A" w:rsidRDefault="009021F1" w:rsidP="009021F1">
      <w:pPr>
        <w:rPr>
          <w:rFonts w:cs="Arial"/>
          <w:sz w:val="22"/>
        </w:rPr>
      </w:pPr>
    </w:p>
    <w:p w14:paraId="1E91EC08" w14:textId="77777777" w:rsidR="009021F1" w:rsidRPr="007E3D1A" w:rsidRDefault="009021F1" w:rsidP="009021F1">
      <w:pPr>
        <w:rPr>
          <w:rFonts w:cs="Arial"/>
          <w:sz w:val="22"/>
        </w:rPr>
      </w:pPr>
      <w:r w:rsidRPr="007E3D1A">
        <w:rPr>
          <w:rFonts w:cs="Arial"/>
          <w:sz w:val="22"/>
        </w:rPr>
        <w:t xml:space="preserve">Pour chaque sous-projet proposé, remplir la section correspondante de la liste de contrôle ci-dessous. </w:t>
      </w:r>
    </w:p>
    <w:p w14:paraId="5F18A860" w14:textId="77777777" w:rsidR="009021F1" w:rsidRPr="007E3D1A" w:rsidRDefault="009021F1" w:rsidP="009021F1">
      <w:pPr>
        <w:rPr>
          <w:rFonts w:cs="Arial"/>
          <w:sz w:val="22"/>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4"/>
        <w:gridCol w:w="4315"/>
        <w:gridCol w:w="703"/>
        <w:gridCol w:w="835"/>
        <w:gridCol w:w="2100"/>
      </w:tblGrid>
      <w:tr w:rsidR="009021F1" w:rsidRPr="007E3D1A" w14:paraId="64909052" w14:textId="77777777" w:rsidTr="00E637E3">
        <w:tc>
          <w:tcPr>
            <w:tcW w:w="1736" w:type="dxa"/>
            <w:shd w:val="clear" w:color="auto" w:fill="auto"/>
          </w:tcPr>
          <w:p w14:paraId="500050ED" w14:textId="77777777" w:rsidR="009021F1" w:rsidRPr="00730A4A" w:rsidRDefault="009021F1" w:rsidP="00E637E3">
            <w:pPr>
              <w:jc w:val="center"/>
              <w:rPr>
                <w:rFonts w:eastAsia="Calibri" w:cs="Arial"/>
                <w:sz w:val="22"/>
                <w:lang w:val="en-US"/>
              </w:rPr>
            </w:pPr>
            <w:r w:rsidRPr="00730A4A">
              <w:rPr>
                <w:rFonts w:eastAsia="Calibri" w:cs="Arial"/>
                <w:sz w:val="22"/>
                <w:lang w:val="en-US"/>
              </w:rPr>
              <w:t>Activité</w:t>
            </w:r>
          </w:p>
        </w:tc>
        <w:tc>
          <w:tcPr>
            <w:tcW w:w="4468" w:type="dxa"/>
            <w:shd w:val="clear" w:color="auto" w:fill="auto"/>
          </w:tcPr>
          <w:p w14:paraId="372D7D13" w14:textId="77777777" w:rsidR="009021F1" w:rsidRPr="00730A4A" w:rsidRDefault="009021F1" w:rsidP="00E637E3">
            <w:pPr>
              <w:jc w:val="center"/>
              <w:rPr>
                <w:rFonts w:eastAsia="Calibri" w:cs="Arial"/>
                <w:sz w:val="22"/>
              </w:rPr>
            </w:pPr>
            <w:r w:rsidRPr="00730A4A">
              <w:rPr>
                <w:rFonts w:eastAsia="Calibri" w:cs="Arial"/>
                <w:sz w:val="22"/>
              </w:rPr>
              <w:t>Questions auxquelles il faut répondre</w:t>
            </w:r>
          </w:p>
        </w:tc>
        <w:tc>
          <w:tcPr>
            <w:tcW w:w="708" w:type="dxa"/>
            <w:shd w:val="clear" w:color="auto" w:fill="auto"/>
          </w:tcPr>
          <w:p w14:paraId="672407BC" w14:textId="77777777" w:rsidR="009021F1" w:rsidRPr="00730A4A" w:rsidRDefault="009021F1" w:rsidP="00E637E3">
            <w:pPr>
              <w:jc w:val="center"/>
              <w:rPr>
                <w:rFonts w:eastAsia="Calibri" w:cs="Arial"/>
                <w:sz w:val="22"/>
                <w:lang w:val="en-US"/>
              </w:rPr>
            </w:pPr>
            <w:r w:rsidRPr="00730A4A">
              <w:rPr>
                <w:rFonts w:eastAsia="Calibri" w:cs="Arial"/>
                <w:sz w:val="22"/>
                <w:lang w:val="en-US"/>
              </w:rPr>
              <w:t>OUI</w:t>
            </w:r>
          </w:p>
        </w:tc>
        <w:tc>
          <w:tcPr>
            <w:tcW w:w="843" w:type="dxa"/>
            <w:shd w:val="clear" w:color="auto" w:fill="auto"/>
          </w:tcPr>
          <w:p w14:paraId="6C499C39" w14:textId="77777777" w:rsidR="009021F1" w:rsidRPr="00730A4A" w:rsidRDefault="009021F1" w:rsidP="00E637E3">
            <w:pPr>
              <w:jc w:val="center"/>
              <w:rPr>
                <w:rFonts w:eastAsia="Calibri" w:cs="Arial"/>
                <w:sz w:val="22"/>
                <w:lang w:val="en-US"/>
              </w:rPr>
            </w:pPr>
            <w:r w:rsidRPr="00730A4A">
              <w:rPr>
                <w:rFonts w:eastAsia="Calibri" w:cs="Arial"/>
                <w:sz w:val="22"/>
                <w:lang w:val="en-US"/>
              </w:rPr>
              <w:t>NON</w:t>
            </w:r>
          </w:p>
        </w:tc>
        <w:tc>
          <w:tcPr>
            <w:tcW w:w="1992" w:type="dxa"/>
            <w:shd w:val="clear" w:color="auto" w:fill="auto"/>
          </w:tcPr>
          <w:p w14:paraId="5EFB2A3F" w14:textId="77777777" w:rsidR="009021F1" w:rsidRPr="00730A4A" w:rsidRDefault="009021F1" w:rsidP="00E637E3">
            <w:pPr>
              <w:jc w:val="center"/>
              <w:rPr>
                <w:rFonts w:eastAsia="Calibri" w:cs="Arial"/>
                <w:sz w:val="22"/>
                <w:lang w:val="en-US"/>
              </w:rPr>
            </w:pPr>
            <w:r w:rsidRPr="00730A4A">
              <w:rPr>
                <w:rFonts w:eastAsia="Calibri" w:cs="Arial"/>
                <w:sz w:val="22"/>
                <w:lang w:val="en-US"/>
              </w:rPr>
              <w:t>SI OUI,</w:t>
            </w:r>
          </w:p>
        </w:tc>
      </w:tr>
      <w:tr w:rsidR="009021F1" w:rsidRPr="007E3D1A" w14:paraId="0510FC79" w14:textId="77777777" w:rsidTr="00E637E3">
        <w:tc>
          <w:tcPr>
            <w:tcW w:w="1736" w:type="dxa"/>
            <w:shd w:val="clear" w:color="auto" w:fill="auto"/>
          </w:tcPr>
          <w:p w14:paraId="18FD870A" w14:textId="77777777" w:rsidR="009021F1" w:rsidRPr="00730A4A" w:rsidRDefault="009021F1" w:rsidP="00E637E3">
            <w:pPr>
              <w:rPr>
                <w:rFonts w:eastAsia="Calibri" w:cs="Arial"/>
                <w:sz w:val="22"/>
                <w:lang w:val="en-US"/>
              </w:rPr>
            </w:pPr>
            <w:r w:rsidRPr="00730A4A">
              <w:rPr>
                <w:rFonts w:eastAsia="Calibri" w:cs="Arial"/>
                <w:sz w:val="22"/>
                <w:lang w:val="en-US"/>
              </w:rPr>
              <w:t>Construction et</w:t>
            </w:r>
          </w:p>
          <w:p w14:paraId="513237AA" w14:textId="77777777" w:rsidR="009021F1" w:rsidRPr="00730A4A" w:rsidRDefault="009021F1" w:rsidP="00E637E3">
            <w:pPr>
              <w:rPr>
                <w:rFonts w:eastAsia="Calibri" w:cs="Arial"/>
                <w:sz w:val="22"/>
                <w:lang w:val="en-US"/>
              </w:rPr>
            </w:pPr>
            <w:r w:rsidRPr="00730A4A">
              <w:rPr>
                <w:rFonts w:eastAsia="Calibri" w:cs="Arial"/>
                <w:sz w:val="22"/>
                <w:lang w:val="en-US"/>
              </w:rPr>
              <w:t>Réhabilitation</w:t>
            </w:r>
          </w:p>
          <w:p w14:paraId="0E8E54F8" w14:textId="77777777" w:rsidR="009021F1" w:rsidRPr="00730A4A" w:rsidRDefault="009021F1" w:rsidP="00E637E3">
            <w:pPr>
              <w:rPr>
                <w:rFonts w:eastAsia="Calibri" w:cs="Arial"/>
                <w:sz w:val="22"/>
                <w:lang w:val="en-US"/>
              </w:rPr>
            </w:pPr>
            <w:r w:rsidRPr="00730A4A">
              <w:rPr>
                <w:rFonts w:eastAsia="Calibri" w:cs="Arial"/>
                <w:sz w:val="22"/>
                <w:lang w:val="en-US"/>
              </w:rPr>
              <w:t>d’infrastructures</w:t>
            </w:r>
          </w:p>
          <w:p w14:paraId="055E6A44" w14:textId="77777777" w:rsidR="009021F1" w:rsidRPr="00730A4A" w:rsidRDefault="009021F1" w:rsidP="00E637E3">
            <w:pPr>
              <w:rPr>
                <w:rFonts w:eastAsia="Calibri" w:cs="Arial"/>
                <w:sz w:val="22"/>
                <w:lang w:val="en-US"/>
              </w:rPr>
            </w:pPr>
          </w:p>
        </w:tc>
        <w:tc>
          <w:tcPr>
            <w:tcW w:w="4468" w:type="dxa"/>
            <w:shd w:val="clear" w:color="auto" w:fill="auto"/>
          </w:tcPr>
          <w:p w14:paraId="121F60B6" w14:textId="77777777" w:rsidR="009021F1" w:rsidRPr="00730A4A" w:rsidRDefault="009021F1" w:rsidP="00E637E3">
            <w:pPr>
              <w:rPr>
                <w:rFonts w:cs="Arial"/>
                <w:sz w:val="22"/>
              </w:rPr>
            </w:pPr>
            <w:r w:rsidRPr="00730A4A">
              <w:rPr>
                <w:rFonts w:cs="Arial"/>
                <w:sz w:val="22"/>
              </w:rPr>
              <w:t>Y a-t-il des terres cultivées ou non cultivées, des ressources naturelles, des structures ou autres propriétés, utilisées ou non utilisées à des fins quelconques, d’une manière quelconque ?</w:t>
            </w:r>
          </w:p>
          <w:p w14:paraId="58CDEDD3" w14:textId="77777777" w:rsidR="009021F1" w:rsidRPr="00730A4A" w:rsidRDefault="009021F1" w:rsidP="00E637E3">
            <w:pPr>
              <w:rPr>
                <w:rFonts w:cs="Arial"/>
                <w:sz w:val="22"/>
              </w:rPr>
            </w:pPr>
            <w:r w:rsidRPr="00730A4A">
              <w:rPr>
                <w:rFonts w:cs="Arial"/>
                <w:sz w:val="22"/>
              </w:rPr>
              <w:t>Y aura-t-il perte de végétation quelconque pendant la réhabilitation ?</w:t>
            </w:r>
          </w:p>
          <w:p w14:paraId="6F298AF8" w14:textId="77777777" w:rsidR="009021F1" w:rsidRPr="00730A4A" w:rsidRDefault="009021F1" w:rsidP="00E637E3">
            <w:pPr>
              <w:rPr>
                <w:rFonts w:cs="Arial"/>
                <w:sz w:val="22"/>
              </w:rPr>
            </w:pPr>
            <w:r w:rsidRPr="00730A4A">
              <w:rPr>
                <w:rFonts w:cs="Arial"/>
                <w:sz w:val="22"/>
              </w:rPr>
              <w:t>Y a-t-il des services adéquats pour</w:t>
            </w:r>
          </w:p>
          <w:p w14:paraId="27C54BB3" w14:textId="77777777" w:rsidR="009021F1" w:rsidRPr="00730A4A" w:rsidRDefault="009021F1" w:rsidP="00E637E3">
            <w:pPr>
              <w:rPr>
                <w:rFonts w:cs="Arial"/>
                <w:sz w:val="22"/>
              </w:rPr>
            </w:pPr>
            <w:r w:rsidRPr="00730A4A">
              <w:rPr>
                <w:rFonts w:cs="Arial"/>
                <w:sz w:val="22"/>
              </w:rPr>
              <w:t>l’évacuation des déchets prévus pendant la réhabilitation ?</w:t>
            </w:r>
          </w:p>
          <w:p w14:paraId="56F5D264" w14:textId="77777777" w:rsidR="009021F1" w:rsidRPr="00730A4A" w:rsidRDefault="009021F1" w:rsidP="00E637E3">
            <w:pPr>
              <w:rPr>
                <w:rFonts w:cs="Arial"/>
                <w:sz w:val="22"/>
              </w:rPr>
            </w:pPr>
            <w:r w:rsidRPr="00730A4A">
              <w:rPr>
                <w:rFonts w:cs="Arial"/>
                <w:sz w:val="22"/>
              </w:rPr>
              <w:t>Le site de construction sera-t-il nettoyé régulièrement, en utilisant de l’eau pour maîtriser la poussière?</w:t>
            </w:r>
          </w:p>
          <w:p w14:paraId="2F95214B" w14:textId="77777777" w:rsidR="009021F1" w:rsidRPr="00730A4A" w:rsidRDefault="009021F1" w:rsidP="00E637E3">
            <w:pPr>
              <w:rPr>
                <w:rFonts w:cs="Arial"/>
                <w:sz w:val="22"/>
              </w:rPr>
            </w:pPr>
            <w:r w:rsidRPr="00730A4A">
              <w:rPr>
                <w:rFonts w:cs="Arial"/>
                <w:sz w:val="22"/>
              </w:rPr>
              <w:t>Les détritus générés pendant les activités de construction seront-ils nettoyés ?</w:t>
            </w:r>
          </w:p>
          <w:p w14:paraId="072B015B" w14:textId="77777777" w:rsidR="009021F1" w:rsidRPr="00730A4A" w:rsidRDefault="009021F1" w:rsidP="00E637E3">
            <w:pPr>
              <w:rPr>
                <w:rFonts w:eastAsia="Calibri" w:cs="Arial"/>
                <w:sz w:val="22"/>
              </w:rPr>
            </w:pPr>
            <w:r w:rsidRPr="00730A4A">
              <w:rPr>
                <w:rFonts w:cs="Arial"/>
                <w:sz w:val="22"/>
              </w:rPr>
              <w:t>Les matières ou installations de secours seront-elles disponibles pendant la réhabilitation ?</w:t>
            </w:r>
          </w:p>
          <w:p w14:paraId="17DFC200" w14:textId="77777777" w:rsidR="009021F1" w:rsidRPr="00730A4A" w:rsidRDefault="009021F1" w:rsidP="00E637E3">
            <w:pPr>
              <w:rPr>
                <w:rFonts w:eastAsia="Calibri" w:cs="Arial"/>
                <w:sz w:val="22"/>
              </w:rPr>
            </w:pPr>
            <w:r w:rsidRPr="00730A4A">
              <w:rPr>
                <w:rFonts w:cs="Arial"/>
                <w:sz w:val="22"/>
              </w:rPr>
              <w:t>Y a-t-il le risque de réinstallation involontaire ?</w:t>
            </w:r>
          </w:p>
          <w:p w14:paraId="7E22277A" w14:textId="77777777" w:rsidR="009021F1" w:rsidRPr="00730A4A" w:rsidRDefault="009021F1" w:rsidP="00E637E3">
            <w:pPr>
              <w:rPr>
                <w:rFonts w:eastAsia="Calibri" w:cs="Arial"/>
                <w:sz w:val="22"/>
              </w:rPr>
            </w:pPr>
            <w:r w:rsidRPr="00730A4A">
              <w:rPr>
                <w:rFonts w:cs="Arial"/>
                <w:sz w:val="22"/>
              </w:rPr>
              <w:t>Y a-t-il la présence des Populations Autochtones ?</w:t>
            </w:r>
          </w:p>
          <w:p w14:paraId="7F517D56" w14:textId="77777777" w:rsidR="009021F1" w:rsidRPr="00730A4A" w:rsidRDefault="009021F1" w:rsidP="00E637E3">
            <w:pPr>
              <w:rPr>
                <w:rFonts w:eastAsia="Calibri" w:cs="Arial"/>
                <w:sz w:val="22"/>
              </w:rPr>
            </w:pPr>
            <w:r w:rsidRPr="00730A4A">
              <w:rPr>
                <w:rFonts w:cs="Arial"/>
                <w:sz w:val="22"/>
              </w:rPr>
              <w:t>Y a-t-il un problème de sécurité dans la zone du Projet ?</w:t>
            </w:r>
          </w:p>
        </w:tc>
        <w:tc>
          <w:tcPr>
            <w:tcW w:w="708" w:type="dxa"/>
            <w:shd w:val="clear" w:color="auto" w:fill="auto"/>
          </w:tcPr>
          <w:p w14:paraId="74423C8F" w14:textId="77777777" w:rsidR="009021F1" w:rsidRPr="00730A4A" w:rsidRDefault="009021F1" w:rsidP="00E637E3">
            <w:pPr>
              <w:rPr>
                <w:rFonts w:eastAsia="Calibri" w:cs="Arial"/>
                <w:sz w:val="22"/>
              </w:rPr>
            </w:pPr>
          </w:p>
        </w:tc>
        <w:tc>
          <w:tcPr>
            <w:tcW w:w="843" w:type="dxa"/>
            <w:shd w:val="clear" w:color="auto" w:fill="auto"/>
          </w:tcPr>
          <w:p w14:paraId="2C1A1E94" w14:textId="77777777" w:rsidR="009021F1" w:rsidRPr="00730A4A" w:rsidRDefault="009021F1" w:rsidP="00E637E3">
            <w:pPr>
              <w:rPr>
                <w:rFonts w:eastAsia="Calibri" w:cs="Arial"/>
                <w:sz w:val="22"/>
              </w:rPr>
            </w:pPr>
          </w:p>
        </w:tc>
        <w:tc>
          <w:tcPr>
            <w:tcW w:w="1992" w:type="dxa"/>
            <w:shd w:val="clear" w:color="auto" w:fill="auto"/>
          </w:tcPr>
          <w:p w14:paraId="0113EB83" w14:textId="77777777" w:rsidR="009021F1" w:rsidRPr="00730A4A" w:rsidRDefault="009021F1" w:rsidP="00E637E3">
            <w:pPr>
              <w:jc w:val="left"/>
              <w:rPr>
                <w:rFonts w:eastAsia="Calibri" w:cs="Arial"/>
                <w:sz w:val="22"/>
              </w:rPr>
            </w:pPr>
            <w:r w:rsidRPr="00730A4A">
              <w:rPr>
                <w:rFonts w:eastAsia="Calibri" w:cs="Arial"/>
                <w:sz w:val="22"/>
              </w:rPr>
              <w:t>S’inspirer des mesures</w:t>
            </w:r>
          </w:p>
          <w:p w14:paraId="743EA899" w14:textId="77777777" w:rsidR="009021F1" w:rsidRPr="00730A4A" w:rsidRDefault="009021F1" w:rsidP="00E637E3">
            <w:pPr>
              <w:rPr>
                <w:rFonts w:eastAsia="Calibri" w:cs="Arial"/>
                <w:sz w:val="22"/>
              </w:rPr>
            </w:pPr>
            <w:r w:rsidRPr="00730A4A">
              <w:rPr>
                <w:rFonts w:eastAsia="Calibri" w:cs="Arial"/>
                <w:sz w:val="22"/>
              </w:rPr>
              <w:t>générales d’atténuation</w:t>
            </w:r>
          </w:p>
          <w:p w14:paraId="22D6F5A3" w14:textId="77777777" w:rsidR="009021F1" w:rsidRPr="00730A4A" w:rsidRDefault="009021F1" w:rsidP="00E637E3">
            <w:pPr>
              <w:rPr>
                <w:rFonts w:eastAsia="Calibri" w:cs="Arial"/>
                <w:sz w:val="22"/>
              </w:rPr>
            </w:pPr>
            <w:r w:rsidRPr="00730A4A">
              <w:rPr>
                <w:rFonts w:eastAsia="Calibri" w:cs="Arial"/>
                <w:sz w:val="22"/>
              </w:rPr>
              <w:t xml:space="preserve"> et des</w:t>
            </w:r>
          </w:p>
          <w:p w14:paraId="2B9A3D91" w14:textId="77777777" w:rsidR="009021F1" w:rsidRPr="00730A4A" w:rsidRDefault="009021F1" w:rsidP="00E637E3">
            <w:pPr>
              <w:rPr>
                <w:rFonts w:eastAsia="Calibri" w:cs="Arial"/>
                <w:sz w:val="22"/>
                <w:lang w:val="en-US"/>
              </w:rPr>
            </w:pPr>
            <w:r w:rsidRPr="00730A4A">
              <w:rPr>
                <w:rFonts w:eastAsia="Calibri" w:cs="Arial"/>
                <w:sz w:val="22"/>
                <w:lang w:val="en-US"/>
              </w:rPr>
              <w:t>Directives</w:t>
            </w:r>
          </w:p>
          <w:p w14:paraId="5738A4DD" w14:textId="77777777" w:rsidR="009021F1" w:rsidRPr="00730A4A" w:rsidRDefault="009021F1" w:rsidP="00E637E3">
            <w:pPr>
              <w:rPr>
                <w:rFonts w:eastAsia="Calibri" w:cs="Arial"/>
                <w:sz w:val="22"/>
                <w:lang w:val="en-US"/>
              </w:rPr>
            </w:pPr>
            <w:r w:rsidRPr="00730A4A">
              <w:rPr>
                <w:rFonts w:eastAsia="Calibri" w:cs="Arial"/>
                <w:sz w:val="22"/>
                <w:lang w:val="en-US"/>
              </w:rPr>
              <w:t>Environnementales</w:t>
            </w:r>
          </w:p>
          <w:p w14:paraId="33198D2D" w14:textId="77777777" w:rsidR="009021F1" w:rsidRPr="00730A4A" w:rsidRDefault="009021F1" w:rsidP="00E637E3">
            <w:pPr>
              <w:jc w:val="left"/>
              <w:rPr>
                <w:rFonts w:eastAsia="Calibri" w:cs="Arial"/>
                <w:sz w:val="22"/>
                <w:lang w:val="en-US"/>
              </w:rPr>
            </w:pPr>
            <w:r w:rsidRPr="00730A4A">
              <w:rPr>
                <w:rFonts w:eastAsia="Calibri" w:cs="Arial"/>
                <w:sz w:val="22"/>
                <w:lang w:val="en-US"/>
              </w:rPr>
              <w:t>pour les Contractants</w:t>
            </w:r>
          </w:p>
          <w:p w14:paraId="7649B77C" w14:textId="77777777" w:rsidR="009021F1" w:rsidRPr="00730A4A" w:rsidRDefault="009021F1" w:rsidP="00E637E3">
            <w:pPr>
              <w:rPr>
                <w:rFonts w:eastAsia="Calibri" w:cs="Arial"/>
                <w:sz w:val="22"/>
                <w:lang w:val="en-US"/>
              </w:rPr>
            </w:pPr>
          </w:p>
        </w:tc>
      </w:tr>
      <w:tr w:rsidR="009021F1" w:rsidRPr="007E3D1A" w14:paraId="6EEFB2C8" w14:textId="77777777" w:rsidTr="00E637E3">
        <w:tc>
          <w:tcPr>
            <w:tcW w:w="1736" w:type="dxa"/>
            <w:shd w:val="clear" w:color="auto" w:fill="auto"/>
          </w:tcPr>
          <w:p w14:paraId="77B25B23" w14:textId="77777777" w:rsidR="009021F1" w:rsidRPr="00730A4A" w:rsidRDefault="009021F1" w:rsidP="00E637E3">
            <w:pPr>
              <w:rPr>
                <w:rFonts w:eastAsia="Calibri" w:cs="Arial"/>
                <w:sz w:val="22"/>
                <w:lang w:val="en-US"/>
              </w:rPr>
            </w:pPr>
            <w:r w:rsidRPr="00730A4A">
              <w:rPr>
                <w:rFonts w:eastAsia="Calibri" w:cs="Arial"/>
                <w:sz w:val="22"/>
                <w:lang w:val="en-US"/>
              </w:rPr>
              <w:t>Fonctionnement</w:t>
            </w:r>
          </w:p>
          <w:p w14:paraId="105F3BDD" w14:textId="77777777" w:rsidR="009021F1" w:rsidRPr="00730A4A" w:rsidRDefault="009021F1" w:rsidP="00E637E3">
            <w:pPr>
              <w:rPr>
                <w:rFonts w:eastAsia="Calibri" w:cs="Arial"/>
                <w:sz w:val="22"/>
                <w:lang w:val="en-US"/>
              </w:rPr>
            </w:pPr>
            <w:r w:rsidRPr="00730A4A">
              <w:rPr>
                <w:rFonts w:eastAsia="Calibri" w:cs="Arial"/>
                <w:sz w:val="22"/>
                <w:lang w:val="en-US"/>
              </w:rPr>
              <w:t>des infrastructures</w:t>
            </w:r>
          </w:p>
          <w:p w14:paraId="3088415D" w14:textId="77777777" w:rsidR="009021F1" w:rsidRPr="00730A4A" w:rsidRDefault="009021F1" w:rsidP="00E637E3">
            <w:pPr>
              <w:rPr>
                <w:rFonts w:eastAsia="Calibri" w:cs="Arial"/>
                <w:sz w:val="22"/>
                <w:lang w:val="en-US"/>
              </w:rPr>
            </w:pPr>
          </w:p>
        </w:tc>
        <w:tc>
          <w:tcPr>
            <w:tcW w:w="4468" w:type="dxa"/>
            <w:shd w:val="clear" w:color="auto" w:fill="auto"/>
          </w:tcPr>
          <w:p w14:paraId="76404979" w14:textId="77777777" w:rsidR="009021F1" w:rsidRPr="00730A4A" w:rsidRDefault="009021F1" w:rsidP="00E637E3">
            <w:pPr>
              <w:rPr>
                <w:rFonts w:cs="Arial"/>
                <w:sz w:val="22"/>
              </w:rPr>
            </w:pPr>
            <w:r w:rsidRPr="00730A4A">
              <w:rPr>
                <w:rFonts w:cs="Arial"/>
                <w:sz w:val="22"/>
              </w:rPr>
              <w:t>Y a-t-il des risques de pollution des eaux souterraines ?</w:t>
            </w:r>
          </w:p>
          <w:p w14:paraId="1B4FAC1B" w14:textId="77777777" w:rsidR="009021F1" w:rsidRPr="00730A4A" w:rsidRDefault="009021F1" w:rsidP="00E637E3">
            <w:pPr>
              <w:rPr>
                <w:rFonts w:cs="Arial"/>
                <w:sz w:val="22"/>
              </w:rPr>
            </w:pPr>
            <w:r w:rsidRPr="00730A4A">
              <w:rPr>
                <w:rFonts w:cs="Arial"/>
                <w:sz w:val="22"/>
              </w:rPr>
              <w:t>Y a-t-il des zones écologiques sensibles dans les environs de l’infrastructure éducative qui pourraient être impactés négativement?</w:t>
            </w:r>
          </w:p>
          <w:p w14:paraId="5A8A591B" w14:textId="77777777" w:rsidR="009021F1" w:rsidRPr="00730A4A" w:rsidRDefault="009021F1" w:rsidP="00E637E3">
            <w:pPr>
              <w:rPr>
                <w:rFonts w:cs="Arial"/>
                <w:sz w:val="22"/>
              </w:rPr>
            </w:pPr>
            <w:r w:rsidRPr="00730A4A">
              <w:rPr>
                <w:rFonts w:cs="Arial"/>
                <w:sz w:val="22"/>
              </w:rPr>
              <w:t>Y a-t-il des impacts causés par les polluants par fumée ou par air, des gaz toxiques ou des résidus de cendres provenant des destructions par le feu?</w:t>
            </w:r>
          </w:p>
          <w:p w14:paraId="08893DB9" w14:textId="77777777" w:rsidR="009021F1" w:rsidRPr="00730A4A" w:rsidRDefault="009021F1" w:rsidP="00E637E3">
            <w:pPr>
              <w:rPr>
                <w:rFonts w:cs="Arial"/>
                <w:sz w:val="22"/>
              </w:rPr>
            </w:pPr>
            <w:r w:rsidRPr="00730A4A">
              <w:rPr>
                <w:rFonts w:cs="Arial"/>
                <w:sz w:val="22"/>
              </w:rPr>
              <w:t>Y a-t-il des impacts sur la santé du public et la santé du personnel des infrastructures éducatives?</w:t>
            </w:r>
          </w:p>
          <w:p w14:paraId="14119EAD" w14:textId="77777777" w:rsidR="009021F1" w:rsidRPr="00730A4A" w:rsidRDefault="009021F1" w:rsidP="00E637E3">
            <w:pPr>
              <w:rPr>
                <w:rFonts w:cs="Arial"/>
                <w:sz w:val="22"/>
              </w:rPr>
            </w:pPr>
            <w:r w:rsidRPr="00730A4A">
              <w:rPr>
                <w:rFonts w:cs="Arial"/>
                <w:sz w:val="22"/>
              </w:rPr>
              <w:t>Y a-t-il des impacts visuels sur les pratiques de transport, de traitement et d’évacuation des déchets?</w:t>
            </w:r>
          </w:p>
          <w:p w14:paraId="03011CBB" w14:textId="77777777" w:rsidR="009021F1" w:rsidRPr="00730A4A" w:rsidRDefault="009021F1" w:rsidP="00E637E3">
            <w:pPr>
              <w:rPr>
                <w:rFonts w:cs="Arial"/>
                <w:sz w:val="22"/>
              </w:rPr>
            </w:pPr>
            <w:r w:rsidRPr="00730A4A">
              <w:rPr>
                <w:rFonts w:cs="Arial"/>
                <w:sz w:val="22"/>
              </w:rPr>
              <w:t>Y a-t-il des odeurs provenant de la</w:t>
            </w:r>
          </w:p>
          <w:p w14:paraId="5CB7E928" w14:textId="77777777" w:rsidR="009021F1" w:rsidRPr="00730A4A" w:rsidRDefault="009021F1" w:rsidP="00E637E3">
            <w:pPr>
              <w:rPr>
                <w:rFonts w:cs="Arial"/>
                <w:sz w:val="22"/>
              </w:rPr>
            </w:pPr>
            <w:r w:rsidRPr="00730A4A">
              <w:rPr>
                <w:rFonts w:cs="Arial"/>
                <w:sz w:val="22"/>
              </w:rPr>
              <w:t>dégradation des déchets?</w:t>
            </w:r>
          </w:p>
          <w:p w14:paraId="1678785B" w14:textId="77777777" w:rsidR="009021F1" w:rsidRPr="00730A4A" w:rsidRDefault="009021F1" w:rsidP="00E637E3">
            <w:pPr>
              <w:rPr>
                <w:rFonts w:eastAsia="Calibri" w:cs="Arial"/>
                <w:sz w:val="22"/>
              </w:rPr>
            </w:pPr>
            <w:r w:rsidRPr="00730A4A">
              <w:rPr>
                <w:rFonts w:cs="Arial"/>
                <w:sz w:val="22"/>
              </w:rPr>
              <w:t>Y a-t-il des établissements humains et des usages de la terre (comme l’agriculture, le pâturage, les terrains de récréation) près des infrastructures éducatives, ou des sites d’importance culturelle, religieuse, ou historique?</w:t>
            </w:r>
          </w:p>
        </w:tc>
        <w:tc>
          <w:tcPr>
            <w:tcW w:w="708" w:type="dxa"/>
            <w:shd w:val="clear" w:color="auto" w:fill="auto"/>
          </w:tcPr>
          <w:p w14:paraId="26ADF6DA" w14:textId="77777777" w:rsidR="009021F1" w:rsidRPr="00730A4A" w:rsidRDefault="009021F1" w:rsidP="00E637E3">
            <w:pPr>
              <w:rPr>
                <w:rFonts w:eastAsia="Calibri" w:cs="Arial"/>
                <w:sz w:val="22"/>
              </w:rPr>
            </w:pPr>
          </w:p>
        </w:tc>
        <w:tc>
          <w:tcPr>
            <w:tcW w:w="843" w:type="dxa"/>
            <w:shd w:val="clear" w:color="auto" w:fill="auto"/>
          </w:tcPr>
          <w:p w14:paraId="7AE3E115" w14:textId="77777777" w:rsidR="009021F1" w:rsidRPr="00730A4A" w:rsidRDefault="009021F1" w:rsidP="00E637E3">
            <w:pPr>
              <w:rPr>
                <w:rFonts w:eastAsia="Calibri" w:cs="Arial"/>
                <w:sz w:val="22"/>
              </w:rPr>
            </w:pPr>
          </w:p>
        </w:tc>
        <w:tc>
          <w:tcPr>
            <w:tcW w:w="1992" w:type="dxa"/>
            <w:shd w:val="clear" w:color="auto" w:fill="auto"/>
          </w:tcPr>
          <w:p w14:paraId="133EE54F" w14:textId="77777777" w:rsidR="009021F1" w:rsidRPr="00730A4A" w:rsidRDefault="009021F1" w:rsidP="00E637E3">
            <w:pPr>
              <w:jc w:val="left"/>
              <w:rPr>
                <w:rFonts w:eastAsia="Calibri" w:cs="Arial"/>
                <w:sz w:val="22"/>
              </w:rPr>
            </w:pPr>
            <w:r w:rsidRPr="00730A4A">
              <w:rPr>
                <w:rFonts w:cs="Arial"/>
                <w:sz w:val="22"/>
              </w:rPr>
              <w:t>Si Oui, s’inspirer des mesures adéquates d’atténuation décrite dans le paragraphe 5.4.1</w:t>
            </w:r>
          </w:p>
        </w:tc>
      </w:tr>
    </w:tbl>
    <w:p w14:paraId="7CAA8D80" w14:textId="77777777" w:rsidR="009021F1" w:rsidRPr="007E3D1A" w:rsidRDefault="009021F1" w:rsidP="009021F1">
      <w:pPr>
        <w:rPr>
          <w:rFonts w:cs="Arial"/>
          <w:sz w:val="22"/>
        </w:rPr>
      </w:pPr>
    </w:p>
    <w:p w14:paraId="3603689A" w14:textId="77777777" w:rsidR="009021F1" w:rsidRPr="007E3D1A" w:rsidRDefault="009021F1" w:rsidP="009021F1">
      <w:pPr>
        <w:rPr>
          <w:rFonts w:cs="Arial"/>
          <w:sz w:val="22"/>
        </w:rPr>
      </w:pPr>
    </w:p>
    <w:p w14:paraId="3BD0B496" w14:textId="77777777" w:rsidR="009021F1" w:rsidRPr="007E3D1A" w:rsidRDefault="009021F1" w:rsidP="009021F1">
      <w:pPr>
        <w:rPr>
          <w:rFonts w:cs="Arial"/>
          <w:sz w:val="22"/>
        </w:rPr>
      </w:pPr>
      <w:r w:rsidRPr="007E3D1A">
        <w:rPr>
          <w:rFonts w:cs="Arial"/>
          <w:sz w:val="22"/>
        </w:rPr>
        <w:t>Nota : la liste de contrôle environnemental et social doit aider aussi à mieux apprécier les résultats issus de l’analyse du formulaire de sélection environnementale et sociale défini en Annexe 1 ci-dessus</w:t>
      </w:r>
    </w:p>
    <w:p w14:paraId="50ACB3C3" w14:textId="77777777" w:rsidR="009021F1" w:rsidRPr="00871A3A" w:rsidRDefault="009021F1" w:rsidP="009021F1">
      <w:pPr>
        <w:ind w:left="1418" w:hanging="1418"/>
        <w:rPr>
          <w:rFonts w:cs="Arial"/>
          <w:b/>
          <w:sz w:val="22"/>
        </w:rPr>
      </w:pPr>
      <w:r w:rsidRPr="007E3D1A">
        <w:rPr>
          <w:rFonts w:cs="Arial"/>
          <w:sz w:val="22"/>
        </w:rPr>
        <w:br w:type="page"/>
      </w:r>
      <w:r w:rsidRPr="00871A3A">
        <w:rPr>
          <w:rFonts w:cs="Arial"/>
          <w:b/>
          <w:sz w:val="22"/>
        </w:rPr>
        <w:t xml:space="preserve">ANNEXE 3. CLAUSES ENVIRONNEMENTALES, SOCIALES, SANITAIRES (ESSS OU E3S) </w:t>
      </w:r>
    </w:p>
    <w:p w14:paraId="0C790E71" w14:textId="77777777" w:rsidR="009021F1" w:rsidRPr="007E3D1A" w:rsidRDefault="009021F1" w:rsidP="009021F1">
      <w:pPr>
        <w:rPr>
          <w:rFonts w:cs="Arial"/>
          <w:sz w:val="22"/>
        </w:rPr>
      </w:pPr>
    </w:p>
    <w:p w14:paraId="1B2BCD49" w14:textId="77777777" w:rsidR="009021F1" w:rsidRPr="00871A3A" w:rsidRDefault="009021F1" w:rsidP="009021F1">
      <w:pPr>
        <w:pStyle w:val="Paragraphedeliste"/>
        <w:numPr>
          <w:ilvl w:val="0"/>
          <w:numId w:val="168"/>
        </w:numPr>
        <w:rPr>
          <w:rFonts w:cs="Arial"/>
          <w:b/>
          <w:sz w:val="22"/>
          <w:u w:val="single"/>
        </w:rPr>
      </w:pPr>
      <w:r w:rsidRPr="00871A3A">
        <w:rPr>
          <w:rFonts w:cs="Arial"/>
          <w:b/>
          <w:sz w:val="22"/>
          <w:u w:val="single"/>
        </w:rPr>
        <w:t>Dispositions préalables pour l’exécution des travaux</w:t>
      </w:r>
    </w:p>
    <w:p w14:paraId="7A6F20E3" w14:textId="77777777" w:rsidR="009021F1" w:rsidRPr="007E3D1A" w:rsidRDefault="009021F1" w:rsidP="009021F1">
      <w:pPr>
        <w:rPr>
          <w:rFonts w:cs="Arial"/>
          <w:sz w:val="22"/>
        </w:rPr>
      </w:pPr>
    </w:p>
    <w:p w14:paraId="144DAD96" w14:textId="77777777" w:rsidR="009021F1" w:rsidRPr="00871A3A" w:rsidRDefault="009021F1" w:rsidP="009021F1">
      <w:pPr>
        <w:rPr>
          <w:rFonts w:cs="Arial"/>
          <w:b/>
          <w:i/>
          <w:sz w:val="22"/>
        </w:rPr>
      </w:pPr>
      <w:r w:rsidRPr="00871A3A">
        <w:rPr>
          <w:rFonts w:cs="Arial"/>
          <w:b/>
          <w:i/>
          <w:sz w:val="22"/>
        </w:rPr>
        <w:t xml:space="preserve">Processus de contractualisation des clauses environnementales et sociales pour les entrepreneurs. </w:t>
      </w:r>
    </w:p>
    <w:p w14:paraId="0309168F" w14:textId="77777777" w:rsidR="009021F1" w:rsidRPr="007E3D1A" w:rsidRDefault="009021F1" w:rsidP="009021F1">
      <w:pPr>
        <w:rPr>
          <w:rFonts w:cs="Arial"/>
          <w:sz w:val="22"/>
        </w:rPr>
      </w:pPr>
    </w:p>
    <w:p w14:paraId="0EB30EDF" w14:textId="77777777" w:rsidR="009021F1" w:rsidRDefault="009021F1" w:rsidP="009021F1">
      <w:pPr>
        <w:rPr>
          <w:rFonts w:cs="Arial"/>
          <w:sz w:val="22"/>
        </w:rPr>
      </w:pPr>
      <w:r w:rsidRPr="007E3D1A">
        <w:rPr>
          <w:rFonts w:cs="Arial"/>
          <w:sz w:val="22"/>
        </w:rPr>
        <w:t>Ce processus devra aussi être repris dans le Processus de Gestion de la Main-d’œuvre.</w:t>
      </w:r>
    </w:p>
    <w:p w14:paraId="064E26DB" w14:textId="77777777" w:rsidR="009021F1" w:rsidRPr="00871A3A" w:rsidRDefault="009021F1" w:rsidP="009021F1">
      <w:pPr>
        <w:pStyle w:val="Paragraphedeliste"/>
        <w:autoSpaceDE w:val="0"/>
        <w:autoSpaceDN w:val="0"/>
        <w:adjustRightInd w:val="0"/>
        <w:rPr>
          <w:rFonts w:cs="Arial"/>
          <w:color w:val="000000"/>
          <w:sz w:val="22"/>
        </w:rPr>
      </w:pPr>
    </w:p>
    <w:p w14:paraId="7F355F9E" w14:textId="77777777" w:rsidR="009021F1" w:rsidRPr="00871A3A" w:rsidRDefault="009021F1" w:rsidP="009021F1">
      <w:pPr>
        <w:pStyle w:val="Paragraphedeliste"/>
        <w:numPr>
          <w:ilvl w:val="0"/>
          <w:numId w:val="69"/>
        </w:numPr>
        <w:autoSpaceDE w:val="0"/>
        <w:autoSpaceDN w:val="0"/>
        <w:adjustRightInd w:val="0"/>
        <w:rPr>
          <w:rFonts w:cs="Arial"/>
          <w:color w:val="000000"/>
          <w:sz w:val="22"/>
        </w:rPr>
      </w:pPr>
      <w:r w:rsidRPr="00871A3A">
        <w:rPr>
          <w:rFonts w:cs="Arial"/>
          <w:color w:val="000000"/>
          <w:sz w:val="22"/>
        </w:rPr>
        <w:t>Les appels à propositions (DAO) pour les travaux référeront aux exigences E3S (voir Annexe ci-jointe)</w:t>
      </w:r>
    </w:p>
    <w:p w14:paraId="3DA23C37" w14:textId="77777777" w:rsidR="009021F1" w:rsidRPr="00871A3A" w:rsidRDefault="009021F1" w:rsidP="009021F1">
      <w:pPr>
        <w:pStyle w:val="Paragraphedeliste"/>
        <w:numPr>
          <w:ilvl w:val="0"/>
          <w:numId w:val="69"/>
        </w:numPr>
        <w:autoSpaceDE w:val="0"/>
        <w:autoSpaceDN w:val="0"/>
        <w:adjustRightInd w:val="0"/>
        <w:rPr>
          <w:rFonts w:cs="Arial"/>
          <w:color w:val="000000"/>
          <w:sz w:val="22"/>
        </w:rPr>
      </w:pPr>
      <w:r w:rsidRPr="00871A3A">
        <w:rPr>
          <w:rFonts w:cs="Arial"/>
          <w:color w:val="000000"/>
          <w:sz w:val="22"/>
        </w:rPr>
        <w:t>Les soumissionnaires soumettront un plan environnemental et social préliminaire dans le cadre de leurs offres, décrivant les principes et la méthodologie qu'ils utiliseront pour traiter les questions environnementales, sociales, de santé et de sécurité dans le cadre du contrat, et incluront tous les coûts associés à la gestion des questions environnementales et sociales dans leurs offres.</w:t>
      </w:r>
    </w:p>
    <w:p w14:paraId="13ECE1B9" w14:textId="77777777" w:rsidR="009021F1" w:rsidRPr="00871A3A" w:rsidRDefault="009021F1" w:rsidP="009021F1">
      <w:pPr>
        <w:pStyle w:val="Paragraphedeliste"/>
        <w:numPr>
          <w:ilvl w:val="0"/>
          <w:numId w:val="69"/>
        </w:numPr>
        <w:autoSpaceDE w:val="0"/>
        <w:autoSpaceDN w:val="0"/>
        <w:adjustRightInd w:val="0"/>
        <w:rPr>
          <w:rFonts w:cs="Arial"/>
          <w:color w:val="000000"/>
          <w:sz w:val="22"/>
        </w:rPr>
      </w:pPr>
      <w:r w:rsidRPr="00871A3A">
        <w:rPr>
          <w:rFonts w:cs="Arial"/>
          <w:color w:val="000000"/>
          <w:sz w:val="22"/>
        </w:rPr>
        <w:t>La qualité du plan environnemental et social préliminaire, les performances environnementales et sociales passées des soumissionnaires, ainsi que leur capacité à gérer les questions environnementales et sociales, seront pris en compte lors de la sélection des entreprises.</w:t>
      </w:r>
    </w:p>
    <w:p w14:paraId="019C4496" w14:textId="77777777" w:rsidR="009021F1" w:rsidRPr="00871A3A" w:rsidRDefault="009021F1" w:rsidP="009021F1">
      <w:pPr>
        <w:pStyle w:val="Paragraphedeliste"/>
        <w:numPr>
          <w:ilvl w:val="0"/>
          <w:numId w:val="69"/>
        </w:numPr>
        <w:autoSpaceDE w:val="0"/>
        <w:autoSpaceDN w:val="0"/>
        <w:adjustRightInd w:val="0"/>
        <w:rPr>
          <w:rFonts w:cs="Arial"/>
          <w:color w:val="000000"/>
          <w:sz w:val="22"/>
        </w:rPr>
      </w:pPr>
      <w:r w:rsidRPr="00871A3A">
        <w:rPr>
          <w:rFonts w:cs="Arial"/>
          <w:color w:val="000000"/>
          <w:sz w:val="22"/>
        </w:rPr>
        <w:t>Les entreprises sélectionnées prépareront un Plan de Gestion Environnementale et Sociale qui leur est spécifique (PGES-Entreprise), détaillant la manière dont les critères environnementaux et sociaux minimums seront mis en œuvre, y compris les procédures de mise en œuvre et le personnel requis.</w:t>
      </w:r>
    </w:p>
    <w:p w14:paraId="62FFE1D1" w14:textId="77777777" w:rsidR="009021F1" w:rsidRPr="00871A3A" w:rsidRDefault="009021F1" w:rsidP="009021F1">
      <w:pPr>
        <w:pStyle w:val="Paragraphedeliste"/>
        <w:numPr>
          <w:ilvl w:val="0"/>
          <w:numId w:val="69"/>
        </w:numPr>
        <w:autoSpaceDE w:val="0"/>
        <w:autoSpaceDN w:val="0"/>
        <w:adjustRightInd w:val="0"/>
        <w:rPr>
          <w:rFonts w:cs="Arial"/>
          <w:color w:val="000000"/>
          <w:sz w:val="22"/>
        </w:rPr>
      </w:pPr>
      <w:r w:rsidRPr="00871A3A">
        <w:rPr>
          <w:rFonts w:cs="Arial"/>
          <w:color w:val="000000"/>
          <w:sz w:val="22"/>
        </w:rPr>
        <w:t>L’UNCP devra approuver le PGES de chaque entreprise avant que celle-ci puisse démarrer ses activités.</w:t>
      </w:r>
    </w:p>
    <w:p w14:paraId="0D86F907" w14:textId="77777777" w:rsidR="009021F1" w:rsidRPr="00871A3A" w:rsidRDefault="009021F1" w:rsidP="009021F1">
      <w:pPr>
        <w:pStyle w:val="Paragraphedeliste"/>
        <w:numPr>
          <w:ilvl w:val="0"/>
          <w:numId w:val="69"/>
        </w:numPr>
        <w:autoSpaceDE w:val="0"/>
        <w:autoSpaceDN w:val="0"/>
        <w:adjustRightInd w:val="0"/>
        <w:rPr>
          <w:rFonts w:cs="Arial"/>
          <w:color w:val="000000"/>
          <w:sz w:val="22"/>
        </w:rPr>
      </w:pPr>
      <w:r w:rsidRPr="00871A3A">
        <w:rPr>
          <w:rFonts w:cs="Arial"/>
          <w:color w:val="000000"/>
          <w:sz w:val="22"/>
        </w:rPr>
        <w:t>Le PGES préparé par chaque entreprise servira de référence lors du suivi et de l’évaluation de sa performance environnementale et sociale.</w:t>
      </w:r>
    </w:p>
    <w:p w14:paraId="0E0C4847" w14:textId="77777777" w:rsidR="009021F1" w:rsidRPr="007E3D1A" w:rsidRDefault="009021F1" w:rsidP="009021F1">
      <w:pPr>
        <w:rPr>
          <w:rFonts w:cs="Arial"/>
          <w:sz w:val="22"/>
        </w:rPr>
      </w:pPr>
    </w:p>
    <w:p w14:paraId="083D9141" w14:textId="77777777" w:rsidR="009021F1" w:rsidRPr="00871A3A" w:rsidRDefault="009021F1" w:rsidP="009021F1">
      <w:pPr>
        <w:rPr>
          <w:rFonts w:cs="Arial"/>
          <w:b/>
          <w:i/>
          <w:sz w:val="22"/>
        </w:rPr>
      </w:pPr>
      <w:r w:rsidRPr="00871A3A">
        <w:rPr>
          <w:rFonts w:cs="Arial"/>
          <w:b/>
          <w:i/>
          <w:sz w:val="22"/>
        </w:rPr>
        <w:t>Prescriptions Environnementales, Sociales, Sanitaires et Sécuritaires (E3S)</w:t>
      </w:r>
      <w:r w:rsidRPr="00871A3A">
        <w:rPr>
          <w:rFonts w:cs="Arial"/>
          <w:b/>
          <w:i/>
          <w:sz w:val="22"/>
        </w:rPr>
        <w:br/>
        <w:t>applicables aux entreprises impliquées dans le PNDA</w:t>
      </w:r>
    </w:p>
    <w:p w14:paraId="3CFA2CB3" w14:textId="77777777" w:rsidR="009021F1" w:rsidRPr="007E3D1A" w:rsidRDefault="009021F1" w:rsidP="009021F1">
      <w:pPr>
        <w:rPr>
          <w:rFonts w:cs="Arial"/>
          <w:sz w:val="22"/>
        </w:rPr>
      </w:pPr>
    </w:p>
    <w:p w14:paraId="6491B0CF" w14:textId="77777777" w:rsidR="009021F1" w:rsidRPr="007E3D1A" w:rsidRDefault="009021F1" w:rsidP="009021F1">
      <w:pPr>
        <w:rPr>
          <w:rFonts w:cs="Arial"/>
          <w:sz w:val="22"/>
        </w:rPr>
      </w:pPr>
      <w:r w:rsidRPr="007E3D1A">
        <w:rPr>
          <w:rFonts w:cs="Arial"/>
          <w:sz w:val="22"/>
        </w:rPr>
        <w:t>Cette annexe définit les prescriptions minimales concernant les mesures d'atténuation des risques environnementaux, sociaux, sanitaires, et sécuritaires (E3S), que les entreprises doivent prendre en considération lors de la préparation de leur PGES.</w:t>
      </w:r>
    </w:p>
    <w:p w14:paraId="4438D09D" w14:textId="77777777" w:rsidR="009021F1" w:rsidRPr="007E3D1A" w:rsidRDefault="009021F1" w:rsidP="009021F1">
      <w:pPr>
        <w:rPr>
          <w:rFonts w:cs="Arial"/>
          <w:sz w:val="22"/>
        </w:rPr>
      </w:pPr>
    </w:p>
    <w:p w14:paraId="52A7E197" w14:textId="77777777" w:rsidR="009021F1" w:rsidRPr="007E3D1A" w:rsidRDefault="009021F1" w:rsidP="009021F1">
      <w:pPr>
        <w:rPr>
          <w:rFonts w:cs="Arial"/>
          <w:sz w:val="22"/>
        </w:rPr>
      </w:pPr>
      <w:r w:rsidRPr="007E3D1A">
        <w:rPr>
          <w:rFonts w:cs="Arial"/>
          <w:sz w:val="22"/>
        </w:rPr>
        <w:t>Dispositions Générales</w:t>
      </w:r>
    </w:p>
    <w:p w14:paraId="0D862D6F" w14:textId="77777777" w:rsidR="009021F1" w:rsidRPr="007E3D1A" w:rsidRDefault="009021F1" w:rsidP="009021F1">
      <w:pPr>
        <w:rPr>
          <w:rFonts w:cs="Arial"/>
          <w:sz w:val="22"/>
        </w:rPr>
      </w:pPr>
    </w:p>
    <w:p w14:paraId="6F89AB0D" w14:textId="77777777" w:rsidR="009021F1" w:rsidRPr="007E3D1A" w:rsidRDefault="009021F1" w:rsidP="009021F1">
      <w:pPr>
        <w:rPr>
          <w:rFonts w:cs="Arial"/>
          <w:sz w:val="22"/>
        </w:rPr>
      </w:pPr>
      <w:r w:rsidRPr="007E3D1A">
        <w:rPr>
          <w:rFonts w:cs="Arial"/>
          <w:sz w:val="22"/>
        </w:rPr>
        <w:t>Plan de Gestion de l’Entreprise</w:t>
      </w:r>
    </w:p>
    <w:p w14:paraId="0F74069D" w14:textId="77777777" w:rsidR="009021F1" w:rsidRPr="007E3D1A" w:rsidRDefault="009021F1" w:rsidP="009021F1">
      <w:pPr>
        <w:rPr>
          <w:rFonts w:cs="Arial"/>
          <w:sz w:val="22"/>
        </w:rPr>
      </w:pPr>
    </w:p>
    <w:p w14:paraId="712E764C" w14:textId="77777777" w:rsidR="009021F1" w:rsidRPr="007E3D1A" w:rsidRDefault="009021F1" w:rsidP="009021F1">
      <w:pPr>
        <w:rPr>
          <w:rFonts w:cs="Arial"/>
          <w:sz w:val="22"/>
        </w:rPr>
      </w:pPr>
      <w:r w:rsidRPr="007E3D1A">
        <w:rPr>
          <w:rFonts w:cs="Arial"/>
          <w:sz w:val="22"/>
        </w:rPr>
        <w:t>L’Entreprise doit établir et soumettre à l'approbation du Maître d’Ouvrage délégué un Plan détaillant comment l’Entreprise (PGES-Entreprise) satisfera les prescriptions environnementales, sociales, sanitaires, et sécuritaires (E3S).  Ce Plan comprendra les sections suivantes :</w:t>
      </w:r>
    </w:p>
    <w:p w14:paraId="1E7D2378" w14:textId="77777777" w:rsidR="009021F1" w:rsidRDefault="009021F1" w:rsidP="009021F1">
      <w:pPr>
        <w:rPr>
          <w:rFonts w:cs="Arial"/>
          <w:sz w:val="22"/>
        </w:rPr>
      </w:pPr>
    </w:p>
    <w:p w14:paraId="41C66EC3" w14:textId="77777777" w:rsidR="009021F1" w:rsidRPr="007E3D1A" w:rsidRDefault="009021F1" w:rsidP="009021F1">
      <w:pPr>
        <w:rPr>
          <w:rFonts w:cs="Arial"/>
          <w:sz w:val="22"/>
        </w:rPr>
      </w:pPr>
      <w:r w:rsidRPr="007E3D1A">
        <w:rPr>
          <w:rFonts w:cs="Arial"/>
          <w:sz w:val="22"/>
        </w:rPr>
        <w:t>Formation E3S :</w:t>
      </w:r>
    </w:p>
    <w:p w14:paraId="74940335" w14:textId="77777777" w:rsidR="009021F1" w:rsidRPr="007E3D1A" w:rsidRDefault="009021F1" w:rsidP="009021F1">
      <w:pPr>
        <w:rPr>
          <w:rFonts w:cs="Arial"/>
          <w:sz w:val="22"/>
        </w:rPr>
      </w:pPr>
    </w:p>
    <w:p w14:paraId="6D4BF652" w14:textId="77777777" w:rsidR="009021F1" w:rsidRPr="00871A3A" w:rsidRDefault="009021F1" w:rsidP="009021F1">
      <w:pPr>
        <w:pStyle w:val="Paragraphedeliste"/>
        <w:numPr>
          <w:ilvl w:val="0"/>
          <w:numId w:val="69"/>
        </w:numPr>
        <w:autoSpaceDE w:val="0"/>
        <w:autoSpaceDN w:val="0"/>
        <w:adjustRightInd w:val="0"/>
        <w:rPr>
          <w:rFonts w:cs="Arial"/>
          <w:color w:val="000000"/>
          <w:sz w:val="22"/>
        </w:rPr>
      </w:pPr>
      <w:r w:rsidRPr="00871A3A">
        <w:rPr>
          <w:rFonts w:cs="Arial"/>
          <w:color w:val="000000"/>
          <w:sz w:val="22"/>
        </w:rPr>
        <w:t>Gestion des Installations et Chantiers</w:t>
      </w:r>
    </w:p>
    <w:p w14:paraId="1635A18D" w14:textId="77777777" w:rsidR="009021F1" w:rsidRPr="00871A3A" w:rsidRDefault="009021F1" w:rsidP="009021F1">
      <w:pPr>
        <w:pStyle w:val="Paragraphedeliste"/>
        <w:numPr>
          <w:ilvl w:val="0"/>
          <w:numId w:val="69"/>
        </w:numPr>
        <w:autoSpaceDE w:val="0"/>
        <w:autoSpaceDN w:val="0"/>
        <w:adjustRightInd w:val="0"/>
        <w:rPr>
          <w:rFonts w:cs="Arial"/>
          <w:color w:val="000000"/>
          <w:sz w:val="22"/>
        </w:rPr>
      </w:pPr>
      <w:r w:rsidRPr="00871A3A">
        <w:rPr>
          <w:rFonts w:cs="Arial"/>
          <w:color w:val="000000"/>
          <w:sz w:val="22"/>
        </w:rPr>
        <w:t>Gestion de la Sécurité au Travail</w:t>
      </w:r>
    </w:p>
    <w:p w14:paraId="22835825" w14:textId="77777777" w:rsidR="009021F1" w:rsidRPr="00871A3A" w:rsidRDefault="009021F1" w:rsidP="009021F1">
      <w:pPr>
        <w:pStyle w:val="Paragraphedeliste"/>
        <w:numPr>
          <w:ilvl w:val="0"/>
          <w:numId w:val="69"/>
        </w:numPr>
        <w:autoSpaceDE w:val="0"/>
        <w:autoSpaceDN w:val="0"/>
        <w:adjustRightInd w:val="0"/>
        <w:rPr>
          <w:rFonts w:cs="Arial"/>
          <w:color w:val="000000"/>
          <w:sz w:val="22"/>
        </w:rPr>
      </w:pPr>
      <w:r w:rsidRPr="00871A3A">
        <w:rPr>
          <w:rFonts w:cs="Arial"/>
          <w:color w:val="000000"/>
          <w:sz w:val="22"/>
        </w:rPr>
        <w:t>Gestion de la Santé</w:t>
      </w:r>
    </w:p>
    <w:p w14:paraId="23D94694" w14:textId="77777777" w:rsidR="009021F1" w:rsidRPr="00871A3A" w:rsidRDefault="009021F1" w:rsidP="009021F1">
      <w:pPr>
        <w:pStyle w:val="Paragraphedeliste"/>
        <w:numPr>
          <w:ilvl w:val="0"/>
          <w:numId w:val="69"/>
        </w:numPr>
        <w:autoSpaceDE w:val="0"/>
        <w:autoSpaceDN w:val="0"/>
        <w:adjustRightInd w:val="0"/>
        <w:rPr>
          <w:rFonts w:cs="Arial"/>
          <w:color w:val="000000"/>
          <w:sz w:val="22"/>
        </w:rPr>
      </w:pPr>
      <w:r w:rsidRPr="00871A3A">
        <w:rPr>
          <w:rFonts w:cs="Arial"/>
          <w:color w:val="000000"/>
          <w:sz w:val="22"/>
        </w:rPr>
        <w:t>Gestion de la Main-D'œuvre</w:t>
      </w:r>
    </w:p>
    <w:p w14:paraId="61756C03" w14:textId="77777777" w:rsidR="009021F1" w:rsidRPr="00871A3A" w:rsidRDefault="009021F1" w:rsidP="009021F1">
      <w:pPr>
        <w:pStyle w:val="Paragraphedeliste"/>
        <w:numPr>
          <w:ilvl w:val="0"/>
          <w:numId w:val="69"/>
        </w:numPr>
        <w:autoSpaceDE w:val="0"/>
        <w:autoSpaceDN w:val="0"/>
        <w:adjustRightInd w:val="0"/>
        <w:rPr>
          <w:rFonts w:cs="Arial"/>
          <w:color w:val="000000"/>
          <w:sz w:val="22"/>
        </w:rPr>
      </w:pPr>
      <w:r w:rsidRPr="00871A3A">
        <w:rPr>
          <w:rFonts w:cs="Arial"/>
          <w:color w:val="000000"/>
          <w:sz w:val="22"/>
        </w:rPr>
        <w:t>Préparation et Réponse aux Urgences</w:t>
      </w:r>
    </w:p>
    <w:p w14:paraId="70BD9D88" w14:textId="77777777" w:rsidR="009021F1" w:rsidRPr="00871A3A" w:rsidRDefault="009021F1" w:rsidP="009021F1">
      <w:pPr>
        <w:pStyle w:val="Paragraphedeliste"/>
        <w:numPr>
          <w:ilvl w:val="0"/>
          <w:numId w:val="69"/>
        </w:numPr>
        <w:autoSpaceDE w:val="0"/>
        <w:autoSpaceDN w:val="0"/>
        <w:adjustRightInd w:val="0"/>
        <w:rPr>
          <w:rFonts w:cs="Arial"/>
          <w:color w:val="000000"/>
          <w:sz w:val="22"/>
        </w:rPr>
      </w:pPr>
      <w:r w:rsidRPr="00871A3A">
        <w:rPr>
          <w:rFonts w:cs="Arial"/>
          <w:color w:val="000000"/>
          <w:sz w:val="22"/>
        </w:rPr>
        <w:t>Sécurité Extérieure des Chantiers, Installations, et des Personnes</w:t>
      </w:r>
    </w:p>
    <w:p w14:paraId="35516092" w14:textId="77777777" w:rsidR="009021F1" w:rsidRPr="00871A3A" w:rsidRDefault="009021F1" w:rsidP="009021F1">
      <w:pPr>
        <w:pStyle w:val="Paragraphedeliste"/>
        <w:numPr>
          <w:ilvl w:val="0"/>
          <w:numId w:val="69"/>
        </w:numPr>
        <w:autoSpaceDE w:val="0"/>
        <w:autoSpaceDN w:val="0"/>
        <w:adjustRightInd w:val="0"/>
        <w:rPr>
          <w:rFonts w:cs="Arial"/>
          <w:color w:val="000000"/>
          <w:sz w:val="22"/>
        </w:rPr>
      </w:pPr>
      <w:r w:rsidRPr="00871A3A">
        <w:rPr>
          <w:rFonts w:cs="Arial"/>
          <w:color w:val="000000"/>
          <w:sz w:val="22"/>
        </w:rPr>
        <w:t>Engagement des Parties Prenantes</w:t>
      </w:r>
    </w:p>
    <w:p w14:paraId="0DF285C0" w14:textId="77777777" w:rsidR="009021F1" w:rsidRPr="00871A3A" w:rsidRDefault="009021F1" w:rsidP="009021F1">
      <w:pPr>
        <w:pStyle w:val="Paragraphedeliste"/>
        <w:numPr>
          <w:ilvl w:val="0"/>
          <w:numId w:val="69"/>
        </w:numPr>
        <w:autoSpaceDE w:val="0"/>
        <w:autoSpaceDN w:val="0"/>
        <w:adjustRightInd w:val="0"/>
        <w:rPr>
          <w:rFonts w:cs="Arial"/>
          <w:color w:val="000000"/>
          <w:sz w:val="22"/>
        </w:rPr>
      </w:pPr>
      <w:r w:rsidRPr="00871A3A">
        <w:rPr>
          <w:rFonts w:cs="Arial"/>
          <w:color w:val="000000"/>
          <w:sz w:val="22"/>
        </w:rPr>
        <w:t>Suivi Environnemental et Socia</w:t>
      </w:r>
      <w:r>
        <w:rPr>
          <w:rFonts w:cs="Arial"/>
          <w:color w:val="000000"/>
          <w:sz w:val="22"/>
        </w:rPr>
        <w:t>l</w:t>
      </w:r>
    </w:p>
    <w:p w14:paraId="2C01DFE2" w14:textId="77777777" w:rsidR="009021F1" w:rsidRPr="00871A3A" w:rsidRDefault="009021F1" w:rsidP="009021F1">
      <w:pPr>
        <w:rPr>
          <w:rFonts w:cs="Arial"/>
          <w:i/>
          <w:sz w:val="22"/>
        </w:rPr>
      </w:pPr>
    </w:p>
    <w:p w14:paraId="5EF69F5E" w14:textId="77777777" w:rsidR="009021F1" w:rsidRPr="00871A3A" w:rsidRDefault="009021F1" w:rsidP="009021F1">
      <w:pPr>
        <w:rPr>
          <w:rFonts w:cs="Arial"/>
          <w:b/>
          <w:i/>
          <w:sz w:val="22"/>
        </w:rPr>
      </w:pPr>
      <w:r w:rsidRPr="00871A3A">
        <w:rPr>
          <w:rFonts w:cs="Arial"/>
          <w:b/>
          <w:i/>
          <w:sz w:val="22"/>
        </w:rPr>
        <w:t>L’Entreprise  doit se conformer au PGES approuvé par le Maitre d’Ouvrage Délégué.</w:t>
      </w:r>
    </w:p>
    <w:p w14:paraId="364CB0D1" w14:textId="77777777" w:rsidR="009021F1" w:rsidRPr="007E3D1A" w:rsidRDefault="009021F1" w:rsidP="009021F1">
      <w:pPr>
        <w:rPr>
          <w:rFonts w:cs="Arial"/>
          <w:sz w:val="22"/>
        </w:rPr>
      </w:pPr>
    </w:p>
    <w:p w14:paraId="37280955" w14:textId="77777777" w:rsidR="009021F1" w:rsidRPr="00871A3A" w:rsidRDefault="009021F1" w:rsidP="009021F1">
      <w:pPr>
        <w:rPr>
          <w:rFonts w:cs="Arial"/>
          <w:b/>
          <w:sz w:val="22"/>
        </w:rPr>
      </w:pPr>
      <w:r w:rsidRPr="00871A3A">
        <w:rPr>
          <w:rFonts w:cs="Arial"/>
          <w:b/>
          <w:sz w:val="22"/>
        </w:rPr>
        <w:t xml:space="preserve">Responsable Hygiène, Sécurité et Environnement </w:t>
      </w:r>
    </w:p>
    <w:p w14:paraId="15FADFB1" w14:textId="77777777" w:rsidR="009021F1" w:rsidRPr="007E3D1A" w:rsidRDefault="009021F1" w:rsidP="009021F1">
      <w:pPr>
        <w:rPr>
          <w:rFonts w:cs="Arial"/>
          <w:sz w:val="22"/>
        </w:rPr>
      </w:pPr>
    </w:p>
    <w:p w14:paraId="54644CA9" w14:textId="77777777" w:rsidR="009021F1" w:rsidRPr="007E3D1A" w:rsidRDefault="009021F1" w:rsidP="009021F1">
      <w:pPr>
        <w:rPr>
          <w:rFonts w:cs="Arial"/>
          <w:sz w:val="22"/>
        </w:rPr>
      </w:pPr>
      <w:r w:rsidRPr="007E3D1A">
        <w:rPr>
          <w:rFonts w:cs="Arial"/>
          <w:sz w:val="22"/>
        </w:rPr>
        <w:t>L’Entreprise doit :</w:t>
      </w:r>
    </w:p>
    <w:p w14:paraId="26DDD48D" w14:textId="77777777" w:rsidR="009021F1" w:rsidRPr="007E3D1A" w:rsidRDefault="009021F1" w:rsidP="009021F1">
      <w:pPr>
        <w:rPr>
          <w:rFonts w:cs="Arial"/>
          <w:sz w:val="22"/>
        </w:rPr>
      </w:pPr>
    </w:p>
    <w:p w14:paraId="272FE0F1" w14:textId="77777777" w:rsidR="009021F1" w:rsidRPr="007E3D1A" w:rsidRDefault="009021F1" w:rsidP="009021F1">
      <w:pPr>
        <w:rPr>
          <w:rFonts w:cs="Arial"/>
          <w:sz w:val="22"/>
        </w:rPr>
      </w:pPr>
      <w:r w:rsidRPr="007E3D1A">
        <w:rPr>
          <w:rFonts w:cs="Arial"/>
          <w:sz w:val="22"/>
        </w:rPr>
        <w:t>Désigner un responsable 3SE qui veillera à ce les prescriptions 3SE soient rigoureusement suivies par tous et à tous les niveaux d’exécution, tant pour les employés de l’Entreprise que pour la population et autres personnes en contact avec le chantier.</w:t>
      </w:r>
    </w:p>
    <w:p w14:paraId="72D54E78" w14:textId="77777777" w:rsidR="009021F1" w:rsidRPr="007E3D1A" w:rsidRDefault="009021F1" w:rsidP="009021F1">
      <w:pPr>
        <w:rPr>
          <w:rFonts w:cs="Arial"/>
          <w:sz w:val="22"/>
        </w:rPr>
      </w:pPr>
    </w:p>
    <w:p w14:paraId="7C305863" w14:textId="77777777" w:rsidR="009021F1" w:rsidRPr="00871A3A" w:rsidRDefault="009021F1" w:rsidP="009021F1">
      <w:pPr>
        <w:rPr>
          <w:rFonts w:cs="Arial"/>
          <w:b/>
          <w:sz w:val="22"/>
        </w:rPr>
      </w:pPr>
      <w:r w:rsidRPr="00871A3A">
        <w:rPr>
          <w:rFonts w:cs="Arial"/>
          <w:b/>
          <w:sz w:val="22"/>
        </w:rPr>
        <w:t>Respect des Lois, Règlements, et Normes Nationales</w:t>
      </w:r>
    </w:p>
    <w:p w14:paraId="65BBC579" w14:textId="77777777" w:rsidR="009021F1" w:rsidRPr="007E3D1A" w:rsidRDefault="009021F1" w:rsidP="009021F1">
      <w:pPr>
        <w:rPr>
          <w:rFonts w:cs="Arial"/>
          <w:sz w:val="22"/>
        </w:rPr>
      </w:pPr>
    </w:p>
    <w:p w14:paraId="6F93A85E" w14:textId="77777777" w:rsidR="009021F1" w:rsidRPr="007E3D1A" w:rsidRDefault="009021F1" w:rsidP="009021F1">
      <w:pPr>
        <w:rPr>
          <w:rFonts w:cs="Arial"/>
          <w:sz w:val="22"/>
        </w:rPr>
      </w:pPr>
      <w:r w:rsidRPr="007E3D1A">
        <w:rPr>
          <w:rFonts w:cs="Arial"/>
          <w:sz w:val="22"/>
        </w:rPr>
        <w:t>L’Entreprise et ses sous-traitants doivent :</w:t>
      </w:r>
    </w:p>
    <w:p w14:paraId="0EAF1031" w14:textId="77777777" w:rsidR="009021F1" w:rsidRPr="007E3D1A" w:rsidRDefault="009021F1" w:rsidP="009021F1">
      <w:pPr>
        <w:rPr>
          <w:rFonts w:cs="Arial"/>
          <w:sz w:val="22"/>
        </w:rPr>
      </w:pPr>
    </w:p>
    <w:p w14:paraId="6D0CECF5" w14:textId="77777777" w:rsidR="009021F1" w:rsidRPr="007E3D1A" w:rsidRDefault="009021F1" w:rsidP="009021F1">
      <w:pPr>
        <w:rPr>
          <w:rFonts w:cs="Arial"/>
          <w:sz w:val="22"/>
        </w:rPr>
      </w:pPr>
      <w:r w:rsidRPr="007E3D1A">
        <w:rPr>
          <w:rFonts w:cs="Arial"/>
          <w:sz w:val="22"/>
        </w:rPr>
        <w:t>Connaître, respecter et appliquer les lois, règlements, et normes en vigueur au Niger relatifs à l’environnement, ainsi qu’aux aspects sociaux, sanitaires et sécuritaires ; et</w:t>
      </w:r>
    </w:p>
    <w:p w14:paraId="23EB65F2" w14:textId="77777777" w:rsidR="009021F1" w:rsidRPr="007E3D1A" w:rsidRDefault="009021F1" w:rsidP="009021F1">
      <w:pPr>
        <w:rPr>
          <w:rFonts w:cs="Arial"/>
          <w:sz w:val="22"/>
        </w:rPr>
      </w:pPr>
      <w:r w:rsidRPr="007E3D1A">
        <w:rPr>
          <w:rFonts w:cs="Arial"/>
          <w:sz w:val="22"/>
        </w:rPr>
        <w:t>Assumer entière responsabilité pour toute réclamation liée à une activité sous leur contrôle qui n’a pas respecté ces lois, règlements, ou normes.</w:t>
      </w:r>
    </w:p>
    <w:p w14:paraId="18B2C0F8" w14:textId="77777777" w:rsidR="009021F1" w:rsidRPr="007E3D1A" w:rsidRDefault="009021F1" w:rsidP="009021F1">
      <w:pPr>
        <w:rPr>
          <w:rFonts w:cs="Arial"/>
          <w:sz w:val="22"/>
        </w:rPr>
      </w:pPr>
    </w:p>
    <w:p w14:paraId="1CA1AB95" w14:textId="77777777" w:rsidR="009021F1" w:rsidRPr="00871A3A" w:rsidRDefault="009021F1" w:rsidP="009021F1">
      <w:pPr>
        <w:rPr>
          <w:rFonts w:cs="Arial"/>
          <w:b/>
          <w:sz w:val="22"/>
        </w:rPr>
      </w:pPr>
      <w:r w:rsidRPr="00871A3A">
        <w:rPr>
          <w:rFonts w:cs="Arial"/>
          <w:b/>
          <w:sz w:val="22"/>
        </w:rPr>
        <w:t>Obligations Contractuelles</w:t>
      </w:r>
    </w:p>
    <w:p w14:paraId="01404388" w14:textId="77777777" w:rsidR="009021F1" w:rsidRPr="007E3D1A" w:rsidRDefault="009021F1" w:rsidP="009021F1">
      <w:pPr>
        <w:rPr>
          <w:rFonts w:cs="Arial"/>
          <w:sz w:val="22"/>
        </w:rPr>
      </w:pPr>
    </w:p>
    <w:p w14:paraId="196B6810" w14:textId="77777777" w:rsidR="009021F1" w:rsidRPr="007E3D1A" w:rsidRDefault="009021F1" w:rsidP="009021F1">
      <w:pPr>
        <w:rPr>
          <w:rFonts w:cs="Arial"/>
          <w:sz w:val="22"/>
        </w:rPr>
      </w:pPr>
      <w:r w:rsidRPr="007E3D1A">
        <w:rPr>
          <w:rFonts w:cs="Arial"/>
          <w:sz w:val="22"/>
        </w:rPr>
        <w:t>L’Entreprise doit :</w:t>
      </w:r>
    </w:p>
    <w:p w14:paraId="4883F55F" w14:textId="77777777" w:rsidR="009021F1" w:rsidRPr="007E3D1A" w:rsidRDefault="009021F1" w:rsidP="009021F1">
      <w:pPr>
        <w:rPr>
          <w:rFonts w:cs="Arial"/>
          <w:sz w:val="22"/>
        </w:rPr>
      </w:pPr>
    </w:p>
    <w:p w14:paraId="09690E67" w14:textId="77777777" w:rsidR="009021F1" w:rsidRPr="00871A3A" w:rsidRDefault="009021F1" w:rsidP="009021F1">
      <w:pPr>
        <w:pStyle w:val="Paragraphedeliste"/>
        <w:numPr>
          <w:ilvl w:val="0"/>
          <w:numId w:val="69"/>
        </w:numPr>
        <w:autoSpaceDE w:val="0"/>
        <w:autoSpaceDN w:val="0"/>
        <w:adjustRightInd w:val="0"/>
        <w:rPr>
          <w:rFonts w:cs="Arial"/>
          <w:color w:val="000000"/>
          <w:sz w:val="22"/>
        </w:rPr>
      </w:pPr>
      <w:r w:rsidRPr="00871A3A">
        <w:rPr>
          <w:rFonts w:cs="Arial"/>
          <w:color w:val="000000"/>
          <w:sz w:val="22"/>
        </w:rPr>
        <w:t>Redresser tout défaut, manquement, ou non-exécution des prescriptions E3S ou de son Plan E3S qui lui est dûment notifiées par le Maître d’Ouvrage délégué</w:t>
      </w:r>
    </w:p>
    <w:p w14:paraId="1E5A28C9" w14:textId="77777777" w:rsidR="009021F1" w:rsidRPr="00871A3A" w:rsidRDefault="009021F1" w:rsidP="009021F1">
      <w:pPr>
        <w:pStyle w:val="Paragraphedeliste"/>
        <w:numPr>
          <w:ilvl w:val="0"/>
          <w:numId w:val="69"/>
        </w:numPr>
        <w:autoSpaceDE w:val="0"/>
        <w:autoSpaceDN w:val="0"/>
        <w:adjustRightInd w:val="0"/>
        <w:rPr>
          <w:rFonts w:cs="Arial"/>
          <w:color w:val="000000"/>
          <w:sz w:val="22"/>
        </w:rPr>
      </w:pPr>
      <w:r w:rsidRPr="00871A3A">
        <w:rPr>
          <w:rFonts w:cs="Arial"/>
          <w:color w:val="000000"/>
          <w:sz w:val="22"/>
        </w:rPr>
        <w:t>Assumer les coûts associés à tout retard ou interruption des travaux, ainsi qu’à tous travaux supplémentaires découlant du non-respect des prescriptions E3S ou de son Plan E3S.</w:t>
      </w:r>
    </w:p>
    <w:p w14:paraId="03DB76AC" w14:textId="77777777" w:rsidR="009021F1" w:rsidRPr="00871A3A" w:rsidRDefault="009021F1" w:rsidP="009021F1">
      <w:pPr>
        <w:pStyle w:val="Paragraphedeliste"/>
        <w:numPr>
          <w:ilvl w:val="0"/>
          <w:numId w:val="69"/>
        </w:numPr>
        <w:autoSpaceDE w:val="0"/>
        <w:autoSpaceDN w:val="0"/>
        <w:adjustRightInd w:val="0"/>
        <w:rPr>
          <w:rFonts w:cs="Arial"/>
          <w:color w:val="000000"/>
          <w:sz w:val="22"/>
        </w:rPr>
      </w:pPr>
      <w:r w:rsidRPr="00871A3A">
        <w:rPr>
          <w:rFonts w:cs="Arial"/>
          <w:color w:val="000000"/>
          <w:sz w:val="22"/>
        </w:rPr>
        <w:t>En application des dispositions contractuelles, le non-respect des E3S de manière générale, et du Plan E3S de l’Entreprise de manière spécifique, dûment constaté par le Maître d’Ouvrage délégué, peut être un motif de résiliation du contrat.</w:t>
      </w:r>
    </w:p>
    <w:p w14:paraId="15645B2F" w14:textId="77777777" w:rsidR="009021F1" w:rsidRPr="00871A3A" w:rsidRDefault="009021F1" w:rsidP="009021F1">
      <w:pPr>
        <w:pStyle w:val="Paragraphedeliste"/>
        <w:numPr>
          <w:ilvl w:val="0"/>
          <w:numId w:val="69"/>
        </w:numPr>
        <w:autoSpaceDE w:val="0"/>
        <w:autoSpaceDN w:val="0"/>
        <w:adjustRightInd w:val="0"/>
        <w:rPr>
          <w:rFonts w:cs="Arial"/>
          <w:color w:val="000000"/>
          <w:sz w:val="22"/>
        </w:rPr>
      </w:pPr>
      <w:r w:rsidRPr="00871A3A">
        <w:rPr>
          <w:rFonts w:cs="Arial"/>
          <w:color w:val="000000"/>
          <w:sz w:val="22"/>
        </w:rPr>
        <w:t>L’Entreprise ayant fait l’objet d’une résiliation pour cause de non application des E3S ou du Plan E3S s’expose à des sanctions allant jusqu’à la suspension du droit de soumissionner pour une période déterminée par le Maître d’Ouvrage délégué, avec une réfaction sur le prix et un blocage de la retenue de garantie.</w:t>
      </w:r>
    </w:p>
    <w:p w14:paraId="460AE47A" w14:textId="77777777" w:rsidR="009021F1" w:rsidRPr="00871A3A" w:rsidRDefault="009021F1" w:rsidP="009021F1">
      <w:pPr>
        <w:pStyle w:val="Paragraphedeliste"/>
        <w:numPr>
          <w:ilvl w:val="0"/>
          <w:numId w:val="69"/>
        </w:numPr>
        <w:autoSpaceDE w:val="0"/>
        <w:autoSpaceDN w:val="0"/>
        <w:adjustRightInd w:val="0"/>
        <w:rPr>
          <w:rFonts w:cs="Arial"/>
          <w:color w:val="000000"/>
          <w:sz w:val="22"/>
        </w:rPr>
      </w:pPr>
      <w:r w:rsidRPr="00871A3A">
        <w:rPr>
          <w:rFonts w:cs="Arial"/>
          <w:color w:val="000000"/>
          <w:sz w:val="22"/>
        </w:rPr>
        <w:t>Le non-respect d’une ou de plusieurs prescriptions E3S ou de son Plan E3S par l’Entreprise peut l’exposer au refus de réception provisoire ou définitive des travaux par la Commission de réception.</w:t>
      </w:r>
    </w:p>
    <w:p w14:paraId="2AEC0453" w14:textId="77777777" w:rsidR="009021F1" w:rsidRPr="00871A3A" w:rsidRDefault="009021F1" w:rsidP="009021F1">
      <w:pPr>
        <w:pStyle w:val="Paragraphedeliste"/>
        <w:numPr>
          <w:ilvl w:val="0"/>
          <w:numId w:val="69"/>
        </w:numPr>
        <w:autoSpaceDE w:val="0"/>
        <w:autoSpaceDN w:val="0"/>
        <w:adjustRightInd w:val="0"/>
        <w:rPr>
          <w:rFonts w:cs="Arial"/>
          <w:color w:val="000000"/>
          <w:sz w:val="22"/>
        </w:rPr>
      </w:pPr>
      <w:r w:rsidRPr="00871A3A">
        <w:rPr>
          <w:rFonts w:cs="Arial"/>
          <w:color w:val="000000"/>
          <w:sz w:val="22"/>
        </w:rPr>
        <w:t>Les obligations de l’Entreprise vis-à-vis les E3S courent jusqu’à la réception définitive des travaux qui ne sera acquise qu’après que toutes les mesures requises par les prescriptions E3S aient été satisfaites.</w:t>
      </w:r>
    </w:p>
    <w:p w14:paraId="3B6E9C20" w14:textId="77777777" w:rsidR="009021F1" w:rsidRPr="00871A3A" w:rsidRDefault="009021F1" w:rsidP="009021F1">
      <w:pPr>
        <w:rPr>
          <w:rFonts w:cs="Arial"/>
          <w:b/>
          <w:sz w:val="22"/>
        </w:rPr>
      </w:pPr>
      <w:r w:rsidRPr="00871A3A">
        <w:rPr>
          <w:rFonts w:cs="Arial"/>
          <w:b/>
          <w:sz w:val="22"/>
        </w:rPr>
        <w:t>Formation E3S</w:t>
      </w:r>
    </w:p>
    <w:p w14:paraId="1D684567" w14:textId="77777777" w:rsidR="009021F1" w:rsidRPr="007E3D1A" w:rsidRDefault="009021F1" w:rsidP="009021F1">
      <w:pPr>
        <w:rPr>
          <w:rFonts w:cs="Arial"/>
          <w:sz w:val="22"/>
        </w:rPr>
      </w:pPr>
    </w:p>
    <w:p w14:paraId="443B48B9" w14:textId="77777777" w:rsidR="009021F1" w:rsidRPr="007E3D1A" w:rsidRDefault="009021F1" w:rsidP="009021F1">
      <w:pPr>
        <w:rPr>
          <w:rFonts w:cs="Arial"/>
          <w:sz w:val="22"/>
        </w:rPr>
      </w:pPr>
      <w:r w:rsidRPr="007E3D1A">
        <w:rPr>
          <w:rFonts w:cs="Arial"/>
          <w:sz w:val="22"/>
        </w:rPr>
        <w:t>L’Entreprise doit :</w:t>
      </w:r>
    </w:p>
    <w:p w14:paraId="3161C5E9" w14:textId="77777777" w:rsidR="009021F1" w:rsidRPr="007E3D1A" w:rsidRDefault="009021F1" w:rsidP="009021F1">
      <w:pPr>
        <w:rPr>
          <w:rFonts w:cs="Arial"/>
          <w:sz w:val="22"/>
        </w:rPr>
      </w:pPr>
    </w:p>
    <w:p w14:paraId="0EF25A48" w14:textId="77777777" w:rsidR="009021F1" w:rsidRPr="00871A3A" w:rsidRDefault="009021F1" w:rsidP="009021F1">
      <w:pPr>
        <w:pStyle w:val="Paragraphedeliste"/>
        <w:numPr>
          <w:ilvl w:val="0"/>
          <w:numId w:val="69"/>
        </w:numPr>
        <w:autoSpaceDE w:val="0"/>
        <w:autoSpaceDN w:val="0"/>
        <w:adjustRightInd w:val="0"/>
        <w:rPr>
          <w:rFonts w:cs="Arial"/>
          <w:color w:val="000000"/>
          <w:sz w:val="22"/>
        </w:rPr>
      </w:pPr>
      <w:r w:rsidRPr="00871A3A">
        <w:rPr>
          <w:rFonts w:cs="Arial"/>
          <w:color w:val="000000"/>
          <w:sz w:val="22"/>
        </w:rPr>
        <w:t>Déterminer ses besoins de formation en matière d'E3S en collaboration avec le Maître d’Ouvrage délégué ;</w:t>
      </w:r>
    </w:p>
    <w:p w14:paraId="027E3F72" w14:textId="77777777" w:rsidR="009021F1" w:rsidRPr="00871A3A" w:rsidRDefault="009021F1" w:rsidP="009021F1">
      <w:pPr>
        <w:pStyle w:val="Paragraphedeliste"/>
        <w:numPr>
          <w:ilvl w:val="0"/>
          <w:numId w:val="69"/>
        </w:numPr>
        <w:autoSpaceDE w:val="0"/>
        <w:autoSpaceDN w:val="0"/>
        <w:adjustRightInd w:val="0"/>
        <w:rPr>
          <w:rFonts w:cs="Arial"/>
          <w:color w:val="000000"/>
          <w:sz w:val="22"/>
        </w:rPr>
      </w:pPr>
      <w:r w:rsidRPr="00871A3A">
        <w:rPr>
          <w:rFonts w:cs="Arial"/>
          <w:color w:val="000000"/>
          <w:sz w:val="22"/>
        </w:rPr>
        <w:t>Tenir un registre de toutes les formations, orientations et initiations en matière d'E3S ;</w:t>
      </w:r>
    </w:p>
    <w:p w14:paraId="4054B03C" w14:textId="77777777" w:rsidR="009021F1" w:rsidRPr="00871A3A" w:rsidRDefault="009021F1" w:rsidP="009021F1">
      <w:pPr>
        <w:pStyle w:val="Paragraphedeliste"/>
        <w:numPr>
          <w:ilvl w:val="0"/>
          <w:numId w:val="69"/>
        </w:numPr>
        <w:autoSpaceDE w:val="0"/>
        <w:autoSpaceDN w:val="0"/>
        <w:adjustRightInd w:val="0"/>
        <w:rPr>
          <w:rFonts w:cs="Arial"/>
          <w:color w:val="000000"/>
          <w:sz w:val="22"/>
        </w:rPr>
      </w:pPr>
      <w:r w:rsidRPr="00871A3A">
        <w:rPr>
          <w:rFonts w:cs="Arial"/>
          <w:color w:val="000000"/>
          <w:sz w:val="22"/>
        </w:rPr>
        <w:t>S'assurer, par des spécifications contractuelles appropriées et un suivi, que les prestataires de services, ainsi que la main-d’œuvre contractuelle et sous-traitants, sont formés de manière adéquate avant le début des travaux ; et</w:t>
      </w:r>
    </w:p>
    <w:p w14:paraId="0BF9D401" w14:textId="77777777" w:rsidR="009021F1" w:rsidRPr="00871A3A" w:rsidRDefault="009021F1" w:rsidP="009021F1">
      <w:pPr>
        <w:pStyle w:val="Paragraphedeliste"/>
        <w:numPr>
          <w:ilvl w:val="0"/>
          <w:numId w:val="69"/>
        </w:numPr>
        <w:autoSpaceDE w:val="0"/>
        <w:autoSpaceDN w:val="0"/>
        <w:adjustRightInd w:val="0"/>
        <w:rPr>
          <w:rFonts w:cs="Arial"/>
          <w:color w:val="000000"/>
          <w:sz w:val="22"/>
        </w:rPr>
      </w:pPr>
      <w:r w:rsidRPr="00871A3A">
        <w:rPr>
          <w:rFonts w:cs="Arial"/>
          <w:color w:val="000000"/>
          <w:sz w:val="22"/>
        </w:rPr>
        <w:t>Démontrer au Maître d’Ouvrage délégué que ses employés sont compétents pour exercer leurs activités et leurs fonctions en toute sécurité.  À cette fin, l’Entreprise doit délivrer un certificat de compétence pour chaque personne travaillant sur le site (relatif au métier et à l'aspect de l'affectation du travail) qui précise les tâches qui peuvent être entreprises par chaque personnel clé.</w:t>
      </w:r>
    </w:p>
    <w:p w14:paraId="0A46EB8E" w14:textId="77777777" w:rsidR="009021F1" w:rsidRPr="007E3D1A" w:rsidRDefault="009021F1" w:rsidP="009021F1">
      <w:pPr>
        <w:rPr>
          <w:rFonts w:cs="Arial"/>
          <w:sz w:val="22"/>
        </w:rPr>
      </w:pPr>
    </w:p>
    <w:p w14:paraId="5DC75B1C" w14:textId="77777777" w:rsidR="009021F1" w:rsidRPr="00871A3A" w:rsidRDefault="009021F1" w:rsidP="009021F1">
      <w:pPr>
        <w:rPr>
          <w:rFonts w:cs="Arial"/>
          <w:b/>
          <w:sz w:val="22"/>
        </w:rPr>
      </w:pPr>
      <w:r w:rsidRPr="00871A3A">
        <w:rPr>
          <w:rFonts w:cs="Arial"/>
          <w:b/>
          <w:sz w:val="22"/>
        </w:rPr>
        <w:t>Formation de base</w:t>
      </w:r>
    </w:p>
    <w:p w14:paraId="43FF27AD" w14:textId="77777777" w:rsidR="009021F1" w:rsidRPr="007E3D1A" w:rsidRDefault="009021F1" w:rsidP="009021F1">
      <w:pPr>
        <w:rPr>
          <w:rFonts w:cs="Arial"/>
          <w:sz w:val="22"/>
        </w:rPr>
      </w:pPr>
    </w:p>
    <w:p w14:paraId="2EA1DDE8" w14:textId="77777777" w:rsidR="009021F1" w:rsidRPr="007E3D1A" w:rsidRDefault="009021F1" w:rsidP="009021F1">
      <w:pPr>
        <w:rPr>
          <w:rFonts w:cs="Arial"/>
          <w:sz w:val="22"/>
        </w:rPr>
      </w:pPr>
      <w:r w:rsidRPr="007E3D1A">
        <w:rPr>
          <w:rFonts w:cs="Arial"/>
          <w:sz w:val="22"/>
        </w:rPr>
        <w:t>L’Entreprise s'assurera que tous les employés, y compris la direction, les superviseurs et les ouvriers, ainsi que les sous-traitants, ont reçu une formation et des informations sur la santé et la sécurité au travail, avant le début de nouveaux travaux.  Cette formation doit leur permettre de comprendre les risques professionnels et de protéger leur santé contre les facteurs amb</w:t>
      </w:r>
      <w:r>
        <w:rPr>
          <w:rFonts w:cs="Arial"/>
          <w:sz w:val="22"/>
        </w:rPr>
        <w:t>iants dangereux potentiels.</w:t>
      </w:r>
      <w:r w:rsidRPr="007E3D1A">
        <w:rPr>
          <w:rFonts w:cs="Arial"/>
          <w:sz w:val="22"/>
        </w:rPr>
        <w:t xml:space="preserve"> Elle devrait couvrir de manière adéquate les processus étape par étape qui sont nécessaires pour que les travaux soient réalisés en toute sécurité.</w:t>
      </w:r>
    </w:p>
    <w:p w14:paraId="12CAE0C1" w14:textId="77777777" w:rsidR="009021F1" w:rsidRPr="007E3D1A" w:rsidRDefault="009021F1" w:rsidP="009021F1">
      <w:pPr>
        <w:rPr>
          <w:rFonts w:cs="Arial"/>
          <w:sz w:val="22"/>
        </w:rPr>
      </w:pPr>
    </w:p>
    <w:p w14:paraId="0C1D0CEE" w14:textId="77777777" w:rsidR="009021F1" w:rsidRPr="007E3D1A" w:rsidRDefault="009021F1" w:rsidP="009021F1">
      <w:pPr>
        <w:rPr>
          <w:rFonts w:cs="Arial"/>
          <w:sz w:val="22"/>
        </w:rPr>
      </w:pPr>
      <w:r w:rsidRPr="007E3D1A">
        <w:rPr>
          <w:rFonts w:cs="Arial"/>
          <w:sz w:val="22"/>
        </w:rPr>
        <w:t>La formation devrait comprendre une sensibilisation aux dangers, y compris aux dangers spécifiques au site, aux pratiques de travail sûres, aux exigences en matière d'hygiène, au port et à l'utilisation d'équipements et de vêtements de protection, et aux procédures d'urgence en cas d'incendie, d'évacuation et de catastrophe naturelle, selon les cas.  Tout danger spécifique à un site ou tout code de couleur utilisé devrait être examiné en détail dans le cadre de la formation d'orientation.</w:t>
      </w:r>
    </w:p>
    <w:p w14:paraId="5185BE82" w14:textId="77777777" w:rsidR="009021F1" w:rsidRPr="00871A3A" w:rsidRDefault="009021F1" w:rsidP="009021F1">
      <w:pPr>
        <w:rPr>
          <w:rFonts w:cs="Arial"/>
          <w:b/>
          <w:sz w:val="22"/>
        </w:rPr>
      </w:pPr>
    </w:p>
    <w:p w14:paraId="12EA55F9" w14:textId="77777777" w:rsidR="009021F1" w:rsidRPr="00871A3A" w:rsidRDefault="009021F1" w:rsidP="009021F1">
      <w:pPr>
        <w:rPr>
          <w:rFonts w:cs="Arial"/>
          <w:b/>
          <w:sz w:val="22"/>
        </w:rPr>
      </w:pPr>
      <w:r w:rsidRPr="00871A3A">
        <w:rPr>
          <w:rFonts w:cs="Arial"/>
          <w:b/>
          <w:sz w:val="22"/>
        </w:rPr>
        <w:t>Orientation des visiteurs</w:t>
      </w:r>
    </w:p>
    <w:p w14:paraId="42F0F5A4" w14:textId="77777777" w:rsidR="009021F1" w:rsidRPr="007E3D1A" w:rsidRDefault="009021F1" w:rsidP="009021F1">
      <w:pPr>
        <w:rPr>
          <w:rFonts w:cs="Arial"/>
          <w:sz w:val="22"/>
        </w:rPr>
      </w:pPr>
    </w:p>
    <w:p w14:paraId="310C79A8" w14:textId="77777777" w:rsidR="009021F1" w:rsidRPr="007E3D1A" w:rsidRDefault="009021F1" w:rsidP="009021F1">
      <w:pPr>
        <w:rPr>
          <w:rFonts w:cs="Arial"/>
          <w:sz w:val="22"/>
        </w:rPr>
      </w:pPr>
      <w:r w:rsidRPr="007E3D1A">
        <w:rPr>
          <w:rFonts w:cs="Arial"/>
          <w:sz w:val="22"/>
        </w:rPr>
        <w:t>L’Entreprise établira un programme d'orientation et de contrôle des visiteurs, si les visiteurs du site de construction, y compris les fournisseurs, peuvent accéder aux zones où des conditions ou des substances dangereuses peuvent être présentes.</w:t>
      </w:r>
    </w:p>
    <w:p w14:paraId="46A3FD25" w14:textId="77777777" w:rsidR="009021F1" w:rsidRPr="007E3D1A" w:rsidRDefault="009021F1" w:rsidP="009021F1">
      <w:pPr>
        <w:rPr>
          <w:rFonts w:cs="Arial"/>
          <w:sz w:val="22"/>
        </w:rPr>
      </w:pPr>
    </w:p>
    <w:p w14:paraId="1C33497D" w14:textId="77777777" w:rsidR="009021F1" w:rsidRPr="007E3D1A" w:rsidRDefault="009021F1" w:rsidP="009021F1">
      <w:pPr>
        <w:rPr>
          <w:rFonts w:cs="Arial"/>
          <w:sz w:val="22"/>
        </w:rPr>
      </w:pPr>
      <w:r w:rsidRPr="007E3D1A">
        <w:rPr>
          <w:rFonts w:cs="Arial"/>
          <w:sz w:val="22"/>
        </w:rPr>
        <w:t>Les visiteurs seront toujours accompagnés d'un membre autorisé de l’Entreprise ou d’un représentant du Maître d’Ouvrage délégué qui a suivi avec succès la formation d'orientation E3S et qui connaît bien les dangers spécifiques au site du projet, sa disposition, et les zones restreintes.</w:t>
      </w:r>
    </w:p>
    <w:p w14:paraId="7696FA1A" w14:textId="77777777" w:rsidR="009021F1" w:rsidRPr="007E3D1A" w:rsidRDefault="009021F1" w:rsidP="009021F1">
      <w:pPr>
        <w:rPr>
          <w:rFonts w:cs="Arial"/>
          <w:sz w:val="22"/>
        </w:rPr>
      </w:pPr>
    </w:p>
    <w:p w14:paraId="1905B268" w14:textId="77777777" w:rsidR="009021F1" w:rsidRPr="00871A3A" w:rsidRDefault="009021F1" w:rsidP="009021F1">
      <w:pPr>
        <w:rPr>
          <w:rFonts w:cs="Arial"/>
          <w:b/>
          <w:sz w:val="22"/>
        </w:rPr>
      </w:pPr>
      <w:r w:rsidRPr="00871A3A">
        <w:rPr>
          <w:rFonts w:cs="Arial"/>
          <w:b/>
          <w:sz w:val="22"/>
        </w:rPr>
        <w:t>Gestion des Installations et Chantiers</w:t>
      </w:r>
    </w:p>
    <w:p w14:paraId="0A99F61C" w14:textId="77777777" w:rsidR="009021F1" w:rsidRPr="007E3D1A" w:rsidRDefault="009021F1" w:rsidP="009021F1">
      <w:pPr>
        <w:rPr>
          <w:rFonts w:cs="Arial"/>
          <w:sz w:val="22"/>
        </w:rPr>
      </w:pPr>
    </w:p>
    <w:p w14:paraId="4F8337BC" w14:textId="77777777" w:rsidR="009021F1" w:rsidRPr="007E3D1A" w:rsidRDefault="009021F1" w:rsidP="009021F1">
      <w:pPr>
        <w:rPr>
          <w:rFonts w:cs="Arial"/>
          <w:sz w:val="22"/>
        </w:rPr>
      </w:pPr>
      <w:r w:rsidRPr="007E3D1A">
        <w:rPr>
          <w:rFonts w:cs="Arial"/>
          <w:sz w:val="22"/>
        </w:rPr>
        <w:t>Règles Générales</w:t>
      </w:r>
    </w:p>
    <w:p w14:paraId="77FDFD89" w14:textId="77777777" w:rsidR="009021F1" w:rsidRPr="007E3D1A" w:rsidRDefault="009021F1" w:rsidP="009021F1">
      <w:pPr>
        <w:rPr>
          <w:rFonts w:cs="Arial"/>
          <w:sz w:val="22"/>
        </w:rPr>
      </w:pPr>
    </w:p>
    <w:p w14:paraId="65F47398" w14:textId="77777777" w:rsidR="009021F1" w:rsidRPr="007E3D1A" w:rsidRDefault="009021F1" w:rsidP="009021F1">
      <w:pPr>
        <w:rPr>
          <w:rFonts w:cs="Arial"/>
          <w:sz w:val="22"/>
        </w:rPr>
      </w:pPr>
      <w:r w:rsidRPr="007E3D1A">
        <w:rPr>
          <w:rFonts w:cs="Arial"/>
          <w:sz w:val="22"/>
        </w:rPr>
        <w:t>L’Entreprise doit :</w:t>
      </w:r>
    </w:p>
    <w:p w14:paraId="6E036DC0" w14:textId="77777777" w:rsidR="009021F1" w:rsidRPr="00871A3A" w:rsidRDefault="009021F1" w:rsidP="009021F1">
      <w:pPr>
        <w:pStyle w:val="Paragraphedeliste"/>
        <w:numPr>
          <w:ilvl w:val="0"/>
          <w:numId w:val="69"/>
        </w:numPr>
        <w:autoSpaceDE w:val="0"/>
        <w:autoSpaceDN w:val="0"/>
        <w:adjustRightInd w:val="0"/>
        <w:rPr>
          <w:rFonts w:cs="Arial"/>
          <w:color w:val="000000"/>
          <w:sz w:val="22"/>
        </w:rPr>
      </w:pPr>
      <w:r w:rsidRPr="00871A3A">
        <w:rPr>
          <w:rFonts w:cs="Arial"/>
          <w:color w:val="000000"/>
          <w:sz w:val="22"/>
        </w:rPr>
        <w:t>Définir le périmètre d’utilité publique où les travaux sont susceptibles d’être menés, y compris les emprises des chantiers.  L’Entreprise peut aménager des zones secondaires pour le stationnement des engins qui ne sont pas autorisés à stationner sur la voie publique en dehors des heures de travail et de l’emprise des chantiers.  Ces zones peuvent comporter également un espace permettant les travaux de soudure, d’assemblage, de petit usinage, et de petit entretien d’engins, mais ne pourront pas stocker des hydrocarbures ;</w:t>
      </w:r>
    </w:p>
    <w:p w14:paraId="14964F4C" w14:textId="77777777" w:rsidR="009021F1" w:rsidRPr="00871A3A" w:rsidRDefault="009021F1" w:rsidP="009021F1">
      <w:pPr>
        <w:pStyle w:val="Paragraphedeliste"/>
        <w:numPr>
          <w:ilvl w:val="0"/>
          <w:numId w:val="69"/>
        </w:numPr>
        <w:autoSpaceDE w:val="0"/>
        <w:autoSpaceDN w:val="0"/>
        <w:adjustRightInd w:val="0"/>
        <w:rPr>
          <w:rFonts w:cs="Arial"/>
          <w:color w:val="000000"/>
          <w:sz w:val="22"/>
        </w:rPr>
      </w:pPr>
      <w:r w:rsidRPr="00871A3A">
        <w:rPr>
          <w:rFonts w:cs="Arial"/>
          <w:color w:val="000000"/>
          <w:sz w:val="22"/>
        </w:rPr>
        <w:t>Tout stockage de quelque nature que ce soit, est formellement interdit en dehors des emprises de chantiers et des zones prédéfinies ;</w:t>
      </w:r>
    </w:p>
    <w:p w14:paraId="656CC37D" w14:textId="77777777" w:rsidR="009021F1" w:rsidRPr="00871A3A" w:rsidRDefault="009021F1" w:rsidP="009021F1">
      <w:pPr>
        <w:pStyle w:val="Paragraphedeliste"/>
        <w:numPr>
          <w:ilvl w:val="0"/>
          <w:numId w:val="69"/>
        </w:numPr>
        <w:autoSpaceDE w:val="0"/>
        <w:autoSpaceDN w:val="0"/>
        <w:adjustRightInd w:val="0"/>
        <w:rPr>
          <w:rFonts w:cs="Arial"/>
          <w:color w:val="000000"/>
          <w:sz w:val="22"/>
        </w:rPr>
      </w:pPr>
      <w:r w:rsidRPr="00871A3A">
        <w:rPr>
          <w:rFonts w:cs="Arial"/>
          <w:color w:val="000000"/>
          <w:sz w:val="22"/>
        </w:rPr>
        <w:t>Obtenir tous les permis nécessaires pour réaliser les travaux prévus dans le contrat, y compris les autorisations délivrées par les collectivités locales, les services forestiers (en cas de déboisement, ou d’élagage), les services miniers (en cas d’exploitation de carrières et de sites d’emprunt), les services d’hydraulique (en cas d’utilisation de points d’eau), ou de l'inspection du travail ;</w:t>
      </w:r>
    </w:p>
    <w:p w14:paraId="18948B0C" w14:textId="77777777" w:rsidR="009021F1" w:rsidRPr="00871A3A" w:rsidRDefault="009021F1" w:rsidP="009021F1">
      <w:pPr>
        <w:pStyle w:val="Paragraphedeliste"/>
        <w:numPr>
          <w:ilvl w:val="0"/>
          <w:numId w:val="69"/>
        </w:numPr>
        <w:autoSpaceDE w:val="0"/>
        <w:autoSpaceDN w:val="0"/>
        <w:adjustRightInd w:val="0"/>
        <w:rPr>
          <w:rFonts w:cs="Arial"/>
          <w:color w:val="000000"/>
          <w:sz w:val="22"/>
        </w:rPr>
      </w:pPr>
      <w:r w:rsidRPr="00871A3A">
        <w:rPr>
          <w:rFonts w:cs="Arial"/>
          <w:color w:val="000000"/>
          <w:sz w:val="22"/>
        </w:rPr>
        <w:t>Débuter les travaux dans les emprises privées que lorsque celles-ci sont libérées suite à une procédure d’acquisition ; et</w:t>
      </w:r>
    </w:p>
    <w:p w14:paraId="15A70FC6" w14:textId="77777777" w:rsidR="009021F1" w:rsidRPr="00871A3A" w:rsidRDefault="009021F1" w:rsidP="009021F1">
      <w:pPr>
        <w:pStyle w:val="Paragraphedeliste"/>
        <w:numPr>
          <w:ilvl w:val="0"/>
          <w:numId w:val="69"/>
        </w:numPr>
        <w:autoSpaceDE w:val="0"/>
        <w:autoSpaceDN w:val="0"/>
        <w:adjustRightInd w:val="0"/>
        <w:rPr>
          <w:rFonts w:cs="Arial"/>
          <w:color w:val="000000"/>
          <w:sz w:val="22"/>
        </w:rPr>
      </w:pPr>
      <w:r w:rsidRPr="00871A3A">
        <w:rPr>
          <w:rFonts w:cs="Arial"/>
          <w:color w:val="000000"/>
          <w:sz w:val="22"/>
        </w:rPr>
        <w:t>Éviter de circuler en dehors de la zone d’utilité publique, et surtout éviter d’endommager toute bien, propriété, ou aménagement existant, y compris les bâtiments, les clôtures, les champs de cultures, et les mares d’abreuvement ;</w:t>
      </w:r>
    </w:p>
    <w:p w14:paraId="4514CC30" w14:textId="77777777" w:rsidR="009021F1" w:rsidRPr="00871A3A" w:rsidRDefault="009021F1" w:rsidP="009021F1">
      <w:pPr>
        <w:pStyle w:val="Paragraphedeliste"/>
        <w:numPr>
          <w:ilvl w:val="0"/>
          <w:numId w:val="69"/>
        </w:numPr>
        <w:autoSpaceDE w:val="0"/>
        <w:autoSpaceDN w:val="0"/>
        <w:adjustRightInd w:val="0"/>
        <w:rPr>
          <w:rFonts w:cs="Arial"/>
          <w:color w:val="000000"/>
          <w:sz w:val="22"/>
        </w:rPr>
      </w:pPr>
      <w:r w:rsidRPr="00871A3A">
        <w:rPr>
          <w:rFonts w:cs="Arial"/>
          <w:color w:val="000000"/>
          <w:sz w:val="22"/>
        </w:rPr>
        <w:t>Repérer les réseaux des concessionnaires (e.g., eau potable, électricité, téléphone, égouts) sur plan avant le démarrage des travaux, et formaliser ce repérage par un procès-verbal signé par toutes les parties (Entreprise, Maître d’Ouvrage délégué, concessionnaires) ;</w:t>
      </w:r>
    </w:p>
    <w:p w14:paraId="49EA1C30" w14:textId="77777777" w:rsidR="009021F1" w:rsidRPr="00871A3A" w:rsidRDefault="009021F1" w:rsidP="009021F1">
      <w:pPr>
        <w:pStyle w:val="Paragraphedeliste"/>
        <w:numPr>
          <w:ilvl w:val="0"/>
          <w:numId w:val="69"/>
        </w:numPr>
        <w:autoSpaceDE w:val="0"/>
        <w:autoSpaceDN w:val="0"/>
        <w:adjustRightInd w:val="0"/>
        <w:rPr>
          <w:rFonts w:cs="Arial"/>
          <w:color w:val="000000"/>
          <w:sz w:val="22"/>
        </w:rPr>
      </w:pPr>
      <w:r w:rsidRPr="00871A3A">
        <w:rPr>
          <w:rFonts w:cs="Arial"/>
          <w:color w:val="000000"/>
          <w:sz w:val="22"/>
        </w:rPr>
        <w:t>Maintenir un personnel en astreinte, tous les jours sans exception (samedi, dimanche, jours fériés), de jour comme de nuit pendant toute la durée du contrat, afin d’assurer la garde, la surveillance et le maintien en sécurité de ses chantiers et installations, et pour pallier à tout incident et/ou accident susceptible de se produire en relation avec ses activités.</w:t>
      </w:r>
    </w:p>
    <w:p w14:paraId="3548339B" w14:textId="77777777" w:rsidR="009021F1" w:rsidRPr="007E3D1A" w:rsidRDefault="009021F1" w:rsidP="009021F1">
      <w:pPr>
        <w:rPr>
          <w:rFonts w:cs="Arial"/>
          <w:sz w:val="22"/>
        </w:rPr>
      </w:pPr>
    </w:p>
    <w:p w14:paraId="2DF096CE" w14:textId="77777777" w:rsidR="009021F1" w:rsidRPr="00871A3A" w:rsidRDefault="009021F1" w:rsidP="009021F1">
      <w:pPr>
        <w:rPr>
          <w:rFonts w:cs="Arial"/>
          <w:b/>
          <w:sz w:val="22"/>
        </w:rPr>
      </w:pPr>
      <w:r w:rsidRPr="00871A3A">
        <w:rPr>
          <w:rFonts w:cs="Arial"/>
          <w:b/>
          <w:sz w:val="22"/>
        </w:rPr>
        <w:t>Localisation des Bases-vie</w:t>
      </w:r>
    </w:p>
    <w:p w14:paraId="01D619FB" w14:textId="77777777" w:rsidR="009021F1" w:rsidRPr="007E3D1A" w:rsidRDefault="009021F1" w:rsidP="009021F1">
      <w:pPr>
        <w:rPr>
          <w:rFonts w:cs="Arial"/>
          <w:sz w:val="22"/>
        </w:rPr>
      </w:pPr>
    </w:p>
    <w:p w14:paraId="0DAF6E0E" w14:textId="77777777" w:rsidR="009021F1" w:rsidRPr="007E3D1A" w:rsidRDefault="009021F1" w:rsidP="009021F1">
      <w:pPr>
        <w:rPr>
          <w:rFonts w:cs="Arial"/>
          <w:sz w:val="22"/>
        </w:rPr>
      </w:pPr>
      <w:r w:rsidRPr="007E3D1A">
        <w:rPr>
          <w:rFonts w:cs="Arial"/>
          <w:sz w:val="22"/>
        </w:rPr>
        <w:t>L’Entreprise doit :</w:t>
      </w:r>
    </w:p>
    <w:p w14:paraId="1E1DC796" w14:textId="77777777" w:rsidR="009021F1" w:rsidRPr="007E3D1A" w:rsidRDefault="009021F1" w:rsidP="009021F1">
      <w:pPr>
        <w:rPr>
          <w:rFonts w:cs="Arial"/>
          <w:sz w:val="22"/>
        </w:rPr>
      </w:pPr>
    </w:p>
    <w:p w14:paraId="777E8E52" w14:textId="77777777" w:rsidR="009021F1" w:rsidRPr="00871A3A" w:rsidRDefault="009021F1" w:rsidP="009021F1">
      <w:pPr>
        <w:pStyle w:val="Paragraphedeliste"/>
        <w:numPr>
          <w:ilvl w:val="0"/>
          <w:numId w:val="69"/>
        </w:numPr>
        <w:autoSpaceDE w:val="0"/>
        <w:autoSpaceDN w:val="0"/>
        <w:adjustRightInd w:val="0"/>
        <w:rPr>
          <w:rFonts w:cs="Arial"/>
          <w:color w:val="000000"/>
          <w:sz w:val="22"/>
        </w:rPr>
      </w:pPr>
      <w:r w:rsidRPr="00871A3A">
        <w:rPr>
          <w:rFonts w:cs="Arial"/>
          <w:color w:val="000000"/>
          <w:sz w:val="22"/>
        </w:rPr>
        <w:t>Consulter et négocier avec les parties prenantes locales avant de proposer un emplacement pour ses camps ;</w:t>
      </w:r>
    </w:p>
    <w:p w14:paraId="4D26CEE8" w14:textId="77777777" w:rsidR="009021F1" w:rsidRPr="00871A3A" w:rsidRDefault="009021F1" w:rsidP="009021F1">
      <w:pPr>
        <w:pStyle w:val="Paragraphedeliste"/>
        <w:numPr>
          <w:ilvl w:val="0"/>
          <w:numId w:val="69"/>
        </w:numPr>
        <w:autoSpaceDE w:val="0"/>
        <w:autoSpaceDN w:val="0"/>
        <w:adjustRightInd w:val="0"/>
        <w:rPr>
          <w:rFonts w:cs="Arial"/>
          <w:color w:val="000000"/>
          <w:sz w:val="22"/>
        </w:rPr>
      </w:pPr>
      <w:r w:rsidRPr="00871A3A">
        <w:rPr>
          <w:rFonts w:cs="Arial"/>
          <w:color w:val="000000"/>
          <w:sz w:val="22"/>
        </w:rPr>
        <w:t>Soumettre les emplacements proposés au Maître d’Ouvrage délégué pour approbation, y compris une justification de leur emplacement, ainsi que les mesures proposées pour atténuer les risques et les impacts environnementaux et sociaux autour du camp et pour renforcer les avantages sociaux.</w:t>
      </w:r>
    </w:p>
    <w:p w14:paraId="64DC8281" w14:textId="77777777" w:rsidR="009021F1" w:rsidRPr="007E3D1A" w:rsidRDefault="009021F1" w:rsidP="009021F1">
      <w:pPr>
        <w:rPr>
          <w:rFonts w:cs="Arial"/>
          <w:sz w:val="22"/>
        </w:rPr>
      </w:pPr>
    </w:p>
    <w:p w14:paraId="7A87821A" w14:textId="77777777" w:rsidR="009021F1" w:rsidRPr="00871A3A" w:rsidRDefault="009021F1" w:rsidP="009021F1">
      <w:pPr>
        <w:rPr>
          <w:rFonts w:cs="Arial"/>
          <w:b/>
          <w:sz w:val="22"/>
        </w:rPr>
      </w:pPr>
      <w:r w:rsidRPr="00871A3A">
        <w:rPr>
          <w:rFonts w:cs="Arial"/>
          <w:b/>
          <w:sz w:val="22"/>
        </w:rPr>
        <w:t>Signalisation</w:t>
      </w:r>
    </w:p>
    <w:p w14:paraId="3B970739" w14:textId="77777777" w:rsidR="009021F1" w:rsidRPr="007E3D1A" w:rsidRDefault="009021F1" w:rsidP="009021F1">
      <w:pPr>
        <w:rPr>
          <w:rFonts w:cs="Arial"/>
          <w:sz w:val="22"/>
        </w:rPr>
      </w:pPr>
    </w:p>
    <w:p w14:paraId="2BFCDF37" w14:textId="77777777" w:rsidR="009021F1" w:rsidRPr="007E3D1A" w:rsidRDefault="009021F1" w:rsidP="009021F1">
      <w:pPr>
        <w:rPr>
          <w:rFonts w:cs="Arial"/>
          <w:sz w:val="22"/>
        </w:rPr>
      </w:pPr>
      <w:r w:rsidRPr="007E3D1A">
        <w:rPr>
          <w:rFonts w:cs="Arial"/>
          <w:sz w:val="22"/>
        </w:rPr>
        <w:t>L’Entreprise doit :</w:t>
      </w:r>
    </w:p>
    <w:p w14:paraId="1F0BFBBA" w14:textId="77777777" w:rsidR="009021F1" w:rsidRPr="007E3D1A" w:rsidRDefault="009021F1" w:rsidP="009021F1">
      <w:pPr>
        <w:rPr>
          <w:rFonts w:cs="Arial"/>
          <w:sz w:val="22"/>
        </w:rPr>
      </w:pPr>
    </w:p>
    <w:p w14:paraId="29C4D1A2" w14:textId="77777777" w:rsidR="009021F1" w:rsidRPr="00871A3A" w:rsidRDefault="009021F1" w:rsidP="009021F1">
      <w:pPr>
        <w:pStyle w:val="Paragraphedeliste"/>
        <w:numPr>
          <w:ilvl w:val="0"/>
          <w:numId w:val="69"/>
        </w:numPr>
        <w:autoSpaceDE w:val="0"/>
        <w:autoSpaceDN w:val="0"/>
        <w:adjustRightInd w:val="0"/>
        <w:rPr>
          <w:rFonts w:cs="Arial"/>
          <w:color w:val="000000"/>
          <w:sz w:val="22"/>
        </w:rPr>
      </w:pPr>
      <w:r w:rsidRPr="00871A3A">
        <w:rPr>
          <w:rFonts w:cs="Arial"/>
          <w:color w:val="000000"/>
          <w:sz w:val="22"/>
        </w:rPr>
        <w:t>Placer, préalablement à l’ouverture des chantiers et chaque fois que de besoin, une pré-signalisation et une signalisation des chantiers à longue distance (sortie de carrières ou de bases-vie, circuit utilisé par les engins, etc.) qui réponde aux lois et règlements en vigueur, être conforme aux normes internationales, et être facilement comprise par les ouvriers, les visiteurs et le grand public, selon le cas ;</w:t>
      </w:r>
    </w:p>
    <w:p w14:paraId="7EAAFD21" w14:textId="77777777" w:rsidR="009021F1" w:rsidRPr="00871A3A" w:rsidRDefault="009021F1" w:rsidP="009021F1">
      <w:pPr>
        <w:pStyle w:val="Paragraphedeliste"/>
        <w:numPr>
          <w:ilvl w:val="0"/>
          <w:numId w:val="69"/>
        </w:numPr>
        <w:autoSpaceDE w:val="0"/>
        <w:autoSpaceDN w:val="0"/>
        <w:adjustRightInd w:val="0"/>
        <w:rPr>
          <w:rFonts w:cs="Arial"/>
          <w:color w:val="000000"/>
          <w:sz w:val="22"/>
        </w:rPr>
      </w:pPr>
      <w:r w:rsidRPr="00871A3A">
        <w:rPr>
          <w:rFonts w:cs="Arial"/>
          <w:color w:val="000000"/>
          <w:sz w:val="22"/>
        </w:rPr>
        <w:t>Interdire l’accès des chantiers par le public, les protéger par des balises et des panneaux de signalisation, indiquer les différents accès, et prendre toutes les mesures d’ordre et de sécurité propres à éviter les accidents.</w:t>
      </w:r>
    </w:p>
    <w:p w14:paraId="00BDCD8F" w14:textId="77777777" w:rsidR="009021F1" w:rsidRPr="007E3D1A" w:rsidRDefault="009021F1" w:rsidP="009021F1">
      <w:pPr>
        <w:rPr>
          <w:rFonts w:cs="Arial"/>
          <w:sz w:val="22"/>
        </w:rPr>
      </w:pPr>
    </w:p>
    <w:p w14:paraId="0C839017" w14:textId="77777777" w:rsidR="009021F1" w:rsidRPr="00871A3A" w:rsidRDefault="009021F1" w:rsidP="009021F1">
      <w:pPr>
        <w:rPr>
          <w:rFonts w:cs="Arial"/>
          <w:b/>
          <w:sz w:val="22"/>
        </w:rPr>
      </w:pPr>
      <w:r w:rsidRPr="00871A3A">
        <w:rPr>
          <w:rFonts w:cs="Arial"/>
          <w:b/>
          <w:sz w:val="22"/>
        </w:rPr>
        <w:t>Gestion des paysages établis</w:t>
      </w:r>
    </w:p>
    <w:p w14:paraId="2E3B6B1E" w14:textId="77777777" w:rsidR="009021F1" w:rsidRPr="007E3D1A" w:rsidRDefault="009021F1" w:rsidP="009021F1">
      <w:pPr>
        <w:rPr>
          <w:rFonts w:cs="Arial"/>
          <w:sz w:val="22"/>
        </w:rPr>
      </w:pPr>
    </w:p>
    <w:p w14:paraId="38893C0C" w14:textId="77777777" w:rsidR="009021F1" w:rsidRPr="007E3D1A" w:rsidRDefault="009021F1" w:rsidP="009021F1">
      <w:pPr>
        <w:rPr>
          <w:rFonts w:cs="Arial"/>
          <w:sz w:val="22"/>
        </w:rPr>
      </w:pPr>
      <w:r w:rsidRPr="007E3D1A">
        <w:rPr>
          <w:rFonts w:cs="Arial"/>
          <w:sz w:val="22"/>
        </w:rPr>
        <w:t>Afin de préserver le paysage naturel, l’Entreprise doit :</w:t>
      </w:r>
    </w:p>
    <w:p w14:paraId="03D167E6" w14:textId="77777777" w:rsidR="009021F1" w:rsidRPr="007E3D1A" w:rsidRDefault="009021F1" w:rsidP="009021F1">
      <w:pPr>
        <w:rPr>
          <w:rFonts w:cs="Arial"/>
          <w:sz w:val="22"/>
        </w:rPr>
      </w:pPr>
    </w:p>
    <w:p w14:paraId="138BA1F2" w14:textId="77777777" w:rsidR="009021F1" w:rsidRPr="00871A3A" w:rsidRDefault="009021F1" w:rsidP="009021F1">
      <w:pPr>
        <w:pStyle w:val="Paragraphedeliste"/>
        <w:numPr>
          <w:ilvl w:val="0"/>
          <w:numId w:val="69"/>
        </w:numPr>
        <w:autoSpaceDE w:val="0"/>
        <w:autoSpaceDN w:val="0"/>
        <w:adjustRightInd w:val="0"/>
        <w:rPr>
          <w:rFonts w:cs="Arial"/>
          <w:color w:val="000000"/>
          <w:sz w:val="22"/>
        </w:rPr>
      </w:pPr>
      <w:r w:rsidRPr="00871A3A">
        <w:rPr>
          <w:rFonts w:cs="Arial"/>
          <w:color w:val="000000"/>
          <w:sz w:val="22"/>
        </w:rPr>
        <w:t>Mener les travaux de manière à éviter toute destruction, cicatrisation ou dégradation inutile de l'environnement naturel ;</w:t>
      </w:r>
    </w:p>
    <w:p w14:paraId="6ED08E03" w14:textId="77777777" w:rsidR="009021F1" w:rsidRPr="00871A3A" w:rsidRDefault="009021F1" w:rsidP="009021F1">
      <w:pPr>
        <w:pStyle w:val="Paragraphedeliste"/>
        <w:numPr>
          <w:ilvl w:val="0"/>
          <w:numId w:val="69"/>
        </w:numPr>
        <w:autoSpaceDE w:val="0"/>
        <w:autoSpaceDN w:val="0"/>
        <w:adjustRightInd w:val="0"/>
        <w:rPr>
          <w:rFonts w:cs="Arial"/>
          <w:color w:val="000000"/>
          <w:sz w:val="22"/>
        </w:rPr>
      </w:pPr>
      <w:r w:rsidRPr="00871A3A">
        <w:rPr>
          <w:rFonts w:cs="Arial"/>
          <w:color w:val="000000"/>
          <w:sz w:val="22"/>
        </w:rPr>
        <w:t>Limiter les aménagements temporaires, tels que les aires d’entreposage et de stationnement, ou les chemins de contournement ou de travail, et surtout éviter de combler les mares temporaires existantes ;</w:t>
      </w:r>
    </w:p>
    <w:p w14:paraId="51E505C5" w14:textId="77777777" w:rsidR="009021F1" w:rsidRPr="00871A3A" w:rsidRDefault="009021F1" w:rsidP="009021F1">
      <w:pPr>
        <w:pStyle w:val="Paragraphedeliste"/>
        <w:numPr>
          <w:ilvl w:val="0"/>
          <w:numId w:val="69"/>
        </w:numPr>
        <w:autoSpaceDE w:val="0"/>
        <w:autoSpaceDN w:val="0"/>
        <w:adjustRightInd w:val="0"/>
        <w:rPr>
          <w:rFonts w:cs="Arial"/>
          <w:color w:val="000000"/>
          <w:sz w:val="22"/>
        </w:rPr>
      </w:pPr>
      <w:r w:rsidRPr="00871A3A">
        <w:rPr>
          <w:rFonts w:cs="Arial"/>
          <w:color w:val="000000"/>
          <w:sz w:val="22"/>
        </w:rPr>
        <w:t>Construire ses installations temporaires de façon à déranger le moins possible l’environnement, de préférence dans des endroits déjà déboisés ou perturbés lorsque de tels sites existent, ou sur des sites qui seront réutilisés lors d’une phase ultérieure pour d’autres fins ;</w:t>
      </w:r>
    </w:p>
    <w:p w14:paraId="5A1B39FF" w14:textId="77777777" w:rsidR="009021F1" w:rsidRPr="00871A3A" w:rsidRDefault="009021F1" w:rsidP="009021F1">
      <w:pPr>
        <w:pStyle w:val="Paragraphedeliste"/>
        <w:numPr>
          <w:ilvl w:val="0"/>
          <w:numId w:val="69"/>
        </w:numPr>
        <w:autoSpaceDE w:val="0"/>
        <w:autoSpaceDN w:val="0"/>
        <w:adjustRightInd w:val="0"/>
        <w:rPr>
          <w:rFonts w:cs="Arial"/>
          <w:color w:val="000000"/>
          <w:sz w:val="22"/>
        </w:rPr>
      </w:pPr>
      <w:r w:rsidRPr="00871A3A">
        <w:rPr>
          <w:rFonts w:cs="Arial"/>
          <w:color w:val="000000"/>
          <w:sz w:val="22"/>
        </w:rPr>
        <w:t>Strictement éviter toute activité ou implantation dans une aire protégée, ou un habitat naturel critique au sens de la NES 6 de la Banque mondiale ;</w:t>
      </w:r>
    </w:p>
    <w:p w14:paraId="618CC6E6" w14:textId="77777777" w:rsidR="009021F1" w:rsidRPr="00871A3A" w:rsidRDefault="009021F1" w:rsidP="009021F1">
      <w:pPr>
        <w:pStyle w:val="Paragraphedeliste"/>
        <w:numPr>
          <w:ilvl w:val="0"/>
          <w:numId w:val="69"/>
        </w:numPr>
        <w:autoSpaceDE w:val="0"/>
        <w:autoSpaceDN w:val="0"/>
        <w:adjustRightInd w:val="0"/>
        <w:rPr>
          <w:rFonts w:cs="Arial"/>
          <w:color w:val="000000"/>
          <w:sz w:val="22"/>
        </w:rPr>
      </w:pPr>
      <w:r w:rsidRPr="00871A3A">
        <w:rPr>
          <w:rFonts w:cs="Arial"/>
          <w:color w:val="000000"/>
          <w:sz w:val="22"/>
        </w:rPr>
        <w:t>Protéger tous les arbres et la végétation contre les dommages causés par les travaux de construction et les équipements de l’Entreprise, sauf lorsque le défrichement est nécessaire et convenu pour des travaux permanents, des routes de construction approuvées, ou des opérations d'excavation ;</w:t>
      </w:r>
    </w:p>
    <w:p w14:paraId="70B74888" w14:textId="77777777" w:rsidR="009021F1" w:rsidRPr="00871A3A" w:rsidRDefault="009021F1" w:rsidP="009021F1">
      <w:pPr>
        <w:pStyle w:val="Paragraphedeliste"/>
        <w:numPr>
          <w:ilvl w:val="0"/>
          <w:numId w:val="69"/>
        </w:numPr>
        <w:autoSpaceDE w:val="0"/>
        <w:autoSpaceDN w:val="0"/>
        <w:adjustRightInd w:val="0"/>
        <w:rPr>
          <w:rFonts w:cs="Arial"/>
          <w:color w:val="000000"/>
          <w:sz w:val="22"/>
        </w:rPr>
      </w:pPr>
      <w:r w:rsidRPr="00871A3A">
        <w:rPr>
          <w:rFonts w:cs="Arial"/>
          <w:color w:val="000000"/>
          <w:sz w:val="22"/>
        </w:rPr>
        <w:t>Limiter au strict minimum le décapage, le déblaiement, le remblayage et le nivellement des aires de travail afin de respecter la topographie naturelle et de prévenir l’érosion ;</w:t>
      </w:r>
    </w:p>
    <w:p w14:paraId="42668796" w14:textId="77777777" w:rsidR="009021F1" w:rsidRPr="00871A3A" w:rsidRDefault="009021F1" w:rsidP="009021F1">
      <w:pPr>
        <w:pStyle w:val="Paragraphedeliste"/>
        <w:numPr>
          <w:ilvl w:val="0"/>
          <w:numId w:val="69"/>
        </w:numPr>
        <w:autoSpaceDE w:val="0"/>
        <w:autoSpaceDN w:val="0"/>
        <w:adjustRightInd w:val="0"/>
        <w:rPr>
          <w:rFonts w:cs="Arial"/>
          <w:color w:val="000000"/>
          <w:sz w:val="22"/>
        </w:rPr>
      </w:pPr>
      <w:r w:rsidRPr="00871A3A">
        <w:rPr>
          <w:rFonts w:cs="Arial"/>
          <w:color w:val="000000"/>
          <w:sz w:val="22"/>
        </w:rPr>
        <w:t>En cas de déboisement, découper et stocker les arbres abattus à des endroits agréés par le Maître d’Ouvrage délégué, et informer les populations riveraines de la possibilité de disposer de ce bois à leur convenance ;</w:t>
      </w:r>
    </w:p>
    <w:p w14:paraId="726C5AD5" w14:textId="77777777" w:rsidR="009021F1" w:rsidRPr="00871A3A" w:rsidRDefault="009021F1" w:rsidP="009021F1">
      <w:pPr>
        <w:pStyle w:val="Paragraphedeliste"/>
        <w:numPr>
          <w:ilvl w:val="0"/>
          <w:numId w:val="69"/>
        </w:numPr>
        <w:autoSpaceDE w:val="0"/>
        <w:autoSpaceDN w:val="0"/>
        <w:adjustRightInd w:val="0"/>
        <w:rPr>
          <w:rFonts w:cs="Arial"/>
          <w:color w:val="000000"/>
          <w:sz w:val="22"/>
        </w:rPr>
      </w:pPr>
      <w:r w:rsidRPr="00871A3A">
        <w:rPr>
          <w:rFonts w:cs="Arial"/>
          <w:color w:val="000000"/>
          <w:sz w:val="22"/>
        </w:rPr>
        <w:t>Les arbres abattus ne doivent pas être abandonnés sur place, ni brûlés ni enfouis sous les matériaux de terrassement ;</w:t>
      </w:r>
    </w:p>
    <w:p w14:paraId="41E5994F" w14:textId="77777777" w:rsidR="009021F1" w:rsidRPr="00871A3A" w:rsidRDefault="009021F1" w:rsidP="009021F1">
      <w:pPr>
        <w:pStyle w:val="Paragraphedeliste"/>
        <w:numPr>
          <w:ilvl w:val="0"/>
          <w:numId w:val="69"/>
        </w:numPr>
        <w:autoSpaceDE w:val="0"/>
        <w:autoSpaceDN w:val="0"/>
        <w:adjustRightInd w:val="0"/>
        <w:rPr>
          <w:rFonts w:cs="Arial"/>
          <w:color w:val="000000"/>
          <w:sz w:val="22"/>
        </w:rPr>
      </w:pPr>
      <w:r w:rsidRPr="00871A3A">
        <w:rPr>
          <w:rFonts w:cs="Arial"/>
          <w:color w:val="000000"/>
          <w:sz w:val="22"/>
        </w:rPr>
        <w:t>Après le décapage de la couche de sol arable, extraire et mettre en réserve la terre végétale et l’utiliser pour le réaménagement des talus et autres surfaces perturbées ;</w:t>
      </w:r>
    </w:p>
    <w:p w14:paraId="20375653" w14:textId="77777777" w:rsidR="009021F1" w:rsidRPr="00871A3A" w:rsidRDefault="009021F1" w:rsidP="009021F1">
      <w:pPr>
        <w:pStyle w:val="Paragraphedeliste"/>
        <w:numPr>
          <w:ilvl w:val="0"/>
          <w:numId w:val="69"/>
        </w:numPr>
        <w:autoSpaceDE w:val="0"/>
        <w:autoSpaceDN w:val="0"/>
        <w:adjustRightInd w:val="0"/>
        <w:rPr>
          <w:rFonts w:cs="Arial"/>
          <w:color w:val="000000"/>
          <w:sz w:val="22"/>
        </w:rPr>
      </w:pPr>
      <w:r w:rsidRPr="00871A3A">
        <w:rPr>
          <w:rFonts w:cs="Arial"/>
          <w:color w:val="000000"/>
          <w:sz w:val="22"/>
        </w:rPr>
        <w:t>Revégétaliser les zones endommagées à l'achèvement des travaux et, pour les zones qui ne peuvent pas être revégétalisées, scarifier la zone de travail de manière à faciliter la revégétalisation naturelle, à assurer un drainage adéquat et à prévenir l'érosion ;</w:t>
      </w:r>
    </w:p>
    <w:p w14:paraId="05F773D7" w14:textId="77777777" w:rsidR="009021F1" w:rsidRPr="00871A3A" w:rsidRDefault="009021F1" w:rsidP="009021F1">
      <w:pPr>
        <w:pStyle w:val="Paragraphedeliste"/>
        <w:numPr>
          <w:ilvl w:val="0"/>
          <w:numId w:val="69"/>
        </w:numPr>
        <w:autoSpaceDE w:val="0"/>
        <w:autoSpaceDN w:val="0"/>
        <w:adjustRightInd w:val="0"/>
        <w:rPr>
          <w:rFonts w:cs="Arial"/>
          <w:color w:val="000000"/>
          <w:sz w:val="22"/>
        </w:rPr>
      </w:pPr>
      <w:r w:rsidRPr="00871A3A">
        <w:rPr>
          <w:rFonts w:cs="Arial"/>
          <w:color w:val="000000"/>
          <w:sz w:val="22"/>
        </w:rPr>
        <w:t>Utiliser, dans la mesure du possible, des espèces locales appropriées pour revégétaliser, et éviter les espèces répertoriées comme nuisibles ou l’introduction de nouvelles espèces sans l’avis des services forestiers ;</w:t>
      </w:r>
    </w:p>
    <w:p w14:paraId="0123AFBD" w14:textId="77777777" w:rsidR="009021F1" w:rsidRPr="00871A3A" w:rsidRDefault="009021F1" w:rsidP="009021F1">
      <w:pPr>
        <w:pStyle w:val="Paragraphedeliste"/>
        <w:numPr>
          <w:ilvl w:val="0"/>
          <w:numId w:val="69"/>
        </w:numPr>
        <w:autoSpaceDE w:val="0"/>
        <w:autoSpaceDN w:val="0"/>
        <w:adjustRightInd w:val="0"/>
        <w:rPr>
          <w:rFonts w:cs="Arial"/>
          <w:color w:val="000000"/>
          <w:sz w:val="22"/>
        </w:rPr>
      </w:pPr>
      <w:r w:rsidRPr="00871A3A">
        <w:rPr>
          <w:rFonts w:cs="Arial"/>
          <w:color w:val="000000"/>
          <w:sz w:val="22"/>
        </w:rPr>
        <w:t>Réparer, replanter, réensemencer ou corriger de toute autre manière, selon les instructions du Maître d’Ouvrage délégué, et aux frais de la société de projet, toute destruction, cicatrisation, dommage ou dégradation inutile du paysage résultant des activités de l’Entreprise ;</w:t>
      </w:r>
    </w:p>
    <w:p w14:paraId="511994B7" w14:textId="77777777" w:rsidR="009021F1" w:rsidRPr="00871A3A" w:rsidRDefault="009021F1" w:rsidP="009021F1">
      <w:pPr>
        <w:pStyle w:val="Paragraphedeliste"/>
        <w:numPr>
          <w:ilvl w:val="0"/>
          <w:numId w:val="69"/>
        </w:numPr>
        <w:autoSpaceDE w:val="0"/>
        <w:autoSpaceDN w:val="0"/>
        <w:adjustRightInd w:val="0"/>
        <w:rPr>
          <w:rFonts w:cs="Arial"/>
          <w:color w:val="000000"/>
          <w:sz w:val="22"/>
        </w:rPr>
      </w:pPr>
      <w:r w:rsidRPr="00871A3A">
        <w:rPr>
          <w:rFonts w:cs="Arial"/>
          <w:color w:val="000000"/>
          <w:sz w:val="22"/>
        </w:rPr>
        <w:t>Prévenir les feux de brousse sur l’étendue de ses travaux, ainsi que sur ses installations, conformément aux instructions, lois et règlements édictés par les autorités compétentes.</w:t>
      </w:r>
    </w:p>
    <w:p w14:paraId="5D6B0D04" w14:textId="77777777" w:rsidR="009021F1" w:rsidRPr="00871A3A" w:rsidRDefault="009021F1" w:rsidP="009021F1">
      <w:pPr>
        <w:pStyle w:val="Paragraphedeliste"/>
        <w:numPr>
          <w:ilvl w:val="0"/>
          <w:numId w:val="69"/>
        </w:numPr>
        <w:autoSpaceDE w:val="0"/>
        <w:autoSpaceDN w:val="0"/>
        <w:adjustRightInd w:val="0"/>
        <w:rPr>
          <w:rFonts w:cs="Arial"/>
          <w:color w:val="000000"/>
          <w:sz w:val="22"/>
        </w:rPr>
      </w:pPr>
      <w:r w:rsidRPr="00871A3A">
        <w:rPr>
          <w:rFonts w:cs="Arial"/>
          <w:color w:val="000000"/>
          <w:sz w:val="22"/>
        </w:rPr>
        <w:t>Tenir compte du calendrier des travaux afin de limiter les perturbations des activités agricoles (semences, récoltes) ; et</w:t>
      </w:r>
    </w:p>
    <w:p w14:paraId="6EDF4444" w14:textId="77777777" w:rsidR="009021F1" w:rsidRPr="00871A3A" w:rsidRDefault="009021F1" w:rsidP="009021F1">
      <w:pPr>
        <w:pStyle w:val="Paragraphedeliste"/>
        <w:numPr>
          <w:ilvl w:val="0"/>
          <w:numId w:val="69"/>
        </w:numPr>
        <w:autoSpaceDE w:val="0"/>
        <w:autoSpaceDN w:val="0"/>
        <w:adjustRightInd w:val="0"/>
        <w:rPr>
          <w:rFonts w:cs="Arial"/>
          <w:color w:val="000000"/>
          <w:sz w:val="22"/>
        </w:rPr>
      </w:pPr>
      <w:r w:rsidRPr="00871A3A">
        <w:rPr>
          <w:rFonts w:cs="Arial"/>
          <w:color w:val="000000"/>
          <w:sz w:val="22"/>
        </w:rPr>
        <w:t>Identifier et éviter, en consultation avec les populations riveraines, les passages pour les animaux, le bétail et les personnes.</w:t>
      </w:r>
    </w:p>
    <w:p w14:paraId="064AE18A" w14:textId="77777777" w:rsidR="009021F1" w:rsidRPr="00871A3A" w:rsidRDefault="009021F1" w:rsidP="009021F1">
      <w:pPr>
        <w:rPr>
          <w:rFonts w:cs="Arial"/>
          <w:b/>
          <w:sz w:val="22"/>
        </w:rPr>
      </w:pPr>
      <w:r w:rsidRPr="00871A3A">
        <w:rPr>
          <w:rFonts w:cs="Arial"/>
          <w:b/>
          <w:sz w:val="22"/>
        </w:rPr>
        <w:t>Procédure en cas de découverte fortuite</w:t>
      </w:r>
    </w:p>
    <w:p w14:paraId="01BB0FED" w14:textId="77777777" w:rsidR="009021F1" w:rsidRPr="007E3D1A" w:rsidRDefault="009021F1" w:rsidP="009021F1">
      <w:pPr>
        <w:rPr>
          <w:rFonts w:cs="Arial"/>
          <w:sz w:val="22"/>
        </w:rPr>
      </w:pPr>
    </w:p>
    <w:p w14:paraId="005EB1B2" w14:textId="77777777" w:rsidR="009021F1" w:rsidRPr="007E3D1A" w:rsidRDefault="009021F1" w:rsidP="009021F1">
      <w:pPr>
        <w:rPr>
          <w:rFonts w:cs="Arial"/>
          <w:sz w:val="22"/>
        </w:rPr>
      </w:pPr>
      <w:r w:rsidRPr="007E3D1A">
        <w:rPr>
          <w:rFonts w:cs="Arial"/>
          <w:sz w:val="22"/>
        </w:rPr>
        <w:t>Pour les projets de génie civil comportant des travaux d’excavation, des procédures sont normalement prévues en cas de « découverte fortuite</w:t>
      </w:r>
      <w:r w:rsidRPr="007E3D1A">
        <w:rPr>
          <w:rFonts w:cs="Arial"/>
          <w:sz w:val="22"/>
        </w:rPr>
        <w:footnoteReference w:id="47"/>
      </w:r>
      <w:r w:rsidRPr="007E3D1A">
        <w:rPr>
          <w:rFonts w:cs="Arial"/>
          <w:sz w:val="22"/>
        </w:rPr>
        <w:t xml:space="preserve"> » de biens culturels physiques enfouis. </w:t>
      </w:r>
    </w:p>
    <w:p w14:paraId="4BD3AECA" w14:textId="77777777" w:rsidR="009021F1" w:rsidRPr="007E3D1A" w:rsidRDefault="009021F1" w:rsidP="009021F1">
      <w:pPr>
        <w:rPr>
          <w:rFonts w:cs="Arial"/>
          <w:sz w:val="22"/>
        </w:rPr>
      </w:pPr>
      <w:r w:rsidRPr="007E3D1A">
        <w:rPr>
          <w:rFonts w:cs="Arial"/>
          <w:sz w:val="22"/>
        </w:rPr>
        <w:t>Les procédures arrêtées dépendent du cadre réglementaire locale qui tient compte notamment des dispositions législatives applicables à la découverte fortuite d’antiquité sous de biens archéologiques.</w:t>
      </w:r>
    </w:p>
    <w:p w14:paraId="12E563E8" w14:textId="77777777" w:rsidR="009021F1" w:rsidRPr="007E3D1A" w:rsidRDefault="009021F1" w:rsidP="009021F1">
      <w:pPr>
        <w:rPr>
          <w:rFonts w:cs="Arial"/>
          <w:sz w:val="22"/>
        </w:rPr>
      </w:pPr>
    </w:p>
    <w:p w14:paraId="05366D6A" w14:textId="77777777" w:rsidR="009021F1" w:rsidRPr="007E3D1A" w:rsidRDefault="009021F1" w:rsidP="009021F1">
      <w:pPr>
        <w:rPr>
          <w:rFonts w:cs="Arial"/>
          <w:sz w:val="22"/>
        </w:rPr>
      </w:pPr>
      <w:r w:rsidRPr="007E3D1A">
        <w:rPr>
          <w:rFonts w:cs="Arial"/>
          <w:sz w:val="22"/>
        </w:rPr>
        <w:t>Note : Les recommandations générales ci-après s’appliquent aux situations dans lesquelles il sera fait appel à un archéologue. Dans les situations exceptionnelles où les travaux d’excavation sont effectués dans des régions riches en biens culturels physiques, comme un site du patrimoine mondial de l’UNESCO, un archéologue est généralement présent sur place pour surveiller les fouilles et prendre les décisions qui s’imposent. Dans ce cas, les procédures doivent être modifiées en conséquence, avec l’accord des autorités chargées des questions culturelles.</w:t>
      </w:r>
    </w:p>
    <w:p w14:paraId="14101C7B" w14:textId="77777777" w:rsidR="009021F1" w:rsidRPr="007E3D1A" w:rsidRDefault="009021F1" w:rsidP="009021F1">
      <w:pPr>
        <w:rPr>
          <w:rFonts w:cs="Arial"/>
          <w:sz w:val="22"/>
        </w:rPr>
      </w:pPr>
    </w:p>
    <w:p w14:paraId="49214B29" w14:textId="77777777" w:rsidR="009021F1" w:rsidRPr="007E3D1A" w:rsidRDefault="009021F1" w:rsidP="009021F1">
      <w:pPr>
        <w:rPr>
          <w:rFonts w:cs="Arial"/>
          <w:sz w:val="22"/>
        </w:rPr>
      </w:pPr>
      <w:r w:rsidRPr="007E3D1A">
        <w:rPr>
          <w:rFonts w:cs="Arial"/>
          <w:sz w:val="22"/>
        </w:rPr>
        <w:t>Les procédures applicables aux découvertes fortuites comprennent généralement les éléments ci-après :</w:t>
      </w:r>
    </w:p>
    <w:p w14:paraId="1D4D51BE" w14:textId="77777777" w:rsidR="009021F1" w:rsidRPr="007E3D1A" w:rsidRDefault="009021F1" w:rsidP="009021F1">
      <w:pPr>
        <w:rPr>
          <w:rFonts w:cs="Arial"/>
          <w:sz w:val="22"/>
        </w:rPr>
      </w:pPr>
    </w:p>
    <w:p w14:paraId="3A45A470" w14:textId="77777777" w:rsidR="009021F1" w:rsidRPr="007E3D1A" w:rsidRDefault="009021F1" w:rsidP="009021F1">
      <w:pPr>
        <w:rPr>
          <w:rFonts w:cs="Arial"/>
          <w:sz w:val="22"/>
        </w:rPr>
      </w:pPr>
      <w:r w:rsidRPr="007E3D1A">
        <w:rPr>
          <w:rFonts w:cs="Arial"/>
          <w:sz w:val="22"/>
        </w:rPr>
        <w:t>Définition des biens culturels physiques</w:t>
      </w:r>
    </w:p>
    <w:p w14:paraId="1CC2424B" w14:textId="77777777" w:rsidR="009021F1" w:rsidRPr="007E3D1A" w:rsidRDefault="009021F1" w:rsidP="009021F1">
      <w:pPr>
        <w:rPr>
          <w:rFonts w:cs="Arial"/>
          <w:sz w:val="22"/>
        </w:rPr>
      </w:pPr>
    </w:p>
    <w:p w14:paraId="6375F669" w14:textId="77777777" w:rsidR="009021F1" w:rsidRPr="007E3D1A" w:rsidRDefault="009021F1" w:rsidP="009021F1">
      <w:pPr>
        <w:rPr>
          <w:rFonts w:cs="Arial"/>
          <w:sz w:val="22"/>
        </w:rPr>
      </w:pPr>
      <w:r w:rsidRPr="007E3D1A">
        <w:rPr>
          <w:rFonts w:cs="Arial"/>
          <w:sz w:val="22"/>
        </w:rPr>
        <w:t>Les biens culturels physiques sont définis comme : « objets mobiliers ou immobiliers, sites, ouvrages ou groupes d’ouvrages ayant une valeur archéologique, paléontologique, historique, architecturale, religieuse, esthétique ou autre ».</w:t>
      </w:r>
    </w:p>
    <w:p w14:paraId="3F7AF8B4" w14:textId="77777777" w:rsidR="009021F1" w:rsidRPr="007E3D1A" w:rsidRDefault="009021F1" w:rsidP="009021F1">
      <w:pPr>
        <w:rPr>
          <w:rFonts w:cs="Arial"/>
          <w:sz w:val="22"/>
        </w:rPr>
      </w:pPr>
    </w:p>
    <w:p w14:paraId="6BA3F412" w14:textId="77777777" w:rsidR="009021F1" w:rsidRPr="00871A3A" w:rsidRDefault="009021F1" w:rsidP="009021F1">
      <w:pPr>
        <w:rPr>
          <w:rFonts w:cs="Arial"/>
          <w:i/>
          <w:sz w:val="22"/>
        </w:rPr>
      </w:pPr>
      <w:r w:rsidRPr="00871A3A">
        <w:rPr>
          <w:rFonts w:cs="Arial"/>
          <w:i/>
          <w:sz w:val="22"/>
        </w:rPr>
        <w:t>Propriété</w:t>
      </w:r>
    </w:p>
    <w:p w14:paraId="0BD738D9" w14:textId="77777777" w:rsidR="009021F1" w:rsidRPr="007E3D1A" w:rsidRDefault="009021F1" w:rsidP="009021F1">
      <w:pPr>
        <w:rPr>
          <w:rFonts w:cs="Arial"/>
          <w:sz w:val="22"/>
        </w:rPr>
      </w:pPr>
    </w:p>
    <w:p w14:paraId="5AAC9C4C" w14:textId="77777777" w:rsidR="009021F1" w:rsidRPr="007E3D1A" w:rsidRDefault="009021F1" w:rsidP="009021F1">
      <w:pPr>
        <w:rPr>
          <w:rFonts w:cs="Arial"/>
          <w:sz w:val="22"/>
        </w:rPr>
      </w:pPr>
      <w:r w:rsidRPr="007E3D1A">
        <w:rPr>
          <w:rFonts w:cs="Arial"/>
          <w:sz w:val="22"/>
        </w:rPr>
        <w:t>Selon les circonstances, une propriété peut être l’administration locale, l’État, une institution religieuse ou le propriétaire du site. Il arrive également que l’identité du propriétaire soit déterminée ultérieurement par les autorités compétentes.</w:t>
      </w:r>
    </w:p>
    <w:p w14:paraId="2AF4E3AE" w14:textId="77777777" w:rsidR="009021F1" w:rsidRPr="007E3D1A" w:rsidRDefault="009021F1" w:rsidP="009021F1">
      <w:pPr>
        <w:rPr>
          <w:rFonts w:cs="Arial"/>
          <w:sz w:val="22"/>
        </w:rPr>
      </w:pPr>
    </w:p>
    <w:p w14:paraId="0FCF5C69" w14:textId="77777777" w:rsidR="009021F1" w:rsidRPr="00871A3A" w:rsidRDefault="009021F1" w:rsidP="009021F1">
      <w:pPr>
        <w:rPr>
          <w:rFonts w:cs="Arial"/>
          <w:i/>
          <w:sz w:val="22"/>
        </w:rPr>
      </w:pPr>
      <w:r w:rsidRPr="00871A3A">
        <w:rPr>
          <w:rFonts w:cs="Arial"/>
          <w:i/>
          <w:sz w:val="22"/>
        </w:rPr>
        <w:t>Reconnaissance</w:t>
      </w:r>
    </w:p>
    <w:p w14:paraId="2118E597" w14:textId="77777777" w:rsidR="009021F1" w:rsidRPr="007E3D1A" w:rsidRDefault="009021F1" w:rsidP="009021F1">
      <w:pPr>
        <w:rPr>
          <w:rFonts w:cs="Arial"/>
          <w:sz w:val="22"/>
        </w:rPr>
      </w:pPr>
    </w:p>
    <w:p w14:paraId="532C833B" w14:textId="77777777" w:rsidR="009021F1" w:rsidRPr="007E3D1A" w:rsidRDefault="009021F1" w:rsidP="009021F1">
      <w:pPr>
        <w:rPr>
          <w:rFonts w:cs="Arial"/>
          <w:sz w:val="22"/>
        </w:rPr>
      </w:pPr>
      <w:r w:rsidRPr="007E3D1A">
        <w:rPr>
          <w:rFonts w:cs="Arial"/>
          <w:sz w:val="22"/>
        </w:rPr>
        <w:t>C’est la manière avec laquelle l’entreprise reconnaîtra un bien culturel physique n’est pas spécifiée et l’entreprise peut exiger une clause limitative de responsabilité.</w:t>
      </w:r>
    </w:p>
    <w:p w14:paraId="6DB3632B" w14:textId="77777777" w:rsidR="009021F1" w:rsidRPr="007E3D1A" w:rsidRDefault="009021F1" w:rsidP="009021F1">
      <w:pPr>
        <w:rPr>
          <w:rFonts w:cs="Arial"/>
          <w:sz w:val="22"/>
        </w:rPr>
      </w:pPr>
    </w:p>
    <w:p w14:paraId="15F068AD" w14:textId="77777777" w:rsidR="009021F1" w:rsidRPr="00871A3A" w:rsidRDefault="009021F1" w:rsidP="009021F1">
      <w:pPr>
        <w:rPr>
          <w:rFonts w:cs="Arial"/>
          <w:i/>
          <w:sz w:val="22"/>
        </w:rPr>
      </w:pPr>
      <w:r w:rsidRPr="00871A3A">
        <w:rPr>
          <w:rFonts w:cs="Arial"/>
          <w:i/>
          <w:sz w:val="22"/>
        </w:rPr>
        <w:t>Procédure applicable en cas de découverte</w:t>
      </w:r>
    </w:p>
    <w:p w14:paraId="42EC78A8" w14:textId="77777777" w:rsidR="009021F1" w:rsidRPr="007E3D1A" w:rsidRDefault="009021F1" w:rsidP="009021F1">
      <w:pPr>
        <w:rPr>
          <w:rFonts w:cs="Arial"/>
          <w:sz w:val="22"/>
        </w:rPr>
      </w:pPr>
    </w:p>
    <w:p w14:paraId="04DDADA3" w14:textId="77777777" w:rsidR="009021F1" w:rsidRPr="007E3D1A" w:rsidRDefault="009021F1" w:rsidP="009021F1">
      <w:pPr>
        <w:rPr>
          <w:rFonts w:cs="Arial"/>
          <w:sz w:val="22"/>
        </w:rPr>
      </w:pPr>
      <w:r w:rsidRPr="007E3D1A">
        <w:rPr>
          <w:rFonts w:cs="Arial"/>
          <w:sz w:val="22"/>
        </w:rPr>
        <w:t xml:space="preserve">Suspension des travaux : </w:t>
      </w:r>
    </w:p>
    <w:p w14:paraId="475AE935" w14:textId="77777777" w:rsidR="009021F1" w:rsidRPr="007E3D1A" w:rsidRDefault="009021F1" w:rsidP="009021F1">
      <w:pPr>
        <w:rPr>
          <w:rFonts w:cs="Arial"/>
          <w:sz w:val="22"/>
        </w:rPr>
      </w:pPr>
    </w:p>
    <w:p w14:paraId="05B1696E" w14:textId="77777777" w:rsidR="009021F1" w:rsidRPr="007E3D1A" w:rsidRDefault="009021F1" w:rsidP="009021F1">
      <w:pPr>
        <w:rPr>
          <w:rFonts w:cs="Arial"/>
          <w:sz w:val="22"/>
        </w:rPr>
      </w:pPr>
      <w:r w:rsidRPr="007E3D1A">
        <w:rPr>
          <w:rFonts w:cs="Arial"/>
          <w:sz w:val="22"/>
        </w:rPr>
        <w:t>Après la suspension des travaux, l’entreprise doit immédiatement signaler la découverte à l’ingénieur résident. Il se peut que l’entreprise ne soit pas en droit de réclamer une indemnisation pour la période de suspension des travaux.</w:t>
      </w:r>
    </w:p>
    <w:p w14:paraId="022645E8" w14:textId="77777777" w:rsidR="009021F1" w:rsidRPr="007E3D1A" w:rsidRDefault="009021F1" w:rsidP="009021F1">
      <w:pPr>
        <w:rPr>
          <w:rFonts w:cs="Arial"/>
          <w:sz w:val="22"/>
        </w:rPr>
      </w:pPr>
    </w:p>
    <w:p w14:paraId="11547774" w14:textId="77777777" w:rsidR="009021F1" w:rsidRPr="007E3D1A" w:rsidRDefault="009021F1" w:rsidP="009021F1">
      <w:pPr>
        <w:rPr>
          <w:rFonts w:cs="Arial"/>
          <w:sz w:val="22"/>
        </w:rPr>
      </w:pPr>
      <w:r w:rsidRPr="007E3D1A">
        <w:rPr>
          <w:rFonts w:cs="Arial"/>
          <w:sz w:val="22"/>
        </w:rPr>
        <w:t>L’ingénieur résident peut être habilité à suspendre les travaux et à demander à l’entreprise de procéder à des fouilles à ses propres frais s’il estime qu’une découverte qui vient d’être faite n’a pas été signalée.</w:t>
      </w:r>
    </w:p>
    <w:p w14:paraId="70774A06" w14:textId="77777777" w:rsidR="009021F1" w:rsidRPr="007E3D1A" w:rsidRDefault="009021F1" w:rsidP="009021F1">
      <w:pPr>
        <w:rPr>
          <w:rFonts w:cs="Arial"/>
          <w:sz w:val="22"/>
        </w:rPr>
      </w:pPr>
    </w:p>
    <w:p w14:paraId="2B5FB175" w14:textId="77777777" w:rsidR="009021F1" w:rsidRPr="00871A3A" w:rsidRDefault="009021F1" w:rsidP="009021F1">
      <w:pPr>
        <w:rPr>
          <w:rFonts w:cs="Arial"/>
          <w:i/>
          <w:sz w:val="22"/>
        </w:rPr>
      </w:pPr>
      <w:r w:rsidRPr="00871A3A">
        <w:rPr>
          <w:rFonts w:cs="Arial"/>
          <w:i/>
          <w:sz w:val="22"/>
        </w:rPr>
        <w:t>Délimitation du site de la découverte</w:t>
      </w:r>
    </w:p>
    <w:p w14:paraId="112790ED" w14:textId="77777777" w:rsidR="009021F1" w:rsidRPr="007E3D1A" w:rsidRDefault="009021F1" w:rsidP="009021F1">
      <w:pPr>
        <w:rPr>
          <w:rFonts w:cs="Arial"/>
          <w:sz w:val="22"/>
        </w:rPr>
      </w:pPr>
    </w:p>
    <w:p w14:paraId="35EF8926" w14:textId="77777777" w:rsidR="009021F1" w:rsidRPr="007E3D1A" w:rsidRDefault="009021F1" w:rsidP="009021F1">
      <w:pPr>
        <w:rPr>
          <w:rFonts w:cs="Arial"/>
          <w:sz w:val="22"/>
        </w:rPr>
      </w:pPr>
      <w:r w:rsidRPr="007E3D1A">
        <w:rPr>
          <w:rFonts w:cs="Arial"/>
          <w:sz w:val="22"/>
        </w:rPr>
        <w:t>Avec l’approbation de l’ingénieur résident, il est ensuite demandé à l’entreprise de délimiter temporairement le site et d’en restreindre l’accès.</w:t>
      </w:r>
    </w:p>
    <w:p w14:paraId="416D415C" w14:textId="77777777" w:rsidR="009021F1" w:rsidRPr="007E3D1A" w:rsidRDefault="009021F1" w:rsidP="009021F1">
      <w:pPr>
        <w:rPr>
          <w:rFonts w:cs="Arial"/>
          <w:sz w:val="22"/>
        </w:rPr>
      </w:pPr>
    </w:p>
    <w:p w14:paraId="17713600" w14:textId="77777777" w:rsidR="009021F1" w:rsidRPr="00871A3A" w:rsidRDefault="009021F1" w:rsidP="009021F1">
      <w:pPr>
        <w:rPr>
          <w:rFonts w:cs="Arial"/>
          <w:i/>
          <w:sz w:val="22"/>
        </w:rPr>
      </w:pPr>
      <w:r w:rsidRPr="00871A3A">
        <w:rPr>
          <w:rFonts w:cs="Arial"/>
          <w:i/>
          <w:sz w:val="22"/>
        </w:rPr>
        <w:t>Non suspension des travaux</w:t>
      </w:r>
    </w:p>
    <w:p w14:paraId="6D314DBA" w14:textId="77777777" w:rsidR="009021F1" w:rsidRPr="007E3D1A" w:rsidRDefault="009021F1" w:rsidP="009021F1">
      <w:pPr>
        <w:rPr>
          <w:rFonts w:cs="Arial"/>
          <w:sz w:val="22"/>
        </w:rPr>
      </w:pPr>
    </w:p>
    <w:p w14:paraId="177FCD76" w14:textId="77777777" w:rsidR="009021F1" w:rsidRPr="007E3D1A" w:rsidRDefault="009021F1" w:rsidP="009021F1">
      <w:pPr>
        <w:rPr>
          <w:rFonts w:cs="Arial"/>
          <w:sz w:val="22"/>
        </w:rPr>
      </w:pPr>
      <w:r w:rsidRPr="007E3D1A">
        <w:rPr>
          <w:rFonts w:cs="Arial"/>
          <w:sz w:val="22"/>
        </w:rPr>
        <w:t>La procédure peut autoriser d’ingénieur résident à déterminer si le bien culturel physique peut être transporté ailleurs avant de poursuivre les travaux, par exemple si l’objet découvert est une pièce de monnaie.</w:t>
      </w:r>
    </w:p>
    <w:p w14:paraId="1CF9E922" w14:textId="77777777" w:rsidR="009021F1" w:rsidRPr="007E3D1A" w:rsidRDefault="009021F1" w:rsidP="009021F1">
      <w:pPr>
        <w:rPr>
          <w:rFonts w:cs="Arial"/>
          <w:sz w:val="22"/>
        </w:rPr>
      </w:pPr>
    </w:p>
    <w:p w14:paraId="3A7178D8" w14:textId="77777777" w:rsidR="009021F1" w:rsidRPr="00871A3A" w:rsidRDefault="009021F1" w:rsidP="009021F1">
      <w:pPr>
        <w:rPr>
          <w:rFonts w:cs="Arial"/>
          <w:i/>
          <w:sz w:val="22"/>
        </w:rPr>
      </w:pPr>
      <w:r w:rsidRPr="00871A3A">
        <w:rPr>
          <w:rFonts w:cs="Arial"/>
          <w:i/>
          <w:sz w:val="22"/>
        </w:rPr>
        <w:t>Rapport de découverte fortuite</w:t>
      </w:r>
    </w:p>
    <w:p w14:paraId="2E35D8DA" w14:textId="77777777" w:rsidR="009021F1" w:rsidRPr="007E3D1A" w:rsidRDefault="009021F1" w:rsidP="009021F1">
      <w:pPr>
        <w:rPr>
          <w:rFonts w:cs="Arial"/>
          <w:sz w:val="22"/>
        </w:rPr>
      </w:pPr>
    </w:p>
    <w:p w14:paraId="62CCE9A0" w14:textId="77777777" w:rsidR="009021F1" w:rsidRPr="007E3D1A" w:rsidRDefault="009021F1" w:rsidP="009021F1">
      <w:pPr>
        <w:rPr>
          <w:rFonts w:cs="Arial"/>
          <w:sz w:val="22"/>
        </w:rPr>
      </w:pPr>
      <w:r w:rsidRPr="007E3D1A">
        <w:rPr>
          <w:rFonts w:cs="Arial"/>
          <w:sz w:val="22"/>
        </w:rPr>
        <w:t>L’entreprise doit ensuite, sur la demande de l’ingénieur résident et dans les délais spécifiés, établir un Rapport de découverte fortuite fournissant les informations suivantes :</w:t>
      </w:r>
    </w:p>
    <w:p w14:paraId="6A2B956F" w14:textId="77777777" w:rsidR="009021F1" w:rsidRPr="007E3D1A" w:rsidRDefault="009021F1" w:rsidP="009021F1">
      <w:pPr>
        <w:rPr>
          <w:rFonts w:cs="Arial"/>
          <w:sz w:val="22"/>
        </w:rPr>
      </w:pPr>
    </w:p>
    <w:p w14:paraId="2510BC43" w14:textId="77777777" w:rsidR="009021F1" w:rsidRPr="00871A3A" w:rsidRDefault="009021F1" w:rsidP="009021F1">
      <w:pPr>
        <w:pStyle w:val="Paragraphedeliste"/>
        <w:numPr>
          <w:ilvl w:val="0"/>
          <w:numId w:val="69"/>
        </w:numPr>
        <w:autoSpaceDE w:val="0"/>
        <w:autoSpaceDN w:val="0"/>
        <w:adjustRightInd w:val="0"/>
        <w:rPr>
          <w:rFonts w:cs="Arial"/>
          <w:color w:val="000000"/>
          <w:sz w:val="22"/>
        </w:rPr>
      </w:pPr>
      <w:r w:rsidRPr="00871A3A">
        <w:rPr>
          <w:rFonts w:cs="Arial"/>
          <w:color w:val="000000"/>
          <w:sz w:val="22"/>
        </w:rPr>
        <w:t>Date et heure de la découverte ;</w:t>
      </w:r>
    </w:p>
    <w:p w14:paraId="0E131043" w14:textId="77777777" w:rsidR="009021F1" w:rsidRPr="00871A3A" w:rsidRDefault="009021F1" w:rsidP="009021F1">
      <w:pPr>
        <w:pStyle w:val="Paragraphedeliste"/>
        <w:numPr>
          <w:ilvl w:val="0"/>
          <w:numId w:val="69"/>
        </w:numPr>
        <w:autoSpaceDE w:val="0"/>
        <w:autoSpaceDN w:val="0"/>
        <w:adjustRightInd w:val="0"/>
        <w:rPr>
          <w:rFonts w:cs="Arial"/>
          <w:color w:val="000000"/>
          <w:sz w:val="22"/>
        </w:rPr>
      </w:pPr>
      <w:r w:rsidRPr="00871A3A">
        <w:rPr>
          <w:rFonts w:cs="Arial"/>
          <w:color w:val="000000"/>
          <w:sz w:val="22"/>
        </w:rPr>
        <w:t>Emplacement de la découverte ;</w:t>
      </w:r>
    </w:p>
    <w:p w14:paraId="0C639D7B" w14:textId="77777777" w:rsidR="009021F1" w:rsidRPr="00871A3A" w:rsidRDefault="009021F1" w:rsidP="009021F1">
      <w:pPr>
        <w:pStyle w:val="Paragraphedeliste"/>
        <w:numPr>
          <w:ilvl w:val="0"/>
          <w:numId w:val="69"/>
        </w:numPr>
        <w:autoSpaceDE w:val="0"/>
        <w:autoSpaceDN w:val="0"/>
        <w:adjustRightInd w:val="0"/>
        <w:rPr>
          <w:rFonts w:cs="Arial"/>
          <w:color w:val="000000"/>
          <w:sz w:val="22"/>
        </w:rPr>
      </w:pPr>
      <w:r w:rsidRPr="00871A3A">
        <w:rPr>
          <w:rFonts w:cs="Arial"/>
          <w:color w:val="000000"/>
          <w:sz w:val="22"/>
        </w:rPr>
        <w:t>Description du bien culturel physique ;</w:t>
      </w:r>
    </w:p>
    <w:p w14:paraId="649D2191" w14:textId="77777777" w:rsidR="009021F1" w:rsidRPr="00871A3A" w:rsidRDefault="009021F1" w:rsidP="009021F1">
      <w:pPr>
        <w:pStyle w:val="Paragraphedeliste"/>
        <w:numPr>
          <w:ilvl w:val="0"/>
          <w:numId w:val="69"/>
        </w:numPr>
        <w:autoSpaceDE w:val="0"/>
        <w:autoSpaceDN w:val="0"/>
        <w:adjustRightInd w:val="0"/>
        <w:rPr>
          <w:rFonts w:cs="Arial"/>
          <w:color w:val="000000"/>
          <w:sz w:val="22"/>
        </w:rPr>
      </w:pPr>
      <w:r w:rsidRPr="00871A3A">
        <w:rPr>
          <w:rFonts w:cs="Arial"/>
          <w:color w:val="000000"/>
          <w:sz w:val="22"/>
        </w:rPr>
        <w:t>Estimation du poids et des dimensions du bien ; et</w:t>
      </w:r>
    </w:p>
    <w:p w14:paraId="7B1DA61E" w14:textId="77777777" w:rsidR="009021F1" w:rsidRPr="00871A3A" w:rsidRDefault="009021F1" w:rsidP="009021F1">
      <w:pPr>
        <w:pStyle w:val="Paragraphedeliste"/>
        <w:numPr>
          <w:ilvl w:val="0"/>
          <w:numId w:val="69"/>
        </w:numPr>
        <w:autoSpaceDE w:val="0"/>
        <w:autoSpaceDN w:val="0"/>
        <w:adjustRightInd w:val="0"/>
        <w:rPr>
          <w:rFonts w:cs="Arial"/>
          <w:color w:val="000000"/>
          <w:sz w:val="22"/>
        </w:rPr>
      </w:pPr>
      <w:r w:rsidRPr="00871A3A">
        <w:rPr>
          <w:rFonts w:cs="Arial"/>
          <w:color w:val="000000"/>
          <w:sz w:val="22"/>
        </w:rPr>
        <w:t>Mesures de protection temporaire mises en place.</w:t>
      </w:r>
    </w:p>
    <w:p w14:paraId="3B7AC310" w14:textId="77777777" w:rsidR="009021F1" w:rsidRPr="007E3D1A" w:rsidRDefault="009021F1" w:rsidP="009021F1">
      <w:pPr>
        <w:rPr>
          <w:rFonts w:cs="Arial"/>
          <w:sz w:val="22"/>
        </w:rPr>
      </w:pPr>
    </w:p>
    <w:p w14:paraId="6F9A0185" w14:textId="77777777" w:rsidR="009021F1" w:rsidRPr="007E3D1A" w:rsidRDefault="009021F1" w:rsidP="009021F1">
      <w:pPr>
        <w:rPr>
          <w:rFonts w:cs="Arial"/>
          <w:sz w:val="22"/>
        </w:rPr>
      </w:pPr>
      <w:r w:rsidRPr="007E3D1A">
        <w:rPr>
          <w:rFonts w:cs="Arial"/>
          <w:sz w:val="22"/>
        </w:rPr>
        <w:t xml:space="preserve">Le Rapport de découverte fortuite doit être présenté à l’ingénieur résident et aux autres parties désignées d’un commun accord avec les services culturels, et conformément à la législation nationale. </w:t>
      </w:r>
    </w:p>
    <w:p w14:paraId="02393AD0" w14:textId="77777777" w:rsidR="009021F1" w:rsidRPr="007E3D1A" w:rsidRDefault="009021F1" w:rsidP="009021F1">
      <w:pPr>
        <w:rPr>
          <w:rFonts w:cs="Arial"/>
          <w:sz w:val="22"/>
        </w:rPr>
      </w:pPr>
    </w:p>
    <w:p w14:paraId="6891FBD3" w14:textId="77777777" w:rsidR="009021F1" w:rsidRPr="007E3D1A" w:rsidRDefault="009021F1" w:rsidP="009021F1">
      <w:pPr>
        <w:rPr>
          <w:rFonts w:cs="Arial"/>
          <w:sz w:val="22"/>
        </w:rPr>
      </w:pPr>
      <w:r w:rsidRPr="007E3D1A">
        <w:rPr>
          <w:rFonts w:cs="Arial"/>
          <w:sz w:val="22"/>
        </w:rPr>
        <w:t>L’ingénieur réside, ou toute autre partie désignée d’un commun accord, doit informer les services culturels de la découverte.</w:t>
      </w:r>
    </w:p>
    <w:p w14:paraId="4376CBAF" w14:textId="77777777" w:rsidR="009021F1" w:rsidRPr="007E3D1A" w:rsidRDefault="009021F1" w:rsidP="009021F1">
      <w:pPr>
        <w:rPr>
          <w:rFonts w:cs="Arial"/>
          <w:sz w:val="22"/>
        </w:rPr>
      </w:pPr>
    </w:p>
    <w:p w14:paraId="3F70D6FC" w14:textId="77777777" w:rsidR="009021F1" w:rsidRPr="007E3D1A" w:rsidRDefault="009021F1" w:rsidP="009021F1">
      <w:pPr>
        <w:rPr>
          <w:rFonts w:cs="Arial"/>
          <w:sz w:val="22"/>
        </w:rPr>
      </w:pPr>
      <w:r w:rsidRPr="007E3D1A">
        <w:rPr>
          <w:rFonts w:cs="Arial"/>
          <w:sz w:val="22"/>
        </w:rPr>
        <w:t>Arrivée des services culturels et mesures prises</w:t>
      </w:r>
    </w:p>
    <w:p w14:paraId="66F4564A" w14:textId="77777777" w:rsidR="009021F1" w:rsidRPr="007E3D1A" w:rsidRDefault="009021F1" w:rsidP="009021F1">
      <w:pPr>
        <w:rPr>
          <w:rFonts w:cs="Arial"/>
          <w:sz w:val="22"/>
        </w:rPr>
      </w:pPr>
    </w:p>
    <w:p w14:paraId="469F3F6E" w14:textId="77777777" w:rsidR="009021F1" w:rsidRPr="007E3D1A" w:rsidRDefault="009021F1" w:rsidP="009021F1">
      <w:pPr>
        <w:rPr>
          <w:rFonts w:cs="Arial"/>
          <w:sz w:val="22"/>
        </w:rPr>
      </w:pPr>
      <w:r w:rsidRPr="007E3D1A">
        <w:rPr>
          <w:rFonts w:cs="Arial"/>
          <w:sz w:val="22"/>
        </w:rPr>
        <w:t>Les services responsables du patrimoine culturel font le nécessaire pour envoyer un représentant sur le lieu de la découverte dans des délais convenus (dans les 24 heures, par exemple) et déterminer les mesures à prendre, notamment :</w:t>
      </w:r>
    </w:p>
    <w:p w14:paraId="6651440A" w14:textId="77777777" w:rsidR="009021F1" w:rsidRPr="007E3D1A" w:rsidRDefault="009021F1" w:rsidP="009021F1">
      <w:pPr>
        <w:rPr>
          <w:rFonts w:cs="Arial"/>
          <w:sz w:val="22"/>
        </w:rPr>
      </w:pPr>
    </w:p>
    <w:p w14:paraId="56AC0EBF" w14:textId="77777777" w:rsidR="009021F1" w:rsidRPr="00871A3A" w:rsidRDefault="009021F1" w:rsidP="009021F1">
      <w:pPr>
        <w:pStyle w:val="Paragraphedeliste"/>
        <w:numPr>
          <w:ilvl w:val="0"/>
          <w:numId w:val="69"/>
        </w:numPr>
        <w:autoSpaceDE w:val="0"/>
        <w:autoSpaceDN w:val="0"/>
        <w:adjustRightInd w:val="0"/>
        <w:rPr>
          <w:rFonts w:cs="Arial"/>
          <w:color w:val="000000"/>
          <w:sz w:val="22"/>
        </w:rPr>
      </w:pPr>
      <w:r w:rsidRPr="00871A3A">
        <w:rPr>
          <w:rFonts w:cs="Arial"/>
          <w:color w:val="000000"/>
          <w:sz w:val="22"/>
        </w:rPr>
        <w:t>Retrait des biens culturels physiques jugés importants ;</w:t>
      </w:r>
    </w:p>
    <w:p w14:paraId="21BE8A6F" w14:textId="77777777" w:rsidR="009021F1" w:rsidRPr="00871A3A" w:rsidRDefault="009021F1" w:rsidP="009021F1">
      <w:pPr>
        <w:pStyle w:val="Paragraphedeliste"/>
        <w:numPr>
          <w:ilvl w:val="0"/>
          <w:numId w:val="69"/>
        </w:numPr>
        <w:autoSpaceDE w:val="0"/>
        <w:autoSpaceDN w:val="0"/>
        <w:adjustRightInd w:val="0"/>
        <w:rPr>
          <w:rFonts w:cs="Arial"/>
          <w:color w:val="000000"/>
          <w:sz w:val="22"/>
        </w:rPr>
      </w:pPr>
      <w:r w:rsidRPr="00871A3A">
        <w:rPr>
          <w:rFonts w:cs="Arial"/>
          <w:color w:val="000000"/>
          <w:sz w:val="22"/>
        </w:rPr>
        <w:t>Poursuite des travaux d’excavation dans un rayon spécifié autour du site de la découverte ;</w:t>
      </w:r>
    </w:p>
    <w:p w14:paraId="25D17E05" w14:textId="77777777" w:rsidR="009021F1" w:rsidRPr="00871A3A" w:rsidRDefault="009021F1" w:rsidP="009021F1">
      <w:pPr>
        <w:pStyle w:val="Paragraphedeliste"/>
        <w:numPr>
          <w:ilvl w:val="0"/>
          <w:numId w:val="69"/>
        </w:numPr>
        <w:autoSpaceDE w:val="0"/>
        <w:autoSpaceDN w:val="0"/>
        <w:adjustRightInd w:val="0"/>
        <w:rPr>
          <w:rFonts w:cs="Arial"/>
          <w:color w:val="000000"/>
          <w:sz w:val="22"/>
        </w:rPr>
      </w:pPr>
      <w:r w:rsidRPr="00871A3A">
        <w:rPr>
          <w:rFonts w:cs="Arial"/>
          <w:color w:val="000000"/>
          <w:sz w:val="22"/>
        </w:rPr>
        <w:t>Élargissement ou réduction de la zone délimitée par l’entreprise.</w:t>
      </w:r>
    </w:p>
    <w:p w14:paraId="70DC5A68" w14:textId="77777777" w:rsidR="009021F1" w:rsidRPr="007E3D1A" w:rsidRDefault="009021F1" w:rsidP="009021F1">
      <w:pPr>
        <w:rPr>
          <w:rFonts w:cs="Arial"/>
          <w:sz w:val="22"/>
        </w:rPr>
      </w:pPr>
    </w:p>
    <w:p w14:paraId="50854AC1" w14:textId="77777777" w:rsidR="009021F1" w:rsidRPr="007E3D1A" w:rsidRDefault="009021F1" w:rsidP="009021F1">
      <w:pPr>
        <w:rPr>
          <w:rFonts w:cs="Arial"/>
          <w:sz w:val="22"/>
        </w:rPr>
      </w:pPr>
      <w:r w:rsidRPr="007E3D1A">
        <w:rPr>
          <w:rFonts w:cs="Arial"/>
          <w:sz w:val="22"/>
        </w:rPr>
        <w:t>Ces mesures doivent être prises dans un délai donné (dans les 7 jours, par exemple).</w:t>
      </w:r>
    </w:p>
    <w:p w14:paraId="2491BB70" w14:textId="77777777" w:rsidR="009021F1" w:rsidRPr="007E3D1A" w:rsidRDefault="009021F1" w:rsidP="009021F1">
      <w:pPr>
        <w:rPr>
          <w:rFonts w:cs="Arial"/>
          <w:sz w:val="22"/>
        </w:rPr>
      </w:pPr>
    </w:p>
    <w:p w14:paraId="05D06BB1" w14:textId="77777777" w:rsidR="009021F1" w:rsidRPr="007E3D1A" w:rsidRDefault="009021F1" w:rsidP="009021F1">
      <w:pPr>
        <w:rPr>
          <w:rFonts w:cs="Arial"/>
          <w:sz w:val="22"/>
        </w:rPr>
      </w:pPr>
      <w:r w:rsidRPr="007E3D1A">
        <w:rPr>
          <w:rFonts w:cs="Arial"/>
          <w:sz w:val="22"/>
        </w:rPr>
        <w:t>L’entreprise peut, mais pas nécessairement, prétendre à une indemnisation pour la période de suspension des travaux.</w:t>
      </w:r>
    </w:p>
    <w:p w14:paraId="27C01B07" w14:textId="77777777" w:rsidR="009021F1" w:rsidRPr="007E3D1A" w:rsidRDefault="009021F1" w:rsidP="009021F1">
      <w:pPr>
        <w:rPr>
          <w:rFonts w:cs="Arial"/>
          <w:sz w:val="22"/>
        </w:rPr>
      </w:pPr>
    </w:p>
    <w:p w14:paraId="0FD99817" w14:textId="77777777" w:rsidR="009021F1" w:rsidRPr="007E3D1A" w:rsidRDefault="009021F1" w:rsidP="009021F1">
      <w:pPr>
        <w:rPr>
          <w:rFonts w:cs="Arial"/>
          <w:sz w:val="22"/>
        </w:rPr>
      </w:pPr>
      <w:r w:rsidRPr="007E3D1A">
        <w:rPr>
          <w:rFonts w:cs="Arial"/>
          <w:sz w:val="22"/>
        </w:rPr>
        <w:t>Si les services culturels n’envoient pas un représentant dans les délais spécifiés (dans les 24 heures, par exemple), l’ingénieur résident peut être autorisé à proroger ces délais pour une période spécifiée.</w:t>
      </w:r>
    </w:p>
    <w:p w14:paraId="29AC54D7" w14:textId="77777777" w:rsidR="009021F1" w:rsidRPr="007E3D1A" w:rsidRDefault="009021F1" w:rsidP="009021F1">
      <w:pPr>
        <w:rPr>
          <w:rFonts w:cs="Arial"/>
          <w:sz w:val="22"/>
        </w:rPr>
      </w:pPr>
    </w:p>
    <w:p w14:paraId="533F9592" w14:textId="77777777" w:rsidR="009021F1" w:rsidRPr="007E3D1A" w:rsidRDefault="009021F1" w:rsidP="009021F1">
      <w:pPr>
        <w:rPr>
          <w:rFonts w:cs="Arial"/>
          <w:sz w:val="22"/>
        </w:rPr>
      </w:pPr>
      <w:r w:rsidRPr="007E3D1A">
        <w:rPr>
          <w:rFonts w:cs="Arial"/>
          <w:sz w:val="22"/>
        </w:rPr>
        <w:t>Si les services culturels n’envoient pas un représentant dans la période de prorogation, l’ingénieur résident peut être autorisé à demander à l’entreprise de déplacer le bien culturel physique ou de prendre d’autres mesures d’atténuation et de reprendre les travaux. Les travaux supplémentaires seront imputés sur le marché, mais l’entreprise ne pourra pas réclamer une indemnisation pour la période de suspension des travaux.</w:t>
      </w:r>
    </w:p>
    <w:p w14:paraId="4959D73B" w14:textId="77777777" w:rsidR="009021F1" w:rsidRPr="00871A3A" w:rsidRDefault="009021F1" w:rsidP="009021F1">
      <w:pPr>
        <w:rPr>
          <w:rFonts w:cs="Arial"/>
          <w:i/>
          <w:sz w:val="22"/>
        </w:rPr>
      </w:pPr>
    </w:p>
    <w:p w14:paraId="16A2E06E" w14:textId="77777777" w:rsidR="009021F1" w:rsidRPr="00871A3A" w:rsidRDefault="009021F1" w:rsidP="009021F1">
      <w:pPr>
        <w:rPr>
          <w:rFonts w:cs="Arial"/>
          <w:i/>
          <w:sz w:val="22"/>
        </w:rPr>
      </w:pPr>
      <w:r w:rsidRPr="00871A3A">
        <w:rPr>
          <w:rFonts w:cs="Arial"/>
          <w:i/>
          <w:sz w:val="22"/>
        </w:rPr>
        <w:t>Suspension supplémentaire des travaux</w:t>
      </w:r>
    </w:p>
    <w:p w14:paraId="0188A851" w14:textId="77777777" w:rsidR="009021F1" w:rsidRPr="00871A3A" w:rsidRDefault="009021F1" w:rsidP="009021F1">
      <w:pPr>
        <w:rPr>
          <w:rFonts w:cs="Arial"/>
          <w:i/>
          <w:sz w:val="22"/>
        </w:rPr>
      </w:pPr>
    </w:p>
    <w:p w14:paraId="72ADE26C" w14:textId="77777777" w:rsidR="009021F1" w:rsidRPr="007E3D1A" w:rsidRDefault="009021F1" w:rsidP="009021F1">
      <w:pPr>
        <w:rPr>
          <w:rFonts w:cs="Arial"/>
          <w:sz w:val="22"/>
        </w:rPr>
      </w:pPr>
      <w:r w:rsidRPr="007E3D1A">
        <w:rPr>
          <w:rFonts w:cs="Arial"/>
          <w:sz w:val="22"/>
        </w:rPr>
        <w:t>Durant la période de 7 jours, les services culturels peuvent être en droit de demander la suspension temporaire des travaux sur le site de la découverte ou à proximité pendant une période supplémentaire de 30 jours, par exemple.</w:t>
      </w:r>
    </w:p>
    <w:p w14:paraId="13D42F84" w14:textId="77777777" w:rsidR="009021F1" w:rsidRPr="007E3D1A" w:rsidRDefault="009021F1" w:rsidP="009021F1">
      <w:pPr>
        <w:rPr>
          <w:rFonts w:cs="Arial"/>
          <w:sz w:val="22"/>
        </w:rPr>
      </w:pPr>
    </w:p>
    <w:p w14:paraId="4E2F97B8" w14:textId="77777777" w:rsidR="009021F1" w:rsidRPr="007E3D1A" w:rsidRDefault="009021F1" w:rsidP="009021F1">
      <w:pPr>
        <w:rPr>
          <w:rFonts w:cs="Arial"/>
          <w:sz w:val="22"/>
        </w:rPr>
      </w:pPr>
      <w:r w:rsidRPr="007E3D1A">
        <w:rPr>
          <w:rFonts w:cs="Arial"/>
          <w:sz w:val="22"/>
        </w:rPr>
        <w:t>L’entreprise peut, mais pas nécessairement, prétendre à une indemnisation pour cette période supplémentaire de suspension des travaux.</w:t>
      </w:r>
    </w:p>
    <w:p w14:paraId="12DC5399" w14:textId="77777777" w:rsidR="009021F1" w:rsidRPr="007E3D1A" w:rsidRDefault="009021F1" w:rsidP="009021F1">
      <w:pPr>
        <w:rPr>
          <w:rFonts w:cs="Arial"/>
          <w:sz w:val="22"/>
        </w:rPr>
      </w:pPr>
    </w:p>
    <w:p w14:paraId="297FE1AF" w14:textId="77777777" w:rsidR="009021F1" w:rsidRPr="007E3D1A" w:rsidRDefault="009021F1" w:rsidP="009021F1">
      <w:pPr>
        <w:rPr>
          <w:rFonts w:cs="Arial"/>
          <w:sz w:val="22"/>
        </w:rPr>
      </w:pPr>
      <w:r w:rsidRPr="007E3D1A">
        <w:rPr>
          <w:rFonts w:cs="Arial"/>
          <w:sz w:val="22"/>
        </w:rPr>
        <w:t>L’entreprise peut cependant être autorisée à signer avec les services responsables du patrimoine culturel un nouvel accord portant sur la fourniture de services ou de ressources supplémentaires durant cette période.</w:t>
      </w:r>
    </w:p>
    <w:p w14:paraId="2A01CCE5" w14:textId="77777777" w:rsidR="009021F1" w:rsidRPr="007E3D1A" w:rsidRDefault="009021F1" w:rsidP="009021F1">
      <w:pPr>
        <w:rPr>
          <w:rFonts w:cs="Arial"/>
          <w:sz w:val="22"/>
        </w:rPr>
      </w:pPr>
    </w:p>
    <w:p w14:paraId="221E2A43" w14:textId="77777777" w:rsidR="009021F1" w:rsidRPr="00871A3A" w:rsidRDefault="009021F1" w:rsidP="009021F1">
      <w:pPr>
        <w:rPr>
          <w:rFonts w:cs="Arial"/>
          <w:b/>
          <w:sz w:val="22"/>
        </w:rPr>
      </w:pPr>
      <w:r w:rsidRPr="00871A3A">
        <w:rPr>
          <w:rFonts w:cs="Arial"/>
          <w:b/>
          <w:sz w:val="22"/>
        </w:rPr>
        <w:t>Approvisionnement en Eau</w:t>
      </w:r>
    </w:p>
    <w:p w14:paraId="7A48013C" w14:textId="77777777" w:rsidR="009021F1" w:rsidRPr="007E3D1A" w:rsidRDefault="009021F1" w:rsidP="009021F1">
      <w:pPr>
        <w:rPr>
          <w:rFonts w:cs="Arial"/>
          <w:sz w:val="22"/>
        </w:rPr>
      </w:pPr>
    </w:p>
    <w:p w14:paraId="37646424" w14:textId="77777777" w:rsidR="009021F1" w:rsidRPr="00871A3A" w:rsidRDefault="009021F1" w:rsidP="009021F1">
      <w:pPr>
        <w:pStyle w:val="Paragraphedeliste"/>
        <w:numPr>
          <w:ilvl w:val="0"/>
          <w:numId w:val="69"/>
        </w:numPr>
        <w:autoSpaceDE w:val="0"/>
        <w:autoSpaceDN w:val="0"/>
        <w:adjustRightInd w:val="0"/>
        <w:rPr>
          <w:rFonts w:cs="Arial"/>
          <w:color w:val="000000"/>
          <w:sz w:val="22"/>
        </w:rPr>
      </w:pPr>
      <w:r w:rsidRPr="00871A3A">
        <w:rPr>
          <w:rFonts w:cs="Arial"/>
          <w:color w:val="000000"/>
          <w:sz w:val="22"/>
        </w:rPr>
        <w:t>Eviter que les besoins en eau des chantiers ne portent préjudice aux sources d’eau utilisées par les communautés locales ;</w:t>
      </w:r>
    </w:p>
    <w:p w14:paraId="216290F9" w14:textId="77777777" w:rsidR="009021F1" w:rsidRPr="00871A3A" w:rsidRDefault="009021F1" w:rsidP="009021F1">
      <w:pPr>
        <w:pStyle w:val="Paragraphedeliste"/>
        <w:numPr>
          <w:ilvl w:val="0"/>
          <w:numId w:val="69"/>
        </w:numPr>
        <w:autoSpaceDE w:val="0"/>
        <w:autoSpaceDN w:val="0"/>
        <w:adjustRightInd w:val="0"/>
        <w:rPr>
          <w:rFonts w:cs="Arial"/>
          <w:color w:val="000000"/>
          <w:sz w:val="22"/>
        </w:rPr>
      </w:pPr>
      <w:r w:rsidRPr="00871A3A">
        <w:rPr>
          <w:rFonts w:cs="Arial"/>
          <w:color w:val="000000"/>
          <w:sz w:val="22"/>
        </w:rPr>
        <w:t>Utiliser dans la mesure du possible les services publics d’eau potable, s’ils sont disponibles ;</w:t>
      </w:r>
    </w:p>
    <w:p w14:paraId="5D605667" w14:textId="77777777" w:rsidR="009021F1" w:rsidRPr="00871A3A" w:rsidRDefault="009021F1" w:rsidP="009021F1">
      <w:pPr>
        <w:pStyle w:val="Paragraphedeliste"/>
        <w:numPr>
          <w:ilvl w:val="0"/>
          <w:numId w:val="69"/>
        </w:numPr>
        <w:autoSpaceDE w:val="0"/>
        <w:autoSpaceDN w:val="0"/>
        <w:adjustRightInd w:val="0"/>
        <w:rPr>
          <w:rFonts w:cs="Arial"/>
          <w:color w:val="000000"/>
          <w:sz w:val="22"/>
        </w:rPr>
      </w:pPr>
      <w:r w:rsidRPr="00871A3A">
        <w:rPr>
          <w:rFonts w:cs="Arial"/>
          <w:color w:val="000000"/>
          <w:sz w:val="22"/>
        </w:rPr>
        <w:t>Au besoin, rechercher et exploiter des points d’eau qui seront à sa charge ;</w:t>
      </w:r>
    </w:p>
    <w:p w14:paraId="53DFA53A" w14:textId="77777777" w:rsidR="009021F1" w:rsidRPr="00871A3A" w:rsidRDefault="009021F1" w:rsidP="009021F1">
      <w:pPr>
        <w:pStyle w:val="Paragraphedeliste"/>
        <w:numPr>
          <w:ilvl w:val="0"/>
          <w:numId w:val="69"/>
        </w:numPr>
        <w:autoSpaceDE w:val="0"/>
        <w:autoSpaceDN w:val="0"/>
        <w:adjustRightInd w:val="0"/>
        <w:rPr>
          <w:rFonts w:cs="Arial"/>
          <w:color w:val="000000"/>
          <w:sz w:val="22"/>
        </w:rPr>
      </w:pPr>
      <w:r w:rsidRPr="00871A3A">
        <w:rPr>
          <w:rFonts w:cs="Arial"/>
          <w:color w:val="000000"/>
          <w:sz w:val="22"/>
        </w:rPr>
        <w:t>Obtenir une autorisation du Service de l’hydraulique local, et respecter la réglementation en vigueur, en cas d’approvisionnement en eau à partir des eaux souterraines ou de surface ;</w:t>
      </w:r>
    </w:p>
    <w:p w14:paraId="45D28CEB" w14:textId="77777777" w:rsidR="009021F1" w:rsidRPr="00871A3A" w:rsidRDefault="009021F1" w:rsidP="009021F1">
      <w:pPr>
        <w:pStyle w:val="Paragraphedeliste"/>
        <w:numPr>
          <w:ilvl w:val="0"/>
          <w:numId w:val="69"/>
        </w:numPr>
        <w:autoSpaceDE w:val="0"/>
        <w:autoSpaceDN w:val="0"/>
        <w:adjustRightInd w:val="0"/>
        <w:rPr>
          <w:rFonts w:cs="Arial"/>
          <w:color w:val="000000"/>
          <w:sz w:val="22"/>
        </w:rPr>
      </w:pPr>
      <w:r w:rsidRPr="00871A3A">
        <w:rPr>
          <w:rFonts w:cs="Arial"/>
          <w:color w:val="000000"/>
          <w:sz w:val="22"/>
        </w:rPr>
        <w:t>Désinfecter l’eau de surface destinée à la consommation humaine (personnel de chantier) par chloration ou autre procédé approuvé par les services environnementaux et sanitaires concernés ;</w:t>
      </w:r>
    </w:p>
    <w:p w14:paraId="3974EDF6" w14:textId="77777777" w:rsidR="009021F1" w:rsidRPr="00871A3A" w:rsidRDefault="009021F1" w:rsidP="009021F1">
      <w:pPr>
        <w:pStyle w:val="Paragraphedeliste"/>
        <w:numPr>
          <w:ilvl w:val="0"/>
          <w:numId w:val="69"/>
        </w:numPr>
        <w:autoSpaceDE w:val="0"/>
        <w:autoSpaceDN w:val="0"/>
        <w:adjustRightInd w:val="0"/>
        <w:rPr>
          <w:rFonts w:cs="Arial"/>
          <w:color w:val="000000"/>
          <w:sz w:val="22"/>
        </w:rPr>
      </w:pPr>
      <w:r w:rsidRPr="00871A3A">
        <w:rPr>
          <w:rFonts w:cs="Arial"/>
          <w:color w:val="000000"/>
          <w:sz w:val="22"/>
        </w:rPr>
        <w:t xml:space="preserve">Si l’eau n’est pas entièrement conforme aux critères de qualité d’une eau potable, l’Entreprise doit prendre des mesures alternatives telles que la fourniture d’eau embouteillée ou l’installation de réservoirs d'eau en quantité et en qualité suffisantes.  Cette eau doit être conforme au règlement sur les eaux potables </w:t>
      </w:r>
    </w:p>
    <w:p w14:paraId="55D9C0FF" w14:textId="77777777" w:rsidR="009021F1" w:rsidRPr="007E3D1A" w:rsidRDefault="009021F1" w:rsidP="009021F1">
      <w:pPr>
        <w:rPr>
          <w:rFonts w:cs="Arial"/>
          <w:sz w:val="22"/>
        </w:rPr>
      </w:pPr>
    </w:p>
    <w:p w14:paraId="1DCDCD2E" w14:textId="77777777" w:rsidR="009021F1" w:rsidRPr="00871A3A" w:rsidRDefault="009021F1" w:rsidP="009021F1">
      <w:pPr>
        <w:rPr>
          <w:rFonts w:cs="Arial"/>
          <w:b/>
          <w:sz w:val="22"/>
        </w:rPr>
      </w:pPr>
      <w:r w:rsidRPr="00871A3A">
        <w:rPr>
          <w:rFonts w:cs="Arial"/>
          <w:b/>
          <w:sz w:val="22"/>
        </w:rPr>
        <w:t>Déblais et déchets d’excavation</w:t>
      </w:r>
    </w:p>
    <w:p w14:paraId="7B452FAE" w14:textId="77777777" w:rsidR="009021F1" w:rsidRPr="007E3D1A" w:rsidRDefault="009021F1" w:rsidP="009021F1">
      <w:pPr>
        <w:rPr>
          <w:rFonts w:cs="Arial"/>
          <w:sz w:val="22"/>
        </w:rPr>
      </w:pPr>
    </w:p>
    <w:p w14:paraId="28431B7A" w14:textId="77777777" w:rsidR="009021F1" w:rsidRPr="007E3D1A" w:rsidRDefault="009021F1" w:rsidP="009021F1">
      <w:pPr>
        <w:rPr>
          <w:rFonts w:cs="Arial"/>
          <w:sz w:val="22"/>
        </w:rPr>
      </w:pPr>
      <w:r w:rsidRPr="007E3D1A">
        <w:rPr>
          <w:rFonts w:cs="Arial"/>
          <w:sz w:val="22"/>
        </w:rPr>
        <w:t>L’Entreprise doit :</w:t>
      </w:r>
    </w:p>
    <w:p w14:paraId="3181D523" w14:textId="77777777" w:rsidR="009021F1" w:rsidRPr="007E3D1A" w:rsidRDefault="009021F1" w:rsidP="009021F1">
      <w:pPr>
        <w:rPr>
          <w:rFonts w:cs="Arial"/>
          <w:sz w:val="22"/>
        </w:rPr>
      </w:pPr>
    </w:p>
    <w:p w14:paraId="5CDA73EF" w14:textId="77777777" w:rsidR="009021F1" w:rsidRPr="00871A3A" w:rsidRDefault="009021F1" w:rsidP="009021F1">
      <w:pPr>
        <w:pStyle w:val="Paragraphedeliste"/>
        <w:numPr>
          <w:ilvl w:val="0"/>
          <w:numId w:val="69"/>
        </w:numPr>
        <w:autoSpaceDE w:val="0"/>
        <w:autoSpaceDN w:val="0"/>
        <w:adjustRightInd w:val="0"/>
        <w:rPr>
          <w:rFonts w:cs="Arial"/>
          <w:color w:val="000000"/>
          <w:sz w:val="22"/>
        </w:rPr>
      </w:pPr>
      <w:r w:rsidRPr="00871A3A">
        <w:rPr>
          <w:rFonts w:cs="Arial"/>
          <w:color w:val="000000"/>
          <w:sz w:val="22"/>
        </w:rPr>
        <w:t>Déposer les déblais non réutilisés dans des aires d’entreposage s’il est prévu de les utiliser plus tard ; sinon les transporter dans des zones de remblais préalablement autorisées ;</w:t>
      </w:r>
    </w:p>
    <w:p w14:paraId="439E77F5" w14:textId="77777777" w:rsidR="009021F1" w:rsidRPr="00871A3A" w:rsidRDefault="009021F1" w:rsidP="009021F1">
      <w:pPr>
        <w:pStyle w:val="Paragraphedeliste"/>
        <w:numPr>
          <w:ilvl w:val="0"/>
          <w:numId w:val="69"/>
        </w:numPr>
        <w:autoSpaceDE w:val="0"/>
        <w:autoSpaceDN w:val="0"/>
        <w:adjustRightInd w:val="0"/>
        <w:rPr>
          <w:rFonts w:cs="Arial"/>
          <w:color w:val="000000"/>
          <w:sz w:val="22"/>
        </w:rPr>
      </w:pPr>
      <w:r w:rsidRPr="00871A3A">
        <w:rPr>
          <w:rFonts w:cs="Arial"/>
          <w:color w:val="000000"/>
          <w:sz w:val="22"/>
        </w:rPr>
        <w:t>Collecter et gérer correctement tous les déchets solides provenant des travaux de construction ;</w:t>
      </w:r>
    </w:p>
    <w:p w14:paraId="316CCD91" w14:textId="77777777" w:rsidR="009021F1" w:rsidRPr="00871A3A" w:rsidRDefault="009021F1" w:rsidP="009021F1">
      <w:pPr>
        <w:pStyle w:val="Paragraphedeliste"/>
        <w:numPr>
          <w:ilvl w:val="0"/>
          <w:numId w:val="69"/>
        </w:numPr>
        <w:autoSpaceDE w:val="0"/>
        <w:autoSpaceDN w:val="0"/>
        <w:adjustRightInd w:val="0"/>
        <w:rPr>
          <w:rFonts w:cs="Arial"/>
          <w:color w:val="000000"/>
          <w:sz w:val="22"/>
        </w:rPr>
      </w:pPr>
      <w:r w:rsidRPr="00871A3A">
        <w:rPr>
          <w:rFonts w:cs="Arial"/>
          <w:color w:val="000000"/>
          <w:sz w:val="22"/>
        </w:rPr>
        <w:t>Transporter les déchets et débris de construction ou d’excavation dans des sites d'élimination approuvés par les autorités compétentes ; et</w:t>
      </w:r>
    </w:p>
    <w:p w14:paraId="36170C2B" w14:textId="77777777" w:rsidR="009021F1" w:rsidRPr="00871A3A" w:rsidRDefault="009021F1" w:rsidP="009021F1">
      <w:pPr>
        <w:pStyle w:val="Paragraphedeliste"/>
        <w:numPr>
          <w:ilvl w:val="0"/>
          <w:numId w:val="69"/>
        </w:numPr>
        <w:autoSpaceDE w:val="0"/>
        <w:autoSpaceDN w:val="0"/>
        <w:adjustRightInd w:val="0"/>
        <w:rPr>
          <w:rFonts w:cs="Arial"/>
          <w:color w:val="000000"/>
          <w:sz w:val="22"/>
        </w:rPr>
      </w:pPr>
      <w:r w:rsidRPr="00871A3A">
        <w:rPr>
          <w:rFonts w:cs="Arial"/>
          <w:color w:val="000000"/>
          <w:sz w:val="22"/>
        </w:rPr>
        <w:t>Enlever dès que possible les matériaux d'excavation inutiles des sites de construction.</w:t>
      </w:r>
    </w:p>
    <w:p w14:paraId="2D3A94F4" w14:textId="77777777" w:rsidR="009021F1" w:rsidRPr="007E3D1A" w:rsidRDefault="009021F1" w:rsidP="009021F1">
      <w:pPr>
        <w:rPr>
          <w:rFonts w:cs="Arial"/>
          <w:sz w:val="22"/>
        </w:rPr>
      </w:pPr>
    </w:p>
    <w:p w14:paraId="3B712B7C" w14:textId="77777777" w:rsidR="009021F1" w:rsidRPr="00871A3A" w:rsidRDefault="009021F1" w:rsidP="009021F1">
      <w:pPr>
        <w:rPr>
          <w:rFonts w:cs="Arial"/>
          <w:b/>
          <w:sz w:val="22"/>
        </w:rPr>
      </w:pPr>
      <w:r w:rsidRPr="00871A3A">
        <w:rPr>
          <w:rFonts w:cs="Arial"/>
          <w:b/>
          <w:sz w:val="22"/>
        </w:rPr>
        <w:t>Émanations et Projections</w:t>
      </w:r>
    </w:p>
    <w:p w14:paraId="7F9DFB86" w14:textId="77777777" w:rsidR="009021F1" w:rsidRPr="007E3D1A" w:rsidRDefault="009021F1" w:rsidP="009021F1">
      <w:pPr>
        <w:rPr>
          <w:rFonts w:cs="Arial"/>
          <w:sz w:val="22"/>
        </w:rPr>
      </w:pPr>
    </w:p>
    <w:p w14:paraId="6AC74ED2" w14:textId="77777777" w:rsidR="009021F1" w:rsidRPr="007E3D1A" w:rsidRDefault="009021F1" w:rsidP="009021F1">
      <w:pPr>
        <w:rPr>
          <w:rFonts w:cs="Arial"/>
          <w:sz w:val="22"/>
        </w:rPr>
      </w:pPr>
      <w:r w:rsidRPr="007E3D1A">
        <w:rPr>
          <w:rFonts w:cs="Arial"/>
          <w:sz w:val="22"/>
        </w:rPr>
        <w:t>L’Entreprise doit :</w:t>
      </w:r>
    </w:p>
    <w:p w14:paraId="7B27B3F7" w14:textId="77777777" w:rsidR="009021F1" w:rsidRPr="007E3D1A" w:rsidRDefault="009021F1" w:rsidP="009021F1">
      <w:pPr>
        <w:rPr>
          <w:rFonts w:cs="Arial"/>
          <w:sz w:val="22"/>
        </w:rPr>
      </w:pPr>
    </w:p>
    <w:p w14:paraId="3D2FF74D" w14:textId="77777777" w:rsidR="009021F1" w:rsidRPr="00871A3A" w:rsidRDefault="009021F1" w:rsidP="009021F1">
      <w:pPr>
        <w:pStyle w:val="Paragraphedeliste"/>
        <w:numPr>
          <w:ilvl w:val="0"/>
          <w:numId w:val="69"/>
        </w:numPr>
        <w:autoSpaceDE w:val="0"/>
        <w:autoSpaceDN w:val="0"/>
        <w:adjustRightInd w:val="0"/>
        <w:rPr>
          <w:rFonts w:cs="Arial"/>
          <w:color w:val="000000"/>
          <w:sz w:val="22"/>
        </w:rPr>
      </w:pPr>
      <w:r w:rsidRPr="00871A3A">
        <w:rPr>
          <w:rFonts w:cs="Arial"/>
          <w:color w:val="000000"/>
          <w:sz w:val="22"/>
        </w:rPr>
        <w:t>Hermétiquement contenir au moyen d’une bâche le sable, le ciment et les autres matériaux fins durant leur transport, afin d'éviter l’envol de poussière ou leur déversement ;</w:t>
      </w:r>
    </w:p>
    <w:p w14:paraId="742F2674" w14:textId="77777777" w:rsidR="009021F1" w:rsidRPr="00871A3A" w:rsidRDefault="009021F1" w:rsidP="009021F1">
      <w:pPr>
        <w:pStyle w:val="Paragraphedeliste"/>
        <w:numPr>
          <w:ilvl w:val="0"/>
          <w:numId w:val="69"/>
        </w:numPr>
        <w:autoSpaceDE w:val="0"/>
        <w:autoSpaceDN w:val="0"/>
        <w:adjustRightInd w:val="0"/>
        <w:rPr>
          <w:rFonts w:cs="Arial"/>
          <w:color w:val="000000"/>
          <w:sz w:val="22"/>
        </w:rPr>
      </w:pPr>
      <w:r w:rsidRPr="00871A3A">
        <w:rPr>
          <w:rFonts w:cs="Arial"/>
          <w:color w:val="000000"/>
          <w:sz w:val="22"/>
        </w:rPr>
        <w:t>Prendre des protections spéciales (filets, bâches) contre les risques de projections, émanations et chutes d’objets ;</w:t>
      </w:r>
    </w:p>
    <w:p w14:paraId="4FE3160B" w14:textId="77777777" w:rsidR="009021F1" w:rsidRPr="00871A3A" w:rsidRDefault="009021F1" w:rsidP="009021F1">
      <w:pPr>
        <w:pStyle w:val="Paragraphedeliste"/>
        <w:numPr>
          <w:ilvl w:val="0"/>
          <w:numId w:val="69"/>
        </w:numPr>
        <w:autoSpaceDE w:val="0"/>
        <w:autoSpaceDN w:val="0"/>
        <w:adjustRightInd w:val="0"/>
        <w:rPr>
          <w:rFonts w:cs="Arial"/>
          <w:color w:val="000000"/>
          <w:sz w:val="22"/>
        </w:rPr>
      </w:pPr>
      <w:r w:rsidRPr="00871A3A">
        <w:rPr>
          <w:rFonts w:cs="Arial"/>
          <w:color w:val="000000"/>
          <w:sz w:val="22"/>
        </w:rPr>
        <w:t>Utiliser des méthodes de contrôle des poussières, telles que le recouvrement, l’arrosage, ou l'augmentation de la teneur en humidité des piles de stockage de matériaux à ciel ouvert, ou mettre en place des mesures de contrôle, y compris l'extraction et le traitement de l'air par un dépoussiéreur à sacs filtrants ou un cyclone pour les moyens de manutention des matériaux, telles que les convoyeurs et les bacs ;</w:t>
      </w:r>
    </w:p>
    <w:p w14:paraId="55D17F08" w14:textId="77777777" w:rsidR="009021F1" w:rsidRPr="00871A3A" w:rsidRDefault="009021F1" w:rsidP="009021F1">
      <w:pPr>
        <w:pStyle w:val="Paragraphedeliste"/>
        <w:numPr>
          <w:ilvl w:val="0"/>
          <w:numId w:val="69"/>
        </w:numPr>
        <w:autoSpaceDE w:val="0"/>
        <w:autoSpaceDN w:val="0"/>
        <w:adjustRightInd w:val="0"/>
        <w:rPr>
          <w:rFonts w:cs="Arial"/>
          <w:color w:val="000000"/>
          <w:sz w:val="22"/>
        </w:rPr>
      </w:pPr>
      <w:r w:rsidRPr="00871A3A">
        <w:rPr>
          <w:rFonts w:cs="Arial"/>
          <w:color w:val="000000"/>
          <w:sz w:val="22"/>
        </w:rPr>
        <w:t>Arroser pour contrôler la poussière sur les routes et pistes empruntées par ses engins de transport pour éviter la poussière, plus particulièrement au niveau des zones habitées.  Les sous-produits du pétrole ne doivent pas être utilisés ;</w:t>
      </w:r>
    </w:p>
    <w:p w14:paraId="61034A58" w14:textId="77777777" w:rsidR="009021F1" w:rsidRPr="00871A3A" w:rsidRDefault="009021F1" w:rsidP="009021F1">
      <w:pPr>
        <w:pStyle w:val="Paragraphedeliste"/>
        <w:numPr>
          <w:ilvl w:val="0"/>
          <w:numId w:val="69"/>
        </w:numPr>
        <w:autoSpaceDE w:val="0"/>
        <w:autoSpaceDN w:val="0"/>
        <w:adjustRightInd w:val="0"/>
        <w:rPr>
          <w:rFonts w:cs="Arial"/>
          <w:color w:val="000000"/>
          <w:sz w:val="22"/>
        </w:rPr>
      </w:pPr>
      <w:r w:rsidRPr="00871A3A">
        <w:rPr>
          <w:rFonts w:cs="Arial"/>
          <w:color w:val="000000"/>
          <w:sz w:val="22"/>
        </w:rPr>
        <w:t>Choisir l’emplacement des concasseurs et des équipements similaires en fonction du bruit et de la poussière qu'ils produisent. Le port de lunettes et de masques anti poussières est obligatoire ;</w:t>
      </w:r>
    </w:p>
    <w:p w14:paraId="5647F626" w14:textId="77777777" w:rsidR="009021F1" w:rsidRPr="00871A3A" w:rsidRDefault="009021F1" w:rsidP="009021F1">
      <w:pPr>
        <w:pStyle w:val="Paragraphedeliste"/>
        <w:numPr>
          <w:ilvl w:val="0"/>
          <w:numId w:val="69"/>
        </w:numPr>
        <w:autoSpaceDE w:val="0"/>
        <w:autoSpaceDN w:val="0"/>
        <w:adjustRightInd w:val="0"/>
        <w:rPr>
          <w:rFonts w:cs="Arial"/>
          <w:color w:val="000000"/>
          <w:sz w:val="22"/>
        </w:rPr>
      </w:pPr>
      <w:r w:rsidRPr="00871A3A">
        <w:rPr>
          <w:rFonts w:cs="Arial"/>
          <w:color w:val="000000"/>
          <w:sz w:val="22"/>
        </w:rPr>
        <w:t>Nettoyer régulièrement les surfaces des routes sur les sites de construction pour éliminer les poussières accumulées, et nettoyer régulièrement les véhicules de transport.</w:t>
      </w:r>
    </w:p>
    <w:p w14:paraId="21BAE407" w14:textId="77777777" w:rsidR="009021F1" w:rsidRPr="00871A3A" w:rsidRDefault="009021F1" w:rsidP="009021F1">
      <w:pPr>
        <w:pStyle w:val="Paragraphedeliste"/>
        <w:numPr>
          <w:ilvl w:val="0"/>
          <w:numId w:val="69"/>
        </w:numPr>
        <w:autoSpaceDE w:val="0"/>
        <w:autoSpaceDN w:val="0"/>
        <w:adjustRightInd w:val="0"/>
        <w:rPr>
          <w:rFonts w:cs="Arial"/>
          <w:color w:val="000000"/>
          <w:sz w:val="22"/>
        </w:rPr>
      </w:pPr>
      <w:r w:rsidRPr="00871A3A">
        <w:rPr>
          <w:rFonts w:cs="Arial"/>
          <w:color w:val="000000"/>
          <w:sz w:val="22"/>
        </w:rPr>
        <w:t>Utiliser des lave-roues dans les carrières, les usines de préparation de mélanges, les chantiers de construction et autres installations pour empêcher la formation de boue, de poussière et de saleté sur la voie publique ; et</w:t>
      </w:r>
    </w:p>
    <w:p w14:paraId="19CA9A51" w14:textId="77777777" w:rsidR="009021F1" w:rsidRPr="00871A3A" w:rsidRDefault="009021F1" w:rsidP="009021F1">
      <w:pPr>
        <w:pStyle w:val="Paragraphedeliste"/>
        <w:numPr>
          <w:ilvl w:val="0"/>
          <w:numId w:val="69"/>
        </w:numPr>
        <w:autoSpaceDE w:val="0"/>
        <w:autoSpaceDN w:val="0"/>
        <w:adjustRightInd w:val="0"/>
        <w:rPr>
          <w:rFonts w:cs="Arial"/>
          <w:color w:val="000000"/>
          <w:sz w:val="22"/>
        </w:rPr>
      </w:pPr>
      <w:r w:rsidRPr="00871A3A">
        <w:rPr>
          <w:rFonts w:cs="Arial"/>
          <w:color w:val="000000"/>
          <w:sz w:val="22"/>
        </w:rPr>
        <w:t>Minimiser la fumée des moteurs diesel par un entretien régulier et adéquat, notamment en veillant à ce que le moteur, le système d'injection et les filtres à air soient en bon état.</w:t>
      </w:r>
    </w:p>
    <w:p w14:paraId="0C8ECAA1" w14:textId="77777777" w:rsidR="009021F1" w:rsidRPr="007E3D1A" w:rsidRDefault="009021F1" w:rsidP="009021F1">
      <w:pPr>
        <w:rPr>
          <w:rFonts w:cs="Arial"/>
          <w:sz w:val="22"/>
        </w:rPr>
      </w:pPr>
    </w:p>
    <w:p w14:paraId="5D00349D" w14:textId="77777777" w:rsidR="009021F1" w:rsidRPr="00871A3A" w:rsidRDefault="009021F1" w:rsidP="009021F1">
      <w:pPr>
        <w:rPr>
          <w:rFonts w:cs="Arial"/>
          <w:b/>
          <w:sz w:val="22"/>
        </w:rPr>
      </w:pPr>
      <w:r w:rsidRPr="00871A3A">
        <w:rPr>
          <w:rFonts w:cs="Arial"/>
          <w:b/>
          <w:sz w:val="22"/>
        </w:rPr>
        <w:t>Produits Dangereux et Toxiques</w:t>
      </w:r>
    </w:p>
    <w:p w14:paraId="6BEF58BA" w14:textId="77777777" w:rsidR="009021F1" w:rsidRPr="007E3D1A" w:rsidRDefault="009021F1" w:rsidP="009021F1">
      <w:pPr>
        <w:rPr>
          <w:rFonts w:cs="Arial"/>
          <w:sz w:val="22"/>
        </w:rPr>
      </w:pPr>
    </w:p>
    <w:p w14:paraId="582BD4C6" w14:textId="77777777" w:rsidR="009021F1" w:rsidRPr="007E3D1A" w:rsidRDefault="009021F1" w:rsidP="009021F1">
      <w:pPr>
        <w:rPr>
          <w:rFonts w:cs="Arial"/>
          <w:sz w:val="22"/>
        </w:rPr>
      </w:pPr>
      <w:r w:rsidRPr="007E3D1A">
        <w:rPr>
          <w:rFonts w:cs="Arial"/>
          <w:sz w:val="22"/>
        </w:rPr>
        <w:t xml:space="preserve">Les produits et déchets dangereux, toxiques ou nocifs résultant des activités de construction requièrent une attention particulière afin de prévenir leur introduction dans l'environnement naturel, qui pourrait nuire aux personnes ou à l’environnement terrestre et aquatique.  </w:t>
      </w:r>
    </w:p>
    <w:p w14:paraId="248E9DDA" w14:textId="77777777" w:rsidR="009021F1" w:rsidRPr="007E3D1A" w:rsidRDefault="009021F1" w:rsidP="009021F1">
      <w:pPr>
        <w:rPr>
          <w:rFonts w:cs="Arial"/>
          <w:sz w:val="22"/>
        </w:rPr>
      </w:pPr>
    </w:p>
    <w:p w14:paraId="0E4A7995" w14:textId="77777777" w:rsidR="009021F1" w:rsidRPr="007E3D1A" w:rsidRDefault="009021F1" w:rsidP="009021F1">
      <w:pPr>
        <w:rPr>
          <w:rFonts w:cs="Arial"/>
          <w:sz w:val="22"/>
        </w:rPr>
      </w:pPr>
      <w:r w:rsidRPr="007E3D1A">
        <w:rPr>
          <w:rFonts w:cs="Arial"/>
          <w:sz w:val="22"/>
        </w:rPr>
        <w:t>L’Entreprise doit :</w:t>
      </w:r>
    </w:p>
    <w:p w14:paraId="5A27043F" w14:textId="77777777" w:rsidR="009021F1" w:rsidRPr="007E3D1A" w:rsidRDefault="009021F1" w:rsidP="009021F1">
      <w:pPr>
        <w:rPr>
          <w:rFonts w:cs="Arial"/>
          <w:sz w:val="22"/>
        </w:rPr>
      </w:pPr>
    </w:p>
    <w:p w14:paraId="25DACACB" w14:textId="77777777" w:rsidR="009021F1" w:rsidRPr="00871A3A" w:rsidRDefault="009021F1" w:rsidP="009021F1">
      <w:pPr>
        <w:pStyle w:val="Paragraphedeliste"/>
        <w:numPr>
          <w:ilvl w:val="0"/>
          <w:numId w:val="69"/>
        </w:numPr>
        <w:autoSpaceDE w:val="0"/>
        <w:autoSpaceDN w:val="0"/>
        <w:adjustRightInd w:val="0"/>
        <w:rPr>
          <w:rFonts w:cs="Arial"/>
          <w:color w:val="000000"/>
          <w:sz w:val="22"/>
        </w:rPr>
      </w:pPr>
      <w:r w:rsidRPr="00871A3A">
        <w:rPr>
          <w:rFonts w:cs="Arial"/>
          <w:color w:val="000000"/>
          <w:sz w:val="22"/>
        </w:rPr>
        <w:t>Transporter les produits pétroliers, les lubrifiants et les autres matières dangereuses de façon sécuritaire, dans des contenants étanches sur lesquels le nom du produit est clairement identifié ;</w:t>
      </w:r>
    </w:p>
    <w:p w14:paraId="55A2826B" w14:textId="77777777" w:rsidR="009021F1" w:rsidRPr="00871A3A" w:rsidRDefault="009021F1" w:rsidP="009021F1">
      <w:pPr>
        <w:pStyle w:val="Paragraphedeliste"/>
        <w:numPr>
          <w:ilvl w:val="0"/>
          <w:numId w:val="69"/>
        </w:numPr>
        <w:autoSpaceDE w:val="0"/>
        <w:autoSpaceDN w:val="0"/>
        <w:adjustRightInd w:val="0"/>
        <w:rPr>
          <w:rFonts w:cs="Arial"/>
          <w:color w:val="000000"/>
          <w:sz w:val="22"/>
        </w:rPr>
      </w:pPr>
      <w:r w:rsidRPr="00871A3A">
        <w:rPr>
          <w:rFonts w:cs="Arial"/>
          <w:color w:val="000000"/>
          <w:sz w:val="22"/>
        </w:rPr>
        <w:t>La livraison doit être effectuée par des camions citernes conformes à la réglementation en vigueur et les conducteurs doivent être sensibilisés sur les dégâts en cas d’accident ;</w:t>
      </w:r>
    </w:p>
    <w:p w14:paraId="5672374F" w14:textId="77777777" w:rsidR="009021F1" w:rsidRPr="00871A3A" w:rsidRDefault="009021F1" w:rsidP="009021F1">
      <w:pPr>
        <w:pStyle w:val="Paragraphedeliste"/>
        <w:numPr>
          <w:ilvl w:val="0"/>
          <w:numId w:val="69"/>
        </w:numPr>
        <w:autoSpaceDE w:val="0"/>
        <w:autoSpaceDN w:val="0"/>
        <w:adjustRightInd w:val="0"/>
        <w:rPr>
          <w:rFonts w:cs="Arial"/>
          <w:color w:val="000000"/>
          <w:sz w:val="22"/>
        </w:rPr>
      </w:pPr>
      <w:r w:rsidRPr="00871A3A">
        <w:rPr>
          <w:rFonts w:cs="Arial"/>
          <w:color w:val="000000"/>
          <w:sz w:val="22"/>
        </w:rPr>
        <w:t>Étiqueter tous les récipients susceptibles de contenir des substances dangereuses en raison de leurs propriétés chimiques ou toxicologiques, ou de la température ou de la pression, en fonction de leur contenu et du danger qu'ils présentent, ou selon un code de couleur approprié ;</w:t>
      </w:r>
    </w:p>
    <w:p w14:paraId="76C0B5E0" w14:textId="77777777" w:rsidR="009021F1" w:rsidRPr="00871A3A" w:rsidRDefault="009021F1" w:rsidP="009021F1">
      <w:pPr>
        <w:pStyle w:val="Paragraphedeliste"/>
        <w:numPr>
          <w:ilvl w:val="0"/>
          <w:numId w:val="69"/>
        </w:numPr>
        <w:autoSpaceDE w:val="0"/>
        <w:autoSpaceDN w:val="0"/>
        <w:adjustRightInd w:val="0"/>
        <w:rPr>
          <w:rFonts w:cs="Arial"/>
          <w:color w:val="000000"/>
          <w:sz w:val="22"/>
        </w:rPr>
      </w:pPr>
      <w:r w:rsidRPr="00871A3A">
        <w:rPr>
          <w:rFonts w:cs="Arial"/>
          <w:color w:val="000000"/>
          <w:sz w:val="22"/>
        </w:rPr>
        <w:t>Installer les entrepôts de combustible, de lubrifiants et de produits pétroliers à une distance d’au moins 200 m des plans et cours d’eau.  Les lieux d'entreposage doivent être localisés à l’extérieur de toute zone inondable et d’habitation, et être bien identifiés afin d’éviter des collisions entre les véhicules de chantier et les réservoirs de produits pétroliers ;</w:t>
      </w:r>
    </w:p>
    <w:p w14:paraId="5A0E4CF5" w14:textId="77777777" w:rsidR="009021F1" w:rsidRPr="00871A3A" w:rsidRDefault="009021F1" w:rsidP="009021F1">
      <w:pPr>
        <w:pStyle w:val="Paragraphedeliste"/>
        <w:numPr>
          <w:ilvl w:val="0"/>
          <w:numId w:val="69"/>
        </w:numPr>
        <w:autoSpaceDE w:val="0"/>
        <w:autoSpaceDN w:val="0"/>
        <w:adjustRightInd w:val="0"/>
        <w:rPr>
          <w:rFonts w:cs="Arial"/>
          <w:color w:val="000000"/>
          <w:sz w:val="22"/>
        </w:rPr>
      </w:pPr>
      <w:r w:rsidRPr="00871A3A">
        <w:rPr>
          <w:rFonts w:cs="Arial"/>
          <w:color w:val="000000"/>
          <w:sz w:val="22"/>
        </w:rPr>
        <w:t>Faire effectuer les opérations de transbordement vers les citernes de stockage par un personnel qualifié.  Les citernes de stockage doivent être étanches et posées sur des surfaces protégées disposant d'un système de protection contre des épanchements intempestifs de produit ;</w:t>
      </w:r>
    </w:p>
    <w:p w14:paraId="71AB3322" w14:textId="77777777" w:rsidR="009021F1" w:rsidRPr="00871A3A" w:rsidRDefault="009021F1" w:rsidP="009021F1">
      <w:pPr>
        <w:pStyle w:val="Paragraphedeliste"/>
        <w:numPr>
          <w:ilvl w:val="0"/>
          <w:numId w:val="69"/>
        </w:numPr>
        <w:autoSpaceDE w:val="0"/>
        <w:autoSpaceDN w:val="0"/>
        <w:adjustRightInd w:val="0"/>
        <w:rPr>
          <w:rFonts w:cs="Arial"/>
          <w:color w:val="000000"/>
          <w:sz w:val="22"/>
        </w:rPr>
      </w:pPr>
      <w:r w:rsidRPr="00871A3A">
        <w:rPr>
          <w:rFonts w:cs="Arial"/>
          <w:color w:val="000000"/>
          <w:sz w:val="22"/>
        </w:rPr>
        <w:t>Utiliser des surfaces imperméables pour les zones de ravitaillement en carburant et autres zones de transfert de fluides ;</w:t>
      </w:r>
    </w:p>
    <w:p w14:paraId="4FD5A147" w14:textId="77777777" w:rsidR="009021F1" w:rsidRPr="00871A3A" w:rsidRDefault="009021F1" w:rsidP="009021F1">
      <w:pPr>
        <w:pStyle w:val="Paragraphedeliste"/>
        <w:numPr>
          <w:ilvl w:val="0"/>
          <w:numId w:val="69"/>
        </w:numPr>
        <w:autoSpaceDE w:val="0"/>
        <w:autoSpaceDN w:val="0"/>
        <w:adjustRightInd w:val="0"/>
        <w:rPr>
          <w:rFonts w:cs="Arial"/>
          <w:color w:val="000000"/>
          <w:sz w:val="22"/>
        </w:rPr>
      </w:pPr>
      <w:r w:rsidRPr="00871A3A">
        <w:rPr>
          <w:rFonts w:cs="Arial"/>
          <w:color w:val="000000"/>
          <w:sz w:val="22"/>
        </w:rPr>
        <w:t>Protéger les réservoirs de produits pétroliers et les équipements de remplissage par une cuvette pour la rétention du contenu en cas de déversement accidentel.  Tous les réservoirs doivent être fermés quand ils ne sont pas utilisés ;</w:t>
      </w:r>
    </w:p>
    <w:p w14:paraId="5198F96F" w14:textId="77777777" w:rsidR="009021F1" w:rsidRPr="00871A3A" w:rsidRDefault="009021F1" w:rsidP="009021F1">
      <w:pPr>
        <w:pStyle w:val="Paragraphedeliste"/>
        <w:numPr>
          <w:ilvl w:val="0"/>
          <w:numId w:val="69"/>
        </w:numPr>
        <w:autoSpaceDE w:val="0"/>
        <w:autoSpaceDN w:val="0"/>
        <w:adjustRightInd w:val="0"/>
        <w:rPr>
          <w:rFonts w:cs="Arial"/>
          <w:color w:val="000000"/>
          <w:sz w:val="22"/>
        </w:rPr>
      </w:pPr>
      <w:r w:rsidRPr="00871A3A">
        <w:rPr>
          <w:rFonts w:cs="Arial"/>
          <w:color w:val="000000"/>
          <w:sz w:val="22"/>
        </w:rPr>
        <w:t>Prévoir un confinement secondaire adéquat pour les réservoirs de stockage de carburant et pour le stockage temporaire d'autres fluides tels que les huiles de lubrification et les fluides hydrauliques ;</w:t>
      </w:r>
    </w:p>
    <w:p w14:paraId="74A5EC97" w14:textId="77777777" w:rsidR="009021F1" w:rsidRPr="00871A3A" w:rsidRDefault="009021F1" w:rsidP="009021F1">
      <w:pPr>
        <w:pStyle w:val="Paragraphedeliste"/>
        <w:numPr>
          <w:ilvl w:val="0"/>
          <w:numId w:val="69"/>
        </w:numPr>
        <w:autoSpaceDE w:val="0"/>
        <w:autoSpaceDN w:val="0"/>
        <w:adjustRightInd w:val="0"/>
        <w:rPr>
          <w:rFonts w:cs="Arial"/>
          <w:color w:val="000000"/>
          <w:sz w:val="22"/>
        </w:rPr>
      </w:pPr>
      <w:r w:rsidRPr="00871A3A">
        <w:rPr>
          <w:rFonts w:cs="Arial"/>
          <w:color w:val="000000"/>
          <w:sz w:val="22"/>
        </w:rPr>
        <w:t>Éviter de stocker ou de manipuler des liquides toxiques à proximité des installations de drainage ou de les évacuer vers celles-ci ;</w:t>
      </w:r>
    </w:p>
    <w:p w14:paraId="1C7251D2" w14:textId="77777777" w:rsidR="009021F1" w:rsidRPr="00871A3A" w:rsidRDefault="009021F1" w:rsidP="009021F1">
      <w:pPr>
        <w:pStyle w:val="Paragraphedeliste"/>
        <w:numPr>
          <w:ilvl w:val="0"/>
          <w:numId w:val="69"/>
        </w:numPr>
        <w:autoSpaceDE w:val="0"/>
        <w:autoSpaceDN w:val="0"/>
        <w:adjustRightInd w:val="0"/>
        <w:rPr>
          <w:rFonts w:cs="Arial"/>
          <w:color w:val="000000"/>
          <w:sz w:val="22"/>
        </w:rPr>
      </w:pPr>
      <w:r w:rsidRPr="00871A3A">
        <w:rPr>
          <w:rFonts w:cs="Arial"/>
          <w:color w:val="000000"/>
          <w:sz w:val="22"/>
        </w:rPr>
        <w:t>Préparer un plan d’urgence en cas de déversement accidentel de contaminants et le soumettre au Maître d’Ouvrage délégué avant le début des travaux ; et</w:t>
      </w:r>
    </w:p>
    <w:p w14:paraId="68B9AD98" w14:textId="77777777" w:rsidR="009021F1" w:rsidRPr="00871A3A" w:rsidRDefault="009021F1" w:rsidP="009021F1">
      <w:pPr>
        <w:pStyle w:val="Paragraphedeliste"/>
        <w:numPr>
          <w:ilvl w:val="0"/>
          <w:numId w:val="69"/>
        </w:numPr>
        <w:autoSpaceDE w:val="0"/>
        <w:autoSpaceDN w:val="0"/>
        <w:adjustRightInd w:val="0"/>
        <w:rPr>
          <w:rFonts w:cs="Arial"/>
          <w:color w:val="000000"/>
          <w:sz w:val="22"/>
        </w:rPr>
      </w:pPr>
      <w:r w:rsidRPr="00871A3A">
        <w:rPr>
          <w:rFonts w:cs="Arial"/>
          <w:color w:val="000000"/>
          <w:sz w:val="22"/>
        </w:rPr>
        <w:t>Former les ouvriers sur le transfert et la manipulation corrects des carburants et des produits chimiques, et sur la réponse à apporter en cas de déversement.  Les mesures de lutte et de contrôle contre les déversements de produits contaminants doivent être clairement définies et les ouvriers doivent les connaître et pouvoir les mettre en œuvre en cas d’accident ;</w:t>
      </w:r>
    </w:p>
    <w:p w14:paraId="364584EC" w14:textId="77777777" w:rsidR="009021F1" w:rsidRPr="00871A3A" w:rsidRDefault="009021F1" w:rsidP="009021F1">
      <w:pPr>
        <w:pStyle w:val="Paragraphedeliste"/>
        <w:numPr>
          <w:ilvl w:val="0"/>
          <w:numId w:val="69"/>
        </w:numPr>
        <w:autoSpaceDE w:val="0"/>
        <w:autoSpaceDN w:val="0"/>
        <w:adjustRightInd w:val="0"/>
        <w:rPr>
          <w:rFonts w:cs="Arial"/>
          <w:color w:val="000000"/>
          <w:sz w:val="22"/>
        </w:rPr>
      </w:pPr>
      <w:r w:rsidRPr="00871A3A">
        <w:rPr>
          <w:rFonts w:cs="Arial"/>
          <w:color w:val="000000"/>
          <w:sz w:val="22"/>
        </w:rPr>
        <w:t>Garder des matériaux ou composés absorbants et d’isolants (e.g., coussins, feuilles, boudins) sur le site en quantités suffisantes correspondant à l'ampleur des déversements potentiels, ainsi que des récipients étanches bien identifiés, destinés à recevoir les résidus pétroliers et les déchets ;</w:t>
      </w:r>
    </w:p>
    <w:p w14:paraId="2409305F" w14:textId="77777777" w:rsidR="009021F1" w:rsidRPr="00871A3A" w:rsidRDefault="009021F1" w:rsidP="009021F1">
      <w:pPr>
        <w:pStyle w:val="Paragraphedeliste"/>
        <w:numPr>
          <w:ilvl w:val="0"/>
          <w:numId w:val="69"/>
        </w:numPr>
        <w:autoSpaceDE w:val="0"/>
        <w:autoSpaceDN w:val="0"/>
        <w:adjustRightInd w:val="0"/>
        <w:rPr>
          <w:rFonts w:cs="Arial"/>
          <w:color w:val="000000"/>
          <w:sz w:val="22"/>
        </w:rPr>
      </w:pPr>
      <w:r w:rsidRPr="00871A3A">
        <w:rPr>
          <w:rFonts w:cs="Arial"/>
          <w:color w:val="000000"/>
          <w:sz w:val="22"/>
        </w:rPr>
        <w:t>Mettre en place sur le chantier et les installations des équipements portables de confinement et de nettoyage des déversements (e.g., pelles, pompes, machinerie, contenants, gants, isolants), les équipements de communication (radio émetteur et téléphone), ainsi que le matériel requis pour signaler le déversement ;</w:t>
      </w:r>
    </w:p>
    <w:p w14:paraId="0F916FCD" w14:textId="77777777" w:rsidR="009021F1" w:rsidRPr="00871A3A" w:rsidRDefault="009021F1" w:rsidP="009021F1">
      <w:pPr>
        <w:pStyle w:val="Paragraphedeliste"/>
        <w:numPr>
          <w:ilvl w:val="0"/>
          <w:numId w:val="69"/>
        </w:numPr>
        <w:autoSpaceDE w:val="0"/>
        <w:autoSpaceDN w:val="0"/>
        <w:adjustRightInd w:val="0"/>
        <w:rPr>
          <w:rFonts w:cs="Arial"/>
          <w:color w:val="000000"/>
          <w:sz w:val="22"/>
        </w:rPr>
      </w:pPr>
      <w:r w:rsidRPr="00871A3A">
        <w:rPr>
          <w:rFonts w:cs="Arial"/>
          <w:color w:val="000000"/>
          <w:sz w:val="22"/>
        </w:rPr>
        <w:t>Verser les produits toxiques, tels que des liquides, des produits chimiques, du carburant, et des lubrifiants, dans des conteneurs en vue de leur récupération ou de leur transport ultérieur hors site ;</w:t>
      </w:r>
    </w:p>
    <w:p w14:paraId="597AC34B" w14:textId="77777777" w:rsidR="009021F1" w:rsidRPr="00871A3A" w:rsidRDefault="009021F1" w:rsidP="009021F1">
      <w:pPr>
        <w:pStyle w:val="Paragraphedeliste"/>
        <w:numPr>
          <w:ilvl w:val="0"/>
          <w:numId w:val="69"/>
        </w:numPr>
        <w:autoSpaceDE w:val="0"/>
        <w:autoSpaceDN w:val="0"/>
        <w:adjustRightInd w:val="0"/>
        <w:rPr>
          <w:rFonts w:cs="Arial"/>
          <w:color w:val="000000"/>
          <w:sz w:val="22"/>
        </w:rPr>
      </w:pPr>
      <w:r w:rsidRPr="00871A3A">
        <w:rPr>
          <w:rFonts w:cs="Arial"/>
          <w:color w:val="000000"/>
          <w:sz w:val="22"/>
        </w:rPr>
        <w:t>Nettoyer les aires de travail ou de stockage où des produits pétroliers ou autres contaminants ont été manipulés.</w:t>
      </w:r>
    </w:p>
    <w:p w14:paraId="55A2FA73" w14:textId="77777777" w:rsidR="009021F1" w:rsidRPr="007E3D1A" w:rsidRDefault="009021F1" w:rsidP="009021F1">
      <w:pPr>
        <w:rPr>
          <w:rFonts w:cs="Arial"/>
          <w:sz w:val="22"/>
        </w:rPr>
      </w:pPr>
    </w:p>
    <w:p w14:paraId="686EDE53" w14:textId="77777777" w:rsidR="009021F1" w:rsidRPr="00871A3A" w:rsidRDefault="009021F1" w:rsidP="009021F1">
      <w:pPr>
        <w:rPr>
          <w:rFonts w:cs="Arial"/>
          <w:b/>
          <w:sz w:val="22"/>
        </w:rPr>
      </w:pPr>
      <w:r w:rsidRPr="00871A3A">
        <w:rPr>
          <w:rFonts w:cs="Arial"/>
          <w:b/>
          <w:sz w:val="22"/>
        </w:rPr>
        <w:t>Entretien des engins et équipements de chantiers</w:t>
      </w:r>
    </w:p>
    <w:p w14:paraId="0053FA1C" w14:textId="77777777" w:rsidR="009021F1" w:rsidRPr="007E3D1A" w:rsidRDefault="009021F1" w:rsidP="009021F1">
      <w:pPr>
        <w:rPr>
          <w:rFonts w:cs="Arial"/>
          <w:sz w:val="22"/>
        </w:rPr>
      </w:pPr>
    </w:p>
    <w:p w14:paraId="30AEC37D" w14:textId="77777777" w:rsidR="009021F1" w:rsidRPr="007E3D1A" w:rsidRDefault="009021F1" w:rsidP="009021F1">
      <w:pPr>
        <w:rPr>
          <w:rFonts w:cs="Arial"/>
          <w:sz w:val="22"/>
        </w:rPr>
      </w:pPr>
      <w:r w:rsidRPr="007E3D1A">
        <w:rPr>
          <w:rFonts w:cs="Arial"/>
          <w:sz w:val="22"/>
        </w:rPr>
        <w:t>L'Entreprise doit :</w:t>
      </w:r>
    </w:p>
    <w:p w14:paraId="3B8E588C" w14:textId="77777777" w:rsidR="009021F1" w:rsidRPr="007E3D1A" w:rsidRDefault="009021F1" w:rsidP="009021F1">
      <w:pPr>
        <w:rPr>
          <w:rFonts w:cs="Arial"/>
          <w:sz w:val="22"/>
        </w:rPr>
      </w:pPr>
    </w:p>
    <w:p w14:paraId="5EE7B552" w14:textId="77777777" w:rsidR="009021F1" w:rsidRPr="007E3D1A" w:rsidRDefault="009021F1" w:rsidP="009021F1">
      <w:pPr>
        <w:rPr>
          <w:rFonts w:cs="Arial"/>
          <w:sz w:val="22"/>
        </w:rPr>
      </w:pPr>
      <w:r w:rsidRPr="007E3D1A">
        <w:rPr>
          <w:rFonts w:cs="Arial"/>
          <w:sz w:val="22"/>
        </w:rPr>
        <w:t>Respecter les normes d’entretien des engins de chantiers et des véhicules et effectuer le ravitaillement en carburant et lubrifiant dans un lieu désigné à cet effet.</w:t>
      </w:r>
    </w:p>
    <w:p w14:paraId="7A23E90C" w14:textId="77777777" w:rsidR="009021F1" w:rsidRPr="007E3D1A" w:rsidRDefault="009021F1" w:rsidP="009021F1">
      <w:pPr>
        <w:rPr>
          <w:rFonts w:cs="Arial"/>
          <w:sz w:val="22"/>
        </w:rPr>
      </w:pPr>
      <w:r w:rsidRPr="007E3D1A">
        <w:rPr>
          <w:rFonts w:cs="Arial"/>
          <w:sz w:val="22"/>
        </w:rPr>
        <w:t>Recueillir, traiter ou recycler tous les résidus pétroliers, les huiles usagées et les déchets produits lors des activités d'entretien ou de réparation de la machinerie.  Il est interdit de les rejeter dans l'environnement ou sur le site du chantier.</w:t>
      </w:r>
    </w:p>
    <w:p w14:paraId="4EB05E88" w14:textId="77777777" w:rsidR="009021F1" w:rsidRPr="007E3D1A" w:rsidRDefault="009021F1" w:rsidP="009021F1">
      <w:pPr>
        <w:rPr>
          <w:rFonts w:cs="Arial"/>
          <w:sz w:val="22"/>
        </w:rPr>
      </w:pPr>
      <w:r w:rsidRPr="007E3D1A">
        <w:rPr>
          <w:rFonts w:cs="Arial"/>
          <w:sz w:val="22"/>
        </w:rPr>
        <w:t>S’assurer que les aires de lavage et d'entretien d'engins soient bétonnées et pourvues d'un ouvrage de récupération des huiles et graisses, avec une pente orientée de manière à éviter l'écoulement des produits polluants vers les sols non revêtus. Les bétonnières et les équipements servant au transport et à la pose du béton doivent être lavés dans des aires prévues à cet effet.</w:t>
      </w:r>
    </w:p>
    <w:p w14:paraId="5F2753E8" w14:textId="77777777" w:rsidR="009021F1" w:rsidRPr="007E3D1A" w:rsidRDefault="009021F1" w:rsidP="009021F1">
      <w:pPr>
        <w:rPr>
          <w:rFonts w:cs="Arial"/>
          <w:sz w:val="22"/>
        </w:rPr>
      </w:pPr>
      <w:r w:rsidRPr="007E3D1A">
        <w:rPr>
          <w:rFonts w:cs="Arial"/>
          <w:sz w:val="22"/>
        </w:rPr>
        <w:t xml:space="preserve">Effectuer les vidanges dans des fûts étanches et conserver les huiles usagées pour les remettre au fournisseur (recyclage) ou aux populations locales pour d’autres usages.  Les pièces de rechange usagées doivent être envoyées à la décharge publique. </w:t>
      </w:r>
    </w:p>
    <w:p w14:paraId="02CAD695" w14:textId="77777777" w:rsidR="009021F1" w:rsidRPr="007E3D1A" w:rsidRDefault="009021F1" w:rsidP="009021F1">
      <w:pPr>
        <w:rPr>
          <w:rFonts w:cs="Arial"/>
          <w:sz w:val="22"/>
        </w:rPr>
      </w:pPr>
    </w:p>
    <w:p w14:paraId="3A96C9CD" w14:textId="77777777" w:rsidR="009021F1" w:rsidRPr="007E3D1A" w:rsidRDefault="009021F1" w:rsidP="009021F1">
      <w:pPr>
        <w:rPr>
          <w:rFonts w:cs="Arial"/>
          <w:sz w:val="22"/>
        </w:rPr>
      </w:pPr>
      <w:r w:rsidRPr="007E3D1A">
        <w:rPr>
          <w:rFonts w:cs="Arial"/>
          <w:sz w:val="22"/>
        </w:rPr>
        <w:t>Gestion des déchets liquides</w:t>
      </w:r>
    </w:p>
    <w:p w14:paraId="45C895BE" w14:textId="77777777" w:rsidR="009021F1" w:rsidRPr="007E3D1A" w:rsidRDefault="009021F1" w:rsidP="009021F1">
      <w:pPr>
        <w:rPr>
          <w:rFonts w:cs="Arial"/>
          <w:sz w:val="22"/>
        </w:rPr>
      </w:pPr>
    </w:p>
    <w:p w14:paraId="3B256374" w14:textId="77777777" w:rsidR="009021F1" w:rsidRPr="007E3D1A" w:rsidRDefault="009021F1" w:rsidP="009021F1">
      <w:pPr>
        <w:rPr>
          <w:rFonts w:cs="Arial"/>
          <w:sz w:val="22"/>
        </w:rPr>
      </w:pPr>
      <w:r w:rsidRPr="007E3D1A">
        <w:rPr>
          <w:rFonts w:cs="Arial"/>
          <w:sz w:val="22"/>
        </w:rPr>
        <w:t>L’entreprise doit :</w:t>
      </w:r>
    </w:p>
    <w:p w14:paraId="24653348" w14:textId="77777777" w:rsidR="009021F1" w:rsidRPr="007E3D1A" w:rsidRDefault="009021F1" w:rsidP="009021F1">
      <w:pPr>
        <w:rPr>
          <w:rFonts w:cs="Arial"/>
          <w:sz w:val="22"/>
        </w:rPr>
      </w:pPr>
    </w:p>
    <w:p w14:paraId="596D1856" w14:textId="77777777" w:rsidR="009021F1" w:rsidRPr="007E3D1A" w:rsidRDefault="009021F1" w:rsidP="009021F1">
      <w:pPr>
        <w:rPr>
          <w:rFonts w:cs="Arial"/>
          <w:sz w:val="22"/>
        </w:rPr>
      </w:pPr>
      <w:r w:rsidRPr="007E3D1A">
        <w:rPr>
          <w:rFonts w:cs="Arial"/>
          <w:sz w:val="22"/>
        </w:rPr>
        <w:t>Pouvoir les bureaux et les logements d'installations sanitaires en nombre suffisant (latrines, fosses septiques, lavabos et douches), en accord avec le Maître d’Ouvrage délégué, et en conformité avec les règlements sanitaires applicables ;</w:t>
      </w:r>
    </w:p>
    <w:p w14:paraId="494B8A83" w14:textId="77777777" w:rsidR="009021F1" w:rsidRPr="007E3D1A" w:rsidRDefault="009021F1" w:rsidP="009021F1">
      <w:pPr>
        <w:rPr>
          <w:rFonts w:cs="Arial"/>
          <w:sz w:val="22"/>
        </w:rPr>
      </w:pPr>
      <w:r w:rsidRPr="007E3D1A">
        <w:rPr>
          <w:rFonts w:cs="Arial"/>
          <w:sz w:val="22"/>
        </w:rPr>
        <w:t>Assurer un traitement primaire adéquat des effluents d'assainissement par la mise en place un système d’assainissement autonome approprié, par exemple une fosse étanche ou septique ; et</w:t>
      </w:r>
    </w:p>
    <w:p w14:paraId="720D9350" w14:textId="77777777" w:rsidR="009021F1" w:rsidRPr="007E3D1A" w:rsidRDefault="009021F1" w:rsidP="009021F1">
      <w:pPr>
        <w:rPr>
          <w:rFonts w:cs="Arial"/>
          <w:sz w:val="22"/>
        </w:rPr>
      </w:pPr>
      <w:r w:rsidRPr="007E3D1A">
        <w:rPr>
          <w:rFonts w:cs="Arial"/>
          <w:sz w:val="22"/>
        </w:rPr>
        <w:t>Éviter tout déversement ou rejet d’eaux usées, d’eaux de vidange des fosses, de boues, hydrocarbures, et polluants de toute natures, dans les eaux superficielles ou souterraines, les égouts, ou les fossés de drainage.</w:t>
      </w:r>
    </w:p>
    <w:p w14:paraId="0DD94818" w14:textId="77777777" w:rsidR="009021F1" w:rsidRPr="007E3D1A" w:rsidRDefault="009021F1" w:rsidP="009021F1">
      <w:pPr>
        <w:rPr>
          <w:rFonts w:cs="Arial"/>
          <w:sz w:val="22"/>
        </w:rPr>
      </w:pPr>
    </w:p>
    <w:p w14:paraId="63AF8713" w14:textId="77777777" w:rsidR="009021F1" w:rsidRPr="007E3D1A" w:rsidRDefault="009021F1" w:rsidP="009021F1">
      <w:pPr>
        <w:rPr>
          <w:rFonts w:cs="Arial"/>
          <w:sz w:val="22"/>
        </w:rPr>
      </w:pPr>
      <w:r w:rsidRPr="007E3D1A">
        <w:rPr>
          <w:rFonts w:cs="Arial"/>
          <w:sz w:val="22"/>
        </w:rPr>
        <w:t>Gestion des déchets solides</w:t>
      </w:r>
    </w:p>
    <w:p w14:paraId="5FDDD33F" w14:textId="77777777" w:rsidR="009021F1" w:rsidRPr="007E3D1A" w:rsidRDefault="009021F1" w:rsidP="009021F1">
      <w:pPr>
        <w:rPr>
          <w:rFonts w:cs="Arial"/>
          <w:sz w:val="22"/>
        </w:rPr>
      </w:pPr>
    </w:p>
    <w:p w14:paraId="5BFDEE94" w14:textId="77777777" w:rsidR="009021F1" w:rsidRPr="007E3D1A" w:rsidRDefault="009021F1" w:rsidP="009021F1">
      <w:pPr>
        <w:rPr>
          <w:rFonts w:cs="Arial"/>
          <w:sz w:val="22"/>
        </w:rPr>
      </w:pPr>
      <w:r w:rsidRPr="007E3D1A">
        <w:rPr>
          <w:rFonts w:cs="Arial"/>
          <w:sz w:val="22"/>
        </w:rPr>
        <w:t>L’Entreprise doit :</w:t>
      </w:r>
    </w:p>
    <w:p w14:paraId="37B683AD" w14:textId="77777777" w:rsidR="009021F1" w:rsidRPr="007E3D1A" w:rsidRDefault="009021F1" w:rsidP="009021F1">
      <w:pPr>
        <w:rPr>
          <w:rFonts w:cs="Arial"/>
          <w:sz w:val="22"/>
        </w:rPr>
      </w:pPr>
    </w:p>
    <w:p w14:paraId="6FE64A81" w14:textId="77777777" w:rsidR="009021F1" w:rsidRPr="007E3D1A" w:rsidRDefault="009021F1" w:rsidP="009021F1">
      <w:pPr>
        <w:rPr>
          <w:rFonts w:cs="Arial"/>
          <w:sz w:val="22"/>
        </w:rPr>
      </w:pPr>
      <w:r w:rsidRPr="007E3D1A">
        <w:rPr>
          <w:rFonts w:cs="Arial"/>
          <w:sz w:val="22"/>
        </w:rPr>
        <w:t>Déposer les ordures ménagères dans des poubelles étanches qui seront vidées périodiquement ;</w:t>
      </w:r>
    </w:p>
    <w:p w14:paraId="70C51BB7" w14:textId="77777777" w:rsidR="009021F1" w:rsidRPr="007E3D1A" w:rsidRDefault="009021F1" w:rsidP="009021F1">
      <w:pPr>
        <w:rPr>
          <w:rFonts w:cs="Arial"/>
          <w:sz w:val="22"/>
        </w:rPr>
      </w:pPr>
      <w:r w:rsidRPr="007E3D1A">
        <w:rPr>
          <w:rFonts w:cs="Arial"/>
          <w:sz w:val="22"/>
        </w:rPr>
        <w:t>Utiliser des bennes étanches en cas d’évacuation par les camions du chantier, de façon à ne pas laisser échapper de déchets ;</w:t>
      </w:r>
    </w:p>
    <w:p w14:paraId="54C52833" w14:textId="77777777" w:rsidR="009021F1" w:rsidRPr="007E3D1A" w:rsidRDefault="009021F1" w:rsidP="009021F1">
      <w:pPr>
        <w:rPr>
          <w:rFonts w:cs="Arial"/>
          <w:sz w:val="22"/>
        </w:rPr>
      </w:pPr>
      <w:r w:rsidRPr="007E3D1A">
        <w:rPr>
          <w:rFonts w:cs="Arial"/>
          <w:sz w:val="22"/>
        </w:rPr>
        <w:t>De préférence, collecter les ordures quotidiennement pour ne pas attirer les vecteurs, surtout durant les périodes de chaleur ;</w:t>
      </w:r>
    </w:p>
    <w:p w14:paraId="2AA41BF3" w14:textId="77777777" w:rsidR="009021F1" w:rsidRPr="007E3D1A" w:rsidRDefault="009021F1" w:rsidP="009021F1">
      <w:pPr>
        <w:rPr>
          <w:rFonts w:cs="Arial"/>
          <w:sz w:val="22"/>
        </w:rPr>
      </w:pPr>
      <w:r w:rsidRPr="007E3D1A">
        <w:rPr>
          <w:rFonts w:cs="Arial"/>
          <w:sz w:val="22"/>
        </w:rPr>
        <w:t>Éliminer ou recycler les déchets de manière écologiquement rationnelle ;</w:t>
      </w:r>
    </w:p>
    <w:p w14:paraId="74D0F092" w14:textId="77777777" w:rsidR="009021F1" w:rsidRPr="007E3D1A" w:rsidRDefault="009021F1" w:rsidP="009021F1">
      <w:pPr>
        <w:rPr>
          <w:rFonts w:cs="Arial"/>
          <w:sz w:val="22"/>
        </w:rPr>
      </w:pPr>
      <w:r w:rsidRPr="007E3D1A">
        <w:rPr>
          <w:rFonts w:cs="Arial"/>
          <w:sz w:val="22"/>
        </w:rPr>
        <w:t>Localiser les décharges pour l'élimination des déchets solides à au moins 100 m des cours d'eau, et les clôturer afin d’empêcher l’accès par les populations locales ; et</w:t>
      </w:r>
    </w:p>
    <w:p w14:paraId="0EAA1331" w14:textId="77777777" w:rsidR="009021F1" w:rsidRPr="007E3D1A" w:rsidRDefault="009021F1" w:rsidP="009021F1">
      <w:pPr>
        <w:rPr>
          <w:rFonts w:cs="Arial"/>
          <w:sz w:val="22"/>
        </w:rPr>
      </w:pPr>
      <w:r w:rsidRPr="007E3D1A">
        <w:rPr>
          <w:rFonts w:cs="Arial"/>
          <w:sz w:val="22"/>
        </w:rPr>
        <w:t>Si possible, acheminer les déchets, vers les lieux d’élimination autorisés existants.</w:t>
      </w:r>
    </w:p>
    <w:p w14:paraId="2DAF05E9" w14:textId="77777777" w:rsidR="009021F1" w:rsidRPr="007E3D1A" w:rsidRDefault="009021F1" w:rsidP="009021F1">
      <w:pPr>
        <w:rPr>
          <w:rFonts w:cs="Arial"/>
          <w:sz w:val="22"/>
        </w:rPr>
      </w:pPr>
    </w:p>
    <w:p w14:paraId="2E827D95" w14:textId="77777777" w:rsidR="009021F1" w:rsidRPr="007E3D1A" w:rsidRDefault="009021F1" w:rsidP="009021F1">
      <w:pPr>
        <w:rPr>
          <w:rFonts w:cs="Arial"/>
          <w:sz w:val="22"/>
        </w:rPr>
      </w:pPr>
      <w:r w:rsidRPr="007E3D1A">
        <w:rPr>
          <w:rFonts w:cs="Arial"/>
          <w:sz w:val="22"/>
        </w:rPr>
        <w:t>Étiquetage des Équipements</w:t>
      </w:r>
    </w:p>
    <w:p w14:paraId="5F1890F9" w14:textId="77777777" w:rsidR="009021F1" w:rsidRPr="007E3D1A" w:rsidRDefault="009021F1" w:rsidP="009021F1">
      <w:pPr>
        <w:rPr>
          <w:rFonts w:cs="Arial"/>
          <w:sz w:val="22"/>
        </w:rPr>
      </w:pPr>
    </w:p>
    <w:p w14:paraId="4C7E841C" w14:textId="77777777" w:rsidR="009021F1" w:rsidRPr="007E3D1A" w:rsidRDefault="009021F1" w:rsidP="009021F1">
      <w:pPr>
        <w:rPr>
          <w:rFonts w:cs="Arial"/>
          <w:sz w:val="22"/>
        </w:rPr>
      </w:pPr>
      <w:r w:rsidRPr="007E3D1A">
        <w:rPr>
          <w:rFonts w:cs="Arial"/>
          <w:sz w:val="22"/>
        </w:rPr>
        <w:t>Tous les récipients susceptibles de contenir des substances dangereuses en raison de leurs propriétés chimiques ou toxicologiques, ou de la température ou de la pression, doivent être étiquetés en fonction de leur contenu et du danger qu'ils présentent, ou porter un code de couleur approprié.</w:t>
      </w:r>
    </w:p>
    <w:p w14:paraId="2C9F1657" w14:textId="77777777" w:rsidR="009021F1" w:rsidRPr="007E3D1A" w:rsidRDefault="009021F1" w:rsidP="009021F1">
      <w:pPr>
        <w:rPr>
          <w:rFonts w:cs="Arial"/>
          <w:sz w:val="22"/>
        </w:rPr>
      </w:pPr>
    </w:p>
    <w:p w14:paraId="6E28DE38" w14:textId="77777777" w:rsidR="009021F1" w:rsidRPr="007E3D1A" w:rsidRDefault="009021F1" w:rsidP="009021F1">
      <w:pPr>
        <w:rPr>
          <w:rFonts w:cs="Arial"/>
          <w:sz w:val="22"/>
        </w:rPr>
      </w:pPr>
      <w:r w:rsidRPr="007E3D1A">
        <w:rPr>
          <w:rFonts w:cs="Arial"/>
          <w:sz w:val="22"/>
        </w:rPr>
        <w:t>Bancs d’Emprunt et Carrières</w:t>
      </w:r>
    </w:p>
    <w:p w14:paraId="30E209A6" w14:textId="77777777" w:rsidR="009021F1" w:rsidRPr="007E3D1A" w:rsidRDefault="009021F1" w:rsidP="009021F1">
      <w:pPr>
        <w:rPr>
          <w:rFonts w:cs="Arial"/>
          <w:sz w:val="22"/>
        </w:rPr>
      </w:pPr>
    </w:p>
    <w:p w14:paraId="6A98F028" w14:textId="77777777" w:rsidR="009021F1" w:rsidRPr="007E3D1A" w:rsidRDefault="009021F1" w:rsidP="009021F1">
      <w:pPr>
        <w:rPr>
          <w:rFonts w:cs="Arial"/>
          <w:sz w:val="22"/>
        </w:rPr>
      </w:pPr>
      <w:r w:rsidRPr="007E3D1A">
        <w:rPr>
          <w:rFonts w:cs="Arial"/>
          <w:sz w:val="22"/>
        </w:rPr>
        <w:t>Les matériaux nécessaires au remblayage qui ne sont pas disponibles sur place seront obtenus à partir de zones d'emprunt et de carrières que l’Entreprise identifiera, sous réserve de l'approbation du Maître d’Ouvrage délégué.</w:t>
      </w:r>
    </w:p>
    <w:p w14:paraId="084219FB" w14:textId="77777777" w:rsidR="009021F1" w:rsidRPr="007E3D1A" w:rsidRDefault="009021F1" w:rsidP="009021F1">
      <w:pPr>
        <w:rPr>
          <w:rFonts w:cs="Arial"/>
          <w:sz w:val="22"/>
        </w:rPr>
      </w:pPr>
      <w:r w:rsidRPr="007E3D1A">
        <w:rPr>
          <w:rFonts w:cs="Arial"/>
          <w:sz w:val="22"/>
        </w:rPr>
        <w:t>L’Entreprise doit :</w:t>
      </w:r>
    </w:p>
    <w:p w14:paraId="6AEB77CA" w14:textId="77777777" w:rsidR="009021F1" w:rsidRPr="007E3D1A" w:rsidRDefault="009021F1" w:rsidP="009021F1">
      <w:pPr>
        <w:rPr>
          <w:rFonts w:cs="Arial"/>
          <w:sz w:val="22"/>
        </w:rPr>
      </w:pPr>
      <w:r w:rsidRPr="007E3D1A">
        <w:rPr>
          <w:rFonts w:cs="Arial"/>
          <w:sz w:val="22"/>
        </w:rPr>
        <w:t>Obtenir tous les permis et autorisations nécessaires pour ouvrir et exploiter des bancs d'emprunt et des carrières (temporaires et permanents), en conformité à la législation nationale en la matière.</w:t>
      </w:r>
    </w:p>
    <w:p w14:paraId="665F76C4" w14:textId="77777777" w:rsidR="009021F1" w:rsidRPr="007E3D1A" w:rsidRDefault="009021F1" w:rsidP="009021F1">
      <w:pPr>
        <w:rPr>
          <w:rFonts w:cs="Arial"/>
          <w:sz w:val="22"/>
        </w:rPr>
      </w:pPr>
      <w:r w:rsidRPr="007E3D1A">
        <w:rPr>
          <w:rFonts w:cs="Arial"/>
          <w:sz w:val="22"/>
        </w:rPr>
        <w:t>Utiliser, dans la mesure du possible, un site existant.</w:t>
      </w:r>
    </w:p>
    <w:p w14:paraId="775C3D1A" w14:textId="77777777" w:rsidR="009021F1" w:rsidRPr="007E3D1A" w:rsidRDefault="009021F1" w:rsidP="009021F1">
      <w:pPr>
        <w:rPr>
          <w:rFonts w:cs="Arial"/>
          <w:sz w:val="22"/>
        </w:rPr>
      </w:pPr>
      <w:r w:rsidRPr="007E3D1A">
        <w:rPr>
          <w:rFonts w:cs="Arial"/>
          <w:sz w:val="22"/>
        </w:rPr>
        <w:t>Situer les carrières aussi loin que possible des agglomérations.  L'exploitation des carrières produira du bruit et de la poussière qui auront un impact sur les communautés voisines, même si des contrôles sont imposés.</w:t>
      </w:r>
    </w:p>
    <w:p w14:paraId="28A110F9" w14:textId="77777777" w:rsidR="009021F1" w:rsidRPr="007E3D1A" w:rsidRDefault="009021F1" w:rsidP="009021F1">
      <w:pPr>
        <w:rPr>
          <w:rFonts w:cs="Arial"/>
          <w:sz w:val="22"/>
        </w:rPr>
      </w:pPr>
      <w:r w:rsidRPr="007E3D1A">
        <w:rPr>
          <w:rFonts w:cs="Arial"/>
          <w:sz w:val="22"/>
        </w:rPr>
        <w:t>Clôturer et sécuriser les sites de carrières.  Les parois abruptes des carrières constituent un danger pour les personnes et le bétail.</w:t>
      </w:r>
    </w:p>
    <w:p w14:paraId="4614E41E" w14:textId="77777777" w:rsidR="009021F1" w:rsidRPr="007E3D1A" w:rsidRDefault="009021F1" w:rsidP="009021F1">
      <w:pPr>
        <w:rPr>
          <w:rFonts w:cs="Arial"/>
          <w:sz w:val="22"/>
        </w:rPr>
      </w:pPr>
      <w:r w:rsidRPr="007E3D1A">
        <w:rPr>
          <w:rFonts w:cs="Arial"/>
          <w:sz w:val="22"/>
        </w:rPr>
        <w:t>Localiser les bancs d'emprunt et les carrières à au moins 100 m des cours d'eau ou des habitations humaines.</w:t>
      </w:r>
    </w:p>
    <w:p w14:paraId="2A802D90" w14:textId="77777777" w:rsidR="009021F1" w:rsidRPr="007E3D1A" w:rsidRDefault="009021F1" w:rsidP="009021F1">
      <w:pPr>
        <w:rPr>
          <w:rFonts w:cs="Arial"/>
          <w:sz w:val="22"/>
        </w:rPr>
      </w:pPr>
      <w:r w:rsidRPr="007E3D1A">
        <w:rPr>
          <w:rFonts w:cs="Arial"/>
          <w:sz w:val="22"/>
        </w:rPr>
        <w:t>Effectuer une inspection/enquête préalable à tout dynamitage, en consultation avec les résidents/propriétaires, avant d'exploiter une carrière, pour documenter l'état existant des bâtiments et identifier toute structure, élément de bâtiment ou contenu sensible.  Les conditions du site et les informations de l'inspection doivent être utilisées pour concevoir l'opération de dynamitage afin d'éviter tout impact sur la propriété.</w:t>
      </w:r>
    </w:p>
    <w:p w14:paraId="1260BEEA" w14:textId="77777777" w:rsidR="009021F1" w:rsidRPr="007E3D1A" w:rsidRDefault="009021F1" w:rsidP="009021F1">
      <w:pPr>
        <w:rPr>
          <w:rFonts w:cs="Arial"/>
          <w:sz w:val="22"/>
        </w:rPr>
      </w:pPr>
      <w:r w:rsidRPr="007E3D1A">
        <w:rPr>
          <w:rFonts w:cs="Arial"/>
          <w:sz w:val="22"/>
        </w:rPr>
        <w:t>Localiser, dans la mesure du possible, les bancs d'emprunt sur des terres qui ne sont pas utilisées pour la culture et qui ne sont pas boisées.</w:t>
      </w:r>
    </w:p>
    <w:p w14:paraId="2488C311" w14:textId="77777777" w:rsidR="009021F1" w:rsidRPr="007E3D1A" w:rsidRDefault="009021F1" w:rsidP="009021F1">
      <w:pPr>
        <w:rPr>
          <w:rFonts w:cs="Arial"/>
          <w:sz w:val="22"/>
        </w:rPr>
      </w:pPr>
      <w:r w:rsidRPr="007E3D1A">
        <w:rPr>
          <w:rFonts w:cs="Arial"/>
          <w:sz w:val="22"/>
        </w:rPr>
        <w:t>Éviter les zones présentant un intérêt historique ou culturel local et éviter de creuser à moins de 25 m des tombes.</w:t>
      </w:r>
    </w:p>
    <w:p w14:paraId="2DB03586" w14:textId="77777777" w:rsidR="009021F1" w:rsidRPr="007E3D1A" w:rsidRDefault="009021F1" w:rsidP="009021F1">
      <w:pPr>
        <w:rPr>
          <w:rFonts w:cs="Arial"/>
          <w:sz w:val="22"/>
        </w:rPr>
      </w:pPr>
      <w:r w:rsidRPr="007E3D1A">
        <w:rPr>
          <w:rFonts w:cs="Arial"/>
          <w:sz w:val="22"/>
        </w:rPr>
        <w:t>Cacher, dans la mesure du possible, les bancs d’emprunt de la route, et concevoir les carrières et les bancs d'emprunt de manière à minimiser les impacts visibles sur le paysage.</w:t>
      </w:r>
    </w:p>
    <w:p w14:paraId="5C02210E" w14:textId="77777777" w:rsidR="009021F1" w:rsidRPr="007E3D1A" w:rsidRDefault="009021F1" w:rsidP="009021F1">
      <w:pPr>
        <w:rPr>
          <w:rFonts w:cs="Arial"/>
          <w:sz w:val="22"/>
        </w:rPr>
      </w:pPr>
    </w:p>
    <w:p w14:paraId="58BB0BF2" w14:textId="77777777" w:rsidR="009021F1" w:rsidRPr="007E3D1A" w:rsidRDefault="009021F1" w:rsidP="009021F1">
      <w:pPr>
        <w:rPr>
          <w:rFonts w:cs="Arial"/>
          <w:sz w:val="22"/>
        </w:rPr>
      </w:pPr>
      <w:r w:rsidRPr="007E3D1A">
        <w:rPr>
          <w:rFonts w:cs="Arial"/>
          <w:sz w:val="22"/>
        </w:rPr>
        <w:t>Fermeture des chantier et installations</w:t>
      </w:r>
    </w:p>
    <w:p w14:paraId="1AC63867" w14:textId="77777777" w:rsidR="009021F1" w:rsidRPr="007E3D1A" w:rsidRDefault="009021F1" w:rsidP="009021F1">
      <w:pPr>
        <w:rPr>
          <w:rFonts w:cs="Arial"/>
          <w:sz w:val="22"/>
        </w:rPr>
      </w:pPr>
    </w:p>
    <w:p w14:paraId="416E9A10" w14:textId="77777777" w:rsidR="009021F1" w:rsidRPr="007E3D1A" w:rsidRDefault="009021F1" w:rsidP="009021F1">
      <w:pPr>
        <w:rPr>
          <w:rFonts w:cs="Arial"/>
          <w:sz w:val="22"/>
        </w:rPr>
      </w:pPr>
      <w:r w:rsidRPr="007E3D1A">
        <w:rPr>
          <w:rFonts w:cs="Arial"/>
          <w:sz w:val="22"/>
        </w:rPr>
        <w:t>L’entreprise doit à la fin des travaux :</w:t>
      </w:r>
    </w:p>
    <w:p w14:paraId="4B193F10" w14:textId="77777777" w:rsidR="009021F1" w:rsidRPr="007E3D1A" w:rsidRDefault="009021F1" w:rsidP="009021F1">
      <w:pPr>
        <w:rPr>
          <w:rFonts w:cs="Arial"/>
          <w:sz w:val="22"/>
        </w:rPr>
      </w:pPr>
    </w:p>
    <w:p w14:paraId="22952E31" w14:textId="77777777" w:rsidR="009021F1" w:rsidRPr="007E3D1A" w:rsidRDefault="009021F1" w:rsidP="009021F1">
      <w:pPr>
        <w:rPr>
          <w:rFonts w:cs="Arial"/>
          <w:sz w:val="22"/>
        </w:rPr>
      </w:pPr>
      <w:r w:rsidRPr="007E3D1A">
        <w:rPr>
          <w:rFonts w:cs="Arial"/>
          <w:sz w:val="22"/>
        </w:rPr>
        <w:t>Laisser les sites qu’elle a occupé ou utilisé dans un état propre à leur affectation immédiate et faire constater cet état par le Maître d’Ouvrage délégué avant d’être libéré de ses engagements et de sa responsabilité concernant leur usage. En cas de défaillance de l'Entreprise, le Maître d’Ouvrage délégué peut faire effectuer ces travaux par une entreprise de son choix aux frais du défaillant ;</w:t>
      </w:r>
    </w:p>
    <w:p w14:paraId="5019DE6C" w14:textId="77777777" w:rsidR="009021F1" w:rsidRPr="007E3D1A" w:rsidRDefault="009021F1" w:rsidP="009021F1">
      <w:pPr>
        <w:rPr>
          <w:rFonts w:cs="Arial"/>
          <w:sz w:val="22"/>
        </w:rPr>
      </w:pPr>
      <w:r w:rsidRPr="007E3D1A">
        <w:rPr>
          <w:rFonts w:cs="Arial"/>
          <w:sz w:val="22"/>
        </w:rPr>
        <w:t>Remettre les installations permanentes qui ont été endommagées dans un état équivalent à ce qu’elles étaient avant le début des travaux ;</w:t>
      </w:r>
    </w:p>
    <w:p w14:paraId="0B76C029" w14:textId="77777777" w:rsidR="009021F1" w:rsidRPr="007E3D1A" w:rsidRDefault="009021F1" w:rsidP="009021F1">
      <w:pPr>
        <w:rPr>
          <w:rFonts w:cs="Arial"/>
          <w:sz w:val="22"/>
        </w:rPr>
      </w:pPr>
      <w:r w:rsidRPr="007E3D1A">
        <w:rPr>
          <w:rFonts w:cs="Arial"/>
          <w:sz w:val="22"/>
        </w:rPr>
        <w:t>Débarrasser les chantiers et les installations des bâtiments temporaires, des clôtures ou autre obstacle à la circulation, de tout équipement, déchets solides ou liquides, et matériaux excédentaires, et les éliminer ou recycler d’une manière appropriée, tel qu’indiqué par les autorités compétentes ;</w:t>
      </w:r>
    </w:p>
    <w:p w14:paraId="65B6A016" w14:textId="77777777" w:rsidR="009021F1" w:rsidRPr="007E3D1A" w:rsidRDefault="009021F1" w:rsidP="009021F1">
      <w:pPr>
        <w:rPr>
          <w:rFonts w:cs="Arial"/>
          <w:sz w:val="22"/>
        </w:rPr>
      </w:pPr>
      <w:r w:rsidRPr="007E3D1A">
        <w:rPr>
          <w:rFonts w:cs="Arial"/>
          <w:sz w:val="22"/>
        </w:rPr>
        <w:t>Enlever les revêtements de béton, les pavés et les dalles, les transporter aux sites de rejet autorisés, et recouvrir les sites recouverts de terre ;</w:t>
      </w:r>
    </w:p>
    <w:p w14:paraId="2A2858DD" w14:textId="77777777" w:rsidR="009021F1" w:rsidRPr="007E3D1A" w:rsidRDefault="009021F1" w:rsidP="009021F1">
      <w:pPr>
        <w:rPr>
          <w:rFonts w:cs="Arial"/>
          <w:sz w:val="22"/>
        </w:rPr>
      </w:pPr>
      <w:r w:rsidRPr="007E3D1A">
        <w:rPr>
          <w:rFonts w:cs="Arial"/>
          <w:sz w:val="22"/>
        </w:rPr>
        <w:t>Décontaminer les sols souillés (les parties contaminées doivent être décaissées et remblayées par du sable) et nettoyer et détruire les fosses de vidange ;</w:t>
      </w:r>
    </w:p>
    <w:p w14:paraId="68E5ED33" w14:textId="77777777" w:rsidR="009021F1" w:rsidRPr="007E3D1A" w:rsidRDefault="009021F1" w:rsidP="009021F1">
      <w:pPr>
        <w:rPr>
          <w:rFonts w:cs="Arial"/>
          <w:sz w:val="22"/>
        </w:rPr>
      </w:pPr>
      <w:r w:rsidRPr="007E3D1A">
        <w:rPr>
          <w:rFonts w:cs="Arial"/>
          <w:sz w:val="22"/>
        </w:rPr>
        <w:t>S’assurer que les sites sont exempts de toute contamination ;</w:t>
      </w:r>
    </w:p>
    <w:p w14:paraId="57C9B257" w14:textId="77777777" w:rsidR="009021F1" w:rsidRPr="007E3D1A" w:rsidRDefault="009021F1" w:rsidP="009021F1">
      <w:pPr>
        <w:rPr>
          <w:rFonts w:cs="Arial"/>
          <w:sz w:val="22"/>
        </w:rPr>
      </w:pPr>
      <w:r w:rsidRPr="007E3D1A">
        <w:rPr>
          <w:rFonts w:cs="Arial"/>
          <w:sz w:val="22"/>
        </w:rPr>
        <w:t>Rectifier les défauts de drainage et régaler toutes les zones excavées ;</w:t>
      </w:r>
    </w:p>
    <w:p w14:paraId="6FCB9443" w14:textId="77777777" w:rsidR="009021F1" w:rsidRPr="007E3D1A" w:rsidRDefault="009021F1" w:rsidP="009021F1">
      <w:pPr>
        <w:rPr>
          <w:rFonts w:cs="Arial"/>
          <w:sz w:val="22"/>
        </w:rPr>
      </w:pPr>
      <w:r w:rsidRPr="007E3D1A">
        <w:rPr>
          <w:rFonts w:cs="Arial"/>
          <w:sz w:val="22"/>
        </w:rPr>
        <w:t>Scarifier le sol partout où il a été compacté (aires de travail, voies de circulation, etc.) sur au moins 15 cm de profondeur pour faciliter la régénération de la végétation ;</w:t>
      </w:r>
    </w:p>
    <w:p w14:paraId="7003B451" w14:textId="77777777" w:rsidR="009021F1" w:rsidRPr="007E3D1A" w:rsidRDefault="009021F1" w:rsidP="009021F1">
      <w:pPr>
        <w:rPr>
          <w:rFonts w:cs="Arial"/>
          <w:sz w:val="22"/>
        </w:rPr>
      </w:pPr>
      <w:r w:rsidRPr="007E3D1A">
        <w:rPr>
          <w:rFonts w:cs="Arial"/>
          <w:sz w:val="22"/>
        </w:rPr>
        <w:t>Reboiser les zones initialement déboisées avec des espèces appropriées, en rapport avec les services forestiers locaux ;</w:t>
      </w:r>
    </w:p>
    <w:p w14:paraId="59296981" w14:textId="77777777" w:rsidR="009021F1" w:rsidRPr="007E3D1A" w:rsidRDefault="009021F1" w:rsidP="009021F1">
      <w:pPr>
        <w:rPr>
          <w:rFonts w:cs="Arial"/>
          <w:sz w:val="22"/>
        </w:rPr>
      </w:pPr>
      <w:r w:rsidRPr="007E3D1A">
        <w:rPr>
          <w:rFonts w:cs="Arial"/>
          <w:sz w:val="22"/>
        </w:rPr>
        <w:t>Protéger les ouvrages restés dangereux (puits, tranchées ouvertes, dénivelés, etc.)</w:t>
      </w:r>
    </w:p>
    <w:p w14:paraId="24C1713A" w14:textId="77777777" w:rsidR="009021F1" w:rsidRPr="007E3D1A" w:rsidRDefault="009021F1" w:rsidP="009021F1">
      <w:pPr>
        <w:rPr>
          <w:rFonts w:cs="Arial"/>
          <w:sz w:val="22"/>
        </w:rPr>
      </w:pPr>
      <w:r w:rsidRPr="007E3D1A">
        <w:rPr>
          <w:rFonts w:cs="Arial"/>
          <w:sz w:val="22"/>
        </w:rPr>
        <w:t>Rendre fonctionnel les chaussées, trottoirs, caniveaux, rampes et autres ouvrages rendus au service public ;</w:t>
      </w:r>
    </w:p>
    <w:p w14:paraId="2C217F1C" w14:textId="77777777" w:rsidR="009021F1" w:rsidRPr="007E3D1A" w:rsidRDefault="009021F1" w:rsidP="009021F1">
      <w:pPr>
        <w:rPr>
          <w:rFonts w:cs="Arial"/>
          <w:sz w:val="22"/>
        </w:rPr>
      </w:pPr>
      <w:r w:rsidRPr="007E3D1A">
        <w:rPr>
          <w:rFonts w:cs="Arial"/>
          <w:sz w:val="22"/>
        </w:rPr>
        <w:t>Remettre les sites aux propriétaires initiaux, en tenant compte de leurs souhaits et de la législation nationale ;</w:t>
      </w:r>
    </w:p>
    <w:p w14:paraId="1C162220" w14:textId="77777777" w:rsidR="009021F1" w:rsidRPr="007E3D1A" w:rsidRDefault="009021F1" w:rsidP="009021F1">
      <w:pPr>
        <w:rPr>
          <w:rFonts w:cs="Arial"/>
          <w:sz w:val="22"/>
        </w:rPr>
      </w:pPr>
      <w:r w:rsidRPr="007E3D1A">
        <w:rPr>
          <w:rFonts w:cs="Arial"/>
          <w:sz w:val="22"/>
        </w:rPr>
        <w:t>Céder les installations fixes sans dédommagement s'il est de l'intérêt du Maître d’Ouvrage ou des collectivités locales de les récupérer pour une utilisation future ; et</w:t>
      </w:r>
    </w:p>
    <w:p w14:paraId="1827EE02" w14:textId="77777777" w:rsidR="009021F1" w:rsidRPr="007E3D1A" w:rsidRDefault="009021F1" w:rsidP="009021F1">
      <w:pPr>
        <w:rPr>
          <w:rFonts w:cs="Arial"/>
          <w:sz w:val="22"/>
        </w:rPr>
      </w:pPr>
      <w:r w:rsidRPr="007E3D1A">
        <w:rPr>
          <w:rFonts w:cs="Arial"/>
          <w:sz w:val="22"/>
        </w:rPr>
        <w:t>Remettre les voies d’accès à leur état initial</w:t>
      </w:r>
    </w:p>
    <w:p w14:paraId="4EE28809" w14:textId="77777777" w:rsidR="009021F1" w:rsidRPr="007E3D1A" w:rsidRDefault="009021F1" w:rsidP="009021F1">
      <w:pPr>
        <w:rPr>
          <w:rFonts w:cs="Arial"/>
          <w:sz w:val="22"/>
        </w:rPr>
      </w:pPr>
    </w:p>
    <w:p w14:paraId="63899BC8" w14:textId="77777777" w:rsidR="009021F1" w:rsidRPr="007E3D1A" w:rsidRDefault="009021F1" w:rsidP="009021F1">
      <w:pPr>
        <w:rPr>
          <w:rFonts w:cs="Arial"/>
          <w:sz w:val="22"/>
        </w:rPr>
      </w:pPr>
      <w:r w:rsidRPr="007E3D1A">
        <w:rPr>
          <w:rFonts w:cs="Arial"/>
          <w:sz w:val="22"/>
        </w:rPr>
        <w:t>Fermeture des Carrières</w:t>
      </w:r>
    </w:p>
    <w:p w14:paraId="312A31AE" w14:textId="77777777" w:rsidR="009021F1" w:rsidRPr="007E3D1A" w:rsidRDefault="009021F1" w:rsidP="009021F1">
      <w:pPr>
        <w:rPr>
          <w:rFonts w:cs="Arial"/>
          <w:sz w:val="22"/>
        </w:rPr>
      </w:pPr>
    </w:p>
    <w:p w14:paraId="3AC0BAE0" w14:textId="77777777" w:rsidR="009021F1" w:rsidRPr="007E3D1A" w:rsidRDefault="009021F1" w:rsidP="009021F1">
      <w:pPr>
        <w:rPr>
          <w:rFonts w:cs="Arial"/>
          <w:sz w:val="22"/>
        </w:rPr>
      </w:pPr>
      <w:r w:rsidRPr="007E3D1A">
        <w:rPr>
          <w:rFonts w:cs="Arial"/>
          <w:sz w:val="22"/>
        </w:rPr>
        <w:t>L’Entreprise doit :</w:t>
      </w:r>
    </w:p>
    <w:p w14:paraId="0ECDF4FA" w14:textId="77777777" w:rsidR="009021F1" w:rsidRPr="007E3D1A" w:rsidRDefault="009021F1" w:rsidP="009021F1">
      <w:pPr>
        <w:rPr>
          <w:rFonts w:cs="Arial"/>
          <w:sz w:val="22"/>
        </w:rPr>
      </w:pPr>
    </w:p>
    <w:p w14:paraId="0E3BC6E2" w14:textId="77777777" w:rsidR="009021F1" w:rsidRPr="007E3D1A" w:rsidRDefault="009021F1" w:rsidP="009021F1">
      <w:pPr>
        <w:rPr>
          <w:rFonts w:cs="Arial"/>
          <w:sz w:val="22"/>
        </w:rPr>
      </w:pPr>
      <w:r w:rsidRPr="007E3D1A">
        <w:rPr>
          <w:rFonts w:cs="Arial"/>
          <w:sz w:val="22"/>
        </w:rPr>
        <w:t>Remettre en état le site d’emprunt et/ou la carrière temporaire à la fin des travaux, selon un plan de restauration approuvé par le Maître d’Ouvrage délégué et les autorités compétentes, y compris :</w:t>
      </w:r>
    </w:p>
    <w:p w14:paraId="26497816" w14:textId="77777777" w:rsidR="009021F1" w:rsidRPr="007E3D1A" w:rsidRDefault="009021F1" w:rsidP="009021F1">
      <w:pPr>
        <w:rPr>
          <w:rFonts w:cs="Arial"/>
          <w:sz w:val="22"/>
        </w:rPr>
      </w:pPr>
      <w:r w:rsidRPr="007E3D1A">
        <w:rPr>
          <w:rFonts w:cs="Arial"/>
          <w:sz w:val="22"/>
        </w:rPr>
        <w:t>Régaler le terrain et restaurer son couvert végétal (arbres, arbustes, pelouse, ou culture)</w:t>
      </w:r>
    </w:p>
    <w:p w14:paraId="6B90AF5E" w14:textId="77777777" w:rsidR="009021F1" w:rsidRPr="007E3D1A" w:rsidRDefault="009021F1" w:rsidP="009021F1">
      <w:pPr>
        <w:rPr>
          <w:rFonts w:cs="Arial"/>
          <w:sz w:val="22"/>
        </w:rPr>
      </w:pPr>
      <w:r w:rsidRPr="007E3D1A">
        <w:rPr>
          <w:rFonts w:cs="Arial"/>
          <w:sz w:val="22"/>
        </w:rPr>
        <w:t>Rétablir les écoulements naturels antérieurs</w:t>
      </w:r>
    </w:p>
    <w:p w14:paraId="28A49F03" w14:textId="77777777" w:rsidR="009021F1" w:rsidRPr="007E3D1A" w:rsidRDefault="009021F1" w:rsidP="009021F1">
      <w:pPr>
        <w:rPr>
          <w:rFonts w:cs="Arial"/>
          <w:sz w:val="22"/>
        </w:rPr>
      </w:pPr>
      <w:r w:rsidRPr="007E3D1A">
        <w:rPr>
          <w:rFonts w:cs="Arial"/>
          <w:sz w:val="22"/>
        </w:rPr>
        <w:t>Répartir et dissimuler les gros blocs rocheux</w:t>
      </w:r>
    </w:p>
    <w:p w14:paraId="4E75054A" w14:textId="77777777" w:rsidR="009021F1" w:rsidRPr="007E3D1A" w:rsidRDefault="009021F1" w:rsidP="009021F1">
      <w:pPr>
        <w:rPr>
          <w:rFonts w:cs="Arial"/>
          <w:sz w:val="22"/>
        </w:rPr>
      </w:pPr>
      <w:r w:rsidRPr="007E3D1A">
        <w:rPr>
          <w:rFonts w:cs="Arial"/>
          <w:sz w:val="22"/>
        </w:rPr>
        <w:t>Aménager des fossés de garde afin d’éviter l’érosion des terres régalées</w:t>
      </w:r>
    </w:p>
    <w:p w14:paraId="7A58C17E" w14:textId="77777777" w:rsidR="009021F1" w:rsidRPr="007E3D1A" w:rsidRDefault="009021F1" w:rsidP="009021F1">
      <w:pPr>
        <w:rPr>
          <w:rFonts w:cs="Arial"/>
          <w:sz w:val="22"/>
        </w:rPr>
      </w:pPr>
      <w:r w:rsidRPr="007E3D1A">
        <w:rPr>
          <w:rFonts w:cs="Arial"/>
          <w:sz w:val="22"/>
        </w:rPr>
        <w:t xml:space="preserve">Aménager des fossés de récupération des eaux de ruissellement.   </w:t>
      </w:r>
    </w:p>
    <w:p w14:paraId="3A040844" w14:textId="77777777" w:rsidR="009021F1" w:rsidRPr="007E3D1A" w:rsidRDefault="009021F1" w:rsidP="009021F1">
      <w:pPr>
        <w:rPr>
          <w:rFonts w:cs="Arial"/>
          <w:sz w:val="22"/>
        </w:rPr>
      </w:pPr>
      <w:r w:rsidRPr="007E3D1A">
        <w:rPr>
          <w:rFonts w:cs="Arial"/>
          <w:sz w:val="22"/>
        </w:rPr>
        <w:t>Aménager des plans d’eau (bassins, mares) pour les communautés locales qui en exprime le souhait, et au besoin conserver la rampe d’accès, si la carrière est déclarée utilisable pour le bétail ou les riverains</w:t>
      </w:r>
    </w:p>
    <w:p w14:paraId="47BDFE88" w14:textId="77777777" w:rsidR="009021F1" w:rsidRPr="007E3D1A" w:rsidRDefault="009021F1" w:rsidP="009021F1">
      <w:pPr>
        <w:rPr>
          <w:rFonts w:cs="Arial"/>
          <w:sz w:val="22"/>
        </w:rPr>
      </w:pPr>
    </w:p>
    <w:p w14:paraId="5EDA7B79" w14:textId="77777777" w:rsidR="009021F1" w:rsidRPr="007E3D1A" w:rsidRDefault="009021F1" w:rsidP="009021F1">
      <w:pPr>
        <w:rPr>
          <w:rFonts w:cs="Arial"/>
          <w:sz w:val="22"/>
        </w:rPr>
      </w:pPr>
      <w:r w:rsidRPr="007E3D1A">
        <w:rPr>
          <w:rFonts w:cs="Arial"/>
          <w:sz w:val="22"/>
        </w:rPr>
        <w:t>Gestion de la Sécurité au Travail (SST)</w:t>
      </w:r>
    </w:p>
    <w:p w14:paraId="7EBFC983" w14:textId="77777777" w:rsidR="009021F1" w:rsidRPr="007E3D1A" w:rsidRDefault="009021F1" w:rsidP="009021F1">
      <w:pPr>
        <w:rPr>
          <w:rFonts w:cs="Arial"/>
          <w:sz w:val="22"/>
        </w:rPr>
      </w:pPr>
    </w:p>
    <w:p w14:paraId="1EA2B0C3" w14:textId="77777777" w:rsidR="009021F1" w:rsidRPr="007E3D1A" w:rsidRDefault="009021F1" w:rsidP="009021F1">
      <w:pPr>
        <w:rPr>
          <w:rFonts w:cs="Arial"/>
          <w:sz w:val="22"/>
        </w:rPr>
      </w:pPr>
      <w:r w:rsidRPr="007E3D1A">
        <w:rPr>
          <w:rFonts w:cs="Arial"/>
          <w:sz w:val="22"/>
        </w:rPr>
        <w:t>Intempéries</w:t>
      </w:r>
    </w:p>
    <w:p w14:paraId="6263DA37" w14:textId="77777777" w:rsidR="009021F1" w:rsidRPr="007E3D1A" w:rsidRDefault="009021F1" w:rsidP="009021F1">
      <w:pPr>
        <w:rPr>
          <w:rFonts w:cs="Arial"/>
          <w:sz w:val="22"/>
        </w:rPr>
      </w:pPr>
    </w:p>
    <w:p w14:paraId="2BB764B8" w14:textId="77777777" w:rsidR="009021F1" w:rsidRPr="007E3D1A" w:rsidRDefault="009021F1" w:rsidP="009021F1">
      <w:pPr>
        <w:rPr>
          <w:rFonts w:cs="Arial"/>
          <w:sz w:val="22"/>
        </w:rPr>
      </w:pPr>
      <w:r w:rsidRPr="007E3D1A">
        <w:rPr>
          <w:rFonts w:cs="Arial"/>
          <w:sz w:val="22"/>
        </w:rPr>
        <w:t>L’Entreprise doit :</w:t>
      </w:r>
    </w:p>
    <w:p w14:paraId="359FC089" w14:textId="77777777" w:rsidR="009021F1" w:rsidRPr="007E3D1A" w:rsidRDefault="009021F1" w:rsidP="009021F1">
      <w:pPr>
        <w:rPr>
          <w:rFonts w:cs="Arial"/>
          <w:sz w:val="22"/>
        </w:rPr>
      </w:pPr>
    </w:p>
    <w:p w14:paraId="4CAA0B81" w14:textId="77777777" w:rsidR="009021F1" w:rsidRPr="007E3D1A" w:rsidRDefault="009021F1" w:rsidP="009021F1">
      <w:pPr>
        <w:rPr>
          <w:rFonts w:cs="Arial"/>
          <w:sz w:val="22"/>
        </w:rPr>
      </w:pPr>
      <w:r w:rsidRPr="007E3D1A">
        <w:rPr>
          <w:rFonts w:cs="Arial"/>
          <w:sz w:val="22"/>
        </w:rPr>
        <w:t>Désigner et construire les structures des lieux de travail pour résister aux intempéries et inclure une zone désignée comme refuge sûr, le cas échéant.</w:t>
      </w:r>
    </w:p>
    <w:p w14:paraId="3288357F" w14:textId="77777777" w:rsidR="009021F1" w:rsidRPr="007E3D1A" w:rsidRDefault="009021F1" w:rsidP="009021F1">
      <w:pPr>
        <w:rPr>
          <w:rFonts w:cs="Arial"/>
          <w:sz w:val="22"/>
        </w:rPr>
      </w:pPr>
      <w:r w:rsidRPr="007E3D1A">
        <w:rPr>
          <w:rFonts w:cs="Arial"/>
          <w:sz w:val="22"/>
        </w:rPr>
        <w:t>Élaborer des procédures opérationnelles standard (POS) pour la fermeture du site, y compris un plan d'évacuation.</w:t>
      </w:r>
    </w:p>
    <w:p w14:paraId="2E79169D" w14:textId="77777777" w:rsidR="009021F1" w:rsidRPr="007E3D1A" w:rsidRDefault="009021F1" w:rsidP="009021F1">
      <w:pPr>
        <w:rPr>
          <w:rFonts w:cs="Arial"/>
          <w:sz w:val="22"/>
        </w:rPr>
      </w:pPr>
    </w:p>
    <w:p w14:paraId="766557D4" w14:textId="77777777" w:rsidR="009021F1" w:rsidRPr="007E3D1A" w:rsidRDefault="009021F1" w:rsidP="009021F1">
      <w:pPr>
        <w:rPr>
          <w:rFonts w:cs="Arial"/>
          <w:sz w:val="22"/>
        </w:rPr>
      </w:pPr>
      <w:r w:rsidRPr="007E3D1A">
        <w:rPr>
          <w:rFonts w:cs="Arial"/>
          <w:sz w:val="22"/>
        </w:rPr>
        <w:t>Toilettes et douches</w:t>
      </w:r>
    </w:p>
    <w:p w14:paraId="28E75535" w14:textId="77777777" w:rsidR="009021F1" w:rsidRPr="007E3D1A" w:rsidRDefault="009021F1" w:rsidP="009021F1">
      <w:pPr>
        <w:rPr>
          <w:rFonts w:cs="Arial"/>
          <w:sz w:val="22"/>
        </w:rPr>
      </w:pPr>
    </w:p>
    <w:p w14:paraId="4DBC8907" w14:textId="77777777" w:rsidR="009021F1" w:rsidRPr="007E3D1A" w:rsidRDefault="009021F1" w:rsidP="009021F1">
      <w:pPr>
        <w:rPr>
          <w:rFonts w:cs="Arial"/>
          <w:sz w:val="22"/>
        </w:rPr>
      </w:pPr>
      <w:r w:rsidRPr="007E3D1A">
        <w:rPr>
          <w:rFonts w:cs="Arial"/>
          <w:sz w:val="22"/>
        </w:rPr>
        <w:t>L’Entreprise doit :</w:t>
      </w:r>
    </w:p>
    <w:p w14:paraId="54E1A2EA" w14:textId="77777777" w:rsidR="009021F1" w:rsidRPr="007E3D1A" w:rsidRDefault="009021F1" w:rsidP="009021F1">
      <w:pPr>
        <w:rPr>
          <w:rFonts w:cs="Arial"/>
          <w:sz w:val="22"/>
        </w:rPr>
      </w:pPr>
    </w:p>
    <w:p w14:paraId="6F33CEE2" w14:textId="77777777" w:rsidR="009021F1" w:rsidRPr="007E3D1A" w:rsidRDefault="009021F1" w:rsidP="009021F1">
      <w:pPr>
        <w:rPr>
          <w:rFonts w:cs="Arial"/>
          <w:sz w:val="22"/>
        </w:rPr>
      </w:pPr>
      <w:r w:rsidRPr="007E3D1A">
        <w:rPr>
          <w:rFonts w:cs="Arial"/>
          <w:sz w:val="22"/>
        </w:rPr>
        <w:t>Prévoir des installations sanitaires adéquates (toilettes et lavabos) pour le nombre de personnes qui travailleront sur le chantier, y compris des installations séparées pour les femmes, et inclure un mécanisme pour indiquer si les toilettes sont "en service" ou "vacantes".  Les toilettes doivent également être équipées d'un approvisionnement suffisant en eau courante chaude et froide, de savon et de sèche-mains.</w:t>
      </w:r>
    </w:p>
    <w:p w14:paraId="3194B92D" w14:textId="77777777" w:rsidR="009021F1" w:rsidRPr="007E3D1A" w:rsidRDefault="009021F1" w:rsidP="009021F1">
      <w:pPr>
        <w:rPr>
          <w:rFonts w:cs="Arial"/>
          <w:sz w:val="22"/>
        </w:rPr>
      </w:pPr>
      <w:r w:rsidRPr="007E3D1A">
        <w:rPr>
          <w:rFonts w:cs="Arial"/>
          <w:sz w:val="22"/>
        </w:rPr>
        <w:t>Prévoir un local permettant aux ouvriers de prendre une douche et de se changer en vêtements de ville s’ils sont exposés à des substances toxiques.</w:t>
      </w:r>
    </w:p>
    <w:p w14:paraId="3190BD9A" w14:textId="77777777" w:rsidR="009021F1" w:rsidRPr="007E3D1A" w:rsidRDefault="009021F1" w:rsidP="009021F1">
      <w:pPr>
        <w:rPr>
          <w:rFonts w:cs="Arial"/>
          <w:sz w:val="22"/>
        </w:rPr>
      </w:pPr>
    </w:p>
    <w:p w14:paraId="18C69703" w14:textId="77777777" w:rsidR="009021F1" w:rsidRPr="007E3D1A" w:rsidRDefault="009021F1" w:rsidP="009021F1">
      <w:pPr>
        <w:rPr>
          <w:rFonts w:cs="Arial"/>
          <w:sz w:val="22"/>
        </w:rPr>
      </w:pPr>
      <w:r w:rsidRPr="007E3D1A">
        <w:rPr>
          <w:rFonts w:cs="Arial"/>
          <w:sz w:val="22"/>
        </w:rPr>
        <w:t>Approvisionnement en eau potable</w:t>
      </w:r>
    </w:p>
    <w:p w14:paraId="159C0E4E" w14:textId="77777777" w:rsidR="009021F1" w:rsidRPr="007E3D1A" w:rsidRDefault="009021F1" w:rsidP="009021F1">
      <w:pPr>
        <w:rPr>
          <w:rFonts w:cs="Arial"/>
          <w:sz w:val="22"/>
        </w:rPr>
      </w:pPr>
    </w:p>
    <w:p w14:paraId="1EDD935D" w14:textId="77777777" w:rsidR="009021F1" w:rsidRPr="007E3D1A" w:rsidRDefault="009021F1" w:rsidP="009021F1">
      <w:pPr>
        <w:rPr>
          <w:rFonts w:eastAsia="Helvetica Neue" w:cs="Arial"/>
          <w:sz w:val="22"/>
        </w:rPr>
      </w:pPr>
      <w:r w:rsidRPr="007E3D1A">
        <w:rPr>
          <w:rFonts w:eastAsia="Helvetica Neue" w:cs="Arial"/>
          <w:sz w:val="22"/>
        </w:rPr>
        <w:t>L’Entreprise doit :</w:t>
      </w:r>
    </w:p>
    <w:p w14:paraId="356B2623" w14:textId="77777777" w:rsidR="009021F1" w:rsidRPr="007E3D1A" w:rsidRDefault="009021F1" w:rsidP="009021F1">
      <w:pPr>
        <w:rPr>
          <w:rFonts w:eastAsia="Helvetica Neue" w:cs="Arial"/>
          <w:sz w:val="22"/>
        </w:rPr>
      </w:pPr>
    </w:p>
    <w:p w14:paraId="6AA2CDE6" w14:textId="77777777" w:rsidR="009021F1" w:rsidRPr="007E3D1A" w:rsidRDefault="009021F1" w:rsidP="009021F1">
      <w:pPr>
        <w:rPr>
          <w:rFonts w:cs="Arial"/>
          <w:sz w:val="22"/>
        </w:rPr>
      </w:pPr>
      <w:r w:rsidRPr="007E3D1A">
        <w:rPr>
          <w:rFonts w:cs="Arial"/>
          <w:sz w:val="22"/>
        </w:rPr>
        <w:t>Assurer un approvisionnement suffisant en eau potable pour boire par une fontaine à jet ascendant ou par un moyen sanitaire de collecte de l'eau.</w:t>
      </w:r>
    </w:p>
    <w:p w14:paraId="02C1F1CF" w14:textId="77777777" w:rsidR="009021F1" w:rsidRPr="007E3D1A" w:rsidRDefault="009021F1" w:rsidP="009021F1">
      <w:pPr>
        <w:rPr>
          <w:rFonts w:cs="Arial"/>
          <w:sz w:val="22"/>
        </w:rPr>
      </w:pPr>
      <w:r w:rsidRPr="007E3D1A">
        <w:rPr>
          <w:rFonts w:cs="Arial"/>
          <w:sz w:val="22"/>
        </w:rPr>
        <w:t>Assurer que l'eau fournie aux zones de préparation des aliments ou à des fins d'hygiène personnelle (lavage ou bain) réponde aux normes de qualité de l'eau potable</w:t>
      </w:r>
    </w:p>
    <w:p w14:paraId="65665256" w14:textId="77777777" w:rsidR="009021F1" w:rsidRPr="007E3D1A" w:rsidRDefault="009021F1" w:rsidP="009021F1">
      <w:pPr>
        <w:rPr>
          <w:rFonts w:cs="Arial"/>
          <w:sz w:val="22"/>
        </w:rPr>
      </w:pPr>
    </w:p>
    <w:p w14:paraId="217199AB" w14:textId="77777777" w:rsidR="009021F1" w:rsidRPr="007E3D1A" w:rsidRDefault="009021F1" w:rsidP="009021F1">
      <w:pPr>
        <w:rPr>
          <w:rFonts w:cs="Arial"/>
          <w:sz w:val="22"/>
        </w:rPr>
      </w:pPr>
      <w:r w:rsidRPr="007E3D1A">
        <w:rPr>
          <w:rFonts w:cs="Arial"/>
          <w:sz w:val="22"/>
        </w:rPr>
        <w:t>Restauration</w:t>
      </w:r>
    </w:p>
    <w:p w14:paraId="1E20F93C" w14:textId="77777777" w:rsidR="009021F1" w:rsidRPr="007E3D1A" w:rsidRDefault="009021F1" w:rsidP="009021F1">
      <w:pPr>
        <w:rPr>
          <w:rFonts w:cs="Arial"/>
          <w:sz w:val="22"/>
        </w:rPr>
      </w:pPr>
    </w:p>
    <w:p w14:paraId="72062A8A" w14:textId="77777777" w:rsidR="009021F1" w:rsidRPr="007E3D1A" w:rsidRDefault="009021F1" w:rsidP="009021F1">
      <w:pPr>
        <w:rPr>
          <w:rFonts w:eastAsia="Helvetica Neue" w:cs="Arial"/>
          <w:sz w:val="22"/>
        </w:rPr>
      </w:pPr>
      <w:r w:rsidRPr="007E3D1A">
        <w:rPr>
          <w:rFonts w:eastAsia="Helvetica Neue" w:cs="Arial"/>
          <w:sz w:val="22"/>
        </w:rPr>
        <w:t>L’Entreprise doit :</w:t>
      </w:r>
    </w:p>
    <w:p w14:paraId="719AF5BA" w14:textId="77777777" w:rsidR="009021F1" w:rsidRPr="007E3D1A" w:rsidRDefault="009021F1" w:rsidP="009021F1">
      <w:pPr>
        <w:rPr>
          <w:rFonts w:eastAsia="Helvetica Neue" w:cs="Arial"/>
          <w:sz w:val="22"/>
        </w:rPr>
      </w:pPr>
    </w:p>
    <w:p w14:paraId="60D1DBAD" w14:textId="77777777" w:rsidR="009021F1" w:rsidRPr="007E3D1A" w:rsidRDefault="009021F1" w:rsidP="009021F1">
      <w:pPr>
        <w:rPr>
          <w:rFonts w:cs="Arial"/>
          <w:sz w:val="22"/>
        </w:rPr>
      </w:pPr>
      <w:r w:rsidRPr="007E3D1A">
        <w:rPr>
          <w:rFonts w:cs="Arial"/>
          <w:sz w:val="22"/>
        </w:rPr>
        <w:t>Mettre à disposition des ouvriers des zones de restauration propres qui ne sont pas exposés à des substances dangereuses ou nocives.</w:t>
      </w:r>
    </w:p>
    <w:p w14:paraId="6DE56678" w14:textId="77777777" w:rsidR="009021F1" w:rsidRPr="007E3D1A" w:rsidRDefault="009021F1" w:rsidP="009021F1">
      <w:pPr>
        <w:rPr>
          <w:rFonts w:cs="Arial"/>
          <w:sz w:val="22"/>
        </w:rPr>
      </w:pPr>
    </w:p>
    <w:p w14:paraId="1498F5A5" w14:textId="77777777" w:rsidR="009021F1" w:rsidRPr="007E3D1A" w:rsidRDefault="009021F1" w:rsidP="009021F1">
      <w:pPr>
        <w:rPr>
          <w:rFonts w:cs="Arial"/>
          <w:sz w:val="22"/>
        </w:rPr>
      </w:pPr>
      <w:r w:rsidRPr="007E3D1A">
        <w:rPr>
          <w:rFonts w:cs="Arial"/>
          <w:sz w:val="22"/>
        </w:rPr>
        <w:t>Protection du personnel</w:t>
      </w:r>
    </w:p>
    <w:p w14:paraId="4B146BB8" w14:textId="77777777" w:rsidR="009021F1" w:rsidRPr="007E3D1A" w:rsidRDefault="009021F1" w:rsidP="009021F1">
      <w:pPr>
        <w:rPr>
          <w:rFonts w:cs="Arial"/>
          <w:sz w:val="22"/>
        </w:rPr>
      </w:pPr>
    </w:p>
    <w:p w14:paraId="69755532" w14:textId="77777777" w:rsidR="009021F1" w:rsidRPr="007E3D1A" w:rsidRDefault="009021F1" w:rsidP="009021F1">
      <w:pPr>
        <w:rPr>
          <w:rFonts w:cs="Arial"/>
          <w:sz w:val="22"/>
        </w:rPr>
      </w:pPr>
      <w:r w:rsidRPr="007E3D1A">
        <w:rPr>
          <w:rFonts w:cs="Arial"/>
          <w:sz w:val="22"/>
        </w:rPr>
        <w:t>L’Entreprise doit :</w:t>
      </w:r>
    </w:p>
    <w:p w14:paraId="555259D2" w14:textId="77777777" w:rsidR="009021F1" w:rsidRPr="007E3D1A" w:rsidRDefault="009021F1" w:rsidP="009021F1">
      <w:pPr>
        <w:rPr>
          <w:rFonts w:cs="Arial"/>
          <w:sz w:val="22"/>
        </w:rPr>
      </w:pPr>
    </w:p>
    <w:p w14:paraId="534CB464" w14:textId="77777777" w:rsidR="009021F1" w:rsidRPr="007E3D1A" w:rsidRDefault="009021F1" w:rsidP="009021F1">
      <w:pPr>
        <w:rPr>
          <w:rFonts w:cs="Arial"/>
          <w:sz w:val="22"/>
        </w:rPr>
      </w:pPr>
      <w:r w:rsidRPr="007E3D1A">
        <w:rPr>
          <w:rFonts w:cs="Arial"/>
          <w:sz w:val="22"/>
        </w:rPr>
        <w:t>Fournir gratuitement au personnel de chantier des tenues de travail correctes réglementaires et en bon état ;</w:t>
      </w:r>
    </w:p>
    <w:p w14:paraId="40B137C5" w14:textId="77777777" w:rsidR="009021F1" w:rsidRPr="007E3D1A" w:rsidRDefault="009021F1" w:rsidP="009021F1">
      <w:pPr>
        <w:rPr>
          <w:rFonts w:cs="Arial"/>
          <w:sz w:val="22"/>
        </w:rPr>
      </w:pPr>
      <w:r w:rsidRPr="007E3D1A">
        <w:rPr>
          <w:rFonts w:cs="Arial"/>
          <w:sz w:val="22"/>
        </w:rPr>
        <w:t>Fournir gratuitement au personnel de chantier et aux visiteurs tous les équipements personnels de protection (EPI) propres à leurs activités (e.g., casques, bottes, ceintures, masques, gants, lunettes) appropriés, et veiller à ce que cette obligation soit répercutée sur les sous-traitants éventuels ;</w:t>
      </w:r>
    </w:p>
    <w:p w14:paraId="69B5596E" w14:textId="77777777" w:rsidR="009021F1" w:rsidRPr="007E3D1A" w:rsidRDefault="009021F1" w:rsidP="009021F1">
      <w:pPr>
        <w:rPr>
          <w:rFonts w:cs="Arial"/>
          <w:sz w:val="22"/>
        </w:rPr>
      </w:pPr>
      <w:r w:rsidRPr="007E3D1A">
        <w:rPr>
          <w:rFonts w:cs="Arial"/>
          <w:sz w:val="22"/>
        </w:rPr>
        <w:t>Rendre obligatoire l'utilisation des EPI appropriés sur les chantiers.  Un contrôle permanent doit être effectué à cet effet et, en cas de manquement, des mesures coercitives (avertissement, mise à pied, renvoi) doivent être appliquées au personnel concerné ; et</w:t>
      </w:r>
    </w:p>
    <w:p w14:paraId="6D34BB22" w14:textId="77777777" w:rsidR="009021F1" w:rsidRPr="007E3D1A" w:rsidRDefault="009021F1" w:rsidP="009021F1">
      <w:pPr>
        <w:rPr>
          <w:rFonts w:cs="Arial"/>
          <w:sz w:val="22"/>
        </w:rPr>
      </w:pPr>
      <w:r w:rsidRPr="007E3D1A">
        <w:rPr>
          <w:rFonts w:cs="Arial"/>
          <w:sz w:val="22"/>
        </w:rPr>
        <w:t>Fournir à ses employés une formation suffisante sur l'utilisation, le stockage et l'entretien des ouvrages.</w:t>
      </w:r>
    </w:p>
    <w:p w14:paraId="1AFBEFF4" w14:textId="77777777" w:rsidR="009021F1" w:rsidRPr="007E3D1A" w:rsidRDefault="009021F1" w:rsidP="009021F1">
      <w:pPr>
        <w:rPr>
          <w:rFonts w:cs="Arial"/>
          <w:sz w:val="22"/>
        </w:rPr>
      </w:pPr>
    </w:p>
    <w:p w14:paraId="4E312CFF" w14:textId="77777777" w:rsidR="009021F1" w:rsidRPr="007E3D1A" w:rsidRDefault="009021F1" w:rsidP="009021F1">
      <w:pPr>
        <w:rPr>
          <w:rFonts w:cs="Arial"/>
          <w:sz w:val="22"/>
        </w:rPr>
      </w:pPr>
      <w:r w:rsidRPr="007E3D1A">
        <w:rPr>
          <w:rFonts w:cs="Arial"/>
          <w:sz w:val="22"/>
        </w:rPr>
        <w:t>Equipement de Protection Individuelle</w:t>
      </w:r>
    </w:p>
    <w:p w14:paraId="4F9805CE" w14:textId="77777777" w:rsidR="009021F1" w:rsidRPr="007E3D1A" w:rsidRDefault="009021F1" w:rsidP="009021F1">
      <w:pPr>
        <w:rPr>
          <w:rFonts w:cs="Arial"/>
          <w:sz w:val="22"/>
        </w:rPr>
      </w:pPr>
    </w:p>
    <w:p w14:paraId="1623A181" w14:textId="77777777" w:rsidR="009021F1" w:rsidRPr="007E3D1A" w:rsidRDefault="009021F1" w:rsidP="009021F1">
      <w:pPr>
        <w:rPr>
          <w:rFonts w:cs="Arial"/>
          <w:sz w:val="22"/>
        </w:rPr>
      </w:pPr>
      <w:r w:rsidRPr="007E3D1A">
        <w:rPr>
          <w:rFonts w:cs="Arial"/>
          <w:sz w:val="22"/>
        </w:rPr>
        <w:t>Entretenir correctement les EPI, notamment en les nettoyant lorsqu'ils sont sales et en les remplaçant lorsqu'ils sont endommagés ou usés ;</w:t>
      </w:r>
    </w:p>
    <w:p w14:paraId="6FF79A64" w14:textId="77777777" w:rsidR="009021F1" w:rsidRPr="007E3D1A" w:rsidRDefault="009021F1" w:rsidP="009021F1">
      <w:pPr>
        <w:rPr>
          <w:rFonts w:cs="Arial"/>
          <w:sz w:val="22"/>
        </w:rPr>
      </w:pPr>
      <w:r w:rsidRPr="007E3D1A">
        <w:rPr>
          <w:rFonts w:cs="Arial"/>
          <w:sz w:val="22"/>
        </w:rPr>
        <w:t>Déterminer les exigences en matière d'EPI standard et/ou spécifique à une tâche, sur la base d'une analyse de sécurité spécifique à la tâche ; et</w:t>
      </w:r>
    </w:p>
    <w:p w14:paraId="08EAE7F1" w14:textId="77777777" w:rsidR="009021F1" w:rsidRPr="007E3D1A" w:rsidRDefault="009021F1" w:rsidP="009021F1">
      <w:pPr>
        <w:rPr>
          <w:rFonts w:cs="Arial"/>
          <w:sz w:val="22"/>
        </w:rPr>
      </w:pPr>
      <w:r w:rsidRPr="007E3D1A">
        <w:rPr>
          <w:rFonts w:cs="Arial"/>
          <w:sz w:val="22"/>
        </w:rPr>
        <w:t>Considérer l'utilisation des EPI comme un dernier recours lorsqu'il s'agit de contrôler et de prévenir les dangers, et toujours se référer à la hiérarchie des contrôles des dangers lors de la planification d'un processus de sécurité.</w:t>
      </w:r>
    </w:p>
    <w:p w14:paraId="36D0B489" w14:textId="77777777" w:rsidR="009021F1" w:rsidRPr="007E3D1A" w:rsidRDefault="009021F1" w:rsidP="009021F1">
      <w:pPr>
        <w:rPr>
          <w:rFonts w:cs="Arial"/>
          <w:sz w:val="22"/>
        </w:rPr>
      </w:pPr>
    </w:p>
    <w:p w14:paraId="7FAAB725" w14:textId="77777777" w:rsidR="009021F1" w:rsidRPr="007E3D1A" w:rsidRDefault="009021F1" w:rsidP="009021F1">
      <w:pPr>
        <w:rPr>
          <w:rFonts w:cs="Arial"/>
          <w:sz w:val="22"/>
        </w:rPr>
      </w:pPr>
      <w:r w:rsidRPr="007E3D1A">
        <w:rPr>
          <w:rFonts w:cs="Arial"/>
          <w:sz w:val="22"/>
        </w:rPr>
        <w:t>Bruit</w:t>
      </w:r>
    </w:p>
    <w:p w14:paraId="5340FC4E" w14:textId="77777777" w:rsidR="009021F1" w:rsidRPr="007E3D1A" w:rsidRDefault="009021F1" w:rsidP="009021F1">
      <w:pPr>
        <w:rPr>
          <w:rFonts w:cs="Arial"/>
          <w:sz w:val="22"/>
        </w:rPr>
      </w:pPr>
    </w:p>
    <w:p w14:paraId="7F1C0B88" w14:textId="77777777" w:rsidR="009021F1" w:rsidRPr="007E3D1A" w:rsidRDefault="009021F1" w:rsidP="009021F1">
      <w:pPr>
        <w:rPr>
          <w:rFonts w:cs="Arial"/>
          <w:sz w:val="22"/>
        </w:rPr>
      </w:pPr>
      <w:r w:rsidRPr="007E3D1A">
        <w:rPr>
          <w:rFonts w:cs="Arial"/>
          <w:sz w:val="22"/>
        </w:rPr>
        <w:t>L’Entreprise doit mettre en place des mesures appropriées pour atténuer l'impact des bruits de construction à un niveau acceptable ;</w:t>
      </w:r>
    </w:p>
    <w:p w14:paraId="71F36062" w14:textId="77777777" w:rsidR="009021F1" w:rsidRPr="007E3D1A" w:rsidRDefault="009021F1" w:rsidP="009021F1">
      <w:pPr>
        <w:rPr>
          <w:rFonts w:cs="Arial"/>
          <w:sz w:val="22"/>
        </w:rPr>
      </w:pPr>
      <w:r w:rsidRPr="007E3D1A">
        <w:rPr>
          <w:rFonts w:cs="Arial"/>
          <w:sz w:val="22"/>
        </w:rPr>
        <w:t>Les précautions visant à réduire l'exposition des ouvriers au bruit doivent inclure, entre autres, les éléments suivants ;</w:t>
      </w:r>
    </w:p>
    <w:p w14:paraId="20C572BC" w14:textId="77777777" w:rsidR="009021F1" w:rsidRPr="007E3D1A" w:rsidRDefault="009021F1" w:rsidP="009021F1">
      <w:pPr>
        <w:rPr>
          <w:rFonts w:cs="Arial"/>
          <w:sz w:val="22"/>
        </w:rPr>
      </w:pPr>
      <w:r w:rsidRPr="007E3D1A">
        <w:rPr>
          <w:rFonts w:cs="Arial"/>
          <w:sz w:val="22"/>
        </w:rPr>
        <w:t>Aucun employé ne doit être exposé à un niveau de bruit supérieur à 85 dB(A) pendant plus de 8 heures par jour sans protection auditive.  En outre, aucune oreille non protégée ne doit être exposée à un niveau de pression acoustique de pointe (instantané) supérieur à 140 dB(C) ;</w:t>
      </w:r>
    </w:p>
    <w:p w14:paraId="51CF55C3" w14:textId="77777777" w:rsidR="009021F1" w:rsidRPr="007E3D1A" w:rsidRDefault="009021F1" w:rsidP="009021F1">
      <w:pPr>
        <w:rPr>
          <w:rFonts w:cs="Arial"/>
          <w:sz w:val="22"/>
        </w:rPr>
      </w:pPr>
      <w:r w:rsidRPr="007E3D1A">
        <w:rPr>
          <w:rFonts w:cs="Arial"/>
          <w:sz w:val="22"/>
        </w:rPr>
        <w:t>Appliquer activement l'utilisation de protection auditive lorsque le niveau sonore équivalent sur 8 heures atteint 85 dB(A), que les niveaux sonores de crête atteignent 140 dB(C), ou que le niveau sonore maximal moyen atteint 110 dB(A).  Les dispositifs de protection auditive fournis doivent être capables de réduire les niveaux sonores à l'oreille à au moins 85 dB(A) ;</w:t>
      </w:r>
    </w:p>
    <w:p w14:paraId="1A19EDE9" w14:textId="77777777" w:rsidR="009021F1" w:rsidRPr="007E3D1A" w:rsidRDefault="009021F1" w:rsidP="009021F1">
      <w:pPr>
        <w:rPr>
          <w:rFonts w:cs="Arial"/>
          <w:sz w:val="22"/>
        </w:rPr>
      </w:pPr>
      <w:r w:rsidRPr="007E3D1A">
        <w:rPr>
          <w:rFonts w:cs="Arial"/>
          <w:sz w:val="22"/>
        </w:rPr>
        <w:t>Bien que la protection auditive soit préférable pour toute période d'exposition au bruit supérieure à 85 dB(A), un niveau de protection équivalent peut être obtenu, mais moins facilement géré, en limitant la durée d'exposition au bruit.  Pour chaque augmentation de 3 dB(A) des niveaux sonores, la période ou la durée d'exposition "autorisée" doit être réduite de 50 % ;</w:t>
      </w:r>
    </w:p>
    <w:p w14:paraId="6FC8D5D7" w14:textId="77777777" w:rsidR="009021F1" w:rsidRPr="007E3D1A" w:rsidRDefault="009021F1" w:rsidP="009021F1">
      <w:pPr>
        <w:rPr>
          <w:rFonts w:cs="Arial"/>
          <w:sz w:val="22"/>
        </w:rPr>
      </w:pPr>
      <w:r w:rsidRPr="007E3D1A">
        <w:rPr>
          <w:rFonts w:cs="Arial"/>
          <w:sz w:val="22"/>
        </w:rPr>
        <w:t>Effectuer des contrôles auditifs médicaux périodiques sur les ouvriers exposés à des niveaux sonores élevés ;</w:t>
      </w:r>
    </w:p>
    <w:p w14:paraId="06C07CEA" w14:textId="77777777" w:rsidR="009021F1" w:rsidRPr="007E3D1A" w:rsidRDefault="009021F1" w:rsidP="009021F1">
      <w:pPr>
        <w:rPr>
          <w:rFonts w:cs="Arial"/>
          <w:sz w:val="22"/>
        </w:rPr>
      </w:pPr>
      <w:r w:rsidRPr="007E3D1A">
        <w:rPr>
          <w:rFonts w:cs="Arial"/>
          <w:sz w:val="22"/>
        </w:rPr>
        <w:t>Effectuer une rotation du personnel pour limiter l'exposition individuelle à des niveaux élevés ;</w:t>
      </w:r>
    </w:p>
    <w:p w14:paraId="2184CE63" w14:textId="77777777" w:rsidR="009021F1" w:rsidRPr="007E3D1A" w:rsidRDefault="009021F1" w:rsidP="009021F1">
      <w:pPr>
        <w:rPr>
          <w:rFonts w:cs="Arial"/>
          <w:sz w:val="22"/>
        </w:rPr>
      </w:pPr>
      <w:r w:rsidRPr="007E3D1A">
        <w:rPr>
          <w:rFonts w:cs="Arial"/>
          <w:sz w:val="22"/>
        </w:rPr>
        <w:t>Installer des dispositifs pratiques d'atténuation acoustique sur les équipements de construction, tels que les silencieux.  Des compresseurs d'air et des générateurs avec silencieux devraient être utilisés, et toutes les machines devraient être maintenues en bon état ;</w:t>
      </w:r>
    </w:p>
    <w:p w14:paraId="7EEE7A56" w14:textId="77777777" w:rsidR="009021F1" w:rsidRPr="007E3D1A" w:rsidRDefault="009021F1" w:rsidP="009021F1">
      <w:pPr>
        <w:rPr>
          <w:rFonts w:cs="Arial"/>
          <w:sz w:val="22"/>
        </w:rPr>
      </w:pPr>
      <w:r w:rsidRPr="007E3D1A">
        <w:rPr>
          <w:rFonts w:cs="Arial"/>
          <w:sz w:val="22"/>
        </w:rPr>
        <w:t>Des silencieux doivent être installés sur les bulldozers, les compacteurs, les grues, les camions à benne, les pelles, les niveleuses, les chargeuses, les décapeuses et les pelles.</w:t>
      </w:r>
    </w:p>
    <w:p w14:paraId="1DD8354C" w14:textId="77777777" w:rsidR="009021F1" w:rsidRPr="007E3D1A" w:rsidRDefault="009021F1" w:rsidP="009021F1">
      <w:pPr>
        <w:rPr>
          <w:rFonts w:cs="Arial"/>
          <w:sz w:val="22"/>
        </w:rPr>
      </w:pPr>
      <w:r w:rsidRPr="007E3D1A">
        <w:rPr>
          <w:rFonts w:cs="Arial"/>
          <w:sz w:val="22"/>
        </w:rPr>
        <w:t>Poser des panneaux indicateurs dans toutes les zones où le niveau de pression acoustique dépasse 85 dB(A) ;</w:t>
      </w:r>
    </w:p>
    <w:p w14:paraId="0A81686C" w14:textId="77777777" w:rsidR="009021F1" w:rsidRPr="007E3D1A" w:rsidRDefault="009021F1" w:rsidP="009021F1">
      <w:pPr>
        <w:rPr>
          <w:rFonts w:cs="Arial"/>
          <w:sz w:val="22"/>
        </w:rPr>
      </w:pPr>
      <w:r w:rsidRPr="007E3D1A">
        <w:rPr>
          <w:rFonts w:cs="Arial"/>
          <w:sz w:val="22"/>
        </w:rPr>
        <w:t>Limiter les bruits de chantier susceptibles d’importuner gravement les riverains, soit par une durée exagérément longue, soit par leur prolongation en dehors des heures normales de travail. Les seuils à ne pas dépasser sont : 55 à 60 décibels le jour ; 40 décibels la nuit ; et</w:t>
      </w:r>
    </w:p>
    <w:p w14:paraId="218FB979" w14:textId="77777777" w:rsidR="009021F1" w:rsidRPr="007E3D1A" w:rsidRDefault="009021F1" w:rsidP="009021F1">
      <w:pPr>
        <w:rPr>
          <w:rFonts w:cs="Arial"/>
          <w:sz w:val="22"/>
        </w:rPr>
      </w:pPr>
      <w:r w:rsidRPr="007E3D1A">
        <w:rPr>
          <w:rFonts w:cs="Arial"/>
          <w:sz w:val="22"/>
        </w:rPr>
        <w:t>Prévenir les habitants si une activité causant un niveau de bruit élevé se déroule à proximité d’une communauté.</w:t>
      </w:r>
    </w:p>
    <w:p w14:paraId="21CB2050" w14:textId="77777777" w:rsidR="009021F1" w:rsidRPr="007E3D1A" w:rsidRDefault="009021F1" w:rsidP="009021F1">
      <w:pPr>
        <w:rPr>
          <w:rFonts w:cs="Arial"/>
          <w:sz w:val="22"/>
        </w:rPr>
      </w:pPr>
    </w:p>
    <w:p w14:paraId="08A3703D" w14:textId="77777777" w:rsidR="009021F1" w:rsidRPr="007E3D1A" w:rsidRDefault="009021F1" w:rsidP="009021F1">
      <w:pPr>
        <w:rPr>
          <w:rFonts w:cs="Arial"/>
          <w:sz w:val="22"/>
        </w:rPr>
      </w:pPr>
      <w:r w:rsidRPr="007E3D1A">
        <w:rPr>
          <w:rFonts w:cs="Arial"/>
          <w:sz w:val="22"/>
        </w:rPr>
        <w:t>Gestion de la Santé</w:t>
      </w:r>
    </w:p>
    <w:p w14:paraId="0115791B" w14:textId="77777777" w:rsidR="009021F1" w:rsidRPr="007E3D1A" w:rsidRDefault="009021F1" w:rsidP="009021F1">
      <w:pPr>
        <w:rPr>
          <w:rFonts w:cs="Arial"/>
          <w:sz w:val="22"/>
        </w:rPr>
      </w:pPr>
    </w:p>
    <w:p w14:paraId="2FD3A2FA" w14:textId="77777777" w:rsidR="009021F1" w:rsidRPr="007E3D1A" w:rsidRDefault="009021F1" w:rsidP="009021F1">
      <w:pPr>
        <w:rPr>
          <w:rFonts w:cs="Arial"/>
          <w:sz w:val="22"/>
        </w:rPr>
      </w:pPr>
      <w:r w:rsidRPr="007E3D1A">
        <w:rPr>
          <w:rFonts w:cs="Arial"/>
          <w:sz w:val="22"/>
        </w:rPr>
        <w:t>Premiers secours et accidents</w:t>
      </w:r>
    </w:p>
    <w:p w14:paraId="65202411" w14:textId="77777777" w:rsidR="009021F1" w:rsidRPr="007E3D1A" w:rsidRDefault="009021F1" w:rsidP="009021F1">
      <w:pPr>
        <w:rPr>
          <w:rFonts w:cs="Arial"/>
          <w:sz w:val="22"/>
        </w:rPr>
      </w:pPr>
    </w:p>
    <w:p w14:paraId="1D147DF3" w14:textId="77777777" w:rsidR="009021F1" w:rsidRPr="007E3D1A" w:rsidRDefault="009021F1" w:rsidP="009021F1">
      <w:pPr>
        <w:rPr>
          <w:rFonts w:cs="Arial"/>
          <w:sz w:val="22"/>
        </w:rPr>
      </w:pPr>
      <w:r w:rsidRPr="007E3D1A">
        <w:rPr>
          <w:rFonts w:cs="Arial"/>
          <w:sz w:val="22"/>
        </w:rPr>
        <w:t>L’Entreprise doit :</w:t>
      </w:r>
    </w:p>
    <w:p w14:paraId="3630A64C" w14:textId="77777777" w:rsidR="009021F1" w:rsidRPr="007E3D1A" w:rsidRDefault="009021F1" w:rsidP="009021F1">
      <w:pPr>
        <w:rPr>
          <w:rFonts w:cs="Arial"/>
          <w:sz w:val="22"/>
        </w:rPr>
      </w:pPr>
    </w:p>
    <w:p w14:paraId="03689558" w14:textId="77777777" w:rsidR="009021F1" w:rsidRPr="007E3D1A" w:rsidRDefault="009021F1" w:rsidP="009021F1">
      <w:pPr>
        <w:rPr>
          <w:rFonts w:cs="Arial"/>
          <w:sz w:val="22"/>
        </w:rPr>
      </w:pPr>
      <w:r w:rsidRPr="007E3D1A">
        <w:rPr>
          <w:rFonts w:cs="Arial"/>
          <w:sz w:val="22"/>
        </w:rPr>
        <w:t>Mettre en place un service médical courant et d’urgence à la base-vie, adapté à l’effectif de son personnel ;</w:t>
      </w:r>
    </w:p>
    <w:p w14:paraId="5E35FB60" w14:textId="77777777" w:rsidR="009021F1" w:rsidRPr="007E3D1A" w:rsidRDefault="009021F1" w:rsidP="009021F1">
      <w:pPr>
        <w:rPr>
          <w:rFonts w:cs="Arial"/>
          <w:sz w:val="22"/>
        </w:rPr>
      </w:pPr>
      <w:r w:rsidRPr="007E3D1A">
        <w:rPr>
          <w:rFonts w:cs="Arial"/>
          <w:sz w:val="22"/>
        </w:rPr>
        <w:t>Veiller à ce que les premiers secours soient toujours dispensés par un personnel qualifié.  Des postes de premiers secours correctement équipés doivent être facilement accessibles depuis le lieu de travail ;</w:t>
      </w:r>
    </w:p>
    <w:p w14:paraId="57F98ABC" w14:textId="77777777" w:rsidR="009021F1" w:rsidRPr="007E3D1A" w:rsidRDefault="009021F1" w:rsidP="009021F1">
      <w:pPr>
        <w:rPr>
          <w:rFonts w:cs="Arial"/>
          <w:sz w:val="22"/>
        </w:rPr>
      </w:pPr>
      <w:r w:rsidRPr="007E3D1A">
        <w:rPr>
          <w:rFonts w:cs="Arial"/>
          <w:sz w:val="22"/>
        </w:rPr>
        <w:t>Fournir aux ouvriers chargés des tâches de sauvetage et de premiers secours une formation spécifique, afin de ne pas aggraver par inadvertance les expositions et les risques pour la santé, pour eux-mêmes ou pour leurs collègues.  La formation doit inclure les risques d'infection par des agents pathogènes transmissibles par le sang suite à des contacts avec des fluides et des tissus corporels ;</w:t>
      </w:r>
    </w:p>
    <w:p w14:paraId="1B4C279D" w14:textId="77777777" w:rsidR="009021F1" w:rsidRPr="007E3D1A" w:rsidRDefault="009021F1" w:rsidP="009021F1">
      <w:pPr>
        <w:rPr>
          <w:rFonts w:cs="Arial"/>
          <w:sz w:val="22"/>
        </w:rPr>
      </w:pPr>
      <w:r w:rsidRPr="007E3D1A">
        <w:rPr>
          <w:rFonts w:cs="Arial"/>
          <w:sz w:val="22"/>
        </w:rPr>
        <w:t>Prévoir des douches oculaires et/ou des douches d'urgence à proximité de tous les postes de travail où il pourrait être nécessaire de se rincer immédiatement à l'eau ;</w:t>
      </w:r>
    </w:p>
    <w:p w14:paraId="5398794B" w14:textId="77777777" w:rsidR="009021F1" w:rsidRPr="007E3D1A" w:rsidRDefault="009021F1" w:rsidP="009021F1">
      <w:pPr>
        <w:rPr>
          <w:rFonts w:cs="Arial"/>
          <w:sz w:val="22"/>
        </w:rPr>
      </w:pPr>
      <w:r w:rsidRPr="007E3D1A">
        <w:rPr>
          <w:rFonts w:cs="Arial"/>
          <w:sz w:val="22"/>
        </w:rPr>
        <w:t>Assurer que des procédures d'urgence écrites sont disponibles pour le traitement des cas de traumatisme ou de maladie grave, y compris les procédures de transfert des patients vers un établissement médical approprié ;</w:t>
      </w:r>
    </w:p>
    <w:p w14:paraId="1B72021F" w14:textId="77777777" w:rsidR="009021F1" w:rsidRPr="007E3D1A" w:rsidRDefault="009021F1" w:rsidP="009021F1">
      <w:pPr>
        <w:rPr>
          <w:rFonts w:cs="Arial"/>
          <w:sz w:val="22"/>
        </w:rPr>
      </w:pPr>
      <w:r w:rsidRPr="007E3D1A">
        <w:rPr>
          <w:rFonts w:cs="Arial"/>
          <w:sz w:val="22"/>
        </w:rPr>
        <w:t>Signaler immédiatement au Maître d’Ouvrage délégué toute situation susceptible de provoquer un accident grave, tel que les défaillances majeures d'équipements, le contact avec des lignes à haute tension, l'exposition à des matières dangereuses, les glissements ou les éboulements ;</w:t>
      </w:r>
    </w:p>
    <w:p w14:paraId="7FC82ADC" w14:textId="77777777" w:rsidR="009021F1" w:rsidRPr="007E3D1A" w:rsidRDefault="009021F1" w:rsidP="009021F1">
      <w:pPr>
        <w:rPr>
          <w:rFonts w:cs="Arial"/>
          <w:sz w:val="22"/>
        </w:rPr>
      </w:pPr>
      <w:r w:rsidRPr="007E3D1A">
        <w:rPr>
          <w:rFonts w:cs="Arial"/>
          <w:sz w:val="22"/>
        </w:rPr>
        <w:t>Enquêter immédiatement concernant toute blessure ou maladie grave ou mortelle causée par les travaux dont l’Entreprise est responsable, et soumettre un rapport complet au Maître d’Ouvrage délégué.</w:t>
      </w:r>
    </w:p>
    <w:p w14:paraId="3D2144B1" w14:textId="77777777" w:rsidR="009021F1" w:rsidRPr="007E3D1A" w:rsidRDefault="009021F1" w:rsidP="009021F1">
      <w:pPr>
        <w:rPr>
          <w:rFonts w:cs="Arial"/>
          <w:sz w:val="22"/>
        </w:rPr>
      </w:pPr>
    </w:p>
    <w:p w14:paraId="4054FD10" w14:textId="77777777" w:rsidR="009021F1" w:rsidRPr="007E3D1A" w:rsidRDefault="009021F1" w:rsidP="009021F1">
      <w:pPr>
        <w:rPr>
          <w:rFonts w:cs="Arial"/>
          <w:sz w:val="22"/>
        </w:rPr>
      </w:pPr>
      <w:r w:rsidRPr="007E3D1A">
        <w:rPr>
          <w:rFonts w:cs="Arial"/>
          <w:sz w:val="22"/>
        </w:rPr>
        <w:t>Maladies à Transmission Vectorielle</w:t>
      </w:r>
    </w:p>
    <w:p w14:paraId="177D2296" w14:textId="77777777" w:rsidR="009021F1" w:rsidRPr="007E3D1A" w:rsidRDefault="009021F1" w:rsidP="009021F1">
      <w:pPr>
        <w:rPr>
          <w:rFonts w:cs="Arial"/>
          <w:sz w:val="22"/>
        </w:rPr>
      </w:pPr>
    </w:p>
    <w:p w14:paraId="36A48AD1" w14:textId="77777777" w:rsidR="009021F1" w:rsidRPr="007E3D1A" w:rsidRDefault="009021F1" w:rsidP="009021F1">
      <w:pPr>
        <w:rPr>
          <w:rFonts w:cs="Arial"/>
          <w:sz w:val="22"/>
        </w:rPr>
      </w:pPr>
      <w:r w:rsidRPr="007E3D1A">
        <w:rPr>
          <w:rFonts w:cs="Arial"/>
          <w:sz w:val="22"/>
        </w:rPr>
        <w:t>La meilleure façon de réduire l'impact des maladies à transmission vectorielle sur la santé à long terme des ouvriers et des communautés voisines est d'éliminer les facteurs qui conduisent à la maladie.  L'Entreprise, en étroite collaboration avec les autorités sanitaires de la communauté, doit mettre en œuvre une stratégie intégrée de lutte contre les maladies transmises par les moustiques et autres arthropodes, y compris :</w:t>
      </w:r>
    </w:p>
    <w:p w14:paraId="616E41D9" w14:textId="77777777" w:rsidR="009021F1" w:rsidRPr="007E3D1A" w:rsidRDefault="009021F1" w:rsidP="009021F1">
      <w:pPr>
        <w:rPr>
          <w:rFonts w:cs="Arial"/>
          <w:sz w:val="22"/>
        </w:rPr>
      </w:pPr>
      <w:r w:rsidRPr="007E3D1A">
        <w:rPr>
          <w:rFonts w:cs="Arial"/>
          <w:sz w:val="22"/>
        </w:rPr>
        <w:t>Prévenir la propagation des larves et des adultes par des améliorations sanitaires, et l'élimination des habitats de reproduction à proximité des établissements humains ;</w:t>
      </w:r>
    </w:p>
    <w:p w14:paraId="5DE11E70" w14:textId="77777777" w:rsidR="009021F1" w:rsidRPr="007E3D1A" w:rsidRDefault="009021F1" w:rsidP="009021F1">
      <w:pPr>
        <w:rPr>
          <w:rFonts w:cs="Arial"/>
          <w:sz w:val="22"/>
        </w:rPr>
      </w:pPr>
      <w:r w:rsidRPr="007E3D1A">
        <w:rPr>
          <w:rFonts w:cs="Arial"/>
          <w:sz w:val="22"/>
        </w:rPr>
        <w:t>Prévenir et minimiser la contamination et la propagation ;</w:t>
      </w:r>
    </w:p>
    <w:p w14:paraId="20598B27" w14:textId="77777777" w:rsidR="009021F1" w:rsidRPr="007E3D1A" w:rsidRDefault="009021F1" w:rsidP="009021F1">
      <w:pPr>
        <w:rPr>
          <w:rFonts w:cs="Arial"/>
          <w:sz w:val="22"/>
        </w:rPr>
      </w:pPr>
      <w:r w:rsidRPr="007E3D1A">
        <w:rPr>
          <w:rFonts w:cs="Arial"/>
          <w:sz w:val="22"/>
        </w:rPr>
        <w:t>Éliminer les eaux stagnantes ;</w:t>
      </w:r>
    </w:p>
    <w:p w14:paraId="263C1031" w14:textId="77777777" w:rsidR="009021F1" w:rsidRPr="007E3D1A" w:rsidRDefault="009021F1" w:rsidP="009021F1">
      <w:pPr>
        <w:rPr>
          <w:rFonts w:cs="Arial"/>
          <w:sz w:val="22"/>
        </w:rPr>
      </w:pPr>
      <w:r w:rsidRPr="007E3D1A">
        <w:rPr>
          <w:rFonts w:cs="Arial"/>
          <w:sz w:val="22"/>
        </w:rPr>
        <w:t>Mettre en œuvre des programmes de lutte intégrée contre les vecteurs ;</w:t>
      </w:r>
    </w:p>
    <w:p w14:paraId="6945E40A" w14:textId="77777777" w:rsidR="009021F1" w:rsidRPr="007E3D1A" w:rsidRDefault="009021F1" w:rsidP="009021F1">
      <w:pPr>
        <w:rPr>
          <w:rFonts w:cs="Arial"/>
          <w:sz w:val="22"/>
        </w:rPr>
      </w:pPr>
      <w:r w:rsidRPr="007E3D1A">
        <w:rPr>
          <w:rFonts w:cs="Arial"/>
          <w:sz w:val="22"/>
        </w:rPr>
        <w:t>Promouvoir l'utilisation de répulsifs, de vêtements, de filets et d'autres barrières pour prévenir les piqûres d'insectes ;</w:t>
      </w:r>
    </w:p>
    <w:p w14:paraId="394A5556" w14:textId="77777777" w:rsidR="009021F1" w:rsidRPr="007E3D1A" w:rsidRDefault="009021F1" w:rsidP="009021F1">
      <w:pPr>
        <w:rPr>
          <w:rFonts w:cs="Arial"/>
          <w:sz w:val="22"/>
        </w:rPr>
      </w:pPr>
      <w:r w:rsidRPr="007E3D1A">
        <w:rPr>
          <w:rFonts w:cs="Arial"/>
          <w:sz w:val="22"/>
        </w:rPr>
        <w:t>Sensibiliser le personnel du projet aux risques, à la prévention et aux traitements disponibles ;</w:t>
      </w:r>
    </w:p>
    <w:p w14:paraId="73B887D3" w14:textId="77777777" w:rsidR="009021F1" w:rsidRPr="007E3D1A" w:rsidRDefault="009021F1" w:rsidP="009021F1">
      <w:pPr>
        <w:rPr>
          <w:rFonts w:cs="Arial"/>
          <w:sz w:val="22"/>
        </w:rPr>
      </w:pPr>
      <w:r w:rsidRPr="007E3D1A">
        <w:rPr>
          <w:rFonts w:cs="Arial"/>
          <w:sz w:val="22"/>
        </w:rPr>
        <w:t>Distribuer du matériel éducatif approprié ; et</w:t>
      </w:r>
    </w:p>
    <w:p w14:paraId="093FA3B7" w14:textId="77777777" w:rsidR="009021F1" w:rsidRPr="007E3D1A" w:rsidRDefault="009021F1" w:rsidP="009021F1">
      <w:pPr>
        <w:rPr>
          <w:rFonts w:cs="Arial"/>
          <w:sz w:val="22"/>
        </w:rPr>
      </w:pPr>
      <w:r w:rsidRPr="007E3D1A">
        <w:rPr>
          <w:rFonts w:cs="Arial"/>
          <w:sz w:val="22"/>
        </w:rPr>
        <w:t>Suivre les directives de sécurité pour le stockage, le transport et la distribution des pesticides afin de minimiser les risques de mauvaise utilisation, de déversement et d'exposition humaine accidentelle.</w:t>
      </w:r>
    </w:p>
    <w:p w14:paraId="697852E8" w14:textId="77777777" w:rsidR="009021F1" w:rsidRPr="007E3D1A" w:rsidRDefault="009021F1" w:rsidP="009021F1">
      <w:pPr>
        <w:rPr>
          <w:rFonts w:cs="Arial"/>
          <w:sz w:val="22"/>
        </w:rPr>
      </w:pPr>
    </w:p>
    <w:p w14:paraId="48118DA9" w14:textId="77777777" w:rsidR="009021F1" w:rsidRPr="007E3D1A" w:rsidRDefault="009021F1" w:rsidP="009021F1">
      <w:pPr>
        <w:rPr>
          <w:rFonts w:cs="Arial"/>
          <w:sz w:val="22"/>
        </w:rPr>
      </w:pPr>
      <w:r w:rsidRPr="007E3D1A">
        <w:rPr>
          <w:rFonts w:cs="Arial"/>
          <w:sz w:val="22"/>
        </w:rPr>
        <w:t>Maladies Contagieuses</w:t>
      </w:r>
    </w:p>
    <w:p w14:paraId="64745E24" w14:textId="77777777" w:rsidR="009021F1" w:rsidRPr="007E3D1A" w:rsidRDefault="009021F1" w:rsidP="009021F1">
      <w:pPr>
        <w:rPr>
          <w:rFonts w:cs="Arial"/>
          <w:sz w:val="22"/>
        </w:rPr>
      </w:pPr>
    </w:p>
    <w:p w14:paraId="5F4C6B6F" w14:textId="77777777" w:rsidR="009021F1" w:rsidRPr="007E3D1A" w:rsidRDefault="009021F1" w:rsidP="009021F1">
      <w:pPr>
        <w:rPr>
          <w:rFonts w:cs="Arial"/>
          <w:sz w:val="22"/>
        </w:rPr>
      </w:pPr>
      <w:r w:rsidRPr="007E3D1A">
        <w:rPr>
          <w:rFonts w:cs="Arial"/>
          <w:sz w:val="22"/>
        </w:rPr>
        <w:t>La mobilité de la main-d'œuvre pendant les travaux peut propager les maladies contagieuses, notamment les maladies sexuellement transmissibles (MST), telles que le VIH/SIDA.  Reconnaissant qu'aucune mesure unique n'est susceptible d'être efficace à long terme, l’Entreprise doit inclure une combinaison de modifications comportementales et environnementales pour atténuer ces maladies transmissibles :</w:t>
      </w:r>
    </w:p>
    <w:p w14:paraId="11C271CB" w14:textId="77777777" w:rsidR="009021F1" w:rsidRPr="007E3D1A" w:rsidRDefault="009021F1" w:rsidP="009021F1">
      <w:pPr>
        <w:rPr>
          <w:rFonts w:cs="Arial"/>
          <w:sz w:val="22"/>
        </w:rPr>
      </w:pPr>
      <w:r w:rsidRPr="007E3D1A">
        <w:rPr>
          <w:rFonts w:cs="Arial"/>
          <w:sz w:val="22"/>
        </w:rPr>
        <w:t>Prévoir un dépistage actif, un diagnostic, des conseils et l'orientation des travailleurs vers un programme national dédié aux MST et au VIH/SIDA, (sauf accord contraire) de l'ensemble du personnel et de la main-d'œuvre du chantier ;</w:t>
      </w:r>
    </w:p>
    <w:p w14:paraId="6B9444DF" w14:textId="77777777" w:rsidR="009021F1" w:rsidRPr="007E3D1A" w:rsidRDefault="009021F1" w:rsidP="009021F1">
      <w:pPr>
        <w:rPr>
          <w:rFonts w:cs="Arial"/>
          <w:sz w:val="22"/>
        </w:rPr>
      </w:pPr>
      <w:r w:rsidRPr="007E3D1A">
        <w:rPr>
          <w:rFonts w:cs="Arial"/>
          <w:sz w:val="22"/>
        </w:rPr>
        <w:t>Mener des campagnes d'information, d'éducation et de consultation (IEC), au moins tous les deux mois, à l'intention de l'ensemble du personnel et de la main-d'œuvre du site (y compris tous les employés de l’Entreprise, tous les sous-traitants de tout niveau et les employés des consultants travaillant sur le site, ainsi que les chauffeurs de camion et les équipes effectuant des livraisons sur le site pour les travaux et les services exécutés dans le cadre du contrat), concernant les risques, les dangers et l'impact, et les comportements appropriés pour éviter la propagation ;</w:t>
      </w:r>
    </w:p>
    <w:p w14:paraId="32230DD5" w14:textId="77777777" w:rsidR="009021F1" w:rsidRPr="007E3D1A" w:rsidRDefault="009021F1" w:rsidP="009021F1">
      <w:pPr>
        <w:rPr>
          <w:rFonts w:cs="Arial"/>
          <w:sz w:val="22"/>
        </w:rPr>
      </w:pPr>
      <w:r w:rsidRPr="007E3D1A">
        <w:rPr>
          <w:rFonts w:cs="Arial"/>
          <w:sz w:val="22"/>
        </w:rPr>
        <w:t>Fournir des préservatifs masculins ou féminins à l'ensemble du personnel et des travailleurs du site, selon le cas ;</w:t>
      </w:r>
    </w:p>
    <w:p w14:paraId="05D670BC" w14:textId="77777777" w:rsidR="009021F1" w:rsidRPr="007E3D1A" w:rsidRDefault="009021F1" w:rsidP="009021F1">
      <w:pPr>
        <w:rPr>
          <w:rFonts w:cs="Arial"/>
          <w:sz w:val="22"/>
        </w:rPr>
      </w:pPr>
      <w:r w:rsidRPr="007E3D1A">
        <w:rPr>
          <w:rFonts w:cs="Arial"/>
          <w:sz w:val="22"/>
        </w:rPr>
        <w:t>Fournir un traitement par le biais d'une gestion de cas standard dans les établissements de soins de santé du site ou de la communauté ;</w:t>
      </w:r>
    </w:p>
    <w:p w14:paraId="0EAF934C" w14:textId="77777777" w:rsidR="009021F1" w:rsidRPr="007E3D1A" w:rsidRDefault="009021F1" w:rsidP="009021F1">
      <w:pPr>
        <w:rPr>
          <w:rFonts w:cs="Arial"/>
          <w:sz w:val="22"/>
        </w:rPr>
      </w:pPr>
      <w:r w:rsidRPr="007E3D1A">
        <w:rPr>
          <w:rFonts w:cs="Arial"/>
          <w:sz w:val="22"/>
        </w:rPr>
        <w:t>Garantir un accès facile au traitement médical, à la confidentialité et aux soins appropriés, en particulier en ce qui concerne les travailleurs migrants ;</w:t>
      </w:r>
    </w:p>
    <w:p w14:paraId="00B28A87" w14:textId="77777777" w:rsidR="009021F1" w:rsidRPr="007E3D1A" w:rsidRDefault="009021F1" w:rsidP="009021F1">
      <w:pPr>
        <w:rPr>
          <w:rFonts w:cs="Arial"/>
          <w:sz w:val="22"/>
        </w:rPr>
      </w:pPr>
      <w:r w:rsidRPr="007E3D1A">
        <w:rPr>
          <w:rFonts w:cs="Arial"/>
          <w:sz w:val="22"/>
        </w:rPr>
        <w:t>Promouvoir la collaboration avec les autorités locales pour améliorer l'accès des familles des travailleurs et de la communauté aux services de santé publique et assurer l'immunisation des travailleurs contre les maladies courantes et localement répandues ;</w:t>
      </w:r>
    </w:p>
    <w:p w14:paraId="5C790E32" w14:textId="77777777" w:rsidR="009021F1" w:rsidRPr="007E3D1A" w:rsidRDefault="009021F1" w:rsidP="009021F1">
      <w:pPr>
        <w:rPr>
          <w:rFonts w:cs="Arial"/>
          <w:sz w:val="22"/>
        </w:rPr>
      </w:pPr>
      <w:r w:rsidRPr="007E3D1A">
        <w:rPr>
          <w:rFonts w:cs="Arial"/>
          <w:sz w:val="22"/>
        </w:rPr>
        <w:t>Fournir une éducation de base sur les conditions qui permettent la propagation d'autres maladies telles que la fièvre de Lassa, le choléra et le virus Ébola.  La formation doit couvrir l'éducation à l'hygiène sanitaire ;</w:t>
      </w:r>
    </w:p>
    <w:p w14:paraId="2B227400" w14:textId="77777777" w:rsidR="009021F1" w:rsidRPr="007E3D1A" w:rsidRDefault="009021F1" w:rsidP="009021F1">
      <w:pPr>
        <w:rPr>
          <w:rFonts w:cs="Arial"/>
          <w:sz w:val="22"/>
        </w:rPr>
      </w:pPr>
      <w:r w:rsidRPr="007E3D1A">
        <w:rPr>
          <w:rFonts w:cs="Arial"/>
          <w:sz w:val="22"/>
        </w:rPr>
        <w:t>Prévenir les maladies dans les communautés voisines des installations du Projet ;</w:t>
      </w:r>
    </w:p>
    <w:p w14:paraId="63C8EF27" w14:textId="77777777" w:rsidR="009021F1" w:rsidRPr="007E3D1A" w:rsidRDefault="009021F1" w:rsidP="009021F1">
      <w:pPr>
        <w:rPr>
          <w:rFonts w:cs="Arial"/>
          <w:sz w:val="22"/>
        </w:rPr>
      </w:pPr>
      <w:r w:rsidRPr="007E3D1A">
        <w:rPr>
          <w:rFonts w:cs="Arial"/>
          <w:sz w:val="22"/>
        </w:rPr>
        <w:t>Mettre en œuvre une stratégie d'information pour renforcer les conseils de personne à personne sur les facteurs systémiques qui peuvent influencer le comportement individuel ainsi qu'en promouvant la protection individuelle et en protégeant les autres de l'infection, en encourageant l'utilisation de préservatifs ;</w:t>
      </w:r>
    </w:p>
    <w:p w14:paraId="2E8B8C20" w14:textId="77777777" w:rsidR="009021F1" w:rsidRPr="007E3D1A" w:rsidRDefault="009021F1" w:rsidP="009021F1">
      <w:pPr>
        <w:rPr>
          <w:rFonts w:cs="Arial"/>
          <w:sz w:val="22"/>
        </w:rPr>
      </w:pPr>
      <w:r w:rsidRPr="007E3D1A">
        <w:rPr>
          <w:rFonts w:cs="Arial"/>
          <w:sz w:val="22"/>
        </w:rPr>
        <w:t>Former les travailleurs de la santé au traitement des maladies ;</w:t>
      </w:r>
    </w:p>
    <w:p w14:paraId="3A8B831D" w14:textId="77777777" w:rsidR="009021F1" w:rsidRPr="007E3D1A" w:rsidRDefault="009021F1" w:rsidP="009021F1">
      <w:pPr>
        <w:rPr>
          <w:rFonts w:cs="Arial"/>
          <w:sz w:val="22"/>
        </w:rPr>
      </w:pPr>
      <w:r w:rsidRPr="007E3D1A">
        <w:rPr>
          <w:rFonts w:cs="Arial"/>
          <w:sz w:val="22"/>
        </w:rPr>
        <w:t>Mener des programmes de vaccination pour les travailleurs des communautés locales afin d'améliorer la santé et de se prémunir contre les infections ;</w:t>
      </w:r>
    </w:p>
    <w:p w14:paraId="1531C10F" w14:textId="77777777" w:rsidR="009021F1" w:rsidRPr="007E3D1A" w:rsidRDefault="009021F1" w:rsidP="009021F1">
      <w:pPr>
        <w:rPr>
          <w:rFonts w:cs="Arial"/>
          <w:sz w:val="22"/>
        </w:rPr>
      </w:pPr>
      <w:r w:rsidRPr="007E3D1A">
        <w:rPr>
          <w:rFonts w:cs="Arial"/>
          <w:sz w:val="22"/>
        </w:rPr>
        <w:t>Fournir des services de santé ; et</w:t>
      </w:r>
    </w:p>
    <w:p w14:paraId="30C827E7" w14:textId="77777777" w:rsidR="009021F1" w:rsidRPr="007E3D1A" w:rsidRDefault="009021F1" w:rsidP="009021F1">
      <w:pPr>
        <w:rPr>
          <w:rFonts w:cs="Arial"/>
          <w:sz w:val="22"/>
        </w:rPr>
      </w:pPr>
      <w:r w:rsidRPr="007E3D1A">
        <w:rPr>
          <w:rFonts w:cs="Arial"/>
          <w:sz w:val="22"/>
        </w:rPr>
        <w:t>Confier à un prestataire de services VIH la tâche d'être disponible sur place.</w:t>
      </w:r>
    </w:p>
    <w:p w14:paraId="09AF9F64" w14:textId="77777777" w:rsidR="009021F1" w:rsidRPr="007E3D1A" w:rsidRDefault="009021F1" w:rsidP="009021F1">
      <w:pPr>
        <w:rPr>
          <w:rFonts w:cs="Arial"/>
          <w:sz w:val="22"/>
        </w:rPr>
      </w:pPr>
    </w:p>
    <w:p w14:paraId="318263F8" w14:textId="77777777" w:rsidR="009021F1" w:rsidRPr="007E3D1A" w:rsidRDefault="009021F1" w:rsidP="009021F1">
      <w:pPr>
        <w:rPr>
          <w:rFonts w:cs="Arial"/>
          <w:sz w:val="22"/>
        </w:rPr>
      </w:pPr>
      <w:r w:rsidRPr="007E3D1A">
        <w:rPr>
          <w:rFonts w:cs="Arial"/>
          <w:sz w:val="22"/>
        </w:rPr>
        <w:t>COVID-19</w:t>
      </w:r>
    </w:p>
    <w:p w14:paraId="7241F41D" w14:textId="77777777" w:rsidR="009021F1" w:rsidRPr="007E3D1A" w:rsidRDefault="009021F1" w:rsidP="009021F1">
      <w:pPr>
        <w:rPr>
          <w:rFonts w:cs="Arial"/>
          <w:sz w:val="22"/>
        </w:rPr>
      </w:pPr>
    </w:p>
    <w:p w14:paraId="673EE043" w14:textId="77777777" w:rsidR="009021F1" w:rsidRPr="007E3D1A" w:rsidRDefault="009021F1" w:rsidP="009021F1">
      <w:pPr>
        <w:rPr>
          <w:rFonts w:cs="Arial"/>
          <w:sz w:val="22"/>
        </w:rPr>
      </w:pPr>
      <w:r w:rsidRPr="007E3D1A">
        <w:rPr>
          <w:rFonts w:cs="Arial"/>
          <w:sz w:val="22"/>
        </w:rPr>
        <w:t>Dans le contexte de la pandémie COVID-19, l’Entreprise devra élaborer et mettre en œuvre des mesures visant à prévenir ou à réduire au minimum la pandémie, et indiquant ce qu'il convient de faire si un travailleur tombe malade.  À ce titre, l’Entreprise doit :</w:t>
      </w:r>
    </w:p>
    <w:p w14:paraId="722E618C" w14:textId="77777777" w:rsidR="009021F1" w:rsidRPr="007E3D1A" w:rsidRDefault="009021F1" w:rsidP="009021F1">
      <w:pPr>
        <w:rPr>
          <w:rFonts w:cs="Arial"/>
          <w:sz w:val="22"/>
        </w:rPr>
      </w:pPr>
    </w:p>
    <w:p w14:paraId="786137AF" w14:textId="77777777" w:rsidR="009021F1" w:rsidRPr="007E3D1A" w:rsidRDefault="009021F1" w:rsidP="009021F1">
      <w:pPr>
        <w:rPr>
          <w:rFonts w:cs="Arial"/>
          <w:sz w:val="22"/>
        </w:rPr>
      </w:pPr>
      <w:r w:rsidRPr="007E3D1A">
        <w:rPr>
          <w:rFonts w:cs="Arial"/>
          <w:sz w:val="22"/>
        </w:rPr>
        <w:t>Identifier les employés qui présentent des problèmes de santé sous-jacents ou qui peuvent être autrement à risque ;</w:t>
      </w:r>
    </w:p>
    <w:p w14:paraId="44A23048" w14:textId="77777777" w:rsidR="009021F1" w:rsidRPr="007E3D1A" w:rsidRDefault="009021F1" w:rsidP="009021F1">
      <w:pPr>
        <w:rPr>
          <w:rFonts w:cs="Arial"/>
          <w:sz w:val="22"/>
        </w:rPr>
      </w:pPr>
      <w:r w:rsidRPr="007E3D1A">
        <w:rPr>
          <w:rFonts w:cs="Arial"/>
          <w:sz w:val="22"/>
        </w:rPr>
        <w:t>Confirmer que les travailleurs sont aptes au travail, y compris en contrôlant leur température et en refusant l'entrée aux travailleurs malades ;</w:t>
      </w:r>
    </w:p>
    <w:p w14:paraId="1D230FCD" w14:textId="77777777" w:rsidR="009021F1" w:rsidRPr="007E3D1A" w:rsidRDefault="009021F1" w:rsidP="009021F1">
      <w:pPr>
        <w:rPr>
          <w:rFonts w:cs="Arial"/>
          <w:sz w:val="22"/>
        </w:rPr>
      </w:pPr>
      <w:r w:rsidRPr="007E3D1A">
        <w:rPr>
          <w:rFonts w:cs="Arial"/>
          <w:sz w:val="22"/>
        </w:rPr>
        <w:t>Envisager des moyens afin de réduire au minimum les entrées/sorties sur le site ou le lieu de travail et de limiter les contacts entre les travailleurs et la communauté/le grand public ;</w:t>
      </w:r>
    </w:p>
    <w:p w14:paraId="6521F68D" w14:textId="77777777" w:rsidR="009021F1" w:rsidRPr="007E3D1A" w:rsidRDefault="009021F1" w:rsidP="009021F1">
      <w:pPr>
        <w:rPr>
          <w:rFonts w:cs="Arial"/>
          <w:sz w:val="22"/>
        </w:rPr>
      </w:pPr>
      <w:r w:rsidRPr="007E3D1A">
        <w:rPr>
          <w:rFonts w:cs="Arial"/>
          <w:sz w:val="22"/>
        </w:rPr>
        <w:t>Former les employés à l'hygiène et aux autres mesures préventives, et mettre en œuvre une stratégie de communication, y compris des mises à jour régulières sur les questions liées à COVID-19 et le statut des travailleurs concernés ;</w:t>
      </w:r>
    </w:p>
    <w:p w14:paraId="62FC5936" w14:textId="77777777" w:rsidR="009021F1" w:rsidRPr="007E3D1A" w:rsidRDefault="009021F1" w:rsidP="009021F1">
      <w:pPr>
        <w:rPr>
          <w:rFonts w:cs="Arial"/>
          <w:sz w:val="22"/>
        </w:rPr>
      </w:pPr>
      <w:r w:rsidRPr="007E3D1A">
        <w:rPr>
          <w:rFonts w:cs="Arial"/>
          <w:sz w:val="22"/>
        </w:rPr>
        <w:t>Continuer de traiter les travailleurs qui s'isolent ou devraient s'isoler et/ou qui présentent des symptômes ;</w:t>
      </w:r>
    </w:p>
    <w:p w14:paraId="05F74C3B" w14:textId="77777777" w:rsidR="009021F1" w:rsidRPr="007E3D1A" w:rsidRDefault="009021F1" w:rsidP="009021F1">
      <w:pPr>
        <w:rPr>
          <w:rFonts w:cs="Arial"/>
          <w:sz w:val="22"/>
        </w:rPr>
      </w:pPr>
      <w:r w:rsidRPr="007E3D1A">
        <w:rPr>
          <w:rFonts w:cs="Arial"/>
          <w:sz w:val="22"/>
        </w:rPr>
        <w:t>Évaluer les risques pour la continuité de l'approvisionnement en médicaments, en eau, en carburant, en nourriture et en EPI, en tenant compte des chaînes d'approvisionnement internationales, nationales et locales ;</w:t>
      </w:r>
    </w:p>
    <w:p w14:paraId="7B341E37" w14:textId="77777777" w:rsidR="009021F1" w:rsidRPr="007E3D1A" w:rsidRDefault="009021F1" w:rsidP="009021F1">
      <w:pPr>
        <w:rPr>
          <w:rFonts w:cs="Arial"/>
          <w:sz w:val="22"/>
        </w:rPr>
      </w:pPr>
      <w:r w:rsidRPr="007E3D1A">
        <w:rPr>
          <w:rFonts w:cs="Arial"/>
          <w:sz w:val="22"/>
        </w:rPr>
        <w:t>Réduire, stocker et éliminer les déchets médicaux ;</w:t>
      </w:r>
    </w:p>
    <w:p w14:paraId="19781952" w14:textId="77777777" w:rsidR="009021F1" w:rsidRPr="007E3D1A" w:rsidRDefault="009021F1" w:rsidP="009021F1">
      <w:pPr>
        <w:rPr>
          <w:rFonts w:cs="Arial"/>
          <w:sz w:val="22"/>
        </w:rPr>
      </w:pPr>
      <w:r w:rsidRPr="007E3D1A">
        <w:rPr>
          <w:rFonts w:cs="Arial"/>
          <w:sz w:val="22"/>
        </w:rPr>
        <w:t>Adapter des pratiques de travail permettant de réduire le nombre de travailleurs et d’accroître la distance sociale ;</w:t>
      </w:r>
    </w:p>
    <w:p w14:paraId="2F7023A6" w14:textId="77777777" w:rsidR="009021F1" w:rsidRPr="007E3D1A" w:rsidRDefault="009021F1" w:rsidP="009021F1">
      <w:pPr>
        <w:rPr>
          <w:rFonts w:cs="Arial"/>
          <w:sz w:val="22"/>
        </w:rPr>
      </w:pPr>
      <w:r w:rsidRPr="007E3D1A">
        <w:rPr>
          <w:rFonts w:cs="Arial"/>
          <w:sz w:val="22"/>
        </w:rPr>
        <w:t>Développer les capacités de traitement sur le site par rapport au niveau habituel, développer les relations avec les établissements de santé locaux, et organiser le traitement des travailleurs malades ;</w:t>
      </w:r>
    </w:p>
    <w:p w14:paraId="7C146E5E" w14:textId="77777777" w:rsidR="009021F1" w:rsidRPr="007E3D1A" w:rsidRDefault="009021F1" w:rsidP="009021F1">
      <w:pPr>
        <w:rPr>
          <w:rFonts w:cs="Arial"/>
          <w:sz w:val="22"/>
        </w:rPr>
      </w:pPr>
      <w:r w:rsidRPr="007E3D1A">
        <w:rPr>
          <w:rFonts w:cs="Arial"/>
          <w:sz w:val="22"/>
        </w:rPr>
        <w:t>Construire des logements pour les travailleurs plus éloignés les uns des autres, ou avoir un logement dans une zone plus isolée, qui peut être facilement converti en installations de quarantaine et de traitement, si nécessaire ;</w:t>
      </w:r>
    </w:p>
    <w:p w14:paraId="36DB0EE6" w14:textId="77777777" w:rsidR="009021F1" w:rsidRPr="007E3D1A" w:rsidRDefault="009021F1" w:rsidP="009021F1">
      <w:pPr>
        <w:rPr>
          <w:rFonts w:cs="Arial"/>
          <w:sz w:val="22"/>
        </w:rPr>
      </w:pPr>
      <w:r w:rsidRPr="007E3D1A">
        <w:rPr>
          <w:rFonts w:cs="Arial"/>
          <w:sz w:val="22"/>
        </w:rPr>
        <w:t>Établir la procédure à suivre si un travailleur tombe malade (en suivant les directives de l'OMS) ; et</w:t>
      </w:r>
    </w:p>
    <w:p w14:paraId="0CD7660C" w14:textId="77777777" w:rsidR="009021F1" w:rsidRPr="007E3D1A" w:rsidRDefault="009021F1" w:rsidP="009021F1">
      <w:pPr>
        <w:rPr>
          <w:rFonts w:cs="Arial"/>
          <w:sz w:val="22"/>
        </w:rPr>
      </w:pPr>
      <w:r w:rsidRPr="007E3D1A">
        <w:rPr>
          <w:rFonts w:cs="Arial"/>
          <w:sz w:val="22"/>
        </w:rPr>
        <w:t>Mettre en œuvre une stratégie de communication avec la communauté, les dirigeants communautaires et les autorités locales en ce qui concerne les questions relatives à COVID-19 sur les sites du Projet.</w:t>
      </w:r>
    </w:p>
    <w:p w14:paraId="3E72A1B1" w14:textId="77777777" w:rsidR="009021F1" w:rsidRPr="007E3D1A" w:rsidRDefault="009021F1" w:rsidP="009021F1">
      <w:pPr>
        <w:rPr>
          <w:rFonts w:cs="Arial"/>
          <w:sz w:val="22"/>
        </w:rPr>
      </w:pPr>
    </w:p>
    <w:p w14:paraId="4EB1DA24" w14:textId="77777777" w:rsidR="009021F1" w:rsidRPr="007E3D1A" w:rsidRDefault="009021F1" w:rsidP="009021F1">
      <w:pPr>
        <w:rPr>
          <w:rFonts w:cs="Arial"/>
          <w:sz w:val="22"/>
        </w:rPr>
      </w:pPr>
      <w:r w:rsidRPr="007E3D1A">
        <w:rPr>
          <w:rFonts w:cs="Arial"/>
          <w:sz w:val="22"/>
        </w:rPr>
        <w:t>Interdiction du travail et exploitation des enfants</w:t>
      </w:r>
    </w:p>
    <w:p w14:paraId="180A84ED" w14:textId="77777777" w:rsidR="009021F1" w:rsidRPr="007E3D1A" w:rsidRDefault="009021F1" w:rsidP="009021F1">
      <w:pPr>
        <w:rPr>
          <w:rFonts w:cs="Arial"/>
          <w:sz w:val="22"/>
        </w:rPr>
      </w:pPr>
    </w:p>
    <w:p w14:paraId="669A3683" w14:textId="77777777" w:rsidR="009021F1" w:rsidRPr="007E3D1A" w:rsidRDefault="009021F1" w:rsidP="009021F1">
      <w:pPr>
        <w:rPr>
          <w:rFonts w:cs="Arial"/>
          <w:sz w:val="22"/>
        </w:rPr>
      </w:pPr>
      <w:r w:rsidRPr="007E3D1A">
        <w:rPr>
          <w:rFonts w:cs="Arial"/>
          <w:sz w:val="22"/>
        </w:rPr>
        <w:t>L’entrepreneur ne doit pas embaucher les enfants de moins de 18 ans. Ex : L’Entrepreneur n'emploiera pas d’enfants d’une manière qui revient à les exploiter économiquement ou dont il est probable qu'elle soit dangereuse ou qu'elle interfère avec l'éducation de l'enfant ou qu'elle soit dommageable pour sa santé ou son développement physique, mental, spirituel, moral ou social. Si le droit national prévoit l’emploi des mineurs, l’Entrepreneur respectera les lois qui lui sont applicables. Les enfants de moins de dix-huit ans ne seront pas employés à des travaux dangereux.</w:t>
      </w:r>
    </w:p>
    <w:p w14:paraId="452A2531" w14:textId="77777777" w:rsidR="009021F1" w:rsidRPr="007E3D1A" w:rsidRDefault="009021F1" w:rsidP="009021F1">
      <w:pPr>
        <w:rPr>
          <w:rFonts w:cs="Arial"/>
          <w:sz w:val="22"/>
        </w:rPr>
      </w:pPr>
    </w:p>
    <w:p w14:paraId="7CE1AE53" w14:textId="77777777" w:rsidR="009021F1" w:rsidRPr="007E3D1A" w:rsidRDefault="009021F1" w:rsidP="009021F1">
      <w:pPr>
        <w:rPr>
          <w:rFonts w:cs="Arial"/>
          <w:sz w:val="22"/>
        </w:rPr>
      </w:pPr>
      <w:r w:rsidRPr="007E3D1A">
        <w:rPr>
          <w:rFonts w:cs="Arial"/>
          <w:sz w:val="22"/>
        </w:rPr>
        <w:t>Prévention, atténuation er réponse contre les VBG/EAS/HS</w:t>
      </w:r>
    </w:p>
    <w:p w14:paraId="78E9AB12" w14:textId="77777777" w:rsidR="009021F1" w:rsidRPr="007E3D1A" w:rsidRDefault="009021F1" w:rsidP="009021F1">
      <w:pPr>
        <w:rPr>
          <w:rFonts w:cs="Arial"/>
          <w:sz w:val="22"/>
        </w:rPr>
      </w:pPr>
    </w:p>
    <w:p w14:paraId="3754DABC" w14:textId="77777777" w:rsidR="009021F1" w:rsidRPr="007E3D1A" w:rsidRDefault="009021F1" w:rsidP="009021F1">
      <w:pPr>
        <w:rPr>
          <w:rFonts w:cs="Arial"/>
          <w:sz w:val="22"/>
        </w:rPr>
      </w:pPr>
      <w:r w:rsidRPr="007E3D1A">
        <w:rPr>
          <w:rFonts w:cs="Arial"/>
          <w:sz w:val="22"/>
        </w:rPr>
        <w:t>L’Entrepreneur doit informer et former son personnel sur les risques liés à la commission des incidents VBG/EAS/HS. Il doit veiller à créer un environnement dans lequel les incidents des VBG ne se perpétuent pas. Et l’entrepreneur sera responsable aussi de prévoir des mesures de prévention comme : (i) l’affichage du code de conduite dans lieux visibles et accessibles pour tous les travailleurs, et ce dans différentes langues, (ii) faciliter la formation des travailleurs, et la signature du Code de Conduite etc.</w:t>
      </w:r>
    </w:p>
    <w:p w14:paraId="4D582840" w14:textId="77777777" w:rsidR="009021F1" w:rsidRPr="007E3D1A" w:rsidRDefault="009021F1" w:rsidP="009021F1">
      <w:pPr>
        <w:rPr>
          <w:rFonts w:cs="Arial"/>
          <w:sz w:val="22"/>
        </w:rPr>
      </w:pPr>
    </w:p>
    <w:p w14:paraId="4A0D03CE" w14:textId="77777777" w:rsidR="009021F1" w:rsidRPr="007E3D1A" w:rsidRDefault="009021F1" w:rsidP="009021F1">
      <w:pPr>
        <w:rPr>
          <w:rFonts w:cs="Arial"/>
          <w:sz w:val="22"/>
        </w:rPr>
      </w:pPr>
      <w:r w:rsidRPr="007E3D1A">
        <w:rPr>
          <w:rFonts w:cs="Arial"/>
          <w:sz w:val="22"/>
        </w:rPr>
        <w:t>Les Spécifications pour les Travaux doivent également comprendre les exigences environnementales, sociales (y compris les dispositions sur l’exploitation et les abus sexuels (EAS) et les violences à caractère sexiste (VCS), hygiène et sécurité (ESHS) que l’Entrepreneur doit satisfaire en exécutant les Travaux.</w:t>
      </w:r>
    </w:p>
    <w:p w14:paraId="7057C688" w14:textId="77777777" w:rsidR="009021F1" w:rsidRPr="007E3D1A" w:rsidRDefault="009021F1" w:rsidP="009021F1">
      <w:pPr>
        <w:rPr>
          <w:rFonts w:cs="Arial"/>
          <w:sz w:val="22"/>
        </w:rPr>
      </w:pPr>
    </w:p>
    <w:p w14:paraId="7268414B" w14:textId="77777777" w:rsidR="009021F1" w:rsidRPr="007E3D1A" w:rsidRDefault="009021F1" w:rsidP="009021F1">
      <w:pPr>
        <w:rPr>
          <w:rFonts w:cs="Arial"/>
          <w:sz w:val="22"/>
        </w:rPr>
      </w:pPr>
      <w:r w:rsidRPr="007E3D1A">
        <w:rPr>
          <w:rFonts w:cs="Arial"/>
          <w:sz w:val="22"/>
        </w:rPr>
        <w:t>Les actes de VBG ou VCE constituent une faute grave et sont donc des motifs de sanctions, qui peuvent inclure des sanctions et/ou la cessation d'emploi, et si nécessaire le renvoi à la police pour d'autres mesures.</w:t>
      </w:r>
    </w:p>
    <w:p w14:paraId="249DDE0C" w14:textId="77777777" w:rsidR="009021F1" w:rsidRPr="007E3D1A" w:rsidRDefault="009021F1" w:rsidP="009021F1">
      <w:pPr>
        <w:rPr>
          <w:rFonts w:cs="Arial"/>
          <w:sz w:val="22"/>
        </w:rPr>
      </w:pPr>
    </w:p>
    <w:tbl>
      <w:tblPr>
        <w:tblW w:w="9440" w:type="dxa"/>
        <w:tblCellMar>
          <w:left w:w="70" w:type="dxa"/>
          <w:right w:w="70" w:type="dxa"/>
        </w:tblCellMar>
        <w:tblLook w:val="04A0" w:firstRow="1" w:lastRow="0" w:firstColumn="1" w:lastColumn="0" w:noHBand="0" w:noVBand="1"/>
      </w:tblPr>
      <w:tblGrid>
        <w:gridCol w:w="3238"/>
        <w:gridCol w:w="6202"/>
      </w:tblGrid>
      <w:tr w:rsidR="009021F1" w:rsidRPr="007E3D1A" w14:paraId="5D4ACB78" w14:textId="77777777" w:rsidTr="00E637E3">
        <w:trPr>
          <w:trHeight w:val="744"/>
          <w:tblHeader/>
        </w:trPr>
        <w:tc>
          <w:tcPr>
            <w:tcW w:w="3238" w:type="dxa"/>
            <w:tcBorders>
              <w:top w:val="double" w:sz="6" w:space="0" w:color="auto"/>
              <w:left w:val="double" w:sz="6" w:space="0" w:color="auto"/>
              <w:bottom w:val="double" w:sz="6" w:space="0" w:color="auto"/>
              <w:right w:val="double" w:sz="6" w:space="0" w:color="auto"/>
            </w:tcBorders>
            <w:shd w:val="clear" w:color="000000" w:fill="E6B8B7"/>
            <w:vAlign w:val="center"/>
            <w:hideMark/>
          </w:tcPr>
          <w:p w14:paraId="575C3951" w14:textId="77777777" w:rsidR="009021F1" w:rsidRPr="007E3D1A" w:rsidRDefault="009021F1" w:rsidP="00E637E3">
            <w:pPr>
              <w:rPr>
                <w:rFonts w:cs="Arial"/>
                <w:sz w:val="22"/>
              </w:rPr>
            </w:pPr>
            <w:r w:rsidRPr="007E3D1A">
              <w:rPr>
                <w:rFonts w:cs="Arial"/>
                <w:sz w:val="22"/>
              </w:rPr>
              <w:t>Mesures d'atténuation des risques VBG</w:t>
            </w:r>
          </w:p>
        </w:tc>
        <w:tc>
          <w:tcPr>
            <w:tcW w:w="6202" w:type="dxa"/>
            <w:tcBorders>
              <w:top w:val="double" w:sz="6" w:space="0" w:color="auto"/>
              <w:left w:val="nil"/>
              <w:bottom w:val="double" w:sz="6" w:space="0" w:color="auto"/>
              <w:right w:val="double" w:sz="6" w:space="0" w:color="auto"/>
            </w:tcBorders>
            <w:shd w:val="clear" w:color="000000" w:fill="E6B8B7"/>
            <w:vAlign w:val="center"/>
            <w:hideMark/>
          </w:tcPr>
          <w:p w14:paraId="080FB2CB" w14:textId="77777777" w:rsidR="009021F1" w:rsidRPr="007E3D1A" w:rsidRDefault="009021F1" w:rsidP="00E637E3">
            <w:pPr>
              <w:rPr>
                <w:rFonts w:cs="Arial"/>
                <w:sz w:val="22"/>
              </w:rPr>
            </w:pPr>
            <w:r w:rsidRPr="007E3D1A">
              <w:rPr>
                <w:rFonts w:cs="Arial"/>
                <w:sz w:val="22"/>
              </w:rPr>
              <w:t>Cadrage</w:t>
            </w:r>
          </w:p>
        </w:tc>
      </w:tr>
      <w:tr w:rsidR="009021F1" w:rsidRPr="007E3D1A" w14:paraId="7EC417CB" w14:textId="77777777" w:rsidTr="00E637E3">
        <w:trPr>
          <w:trHeight w:val="600"/>
        </w:trPr>
        <w:tc>
          <w:tcPr>
            <w:tcW w:w="3238" w:type="dxa"/>
            <w:tcBorders>
              <w:top w:val="nil"/>
              <w:left w:val="double" w:sz="6" w:space="0" w:color="auto"/>
              <w:bottom w:val="double" w:sz="6" w:space="0" w:color="auto"/>
              <w:right w:val="double" w:sz="6" w:space="0" w:color="auto"/>
            </w:tcBorders>
            <w:shd w:val="clear" w:color="auto" w:fill="auto"/>
            <w:hideMark/>
          </w:tcPr>
          <w:p w14:paraId="196C9D80" w14:textId="77777777" w:rsidR="009021F1" w:rsidRPr="007E3D1A" w:rsidRDefault="009021F1" w:rsidP="00E637E3">
            <w:pPr>
              <w:rPr>
                <w:rFonts w:cs="Arial"/>
                <w:sz w:val="22"/>
              </w:rPr>
            </w:pPr>
            <w:r w:rsidRPr="007E3D1A">
              <w:rPr>
                <w:rFonts w:cs="Arial"/>
                <w:sz w:val="22"/>
              </w:rPr>
              <w:t>Dépôt des plaintes au MGP</w:t>
            </w:r>
          </w:p>
        </w:tc>
        <w:tc>
          <w:tcPr>
            <w:tcW w:w="6202" w:type="dxa"/>
            <w:tcBorders>
              <w:top w:val="nil"/>
              <w:left w:val="nil"/>
              <w:bottom w:val="double" w:sz="6" w:space="0" w:color="auto"/>
              <w:right w:val="double" w:sz="6" w:space="0" w:color="auto"/>
            </w:tcBorders>
            <w:shd w:val="clear" w:color="auto" w:fill="auto"/>
            <w:hideMark/>
          </w:tcPr>
          <w:p w14:paraId="76E30858" w14:textId="77777777" w:rsidR="009021F1" w:rsidRPr="007E3D1A" w:rsidRDefault="009021F1" w:rsidP="00E637E3">
            <w:pPr>
              <w:rPr>
                <w:rFonts w:cs="Arial"/>
                <w:sz w:val="22"/>
              </w:rPr>
            </w:pPr>
            <w:r w:rsidRPr="007E3D1A">
              <w:rPr>
                <w:rFonts w:cs="Arial"/>
                <w:sz w:val="22"/>
              </w:rPr>
              <w:t xml:space="preserve">Renforcer le système de partage d'information au sein de la coordination des ONG partenaires. </w:t>
            </w:r>
          </w:p>
        </w:tc>
      </w:tr>
      <w:tr w:rsidR="009021F1" w:rsidRPr="007E3D1A" w14:paraId="4B3A3719" w14:textId="77777777" w:rsidTr="00E637E3">
        <w:trPr>
          <w:trHeight w:val="1674"/>
        </w:trPr>
        <w:tc>
          <w:tcPr>
            <w:tcW w:w="3238" w:type="dxa"/>
            <w:tcBorders>
              <w:top w:val="nil"/>
              <w:left w:val="double" w:sz="6" w:space="0" w:color="auto"/>
              <w:bottom w:val="double" w:sz="6" w:space="0" w:color="auto"/>
              <w:right w:val="double" w:sz="6" w:space="0" w:color="auto"/>
            </w:tcBorders>
            <w:shd w:val="clear" w:color="auto" w:fill="auto"/>
            <w:hideMark/>
          </w:tcPr>
          <w:p w14:paraId="43D1C274" w14:textId="77777777" w:rsidR="009021F1" w:rsidRPr="007E3D1A" w:rsidRDefault="009021F1" w:rsidP="00E637E3">
            <w:pPr>
              <w:rPr>
                <w:rFonts w:cs="Arial"/>
                <w:sz w:val="22"/>
              </w:rPr>
            </w:pPr>
            <w:r w:rsidRPr="007E3D1A">
              <w:rPr>
                <w:rFonts w:cs="Arial"/>
                <w:sz w:val="22"/>
              </w:rPr>
              <w:t>Formation des travailleurs et personnel</w:t>
            </w:r>
          </w:p>
        </w:tc>
        <w:tc>
          <w:tcPr>
            <w:tcW w:w="6202" w:type="dxa"/>
            <w:tcBorders>
              <w:top w:val="nil"/>
              <w:left w:val="nil"/>
              <w:bottom w:val="double" w:sz="6" w:space="0" w:color="auto"/>
              <w:right w:val="double" w:sz="6" w:space="0" w:color="auto"/>
            </w:tcBorders>
            <w:shd w:val="clear" w:color="auto" w:fill="auto"/>
            <w:hideMark/>
          </w:tcPr>
          <w:p w14:paraId="611DB1C8" w14:textId="77777777" w:rsidR="009021F1" w:rsidRPr="007E3D1A" w:rsidRDefault="009021F1" w:rsidP="00E637E3">
            <w:pPr>
              <w:rPr>
                <w:rFonts w:cs="Arial"/>
                <w:sz w:val="22"/>
              </w:rPr>
            </w:pPr>
            <w:r w:rsidRPr="007E3D1A">
              <w:rPr>
                <w:rFonts w:cs="Arial"/>
                <w:sz w:val="22"/>
              </w:rPr>
              <w:t xml:space="preserve">Renforcer les séances de conscientisation des staffs en rapport aux AES et code des bonnes conduites et le responsabiliser davantage. Demander aux entreprises et à la mission de contrôle de constituer une liste de travailleurs potentiels (roster) qui soient préalablement formés et aient signé le code de conduite. Les entreprises peuvent puiser dans cette liste pour combler les besoins en travailleur. </w:t>
            </w:r>
          </w:p>
        </w:tc>
      </w:tr>
      <w:tr w:rsidR="009021F1" w:rsidRPr="007E3D1A" w14:paraId="2F7EC0F4" w14:textId="77777777" w:rsidTr="00E637E3">
        <w:trPr>
          <w:trHeight w:val="600"/>
        </w:trPr>
        <w:tc>
          <w:tcPr>
            <w:tcW w:w="3238" w:type="dxa"/>
            <w:tcBorders>
              <w:top w:val="nil"/>
              <w:left w:val="double" w:sz="6" w:space="0" w:color="auto"/>
              <w:bottom w:val="double" w:sz="6" w:space="0" w:color="auto"/>
              <w:right w:val="double" w:sz="6" w:space="0" w:color="auto"/>
            </w:tcBorders>
            <w:shd w:val="clear" w:color="auto" w:fill="auto"/>
            <w:hideMark/>
          </w:tcPr>
          <w:p w14:paraId="13609413" w14:textId="77777777" w:rsidR="009021F1" w:rsidRPr="007E3D1A" w:rsidRDefault="009021F1" w:rsidP="00E637E3">
            <w:pPr>
              <w:rPr>
                <w:rFonts w:cs="Arial"/>
                <w:sz w:val="22"/>
              </w:rPr>
            </w:pPr>
            <w:r w:rsidRPr="007E3D1A">
              <w:rPr>
                <w:rFonts w:cs="Arial"/>
                <w:sz w:val="22"/>
              </w:rPr>
              <w:t>Appropriation du code de bonne conduite</w:t>
            </w:r>
          </w:p>
        </w:tc>
        <w:tc>
          <w:tcPr>
            <w:tcW w:w="6202" w:type="dxa"/>
            <w:tcBorders>
              <w:top w:val="nil"/>
              <w:left w:val="nil"/>
              <w:bottom w:val="double" w:sz="6" w:space="0" w:color="auto"/>
              <w:right w:val="double" w:sz="6" w:space="0" w:color="auto"/>
            </w:tcBorders>
            <w:shd w:val="clear" w:color="auto" w:fill="auto"/>
            <w:hideMark/>
          </w:tcPr>
          <w:p w14:paraId="7B1D5625" w14:textId="77777777" w:rsidR="009021F1" w:rsidRPr="007E3D1A" w:rsidRDefault="009021F1" w:rsidP="00E637E3">
            <w:pPr>
              <w:rPr>
                <w:rFonts w:cs="Arial"/>
                <w:sz w:val="22"/>
              </w:rPr>
            </w:pPr>
            <w:r w:rsidRPr="007E3D1A">
              <w:rPr>
                <w:rFonts w:cs="Arial"/>
                <w:sz w:val="22"/>
              </w:rPr>
              <w:t xml:space="preserve">Assurer l'affichage du code de conduite sur les bases vie et les chantiers. </w:t>
            </w:r>
          </w:p>
        </w:tc>
      </w:tr>
      <w:tr w:rsidR="009021F1" w:rsidRPr="007E3D1A" w14:paraId="2FE12632" w14:textId="77777777" w:rsidTr="00E637E3">
        <w:trPr>
          <w:trHeight w:val="923"/>
        </w:trPr>
        <w:tc>
          <w:tcPr>
            <w:tcW w:w="3238" w:type="dxa"/>
            <w:tcBorders>
              <w:top w:val="nil"/>
              <w:left w:val="double" w:sz="6" w:space="0" w:color="auto"/>
              <w:bottom w:val="double" w:sz="6" w:space="0" w:color="auto"/>
              <w:right w:val="double" w:sz="6" w:space="0" w:color="auto"/>
            </w:tcBorders>
            <w:shd w:val="clear" w:color="auto" w:fill="auto"/>
            <w:hideMark/>
          </w:tcPr>
          <w:p w14:paraId="2CBD1FB1" w14:textId="77777777" w:rsidR="009021F1" w:rsidRPr="007E3D1A" w:rsidRDefault="009021F1" w:rsidP="00E637E3">
            <w:pPr>
              <w:rPr>
                <w:rFonts w:cs="Arial"/>
                <w:sz w:val="22"/>
              </w:rPr>
            </w:pPr>
            <w:r w:rsidRPr="007E3D1A">
              <w:rPr>
                <w:rFonts w:cs="Arial"/>
                <w:sz w:val="22"/>
              </w:rPr>
              <w:t>Signature du contrat avec code comme annexe</w:t>
            </w:r>
          </w:p>
        </w:tc>
        <w:tc>
          <w:tcPr>
            <w:tcW w:w="6202" w:type="dxa"/>
            <w:tcBorders>
              <w:top w:val="nil"/>
              <w:left w:val="nil"/>
              <w:bottom w:val="double" w:sz="6" w:space="0" w:color="auto"/>
              <w:right w:val="double" w:sz="6" w:space="0" w:color="auto"/>
            </w:tcBorders>
            <w:shd w:val="clear" w:color="auto" w:fill="auto"/>
            <w:hideMark/>
          </w:tcPr>
          <w:p w14:paraId="6E7594FA" w14:textId="77777777" w:rsidR="009021F1" w:rsidRPr="007E3D1A" w:rsidRDefault="009021F1" w:rsidP="00E637E3">
            <w:pPr>
              <w:rPr>
                <w:rFonts w:cs="Arial"/>
                <w:sz w:val="22"/>
              </w:rPr>
            </w:pPr>
            <w:r w:rsidRPr="007E3D1A">
              <w:rPr>
                <w:rFonts w:cs="Arial"/>
                <w:sz w:val="22"/>
              </w:rPr>
              <w:t>A l'embauche, renforcer la prise d'identité complète des travailleurs avec leur photo  et sensibiliser sur les lois de lutte contre l'impunité en cas d'EAS.</w:t>
            </w:r>
          </w:p>
        </w:tc>
      </w:tr>
      <w:tr w:rsidR="009021F1" w:rsidRPr="007E3D1A" w14:paraId="0309643E" w14:textId="77777777" w:rsidTr="00E637E3">
        <w:trPr>
          <w:trHeight w:val="1947"/>
        </w:trPr>
        <w:tc>
          <w:tcPr>
            <w:tcW w:w="3238" w:type="dxa"/>
            <w:tcBorders>
              <w:top w:val="nil"/>
              <w:left w:val="double" w:sz="6" w:space="0" w:color="auto"/>
              <w:bottom w:val="double" w:sz="6" w:space="0" w:color="auto"/>
              <w:right w:val="double" w:sz="6" w:space="0" w:color="auto"/>
            </w:tcBorders>
            <w:shd w:val="clear" w:color="auto" w:fill="auto"/>
            <w:hideMark/>
          </w:tcPr>
          <w:p w14:paraId="6B830AE0" w14:textId="77777777" w:rsidR="009021F1" w:rsidRPr="007E3D1A" w:rsidRDefault="009021F1" w:rsidP="00E637E3">
            <w:pPr>
              <w:rPr>
                <w:rFonts w:cs="Arial"/>
                <w:sz w:val="22"/>
              </w:rPr>
            </w:pPr>
            <w:r w:rsidRPr="007E3D1A">
              <w:rPr>
                <w:rFonts w:cs="Arial"/>
                <w:sz w:val="22"/>
              </w:rPr>
              <w:t>Compréhension du code de bonne conduite</w:t>
            </w:r>
          </w:p>
        </w:tc>
        <w:tc>
          <w:tcPr>
            <w:tcW w:w="6202" w:type="dxa"/>
            <w:tcBorders>
              <w:top w:val="nil"/>
              <w:left w:val="nil"/>
              <w:bottom w:val="double" w:sz="6" w:space="0" w:color="auto"/>
              <w:right w:val="double" w:sz="6" w:space="0" w:color="auto"/>
            </w:tcBorders>
            <w:shd w:val="clear" w:color="auto" w:fill="auto"/>
            <w:hideMark/>
          </w:tcPr>
          <w:p w14:paraId="1D4534DB" w14:textId="77777777" w:rsidR="009021F1" w:rsidRPr="007E3D1A" w:rsidRDefault="009021F1" w:rsidP="00E637E3">
            <w:pPr>
              <w:rPr>
                <w:rFonts w:cs="Arial"/>
                <w:sz w:val="22"/>
              </w:rPr>
            </w:pPr>
            <w:r w:rsidRPr="007E3D1A">
              <w:rPr>
                <w:rFonts w:cs="Arial"/>
                <w:sz w:val="22"/>
              </w:rPr>
              <w:t>Disponibiliser des dépliants auprès du staff des entreprises pour lecture aux heures de pause. Accroître le nombre d'affiche sur le code de conduite sur les lieux de travail</w:t>
            </w:r>
            <w:r w:rsidRPr="007E3D1A">
              <w:rPr>
                <w:rFonts w:cs="Arial"/>
                <w:sz w:val="22"/>
              </w:rPr>
              <w:br/>
            </w:r>
            <w:r w:rsidRPr="007E3D1A">
              <w:rPr>
                <w:rFonts w:cs="Arial"/>
                <w:sz w:val="22"/>
              </w:rPr>
              <w:br/>
              <w:t xml:space="preserve">Multiplier les sensibilisations communautaires et des travailleurs sur le contenu du code de bonne conduite, la prévention du sexe contre argent/contre un service et ou une faveur. </w:t>
            </w:r>
          </w:p>
        </w:tc>
      </w:tr>
      <w:tr w:rsidR="009021F1" w:rsidRPr="007E3D1A" w14:paraId="6AC25ACD" w14:textId="77777777" w:rsidTr="00E637E3">
        <w:trPr>
          <w:trHeight w:val="1228"/>
        </w:trPr>
        <w:tc>
          <w:tcPr>
            <w:tcW w:w="3238" w:type="dxa"/>
            <w:tcBorders>
              <w:top w:val="nil"/>
              <w:left w:val="double" w:sz="6" w:space="0" w:color="auto"/>
              <w:bottom w:val="double" w:sz="6" w:space="0" w:color="auto"/>
              <w:right w:val="double" w:sz="6" w:space="0" w:color="auto"/>
            </w:tcBorders>
            <w:shd w:val="clear" w:color="auto" w:fill="auto"/>
            <w:hideMark/>
          </w:tcPr>
          <w:p w14:paraId="1A575839" w14:textId="77777777" w:rsidR="009021F1" w:rsidRPr="007E3D1A" w:rsidRDefault="009021F1" w:rsidP="00E637E3">
            <w:pPr>
              <w:rPr>
                <w:rFonts w:cs="Arial"/>
                <w:sz w:val="22"/>
              </w:rPr>
            </w:pPr>
            <w:r w:rsidRPr="007E3D1A">
              <w:rPr>
                <w:rFonts w:cs="Arial"/>
                <w:sz w:val="22"/>
              </w:rPr>
              <w:t>Règlement d'ordre intérieur</w:t>
            </w:r>
          </w:p>
        </w:tc>
        <w:tc>
          <w:tcPr>
            <w:tcW w:w="6202" w:type="dxa"/>
            <w:tcBorders>
              <w:top w:val="nil"/>
              <w:left w:val="nil"/>
              <w:bottom w:val="double" w:sz="6" w:space="0" w:color="auto"/>
              <w:right w:val="double" w:sz="6" w:space="0" w:color="auto"/>
            </w:tcBorders>
            <w:shd w:val="clear" w:color="auto" w:fill="auto"/>
            <w:hideMark/>
          </w:tcPr>
          <w:p w14:paraId="23E030F1" w14:textId="77777777" w:rsidR="009021F1" w:rsidRPr="007E3D1A" w:rsidRDefault="009021F1" w:rsidP="00E637E3">
            <w:pPr>
              <w:rPr>
                <w:rFonts w:cs="Arial"/>
                <w:sz w:val="22"/>
              </w:rPr>
            </w:pPr>
            <w:r w:rsidRPr="007E3D1A">
              <w:rPr>
                <w:rFonts w:cs="Arial"/>
                <w:sz w:val="22"/>
              </w:rPr>
              <w:t xml:space="preserve">Rappeler le contenu du règlement aux staffs au moins une fois par trimestre. </w:t>
            </w:r>
            <w:r w:rsidRPr="007E3D1A">
              <w:rPr>
                <w:rFonts w:cs="Arial"/>
                <w:sz w:val="22"/>
              </w:rPr>
              <w:br/>
            </w:r>
            <w:r w:rsidRPr="007E3D1A">
              <w:rPr>
                <w:rFonts w:cs="Arial"/>
                <w:sz w:val="22"/>
              </w:rPr>
              <w:br/>
              <w:t>Afficher en grande caractère les points essentiel dudit règlement.</w:t>
            </w:r>
          </w:p>
        </w:tc>
      </w:tr>
      <w:tr w:rsidR="009021F1" w:rsidRPr="007E3D1A" w14:paraId="0A16BE7E" w14:textId="77777777" w:rsidTr="00E637E3">
        <w:trPr>
          <w:trHeight w:val="600"/>
        </w:trPr>
        <w:tc>
          <w:tcPr>
            <w:tcW w:w="3238" w:type="dxa"/>
            <w:tcBorders>
              <w:top w:val="nil"/>
              <w:left w:val="double" w:sz="6" w:space="0" w:color="auto"/>
              <w:bottom w:val="double" w:sz="6" w:space="0" w:color="auto"/>
              <w:right w:val="double" w:sz="6" w:space="0" w:color="auto"/>
            </w:tcBorders>
            <w:shd w:val="clear" w:color="auto" w:fill="auto"/>
            <w:hideMark/>
          </w:tcPr>
          <w:p w14:paraId="3D224EBA" w14:textId="77777777" w:rsidR="009021F1" w:rsidRPr="007E3D1A" w:rsidRDefault="009021F1" w:rsidP="00E637E3">
            <w:pPr>
              <w:rPr>
                <w:rFonts w:cs="Arial"/>
                <w:sz w:val="22"/>
              </w:rPr>
            </w:pPr>
            <w:r w:rsidRPr="007E3D1A">
              <w:rPr>
                <w:rFonts w:cs="Arial"/>
                <w:sz w:val="22"/>
              </w:rPr>
              <w:t>Briefing de tout nouveau travailleur</w:t>
            </w:r>
          </w:p>
        </w:tc>
        <w:tc>
          <w:tcPr>
            <w:tcW w:w="6202" w:type="dxa"/>
            <w:tcBorders>
              <w:top w:val="nil"/>
              <w:left w:val="nil"/>
              <w:bottom w:val="double" w:sz="6" w:space="0" w:color="auto"/>
              <w:right w:val="double" w:sz="6" w:space="0" w:color="auto"/>
            </w:tcBorders>
            <w:shd w:val="clear" w:color="auto" w:fill="auto"/>
            <w:hideMark/>
          </w:tcPr>
          <w:p w14:paraId="683310C2" w14:textId="77777777" w:rsidR="009021F1" w:rsidRPr="007E3D1A" w:rsidRDefault="009021F1" w:rsidP="00E637E3">
            <w:pPr>
              <w:rPr>
                <w:rFonts w:cs="Arial"/>
                <w:sz w:val="22"/>
              </w:rPr>
            </w:pPr>
            <w:r w:rsidRPr="007E3D1A">
              <w:rPr>
                <w:rFonts w:cs="Arial"/>
                <w:sz w:val="22"/>
              </w:rPr>
              <w:t>S'assurer de la présence des tous nouveaux travailleurs pour une formation sur les VBG avant affectation sur le chantier</w:t>
            </w:r>
          </w:p>
        </w:tc>
      </w:tr>
      <w:tr w:rsidR="009021F1" w:rsidRPr="007E3D1A" w14:paraId="2E264710" w14:textId="77777777" w:rsidTr="00E637E3">
        <w:trPr>
          <w:trHeight w:val="2040"/>
        </w:trPr>
        <w:tc>
          <w:tcPr>
            <w:tcW w:w="3238" w:type="dxa"/>
            <w:tcBorders>
              <w:top w:val="nil"/>
              <w:left w:val="double" w:sz="6" w:space="0" w:color="auto"/>
              <w:bottom w:val="double" w:sz="6" w:space="0" w:color="auto"/>
              <w:right w:val="double" w:sz="6" w:space="0" w:color="auto"/>
            </w:tcBorders>
            <w:shd w:val="clear" w:color="auto" w:fill="auto"/>
            <w:hideMark/>
          </w:tcPr>
          <w:p w14:paraId="25969D59" w14:textId="77777777" w:rsidR="009021F1" w:rsidRPr="007E3D1A" w:rsidRDefault="009021F1" w:rsidP="00E637E3">
            <w:pPr>
              <w:rPr>
                <w:rFonts w:cs="Arial"/>
                <w:sz w:val="22"/>
              </w:rPr>
            </w:pPr>
            <w:r w:rsidRPr="007E3D1A">
              <w:rPr>
                <w:rFonts w:cs="Arial"/>
                <w:sz w:val="22"/>
              </w:rPr>
              <w:t>Travailleurs TT engagés et résident dans les milieux des chantiers et/ou en dehors</w:t>
            </w:r>
          </w:p>
        </w:tc>
        <w:tc>
          <w:tcPr>
            <w:tcW w:w="6202" w:type="dxa"/>
            <w:tcBorders>
              <w:top w:val="nil"/>
              <w:left w:val="nil"/>
              <w:bottom w:val="double" w:sz="6" w:space="0" w:color="auto"/>
              <w:right w:val="double" w:sz="6" w:space="0" w:color="auto"/>
            </w:tcBorders>
            <w:shd w:val="clear" w:color="auto" w:fill="auto"/>
            <w:hideMark/>
          </w:tcPr>
          <w:p w14:paraId="1E1F344E" w14:textId="77777777" w:rsidR="009021F1" w:rsidRPr="007E3D1A" w:rsidRDefault="009021F1" w:rsidP="00E637E3">
            <w:pPr>
              <w:rPr>
                <w:rFonts w:cs="Arial"/>
                <w:sz w:val="22"/>
              </w:rPr>
            </w:pPr>
            <w:r w:rsidRPr="007E3D1A">
              <w:rPr>
                <w:rFonts w:cs="Arial"/>
                <w:sz w:val="22"/>
              </w:rPr>
              <w:t xml:space="preserve">Etablir un campement (base vie mobile) pour le personnel congolais qui est déplacé sur les chantiers pour éviter qu'il soit obligé de trouver une habitation auprès de la communauté. </w:t>
            </w:r>
            <w:r w:rsidRPr="007E3D1A">
              <w:rPr>
                <w:rFonts w:cs="Arial"/>
                <w:sz w:val="22"/>
              </w:rPr>
              <w:br/>
            </w:r>
            <w:r w:rsidRPr="007E3D1A">
              <w:rPr>
                <w:rFonts w:cs="Arial"/>
                <w:sz w:val="22"/>
              </w:rPr>
              <w:br/>
              <w:t>Faciliter le déplacement des travailleurs migrants avec sa famille. A la rigueur donner la chance aux autochtones pour effectuer les travaux sur chantiers</w:t>
            </w:r>
          </w:p>
        </w:tc>
      </w:tr>
      <w:tr w:rsidR="009021F1" w:rsidRPr="007E3D1A" w14:paraId="747C00A2" w14:textId="77777777" w:rsidTr="00E637E3">
        <w:trPr>
          <w:trHeight w:val="1097"/>
        </w:trPr>
        <w:tc>
          <w:tcPr>
            <w:tcW w:w="3238" w:type="dxa"/>
            <w:tcBorders>
              <w:top w:val="nil"/>
              <w:left w:val="double" w:sz="6" w:space="0" w:color="auto"/>
              <w:bottom w:val="double" w:sz="6" w:space="0" w:color="auto"/>
              <w:right w:val="double" w:sz="6" w:space="0" w:color="auto"/>
            </w:tcBorders>
            <w:shd w:val="clear" w:color="auto" w:fill="auto"/>
            <w:hideMark/>
          </w:tcPr>
          <w:p w14:paraId="0D810988" w14:textId="77777777" w:rsidR="009021F1" w:rsidRPr="007E3D1A" w:rsidRDefault="009021F1" w:rsidP="00E637E3">
            <w:pPr>
              <w:rPr>
                <w:rFonts w:cs="Arial"/>
                <w:sz w:val="22"/>
              </w:rPr>
            </w:pPr>
            <w:r w:rsidRPr="007E3D1A">
              <w:rPr>
                <w:rFonts w:cs="Arial"/>
                <w:sz w:val="22"/>
              </w:rPr>
              <w:t>Vérification des faits avec les environnementalistes des entreprises</w:t>
            </w:r>
          </w:p>
        </w:tc>
        <w:tc>
          <w:tcPr>
            <w:tcW w:w="6202" w:type="dxa"/>
            <w:tcBorders>
              <w:top w:val="nil"/>
              <w:left w:val="nil"/>
              <w:bottom w:val="double" w:sz="6" w:space="0" w:color="auto"/>
              <w:right w:val="double" w:sz="6" w:space="0" w:color="auto"/>
            </w:tcBorders>
            <w:shd w:val="clear" w:color="auto" w:fill="auto"/>
            <w:hideMark/>
          </w:tcPr>
          <w:p w14:paraId="2A575C48" w14:textId="77777777" w:rsidR="009021F1" w:rsidRPr="007E3D1A" w:rsidRDefault="009021F1" w:rsidP="00E637E3">
            <w:pPr>
              <w:rPr>
                <w:rFonts w:cs="Arial"/>
                <w:sz w:val="22"/>
              </w:rPr>
            </w:pPr>
            <w:r w:rsidRPr="007E3D1A">
              <w:rPr>
                <w:rFonts w:cs="Arial"/>
                <w:sz w:val="22"/>
              </w:rPr>
              <w:t>Avoir un point focal dédié spécifiquement pour les activités VBG pour assurer l'efficacité et la confidentialité des cas incident.</w:t>
            </w:r>
            <w:r w:rsidRPr="007E3D1A">
              <w:rPr>
                <w:rFonts w:cs="Arial"/>
                <w:sz w:val="22"/>
              </w:rPr>
              <w:br/>
            </w:r>
            <w:r w:rsidRPr="007E3D1A">
              <w:rPr>
                <w:rFonts w:cs="Arial"/>
                <w:sz w:val="22"/>
              </w:rPr>
              <w:br/>
              <w:t>Assurer la sécurité contractuelle du PF VBG face à sa hiérarchie.</w:t>
            </w:r>
          </w:p>
        </w:tc>
      </w:tr>
      <w:tr w:rsidR="009021F1" w:rsidRPr="007E3D1A" w14:paraId="082C69E3" w14:textId="77777777" w:rsidTr="00E637E3">
        <w:trPr>
          <w:trHeight w:val="1695"/>
        </w:trPr>
        <w:tc>
          <w:tcPr>
            <w:tcW w:w="3238" w:type="dxa"/>
            <w:tcBorders>
              <w:top w:val="nil"/>
              <w:left w:val="double" w:sz="6" w:space="0" w:color="auto"/>
              <w:bottom w:val="double" w:sz="6" w:space="0" w:color="auto"/>
              <w:right w:val="double" w:sz="6" w:space="0" w:color="auto"/>
            </w:tcBorders>
            <w:shd w:val="clear" w:color="auto" w:fill="auto"/>
            <w:hideMark/>
          </w:tcPr>
          <w:p w14:paraId="543135D2" w14:textId="77777777" w:rsidR="009021F1" w:rsidRPr="007E3D1A" w:rsidRDefault="009021F1" w:rsidP="00E637E3">
            <w:pPr>
              <w:rPr>
                <w:rFonts w:cs="Arial"/>
                <w:sz w:val="22"/>
              </w:rPr>
            </w:pPr>
            <w:r w:rsidRPr="007E3D1A">
              <w:rPr>
                <w:rFonts w:cs="Arial"/>
                <w:sz w:val="22"/>
              </w:rPr>
              <w:t>Sanction de l'entreprise pour les présumés auteurs</w:t>
            </w:r>
          </w:p>
        </w:tc>
        <w:tc>
          <w:tcPr>
            <w:tcW w:w="6202" w:type="dxa"/>
            <w:tcBorders>
              <w:top w:val="nil"/>
              <w:left w:val="nil"/>
              <w:bottom w:val="double" w:sz="6" w:space="0" w:color="auto"/>
              <w:right w:val="double" w:sz="6" w:space="0" w:color="auto"/>
            </w:tcBorders>
            <w:shd w:val="clear" w:color="auto" w:fill="auto"/>
            <w:hideMark/>
          </w:tcPr>
          <w:p w14:paraId="7EEA9393" w14:textId="77777777" w:rsidR="009021F1" w:rsidRPr="007E3D1A" w:rsidRDefault="009021F1" w:rsidP="00E637E3">
            <w:pPr>
              <w:rPr>
                <w:rFonts w:cs="Arial"/>
                <w:sz w:val="22"/>
              </w:rPr>
            </w:pPr>
            <w:r w:rsidRPr="007E3D1A">
              <w:rPr>
                <w:rFonts w:cs="Arial"/>
                <w:sz w:val="22"/>
              </w:rPr>
              <w:t>Constituer un dossier complet de chaque travailleur, y compris les surnoms, une photo et une copie de carte d'identité lors de l'embauche pour faciliter l’identification des présumés auteurs. Veiller à rendre disponible à toutes les missions de contrôle et les entreprises travaillant sur le Projet la liste des auteurs avec faits avérés</w:t>
            </w:r>
          </w:p>
        </w:tc>
      </w:tr>
    </w:tbl>
    <w:p w14:paraId="2AE6EA21" w14:textId="77777777" w:rsidR="009021F1" w:rsidRPr="007E3D1A" w:rsidRDefault="009021F1" w:rsidP="009021F1">
      <w:pPr>
        <w:rPr>
          <w:rFonts w:cs="Arial"/>
          <w:sz w:val="22"/>
        </w:rPr>
      </w:pPr>
    </w:p>
    <w:p w14:paraId="77B0C475" w14:textId="77777777" w:rsidR="009021F1" w:rsidRPr="007E3D1A" w:rsidRDefault="009021F1" w:rsidP="009021F1">
      <w:pPr>
        <w:rPr>
          <w:rFonts w:cs="Arial"/>
          <w:sz w:val="22"/>
        </w:rPr>
      </w:pPr>
      <w:r w:rsidRPr="007E3D1A">
        <w:rPr>
          <w:rFonts w:cs="Arial"/>
          <w:sz w:val="22"/>
        </w:rPr>
        <w:br w:type="page"/>
        <w:t>Gestion de la Main-D'œuvre</w:t>
      </w:r>
    </w:p>
    <w:p w14:paraId="536DBFDA" w14:textId="77777777" w:rsidR="009021F1" w:rsidRPr="007E3D1A" w:rsidRDefault="009021F1" w:rsidP="009021F1">
      <w:pPr>
        <w:rPr>
          <w:rFonts w:cs="Arial"/>
          <w:sz w:val="22"/>
        </w:rPr>
      </w:pPr>
    </w:p>
    <w:p w14:paraId="3465F812" w14:textId="77777777" w:rsidR="009021F1" w:rsidRPr="007E3D1A" w:rsidRDefault="009021F1" w:rsidP="009021F1">
      <w:pPr>
        <w:rPr>
          <w:rFonts w:cs="Arial"/>
          <w:sz w:val="22"/>
        </w:rPr>
      </w:pPr>
      <w:r w:rsidRPr="007E3D1A">
        <w:rPr>
          <w:rFonts w:cs="Arial"/>
          <w:sz w:val="22"/>
        </w:rPr>
        <w:t>Conditions de Travail</w:t>
      </w:r>
    </w:p>
    <w:p w14:paraId="46EA9744" w14:textId="77777777" w:rsidR="009021F1" w:rsidRPr="007E3D1A" w:rsidRDefault="009021F1" w:rsidP="009021F1">
      <w:pPr>
        <w:rPr>
          <w:rFonts w:cs="Arial"/>
          <w:sz w:val="22"/>
        </w:rPr>
      </w:pPr>
    </w:p>
    <w:p w14:paraId="30B9E58B" w14:textId="77777777" w:rsidR="009021F1" w:rsidRPr="007E3D1A" w:rsidRDefault="009021F1" w:rsidP="009021F1">
      <w:pPr>
        <w:rPr>
          <w:rFonts w:cs="Arial"/>
          <w:sz w:val="22"/>
        </w:rPr>
      </w:pPr>
      <w:r w:rsidRPr="007E3D1A">
        <w:rPr>
          <w:rFonts w:cs="Arial"/>
          <w:sz w:val="22"/>
        </w:rPr>
        <w:t>L’Entreprise doit :</w:t>
      </w:r>
    </w:p>
    <w:p w14:paraId="66A7D72A" w14:textId="77777777" w:rsidR="009021F1" w:rsidRPr="007E3D1A" w:rsidRDefault="009021F1" w:rsidP="009021F1">
      <w:pPr>
        <w:rPr>
          <w:rFonts w:cs="Arial"/>
          <w:sz w:val="22"/>
        </w:rPr>
      </w:pPr>
    </w:p>
    <w:p w14:paraId="4FF66603" w14:textId="77777777" w:rsidR="009021F1" w:rsidRPr="007E3D1A" w:rsidRDefault="009021F1" w:rsidP="009021F1">
      <w:pPr>
        <w:rPr>
          <w:rFonts w:cs="Arial"/>
          <w:sz w:val="22"/>
        </w:rPr>
      </w:pPr>
      <w:r w:rsidRPr="007E3D1A">
        <w:rPr>
          <w:rFonts w:cs="Arial"/>
          <w:sz w:val="22"/>
        </w:rPr>
        <w:t>Respecter le Code du Travail de la RDC ;</w:t>
      </w:r>
    </w:p>
    <w:p w14:paraId="3AB44F51" w14:textId="77777777" w:rsidR="009021F1" w:rsidRPr="007E3D1A" w:rsidRDefault="009021F1" w:rsidP="009021F1">
      <w:pPr>
        <w:rPr>
          <w:rFonts w:cs="Arial"/>
          <w:sz w:val="22"/>
        </w:rPr>
      </w:pPr>
      <w:r w:rsidRPr="007E3D1A">
        <w:rPr>
          <w:rFonts w:cs="Arial"/>
          <w:sz w:val="22"/>
        </w:rPr>
        <w:t>Indemniser les travailleurs et leurs familles en cas de blessures ou de décès sur le lieu de travail ;</w:t>
      </w:r>
    </w:p>
    <w:p w14:paraId="3253A22E" w14:textId="77777777" w:rsidR="009021F1" w:rsidRPr="007E3D1A" w:rsidRDefault="009021F1" w:rsidP="009021F1">
      <w:pPr>
        <w:rPr>
          <w:rFonts w:cs="Arial"/>
          <w:sz w:val="22"/>
        </w:rPr>
      </w:pPr>
      <w:r w:rsidRPr="007E3D1A">
        <w:rPr>
          <w:rFonts w:cs="Arial"/>
          <w:sz w:val="22"/>
        </w:rPr>
        <w:t>Les entrepreneurs pourraient ne pas indemniser les travailleurs et leurs familles en cas de blessures ou de décès sur le lieu de travail Engager (en dehors de son personnel cadre technique) le plus de main-d’œuvre possible dans la zone où les travaux sont réalisés. À défaut de trouver le personnel qualifié sur place, l’Entreprise peut engager la main d’œuvre à l’extérieur de la zone de travail ;</w:t>
      </w:r>
    </w:p>
    <w:p w14:paraId="4D818AB0" w14:textId="77777777" w:rsidR="009021F1" w:rsidRPr="007E3D1A" w:rsidRDefault="009021F1" w:rsidP="009021F1">
      <w:pPr>
        <w:rPr>
          <w:rFonts w:cs="Arial"/>
          <w:sz w:val="22"/>
        </w:rPr>
      </w:pPr>
      <w:r w:rsidRPr="007E3D1A">
        <w:rPr>
          <w:rFonts w:cs="Arial"/>
          <w:sz w:val="22"/>
        </w:rPr>
        <w:t>Embaucher des travailleurs par l'intermédiaire des bureaux de recrutement, et éviter d'embaucher "à la porte" pour décourager l'afflux spontané de demandeurs d'emploi ;</w:t>
      </w:r>
    </w:p>
    <w:p w14:paraId="7DB262D1" w14:textId="77777777" w:rsidR="009021F1" w:rsidRPr="007E3D1A" w:rsidRDefault="009021F1" w:rsidP="009021F1">
      <w:pPr>
        <w:rPr>
          <w:rFonts w:cs="Arial"/>
          <w:sz w:val="22"/>
        </w:rPr>
      </w:pPr>
      <w:r w:rsidRPr="007E3D1A">
        <w:rPr>
          <w:rFonts w:cs="Arial"/>
          <w:sz w:val="22"/>
        </w:rPr>
        <w:t>S’assurer que les conditions de travail de ses employés respectent les lois et règlements nationaux en vigueur. Toute dérogation est soumise à l’approbation du Maître d’Ouvrage délégué.  Dans la mesure du possible, (sauf en cas d’exception accordé par le Maître d’Ouvrage délégué), l’Entreprise doit éviter d’exécuter les travaux pendant les heures de repos, ou les jours fériés ;</w:t>
      </w:r>
    </w:p>
    <w:p w14:paraId="3F85E6CF" w14:textId="77777777" w:rsidR="009021F1" w:rsidRPr="007E3D1A" w:rsidRDefault="009021F1" w:rsidP="009021F1">
      <w:pPr>
        <w:rPr>
          <w:rFonts w:cs="Arial"/>
          <w:sz w:val="22"/>
        </w:rPr>
      </w:pPr>
      <w:r w:rsidRPr="007E3D1A">
        <w:rPr>
          <w:rFonts w:cs="Arial"/>
          <w:sz w:val="22"/>
        </w:rPr>
        <w:t>Offrir aux travailleurs la possibilité de retourner régulièrement dans leur famille ;</w:t>
      </w:r>
    </w:p>
    <w:p w14:paraId="0EF468D8" w14:textId="77777777" w:rsidR="009021F1" w:rsidRPr="007E3D1A" w:rsidRDefault="009021F1" w:rsidP="009021F1">
      <w:pPr>
        <w:rPr>
          <w:rFonts w:cs="Arial"/>
          <w:sz w:val="22"/>
        </w:rPr>
      </w:pPr>
      <w:r w:rsidRPr="007E3D1A">
        <w:rPr>
          <w:rFonts w:cs="Arial"/>
          <w:sz w:val="22"/>
        </w:rPr>
        <w:t>Offrir aux travailleurs la possibilité de profiter d'opportunités de divertissement loin des communautés rurales d'accueil, et créer des zones de loisirs surveillées dans les camps de travailleurs ;</w:t>
      </w:r>
    </w:p>
    <w:p w14:paraId="5166F18C" w14:textId="77777777" w:rsidR="009021F1" w:rsidRPr="007E3D1A" w:rsidRDefault="009021F1" w:rsidP="009021F1">
      <w:pPr>
        <w:rPr>
          <w:rFonts w:cs="Arial"/>
          <w:sz w:val="22"/>
        </w:rPr>
      </w:pPr>
      <w:r w:rsidRPr="007E3D1A">
        <w:rPr>
          <w:rFonts w:cs="Arial"/>
          <w:sz w:val="22"/>
        </w:rPr>
        <w:t>Éviter strictement d’employer directement ou indirectement des enfants et les mineurs dans le cadre du contrat ;</w:t>
      </w:r>
    </w:p>
    <w:p w14:paraId="754D61D8" w14:textId="77777777" w:rsidR="009021F1" w:rsidRPr="007E3D1A" w:rsidRDefault="009021F1" w:rsidP="009021F1">
      <w:pPr>
        <w:rPr>
          <w:rFonts w:cs="Arial"/>
          <w:sz w:val="22"/>
        </w:rPr>
      </w:pPr>
      <w:r w:rsidRPr="007E3D1A">
        <w:rPr>
          <w:rFonts w:cs="Arial"/>
          <w:sz w:val="22"/>
        </w:rPr>
        <w:t>Payer des salaires adéquats aux travailleurs afin de réduire l'incitation au vol ;</w:t>
      </w:r>
    </w:p>
    <w:p w14:paraId="34AFA171" w14:textId="77777777" w:rsidR="009021F1" w:rsidRPr="007E3D1A" w:rsidRDefault="009021F1" w:rsidP="009021F1">
      <w:pPr>
        <w:rPr>
          <w:rFonts w:cs="Arial"/>
          <w:sz w:val="22"/>
        </w:rPr>
      </w:pPr>
      <w:r w:rsidRPr="007E3D1A">
        <w:rPr>
          <w:rFonts w:cs="Arial"/>
          <w:sz w:val="22"/>
        </w:rPr>
        <w:t>Verser les salaires sur les comptes bancaires des travailleurs plutôt qu'en espèces ;</w:t>
      </w:r>
    </w:p>
    <w:p w14:paraId="50D13D33" w14:textId="77777777" w:rsidR="009021F1" w:rsidRPr="007E3D1A" w:rsidRDefault="009021F1" w:rsidP="009021F1">
      <w:pPr>
        <w:rPr>
          <w:rFonts w:cs="Arial"/>
          <w:sz w:val="22"/>
        </w:rPr>
      </w:pPr>
      <w:r w:rsidRPr="007E3D1A">
        <w:rPr>
          <w:rFonts w:cs="Arial"/>
          <w:sz w:val="22"/>
        </w:rPr>
        <w:t>Mettre en place des programmes de prévention et de gestion de la toxicomanie ; et</w:t>
      </w:r>
    </w:p>
    <w:p w14:paraId="06259C81" w14:textId="77777777" w:rsidR="009021F1" w:rsidRPr="007E3D1A" w:rsidRDefault="009021F1" w:rsidP="009021F1">
      <w:pPr>
        <w:rPr>
          <w:rFonts w:cs="Arial"/>
          <w:sz w:val="22"/>
        </w:rPr>
      </w:pPr>
      <w:r w:rsidRPr="007E3D1A">
        <w:rPr>
          <w:rFonts w:cs="Arial"/>
          <w:sz w:val="22"/>
        </w:rPr>
        <w:t>Élaborer et adopter un plan d'action pour l'égalité des sexes afin de promouvoir le transfert de compétences en matière de construction aux femmes locales, pour faciliter leur emploi sur le site du projet, y compris des objectifs de formation et de recrutement.</w:t>
      </w:r>
    </w:p>
    <w:p w14:paraId="6BF1C592" w14:textId="77777777" w:rsidR="009021F1" w:rsidRPr="007E3D1A" w:rsidRDefault="009021F1" w:rsidP="009021F1">
      <w:pPr>
        <w:rPr>
          <w:rFonts w:cs="Arial"/>
          <w:sz w:val="22"/>
        </w:rPr>
      </w:pPr>
    </w:p>
    <w:p w14:paraId="35356189" w14:textId="77777777" w:rsidR="009021F1" w:rsidRPr="007E3D1A" w:rsidRDefault="009021F1" w:rsidP="009021F1">
      <w:pPr>
        <w:rPr>
          <w:rFonts w:cs="Arial"/>
          <w:sz w:val="22"/>
        </w:rPr>
      </w:pPr>
      <w:r w:rsidRPr="007E3D1A">
        <w:rPr>
          <w:rFonts w:cs="Arial"/>
          <w:sz w:val="22"/>
        </w:rPr>
        <w:t>Recours au personnel de sécurité</w:t>
      </w:r>
    </w:p>
    <w:p w14:paraId="5BEB8309" w14:textId="77777777" w:rsidR="009021F1" w:rsidRPr="007E3D1A" w:rsidRDefault="009021F1" w:rsidP="009021F1">
      <w:pPr>
        <w:rPr>
          <w:rFonts w:cs="Arial"/>
          <w:sz w:val="22"/>
        </w:rPr>
      </w:pPr>
    </w:p>
    <w:p w14:paraId="750EC7EF" w14:textId="77777777" w:rsidR="009021F1" w:rsidRPr="007E3D1A" w:rsidRDefault="009021F1" w:rsidP="009021F1">
      <w:pPr>
        <w:rPr>
          <w:rFonts w:cs="Arial"/>
          <w:sz w:val="22"/>
        </w:rPr>
      </w:pPr>
      <w:r w:rsidRPr="007E3D1A">
        <w:rPr>
          <w:rFonts w:cs="Arial"/>
          <w:sz w:val="22"/>
        </w:rPr>
        <w:t>Si l’Entrepreneur emploie, directement ou dans le cadre de son contrat de services, des agents pour assurer la sécurité de son personnel et de ses biens, il évaluera les risques posés par ses dispositifs de sécurité aux personnes sur le site du projet ou à l’extérieur de ce dernier. Lorsqu’il prendra ces dispositions, il respectera les principes de proportionnalité, de bonnes pratiques internationales en matière d’embauche, de règles de conduite, de formation, d’équipement et de surveillance de ce personnel, ainsi que la législation nationale applicable.</w:t>
      </w:r>
    </w:p>
    <w:p w14:paraId="53190998" w14:textId="77777777" w:rsidR="009021F1" w:rsidRPr="007E3D1A" w:rsidRDefault="009021F1" w:rsidP="009021F1">
      <w:pPr>
        <w:rPr>
          <w:rFonts w:cs="Arial"/>
          <w:sz w:val="22"/>
        </w:rPr>
      </w:pPr>
    </w:p>
    <w:p w14:paraId="0291EA1C" w14:textId="77777777" w:rsidR="009021F1" w:rsidRPr="007E3D1A" w:rsidRDefault="009021F1" w:rsidP="009021F1">
      <w:pPr>
        <w:rPr>
          <w:rFonts w:cs="Arial"/>
          <w:sz w:val="22"/>
        </w:rPr>
      </w:pPr>
      <w:r w:rsidRPr="007E3D1A">
        <w:rPr>
          <w:rFonts w:cs="Arial"/>
          <w:sz w:val="22"/>
        </w:rPr>
        <w:t>L’Entrepreneur procèdera à des enquêtes raisonnables pour s’assurer que les agents chargés d’assurer la sécurité ne sont pas soupçonnées d’avoir participé à des actions abusives ; veillera à ce que lesdits agents reçoivent une formation adéquate à l’utilisation de la force (et le cas échant, l’utilisation des armes à feu), et à une conduite appropriée envers les employés et les Communautés affectées, et leur imposera d’agir conformément aux lois applicables.</w:t>
      </w:r>
    </w:p>
    <w:p w14:paraId="32CED823" w14:textId="77777777" w:rsidR="009021F1" w:rsidRPr="007E3D1A" w:rsidRDefault="009021F1" w:rsidP="009021F1">
      <w:pPr>
        <w:rPr>
          <w:rFonts w:cs="Arial"/>
          <w:sz w:val="22"/>
        </w:rPr>
      </w:pPr>
      <w:r w:rsidRPr="007E3D1A">
        <w:rPr>
          <w:rFonts w:cs="Arial"/>
          <w:sz w:val="22"/>
        </w:rPr>
        <w:t xml:space="preserve">L’Entrepreneur n’autorisera pas le recours à la force sauf à des fins préventives ou défensives proportionnées à la nature et à la gravité de la menace. </w:t>
      </w:r>
    </w:p>
    <w:p w14:paraId="444697C0" w14:textId="77777777" w:rsidR="009021F1" w:rsidRPr="007E3D1A" w:rsidRDefault="009021F1" w:rsidP="009021F1">
      <w:pPr>
        <w:rPr>
          <w:rFonts w:cs="Arial"/>
          <w:sz w:val="22"/>
        </w:rPr>
      </w:pPr>
      <w:r w:rsidRPr="007E3D1A">
        <w:rPr>
          <w:rFonts w:cs="Arial"/>
          <w:sz w:val="22"/>
        </w:rPr>
        <w:t xml:space="preserve">L’entrepreneur mettra en place un mécanisme de règlement des griefs permettant aux Communautés affectées d’exprimer leurs préoccupations quant aux mesures de sécurité et aux actions du personnel de sécurité. </w:t>
      </w:r>
    </w:p>
    <w:p w14:paraId="633873D8" w14:textId="77777777" w:rsidR="009021F1" w:rsidRPr="007E3D1A" w:rsidRDefault="009021F1" w:rsidP="009021F1">
      <w:pPr>
        <w:rPr>
          <w:rFonts w:cs="Arial"/>
          <w:sz w:val="22"/>
        </w:rPr>
      </w:pPr>
    </w:p>
    <w:p w14:paraId="07C1102C" w14:textId="77777777" w:rsidR="009021F1" w:rsidRPr="007E3D1A" w:rsidRDefault="009021F1" w:rsidP="009021F1">
      <w:pPr>
        <w:rPr>
          <w:rFonts w:cs="Arial"/>
          <w:sz w:val="22"/>
        </w:rPr>
      </w:pPr>
      <w:r w:rsidRPr="007E3D1A">
        <w:rPr>
          <w:rFonts w:cs="Arial"/>
          <w:sz w:val="22"/>
        </w:rPr>
        <w:t xml:space="preserve">L’Entrepreneur évaluera et justifiera par écrit les risques associés au déploiement d’agents de sécurité de l’État pour assurer les services de sécurité dans le cadre du projet. </w:t>
      </w:r>
    </w:p>
    <w:p w14:paraId="14960E47" w14:textId="77777777" w:rsidR="009021F1" w:rsidRPr="007E3D1A" w:rsidRDefault="009021F1" w:rsidP="009021F1">
      <w:pPr>
        <w:rPr>
          <w:rFonts w:cs="Arial"/>
          <w:sz w:val="22"/>
        </w:rPr>
      </w:pPr>
    </w:p>
    <w:p w14:paraId="5BAE664D" w14:textId="77777777" w:rsidR="009021F1" w:rsidRPr="007E3D1A" w:rsidRDefault="009021F1" w:rsidP="009021F1">
      <w:pPr>
        <w:rPr>
          <w:rFonts w:cs="Arial"/>
          <w:sz w:val="22"/>
        </w:rPr>
      </w:pPr>
      <w:r w:rsidRPr="007E3D1A">
        <w:rPr>
          <w:rFonts w:cs="Arial"/>
          <w:sz w:val="22"/>
        </w:rPr>
        <w:t>L’Entrepreneur prendra les dispositions nécessaires pour s’assurer que le personnel de sécurité agit conformément aux dispositions telles que décrites ci-dessus, et encouragera les autorités publiques pertinentes à communiquer au public les mesures de sécurité concernant ses installations, sauf s’il existe des raisons impératives de ne pas les diffuser.</w:t>
      </w:r>
    </w:p>
    <w:p w14:paraId="4C976DC4" w14:textId="77777777" w:rsidR="009021F1" w:rsidRPr="007E3D1A" w:rsidRDefault="009021F1" w:rsidP="009021F1">
      <w:pPr>
        <w:rPr>
          <w:rFonts w:cs="Arial"/>
          <w:sz w:val="22"/>
        </w:rPr>
      </w:pPr>
      <w:r w:rsidRPr="007E3D1A">
        <w:rPr>
          <w:rFonts w:cs="Arial"/>
          <w:sz w:val="22"/>
        </w:rPr>
        <w:t xml:space="preserve"> </w:t>
      </w:r>
    </w:p>
    <w:p w14:paraId="685AD137" w14:textId="77777777" w:rsidR="009021F1" w:rsidRPr="007E3D1A" w:rsidRDefault="009021F1" w:rsidP="009021F1">
      <w:pPr>
        <w:rPr>
          <w:rFonts w:cs="Arial"/>
          <w:sz w:val="22"/>
        </w:rPr>
      </w:pPr>
      <w:r w:rsidRPr="007E3D1A">
        <w:rPr>
          <w:rFonts w:cs="Arial"/>
          <w:sz w:val="22"/>
        </w:rPr>
        <w:t>L’Entrepreneur mènera une enquête pour toute allégation crédible d’acte illicites ou de violations du personnel de sécurité et prendra des mesures (ou imposera aux parties appropriées de prendre des mesures) pour empêcher que ces actions ne se reproduisent, et informera les pouvoirs publics des actes illicites et abusif.</w:t>
      </w:r>
    </w:p>
    <w:p w14:paraId="7F192316" w14:textId="77777777" w:rsidR="009021F1" w:rsidRPr="007E3D1A" w:rsidRDefault="009021F1" w:rsidP="009021F1">
      <w:pPr>
        <w:rPr>
          <w:rFonts w:cs="Arial"/>
          <w:sz w:val="22"/>
        </w:rPr>
      </w:pPr>
    </w:p>
    <w:p w14:paraId="026409B8" w14:textId="77777777" w:rsidR="009021F1" w:rsidRPr="007E3D1A" w:rsidRDefault="009021F1" w:rsidP="009021F1">
      <w:pPr>
        <w:rPr>
          <w:rFonts w:cs="Arial"/>
          <w:sz w:val="22"/>
        </w:rPr>
      </w:pPr>
      <w:r w:rsidRPr="007E3D1A">
        <w:rPr>
          <w:rFonts w:cs="Arial"/>
          <w:sz w:val="22"/>
        </w:rPr>
        <w:t>Le mécanisme d’examen des plaintes au niveau du projet doit être en mesure de recevoir les préoccupations ou les plaintes concernant la conduite du personnel de sécurité. Les préoccupations et plaintes doivent être rapidement consignées et évaluées et que des mesures soient prises pour éviter toute récidive. Les réponses mises en œuvre à la suite de plaintes feront l’objet d’un suivi dont les résultats seront communiqués aux parties concernées, en tenant compte de la nécessité de protéger la confidentialité des informations relatives aux victimes et aux plaignants.</w:t>
      </w:r>
    </w:p>
    <w:p w14:paraId="52D57BBC" w14:textId="77777777" w:rsidR="009021F1" w:rsidRPr="007E3D1A" w:rsidRDefault="009021F1" w:rsidP="009021F1">
      <w:pPr>
        <w:rPr>
          <w:rFonts w:cs="Arial"/>
          <w:sz w:val="22"/>
        </w:rPr>
      </w:pPr>
    </w:p>
    <w:p w14:paraId="62F8B55C" w14:textId="77777777" w:rsidR="009021F1" w:rsidRPr="007E3D1A" w:rsidRDefault="009021F1" w:rsidP="009021F1">
      <w:pPr>
        <w:rPr>
          <w:rFonts w:cs="Arial"/>
          <w:sz w:val="22"/>
        </w:rPr>
      </w:pPr>
      <w:r w:rsidRPr="007E3D1A">
        <w:rPr>
          <w:rFonts w:cs="Arial"/>
          <w:sz w:val="22"/>
        </w:rPr>
        <w:t>CODE DE CONDUITE POUR LE PERSONNEL DE L’ENTREPRISE</w:t>
      </w:r>
    </w:p>
    <w:p w14:paraId="7A528800" w14:textId="77777777" w:rsidR="009021F1" w:rsidRPr="007E3D1A" w:rsidRDefault="009021F1" w:rsidP="009021F1">
      <w:pPr>
        <w:rPr>
          <w:rFonts w:cs="Arial"/>
          <w:sz w:val="22"/>
        </w:rPr>
      </w:pPr>
    </w:p>
    <w:p w14:paraId="4B385253" w14:textId="77777777" w:rsidR="009021F1" w:rsidRPr="007E3D1A" w:rsidRDefault="009021F1" w:rsidP="009021F1">
      <w:pPr>
        <w:rPr>
          <w:rFonts w:cs="Arial"/>
          <w:sz w:val="22"/>
        </w:rPr>
      </w:pPr>
      <w:r w:rsidRPr="007E3D1A">
        <w:rPr>
          <w:rFonts w:cs="Arial"/>
          <w:sz w:val="22"/>
        </w:rPr>
        <w:t>L'Entreprise doit élaborer et mettre en œuvre un Code de Conduite pour traiter les risques environnementaux et sociaux liés à ses activités.  Le Code de Conduite s'appliquera à tout le personnel, les ouvriers et les autres employés sur le site de construction ou tout autre lieu où des activités liées à la construction sont menées.  Il s'applique également au personnel de chaque sous-traitant et à tout autre personnel qui assiste l’Entreprise dans l'exécution des travaux.</w:t>
      </w:r>
    </w:p>
    <w:p w14:paraId="4ABB0A66" w14:textId="77777777" w:rsidR="009021F1" w:rsidRPr="007E3D1A" w:rsidRDefault="009021F1" w:rsidP="009021F1">
      <w:pPr>
        <w:rPr>
          <w:rFonts w:cs="Arial"/>
          <w:sz w:val="22"/>
        </w:rPr>
      </w:pPr>
    </w:p>
    <w:p w14:paraId="048AD981" w14:textId="77777777" w:rsidR="009021F1" w:rsidRPr="007E3D1A" w:rsidRDefault="009021F1" w:rsidP="009021F1">
      <w:pPr>
        <w:rPr>
          <w:rFonts w:cs="Arial"/>
          <w:sz w:val="22"/>
        </w:rPr>
      </w:pPr>
      <w:r w:rsidRPr="007E3D1A">
        <w:rPr>
          <w:rFonts w:cs="Arial"/>
          <w:sz w:val="22"/>
        </w:rPr>
        <w:t>L'objectif du Code de Conduite est de garantir un environnement dans lequel les comportements dangereux, offensants, abusifs, ou violents ne sont pas tolérés, et où toutes les personnes devraient se sentir à l'aise pour soulever des questions ou des préoccupations sans crainte de représailles.</w:t>
      </w:r>
    </w:p>
    <w:p w14:paraId="5DC6D34C" w14:textId="77777777" w:rsidR="009021F1" w:rsidRPr="007E3D1A" w:rsidRDefault="009021F1" w:rsidP="009021F1">
      <w:pPr>
        <w:rPr>
          <w:rFonts w:cs="Arial"/>
          <w:sz w:val="22"/>
        </w:rPr>
      </w:pPr>
      <w:r w:rsidRPr="007E3D1A">
        <w:rPr>
          <w:rFonts w:cs="Arial"/>
          <w:sz w:val="22"/>
        </w:rPr>
        <w:t>Les entreprises veilleront à ce que tous les employés, y compris ceux des sous-traitants, soient informés du code de conduite et le signent :</w:t>
      </w:r>
    </w:p>
    <w:p w14:paraId="2FA4F59C" w14:textId="77777777" w:rsidR="009021F1" w:rsidRPr="007E3D1A" w:rsidRDefault="009021F1" w:rsidP="009021F1">
      <w:pPr>
        <w:rPr>
          <w:rFonts w:cs="Arial"/>
          <w:sz w:val="22"/>
        </w:rPr>
      </w:pPr>
    </w:p>
    <w:p w14:paraId="666F23D5" w14:textId="77777777" w:rsidR="009021F1" w:rsidRPr="007E3D1A" w:rsidRDefault="009021F1" w:rsidP="009021F1">
      <w:pPr>
        <w:rPr>
          <w:rFonts w:cs="Arial"/>
          <w:sz w:val="22"/>
        </w:rPr>
      </w:pPr>
      <w:r w:rsidRPr="007E3D1A">
        <w:rPr>
          <w:rFonts w:cs="Arial"/>
          <w:sz w:val="22"/>
        </w:rPr>
        <w:t>Modèle de Code de Conduite</w:t>
      </w:r>
    </w:p>
    <w:p w14:paraId="50BE8B21" w14:textId="77777777" w:rsidR="009021F1" w:rsidRPr="007E3D1A" w:rsidRDefault="009021F1" w:rsidP="009021F1">
      <w:pPr>
        <w:rPr>
          <w:rFonts w:cs="Arial"/>
          <w:sz w:val="22"/>
        </w:rPr>
      </w:pPr>
    </w:p>
    <w:p w14:paraId="38EC4848" w14:textId="77777777" w:rsidR="009021F1" w:rsidRPr="007E3D1A" w:rsidRDefault="009021F1" w:rsidP="009021F1">
      <w:pPr>
        <w:rPr>
          <w:rFonts w:cs="Arial"/>
          <w:sz w:val="22"/>
        </w:rPr>
      </w:pPr>
      <w:r w:rsidRPr="007E3D1A">
        <w:rPr>
          <w:rFonts w:cs="Arial"/>
          <w:sz w:val="22"/>
        </w:rPr>
        <w:t>Nous, l’entreprise [entrez le nom], avons signé un contrat avec le Projet PNDA pour [entrez la description des activités]. Ces activités seront menées à [entrez le site et les autres endroits où les activités seront menées].  Notre contrat exige que nous mettions en œuvre des mesures pour faire face aux risques environnementaux et sociaux liés aux activités, y compris les risques d'exploitation et d'agression sexuelles et de violence sexiste.</w:t>
      </w:r>
    </w:p>
    <w:p w14:paraId="5B9DBD15" w14:textId="77777777" w:rsidR="009021F1" w:rsidRPr="007E3D1A" w:rsidRDefault="009021F1" w:rsidP="009021F1">
      <w:pPr>
        <w:rPr>
          <w:rFonts w:cs="Arial"/>
          <w:sz w:val="22"/>
        </w:rPr>
      </w:pPr>
    </w:p>
    <w:p w14:paraId="4D6BC10B" w14:textId="77777777" w:rsidR="009021F1" w:rsidRPr="007E3D1A" w:rsidRDefault="009021F1" w:rsidP="009021F1">
      <w:pPr>
        <w:rPr>
          <w:rFonts w:cs="Arial"/>
          <w:sz w:val="22"/>
        </w:rPr>
      </w:pPr>
      <w:r w:rsidRPr="007E3D1A">
        <w:rPr>
          <w:rFonts w:cs="Arial"/>
          <w:sz w:val="22"/>
        </w:rPr>
        <w:t>Ce code de conduite fait partie des mesures que nous prenons pour faire face aux risques environnementaux et sociaux liés à nos activités.  Il s'applique à l'ensemble de notre personnel, y compris les ouvriers et les autres employés sur tous les lieux où les activités sont menées.  Il s'applique également au personnel de chaque sous-traitant et à tout autre personnel qui nous assiste dans l'exécution des activités.  Toutes ces personnes sont appelées "personnel du sous-traitant" et sont soumises au présent code de conduite.</w:t>
      </w:r>
    </w:p>
    <w:p w14:paraId="39D9AAD9" w14:textId="77777777" w:rsidR="009021F1" w:rsidRPr="007E3D1A" w:rsidRDefault="009021F1" w:rsidP="009021F1">
      <w:pPr>
        <w:rPr>
          <w:rFonts w:cs="Arial"/>
          <w:sz w:val="22"/>
        </w:rPr>
      </w:pPr>
    </w:p>
    <w:p w14:paraId="6E7C173A" w14:textId="77777777" w:rsidR="009021F1" w:rsidRPr="007E3D1A" w:rsidRDefault="009021F1" w:rsidP="009021F1">
      <w:pPr>
        <w:rPr>
          <w:rFonts w:cs="Arial"/>
          <w:sz w:val="22"/>
        </w:rPr>
      </w:pPr>
      <w:r w:rsidRPr="007E3D1A">
        <w:rPr>
          <w:rFonts w:cs="Arial"/>
          <w:sz w:val="22"/>
        </w:rPr>
        <w:t>Le présent code de conduite définit le comportement que nous exigeons de la part de tout le personnel de l’Entreprise</w:t>
      </w:r>
    </w:p>
    <w:p w14:paraId="29940874" w14:textId="77777777" w:rsidR="009021F1" w:rsidRPr="007E3D1A" w:rsidRDefault="009021F1" w:rsidP="009021F1">
      <w:pPr>
        <w:rPr>
          <w:rFonts w:cs="Arial"/>
          <w:sz w:val="22"/>
        </w:rPr>
      </w:pPr>
    </w:p>
    <w:p w14:paraId="2F1511B3" w14:textId="77777777" w:rsidR="009021F1" w:rsidRPr="007E3D1A" w:rsidRDefault="009021F1" w:rsidP="009021F1">
      <w:pPr>
        <w:rPr>
          <w:rFonts w:cs="Arial"/>
          <w:sz w:val="22"/>
        </w:rPr>
      </w:pPr>
      <w:r w:rsidRPr="007E3D1A">
        <w:rPr>
          <w:rFonts w:cs="Arial"/>
          <w:sz w:val="22"/>
        </w:rPr>
        <w:t>Notre lieu de travail est un environnement où les comportements dangereux, offensants, abusifs ou violents ne seront pas tolérés et où toutes les personnes doivent se sentir à l'aise pour soulever des questions ou des préoccupations sans crainte de représailles.</w:t>
      </w:r>
    </w:p>
    <w:p w14:paraId="5654C569" w14:textId="77777777" w:rsidR="009021F1" w:rsidRPr="007E3D1A" w:rsidRDefault="009021F1" w:rsidP="009021F1">
      <w:pPr>
        <w:rPr>
          <w:rFonts w:cs="Arial"/>
          <w:sz w:val="22"/>
        </w:rPr>
      </w:pPr>
    </w:p>
    <w:p w14:paraId="0D262EA1" w14:textId="77777777" w:rsidR="009021F1" w:rsidRPr="007E3D1A" w:rsidRDefault="009021F1" w:rsidP="009021F1">
      <w:pPr>
        <w:rPr>
          <w:rFonts w:cs="Arial"/>
          <w:sz w:val="22"/>
        </w:rPr>
      </w:pPr>
      <w:r w:rsidRPr="007E3D1A">
        <w:rPr>
          <w:rFonts w:cs="Arial"/>
          <w:sz w:val="22"/>
        </w:rPr>
        <w:t>Conduite requise</w:t>
      </w:r>
    </w:p>
    <w:p w14:paraId="0CD79608" w14:textId="77777777" w:rsidR="009021F1" w:rsidRPr="007E3D1A" w:rsidRDefault="009021F1" w:rsidP="009021F1">
      <w:pPr>
        <w:rPr>
          <w:rFonts w:cs="Arial"/>
          <w:sz w:val="22"/>
        </w:rPr>
      </w:pPr>
    </w:p>
    <w:p w14:paraId="45A36595" w14:textId="77777777" w:rsidR="009021F1" w:rsidRPr="007E3D1A" w:rsidRDefault="009021F1" w:rsidP="009021F1">
      <w:pPr>
        <w:rPr>
          <w:rFonts w:cs="Arial"/>
          <w:sz w:val="22"/>
        </w:rPr>
      </w:pPr>
      <w:r w:rsidRPr="007E3D1A">
        <w:rPr>
          <w:rFonts w:cs="Arial"/>
          <w:sz w:val="22"/>
        </w:rPr>
        <w:t>Le personnel de l’Entreprise doit :</w:t>
      </w:r>
    </w:p>
    <w:p w14:paraId="287CD335" w14:textId="77777777" w:rsidR="009021F1" w:rsidRPr="007E3D1A" w:rsidRDefault="009021F1" w:rsidP="009021F1">
      <w:pPr>
        <w:rPr>
          <w:rFonts w:cs="Arial"/>
          <w:sz w:val="22"/>
        </w:rPr>
      </w:pPr>
    </w:p>
    <w:p w14:paraId="57BF5612" w14:textId="77777777" w:rsidR="009021F1" w:rsidRPr="007E3D1A" w:rsidRDefault="009021F1" w:rsidP="009021F1">
      <w:pPr>
        <w:rPr>
          <w:rFonts w:cs="Arial"/>
          <w:sz w:val="22"/>
        </w:rPr>
      </w:pPr>
      <w:r w:rsidRPr="007E3D1A">
        <w:rPr>
          <w:rFonts w:cs="Arial"/>
          <w:sz w:val="22"/>
        </w:rPr>
        <w:t>S’acquitter de ses tâches avec compétence et diligence.</w:t>
      </w:r>
    </w:p>
    <w:p w14:paraId="6255C4C2" w14:textId="77777777" w:rsidR="009021F1" w:rsidRPr="007E3D1A" w:rsidRDefault="009021F1" w:rsidP="009021F1">
      <w:pPr>
        <w:rPr>
          <w:rFonts w:cs="Arial"/>
          <w:sz w:val="22"/>
        </w:rPr>
      </w:pPr>
      <w:r w:rsidRPr="007E3D1A">
        <w:rPr>
          <w:rFonts w:cs="Arial"/>
          <w:sz w:val="22"/>
        </w:rPr>
        <w:t>Se conformer au présent code de conduite et à toutes les lois, réglementations et autres exigences applicables, y compris les exigences visant à protéger la santé, la sécurité et le bien-être des autres membres du personnel de l’Entreprise et de toute autre personne.</w:t>
      </w:r>
    </w:p>
    <w:p w14:paraId="0F6A269D" w14:textId="77777777" w:rsidR="009021F1" w:rsidRPr="007E3D1A" w:rsidRDefault="009021F1" w:rsidP="009021F1">
      <w:pPr>
        <w:rPr>
          <w:rFonts w:cs="Arial"/>
          <w:sz w:val="22"/>
        </w:rPr>
      </w:pPr>
      <w:r w:rsidRPr="007E3D1A">
        <w:rPr>
          <w:rFonts w:cs="Arial"/>
          <w:sz w:val="22"/>
        </w:rPr>
        <w:t>Maintenir un environnement de travail sûr, y compris en :</w:t>
      </w:r>
    </w:p>
    <w:p w14:paraId="76580A3B" w14:textId="77777777" w:rsidR="009021F1" w:rsidRPr="007E3D1A" w:rsidRDefault="009021F1" w:rsidP="009021F1">
      <w:pPr>
        <w:rPr>
          <w:rFonts w:cs="Arial"/>
          <w:sz w:val="22"/>
        </w:rPr>
      </w:pPr>
      <w:r w:rsidRPr="007E3D1A">
        <w:rPr>
          <w:rFonts w:cs="Arial"/>
          <w:sz w:val="22"/>
        </w:rPr>
        <w:t>Veillant à ce que les lieux de travail, les machines, les équipements et les processus sous le contrôle de chaque personne soient sûrs et sans risque pour la santé oula sécurité.</w:t>
      </w:r>
    </w:p>
    <w:p w14:paraId="2A8D784A" w14:textId="77777777" w:rsidR="009021F1" w:rsidRPr="007E3D1A" w:rsidRDefault="009021F1" w:rsidP="009021F1">
      <w:pPr>
        <w:rPr>
          <w:rFonts w:cs="Arial"/>
          <w:sz w:val="22"/>
        </w:rPr>
      </w:pPr>
      <w:r w:rsidRPr="007E3D1A">
        <w:rPr>
          <w:rFonts w:cs="Arial"/>
          <w:sz w:val="22"/>
        </w:rPr>
        <w:t>Portant les équipements de protection individuelle requis.</w:t>
      </w:r>
    </w:p>
    <w:p w14:paraId="104C764B" w14:textId="77777777" w:rsidR="009021F1" w:rsidRPr="007E3D1A" w:rsidRDefault="009021F1" w:rsidP="009021F1">
      <w:pPr>
        <w:rPr>
          <w:rFonts w:cs="Arial"/>
          <w:sz w:val="22"/>
        </w:rPr>
      </w:pPr>
      <w:r w:rsidRPr="007E3D1A">
        <w:rPr>
          <w:rFonts w:cs="Arial"/>
          <w:sz w:val="22"/>
        </w:rPr>
        <w:t>Utilisant les mesures appropriées relatives aux substances et agents chimiques, physiques et biologiques.</w:t>
      </w:r>
    </w:p>
    <w:p w14:paraId="6062D2B1" w14:textId="77777777" w:rsidR="009021F1" w:rsidRPr="007E3D1A" w:rsidRDefault="009021F1" w:rsidP="009021F1">
      <w:pPr>
        <w:rPr>
          <w:rFonts w:cs="Arial"/>
          <w:sz w:val="22"/>
        </w:rPr>
      </w:pPr>
      <w:r w:rsidRPr="007E3D1A">
        <w:rPr>
          <w:rFonts w:cs="Arial"/>
          <w:sz w:val="22"/>
        </w:rPr>
        <w:t>Suivant les procédures d'exploitation d'urgence applicables.</w:t>
      </w:r>
    </w:p>
    <w:p w14:paraId="4A39BA06" w14:textId="77777777" w:rsidR="009021F1" w:rsidRPr="007E3D1A" w:rsidRDefault="009021F1" w:rsidP="009021F1">
      <w:pPr>
        <w:rPr>
          <w:rFonts w:cs="Arial"/>
          <w:sz w:val="22"/>
        </w:rPr>
      </w:pPr>
      <w:r w:rsidRPr="007E3D1A">
        <w:rPr>
          <w:rFonts w:cs="Arial"/>
          <w:sz w:val="22"/>
        </w:rPr>
        <w:t>Ne pas détenir ou consommer des stupéfiants</w:t>
      </w:r>
    </w:p>
    <w:p w14:paraId="23A25D56" w14:textId="77777777" w:rsidR="009021F1" w:rsidRPr="007E3D1A" w:rsidRDefault="009021F1" w:rsidP="009021F1">
      <w:pPr>
        <w:rPr>
          <w:rFonts w:cs="Arial"/>
          <w:sz w:val="22"/>
        </w:rPr>
      </w:pPr>
      <w:r w:rsidRPr="007E3D1A">
        <w:rPr>
          <w:rFonts w:cs="Arial"/>
          <w:sz w:val="22"/>
        </w:rPr>
        <w:t>Ne pas consommer des boissons alcoolisées pendant les heures de travail</w:t>
      </w:r>
    </w:p>
    <w:p w14:paraId="26E367F6" w14:textId="77777777" w:rsidR="009021F1" w:rsidRPr="007E3D1A" w:rsidRDefault="009021F1" w:rsidP="009021F1">
      <w:pPr>
        <w:rPr>
          <w:rFonts w:cs="Arial"/>
          <w:sz w:val="22"/>
        </w:rPr>
      </w:pPr>
      <w:r w:rsidRPr="007E3D1A">
        <w:rPr>
          <w:rFonts w:cs="Arial"/>
          <w:sz w:val="22"/>
        </w:rPr>
        <w:t>Ne pas détenir ou transporter des armes exception faite des partenaires sécuritaires</w:t>
      </w:r>
    </w:p>
    <w:p w14:paraId="7D181949" w14:textId="77777777" w:rsidR="009021F1" w:rsidRPr="007E3D1A" w:rsidRDefault="009021F1" w:rsidP="009021F1">
      <w:pPr>
        <w:rPr>
          <w:rFonts w:cs="Arial"/>
          <w:sz w:val="22"/>
        </w:rPr>
      </w:pPr>
      <w:r w:rsidRPr="007E3D1A">
        <w:rPr>
          <w:rFonts w:cs="Arial"/>
          <w:sz w:val="22"/>
        </w:rPr>
        <w:t>Ne pas acquérir, détenir, ou de consommer les viandes et autres produits provenant de la faune sauvage protégée, ou participer ou assister à des activités de chasse de faune sauvage protégée.</w:t>
      </w:r>
    </w:p>
    <w:p w14:paraId="208F0C51" w14:textId="77777777" w:rsidR="009021F1" w:rsidRPr="007E3D1A" w:rsidRDefault="009021F1" w:rsidP="009021F1">
      <w:pPr>
        <w:rPr>
          <w:rFonts w:cs="Arial"/>
          <w:sz w:val="22"/>
        </w:rPr>
      </w:pPr>
      <w:r w:rsidRPr="007E3D1A">
        <w:rPr>
          <w:rFonts w:cs="Arial"/>
          <w:sz w:val="22"/>
        </w:rPr>
        <w:t>Signaler les situations de travail qu'il/elle estime ne pas être sûres ou saines et se retirer d'une situation de travail dont il/elle pense raisonnablement qu'elle présente un danger imminent et grave pour sa vie ou sa santé.</w:t>
      </w:r>
    </w:p>
    <w:p w14:paraId="2AD85093" w14:textId="77777777" w:rsidR="009021F1" w:rsidRPr="007E3D1A" w:rsidRDefault="009021F1" w:rsidP="009021F1">
      <w:pPr>
        <w:rPr>
          <w:rFonts w:cs="Arial"/>
          <w:sz w:val="22"/>
        </w:rPr>
      </w:pPr>
      <w:r w:rsidRPr="007E3D1A">
        <w:rPr>
          <w:rFonts w:cs="Arial"/>
          <w:sz w:val="22"/>
        </w:rPr>
        <w:t>Traiter les autres personnes avec respect et ne pas faire de discrimination à l'encontre de groupes spécifiques tels que les femmes, les personnes handicapées, les travailleurs migrants ou les enfants.</w:t>
      </w:r>
    </w:p>
    <w:p w14:paraId="4797E660" w14:textId="77777777" w:rsidR="009021F1" w:rsidRPr="007E3D1A" w:rsidRDefault="009021F1" w:rsidP="009021F1">
      <w:pPr>
        <w:rPr>
          <w:rFonts w:cs="Arial"/>
          <w:sz w:val="22"/>
        </w:rPr>
      </w:pPr>
      <w:r w:rsidRPr="007E3D1A">
        <w:rPr>
          <w:rFonts w:cs="Arial"/>
          <w:sz w:val="22"/>
        </w:rPr>
        <w:t>Ne pas se livrer à une forme quelconque de harcèlement sexuel, y compris des avances sexuelles non sollicitées, des demandes de faveurs sexuelles et tout autre comportement verbal ou physique non désiré de nature sexuelle avec le personnel d'autres entrepreneurs ou employeurs.</w:t>
      </w:r>
    </w:p>
    <w:p w14:paraId="296DDBF3" w14:textId="77777777" w:rsidR="009021F1" w:rsidRPr="007E3D1A" w:rsidRDefault="009021F1" w:rsidP="009021F1">
      <w:pPr>
        <w:rPr>
          <w:rFonts w:cs="Arial"/>
          <w:sz w:val="22"/>
        </w:rPr>
      </w:pPr>
      <w:r w:rsidRPr="007E3D1A">
        <w:rPr>
          <w:rFonts w:cs="Arial"/>
          <w:sz w:val="22"/>
        </w:rPr>
        <w:t>Ne pas se livrer à l'exploitation sexuelle, ce qui signifie tout abus ou tentative d'abus de position de vulnérabilité, de pouvoir différentiel ou de confiance, à des fins sexuelles, y compris, mais sans s'y limiter, le fait de tirer un profit monétaire, social ou politique de l'exploitation sexuelle d'autrui.  Dans les projets financés par la Banque, l'exploitation sexuelle se produit lorsque l'accès à des biens, travaux, services de conseil ou services autres financés par la Banque, est utilisé pour en tirer un gain sexuel.</w:t>
      </w:r>
    </w:p>
    <w:p w14:paraId="769BC268" w14:textId="77777777" w:rsidR="009021F1" w:rsidRPr="007E3D1A" w:rsidRDefault="009021F1" w:rsidP="009021F1">
      <w:pPr>
        <w:rPr>
          <w:rFonts w:cs="Arial"/>
          <w:sz w:val="22"/>
        </w:rPr>
      </w:pPr>
      <w:r w:rsidRPr="007E3D1A">
        <w:rPr>
          <w:rFonts w:cs="Arial"/>
          <w:sz w:val="22"/>
        </w:rPr>
        <w:t>Ne pas se livrer à une agression sexuelle, ce qui signifie une activité sexuelle avec une autre personne qui n'y consent pas. Il s'agit d'une violation de l'intégrité corporelle et de l'autonomie sexuelle, qui dépasse les conceptions plus étroites du "viol", notamment parce que (a) il peut être commis par d'autres moyens que la force ou la violence, et (b) il n'implique pas nécessairement la pénétration.</w:t>
      </w:r>
    </w:p>
    <w:p w14:paraId="507DF469" w14:textId="77777777" w:rsidR="009021F1" w:rsidRPr="007E3D1A" w:rsidRDefault="009021F1" w:rsidP="009021F1">
      <w:pPr>
        <w:rPr>
          <w:rFonts w:cs="Arial"/>
          <w:sz w:val="22"/>
        </w:rPr>
      </w:pPr>
      <w:r w:rsidRPr="007E3D1A">
        <w:rPr>
          <w:rFonts w:cs="Arial"/>
          <w:sz w:val="22"/>
        </w:rPr>
        <w:t>Ne pas se livrer à une forme quelconque d'activité sexuelle avec des personnes âgées de moins de 18 ans, sauf en cas de mariage préexistant.</w:t>
      </w:r>
    </w:p>
    <w:p w14:paraId="0B1637E4" w14:textId="77777777" w:rsidR="009021F1" w:rsidRPr="007E3D1A" w:rsidRDefault="009021F1" w:rsidP="009021F1">
      <w:pPr>
        <w:rPr>
          <w:rFonts w:cs="Arial"/>
          <w:sz w:val="22"/>
        </w:rPr>
      </w:pPr>
      <w:r w:rsidRPr="007E3D1A">
        <w:rPr>
          <w:rFonts w:cs="Arial"/>
          <w:sz w:val="22"/>
        </w:rPr>
        <w:t>Suivre les cours de formation pertinents qui seront dispensés en rapport avec les aspects environnementaux et sociaux du contrat, y compris sur les questions de santé et de sécurité, et sur l'exploitation et les agressions sexuelles ainsi que le harcèlement sexuel (EAS et HS).</w:t>
      </w:r>
    </w:p>
    <w:p w14:paraId="6E6ACDD6" w14:textId="77777777" w:rsidR="009021F1" w:rsidRPr="007E3D1A" w:rsidRDefault="009021F1" w:rsidP="009021F1">
      <w:pPr>
        <w:rPr>
          <w:rFonts w:cs="Arial"/>
          <w:sz w:val="22"/>
        </w:rPr>
      </w:pPr>
      <w:r w:rsidRPr="007E3D1A">
        <w:rPr>
          <w:rFonts w:cs="Arial"/>
          <w:sz w:val="22"/>
        </w:rPr>
        <w:t>Signaler les violations du présent code de conduite.</w:t>
      </w:r>
    </w:p>
    <w:p w14:paraId="12678ACC" w14:textId="77777777" w:rsidR="009021F1" w:rsidRPr="007E3D1A" w:rsidRDefault="009021F1" w:rsidP="009021F1">
      <w:pPr>
        <w:rPr>
          <w:rFonts w:cs="Arial"/>
          <w:sz w:val="22"/>
        </w:rPr>
      </w:pPr>
      <w:r w:rsidRPr="007E3D1A">
        <w:rPr>
          <w:rFonts w:cs="Arial"/>
          <w:sz w:val="22"/>
        </w:rPr>
        <w:t>Ne pas exercer de représailles contre toute personne qui signale des violations du présent code de conduite, que ce soit à nous ou à l'employeur, ou qui fait usage du [mécanisme de règlement des griefs [recours] du projet].  De telles représailles constitueraient en soi une violation du Code de Conduite.</w:t>
      </w:r>
    </w:p>
    <w:p w14:paraId="294477EC" w14:textId="77777777" w:rsidR="009021F1" w:rsidRPr="007E3D1A" w:rsidRDefault="009021F1" w:rsidP="009021F1">
      <w:pPr>
        <w:rPr>
          <w:rFonts w:cs="Arial"/>
          <w:sz w:val="22"/>
        </w:rPr>
      </w:pPr>
    </w:p>
    <w:p w14:paraId="42B95AF9" w14:textId="77777777" w:rsidR="009021F1" w:rsidRPr="007E3D1A" w:rsidRDefault="009021F1" w:rsidP="009021F1">
      <w:pPr>
        <w:rPr>
          <w:rFonts w:cs="Arial"/>
          <w:sz w:val="22"/>
        </w:rPr>
      </w:pPr>
      <w:r w:rsidRPr="007E3D1A">
        <w:rPr>
          <w:rFonts w:cs="Arial"/>
          <w:sz w:val="22"/>
        </w:rPr>
        <w:t>Signaler des Fautes</w:t>
      </w:r>
    </w:p>
    <w:p w14:paraId="5BE3CBCF" w14:textId="77777777" w:rsidR="009021F1" w:rsidRPr="007E3D1A" w:rsidRDefault="009021F1" w:rsidP="009021F1">
      <w:pPr>
        <w:rPr>
          <w:rFonts w:cs="Arial"/>
          <w:sz w:val="22"/>
        </w:rPr>
      </w:pPr>
    </w:p>
    <w:p w14:paraId="4D0EBDBC" w14:textId="77777777" w:rsidR="009021F1" w:rsidRPr="007E3D1A" w:rsidRDefault="009021F1" w:rsidP="009021F1">
      <w:pPr>
        <w:rPr>
          <w:rFonts w:cs="Arial"/>
          <w:sz w:val="22"/>
        </w:rPr>
      </w:pPr>
      <w:r w:rsidRPr="007E3D1A">
        <w:rPr>
          <w:rFonts w:cs="Arial"/>
          <w:sz w:val="22"/>
        </w:rPr>
        <w:t>Si une personne observe un comportement qui, selon elle, peut représenter une violation du présent code de conduite, ou qui la concerne d'une autre manière, elle doit soulever la question rapidement.  Cela peut se faire de l'une ou l'autre des manières suivantes :</w:t>
      </w:r>
    </w:p>
    <w:p w14:paraId="4991A099" w14:textId="77777777" w:rsidR="009021F1" w:rsidRPr="007E3D1A" w:rsidRDefault="009021F1" w:rsidP="009021F1">
      <w:pPr>
        <w:rPr>
          <w:rFonts w:cs="Arial"/>
          <w:sz w:val="22"/>
        </w:rPr>
      </w:pPr>
    </w:p>
    <w:p w14:paraId="72CAFC79" w14:textId="77777777" w:rsidR="009021F1" w:rsidRPr="007E3D1A" w:rsidRDefault="009021F1" w:rsidP="009021F1">
      <w:pPr>
        <w:rPr>
          <w:rFonts w:cs="Arial"/>
          <w:sz w:val="22"/>
        </w:rPr>
      </w:pPr>
      <w:r w:rsidRPr="007E3D1A">
        <w:rPr>
          <w:rFonts w:cs="Arial"/>
          <w:sz w:val="22"/>
        </w:rPr>
        <w:t>En contactant la personne désignée par l’Entreprise [indiquer le nom du contact) ;</w:t>
      </w:r>
    </w:p>
    <w:p w14:paraId="7044A790" w14:textId="77777777" w:rsidR="009021F1" w:rsidRPr="007E3D1A" w:rsidRDefault="009021F1" w:rsidP="009021F1">
      <w:pPr>
        <w:rPr>
          <w:rFonts w:cs="Arial"/>
          <w:sz w:val="22"/>
        </w:rPr>
      </w:pPr>
      <w:r w:rsidRPr="007E3D1A">
        <w:rPr>
          <w:rFonts w:cs="Arial"/>
          <w:sz w:val="22"/>
        </w:rPr>
        <w:t>Par écrit à l'adresse suivante [ ] ;</w:t>
      </w:r>
    </w:p>
    <w:p w14:paraId="14DD3806" w14:textId="77777777" w:rsidR="009021F1" w:rsidRPr="007E3D1A" w:rsidRDefault="009021F1" w:rsidP="009021F1">
      <w:pPr>
        <w:rPr>
          <w:rFonts w:cs="Arial"/>
          <w:sz w:val="22"/>
        </w:rPr>
      </w:pPr>
      <w:r w:rsidRPr="007E3D1A">
        <w:rPr>
          <w:rFonts w:cs="Arial"/>
          <w:sz w:val="22"/>
        </w:rPr>
        <w:t>Par téléphone au [ ] ;</w:t>
      </w:r>
    </w:p>
    <w:p w14:paraId="05BB09A3" w14:textId="77777777" w:rsidR="009021F1" w:rsidRPr="007E3D1A" w:rsidRDefault="009021F1" w:rsidP="009021F1">
      <w:pPr>
        <w:rPr>
          <w:rFonts w:cs="Arial"/>
          <w:sz w:val="22"/>
        </w:rPr>
      </w:pPr>
      <w:r w:rsidRPr="007E3D1A">
        <w:rPr>
          <w:rFonts w:cs="Arial"/>
          <w:sz w:val="22"/>
        </w:rPr>
        <w:t>En personne à [ ] ; et</w:t>
      </w:r>
    </w:p>
    <w:p w14:paraId="736D6251" w14:textId="77777777" w:rsidR="009021F1" w:rsidRPr="007E3D1A" w:rsidRDefault="009021F1" w:rsidP="009021F1">
      <w:pPr>
        <w:rPr>
          <w:rFonts w:cs="Arial"/>
          <w:sz w:val="22"/>
        </w:rPr>
      </w:pPr>
      <w:r w:rsidRPr="007E3D1A">
        <w:rPr>
          <w:rFonts w:cs="Arial"/>
          <w:sz w:val="22"/>
        </w:rPr>
        <w:t>Appeler [ ] pour joindre la ligne directe de l’Entreprise et laisser un message (si disponible)</w:t>
      </w:r>
    </w:p>
    <w:p w14:paraId="4661AECB" w14:textId="77777777" w:rsidR="009021F1" w:rsidRPr="007E3D1A" w:rsidRDefault="009021F1" w:rsidP="009021F1">
      <w:pPr>
        <w:rPr>
          <w:rFonts w:cs="Arial"/>
          <w:sz w:val="22"/>
        </w:rPr>
      </w:pPr>
    </w:p>
    <w:p w14:paraId="2C7B74D8" w14:textId="77777777" w:rsidR="009021F1" w:rsidRPr="007E3D1A" w:rsidRDefault="009021F1" w:rsidP="009021F1">
      <w:pPr>
        <w:rPr>
          <w:rFonts w:cs="Arial"/>
          <w:sz w:val="22"/>
        </w:rPr>
      </w:pPr>
      <w:r w:rsidRPr="007E3D1A">
        <w:rPr>
          <w:rFonts w:cs="Arial"/>
          <w:sz w:val="22"/>
        </w:rPr>
        <w:t xml:space="preserve">L'identité de la personne sera gardée confidentielle, à moins que la loi du pays n'impose de signaler les allégations.  Des plaintes ou allégations anonymes peuvent également être soumises et seront dûment prises en considération.  Nous prendrons au sérieux tous les signalements de fautes éventuelles et nous enquêterons et prendrons les mesures appropriées.  Nous fournirons des références chaleureuses aux prestataires de services qui peuvent aider à soutenir le </w:t>
      </w:r>
    </w:p>
    <w:p w14:paraId="173E46CE" w14:textId="77777777" w:rsidR="009021F1" w:rsidRPr="007E3D1A" w:rsidRDefault="009021F1" w:rsidP="009021F1">
      <w:pPr>
        <w:rPr>
          <w:rFonts w:cs="Arial"/>
          <w:sz w:val="22"/>
        </w:rPr>
      </w:pPr>
      <w:r w:rsidRPr="007E3D1A">
        <w:rPr>
          <w:rFonts w:cs="Arial"/>
          <w:sz w:val="22"/>
        </w:rPr>
        <w:t>La loi du pays.  Des plaintes ou allégations anonymes peuvent également être déposées et seront dûment prises en considération.  Nous prenons au sérieux tous les signalements de fautes éventuelles et nous enquêterons et prendrons les mesures appropriées.  Au besoin, nous recommanderons des prestataires de services susceptibles de soutenir la personne qui a vécu l'incident présumé.</w:t>
      </w:r>
    </w:p>
    <w:p w14:paraId="4B2F197D" w14:textId="77777777" w:rsidR="009021F1" w:rsidRPr="007E3D1A" w:rsidRDefault="009021F1" w:rsidP="009021F1">
      <w:pPr>
        <w:rPr>
          <w:rFonts w:cs="Arial"/>
          <w:sz w:val="22"/>
        </w:rPr>
      </w:pPr>
      <w:r w:rsidRPr="007E3D1A">
        <w:rPr>
          <w:rFonts w:cs="Arial"/>
          <w:sz w:val="22"/>
        </w:rPr>
        <w:t>Il n'y aura pas de représailles à l'encontre de toute personne qui soulève de bonne foi une préoccupation concernant un comportement interdit par le présent code de conduite.  De telles représailles constitueraient une violation du présent code de conduite.</w:t>
      </w:r>
    </w:p>
    <w:p w14:paraId="68F1A347" w14:textId="77777777" w:rsidR="009021F1" w:rsidRPr="007E3D1A" w:rsidRDefault="009021F1" w:rsidP="009021F1">
      <w:pPr>
        <w:rPr>
          <w:rFonts w:cs="Arial"/>
          <w:sz w:val="22"/>
        </w:rPr>
      </w:pPr>
    </w:p>
    <w:p w14:paraId="1911D6F4" w14:textId="77777777" w:rsidR="009021F1" w:rsidRPr="007E3D1A" w:rsidRDefault="009021F1" w:rsidP="009021F1">
      <w:pPr>
        <w:rPr>
          <w:rFonts w:cs="Arial"/>
          <w:sz w:val="22"/>
        </w:rPr>
      </w:pPr>
      <w:r w:rsidRPr="007E3D1A">
        <w:rPr>
          <w:rFonts w:cs="Arial"/>
          <w:sz w:val="22"/>
        </w:rPr>
        <w:t>Conséquences d'une violation du code de conduite</w:t>
      </w:r>
    </w:p>
    <w:p w14:paraId="5C70014A" w14:textId="77777777" w:rsidR="009021F1" w:rsidRPr="007E3D1A" w:rsidRDefault="009021F1" w:rsidP="009021F1">
      <w:pPr>
        <w:rPr>
          <w:rFonts w:cs="Arial"/>
          <w:sz w:val="22"/>
        </w:rPr>
      </w:pPr>
    </w:p>
    <w:p w14:paraId="4FEE6BFE" w14:textId="77777777" w:rsidR="009021F1" w:rsidRPr="007E3D1A" w:rsidRDefault="009021F1" w:rsidP="009021F1">
      <w:pPr>
        <w:rPr>
          <w:rFonts w:cs="Arial"/>
          <w:sz w:val="22"/>
        </w:rPr>
      </w:pPr>
      <w:r w:rsidRPr="007E3D1A">
        <w:rPr>
          <w:rFonts w:cs="Arial"/>
          <w:sz w:val="22"/>
        </w:rPr>
        <w:t>Toute violation du présent code de conduite par le personnel de l’Entreprise peut entraîner de graves conséquences, pouvant aller jusqu'à la résiliation et à l'éventuel renvoi devant les autorités judiciaires.</w:t>
      </w:r>
    </w:p>
    <w:p w14:paraId="08B1CFA3" w14:textId="77777777" w:rsidR="009021F1" w:rsidRPr="007E3D1A" w:rsidRDefault="009021F1" w:rsidP="009021F1">
      <w:pPr>
        <w:rPr>
          <w:rFonts w:cs="Arial"/>
          <w:sz w:val="22"/>
        </w:rPr>
      </w:pPr>
    </w:p>
    <w:p w14:paraId="287743F5" w14:textId="77777777" w:rsidR="009021F1" w:rsidRPr="007E3D1A" w:rsidRDefault="009021F1" w:rsidP="009021F1">
      <w:pPr>
        <w:rPr>
          <w:rFonts w:cs="Arial"/>
          <w:sz w:val="22"/>
        </w:rPr>
      </w:pPr>
      <w:r w:rsidRPr="007E3D1A">
        <w:rPr>
          <w:rFonts w:cs="Arial"/>
          <w:sz w:val="22"/>
        </w:rPr>
        <w:t>Pour le personnel de l’Entreprise</w:t>
      </w:r>
    </w:p>
    <w:p w14:paraId="0276DA23" w14:textId="77777777" w:rsidR="009021F1" w:rsidRPr="007E3D1A" w:rsidRDefault="009021F1" w:rsidP="009021F1">
      <w:pPr>
        <w:rPr>
          <w:rFonts w:cs="Arial"/>
          <w:sz w:val="22"/>
        </w:rPr>
      </w:pPr>
    </w:p>
    <w:p w14:paraId="249B12CF" w14:textId="77777777" w:rsidR="009021F1" w:rsidRPr="007E3D1A" w:rsidRDefault="009021F1" w:rsidP="009021F1">
      <w:pPr>
        <w:rPr>
          <w:rFonts w:cs="Arial"/>
          <w:sz w:val="22"/>
        </w:rPr>
      </w:pPr>
      <w:r w:rsidRPr="007E3D1A">
        <w:rPr>
          <w:rFonts w:cs="Arial"/>
          <w:sz w:val="22"/>
        </w:rPr>
        <w:t>J'ai reçu un exemplaire du présent code de conduite rédigé dans une langue que je comprends.  Je comprends que si j'ai des questions sur le présent code de conduite, je peux contacter [indiquer le nom de la personne de contact de l’Entreprise ayant une expérience pertinente dans le traitement de la violence fondée sur le sexe] pour demander des explications.</w:t>
      </w:r>
    </w:p>
    <w:p w14:paraId="6C2D5B7A" w14:textId="77777777" w:rsidR="009021F1" w:rsidRPr="007E3D1A" w:rsidRDefault="009021F1" w:rsidP="009021F1">
      <w:pPr>
        <w:rPr>
          <w:rFonts w:cs="Arial"/>
          <w:sz w:val="22"/>
        </w:rPr>
      </w:pPr>
      <w:r w:rsidRPr="007E3D1A">
        <w:rPr>
          <w:rFonts w:cs="Arial"/>
          <w:sz w:val="22"/>
        </w:rPr>
        <w:t>Nom du personnel du contractant : [insérer le nom]</w:t>
      </w:r>
    </w:p>
    <w:p w14:paraId="231B44B8" w14:textId="77777777" w:rsidR="009021F1" w:rsidRPr="007E3D1A" w:rsidRDefault="009021F1" w:rsidP="009021F1">
      <w:pPr>
        <w:rPr>
          <w:rFonts w:cs="Arial"/>
          <w:sz w:val="22"/>
        </w:rPr>
      </w:pPr>
      <w:r w:rsidRPr="007E3D1A">
        <w:rPr>
          <w:rFonts w:cs="Arial"/>
          <w:sz w:val="22"/>
        </w:rPr>
        <w:t>Signature : ______________________________________________</w:t>
      </w:r>
    </w:p>
    <w:p w14:paraId="682801CF" w14:textId="77777777" w:rsidR="009021F1" w:rsidRPr="007E3D1A" w:rsidRDefault="009021F1" w:rsidP="009021F1">
      <w:pPr>
        <w:rPr>
          <w:rFonts w:cs="Arial"/>
          <w:sz w:val="22"/>
        </w:rPr>
      </w:pPr>
      <w:r w:rsidRPr="007E3D1A">
        <w:rPr>
          <w:rFonts w:cs="Arial"/>
          <w:sz w:val="22"/>
        </w:rPr>
        <w:t>Date : (jour mois année) : ______________________________________________</w:t>
      </w:r>
    </w:p>
    <w:p w14:paraId="61DA6087" w14:textId="77777777" w:rsidR="009021F1" w:rsidRPr="007E3D1A" w:rsidRDefault="009021F1" w:rsidP="009021F1">
      <w:pPr>
        <w:rPr>
          <w:rFonts w:cs="Arial"/>
          <w:sz w:val="22"/>
        </w:rPr>
      </w:pPr>
      <w:r w:rsidRPr="007E3D1A">
        <w:rPr>
          <w:rFonts w:cs="Arial"/>
          <w:sz w:val="22"/>
        </w:rPr>
        <w:t>Contre-signature du représentant autorisé du contractant :</w:t>
      </w:r>
    </w:p>
    <w:p w14:paraId="11B5FE53" w14:textId="77777777" w:rsidR="009021F1" w:rsidRPr="007E3D1A" w:rsidRDefault="009021F1" w:rsidP="009021F1">
      <w:pPr>
        <w:rPr>
          <w:rFonts w:cs="Arial"/>
          <w:sz w:val="22"/>
        </w:rPr>
      </w:pPr>
      <w:r w:rsidRPr="007E3D1A">
        <w:rPr>
          <w:rFonts w:cs="Arial"/>
          <w:sz w:val="22"/>
        </w:rPr>
        <w:t>Signature : ______________________________________________</w:t>
      </w:r>
    </w:p>
    <w:p w14:paraId="0DEA837B" w14:textId="77777777" w:rsidR="009021F1" w:rsidRPr="007E3D1A" w:rsidRDefault="009021F1" w:rsidP="009021F1">
      <w:pPr>
        <w:rPr>
          <w:rFonts w:cs="Arial"/>
          <w:sz w:val="22"/>
        </w:rPr>
      </w:pPr>
      <w:r w:rsidRPr="007E3D1A">
        <w:rPr>
          <w:rFonts w:cs="Arial"/>
          <w:sz w:val="22"/>
        </w:rPr>
        <w:t>Date : (jour mois année) : ______________________________________________</w:t>
      </w:r>
    </w:p>
    <w:p w14:paraId="78C2CA8A" w14:textId="77777777" w:rsidR="009021F1" w:rsidRPr="007E3D1A" w:rsidRDefault="009021F1" w:rsidP="009021F1">
      <w:pPr>
        <w:rPr>
          <w:rFonts w:cs="Arial"/>
          <w:sz w:val="22"/>
        </w:rPr>
      </w:pPr>
    </w:p>
    <w:p w14:paraId="63E10D90" w14:textId="77777777" w:rsidR="009021F1" w:rsidRPr="007E3D1A" w:rsidRDefault="009021F1" w:rsidP="009021F1">
      <w:pPr>
        <w:rPr>
          <w:rFonts w:cs="Arial"/>
          <w:sz w:val="22"/>
        </w:rPr>
      </w:pPr>
      <w:r w:rsidRPr="007E3D1A">
        <w:rPr>
          <w:rFonts w:cs="Arial"/>
          <w:sz w:val="22"/>
        </w:rPr>
        <w:t>Une copie du code de conduite en français doit être affichée dans un endroit facilement accessible par les communautés voisines et les personnes concernées par le projet.  Il doit au besoin être fourni dans des langues compréhensibles pour la communauté locale, le personnel de l’Entreprise (y compris les sous-traitants et les travailleurs journaliers), le personnel du Maître d’ouvrage projet, et les personnes potentiellement affectées.</w:t>
      </w:r>
    </w:p>
    <w:p w14:paraId="4BD229D9" w14:textId="77777777" w:rsidR="009021F1" w:rsidRPr="007E3D1A" w:rsidRDefault="009021F1" w:rsidP="009021F1">
      <w:pPr>
        <w:rPr>
          <w:rFonts w:cs="Arial"/>
          <w:sz w:val="22"/>
        </w:rPr>
      </w:pPr>
    </w:p>
    <w:p w14:paraId="589C502F" w14:textId="77777777" w:rsidR="009021F1" w:rsidRPr="007E3D1A" w:rsidRDefault="009021F1" w:rsidP="009021F1">
      <w:pPr>
        <w:rPr>
          <w:rFonts w:cs="Arial"/>
          <w:sz w:val="22"/>
        </w:rPr>
      </w:pPr>
      <w:r w:rsidRPr="007E3D1A">
        <w:rPr>
          <w:rFonts w:cs="Arial"/>
          <w:sz w:val="22"/>
        </w:rPr>
        <w:t>Mécanisme de Gestion des Griefs pour les Employés</w:t>
      </w:r>
    </w:p>
    <w:p w14:paraId="7FBCF98E" w14:textId="77777777" w:rsidR="009021F1" w:rsidRPr="007E3D1A" w:rsidRDefault="009021F1" w:rsidP="009021F1">
      <w:pPr>
        <w:rPr>
          <w:rFonts w:cs="Arial"/>
          <w:sz w:val="22"/>
        </w:rPr>
      </w:pPr>
    </w:p>
    <w:p w14:paraId="0FBEBEAA" w14:textId="77777777" w:rsidR="009021F1" w:rsidRPr="007E3D1A" w:rsidRDefault="009021F1" w:rsidP="009021F1">
      <w:pPr>
        <w:rPr>
          <w:rFonts w:cs="Arial"/>
          <w:sz w:val="22"/>
        </w:rPr>
      </w:pPr>
      <w:r w:rsidRPr="007E3D1A">
        <w:rPr>
          <w:rFonts w:cs="Arial"/>
          <w:sz w:val="22"/>
        </w:rPr>
        <w:t>L’Entreprise mettra en place un mécanisme de gestion des griefs pour ses employés et les employés de leurs sous-traitants qui sera proportionnel à leur effectif.  Ce mécanisme de gestion des griefs sera distinct du mécanisme de gestion des griefs au niveau du projet et respectera les principes suivants :</w:t>
      </w:r>
    </w:p>
    <w:p w14:paraId="23A53FD3" w14:textId="77777777" w:rsidR="009021F1" w:rsidRPr="007E3D1A" w:rsidRDefault="009021F1" w:rsidP="009021F1">
      <w:pPr>
        <w:rPr>
          <w:rFonts w:cs="Arial"/>
          <w:sz w:val="22"/>
        </w:rPr>
      </w:pPr>
      <w:r w:rsidRPr="007E3D1A">
        <w:rPr>
          <w:rFonts w:cs="Arial"/>
          <w:sz w:val="22"/>
        </w:rPr>
        <w:t>Fourniture d'informations.  Tous les employés doivent être informés sur le mécanisme de gestion des griefs au moment de leur embauche, et les détails sur son fonctionnement doivent être facilement accessibles, par exemple, dans la documentation fourniers aux employés ou sur les tableaux d'affichage.</w:t>
      </w:r>
    </w:p>
    <w:p w14:paraId="158E40BF" w14:textId="77777777" w:rsidR="009021F1" w:rsidRPr="007E3D1A" w:rsidRDefault="009021F1" w:rsidP="009021F1">
      <w:pPr>
        <w:rPr>
          <w:rFonts w:cs="Arial"/>
          <w:sz w:val="22"/>
        </w:rPr>
      </w:pPr>
    </w:p>
    <w:p w14:paraId="0D56909E" w14:textId="77777777" w:rsidR="009021F1" w:rsidRPr="007E3D1A" w:rsidRDefault="009021F1" w:rsidP="009021F1">
      <w:pPr>
        <w:rPr>
          <w:rFonts w:cs="Arial"/>
          <w:sz w:val="22"/>
        </w:rPr>
      </w:pPr>
      <w:r w:rsidRPr="007E3D1A">
        <w:rPr>
          <w:rFonts w:cs="Arial"/>
          <w:sz w:val="22"/>
        </w:rPr>
        <w:t>Transparence du processus.  Les ouvriers doivent savoir à qui ils peuvent s'adresser en cas de grief, et être informé du soutien et des sources de conseil qui sont à leur disposition.  Tous les cadres hiérarchiques et supérieurs doivent connaître le mécanisme de gestion des griefs de leur organisation.</w:t>
      </w:r>
    </w:p>
    <w:p w14:paraId="4CF6BDD6" w14:textId="77777777" w:rsidR="009021F1" w:rsidRPr="007E3D1A" w:rsidRDefault="009021F1" w:rsidP="009021F1">
      <w:pPr>
        <w:rPr>
          <w:rFonts w:cs="Arial"/>
          <w:sz w:val="22"/>
        </w:rPr>
      </w:pPr>
    </w:p>
    <w:p w14:paraId="30DD9CAD" w14:textId="77777777" w:rsidR="009021F1" w:rsidRPr="007E3D1A" w:rsidRDefault="009021F1" w:rsidP="009021F1">
      <w:pPr>
        <w:rPr>
          <w:rFonts w:cs="Arial"/>
          <w:sz w:val="22"/>
        </w:rPr>
      </w:pPr>
      <w:r w:rsidRPr="007E3D1A">
        <w:rPr>
          <w:rFonts w:cs="Arial"/>
          <w:sz w:val="22"/>
        </w:rPr>
        <w:t>Mise à jour.  Le mécanisme doit être régulièrement revue et mis à jour, par exemple en faisant référence à toute nouvelle directive statutaire, à tout changement de contrat ou de représentation.</w:t>
      </w:r>
    </w:p>
    <w:p w14:paraId="40D05BD5" w14:textId="77777777" w:rsidR="009021F1" w:rsidRPr="007E3D1A" w:rsidRDefault="009021F1" w:rsidP="009021F1">
      <w:pPr>
        <w:rPr>
          <w:rFonts w:cs="Arial"/>
          <w:sz w:val="22"/>
        </w:rPr>
      </w:pPr>
    </w:p>
    <w:p w14:paraId="145FE30F" w14:textId="77777777" w:rsidR="009021F1" w:rsidRPr="007E3D1A" w:rsidRDefault="009021F1" w:rsidP="009021F1">
      <w:pPr>
        <w:rPr>
          <w:rFonts w:cs="Arial"/>
          <w:sz w:val="22"/>
        </w:rPr>
      </w:pPr>
      <w:r w:rsidRPr="007E3D1A">
        <w:rPr>
          <w:rFonts w:cs="Arial"/>
          <w:sz w:val="22"/>
        </w:rPr>
        <w:t>Confidentialité. Le mécanisme doit garantir que les plaintes sont traitées de manière confidentielle.  Si les procédures spécifient que les plaintes doivent d'abord être adressées au supérieur hiérarchique, il doit également être possible de porter plainte en premier lieu auprès d'un autre responsable, par exemple le responsable des ressources humaines.</w:t>
      </w:r>
    </w:p>
    <w:p w14:paraId="3D966069" w14:textId="77777777" w:rsidR="009021F1" w:rsidRPr="007E3D1A" w:rsidRDefault="009021F1" w:rsidP="009021F1">
      <w:pPr>
        <w:rPr>
          <w:rFonts w:cs="Arial"/>
          <w:sz w:val="22"/>
        </w:rPr>
      </w:pPr>
      <w:r w:rsidRPr="007E3D1A">
        <w:rPr>
          <w:rFonts w:cs="Arial"/>
          <w:sz w:val="22"/>
        </w:rPr>
        <w:t>Représailles.  Le mécanisme doit garantir que tout employé sera à l’abri de toutes formes de représailles.</w:t>
      </w:r>
    </w:p>
    <w:p w14:paraId="4CFD6B32" w14:textId="77777777" w:rsidR="009021F1" w:rsidRPr="007E3D1A" w:rsidRDefault="009021F1" w:rsidP="009021F1">
      <w:pPr>
        <w:rPr>
          <w:rFonts w:cs="Arial"/>
          <w:sz w:val="22"/>
        </w:rPr>
      </w:pPr>
    </w:p>
    <w:p w14:paraId="310628D8" w14:textId="77777777" w:rsidR="009021F1" w:rsidRPr="007E3D1A" w:rsidRDefault="009021F1" w:rsidP="009021F1">
      <w:pPr>
        <w:rPr>
          <w:rFonts w:cs="Arial"/>
          <w:sz w:val="22"/>
        </w:rPr>
      </w:pPr>
      <w:r w:rsidRPr="007E3D1A">
        <w:rPr>
          <w:rFonts w:cs="Arial"/>
          <w:sz w:val="22"/>
        </w:rPr>
        <w:t>Délais raisonnables.  Le mécanisme doit indiquer le temps requis pour examiner les plaintes de manière approfondie, mais doit aussi viser à une résolution rapide.  Plus la durée de la procédure est longue, plus il peut être difficile pour les deux parties de revenir à la normale par la suite.  Des délais doivent être fixés pour chaque étape de la procédure, par exemple, un délai maximum entre le moment où une plainte est communiquée et la tenue d'une réunion pour l'examiner.</w:t>
      </w:r>
    </w:p>
    <w:p w14:paraId="5459AB7A" w14:textId="77777777" w:rsidR="009021F1" w:rsidRPr="007E3D1A" w:rsidRDefault="009021F1" w:rsidP="009021F1">
      <w:pPr>
        <w:rPr>
          <w:rFonts w:cs="Arial"/>
          <w:sz w:val="22"/>
        </w:rPr>
      </w:pPr>
    </w:p>
    <w:p w14:paraId="0F144C54" w14:textId="77777777" w:rsidR="009021F1" w:rsidRPr="007E3D1A" w:rsidRDefault="009021F1" w:rsidP="009021F1">
      <w:pPr>
        <w:rPr>
          <w:rFonts w:cs="Arial"/>
          <w:sz w:val="22"/>
        </w:rPr>
      </w:pPr>
      <w:r w:rsidRPr="007E3D1A">
        <w:rPr>
          <w:rFonts w:cs="Arial"/>
          <w:sz w:val="22"/>
        </w:rPr>
        <w:t>Droit de recours. Un employé doit pouvoir faire appel auprès de la Banque mondiale ou des tribunaux nationaux, s'il n'est pas satisfait de la conclusion initiale.</w:t>
      </w:r>
    </w:p>
    <w:p w14:paraId="18C0E04D" w14:textId="77777777" w:rsidR="009021F1" w:rsidRPr="007E3D1A" w:rsidRDefault="009021F1" w:rsidP="009021F1">
      <w:pPr>
        <w:rPr>
          <w:rFonts w:cs="Arial"/>
          <w:sz w:val="22"/>
        </w:rPr>
      </w:pPr>
      <w:r w:rsidRPr="007E3D1A">
        <w:rPr>
          <w:rFonts w:cs="Arial"/>
          <w:sz w:val="22"/>
        </w:rPr>
        <w:t>Droit d'être accompagné.  Lors de toute réunion ou audience, l’employé doit avoir le droit d'être accompagné par un collègue, un ami ou un représentant syndical.</w:t>
      </w:r>
    </w:p>
    <w:p w14:paraId="3A699CC6" w14:textId="77777777" w:rsidR="009021F1" w:rsidRPr="007E3D1A" w:rsidRDefault="009021F1" w:rsidP="009021F1">
      <w:pPr>
        <w:rPr>
          <w:rFonts w:cs="Arial"/>
          <w:sz w:val="22"/>
        </w:rPr>
      </w:pPr>
    </w:p>
    <w:p w14:paraId="00B0379E" w14:textId="77777777" w:rsidR="009021F1" w:rsidRPr="007E3D1A" w:rsidRDefault="009021F1" w:rsidP="009021F1">
      <w:pPr>
        <w:rPr>
          <w:rFonts w:cs="Arial"/>
          <w:sz w:val="22"/>
        </w:rPr>
      </w:pPr>
      <w:r w:rsidRPr="007E3D1A">
        <w:rPr>
          <w:rFonts w:cs="Arial"/>
          <w:sz w:val="22"/>
        </w:rPr>
        <w:t>Maintien d’un registre. Un registre écrit doit être tenu afin de documenter tous les stades de la gestion d’une plainte, notamment une copie de la plainte initiale, la réponse de l’Entreprise, les notes de toute réunion, les conclusions et les raisons de ces conclusions.  Tout dossier relatif à l’exploitation sexuelle ou l’abus sexuel doit être enregistré séparément et sous la plus stricte confidentialité.</w:t>
      </w:r>
    </w:p>
    <w:p w14:paraId="03525A28" w14:textId="77777777" w:rsidR="009021F1" w:rsidRPr="007E3D1A" w:rsidRDefault="009021F1" w:rsidP="009021F1">
      <w:pPr>
        <w:rPr>
          <w:rFonts w:cs="Arial"/>
          <w:sz w:val="22"/>
        </w:rPr>
      </w:pPr>
    </w:p>
    <w:p w14:paraId="09595507" w14:textId="77777777" w:rsidR="009021F1" w:rsidRPr="007E3D1A" w:rsidRDefault="009021F1" w:rsidP="009021F1">
      <w:pPr>
        <w:rPr>
          <w:rFonts w:cs="Arial"/>
          <w:sz w:val="22"/>
        </w:rPr>
      </w:pPr>
      <w:r w:rsidRPr="007E3D1A">
        <w:rPr>
          <w:rFonts w:cs="Arial"/>
          <w:sz w:val="22"/>
        </w:rPr>
        <w:t>Relation avec les conventions collectives. Les procédures de réclamation doivent être conformes à toute convention collective.</w:t>
      </w:r>
    </w:p>
    <w:p w14:paraId="431F97C3" w14:textId="77777777" w:rsidR="009021F1" w:rsidRPr="007E3D1A" w:rsidRDefault="009021F1" w:rsidP="009021F1">
      <w:pPr>
        <w:rPr>
          <w:rFonts w:cs="Arial"/>
          <w:sz w:val="22"/>
        </w:rPr>
      </w:pPr>
    </w:p>
    <w:p w14:paraId="2E0DF778" w14:textId="77777777" w:rsidR="009021F1" w:rsidRPr="007E3D1A" w:rsidRDefault="009021F1" w:rsidP="009021F1">
      <w:pPr>
        <w:rPr>
          <w:rFonts w:cs="Arial"/>
          <w:sz w:val="22"/>
        </w:rPr>
      </w:pPr>
      <w:r w:rsidRPr="007E3D1A">
        <w:rPr>
          <w:rFonts w:cs="Arial"/>
          <w:sz w:val="22"/>
        </w:rPr>
        <w:t>Relation avec la réglementation. Le mécanisme de gestion des griefs doit être conforme avec le code national du travail.</w:t>
      </w:r>
    </w:p>
    <w:p w14:paraId="68DB78FA" w14:textId="77777777" w:rsidR="009021F1" w:rsidRPr="007E3D1A" w:rsidRDefault="009021F1" w:rsidP="009021F1">
      <w:pPr>
        <w:rPr>
          <w:rFonts w:cs="Arial"/>
          <w:sz w:val="22"/>
        </w:rPr>
      </w:pPr>
    </w:p>
    <w:p w14:paraId="46BD0C7A" w14:textId="77777777" w:rsidR="009021F1" w:rsidRPr="007E3D1A" w:rsidRDefault="009021F1" w:rsidP="009021F1">
      <w:pPr>
        <w:rPr>
          <w:rFonts w:cs="Arial"/>
          <w:sz w:val="22"/>
        </w:rPr>
      </w:pPr>
      <w:r w:rsidRPr="007E3D1A">
        <w:rPr>
          <w:rFonts w:cs="Arial"/>
          <w:sz w:val="22"/>
        </w:rPr>
        <w:t>Gestion de la Circulation Routière</w:t>
      </w:r>
    </w:p>
    <w:p w14:paraId="5D946F3F" w14:textId="77777777" w:rsidR="009021F1" w:rsidRPr="007E3D1A" w:rsidRDefault="009021F1" w:rsidP="009021F1">
      <w:pPr>
        <w:rPr>
          <w:rFonts w:cs="Arial"/>
          <w:sz w:val="22"/>
        </w:rPr>
      </w:pPr>
    </w:p>
    <w:p w14:paraId="227CB64E" w14:textId="77777777" w:rsidR="009021F1" w:rsidRPr="007E3D1A" w:rsidRDefault="009021F1" w:rsidP="009021F1">
      <w:pPr>
        <w:rPr>
          <w:rFonts w:cs="Arial"/>
          <w:sz w:val="22"/>
        </w:rPr>
      </w:pPr>
      <w:r w:rsidRPr="007E3D1A">
        <w:rPr>
          <w:rFonts w:cs="Arial"/>
          <w:sz w:val="22"/>
        </w:rPr>
        <w:t>L’Entreprise assurera la sécurité de la circulation de tout le personnel du projet pendant les déplacements vers et depuis le lieu de travail, et pendant l'exploitation des équipements du projet sur les routes privées ou publiques.  À ce titre, l’Entreprise doit appliquer les bonnes pratiques en matière de sécurité routière à l’ensemble de ses activités, afin de prévenir les accidents de la circulation et de réduire au minimum les blessures subies par le personnel du projet et le public</w:t>
      </w:r>
    </w:p>
    <w:p w14:paraId="256A8FD3" w14:textId="77777777" w:rsidR="009021F1" w:rsidRPr="007E3D1A" w:rsidRDefault="009021F1" w:rsidP="009021F1">
      <w:pPr>
        <w:rPr>
          <w:rFonts w:cs="Arial"/>
          <w:sz w:val="22"/>
        </w:rPr>
      </w:pPr>
    </w:p>
    <w:p w14:paraId="041C620E" w14:textId="77777777" w:rsidR="009021F1" w:rsidRPr="007E3D1A" w:rsidRDefault="009021F1" w:rsidP="009021F1">
      <w:pPr>
        <w:rPr>
          <w:rFonts w:cs="Arial"/>
          <w:sz w:val="22"/>
        </w:rPr>
      </w:pPr>
      <w:r w:rsidRPr="007E3D1A">
        <w:rPr>
          <w:rFonts w:cs="Arial"/>
          <w:sz w:val="22"/>
        </w:rPr>
        <w:t>Sécurité routière au niveau de l’Entreprise</w:t>
      </w:r>
    </w:p>
    <w:p w14:paraId="4FEA62BD" w14:textId="77777777" w:rsidR="009021F1" w:rsidRPr="007E3D1A" w:rsidRDefault="009021F1" w:rsidP="009021F1">
      <w:pPr>
        <w:rPr>
          <w:rFonts w:cs="Arial"/>
          <w:sz w:val="22"/>
        </w:rPr>
      </w:pPr>
    </w:p>
    <w:p w14:paraId="6DDADA94" w14:textId="77777777" w:rsidR="009021F1" w:rsidRPr="007E3D1A" w:rsidRDefault="009021F1" w:rsidP="009021F1">
      <w:pPr>
        <w:rPr>
          <w:rFonts w:cs="Arial"/>
          <w:sz w:val="22"/>
        </w:rPr>
      </w:pPr>
      <w:r w:rsidRPr="007E3D1A">
        <w:rPr>
          <w:rFonts w:cs="Arial"/>
          <w:sz w:val="22"/>
        </w:rPr>
        <w:t>L’Entreprise doit :</w:t>
      </w:r>
    </w:p>
    <w:p w14:paraId="00004B84" w14:textId="77777777" w:rsidR="009021F1" w:rsidRPr="007E3D1A" w:rsidRDefault="009021F1" w:rsidP="009021F1">
      <w:pPr>
        <w:rPr>
          <w:rFonts w:cs="Arial"/>
          <w:sz w:val="22"/>
        </w:rPr>
      </w:pPr>
    </w:p>
    <w:p w14:paraId="265DC239" w14:textId="77777777" w:rsidR="009021F1" w:rsidRPr="007E3D1A" w:rsidRDefault="009021F1" w:rsidP="009021F1">
      <w:pPr>
        <w:rPr>
          <w:rFonts w:cs="Arial"/>
          <w:sz w:val="22"/>
        </w:rPr>
      </w:pPr>
      <w:r w:rsidRPr="007E3D1A">
        <w:rPr>
          <w:rFonts w:cs="Arial"/>
          <w:sz w:val="22"/>
        </w:rPr>
        <w:t>Exiger le permis de conduire pour toute personne conduisant un véhicule de l’Entreprise</w:t>
      </w:r>
    </w:p>
    <w:p w14:paraId="75F0D22E" w14:textId="77777777" w:rsidR="009021F1" w:rsidRPr="007E3D1A" w:rsidRDefault="009021F1" w:rsidP="009021F1">
      <w:pPr>
        <w:rPr>
          <w:rFonts w:cs="Arial"/>
          <w:sz w:val="22"/>
        </w:rPr>
      </w:pPr>
      <w:r w:rsidRPr="007E3D1A">
        <w:rPr>
          <w:rFonts w:cs="Arial"/>
          <w:sz w:val="22"/>
        </w:rPr>
        <w:t>Former tous les conducteurs de l’Entreprise à la conduite préventive avant qu’ils ne commencent leur travail ;</w:t>
      </w:r>
    </w:p>
    <w:p w14:paraId="32BC35A8" w14:textId="77777777" w:rsidR="009021F1" w:rsidRPr="007E3D1A" w:rsidRDefault="009021F1" w:rsidP="009021F1">
      <w:pPr>
        <w:rPr>
          <w:rFonts w:cs="Arial"/>
          <w:sz w:val="22"/>
        </w:rPr>
      </w:pPr>
      <w:r w:rsidRPr="007E3D1A">
        <w:rPr>
          <w:rFonts w:cs="Arial"/>
          <w:sz w:val="22"/>
        </w:rPr>
        <w:t>Adopter des limites pour la durée des trajets et établir un suivi documenté des conducteurs pour éviter la fatigue excessive ;</w:t>
      </w:r>
    </w:p>
    <w:p w14:paraId="79634D1D" w14:textId="77777777" w:rsidR="009021F1" w:rsidRPr="007E3D1A" w:rsidRDefault="009021F1" w:rsidP="009021F1">
      <w:pPr>
        <w:rPr>
          <w:rFonts w:cs="Arial"/>
          <w:sz w:val="22"/>
        </w:rPr>
      </w:pPr>
      <w:r w:rsidRPr="007E3D1A">
        <w:rPr>
          <w:rFonts w:cs="Arial"/>
          <w:sz w:val="22"/>
        </w:rPr>
        <w:t>Éviter les itinéraires et les moments dangereux de la journée pour réduire le risque d'accident</w:t>
      </w:r>
    </w:p>
    <w:p w14:paraId="71923EA1" w14:textId="77777777" w:rsidR="009021F1" w:rsidRPr="007E3D1A" w:rsidRDefault="009021F1" w:rsidP="009021F1">
      <w:pPr>
        <w:rPr>
          <w:rFonts w:cs="Arial"/>
          <w:sz w:val="22"/>
        </w:rPr>
      </w:pPr>
      <w:r w:rsidRPr="007E3D1A">
        <w:rPr>
          <w:rFonts w:cs="Arial"/>
          <w:sz w:val="22"/>
        </w:rPr>
        <w:t>Utiliser des dispositifs de contrôle de la vitesse (régulateurs) sur les camions, et des dispositifs de surveillance à distance des actions des conducteurs ;</w:t>
      </w:r>
    </w:p>
    <w:p w14:paraId="12799250" w14:textId="77777777" w:rsidR="009021F1" w:rsidRPr="007E3D1A" w:rsidRDefault="009021F1" w:rsidP="009021F1">
      <w:pPr>
        <w:rPr>
          <w:rFonts w:cs="Arial"/>
          <w:sz w:val="22"/>
        </w:rPr>
      </w:pPr>
      <w:r w:rsidRPr="007E3D1A">
        <w:rPr>
          <w:rFonts w:cs="Arial"/>
          <w:sz w:val="22"/>
        </w:rPr>
        <w:t>Exiger le port de la ceinture de sécurité par les conducteurs et les passagers.  Les contrevenants seront sanctionnés ;</w:t>
      </w:r>
    </w:p>
    <w:p w14:paraId="5CEEC939" w14:textId="77777777" w:rsidR="009021F1" w:rsidRPr="007E3D1A" w:rsidRDefault="009021F1" w:rsidP="009021F1">
      <w:pPr>
        <w:rPr>
          <w:rFonts w:cs="Arial"/>
          <w:sz w:val="22"/>
        </w:rPr>
      </w:pPr>
      <w:r w:rsidRPr="007E3D1A">
        <w:rPr>
          <w:rFonts w:cs="Arial"/>
          <w:sz w:val="22"/>
        </w:rPr>
        <w:t>Entretenir régulièrement les véhicules, et utiliser de pièces approuvées par le constructeur afin de réduire au minimum les accidents potentiellement graves causés par un mauvais fonctionnement ou une défaillance prématurée des équipements ;</w:t>
      </w:r>
    </w:p>
    <w:p w14:paraId="4FAA7875" w14:textId="77777777" w:rsidR="009021F1" w:rsidRPr="007E3D1A" w:rsidRDefault="009021F1" w:rsidP="009021F1">
      <w:pPr>
        <w:rPr>
          <w:rFonts w:cs="Arial"/>
          <w:sz w:val="22"/>
        </w:rPr>
      </w:pPr>
      <w:r w:rsidRPr="007E3D1A">
        <w:rPr>
          <w:rFonts w:cs="Arial"/>
          <w:sz w:val="22"/>
        </w:rPr>
        <w:t>Se conformer aux prescriptions du code de la route en vigueur en RDC, notamment en ce qui concerne le poids des véhicules en charge ;</w:t>
      </w:r>
    </w:p>
    <w:p w14:paraId="59DBF7CB" w14:textId="77777777" w:rsidR="009021F1" w:rsidRPr="007E3D1A" w:rsidRDefault="009021F1" w:rsidP="009021F1">
      <w:pPr>
        <w:rPr>
          <w:rFonts w:cs="Arial"/>
          <w:sz w:val="22"/>
        </w:rPr>
      </w:pPr>
      <w:r w:rsidRPr="007E3D1A">
        <w:rPr>
          <w:rFonts w:cs="Arial"/>
          <w:sz w:val="22"/>
        </w:rPr>
        <w:t>Limiter l’accès au chantier aux matériels strictement indispensables ;</w:t>
      </w:r>
    </w:p>
    <w:p w14:paraId="66BE1809" w14:textId="77777777" w:rsidR="009021F1" w:rsidRPr="007E3D1A" w:rsidRDefault="009021F1" w:rsidP="009021F1">
      <w:pPr>
        <w:rPr>
          <w:rFonts w:cs="Arial"/>
          <w:sz w:val="22"/>
        </w:rPr>
      </w:pPr>
      <w:r w:rsidRPr="007E3D1A">
        <w:rPr>
          <w:rFonts w:cs="Arial"/>
          <w:sz w:val="22"/>
        </w:rPr>
        <w:t>Interdire de circuler avec des engins de chantier en dehors des accès, des lieux de passage désignés et des aires de travail ;</w:t>
      </w:r>
    </w:p>
    <w:p w14:paraId="25AD03B0" w14:textId="77777777" w:rsidR="009021F1" w:rsidRPr="007E3D1A" w:rsidRDefault="009021F1" w:rsidP="009021F1">
      <w:pPr>
        <w:rPr>
          <w:rFonts w:cs="Arial"/>
          <w:sz w:val="22"/>
        </w:rPr>
      </w:pPr>
      <w:r w:rsidRPr="007E3D1A">
        <w:rPr>
          <w:rFonts w:cs="Arial"/>
          <w:sz w:val="22"/>
        </w:rPr>
        <w:t>Limiter de manière rigoureuse la vitesse pour tous les véhicules de chantier circulant sur la voie publique, avec un maximum de 60 km/h en rase campagne et 40 km/h au niveau des agglomérations et à la traversée des villages.  Les conducteurs dépassant ces limites feront l’objet de mesures disciplinaires pouvant aller jusqu’au licenciement ; et</w:t>
      </w:r>
    </w:p>
    <w:p w14:paraId="7973386C" w14:textId="77777777" w:rsidR="009021F1" w:rsidRPr="007E3D1A" w:rsidRDefault="009021F1" w:rsidP="009021F1">
      <w:pPr>
        <w:rPr>
          <w:rFonts w:cs="Arial"/>
          <w:sz w:val="22"/>
        </w:rPr>
      </w:pPr>
      <w:r w:rsidRPr="007E3D1A">
        <w:rPr>
          <w:rFonts w:cs="Arial"/>
          <w:sz w:val="22"/>
        </w:rPr>
        <w:t>Éviter toute circulation lourde et toute surcharge lors du démantèlement d’ouvrages en milieux instables afin de ne pas accentuer l’instabilité du sol.</w:t>
      </w:r>
    </w:p>
    <w:p w14:paraId="54487DFF" w14:textId="77777777" w:rsidR="009021F1" w:rsidRPr="007E3D1A" w:rsidRDefault="009021F1" w:rsidP="009021F1">
      <w:pPr>
        <w:rPr>
          <w:rFonts w:cs="Arial"/>
          <w:sz w:val="22"/>
        </w:rPr>
      </w:pPr>
    </w:p>
    <w:p w14:paraId="7C1675BA" w14:textId="77777777" w:rsidR="009021F1" w:rsidRPr="007E3D1A" w:rsidRDefault="009021F1" w:rsidP="009021F1">
      <w:pPr>
        <w:rPr>
          <w:rFonts w:cs="Arial"/>
          <w:sz w:val="22"/>
        </w:rPr>
      </w:pPr>
      <w:r w:rsidRPr="007E3D1A">
        <w:rPr>
          <w:rFonts w:cs="Arial"/>
          <w:sz w:val="22"/>
        </w:rPr>
        <w:t>Sécurité routière des communautés</w:t>
      </w:r>
    </w:p>
    <w:p w14:paraId="04AF5576" w14:textId="77777777" w:rsidR="009021F1" w:rsidRPr="007E3D1A" w:rsidRDefault="009021F1" w:rsidP="009021F1">
      <w:pPr>
        <w:rPr>
          <w:rFonts w:cs="Arial"/>
          <w:sz w:val="22"/>
        </w:rPr>
      </w:pPr>
    </w:p>
    <w:p w14:paraId="556E5121" w14:textId="77777777" w:rsidR="009021F1" w:rsidRPr="007E3D1A" w:rsidRDefault="009021F1" w:rsidP="009021F1">
      <w:pPr>
        <w:rPr>
          <w:rFonts w:cs="Arial"/>
          <w:sz w:val="22"/>
        </w:rPr>
      </w:pPr>
      <w:r w:rsidRPr="007E3D1A">
        <w:rPr>
          <w:rFonts w:cs="Arial"/>
          <w:sz w:val="22"/>
        </w:rPr>
        <w:t>L’Entreprise doit :</w:t>
      </w:r>
    </w:p>
    <w:p w14:paraId="042B40D9" w14:textId="77777777" w:rsidR="009021F1" w:rsidRPr="007E3D1A" w:rsidRDefault="009021F1" w:rsidP="009021F1">
      <w:pPr>
        <w:rPr>
          <w:rFonts w:cs="Arial"/>
          <w:sz w:val="22"/>
        </w:rPr>
      </w:pPr>
    </w:p>
    <w:p w14:paraId="0A6380DA" w14:textId="77777777" w:rsidR="009021F1" w:rsidRPr="007E3D1A" w:rsidRDefault="009021F1" w:rsidP="009021F1">
      <w:pPr>
        <w:rPr>
          <w:rFonts w:cs="Arial"/>
          <w:sz w:val="22"/>
        </w:rPr>
      </w:pPr>
      <w:r w:rsidRPr="007E3D1A">
        <w:rPr>
          <w:rFonts w:cs="Arial"/>
          <w:sz w:val="22"/>
        </w:rPr>
        <w:t>Ajuster faire approuver par le Maître d’Ouvrage délégué l'horaire et l'itinéraire des véhicules lourds qui doivent traverser des zones d'habitation, de façon à réduire les nuisances (bruit, poussière, et congestion) ;</w:t>
      </w:r>
    </w:p>
    <w:p w14:paraId="2652F1A1" w14:textId="77777777" w:rsidR="009021F1" w:rsidRPr="007E3D1A" w:rsidRDefault="009021F1" w:rsidP="009021F1">
      <w:pPr>
        <w:rPr>
          <w:rFonts w:cs="Arial"/>
          <w:sz w:val="22"/>
        </w:rPr>
      </w:pPr>
      <w:r w:rsidRPr="007E3D1A">
        <w:rPr>
          <w:rFonts w:cs="Arial"/>
          <w:sz w:val="22"/>
        </w:rPr>
        <w:t>Réduire au minimum les interactions entre les piétons et les véhicules du chantier, en particulier au niveau des écoles et des marchés, grâce à une signalisation appropriée, des sentiers aménagés, ou des dispositifs de ralentissement de la circulation tels les dos d’ânes ;</w:t>
      </w:r>
    </w:p>
    <w:p w14:paraId="570C7D70" w14:textId="77777777" w:rsidR="009021F1" w:rsidRPr="007E3D1A" w:rsidRDefault="009021F1" w:rsidP="009021F1">
      <w:pPr>
        <w:rPr>
          <w:rFonts w:cs="Arial"/>
          <w:sz w:val="22"/>
        </w:rPr>
      </w:pPr>
      <w:r w:rsidRPr="007E3D1A">
        <w:rPr>
          <w:rFonts w:cs="Arial"/>
          <w:sz w:val="22"/>
        </w:rPr>
        <w:t>Collaborer avec les communautés voisines et les autorités responsables afin d’améliorer la signalisation, la visibilité de la circulation routière, et la sécurité générale des routes d'accès, en particulier le long des tronçons situés près des écoles ou d'autres endroits où les enfants peuvent être présents ;</w:t>
      </w:r>
    </w:p>
    <w:p w14:paraId="15350443" w14:textId="77777777" w:rsidR="009021F1" w:rsidRPr="007E3D1A" w:rsidRDefault="009021F1" w:rsidP="009021F1">
      <w:pPr>
        <w:rPr>
          <w:rFonts w:cs="Arial"/>
          <w:sz w:val="22"/>
        </w:rPr>
      </w:pPr>
      <w:r w:rsidRPr="007E3D1A">
        <w:rPr>
          <w:rFonts w:cs="Arial"/>
          <w:sz w:val="22"/>
        </w:rPr>
        <w:t>Utiliser des mesures de contrôle de la circulation sécuritaires, notamment des panneaux de signalisation et des porteurs de drapeaux pour avertir des conditions dangereuses ;</w:t>
      </w:r>
    </w:p>
    <w:p w14:paraId="2DF13843" w14:textId="77777777" w:rsidR="009021F1" w:rsidRPr="007E3D1A" w:rsidRDefault="009021F1" w:rsidP="009021F1">
      <w:pPr>
        <w:rPr>
          <w:rFonts w:cs="Arial"/>
          <w:sz w:val="22"/>
        </w:rPr>
      </w:pPr>
      <w:r w:rsidRPr="007E3D1A">
        <w:rPr>
          <w:rFonts w:cs="Arial"/>
          <w:sz w:val="22"/>
        </w:rPr>
        <w:t>Éviter d’obstruer les accès publics, afin de maintenir en permanence la circulation et l’accès des riverains en cours de travaux ;</w:t>
      </w:r>
    </w:p>
    <w:p w14:paraId="1A08257A" w14:textId="77777777" w:rsidR="009021F1" w:rsidRPr="007E3D1A" w:rsidRDefault="009021F1" w:rsidP="009021F1">
      <w:pPr>
        <w:rPr>
          <w:rFonts w:cs="Arial"/>
          <w:sz w:val="22"/>
        </w:rPr>
      </w:pPr>
      <w:r w:rsidRPr="007E3D1A">
        <w:rPr>
          <w:rFonts w:cs="Arial"/>
          <w:sz w:val="22"/>
        </w:rPr>
        <w:t>Identifier avec le Maître d'Ouvrage délégué et les autorités locales les dispositions requises pour maintenir l’accès par les services publics tels la police, les pompiers, et les ambulances ;</w:t>
      </w:r>
    </w:p>
    <w:p w14:paraId="45928992" w14:textId="77777777" w:rsidR="009021F1" w:rsidRPr="007E3D1A" w:rsidRDefault="009021F1" w:rsidP="009021F1">
      <w:pPr>
        <w:rPr>
          <w:rFonts w:cs="Arial"/>
          <w:sz w:val="22"/>
        </w:rPr>
      </w:pPr>
      <w:r w:rsidRPr="007E3D1A">
        <w:rPr>
          <w:rFonts w:cs="Arial"/>
          <w:sz w:val="22"/>
        </w:rPr>
        <w:t>Assurer l’accès aux propriétés riveraines, ainsi que la jouissance des entrées charretières et piétonnes, des vitrines d’exposition, au moyen de ponts provisoires ou passerelles munis de garde-corps, placés au-dessus des tranchées ou autres obstacles créés par les travaux ;</w:t>
      </w:r>
    </w:p>
    <w:p w14:paraId="21B46E1F" w14:textId="77777777" w:rsidR="009021F1" w:rsidRPr="007E3D1A" w:rsidRDefault="009021F1" w:rsidP="009021F1">
      <w:pPr>
        <w:rPr>
          <w:rFonts w:cs="Arial"/>
          <w:sz w:val="22"/>
        </w:rPr>
      </w:pPr>
      <w:r w:rsidRPr="007E3D1A">
        <w:rPr>
          <w:rFonts w:cs="Arial"/>
          <w:sz w:val="22"/>
        </w:rPr>
        <w:t>Veiller à ce qu’aucune fouille ou tranchée ne reste ouverte la nuit, sans signalisation adéquate acceptée par le Maître d’Ouvrage délégué ;</w:t>
      </w:r>
    </w:p>
    <w:p w14:paraId="21F16B10" w14:textId="77777777" w:rsidR="009021F1" w:rsidRPr="007E3D1A" w:rsidRDefault="009021F1" w:rsidP="009021F1">
      <w:pPr>
        <w:rPr>
          <w:rFonts w:cs="Arial"/>
          <w:sz w:val="22"/>
        </w:rPr>
      </w:pPr>
      <w:r w:rsidRPr="007E3D1A">
        <w:rPr>
          <w:rFonts w:cs="Arial"/>
          <w:sz w:val="22"/>
        </w:rPr>
        <w:t>Veiller à ce que les déviations provisoires permettent une circulation facile et sans danger ; et</w:t>
      </w:r>
    </w:p>
    <w:p w14:paraId="45A50972" w14:textId="77777777" w:rsidR="009021F1" w:rsidRPr="007E3D1A" w:rsidRDefault="009021F1" w:rsidP="009021F1">
      <w:pPr>
        <w:rPr>
          <w:rFonts w:cs="Arial"/>
          <w:sz w:val="22"/>
        </w:rPr>
      </w:pPr>
      <w:r w:rsidRPr="007E3D1A">
        <w:rPr>
          <w:rFonts w:cs="Arial"/>
          <w:sz w:val="22"/>
        </w:rPr>
        <w:t>Obtenir l’accord préalable des autorités avant d’utiliser des routes locales comme route de déviation. L’entreprise doit maintenir ces routes locales afin d’éviter leur dégradation prématurée, et les remettre à leur état original à la fin des travaux.</w:t>
      </w:r>
    </w:p>
    <w:p w14:paraId="676842F0" w14:textId="77777777" w:rsidR="009021F1" w:rsidRPr="007E3D1A" w:rsidRDefault="009021F1" w:rsidP="009021F1">
      <w:pPr>
        <w:rPr>
          <w:rFonts w:cs="Arial"/>
          <w:sz w:val="22"/>
        </w:rPr>
      </w:pPr>
    </w:p>
    <w:p w14:paraId="25DCD9F0" w14:textId="77777777" w:rsidR="009021F1" w:rsidRPr="007E3D1A" w:rsidRDefault="009021F1" w:rsidP="009021F1">
      <w:pPr>
        <w:rPr>
          <w:rFonts w:cs="Arial"/>
          <w:sz w:val="22"/>
        </w:rPr>
      </w:pPr>
      <w:r w:rsidRPr="007E3D1A">
        <w:rPr>
          <w:rFonts w:cs="Arial"/>
          <w:sz w:val="22"/>
        </w:rPr>
        <w:t>Préparation et Réponse aux Urgences</w:t>
      </w:r>
    </w:p>
    <w:p w14:paraId="24A1A37B" w14:textId="77777777" w:rsidR="009021F1" w:rsidRPr="007E3D1A" w:rsidRDefault="009021F1" w:rsidP="009021F1">
      <w:pPr>
        <w:rPr>
          <w:rFonts w:cs="Arial"/>
          <w:sz w:val="22"/>
        </w:rPr>
      </w:pPr>
    </w:p>
    <w:p w14:paraId="6809709C" w14:textId="77777777" w:rsidR="009021F1" w:rsidRPr="007E3D1A" w:rsidRDefault="009021F1" w:rsidP="009021F1">
      <w:pPr>
        <w:rPr>
          <w:rFonts w:cs="Arial"/>
          <w:sz w:val="22"/>
        </w:rPr>
      </w:pPr>
      <w:r w:rsidRPr="007E3D1A">
        <w:rPr>
          <w:rFonts w:cs="Arial"/>
          <w:sz w:val="22"/>
        </w:rPr>
        <w:t>L’Entreprise doit :</w:t>
      </w:r>
    </w:p>
    <w:p w14:paraId="4D320316" w14:textId="77777777" w:rsidR="009021F1" w:rsidRPr="007E3D1A" w:rsidRDefault="009021F1" w:rsidP="009021F1">
      <w:pPr>
        <w:rPr>
          <w:rFonts w:cs="Arial"/>
          <w:sz w:val="22"/>
        </w:rPr>
      </w:pPr>
    </w:p>
    <w:p w14:paraId="12AD4AD9" w14:textId="77777777" w:rsidR="009021F1" w:rsidRPr="007E3D1A" w:rsidRDefault="009021F1" w:rsidP="009021F1">
      <w:pPr>
        <w:rPr>
          <w:rFonts w:cs="Arial"/>
          <w:sz w:val="22"/>
        </w:rPr>
      </w:pPr>
      <w:r w:rsidRPr="007E3D1A">
        <w:rPr>
          <w:rFonts w:cs="Arial"/>
          <w:sz w:val="22"/>
        </w:rPr>
        <w:t>Préparer et mettre en œuvre un Plan de réponse aux situations d'urgence, en collaboration avec les tiers appropriés et pertinents.</w:t>
      </w:r>
    </w:p>
    <w:p w14:paraId="1D1D10DF" w14:textId="77777777" w:rsidR="009021F1" w:rsidRPr="007E3D1A" w:rsidRDefault="009021F1" w:rsidP="009021F1">
      <w:pPr>
        <w:rPr>
          <w:rFonts w:cs="Arial"/>
          <w:sz w:val="22"/>
        </w:rPr>
      </w:pPr>
    </w:p>
    <w:p w14:paraId="7F1CEAAA" w14:textId="77777777" w:rsidR="009021F1" w:rsidRPr="007E3D1A" w:rsidRDefault="009021F1" w:rsidP="009021F1">
      <w:pPr>
        <w:rPr>
          <w:rFonts w:cs="Arial"/>
          <w:sz w:val="22"/>
        </w:rPr>
      </w:pPr>
      <w:r w:rsidRPr="007E3D1A">
        <w:rPr>
          <w:rFonts w:cs="Arial"/>
          <w:sz w:val="22"/>
        </w:rPr>
        <w:t>Le plan couvrira : (i) les situations d'urgence qui pourraient affecter le personnel et le chantier, (ii) la nécessité de protéger la santé et la sécurité des ouvriers du projet, et (iii) la nécessité de protéger la santé et la sécurité des communautés voisines.  Il doit plus particulièrement inclure :</w:t>
      </w:r>
    </w:p>
    <w:p w14:paraId="136369AE" w14:textId="77777777" w:rsidR="009021F1" w:rsidRPr="007E3D1A" w:rsidRDefault="009021F1" w:rsidP="009021F1">
      <w:pPr>
        <w:rPr>
          <w:rFonts w:cs="Arial"/>
          <w:sz w:val="22"/>
        </w:rPr>
      </w:pPr>
    </w:p>
    <w:p w14:paraId="67D9FDAB" w14:textId="77777777" w:rsidR="009021F1" w:rsidRPr="007E3D1A" w:rsidRDefault="009021F1" w:rsidP="009021F1">
      <w:pPr>
        <w:rPr>
          <w:rFonts w:cs="Arial"/>
          <w:sz w:val="22"/>
        </w:rPr>
      </w:pPr>
      <w:r w:rsidRPr="007E3D1A">
        <w:rPr>
          <w:rFonts w:cs="Arial"/>
          <w:sz w:val="22"/>
        </w:rPr>
        <w:t>L'identification des scénarios d'urgence ;</w:t>
      </w:r>
    </w:p>
    <w:p w14:paraId="30E57193" w14:textId="77777777" w:rsidR="009021F1" w:rsidRPr="007E3D1A" w:rsidRDefault="009021F1" w:rsidP="009021F1">
      <w:pPr>
        <w:rPr>
          <w:rFonts w:cs="Arial"/>
          <w:sz w:val="22"/>
        </w:rPr>
      </w:pPr>
      <w:r w:rsidRPr="007E3D1A">
        <w:rPr>
          <w:rFonts w:cs="Arial"/>
          <w:sz w:val="22"/>
        </w:rPr>
        <w:t>Des procédures spécifiques d'intervention en cas d'urgence ;</w:t>
      </w:r>
    </w:p>
    <w:p w14:paraId="6D42CFD1" w14:textId="77777777" w:rsidR="009021F1" w:rsidRPr="007E3D1A" w:rsidRDefault="009021F1" w:rsidP="009021F1">
      <w:pPr>
        <w:rPr>
          <w:rFonts w:cs="Arial"/>
          <w:sz w:val="22"/>
        </w:rPr>
      </w:pPr>
      <w:r w:rsidRPr="007E3D1A">
        <w:rPr>
          <w:rFonts w:cs="Arial"/>
          <w:sz w:val="22"/>
        </w:rPr>
        <w:t>La formation préalable des équipes d'intervention ;</w:t>
      </w:r>
    </w:p>
    <w:p w14:paraId="372B86B4" w14:textId="77777777" w:rsidR="009021F1" w:rsidRPr="007E3D1A" w:rsidRDefault="009021F1" w:rsidP="009021F1">
      <w:pPr>
        <w:rPr>
          <w:rFonts w:cs="Arial"/>
          <w:sz w:val="22"/>
        </w:rPr>
      </w:pPr>
      <w:r w:rsidRPr="007E3D1A">
        <w:rPr>
          <w:rFonts w:cs="Arial"/>
          <w:sz w:val="22"/>
        </w:rPr>
        <w:t>Les contacts d'urgence et systèmes/protocoles de communication (y compris la communication avec les communautés voisines si nécessaire) ;</w:t>
      </w:r>
    </w:p>
    <w:p w14:paraId="1BDB71F2" w14:textId="77777777" w:rsidR="009021F1" w:rsidRPr="007E3D1A" w:rsidRDefault="009021F1" w:rsidP="009021F1">
      <w:pPr>
        <w:rPr>
          <w:rFonts w:cs="Arial"/>
          <w:sz w:val="22"/>
        </w:rPr>
      </w:pPr>
      <w:r w:rsidRPr="007E3D1A">
        <w:rPr>
          <w:rFonts w:cs="Arial"/>
          <w:sz w:val="22"/>
        </w:rPr>
        <w:t>Des procédures d'interaction avec les autorités gouvernementales (autorités d'urgence, sanitaires ou environnementales) ;</w:t>
      </w:r>
    </w:p>
    <w:p w14:paraId="4CAF207D" w14:textId="77777777" w:rsidR="009021F1" w:rsidRPr="007E3D1A" w:rsidRDefault="009021F1" w:rsidP="009021F1">
      <w:pPr>
        <w:rPr>
          <w:rFonts w:cs="Arial"/>
          <w:sz w:val="22"/>
        </w:rPr>
      </w:pPr>
      <w:r w:rsidRPr="007E3D1A">
        <w:rPr>
          <w:rFonts w:cs="Arial"/>
          <w:sz w:val="22"/>
        </w:rPr>
        <w:t>L’identification des itinéraires d'évacuation et des points de rassemblement ;</w:t>
      </w:r>
    </w:p>
    <w:p w14:paraId="757E3180" w14:textId="77777777" w:rsidR="009021F1" w:rsidRPr="007E3D1A" w:rsidRDefault="009021F1" w:rsidP="009021F1">
      <w:pPr>
        <w:rPr>
          <w:rFonts w:cs="Arial"/>
          <w:sz w:val="22"/>
        </w:rPr>
      </w:pPr>
      <w:r w:rsidRPr="007E3D1A">
        <w:rPr>
          <w:rFonts w:cs="Arial"/>
          <w:sz w:val="22"/>
        </w:rPr>
        <w:t>Des exercices de préparation pour les urgences, selon une périodicité qui est fonction des niveaux d'urgence attribués ; et</w:t>
      </w:r>
    </w:p>
    <w:p w14:paraId="053DF064" w14:textId="77777777" w:rsidR="009021F1" w:rsidRPr="007E3D1A" w:rsidRDefault="009021F1" w:rsidP="009021F1">
      <w:pPr>
        <w:rPr>
          <w:rFonts w:cs="Arial"/>
          <w:sz w:val="22"/>
        </w:rPr>
      </w:pPr>
      <w:r w:rsidRPr="007E3D1A">
        <w:rPr>
          <w:rFonts w:cs="Arial"/>
          <w:sz w:val="22"/>
        </w:rPr>
        <w:t>Des procédures de décontamination et un protocole pour déployer les mesures correctives urgentes afin de contenir, limiter et réduire la pollution dans les limites physiques des chantiers.</w:t>
      </w:r>
    </w:p>
    <w:p w14:paraId="343BED97" w14:textId="77777777" w:rsidR="009021F1" w:rsidRPr="007E3D1A" w:rsidRDefault="009021F1" w:rsidP="009021F1">
      <w:pPr>
        <w:rPr>
          <w:rFonts w:cs="Arial"/>
          <w:sz w:val="22"/>
        </w:rPr>
      </w:pPr>
    </w:p>
    <w:p w14:paraId="7A169BB5" w14:textId="77777777" w:rsidR="009021F1" w:rsidRPr="007E3D1A" w:rsidRDefault="009021F1" w:rsidP="009021F1">
      <w:pPr>
        <w:rPr>
          <w:rFonts w:cs="Arial"/>
          <w:sz w:val="22"/>
        </w:rPr>
      </w:pPr>
      <w:r w:rsidRPr="007E3D1A">
        <w:rPr>
          <w:rFonts w:cs="Arial"/>
          <w:sz w:val="22"/>
        </w:rPr>
        <w:t>Sécurité Extérieure des Chantiers, Installations, et des Personnes</w:t>
      </w:r>
    </w:p>
    <w:p w14:paraId="5060777F" w14:textId="77777777" w:rsidR="009021F1" w:rsidRPr="007E3D1A" w:rsidRDefault="009021F1" w:rsidP="009021F1">
      <w:pPr>
        <w:rPr>
          <w:rFonts w:cs="Arial"/>
          <w:sz w:val="22"/>
        </w:rPr>
      </w:pPr>
    </w:p>
    <w:p w14:paraId="1FD53003" w14:textId="77777777" w:rsidR="009021F1" w:rsidRPr="007E3D1A" w:rsidRDefault="009021F1" w:rsidP="009021F1">
      <w:pPr>
        <w:rPr>
          <w:rFonts w:cs="Arial"/>
          <w:sz w:val="22"/>
        </w:rPr>
      </w:pPr>
      <w:r w:rsidRPr="007E3D1A">
        <w:rPr>
          <w:rFonts w:cs="Arial"/>
          <w:sz w:val="22"/>
        </w:rPr>
        <w:t>De manière complémentaire au Plan d’urgence ci-dessus, chaque Entreprise doit préparer un Plan de sécurité qui couvrira les rubriques suivantes :</w:t>
      </w:r>
    </w:p>
    <w:p w14:paraId="509F93A5" w14:textId="77777777" w:rsidR="009021F1" w:rsidRPr="007E3D1A" w:rsidRDefault="009021F1" w:rsidP="009021F1">
      <w:pPr>
        <w:rPr>
          <w:rFonts w:cs="Arial"/>
          <w:sz w:val="22"/>
        </w:rPr>
      </w:pPr>
    </w:p>
    <w:p w14:paraId="14EFEF65" w14:textId="77777777" w:rsidR="009021F1" w:rsidRPr="007E3D1A" w:rsidRDefault="009021F1" w:rsidP="009021F1">
      <w:pPr>
        <w:rPr>
          <w:rFonts w:cs="Arial"/>
          <w:sz w:val="22"/>
        </w:rPr>
      </w:pPr>
      <w:r w:rsidRPr="007E3D1A">
        <w:rPr>
          <w:rFonts w:cs="Arial"/>
          <w:sz w:val="22"/>
        </w:rPr>
        <w:t>Principes appliqués ;</w:t>
      </w:r>
    </w:p>
    <w:p w14:paraId="53BFAFFC" w14:textId="77777777" w:rsidR="009021F1" w:rsidRPr="007E3D1A" w:rsidRDefault="009021F1" w:rsidP="009021F1">
      <w:pPr>
        <w:rPr>
          <w:rFonts w:cs="Arial"/>
          <w:sz w:val="22"/>
        </w:rPr>
      </w:pPr>
      <w:r w:rsidRPr="007E3D1A">
        <w:rPr>
          <w:rFonts w:cs="Arial"/>
          <w:sz w:val="22"/>
        </w:rPr>
        <w:t>Aperçu de l'environnement opérationnel ;</w:t>
      </w:r>
    </w:p>
    <w:p w14:paraId="7BCF3C85" w14:textId="77777777" w:rsidR="009021F1" w:rsidRPr="007E3D1A" w:rsidRDefault="009021F1" w:rsidP="009021F1">
      <w:pPr>
        <w:rPr>
          <w:rFonts w:cs="Arial"/>
          <w:sz w:val="22"/>
        </w:rPr>
      </w:pPr>
      <w:r w:rsidRPr="007E3D1A">
        <w:rPr>
          <w:rFonts w:cs="Arial"/>
          <w:sz w:val="22"/>
        </w:rPr>
        <w:t>Risques environnementaux/naturels ;</w:t>
      </w:r>
    </w:p>
    <w:p w14:paraId="5851C2AF" w14:textId="77777777" w:rsidR="009021F1" w:rsidRPr="007E3D1A" w:rsidRDefault="009021F1" w:rsidP="009021F1">
      <w:pPr>
        <w:rPr>
          <w:rFonts w:cs="Arial"/>
          <w:sz w:val="22"/>
        </w:rPr>
      </w:pPr>
      <w:r w:rsidRPr="007E3D1A">
        <w:rPr>
          <w:rFonts w:cs="Arial"/>
          <w:sz w:val="22"/>
        </w:rPr>
        <w:t>Météo et climat ;</w:t>
      </w:r>
    </w:p>
    <w:p w14:paraId="53A6A3E4" w14:textId="77777777" w:rsidR="009021F1" w:rsidRPr="007E3D1A" w:rsidRDefault="009021F1" w:rsidP="009021F1">
      <w:pPr>
        <w:rPr>
          <w:rFonts w:cs="Arial"/>
          <w:sz w:val="22"/>
        </w:rPr>
      </w:pPr>
      <w:r w:rsidRPr="007E3D1A">
        <w:rPr>
          <w:rFonts w:cs="Arial"/>
          <w:sz w:val="22"/>
        </w:rPr>
        <w:t>Résumé des menaces ;</w:t>
      </w:r>
    </w:p>
    <w:p w14:paraId="3AEA4662" w14:textId="77777777" w:rsidR="009021F1" w:rsidRPr="007E3D1A" w:rsidRDefault="009021F1" w:rsidP="009021F1">
      <w:pPr>
        <w:rPr>
          <w:rFonts w:cs="Arial"/>
          <w:sz w:val="22"/>
        </w:rPr>
      </w:pPr>
      <w:r w:rsidRPr="007E3D1A">
        <w:rPr>
          <w:rFonts w:cs="Arial"/>
          <w:sz w:val="22"/>
        </w:rPr>
        <w:t>Signalement et gestion des incidents ;</w:t>
      </w:r>
    </w:p>
    <w:p w14:paraId="489AEE4D" w14:textId="77777777" w:rsidR="009021F1" w:rsidRPr="007E3D1A" w:rsidRDefault="009021F1" w:rsidP="009021F1">
      <w:pPr>
        <w:rPr>
          <w:rFonts w:cs="Arial"/>
          <w:sz w:val="22"/>
        </w:rPr>
      </w:pPr>
      <w:r w:rsidRPr="007E3D1A">
        <w:rPr>
          <w:rFonts w:cs="Arial"/>
          <w:sz w:val="22"/>
        </w:rPr>
        <w:t>Rapports d'incidents ;</w:t>
      </w:r>
    </w:p>
    <w:p w14:paraId="7AB4CB7F" w14:textId="77777777" w:rsidR="009021F1" w:rsidRPr="007E3D1A" w:rsidRDefault="009021F1" w:rsidP="009021F1">
      <w:pPr>
        <w:rPr>
          <w:rFonts w:cs="Arial"/>
          <w:sz w:val="22"/>
        </w:rPr>
      </w:pPr>
      <w:r w:rsidRPr="007E3D1A">
        <w:rPr>
          <w:rFonts w:cs="Arial"/>
          <w:sz w:val="22"/>
        </w:rPr>
        <w:t>Lieux fixes liés au projet ;</w:t>
      </w:r>
    </w:p>
    <w:p w14:paraId="04EFCAF1" w14:textId="77777777" w:rsidR="009021F1" w:rsidRPr="007E3D1A" w:rsidRDefault="009021F1" w:rsidP="009021F1">
      <w:pPr>
        <w:rPr>
          <w:rFonts w:cs="Arial"/>
          <w:sz w:val="22"/>
        </w:rPr>
      </w:pPr>
      <w:r w:rsidRPr="007E3D1A">
        <w:rPr>
          <w:rFonts w:cs="Arial"/>
          <w:sz w:val="22"/>
        </w:rPr>
        <w:t>Bases vies ou logements ;</w:t>
      </w:r>
    </w:p>
    <w:p w14:paraId="7E492024" w14:textId="77777777" w:rsidR="009021F1" w:rsidRPr="007E3D1A" w:rsidRDefault="009021F1" w:rsidP="009021F1">
      <w:pPr>
        <w:rPr>
          <w:rFonts w:cs="Arial"/>
          <w:sz w:val="22"/>
        </w:rPr>
      </w:pPr>
      <w:r w:rsidRPr="007E3D1A">
        <w:rPr>
          <w:rFonts w:cs="Arial"/>
          <w:sz w:val="22"/>
        </w:rPr>
        <w:t>Autres installations, y compris les carrières ;</w:t>
      </w:r>
    </w:p>
    <w:p w14:paraId="566305CE" w14:textId="77777777" w:rsidR="009021F1" w:rsidRPr="007E3D1A" w:rsidRDefault="009021F1" w:rsidP="009021F1">
      <w:pPr>
        <w:rPr>
          <w:rFonts w:cs="Arial"/>
          <w:sz w:val="22"/>
        </w:rPr>
      </w:pPr>
      <w:r w:rsidRPr="007E3D1A">
        <w:rPr>
          <w:rFonts w:cs="Arial"/>
          <w:sz w:val="22"/>
        </w:rPr>
        <w:tab/>
        <w:t>Caractéristiques physiques des installations de l’Entreprise ;</w:t>
      </w:r>
    </w:p>
    <w:p w14:paraId="2FE28C13" w14:textId="77777777" w:rsidR="009021F1" w:rsidRPr="007E3D1A" w:rsidRDefault="009021F1" w:rsidP="009021F1">
      <w:pPr>
        <w:rPr>
          <w:rFonts w:cs="Arial"/>
          <w:sz w:val="22"/>
        </w:rPr>
      </w:pPr>
      <w:r w:rsidRPr="007E3D1A">
        <w:rPr>
          <w:rFonts w:cs="Arial"/>
          <w:sz w:val="22"/>
        </w:rPr>
        <w:t>Positionnement ;</w:t>
      </w:r>
    </w:p>
    <w:p w14:paraId="21247F62" w14:textId="77777777" w:rsidR="009021F1" w:rsidRPr="007E3D1A" w:rsidRDefault="009021F1" w:rsidP="009021F1">
      <w:pPr>
        <w:rPr>
          <w:rFonts w:cs="Arial"/>
          <w:sz w:val="22"/>
        </w:rPr>
      </w:pPr>
      <w:r w:rsidRPr="007E3D1A">
        <w:rPr>
          <w:rFonts w:cs="Arial"/>
          <w:sz w:val="22"/>
        </w:rPr>
        <w:t>Murs / clôtures ;</w:t>
      </w:r>
    </w:p>
    <w:p w14:paraId="10379B36" w14:textId="77777777" w:rsidR="009021F1" w:rsidRPr="007E3D1A" w:rsidRDefault="009021F1" w:rsidP="009021F1">
      <w:pPr>
        <w:rPr>
          <w:rFonts w:cs="Arial"/>
          <w:sz w:val="22"/>
        </w:rPr>
      </w:pPr>
      <w:r w:rsidRPr="007E3D1A">
        <w:rPr>
          <w:rFonts w:cs="Arial"/>
          <w:sz w:val="22"/>
        </w:rPr>
        <w:t>Portes ;</w:t>
      </w:r>
    </w:p>
    <w:p w14:paraId="404A1A78" w14:textId="77777777" w:rsidR="009021F1" w:rsidRPr="007E3D1A" w:rsidRDefault="009021F1" w:rsidP="009021F1">
      <w:pPr>
        <w:rPr>
          <w:rFonts w:cs="Arial"/>
          <w:sz w:val="22"/>
        </w:rPr>
      </w:pPr>
      <w:r w:rsidRPr="007E3D1A">
        <w:rPr>
          <w:rFonts w:cs="Arial"/>
          <w:sz w:val="22"/>
        </w:rPr>
        <w:t>Barrières routières routes ;</w:t>
      </w:r>
    </w:p>
    <w:p w14:paraId="75E63BBE" w14:textId="77777777" w:rsidR="009021F1" w:rsidRPr="007E3D1A" w:rsidRDefault="009021F1" w:rsidP="009021F1">
      <w:pPr>
        <w:rPr>
          <w:rFonts w:cs="Arial"/>
          <w:sz w:val="22"/>
        </w:rPr>
      </w:pPr>
      <w:r w:rsidRPr="007E3D1A">
        <w:rPr>
          <w:rFonts w:cs="Arial"/>
          <w:sz w:val="22"/>
        </w:rPr>
        <w:t>Portes et fenêtres ;</w:t>
      </w:r>
    </w:p>
    <w:p w14:paraId="1C8ED32C" w14:textId="77777777" w:rsidR="009021F1" w:rsidRPr="007E3D1A" w:rsidRDefault="009021F1" w:rsidP="009021F1">
      <w:pPr>
        <w:rPr>
          <w:rFonts w:cs="Arial"/>
          <w:sz w:val="22"/>
        </w:rPr>
      </w:pPr>
      <w:r w:rsidRPr="007E3D1A">
        <w:rPr>
          <w:rFonts w:cs="Arial"/>
          <w:sz w:val="22"/>
        </w:rPr>
        <w:t>Sécurité des personnes ;</w:t>
      </w:r>
    </w:p>
    <w:p w14:paraId="2E480F3C" w14:textId="77777777" w:rsidR="009021F1" w:rsidRPr="007E3D1A" w:rsidRDefault="009021F1" w:rsidP="009021F1">
      <w:pPr>
        <w:rPr>
          <w:rFonts w:cs="Arial"/>
          <w:sz w:val="22"/>
        </w:rPr>
      </w:pPr>
      <w:r w:rsidRPr="007E3D1A">
        <w:rPr>
          <w:rFonts w:cs="Arial"/>
          <w:sz w:val="22"/>
        </w:rPr>
        <w:t>Serrures, clés et combinaisons ;</w:t>
      </w:r>
    </w:p>
    <w:p w14:paraId="1D7D38E1" w14:textId="77777777" w:rsidR="009021F1" w:rsidRPr="007E3D1A" w:rsidRDefault="009021F1" w:rsidP="009021F1">
      <w:pPr>
        <w:rPr>
          <w:rFonts w:cs="Arial"/>
          <w:sz w:val="22"/>
        </w:rPr>
      </w:pPr>
      <w:r w:rsidRPr="007E3D1A">
        <w:rPr>
          <w:rFonts w:cs="Arial"/>
          <w:sz w:val="22"/>
        </w:rPr>
        <w:t>Moral, bien-être, lieux de loisirs ;</w:t>
      </w:r>
    </w:p>
    <w:p w14:paraId="67FBDF89" w14:textId="77777777" w:rsidR="009021F1" w:rsidRPr="007E3D1A" w:rsidRDefault="009021F1" w:rsidP="009021F1">
      <w:pPr>
        <w:rPr>
          <w:rFonts w:cs="Arial"/>
          <w:sz w:val="22"/>
        </w:rPr>
      </w:pPr>
      <w:r w:rsidRPr="007E3D1A">
        <w:rPr>
          <w:rFonts w:cs="Arial"/>
          <w:sz w:val="22"/>
        </w:rPr>
        <w:t>Mesures de transport ;</w:t>
      </w:r>
    </w:p>
    <w:p w14:paraId="44BB75C4" w14:textId="77777777" w:rsidR="009021F1" w:rsidRPr="007E3D1A" w:rsidRDefault="009021F1" w:rsidP="009021F1">
      <w:pPr>
        <w:rPr>
          <w:rFonts w:cs="Arial"/>
          <w:sz w:val="22"/>
        </w:rPr>
      </w:pPr>
      <w:r w:rsidRPr="007E3D1A">
        <w:rPr>
          <w:rFonts w:cs="Arial"/>
          <w:sz w:val="22"/>
        </w:rPr>
        <w:t>Contrôle des déplacements ;</w:t>
      </w:r>
    </w:p>
    <w:p w14:paraId="66A1C8BA" w14:textId="77777777" w:rsidR="009021F1" w:rsidRPr="007E3D1A" w:rsidRDefault="009021F1" w:rsidP="009021F1">
      <w:pPr>
        <w:rPr>
          <w:rFonts w:cs="Arial"/>
          <w:sz w:val="22"/>
        </w:rPr>
      </w:pPr>
      <w:r w:rsidRPr="007E3D1A">
        <w:rPr>
          <w:rFonts w:cs="Arial"/>
          <w:sz w:val="22"/>
        </w:rPr>
        <w:t>Sécurité des transports ;</w:t>
      </w:r>
    </w:p>
    <w:p w14:paraId="679E7051" w14:textId="77777777" w:rsidR="009021F1" w:rsidRPr="007E3D1A" w:rsidRDefault="009021F1" w:rsidP="009021F1">
      <w:pPr>
        <w:rPr>
          <w:rFonts w:cs="Arial"/>
          <w:sz w:val="22"/>
        </w:rPr>
      </w:pPr>
      <w:r w:rsidRPr="007E3D1A">
        <w:rPr>
          <w:rFonts w:cs="Arial"/>
          <w:sz w:val="22"/>
        </w:rPr>
        <w:t>Sélection des itinéraires ;</w:t>
      </w:r>
    </w:p>
    <w:p w14:paraId="4447D115" w14:textId="77777777" w:rsidR="009021F1" w:rsidRPr="007E3D1A" w:rsidRDefault="009021F1" w:rsidP="009021F1">
      <w:pPr>
        <w:rPr>
          <w:rFonts w:cs="Arial"/>
          <w:sz w:val="22"/>
        </w:rPr>
      </w:pPr>
      <w:r w:rsidRPr="007E3D1A">
        <w:rPr>
          <w:rFonts w:cs="Arial"/>
          <w:sz w:val="22"/>
        </w:rPr>
        <w:t>Lieux de refuge ;</w:t>
      </w:r>
    </w:p>
    <w:p w14:paraId="122CDD8F" w14:textId="77777777" w:rsidR="009021F1" w:rsidRPr="007E3D1A" w:rsidRDefault="009021F1" w:rsidP="009021F1">
      <w:pPr>
        <w:rPr>
          <w:rFonts w:cs="Arial"/>
          <w:sz w:val="22"/>
        </w:rPr>
      </w:pPr>
      <w:r w:rsidRPr="007E3D1A">
        <w:rPr>
          <w:rFonts w:cs="Arial"/>
          <w:sz w:val="22"/>
        </w:rPr>
        <w:t>Briefing des passagers ;</w:t>
      </w:r>
    </w:p>
    <w:p w14:paraId="5E3C8300" w14:textId="77777777" w:rsidR="009021F1" w:rsidRPr="007E3D1A" w:rsidRDefault="009021F1" w:rsidP="009021F1">
      <w:pPr>
        <w:rPr>
          <w:rFonts w:cs="Arial"/>
          <w:sz w:val="22"/>
        </w:rPr>
      </w:pPr>
      <w:r w:rsidRPr="007E3D1A">
        <w:rPr>
          <w:rFonts w:cs="Arial"/>
          <w:sz w:val="22"/>
        </w:rPr>
        <w:t>Arrivées et départs ;</w:t>
      </w:r>
    </w:p>
    <w:p w14:paraId="527A7EDA" w14:textId="77777777" w:rsidR="009021F1" w:rsidRPr="007E3D1A" w:rsidRDefault="009021F1" w:rsidP="009021F1">
      <w:pPr>
        <w:rPr>
          <w:rFonts w:cs="Arial"/>
          <w:sz w:val="22"/>
        </w:rPr>
      </w:pPr>
      <w:r w:rsidRPr="007E3D1A">
        <w:rPr>
          <w:rFonts w:cs="Arial"/>
          <w:sz w:val="22"/>
        </w:rPr>
        <w:t>Dans le véhicule ;</w:t>
      </w:r>
    </w:p>
    <w:p w14:paraId="40614198" w14:textId="77777777" w:rsidR="009021F1" w:rsidRPr="007E3D1A" w:rsidRDefault="009021F1" w:rsidP="009021F1">
      <w:pPr>
        <w:rPr>
          <w:rFonts w:cs="Arial"/>
          <w:sz w:val="22"/>
        </w:rPr>
      </w:pPr>
      <w:r w:rsidRPr="007E3D1A">
        <w:rPr>
          <w:rFonts w:cs="Arial"/>
          <w:sz w:val="22"/>
        </w:rPr>
        <w:t>Aux points de contrôle ;</w:t>
      </w:r>
    </w:p>
    <w:p w14:paraId="6E1E3A3C" w14:textId="77777777" w:rsidR="009021F1" w:rsidRPr="007E3D1A" w:rsidRDefault="009021F1" w:rsidP="009021F1">
      <w:pPr>
        <w:rPr>
          <w:rFonts w:cs="Arial"/>
          <w:sz w:val="22"/>
        </w:rPr>
      </w:pPr>
      <w:r w:rsidRPr="007E3D1A">
        <w:rPr>
          <w:rFonts w:cs="Arial"/>
          <w:sz w:val="22"/>
        </w:rPr>
        <w:t>Transports publics ;</w:t>
      </w:r>
    </w:p>
    <w:p w14:paraId="18ACFDB8" w14:textId="77777777" w:rsidR="009021F1" w:rsidRPr="007E3D1A" w:rsidRDefault="009021F1" w:rsidP="009021F1">
      <w:pPr>
        <w:rPr>
          <w:rFonts w:cs="Arial"/>
          <w:sz w:val="22"/>
        </w:rPr>
      </w:pPr>
      <w:r w:rsidRPr="007E3D1A">
        <w:rPr>
          <w:rFonts w:cs="Arial"/>
          <w:sz w:val="22"/>
        </w:rPr>
        <w:t>Premiers soins et soins médicaux ;</w:t>
      </w:r>
    </w:p>
    <w:p w14:paraId="3F8E414D" w14:textId="77777777" w:rsidR="009021F1" w:rsidRPr="007E3D1A" w:rsidRDefault="009021F1" w:rsidP="009021F1">
      <w:pPr>
        <w:rPr>
          <w:rFonts w:cs="Arial"/>
          <w:sz w:val="22"/>
        </w:rPr>
      </w:pPr>
      <w:r w:rsidRPr="007E3D1A">
        <w:rPr>
          <w:rFonts w:cs="Arial"/>
          <w:sz w:val="22"/>
        </w:rPr>
        <w:t>Trousses de premiers soins et formation ;</w:t>
      </w:r>
    </w:p>
    <w:p w14:paraId="4F6C0F6C" w14:textId="77777777" w:rsidR="009021F1" w:rsidRPr="007E3D1A" w:rsidRDefault="009021F1" w:rsidP="009021F1">
      <w:pPr>
        <w:rPr>
          <w:rFonts w:cs="Arial"/>
          <w:sz w:val="22"/>
        </w:rPr>
      </w:pPr>
      <w:r w:rsidRPr="007E3D1A">
        <w:rPr>
          <w:rFonts w:cs="Arial"/>
          <w:sz w:val="22"/>
        </w:rPr>
        <w:t>Services d'ambulance ;</w:t>
      </w:r>
    </w:p>
    <w:p w14:paraId="7F988403" w14:textId="77777777" w:rsidR="009021F1" w:rsidRPr="007E3D1A" w:rsidRDefault="009021F1" w:rsidP="009021F1">
      <w:pPr>
        <w:rPr>
          <w:rFonts w:cs="Arial"/>
          <w:sz w:val="22"/>
        </w:rPr>
      </w:pPr>
      <w:r w:rsidRPr="007E3D1A">
        <w:rPr>
          <w:rFonts w:cs="Arial"/>
          <w:sz w:val="22"/>
        </w:rPr>
        <w:t>Soins hospitaliers ;</w:t>
      </w:r>
    </w:p>
    <w:p w14:paraId="190D68DE" w14:textId="77777777" w:rsidR="009021F1" w:rsidRPr="007E3D1A" w:rsidRDefault="009021F1" w:rsidP="009021F1">
      <w:pPr>
        <w:rPr>
          <w:rFonts w:cs="Arial"/>
          <w:sz w:val="22"/>
        </w:rPr>
      </w:pPr>
      <w:r w:rsidRPr="007E3D1A">
        <w:rPr>
          <w:rFonts w:cs="Arial"/>
          <w:sz w:val="22"/>
        </w:rPr>
        <w:t>Évacuation médicale ;</w:t>
      </w:r>
    </w:p>
    <w:p w14:paraId="327CD734" w14:textId="77777777" w:rsidR="009021F1" w:rsidRPr="007E3D1A" w:rsidRDefault="009021F1" w:rsidP="009021F1">
      <w:pPr>
        <w:rPr>
          <w:rFonts w:cs="Arial"/>
          <w:sz w:val="22"/>
        </w:rPr>
      </w:pPr>
      <w:r w:rsidRPr="007E3D1A">
        <w:rPr>
          <w:rFonts w:cs="Arial"/>
          <w:sz w:val="22"/>
        </w:rPr>
        <w:t>Communications ;</w:t>
      </w:r>
    </w:p>
    <w:p w14:paraId="7A58B576" w14:textId="77777777" w:rsidR="009021F1" w:rsidRPr="007E3D1A" w:rsidRDefault="009021F1" w:rsidP="009021F1">
      <w:pPr>
        <w:rPr>
          <w:rFonts w:cs="Arial"/>
          <w:sz w:val="22"/>
        </w:rPr>
      </w:pPr>
      <w:r w:rsidRPr="007E3D1A">
        <w:rPr>
          <w:rFonts w:cs="Arial"/>
          <w:sz w:val="22"/>
        </w:rPr>
        <w:t>Sécurité de l'information ;</w:t>
      </w:r>
    </w:p>
    <w:p w14:paraId="38366C53" w14:textId="77777777" w:rsidR="009021F1" w:rsidRPr="007E3D1A" w:rsidRDefault="009021F1" w:rsidP="009021F1">
      <w:pPr>
        <w:rPr>
          <w:rFonts w:cs="Arial"/>
          <w:sz w:val="22"/>
        </w:rPr>
      </w:pPr>
      <w:r w:rsidRPr="007E3D1A">
        <w:rPr>
          <w:rFonts w:cs="Arial"/>
          <w:sz w:val="22"/>
        </w:rPr>
        <w:t>Sauvegarde des données informatiques ;</w:t>
      </w:r>
    </w:p>
    <w:p w14:paraId="1AE67AC1" w14:textId="77777777" w:rsidR="009021F1" w:rsidRPr="007E3D1A" w:rsidRDefault="009021F1" w:rsidP="009021F1">
      <w:pPr>
        <w:rPr>
          <w:rFonts w:cs="Arial"/>
          <w:sz w:val="22"/>
        </w:rPr>
      </w:pPr>
      <w:r w:rsidRPr="007E3D1A">
        <w:rPr>
          <w:rFonts w:cs="Arial"/>
          <w:sz w:val="22"/>
        </w:rPr>
        <w:t>Sécurité des documents et des fichiers informatiques ;</w:t>
      </w:r>
    </w:p>
    <w:p w14:paraId="17000659" w14:textId="77777777" w:rsidR="009021F1" w:rsidRPr="007E3D1A" w:rsidRDefault="009021F1" w:rsidP="009021F1">
      <w:pPr>
        <w:rPr>
          <w:rFonts w:cs="Arial"/>
          <w:sz w:val="22"/>
        </w:rPr>
      </w:pPr>
      <w:r w:rsidRPr="007E3D1A">
        <w:rPr>
          <w:rFonts w:cs="Arial"/>
          <w:sz w:val="22"/>
        </w:rPr>
        <w:t>Préoccupations et orientations concernant les médias sociaux ;</w:t>
      </w:r>
    </w:p>
    <w:p w14:paraId="77003BB3" w14:textId="77777777" w:rsidR="009021F1" w:rsidRPr="007E3D1A" w:rsidRDefault="009021F1" w:rsidP="009021F1">
      <w:pPr>
        <w:rPr>
          <w:rFonts w:cs="Arial"/>
          <w:sz w:val="22"/>
        </w:rPr>
      </w:pPr>
      <w:r w:rsidRPr="007E3D1A">
        <w:rPr>
          <w:rFonts w:cs="Arial"/>
          <w:sz w:val="22"/>
        </w:rPr>
        <w:t>Rencontres avec les médias et médias négatifs ;</w:t>
      </w:r>
    </w:p>
    <w:p w14:paraId="5EFF4B25" w14:textId="77777777" w:rsidR="009021F1" w:rsidRPr="007E3D1A" w:rsidRDefault="009021F1" w:rsidP="009021F1">
      <w:pPr>
        <w:rPr>
          <w:rFonts w:cs="Arial"/>
          <w:sz w:val="22"/>
        </w:rPr>
      </w:pPr>
      <w:r w:rsidRPr="007E3D1A">
        <w:rPr>
          <w:rFonts w:cs="Arial"/>
          <w:sz w:val="22"/>
        </w:rPr>
        <w:t>Autres directives administratives ;</w:t>
      </w:r>
    </w:p>
    <w:p w14:paraId="02F2B3DF" w14:textId="77777777" w:rsidR="009021F1" w:rsidRPr="007E3D1A" w:rsidRDefault="009021F1" w:rsidP="009021F1">
      <w:pPr>
        <w:rPr>
          <w:rFonts w:cs="Arial"/>
          <w:sz w:val="22"/>
        </w:rPr>
      </w:pPr>
      <w:r w:rsidRPr="007E3D1A">
        <w:rPr>
          <w:rFonts w:cs="Arial"/>
          <w:sz w:val="22"/>
        </w:rPr>
        <w:t>Procédures de gestion des espèces (monnaie) ;</w:t>
      </w:r>
    </w:p>
    <w:p w14:paraId="33EB14EE" w14:textId="77777777" w:rsidR="009021F1" w:rsidRPr="007E3D1A" w:rsidRDefault="009021F1" w:rsidP="009021F1">
      <w:pPr>
        <w:rPr>
          <w:rFonts w:cs="Arial"/>
          <w:sz w:val="22"/>
        </w:rPr>
      </w:pPr>
      <w:r w:rsidRPr="007E3D1A">
        <w:rPr>
          <w:rFonts w:cs="Arial"/>
          <w:sz w:val="22"/>
        </w:rPr>
        <w:t>Documentation personnelle ;</w:t>
      </w:r>
    </w:p>
    <w:p w14:paraId="5C8EBAAA" w14:textId="77777777" w:rsidR="009021F1" w:rsidRPr="007E3D1A" w:rsidRDefault="009021F1" w:rsidP="009021F1">
      <w:pPr>
        <w:rPr>
          <w:rFonts w:cs="Arial"/>
          <w:sz w:val="22"/>
        </w:rPr>
      </w:pPr>
      <w:r w:rsidRPr="007E3D1A">
        <w:rPr>
          <w:rFonts w:cs="Arial"/>
          <w:sz w:val="22"/>
        </w:rPr>
        <w:t>Enregistrement des données d'urgence ;</w:t>
      </w:r>
    </w:p>
    <w:p w14:paraId="6A9BF22F" w14:textId="77777777" w:rsidR="009021F1" w:rsidRPr="007E3D1A" w:rsidRDefault="009021F1" w:rsidP="009021F1">
      <w:pPr>
        <w:rPr>
          <w:rFonts w:cs="Arial"/>
          <w:sz w:val="22"/>
        </w:rPr>
      </w:pPr>
      <w:r w:rsidRPr="007E3D1A">
        <w:rPr>
          <w:rFonts w:cs="Arial"/>
          <w:sz w:val="22"/>
        </w:rPr>
        <w:t>Briefing et formation sur la sécurité ;</w:t>
      </w:r>
    </w:p>
    <w:p w14:paraId="7BA6DA86" w14:textId="77777777" w:rsidR="009021F1" w:rsidRPr="007E3D1A" w:rsidRDefault="009021F1" w:rsidP="009021F1">
      <w:pPr>
        <w:rPr>
          <w:rFonts w:cs="Arial"/>
          <w:sz w:val="22"/>
        </w:rPr>
      </w:pPr>
      <w:r w:rsidRPr="007E3D1A">
        <w:rPr>
          <w:rFonts w:cs="Arial"/>
          <w:sz w:val="22"/>
        </w:rPr>
        <w:t>Sécurité des visiteurs ;</w:t>
      </w:r>
    </w:p>
    <w:p w14:paraId="4B1A44A2" w14:textId="77777777" w:rsidR="009021F1" w:rsidRPr="007E3D1A" w:rsidRDefault="009021F1" w:rsidP="009021F1">
      <w:pPr>
        <w:rPr>
          <w:rFonts w:cs="Arial"/>
          <w:sz w:val="22"/>
        </w:rPr>
      </w:pPr>
      <w:r w:rsidRPr="007E3D1A">
        <w:rPr>
          <w:rFonts w:cs="Arial"/>
          <w:sz w:val="22"/>
        </w:rPr>
        <w:t>Actions immédiates ;</w:t>
      </w:r>
    </w:p>
    <w:p w14:paraId="49C7E1BA" w14:textId="77777777" w:rsidR="009021F1" w:rsidRPr="007E3D1A" w:rsidRDefault="009021F1" w:rsidP="009021F1">
      <w:pPr>
        <w:rPr>
          <w:rFonts w:cs="Arial"/>
          <w:sz w:val="22"/>
        </w:rPr>
      </w:pPr>
      <w:r w:rsidRPr="007E3D1A">
        <w:rPr>
          <w:rFonts w:cs="Arial"/>
          <w:sz w:val="22"/>
        </w:rPr>
        <w:t>Feu ;</w:t>
      </w:r>
    </w:p>
    <w:p w14:paraId="142B8579" w14:textId="77777777" w:rsidR="009021F1" w:rsidRPr="007E3D1A" w:rsidRDefault="009021F1" w:rsidP="009021F1">
      <w:pPr>
        <w:rPr>
          <w:rFonts w:cs="Arial"/>
          <w:sz w:val="22"/>
        </w:rPr>
      </w:pPr>
      <w:r w:rsidRPr="007E3D1A">
        <w:rPr>
          <w:rFonts w:cs="Arial"/>
          <w:sz w:val="22"/>
        </w:rPr>
        <w:t>Chocs électriques ;</w:t>
      </w:r>
    </w:p>
    <w:p w14:paraId="64AC31D2" w14:textId="77777777" w:rsidR="009021F1" w:rsidRPr="007E3D1A" w:rsidRDefault="009021F1" w:rsidP="009021F1">
      <w:pPr>
        <w:rPr>
          <w:rFonts w:cs="Arial"/>
          <w:sz w:val="22"/>
        </w:rPr>
      </w:pPr>
      <w:r w:rsidRPr="007E3D1A">
        <w:rPr>
          <w:rFonts w:cs="Arial"/>
          <w:sz w:val="22"/>
        </w:rPr>
        <w:t>Urgences médicales ;</w:t>
      </w:r>
    </w:p>
    <w:p w14:paraId="3D002E57" w14:textId="77777777" w:rsidR="009021F1" w:rsidRPr="007E3D1A" w:rsidRDefault="009021F1" w:rsidP="009021F1">
      <w:pPr>
        <w:rPr>
          <w:rFonts w:cs="Arial"/>
          <w:sz w:val="22"/>
        </w:rPr>
      </w:pPr>
      <w:r w:rsidRPr="007E3D1A">
        <w:rPr>
          <w:rFonts w:cs="Arial"/>
          <w:sz w:val="22"/>
        </w:rPr>
        <w:t>Confrontation, vol et agression ;</w:t>
      </w:r>
    </w:p>
    <w:p w14:paraId="4AFE8C68" w14:textId="77777777" w:rsidR="009021F1" w:rsidRPr="007E3D1A" w:rsidRDefault="009021F1" w:rsidP="009021F1">
      <w:pPr>
        <w:rPr>
          <w:rFonts w:cs="Arial"/>
          <w:sz w:val="22"/>
        </w:rPr>
      </w:pPr>
      <w:r w:rsidRPr="007E3D1A">
        <w:rPr>
          <w:rFonts w:cs="Arial"/>
          <w:sz w:val="22"/>
        </w:rPr>
        <w:t>Tir d’armes à feu ;</w:t>
      </w:r>
    </w:p>
    <w:p w14:paraId="225D5297" w14:textId="77777777" w:rsidR="009021F1" w:rsidRPr="007E3D1A" w:rsidRDefault="009021F1" w:rsidP="009021F1">
      <w:pPr>
        <w:rPr>
          <w:rFonts w:cs="Arial"/>
          <w:sz w:val="22"/>
        </w:rPr>
      </w:pPr>
      <w:r w:rsidRPr="007E3D1A">
        <w:rPr>
          <w:rFonts w:cs="Arial"/>
          <w:sz w:val="22"/>
        </w:rPr>
        <w:t>Embuscade ;</w:t>
      </w:r>
    </w:p>
    <w:p w14:paraId="71363867" w14:textId="77777777" w:rsidR="009021F1" w:rsidRPr="007E3D1A" w:rsidRDefault="009021F1" w:rsidP="009021F1">
      <w:pPr>
        <w:rPr>
          <w:rFonts w:cs="Arial"/>
          <w:sz w:val="22"/>
        </w:rPr>
      </w:pPr>
      <w:r w:rsidRPr="007E3D1A">
        <w:rPr>
          <w:rFonts w:cs="Arial"/>
          <w:sz w:val="22"/>
        </w:rPr>
        <w:t>Tir indirect (artillerie, mortier ou roquettes) ;</w:t>
      </w:r>
    </w:p>
    <w:p w14:paraId="481EC78C" w14:textId="77777777" w:rsidR="009021F1" w:rsidRPr="007E3D1A" w:rsidRDefault="009021F1" w:rsidP="009021F1">
      <w:pPr>
        <w:rPr>
          <w:rFonts w:cs="Arial"/>
          <w:sz w:val="22"/>
        </w:rPr>
      </w:pPr>
      <w:r w:rsidRPr="007E3D1A">
        <w:rPr>
          <w:rFonts w:cs="Arial"/>
          <w:sz w:val="22"/>
        </w:rPr>
        <w:t>Grenades ;</w:t>
      </w:r>
    </w:p>
    <w:p w14:paraId="5FDA10B6" w14:textId="77777777" w:rsidR="009021F1" w:rsidRPr="007E3D1A" w:rsidRDefault="009021F1" w:rsidP="009021F1">
      <w:pPr>
        <w:rPr>
          <w:rFonts w:cs="Arial"/>
          <w:sz w:val="22"/>
        </w:rPr>
      </w:pPr>
      <w:r w:rsidRPr="007E3D1A">
        <w:rPr>
          <w:rFonts w:cs="Arial"/>
          <w:sz w:val="22"/>
        </w:rPr>
        <w:t>Incidents liés à des explosifs (attentats à la bombe) ;</w:t>
      </w:r>
    </w:p>
    <w:p w14:paraId="4BC00190" w14:textId="77777777" w:rsidR="009021F1" w:rsidRPr="007E3D1A" w:rsidRDefault="009021F1" w:rsidP="009021F1">
      <w:pPr>
        <w:rPr>
          <w:rFonts w:cs="Arial"/>
          <w:sz w:val="22"/>
        </w:rPr>
      </w:pPr>
      <w:r w:rsidRPr="007E3D1A">
        <w:rPr>
          <w:rFonts w:cs="Arial"/>
          <w:sz w:val="22"/>
        </w:rPr>
        <w:t>Enlèvements et prises d'otages ;</w:t>
      </w:r>
    </w:p>
    <w:p w14:paraId="2008DD49" w14:textId="77777777" w:rsidR="009021F1" w:rsidRPr="007E3D1A" w:rsidRDefault="009021F1" w:rsidP="009021F1">
      <w:pPr>
        <w:rPr>
          <w:rFonts w:cs="Arial"/>
          <w:sz w:val="22"/>
        </w:rPr>
      </w:pPr>
      <w:r w:rsidRPr="007E3D1A">
        <w:rPr>
          <w:rFonts w:cs="Arial"/>
          <w:sz w:val="22"/>
        </w:rPr>
        <w:t>Captivité ;</w:t>
      </w:r>
    </w:p>
    <w:p w14:paraId="0F1E098C" w14:textId="77777777" w:rsidR="009021F1" w:rsidRPr="007E3D1A" w:rsidRDefault="009021F1" w:rsidP="009021F1">
      <w:pPr>
        <w:rPr>
          <w:rFonts w:cs="Arial"/>
          <w:sz w:val="22"/>
        </w:rPr>
      </w:pPr>
      <w:r w:rsidRPr="007E3D1A">
        <w:rPr>
          <w:rFonts w:cs="Arial"/>
          <w:sz w:val="22"/>
        </w:rPr>
        <w:t>Négociation ;</w:t>
      </w:r>
    </w:p>
    <w:p w14:paraId="0E60F30A" w14:textId="77777777" w:rsidR="009021F1" w:rsidRPr="007E3D1A" w:rsidRDefault="009021F1" w:rsidP="009021F1">
      <w:pPr>
        <w:rPr>
          <w:rFonts w:cs="Arial"/>
          <w:sz w:val="22"/>
        </w:rPr>
      </w:pPr>
      <w:r w:rsidRPr="007E3D1A">
        <w:rPr>
          <w:rFonts w:cs="Arial"/>
          <w:sz w:val="22"/>
        </w:rPr>
        <w:t>Libération ;</w:t>
      </w:r>
    </w:p>
    <w:p w14:paraId="38587C6F" w14:textId="77777777" w:rsidR="009021F1" w:rsidRPr="007E3D1A" w:rsidRDefault="009021F1" w:rsidP="009021F1">
      <w:pPr>
        <w:rPr>
          <w:rFonts w:cs="Arial"/>
          <w:sz w:val="22"/>
        </w:rPr>
      </w:pPr>
      <w:r w:rsidRPr="007E3D1A">
        <w:rPr>
          <w:rFonts w:cs="Arial"/>
          <w:sz w:val="22"/>
        </w:rPr>
        <w:t>Évacuations ;</w:t>
      </w:r>
    </w:p>
    <w:p w14:paraId="35AA71D6" w14:textId="77777777" w:rsidR="009021F1" w:rsidRPr="007E3D1A" w:rsidRDefault="009021F1" w:rsidP="009021F1">
      <w:pPr>
        <w:rPr>
          <w:rFonts w:cs="Arial"/>
          <w:sz w:val="22"/>
        </w:rPr>
      </w:pPr>
    </w:p>
    <w:p w14:paraId="66DDEB77" w14:textId="77777777" w:rsidR="009021F1" w:rsidRPr="007E3D1A" w:rsidRDefault="009021F1" w:rsidP="009021F1">
      <w:pPr>
        <w:rPr>
          <w:rFonts w:cs="Arial"/>
          <w:sz w:val="22"/>
        </w:rPr>
      </w:pPr>
      <w:r w:rsidRPr="007E3D1A">
        <w:rPr>
          <w:rFonts w:cs="Arial"/>
          <w:sz w:val="22"/>
        </w:rPr>
        <w:t>Engagement des Parties Prenantes</w:t>
      </w:r>
    </w:p>
    <w:p w14:paraId="6A9F346E" w14:textId="77777777" w:rsidR="009021F1" w:rsidRPr="007E3D1A" w:rsidRDefault="009021F1" w:rsidP="009021F1">
      <w:pPr>
        <w:rPr>
          <w:rFonts w:cs="Arial"/>
          <w:sz w:val="22"/>
        </w:rPr>
      </w:pPr>
    </w:p>
    <w:p w14:paraId="78AB57FE" w14:textId="77777777" w:rsidR="009021F1" w:rsidRPr="007E3D1A" w:rsidRDefault="009021F1" w:rsidP="009021F1">
      <w:pPr>
        <w:rPr>
          <w:rFonts w:cs="Arial"/>
          <w:sz w:val="22"/>
        </w:rPr>
      </w:pPr>
      <w:r w:rsidRPr="007E3D1A">
        <w:rPr>
          <w:rFonts w:cs="Arial"/>
          <w:sz w:val="22"/>
        </w:rPr>
        <w:t>L’Entreprise doit :</w:t>
      </w:r>
    </w:p>
    <w:p w14:paraId="605BAB06" w14:textId="77777777" w:rsidR="009021F1" w:rsidRPr="007E3D1A" w:rsidRDefault="009021F1" w:rsidP="009021F1">
      <w:pPr>
        <w:rPr>
          <w:rFonts w:cs="Arial"/>
          <w:sz w:val="22"/>
        </w:rPr>
      </w:pPr>
    </w:p>
    <w:p w14:paraId="37BCF9D8" w14:textId="77777777" w:rsidR="009021F1" w:rsidRPr="007E3D1A" w:rsidRDefault="009021F1" w:rsidP="009021F1">
      <w:pPr>
        <w:rPr>
          <w:rFonts w:cs="Arial"/>
          <w:sz w:val="22"/>
        </w:rPr>
      </w:pPr>
      <w:r w:rsidRPr="007E3D1A">
        <w:rPr>
          <w:rFonts w:cs="Arial"/>
          <w:sz w:val="22"/>
        </w:rPr>
        <w:t>Préparer un plan d'engagement des parties prenantes avec les personnes et les communautés voisines du site de construction, et informera ces personnes et communautés des plans et des calendriers qui pourraient les affecter avant que leurs mises en œuvre ;</w:t>
      </w:r>
    </w:p>
    <w:p w14:paraId="67C9A630" w14:textId="77777777" w:rsidR="009021F1" w:rsidRPr="007E3D1A" w:rsidRDefault="009021F1" w:rsidP="009021F1">
      <w:pPr>
        <w:rPr>
          <w:rFonts w:cs="Arial"/>
          <w:sz w:val="22"/>
        </w:rPr>
      </w:pPr>
      <w:r w:rsidRPr="007E3D1A">
        <w:rPr>
          <w:rFonts w:cs="Arial"/>
          <w:sz w:val="22"/>
        </w:rPr>
        <w:t>Se concerter avec les communautés riveraines des chantiers avant le démarrage des travaux, afin de prendre des arrangements qui faciliteront leur déroulement ;</w:t>
      </w:r>
    </w:p>
    <w:p w14:paraId="3DF96DA8" w14:textId="77777777" w:rsidR="009021F1" w:rsidRPr="007E3D1A" w:rsidRDefault="009021F1" w:rsidP="009021F1">
      <w:pPr>
        <w:rPr>
          <w:rFonts w:cs="Arial"/>
          <w:sz w:val="22"/>
        </w:rPr>
      </w:pPr>
      <w:r w:rsidRPr="007E3D1A">
        <w:rPr>
          <w:rFonts w:cs="Arial"/>
          <w:sz w:val="22"/>
        </w:rPr>
        <w:t>Informer les populations concernées avant toute activité de destruction de champs, des biens impactés dans le cadre du projet.  La libération de l’emprise doit se faire selon un calendrier défini en accord avec les populations affectées et le Maître d’ouvrage ;</w:t>
      </w:r>
    </w:p>
    <w:p w14:paraId="24F0A74A" w14:textId="77777777" w:rsidR="009021F1" w:rsidRPr="007E3D1A" w:rsidRDefault="009021F1" w:rsidP="009021F1">
      <w:pPr>
        <w:rPr>
          <w:rFonts w:cs="Arial"/>
          <w:sz w:val="22"/>
        </w:rPr>
      </w:pPr>
      <w:r w:rsidRPr="007E3D1A">
        <w:rPr>
          <w:rFonts w:cs="Arial"/>
          <w:sz w:val="22"/>
        </w:rPr>
        <w:t>S’assurer que les indemnisations/compensations sont effectivement payées aux ayant-droits par le Maître d’ouvrage avant l’installation et le début des travaux ; et</w:t>
      </w:r>
    </w:p>
    <w:p w14:paraId="3F4E92E1" w14:textId="77777777" w:rsidR="009021F1" w:rsidRPr="007E3D1A" w:rsidRDefault="009021F1" w:rsidP="009021F1">
      <w:pPr>
        <w:rPr>
          <w:rFonts w:cs="Arial"/>
          <w:sz w:val="22"/>
        </w:rPr>
      </w:pPr>
      <w:r w:rsidRPr="007E3D1A">
        <w:rPr>
          <w:rFonts w:cs="Arial"/>
          <w:sz w:val="22"/>
        </w:rPr>
        <w:t>Organiser des réunions avant le démarrage des travaux, sous la supervision du Maître d’ouvrage, avec les autorités locales, les représentants des populations présentes dans la zone du projet ainsi que les services techniques compétents, pour les informer de la consistance des travaux à réaliser et leur durée, des itinéraires concernés et les emplacements susceptibles d'être affectés.</w:t>
      </w:r>
    </w:p>
    <w:p w14:paraId="4465A924" w14:textId="77777777" w:rsidR="009021F1" w:rsidRPr="007E3D1A" w:rsidRDefault="009021F1" w:rsidP="009021F1">
      <w:pPr>
        <w:rPr>
          <w:rFonts w:cs="Arial"/>
          <w:sz w:val="22"/>
        </w:rPr>
      </w:pPr>
    </w:p>
    <w:p w14:paraId="0B169708" w14:textId="77777777" w:rsidR="009021F1" w:rsidRPr="007E3D1A" w:rsidRDefault="009021F1" w:rsidP="009021F1">
      <w:pPr>
        <w:rPr>
          <w:rFonts w:cs="Arial"/>
          <w:sz w:val="22"/>
        </w:rPr>
      </w:pPr>
      <w:r w:rsidRPr="007E3D1A">
        <w:rPr>
          <w:rFonts w:cs="Arial"/>
          <w:sz w:val="22"/>
        </w:rPr>
        <w:t>Suivi Environnemental et Social</w:t>
      </w:r>
    </w:p>
    <w:p w14:paraId="7CACD649" w14:textId="77777777" w:rsidR="009021F1" w:rsidRPr="007E3D1A" w:rsidRDefault="009021F1" w:rsidP="009021F1">
      <w:pPr>
        <w:rPr>
          <w:rFonts w:cs="Arial"/>
          <w:sz w:val="22"/>
        </w:rPr>
      </w:pPr>
    </w:p>
    <w:p w14:paraId="0DA59A32" w14:textId="77777777" w:rsidR="009021F1" w:rsidRPr="007E3D1A" w:rsidRDefault="009021F1" w:rsidP="009021F1">
      <w:pPr>
        <w:rPr>
          <w:rFonts w:cs="Arial"/>
          <w:sz w:val="22"/>
        </w:rPr>
      </w:pPr>
      <w:r w:rsidRPr="007E3D1A">
        <w:rPr>
          <w:rFonts w:cs="Arial"/>
          <w:sz w:val="22"/>
        </w:rPr>
        <w:t>L’Entreprise doit :</w:t>
      </w:r>
    </w:p>
    <w:p w14:paraId="25192464" w14:textId="77777777" w:rsidR="009021F1" w:rsidRPr="007E3D1A" w:rsidRDefault="009021F1" w:rsidP="009021F1">
      <w:pPr>
        <w:rPr>
          <w:rFonts w:cs="Arial"/>
          <w:sz w:val="22"/>
        </w:rPr>
      </w:pPr>
    </w:p>
    <w:p w14:paraId="5095DAF5" w14:textId="77777777" w:rsidR="009021F1" w:rsidRPr="007E3D1A" w:rsidRDefault="009021F1" w:rsidP="009021F1">
      <w:pPr>
        <w:rPr>
          <w:rFonts w:cs="Arial"/>
          <w:sz w:val="22"/>
        </w:rPr>
      </w:pPr>
      <w:r w:rsidRPr="007E3D1A">
        <w:rPr>
          <w:rFonts w:cs="Arial"/>
          <w:sz w:val="22"/>
        </w:rPr>
        <w:t>Tenir à jour un journal de chantier, dans lequel seront consignés les réclamations, les manquements ou incidents ayant un impact significatif sur l’environnement ou à un incident avec la population.  Le journal de chantier est unique pour le chantier et les notes doivent être écrites à l’encre ; et</w:t>
      </w:r>
    </w:p>
    <w:p w14:paraId="1FFDBF8C" w14:textId="77777777" w:rsidR="009021F1" w:rsidRPr="007E3D1A" w:rsidRDefault="009021F1" w:rsidP="009021F1">
      <w:pPr>
        <w:rPr>
          <w:rFonts w:cs="Arial"/>
          <w:sz w:val="22"/>
        </w:rPr>
      </w:pPr>
      <w:r w:rsidRPr="007E3D1A">
        <w:rPr>
          <w:rFonts w:cs="Arial"/>
          <w:sz w:val="22"/>
        </w:rPr>
        <w:t>Informer le public en général, et les populations riveraines en particulier, de l’existence de ce journal, avec indication du lieu où il peut être consulté.</w:t>
      </w:r>
    </w:p>
    <w:p w14:paraId="64AA2FD4" w14:textId="77777777" w:rsidR="009021F1" w:rsidRPr="007E3D1A" w:rsidRDefault="009021F1" w:rsidP="009021F1">
      <w:pPr>
        <w:rPr>
          <w:rFonts w:cs="Arial"/>
          <w:sz w:val="22"/>
        </w:rPr>
      </w:pPr>
    </w:p>
    <w:p w14:paraId="6FF9CD47" w14:textId="77777777" w:rsidR="009021F1" w:rsidRPr="007E3D1A" w:rsidRDefault="009021F1" w:rsidP="009021F1">
      <w:pPr>
        <w:rPr>
          <w:rFonts w:cs="Arial"/>
          <w:sz w:val="22"/>
        </w:rPr>
      </w:pPr>
      <w:r w:rsidRPr="007E3D1A">
        <w:rPr>
          <w:rFonts w:cs="Arial"/>
          <w:sz w:val="22"/>
        </w:rPr>
        <w:t>Assurer le suivi, tenir des registres et rendre compte sur les points suivants :</w:t>
      </w:r>
    </w:p>
    <w:p w14:paraId="5D4500E5" w14:textId="77777777" w:rsidR="009021F1" w:rsidRPr="007E3D1A" w:rsidRDefault="009021F1" w:rsidP="009021F1">
      <w:pPr>
        <w:rPr>
          <w:rFonts w:cs="Arial"/>
          <w:sz w:val="22"/>
        </w:rPr>
      </w:pPr>
    </w:p>
    <w:p w14:paraId="3B4044CE" w14:textId="77777777" w:rsidR="009021F1" w:rsidRPr="007E3D1A" w:rsidRDefault="009021F1" w:rsidP="009021F1">
      <w:pPr>
        <w:rPr>
          <w:rFonts w:eastAsia="Calibri" w:cs="Arial"/>
          <w:sz w:val="22"/>
        </w:rPr>
      </w:pPr>
      <w:r w:rsidRPr="007E3D1A">
        <w:rPr>
          <w:rFonts w:eastAsia="Calibri" w:cs="Arial"/>
          <w:sz w:val="22"/>
        </w:rPr>
        <w:t>Disponibilité du personnel clé.  Responsable E3S, spécialiste de la gestion environnementale, spécialiste de la gestion sociale, spécialiste santé et sécurité, et responsable des relations avec les communautés.</w:t>
      </w:r>
    </w:p>
    <w:p w14:paraId="2B9C7717" w14:textId="77777777" w:rsidR="009021F1" w:rsidRPr="007E3D1A" w:rsidRDefault="009021F1" w:rsidP="009021F1">
      <w:pPr>
        <w:rPr>
          <w:rFonts w:eastAsia="Calibri" w:cs="Arial"/>
          <w:sz w:val="22"/>
        </w:rPr>
      </w:pPr>
    </w:p>
    <w:p w14:paraId="2C91888B" w14:textId="77777777" w:rsidR="009021F1" w:rsidRPr="007E3D1A" w:rsidRDefault="009021F1" w:rsidP="009021F1">
      <w:pPr>
        <w:rPr>
          <w:rFonts w:eastAsia="Calibri" w:cs="Arial"/>
          <w:sz w:val="22"/>
        </w:rPr>
      </w:pPr>
      <w:r w:rsidRPr="007E3D1A">
        <w:rPr>
          <w:rFonts w:eastAsia="Calibri" w:cs="Arial"/>
          <w:sz w:val="22"/>
        </w:rPr>
        <w:t>Sécurité.  Heures travaillées, incidents enregistrables, et analyse des causes sous-jacentes</w:t>
      </w:r>
    </w:p>
    <w:p w14:paraId="66301882" w14:textId="77777777" w:rsidR="009021F1" w:rsidRPr="007E3D1A" w:rsidRDefault="009021F1" w:rsidP="009021F1">
      <w:pPr>
        <w:rPr>
          <w:rFonts w:eastAsia="Calibri" w:cs="Arial"/>
          <w:sz w:val="22"/>
        </w:rPr>
      </w:pPr>
      <w:r w:rsidRPr="007E3D1A">
        <w:rPr>
          <w:rFonts w:eastAsia="Calibri" w:cs="Arial"/>
          <w:sz w:val="22"/>
        </w:rPr>
        <w:t>Incidents environnementaux et quasi-accidents. Incidents environnementaux et quasi-accidents à fort potentiel (poussière, érosion, déversements, dégradation de l'habitat), comment ils ont été résolus, ce qui reste à faire, et les leçons tirées.</w:t>
      </w:r>
    </w:p>
    <w:p w14:paraId="5E290F29" w14:textId="77777777" w:rsidR="009021F1" w:rsidRPr="007E3D1A" w:rsidRDefault="009021F1" w:rsidP="009021F1">
      <w:pPr>
        <w:rPr>
          <w:rFonts w:eastAsia="Calibri" w:cs="Arial"/>
          <w:sz w:val="22"/>
        </w:rPr>
      </w:pPr>
    </w:p>
    <w:p w14:paraId="68379339" w14:textId="77777777" w:rsidR="009021F1" w:rsidRPr="007E3D1A" w:rsidRDefault="009021F1" w:rsidP="009021F1">
      <w:pPr>
        <w:rPr>
          <w:rFonts w:eastAsia="Calibri" w:cs="Arial"/>
          <w:sz w:val="22"/>
        </w:rPr>
      </w:pPr>
      <w:r w:rsidRPr="007E3D1A">
        <w:rPr>
          <w:rFonts w:eastAsia="Calibri" w:cs="Arial"/>
          <w:sz w:val="22"/>
        </w:rPr>
        <w:t>Accidents de la circulation (véhicules du projet et véhicules hors projet).  Indiquer la date, le lieu, les dommages, la cause, et le suivi.</w:t>
      </w:r>
    </w:p>
    <w:p w14:paraId="3717F129" w14:textId="77777777" w:rsidR="009021F1" w:rsidRPr="007E3D1A" w:rsidRDefault="009021F1" w:rsidP="009021F1">
      <w:pPr>
        <w:rPr>
          <w:rFonts w:eastAsia="Calibri" w:cs="Arial"/>
          <w:sz w:val="22"/>
        </w:rPr>
      </w:pPr>
    </w:p>
    <w:p w14:paraId="2C8B8A9C" w14:textId="77777777" w:rsidR="009021F1" w:rsidRPr="007E3D1A" w:rsidRDefault="009021F1" w:rsidP="009021F1">
      <w:pPr>
        <w:rPr>
          <w:rFonts w:eastAsia="Calibri" w:cs="Arial"/>
          <w:sz w:val="22"/>
        </w:rPr>
      </w:pPr>
      <w:r w:rsidRPr="007E3D1A">
        <w:rPr>
          <w:rFonts w:eastAsia="Calibri" w:cs="Arial"/>
          <w:sz w:val="22"/>
        </w:rPr>
        <w:t>Statut des permis et des accords.  Zones/installations pour lesquelles des permis sont requis, dont les carrières, zones pour lesquelles des accords avec les propriétaires fonciers sont requis (zones d'emprunt et de déversement, campements).</w:t>
      </w:r>
    </w:p>
    <w:p w14:paraId="00515EEA" w14:textId="77777777" w:rsidR="009021F1" w:rsidRPr="007E3D1A" w:rsidRDefault="009021F1" w:rsidP="009021F1">
      <w:pPr>
        <w:rPr>
          <w:rFonts w:eastAsia="Calibri" w:cs="Arial"/>
          <w:sz w:val="22"/>
        </w:rPr>
      </w:pPr>
    </w:p>
    <w:p w14:paraId="4CB2DB1F" w14:textId="77777777" w:rsidR="009021F1" w:rsidRPr="007E3D1A" w:rsidRDefault="009021F1" w:rsidP="009021F1">
      <w:pPr>
        <w:rPr>
          <w:rFonts w:eastAsia="Calibri" w:cs="Arial"/>
          <w:sz w:val="22"/>
        </w:rPr>
      </w:pPr>
      <w:r w:rsidRPr="007E3D1A">
        <w:rPr>
          <w:rFonts w:eastAsia="Calibri" w:cs="Arial"/>
          <w:sz w:val="22"/>
        </w:rPr>
        <w:t>Principaux travaux.  Ceux qui ont été entrepris et achevés, les progrès réalisés par rapport au calendrier du projet, et les principales zones de travaux.</w:t>
      </w:r>
    </w:p>
    <w:p w14:paraId="048D233C" w14:textId="77777777" w:rsidR="009021F1" w:rsidRPr="007E3D1A" w:rsidRDefault="009021F1" w:rsidP="009021F1">
      <w:pPr>
        <w:rPr>
          <w:rFonts w:eastAsia="Calibri" w:cs="Arial"/>
          <w:sz w:val="22"/>
        </w:rPr>
      </w:pPr>
    </w:p>
    <w:p w14:paraId="358D7709" w14:textId="77777777" w:rsidR="009021F1" w:rsidRPr="007E3D1A" w:rsidRDefault="009021F1" w:rsidP="009021F1">
      <w:pPr>
        <w:rPr>
          <w:rFonts w:eastAsia="Calibri" w:cs="Arial"/>
          <w:sz w:val="22"/>
        </w:rPr>
      </w:pPr>
      <w:r w:rsidRPr="007E3D1A">
        <w:rPr>
          <w:rFonts w:eastAsia="Calibri" w:cs="Arial"/>
          <w:sz w:val="22"/>
        </w:rPr>
        <w:t>Prescriptions E3S.  Incidents de non-conformité avec les permis et la législation nationale (non-conformité légale), engagements du projet ou autres prescriptions E3S.</w:t>
      </w:r>
    </w:p>
    <w:p w14:paraId="0F1C5DA1" w14:textId="77777777" w:rsidR="009021F1" w:rsidRPr="007E3D1A" w:rsidRDefault="009021F1" w:rsidP="009021F1">
      <w:pPr>
        <w:rPr>
          <w:rFonts w:eastAsia="Calibri" w:cs="Arial"/>
          <w:sz w:val="22"/>
        </w:rPr>
      </w:pPr>
    </w:p>
    <w:p w14:paraId="4E40964B" w14:textId="77777777" w:rsidR="009021F1" w:rsidRPr="007E3D1A" w:rsidRDefault="009021F1" w:rsidP="009021F1">
      <w:pPr>
        <w:rPr>
          <w:rFonts w:eastAsia="Calibri" w:cs="Arial"/>
          <w:sz w:val="22"/>
        </w:rPr>
      </w:pPr>
      <w:r w:rsidRPr="007E3D1A">
        <w:rPr>
          <w:rFonts w:eastAsia="Calibri" w:cs="Arial"/>
          <w:sz w:val="22"/>
        </w:rPr>
        <w:t>Inspections et audits E3S.  Effectués par l’Entreprise, un ingénieur indépendant, lle Maître d’ouvrage délégué ou autre - avec indication de la date, du nom de l'inspecteur ou de l'auditeur, des sites visités et des dossiers examinés, des principales constatations et des mesures prises.</w:t>
      </w:r>
    </w:p>
    <w:p w14:paraId="1ED2ACEA" w14:textId="77777777" w:rsidR="009021F1" w:rsidRPr="007E3D1A" w:rsidRDefault="009021F1" w:rsidP="009021F1">
      <w:pPr>
        <w:rPr>
          <w:rFonts w:eastAsia="Calibri" w:cs="Arial"/>
          <w:sz w:val="22"/>
        </w:rPr>
      </w:pPr>
    </w:p>
    <w:p w14:paraId="1340558B" w14:textId="77777777" w:rsidR="009021F1" w:rsidRPr="007E3D1A" w:rsidRDefault="009021F1" w:rsidP="009021F1">
      <w:pPr>
        <w:rPr>
          <w:rFonts w:eastAsia="Calibri" w:cs="Arial"/>
          <w:sz w:val="22"/>
        </w:rPr>
      </w:pPr>
      <w:r w:rsidRPr="007E3D1A">
        <w:rPr>
          <w:rFonts w:eastAsia="Calibri" w:cs="Arial"/>
          <w:sz w:val="22"/>
        </w:rPr>
        <w:t>Ouvriers.  Nombre d’ouvriers, indication de l'origine (expatrié, local, ressortissants non locaux), sexe, âge avec preuve qu'il n'y a pas de travail des enfants, et niveau de compétence (non qualifié, qualifié, supervision, professionnel, gestion).</w:t>
      </w:r>
    </w:p>
    <w:p w14:paraId="261E6261" w14:textId="77777777" w:rsidR="009021F1" w:rsidRPr="007E3D1A" w:rsidRDefault="009021F1" w:rsidP="009021F1">
      <w:pPr>
        <w:rPr>
          <w:rFonts w:eastAsia="Calibri" w:cs="Arial"/>
          <w:sz w:val="22"/>
        </w:rPr>
      </w:pPr>
    </w:p>
    <w:p w14:paraId="76B0F582" w14:textId="77777777" w:rsidR="009021F1" w:rsidRPr="007E3D1A" w:rsidRDefault="009021F1" w:rsidP="009021F1">
      <w:pPr>
        <w:rPr>
          <w:rFonts w:eastAsia="Calibri" w:cs="Arial"/>
          <w:sz w:val="22"/>
        </w:rPr>
      </w:pPr>
      <w:r w:rsidRPr="007E3D1A">
        <w:rPr>
          <w:rFonts w:eastAsia="Calibri" w:cs="Arial"/>
          <w:sz w:val="22"/>
        </w:rPr>
        <w:t>Logements.  État de la conformité des logements et campements avec la législation et les bonnes pratiques nationales et locales ; mesures prises pour recommander/exiger l'amélioration des conditions, ou pour améliorer les conditions.</w:t>
      </w:r>
    </w:p>
    <w:p w14:paraId="7DC766FF" w14:textId="77777777" w:rsidR="009021F1" w:rsidRPr="007E3D1A" w:rsidRDefault="009021F1" w:rsidP="009021F1">
      <w:pPr>
        <w:rPr>
          <w:rFonts w:eastAsia="Calibri" w:cs="Arial"/>
          <w:sz w:val="22"/>
        </w:rPr>
      </w:pPr>
    </w:p>
    <w:p w14:paraId="65C73EB1" w14:textId="77777777" w:rsidR="009021F1" w:rsidRPr="007E3D1A" w:rsidRDefault="009021F1" w:rsidP="009021F1">
      <w:pPr>
        <w:rPr>
          <w:rFonts w:eastAsia="Calibri" w:cs="Arial"/>
          <w:sz w:val="22"/>
        </w:rPr>
      </w:pPr>
      <w:r w:rsidRPr="007E3D1A">
        <w:rPr>
          <w:rFonts w:eastAsia="Calibri" w:cs="Arial"/>
          <w:sz w:val="22"/>
        </w:rPr>
        <w:t>Formation E3S.  Y compris abus et exploitation sexuels : dates, nombre de stagiaires et thèmes.</w:t>
      </w:r>
    </w:p>
    <w:p w14:paraId="27BD0875" w14:textId="77777777" w:rsidR="009021F1" w:rsidRPr="007E3D1A" w:rsidRDefault="009021F1" w:rsidP="009021F1">
      <w:pPr>
        <w:rPr>
          <w:rFonts w:eastAsia="Calibri" w:cs="Arial"/>
          <w:sz w:val="22"/>
        </w:rPr>
      </w:pPr>
    </w:p>
    <w:p w14:paraId="19FA4985" w14:textId="77777777" w:rsidR="009021F1" w:rsidRPr="007E3D1A" w:rsidRDefault="009021F1" w:rsidP="009021F1">
      <w:pPr>
        <w:rPr>
          <w:rFonts w:eastAsia="Calibri" w:cs="Arial"/>
          <w:sz w:val="22"/>
        </w:rPr>
      </w:pPr>
      <w:r w:rsidRPr="007E3D1A">
        <w:rPr>
          <w:rFonts w:eastAsia="Calibri" w:cs="Arial"/>
          <w:sz w:val="22"/>
        </w:rPr>
        <w:t>Gestion de l'emprise.  Détails de tous travaux effectués en dehors des limites du site ou des impacts majeurs hors site causés par la construction en cours - y compris la date, le lieu, les impacts et les activités entreprises.</w:t>
      </w:r>
    </w:p>
    <w:p w14:paraId="31E34510" w14:textId="77777777" w:rsidR="009021F1" w:rsidRPr="007E3D1A" w:rsidRDefault="009021F1" w:rsidP="009021F1">
      <w:pPr>
        <w:rPr>
          <w:rFonts w:eastAsia="Calibri" w:cs="Arial"/>
          <w:sz w:val="22"/>
        </w:rPr>
      </w:pPr>
    </w:p>
    <w:p w14:paraId="76DD572B" w14:textId="77777777" w:rsidR="009021F1" w:rsidRPr="007E3D1A" w:rsidRDefault="009021F1" w:rsidP="009021F1">
      <w:pPr>
        <w:rPr>
          <w:rFonts w:eastAsia="Calibri" w:cs="Arial"/>
          <w:sz w:val="22"/>
        </w:rPr>
      </w:pPr>
      <w:r w:rsidRPr="007E3D1A">
        <w:rPr>
          <w:rFonts w:eastAsia="Calibri" w:cs="Arial"/>
          <w:sz w:val="22"/>
        </w:rPr>
        <w:t>Engagement des parties prenantes externes.  Faits marquants, y compris les réunions formelles et informelles, ainsi que la divulgation et la diffusion des informations, y compris une ventilation des femmes et des hommes consultés.</w:t>
      </w:r>
    </w:p>
    <w:p w14:paraId="2465FD17" w14:textId="77777777" w:rsidR="009021F1" w:rsidRPr="007E3D1A" w:rsidRDefault="009021F1" w:rsidP="009021F1">
      <w:pPr>
        <w:rPr>
          <w:rFonts w:eastAsia="Calibri" w:cs="Arial"/>
          <w:sz w:val="22"/>
        </w:rPr>
      </w:pPr>
    </w:p>
    <w:p w14:paraId="77AB278E" w14:textId="77777777" w:rsidR="009021F1" w:rsidRPr="007E3D1A" w:rsidRDefault="009021F1" w:rsidP="009021F1">
      <w:pPr>
        <w:rPr>
          <w:rFonts w:eastAsia="Calibri" w:cs="Arial"/>
          <w:sz w:val="22"/>
        </w:rPr>
      </w:pPr>
      <w:r w:rsidRPr="007E3D1A">
        <w:rPr>
          <w:rFonts w:eastAsia="Calibri" w:cs="Arial"/>
          <w:sz w:val="22"/>
        </w:rPr>
        <w:t>Griefs des parties prenantes externes.  Grief et date de soumission, action(s) prise(s) et date(s), résolution (le cas échéant) et date, et suivi à prendre - les griefs énumérés doivent inclure ceux reçus depuis le rapport précédent et ceux qui n'étaient pas résolus au moment de ce rapport.  Les données relatives aux griefs doivent être ventilées par sexe.</w:t>
      </w:r>
    </w:p>
    <w:p w14:paraId="7C19685F" w14:textId="77777777" w:rsidR="009021F1" w:rsidRPr="007E3D1A" w:rsidRDefault="009021F1" w:rsidP="009021F1">
      <w:pPr>
        <w:rPr>
          <w:rFonts w:eastAsia="Calibri" w:cs="Arial"/>
          <w:sz w:val="22"/>
        </w:rPr>
      </w:pPr>
    </w:p>
    <w:p w14:paraId="75C5F307" w14:textId="77777777" w:rsidR="009021F1" w:rsidRPr="007E3D1A" w:rsidRDefault="009021F1" w:rsidP="009021F1">
      <w:pPr>
        <w:rPr>
          <w:rFonts w:eastAsia="Calibri" w:cs="Arial"/>
          <w:sz w:val="22"/>
        </w:rPr>
      </w:pPr>
      <w:r w:rsidRPr="007E3D1A">
        <w:rPr>
          <w:rFonts w:eastAsia="Calibri" w:cs="Arial"/>
          <w:sz w:val="22"/>
        </w:rPr>
        <w:t>Risques de sécurité.  Détails des risques auxquels les ouvriers peuvent être exposés pendant l'exécution de leur travail - les menaces peuvent provenir de tiers extérieurs au projet.</w:t>
      </w:r>
    </w:p>
    <w:p w14:paraId="460950C0" w14:textId="77777777" w:rsidR="009021F1" w:rsidRPr="007E3D1A" w:rsidRDefault="009021F1" w:rsidP="009021F1">
      <w:pPr>
        <w:rPr>
          <w:rFonts w:eastAsia="Calibri" w:cs="Arial"/>
          <w:sz w:val="22"/>
        </w:rPr>
      </w:pPr>
    </w:p>
    <w:p w14:paraId="6E6B9D4E" w14:textId="77777777" w:rsidR="009021F1" w:rsidRPr="007E3D1A" w:rsidRDefault="009021F1" w:rsidP="009021F1">
      <w:pPr>
        <w:rPr>
          <w:rFonts w:eastAsia="Calibri" w:cs="Arial"/>
          <w:sz w:val="22"/>
        </w:rPr>
      </w:pPr>
      <w:r w:rsidRPr="007E3D1A">
        <w:rPr>
          <w:rFonts w:eastAsia="Calibri" w:cs="Arial"/>
          <w:sz w:val="22"/>
        </w:rPr>
        <w:t>Réclamations des ouvriers et employés.  Détails, y compris la date de l'incident, la réclamation et la date à laquelle elle a été soumise ; les mesures prises et les dates ; la résolution (le cas échéant) et la date ; et le suivi qui reste à faire - les réclamations doivent inclure celles reçues depuis le rapport précédent et celles qui n'étaient pas résolues au moment du nouveau rapport.</w:t>
      </w:r>
    </w:p>
    <w:p w14:paraId="317EA516" w14:textId="77777777" w:rsidR="009021F1" w:rsidRPr="007E3D1A" w:rsidRDefault="009021F1" w:rsidP="009021F1">
      <w:pPr>
        <w:rPr>
          <w:rFonts w:eastAsia="Calibri" w:cs="Arial"/>
          <w:sz w:val="22"/>
        </w:rPr>
      </w:pPr>
    </w:p>
    <w:p w14:paraId="628FF842" w14:textId="77777777" w:rsidR="009021F1" w:rsidRPr="007E3D1A" w:rsidRDefault="009021F1" w:rsidP="009021F1">
      <w:pPr>
        <w:rPr>
          <w:rFonts w:eastAsia="Calibri" w:cs="Arial"/>
          <w:sz w:val="22"/>
        </w:rPr>
      </w:pPr>
      <w:r w:rsidRPr="007E3D1A">
        <w:rPr>
          <w:rFonts w:eastAsia="Calibri" w:cs="Arial"/>
          <w:sz w:val="22"/>
        </w:rPr>
        <w:t>Changements majeurs apportés aux pratiques environnementales et sociales de l’Entreprise.</w:t>
      </w:r>
    </w:p>
    <w:p w14:paraId="4833EFD1" w14:textId="77777777" w:rsidR="009021F1" w:rsidRPr="007E3D1A" w:rsidRDefault="009021F1" w:rsidP="009021F1">
      <w:pPr>
        <w:rPr>
          <w:rFonts w:eastAsia="Calibri" w:cs="Arial"/>
          <w:sz w:val="22"/>
        </w:rPr>
      </w:pPr>
      <w:r w:rsidRPr="007E3D1A">
        <w:rPr>
          <w:rFonts w:eastAsia="Calibri" w:cs="Arial"/>
          <w:sz w:val="22"/>
        </w:rPr>
        <w:t>Gestion des insuffisances et de la performance E3S.  Les mesures prises en réponse à des avis d'insuffisance ou à des observations antérieures concernant les performances en matière d'E3S et/ou les plans d'actions à prendre.  Ces mesures ou plans doivent continuer à être signalés au Maître d’ouvrage délégué jusqu'à ce que celle-ci détermine que le problème est résolu de manière satisfaisante.</w:t>
      </w:r>
    </w:p>
    <w:p w14:paraId="0B83F7BA" w14:textId="77777777" w:rsidR="009021F1" w:rsidRPr="007E3D1A" w:rsidRDefault="009021F1" w:rsidP="009021F1">
      <w:pPr>
        <w:rPr>
          <w:rFonts w:eastAsia="Calibri" w:cs="Arial"/>
          <w:sz w:val="22"/>
        </w:rPr>
      </w:pPr>
    </w:p>
    <w:p w14:paraId="60C34308" w14:textId="77777777" w:rsidR="009021F1" w:rsidRPr="007E3D1A" w:rsidRDefault="009021F1" w:rsidP="009021F1">
      <w:pPr>
        <w:rPr>
          <w:rFonts w:cs="Arial"/>
          <w:sz w:val="22"/>
        </w:rPr>
      </w:pPr>
      <w:r w:rsidRPr="007E3D1A">
        <w:rPr>
          <w:rFonts w:cs="Arial"/>
          <w:sz w:val="22"/>
        </w:rPr>
        <w:t xml:space="preserve">Clauses environnementales et sociales liées à la phase d’exploitation et entretien des ouvrages </w:t>
      </w:r>
    </w:p>
    <w:p w14:paraId="3DEF670B" w14:textId="77777777" w:rsidR="009021F1" w:rsidRPr="007E3D1A" w:rsidRDefault="009021F1" w:rsidP="009021F1">
      <w:pPr>
        <w:rPr>
          <w:rFonts w:cs="Arial"/>
          <w:sz w:val="22"/>
        </w:rPr>
      </w:pPr>
    </w:p>
    <w:p w14:paraId="2450E25F" w14:textId="77777777" w:rsidR="009021F1" w:rsidRPr="007E3D1A" w:rsidRDefault="009021F1" w:rsidP="009021F1">
      <w:pPr>
        <w:rPr>
          <w:rFonts w:cs="Arial"/>
          <w:sz w:val="22"/>
        </w:rPr>
      </w:pPr>
      <w:r w:rsidRPr="007E3D1A">
        <w:rPr>
          <w:rFonts w:cs="Arial"/>
          <w:sz w:val="22"/>
        </w:rPr>
        <w:t>L’entretien et l’exploitation des différents sous-projets seront assurés par les entités bénéficiaires à savoir le service technique sectoriel (OVDA pour les routes de desserte agricole, RVF pour les voies navigables, l’administration locale pour les marchés et dépôt agricoles). Pour assurer une bonne gestion environnementale et sociale durant cette phase les entités adopteront les dispositions suivantes :</w:t>
      </w:r>
    </w:p>
    <w:p w14:paraId="4E091407" w14:textId="77777777" w:rsidR="009021F1" w:rsidRPr="007E3D1A" w:rsidRDefault="009021F1" w:rsidP="009021F1">
      <w:pPr>
        <w:rPr>
          <w:rFonts w:cs="Arial"/>
          <w:sz w:val="22"/>
        </w:rPr>
      </w:pPr>
      <w:r w:rsidRPr="007E3D1A">
        <w:rPr>
          <w:rFonts w:cs="Arial"/>
          <w:sz w:val="22"/>
        </w:rPr>
        <w:t xml:space="preserve"> </w:t>
      </w:r>
    </w:p>
    <w:p w14:paraId="4D522F40" w14:textId="77777777" w:rsidR="009021F1" w:rsidRPr="007E3D1A" w:rsidRDefault="009021F1" w:rsidP="009021F1">
      <w:pPr>
        <w:rPr>
          <w:rFonts w:cs="Arial"/>
          <w:sz w:val="22"/>
        </w:rPr>
      </w:pPr>
      <w:r w:rsidRPr="007E3D1A">
        <w:rPr>
          <w:rFonts w:cs="Arial"/>
          <w:sz w:val="22"/>
        </w:rPr>
        <w:t xml:space="preserve">Dispositions particulières pour la phase d’exploitation </w:t>
      </w:r>
    </w:p>
    <w:p w14:paraId="64EB9ADE" w14:textId="77777777" w:rsidR="009021F1" w:rsidRPr="007E3D1A" w:rsidRDefault="009021F1" w:rsidP="009021F1">
      <w:pPr>
        <w:rPr>
          <w:rFonts w:cs="Arial"/>
          <w:sz w:val="22"/>
        </w:rPr>
      </w:pPr>
    </w:p>
    <w:p w14:paraId="3DA110B6" w14:textId="77777777" w:rsidR="009021F1" w:rsidRPr="007E3D1A" w:rsidRDefault="009021F1" w:rsidP="009021F1">
      <w:pPr>
        <w:rPr>
          <w:rFonts w:cs="Arial"/>
          <w:sz w:val="22"/>
        </w:rPr>
      </w:pPr>
      <w:r w:rsidRPr="007E3D1A">
        <w:rPr>
          <w:rFonts w:cs="Arial"/>
          <w:sz w:val="22"/>
        </w:rPr>
        <w:t>Les prescriptions environnementales et sociales ci-dessous reprennent les principales dispositions destinées à limiter les impacts environnementaux et sociaux pendant la phase d’exploitation</w:t>
      </w:r>
    </w:p>
    <w:p w14:paraId="670AFCB1" w14:textId="77777777" w:rsidR="009021F1" w:rsidRPr="007E3D1A" w:rsidRDefault="009021F1" w:rsidP="009021F1">
      <w:pPr>
        <w:rPr>
          <w:rFonts w:cs="Arial"/>
          <w:sz w:val="22"/>
        </w:rPr>
      </w:pPr>
    </w:p>
    <w:p w14:paraId="2B8D05B1" w14:textId="77777777" w:rsidR="009021F1" w:rsidRPr="007E3D1A" w:rsidRDefault="009021F1" w:rsidP="009021F1">
      <w:pPr>
        <w:rPr>
          <w:rFonts w:cs="Arial"/>
          <w:sz w:val="22"/>
        </w:rPr>
      </w:pPr>
      <w:r w:rsidRPr="007E3D1A">
        <w:rPr>
          <w:rFonts w:cs="Arial"/>
          <w:sz w:val="22"/>
        </w:rPr>
        <w:t xml:space="preserve">Responsable Hygiène, Santé, Sécurité et Environnement </w:t>
      </w:r>
    </w:p>
    <w:p w14:paraId="5C2026A6" w14:textId="77777777" w:rsidR="009021F1" w:rsidRPr="007E3D1A" w:rsidRDefault="009021F1" w:rsidP="009021F1">
      <w:pPr>
        <w:rPr>
          <w:rFonts w:cs="Arial"/>
          <w:sz w:val="22"/>
        </w:rPr>
      </w:pPr>
    </w:p>
    <w:p w14:paraId="587795DB" w14:textId="77777777" w:rsidR="009021F1" w:rsidRPr="007E3D1A" w:rsidRDefault="009021F1" w:rsidP="009021F1">
      <w:pPr>
        <w:rPr>
          <w:rFonts w:cs="Arial"/>
          <w:sz w:val="22"/>
        </w:rPr>
      </w:pPr>
      <w:r w:rsidRPr="007E3D1A">
        <w:rPr>
          <w:rFonts w:cs="Arial"/>
          <w:sz w:val="22"/>
        </w:rPr>
        <w:t>Chaque Entité bénéficiaire d’un sous projet doit désigner parmi son personnel un responsable Hygiene ,Santé, Sécurité et Environnement (RHSSE) qui fera le suivi des prescriptions environnementales, sociales, sanitaires, et sécuritaires  sur le site du sous-projet tant pour ses employés ainsi que pour la population riveraine.</w:t>
      </w:r>
    </w:p>
    <w:p w14:paraId="7EBCCD71" w14:textId="77777777" w:rsidR="009021F1" w:rsidRPr="007E3D1A" w:rsidRDefault="009021F1" w:rsidP="009021F1">
      <w:pPr>
        <w:rPr>
          <w:rFonts w:cs="Arial"/>
          <w:sz w:val="22"/>
        </w:rPr>
      </w:pPr>
    </w:p>
    <w:p w14:paraId="2C2274EB" w14:textId="77777777" w:rsidR="009021F1" w:rsidRPr="007E3D1A" w:rsidRDefault="009021F1" w:rsidP="009021F1">
      <w:pPr>
        <w:rPr>
          <w:rFonts w:cs="Arial"/>
          <w:sz w:val="22"/>
        </w:rPr>
      </w:pPr>
      <w:r w:rsidRPr="007E3D1A">
        <w:rPr>
          <w:rFonts w:cs="Arial"/>
          <w:sz w:val="22"/>
        </w:rPr>
        <w:t xml:space="preserve">Dispositions pour la gestion des déchets </w:t>
      </w:r>
    </w:p>
    <w:p w14:paraId="40EC216E" w14:textId="77777777" w:rsidR="009021F1" w:rsidRPr="007E3D1A" w:rsidRDefault="009021F1" w:rsidP="009021F1">
      <w:pPr>
        <w:rPr>
          <w:rFonts w:cs="Arial"/>
          <w:sz w:val="22"/>
        </w:rPr>
      </w:pPr>
    </w:p>
    <w:p w14:paraId="3DCB4C6E" w14:textId="77777777" w:rsidR="009021F1" w:rsidRPr="007E3D1A" w:rsidRDefault="009021F1" w:rsidP="009021F1">
      <w:pPr>
        <w:rPr>
          <w:rFonts w:cs="Arial"/>
          <w:sz w:val="22"/>
        </w:rPr>
      </w:pPr>
      <w:r w:rsidRPr="007E3D1A">
        <w:rPr>
          <w:rFonts w:cs="Arial"/>
          <w:sz w:val="22"/>
        </w:rPr>
        <w:t xml:space="preserve">Chaque Entité bénéficiaire va assurer la gestion des déchets liés à l’exploitation et l’entretien des infrastructures du sous-projet. Il devra assurer la collecte et l’évacuation des déchets vers les sites autorisés pendant la phase d’exploitation. </w:t>
      </w:r>
    </w:p>
    <w:p w14:paraId="3B3FFF23" w14:textId="77777777" w:rsidR="009021F1" w:rsidRPr="007E3D1A" w:rsidRDefault="009021F1" w:rsidP="009021F1">
      <w:pPr>
        <w:rPr>
          <w:rFonts w:eastAsia="Calibri" w:cs="Arial"/>
          <w:sz w:val="22"/>
        </w:rPr>
      </w:pPr>
    </w:p>
    <w:p w14:paraId="212BC020" w14:textId="77777777" w:rsidR="009021F1" w:rsidRPr="007E3D1A" w:rsidRDefault="009021F1" w:rsidP="009021F1">
      <w:pPr>
        <w:rPr>
          <w:rFonts w:cs="Arial"/>
          <w:sz w:val="22"/>
        </w:rPr>
      </w:pPr>
      <w:r w:rsidRPr="007E3D1A">
        <w:rPr>
          <w:rFonts w:cs="Arial"/>
          <w:sz w:val="22"/>
        </w:rPr>
        <w:t xml:space="preserve">Entretien des ouvrages d’assainissement, la lutte contre l’érosion et l’ensablement </w:t>
      </w:r>
    </w:p>
    <w:p w14:paraId="2676605F" w14:textId="77777777" w:rsidR="009021F1" w:rsidRPr="007E3D1A" w:rsidRDefault="009021F1" w:rsidP="009021F1">
      <w:pPr>
        <w:rPr>
          <w:rFonts w:cs="Arial"/>
          <w:sz w:val="22"/>
        </w:rPr>
      </w:pPr>
    </w:p>
    <w:p w14:paraId="265BE0B3" w14:textId="77777777" w:rsidR="009021F1" w:rsidRPr="007E3D1A" w:rsidRDefault="009021F1" w:rsidP="009021F1">
      <w:pPr>
        <w:rPr>
          <w:rFonts w:cs="Arial"/>
          <w:sz w:val="22"/>
        </w:rPr>
      </w:pPr>
      <w:r w:rsidRPr="007E3D1A">
        <w:rPr>
          <w:rFonts w:cs="Arial"/>
          <w:sz w:val="22"/>
        </w:rPr>
        <w:t xml:space="preserve">L’Entité bénéficiaire va périodiquement procéder au curage des ouvrages d’assainissement se trouvant sur le site du sous-projet pour limiter les érosions, les inondations et l’ensablement. Les travaux d’entretien concernent également le curage des cours d’eau servant d’exutoire, </w:t>
      </w:r>
    </w:p>
    <w:p w14:paraId="2DC7F1BE" w14:textId="77777777" w:rsidR="009021F1" w:rsidRPr="007E3D1A" w:rsidRDefault="009021F1" w:rsidP="009021F1">
      <w:pPr>
        <w:rPr>
          <w:rFonts w:cs="Arial"/>
          <w:sz w:val="22"/>
        </w:rPr>
      </w:pPr>
    </w:p>
    <w:p w14:paraId="6A91E122" w14:textId="77777777" w:rsidR="009021F1" w:rsidRPr="007E3D1A" w:rsidRDefault="009021F1" w:rsidP="009021F1">
      <w:pPr>
        <w:rPr>
          <w:rFonts w:cs="Arial"/>
          <w:sz w:val="22"/>
        </w:rPr>
      </w:pPr>
      <w:r w:rsidRPr="007E3D1A">
        <w:rPr>
          <w:rFonts w:cs="Arial"/>
          <w:sz w:val="22"/>
        </w:rPr>
        <w:t>Gestion de la Main-D'œuvre et Conditions de Travail</w:t>
      </w:r>
    </w:p>
    <w:p w14:paraId="7976D0C1" w14:textId="77777777" w:rsidR="009021F1" w:rsidRPr="007E3D1A" w:rsidRDefault="009021F1" w:rsidP="009021F1">
      <w:pPr>
        <w:rPr>
          <w:rFonts w:cs="Arial"/>
          <w:sz w:val="22"/>
        </w:rPr>
      </w:pPr>
      <w:r w:rsidRPr="007E3D1A">
        <w:rPr>
          <w:rFonts w:cs="Arial"/>
          <w:sz w:val="22"/>
        </w:rPr>
        <w:t>L’Entité bénéficiaire devra respecter le Code du Travail de la RDC et S’assurer que les conditions de travail de ses employés respectent les lois et règlements nationaux en vigueur, Il doit:</w:t>
      </w:r>
    </w:p>
    <w:p w14:paraId="5E338288" w14:textId="77777777" w:rsidR="009021F1" w:rsidRPr="007E3D1A" w:rsidRDefault="009021F1" w:rsidP="009021F1">
      <w:pPr>
        <w:rPr>
          <w:rFonts w:cs="Arial"/>
          <w:sz w:val="22"/>
        </w:rPr>
      </w:pPr>
      <w:r w:rsidRPr="007E3D1A">
        <w:rPr>
          <w:rFonts w:cs="Arial"/>
          <w:sz w:val="22"/>
        </w:rPr>
        <w:t>Éviter strictement d’employer directement ou indirectement des enfants et les mineurs pendant l’exploitation des infrastructures ;</w:t>
      </w:r>
    </w:p>
    <w:p w14:paraId="79239683" w14:textId="77777777" w:rsidR="009021F1" w:rsidRPr="007E3D1A" w:rsidRDefault="009021F1" w:rsidP="009021F1">
      <w:pPr>
        <w:rPr>
          <w:rFonts w:cs="Arial"/>
          <w:sz w:val="22"/>
        </w:rPr>
      </w:pPr>
      <w:r w:rsidRPr="007E3D1A">
        <w:rPr>
          <w:rFonts w:cs="Arial"/>
          <w:sz w:val="22"/>
        </w:rPr>
        <w:t>Interdire à son personnel la consommation  des stupéfiants et des boissons alcoolisées pendant les heures de travail ;</w:t>
      </w:r>
    </w:p>
    <w:p w14:paraId="65520A23" w14:textId="77777777" w:rsidR="009021F1" w:rsidRPr="007E3D1A" w:rsidRDefault="009021F1" w:rsidP="009021F1">
      <w:pPr>
        <w:rPr>
          <w:rFonts w:cs="Arial"/>
          <w:sz w:val="22"/>
        </w:rPr>
      </w:pPr>
      <w:r w:rsidRPr="007E3D1A">
        <w:rPr>
          <w:rFonts w:cs="Arial"/>
          <w:sz w:val="22"/>
        </w:rPr>
        <w:t>Veiller à l'égalité des sexes pendant le recrutement de personnel et faciliter l’emploi des femmes.</w:t>
      </w:r>
    </w:p>
    <w:p w14:paraId="175BC5F2" w14:textId="77777777" w:rsidR="009021F1" w:rsidRPr="007E3D1A" w:rsidRDefault="009021F1" w:rsidP="009021F1">
      <w:pPr>
        <w:rPr>
          <w:rFonts w:cs="Arial"/>
          <w:sz w:val="22"/>
        </w:rPr>
      </w:pPr>
    </w:p>
    <w:p w14:paraId="36C5979A" w14:textId="77777777" w:rsidR="009021F1" w:rsidRPr="007E3D1A" w:rsidRDefault="009021F1" w:rsidP="009021F1">
      <w:pPr>
        <w:rPr>
          <w:rFonts w:cs="Arial"/>
          <w:sz w:val="22"/>
        </w:rPr>
      </w:pPr>
      <w:r w:rsidRPr="007E3D1A">
        <w:rPr>
          <w:rFonts w:cs="Arial"/>
          <w:sz w:val="22"/>
        </w:rPr>
        <w:t>COVID-19</w:t>
      </w:r>
    </w:p>
    <w:p w14:paraId="5555BBBF" w14:textId="77777777" w:rsidR="009021F1" w:rsidRPr="007E3D1A" w:rsidRDefault="009021F1" w:rsidP="009021F1">
      <w:pPr>
        <w:rPr>
          <w:rFonts w:cs="Arial"/>
          <w:sz w:val="22"/>
        </w:rPr>
      </w:pPr>
    </w:p>
    <w:p w14:paraId="55106F31" w14:textId="77777777" w:rsidR="009021F1" w:rsidRPr="007E3D1A" w:rsidRDefault="009021F1" w:rsidP="009021F1">
      <w:pPr>
        <w:rPr>
          <w:rFonts w:cs="Arial"/>
          <w:sz w:val="22"/>
        </w:rPr>
      </w:pPr>
      <w:r w:rsidRPr="007E3D1A">
        <w:rPr>
          <w:rFonts w:cs="Arial"/>
          <w:sz w:val="22"/>
        </w:rPr>
        <w:t>Dans le contexte de la pandémie COVID-19, l’Entité bénéficiaire devra élaborer et mettre en œuvre des mesures visant à prévenir ou à réduire au minimum la pandémie, et indiquant ce qu'il convient de faire si un travailleur tombe malade :</w:t>
      </w:r>
    </w:p>
    <w:p w14:paraId="72869EB6" w14:textId="77777777" w:rsidR="009021F1" w:rsidRPr="007E3D1A" w:rsidRDefault="009021F1" w:rsidP="009021F1">
      <w:pPr>
        <w:rPr>
          <w:rFonts w:cs="Arial"/>
          <w:sz w:val="22"/>
        </w:rPr>
      </w:pPr>
      <w:r w:rsidRPr="007E3D1A">
        <w:rPr>
          <w:rFonts w:cs="Arial"/>
          <w:sz w:val="22"/>
        </w:rPr>
        <w:t xml:space="preserve">  </w:t>
      </w:r>
    </w:p>
    <w:p w14:paraId="3183AC3F" w14:textId="77777777" w:rsidR="009021F1" w:rsidRPr="007E3D1A" w:rsidRDefault="009021F1" w:rsidP="009021F1">
      <w:pPr>
        <w:rPr>
          <w:rFonts w:cs="Arial"/>
          <w:sz w:val="22"/>
        </w:rPr>
      </w:pPr>
      <w:r w:rsidRPr="007E3D1A">
        <w:rPr>
          <w:rFonts w:cs="Arial"/>
          <w:sz w:val="22"/>
        </w:rPr>
        <w:t>Appliquer les mesures barrières ;</w:t>
      </w:r>
    </w:p>
    <w:p w14:paraId="2373B7BE" w14:textId="77777777" w:rsidR="009021F1" w:rsidRPr="007E3D1A" w:rsidRDefault="009021F1" w:rsidP="009021F1">
      <w:pPr>
        <w:rPr>
          <w:rFonts w:cs="Arial"/>
          <w:sz w:val="22"/>
        </w:rPr>
      </w:pPr>
    </w:p>
    <w:p w14:paraId="295CB91C" w14:textId="77777777" w:rsidR="009021F1" w:rsidRPr="007E3D1A" w:rsidRDefault="009021F1" w:rsidP="009021F1">
      <w:pPr>
        <w:rPr>
          <w:rFonts w:cs="Arial"/>
          <w:sz w:val="22"/>
        </w:rPr>
      </w:pPr>
      <w:r w:rsidRPr="007E3D1A">
        <w:rPr>
          <w:rFonts w:cs="Arial"/>
          <w:sz w:val="22"/>
        </w:rPr>
        <w:t xml:space="preserve">(port des masques, contrôle de température et lavage des mains l'entrée en refusant l’accès au site aux travailleurs et visiteurs malades </w:t>
      </w:r>
    </w:p>
    <w:p w14:paraId="65362CC7" w14:textId="77777777" w:rsidR="009021F1" w:rsidRPr="007E3D1A" w:rsidRDefault="009021F1" w:rsidP="009021F1">
      <w:pPr>
        <w:rPr>
          <w:rFonts w:cs="Arial"/>
          <w:sz w:val="22"/>
        </w:rPr>
      </w:pPr>
      <w:r w:rsidRPr="007E3D1A">
        <w:rPr>
          <w:rFonts w:cs="Arial"/>
          <w:sz w:val="22"/>
        </w:rPr>
        <w:t>Former le RHSSE sur l'hygiène et les mesures préventives, et mettre en œuvre une stratégie de communication, y compris des mises à jour régulières sur les questions liées à COVID-19 ;</w:t>
      </w:r>
    </w:p>
    <w:p w14:paraId="6A60C4AD" w14:textId="77777777" w:rsidR="009021F1" w:rsidRPr="007E3D1A" w:rsidRDefault="009021F1" w:rsidP="009021F1">
      <w:pPr>
        <w:rPr>
          <w:rFonts w:cs="Arial"/>
          <w:sz w:val="22"/>
        </w:rPr>
      </w:pPr>
      <w:r w:rsidRPr="007E3D1A">
        <w:rPr>
          <w:rFonts w:cs="Arial"/>
          <w:sz w:val="22"/>
        </w:rPr>
        <w:t>Adapter des pratiques de travail permettant de réduire le nombre de travailleurs et d’accroître la distance sociale ;</w:t>
      </w:r>
    </w:p>
    <w:p w14:paraId="1D6620C1" w14:textId="77777777" w:rsidR="009021F1" w:rsidRPr="007E3D1A" w:rsidRDefault="009021F1" w:rsidP="009021F1">
      <w:pPr>
        <w:rPr>
          <w:rFonts w:cs="Arial"/>
          <w:sz w:val="22"/>
        </w:rPr>
      </w:pPr>
      <w:r w:rsidRPr="007E3D1A">
        <w:rPr>
          <w:rFonts w:cs="Arial"/>
          <w:sz w:val="22"/>
        </w:rPr>
        <w:t>Développer les relations avec les établissements de santé locaux, et organiser le traitement des travailleurs malades ;</w:t>
      </w:r>
    </w:p>
    <w:p w14:paraId="720341E9" w14:textId="77777777" w:rsidR="009021F1" w:rsidRPr="007E3D1A" w:rsidRDefault="009021F1" w:rsidP="009021F1">
      <w:pPr>
        <w:rPr>
          <w:rFonts w:cs="Arial"/>
          <w:sz w:val="22"/>
        </w:rPr>
      </w:pPr>
      <w:r w:rsidRPr="007E3D1A">
        <w:rPr>
          <w:rFonts w:cs="Arial"/>
          <w:sz w:val="22"/>
        </w:rPr>
        <w:t>Établir la procédure à suivre si un travailleur tombe malade (en suivant les directives de l'OMS) ;</w:t>
      </w:r>
    </w:p>
    <w:p w14:paraId="02047186" w14:textId="77777777" w:rsidR="009021F1" w:rsidRPr="007E3D1A" w:rsidRDefault="009021F1" w:rsidP="009021F1">
      <w:pPr>
        <w:rPr>
          <w:rFonts w:cs="Arial"/>
          <w:sz w:val="22"/>
        </w:rPr>
      </w:pPr>
      <w:r w:rsidRPr="007E3D1A">
        <w:rPr>
          <w:rFonts w:cs="Arial"/>
          <w:sz w:val="22"/>
        </w:rPr>
        <w:t>Mettre en œuvre une stratégie de communication avec la communauté, les dirigeants communautaires et les autorités locales en ce qui concerne les questions relatives à COVID-19 sur les sites du sous Projet.</w:t>
      </w:r>
    </w:p>
    <w:p w14:paraId="7F83C81D" w14:textId="77777777" w:rsidR="009021F1" w:rsidRPr="007E3D1A" w:rsidRDefault="009021F1" w:rsidP="009021F1">
      <w:pPr>
        <w:rPr>
          <w:rFonts w:cs="Arial"/>
          <w:sz w:val="22"/>
        </w:rPr>
      </w:pPr>
    </w:p>
    <w:p w14:paraId="7DA107B4" w14:textId="77777777" w:rsidR="009021F1" w:rsidRPr="007E3D1A" w:rsidRDefault="009021F1" w:rsidP="009021F1">
      <w:pPr>
        <w:rPr>
          <w:rFonts w:cs="Arial"/>
          <w:sz w:val="22"/>
        </w:rPr>
      </w:pPr>
      <w:r w:rsidRPr="007E3D1A">
        <w:rPr>
          <w:rFonts w:cs="Arial"/>
          <w:sz w:val="22"/>
        </w:rPr>
        <w:t>Prévention, atténuation er réponse contre les VBG/EAS/HS</w:t>
      </w:r>
    </w:p>
    <w:p w14:paraId="25B18F62" w14:textId="77777777" w:rsidR="009021F1" w:rsidRPr="007E3D1A" w:rsidRDefault="009021F1" w:rsidP="009021F1">
      <w:pPr>
        <w:rPr>
          <w:rFonts w:cs="Arial"/>
          <w:sz w:val="22"/>
        </w:rPr>
      </w:pPr>
    </w:p>
    <w:p w14:paraId="27D67A58" w14:textId="77777777" w:rsidR="009021F1" w:rsidRPr="007E3D1A" w:rsidRDefault="009021F1" w:rsidP="009021F1">
      <w:pPr>
        <w:rPr>
          <w:rFonts w:cs="Arial"/>
          <w:sz w:val="22"/>
        </w:rPr>
      </w:pPr>
      <w:r w:rsidRPr="007E3D1A">
        <w:rPr>
          <w:rFonts w:cs="Arial"/>
          <w:sz w:val="22"/>
        </w:rPr>
        <w:t>L’Entité bénéficiaire doit informer et former son personnel sur les risques liés aux VBG/EAS/HS. Il doit veiller à créer un environnement dans lequel les incidents des VBG ne se perpétuent pas. Il doit prévoir des mesures de prévention comme : (i) l’affichage du code de conduite dans des lieux visibles et accessibles pour tous les travailleurs, et cela dans différentes langues, (ii) faciliter la formation des travailleurs, et la signature du Code de Conduite etc.</w:t>
      </w:r>
    </w:p>
    <w:p w14:paraId="6A205057" w14:textId="77777777" w:rsidR="009021F1" w:rsidRPr="007E3D1A" w:rsidRDefault="009021F1" w:rsidP="009021F1">
      <w:pPr>
        <w:rPr>
          <w:rFonts w:cs="Arial"/>
          <w:sz w:val="22"/>
        </w:rPr>
      </w:pPr>
    </w:p>
    <w:p w14:paraId="74B719A8" w14:textId="77777777" w:rsidR="009021F1" w:rsidRPr="007E3D1A" w:rsidRDefault="009021F1" w:rsidP="009021F1">
      <w:pPr>
        <w:rPr>
          <w:rFonts w:cs="Arial"/>
          <w:sz w:val="22"/>
        </w:rPr>
      </w:pPr>
      <w:r w:rsidRPr="007E3D1A">
        <w:rPr>
          <w:rFonts w:cs="Arial"/>
          <w:sz w:val="22"/>
        </w:rPr>
        <w:t>Les actes de VBG ou VCE constituent une faute grave et sont donc des motifs de sanctions, qui peuvent inclure des sanctions et/ou la cessation d'emploi, et si nécessaire le renvoi à la police pour d'autres mesures</w:t>
      </w:r>
    </w:p>
    <w:p w14:paraId="2F602C22" w14:textId="77777777" w:rsidR="009021F1" w:rsidRPr="007E3D1A" w:rsidRDefault="009021F1" w:rsidP="009021F1">
      <w:pPr>
        <w:rPr>
          <w:rFonts w:cs="Arial"/>
          <w:sz w:val="22"/>
        </w:rPr>
      </w:pPr>
      <w:r w:rsidRPr="007E3D1A">
        <w:rPr>
          <w:rFonts w:cs="Arial"/>
          <w:sz w:val="22"/>
        </w:rPr>
        <w:t>L’Entité bénéficiaire doit multiplier les sensibilisations des travailleurs et de la population riveraine sur le code de bonne conduite et la prévention du sexe contre argent/contre un service et ou une faveur.</w:t>
      </w:r>
    </w:p>
    <w:p w14:paraId="1789CF9F" w14:textId="77777777" w:rsidR="009021F1" w:rsidRPr="007E3D1A" w:rsidRDefault="009021F1" w:rsidP="009021F1">
      <w:pPr>
        <w:rPr>
          <w:rFonts w:cs="Arial"/>
          <w:sz w:val="22"/>
        </w:rPr>
      </w:pPr>
    </w:p>
    <w:p w14:paraId="1CEED43D" w14:textId="77777777" w:rsidR="009021F1" w:rsidRPr="007E3D1A" w:rsidRDefault="009021F1" w:rsidP="009021F1">
      <w:pPr>
        <w:rPr>
          <w:rFonts w:cs="Arial"/>
          <w:sz w:val="22"/>
        </w:rPr>
      </w:pPr>
      <w:r w:rsidRPr="007E3D1A">
        <w:rPr>
          <w:rFonts w:cs="Arial"/>
          <w:sz w:val="22"/>
        </w:rPr>
        <w:t>Sécurité et hygiène sur site</w:t>
      </w:r>
    </w:p>
    <w:p w14:paraId="1150FAF6" w14:textId="77777777" w:rsidR="009021F1" w:rsidRPr="007E3D1A" w:rsidRDefault="009021F1" w:rsidP="009021F1">
      <w:pPr>
        <w:rPr>
          <w:rFonts w:cs="Arial"/>
          <w:sz w:val="22"/>
        </w:rPr>
      </w:pPr>
    </w:p>
    <w:p w14:paraId="6AB857D4" w14:textId="77777777" w:rsidR="009021F1" w:rsidRPr="007E3D1A" w:rsidRDefault="009021F1" w:rsidP="009021F1">
      <w:pPr>
        <w:rPr>
          <w:rFonts w:cs="Arial"/>
          <w:sz w:val="22"/>
        </w:rPr>
      </w:pPr>
      <w:r w:rsidRPr="007E3D1A">
        <w:rPr>
          <w:rFonts w:cs="Arial"/>
          <w:sz w:val="22"/>
        </w:rPr>
        <w:t>L’Entité bénéficiaire doit :</w:t>
      </w:r>
    </w:p>
    <w:p w14:paraId="3D0E3D27" w14:textId="77777777" w:rsidR="009021F1" w:rsidRPr="007E3D1A" w:rsidRDefault="009021F1" w:rsidP="009021F1">
      <w:pPr>
        <w:rPr>
          <w:rFonts w:cs="Arial"/>
          <w:sz w:val="22"/>
        </w:rPr>
      </w:pPr>
    </w:p>
    <w:p w14:paraId="664CD28A" w14:textId="77777777" w:rsidR="009021F1" w:rsidRPr="007E3D1A" w:rsidRDefault="009021F1" w:rsidP="009021F1">
      <w:pPr>
        <w:rPr>
          <w:rFonts w:cs="Arial"/>
          <w:sz w:val="22"/>
        </w:rPr>
      </w:pPr>
      <w:r w:rsidRPr="007E3D1A">
        <w:rPr>
          <w:rFonts w:cs="Arial"/>
          <w:sz w:val="22"/>
        </w:rPr>
        <w:t>Organiser la circulation routière sur le site afin d’éviter les accidents en plaçant des panneaux de signalisation à l’intérieur du site pour signaler les parkings et autres endroits dangereux et éviter d’obstruer les entrées aux différents services ;</w:t>
      </w:r>
    </w:p>
    <w:p w14:paraId="2C35DC04" w14:textId="77777777" w:rsidR="009021F1" w:rsidRPr="007E3D1A" w:rsidRDefault="009021F1" w:rsidP="009021F1">
      <w:pPr>
        <w:rPr>
          <w:rFonts w:cs="Arial"/>
          <w:sz w:val="22"/>
        </w:rPr>
      </w:pPr>
      <w:r w:rsidRPr="007E3D1A">
        <w:rPr>
          <w:rFonts w:cs="Arial"/>
          <w:sz w:val="22"/>
        </w:rPr>
        <w:t>Assurer l’accès aux propriétés riveraines du site du sous projet ;</w:t>
      </w:r>
    </w:p>
    <w:p w14:paraId="29463DCD" w14:textId="77777777" w:rsidR="009021F1" w:rsidRPr="007E3D1A" w:rsidRDefault="009021F1" w:rsidP="009021F1">
      <w:pPr>
        <w:rPr>
          <w:rFonts w:cs="Arial"/>
          <w:sz w:val="22"/>
        </w:rPr>
      </w:pPr>
      <w:r w:rsidRPr="007E3D1A">
        <w:rPr>
          <w:rFonts w:cs="Arial"/>
          <w:sz w:val="22"/>
        </w:rPr>
        <w:t xml:space="preserve">Placer des dispositifs antiincendies sur site (extincteur, etc.) ; et </w:t>
      </w:r>
    </w:p>
    <w:p w14:paraId="06BDABBB" w14:textId="77777777" w:rsidR="009021F1" w:rsidRPr="007E3D1A" w:rsidRDefault="009021F1" w:rsidP="009021F1">
      <w:pPr>
        <w:rPr>
          <w:rFonts w:cs="Arial"/>
          <w:sz w:val="22"/>
        </w:rPr>
      </w:pPr>
      <w:r w:rsidRPr="007E3D1A">
        <w:rPr>
          <w:rFonts w:cs="Arial"/>
          <w:sz w:val="22"/>
        </w:rPr>
        <w:t>Assurer l’entretien journalier des installations hygiéniques par un personnel permanent y affecté,</w:t>
      </w:r>
    </w:p>
    <w:p w14:paraId="3571D8A3" w14:textId="77777777" w:rsidR="009021F1" w:rsidRPr="007E3D1A" w:rsidRDefault="009021F1" w:rsidP="009021F1">
      <w:pPr>
        <w:rPr>
          <w:rFonts w:cs="Arial"/>
          <w:sz w:val="22"/>
        </w:rPr>
      </w:pPr>
    </w:p>
    <w:p w14:paraId="6B90A56D" w14:textId="77777777" w:rsidR="009021F1" w:rsidRPr="007E3D1A" w:rsidRDefault="009021F1" w:rsidP="009021F1">
      <w:pPr>
        <w:rPr>
          <w:rFonts w:cs="Arial"/>
          <w:sz w:val="22"/>
        </w:rPr>
      </w:pPr>
      <w:r w:rsidRPr="007E3D1A">
        <w:rPr>
          <w:rFonts w:cs="Arial"/>
          <w:sz w:val="22"/>
        </w:rPr>
        <w:t xml:space="preserve">Dispositions à la protection des arbres plantés </w:t>
      </w:r>
    </w:p>
    <w:p w14:paraId="272739FD" w14:textId="77777777" w:rsidR="009021F1" w:rsidRPr="007E3D1A" w:rsidRDefault="009021F1" w:rsidP="009021F1">
      <w:pPr>
        <w:rPr>
          <w:rFonts w:cs="Arial"/>
          <w:sz w:val="22"/>
        </w:rPr>
      </w:pPr>
    </w:p>
    <w:p w14:paraId="26E86E43" w14:textId="77777777" w:rsidR="009021F1" w:rsidRPr="007E3D1A" w:rsidRDefault="009021F1" w:rsidP="009021F1">
      <w:pPr>
        <w:rPr>
          <w:rFonts w:cs="Arial"/>
          <w:sz w:val="22"/>
        </w:rPr>
      </w:pPr>
      <w:r w:rsidRPr="007E3D1A">
        <w:rPr>
          <w:rFonts w:cs="Arial"/>
          <w:sz w:val="22"/>
        </w:rPr>
        <w:t>L’Entité bénéficiaire du sous projet doit faire le suivi de la croissance des arbres plantés sur le site du sous projet y compris la protection de la végétation antiérosive. Il devra remplacer les arabes qui n’ont pas poussé par d’autres et assurer leur protection.</w:t>
      </w:r>
    </w:p>
    <w:p w14:paraId="3DDAC187" w14:textId="77777777" w:rsidR="009021F1" w:rsidRPr="007E3D1A" w:rsidRDefault="009021F1" w:rsidP="009021F1">
      <w:pPr>
        <w:rPr>
          <w:rFonts w:cs="Arial"/>
          <w:sz w:val="22"/>
        </w:rPr>
      </w:pPr>
      <w:r w:rsidRPr="007E3D1A">
        <w:rPr>
          <w:rFonts w:cs="Arial"/>
          <w:sz w:val="22"/>
        </w:rPr>
        <w:t>Exemple Format : Avis D'Incident d'ESS (hors des incidents liés à VBG/EAS/HS)</w:t>
      </w:r>
    </w:p>
    <w:p w14:paraId="0C3F32EF" w14:textId="77777777" w:rsidR="009021F1" w:rsidRDefault="009021F1" w:rsidP="009021F1">
      <w:pPr>
        <w:rPr>
          <w:rFonts w:cs="Arial"/>
          <w:sz w:val="22"/>
        </w:rPr>
      </w:pPr>
    </w:p>
    <w:p w14:paraId="6F91BAF6" w14:textId="77777777" w:rsidR="009021F1" w:rsidRDefault="009021F1" w:rsidP="009021F1">
      <w:pPr>
        <w:rPr>
          <w:rFonts w:cs="Arial"/>
          <w:sz w:val="22"/>
        </w:rPr>
      </w:pPr>
    </w:p>
    <w:p w14:paraId="44BE5BCA" w14:textId="77777777" w:rsidR="009021F1" w:rsidRDefault="009021F1" w:rsidP="009021F1">
      <w:pPr>
        <w:rPr>
          <w:rFonts w:cs="Arial"/>
          <w:sz w:val="22"/>
        </w:rPr>
      </w:pPr>
    </w:p>
    <w:p w14:paraId="55D427ED" w14:textId="77777777" w:rsidR="009021F1" w:rsidRDefault="009021F1" w:rsidP="009021F1">
      <w:pPr>
        <w:rPr>
          <w:rFonts w:cs="Arial"/>
          <w:sz w:val="22"/>
        </w:rPr>
      </w:pPr>
    </w:p>
    <w:p w14:paraId="470C9D3E" w14:textId="77777777" w:rsidR="009021F1" w:rsidRDefault="009021F1" w:rsidP="009021F1">
      <w:pPr>
        <w:rPr>
          <w:rFonts w:cs="Arial"/>
          <w:sz w:val="22"/>
        </w:rPr>
      </w:pPr>
    </w:p>
    <w:p w14:paraId="49F92DD0" w14:textId="77777777" w:rsidR="009021F1" w:rsidRDefault="009021F1" w:rsidP="009021F1">
      <w:pPr>
        <w:rPr>
          <w:rFonts w:cs="Arial"/>
          <w:sz w:val="22"/>
        </w:rPr>
      </w:pPr>
      <w:r>
        <w:rPr>
          <w:rFonts w:cs="Arial"/>
          <w:sz w:val="22"/>
        </w:rPr>
        <w:br w:type="page"/>
      </w:r>
    </w:p>
    <w:p w14:paraId="775F59AE" w14:textId="77777777" w:rsidR="009021F1" w:rsidRPr="00372F9C" w:rsidRDefault="009021F1" w:rsidP="009021F1">
      <w:pPr>
        <w:ind w:left="1418" w:hanging="1418"/>
        <w:rPr>
          <w:rFonts w:cs="Arial"/>
          <w:b/>
          <w:bCs/>
          <w:sz w:val="22"/>
        </w:rPr>
      </w:pPr>
      <w:r w:rsidRPr="00372F9C">
        <w:rPr>
          <w:rFonts w:cs="Arial"/>
          <w:b/>
          <w:bCs/>
          <w:sz w:val="22"/>
        </w:rPr>
        <w:t xml:space="preserve">ANNEXE 4. TERMES DE RÉFÉRENCE TYPE POUR LA RÉALISATION D’UNE ÉTUDE D’IMPACT ENVIRONNEMENTAL ET SOCIAL </w:t>
      </w:r>
    </w:p>
    <w:p w14:paraId="20004F3D" w14:textId="77777777" w:rsidR="009021F1" w:rsidRPr="007E3D1A" w:rsidRDefault="009021F1" w:rsidP="009021F1">
      <w:pPr>
        <w:rPr>
          <w:rFonts w:cs="Arial"/>
          <w:sz w:val="22"/>
        </w:rPr>
      </w:pPr>
    </w:p>
    <w:p w14:paraId="46ECA7B5" w14:textId="77777777" w:rsidR="009021F1" w:rsidRPr="007E3D1A" w:rsidRDefault="009021F1" w:rsidP="009021F1">
      <w:pPr>
        <w:rPr>
          <w:rFonts w:cs="Arial"/>
          <w:sz w:val="22"/>
        </w:rPr>
      </w:pPr>
      <w:r w:rsidRPr="007E3D1A">
        <w:rPr>
          <w:rFonts w:cs="Arial"/>
          <w:sz w:val="22"/>
        </w:rPr>
        <w:t>Le Consultant préparera une EIES qui suit la structure et traiter le contenu détaillé ci-dessous</w:t>
      </w:r>
      <w:r w:rsidRPr="007E3D1A">
        <w:rPr>
          <w:rFonts w:cs="Arial"/>
          <w:sz w:val="22"/>
        </w:rPr>
        <w:footnoteReference w:id="48"/>
      </w:r>
      <w:r w:rsidRPr="007E3D1A">
        <w:rPr>
          <w:rFonts w:cs="Arial"/>
          <w:sz w:val="22"/>
        </w:rPr>
        <w:t>.  Bien que l’EIES soit constituée de différents chapitres et sections, le Consultant assurera l’articulation entre ces chapitres et sections, afin de constituer un tout cohérent, compréhensible, et facile à lire.</w:t>
      </w:r>
    </w:p>
    <w:p w14:paraId="7FEAAEB4" w14:textId="77777777" w:rsidR="009021F1" w:rsidRPr="007E3D1A" w:rsidRDefault="009021F1" w:rsidP="009021F1">
      <w:pPr>
        <w:rPr>
          <w:rFonts w:cs="Arial"/>
          <w:sz w:val="22"/>
        </w:rPr>
      </w:pPr>
    </w:p>
    <w:p w14:paraId="693D3B6E" w14:textId="77777777" w:rsidR="009021F1" w:rsidRPr="007E3D1A" w:rsidRDefault="009021F1" w:rsidP="009021F1">
      <w:pPr>
        <w:rPr>
          <w:rFonts w:cs="Arial"/>
          <w:sz w:val="22"/>
        </w:rPr>
      </w:pPr>
      <w:r w:rsidRPr="007E3D1A">
        <w:rPr>
          <w:rFonts w:cs="Arial"/>
          <w:sz w:val="22"/>
        </w:rPr>
        <w:t>Page de Garde</w:t>
      </w:r>
    </w:p>
    <w:p w14:paraId="6D1DD788" w14:textId="77777777" w:rsidR="009021F1" w:rsidRPr="007E3D1A" w:rsidRDefault="009021F1" w:rsidP="009021F1">
      <w:pPr>
        <w:rPr>
          <w:rFonts w:cs="Arial"/>
          <w:sz w:val="22"/>
        </w:rPr>
      </w:pPr>
    </w:p>
    <w:p w14:paraId="2CE25DD1" w14:textId="77777777" w:rsidR="009021F1" w:rsidRPr="007E3D1A" w:rsidRDefault="009021F1" w:rsidP="009021F1">
      <w:pPr>
        <w:rPr>
          <w:rFonts w:cs="Arial"/>
          <w:sz w:val="22"/>
        </w:rPr>
      </w:pPr>
      <w:r w:rsidRPr="007E3D1A">
        <w:rPr>
          <w:rFonts w:cs="Arial"/>
          <w:sz w:val="22"/>
        </w:rPr>
        <w:t>La page de garde indiquera l’institution pour qui l’EIES a été préparée, le sousprojet concerné par l’EIES, la date de soumission du document, et son envers indiquera le nom du Consultant, et présentera un tableau retraçant l’historique des différentes versions.</w:t>
      </w:r>
    </w:p>
    <w:p w14:paraId="0335D380" w14:textId="77777777" w:rsidR="009021F1" w:rsidRPr="007E3D1A" w:rsidRDefault="009021F1" w:rsidP="009021F1">
      <w:pPr>
        <w:rPr>
          <w:rFonts w:cs="Arial"/>
          <w:sz w:val="22"/>
        </w:rPr>
      </w:pPr>
    </w:p>
    <w:p w14:paraId="42FF8E4C" w14:textId="77777777" w:rsidR="009021F1" w:rsidRPr="007E3D1A" w:rsidRDefault="009021F1" w:rsidP="009021F1">
      <w:pPr>
        <w:rPr>
          <w:rFonts w:cs="Arial"/>
          <w:sz w:val="22"/>
        </w:rPr>
      </w:pPr>
      <w:r w:rsidRPr="007E3D1A">
        <w:rPr>
          <w:rFonts w:cs="Arial"/>
          <w:sz w:val="22"/>
        </w:rPr>
        <w:t>Table des matières</w:t>
      </w:r>
    </w:p>
    <w:p w14:paraId="6102C750" w14:textId="77777777" w:rsidR="009021F1" w:rsidRPr="007E3D1A" w:rsidRDefault="009021F1" w:rsidP="009021F1">
      <w:pPr>
        <w:rPr>
          <w:rFonts w:cs="Arial"/>
          <w:sz w:val="22"/>
        </w:rPr>
      </w:pPr>
    </w:p>
    <w:p w14:paraId="42A52067" w14:textId="77777777" w:rsidR="009021F1" w:rsidRPr="007E3D1A" w:rsidRDefault="009021F1" w:rsidP="009021F1">
      <w:pPr>
        <w:rPr>
          <w:rFonts w:cs="Arial"/>
          <w:sz w:val="22"/>
        </w:rPr>
      </w:pPr>
      <w:r w:rsidRPr="007E3D1A">
        <w:rPr>
          <w:rFonts w:cs="Arial"/>
          <w:sz w:val="22"/>
        </w:rPr>
        <w:t>La Table des matières détaillera au moins les trois premiers niveaux d’organisation du document (Chapitre, Section et Sous-section).  Elle sera générée automatiquement sous Word, ce qui demande l’utilisation systématique d’une hiérarchie de titres dans le document.</w:t>
      </w:r>
    </w:p>
    <w:p w14:paraId="53D8EF2D" w14:textId="77777777" w:rsidR="009021F1" w:rsidRPr="007E3D1A" w:rsidRDefault="009021F1" w:rsidP="009021F1">
      <w:pPr>
        <w:rPr>
          <w:rFonts w:cs="Arial"/>
          <w:sz w:val="22"/>
        </w:rPr>
      </w:pPr>
    </w:p>
    <w:p w14:paraId="445C706F" w14:textId="77777777" w:rsidR="009021F1" w:rsidRPr="007E3D1A" w:rsidRDefault="009021F1" w:rsidP="009021F1">
      <w:pPr>
        <w:rPr>
          <w:rFonts w:cs="Arial"/>
          <w:sz w:val="22"/>
        </w:rPr>
      </w:pPr>
      <w:r w:rsidRPr="007E3D1A">
        <w:rPr>
          <w:rFonts w:cs="Arial"/>
          <w:sz w:val="22"/>
        </w:rPr>
        <w:t>Sigles et acronymes</w:t>
      </w:r>
    </w:p>
    <w:p w14:paraId="2952190F" w14:textId="77777777" w:rsidR="009021F1" w:rsidRPr="007E3D1A" w:rsidRDefault="009021F1" w:rsidP="009021F1">
      <w:pPr>
        <w:rPr>
          <w:rFonts w:cs="Arial"/>
          <w:sz w:val="22"/>
        </w:rPr>
      </w:pPr>
    </w:p>
    <w:p w14:paraId="4D9819E8" w14:textId="77777777" w:rsidR="009021F1" w:rsidRPr="007E3D1A" w:rsidRDefault="009021F1" w:rsidP="009021F1">
      <w:pPr>
        <w:rPr>
          <w:rFonts w:cs="Arial"/>
          <w:sz w:val="22"/>
        </w:rPr>
      </w:pPr>
      <w:r w:rsidRPr="007E3D1A">
        <w:rPr>
          <w:rFonts w:cs="Arial"/>
          <w:sz w:val="22"/>
        </w:rPr>
        <w:t>Cette section inclura tous les sigles et acronymes mentionnés dans l’EIES</w:t>
      </w:r>
    </w:p>
    <w:p w14:paraId="5F26C1BB" w14:textId="77777777" w:rsidR="009021F1" w:rsidRPr="007E3D1A" w:rsidRDefault="009021F1" w:rsidP="009021F1">
      <w:pPr>
        <w:rPr>
          <w:rFonts w:cs="Arial"/>
          <w:sz w:val="22"/>
        </w:rPr>
      </w:pPr>
      <w:r w:rsidRPr="007E3D1A">
        <w:rPr>
          <w:rFonts w:cs="Arial"/>
          <w:sz w:val="22"/>
        </w:rPr>
        <w:t>Résumé non-technique</w:t>
      </w:r>
    </w:p>
    <w:p w14:paraId="6CE304B6" w14:textId="77777777" w:rsidR="009021F1" w:rsidRPr="007E3D1A" w:rsidRDefault="009021F1" w:rsidP="009021F1">
      <w:pPr>
        <w:rPr>
          <w:rFonts w:cs="Arial"/>
          <w:sz w:val="22"/>
        </w:rPr>
      </w:pPr>
    </w:p>
    <w:p w14:paraId="5C38BBE4" w14:textId="77777777" w:rsidR="009021F1" w:rsidRPr="007E3D1A" w:rsidRDefault="009021F1" w:rsidP="009021F1">
      <w:pPr>
        <w:rPr>
          <w:rFonts w:cs="Arial"/>
          <w:sz w:val="22"/>
        </w:rPr>
      </w:pPr>
      <w:r w:rsidRPr="007E3D1A">
        <w:rPr>
          <w:rFonts w:cs="Arial"/>
          <w:sz w:val="22"/>
        </w:rPr>
        <w:t>Le résumé non-technique décrit avec concision les principales conclusions et les actions recommandées.  Il est préparé en français, en anglais et en Tshiluba, Swahili et Kikongo.</w:t>
      </w:r>
    </w:p>
    <w:p w14:paraId="078D0AC0" w14:textId="77777777" w:rsidR="009021F1" w:rsidRPr="007E3D1A" w:rsidRDefault="009021F1" w:rsidP="009021F1">
      <w:pPr>
        <w:rPr>
          <w:rFonts w:cs="Arial"/>
          <w:sz w:val="22"/>
        </w:rPr>
      </w:pPr>
    </w:p>
    <w:p w14:paraId="48E210F6" w14:textId="77777777" w:rsidR="009021F1" w:rsidRPr="007E3D1A" w:rsidRDefault="009021F1" w:rsidP="009021F1">
      <w:pPr>
        <w:rPr>
          <w:rFonts w:cs="Arial"/>
          <w:sz w:val="22"/>
        </w:rPr>
      </w:pPr>
      <w:r w:rsidRPr="007E3D1A">
        <w:rPr>
          <w:rFonts w:cs="Arial"/>
          <w:sz w:val="22"/>
        </w:rPr>
        <w:t>NOTE : Le consultant redémarrera la numérotation des pages à partir du Chapitre 1.</w:t>
      </w:r>
    </w:p>
    <w:p w14:paraId="23B18376" w14:textId="77777777" w:rsidR="009021F1" w:rsidRPr="007E3D1A" w:rsidRDefault="009021F1" w:rsidP="009021F1">
      <w:pPr>
        <w:rPr>
          <w:rFonts w:cs="Arial"/>
          <w:sz w:val="22"/>
        </w:rPr>
      </w:pPr>
    </w:p>
    <w:p w14:paraId="6C0D1464" w14:textId="77777777" w:rsidR="009021F1" w:rsidRPr="007E3D1A" w:rsidRDefault="009021F1" w:rsidP="009021F1">
      <w:pPr>
        <w:rPr>
          <w:rFonts w:cs="Arial"/>
          <w:sz w:val="22"/>
        </w:rPr>
      </w:pPr>
      <w:r w:rsidRPr="007E3D1A">
        <w:rPr>
          <w:rFonts w:cs="Arial"/>
          <w:sz w:val="22"/>
        </w:rPr>
        <w:t>Introduction et Contexte</w:t>
      </w:r>
    </w:p>
    <w:p w14:paraId="4CD427F4" w14:textId="77777777" w:rsidR="009021F1" w:rsidRPr="007E3D1A" w:rsidRDefault="009021F1" w:rsidP="009021F1">
      <w:pPr>
        <w:rPr>
          <w:rFonts w:cs="Arial"/>
          <w:sz w:val="22"/>
        </w:rPr>
      </w:pPr>
    </w:p>
    <w:p w14:paraId="020D9D93" w14:textId="77777777" w:rsidR="009021F1" w:rsidRPr="007E3D1A" w:rsidRDefault="009021F1" w:rsidP="009021F1">
      <w:pPr>
        <w:rPr>
          <w:rFonts w:cs="Arial"/>
          <w:sz w:val="22"/>
        </w:rPr>
      </w:pPr>
      <w:r w:rsidRPr="007E3D1A">
        <w:rPr>
          <w:rFonts w:cs="Arial"/>
          <w:sz w:val="22"/>
        </w:rPr>
        <w:t>Explique la raison d’être du document et identifie l’entité pour laquelle il a été préparé.</w:t>
      </w:r>
    </w:p>
    <w:p w14:paraId="5F62D363" w14:textId="77777777" w:rsidR="009021F1" w:rsidRPr="007E3D1A" w:rsidRDefault="009021F1" w:rsidP="009021F1">
      <w:pPr>
        <w:rPr>
          <w:rFonts w:cs="Arial"/>
          <w:sz w:val="22"/>
        </w:rPr>
      </w:pPr>
      <w:r w:rsidRPr="007E3D1A">
        <w:rPr>
          <w:rFonts w:cs="Arial"/>
          <w:sz w:val="22"/>
        </w:rPr>
        <w:t>Explique les objectifs du Projet</w:t>
      </w:r>
    </w:p>
    <w:p w14:paraId="6D5465A4" w14:textId="77777777" w:rsidR="009021F1" w:rsidRPr="007E3D1A" w:rsidRDefault="009021F1" w:rsidP="009021F1">
      <w:pPr>
        <w:rPr>
          <w:rFonts w:cs="Arial"/>
          <w:sz w:val="22"/>
        </w:rPr>
      </w:pPr>
      <w:r w:rsidRPr="007E3D1A">
        <w:rPr>
          <w:rFonts w:cs="Arial"/>
          <w:sz w:val="22"/>
        </w:rPr>
        <w:t>Fournit le contexte et l'historique des activités concernés par l’EIES</w:t>
      </w:r>
    </w:p>
    <w:p w14:paraId="59CC2BE7" w14:textId="77777777" w:rsidR="009021F1" w:rsidRPr="007E3D1A" w:rsidRDefault="009021F1" w:rsidP="009021F1">
      <w:pPr>
        <w:rPr>
          <w:rFonts w:cs="Arial"/>
          <w:sz w:val="22"/>
        </w:rPr>
      </w:pPr>
      <w:r w:rsidRPr="007E3D1A">
        <w:rPr>
          <w:rFonts w:cs="Arial"/>
          <w:sz w:val="22"/>
        </w:rPr>
        <w:t>Présente la méthodologie de l’EIES incluant l’approche de définition de la zone d’influence, les méthodes d’échantillonnage et de collecte des données.</w:t>
      </w:r>
    </w:p>
    <w:p w14:paraId="08BD2958" w14:textId="77777777" w:rsidR="009021F1" w:rsidRPr="007E3D1A" w:rsidRDefault="009021F1" w:rsidP="009021F1">
      <w:pPr>
        <w:rPr>
          <w:rFonts w:cs="Arial"/>
          <w:sz w:val="22"/>
        </w:rPr>
      </w:pPr>
    </w:p>
    <w:p w14:paraId="5BE7C213" w14:textId="77777777" w:rsidR="009021F1" w:rsidRPr="007E3D1A" w:rsidRDefault="009021F1" w:rsidP="009021F1">
      <w:pPr>
        <w:rPr>
          <w:rFonts w:cs="Arial"/>
          <w:sz w:val="22"/>
        </w:rPr>
      </w:pPr>
      <w:r w:rsidRPr="007E3D1A">
        <w:rPr>
          <w:rFonts w:cs="Arial"/>
          <w:sz w:val="22"/>
        </w:rPr>
        <w:t>Description du sous-projet concerné par l’EIES</w:t>
      </w:r>
    </w:p>
    <w:p w14:paraId="650D3A14" w14:textId="77777777" w:rsidR="009021F1" w:rsidRPr="007E3D1A" w:rsidRDefault="009021F1" w:rsidP="009021F1">
      <w:pPr>
        <w:rPr>
          <w:rFonts w:cs="Arial"/>
          <w:sz w:val="22"/>
        </w:rPr>
      </w:pPr>
    </w:p>
    <w:p w14:paraId="4779EFAD" w14:textId="77777777" w:rsidR="009021F1" w:rsidRPr="007E3D1A" w:rsidRDefault="009021F1" w:rsidP="009021F1">
      <w:pPr>
        <w:rPr>
          <w:rFonts w:cs="Arial"/>
          <w:sz w:val="22"/>
        </w:rPr>
      </w:pPr>
      <w:r w:rsidRPr="007E3D1A">
        <w:rPr>
          <w:rFonts w:cs="Arial"/>
          <w:sz w:val="22"/>
        </w:rPr>
        <w:t>Précise l’entité de mise en œuvre du sous-projet et l’administration de tutelle</w:t>
      </w:r>
    </w:p>
    <w:p w14:paraId="2BEC9498" w14:textId="77777777" w:rsidR="009021F1" w:rsidRPr="007E3D1A" w:rsidRDefault="009021F1" w:rsidP="009021F1">
      <w:pPr>
        <w:rPr>
          <w:rFonts w:cs="Arial"/>
          <w:sz w:val="22"/>
        </w:rPr>
      </w:pPr>
      <w:r w:rsidRPr="007E3D1A">
        <w:rPr>
          <w:rFonts w:cs="Arial"/>
          <w:sz w:val="22"/>
        </w:rPr>
        <w:t>Résume les études techniques.  En particulier il décrit, localise et délimite les activités concernées et toute installation associée</w:t>
      </w:r>
      <w:r w:rsidRPr="007E3D1A">
        <w:rPr>
          <w:rFonts w:cs="Arial"/>
          <w:sz w:val="22"/>
        </w:rPr>
        <w:footnoteReference w:id="49"/>
      </w:r>
      <w:r w:rsidRPr="007E3D1A">
        <w:rPr>
          <w:rFonts w:cs="Arial"/>
          <w:sz w:val="22"/>
        </w:rPr>
        <w:t>, en indiquant la nature et la taille potentielle des travaux de construction et des investissements physiques, y compris les investissements hors du site principal qui seront nécessaires (par exemple des voies d’accès, des réseaux électriques, des adductions d’eau, des logements, des installations de stockage de matières premières et d’autres produits, des carrières ou zones d’emprunts, ou des sites d’élimination des déchets), ainsi que les fournisseurs principaux du projet.</w:t>
      </w:r>
    </w:p>
    <w:p w14:paraId="2E0D4F68" w14:textId="77777777" w:rsidR="009021F1" w:rsidRPr="007E3D1A" w:rsidRDefault="009021F1" w:rsidP="009021F1">
      <w:pPr>
        <w:rPr>
          <w:rFonts w:cs="Arial"/>
          <w:sz w:val="22"/>
        </w:rPr>
      </w:pPr>
      <w:r w:rsidRPr="007E3D1A">
        <w:rPr>
          <w:rFonts w:cs="Arial"/>
          <w:sz w:val="22"/>
        </w:rPr>
        <w:br/>
        <w:t>Ce résumé devra présenter brièvement les éléments qui déterminent le choix des caractéristiques techniques particulières proposées pour le projet, précise et justifie le type, quantité et technologie/méthodes/emplacement choisi pour une meilleure maîtrise des risques et impacts du projet. De plus, il devra Inclure également un résumé des intrants, procédés et produits pour toutes les phases du projet. Emplois (type/quantité) à créer et services de main-d'œuvre connexes : assurer la cohérence avec le PGMO si applicable.</w:t>
      </w:r>
    </w:p>
    <w:p w14:paraId="4FAC077F" w14:textId="77777777" w:rsidR="009021F1" w:rsidRPr="007E3D1A" w:rsidRDefault="009021F1" w:rsidP="009021F1">
      <w:pPr>
        <w:rPr>
          <w:rFonts w:cs="Arial"/>
          <w:sz w:val="22"/>
        </w:rPr>
      </w:pPr>
      <w:r w:rsidRPr="007E3D1A">
        <w:rPr>
          <w:rFonts w:cs="Arial"/>
          <w:sz w:val="22"/>
        </w:rPr>
        <w:t>Comprend un calendrier estimatif des travaux</w:t>
      </w:r>
    </w:p>
    <w:p w14:paraId="15A86E41" w14:textId="77777777" w:rsidR="009021F1" w:rsidRPr="007E3D1A" w:rsidRDefault="009021F1" w:rsidP="009021F1">
      <w:pPr>
        <w:rPr>
          <w:rFonts w:cs="Arial"/>
          <w:sz w:val="22"/>
        </w:rPr>
      </w:pPr>
      <w:r w:rsidRPr="007E3D1A">
        <w:rPr>
          <w:rFonts w:cs="Arial"/>
          <w:sz w:val="22"/>
        </w:rPr>
        <w:t>Comprend des cartes suffisamment détaillées et à des échelles appropriées, localisant le sous-projet, et illustrant la disposition des aménagements proposés (il est approprié d’utiliser des figures provenant des documents techniques si elles sont adéquates)</w:t>
      </w:r>
    </w:p>
    <w:p w14:paraId="799A624A" w14:textId="77777777" w:rsidR="009021F1" w:rsidRPr="007E3D1A" w:rsidRDefault="009021F1" w:rsidP="009021F1">
      <w:pPr>
        <w:rPr>
          <w:rFonts w:cs="Arial"/>
          <w:sz w:val="22"/>
        </w:rPr>
      </w:pPr>
    </w:p>
    <w:p w14:paraId="32B9B74E" w14:textId="77777777" w:rsidR="009021F1" w:rsidRPr="007E3D1A" w:rsidRDefault="009021F1" w:rsidP="009021F1">
      <w:pPr>
        <w:rPr>
          <w:rFonts w:cs="Arial"/>
          <w:sz w:val="22"/>
        </w:rPr>
      </w:pPr>
      <w:r w:rsidRPr="007E3D1A">
        <w:rPr>
          <w:rFonts w:cs="Arial"/>
          <w:sz w:val="22"/>
        </w:rPr>
        <w:t>Cadre juridique et institutionnel</w:t>
      </w:r>
    </w:p>
    <w:p w14:paraId="19BA0015" w14:textId="77777777" w:rsidR="009021F1" w:rsidRPr="007E3D1A" w:rsidRDefault="009021F1" w:rsidP="009021F1">
      <w:pPr>
        <w:rPr>
          <w:rFonts w:cs="Arial"/>
          <w:sz w:val="22"/>
        </w:rPr>
      </w:pPr>
    </w:p>
    <w:p w14:paraId="0FA1E9D1" w14:textId="77777777" w:rsidR="009021F1" w:rsidRPr="007E3D1A" w:rsidRDefault="009021F1" w:rsidP="009021F1">
      <w:pPr>
        <w:rPr>
          <w:rFonts w:cs="Arial"/>
          <w:sz w:val="22"/>
        </w:rPr>
      </w:pPr>
      <w:r w:rsidRPr="007E3D1A">
        <w:rPr>
          <w:rFonts w:cs="Arial"/>
          <w:sz w:val="22"/>
        </w:rPr>
        <w:t>Ce chapitre se concentre uniquement sur les dispositions pertinentes aux activités du Projet.  Il :</w:t>
      </w:r>
    </w:p>
    <w:p w14:paraId="5193B5A4" w14:textId="77777777" w:rsidR="009021F1" w:rsidRPr="007E3D1A" w:rsidRDefault="009021F1" w:rsidP="009021F1">
      <w:pPr>
        <w:rPr>
          <w:rFonts w:cs="Arial"/>
          <w:sz w:val="22"/>
        </w:rPr>
      </w:pPr>
      <w:r w:rsidRPr="007E3D1A">
        <w:rPr>
          <w:rFonts w:cs="Arial"/>
          <w:sz w:val="22"/>
        </w:rPr>
        <w:t>Décrit et analyse :</w:t>
      </w:r>
    </w:p>
    <w:p w14:paraId="2AAC2FB1" w14:textId="77777777" w:rsidR="009021F1" w:rsidRPr="007E3D1A" w:rsidRDefault="009021F1" w:rsidP="009021F1">
      <w:pPr>
        <w:rPr>
          <w:rFonts w:cs="Arial"/>
          <w:sz w:val="22"/>
        </w:rPr>
      </w:pPr>
      <w:r w:rsidRPr="007E3D1A">
        <w:rPr>
          <w:rFonts w:cs="Arial"/>
          <w:sz w:val="22"/>
        </w:rPr>
        <w:t>Les dispositions politiques, juridiques et réglementaires nationales relatives aux questions environnementales et sociales, qui sont directement pertinentes pour les activités proposées dans le cadre du Projet, y compris les exigences et procédures nationales en matière d’évaluation environnementale, de gestion de la main d’œuvre, de protection sociale, de gestion foncière, et de protection de la biodiversité</w:t>
      </w:r>
    </w:p>
    <w:p w14:paraId="2AAE6E59" w14:textId="77777777" w:rsidR="009021F1" w:rsidRPr="007E3D1A" w:rsidRDefault="009021F1" w:rsidP="009021F1">
      <w:pPr>
        <w:rPr>
          <w:rFonts w:cs="Arial"/>
          <w:sz w:val="22"/>
        </w:rPr>
      </w:pPr>
      <w:r w:rsidRPr="007E3D1A">
        <w:rPr>
          <w:rFonts w:cs="Arial"/>
          <w:sz w:val="22"/>
        </w:rPr>
        <w:t>Les normes environnementales et sociales de la Banque mondiale (ESS) pertinentes pour le Projet</w:t>
      </w:r>
      <w:r w:rsidRPr="007E3D1A">
        <w:rPr>
          <w:rFonts w:cs="Arial"/>
          <w:sz w:val="22"/>
        </w:rPr>
        <w:footnoteReference w:id="50"/>
      </w:r>
      <w:r w:rsidRPr="007E3D1A">
        <w:rPr>
          <w:rFonts w:cs="Arial"/>
          <w:sz w:val="22"/>
        </w:rPr>
        <w:t>.</w:t>
      </w:r>
    </w:p>
    <w:p w14:paraId="00CC0608" w14:textId="77777777" w:rsidR="009021F1" w:rsidRPr="007E3D1A" w:rsidRDefault="009021F1" w:rsidP="009021F1">
      <w:pPr>
        <w:rPr>
          <w:rFonts w:cs="Arial"/>
          <w:sz w:val="22"/>
        </w:rPr>
      </w:pPr>
      <w:r w:rsidRPr="007E3D1A">
        <w:rPr>
          <w:rFonts w:cs="Arial"/>
          <w:sz w:val="22"/>
        </w:rPr>
        <w:t>Les instruments de gestion des risques environnementaux et sociaux requis dans le cadre du Projet, et une indication de leur articulation</w:t>
      </w:r>
    </w:p>
    <w:p w14:paraId="2E100F23" w14:textId="77777777" w:rsidR="009021F1" w:rsidRPr="007E3D1A" w:rsidRDefault="009021F1" w:rsidP="009021F1">
      <w:pPr>
        <w:rPr>
          <w:rFonts w:cs="Arial"/>
          <w:sz w:val="22"/>
        </w:rPr>
      </w:pPr>
      <w:r w:rsidRPr="007E3D1A">
        <w:rPr>
          <w:rFonts w:cs="Arial"/>
          <w:sz w:val="22"/>
        </w:rPr>
        <w:t>Les directives du Groupe de la Banque mondiale en matière d'environnement, de santé et de sécurité (directives EHS) applicables au projet, notamment la Directive Générale</w:t>
      </w:r>
      <w:r w:rsidRPr="007E3D1A">
        <w:rPr>
          <w:rFonts w:cs="Arial"/>
          <w:sz w:val="22"/>
        </w:rPr>
        <w:footnoteReference w:id="51"/>
      </w:r>
    </w:p>
    <w:p w14:paraId="39218E54" w14:textId="77777777" w:rsidR="009021F1" w:rsidRPr="007E3D1A" w:rsidRDefault="009021F1" w:rsidP="009021F1">
      <w:pPr>
        <w:rPr>
          <w:rFonts w:cs="Arial"/>
          <w:sz w:val="22"/>
        </w:rPr>
      </w:pPr>
      <w:r w:rsidRPr="007E3D1A">
        <w:rPr>
          <w:rFonts w:cs="Arial"/>
          <w:sz w:val="22"/>
        </w:rPr>
        <w:t>Les conventions internationales et régionales directement pertinentes pour le Projet qui ont été adoptées par le pays, telles que la Convention de Stockholm sur les polluants organiques persistants ou la Convention de Bâle sur les déchets dangereux et leur élimination</w:t>
      </w:r>
    </w:p>
    <w:p w14:paraId="575DFEF9" w14:textId="77777777" w:rsidR="009021F1" w:rsidRPr="007E3D1A" w:rsidRDefault="009021F1" w:rsidP="009021F1">
      <w:pPr>
        <w:rPr>
          <w:rFonts w:cs="Arial"/>
          <w:sz w:val="22"/>
        </w:rPr>
      </w:pPr>
      <w:r w:rsidRPr="007E3D1A">
        <w:rPr>
          <w:rFonts w:cs="Arial"/>
          <w:sz w:val="22"/>
        </w:rPr>
        <w:t>Les principales prenantes qui sont directement pertinentes pour les activités proposées dans le cadre du Projet, ainsi que tout autre intervenant, lors de la mise en œuvre du Projet.</w:t>
      </w:r>
    </w:p>
    <w:p w14:paraId="4C0B7F82" w14:textId="77777777" w:rsidR="009021F1" w:rsidRPr="007E3D1A" w:rsidRDefault="009021F1" w:rsidP="009021F1">
      <w:pPr>
        <w:rPr>
          <w:rFonts w:cs="Arial"/>
          <w:sz w:val="22"/>
        </w:rPr>
      </w:pPr>
      <w:r w:rsidRPr="007E3D1A">
        <w:rPr>
          <w:rFonts w:cs="Arial"/>
          <w:sz w:val="22"/>
        </w:rPr>
        <w:t>Identifie les écarts entre les dispositions nationales et les exigences de la Banque mondiale de chacune des Normes Environnementales et Sociales (NES) pertinentes au sous-projet, et proposera des palliatifs (sous la forme d’un tableau).  À cet effet le Consultant utilisera le tableau des exigences clefs joint en Annexe à ces TdRs.  Le tableau est applicable aux deux EIES.</w:t>
      </w:r>
    </w:p>
    <w:p w14:paraId="70276B07" w14:textId="77777777" w:rsidR="009021F1" w:rsidRPr="007E3D1A" w:rsidRDefault="009021F1" w:rsidP="009021F1">
      <w:pPr>
        <w:rPr>
          <w:rFonts w:cs="Arial"/>
          <w:sz w:val="22"/>
        </w:rPr>
      </w:pPr>
    </w:p>
    <w:p w14:paraId="3341CC5A" w14:textId="77777777" w:rsidR="009021F1" w:rsidRPr="007E3D1A" w:rsidRDefault="009021F1" w:rsidP="009021F1">
      <w:pPr>
        <w:rPr>
          <w:rFonts w:cs="Arial"/>
          <w:sz w:val="22"/>
        </w:rPr>
      </w:pPr>
      <w:r w:rsidRPr="007E3D1A">
        <w:rPr>
          <w:rFonts w:cs="Arial"/>
          <w:sz w:val="22"/>
        </w:rPr>
        <w:t>Données de base</w:t>
      </w:r>
    </w:p>
    <w:p w14:paraId="7E49663E" w14:textId="77777777" w:rsidR="009021F1" w:rsidRPr="007E3D1A" w:rsidRDefault="009021F1" w:rsidP="009021F1">
      <w:pPr>
        <w:rPr>
          <w:rFonts w:cs="Arial"/>
          <w:sz w:val="22"/>
        </w:rPr>
      </w:pPr>
    </w:p>
    <w:p w14:paraId="60E458A6" w14:textId="77777777" w:rsidR="009021F1" w:rsidRPr="007E3D1A" w:rsidRDefault="009021F1" w:rsidP="009021F1">
      <w:pPr>
        <w:rPr>
          <w:rFonts w:cs="Arial"/>
          <w:sz w:val="22"/>
        </w:rPr>
      </w:pPr>
      <w:r w:rsidRPr="007E3D1A">
        <w:rPr>
          <w:rFonts w:cs="Arial"/>
          <w:sz w:val="22"/>
        </w:rPr>
        <w:t>Présente uniquement et de manière succincte les informations requises pour comprendre les enjeux environnementaux et sociaux du Projet, notamment ce qui pourrait être affecté par le Projet ou ce qui pourrait affecter le Projet, y compris les informations pertinentes sur la zone d’accueil du sousprojet et les installations associées (localités, populations, économie locale, pauvreté, conflit, sécurité, géographie, secteurs ciblés, hydrologie, climat, biodiversité, aires protégées).</w:t>
      </w:r>
      <w:r w:rsidRPr="007E3D1A">
        <w:rPr>
          <w:rFonts w:cs="Arial"/>
          <w:sz w:val="22"/>
        </w:rPr>
        <w:br/>
      </w:r>
      <w:r w:rsidRPr="007E3D1A">
        <w:rPr>
          <w:rFonts w:cs="Arial"/>
          <w:sz w:val="22"/>
        </w:rPr>
        <w:tab/>
        <w:t>Le niveau de détail des informations présentées doit être suffisant et approprié pour renseigner sur la nature et les caractéristiques des risques et des impacts ainsi que sur les mesures d’atténuation du projet.  Tout détail monographique doit être en Annexe, afin de ne pas alourdir le texte et faciliter sa lecture.</w:t>
      </w:r>
    </w:p>
    <w:p w14:paraId="3329C986" w14:textId="77777777" w:rsidR="009021F1" w:rsidRPr="007E3D1A" w:rsidRDefault="009021F1" w:rsidP="009021F1">
      <w:pPr>
        <w:rPr>
          <w:rFonts w:cs="Arial"/>
          <w:sz w:val="22"/>
        </w:rPr>
      </w:pPr>
      <w:r w:rsidRPr="007E3D1A">
        <w:rPr>
          <w:rFonts w:cs="Arial"/>
          <w:sz w:val="22"/>
        </w:rPr>
        <w:t xml:space="preserve">Accompagne le texte avec des cartes qui localisent tous les toponymes mentionnés dans l’EIES.  </w:t>
      </w:r>
    </w:p>
    <w:p w14:paraId="6524DEC3" w14:textId="77777777" w:rsidR="009021F1" w:rsidRPr="007E3D1A" w:rsidRDefault="009021F1" w:rsidP="009021F1">
      <w:pPr>
        <w:rPr>
          <w:rFonts w:cs="Arial"/>
          <w:sz w:val="22"/>
        </w:rPr>
      </w:pPr>
      <w:r w:rsidRPr="007E3D1A">
        <w:rPr>
          <w:rFonts w:cs="Arial"/>
          <w:sz w:val="22"/>
        </w:rPr>
        <w:t>Identifie et documente les groupes défavorisés ou vulnérables, y compris les personnes déplacées par des conflits, qui peuvent être affectés par le sousprojet, soit parce qu'ils sont touchés de manière disproportionnée, soit parce qu'ils pourraient être limités dans l'accès aux bénéfices découlant de ces activités.  Une attention particulière doit être portée à la présence ou non de communautés autochtones près du site du sous-projet.</w:t>
      </w:r>
    </w:p>
    <w:p w14:paraId="5282CAD0" w14:textId="77777777" w:rsidR="009021F1" w:rsidRPr="007E3D1A" w:rsidRDefault="009021F1" w:rsidP="009021F1">
      <w:pPr>
        <w:rPr>
          <w:rFonts w:cs="Arial"/>
          <w:sz w:val="22"/>
        </w:rPr>
      </w:pPr>
      <w:r w:rsidRPr="007E3D1A">
        <w:rPr>
          <w:rFonts w:cs="Arial"/>
          <w:sz w:val="22"/>
        </w:rPr>
        <w:t>Analyse les données existantes sur la VBG, y compris les données sur la violence sexuelle et physique par les partenaires/non-partenaires, l’exploitation et l’abus sexuels, le harcèlement sexuel, la violence intime par un partenaire, la violence familiale, les mariages précoces et les pratiques traditionnelles nuisibles, notamment celles qui risquent d’être exacerbées par la mise en œuvre du projet</w:t>
      </w:r>
      <w:r w:rsidRPr="007E3D1A">
        <w:rPr>
          <w:rFonts w:cs="Arial"/>
          <w:sz w:val="22"/>
        </w:rPr>
        <w:footnoteReference w:id="52"/>
      </w:r>
      <w:r w:rsidRPr="007E3D1A">
        <w:rPr>
          <w:rFonts w:cs="Arial"/>
          <w:sz w:val="22"/>
        </w:rPr>
        <w:t xml:space="preserve">. </w:t>
      </w:r>
    </w:p>
    <w:p w14:paraId="7EAB5D95" w14:textId="77777777" w:rsidR="009021F1" w:rsidRPr="007E3D1A" w:rsidRDefault="009021F1" w:rsidP="009021F1">
      <w:pPr>
        <w:rPr>
          <w:rFonts w:cs="Arial"/>
          <w:sz w:val="22"/>
        </w:rPr>
      </w:pPr>
      <w:r w:rsidRPr="007E3D1A">
        <w:rPr>
          <w:rFonts w:cs="Arial"/>
          <w:sz w:val="22"/>
        </w:rPr>
        <w:t>Analyse la disponibilité et l’accessibilité de services de réponse à la VBG sûrs et éthiques, notamment les soins médicaux, les services psychologiques, l’aide juridique, les services de protection et les opportunités de subsistance</w:t>
      </w:r>
      <w:r w:rsidRPr="007E3D1A">
        <w:rPr>
          <w:rFonts w:cs="Arial"/>
          <w:sz w:val="22"/>
        </w:rPr>
        <w:footnoteReference w:id="53"/>
      </w:r>
      <w:r w:rsidRPr="007E3D1A">
        <w:rPr>
          <w:rFonts w:cs="Arial"/>
          <w:sz w:val="22"/>
        </w:rPr>
        <w:t>.</w:t>
      </w:r>
    </w:p>
    <w:p w14:paraId="0F321D09" w14:textId="77777777" w:rsidR="009021F1" w:rsidRPr="007E3D1A" w:rsidRDefault="009021F1" w:rsidP="009021F1">
      <w:pPr>
        <w:rPr>
          <w:rFonts w:cs="Arial"/>
          <w:sz w:val="22"/>
        </w:rPr>
      </w:pPr>
      <w:r w:rsidRPr="007E3D1A">
        <w:rPr>
          <w:rFonts w:cs="Arial"/>
          <w:sz w:val="22"/>
        </w:rPr>
        <w:t>Évalue la qualité, le degré de précision et la fiabilité des données disponibles, indique les sources de ces données et l’année de leur collecte, et identifie les lacunes essentielles.</w:t>
      </w:r>
    </w:p>
    <w:p w14:paraId="10909825" w14:textId="77777777" w:rsidR="009021F1" w:rsidRPr="007E3D1A" w:rsidRDefault="009021F1" w:rsidP="009021F1">
      <w:pPr>
        <w:rPr>
          <w:rFonts w:cs="Arial"/>
          <w:sz w:val="22"/>
        </w:rPr>
      </w:pPr>
      <w:r w:rsidRPr="007E3D1A">
        <w:rPr>
          <w:rFonts w:cs="Arial"/>
          <w:sz w:val="22"/>
        </w:rPr>
        <w:t>Prend en compte les autres activités de développement passées, en cours ou envisagées dans la zone concernée, ainsi que tout changement escompté avant le démarrage des activités.</w:t>
      </w:r>
    </w:p>
    <w:p w14:paraId="16298DEC" w14:textId="77777777" w:rsidR="009021F1" w:rsidRPr="007E3D1A" w:rsidRDefault="009021F1" w:rsidP="009021F1">
      <w:pPr>
        <w:rPr>
          <w:rFonts w:cs="Arial"/>
          <w:sz w:val="22"/>
        </w:rPr>
      </w:pPr>
    </w:p>
    <w:p w14:paraId="53365F57" w14:textId="77777777" w:rsidR="009021F1" w:rsidRPr="007E3D1A" w:rsidRDefault="009021F1" w:rsidP="009021F1">
      <w:pPr>
        <w:rPr>
          <w:rFonts w:cs="Arial"/>
          <w:sz w:val="22"/>
        </w:rPr>
      </w:pPr>
      <w:r w:rsidRPr="007E3D1A">
        <w:rPr>
          <w:rFonts w:cs="Arial"/>
          <w:sz w:val="22"/>
        </w:rPr>
        <w:t>Analyse des variantes</w:t>
      </w:r>
    </w:p>
    <w:p w14:paraId="67F466D1" w14:textId="77777777" w:rsidR="009021F1" w:rsidRPr="007E3D1A" w:rsidRDefault="009021F1" w:rsidP="009021F1">
      <w:pPr>
        <w:rPr>
          <w:rFonts w:cs="Arial"/>
          <w:sz w:val="22"/>
        </w:rPr>
      </w:pPr>
    </w:p>
    <w:p w14:paraId="26195471" w14:textId="77777777" w:rsidR="009021F1" w:rsidRPr="007E3D1A" w:rsidRDefault="009021F1" w:rsidP="009021F1">
      <w:pPr>
        <w:rPr>
          <w:rFonts w:cs="Arial"/>
          <w:sz w:val="22"/>
        </w:rPr>
      </w:pPr>
      <w:r w:rsidRPr="007E3D1A">
        <w:rPr>
          <w:rFonts w:cs="Arial"/>
          <w:sz w:val="22"/>
        </w:rPr>
        <w:t>Compare systématiquement les variantes acceptables par rapport à l’emplacement, la conception, la dimension, les technologies, et l’exploitation du sousprojet, y compris l’absence d’activités, sur la base de leurs effets environnementaux et sociaux potentiels. Dans la mesure du possible, des stratégies de construction alternatives (par exemple le calendrier, la main-d'œuvre locale par rapport à la main-d'œuvre importée, considération des besoins des personnes vivant avec un handicap (rampes d’accès), des femmes chefs de ménages, etc.) sont envisagées et évaluées en fonction de leurs implications environnementales et socio-économiques.</w:t>
      </w:r>
    </w:p>
    <w:p w14:paraId="34C937D6" w14:textId="77777777" w:rsidR="009021F1" w:rsidRPr="007E3D1A" w:rsidRDefault="009021F1" w:rsidP="009021F1">
      <w:pPr>
        <w:rPr>
          <w:rFonts w:cs="Arial"/>
          <w:sz w:val="22"/>
        </w:rPr>
      </w:pPr>
      <w:r w:rsidRPr="007E3D1A">
        <w:rPr>
          <w:rFonts w:cs="Arial"/>
          <w:sz w:val="22"/>
        </w:rPr>
        <w:t xml:space="preserve">Quantifie les impacts environnementaux et sociaux, y compris ceux liés à l’EAS/HS pour chaque variante, autant que faire se peut, et leur attribue une valeur économique lorsque cela est possible. </w:t>
      </w:r>
    </w:p>
    <w:p w14:paraId="266FDCD8" w14:textId="77777777" w:rsidR="009021F1" w:rsidRPr="007E3D1A" w:rsidRDefault="009021F1" w:rsidP="009021F1">
      <w:pPr>
        <w:rPr>
          <w:rFonts w:cs="Arial"/>
          <w:sz w:val="22"/>
        </w:rPr>
      </w:pPr>
      <w:r w:rsidRPr="007E3D1A">
        <w:rPr>
          <w:rFonts w:cs="Arial"/>
          <w:sz w:val="22"/>
        </w:rPr>
        <w:t>Évalue les coûts d’investissement et les charges récurrentes correspondant aux mesures d’atténuation de chaque variante, ainsi que la faisabilité des mesures proposées par rapport aux conditions locales et les capacités institutionnelles en place ou à mettre en place.</w:t>
      </w:r>
    </w:p>
    <w:p w14:paraId="2C78049D" w14:textId="77777777" w:rsidR="009021F1" w:rsidRPr="007E3D1A" w:rsidRDefault="009021F1" w:rsidP="009021F1">
      <w:pPr>
        <w:rPr>
          <w:rFonts w:cs="Arial"/>
          <w:sz w:val="22"/>
        </w:rPr>
      </w:pPr>
    </w:p>
    <w:p w14:paraId="1355D314" w14:textId="77777777" w:rsidR="009021F1" w:rsidRPr="007E3D1A" w:rsidRDefault="009021F1" w:rsidP="009021F1">
      <w:pPr>
        <w:rPr>
          <w:rFonts w:cs="Arial"/>
          <w:sz w:val="22"/>
        </w:rPr>
      </w:pPr>
      <w:r w:rsidRPr="007E3D1A">
        <w:rPr>
          <w:rFonts w:cs="Arial"/>
          <w:sz w:val="22"/>
        </w:rPr>
        <w:t>Risques et impacts environnementaux et sociaux</w:t>
      </w:r>
    </w:p>
    <w:p w14:paraId="5E8F6A26" w14:textId="77777777" w:rsidR="009021F1" w:rsidRPr="007E3D1A" w:rsidRDefault="009021F1" w:rsidP="009021F1">
      <w:pPr>
        <w:rPr>
          <w:rFonts w:cs="Arial"/>
          <w:sz w:val="22"/>
        </w:rPr>
      </w:pPr>
    </w:p>
    <w:p w14:paraId="3EE82360" w14:textId="77777777" w:rsidR="009021F1" w:rsidRPr="007E3D1A" w:rsidRDefault="009021F1" w:rsidP="009021F1">
      <w:pPr>
        <w:rPr>
          <w:rFonts w:cs="Arial"/>
          <w:sz w:val="22"/>
        </w:rPr>
      </w:pPr>
      <w:r w:rsidRPr="007E3D1A">
        <w:rPr>
          <w:rFonts w:cs="Arial"/>
          <w:sz w:val="22"/>
        </w:rPr>
        <w:t>Identifie, établit une typologie, décrit, analyse et évalue l’importance des risques et impacts environnementaux et sociaux directs, indirects, ou cumulatifs, y compris ceux liés à l’EAS/HS  pouvant découler du sousprojet ou des installations associées pendant leur durée de vie.</w:t>
      </w:r>
    </w:p>
    <w:p w14:paraId="6AA1DF1B" w14:textId="77777777" w:rsidR="009021F1" w:rsidRPr="007E3D1A" w:rsidRDefault="009021F1" w:rsidP="009021F1">
      <w:pPr>
        <w:rPr>
          <w:rFonts w:cs="Arial"/>
          <w:sz w:val="22"/>
        </w:rPr>
      </w:pPr>
      <w:r w:rsidRPr="007E3D1A">
        <w:rPr>
          <w:rFonts w:cs="Arial"/>
          <w:sz w:val="22"/>
        </w:rPr>
        <w:t>Mets en relation ces risques et impacts avec les Normes Environnementales et Sociales de la Banque mondiale.  À cet effet le Chapitre doit, entre autres, porter une attention particulière aux risques et impacts associés :</w:t>
      </w:r>
    </w:p>
    <w:p w14:paraId="5EF908B7" w14:textId="77777777" w:rsidR="009021F1" w:rsidRPr="007E3D1A" w:rsidRDefault="009021F1" w:rsidP="009021F1">
      <w:pPr>
        <w:rPr>
          <w:rFonts w:cs="Arial"/>
          <w:sz w:val="22"/>
        </w:rPr>
      </w:pPr>
      <w:r w:rsidRPr="007E3D1A">
        <w:rPr>
          <w:rFonts w:cs="Arial"/>
          <w:sz w:val="22"/>
        </w:rPr>
        <w:t>Aux personnes ou groupes potentiellement défavorisés ou vulnérables du fait de leur situation particulière, tels que définis dans la NES1</w:t>
      </w:r>
      <w:r w:rsidRPr="007E3D1A">
        <w:rPr>
          <w:rFonts w:cs="Arial"/>
          <w:sz w:val="22"/>
        </w:rPr>
        <w:footnoteReference w:id="54"/>
      </w:r>
      <w:r w:rsidRPr="007E3D1A">
        <w:rPr>
          <w:rFonts w:cs="Arial"/>
          <w:sz w:val="22"/>
        </w:rPr>
        <w:t xml:space="preserve"> et NES7 ; notamment les Batwas. </w:t>
      </w:r>
    </w:p>
    <w:p w14:paraId="12D042A1" w14:textId="77777777" w:rsidR="009021F1" w:rsidRPr="007E3D1A" w:rsidRDefault="009021F1" w:rsidP="009021F1">
      <w:pPr>
        <w:rPr>
          <w:rFonts w:cs="Arial"/>
          <w:sz w:val="22"/>
        </w:rPr>
      </w:pPr>
      <w:r w:rsidRPr="007E3D1A">
        <w:rPr>
          <w:rFonts w:cs="Arial"/>
          <w:sz w:val="22"/>
        </w:rPr>
        <w:t>Aux conditions de travail et d’emploi, à la discrimination, et à la santé et la sécurité au travail, tels qu’indiqués dans la NES2.</w:t>
      </w:r>
    </w:p>
    <w:p w14:paraId="5A98CE6A" w14:textId="77777777" w:rsidR="009021F1" w:rsidRPr="007E3D1A" w:rsidRDefault="009021F1" w:rsidP="009021F1">
      <w:pPr>
        <w:rPr>
          <w:rFonts w:cs="Arial"/>
          <w:sz w:val="22"/>
        </w:rPr>
      </w:pPr>
      <w:r w:rsidRPr="007E3D1A">
        <w:rPr>
          <w:rFonts w:cs="Arial"/>
          <w:sz w:val="22"/>
        </w:rPr>
        <w:t>Aux fournisseurs principaux.  Ces risques seront traités manière proportionnée au contrôle ou à l’influence exercés sur ces fournisseurs principaux, tel qu’indiqué dans les NES2 et NES6.</w:t>
      </w:r>
    </w:p>
    <w:p w14:paraId="33338DA1" w14:textId="77777777" w:rsidR="009021F1" w:rsidRPr="007E3D1A" w:rsidRDefault="009021F1" w:rsidP="009021F1">
      <w:pPr>
        <w:rPr>
          <w:rFonts w:cs="Arial"/>
          <w:sz w:val="22"/>
        </w:rPr>
      </w:pPr>
      <w:r w:rsidRPr="007E3D1A">
        <w:rPr>
          <w:rFonts w:cs="Arial"/>
          <w:sz w:val="22"/>
        </w:rPr>
        <w:t>A la pollution, tel que défini dans la NES3, et dans le paragraphe 18 de la NES1, y compris le risque de pollution des cours d’eau qui pourrait constituer un enjeu international.</w:t>
      </w:r>
    </w:p>
    <w:p w14:paraId="5BCD1A26" w14:textId="77777777" w:rsidR="009021F1" w:rsidRPr="007E3D1A" w:rsidRDefault="009021F1" w:rsidP="009021F1">
      <w:pPr>
        <w:rPr>
          <w:rFonts w:cs="Arial"/>
          <w:sz w:val="22"/>
        </w:rPr>
      </w:pPr>
      <w:r w:rsidRPr="007E3D1A">
        <w:rPr>
          <w:rFonts w:cs="Arial"/>
          <w:sz w:val="22"/>
        </w:rPr>
        <w:t>À l’utilisation de produits chimiques et des substances dangereuses, dont les pesticides, tel qu’indiqué dans la NES3.</w:t>
      </w:r>
    </w:p>
    <w:p w14:paraId="66711AA4" w14:textId="77777777" w:rsidR="009021F1" w:rsidRPr="007E3D1A" w:rsidRDefault="009021F1" w:rsidP="009021F1">
      <w:pPr>
        <w:rPr>
          <w:rFonts w:cs="Arial"/>
          <w:sz w:val="22"/>
        </w:rPr>
      </w:pPr>
      <w:r w:rsidRPr="007E3D1A">
        <w:rPr>
          <w:rFonts w:cs="Arial"/>
          <w:sz w:val="22"/>
        </w:rPr>
        <w:t>À la santé publique, notamment la transmission et la propagation de maladies infectieuses (i.e., le paludisme) et contagieuses (e.g., la COVID-19, VIG/SIDA, et Ébola)</w:t>
      </w:r>
    </w:p>
    <w:p w14:paraId="1C17E291" w14:textId="77777777" w:rsidR="009021F1" w:rsidRPr="007E3D1A" w:rsidRDefault="009021F1" w:rsidP="009021F1">
      <w:pPr>
        <w:rPr>
          <w:rFonts w:cs="Arial"/>
          <w:sz w:val="22"/>
        </w:rPr>
      </w:pPr>
      <w:r w:rsidRPr="007E3D1A">
        <w:rPr>
          <w:rFonts w:cs="Arial"/>
          <w:sz w:val="22"/>
        </w:rPr>
        <w:t>Aux violences basées sur le genre (VBG), notamment les abus, l’exploitation et les atteintes sexuelles ainsi que le harcèlement sexuel (EAS/HS)</w:t>
      </w:r>
    </w:p>
    <w:p w14:paraId="5B5B981C" w14:textId="77777777" w:rsidR="009021F1" w:rsidRPr="007E3D1A" w:rsidRDefault="009021F1" w:rsidP="009021F1">
      <w:pPr>
        <w:rPr>
          <w:rFonts w:cs="Arial"/>
          <w:sz w:val="22"/>
        </w:rPr>
      </w:pPr>
      <w:r w:rsidRPr="007E3D1A">
        <w:rPr>
          <w:rFonts w:cs="Arial"/>
          <w:sz w:val="22"/>
        </w:rPr>
        <w:t>A la recrudescence des conflits interpersonnels, communautaires et interétatiques, de la criminalité, le banditisme ou de la violence</w:t>
      </w:r>
    </w:p>
    <w:p w14:paraId="63E7564B" w14:textId="77777777" w:rsidR="009021F1" w:rsidRPr="007E3D1A" w:rsidRDefault="009021F1" w:rsidP="009021F1">
      <w:pPr>
        <w:rPr>
          <w:rFonts w:cs="Arial"/>
          <w:sz w:val="22"/>
        </w:rPr>
      </w:pPr>
      <w:r w:rsidRPr="007E3D1A">
        <w:rPr>
          <w:rFonts w:cs="Arial"/>
          <w:sz w:val="22"/>
        </w:rPr>
        <w:t>À l’adaptation et la résilience au changement climatique, notamment l’augmentation des périodes de sécheresse, les inondations, ou les tempêtes, tel qu’indiqué dans la NES4.</w:t>
      </w:r>
    </w:p>
    <w:p w14:paraId="3CE65935" w14:textId="77777777" w:rsidR="009021F1" w:rsidRPr="007E3D1A" w:rsidRDefault="009021F1" w:rsidP="009021F1">
      <w:pPr>
        <w:rPr>
          <w:rFonts w:cs="Arial"/>
          <w:sz w:val="22"/>
        </w:rPr>
      </w:pPr>
      <w:r w:rsidRPr="007E3D1A">
        <w:rPr>
          <w:rFonts w:cs="Arial"/>
          <w:sz w:val="22"/>
        </w:rPr>
        <w:t>A la réquisition forcée ou involontaire de terres ou aux restrictions à l’utilisation des terres, tel qu’indiqué à la NES6</w:t>
      </w:r>
    </w:p>
    <w:p w14:paraId="6BF9178C" w14:textId="77777777" w:rsidR="009021F1" w:rsidRPr="007E3D1A" w:rsidRDefault="009021F1" w:rsidP="009021F1">
      <w:pPr>
        <w:rPr>
          <w:rFonts w:cs="Arial"/>
          <w:sz w:val="22"/>
        </w:rPr>
      </w:pPr>
      <w:r w:rsidRPr="007E3D1A">
        <w:rPr>
          <w:rFonts w:cs="Arial"/>
          <w:sz w:val="22"/>
        </w:rPr>
        <w:t>À la propriété et l’accès aux terres et aux ressources naturelles, notamment les régimes fonciers applicables, l’accessibilité et la disponibilité des terres, la sécurité alimentaire et la valeur foncière.</w:t>
      </w:r>
    </w:p>
    <w:p w14:paraId="4E095922" w14:textId="77777777" w:rsidR="009021F1" w:rsidRPr="007E3D1A" w:rsidRDefault="009021F1" w:rsidP="009021F1">
      <w:pPr>
        <w:rPr>
          <w:rFonts w:cs="Arial"/>
          <w:sz w:val="22"/>
        </w:rPr>
      </w:pPr>
      <w:r w:rsidRPr="007E3D1A">
        <w:rPr>
          <w:rFonts w:cs="Arial"/>
          <w:sz w:val="22"/>
        </w:rPr>
        <w:t>À l’accès à la terre et aux ressources naturelles, compte tenu de la possibilité d’exacerber les tensions, aggraver la pauvreté et les inégalités, notamment chez les groupes défavorisés ou vulnérables, et chez les femmes.</w:t>
      </w:r>
    </w:p>
    <w:p w14:paraId="57AD502E" w14:textId="77777777" w:rsidR="009021F1" w:rsidRPr="007E3D1A" w:rsidRDefault="009021F1" w:rsidP="009021F1">
      <w:pPr>
        <w:rPr>
          <w:rFonts w:cs="Arial"/>
          <w:sz w:val="22"/>
        </w:rPr>
      </w:pPr>
      <w:r w:rsidRPr="007E3D1A">
        <w:rPr>
          <w:rFonts w:cs="Arial"/>
          <w:sz w:val="22"/>
        </w:rPr>
        <w:t>A la protection, la préservation, le maintien et la régénération des habitats naturels et de la biodiversité, tel qu’indiqué dans la NES6, notamment les habitats de reproduction pour les poissons et les habitats d’accueil pour les oiseaux résidents ou migrateurs.</w:t>
      </w:r>
    </w:p>
    <w:p w14:paraId="2EE9E4F4" w14:textId="77777777" w:rsidR="009021F1" w:rsidRPr="007E3D1A" w:rsidRDefault="009021F1" w:rsidP="009021F1">
      <w:pPr>
        <w:rPr>
          <w:rFonts w:cs="Arial"/>
          <w:sz w:val="22"/>
        </w:rPr>
      </w:pPr>
      <w:r w:rsidRPr="007E3D1A">
        <w:rPr>
          <w:rFonts w:cs="Arial"/>
          <w:sz w:val="22"/>
        </w:rPr>
        <w:t>Aux services écosystémiques</w:t>
      </w:r>
      <w:r w:rsidRPr="007E3D1A">
        <w:rPr>
          <w:rFonts w:cs="Arial"/>
          <w:sz w:val="22"/>
        </w:rPr>
        <w:footnoteReference w:id="55"/>
      </w:r>
      <w:r w:rsidRPr="007E3D1A">
        <w:rPr>
          <w:rFonts w:cs="Arial"/>
          <w:sz w:val="22"/>
        </w:rPr>
        <w:t xml:space="preserve"> tel que défini dans la NES 1</w:t>
      </w:r>
    </w:p>
    <w:p w14:paraId="5E014239" w14:textId="77777777" w:rsidR="009021F1" w:rsidRPr="007E3D1A" w:rsidRDefault="009021F1" w:rsidP="009021F1">
      <w:pPr>
        <w:rPr>
          <w:rFonts w:cs="Arial"/>
          <w:sz w:val="22"/>
        </w:rPr>
      </w:pPr>
      <w:r w:rsidRPr="007E3D1A">
        <w:rPr>
          <w:rFonts w:cs="Arial"/>
          <w:sz w:val="22"/>
        </w:rPr>
        <w:t>À l’exploitation des ressources naturelles biologiques, tel qu’indiqué dans la NES6.</w:t>
      </w:r>
    </w:p>
    <w:p w14:paraId="71567FE3" w14:textId="77777777" w:rsidR="009021F1" w:rsidRPr="007E3D1A" w:rsidRDefault="009021F1" w:rsidP="009021F1">
      <w:pPr>
        <w:rPr>
          <w:rFonts w:cs="Arial"/>
          <w:sz w:val="22"/>
        </w:rPr>
      </w:pPr>
      <w:r w:rsidRPr="007E3D1A">
        <w:rPr>
          <w:rFonts w:cs="Arial"/>
          <w:sz w:val="22"/>
        </w:rPr>
        <w:t>Au patrimoine culturel, tel qu’indiqué dans la NES8.</w:t>
      </w:r>
    </w:p>
    <w:p w14:paraId="1E7518FC" w14:textId="77777777" w:rsidR="009021F1" w:rsidRPr="007E3D1A" w:rsidRDefault="009021F1" w:rsidP="009021F1">
      <w:pPr>
        <w:rPr>
          <w:rFonts w:cs="Arial"/>
          <w:sz w:val="22"/>
        </w:rPr>
      </w:pPr>
    </w:p>
    <w:p w14:paraId="0D4C3638" w14:textId="77777777" w:rsidR="009021F1" w:rsidRPr="007E3D1A" w:rsidRDefault="009021F1" w:rsidP="009021F1">
      <w:pPr>
        <w:rPr>
          <w:rFonts w:cs="Arial"/>
          <w:sz w:val="22"/>
        </w:rPr>
      </w:pPr>
      <w:r w:rsidRPr="007E3D1A">
        <w:rPr>
          <w:rFonts w:cs="Arial"/>
          <w:sz w:val="22"/>
        </w:rPr>
        <w:t>Plan de gestion environnementale et sociale (PGES)</w:t>
      </w:r>
    </w:p>
    <w:p w14:paraId="3FC8BE70" w14:textId="77777777" w:rsidR="009021F1" w:rsidRPr="007E3D1A" w:rsidRDefault="009021F1" w:rsidP="009021F1">
      <w:pPr>
        <w:rPr>
          <w:rFonts w:cs="Arial"/>
          <w:sz w:val="22"/>
        </w:rPr>
      </w:pPr>
    </w:p>
    <w:p w14:paraId="133E9C17" w14:textId="77777777" w:rsidR="009021F1" w:rsidRPr="007E3D1A" w:rsidRDefault="009021F1" w:rsidP="009021F1">
      <w:pPr>
        <w:rPr>
          <w:rFonts w:cs="Arial"/>
          <w:sz w:val="22"/>
        </w:rPr>
      </w:pPr>
      <w:r w:rsidRPr="007E3D1A">
        <w:rPr>
          <w:rFonts w:cs="Arial"/>
          <w:sz w:val="22"/>
        </w:rPr>
        <w:t>Ce Chapitre présente le Plan de Gestion Environnementale et Sociale (PGES) pour le sous- projet.  Le plan comprend 5 sections :</w:t>
      </w:r>
    </w:p>
    <w:p w14:paraId="63F6EA2E" w14:textId="77777777" w:rsidR="009021F1" w:rsidRPr="007E3D1A" w:rsidRDefault="009021F1" w:rsidP="009021F1">
      <w:pPr>
        <w:rPr>
          <w:rFonts w:cs="Arial"/>
          <w:sz w:val="22"/>
        </w:rPr>
      </w:pPr>
      <w:r w:rsidRPr="007E3D1A">
        <w:rPr>
          <w:rFonts w:cs="Arial"/>
          <w:sz w:val="22"/>
        </w:rPr>
        <w:t>Atténuation</w:t>
      </w:r>
    </w:p>
    <w:p w14:paraId="1282E006" w14:textId="77777777" w:rsidR="009021F1" w:rsidRPr="007E3D1A" w:rsidRDefault="009021F1" w:rsidP="009021F1">
      <w:pPr>
        <w:rPr>
          <w:rFonts w:cs="Arial"/>
          <w:sz w:val="22"/>
        </w:rPr>
      </w:pPr>
      <w:r w:rsidRPr="007E3D1A">
        <w:rPr>
          <w:rFonts w:cs="Arial"/>
          <w:sz w:val="22"/>
        </w:rPr>
        <w:t>Suivi</w:t>
      </w:r>
    </w:p>
    <w:p w14:paraId="41D8FC94" w14:textId="77777777" w:rsidR="009021F1" w:rsidRPr="007E3D1A" w:rsidRDefault="009021F1" w:rsidP="009021F1">
      <w:pPr>
        <w:rPr>
          <w:rFonts w:cs="Arial"/>
          <w:sz w:val="22"/>
        </w:rPr>
      </w:pPr>
      <w:r w:rsidRPr="007E3D1A">
        <w:rPr>
          <w:rFonts w:cs="Arial"/>
          <w:sz w:val="22"/>
        </w:rPr>
        <w:t>Engagement des parties prenantes</w:t>
      </w:r>
    </w:p>
    <w:p w14:paraId="3C5E8EA9" w14:textId="77777777" w:rsidR="009021F1" w:rsidRPr="007E3D1A" w:rsidRDefault="009021F1" w:rsidP="009021F1">
      <w:pPr>
        <w:rPr>
          <w:rFonts w:cs="Arial"/>
          <w:sz w:val="22"/>
        </w:rPr>
      </w:pPr>
      <w:r w:rsidRPr="007E3D1A">
        <w:rPr>
          <w:rFonts w:cs="Arial"/>
          <w:sz w:val="22"/>
        </w:rPr>
        <w:t xml:space="preserve">Cadre institutionnel pour la mise en œuvre du PGES </w:t>
      </w:r>
    </w:p>
    <w:p w14:paraId="1293BB85" w14:textId="77777777" w:rsidR="009021F1" w:rsidRPr="007E3D1A" w:rsidRDefault="009021F1" w:rsidP="009021F1">
      <w:pPr>
        <w:rPr>
          <w:rFonts w:cs="Arial"/>
          <w:sz w:val="22"/>
        </w:rPr>
      </w:pPr>
      <w:r w:rsidRPr="007E3D1A">
        <w:rPr>
          <w:rFonts w:cs="Arial"/>
          <w:sz w:val="22"/>
        </w:rPr>
        <w:t>Budget</w:t>
      </w:r>
    </w:p>
    <w:p w14:paraId="488D93CA" w14:textId="77777777" w:rsidR="009021F1" w:rsidRPr="007E3D1A" w:rsidRDefault="009021F1" w:rsidP="009021F1">
      <w:pPr>
        <w:rPr>
          <w:rFonts w:cs="Arial"/>
          <w:sz w:val="22"/>
        </w:rPr>
      </w:pPr>
      <w:r w:rsidRPr="007E3D1A">
        <w:rPr>
          <w:rFonts w:cs="Arial"/>
          <w:sz w:val="22"/>
        </w:rPr>
        <w:t>Atténuation</w:t>
      </w:r>
    </w:p>
    <w:p w14:paraId="7A6B883E" w14:textId="77777777" w:rsidR="009021F1" w:rsidRPr="007E3D1A" w:rsidRDefault="009021F1" w:rsidP="009021F1">
      <w:pPr>
        <w:rPr>
          <w:rFonts w:cs="Arial"/>
          <w:sz w:val="22"/>
        </w:rPr>
      </w:pPr>
      <w:r w:rsidRPr="007E3D1A">
        <w:rPr>
          <w:rFonts w:cs="Arial"/>
          <w:sz w:val="22"/>
        </w:rPr>
        <w:t>Cette section :</w:t>
      </w:r>
    </w:p>
    <w:p w14:paraId="0A56A6E4" w14:textId="77777777" w:rsidR="009021F1" w:rsidRPr="007E3D1A" w:rsidRDefault="009021F1" w:rsidP="009021F1">
      <w:pPr>
        <w:rPr>
          <w:rFonts w:cs="Arial"/>
          <w:sz w:val="22"/>
        </w:rPr>
      </w:pPr>
      <w:r w:rsidRPr="007E3D1A">
        <w:rPr>
          <w:rFonts w:cs="Arial"/>
          <w:sz w:val="22"/>
        </w:rPr>
        <w:t>Définit les mesures et actions, suivant le principe de la hiérarchie d’atténuation, requises pour atténuer à un niveau acceptable chacun des impacts environnementaux et sociaux négatifs évalués dans le chapitre précédent, d’une manière qui satisfait les exigences des NES de la Banque mondiale, ainsi que les réglementations nationales.</w:t>
      </w:r>
    </w:p>
    <w:p w14:paraId="394D2FC0" w14:textId="77777777" w:rsidR="009021F1" w:rsidRPr="007E3D1A" w:rsidRDefault="009021F1" w:rsidP="009021F1">
      <w:pPr>
        <w:rPr>
          <w:rFonts w:cs="Arial"/>
          <w:sz w:val="22"/>
        </w:rPr>
      </w:pPr>
      <w:r w:rsidRPr="007E3D1A">
        <w:rPr>
          <w:rFonts w:cs="Arial"/>
          <w:sz w:val="22"/>
        </w:rPr>
        <w:t>Décrit chacune des mesures d’atténuation avec un niveau de détail technique suffisant pour comprendre les enjeux de sa mise en œuvre.</w:t>
      </w:r>
    </w:p>
    <w:p w14:paraId="612DB80F" w14:textId="77777777" w:rsidR="009021F1" w:rsidRPr="007E3D1A" w:rsidRDefault="009021F1" w:rsidP="009021F1">
      <w:pPr>
        <w:rPr>
          <w:rFonts w:cs="Arial"/>
          <w:sz w:val="22"/>
        </w:rPr>
      </w:pPr>
      <w:r w:rsidRPr="007E3D1A">
        <w:rPr>
          <w:rFonts w:cs="Arial"/>
          <w:sz w:val="22"/>
        </w:rPr>
        <w:t>Applique le principe de la hiérarchie d’atténuation tel que défini dans le paragraphe 27 de la NES1</w:t>
      </w:r>
      <w:r w:rsidRPr="007E3D1A">
        <w:rPr>
          <w:rFonts w:cs="Arial"/>
          <w:sz w:val="22"/>
        </w:rPr>
        <w:footnoteReference w:id="56"/>
      </w:r>
      <w:r w:rsidRPr="007E3D1A">
        <w:rPr>
          <w:rFonts w:cs="Arial"/>
          <w:sz w:val="22"/>
        </w:rPr>
        <w:t>, lors de la définition des mesures d’atténuation appropriées des risques et impacts environnementaux et sociaux du sousprojet.</w:t>
      </w:r>
    </w:p>
    <w:p w14:paraId="31FAF316" w14:textId="77777777" w:rsidR="009021F1" w:rsidRPr="007E3D1A" w:rsidRDefault="009021F1" w:rsidP="009021F1">
      <w:pPr>
        <w:rPr>
          <w:rFonts w:cs="Arial"/>
          <w:sz w:val="22"/>
        </w:rPr>
      </w:pPr>
      <w:r w:rsidRPr="007E3D1A">
        <w:rPr>
          <w:rFonts w:cs="Arial"/>
          <w:sz w:val="22"/>
        </w:rPr>
        <w:t>Identifie les impacts résiduels négatifs importants qui ne peuvent pas être atténués à des niveaux acceptables, et évalue l’acceptabilité de ces impacts résiduels et explique les motifs de telles décisions.</w:t>
      </w:r>
    </w:p>
    <w:p w14:paraId="034C7274" w14:textId="77777777" w:rsidR="009021F1" w:rsidRPr="007E3D1A" w:rsidRDefault="009021F1" w:rsidP="009021F1">
      <w:pPr>
        <w:rPr>
          <w:rFonts w:cs="Arial"/>
          <w:sz w:val="22"/>
        </w:rPr>
      </w:pPr>
      <w:r w:rsidRPr="007E3D1A">
        <w:rPr>
          <w:rFonts w:cs="Arial"/>
          <w:sz w:val="22"/>
        </w:rPr>
        <w:t>Évalue les risques et impacts environnementaux et sociaux que la mise en œuvre des mesures d’atténuation pourrait causer.</w:t>
      </w:r>
    </w:p>
    <w:p w14:paraId="26CF8F5A" w14:textId="77777777" w:rsidR="009021F1" w:rsidRPr="007E3D1A" w:rsidRDefault="009021F1" w:rsidP="009021F1">
      <w:pPr>
        <w:rPr>
          <w:rFonts w:cs="Arial"/>
          <w:sz w:val="22"/>
        </w:rPr>
      </w:pPr>
      <w:r w:rsidRPr="007E3D1A">
        <w:rPr>
          <w:rFonts w:cs="Arial"/>
          <w:sz w:val="22"/>
        </w:rPr>
        <w:t>Traite les risques et impacts des installations associées d’une manière proportionnée au contrôle ou à l’influence que l’entité responsable exerce sur celles-ci.  Recense les risques et impacts que ces installations pourraient engendrer pour le sousprojet, si un contrôle ou une influence ne peuvent pas être exercée sur les installations associées permettant de satisfaire les exigences des NES,</w:t>
      </w:r>
    </w:p>
    <w:p w14:paraId="03BB46EB" w14:textId="77777777" w:rsidR="009021F1" w:rsidRPr="007E3D1A" w:rsidRDefault="009021F1" w:rsidP="009021F1">
      <w:pPr>
        <w:rPr>
          <w:rFonts w:cs="Arial"/>
          <w:sz w:val="22"/>
        </w:rPr>
      </w:pPr>
      <w:r w:rsidRPr="007E3D1A">
        <w:rPr>
          <w:rFonts w:cs="Arial"/>
          <w:sz w:val="22"/>
        </w:rPr>
        <w:t>Assure l’articulation et la cohérence avec les autres instruments de gestion des risques et impacts environnementaux et sociaux préparés à l’échelle du Projet, dont le Cadre de Gestion Environnementale et Sociale (CGES), le Plan de Gestion de la Main d’œuvre (PGMO), le Cadre de Réinstallation, le Plan pour les Peuples autochtones, et le Plan de Mobilisation des Parties Prenantes (PMPP).</w:t>
      </w:r>
    </w:p>
    <w:p w14:paraId="429C59F9" w14:textId="77777777" w:rsidR="009021F1" w:rsidRPr="007E3D1A" w:rsidRDefault="009021F1" w:rsidP="009021F1">
      <w:pPr>
        <w:rPr>
          <w:rFonts w:cs="Arial"/>
          <w:sz w:val="22"/>
        </w:rPr>
      </w:pPr>
      <w:r w:rsidRPr="007E3D1A">
        <w:rPr>
          <w:rFonts w:cs="Arial"/>
          <w:sz w:val="22"/>
        </w:rPr>
        <w:t>Propose des mesures d’atténuation différenciées afin que les impacts négatifs des activités proposées n’affectent pas les personnes ou les groupes défavorisés ou vulnérables (notamment les femmes, les groupes ethniques dont les communautés autochtones, les personnes handicapées, les jeunes, les personnes analphabètes, et les personnes déplacées) de manière disproportionnée, et pour qu’elles ne soient pas lésées dans le partage des avantages et opportunités de développement résultant du sousprojet.</w:t>
      </w:r>
    </w:p>
    <w:p w14:paraId="03346C91" w14:textId="77777777" w:rsidR="009021F1" w:rsidRPr="007E3D1A" w:rsidRDefault="009021F1" w:rsidP="009021F1">
      <w:pPr>
        <w:rPr>
          <w:rFonts w:cs="Arial"/>
          <w:sz w:val="22"/>
        </w:rPr>
      </w:pPr>
      <w:r w:rsidRPr="007E3D1A">
        <w:rPr>
          <w:rFonts w:cs="Arial"/>
          <w:sz w:val="22"/>
        </w:rPr>
        <w:t>Tient compte des répercussions potentielles sur les cultures, les coutumes, et les économies locales, en particulier les impacts potentiels sur les moyens de subsistance, la pauvreté, et les dynamiques intercommunautaires au cœur des inégalités d’accès aux services (notamment à l’eau, à la nourriture et à la terre).</w:t>
      </w:r>
    </w:p>
    <w:p w14:paraId="0D35B89E" w14:textId="77777777" w:rsidR="009021F1" w:rsidRPr="007E3D1A" w:rsidRDefault="009021F1" w:rsidP="009021F1">
      <w:pPr>
        <w:rPr>
          <w:rFonts w:cs="Arial"/>
          <w:sz w:val="22"/>
        </w:rPr>
      </w:pPr>
      <w:r w:rsidRPr="007E3D1A">
        <w:rPr>
          <w:rFonts w:cs="Arial"/>
          <w:sz w:val="22"/>
        </w:rPr>
        <w:t>Distingue les risques et impacts qui seront directement gérés par les services publics, de ceux dont l’atténuation sera assumée par les entreprises dans le cadre de leurs contrats respectifs.</w:t>
      </w:r>
    </w:p>
    <w:p w14:paraId="60F832E1" w14:textId="77777777" w:rsidR="009021F1" w:rsidRPr="007E3D1A" w:rsidRDefault="009021F1" w:rsidP="009021F1">
      <w:pPr>
        <w:rPr>
          <w:rFonts w:cs="Arial"/>
          <w:sz w:val="22"/>
        </w:rPr>
      </w:pPr>
      <w:r w:rsidRPr="007E3D1A">
        <w:rPr>
          <w:rFonts w:cs="Arial"/>
          <w:sz w:val="22"/>
        </w:rPr>
        <w:t>Regroupe toutes les mesures d’atténuation assumées par les entreprises en un jeu d’exigences Environnementales, Sociales, Sanitaires, et Sécuritaires qui seront annexées à l’EIES, y compris un code de conduite et une description du processus de préparation des PGES Entreprise qui détaille comment les exigences seront opérationnalisées.  Ce jeu d’exigences sera organisé en sections, et doit au minimum couvrir les thèmes suivants :</w:t>
      </w:r>
    </w:p>
    <w:p w14:paraId="2CC4DC63" w14:textId="77777777" w:rsidR="009021F1" w:rsidRPr="007E3D1A" w:rsidRDefault="009021F1" w:rsidP="009021F1">
      <w:pPr>
        <w:rPr>
          <w:rFonts w:cs="Arial"/>
          <w:sz w:val="22"/>
        </w:rPr>
      </w:pPr>
      <w:r w:rsidRPr="007E3D1A">
        <w:rPr>
          <w:rFonts w:cs="Arial"/>
          <w:sz w:val="22"/>
        </w:rPr>
        <w:t>Formation ESSS</w:t>
      </w:r>
    </w:p>
    <w:p w14:paraId="174799C9" w14:textId="77777777" w:rsidR="009021F1" w:rsidRPr="007E3D1A" w:rsidRDefault="009021F1" w:rsidP="009021F1">
      <w:pPr>
        <w:rPr>
          <w:rFonts w:cs="Arial"/>
          <w:sz w:val="22"/>
        </w:rPr>
      </w:pPr>
      <w:r w:rsidRPr="007E3D1A">
        <w:rPr>
          <w:rFonts w:cs="Arial"/>
          <w:sz w:val="22"/>
        </w:rPr>
        <w:t>Gestion des installations et chantiers</w:t>
      </w:r>
    </w:p>
    <w:p w14:paraId="30E36300" w14:textId="77777777" w:rsidR="009021F1" w:rsidRPr="007E3D1A" w:rsidRDefault="009021F1" w:rsidP="009021F1">
      <w:pPr>
        <w:rPr>
          <w:rFonts w:cs="Arial"/>
          <w:sz w:val="22"/>
        </w:rPr>
      </w:pPr>
      <w:r w:rsidRPr="007E3D1A">
        <w:rPr>
          <w:rFonts w:cs="Arial"/>
          <w:sz w:val="22"/>
        </w:rPr>
        <w:t>Gestion de la sécurité au travail</w:t>
      </w:r>
    </w:p>
    <w:p w14:paraId="1E59CC92" w14:textId="77777777" w:rsidR="009021F1" w:rsidRPr="007E3D1A" w:rsidRDefault="009021F1" w:rsidP="009021F1">
      <w:pPr>
        <w:rPr>
          <w:rFonts w:cs="Arial"/>
          <w:sz w:val="22"/>
        </w:rPr>
      </w:pPr>
      <w:r w:rsidRPr="007E3D1A">
        <w:rPr>
          <w:rFonts w:cs="Arial"/>
          <w:sz w:val="22"/>
        </w:rPr>
        <w:t>Gestion de la santé au travail</w:t>
      </w:r>
    </w:p>
    <w:p w14:paraId="7609C125" w14:textId="77777777" w:rsidR="009021F1" w:rsidRPr="007E3D1A" w:rsidRDefault="009021F1" w:rsidP="009021F1">
      <w:pPr>
        <w:rPr>
          <w:rFonts w:cs="Arial"/>
          <w:sz w:val="22"/>
        </w:rPr>
      </w:pPr>
      <w:r w:rsidRPr="007E3D1A">
        <w:rPr>
          <w:rFonts w:cs="Arial"/>
          <w:sz w:val="22"/>
        </w:rPr>
        <w:t>Gestion de la main-d'œuvre, y compris un Code de Conduite relatif à l’exploitation, aux abus, et au harcèlement sexuel.</w:t>
      </w:r>
    </w:p>
    <w:p w14:paraId="6F43ACE9" w14:textId="77777777" w:rsidR="009021F1" w:rsidRPr="007E3D1A" w:rsidRDefault="009021F1" w:rsidP="009021F1">
      <w:pPr>
        <w:rPr>
          <w:rFonts w:cs="Arial"/>
          <w:sz w:val="22"/>
        </w:rPr>
      </w:pPr>
      <w:r w:rsidRPr="007E3D1A">
        <w:rPr>
          <w:rFonts w:cs="Arial"/>
          <w:sz w:val="22"/>
        </w:rPr>
        <w:t>Préparation et réponse aux urgences</w:t>
      </w:r>
    </w:p>
    <w:p w14:paraId="124D6C3F" w14:textId="77777777" w:rsidR="009021F1" w:rsidRPr="007E3D1A" w:rsidRDefault="009021F1" w:rsidP="009021F1">
      <w:pPr>
        <w:rPr>
          <w:rFonts w:cs="Arial"/>
          <w:sz w:val="22"/>
        </w:rPr>
      </w:pPr>
      <w:r w:rsidRPr="007E3D1A">
        <w:rPr>
          <w:rFonts w:cs="Arial"/>
          <w:sz w:val="22"/>
        </w:rPr>
        <w:t>Sécurité extérieure des chantiers, installations, et des personnes</w:t>
      </w:r>
    </w:p>
    <w:p w14:paraId="3F3E5B45" w14:textId="77777777" w:rsidR="009021F1" w:rsidRPr="007E3D1A" w:rsidRDefault="009021F1" w:rsidP="009021F1">
      <w:pPr>
        <w:rPr>
          <w:rFonts w:cs="Arial"/>
          <w:sz w:val="22"/>
        </w:rPr>
      </w:pPr>
      <w:r w:rsidRPr="007E3D1A">
        <w:rPr>
          <w:rFonts w:cs="Arial"/>
          <w:sz w:val="22"/>
        </w:rPr>
        <w:t>Gestion du trafic et sécurité routière</w:t>
      </w:r>
    </w:p>
    <w:p w14:paraId="56402A40" w14:textId="77777777" w:rsidR="009021F1" w:rsidRPr="007E3D1A" w:rsidRDefault="009021F1" w:rsidP="009021F1">
      <w:pPr>
        <w:rPr>
          <w:rFonts w:cs="Arial"/>
          <w:sz w:val="22"/>
        </w:rPr>
      </w:pPr>
      <w:r w:rsidRPr="007E3D1A">
        <w:rPr>
          <w:rFonts w:cs="Arial"/>
          <w:sz w:val="22"/>
        </w:rPr>
        <w:t>Engagement des parties prenantes par les entreprises</w:t>
      </w:r>
    </w:p>
    <w:p w14:paraId="76A1BE53" w14:textId="77777777" w:rsidR="009021F1" w:rsidRPr="007E3D1A" w:rsidRDefault="009021F1" w:rsidP="009021F1">
      <w:pPr>
        <w:rPr>
          <w:rFonts w:cs="Arial"/>
          <w:sz w:val="22"/>
        </w:rPr>
      </w:pPr>
      <w:r w:rsidRPr="007E3D1A">
        <w:rPr>
          <w:rFonts w:cs="Arial"/>
          <w:sz w:val="22"/>
        </w:rPr>
        <w:t>Suivi et rapportage environnemental et social par les entreprises</w:t>
      </w:r>
    </w:p>
    <w:p w14:paraId="360F77A1" w14:textId="77777777" w:rsidR="009021F1" w:rsidRPr="007E3D1A" w:rsidRDefault="009021F1" w:rsidP="009021F1">
      <w:pPr>
        <w:rPr>
          <w:rFonts w:cs="Arial"/>
          <w:sz w:val="22"/>
        </w:rPr>
      </w:pPr>
      <w:r w:rsidRPr="007E3D1A">
        <w:rPr>
          <w:rFonts w:cs="Arial"/>
          <w:sz w:val="22"/>
        </w:rPr>
        <w:t>Décrit comment ces exigences seront pris en considération lors du processus de DAO et lors de l’octroi des contrats.</w:t>
      </w:r>
    </w:p>
    <w:p w14:paraId="0A6D3089" w14:textId="77777777" w:rsidR="009021F1" w:rsidRPr="007E3D1A" w:rsidRDefault="009021F1" w:rsidP="009021F1">
      <w:pPr>
        <w:rPr>
          <w:rFonts w:cs="Arial"/>
          <w:sz w:val="22"/>
        </w:rPr>
      </w:pPr>
      <w:r w:rsidRPr="007E3D1A">
        <w:rPr>
          <w:rFonts w:cs="Arial"/>
          <w:sz w:val="22"/>
        </w:rPr>
        <w:t>Suivi</w:t>
      </w:r>
    </w:p>
    <w:p w14:paraId="19EBB178" w14:textId="77777777" w:rsidR="009021F1" w:rsidRPr="007E3D1A" w:rsidRDefault="009021F1" w:rsidP="009021F1">
      <w:pPr>
        <w:rPr>
          <w:rFonts w:cs="Arial"/>
          <w:sz w:val="22"/>
        </w:rPr>
      </w:pPr>
      <w:r w:rsidRPr="007E3D1A">
        <w:rPr>
          <w:rFonts w:cs="Arial"/>
          <w:sz w:val="22"/>
        </w:rPr>
        <w:t>Présente un mécanisme de suivi et d’évaluation systématique de la mise en œuvre des mesures d’atténuation, ainsi que de l’impact du sousprojet sur l’environnement physique et social.</w:t>
      </w:r>
    </w:p>
    <w:p w14:paraId="0203F6D4" w14:textId="77777777" w:rsidR="009021F1" w:rsidRPr="007E3D1A" w:rsidRDefault="009021F1" w:rsidP="009021F1">
      <w:pPr>
        <w:rPr>
          <w:rFonts w:cs="Arial"/>
          <w:sz w:val="22"/>
        </w:rPr>
      </w:pPr>
      <w:r w:rsidRPr="007E3D1A">
        <w:rPr>
          <w:rFonts w:cs="Arial"/>
          <w:sz w:val="22"/>
        </w:rPr>
        <w:t>Définit la nature et les paramètres du suivi de l’impact du sousprojet, y compris les paramètres à mesurer, les méthodes à utiliser, les lieux d’échantillonnage, la fréquence des mesures, les limites de détection (s’il y a lieu), et une définition des seuils qui indiqueront la nécessité d’appliquer des mesures correctives.</w:t>
      </w:r>
    </w:p>
    <w:p w14:paraId="6D20D943" w14:textId="77777777" w:rsidR="009021F1" w:rsidRPr="007E3D1A" w:rsidRDefault="009021F1" w:rsidP="009021F1">
      <w:pPr>
        <w:rPr>
          <w:rFonts w:cs="Arial"/>
          <w:sz w:val="22"/>
        </w:rPr>
      </w:pPr>
      <w:r w:rsidRPr="007E3D1A">
        <w:rPr>
          <w:rFonts w:cs="Arial"/>
          <w:sz w:val="22"/>
        </w:rPr>
        <w:t>Détaille le processus de rapportage de la performance des entreprises dans la mise en œuvre des exigences environnementales et sociales qu’elles doivent assumer dans le cadre de leurs contrats</w:t>
      </w:r>
    </w:p>
    <w:p w14:paraId="203BCCAA" w14:textId="77777777" w:rsidR="009021F1" w:rsidRPr="007E3D1A" w:rsidRDefault="009021F1" w:rsidP="009021F1">
      <w:pPr>
        <w:rPr>
          <w:rFonts w:cs="Arial"/>
          <w:sz w:val="22"/>
        </w:rPr>
      </w:pPr>
      <w:r w:rsidRPr="007E3D1A">
        <w:rPr>
          <w:rFonts w:cs="Arial"/>
          <w:sz w:val="22"/>
        </w:rPr>
        <w:t>Définit les rapports de suivi qui doivent être préparés, qui doit les préparer, qui sont les destinataires, leur fréquence, et leur contenu.</w:t>
      </w:r>
    </w:p>
    <w:p w14:paraId="312760C3" w14:textId="77777777" w:rsidR="009021F1" w:rsidRPr="007E3D1A" w:rsidRDefault="009021F1" w:rsidP="009021F1">
      <w:pPr>
        <w:rPr>
          <w:rFonts w:cs="Arial"/>
          <w:sz w:val="22"/>
        </w:rPr>
      </w:pPr>
      <w:r w:rsidRPr="007E3D1A">
        <w:rPr>
          <w:rFonts w:cs="Arial"/>
          <w:sz w:val="22"/>
        </w:rPr>
        <w:t>Engagement des parties prenantes</w:t>
      </w:r>
    </w:p>
    <w:p w14:paraId="4EB7EBDC" w14:textId="77777777" w:rsidR="009021F1" w:rsidRPr="007E3D1A" w:rsidRDefault="009021F1" w:rsidP="009021F1">
      <w:pPr>
        <w:rPr>
          <w:rFonts w:cs="Arial"/>
          <w:sz w:val="22"/>
        </w:rPr>
      </w:pPr>
      <w:r w:rsidRPr="007E3D1A">
        <w:rPr>
          <w:rFonts w:cs="Arial"/>
          <w:sz w:val="22"/>
        </w:rPr>
        <w:t>Fait référence au Plan de Mobilisation des Parties Prenantes (PMPP) du Projet, et en résumer les portions pertinentes au sousprojet, notamment le mécanisme de gestion des plaintes.</w:t>
      </w:r>
    </w:p>
    <w:p w14:paraId="00E03AA8" w14:textId="77777777" w:rsidR="009021F1" w:rsidRPr="007E3D1A" w:rsidRDefault="009021F1" w:rsidP="009021F1">
      <w:pPr>
        <w:rPr>
          <w:rFonts w:cs="Arial"/>
          <w:sz w:val="22"/>
        </w:rPr>
      </w:pPr>
      <w:r w:rsidRPr="007E3D1A">
        <w:rPr>
          <w:rFonts w:cs="Arial"/>
          <w:sz w:val="22"/>
        </w:rPr>
        <w:t>Incorpore, le cas échéant, des méthodes traditionnelles de gestion des plaintes tout en veillant à assurer l’accès ou la prise en compte des individus et groupes défavorisés et marginalisés conformément au PMPP.</w:t>
      </w:r>
    </w:p>
    <w:p w14:paraId="3536E971" w14:textId="77777777" w:rsidR="009021F1" w:rsidRPr="007E3D1A" w:rsidRDefault="009021F1" w:rsidP="009021F1">
      <w:pPr>
        <w:rPr>
          <w:rFonts w:cs="Arial"/>
          <w:sz w:val="22"/>
        </w:rPr>
      </w:pPr>
      <w:r w:rsidRPr="007E3D1A">
        <w:rPr>
          <w:rFonts w:cs="Arial"/>
          <w:sz w:val="22"/>
        </w:rPr>
        <w:t>Cadre institutionnel pour la mise en œuvre du PGES</w:t>
      </w:r>
    </w:p>
    <w:p w14:paraId="16A6668D" w14:textId="77777777" w:rsidR="009021F1" w:rsidRPr="007E3D1A" w:rsidRDefault="009021F1" w:rsidP="009021F1">
      <w:pPr>
        <w:rPr>
          <w:rFonts w:cs="Arial"/>
          <w:sz w:val="22"/>
        </w:rPr>
      </w:pPr>
      <w:r w:rsidRPr="007E3D1A">
        <w:rPr>
          <w:rFonts w:cs="Arial"/>
          <w:sz w:val="22"/>
        </w:rPr>
        <w:t>Décrit les rôles et les responsabilités des différents acteurs (qui fera quoi, par poste) impliqués dans la préparation et l’approbation de l’EIES, les entités chargées de l’exécution des mesures d’atténuation et de suivi (notamment concernant l’exploitation, la supervision, la mise en œuvre, le suivi, les mesures correctives, le financement, l’établissement des rapports et la formation du personnel), la contractualisation des exigences Environnementales, Sociales, Sanitaires, et Sécuritaires (ESSS), ainsi que dans la mise en œuvre et le suivi de la mise en œuvre du PGES et des entreprises pour le sous-projet.</w:t>
      </w:r>
    </w:p>
    <w:p w14:paraId="08B8EDAE" w14:textId="77777777" w:rsidR="009021F1" w:rsidRPr="007E3D1A" w:rsidRDefault="009021F1" w:rsidP="009021F1">
      <w:pPr>
        <w:rPr>
          <w:rFonts w:cs="Arial"/>
          <w:sz w:val="22"/>
        </w:rPr>
      </w:pPr>
      <w:r w:rsidRPr="007E3D1A">
        <w:rPr>
          <w:rFonts w:cs="Arial"/>
          <w:sz w:val="22"/>
        </w:rPr>
        <w:t>Évalue les capacités techniques et organisationnelles existantes de tous les acteurs ci-dessus, en termes de personnel qualifié, de procédures, et de performance dans le passé.</w:t>
      </w:r>
    </w:p>
    <w:p w14:paraId="3982DBC1" w14:textId="77777777" w:rsidR="009021F1" w:rsidRPr="007E3D1A" w:rsidRDefault="009021F1" w:rsidP="009021F1">
      <w:pPr>
        <w:rPr>
          <w:rFonts w:cs="Arial"/>
          <w:sz w:val="22"/>
        </w:rPr>
      </w:pPr>
      <w:r w:rsidRPr="007E3D1A">
        <w:rPr>
          <w:rFonts w:cs="Arial"/>
          <w:sz w:val="22"/>
        </w:rPr>
        <w:t>Recommande les mesures de renforcement des capacités des acteurs afin qu’ils puissent de jouer le rôle et assumer les responsabilités décrites ci-dessus.  Le consultant doit tenir compte du fait que le sousprojet concerné par l’EIES ne représente qu’une petite partie des activités prévues dans le cadre du Projet, et que le Cadre de Gestion Environnemental et Social (CGES) du Projet prévoira aussi des activités de renforcement des capacités.</w:t>
      </w:r>
    </w:p>
    <w:p w14:paraId="6C354B66" w14:textId="77777777" w:rsidR="009021F1" w:rsidRPr="007E3D1A" w:rsidRDefault="009021F1" w:rsidP="009021F1">
      <w:pPr>
        <w:rPr>
          <w:rFonts w:cs="Arial"/>
          <w:sz w:val="22"/>
        </w:rPr>
      </w:pPr>
      <w:r w:rsidRPr="007E3D1A">
        <w:rPr>
          <w:rFonts w:cs="Arial"/>
          <w:sz w:val="22"/>
        </w:rPr>
        <w:br/>
        <w:t>Le renforcement des capacités nationales qui ne sont pas spécifiquement requises par le sous-projet est un objectif valide qui peut constituer une activité du Projet lui-même, plutôt qu’une mesure d’atténuation pour le sous-projet.</w:t>
      </w:r>
    </w:p>
    <w:p w14:paraId="539A66C3" w14:textId="77777777" w:rsidR="009021F1" w:rsidRPr="007E3D1A" w:rsidRDefault="009021F1" w:rsidP="009021F1">
      <w:pPr>
        <w:rPr>
          <w:rFonts w:cs="Arial"/>
          <w:sz w:val="22"/>
        </w:rPr>
      </w:pPr>
      <w:r w:rsidRPr="007E3D1A">
        <w:rPr>
          <w:rFonts w:cs="Arial"/>
          <w:sz w:val="22"/>
        </w:rPr>
        <w:t>Prévoit le renforcement des capacités des entreprises et des agents exécutants les activités du Projet</w:t>
      </w:r>
    </w:p>
    <w:p w14:paraId="65653775" w14:textId="77777777" w:rsidR="009021F1" w:rsidRPr="007E3D1A" w:rsidRDefault="009021F1" w:rsidP="009021F1">
      <w:pPr>
        <w:rPr>
          <w:rFonts w:cs="Arial"/>
          <w:sz w:val="22"/>
        </w:rPr>
      </w:pPr>
      <w:r w:rsidRPr="007E3D1A">
        <w:rPr>
          <w:rFonts w:cs="Arial"/>
          <w:sz w:val="22"/>
        </w:rPr>
        <w:t>Évalue la faisabilité technique, institutionnelle, et financière de la mise en œuvre des mesures d’atténuation proposées.</w:t>
      </w:r>
    </w:p>
    <w:p w14:paraId="770D5D91" w14:textId="77777777" w:rsidR="009021F1" w:rsidRPr="007E3D1A" w:rsidRDefault="009021F1" w:rsidP="009021F1">
      <w:pPr>
        <w:rPr>
          <w:rFonts w:cs="Arial"/>
          <w:sz w:val="22"/>
        </w:rPr>
      </w:pPr>
      <w:r w:rsidRPr="007E3D1A">
        <w:rPr>
          <w:rFonts w:cs="Arial"/>
          <w:sz w:val="22"/>
        </w:rPr>
        <w:t>Budget</w:t>
      </w:r>
    </w:p>
    <w:p w14:paraId="56CB6A40" w14:textId="77777777" w:rsidR="009021F1" w:rsidRPr="007E3D1A" w:rsidRDefault="009021F1" w:rsidP="009021F1">
      <w:pPr>
        <w:rPr>
          <w:rFonts w:cs="Arial"/>
          <w:sz w:val="22"/>
        </w:rPr>
      </w:pPr>
      <w:r w:rsidRPr="007E3D1A">
        <w:rPr>
          <w:rFonts w:cs="Arial"/>
          <w:sz w:val="22"/>
        </w:rPr>
        <w:t>Inclut un budget pour la mise en œuvre et le suivi de la mise en œuvre du PGES, sachant que le coût des mesures d’atténuation à la charge des entreprises sera intégré dans leurs contrats respectifs.</w:t>
      </w:r>
    </w:p>
    <w:p w14:paraId="54B80CB7" w14:textId="77777777" w:rsidR="009021F1" w:rsidRPr="007E3D1A" w:rsidRDefault="009021F1" w:rsidP="009021F1">
      <w:pPr>
        <w:rPr>
          <w:rFonts w:cs="Arial"/>
          <w:sz w:val="22"/>
        </w:rPr>
      </w:pPr>
      <w:r w:rsidRPr="007E3D1A">
        <w:rPr>
          <w:rFonts w:cs="Arial"/>
          <w:sz w:val="22"/>
        </w:rPr>
        <w:t xml:space="preserve">Évalue les coûts d’investissement et les charges récurrentes correspondant aux mesures d’atténuation proposées </w:t>
      </w:r>
    </w:p>
    <w:p w14:paraId="33CC9ECD" w14:textId="77777777" w:rsidR="009021F1" w:rsidRPr="007E3D1A" w:rsidRDefault="009021F1" w:rsidP="009021F1">
      <w:pPr>
        <w:rPr>
          <w:rFonts w:cs="Arial"/>
          <w:sz w:val="22"/>
        </w:rPr>
      </w:pPr>
    </w:p>
    <w:p w14:paraId="4BF4DB8A" w14:textId="77777777" w:rsidR="009021F1" w:rsidRPr="007E3D1A" w:rsidRDefault="009021F1" w:rsidP="009021F1">
      <w:pPr>
        <w:rPr>
          <w:rFonts w:cs="Arial"/>
          <w:sz w:val="22"/>
        </w:rPr>
      </w:pPr>
      <w:r w:rsidRPr="007E3D1A">
        <w:rPr>
          <w:rFonts w:cs="Arial"/>
          <w:sz w:val="22"/>
        </w:rPr>
        <w:t>Consultation des parties prenantes</w:t>
      </w:r>
    </w:p>
    <w:p w14:paraId="0B971866" w14:textId="77777777" w:rsidR="009021F1" w:rsidRPr="007E3D1A" w:rsidRDefault="009021F1" w:rsidP="009021F1">
      <w:pPr>
        <w:rPr>
          <w:rFonts w:cs="Arial"/>
          <w:sz w:val="22"/>
        </w:rPr>
      </w:pPr>
    </w:p>
    <w:p w14:paraId="3E8FBDAC" w14:textId="77777777" w:rsidR="009021F1" w:rsidRPr="007E3D1A" w:rsidRDefault="009021F1" w:rsidP="009021F1">
      <w:pPr>
        <w:rPr>
          <w:rFonts w:cs="Arial"/>
          <w:sz w:val="22"/>
        </w:rPr>
      </w:pPr>
      <w:r w:rsidRPr="007E3D1A">
        <w:rPr>
          <w:rFonts w:cs="Arial"/>
          <w:sz w:val="22"/>
        </w:rPr>
        <w:t>Ce Chapitre résume toutes les consultations avec les parties prenantes concernées sur les impacts et risques potentiels du sous-projet, y compris les principaux bénéficiaires et les populations directement touchées par le sous-projet, notamment les femmes, les jeunes et les groupes vulnérables.  Le résumé doit indiquer les attentes et les préoccupations exprimées par les parties prenantes, ainsi que les dates et les lieux des consultations, et inclure une liste des participants, et indiquer comment les avis des parties prenantes ont été pris en compte dans l’EIES.  Les consultations relatives au Projet lui-même, ainsi que les procédures de divulgation de l’EIES seront traitées dans le PMPP.</w:t>
      </w:r>
    </w:p>
    <w:p w14:paraId="2B6C474D" w14:textId="77777777" w:rsidR="009021F1" w:rsidRPr="007E3D1A" w:rsidRDefault="009021F1" w:rsidP="009021F1">
      <w:pPr>
        <w:rPr>
          <w:rFonts w:cs="Arial"/>
          <w:sz w:val="22"/>
        </w:rPr>
      </w:pPr>
      <w:r w:rsidRPr="007E3D1A">
        <w:rPr>
          <w:rFonts w:cs="Arial"/>
          <w:sz w:val="22"/>
        </w:rPr>
        <w:t>Bibliographie</w:t>
      </w:r>
    </w:p>
    <w:p w14:paraId="73F82A50" w14:textId="77777777" w:rsidR="009021F1" w:rsidRPr="007E3D1A" w:rsidRDefault="009021F1" w:rsidP="009021F1">
      <w:pPr>
        <w:rPr>
          <w:rFonts w:cs="Arial"/>
          <w:sz w:val="22"/>
        </w:rPr>
      </w:pPr>
    </w:p>
    <w:p w14:paraId="127C3AFF" w14:textId="77777777" w:rsidR="009021F1" w:rsidRPr="007E3D1A" w:rsidRDefault="009021F1" w:rsidP="009021F1">
      <w:pPr>
        <w:rPr>
          <w:rFonts w:cs="Arial"/>
          <w:sz w:val="22"/>
        </w:rPr>
      </w:pPr>
      <w:r w:rsidRPr="007E3D1A">
        <w:rPr>
          <w:rFonts w:cs="Arial"/>
          <w:sz w:val="22"/>
        </w:rPr>
        <w:t>Conclusion</w:t>
      </w:r>
    </w:p>
    <w:p w14:paraId="42F00CE6" w14:textId="77777777" w:rsidR="009021F1" w:rsidRPr="007E3D1A" w:rsidRDefault="009021F1" w:rsidP="009021F1">
      <w:pPr>
        <w:rPr>
          <w:rFonts w:cs="Arial"/>
          <w:sz w:val="22"/>
        </w:rPr>
      </w:pPr>
    </w:p>
    <w:p w14:paraId="0E2B993E" w14:textId="77777777" w:rsidR="009021F1" w:rsidRPr="007E3D1A" w:rsidRDefault="009021F1" w:rsidP="009021F1">
      <w:pPr>
        <w:rPr>
          <w:rFonts w:cs="Arial"/>
          <w:sz w:val="22"/>
        </w:rPr>
      </w:pPr>
      <w:r w:rsidRPr="007E3D1A">
        <w:rPr>
          <w:rFonts w:cs="Arial"/>
          <w:sz w:val="22"/>
        </w:rPr>
        <w:t>Référence bibliographie</w:t>
      </w:r>
    </w:p>
    <w:p w14:paraId="39A29027" w14:textId="77777777" w:rsidR="009021F1" w:rsidRPr="007E3D1A" w:rsidRDefault="009021F1" w:rsidP="009021F1">
      <w:pPr>
        <w:rPr>
          <w:rFonts w:cs="Arial"/>
          <w:sz w:val="22"/>
        </w:rPr>
      </w:pPr>
    </w:p>
    <w:p w14:paraId="2C80FD96" w14:textId="77777777" w:rsidR="009021F1" w:rsidRPr="007E3D1A" w:rsidRDefault="009021F1" w:rsidP="009021F1">
      <w:pPr>
        <w:rPr>
          <w:rFonts w:cs="Arial"/>
          <w:sz w:val="22"/>
        </w:rPr>
      </w:pPr>
      <w:r w:rsidRPr="007E3D1A">
        <w:rPr>
          <w:rFonts w:cs="Arial"/>
          <w:sz w:val="22"/>
        </w:rPr>
        <w:t>La bibliographie indique toutes les sources écrites, publiées ou non, qui ont été exploitées ou mentionnées dans l’EIES.</w:t>
      </w:r>
    </w:p>
    <w:p w14:paraId="6B8D4007" w14:textId="77777777" w:rsidR="009021F1" w:rsidRPr="007E3D1A" w:rsidRDefault="009021F1" w:rsidP="009021F1">
      <w:pPr>
        <w:rPr>
          <w:rFonts w:cs="Arial"/>
          <w:sz w:val="22"/>
        </w:rPr>
      </w:pPr>
    </w:p>
    <w:p w14:paraId="24DE32E6" w14:textId="77777777" w:rsidR="009021F1" w:rsidRPr="007E3D1A" w:rsidRDefault="009021F1" w:rsidP="009021F1">
      <w:pPr>
        <w:rPr>
          <w:rFonts w:cs="Arial"/>
          <w:sz w:val="22"/>
        </w:rPr>
      </w:pPr>
      <w:r w:rsidRPr="007E3D1A">
        <w:rPr>
          <w:rFonts w:cs="Arial"/>
          <w:sz w:val="22"/>
        </w:rPr>
        <w:t>Annexes</w:t>
      </w:r>
    </w:p>
    <w:p w14:paraId="7B5359D3" w14:textId="77777777" w:rsidR="009021F1" w:rsidRPr="007E3D1A" w:rsidRDefault="009021F1" w:rsidP="009021F1">
      <w:pPr>
        <w:rPr>
          <w:rFonts w:cs="Arial"/>
          <w:sz w:val="22"/>
        </w:rPr>
      </w:pPr>
      <w:r w:rsidRPr="007E3D1A">
        <w:rPr>
          <w:rFonts w:cs="Arial"/>
          <w:sz w:val="22"/>
        </w:rPr>
        <w:t>Liste des personnes qui ont préparé l’étude d’impact environnemental et social ou qui y ont contribué.</w:t>
      </w:r>
    </w:p>
    <w:p w14:paraId="47A9DD4D" w14:textId="77777777" w:rsidR="009021F1" w:rsidRPr="007E3D1A" w:rsidRDefault="009021F1" w:rsidP="009021F1">
      <w:pPr>
        <w:rPr>
          <w:rFonts w:cs="Arial"/>
          <w:sz w:val="22"/>
        </w:rPr>
      </w:pPr>
      <w:r w:rsidRPr="007E3D1A">
        <w:rPr>
          <w:rFonts w:cs="Arial"/>
          <w:sz w:val="22"/>
        </w:rPr>
        <w:t>Comptes rendus des réunions, des consultations et des enquêtes associant les parties prenantes, y compris les personnes touchées et les autres parties concernées. Ces comptes rendus décrivent les moyens utilisés auxdites occasions pour obtenir les points de vue des populations touchées et des autres parties concernées.</w:t>
      </w:r>
    </w:p>
    <w:p w14:paraId="5A9BB14E" w14:textId="77777777" w:rsidR="009021F1" w:rsidRPr="007E3D1A" w:rsidRDefault="009021F1" w:rsidP="009021F1">
      <w:pPr>
        <w:rPr>
          <w:rFonts w:cs="Arial"/>
          <w:sz w:val="22"/>
        </w:rPr>
      </w:pPr>
      <w:r w:rsidRPr="007E3D1A">
        <w:rPr>
          <w:rFonts w:cs="Arial"/>
          <w:sz w:val="22"/>
        </w:rPr>
        <w:t>Exigences environnementales, sociales, sanitaires et sécuritaires (ESSS) pour les entreprises</w:t>
      </w:r>
    </w:p>
    <w:p w14:paraId="21EDF17A" w14:textId="77777777" w:rsidR="009021F1" w:rsidRPr="007E3D1A" w:rsidRDefault="009021F1" w:rsidP="009021F1">
      <w:pPr>
        <w:rPr>
          <w:rFonts w:cs="Arial"/>
          <w:sz w:val="22"/>
        </w:rPr>
      </w:pPr>
      <w:r w:rsidRPr="007E3D1A">
        <w:rPr>
          <w:rFonts w:cs="Arial"/>
          <w:sz w:val="22"/>
        </w:rPr>
        <w:t>Modèle de rapports périodiques d’avancement incluant les aspects relatifs à la gestion des risques et impacts environnementaux et sociaux</w:t>
      </w:r>
    </w:p>
    <w:p w14:paraId="40559DA0" w14:textId="77777777" w:rsidR="009021F1" w:rsidRPr="007E3D1A" w:rsidRDefault="009021F1" w:rsidP="009021F1">
      <w:pPr>
        <w:rPr>
          <w:rFonts w:cs="Arial"/>
          <w:sz w:val="22"/>
        </w:rPr>
      </w:pPr>
      <w:r w:rsidRPr="007E3D1A">
        <w:rPr>
          <w:rFonts w:cs="Arial"/>
          <w:sz w:val="22"/>
        </w:rPr>
        <w:br w:type="page"/>
      </w:r>
    </w:p>
    <w:p w14:paraId="2F8CE7D4" w14:textId="77777777" w:rsidR="009021F1" w:rsidRPr="007E3D1A" w:rsidRDefault="009021F1" w:rsidP="009021F1">
      <w:pPr>
        <w:rPr>
          <w:rFonts w:cs="Arial"/>
          <w:sz w:val="22"/>
        </w:rPr>
      </w:pPr>
    </w:p>
    <w:p w14:paraId="4BA68EA6" w14:textId="1FF4CDFB" w:rsidR="009021F1" w:rsidRPr="007E3D1A" w:rsidRDefault="009021F1" w:rsidP="009021F1">
      <w:pPr>
        <w:ind w:left="1418" w:hanging="1418"/>
        <w:rPr>
          <w:rFonts w:cs="Arial"/>
          <w:sz w:val="22"/>
        </w:rPr>
      </w:pPr>
      <w:r w:rsidRPr="00372F9C">
        <w:rPr>
          <w:rFonts w:cs="Arial"/>
          <w:b/>
          <w:bCs/>
          <w:sz w:val="22"/>
        </w:rPr>
        <w:t>ANNEXE 5. TERMES DE RÉFÉRENCE POUR L’ÉLABORATION DU CADRE DE GESTION ENVIRONNEMENTALE ET SOCIALE</w:t>
      </w:r>
    </w:p>
    <w:p w14:paraId="4FBB5FF4" w14:textId="77777777" w:rsidR="009021F1" w:rsidRPr="007E3D1A" w:rsidRDefault="009021F1" w:rsidP="009021F1">
      <w:pPr>
        <w:rPr>
          <w:rFonts w:cs="Arial"/>
          <w:sz w:val="22"/>
        </w:rPr>
      </w:pPr>
    </w:p>
    <w:p w14:paraId="625CF1D3" w14:textId="77777777" w:rsidR="009021F1" w:rsidRPr="007E3D1A" w:rsidRDefault="009021F1" w:rsidP="009021F1">
      <w:pPr>
        <w:rPr>
          <w:rFonts w:cs="Arial"/>
          <w:sz w:val="22"/>
        </w:rPr>
      </w:pPr>
      <w:r w:rsidRPr="007E3D1A">
        <w:rPr>
          <w:rFonts w:cs="Arial"/>
          <w:sz w:val="22"/>
        </w:rPr>
        <w:t>Contexte du projet et justification</w:t>
      </w:r>
    </w:p>
    <w:p w14:paraId="22B611DB" w14:textId="77777777" w:rsidR="009021F1" w:rsidRPr="007E3D1A" w:rsidRDefault="009021F1" w:rsidP="009021F1">
      <w:pPr>
        <w:rPr>
          <w:rFonts w:cs="Arial"/>
          <w:sz w:val="22"/>
        </w:rPr>
      </w:pPr>
    </w:p>
    <w:p w14:paraId="3DD7CF1B" w14:textId="77777777" w:rsidR="009021F1" w:rsidRPr="007E3D1A" w:rsidRDefault="009021F1" w:rsidP="009021F1">
      <w:pPr>
        <w:rPr>
          <w:rFonts w:cs="Arial"/>
          <w:sz w:val="22"/>
        </w:rPr>
      </w:pPr>
      <w:r w:rsidRPr="007E3D1A">
        <w:rPr>
          <w:rFonts w:cs="Arial"/>
          <w:sz w:val="22"/>
        </w:rPr>
        <w:t>I.1. Contexte du Projet</w:t>
      </w:r>
    </w:p>
    <w:p w14:paraId="1B3122C4" w14:textId="77777777" w:rsidR="009021F1" w:rsidRPr="007E3D1A" w:rsidRDefault="009021F1" w:rsidP="009021F1">
      <w:pPr>
        <w:rPr>
          <w:rFonts w:cs="Arial"/>
          <w:sz w:val="22"/>
        </w:rPr>
      </w:pPr>
    </w:p>
    <w:p w14:paraId="470F7884" w14:textId="77777777" w:rsidR="009021F1" w:rsidRPr="007E3D1A" w:rsidRDefault="009021F1" w:rsidP="009021F1">
      <w:pPr>
        <w:rPr>
          <w:rFonts w:cs="Arial"/>
          <w:sz w:val="22"/>
        </w:rPr>
      </w:pPr>
      <w:r w:rsidRPr="007E3D1A">
        <w:rPr>
          <w:rFonts w:cs="Arial"/>
          <w:sz w:val="22"/>
        </w:rPr>
        <w:t xml:space="preserve">Le Gouvernement de la République démocratique du Congo (RDC) prépare, avec le soutien financier et technique de l’Association internationale de développement ci-après « la Banque mondiale »), un projet dénommé « Programme National de Développement Agricole », PNDA, en sigle. Le Gouvernement prévoit la mise en œuvre du PNDA sous la conduite du Ministère de l’Agriculture ainsi, la Banque mondiale a accepté d’accorder à ce projet un financement  de l’ordre de 500 millions de dollars américains pendant une durée de 5 ans renouvelables </w:t>
      </w:r>
    </w:p>
    <w:p w14:paraId="378F4C73" w14:textId="77777777" w:rsidR="009021F1" w:rsidRPr="007E3D1A" w:rsidRDefault="009021F1" w:rsidP="009021F1">
      <w:pPr>
        <w:rPr>
          <w:rFonts w:cs="Arial"/>
          <w:sz w:val="22"/>
        </w:rPr>
      </w:pPr>
    </w:p>
    <w:p w14:paraId="0F74B238" w14:textId="77777777" w:rsidR="009021F1" w:rsidRPr="007E3D1A" w:rsidRDefault="009021F1" w:rsidP="009021F1">
      <w:pPr>
        <w:rPr>
          <w:rFonts w:cs="Arial"/>
          <w:sz w:val="22"/>
        </w:rPr>
      </w:pPr>
      <w:r w:rsidRPr="007E3D1A">
        <w:rPr>
          <w:rFonts w:cs="Arial"/>
          <w:sz w:val="22"/>
        </w:rPr>
        <w:t>Le PNDA a 4 composantes principales :</w:t>
      </w:r>
    </w:p>
    <w:p w14:paraId="0AE5CB0A" w14:textId="77777777" w:rsidR="009021F1" w:rsidRPr="007E3D1A" w:rsidRDefault="009021F1" w:rsidP="009021F1">
      <w:pPr>
        <w:rPr>
          <w:rFonts w:cs="Arial"/>
          <w:sz w:val="22"/>
        </w:rPr>
      </w:pPr>
    </w:p>
    <w:p w14:paraId="2CAAF70E" w14:textId="77777777" w:rsidR="009021F1" w:rsidRPr="007E3D1A" w:rsidRDefault="009021F1" w:rsidP="009021F1">
      <w:pPr>
        <w:rPr>
          <w:rFonts w:cs="Arial"/>
          <w:sz w:val="22"/>
        </w:rPr>
      </w:pPr>
      <w:r w:rsidRPr="007E3D1A">
        <w:rPr>
          <w:rFonts w:cs="Arial"/>
          <w:sz w:val="22"/>
        </w:rPr>
        <w:t>Les objectifs spécifiques du programme se déclinent comme suit :</w:t>
      </w:r>
    </w:p>
    <w:p w14:paraId="35D4A54F" w14:textId="77777777" w:rsidR="009021F1" w:rsidRPr="007E3D1A" w:rsidRDefault="009021F1" w:rsidP="009021F1">
      <w:pPr>
        <w:rPr>
          <w:rFonts w:cs="Arial"/>
          <w:sz w:val="22"/>
        </w:rPr>
      </w:pPr>
    </w:p>
    <w:p w14:paraId="39D69DA5" w14:textId="77777777" w:rsidR="009021F1" w:rsidRPr="007E3D1A" w:rsidRDefault="009021F1" w:rsidP="009021F1">
      <w:pPr>
        <w:rPr>
          <w:rFonts w:cs="Arial"/>
          <w:sz w:val="22"/>
        </w:rPr>
      </w:pPr>
      <w:r w:rsidRPr="007E3D1A">
        <w:rPr>
          <w:rFonts w:cs="Arial"/>
          <w:sz w:val="22"/>
        </w:rPr>
        <w:t>soutenir la croissance de la productivité agricole au niveau de l’exploitation, permettant aux petits exploitants agricoles d’accroître leurs actifs et leur production, puis d’intervenir pour favoriser l’accès au marché et l’intégration productive de ces petits exploitants dans les chaînes d’approvisionnement agricoles ;</w:t>
      </w:r>
    </w:p>
    <w:p w14:paraId="796A8387" w14:textId="77777777" w:rsidR="009021F1" w:rsidRPr="007E3D1A" w:rsidRDefault="009021F1" w:rsidP="009021F1">
      <w:pPr>
        <w:rPr>
          <w:rFonts w:cs="Arial"/>
          <w:sz w:val="22"/>
        </w:rPr>
      </w:pPr>
      <w:r w:rsidRPr="007E3D1A">
        <w:rPr>
          <w:rFonts w:cs="Arial"/>
          <w:sz w:val="22"/>
        </w:rPr>
        <w:t>soutenir par des investissements importants dans la fourniture de biens et services publics agricoles aux niveaux national et local, notamment la recherche et le développement agricoles, la santé animale et végétale et les infrastructures ;</w:t>
      </w:r>
    </w:p>
    <w:p w14:paraId="0644C1EA" w14:textId="77777777" w:rsidR="009021F1" w:rsidRPr="007E3D1A" w:rsidRDefault="009021F1" w:rsidP="009021F1">
      <w:pPr>
        <w:rPr>
          <w:rFonts w:cs="Arial"/>
          <w:sz w:val="22"/>
        </w:rPr>
      </w:pPr>
      <w:r w:rsidRPr="007E3D1A">
        <w:rPr>
          <w:rFonts w:cs="Arial"/>
          <w:sz w:val="22"/>
        </w:rPr>
        <w:t>renforcer les capacités des du secteur public en particulier des ministères de l’Agriculture, Pêche et Elevage et du ministère du Développement Rural en vue de la fourniture des biens et services publics agricoles de base dans la zone du projet et renforcer la gestion du programme et le suivi et évaluation aux niveaux national et provincial dans les provinces participantes ; et</w:t>
      </w:r>
    </w:p>
    <w:p w14:paraId="16CFE8D4" w14:textId="77777777" w:rsidR="009021F1" w:rsidRPr="007E3D1A" w:rsidRDefault="009021F1" w:rsidP="009021F1">
      <w:pPr>
        <w:rPr>
          <w:rFonts w:cs="Arial"/>
          <w:sz w:val="22"/>
        </w:rPr>
      </w:pPr>
      <w:r w:rsidRPr="007E3D1A">
        <w:rPr>
          <w:rFonts w:cs="Arial"/>
          <w:sz w:val="22"/>
        </w:rPr>
        <w:t>renforcer les interventions d’urgence dans le secteur de l’Agriculture.</w:t>
      </w:r>
    </w:p>
    <w:p w14:paraId="4123D70C" w14:textId="77777777" w:rsidR="009021F1" w:rsidRPr="007E3D1A" w:rsidRDefault="009021F1" w:rsidP="009021F1">
      <w:pPr>
        <w:rPr>
          <w:rFonts w:cs="Arial"/>
          <w:sz w:val="22"/>
        </w:rPr>
      </w:pPr>
    </w:p>
    <w:p w14:paraId="16FDAC85" w14:textId="77777777" w:rsidR="009021F1" w:rsidRPr="007E3D1A" w:rsidRDefault="009021F1" w:rsidP="009021F1">
      <w:pPr>
        <w:rPr>
          <w:rFonts w:cs="Arial"/>
          <w:sz w:val="22"/>
        </w:rPr>
      </w:pPr>
      <w:r w:rsidRPr="007E3D1A">
        <w:rPr>
          <w:rFonts w:cs="Arial"/>
          <w:sz w:val="22"/>
        </w:rPr>
        <w:t>Le Projet sera exécuté dans les Provinces du Nord Kivu, Kwilu,  Kasaï et  Kasaï Occidental et Kongo Central. Il s’appuiera sur des approches validées et les expériences réussies en RDC et dans la région.</w:t>
      </w:r>
    </w:p>
    <w:p w14:paraId="1CD036E5" w14:textId="77777777" w:rsidR="009021F1" w:rsidRPr="007E3D1A" w:rsidRDefault="009021F1" w:rsidP="009021F1">
      <w:pPr>
        <w:rPr>
          <w:rFonts w:cs="Arial"/>
          <w:sz w:val="22"/>
        </w:rPr>
      </w:pPr>
    </w:p>
    <w:p w14:paraId="7AD6BB17" w14:textId="77777777" w:rsidR="009021F1" w:rsidRPr="007E3D1A" w:rsidRDefault="009021F1" w:rsidP="009021F1">
      <w:pPr>
        <w:rPr>
          <w:rFonts w:cs="Arial"/>
          <w:sz w:val="22"/>
        </w:rPr>
      </w:pPr>
      <w:r w:rsidRPr="007E3D1A">
        <w:rPr>
          <w:rFonts w:cs="Arial"/>
          <w:sz w:val="22"/>
        </w:rPr>
        <w:t>1.2. Justification du projet</w:t>
      </w:r>
    </w:p>
    <w:p w14:paraId="1AD461A3" w14:textId="77777777" w:rsidR="009021F1" w:rsidRPr="007E3D1A" w:rsidRDefault="009021F1" w:rsidP="009021F1">
      <w:pPr>
        <w:rPr>
          <w:rFonts w:cs="Arial"/>
          <w:sz w:val="22"/>
        </w:rPr>
      </w:pPr>
    </w:p>
    <w:p w14:paraId="60B25C7D" w14:textId="77777777" w:rsidR="009021F1" w:rsidRPr="007E3D1A" w:rsidRDefault="009021F1" w:rsidP="009021F1">
      <w:pPr>
        <w:rPr>
          <w:rFonts w:cs="Arial"/>
          <w:sz w:val="22"/>
        </w:rPr>
      </w:pPr>
      <w:r w:rsidRPr="007E3D1A">
        <w:rPr>
          <w:rFonts w:cs="Arial"/>
          <w:sz w:val="22"/>
        </w:rPr>
        <w:t>Le secteur agricole de la RDC est particulièrement exposé aux changements climatiques et l’incidence d’autres chocs externes comme la sécheresse, les inondations et autres phénomènes météorologiques extrêmes qui devraient augmenter en fréquence et en gravité. Bien que le bassin de la RDC semble être relativement moins exposé au changement climatique que les régions plus sèches d’Afrique, les agriculteurs de la RDC sont particulièrement pauvres et isolés, et sont vulnérables aux impacts climatiques et à d’autres chocs externes, comme la récente infestation de maladie des légionnaires, causant d’importantes pertes économiques. En même temps, le brûlis dominant l’agriculture de subsistance, 82 % des émissions de GES du pays proviennent du changement d’affectation des sols et de la foresterie.  L’agriculture est mise en avant comme un des secteurs prioritaires tant pour l’adaptation que pour l’atténuation du changement climatique dans la contribution prévue déterminée au niveau (INDC) en reconnaissant à la fois la vulnérabilité du secteur et son rôle dans les efforts d’atténuation du changement climatique. Par conséquent, les approches, les pratiques et les technologies d’agriculture intelligente face au climat(CSA) sont essentielles pour améliorer la productivité et les revenus de l’agriculture, tout en s’attaquant à la résilience du climat local et à l’atténuation du climat mondial. Plusieurs technologies et pratiques d’agriculture intelligente face au climat existantes et potentielles en RDC ont déjà été identifiées. Les principales disparités entre les sexes dans le secteur agricole sont le faible accès des femmes aux actifs de production, aux pratiques agricoles améliorées, aux intrants et aux technologies. Les ménages dirigés par une femme produisent environ 30 % de moins de production agricole que leurs homologues masculins. Les femmes représentent 38,5 % de la population active dans l’économie et la part de ces femmes actives dans l’agriculture est de 72,6 % (FAO, 2011). En outre, il existe en RDC un lien étroit entre l’inégalité des sexes, la malnutrition et l’insécurité alimentaire. Des études récentes ont mis en lumière l’importance d’améliorer l’égalité des sexes en ciblant les femmes dans leurs rôles spécifiques dans la chaîne de valeur agricole. L’écart entre les sexes dans le secteur de l’agriculture en RDC s’explique en partie par le faible niveau d’autonomisation des femmes dans les cinq dimensions définies par l’Indice d’autonomisation des femmes dans l’agriculture (WEIA).</w:t>
      </w:r>
    </w:p>
    <w:p w14:paraId="3593230B" w14:textId="77777777" w:rsidR="009021F1" w:rsidRPr="007E3D1A" w:rsidRDefault="009021F1" w:rsidP="009021F1">
      <w:pPr>
        <w:rPr>
          <w:rFonts w:cs="Arial"/>
          <w:sz w:val="22"/>
        </w:rPr>
      </w:pPr>
    </w:p>
    <w:p w14:paraId="68B42B98" w14:textId="77777777" w:rsidR="009021F1" w:rsidRPr="007E3D1A" w:rsidRDefault="009021F1" w:rsidP="009021F1">
      <w:pPr>
        <w:rPr>
          <w:rFonts w:cs="Arial"/>
          <w:sz w:val="22"/>
        </w:rPr>
      </w:pPr>
      <w:r w:rsidRPr="007E3D1A">
        <w:rPr>
          <w:rFonts w:cs="Arial"/>
          <w:sz w:val="22"/>
        </w:rPr>
        <w:t>1.3. Objectif de développement</w:t>
      </w:r>
    </w:p>
    <w:p w14:paraId="62F954D0" w14:textId="77777777" w:rsidR="009021F1" w:rsidRPr="007E3D1A" w:rsidRDefault="009021F1" w:rsidP="009021F1">
      <w:pPr>
        <w:rPr>
          <w:rFonts w:cs="Arial"/>
          <w:sz w:val="22"/>
        </w:rPr>
      </w:pPr>
    </w:p>
    <w:p w14:paraId="12378D4D" w14:textId="77777777" w:rsidR="009021F1" w:rsidRPr="007E3D1A" w:rsidRDefault="009021F1" w:rsidP="009021F1">
      <w:pPr>
        <w:rPr>
          <w:rFonts w:cs="Arial"/>
          <w:sz w:val="22"/>
        </w:rPr>
      </w:pPr>
      <w:r w:rsidRPr="007E3D1A">
        <w:rPr>
          <w:rFonts w:cs="Arial"/>
          <w:sz w:val="22"/>
        </w:rPr>
        <w:t>L’objectif de développement du PNDA est de réduire la pauvreté rurale en rétablissant et modernisant les systèmes de production agricole, en améliorant la nutrition et la sécurité alimentaire et en mobilisant des investissements importants des secteurs public et privé. Ces dernières années, l’agriculture est devenue une priorité absolue pour le gouvernement de la RDC, comme en témoigne l’allocation de 8 % du budget total en 2016 (à partir de 3 %) plus proche de l’objectif de 10 % de la Déclaration des chefs d’État africains de Maputo. Plusieurs documents de politique régissent le secteur agricole, notamment le Plan national d’Investissement agricole (PNIA), la loi sur l’agriculture et la stratégie de relance de l’agro-industrie. En outre, le ministère du Développement rural a également proposé une nouvelle stratégie pour les centres de développement rural intégré reposant principalement sur le développement de l’agriculture. En pratique, la propriété de ces politiques au niveau provincial et même occasionnellement au niveau central est faible. Une politique nationale de sécurité alimentaire et de nutrition (Politique nationale de Sécurité alimentaire et nutritionnelle, PNSAN 2018 – 2030) a récemment été mise au point avec l’assistance technique de la FAO. La coordination et l’harmonisation entre les différentes politiques et agences d’exécution sont faibles. Les capacités humaines, techniques et financières pour mettre en œuvre les stratégies agricoles sont également faibles.</w:t>
      </w:r>
    </w:p>
    <w:p w14:paraId="78347F5D" w14:textId="77777777" w:rsidR="009021F1" w:rsidRPr="007E3D1A" w:rsidRDefault="009021F1" w:rsidP="009021F1">
      <w:pPr>
        <w:rPr>
          <w:rFonts w:cs="Arial"/>
          <w:sz w:val="22"/>
        </w:rPr>
      </w:pPr>
    </w:p>
    <w:p w14:paraId="1106FC10" w14:textId="77777777" w:rsidR="009021F1" w:rsidRPr="007E3D1A" w:rsidRDefault="009021F1" w:rsidP="009021F1">
      <w:pPr>
        <w:rPr>
          <w:rFonts w:cs="Arial"/>
          <w:sz w:val="22"/>
        </w:rPr>
      </w:pPr>
      <w:r w:rsidRPr="007E3D1A">
        <w:rPr>
          <w:rFonts w:cs="Arial"/>
          <w:sz w:val="22"/>
        </w:rPr>
        <w:t xml:space="preserve">Le PNDA sera mené conformément aux normes environnementales et sociales (NES) de la Banque mondiale, à savoir : NES 1 – Evaluation et gestion des risques et effets environnementaux et sociaux ; NES 2 – Emploi et conditions de travail ; NES 3 – Utilisation rationnelle des ressources et prévention et gestion de la pollution ; NES 4 – Santé et sécurité des populations ; NES 5 – Acquisition des terres, restrictions à l’utilisation des terres et réinstallation forcée ; NES 6 – Préservation de la biodiversité et gestion durable des ressources naturelles biologiques ; NES 7 – Peuples autochtones/Communautés locales traditionnelles d’Afrique subsaharienne historiquement défavorisées ; NES 8 – Patrimoine culturel ; NES 9 –Intermédiaires financiers ; NES 10 – Mobilisation des parties prenantes et information. </w:t>
      </w:r>
    </w:p>
    <w:p w14:paraId="5400AD3B" w14:textId="77777777" w:rsidR="009021F1" w:rsidRPr="007E3D1A" w:rsidRDefault="009021F1" w:rsidP="009021F1">
      <w:pPr>
        <w:rPr>
          <w:rFonts w:cs="Arial"/>
          <w:sz w:val="22"/>
        </w:rPr>
      </w:pPr>
      <w:r w:rsidRPr="007E3D1A">
        <w:rPr>
          <w:rFonts w:cs="Arial"/>
          <w:sz w:val="22"/>
        </w:rPr>
        <w:t>Ainsi, le gouvernement de la République Démocratique du Congo se propose de recruter un Consultant (Firme) ayant une bonne connaissance de la législation nationale en matière d’environnement et des normes environnementales et sociales de la Banque mondiale.</w:t>
      </w:r>
    </w:p>
    <w:p w14:paraId="39028BD9" w14:textId="77777777" w:rsidR="009021F1" w:rsidRPr="007E3D1A" w:rsidRDefault="009021F1" w:rsidP="009021F1">
      <w:pPr>
        <w:rPr>
          <w:rFonts w:cs="Arial"/>
          <w:sz w:val="22"/>
        </w:rPr>
      </w:pPr>
    </w:p>
    <w:p w14:paraId="31BBCE63" w14:textId="77777777" w:rsidR="009021F1" w:rsidRPr="007E3D1A" w:rsidRDefault="009021F1" w:rsidP="009021F1">
      <w:pPr>
        <w:rPr>
          <w:rFonts w:cs="Arial"/>
          <w:sz w:val="22"/>
        </w:rPr>
      </w:pPr>
      <w:r w:rsidRPr="007E3D1A">
        <w:rPr>
          <w:rFonts w:cs="Arial"/>
          <w:sz w:val="22"/>
        </w:rPr>
        <w:t>Les présents termes de référence ont pour but de guider la Firme chargée d’élaborer le Cadre de Gestion Environnementale et Sociale (CGES), le Plan de Gestion des Pestes (PUNCP) et le Plan d’Engagement Environnemental et Social (PEES) du Programme National de Développement Agricole en RDC.</w:t>
      </w:r>
    </w:p>
    <w:p w14:paraId="0CE97B8B" w14:textId="77777777" w:rsidR="009021F1" w:rsidRPr="007E3D1A" w:rsidRDefault="009021F1" w:rsidP="009021F1">
      <w:pPr>
        <w:rPr>
          <w:rFonts w:cs="Arial"/>
          <w:sz w:val="22"/>
        </w:rPr>
      </w:pPr>
    </w:p>
    <w:p w14:paraId="74353339" w14:textId="77777777" w:rsidR="009021F1" w:rsidRPr="007E3D1A" w:rsidRDefault="009021F1" w:rsidP="009021F1">
      <w:pPr>
        <w:rPr>
          <w:rFonts w:cs="Arial"/>
          <w:sz w:val="22"/>
        </w:rPr>
      </w:pPr>
      <w:r w:rsidRPr="007E3D1A">
        <w:rPr>
          <w:rFonts w:cs="Arial"/>
          <w:sz w:val="22"/>
        </w:rPr>
        <w:t>Objectifs et exigences du CGES, PUNCP et PEES</w:t>
      </w:r>
    </w:p>
    <w:p w14:paraId="37FB0699" w14:textId="77777777" w:rsidR="009021F1" w:rsidRPr="007E3D1A" w:rsidRDefault="009021F1" w:rsidP="009021F1">
      <w:pPr>
        <w:rPr>
          <w:rFonts w:cs="Arial"/>
          <w:sz w:val="22"/>
        </w:rPr>
      </w:pPr>
    </w:p>
    <w:p w14:paraId="3438DCD8" w14:textId="77777777" w:rsidR="009021F1" w:rsidRPr="007E3D1A" w:rsidRDefault="009021F1" w:rsidP="009021F1">
      <w:pPr>
        <w:rPr>
          <w:rFonts w:cs="Arial"/>
          <w:sz w:val="22"/>
        </w:rPr>
      </w:pPr>
      <w:r w:rsidRPr="007E3D1A">
        <w:rPr>
          <w:rFonts w:cs="Arial"/>
          <w:sz w:val="22"/>
        </w:rPr>
        <w:t>2.1 Objectifs et exigences du CGES</w:t>
      </w:r>
    </w:p>
    <w:p w14:paraId="047D2C54" w14:textId="77777777" w:rsidR="009021F1" w:rsidRPr="007E3D1A" w:rsidRDefault="009021F1" w:rsidP="009021F1">
      <w:pPr>
        <w:rPr>
          <w:rFonts w:cs="Arial"/>
          <w:sz w:val="22"/>
        </w:rPr>
      </w:pPr>
    </w:p>
    <w:p w14:paraId="511A4E88" w14:textId="77777777" w:rsidR="009021F1" w:rsidRPr="007E3D1A" w:rsidRDefault="009021F1" w:rsidP="009021F1">
      <w:pPr>
        <w:rPr>
          <w:rFonts w:cs="Arial"/>
          <w:sz w:val="22"/>
        </w:rPr>
      </w:pPr>
      <w:r w:rsidRPr="007E3D1A">
        <w:rPr>
          <w:rFonts w:cs="Arial"/>
          <w:sz w:val="22"/>
        </w:rPr>
        <w:t>1.Le Cadre de Gestion Environnementale et Sociale (CGES) est un instrument qui s’applique aux risques et aux impacts d’un projet consistant en une série de sous-projets et dans le cas où les risques et les impacts ne peuvent pas être déterminés pour le moment ou en attendant que les détails du programme ou les sous-projet soient identifiés.</w:t>
      </w:r>
    </w:p>
    <w:p w14:paraId="7943A433" w14:textId="77777777" w:rsidR="009021F1" w:rsidRPr="007E3D1A" w:rsidRDefault="009021F1" w:rsidP="009021F1">
      <w:pPr>
        <w:rPr>
          <w:rFonts w:cs="Arial"/>
          <w:sz w:val="22"/>
        </w:rPr>
      </w:pPr>
    </w:p>
    <w:p w14:paraId="32FF2ED7" w14:textId="77777777" w:rsidR="009021F1" w:rsidRPr="007E3D1A" w:rsidRDefault="009021F1" w:rsidP="009021F1">
      <w:pPr>
        <w:rPr>
          <w:rFonts w:cs="Arial"/>
          <w:sz w:val="22"/>
        </w:rPr>
      </w:pPr>
      <w:r w:rsidRPr="007E3D1A">
        <w:rPr>
          <w:rFonts w:cs="Arial"/>
          <w:sz w:val="22"/>
        </w:rPr>
        <w:t xml:space="preserve">2. Le CGES définit les principes, les règles, les lignes conductrices et les procédures pour évaluer les risques et les impacts environnementaux et sociaux. Il contient des mesures et des plans d’action pour réduire, mitiger et/ compenser les risques et les impacts négatifs. Il contient aussi des provisions et un budget pour telles mesures, et des informations sur l’Agence ou les Agences responsables tels, y compris leur capacité à gérer les impacts même et risques sociaux. </w:t>
      </w:r>
    </w:p>
    <w:p w14:paraId="02B4C0C1" w14:textId="77777777" w:rsidR="009021F1" w:rsidRPr="007E3D1A" w:rsidRDefault="009021F1" w:rsidP="009021F1">
      <w:pPr>
        <w:rPr>
          <w:rFonts w:cs="Arial"/>
          <w:sz w:val="22"/>
        </w:rPr>
      </w:pPr>
    </w:p>
    <w:p w14:paraId="6B536D00" w14:textId="77777777" w:rsidR="009021F1" w:rsidRPr="007E3D1A" w:rsidRDefault="009021F1" w:rsidP="009021F1">
      <w:pPr>
        <w:rPr>
          <w:rFonts w:cs="Arial"/>
          <w:sz w:val="22"/>
        </w:rPr>
      </w:pPr>
      <w:r w:rsidRPr="007E3D1A">
        <w:rPr>
          <w:rFonts w:cs="Arial"/>
          <w:sz w:val="22"/>
        </w:rPr>
        <w:t>3. Il contient aussi des informations sur la zone dans laquelle les sous-projets seront localisés, y compris les vulnérabilités environnementales et sociales potentielles de la zone ; et sur les impacts que pourraient se vérifier et les mesures de mitigation que l’on attend de mettre en œuvre.</w:t>
      </w:r>
    </w:p>
    <w:p w14:paraId="7A897E61" w14:textId="77777777" w:rsidR="009021F1" w:rsidRPr="007E3D1A" w:rsidRDefault="009021F1" w:rsidP="009021F1">
      <w:pPr>
        <w:rPr>
          <w:rFonts w:cs="Arial"/>
          <w:sz w:val="22"/>
        </w:rPr>
      </w:pPr>
      <w:r w:rsidRPr="007E3D1A">
        <w:rPr>
          <w:rFonts w:cs="Arial"/>
          <w:sz w:val="22"/>
        </w:rPr>
        <w:t>Le CGES décrit le fait que l’emprunteur réalisera une évaluation environnementale et sociales du projet afin d’évaluer les risques environnementaux et sociaux du projet tout au long du cycle du projet. L’évaluation sera proportionnée aux risques et aux impacts potentiels du projet, et évaluera de manière intégrée tous les risques environnementaux et sociaux directs</w:t>
      </w:r>
      <w:r w:rsidRPr="007E3D1A">
        <w:rPr>
          <w:rFonts w:cs="Arial"/>
          <w:sz w:val="22"/>
        </w:rPr>
        <w:footnoteReference w:id="57"/>
      </w:r>
      <w:r w:rsidRPr="007E3D1A">
        <w:rPr>
          <w:rFonts w:cs="Arial"/>
          <w:sz w:val="22"/>
        </w:rPr>
        <w:t>, indirects</w:t>
      </w:r>
      <w:r w:rsidRPr="007E3D1A">
        <w:rPr>
          <w:rFonts w:cs="Arial"/>
          <w:sz w:val="22"/>
        </w:rPr>
        <w:footnoteReference w:id="58"/>
      </w:r>
      <w:r w:rsidRPr="007E3D1A">
        <w:rPr>
          <w:rFonts w:cs="Arial"/>
          <w:sz w:val="22"/>
        </w:rPr>
        <w:t>e cumulés</w:t>
      </w:r>
      <w:r w:rsidRPr="007E3D1A">
        <w:rPr>
          <w:rFonts w:cs="Arial"/>
          <w:sz w:val="22"/>
        </w:rPr>
        <w:footnoteReference w:id="59"/>
      </w:r>
      <w:r w:rsidRPr="007E3D1A">
        <w:rPr>
          <w:rFonts w:cs="Arial"/>
          <w:sz w:val="22"/>
        </w:rPr>
        <w:t xml:space="preserve"> tout le long du cycle du projet, y compris ceux spécifiquement identifiés dans les normes environnementales et sociales (NES) 2-10 du CES.</w:t>
      </w:r>
    </w:p>
    <w:p w14:paraId="07C236DE" w14:textId="77777777" w:rsidR="009021F1" w:rsidRPr="007E3D1A" w:rsidRDefault="009021F1" w:rsidP="009021F1">
      <w:pPr>
        <w:rPr>
          <w:rFonts w:cs="Arial"/>
          <w:sz w:val="22"/>
        </w:rPr>
      </w:pPr>
    </w:p>
    <w:p w14:paraId="40BF9E37" w14:textId="77777777" w:rsidR="009021F1" w:rsidRPr="007E3D1A" w:rsidRDefault="009021F1" w:rsidP="009021F1">
      <w:pPr>
        <w:rPr>
          <w:rFonts w:cs="Arial"/>
          <w:sz w:val="22"/>
        </w:rPr>
      </w:pPr>
      <w:r w:rsidRPr="007E3D1A">
        <w:rPr>
          <w:rFonts w:cs="Arial"/>
          <w:sz w:val="22"/>
        </w:rPr>
        <w:t>Le CGES sera basé sur des informations courantes, y compris une description précise et une délinéation du projet et de tout aspect associé, une base de données sur les aspects sociaux et environnementaux contenant un niveau de détail suffisant pour informer la caractérisation et l’identification des risques, des impacts et les mesures de mitigation.</w:t>
      </w:r>
    </w:p>
    <w:p w14:paraId="12258D55" w14:textId="77777777" w:rsidR="009021F1" w:rsidRPr="007E3D1A" w:rsidRDefault="009021F1" w:rsidP="009021F1">
      <w:pPr>
        <w:rPr>
          <w:rFonts w:cs="Arial"/>
          <w:sz w:val="22"/>
        </w:rPr>
      </w:pPr>
      <w:r w:rsidRPr="007E3D1A">
        <w:rPr>
          <w:rFonts w:cs="Arial"/>
          <w:sz w:val="22"/>
        </w:rPr>
        <w:t xml:space="preserve"> Le CGES évaluera les risques et les impacts environnementaux et sociaux potentiels, examinera les alternatives, et identifiera la façon pour améliorer la sélection du projet, son localisation, planification, design et mise en œuvre. Cela afin d’appliquer la hiérarchie de mitigation pour les impacts environnementaux et sociaux et chercher des opportunités pour augmenter les impacts positifs du projet. Le CGES comprendra un plan d’engagement des parties prenantes comme partie intégrale de l’évaluation, en conformité avec la NES 10.</w:t>
      </w:r>
    </w:p>
    <w:p w14:paraId="45ABB831" w14:textId="77777777" w:rsidR="009021F1" w:rsidRPr="007E3D1A" w:rsidRDefault="009021F1" w:rsidP="009021F1">
      <w:pPr>
        <w:rPr>
          <w:rFonts w:cs="Arial"/>
          <w:sz w:val="22"/>
        </w:rPr>
      </w:pPr>
      <w:r w:rsidRPr="007E3D1A">
        <w:rPr>
          <w:rFonts w:cs="Arial"/>
          <w:sz w:val="22"/>
        </w:rPr>
        <w:t>Le CGES constituera une évaluation et une présentation adéquate, précise et objective des risques et impacts connus, préparées par des personnes qualifiées et expérimentées.</w:t>
      </w:r>
    </w:p>
    <w:p w14:paraId="67C6001F" w14:textId="77777777" w:rsidR="009021F1" w:rsidRPr="007E3D1A" w:rsidRDefault="009021F1" w:rsidP="009021F1">
      <w:pPr>
        <w:rPr>
          <w:rFonts w:cs="Arial"/>
          <w:sz w:val="22"/>
        </w:rPr>
      </w:pPr>
    </w:p>
    <w:p w14:paraId="31FF9AAD" w14:textId="77777777" w:rsidR="009021F1" w:rsidRPr="007E3D1A" w:rsidRDefault="009021F1" w:rsidP="009021F1">
      <w:pPr>
        <w:rPr>
          <w:rFonts w:cs="Arial"/>
          <w:sz w:val="22"/>
        </w:rPr>
      </w:pPr>
      <w:r w:rsidRPr="007E3D1A">
        <w:rPr>
          <w:rFonts w:cs="Arial"/>
          <w:sz w:val="22"/>
        </w:rPr>
        <w:t>Le CGES prendra en compte de manière appropriée toutes les questions pertinentes du projet, notamment:</w:t>
      </w:r>
    </w:p>
    <w:p w14:paraId="35DDAA87" w14:textId="77777777" w:rsidR="009021F1" w:rsidRPr="007E3D1A" w:rsidRDefault="009021F1" w:rsidP="009021F1">
      <w:pPr>
        <w:rPr>
          <w:rFonts w:cs="Arial"/>
          <w:sz w:val="22"/>
        </w:rPr>
      </w:pPr>
    </w:p>
    <w:p w14:paraId="13E3C20E" w14:textId="77777777" w:rsidR="009021F1" w:rsidRPr="007E3D1A" w:rsidRDefault="009021F1" w:rsidP="009021F1">
      <w:pPr>
        <w:rPr>
          <w:rFonts w:cs="Arial"/>
          <w:sz w:val="22"/>
        </w:rPr>
      </w:pPr>
      <w:r w:rsidRPr="007E3D1A">
        <w:rPr>
          <w:rFonts w:cs="Arial"/>
          <w:sz w:val="22"/>
        </w:rPr>
        <w:t xml:space="preserve">Le cadre politique, les lois et réglementations nationales applicables et les capacités institutionnelles (y compris la mise en œuvre) du pays en matière d’environnement et de questions sociales; </w:t>
      </w:r>
    </w:p>
    <w:p w14:paraId="239851BA" w14:textId="77777777" w:rsidR="009021F1" w:rsidRPr="007E3D1A" w:rsidRDefault="009021F1" w:rsidP="009021F1">
      <w:pPr>
        <w:rPr>
          <w:rFonts w:cs="Arial"/>
          <w:sz w:val="22"/>
        </w:rPr>
      </w:pPr>
      <w:r w:rsidRPr="007E3D1A">
        <w:rPr>
          <w:rFonts w:cs="Arial"/>
          <w:sz w:val="22"/>
        </w:rPr>
        <w:t xml:space="preserve">Les variations des conditions du pays et du contexte du projet; </w:t>
      </w:r>
    </w:p>
    <w:p w14:paraId="258420B7" w14:textId="77777777" w:rsidR="009021F1" w:rsidRPr="007E3D1A" w:rsidRDefault="009021F1" w:rsidP="009021F1">
      <w:pPr>
        <w:rPr>
          <w:rFonts w:cs="Arial"/>
          <w:sz w:val="22"/>
        </w:rPr>
      </w:pPr>
      <w:r w:rsidRPr="007E3D1A">
        <w:rPr>
          <w:rFonts w:cs="Arial"/>
          <w:sz w:val="22"/>
        </w:rPr>
        <w:t xml:space="preserve">Les études environnementales ou sociales du pays; les plans d'action environnementaux ou sociaux nationaux; et les obligations du pays directement applicables au projet en vertu des traités et accords internationaux pertinents; </w:t>
      </w:r>
    </w:p>
    <w:p w14:paraId="58E7E5A5" w14:textId="77777777" w:rsidR="009021F1" w:rsidRPr="007E3D1A" w:rsidRDefault="009021F1" w:rsidP="009021F1">
      <w:pPr>
        <w:rPr>
          <w:rFonts w:cs="Arial"/>
          <w:sz w:val="22"/>
        </w:rPr>
      </w:pPr>
      <w:r w:rsidRPr="007E3D1A">
        <w:rPr>
          <w:rFonts w:cs="Arial"/>
          <w:sz w:val="22"/>
        </w:rPr>
        <w:t>Les exigences applicables en vertu des NES; et les Directives pour la Sécurité de l'environnement et de la Santé (DSS) et les autres Bonnes Pratiques Internationales du Secteur (BPIS) pertinentes.</w:t>
      </w:r>
    </w:p>
    <w:p w14:paraId="5361CAA0" w14:textId="77777777" w:rsidR="009021F1" w:rsidRPr="007E3D1A" w:rsidRDefault="009021F1" w:rsidP="009021F1">
      <w:pPr>
        <w:rPr>
          <w:rFonts w:cs="Arial"/>
          <w:sz w:val="22"/>
        </w:rPr>
      </w:pPr>
    </w:p>
    <w:p w14:paraId="69A7343D" w14:textId="77777777" w:rsidR="009021F1" w:rsidRPr="007E3D1A" w:rsidRDefault="009021F1" w:rsidP="009021F1">
      <w:pPr>
        <w:rPr>
          <w:rFonts w:cs="Arial"/>
          <w:sz w:val="22"/>
        </w:rPr>
      </w:pPr>
      <w:r w:rsidRPr="007E3D1A">
        <w:rPr>
          <w:rFonts w:cs="Arial"/>
          <w:sz w:val="22"/>
        </w:rPr>
        <w:t>Le CGES établira et appliquera une hiérarchie de mesures d’atténuation pour :</w:t>
      </w:r>
    </w:p>
    <w:p w14:paraId="4E8BF960" w14:textId="77777777" w:rsidR="009021F1" w:rsidRPr="007E3D1A" w:rsidRDefault="009021F1" w:rsidP="009021F1">
      <w:pPr>
        <w:rPr>
          <w:rFonts w:cs="Arial"/>
          <w:sz w:val="22"/>
        </w:rPr>
      </w:pPr>
    </w:p>
    <w:p w14:paraId="6AEAC352" w14:textId="77777777" w:rsidR="009021F1" w:rsidRPr="007E3D1A" w:rsidRDefault="009021F1" w:rsidP="009021F1">
      <w:pPr>
        <w:rPr>
          <w:rFonts w:cs="Arial"/>
          <w:sz w:val="22"/>
        </w:rPr>
      </w:pPr>
      <w:r w:rsidRPr="007E3D1A">
        <w:rPr>
          <w:rFonts w:cs="Arial"/>
          <w:sz w:val="22"/>
        </w:rPr>
        <w:t>Anticiper et éviter les risques et les impacts;</w:t>
      </w:r>
    </w:p>
    <w:p w14:paraId="4B540CC3" w14:textId="77777777" w:rsidR="009021F1" w:rsidRPr="007E3D1A" w:rsidRDefault="009021F1" w:rsidP="009021F1">
      <w:pPr>
        <w:rPr>
          <w:rFonts w:cs="Arial"/>
          <w:sz w:val="22"/>
        </w:rPr>
      </w:pPr>
      <w:r w:rsidRPr="007E3D1A">
        <w:rPr>
          <w:rFonts w:cs="Arial"/>
          <w:sz w:val="22"/>
        </w:rPr>
        <w:t>Lorsque ce n'est pas possible de l’éviter, minimisez ou réduire les risques et les impacts à des niveaux acceptables;</w:t>
      </w:r>
    </w:p>
    <w:p w14:paraId="727A64EF" w14:textId="77777777" w:rsidR="009021F1" w:rsidRPr="007E3D1A" w:rsidRDefault="009021F1" w:rsidP="009021F1">
      <w:pPr>
        <w:rPr>
          <w:rFonts w:cs="Arial"/>
          <w:sz w:val="22"/>
        </w:rPr>
      </w:pPr>
      <w:r w:rsidRPr="007E3D1A">
        <w:rPr>
          <w:rFonts w:cs="Arial"/>
          <w:sz w:val="22"/>
        </w:rPr>
        <w:t>Une fois que les risques et les impacts ont été minimisés ou réduits, les atténuer ; et</w:t>
      </w:r>
    </w:p>
    <w:p w14:paraId="5C7F2BB2" w14:textId="77777777" w:rsidR="009021F1" w:rsidRPr="007E3D1A" w:rsidRDefault="009021F1" w:rsidP="009021F1">
      <w:pPr>
        <w:rPr>
          <w:rFonts w:cs="Arial"/>
          <w:sz w:val="22"/>
        </w:rPr>
      </w:pPr>
      <w:r w:rsidRPr="007E3D1A">
        <w:rPr>
          <w:rFonts w:cs="Arial"/>
          <w:sz w:val="22"/>
        </w:rPr>
        <w:t>Si des impacts résiduels importants subsistent, de les corriger ou compenser lorsque cela est techniquement et financièrement réalisable.</w:t>
      </w:r>
    </w:p>
    <w:p w14:paraId="15BC23B5" w14:textId="77777777" w:rsidR="009021F1" w:rsidRPr="007E3D1A" w:rsidRDefault="009021F1" w:rsidP="009021F1">
      <w:pPr>
        <w:rPr>
          <w:rFonts w:cs="Arial"/>
          <w:sz w:val="22"/>
        </w:rPr>
      </w:pPr>
    </w:p>
    <w:p w14:paraId="6DB29AA3" w14:textId="77777777" w:rsidR="009021F1" w:rsidRPr="007E3D1A" w:rsidRDefault="009021F1" w:rsidP="009021F1">
      <w:pPr>
        <w:rPr>
          <w:rFonts w:cs="Arial"/>
          <w:sz w:val="22"/>
        </w:rPr>
      </w:pPr>
      <w:r w:rsidRPr="007E3D1A">
        <w:rPr>
          <w:rFonts w:cs="Arial"/>
          <w:sz w:val="22"/>
        </w:rPr>
        <w:t>Le CGES, informé de la portée des problèmes, tiendra compte de tous les risques et impacts environnementaux et sociaux pertinents du projet, notamment :</w:t>
      </w:r>
    </w:p>
    <w:p w14:paraId="77E34EC8" w14:textId="77777777" w:rsidR="009021F1" w:rsidRPr="007E3D1A" w:rsidRDefault="009021F1" w:rsidP="009021F1">
      <w:pPr>
        <w:rPr>
          <w:rFonts w:cs="Arial"/>
          <w:sz w:val="22"/>
        </w:rPr>
      </w:pPr>
    </w:p>
    <w:p w14:paraId="66523A54" w14:textId="77777777" w:rsidR="009021F1" w:rsidRPr="007E3D1A" w:rsidRDefault="009021F1" w:rsidP="009021F1">
      <w:pPr>
        <w:rPr>
          <w:rFonts w:cs="Arial"/>
          <w:sz w:val="22"/>
        </w:rPr>
      </w:pPr>
      <w:r w:rsidRPr="007E3D1A">
        <w:rPr>
          <w:rFonts w:cs="Arial"/>
          <w:sz w:val="22"/>
        </w:rPr>
        <w:t>Les risques et impacts environnementaux, y compris : (i) ceux définis par les DSS; (ii) ceux liées à la sécurité communautaire (y compris la sécurité des barrages et l'utilisation sans danger des pesticides); (iii) ceux liés au changement climatique et à d'autres risques et impacts transfrontières ou mondiaux; (iv) toute menace matérielle à la protection, la conservation, le maintien et la restauration des habitats naturels et de la biodiversité; et (v) ceux liés aux services éco systémiques et à l'utilisation de ressources naturelles vivantes, telles que les pêcheries et les forêts ;</w:t>
      </w:r>
    </w:p>
    <w:p w14:paraId="7B94831A" w14:textId="77777777" w:rsidR="009021F1" w:rsidRPr="007E3D1A" w:rsidRDefault="009021F1" w:rsidP="009021F1">
      <w:pPr>
        <w:rPr>
          <w:rFonts w:cs="Arial"/>
          <w:sz w:val="22"/>
        </w:rPr>
      </w:pPr>
    </w:p>
    <w:p w14:paraId="0B766D71" w14:textId="77777777" w:rsidR="009021F1" w:rsidRPr="007E3D1A" w:rsidRDefault="009021F1" w:rsidP="009021F1">
      <w:pPr>
        <w:rPr>
          <w:rFonts w:cs="Arial"/>
          <w:sz w:val="22"/>
        </w:rPr>
      </w:pPr>
      <w:r w:rsidRPr="007E3D1A">
        <w:rPr>
          <w:rFonts w:cs="Arial"/>
          <w:sz w:val="22"/>
        </w:rPr>
        <w:t>Les risques et les impacts sociaux, notamment : (i) les menaces à la sécurité humaine résultant de conflits, de crimes ou des violences</w:t>
      </w:r>
      <w:r w:rsidRPr="007E3D1A">
        <w:rPr>
          <w:rFonts w:cs="Arial"/>
          <w:sz w:val="22"/>
        </w:rPr>
        <w:footnoteReference w:id="60"/>
      </w:r>
      <w:r w:rsidRPr="007E3D1A">
        <w:rPr>
          <w:rFonts w:cs="Arial"/>
          <w:sz w:val="22"/>
        </w:rPr>
        <w:t>, communautaires ou interétatiques ; (ii) les risques dû au fait que les impacts du projet touchent de manière disproportionnée des individus et des groupes qui, en raison de leur situation particulière, peuvent être désavantagés ou vulnérables ; (iii) tout préjudice ou discrimination à l'égard de personnes ou de groupes en ce qui concerne l'accès aux ressources et aux avantages du projet, en particulier dans le cas de personnes susceptibles d'être défavorisées ou vulnérables; (iv) des impacts économiques et sociaux négatifs liés à la prise de terre involontaire ou à des restrictions d'utilisation du sol ; (v) les risques ou impacts associés au régime foncier et à l'utilisation des terres et des ressources naturelles, y compris (le cas échéant) les impacts potentiels du projet sur les schémas d'utilisation des terres et les régimes fonciers locaux, l'accès et la disponibilité des terres, la sécurité alimentaire et la valeur des terres, ainsi que les risques correspondants liés à conflit ou contestation sur la terre et les ressources naturelles ; (vi) les impacts sur la santé, la sécurité et le bien-être des travailleurs et des communautés affectées par le projet ; et (vii) les risques pour le patrimoine culturel.</w:t>
      </w:r>
    </w:p>
    <w:p w14:paraId="5951383A" w14:textId="77777777" w:rsidR="009021F1" w:rsidRPr="007E3D1A" w:rsidRDefault="009021F1" w:rsidP="009021F1">
      <w:pPr>
        <w:rPr>
          <w:rFonts w:cs="Arial"/>
          <w:sz w:val="22"/>
        </w:rPr>
      </w:pPr>
    </w:p>
    <w:p w14:paraId="1BE70168" w14:textId="77777777" w:rsidR="009021F1" w:rsidRPr="007E3D1A" w:rsidRDefault="009021F1" w:rsidP="009021F1">
      <w:pPr>
        <w:rPr>
          <w:rFonts w:cs="Arial"/>
          <w:sz w:val="22"/>
        </w:rPr>
      </w:pPr>
      <w:r w:rsidRPr="007E3D1A">
        <w:rPr>
          <w:rFonts w:cs="Arial"/>
          <w:sz w:val="22"/>
        </w:rPr>
        <w:t>Lorsque des individus ou des groupes spécifiques comme désavantagés ou vulnérables sont identifiés, le CGES proposera des mesures différenciées à mettre en œuvre par l’emprunteur afin que les effets négatifs ne tombent pas de manière disproportionnée sur les personnes défavorisées ou vulnérables, et ils ne le sont pas dans le partage des avantages et des opportunités de développement résultant du projet.</w:t>
      </w:r>
    </w:p>
    <w:p w14:paraId="082DC1AF" w14:textId="77777777" w:rsidR="009021F1" w:rsidRPr="007E3D1A" w:rsidRDefault="009021F1" w:rsidP="009021F1">
      <w:pPr>
        <w:rPr>
          <w:rFonts w:cs="Arial"/>
          <w:sz w:val="22"/>
        </w:rPr>
      </w:pPr>
    </w:p>
    <w:p w14:paraId="5E6C1450" w14:textId="77777777" w:rsidR="009021F1" w:rsidRPr="007E3D1A" w:rsidRDefault="009021F1" w:rsidP="009021F1">
      <w:pPr>
        <w:rPr>
          <w:rFonts w:cs="Arial"/>
          <w:sz w:val="22"/>
        </w:rPr>
      </w:pPr>
      <w:r w:rsidRPr="007E3D1A">
        <w:rPr>
          <w:rFonts w:cs="Arial"/>
          <w:sz w:val="22"/>
        </w:rPr>
        <w:t>Pour les projets impliquant plusieurs petits sous-projets,</w:t>
      </w:r>
      <w:r w:rsidRPr="007E3D1A">
        <w:rPr>
          <w:rFonts w:cs="Arial"/>
          <w:sz w:val="22"/>
        </w:rPr>
        <w:footnoteReference w:id="61"/>
      </w:r>
      <w:r w:rsidRPr="007E3D1A">
        <w:rPr>
          <w:rFonts w:cs="Arial"/>
          <w:sz w:val="22"/>
        </w:rPr>
        <w:t>qui sont identifiés, préparés et mis en œuvre au cours du projet, l'emprunteur effectuera une évaluation environnementale et sociale appropriée des sous-projets, et préparera et mettra en œuvre ces sous-projets, comme suit : a) sous-projets à risque élevé, en conformément aux ESS; b Sous-projets de risques substantiels, de risques modérés et à faible risque, conformément au droit national et à toutes les exigences des Normes Environnementales et Sociales (NES) que la Banque juge pertinentes pour ces sous-projets.</w:t>
      </w:r>
    </w:p>
    <w:p w14:paraId="735434AD" w14:textId="77777777" w:rsidR="009021F1" w:rsidRPr="007E3D1A" w:rsidRDefault="009021F1" w:rsidP="009021F1">
      <w:pPr>
        <w:rPr>
          <w:rFonts w:cs="Arial"/>
          <w:sz w:val="22"/>
        </w:rPr>
      </w:pPr>
    </w:p>
    <w:p w14:paraId="0075B51B" w14:textId="77777777" w:rsidR="009021F1" w:rsidRPr="007E3D1A" w:rsidRDefault="009021F1" w:rsidP="009021F1">
      <w:pPr>
        <w:rPr>
          <w:rFonts w:cs="Arial"/>
          <w:sz w:val="22"/>
        </w:rPr>
      </w:pPr>
      <w:r w:rsidRPr="007E3D1A">
        <w:rPr>
          <w:rFonts w:cs="Arial"/>
          <w:sz w:val="22"/>
        </w:rPr>
        <w:t>Le CGES identifiera et évaluera également, dans la mesure du possible, les risques environnementaux et sociaux potentiels et les impacts des installations associées. L'emprunteur abordera les risques et les répercussions des installations associées d'une manière proportionnelle à son contrôle ou à son influence sur les installations connexes. Dans la mesure où l'emprunteur ne peut pas contrôler ou influencer les activités associées pour répondre aux exigences des NES, l'évaluation environnementale et sociale permettra également d'identifier les risques et les impacts que les installations associées peuvent présenter au projet.</w:t>
      </w:r>
    </w:p>
    <w:p w14:paraId="3EB181C9" w14:textId="77777777" w:rsidR="009021F1" w:rsidRPr="007E3D1A" w:rsidRDefault="009021F1" w:rsidP="009021F1">
      <w:pPr>
        <w:rPr>
          <w:rFonts w:cs="Arial"/>
          <w:sz w:val="22"/>
        </w:rPr>
      </w:pPr>
    </w:p>
    <w:p w14:paraId="3ACCBF9B" w14:textId="77777777" w:rsidR="009021F1" w:rsidRPr="007E3D1A" w:rsidRDefault="009021F1" w:rsidP="009021F1">
      <w:pPr>
        <w:rPr>
          <w:rFonts w:cs="Arial"/>
          <w:sz w:val="22"/>
        </w:rPr>
      </w:pPr>
      <w:r w:rsidRPr="007E3D1A">
        <w:rPr>
          <w:rFonts w:cs="Arial"/>
          <w:sz w:val="22"/>
        </w:rPr>
        <w:t>Le CGES tiendra également compte des risques</w:t>
      </w:r>
      <w:r w:rsidRPr="007E3D1A">
        <w:rPr>
          <w:rFonts w:cs="Arial"/>
          <w:sz w:val="22"/>
        </w:rPr>
        <w:footnoteReference w:id="62"/>
      </w:r>
      <w:r w:rsidRPr="007E3D1A">
        <w:rPr>
          <w:rFonts w:cs="Arial"/>
          <w:sz w:val="22"/>
        </w:rPr>
        <w:t>et des impacts associés aux principaux fournisseurs, comme l'exigent NES 2 et NES 6. L'emprunteur s'attaquera à ces risques et impacts d'une manière proportionnelle au contrôle ou à l'influence de l'emprunteur sur ses principaux fournisseurs tels qu'ils sont énoncés dans NES 2 et NES 6.</w:t>
      </w:r>
    </w:p>
    <w:p w14:paraId="5BDF7C77" w14:textId="77777777" w:rsidR="009021F1" w:rsidRPr="007E3D1A" w:rsidRDefault="009021F1" w:rsidP="009021F1">
      <w:pPr>
        <w:rPr>
          <w:rFonts w:cs="Arial"/>
          <w:sz w:val="22"/>
        </w:rPr>
      </w:pPr>
    </w:p>
    <w:p w14:paraId="27B6D54C" w14:textId="77777777" w:rsidR="009021F1" w:rsidRPr="007E3D1A" w:rsidRDefault="009021F1" w:rsidP="009021F1">
      <w:pPr>
        <w:rPr>
          <w:rFonts w:cs="Arial"/>
          <w:sz w:val="22"/>
        </w:rPr>
      </w:pPr>
      <w:r w:rsidRPr="007E3D1A">
        <w:rPr>
          <w:rFonts w:cs="Arial"/>
          <w:sz w:val="22"/>
        </w:rPr>
        <w:t>Le CGES tiendra compte des risques et impacts transfrontaliers et mondiaux potentiellement importants liés aux projets, tels que les impacts des décharges et des émissions, l'utilisation accrue ou la contamination des voies navigables internationales ; l'émissions de polluants climatiques à courte et à longue durée de vie,</w:t>
      </w:r>
      <w:r w:rsidRPr="007E3D1A">
        <w:rPr>
          <w:rFonts w:cs="Arial"/>
          <w:sz w:val="22"/>
        </w:rPr>
        <w:footnoteReference w:id="63"/>
      </w:r>
      <w:r w:rsidRPr="007E3D1A">
        <w:rPr>
          <w:rFonts w:cs="Arial"/>
          <w:sz w:val="22"/>
        </w:rPr>
        <w:t>les problèmes d'atténuation, d'adaptation et de résilience liés au changement climatique, ainsi que les impacts sur les espèces migratrices menacées ou appauvries et leurs habitats.</w:t>
      </w:r>
    </w:p>
    <w:p w14:paraId="2C2185F3" w14:textId="77777777" w:rsidR="009021F1" w:rsidRPr="007E3D1A" w:rsidRDefault="009021F1" w:rsidP="009021F1">
      <w:pPr>
        <w:rPr>
          <w:rFonts w:cs="Arial"/>
          <w:sz w:val="22"/>
        </w:rPr>
      </w:pPr>
    </w:p>
    <w:p w14:paraId="1D1C7DBE" w14:textId="77777777" w:rsidR="009021F1" w:rsidRPr="007E3D1A" w:rsidRDefault="009021F1" w:rsidP="009021F1">
      <w:pPr>
        <w:rPr>
          <w:rFonts w:cs="Arial"/>
          <w:sz w:val="22"/>
        </w:rPr>
      </w:pPr>
      <w:r w:rsidRPr="007E3D1A">
        <w:rPr>
          <w:rFonts w:cs="Arial"/>
          <w:sz w:val="22"/>
        </w:rPr>
        <w:t>Engagement des parties prenantes et divulgation de l'information</w:t>
      </w:r>
    </w:p>
    <w:p w14:paraId="691099EB" w14:textId="77777777" w:rsidR="009021F1" w:rsidRPr="007E3D1A" w:rsidRDefault="009021F1" w:rsidP="009021F1">
      <w:pPr>
        <w:rPr>
          <w:rFonts w:cs="Arial"/>
          <w:sz w:val="22"/>
        </w:rPr>
      </w:pPr>
    </w:p>
    <w:p w14:paraId="3CEDB98B" w14:textId="77777777" w:rsidR="009021F1" w:rsidRPr="007E3D1A" w:rsidRDefault="009021F1" w:rsidP="009021F1">
      <w:pPr>
        <w:rPr>
          <w:rFonts w:cs="Arial"/>
          <w:sz w:val="22"/>
        </w:rPr>
      </w:pPr>
      <w:r w:rsidRPr="007E3D1A">
        <w:rPr>
          <w:rFonts w:cs="Arial"/>
          <w:sz w:val="22"/>
        </w:rPr>
        <w:t>Comme prévu par la NES 10, l'Emprunteur continuera de s'engager et de fournir suffisamment d'information aux parties prenantes tout au long du cycle de vie du projet, d'une manière appropriée à la nature de leurs intérêts et aux risques environnementaux et sociaux potentiels et impacts du projet. Le PGES devrait définir les exigences de base pour la préparation d'un plan de participation des parties prenantes, y compris les exigences en matière de divulgation d'informations et de consultations significatives tout au long du projet.</w:t>
      </w:r>
    </w:p>
    <w:p w14:paraId="06F3D5ED" w14:textId="77777777" w:rsidR="009021F1" w:rsidRPr="007E3D1A" w:rsidRDefault="009021F1" w:rsidP="009021F1">
      <w:pPr>
        <w:rPr>
          <w:rFonts w:cs="Arial"/>
          <w:sz w:val="22"/>
        </w:rPr>
      </w:pPr>
    </w:p>
    <w:p w14:paraId="5362A310" w14:textId="77777777" w:rsidR="009021F1" w:rsidRPr="007E3D1A" w:rsidRDefault="009021F1" w:rsidP="009021F1">
      <w:pPr>
        <w:rPr>
          <w:rFonts w:cs="Arial"/>
          <w:sz w:val="22"/>
        </w:rPr>
      </w:pPr>
      <w:r w:rsidRPr="00730A4A">
        <w:rPr>
          <w:rFonts w:eastAsia="Calibri" w:cs="Arial"/>
          <w:sz w:val="22"/>
        </w:rPr>
        <w:t>Le PGES doit inclure une description de la manière dont l’Emprunteur proposera et mettra en œuvre un mécanisme de gestion des plaintes pour entendre ces préoccupations et recevoir ces plaintes et en faciliter le règlement. Le PGES définira clairement les rôles, les responsabilités et les attributions et désignera les personnes qui se chargeront de la mise en œuvre et du suivi des activités de mobilisation des parties prenantes et de la mise en conformité avec les dispositions de la présente NES.</w:t>
      </w:r>
    </w:p>
    <w:p w14:paraId="0A167EF9" w14:textId="77777777" w:rsidR="009021F1" w:rsidRPr="007E3D1A" w:rsidRDefault="009021F1" w:rsidP="009021F1">
      <w:pPr>
        <w:rPr>
          <w:rFonts w:cs="Arial"/>
          <w:sz w:val="22"/>
        </w:rPr>
      </w:pPr>
    </w:p>
    <w:p w14:paraId="1C11C7FD" w14:textId="77777777" w:rsidR="009021F1" w:rsidRPr="007E3D1A" w:rsidRDefault="009021F1" w:rsidP="009021F1">
      <w:pPr>
        <w:rPr>
          <w:rFonts w:cs="Arial"/>
          <w:sz w:val="22"/>
        </w:rPr>
      </w:pPr>
      <w:r w:rsidRPr="007E3D1A">
        <w:rPr>
          <w:rFonts w:cs="Arial"/>
          <w:sz w:val="22"/>
        </w:rPr>
        <w:t>Pour les projets à risque élevé et à risque substantiel, l'emprunteur fournira à la Banque et divulguera des documents, comme convenu avec la Banque, concernant les risques environnementaux et sociaux et les impacts du projet avant l'évaluation du projet. La documentation traitera, de façon adéquate, des principaux risques et impacts du projet et fournira suffisamment de détails pour éclairer l'engagement des intervenants et la prise de décisions de la Banque. L'emprunteur fournira à la Banque et divulguera les documents définitifs ou mis à jour tels que spécifiés dans le PEES.</w:t>
      </w:r>
    </w:p>
    <w:p w14:paraId="7131EADB" w14:textId="77777777" w:rsidR="009021F1" w:rsidRPr="007E3D1A" w:rsidRDefault="009021F1" w:rsidP="009021F1">
      <w:pPr>
        <w:rPr>
          <w:rFonts w:cs="Arial"/>
          <w:sz w:val="22"/>
        </w:rPr>
      </w:pPr>
    </w:p>
    <w:p w14:paraId="230BCB5F" w14:textId="77777777" w:rsidR="009021F1" w:rsidRPr="007E3D1A" w:rsidRDefault="009021F1" w:rsidP="009021F1">
      <w:pPr>
        <w:rPr>
          <w:rFonts w:cs="Arial"/>
          <w:sz w:val="22"/>
        </w:rPr>
      </w:pPr>
      <w:r w:rsidRPr="007E3D1A">
        <w:rPr>
          <w:rFonts w:cs="Arial"/>
          <w:sz w:val="22"/>
        </w:rPr>
        <w:t>Suivi et reporting du projet</w:t>
      </w:r>
    </w:p>
    <w:p w14:paraId="1685C013" w14:textId="77777777" w:rsidR="009021F1" w:rsidRPr="007E3D1A" w:rsidRDefault="009021F1" w:rsidP="009021F1">
      <w:pPr>
        <w:rPr>
          <w:rFonts w:cs="Arial"/>
          <w:sz w:val="22"/>
        </w:rPr>
      </w:pPr>
    </w:p>
    <w:p w14:paraId="24265419" w14:textId="77777777" w:rsidR="009021F1" w:rsidRPr="007E3D1A" w:rsidRDefault="009021F1" w:rsidP="009021F1">
      <w:pPr>
        <w:rPr>
          <w:rFonts w:cs="Arial"/>
          <w:sz w:val="22"/>
        </w:rPr>
      </w:pPr>
      <w:r w:rsidRPr="007E3D1A">
        <w:rPr>
          <w:rFonts w:cs="Arial"/>
          <w:sz w:val="22"/>
        </w:rPr>
        <w:t>L'Emprunteur veillera à la performance environnementale et sociale du projet conformément à l'accord juridique (y compris le PEES). L'étendue et le mode de surveillance seront convenus avec la Banque et seront proportionnels à la nature du projet, aux risques et impacts environnementaux et sociaux du projet et aux exigences de conformité. L'emprunteur veillera à ce que des arrangements institutionnels, des systèmes, des ressources et du personnel adéquat soient en place pour effectuer la surveillance. Le cas échéant et tel qu'il est indiqué dans le PEES, l'Emprunteur engagera les parties prenantes et les tiers, tels que des experts indépendants, des communautés locales ou des ONG, pour compléter ou vérifier ses propres activités de surveillance. Lorsque d'autres organismes ou tiers sont responsables de la gestion des risques et des impacts spécifiques et de la mise en œuvre des mesures d'atténuation, l'emprunteur collaborera avec ces organismes et des tiers pour établir et surveiller ces mesures d'atténuation.</w:t>
      </w:r>
    </w:p>
    <w:p w14:paraId="6D750996" w14:textId="77777777" w:rsidR="009021F1" w:rsidRPr="007E3D1A" w:rsidRDefault="009021F1" w:rsidP="009021F1">
      <w:pPr>
        <w:rPr>
          <w:rFonts w:cs="Arial"/>
          <w:sz w:val="22"/>
        </w:rPr>
      </w:pPr>
    </w:p>
    <w:p w14:paraId="3DFDBCC6" w14:textId="77777777" w:rsidR="009021F1" w:rsidRPr="007E3D1A" w:rsidRDefault="009021F1" w:rsidP="009021F1">
      <w:pPr>
        <w:rPr>
          <w:rFonts w:cs="Arial"/>
          <w:sz w:val="22"/>
        </w:rPr>
      </w:pPr>
      <w:r w:rsidRPr="007E3D1A">
        <w:rPr>
          <w:rFonts w:cs="Arial"/>
          <w:sz w:val="22"/>
        </w:rPr>
        <w:t>Le suivi comprendra normalement l'enregistrement de l'information pour le suivi de la performance et l'établissement de contrôles opérationnels pertinents pour vérifier et comparer la conformité et les progrès. Le suivi sera ajusté en fonction de l'expérience de performance, ainsi que des mesures demandées par les autorités réglementaires compétentes et des commentaires des intervenants tels que les membres de la collectivité. L'Emprunteur va documenter les résultats du suivi.</w:t>
      </w:r>
    </w:p>
    <w:p w14:paraId="4A3FC661" w14:textId="77777777" w:rsidR="009021F1" w:rsidRPr="007E3D1A" w:rsidRDefault="009021F1" w:rsidP="009021F1">
      <w:pPr>
        <w:rPr>
          <w:rFonts w:cs="Arial"/>
          <w:sz w:val="22"/>
        </w:rPr>
      </w:pPr>
    </w:p>
    <w:p w14:paraId="0BAA57E6" w14:textId="77777777" w:rsidR="009021F1" w:rsidRPr="007E3D1A" w:rsidRDefault="009021F1" w:rsidP="009021F1">
      <w:pPr>
        <w:rPr>
          <w:rFonts w:cs="Arial"/>
          <w:sz w:val="22"/>
        </w:rPr>
      </w:pPr>
      <w:r w:rsidRPr="007E3D1A">
        <w:rPr>
          <w:rFonts w:cs="Arial"/>
          <w:sz w:val="22"/>
        </w:rPr>
        <w:t>L'Emprunteur fournira des rapports réguliers tels qu'ils sont énoncés dans le PEES (en tout état de cause, pas moins d'une année) à la Banque des résultats du suivi. Ces rapports fourniront un dossier précis et objectif de la mise en œuvre du projet, y compris le respect du PEES et des exigences des NES. Ces rapports comprendront de l'information sur l'engagement des intervenants effectuée pendant la mise en œuvre du projet conformément à la NES 10. L'Emprunteur et les organismes qui mettent en œuvre le projet désigneront des hauts fonctionnaires chargés d'examiner les rapports.</w:t>
      </w:r>
    </w:p>
    <w:p w14:paraId="20FAD22C" w14:textId="77777777" w:rsidR="009021F1" w:rsidRPr="007E3D1A" w:rsidRDefault="009021F1" w:rsidP="009021F1">
      <w:pPr>
        <w:rPr>
          <w:rFonts w:cs="Arial"/>
          <w:sz w:val="22"/>
        </w:rPr>
      </w:pPr>
    </w:p>
    <w:p w14:paraId="515D9DA0" w14:textId="77777777" w:rsidR="009021F1" w:rsidRPr="007E3D1A" w:rsidRDefault="009021F1" w:rsidP="009021F1">
      <w:pPr>
        <w:rPr>
          <w:rFonts w:cs="Arial"/>
          <w:sz w:val="22"/>
        </w:rPr>
      </w:pPr>
      <w:r w:rsidRPr="007E3D1A">
        <w:rPr>
          <w:rFonts w:cs="Arial"/>
          <w:sz w:val="22"/>
        </w:rPr>
        <w:t>Sur la base des résultats du suivi, l'emprunteur identifiera toutes les mesures correctives et préventives nécessaires et les intégrera dans un PEES modifié ou dans l'outil de gestion pertinent, d'une manière acceptable pour la Banque. L'emprunteur mettra en œuvre les mesures correctives et préventives convenues conformément à le PEES modifié ou l'outil de gestion pertinent et surveillera et rendra compte de ces actions.</w:t>
      </w:r>
    </w:p>
    <w:p w14:paraId="0F74F372" w14:textId="77777777" w:rsidR="009021F1" w:rsidRPr="007E3D1A" w:rsidRDefault="009021F1" w:rsidP="009021F1">
      <w:pPr>
        <w:rPr>
          <w:rFonts w:cs="Arial"/>
          <w:sz w:val="22"/>
        </w:rPr>
      </w:pPr>
    </w:p>
    <w:p w14:paraId="14AC1A9C" w14:textId="77777777" w:rsidR="009021F1" w:rsidRPr="007E3D1A" w:rsidRDefault="009021F1" w:rsidP="009021F1">
      <w:pPr>
        <w:rPr>
          <w:rFonts w:cs="Arial"/>
          <w:sz w:val="22"/>
        </w:rPr>
      </w:pPr>
      <w:r w:rsidRPr="007E3D1A">
        <w:rPr>
          <w:rFonts w:cs="Arial"/>
          <w:sz w:val="22"/>
        </w:rPr>
        <w:t>L'Emprunteur facilitera les visites sur place par le personnel de la Banque ou des consultants agissant au nom de la Banque. L'Emprunteur avisera la Banque rapidement de tout incident ou accident lié au projet qui a, ou est susceptible d'avoir, un effet négatif important sur l'environnement, les communautés touchées, le public ou les travailleurs. La notification fournira suffisamment de détails sur un tel incident ou accident, y compris les décès ou les blessures graves. L'Emprunteur prendra des mesures immédiates pour faire face à l'incident ou à l'accident et pour éviter toute récidive, conformément à la législation nationale et aux NES.</w:t>
      </w:r>
    </w:p>
    <w:p w14:paraId="29857D02" w14:textId="77777777" w:rsidR="009021F1" w:rsidRPr="007E3D1A" w:rsidRDefault="009021F1" w:rsidP="009021F1">
      <w:pPr>
        <w:rPr>
          <w:rFonts w:cs="Arial"/>
          <w:sz w:val="22"/>
        </w:rPr>
      </w:pPr>
    </w:p>
    <w:p w14:paraId="01198142" w14:textId="77777777" w:rsidR="009021F1" w:rsidRPr="007E3D1A" w:rsidRDefault="009021F1" w:rsidP="009021F1">
      <w:pPr>
        <w:rPr>
          <w:rFonts w:cs="Arial"/>
          <w:sz w:val="22"/>
        </w:rPr>
      </w:pPr>
    </w:p>
    <w:p w14:paraId="4A80780C" w14:textId="77777777" w:rsidR="009021F1" w:rsidRPr="007E3D1A" w:rsidRDefault="009021F1" w:rsidP="009021F1">
      <w:pPr>
        <w:rPr>
          <w:rFonts w:cs="Arial"/>
          <w:sz w:val="22"/>
        </w:rPr>
      </w:pPr>
      <w:r w:rsidRPr="007E3D1A">
        <w:rPr>
          <w:rFonts w:cs="Arial"/>
          <w:sz w:val="22"/>
        </w:rPr>
        <w:br w:type="page"/>
      </w:r>
    </w:p>
    <w:p w14:paraId="3D8A519B" w14:textId="77777777" w:rsidR="009021F1" w:rsidRPr="00372F9C" w:rsidRDefault="009021F1" w:rsidP="009021F1">
      <w:pPr>
        <w:ind w:left="1418" w:hanging="1418"/>
        <w:rPr>
          <w:rFonts w:cs="Arial"/>
          <w:b/>
          <w:bCs/>
          <w:sz w:val="22"/>
        </w:rPr>
      </w:pPr>
      <w:r w:rsidRPr="00372F9C">
        <w:rPr>
          <w:rFonts w:cs="Arial"/>
          <w:b/>
          <w:bCs/>
          <w:sz w:val="22"/>
        </w:rPr>
        <w:t>ANNEXE 6. LISTE DES PERSONNES RENCONTRÉES</w:t>
      </w:r>
    </w:p>
    <w:p w14:paraId="7E69862A" w14:textId="77777777" w:rsidR="009021F1" w:rsidRPr="007E3D1A" w:rsidRDefault="009021F1" w:rsidP="009021F1">
      <w:pPr>
        <w:rPr>
          <w:rFonts w:cs="Arial"/>
          <w:sz w:val="22"/>
        </w:rPr>
      </w:pPr>
    </w:p>
    <w:p w14:paraId="314CF7D0" w14:textId="77777777" w:rsidR="009021F1" w:rsidRPr="007E3D1A" w:rsidRDefault="009021F1" w:rsidP="009021F1">
      <w:pPr>
        <w:rPr>
          <w:rFonts w:cs="Arial"/>
          <w:sz w:val="22"/>
        </w:rPr>
      </w:pPr>
    </w:p>
    <w:tbl>
      <w:tblPr>
        <w:tblW w:w="10360" w:type="dxa"/>
        <w:tblInd w:w="-431" w:type="dxa"/>
        <w:tblCellMar>
          <w:left w:w="70" w:type="dxa"/>
          <w:right w:w="70" w:type="dxa"/>
        </w:tblCellMar>
        <w:tblLook w:val="04A0" w:firstRow="1" w:lastRow="0" w:firstColumn="1" w:lastColumn="0" w:noHBand="0" w:noVBand="1"/>
      </w:tblPr>
      <w:tblGrid>
        <w:gridCol w:w="499"/>
        <w:gridCol w:w="3011"/>
        <w:gridCol w:w="3723"/>
        <w:gridCol w:w="3127"/>
      </w:tblGrid>
      <w:tr w:rsidR="009021F1" w:rsidRPr="007E3D1A" w14:paraId="5ADCA6AC" w14:textId="77777777" w:rsidTr="00E637E3">
        <w:trPr>
          <w:trHeight w:val="440"/>
        </w:trPr>
        <w:tc>
          <w:tcPr>
            <w:tcW w:w="4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CBB875" w14:textId="77777777" w:rsidR="009021F1" w:rsidRPr="007E3D1A" w:rsidRDefault="009021F1" w:rsidP="00E637E3">
            <w:pPr>
              <w:rPr>
                <w:rFonts w:cs="Arial"/>
                <w:sz w:val="22"/>
              </w:rPr>
            </w:pPr>
            <w:r w:rsidRPr="007E3D1A">
              <w:rPr>
                <w:rFonts w:cs="Arial"/>
                <w:sz w:val="22"/>
              </w:rPr>
              <w:t>N°</w:t>
            </w:r>
          </w:p>
        </w:tc>
        <w:tc>
          <w:tcPr>
            <w:tcW w:w="3011" w:type="dxa"/>
            <w:tcBorders>
              <w:top w:val="single" w:sz="4" w:space="0" w:color="auto"/>
              <w:left w:val="nil"/>
              <w:bottom w:val="single" w:sz="4" w:space="0" w:color="auto"/>
              <w:right w:val="single" w:sz="4" w:space="0" w:color="auto"/>
            </w:tcBorders>
            <w:shd w:val="clear" w:color="auto" w:fill="auto"/>
            <w:vAlign w:val="center"/>
            <w:hideMark/>
          </w:tcPr>
          <w:p w14:paraId="52704ECC" w14:textId="77777777" w:rsidR="009021F1" w:rsidRPr="007E3D1A" w:rsidRDefault="009021F1" w:rsidP="00E637E3">
            <w:pPr>
              <w:rPr>
                <w:rFonts w:cs="Arial"/>
                <w:sz w:val="22"/>
              </w:rPr>
            </w:pPr>
            <w:r w:rsidRPr="007E3D1A">
              <w:rPr>
                <w:rFonts w:cs="Arial"/>
                <w:sz w:val="22"/>
              </w:rPr>
              <w:t>Noms et Post-nom</w:t>
            </w:r>
          </w:p>
        </w:tc>
        <w:tc>
          <w:tcPr>
            <w:tcW w:w="3723" w:type="dxa"/>
            <w:tcBorders>
              <w:top w:val="single" w:sz="4" w:space="0" w:color="auto"/>
              <w:left w:val="nil"/>
              <w:bottom w:val="single" w:sz="4" w:space="0" w:color="auto"/>
              <w:right w:val="single" w:sz="4" w:space="0" w:color="auto"/>
            </w:tcBorders>
            <w:shd w:val="clear" w:color="auto" w:fill="auto"/>
            <w:vAlign w:val="center"/>
            <w:hideMark/>
          </w:tcPr>
          <w:p w14:paraId="398BD056" w14:textId="77777777" w:rsidR="009021F1" w:rsidRPr="007E3D1A" w:rsidRDefault="009021F1" w:rsidP="00E637E3">
            <w:pPr>
              <w:rPr>
                <w:rFonts w:cs="Arial"/>
                <w:sz w:val="22"/>
              </w:rPr>
            </w:pPr>
            <w:r w:rsidRPr="007E3D1A">
              <w:rPr>
                <w:rFonts w:cs="Arial"/>
                <w:sz w:val="22"/>
              </w:rPr>
              <w:t>Fonction</w:t>
            </w:r>
          </w:p>
        </w:tc>
        <w:tc>
          <w:tcPr>
            <w:tcW w:w="3127" w:type="dxa"/>
            <w:tcBorders>
              <w:top w:val="single" w:sz="4" w:space="0" w:color="auto"/>
              <w:left w:val="nil"/>
              <w:bottom w:val="single" w:sz="4" w:space="0" w:color="auto"/>
              <w:right w:val="single" w:sz="4" w:space="0" w:color="auto"/>
            </w:tcBorders>
            <w:shd w:val="clear" w:color="auto" w:fill="auto"/>
            <w:vAlign w:val="center"/>
            <w:hideMark/>
          </w:tcPr>
          <w:p w14:paraId="43C4401E" w14:textId="77777777" w:rsidR="009021F1" w:rsidRPr="007E3D1A" w:rsidRDefault="009021F1" w:rsidP="00E637E3">
            <w:pPr>
              <w:rPr>
                <w:rFonts w:cs="Arial"/>
                <w:sz w:val="22"/>
              </w:rPr>
            </w:pPr>
            <w:r w:rsidRPr="007E3D1A">
              <w:rPr>
                <w:rFonts w:cs="Arial"/>
                <w:sz w:val="22"/>
              </w:rPr>
              <w:t>Contact</w:t>
            </w:r>
          </w:p>
        </w:tc>
      </w:tr>
      <w:tr w:rsidR="009021F1" w:rsidRPr="007E3D1A" w14:paraId="2ABC1F6F" w14:textId="77777777" w:rsidTr="00E637E3">
        <w:trPr>
          <w:trHeight w:val="1728"/>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5DF30447" w14:textId="77777777" w:rsidR="009021F1" w:rsidRPr="007E3D1A" w:rsidRDefault="009021F1" w:rsidP="00E637E3">
            <w:pPr>
              <w:rPr>
                <w:rFonts w:cs="Arial"/>
                <w:sz w:val="22"/>
              </w:rPr>
            </w:pPr>
            <w:r w:rsidRPr="007E3D1A">
              <w:rPr>
                <w:rFonts w:cs="Arial"/>
                <w:sz w:val="22"/>
              </w:rPr>
              <w:t>1</w:t>
            </w:r>
          </w:p>
        </w:tc>
        <w:tc>
          <w:tcPr>
            <w:tcW w:w="3011" w:type="dxa"/>
            <w:tcBorders>
              <w:top w:val="nil"/>
              <w:left w:val="nil"/>
              <w:bottom w:val="single" w:sz="4" w:space="0" w:color="auto"/>
              <w:right w:val="single" w:sz="4" w:space="0" w:color="auto"/>
            </w:tcBorders>
            <w:shd w:val="clear" w:color="auto" w:fill="auto"/>
            <w:vAlign w:val="center"/>
            <w:hideMark/>
          </w:tcPr>
          <w:p w14:paraId="4EF7F1EE" w14:textId="77777777" w:rsidR="009021F1" w:rsidRPr="007E3D1A" w:rsidRDefault="009021F1" w:rsidP="00E637E3">
            <w:pPr>
              <w:rPr>
                <w:rFonts w:cs="Arial"/>
                <w:sz w:val="22"/>
              </w:rPr>
            </w:pPr>
            <w:r w:rsidRPr="007E3D1A">
              <w:rPr>
                <w:rFonts w:cs="Arial"/>
                <w:sz w:val="22"/>
              </w:rPr>
              <w:t>Ir. Corneille KABAMBA MANONGO</w:t>
            </w:r>
          </w:p>
        </w:tc>
        <w:tc>
          <w:tcPr>
            <w:tcW w:w="3723" w:type="dxa"/>
            <w:tcBorders>
              <w:top w:val="nil"/>
              <w:left w:val="nil"/>
              <w:bottom w:val="single" w:sz="4" w:space="0" w:color="auto"/>
              <w:right w:val="single" w:sz="4" w:space="0" w:color="auto"/>
            </w:tcBorders>
            <w:shd w:val="clear" w:color="auto" w:fill="auto"/>
            <w:vAlign w:val="center"/>
            <w:hideMark/>
          </w:tcPr>
          <w:p w14:paraId="19092502" w14:textId="77777777" w:rsidR="009021F1" w:rsidRPr="007E3D1A" w:rsidRDefault="009021F1" w:rsidP="00E637E3">
            <w:pPr>
              <w:rPr>
                <w:rFonts w:cs="Arial"/>
                <w:sz w:val="22"/>
              </w:rPr>
            </w:pPr>
            <w:r w:rsidRPr="007E3D1A">
              <w:rPr>
                <w:rFonts w:cs="Arial"/>
                <w:sz w:val="22"/>
              </w:rPr>
              <w:t>Ministre Provincial du Plan, Développement Rural, Agriculture, Infrastructures, Travaux Publics, Aménagement et Modernisation de la Province, Affaires Foncières, Habitat, Partenariats et Coordination des Projets / Kasaï Central</w:t>
            </w:r>
          </w:p>
        </w:tc>
        <w:tc>
          <w:tcPr>
            <w:tcW w:w="3127" w:type="dxa"/>
            <w:tcBorders>
              <w:top w:val="nil"/>
              <w:left w:val="nil"/>
              <w:bottom w:val="single" w:sz="4" w:space="0" w:color="auto"/>
              <w:right w:val="single" w:sz="4" w:space="0" w:color="auto"/>
            </w:tcBorders>
            <w:shd w:val="clear" w:color="auto" w:fill="auto"/>
            <w:vAlign w:val="center"/>
            <w:hideMark/>
          </w:tcPr>
          <w:p w14:paraId="0EDD86A3" w14:textId="77777777" w:rsidR="009021F1" w:rsidRPr="007E3D1A" w:rsidRDefault="009021F1" w:rsidP="00E637E3">
            <w:pPr>
              <w:rPr>
                <w:rFonts w:cs="Arial"/>
                <w:sz w:val="22"/>
              </w:rPr>
            </w:pPr>
            <w:r w:rsidRPr="007E3D1A">
              <w:rPr>
                <w:rFonts w:cs="Arial"/>
                <w:sz w:val="22"/>
              </w:rPr>
              <w:t xml:space="preserve">0815262789 / 0998 231254        Courriel : </w:t>
            </w:r>
            <w:hyperlink r:id="rId163" w:history="1">
              <w:r w:rsidRPr="007E3D1A">
                <w:rPr>
                  <w:rFonts w:cs="Arial"/>
                  <w:sz w:val="22"/>
                </w:rPr>
                <w:t>corneillekm@yahoo.fr</w:t>
              </w:r>
            </w:hyperlink>
          </w:p>
          <w:p w14:paraId="6382C493" w14:textId="77777777" w:rsidR="009021F1" w:rsidRPr="007E3D1A" w:rsidRDefault="009021F1" w:rsidP="00E637E3">
            <w:pPr>
              <w:rPr>
                <w:rFonts w:cs="Arial"/>
                <w:sz w:val="22"/>
              </w:rPr>
            </w:pPr>
          </w:p>
        </w:tc>
      </w:tr>
      <w:tr w:rsidR="009021F1" w:rsidRPr="007E3D1A" w14:paraId="318CB2AE" w14:textId="77777777" w:rsidTr="00E637E3">
        <w:trPr>
          <w:trHeight w:val="480"/>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0E0EAB9C" w14:textId="77777777" w:rsidR="009021F1" w:rsidRPr="007E3D1A" w:rsidRDefault="009021F1" w:rsidP="00E637E3">
            <w:pPr>
              <w:rPr>
                <w:rFonts w:cs="Arial"/>
                <w:sz w:val="22"/>
              </w:rPr>
            </w:pPr>
            <w:r w:rsidRPr="007E3D1A">
              <w:rPr>
                <w:rFonts w:cs="Arial"/>
                <w:sz w:val="22"/>
              </w:rPr>
              <w:t>2</w:t>
            </w:r>
          </w:p>
        </w:tc>
        <w:tc>
          <w:tcPr>
            <w:tcW w:w="3011" w:type="dxa"/>
            <w:tcBorders>
              <w:top w:val="nil"/>
              <w:left w:val="nil"/>
              <w:bottom w:val="single" w:sz="4" w:space="0" w:color="auto"/>
              <w:right w:val="single" w:sz="4" w:space="0" w:color="auto"/>
            </w:tcBorders>
            <w:shd w:val="clear" w:color="auto" w:fill="auto"/>
            <w:vAlign w:val="center"/>
            <w:hideMark/>
          </w:tcPr>
          <w:p w14:paraId="63DA41AF" w14:textId="77777777" w:rsidR="009021F1" w:rsidRPr="007E3D1A" w:rsidRDefault="009021F1" w:rsidP="00E637E3">
            <w:pPr>
              <w:rPr>
                <w:rFonts w:cs="Arial"/>
                <w:sz w:val="22"/>
              </w:rPr>
            </w:pPr>
            <w:r w:rsidRPr="007E3D1A">
              <w:rPr>
                <w:rFonts w:cs="Arial"/>
                <w:sz w:val="22"/>
              </w:rPr>
              <w:t>Benedict KIANGANTA</w:t>
            </w:r>
          </w:p>
        </w:tc>
        <w:tc>
          <w:tcPr>
            <w:tcW w:w="3723" w:type="dxa"/>
            <w:tcBorders>
              <w:top w:val="nil"/>
              <w:left w:val="nil"/>
              <w:bottom w:val="single" w:sz="4" w:space="0" w:color="auto"/>
              <w:right w:val="single" w:sz="4" w:space="0" w:color="auto"/>
            </w:tcBorders>
            <w:shd w:val="clear" w:color="auto" w:fill="auto"/>
            <w:vAlign w:val="center"/>
            <w:hideMark/>
          </w:tcPr>
          <w:p w14:paraId="4716B163" w14:textId="77777777" w:rsidR="009021F1" w:rsidRPr="007E3D1A" w:rsidRDefault="009021F1" w:rsidP="00E637E3">
            <w:pPr>
              <w:rPr>
                <w:rFonts w:cs="Arial"/>
                <w:sz w:val="22"/>
              </w:rPr>
            </w:pPr>
            <w:r w:rsidRPr="007E3D1A">
              <w:rPr>
                <w:rFonts w:cs="Arial"/>
                <w:sz w:val="22"/>
              </w:rPr>
              <w:t>Ministre Provincial de l'Agriculture, Pêche et Élevage / Kwilu</w:t>
            </w:r>
          </w:p>
        </w:tc>
        <w:tc>
          <w:tcPr>
            <w:tcW w:w="3127" w:type="dxa"/>
            <w:tcBorders>
              <w:top w:val="nil"/>
              <w:left w:val="nil"/>
              <w:bottom w:val="single" w:sz="4" w:space="0" w:color="auto"/>
              <w:right w:val="single" w:sz="4" w:space="0" w:color="auto"/>
            </w:tcBorders>
            <w:shd w:val="clear" w:color="auto" w:fill="auto"/>
            <w:vAlign w:val="center"/>
            <w:hideMark/>
          </w:tcPr>
          <w:p w14:paraId="4CA0027F" w14:textId="77777777" w:rsidR="009021F1" w:rsidRPr="007E3D1A" w:rsidRDefault="009021F1" w:rsidP="00E637E3">
            <w:pPr>
              <w:rPr>
                <w:rFonts w:cs="Arial"/>
                <w:sz w:val="22"/>
              </w:rPr>
            </w:pPr>
            <w:r w:rsidRPr="007E3D1A">
              <w:rPr>
                <w:rFonts w:cs="Arial"/>
                <w:sz w:val="22"/>
              </w:rPr>
              <w:t> </w:t>
            </w:r>
          </w:p>
        </w:tc>
      </w:tr>
      <w:tr w:rsidR="009021F1" w:rsidRPr="007E3D1A" w14:paraId="2E09241A" w14:textId="77777777" w:rsidTr="00E637E3">
        <w:trPr>
          <w:trHeight w:val="994"/>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7DAF904E" w14:textId="77777777" w:rsidR="009021F1" w:rsidRPr="007E3D1A" w:rsidRDefault="009021F1" w:rsidP="00E637E3">
            <w:pPr>
              <w:rPr>
                <w:rFonts w:cs="Arial"/>
                <w:sz w:val="22"/>
              </w:rPr>
            </w:pPr>
            <w:r w:rsidRPr="007E3D1A">
              <w:rPr>
                <w:rFonts w:cs="Arial"/>
                <w:sz w:val="22"/>
              </w:rPr>
              <w:t>3</w:t>
            </w:r>
          </w:p>
        </w:tc>
        <w:tc>
          <w:tcPr>
            <w:tcW w:w="3011" w:type="dxa"/>
            <w:tcBorders>
              <w:top w:val="nil"/>
              <w:left w:val="nil"/>
              <w:bottom w:val="single" w:sz="4" w:space="0" w:color="auto"/>
              <w:right w:val="single" w:sz="4" w:space="0" w:color="auto"/>
            </w:tcBorders>
            <w:shd w:val="clear" w:color="auto" w:fill="auto"/>
            <w:vAlign w:val="center"/>
            <w:hideMark/>
          </w:tcPr>
          <w:p w14:paraId="533FEB08" w14:textId="77777777" w:rsidR="009021F1" w:rsidRPr="007E3D1A" w:rsidRDefault="009021F1" w:rsidP="00E637E3">
            <w:pPr>
              <w:rPr>
                <w:rFonts w:cs="Arial"/>
                <w:sz w:val="22"/>
              </w:rPr>
            </w:pPr>
            <w:r w:rsidRPr="007E3D1A">
              <w:rPr>
                <w:rFonts w:cs="Arial"/>
                <w:sz w:val="22"/>
              </w:rPr>
              <w:t>Thomas YOBILA</w:t>
            </w:r>
          </w:p>
        </w:tc>
        <w:tc>
          <w:tcPr>
            <w:tcW w:w="3723" w:type="dxa"/>
            <w:tcBorders>
              <w:top w:val="nil"/>
              <w:left w:val="nil"/>
              <w:bottom w:val="single" w:sz="4" w:space="0" w:color="auto"/>
              <w:right w:val="single" w:sz="4" w:space="0" w:color="auto"/>
            </w:tcBorders>
            <w:shd w:val="clear" w:color="auto" w:fill="auto"/>
            <w:vAlign w:val="center"/>
            <w:hideMark/>
          </w:tcPr>
          <w:p w14:paraId="562884EC" w14:textId="77777777" w:rsidR="009021F1" w:rsidRPr="007E3D1A" w:rsidRDefault="009021F1" w:rsidP="00E637E3">
            <w:pPr>
              <w:rPr>
                <w:rFonts w:cs="Arial"/>
                <w:sz w:val="22"/>
              </w:rPr>
            </w:pPr>
            <w:r w:rsidRPr="007E3D1A">
              <w:rPr>
                <w:rFonts w:cs="Arial"/>
                <w:sz w:val="22"/>
              </w:rPr>
              <w:t>Conseiller en Développemnt et Coopération Institutionnelle / Gouvernorat de la Province du Kongo Central</w:t>
            </w:r>
          </w:p>
        </w:tc>
        <w:tc>
          <w:tcPr>
            <w:tcW w:w="3127" w:type="dxa"/>
            <w:tcBorders>
              <w:top w:val="nil"/>
              <w:left w:val="nil"/>
              <w:bottom w:val="single" w:sz="4" w:space="0" w:color="auto"/>
              <w:right w:val="single" w:sz="4" w:space="0" w:color="auto"/>
            </w:tcBorders>
            <w:shd w:val="clear" w:color="auto" w:fill="auto"/>
            <w:vAlign w:val="center"/>
            <w:hideMark/>
          </w:tcPr>
          <w:p w14:paraId="6B80249A" w14:textId="77777777" w:rsidR="009021F1" w:rsidRPr="007E3D1A" w:rsidRDefault="009021F1" w:rsidP="00E637E3">
            <w:pPr>
              <w:rPr>
                <w:rFonts w:cs="Arial"/>
                <w:sz w:val="22"/>
              </w:rPr>
            </w:pPr>
            <w:r w:rsidRPr="007E3D1A">
              <w:rPr>
                <w:rFonts w:cs="Arial"/>
                <w:sz w:val="22"/>
              </w:rPr>
              <w:t>0897180287</w:t>
            </w:r>
          </w:p>
        </w:tc>
      </w:tr>
      <w:tr w:rsidR="009021F1" w:rsidRPr="007E3D1A" w14:paraId="6634C2C1" w14:textId="77777777" w:rsidTr="00E637E3">
        <w:trPr>
          <w:trHeight w:val="800"/>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2FBAD289" w14:textId="77777777" w:rsidR="009021F1" w:rsidRPr="007E3D1A" w:rsidRDefault="009021F1" w:rsidP="00E637E3">
            <w:pPr>
              <w:rPr>
                <w:rFonts w:cs="Arial"/>
                <w:sz w:val="22"/>
              </w:rPr>
            </w:pPr>
            <w:r w:rsidRPr="007E3D1A">
              <w:rPr>
                <w:rFonts w:cs="Arial"/>
                <w:sz w:val="22"/>
              </w:rPr>
              <w:t>4</w:t>
            </w:r>
          </w:p>
        </w:tc>
        <w:tc>
          <w:tcPr>
            <w:tcW w:w="3011" w:type="dxa"/>
            <w:tcBorders>
              <w:top w:val="nil"/>
              <w:left w:val="nil"/>
              <w:bottom w:val="single" w:sz="4" w:space="0" w:color="auto"/>
              <w:right w:val="single" w:sz="4" w:space="0" w:color="auto"/>
            </w:tcBorders>
            <w:shd w:val="clear" w:color="auto" w:fill="auto"/>
            <w:vAlign w:val="center"/>
            <w:hideMark/>
          </w:tcPr>
          <w:p w14:paraId="2D2BAA7C" w14:textId="77777777" w:rsidR="009021F1" w:rsidRPr="007E3D1A" w:rsidRDefault="009021F1" w:rsidP="00E637E3">
            <w:pPr>
              <w:rPr>
                <w:rFonts w:cs="Arial"/>
                <w:sz w:val="22"/>
              </w:rPr>
            </w:pPr>
            <w:r w:rsidRPr="007E3D1A">
              <w:rPr>
                <w:rFonts w:cs="Arial"/>
                <w:sz w:val="22"/>
              </w:rPr>
              <w:t xml:space="preserve">Gérard BIYUDI KINDA </w:t>
            </w:r>
          </w:p>
        </w:tc>
        <w:tc>
          <w:tcPr>
            <w:tcW w:w="3723" w:type="dxa"/>
            <w:tcBorders>
              <w:top w:val="nil"/>
              <w:left w:val="nil"/>
              <w:bottom w:val="single" w:sz="4" w:space="0" w:color="auto"/>
              <w:right w:val="single" w:sz="4" w:space="0" w:color="auto"/>
            </w:tcBorders>
            <w:shd w:val="clear" w:color="auto" w:fill="auto"/>
            <w:vAlign w:val="center"/>
            <w:hideMark/>
          </w:tcPr>
          <w:p w14:paraId="7F383348" w14:textId="77777777" w:rsidR="009021F1" w:rsidRPr="007E3D1A" w:rsidRDefault="009021F1" w:rsidP="00E637E3">
            <w:pPr>
              <w:rPr>
                <w:rFonts w:cs="Arial"/>
                <w:sz w:val="22"/>
              </w:rPr>
            </w:pPr>
            <w:r w:rsidRPr="007E3D1A">
              <w:rPr>
                <w:rFonts w:cs="Arial"/>
                <w:sz w:val="22"/>
              </w:rPr>
              <w:t>Directeur de Cabinet du Ministre Provincial de l'Agriculture Pêche et Élevage / Kongo Central</w:t>
            </w:r>
          </w:p>
        </w:tc>
        <w:tc>
          <w:tcPr>
            <w:tcW w:w="3127" w:type="dxa"/>
            <w:tcBorders>
              <w:top w:val="nil"/>
              <w:left w:val="nil"/>
              <w:bottom w:val="single" w:sz="4" w:space="0" w:color="auto"/>
              <w:right w:val="single" w:sz="4" w:space="0" w:color="auto"/>
            </w:tcBorders>
            <w:shd w:val="clear" w:color="auto" w:fill="auto"/>
            <w:vAlign w:val="center"/>
            <w:hideMark/>
          </w:tcPr>
          <w:p w14:paraId="2A144200" w14:textId="77777777" w:rsidR="009021F1" w:rsidRPr="007E3D1A" w:rsidRDefault="009021F1" w:rsidP="00E637E3">
            <w:pPr>
              <w:rPr>
                <w:rFonts w:cs="Arial"/>
                <w:sz w:val="22"/>
              </w:rPr>
            </w:pPr>
            <w:r w:rsidRPr="007E3D1A">
              <w:rPr>
                <w:rFonts w:cs="Arial"/>
                <w:sz w:val="22"/>
              </w:rPr>
              <w:t>0897676223</w:t>
            </w:r>
          </w:p>
        </w:tc>
      </w:tr>
      <w:tr w:rsidR="009021F1" w:rsidRPr="007E3D1A" w14:paraId="5FE46061" w14:textId="77777777" w:rsidTr="00E637E3">
        <w:trPr>
          <w:trHeight w:val="800"/>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11204E44" w14:textId="77777777" w:rsidR="009021F1" w:rsidRPr="007E3D1A" w:rsidRDefault="009021F1" w:rsidP="00E637E3">
            <w:pPr>
              <w:rPr>
                <w:rFonts w:cs="Arial"/>
                <w:sz w:val="22"/>
              </w:rPr>
            </w:pPr>
            <w:r w:rsidRPr="007E3D1A">
              <w:rPr>
                <w:rFonts w:cs="Arial"/>
                <w:sz w:val="22"/>
              </w:rPr>
              <w:t>5</w:t>
            </w:r>
          </w:p>
        </w:tc>
        <w:tc>
          <w:tcPr>
            <w:tcW w:w="3011" w:type="dxa"/>
            <w:tcBorders>
              <w:top w:val="nil"/>
              <w:left w:val="nil"/>
              <w:bottom w:val="single" w:sz="4" w:space="0" w:color="auto"/>
              <w:right w:val="single" w:sz="4" w:space="0" w:color="auto"/>
            </w:tcBorders>
            <w:shd w:val="clear" w:color="auto" w:fill="auto"/>
            <w:vAlign w:val="center"/>
            <w:hideMark/>
          </w:tcPr>
          <w:p w14:paraId="1F674C9D" w14:textId="77777777" w:rsidR="009021F1" w:rsidRPr="007E3D1A" w:rsidRDefault="009021F1" w:rsidP="00E637E3">
            <w:pPr>
              <w:rPr>
                <w:rFonts w:cs="Arial"/>
                <w:sz w:val="22"/>
              </w:rPr>
            </w:pPr>
            <w:r w:rsidRPr="007E3D1A">
              <w:rPr>
                <w:rFonts w:cs="Arial"/>
                <w:sz w:val="22"/>
              </w:rPr>
              <w:t>KINDANI KASIMBA</w:t>
            </w:r>
          </w:p>
        </w:tc>
        <w:tc>
          <w:tcPr>
            <w:tcW w:w="3723" w:type="dxa"/>
            <w:tcBorders>
              <w:top w:val="nil"/>
              <w:left w:val="nil"/>
              <w:bottom w:val="single" w:sz="4" w:space="0" w:color="auto"/>
              <w:right w:val="single" w:sz="4" w:space="0" w:color="auto"/>
            </w:tcBorders>
            <w:shd w:val="clear" w:color="auto" w:fill="auto"/>
            <w:vAlign w:val="center"/>
            <w:hideMark/>
          </w:tcPr>
          <w:p w14:paraId="58F2E891" w14:textId="77777777" w:rsidR="009021F1" w:rsidRPr="007E3D1A" w:rsidRDefault="009021F1" w:rsidP="00E637E3">
            <w:pPr>
              <w:rPr>
                <w:rFonts w:cs="Arial"/>
                <w:sz w:val="22"/>
              </w:rPr>
            </w:pPr>
            <w:r w:rsidRPr="007E3D1A">
              <w:rPr>
                <w:rFonts w:cs="Arial"/>
                <w:sz w:val="22"/>
              </w:rPr>
              <w:t>Directeur de Cabinet du Ministre Provincial de l'Agriculture Pêche et Élevage / Kwilu</w:t>
            </w:r>
          </w:p>
        </w:tc>
        <w:tc>
          <w:tcPr>
            <w:tcW w:w="3127" w:type="dxa"/>
            <w:tcBorders>
              <w:top w:val="nil"/>
              <w:left w:val="nil"/>
              <w:bottom w:val="single" w:sz="4" w:space="0" w:color="auto"/>
              <w:right w:val="single" w:sz="4" w:space="0" w:color="auto"/>
            </w:tcBorders>
            <w:shd w:val="clear" w:color="auto" w:fill="auto"/>
            <w:vAlign w:val="center"/>
            <w:hideMark/>
          </w:tcPr>
          <w:p w14:paraId="79D0F217" w14:textId="77777777" w:rsidR="009021F1" w:rsidRPr="007E3D1A" w:rsidRDefault="009021F1" w:rsidP="00E637E3">
            <w:pPr>
              <w:rPr>
                <w:rFonts w:cs="Arial"/>
                <w:sz w:val="22"/>
              </w:rPr>
            </w:pPr>
            <w:r w:rsidRPr="007E3D1A">
              <w:rPr>
                <w:rFonts w:cs="Arial"/>
                <w:sz w:val="22"/>
              </w:rPr>
              <w:t>0811788918</w:t>
            </w:r>
          </w:p>
        </w:tc>
      </w:tr>
      <w:tr w:rsidR="009021F1" w:rsidRPr="007E3D1A" w14:paraId="0991AC5D" w14:textId="77777777" w:rsidTr="00E637E3">
        <w:trPr>
          <w:trHeight w:val="320"/>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5752452D" w14:textId="77777777" w:rsidR="009021F1" w:rsidRPr="007E3D1A" w:rsidRDefault="009021F1" w:rsidP="00E637E3">
            <w:pPr>
              <w:rPr>
                <w:rFonts w:cs="Arial"/>
                <w:sz w:val="22"/>
              </w:rPr>
            </w:pPr>
            <w:r w:rsidRPr="007E3D1A">
              <w:rPr>
                <w:rFonts w:cs="Arial"/>
                <w:sz w:val="22"/>
              </w:rPr>
              <w:t>6</w:t>
            </w:r>
          </w:p>
        </w:tc>
        <w:tc>
          <w:tcPr>
            <w:tcW w:w="3011" w:type="dxa"/>
            <w:tcBorders>
              <w:top w:val="nil"/>
              <w:left w:val="nil"/>
              <w:bottom w:val="single" w:sz="4" w:space="0" w:color="auto"/>
              <w:right w:val="single" w:sz="4" w:space="0" w:color="auto"/>
            </w:tcBorders>
            <w:shd w:val="clear" w:color="auto" w:fill="auto"/>
            <w:vAlign w:val="center"/>
            <w:hideMark/>
          </w:tcPr>
          <w:p w14:paraId="0A34A452" w14:textId="77777777" w:rsidR="009021F1" w:rsidRPr="007E3D1A" w:rsidRDefault="009021F1" w:rsidP="00E637E3">
            <w:pPr>
              <w:rPr>
                <w:rFonts w:cs="Arial"/>
                <w:sz w:val="22"/>
              </w:rPr>
            </w:pPr>
            <w:r w:rsidRPr="007E3D1A">
              <w:rPr>
                <w:rFonts w:cs="Arial"/>
                <w:sz w:val="22"/>
              </w:rPr>
              <w:t>DITONA PANZU</w:t>
            </w:r>
          </w:p>
        </w:tc>
        <w:tc>
          <w:tcPr>
            <w:tcW w:w="3723" w:type="dxa"/>
            <w:tcBorders>
              <w:top w:val="nil"/>
              <w:left w:val="nil"/>
              <w:bottom w:val="single" w:sz="4" w:space="0" w:color="auto"/>
              <w:right w:val="single" w:sz="4" w:space="0" w:color="auto"/>
            </w:tcBorders>
            <w:shd w:val="clear" w:color="auto" w:fill="auto"/>
            <w:vAlign w:val="center"/>
            <w:hideMark/>
          </w:tcPr>
          <w:p w14:paraId="20909085" w14:textId="77777777" w:rsidR="009021F1" w:rsidRPr="007E3D1A" w:rsidRDefault="009021F1" w:rsidP="00E637E3">
            <w:pPr>
              <w:rPr>
                <w:rFonts w:cs="Arial"/>
                <w:sz w:val="22"/>
              </w:rPr>
            </w:pPr>
            <w:r w:rsidRPr="007E3D1A">
              <w:rPr>
                <w:rFonts w:cs="Arial"/>
                <w:sz w:val="22"/>
              </w:rPr>
              <w:t>Conseiller AGRIPO/Kongo Central</w:t>
            </w:r>
          </w:p>
        </w:tc>
        <w:tc>
          <w:tcPr>
            <w:tcW w:w="3127" w:type="dxa"/>
            <w:tcBorders>
              <w:top w:val="nil"/>
              <w:left w:val="nil"/>
              <w:bottom w:val="single" w:sz="4" w:space="0" w:color="auto"/>
              <w:right w:val="single" w:sz="4" w:space="0" w:color="auto"/>
            </w:tcBorders>
            <w:shd w:val="clear" w:color="auto" w:fill="auto"/>
            <w:vAlign w:val="center"/>
            <w:hideMark/>
          </w:tcPr>
          <w:p w14:paraId="6504F0AB" w14:textId="77777777" w:rsidR="009021F1" w:rsidRPr="007E3D1A" w:rsidRDefault="009021F1" w:rsidP="00E637E3">
            <w:pPr>
              <w:rPr>
                <w:rFonts w:cs="Arial"/>
                <w:sz w:val="22"/>
              </w:rPr>
            </w:pPr>
            <w:r w:rsidRPr="007E3D1A">
              <w:rPr>
                <w:rFonts w:cs="Arial"/>
                <w:sz w:val="22"/>
              </w:rPr>
              <w:t>0897352135</w:t>
            </w:r>
          </w:p>
        </w:tc>
      </w:tr>
      <w:tr w:rsidR="009021F1" w:rsidRPr="007E3D1A" w14:paraId="3A0352C1" w14:textId="77777777" w:rsidTr="00E637E3">
        <w:trPr>
          <w:trHeight w:val="427"/>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348E0FE7" w14:textId="77777777" w:rsidR="009021F1" w:rsidRPr="007E3D1A" w:rsidRDefault="009021F1" w:rsidP="00E637E3">
            <w:pPr>
              <w:rPr>
                <w:rFonts w:cs="Arial"/>
                <w:sz w:val="22"/>
              </w:rPr>
            </w:pPr>
            <w:r w:rsidRPr="007E3D1A">
              <w:rPr>
                <w:rFonts w:cs="Arial"/>
                <w:sz w:val="22"/>
              </w:rPr>
              <w:t>7</w:t>
            </w:r>
          </w:p>
        </w:tc>
        <w:tc>
          <w:tcPr>
            <w:tcW w:w="3011" w:type="dxa"/>
            <w:tcBorders>
              <w:top w:val="nil"/>
              <w:left w:val="nil"/>
              <w:bottom w:val="single" w:sz="4" w:space="0" w:color="auto"/>
              <w:right w:val="single" w:sz="4" w:space="0" w:color="auto"/>
            </w:tcBorders>
            <w:shd w:val="clear" w:color="auto" w:fill="auto"/>
            <w:vAlign w:val="center"/>
            <w:hideMark/>
          </w:tcPr>
          <w:p w14:paraId="4904D986" w14:textId="77777777" w:rsidR="009021F1" w:rsidRPr="007E3D1A" w:rsidRDefault="009021F1" w:rsidP="00E637E3">
            <w:pPr>
              <w:rPr>
                <w:rFonts w:cs="Arial"/>
                <w:sz w:val="22"/>
              </w:rPr>
            </w:pPr>
            <w:r w:rsidRPr="007E3D1A">
              <w:rPr>
                <w:rFonts w:cs="Arial"/>
                <w:sz w:val="22"/>
              </w:rPr>
              <w:t>Félix MBUMBA</w:t>
            </w:r>
          </w:p>
        </w:tc>
        <w:tc>
          <w:tcPr>
            <w:tcW w:w="3723" w:type="dxa"/>
            <w:tcBorders>
              <w:top w:val="nil"/>
              <w:left w:val="nil"/>
              <w:bottom w:val="single" w:sz="4" w:space="0" w:color="auto"/>
              <w:right w:val="single" w:sz="4" w:space="0" w:color="auto"/>
            </w:tcBorders>
            <w:shd w:val="clear" w:color="auto" w:fill="auto"/>
            <w:vAlign w:val="center"/>
            <w:hideMark/>
          </w:tcPr>
          <w:p w14:paraId="5A19C3E4" w14:textId="77777777" w:rsidR="009021F1" w:rsidRPr="007E3D1A" w:rsidRDefault="009021F1" w:rsidP="00E637E3">
            <w:pPr>
              <w:rPr>
                <w:rFonts w:cs="Arial"/>
                <w:sz w:val="22"/>
              </w:rPr>
            </w:pPr>
            <w:r w:rsidRPr="007E3D1A">
              <w:rPr>
                <w:rFonts w:cs="Arial"/>
                <w:sz w:val="22"/>
              </w:rPr>
              <w:t>Directeur Suivi et Inspection / Direction Générale ACE</w:t>
            </w:r>
          </w:p>
        </w:tc>
        <w:tc>
          <w:tcPr>
            <w:tcW w:w="3127" w:type="dxa"/>
            <w:tcBorders>
              <w:top w:val="nil"/>
              <w:left w:val="nil"/>
              <w:bottom w:val="single" w:sz="4" w:space="0" w:color="auto"/>
              <w:right w:val="single" w:sz="4" w:space="0" w:color="auto"/>
            </w:tcBorders>
            <w:shd w:val="clear" w:color="auto" w:fill="auto"/>
            <w:vAlign w:val="center"/>
            <w:hideMark/>
          </w:tcPr>
          <w:p w14:paraId="297CF658" w14:textId="77777777" w:rsidR="009021F1" w:rsidRPr="007E3D1A" w:rsidRDefault="009021F1" w:rsidP="00E637E3">
            <w:pPr>
              <w:rPr>
                <w:rFonts w:cs="Arial"/>
                <w:sz w:val="22"/>
              </w:rPr>
            </w:pPr>
            <w:r w:rsidRPr="007E3D1A">
              <w:rPr>
                <w:rFonts w:cs="Arial"/>
                <w:sz w:val="22"/>
              </w:rPr>
              <w:t>0810077147</w:t>
            </w:r>
          </w:p>
        </w:tc>
      </w:tr>
      <w:tr w:rsidR="009021F1" w:rsidRPr="007E3D1A" w14:paraId="3831A2EF" w14:textId="77777777" w:rsidTr="00E637E3">
        <w:trPr>
          <w:trHeight w:val="580"/>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2C8A8637" w14:textId="77777777" w:rsidR="009021F1" w:rsidRPr="007E3D1A" w:rsidRDefault="009021F1" w:rsidP="00E637E3">
            <w:pPr>
              <w:rPr>
                <w:rFonts w:cs="Arial"/>
                <w:sz w:val="22"/>
              </w:rPr>
            </w:pPr>
            <w:r w:rsidRPr="007E3D1A">
              <w:rPr>
                <w:rFonts w:cs="Arial"/>
                <w:sz w:val="22"/>
              </w:rPr>
              <w:t>8</w:t>
            </w:r>
          </w:p>
        </w:tc>
        <w:tc>
          <w:tcPr>
            <w:tcW w:w="3011" w:type="dxa"/>
            <w:tcBorders>
              <w:top w:val="nil"/>
              <w:left w:val="nil"/>
              <w:bottom w:val="single" w:sz="4" w:space="0" w:color="auto"/>
              <w:right w:val="single" w:sz="4" w:space="0" w:color="auto"/>
            </w:tcBorders>
            <w:shd w:val="clear" w:color="auto" w:fill="auto"/>
            <w:vAlign w:val="center"/>
            <w:hideMark/>
          </w:tcPr>
          <w:p w14:paraId="594BA620" w14:textId="77777777" w:rsidR="009021F1" w:rsidRPr="007E3D1A" w:rsidRDefault="009021F1" w:rsidP="00E637E3">
            <w:pPr>
              <w:rPr>
                <w:rFonts w:cs="Arial"/>
                <w:sz w:val="22"/>
              </w:rPr>
            </w:pPr>
            <w:r w:rsidRPr="007E3D1A">
              <w:rPr>
                <w:rFonts w:cs="Arial"/>
                <w:sz w:val="22"/>
              </w:rPr>
              <w:t>BIOKO DIMONEKENE</w:t>
            </w:r>
          </w:p>
        </w:tc>
        <w:tc>
          <w:tcPr>
            <w:tcW w:w="3723" w:type="dxa"/>
            <w:tcBorders>
              <w:top w:val="nil"/>
              <w:left w:val="nil"/>
              <w:bottom w:val="single" w:sz="4" w:space="0" w:color="auto"/>
              <w:right w:val="single" w:sz="4" w:space="0" w:color="auto"/>
            </w:tcBorders>
            <w:shd w:val="clear" w:color="auto" w:fill="auto"/>
            <w:vAlign w:val="center"/>
            <w:hideMark/>
          </w:tcPr>
          <w:p w14:paraId="4630F1AA" w14:textId="77777777" w:rsidR="009021F1" w:rsidRPr="007E3D1A" w:rsidRDefault="009021F1" w:rsidP="00E637E3">
            <w:pPr>
              <w:rPr>
                <w:rFonts w:cs="Arial"/>
                <w:sz w:val="22"/>
              </w:rPr>
            </w:pPr>
            <w:r w:rsidRPr="007E3D1A">
              <w:rPr>
                <w:rFonts w:cs="Arial"/>
                <w:sz w:val="22"/>
              </w:rPr>
              <w:t>Directeur Provincial de l'ACE / Kongo Central</w:t>
            </w:r>
          </w:p>
        </w:tc>
        <w:tc>
          <w:tcPr>
            <w:tcW w:w="3127" w:type="dxa"/>
            <w:tcBorders>
              <w:top w:val="nil"/>
              <w:left w:val="nil"/>
              <w:bottom w:val="single" w:sz="4" w:space="0" w:color="auto"/>
              <w:right w:val="single" w:sz="4" w:space="0" w:color="auto"/>
            </w:tcBorders>
            <w:shd w:val="clear" w:color="auto" w:fill="auto"/>
            <w:vAlign w:val="center"/>
            <w:hideMark/>
          </w:tcPr>
          <w:p w14:paraId="5EB3F101" w14:textId="77777777" w:rsidR="009021F1" w:rsidRPr="007E3D1A" w:rsidRDefault="009021F1" w:rsidP="00E637E3">
            <w:pPr>
              <w:rPr>
                <w:rFonts w:cs="Arial"/>
                <w:sz w:val="22"/>
              </w:rPr>
            </w:pPr>
            <w:r w:rsidRPr="007E3D1A">
              <w:rPr>
                <w:rFonts w:cs="Arial"/>
                <w:sz w:val="22"/>
              </w:rPr>
              <w:t>0897686444</w:t>
            </w:r>
          </w:p>
        </w:tc>
      </w:tr>
      <w:tr w:rsidR="009021F1" w:rsidRPr="007E3D1A" w14:paraId="781DA903" w14:textId="77777777" w:rsidTr="00E637E3">
        <w:trPr>
          <w:trHeight w:val="580"/>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6344700E" w14:textId="77777777" w:rsidR="009021F1" w:rsidRPr="007E3D1A" w:rsidRDefault="009021F1" w:rsidP="00E637E3">
            <w:pPr>
              <w:rPr>
                <w:rFonts w:cs="Arial"/>
                <w:sz w:val="22"/>
              </w:rPr>
            </w:pPr>
            <w:r w:rsidRPr="007E3D1A">
              <w:rPr>
                <w:rFonts w:cs="Arial"/>
                <w:sz w:val="22"/>
              </w:rPr>
              <w:t>9</w:t>
            </w:r>
          </w:p>
        </w:tc>
        <w:tc>
          <w:tcPr>
            <w:tcW w:w="3011" w:type="dxa"/>
            <w:tcBorders>
              <w:top w:val="nil"/>
              <w:left w:val="nil"/>
              <w:bottom w:val="single" w:sz="4" w:space="0" w:color="auto"/>
              <w:right w:val="single" w:sz="4" w:space="0" w:color="auto"/>
            </w:tcBorders>
            <w:shd w:val="clear" w:color="auto" w:fill="auto"/>
            <w:vAlign w:val="center"/>
            <w:hideMark/>
          </w:tcPr>
          <w:p w14:paraId="538BC2FE" w14:textId="77777777" w:rsidR="009021F1" w:rsidRPr="007E3D1A" w:rsidRDefault="009021F1" w:rsidP="00E637E3">
            <w:pPr>
              <w:rPr>
                <w:rFonts w:cs="Arial"/>
                <w:sz w:val="22"/>
              </w:rPr>
            </w:pPr>
            <w:r w:rsidRPr="007E3D1A">
              <w:rPr>
                <w:rFonts w:cs="Arial"/>
                <w:sz w:val="22"/>
              </w:rPr>
              <w:t>LUFANGA SHINDANO</w:t>
            </w:r>
          </w:p>
        </w:tc>
        <w:tc>
          <w:tcPr>
            <w:tcW w:w="3723" w:type="dxa"/>
            <w:tcBorders>
              <w:top w:val="nil"/>
              <w:left w:val="nil"/>
              <w:bottom w:val="single" w:sz="4" w:space="0" w:color="auto"/>
              <w:right w:val="single" w:sz="4" w:space="0" w:color="auto"/>
            </w:tcBorders>
            <w:shd w:val="clear" w:color="auto" w:fill="auto"/>
            <w:vAlign w:val="center"/>
            <w:hideMark/>
          </w:tcPr>
          <w:p w14:paraId="33C4786B" w14:textId="77777777" w:rsidR="009021F1" w:rsidRPr="007E3D1A" w:rsidRDefault="009021F1" w:rsidP="00E637E3">
            <w:pPr>
              <w:rPr>
                <w:rFonts w:cs="Arial"/>
                <w:sz w:val="22"/>
              </w:rPr>
            </w:pPr>
            <w:r w:rsidRPr="007E3D1A">
              <w:rPr>
                <w:rFonts w:cs="Arial"/>
                <w:sz w:val="22"/>
              </w:rPr>
              <w:t>Chef de Service Technique /Direction Provinciale de l'ACE / Kongo Central</w:t>
            </w:r>
          </w:p>
        </w:tc>
        <w:tc>
          <w:tcPr>
            <w:tcW w:w="3127" w:type="dxa"/>
            <w:tcBorders>
              <w:top w:val="nil"/>
              <w:left w:val="nil"/>
              <w:bottom w:val="single" w:sz="4" w:space="0" w:color="auto"/>
              <w:right w:val="single" w:sz="4" w:space="0" w:color="auto"/>
            </w:tcBorders>
            <w:shd w:val="clear" w:color="auto" w:fill="auto"/>
            <w:vAlign w:val="center"/>
            <w:hideMark/>
          </w:tcPr>
          <w:p w14:paraId="134C7B2A" w14:textId="77777777" w:rsidR="009021F1" w:rsidRPr="007E3D1A" w:rsidRDefault="009021F1" w:rsidP="00E637E3">
            <w:pPr>
              <w:rPr>
                <w:rFonts w:cs="Arial"/>
                <w:sz w:val="22"/>
              </w:rPr>
            </w:pPr>
            <w:r w:rsidRPr="007E3D1A">
              <w:rPr>
                <w:rFonts w:cs="Arial"/>
                <w:sz w:val="22"/>
              </w:rPr>
              <w:t>0892460989</w:t>
            </w:r>
          </w:p>
        </w:tc>
      </w:tr>
      <w:tr w:rsidR="009021F1" w:rsidRPr="007E3D1A" w14:paraId="6055B526" w14:textId="77777777" w:rsidTr="00E637E3">
        <w:trPr>
          <w:trHeight w:val="580"/>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24E9BF1E" w14:textId="77777777" w:rsidR="009021F1" w:rsidRPr="007E3D1A" w:rsidRDefault="009021F1" w:rsidP="00E637E3">
            <w:pPr>
              <w:rPr>
                <w:rFonts w:cs="Arial"/>
                <w:sz w:val="22"/>
              </w:rPr>
            </w:pPr>
            <w:r w:rsidRPr="007E3D1A">
              <w:rPr>
                <w:rFonts w:cs="Arial"/>
                <w:sz w:val="22"/>
              </w:rPr>
              <w:t>10</w:t>
            </w:r>
          </w:p>
        </w:tc>
        <w:tc>
          <w:tcPr>
            <w:tcW w:w="3011" w:type="dxa"/>
            <w:tcBorders>
              <w:top w:val="nil"/>
              <w:left w:val="nil"/>
              <w:bottom w:val="single" w:sz="4" w:space="0" w:color="auto"/>
              <w:right w:val="single" w:sz="4" w:space="0" w:color="auto"/>
            </w:tcBorders>
            <w:shd w:val="clear" w:color="auto" w:fill="auto"/>
            <w:vAlign w:val="center"/>
            <w:hideMark/>
          </w:tcPr>
          <w:p w14:paraId="3655B273" w14:textId="77777777" w:rsidR="009021F1" w:rsidRPr="007E3D1A" w:rsidRDefault="009021F1" w:rsidP="00E637E3">
            <w:pPr>
              <w:rPr>
                <w:rFonts w:cs="Arial"/>
                <w:sz w:val="22"/>
              </w:rPr>
            </w:pPr>
            <w:r w:rsidRPr="007E3D1A">
              <w:rPr>
                <w:rFonts w:cs="Arial"/>
                <w:sz w:val="22"/>
              </w:rPr>
              <w:t>Claude NYONGOLO</w:t>
            </w:r>
          </w:p>
        </w:tc>
        <w:tc>
          <w:tcPr>
            <w:tcW w:w="3723" w:type="dxa"/>
            <w:tcBorders>
              <w:top w:val="nil"/>
              <w:left w:val="nil"/>
              <w:bottom w:val="single" w:sz="4" w:space="0" w:color="auto"/>
              <w:right w:val="single" w:sz="4" w:space="0" w:color="auto"/>
            </w:tcBorders>
            <w:shd w:val="clear" w:color="auto" w:fill="auto"/>
            <w:vAlign w:val="center"/>
            <w:hideMark/>
          </w:tcPr>
          <w:p w14:paraId="10ABA35F" w14:textId="77777777" w:rsidR="009021F1" w:rsidRPr="007E3D1A" w:rsidRDefault="009021F1" w:rsidP="00E637E3">
            <w:pPr>
              <w:rPr>
                <w:rFonts w:cs="Arial"/>
                <w:sz w:val="22"/>
              </w:rPr>
            </w:pPr>
            <w:r w:rsidRPr="007E3D1A">
              <w:rPr>
                <w:rFonts w:cs="Arial"/>
                <w:sz w:val="22"/>
              </w:rPr>
              <w:t>Ched de Service Technique /Direction Provinciale de l'ACE / Nord-Kivu</w:t>
            </w:r>
          </w:p>
        </w:tc>
        <w:tc>
          <w:tcPr>
            <w:tcW w:w="3127" w:type="dxa"/>
            <w:tcBorders>
              <w:top w:val="nil"/>
              <w:left w:val="nil"/>
              <w:bottom w:val="single" w:sz="4" w:space="0" w:color="auto"/>
              <w:right w:val="single" w:sz="4" w:space="0" w:color="auto"/>
            </w:tcBorders>
            <w:shd w:val="clear" w:color="auto" w:fill="auto"/>
            <w:vAlign w:val="center"/>
            <w:hideMark/>
          </w:tcPr>
          <w:p w14:paraId="23A732D4" w14:textId="77777777" w:rsidR="009021F1" w:rsidRPr="007E3D1A" w:rsidRDefault="009021F1" w:rsidP="00E637E3">
            <w:pPr>
              <w:rPr>
                <w:rFonts w:cs="Arial"/>
                <w:sz w:val="22"/>
              </w:rPr>
            </w:pPr>
            <w:r w:rsidRPr="007E3D1A">
              <w:rPr>
                <w:rFonts w:cs="Arial"/>
                <w:sz w:val="22"/>
              </w:rPr>
              <w:t>0970615913</w:t>
            </w:r>
          </w:p>
        </w:tc>
      </w:tr>
      <w:tr w:rsidR="009021F1" w:rsidRPr="007E3D1A" w14:paraId="4B12FF5B" w14:textId="77777777" w:rsidTr="00E637E3">
        <w:trPr>
          <w:trHeight w:val="320"/>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53134D3E" w14:textId="77777777" w:rsidR="009021F1" w:rsidRPr="007E3D1A" w:rsidRDefault="009021F1" w:rsidP="00E637E3">
            <w:pPr>
              <w:rPr>
                <w:rFonts w:cs="Arial"/>
                <w:sz w:val="22"/>
              </w:rPr>
            </w:pPr>
            <w:r w:rsidRPr="007E3D1A">
              <w:rPr>
                <w:rFonts w:cs="Arial"/>
                <w:sz w:val="22"/>
              </w:rPr>
              <w:t>11</w:t>
            </w:r>
          </w:p>
        </w:tc>
        <w:tc>
          <w:tcPr>
            <w:tcW w:w="3011" w:type="dxa"/>
            <w:tcBorders>
              <w:top w:val="nil"/>
              <w:left w:val="nil"/>
              <w:bottom w:val="single" w:sz="4" w:space="0" w:color="auto"/>
              <w:right w:val="single" w:sz="4" w:space="0" w:color="auto"/>
            </w:tcBorders>
            <w:shd w:val="clear" w:color="auto" w:fill="auto"/>
            <w:vAlign w:val="center"/>
            <w:hideMark/>
          </w:tcPr>
          <w:p w14:paraId="26872695" w14:textId="77777777" w:rsidR="009021F1" w:rsidRPr="007E3D1A" w:rsidRDefault="009021F1" w:rsidP="00E637E3">
            <w:pPr>
              <w:rPr>
                <w:rFonts w:cs="Arial"/>
                <w:sz w:val="22"/>
              </w:rPr>
            </w:pPr>
            <w:r w:rsidRPr="007E3D1A">
              <w:rPr>
                <w:rFonts w:cs="Arial"/>
                <w:sz w:val="22"/>
              </w:rPr>
              <w:t>Alexis NDALIHORANDA</w:t>
            </w:r>
          </w:p>
        </w:tc>
        <w:tc>
          <w:tcPr>
            <w:tcW w:w="3723" w:type="dxa"/>
            <w:tcBorders>
              <w:top w:val="nil"/>
              <w:left w:val="nil"/>
              <w:bottom w:val="single" w:sz="4" w:space="0" w:color="auto"/>
              <w:right w:val="single" w:sz="4" w:space="0" w:color="auto"/>
            </w:tcBorders>
            <w:shd w:val="clear" w:color="auto" w:fill="auto"/>
            <w:vAlign w:val="center"/>
            <w:hideMark/>
          </w:tcPr>
          <w:p w14:paraId="29DFDA8D" w14:textId="77777777" w:rsidR="009021F1" w:rsidRPr="007E3D1A" w:rsidRDefault="009021F1" w:rsidP="00E637E3">
            <w:pPr>
              <w:rPr>
                <w:rFonts w:cs="Arial"/>
                <w:sz w:val="22"/>
              </w:rPr>
            </w:pPr>
            <w:r w:rsidRPr="007E3D1A">
              <w:rPr>
                <w:rFonts w:cs="Arial"/>
                <w:sz w:val="22"/>
              </w:rPr>
              <w:t>Chef de Division Urbaine / Nord-Kivu</w:t>
            </w:r>
          </w:p>
        </w:tc>
        <w:tc>
          <w:tcPr>
            <w:tcW w:w="3127" w:type="dxa"/>
            <w:tcBorders>
              <w:top w:val="nil"/>
              <w:left w:val="nil"/>
              <w:bottom w:val="single" w:sz="4" w:space="0" w:color="auto"/>
              <w:right w:val="single" w:sz="4" w:space="0" w:color="auto"/>
            </w:tcBorders>
            <w:shd w:val="clear" w:color="auto" w:fill="auto"/>
            <w:vAlign w:val="center"/>
            <w:hideMark/>
          </w:tcPr>
          <w:p w14:paraId="0BD02473" w14:textId="77777777" w:rsidR="009021F1" w:rsidRPr="007E3D1A" w:rsidRDefault="009021F1" w:rsidP="00E637E3">
            <w:pPr>
              <w:rPr>
                <w:rFonts w:cs="Arial"/>
                <w:sz w:val="22"/>
              </w:rPr>
            </w:pPr>
            <w:r w:rsidRPr="007E3D1A">
              <w:rPr>
                <w:rFonts w:cs="Arial"/>
                <w:sz w:val="22"/>
              </w:rPr>
              <w:t>0992589947</w:t>
            </w:r>
          </w:p>
        </w:tc>
      </w:tr>
      <w:tr w:rsidR="009021F1" w:rsidRPr="007E3D1A" w14:paraId="56C21D0B" w14:textId="77777777" w:rsidTr="00E637E3">
        <w:trPr>
          <w:trHeight w:val="580"/>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32DB2D03" w14:textId="77777777" w:rsidR="009021F1" w:rsidRPr="007E3D1A" w:rsidRDefault="009021F1" w:rsidP="00E637E3">
            <w:pPr>
              <w:rPr>
                <w:rFonts w:cs="Arial"/>
                <w:sz w:val="22"/>
              </w:rPr>
            </w:pPr>
            <w:r w:rsidRPr="007E3D1A">
              <w:rPr>
                <w:rFonts w:cs="Arial"/>
                <w:sz w:val="22"/>
              </w:rPr>
              <w:t>12</w:t>
            </w:r>
          </w:p>
        </w:tc>
        <w:tc>
          <w:tcPr>
            <w:tcW w:w="3011" w:type="dxa"/>
            <w:tcBorders>
              <w:top w:val="nil"/>
              <w:left w:val="nil"/>
              <w:bottom w:val="single" w:sz="4" w:space="0" w:color="auto"/>
              <w:right w:val="single" w:sz="4" w:space="0" w:color="auto"/>
            </w:tcBorders>
            <w:shd w:val="clear" w:color="auto" w:fill="auto"/>
            <w:vAlign w:val="center"/>
            <w:hideMark/>
          </w:tcPr>
          <w:p w14:paraId="1D5A9599" w14:textId="77777777" w:rsidR="009021F1" w:rsidRPr="007E3D1A" w:rsidRDefault="009021F1" w:rsidP="00E637E3">
            <w:pPr>
              <w:rPr>
                <w:rFonts w:cs="Arial"/>
                <w:sz w:val="22"/>
              </w:rPr>
            </w:pPr>
            <w:r w:rsidRPr="007E3D1A">
              <w:rPr>
                <w:rFonts w:cs="Arial"/>
                <w:sz w:val="22"/>
              </w:rPr>
              <w:t>Jean-Marie MADIKANI MUNGALA</w:t>
            </w:r>
          </w:p>
        </w:tc>
        <w:tc>
          <w:tcPr>
            <w:tcW w:w="3723" w:type="dxa"/>
            <w:tcBorders>
              <w:top w:val="nil"/>
              <w:left w:val="nil"/>
              <w:bottom w:val="single" w:sz="4" w:space="0" w:color="auto"/>
              <w:right w:val="single" w:sz="4" w:space="0" w:color="auto"/>
            </w:tcBorders>
            <w:shd w:val="clear" w:color="auto" w:fill="auto"/>
            <w:vAlign w:val="center"/>
            <w:hideMark/>
          </w:tcPr>
          <w:p w14:paraId="3729C954" w14:textId="77777777" w:rsidR="009021F1" w:rsidRPr="007E3D1A" w:rsidRDefault="009021F1" w:rsidP="00E637E3">
            <w:pPr>
              <w:rPr>
                <w:rFonts w:cs="Arial"/>
                <w:sz w:val="22"/>
              </w:rPr>
            </w:pPr>
            <w:r w:rsidRPr="007E3D1A">
              <w:rPr>
                <w:rFonts w:cs="Arial"/>
                <w:sz w:val="22"/>
              </w:rPr>
              <w:t>Coordonnateur Provincial de l'Environnement /Kwilu</w:t>
            </w:r>
          </w:p>
        </w:tc>
        <w:tc>
          <w:tcPr>
            <w:tcW w:w="3127" w:type="dxa"/>
            <w:tcBorders>
              <w:top w:val="nil"/>
              <w:left w:val="nil"/>
              <w:bottom w:val="single" w:sz="4" w:space="0" w:color="auto"/>
              <w:right w:val="single" w:sz="4" w:space="0" w:color="auto"/>
            </w:tcBorders>
            <w:shd w:val="clear" w:color="auto" w:fill="auto"/>
            <w:vAlign w:val="center"/>
            <w:hideMark/>
          </w:tcPr>
          <w:p w14:paraId="591D5E93" w14:textId="77777777" w:rsidR="009021F1" w:rsidRPr="007E3D1A" w:rsidRDefault="009021F1" w:rsidP="00E637E3">
            <w:pPr>
              <w:rPr>
                <w:rFonts w:cs="Arial"/>
                <w:sz w:val="22"/>
              </w:rPr>
            </w:pPr>
            <w:r w:rsidRPr="007E3D1A">
              <w:rPr>
                <w:rFonts w:cs="Arial"/>
                <w:sz w:val="22"/>
              </w:rPr>
              <w:t>0816766884</w:t>
            </w:r>
          </w:p>
        </w:tc>
      </w:tr>
      <w:tr w:rsidR="009021F1" w:rsidRPr="007E3D1A" w14:paraId="22B03F2E" w14:textId="77777777" w:rsidTr="00E637E3">
        <w:trPr>
          <w:trHeight w:val="580"/>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6FE1218F" w14:textId="77777777" w:rsidR="009021F1" w:rsidRPr="007E3D1A" w:rsidRDefault="009021F1" w:rsidP="00E637E3">
            <w:pPr>
              <w:rPr>
                <w:rFonts w:cs="Arial"/>
                <w:sz w:val="22"/>
              </w:rPr>
            </w:pPr>
            <w:r w:rsidRPr="007E3D1A">
              <w:rPr>
                <w:rFonts w:cs="Arial"/>
                <w:sz w:val="22"/>
              </w:rPr>
              <w:t>13</w:t>
            </w:r>
          </w:p>
        </w:tc>
        <w:tc>
          <w:tcPr>
            <w:tcW w:w="3011" w:type="dxa"/>
            <w:tcBorders>
              <w:top w:val="nil"/>
              <w:left w:val="nil"/>
              <w:bottom w:val="single" w:sz="4" w:space="0" w:color="auto"/>
              <w:right w:val="single" w:sz="4" w:space="0" w:color="auto"/>
            </w:tcBorders>
            <w:shd w:val="clear" w:color="auto" w:fill="auto"/>
            <w:vAlign w:val="center"/>
            <w:hideMark/>
          </w:tcPr>
          <w:p w14:paraId="2AD160BD" w14:textId="77777777" w:rsidR="009021F1" w:rsidRPr="007E3D1A" w:rsidRDefault="009021F1" w:rsidP="00E637E3">
            <w:pPr>
              <w:rPr>
                <w:rFonts w:cs="Arial"/>
                <w:sz w:val="22"/>
              </w:rPr>
            </w:pPr>
            <w:r w:rsidRPr="007E3D1A">
              <w:rPr>
                <w:rFonts w:cs="Arial"/>
                <w:sz w:val="22"/>
              </w:rPr>
              <w:t>Patrice LUKUNYI KALALA</w:t>
            </w:r>
          </w:p>
        </w:tc>
        <w:tc>
          <w:tcPr>
            <w:tcW w:w="3723" w:type="dxa"/>
            <w:tcBorders>
              <w:top w:val="nil"/>
              <w:left w:val="nil"/>
              <w:bottom w:val="single" w:sz="4" w:space="0" w:color="auto"/>
              <w:right w:val="single" w:sz="4" w:space="0" w:color="auto"/>
            </w:tcBorders>
            <w:shd w:val="clear" w:color="auto" w:fill="auto"/>
            <w:vAlign w:val="center"/>
            <w:hideMark/>
          </w:tcPr>
          <w:p w14:paraId="3D78FAD1" w14:textId="77777777" w:rsidR="009021F1" w:rsidRPr="007E3D1A" w:rsidRDefault="009021F1" w:rsidP="00E637E3">
            <w:pPr>
              <w:rPr>
                <w:rFonts w:cs="Arial"/>
                <w:sz w:val="22"/>
              </w:rPr>
            </w:pPr>
            <w:r w:rsidRPr="007E3D1A">
              <w:rPr>
                <w:rFonts w:cs="Arial"/>
                <w:sz w:val="22"/>
              </w:rPr>
              <w:t xml:space="preserve">Coordonnateur Provincial de l’Environnement / Kasaï </w:t>
            </w:r>
          </w:p>
        </w:tc>
        <w:tc>
          <w:tcPr>
            <w:tcW w:w="3127" w:type="dxa"/>
            <w:tcBorders>
              <w:top w:val="nil"/>
              <w:left w:val="nil"/>
              <w:bottom w:val="single" w:sz="4" w:space="0" w:color="auto"/>
              <w:right w:val="single" w:sz="4" w:space="0" w:color="auto"/>
            </w:tcBorders>
            <w:shd w:val="clear" w:color="auto" w:fill="auto"/>
            <w:vAlign w:val="center"/>
            <w:hideMark/>
          </w:tcPr>
          <w:p w14:paraId="653AFAB1" w14:textId="77777777" w:rsidR="009021F1" w:rsidRPr="007E3D1A" w:rsidRDefault="009021F1" w:rsidP="00E637E3">
            <w:pPr>
              <w:rPr>
                <w:rFonts w:cs="Arial"/>
                <w:sz w:val="22"/>
              </w:rPr>
            </w:pPr>
            <w:r w:rsidRPr="007E3D1A">
              <w:rPr>
                <w:rFonts w:cs="Arial"/>
                <w:sz w:val="22"/>
              </w:rPr>
              <w:t>0998099172/ 817276840</w:t>
            </w:r>
          </w:p>
        </w:tc>
      </w:tr>
      <w:tr w:rsidR="009021F1" w:rsidRPr="007E3D1A" w14:paraId="4D464A21" w14:textId="77777777" w:rsidTr="00E637E3">
        <w:trPr>
          <w:trHeight w:val="580"/>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5E748A3F" w14:textId="77777777" w:rsidR="009021F1" w:rsidRPr="007E3D1A" w:rsidRDefault="009021F1" w:rsidP="00E637E3">
            <w:pPr>
              <w:rPr>
                <w:rFonts w:cs="Arial"/>
                <w:sz w:val="22"/>
              </w:rPr>
            </w:pPr>
            <w:r w:rsidRPr="007E3D1A">
              <w:rPr>
                <w:rFonts w:cs="Arial"/>
                <w:sz w:val="22"/>
              </w:rPr>
              <w:t>14</w:t>
            </w:r>
          </w:p>
        </w:tc>
        <w:tc>
          <w:tcPr>
            <w:tcW w:w="3011" w:type="dxa"/>
            <w:tcBorders>
              <w:top w:val="nil"/>
              <w:left w:val="nil"/>
              <w:bottom w:val="single" w:sz="4" w:space="0" w:color="auto"/>
              <w:right w:val="single" w:sz="4" w:space="0" w:color="auto"/>
            </w:tcBorders>
            <w:shd w:val="clear" w:color="auto" w:fill="auto"/>
            <w:vAlign w:val="center"/>
            <w:hideMark/>
          </w:tcPr>
          <w:p w14:paraId="37E8781E" w14:textId="77777777" w:rsidR="009021F1" w:rsidRPr="007E3D1A" w:rsidRDefault="009021F1" w:rsidP="00E637E3">
            <w:pPr>
              <w:rPr>
                <w:rFonts w:cs="Arial"/>
                <w:sz w:val="22"/>
              </w:rPr>
            </w:pPr>
            <w:r w:rsidRPr="007E3D1A">
              <w:rPr>
                <w:rFonts w:cs="Arial"/>
                <w:sz w:val="22"/>
              </w:rPr>
              <w:t xml:space="preserve">Honoré WULAMBA </w:t>
            </w:r>
          </w:p>
        </w:tc>
        <w:tc>
          <w:tcPr>
            <w:tcW w:w="3723" w:type="dxa"/>
            <w:tcBorders>
              <w:top w:val="nil"/>
              <w:left w:val="nil"/>
              <w:bottom w:val="single" w:sz="4" w:space="0" w:color="auto"/>
              <w:right w:val="single" w:sz="4" w:space="0" w:color="auto"/>
            </w:tcBorders>
            <w:shd w:val="clear" w:color="auto" w:fill="auto"/>
            <w:vAlign w:val="center"/>
            <w:hideMark/>
          </w:tcPr>
          <w:p w14:paraId="6C54D995" w14:textId="77777777" w:rsidR="009021F1" w:rsidRPr="007E3D1A" w:rsidRDefault="009021F1" w:rsidP="00E637E3">
            <w:pPr>
              <w:rPr>
                <w:rFonts w:cs="Arial"/>
                <w:sz w:val="22"/>
              </w:rPr>
            </w:pPr>
            <w:r w:rsidRPr="007E3D1A">
              <w:rPr>
                <w:rFonts w:cs="Arial"/>
                <w:sz w:val="22"/>
              </w:rPr>
              <w:t>Chef de Division Pèche et Élevage / Kasaï</w:t>
            </w:r>
          </w:p>
        </w:tc>
        <w:tc>
          <w:tcPr>
            <w:tcW w:w="3127" w:type="dxa"/>
            <w:tcBorders>
              <w:top w:val="nil"/>
              <w:left w:val="nil"/>
              <w:bottom w:val="single" w:sz="4" w:space="0" w:color="auto"/>
              <w:right w:val="single" w:sz="4" w:space="0" w:color="auto"/>
            </w:tcBorders>
            <w:shd w:val="clear" w:color="auto" w:fill="auto"/>
            <w:vAlign w:val="center"/>
            <w:hideMark/>
          </w:tcPr>
          <w:p w14:paraId="0E2C1C4C" w14:textId="77777777" w:rsidR="009021F1" w:rsidRPr="007E3D1A" w:rsidRDefault="009021F1" w:rsidP="00E637E3">
            <w:pPr>
              <w:rPr>
                <w:rFonts w:cs="Arial"/>
                <w:sz w:val="22"/>
              </w:rPr>
            </w:pPr>
            <w:r w:rsidRPr="007E3D1A">
              <w:rPr>
                <w:rFonts w:cs="Arial"/>
                <w:sz w:val="22"/>
              </w:rPr>
              <w:t>0998600237</w:t>
            </w:r>
          </w:p>
        </w:tc>
      </w:tr>
      <w:tr w:rsidR="009021F1" w:rsidRPr="007E3D1A" w14:paraId="452CC994" w14:textId="77777777" w:rsidTr="00E637E3">
        <w:trPr>
          <w:trHeight w:val="455"/>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1C96A883" w14:textId="77777777" w:rsidR="009021F1" w:rsidRPr="007E3D1A" w:rsidRDefault="009021F1" w:rsidP="00E637E3">
            <w:pPr>
              <w:rPr>
                <w:rFonts w:cs="Arial"/>
                <w:sz w:val="22"/>
              </w:rPr>
            </w:pPr>
            <w:r w:rsidRPr="007E3D1A">
              <w:rPr>
                <w:rFonts w:cs="Arial"/>
                <w:sz w:val="22"/>
              </w:rPr>
              <w:t>15</w:t>
            </w:r>
          </w:p>
        </w:tc>
        <w:tc>
          <w:tcPr>
            <w:tcW w:w="3011" w:type="dxa"/>
            <w:tcBorders>
              <w:top w:val="nil"/>
              <w:left w:val="nil"/>
              <w:bottom w:val="single" w:sz="4" w:space="0" w:color="auto"/>
              <w:right w:val="single" w:sz="4" w:space="0" w:color="auto"/>
            </w:tcBorders>
            <w:shd w:val="clear" w:color="auto" w:fill="auto"/>
            <w:vAlign w:val="center"/>
            <w:hideMark/>
          </w:tcPr>
          <w:p w14:paraId="5ACB58DE" w14:textId="77777777" w:rsidR="009021F1" w:rsidRPr="007E3D1A" w:rsidRDefault="009021F1" w:rsidP="00E637E3">
            <w:pPr>
              <w:rPr>
                <w:rFonts w:cs="Arial"/>
                <w:sz w:val="22"/>
              </w:rPr>
            </w:pPr>
            <w:r w:rsidRPr="007E3D1A">
              <w:rPr>
                <w:rFonts w:cs="Arial"/>
                <w:sz w:val="22"/>
              </w:rPr>
              <w:t>Albert SAMBAYI</w:t>
            </w:r>
          </w:p>
        </w:tc>
        <w:tc>
          <w:tcPr>
            <w:tcW w:w="3723" w:type="dxa"/>
            <w:tcBorders>
              <w:top w:val="nil"/>
              <w:left w:val="nil"/>
              <w:bottom w:val="single" w:sz="4" w:space="0" w:color="auto"/>
              <w:right w:val="single" w:sz="4" w:space="0" w:color="auto"/>
            </w:tcBorders>
            <w:shd w:val="clear" w:color="auto" w:fill="auto"/>
            <w:vAlign w:val="center"/>
            <w:hideMark/>
          </w:tcPr>
          <w:p w14:paraId="461D2E17" w14:textId="77777777" w:rsidR="009021F1" w:rsidRPr="007E3D1A" w:rsidRDefault="009021F1" w:rsidP="00E637E3">
            <w:pPr>
              <w:rPr>
                <w:rFonts w:cs="Arial"/>
                <w:sz w:val="22"/>
              </w:rPr>
            </w:pPr>
            <w:r w:rsidRPr="007E3D1A">
              <w:rPr>
                <w:rFonts w:cs="Arial"/>
                <w:sz w:val="22"/>
              </w:rPr>
              <w:t>Inspecteur Provincial de l'Agriculture / Kwilu</w:t>
            </w:r>
          </w:p>
        </w:tc>
        <w:tc>
          <w:tcPr>
            <w:tcW w:w="3127" w:type="dxa"/>
            <w:tcBorders>
              <w:top w:val="nil"/>
              <w:left w:val="nil"/>
              <w:bottom w:val="single" w:sz="4" w:space="0" w:color="auto"/>
              <w:right w:val="single" w:sz="4" w:space="0" w:color="auto"/>
            </w:tcBorders>
            <w:shd w:val="clear" w:color="auto" w:fill="auto"/>
            <w:vAlign w:val="center"/>
            <w:hideMark/>
          </w:tcPr>
          <w:p w14:paraId="687E0258" w14:textId="77777777" w:rsidR="009021F1" w:rsidRPr="007E3D1A" w:rsidRDefault="009021F1" w:rsidP="00E637E3">
            <w:pPr>
              <w:rPr>
                <w:rFonts w:cs="Arial"/>
                <w:sz w:val="22"/>
              </w:rPr>
            </w:pPr>
            <w:r w:rsidRPr="007E3D1A">
              <w:rPr>
                <w:rFonts w:cs="Arial"/>
                <w:sz w:val="22"/>
              </w:rPr>
              <w:t>816586820</w:t>
            </w:r>
          </w:p>
        </w:tc>
      </w:tr>
      <w:tr w:rsidR="009021F1" w:rsidRPr="007E3D1A" w14:paraId="340D6DD3" w14:textId="77777777" w:rsidTr="00E637E3">
        <w:trPr>
          <w:trHeight w:val="435"/>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623E03E9" w14:textId="77777777" w:rsidR="009021F1" w:rsidRPr="007E3D1A" w:rsidRDefault="009021F1" w:rsidP="00E637E3">
            <w:pPr>
              <w:rPr>
                <w:rFonts w:cs="Arial"/>
                <w:sz w:val="22"/>
              </w:rPr>
            </w:pPr>
            <w:r w:rsidRPr="007E3D1A">
              <w:rPr>
                <w:rFonts w:cs="Arial"/>
                <w:sz w:val="22"/>
              </w:rPr>
              <w:t>16</w:t>
            </w:r>
          </w:p>
        </w:tc>
        <w:tc>
          <w:tcPr>
            <w:tcW w:w="3011" w:type="dxa"/>
            <w:tcBorders>
              <w:top w:val="nil"/>
              <w:left w:val="nil"/>
              <w:bottom w:val="single" w:sz="4" w:space="0" w:color="auto"/>
              <w:right w:val="single" w:sz="4" w:space="0" w:color="auto"/>
            </w:tcBorders>
            <w:shd w:val="clear" w:color="auto" w:fill="auto"/>
            <w:vAlign w:val="center"/>
            <w:hideMark/>
          </w:tcPr>
          <w:p w14:paraId="0028F6FD" w14:textId="77777777" w:rsidR="009021F1" w:rsidRPr="007E3D1A" w:rsidRDefault="009021F1" w:rsidP="00E637E3">
            <w:pPr>
              <w:rPr>
                <w:rFonts w:cs="Arial"/>
                <w:sz w:val="22"/>
              </w:rPr>
            </w:pPr>
            <w:r w:rsidRPr="007E3D1A">
              <w:rPr>
                <w:rFonts w:cs="Arial"/>
                <w:sz w:val="22"/>
              </w:rPr>
              <w:t>Ir Didier SEBEBIMI MAZINA</w:t>
            </w:r>
          </w:p>
        </w:tc>
        <w:tc>
          <w:tcPr>
            <w:tcW w:w="3723" w:type="dxa"/>
            <w:tcBorders>
              <w:top w:val="nil"/>
              <w:left w:val="nil"/>
              <w:bottom w:val="single" w:sz="4" w:space="0" w:color="auto"/>
              <w:right w:val="single" w:sz="4" w:space="0" w:color="auto"/>
            </w:tcBorders>
            <w:shd w:val="clear" w:color="auto" w:fill="auto"/>
            <w:vAlign w:val="center"/>
            <w:hideMark/>
          </w:tcPr>
          <w:p w14:paraId="3E97E642" w14:textId="77777777" w:rsidR="009021F1" w:rsidRPr="007E3D1A" w:rsidRDefault="009021F1" w:rsidP="00E637E3">
            <w:pPr>
              <w:rPr>
                <w:rFonts w:cs="Arial"/>
                <w:sz w:val="22"/>
              </w:rPr>
            </w:pPr>
            <w:r w:rsidRPr="007E3D1A">
              <w:rPr>
                <w:rFonts w:cs="Arial"/>
                <w:sz w:val="22"/>
              </w:rPr>
              <w:t>Inspecteur Provincial de l'Agriculture / Kwilu</w:t>
            </w:r>
          </w:p>
        </w:tc>
        <w:tc>
          <w:tcPr>
            <w:tcW w:w="3127" w:type="dxa"/>
            <w:tcBorders>
              <w:top w:val="nil"/>
              <w:left w:val="nil"/>
              <w:bottom w:val="single" w:sz="4" w:space="0" w:color="auto"/>
              <w:right w:val="single" w:sz="4" w:space="0" w:color="auto"/>
            </w:tcBorders>
            <w:shd w:val="clear" w:color="auto" w:fill="auto"/>
            <w:vAlign w:val="center"/>
            <w:hideMark/>
          </w:tcPr>
          <w:p w14:paraId="64693B1B" w14:textId="77777777" w:rsidR="009021F1" w:rsidRPr="007E3D1A" w:rsidRDefault="009021F1" w:rsidP="00E637E3">
            <w:pPr>
              <w:rPr>
                <w:rFonts w:cs="Arial"/>
                <w:sz w:val="22"/>
              </w:rPr>
            </w:pPr>
            <w:r w:rsidRPr="007E3D1A">
              <w:rPr>
                <w:rFonts w:cs="Arial"/>
                <w:sz w:val="22"/>
              </w:rPr>
              <w:t>0817108100</w:t>
            </w:r>
          </w:p>
        </w:tc>
      </w:tr>
      <w:tr w:rsidR="009021F1" w:rsidRPr="007E3D1A" w14:paraId="105B838C" w14:textId="77777777" w:rsidTr="00E637E3">
        <w:trPr>
          <w:trHeight w:val="580"/>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023B0A87" w14:textId="77777777" w:rsidR="009021F1" w:rsidRPr="007E3D1A" w:rsidRDefault="009021F1" w:rsidP="00E637E3">
            <w:pPr>
              <w:rPr>
                <w:rFonts w:cs="Arial"/>
                <w:sz w:val="22"/>
              </w:rPr>
            </w:pPr>
            <w:r w:rsidRPr="007E3D1A">
              <w:rPr>
                <w:rFonts w:cs="Arial"/>
                <w:sz w:val="22"/>
              </w:rPr>
              <w:t>17</w:t>
            </w:r>
          </w:p>
        </w:tc>
        <w:tc>
          <w:tcPr>
            <w:tcW w:w="3011" w:type="dxa"/>
            <w:tcBorders>
              <w:top w:val="nil"/>
              <w:left w:val="nil"/>
              <w:bottom w:val="single" w:sz="4" w:space="0" w:color="auto"/>
              <w:right w:val="single" w:sz="4" w:space="0" w:color="auto"/>
            </w:tcBorders>
            <w:shd w:val="clear" w:color="auto" w:fill="auto"/>
            <w:vAlign w:val="center"/>
            <w:hideMark/>
          </w:tcPr>
          <w:p w14:paraId="2E0F8C79" w14:textId="77777777" w:rsidR="009021F1" w:rsidRPr="007E3D1A" w:rsidRDefault="009021F1" w:rsidP="00E637E3">
            <w:pPr>
              <w:rPr>
                <w:rFonts w:cs="Arial"/>
                <w:sz w:val="22"/>
              </w:rPr>
            </w:pPr>
            <w:r w:rsidRPr="007E3D1A">
              <w:rPr>
                <w:rFonts w:cs="Arial"/>
                <w:sz w:val="22"/>
              </w:rPr>
              <w:t>KIATOKO SOLI</w:t>
            </w:r>
          </w:p>
        </w:tc>
        <w:tc>
          <w:tcPr>
            <w:tcW w:w="3723" w:type="dxa"/>
            <w:tcBorders>
              <w:top w:val="nil"/>
              <w:left w:val="nil"/>
              <w:bottom w:val="single" w:sz="4" w:space="0" w:color="auto"/>
              <w:right w:val="single" w:sz="4" w:space="0" w:color="auto"/>
            </w:tcBorders>
            <w:shd w:val="clear" w:color="auto" w:fill="auto"/>
            <w:vAlign w:val="center"/>
            <w:hideMark/>
          </w:tcPr>
          <w:p w14:paraId="258CD6FA" w14:textId="77777777" w:rsidR="009021F1" w:rsidRPr="007E3D1A" w:rsidRDefault="009021F1" w:rsidP="00E637E3">
            <w:pPr>
              <w:rPr>
                <w:rFonts w:cs="Arial"/>
                <w:sz w:val="22"/>
              </w:rPr>
            </w:pPr>
            <w:r w:rsidRPr="007E3D1A">
              <w:rPr>
                <w:rFonts w:cs="Arial"/>
                <w:sz w:val="22"/>
              </w:rPr>
              <w:t>Inspecteur Provincial de l'Agriculture / Kongo Central</w:t>
            </w:r>
          </w:p>
        </w:tc>
        <w:tc>
          <w:tcPr>
            <w:tcW w:w="3127" w:type="dxa"/>
            <w:tcBorders>
              <w:top w:val="nil"/>
              <w:left w:val="nil"/>
              <w:bottom w:val="single" w:sz="4" w:space="0" w:color="auto"/>
              <w:right w:val="single" w:sz="4" w:space="0" w:color="auto"/>
            </w:tcBorders>
            <w:shd w:val="clear" w:color="auto" w:fill="auto"/>
            <w:vAlign w:val="center"/>
            <w:hideMark/>
          </w:tcPr>
          <w:p w14:paraId="271FF735" w14:textId="77777777" w:rsidR="009021F1" w:rsidRPr="007E3D1A" w:rsidRDefault="009021F1" w:rsidP="00E637E3">
            <w:pPr>
              <w:rPr>
                <w:rFonts w:cs="Arial"/>
                <w:sz w:val="22"/>
              </w:rPr>
            </w:pPr>
            <w:r w:rsidRPr="007E3D1A">
              <w:rPr>
                <w:rFonts w:cs="Arial"/>
                <w:sz w:val="22"/>
              </w:rPr>
              <w:t> -</w:t>
            </w:r>
          </w:p>
        </w:tc>
      </w:tr>
      <w:tr w:rsidR="009021F1" w:rsidRPr="007E3D1A" w14:paraId="574BD667" w14:textId="77777777" w:rsidTr="00E637E3">
        <w:trPr>
          <w:trHeight w:val="580"/>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21D25CCA" w14:textId="77777777" w:rsidR="009021F1" w:rsidRPr="007E3D1A" w:rsidRDefault="009021F1" w:rsidP="00E637E3">
            <w:pPr>
              <w:rPr>
                <w:rFonts w:cs="Arial"/>
                <w:sz w:val="22"/>
              </w:rPr>
            </w:pPr>
            <w:r w:rsidRPr="007E3D1A">
              <w:rPr>
                <w:rFonts w:cs="Arial"/>
                <w:sz w:val="22"/>
              </w:rPr>
              <w:t>18</w:t>
            </w:r>
          </w:p>
        </w:tc>
        <w:tc>
          <w:tcPr>
            <w:tcW w:w="3011" w:type="dxa"/>
            <w:tcBorders>
              <w:top w:val="nil"/>
              <w:left w:val="nil"/>
              <w:bottom w:val="single" w:sz="4" w:space="0" w:color="auto"/>
              <w:right w:val="single" w:sz="4" w:space="0" w:color="auto"/>
            </w:tcBorders>
            <w:shd w:val="clear" w:color="auto" w:fill="auto"/>
            <w:vAlign w:val="center"/>
            <w:hideMark/>
          </w:tcPr>
          <w:p w14:paraId="1E3E7D70" w14:textId="77777777" w:rsidR="009021F1" w:rsidRPr="007E3D1A" w:rsidRDefault="009021F1" w:rsidP="00E637E3">
            <w:pPr>
              <w:rPr>
                <w:rFonts w:cs="Arial"/>
                <w:sz w:val="22"/>
              </w:rPr>
            </w:pPr>
            <w:r w:rsidRPr="007E3D1A">
              <w:rPr>
                <w:rFonts w:cs="Arial"/>
                <w:sz w:val="22"/>
              </w:rPr>
              <w:t>KAPITEN BONSO</w:t>
            </w:r>
          </w:p>
        </w:tc>
        <w:tc>
          <w:tcPr>
            <w:tcW w:w="3723" w:type="dxa"/>
            <w:tcBorders>
              <w:top w:val="nil"/>
              <w:left w:val="nil"/>
              <w:bottom w:val="single" w:sz="4" w:space="0" w:color="auto"/>
              <w:right w:val="single" w:sz="4" w:space="0" w:color="auto"/>
            </w:tcBorders>
            <w:shd w:val="clear" w:color="auto" w:fill="auto"/>
            <w:vAlign w:val="center"/>
            <w:hideMark/>
          </w:tcPr>
          <w:p w14:paraId="5E5EF32C" w14:textId="77777777" w:rsidR="009021F1" w:rsidRPr="007E3D1A" w:rsidRDefault="009021F1" w:rsidP="00E637E3">
            <w:pPr>
              <w:rPr>
                <w:rFonts w:cs="Arial"/>
                <w:sz w:val="22"/>
              </w:rPr>
            </w:pPr>
            <w:r w:rsidRPr="007E3D1A">
              <w:rPr>
                <w:rFonts w:cs="Arial"/>
                <w:sz w:val="22"/>
              </w:rPr>
              <w:t>Inspecteur Provincial de Développement Rural / Kwilu</w:t>
            </w:r>
          </w:p>
        </w:tc>
        <w:tc>
          <w:tcPr>
            <w:tcW w:w="3127" w:type="dxa"/>
            <w:tcBorders>
              <w:top w:val="nil"/>
              <w:left w:val="nil"/>
              <w:bottom w:val="single" w:sz="4" w:space="0" w:color="auto"/>
              <w:right w:val="single" w:sz="4" w:space="0" w:color="auto"/>
            </w:tcBorders>
            <w:shd w:val="clear" w:color="auto" w:fill="auto"/>
            <w:vAlign w:val="center"/>
            <w:hideMark/>
          </w:tcPr>
          <w:p w14:paraId="7BA3D5BE" w14:textId="77777777" w:rsidR="009021F1" w:rsidRPr="007E3D1A" w:rsidRDefault="009021F1" w:rsidP="00E637E3">
            <w:pPr>
              <w:rPr>
                <w:rFonts w:cs="Arial"/>
                <w:sz w:val="22"/>
              </w:rPr>
            </w:pPr>
            <w:r w:rsidRPr="007E3D1A">
              <w:rPr>
                <w:rFonts w:cs="Arial"/>
                <w:sz w:val="22"/>
              </w:rPr>
              <w:t>0816437228</w:t>
            </w:r>
          </w:p>
        </w:tc>
      </w:tr>
      <w:tr w:rsidR="009021F1" w:rsidRPr="007E3D1A" w14:paraId="03E4407A" w14:textId="77777777" w:rsidTr="00E637E3">
        <w:trPr>
          <w:trHeight w:val="580"/>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136D1B57" w14:textId="77777777" w:rsidR="009021F1" w:rsidRPr="007E3D1A" w:rsidRDefault="009021F1" w:rsidP="00E637E3">
            <w:pPr>
              <w:rPr>
                <w:rFonts w:cs="Arial"/>
                <w:sz w:val="22"/>
              </w:rPr>
            </w:pPr>
            <w:r w:rsidRPr="007E3D1A">
              <w:rPr>
                <w:rFonts w:cs="Arial"/>
                <w:sz w:val="22"/>
              </w:rPr>
              <w:t>19</w:t>
            </w:r>
          </w:p>
        </w:tc>
        <w:tc>
          <w:tcPr>
            <w:tcW w:w="3011" w:type="dxa"/>
            <w:tcBorders>
              <w:top w:val="nil"/>
              <w:left w:val="nil"/>
              <w:bottom w:val="single" w:sz="4" w:space="0" w:color="auto"/>
              <w:right w:val="single" w:sz="4" w:space="0" w:color="auto"/>
            </w:tcBorders>
            <w:shd w:val="clear" w:color="auto" w:fill="auto"/>
            <w:vAlign w:val="center"/>
            <w:hideMark/>
          </w:tcPr>
          <w:p w14:paraId="5BBE9DFD" w14:textId="77777777" w:rsidR="009021F1" w:rsidRPr="007E3D1A" w:rsidRDefault="009021F1" w:rsidP="00E637E3">
            <w:pPr>
              <w:rPr>
                <w:rFonts w:cs="Arial"/>
                <w:sz w:val="22"/>
              </w:rPr>
            </w:pPr>
            <w:r w:rsidRPr="007E3D1A">
              <w:rPr>
                <w:rFonts w:cs="Arial"/>
                <w:sz w:val="22"/>
              </w:rPr>
              <w:t>Anicet NZIMBUKILA</w:t>
            </w:r>
          </w:p>
        </w:tc>
        <w:tc>
          <w:tcPr>
            <w:tcW w:w="3723" w:type="dxa"/>
            <w:tcBorders>
              <w:top w:val="nil"/>
              <w:left w:val="nil"/>
              <w:bottom w:val="single" w:sz="4" w:space="0" w:color="auto"/>
              <w:right w:val="single" w:sz="4" w:space="0" w:color="auto"/>
            </w:tcBorders>
            <w:shd w:val="clear" w:color="auto" w:fill="auto"/>
            <w:vAlign w:val="center"/>
            <w:hideMark/>
          </w:tcPr>
          <w:p w14:paraId="3ABFD464" w14:textId="77777777" w:rsidR="009021F1" w:rsidRPr="007E3D1A" w:rsidRDefault="009021F1" w:rsidP="00E637E3">
            <w:pPr>
              <w:rPr>
                <w:rFonts w:cs="Arial"/>
                <w:sz w:val="22"/>
              </w:rPr>
            </w:pPr>
            <w:r w:rsidRPr="007E3D1A">
              <w:rPr>
                <w:rFonts w:cs="Arial"/>
                <w:sz w:val="22"/>
              </w:rPr>
              <w:t>Coordonnateur Provincial SENASEM / Kongo Central</w:t>
            </w:r>
          </w:p>
        </w:tc>
        <w:tc>
          <w:tcPr>
            <w:tcW w:w="3127" w:type="dxa"/>
            <w:tcBorders>
              <w:top w:val="nil"/>
              <w:left w:val="nil"/>
              <w:bottom w:val="single" w:sz="4" w:space="0" w:color="auto"/>
              <w:right w:val="single" w:sz="4" w:space="0" w:color="auto"/>
            </w:tcBorders>
            <w:shd w:val="clear" w:color="auto" w:fill="auto"/>
            <w:vAlign w:val="center"/>
            <w:hideMark/>
          </w:tcPr>
          <w:p w14:paraId="6C43E63A" w14:textId="77777777" w:rsidR="009021F1" w:rsidRPr="007E3D1A" w:rsidRDefault="009021F1" w:rsidP="00E637E3">
            <w:pPr>
              <w:rPr>
                <w:rFonts w:cs="Arial"/>
                <w:sz w:val="22"/>
              </w:rPr>
            </w:pPr>
            <w:r w:rsidRPr="007E3D1A">
              <w:rPr>
                <w:rFonts w:cs="Arial"/>
                <w:sz w:val="22"/>
              </w:rPr>
              <w:t>0855798586</w:t>
            </w:r>
          </w:p>
        </w:tc>
      </w:tr>
      <w:tr w:rsidR="009021F1" w:rsidRPr="007E3D1A" w14:paraId="6ABAF6AE" w14:textId="77777777" w:rsidTr="00E637E3">
        <w:trPr>
          <w:trHeight w:val="580"/>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668A301B" w14:textId="77777777" w:rsidR="009021F1" w:rsidRPr="007E3D1A" w:rsidRDefault="009021F1" w:rsidP="00E637E3">
            <w:pPr>
              <w:rPr>
                <w:rFonts w:cs="Arial"/>
                <w:sz w:val="22"/>
              </w:rPr>
            </w:pPr>
            <w:r w:rsidRPr="007E3D1A">
              <w:rPr>
                <w:rFonts w:cs="Arial"/>
                <w:sz w:val="22"/>
              </w:rPr>
              <w:t>20</w:t>
            </w:r>
          </w:p>
        </w:tc>
        <w:tc>
          <w:tcPr>
            <w:tcW w:w="3011" w:type="dxa"/>
            <w:tcBorders>
              <w:top w:val="nil"/>
              <w:left w:val="nil"/>
              <w:bottom w:val="single" w:sz="4" w:space="0" w:color="auto"/>
              <w:right w:val="single" w:sz="4" w:space="0" w:color="auto"/>
            </w:tcBorders>
            <w:shd w:val="clear" w:color="auto" w:fill="auto"/>
            <w:vAlign w:val="center"/>
            <w:hideMark/>
          </w:tcPr>
          <w:p w14:paraId="5E6466F4" w14:textId="77777777" w:rsidR="009021F1" w:rsidRPr="007E3D1A" w:rsidRDefault="009021F1" w:rsidP="00E637E3">
            <w:pPr>
              <w:rPr>
                <w:rFonts w:cs="Arial"/>
                <w:sz w:val="22"/>
              </w:rPr>
            </w:pPr>
            <w:r w:rsidRPr="007E3D1A">
              <w:rPr>
                <w:rFonts w:cs="Arial"/>
                <w:sz w:val="22"/>
              </w:rPr>
              <w:t>TEMBO KASEKWA</w:t>
            </w:r>
          </w:p>
        </w:tc>
        <w:tc>
          <w:tcPr>
            <w:tcW w:w="3723" w:type="dxa"/>
            <w:tcBorders>
              <w:top w:val="nil"/>
              <w:left w:val="nil"/>
              <w:bottom w:val="single" w:sz="4" w:space="0" w:color="auto"/>
              <w:right w:val="single" w:sz="4" w:space="0" w:color="auto"/>
            </w:tcBorders>
            <w:shd w:val="clear" w:color="auto" w:fill="auto"/>
            <w:vAlign w:val="center"/>
            <w:hideMark/>
          </w:tcPr>
          <w:p w14:paraId="4CCE951A" w14:textId="77777777" w:rsidR="009021F1" w:rsidRPr="007E3D1A" w:rsidRDefault="009021F1" w:rsidP="00E637E3">
            <w:pPr>
              <w:rPr>
                <w:rFonts w:cs="Arial"/>
                <w:sz w:val="22"/>
              </w:rPr>
            </w:pPr>
            <w:r w:rsidRPr="007E3D1A">
              <w:rPr>
                <w:rFonts w:cs="Arial"/>
                <w:sz w:val="22"/>
              </w:rPr>
              <w:t>Coordonnateur Provincial SENASEM / Nord Kivu</w:t>
            </w:r>
          </w:p>
        </w:tc>
        <w:tc>
          <w:tcPr>
            <w:tcW w:w="3127" w:type="dxa"/>
            <w:tcBorders>
              <w:top w:val="nil"/>
              <w:left w:val="nil"/>
              <w:bottom w:val="single" w:sz="4" w:space="0" w:color="auto"/>
              <w:right w:val="single" w:sz="4" w:space="0" w:color="auto"/>
            </w:tcBorders>
            <w:shd w:val="clear" w:color="auto" w:fill="auto"/>
            <w:vAlign w:val="center"/>
            <w:hideMark/>
          </w:tcPr>
          <w:p w14:paraId="2C3AE6F4" w14:textId="77777777" w:rsidR="009021F1" w:rsidRPr="007E3D1A" w:rsidRDefault="009021F1" w:rsidP="00E637E3">
            <w:pPr>
              <w:rPr>
                <w:rFonts w:cs="Arial"/>
                <w:sz w:val="22"/>
              </w:rPr>
            </w:pPr>
            <w:r w:rsidRPr="007E3D1A">
              <w:rPr>
                <w:rFonts w:cs="Arial"/>
                <w:sz w:val="22"/>
              </w:rPr>
              <w:t>0993899356</w:t>
            </w:r>
          </w:p>
        </w:tc>
      </w:tr>
      <w:tr w:rsidR="009021F1" w:rsidRPr="007E3D1A" w14:paraId="4FF20D1F" w14:textId="77777777" w:rsidTr="00E637E3">
        <w:trPr>
          <w:trHeight w:val="580"/>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21965B76" w14:textId="77777777" w:rsidR="009021F1" w:rsidRPr="007E3D1A" w:rsidRDefault="009021F1" w:rsidP="00E637E3">
            <w:pPr>
              <w:rPr>
                <w:rFonts w:cs="Arial"/>
                <w:sz w:val="22"/>
              </w:rPr>
            </w:pPr>
            <w:r w:rsidRPr="007E3D1A">
              <w:rPr>
                <w:rFonts w:cs="Arial"/>
                <w:sz w:val="22"/>
              </w:rPr>
              <w:t>21</w:t>
            </w:r>
          </w:p>
        </w:tc>
        <w:tc>
          <w:tcPr>
            <w:tcW w:w="3011" w:type="dxa"/>
            <w:tcBorders>
              <w:top w:val="nil"/>
              <w:left w:val="nil"/>
              <w:bottom w:val="single" w:sz="4" w:space="0" w:color="auto"/>
              <w:right w:val="single" w:sz="4" w:space="0" w:color="auto"/>
            </w:tcBorders>
            <w:shd w:val="clear" w:color="auto" w:fill="auto"/>
            <w:vAlign w:val="center"/>
            <w:hideMark/>
          </w:tcPr>
          <w:p w14:paraId="203F8713" w14:textId="77777777" w:rsidR="009021F1" w:rsidRPr="007E3D1A" w:rsidRDefault="009021F1" w:rsidP="00E637E3">
            <w:pPr>
              <w:rPr>
                <w:rFonts w:cs="Arial"/>
                <w:sz w:val="22"/>
              </w:rPr>
            </w:pPr>
            <w:r w:rsidRPr="007E3D1A">
              <w:rPr>
                <w:rFonts w:cs="Arial"/>
                <w:sz w:val="22"/>
              </w:rPr>
              <w:t>GUDALABUNA ROMAIN</w:t>
            </w:r>
          </w:p>
        </w:tc>
        <w:tc>
          <w:tcPr>
            <w:tcW w:w="3723" w:type="dxa"/>
            <w:tcBorders>
              <w:top w:val="nil"/>
              <w:left w:val="nil"/>
              <w:bottom w:val="single" w:sz="4" w:space="0" w:color="auto"/>
              <w:right w:val="single" w:sz="4" w:space="0" w:color="auto"/>
            </w:tcBorders>
            <w:shd w:val="clear" w:color="auto" w:fill="auto"/>
            <w:vAlign w:val="center"/>
            <w:hideMark/>
          </w:tcPr>
          <w:p w14:paraId="402DA923" w14:textId="77777777" w:rsidR="009021F1" w:rsidRPr="007E3D1A" w:rsidRDefault="009021F1" w:rsidP="00E637E3">
            <w:pPr>
              <w:rPr>
                <w:rFonts w:cs="Arial"/>
                <w:sz w:val="22"/>
              </w:rPr>
            </w:pPr>
            <w:r w:rsidRPr="007E3D1A">
              <w:rPr>
                <w:rFonts w:cs="Arial"/>
                <w:sz w:val="22"/>
              </w:rPr>
              <w:t>Chef de Division Pêche et Elevage / Kwilu</w:t>
            </w:r>
          </w:p>
        </w:tc>
        <w:tc>
          <w:tcPr>
            <w:tcW w:w="3127" w:type="dxa"/>
            <w:tcBorders>
              <w:top w:val="nil"/>
              <w:left w:val="nil"/>
              <w:bottom w:val="single" w:sz="4" w:space="0" w:color="auto"/>
              <w:right w:val="single" w:sz="4" w:space="0" w:color="auto"/>
            </w:tcBorders>
            <w:shd w:val="clear" w:color="auto" w:fill="auto"/>
            <w:vAlign w:val="center"/>
            <w:hideMark/>
          </w:tcPr>
          <w:p w14:paraId="32BE7743" w14:textId="77777777" w:rsidR="009021F1" w:rsidRPr="007E3D1A" w:rsidRDefault="009021F1" w:rsidP="00E637E3">
            <w:pPr>
              <w:rPr>
                <w:rFonts w:cs="Arial"/>
                <w:sz w:val="22"/>
              </w:rPr>
            </w:pPr>
            <w:r w:rsidRPr="007E3D1A">
              <w:rPr>
                <w:rFonts w:cs="Arial"/>
                <w:sz w:val="22"/>
              </w:rPr>
              <w:t>0812126950</w:t>
            </w:r>
          </w:p>
        </w:tc>
      </w:tr>
      <w:tr w:rsidR="009021F1" w:rsidRPr="007E3D1A" w14:paraId="66679E23" w14:textId="77777777" w:rsidTr="00E637E3">
        <w:trPr>
          <w:trHeight w:val="580"/>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13EE388E" w14:textId="77777777" w:rsidR="009021F1" w:rsidRPr="007E3D1A" w:rsidRDefault="009021F1" w:rsidP="00E637E3">
            <w:pPr>
              <w:rPr>
                <w:rFonts w:cs="Arial"/>
                <w:sz w:val="22"/>
              </w:rPr>
            </w:pPr>
            <w:r w:rsidRPr="007E3D1A">
              <w:rPr>
                <w:rFonts w:cs="Arial"/>
                <w:sz w:val="22"/>
              </w:rPr>
              <w:t>22</w:t>
            </w:r>
          </w:p>
        </w:tc>
        <w:tc>
          <w:tcPr>
            <w:tcW w:w="3011" w:type="dxa"/>
            <w:tcBorders>
              <w:top w:val="nil"/>
              <w:left w:val="nil"/>
              <w:bottom w:val="single" w:sz="4" w:space="0" w:color="auto"/>
              <w:right w:val="single" w:sz="4" w:space="0" w:color="auto"/>
            </w:tcBorders>
            <w:shd w:val="clear" w:color="auto" w:fill="auto"/>
            <w:vAlign w:val="center"/>
            <w:hideMark/>
          </w:tcPr>
          <w:p w14:paraId="34FC4E58" w14:textId="77777777" w:rsidR="009021F1" w:rsidRPr="007E3D1A" w:rsidRDefault="009021F1" w:rsidP="00E637E3">
            <w:pPr>
              <w:rPr>
                <w:rFonts w:cs="Arial"/>
                <w:sz w:val="22"/>
              </w:rPr>
            </w:pPr>
            <w:r w:rsidRPr="007E3D1A">
              <w:rPr>
                <w:rFonts w:cs="Arial"/>
                <w:sz w:val="22"/>
              </w:rPr>
              <w:t>Phanzu MBUMBA</w:t>
            </w:r>
          </w:p>
        </w:tc>
        <w:tc>
          <w:tcPr>
            <w:tcW w:w="3723" w:type="dxa"/>
            <w:tcBorders>
              <w:top w:val="nil"/>
              <w:left w:val="nil"/>
              <w:bottom w:val="single" w:sz="4" w:space="0" w:color="auto"/>
              <w:right w:val="single" w:sz="4" w:space="0" w:color="auto"/>
            </w:tcBorders>
            <w:shd w:val="clear" w:color="auto" w:fill="auto"/>
            <w:vAlign w:val="center"/>
            <w:hideMark/>
          </w:tcPr>
          <w:p w14:paraId="4E5646A2" w14:textId="77777777" w:rsidR="009021F1" w:rsidRPr="007E3D1A" w:rsidRDefault="009021F1" w:rsidP="00E637E3">
            <w:pPr>
              <w:rPr>
                <w:rFonts w:cs="Arial"/>
                <w:sz w:val="22"/>
              </w:rPr>
            </w:pPr>
            <w:r w:rsidRPr="007E3D1A">
              <w:rPr>
                <w:rFonts w:cs="Arial"/>
                <w:sz w:val="22"/>
              </w:rPr>
              <w:t>Chef de Division Pèche et Élevage / Kongo Central</w:t>
            </w:r>
          </w:p>
        </w:tc>
        <w:tc>
          <w:tcPr>
            <w:tcW w:w="3127" w:type="dxa"/>
            <w:tcBorders>
              <w:top w:val="nil"/>
              <w:left w:val="nil"/>
              <w:bottom w:val="single" w:sz="4" w:space="0" w:color="auto"/>
              <w:right w:val="single" w:sz="4" w:space="0" w:color="auto"/>
            </w:tcBorders>
            <w:shd w:val="clear" w:color="auto" w:fill="auto"/>
            <w:vAlign w:val="center"/>
            <w:hideMark/>
          </w:tcPr>
          <w:p w14:paraId="5EE08553" w14:textId="77777777" w:rsidR="009021F1" w:rsidRPr="007E3D1A" w:rsidRDefault="009021F1" w:rsidP="00E637E3">
            <w:pPr>
              <w:rPr>
                <w:rFonts w:cs="Arial"/>
                <w:sz w:val="22"/>
              </w:rPr>
            </w:pPr>
            <w:r w:rsidRPr="007E3D1A">
              <w:rPr>
                <w:rFonts w:cs="Arial"/>
                <w:sz w:val="22"/>
              </w:rPr>
              <w:t>0898388802</w:t>
            </w:r>
          </w:p>
        </w:tc>
      </w:tr>
      <w:tr w:rsidR="009021F1" w:rsidRPr="007E3D1A" w14:paraId="7889B409" w14:textId="77777777" w:rsidTr="00E637E3">
        <w:trPr>
          <w:trHeight w:val="349"/>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302A8E84" w14:textId="77777777" w:rsidR="009021F1" w:rsidRPr="007E3D1A" w:rsidRDefault="009021F1" w:rsidP="00E637E3">
            <w:pPr>
              <w:rPr>
                <w:rFonts w:cs="Arial"/>
                <w:sz w:val="22"/>
              </w:rPr>
            </w:pPr>
            <w:r w:rsidRPr="007E3D1A">
              <w:rPr>
                <w:rFonts w:cs="Arial"/>
                <w:sz w:val="22"/>
              </w:rPr>
              <w:t>23</w:t>
            </w:r>
          </w:p>
        </w:tc>
        <w:tc>
          <w:tcPr>
            <w:tcW w:w="3011" w:type="dxa"/>
            <w:tcBorders>
              <w:top w:val="nil"/>
              <w:left w:val="nil"/>
              <w:bottom w:val="single" w:sz="4" w:space="0" w:color="auto"/>
              <w:right w:val="single" w:sz="4" w:space="0" w:color="auto"/>
            </w:tcBorders>
            <w:shd w:val="clear" w:color="auto" w:fill="auto"/>
            <w:vAlign w:val="center"/>
            <w:hideMark/>
          </w:tcPr>
          <w:p w14:paraId="6BAA23B6" w14:textId="77777777" w:rsidR="009021F1" w:rsidRPr="007E3D1A" w:rsidRDefault="009021F1" w:rsidP="00E637E3">
            <w:pPr>
              <w:rPr>
                <w:rFonts w:cs="Arial"/>
                <w:sz w:val="22"/>
              </w:rPr>
            </w:pPr>
            <w:r w:rsidRPr="007E3D1A">
              <w:rPr>
                <w:rFonts w:cs="Arial"/>
                <w:sz w:val="22"/>
              </w:rPr>
              <w:t>BAKEBIMO KANDA</w:t>
            </w:r>
          </w:p>
        </w:tc>
        <w:tc>
          <w:tcPr>
            <w:tcW w:w="3723" w:type="dxa"/>
            <w:tcBorders>
              <w:top w:val="nil"/>
              <w:left w:val="nil"/>
              <w:bottom w:val="single" w:sz="4" w:space="0" w:color="auto"/>
              <w:right w:val="single" w:sz="4" w:space="0" w:color="auto"/>
            </w:tcBorders>
            <w:shd w:val="clear" w:color="auto" w:fill="auto"/>
            <w:vAlign w:val="center"/>
            <w:hideMark/>
          </w:tcPr>
          <w:p w14:paraId="7928DB13" w14:textId="77777777" w:rsidR="009021F1" w:rsidRPr="007E3D1A" w:rsidRDefault="009021F1" w:rsidP="00E637E3">
            <w:pPr>
              <w:rPr>
                <w:rFonts w:cs="Arial"/>
                <w:sz w:val="22"/>
              </w:rPr>
            </w:pPr>
            <w:r w:rsidRPr="007E3D1A">
              <w:rPr>
                <w:rFonts w:cs="Arial"/>
                <w:sz w:val="22"/>
              </w:rPr>
              <w:t>Chef de Bureau Service Vétérinaire</w:t>
            </w:r>
          </w:p>
        </w:tc>
        <w:tc>
          <w:tcPr>
            <w:tcW w:w="3127" w:type="dxa"/>
            <w:tcBorders>
              <w:top w:val="nil"/>
              <w:left w:val="nil"/>
              <w:bottom w:val="single" w:sz="4" w:space="0" w:color="auto"/>
              <w:right w:val="single" w:sz="4" w:space="0" w:color="auto"/>
            </w:tcBorders>
            <w:shd w:val="clear" w:color="auto" w:fill="auto"/>
            <w:vAlign w:val="center"/>
            <w:hideMark/>
          </w:tcPr>
          <w:p w14:paraId="2F695FB7" w14:textId="77777777" w:rsidR="009021F1" w:rsidRPr="007E3D1A" w:rsidRDefault="009021F1" w:rsidP="00E637E3">
            <w:pPr>
              <w:rPr>
                <w:rFonts w:cs="Arial"/>
                <w:sz w:val="22"/>
              </w:rPr>
            </w:pPr>
            <w:r w:rsidRPr="007E3D1A">
              <w:rPr>
                <w:rFonts w:cs="Arial"/>
                <w:sz w:val="22"/>
              </w:rPr>
              <w:t>0899128620</w:t>
            </w:r>
          </w:p>
        </w:tc>
      </w:tr>
      <w:tr w:rsidR="009021F1" w:rsidRPr="007E3D1A" w14:paraId="01A5F4F9" w14:textId="77777777" w:rsidTr="00E637E3">
        <w:trPr>
          <w:trHeight w:val="425"/>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55CCC530" w14:textId="77777777" w:rsidR="009021F1" w:rsidRPr="007E3D1A" w:rsidRDefault="009021F1" w:rsidP="00E637E3">
            <w:pPr>
              <w:rPr>
                <w:rFonts w:cs="Arial"/>
                <w:sz w:val="22"/>
              </w:rPr>
            </w:pPr>
            <w:r w:rsidRPr="007E3D1A">
              <w:rPr>
                <w:rFonts w:cs="Arial"/>
                <w:sz w:val="22"/>
              </w:rPr>
              <w:t>24</w:t>
            </w:r>
          </w:p>
        </w:tc>
        <w:tc>
          <w:tcPr>
            <w:tcW w:w="3011" w:type="dxa"/>
            <w:tcBorders>
              <w:top w:val="nil"/>
              <w:left w:val="nil"/>
              <w:bottom w:val="single" w:sz="4" w:space="0" w:color="auto"/>
              <w:right w:val="single" w:sz="4" w:space="0" w:color="auto"/>
            </w:tcBorders>
            <w:shd w:val="clear" w:color="auto" w:fill="auto"/>
            <w:vAlign w:val="center"/>
            <w:hideMark/>
          </w:tcPr>
          <w:p w14:paraId="2BB5AF76" w14:textId="77777777" w:rsidR="009021F1" w:rsidRPr="007E3D1A" w:rsidRDefault="009021F1" w:rsidP="00E637E3">
            <w:pPr>
              <w:rPr>
                <w:rFonts w:cs="Arial"/>
                <w:sz w:val="22"/>
              </w:rPr>
            </w:pPr>
            <w:r w:rsidRPr="007E3D1A">
              <w:rPr>
                <w:rFonts w:cs="Arial"/>
                <w:sz w:val="22"/>
              </w:rPr>
              <w:t>Robert KAMBALE MANYANI</w:t>
            </w:r>
          </w:p>
        </w:tc>
        <w:tc>
          <w:tcPr>
            <w:tcW w:w="3723" w:type="dxa"/>
            <w:tcBorders>
              <w:top w:val="nil"/>
              <w:left w:val="nil"/>
              <w:bottom w:val="single" w:sz="4" w:space="0" w:color="auto"/>
              <w:right w:val="single" w:sz="4" w:space="0" w:color="auto"/>
            </w:tcBorders>
            <w:shd w:val="clear" w:color="auto" w:fill="auto"/>
            <w:vAlign w:val="center"/>
            <w:hideMark/>
          </w:tcPr>
          <w:p w14:paraId="7419005B" w14:textId="77777777" w:rsidR="009021F1" w:rsidRPr="007E3D1A" w:rsidRDefault="009021F1" w:rsidP="00E637E3">
            <w:pPr>
              <w:rPr>
                <w:rFonts w:cs="Arial"/>
                <w:sz w:val="22"/>
              </w:rPr>
            </w:pPr>
            <w:r w:rsidRPr="007E3D1A">
              <w:rPr>
                <w:rFonts w:cs="Arial"/>
                <w:sz w:val="22"/>
              </w:rPr>
              <w:t>Ir Coordonnateur DVDA / Nord-Kivu</w:t>
            </w:r>
          </w:p>
        </w:tc>
        <w:tc>
          <w:tcPr>
            <w:tcW w:w="3127" w:type="dxa"/>
            <w:tcBorders>
              <w:top w:val="nil"/>
              <w:left w:val="nil"/>
              <w:bottom w:val="single" w:sz="4" w:space="0" w:color="auto"/>
              <w:right w:val="single" w:sz="4" w:space="0" w:color="auto"/>
            </w:tcBorders>
            <w:shd w:val="clear" w:color="auto" w:fill="auto"/>
            <w:vAlign w:val="center"/>
            <w:hideMark/>
          </w:tcPr>
          <w:p w14:paraId="7E2F8FA0" w14:textId="77777777" w:rsidR="009021F1" w:rsidRPr="007E3D1A" w:rsidRDefault="009021F1" w:rsidP="00E637E3">
            <w:pPr>
              <w:rPr>
                <w:rFonts w:cs="Arial"/>
                <w:sz w:val="22"/>
              </w:rPr>
            </w:pPr>
            <w:r w:rsidRPr="007E3D1A">
              <w:rPr>
                <w:rFonts w:cs="Arial"/>
                <w:sz w:val="22"/>
              </w:rPr>
              <w:t>0990573582</w:t>
            </w:r>
          </w:p>
        </w:tc>
      </w:tr>
      <w:tr w:rsidR="009021F1" w:rsidRPr="007E3D1A" w14:paraId="28CF24DF" w14:textId="77777777" w:rsidTr="00E637E3">
        <w:trPr>
          <w:trHeight w:val="510"/>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56B3B412" w14:textId="77777777" w:rsidR="009021F1" w:rsidRPr="007E3D1A" w:rsidRDefault="009021F1" w:rsidP="00E637E3">
            <w:pPr>
              <w:rPr>
                <w:rFonts w:cs="Arial"/>
                <w:sz w:val="22"/>
              </w:rPr>
            </w:pPr>
            <w:r w:rsidRPr="007E3D1A">
              <w:rPr>
                <w:rFonts w:cs="Arial"/>
                <w:sz w:val="22"/>
              </w:rPr>
              <w:t>25</w:t>
            </w:r>
          </w:p>
        </w:tc>
        <w:tc>
          <w:tcPr>
            <w:tcW w:w="3011" w:type="dxa"/>
            <w:tcBorders>
              <w:top w:val="nil"/>
              <w:left w:val="nil"/>
              <w:bottom w:val="single" w:sz="4" w:space="0" w:color="auto"/>
              <w:right w:val="single" w:sz="4" w:space="0" w:color="auto"/>
            </w:tcBorders>
            <w:shd w:val="clear" w:color="auto" w:fill="auto"/>
            <w:vAlign w:val="center"/>
            <w:hideMark/>
          </w:tcPr>
          <w:p w14:paraId="470FF88C" w14:textId="77777777" w:rsidR="009021F1" w:rsidRPr="007E3D1A" w:rsidRDefault="009021F1" w:rsidP="00E637E3">
            <w:pPr>
              <w:rPr>
                <w:rFonts w:cs="Arial"/>
                <w:sz w:val="22"/>
              </w:rPr>
            </w:pPr>
            <w:r w:rsidRPr="007E3D1A">
              <w:rPr>
                <w:rFonts w:cs="Arial"/>
                <w:sz w:val="22"/>
              </w:rPr>
              <w:t>Jérôme Casimir WANGU</w:t>
            </w:r>
          </w:p>
        </w:tc>
        <w:tc>
          <w:tcPr>
            <w:tcW w:w="3723" w:type="dxa"/>
            <w:tcBorders>
              <w:top w:val="nil"/>
              <w:left w:val="nil"/>
              <w:bottom w:val="single" w:sz="4" w:space="0" w:color="auto"/>
              <w:right w:val="single" w:sz="4" w:space="0" w:color="auto"/>
            </w:tcBorders>
            <w:shd w:val="clear" w:color="auto" w:fill="auto"/>
            <w:vAlign w:val="center"/>
            <w:hideMark/>
          </w:tcPr>
          <w:p w14:paraId="4ABEE847" w14:textId="77777777" w:rsidR="009021F1" w:rsidRPr="007E3D1A" w:rsidRDefault="009021F1" w:rsidP="00E637E3">
            <w:pPr>
              <w:rPr>
                <w:rFonts w:cs="Arial"/>
                <w:sz w:val="22"/>
              </w:rPr>
            </w:pPr>
            <w:r w:rsidRPr="007E3D1A">
              <w:rPr>
                <w:rFonts w:cs="Arial"/>
                <w:sz w:val="22"/>
              </w:rPr>
              <w:t>Directeur Administratif et Financier DVDA / Kongo Central</w:t>
            </w:r>
          </w:p>
        </w:tc>
        <w:tc>
          <w:tcPr>
            <w:tcW w:w="3127" w:type="dxa"/>
            <w:tcBorders>
              <w:top w:val="nil"/>
              <w:left w:val="nil"/>
              <w:bottom w:val="single" w:sz="4" w:space="0" w:color="auto"/>
              <w:right w:val="single" w:sz="4" w:space="0" w:color="auto"/>
            </w:tcBorders>
            <w:shd w:val="clear" w:color="auto" w:fill="auto"/>
            <w:vAlign w:val="center"/>
            <w:hideMark/>
          </w:tcPr>
          <w:p w14:paraId="18E1C855" w14:textId="77777777" w:rsidR="009021F1" w:rsidRPr="007E3D1A" w:rsidRDefault="009021F1" w:rsidP="00E637E3">
            <w:pPr>
              <w:rPr>
                <w:rFonts w:cs="Arial"/>
                <w:sz w:val="22"/>
              </w:rPr>
            </w:pPr>
            <w:r w:rsidRPr="007E3D1A">
              <w:rPr>
                <w:rFonts w:cs="Arial"/>
                <w:sz w:val="22"/>
              </w:rPr>
              <w:t>0855705821</w:t>
            </w:r>
          </w:p>
        </w:tc>
      </w:tr>
      <w:tr w:rsidR="009021F1" w:rsidRPr="007E3D1A" w14:paraId="1E87FAC7" w14:textId="77777777" w:rsidTr="00E637E3">
        <w:trPr>
          <w:trHeight w:val="510"/>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2DC63722" w14:textId="77777777" w:rsidR="009021F1" w:rsidRPr="007E3D1A" w:rsidRDefault="009021F1" w:rsidP="00E637E3">
            <w:pPr>
              <w:rPr>
                <w:rFonts w:cs="Arial"/>
                <w:sz w:val="22"/>
              </w:rPr>
            </w:pPr>
            <w:r w:rsidRPr="007E3D1A">
              <w:rPr>
                <w:rFonts w:cs="Arial"/>
                <w:sz w:val="22"/>
              </w:rPr>
              <w:t>26</w:t>
            </w:r>
          </w:p>
        </w:tc>
        <w:tc>
          <w:tcPr>
            <w:tcW w:w="3011" w:type="dxa"/>
            <w:tcBorders>
              <w:top w:val="nil"/>
              <w:left w:val="nil"/>
              <w:bottom w:val="single" w:sz="4" w:space="0" w:color="auto"/>
              <w:right w:val="single" w:sz="4" w:space="0" w:color="auto"/>
            </w:tcBorders>
            <w:shd w:val="clear" w:color="auto" w:fill="auto"/>
            <w:vAlign w:val="center"/>
            <w:hideMark/>
          </w:tcPr>
          <w:p w14:paraId="283DEF11" w14:textId="77777777" w:rsidR="009021F1" w:rsidRPr="007E3D1A" w:rsidRDefault="009021F1" w:rsidP="00E637E3">
            <w:pPr>
              <w:rPr>
                <w:rFonts w:cs="Arial"/>
                <w:sz w:val="22"/>
              </w:rPr>
            </w:pPr>
            <w:r w:rsidRPr="007E3D1A">
              <w:rPr>
                <w:rFonts w:cs="Arial"/>
                <w:sz w:val="22"/>
              </w:rPr>
              <w:t>Augustin KALAMBA UFILE</w:t>
            </w:r>
          </w:p>
        </w:tc>
        <w:tc>
          <w:tcPr>
            <w:tcW w:w="3723" w:type="dxa"/>
            <w:tcBorders>
              <w:top w:val="nil"/>
              <w:left w:val="nil"/>
              <w:bottom w:val="single" w:sz="4" w:space="0" w:color="auto"/>
              <w:right w:val="single" w:sz="4" w:space="0" w:color="auto"/>
            </w:tcBorders>
            <w:shd w:val="clear" w:color="auto" w:fill="auto"/>
            <w:vAlign w:val="center"/>
            <w:hideMark/>
          </w:tcPr>
          <w:p w14:paraId="6B091F3D" w14:textId="77777777" w:rsidR="009021F1" w:rsidRPr="007E3D1A" w:rsidRDefault="009021F1" w:rsidP="00E637E3">
            <w:pPr>
              <w:rPr>
                <w:rFonts w:cs="Arial"/>
                <w:sz w:val="22"/>
              </w:rPr>
            </w:pPr>
            <w:r w:rsidRPr="007E3D1A">
              <w:rPr>
                <w:rFonts w:cs="Arial"/>
                <w:sz w:val="22"/>
              </w:rPr>
              <w:t>Chargé de SECAL ONG/Kasaï Central</w:t>
            </w:r>
          </w:p>
        </w:tc>
        <w:tc>
          <w:tcPr>
            <w:tcW w:w="3127" w:type="dxa"/>
            <w:tcBorders>
              <w:top w:val="nil"/>
              <w:left w:val="nil"/>
              <w:bottom w:val="single" w:sz="4" w:space="0" w:color="auto"/>
              <w:right w:val="single" w:sz="4" w:space="0" w:color="auto"/>
            </w:tcBorders>
            <w:shd w:val="clear" w:color="auto" w:fill="auto"/>
            <w:vAlign w:val="center"/>
            <w:hideMark/>
          </w:tcPr>
          <w:p w14:paraId="58004C9D" w14:textId="77777777" w:rsidR="009021F1" w:rsidRPr="007E3D1A" w:rsidRDefault="009021F1" w:rsidP="00E637E3">
            <w:pPr>
              <w:rPr>
                <w:rFonts w:cs="Arial"/>
                <w:sz w:val="22"/>
              </w:rPr>
            </w:pPr>
            <w:r w:rsidRPr="007E3D1A">
              <w:rPr>
                <w:rFonts w:cs="Arial"/>
                <w:sz w:val="22"/>
              </w:rPr>
              <w:t>0992376271 / 0818866533</w:t>
            </w:r>
          </w:p>
        </w:tc>
      </w:tr>
      <w:tr w:rsidR="009021F1" w:rsidRPr="007E3D1A" w14:paraId="54063F00" w14:textId="77777777" w:rsidTr="00E637E3">
        <w:trPr>
          <w:trHeight w:val="510"/>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61AC72AB" w14:textId="77777777" w:rsidR="009021F1" w:rsidRPr="007E3D1A" w:rsidRDefault="009021F1" w:rsidP="00E637E3">
            <w:pPr>
              <w:rPr>
                <w:rFonts w:cs="Arial"/>
                <w:sz w:val="22"/>
              </w:rPr>
            </w:pPr>
            <w:r w:rsidRPr="007E3D1A">
              <w:rPr>
                <w:rFonts w:cs="Arial"/>
                <w:sz w:val="22"/>
              </w:rPr>
              <w:t>27</w:t>
            </w:r>
          </w:p>
        </w:tc>
        <w:tc>
          <w:tcPr>
            <w:tcW w:w="3011" w:type="dxa"/>
            <w:tcBorders>
              <w:top w:val="nil"/>
              <w:left w:val="nil"/>
              <w:bottom w:val="single" w:sz="4" w:space="0" w:color="auto"/>
              <w:right w:val="single" w:sz="4" w:space="0" w:color="auto"/>
            </w:tcBorders>
            <w:shd w:val="clear" w:color="auto" w:fill="auto"/>
            <w:vAlign w:val="center"/>
            <w:hideMark/>
          </w:tcPr>
          <w:p w14:paraId="2FB7E3D0" w14:textId="77777777" w:rsidR="009021F1" w:rsidRPr="007E3D1A" w:rsidRDefault="009021F1" w:rsidP="00E637E3">
            <w:pPr>
              <w:rPr>
                <w:rFonts w:cs="Arial"/>
                <w:sz w:val="22"/>
              </w:rPr>
            </w:pPr>
            <w:r w:rsidRPr="007E3D1A">
              <w:rPr>
                <w:rFonts w:cs="Arial"/>
                <w:sz w:val="22"/>
              </w:rPr>
              <w:t xml:space="preserve">Jean-Paul TUBAJIKA </w:t>
            </w:r>
          </w:p>
        </w:tc>
        <w:tc>
          <w:tcPr>
            <w:tcW w:w="3723" w:type="dxa"/>
            <w:tcBorders>
              <w:top w:val="nil"/>
              <w:left w:val="nil"/>
              <w:bottom w:val="single" w:sz="4" w:space="0" w:color="auto"/>
              <w:right w:val="single" w:sz="4" w:space="0" w:color="auto"/>
            </w:tcBorders>
            <w:shd w:val="clear" w:color="auto" w:fill="auto"/>
            <w:vAlign w:val="center"/>
            <w:hideMark/>
          </w:tcPr>
          <w:p w14:paraId="3CAB664C" w14:textId="77777777" w:rsidR="009021F1" w:rsidRPr="007E3D1A" w:rsidRDefault="009021F1" w:rsidP="00E637E3">
            <w:pPr>
              <w:rPr>
                <w:rFonts w:cs="Arial"/>
                <w:sz w:val="22"/>
              </w:rPr>
            </w:pPr>
            <w:r w:rsidRPr="007E3D1A">
              <w:rPr>
                <w:rFonts w:cs="Arial"/>
                <w:sz w:val="22"/>
              </w:rPr>
              <w:t>Chargé du social ONG AIDS/ONG / Kasaï Central</w:t>
            </w:r>
          </w:p>
        </w:tc>
        <w:tc>
          <w:tcPr>
            <w:tcW w:w="3127" w:type="dxa"/>
            <w:tcBorders>
              <w:top w:val="nil"/>
              <w:left w:val="nil"/>
              <w:bottom w:val="single" w:sz="4" w:space="0" w:color="auto"/>
              <w:right w:val="single" w:sz="4" w:space="0" w:color="auto"/>
            </w:tcBorders>
            <w:shd w:val="clear" w:color="auto" w:fill="auto"/>
            <w:vAlign w:val="center"/>
            <w:hideMark/>
          </w:tcPr>
          <w:p w14:paraId="1680533E" w14:textId="77777777" w:rsidR="009021F1" w:rsidRPr="007E3D1A" w:rsidRDefault="009021F1" w:rsidP="00E637E3">
            <w:pPr>
              <w:rPr>
                <w:rFonts w:cs="Arial"/>
                <w:sz w:val="22"/>
              </w:rPr>
            </w:pPr>
            <w:r w:rsidRPr="007E3D1A">
              <w:rPr>
                <w:rFonts w:cs="Arial"/>
                <w:sz w:val="22"/>
              </w:rPr>
              <w:t>0974602555 / 0826266764</w:t>
            </w:r>
          </w:p>
        </w:tc>
      </w:tr>
      <w:tr w:rsidR="009021F1" w:rsidRPr="007E3D1A" w14:paraId="72D7C668" w14:textId="77777777" w:rsidTr="00E637E3">
        <w:trPr>
          <w:trHeight w:val="610"/>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0EABB5CD" w14:textId="77777777" w:rsidR="009021F1" w:rsidRPr="007E3D1A" w:rsidRDefault="009021F1" w:rsidP="00E637E3">
            <w:pPr>
              <w:rPr>
                <w:rFonts w:cs="Arial"/>
                <w:sz w:val="22"/>
              </w:rPr>
            </w:pPr>
            <w:r w:rsidRPr="007E3D1A">
              <w:rPr>
                <w:rFonts w:cs="Arial"/>
                <w:sz w:val="22"/>
              </w:rPr>
              <w:t>28</w:t>
            </w:r>
          </w:p>
        </w:tc>
        <w:tc>
          <w:tcPr>
            <w:tcW w:w="3011" w:type="dxa"/>
            <w:tcBorders>
              <w:top w:val="nil"/>
              <w:left w:val="nil"/>
              <w:bottom w:val="single" w:sz="4" w:space="0" w:color="auto"/>
              <w:right w:val="single" w:sz="4" w:space="0" w:color="auto"/>
            </w:tcBorders>
            <w:shd w:val="clear" w:color="auto" w:fill="auto"/>
            <w:vAlign w:val="center"/>
            <w:hideMark/>
          </w:tcPr>
          <w:p w14:paraId="6C6A21EE" w14:textId="77777777" w:rsidR="009021F1" w:rsidRPr="007E3D1A" w:rsidRDefault="009021F1" w:rsidP="00E637E3">
            <w:pPr>
              <w:rPr>
                <w:rFonts w:cs="Arial"/>
                <w:sz w:val="22"/>
              </w:rPr>
            </w:pPr>
            <w:r w:rsidRPr="007E3D1A">
              <w:rPr>
                <w:rFonts w:cs="Arial"/>
                <w:sz w:val="22"/>
              </w:rPr>
              <w:t>Rose BUKUMBA MAKABU</w:t>
            </w:r>
          </w:p>
        </w:tc>
        <w:tc>
          <w:tcPr>
            <w:tcW w:w="3723" w:type="dxa"/>
            <w:tcBorders>
              <w:top w:val="nil"/>
              <w:left w:val="nil"/>
              <w:bottom w:val="single" w:sz="4" w:space="0" w:color="auto"/>
              <w:right w:val="single" w:sz="4" w:space="0" w:color="auto"/>
            </w:tcBorders>
            <w:shd w:val="clear" w:color="auto" w:fill="auto"/>
            <w:vAlign w:val="center"/>
            <w:hideMark/>
          </w:tcPr>
          <w:p w14:paraId="3EA4AAF6" w14:textId="77777777" w:rsidR="009021F1" w:rsidRPr="007E3D1A" w:rsidRDefault="009021F1" w:rsidP="00E637E3">
            <w:pPr>
              <w:rPr>
                <w:rFonts w:cs="Arial"/>
                <w:sz w:val="22"/>
              </w:rPr>
            </w:pPr>
            <w:r w:rsidRPr="007E3D1A">
              <w:rPr>
                <w:rFonts w:cs="Arial"/>
                <w:sz w:val="22"/>
              </w:rPr>
              <w:t>Directrice ONG des femmes paysannes / Kasaï Central</w:t>
            </w:r>
          </w:p>
        </w:tc>
        <w:tc>
          <w:tcPr>
            <w:tcW w:w="3127" w:type="dxa"/>
            <w:tcBorders>
              <w:top w:val="nil"/>
              <w:left w:val="nil"/>
              <w:bottom w:val="single" w:sz="4" w:space="0" w:color="auto"/>
              <w:right w:val="single" w:sz="4" w:space="0" w:color="auto"/>
            </w:tcBorders>
            <w:shd w:val="clear" w:color="auto" w:fill="auto"/>
            <w:vAlign w:val="center"/>
            <w:hideMark/>
          </w:tcPr>
          <w:p w14:paraId="4E3F70D0" w14:textId="77777777" w:rsidR="009021F1" w:rsidRPr="007E3D1A" w:rsidRDefault="009021F1" w:rsidP="00E637E3">
            <w:pPr>
              <w:rPr>
                <w:rFonts w:cs="Arial"/>
                <w:sz w:val="22"/>
              </w:rPr>
            </w:pPr>
            <w:r w:rsidRPr="007E3D1A">
              <w:rPr>
                <w:rFonts w:cs="Arial"/>
                <w:sz w:val="22"/>
              </w:rPr>
              <w:t>0816036499 / 0994791980</w:t>
            </w:r>
          </w:p>
        </w:tc>
      </w:tr>
      <w:tr w:rsidR="009021F1" w:rsidRPr="007E3D1A" w14:paraId="41422D53" w14:textId="77777777" w:rsidTr="00E637E3">
        <w:trPr>
          <w:trHeight w:val="540"/>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5AE384BB" w14:textId="77777777" w:rsidR="009021F1" w:rsidRPr="007E3D1A" w:rsidRDefault="009021F1" w:rsidP="00E637E3">
            <w:pPr>
              <w:rPr>
                <w:rFonts w:cs="Arial"/>
                <w:sz w:val="22"/>
              </w:rPr>
            </w:pPr>
            <w:r w:rsidRPr="007E3D1A">
              <w:rPr>
                <w:rFonts w:cs="Arial"/>
                <w:sz w:val="22"/>
              </w:rPr>
              <w:t>29</w:t>
            </w:r>
          </w:p>
        </w:tc>
        <w:tc>
          <w:tcPr>
            <w:tcW w:w="3011" w:type="dxa"/>
            <w:tcBorders>
              <w:top w:val="nil"/>
              <w:left w:val="nil"/>
              <w:bottom w:val="single" w:sz="4" w:space="0" w:color="auto"/>
              <w:right w:val="single" w:sz="4" w:space="0" w:color="auto"/>
            </w:tcBorders>
            <w:shd w:val="clear" w:color="auto" w:fill="auto"/>
            <w:vAlign w:val="center"/>
            <w:hideMark/>
          </w:tcPr>
          <w:p w14:paraId="6567EB00" w14:textId="77777777" w:rsidR="009021F1" w:rsidRPr="007E3D1A" w:rsidRDefault="009021F1" w:rsidP="00E637E3">
            <w:pPr>
              <w:rPr>
                <w:rFonts w:cs="Arial"/>
                <w:sz w:val="22"/>
              </w:rPr>
            </w:pPr>
            <w:r w:rsidRPr="007E3D1A">
              <w:rPr>
                <w:rFonts w:cs="Arial"/>
                <w:sz w:val="22"/>
              </w:rPr>
              <w:t xml:space="preserve">Ir Victor LUTENDA NTUMBA </w:t>
            </w:r>
          </w:p>
        </w:tc>
        <w:tc>
          <w:tcPr>
            <w:tcW w:w="3723" w:type="dxa"/>
            <w:tcBorders>
              <w:top w:val="nil"/>
              <w:left w:val="nil"/>
              <w:bottom w:val="single" w:sz="4" w:space="0" w:color="auto"/>
              <w:right w:val="single" w:sz="4" w:space="0" w:color="auto"/>
            </w:tcBorders>
            <w:shd w:val="clear" w:color="auto" w:fill="auto"/>
            <w:vAlign w:val="center"/>
            <w:hideMark/>
          </w:tcPr>
          <w:p w14:paraId="5EAF3C82" w14:textId="77777777" w:rsidR="009021F1" w:rsidRPr="007E3D1A" w:rsidRDefault="009021F1" w:rsidP="00E637E3">
            <w:pPr>
              <w:rPr>
                <w:rFonts w:cs="Arial"/>
                <w:sz w:val="22"/>
              </w:rPr>
            </w:pPr>
            <w:r w:rsidRPr="007E3D1A">
              <w:rPr>
                <w:rFonts w:cs="Arial"/>
                <w:sz w:val="22"/>
              </w:rPr>
              <w:t>Coordonnateur ONG UPDMS / Kasaï Central</w:t>
            </w:r>
          </w:p>
        </w:tc>
        <w:tc>
          <w:tcPr>
            <w:tcW w:w="3127" w:type="dxa"/>
            <w:tcBorders>
              <w:top w:val="nil"/>
              <w:left w:val="nil"/>
              <w:bottom w:val="single" w:sz="4" w:space="0" w:color="auto"/>
              <w:right w:val="single" w:sz="4" w:space="0" w:color="auto"/>
            </w:tcBorders>
            <w:shd w:val="clear" w:color="auto" w:fill="auto"/>
            <w:vAlign w:val="center"/>
            <w:hideMark/>
          </w:tcPr>
          <w:p w14:paraId="03B13B72" w14:textId="77777777" w:rsidR="009021F1" w:rsidRPr="007E3D1A" w:rsidRDefault="009021F1" w:rsidP="00E637E3">
            <w:pPr>
              <w:rPr>
                <w:rFonts w:cs="Arial"/>
                <w:sz w:val="22"/>
              </w:rPr>
            </w:pPr>
            <w:r w:rsidRPr="007E3D1A">
              <w:rPr>
                <w:rFonts w:cs="Arial"/>
                <w:sz w:val="22"/>
              </w:rPr>
              <w:t>0995781545 / 0824091086</w:t>
            </w:r>
          </w:p>
        </w:tc>
      </w:tr>
      <w:tr w:rsidR="009021F1" w:rsidRPr="007E3D1A" w14:paraId="695A4946" w14:textId="77777777" w:rsidTr="00E637E3">
        <w:trPr>
          <w:trHeight w:val="610"/>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22D1A9BD" w14:textId="77777777" w:rsidR="009021F1" w:rsidRPr="007E3D1A" w:rsidRDefault="009021F1" w:rsidP="00E637E3">
            <w:pPr>
              <w:rPr>
                <w:rFonts w:cs="Arial"/>
                <w:sz w:val="22"/>
              </w:rPr>
            </w:pPr>
            <w:r w:rsidRPr="007E3D1A">
              <w:rPr>
                <w:rFonts w:cs="Arial"/>
                <w:sz w:val="22"/>
              </w:rPr>
              <w:t>30</w:t>
            </w:r>
          </w:p>
        </w:tc>
        <w:tc>
          <w:tcPr>
            <w:tcW w:w="3011" w:type="dxa"/>
            <w:tcBorders>
              <w:top w:val="nil"/>
              <w:left w:val="nil"/>
              <w:bottom w:val="single" w:sz="4" w:space="0" w:color="auto"/>
              <w:right w:val="single" w:sz="4" w:space="0" w:color="auto"/>
            </w:tcBorders>
            <w:shd w:val="clear" w:color="auto" w:fill="auto"/>
            <w:vAlign w:val="center"/>
            <w:hideMark/>
          </w:tcPr>
          <w:p w14:paraId="6069704E" w14:textId="77777777" w:rsidR="009021F1" w:rsidRPr="007E3D1A" w:rsidRDefault="009021F1" w:rsidP="00E637E3">
            <w:pPr>
              <w:rPr>
                <w:rFonts w:cs="Arial"/>
                <w:sz w:val="22"/>
              </w:rPr>
            </w:pPr>
            <w:r w:rsidRPr="007E3D1A">
              <w:rPr>
                <w:rFonts w:cs="Arial"/>
                <w:sz w:val="22"/>
              </w:rPr>
              <w:t xml:space="preserve">Modeste MPOYI BAGABEBA </w:t>
            </w:r>
          </w:p>
        </w:tc>
        <w:tc>
          <w:tcPr>
            <w:tcW w:w="3723" w:type="dxa"/>
            <w:tcBorders>
              <w:top w:val="nil"/>
              <w:left w:val="nil"/>
              <w:bottom w:val="single" w:sz="4" w:space="0" w:color="auto"/>
              <w:right w:val="single" w:sz="4" w:space="0" w:color="auto"/>
            </w:tcBorders>
            <w:shd w:val="clear" w:color="auto" w:fill="auto"/>
            <w:vAlign w:val="center"/>
            <w:hideMark/>
          </w:tcPr>
          <w:p w14:paraId="48064677" w14:textId="77777777" w:rsidR="009021F1" w:rsidRPr="007E3D1A" w:rsidRDefault="009021F1" w:rsidP="00E637E3">
            <w:pPr>
              <w:rPr>
                <w:rFonts w:cs="Arial"/>
                <w:sz w:val="22"/>
              </w:rPr>
            </w:pPr>
            <w:r w:rsidRPr="007E3D1A">
              <w:rPr>
                <w:rFonts w:cs="Arial"/>
                <w:sz w:val="22"/>
              </w:rPr>
              <w:t>Fédération des Entreprises du Congo/ Kasaï Central</w:t>
            </w:r>
          </w:p>
        </w:tc>
        <w:tc>
          <w:tcPr>
            <w:tcW w:w="3127" w:type="dxa"/>
            <w:tcBorders>
              <w:top w:val="nil"/>
              <w:left w:val="nil"/>
              <w:bottom w:val="single" w:sz="4" w:space="0" w:color="auto"/>
              <w:right w:val="single" w:sz="4" w:space="0" w:color="auto"/>
            </w:tcBorders>
            <w:shd w:val="clear" w:color="auto" w:fill="auto"/>
            <w:vAlign w:val="center"/>
            <w:hideMark/>
          </w:tcPr>
          <w:p w14:paraId="33CA0CD0" w14:textId="77777777" w:rsidR="009021F1" w:rsidRPr="007E3D1A" w:rsidRDefault="00B22F56" w:rsidP="00E637E3">
            <w:pPr>
              <w:rPr>
                <w:rFonts w:cs="Arial"/>
                <w:sz w:val="22"/>
              </w:rPr>
            </w:pPr>
            <w:hyperlink r:id="rId164" w:history="1">
              <w:r w:rsidR="009021F1" w:rsidRPr="007E3D1A">
                <w:rPr>
                  <w:rFonts w:cs="Arial"/>
                  <w:sz w:val="22"/>
                </w:rPr>
                <w:t xml:space="preserve">Poyimodeste2020@gmail.com </w:t>
              </w:r>
            </w:hyperlink>
          </w:p>
        </w:tc>
      </w:tr>
      <w:tr w:rsidR="009021F1" w:rsidRPr="007E3D1A" w14:paraId="0FF19D90" w14:textId="77777777" w:rsidTr="00E637E3">
        <w:trPr>
          <w:trHeight w:val="420"/>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47B9E7BC" w14:textId="77777777" w:rsidR="009021F1" w:rsidRPr="007E3D1A" w:rsidRDefault="009021F1" w:rsidP="00E637E3">
            <w:pPr>
              <w:rPr>
                <w:rFonts w:cs="Arial"/>
                <w:sz w:val="22"/>
              </w:rPr>
            </w:pPr>
            <w:r w:rsidRPr="007E3D1A">
              <w:rPr>
                <w:rFonts w:cs="Arial"/>
                <w:sz w:val="22"/>
              </w:rPr>
              <w:t>31</w:t>
            </w:r>
          </w:p>
        </w:tc>
        <w:tc>
          <w:tcPr>
            <w:tcW w:w="3011" w:type="dxa"/>
            <w:tcBorders>
              <w:top w:val="nil"/>
              <w:left w:val="nil"/>
              <w:bottom w:val="single" w:sz="4" w:space="0" w:color="auto"/>
              <w:right w:val="single" w:sz="4" w:space="0" w:color="auto"/>
            </w:tcBorders>
            <w:shd w:val="clear" w:color="auto" w:fill="auto"/>
            <w:vAlign w:val="center"/>
            <w:hideMark/>
          </w:tcPr>
          <w:p w14:paraId="41FBE0F4" w14:textId="77777777" w:rsidR="009021F1" w:rsidRPr="007E3D1A" w:rsidRDefault="009021F1" w:rsidP="00E637E3">
            <w:pPr>
              <w:rPr>
                <w:rFonts w:cs="Arial"/>
                <w:sz w:val="22"/>
              </w:rPr>
            </w:pPr>
            <w:r w:rsidRPr="007E3D1A">
              <w:rPr>
                <w:rFonts w:cs="Arial"/>
                <w:sz w:val="22"/>
              </w:rPr>
              <w:t>MBOMA SABINE</w:t>
            </w:r>
          </w:p>
        </w:tc>
        <w:tc>
          <w:tcPr>
            <w:tcW w:w="3723" w:type="dxa"/>
            <w:tcBorders>
              <w:top w:val="nil"/>
              <w:left w:val="nil"/>
              <w:bottom w:val="single" w:sz="4" w:space="0" w:color="auto"/>
              <w:right w:val="single" w:sz="4" w:space="0" w:color="auto"/>
            </w:tcBorders>
            <w:shd w:val="clear" w:color="auto" w:fill="auto"/>
            <w:vAlign w:val="center"/>
            <w:hideMark/>
          </w:tcPr>
          <w:p w14:paraId="76F1B951" w14:textId="77777777" w:rsidR="009021F1" w:rsidRPr="007E3D1A" w:rsidRDefault="009021F1" w:rsidP="00E637E3">
            <w:pPr>
              <w:rPr>
                <w:rFonts w:cs="Arial"/>
                <w:sz w:val="22"/>
              </w:rPr>
            </w:pPr>
            <w:r w:rsidRPr="007E3D1A">
              <w:rPr>
                <w:rFonts w:cs="Arial"/>
                <w:sz w:val="22"/>
              </w:rPr>
              <w:t>Présidente ONG RRFR/Kwilu</w:t>
            </w:r>
          </w:p>
        </w:tc>
        <w:tc>
          <w:tcPr>
            <w:tcW w:w="3127" w:type="dxa"/>
            <w:tcBorders>
              <w:top w:val="nil"/>
              <w:left w:val="nil"/>
              <w:bottom w:val="single" w:sz="4" w:space="0" w:color="auto"/>
              <w:right w:val="single" w:sz="4" w:space="0" w:color="auto"/>
            </w:tcBorders>
            <w:shd w:val="clear" w:color="auto" w:fill="auto"/>
            <w:vAlign w:val="center"/>
            <w:hideMark/>
          </w:tcPr>
          <w:p w14:paraId="325F5FF9" w14:textId="77777777" w:rsidR="009021F1" w:rsidRPr="007E3D1A" w:rsidRDefault="009021F1" w:rsidP="00E637E3">
            <w:pPr>
              <w:rPr>
                <w:rFonts w:cs="Arial"/>
                <w:sz w:val="22"/>
              </w:rPr>
            </w:pPr>
            <w:r w:rsidRPr="007E3D1A">
              <w:rPr>
                <w:rFonts w:cs="Arial"/>
                <w:sz w:val="22"/>
              </w:rPr>
              <w:t>0816676519</w:t>
            </w:r>
          </w:p>
        </w:tc>
      </w:tr>
      <w:tr w:rsidR="009021F1" w:rsidRPr="007E3D1A" w14:paraId="4D225203" w14:textId="77777777" w:rsidTr="00E637E3">
        <w:trPr>
          <w:trHeight w:val="420"/>
        </w:trPr>
        <w:tc>
          <w:tcPr>
            <w:tcW w:w="499" w:type="dxa"/>
            <w:tcBorders>
              <w:top w:val="nil"/>
              <w:left w:val="single" w:sz="4" w:space="0" w:color="auto"/>
              <w:bottom w:val="single" w:sz="4" w:space="0" w:color="auto"/>
              <w:right w:val="single" w:sz="4" w:space="0" w:color="auto"/>
            </w:tcBorders>
            <w:shd w:val="clear" w:color="auto" w:fill="auto"/>
            <w:vAlign w:val="center"/>
            <w:hideMark/>
          </w:tcPr>
          <w:p w14:paraId="43366971" w14:textId="77777777" w:rsidR="009021F1" w:rsidRPr="007E3D1A" w:rsidRDefault="009021F1" w:rsidP="00E637E3">
            <w:pPr>
              <w:rPr>
                <w:rFonts w:cs="Arial"/>
                <w:sz w:val="22"/>
              </w:rPr>
            </w:pPr>
            <w:r w:rsidRPr="007E3D1A">
              <w:rPr>
                <w:rFonts w:cs="Arial"/>
                <w:sz w:val="22"/>
              </w:rPr>
              <w:t>32</w:t>
            </w:r>
          </w:p>
        </w:tc>
        <w:tc>
          <w:tcPr>
            <w:tcW w:w="3011" w:type="dxa"/>
            <w:tcBorders>
              <w:top w:val="nil"/>
              <w:left w:val="nil"/>
              <w:bottom w:val="single" w:sz="4" w:space="0" w:color="auto"/>
              <w:right w:val="single" w:sz="4" w:space="0" w:color="auto"/>
            </w:tcBorders>
            <w:shd w:val="clear" w:color="auto" w:fill="auto"/>
            <w:vAlign w:val="center"/>
            <w:hideMark/>
          </w:tcPr>
          <w:p w14:paraId="1977DC82" w14:textId="77777777" w:rsidR="009021F1" w:rsidRPr="007E3D1A" w:rsidRDefault="009021F1" w:rsidP="00E637E3">
            <w:pPr>
              <w:rPr>
                <w:rFonts w:cs="Arial"/>
                <w:sz w:val="22"/>
              </w:rPr>
            </w:pPr>
            <w:r w:rsidRPr="007E3D1A">
              <w:rPr>
                <w:rFonts w:cs="Arial"/>
                <w:sz w:val="22"/>
              </w:rPr>
              <w:t>Laurent KAMATE</w:t>
            </w:r>
          </w:p>
        </w:tc>
        <w:tc>
          <w:tcPr>
            <w:tcW w:w="3723" w:type="dxa"/>
            <w:tcBorders>
              <w:top w:val="nil"/>
              <w:left w:val="nil"/>
              <w:bottom w:val="single" w:sz="4" w:space="0" w:color="auto"/>
              <w:right w:val="single" w:sz="4" w:space="0" w:color="auto"/>
            </w:tcBorders>
            <w:shd w:val="clear" w:color="auto" w:fill="auto"/>
            <w:vAlign w:val="center"/>
            <w:hideMark/>
          </w:tcPr>
          <w:p w14:paraId="26533381" w14:textId="77777777" w:rsidR="009021F1" w:rsidRPr="007E3D1A" w:rsidRDefault="009021F1" w:rsidP="00E637E3">
            <w:pPr>
              <w:rPr>
                <w:rFonts w:cs="Arial"/>
                <w:sz w:val="22"/>
              </w:rPr>
            </w:pPr>
            <w:r w:rsidRPr="007E3D1A">
              <w:rPr>
                <w:rFonts w:cs="Arial"/>
                <w:sz w:val="22"/>
              </w:rPr>
              <w:t>Agronome APPRONA/Nord Kivu</w:t>
            </w:r>
          </w:p>
        </w:tc>
        <w:tc>
          <w:tcPr>
            <w:tcW w:w="3127" w:type="dxa"/>
            <w:tcBorders>
              <w:top w:val="nil"/>
              <w:left w:val="nil"/>
              <w:bottom w:val="single" w:sz="4" w:space="0" w:color="auto"/>
              <w:right w:val="single" w:sz="4" w:space="0" w:color="auto"/>
            </w:tcBorders>
            <w:shd w:val="clear" w:color="auto" w:fill="auto"/>
            <w:vAlign w:val="center"/>
            <w:hideMark/>
          </w:tcPr>
          <w:p w14:paraId="60EBB241" w14:textId="77777777" w:rsidR="009021F1" w:rsidRPr="007E3D1A" w:rsidRDefault="009021F1" w:rsidP="00E637E3">
            <w:pPr>
              <w:rPr>
                <w:rFonts w:cs="Arial"/>
                <w:sz w:val="22"/>
              </w:rPr>
            </w:pPr>
            <w:r w:rsidRPr="007E3D1A">
              <w:rPr>
                <w:rFonts w:cs="Arial"/>
                <w:sz w:val="22"/>
              </w:rPr>
              <w:t>0821409411</w:t>
            </w:r>
          </w:p>
        </w:tc>
      </w:tr>
    </w:tbl>
    <w:p w14:paraId="38B1143B" w14:textId="77777777" w:rsidR="009021F1" w:rsidRPr="007E3D1A" w:rsidRDefault="009021F1" w:rsidP="009021F1">
      <w:pPr>
        <w:rPr>
          <w:rFonts w:cs="Arial"/>
          <w:sz w:val="22"/>
        </w:rPr>
      </w:pPr>
      <w:r w:rsidRPr="007E3D1A">
        <w:rPr>
          <w:rFonts w:cs="Arial"/>
          <w:sz w:val="22"/>
        </w:rPr>
        <w:br w:type="page"/>
      </w:r>
    </w:p>
    <w:p w14:paraId="7C61FEC9" w14:textId="77777777" w:rsidR="009021F1" w:rsidRPr="00372F9C" w:rsidRDefault="009021F1" w:rsidP="009021F1">
      <w:pPr>
        <w:ind w:left="1418" w:hanging="1418"/>
        <w:rPr>
          <w:rFonts w:cs="Arial"/>
          <w:b/>
          <w:bCs/>
          <w:sz w:val="22"/>
        </w:rPr>
      </w:pPr>
      <w:r w:rsidRPr="00372F9C">
        <w:rPr>
          <w:rFonts w:cs="Arial"/>
          <w:b/>
          <w:bCs/>
          <w:sz w:val="22"/>
        </w:rPr>
        <w:t>ANNEXE 7. QUELQUES EXEMPLAIRES DES PROCÈS-VERBAUX DES RÉUNIONS DE CONSULTATIONS DU PUBLIC ORGANISÉES DANS LES PROVINCES DU     KASAÏ, KASAÏ CENTRAL, KONGO CENTRAL, KWILU ET NORD-KIVU</w:t>
      </w:r>
    </w:p>
    <w:p w14:paraId="56785FAD" w14:textId="77777777" w:rsidR="009021F1" w:rsidRPr="007E3D1A" w:rsidRDefault="009021F1" w:rsidP="009021F1">
      <w:pPr>
        <w:rPr>
          <w:rFonts w:cs="Arial"/>
          <w:sz w:val="22"/>
        </w:rPr>
      </w:pPr>
    </w:p>
    <w:p w14:paraId="62FB5706" w14:textId="77777777" w:rsidR="009021F1" w:rsidRPr="007E3D1A" w:rsidRDefault="009021F1" w:rsidP="009021F1">
      <w:pPr>
        <w:rPr>
          <w:rFonts w:cs="Arial"/>
          <w:sz w:val="22"/>
        </w:rPr>
      </w:pPr>
      <w:r w:rsidRPr="00730A4A">
        <w:rPr>
          <w:rFonts w:cs="Arial"/>
          <w:noProof/>
          <w:sz w:val="22"/>
        </w:rPr>
        <w:drawing>
          <wp:inline distT="0" distB="0" distL="0" distR="0" wp14:anchorId="56EFAA4E" wp14:editId="4365655A">
            <wp:extent cx="5720080" cy="7283450"/>
            <wp:effectExtent l="0" t="0" r="0" b="0"/>
            <wp:docPr id="5305" name="Image 13" descr="C:\Users\user\Documents\PNDA MAI 2020\CGES PNDA\PNDA_Missions de terrain\PNDA_PV réunion de consultation du public_Matadi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C:\Users\user\Documents\PNDA MAI 2020\CGES PNDA\PNDA_Missions de terrain\PNDA_PV réunion de consultation du public_Matadi .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20080" cy="7283450"/>
                    </a:xfrm>
                    <a:prstGeom prst="rect">
                      <a:avLst/>
                    </a:prstGeom>
                    <a:noFill/>
                    <a:ln>
                      <a:noFill/>
                    </a:ln>
                  </pic:spPr>
                </pic:pic>
              </a:graphicData>
            </a:graphic>
          </wp:inline>
        </w:drawing>
      </w:r>
    </w:p>
    <w:p w14:paraId="5F465F96" w14:textId="77777777" w:rsidR="009021F1" w:rsidRPr="007E3D1A" w:rsidRDefault="009021F1" w:rsidP="009021F1">
      <w:pPr>
        <w:rPr>
          <w:rFonts w:cs="Arial"/>
          <w:sz w:val="22"/>
        </w:rPr>
      </w:pPr>
    </w:p>
    <w:p w14:paraId="29CDF89A" w14:textId="77777777" w:rsidR="009021F1" w:rsidRPr="007E3D1A" w:rsidRDefault="009021F1" w:rsidP="009021F1">
      <w:pPr>
        <w:rPr>
          <w:rFonts w:cs="Arial"/>
          <w:sz w:val="22"/>
        </w:rPr>
      </w:pPr>
      <w:r w:rsidRPr="00730A4A">
        <w:rPr>
          <w:rFonts w:cs="Arial"/>
          <w:noProof/>
          <w:sz w:val="22"/>
        </w:rPr>
        <w:drawing>
          <wp:inline distT="0" distB="0" distL="0" distR="0" wp14:anchorId="23EE0091" wp14:editId="7C989077">
            <wp:extent cx="6017895" cy="7931785"/>
            <wp:effectExtent l="0" t="0" r="0" b="0"/>
            <wp:docPr id="5306" name="Image 14" descr="C:\Users\user\Documents\PNDA MAI 2020\CGES PNDA\PNDA_Missions de terrain\PNDA_PV réunion de consultation du public_Matadi 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C:\Users\user\Documents\PNDA MAI 2020\CGES PNDA\PNDA_Missions de terrain\PNDA_PV réunion de consultation du public_Matadi _0001.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017895" cy="7931785"/>
                    </a:xfrm>
                    <a:prstGeom prst="rect">
                      <a:avLst/>
                    </a:prstGeom>
                    <a:noFill/>
                    <a:ln>
                      <a:noFill/>
                    </a:ln>
                  </pic:spPr>
                </pic:pic>
              </a:graphicData>
            </a:graphic>
          </wp:inline>
        </w:drawing>
      </w:r>
    </w:p>
    <w:p w14:paraId="5DC6F021" w14:textId="77777777" w:rsidR="009021F1" w:rsidRPr="007E3D1A" w:rsidRDefault="009021F1" w:rsidP="009021F1">
      <w:pPr>
        <w:rPr>
          <w:rFonts w:cs="Arial"/>
          <w:sz w:val="22"/>
        </w:rPr>
      </w:pPr>
      <w:r w:rsidRPr="00730A4A">
        <w:rPr>
          <w:rFonts w:cs="Arial"/>
          <w:noProof/>
          <w:sz w:val="22"/>
        </w:rPr>
        <w:drawing>
          <wp:inline distT="0" distB="0" distL="0" distR="0" wp14:anchorId="03EB249D" wp14:editId="6EE8466B">
            <wp:extent cx="6113780" cy="7931785"/>
            <wp:effectExtent l="0" t="0" r="0" b="0"/>
            <wp:docPr id="5307" name="Image 15" descr="C:\Users\user\Documents\PNDA MAI 2020\CGES PNDA\PNDA_Missions de terrain\PNDA_PV réunion de consultation du public_Matadi 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C:\Users\user\Documents\PNDA MAI 2020\CGES PNDA\PNDA_Missions de terrain\PNDA_PV réunion de consultation du public_Matadi _0002.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113780" cy="7931785"/>
                    </a:xfrm>
                    <a:prstGeom prst="rect">
                      <a:avLst/>
                    </a:prstGeom>
                    <a:noFill/>
                    <a:ln>
                      <a:noFill/>
                    </a:ln>
                  </pic:spPr>
                </pic:pic>
              </a:graphicData>
            </a:graphic>
          </wp:inline>
        </w:drawing>
      </w:r>
    </w:p>
    <w:p w14:paraId="33F70711" w14:textId="77777777" w:rsidR="009021F1" w:rsidRPr="007E3D1A" w:rsidRDefault="009021F1" w:rsidP="009021F1">
      <w:pPr>
        <w:rPr>
          <w:rFonts w:cs="Arial"/>
          <w:sz w:val="22"/>
        </w:rPr>
      </w:pPr>
      <w:r w:rsidRPr="00730A4A">
        <w:rPr>
          <w:rFonts w:cs="Arial"/>
          <w:noProof/>
          <w:sz w:val="22"/>
        </w:rPr>
        <w:drawing>
          <wp:inline distT="0" distB="0" distL="0" distR="0" wp14:anchorId="5FE2573A" wp14:editId="09393CB1">
            <wp:extent cx="5847715" cy="8282940"/>
            <wp:effectExtent l="0" t="0" r="0" b="0"/>
            <wp:docPr id="5308" name="Image 16" descr="C:\Users\user\Documents\PNDA MAI 2020\CGES PNDA\PNDA_Missions de terrain\BDD\PNDA_PV réunion de consultation du public_Bandun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C:\Users\user\Documents\PNDA MAI 2020\CGES PNDA\PNDA_Missions de terrain\BDD\PNDA_PV réunion de consultation du public_Bandundu.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847715" cy="8282940"/>
                    </a:xfrm>
                    <a:prstGeom prst="rect">
                      <a:avLst/>
                    </a:prstGeom>
                    <a:noFill/>
                    <a:ln>
                      <a:noFill/>
                    </a:ln>
                  </pic:spPr>
                </pic:pic>
              </a:graphicData>
            </a:graphic>
          </wp:inline>
        </w:drawing>
      </w:r>
    </w:p>
    <w:p w14:paraId="26D6F24A" w14:textId="77777777" w:rsidR="009021F1" w:rsidRPr="007E3D1A" w:rsidRDefault="009021F1" w:rsidP="009021F1">
      <w:pPr>
        <w:rPr>
          <w:rFonts w:cs="Arial"/>
          <w:sz w:val="22"/>
        </w:rPr>
      </w:pPr>
    </w:p>
    <w:p w14:paraId="1F19D5EE" w14:textId="77777777" w:rsidR="009021F1" w:rsidRPr="007E3D1A" w:rsidRDefault="009021F1" w:rsidP="009021F1">
      <w:pPr>
        <w:rPr>
          <w:rFonts w:cs="Arial"/>
          <w:sz w:val="22"/>
        </w:rPr>
      </w:pPr>
      <w:r w:rsidRPr="00730A4A">
        <w:rPr>
          <w:rFonts w:cs="Arial"/>
          <w:noProof/>
          <w:sz w:val="22"/>
        </w:rPr>
        <w:drawing>
          <wp:inline distT="0" distB="0" distL="0" distR="0" wp14:anchorId="73DA0600" wp14:editId="0E251495">
            <wp:extent cx="6230620" cy="7070725"/>
            <wp:effectExtent l="0" t="0" r="0" b="0"/>
            <wp:docPr id="5309" name="Image 17" descr="C:\Users\user\Documents\PNDA MAI 2020\CGES PNDA\PNDA_Missions de terrain\BDD\PNDA_PV réunion de consultation du public_Bandundu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C:\Users\user\Documents\PNDA MAI 2020\CGES PNDA\PNDA_Missions de terrain\BDD\PNDA_PV réunion de consultation du public_Bandundu_0001.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230620" cy="7070725"/>
                    </a:xfrm>
                    <a:prstGeom prst="rect">
                      <a:avLst/>
                    </a:prstGeom>
                    <a:noFill/>
                    <a:ln>
                      <a:noFill/>
                    </a:ln>
                  </pic:spPr>
                </pic:pic>
              </a:graphicData>
            </a:graphic>
          </wp:inline>
        </w:drawing>
      </w:r>
    </w:p>
    <w:p w14:paraId="3D30C528" w14:textId="77777777" w:rsidR="009021F1" w:rsidRPr="007E3D1A" w:rsidRDefault="009021F1" w:rsidP="009021F1">
      <w:pPr>
        <w:rPr>
          <w:rFonts w:cs="Arial"/>
          <w:sz w:val="22"/>
        </w:rPr>
      </w:pPr>
      <w:r w:rsidRPr="00730A4A">
        <w:rPr>
          <w:rFonts w:cs="Arial"/>
          <w:noProof/>
          <w:sz w:val="22"/>
        </w:rPr>
        <w:drawing>
          <wp:inline distT="0" distB="0" distL="0" distR="0" wp14:anchorId="3F933EDE" wp14:editId="0EDFA0F8">
            <wp:extent cx="5858510" cy="8282940"/>
            <wp:effectExtent l="0" t="0" r="0" b="0"/>
            <wp:docPr id="5310" name="Image 18" descr="C:\Users\user\Documents\PNDA MAI 2020\CGES PNDA\PNDA_Missions de terrain\BDD\PNDA_PV réunion de consultation du public_Bandundu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C:\Users\user\Documents\PNDA MAI 2020\CGES PNDA\PNDA_Missions de terrain\BDD\PNDA_PV réunion de consultation du public_Bandundu_0002.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858510" cy="8282940"/>
                    </a:xfrm>
                    <a:prstGeom prst="rect">
                      <a:avLst/>
                    </a:prstGeom>
                    <a:noFill/>
                    <a:ln>
                      <a:noFill/>
                    </a:ln>
                  </pic:spPr>
                </pic:pic>
              </a:graphicData>
            </a:graphic>
          </wp:inline>
        </w:drawing>
      </w:r>
    </w:p>
    <w:p w14:paraId="13086421" w14:textId="77777777" w:rsidR="009021F1" w:rsidRPr="007E3D1A" w:rsidRDefault="009021F1" w:rsidP="009021F1">
      <w:pPr>
        <w:rPr>
          <w:rFonts w:cs="Arial"/>
          <w:sz w:val="22"/>
        </w:rPr>
      </w:pPr>
      <w:r w:rsidRPr="00730A4A">
        <w:rPr>
          <w:rFonts w:cs="Arial"/>
          <w:noProof/>
          <w:sz w:val="22"/>
        </w:rPr>
        <w:drawing>
          <wp:inline distT="0" distB="0" distL="0" distR="0" wp14:anchorId="342F0729" wp14:editId="0B328B29">
            <wp:extent cx="5858510" cy="8282940"/>
            <wp:effectExtent l="0" t="0" r="0" b="0"/>
            <wp:docPr id="5311" name="Image 19" descr="C:\Users\user\Documents\PNDA MAI 2020\CGES PNDA\PNDA_Missions de terrain\BDD\PNDA_PV réunion de consultation du public_Bandundu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C:\Users\user\Documents\PNDA MAI 2020\CGES PNDA\PNDA_Missions de terrain\BDD\PNDA_PV réunion de consultation du public_Bandundu_0003.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858510" cy="8282940"/>
                    </a:xfrm>
                    <a:prstGeom prst="rect">
                      <a:avLst/>
                    </a:prstGeom>
                    <a:noFill/>
                    <a:ln>
                      <a:noFill/>
                    </a:ln>
                  </pic:spPr>
                </pic:pic>
              </a:graphicData>
            </a:graphic>
          </wp:inline>
        </w:drawing>
      </w:r>
    </w:p>
    <w:p w14:paraId="43F5FC3D" w14:textId="77777777" w:rsidR="009021F1" w:rsidRPr="007E3D1A" w:rsidRDefault="009021F1" w:rsidP="009021F1">
      <w:pPr>
        <w:rPr>
          <w:rFonts w:cs="Arial"/>
          <w:sz w:val="22"/>
        </w:rPr>
      </w:pPr>
    </w:p>
    <w:p w14:paraId="4EDA771E" w14:textId="77777777" w:rsidR="009021F1" w:rsidRPr="007E3D1A" w:rsidRDefault="009021F1" w:rsidP="009021F1">
      <w:pPr>
        <w:rPr>
          <w:rFonts w:cs="Arial"/>
          <w:sz w:val="22"/>
        </w:rPr>
      </w:pPr>
      <w:r w:rsidRPr="00730A4A">
        <w:rPr>
          <w:rFonts w:cs="Arial"/>
          <w:noProof/>
          <w:sz w:val="22"/>
        </w:rPr>
        <w:drawing>
          <wp:inline distT="0" distB="0" distL="0" distR="0" wp14:anchorId="2D116083" wp14:editId="0EB05969">
            <wp:extent cx="5847715" cy="8070215"/>
            <wp:effectExtent l="0" t="0" r="0" b="0"/>
            <wp:docPr id="3968" name="Image 158" descr="C:\Users\HP SPECTRE\AppData\Local\Microsoft\Windows\INetCache\Content.Outlook\XQP08MFT\scan PV consultatio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8" descr="C:\Users\HP SPECTRE\AppData\Local\Microsoft\Windows\INetCache\Content.Outlook\XQP08MFT\scan PV consultation0001.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847715" cy="8070215"/>
                    </a:xfrm>
                    <a:prstGeom prst="rect">
                      <a:avLst/>
                    </a:prstGeom>
                    <a:noFill/>
                    <a:ln>
                      <a:noFill/>
                    </a:ln>
                  </pic:spPr>
                </pic:pic>
              </a:graphicData>
            </a:graphic>
          </wp:inline>
        </w:drawing>
      </w:r>
    </w:p>
    <w:p w14:paraId="2E189443" w14:textId="77777777" w:rsidR="009021F1" w:rsidRPr="007E3D1A" w:rsidRDefault="009021F1" w:rsidP="009021F1">
      <w:pPr>
        <w:rPr>
          <w:rFonts w:cs="Arial"/>
          <w:sz w:val="22"/>
        </w:rPr>
      </w:pPr>
      <w:r w:rsidRPr="00730A4A">
        <w:rPr>
          <w:rFonts w:cs="Arial"/>
          <w:noProof/>
          <w:sz w:val="22"/>
        </w:rPr>
        <w:drawing>
          <wp:inline distT="0" distB="0" distL="0" distR="0" wp14:anchorId="1E62C020" wp14:editId="4D716131">
            <wp:extent cx="5847715" cy="8048625"/>
            <wp:effectExtent l="0" t="0" r="0" b="0"/>
            <wp:docPr id="3969" name="Image 159" descr="C:\Users\HP SPECTRE\AppData\Local\Microsoft\Windows\INetCache\Content.Outlook\XQP08MFT\scan PV consultatio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9" descr="C:\Users\HP SPECTRE\AppData\Local\Microsoft\Windows\INetCache\Content.Outlook\XQP08MFT\scan PV consultation0002.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847715" cy="8048625"/>
                    </a:xfrm>
                    <a:prstGeom prst="rect">
                      <a:avLst/>
                    </a:prstGeom>
                    <a:noFill/>
                    <a:ln>
                      <a:noFill/>
                    </a:ln>
                  </pic:spPr>
                </pic:pic>
              </a:graphicData>
            </a:graphic>
          </wp:inline>
        </w:drawing>
      </w:r>
      <w:r w:rsidRPr="007E3D1A">
        <w:rPr>
          <w:rFonts w:cs="Arial"/>
          <w:sz w:val="22"/>
        </w:rPr>
        <w:br w:type="page"/>
      </w:r>
    </w:p>
    <w:p w14:paraId="7FFCAA6C" w14:textId="77777777" w:rsidR="009021F1" w:rsidRPr="007E3D1A" w:rsidRDefault="009021F1" w:rsidP="009021F1">
      <w:pPr>
        <w:rPr>
          <w:rFonts w:cs="Arial"/>
          <w:sz w:val="22"/>
        </w:rPr>
      </w:pPr>
      <w:r w:rsidRPr="00730A4A">
        <w:rPr>
          <w:rFonts w:cs="Arial"/>
          <w:noProof/>
          <w:sz w:val="22"/>
        </w:rPr>
        <w:drawing>
          <wp:inline distT="0" distB="0" distL="0" distR="0" wp14:anchorId="11AA7F47" wp14:editId="54E17E8A">
            <wp:extent cx="5847715" cy="8048625"/>
            <wp:effectExtent l="0" t="0" r="0" b="0"/>
            <wp:docPr id="3970" name="Image 160" descr="C:\Users\HP SPECTRE\AppData\Local\Microsoft\Windows\INetCache\Content.Outlook\XQP08MFT\scan PV consultatio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0" descr="C:\Users\HP SPECTRE\AppData\Local\Microsoft\Windows\INetCache\Content.Outlook\XQP08MFT\scan PV consultation0003.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847715" cy="8048625"/>
                    </a:xfrm>
                    <a:prstGeom prst="rect">
                      <a:avLst/>
                    </a:prstGeom>
                    <a:noFill/>
                    <a:ln>
                      <a:noFill/>
                    </a:ln>
                  </pic:spPr>
                </pic:pic>
              </a:graphicData>
            </a:graphic>
          </wp:inline>
        </w:drawing>
      </w:r>
      <w:r w:rsidRPr="007E3D1A">
        <w:rPr>
          <w:rFonts w:cs="Arial"/>
          <w:sz w:val="22"/>
        </w:rPr>
        <w:br w:type="page"/>
      </w:r>
    </w:p>
    <w:p w14:paraId="1B22FA81" w14:textId="77777777" w:rsidR="009021F1" w:rsidRPr="007E3D1A" w:rsidRDefault="009021F1" w:rsidP="009021F1">
      <w:pPr>
        <w:rPr>
          <w:rFonts w:cs="Arial"/>
          <w:sz w:val="22"/>
        </w:rPr>
      </w:pPr>
      <w:r w:rsidRPr="00730A4A">
        <w:rPr>
          <w:rFonts w:cs="Arial"/>
          <w:noProof/>
          <w:sz w:val="22"/>
        </w:rPr>
        <w:drawing>
          <wp:inline distT="0" distB="0" distL="0" distR="0" wp14:anchorId="69C0535D" wp14:editId="124B11D2">
            <wp:extent cx="5847715" cy="8048625"/>
            <wp:effectExtent l="0" t="0" r="0" b="0"/>
            <wp:docPr id="3971" name="Image 161" descr="C:\Users\HP SPECTRE\AppData\Local\Microsoft\Windows\INetCache\Content.Outlook\XQP08MFT\scan PV consultation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1" descr="C:\Users\HP SPECTRE\AppData\Local\Microsoft\Windows\INetCache\Content.Outlook\XQP08MFT\scan PV consultation0004.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847715" cy="8048625"/>
                    </a:xfrm>
                    <a:prstGeom prst="rect">
                      <a:avLst/>
                    </a:prstGeom>
                    <a:noFill/>
                    <a:ln>
                      <a:noFill/>
                    </a:ln>
                  </pic:spPr>
                </pic:pic>
              </a:graphicData>
            </a:graphic>
          </wp:inline>
        </w:drawing>
      </w:r>
      <w:r w:rsidRPr="007E3D1A">
        <w:rPr>
          <w:rFonts w:cs="Arial"/>
          <w:sz w:val="22"/>
        </w:rPr>
        <w:br w:type="page"/>
      </w:r>
    </w:p>
    <w:p w14:paraId="27F0F7B6" w14:textId="77777777" w:rsidR="009021F1" w:rsidRPr="007E3D1A" w:rsidRDefault="009021F1" w:rsidP="009021F1">
      <w:pPr>
        <w:rPr>
          <w:rFonts w:cs="Arial"/>
          <w:sz w:val="22"/>
        </w:rPr>
      </w:pPr>
      <w:r w:rsidRPr="00730A4A">
        <w:rPr>
          <w:rFonts w:cs="Arial"/>
          <w:noProof/>
          <w:sz w:val="22"/>
        </w:rPr>
        <w:drawing>
          <wp:inline distT="0" distB="0" distL="0" distR="0" wp14:anchorId="64F76281" wp14:editId="018AD811">
            <wp:extent cx="5847715" cy="8048625"/>
            <wp:effectExtent l="0" t="0" r="0" b="0"/>
            <wp:docPr id="3975" name="Image 162" descr="C:\Users\HP SPECTRE\AppData\Local\Microsoft\Windows\INetCache\Content.Outlook\XQP08MFT\scan PV consultation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2" descr="C:\Users\HP SPECTRE\AppData\Local\Microsoft\Windows\INetCache\Content.Outlook\XQP08MFT\scan PV consultation0005.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847715" cy="8048625"/>
                    </a:xfrm>
                    <a:prstGeom prst="rect">
                      <a:avLst/>
                    </a:prstGeom>
                    <a:noFill/>
                    <a:ln>
                      <a:noFill/>
                    </a:ln>
                  </pic:spPr>
                </pic:pic>
              </a:graphicData>
            </a:graphic>
          </wp:inline>
        </w:drawing>
      </w:r>
    </w:p>
    <w:p w14:paraId="625BDA94" w14:textId="77777777" w:rsidR="009021F1" w:rsidRPr="007E3D1A" w:rsidRDefault="009021F1" w:rsidP="009021F1">
      <w:pPr>
        <w:rPr>
          <w:rFonts w:cs="Arial"/>
          <w:sz w:val="22"/>
        </w:rPr>
      </w:pPr>
      <w:r w:rsidRPr="007E3D1A">
        <w:rPr>
          <w:rFonts w:cs="Arial"/>
          <w:sz w:val="22"/>
        </w:rPr>
        <w:br w:type="page"/>
      </w:r>
      <w:r w:rsidRPr="00730A4A">
        <w:rPr>
          <w:rFonts w:cs="Arial"/>
          <w:noProof/>
          <w:sz w:val="22"/>
        </w:rPr>
        <w:drawing>
          <wp:inline distT="0" distB="0" distL="0" distR="0" wp14:anchorId="468FB88D" wp14:editId="12A7D1CB">
            <wp:extent cx="5847715" cy="8048625"/>
            <wp:effectExtent l="0" t="0" r="0" b="0"/>
            <wp:docPr id="3976" name="Image 163" descr="C:\Users\HP SPECTRE\AppData\Local\Microsoft\Windows\INetCache\Content.Outlook\XQP08MFT\scan PV consultation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3" descr="C:\Users\HP SPECTRE\AppData\Local\Microsoft\Windows\INetCache\Content.Outlook\XQP08MFT\scan PV consultation0006.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847715" cy="8048625"/>
                    </a:xfrm>
                    <a:prstGeom prst="rect">
                      <a:avLst/>
                    </a:prstGeom>
                    <a:noFill/>
                    <a:ln>
                      <a:noFill/>
                    </a:ln>
                  </pic:spPr>
                </pic:pic>
              </a:graphicData>
            </a:graphic>
          </wp:inline>
        </w:drawing>
      </w:r>
    </w:p>
    <w:p w14:paraId="78DD5B52" w14:textId="77777777" w:rsidR="009021F1" w:rsidRPr="007E3D1A" w:rsidRDefault="009021F1" w:rsidP="009021F1">
      <w:pPr>
        <w:rPr>
          <w:rFonts w:cs="Arial"/>
          <w:sz w:val="22"/>
        </w:rPr>
      </w:pPr>
      <w:r w:rsidRPr="007E3D1A">
        <w:rPr>
          <w:rFonts w:cs="Arial"/>
          <w:sz w:val="22"/>
        </w:rPr>
        <w:br w:type="page"/>
      </w:r>
      <w:r w:rsidRPr="00730A4A">
        <w:rPr>
          <w:rFonts w:cs="Arial"/>
          <w:noProof/>
          <w:sz w:val="22"/>
        </w:rPr>
        <w:drawing>
          <wp:inline distT="0" distB="0" distL="0" distR="0" wp14:anchorId="4B280C26" wp14:editId="5A66D882">
            <wp:extent cx="5847715" cy="8048625"/>
            <wp:effectExtent l="0" t="0" r="0" b="0"/>
            <wp:docPr id="3977" name="Image 164" descr="C:\Users\HP SPECTRE\AppData\Local\Microsoft\Windows\INetCache\Content.Outlook\XQP08MFT\scan PV consultation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4" descr="C:\Users\HP SPECTRE\AppData\Local\Microsoft\Windows\INetCache\Content.Outlook\XQP08MFT\scan PV consultation0007.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847715" cy="8048625"/>
                    </a:xfrm>
                    <a:prstGeom prst="rect">
                      <a:avLst/>
                    </a:prstGeom>
                    <a:noFill/>
                    <a:ln>
                      <a:noFill/>
                    </a:ln>
                  </pic:spPr>
                </pic:pic>
              </a:graphicData>
            </a:graphic>
          </wp:inline>
        </w:drawing>
      </w:r>
    </w:p>
    <w:p w14:paraId="5F0546C8" w14:textId="77777777" w:rsidR="009021F1" w:rsidRPr="007E3D1A" w:rsidRDefault="009021F1" w:rsidP="009021F1">
      <w:pPr>
        <w:rPr>
          <w:rFonts w:cs="Arial"/>
          <w:sz w:val="22"/>
        </w:rPr>
      </w:pPr>
      <w:r w:rsidRPr="00730A4A">
        <w:rPr>
          <w:rFonts w:cs="Arial"/>
          <w:noProof/>
          <w:sz w:val="22"/>
        </w:rPr>
        <w:drawing>
          <wp:inline distT="0" distB="0" distL="0" distR="0" wp14:anchorId="368CD0BD" wp14:editId="5330B083">
            <wp:extent cx="5847715" cy="8038465"/>
            <wp:effectExtent l="0" t="0" r="0" b="0"/>
            <wp:docPr id="3978" name="Image 165" descr="C:\Users\HP SPECTRE\AppData\Local\Microsoft\Windows\INetCache\Content.Outlook\XQP08MFT\scan PV consultation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5" descr="C:\Users\HP SPECTRE\AppData\Local\Microsoft\Windows\INetCache\Content.Outlook\XQP08MFT\scan PV consultation0008.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847715" cy="8038465"/>
                    </a:xfrm>
                    <a:prstGeom prst="rect">
                      <a:avLst/>
                    </a:prstGeom>
                    <a:noFill/>
                    <a:ln>
                      <a:noFill/>
                    </a:ln>
                  </pic:spPr>
                </pic:pic>
              </a:graphicData>
            </a:graphic>
          </wp:inline>
        </w:drawing>
      </w:r>
      <w:r w:rsidRPr="007E3D1A">
        <w:rPr>
          <w:rFonts w:cs="Arial"/>
          <w:sz w:val="22"/>
        </w:rPr>
        <w:br w:type="page"/>
      </w:r>
    </w:p>
    <w:p w14:paraId="6879595F" w14:textId="77777777" w:rsidR="009021F1" w:rsidRPr="007E3D1A" w:rsidRDefault="009021F1" w:rsidP="009021F1">
      <w:pPr>
        <w:rPr>
          <w:rFonts w:cs="Arial"/>
          <w:sz w:val="22"/>
        </w:rPr>
      </w:pPr>
      <w:r w:rsidRPr="00730A4A">
        <w:rPr>
          <w:rFonts w:cs="Arial"/>
          <w:noProof/>
          <w:sz w:val="22"/>
        </w:rPr>
        <w:drawing>
          <wp:inline distT="0" distB="0" distL="0" distR="0" wp14:anchorId="0DF060DE" wp14:editId="59C0DEDE">
            <wp:extent cx="5847715" cy="8048625"/>
            <wp:effectExtent l="0" t="0" r="0" b="0"/>
            <wp:docPr id="3979" name="Image 166" descr="C:\Users\HP SPECTRE\AppData\Local\Microsoft\Windows\INetCache\Content.Outlook\XQP08MFT\scan PV consultation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 descr="C:\Users\HP SPECTRE\AppData\Local\Microsoft\Windows\INetCache\Content.Outlook\XQP08MFT\scan PV consultation0009.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847715" cy="8048625"/>
                    </a:xfrm>
                    <a:prstGeom prst="rect">
                      <a:avLst/>
                    </a:prstGeom>
                    <a:noFill/>
                    <a:ln>
                      <a:noFill/>
                    </a:ln>
                  </pic:spPr>
                </pic:pic>
              </a:graphicData>
            </a:graphic>
          </wp:inline>
        </w:drawing>
      </w:r>
      <w:r w:rsidRPr="007E3D1A">
        <w:rPr>
          <w:rFonts w:cs="Arial"/>
          <w:sz w:val="22"/>
        </w:rPr>
        <w:br w:type="page"/>
      </w:r>
    </w:p>
    <w:p w14:paraId="12666EE0" w14:textId="77777777" w:rsidR="009021F1" w:rsidRPr="007E3D1A" w:rsidRDefault="009021F1" w:rsidP="009021F1">
      <w:pPr>
        <w:rPr>
          <w:rFonts w:cs="Arial"/>
          <w:sz w:val="22"/>
        </w:rPr>
      </w:pPr>
      <w:r w:rsidRPr="00730A4A">
        <w:rPr>
          <w:rFonts w:cs="Arial"/>
          <w:noProof/>
          <w:sz w:val="22"/>
        </w:rPr>
        <w:drawing>
          <wp:inline distT="0" distB="0" distL="0" distR="0" wp14:anchorId="5732C9A8" wp14:editId="526F1828">
            <wp:extent cx="5847715" cy="8048625"/>
            <wp:effectExtent l="0" t="0" r="0" b="0"/>
            <wp:docPr id="3980" name="Image 167" descr="C:\Users\HP SPECTRE\AppData\Local\Microsoft\Windows\INetCache\Content.Outlook\XQP08MFT\scan PV consultation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7" descr="C:\Users\HP SPECTRE\AppData\Local\Microsoft\Windows\INetCache\Content.Outlook\XQP08MFT\scan PV consultation0010.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847715" cy="8048625"/>
                    </a:xfrm>
                    <a:prstGeom prst="rect">
                      <a:avLst/>
                    </a:prstGeom>
                    <a:noFill/>
                    <a:ln>
                      <a:noFill/>
                    </a:ln>
                  </pic:spPr>
                </pic:pic>
              </a:graphicData>
            </a:graphic>
          </wp:inline>
        </w:drawing>
      </w:r>
    </w:p>
    <w:p w14:paraId="7EB84749" w14:textId="77777777" w:rsidR="009021F1" w:rsidRPr="007E3D1A" w:rsidRDefault="009021F1" w:rsidP="009021F1">
      <w:pPr>
        <w:rPr>
          <w:rFonts w:cs="Arial"/>
          <w:sz w:val="22"/>
        </w:rPr>
      </w:pPr>
      <w:r w:rsidRPr="00730A4A">
        <w:rPr>
          <w:rFonts w:cs="Arial"/>
          <w:noProof/>
          <w:sz w:val="22"/>
        </w:rPr>
        <w:drawing>
          <wp:inline distT="0" distB="0" distL="0" distR="0" wp14:anchorId="0AFEA67A" wp14:editId="66455808">
            <wp:extent cx="5847715" cy="8048625"/>
            <wp:effectExtent l="0" t="0" r="0" b="0"/>
            <wp:docPr id="3981" name="Image 168" descr="C:\Users\HP SPECTRE\AppData\Local\Microsoft\Windows\INetCache\Content.Outlook\XQP08MFT\scan PV consultation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8" descr="C:\Users\HP SPECTRE\AppData\Local\Microsoft\Windows\INetCache\Content.Outlook\XQP08MFT\scan PV consultation0011.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847715" cy="8048625"/>
                    </a:xfrm>
                    <a:prstGeom prst="rect">
                      <a:avLst/>
                    </a:prstGeom>
                    <a:noFill/>
                    <a:ln>
                      <a:noFill/>
                    </a:ln>
                  </pic:spPr>
                </pic:pic>
              </a:graphicData>
            </a:graphic>
          </wp:inline>
        </w:drawing>
      </w:r>
      <w:r w:rsidRPr="007E3D1A">
        <w:rPr>
          <w:rFonts w:cs="Arial"/>
          <w:sz w:val="22"/>
        </w:rPr>
        <w:br w:type="page"/>
      </w:r>
    </w:p>
    <w:p w14:paraId="7E93B965" w14:textId="77777777" w:rsidR="009021F1" w:rsidRPr="007E3D1A" w:rsidRDefault="009021F1" w:rsidP="009021F1">
      <w:pPr>
        <w:rPr>
          <w:rFonts w:cs="Arial"/>
          <w:sz w:val="22"/>
        </w:rPr>
      </w:pPr>
      <w:r w:rsidRPr="00730A4A">
        <w:rPr>
          <w:rFonts w:cs="Arial"/>
          <w:noProof/>
          <w:sz w:val="22"/>
        </w:rPr>
        <w:drawing>
          <wp:inline distT="0" distB="0" distL="0" distR="0" wp14:anchorId="0D4F1036" wp14:editId="2D2DB146">
            <wp:extent cx="5847715" cy="8048625"/>
            <wp:effectExtent l="0" t="0" r="0" b="0"/>
            <wp:docPr id="3982" name="Image 169" descr="C:\Users\HP SPECTRE\AppData\Local\Microsoft\Windows\INetCache\Content.Outlook\XQP08MFT\scan PV consultation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9" descr="C:\Users\HP SPECTRE\AppData\Local\Microsoft\Windows\INetCache\Content.Outlook\XQP08MFT\scan PV consultation0012.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847715" cy="8048625"/>
                    </a:xfrm>
                    <a:prstGeom prst="rect">
                      <a:avLst/>
                    </a:prstGeom>
                    <a:noFill/>
                    <a:ln>
                      <a:noFill/>
                    </a:ln>
                  </pic:spPr>
                </pic:pic>
              </a:graphicData>
            </a:graphic>
          </wp:inline>
        </w:drawing>
      </w:r>
    </w:p>
    <w:p w14:paraId="043C5DE4" w14:textId="77777777" w:rsidR="009021F1" w:rsidRPr="007E3D1A" w:rsidRDefault="009021F1" w:rsidP="009021F1">
      <w:pPr>
        <w:rPr>
          <w:rFonts w:cs="Arial"/>
          <w:sz w:val="22"/>
        </w:rPr>
      </w:pPr>
      <w:r w:rsidRPr="00730A4A">
        <w:rPr>
          <w:rFonts w:cs="Arial"/>
          <w:noProof/>
          <w:sz w:val="22"/>
        </w:rPr>
        <w:drawing>
          <wp:inline distT="0" distB="0" distL="0" distR="0" wp14:anchorId="4CF6931C" wp14:editId="2A767A5B">
            <wp:extent cx="5847715" cy="8048625"/>
            <wp:effectExtent l="0" t="0" r="0" b="0"/>
            <wp:docPr id="3983" name="Image 170" descr="C:\Users\HP SPECTRE\AppData\Local\Microsoft\Windows\INetCache\Content.Outlook\XQP08MFT\scan PV consultation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0" descr="C:\Users\HP SPECTRE\AppData\Local\Microsoft\Windows\INetCache\Content.Outlook\XQP08MFT\scan PV consultation0013.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847715" cy="8048625"/>
                    </a:xfrm>
                    <a:prstGeom prst="rect">
                      <a:avLst/>
                    </a:prstGeom>
                    <a:noFill/>
                    <a:ln>
                      <a:noFill/>
                    </a:ln>
                  </pic:spPr>
                </pic:pic>
              </a:graphicData>
            </a:graphic>
          </wp:inline>
        </w:drawing>
      </w:r>
      <w:r w:rsidRPr="007E3D1A">
        <w:rPr>
          <w:rFonts w:cs="Arial"/>
          <w:sz w:val="22"/>
        </w:rPr>
        <w:br w:type="page"/>
      </w:r>
    </w:p>
    <w:p w14:paraId="1AEAB398" w14:textId="77777777" w:rsidR="009021F1" w:rsidRPr="007E3D1A" w:rsidRDefault="009021F1" w:rsidP="009021F1">
      <w:pPr>
        <w:ind w:left="1418" w:hanging="1418"/>
        <w:rPr>
          <w:rFonts w:cs="Arial"/>
          <w:sz w:val="22"/>
        </w:rPr>
      </w:pPr>
      <w:r w:rsidRPr="00372F9C">
        <w:rPr>
          <w:rFonts w:cs="Arial"/>
          <w:b/>
          <w:bCs/>
          <w:noProof/>
          <w:sz w:val="22"/>
        </w:rPr>
        <w:drawing>
          <wp:anchor distT="0" distB="0" distL="114300" distR="114300" simplePos="0" relativeHeight="251707436" behindDoc="0" locked="0" layoutInCell="1" allowOverlap="1" wp14:anchorId="1E40BF17" wp14:editId="34EF9A84">
            <wp:simplePos x="0" y="0"/>
            <wp:positionH relativeFrom="margin">
              <wp:posOffset>-28575</wp:posOffset>
            </wp:positionH>
            <wp:positionV relativeFrom="paragraph">
              <wp:posOffset>657225</wp:posOffset>
            </wp:positionV>
            <wp:extent cx="5850890" cy="7278370"/>
            <wp:effectExtent l="0" t="0" r="0" b="0"/>
            <wp:wrapNone/>
            <wp:docPr id="3984" name="Image 27" descr="C:\Users\user\Documents\PNDA MAI 2020\CGES PNDA\Photos Kananga\IMG-20200523-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descr="C:\Users\user\Documents\PNDA MAI 2020\CGES PNDA\Photos Kananga\IMG-20200523-WA0016.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850890" cy="7278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2F9C">
        <w:rPr>
          <w:rFonts w:cs="Arial"/>
          <w:b/>
          <w:bCs/>
          <w:sz w:val="22"/>
        </w:rPr>
        <w:t>ANNEXE 8. LISTES DES PRÉSENCES DES RÉUNIONS DE CONSULTATIONS DU PUBLIC ORGANISÉES DANS LES PROVINCE DU KASAÏ, KASAÏ CENTRAL, KONGO CENTRAL, KWILU, ET NORD-KIVU</w:t>
      </w:r>
      <w:r w:rsidRPr="007E3D1A">
        <w:rPr>
          <w:rFonts w:cs="Arial"/>
          <w:sz w:val="22"/>
        </w:rPr>
        <w:br w:type="page"/>
      </w:r>
    </w:p>
    <w:p w14:paraId="38F897CD" w14:textId="77777777" w:rsidR="009021F1" w:rsidRPr="007E3D1A" w:rsidRDefault="009021F1" w:rsidP="009021F1">
      <w:pPr>
        <w:rPr>
          <w:rFonts w:cs="Arial"/>
          <w:sz w:val="22"/>
        </w:rPr>
      </w:pPr>
      <w:r>
        <w:rPr>
          <w:noProof/>
        </w:rPr>
        <w:drawing>
          <wp:anchor distT="0" distB="0" distL="114300" distR="114300" simplePos="0" relativeHeight="251708460" behindDoc="0" locked="0" layoutInCell="1" allowOverlap="1" wp14:anchorId="67078687" wp14:editId="26C0DB4F">
            <wp:simplePos x="0" y="0"/>
            <wp:positionH relativeFrom="margin">
              <wp:align>right</wp:align>
            </wp:positionH>
            <wp:positionV relativeFrom="paragraph">
              <wp:posOffset>224155</wp:posOffset>
            </wp:positionV>
            <wp:extent cx="5850890" cy="7980045"/>
            <wp:effectExtent l="0" t="0" r="0" b="0"/>
            <wp:wrapNone/>
            <wp:docPr id="3985" name="Image 28" descr="C:\Users\user\Documents\PNDA MAI 2020\CGES PNDA\TSHIKAPA\IMG-20200610-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C:\Users\user\Documents\PNDA MAI 2020\CGES PNDA\TSHIKAPA\IMG-20200610-WA0050.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850890" cy="7980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E45530" w14:textId="77777777" w:rsidR="009021F1" w:rsidRPr="007E3D1A" w:rsidRDefault="009021F1" w:rsidP="009021F1">
      <w:pPr>
        <w:rPr>
          <w:rFonts w:cs="Arial"/>
          <w:sz w:val="22"/>
        </w:rPr>
      </w:pPr>
    </w:p>
    <w:p w14:paraId="59A4D160" w14:textId="77777777" w:rsidR="009021F1" w:rsidRPr="007E3D1A" w:rsidRDefault="009021F1" w:rsidP="009021F1">
      <w:pPr>
        <w:rPr>
          <w:rFonts w:cs="Arial"/>
          <w:sz w:val="22"/>
        </w:rPr>
      </w:pPr>
    </w:p>
    <w:p w14:paraId="23013FE5" w14:textId="77777777" w:rsidR="009021F1" w:rsidRPr="007E3D1A" w:rsidRDefault="009021F1" w:rsidP="009021F1">
      <w:pPr>
        <w:rPr>
          <w:rFonts w:cs="Arial"/>
          <w:sz w:val="22"/>
        </w:rPr>
      </w:pPr>
      <w:r w:rsidRPr="00730A4A">
        <w:rPr>
          <w:rFonts w:cs="Arial"/>
          <w:noProof/>
          <w:sz w:val="22"/>
        </w:rPr>
        <w:drawing>
          <wp:inline distT="0" distB="0" distL="0" distR="0" wp14:anchorId="4FAA3F9D" wp14:editId="515742AD">
            <wp:extent cx="5869305" cy="7442835"/>
            <wp:effectExtent l="0" t="0" r="0" b="0"/>
            <wp:docPr id="3986" name="Image 25" descr="C:\Users\user\Documents\PNDA MAI 2020\CGES PNDA\PNDA_Missions de terrain\PNDA_Liste de présences consultation du public-Matadi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C:\Users\user\Documents\PNDA MAI 2020\CGES PNDA\PNDA_Missions de terrain\PNDA_Liste de présences consultation du public-Matadi .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869305" cy="7442835"/>
                    </a:xfrm>
                    <a:prstGeom prst="rect">
                      <a:avLst/>
                    </a:prstGeom>
                    <a:noFill/>
                    <a:ln>
                      <a:noFill/>
                    </a:ln>
                  </pic:spPr>
                </pic:pic>
              </a:graphicData>
            </a:graphic>
          </wp:inline>
        </w:drawing>
      </w:r>
    </w:p>
    <w:p w14:paraId="01FCFCE0" w14:textId="77777777" w:rsidR="009021F1" w:rsidRPr="007E3D1A" w:rsidRDefault="009021F1" w:rsidP="009021F1">
      <w:pPr>
        <w:rPr>
          <w:rFonts w:cs="Arial"/>
          <w:sz w:val="22"/>
        </w:rPr>
      </w:pPr>
      <w:r w:rsidRPr="00730A4A">
        <w:rPr>
          <w:rFonts w:cs="Arial"/>
          <w:noProof/>
          <w:sz w:val="22"/>
        </w:rPr>
        <w:drawing>
          <wp:inline distT="0" distB="0" distL="0" distR="0" wp14:anchorId="1BA5BC1E" wp14:editId="402E9980">
            <wp:extent cx="6082030" cy="7920990"/>
            <wp:effectExtent l="0" t="0" r="0" b="0"/>
            <wp:docPr id="3987" name="Image 26" descr="C:\Users\user\Documents\PNDA MAI 2020\CGES PNDA\PNDA_Missions de terrain\PNDA_Liste de présences consultation du public-Matadi 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descr="C:\Users\user\Documents\PNDA MAI 2020\CGES PNDA\PNDA_Missions de terrain\PNDA_Liste de présences consultation du public-Matadi _0001.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082030" cy="7920990"/>
                    </a:xfrm>
                    <a:prstGeom prst="rect">
                      <a:avLst/>
                    </a:prstGeom>
                    <a:noFill/>
                    <a:ln>
                      <a:noFill/>
                    </a:ln>
                  </pic:spPr>
                </pic:pic>
              </a:graphicData>
            </a:graphic>
          </wp:inline>
        </w:drawing>
      </w:r>
    </w:p>
    <w:p w14:paraId="617DD831" w14:textId="77777777" w:rsidR="009021F1" w:rsidRPr="007E3D1A" w:rsidRDefault="009021F1" w:rsidP="009021F1">
      <w:pPr>
        <w:rPr>
          <w:rFonts w:cs="Arial"/>
          <w:sz w:val="22"/>
        </w:rPr>
      </w:pPr>
    </w:p>
    <w:p w14:paraId="33DBC032" w14:textId="77777777" w:rsidR="009021F1" w:rsidRPr="007E3D1A" w:rsidRDefault="009021F1" w:rsidP="009021F1">
      <w:pPr>
        <w:rPr>
          <w:rFonts w:cs="Arial"/>
          <w:sz w:val="22"/>
        </w:rPr>
      </w:pPr>
      <w:r w:rsidRPr="00730A4A">
        <w:rPr>
          <w:rFonts w:cs="Arial"/>
          <w:noProof/>
          <w:sz w:val="22"/>
        </w:rPr>
        <w:drawing>
          <wp:inline distT="0" distB="0" distL="0" distR="0" wp14:anchorId="56C38BBB" wp14:editId="26D462AC">
            <wp:extent cx="6039485" cy="7920990"/>
            <wp:effectExtent l="0" t="0" r="0" b="0"/>
            <wp:docPr id="3988" name="Image 29" descr="C:\Users\user\Documents\PNDA MAI 2020\CGES PNDA\PNDA_Missions de terrain\BDD\PNDA_Liste des présences consultation du public_Bandun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descr="C:\Users\user\Documents\PNDA MAI 2020\CGES PNDA\PNDA_Missions de terrain\BDD\PNDA_Liste des présences consultation du public_Bandundu.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039485" cy="7920990"/>
                    </a:xfrm>
                    <a:prstGeom prst="rect">
                      <a:avLst/>
                    </a:prstGeom>
                    <a:noFill/>
                    <a:ln>
                      <a:noFill/>
                    </a:ln>
                  </pic:spPr>
                </pic:pic>
              </a:graphicData>
            </a:graphic>
          </wp:inline>
        </w:drawing>
      </w:r>
    </w:p>
    <w:p w14:paraId="10691A54" w14:textId="77777777" w:rsidR="009021F1" w:rsidRPr="007E3D1A" w:rsidRDefault="009021F1" w:rsidP="009021F1">
      <w:pPr>
        <w:rPr>
          <w:rFonts w:cs="Arial"/>
          <w:sz w:val="22"/>
        </w:rPr>
      </w:pPr>
      <w:r w:rsidRPr="00730A4A">
        <w:rPr>
          <w:rFonts w:cs="Arial"/>
          <w:noProof/>
          <w:sz w:val="22"/>
        </w:rPr>
        <w:drawing>
          <wp:inline distT="0" distB="0" distL="0" distR="0" wp14:anchorId="3CDA1CE1" wp14:editId="1692A6A7">
            <wp:extent cx="5847715" cy="8282940"/>
            <wp:effectExtent l="0" t="0" r="0" b="0"/>
            <wp:docPr id="3989" name="Image 30" descr="C:\Users\user\Documents\PNDA MAI 2020\CGES PNDA\PNDA_Missions de terrain\BDD\PNDA_Liste des présences consultation du public_Bandundu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descr="C:\Users\user\Documents\PNDA MAI 2020\CGES PNDA\PNDA_Missions de terrain\BDD\PNDA_Liste des présences consultation du public_Bandundu_0001.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847715" cy="8282940"/>
                    </a:xfrm>
                    <a:prstGeom prst="rect">
                      <a:avLst/>
                    </a:prstGeom>
                    <a:noFill/>
                    <a:ln>
                      <a:noFill/>
                    </a:ln>
                  </pic:spPr>
                </pic:pic>
              </a:graphicData>
            </a:graphic>
          </wp:inline>
        </w:drawing>
      </w:r>
    </w:p>
    <w:p w14:paraId="2B23CC07" w14:textId="77777777" w:rsidR="009021F1" w:rsidRPr="007E3D1A" w:rsidRDefault="009021F1" w:rsidP="009021F1">
      <w:pPr>
        <w:rPr>
          <w:rFonts w:cs="Arial"/>
          <w:sz w:val="22"/>
        </w:rPr>
      </w:pPr>
      <w:r w:rsidRPr="00730A4A">
        <w:rPr>
          <w:rFonts w:cs="Arial"/>
          <w:noProof/>
          <w:sz w:val="22"/>
        </w:rPr>
        <w:drawing>
          <wp:inline distT="0" distB="0" distL="0" distR="0" wp14:anchorId="13101004" wp14:editId="6A431788">
            <wp:extent cx="5847715" cy="8048625"/>
            <wp:effectExtent l="0" t="0" r="0" b="0"/>
            <wp:docPr id="3990" name="Image 177" descr="C:\Users\HP SPECTRE\AppData\Local\Microsoft\Windows\INetCache\Content.Outlook\XQP08MFT\scan liste de présenc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7" descr="C:\Users\HP SPECTRE\AppData\Local\Microsoft\Windows\INetCache\Content.Outlook\XQP08MFT\scan liste de présence0001.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847715" cy="8048625"/>
                    </a:xfrm>
                    <a:prstGeom prst="rect">
                      <a:avLst/>
                    </a:prstGeom>
                    <a:noFill/>
                    <a:ln>
                      <a:noFill/>
                    </a:ln>
                  </pic:spPr>
                </pic:pic>
              </a:graphicData>
            </a:graphic>
          </wp:inline>
        </w:drawing>
      </w:r>
    </w:p>
    <w:p w14:paraId="1756F546" w14:textId="77777777" w:rsidR="009021F1" w:rsidRPr="007E3D1A" w:rsidRDefault="009021F1" w:rsidP="009021F1">
      <w:pPr>
        <w:rPr>
          <w:rFonts w:cs="Arial"/>
          <w:sz w:val="22"/>
        </w:rPr>
      </w:pPr>
      <w:r w:rsidRPr="007E3D1A">
        <w:rPr>
          <w:rFonts w:cs="Arial"/>
          <w:sz w:val="22"/>
        </w:rPr>
        <w:br w:type="page"/>
      </w:r>
      <w:r w:rsidRPr="00730A4A">
        <w:rPr>
          <w:rFonts w:cs="Arial"/>
          <w:noProof/>
          <w:sz w:val="22"/>
        </w:rPr>
        <w:drawing>
          <wp:inline distT="0" distB="0" distL="0" distR="0" wp14:anchorId="2AEAB172" wp14:editId="08A6319E">
            <wp:extent cx="5847715" cy="8048625"/>
            <wp:effectExtent l="0" t="0" r="0" b="0"/>
            <wp:docPr id="3991" name="Image 178" descr="C:\Users\HP SPECTRE\AppData\Local\Microsoft\Windows\INetCache\Content.Outlook\XQP08MFT\scan liste de présenc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8" descr="C:\Users\HP SPECTRE\AppData\Local\Microsoft\Windows\INetCache\Content.Outlook\XQP08MFT\scan liste de présence0002.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847715" cy="8048625"/>
                    </a:xfrm>
                    <a:prstGeom prst="rect">
                      <a:avLst/>
                    </a:prstGeom>
                    <a:noFill/>
                    <a:ln>
                      <a:noFill/>
                    </a:ln>
                  </pic:spPr>
                </pic:pic>
              </a:graphicData>
            </a:graphic>
          </wp:inline>
        </w:drawing>
      </w:r>
    </w:p>
    <w:p w14:paraId="7E0C31E7" w14:textId="77777777" w:rsidR="009021F1" w:rsidRPr="007E3D1A" w:rsidRDefault="009021F1" w:rsidP="009021F1">
      <w:pPr>
        <w:rPr>
          <w:rFonts w:cs="Arial"/>
          <w:sz w:val="22"/>
        </w:rPr>
      </w:pPr>
      <w:r w:rsidRPr="007E3D1A">
        <w:rPr>
          <w:rFonts w:cs="Arial"/>
          <w:sz w:val="22"/>
        </w:rPr>
        <w:br w:type="page"/>
      </w:r>
    </w:p>
    <w:p w14:paraId="34E362F4" w14:textId="77777777" w:rsidR="009021F1" w:rsidRPr="00372F9C" w:rsidRDefault="009021F1" w:rsidP="009021F1">
      <w:pPr>
        <w:ind w:left="1418" w:hanging="1418"/>
        <w:rPr>
          <w:rFonts w:cs="Arial"/>
          <w:b/>
          <w:bCs/>
          <w:sz w:val="22"/>
        </w:rPr>
      </w:pPr>
      <w:r w:rsidRPr="00372F9C">
        <w:rPr>
          <w:rFonts w:cs="Arial"/>
          <w:b/>
          <w:bCs/>
          <w:sz w:val="22"/>
        </w:rPr>
        <w:t>ANNEXE 9. QUELQUES EXEMPLAIRES DES COMMUNIQUES RADIOPHONIQUES DIFFUSÉS DANS LES VILLES KANANGA, TSHIKAPA, MATADI, BANDUNDU ET GOMA</w:t>
      </w:r>
    </w:p>
    <w:p w14:paraId="1258042F" w14:textId="77777777" w:rsidR="009021F1" w:rsidRPr="007E3D1A" w:rsidRDefault="009021F1" w:rsidP="009021F1">
      <w:pPr>
        <w:rPr>
          <w:rFonts w:cs="Arial"/>
          <w:sz w:val="22"/>
        </w:rPr>
      </w:pPr>
    </w:p>
    <w:p w14:paraId="55A534DF" w14:textId="77777777" w:rsidR="009021F1" w:rsidRPr="007E3D1A" w:rsidRDefault="009021F1" w:rsidP="009021F1">
      <w:pPr>
        <w:rPr>
          <w:rFonts w:cs="Arial"/>
          <w:sz w:val="22"/>
        </w:rPr>
      </w:pPr>
    </w:p>
    <w:p w14:paraId="3DEA38E3" w14:textId="77777777" w:rsidR="009021F1" w:rsidRPr="007E3D1A" w:rsidRDefault="009021F1" w:rsidP="009021F1">
      <w:pPr>
        <w:rPr>
          <w:rFonts w:cs="Arial"/>
          <w:sz w:val="22"/>
        </w:rPr>
      </w:pPr>
      <w:r w:rsidRPr="00730A4A">
        <w:rPr>
          <w:rFonts w:cs="Arial"/>
          <w:noProof/>
          <w:sz w:val="22"/>
        </w:rPr>
        <w:drawing>
          <wp:inline distT="0" distB="0" distL="0" distR="0" wp14:anchorId="6ACA2DA6" wp14:editId="69461C6F">
            <wp:extent cx="5847715" cy="6815455"/>
            <wp:effectExtent l="0" t="0" r="0" b="0"/>
            <wp:docPr id="3992" name="Image 20" descr="C:\Users\user\Documents\PNDA MAI 2020\CGES PNDA\TSHIKAPA\IMG-20200611-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C:\Users\user\Documents\PNDA MAI 2020\CGES PNDA\TSHIKAPA\IMG-20200611-WA0007.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847715" cy="6815455"/>
                    </a:xfrm>
                    <a:prstGeom prst="rect">
                      <a:avLst/>
                    </a:prstGeom>
                    <a:noFill/>
                    <a:ln>
                      <a:noFill/>
                    </a:ln>
                  </pic:spPr>
                </pic:pic>
              </a:graphicData>
            </a:graphic>
          </wp:inline>
        </w:drawing>
      </w:r>
      <w:r w:rsidRPr="007E3D1A">
        <w:rPr>
          <w:rFonts w:cs="Arial"/>
          <w:sz w:val="22"/>
        </w:rPr>
        <w:br w:type="page"/>
      </w:r>
    </w:p>
    <w:p w14:paraId="5D952931" w14:textId="77777777" w:rsidR="009021F1" w:rsidRPr="007E3D1A" w:rsidRDefault="009021F1" w:rsidP="009021F1">
      <w:pPr>
        <w:rPr>
          <w:rFonts w:cs="Arial"/>
          <w:sz w:val="22"/>
        </w:rPr>
      </w:pPr>
      <w:r w:rsidRPr="00730A4A">
        <w:rPr>
          <w:rFonts w:cs="Arial"/>
          <w:noProof/>
          <w:sz w:val="22"/>
        </w:rPr>
        <w:drawing>
          <wp:inline distT="0" distB="0" distL="0" distR="0" wp14:anchorId="41BDB427" wp14:editId="25B5103D">
            <wp:extent cx="5847715" cy="8048625"/>
            <wp:effectExtent l="0" t="0" r="0" b="0"/>
            <wp:docPr id="3993" name="Image 23" descr="C:\Users\user\Documents\PNDA MAI 2020\CGES PNDA\PNDA_Missions de terrain\PNDA_Communiqué radiophonique_Matadi 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descr="C:\Users\user\Documents\PNDA MAI 2020\CGES PNDA\PNDA_Missions de terrain\PNDA_Communiqué radiophonique_Matadi _0001.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847715" cy="8048625"/>
                    </a:xfrm>
                    <a:prstGeom prst="rect">
                      <a:avLst/>
                    </a:prstGeom>
                    <a:noFill/>
                    <a:ln>
                      <a:noFill/>
                    </a:ln>
                  </pic:spPr>
                </pic:pic>
              </a:graphicData>
            </a:graphic>
          </wp:inline>
        </w:drawing>
      </w:r>
    </w:p>
    <w:p w14:paraId="3E5A16A4" w14:textId="77777777" w:rsidR="009021F1" w:rsidRPr="007E3D1A" w:rsidRDefault="009021F1" w:rsidP="009021F1">
      <w:pPr>
        <w:rPr>
          <w:rFonts w:cs="Arial"/>
          <w:sz w:val="22"/>
        </w:rPr>
      </w:pPr>
      <w:r w:rsidRPr="007E3D1A">
        <w:rPr>
          <w:rFonts w:cs="Arial"/>
          <w:sz w:val="22"/>
        </w:rPr>
        <w:br w:type="page"/>
      </w:r>
      <w:r w:rsidRPr="00730A4A">
        <w:rPr>
          <w:rFonts w:cs="Arial"/>
          <w:noProof/>
          <w:sz w:val="22"/>
        </w:rPr>
        <w:drawing>
          <wp:inline distT="0" distB="0" distL="0" distR="0" wp14:anchorId="2E3CC65C" wp14:editId="6C9274DC">
            <wp:extent cx="5847715" cy="7570470"/>
            <wp:effectExtent l="0" t="0" r="0" b="0"/>
            <wp:docPr id="3994" name="Image 21" descr="C:\Users\user\Documents\PNDA MAI 2020\CGES PNDA\TSHIKAPA\IMG-20200611-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C:\Users\user\Documents\PNDA MAI 2020\CGES PNDA\TSHIKAPA\IMG-20200611-WA0008.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847715" cy="7570470"/>
                    </a:xfrm>
                    <a:prstGeom prst="rect">
                      <a:avLst/>
                    </a:prstGeom>
                    <a:noFill/>
                    <a:ln>
                      <a:noFill/>
                    </a:ln>
                  </pic:spPr>
                </pic:pic>
              </a:graphicData>
            </a:graphic>
          </wp:inline>
        </w:drawing>
      </w:r>
    </w:p>
    <w:p w14:paraId="21236341" w14:textId="77777777" w:rsidR="009021F1" w:rsidRPr="007E3D1A" w:rsidRDefault="009021F1" w:rsidP="009021F1">
      <w:pPr>
        <w:rPr>
          <w:rFonts w:cs="Arial"/>
          <w:sz w:val="22"/>
        </w:rPr>
      </w:pPr>
      <w:r w:rsidRPr="007E3D1A">
        <w:rPr>
          <w:rFonts w:cs="Arial"/>
          <w:sz w:val="22"/>
        </w:rPr>
        <w:br w:type="page"/>
      </w:r>
    </w:p>
    <w:p w14:paraId="65A367A3" w14:textId="77777777" w:rsidR="009021F1" w:rsidRPr="007E3D1A" w:rsidRDefault="009021F1" w:rsidP="009021F1">
      <w:pPr>
        <w:rPr>
          <w:rFonts w:cs="Arial"/>
          <w:sz w:val="22"/>
        </w:rPr>
      </w:pPr>
      <w:r w:rsidRPr="00730A4A">
        <w:rPr>
          <w:rFonts w:cs="Arial"/>
          <w:noProof/>
          <w:sz w:val="22"/>
        </w:rPr>
        <w:drawing>
          <wp:inline distT="0" distB="0" distL="0" distR="0" wp14:anchorId="499A1A07" wp14:editId="37E54CFE">
            <wp:extent cx="5847715" cy="8166100"/>
            <wp:effectExtent l="0" t="0" r="0" b="0"/>
            <wp:docPr id="3995" name="Image 22" descr="C:\Users\user\Documents\PNDA MAI 2020\CGES PNDA\PNDA_Missions de terrain\PNDA_Communiqué radiophonique_Matadi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C:\Users\user\Documents\PNDA MAI 2020\CGES PNDA\PNDA_Missions de terrain\PNDA_Communiqué radiophonique_Matadi .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847715" cy="8166100"/>
                    </a:xfrm>
                    <a:prstGeom prst="rect">
                      <a:avLst/>
                    </a:prstGeom>
                    <a:noFill/>
                    <a:ln>
                      <a:noFill/>
                    </a:ln>
                  </pic:spPr>
                </pic:pic>
              </a:graphicData>
            </a:graphic>
          </wp:inline>
        </w:drawing>
      </w:r>
      <w:r w:rsidRPr="007E3D1A">
        <w:rPr>
          <w:rFonts w:cs="Arial"/>
          <w:sz w:val="22"/>
        </w:rPr>
        <w:br w:type="page"/>
      </w:r>
    </w:p>
    <w:p w14:paraId="48CBCCCE" w14:textId="77777777" w:rsidR="009021F1" w:rsidRPr="007E3D1A" w:rsidRDefault="009021F1" w:rsidP="009021F1">
      <w:pPr>
        <w:rPr>
          <w:rFonts w:cs="Arial"/>
          <w:sz w:val="22"/>
        </w:rPr>
      </w:pPr>
      <w:r w:rsidRPr="00730A4A">
        <w:rPr>
          <w:rFonts w:cs="Arial"/>
          <w:noProof/>
          <w:sz w:val="22"/>
        </w:rPr>
        <w:drawing>
          <wp:inline distT="0" distB="0" distL="0" distR="0" wp14:anchorId="72C78CEE" wp14:editId="6C766C70">
            <wp:extent cx="5847715" cy="8048625"/>
            <wp:effectExtent l="0" t="0" r="0" b="0"/>
            <wp:docPr id="3996" name="Image 23" descr="C:\Users\user\Documents\PNDA MAI 2020\CGES PNDA\PNDA_Missions de terrain\PNDA_Communiqué radiophonique_Matadi 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descr="C:\Users\user\Documents\PNDA MAI 2020\CGES PNDA\PNDA_Missions de terrain\PNDA_Communiqué radiophonique_Matadi _0001.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847715" cy="8048625"/>
                    </a:xfrm>
                    <a:prstGeom prst="rect">
                      <a:avLst/>
                    </a:prstGeom>
                    <a:noFill/>
                    <a:ln>
                      <a:noFill/>
                    </a:ln>
                  </pic:spPr>
                </pic:pic>
              </a:graphicData>
            </a:graphic>
          </wp:inline>
        </w:drawing>
      </w:r>
      <w:r w:rsidRPr="007E3D1A">
        <w:rPr>
          <w:rFonts w:cs="Arial"/>
          <w:sz w:val="22"/>
        </w:rPr>
        <w:br w:type="page"/>
      </w:r>
    </w:p>
    <w:p w14:paraId="4D7CC697" w14:textId="77777777" w:rsidR="009021F1" w:rsidRPr="007E3D1A" w:rsidRDefault="009021F1" w:rsidP="009021F1">
      <w:pPr>
        <w:rPr>
          <w:rFonts w:cs="Arial"/>
          <w:sz w:val="22"/>
        </w:rPr>
      </w:pPr>
      <w:r w:rsidRPr="00730A4A">
        <w:rPr>
          <w:rFonts w:cs="Arial"/>
          <w:noProof/>
          <w:sz w:val="22"/>
        </w:rPr>
        <w:drawing>
          <wp:inline distT="0" distB="0" distL="0" distR="0" wp14:anchorId="162AE6C6" wp14:editId="06E3E491">
            <wp:extent cx="5847715" cy="8166100"/>
            <wp:effectExtent l="0" t="0" r="0" b="0"/>
            <wp:docPr id="3997" name="Image 24" descr="C:\Users\user\Documents\PNDA MAI 2020\CGES PNDA\PNDA_Missions de terrain\PNDA_Communiqué radiophonique_Matadi 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C:\Users\user\Documents\PNDA MAI 2020\CGES PNDA\PNDA_Missions de terrain\PNDA_Communiqué radiophonique_Matadi _0002.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847715" cy="8166100"/>
                    </a:xfrm>
                    <a:prstGeom prst="rect">
                      <a:avLst/>
                    </a:prstGeom>
                    <a:noFill/>
                    <a:ln>
                      <a:noFill/>
                    </a:ln>
                  </pic:spPr>
                </pic:pic>
              </a:graphicData>
            </a:graphic>
          </wp:inline>
        </w:drawing>
      </w:r>
      <w:r w:rsidRPr="007E3D1A">
        <w:rPr>
          <w:rFonts w:cs="Arial"/>
          <w:sz w:val="22"/>
        </w:rPr>
        <w:br w:type="page"/>
      </w:r>
    </w:p>
    <w:p w14:paraId="46DB5AD5" w14:textId="77777777" w:rsidR="009021F1" w:rsidRPr="007E3D1A" w:rsidRDefault="009021F1" w:rsidP="009021F1">
      <w:pPr>
        <w:rPr>
          <w:rFonts w:cs="Arial"/>
          <w:sz w:val="22"/>
        </w:rPr>
      </w:pPr>
      <w:r w:rsidRPr="00730A4A">
        <w:rPr>
          <w:rFonts w:cs="Arial"/>
          <w:noProof/>
          <w:sz w:val="22"/>
        </w:rPr>
        <w:drawing>
          <wp:inline distT="0" distB="0" distL="0" distR="0" wp14:anchorId="6FC44FB6" wp14:editId="5932EC6E">
            <wp:extent cx="5847715" cy="8048625"/>
            <wp:effectExtent l="0" t="0" r="0" b="0"/>
            <wp:docPr id="3998" name="Image 185" descr="C:\Users\HP SPECTRE\AppData\Local\Microsoft\Windows\INetCache\Content.Outlook\XQP08MFT\scan communiqué radiophoniqu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5" descr="C:\Users\HP SPECTRE\AppData\Local\Microsoft\Windows\INetCache\Content.Outlook\XQP08MFT\scan communiqué radiophonique0001.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847715" cy="8048625"/>
                    </a:xfrm>
                    <a:prstGeom prst="rect">
                      <a:avLst/>
                    </a:prstGeom>
                    <a:noFill/>
                    <a:ln>
                      <a:noFill/>
                    </a:ln>
                  </pic:spPr>
                </pic:pic>
              </a:graphicData>
            </a:graphic>
          </wp:inline>
        </w:drawing>
      </w:r>
    </w:p>
    <w:p w14:paraId="68387E42" w14:textId="77777777" w:rsidR="009021F1" w:rsidRPr="007E3D1A" w:rsidRDefault="009021F1" w:rsidP="009021F1">
      <w:pPr>
        <w:rPr>
          <w:rFonts w:cs="Arial"/>
          <w:sz w:val="22"/>
        </w:rPr>
      </w:pPr>
      <w:r w:rsidRPr="007E3D1A">
        <w:rPr>
          <w:rFonts w:cs="Arial"/>
          <w:sz w:val="22"/>
        </w:rPr>
        <w:br w:type="page"/>
      </w:r>
      <w:r w:rsidRPr="00730A4A">
        <w:rPr>
          <w:rFonts w:cs="Arial"/>
          <w:noProof/>
          <w:sz w:val="22"/>
        </w:rPr>
        <w:drawing>
          <wp:inline distT="0" distB="0" distL="0" distR="0" wp14:anchorId="11A526C8" wp14:editId="07CD92F0">
            <wp:extent cx="5847715" cy="8048625"/>
            <wp:effectExtent l="0" t="0" r="0" b="0"/>
            <wp:docPr id="3999" name="Image 186" descr="C:\Users\HP SPECTRE\AppData\Local\Microsoft\Windows\INetCache\Content.Outlook\XQP08MFT\scan communiqué radiophoniqu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6" descr="C:\Users\HP SPECTRE\AppData\Local\Microsoft\Windows\INetCache\Content.Outlook\XQP08MFT\scan communiqué radiophonique0002.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847715" cy="8048625"/>
                    </a:xfrm>
                    <a:prstGeom prst="rect">
                      <a:avLst/>
                    </a:prstGeom>
                    <a:noFill/>
                    <a:ln>
                      <a:noFill/>
                    </a:ln>
                  </pic:spPr>
                </pic:pic>
              </a:graphicData>
            </a:graphic>
          </wp:inline>
        </w:drawing>
      </w:r>
    </w:p>
    <w:p w14:paraId="5A50A4DC" w14:textId="77777777" w:rsidR="009021F1" w:rsidRPr="007E3D1A" w:rsidRDefault="009021F1" w:rsidP="009021F1">
      <w:pPr>
        <w:rPr>
          <w:rFonts w:cs="Arial"/>
          <w:sz w:val="22"/>
        </w:rPr>
      </w:pPr>
      <w:r w:rsidRPr="007E3D1A">
        <w:rPr>
          <w:rFonts w:cs="Arial"/>
          <w:sz w:val="22"/>
        </w:rPr>
        <w:br w:type="page"/>
      </w:r>
      <w:r w:rsidRPr="00730A4A">
        <w:rPr>
          <w:rFonts w:cs="Arial"/>
          <w:noProof/>
          <w:sz w:val="22"/>
        </w:rPr>
        <w:drawing>
          <wp:inline distT="0" distB="0" distL="0" distR="0" wp14:anchorId="748AB137" wp14:editId="07BD7562">
            <wp:extent cx="5847715" cy="8048625"/>
            <wp:effectExtent l="0" t="0" r="0" b="0"/>
            <wp:docPr id="4000" name="Image 187" descr="C:\Users\HP SPECTRE\AppData\Local\Microsoft\Windows\INetCache\Content.Outlook\XQP08MFT\scan communiqué radiophoniqu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7" descr="C:\Users\HP SPECTRE\AppData\Local\Microsoft\Windows\INetCache\Content.Outlook\XQP08MFT\scan communiqué radiophonique0003.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847715" cy="8048625"/>
                    </a:xfrm>
                    <a:prstGeom prst="rect">
                      <a:avLst/>
                    </a:prstGeom>
                    <a:noFill/>
                    <a:ln>
                      <a:noFill/>
                    </a:ln>
                  </pic:spPr>
                </pic:pic>
              </a:graphicData>
            </a:graphic>
          </wp:inline>
        </w:drawing>
      </w:r>
    </w:p>
    <w:p w14:paraId="62D16190" w14:textId="77777777" w:rsidR="009021F1" w:rsidRPr="007E3D1A" w:rsidRDefault="009021F1" w:rsidP="009021F1">
      <w:pPr>
        <w:rPr>
          <w:rFonts w:cs="Arial"/>
          <w:sz w:val="22"/>
        </w:rPr>
      </w:pPr>
      <w:r w:rsidRPr="007E3D1A">
        <w:rPr>
          <w:rFonts w:cs="Arial"/>
          <w:sz w:val="22"/>
        </w:rPr>
        <w:br w:type="page"/>
      </w:r>
    </w:p>
    <w:p w14:paraId="1598C2C2" w14:textId="77777777" w:rsidR="009021F1" w:rsidRPr="00372F9C" w:rsidRDefault="009021F1" w:rsidP="009021F1">
      <w:pPr>
        <w:ind w:left="1418" w:hanging="1418"/>
        <w:rPr>
          <w:rFonts w:cs="Arial"/>
          <w:b/>
          <w:bCs/>
          <w:sz w:val="22"/>
        </w:rPr>
      </w:pPr>
      <w:r w:rsidRPr="00372F9C">
        <w:rPr>
          <w:rFonts w:cs="Arial"/>
          <w:b/>
          <w:bCs/>
          <w:sz w:val="22"/>
        </w:rPr>
        <w:t>ANNEXE 10. QUELQUES PHOTOS DE LA TENUE DES CONSULTATIONS DU PUBLIC ET DES ATELIERS DE RESTITUTION</w:t>
      </w:r>
    </w:p>
    <w:p w14:paraId="2074401B" w14:textId="77777777" w:rsidR="009021F1" w:rsidRPr="007E3D1A" w:rsidRDefault="009021F1" w:rsidP="009021F1">
      <w:pPr>
        <w:rPr>
          <w:rFonts w:cs="Arial"/>
          <w:sz w:val="22"/>
        </w:rPr>
      </w:pPr>
    </w:p>
    <w:p w14:paraId="26CC050E" w14:textId="77777777" w:rsidR="009021F1" w:rsidRPr="007E3D1A" w:rsidRDefault="009021F1" w:rsidP="009021F1">
      <w:pPr>
        <w:rPr>
          <w:rFonts w:cs="Arial"/>
          <w:sz w:val="22"/>
        </w:rPr>
      </w:pPr>
      <w:r w:rsidRPr="007E3D1A">
        <w:rPr>
          <w:rFonts w:cs="Arial"/>
          <w:sz w:val="22"/>
        </w:rPr>
        <w:t>ANNEXE 10.A) PHOTOS DES CONSULTATIONS DU PUBLIC</w:t>
      </w:r>
    </w:p>
    <w:p w14:paraId="7BEABB3B" w14:textId="77777777" w:rsidR="009021F1" w:rsidRPr="007E3D1A" w:rsidRDefault="009021F1" w:rsidP="009021F1">
      <w:pPr>
        <w:rPr>
          <w:rFonts w:cs="Arial"/>
          <w:sz w:val="22"/>
        </w:rPr>
      </w:pPr>
    </w:p>
    <w:p w14:paraId="771DBBC5" w14:textId="77777777" w:rsidR="009021F1" w:rsidRPr="007E3D1A" w:rsidRDefault="009021F1" w:rsidP="009021F1">
      <w:pPr>
        <w:rPr>
          <w:rFonts w:cs="Arial"/>
          <w:sz w:val="22"/>
        </w:rPr>
      </w:pPr>
      <w:r w:rsidRPr="007E3D1A">
        <w:rPr>
          <w:rFonts w:cs="Arial"/>
          <w:sz w:val="22"/>
        </w:rPr>
        <w:t>Photos 1 et 2. Réunion de consultation du public organisée dans la salle de réunion du Ministère Provincial de l’Agriculture du Kongo Central / Ville de Matadi</w:t>
      </w:r>
    </w:p>
    <w:p w14:paraId="4AB95FCA" w14:textId="77777777" w:rsidR="009021F1" w:rsidRPr="007E3D1A" w:rsidRDefault="009021F1" w:rsidP="009021F1">
      <w:pPr>
        <w:rPr>
          <w:rFonts w:cs="Arial"/>
          <w:sz w:val="22"/>
        </w:rPr>
      </w:pPr>
      <w:r w:rsidRPr="00730A4A">
        <w:rPr>
          <w:rFonts w:cs="Arial"/>
          <w:noProof/>
          <w:sz w:val="22"/>
        </w:rPr>
        <w:drawing>
          <wp:inline distT="0" distB="0" distL="0" distR="0" wp14:anchorId="0A4CE162" wp14:editId="426F2998">
            <wp:extent cx="5486400" cy="2658110"/>
            <wp:effectExtent l="0" t="0" r="0" b="0"/>
            <wp:docPr id="4001" name="Image 188" descr="C:\Users\user\Documents\PNDA MAI 2020\CGES PNDA\Photos Matadi\IMG-20200606-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8" descr="C:\Users\user\Documents\PNDA MAI 2020\CGES PNDA\Photos Matadi\IMG-20200606-WA0003.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486400" cy="2658110"/>
                    </a:xfrm>
                    <a:prstGeom prst="rect">
                      <a:avLst/>
                    </a:prstGeom>
                    <a:noFill/>
                    <a:ln>
                      <a:noFill/>
                    </a:ln>
                  </pic:spPr>
                </pic:pic>
              </a:graphicData>
            </a:graphic>
          </wp:inline>
        </w:drawing>
      </w:r>
    </w:p>
    <w:p w14:paraId="449C9F86" w14:textId="77777777" w:rsidR="009021F1" w:rsidRPr="007E3D1A" w:rsidRDefault="009021F1" w:rsidP="009021F1">
      <w:pPr>
        <w:rPr>
          <w:rFonts w:cs="Arial"/>
          <w:sz w:val="22"/>
        </w:rPr>
      </w:pPr>
    </w:p>
    <w:p w14:paraId="47A0BB09" w14:textId="77777777" w:rsidR="009021F1" w:rsidRPr="007E3D1A" w:rsidRDefault="009021F1" w:rsidP="009021F1">
      <w:pPr>
        <w:rPr>
          <w:rFonts w:cs="Arial"/>
          <w:sz w:val="22"/>
        </w:rPr>
      </w:pPr>
      <w:r w:rsidRPr="00730A4A">
        <w:rPr>
          <w:rFonts w:cs="Arial"/>
          <w:noProof/>
          <w:sz w:val="22"/>
        </w:rPr>
        <w:drawing>
          <wp:inline distT="0" distB="0" distL="0" distR="0" wp14:anchorId="3D9B8083" wp14:editId="119E08B2">
            <wp:extent cx="5486400" cy="2658110"/>
            <wp:effectExtent l="0" t="0" r="0" b="0"/>
            <wp:docPr id="4002" name="Image 189" descr="C:\Users\user\Documents\PNDA MAI 2020\CGES PNDA\Photos Matadi\IMG-20200606-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9" descr="C:\Users\user\Documents\PNDA MAI 2020\CGES PNDA\Photos Matadi\IMG-20200606-WA0010.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486400" cy="2658110"/>
                    </a:xfrm>
                    <a:prstGeom prst="rect">
                      <a:avLst/>
                    </a:prstGeom>
                    <a:noFill/>
                    <a:ln>
                      <a:noFill/>
                    </a:ln>
                  </pic:spPr>
                </pic:pic>
              </a:graphicData>
            </a:graphic>
          </wp:inline>
        </w:drawing>
      </w:r>
    </w:p>
    <w:p w14:paraId="7C341C8F" w14:textId="77777777" w:rsidR="009021F1" w:rsidRPr="007E3D1A" w:rsidRDefault="009021F1" w:rsidP="009021F1">
      <w:pPr>
        <w:rPr>
          <w:rFonts w:cs="Arial"/>
          <w:sz w:val="22"/>
        </w:rPr>
      </w:pPr>
    </w:p>
    <w:p w14:paraId="7638A769" w14:textId="77777777" w:rsidR="009021F1" w:rsidRPr="007E3D1A" w:rsidRDefault="009021F1" w:rsidP="009021F1">
      <w:pPr>
        <w:rPr>
          <w:rFonts w:cs="Arial"/>
          <w:sz w:val="22"/>
        </w:rPr>
      </w:pPr>
    </w:p>
    <w:p w14:paraId="767B64F2" w14:textId="77777777" w:rsidR="009021F1" w:rsidRPr="007E3D1A" w:rsidRDefault="009021F1" w:rsidP="009021F1">
      <w:pPr>
        <w:rPr>
          <w:rFonts w:cs="Arial"/>
          <w:sz w:val="22"/>
        </w:rPr>
      </w:pPr>
    </w:p>
    <w:p w14:paraId="76DC9737" w14:textId="77777777" w:rsidR="009021F1" w:rsidRPr="007E3D1A" w:rsidRDefault="009021F1" w:rsidP="009021F1">
      <w:pPr>
        <w:rPr>
          <w:rFonts w:cs="Arial"/>
          <w:sz w:val="22"/>
        </w:rPr>
      </w:pPr>
    </w:p>
    <w:p w14:paraId="07A20A33" w14:textId="77777777" w:rsidR="009021F1" w:rsidRPr="007E3D1A" w:rsidRDefault="009021F1" w:rsidP="009021F1">
      <w:pPr>
        <w:rPr>
          <w:rFonts w:cs="Arial"/>
          <w:sz w:val="22"/>
        </w:rPr>
      </w:pPr>
    </w:p>
    <w:p w14:paraId="6E6E0BAF" w14:textId="77777777" w:rsidR="009021F1" w:rsidRPr="007E3D1A" w:rsidRDefault="009021F1" w:rsidP="009021F1">
      <w:pPr>
        <w:rPr>
          <w:rFonts w:cs="Arial"/>
          <w:sz w:val="22"/>
        </w:rPr>
      </w:pPr>
    </w:p>
    <w:p w14:paraId="0EC32B84" w14:textId="77777777" w:rsidR="009021F1" w:rsidRPr="007E3D1A" w:rsidRDefault="009021F1" w:rsidP="009021F1">
      <w:pPr>
        <w:rPr>
          <w:rFonts w:cs="Arial"/>
          <w:sz w:val="22"/>
        </w:rPr>
      </w:pPr>
    </w:p>
    <w:p w14:paraId="70693301" w14:textId="77777777" w:rsidR="009021F1" w:rsidRPr="007E3D1A" w:rsidRDefault="009021F1" w:rsidP="009021F1">
      <w:pPr>
        <w:rPr>
          <w:rFonts w:cs="Arial"/>
          <w:sz w:val="22"/>
        </w:rPr>
      </w:pPr>
    </w:p>
    <w:p w14:paraId="0ED69538" w14:textId="77777777" w:rsidR="009021F1" w:rsidRPr="007E3D1A" w:rsidRDefault="009021F1" w:rsidP="009021F1">
      <w:pPr>
        <w:rPr>
          <w:rFonts w:cs="Arial"/>
          <w:sz w:val="22"/>
        </w:rPr>
      </w:pPr>
    </w:p>
    <w:p w14:paraId="59272F87" w14:textId="77777777" w:rsidR="009021F1" w:rsidRPr="007E3D1A" w:rsidRDefault="009021F1" w:rsidP="009021F1">
      <w:pPr>
        <w:rPr>
          <w:rFonts w:cs="Arial"/>
          <w:sz w:val="22"/>
        </w:rPr>
      </w:pPr>
    </w:p>
    <w:p w14:paraId="4F5731FF" w14:textId="77777777" w:rsidR="009021F1" w:rsidRPr="007E3D1A" w:rsidRDefault="009021F1" w:rsidP="009021F1">
      <w:pPr>
        <w:rPr>
          <w:rFonts w:cs="Arial"/>
          <w:sz w:val="22"/>
        </w:rPr>
      </w:pPr>
    </w:p>
    <w:p w14:paraId="5F25E950" w14:textId="77777777" w:rsidR="009021F1" w:rsidRPr="007E3D1A" w:rsidRDefault="009021F1" w:rsidP="009021F1">
      <w:pPr>
        <w:rPr>
          <w:rFonts w:cs="Arial"/>
          <w:sz w:val="22"/>
        </w:rPr>
      </w:pPr>
    </w:p>
    <w:p w14:paraId="4C748E8F" w14:textId="77777777" w:rsidR="009021F1" w:rsidRPr="007E3D1A" w:rsidRDefault="009021F1" w:rsidP="009021F1">
      <w:pPr>
        <w:rPr>
          <w:rFonts w:cs="Arial"/>
          <w:sz w:val="22"/>
        </w:rPr>
      </w:pPr>
    </w:p>
    <w:p w14:paraId="2E8DDE64" w14:textId="77777777" w:rsidR="009021F1" w:rsidRPr="007E3D1A" w:rsidRDefault="009021F1" w:rsidP="009021F1">
      <w:pPr>
        <w:rPr>
          <w:rFonts w:cs="Arial"/>
          <w:sz w:val="22"/>
        </w:rPr>
      </w:pPr>
      <w:r w:rsidRPr="007E3D1A">
        <w:rPr>
          <w:rFonts w:cs="Arial"/>
          <w:sz w:val="22"/>
        </w:rPr>
        <w:t>Photos 3 et 4. Réunion de consultation du public organisée dans la Ville de Kananga dans la Province du Kasaï Central</w:t>
      </w:r>
    </w:p>
    <w:p w14:paraId="13995F06" w14:textId="77777777" w:rsidR="009021F1" w:rsidRPr="007E3D1A" w:rsidRDefault="009021F1" w:rsidP="009021F1">
      <w:pPr>
        <w:rPr>
          <w:rFonts w:cs="Arial"/>
          <w:sz w:val="22"/>
        </w:rPr>
      </w:pPr>
      <w:r w:rsidRPr="00730A4A">
        <w:rPr>
          <w:rFonts w:cs="Arial"/>
          <w:noProof/>
          <w:sz w:val="22"/>
        </w:rPr>
        <w:drawing>
          <wp:inline distT="0" distB="0" distL="0" distR="0" wp14:anchorId="76C045BD" wp14:editId="494062E3">
            <wp:extent cx="5443855" cy="2445385"/>
            <wp:effectExtent l="0" t="0" r="0" b="0"/>
            <wp:docPr id="4010" name="Image 190" descr="C:\Users\user\Documents\PNDA MAI 2020\CGES PNDA\Photos Kananga\IMG-20200523-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 descr="C:\Users\user\Documents\PNDA MAI 2020\CGES PNDA\Photos Kananga\IMG-20200523-WA0053.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443855" cy="2445385"/>
                    </a:xfrm>
                    <a:prstGeom prst="rect">
                      <a:avLst/>
                    </a:prstGeom>
                    <a:noFill/>
                    <a:ln>
                      <a:noFill/>
                    </a:ln>
                  </pic:spPr>
                </pic:pic>
              </a:graphicData>
            </a:graphic>
          </wp:inline>
        </w:drawing>
      </w:r>
    </w:p>
    <w:p w14:paraId="7DDF2199" w14:textId="77777777" w:rsidR="009021F1" w:rsidRPr="007E3D1A" w:rsidRDefault="009021F1" w:rsidP="009021F1">
      <w:pPr>
        <w:rPr>
          <w:rFonts w:cs="Arial"/>
          <w:sz w:val="22"/>
        </w:rPr>
      </w:pPr>
    </w:p>
    <w:p w14:paraId="7418E22A" w14:textId="77777777" w:rsidR="009021F1" w:rsidRPr="007E3D1A" w:rsidRDefault="009021F1" w:rsidP="009021F1">
      <w:pPr>
        <w:rPr>
          <w:rFonts w:cs="Arial"/>
          <w:sz w:val="22"/>
        </w:rPr>
      </w:pPr>
      <w:r w:rsidRPr="00730A4A">
        <w:rPr>
          <w:rFonts w:cs="Arial"/>
          <w:noProof/>
          <w:sz w:val="22"/>
        </w:rPr>
        <w:drawing>
          <wp:inline distT="0" distB="0" distL="0" distR="0" wp14:anchorId="461E88CA" wp14:editId="1C727D8F">
            <wp:extent cx="5518150" cy="2487930"/>
            <wp:effectExtent l="0" t="0" r="0" b="0"/>
            <wp:docPr id="4011" name="Image 191" descr="C:\Users\user\Documents\PNDA MAI 2020\CGES PNDA\Photos Kananga\IMG-20200523-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1" descr="C:\Users\user\Documents\PNDA MAI 2020\CGES PNDA\Photos Kananga\IMG-20200523-WA0046.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518150" cy="2487930"/>
                    </a:xfrm>
                    <a:prstGeom prst="rect">
                      <a:avLst/>
                    </a:prstGeom>
                    <a:noFill/>
                    <a:ln>
                      <a:noFill/>
                    </a:ln>
                  </pic:spPr>
                </pic:pic>
              </a:graphicData>
            </a:graphic>
          </wp:inline>
        </w:drawing>
      </w:r>
    </w:p>
    <w:p w14:paraId="79A96190" w14:textId="77777777" w:rsidR="009021F1" w:rsidRPr="007E3D1A" w:rsidRDefault="009021F1" w:rsidP="009021F1">
      <w:pPr>
        <w:rPr>
          <w:rFonts w:cs="Arial"/>
          <w:sz w:val="22"/>
        </w:rPr>
      </w:pPr>
    </w:p>
    <w:p w14:paraId="7210B856" w14:textId="77777777" w:rsidR="009021F1" w:rsidRPr="007E3D1A" w:rsidRDefault="009021F1" w:rsidP="009021F1">
      <w:pPr>
        <w:rPr>
          <w:rFonts w:cs="Arial"/>
          <w:sz w:val="22"/>
        </w:rPr>
      </w:pPr>
      <w:r w:rsidRPr="007E3D1A">
        <w:rPr>
          <w:rFonts w:cs="Arial"/>
          <w:sz w:val="22"/>
        </w:rPr>
        <w:t>Photos 5 et 6. Réunion de consultation du public organisée dans la Ville de Tshikapa dans la Province du Kasaï</w:t>
      </w:r>
    </w:p>
    <w:p w14:paraId="067CB228" w14:textId="77777777" w:rsidR="009021F1" w:rsidRPr="007E3D1A" w:rsidRDefault="009021F1" w:rsidP="009021F1">
      <w:pPr>
        <w:rPr>
          <w:rFonts w:cs="Arial"/>
          <w:sz w:val="22"/>
        </w:rPr>
      </w:pPr>
      <w:r w:rsidRPr="00730A4A">
        <w:rPr>
          <w:rFonts w:cs="Arial"/>
          <w:noProof/>
          <w:sz w:val="22"/>
        </w:rPr>
        <w:drawing>
          <wp:inline distT="0" distB="0" distL="0" distR="0" wp14:anchorId="6F47980F" wp14:editId="28A171BC">
            <wp:extent cx="5582285" cy="2509520"/>
            <wp:effectExtent l="0" t="0" r="0" b="0"/>
            <wp:docPr id="4023" name="Image 192" descr="C:\Users\user\Documents\PNDA MAI 2020\CGES PNDA\TSHIKAPA\IMG-20200610-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 descr="C:\Users\user\Documents\PNDA MAI 2020\CGES PNDA\TSHIKAPA\IMG-20200610-WA0019.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582285" cy="2509520"/>
                    </a:xfrm>
                    <a:prstGeom prst="rect">
                      <a:avLst/>
                    </a:prstGeom>
                    <a:noFill/>
                    <a:ln>
                      <a:noFill/>
                    </a:ln>
                  </pic:spPr>
                </pic:pic>
              </a:graphicData>
            </a:graphic>
          </wp:inline>
        </w:drawing>
      </w:r>
    </w:p>
    <w:p w14:paraId="78CB6632" w14:textId="77777777" w:rsidR="009021F1" w:rsidRPr="007E3D1A" w:rsidRDefault="009021F1" w:rsidP="009021F1">
      <w:pPr>
        <w:rPr>
          <w:rFonts w:cs="Arial"/>
          <w:sz w:val="22"/>
        </w:rPr>
      </w:pPr>
    </w:p>
    <w:p w14:paraId="2E1C78D0" w14:textId="77777777" w:rsidR="009021F1" w:rsidRPr="007E3D1A" w:rsidRDefault="009021F1" w:rsidP="009021F1">
      <w:pPr>
        <w:rPr>
          <w:rFonts w:cs="Arial"/>
          <w:sz w:val="22"/>
        </w:rPr>
      </w:pPr>
      <w:r w:rsidRPr="00730A4A">
        <w:rPr>
          <w:rFonts w:cs="Arial"/>
          <w:noProof/>
          <w:sz w:val="22"/>
        </w:rPr>
        <w:drawing>
          <wp:inline distT="0" distB="0" distL="0" distR="0" wp14:anchorId="5494FD8E" wp14:editId="72D01CA1">
            <wp:extent cx="5582285" cy="2509520"/>
            <wp:effectExtent l="0" t="0" r="0" b="0"/>
            <wp:docPr id="4024" name="Image 193" descr="C:\Users\user\Documents\PNDA MAI 2020\CGES PNDA\TSHIKAPA\IMG-20200610-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3" descr="C:\Users\user\Documents\PNDA MAI 2020\CGES PNDA\TSHIKAPA\IMG-20200610-WA0033.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582285" cy="2509520"/>
                    </a:xfrm>
                    <a:prstGeom prst="rect">
                      <a:avLst/>
                    </a:prstGeom>
                    <a:noFill/>
                    <a:ln>
                      <a:noFill/>
                    </a:ln>
                  </pic:spPr>
                </pic:pic>
              </a:graphicData>
            </a:graphic>
          </wp:inline>
        </w:drawing>
      </w:r>
    </w:p>
    <w:p w14:paraId="155385BA" w14:textId="77777777" w:rsidR="009021F1" w:rsidRPr="007E3D1A" w:rsidRDefault="009021F1" w:rsidP="009021F1">
      <w:pPr>
        <w:rPr>
          <w:rFonts w:cs="Arial"/>
          <w:sz w:val="22"/>
        </w:rPr>
      </w:pPr>
    </w:p>
    <w:p w14:paraId="403DF2F5" w14:textId="77777777" w:rsidR="009021F1" w:rsidRPr="007E3D1A" w:rsidRDefault="009021F1" w:rsidP="009021F1">
      <w:pPr>
        <w:rPr>
          <w:rFonts w:cs="Arial"/>
          <w:sz w:val="22"/>
        </w:rPr>
      </w:pPr>
      <w:r w:rsidRPr="007E3D1A">
        <w:rPr>
          <w:rFonts w:cs="Arial"/>
          <w:sz w:val="22"/>
        </w:rPr>
        <w:t>Photo 7. Présentation des civilités auprès du Ministre Provincial de l’Agriculture, Pêche et Élevage, et Développement Rural du Kwilu dans la Ville de Bandundu</w:t>
      </w:r>
    </w:p>
    <w:p w14:paraId="239E784C" w14:textId="77777777" w:rsidR="009021F1" w:rsidRPr="007E3D1A" w:rsidRDefault="009021F1" w:rsidP="009021F1">
      <w:pPr>
        <w:rPr>
          <w:rFonts w:cs="Arial"/>
          <w:sz w:val="22"/>
        </w:rPr>
      </w:pPr>
      <w:r w:rsidRPr="00730A4A">
        <w:rPr>
          <w:rFonts w:cs="Arial"/>
          <w:noProof/>
          <w:sz w:val="22"/>
        </w:rPr>
        <w:drawing>
          <wp:inline distT="0" distB="0" distL="0" distR="0" wp14:anchorId="34E749D8" wp14:editId="2808B8F7">
            <wp:extent cx="5582285" cy="2711450"/>
            <wp:effectExtent l="0" t="0" r="0" b="0"/>
            <wp:docPr id="4025" name="Image 194" descr="C:\Users\user\Documents\PNDA MAI 2020\CGES PNDA\PNDA_Missions de terrain\BDD\IMG-20200615-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4" descr="C:\Users\user\Documents\PNDA MAI 2020\CGES PNDA\PNDA_Missions de terrain\BDD\IMG-20200615-WA0021.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582285" cy="2711450"/>
                    </a:xfrm>
                    <a:prstGeom prst="rect">
                      <a:avLst/>
                    </a:prstGeom>
                    <a:noFill/>
                    <a:ln>
                      <a:noFill/>
                    </a:ln>
                  </pic:spPr>
                </pic:pic>
              </a:graphicData>
            </a:graphic>
          </wp:inline>
        </w:drawing>
      </w:r>
    </w:p>
    <w:p w14:paraId="1179C68A" w14:textId="77777777" w:rsidR="009021F1" w:rsidRPr="007E3D1A" w:rsidRDefault="009021F1" w:rsidP="009021F1">
      <w:pPr>
        <w:rPr>
          <w:rFonts w:cs="Arial"/>
          <w:sz w:val="22"/>
        </w:rPr>
      </w:pPr>
    </w:p>
    <w:p w14:paraId="07C26830" w14:textId="77777777" w:rsidR="009021F1" w:rsidRPr="007E3D1A" w:rsidRDefault="009021F1" w:rsidP="009021F1">
      <w:pPr>
        <w:rPr>
          <w:rFonts w:cs="Arial"/>
          <w:sz w:val="22"/>
        </w:rPr>
      </w:pPr>
      <w:r>
        <w:rPr>
          <w:noProof/>
        </w:rPr>
        <w:drawing>
          <wp:anchor distT="0" distB="0" distL="114300" distR="114300" simplePos="0" relativeHeight="251710508" behindDoc="0" locked="0" layoutInCell="1" allowOverlap="1" wp14:anchorId="71AC98DF" wp14:editId="0571853F">
            <wp:simplePos x="0" y="0"/>
            <wp:positionH relativeFrom="column">
              <wp:posOffset>90170</wp:posOffset>
            </wp:positionH>
            <wp:positionV relativeFrom="paragraph">
              <wp:posOffset>351155</wp:posOffset>
            </wp:positionV>
            <wp:extent cx="5578475" cy="2711450"/>
            <wp:effectExtent l="0" t="0" r="0" b="0"/>
            <wp:wrapNone/>
            <wp:docPr id="4026" name="Image 195" descr="C:\Users\user\Documents\PNDA MAI 2020\CGES PNDA\PNDA_Missions de terrain\BDD\IMG-20200615-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5" descr="C:\Users\user\Documents\PNDA MAI 2020\CGES PNDA\PNDA_Missions de terrain\BDD\IMG-20200615-WA0033.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578475" cy="271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3D1A">
        <w:rPr>
          <w:rFonts w:cs="Arial"/>
          <w:sz w:val="22"/>
        </w:rPr>
        <w:t>Photo 8. Réunion d’e consultation du public organisée dans la salle de réunion de l’Inspection Provinciale de l’Agriculture du Kwilu / Ville de Bandundu</w:t>
      </w:r>
    </w:p>
    <w:p w14:paraId="4823BAED" w14:textId="77777777" w:rsidR="009021F1" w:rsidRPr="007E3D1A" w:rsidRDefault="009021F1" w:rsidP="009021F1">
      <w:pPr>
        <w:rPr>
          <w:rFonts w:cs="Arial"/>
          <w:sz w:val="22"/>
        </w:rPr>
      </w:pPr>
    </w:p>
    <w:p w14:paraId="1DC6E680" w14:textId="77777777" w:rsidR="009021F1" w:rsidRPr="007E3D1A" w:rsidRDefault="009021F1" w:rsidP="009021F1">
      <w:pPr>
        <w:rPr>
          <w:rFonts w:cs="Arial"/>
          <w:sz w:val="22"/>
        </w:rPr>
      </w:pPr>
    </w:p>
    <w:p w14:paraId="72856C27" w14:textId="77777777" w:rsidR="009021F1" w:rsidRPr="007E3D1A" w:rsidRDefault="009021F1" w:rsidP="009021F1">
      <w:pPr>
        <w:rPr>
          <w:rFonts w:cs="Arial"/>
          <w:sz w:val="22"/>
        </w:rPr>
      </w:pPr>
      <w:r w:rsidRPr="007E3D1A">
        <w:rPr>
          <w:rFonts w:cs="Arial"/>
          <w:sz w:val="22"/>
        </w:rPr>
        <w:br w:type="page"/>
      </w:r>
    </w:p>
    <w:p w14:paraId="03930217" w14:textId="77777777" w:rsidR="009021F1" w:rsidRPr="007E3D1A" w:rsidRDefault="009021F1" w:rsidP="009021F1">
      <w:pPr>
        <w:rPr>
          <w:rFonts w:cs="Arial"/>
          <w:sz w:val="22"/>
        </w:rPr>
      </w:pPr>
      <w:r w:rsidRPr="007E3D1A">
        <w:rPr>
          <w:rFonts w:cs="Arial"/>
          <w:sz w:val="22"/>
        </w:rPr>
        <w:t xml:space="preserve">Photos 9 et 10 Réunion d’e consultation du public organisée dans la salle Polyvalente de la Maison de la femme du Ministère Provincial du Genre, Familles et Enfats du Nord-Kivu / Ville de Goma </w:t>
      </w:r>
    </w:p>
    <w:p w14:paraId="39C3F1D1" w14:textId="77777777" w:rsidR="009021F1" w:rsidRPr="007E3D1A" w:rsidRDefault="009021F1" w:rsidP="009021F1">
      <w:pPr>
        <w:rPr>
          <w:rFonts w:cs="Arial"/>
          <w:sz w:val="22"/>
        </w:rPr>
      </w:pPr>
      <w:r w:rsidRPr="00730A4A">
        <w:rPr>
          <w:rFonts w:cs="Arial"/>
          <w:noProof/>
          <w:sz w:val="22"/>
        </w:rPr>
        <w:drawing>
          <wp:inline distT="0" distB="0" distL="0" distR="0" wp14:anchorId="6F117A74" wp14:editId="0C93B9AB">
            <wp:extent cx="4316730" cy="3242945"/>
            <wp:effectExtent l="0" t="0" r="0" b="0"/>
            <wp:docPr id="4027" name="Image 196" descr="C:\Users\HP Notebook\Pictures\Dossier PNDA_ Goma juin 2020\PHOTOS CONSULTATION GOMA PNDA\TimePhoto_20200619_123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6" descr="C:\Users\HP Notebook\Pictures\Dossier PNDA_ Goma juin 2020\PHOTOS CONSULTATION GOMA PNDA\TimePhoto_20200619_123413.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316730" cy="3242945"/>
                    </a:xfrm>
                    <a:prstGeom prst="rect">
                      <a:avLst/>
                    </a:prstGeom>
                    <a:noFill/>
                    <a:ln>
                      <a:noFill/>
                    </a:ln>
                  </pic:spPr>
                </pic:pic>
              </a:graphicData>
            </a:graphic>
          </wp:inline>
        </w:drawing>
      </w:r>
    </w:p>
    <w:p w14:paraId="2D20A104" w14:textId="77777777" w:rsidR="009021F1" w:rsidRPr="007E3D1A" w:rsidRDefault="009021F1" w:rsidP="009021F1">
      <w:pPr>
        <w:rPr>
          <w:rFonts w:cs="Arial"/>
          <w:sz w:val="22"/>
        </w:rPr>
      </w:pPr>
    </w:p>
    <w:p w14:paraId="57CDD1DF" w14:textId="77777777" w:rsidR="009021F1" w:rsidRPr="007E3D1A" w:rsidRDefault="009021F1" w:rsidP="009021F1">
      <w:pPr>
        <w:rPr>
          <w:rFonts w:cs="Arial"/>
          <w:sz w:val="22"/>
        </w:rPr>
      </w:pPr>
      <w:r>
        <w:rPr>
          <w:noProof/>
        </w:rPr>
        <w:drawing>
          <wp:anchor distT="0" distB="0" distL="114300" distR="114300" simplePos="0" relativeHeight="251709484" behindDoc="0" locked="0" layoutInCell="1" allowOverlap="1" wp14:anchorId="1A467C9C" wp14:editId="1D273BF3">
            <wp:simplePos x="0" y="0"/>
            <wp:positionH relativeFrom="column">
              <wp:posOffset>655320</wp:posOffset>
            </wp:positionH>
            <wp:positionV relativeFrom="paragraph">
              <wp:posOffset>22225</wp:posOffset>
            </wp:positionV>
            <wp:extent cx="4320540" cy="3239770"/>
            <wp:effectExtent l="0" t="0" r="0" b="0"/>
            <wp:wrapThrough wrapText="bothSides">
              <wp:wrapPolygon edited="0">
                <wp:start x="0" y="0"/>
                <wp:lineTo x="0" y="21465"/>
                <wp:lineTo x="21524" y="21465"/>
                <wp:lineTo x="21524" y="0"/>
                <wp:lineTo x="0" y="0"/>
              </wp:wrapPolygon>
            </wp:wrapThrough>
            <wp:docPr id="4028" name="Image 197" descr="C:\Users\HP Notebook\Pictures\Dossier PNDA_ Goma juin 2020\PHOTOS CONSULTATION GOMA PNDA\TimePhoto_20200619_145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7" descr="C:\Users\HP Notebook\Pictures\Dossier PNDA_ Goma juin 2020\PHOTOS CONSULTATION GOMA PNDA\TimePhoto_20200619_145256.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320540" cy="3239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F9336D" w14:textId="77777777" w:rsidR="009021F1" w:rsidRPr="007E3D1A" w:rsidRDefault="009021F1" w:rsidP="009021F1">
      <w:pPr>
        <w:rPr>
          <w:rFonts w:cs="Arial"/>
          <w:sz w:val="22"/>
        </w:rPr>
      </w:pPr>
    </w:p>
    <w:p w14:paraId="2C36A727" w14:textId="77777777" w:rsidR="009021F1" w:rsidRPr="007E3D1A" w:rsidRDefault="009021F1" w:rsidP="009021F1">
      <w:pPr>
        <w:rPr>
          <w:rFonts w:cs="Arial"/>
          <w:sz w:val="22"/>
        </w:rPr>
      </w:pPr>
    </w:p>
    <w:p w14:paraId="47B752BE" w14:textId="77777777" w:rsidR="009021F1" w:rsidRPr="007E3D1A" w:rsidRDefault="009021F1" w:rsidP="009021F1">
      <w:pPr>
        <w:rPr>
          <w:rFonts w:cs="Arial"/>
          <w:sz w:val="22"/>
        </w:rPr>
      </w:pPr>
    </w:p>
    <w:p w14:paraId="5EEE191D" w14:textId="77777777" w:rsidR="009021F1" w:rsidRPr="007E3D1A" w:rsidRDefault="009021F1" w:rsidP="009021F1">
      <w:pPr>
        <w:rPr>
          <w:rFonts w:cs="Arial"/>
          <w:sz w:val="22"/>
        </w:rPr>
      </w:pPr>
    </w:p>
    <w:p w14:paraId="6F46626C" w14:textId="77777777" w:rsidR="009021F1" w:rsidRPr="007E3D1A" w:rsidRDefault="009021F1" w:rsidP="009021F1">
      <w:pPr>
        <w:rPr>
          <w:rFonts w:cs="Arial"/>
          <w:sz w:val="22"/>
        </w:rPr>
      </w:pPr>
    </w:p>
    <w:p w14:paraId="7A3AB0DB" w14:textId="77777777" w:rsidR="009021F1" w:rsidRPr="007E3D1A" w:rsidRDefault="009021F1" w:rsidP="009021F1">
      <w:pPr>
        <w:rPr>
          <w:rFonts w:cs="Arial"/>
          <w:sz w:val="22"/>
        </w:rPr>
      </w:pPr>
    </w:p>
    <w:p w14:paraId="389FC9DB" w14:textId="77777777" w:rsidR="009021F1" w:rsidRPr="007E3D1A" w:rsidRDefault="009021F1" w:rsidP="009021F1">
      <w:pPr>
        <w:rPr>
          <w:rFonts w:cs="Arial"/>
          <w:sz w:val="22"/>
        </w:rPr>
      </w:pPr>
    </w:p>
    <w:p w14:paraId="650F999E" w14:textId="77777777" w:rsidR="009021F1" w:rsidRPr="007E3D1A" w:rsidRDefault="009021F1" w:rsidP="009021F1">
      <w:pPr>
        <w:rPr>
          <w:rFonts w:cs="Arial"/>
          <w:sz w:val="22"/>
        </w:rPr>
      </w:pPr>
    </w:p>
    <w:p w14:paraId="2285320B" w14:textId="77777777" w:rsidR="009021F1" w:rsidRPr="007E3D1A" w:rsidRDefault="009021F1" w:rsidP="009021F1">
      <w:pPr>
        <w:rPr>
          <w:rFonts w:cs="Arial"/>
          <w:sz w:val="22"/>
        </w:rPr>
      </w:pPr>
    </w:p>
    <w:p w14:paraId="6ADD9C32" w14:textId="77777777" w:rsidR="009021F1" w:rsidRPr="007E3D1A" w:rsidRDefault="009021F1" w:rsidP="009021F1">
      <w:pPr>
        <w:rPr>
          <w:rFonts w:cs="Arial"/>
          <w:sz w:val="22"/>
        </w:rPr>
      </w:pPr>
    </w:p>
    <w:p w14:paraId="52BE1FF3" w14:textId="77777777" w:rsidR="009021F1" w:rsidRPr="007E3D1A" w:rsidRDefault="009021F1" w:rsidP="009021F1">
      <w:pPr>
        <w:rPr>
          <w:rFonts w:cs="Arial"/>
          <w:sz w:val="22"/>
        </w:rPr>
      </w:pPr>
    </w:p>
    <w:p w14:paraId="62DC9BCB" w14:textId="77777777" w:rsidR="009021F1" w:rsidRPr="007E3D1A" w:rsidRDefault="009021F1" w:rsidP="009021F1">
      <w:pPr>
        <w:rPr>
          <w:rFonts w:cs="Arial"/>
          <w:sz w:val="22"/>
        </w:rPr>
      </w:pPr>
    </w:p>
    <w:p w14:paraId="4451B7E0" w14:textId="77777777" w:rsidR="009021F1" w:rsidRPr="007E3D1A" w:rsidRDefault="009021F1" w:rsidP="009021F1">
      <w:pPr>
        <w:rPr>
          <w:rFonts w:cs="Arial"/>
          <w:sz w:val="22"/>
        </w:rPr>
      </w:pPr>
    </w:p>
    <w:p w14:paraId="0E07F341" w14:textId="77777777" w:rsidR="009021F1" w:rsidRPr="007E3D1A" w:rsidRDefault="009021F1" w:rsidP="009021F1">
      <w:pPr>
        <w:rPr>
          <w:rFonts w:cs="Arial"/>
          <w:sz w:val="22"/>
        </w:rPr>
      </w:pPr>
    </w:p>
    <w:p w14:paraId="620BC726" w14:textId="77777777" w:rsidR="009021F1" w:rsidRPr="007E3D1A" w:rsidRDefault="009021F1" w:rsidP="009021F1">
      <w:pPr>
        <w:rPr>
          <w:rFonts w:cs="Arial"/>
          <w:sz w:val="22"/>
        </w:rPr>
      </w:pPr>
    </w:p>
    <w:p w14:paraId="78E3E208" w14:textId="77777777" w:rsidR="009021F1" w:rsidRPr="007E3D1A" w:rsidRDefault="009021F1" w:rsidP="009021F1">
      <w:pPr>
        <w:rPr>
          <w:rFonts w:cs="Arial"/>
          <w:sz w:val="22"/>
        </w:rPr>
      </w:pPr>
    </w:p>
    <w:p w14:paraId="596335F4" w14:textId="77777777" w:rsidR="009021F1" w:rsidRPr="007E3D1A" w:rsidRDefault="009021F1" w:rsidP="009021F1">
      <w:pPr>
        <w:rPr>
          <w:rFonts w:cs="Arial"/>
          <w:sz w:val="22"/>
        </w:rPr>
      </w:pPr>
    </w:p>
    <w:p w14:paraId="4E19C4F4" w14:textId="77777777" w:rsidR="009021F1" w:rsidRPr="007E3D1A" w:rsidRDefault="009021F1" w:rsidP="009021F1">
      <w:pPr>
        <w:rPr>
          <w:rFonts w:cs="Arial"/>
          <w:sz w:val="22"/>
        </w:rPr>
      </w:pPr>
      <w:r w:rsidRPr="007E3D1A">
        <w:rPr>
          <w:rFonts w:cs="Arial"/>
          <w:sz w:val="22"/>
        </w:rPr>
        <w:br w:type="page"/>
      </w:r>
    </w:p>
    <w:p w14:paraId="4DA5B362" w14:textId="77777777" w:rsidR="009021F1" w:rsidRPr="007E3D1A" w:rsidRDefault="009021F1" w:rsidP="009021F1">
      <w:pPr>
        <w:rPr>
          <w:rFonts w:cs="Arial"/>
          <w:sz w:val="22"/>
        </w:rPr>
      </w:pPr>
      <w:r w:rsidRPr="007E3D1A">
        <w:rPr>
          <w:rFonts w:cs="Arial"/>
          <w:sz w:val="22"/>
        </w:rPr>
        <w:t>ANNEXE 10.B) PHOTOS DES ATELIERS DE RESTITUTION</w:t>
      </w:r>
    </w:p>
    <w:p w14:paraId="68DFA245" w14:textId="77777777" w:rsidR="009021F1" w:rsidRPr="007E3D1A" w:rsidRDefault="009021F1" w:rsidP="009021F1">
      <w:pPr>
        <w:rPr>
          <w:rFonts w:cs="Arial"/>
          <w:sz w:val="22"/>
        </w:rPr>
      </w:pPr>
    </w:p>
    <w:p w14:paraId="666131F1" w14:textId="77777777" w:rsidR="009021F1" w:rsidRPr="007E3D1A" w:rsidRDefault="009021F1" w:rsidP="009021F1">
      <w:pPr>
        <w:rPr>
          <w:rFonts w:cs="Arial"/>
          <w:sz w:val="22"/>
        </w:rPr>
      </w:pPr>
      <w:r w:rsidRPr="007E3D1A">
        <w:rPr>
          <w:rFonts w:cs="Arial"/>
          <w:sz w:val="22"/>
        </w:rPr>
        <w:t>Photos 11 et 12 Atelier de restitution de Goma dans la Province du Nors-Kivu</w:t>
      </w:r>
    </w:p>
    <w:p w14:paraId="39C5D493" w14:textId="77777777" w:rsidR="009021F1" w:rsidRPr="007E3D1A" w:rsidRDefault="009021F1" w:rsidP="009021F1">
      <w:pPr>
        <w:rPr>
          <w:rFonts w:cs="Arial"/>
          <w:sz w:val="22"/>
        </w:rPr>
      </w:pPr>
      <w:r>
        <w:rPr>
          <w:noProof/>
        </w:rPr>
        <w:drawing>
          <wp:anchor distT="0" distB="0" distL="114300" distR="114300" simplePos="0" relativeHeight="251714604" behindDoc="1" locked="0" layoutInCell="1" allowOverlap="1" wp14:anchorId="05339380" wp14:editId="26AE4E26">
            <wp:simplePos x="0" y="0"/>
            <wp:positionH relativeFrom="column">
              <wp:posOffset>-43815</wp:posOffset>
            </wp:positionH>
            <wp:positionV relativeFrom="paragraph">
              <wp:posOffset>54610</wp:posOffset>
            </wp:positionV>
            <wp:extent cx="5760720" cy="3239135"/>
            <wp:effectExtent l="0" t="0" r="0" b="0"/>
            <wp:wrapNone/>
            <wp:docPr id="4029" name="Image 198" descr="C:\Users\HP SPECTRE\Documents\Groupement SCET-TUNISIE-GECT-OKAPI-EGC\Goma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 descr="C:\Users\HP SPECTRE\Documents\Groupement SCET-TUNISIE-GECT-OKAPI-EGC\Goma2.jf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760720" cy="3239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78E610" w14:textId="77777777" w:rsidR="009021F1" w:rsidRPr="007E3D1A" w:rsidRDefault="009021F1" w:rsidP="009021F1">
      <w:pPr>
        <w:rPr>
          <w:rFonts w:cs="Arial"/>
          <w:sz w:val="22"/>
        </w:rPr>
      </w:pPr>
    </w:p>
    <w:p w14:paraId="3A1EEBC6" w14:textId="77777777" w:rsidR="009021F1" w:rsidRPr="007E3D1A" w:rsidRDefault="009021F1" w:rsidP="009021F1">
      <w:pPr>
        <w:rPr>
          <w:rFonts w:cs="Arial"/>
          <w:sz w:val="22"/>
        </w:rPr>
      </w:pPr>
    </w:p>
    <w:p w14:paraId="4F47DD6D" w14:textId="77777777" w:rsidR="009021F1" w:rsidRPr="007E3D1A" w:rsidRDefault="009021F1" w:rsidP="009021F1">
      <w:pPr>
        <w:rPr>
          <w:rFonts w:cs="Arial"/>
          <w:sz w:val="22"/>
        </w:rPr>
      </w:pPr>
    </w:p>
    <w:p w14:paraId="130677EA" w14:textId="77777777" w:rsidR="009021F1" w:rsidRPr="007E3D1A" w:rsidRDefault="009021F1" w:rsidP="009021F1">
      <w:pPr>
        <w:rPr>
          <w:rFonts w:cs="Arial"/>
          <w:sz w:val="22"/>
        </w:rPr>
      </w:pPr>
    </w:p>
    <w:p w14:paraId="7A331343" w14:textId="77777777" w:rsidR="009021F1" w:rsidRPr="007E3D1A" w:rsidRDefault="009021F1" w:rsidP="009021F1">
      <w:pPr>
        <w:rPr>
          <w:rFonts w:cs="Arial"/>
          <w:sz w:val="22"/>
        </w:rPr>
      </w:pPr>
    </w:p>
    <w:p w14:paraId="1476E794" w14:textId="77777777" w:rsidR="009021F1" w:rsidRPr="007E3D1A" w:rsidRDefault="009021F1" w:rsidP="009021F1">
      <w:pPr>
        <w:rPr>
          <w:rFonts w:cs="Arial"/>
          <w:sz w:val="22"/>
        </w:rPr>
      </w:pPr>
    </w:p>
    <w:p w14:paraId="309EE485" w14:textId="77777777" w:rsidR="009021F1" w:rsidRPr="007E3D1A" w:rsidRDefault="009021F1" w:rsidP="009021F1">
      <w:pPr>
        <w:rPr>
          <w:rFonts w:cs="Arial"/>
          <w:sz w:val="22"/>
        </w:rPr>
      </w:pPr>
    </w:p>
    <w:p w14:paraId="5AB18E4B" w14:textId="77777777" w:rsidR="009021F1" w:rsidRPr="007E3D1A" w:rsidRDefault="009021F1" w:rsidP="009021F1">
      <w:pPr>
        <w:rPr>
          <w:rFonts w:cs="Arial"/>
          <w:sz w:val="22"/>
        </w:rPr>
      </w:pPr>
    </w:p>
    <w:p w14:paraId="68ACB420" w14:textId="77777777" w:rsidR="009021F1" w:rsidRPr="007E3D1A" w:rsidRDefault="009021F1" w:rsidP="009021F1">
      <w:pPr>
        <w:rPr>
          <w:rFonts w:cs="Arial"/>
          <w:sz w:val="22"/>
        </w:rPr>
      </w:pPr>
    </w:p>
    <w:p w14:paraId="44872A82" w14:textId="77777777" w:rsidR="009021F1" w:rsidRPr="007E3D1A" w:rsidRDefault="009021F1" w:rsidP="009021F1">
      <w:pPr>
        <w:rPr>
          <w:rFonts w:cs="Arial"/>
          <w:sz w:val="22"/>
        </w:rPr>
      </w:pPr>
    </w:p>
    <w:p w14:paraId="107692DF" w14:textId="77777777" w:rsidR="009021F1" w:rsidRPr="007E3D1A" w:rsidRDefault="009021F1" w:rsidP="009021F1">
      <w:pPr>
        <w:rPr>
          <w:rFonts w:cs="Arial"/>
          <w:sz w:val="22"/>
        </w:rPr>
      </w:pPr>
    </w:p>
    <w:p w14:paraId="2FED4017" w14:textId="77777777" w:rsidR="009021F1" w:rsidRPr="007E3D1A" w:rsidRDefault="009021F1" w:rsidP="009021F1">
      <w:pPr>
        <w:rPr>
          <w:rFonts w:cs="Arial"/>
          <w:sz w:val="22"/>
        </w:rPr>
      </w:pPr>
    </w:p>
    <w:p w14:paraId="3BC08C58" w14:textId="77777777" w:rsidR="009021F1" w:rsidRPr="007E3D1A" w:rsidRDefault="009021F1" w:rsidP="009021F1">
      <w:pPr>
        <w:rPr>
          <w:rFonts w:cs="Arial"/>
          <w:sz w:val="22"/>
        </w:rPr>
      </w:pPr>
    </w:p>
    <w:p w14:paraId="64D4EB93" w14:textId="77777777" w:rsidR="009021F1" w:rsidRPr="007E3D1A" w:rsidRDefault="009021F1" w:rsidP="009021F1">
      <w:pPr>
        <w:rPr>
          <w:rFonts w:cs="Arial"/>
          <w:sz w:val="22"/>
        </w:rPr>
      </w:pPr>
    </w:p>
    <w:p w14:paraId="575E5DE9" w14:textId="77777777" w:rsidR="009021F1" w:rsidRPr="007E3D1A" w:rsidRDefault="009021F1" w:rsidP="009021F1">
      <w:pPr>
        <w:rPr>
          <w:rFonts w:cs="Arial"/>
          <w:sz w:val="22"/>
        </w:rPr>
      </w:pPr>
    </w:p>
    <w:p w14:paraId="5A45A8FB" w14:textId="77777777" w:rsidR="009021F1" w:rsidRPr="007E3D1A" w:rsidRDefault="009021F1" w:rsidP="009021F1">
      <w:pPr>
        <w:rPr>
          <w:rFonts w:cs="Arial"/>
          <w:sz w:val="22"/>
        </w:rPr>
      </w:pPr>
    </w:p>
    <w:p w14:paraId="3D709042" w14:textId="77777777" w:rsidR="009021F1" w:rsidRPr="007E3D1A" w:rsidRDefault="009021F1" w:rsidP="009021F1">
      <w:pPr>
        <w:rPr>
          <w:rFonts w:cs="Arial"/>
          <w:sz w:val="22"/>
        </w:rPr>
      </w:pPr>
      <w:r>
        <w:rPr>
          <w:noProof/>
        </w:rPr>
        <w:drawing>
          <wp:anchor distT="0" distB="0" distL="114300" distR="114300" simplePos="0" relativeHeight="251713580" behindDoc="0" locked="0" layoutInCell="1" allowOverlap="1" wp14:anchorId="07F8C793" wp14:editId="6E0CF59E">
            <wp:simplePos x="0" y="0"/>
            <wp:positionH relativeFrom="column">
              <wp:posOffset>-41275</wp:posOffset>
            </wp:positionH>
            <wp:positionV relativeFrom="paragraph">
              <wp:posOffset>194310</wp:posOffset>
            </wp:positionV>
            <wp:extent cx="5760720" cy="3239770"/>
            <wp:effectExtent l="0" t="0" r="0" b="0"/>
            <wp:wrapNone/>
            <wp:docPr id="4030" name="Image 199" descr="C:\Users\HP SPECTRE\Documents\Groupement SCET-TUNISIE-GECT-OKAPI-EGC\Goma3.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9" descr="C:\Users\HP SPECTRE\Documents\Groupement SCET-TUNISIE-GECT-OKAPI-EGC\Goma3.jfif"/>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760720" cy="3239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5AFD1C" w14:textId="77777777" w:rsidR="009021F1" w:rsidRPr="007E3D1A" w:rsidRDefault="009021F1" w:rsidP="009021F1">
      <w:pPr>
        <w:rPr>
          <w:rFonts w:cs="Arial"/>
          <w:sz w:val="22"/>
        </w:rPr>
      </w:pPr>
    </w:p>
    <w:p w14:paraId="17ACD971" w14:textId="77777777" w:rsidR="009021F1" w:rsidRPr="007E3D1A" w:rsidRDefault="009021F1" w:rsidP="009021F1">
      <w:pPr>
        <w:rPr>
          <w:rFonts w:cs="Arial"/>
          <w:sz w:val="22"/>
        </w:rPr>
      </w:pPr>
    </w:p>
    <w:p w14:paraId="5D1E755A" w14:textId="77777777" w:rsidR="009021F1" w:rsidRPr="007E3D1A" w:rsidRDefault="009021F1" w:rsidP="009021F1">
      <w:pPr>
        <w:rPr>
          <w:rFonts w:cs="Arial"/>
          <w:sz w:val="22"/>
        </w:rPr>
      </w:pPr>
    </w:p>
    <w:p w14:paraId="7488EB76" w14:textId="77777777" w:rsidR="009021F1" w:rsidRPr="007E3D1A" w:rsidRDefault="009021F1" w:rsidP="009021F1">
      <w:pPr>
        <w:rPr>
          <w:rFonts w:cs="Arial"/>
          <w:sz w:val="22"/>
        </w:rPr>
      </w:pPr>
    </w:p>
    <w:p w14:paraId="43BE120A" w14:textId="77777777" w:rsidR="009021F1" w:rsidRPr="007E3D1A" w:rsidRDefault="009021F1" w:rsidP="009021F1">
      <w:pPr>
        <w:rPr>
          <w:rFonts w:cs="Arial"/>
          <w:sz w:val="22"/>
        </w:rPr>
      </w:pPr>
    </w:p>
    <w:p w14:paraId="6DC6F35B" w14:textId="77777777" w:rsidR="009021F1" w:rsidRPr="007E3D1A" w:rsidRDefault="009021F1" w:rsidP="009021F1">
      <w:pPr>
        <w:rPr>
          <w:rFonts w:cs="Arial"/>
          <w:sz w:val="22"/>
        </w:rPr>
      </w:pPr>
    </w:p>
    <w:p w14:paraId="0472CF37" w14:textId="77777777" w:rsidR="009021F1" w:rsidRPr="007E3D1A" w:rsidRDefault="009021F1" w:rsidP="009021F1">
      <w:pPr>
        <w:rPr>
          <w:rFonts w:cs="Arial"/>
          <w:sz w:val="22"/>
        </w:rPr>
      </w:pPr>
    </w:p>
    <w:p w14:paraId="43842CD9" w14:textId="77777777" w:rsidR="009021F1" w:rsidRPr="007E3D1A" w:rsidRDefault="009021F1" w:rsidP="009021F1">
      <w:pPr>
        <w:rPr>
          <w:rFonts w:cs="Arial"/>
          <w:sz w:val="22"/>
        </w:rPr>
      </w:pPr>
    </w:p>
    <w:p w14:paraId="40B95FB1" w14:textId="77777777" w:rsidR="009021F1" w:rsidRPr="007E3D1A" w:rsidRDefault="009021F1" w:rsidP="009021F1">
      <w:pPr>
        <w:rPr>
          <w:rFonts w:cs="Arial"/>
          <w:sz w:val="22"/>
        </w:rPr>
      </w:pPr>
    </w:p>
    <w:p w14:paraId="2298E17E" w14:textId="77777777" w:rsidR="009021F1" w:rsidRPr="007E3D1A" w:rsidRDefault="009021F1" w:rsidP="009021F1">
      <w:pPr>
        <w:rPr>
          <w:rFonts w:cs="Arial"/>
          <w:sz w:val="22"/>
        </w:rPr>
      </w:pPr>
    </w:p>
    <w:p w14:paraId="5E0F7098" w14:textId="77777777" w:rsidR="009021F1" w:rsidRPr="007E3D1A" w:rsidRDefault="009021F1" w:rsidP="009021F1">
      <w:pPr>
        <w:rPr>
          <w:rFonts w:cs="Arial"/>
          <w:sz w:val="22"/>
        </w:rPr>
      </w:pPr>
    </w:p>
    <w:p w14:paraId="115F5E8C" w14:textId="77777777" w:rsidR="009021F1" w:rsidRPr="007E3D1A" w:rsidRDefault="009021F1" w:rsidP="009021F1">
      <w:pPr>
        <w:rPr>
          <w:rFonts w:cs="Arial"/>
          <w:sz w:val="22"/>
        </w:rPr>
      </w:pPr>
    </w:p>
    <w:p w14:paraId="12BAE6D8" w14:textId="77777777" w:rsidR="009021F1" w:rsidRPr="007E3D1A" w:rsidRDefault="009021F1" w:rsidP="009021F1">
      <w:pPr>
        <w:rPr>
          <w:rFonts w:cs="Arial"/>
          <w:sz w:val="22"/>
        </w:rPr>
      </w:pPr>
    </w:p>
    <w:p w14:paraId="2736B8F9" w14:textId="77777777" w:rsidR="009021F1" w:rsidRPr="007E3D1A" w:rsidRDefault="009021F1" w:rsidP="009021F1">
      <w:pPr>
        <w:rPr>
          <w:rFonts w:cs="Arial"/>
          <w:sz w:val="22"/>
        </w:rPr>
      </w:pPr>
    </w:p>
    <w:p w14:paraId="7962ED63" w14:textId="77777777" w:rsidR="009021F1" w:rsidRPr="007E3D1A" w:rsidRDefault="009021F1" w:rsidP="009021F1">
      <w:pPr>
        <w:rPr>
          <w:rFonts w:cs="Arial"/>
          <w:sz w:val="22"/>
        </w:rPr>
      </w:pPr>
    </w:p>
    <w:p w14:paraId="6339F35C" w14:textId="77777777" w:rsidR="009021F1" w:rsidRPr="007E3D1A" w:rsidRDefault="009021F1" w:rsidP="009021F1">
      <w:pPr>
        <w:rPr>
          <w:rFonts w:cs="Arial"/>
          <w:sz w:val="22"/>
        </w:rPr>
      </w:pPr>
    </w:p>
    <w:p w14:paraId="413A0F20" w14:textId="77777777" w:rsidR="009021F1" w:rsidRPr="007E3D1A" w:rsidRDefault="009021F1" w:rsidP="009021F1">
      <w:pPr>
        <w:rPr>
          <w:rFonts w:cs="Arial"/>
          <w:sz w:val="22"/>
        </w:rPr>
      </w:pPr>
    </w:p>
    <w:p w14:paraId="6B631E62" w14:textId="77777777" w:rsidR="009021F1" w:rsidRPr="007E3D1A" w:rsidRDefault="009021F1" w:rsidP="009021F1">
      <w:pPr>
        <w:rPr>
          <w:rFonts w:cs="Arial"/>
          <w:sz w:val="22"/>
        </w:rPr>
      </w:pPr>
    </w:p>
    <w:p w14:paraId="549174AF" w14:textId="77777777" w:rsidR="009021F1" w:rsidRPr="007E3D1A" w:rsidRDefault="009021F1" w:rsidP="009021F1">
      <w:pPr>
        <w:rPr>
          <w:rFonts w:cs="Arial"/>
          <w:sz w:val="22"/>
        </w:rPr>
      </w:pPr>
    </w:p>
    <w:p w14:paraId="6B364ABE" w14:textId="77777777" w:rsidR="009021F1" w:rsidRPr="007E3D1A" w:rsidRDefault="009021F1" w:rsidP="009021F1">
      <w:pPr>
        <w:rPr>
          <w:rFonts w:cs="Arial"/>
          <w:sz w:val="22"/>
        </w:rPr>
      </w:pPr>
    </w:p>
    <w:p w14:paraId="1CDE4DD1" w14:textId="77777777" w:rsidR="009021F1" w:rsidRPr="007E3D1A" w:rsidRDefault="009021F1" w:rsidP="009021F1">
      <w:pPr>
        <w:rPr>
          <w:rFonts w:cs="Arial"/>
          <w:sz w:val="22"/>
        </w:rPr>
      </w:pPr>
    </w:p>
    <w:p w14:paraId="175C08E5" w14:textId="77777777" w:rsidR="009021F1" w:rsidRPr="007E3D1A" w:rsidRDefault="009021F1" w:rsidP="009021F1">
      <w:pPr>
        <w:rPr>
          <w:rFonts w:cs="Arial"/>
          <w:sz w:val="22"/>
        </w:rPr>
      </w:pPr>
    </w:p>
    <w:p w14:paraId="40CDF4FC" w14:textId="77777777" w:rsidR="009021F1" w:rsidRPr="007E3D1A" w:rsidRDefault="009021F1" w:rsidP="009021F1">
      <w:pPr>
        <w:rPr>
          <w:rFonts w:cs="Arial"/>
          <w:sz w:val="22"/>
        </w:rPr>
      </w:pPr>
    </w:p>
    <w:p w14:paraId="383C3F70" w14:textId="77777777" w:rsidR="009021F1" w:rsidRPr="007E3D1A" w:rsidRDefault="009021F1" w:rsidP="009021F1">
      <w:pPr>
        <w:rPr>
          <w:rFonts w:cs="Arial"/>
          <w:sz w:val="22"/>
        </w:rPr>
      </w:pPr>
    </w:p>
    <w:p w14:paraId="7A5A87FF" w14:textId="77777777" w:rsidR="009021F1" w:rsidRPr="007E3D1A" w:rsidRDefault="009021F1" w:rsidP="009021F1">
      <w:pPr>
        <w:rPr>
          <w:rFonts w:cs="Arial"/>
          <w:sz w:val="22"/>
        </w:rPr>
      </w:pPr>
    </w:p>
    <w:p w14:paraId="7E203972" w14:textId="77777777" w:rsidR="009021F1" w:rsidRPr="007E3D1A" w:rsidRDefault="009021F1" w:rsidP="009021F1">
      <w:pPr>
        <w:rPr>
          <w:rFonts w:cs="Arial"/>
          <w:sz w:val="22"/>
        </w:rPr>
      </w:pPr>
    </w:p>
    <w:p w14:paraId="3548B556" w14:textId="77777777" w:rsidR="009021F1" w:rsidRPr="007E3D1A" w:rsidRDefault="009021F1" w:rsidP="009021F1">
      <w:pPr>
        <w:rPr>
          <w:rFonts w:cs="Arial"/>
          <w:sz w:val="22"/>
        </w:rPr>
      </w:pPr>
    </w:p>
    <w:p w14:paraId="416185E0" w14:textId="77777777" w:rsidR="009021F1" w:rsidRPr="007E3D1A" w:rsidRDefault="009021F1" w:rsidP="009021F1">
      <w:pPr>
        <w:rPr>
          <w:rFonts w:cs="Arial"/>
          <w:sz w:val="22"/>
        </w:rPr>
      </w:pPr>
      <w:r w:rsidRPr="007E3D1A">
        <w:rPr>
          <w:rFonts w:cs="Arial"/>
          <w:sz w:val="22"/>
        </w:rPr>
        <w:t>Photos 13 et 14 Atelier de restitution de Kananga dans la Province du Kasaï Central</w:t>
      </w:r>
    </w:p>
    <w:p w14:paraId="5559AFDA" w14:textId="77777777" w:rsidR="009021F1" w:rsidRPr="007E3D1A" w:rsidRDefault="009021F1" w:rsidP="009021F1">
      <w:pPr>
        <w:rPr>
          <w:rFonts w:cs="Arial"/>
          <w:sz w:val="22"/>
        </w:rPr>
      </w:pPr>
      <w:r>
        <w:rPr>
          <w:noProof/>
        </w:rPr>
        <w:drawing>
          <wp:anchor distT="0" distB="0" distL="114300" distR="114300" simplePos="0" relativeHeight="251715628" behindDoc="0" locked="0" layoutInCell="1" allowOverlap="1" wp14:anchorId="0237967A" wp14:editId="29948556">
            <wp:simplePos x="0" y="0"/>
            <wp:positionH relativeFrom="column">
              <wp:posOffset>0</wp:posOffset>
            </wp:positionH>
            <wp:positionV relativeFrom="paragraph">
              <wp:posOffset>60325</wp:posOffset>
            </wp:positionV>
            <wp:extent cx="5760720" cy="3239770"/>
            <wp:effectExtent l="0" t="0" r="0" b="0"/>
            <wp:wrapNone/>
            <wp:docPr id="4031" name="Image 200" descr="C:\Users\HP SPECTRE\Documents\Groupement SCET-TUNISIE-GECT-OKAPI-EGC\Kananga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0" descr="C:\Users\HP SPECTRE\Documents\Groupement SCET-TUNISIE-GECT-OKAPI-EGC\Kananga1.jfif"/>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760720" cy="3239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BC10FD" w14:textId="77777777" w:rsidR="009021F1" w:rsidRPr="007E3D1A" w:rsidRDefault="009021F1" w:rsidP="009021F1">
      <w:pPr>
        <w:rPr>
          <w:rFonts w:cs="Arial"/>
          <w:sz w:val="22"/>
        </w:rPr>
      </w:pPr>
    </w:p>
    <w:p w14:paraId="05E4AF1A" w14:textId="77777777" w:rsidR="009021F1" w:rsidRPr="007E3D1A" w:rsidRDefault="009021F1" w:rsidP="009021F1">
      <w:pPr>
        <w:rPr>
          <w:rFonts w:cs="Arial"/>
          <w:sz w:val="22"/>
        </w:rPr>
      </w:pPr>
    </w:p>
    <w:p w14:paraId="311E2F38" w14:textId="77777777" w:rsidR="009021F1" w:rsidRPr="007E3D1A" w:rsidRDefault="009021F1" w:rsidP="009021F1">
      <w:pPr>
        <w:rPr>
          <w:rFonts w:cs="Arial"/>
          <w:sz w:val="22"/>
        </w:rPr>
      </w:pPr>
    </w:p>
    <w:p w14:paraId="6E0648B7" w14:textId="77777777" w:rsidR="009021F1" w:rsidRPr="007E3D1A" w:rsidRDefault="009021F1" w:rsidP="009021F1">
      <w:pPr>
        <w:rPr>
          <w:rFonts w:cs="Arial"/>
          <w:sz w:val="22"/>
        </w:rPr>
      </w:pPr>
    </w:p>
    <w:p w14:paraId="0220785D" w14:textId="77777777" w:rsidR="009021F1" w:rsidRPr="007E3D1A" w:rsidRDefault="009021F1" w:rsidP="009021F1">
      <w:pPr>
        <w:rPr>
          <w:rFonts w:cs="Arial"/>
          <w:sz w:val="22"/>
        </w:rPr>
      </w:pPr>
    </w:p>
    <w:p w14:paraId="32B64035" w14:textId="77777777" w:rsidR="009021F1" w:rsidRPr="007E3D1A" w:rsidRDefault="009021F1" w:rsidP="009021F1">
      <w:pPr>
        <w:rPr>
          <w:rFonts w:cs="Arial"/>
          <w:sz w:val="22"/>
        </w:rPr>
      </w:pPr>
    </w:p>
    <w:p w14:paraId="14CA027B" w14:textId="77777777" w:rsidR="009021F1" w:rsidRPr="007E3D1A" w:rsidRDefault="009021F1" w:rsidP="009021F1">
      <w:pPr>
        <w:rPr>
          <w:rFonts w:cs="Arial"/>
          <w:sz w:val="22"/>
        </w:rPr>
      </w:pPr>
    </w:p>
    <w:p w14:paraId="24CDEF45" w14:textId="77777777" w:rsidR="009021F1" w:rsidRPr="007E3D1A" w:rsidRDefault="009021F1" w:rsidP="009021F1">
      <w:pPr>
        <w:rPr>
          <w:rFonts w:cs="Arial"/>
          <w:sz w:val="22"/>
        </w:rPr>
      </w:pPr>
    </w:p>
    <w:p w14:paraId="0B60E198" w14:textId="77777777" w:rsidR="009021F1" w:rsidRPr="007E3D1A" w:rsidRDefault="009021F1" w:rsidP="009021F1">
      <w:pPr>
        <w:rPr>
          <w:rFonts w:cs="Arial"/>
          <w:sz w:val="22"/>
        </w:rPr>
      </w:pPr>
    </w:p>
    <w:p w14:paraId="1EBB2830" w14:textId="77777777" w:rsidR="009021F1" w:rsidRPr="007E3D1A" w:rsidRDefault="009021F1" w:rsidP="009021F1">
      <w:pPr>
        <w:rPr>
          <w:rFonts w:cs="Arial"/>
          <w:sz w:val="22"/>
        </w:rPr>
      </w:pPr>
    </w:p>
    <w:p w14:paraId="0D01741C" w14:textId="77777777" w:rsidR="009021F1" w:rsidRPr="007E3D1A" w:rsidRDefault="009021F1" w:rsidP="009021F1">
      <w:pPr>
        <w:rPr>
          <w:rFonts w:cs="Arial"/>
          <w:sz w:val="22"/>
        </w:rPr>
      </w:pPr>
    </w:p>
    <w:p w14:paraId="0BD01245" w14:textId="77777777" w:rsidR="009021F1" w:rsidRPr="007E3D1A" w:rsidRDefault="009021F1" w:rsidP="009021F1">
      <w:pPr>
        <w:rPr>
          <w:rFonts w:cs="Arial"/>
          <w:sz w:val="22"/>
        </w:rPr>
      </w:pPr>
    </w:p>
    <w:p w14:paraId="4859881B" w14:textId="77777777" w:rsidR="009021F1" w:rsidRPr="007E3D1A" w:rsidRDefault="009021F1" w:rsidP="009021F1">
      <w:pPr>
        <w:rPr>
          <w:rFonts w:cs="Arial"/>
          <w:sz w:val="22"/>
        </w:rPr>
      </w:pPr>
    </w:p>
    <w:p w14:paraId="2DC73FA3" w14:textId="77777777" w:rsidR="009021F1" w:rsidRPr="007E3D1A" w:rsidRDefault="009021F1" w:rsidP="009021F1">
      <w:pPr>
        <w:rPr>
          <w:rFonts w:cs="Arial"/>
          <w:sz w:val="22"/>
        </w:rPr>
      </w:pPr>
    </w:p>
    <w:p w14:paraId="4FE12329" w14:textId="77777777" w:rsidR="009021F1" w:rsidRPr="007E3D1A" w:rsidRDefault="009021F1" w:rsidP="009021F1">
      <w:pPr>
        <w:rPr>
          <w:rFonts w:cs="Arial"/>
          <w:sz w:val="22"/>
        </w:rPr>
      </w:pPr>
    </w:p>
    <w:p w14:paraId="0B0EB8A9" w14:textId="77777777" w:rsidR="009021F1" w:rsidRPr="007E3D1A" w:rsidRDefault="009021F1" w:rsidP="009021F1">
      <w:pPr>
        <w:rPr>
          <w:rFonts w:cs="Arial"/>
          <w:sz w:val="22"/>
        </w:rPr>
      </w:pPr>
    </w:p>
    <w:p w14:paraId="4ECED9ED" w14:textId="77777777" w:rsidR="009021F1" w:rsidRPr="007E3D1A" w:rsidRDefault="009021F1" w:rsidP="009021F1">
      <w:pPr>
        <w:rPr>
          <w:rFonts w:cs="Arial"/>
          <w:sz w:val="22"/>
        </w:rPr>
      </w:pPr>
    </w:p>
    <w:p w14:paraId="708B2B37" w14:textId="77777777" w:rsidR="009021F1" w:rsidRPr="007E3D1A" w:rsidRDefault="009021F1" w:rsidP="009021F1">
      <w:pPr>
        <w:rPr>
          <w:rFonts w:cs="Arial"/>
          <w:sz w:val="22"/>
        </w:rPr>
      </w:pPr>
      <w:r>
        <w:rPr>
          <w:noProof/>
        </w:rPr>
        <w:drawing>
          <wp:anchor distT="0" distB="0" distL="114300" distR="114300" simplePos="0" relativeHeight="251716652" behindDoc="0" locked="0" layoutInCell="1" allowOverlap="1" wp14:anchorId="41CC04DE" wp14:editId="4AE39436">
            <wp:simplePos x="0" y="0"/>
            <wp:positionH relativeFrom="column">
              <wp:posOffset>0</wp:posOffset>
            </wp:positionH>
            <wp:positionV relativeFrom="paragraph">
              <wp:posOffset>13970</wp:posOffset>
            </wp:positionV>
            <wp:extent cx="5760720" cy="3239770"/>
            <wp:effectExtent l="0" t="0" r="0" b="0"/>
            <wp:wrapNone/>
            <wp:docPr id="5312" name="Image 201" descr="C:\Users\HP SPECTRE\Documents\Groupement SCET-TUNISIE-GECT-OKAPI-EGC\Kananga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1" descr="C:\Users\HP SPECTRE\Documents\Groupement SCET-TUNISIE-GECT-OKAPI-EGC\Kananga2.jfif"/>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760720" cy="3239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05E02F" w14:textId="77777777" w:rsidR="009021F1" w:rsidRPr="007E3D1A" w:rsidRDefault="009021F1" w:rsidP="009021F1">
      <w:pPr>
        <w:rPr>
          <w:rFonts w:cs="Arial"/>
          <w:sz w:val="22"/>
        </w:rPr>
      </w:pPr>
    </w:p>
    <w:p w14:paraId="4A7620A6" w14:textId="77777777" w:rsidR="009021F1" w:rsidRPr="007E3D1A" w:rsidRDefault="009021F1" w:rsidP="009021F1">
      <w:pPr>
        <w:rPr>
          <w:rFonts w:cs="Arial"/>
          <w:sz w:val="22"/>
        </w:rPr>
      </w:pPr>
    </w:p>
    <w:p w14:paraId="30CF5546" w14:textId="77777777" w:rsidR="009021F1" w:rsidRPr="007E3D1A" w:rsidRDefault="009021F1" w:rsidP="009021F1">
      <w:pPr>
        <w:rPr>
          <w:rFonts w:cs="Arial"/>
          <w:sz w:val="22"/>
        </w:rPr>
      </w:pPr>
    </w:p>
    <w:p w14:paraId="1D073786" w14:textId="77777777" w:rsidR="009021F1" w:rsidRPr="007E3D1A" w:rsidRDefault="009021F1" w:rsidP="009021F1">
      <w:pPr>
        <w:rPr>
          <w:rFonts w:cs="Arial"/>
          <w:sz w:val="22"/>
        </w:rPr>
      </w:pPr>
    </w:p>
    <w:p w14:paraId="38E9C208" w14:textId="77777777" w:rsidR="009021F1" w:rsidRPr="007E3D1A" w:rsidRDefault="009021F1" w:rsidP="009021F1">
      <w:pPr>
        <w:rPr>
          <w:rFonts w:cs="Arial"/>
          <w:sz w:val="22"/>
        </w:rPr>
      </w:pPr>
    </w:p>
    <w:p w14:paraId="7AC58924" w14:textId="77777777" w:rsidR="009021F1" w:rsidRPr="007E3D1A" w:rsidRDefault="009021F1" w:rsidP="009021F1">
      <w:pPr>
        <w:rPr>
          <w:rFonts w:cs="Arial"/>
          <w:sz w:val="22"/>
        </w:rPr>
      </w:pPr>
    </w:p>
    <w:p w14:paraId="072B1AED" w14:textId="77777777" w:rsidR="009021F1" w:rsidRPr="007E3D1A" w:rsidRDefault="009021F1" w:rsidP="009021F1">
      <w:pPr>
        <w:rPr>
          <w:rFonts w:cs="Arial"/>
          <w:sz w:val="22"/>
        </w:rPr>
      </w:pPr>
    </w:p>
    <w:p w14:paraId="1BB4987E" w14:textId="77777777" w:rsidR="009021F1" w:rsidRPr="007E3D1A" w:rsidRDefault="009021F1" w:rsidP="009021F1">
      <w:pPr>
        <w:rPr>
          <w:rFonts w:cs="Arial"/>
          <w:sz w:val="22"/>
        </w:rPr>
      </w:pPr>
    </w:p>
    <w:p w14:paraId="7A4ADB8F" w14:textId="77777777" w:rsidR="009021F1" w:rsidRPr="007E3D1A" w:rsidRDefault="009021F1" w:rsidP="009021F1">
      <w:pPr>
        <w:rPr>
          <w:rFonts w:cs="Arial"/>
          <w:sz w:val="22"/>
        </w:rPr>
      </w:pPr>
    </w:p>
    <w:p w14:paraId="24D5E939" w14:textId="77777777" w:rsidR="009021F1" w:rsidRPr="007E3D1A" w:rsidRDefault="009021F1" w:rsidP="009021F1">
      <w:pPr>
        <w:rPr>
          <w:rFonts w:cs="Arial"/>
          <w:sz w:val="22"/>
        </w:rPr>
      </w:pPr>
    </w:p>
    <w:p w14:paraId="3D60F551" w14:textId="77777777" w:rsidR="009021F1" w:rsidRPr="007E3D1A" w:rsidRDefault="009021F1" w:rsidP="009021F1">
      <w:pPr>
        <w:rPr>
          <w:rFonts w:cs="Arial"/>
          <w:sz w:val="22"/>
        </w:rPr>
      </w:pPr>
    </w:p>
    <w:p w14:paraId="4BAFF473" w14:textId="77777777" w:rsidR="009021F1" w:rsidRPr="007E3D1A" w:rsidRDefault="009021F1" w:rsidP="009021F1">
      <w:pPr>
        <w:rPr>
          <w:rFonts w:cs="Arial"/>
          <w:sz w:val="22"/>
        </w:rPr>
      </w:pPr>
    </w:p>
    <w:p w14:paraId="3841B951" w14:textId="77777777" w:rsidR="009021F1" w:rsidRPr="007E3D1A" w:rsidRDefault="009021F1" w:rsidP="009021F1">
      <w:pPr>
        <w:rPr>
          <w:rFonts w:cs="Arial"/>
          <w:sz w:val="22"/>
        </w:rPr>
      </w:pPr>
    </w:p>
    <w:p w14:paraId="4C6F3496" w14:textId="77777777" w:rsidR="009021F1" w:rsidRPr="007E3D1A" w:rsidRDefault="009021F1" w:rsidP="009021F1">
      <w:pPr>
        <w:rPr>
          <w:rFonts w:cs="Arial"/>
          <w:sz w:val="22"/>
        </w:rPr>
      </w:pPr>
    </w:p>
    <w:p w14:paraId="6141485D" w14:textId="77777777" w:rsidR="009021F1" w:rsidRPr="007E3D1A" w:rsidRDefault="009021F1" w:rsidP="009021F1">
      <w:pPr>
        <w:rPr>
          <w:rFonts w:cs="Arial"/>
          <w:sz w:val="22"/>
        </w:rPr>
      </w:pPr>
    </w:p>
    <w:p w14:paraId="20820AE1" w14:textId="77777777" w:rsidR="009021F1" w:rsidRPr="007E3D1A" w:rsidRDefault="009021F1" w:rsidP="009021F1">
      <w:pPr>
        <w:rPr>
          <w:rFonts w:cs="Arial"/>
          <w:sz w:val="22"/>
        </w:rPr>
      </w:pPr>
    </w:p>
    <w:p w14:paraId="37E80D37" w14:textId="77777777" w:rsidR="009021F1" w:rsidRPr="007E3D1A" w:rsidRDefault="009021F1" w:rsidP="009021F1">
      <w:pPr>
        <w:rPr>
          <w:rFonts w:cs="Arial"/>
          <w:sz w:val="22"/>
        </w:rPr>
      </w:pPr>
    </w:p>
    <w:p w14:paraId="5C4FC8A7" w14:textId="77777777" w:rsidR="009021F1" w:rsidRPr="007E3D1A" w:rsidRDefault="009021F1" w:rsidP="009021F1">
      <w:pPr>
        <w:rPr>
          <w:rFonts w:cs="Arial"/>
          <w:sz w:val="22"/>
        </w:rPr>
      </w:pPr>
    </w:p>
    <w:p w14:paraId="7BD1880E" w14:textId="77777777" w:rsidR="009021F1" w:rsidRPr="007E3D1A" w:rsidRDefault="009021F1" w:rsidP="009021F1">
      <w:pPr>
        <w:rPr>
          <w:rFonts w:cs="Arial"/>
          <w:sz w:val="22"/>
        </w:rPr>
      </w:pPr>
    </w:p>
    <w:p w14:paraId="305D75AD" w14:textId="77777777" w:rsidR="009021F1" w:rsidRPr="007E3D1A" w:rsidRDefault="009021F1" w:rsidP="009021F1">
      <w:pPr>
        <w:rPr>
          <w:rFonts w:cs="Arial"/>
          <w:sz w:val="22"/>
        </w:rPr>
      </w:pPr>
    </w:p>
    <w:p w14:paraId="0C78399B" w14:textId="77777777" w:rsidR="009021F1" w:rsidRPr="007E3D1A" w:rsidRDefault="009021F1" w:rsidP="009021F1">
      <w:pPr>
        <w:rPr>
          <w:rFonts w:cs="Arial"/>
          <w:sz w:val="22"/>
        </w:rPr>
      </w:pPr>
    </w:p>
    <w:p w14:paraId="7B4694EB" w14:textId="77777777" w:rsidR="009021F1" w:rsidRPr="007E3D1A" w:rsidRDefault="009021F1" w:rsidP="009021F1">
      <w:pPr>
        <w:rPr>
          <w:rFonts w:cs="Arial"/>
          <w:sz w:val="22"/>
        </w:rPr>
      </w:pPr>
    </w:p>
    <w:p w14:paraId="5DCC029D" w14:textId="77777777" w:rsidR="009021F1" w:rsidRPr="007E3D1A" w:rsidRDefault="009021F1" w:rsidP="009021F1">
      <w:pPr>
        <w:rPr>
          <w:rFonts w:cs="Arial"/>
          <w:sz w:val="22"/>
        </w:rPr>
      </w:pPr>
    </w:p>
    <w:p w14:paraId="768D3BFD" w14:textId="77777777" w:rsidR="009021F1" w:rsidRPr="007E3D1A" w:rsidRDefault="009021F1" w:rsidP="009021F1">
      <w:pPr>
        <w:rPr>
          <w:rFonts w:cs="Arial"/>
          <w:sz w:val="22"/>
        </w:rPr>
      </w:pPr>
    </w:p>
    <w:p w14:paraId="23435BE3" w14:textId="77777777" w:rsidR="009021F1" w:rsidRPr="007E3D1A" w:rsidRDefault="009021F1" w:rsidP="009021F1">
      <w:pPr>
        <w:rPr>
          <w:rFonts w:cs="Arial"/>
          <w:sz w:val="22"/>
        </w:rPr>
      </w:pPr>
    </w:p>
    <w:p w14:paraId="6A28DA6B" w14:textId="77777777" w:rsidR="009021F1" w:rsidRPr="007E3D1A" w:rsidRDefault="009021F1" w:rsidP="009021F1">
      <w:pPr>
        <w:rPr>
          <w:rFonts w:cs="Arial"/>
          <w:sz w:val="22"/>
        </w:rPr>
      </w:pPr>
    </w:p>
    <w:p w14:paraId="3C503B99" w14:textId="77777777" w:rsidR="009021F1" w:rsidRPr="007E3D1A" w:rsidRDefault="009021F1" w:rsidP="009021F1">
      <w:pPr>
        <w:rPr>
          <w:rFonts w:cs="Arial"/>
          <w:sz w:val="22"/>
        </w:rPr>
      </w:pPr>
    </w:p>
    <w:p w14:paraId="6D0B38AB" w14:textId="77777777" w:rsidR="009021F1" w:rsidRPr="007E3D1A" w:rsidRDefault="009021F1" w:rsidP="009021F1">
      <w:pPr>
        <w:rPr>
          <w:rFonts w:cs="Arial"/>
          <w:sz w:val="22"/>
        </w:rPr>
      </w:pPr>
    </w:p>
    <w:p w14:paraId="6289DB06" w14:textId="77777777" w:rsidR="009021F1" w:rsidRPr="007E3D1A" w:rsidRDefault="009021F1" w:rsidP="009021F1">
      <w:pPr>
        <w:rPr>
          <w:rFonts w:cs="Arial"/>
          <w:sz w:val="22"/>
        </w:rPr>
      </w:pPr>
    </w:p>
    <w:p w14:paraId="5DA46C64" w14:textId="77777777" w:rsidR="009021F1" w:rsidRPr="007E3D1A" w:rsidRDefault="009021F1" w:rsidP="009021F1">
      <w:pPr>
        <w:rPr>
          <w:rFonts w:cs="Arial"/>
          <w:sz w:val="22"/>
        </w:rPr>
      </w:pPr>
      <w:r w:rsidRPr="007E3D1A">
        <w:rPr>
          <w:rFonts w:cs="Arial"/>
          <w:sz w:val="22"/>
        </w:rPr>
        <w:t>Photos 15 et 16 Atelier de restitution de Matadi dans la Province du Kongo Central</w:t>
      </w:r>
    </w:p>
    <w:p w14:paraId="07DF11CC" w14:textId="77777777" w:rsidR="009021F1" w:rsidRPr="007E3D1A" w:rsidRDefault="009021F1" w:rsidP="009021F1">
      <w:pPr>
        <w:rPr>
          <w:rFonts w:cs="Arial"/>
          <w:sz w:val="22"/>
        </w:rPr>
      </w:pPr>
      <w:r>
        <w:rPr>
          <w:noProof/>
        </w:rPr>
        <w:drawing>
          <wp:anchor distT="0" distB="0" distL="114300" distR="114300" simplePos="0" relativeHeight="251711532" behindDoc="0" locked="0" layoutInCell="1" allowOverlap="1" wp14:anchorId="17B9B41C" wp14:editId="4A3F5D81">
            <wp:simplePos x="0" y="0"/>
            <wp:positionH relativeFrom="column">
              <wp:posOffset>-13970</wp:posOffset>
            </wp:positionH>
            <wp:positionV relativeFrom="paragraph">
              <wp:posOffset>64770</wp:posOffset>
            </wp:positionV>
            <wp:extent cx="5760720" cy="2802255"/>
            <wp:effectExtent l="0" t="0" r="0" b="0"/>
            <wp:wrapNone/>
            <wp:docPr id="5313" name="Image 202" descr="C:\Users\HP SPECTRE\Documents\Matadi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2" descr="C:\Users\HP SPECTRE\Documents\Matadi1.jfif"/>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760720" cy="2802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BA6DF1" w14:textId="77777777" w:rsidR="009021F1" w:rsidRPr="007E3D1A" w:rsidRDefault="009021F1" w:rsidP="009021F1">
      <w:pPr>
        <w:rPr>
          <w:rFonts w:cs="Arial"/>
          <w:sz w:val="22"/>
        </w:rPr>
      </w:pPr>
    </w:p>
    <w:p w14:paraId="72187E2E" w14:textId="77777777" w:rsidR="009021F1" w:rsidRPr="007E3D1A" w:rsidRDefault="009021F1" w:rsidP="009021F1">
      <w:pPr>
        <w:rPr>
          <w:rFonts w:cs="Arial"/>
          <w:sz w:val="22"/>
        </w:rPr>
      </w:pPr>
    </w:p>
    <w:p w14:paraId="30AD9D6D" w14:textId="77777777" w:rsidR="009021F1" w:rsidRPr="007E3D1A" w:rsidRDefault="009021F1" w:rsidP="009021F1">
      <w:pPr>
        <w:rPr>
          <w:rFonts w:cs="Arial"/>
          <w:sz w:val="22"/>
        </w:rPr>
      </w:pPr>
    </w:p>
    <w:p w14:paraId="0F7D3C09" w14:textId="77777777" w:rsidR="009021F1" w:rsidRPr="007E3D1A" w:rsidRDefault="009021F1" w:rsidP="009021F1">
      <w:pPr>
        <w:rPr>
          <w:rFonts w:cs="Arial"/>
          <w:sz w:val="22"/>
        </w:rPr>
      </w:pPr>
    </w:p>
    <w:p w14:paraId="5274EC27" w14:textId="77777777" w:rsidR="009021F1" w:rsidRPr="007E3D1A" w:rsidRDefault="009021F1" w:rsidP="009021F1">
      <w:pPr>
        <w:rPr>
          <w:rFonts w:cs="Arial"/>
          <w:sz w:val="22"/>
        </w:rPr>
      </w:pPr>
    </w:p>
    <w:p w14:paraId="6A946790" w14:textId="77777777" w:rsidR="009021F1" w:rsidRPr="007E3D1A" w:rsidRDefault="009021F1" w:rsidP="009021F1">
      <w:pPr>
        <w:rPr>
          <w:rFonts w:cs="Arial"/>
          <w:sz w:val="22"/>
        </w:rPr>
      </w:pPr>
    </w:p>
    <w:p w14:paraId="5A55DF85" w14:textId="77777777" w:rsidR="009021F1" w:rsidRPr="007E3D1A" w:rsidRDefault="009021F1" w:rsidP="009021F1">
      <w:pPr>
        <w:rPr>
          <w:rFonts w:cs="Arial"/>
          <w:sz w:val="22"/>
        </w:rPr>
      </w:pPr>
    </w:p>
    <w:p w14:paraId="2B6CD3D9" w14:textId="77777777" w:rsidR="009021F1" w:rsidRPr="007E3D1A" w:rsidRDefault="009021F1" w:rsidP="009021F1">
      <w:pPr>
        <w:rPr>
          <w:rFonts w:cs="Arial"/>
          <w:sz w:val="22"/>
        </w:rPr>
      </w:pPr>
    </w:p>
    <w:p w14:paraId="09080034" w14:textId="77777777" w:rsidR="009021F1" w:rsidRPr="007E3D1A" w:rsidRDefault="009021F1" w:rsidP="009021F1">
      <w:pPr>
        <w:rPr>
          <w:rFonts w:cs="Arial"/>
          <w:sz w:val="22"/>
        </w:rPr>
      </w:pPr>
    </w:p>
    <w:p w14:paraId="12FC929A" w14:textId="77777777" w:rsidR="009021F1" w:rsidRPr="007E3D1A" w:rsidRDefault="009021F1" w:rsidP="009021F1">
      <w:pPr>
        <w:rPr>
          <w:rFonts w:cs="Arial"/>
          <w:sz w:val="22"/>
        </w:rPr>
      </w:pPr>
      <w:r>
        <w:rPr>
          <w:noProof/>
        </w:rPr>
        <w:drawing>
          <wp:anchor distT="0" distB="0" distL="114300" distR="114300" simplePos="0" relativeHeight="251712556" behindDoc="0" locked="0" layoutInCell="1" allowOverlap="1" wp14:anchorId="7BF2F4B4" wp14:editId="32A28B3D">
            <wp:simplePos x="0" y="0"/>
            <wp:positionH relativeFrom="column">
              <wp:posOffset>-13970</wp:posOffset>
            </wp:positionH>
            <wp:positionV relativeFrom="paragraph">
              <wp:posOffset>144145</wp:posOffset>
            </wp:positionV>
            <wp:extent cx="5760720" cy="2802255"/>
            <wp:effectExtent l="0" t="0" r="0" b="0"/>
            <wp:wrapNone/>
            <wp:docPr id="5314" name="Image 203" descr="C:\Users\HP SPECTRE\Documents\Matadi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3" descr="C:\Users\HP SPECTRE\Documents\Matadi2.jfif"/>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760720" cy="2802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90CAE6" w14:textId="77777777" w:rsidR="009021F1" w:rsidRPr="007E3D1A" w:rsidRDefault="009021F1" w:rsidP="009021F1">
      <w:pPr>
        <w:rPr>
          <w:rFonts w:cs="Arial"/>
          <w:sz w:val="22"/>
        </w:rPr>
      </w:pPr>
    </w:p>
    <w:p w14:paraId="13C4D929" w14:textId="77777777" w:rsidR="009021F1" w:rsidRPr="007E3D1A" w:rsidRDefault="009021F1" w:rsidP="009021F1">
      <w:pPr>
        <w:rPr>
          <w:rFonts w:cs="Arial"/>
          <w:sz w:val="22"/>
        </w:rPr>
      </w:pPr>
    </w:p>
    <w:p w14:paraId="01CBBA43" w14:textId="77777777" w:rsidR="009021F1" w:rsidRPr="007E3D1A" w:rsidRDefault="009021F1" w:rsidP="009021F1">
      <w:pPr>
        <w:rPr>
          <w:rFonts w:cs="Arial"/>
          <w:sz w:val="22"/>
        </w:rPr>
      </w:pPr>
    </w:p>
    <w:p w14:paraId="7FB550F0" w14:textId="77777777" w:rsidR="009021F1" w:rsidRPr="007E3D1A" w:rsidRDefault="009021F1" w:rsidP="009021F1">
      <w:pPr>
        <w:rPr>
          <w:rFonts w:cs="Arial"/>
          <w:sz w:val="22"/>
        </w:rPr>
      </w:pPr>
    </w:p>
    <w:p w14:paraId="69EEF4A8" w14:textId="77777777" w:rsidR="009021F1" w:rsidRPr="007E3D1A" w:rsidRDefault="009021F1" w:rsidP="009021F1">
      <w:pPr>
        <w:rPr>
          <w:rFonts w:cs="Arial"/>
          <w:sz w:val="22"/>
        </w:rPr>
      </w:pPr>
    </w:p>
    <w:p w14:paraId="0F2CD056" w14:textId="77777777" w:rsidR="009021F1" w:rsidRPr="007E3D1A" w:rsidRDefault="009021F1" w:rsidP="009021F1">
      <w:pPr>
        <w:rPr>
          <w:rFonts w:cs="Arial"/>
          <w:sz w:val="22"/>
        </w:rPr>
      </w:pPr>
    </w:p>
    <w:p w14:paraId="45413E05" w14:textId="77777777" w:rsidR="009021F1" w:rsidRPr="007E3D1A" w:rsidRDefault="009021F1" w:rsidP="009021F1">
      <w:pPr>
        <w:rPr>
          <w:rFonts w:cs="Arial"/>
          <w:sz w:val="22"/>
        </w:rPr>
      </w:pPr>
    </w:p>
    <w:p w14:paraId="72F52A4B" w14:textId="77777777" w:rsidR="009021F1" w:rsidRPr="007E3D1A" w:rsidRDefault="009021F1" w:rsidP="009021F1">
      <w:pPr>
        <w:rPr>
          <w:rFonts w:cs="Arial"/>
          <w:sz w:val="22"/>
        </w:rPr>
      </w:pPr>
    </w:p>
    <w:p w14:paraId="42646F57" w14:textId="77777777" w:rsidR="009021F1" w:rsidRPr="007E3D1A" w:rsidRDefault="009021F1" w:rsidP="009021F1">
      <w:pPr>
        <w:rPr>
          <w:rFonts w:cs="Arial"/>
          <w:sz w:val="22"/>
        </w:rPr>
      </w:pPr>
    </w:p>
    <w:p w14:paraId="22102C42" w14:textId="77777777" w:rsidR="009021F1" w:rsidRPr="007E3D1A" w:rsidRDefault="009021F1" w:rsidP="009021F1">
      <w:pPr>
        <w:rPr>
          <w:rFonts w:cs="Arial"/>
          <w:sz w:val="22"/>
        </w:rPr>
      </w:pPr>
    </w:p>
    <w:p w14:paraId="617E96AC" w14:textId="77777777" w:rsidR="009021F1" w:rsidRPr="007E3D1A" w:rsidRDefault="009021F1" w:rsidP="009021F1">
      <w:pPr>
        <w:rPr>
          <w:rFonts w:cs="Arial"/>
          <w:sz w:val="22"/>
        </w:rPr>
      </w:pPr>
    </w:p>
    <w:p w14:paraId="50673540" w14:textId="77777777" w:rsidR="009021F1" w:rsidRPr="007E3D1A" w:rsidRDefault="009021F1" w:rsidP="009021F1">
      <w:pPr>
        <w:rPr>
          <w:rFonts w:cs="Arial"/>
          <w:sz w:val="22"/>
        </w:rPr>
      </w:pPr>
    </w:p>
    <w:p w14:paraId="2272C041" w14:textId="77777777" w:rsidR="009021F1" w:rsidRPr="007E3D1A" w:rsidRDefault="009021F1" w:rsidP="009021F1">
      <w:pPr>
        <w:rPr>
          <w:rFonts w:cs="Arial"/>
          <w:sz w:val="22"/>
        </w:rPr>
      </w:pPr>
    </w:p>
    <w:p w14:paraId="27463596" w14:textId="77777777" w:rsidR="009021F1" w:rsidRPr="007E3D1A" w:rsidRDefault="009021F1" w:rsidP="009021F1">
      <w:pPr>
        <w:rPr>
          <w:rFonts w:cs="Arial"/>
          <w:sz w:val="22"/>
        </w:rPr>
      </w:pPr>
    </w:p>
    <w:p w14:paraId="4B828944" w14:textId="77777777" w:rsidR="009021F1" w:rsidRPr="007E3D1A" w:rsidRDefault="009021F1" w:rsidP="009021F1">
      <w:pPr>
        <w:rPr>
          <w:rFonts w:cs="Arial"/>
          <w:sz w:val="22"/>
        </w:rPr>
      </w:pPr>
    </w:p>
    <w:p w14:paraId="69D8E45F" w14:textId="77777777" w:rsidR="009021F1" w:rsidRPr="007E3D1A" w:rsidRDefault="009021F1" w:rsidP="009021F1">
      <w:pPr>
        <w:rPr>
          <w:rFonts w:cs="Arial"/>
          <w:sz w:val="22"/>
        </w:rPr>
      </w:pPr>
      <w:r w:rsidRPr="007E3D1A">
        <w:rPr>
          <w:rFonts w:cs="Arial"/>
          <w:sz w:val="22"/>
        </w:rPr>
        <w:br w:type="page"/>
      </w:r>
    </w:p>
    <w:p w14:paraId="40BDF537" w14:textId="77777777" w:rsidR="009021F1" w:rsidRPr="00372F9C" w:rsidRDefault="009021F1" w:rsidP="009021F1">
      <w:pPr>
        <w:ind w:left="1418" w:hanging="1418"/>
        <w:rPr>
          <w:rFonts w:cs="Arial"/>
          <w:b/>
          <w:bCs/>
          <w:sz w:val="22"/>
        </w:rPr>
      </w:pPr>
      <w:r w:rsidRPr="00372F9C">
        <w:rPr>
          <w:rFonts w:cs="Arial"/>
          <w:b/>
          <w:bCs/>
          <w:sz w:val="22"/>
        </w:rPr>
        <w:t>ANNEXE 11. CODE DE BONNE CONDUITE</w:t>
      </w:r>
    </w:p>
    <w:p w14:paraId="52751D9D" w14:textId="77777777" w:rsidR="009021F1" w:rsidRPr="007E3D1A" w:rsidRDefault="009021F1" w:rsidP="009021F1">
      <w:pPr>
        <w:rPr>
          <w:rFonts w:eastAsia="Arial Unicode MS" w:cs="Arial"/>
          <w:sz w:val="22"/>
        </w:rPr>
      </w:pPr>
    </w:p>
    <w:p w14:paraId="71FDF9AE" w14:textId="77777777" w:rsidR="009021F1" w:rsidRPr="007E3D1A" w:rsidRDefault="009021F1" w:rsidP="009021F1">
      <w:pPr>
        <w:rPr>
          <w:rFonts w:eastAsia="Arial Unicode MS" w:cs="Arial"/>
          <w:sz w:val="22"/>
        </w:rPr>
      </w:pPr>
      <w:r w:rsidRPr="007E3D1A">
        <w:rPr>
          <w:rFonts w:eastAsia="Arial Unicode MS" w:cs="Arial"/>
          <w:sz w:val="22"/>
        </w:rPr>
        <w:t>Introduction</w:t>
      </w:r>
    </w:p>
    <w:p w14:paraId="37608CC3" w14:textId="77777777" w:rsidR="009021F1" w:rsidRPr="007E3D1A" w:rsidRDefault="009021F1" w:rsidP="009021F1">
      <w:pPr>
        <w:rPr>
          <w:rFonts w:eastAsia="Arial Unicode MS" w:cs="Arial"/>
          <w:sz w:val="22"/>
        </w:rPr>
      </w:pPr>
    </w:p>
    <w:p w14:paraId="0E04D4C2" w14:textId="77777777" w:rsidR="009021F1" w:rsidRPr="007E3D1A" w:rsidRDefault="009021F1" w:rsidP="009021F1">
      <w:pPr>
        <w:rPr>
          <w:rFonts w:eastAsia="Arial Unicode MS" w:cs="Arial"/>
          <w:sz w:val="22"/>
        </w:rPr>
      </w:pPr>
      <w:r w:rsidRPr="007E3D1A">
        <w:rPr>
          <w:rFonts w:eastAsia="Arial Unicode MS" w:cs="Arial"/>
          <w:sz w:val="22"/>
        </w:rPr>
        <w:t>Le Code d’éthique et de Bonne Conduite est au cœur des moyens que nous mettons en œuvre pour bâtir et protéger la réputation de notre compagnie. La réputation de l’entreprise est l’un de ses biens les plus précieux, et elle doit être cultivée et protégée. Ce n’est pas tant ce que nous faisons, que la manière dont nous le faisons qui déterminera notre réputation auprès de nos partenaires, de nos salariés et du public et permettra d’assurer notre réussite à long terme. Il est inspiré des principes de Responsabilité, de Respect et de Détermination. Il définit la façon dont nous devons nous comporter, non seulement de manière générale, mais également lorsque nous sommes confrontés à des situations face auxquelles nos actes pourraient avoir des conséquences graves sur la réputation de l’entreprise</w:t>
      </w:r>
    </w:p>
    <w:p w14:paraId="6A62C7A1" w14:textId="77777777" w:rsidR="009021F1" w:rsidRPr="007E3D1A" w:rsidRDefault="009021F1" w:rsidP="009021F1">
      <w:pPr>
        <w:rPr>
          <w:rFonts w:eastAsia="Arial Unicode MS" w:cs="Arial"/>
          <w:sz w:val="22"/>
        </w:rPr>
      </w:pPr>
      <w:r w:rsidRPr="007E3D1A">
        <w:rPr>
          <w:rFonts w:eastAsia="Arial Unicode MS" w:cs="Arial"/>
          <w:sz w:val="22"/>
        </w:rPr>
        <w:t>Ce code dépasse la simple mise en conformité avec les lois et les règlementations. Il démontre notre engagement à agir dans le respect des principes d’éthique et avec intégrité, tout en respectant les droits individuels. Nous attendons que chaque employé de l’entreprise fasse preuve d’une conduite irréprochable, au quotidien et dans tous les établissements. Nous voulons également que toutes les parties concernées adoptent cette conduite.</w:t>
      </w:r>
    </w:p>
    <w:p w14:paraId="6A914B52" w14:textId="77777777" w:rsidR="009021F1" w:rsidRPr="007E3D1A" w:rsidRDefault="009021F1" w:rsidP="009021F1">
      <w:pPr>
        <w:rPr>
          <w:rFonts w:eastAsia="Arial Unicode MS" w:cs="Arial"/>
          <w:sz w:val="22"/>
        </w:rPr>
      </w:pPr>
      <w:r w:rsidRPr="007E3D1A">
        <w:rPr>
          <w:rFonts w:eastAsia="Arial Unicode MS" w:cs="Arial"/>
          <w:sz w:val="22"/>
        </w:rPr>
        <w:t>Tout programme d’éthique sérieux comporte comme éléments clés l'élaboration, la publication et l'acceptation d'un code complet d’éthique et de conduite, qui énonce dans des termes très concrets et sans ambiguïtés, les règles de comportement auxquelles sont censés se soumettre tous les employés.</w:t>
      </w:r>
    </w:p>
    <w:p w14:paraId="63036ED7" w14:textId="77777777" w:rsidR="009021F1" w:rsidRPr="007E3D1A" w:rsidRDefault="009021F1" w:rsidP="009021F1">
      <w:pPr>
        <w:rPr>
          <w:rFonts w:eastAsia="Arial Unicode MS" w:cs="Arial"/>
          <w:sz w:val="22"/>
        </w:rPr>
      </w:pPr>
      <w:r w:rsidRPr="007E3D1A">
        <w:rPr>
          <w:rFonts w:eastAsia="Arial Unicode MS" w:cs="Arial"/>
          <w:sz w:val="22"/>
        </w:rPr>
        <w:t>Un code de conduite doit être remis aux employés (Annexe 7). Des mesures disciplinaires effectives doivent être prévues, notamment le licenciement.  Tout comportement fautif d’un ouvrier peut donner lieu à l’une des sanctions suivantes, qui est fixée par la Direction de l’Entreprise ou son représentant en fonction de la nature et de la gravité du fait reproché :</w:t>
      </w:r>
    </w:p>
    <w:p w14:paraId="15C01715" w14:textId="77777777" w:rsidR="009021F1" w:rsidRPr="007E3D1A" w:rsidRDefault="009021F1" w:rsidP="009021F1">
      <w:pPr>
        <w:rPr>
          <w:rFonts w:eastAsia="Arial Unicode MS" w:cs="Arial"/>
          <w:sz w:val="22"/>
        </w:rPr>
      </w:pPr>
      <w:r w:rsidRPr="007E3D1A">
        <w:rPr>
          <w:rFonts w:eastAsia="Arial Unicode MS" w:cs="Arial"/>
          <w:sz w:val="22"/>
        </w:rPr>
        <w:t>Avertissement écrit ou blâme ;</w:t>
      </w:r>
    </w:p>
    <w:p w14:paraId="05424677" w14:textId="77777777" w:rsidR="009021F1" w:rsidRPr="007E3D1A" w:rsidRDefault="009021F1" w:rsidP="009021F1">
      <w:pPr>
        <w:rPr>
          <w:rFonts w:eastAsia="Arial Unicode MS" w:cs="Arial"/>
          <w:sz w:val="22"/>
        </w:rPr>
      </w:pPr>
      <w:r w:rsidRPr="007E3D1A">
        <w:rPr>
          <w:rFonts w:eastAsia="Arial Unicode MS" w:cs="Arial"/>
          <w:sz w:val="22"/>
        </w:rPr>
        <w:t>Mise à pied dans la limite de trois jours ;</w:t>
      </w:r>
    </w:p>
    <w:p w14:paraId="5A9601CB" w14:textId="77777777" w:rsidR="009021F1" w:rsidRPr="007E3D1A" w:rsidRDefault="009021F1" w:rsidP="009021F1">
      <w:pPr>
        <w:rPr>
          <w:rFonts w:eastAsia="Arial Unicode MS" w:cs="Arial"/>
          <w:sz w:val="22"/>
        </w:rPr>
      </w:pPr>
      <w:r w:rsidRPr="007E3D1A">
        <w:rPr>
          <w:rFonts w:eastAsia="Arial Unicode MS" w:cs="Arial"/>
          <w:sz w:val="22"/>
        </w:rPr>
        <w:t>Mutation ou déclassement, à titre disciplinaire, sous réserve des dispositions du Code du travail Congolais ;</w:t>
      </w:r>
    </w:p>
    <w:p w14:paraId="47CFBC49" w14:textId="77777777" w:rsidR="009021F1" w:rsidRPr="007E3D1A" w:rsidRDefault="009021F1" w:rsidP="009021F1">
      <w:pPr>
        <w:rPr>
          <w:rFonts w:eastAsia="Arial Unicode MS" w:cs="Arial"/>
          <w:sz w:val="22"/>
        </w:rPr>
      </w:pPr>
      <w:r w:rsidRPr="007E3D1A">
        <w:rPr>
          <w:rFonts w:eastAsia="Arial Unicode MS" w:cs="Arial"/>
          <w:sz w:val="22"/>
        </w:rPr>
        <w:t>Sanction</w:t>
      </w:r>
    </w:p>
    <w:p w14:paraId="077719CF" w14:textId="77777777" w:rsidR="009021F1" w:rsidRPr="007E3D1A" w:rsidRDefault="009021F1" w:rsidP="009021F1">
      <w:pPr>
        <w:rPr>
          <w:rFonts w:eastAsia="Arial Unicode MS" w:cs="Arial"/>
          <w:sz w:val="22"/>
        </w:rPr>
      </w:pPr>
      <w:r w:rsidRPr="007E3D1A">
        <w:rPr>
          <w:rFonts w:eastAsia="Arial Unicode MS" w:cs="Arial"/>
          <w:sz w:val="22"/>
        </w:rPr>
        <w:t xml:space="preserve">Licenciement ; </w:t>
      </w:r>
    </w:p>
    <w:p w14:paraId="7F25D324" w14:textId="77777777" w:rsidR="009021F1" w:rsidRPr="007E3D1A" w:rsidRDefault="009021F1" w:rsidP="009021F1">
      <w:pPr>
        <w:rPr>
          <w:rFonts w:eastAsia="Arial Unicode MS" w:cs="Arial"/>
          <w:sz w:val="22"/>
        </w:rPr>
      </w:pPr>
      <w:r w:rsidRPr="007E3D1A">
        <w:rPr>
          <w:rFonts w:eastAsia="Arial Unicode MS" w:cs="Arial"/>
          <w:sz w:val="22"/>
        </w:rPr>
        <w:t>Licenciement sans préavis ni indemnité.</w:t>
      </w:r>
    </w:p>
    <w:p w14:paraId="69220E14" w14:textId="77777777" w:rsidR="009021F1" w:rsidRPr="007E3D1A" w:rsidRDefault="009021F1" w:rsidP="009021F1">
      <w:pPr>
        <w:rPr>
          <w:rFonts w:eastAsia="Arial Unicode MS" w:cs="Arial"/>
          <w:sz w:val="22"/>
        </w:rPr>
      </w:pPr>
      <w:r w:rsidRPr="007E3D1A">
        <w:rPr>
          <w:rFonts w:eastAsia="Arial Unicode MS" w:cs="Arial"/>
          <w:sz w:val="22"/>
        </w:rPr>
        <w:t>Toute faute est aggravée par la récidive, sous réserve des dispositions de la Loi N°015/2002 du 16 Octobre 2002 portant Code du travail et de la Loi N°16/010 du 15 Juillet 2016 modifiant et complétant la Loi N°015/2002 portant Code du travail. La procédure applicable en matière disciplinaire est déterminée par les textes suivants de la Loi N°015/2002 du 16 Octobre 2002 portant Code du travail et de la Loi N°16/010 du 15 Juillet 2016 modifiant et complétant la Loi N°015/2002 conformément à la Loi N°015/2002 du 16 Octobre 2002 portant Code du travail et à la Loi N°16/010 du 15 Juillet 2016 modifiant et complétant la Loi N°015/2002.</w:t>
      </w:r>
    </w:p>
    <w:p w14:paraId="5A82F4CC" w14:textId="77777777" w:rsidR="009021F1" w:rsidRPr="007E3D1A" w:rsidRDefault="009021F1" w:rsidP="009021F1">
      <w:pPr>
        <w:rPr>
          <w:rFonts w:eastAsia="Arial Unicode MS" w:cs="Arial"/>
          <w:sz w:val="22"/>
        </w:rPr>
      </w:pPr>
    </w:p>
    <w:p w14:paraId="6CF626A6" w14:textId="77777777" w:rsidR="009021F1" w:rsidRPr="007E3D1A" w:rsidRDefault="009021F1" w:rsidP="009021F1">
      <w:pPr>
        <w:rPr>
          <w:rFonts w:eastAsia="Arial Unicode MS" w:cs="Arial"/>
          <w:sz w:val="22"/>
        </w:rPr>
      </w:pPr>
      <w:r w:rsidRPr="007E3D1A">
        <w:rPr>
          <w:rFonts w:eastAsia="Arial Unicode MS" w:cs="Arial"/>
          <w:sz w:val="22"/>
        </w:rPr>
        <w:t>Pour s’assurer de la réputation de notre société en la bonne conduite, l’entreprise et chaque employé doivent respecter le Code de Bonne Conduite et adhérer à ce Code, lequel comporte généralement les éléments clés suivants :</w:t>
      </w:r>
    </w:p>
    <w:p w14:paraId="3A35A7C4" w14:textId="77777777" w:rsidR="009021F1" w:rsidRPr="007E3D1A" w:rsidRDefault="009021F1" w:rsidP="009021F1">
      <w:pPr>
        <w:rPr>
          <w:rFonts w:eastAsia="Arial Unicode MS" w:cs="Arial"/>
          <w:sz w:val="22"/>
        </w:rPr>
      </w:pPr>
      <w:r w:rsidRPr="007E3D1A">
        <w:rPr>
          <w:rFonts w:eastAsia="Arial Unicode MS" w:cs="Arial"/>
          <w:sz w:val="22"/>
        </w:rPr>
        <w:t xml:space="preserve">Les 4 éléments clés du Code de Bonne Conduite sont les suivants :   </w:t>
      </w:r>
    </w:p>
    <w:p w14:paraId="3771CE9D" w14:textId="77777777" w:rsidR="009021F1" w:rsidRPr="007E3D1A" w:rsidRDefault="009021F1" w:rsidP="009021F1">
      <w:pPr>
        <w:rPr>
          <w:rFonts w:eastAsia="Arial Unicode MS" w:cs="Arial"/>
          <w:sz w:val="22"/>
        </w:rPr>
      </w:pPr>
      <w:r w:rsidRPr="007E3D1A">
        <w:rPr>
          <w:rFonts w:eastAsia="Arial Unicode MS" w:cs="Arial"/>
          <w:sz w:val="22"/>
        </w:rPr>
        <w:t xml:space="preserve">Responsabilité personnelle </w:t>
      </w:r>
    </w:p>
    <w:p w14:paraId="241030A8" w14:textId="77777777" w:rsidR="009021F1" w:rsidRPr="007E3D1A" w:rsidRDefault="009021F1" w:rsidP="009021F1">
      <w:pPr>
        <w:rPr>
          <w:rFonts w:eastAsia="Arial Unicode MS" w:cs="Arial"/>
          <w:sz w:val="22"/>
        </w:rPr>
      </w:pPr>
      <w:r w:rsidRPr="007E3D1A">
        <w:rPr>
          <w:rFonts w:eastAsia="Arial Unicode MS" w:cs="Arial"/>
          <w:sz w:val="22"/>
        </w:rPr>
        <w:t xml:space="preserve">Responsabilité vis-à-vis de la loi </w:t>
      </w:r>
    </w:p>
    <w:p w14:paraId="1C276BC9" w14:textId="77777777" w:rsidR="009021F1" w:rsidRPr="007E3D1A" w:rsidRDefault="009021F1" w:rsidP="009021F1">
      <w:pPr>
        <w:rPr>
          <w:rFonts w:eastAsia="Arial Unicode MS" w:cs="Arial"/>
          <w:sz w:val="22"/>
        </w:rPr>
      </w:pPr>
      <w:r w:rsidRPr="007E3D1A">
        <w:rPr>
          <w:rFonts w:eastAsia="Arial Unicode MS" w:cs="Arial"/>
          <w:sz w:val="22"/>
        </w:rPr>
        <w:t>Responsabilité vis-à-vis du travail</w:t>
      </w:r>
    </w:p>
    <w:p w14:paraId="2F5EADD3" w14:textId="77777777" w:rsidR="009021F1" w:rsidRPr="007E3D1A" w:rsidRDefault="009021F1" w:rsidP="009021F1">
      <w:pPr>
        <w:rPr>
          <w:rFonts w:eastAsia="Arial Unicode MS" w:cs="Arial"/>
          <w:sz w:val="22"/>
        </w:rPr>
      </w:pPr>
      <w:r w:rsidRPr="007E3D1A">
        <w:rPr>
          <w:rFonts w:eastAsia="Arial Unicode MS" w:cs="Arial"/>
          <w:sz w:val="22"/>
        </w:rPr>
        <w:t>Responsabilité vis-à-vis de l’environnement de travail</w:t>
      </w:r>
    </w:p>
    <w:p w14:paraId="5E3F4D25" w14:textId="77777777" w:rsidR="009021F1" w:rsidRPr="007E3D1A" w:rsidRDefault="009021F1" w:rsidP="009021F1">
      <w:pPr>
        <w:rPr>
          <w:rFonts w:eastAsia="Arial Unicode MS" w:cs="Arial"/>
          <w:sz w:val="22"/>
        </w:rPr>
      </w:pPr>
      <w:r w:rsidRPr="007E3D1A">
        <w:rPr>
          <w:rFonts w:eastAsia="Arial Unicode MS" w:cs="Arial"/>
          <w:sz w:val="22"/>
        </w:rPr>
        <w:t>Responsabilité vis-à-vis les Violences basées sur le Genre (VBG)</w:t>
      </w:r>
    </w:p>
    <w:p w14:paraId="3D7F67F2" w14:textId="77777777" w:rsidR="009021F1" w:rsidRPr="007E3D1A" w:rsidRDefault="009021F1" w:rsidP="009021F1">
      <w:pPr>
        <w:rPr>
          <w:rFonts w:eastAsia="Arial Unicode MS" w:cs="Arial"/>
          <w:sz w:val="22"/>
        </w:rPr>
      </w:pPr>
      <w:r w:rsidRPr="007E3D1A">
        <w:rPr>
          <w:rFonts w:eastAsia="Arial Unicode MS" w:cs="Arial"/>
          <w:sz w:val="22"/>
        </w:rPr>
        <w:t>Éléments clés</w:t>
      </w:r>
    </w:p>
    <w:p w14:paraId="5BC39125" w14:textId="77777777" w:rsidR="009021F1" w:rsidRPr="007E3D1A" w:rsidRDefault="009021F1" w:rsidP="009021F1">
      <w:pPr>
        <w:rPr>
          <w:rFonts w:eastAsia="Arial Unicode MS" w:cs="Arial"/>
          <w:sz w:val="22"/>
        </w:rPr>
      </w:pPr>
      <w:r w:rsidRPr="007E3D1A">
        <w:rPr>
          <w:rFonts w:eastAsia="Arial Unicode MS" w:cs="Arial"/>
          <w:sz w:val="22"/>
        </w:rPr>
        <w:t>Responsabilité personnelle</w:t>
      </w:r>
    </w:p>
    <w:p w14:paraId="78A4174C" w14:textId="77777777" w:rsidR="009021F1" w:rsidRPr="007E3D1A" w:rsidRDefault="009021F1" w:rsidP="009021F1">
      <w:pPr>
        <w:rPr>
          <w:rFonts w:eastAsia="Arial Unicode MS" w:cs="Arial"/>
          <w:sz w:val="22"/>
        </w:rPr>
      </w:pPr>
      <w:r w:rsidRPr="007E3D1A">
        <w:rPr>
          <w:rFonts w:eastAsia="Arial Unicode MS" w:cs="Arial"/>
          <w:sz w:val="22"/>
        </w:rPr>
        <w:t>Tous les employés de notre société doivent accepter la responsabilité personnelle qui leur incombe de respecter le Code d’Éthique et de Bonne Conduite.  Ils doivent tout particulièrement :</w:t>
      </w:r>
    </w:p>
    <w:p w14:paraId="4A1EBD2A" w14:textId="77777777" w:rsidR="009021F1" w:rsidRPr="007E3D1A" w:rsidRDefault="009021F1" w:rsidP="009021F1">
      <w:pPr>
        <w:rPr>
          <w:rFonts w:eastAsia="Arial Unicode MS" w:cs="Arial"/>
          <w:sz w:val="22"/>
        </w:rPr>
      </w:pPr>
      <w:r w:rsidRPr="007E3D1A">
        <w:rPr>
          <w:rFonts w:eastAsia="Arial Unicode MS" w:cs="Arial"/>
          <w:sz w:val="22"/>
        </w:rPr>
        <w:t xml:space="preserve">S’attacher à respecter les plus hauts niveaux de moralité afin de garder la réputation de l’Entreprise, et ne pas se borner à faire le minimum requis pour répondre aux exigences légales ou aux procédures en vigueur ;  </w:t>
      </w:r>
    </w:p>
    <w:p w14:paraId="184BC628" w14:textId="77777777" w:rsidR="009021F1" w:rsidRPr="007E3D1A" w:rsidRDefault="009021F1" w:rsidP="009021F1">
      <w:pPr>
        <w:rPr>
          <w:rFonts w:eastAsia="Arial Unicode MS" w:cs="Arial"/>
          <w:sz w:val="22"/>
        </w:rPr>
      </w:pPr>
      <w:r w:rsidRPr="007E3D1A">
        <w:rPr>
          <w:rFonts w:eastAsia="Arial Unicode MS" w:cs="Arial"/>
          <w:sz w:val="22"/>
        </w:rPr>
        <w:t>Prendre le temps de lire et de comprendre le Code d’Éthique et de Bonne Conduite ;</w:t>
      </w:r>
    </w:p>
    <w:p w14:paraId="2DFDB477" w14:textId="77777777" w:rsidR="009021F1" w:rsidRPr="007E3D1A" w:rsidRDefault="009021F1" w:rsidP="009021F1">
      <w:pPr>
        <w:rPr>
          <w:rFonts w:eastAsia="Arial Unicode MS" w:cs="Arial"/>
          <w:sz w:val="22"/>
        </w:rPr>
      </w:pPr>
      <w:r w:rsidRPr="007E3D1A">
        <w:rPr>
          <w:rFonts w:eastAsia="Arial Unicode MS" w:cs="Arial"/>
          <w:sz w:val="22"/>
        </w:rPr>
        <w:t>Sauf exception stipulée dans le Code d’Éthique et de Bonne Conduite ou tout autre texte, loi, réglementation, décision ou directive, ne pas solliciter ni accepter de cadeau ou autre élément ayant une valeur pécuniaire, de la part de toute personne ou entité recherchant une action, une relation commerciale avec l’Entreprise ou la conduite d’activités réglementées par l’Entreprise, ou dont les intérêts risquent d’être affectés dans une large mesure par le fait que l’employé réalise ou ne réalise pas les tâches qui lui sont confiées ;</w:t>
      </w:r>
    </w:p>
    <w:p w14:paraId="7900FB17" w14:textId="77777777" w:rsidR="009021F1" w:rsidRPr="007E3D1A" w:rsidRDefault="009021F1" w:rsidP="009021F1">
      <w:pPr>
        <w:rPr>
          <w:rFonts w:eastAsia="Arial Unicode MS" w:cs="Arial"/>
          <w:sz w:val="22"/>
        </w:rPr>
      </w:pPr>
      <w:r w:rsidRPr="007E3D1A">
        <w:rPr>
          <w:rFonts w:eastAsia="Arial Unicode MS" w:cs="Arial"/>
          <w:sz w:val="22"/>
        </w:rPr>
        <w:t>Ne pas détenir d’intérêts financiers en conflit avec une réalisation consciencieuse de leur devoir ;</w:t>
      </w:r>
    </w:p>
    <w:p w14:paraId="35AD9499" w14:textId="77777777" w:rsidR="009021F1" w:rsidRPr="007E3D1A" w:rsidRDefault="009021F1" w:rsidP="009021F1">
      <w:pPr>
        <w:rPr>
          <w:rFonts w:eastAsia="Arial Unicode MS" w:cs="Arial"/>
          <w:sz w:val="22"/>
        </w:rPr>
      </w:pPr>
      <w:r w:rsidRPr="007E3D1A">
        <w:rPr>
          <w:rFonts w:eastAsia="Arial Unicode MS" w:cs="Arial"/>
          <w:sz w:val="22"/>
        </w:rPr>
        <w:t>Traiter leurs collègues et leurs collaborateurs de manière professionnelle et avec courtoisie ; Agir de manière impartiale et ne pas accorder de traitement préférentiel à tout organisme privé ou individu quel qu’il soit ;</w:t>
      </w:r>
    </w:p>
    <w:p w14:paraId="5F2A7325" w14:textId="77777777" w:rsidR="009021F1" w:rsidRPr="007E3D1A" w:rsidRDefault="009021F1" w:rsidP="009021F1">
      <w:pPr>
        <w:rPr>
          <w:rFonts w:eastAsia="Arial Unicode MS" w:cs="Arial"/>
          <w:sz w:val="22"/>
        </w:rPr>
      </w:pPr>
      <w:r w:rsidRPr="007E3D1A">
        <w:rPr>
          <w:rFonts w:eastAsia="Arial Unicode MS" w:cs="Arial"/>
          <w:sz w:val="22"/>
        </w:rPr>
        <w:t>L’entreprise est un employeur qui garantit l’égalité des chances et qui veille au respect de la dignité de ses employés.</w:t>
      </w:r>
    </w:p>
    <w:p w14:paraId="7A9029CE" w14:textId="77777777" w:rsidR="009021F1" w:rsidRPr="007E3D1A" w:rsidRDefault="009021F1" w:rsidP="009021F1">
      <w:pPr>
        <w:rPr>
          <w:rFonts w:eastAsia="Arial Unicode MS" w:cs="Arial"/>
          <w:sz w:val="22"/>
        </w:rPr>
      </w:pPr>
      <w:r w:rsidRPr="007E3D1A">
        <w:rPr>
          <w:rFonts w:eastAsia="Arial Unicode MS" w:cs="Arial"/>
          <w:sz w:val="22"/>
        </w:rPr>
        <w:t xml:space="preserve">Responsabilité vis-à-vis de la loi </w:t>
      </w:r>
    </w:p>
    <w:p w14:paraId="07A0BC1A" w14:textId="77777777" w:rsidR="009021F1" w:rsidRPr="007E3D1A" w:rsidRDefault="009021F1" w:rsidP="009021F1">
      <w:pPr>
        <w:rPr>
          <w:rFonts w:eastAsia="SimSun" w:cs="Arial"/>
          <w:sz w:val="22"/>
        </w:rPr>
      </w:pPr>
      <w:r w:rsidRPr="007E3D1A">
        <w:rPr>
          <w:rFonts w:eastAsia="SimSun" w:cs="Arial"/>
          <w:sz w:val="22"/>
        </w:rPr>
        <w:t>Tous les employés sont tenus d'avertir leur hiérarchie dès qu'ils ont connaissance qu’ils font l'objet de poursuites pénales ou qu'ils sont susceptibles d'être poursuivis. Au moment où elle reçoit ces informations, la hiérarchie devrait décider de maintenir l’employé au poste qu’il occupait, de l'affecter à d'autres fonctions ou de le suspendre de ses fonctions.</w:t>
      </w:r>
    </w:p>
    <w:p w14:paraId="3C5CD317" w14:textId="77777777" w:rsidR="009021F1" w:rsidRPr="007E3D1A" w:rsidRDefault="009021F1" w:rsidP="009021F1">
      <w:pPr>
        <w:rPr>
          <w:rFonts w:eastAsia="SimSun" w:cs="Arial"/>
          <w:sz w:val="22"/>
        </w:rPr>
      </w:pPr>
      <w:r w:rsidRPr="007E3D1A">
        <w:rPr>
          <w:rFonts w:eastAsia="SimSun" w:cs="Arial"/>
          <w:sz w:val="22"/>
        </w:rPr>
        <w:t>Lorsque des employés de l’Entreprise estiment qu’ils sont demandés par un supérieur ou un collègue d’agir de manière illégale, abusive, contraire à la loi du Pays ou en violation du Code de conduite, pendant l’exercice de leurs tâches, il leur appartient de le signaler à un membre désigné de la hiérarchie ou de l’Entreprise.</w:t>
      </w:r>
    </w:p>
    <w:p w14:paraId="501AE22F" w14:textId="77777777" w:rsidR="009021F1" w:rsidRPr="007E3D1A" w:rsidRDefault="009021F1" w:rsidP="009021F1">
      <w:pPr>
        <w:rPr>
          <w:rFonts w:eastAsia="SimSun" w:cs="Arial"/>
          <w:sz w:val="22"/>
        </w:rPr>
      </w:pPr>
      <w:r w:rsidRPr="007E3D1A">
        <w:rPr>
          <w:rFonts w:eastAsia="SimSun" w:cs="Arial"/>
          <w:sz w:val="22"/>
        </w:rPr>
        <w:t>L’employeur et l’employé sont obligés de bien maitriser les lois en vigueur au pays en rapport avec le présent projet car elles priment sur toutes conventions collectives. Toute conduite illicite et criminelle ou encore à tendance criminelle est strictement interdite au sein de l’Entreprise. Un tel cas se verra directement traduit en justice conformément à la loi.</w:t>
      </w:r>
    </w:p>
    <w:p w14:paraId="32641432" w14:textId="77777777" w:rsidR="009021F1" w:rsidRPr="007E3D1A" w:rsidRDefault="009021F1" w:rsidP="009021F1">
      <w:pPr>
        <w:rPr>
          <w:rFonts w:eastAsia="Arial Unicode MS" w:cs="Arial"/>
          <w:sz w:val="22"/>
        </w:rPr>
      </w:pPr>
      <w:r w:rsidRPr="007E3D1A">
        <w:rPr>
          <w:rFonts w:eastAsia="Arial Unicode MS" w:cs="Arial"/>
          <w:sz w:val="22"/>
        </w:rPr>
        <w:t>Responsabilité vis-à-vis du travail</w:t>
      </w:r>
    </w:p>
    <w:p w14:paraId="446783F3" w14:textId="77777777" w:rsidR="009021F1" w:rsidRPr="007E3D1A" w:rsidRDefault="009021F1" w:rsidP="009021F1">
      <w:pPr>
        <w:rPr>
          <w:rFonts w:eastAsia="SimSun" w:cs="Arial"/>
          <w:sz w:val="22"/>
        </w:rPr>
      </w:pPr>
      <w:r w:rsidRPr="007E3D1A">
        <w:rPr>
          <w:rFonts w:eastAsia="SimSun" w:cs="Arial"/>
          <w:sz w:val="22"/>
        </w:rPr>
        <w:t>Le travail commence à 8h00 et prend fin à 17h00’ avec une pause de 12h00’ à 13h00 du lundi au vendredi. Le Samedi de 08h00’ à 13h00’. L’employé est interdit de quitter le travail sans autorisation.</w:t>
      </w:r>
    </w:p>
    <w:p w14:paraId="523DED8C" w14:textId="77777777" w:rsidR="009021F1" w:rsidRPr="007E3D1A" w:rsidRDefault="009021F1" w:rsidP="009021F1">
      <w:pPr>
        <w:rPr>
          <w:rFonts w:eastAsia="SimSun" w:cs="Arial"/>
          <w:sz w:val="22"/>
        </w:rPr>
      </w:pPr>
      <w:r w:rsidRPr="007E3D1A">
        <w:rPr>
          <w:rFonts w:eastAsia="SimSun" w:cs="Arial"/>
          <w:sz w:val="22"/>
        </w:rPr>
        <w:t>Au cas où l’employeur constate un employé inactif, la journée de ce dernier ne serait pas considérée comme entière et il serait sanctionné à travers la déduction d’un certain pourcentage de son salaire ou le licenciement.</w:t>
      </w:r>
    </w:p>
    <w:p w14:paraId="2CCEFFC2" w14:textId="77777777" w:rsidR="009021F1" w:rsidRPr="007E3D1A" w:rsidRDefault="009021F1" w:rsidP="009021F1">
      <w:pPr>
        <w:rPr>
          <w:rFonts w:eastAsia="SimSun" w:cs="Arial"/>
          <w:sz w:val="22"/>
        </w:rPr>
      </w:pPr>
      <w:r w:rsidRPr="007E3D1A">
        <w:rPr>
          <w:rFonts w:eastAsia="SimSun" w:cs="Arial"/>
          <w:sz w:val="22"/>
        </w:rPr>
        <w:t>L’employé sous influence d’alcool ne prendra pas son service ou ne restera pas en service. En aucune circonstance, les employés ne conduiront un véhicule, ou n’utiliseront n’importe quel engin appartenant à l’Entreprise pendant qu’ils sont en service ou en dehors, s’ils sont sous influence d’alcool. L’employeur calcule le salaire d’Employé selon les heures que ce dernier est en service.</w:t>
      </w:r>
    </w:p>
    <w:p w14:paraId="1C367E89" w14:textId="77777777" w:rsidR="009021F1" w:rsidRPr="007E3D1A" w:rsidRDefault="009021F1" w:rsidP="009021F1">
      <w:pPr>
        <w:rPr>
          <w:rFonts w:eastAsia="SimSun" w:cs="Arial"/>
          <w:sz w:val="22"/>
        </w:rPr>
      </w:pPr>
      <w:r w:rsidRPr="007E3D1A">
        <w:rPr>
          <w:rFonts w:eastAsia="SimSun" w:cs="Arial"/>
          <w:sz w:val="22"/>
        </w:rPr>
        <w:t xml:space="preserve">Les membres du personnel doivent consacrer leurs activités professionnelles au service de </w:t>
      </w:r>
      <w:r w:rsidRPr="007E3D1A">
        <w:rPr>
          <w:rFonts w:eastAsia="Arial Unicode MS" w:cs="Arial"/>
          <w:sz w:val="22"/>
        </w:rPr>
        <w:t>l’entreprise</w:t>
      </w:r>
      <w:r w:rsidRPr="007E3D1A">
        <w:rPr>
          <w:rFonts w:eastAsia="SimSun" w:cs="Arial"/>
          <w:sz w:val="22"/>
        </w:rPr>
        <w:t xml:space="preserve"> conformément aux règles, politiques et lignes directrices pertinentes. Les membres du personnel ne peuvent, sans y avoir été préalablement autorisés par</w:t>
      </w:r>
      <w:r w:rsidRPr="007E3D1A">
        <w:rPr>
          <w:rFonts w:eastAsia="Arial Unicode MS" w:cs="Arial"/>
          <w:sz w:val="22"/>
        </w:rPr>
        <w:t xml:space="preserve"> l’entreprise</w:t>
      </w:r>
      <w:r w:rsidRPr="007E3D1A">
        <w:rPr>
          <w:rFonts w:eastAsia="SimSun" w:cs="Arial"/>
          <w:sz w:val="22"/>
        </w:rPr>
        <w:t xml:space="preserve">, exercer aucune activité professionnelle en dehors </w:t>
      </w:r>
      <w:r w:rsidRPr="007E3D1A">
        <w:rPr>
          <w:rFonts w:eastAsia="Arial Unicode MS" w:cs="Arial"/>
          <w:sz w:val="22"/>
        </w:rPr>
        <w:t>l’entreprise</w:t>
      </w:r>
      <w:r w:rsidRPr="007E3D1A">
        <w:rPr>
          <w:rFonts w:eastAsia="SimSun" w:cs="Arial"/>
          <w:sz w:val="22"/>
        </w:rPr>
        <w:t xml:space="preserve">. </w:t>
      </w:r>
      <w:r w:rsidRPr="007E3D1A">
        <w:rPr>
          <w:rFonts w:eastAsia="Arial Unicode MS" w:cs="Arial"/>
          <w:sz w:val="22"/>
        </w:rPr>
        <w:t>L’entreprise</w:t>
      </w:r>
      <w:r w:rsidRPr="007E3D1A">
        <w:rPr>
          <w:rFonts w:eastAsia="SimSun" w:cs="Arial"/>
          <w:sz w:val="22"/>
        </w:rPr>
        <w:t xml:space="preserve"> refuse de donner cette permission si elle considère que l’activité en question risque d’être préjudiciable au bon accomplissement des tâches du membre du personnel.</w:t>
      </w:r>
    </w:p>
    <w:p w14:paraId="71A10510" w14:textId="77777777" w:rsidR="009021F1" w:rsidRPr="007E3D1A" w:rsidRDefault="009021F1" w:rsidP="009021F1">
      <w:pPr>
        <w:rPr>
          <w:rFonts w:eastAsia="SimSun" w:cs="Arial"/>
          <w:sz w:val="22"/>
        </w:rPr>
      </w:pPr>
      <w:r w:rsidRPr="007E3D1A">
        <w:rPr>
          <w:rFonts w:eastAsia="SimSun" w:cs="Arial"/>
          <w:sz w:val="22"/>
        </w:rPr>
        <w:t xml:space="preserve">L’exercice, par les membres du personnel, d’une activité extérieure dûment autorisée ne doit pas entraîner un usage abusif des ressources de </w:t>
      </w:r>
      <w:r w:rsidRPr="007E3D1A">
        <w:rPr>
          <w:rFonts w:eastAsia="Arial Unicode MS" w:cs="Arial"/>
          <w:sz w:val="22"/>
        </w:rPr>
        <w:t xml:space="preserve">l’entreprise </w:t>
      </w:r>
      <w:r w:rsidRPr="007E3D1A">
        <w:rPr>
          <w:rFonts w:eastAsia="SimSun" w:cs="Arial"/>
          <w:sz w:val="22"/>
        </w:rPr>
        <w:t xml:space="preserve">ni reposer sur l’exploitation illégitime du nom, de la réputation ou du soutien financier de </w:t>
      </w:r>
      <w:r w:rsidRPr="007E3D1A">
        <w:rPr>
          <w:rFonts w:eastAsia="Arial Unicode MS" w:cs="Arial"/>
          <w:sz w:val="22"/>
        </w:rPr>
        <w:t>l’entreprise</w:t>
      </w:r>
      <w:r w:rsidRPr="007E3D1A">
        <w:rPr>
          <w:rFonts w:eastAsia="SimSun" w:cs="Arial"/>
          <w:sz w:val="22"/>
        </w:rPr>
        <w:t>. Les employés n’achèteront et ne consommeront aucune boisson alcoolisée pendant leur service ou en dehors, tant qu’ils portent l’uniforme. Il est formellement interdit d’accéder aux lieux de travail en état d’ivresse et d’introduire ou de distribuer aux postes de travail des boissons alcoolisées.</w:t>
      </w:r>
    </w:p>
    <w:p w14:paraId="494C38F6" w14:textId="77777777" w:rsidR="009021F1" w:rsidRPr="007E3D1A" w:rsidRDefault="009021F1" w:rsidP="009021F1">
      <w:pPr>
        <w:rPr>
          <w:rFonts w:eastAsia="SimSun" w:cs="Arial"/>
          <w:sz w:val="22"/>
        </w:rPr>
      </w:pPr>
      <w:r w:rsidRPr="007E3D1A">
        <w:rPr>
          <w:rFonts w:eastAsia="SimSun" w:cs="Arial"/>
          <w:sz w:val="22"/>
        </w:rPr>
        <w:t>Chaque employé doit utiliser conformément aux instructions reçues les équipements de protection individuelle tels que : chaussures de sécurité, vêtements imperméables, casques, gants, lunettes, protections antibruit, maniques, brassières, tabliers, vêtements de protection, etc., mis à sa disposition par l’Entreprise. Tous les employés doivent être en tenue recommandée pour le travail quel que soit les conditions climatiques, au cas contraire, il serait sanctionné à travers la déduction un certain pourcentage de son salaire ou le licenciement.</w:t>
      </w:r>
    </w:p>
    <w:p w14:paraId="0C3222D7" w14:textId="77777777" w:rsidR="009021F1" w:rsidRPr="007E3D1A" w:rsidRDefault="009021F1" w:rsidP="009021F1">
      <w:pPr>
        <w:rPr>
          <w:rFonts w:eastAsia="SimSun" w:cs="Arial"/>
          <w:sz w:val="22"/>
        </w:rPr>
      </w:pPr>
      <w:r w:rsidRPr="007E3D1A">
        <w:rPr>
          <w:rFonts w:eastAsia="SimSun" w:cs="Arial"/>
          <w:sz w:val="22"/>
        </w:rPr>
        <w:t>Les employés ne peuvent pas participer ou chercher à participer ou être complice de participer à l’acte de vol ni participer à l’acte de dégradation intentionnelle. Si l’employeur a des preuves irréfutables, un employé qui participe à un acte de vol ou de dégradation sera tenu de réparer, restituer les objets volés ou dégradés ou d’indemniser la même valeur de ce qu’il a volé ou dégradé avant d’être transmis à l’autorité publique pour subir sa peine.</w:t>
      </w:r>
    </w:p>
    <w:p w14:paraId="7A6F540A" w14:textId="77777777" w:rsidR="009021F1" w:rsidRPr="007E3D1A" w:rsidRDefault="009021F1" w:rsidP="009021F1">
      <w:pPr>
        <w:rPr>
          <w:rFonts w:eastAsia="SimSun" w:cs="Arial"/>
          <w:sz w:val="22"/>
        </w:rPr>
      </w:pPr>
      <w:r w:rsidRPr="007E3D1A">
        <w:rPr>
          <w:rFonts w:eastAsia="SimSun" w:cs="Arial"/>
          <w:sz w:val="22"/>
        </w:rPr>
        <w:t xml:space="preserve">Les employés doivent respecter leur hiérarchie et collègues. Les employés ne peuvent pas injurier leurs hiérarchies et collègues. </w:t>
      </w:r>
      <w:r w:rsidRPr="007E3D1A">
        <w:rPr>
          <w:rFonts w:eastAsia="Arial Unicode MS" w:cs="Arial"/>
          <w:sz w:val="22"/>
        </w:rPr>
        <w:t>L’entreprise</w:t>
      </w:r>
      <w:r w:rsidRPr="007E3D1A">
        <w:rPr>
          <w:rFonts w:eastAsia="SimSun" w:cs="Arial"/>
          <w:sz w:val="22"/>
        </w:rPr>
        <w:t xml:space="preserve"> encourage les membres de son personnel à faire preuve d’un esprit de coopération de bonne foi. La désinformation ou la rétention d’information, le refus injustifié de collaborer avec des collègues ainsi que, d’une manière générale, les comportements d’obstruction ou de dénigrement systématique sont fermement découragés à tous les niveaux.</w:t>
      </w:r>
    </w:p>
    <w:p w14:paraId="1BF7FDD8" w14:textId="77777777" w:rsidR="009021F1" w:rsidRPr="007E3D1A" w:rsidRDefault="009021F1" w:rsidP="009021F1">
      <w:pPr>
        <w:rPr>
          <w:rFonts w:eastAsia="SimSun" w:cs="Arial"/>
          <w:sz w:val="22"/>
        </w:rPr>
      </w:pPr>
      <w:r w:rsidRPr="007E3D1A">
        <w:rPr>
          <w:rFonts w:eastAsia="SimSun" w:cs="Arial"/>
          <w:sz w:val="22"/>
        </w:rPr>
        <w:t>Les employés doivent observer le programme établi par l’employeur ou leurs hiérarchies. Les membres du personnel sont en droit de recevoir, de la part de leurs supérieurs, des instructions claires concernant leurs tâches ainsi que des observations honnêtes et constructives, dénuées de préjugés, de favoritisme ou d’arrière-pensées, sur leur manière de travailler et sur leurs résultats.</w:t>
      </w:r>
    </w:p>
    <w:p w14:paraId="13D204D7" w14:textId="77777777" w:rsidR="009021F1" w:rsidRPr="007E3D1A" w:rsidRDefault="009021F1" w:rsidP="009021F1">
      <w:pPr>
        <w:rPr>
          <w:rFonts w:eastAsia="SimSun" w:cs="Arial"/>
          <w:sz w:val="22"/>
        </w:rPr>
      </w:pPr>
      <w:r w:rsidRPr="007E3D1A">
        <w:rPr>
          <w:rFonts w:eastAsia="SimSun" w:cs="Arial"/>
          <w:sz w:val="22"/>
        </w:rPr>
        <w:t>Les membres du personnel sont tenus de s’acquitter des tâches liées à leur profession avec diligence et efficacité et dans toute la mesure de leur compétence.</w:t>
      </w:r>
    </w:p>
    <w:p w14:paraId="7B105683" w14:textId="77777777" w:rsidR="009021F1" w:rsidRPr="007E3D1A" w:rsidRDefault="009021F1" w:rsidP="009021F1">
      <w:pPr>
        <w:rPr>
          <w:rFonts w:eastAsia="SimSun" w:cs="Arial"/>
          <w:sz w:val="22"/>
        </w:rPr>
      </w:pPr>
      <w:r w:rsidRPr="007E3D1A">
        <w:rPr>
          <w:rFonts w:eastAsia="SimSun" w:cs="Arial"/>
          <w:sz w:val="22"/>
        </w:rPr>
        <w:t>Tout employé doit prendre soin des outils et effets de travail qui peuvent lui être fournis par l’entreprise et veiller à leur conservation et à leur entretien. Tout employé ne doit pas utiliser des matériels y compris informatiques et de téléphonie mobile, des matériaux et des outils de l’entreprise à des fins personnelles. L’utilisation des outils informatiques est en principe professionnelle. L’employé ne doit pas emporter sans autorisation quoi que ce soit ne leur appartenant pas (documents ou objets confiés par l’Entreprise, matériel, outils, matériaux, etc.).</w:t>
      </w:r>
    </w:p>
    <w:p w14:paraId="3CD3D873" w14:textId="77777777" w:rsidR="009021F1" w:rsidRPr="007E3D1A" w:rsidRDefault="009021F1" w:rsidP="009021F1">
      <w:pPr>
        <w:rPr>
          <w:rFonts w:eastAsia="Arial Unicode MS" w:cs="Arial"/>
          <w:sz w:val="22"/>
        </w:rPr>
      </w:pPr>
      <w:r w:rsidRPr="007E3D1A">
        <w:rPr>
          <w:rFonts w:eastAsia="Arial Unicode MS" w:cs="Arial"/>
          <w:sz w:val="22"/>
        </w:rPr>
        <w:t>Responsabilité vis-à-vis de l’environnement, hygiène et sécurité</w:t>
      </w:r>
    </w:p>
    <w:p w14:paraId="26238D2B" w14:textId="77777777" w:rsidR="009021F1" w:rsidRPr="007E3D1A" w:rsidRDefault="009021F1" w:rsidP="009021F1">
      <w:pPr>
        <w:rPr>
          <w:rFonts w:eastAsia="SimSun" w:cs="Arial"/>
          <w:sz w:val="22"/>
        </w:rPr>
      </w:pPr>
      <w:r w:rsidRPr="007E3D1A">
        <w:rPr>
          <w:rFonts w:eastAsia="SimSun" w:cs="Arial"/>
          <w:sz w:val="22"/>
        </w:rPr>
        <w:t>Tous les employés ont le droit d’exercer leur activité dans les meilleures conditions de santé et de sécurité, sans faire l’objet de discrimination et de harcèlement, et dans un environnement où les objectifs visés par chacun et par l’administration peuvent être atteints. Chaque employé doit veiller à sa sécurité personnelle et à celle des autres en respectant ou en faisant respecter, en fonction de sa formation et selon ses possibilités, les consignes générales et particulières de sécurité en vigueur sur les lieux du travail ou pour l’exécution de certains travaux ainsi que les dispositions mises en place dans l’entreprise pour l’application des prescriptions prévues par la réglementation en vigueur en matière d’hygiène et de sécurité et dans le Plan de Gestion Environnementale et Sociale du Chantier, en particulier :</w:t>
      </w:r>
    </w:p>
    <w:p w14:paraId="3CEB78D9" w14:textId="77777777" w:rsidR="009021F1" w:rsidRPr="007E3D1A" w:rsidRDefault="009021F1" w:rsidP="009021F1">
      <w:pPr>
        <w:rPr>
          <w:rFonts w:eastAsia="SimSun" w:cs="Arial"/>
          <w:sz w:val="22"/>
        </w:rPr>
      </w:pPr>
      <w:r w:rsidRPr="007E3D1A">
        <w:rPr>
          <w:rFonts w:eastAsia="SimSun" w:cs="Arial"/>
          <w:sz w:val="22"/>
        </w:rPr>
        <w:t>Chaque employé a pour obligation, sauf instructions particulières de la Direction de l’Entreprise ou de son représentant (en l’occurrence le Chef de chantier), de maintenir en place les dispositifs installés de toute nature pour assurer la protection collective des travailleurs soit par sa propre Entreprise, soit par d’autres Entreprises intervenant sur le même chantier. Lorsque ces dispositifs devront être enlevés pour l’exécution d’un travail et ne pourront être remplacés en raison de l’avancement des travaux, il devra en avertir préalablement la Direction de l’Entreprise ou son représentant, ou le cas échéant, le responsable de la sécurité sur le chantier ;</w:t>
      </w:r>
    </w:p>
    <w:p w14:paraId="3087E896" w14:textId="77777777" w:rsidR="009021F1" w:rsidRPr="007E3D1A" w:rsidRDefault="009021F1" w:rsidP="009021F1">
      <w:pPr>
        <w:rPr>
          <w:rFonts w:eastAsia="SimSun" w:cs="Arial"/>
          <w:sz w:val="22"/>
        </w:rPr>
      </w:pPr>
      <w:r w:rsidRPr="007E3D1A">
        <w:rPr>
          <w:rFonts w:eastAsia="SimSun" w:cs="Arial"/>
          <w:sz w:val="22"/>
        </w:rPr>
        <w:t>Chaque employé prend soin des équipements de protection individuelle qui lui sont confiés et signale toute défectuosité constatée ;</w:t>
      </w:r>
    </w:p>
    <w:p w14:paraId="68F28E78" w14:textId="77777777" w:rsidR="009021F1" w:rsidRPr="007E3D1A" w:rsidRDefault="009021F1" w:rsidP="009021F1">
      <w:pPr>
        <w:rPr>
          <w:rFonts w:eastAsia="SimSun" w:cs="Arial"/>
          <w:sz w:val="22"/>
        </w:rPr>
      </w:pPr>
      <w:r w:rsidRPr="007E3D1A">
        <w:rPr>
          <w:rFonts w:eastAsia="SimSun" w:cs="Arial"/>
          <w:sz w:val="22"/>
        </w:rPr>
        <w:t>Tout employé ayant constaté une défaillance ou une anomalie dans les installations, les machines, engins, véhicules, appareils de protection, dispositifs de sécurité, outils, dont il a la charge, doit en informer immédiatement la Direction de l’Entreprise ou son représentant. Seul le personnel désigné à cet effet, à titre permanent ou temporaire, est autorisé à intervenir sur les dispositifs de sécurité des installations et des matériels.</w:t>
      </w:r>
    </w:p>
    <w:p w14:paraId="3C50727A" w14:textId="77777777" w:rsidR="009021F1" w:rsidRPr="007E3D1A" w:rsidRDefault="009021F1" w:rsidP="009021F1">
      <w:pPr>
        <w:rPr>
          <w:rFonts w:eastAsia="SimSun" w:cs="Arial"/>
          <w:sz w:val="22"/>
        </w:rPr>
      </w:pPr>
      <w:r w:rsidRPr="007E3D1A">
        <w:rPr>
          <w:rFonts w:eastAsia="SimSun" w:cs="Arial"/>
          <w:sz w:val="22"/>
        </w:rPr>
        <w:t>En cas d’accident du travail, déclaration doit être faite aussitôt que possible à la Direction de l’Entreprise ou à son représentant par l’intéressé. Tout employé a l’obligation d’aviser son chef direct de tout accident du travail même bénin survenu à lui-même ou à un autre employé de l’entreprise lorsqu’il en a été le témoin.</w:t>
      </w:r>
    </w:p>
    <w:p w14:paraId="754486D6" w14:textId="77777777" w:rsidR="009021F1" w:rsidRPr="007E3D1A" w:rsidRDefault="009021F1" w:rsidP="009021F1">
      <w:pPr>
        <w:rPr>
          <w:rFonts w:eastAsia="SimSun" w:cs="Arial"/>
          <w:sz w:val="22"/>
        </w:rPr>
      </w:pPr>
      <w:r w:rsidRPr="007E3D1A">
        <w:rPr>
          <w:rFonts w:eastAsia="SimSun" w:cs="Arial"/>
          <w:sz w:val="22"/>
        </w:rPr>
        <w:t>Il est formellement interdit pour tous les employés :</w:t>
      </w:r>
    </w:p>
    <w:p w14:paraId="60F5BBBF" w14:textId="77777777" w:rsidR="009021F1" w:rsidRPr="007E3D1A" w:rsidRDefault="009021F1" w:rsidP="009021F1">
      <w:pPr>
        <w:rPr>
          <w:rFonts w:eastAsia="SimSun" w:cs="Arial"/>
          <w:sz w:val="22"/>
        </w:rPr>
      </w:pPr>
      <w:r w:rsidRPr="007E3D1A">
        <w:rPr>
          <w:rFonts w:eastAsia="SimSun" w:cs="Arial"/>
          <w:sz w:val="22"/>
        </w:rPr>
        <w:t>-</w:t>
      </w:r>
      <w:r w:rsidRPr="007E3D1A">
        <w:rPr>
          <w:rFonts w:eastAsia="SimSun" w:cs="Arial"/>
          <w:sz w:val="22"/>
        </w:rPr>
        <w:tab/>
        <w:t>de pénétrer dans les locaux, installations à accès réglementé ou d’accéder dans les lieux de travail par un passage interdit ;</w:t>
      </w:r>
    </w:p>
    <w:p w14:paraId="4E307FE7" w14:textId="77777777" w:rsidR="009021F1" w:rsidRPr="007E3D1A" w:rsidRDefault="009021F1" w:rsidP="009021F1">
      <w:pPr>
        <w:rPr>
          <w:rFonts w:eastAsia="SimSun" w:cs="Arial"/>
          <w:sz w:val="22"/>
        </w:rPr>
      </w:pPr>
      <w:r w:rsidRPr="007E3D1A">
        <w:rPr>
          <w:rFonts w:eastAsia="SimSun" w:cs="Arial"/>
          <w:sz w:val="22"/>
        </w:rPr>
        <w:t>-</w:t>
      </w:r>
      <w:r w:rsidRPr="007E3D1A">
        <w:rPr>
          <w:rFonts w:eastAsia="SimSun" w:cs="Arial"/>
          <w:sz w:val="22"/>
        </w:rPr>
        <w:tab/>
        <w:t>d’enfreindre les règles de circulation ou celles relatives aux zones de déplacement sur chantier ;</w:t>
      </w:r>
    </w:p>
    <w:p w14:paraId="35A7A1E0" w14:textId="77777777" w:rsidR="009021F1" w:rsidRPr="007E3D1A" w:rsidRDefault="009021F1" w:rsidP="009021F1">
      <w:pPr>
        <w:rPr>
          <w:rFonts w:eastAsia="SimSun" w:cs="Arial"/>
          <w:sz w:val="22"/>
        </w:rPr>
      </w:pPr>
      <w:r w:rsidRPr="007E3D1A">
        <w:rPr>
          <w:rFonts w:eastAsia="SimSun" w:cs="Arial"/>
          <w:sz w:val="22"/>
        </w:rPr>
        <w:t>-</w:t>
      </w:r>
      <w:r w:rsidRPr="007E3D1A">
        <w:rPr>
          <w:rFonts w:eastAsia="SimSun" w:cs="Arial"/>
          <w:sz w:val="22"/>
        </w:rPr>
        <w:tab/>
        <w:t>de fumer dans les endroits où cela est interdit, pour des raisons d’hygiène ou de sécurité, telles que risques d’incendie ou d’explosion ;</w:t>
      </w:r>
    </w:p>
    <w:p w14:paraId="7AF9E9DC" w14:textId="77777777" w:rsidR="009021F1" w:rsidRPr="007E3D1A" w:rsidRDefault="009021F1" w:rsidP="009021F1">
      <w:pPr>
        <w:rPr>
          <w:rFonts w:eastAsia="SimSun" w:cs="Arial"/>
          <w:sz w:val="22"/>
        </w:rPr>
      </w:pPr>
      <w:r w:rsidRPr="007E3D1A">
        <w:rPr>
          <w:rFonts w:eastAsia="SimSun" w:cs="Arial"/>
          <w:sz w:val="22"/>
        </w:rPr>
        <w:t>-</w:t>
      </w:r>
      <w:r w:rsidRPr="007E3D1A">
        <w:rPr>
          <w:rFonts w:eastAsia="SimSun" w:cs="Arial"/>
          <w:sz w:val="22"/>
        </w:rPr>
        <w:tab/>
        <w:t>de fumer à proximité de produits inflammables tels que colles, vernis, produits de décollage, etc. ;</w:t>
      </w:r>
    </w:p>
    <w:p w14:paraId="608D94CE" w14:textId="77777777" w:rsidR="009021F1" w:rsidRPr="007E3D1A" w:rsidRDefault="009021F1" w:rsidP="009021F1">
      <w:pPr>
        <w:rPr>
          <w:rFonts w:eastAsia="SimSun" w:cs="Arial"/>
          <w:sz w:val="22"/>
        </w:rPr>
      </w:pPr>
      <w:r w:rsidRPr="007E3D1A">
        <w:rPr>
          <w:rFonts w:eastAsia="SimSun" w:cs="Arial"/>
          <w:sz w:val="22"/>
        </w:rPr>
        <w:t>-</w:t>
      </w:r>
      <w:r w:rsidRPr="007E3D1A">
        <w:rPr>
          <w:rFonts w:eastAsia="SimSun" w:cs="Arial"/>
          <w:sz w:val="22"/>
        </w:rPr>
        <w:tab/>
        <w:t>d’entreposer dans le local - vestiaire des produits ou matériels dangereux ou salissants ainsi que des matériaux ;</w:t>
      </w:r>
    </w:p>
    <w:p w14:paraId="329294A7" w14:textId="77777777" w:rsidR="009021F1" w:rsidRPr="007E3D1A" w:rsidRDefault="009021F1" w:rsidP="009021F1">
      <w:pPr>
        <w:rPr>
          <w:rFonts w:eastAsia="SimSun" w:cs="Arial"/>
          <w:sz w:val="22"/>
        </w:rPr>
      </w:pPr>
      <w:r w:rsidRPr="007E3D1A">
        <w:rPr>
          <w:rFonts w:eastAsia="SimSun" w:cs="Arial"/>
          <w:sz w:val="22"/>
        </w:rPr>
        <w:t>-</w:t>
      </w:r>
      <w:r w:rsidRPr="007E3D1A">
        <w:rPr>
          <w:rFonts w:eastAsia="SimSun" w:cs="Arial"/>
          <w:sz w:val="22"/>
        </w:rPr>
        <w:tab/>
        <w:t>d’utiliser des machines, engins, véhicules, appareils de protection, dispositifs de sécurité, dont on n’a pas la charge ou dans un but différent de celui pour lequel ils ont été confiés ;</w:t>
      </w:r>
    </w:p>
    <w:p w14:paraId="3C5DA123" w14:textId="77777777" w:rsidR="009021F1" w:rsidRPr="007E3D1A" w:rsidRDefault="009021F1" w:rsidP="009021F1">
      <w:pPr>
        <w:rPr>
          <w:rFonts w:eastAsia="SimSun" w:cs="Arial"/>
          <w:sz w:val="22"/>
        </w:rPr>
      </w:pPr>
      <w:r w:rsidRPr="007E3D1A">
        <w:rPr>
          <w:rFonts w:eastAsia="SimSun" w:cs="Arial"/>
          <w:sz w:val="22"/>
        </w:rPr>
        <w:t>-</w:t>
      </w:r>
      <w:r w:rsidRPr="007E3D1A">
        <w:rPr>
          <w:rFonts w:eastAsia="SimSun" w:cs="Arial"/>
          <w:sz w:val="22"/>
        </w:rPr>
        <w:tab/>
        <w:t>de conduire les engins de chantier et appareils de levage sans autorisation de conduite valide et correspondant à la catégorie de l’équipement de travail utilisé.</w:t>
      </w:r>
    </w:p>
    <w:p w14:paraId="6EFB86B7" w14:textId="77777777" w:rsidR="009021F1" w:rsidRPr="007E3D1A" w:rsidRDefault="009021F1" w:rsidP="009021F1">
      <w:pPr>
        <w:rPr>
          <w:rFonts w:eastAsia="SimSun" w:cs="Arial"/>
          <w:sz w:val="22"/>
        </w:rPr>
      </w:pPr>
      <w:r w:rsidRPr="007E3D1A">
        <w:rPr>
          <w:rFonts w:eastAsia="SimSun" w:cs="Arial"/>
          <w:sz w:val="22"/>
        </w:rPr>
        <w:t>Tous les employés doivent maintenir et garder l’environnement de chantier aux meilleures conditions de santé et de sécurité pendant l’exercice de leurs activités de la manière suivante : Déposer les ordures dans les poubelles ou l’endroit indiqué par l’employeur ;</w:t>
      </w:r>
    </w:p>
    <w:p w14:paraId="426C13DD" w14:textId="77777777" w:rsidR="009021F1" w:rsidRPr="007E3D1A" w:rsidRDefault="009021F1" w:rsidP="009021F1">
      <w:pPr>
        <w:rPr>
          <w:rFonts w:eastAsia="SimSun" w:cs="Arial"/>
          <w:sz w:val="22"/>
        </w:rPr>
      </w:pPr>
      <w:r w:rsidRPr="007E3D1A">
        <w:rPr>
          <w:rFonts w:eastAsia="SimSun" w:cs="Arial"/>
          <w:sz w:val="22"/>
        </w:rPr>
        <w:t>Ne pas faire du tapage ;</w:t>
      </w:r>
    </w:p>
    <w:p w14:paraId="4742E904" w14:textId="77777777" w:rsidR="009021F1" w:rsidRPr="007E3D1A" w:rsidRDefault="009021F1" w:rsidP="009021F1">
      <w:pPr>
        <w:rPr>
          <w:rFonts w:eastAsia="SimSun" w:cs="Arial"/>
          <w:sz w:val="22"/>
        </w:rPr>
      </w:pPr>
      <w:r w:rsidRPr="007E3D1A">
        <w:rPr>
          <w:rFonts w:eastAsia="SimSun" w:cs="Arial"/>
          <w:sz w:val="22"/>
        </w:rPr>
        <w:t>S’efforcer d’arrêter les actions qui sont défavorables à l’environnement, la santé et la sécurité ;</w:t>
      </w:r>
    </w:p>
    <w:p w14:paraId="6CF20F39" w14:textId="77777777" w:rsidR="009021F1" w:rsidRPr="007E3D1A" w:rsidRDefault="009021F1" w:rsidP="009021F1">
      <w:pPr>
        <w:rPr>
          <w:rFonts w:eastAsia="SimSun" w:cs="Arial"/>
          <w:sz w:val="22"/>
        </w:rPr>
      </w:pPr>
      <w:r w:rsidRPr="007E3D1A">
        <w:rPr>
          <w:rFonts w:eastAsia="SimSun" w:cs="Arial"/>
          <w:sz w:val="22"/>
        </w:rPr>
        <w:t>Ne pas apporter des produits dangereux au chantier et bureau.</w:t>
      </w:r>
    </w:p>
    <w:p w14:paraId="1D3EF692" w14:textId="77777777" w:rsidR="009021F1" w:rsidRPr="007E3D1A" w:rsidRDefault="009021F1" w:rsidP="009021F1">
      <w:pPr>
        <w:rPr>
          <w:rFonts w:eastAsia="SimSun" w:cs="Arial"/>
          <w:sz w:val="22"/>
        </w:rPr>
      </w:pPr>
    </w:p>
    <w:p w14:paraId="1385F211" w14:textId="77777777" w:rsidR="009021F1" w:rsidRPr="007E3D1A" w:rsidRDefault="009021F1" w:rsidP="009021F1">
      <w:pPr>
        <w:rPr>
          <w:rFonts w:eastAsia="Arial Unicode MS" w:cs="Arial"/>
          <w:sz w:val="22"/>
        </w:rPr>
      </w:pPr>
      <w:r w:rsidRPr="007E3D1A">
        <w:rPr>
          <w:rFonts w:eastAsia="Arial Unicode MS" w:cs="Arial"/>
          <w:sz w:val="22"/>
        </w:rPr>
        <w:t>Responsabilité vis-à-vis les Violences basées sur le Genre (VBG)</w:t>
      </w:r>
    </w:p>
    <w:p w14:paraId="14A44467" w14:textId="77777777" w:rsidR="009021F1" w:rsidRPr="007E3D1A" w:rsidRDefault="009021F1" w:rsidP="009021F1">
      <w:pPr>
        <w:rPr>
          <w:rFonts w:eastAsia="SimSun" w:cs="Arial"/>
          <w:sz w:val="22"/>
        </w:rPr>
      </w:pPr>
      <w:r w:rsidRPr="007E3D1A">
        <w:rPr>
          <w:rFonts w:eastAsia="SimSun" w:cs="Arial"/>
          <w:sz w:val="22"/>
        </w:rPr>
        <w:t>La violence basée sur le genre (VBG) : est un terme générique pour tout acte nuisible qui est perpétré contre la volonté d'une personne et qui est fondée sur les différences prescrites par l’entreprise (c.-à-d. le genre) entre les hommes et les femmes. Elle englobe les actes qui infligent la violence physique, sexuelle ou mentale ou la souffrance, les menaces de tels actes, la contrainte, et d'autres privations de liberté. Ces actes peuvent se produire en public ou en privé. Le terme VBG est utilisé pour souligner les inégalités systémiques entre hommes et femmes (qui existe dans toutes les sociétés dans le monde) et agit comme un facteur d'unité et les caractéristiques fondamentales de la plupart des formes de violence perpétrés contre les femmes et les filles. La Déclaration des Nations Unies sur l'Élimination de la Violence à l'égard des Femmes de 1993 définit la violence contre les femmes comme étant "tout acte de violence qui entraîne, ou est susceptible d'entraîner des violences physiques, sexuelles ou psychologiques graves ou des souffrances aux femmes.</w:t>
      </w:r>
      <w:r w:rsidRPr="007E3D1A">
        <w:rPr>
          <w:rFonts w:eastAsia="SimSun" w:cs="Arial"/>
          <w:sz w:val="22"/>
        </w:rPr>
        <w:footnoteReference w:id="64"/>
      </w:r>
      <w:r w:rsidRPr="007E3D1A">
        <w:rPr>
          <w:rFonts w:eastAsia="SimSun" w:cs="Arial"/>
          <w:sz w:val="22"/>
        </w:rPr>
        <w:t xml:space="preserve">"Les six principaux types de VBG comprennent le viol, l'agression sexuelle, l'agression physique, psychologique/émotionnelle, le mariage forcé/précoce, et le déni de ressources, d’opportunités et de services. </w:t>
      </w:r>
    </w:p>
    <w:p w14:paraId="7CE0EF2B" w14:textId="77777777" w:rsidR="009021F1" w:rsidRPr="007E3D1A" w:rsidRDefault="009021F1" w:rsidP="009021F1">
      <w:pPr>
        <w:rPr>
          <w:rFonts w:eastAsia="SimSun" w:cs="Arial"/>
          <w:sz w:val="22"/>
        </w:rPr>
      </w:pPr>
      <w:r w:rsidRPr="007E3D1A">
        <w:rPr>
          <w:rFonts w:eastAsia="SimSun" w:cs="Arial"/>
          <w:sz w:val="22"/>
        </w:rPr>
        <w:t>L'exploitation et l’abus sexuels : formes particulières de violence basée sur le genre ayant été signalée dans des contextes humanitaires, en particulier contre les travailleurs humanitaires et autres personnels participant à des projets humanitaires. Ces formes de violence sont définies par la relation de pouvoir entre la survivante et l’auteur, ainsi que les circonstances entourant l'incident - et non pas l'acte de violence (c.-à-d. d'un viol ou d'une agression sexuelle).</w:t>
      </w:r>
    </w:p>
    <w:p w14:paraId="5C4436F6" w14:textId="77777777" w:rsidR="009021F1" w:rsidRPr="007E3D1A" w:rsidRDefault="009021F1" w:rsidP="009021F1">
      <w:pPr>
        <w:rPr>
          <w:rFonts w:eastAsia="SimSun" w:cs="Arial"/>
          <w:sz w:val="22"/>
        </w:rPr>
      </w:pPr>
      <w:r w:rsidRPr="007E3D1A">
        <w:rPr>
          <w:rFonts w:eastAsia="SimSun" w:cs="Arial"/>
          <w:sz w:val="22"/>
        </w:rPr>
        <w:t>Exploitation sexuelle : "Tout ou tentative d'abus de position de vulnérabilité, de déséquilibre de pouvoir, ou de confiance à des fins sexuelles, y compris, mais non limité à, profiter financièrement, socialement ou politiquement de l'exploitation sexuelle d'un autre."</w:t>
      </w:r>
    </w:p>
    <w:p w14:paraId="3FFD5C66" w14:textId="77777777" w:rsidR="009021F1" w:rsidRPr="007E3D1A" w:rsidRDefault="009021F1" w:rsidP="009021F1">
      <w:pPr>
        <w:rPr>
          <w:rFonts w:eastAsia="SimSun" w:cs="Arial"/>
          <w:sz w:val="22"/>
        </w:rPr>
      </w:pPr>
      <w:r w:rsidRPr="007E3D1A">
        <w:rPr>
          <w:rFonts w:eastAsia="SimSun" w:cs="Arial"/>
          <w:sz w:val="22"/>
        </w:rPr>
        <w:t>Abus sexuel : "L’intrusion réelle ou menace d'intrusion physique de nature sexuelle, par la force ou sous la contrainte ou les conditions inégalitaires ou coercitives."</w:t>
      </w:r>
    </w:p>
    <w:p w14:paraId="75CE9782" w14:textId="77777777" w:rsidR="009021F1" w:rsidRPr="007E3D1A" w:rsidRDefault="009021F1" w:rsidP="009021F1">
      <w:pPr>
        <w:rPr>
          <w:rFonts w:eastAsia="SimSun" w:cs="Arial"/>
          <w:sz w:val="22"/>
        </w:rPr>
      </w:pPr>
      <w:r w:rsidRPr="007E3D1A">
        <w:rPr>
          <w:rFonts w:eastAsia="SimSun" w:cs="Arial"/>
          <w:sz w:val="22"/>
        </w:rPr>
        <w:t xml:space="preserve">Violence basée sur le genre versus exploitation et abus sexuels : La VBG est un terme général pour un large éventail d'actes nuisibles qui touchent un groupe en raison des différences entre les hommes et les femmes définies par l’entreprise. L’exploitation et l’abus sexuels peut généralement être considéré comme une forme de VBG, étant donné que les survivantes d’exploitation et de abus sexuels sont souvent maltraitées à cause de leur vulnérabilité en tant que femmes, filles, garçons, ou, dans certains cas, même des hommes au sein de la communauté. </w:t>
      </w:r>
    </w:p>
    <w:p w14:paraId="119749FE" w14:textId="77777777" w:rsidR="009021F1" w:rsidRPr="007E3D1A" w:rsidRDefault="009021F1" w:rsidP="009021F1">
      <w:pPr>
        <w:rPr>
          <w:rFonts w:eastAsia="SimSun" w:cs="Arial"/>
          <w:sz w:val="22"/>
        </w:rPr>
      </w:pPr>
      <w:r w:rsidRPr="007E3D1A">
        <w:rPr>
          <w:rFonts w:eastAsia="SimSun" w:cs="Arial"/>
          <w:sz w:val="22"/>
        </w:rPr>
        <w:t xml:space="preserve">Harcèlement sexuel : avances sexuelles, demandes de faveurs sexuelles et tout autre comportement verbal ou physique de nature sexuelle.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 </w:t>
      </w:r>
    </w:p>
    <w:p w14:paraId="73FE612C" w14:textId="77777777" w:rsidR="009021F1" w:rsidRPr="007E3D1A" w:rsidRDefault="009021F1" w:rsidP="009021F1">
      <w:pPr>
        <w:rPr>
          <w:rFonts w:eastAsia="SimSun" w:cs="Arial"/>
          <w:sz w:val="22"/>
        </w:rPr>
      </w:pPr>
      <w:r w:rsidRPr="007E3D1A">
        <w:rPr>
          <w:rFonts w:eastAsia="SimSun" w:cs="Arial"/>
          <w:sz w:val="22"/>
        </w:rPr>
        <w:t>La violence physique (notamment les gifles, les coups de pied, les coups de poing ou l’usage d’une arme) et la violence sexuelle, qui comprend toute forme de contacts sexuels non consensuels, y compris le viol ;</w:t>
      </w:r>
    </w:p>
    <w:p w14:paraId="00E2D544" w14:textId="77777777" w:rsidR="009021F1" w:rsidRPr="007E3D1A" w:rsidRDefault="009021F1" w:rsidP="009021F1">
      <w:pPr>
        <w:rPr>
          <w:rFonts w:eastAsia="SimSun" w:cs="Arial"/>
          <w:sz w:val="22"/>
        </w:rPr>
      </w:pPr>
      <w:r w:rsidRPr="007E3D1A">
        <w:rPr>
          <w:rFonts w:eastAsia="SimSun" w:cs="Arial"/>
          <w:sz w:val="22"/>
        </w:rPr>
        <w:t>La violence psychologique (notamment l’humiliation systématique, l’intimidation, les traitements dégradants, les insultes et les menaces) ;</w:t>
      </w:r>
    </w:p>
    <w:p w14:paraId="191C43FC" w14:textId="77777777" w:rsidR="009021F1" w:rsidRPr="007E3D1A" w:rsidRDefault="009021F1" w:rsidP="009021F1">
      <w:pPr>
        <w:rPr>
          <w:rFonts w:eastAsia="SimSun" w:cs="Arial"/>
          <w:sz w:val="22"/>
        </w:rPr>
      </w:pPr>
      <w:r w:rsidRPr="007E3D1A">
        <w:rPr>
          <w:rFonts w:eastAsia="SimSun" w:cs="Arial"/>
          <w:sz w:val="22"/>
        </w:rPr>
        <w:t>Le mariage précoce/forcé, à savoir le mariage d’une personne contre son gré souvent avant l’âge de 18 ans, également appelé mariage d’enfants ;</w:t>
      </w:r>
    </w:p>
    <w:p w14:paraId="6C68C973" w14:textId="77777777" w:rsidR="009021F1" w:rsidRPr="007E3D1A" w:rsidRDefault="009021F1" w:rsidP="009021F1">
      <w:pPr>
        <w:rPr>
          <w:rFonts w:eastAsia="SimSun" w:cs="Arial"/>
          <w:sz w:val="22"/>
        </w:rPr>
      </w:pPr>
    </w:p>
    <w:p w14:paraId="0B05413F" w14:textId="77777777" w:rsidR="009021F1" w:rsidRPr="007E3D1A" w:rsidRDefault="009021F1" w:rsidP="009021F1">
      <w:pPr>
        <w:rPr>
          <w:rFonts w:eastAsia="SimSun" w:cs="Arial"/>
          <w:sz w:val="22"/>
        </w:rPr>
      </w:pPr>
      <w:r w:rsidRPr="007E3D1A">
        <w:rPr>
          <w:rFonts w:eastAsia="SimSun" w:cs="Arial"/>
          <w:sz w:val="22"/>
        </w:rPr>
        <w:t xml:space="preserve">Le personnel du projet doit être au courant des normes de conduite qu'ils sont tenus de respecter et de réfléchir sur les moteurs des inégalités, y compris celles liées au genre, à la richesse, la race, etc., qui mènent à la VBG. </w:t>
      </w:r>
    </w:p>
    <w:p w14:paraId="63A4BE83" w14:textId="77777777" w:rsidR="009021F1" w:rsidRPr="007E3D1A" w:rsidRDefault="009021F1" w:rsidP="009021F1">
      <w:pPr>
        <w:rPr>
          <w:rFonts w:cs="Arial"/>
          <w:sz w:val="22"/>
        </w:rPr>
      </w:pPr>
    </w:p>
    <w:p w14:paraId="422DA35F" w14:textId="77777777" w:rsidR="009021F1" w:rsidRPr="007E3D1A" w:rsidRDefault="009021F1" w:rsidP="009021F1">
      <w:pPr>
        <w:rPr>
          <w:rFonts w:eastAsia="SimSun" w:cs="Arial"/>
          <w:sz w:val="22"/>
        </w:rPr>
      </w:pPr>
      <w:r w:rsidRPr="007E3D1A">
        <w:rPr>
          <w:rFonts w:eastAsia="SimSun" w:cs="Arial"/>
          <w:sz w:val="22"/>
        </w:rPr>
        <w:t xml:space="preserve">Obligations de l'Entrepreneur sur les VBG </w:t>
      </w:r>
    </w:p>
    <w:p w14:paraId="6BE1500C" w14:textId="77777777" w:rsidR="009021F1" w:rsidRPr="007E3D1A" w:rsidRDefault="009021F1" w:rsidP="009021F1">
      <w:pPr>
        <w:rPr>
          <w:rFonts w:eastAsia="SimSun" w:cs="Arial"/>
          <w:sz w:val="22"/>
        </w:rPr>
      </w:pPr>
      <w:r w:rsidRPr="007E3D1A">
        <w:rPr>
          <w:rFonts w:eastAsia="SimSun" w:cs="Arial"/>
          <w:sz w:val="22"/>
        </w:rPr>
        <w:t>L’entreprise s'engage à s'assurer que le projet est mis en œuvre d'une telle manière à minimiser les impacts négatifs sur l'environnement local, sur les communautés, et sur ses travailleurs. Par conséquent, l’entreprise s’engage également à créer et à maintenir un environnement dans lequel la VBG n'a pas de place, et où ils ne seront pas tolérés par tout employé, sous-traitants, fournisseurs, associés, ou représentant de l’entreprise.</w:t>
      </w:r>
    </w:p>
    <w:p w14:paraId="3DC8C2B6" w14:textId="77777777" w:rsidR="009021F1" w:rsidRPr="007E3D1A" w:rsidRDefault="009021F1" w:rsidP="009021F1">
      <w:pPr>
        <w:rPr>
          <w:rFonts w:eastAsia="SimSun" w:cs="Arial"/>
          <w:sz w:val="22"/>
        </w:rPr>
      </w:pPr>
      <w:r w:rsidRPr="007E3D1A">
        <w:rPr>
          <w:rFonts w:eastAsia="SimSun" w:cs="Arial"/>
          <w:sz w:val="22"/>
        </w:rPr>
        <w:t>Par conséquent, pour s'assurer que toutes les personnes engagées dans le projet sont au courant de cet engagement, l’entreprise s'engage aux principes fondamentaux et les normes minimales de comportement suivants qui s'appliqueront à tous les employés de l'entreprise, aux associés, et aux représentants, y compris les sous-traitants et les fournisseurs, sans exception :</w:t>
      </w:r>
    </w:p>
    <w:p w14:paraId="59E29EC0" w14:textId="77777777" w:rsidR="009021F1" w:rsidRPr="007E3D1A" w:rsidRDefault="009021F1" w:rsidP="009021F1">
      <w:pPr>
        <w:rPr>
          <w:rFonts w:eastAsia="SimSun" w:cs="Arial"/>
          <w:sz w:val="22"/>
        </w:rPr>
      </w:pPr>
      <w:r w:rsidRPr="007E3D1A">
        <w:rPr>
          <w:rFonts w:eastAsia="SimSun" w:cs="Arial"/>
          <w:sz w:val="22"/>
        </w:rPr>
        <w:t>L'entreprise et, par conséquent, tous les employés, collaborateurs, représentants, sous-traitants et fournisseurs s'engage à respecter toutes les lois, règles et règlements relatifs à la prévention et à la riposte en cas de violence basée sur le genre, et en particulier les lois n. 06/018 et 06/019 (2006)</w:t>
      </w:r>
      <w:r w:rsidRPr="007E3D1A">
        <w:rPr>
          <w:rFonts w:eastAsia="SimSun" w:cs="Arial"/>
          <w:sz w:val="22"/>
        </w:rPr>
        <w:footnoteReference w:id="65"/>
      </w:r>
    </w:p>
    <w:p w14:paraId="65F11566" w14:textId="77777777" w:rsidR="009021F1" w:rsidRPr="007E3D1A" w:rsidRDefault="009021F1" w:rsidP="009021F1">
      <w:pPr>
        <w:rPr>
          <w:rFonts w:eastAsia="SimSun" w:cs="Arial"/>
          <w:sz w:val="22"/>
        </w:rPr>
      </w:pPr>
      <w:r w:rsidRPr="007E3D1A">
        <w:rPr>
          <w:rFonts w:eastAsia="SimSun" w:cs="Arial"/>
          <w:sz w:val="22"/>
        </w:rPr>
        <w:t>Préparer et mettre en œuvre un Plan de Sensibilisation du Genre conformément aux exigences de l’Employeur</w:t>
      </w:r>
    </w:p>
    <w:p w14:paraId="6CCEC83D" w14:textId="77777777" w:rsidR="009021F1" w:rsidRPr="007E3D1A" w:rsidRDefault="009021F1" w:rsidP="009021F1">
      <w:pPr>
        <w:rPr>
          <w:rFonts w:eastAsia="SimSun" w:cs="Arial"/>
          <w:sz w:val="22"/>
        </w:rPr>
      </w:pPr>
      <w:r w:rsidRPr="007E3D1A">
        <w:rPr>
          <w:rFonts w:eastAsia="SimSun" w:cs="Arial"/>
          <w:sz w:val="22"/>
        </w:rPr>
        <w:t>Assurer un salaire égal aux hommes et aux femmes pour un travail de valeur égale, conformément aux lois nationales et aux obligations conventionnelles internationales et payer les femmes directement leurs salaires</w:t>
      </w:r>
    </w:p>
    <w:p w14:paraId="53E4B25D" w14:textId="77777777" w:rsidR="009021F1" w:rsidRPr="007E3D1A" w:rsidRDefault="009021F1" w:rsidP="009021F1">
      <w:pPr>
        <w:rPr>
          <w:rFonts w:eastAsia="SimSun" w:cs="Arial"/>
          <w:sz w:val="22"/>
        </w:rPr>
      </w:pPr>
      <w:r w:rsidRPr="007E3D1A">
        <w:rPr>
          <w:rFonts w:eastAsia="SimSun" w:cs="Arial"/>
          <w:sz w:val="22"/>
        </w:rPr>
        <w:t xml:space="preserve">Ne pas payer ses employés moins que le salaire minimum en vertu de la loi applicable </w:t>
      </w:r>
    </w:p>
    <w:p w14:paraId="079B6A56" w14:textId="77777777" w:rsidR="009021F1" w:rsidRPr="007E3D1A" w:rsidRDefault="009021F1" w:rsidP="009021F1">
      <w:pPr>
        <w:rPr>
          <w:rFonts w:eastAsia="SimSun" w:cs="Arial"/>
          <w:sz w:val="22"/>
        </w:rPr>
      </w:pPr>
      <w:r w:rsidRPr="007E3D1A">
        <w:rPr>
          <w:rFonts w:eastAsia="SimSun" w:cs="Arial"/>
          <w:sz w:val="22"/>
        </w:rPr>
        <w:t>Fournir des conditions de travail sûres et sécurisées aux travailleurs masculins et féminins</w:t>
      </w:r>
    </w:p>
    <w:p w14:paraId="704B22D5" w14:textId="77777777" w:rsidR="009021F1" w:rsidRPr="007E3D1A" w:rsidRDefault="009021F1" w:rsidP="009021F1">
      <w:pPr>
        <w:rPr>
          <w:rFonts w:eastAsia="SimSun" w:cs="Arial"/>
          <w:sz w:val="22"/>
        </w:rPr>
      </w:pPr>
      <w:r w:rsidRPr="007E3D1A">
        <w:rPr>
          <w:rFonts w:eastAsia="SimSun" w:cs="Arial"/>
          <w:sz w:val="22"/>
        </w:rPr>
        <w:t>Se conformer aux lois du travail en vigueur et s'abstenir du travail des enfants</w:t>
      </w:r>
    </w:p>
    <w:p w14:paraId="0D842B0F" w14:textId="77777777" w:rsidR="009021F1" w:rsidRPr="007E3D1A" w:rsidRDefault="009021F1" w:rsidP="009021F1">
      <w:pPr>
        <w:rPr>
          <w:rFonts w:eastAsia="SimSun" w:cs="Arial"/>
          <w:sz w:val="22"/>
        </w:rPr>
      </w:pPr>
      <w:r w:rsidRPr="007E3D1A">
        <w:rPr>
          <w:rFonts w:eastAsia="SimSun" w:cs="Arial"/>
          <w:sz w:val="22"/>
        </w:rPr>
        <w:t>Décrire les responsabilités : (i) de l'entreprise à créer une culture positive pour son lieu de travail et ses employés ; (ii) des gestionnaires pour s'assurer que cette culture est mise en œuvre ; et (iii) des individus à adhérer aux principes de cette culture et à ne pas s'engager dans la VBG et/ou AEE.</w:t>
      </w:r>
    </w:p>
    <w:p w14:paraId="2274A4A9" w14:textId="77777777" w:rsidR="009021F1" w:rsidRPr="007E3D1A" w:rsidRDefault="009021F1" w:rsidP="009021F1">
      <w:pPr>
        <w:rPr>
          <w:rFonts w:eastAsia="SimSun" w:cs="Arial"/>
          <w:sz w:val="22"/>
        </w:rPr>
      </w:pPr>
      <w:r w:rsidRPr="007E3D1A">
        <w:rPr>
          <w:rFonts w:eastAsia="SimSun" w:cs="Arial"/>
          <w:sz w:val="22"/>
        </w:rPr>
        <w:t>L'entreprise devra :</w:t>
      </w:r>
    </w:p>
    <w:p w14:paraId="6FDDA26F" w14:textId="77777777" w:rsidR="009021F1" w:rsidRPr="007E3D1A" w:rsidRDefault="009021F1" w:rsidP="009021F1">
      <w:pPr>
        <w:rPr>
          <w:rFonts w:eastAsia="SimSun" w:cs="Arial"/>
          <w:sz w:val="22"/>
        </w:rPr>
      </w:pPr>
      <w:r w:rsidRPr="007E3D1A">
        <w:rPr>
          <w:rFonts w:eastAsia="SimSun" w:cs="Arial"/>
          <w:sz w:val="22"/>
        </w:rPr>
        <w:t>Interdire le recrutement et emploi des enfants dans le projet</w:t>
      </w:r>
    </w:p>
    <w:p w14:paraId="24AD81A0" w14:textId="77777777" w:rsidR="009021F1" w:rsidRPr="007E3D1A" w:rsidRDefault="009021F1" w:rsidP="009021F1">
      <w:pPr>
        <w:rPr>
          <w:rFonts w:eastAsia="SimSun" w:cs="Arial"/>
          <w:sz w:val="22"/>
        </w:rPr>
      </w:pPr>
      <w:r w:rsidRPr="007E3D1A">
        <w:rPr>
          <w:rFonts w:eastAsia="SimSun" w:cs="Arial"/>
          <w:sz w:val="22"/>
        </w:rPr>
        <w:t>Limiter les visites de courtoisie pendant les heures de service dans le site de travail.</w:t>
      </w:r>
    </w:p>
    <w:p w14:paraId="2F528FFF" w14:textId="77777777" w:rsidR="009021F1" w:rsidRPr="007E3D1A" w:rsidRDefault="009021F1" w:rsidP="009021F1">
      <w:pPr>
        <w:rPr>
          <w:rFonts w:eastAsia="SimSun" w:cs="Arial"/>
          <w:sz w:val="22"/>
        </w:rPr>
      </w:pPr>
      <w:r w:rsidRPr="007E3D1A">
        <w:rPr>
          <w:rFonts w:eastAsia="SimSun" w:cs="Arial"/>
          <w:sz w:val="22"/>
        </w:rPr>
        <w:t xml:space="preserve">L’entreprise veillera à ce qu'un assainissement adéquat soit disponible sur le site et le logement de tout travailleur offert à ceux qui travaillent sur le projet. </w:t>
      </w:r>
    </w:p>
    <w:p w14:paraId="0D6AFE4F" w14:textId="77777777" w:rsidR="009021F1" w:rsidRPr="007E3D1A" w:rsidRDefault="009021F1" w:rsidP="009021F1">
      <w:pPr>
        <w:rPr>
          <w:rFonts w:eastAsia="SimSun" w:cs="Arial"/>
          <w:sz w:val="22"/>
        </w:rPr>
      </w:pPr>
      <w:r w:rsidRPr="007E3D1A">
        <w:rPr>
          <w:rFonts w:eastAsia="SimSun" w:cs="Arial"/>
          <w:sz w:val="22"/>
        </w:rPr>
        <w:t>Tous les employés (y compris l’entrepreneur, les gestionnaires, consultants.es, et les ouvriers) devront suivre une formation avant de commencer les travaux afin de renforcer leur compréhension du VIH/sida, de la Violence Basée sur le Genre (VBG) et de l’Abus/Exploitation des Enfants (AEE), le Code de Conduite et le Mécanisme de gestion de  Plaintes. Par la suite, les employés doivent suivre un cours de formation obligatoire, et de séance du recyclage.</w:t>
      </w:r>
    </w:p>
    <w:p w14:paraId="5CAAD9EA" w14:textId="77777777" w:rsidR="009021F1" w:rsidRPr="007E3D1A" w:rsidRDefault="009021F1" w:rsidP="009021F1">
      <w:pPr>
        <w:rPr>
          <w:rFonts w:eastAsia="SimSun" w:cs="Arial"/>
          <w:sz w:val="22"/>
        </w:rPr>
      </w:pPr>
      <w:r w:rsidRPr="007E3D1A">
        <w:rPr>
          <w:rFonts w:eastAsia="SimSun" w:cs="Arial"/>
          <w:sz w:val="22"/>
        </w:rPr>
        <w:t>La formation doit être effectuée par les prestataires locaux identifiés par le client pour le contractant, le client et le personnel de supervision technique pendant la durée du contrat. Les communautés locales peuvent également participer si nécessaire.</w:t>
      </w:r>
    </w:p>
    <w:p w14:paraId="2176CF36" w14:textId="77777777" w:rsidR="009021F1" w:rsidRPr="007E3D1A" w:rsidRDefault="009021F1" w:rsidP="009021F1">
      <w:pPr>
        <w:rPr>
          <w:rFonts w:eastAsia="SimSun" w:cs="Arial"/>
          <w:sz w:val="22"/>
        </w:rPr>
      </w:pPr>
      <w:r w:rsidRPr="007E3D1A">
        <w:rPr>
          <w:rFonts w:eastAsia="SimSun" w:cs="Arial"/>
          <w:sz w:val="22"/>
        </w:rPr>
        <w:t xml:space="preserve">Le financement de la prestation de la formation, et le temps du participant, sont inclus dans le devis quantitatif du projet à titre de somme provisoire. </w:t>
      </w:r>
    </w:p>
    <w:p w14:paraId="65F7FEFD" w14:textId="77777777" w:rsidR="009021F1" w:rsidRPr="007E3D1A" w:rsidRDefault="009021F1" w:rsidP="009021F1">
      <w:pPr>
        <w:rPr>
          <w:rFonts w:eastAsia="SimSun" w:cs="Arial"/>
          <w:sz w:val="22"/>
        </w:rPr>
      </w:pPr>
      <w:r w:rsidRPr="007E3D1A">
        <w:rPr>
          <w:rFonts w:eastAsia="SimSun" w:cs="Arial"/>
          <w:sz w:val="22"/>
        </w:rPr>
        <w:t xml:space="preserve">Les actes de VBG constituent des fautes graves et sont donc des motifs de sanctions, qui peuvent comporter des sanctions et/ou la cessation d'emploi, ainsi qu’un </w:t>
      </w:r>
      <w:r w:rsidRPr="007E3D1A">
        <w:rPr>
          <w:rFonts w:cs="Arial"/>
          <w:sz w:val="22"/>
        </w:rPr>
        <w:t xml:space="preserve">référencement </w:t>
      </w:r>
      <w:r w:rsidRPr="007E3D1A">
        <w:rPr>
          <w:rFonts w:eastAsia="SimSun" w:cs="Arial"/>
          <w:sz w:val="22"/>
        </w:rPr>
        <w:t>approprié vers la police, uniquement avec l’accord de la survivante, pour poursuivre l'action.</w:t>
      </w:r>
    </w:p>
    <w:p w14:paraId="75FE2ED6" w14:textId="77777777" w:rsidR="009021F1" w:rsidRPr="007E3D1A" w:rsidRDefault="009021F1" w:rsidP="009021F1">
      <w:pPr>
        <w:rPr>
          <w:rFonts w:eastAsia="SimSun" w:cs="Arial"/>
          <w:sz w:val="22"/>
        </w:rPr>
      </w:pPr>
      <w:r w:rsidRPr="007E3D1A">
        <w:rPr>
          <w:rFonts w:eastAsia="SimSun" w:cs="Arial"/>
          <w:sz w:val="22"/>
        </w:rPr>
        <w:t>Toutes les formes de VBG sont inacceptables, qu'elles aient lieu sur le lieu de travail, dans les environs du lieu de travail, dans les camps des travailleurs ou au sein de la communauté locale.</w:t>
      </w:r>
    </w:p>
    <w:p w14:paraId="3357BC68" w14:textId="77777777" w:rsidR="009021F1" w:rsidRPr="007E3D1A" w:rsidRDefault="009021F1" w:rsidP="009021F1">
      <w:pPr>
        <w:rPr>
          <w:rFonts w:eastAsia="Calibri" w:cs="Arial"/>
          <w:sz w:val="22"/>
        </w:rPr>
      </w:pPr>
      <w:r w:rsidRPr="007E3D1A">
        <w:rPr>
          <w:rFonts w:eastAsia="Calibri" w:cs="Arial"/>
          <w:sz w:val="22"/>
        </w:rPr>
        <w:t>Conformément à la législation nationale, tout contact ou activité sexuelle avec des enfants de moins de 18 ans, y compris via les médias numériques - est interdite. La croyance erronée concernant l'âge d'un enfant n'est pas une défense. Le consentement de l'enfant n'est pas non plus une défense ou une excuse.</w:t>
      </w:r>
    </w:p>
    <w:p w14:paraId="47E3B494" w14:textId="77777777" w:rsidR="009021F1" w:rsidRPr="007E3D1A" w:rsidRDefault="009021F1" w:rsidP="009021F1">
      <w:pPr>
        <w:rPr>
          <w:rFonts w:eastAsia="Calibri" w:cs="Arial"/>
          <w:sz w:val="22"/>
        </w:rPr>
      </w:pPr>
      <w:r w:rsidRPr="007E3D1A">
        <w:rPr>
          <w:rFonts w:eastAsia="Calibri" w:cs="Arial"/>
          <w:sz w:val="22"/>
        </w:rPr>
        <w:t>Conformément à la législation nationale, les travailleurs du projet ne doivent pas s'engager dans de nouvelles relations avec des filles de moins de 18 ans, y compris épouser une jeune fille de moins de 18 ans pendant qu’ils sont en cours d'emploi.</w:t>
      </w:r>
    </w:p>
    <w:p w14:paraId="05936098" w14:textId="77777777" w:rsidR="009021F1" w:rsidRPr="007E3D1A" w:rsidRDefault="009021F1" w:rsidP="009021F1">
      <w:pPr>
        <w:rPr>
          <w:rFonts w:eastAsia="Calibri" w:cs="Arial"/>
          <w:sz w:val="22"/>
        </w:rPr>
      </w:pPr>
      <w:r w:rsidRPr="007E3D1A">
        <w:rPr>
          <w:rFonts w:eastAsia="Calibri" w:cs="Arial"/>
          <w:sz w:val="22"/>
        </w:rPr>
        <w:t>Les interactions sexuelles entre les employés de l'entreprise (à tout niveau) et les membres des communautés entourant le lieu de travail sont interdits. Cela inclut les relations impliquant le prélèvement/promesse d'attribution de prestations (monétaires ou non) aux membres de la communauté en échange de sexe, une telle activité sexuelle (sollicitation de sexe transactionnel par les membres de la communauté en échange d'argent ou d'autres services) est considérée comme de l'exploitation</w:t>
      </w:r>
      <w:r w:rsidRPr="007E3D1A">
        <w:rPr>
          <w:rFonts w:eastAsia="Calibri" w:cs="Arial"/>
          <w:sz w:val="22"/>
        </w:rPr>
        <w:footnoteReference w:id="66"/>
      </w:r>
      <w:r w:rsidRPr="007E3D1A">
        <w:rPr>
          <w:rFonts w:eastAsia="Calibri" w:cs="Arial"/>
          <w:sz w:val="22"/>
        </w:rPr>
        <w:t xml:space="preserve"> et "non consensuelle" dans le champ d'application du présent règlement.</w:t>
      </w:r>
    </w:p>
    <w:p w14:paraId="01ED5DFF" w14:textId="77777777" w:rsidR="009021F1" w:rsidRPr="007E3D1A" w:rsidRDefault="009021F1" w:rsidP="009021F1">
      <w:pPr>
        <w:rPr>
          <w:rFonts w:eastAsia="Calibri" w:cs="Arial"/>
          <w:sz w:val="22"/>
        </w:rPr>
      </w:pPr>
      <w:r w:rsidRPr="007E3D1A">
        <w:rPr>
          <w:rFonts w:eastAsia="Calibri" w:cs="Arial"/>
          <w:sz w:val="22"/>
        </w:rPr>
        <w:t>En plus des sanctions disciplinaires de l'entreprise, des poursuites judiciaires de ceux qui commettent des actes de VBG sont applicables, le cas échéant, en respectant les droits et la dignité de la survivante, y compris le droit à l'agence, à la confidentialité et à la sécurité.</w:t>
      </w:r>
    </w:p>
    <w:p w14:paraId="0A3BAAA6" w14:textId="77777777" w:rsidR="009021F1" w:rsidRPr="007E3D1A" w:rsidRDefault="009021F1" w:rsidP="009021F1">
      <w:pPr>
        <w:rPr>
          <w:rFonts w:eastAsia="Calibri" w:cs="Arial"/>
          <w:sz w:val="22"/>
        </w:rPr>
      </w:pPr>
      <w:r w:rsidRPr="007E3D1A">
        <w:rPr>
          <w:rFonts w:eastAsia="Calibri" w:cs="Arial"/>
          <w:sz w:val="22"/>
        </w:rPr>
        <w:t>Tous les employés, y compris les bénévoles et les sous-traitants sont fortement encouragés à signaler des actes réels ou suspects de VBG par un collègue de travail. Les rapports doivent être prises en conformité avec la procédure spécifique pour la gestion de plaintes VBG. L'entreprise doit favoriser, par des politiques et pratiques, un environnement sans craintes de représailles et qui encourage l'établissement de rapports et de responsabilité pour ceux qui commettent des actes de VBG.</w:t>
      </w:r>
    </w:p>
    <w:p w14:paraId="2E0E5FD3" w14:textId="77777777" w:rsidR="009021F1" w:rsidRPr="007E3D1A" w:rsidRDefault="009021F1" w:rsidP="009021F1">
      <w:pPr>
        <w:rPr>
          <w:rFonts w:eastAsia="Calibri" w:cs="Arial"/>
          <w:sz w:val="22"/>
        </w:rPr>
      </w:pPr>
      <w:r w:rsidRPr="007E3D1A">
        <w:rPr>
          <w:rFonts w:eastAsia="Calibri" w:cs="Arial"/>
          <w:sz w:val="22"/>
        </w:rPr>
        <w:t>Les superviseurs et les gestionnaires ont le mandat de faire rapport et de prendre des mesures à l’encontre de l’action supposée ou réelle de VBG comme ils ont la responsabilité de faire respecter les engagements de l'entreprise et tiennent leurs subordonnés directs responsables. À défaut de le faire, ils s’exposent à des sanctions.</w:t>
      </w:r>
    </w:p>
    <w:p w14:paraId="787EF0FD" w14:textId="77777777" w:rsidR="009021F1" w:rsidRPr="007E3D1A" w:rsidRDefault="009021F1" w:rsidP="009021F1">
      <w:pPr>
        <w:rPr>
          <w:rFonts w:eastAsia="SimSun" w:cs="Arial"/>
          <w:sz w:val="22"/>
        </w:rPr>
      </w:pPr>
      <w:r w:rsidRPr="007E3D1A">
        <w:rPr>
          <w:rFonts w:eastAsia="SimSun" w:cs="Arial"/>
          <w:sz w:val="22"/>
        </w:rPr>
        <w:t>En définitive, le fait de répondre efficacement aux cas de VBG sur le chantier par les gestionnaires de l'entreprise ou le Directeur Général n’empêchent pas des éventuelles actions judiciaires qui pourraient être engagé par les autorités compétentes.</w:t>
      </w:r>
    </w:p>
    <w:p w14:paraId="38F01894" w14:textId="77777777" w:rsidR="009021F1" w:rsidRPr="007E3D1A" w:rsidRDefault="009021F1" w:rsidP="009021F1">
      <w:pPr>
        <w:rPr>
          <w:rFonts w:eastAsia="SimSun" w:cs="Arial"/>
          <w:sz w:val="22"/>
        </w:rPr>
      </w:pPr>
    </w:p>
    <w:p w14:paraId="6DEBAEF8" w14:textId="77777777" w:rsidR="009021F1" w:rsidRPr="007E3D1A" w:rsidRDefault="009021F1" w:rsidP="009021F1">
      <w:pPr>
        <w:rPr>
          <w:rFonts w:eastAsia="SimSun" w:cs="Arial"/>
          <w:sz w:val="22"/>
        </w:rPr>
      </w:pPr>
      <w:r w:rsidRPr="007E3D1A">
        <w:rPr>
          <w:rFonts w:eastAsia="SimSun" w:cs="Arial"/>
          <w:sz w:val="22"/>
        </w:rPr>
        <w:t xml:space="preserve">Ce code/règlement et les trois (3) annexes ci-joints entreront en application après vulgarisation et signature par les parties concernées. </w:t>
      </w:r>
    </w:p>
    <w:p w14:paraId="05A44BB2" w14:textId="77777777" w:rsidR="009021F1" w:rsidRPr="007E3D1A" w:rsidRDefault="009021F1" w:rsidP="009021F1">
      <w:pPr>
        <w:rPr>
          <w:rFonts w:eastAsia="SimSun" w:cs="Arial"/>
          <w:sz w:val="22"/>
        </w:rPr>
      </w:pPr>
    </w:p>
    <w:p w14:paraId="0AF898D9" w14:textId="77777777" w:rsidR="009021F1" w:rsidRPr="007E3D1A" w:rsidRDefault="009021F1" w:rsidP="009021F1">
      <w:pPr>
        <w:rPr>
          <w:rFonts w:eastAsia="SimSun" w:cs="Arial"/>
          <w:sz w:val="22"/>
        </w:rPr>
      </w:pPr>
      <w:r w:rsidRPr="007E3D1A">
        <w:rPr>
          <w:rFonts w:eastAsia="SimSun" w:cs="Arial"/>
          <w:sz w:val="22"/>
        </w:rPr>
        <w:t>ANNEXES</w:t>
      </w:r>
    </w:p>
    <w:p w14:paraId="7E0C849C" w14:textId="77777777" w:rsidR="009021F1" w:rsidRPr="007E3D1A" w:rsidRDefault="009021F1" w:rsidP="009021F1">
      <w:pPr>
        <w:rPr>
          <w:rFonts w:eastAsia="SimSun" w:cs="Arial"/>
          <w:sz w:val="22"/>
        </w:rPr>
      </w:pPr>
      <w:r w:rsidRPr="007E3D1A">
        <w:rPr>
          <w:rFonts w:eastAsia="SimSun" w:cs="Arial"/>
          <w:sz w:val="22"/>
        </w:rPr>
        <w:t>ANNEXE I</w:t>
      </w:r>
    </w:p>
    <w:p w14:paraId="41485553" w14:textId="77777777" w:rsidR="009021F1" w:rsidRPr="007E3D1A" w:rsidRDefault="009021F1" w:rsidP="009021F1">
      <w:pPr>
        <w:rPr>
          <w:rFonts w:eastAsia="Calibri" w:cs="Arial"/>
          <w:sz w:val="22"/>
        </w:rPr>
      </w:pPr>
      <w:r w:rsidRPr="007E3D1A">
        <w:rPr>
          <w:rFonts w:eastAsia="Calibri" w:cs="Arial"/>
          <w:sz w:val="22"/>
        </w:rPr>
        <w:t>Pour s'assurer que les principes ci-dessus sont mis en œuvre efficacement, l'entreprise s'engage à faire en sorte que :</w:t>
      </w:r>
    </w:p>
    <w:p w14:paraId="0EFE2659" w14:textId="77777777" w:rsidR="009021F1" w:rsidRPr="007E3D1A" w:rsidRDefault="009021F1" w:rsidP="009021F1">
      <w:pPr>
        <w:rPr>
          <w:rFonts w:eastAsia="Calibri" w:cs="Arial"/>
          <w:sz w:val="22"/>
        </w:rPr>
      </w:pPr>
      <w:r w:rsidRPr="007E3D1A">
        <w:rPr>
          <w:rFonts w:eastAsia="Calibri" w:cs="Arial"/>
          <w:sz w:val="22"/>
        </w:rPr>
        <w:t>Tous les employés ayant un rôle de supervision du personnel (gestionnaires et superviseurs) signent le code de conduite-Annexe II décrivant leurs responsabilités en matière de mise en œuvre des engagements de l'entreprise et d'appliquer les responsabilités individuelles dans le ‘code de conduite'.</w:t>
      </w:r>
    </w:p>
    <w:p w14:paraId="4711EBF7" w14:textId="77777777" w:rsidR="009021F1" w:rsidRPr="007E3D1A" w:rsidRDefault="009021F1" w:rsidP="009021F1">
      <w:pPr>
        <w:rPr>
          <w:rFonts w:eastAsia="Calibri" w:cs="Arial"/>
          <w:sz w:val="22"/>
        </w:rPr>
      </w:pPr>
      <w:r w:rsidRPr="007E3D1A">
        <w:rPr>
          <w:rFonts w:eastAsia="Calibri" w:cs="Arial"/>
          <w:sz w:val="22"/>
        </w:rPr>
        <w:t>Tous les employés signent le code de conduite-Annexe III du projet, confirmant leur accord pour se conformer à des normes de comportement, et non de se livrer à des activités entraînant la VBG.</w:t>
      </w:r>
    </w:p>
    <w:p w14:paraId="15962F16" w14:textId="77777777" w:rsidR="009021F1" w:rsidRPr="007E3D1A" w:rsidRDefault="009021F1" w:rsidP="009021F1">
      <w:pPr>
        <w:rPr>
          <w:rFonts w:eastAsia="Calibri" w:cs="Arial"/>
          <w:sz w:val="22"/>
        </w:rPr>
      </w:pPr>
      <w:r w:rsidRPr="007E3D1A">
        <w:rPr>
          <w:rFonts w:eastAsia="Calibri" w:cs="Arial"/>
          <w:sz w:val="22"/>
        </w:rPr>
        <w:t xml:space="preserve">L'affichage des codes de conduite-Annexe I et III en bonne place et bien en vue dans des camps de travailleurs, les bureaux et dans les parties communes de l'espace de travail. Une copie dans la langue qu'ils ont choisie est fournie à chaque travailleur. </w:t>
      </w:r>
    </w:p>
    <w:p w14:paraId="3D9915FD" w14:textId="77777777" w:rsidR="009021F1" w:rsidRPr="007E3D1A" w:rsidRDefault="009021F1" w:rsidP="009021F1">
      <w:pPr>
        <w:rPr>
          <w:rFonts w:eastAsia="Calibri" w:cs="Arial"/>
          <w:sz w:val="22"/>
        </w:rPr>
      </w:pPr>
      <w:r w:rsidRPr="007E3D1A">
        <w:rPr>
          <w:rFonts w:eastAsia="Calibri" w:cs="Arial"/>
          <w:sz w:val="22"/>
        </w:rPr>
        <w:t>S'assurer que les copies affichées et distribuées des exemplaires des Annexes I et III sont traduites dans la langue appropriée d'utilisation dans les sites de travail ainsi que de tout le personnel international dans leur langue maternelle.</w:t>
      </w:r>
    </w:p>
    <w:p w14:paraId="34ED7130" w14:textId="77777777" w:rsidR="009021F1" w:rsidRPr="007E3D1A" w:rsidRDefault="009021F1" w:rsidP="009021F1">
      <w:pPr>
        <w:rPr>
          <w:rFonts w:eastAsia="Calibri" w:cs="Arial"/>
          <w:sz w:val="22"/>
        </w:rPr>
      </w:pPr>
      <w:r w:rsidRPr="007E3D1A">
        <w:rPr>
          <w:rFonts w:eastAsia="Calibri" w:cs="Arial"/>
          <w:sz w:val="22"/>
        </w:rPr>
        <w:t>L'entreprise met en œuvre efficacement le mécanisme convenu, de communiquer des informations au PNDA pour des améliorations et mises à jour au besoin.</w:t>
      </w:r>
    </w:p>
    <w:p w14:paraId="141C15F5" w14:textId="77777777" w:rsidR="009021F1" w:rsidRPr="007E3D1A" w:rsidRDefault="009021F1" w:rsidP="009021F1">
      <w:pPr>
        <w:rPr>
          <w:rFonts w:eastAsia="Calibri" w:cs="Arial"/>
          <w:sz w:val="22"/>
        </w:rPr>
      </w:pPr>
      <w:r w:rsidRPr="007E3D1A">
        <w:rPr>
          <w:rFonts w:eastAsia="Calibri" w:cs="Arial"/>
          <w:sz w:val="22"/>
        </w:rPr>
        <w:t xml:space="preserve">Tous les employés suivent un cours de formation de base avant de commencer le travail sur le site afin de s'assurer qu'ils sont familiers avec les engagements de l’entreprise concernant les codes de conduite relatifs à la VBG. </w:t>
      </w:r>
    </w:p>
    <w:p w14:paraId="1483117A" w14:textId="77777777" w:rsidR="009021F1" w:rsidRPr="007E3D1A" w:rsidRDefault="009021F1" w:rsidP="009021F1">
      <w:pPr>
        <w:rPr>
          <w:rFonts w:eastAsia="Calibri" w:cs="Arial"/>
          <w:sz w:val="22"/>
        </w:rPr>
      </w:pPr>
      <w:r w:rsidRPr="007E3D1A">
        <w:rPr>
          <w:rFonts w:eastAsia="Calibri" w:cs="Arial"/>
          <w:sz w:val="22"/>
        </w:rPr>
        <w:t>Tous les employés suivent une formation régulière obligatoire, mené par des acteurs spécialisés pour la durée du contrat à partir de la première formation d'initiation avant le début du travail pour renforcer la compréhension des normes de comportement du projet, y compris le code de conduite de VBG. Ces activités seront conçues pour invoquer un changement de comportement, contestant la répartition inégale du pouvoir qui soutient et promeut la VBG, y compris l'exploitation sexuelle, l’abus et le harcèlement.</w:t>
      </w:r>
    </w:p>
    <w:p w14:paraId="03423503" w14:textId="77777777" w:rsidR="009021F1" w:rsidRPr="007E3D1A" w:rsidRDefault="009021F1" w:rsidP="009021F1">
      <w:pPr>
        <w:rPr>
          <w:rFonts w:eastAsia="Calibri" w:cs="Arial"/>
          <w:sz w:val="22"/>
        </w:rPr>
      </w:pPr>
      <w:r w:rsidRPr="007E3D1A">
        <w:rPr>
          <w:rFonts w:eastAsia="Calibri" w:cs="Arial"/>
          <w:sz w:val="22"/>
        </w:rPr>
        <w:t xml:space="preserve">Je reconnais, par la présente, que j'ai lu le Code de Conduite, y compris l´Annexe I qui précède, et au nom de l'entreprise, j’accepte de me conformer aux normes qu'ils contiennent. Je comprends mon rôle et mes responsabilités de promouvoir les normes comportementales du projet, et de prévenir et répondre à la VBG. Je comprends que toute action incompatible ou non conforme avec le présent code de conduite, y compris l´Annexe I peut entrainer des sanctions disciplinaires. </w:t>
      </w:r>
    </w:p>
    <w:p w14:paraId="1DF876B4" w14:textId="77777777" w:rsidR="009021F1" w:rsidRPr="007E3D1A" w:rsidRDefault="009021F1" w:rsidP="009021F1">
      <w:pPr>
        <w:rPr>
          <w:rFonts w:eastAsia="Calibri" w:cs="Arial"/>
          <w:sz w:val="22"/>
        </w:rPr>
      </w:pPr>
    </w:p>
    <w:p w14:paraId="5FEE9D39" w14:textId="77777777" w:rsidR="009021F1" w:rsidRPr="007E3D1A" w:rsidRDefault="009021F1" w:rsidP="009021F1">
      <w:pPr>
        <w:rPr>
          <w:rFonts w:eastAsia="Calibri" w:cs="Arial"/>
          <w:sz w:val="22"/>
        </w:rPr>
      </w:pPr>
    </w:p>
    <w:p w14:paraId="60128FA3" w14:textId="77777777" w:rsidR="009021F1" w:rsidRPr="007E3D1A" w:rsidRDefault="009021F1" w:rsidP="009021F1">
      <w:pPr>
        <w:rPr>
          <w:rFonts w:cs="Arial"/>
          <w:sz w:val="22"/>
        </w:rPr>
      </w:pPr>
      <w:r w:rsidRPr="007E3D1A">
        <w:rPr>
          <w:rFonts w:cs="Arial"/>
          <w:sz w:val="22"/>
        </w:rPr>
        <w:t>Nom de l’entreprise :</w:t>
      </w:r>
      <w:r w:rsidRPr="007E3D1A">
        <w:rPr>
          <w:rFonts w:cs="Arial"/>
          <w:sz w:val="22"/>
        </w:rPr>
        <w:tab/>
        <w:t xml:space="preserve"> ________________________                      Date :                 __________</w:t>
      </w:r>
    </w:p>
    <w:p w14:paraId="431D4AB0" w14:textId="77777777" w:rsidR="009021F1" w:rsidRPr="007E3D1A" w:rsidRDefault="009021F1" w:rsidP="009021F1">
      <w:pPr>
        <w:rPr>
          <w:rFonts w:cs="Arial"/>
          <w:sz w:val="22"/>
        </w:rPr>
      </w:pPr>
      <w:r w:rsidRPr="007E3D1A">
        <w:rPr>
          <w:rFonts w:cs="Arial"/>
          <w:sz w:val="22"/>
        </w:rPr>
        <w:t>Nom complet :</w:t>
      </w:r>
      <w:r w:rsidRPr="007E3D1A">
        <w:rPr>
          <w:rFonts w:cs="Arial"/>
          <w:sz w:val="22"/>
        </w:rPr>
        <w:tab/>
      </w:r>
      <w:r w:rsidRPr="007E3D1A">
        <w:rPr>
          <w:rFonts w:cs="Arial"/>
          <w:sz w:val="22"/>
        </w:rPr>
        <w:tab/>
        <w:t>_________________________                     Lu et approuvé : ______________</w:t>
      </w:r>
    </w:p>
    <w:p w14:paraId="55C7200C" w14:textId="77777777" w:rsidR="009021F1" w:rsidRPr="007E3D1A" w:rsidRDefault="009021F1" w:rsidP="009021F1">
      <w:pPr>
        <w:rPr>
          <w:rFonts w:cs="Arial"/>
          <w:sz w:val="22"/>
        </w:rPr>
      </w:pPr>
      <w:r w:rsidRPr="007E3D1A">
        <w:rPr>
          <w:rFonts w:cs="Arial"/>
          <w:sz w:val="22"/>
        </w:rPr>
        <w:t xml:space="preserve">Titre : </w:t>
      </w:r>
      <w:r w:rsidRPr="007E3D1A">
        <w:rPr>
          <w:rFonts w:cs="Arial"/>
          <w:sz w:val="22"/>
        </w:rPr>
        <w:tab/>
      </w:r>
      <w:r w:rsidRPr="007E3D1A">
        <w:rPr>
          <w:rFonts w:cs="Arial"/>
          <w:sz w:val="22"/>
        </w:rPr>
        <w:tab/>
      </w:r>
      <w:r w:rsidRPr="007E3D1A">
        <w:rPr>
          <w:rFonts w:cs="Arial"/>
          <w:sz w:val="22"/>
        </w:rPr>
        <w:tab/>
        <w:t>_________________________                     Signature : ___________________</w:t>
      </w:r>
    </w:p>
    <w:p w14:paraId="53254B98" w14:textId="77777777" w:rsidR="009021F1" w:rsidRPr="007E3D1A" w:rsidRDefault="009021F1" w:rsidP="009021F1">
      <w:pPr>
        <w:rPr>
          <w:rFonts w:eastAsia="Calibri" w:cs="Arial"/>
          <w:sz w:val="22"/>
        </w:rPr>
      </w:pPr>
    </w:p>
    <w:p w14:paraId="58D1DAE3" w14:textId="77777777" w:rsidR="009021F1" w:rsidRPr="007E3D1A" w:rsidRDefault="009021F1" w:rsidP="009021F1">
      <w:pPr>
        <w:rPr>
          <w:rFonts w:eastAsia="Calibri" w:cs="Arial"/>
          <w:sz w:val="22"/>
        </w:rPr>
      </w:pPr>
      <w:r w:rsidRPr="007E3D1A">
        <w:rPr>
          <w:rFonts w:eastAsia="Calibri" w:cs="Arial"/>
          <w:sz w:val="22"/>
        </w:rPr>
        <w:t>ANNEXE II</w:t>
      </w:r>
    </w:p>
    <w:p w14:paraId="05C71A0C" w14:textId="77777777" w:rsidR="009021F1" w:rsidRPr="007E3D1A" w:rsidRDefault="009021F1" w:rsidP="009021F1">
      <w:pPr>
        <w:rPr>
          <w:rFonts w:eastAsia="SimSun" w:cs="Arial"/>
          <w:sz w:val="22"/>
        </w:rPr>
      </w:pPr>
      <w:r w:rsidRPr="007E3D1A">
        <w:rPr>
          <w:rFonts w:eastAsia="SimSun" w:cs="Arial"/>
          <w:sz w:val="22"/>
        </w:rPr>
        <w:t>Les gestionnaires et les superviseurs (employés avec un rôle de supervision du personnel) à tous les niveaux ont la responsabilité de faire respecter l'engagement de l’entreprise pour la prévention et l'atténuation de la VBG. Cela signifie que les gestionnaires ont une lourde responsabilité de créer et maintenir un environnement qui respecte ces normes et empêche la VBG, tout en tenant responsables leurs auteurs. Pour être efficace, les gestionnaires devront soutenir et promouvoir la mise en œuvre du Code de conduite. À cette fin, les gestionnaires doivent se conformer aux responsabilités comme gestionnaires et également comme travailleurs (Annexe II et III). Ce faisant, ils s'engagent à maintenir la sécurité de la mise en œuvre du projet, ainsi qu'un environnement libre de tout VBG sur le lieu de travail et au sein de la communauté locale.</w:t>
      </w:r>
    </w:p>
    <w:p w14:paraId="423F0132" w14:textId="77777777" w:rsidR="009021F1" w:rsidRPr="007E3D1A" w:rsidRDefault="009021F1" w:rsidP="009021F1">
      <w:pPr>
        <w:rPr>
          <w:rFonts w:eastAsia="SimSun" w:cs="Arial"/>
          <w:sz w:val="22"/>
        </w:rPr>
      </w:pPr>
      <w:r w:rsidRPr="007E3D1A">
        <w:rPr>
          <w:rFonts w:eastAsia="SimSun" w:cs="Arial"/>
          <w:sz w:val="22"/>
        </w:rPr>
        <w:t>Ces responsabilités incluent mais ne sont pas limités à :</w:t>
      </w:r>
    </w:p>
    <w:p w14:paraId="061DB5E8" w14:textId="77777777" w:rsidR="009021F1" w:rsidRPr="007E3D1A" w:rsidRDefault="009021F1" w:rsidP="009021F1">
      <w:pPr>
        <w:rPr>
          <w:rFonts w:eastAsia="SimSun" w:cs="Arial"/>
          <w:sz w:val="22"/>
        </w:rPr>
      </w:pPr>
      <w:r w:rsidRPr="007E3D1A">
        <w:rPr>
          <w:rFonts w:eastAsia="SimSun" w:cs="Arial"/>
          <w:sz w:val="22"/>
        </w:rPr>
        <w:t>Mise en œuvre</w:t>
      </w:r>
    </w:p>
    <w:p w14:paraId="3CD8377C" w14:textId="77777777" w:rsidR="009021F1" w:rsidRPr="007E3D1A" w:rsidRDefault="009021F1" w:rsidP="009021F1">
      <w:pPr>
        <w:rPr>
          <w:rFonts w:eastAsia="Calibri" w:cs="Arial"/>
          <w:sz w:val="22"/>
        </w:rPr>
      </w:pPr>
      <w:r w:rsidRPr="007E3D1A">
        <w:rPr>
          <w:rFonts w:eastAsia="Calibri" w:cs="Arial"/>
          <w:sz w:val="22"/>
        </w:rPr>
        <w:t>Afin de garantir la plus grande efficacité des codes de conduite-Annexe I et III :</w:t>
      </w:r>
    </w:p>
    <w:p w14:paraId="4DD55E59" w14:textId="77777777" w:rsidR="009021F1" w:rsidRPr="007E3D1A" w:rsidRDefault="009021F1" w:rsidP="009021F1">
      <w:pPr>
        <w:rPr>
          <w:rFonts w:eastAsia="SimSun" w:cs="Arial"/>
          <w:sz w:val="22"/>
        </w:rPr>
      </w:pPr>
      <w:r w:rsidRPr="007E3D1A">
        <w:rPr>
          <w:rFonts w:eastAsia="SimSun" w:cs="Arial"/>
          <w:sz w:val="22"/>
        </w:rPr>
        <w:t xml:space="preserve">i. </w:t>
      </w:r>
      <w:r w:rsidRPr="007E3D1A">
        <w:rPr>
          <w:rFonts w:eastAsia="SimSun" w:cs="Arial"/>
          <w:sz w:val="22"/>
        </w:rPr>
        <w:tab/>
        <w:t>Afficher distinctement les codes de conduite Annexe I et III bien en vue, à la fois pour le personnel et les communautés au camp des travailleurs, bureaux, et dans les espaces publics de l'espace de travail. Des exemples de places publiques incluent les Salles d’attente, de repos et les halls d'entrée, la cantine et les cliniques de santé, les zones où sont stockés et surveillés les machines, etc.</w:t>
      </w:r>
    </w:p>
    <w:p w14:paraId="0D914F0E" w14:textId="77777777" w:rsidR="009021F1" w:rsidRPr="007E3D1A" w:rsidRDefault="009021F1" w:rsidP="009021F1">
      <w:pPr>
        <w:rPr>
          <w:rFonts w:eastAsia="SimSun" w:cs="Arial"/>
          <w:sz w:val="22"/>
        </w:rPr>
      </w:pPr>
      <w:r w:rsidRPr="007E3D1A">
        <w:rPr>
          <w:rFonts w:eastAsia="SimSun" w:cs="Arial"/>
          <w:sz w:val="22"/>
        </w:rPr>
        <w:t>ii. S’assurer que toutes les copies affichées et distribuées des Annexes I et III sont traduites dans la langue appropriée d'utilisation dans les domaines de travail ainsi que dans la langue maternelle de tout le personnel international.</w:t>
      </w:r>
    </w:p>
    <w:p w14:paraId="1A9293F2" w14:textId="77777777" w:rsidR="009021F1" w:rsidRPr="007E3D1A" w:rsidRDefault="009021F1" w:rsidP="009021F1">
      <w:pPr>
        <w:rPr>
          <w:rFonts w:eastAsia="Calibri" w:cs="Arial"/>
          <w:sz w:val="22"/>
        </w:rPr>
      </w:pPr>
      <w:r w:rsidRPr="007E3D1A">
        <w:rPr>
          <w:rFonts w:eastAsia="Calibri" w:cs="Arial"/>
          <w:sz w:val="22"/>
        </w:rPr>
        <w:t>Contribuer à expliquer les codes de conduite-Annexe I et III à l'ensemble du personnel.</w:t>
      </w:r>
    </w:p>
    <w:p w14:paraId="044265D0" w14:textId="77777777" w:rsidR="009021F1" w:rsidRPr="007E3D1A" w:rsidRDefault="009021F1" w:rsidP="009021F1">
      <w:pPr>
        <w:rPr>
          <w:rFonts w:eastAsia="Calibri" w:cs="Arial"/>
          <w:sz w:val="22"/>
        </w:rPr>
      </w:pPr>
      <w:r w:rsidRPr="007E3D1A">
        <w:rPr>
          <w:rFonts w:eastAsia="Calibri" w:cs="Arial"/>
          <w:sz w:val="22"/>
        </w:rPr>
        <w:t>S'assurer que :</w:t>
      </w:r>
    </w:p>
    <w:p w14:paraId="02488733" w14:textId="77777777" w:rsidR="009021F1" w:rsidRPr="007E3D1A" w:rsidRDefault="009021F1" w:rsidP="009021F1">
      <w:pPr>
        <w:rPr>
          <w:rFonts w:eastAsia="SimSun" w:cs="Arial"/>
          <w:sz w:val="22"/>
        </w:rPr>
      </w:pPr>
      <w:r w:rsidRPr="007E3D1A">
        <w:rPr>
          <w:rFonts w:eastAsia="SimSun" w:cs="Arial"/>
          <w:sz w:val="22"/>
        </w:rPr>
        <w:t xml:space="preserve">i. </w:t>
      </w:r>
      <w:r w:rsidRPr="007E3D1A">
        <w:rPr>
          <w:rFonts w:eastAsia="SimSun" w:cs="Arial"/>
          <w:sz w:val="22"/>
        </w:rPr>
        <w:tab/>
        <w:t>Tous les travailleurs sous sa supervision signent le code de conduite-Annexe I, y compris la reconnaissance qu'ils ont le lu et l´approuvé.</w:t>
      </w:r>
    </w:p>
    <w:p w14:paraId="33777091" w14:textId="77777777" w:rsidR="009021F1" w:rsidRPr="007E3D1A" w:rsidRDefault="009021F1" w:rsidP="009021F1">
      <w:pPr>
        <w:rPr>
          <w:rFonts w:eastAsia="SimSun" w:cs="Arial"/>
          <w:sz w:val="22"/>
        </w:rPr>
      </w:pPr>
      <w:r w:rsidRPr="007E3D1A">
        <w:rPr>
          <w:rFonts w:eastAsia="SimSun" w:cs="Arial"/>
          <w:sz w:val="22"/>
        </w:rPr>
        <w:t xml:space="preserve">ii. </w:t>
      </w:r>
      <w:r w:rsidRPr="007E3D1A">
        <w:rPr>
          <w:rFonts w:eastAsia="SimSun" w:cs="Arial"/>
          <w:sz w:val="22"/>
        </w:rPr>
        <w:tab/>
        <w:t>Les listes de l’ensemble du personnel et des exemplaires signés de chaque code de conduite sont fournis au PNDA.</w:t>
      </w:r>
    </w:p>
    <w:p w14:paraId="082637A2" w14:textId="77777777" w:rsidR="009021F1" w:rsidRPr="007E3D1A" w:rsidRDefault="009021F1" w:rsidP="009021F1">
      <w:pPr>
        <w:rPr>
          <w:rFonts w:eastAsia="SimSun" w:cs="Arial"/>
          <w:sz w:val="22"/>
        </w:rPr>
      </w:pPr>
      <w:r w:rsidRPr="007E3D1A">
        <w:rPr>
          <w:rFonts w:eastAsia="SimSun" w:cs="Arial"/>
          <w:sz w:val="22"/>
        </w:rPr>
        <w:t xml:space="preserve">iii. </w:t>
      </w:r>
      <w:r w:rsidRPr="007E3D1A">
        <w:rPr>
          <w:rFonts w:eastAsia="SimSun" w:cs="Arial"/>
          <w:sz w:val="22"/>
        </w:rPr>
        <w:tab/>
        <w:t>Tout le personnel participe à la formation et que les membres sous sa supervision participent également comme indiqué ci-dessous.</w:t>
      </w:r>
    </w:p>
    <w:p w14:paraId="3D30FADF" w14:textId="77777777" w:rsidR="009021F1" w:rsidRPr="007E3D1A" w:rsidRDefault="009021F1" w:rsidP="009021F1">
      <w:pPr>
        <w:rPr>
          <w:rFonts w:eastAsia="SimSun" w:cs="Arial"/>
          <w:sz w:val="22"/>
        </w:rPr>
      </w:pPr>
      <w:r w:rsidRPr="007E3D1A">
        <w:rPr>
          <w:rFonts w:eastAsia="SimSun" w:cs="Arial"/>
          <w:sz w:val="22"/>
        </w:rPr>
        <w:t xml:space="preserve">iv. </w:t>
      </w:r>
      <w:r w:rsidRPr="007E3D1A">
        <w:rPr>
          <w:rFonts w:eastAsia="SimSun" w:cs="Arial"/>
          <w:sz w:val="22"/>
        </w:rPr>
        <w:tab/>
        <w:t>le superviseur favorise un environnement encourageant le personnel à signaler les incidents de VBG confidentiellement par l'intermédiaire du mécanisme de gestion de plaintes du projet.</w:t>
      </w:r>
    </w:p>
    <w:p w14:paraId="1B151F9F" w14:textId="77777777" w:rsidR="009021F1" w:rsidRPr="007E3D1A" w:rsidRDefault="009021F1" w:rsidP="009021F1">
      <w:pPr>
        <w:rPr>
          <w:rFonts w:eastAsia="Calibri" w:cs="Arial"/>
          <w:sz w:val="22"/>
        </w:rPr>
      </w:pPr>
      <w:r w:rsidRPr="007E3D1A">
        <w:rPr>
          <w:rFonts w:eastAsia="Calibri" w:cs="Arial"/>
          <w:sz w:val="22"/>
        </w:rPr>
        <w:t>Dans le respect des lois applicables et au meilleur de ses capacités, empêcher que les auteurs d'exploitation sexuelle et de violence ne soient pas engagés, recrutés de nouveau ou redéployés.</w:t>
      </w:r>
    </w:p>
    <w:p w14:paraId="146ACBBD" w14:textId="77777777" w:rsidR="009021F1" w:rsidRPr="007E3D1A" w:rsidRDefault="009021F1" w:rsidP="009021F1">
      <w:pPr>
        <w:rPr>
          <w:rFonts w:eastAsia="Calibri" w:cs="Arial"/>
          <w:sz w:val="22"/>
        </w:rPr>
      </w:pPr>
      <w:r w:rsidRPr="007E3D1A">
        <w:rPr>
          <w:rFonts w:eastAsia="Calibri" w:cs="Arial"/>
          <w:sz w:val="22"/>
        </w:rPr>
        <w:t>S'assurer que lors de l'engagement d’un partenariat, d’un sous-traitant, d’un fournisseur ou d'accords similaires, ces accords :</w:t>
      </w:r>
    </w:p>
    <w:p w14:paraId="6016D53E" w14:textId="77777777" w:rsidR="009021F1" w:rsidRPr="007E3D1A" w:rsidRDefault="009021F1" w:rsidP="009021F1">
      <w:pPr>
        <w:rPr>
          <w:rFonts w:eastAsia="SimSun" w:cs="Arial"/>
          <w:sz w:val="22"/>
        </w:rPr>
      </w:pPr>
      <w:r w:rsidRPr="007E3D1A">
        <w:rPr>
          <w:rFonts w:eastAsia="SimSun" w:cs="Arial"/>
          <w:sz w:val="22"/>
        </w:rPr>
        <w:tab/>
        <w:t>i.    Incorporer le code de conduite- Annexe I, II et III sous forme de pièce jointe.</w:t>
      </w:r>
    </w:p>
    <w:p w14:paraId="66FFA594" w14:textId="77777777" w:rsidR="009021F1" w:rsidRPr="007E3D1A" w:rsidRDefault="009021F1" w:rsidP="009021F1">
      <w:pPr>
        <w:rPr>
          <w:rFonts w:eastAsia="SimSun" w:cs="Arial"/>
          <w:sz w:val="22"/>
        </w:rPr>
      </w:pPr>
      <w:r w:rsidRPr="007E3D1A">
        <w:rPr>
          <w:rFonts w:eastAsia="SimSun" w:cs="Arial"/>
          <w:sz w:val="22"/>
        </w:rPr>
        <w:tab/>
        <w:t>ii.  Inclure les langues appropriées nécessitantes de telles entités contractantes et les individus, et    leurs employés et bénévoles, à se conformer au code de conduite-Annexe I.</w:t>
      </w:r>
    </w:p>
    <w:p w14:paraId="78801AD8" w14:textId="77777777" w:rsidR="009021F1" w:rsidRPr="007E3D1A" w:rsidRDefault="009021F1" w:rsidP="009021F1">
      <w:pPr>
        <w:rPr>
          <w:rFonts w:eastAsia="SimSun" w:cs="Arial"/>
          <w:sz w:val="22"/>
        </w:rPr>
      </w:pPr>
      <w:r w:rsidRPr="007E3D1A">
        <w:rPr>
          <w:rFonts w:eastAsia="SimSun" w:cs="Arial"/>
          <w:sz w:val="22"/>
        </w:rPr>
        <w:tab/>
        <w:t>iii. Dire expressément que la non-observance par ces entités ou personnes, le cas échéant, de se conformer aux normes définies par le Code de conduite, prendre des mesures préventives contre la VBG, enquêter sur les allégations de VBG, ou à prendre des mesures correctives lorsqu’un cas de VBG a eu lieu, n'est pas seulement un motif de sanctions et pénalités conformément aux codes de-Annexe I mais aussi de résiliation d'accords pour travailler sur l'offre ou le projet.</w:t>
      </w:r>
    </w:p>
    <w:p w14:paraId="6592C8E0" w14:textId="77777777" w:rsidR="009021F1" w:rsidRPr="007E3D1A" w:rsidRDefault="009021F1" w:rsidP="009021F1">
      <w:pPr>
        <w:rPr>
          <w:rFonts w:eastAsia="Calibri" w:cs="Arial"/>
          <w:sz w:val="22"/>
        </w:rPr>
      </w:pPr>
      <w:r w:rsidRPr="007E3D1A">
        <w:rPr>
          <w:rFonts w:eastAsia="Calibri" w:cs="Arial"/>
          <w:sz w:val="22"/>
        </w:rPr>
        <w:t>Fournir un appui au Maitre d’ouvrage subdélégué pour la mise en œuvre des activités environnementales et sociales du PNDA et à d'autres acteurs de la société civile et de VBG pour créer et diffuser des initiatives de sensibilisation interne au travers des campagnes de sensibilisation et des stratégies de changement de comportement.</w:t>
      </w:r>
    </w:p>
    <w:p w14:paraId="4B3135AE" w14:textId="77777777" w:rsidR="009021F1" w:rsidRPr="007E3D1A" w:rsidRDefault="009021F1" w:rsidP="009021F1">
      <w:pPr>
        <w:rPr>
          <w:rFonts w:eastAsia="Calibri" w:cs="Arial"/>
          <w:sz w:val="22"/>
        </w:rPr>
      </w:pPr>
      <w:r w:rsidRPr="007E3D1A">
        <w:rPr>
          <w:rFonts w:eastAsia="Calibri" w:cs="Arial"/>
          <w:sz w:val="22"/>
        </w:rPr>
        <w:t>Rendre compte et agir conformément au protocole de réponse de tout acte réel ou supposé de VBG. Les gestionnaires ont la responsabilité de faire respecter les engagements de l'entreprise et faire leurs comptes rendus directs grâce à la mise en œuvre de mesures disciplinaires appropriées. Le défaut d'agir sur les actes supposés ou réels de VBG commis par leurs rapports peut entraîner des mesures disciplinaires.</w:t>
      </w:r>
    </w:p>
    <w:p w14:paraId="39E53B2A" w14:textId="77777777" w:rsidR="009021F1" w:rsidRPr="007E3D1A" w:rsidRDefault="009021F1" w:rsidP="009021F1">
      <w:pPr>
        <w:rPr>
          <w:rFonts w:eastAsia="Calibri" w:cs="Arial"/>
          <w:sz w:val="22"/>
        </w:rPr>
      </w:pPr>
    </w:p>
    <w:p w14:paraId="2A1B83C4" w14:textId="77777777" w:rsidR="009021F1" w:rsidRPr="007E3D1A" w:rsidRDefault="009021F1" w:rsidP="009021F1">
      <w:pPr>
        <w:rPr>
          <w:rFonts w:eastAsia="SimSun" w:cs="Arial"/>
          <w:sz w:val="22"/>
        </w:rPr>
      </w:pPr>
      <w:r w:rsidRPr="007E3D1A">
        <w:rPr>
          <w:rFonts w:eastAsia="SimSun" w:cs="Arial"/>
          <w:sz w:val="22"/>
        </w:rPr>
        <w:t>Formation</w:t>
      </w:r>
    </w:p>
    <w:p w14:paraId="7C9AB0F2" w14:textId="77777777" w:rsidR="009021F1" w:rsidRPr="007E3D1A" w:rsidRDefault="009021F1" w:rsidP="009021F1">
      <w:pPr>
        <w:rPr>
          <w:rFonts w:eastAsia="Calibri" w:cs="Arial"/>
          <w:sz w:val="22"/>
        </w:rPr>
      </w:pPr>
      <w:r w:rsidRPr="007E3D1A">
        <w:rPr>
          <w:rFonts w:eastAsia="Calibri" w:cs="Arial"/>
          <w:sz w:val="22"/>
        </w:rPr>
        <w:t>Tous les gestionnaires sont tenus d'assister à un cours de formation pour gestionnaires avant de commencer les travaux afin de s'assurer qu'ils connaissent bien leurs rôles et responsabilités dans le respect des engagements relatifs aux codes de conduite de VBG. Cette formation s'appuiera sur cours de formation de VBG et les codes de conduite, exigée de tous les employés et gestionnaires pour avoir la compréhension nécessaire et le soutien technique nécessaires pour remplir leur rôle dans le cadre de leurs fonctions dans le projet.</w:t>
      </w:r>
    </w:p>
    <w:p w14:paraId="55831D56" w14:textId="77777777" w:rsidR="009021F1" w:rsidRPr="007E3D1A" w:rsidRDefault="009021F1" w:rsidP="009021F1">
      <w:pPr>
        <w:rPr>
          <w:rFonts w:eastAsia="Calibri" w:cs="Arial"/>
          <w:sz w:val="22"/>
        </w:rPr>
      </w:pPr>
      <w:r w:rsidRPr="007E3D1A">
        <w:rPr>
          <w:rFonts w:eastAsia="Calibri" w:cs="Arial"/>
          <w:sz w:val="22"/>
        </w:rPr>
        <w:t>Les gestionnaires sont tenus d'assister et d'aider lors des cours de formation organisés par le projet pour tous les employés. Les gestionnaires seront tenus de démarrer les formations et d'annoncer les renseignements nécessaires pour évaluer les expériences de formation et fournir des conseils sur l'amélioration de l'efficacité de la formation.</w:t>
      </w:r>
    </w:p>
    <w:p w14:paraId="22095BF6" w14:textId="77777777" w:rsidR="009021F1" w:rsidRPr="007E3D1A" w:rsidRDefault="009021F1" w:rsidP="009021F1">
      <w:pPr>
        <w:rPr>
          <w:rFonts w:eastAsia="Calibri" w:cs="Arial"/>
          <w:sz w:val="22"/>
        </w:rPr>
      </w:pPr>
      <w:r w:rsidRPr="007E3D1A">
        <w:rPr>
          <w:rFonts w:eastAsia="Calibri" w:cs="Arial"/>
          <w:sz w:val="22"/>
        </w:rPr>
        <w:t>S'assurer que du temps est accordé pendant les heures de travail pour que le personnel assiste à la formation d'initiation obligatoire sur la prévention de la VBG ainsi que le code de conduite et ses Annexes du projet.</w:t>
      </w:r>
    </w:p>
    <w:p w14:paraId="5C19BF89" w14:textId="77777777" w:rsidR="009021F1" w:rsidRPr="007E3D1A" w:rsidRDefault="009021F1" w:rsidP="009021F1">
      <w:pPr>
        <w:rPr>
          <w:rFonts w:eastAsia="SimSun" w:cs="Arial"/>
          <w:sz w:val="22"/>
        </w:rPr>
      </w:pPr>
      <w:r w:rsidRPr="007E3D1A">
        <w:rPr>
          <w:rFonts w:eastAsia="SimSun" w:cs="Arial"/>
          <w:sz w:val="22"/>
        </w:rPr>
        <w:t xml:space="preserve">Réponse </w:t>
      </w:r>
    </w:p>
    <w:p w14:paraId="62D5DC6F" w14:textId="77777777" w:rsidR="009021F1" w:rsidRPr="007E3D1A" w:rsidRDefault="009021F1" w:rsidP="009021F1">
      <w:pPr>
        <w:rPr>
          <w:rFonts w:eastAsia="Calibri" w:cs="Arial"/>
          <w:sz w:val="22"/>
        </w:rPr>
      </w:pPr>
      <w:r w:rsidRPr="007E3D1A">
        <w:rPr>
          <w:rFonts w:eastAsia="Calibri" w:cs="Arial"/>
          <w:sz w:val="22"/>
        </w:rPr>
        <w:t>En ce qui concerne la VBG :</w:t>
      </w:r>
    </w:p>
    <w:p w14:paraId="41767D38" w14:textId="77777777" w:rsidR="009021F1" w:rsidRPr="007E3D1A" w:rsidRDefault="009021F1" w:rsidP="009021F1">
      <w:pPr>
        <w:rPr>
          <w:rFonts w:eastAsia="SimSun" w:cs="Arial"/>
          <w:sz w:val="22"/>
        </w:rPr>
      </w:pPr>
      <w:r w:rsidRPr="007E3D1A">
        <w:rPr>
          <w:rFonts w:eastAsia="SimSun" w:cs="Arial"/>
          <w:sz w:val="22"/>
        </w:rPr>
        <w:t>Si un gestionnaire développe des préoccupations ou des soupçons à l'égard de toute forme de VBG par l'un de ses rapports directs, ou par un employé travaillant pour un autre maître d’œuvre sur le même lieu de travail, il est nécessaire de signaler le cas en utilisant les procédures établies.</w:t>
      </w:r>
    </w:p>
    <w:p w14:paraId="79AEA096" w14:textId="77777777" w:rsidR="009021F1" w:rsidRPr="007E3D1A" w:rsidRDefault="009021F1" w:rsidP="009021F1">
      <w:pPr>
        <w:rPr>
          <w:rFonts w:eastAsia="SimSun" w:cs="Arial"/>
          <w:sz w:val="22"/>
        </w:rPr>
      </w:pPr>
      <w:r w:rsidRPr="007E3D1A">
        <w:rPr>
          <w:rFonts w:eastAsia="SimSun" w:cs="Arial"/>
          <w:sz w:val="22"/>
        </w:rPr>
        <w:t>Si le gestionnaire chargé des VBG a un conflit d'intérêts en raison de relations familiales ou personnelles avec la survivante et/ou l’auteur, il/elle doit informer l'entreprise concernée et la partie en charge de la gestion de plaintes VBG et le PNDA. L'entrepreneur sera tenu de nommer un autre gestionnaire sans conflit d'intérêt pour répondre aux plaintes.</w:t>
      </w:r>
    </w:p>
    <w:p w14:paraId="3B539321" w14:textId="77777777" w:rsidR="009021F1" w:rsidRPr="007E3D1A" w:rsidRDefault="009021F1" w:rsidP="009021F1">
      <w:pPr>
        <w:rPr>
          <w:rFonts w:eastAsia="SimSun" w:cs="Arial"/>
          <w:sz w:val="22"/>
        </w:rPr>
      </w:pPr>
      <w:r w:rsidRPr="007E3D1A">
        <w:rPr>
          <w:rFonts w:eastAsia="SimSun" w:cs="Arial"/>
          <w:sz w:val="22"/>
        </w:rPr>
        <w:t>S'assurer que toute question de VBG est signalée au PNDA et à la Banque mondiale dans les 24 heures de sa détection et indépendamment de sa vérification.</w:t>
      </w:r>
    </w:p>
    <w:p w14:paraId="10401D8D" w14:textId="77777777" w:rsidR="009021F1" w:rsidRPr="007E3D1A" w:rsidRDefault="009021F1" w:rsidP="009021F1">
      <w:pPr>
        <w:rPr>
          <w:rFonts w:eastAsia="Calibri" w:cs="Arial"/>
          <w:sz w:val="22"/>
        </w:rPr>
      </w:pPr>
      <w:r w:rsidRPr="007E3D1A">
        <w:rPr>
          <w:rFonts w:eastAsia="Calibri" w:cs="Arial"/>
          <w:sz w:val="22"/>
        </w:rPr>
        <w:t xml:space="preserve">Le manquement pour les gestionnaires de faire rapport ou de se conformer aux dispositions de VBG et du VAC peut faire l'objet de mesures disciplinaires, à déterminer et adopter par le Directeur de l'entreprise ou un équivalent d’un rang plus élevé. </w:t>
      </w:r>
    </w:p>
    <w:p w14:paraId="06BA656B" w14:textId="77777777" w:rsidR="009021F1" w:rsidRPr="007E3D1A" w:rsidRDefault="009021F1" w:rsidP="009021F1">
      <w:pPr>
        <w:rPr>
          <w:rFonts w:eastAsia="SimSun" w:cs="Arial"/>
          <w:sz w:val="22"/>
        </w:rPr>
      </w:pPr>
      <w:r w:rsidRPr="007E3D1A">
        <w:rPr>
          <w:rFonts w:eastAsia="SimSun" w:cs="Arial"/>
          <w:sz w:val="22"/>
        </w:rPr>
        <w:t>En définitive, le fait de répondre efficacement aux cas de VBG sur le chantier par les gestionnaires de l'entreprise ou le Directeur Général n’empêchent pas des éventuelles actions judiciaires qui pourraient être engagé par les autorités compétentes.</w:t>
      </w:r>
    </w:p>
    <w:p w14:paraId="37D18061" w14:textId="77777777" w:rsidR="009021F1" w:rsidRPr="007E3D1A" w:rsidRDefault="009021F1" w:rsidP="009021F1">
      <w:pPr>
        <w:rPr>
          <w:rFonts w:eastAsia="SimSun" w:cs="Arial"/>
          <w:sz w:val="22"/>
        </w:rPr>
      </w:pPr>
      <w:r w:rsidRPr="007E3D1A">
        <w:rPr>
          <w:rFonts w:eastAsia="SimSun" w:cs="Arial"/>
          <w:sz w:val="22"/>
        </w:rPr>
        <w:t>Je reconnais, par la présente, que j'ai lu ce qui précède, le code de conduite-Annexe II, et accepte de me conformer aux normes qu'il contient et comprends mes rôles et responsabilités pour prévenir et répondre aux exigences en matière de VBG. Je comprends que toute action incompatible avec le présent Code de conduite, y compris l’Annexe II ou l'échec à prendre des mesures prescrites qui y sont contenues peut entraîner des mesures disciplinaires.</w:t>
      </w:r>
    </w:p>
    <w:p w14:paraId="7B36E027" w14:textId="77777777" w:rsidR="009021F1" w:rsidRPr="007E3D1A" w:rsidRDefault="009021F1" w:rsidP="009021F1">
      <w:pPr>
        <w:rPr>
          <w:rFonts w:cs="Arial"/>
          <w:sz w:val="22"/>
        </w:rPr>
      </w:pPr>
    </w:p>
    <w:p w14:paraId="03422CFC" w14:textId="77777777" w:rsidR="009021F1" w:rsidRPr="007E3D1A" w:rsidRDefault="009021F1" w:rsidP="009021F1">
      <w:pPr>
        <w:rPr>
          <w:rFonts w:cs="Arial"/>
          <w:sz w:val="22"/>
        </w:rPr>
      </w:pPr>
      <w:r w:rsidRPr="007E3D1A">
        <w:rPr>
          <w:rFonts w:cs="Arial"/>
          <w:sz w:val="22"/>
        </w:rPr>
        <w:tab/>
      </w:r>
      <w:r w:rsidRPr="007E3D1A">
        <w:rPr>
          <w:rFonts w:cs="Arial"/>
          <w:sz w:val="22"/>
        </w:rPr>
        <w:tab/>
        <w:t xml:space="preserve">Signature : </w:t>
      </w:r>
      <w:r w:rsidRPr="007E3D1A">
        <w:rPr>
          <w:rFonts w:cs="Arial"/>
          <w:sz w:val="22"/>
        </w:rPr>
        <w:tab/>
        <w:t>_________________________</w:t>
      </w:r>
    </w:p>
    <w:p w14:paraId="1CC479EB" w14:textId="77777777" w:rsidR="009021F1" w:rsidRPr="007E3D1A" w:rsidRDefault="009021F1" w:rsidP="009021F1">
      <w:pPr>
        <w:rPr>
          <w:rFonts w:cs="Arial"/>
          <w:sz w:val="22"/>
        </w:rPr>
      </w:pPr>
      <w:r w:rsidRPr="007E3D1A">
        <w:rPr>
          <w:rFonts w:cs="Arial"/>
          <w:sz w:val="22"/>
        </w:rPr>
        <w:tab/>
      </w:r>
      <w:r w:rsidRPr="007E3D1A">
        <w:rPr>
          <w:rFonts w:cs="Arial"/>
          <w:sz w:val="22"/>
        </w:rPr>
        <w:tab/>
        <w:t>Nom complet :</w:t>
      </w:r>
      <w:r w:rsidRPr="007E3D1A">
        <w:rPr>
          <w:rFonts w:cs="Arial"/>
          <w:sz w:val="22"/>
        </w:rPr>
        <w:tab/>
        <w:t>_________________________</w:t>
      </w:r>
    </w:p>
    <w:p w14:paraId="3885F2F5" w14:textId="77777777" w:rsidR="009021F1" w:rsidRPr="007E3D1A" w:rsidRDefault="009021F1" w:rsidP="009021F1">
      <w:pPr>
        <w:rPr>
          <w:rFonts w:cs="Arial"/>
          <w:sz w:val="22"/>
        </w:rPr>
      </w:pPr>
      <w:r w:rsidRPr="007E3D1A">
        <w:rPr>
          <w:rFonts w:cs="Arial"/>
          <w:sz w:val="22"/>
        </w:rPr>
        <w:tab/>
      </w:r>
      <w:r w:rsidRPr="007E3D1A">
        <w:rPr>
          <w:rFonts w:cs="Arial"/>
          <w:sz w:val="22"/>
        </w:rPr>
        <w:tab/>
        <w:t xml:space="preserve">Titre : </w:t>
      </w:r>
      <w:r w:rsidRPr="007E3D1A">
        <w:rPr>
          <w:rFonts w:cs="Arial"/>
          <w:sz w:val="22"/>
        </w:rPr>
        <w:tab/>
      </w:r>
      <w:r w:rsidRPr="007E3D1A">
        <w:rPr>
          <w:rFonts w:cs="Arial"/>
          <w:sz w:val="22"/>
        </w:rPr>
        <w:tab/>
        <w:t>_________________________</w:t>
      </w:r>
    </w:p>
    <w:p w14:paraId="05C66F88" w14:textId="77777777" w:rsidR="009021F1" w:rsidRPr="007E3D1A" w:rsidRDefault="009021F1" w:rsidP="009021F1">
      <w:pPr>
        <w:rPr>
          <w:rFonts w:cs="Arial"/>
          <w:sz w:val="22"/>
        </w:rPr>
      </w:pPr>
      <w:r w:rsidRPr="007E3D1A">
        <w:rPr>
          <w:rFonts w:cs="Arial"/>
          <w:sz w:val="22"/>
        </w:rPr>
        <w:tab/>
      </w:r>
      <w:r w:rsidRPr="007E3D1A">
        <w:rPr>
          <w:rFonts w:cs="Arial"/>
          <w:sz w:val="22"/>
        </w:rPr>
        <w:tab/>
        <w:t xml:space="preserve">Date : </w:t>
      </w:r>
      <w:r w:rsidRPr="007E3D1A">
        <w:rPr>
          <w:rFonts w:cs="Arial"/>
          <w:sz w:val="22"/>
        </w:rPr>
        <w:tab/>
      </w:r>
      <w:r w:rsidRPr="007E3D1A">
        <w:rPr>
          <w:rFonts w:cs="Arial"/>
          <w:sz w:val="22"/>
        </w:rPr>
        <w:tab/>
        <w:t>________</w:t>
      </w:r>
    </w:p>
    <w:p w14:paraId="28B175AC" w14:textId="77777777" w:rsidR="009021F1" w:rsidRPr="007E3D1A" w:rsidRDefault="009021F1" w:rsidP="009021F1">
      <w:pPr>
        <w:rPr>
          <w:rFonts w:eastAsia="Calibri" w:cs="Arial"/>
          <w:sz w:val="22"/>
        </w:rPr>
      </w:pPr>
    </w:p>
    <w:p w14:paraId="3AFC02FA" w14:textId="77777777" w:rsidR="009021F1" w:rsidRPr="007E3D1A" w:rsidRDefault="009021F1" w:rsidP="009021F1">
      <w:pPr>
        <w:rPr>
          <w:rFonts w:eastAsia="Calibri" w:cs="Arial"/>
          <w:sz w:val="22"/>
        </w:rPr>
      </w:pPr>
      <w:r w:rsidRPr="007E3D1A">
        <w:rPr>
          <w:rFonts w:eastAsia="Calibri" w:cs="Arial"/>
          <w:sz w:val="22"/>
        </w:rPr>
        <w:t>ANNEXE III</w:t>
      </w:r>
    </w:p>
    <w:p w14:paraId="710B1333" w14:textId="77777777" w:rsidR="009021F1" w:rsidRPr="007E3D1A" w:rsidRDefault="009021F1" w:rsidP="009021F1">
      <w:pPr>
        <w:rPr>
          <w:rFonts w:cs="Arial"/>
          <w:sz w:val="22"/>
        </w:rPr>
      </w:pPr>
      <w:r w:rsidRPr="007E3D1A">
        <w:rPr>
          <w:rFonts w:cs="Arial"/>
          <w:sz w:val="22"/>
        </w:rPr>
        <w:t xml:space="preserve">Je, soussigné ___________________________________, reconnais que le respect des normes environnementales, sanitaires et de sécurité sociale (ESHS), conformément aux exigences en matière de santé et de sécurité au travail du projet (SST), et la prévention de VBG, y compris l'exploitation et la violence sexuelle ainsi que le harcèlement sexuel, est important. </w:t>
      </w:r>
    </w:p>
    <w:p w14:paraId="50EC7853" w14:textId="77777777" w:rsidR="009021F1" w:rsidRPr="007E3D1A" w:rsidRDefault="009021F1" w:rsidP="009021F1">
      <w:pPr>
        <w:rPr>
          <w:rFonts w:cs="Arial"/>
          <w:sz w:val="22"/>
        </w:rPr>
      </w:pPr>
      <w:r w:rsidRPr="007E3D1A">
        <w:rPr>
          <w:rFonts w:cs="Arial"/>
          <w:sz w:val="22"/>
        </w:rPr>
        <w:t>L’entreprise estime que participer à des actes de VBG lorsqu’on est employé par le projet - que ce soit sur le lieu de travail, dans les alentours du lieu de travail, dans le camp des travailleurs, à proximité des camps ou dans les communautés limitrophes - constitue un acte d'inconduite grave et mène à des sanctions, pénalités ou à une cessation potentielle d'emploi. Des poursuites par la police de ceux qui commettent la VBG peuvent être engagées, si approprié.</w:t>
      </w:r>
    </w:p>
    <w:p w14:paraId="1AD0D81A" w14:textId="77777777" w:rsidR="009021F1" w:rsidRPr="007E3D1A" w:rsidRDefault="009021F1" w:rsidP="009021F1">
      <w:pPr>
        <w:rPr>
          <w:rFonts w:cs="Arial"/>
          <w:sz w:val="22"/>
        </w:rPr>
      </w:pPr>
      <w:r w:rsidRPr="007E3D1A">
        <w:rPr>
          <w:rFonts w:cs="Arial"/>
          <w:sz w:val="22"/>
        </w:rPr>
        <w:t>Je suis d'accord que tout en travaillant sur le projet Je vais :</w:t>
      </w:r>
    </w:p>
    <w:p w14:paraId="58FF3004" w14:textId="77777777" w:rsidR="009021F1" w:rsidRPr="007E3D1A" w:rsidRDefault="009021F1" w:rsidP="009021F1">
      <w:pPr>
        <w:rPr>
          <w:rFonts w:cs="Arial"/>
          <w:sz w:val="22"/>
        </w:rPr>
      </w:pPr>
      <w:r w:rsidRPr="007E3D1A">
        <w:rPr>
          <w:rFonts w:cs="Arial"/>
          <w:sz w:val="22"/>
        </w:rPr>
        <w:t>Assister et participer activement aux cours de formation liés à l'ESHS, l’OHS, le VIH/SIDA, la VBG tel que recommandé par mon employeur.</w:t>
      </w:r>
    </w:p>
    <w:p w14:paraId="50E1E9BC" w14:textId="77777777" w:rsidR="009021F1" w:rsidRPr="007E3D1A" w:rsidRDefault="009021F1" w:rsidP="009021F1">
      <w:pPr>
        <w:rPr>
          <w:rFonts w:cs="Arial"/>
          <w:sz w:val="22"/>
        </w:rPr>
      </w:pPr>
      <w:r w:rsidRPr="007E3D1A">
        <w:rPr>
          <w:rFonts w:cs="Arial"/>
          <w:sz w:val="22"/>
        </w:rPr>
        <w:t>Adhérer à une politique de zéro-alcool pendant les heures de service, et m'abstenir de l'usage de stupéfiants ou d'autres substances, qui peuvent altérer les facultés en tout temps.</w:t>
      </w:r>
    </w:p>
    <w:p w14:paraId="05D0BACD" w14:textId="77777777" w:rsidR="009021F1" w:rsidRPr="007E3D1A" w:rsidRDefault="009021F1" w:rsidP="009021F1">
      <w:pPr>
        <w:rPr>
          <w:rFonts w:cs="Arial"/>
          <w:sz w:val="22"/>
        </w:rPr>
      </w:pPr>
      <w:r w:rsidRPr="007E3D1A">
        <w:rPr>
          <w:rFonts w:cs="Arial"/>
          <w:sz w:val="22"/>
        </w:rPr>
        <w:t>Traiter les femmes, les enfants (personnes de moins de 18 ans), et les hommes sans distinction de race, couleur, langue, religion, opinion politique ou autre, origine nationale, ethnique ou sociale, fortune, infirmité, naissance ou toute autre situation.</w:t>
      </w:r>
    </w:p>
    <w:p w14:paraId="339AF45C" w14:textId="77777777" w:rsidR="009021F1" w:rsidRPr="007E3D1A" w:rsidRDefault="009021F1" w:rsidP="009021F1">
      <w:pPr>
        <w:rPr>
          <w:rFonts w:cs="Arial"/>
          <w:sz w:val="22"/>
        </w:rPr>
      </w:pPr>
      <w:r w:rsidRPr="007E3D1A">
        <w:rPr>
          <w:rFonts w:cs="Arial"/>
          <w:sz w:val="22"/>
        </w:rPr>
        <w:t>Ne pas utiliser un langage ou un comportement harcelant, abusif, sexuellement provocant ou humiliant envers les femmes, les enfants ou les hommes, et qui constitue un acte de violence basée sur le genre.</w:t>
      </w:r>
    </w:p>
    <w:p w14:paraId="5A9D3580" w14:textId="77777777" w:rsidR="009021F1" w:rsidRPr="007E3D1A" w:rsidRDefault="009021F1" w:rsidP="009021F1">
      <w:pPr>
        <w:rPr>
          <w:rFonts w:cs="Arial"/>
          <w:sz w:val="22"/>
        </w:rPr>
      </w:pPr>
      <w:r w:rsidRPr="007E3D1A">
        <w:rPr>
          <w:rFonts w:cs="Arial"/>
          <w:sz w:val="22"/>
        </w:rPr>
        <w:t>Ne pas s'engager dans le harcèlement sexuel, par exemple, en faisant des avances sexuelles importunes, des demandes de faveurs sexuelles, et d'autres comportement physique ou verbal, de nature sexuelle, y compris les actes subtils de tels comportements (par exemple regarder quelqu'un de haut en bas; les baisers, les hurlements ou bruits de claquement; traîner autour de quelqu'un; siffler et chahuter; donner des cadeaux personnels; faire des commentaires sur la vie sexuelle de quelqu'un ; etc.).</w:t>
      </w:r>
    </w:p>
    <w:p w14:paraId="5C1A65A9" w14:textId="77777777" w:rsidR="009021F1" w:rsidRPr="007E3D1A" w:rsidRDefault="009021F1" w:rsidP="009021F1">
      <w:pPr>
        <w:rPr>
          <w:rFonts w:cs="Arial"/>
          <w:sz w:val="22"/>
        </w:rPr>
      </w:pPr>
      <w:r w:rsidRPr="007E3D1A">
        <w:rPr>
          <w:rFonts w:cs="Arial"/>
          <w:sz w:val="22"/>
        </w:rPr>
        <w:t>Ne pas solliciter des faveurs sexuelles en étant employé par le projet (par exemple, faire des promesses ou un échange de traitement favorable, y compris de l'argent, dépendant d'actes sexuels) ou d'autres formes d'humiliation, de dégradation ou d'exploitation.</w:t>
      </w:r>
    </w:p>
    <w:p w14:paraId="7BBAEF64" w14:textId="77777777" w:rsidR="009021F1" w:rsidRPr="007E3D1A" w:rsidRDefault="009021F1" w:rsidP="009021F1">
      <w:pPr>
        <w:rPr>
          <w:rFonts w:cs="Arial"/>
          <w:sz w:val="22"/>
        </w:rPr>
      </w:pPr>
      <w:r w:rsidRPr="007E3D1A">
        <w:rPr>
          <w:rFonts w:cs="Arial"/>
          <w:sz w:val="22"/>
        </w:rPr>
        <w:t>Ne pas participer à une activité sexuelle ou une activité avec des enfants - y compris le toilettage, ou contacter via les médias numériques. La croyance erronée concernant l'âge d'un enfant n'est pas une défense. Le consentement de l'enfant n'est pas non plus une défense ou une excuse.</w:t>
      </w:r>
    </w:p>
    <w:p w14:paraId="4D7EB7DA" w14:textId="77777777" w:rsidR="009021F1" w:rsidRPr="007E3D1A" w:rsidRDefault="009021F1" w:rsidP="009021F1">
      <w:pPr>
        <w:rPr>
          <w:rFonts w:cs="Arial"/>
          <w:sz w:val="22"/>
        </w:rPr>
      </w:pPr>
      <w:r w:rsidRPr="007E3D1A">
        <w:rPr>
          <w:rFonts w:cs="Arial"/>
          <w:sz w:val="22"/>
        </w:rPr>
        <w:t>S'engager dans de nouvelles relations avec des filles de moins de 18 ans, y compris épouser une jeune fille de moins de 18 ans.</w:t>
      </w:r>
    </w:p>
    <w:p w14:paraId="11600F06" w14:textId="77777777" w:rsidR="009021F1" w:rsidRPr="007E3D1A" w:rsidRDefault="009021F1" w:rsidP="009021F1">
      <w:pPr>
        <w:rPr>
          <w:rFonts w:cs="Arial"/>
          <w:sz w:val="22"/>
        </w:rPr>
      </w:pPr>
      <w:r w:rsidRPr="007E3D1A">
        <w:rPr>
          <w:rFonts w:cs="Arial"/>
          <w:sz w:val="22"/>
        </w:rPr>
        <w:t>À moins qu'il y ait le plein consentement de toutes les parties concernées, je ne vais pas avoir des interactions avec les membres des Communautés environnantes. Cela inclut les relations impliquant l'abstention ou de promesse d'attribution de prestations (monétaires ou non) aux membres de la communauté en échange de sexe, telles l'activité sexuelle (Invitation de sexe transactionnel par les membres de la communauté en échange d'argent ou d'autres services) est considérée comme "non-consensuelles" et l'exploitation dans le champ d'application du présent code et de l'employé par le projet.</w:t>
      </w:r>
    </w:p>
    <w:p w14:paraId="2D2D1114" w14:textId="77777777" w:rsidR="009021F1" w:rsidRPr="007E3D1A" w:rsidRDefault="009021F1" w:rsidP="009021F1">
      <w:pPr>
        <w:rPr>
          <w:rFonts w:cs="Arial"/>
          <w:sz w:val="22"/>
        </w:rPr>
      </w:pPr>
      <w:r w:rsidRPr="007E3D1A">
        <w:rPr>
          <w:rFonts w:cs="Arial"/>
          <w:sz w:val="22"/>
        </w:rPr>
        <w:t>Envisager de faire déclaration auprès de la partie en charge de la gestion de plaintes VBG ou à mon responsable toute suspicion ou actes réels de VBG par un autre travailleur ou tout projet d'infractions au présent code de conduite.</w:t>
      </w:r>
    </w:p>
    <w:p w14:paraId="34F4F313" w14:textId="77777777" w:rsidR="009021F1" w:rsidRPr="007E3D1A" w:rsidRDefault="009021F1" w:rsidP="009021F1">
      <w:pPr>
        <w:rPr>
          <w:rFonts w:cs="Arial"/>
          <w:sz w:val="22"/>
        </w:rPr>
      </w:pPr>
      <w:r w:rsidRPr="007E3D1A">
        <w:rPr>
          <w:rFonts w:cs="Arial"/>
          <w:sz w:val="22"/>
        </w:rPr>
        <w:t>Sanctions</w:t>
      </w:r>
    </w:p>
    <w:p w14:paraId="341DEC55" w14:textId="77777777" w:rsidR="009021F1" w:rsidRPr="007E3D1A" w:rsidRDefault="009021F1" w:rsidP="009021F1">
      <w:pPr>
        <w:rPr>
          <w:rFonts w:eastAsia="SimSun" w:cs="Arial"/>
          <w:sz w:val="22"/>
        </w:rPr>
      </w:pPr>
      <w:r w:rsidRPr="007E3D1A">
        <w:rPr>
          <w:rFonts w:eastAsia="SimSun" w:cs="Arial"/>
          <w:sz w:val="22"/>
        </w:rPr>
        <w:t>Je comprends que si je viole le présent code de conduite-Annexe III, mon employeur prendra des mesures disciplinaires, conformément aux lois en la matière et au code de travail de la RDC, qui pourraient inclure :</w:t>
      </w:r>
    </w:p>
    <w:p w14:paraId="7B0036D7" w14:textId="77777777" w:rsidR="009021F1" w:rsidRPr="007E3D1A" w:rsidRDefault="009021F1" w:rsidP="009021F1">
      <w:pPr>
        <w:rPr>
          <w:rFonts w:eastAsia="SimSun" w:cs="Arial"/>
          <w:sz w:val="22"/>
        </w:rPr>
      </w:pPr>
    </w:p>
    <w:p w14:paraId="5244DEA0" w14:textId="77777777" w:rsidR="009021F1" w:rsidRPr="007E3D1A" w:rsidRDefault="009021F1" w:rsidP="009021F1">
      <w:pPr>
        <w:rPr>
          <w:rFonts w:eastAsia="SimSun" w:cs="Arial"/>
          <w:sz w:val="22"/>
        </w:rPr>
      </w:pPr>
      <w:r w:rsidRPr="007E3D1A">
        <w:rPr>
          <w:rFonts w:eastAsia="SimSun" w:cs="Arial"/>
          <w:sz w:val="22"/>
        </w:rPr>
        <w:t>Blâme ;</w:t>
      </w:r>
    </w:p>
    <w:p w14:paraId="371D782B" w14:textId="77777777" w:rsidR="009021F1" w:rsidRPr="007E3D1A" w:rsidRDefault="009021F1" w:rsidP="009021F1">
      <w:pPr>
        <w:rPr>
          <w:rFonts w:eastAsia="SimSun" w:cs="Arial"/>
          <w:sz w:val="22"/>
        </w:rPr>
      </w:pPr>
      <w:r w:rsidRPr="007E3D1A">
        <w:rPr>
          <w:rFonts w:eastAsia="SimSun" w:cs="Arial"/>
          <w:sz w:val="22"/>
        </w:rPr>
        <w:t xml:space="preserve">Réprimande ; </w:t>
      </w:r>
    </w:p>
    <w:p w14:paraId="0097CD83" w14:textId="77777777" w:rsidR="009021F1" w:rsidRPr="007E3D1A" w:rsidRDefault="009021F1" w:rsidP="009021F1">
      <w:pPr>
        <w:rPr>
          <w:rFonts w:eastAsia="SimSun" w:cs="Arial"/>
          <w:sz w:val="22"/>
        </w:rPr>
      </w:pPr>
      <w:r w:rsidRPr="007E3D1A">
        <w:rPr>
          <w:rFonts w:eastAsia="SimSun" w:cs="Arial"/>
          <w:sz w:val="22"/>
        </w:rPr>
        <w:t>Mise à pied dans les limites de l’article 57 du Code du travail ;</w:t>
      </w:r>
    </w:p>
    <w:p w14:paraId="5AB3BD6E" w14:textId="77777777" w:rsidR="009021F1" w:rsidRPr="007E3D1A" w:rsidRDefault="009021F1" w:rsidP="009021F1">
      <w:pPr>
        <w:rPr>
          <w:rFonts w:eastAsia="SimSun" w:cs="Arial"/>
          <w:sz w:val="22"/>
        </w:rPr>
      </w:pPr>
      <w:r w:rsidRPr="007E3D1A">
        <w:rPr>
          <w:rFonts w:eastAsia="SimSun" w:cs="Arial"/>
          <w:sz w:val="22"/>
        </w:rPr>
        <w:t>Licenciement avec préavis ; et</w:t>
      </w:r>
    </w:p>
    <w:p w14:paraId="3C77108F" w14:textId="77777777" w:rsidR="009021F1" w:rsidRPr="007E3D1A" w:rsidRDefault="009021F1" w:rsidP="009021F1">
      <w:pPr>
        <w:rPr>
          <w:rFonts w:eastAsia="SimSun" w:cs="Arial"/>
          <w:sz w:val="22"/>
        </w:rPr>
      </w:pPr>
      <w:r w:rsidRPr="007E3D1A">
        <w:rPr>
          <w:rFonts w:eastAsia="SimSun" w:cs="Arial"/>
          <w:sz w:val="22"/>
        </w:rPr>
        <w:t>Licenciement sans préavis dans les conditions fixes aux articles 72 et 74 du Code du travail.</w:t>
      </w:r>
    </w:p>
    <w:p w14:paraId="3EC31CF5" w14:textId="77777777" w:rsidR="009021F1" w:rsidRPr="007E3D1A" w:rsidRDefault="009021F1" w:rsidP="009021F1">
      <w:pPr>
        <w:rPr>
          <w:rFonts w:cs="Arial"/>
          <w:sz w:val="22"/>
        </w:rPr>
      </w:pPr>
    </w:p>
    <w:p w14:paraId="5E3AC921" w14:textId="77777777" w:rsidR="009021F1" w:rsidRPr="007E3D1A" w:rsidRDefault="009021F1" w:rsidP="009021F1">
      <w:pPr>
        <w:rPr>
          <w:rFonts w:eastAsia="Calibri" w:cs="Arial"/>
          <w:sz w:val="22"/>
        </w:rPr>
      </w:pPr>
      <w:r w:rsidRPr="007E3D1A">
        <w:rPr>
          <w:rFonts w:cs="Arial"/>
          <w:sz w:val="22"/>
        </w:rPr>
        <w:t>Je comprends qu'il est de ma responsabilité de veiller à ce que les normes environnementales, sociales, de santé et de sécurité soient respectées. Que j'adhère à l'hygiène et la sécurité au plan de gestion. Que je vais éviter les actions ou les comportements qui pourraient être interprétées comme VBG. Les actions de ce type seront considérées comme une infraction au présent code de conduite- Annexe III. Je reconnais par la présente que j'ai lu/comprends le code de conduite qui précède, et accepte de me conformer aux normes qu'il contient et comprends mes rôles et responsabilités pour prévenir et répondre à l’ESHS, l’OHS, et les questions de VBG. Je comprends que toute action incompatible avec le présent code de conduite, y compris l´Annexe III ou le défaut de prendre des mesures qui y sont prescrites peut entraîner des mesures disciplinaires et peut affecter mon emploi en cours.</w:t>
      </w:r>
      <w:r w:rsidRPr="007E3D1A">
        <w:rPr>
          <w:rFonts w:eastAsia="Calibri" w:cs="Arial"/>
          <w:sz w:val="22"/>
        </w:rPr>
        <w:t xml:space="preserve"> </w:t>
      </w:r>
    </w:p>
    <w:p w14:paraId="1042E6EF" w14:textId="77777777" w:rsidR="009021F1" w:rsidRPr="007E3D1A" w:rsidRDefault="009021F1" w:rsidP="009021F1">
      <w:pPr>
        <w:rPr>
          <w:rFonts w:eastAsia="Calibri" w:cs="Arial"/>
          <w:sz w:val="22"/>
        </w:rPr>
      </w:pPr>
    </w:p>
    <w:p w14:paraId="71A22089" w14:textId="77777777" w:rsidR="009021F1" w:rsidRPr="007E3D1A" w:rsidRDefault="009021F1" w:rsidP="009021F1">
      <w:pPr>
        <w:rPr>
          <w:rFonts w:cs="Arial"/>
          <w:sz w:val="22"/>
        </w:rPr>
      </w:pPr>
      <w:r w:rsidRPr="007E3D1A">
        <w:rPr>
          <w:rFonts w:cs="Arial"/>
          <w:sz w:val="22"/>
        </w:rPr>
        <w:tab/>
      </w:r>
      <w:r w:rsidRPr="007E3D1A">
        <w:rPr>
          <w:rFonts w:cs="Arial"/>
          <w:sz w:val="22"/>
        </w:rPr>
        <w:tab/>
        <w:t xml:space="preserve">Signature : </w:t>
      </w:r>
      <w:r w:rsidRPr="007E3D1A">
        <w:rPr>
          <w:rFonts w:cs="Arial"/>
          <w:sz w:val="22"/>
        </w:rPr>
        <w:tab/>
        <w:t>_________________________</w:t>
      </w:r>
    </w:p>
    <w:p w14:paraId="73C70D12" w14:textId="77777777" w:rsidR="009021F1" w:rsidRPr="007E3D1A" w:rsidRDefault="009021F1" w:rsidP="009021F1">
      <w:pPr>
        <w:rPr>
          <w:rFonts w:cs="Arial"/>
          <w:sz w:val="22"/>
        </w:rPr>
      </w:pPr>
      <w:r w:rsidRPr="007E3D1A">
        <w:rPr>
          <w:rFonts w:cs="Arial"/>
          <w:sz w:val="22"/>
        </w:rPr>
        <w:tab/>
      </w:r>
      <w:r w:rsidRPr="007E3D1A">
        <w:rPr>
          <w:rFonts w:cs="Arial"/>
          <w:sz w:val="22"/>
        </w:rPr>
        <w:tab/>
        <w:t>Nom complet :</w:t>
      </w:r>
      <w:r w:rsidRPr="007E3D1A">
        <w:rPr>
          <w:rFonts w:cs="Arial"/>
          <w:sz w:val="22"/>
        </w:rPr>
        <w:tab/>
        <w:t>_________________________</w:t>
      </w:r>
    </w:p>
    <w:p w14:paraId="364D5B8F" w14:textId="77777777" w:rsidR="009021F1" w:rsidRPr="007E3D1A" w:rsidRDefault="009021F1" w:rsidP="009021F1">
      <w:pPr>
        <w:rPr>
          <w:rFonts w:cs="Arial"/>
          <w:sz w:val="22"/>
        </w:rPr>
      </w:pPr>
      <w:r w:rsidRPr="007E3D1A">
        <w:rPr>
          <w:rFonts w:cs="Arial"/>
          <w:sz w:val="22"/>
        </w:rPr>
        <w:tab/>
      </w:r>
      <w:r w:rsidRPr="007E3D1A">
        <w:rPr>
          <w:rFonts w:cs="Arial"/>
          <w:sz w:val="22"/>
        </w:rPr>
        <w:tab/>
        <w:t xml:space="preserve">Titre : </w:t>
      </w:r>
      <w:r w:rsidRPr="007E3D1A">
        <w:rPr>
          <w:rFonts w:cs="Arial"/>
          <w:sz w:val="22"/>
        </w:rPr>
        <w:tab/>
      </w:r>
      <w:r w:rsidRPr="007E3D1A">
        <w:rPr>
          <w:rFonts w:cs="Arial"/>
          <w:sz w:val="22"/>
        </w:rPr>
        <w:tab/>
        <w:t>_________________________</w:t>
      </w:r>
    </w:p>
    <w:p w14:paraId="50BE45B4" w14:textId="77777777" w:rsidR="009021F1" w:rsidRPr="007E3D1A" w:rsidRDefault="009021F1" w:rsidP="009021F1">
      <w:pPr>
        <w:rPr>
          <w:rFonts w:cs="Arial"/>
          <w:sz w:val="22"/>
        </w:rPr>
      </w:pPr>
      <w:r w:rsidRPr="007E3D1A">
        <w:rPr>
          <w:rFonts w:cs="Arial"/>
          <w:sz w:val="22"/>
        </w:rPr>
        <w:tab/>
      </w:r>
      <w:r w:rsidRPr="007E3D1A">
        <w:rPr>
          <w:rFonts w:cs="Arial"/>
          <w:sz w:val="22"/>
        </w:rPr>
        <w:tab/>
        <w:t xml:space="preserve">Date : </w:t>
      </w:r>
      <w:r w:rsidRPr="007E3D1A">
        <w:rPr>
          <w:rFonts w:cs="Arial"/>
          <w:sz w:val="22"/>
        </w:rPr>
        <w:tab/>
      </w:r>
      <w:r w:rsidRPr="007E3D1A">
        <w:rPr>
          <w:rFonts w:cs="Arial"/>
          <w:sz w:val="22"/>
        </w:rPr>
        <w:tab/>
        <w:t>_________________________</w:t>
      </w:r>
    </w:p>
    <w:p w14:paraId="2E84F28B" w14:textId="77777777" w:rsidR="009021F1" w:rsidRPr="007E3D1A" w:rsidRDefault="009021F1" w:rsidP="009021F1">
      <w:pPr>
        <w:rPr>
          <w:rFonts w:eastAsia="Arial Unicode MS" w:cs="Arial"/>
          <w:sz w:val="22"/>
        </w:rPr>
      </w:pPr>
    </w:p>
    <w:p w14:paraId="3D598468" w14:textId="77777777" w:rsidR="009021F1" w:rsidRPr="007E3D1A" w:rsidRDefault="009021F1" w:rsidP="009021F1">
      <w:pPr>
        <w:rPr>
          <w:rFonts w:eastAsia="SimSun" w:cs="Arial"/>
          <w:sz w:val="22"/>
        </w:rPr>
      </w:pPr>
      <w:r w:rsidRPr="007E3D1A">
        <w:rPr>
          <w:rFonts w:eastAsia="SimSun" w:cs="Arial"/>
          <w:sz w:val="22"/>
        </w:rPr>
        <w:t>Fait à ___________ le __/__/2021</w:t>
      </w:r>
    </w:p>
    <w:p w14:paraId="2E394F51" w14:textId="77777777" w:rsidR="009021F1" w:rsidRPr="007E3D1A" w:rsidRDefault="009021F1" w:rsidP="009021F1">
      <w:pPr>
        <w:rPr>
          <w:rFonts w:eastAsia="SimSun" w:cs="Arial"/>
          <w:sz w:val="22"/>
        </w:rPr>
      </w:pPr>
      <w:r w:rsidRPr="007E3D1A">
        <w:rPr>
          <w:rFonts w:eastAsia="SimSun" w:cs="Arial"/>
          <w:sz w:val="22"/>
        </w:rPr>
        <w:t>Pour la Direction de l’entreprise</w:t>
      </w:r>
    </w:p>
    <w:p w14:paraId="67A49F7B" w14:textId="77777777" w:rsidR="009021F1" w:rsidRPr="007E3D1A" w:rsidRDefault="009021F1" w:rsidP="009021F1">
      <w:pPr>
        <w:rPr>
          <w:rFonts w:eastAsia="SimSun" w:cs="Arial"/>
          <w:sz w:val="22"/>
        </w:rPr>
      </w:pPr>
      <w:r w:rsidRPr="007E3D1A">
        <w:rPr>
          <w:rFonts w:eastAsia="SimSun" w:cs="Arial"/>
          <w:sz w:val="22"/>
        </w:rPr>
        <w:br w:type="page"/>
      </w:r>
    </w:p>
    <w:p w14:paraId="31870F58" w14:textId="77777777" w:rsidR="009021F1" w:rsidRPr="00372F9C" w:rsidRDefault="009021F1" w:rsidP="009021F1">
      <w:pPr>
        <w:ind w:left="1418" w:hanging="1418"/>
        <w:rPr>
          <w:rFonts w:cs="Arial"/>
          <w:b/>
          <w:bCs/>
          <w:sz w:val="22"/>
        </w:rPr>
      </w:pPr>
      <w:r w:rsidRPr="00372F9C">
        <w:rPr>
          <w:rFonts w:cs="Arial"/>
          <w:b/>
          <w:bCs/>
          <w:sz w:val="22"/>
        </w:rPr>
        <w:t>ANNEXE 12. FICHE D’ENREGISTREMENT DES PLAINTES GLOBALES DU PROJET</w:t>
      </w:r>
    </w:p>
    <w:p w14:paraId="25647EC2" w14:textId="77777777" w:rsidR="009021F1" w:rsidRPr="007E3D1A" w:rsidRDefault="009021F1" w:rsidP="009021F1">
      <w:pPr>
        <w:rPr>
          <w:rFonts w:eastAsia="Arial" w:cs="Arial"/>
          <w:sz w:val="22"/>
        </w:rPr>
      </w:pPr>
    </w:p>
    <w:p w14:paraId="1B5F9F83" w14:textId="77777777" w:rsidR="009021F1" w:rsidRPr="007E3D1A" w:rsidRDefault="009021F1" w:rsidP="009021F1">
      <w:pPr>
        <w:rPr>
          <w:rFonts w:eastAsia="Arial" w:cs="Arial"/>
          <w:sz w:val="22"/>
        </w:rPr>
      </w:pPr>
      <w:r w:rsidRPr="007E3D1A">
        <w:rPr>
          <w:rFonts w:eastAsia="Arial" w:cs="Arial"/>
          <w:sz w:val="22"/>
        </w:rPr>
        <w:t>Projet PNDA</w:t>
      </w:r>
    </w:p>
    <w:p w14:paraId="3E771F8F" w14:textId="77777777" w:rsidR="009021F1" w:rsidRPr="007E3D1A" w:rsidRDefault="009021F1" w:rsidP="009021F1">
      <w:pPr>
        <w:rPr>
          <w:rFonts w:eastAsia="Arial" w:cs="Arial"/>
          <w:sz w:val="22"/>
        </w:rPr>
      </w:pPr>
    </w:p>
    <w:p w14:paraId="7B0288E9" w14:textId="77777777" w:rsidR="009021F1" w:rsidRPr="007E3D1A" w:rsidRDefault="009021F1" w:rsidP="009021F1">
      <w:pPr>
        <w:rPr>
          <w:rFonts w:eastAsia="Arial" w:cs="Arial"/>
          <w:sz w:val="22"/>
        </w:rPr>
      </w:pPr>
      <w:r w:rsidRPr="007E3D1A">
        <w:rPr>
          <w:rFonts w:eastAsia="Arial" w:cs="Arial"/>
          <w:sz w:val="22"/>
        </w:rPr>
        <w:t>1. Informations sur le sous-projet en exécution (à compléter par le CGP)</w:t>
      </w:r>
    </w:p>
    <w:p w14:paraId="2B4B5C4A" w14:textId="77777777" w:rsidR="009021F1" w:rsidRPr="007E3D1A" w:rsidRDefault="009021F1" w:rsidP="009021F1">
      <w:pPr>
        <w:rPr>
          <w:rFonts w:eastAsia="Arial" w:cs="Arial"/>
          <w:sz w:val="22"/>
        </w:rPr>
      </w:pPr>
    </w:p>
    <w:p w14:paraId="0520504A" w14:textId="77777777" w:rsidR="009021F1" w:rsidRPr="007E3D1A" w:rsidRDefault="009021F1" w:rsidP="009021F1">
      <w:pPr>
        <w:rPr>
          <w:rFonts w:eastAsia="Arial" w:cs="Arial"/>
          <w:sz w:val="22"/>
        </w:rPr>
      </w:pPr>
      <w:r w:rsidRPr="007E3D1A">
        <w:rPr>
          <w:rFonts w:eastAsia="Arial" w:cs="Arial"/>
          <w:sz w:val="22"/>
        </w:rPr>
        <w:t>Date : Le………………../…………/……………………………………….………….</w:t>
      </w:r>
    </w:p>
    <w:p w14:paraId="43B4CC59" w14:textId="77777777" w:rsidR="009021F1" w:rsidRPr="007E3D1A" w:rsidRDefault="009021F1" w:rsidP="009021F1">
      <w:pPr>
        <w:rPr>
          <w:rFonts w:eastAsia="Arial" w:cs="Arial"/>
          <w:sz w:val="22"/>
        </w:rPr>
      </w:pPr>
    </w:p>
    <w:p w14:paraId="0A104548" w14:textId="77777777" w:rsidR="009021F1" w:rsidRPr="007E3D1A" w:rsidRDefault="009021F1" w:rsidP="009021F1">
      <w:pPr>
        <w:rPr>
          <w:rFonts w:eastAsia="Arial" w:cs="Arial"/>
          <w:sz w:val="22"/>
        </w:rPr>
      </w:pPr>
      <w:r w:rsidRPr="007E3D1A">
        <w:rPr>
          <w:rFonts w:eastAsia="Arial" w:cs="Arial"/>
          <w:sz w:val="22"/>
        </w:rPr>
        <w:t>Sous-projet ou activité : ………………………………………………………………</w:t>
      </w:r>
    </w:p>
    <w:p w14:paraId="2D3E918E" w14:textId="77777777" w:rsidR="009021F1" w:rsidRPr="007E3D1A" w:rsidRDefault="009021F1" w:rsidP="009021F1">
      <w:pPr>
        <w:rPr>
          <w:rFonts w:eastAsia="Arial" w:cs="Arial"/>
          <w:sz w:val="22"/>
        </w:rPr>
      </w:pPr>
    </w:p>
    <w:p w14:paraId="5462C97B" w14:textId="77777777" w:rsidR="009021F1" w:rsidRPr="007E3D1A" w:rsidRDefault="009021F1" w:rsidP="009021F1">
      <w:pPr>
        <w:rPr>
          <w:rFonts w:eastAsia="Arial" w:cs="Arial"/>
          <w:sz w:val="22"/>
        </w:rPr>
      </w:pPr>
      <w:r w:rsidRPr="007E3D1A">
        <w:rPr>
          <w:rFonts w:eastAsia="Arial" w:cs="Arial"/>
          <w:sz w:val="22"/>
        </w:rPr>
        <w:t>UPEP PNDA : ………………………………………………………………………</w:t>
      </w:r>
    </w:p>
    <w:p w14:paraId="6CD845CD" w14:textId="77777777" w:rsidR="009021F1" w:rsidRPr="007E3D1A" w:rsidRDefault="009021F1" w:rsidP="009021F1">
      <w:pPr>
        <w:rPr>
          <w:rFonts w:eastAsia="Arial" w:cs="Arial"/>
          <w:sz w:val="22"/>
        </w:rPr>
      </w:pPr>
    </w:p>
    <w:p w14:paraId="3FFACCAC" w14:textId="77777777" w:rsidR="009021F1" w:rsidRPr="007E3D1A" w:rsidRDefault="009021F1" w:rsidP="009021F1">
      <w:pPr>
        <w:rPr>
          <w:rFonts w:eastAsia="Arial" w:cs="Arial"/>
          <w:sz w:val="22"/>
        </w:rPr>
      </w:pPr>
      <w:r w:rsidRPr="007E3D1A">
        <w:rPr>
          <w:rFonts w:eastAsia="Arial" w:cs="Arial"/>
          <w:sz w:val="22"/>
        </w:rPr>
        <w:t>Ville/Village :…………………………………………………………………………...</w:t>
      </w:r>
    </w:p>
    <w:p w14:paraId="138ABE6D" w14:textId="77777777" w:rsidR="009021F1" w:rsidRPr="007E3D1A" w:rsidRDefault="009021F1" w:rsidP="009021F1">
      <w:pPr>
        <w:rPr>
          <w:rFonts w:eastAsia="Arial" w:cs="Arial"/>
          <w:sz w:val="22"/>
        </w:rPr>
      </w:pPr>
    </w:p>
    <w:p w14:paraId="4CB80A34" w14:textId="77777777" w:rsidR="009021F1" w:rsidRPr="007E3D1A" w:rsidRDefault="009021F1" w:rsidP="009021F1">
      <w:pPr>
        <w:rPr>
          <w:rFonts w:eastAsia="Arial" w:cs="Arial"/>
          <w:sz w:val="22"/>
        </w:rPr>
      </w:pPr>
      <w:r w:rsidRPr="007E3D1A">
        <w:rPr>
          <w:rFonts w:eastAsia="Arial" w:cs="Arial"/>
          <w:sz w:val="22"/>
        </w:rPr>
        <w:t>Territoire/Commune/Mairie de : ………………………………………………….....</w:t>
      </w:r>
    </w:p>
    <w:p w14:paraId="4B6C45FB" w14:textId="77777777" w:rsidR="009021F1" w:rsidRPr="007E3D1A" w:rsidRDefault="009021F1" w:rsidP="009021F1">
      <w:pPr>
        <w:rPr>
          <w:rFonts w:eastAsia="Arial" w:cs="Arial"/>
          <w:sz w:val="22"/>
        </w:rPr>
      </w:pPr>
    </w:p>
    <w:p w14:paraId="13C586E7" w14:textId="77777777" w:rsidR="009021F1" w:rsidRPr="007E3D1A" w:rsidRDefault="009021F1" w:rsidP="009021F1">
      <w:pPr>
        <w:rPr>
          <w:rFonts w:eastAsia="Arial" w:cs="Arial"/>
          <w:sz w:val="22"/>
        </w:rPr>
      </w:pPr>
      <w:r w:rsidRPr="007E3D1A">
        <w:rPr>
          <w:rFonts w:eastAsia="Arial" w:cs="Arial"/>
          <w:sz w:val="22"/>
        </w:rPr>
        <w:t>Comité local de développement :…………………………………………………….</w:t>
      </w:r>
    </w:p>
    <w:p w14:paraId="1BD501CB" w14:textId="77777777" w:rsidR="009021F1" w:rsidRPr="007E3D1A" w:rsidRDefault="009021F1" w:rsidP="009021F1">
      <w:pPr>
        <w:rPr>
          <w:rFonts w:eastAsia="Arial" w:cs="Arial"/>
          <w:sz w:val="22"/>
        </w:rPr>
      </w:pPr>
    </w:p>
    <w:p w14:paraId="55B29339" w14:textId="77777777" w:rsidR="009021F1" w:rsidRPr="007E3D1A" w:rsidRDefault="009021F1" w:rsidP="009021F1">
      <w:pPr>
        <w:rPr>
          <w:rFonts w:eastAsia="Arial" w:cs="Arial"/>
          <w:sz w:val="22"/>
        </w:rPr>
      </w:pPr>
      <w:r w:rsidRPr="007E3D1A">
        <w:rPr>
          <w:rFonts w:eastAsia="Arial" w:cs="Arial"/>
          <w:sz w:val="22"/>
        </w:rPr>
        <w:t>Dossier N° :……………………………………………………………………………..</w:t>
      </w:r>
    </w:p>
    <w:p w14:paraId="3EC6E0AD" w14:textId="77777777" w:rsidR="009021F1" w:rsidRPr="007E3D1A" w:rsidRDefault="009021F1" w:rsidP="009021F1">
      <w:pPr>
        <w:rPr>
          <w:rFonts w:eastAsia="Arial" w:cs="Arial"/>
          <w:sz w:val="22"/>
        </w:rPr>
      </w:pPr>
    </w:p>
    <w:p w14:paraId="6EA6270F" w14:textId="77777777" w:rsidR="009021F1" w:rsidRPr="007E3D1A" w:rsidRDefault="009021F1" w:rsidP="009021F1">
      <w:pPr>
        <w:rPr>
          <w:rFonts w:eastAsia="Arial" w:cs="Arial"/>
          <w:sz w:val="22"/>
        </w:rPr>
      </w:pPr>
      <w:r w:rsidRPr="007E3D1A">
        <w:rPr>
          <w:rFonts w:eastAsia="Arial" w:cs="Arial"/>
          <w:sz w:val="22"/>
        </w:rPr>
        <w:t>2. Informations relatives à la plainte</w:t>
      </w:r>
    </w:p>
    <w:p w14:paraId="77355EF6" w14:textId="77777777" w:rsidR="009021F1" w:rsidRPr="007E3D1A" w:rsidRDefault="009021F1" w:rsidP="009021F1">
      <w:pPr>
        <w:rPr>
          <w:rFonts w:eastAsia="Arial" w:cs="Arial"/>
          <w:sz w:val="22"/>
        </w:rPr>
      </w:pPr>
      <w:r w:rsidRPr="007E3D1A">
        <w:rPr>
          <w:rFonts w:eastAsia="Arial" w:cs="Arial"/>
          <w:sz w:val="22"/>
        </w:rPr>
        <w:t>Nom du plaignant :……………………………………………………………………..</w:t>
      </w:r>
    </w:p>
    <w:p w14:paraId="5588EE97" w14:textId="77777777" w:rsidR="009021F1" w:rsidRPr="007E3D1A" w:rsidRDefault="009021F1" w:rsidP="009021F1">
      <w:pPr>
        <w:rPr>
          <w:rFonts w:eastAsia="Arial" w:cs="Arial"/>
          <w:sz w:val="22"/>
        </w:rPr>
      </w:pPr>
    </w:p>
    <w:p w14:paraId="0135EE00" w14:textId="77777777" w:rsidR="009021F1" w:rsidRPr="007E3D1A" w:rsidRDefault="009021F1" w:rsidP="009021F1">
      <w:pPr>
        <w:rPr>
          <w:rFonts w:eastAsia="Arial" w:cs="Arial"/>
          <w:sz w:val="22"/>
        </w:rPr>
      </w:pPr>
      <w:r w:rsidRPr="007E3D1A">
        <w:rPr>
          <w:rFonts w:eastAsia="Arial" w:cs="Arial"/>
          <w:sz w:val="22"/>
        </w:rPr>
        <w:t>Adresse :…………………………………………………………………………………</w:t>
      </w:r>
    </w:p>
    <w:p w14:paraId="0CF832FF" w14:textId="77777777" w:rsidR="009021F1" w:rsidRPr="007E3D1A" w:rsidRDefault="009021F1" w:rsidP="009021F1">
      <w:pPr>
        <w:rPr>
          <w:rFonts w:eastAsia="Arial" w:cs="Arial"/>
          <w:sz w:val="22"/>
        </w:rPr>
      </w:pPr>
    </w:p>
    <w:p w14:paraId="28C90E92" w14:textId="77777777" w:rsidR="009021F1" w:rsidRPr="007E3D1A" w:rsidRDefault="009021F1" w:rsidP="009021F1">
      <w:pPr>
        <w:rPr>
          <w:rFonts w:eastAsia="Arial" w:cs="Arial"/>
          <w:sz w:val="22"/>
        </w:rPr>
      </w:pPr>
      <w:r w:rsidRPr="007E3D1A">
        <w:rPr>
          <w:rFonts w:eastAsia="Arial" w:cs="Arial"/>
          <w:sz w:val="22"/>
        </w:rPr>
        <w:t>Province/Commune/Mairie/Territoire/Quartier :…………………………………………………</w:t>
      </w:r>
    </w:p>
    <w:p w14:paraId="4440C347" w14:textId="77777777" w:rsidR="009021F1" w:rsidRPr="007E3D1A" w:rsidRDefault="009021F1" w:rsidP="009021F1">
      <w:pPr>
        <w:rPr>
          <w:rFonts w:eastAsia="Arial" w:cs="Arial"/>
          <w:sz w:val="22"/>
        </w:rPr>
      </w:pPr>
    </w:p>
    <w:p w14:paraId="039060E3" w14:textId="77777777" w:rsidR="009021F1" w:rsidRPr="007E3D1A" w:rsidRDefault="009021F1" w:rsidP="009021F1">
      <w:pPr>
        <w:rPr>
          <w:rFonts w:eastAsia="Arial" w:cs="Arial"/>
          <w:sz w:val="22"/>
        </w:rPr>
      </w:pPr>
      <w:r w:rsidRPr="007E3D1A">
        <w:rPr>
          <w:rFonts w:eastAsia="Arial" w:cs="Arial"/>
          <w:sz w:val="22"/>
        </w:rPr>
        <w:t>Bien affecté (Culture, Terrain et/ou Immeuble, etc.) :……………………………….</w:t>
      </w:r>
    </w:p>
    <w:p w14:paraId="54E1976A" w14:textId="77777777" w:rsidR="009021F1" w:rsidRPr="007E3D1A" w:rsidRDefault="009021F1" w:rsidP="009021F1">
      <w:pPr>
        <w:rPr>
          <w:rFonts w:eastAsia="Arial" w:cs="Arial"/>
          <w:sz w:val="22"/>
        </w:rPr>
      </w:pPr>
    </w:p>
    <w:p w14:paraId="6D7AAB20" w14:textId="77777777" w:rsidR="009021F1" w:rsidRPr="007E3D1A" w:rsidRDefault="009021F1" w:rsidP="009021F1">
      <w:pPr>
        <w:rPr>
          <w:rFonts w:eastAsia="Arial" w:cs="Arial"/>
          <w:sz w:val="22"/>
        </w:rPr>
      </w:pPr>
      <w:r w:rsidRPr="007E3D1A">
        <w:rPr>
          <w:rFonts w:eastAsia="Arial" w:cs="Arial"/>
          <w:sz w:val="22"/>
        </w:rPr>
        <w:t>3. Description de la plainte</w:t>
      </w:r>
    </w:p>
    <w:p w14:paraId="1603E0DD" w14:textId="77777777" w:rsidR="009021F1" w:rsidRPr="007E3D1A" w:rsidRDefault="009021F1" w:rsidP="009021F1">
      <w:pPr>
        <w:rPr>
          <w:rFonts w:eastAsia="Arial" w:cs="Arial"/>
          <w:sz w:val="22"/>
        </w:rPr>
      </w:pPr>
      <w:r w:rsidRPr="007E3D1A">
        <w:rPr>
          <w:rFonts w:eastAsia="Arial" w:cs="Arial"/>
          <w:sz w:val="22"/>
        </w:rPr>
        <w:t>………………………………………………………………………………………………….</w:t>
      </w:r>
    </w:p>
    <w:p w14:paraId="2DD64A0A" w14:textId="77777777" w:rsidR="009021F1" w:rsidRPr="007E3D1A" w:rsidRDefault="009021F1" w:rsidP="009021F1">
      <w:pPr>
        <w:rPr>
          <w:rFonts w:eastAsia="Arial" w:cs="Arial"/>
          <w:sz w:val="22"/>
        </w:rPr>
      </w:pPr>
      <w:r w:rsidRPr="007E3D1A">
        <w:rPr>
          <w:rFonts w:eastAsia="Arial" w:cs="Arial"/>
          <w:sz w:val="22"/>
        </w:rPr>
        <w:t>……………………………………………………………………………………………………………………………………………………………………………………………………..</w:t>
      </w:r>
    </w:p>
    <w:p w14:paraId="10E32D9D" w14:textId="77777777" w:rsidR="009021F1" w:rsidRPr="007E3D1A" w:rsidRDefault="009021F1" w:rsidP="009021F1">
      <w:pPr>
        <w:rPr>
          <w:rFonts w:eastAsia="Arial" w:cs="Arial"/>
          <w:sz w:val="22"/>
        </w:rPr>
      </w:pPr>
    </w:p>
    <w:p w14:paraId="76599A8D" w14:textId="77777777" w:rsidR="009021F1" w:rsidRPr="007E3D1A" w:rsidRDefault="009021F1" w:rsidP="009021F1">
      <w:pPr>
        <w:rPr>
          <w:rFonts w:eastAsia="Arial" w:cs="Arial"/>
          <w:sz w:val="22"/>
        </w:rPr>
      </w:pPr>
      <w:r w:rsidRPr="007E3D1A">
        <w:rPr>
          <w:rFonts w:eastAsia="Arial" w:cs="Arial"/>
          <w:sz w:val="22"/>
        </w:rPr>
        <w:t>Fait à………………………………., Le…………./…………../………………………</w:t>
      </w:r>
    </w:p>
    <w:p w14:paraId="668B0E1A" w14:textId="77777777" w:rsidR="009021F1" w:rsidRPr="007E3D1A" w:rsidRDefault="009021F1" w:rsidP="009021F1">
      <w:pPr>
        <w:rPr>
          <w:rFonts w:eastAsia="Arial" w:cs="Arial"/>
          <w:sz w:val="22"/>
        </w:rPr>
      </w:pPr>
      <w:r w:rsidRPr="007E3D1A">
        <w:rPr>
          <w:rFonts w:eastAsia="Arial" w:cs="Arial"/>
          <w:sz w:val="22"/>
        </w:rPr>
        <w:t>……………………………………………………….</w:t>
      </w:r>
    </w:p>
    <w:p w14:paraId="7FA8F773" w14:textId="77777777" w:rsidR="009021F1" w:rsidRPr="007E3D1A" w:rsidRDefault="009021F1" w:rsidP="009021F1">
      <w:pPr>
        <w:rPr>
          <w:rFonts w:eastAsia="Arial" w:cs="Arial"/>
          <w:sz w:val="22"/>
        </w:rPr>
      </w:pPr>
    </w:p>
    <w:p w14:paraId="1029E839" w14:textId="77777777" w:rsidR="009021F1" w:rsidRPr="007E3D1A" w:rsidRDefault="009021F1" w:rsidP="009021F1">
      <w:pPr>
        <w:rPr>
          <w:rFonts w:eastAsia="Arial" w:cs="Arial"/>
          <w:sz w:val="22"/>
        </w:rPr>
      </w:pPr>
      <w:r w:rsidRPr="007E3D1A">
        <w:rPr>
          <w:rFonts w:eastAsia="Arial" w:cs="Arial"/>
          <w:sz w:val="22"/>
        </w:rPr>
        <w:t>Signature du/de la plaignant(e)</w:t>
      </w:r>
    </w:p>
    <w:p w14:paraId="32BE867C" w14:textId="77777777" w:rsidR="009021F1" w:rsidRPr="007E3D1A" w:rsidRDefault="009021F1" w:rsidP="009021F1">
      <w:pPr>
        <w:rPr>
          <w:rFonts w:eastAsia="Arial" w:cs="Arial"/>
          <w:sz w:val="22"/>
        </w:rPr>
      </w:pPr>
      <w:r w:rsidRPr="007E3D1A">
        <w:rPr>
          <w:rFonts w:eastAsia="Arial" w:cs="Arial"/>
          <w:sz w:val="22"/>
        </w:rPr>
        <w:t>…………………………………………………………………………………………………..</w:t>
      </w:r>
    </w:p>
    <w:p w14:paraId="523A0A3A" w14:textId="77777777" w:rsidR="009021F1" w:rsidRPr="007E3D1A" w:rsidRDefault="009021F1" w:rsidP="009021F1">
      <w:pPr>
        <w:rPr>
          <w:rFonts w:eastAsia="Arial" w:cs="Arial"/>
          <w:sz w:val="22"/>
        </w:rPr>
      </w:pPr>
    </w:p>
    <w:p w14:paraId="17A74257" w14:textId="77777777" w:rsidR="009021F1" w:rsidRPr="007E3D1A" w:rsidRDefault="009021F1" w:rsidP="009021F1">
      <w:pPr>
        <w:rPr>
          <w:rFonts w:eastAsia="Arial" w:cs="Arial"/>
          <w:sz w:val="22"/>
        </w:rPr>
      </w:pPr>
      <w:r w:rsidRPr="007E3D1A">
        <w:rPr>
          <w:rFonts w:eastAsia="Arial" w:cs="Arial"/>
          <w:sz w:val="22"/>
        </w:rPr>
        <w:t>4. Observations du CGP sur la plainte</w:t>
      </w:r>
    </w:p>
    <w:p w14:paraId="06A8D355" w14:textId="77777777" w:rsidR="009021F1" w:rsidRPr="007E3D1A" w:rsidRDefault="009021F1" w:rsidP="009021F1">
      <w:pPr>
        <w:rPr>
          <w:rFonts w:eastAsia="Arial" w:cs="Arial"/>
          <w:sz w:val="22"/>
        </w:rPr>
      </w:pPr>
      <w:r w:rsidRPr="007E3D1A">
        <w:rPr>
          <w:rFonts w:eastAsia="Arial" w:cs="Arial"/>
          <w:sz w:val="22"/>
        </w:rPr>
        <w:t>………………………………………………………………………………………………….</w:t>
      </w:r>
    </w:p>
    <w:p w14:paraId="15C0218C" w14:textId="77777777" w:rsidR="009021F1" w:rsidRPr="007E3D1A" w:rsidRDefault="009021F1" w:rsidP="009021F1">
      <w:pPr>
        <w:rPr>
          <w:rFonts w:eastAsia="Arial" w:cs="Arial"/>
          <w:sz w:val="22"/>
        </w:rPr>
      </w:pPr>
      <w:r w:rsidRPr="007E3D1A">
        <w:rPr>
          <w:rFonts w:eastAsia="Arial" w:cs="Arial"/>
          <w:sz w:val="22"/>
        </w:rPr>
        <w:t>…………………………………………………………………………………………………..</w:t>
      </w:r>
    </w:p>
    <w:p w14:paraId="06D3BE25" w14:textId="77777777" w:rsidR="009021F1" w:rsidRPr="007E3D1A" w:rsidRDefault="009021F1" w:rsidP="009021F1">
      <w:pPr>
        <w:rPr>
          <w:rFonts w:eastAsia="Arial" w:cs="Arial"/>
          <w:sz w:val="22"/>
        </w:rPr>
      </w:pPr>
      <w:r w:rsidRPr="007E3D1A">
        <w:rPr>
          <w:rFonts w:eastAsia="Arial" w:cs="Arial"/>
          <w:sz w:val="22"/>
        </w:rPr>
        <w:t>…………………………………………………………………………………………………..</w:t>
      </w:r>
    </w:p>
    <w:p w14:paraId="04325375" w14:textId="77777777" w:rsidR="009021F1" w:rsidRPr="007E3D1A" w:rsidRDefault="009021F1" w:rsidP="009021F1">
      <w:pPr>
        <w:rPr>
          <w:rFonts w:eastAsia="Arial" w:cs="Arial"/>
          <w:sz w:val="22"/>
        </w:rPr>
      </w:pPr>
      <w:r w:rsidRPr="007E3D1A">
        <w:rPr>
          <w:rFonts w:eastAsia="Arial" w:cs="Arial"/>
          <w:sz w:val="22"/>
        </w:rPr>
        <w:t>Fait à…......................................, le……………../……………./………………………</w:t>
      </w:r>
    </w:p>
    <w:p w14:paraId="19B863F5" w14:textId="77777777" w:rsidR="009021F1" w:rsidRPr="007E3D1A" w:rsidRDefault="009021F1" w:rsidP="009021F1">
      <w:pPr>
        <w:rPr>
          <w:rFonts w:eastAsia="Arial" w:cs="Arial"/>
          <w:sz w:val="22"/>
        </w:rPr>
      </w:pPr>
    </w:p>
    <w:p w14:paraId="51DF672C" w14:textId="77777777" w:rsidR="009021F1" w:rsidRPr="007E3D1A" w:rsidRDefault="009021F1" w:rsidP="009021F1">
      <w:pPr>
        <w:rPr>
          <w:rFonts w:eastAsia="Arial" w:cs="Arial"/>
          <w:sz w:val="22"/>
        </w:rPr>
      </w:pPr>
      <w:r w:rsidRPr="007E3D1A">
        <w:rPr>
          <w:rFonts w:eastAsia="Arial" w:cs="Arial"/>
          <w:sz w:val="22"/>
        </w:rPr>
        <w:t>…………………………………………………………………………………………………..</w:t>
      </w:r>
    </w:p>
    <w:p w14:paraId="0285F388" w14:textId="77777777" w:rsidR="009021F1" w:rsidRPr="007E3D1A" w:rsidRDefault="009021F1" w:rsidP="009021F1">
      <w:pPr>
        <w:rPr>
          <w:rFonts w:eastAsia="Arial" w:cs="Arial"/>
          <w:sz w:val="22"/>
        </w:rPr>
      </w:pPr>
      <w:r w:rsidRPr="007E3D1A">
        <w:rPr>
          <w:rFonts w:eastAsia="Arial" w:cs="Arial"/>
          <w:sz w:val="22"/>
        </w:rPr>
        <w:t>(Signature du représentant du comité)</w:t>
      </w:r>
    </w:p>
    <w:p w14:paraId="67DC5523" w14:textId="77777777" w:rsidR="009021F1" w:rsidRPr="007E3D1A" w:rsidRDefault="009021F1" w:rsidP="009021F1">
      <w:pPr>
        <w:rPr>
          <w:rFonts w:eastAsia="Arial" w:cs="Arial"/>
          <w:sz w:val="22"/>
        </w:rPr>
      </w:pPr>
    </w:p>
    <w:p w14:paraId="0ABB0A6B" w14:textId="77777777" w:rsidR="009021F1" w:rsidRPr="007E3D1A" w:rsidRDefault="009021F1" w:rsidP="009021F1">
      <w:pPr>
        <w:rPr>
          <w:rFonts w:eastAsia="Arial" w:cs="Arial"/>
          <w:sz w:val="22"/>
        </w:rPr>
      </w:pPr>
      <w:r w:rsidRPr="007E3D1A">
        <w:rPr>
          <w:rFonts w:eastAsia="Arial" w:cs="Arial"/>
          <w:sz w:val="22"/>
        </w:rPr>
        <w:t>5. Réponse du/de la plaignant(e) sur les observations du CGP</w:t>
      </w:r>
    </w:p>
    <w:p w14:paraId="448B682A" w14:textId="77777777" w:rsidR="009021F1" w:rsidRPr="007E3D1A" w:rsidRDefault="009021F1" w:rsidP="009021F1">
      <w:pPr>
        <w:rPr>
          <w:rFonts w:eastAsia="Arial" w:cs="Arial"/>
          <w:sz w:val="22"/>
        </w:rPr>
      </w:pPr>
      <w:r w:rsidRPr="007E3D1A">
        <w:rPr>
          <w:rFonts w:eastAsia="Arial" w:cs="Arial"/>
          <w:sz w:val="22"/>
        </w:rPr>
        <w:t>………………………………………………………………………………………………….</w:t>
      </w:r>
    </w:p>
    <w:p w14:paraId="3327DD10" w14:textId="77777777" w:rsidR="009021F1" w:rsidRPr="007E3D1A" w:rsidRDefault="009021F1" w:rsidP="009021F1">
      <w:pPr>
        <w:rPr>
          <w:rFonts w:eastAsia="Arial" w:cs="Arial"/>
          <w:sz w:val="22"/>
        </w:rPr>
      </w:pPr>
      <w:r w:rsidRPr="007E3D1A">
        <w:rPr>
          <w:rFonts w:eastAsia="Arial" w:cs="Arial"/>
          <w:sz w:val="22"/>
        </w:rPr>
        <w:t>………………………………………………………………………………………………….</w:t>
      </w:r>
    </w:p>
    <w:p w14:paraId="1B58856F" w14:textId="77777777" w:rsidR="009021F1" w:rsidRPr="007E3D1A" w:rsidRDefault="009021F1" w:rsidP="009021F1">
      <w:pPr>
        <w:rPr>
          <w:rFonts w:eastAsia="Arial" w:cs="Arial"/>
          <w:sz w:val="22"/>
        </w:rPr>
      </w:pPr>
      <w:r w:rsidRPr="007E3D1A">
        <w:rPr>
          <w:rFonts w:eastAsia="Arial" w:cs="Arial"/>
          <w:sz w:val="22"/>
        </w:rPr>
        <w:t>…………………………………………………………………………………………………..</w:t>
      </w:r>
    </w:p>
    <w:p w14:paraId="2E03A5E7" w14:textId="77777777" w:rsidR="009021F1" w:rsidRPr="007E3D1A" w:rsidRDefault="009021F1" w:rsidP="009021F1">
      <w:pPr>
        <w:rPr>
          <w:rFonts w:eastAsia="Arial" w:cs="Arial"/>
          <w:sz w:val="22"/>
        </w:rPr>
      </w:pPr>
    </w:p>
    <w:p w14:paraId="5D0059B2" w14:textId="77777777" w:rsidR="009021F1" w:rsidRPr="007E3D1A" w:rsidRDefault="009021F1" w:rsidP="009021F1">
      <w:pPr>
        <w:rPr>
          <w:rFonts w:eastAsia="Arial" w:cs="Arial"/>
          <w:sz w:val="22"/>
        </w:rPr>
      </w:pPr>
      <w:r w:rsidRPr="007E3D1A">
        <w:rPr>
          <w:rFonts w:eastAsia="Arial" w:cs="Arial"/>
          <w:sz w:val="22"/>
        </w:rPr>
        <w:t>Fait à : ……………………………….., le………./………../………………………………...</w:t>
      </w:r>
    </w:p>
    <w:p w14:paraId="717DE624" w14:textId="77777777" w:rsidR="009021F1" w:rsidRPr="007E3D1A" w:rsidRDefault="009021F1" w:rsidP="009021F1">
      <w:pPr>
        <w:rPr>
          <w:rFonts w:eastAsia="Arial" w:cs="Arial"/>
          <w:sz w:val="22"/>
        </w:rPr>
      </w:pPr>
    </w:p>
    <w:p w14:paraId="05F2E32D" w14:textId="77777777" w:rsidR="009021F1" w:rsidRPr="007E3D1A" w:rsidRDefault="009021F1" w:rsidP="009021F1">
      <w:pPr>
        <w:rPr>
          <w:rFonts w:eastAsia="Arial" w:cs="Arial"/>
          <w:sz w:val="22"/>
        </w:rPr>
      </w:pPr>
      <w:r w:rsidRPr="007E3D1A">
        <w:rPr>
          <w:rFonts w:eastAsia="Arial" w:cs="Arial"/>
          <w:sz w:val="22"/>
        </w:rPr>
        <w:t>…………………………………………………………………………………………………..</w:t>
      </w:r>
    </w:p>
    <w:p w14:paraId="5201DEA2" w14:textId="77777777" w:rsidR="009021F1" w:rsidRPr="007E3D1A" w:rsidRDefault="009021F1" w:rsidP="009021F1">
      <w:pPr>
        <w:rPr>
          <w:rFonts w:eastAsia="Arial" w:cs="Arial"/>
          <w:sz w:val="22"/>
        </w:rPr>
      </w:pPr>
      <w:r w:rsidRPr="007E3D1A">
        <w:rPr>
          <w:rFonts w:eastAsia="Arial" w:cs="Arial"/>
          <w:sz w:val="22"/>
        </w:rPr>
        <w:t>Signature du/de la plaignant(e)</w:t>
      </w:r>
    </w:p>
    <w:p w14:paraId="2CC6C9EA" w14:textId="77777777" w:rsidR="009021F1" w:rsidRPr="007E3D1A" w:rsidRDefault="009021F1" w:rsidP="009021F1">
      <w:pPr>
        <w:rPr>
          <w:rFonts w:eastAsia="Arial" w:cs="Arial"/>
          <w:sz w:val="22"/>
        </w:rPr>
      </w:pPr>
    </w:p>
    <w:p w14:paraId="613CE069" w14:textId="77777777" w:rsidR="009021F1" w:rsidRPr="007E3D1A" w:rsidRDefault="009021F1" w:rsidP="009021F1">
      <w:pPr>
        <w:rPr>
          <w:rFonts w:eastAsia="Arial" w:cs="Arial"/>
          <w:sz w:val="22"/>
        </w:rPr>
      </w:pPr>
      <w:r w:rsidRPr="007E3D1A">
        <w:rPr>
          <w:rFonts w:eastAsia="Arial" w:cs="Arial"/>
          <w:sz w:val="22"/>
        </w:rPr>
        <w:t>6. Résolution proposée de commun accord avec plaignant(e)</w:t>
      </w:r>
    </w:p>
    <w:p w14:paraId="777A0424" w14:textId="77777777" w:rsidR="009021F1" w:rsidRPr="007E3D1A" w:rsidRDefault="009021F1" w:rsidP="009021F1">
      <w:pPr>
        <w:rPr>
          <w:rFonts w:eastAsia="Arial" w:cs="Arial"/>
          <w:sz w:val="22"/>
        </w:rPr>
      </w:pPr>
      <w:r w:rsidRPr="007E3D1A">
        <w:rPr>
          <w:rFonts w:eastAsia="Arial" w:cs="Arial"/>
          <w:sz w:val="22"/>
        </w:rPr>
        <w:t>………………………………………………………………………………………………</w:t>
      </w:r>
    </w:p>
    <w:p w14:paraId="1EFDDDC7" w14:textId="77777777" w:rsidR="009021F1" w:rsidRPr="007E3D1A" w:rsidRDefault="009021F1" w:rsidP="009021F1">
      <w:pPr>
        <w:rPr>
          <w:rFonts w:eastAsia="Arial" w:cs="Arial"/>
          <w:sz w:val="22"/>
        </w:rPr>
      </w:pPr>
      <w:r w:rsidRPr="007E3D1A">
        <w:rPr>
          <w:rFonts w:eastAsia="Arial" w:cs="Arial"/>
          <w:sz w:val="22"/>
        </w:rPr>
        <w:t>……………………………………………………………………………………………….</w:t>
      </w:r>
    </w:p>
    <w:p w14:paraId="0C31E926" w14:textId="77777777" w:rsidR="009021F1" w:rsidRPr="007E3D1A" w:rsidRDefault="009021F1" w:rsidP="009021F1">
      <w:pPr>
        <w:rPr>
          <w:rFonts w:eastAsia="Arial" w:cs="Arial"/>
          <w:sz w:val="22"/>
        </w:rPr>
      </w:pPr>
    </w:p>
    <w:p w14:paraId="71C9FFB6" w14:textId="77777777" w:rsidR="009021F1" w:rsidRPr="007E3D1A" w:rsidRDefault="009021F1" w:rsidP="009021F1">
      <w:pPr>
        <w:rPr>
          <w:rFonts w:eastAsia="Arial" w:cs="Arial"/>
          <w:sz w:val="22"/>
        </w:rPr>
      </w:pPr>
      <w:r w:rsidRPr="007E3D1A">
        <w:rPr>
          <w:rFonts w:eastAsia="Arial" w:cs="Arial"/>
          <w:sz w:val="22"/>
        </w:rPr>
        <w:t>Fait à : ……………………………, le …………../……………./…………………………</w:t>
      </w:r>
    </w:p>
    <w:p w14:paraId="6D63F010" w14:textId="77777777" w:rsidR="009021F1" w:rsidRPr="007E3D1A" w:rsidRDefault="009021F1" w:rsidP="009021F1">
      <w:pPr>
        <w:rPr>
          <w:rFonts w:eastAsia="Arial" w:cs="Arial"/>
          <w:sz w:val="22"/>
        </w:rPr>
      </w:pPr>
    </w:p>
    <w:p w14:paraId="2DFD74E6" w14:textId="77777777" w:rsidR="009021F1" w:rsidRPr="007E3D1A" w:rsidRDefault="009021F1" w:rsidP="009021F1">
      <w:pPr>
        <w:rPr>
          <w:rFonts w:eastAsia="Arial" w:cs="Arial"/>
          <w:sz w:val="22"/>
        </w:rPr>
      </w:pPr>
    </w:p>
    <w:p w14:paraId="6F7A625C" w14:textId="77777777" w:rsidR="009021F1" w:rsidRPr="007E3D1A" w:rsidRDefault="009021F1" w:rsidP="009021F1">
      <w:pPr>
        <w:rPr>
          <w:rFonts w:eastAsia="Arial" w:cs="Arial"/>
          <w:sz w:val="22"/>
        </w:rPr>
      </w:pPr>
      <w:r w:rsidRPr="007E3D1A">
        <w:rPr>
          <w:rFonts w:eastAsia="Arial" w:cs="Arial"/>
          <w:sz w:val="22"/>
        </w:rPr>
        <w:t xml:space="preserve">Signature du représentant du CGP </w:t>
      </w:r>
      <w:r w:rsidRPr="007E3D1A">
        <w:rPr>
          <w:rFonts w:eastAsia="Arial" w:cs="Arial"/>
          <w:sz w:val="22"/>
        </w:rPr>
        <w:tab/>
        <w:t>Signature du/de la plaignant(e)</w:t>
      </w:r>
    </w:p>
    <w:p w14:paraId="451C5636" w14:textId="77777777" w:rsidR="009021F1" w:rsidRPr="007E3D1A" w:rsidRDefault="009021F1" w:rsidP="009021F1">
      <w:pPr>
        <w:rPr>
          <w:rFonts w:eastAsia="Arial" w:cs="Arial"/>
          <w:sz w:val="22"/>
        </w:rPr>
      </w:pPr>
    </w:p>
    <w:p w14:paraId="67CFDB11" w14:textId="3FE12E25" w:rsidR="009021F1" w:rsidRPr="00372F9C" w:rsidRDefault="009021F1" w:rsidP="009021F1">
      <w:pPr>
        <w:ind w:left="1418" w:hanging="1418"/>
        <w:rPr>
          <w:rFonts w:cs="Arial"/>
          <w:b/>
          <w:bCs/>
          <w:sz w:val="22"/>
        </w:rPr>
      </w:pPr>
      <w:r w:rsidRPr="007E3D1A">
        <w:rPr>
          <w:rFonts w:eastAsia="Arial" w:cs="Arial"/>
          <w:sz w:val="22"/>
        </w:rPr>
        <w:br w:type="page"/>
      </w:r>
      <w:r w:rsidRPr="00372F9C">
        <w:rPr>
          <w:rFonts w:cs="Arial"/>
          <w:b/>
          <w:bCs/>
          <w:sz w:val="22"/>
        </w:rPr>
        <w:t xml:space="preserve">ANNEXE 13. CONSIDÉRATIONS SUR LE COVID-19 A PRENDRE EN COMPTE </w:t>
      </w:r>
    </w:p>
    <w:p w14:paraId="2C141995" w14:textId="77777777" w:rsidR="009021F1" w:rsidRPr="00372F9C" w:rsidRDefault="009021F1" w:rsidP="009021F1">
      <w:pPr>
        <w:ind w:left="1418" w:hanging="1418"/>
        <w:rPr>
          <w:rFonts w:cs="Arial"/>
          <w:b/>
          <w:bCs/>
          <w:sz w:val="22"/>
        </w:rPr>
      </w:pPr>
      <w:r w:rsidRPr="00372F9C">
        <w:rPr>
          <w:rFonts w:cs="Arial"/>
          <w:b/>
          <w:bCs/>
          <w:sz w:val="22"/>
        </w:rPr>
        <w:t>DANS LES PROJETS DE CONSTRUCTION / TRAVAUX CIVILS</w:t>
      </w:r>
    </w:p>
    <w:p w14:paraId="1A262D04" w14:textId="77777777" w:rsidR="009021F1" w:rsidRPr="007E3D1A" w:rsidRDefault="009021F1" w:rsidP="009021F1">
      <w:pPr>
        <w:rPr>
          <w:rFonts w:cs="Arial"/>
          <w:sz w:val="22"/>
        </w:rPr>
      </w:pPr>
    </w:p>
    <w:p w14:paraId="4599BBA8" w14:textId="77777777" w:rsidR="009021F1" w:rsidRPr="007E3D1A" w:rsidRDefault="009021F1" w:rsidP="009021F1">
      <w:pPr>
        <w:rPr>
          <w:rFonts w:cs="Arial"/>
          <w:sz w:val="22"/>
        </w:rPr>
      </w:pPr>
      <w:r w:rsidRPr="007E3D1A">
        <w:rPr>
          <w:rFonts w:cs="Arial"/>
          <w:sz w:val="22"/>
        </w:rPr>
        <w:t xml:space="preserve">INTRODUCTION </w:t>
      </w:r>
    </w:p>
    <w:p w14:paraId="35C107A1" w14:textId="77777777" w:rsidR="009021F1" w:rsidRPr="007E3D1A" w:rsidRDefault="009021F1" w:rsidP="009021F1">
      <w:pPr>
        <w:rPr>
          <w:rFonts w:cs="Arial"/>
          <w:sz w:val="22"/>
        </w:rPr>
      </w:pPr>
      <w:r w:rsidRPr="007E3D1A">
        <w:rPr>
          <w:rFonts w:cs="Arial"/>
          <w:sz w:val="22"/>
        </w:rPr>
        <w:t xml:space="preserve">La pandémie de COVID-19 présente aux gouvernements des défis sans précédent. Pour résoudre les problèmes liés à cette pandémie dans les projets de construction, il faut commencer par reconnaître que ce n'est pas comme d'habitude et que les circonstances nécessitent une conception de gestion réactive très adaptative pour éviter, minimiser et gérer ce qui pourrait être une situation en évolution rapide. Dans de nombreux projets, des mesures visant à éviter ou à réduire au minimum devront être mises en œuvre en même temps que la prise en charge des travailleurs malades et les relations avec la communauté, dont certains peuvent également être malades ou préoccupés par une infection. Ainsi, cette annexe est destinée à fournir des orientations pour aider les Unités de Gestion des Projets (UGP) à résoudre les problèmes clés associés à COVID-19. </w:t>
      </w:r>
    </w:p>
    <w:p w14:paraId="494E7F08" w14:textId="77777777" w:rsidR="009021F1" w:rsidRPr="007E3D1A" w:rsidRDefault="009021F1" w:rsidP="009021F1">
      <w:pPr>
        <w:rPr>
          <w:rFonts w:cs="Arial"/>
          <w:sz w:val="22"/>
        </w:rPr>
      </w:pPr>
    </w:p>
    <w:p w14:paraId="636C440D" w14:textId="77777777" w:rsidR="009021F1" w:rsidRPr="007E3D1A" w:rsidRDefault="009021F1" w:rsidP="009021F1">
      <w:pPr>
        <w:rPr>
          <w:rFonts w:cs="Arial"/>
          <w:sz w:val="22"/>
        </w:rPr>
      </w:pPr>
      <w:r w:rsidRPr="007E3D1A">
        <w:rPr>
          <w:rFonts w:cs="Arial"/>
          <w:sz w:val="22"/>
        </w:rPr>
        <w:t>QUELLE PLANIFICATION DEVRAIT FAIRE L’UNITE DE GESTION DU PROJET ?</w:t>
      </w:r>
    </w:p>
    <w:p w14:paraId="4B7B8103" w14:textId="77777777" w:rsidR="009021F1" w:rsidRPr="007E3D1A" w:rsidRDefault="009021F1" w:rsidP="009021F1">
      <w:pPr>
        <w:rPr>
          <w:rFonts w:cs="Arial"/>
          <w:sz w:val="22"/>
        </w:rPr>
      </w:pPr>
      <w:r w:rsidRPr="007E3D1A">
        <w:rPr>
          <w:rFonts w:cs="Arial"/>
          <w:sz w:val="22"/>
        </w:rPr>
        <w:t xml:space="preserve">L’Unité de Gestion du Projet (UGP) doivent s’assurer (i) de prendre des précautions adéquates dans le projet pour prévenir ou minimiser l’épidémie de COVID-19, et (ii) identifier ce qu’il faut faire en cas d’épidémie. Voici des suggestions sur la façon de procéder : </w:t>
      </w:r>
    </w:p>
    <w:p w14:paraId="5C112535" w14:textId="77777777" w:rsidR="009021F1" w:rsidRPr="007E3D1A" w:rsidRDefault="009021F1" w:rsidP="009021F1">
      <w:pPr>
        <w:rPr>
          <w:rFonts w:cs="Arial"/>
          <w:sz w:val="22"/>
        </w:rPr>
      </w:pPr>
      <w:r w:rsidRPr="007E3D1A">
        <w:rPr>
          <w:rFonts w:cs="Arial"/>
          <w:sz w:val="22"/>
        </w:rPr>
        <w:t>L’UGP doit demander par écrit au contractant les détails des mesures prises pour faire face aux risques de COVID-19. De ce fait, le contrat de construction doit inclure des exigences en matière de santé et de sécurité, et celles-ci peuvent être utilisées comme base pour l'identification et les exigences de mise en œuvre des mesures spécifiques COVID-19. Les mesures peuvent être présentées comme un plan d'urgence, comme une extension du plan d'urgence et de préparation du projet existant ou comme des procédures autonomes. Les mesures peuvent se refléter dans les révisions du manuel de santé et de sécurité du projet. Cette demande doit être faite par écrit (en suivant toute procédure pertinente prévue dans le contrat entre l'Emprunteur et le contractant).</w:t>
      </w:r>
    </w:p>
    <w:p w14:paraId="18CD4948" w14:textId="77777777" w:rsidR="009021F1" w:rsidRPr="007E3D1A" w:rsidRDefault="009021F1" w:rsidP="009021F1">
      <w:pPr>
        <w:rPr>
          <w:rFonts w:cs="Arial"/>
          <w:sz w:val="22"/>
        </w:rPr>
      </w:pPr>
      <w:r w:rsidRPr="007E3D1A">
        <w:rPr>
          <w:rFonts w:cs="Arial"/>
          <w:sz w:val="22"/>
        </w:rPr>
        <w:t xml:space="preserve">Lors de la demande, il peut être utile pour l’UGP de spécifier les domaines qui devraient être couverts. Cela devrait inclure les éléments énoncés dans la section 3 ci-dessous et tenir compte des orientations actuelles et pertinentes fournies par les autorités nationales, l'OMS et d'autres organisations. </w:t>
      </w:r>
    </w:p>
    <w:p w14:paraId="16811FA2" w14:textId="77777777" w:rsidR="009021F1" w:rsidRPr="007E3D1A" w:rsidRDefault="009021F1" w:rsidP="009021F1">
      <w:pPr>
        <w:rPr>
          <w:rFonts w:cs="Arial"/>
          <w:sz w:val="22"/>
        </w:rPr>
      </w:pPr>
      <w:r w:rsidRPr="007E3D1A">
        <w:rPr>
          <w:rFonts w:cs="Arial"/>
          <w:sz w:val="22"/>
        </w:rPr>
        <w:t>L’UGP devrait exiger que le contractant convoque des réunions régulières avec les spécialistes de la santé et de la sécurité du projet et le personnel médical (et, le cas échéant, les autorités sanitaires locales), et de prendre leurs conseils dans la conception et la mise en œuvre des mesures convenues.</w:t>
      </w:r>
    </w:p>
    <w:p w14:paraId="72A74079" w14:textId="77777777" w:rsidR="009021F1" w:rsidRPr="007E3D1A" w:rsidRDefault="009021F1" w:rsidP="009021F1">
      <w:pPr>
        <w:rPr>
          <w:rFonts w:cs="Arial"/>
          <w:sz w:val="22"/>
        </w:rPr>
      </w:pPr>
      <w:r w:rsidRPr="007E3D1A">
        <w:rPr>
          <w:rFonts w:cs="Arial"/>
          <w:sz w:val="22"/>
        </w:rPr>
        <w:t>Dans la mesure du possible, une personne devrait être identifiée parmi le personnel de l’entreprise comme point focal pour traiter les problèmes liés au COVID-19. Il pourrait s’agir d’un superviseur de travail ou du chargé des aspects ESS (Environnement, santé et sécurité). Cette personne peut être chargée de coordonner la préparation du site et de s'assurer que les mesures prises sont communiquées aux travailleurs, à ceux qui entrent sur le site et à la communauté locale. Il est également conseillé de désigner au moins une personne de secours, au cas où le point focal tombe malade; cette personne doit être au courant des dispositions en place.</w:t>
      </w:r>
    </w:p>
    <w:p w14:paraId="15614BC2" w14:textId="77777777" w:rsidR="009021F1" w:rsidRPr="007E3D1A" w:rsidRDefault="009021F1" w:rsidP="009021F1">
      <w:pPr>
        <w:rPr>
          <w:rFonts w:cs="Arial"/>
          <w:sz w:val="22"/>
        </w:rPr>
      </w:pPr>
      <w:r w:rsidRPr="007E3D1A">
        <w:rPr>
          <w:rFonts w:cs="Arial"/>
          <w:sz w:val="22"/>
        </w:rPr>
        <w:t>Sur les sites où il y a un certain nombre d'entrepreneurs et donc (en fait) des effectifs différents, la demande devrait souligner l'importance de la coordination et de la communication entre les différentes parties. Le cas échéant, l’UGP devrait demander au contractant principal de mettre en place un protocole pour les réunions régulières des différents contractants, exigeant que chacun nomme un membre du personnel désigné (avec un remplaçant) pour assister à ces réunions. Si les réunions ne peuvent pas avoir lieu en personne, elles doivent être menées à l'aide de l'informatique disponible. L'efficacité des mesures d'atténuation dépendra de l’implication de toutes les parties, et il est donc important que tous les contractants et sous-traitants comprennent les risques et la procédure à suivre.</w:t>
      </w:r>
    </w:p>
    <w:p w14:paraId="50A4173C" w14:textId="77777777" w:rsidR="009021F1" w:rsidRPr="007E3D1A" w:rsidRDefault="009021F1" w:rsidP="009021F1">
      <w:pPr>
        <w:rPr>
          <w:rFonts w:cs="Arial"/>
          <w:sz w:val="22"/>
        </w:rPr>
      </w:pPr>
      <w:r w:rsidRPr="007E3D1A">
        <w:rPr>
          <w:rFonts w:cs="Arial"/>
          <w:sz w:val="22"/>
        </w:rPr>
        <w:t>L’UGP, soit directement, soit par l'intermédiaire du bureau de contrôle, peut apporter un soutien aux projets pour identifier les mesures d'atténuation appropriées, en particulier lorsque celles-ci impliqueront une interface avec les services locaux, en particulier les services de santé et d'urgence. Dans de nombreux cas, l’UGP peut jouer un rôle précieux en connectant les représentants du projet avec les agences gouvernementales locales et en aidant à coordonner une réponse stratégique, qui prend en compte la disponibilité des ressources. Pour être plus efficaces, les projets doivent consulter et coordonner les agences gouvernementales compétentes et d'autres projets à proximité.</w:t>
      </w:r>
    </w:p>
    <w:p w14:paraId="421C36C2" w14:textId="77777777" w:rsidR="009021F1" w:rsidRPr="007E3D1A" w:rsidRDefault="009021F1" w:rsidP="009021F1">
      <w:pPr>
        <w:rPr>
          <w:rFonts w:cs="Arial"/>
          <w:sz w:val="22"/>
        </w:rPr>
      </w:pPr>
      <w:r w:rsidRPr="007E3D1A">
        <w:rPr>
          <w:rFonts w:cs="Arial"/>
          <w:sz w:val="22"/>
        </w:rPr>
        <w:t>Les travailleurs devraient être encouragés à utiliser le mécanisme de règlement des griefs du projet pour signaler les préoccupations liées à COVID-19, les préparatifs en cours d'élaboration par le projet pour résoudre les problèmes liés à COVID-19, la façon dont les procédures sont mises en œuvre et les préoccupations concernant la santé de leurs collègues et autre personnel.</w:t>
      </w:r>
    </w:p>
    <w:p w14:paraId="4F6D81C6" w14:textId="77777777" w:rsidR="009021F1" w:rsidRPr="007E3D1A" w:rsidRDefault="009021F1" w:rsidP="009021F1">
      <w:pPr>
        <w:rPr>
          <w:rFonts w:cs="Arial"/>
          <w:sz w:val="22"/>
        </w:rPr>
      </w:pPr>
    </w:p>
    <w:p w14:paraId="371865D7" w14:textId="77777777" w:rsidR="009021F1" w:rsidRPr="007E3D1A" w:rsidRDefault="009021F1" w:rsidP="009021F1">
      <w:pPr>
        <w:rPr>
          <w:rFonts w:cs="Arial"/>
          <w:sz w:val="22"/>
        </w:rPr>
      </w:pPr>
      <w:r w:rsidRPr="007E3D1A">
        <w:rPr>
          <w:rFonts w:cs="Arial"/>
          <w:sz w:val="22"/>
        </w:rPr>
        <w:t>QUE DEVRAIT COUVRIR LE CONTRACTANT ?</w:t>
      </w:r>
    </w:p>
    <w:p w14:paraId="3E07CBF0" w14:textId="77777777" w:rsidR="009021F1" w:rsidRPr="007E3D1A" w:rsidRDefault="009021F1" w:rsidP="009021F1">
      <w:pPr>
        <w:rPr>
          <w:rFonts w:cs="Arial"/>
          <w:sz w:val="22"/>
        </w:rPr>
      </w:pPr>
      <w:r w:rsidRPr="007E3D1A">
        <w:rPr>
          <w:rFonts w:cs="Arial"/>
          <w:sz w:val="22"/>
        </w:rPr>
        <w:t>Le contractant devrait identifier des mesures pour faire face à la situation du COVID-19. Ce qui sera possible dépendra du contexte du projet : l'emplacement, les ressources existantes du projet, la disponibilité des fournitures, la capacité des services d'urgence / de santé locaux, la mesure dans laquelle le virus existe déjà dans la zone. Une approche systématique de la planification, reconnaissant les défis associés à l'évolution rapide des circonstances, aidera le projet à mettre en place les meilleures mesures possibles pour faire face à la situation. Comme indiqué ci-dessus, les mesures visant à lutter contre le COVID-19 peuvent être présentées de différentes manières (en tant que plan d'urgence, en tant qu'extension du plan d'urgence et de préparation du projet existant ou en tant que procédures autonomes). Les UGP et les contractants doivent se référer aux directives émises par les autorités compétentes, tant nationales qu'internationales (par exemple l'OMS), qui sont régulièrement mises à jour (voir des exemples de références et de liens fournis en annexe).</w:t>
      </w:r>
    </w:p>
    <w:p w14:paraId="4C278011" w14:textId="77777777" w:rsidR="009021F1" w:rsidRPr="007E3D1A" w:rsidRDefault="009021F1" w:rsidP="009021F1">
      <w:pPr>
        <w:rPr>
          <w:rFonts w:cs="Arial"/>
          <w:sz w:val="22"/>
        </w:rPr>
      </w:pPr>
      <w:r w:rsidRPr="007E3D1A">
        <w:rPr>
          <w:rFonts w:cs="Arial"/>
          <w:sz w:val="22"/>
        </w:rPr>
        <w:t>Le traitement de COVID-19 sur un site de projet va au-delà de la santé et de la sécurité au travail et est une question de projet plus large qui nécessitera la participation de différents membres d'une équipe de gestion de projet. Dans de nombreux cas, l'approche la plus efficace consistera à établir des procédures pour résoudre les problèmes, puis à veiller à ce que ces procédures soient systématiquement mises en œuvre. Le cas échéant, compte tenu du contexte du projet, une équipe désignée doit être mise en place pour traiter les problèmes liés au COVID-19, y compris les représentants de l’UGP, le bureau de contrôle, la gestion (par exemple le chef de projet) du contractant et des sous-traitants, la sécurité et les professionnels de la santé et de la santé et sécurité au travail. Les procédures doivent être claires et simples, améliorées si nécessaire, et supervisées et contrôlées par le ou les points focaux COVID-19. Les procédures doivent être documentées, distribuées à tous les contractants et discutées lors de réunions régulières pour faciliter la gestion adaptative. Les problèmes énoncés ci-dessous comprennent un certain nombre qui représentent une bonne gestion attendue du lieu de travail, mais sont particulièrement pertinents pour préparer la réponse du projet à COVID-19.</w:t>
      </w:r>
    </w:p>
    <w:p w14:paraId="2268E9C3" w14:textId="77777777" w:rsidR="009021F1" w:rsidRPr="007E3D1A" w:rsidRDefault="009021F1" w:rsidP="009021F1">
      <w:pPr>
        <w:rPr>
          <w:rFonts w:cs="Arial"/>
          <w:sz w:val="22"/>
        </w:rPr>
      </w:pPr>
    </w:p>
    <w:p w14:paraId="2DDCB2A9" w14:textId="77777777" w:rsidR="009021F1" w:rsidRPr="007E3D1A" w:rsidRDefault="009021F1" w:rsidP="009021F1">
      <w:pPr>
        <w:rPr>
          <w:rFonts w:cs="Arial"/>
          <w:sz w:val="22"/>
        </w:rPr>
      </w:pPr>
      <w:r w:rsidRPr="007E3D1A">
        <w:rPr>
          <w:rFonts w:cs="Arial"/>
          <w:sz w:val="22"/>
        </w:rPr>
        <w:t>Evaluation des caractéristiques de la main d’œuvre</w:t>
      </w:r>
    </w:p>
    <w:p w14:paraId="06BEC88D" w14:textId="77777777" w:rsidR="009021F1" w:rsidRPr="007E3D1A" w:rsidRDefault="009021F1" w:rsidP="009021F1">
      <w:pPr>
        <w:rPr>
          <w:rFonts w:cs="Arial"/>
          <w:sz w:val="22"/>
        </w:rPr>
      </w:pPr>
      <w:r w:rsidRPr="007E3D1A">
        <w:rPr>
          <w:rFonts w:cs="Arial"/>
          <w:sz w:val="22"/>
        </w:rPr>
        <w:t>De nombreux chantiers de construction auront un mélange de travailleurs, par exemple les travailleurs des communautés locales ; les travailleurs d'une autre partie du pays ; travailleurs d'un autre pays. Les travailleurs seront employés selon des conditions différentes et seront logés de différentes manières. L'évaluation de ces différents aspects de la main-d'œuvre aidera à identifier les mesures d'atténuation appropriées :</w:t>
      </w:r>
    </w:p>
    <w:p w14:paraId="602083D1" w14:textId="77777777" w:rsidR="009021F1" w:rsidRPr="007E3D1A" w:rsidRDefault="009021F1" w:rsidP="009021F1">
      <w:pPr>
        <w:rPr>
          <w:rFonts w:cs="Arial"/>
          <w:sz w:val="22"/>
        </w:rPr>
      </w:pPr>
      <w:r w:rsidRPr="007E3D1A">
        <w:rPr>
          <w:rFonts w:cs="Arial"/>
          <w:sz w:val="22"/>
        </w:rPr>
        <w:t>Le contracteur doit préparer un profil détaillé de l'effectif du projet, des activités de travail clés, du calendrier d'exécution de ces activités, des durées de contrat et des rotations différentes (par exemple, 4 semaines de travail, 4 semaines de congé). Cela devrait inclure une ventilation des travailleurs qui résident à la maison (c'est-à-dire des travailleurs de la communauté), des travailleurs qui logent dans la communauté locale et des travailleurs dans un logement sur place. Dans la mesure du possible, il devrait également identifier les travailleurs qui peuvent être plus à risque de COVID-19, ceux qui ont des problèmes de santé sous-jacents ou qui sont autrement à risque.</w:t>
      </w:r>
    </w:p>
    <w:p w14:paraId="5A6DC469" w14:textId="77777777" w:rsidR="009021F1" w:rsidRPr="007E3D1A" w:rsidRDefault="009021F1" w:rsidP="009021F1">
      <w:pPr>
        <w:rPr>
          <w:rFonts w:cs="Arial"/>
          <w:sz w:val="22"/>
        </w:rPr>
      </w:pPr>
      <w:r w:rsidRPr="007E3D1A">
        <w:rPr>
          <w:rFonts w:cs="Arial"/>
          <w:sz w:val="22"/>
        </w:rPr>
        <w:t>Il faudrait envisager les moyens de minimiser les déplacements à l'intérieur et à l'extérieur du site. Cela pourrait inclure l'allongement de la durée des contrats existants, afin d'éviter que les travailleurs ne rentrent chez eux dans les zones touchées ou ne reviennent sur le site depuis les zones touchées.</w:t>
      </w:r>
    </w:p>
    <w:p w14:paraId="4014E808" w14:textId="77777777" w:rsidR="009021F1" w:rsidRPr="007E3D1A" w:rsidRDefault="009021F1" w:rsidP="009021F1">
      <w:pPr>
        <w:rPr>
          <w:rFonts w:cs="Arial"/>
          <w:sz w:val="22"/>
        </w:rPr>
      </w:pPr>
      <w:r w:rsidRPr="007E3D1A">
        <w:rPr>
          <w:rFonts w:cs="Arial"/>
          <w:sz w:val="22"/>
        </w:rPr>
        <w:t>Les travailleurs hébergés sur le site devraient être tenus de minimiser les contacts avec les personnes à proximité du site, et dans certains cas, être interdits de quitter le site pour la durée de leur contrat, afin d'éviter tout contact avec les communautés locales.</w:t>
      </w:r>
    </w:p>
    <w:p w14:paraId="7D16465B" w14:textId="77777777" w:rsidR="009021F1" w:rsidRPr="007E3D1A" w:rsidRDefault="009021F1" w:rsidP="009021F1">
      <w:pPr>
        <w:rPr>
          <w:rFonts w:cs="Arial"/>
          <w:sz w:val="22"/>
        </w:rPr>
      </w:pPr>
      <w:r w:rsidRPr="007E3D1A">
        <w:rPr>
          <w:rFonts w:cs="Arial"/>
          <w:sz w:val="22"/>
        </w:rPr>
        <w:t>Il faudrait envisager d'obliger les travailleurs hébergés dans la communauté locale à déménager dans un lieu d'hébergement (sous réserve de disponibilité) où ils seraient soumis aux mêmes restrictions.</w:t>
      </w:r>
    </w:p>
    <w:p w14:paraId="5A960DE3" w14:textId="77777777" w:rsidR="009021F1" w:rsidRPr="007E3D1A" w:rsidRDefault="009021F1" w:rsidP="009021F1">
      <w:pPr>
        <w:rPr>
          <w:rFonts w:cs="Arial"/>
          <w:sz w:val="22"/>
        </w:rPr>
      </w:pPr>
      <w:r w:rsidRPr="007E3D1A">
        <w:rPr>
          <w:rFonts w:cs="Arial"/>
          <w:sz w:val="22"/>
        </w:rPr>
        <w:t>Les travailleurs des communautés locales, qui rentrent chez eux quotidiennement, hebdomadairement ou mensuellement, seront plus difficiles à gérer. Ils devraient être soumis à des contrôles de santé à l'entrée du site (comme indiqué ci-dessus) et à un moment donné, les circonstances peuvent nécessiter de les obliger à utiliser l'hébergement sur le site ou à ne pas venir travailler.</w:t>
      </w:r>
    </w:p>
    <w:p w14:paraId="499FAEFB" w14:textId="77777777" w:rsidR="009021F1" w:rsidRPr="007E3D1A" w:rsidRDefault="009021F1" w:rsidP="009021F1">
      <w:pPr>
        <w:rPr>
          <w:rFonts w:cs="Arial"/>
          <w:sz w:val="22"/>
        </w:rPr>
      </w:pPr>
    </w:p>
    <w:p w14:paraId="0E08B425" w14:textId="77777777" w:rsidR="009021F1" w:rsidRPr="007E3D1A" w:rsidRDefault="009021F1" w:rsidP="009021F1">
      <w:pPr>
        <w:rPr>
          <w:rFonts w:cs="Arial"/>
          <w:sz w:val="22"/>
        </w:rPr>
      </w:pPr>
      <w:r w:rsidRPr="007E3D1A">
        <w:rPr>
          <w:rFonts w:cs="Arial"/>
          <w:sz w:val="22"/>
        </w:rPr>
        <w:t>Entrée/Sortie sur le lieu de travail et contrôles de début des travaux</w:t>
      </w:r>
    </w:p>
    <w:p w14:paraId="7EF3A490" w14:textId="77777777" w:rsidR="009021F1" w:rsidRPr="007E3D1A" w:rsidRDefault="009021F1" w:rsidP="009021F1">
      <w:pPr>
        <w:rPr>
          <w:rFonts w:cs="Arial"/>
          <w:sz w:val="22"/>
        </w:rPr>
      </w:pPr>
      <w:r w:rsidRPr="007E3D1A">
        <w:rPr>
          <w:rFonts w:cs="Arial"/>
          <w:sz w:val="22"/>
        </w:rPr>
        <w:t>L'entrée / sortie sur le chantier doit être contrôlée et documentée pour les travailleurs et les autres parties, y compris le personnel de soutien et les fournisseurs. Les mesures possibles peuvent inclure :</w:t>
      </w:r>
    </w:p>
    <w:p w14:paraId="63FD2032" w14:textId="77777777" w:rsidR="009021F1" w:rsidRPr="007E3D1A" w:rsidRDefault="009021F1" w:rsidP="009021F1">
      <w:pPr>
        <w:rPr>
          <w:rFonts w:cs="Arial"/>
          <w:sz w:val="22"/>
        </w:rPr>
      </w:pPr>
      <w:r w:rsidRPr="007E3D1A">
        <w:rPr>
          <w:rFonts w:cs="Arial"/>
          <w:sz w:val="22"/>
        </w:rPr>
        <w:t>Mettre en place un système de contrôle des entrées / sorties sur le site, sécuriser les limites du site, et établir des points d'entrée / sortie (s'ils n'existent pas déjà). L'entrée / sortie sur le site doit être documentée.</w:t>
      </w:r>
    </w:p>
    <w:p w14:paraId="00C90FFC" w14:textId="77777777" w:rsidR="009021F1" w:rsidRPr="007E3D1A" w:rsidRDefault="009021F1" w:rsidP="009021F1">
      <w:pPr>
        <w:rPr>
          <w:rFonts w:cs="Arial"/>
          <w:sz w:val="22"/>
        </w:rPr>
      </w:pPr>
      <w:r w:rsidRPr="007E3D1A">
        <w:rPr>
          <w:rFonts w:cs="Arial"/>
          <w:sz w:val="22"/>
        </w:rPr>
        <w:t>Former le personnel de sécurité sur le système (amélioré) qui a été mis en place pour sécuriser le site et contrôler les entrées et les sorties, les comportements requis pour appliquer ce système et toutes les considérations spécifiques à COVID -19.</w:t>
      </w:r>
    </w:p>
    <w:p w14:paraId="3C76E6A7" w14:textId="77777777" w:rsidR="009021F1" w:rsidRPr="007E3D1A" w:rsidRDefault="009021F1" w:rsidP="009021F1">
      <w:pPr>
        <w:rPr>
          <w:rFonts w:cs="Arial"/>
          <w:sz w:val="22"/>
        </w:rPr>
      </w:pPr>
      <w:r w:rsidRPr="007E3D1A">
        <w:rPr>
          <w:rFonts w:cs="Arial"/>
          <w:sz w:val="22"/>
        </w:rPr>
        <w:t>Former le personnel qui surveillera l'entrée sur le site, en leur fournissant les ressources dont ils ont besoin pour documenter l'entrée des travailleurs, en effectuant des contrôles de température et en enregistrant les détails de tout travailleur qui se voit refuser l'entrée.</w:t>
      </w:r>
    </w:p>
    <w:p w14:paraId="387B5FAC" w14:textId="77777777" w:rsidR="009021F1" w:rsidRPr="007E3D1A" w:rsidRDefault="009021F1" w:rsidP="009021F1">
      <w:pPr>
        <w:rPr>
          <w:rFonts w:cs="Arial"/>
          <w:sz w:val="22"/>
        </w:rPr>
      </w:pPr>
      <w:r w:rsidRPr="007E3D1A">
        <w:rPr>
          <w:rFonts w:cs="Arial"/>
          <w:sz w:val="22"/>
        </w:rPr>
        <w:t>Confirmer que les travailleurs sont aptes au travail avant d'entrer sur le site ou de commencer à travailler. Bien que des procédures devraient déjà être en place pour cela, une attention particulière devrait être accordée aux travailleurs ayant des problèmes de santé sous-jacents ou qui pourraient autrement être à risque. Il faudrait envisager la démobilisation du personnel souffrant de problèmes de santé sous-jacents.</w:t>
      </w:r>
    </w:p>
    <w:p w14:paraId="701227F7" w14:textId="77777777" w:rsidR="009021F1" w:rsidRPr="007E3D1A" w:rsidRDefault="009021F1" w:rsidP="009021F1">
      <w:pPr>
        <w:rPr>
          <w:rFonts w:cs="Arial"/>
          <w:sz w:val="22"/>
        </w:rPr>
      </w:pPr>
      <w:r w:rsidRPr="007E3D1A">
        <w:rPr>
          <w:rFonts w:cs="Arial"/>
          <w:sz w:val="22"/>
        </w:rPr>
        <w:t>Vérifier et enregistrer les températures des travailleurs et des autres personnes entrant sur le site ou nécessitant une auto-déclaration avant ou sur le site.</w:t>
      </w:r>
    </w:p>
    <w:p w14:paraId="039430CF" w14:textId="77777777" w:rsidR="009021F1" w:rsidRPr="007E3D1A" w:rsidRDefault="009021F1" w:rsidP="009021F1">
      <w:pPr>
        <w:rPr>
          <w:rFonts w:cs="Arial"/>
          <w:sz w:val="22"/>
        </w:rPr>
      </w:pPr>
      <w:r w:rsidRPr="007E3D1A">
        <w:rPr>
          <w:rFonts w:cs="Arial"/>
          <w:sz w:val="22"/>
        </w:rPr>
        <w:t>Fournir des séances d'information quotidiennes aux travailleurs avant de commencer le travail, en se concentrant sur les considérations spécifiques à COVID-19, y compris l'étiquette contre la toux, l'hygiène des mains et les mesures de distance, en utilisant des démonstrations et des méthodes participatives.</w:t>
      </w:r>
    </w:p>
    <w:p w14:paraId="67213543" w14:textId="77777777" w:rsidR="009021F1" w:rsidRPr="007E3D1A" w:rsidRDefault="009021F1" w:rsidP="009021F1">
      <w:pPr>
        <w:rPr>
          <w:rFonts w:cs="Arial"/>
          <w:sz w:val="22"/>
        </w:rPr>
      </w:pPr>
      <w:r w:rsidRPr="007E3D1A">
        <w:rPr>
          <w:rFonts w:cs="Arial"/>
          <w:sz w:val="22"/>
        </w:rPr>
        <w:t>Au cours des séances d'information quotidiennes, rappelez aux travailleurs de surveiller eux-mêmes les symptômes possibles (fièvre, toux) et de signaler à leur superviseur ou au point focal COVID-19 s'ils présentent des symptômes ou se sentent mal.</w:t>
      </w:r>
    </w:p>
    <w:p w14:paraId="000530CC" w14:textId="77777777" w:rsidR="009021F1" w:rsidRPr="007E3D1A" w:rsidRDefault="009021F1" w:rsidP="009021F1">
      <w:pPr>
        <w:rPr>
          <w:rFonts w:cs="Arial"/>
          <w:sz w:val="22"/>
        </w:rPr>
      </w:pPr>
      <w:r w:rsidRPr="007E3D1A">
        <w:rPr>
          <w:rFonts w:cs="Arial"/>
          <w:sz w:val="22"/>
        </w:rPr>
        <w:t>Empêcher un travailleur d'une zone affectée ou qui a été en contact avec une personne infectée de retourner sur le site pendant 14 jours ou (si ce n'est pas possible) isoler ce travailleur pendant 14 jours.</w:t>
      </w:r>
    </w:p>
    <w:p w14:paraId="622DB356" w14:textId="77777777" w:rsidR="009021F1" w:rsidRPr="007E3D1A" w:rsidRDefault="009021F1" w:rsidP="009021F1">
      <w:pPr>
        <w:rPr>
          <w:rFonts w:cs="Arial"/>
          <w:sz w:val="22"/>
        </w:rPr>
      </w:pPr>
      <w:r w:rsidRPr="007E3D1A">
        <w:rPr>
          <w:rFonts w:cs="Arial"/>
          <w:sz w:val="22"/>
        </w:rPr>
        <w:t>Empêcher un travailleur malade de pénétrer sur le site, le référer aux services de santé locaux si nécessaire ou l'obliger à s'isoler chez lui pendant 14 jours.</w:t>
      </w:r>
    </w:p>
    <w:p w14:paraId="0E45D10C" w14:textId="77777777" w:rsidR="009021F1" w:rsidRPr="007E3D1A" w:rsidRDefault="009021F1" w:rsidP="009021F1">
      <w:pPr>
        <w:rPr>
          <w:rFonts w:cs="Arial"/>
          <w:sz w:val="22"/>
        </w:rPr>
      </w:pPr>
    </w:p>
    <w:p w14:paraId="277182CA" w14:textId="77777777" w:rsidR="009021F1" w:rsidRPr="007E3D1A" w:rsidRDefault="009021F1" w:rsidP="009021F1">
      <w:pPr>
        <w:rPr>
          <w:rFonts w:cs="Arial"/>
          <w:sz w:val="22"/>
        </w:rPr>
      </w:pPr>
      <w:r w:rsidRPr="007E3D1A">
        <w:rPr>
          <w:rFonts w:cs="Arial"/>
          <w:sz w:val="22"/>
        </w:rPr>
        <w:t>Hygiène générale</w:t>
      </w:r>
    </w:p>
    <w:p w14:paraId="48B35985" w14:textId="77777777" w:rsidR="009021F1" w:rsidRPr="007E3D1A" w:rsidRDefault="009021F1" w:rsidP="009021F1">
      <w:pPr>
        <w:rPr>
          <w:rFonts w:cs="Arial"/>
          <w:sz w:val="22"/>
        </w:rPr>
      </w:pPr>
      <w:r w:rsidRPr="007E3D1A">
        <w:rPr>
          <w:rFonts w:cs="Arial"/>
          <w:sz w:val="22"/>
        </w:rPr>
        <w:t>Les exigences en matière d'hygiène générale devraient être communiquées et contrôlées, y compris:</w:t>
      </w:r>
    </w:p>
    <w:p w14:paraId="237E30DD" w14:textId="77777777" w:rsidR="009021F1" w:rsidRPr="007E3D1A" w:rsidRDefault="009021F1" w:rsidP="009021F1">
      <w:pPr>
        <w:rPr>
          <w:rFonts w:cs="Arial"/>
          <w:sz w:val="22"/>
        </w:rPr>
      </w:pPr>
      <w:r w:rsidRPr="007E3D1A">
        <w:rPr>
          <w:rFonts w:cs="Arial"/>
          <w:sz w:val="22"/>
        </w:rPr>
        <w:t xml:space="preserve">Former les travailleurs et le personnel sur place sur les signes et symptômes de COVID-19, comment il se propage, comment se protéger (y compris le lavage des mains régulier et la distanciation sociale) et que faire si eux ou d'autres personnes présentent des symptômes (pour plus d'informations, voir OMS COVID-19 conseils au public ; </w:t>
      </w:r>
      <w:hyperlink r:id="rId165" w:history="1">
        <w:r w:rsidRPr="007E3D1A">
          <w:rPr>
            <w:rFonts w:cs="Arial"/>
            <w:sz w:val="22"/>
          </w:rPr>
          <w:t>https://www.who.int/emergencies/diseases/novel-coronavirus-2019/advice-for-public</w:t>
        </w:r>
      </w:hyperlink>
      <w:r w:rsidRPr="007E3D1A">
        <w:rPr>
          <w:rFonts w:cs="Arial"/>
          <w:sz w:val="22"/>
        </w:rPr>
        <w:t>).</w:t>
      </w:r>
    </w:p>
    <w:p w14:paraId="3B255731" w14:textId="77777777" w:rsidR="009021F1" w:rsidRPr="007E3D1A" w:rsidRDefault="009021F1" w:rsidP="009021F1">
      <w:pPr>
        <w:rPr>
          <w:rFonts w:cs="Arial"/>
          <w:sz w:val="22"/>
        </w:rPr>
      </w:pPr>
      <w:r w:rsidRPr="007E3D1A">
        <w:rPr>
          <w:rFonts w:cs="Arial"/>
          <w:sz w:val="22"/>
        </w:rPr>
        <w:t>Placer des affiches et des panneaux autour du site, avec des images et du texte dans les langues locales.</w:t>
      </w:r>
    </w:p>
    <w:p w14:paraId="228EC287" w14:textId="77777777" w:rsidR="009021F1" w:rsidRPr="007E3D1A" w:rsidRDefault="009021F1" w:rsidP="009021F1">
      <w:pPr>
        <w:rPr>
          <w:rFonts w:cs="Arial"/>
          <w:sz w:val="22"/>
        </w:rPr>
      </w:pPr>
      <w:r w:rsidRPr="007E3D1A">
        <w:rPr>
          <w:rFonts w:cs="Arial"/>
          <w:sz w:val="22"/>
        </w:rPr>
        <w:t>Veiller à ce que des installations de lavage des mains alimentées en savon, en serviettes en papier jetables et en poubelles fermées existent à des endroits clés du site, y compris aux entrées / sorties des zones de travail ; où il y a des toilettes, une cantine ou une distribution de nourriture, ou l'approvisionnement en eau potable ; dans le logement des travailleurs ; dans les stations-service ; dans les magasins ; et dans les espaces communs. Lorsque les installations de lavage des mains n'existent pas ou ne sont pas adéquates, des dispositions devraient être prises pour les mettre en place. Un désinfectant à base d'alcool (si disponible, 60-95% d'alcool) peut également être utilisé.</w:t>
      </w:r>
    </w:p>
    <w:p w14:paraId="59C972B5" w14:textId="77777777" w:rsidR="009021F1" w:rsidRPr="007E3D1A" w:rsidRDefault="009021F1" w:rsidP="009021F1">
      <w:pPr>
        <w:rPr>
          <w:rFonts w:cs="Arial"/>
          <w:sz w:val="22"/>
        </w:rPr>
      </w:pPr>
      <w:r w:rsidRPr="007E3D1A">
        <w:rPr>
          <w:rFonts w:cs="Arial"/>
          <w:sz w:val="22"/>
        </w:rPr>
        <w:t>Mettre de côté une partie du logement des travailleurs pour l'auto-quarantaine de précaution ainsi que l'isolement plus formel du personnel susceptible d'être infecté.</w:t>
      </w:r>
    </w:p>
    <w:p w14:paraId="20427667" w14:textId="77777777" w:rsidR="009021F1" w:rsidRPr="007E3D1A" w:rsidRDefault="009021F1" w:rsidP="009021F1">
      <w:pPr>
        <w:rPr>
          <w:rFonts w:cs="Arial"/>
          <w:sz w:val="22"/>
        </w:rPr>
      </w:pPr>
      <w:r w:rsidRPr="007E3D1A">
        <w:rPr>
          <w:rFonts w:cs="Arial"/>
          <w:sz w:val="22"/>
        </w:rPr>
        <w:br w:type="page"/>
      </w:r>
    </w:p>
    <w:p w14:paraId="30C50F6E" w14:textId="77777777" w:rsidR="009021F1" w:rsidRPr="007E3D1A" w:rsidRDefault="009021F1" w:rsidP="009021F1">
      <w:pPr>
        <w:rPr>
          <w:rFonts w:cs="Arial"/>
          <w:sz w:val="22"/>
        </w:rPr>
      </w:pPr>
      <w:r w:rsidRPr="007E3D1A">
        <w:rPr>
          <w:rFonts w:cs="Arial"/>
          <w:sz w:val="22"/>
        </w:rPr>
        <w:t>Nettoyage et élimination des déchets</w:t>
      </w:r>
    </w:p>
    <w:p w14:paraId="12EDC9C7" w14:textId="77777777" w:rsidR="009021F1" w:rsidRPr="007E3D1A" w:rsidRDefault="009021F1" w:rsidP="009021F1">
      <w:pPr>
        <w:rPr>
          <w:rFonts w:cs="Arial"/>
          <w:sz w:val="22"/>
        </w:rPr>
      </w:pPr>
      <w:r w:rsidRPr="007E3D1A">
        <w:rPr>
          <w:rFonts w:cs="Arial"/>
          <w:sz w:val="22"/>
        </w:rPr>
        <w:t>Effectuer un nettoyage régulier et complet de toutes les installations du site, y compris les bureaux, les logements, les cantines et les espaces communs. Revoir les protocoles de nettoyage des principaux équipements de construction (en particulier s'ils sont utilisés par différents travailleurs). Cela devrait comprendre :</w:t>
      </w:r>
    </w:p>
    <w:p w14:paraId="47629077" w14:textId="77777777" w:rsidR="009021F1" w:rsidRPr="007E3D1A" w:rsidRDefault="009021F1" w:rsidP="009021F1">
      <w:pPr>
        <w:rPr>
          <w:rFonts w:cs="Arial"/>
          <w:sz w:val="22"/>
        </w:rPr>
      </w:pPr>
      <w:r w:rsidRPr="007E3D1A">
        <w:rPr>
          <w:rFonts w:cs="Arial"/>
          <w:sz w:val="22"/>
        </w:rPr>
        <w:t>Fournir au personnel de nettoyage un équipement de nettoyage, des matériaux et un désinfectant adéquat.</w:t>
      </w:r>
    </w:p>
    <w:p w14:paraId="2B4CEF69" w14:textId="77777777" w:rsidR="009021F1" w:rsidRPr="007E3D1A" w:rsidRDefault="009021F1" w:rsidP="009021F1">
      <w:pPr>
        <w:rPr>
          <w:rFonts w:cs="Arial"/>
          <w:sz w:val="22"/>
        </w:rPr>
      </w:pPr>
      <w:r w:rsidRPr="007E3D1A">
        <w:rPr>
          <w:rFonts w:cs="Arial"/>
          <w:sz w:val="22"/>
        </w:rPr>
        <w:t>Examiner les systèmes de nettoyage généraux, former le personnel de nettoyage aux procédures de nettoyage appropriées et à la fréquence appropriée dans les zones à forte utilisation ou à haut risque.</w:t>
      </w:r>
    </w:p>
    <w:p w14:paraId="4189623E" w14:textId="77777777" w:rsidR="009021F1" w:rsidRPr="007E3D1A" w:rsidRDefault="009021F1" w:rsidP="009021F1">
      <w:pPr>
        <w:rPr>
          <w:rFonts w:cs="Arial"/>
          <w:sz w:val="22"/>
        </w:rPr>
      </w:pPr>
      <w:r w:rsidRPr="007E3D1A">
        <w:rPr>
          <w:rFonts w:cs="Arial"/>
          <w:sz w:val="22"/>
        </w:rPr>
        <w:t>Lorsqu'il est prévu que des nettoyeurs devront nettoyer les zones qui ont été ou sont soupçonnées d'avoir été contaminées par COVID-19, en leur fournissant des EPI appropriés: blouses ou tabliers, gants, protection oculaire (masques, lunettes ou écrans faciaux) et des bottes ou des chaussures de travail fermées. Si l'EPI approprié n'est pas disponible, les nettoyants doivent être fournis avec les meilleures alternatives disponibles.</w:t>
      </w:r>
    </w:p>
    <w:p w14:paraId="4E8AA8DC" w14:textId="77777777" w:rsidR="009021F1" w:rsidRPr="007E3D1A" w:rsidRDefault="009021F1" w:rsidP="009021F1">
      <w:pPr>
        <w:rPr>
          <w:rFonts w:cs="Arial"/>
          <w:sz w:val="22"/>
        </w:rPr>
      </w:pPr>
      <w:r w:rsidRPr="007E3D1A">
        <w:rPr>
          <w:rFonts w:cs="Arial"/>
          <w:sz w:val="22"/>
        </w:rPr>
        <w:t>Former les nettoyeurs à l'hygiène appropriée (y compris le lavage des mains) avant, pendant et après la conduite des activités de nettoyage; comment utiliser l'EPI en toute sécurité (le cas échéant); dans le contrôle des déchets (y compris pour les EPI et les produits de nettoyage usagés).</w:t>
      </w:r>
    </w:p>
    <w:p w14:paraId="387CCC93" w14:textId="77777777" w:rsidR="009021F1" w:rsidRPr="007E3D1A" w:rsidRDefault="009021F1" w:rsidP="009021F1">
      <w:pPr>
        <w:rPr>
          <w:rFonts w:cs="Arial"/>
          <w:sz w:val="22"/>
        </w:rPr>
      </w:pPr>
      <w:r w:rsidRPr="007E3D1A">
        <w:rPr>
          <w:rFonts w:cs="Arial"/>
          <w:sz w:val="22"/>
        </w:rPr>
        <w:t xml:space="preserve">Tous les déchets médicaux produits pendant la prise en charge des travailleurs malades doivent être collectés en toute sécurité dans des conteneurs ou des sacs désignés et traités et éliminés conformément aux exigences pertinentes (par exemple, nationales, OMS). Si le brûlage à l'air libre et l'incinération de déchets médicaux sont nécessaires, cette durée devrait être aussi limitée que possible. Les déchets doivent être réduits et triés de manière à ce que seule la plus petite quantité de déchets soit incinérée (pour plus d'informations, voir les directives provisoires de l'OMS sur l'eau, l'assainissement et la gestion des déchets pour COVID-19 ; </w:t>
      </w:r>
      <w:hyperlink r:id="rId166" w:history="1">
        <w:r w:rsidRPr="007E3D1A">
          <w:rPr>
            <w:rFonts w:cs="Arial"/>
            <w:sz w:val="22"/>
          </w:rPr>
          <w:t>https://www.who.int/publications-detail/water-sanitation-hygiene-and-waste-management-for-covid-19</w:t>
        </w:r>
      </w:hyperlink>
      <w:r w:rsidRPr="007E3D1A">
        <w:rPr>
          <w:rFonts w:cs="Arial"/>
          <w:sz w:val="22"/>
        </w:rPr>
        <w:t>).</w:t>
      </w:r>
    </w:p>
    <w:p w14:paraId="26C0F646" w14:textId="77777777" w:rsidR="009021F1" w:rsidRPr="007E3D1A" w:rsidRDefault="009021F1" w:rsidP="009021F1">
      <w:pPr>
        <w:rPr>
          <w:rFonts w:cs="Arial"/>
          <w:sz w:val="22"/>
        </w:rPr>
      </w:pPr>
    </w:p>
    <w:p w14:paraId="53B4B139" w14:textId="77777777" w:rsidR="009021F1" w:rsidRPr="007E3D1A" w:rsidRDefault="009021F1" w:rsidP="009021F1">
      <w:pPr>
        <w:rPr>
          <w:rFonts w:cs="Arial"/>
          <w:sz w:val="22"/>
        </w:rPr>
      </w:pPr>
      <w:r w:rsidRPr="007E3D1A">
        <w:rPr>
          <w:rFonts w:cs="Arial"/>
          <w:sz w:val="22"/>
        </w:rPr>
        <w:t>Réglage des pratiques de travail</w:t>
      </w:r>
    </w:p>
    <w:p w14:paraId="55FFB0B9" w14:textId="77777777" w:rsidR="009021F1" w:rsidRPr="007E3D1A" w:rsidRDefault="009021F1" w:rsidP="009021F1">
      <w:pPr>
        <w:rPr>
          <w:rFonts w:cs="Arial"/>
          <w:sz w:val="22"/>
        </w:rPr>
      </w:pPr>
      <w:r w:rsidRPr="007E3D1A">
        <w:rPr>
          <w:rFonts w:cs="Arial"/>
          <w:sz w:val="22"/>
        </w:rPr>
        <w:t>Envisagez de modifier les processus de travail et les horaires pour réduire ou minimiser les contacts entre les travailleurs, en reconnaissant que cela est susceptible d'avoir un impact sur le calendrier du projet. Ces mesures pourraient comprendre :</w:t>
      </w:r>
    </w:p>
    <w:p w14:paraId="4D2B7AF4" w14:textId="77777777" w:rsidR="009021F1" w:rsidRPr="007E3D1A" w:rsidRDefault="009021F1" w:rsidP="009021F1">
      <w:pPr>
        <w:rPr>
          <w:rFonts w:cs="Arial"/>
          <w:sz w:val="22"/>
        </w:rPr>
      </w:pPr>
      <w:r w:rsidRPr="007E3D1A">
        <w:rPr>
          <w:rFonts w:cs="Arial"/>
          <w:sz w:val="22"/>
        </w:rPr>
        <w:t>Diminuer la taille des équipes de travail.</w:t>
      </w:r>
    </w:p>
    <w:p w14:paraId="1818C300" w14:textId="77777777" w:rsidR="009021F1" w:rsidRPr="007E3D1A" w:rsidRDefault="009021F1" w:rsidP="009021F1">
      <w:pPr>
        <w:rPr>
          <w:rFonts w:cs="Arial"/>
          <w:sz w:val="22"/>
        </w:rPr>
      </w:pPr>
      <w:r w:rsidRPr="007E3D1A">
        <w:rPr>
          <w:rFonts w:cs="Arial"/>
          <w:sz w:val="22"/>
        </w:rPr>
        <w:t>Limiter le nombre de travailleurs sur le site à tout moment.</w:t>
      </w:r>
    </w:p>
    <w:p w14:paraId="08FDA11C" w14:textId="77777777" w:rsidR="009021F1" w:rsidRPr="007E3D1A" w:rsidRDefault="009021F1" w:rsidP="009021F1">
      <w:pPr>
        <w:rPr>
          <w:rFonts w:cs="Arial"/>
          <w:sz w:val="22"/>
        </w:rPr>
      </w:pPr>
      <w:r w:rsidRPr="007E3D1A">
        <w:rPr>
          <w:rFonts w:cs="Arial"/>
          <w:sz w:val="22"/>
        </w:rPr>
        <w:t>Passer à une rotation de travail de 24 heures.</w:t>
      </w:r>
    </w:p>
    <w:p w14:paraId="051A54F1" w14:textId="77777777" w:rsidR="009021F1" w:rsidRPr="007E3D1A" w:rsidRDefault="009021F1" w:rsidP="009021F1">
      <w:pPr>
        <w:rPr>
          <w:rFonts w:cs="Arial"/>
          <w:sz w:val="22"/>
        </w:rPr>
      </w:pPr>
      <w:r w:rsidRPr="007E3D1A">
        <w:rPr>
          <w:rFonts w:cs="Arial"/>
          <w:sz w:val="22"/>
        </w:rPr>
        <w:t>L'adaptation ou la refonte des processus de travail pour des activités et des tâches de travail spécifiques afin de permettre la distanciation sociale et la formation des travailleurs à ces processus.</w:t>
      </w:r>
    </w:p>
    <w:p w14:paraId="5E3943A4" w14:textId="77777777" w:rsidR="009021F1" w:rsidRPr="007E3D1A" w:rsidRDefault="009021F1" w:rsidP="009021F1">
      <w:pPr>
        <w:rPr>
          <w:rFonts w:cs="Arial"/>
          <w:sz w:val="22"/>
        </w:rPr>
      </w:pPr>
      <w:r w:rsidRPr="007E3D1A">
        <w:rPr>
          <w:rFonts w:cs="Arial"/>
          <w:sz w:val="22"/>
        </w:rPr>
        <w:t>Poursuivre les formations de sécurité habituelles, en ajoutant des considérations spécifiques au COVID-19. La formation doit inclure l'utilisation appropriée de l'EPI normal. Bien qu'à ce jour l'avis général soit que les travailleurs de la construction n'ont pas besoin d'EPI spécifique au COVID-19, cela doit être maintenu à l'étude (pour plus d'informations, voir les directives provisoires de l'OMS sur l'utilisation rationnelle des équipements de protection individuelle (EPI) pour le COVID -19).</w:t>
      </w:r>
    </w:p>
    <w:p w14:paraId="55E4DD38" w14:textId="77777777" w:rsidR="009021F1" w:rsidRPr="007E3D1A" w:rsidRDefault="009021F1" w:rsidP="009021F1">
      <w:pPr>
        <w:rPr>
          <w:rFonts w:cs="Arial"/>
          <w:sz w:val="22"/>
        </w:rPr>
      </w:pPr>
      <w:r w:rsidRPr="007E3D1A">
        <w:rPr>
          <w:rFonts w:cs="Arial"/>
          <w:sz w:val="22"/>
        </w:rPr>
        <w:t>Revoir les méthodes de travail pour réduire l'utilisation des EPI de construction, au cas où les fournitures deviendraient rares ou si les EPI sont nécessaires pour les travailleurs médicaux ou les nettoyeurs. Cela pourrait inclure, par exemple essayer de réduire le besoin de masques anti-poussière en vérifiant que les systèmes d'arrosage sont en bon état de fonctionnement et sont maintenus ou en réduisant la limite de vitesse pour les camions de transport.</w:t>
      </w:r>
    </w:p>
    <w:p w14:paraId="480783BC" w14:textId="77777777" w:rsidR="009021F1" w:rsidRPr="007E3D1A" w:rsidRDefault="009021F1" w:rsidP="009021F1">
      <w:pPr>
        <w:rPr>
          <w:rFonts w:cs="Arial"/>
          <w:sz w:val="22"/>
        </w:rPr>
      </w:pPr>
      <w:r w:rsidRPr="007E3D1A">
        <w:rPr>
          <w:rFonts w:cs="Arial"/>
          <w:sz w:val="22"/>
        </w:rPr>
        <w:t>Organiser (si possible) des pauses de travail à prendre dans les zones extérieures du site.</w:t>
      </w:r>
    </w:p>
    <w:p w14:paraId="6355ADB1" w14:textId="77777777" w:rsidR="009021F1" w:rsidRPr="007E3D1A" w:rsidRDefault="009021F1" w:rsidP="009021F1">
      <w:pPr>
        <w:rPr>
          <w:rFonts w:cs="Arial"/>
          <w:sz w:val="22"/>
        </w:rPr>
      </w:pPr>
      <w:r w:rsidRPr="007E3D1A">
        <w:rPr>
          <w:rFonts w:cs="Arial"/>
          <w:sz w:val="22"/>
        </w:rPr>
        <w:t>Envisager de modifier l'aménagement de la cantine et de réduire progressivement les heures de repas pour permettre une distanciation sociale et un accès progressif et / ou restreindre temporairement l'accès aux installations de loisirs qui peuvent exister sur le site, y compris les gymnases.</w:t>
      </w:r>
    </w:p>
    <w:p w14:paraId="68F55CCE" w14:textId="77777777" w:rsidR="009021F1" w:rsidRPr="007E3D1A" w:rsidRDefault="009021F1" w:rsidP="009021F1">
      <w:pPr>
        <w:rPr>
          <w:rFonts w:cs="Arial"/>
          <w:sz w:val="22"/>
        </w:rPr>
      </w:pPr>
      <w:r w:rsidRPr="007E3D1A">
        <w:rPr>
          <w:rFonts w:cs="Arial"/>
          <w:sz w:val="22"/>
        </w:rPr>
        <w:t>À un moment donné, il peut être nécessaire de revoir le calendrier global du projet, afin d'évaluer dans quelle mesure il doit être ajusté (ou le travail complètement arrêté) pour refléter des pratiques de travail prudentes, l'exposition potentielle des travailleurs et de la communauté et la disponibilité des fournitures. , en tenant compte des conseils et instructions du gouvernement.</w:t>
      </w:r>
    </w:p>
    <w:p w14:paraId="27F62E31" w14:textId="77777777" w:rsidR="009021F1" w:rsidRPr="007E3D1A" w:rsidRDefault="009021F1" w:rsidP="009021F1">
      <w:pPr>
        <w:rPr>
          <w:rFonts w:cs="Arial"/>
          <w:sz w:val="22"/>
        </w:rPr>
      </w:pPr>
    </w:p>
    <w:p w14:paraId="2A56E219" w14:textId="77777777" w:rsidR="009021F1" w:rsidRPr="007E3D1A" w:rsidRDefault="009021F1" w:rsidP="009021F1">
      <w:pPr>
        <w:rPr>
          <w:rFonts w:cs="Arial"/>
          <w:sz w:val="22"/>
        </w:rPr>
      </w:pPr>
      <w:r w:rsidRPr="007E3D1A">
        <w:rPr>
          <w:rFonts w:cs="Arial"/>
          <w:sz w:val="22"/>
        </w:rPr>
        <w:t>Services médicaux et autres locaux</w:t>
      </w:r>
    </w:p>
    <w:p w14:paraId="622C99D1" w14:textId="77777777" w:rsidR="009021F1" w:rsidRPr="007E3D1A" w:rsidRDefault="009021F1" w:rsidP="009021F1">
      <w:pPr>
        <w:rPr>
          <w:rFonts w:cs="Arial"/>
          <w:sz w:val="22"/>
        </w:rPr>
      </w:pPr>
      <w:r w:rsidRPr="007E3D1A">
        <w:rPr>
          <w:rFonts w:cs="Arial"/>
          <w:sz w:val="22"/>
        </w:rPr>
        <w:t>Compte tenu de la portée limitée des services médicaux du projet, le projet devra peut-être référer les travailleurs malades aux services médicaux locaux. La préparation pour cela comprend :</w:t>
      </w:r>
    </w:p>
    <w:p w14:paraId="6415E4BA" w14:textId="77777777" w:rsidR="009021F1" w:rsidRPr="007E3D1A" w:rsidRDefault="009021F1" w:rsidP="009021F1">
      <w:pPr>
        <w:rPr>
          <w:rFonts w:cs="Arial"/>
          <w:sz w:val="22"/>
        </w:rPr>
      </w:pPr>
      <w:r w:rsidRPr="007E3D1A">
        <w:rPr>
          <w:rFonts w:cs="Arial"/>
          <w:sz w:val="22"/>
        </w:rPr>
        <w:t>Obtenir des informations sur les ressources et la capacité des services médicaux locaux (par exemple nombre de lits, disponibilité de personnel qualifié et fournitures essentielles).</w:t>
      </w:r>
    </w:p>
    <w:p w14:paraId="36F4B2CD" w14:textId="77777777" w:rsidR="009021F1" w:rsidRPr="007E3D1A" w:rsidRDefault="009021F1" w:rsidP="009021F1">
      <w:pPr>
        <w:rPr>
          <w:rFonts w:cs="Arial"/>
          <w:sz w:val="22"/>
        </w:rPr>
      </w:pPr>
      <w:r w:rsidRPr="007E3D1A">
        <w:rPr>
          <w:rFonts w:cs="Arial"/>
          <w:sz w:val="22"/>
        </w:rPr>
        <w:t>Mener des discussions préliminaires avec des installations médicales spécifiques, pour convenir de ce qui devrait être fait en cas de besoin de renvoyer des travailleurs malades.</w:t>
      </w:r>
    </w:p>
    <w:p w14:paraId="647C2648" w14:textId="77777777" w:rsidR="009021F1" w:rsidRPr="007E3D1A" w:rsidRDefault="009021F1" w:rsidP="009021F1">
      <w:pPr>
        <w:rPr>
          <w:rFonts w:cs="Arial"/>
          <w:sz w:val="22"/>
        </w:rPr>
      </w:pPr>
      <w:r w:rsidRPr="007E3D1A">
        <w:rPr>
          <w:rFonts w:cs="Arial"/>
          <w:sz w:val="22"/>
        </w:rPr>
        <w:t>Examiner les moyens par lesquels le projet peut être en mesure d'aider les services médicaux locaux à se préparer à la maladie des membres de la communauté, reconnaissant que les personnes âgées ou celles qui ont des conditions médicales préexistantes ont besoin d'un soutien supplémentaire pour accéder à un traitement approprié en cas de maladie.</w:t>
      </w:r>
    </w:p>
    <w:p w14:paraId="09D580C3" w14:textId="77777777" w:rsidR="009021F1" w:rsidRPr="007E3D1A" w:rsidRDefault="009021F1" w:rsidP="009021F1">
      <w:pPr>
        <w:rPr>
          <w:rFonts w:cs="Arial"/>
          <w:sz w:val="22"/>
        </w:rPr>
      </w:pPr>
      <w:r w:rsidRPr="007E3D1A">
        <w:rPr>
          <w:rFonts w:cs="Arial"/>
          <w:sz w:val="22"/>
        </w:rPr>
        <w:t>Clarifier la manière dont un travailleur malade sera transporté vers l'établissement médical et vérifier la disponibilité de ce type de transport.</w:t>
      </w:r>
    </w:p>
    <w:p w14:paraId="5EB95BD4" w14:textId="77777777" w:rsidR="009021F1" w:rsidRPr="007E3D1A" w:rsidRDefault="009021F1" w:rsidP="009021F1">
      <w:pPr>
        <w:rPr>
          <w:rFonts w:cs="Arial"/>
          <w:sz w:val="22"/>
        </w:rPr>
      </w:pPr>
      <w:r w:rsidRPr="007E3D1A">
        <w:rPr>
          <w:rFonts w:cs="Arial"/>
          <w:sz w:val="22"/>
        </w:rPr>
        <w:t>Établir un protocole convenu pour les communications avec les services d'urgence / médicaux locaux.</w:t>
      </w:r>
    </w:p>
    <w:p w14:paraId="0804CD8E" w14:textId="77777777" w:rsidR="009021F1" w:rsidRPr="007E3D1A" w:rsidRDefault="009021F1" w:rsidP="009021F1">
      <w:pPr>
        <w:rPr>
          <w:rFonts w:cs="Arial"/>
          <w:sz w:val="22"/>
        </w:rPr>
      </w:pPr>
      <w:r w:rsidRPr="007E3D1A">
        <w:rPr>
          <w:rFonts w:cs="Arial"/>
          <w:sz w:val="22"/>
        </w:rPr>
        <w:t>Convenir avec les services médicaux locaux / les installations médicales spécifiques de l'étendue des services à fournir, de la procédure de prise en charge des patients et (le cas échéant) des coûts ou paiements pouvant être impliqués.</w:t>
      </w:r>
    </w:p>
    <w:p w14:paraId="3B4E6587" w14:textId="77777777" w:rsidR="009021F1" w:rsidRPr="007E3D1A" w:rsidRDefault="009021F1" w:rsidP="009021F1">
      <w:pPr>
        <w:rPr>
          <w:rFonts w:cs="Arial"/>
          <w:sz w:val="22"/>
        </w:rPr>
      </w:pPr>
      <w:r w:rsidRPr="007E3D1A">
        <w:rPr>
          <w:rFonts w:cs="Arial"/>
          <w:sz w:val="22"/>
        </w:rPr>
        <w:t>Une procédure doit également être préparée afin que la direction du projet sache quoi faire dans le cas malheureux où un travailleur atteint de COVID-19 décède. Bien que les procédures normales du projet continuent de s'appliquer, COVID-19 peut soulever d'autres problèmes en raison de la nature infectieuse de la maladie. Le projet devrait assurer la liaison avec les autorités locales compétentes pour coordonner ce qui devrait être fait, y compris tout rapport ou toute autre exigence en vertu de la législation nationale.</w:t>
      </w:r>
    </w:p>
    <w:p w14:paraId="4999B493" w14:textId="77777777" w:rsidR="009021F1" w:rsidRPr="007E3D1A" w:rsidRDefault="009021F1" w:rsidP="009021F1">
      <w:pPr>
        <w:rPr>
          <w:rFonts w:cs="Arial"/>
          <w:sz w:val="22"/>
        </w:rPr>
      </w:pPr>
    </w:p>
    <w:p w14:paraId="28B13EA6" w14:textId="77777777" w:rsidR="009021F1" w:rsidRPr="007E3D1A" w:rsidRDefault="009021F1" w:rsidP="009021F1">
      <w:pPr>
        <w:rPr>
          <w:rFonts w:cs="Arial"/>
          <w:sz w:val="22"/>
        </w:rPr>
      </w:pPr>
      <w:r w:rsidRPr="007E3D1A">
        <w:rPr>
          <w:rFonts w:cs="Arial"/>
          <w:sz w:val="22"/>
        </w:rPr>
        <w:t>Instances ou diffusion du virus</w:t>
      </w:r>
    </w:p>
    <w:p w14:paraId="32BD3894" w14:textId="77777777" w:rsidR="009021F1" w:rsidRPr="007E3D1A" w:rsidRDefault="009021F1" w:rsidP="009021F1">
      <w:pPr>
        <w:rPr>
          <w:rFonts w:cs="Arial"/>
          <w:sz w:val="22"/>
        </w:rPr>
      </w:pPr>
      <w:r w:rsidRPr="007E3D1A">
        <w:rPr>
          <w:rFonts w:cs="Arial"/>
          <w:sz w:val="22"/>
        </w:rPr>
        <w:t>L'OMS fournit des conseils détaillés sur ce qui devrait être fait pour traiter une personne qui tombe malade ou présente des symptômes qui pourraient être associés au virus COVID-19 (pour de plus amples informations, voir les directives provisoires de l'OMS sur la prévention et le contrôle des infections pendant les soins de santé lorsqu'un nouveau coronavirus (nCoV) l'infection est suspectée). Le projet devrait définir les procédures fondées sur les risques à suivre, avec des approches différenciées en fonction de la gravité des cas (légère, modérée, sévère, critique) et des facteurs de risque (tels que l'âge, l'hypertension, le diabète) (pour plus d'informations, voir les directives provisoires de l'OMS sur considérations opérationnelles pour la prise en charge des cas de COVID-19 dans un établissement de santé et dans la communauté). Il peut s'agir des éléments suivants:</w:t>
      </w:r>
    </w:p>
    <w:p w14:paraId="20304A2D" w14:textId="77777777" w:rsidR="009021F1" w:rsidRPr="007E3D1A" w:rsidRDefault="009021F1" w:rsidP="009021F1">
      <w:pPr>
        <w:rPr>
          <w:rFonts w:cs="Arial"/>
          <w:sz w:val="22"/>
        </w:rPr>
      </w:pPr>
      <w:r w:rsidRPr="007E3D1A">
        <w:rPr>
          <w:rFonts w:cs="Arial"/>
          <w:sz w:val="22"/>
        </w:rPr>
        <w:t>Si un travailleur présente des symptômes de COVID-19 (par exemple fièvre, toux sèche, fatigue), il doit être immédiatement retiré des activités de travail et isolé sur place.</w:t>
      </w:r>
    </w:p>
    <w:p w14:paraId="779A73F7" w14:textId="77777777" w:rsidR="009021F1" w:rsidRPr="007E3D1A" w:rsidRDefault="009021F1" w:rsidP="009021F1">
      <w:pPr>
        <w:rPr>
          <w:rFonts w:cs="Arial"/>
          <w:sz w:val="22"/>
        </w:rPr>
      </w:pPr>
      <w:r w:rsidRPr="007E3D1A">
        <w:rPr>
          <w:rFonts w:cs="Arial"/>
          <w:sz w:val="22"/>
        </w:rPr>
        <w:t>Si des tests sont disponibles sur site, le travailleur doit être testé sur site. Si un test n'est pas disponible sur le site, le travailleur doit être transporté vers les établissements de santé locaux pour être testé (si le test est disponible).</w:t>
      </w:r>
    </w:p>
    <w:p w14:paraId="7B5FBFD7" w14:textId="77777777" w:rsidR="009021F1" w:rsidRPr="007E3D1A" w:rsidRDefault="009021F1" w:rsidP="009021F1">
      <w:pPr>
        <w:rPr>
          <w:rFonts w:cs="Arial"/>
          <w:sz w:val="22"/>
        </w:rPr>
      </w:pPr>
      <w:r w:rsidRPr="007E3D1A">
        <w:rPr>
          <w:rFonts w:cs="Arial"/>
          <w:sz w:val="22"/>
        </w:rPr>
        <w:t>Si le test est positif pour COVID-19 ou si aucun test n'est disponible, le travailleur doit continuer à être isolé. Ce sera sur le lieu de travail ou à la maison. S'il est à la maison, le travailleur doit être transporté à son domicile par le moyen de transport fourni par le projet.</w:t>
      </w:r>
    </w:p>
    <w:p w14:paraId="234F97B7" w14:textId="77777777" w:rsidR="009021F1" w:rsidRPr="007E3D1A" w:rsidRDefault="009021F1" w:rsidP="009021F1">
      <w:pPr>
        <w:rPr>
          <w:rFonts w:cs="Arial"/>
          <w:sz w:val="22"/>
        </w:rPr>
      </w:pPr>
      <w:r w:rsidRPr="007E3D1A">
        <w:rPr>
          <w:rFonts w:cs="Arial"/>
          <w:sz w:val="22"/>
        </w:rPr>
        <w:t>Des procédures de nettoyage approfondies avec un désinfectant à haute teneur en alcool devraient être entreprises dans la zone où le travailleur était présent, avant de poursuivre tout travail dans cette zone. Les outils utilisés par le travailleur doivent être nettoyés avec un désinfectant et des EPI éliminés.</w:t>
      </w:r>
    </w:p>
    <w:p w14:paraId="3F7BFDA7" w14:textId="77777777" w:rsidR="009021F1" w:rsidRPr="007E3D1A" w:rsidRDefault="009021F1" w:rsidP="009021F1">
      <w:pPr>
        <w:rPr>
          <w:rFonts w:cs="Arial"/>
          <w:sz w:val="22"/>
        </w:rPr>
      </w:pPr>
      <w:r w:rsidRPr="007E3D1A">
        <w:rPr>
          <w:rFonts w:cs="Arial"/>
          <w:sz w:val="22"/>
        </w:rPr>
        <w:t>Les collègues (c'est-à-dire les travailleurs avec lesquels le travailleur malade était en contact étroit) devraient être tenus d'arrêter le travail et devraient se mettre en quarantaine pendant 14 jours, même s'ils ne présentent aucun symptôme.</w:t>
      </w:r>
    </w:p>
    <w:p w14:paraId="12BED606" w14:textId="77777777" w:rsidR="009021F1" w:rsidRPr="007E3D1A" w:rsidRDefault="009021F1" w:rsidP="009021F1">
      <w:pPr>
        <w:rPr>
          <w:rFonts w:cs="Arial"/>
          <w:sz w:val="22"/>
        </w:rPr>
      </w:pPr>
      <w:r w:rsidRPr="007E3D1A">
        <w:rPr>
          <w:rFonts w:cs="Arial"/>
          <w:sz w:val="22"/>
        </w:rPr>
        <w:t>La famille et les autres contacts étroits du travailleur devraient être tenus de se mettre en quarantaine pendant 14 jours, même s'ils ne présentent aucun symptôme.</w:t>
      </w:r>
    </w:p>
    <w:p w14:paraId="3E255C4D" w14:textId="77777777" w:rsidR="009021F1" w:rsidRPr="007E3D1A" w:rsidRDefault="009021F1" w:rsidP="009021F1">
      <w:pPr>
        <w:rPr>
          <w:rFonts w:cs="Arial"/>
          <w:sz w:val="22"/>
        </w:rPr>
      </w:pPr>
      <w:r w:rsidRPr="007E3D1A">
        <w:rPr>
          <w:rFonts w:cs="Arial"/>
          <w:sz w:val="22"/>
        </w:rPr>
        <w:t>Si un cas de COVID-19 est confirmé chez un travailleur sur le site, les visiteurs doivent être empêchés d'entrer sur le site et les groupes de travailleurs doivent être isolés les uns des autres autant que possible.</w:t>
      </w:r>
    </w:p>
    <w:p w14:paraId="3A52D1B0" w14:textId="77777777" w:rsidR="009021F1" w:rsidRPr="007E3D1A" w:rsidRDefault="009021F1" w:rsidP="009021F1">
      <w:pPr>
        <w:rPr>
          <w:rFonts w:cs="Arial"/>
          <w:sz w:val="22"/>
        </w:rPr>
      </w:pPr>
      <w:r w:rsidRPr="007E3D1A">
        <w:rPr>
          <w:rFonts w:cs="Arial"/>
          <w:sz w:val="22"/>
        </w:rPr>
        <w:t>Si les travailleurs vivent à la maison et ont un membre de la famille qui a un cas confirmé ou suspecté de COVID-19, le travailleur doit se mettre en quarantaine et ne pas être autorisé à rester sur le site du projet pendant 14 jours, même s'il ne présente aucun symptôme.</w:t>
      </w:r>
    </w:p>
    <w:p w14:paraId="16430D01" w14:textId="77777777" w:rsidR="009021F1" w:rsidRPr="007E3D1A" w:rsidRDefault="009021F1" w:rsidP="009021F1">
      <w:pPr>
        <w:rPr>
          <w:rFonts w:cs="Arial"/>
          <w:sz w:val="22"/>
        </w:rPr>
      </w:pPr>
      <w:r w:rsidRPr="007E3D1A">
        <w:rPr>
          <w:rFonts w:cs="Arial"/>
          <w:sz w:val="22"/>
        </w:rPr>
        <w:t>Les travailleurs devraient continuer à être payés pendant les périodes de maladie, d'isolement ou de quarantaine, ou s'ils doivent arrêter de travailler, conformément à la législation nationale.</w:t>
      </w:r>
    </w:p>
    <w:p w14:paraId="25569E74" w14:textId="77777777" w:rsidR="009021F1" w:rsidRPr="007E3D1A" w:rsidRDefault="009021F1" w:rsidP="009021F1">
      <w:pPr>
        <w:rPr>
          <w:rFonts w:cs="Arial"/>
          <w:sz w:val="22"/>
        </w:rPr>
      </w:pPr>
      <w:r w:rsidRPr="007E3D1A">
        <w:rPr>
          <w:rFonts w:cs="Arial"/>
          <w:sz w:val="22"/>
        </w:rPr>
        <w:t>Les soins médicaux (sur place ou dans un hôpital ou une clinique locale) requis par un travailleur doivent être payés par l'employeur.</w:t>
      </w:r>
    </w:p>
    <w:p w14:paraId="07099FBC" w14:textId="77777777" w:rsidR="009021F1" w:rsidRPr="007E3D1A" w:rsidRDefault="009021F1" w:rsidP="009021F1">
      <w:pPr>
        <w:rPr>
          <w:rFonts w:cs="Arial"/>
          <w:sz w:val="22"/>
        </w:rPr>
      </w:pPr>
    </w:p>
    <w:p w14:paraId="1741AFBD" w14:textId="77777777" w:rsidR="009021F1" w:rsidRPr="007E3D1A" w:rsidRDefault="009021F1" w:rsidP="009021F1">
      <w:pPr>
        <w:rPr>
          <w:rFonts w:cs="Arial"/>
          <w:sz w:val="22"/>
        </w:rPr>
      </w:pPr>
      <w:r w:rsidRPr="007E3D1A">
        <w:rPr>
          <w:rFonts w:cs="Arial"/>
          <w:sz w:val="22"/>
        </w:rPr>
        <w:t xml:space="preserve">Continuité des fournitures et des activités du projet </w:t>
      </w:r>
    </w:p>
    <w:p w14:paraId="4DFFA13A" w14:textId="77777777" w:rsidR="009021F1" w:rsidRPr="007E3D1A" w:rsidRDefault="009021F1" w:rsidP="009021F1">
      <w:pPr>
        <w:rPr>
          <w:rFonts w:cs="Arial"/>
          <w:sz w:val="22"/>
        </w:rPr>
      </w:pPr>
      <w:r w:rsidRPr="007E3D1A">
        <w:rPr>
          <w:rFonts w:cs="Arial"/>
          <w:sz w:val="22"/>
        </w:rPr>
        <w:t>Lorsque COVID-19 se produit, sur le site du projet ou dans la communauté, l'accès au site du projet peut être restreint et le mouvement des fournitures peut être affecté.</w:t>
      </w:r>
    </w:p>
    <w:p w14:paraId="62D9176B" w14:textId="77777777" w:rsidR="009021F1" w:rsidRPr="007E3D1A" w:rsidRDefault="009021F1" w:rsidP="009021F1">
      <w:pPr>
        <w:rPr>
          <w:rFonts w:cs="Arial"/>
          <w:sz w:val="22"/>
        </w:rPr>
      </w:pPr>
      <w:r w:rsidRPr="007E3D1A">
        <w:rPr>
          <w:rFonts w:cs="Arial"/>
          <w:sz w:val="22"/>
        </w:rPr>
        <w:t>Identifier les personnes de remplacement, au cas où des personnes clés au sein de l'équipe de gestion de projet (UGP, bureau de contrôle, contractant, sous-traitants) tombent malades et communiquer qui elles sont afin que les gens soient au courant des dispositions qui ont été mises en place.</w:t>
      </w:r>
    </w:p>
    <w:p w14:paraId="3D644C8C" w14:textId="77777777" w:rsidR="009021F1" w:rsidRPr="007E3D1A" w:rsidRDefault="009021F1" w:rsidP="009021F1">
      <w:pPr>
        <w:rPr>
          <w:rFonts w:cs="Arial"/>
          <w:sz w:val="22"/>
        </w:rPr>
      </w:pPr>
      <w:r w:rsidRPr="007E3D1A">
        <w:rPr>
          <w:rFonts w:cs="Arial"/>
          <w:sz w:val="22"/>
        </w:rPr>
        <w:t>Documenter les procédures afin que les gens sachent ce qu’ils sont et ne dépendent pas des connaissances d’une seule personne.</w:t>
      </w:r>
    </w:p>
    <w:p w14:paraId="4BD9672F" w14:textId="77777777" w:rsidR="009021F1" w:rsidRPr="007E3D1A" w:rsidRDefault="009021F1" w:rsidP="009021F1">
      <w:pPr>
        <w:rPr>
          <w:rFonts w:cs="Arial"/>
          <w:sz w:val="22"/>
        </w:rPr>
      </w:pPr>
    </w:p>
    <w:p w14:paraId="6E58451F" w14:textId="77777777" w:rsidR="009021F1" w:rsidRPr="007E3D1A" w:rsidRDefault="009021F1" w:rsidP="009021F1">
      <w:pPr>
        <w:rPr>
          <w:rFonts w:cs="Arial"/>
          <w:sz w:val="22"/>
        </w:rPr>
      </w:pPr>
      <w:r w:rsidRPr="007E3D1A">
        <w:rPr>
          <w:rFonts w:cs="Arial"/>
          <w:sz w:val="22"/>
        </w:rPr>
        <w:t>Formation et communication avec les travailleurs</w:t>
      </w:r>
    </w:p>
    <w:p w14:paraId="4B60A84D" w14:textId="77777777" w:rsidR="009021F1" w:rsidRPr="007E3D1A" w:rsidRDefault="009021F1" w:rsidP="009021F1">
      <w:pPr>
        <w:rPr>
          <w:rFonts w:cs="Arial"/>
          <w:sz w:val="22"/>
        </w:rPr>
      </w:pPr>
      <w:r w:rsidRPr="007E3D1A">
        <w:rPr>
          <w:rFonts w:cs="Arial"/>
          <w:sz w:val="22"/>
        </w:rPr>
        <w:t>Les travailleurs doivent avoir régulièrement la possibilité de comprendre leur situation et la meilleure façon de se protéger eux-mêmes, leur famille et la communauté. Ils doivent être informés des procédures mises en place par le projet et de leurs propres responsabilités dans leur mise en œuvre.</w:t>
      </w:r>
    </w:p>
    <w:p w14:paraId="56257D7E" w14:textId="77777777" w:rsidR="009021F1" w:rsidRPr="007E3D1A" w:rsidRDefault="009021F1" w:rsidP="009021F1">
      <w:pPr>
        <w:rPr>
          <w:rFonts w:cs="Arial"/>
          <w:sz w:val="22"/>
        </w:rPr>
      </w:pPr>
      <w:r w:rsidRPr="007E3D1A">
        <w:rPr>
          <w:rFonts w:cs="Arial"/>
          <w:sz w:val="22"/>
        </w:rPr>
        <w:t>Il est important de savoir que dans les communautés proches du site et parmi les travailleurs n'ayant pas accès à la gestion de projet, les médias sociaux sont susceptibles d'être une source majeure d'informations. Cela souligne l'importance d'une information et d'un engagement réguliers avec les travailleurs (par exemple par le biais de formations, de mairies, de boîtes à outils) qui mettent l'accent sur ce que la direction fait pour faire face aux risques de COVID-19. Apaiser la peur est un aspect important de la tranquillité d'esprit et de la continuité des activités. Les travailleurs devraient avoir la possibilité de poser des questions, d'exprimer leurs préoccupations et de faire des suggestions.</w:t>
      </w:r>
    </w:p>
    <w:p w14:paraId="774C3DB6" w14:textId="77777777" w:rsidR="009021F1" w:rsidRPr="007E3D1A" w:rsidRDefault="009021F1" w:rsidP="009021F1">
      <w:pPr>
        <w:rPr>
          <w:rFonts w:cs="Arial"/>
          <w:sz w:val="22"/>
        </w:rPr>
      </w:pPr>
      <w:r w:rsidRPr="007E3D1A">
        <w:rPr>
          <w:rFonts w:cs="Arial"/>
          <w:sz w:val="22"/>
        </w:rPr>
        <w:t>Comprendre la chaîne d'approvisionnement pour les fournitures nécessaires d'énergie, d'eau, de nourriture, de fournitures médicales et de matériel de nettoyage, examiner comment cela pourrait être impacté et quelles alternatives sont disponibles. Un examen proactif précoce des chaînes d'approvisionnement internationales, régionales et nationales, en particulier pour les fournitures qui sont essentielles pour le projet, est important (par exemple, carburant, nourriture, soins médicaux, nettoyage et autres fournitures essentielles). La planification d'une interruption de 1 à 2 mois des marchandises critiques peut être appropriée pour des projets dans des régions plus éloignées.</w:t>
      </w:r>
    </w:p>
    <w:p w14:paraId="42E86162" w14:textId="77777777" w:rsidR="009021F1" w:rsidRPr="007E3D1A" w:rsidRDefault="009021F1" w:rsidP="009021F1">
      <w:pPr>
        <w:rPr>
          <w:rFonts w:cs="Arial"/>
          <w:sz w:val="22"/>
        </w:rPr>
      </w:pPr>
      <w:r w:rsidRPr="007E3D1A">
        <w:rPr>
          <w:rFonts w:cs="Arial"/>
          <w:sz w:val="22"/>
        </w:rPr>
        <w:t>Passer des commandes / se procurer des fournitures essentielles. Si elles ne sont pas disponibles, envisagez des alternatives (si possible).</w:t>
      </w:r>
    </w:p>
    <w:p w14:paraId="67ECC697" w14:textId="77777777" w:rsidR="009021F1" w:rsidRPr="007E3D1A" w:rsidRDefault="009021F1" w:rsidP="009021F1">
      <w:pPr>
        <w:rPr>
          <w:rFonts w:cs="Arial"/>
          <w:sz w:val="22"/>
        </w:rPr>
      </w:pPr>
      <w:r w:rsidRPr="007E3D1A">
        <w:rPr>
          <w:rFonts w:cs="Arial"/>
          <w:sz w:val="22"/>
        </w:rPr>
        <w:t>Examiner les dispositions de sécurité existantes et déterminer si elles seront adéquates en cas d'interruption des opérations normales du projet.</w:t>
      </w:r>
    </w:p>
    <w:p w14:paraId="018B6E78" w14:textId="77777777" w:rsidR="009021F1" w:rsidRPr="007E3D1A" w:rsidRDefault="009021F1" w:rsidP="009021F1">
      <w:pPr>
        <w:rPr>
          <w:rFonts w:cs="Arial"/>
          <w:sz w:val="22"/>
        </w:rPr>
      </w:pPr>
      <w:r w:rsidRPr="007E3D1A">
        <w:rPr>
          <w:rFonts w:cs="Arial"/>
          <w:sz w:val="22"/>
        </w:rPr>
        <w:t>Réfléchissez à quel moment il peut devenir nécessaire pour le projet de réduire considérablement les activités ou d'arrêter complètement le travail, et ce qui devrait être fait pour s'y préparer et recommencer le travail quand cela devient possible ou faisable.</w:t>
      </w:r>
    </w:p>
    <w:p w14:paraId="5D199C60" w14:textId="77777777" w:rsidR="009021F1" w:rsidRPr="007E3D1A" w:rsidRDefault="009021F1" w:rsidP="009021F1">
      <w:pPr>
        <w:rPr>
          <w:rFonts w:cs="Arial"/>
          <w:sz w:val="22"/>
        </w:rPr>
      </w:pPr>
      <w:r w:rsidRPr="007E3D1A">
        <w:rPr>
          <w:rFonts w:cs="Arial"/>
          <w:sz w:val="22"/>
        </w:rPr>
        <w:t>La formation des travailleurs devrait être menée régulièrement, comme indiqué dans les sections ci-dessus, afin de fournir aux travailleurs une compréhension claire de la façon dont ils doivent se comporter et s'acquitter de leurs tâches.</w:t>
      </w:r>
    </w:p>
    <w:p w14:paraId="3A910437" w14:textId="77777777" w:rsidR="009021F1" w:rsidRPr="007E3D1A" w:rsidRDefault="009021F1" w:rsidP="009021F1">
      <w:pPr>
        <w:rPr>
          <w:rFonts w:cs="Arial"/>
          <w:sz w:val="22"/>
        </w:rPr>
      </w:pPr>
      <w:r w:rsidRPr="007E3D1A">
        <w:rPr>
          <w:rFonts w:cs="Arial"/>
          <w:sz w:val="22"/>
        </w:rPr>
        <w:t>La formation devrait aborder les problèmes de discrimination ou de préjugés si un travailleur tombe malade et permettre de comprendre la trajectoire du virus, où les travailleurs retournent au travail.</w:t>
      </w:r>
    </w:p>
    <w:p w14:paraId="685B8227" w14:textId="77777777" w:rsidR="009021F1" w:rsidRPr="007E3D1A" w:rsidRDefault="009021F1" w:rsidP="009021F1">
      <w:pPr>
        <w:rPr>
          <w:rFonts w:cs="Arial"/>
          <w:sz w:val="22"/>
        </w:rPr>
      </w:pPr>
      <w:r w:rsidRPr="007E3D1A">
        <w:rPr>
          <w:rFonts w:cs="Arial"/>
          <w:sz w:val="22"/>
        </w:rPr>
        <w:t>La formation devrait couvrir toutes les questions qui seraient normalement requises sur le chantier, y compris l'utilisation des procédures de sécurité, l'utilisation des EPI de construction, les questions de santé et de sécurité au travail et le code de conduite, en tenant compte du fait que les pratiques de travail peuvent avoir été ajustées.</w:t>
      </w:r>
    </w:p>
    <w:p w14:paraId="199CF9A6" w14:textId="77777777" w:rsidR="009021F1" w:rsidRPr="007E3D1A" w:rsidRDefault="009021F1" w:rsidP="009021F1">
      <w:pPr>
        <w:rPr>
          <w:rFonts w:cs="Arial"/>
          <w:sz w:val="22"/>
        </w:rPr>
      </w:pPr>
      <w:r w:rsidRPr="007E3D1A">
        <w:rPr>
          <w:rFonts w:cs="Arial"/>
          <w:sz w:val="22"/>
        </w:rPr>
        <w:t>Les communications doivent être claires, fondées sur des faits et conçues pour être facilement comprises par les travailleurs, par exemple en affichant des affiches sur le lavage des mains et la distanciation sociale, et ce qu'il faut faire si un travailleur présente des symptômes.</w:t>
      </w:r>
    </w:p>
    <w:p w14:paraId="362202DD" w14:textId="77777777" w:rsidR="009021F1" w:rsidRPr="007E3D1A" w:rsidRDefault="009021F1" w:rsidP="009021F1">
      <w:pPr>
        <w:rPr>
          <w:rFonts w:cs="Arial"/>
          <w:sz w:val="22"/>
        </w:rPr>
      </w:pPr>
    </w:p>
    <w:p w14:paraId="51D49C8B" w14:textId="77777777" w:rsidR="009021F1" w:rsidRPr="007E3D1A" w:rsidRDefault="009021F1" w:rsidP="009021F1">
      <w:pPr>
        <w:rPr>
          <w:rFonts w:cs="Arial"/>
          <w:sz w:val="22"/>
        </w:rPr>
      </w:pPr>
      <w:r w:rsidRPr="007E3D1A">
        <w:rPr>
          <w:rFonts w:cs="Arial"/>
          <w:sz w:val="22"/>
        </w:rPr>
        <w:t xml:space="preserve">Communication et contact avec la communauté </w:t>
      </w:r>
    </w:p>
    <w:p w14:paraId="64866C8A" w14:textId="77777777" w:rsidR="009021F1" w:rsidRPr="007E3D1A" w:rsidRDefault="009021F1" w:rsidP="009021F1">
      <w:pPr>
        <w:rPr>
          <w:rFonts w:cs="Arial"/>
          <w:sz w:val="22"/>
        </w:rPr>
      </w:pPr>
      <w:r w:rsidRPr="007E3D1A">
        <w:rPr>
          <w:rFonts w:cs="Arial"/>
          <w:sz w:val="22"/>
        </w:rPr>
        <w:t xml:space="preserve">Les relations avec la communauté doivent être gérées avec soin, en mettant l'accent sur les mesures mises en œuvre pour protéger les travailleurs et la communauté. La communauté peut être préoccupée par la présence de travailleurs non locaux ou par les risques posés à la communauté par la présence de travailleurs locaux sur le site du projet. Le projet doit définir les procédures fondées sur les risques à suivre, qui peuvent refléter les orientations de l'OMS (pour de plus amples informations, voir le plan d'action de l'OMS sur la communication des risques et l'engagement communautaire (RCCE) COVID-19 Préparation et réponse ; </w:t>
      </w:r>
      <w:hyperlink r:id="rId167" w:history="1">
        <w:r w:rsidRPr="007E3D1A">
          <w:rPr>
            <w:rFonts w:cs="Arial"/>
            <w:sz w:val="22"/>
          </w:rPr>
          <w:t>https://www.who.int/publications-detail/risk-communication-and-community-engagement-(rcce)-action-plan-guidance</w:t>
        </w:r>
      </w:hyperlink>
      <w:r w:rsidRPr="007E3D1A">
        <w:rPr>
          <w:rFonts w:cs="Arial"/>
          <w:sz w:val="22"/>
        </w:rPr>
        <w:t xml:space="preserve">). </w:t>
      </w:r>
    </w:p>
    <w:p w14:paraId="13FEE77E" w14:textId="77777777" w:rsidR="009021F1" w:rsidRPr="007E3D1A" w:rsidRDefault="009021F1" w:rsidP="009021F1">
      <w:pPr>
        <w:rPr>
          <w:rFonts w:cs="Arial"/>
          <w:sz w:val="22"/>
        </w:rPr>
      </w:pPr>
      <w:r w:rsidRPr="007E3D1A">
        <w:rPr>
          <w:rFonts w:cs="Arial"/>
          <w:sz w:val="22"/>
        </w:rPr>
        <w:t>Les bonnes pratiques suivantes doivent être prises en compte :</w:t>
      </w:r>
    </w:p>
    <w:p w14:paraId="35037BD4" w14:textId="77777777" w:rsidR="009021F1" w:rsidRPr="007E3D1A" w:rsidRDefault="009021F1" w:rsidP="009021F1">
      <w:pPr>
        <w:rPr>
          <w:rFonts w:cs="Arial"/>
          <w:sz w:val="22"/>
        </w:rPr>
      </w:pPr>
      <w:r w:rsidRPr="007E3D1A">
        <w:rPr>
          <w:rFonts w:cs="Arial"/>
          <w:sz w:val="22"/>
        </w:rPr>
        <w:t>Les communications doivent être claires, régulières, fondées sur des faits et conçues pour être facilement comprises par les membres de la communauté.</w:t>
      </w:r>
    </w:p>
    <w:p w14:paraId="61B2508D" w14:textId="77777777" w:rsidR="009021F1" w:rsidRPr="007E3D1A" w:rsidRDefault="009021F1" w:rsidP="009021F1">
      <w:pPr>
        <w:rPr>
          <w:rFonts w:cs="Arial"/>
          <w:sz w:val="22"/>
        </w:rPr>
      </w:pPr>
      <w:r w:rsidRPr="007E3D1A">
        <w:rPr>
          <w:rFonts w:cs="Arial"/>
          <w:sz w:val="22"/>
        </w:rPr>
        <w:t>Les communications devraient utiliser les moyens disponibles. Dans la plupart des cas, des rencontres en personne avec la communauté ou des représentants de la communauté ne seront pas possibles. D'autres formes de communication devraient être utilisées : affiches, brochures, radio, SMS, réunions électroniques. Les moyens utilisés devraient prendre en compte la capacité des différents membres de la communauté à y accéder, pour s'assurer que la communication parvienne à ces groupes.</w:t>
      </w:r>
    </w:p>
    <w:p w14:paraId="10C91794" w14:textId="77777777" w:rsidR="009021F1" w:rsidRPr="007E3D1A" w:rsidRDefault="009021F1" w:rsidP="009021F1">
      <w:pPr>
        <w:rPr>
          <w:rFonts w:cs="Arial"/>
          <w:sz w:val="22"/>
        </w:rPr>
      </w:pPr>
      <w:r w:rsidRPr="007E3D1A">
        <w:rPr>
          <w:rFonts w:cs="Arial"/>
          <w:sz w:val="22"/>
        </w:rPr>
        <w:t>La communauté doit être informée des procédures mises en place sur le site pour résoudre les problèmes liés à COVID-19. Cela devrait inclure toutes les mesures mises en œuvre pour limiter ou interdire les contacts entre les travailleurs et la communauté. Ceux-ci doivent être communiqués clairement, car certaines mesures auront des implications financières pour la communauté (par exemple, si les travailleurs paient pour le logement ou utilisent les installations locales). La communauté doit être informée de la procédure d'entrée / sortie sur le site, de la formation dispensée aux travailleurs et de la procédure qui sera suivie par le projet si un travailleur tombe malade.</w:t>
      </w:r>
    </w:p>
    <w:p w14:paraId="0D9A40E4" w14:textId="77777777" w:rsidR="009021F1" w:rsidRPr="007E3D1A" w:rsidRDefault="009021F1" w:rsidP="009021F1">
      <w:pPr>
        <w:rPr>
          <w:rFonts w:cs="Arial"/>
          <w:sz w:val="22"/>
        </w:rPr>
      </w:pPr>
      <w:r w:rsidRPr="007E3D1A">
        <w:rPr>
          <w:rFonts w:cs="Arial"/>
          <w:sz w:val="22"/>
        </w:rPr>
        <w:t>Si les représentants du projet, les sous-traitants ou les travailleurs interagissent avec la communauté, ils doivent pratiquer la distanciation sociale et suivre les autres directives COVID-19 émises par les autorités compétentes, nationales et internationales (par exemple l'OMS).</w:t>
      </w:r>
    </w:p>
    <w:p w14:paraId="71B8202D" w14:textId="77777777" w:rsidR="009021F1" w:rsidRPr="007E3D1A" w:rsidRDefault="009021F1" w:rsidP="009021F1">
      <w:pPr>
        <w:rPr>
          <w:rFonts w:cs="Arial"/>
          <w:sz w:val="22"/>
        </w:rPr>
      </w:pPr>
      <w:r w:rsidRPr="007E3D1A">
        <w:rPr>
          <w:rFonts w:cs="Arial"/>
          <w:sz w:val="22"/>
        </w:rPr>
        <w:t>Autoriser le recours à la police ou à l'armée dans certaines activités (par exemple, appliquer des couvre-feux ou des restrictions de mouvement)</w:t>
      </w:r>
    </w:p>
    <w:p w14:paraId="3FB744C6" w14:textId="77777777" w:rsidR="009021F1" w:rsidRPr="007E3D1A" w:rsidRDefault="009021F1" w:rsidP="009021F1">
      <w:pPr>
        <w:rPr>
          <w:rFonts w:cs="Arial"/>
          <w:sz w:val="22"/>
        </w:rPr>
      </w:pPr>
      <w:r w:rsidRPr="007E3D1A">
        <w:rPr>
          <w:rFonts w:cs="Arial"/>
          <w:sz w:val="22"/>
        </w:rPr>
        <w:t>Ordonner à certaines catégories d'employés de travailler de plus longues heures, de ne pas prendre de vacances ou de ne pas quitter leur emploi (par exemple, les agents de santé)</w:t>
      </w:r>
    </w:p>
    <w:p w14:paraId="74D64574" w14:textId="77777777" w:rsidR="009021F1" w:rsidRPr="007E3D1A" w:rsidRDefault="009021F1" w:rsidP="009021F1">
      <w:pPr>
        <w:rPr>
          <w:rFonts w:cs="Arial"/>
          <w:sz w:val="22"/>
        </w:rPr>
      </w:pPr>
      <w:r w:rsidRPr="007E3D1A">
        <w:rPr>
          <w:rFonts w:cs="Arial"/>
          <w:sz w:val="22"/>
        </w:rPr>
        <w:t>Ordonner aux travailleurs non essentiels de rester à la maison, pour un salaire réduit ou des vacances obligatoires</w:t>
      </w:r>
    </w:p>
    <w:p w14:paraId="5B337810" w14:textId="77777777" w:rsidR="009021F1" w:rsidRPr="007E3D1A" w:rsidRDefault="009021F1" w:rsidP="009021F1">
      <w:pPr>
        <w:rPr>
          <w:rFonts w:cs="Arial"/>
          <w:sz w:val="22"/>
        </w:rPr>
      </w:pPr>
      <w:r w:rsidRPr="007E3D1A">
        <w:rPr>
          <w:rFonts w:cs="Arial"/>
          <w:sz w:val="22"/>
        </w:rPr>
        <w:t>Il est important que l'emprunteur comprenne comment les exigences obligatoires de la législation auront un impact sur le projet. Les UGP devraient demander aux contractants d'examiner comment la législation d'urgence affectera les obligations de l'emprunteur énoncées dans l'accord juridique et les obligations énoncées dans les contrats de construction. Lorsque la législation exige une dérogation substantielle aux obligations contractuelles existantes, cela devrait être documenté, énonçant les dispositions pertinentes.</w:t>
      </w:r>
    </w:p>
    <w:p w14:paraId="6091E0A4" w14:textId="77777777" w:rsidR="009021F1" w:rsidRPr="007E3D1A" w:rsidRDefault="009021F1" w:rsidP="009021F1">
      <w:pPr>
        <w:rPr>
          <w:rFonts w:cs="Arial"/>
          <w:sz w:val="22"/>
        </w:rPr>
      </w:pPr>
      <w:r w:rsidRPr="007E3D1A">
        <w:rPr>
          <w:rFonts w:cs="Arial"/>
          <w:sz w:val="22"/>
        </w:rPr>
        <w:br w:type="page"/>
      </w:r>
    </w:p>
    <w:p w14:paraId="5763E3D2" w14:textId="77777777" w:rsidR="009021F1" w:rsidRPr="00372F9C" w:rsidRDefault="009021F1" w:rsidP="009021F1">
      <w:pPr>
        <w:ind w:left="1418" w:hanging="1418"/>
        <w:rPr>
          <w:rFonts w:cs="Arial"/>
          <w:b/>
          <w:bCs/>
          <w:sz w:val="22"/>
        </w:rPr>
      </w:pPr>
      <w:r w:rsidRPr="00372F9C">
        <w:rPr>
          <w:rFonts w:cs="Arial"/>
          <w:b/>
          <w:bCs/>
          <w:sz w:val="22"/>
        </w:rPr>
        <w:t>ANNEXE 14. LISTE D’EXCLUSION PRELIMINAIRE POUR LES SECTEURS ET DES ACTIVITES E&amp;S A RISQUE ELEVE.</w:t>
      </w:r>
    </w:p>
    <w:p w14:paraId="2E27CCE0" w14:textId="77777777" w:rsidR="009021F1" w:rsidRPr="007E3D1A" w:rsidRDefault="009021F1" w:rsidP="009021F1">
      <w:pPr>
        <w:rPr>
          <w:rFonts w:cs="Arial"/>
          <w:sz w:val="22"/>
        </w:rPr>
      </w:pPr>
    </w:p>
    <w:p w14:paraId="47EB8232" w14:textId="77777777" w:rsidR="009021F1" w:rsidRPr="009B381E" w:rsidRDefault="009021F1" w:rsidP="009021F1">
      <w:pPr>
        <w:rPr>
          <w:rFonts w:cs="Arial"/>
          <w:sz w:val="22"/>
        </w:rPr>
      </w:pPr>
      <w:r w:rsidRPr="009B381E">
        <w:rPr>
          <w:rFonts w:cs="Arial"/>
          <w:sz w:val="22"/>
        </w:rPr>
        <w:t xml:space="preserve">Les activités suivantes ne seront pas éligibles pour un financement dans le cadre du Projet : </w:t>
      </w:r>
    </w:p>
    <w:p w14:paraId="30EE8352" w14:textId="77777777" w:rsidR="009021F1" w:rsidRPr="009B381E" w:rsidRDefault="009021F1" w:rsidP="009021F1">
      <w:pPr>
        <w:rPr>
          <w:rFonts w:cs="Arial"/>
          <w:sz w:val="22"/>
        </w:rPr>
      </w:pPr>
    </w:p>
    <w:p w14:paraId="49309B62" w14:textId="77777777" w:rsidR="009021F1" w:rsidRPr="009B381E" w:rsidRDefault="009021F1" w:rsidP="009021F1">
      <w:pPr>
        <w:rPr>
          <w:rFonts w:cs="Arial"/>
          <w:sz w:val="22"/>
        </w:rPr>
      </w:pPr>
      <w:r w:rsidRPr="009B381E">
        <w:rPr>
          <w:rFonts w:cs="Arial"/>
          <w:sz w:val="22"/>
        </w:rPr>
        <w:t>a.</w:t>
      </w:r>
      <w:r w:rsidRPr="009B381E">
        <w:rPr>
          <w:rFonts w:cs="Arial"/>
          <w:sz w:val="22"/>
        </w:rPr>
        <w:tab/>
        <w:t>Financement des activités requérant le Consentement Préalable donné Librement et en Connaissance de Cause (CPLCC) des Populations Autochtones et/ou requérant la réinstallation des populations autochtones</w:t>
      </w:r>
    </w:p>
    <w:p w14:paraId="68C5DA16" w14:textId="77777777" w:rsidR="009021F1" w:rsidRPr="009B381E" w:rsidRDefault="009021F1" w:rsidP="009021F1">
      <w:pPr>
        <w:rPr>
          <w:rFonts w:cs="Arial"/>
          <w:sz w:val="22"/>
        </w:rPr>
      </w:pPr>
      <w:r w:rsidRPr="009B381E">
        <w:rPr>
          <w:rFonts w:cs="Arial"/>
          <w:sz w:val="22"/>
        </w:rPr>
        <w:t>b.</w:t>
      </w:r>
      <w:r w:rsidRPr="009B381E">
        <w:rPr>
          <w:rFonts w:cs="Arial"/>
          <w:sz w:val="22"/>
        </w:rPr>
        <w:tab/>
        <w:t>Toutes les activités liées à l’agriculture et à la réhabilitation des routes rurales susceptibles d’altérer ou provoquer la destruction d’habitats naturels critiques ou sensibles ;</w:t>
      </w:r>
    </w:p>
    <w:p w14:paraId="094C75E2" w14:textId="77777777" w:rsidR="009021F1" w:rsidRPr="009B381E" w:rsidRDefault="009021F1" w:rsidP="009021F1">
      <w:pPr>
        <w:rPr>
          <w:rFonts w:cs="Arial"/>
          <w:sz w:val="22"/>
        </w:rPr>
      </w:pPr>
      <w:r w:rsidRPr="009B381E">
        <w:rPr>
          <w:rFonts w:cs="Arial"/>
          <w:sz w:val="22"/>
        </w:rPr>
        <w:t>c.</w:t>
      </w:r>
      <w:r w:rsidRPr="009B381E">
        <w:rPr>
          <w:rFonts w:cs="Arial"/>
          <w:sz w:val="22"/>
        </w:rPr>
        <w:tab/>
        <w:t>Toutes les activités dans les zones à haute valeur de biodiversité telles que les habitats critiques ou naturels, des zones à haute valeur de conservation, des habitats modifiés qui contiennent une importante valeur de biodiversité.</w:t>
      </w:r>
    </w:p>
    <w:p w14:paraId="55530431" w14:textId="77777777" w:rsidR="009021F1" w:rsidRPr="009B381E" w:rsidRDefault="009021F1" w:rsidP="009021F1">
      <w:pPr>
        <w:rPr>
          <w:rFonts w:cs="Arial"/>
          <w:sz w:val="22"/>
        </w:rPr>
      </w:pPr>
      <w:r w:rsidRPr="009B381E">
        <w:rPr>
          <w:rFonts w:cs="Arial"/>
          <w:sz w:val="22"/>
        </w:rPr>
        <w:t>d.</w:t>
      </w:r>
      <w:r w:rsidRPr="009B381E">
        <w:rPr>
          <w:rFonts w:cs="Arial"/>
          <w:sz w:val="22"/>
        </w:rPr>
        <w:tab/>
        <w:t>Toutes les activités présentant des risques importants et/ou des impacts négatifs sur la biodiversité et ceux qui nécessiteraient le défrichage de tout type de terrain forestier seront exclues du financement</w:t>
      </w:r>
    </w:p>
    <w:p w14:paraId="6CD4A244" w14:textId="77777777" w:rsidR="009021F1" w:rsidRPr="009B381E" w:rsidRDefault="009021F1" w:rsidP="009021F1">
      <w:pPr>
        <w:rPr>
          <w:rFonts w:cs="Arial"/>
          <w:sz w:val="22"/>
        </w:rPr>
      </w:pPr>
      <w:r w:rsidRPr="009B381E">
        <w:rPr>
          <w:rFonts w:cs="Arial"/>
          <w:sz w:val="22"/>
        </w:rPr>
        <w:t>e.</w:t>
      </w:r>
      <w:r w:rsidRPr="009B381E">
        <w:rPr>
          <w:rFonts w:cs="Arial"/>
          <w:sz w:val="22"/>
        </w:rPr>
        <w:tab/>
        <w:t xml:space="preserve">Les activités qui impliquent un déplacement important ou une réinstallation involontaire d'un grand nombre de personnes ou qui pourraient donner lieu à un conflit social important ; </w:t>
      </w:r>
    </w:p>
    <w:p w14:paraId="3461FC12" w14:textId="77777777" w:rsidR="009021F1" w:rsidRPr="009B381E" w:rsidRDefault="009021F1" w:rsidP="009021F1">
      <w:pPr>
        <w:rPr>
          <w:rFonts w:cs="Arial"/>
          <w:sz w:val="22"/>
        </w:rPr>
      </w:pPr>
      <w:r w:rsidRPr="009B381E">
        <w:rPr>
          <w:rFonts w:cs="Arial"/>
          <w:sz w:val="22"/>
        </w:rPr>
        <w:t>f.</w:t>
      </w:r>
      <w:r w:rsidRPr="009B381E">
        <w:rPr>
          <w:rFonts w:cs="Arial"/>
          <w:sz w:val="22"/>
        </w:rPr>
        <w:tab/>
        <w:t xml:space="preserve">Les Activités dans les zones du patrimoine culturel légalement protégées ou les zones de patrimoine culturel des Populations Autochtones ; </w:t>
      </w:r>
    </w:p>
    <w:p w14:paraId="2E1011A3" w14:textId="77777777" w:rsidR="009021F1" w:rsidRPr="009B381E" w:rsidRDefault="009021F1" w:rsidP="009021F1">
      <w:pPr>
        <w:rPr>
          <w:rFonts w:cs="Arial"/>
          <w:sz w:val="22"/>
        </w:rPr>
      </w:pPr>
      <w:r w:rsidRPr="009B381E">
        <w:rPr>
          <w:rFonts w:cs="Arial"/>
          <w:sz w:val="22"/>
        </w:rPr>
        <w:t>g.</w:t>
      </w:r>
      <w:r w:rsidRPr="009B381E">
        <w:rPr>
          <w:rFonts w:cs="Arial"/>
          <w:sz w:val="22"/>
        </w:rPr>
        <w:tab/>
        <w:t xml:space="preserve">la production ou le commerce d'armes et de munitions ; </w:t>
      </w:r>
    </w:p>
    <w:p w14:paraId="39815E8D" w14:textId="77777777" w:rsidR="009021F1" w:rsidRPr="009B381E" w:rsidRDefault="009021F1" w:rsidP="009021F1">
      <w:pPr>
        <w:rPr>
          <w:rFonts w:cs="Arial"/>
          <w:sz w:val="22"/>
        </w:rPr>
      </w:pPr>
      <w:r w:rsidRPr="009B381E">
        <w:rPr>
          <w:rFonts w:cs="Arial"/>
          <w:sz w:val="22"/>
        </w:rPr>
        <w:t>h.</w:t>
      </w:r>
      <w:r w:rsidRPr="009B381E">
        <w:rPr>
          <w:rFonts w:cs="Arial"/>
          <w:sz w:val="22"/>
        </w:rPr>
        <w:tab/>
        <w:t xml:space="preserve">la production ou le commerce de boissons alcooliques ; </w:t>
      </w:r>
    </w:p>
    <w:p w14:paraId="331513E0" w14:textId="77777777" w:rsidR="009021F1" w:rsidRPr="009B381E" w:rsidRDefault="009021F1" w:rsidP="009021F1">
      <w:pPr>
        <w:rPr>
          <w:rFonts w:cs="Arial"/>
          <w:sz w:val="22"/>
        </w:rPr>
      </w:pPr>
      <w:r w:rsidRPr="009B381E">
        <w:rPr>
          <w:rFonts w:cs="Arial"/>
          <w:sz w:val="22"/>
        </w:rPr>
        <w:t>i.</w:t>
      </w:r>
      <w:r w:rsidRPr="009B381E">
        <w:rPr>
          <w:rFonts w:cs="Arial"/>
          <w:sz w:val="22"/>
        </w:rPr>
        <w:tab/>
        <w:t xml:space="preserve">la production ou le commerce de tabac ; </w:t>
      </w:r>
    </w:p>
    <w:p w14:paraId="4AA84B3F" w14:textId="77777777" w:rsidR="009021F1" w:rsidRPr="009B381E" w:rsidRDefault="009021F1" w:rsidP="009021F1">
      <w:pPr>
        <w:rPr>
          <w:rFonts w:cs="Arial"/>
          <w:sz w:val="22"/>
        </w:rPr>
      </w:pPr>
      <w:r w:rsidRPr="009B381E">
        <w:rPr>
          <w:rFonts w:cs="Arial"/>
          <w:sz w:val="22"/>
        </w:rPr>
        <w:t>j.</w:t>
      </w:r>
      <w:r w:rsidRPr="009B381E">
        <w:rPr>
          <w:rFonts w:cs="Arial"/>
          <w:sz w:val="22"/>
        </w:rPr>
        <w:tab/>
        <w:t>les entreprises et casinos de jeux, et les entreprises similaires ;</w:t>
      </w:r>
    </w:p>
    <w:p w14:paraId="355B85AE" w14:textId="77777777" w:rsidR="009021F1" w:rsidRPr="009B381E" w:rsidRDefault="009021F1" w:rsidP="009021F1">
      <w:pPr>
        <w:rPr>
          <w:rFonts w:cs="Arial"/>
          <w:sz w:val="22"/>
        </w:rPr>
      </w:pPr>
      <w:r w:rsidRPr="009B381E">
        <w:rPr>
          <w:rFonts w:cs="Arial"/>
          <w:sz w:val="22"/>
        </w:rPr>
        <w:t>k.</w:t>
      </w:r>
      <w:r w:rsidRPr="009B381E">
        <w:rPr>
          <w:rFonts w:cs="Arial"/>
          <w:sz w:val="22"/>
        </w:rPr>
        <w:tab/>
        <w:t>la production ou le commerce de matières radioactives. Cela ne s’applique pas à l'achat du matériel médical, d'équipement de contrôle de qualité (mesure) et de n’importe quel équipement dans lequel la source radioactive est considérée comme insignifiante et/ou suffisamment protégée ;</w:t>
      </w:r>
    </w:p>
    <w:p w14:paraId="13243D3B" w14:textId="77777777" w:rsidR="009021F1" w:rsidRPr="009B381E" w:rsidRDefault="009021F1" w:rsidP="009021F1">
      <w:pPr>
        <w:rPr>
          <w:rFonts w:cs="Arial"/>
          <w:sz w:val="22"/>
        </w:rPr>
      </w:pPr>
      <w:r w:rsidRPr="009B381E">
        <w:rPr>
          <w:rFonts w:cs="Arial"/>
          <w:sz w:val="22"/>
        </w:rPr>
        <w:t>l.</w:t>
      </w:r>
      <w:r w:rsidRPr="009B381E">
        <w:rPr>
          <w:rFonts w:cs="Arial"/>
          <w:sz w:val="22"/>
        </w:rPr>
        <w:tab/>
        <w:t>la production, l’achat, l’utilisation ou le commerce des matériaux et équipements potentiellement dangereux, y compris les fibres d'amiante illimitées (Cela ne s’applique pas à l'achat et l'utilisation de panneaux d'amiante-ciment limités où la teneur en amiante est moins de 20% ) ou d’autres investissements préjudiciables à l’environnement et aux moyens de subsistance, y compris les ressources culturelles;</w:t>
      </w:r>
    </w:p>
    <w:p w14:paraId="704DABD1" w14:textId="77777777" w:rsidR="009021F1" w:rsidRPr="009B381E" w:rsidRDefault="009021F1" w:rsidP="009021F1">
      <w:pPr>
        <w:rPr>
          <w:rFonts w:cs="Arial"/>
          <w:sz w:val="22"/>
        </w:rPr>
      </w:pPr>
      <w:r w:rsidRPr="009B381E">
        <w:rPr>
          <w:rFonts w:cs="Arial"/>
          <w:sz w:val="22"/>
        </w:rPr>
        <w:t>m.</w:t>
      </w:r>
      <w:r w:rsidRPr="009B381E">
        <w:rPr>
          <w:rFonts w:cs="Arial"/>
          <w:sz w:val="22"/>
        </w:rPr>
        <w:tab/>
        <w:t>la production d’activités impliquant des formes nuisibles ou d’exploitation du travail des enfants ;</w:t>
      </w:r>
    </w:p>
    <w:p w14:paraId="6EC55148" w14:textId="77777777" w:rsidR="009021F1" w:rsidRPr="009B381E" w:rsidRDefault="009021F1" w:rsidP="009021F1">
      <w:pPr>
        <w:rPr>
          <w:rFonts w:cs="Arial"/>
          <w:sz w:val="22"/>
        </w:rPr>
      </w:pPr>
      <w:r w:rsidRPr="009B381E">
        <w:rPr>
          <w:rFonts w:cs="Arial"/>
          <w:sz w:val="22"/>
        </w:rPr>
        <w:t>n.</w:t>
      </w:r>
      <w:r w:rsidRPr="009B381E">
        <w:rPr>
          <w:rFonts w:cs="Arial"/>
          <w:sz w:val="22"/>
        </w:rPr>
        <w:tab/>
        <w:t>tout sous-projet impliquant la construction de tout nouveau barrage ou la réhabilitation de barrages existants pour des fins hydroagricoles, y compris les changements structurels et/ou opérationnels ;</w:t>
      </w:r>
    </w:p>
    <w:p w14:paraId="22CC27C7" w14:textId="77777777" w:rsidR="009021F1" w:rsidRPr="009B381E" w:rsidRDefault="009021F1" w:rsidP="009021F1">
      <w:pPr>
        <w:rPr>
          <w:rFonts w:cs="Arial"/>
          <w:sz w:val="22"/>
        </w:rPr>
      </w:pPr>
      <w:r w:rsidRPr="009B381E">
        <w:rPr>
          <w:rFonts w:cs="Arial"/>
          <w:sz w:val="22"/>
        </w:rPr>
        <w:t>o.</w:t>
      </w:r>
      <w:r w:rsidRPr="009B381E">
        <w:rPr>
          <w:rFonts w:cs="Arial"/>
          <w:sz w:val="22"/>
        </w:rPr>
        <w:tab/>
        <w:t>tout sous-projet susceptible d’utiliser de l’eau provenant des voies navigables internationales ;</w:t>
      </w:r>
    </w:p>
    <w:p w14:paraId="0D1EB112" w14:textId="77777777" w:rsidR="009021F1" w:rsidRPr="009B381E" w:rsidRDefault="009021F1" w:rsidP="009021F1">
      <w:pPr>
        <w:rPr>
          <w:rFonts w:cs="Arial"/>
          <w:sz w:val="22"/>
        </w:rPr>
      </w:pPr>
      <w:r w:rsidRPr="009B381E">
        <w:rPr>
          <w:rFonts w:cs="Arial"/>
          <w:sz w:val="22"/>
        </w:rPr>
        <w:t>p.</w:t>
      </w:r>
      <w:r w:rsidRPr="009B381E">
        <w:rPr>
          <w:rFonts w:cs="Arial"/>
          <w:sz w:val="22"/>
        </w:rPr>
        <w:tab/>
        <w:t xml:space="preserve">les sous-projets qui entraînent des impacts économiques et sociaux à travers : </w:t>
      </w:r>
    </w:p>
    <w:p w14:paraId="6D7BC6B8" w14:textId="77777777" w:rsidR="009021F1" w:rsidRPr="009B381E" w:rsidRDefault="009021F1" w:rsidP="009021F1">
      <w:pPr>
        <w:rPr>
          <w:rFonts w:cs="Arial"/>
          <w:sz w:val="22"/>
        </w:rPr>
      </w:pPr>
      <w:r w:rsidRPr="009B381E">
        <w:rPr>
          <w:rFonts w:cs="Arial"/>
          <w:sz w:val="22"/>
        </w:rPr>
        <w:t>-</w:t>
      </w:r>
      <w:r w:rsidRPr="009B381E">
        <w:rPr>
          <w:rFonts w:cs="Arial"/>
          <w:sz w:val="22"/>
        </w:rPr>
        <w:tab/>
        <w:t>la restriction involontaire de l'accès aux parcs naturels et aires légalement protégés, provoquant des impacts négatifs en ce qui concerne les moyens de subsistance des personnes déplacées.</w:t>
      </w:r>
    </w:p>
    <w:p w14:paraId="7DAB04DB" w14:textId="77777777" w:rsidR="00035AEB" w:rsidRDefault="00035AEB" w:rsidP="009021F1">
      <w:pPr>
        <w:rPr>
          <w:rFonts w:cs="Arial"/>
          <w:b/>
          <w:bCs/>
          <w:sz w:val="22"/>
        </w:rPr>
        <w:sectPr w:rsidR="00035AEB" w:rsidSect="00E637E3">
          <w:headerReference w:type="default" r:id="rId168"/>
          <w:pgSz w:w="11906" w:h="16838"/>
          <w:pgMar w:top="1134" w:right="1418" w:bottom="1134" w:left="1418" w:header="567" w:footer="262" w:gutter="0"/>
          <w:cols w:space="708"/>
          <w:docGrid w:linePitch="360"/>
        </w:sectPr>
      </w:pPr>
    </w:p>
    <w:p w14:paraId="475BBCE6" w14:textId="77777777" w:rsidR="009021F1" w:rsidRDefault="009021F1" w:rsidP="009021F1">
      <w:pPr>
        <w:rPr>
          <w:rFonts w:cs="Arial"/>
          <w:b/>
          <w:bCs/>
          <w:sz w:val="22"/>
        </w:rPr>
      </w:pPr>
      <w:r w:rsidRPr="00860191">
        <w:rPr>
          <w:rFonts w:cs="Arial"/>
          <w:b/>
          <w:bCs/>
          <w:sz w:val="22"/>
        </w:rPr>
        <w:t xml:space="preserve">ANNEXE 15 </w:t>
      </w:r>
      <w:r w:rsidRPr="006A15F1">
        <w:rPr>
          <w:rFonts w:cs="Arial"/>
          <w:b/>
          <w:bCs/>
          <w:sz w:val="22"/>
        </w:rPr>
        <w:t xml:space="preserve">PLAN D’ACTION DE PREVENTION ET REPONSE AUX RISQUES D’EAHS </w:t>
      </w:r>
    </w:p>
    <w:p w14:paraId="256AAC4E" w14:textId="77777777" w:rsidR="009021F1" w:rsidRDefault="009021F1" w:rsidP="009021F1">
      <w:pPr>
        <w:rPr>
          <w:rFonts w:cs="Arial"/>
          <w:sz w:val="22"/>
        </w:rPr>
      </w:pPr>
    </w:p>
    <w:p w14:paraId="086103A2" w14:textId="77777777" w:rsidR="009021F1" w:rsidRDefault="009021F1" w:rsidP="009021F1">
      <w:pPr>
        <w:rPr>
          <w:rFonts w:ascii="Calibri" w:hAnsi="Calibri" w:cs="Calibri"/>
          <w:b/>
          <w:bCs/>
        </w:rPr>
      </w:pPr>
    </w:p>
    <w:tbl>
      <w:tblPr>
        <w:tblStyle w:val="Grilledutableau"/>
        <w:tblW w:w="15475" w:type="dxa"/>
        <w:tblLook w:val="04A0" w:firstRow="1" w:lastRow="0" w:firstColumn="1" w:lastColumn="0" w:noHBand="0" w:noVBand="1"/>
      </w:tblPr>
      <w:tblGrid>
        <w:gridCol w:w="2519"/>
        <w:gridCol w:w="2804"/>
        <w:gridCol w:w="1990"/>
        <w:gridCol w:w="1703"/>
        <w:gridCol w:w="1690"/>
        <w:gridCol w:w="1558"/>
        <w:gridCol w:w="1709"/>
        <w:gridCol w:w="1493"/>
        <w:gridCol w:w="9"/>
      </w:tblGrid>
      <w:tr w:rsidR="009021F1" w:rsidRPr="00F2455C" w14:paraId="62CA8EEC" w14:textId="77777777" w:rsidTr="00E637E3">
        <w:tc>
          <w:tcPr>
            <w:tcW w:w="15475" w:type="dxa"/>
            <w:gridSpan w:val="9"/>
            <w:vAlign w:val="center"/>
          </w:tcPr>
          <w:p w14:paraId="0CD5026C" w14:textId="77777777" w:rsidR="009021F1" w:rsidRPr="00F2455C" w:rsidRDefault="009021F1" w:rsidP="00E637E3">
            <w:pPr>
              <w:rPr>
                <w:rFonts w:ascii="Calibri" w:hAnsi="Calibri" w:cs="Calibri"/>
                <w:b/>
                <w:bCs/>
                <w:sz w:val="19"/>
                <w:szCs w:val="19"/>
              </w:rPr>
            </w:pPr>
            <w:r w:rsidRPr="00F2455C">
              <w:rPr>
                <w:rFonts w:cstheme="minorHAnsi"/>
                <w:b/>
                <w:bCs/>
                <w:color w:val="000000"/>
                <w:sz w:val="19"/>
                <w:szCs w:val="19"/>
              </w:rPr>
              <w:t>FACTEURS PRINCIPAUX DES RISQUES RELATIFS A l’EAHS DANS LE CADRE DU PNDA</w:t>
            </w:r>
          </w:p>
        </w:tc>
      </w:tr>
      <w:tr w:rsidR="009021F1" w:rsidRPr="00F2455C" w14:paraId="08A6E87D" w14:textId="77777777" w:rsidTr="00E637E3">
        <w:tc>
          <w:tcPr>
            <w:tcW w:w="15475" w:type="dxa"/>
            <w:gridSpan w:val="9"/>
          </w:tcPr>
          <w:p w14:paraId="0FD9DB97" w14:textId="77777777" w:rsidR="009021F1" w:rsidRPr="00F2455C" w:rsidRDefault="009021F1" w:rsidP="00E637E3">
            <w:pPr>
              <w:pStyle w:val="Paragraphedeliste"/>
              <w:numPr>
                <w:ilvl w:val="0"/>
                <w:numId w:val="172"/>
              </w:numPr>
              <w:spacing w:line="240" w:lineRule="auto"/>
              <w:jc w:val="left"/>
              <w:rPr>
                <w:rFonts w:cstheme="minorHAnsi"/>
                <w:color w:val="000000"/>
                <w:sz w:val="19"/>
                <w:szCs w:val="19"/>
              </w:rPr>
            </w:pPr>
            <w:r w:rsidRPr="00F2455C">
              <w:rPr>
                <w:rFonts w:cstheme="minorHAnsi"/>
                <w:color w:val="000000"/>
                <w:sz w:val="19"/>
                <w:szCs w:val="19"/>
              </w:rPr>
              <w:t>Localisation du projet dans des zones humanitaires affectées par le conflit et la présence des groupes armés</w:t>
            </w:r>
          </w:p>
          <w:p w14:paraId="33C9D9E4" w14:textId="77777777" w:rsidR="009021F1" w:rsidRPr="00F2455C" w:rsidRDefault="009021F1" w:rsidP="00E637E3">
            <w:pPr>
              <w:pStyle w:val="Paragraphedeliste"/>
              <w:numPr>
                <w:ilvl w:val="0"/>
                <w:numId w:val="172"/>
              </w:numPr>
              <w:spacing w:line="240" w:lineRule="auto"/>
              <w:ind w:right="-767"/>
              <w:jc w:val="left"/>
              <w:rPr>
                <w:rFonts w:cstheme="minorHAnsi"/>
                <w:color w:val="000000"/>
                <w:sz w:val="19"/>
                <w:szCs w:val="19"/>
              </w:rPr>
            </w:pPr>
            <w:r w:rsidRPr="00F2455C">
              <w:rPr>
                <w:rFonts w:cstheme="minorHAnsi"/>
                <w:color w:val="000000"/>
                <w:sz w:val="19"/>
                <w:szCs w:val="19"/>
              </w:rPr>
              <w:t xml:space="preserve">Certains sites du projet sont aussi très reculés ou dans des zones rurales avec un accès difficile sur une étendue du pays assez vaste </w:t>
            </w:r>
          </w:p>
          <w:p w14:paraId="61B8D5D8" w14:textId="77777777" w:rsidR="009021F1" w:rsidRPr="00F2455C" w:rsidRDefault="009021F1" w:rsidP="00E637E3">
            <w:pPr>
              <w:pStyle w:val="Paragraphedeliste"/>
              <w:numPr>
                <w:ilvl w:val="0"/>
                <w:numId w:val="172"/>
              </w:numPr>
              <w:spacing w:line="240" w:lineRule="auto"/>
              <w:jc w:val="left"/>
              <w:rPr>
                <w:rFonts w:cstheme="minorHAnsi"/>
                <w:color w:val="000000"/>
                <w:sz w:val="19"/>
                <w:szCs w:val="19"/>
              </w:rPr>
            </w:pPr>
            <w:r w:rsidRPr="00F2455C">
              <w:rPr>
                <w:rFonts w:cstheme="minorHAnsi"/>
                <w:color w:val="000000"/>
                <w:sz w:val="19"/>
                <w:szCs w:val="19"/>
              </w:rPr>
              <w:t>Niveau majeur des travaux de génie civil avec un afflux de main d’œuvre moyen anticipé</w:t>
            </w:r>
          </w:p>
          <w:p w14:paraId="0AF0AD64" w14:textId="77777777" w:rsidR="009021F1" w:rsidRPr="00F2455C" w:rsidRDefault="009021F1" w:rsidP="00E637E3">
            <w:pPr>
              <w:pStyle w:val="Paragraphedeliste"/>
              <w:numPr>
                <w:ilvl w:val="0"/>
                <w:numId w:val="172"/>
              </w:numPr>
              <w:spacing w:line="240" w:lineRule="auto"/>
              <w:jc w:val="left"/>
              <w:rPr>
                <w:rFonts w:cstheme="minorHAnsi"/>
                <w:color w:val="000000"/>
                <w:sz w:val="19"/>
                <w:szCs w:val="19"/>
              </w:rPr>
            </w:pPr>
            <w:r w:rsidRPr="00F2455C">
              <w:rPr>
                <w:rFonts w:cstheme="minorHAnsi"/>
                <w:color w:val="000000"/>
                <w:sz w:val="19"/>
                <w:szCs w:val="19"/>
              </w:rPr>
              <w:t>Travaux seront exécutés dans des zones régulièrement traversées par les femmes et les filles</w:t>
            </w:r>
          </w:p>
          <w:p w14:paraId="4E389AB6" w14:textId="77777777" w:rsidR="009021F1" w:rsidRPr="00F2455C" w:rsidRDefault="009021F1" w:rsidP="00E637E3">
            <w:pPr>
              <w:pStyle w:val="Paragraphedeliste"/>
              <w:numPr>
                <w:ilvl w:val="0"/>
                <w:numId w:val="172"/>
              </w:numPr>
              <w:spacing w:line="240" w:lineRule="auto"/>
              <w:jc w:val="left"/>
              <w:rPr>
                <w:rFonts w:cstheme="minorHAnsi"/>
                <w:color w:val="000000"/>
                <w:sz w:val="19"/>
                <w:szCs w:val="19"/>
              </w:rPr>
            </w:pPr>
            <w:r w:rsidRPr="00F2455C">
              <w:rPr>
                <w:rFonts w:cstheme="minorHAnsi"/>
                <w:color w:val="000000"/>
                <w:sz w:val="19"/>
                <w:szCs w:val="19"/>
              </w:rPr>
              <w:t>Consultations limitées avec des femmes dans des espaces sûrs et confidentiels (manque de facilitatrices) avec informations limitées ou pas connues sur les retours des femmes sur les impacts et les risques du projet</w:t>
            </w:r>
          </w:p>
          <w:p w14:paraId="6C941999" w14:textId="77777777" w:rsidR="009021F1" w:rsidRPr="00F2455C" w:rsidRDefault="009021F1" w:rsidP="00E637E3">
            <w:pPr>
              <w:pStyle w:val="Paragraphedeliste"/>
              <w:numPr>
                <w:ilvl w:val="0"/>
                <w:numId w:val="172"/>
              </w:numPr>
              <w:spacing w:line="240" w:lineRule="auto"/>
              <w:jc w:val="left"/>
              <w:rPr>
                <w:rFonts w:cstheme="minorHAnsi"/>
                <w:color w:val="000000"/>
                <w:sz w:val="19"/>
                <w:szCs w:val="19"/>
              </w:rPr>
            </w:pPr>
            <w:r w:rsidRPr="00F2455C">
              <w:rPr>
                <w:rFonts w:cstheme="minorHAnsi"/>
                <w:color w:val="000000"/>
                <w:sz w:val="19"/>
                <w:szCs w:val="19"/>
              </w:rPr>
              <w:t>Capacité de supervision et suivi des mesures d’atténuation des risques d’EAHS par l’UGP est limitée vu l’étendue du projet et la difficulté vécue par le Ministère d’Agriculture de gérer les risques d’EAHS dans d’autres projets agricoles</w:t>
            </w:r>
          </w:p>
        </w:tc>
      </w:tr>
      <w:tr w:rsidR="009021F1" w:rsidRPr="00F2455C" w14:paraId="5D57ADF3" w14:textId="77777777" w:rsidTr="00E637E3">
        <w:trPr>
          <w:gridAfter w:val="1"/>
          <w:wAfter w:w="17" w:type="dxa"/>
          <w:tblHeader/>
        </w:trPr>
        <w:tc>
          <w:tcPr>
            <w:tcW w:w="2430" w:type="dxa"/>
            <w:vAlign w:val="center"/>
          </w:tcPr>
          <w:p w14:paraId="0631B817" w14:textId="77777777" w:rsidR="009021F1" w:rsidRPr="00F2455C" w:rsidRDefault="009021F1" w:rsidP="00E637E3">
            <w:pPr>
              <w:jc w:val="center"/>
              <w:rPr>
                <w:rFonts w:cstheme="minorHAnsi"/>
                <w:b/>
                <w:sz w:val="19"/>
                <w:szCs w:val="19"/>
              </w:rPr>
            </w:pPr>
            <w:r w:rsidRPr="00F2455C">
              <w:rPr>
                <w:rFonts w:cstheme="minorHAnsi"/>
                <w:b/>
                <w:bCs/>
                <w:color w:val="000000"/>
                <w:sz w:val="19"/>
                <w:szCs w:val="19"/>
              </w:rPr>
              <w:t>COMPOSANTE</w:t>
            </w:r>
          </w:p>
        </w:tc>
        <w:tc>
          <w:tcPr>
            <w:tcW w:w="2165" w:type="dxa"/>
            <w:vAlign w:val="center"/>
          </w:tcPr>
          <w:p w14:paraId="3C6FF211" w14:textId="77777777" w:rsidR="009021F1" w:rsidRPr="00F2455C" w:rsidRDefault="009021F1" w:rsidP="00E637E3">
            <w:pPr>
              <w:jc w:val="center"/>
              <w:rPr>
                <w:rFonts w:cstheme="minorHAnsi"/>
                <w:b/>
                <w:bCs/>
                <w:color w:val="000000"/>
                <w:sz w:val="19"/>
                <w:szCs w:val="19"/>
              </w:rPr>
            </w:pPr>
            <w:r w:rsidRPr="00F2455C">
              <w:rPr>
                <w:rFonts w:cstheme="minorHAnsi"/>
                <w:b/>
                <w:bCs/>
                <w:color w:val="000000"/>
                <w:sz w:val="19"/>
                <w:szCs w:val="19"/>
              </w:rPr>
              <w:t>RISQUES</w:t>
            </w:r>
          </w:p>
        </w:tc>
        <w:tc>
          <w:tcPr>
            <w:tcW w:w="2473" w:type="dxa"/>
            <w:vAlign w:val="center"/>
          </w:tcPr>
          <w:p w14:paraId="2DA65A5B" w14:textId="77777777" w:rsidR="009021F1" w:rsidRPr="00F2455C" w:rsidRDefault="009021F1" w:rsidP="00E637E3">
            <w:pPr>
              <w:jc w:val="center"/>
              <w:rPr>
                <w:rFonts w:cstheme="minorHAnsi"/>
                <w:color w:val="000000"/>
                <w:sz w:val="19"/>
                <w:szCs w:val="19"/>
              </w:rPr>
            </w:pPr>
            <w:r w:rsidRPr="00F2455C">
              <w:rPr>
                <w:rFonts w:cstheme="minorHAnsi"/>
                <w:b/>
                <w:bCs/>
                <w:color w:val="000000"/>
                <w:sz w:val="19"/>
                <w:szCs w:val="19"/>
              </w:rPr>
              <w:t>MESURES D'ATTENUATION</w:t>
            </w:r>
          </w:p>
        </w:tc>
        <w:tc>
          <w:tcPr>
            <w:tcW w:w="1786" w:type="dxa"/>
            <w:vAlign w:val="center"/>
          </w:tcPr>
          <w:p w14:paraId="61E52947" w14:textId="77777777" w:rsidR="009021F1" w:rsidRPr="00F2455C" w:rsidRDefault="009021F1" w:rsidP="00E637E3">
            <w:pPr>
              <w:jc w:val="center"/>
              <w:rPr>
                <w:rFonts w:cstheme="minorHAnsi"/>
                <w:color w:val="000000"/>
                <w:sz w:val="19"/>
                <w:szCs w:val="19"/>
              </w:rPr>
            </w:pPr>
            <w:r w:rsidRPr="00F2455C">
              <w:rPr>
                <w:rFonts w:cstheme="minorHAnsi"/>
                <w:b/>
                <w:bCs/>
                <w:color w:val="000000"/>
                <w:sz w:val="19"/>
                <w:szCs w:val="19"/>
              </w:rPr>
              <w:t>RESPONSABLE DE MISE EN ŒUVRE</w:t>
            </w:r>
          </w:p>
        </w:tc>
        <w:tc>
          <w:tcPr>
            <w:tcW w:w="1746" w:type="dxa"/>
            <w:vAlign w:val="center"/>
          </w:tcPr>
          <w:p w14:paraId="2F6D68ED" w14:textId="77777777" w:rsidR="009021F1" w:rsidRPr="00F2455C" w:rsidRDefault="009021F1" w:rsidP="00E637E3">
            <w:pPr>
              <w:jc w:val="center"/>
              <w:rPr>
                <w:rFonts w:cstheme="minorHAnsi"/>
                <w:b/>
                <w:bCs/>
                <w:sz w:val="19"/>
                <w:szCs w:val="19"/>
              </w:rPr>
            </w:pPr>
            <w:r w:rsidRPr="00F2455C">
              <w:rPr>
                <w:rFonts w:cstheme="minorHAnsi"/>
                <w:b/>
                <w:bCs/>
                <w:sz w:val="19"/>
                <w:szCs w:val="19"/>
              </w:rPr>
              <w:t>RESPONSABLE DE SUIVI</w:t>
            </w:r>
          </w:p>
        </w:tc>
        <w:tc>
          <w:tcPr>
            <w:tcW w:w="1460" w:type="dxa"/>
            <w:vAlign w:val="center"/>
          </w:tcPr>
          <w:p w14:paraId="135F27AA" w14:textId="77777777" w:rsidR="009021F1" w:rsidRPr="00F2455C" w:rsidRDefault="009021F1" w:rsidP="00E637E3">
            <w:pPr>
              <w:jc w:val="center"/>
              <w:rPr>
                <w:rFonts w:cstheme="minorHAnsi"/>
                <w:b/>
                <w:bCs/>
                <w:color w:val="000000"/>
                <w:sz w:val="19"/>
                <w:szCs w:val="19"/>
              </w:rPr>
            </w:pPr>
            <w:r w:rsidRPr="00F2455C">
              <w:rPr>
                <w:rFonts w:cstheme="minorHAnsi"/>
                <w:b/>
                <w:bCs/>
                <w:color w:val="000000"/>
                <w:sz w:val="19"/>
                <w:szCs w:val="19"/>
              </w:rPr>
              <w:t>ECHEANCE</w:t>
            </w:r>
          </w:p>
        </w:tc>
        <w:tc>
          <w:tcPr>
            <w:tcW w:w="1892" w:type="dxa"/>
            <w:vAlign w:val="center"/>
          </w:tcPr>
          <w:p w14:paraId="448156E3" w14:textId="77777777" w:rsidR="009021F1" w:rsidRPr="00F2455C" w:rsidRDefault="009021F1" w:rsidP="00E637E3">
            <w:pPr>
              <w:jc w:val="center"/>
              <w:rPr>
                <w:rFonts w:cstheme="minorHAnsi"/>
                <w:b/>
                <w:bCs/>
                <w:color w:val="000000"/>
                <w:sz w:val="19"/>
                <w:szCs w:val="19"/>
              </w:rPr>
            </w:pPr>
            <w:r w:rsidRPr="00F2455C">
              <w:rPr>
                <w:rFonts w:cstheme="minorHAnsi"/>
                <w:b/>
                <w:bCs/>
                <w:color w:val="000000"/>
                <w:sz w:val="19"/>
                <w:szCs w:val="19"/>
              </w:rPr>
              <w:t>INDICATEURS</w:t>
            </w:r>
          </w:p>
        </w:tc>
        <w:tc>
          <w:tcPr>
            <w:tcW w:w="1511" w:type="dxa"/>
            <w:vAlign w:val="center"/>
          </w:tcPr>
          <w:p w14:paraId="30EF09CC" w14:textId="77777777" w:rsidR="009021F1" w:rsidRPr="00F2455C" w:rsidRDefault="009021F1" w:rsidP="00E637E3">
            <w:pPr>
              <w:jc w:val="center"/>
              <w:rPr>
                <w:rFonts w:cstheme="minorHAnsi"/>
                <w:b/>
                <w:bCs/>
                <w:sz w:val="19"/>
                <w:szCs w:val="19"/>
              </w:rPr>
            </w:pPr>
            <w:r w:rsidRPr="00F2455C">
              <w:rPr>
                <w:rFonts w:cstheme="minorHAnsi"/>
                <w:b/>
                <w:bCs/>
                <w:sz w:val="19"/>
                <w:szCs w:val="19"/>
              </w:rPr>
              <w:t>BUDGET</w:t>
            </w:r>
          </w:p>
        </w:tc>
      </w:tr>
      <w:tr w:rsidR="009021F1" w:rsidRPr="00F2455C" w14:paraId="637E003C" w14:textId="77777777" w:rsidTr="00E637E3">
        <w:trPr>
          <w:gridAfter w:val="1"/>
          <w:wAfter w:w="17" w:type="dxa"/>
          <w:trHeight w:val="144"/>
        </w:trPr>
        <w:tc>
          <w:tcPr>
            <w:tcW w:w="4595" w:type="dxa"/>
            <w:gridSpan w:val="2"/>
            <w:vMerge w:val="restart"/>
          </w:tcPr>
          <w:p w14:paraId="07B93120" w14:textId="77777777" w:rsidR="009021F1" w:rsidRPr="009F5DEB" w:rsidRDefault="009021F1" w:rsidP="00E637E3">
            <w:pPr>
              <w:rPr>
                <w:rFonts w:cstheme="minorHAnsi"/>
                <w:b/>
                <w:bCs/>
                <w:color w:val="000000"/>
                <w:sz w:val="19"/>
                <w:szCs w:val="19"/>
              </w:rPr>
            </w:pPr>
            <w:r w:rsidRPr="00F2455C">
              <w:rPr>
                <w:rFonts w:cstheme="minorHAnsi"/>
                <w:b/>
                <w:bCs/>
                <w:color w:val="000000"/>
                <w:sz w:val="19"/>
                <w:szCs w:val="19"/>
              </w:rPr>
              <w:t>Mesures d’atténuation globales pour le projet :</w:t>
            </w:r>
          </w:p>
        </w:tc>
        <w:tc>
          <w:tcPr>
            <w:tcW w:w="10868" w:type="dxa"/>
            <w:gridSpan w:val="6"/>
            <w:tcBorders>
              <w:bottom w:val="single" w:sz="4" w:space="0" w:color="auto"/>
            </w:tcBorders>
          </w:tcPr>
          <w:p w14:paraId="669E570A" w14:textId="77777777" w:rsidR="009021F1" w:rsidRPr="00F2455C" w:rsidRDefault="009021F1" w:rsidP="00E637E3">
            <w:pPr>
              <w:rPr>
                <w:rFonts w:cstheme="minorHAnsi"/>
                <w:sz w:val="19"/>
                <w:szCs w:val="19"/>
              </w:rPr>
            </w:pPr>
            <w:r w:rsidRPr="00F2455C">
              <w:rPr>
                <w:rFonts w:cstheme="minorHAnsi"/>
                <w:b/>
                <w:bCs/>
                <w:color w:val="000000"/>
                <w:sz w:val="19"/>
                <w:szCs w:val="19"/>
              </w:rPr>
              <w:t>Plan de supervision, incluant :</w:t>
            </w:r>
          </w:p>
        </w:tc>
      </w:tr>
      <w:tr w:rsidR="009021F1" w:rsidRPr="00F2455C" w14:paraId="6D5E1097" w14:textId="77777777" w:rsidTr="00E637E3">
        <w:trPr>
          <w:gridAfter w:val="1"/>
          <w:wAfter w:w="17" w:type="dxa"/>
          <w:trHeight w:val="432"/>
        </w:trPr>
        <w:tc>
          <w:tcPr>
            <w:tcW w:w="4595" w:type="dxa"/>
            <w:gridSpan w:val="2"/>
            <w:vMerge/>
          </w:tcPr>
          <w:p w14:paraId="73DBE352" w14:textId="77777777" w:rsidR="009021F1" w:rsidRPr="00F2455C" w:rsidRDefault="009021F1" w:rsidP="00E637E3">
            <w:pPr>
              <w:rPr>
                <w:rFonts w:cstheme="minorHAnsi"/>
                <w:color w:val="000000"/>
                <w:sz w:val="19"/>
                <w:szCs w:val="19"/>
              </w:rPr>
            </w:pPr>
          </w:p>
        </w:tc>
        <w:tc>
          <w:tcPr>
            <w:tcW w:w="2473" w:type="dxa"/>
            <w:tcBorders>
              <w:bottom w:val="single" w:sz="4" w:space="0" w:color="auto"/>
            </w:tcBorders>
          </w:tcPr>
          <w:p w14:paraId="55ACC5B6" w14:textId="77777777" w:rsidR="009021F1" w:rsidRPr="00F2455C" w:rsidRDefault="009021F1" w:rsidP="00E637E3">
            <w:pPr>
              <w:autoSpaceDE w:val="0"/>
              <w:autoSpaceDN w:val="0"/>
              <w:adjustRightInd w:val="0"/>
              <w:rPr>
                <w:rFonts w:ascii="Calibri" w:eastAsia="MS Mincho" w:hAnsi="Calibri" w:cs="Calibri"/>
                <w:bCs/>
                <w:sz w:val="19"/>
                <w:szCs w:val="19"/>
              </w:rPr>
            </w:pPr>
            <w:r w:rsidRPr="00F2455C">
              <w:rPr>
                <w:rFonts w:cstheme="minorHAnsi"/>
                <w:color w:val="000000"/>
                <w:sz w:val="19"/>
                <w:szCs w:val="19"/>
              </w:rPr>
              <w:t>Recruter un(e) Spécialiste en VBG pour superviser la mise en œuvre des mesures d’atténuation des risques d’EAHS</w:t>
            </w:r>
          </w:p>
        </w:tc>
        <w:tc>
          <w:tcPr>
            <w:tcW w:w="1786" w:type="dxa"/>
            <w:tcBorders>
              <w:bottom w:val="single" w:sz="4" w:space="0" w:color="auto"/>
            </w:tcBorders>
          </w:tcPr>
          <w:p w14:paraId="6029B9F2" w14:textId="77777777" w:rsidR="009021F1" w:rsidRPr="00F2455C" w:rsidRDefault="009021F1" w:rsidP="00E637E3">
            <w:pPr>
              <w:rPr>
                <w:rFonts w:cstheme="minorHAnsi"/>
                <w:color w:val="000000"/>
                <w:sz w:val="19"/>
                <w:szCs w:val="19"/>
              </w:rPr>
            </w:pPr>
            <w:r w:rsidRPr="00F2455C">
              <w:rPr>
                <w:rFonts w:cstheme="minorHAnsi"/>
                <w:color w:val="000000"/>
                <w:sz w:val="19"/>
                <w:szCs w:val="19"/>
              </w:rPr>
              <w:t>Passation des marchés</w:t>
            </w:r>
          </w:p>
        </w:tc>
        <w:tc>
          <w:tcPr>
            <w:tcW w:w="1746" w:type="dxa"/>
            <w:tcBorders>
              <w:bottom w:val="single" w:sz="4" w:space="0" w:color="auto"/>
            </w:tcBorders>
          </w:tcPr>
          <w:p w14:paraId="3BCF6928" w14:textId="77777777" w:rsidR="009021F1" w:rsidRPr="00F2455C" w:rsidRDefault="009021F1" w:rsidP="00E637E3">
            <w:pPr>
              <w:rPr>
                <w:rFonts w:cstheme="minorHAnsi"/>
                <w:color w:val="000000"/>
                <w:sz w:val="19"/>
                <w:szCs w:val="19"/>
              </w:rPr>
            </w:pPr>
            <w:r w:rsidRPr="00F2455C">
              <w:rPr>
                <w:rFonts w:cstheme="minorHAnsi"/>
                <w:color w:val="000000"/>
                <w:sz w:val="19"/>
                <w:szCs w:val="19"/>
              </w:rPr>
              <w:t>Passation des marchés</w:t>
            </w:r>
          </w:p>
        </w:tc>
        <w:tc>
          <w:tcPr>
            <w:tcW w:w="1460" w:type="dxa"/>
            <w:tcBorders>
              <w:bottom w:val="single" w:sz="4" w:space="0" w:color="auto"/>
            </w:tcBorders>
          </w:tcPr>
          <w:p w14:paraId="1F02011E" w14:textId="77777777" w:rsidR="009021F1" w:rsidRPr="00F2455C" w:rsidRDefault="009021F1" w:rsidP="00E637E3">
            <w:pPr>
              <w:rPr>
                <w:rFonts w:cstheme="minorHAnsi"/>
                <w:color w:val="000000"/>
                <w:sz w:val="19"/>
                <w:szCs w:val="19"/>
              </w:rPr>
            </w:pPr>
            <w:r w:rsidRPr="00F2455C">
              <w:rPr>
                <w:rFonts w:cstheme="minorHAnsi"/>
                <w:color w:val="000000"/>
                <w:sz w:val="19"/>
                <w:szCs w:val="19"/>
              </w:rPr>
              <w:t>Avant la mise en vigueur du projet</w:t>
            </w:r>
          </w:p>
        </w:tc>
        <w:tc>
          <w:tcPr>
            <w:tcW w:w="1892" w:type="dxa"/>
            <w:tcBorders>
              <w:bottom w:val="single" w:sz="4" w:space="0" w:color="auto"/>
            </w:tcBorders>
          </w:tcPr>
          <w:p w14:paraId="2AF1B0B8" w14:textId="77777777" w:rsidR="009021F1" w:rsidRPr="00F2455C" w:rsidRDefault="009021F1" w:rsidP="00E637E3">
            <w:pPr>
              <w:rPr>
                <w:rFonts w:cstheme="minorHAnsi"/>
                <w:color w:val="000000"/>
                <w:sz w:val="19"/>
                <w:szCs w:val="19"/>
              </w:rPr>
            </w:pPr>
            <w:r w:rsidRPr="00F2455C">
              <w:rPr>
                <w:rFonts w:cstheme="minorHAnsi"/>
                <w:color w:val="000000"/>
                <w:sz w:val="19"/>
                <w:szCs w:val="19"/>
              </w:rPr>
              <w:t>Nombre de spécialistes en VBG recruté(e)s (1)</w:t>
            </w:r>
          </w:p>
        </w:tc>
        <w:tc>
          <w:tcPr>
            <w:tcW w:w="1511" w:type="dxa"/>
            <w:tcBorders>
              <w:bottom w:val="single" w:sz="4" w:space="0" w:color="auto"/>
            </w:tcBorders>
          </w:tcPr>
          <w:p w14:paraId="15154E00" w14:textId="77777777" w:rsidR="009021F1" w:rsidRPr="00F2455C" w:rsidRDefault="009021F1" w:rsidP="00E637E3">
            <w:pPr>
              <w:rPr>
                <w:rFonts w:cstheme="minorHAnsi"/>
                <w:sz w:val="19"/>
                <w:szCs w:val="19"/>
              </w:rPr>
            </w:pPr>
            <w:r w:rsidRPr="00F2455C">
              <w:rPr>
                <w:rFonts w:cstheme="minorHAnsi"/>
                <w:sz w:val="19"/>
                <w:szCs w:val="19"/>
              </w:rPr>
              <w:t>Pris en compte</w:t>
            </w:r>
          </w:p>
        </w:tc>
      </w:tr>
      <w:tr w:rsidR="009021F1" w:rsidRPr="00F2455C" w14:paraId="126756C7" w14:textId="77777777" w:rsidTr="00E637E3">
        <w:trPr>
          <w:gridAfter w:val="1"/>
          <w:wAfter w:w="17" w:type="dxa"/>
          <w:trHeight w:val="432"/>
        </w:trPr>
        <w:tc>
          <w:tcPr>
            <w:tcW w:w="4595" w:type="dxa"/>
            <w:gridSpan w:val="2"/>
            <w:vMerge/>
          </w:tcPr>
          <w:p w14:paraId="4CAF72B5" w14:textId="77777777" w:rsidR="009021F1" w:rsidRPr="00F2455C" w:rsidRDefault="009021F1" w:rsidP="00E637E3">
            <w:pPr>
              <w:rPr>
                <w:rFonts w:cstheme="minorHAnsi"/>
                <w:color w:val="000000"/>
                <w:sz w:val="19"/>
                <w:szCs w:val="19"/>
              </w:rPr>
            </w:pPr>
          </w:p>
        </w:tc>
        <w:tc>
          <w:tcPr>
            <w:tcW w:w="2473" w:type="dxa"/>
            <w:tcBorders>
              <w:bottom w:val="single" w:sz="4" w:space="0" w:color="auto"/>
            </w:tcBorders>
          </w:tcPr>
          <w:p w14:paraId="01D05B5B" w14:textId="77777777" w:rsidR="009021F1" w:rsidRPr="00F2455C" w:rsidRDefault="009021F1" w:rsidP="00E637E3">
            <w:pPr>
              <w:autoSpaceDE w:val="0"/>
              <w:autoSpaceDN w:val="0"/>
              <w:adjustRightInd w:val="0"/>
              <w:rPr>
                <w:rFonts w:cstheme="minorHAnsi"/>
                <w:color w:val="000000"/>
                <w:sz w:val="19"/>
                <w:szCs w:val="19"/>
              </w:rPr>
            </w:pPr>
            <w:r w:rsidRPr="00F2455C">
              <w:rPr>
                <w:rFonts w:ascii="Calibri" w:eastAsia="MS Mincho" w:hAnsi="Calibri" w:cs="Calibri"/>
                <w:bCs/>
                <w:sz w:val="19"/>
                <w:szCs w:val="19"/>
              </w:rPr>
              <w:t>Assurer la mise en place d’un plan de suivi des interventions liées à l’atténuation, la prévention, et la réponse aux risques d’EAHS dans le cadre du projet, y compris des pratiques concernant la collecte et la gestion des données relatives aux cas d’EAHS et l’élaboration des indicateurs appropriés, en conformité avec les bonnes pratiques internationales y afférentes</w:t>
            </w:r>
            <w:r w:rsidRPr="00F2455C">
              <w:rPr>
                <w:rStyle w:val="Appelnotedebasdep"/>
                <w:rFonts w:eastAsia="MS Mincho" w:cs="Calibri"/>
                <w:bCs/>
                <w:sz w:val="19"/>
                <w:szCs w:val="19"/>
              </w:rPr>
              <w:footnoteReference w:id="67"/>
            </w:r>
          </w:p>
        </w:tc>
        <w:tc>
          <w:tcPr>
            <w:tcW w:w="1786" w:type="dxa"/>
            <w:tcBorders>
              <w:bottom w:val="single" w:sz="4" w:space="0" w:color="auto"/>
            </w:tcBorders>
          </w:tcPr>
          <w:p w14:paraId="314D5E1E" w14:textId="77777777" w:rsidR="009021F1" w:rsidRPr="00F2455C" w:rsidRDefault="009021F1" w:rsidP="00E637E3">
            <w:pPr>
              <w:rPr>
                <w:rFonts w:cstheme="minorHAnsi"/>
                <w:color w:val="000000"/>
                <w:sz w:val="19"/>
                <w:szCs w:val="19"/>
              </w:rPr>
            </w:pPr>
            <w:r w:rsidRPr="00F2455C">
              <w:rPr>
                <w:rFonts w:cstheme="minorHAnsi"/>
                <w:color w:val="000000"/>
                <w:sz w:val="19"/>
                <w:szCs w:val="19"/>
              </w:rPr>
              <w:t>Spécialiste en VBG</w:t>
            </w:r>
          </w:p>
          <w:p w14:paraId="00207740" w14:textId="77777777" w:rsidR="009021F1" w:rsidRPr="00F2455C" w:rsidRDefault="009021F1" w:rsidP="00E637E3">
            <w:pPr>
              <w:rPr>
                <w:rFonts w:cstheme="minorHAnsi"/>
                <w:color w:val="000000"/>
                <w:sz w:val="19"/>
                <w:szCs w:val="19"/>
              </w:rPr>
            </w:pPr>
          </w:p>
          <w:p w14:paraId="788B8E44" w14:textId="77777777" w:rsidR="009021F1" w:rsidRPr="00F2455C" w:rsidRDefault="009021F1" w:rsidP="00E637E3">
            <w:pPr>
              <w:rPr>
                <w:rFonts w:cstheme="minorHAnsi"/>
                <w:color w:val="000000"/>
                <w:sz w:val="19"/>
                <w:szCs w:val="19"/>
              </w:rPr>
            </w:pPr>
            <w:r w:rsidRPr="00F2455C">
              <w:rPr>
                <w:rFonts w:cstheme="minorHAnsi"/>
                <w:color w:val="000000"/>
                <w:sz w:val="19"/>
                <w:szCs w:val="19"/>
              </w:rPr>
              <w:t>Spécialiste en S&amp;E</w:t>
            </w:r>
          </w:p>
        </w:tc>
        <w:tc>
          <w:tcPr>
            <w:tcW w:w="1746" w:type="dxa"/>
            <w:tcBorders>
              <w:bottom w:val="single" w:sz="4" w:space="0" w:color="auto"/>
            </w:tcBorders>
          </w:tcPr>
          <w:p w14:paraId="1CDDB381" w14:textId="77777777" w:rsidR="009021F1" w:rsidRPr="00F2455C" w:rsidRDefault="009021F1" w:rsidP="00E637E3">
            <w:pPr>
              <w:rPr>
                <w:rFonts w:cstheme="minorHAnsi"/>
                <w:color w:val="000000"/>
                <w:sz w:val="19"/>
                <w:szCs w:val="19"/>
              </w:rPr>
            </w:pPr>
            <w:r w:rsidRPr="00F2455C">
              <w:rPr>
                <w:rFonts w:cstheme="minorHAnsi"/>
                <w:color w:val="000000"/>
                <w:sz w:val="19"/>
                <w:szCs w:val="19"/>
              </w:rPr>
              <w:t>Spécialiste en VBG</w:t>
            </w:r>
          </w:p>
          <w:p w14:paraId="003C13D7" w14:textId="77777777" w:rsidR="009021F1" w:rsidRPr="00F2455C" w:rsidRDefault="009021F1" w:rsidP="00E637E3">
            <w:pPr>
              <w:rPr>
                <w:rFonts w:cstheme="minorHAnsi"/>
                <w:color w:val="000000"/>
                <w:sz w:val="19"/>
                <w:szCs w:val="19"/>
              </w:rPr>
            </w:pPr>
          </w:p>
          <w:p w14:paraId="1BD1C685" w14:textId="77777777" w:rsidR="009021F1" w:rsidRPr="00F2455C" w:rsidRDefault="009021F1" w:rsidP="00E637E3">
            <w:pPr>
              <w:rPr>
                <w:rFonts w:cstheme="minorHAnsi"/>
                <w:color w:val="000000"/>
                <w:sz w:val="19"/>
                <w:szCs w:val="19"/>
              </w:rPr>
            </w:pPr>
            <w:r w:rsidRPr="00F2455C">
              <w:rPr>
                <w:rFonts w:cstheme="minorHAnsi"/>
                <w:color w:val="000000"/>
                <w:sz w:val="19"/>
                <w:szCs w:val="19"/>
              </w:rPr>
              <w:t>Spécialiste en S&amp;E</w:t>
            </w:r>
          </w:p>
        </w:tc>
        <w:tc>
          <w:tcPr>
            <w:tcW w:w="1460" w:type="dxa"/>
            <w:tcBorders>
              <w:bottom w:val="single" w:sz="4" w:space="0" w:color="auto"/>
            </w:tcBorders>
          </w:tcPr>
          <w:p w14:paraId="59B9A49F" w14:textId="77777777" w:rsidR="009021F1" w:rsidRPr="00F2455C" w:rsidRDefault="009021F1" w:rsidP="00E637E3">
            <w:pPr>
              <w:rPr>
                <w:rFonts w:cstheme="minorHAnsi"/>
                <w:color w:val="000000"/>
                <w:sz w:val="19"/>
                <w:szCs w:val="19"/>
              </w:rPr>
            </w:pPr>
            <w:r w:rsidRPr="00F2455C">
              <w:rPr>
                <w:rFonts w:cstheme="minorHAnsi"/>
                <w:color w:val="000000"/>
                <w:sz w:val="19"/>
                <w:szCs w:val="19"/>
              </w:rPr>
              <w:t>Avant la mise en vigueur du projet</w:t>
            </w:r>
          </w:p>
        </w:tc>
        <w:tc>
          <w:tcPr>
            <w:tcW w:w="1892" w:type="dxa"/>
            <w:tcBorders>
              <w:bottom w:val="single" w:sz="4" w:space="0" w:color="auto"/>
            </w:tcBorders>
          </w:tcPr>
          <w:p w14:paraId="41ED5ADA" w14:textId="77777777" w:rsidR="009021F1" w:rsidRPr="00F2455C" w:rsidRDefault="009021F1" w:rsidP="00E637E3">
            <w:pPr>
              <w:rPr>
                <w:rFonts w:cstheme="minorHAnsi"/>
                <w:color w:val="000000"/>
                <w:sz w:val="19"/>
                <w:szCs w:val="19"/>
              </w:rPr>
            </w:pPr>
            <w:r w:rsidRPr="00F2455C">
              <w:rPr>
                <w:rFonts w:cstheme="minorHAnsi"/>
                <w:color w:val="000000"/>
                <w:sz w:val="19"/>
                <w:szCs w:val="19"/>
              </w:rPr>
              <w:t>Nombre des missions des collectes de données réalisées (Suivi)</w:t>
            </w:r>
          </w:p>
          <w:p w14:paraId="49C33709" w14:textId="77777777" w:rsidR="009021F1" w:rsidRPr="00F2455C" w:rsidRDefault="009021F1" w:rsidP="00E637E3">
            <w:pPr>
              <w:rPr>
                <w:rFonts w:cstheme="minorHAnsi"/>
                <w:color w:val="000000"/>
                <w:sz w:val="19"/>
                <w:szCs w:val="19"/>
              </w:rPr>
            </w:pPr>
          </w:p>
          <w:p w14:paraId="612325F1" w14:textId="77777777" w:rsidR="009021F1" w:rsidRPr="00F2455C" w:rsidRDefault="009021F1" w:rsidP="00E637E3">
            <w:pPr>
              <w:rPr>
                <w:rFonts w:cstheme="minorHAnsi"/>
                <w:color w:val="000000"/>
                <w:sz w:val="19"/>
                <w:szCs w:val="19"/>
              </w:rPr>
            </w:pPr>
            <w:r w:rsidRPr="00F2455C">
              <w:rPr>
                <w:rFonts w:cstheme="minorHAnsi"/>
                <w:color w:val="000000"/>
                <w:sz w:val="19"/>
                <w:szCs w:val="19"/>
              </w:rPr>
              <w:t>Nombre des missions supervisions réalisées</w:t>
            </w:r>
          </w:p>
        </w:tc>
        <w:tc>
          <w:tcPr>
            <w:tcW w:w="1511" w:type="dxa"/>
            <w:tcBorders>
              <w:bottom w:val="single" w:sz="4" w:space="0" w:color="auto"/>
            </w:tcBorders>
          </w:tcPr>
          <w:p w14:paraId="1C7367F1" w14:textId="77777777" w:rsidR="009021F1" w:rsidRPr="00F2455C" w:rsidRDefault="009021F1" w:rsidP="00E637E3">
            <w:pPr>
              <w:rPr>
                <w:rFonts w:cstheme="minorHAnsi"/>
                <w:sz w:val="19"/>
                <w:szCs w:val="19"/>
              </w:rPr>
            </w:pPr>
            <w:r w:rsidRPr="00F2455C">
              <w:rPr>
                <w:rFonts w:cstheme="minorHAnsi"/>
                <w:sz w:val="19"/>
                <w:szCs w:val="19"/>
              </w:rPr>
              <w:t>250000$</w:t>
            </w:r>
          </w:p>
        </w:tc>
      </w:tr>
      <w:tr w:rsidR="009021F1" w:rsidRPr="00F2455C" w14:paraId="65A0589E" w14:textId="77777777" w:rsidTr="00E637E3">
        <w:trPr>
          <w:gridAfter w:val="1"/>
          <w:wAfter w:w="17" w:type="dxa"/>
          <w:trHeight w:val="755"/>
        </w:trPr>
        <w:tc>
          <w:tcPr>
            <w:tcW w:w="4595" w:type="dxa"/>
            <w:gridSpan w:val="2"/>
            <w:vMerge/>
          </w:tcPr>
          <w:p w14:paraId="2178DC0C" w14:textId="77777777" w:rsidR="009021F1" w:rsidRPr="00F2455C" w:rsidRDefault="009021F1" w:rsidP="00E637E3">
            <w:pPr>
              <w:rPr>
                <w:rFonts w:cstheme="minorHAnsi"/>
                <w:color w:val="000000"/>
                <w:sz w:val="19"/>
                <w:szCs w:val="19"/>
              </w:rPr>
            </w:pPr>
          </w:p>
        </w:tc>
        <w:tc>
          <w:tcPr>
            <w:tcW w:w="2473" w:type="dxa"/>
            <w:tcBorders>
              <w:bottom w:val="single" w:sz="4" w:space="0" w:color="auto"/>
            </w:tcBorders>
          </w:tcPr>
          <w:p w14:paraId="349E8456" w14:textId="77777777" w:rsidR="009021F1" w:rsidRPr="00F2455C" w:rsidRDefault="009021F1" w:rsidP="00E637E3">
            <w:pPr>
              <w:autoSpaceDE w:val="0"/>
              <w:autoSpaceDN w:val="0"/>
              <w:adjustRightInd w:val="0"/>
              <w:rPr>
                <w:rFonts w:ascii="Calibri" w:eastAsia="MS Mincho" w:hAnsi="Calibri" w:cs="Calibri"/>
                <w:bCs/>
                <w:sz w:val="19"/>
                <w:szCs w:val="19"/>
              </w:rPr>
            </w:pPr>
            <w:r w:rsidRPr="00F2455C">
              <w:rPr>
                <w:rFonts w:cstheme="minorHAnsi"/>
                <w:color w:val="000000"/>
                <w:sz w:val="19"/>
                <w:szCs w:val="19"/>
              </w:rPr>
              <w:t>Rendre disponibles toutes les données existantes sur les risques et l’exposition des populations en matière d’EAHS afin que ces informations soient intégrées dans les stratégies d’intervention et utilisées pour éclairer les évaluations externes (toujours en conformité aux bonnes pratiques internationales dans la collecte et la gestion des données VBG)</w:t>
            </w:r>
          </w:p>
        </w:tc>
        <w:tc>
          <w:tcPr>
            <w:tcW w:w="1786" w:type="dxa"/>
            <w:tcBorders>
              <w:bottom w:val="single" w:sz="4" w:space="0" w:color="auto"/>
            </w:tcBorders>
          </w:tcPr>
          <w:p w14:paraId="4047B820" w14:textId="77777777" w:rsidR="009021F1" w:rsidRPr="00F2455C" w:rsidRDefault="009021F1" w:rsidP="00E637E3">
            <w:pPr>
              <w:rPr>
                <w:rFonts w:cstheme="minorHAnsi"/>
                <w:color w:val="000000"/>
                <w:sz w:val="19"/>
                <w:szCs w:val="19"/>
              </w:rPr>
            </w:pPr>
            <w:r w:rsidRPr="00F2455C">
              <w:rPr>
                <w:rFonts w:cstheme="minorHAnsi"/>
                <w:color w:val="000000"/>
                <w:sz w:val="19"/>
                <w:szCs w:val="19"/>
              </w:rPr>
              <w:t>Spécialiste en VBG</w:t>
            </w:r>
          </w:p>
          <w:p w14:paraId="1A6F7826" w14:textId="77777777" w:rsidR="009021F1" w:rsidRPr="00F2455C" w:rsidRDefault="009021F1" w:rsidP="00E637E3">
            <w:pPr>
              <w:rPr>
                <w:rFonts w:cstheme="minorHAnsi"/>
                <w:color w:val="000000"/>
                <w:sz w:val="19"/>
                <w:szCs w:val="19"/>
              </w:rPr>
            </w:pPr>
          </w:p>
          <w:p w14:paraId="4160F916" w14:textId="77777777" w:rsidR="009021F1" w:rsidRPr="00F2455C" w:rsidRDefault="009021F1" w:rsidP="00E637E3">
            <w:pPr>
              <w:rPr>
                <w:rFonts w:cstheme="minorHAnsi"/>
                <w:color w:val="000000"/>
                <w:sz w:val="19"/>
                <w:szCs w:val="19"/>
              </w:rPr>
            </w:pPr>
            <w:r w:rsidRPr="00F2455C">
              <w:rPr>
                <w:rFonts w:cstheme="minorHAnsi"/>
                <w:color w:val="000000"/>
                <w:sz w:val="19"/>
                <w:szCs w:val="19"/>
              </w:rPr>
              <w:t>Spécialiste en S&amp;E</w:t>
            </w:r>
          </w:p>
        </w:tc>
        <w:tc>
          <w:tcPr>
            <w:tcW w:w="1746" w:type="dxa"/>
            <w:tcBorders>
              <w:bottom w:val="single" w:sz="4" w:space="0" w:color="auto"/>
            </w:tcBorders>
          </w:tcPr>
          <w:p w14:paraId="40408C12" w14:textId="77777777" w:rsidR="009021F1" w:rsidRPr="00F2455C" w:rsidRDefault="009021F1" w:rsidP="00E637E3">
            <w:pPr>
              <w:rPr>
                <w:rFonts w:cstheme="minorHAnsi"/>
                <w:color w:val="000000"/>
                <w:sz w:val="19"/>
                <w:szCs w:val="19"/>
              </w:rPr>
            </w:pPr>
            <w:r w:rsidRPr="00F2455C">
              <w:rPr>
                <w:rFonts w:cstheme="minorHAnsi"/>
                <w:color w:val="000000"/>
                <w:sz w:val="19"/>
                <w:szCs w:val="19"/>
              </w:rPr>
              <w:t>Spécialiste en VBG</w:t>
            </w:r>
          </w:p>
          <w:p w14:paraId="074A6888" w14:textId="77777777" w:rsidR="009021F1" w:rsidRPr="00F2455C" w:rsidRDefault="009021F1" w:rsidP="00E637E3">
            <w:pPr>
              <w:rPr>
                <w:rFonts w:cstheme="minorHAnsi"/>
                <w:color w:val="000000"/>
                <w:sz w:val="19"/>
                <w:szCs w:val="19"/>
              </w:rPr>
            </w:pPr>
          </w:p>
          <w:p w14:paraId="4C98E2A7" w14:textId="77777777" w:rsidR="009021F1" w:rsidRPr="00F2455C" w:rsidRDefault="009021F1" w:rsidP="00E637E3">
            <w:pPr>
              <w:rPr>
                <w:rFonts w:cstheme="minorHAnsi"/>
                <w:color w:val="000000"/>
                <w:sz w:val="19"/>
                <w:szCs w:val="19"/>
              </w:rPr>
            </w:pPr>
            <w:r w:rsidRPr="00F2455C">
              <w:rPr>
                <w:rFonts w:cstheme="minorHAnsi"/>
                <w:color w:val="000000"/>
                <w:sz w:val="19"/>
                <w:szCs w:val="19"/>
              </w:rPr>
              <w:t>Spécialiste en S&amp;E</w:t>
            </w:r>
          </w:p>
        </w:tc>
        <w:tc>
          <w:tcPr>
            <w:tcW w:w="1460" w:type="dxa"/>
            <w:tcBorders>
              <w:bottom w:val="single" w:sz="4" w:space="0" w:color="auto"/>
            </w:tcBorders>
          </w:tcPr>
          <w:p w14:paraId="203BF1D1" w14:textId="77777777" w:rsidR="009021F1" w:rsidRPr="00F2455C" w:rsidRDefault="009021F1" w:rsidP="00E637E3">
            <w:pPr>
              <w:rPr>
                <w:rFonts w:cstheme="minorHAnsi"/>
                <w:color w:val="000000"/>
                <w:sz w:val="19"/>
                <w:szCs w:val="19"/>
              </w:rPr>
            </w:pPr>
            <w:r w:rsidRPr="00F2455C">
              <w:rPr>
                <w:rFonts w:cstheme="minorHAnsi"/>
                <w:color w:val="000000"/>
                <w:sz w:val="19"/>
                <w:szCs w:val="19"/>
              </w:rPr>
              <w:t>Tout au long de la mise en vigueur du projet</w:t>
            </w:r>
          </w:p>
        </w:tc>
        <w:tc>
          <w:tcPr>
            <w:tcW w:w="1892" w:type="dxa"/>
            <w:tcBorders>
              <w:bottom w:val="single" w:sz="4" w:space="0" w:color="auto"/>
            </w:tcBorders>
          </w:tcPr>
          <w:p w14:paraId="36B8ADE7" w14:textId="77777777" w:rsidR="009021F1" w:rsidRPr="00F2455C" w:rsidRDefault="009021F1" w:rsidP="00E637E3">
            <w:pPr>
              <w:rPr>
                <w:rFonts w:cstheme="minorHAnsi"/>
                <w:color w:val="000000"/>
                <w:sz w:val="19"/>
                <w:szCs w:val="19"/>
              </w:rPr>
            </w:pPr>
            <w:r w:rsidRPr="00F2455C">
              <w:rPr>
                <w:rFonts w:cstheme="minorHAnsi"/>
                <w:color w:val="000000"/>
                <w:sz w:val="19"/>
                <w:szCs w:val="19"/>
              </w:rPr>
              <w:t>N/A</w:t>
            </w:r>
          </w:p>
        </w:tc>
        <w:tc>
          <w:tcPr>
            <w:tcW w:w="1511" w:type="dxa"/>
            <w:tcBorders>
              <w:bottom w:val="single" w:sz="4" w:space="0" w:color="auto"/>
            </w:tcBorders>
          </w:tcPr>
          <w:p w14:paraId="65F43BA0" w14:textId="77777777" w:rsidR="009021F1" w:rsidRPr="00F2455C" w:rsidRDefault="009021F1" w:rsidP="00E637E3">
            <w:pPr>
              <w:rPr>
                <w:rFonts w:cstheme="minorHAnsi"/>
                <w:sz w:val="19"/>
                <w:szCs w:val="19"/>
              </w:rPr>
            </w:pPr>
            <w:r w:rsidRPr="00F2455C">
              <w:rPr>
                <w:rFonts w:cstheme="minorHAnsi"/>
                <w:sz w:val="19"/>
                <w:szCs w:val="19"/>
              </w:rPr>
              <w:t>Voir ci-dessus</w:t>
            </w:r>
          </w:p>
        </w:tc>
      </w:tr>
      <w:tr w:rsidR="009021F1" w:rsidRPr="00F2455C" w14:paraId="3F8EB1EC" w14:textId="77777777" w:rsidTr="00E637E3">
        <w:trPr>
          <w:gridAfter w:val="1"/>
          <w:wAfter w:w="17" w:type="dxa"/>
          <w:trHeight w:val="755"/>
        </w:trPr>
        <w:tc>
          <w:tcPr>
            <w:tcW w:w="4595" w:type="dxa"/>
            <w:gridSpan w:val="2"/>
            <w:vMerge/>
          </w:tcPr>
          <w:p w14:paraId="53748A07" w14:textId="77777777" w:rsidR="009021F1" w:rsidRPr="00F2455C" w:rsidRDefault="009021F1" w:rsidP="00E637E3">
            <w:pPr>
              <w:rPr>
                <w:rFonts w:cstheme="minorHAnsi"/>
                <w:color w:val="000000"/>
                <w:sz w:val="19"/>
                <w:szCs w:val="19"/>
              </w:rPr>
            </w:pPr>
          </w:p>
        </w:tc>
        <w:tc>
          <w:tcPr>
            <w:tcW w:w="2473" w:type="dxa"/>
            <w:tcBorders>
              <w:bottom w:val="single" w:sz="4" w:space="0" w:color="auto"/>
            </w:tcBorders>
          </w:tcPr>
          <w:p w14:paraId="38E00636" w14:textId="77777777" w:rsidR="009021F1" w:rsidRPr="00F2455C" w:rsidRDefault="009021F1" w:rsidP="00E637E3">
            <w:pPr>
              <w:autoSpaceDE w:val="0"/>
              <w:autoSpaceDN w:val="0"/>
              <w:adjustRightInd w:val="0"/>
              <w:rPr>
                <w:rFonts w:ascii="Calibri" w:eastAsia="MS Mincho" w:hAnsi="Calibri" w:cs="Calibri"/>
                <w:bCs/>
                <w:sz w:val="19"/>
                <w:szCs w:val="19"/>
              </w:rPr>
            </w:pPr>
            <w:r w:rsidRPr="00F2455C">
              <w:rPr>
                <w:rFonts w:cstheme="minorHAnsi"/>
                <w:sz w:val="19"/>
                <w:szCs w:val="19"/>
              </w:rPr>
              <w:t xml:space="preserve">Organiser des évaluations </w:t>
            </w:r>
            <w:r>
              <w:rPr>
                <w:rFonts w:cstheme="minorHAnsi"/>
                <w:sz w:val="19"/>
                <w:szCs w:val="19"/>
              </w:rPr>
              <w:t>se</w:t>
            </w:r>
            <w:r w:rsidRPr="00F2455C">
              <w:rPr>
                <w:rFonts w:cstheme="minorHAnsi"/>
                <w:sz w:val="19"/>
                <w:szCs w:val="19"/>
              </w:rPr>
              <w:t>mestrielles rapides des risques de VBG/EAHS par province</w:t>
            </w:r>
            <w:r>
              <w:rPr>
                <w:rFonts w:cstheme="minorHAnsi"/>
                <w:sz w:val="19"/>
                <w:szCs w:val="19"/>
              </w:rPr>
              <w:t>.</w:t>
            </w:r>
            <w:r>
              <w:rPr>
                <w:rStyle w:val="Appelnotedebasdep"/>
                <w:rFonts w:cstheme="minorHAnsi"/>
                <w:sz w:val="19"/>
                <w:szCs w:val="19"/>
              </w:rPr>
              <w:footnoteReference w:id="68"/>
            </w:r>
          </w:p>
        </w:tc>
        <w:tc>
          <w:tcPr>
            <w:tcW w:w="1786" w:type="dxa"/>
            <w:tcBorders>
              <w:bottom w:val="single" w:sz="4" w:space="0" w:color="auto"/>
            </w:tcBorders>
          </w:tcPr>
          <w:p w14:paraId="055B0D07" w14:textId="77777777" w:rsidR="009021F1" w:rsidRPr="00F2455C" w:rsidRDefault="009021F1" w:rsidP="00E637E3">
            <w:pPr>
              <w:rPr>
                <w:rFonts w:cstheme="minorHAnsi"/>
                <w:color w:val="000000"/>
                <w:sz w:val="19"/>
                <w:szCs w:val="19"/>
              </w:rPr>
            </w:pPr>
            <w:r w:rsidRPr="00F2455C">
              <w:rPr>
                <w:rFonts w:cstheme="minorHAnsi"/>
                <w:color w:val="000000"/>
                <w:sz w:val="19"/>
                <w:szCs w:val="19"/>
              </w:rPr>
              <w:t>Spécialiste en S&amp;E</w:t>
            </w:r>
          </w:p>
        </w:tc>
        <w:tc>
          <w:tcPr>
            <w:tcW w:w="1746" w:type="dxa"/>
            <w:tcBorders>
              <w:bottom w:val="single" w:sz="4" w:space="0" w:color="auto"/>
            </w:tcBorders>
          </w:tcPr>
          <w:p w14:paraId="110F7CFE" w14:textId="77777777" w:rsidR="009021F1" w:rsidRPr="00F2455C" w:rsidRDefault="009021F1" w:rsidP="00E637E3">
            <w:pPr>
              <w:rPr>
                <w:rFonts w:cstheme="minorHAnsi"/>
                <w:color w:val="000000"/>
                <w:sz w:val="19"/>
                <w:szCs w:val="19"/>
              </w:rPr>
            </w:pPr>
            <w:r w:rsidRPr="00F2455C">
              <w:rPr>
                <w:rFonts w:cstheme="minorHAnsi"/>
                <w:color w:val="000000"/>
                <w:sz w:val="19"/>
                <w:szCs w:val="19"/>
              </w:rPr>
              <w:t>Spécialiste en VBG</w:t>
            </w:r>
          </w:p>
          <w:p w14:paraId="1A3ADFA3" w14:textId="77777777" w:rsidR="009021F1" w:rsidRPr="00F2455C" w:rsidRDefault="009021F1" w:rsidP="00E637E3">
            <w:pPr>
              <w:rPr>
                <w:rFonts w:cstheme="minorHAnsi"/>
                <w:color w:val="000000"/>
                <w:sz w:val="19"/>
                <w:szCs w:val="19"/>
              </w:rPr>
            </w:pPr>
          </w:p>
          <w:p w14:paraId="5FA22F01" w14:textId="77777777" w:rsidR="009021F1" w:rsidRPr="00F2455C" w:rsidRDefault="009021F1" w:rsidP="00E637E3">
            <w:pPr>
              <w:rPr>
                <w:rFonts w:cstheme="minorHAnsi"/>
                <w:color w:val="000000"/>
                <w:sz w:val="19"/>
                <w:szCs w:val="19"/>
              </w:rPr>
            </w:pPr>
            <w:r w:rsidRPr="00F2455C">
              <w:rPr>
                <w:rFonts w:cstheme="minorHAnsi"/>
                <w:color w:val="000000"/>
                <w:sz w:val="19"/>
                <w:szCs w:val="19"/>
              </w:rPr>
              <w:t>Spécialiste en S&amp;E</w:t>
            </w:r>
          </w:p>
        </w:tc>
        <w:tc>
          <w:tcPr>
            <w:tcW w:w="1460" w:type="dxa"/>
            <w:tcBorders>
              <w:bottom w:val="single" w:sz="4" w:space="0" w:color="auto"/>
            </w:tcBorders>
          </w:tcPr>
          <w:p w14:paraId="6BF21B71" w14:textId="77777777" w:rsidR="009021F1" w:rsidRPr="00F2455C" w:rsidRDefault="009021F1" w:rsidP="00E637E3">
            <w:pPr>
              <w:rPr>
                <w:rFonts w:cstheme="minorHAnsi"/>
                <w:color w:val="000000"/>
                <w:sz w:val="19"/>
                <w:szCs w:val="19"/>
              </w:rPr>
            </w:pPr>
            <w:r w:rsidRPr="00F2455C">
              <w:rPr>
                <w:rFonts w:cstheme="minorHAnsi"/>
                <w:color w:val="000000"/>
                <w:sz w:val="19"/>
                <w:szCs w:val="19"/>
              </w:rPr>
              <w:t>Sur base trimestrielle tout au long de la mise en œuvre du projet</w:t>
            </w:r>
          </w:p>
        </w:tc>
        <w:tc>
          <w:tcPr>
            <w:tcW w:w="1892" w:type="dxa"/>
            <w:tcBorders>
              <w:bottom w:val="single" w:sz="4" w:space="0" w:color="auto"/>
            </w:tcBorders>
          </w:tcPr>
          <w:p w14:paraId="4213B556" w14:textId="77777777" w:rsidR="009021F1" w:rsidRPr="00F2455C" w:rsidRDefault="009021F1" w:rsidP="00E637E3">
            <w:pPr>
              <w:rPr>
                <w:rFonts w:cstheme="minorHAnsi"/>
                <w:color w:val="000000"/>
                <w:sz w:val="19"/>
                <w:szCs w:val="19"/>
              </w:rPr>
            </w:pPr>
            <w:r w:rsidRPr="00F2455C">
              <w:rPr>
                <w:rFonts w:cstheme="minorHAnsi"/>
                <w:color w:val="000000"/>
                <w:sz w:val="19"/>
                <w:szCs w:val="19"/>
              </w:rPr>
              <w:t>Nombre d’évaluations organisées par province</w:t>
            </w:r>
          </w:p>
        </w:tc>
        <w:tc>
          <w:tcPr>
            <w:tcW w:w="1511" w:type="dxa"/>
            <w:tcBorders>
              <w:bottom w:val="single" w:sz="4" w:space="0" w:color="auto"/>
            </w:tcBorders>
          </w:tcPr>
          <w:p w14:paraId="092084AE" w14:textId="77777777" w:rsidR="009021F1" w:rsidRPr="00F2455C" w:rsidRDefault="009021F1" w:rsidP="00E637E3">
            <w:pPr>
              <w:rPr>
                <w:rFonts w:cstheme="minorHAnsi"/>
                <w:sz w:val="19"/>
                <w:szCs w:val="19"/>
              </w:rPr>
            </w:pPr>
            <w:r w:rsidRPr="00F2455C">
              <w:rPr>
                <w:rFonts w:cstheme="minorHAnsi"/>
                <w:color w:val="000000"/>
                <w:sz w:val="19"/>
                <w:szCs w:val="19"/>
              </w:rPr>
              <w:t>250000$</w:t>
            </w:r>
          </w:p>
        </w:tc>
      </w:tr>
      <w:tr w:rsidR="009021F1" w:rsidRPr="00F2455C" w14:paraId="17FF2FB7" w14:textId="77777777" w:rsidTr="00E637E3">
        <w:trPr>
          <w:gridAfter w:val="1"/>
          <w:wAfter w:w="17" w:type="dxa"/>
          <w:trHeight w:val="432"/>
        </w:trPr>
        <w:tc>
          <w:tcPr>
            <w:tcW w:w="4595" w:type="dxa"/>
            <w:gridSpan w:val="2"/>
            <w:vMerge/>
            <w:tcBorders>
              <w:bottom w:val="single" w:sz="4" w:space="0" w:color="auto"/>
            </w:tcBorders>
          </w:tcPr>
          <w:p w14:paraId="604C72BD" w14:textId="77777777" w:rsidR="009021F1" w:rsidRPr="00F2455C" w:rsidRDefault="009021F1" w:rsidP="00E637E3">
            <w:pPr>
              <w:rPr>
                <w:rFonts w:cstheme="minorHAnsi"/>
                <w:color w:val="000000"/>
                <w:sz w:val="19"/>
                <w:szCs w:val="19"/>
              </w:rPr>
            </w:pPr>
          </w:p>
        </w:tc>
        <w:tc>
          <w:tcPr>
            <w:tcW w:w="2473" w:type="dxa"/>
            <w:tcBorders>
              <w:bottom w:val="single" w:sz="4" w:space="0" w:color="auto"/>
            </w:tcBorders>
          </w:tcPr>
          <w:p w14:paraId="6FDAABDA" w14:textId="77777777" w:rsidR="009021F1" w:rsidRPr="00F2455C" w:rsidRDefault="009021F1" w:rsidP="00E637E3">
            <w:pPr>
              <w:autoSpaceDE w:val="0"/>
              <w:autoSpaceDN w:val="0"/>
              <w:adjustRightInd w:val="0"/>
              <w:rPr>
                <w:rFonts w:cstheme="minorHAnsi"/>
                <w:sz w:val="19"/>
                <w:szCs w:val="19"/>
              </w:rPr>
            </w:pPr>
            <w:r w:rsidRPr="00F2455C">
              <w:rPr>
                <w:rFonts w:ascii="Calibri" w:eastAsia="MS Mincho" w:hAnsi="Calibri" w:cs="Calibri"/>
                <w:bCs/>
                <w:sz w:val="19"/>
                <w:szCs w:val="19"/>
              </w:rPr>
              <w:t>Intégrer des clauses et actions appropriées dans les documents relatifs aux activités de passation des marchés concernant le recrutement des contractants externes, y compris dans le PGES de l’entreprise</w:t>
            </w:r>
          </w:p>
        </w:tc>
        <w:tc>
          <w:tcPr>
            <w:tcW w:w="1786" w:type="dxa"/>
            <w:tcBorders>
              <w:bottom w:val="single" w:sz="4" w:space="0" w:color="auto"/>
            </w:tcBorders>
          </w:tcPr>
          <w:p w14:paraId="32FFB951" w14:textId="77777777" w:rsidR="009021F1" w:rsidRPr="00F2455C" w:rsidRDefault="009021F1" w:rsidP="00E637E3">
            <w:pPr>
              <w:rPr>
                <w:rFonts w:cstheme="minorHAnsi"/>
                <w:color w:val="000000"/>
                <w:sz w:val="19"/>
                <w:szCs w:val="19"/>
              </w:rPr>
            </w:pPr>
            <w:r w:rsidRPr="00F2455C">
              <w:rPr>
                <w:rFonts w:cstheme="minorHAnsi"/>
                <w:color w:val="000000"/>
                <w:sz w:val="19"/>
                <w:szCs w:val="19"/>
              </w:rPr>
              <w:t>Passation des marchés</w:t>
            </w:r>
          </w:p>
        </w:tc>
        <w:tc>
          <w:tcPr>
            <w:tcW w:w="1746" w:type="dxa"/>
            <w:tcBorders>
              <w:bottom w:val="single" w:sz="4" w:space="0" w:color="auto"/>
            </w:tcBorders>
          </w:tcPr>
          <w:p w14:paraId="17751A4A" w14:textId="77777777" w:rsidR="009021F1" w:rsidRPr="00F2455C" w:rsidRDefault="009021F1" w:rsidP="00E637E3">
            <w:pPr>
              <w:rPr>
                <w:rFonts w:cstheme="minorHAnsi"/>
                <w:color w:val="000000"/>
                <w:sz w:val="19"/>
                <w:szCs w:val="19"/>
              </w:rPr>
            </w:pPr>
            <w:r w:rsidRPr="00F2455C">
              <w:rPr>
                <w:rFonts w:cstheme="minorHAnsi"/>
                <w:color w:val="000000"/>
                <w:sz w:val="19"/>
                <w:szCs w:val="19"/>
              </w:rPr>
              <w:t>Spécialiste en VBG</w:t>
            </w:r>
          </w:p>
          <w:p w14:paraId="027E55C3" w14:textId="77777777" w:rsidR="009021F1" w:rsidRPr="00F2455C" w:rsidRDefault="009021F1" w:rsidP="00E637E3">
            <w:pPr>
              <w:rPr>
                <w:rFonts w:cstheme="minorHAnsi"/>
                <w:color w:val="000000"/>
                <w:sz w:val="19"/>
                <w:szCs w:val="19"/>
              </w:rPr>
            </w:pPr>
          </w:p>
          <w:p w14:paraId="43ACDB41" w14:textId="77777777" w:rsidR="009021F1" w:rsidRPr="00F2455C" w:rsidRDefault="009021F1" w:rsidP="00E637E3">
            <w:pPr>
              <w:rPr>
                <w:rFonts w:cstheme="minorHAnsi"/>
                <w:color w:val="000000"/>
                <w:sz w:val="19"/>
                <w:szCs w:val="19"/>
              </w:rPr>
            </w:pPr>
            <w:r w:rsidRPr="00F2455C">
              <w:rPr>
                <w:rFonts w:cstheme="minorHAnsi"/>
                <w:color w:val="000000"/>
                <w:sz w:val="19"/>
                <w:szCs w:val="19"/>
              </w:rPr>
              <w:t>Passation des marchés</w:t>
            </w:r>
          </w:p>
          <w:p w14:paraId="5964160B" w14:textId="77777777" w:rsidR="009021F1" w:rsidRPr="00F2455C" w:rsidRDefault="009021F1" w:rsidP="00E637E3">
            <w:pPr>
              <w:rPr>
                <w:rFonts w:cstheme="minorHAnsi"/>
                <w:color w:val="000000"/>
                <w:sz w:val="19"/>
                <w:szCs w:val="19"/>
              </w:rPr>
            </w:pPr>
          </w:p>
        </w:tc>
        <w:tc>
          <w:tcPr>
            <w:tcW w:w="1460" w:type="dxa"/>
            <w:tcBorders>
              <w:bottom w:val="single" w:sz="4" w:space="0" w:color="auto"/>
            </w:tcBorders>
          </w:tcPr>
          <w:p w14:paraId="6FAE9523" w14:textId="77777777" w:rsidR="009021F1" w:rsidRPr="00F2455C" w:rsidRDefault="009021F1" w:rsidP="00E637E3">
            <w:pPr>
              <w:rPr>
                <w:rFonts w:cstheme="minorHAnsi"/>
                <w:color w:val="000000"/>
                <w:sz w:val="19"/>
                <w:szCs w:val="19"/>
              </w:rPr>
            </w:pPr>
            <w:r w:rsidRPr="00F2455C">
              <w:rPr>
                <w:rFonts w:cstheme="minorHAnsi"/>
                <w:color w:val="000000"/>
                <w:sz w:val="19"/>
                <w:szCs w:val="19"/>
              </w:rPr>
              <w:t>Tout au long de la mise en œuvre du projet</w:t>
            </w:r>
          </w:p>
        </w:tc>
        <w:tc>
          <w:tcPr>
            <w:tcW w:w="1892" w:type="dxa"/>
            <w:tcBorders>
              <w:bottom w:val="single" w:sz="4" w:space="0" w:color="auto"/>
            </w:tcBorders>
          </w:tcPr>
          <w:p w14:paraId="179C4432" w14:textId="77777777" w:rsidR="009021F1" w:rsidRPr="00F2455C" w:rsidRDefault="009021F1" w:rsidP="00E637E3">
            <w:pPr>
              <w:rPr>
                <w:rFonts w:cstheme="minorHAnsi"/>
                <w:color w:val="000000"/>
                <w:sz w:val="19"/>
                <w:szCs w:val="19"/>
              </w:rPr>
            </w:pPr>
            <w:r w:rsidRPr="00F2455C">
              <w:rPr>
                <w:rFonts w:cstheme="minorHAnsi"/>
                <w:color w:val="000000"/>
                <w:sz w:val="19"/>
                <w:szCs w:val="19"/>
              </w:rPr>
              <w:t>N/A</w:t>
            </w:r>
          </w:p>
        </w:tc>
        <w:tc>
          <w:tcPr>
            <w:tcW w:w="1511" w:type="dxa"/>
            <w:tcBorders>
              <w:bottom w:val="single" w:sz="4" w:space="0" w:color="auto"/>
            </w:tcBorders>
          </w:tcPr>
          <w:p w14:paraId="60F0FBF7" w14:textId="77777777" w:rsidR="009021F1" w:rsidRPr="00F2455C" w:rsidRDefault="009021F1" w:rsidP="00E637E3">
            <w:pPr>
              <w:rPr>
                <w:rFonts w:cstheme="minorHAnsi"/>
                <w:color w:val="000000"/>
                <w:sz w:val="19"/>
                <w:szCs w:val="19"/>
              </w:rPr>
            </w:pPr>
            <w:r w:rsidRPr="00F2455C">
              <w:rPr>
                <w:rFonts w:cstheme="minorHAnsi"/>
                <w:color w:val="000000"/>
                <w:sz w:val="19"/>
                <w:szCs w:val="19"/>
              </w:rPr>
              <w:t>Pris en compte</w:t>
            </w:r>
          </w:p>
        </w:tc>
      </w:tr>
      <w:tr w:rsidR="009021F1" w:rsidRPr="00F2455C" w14:paraId="735CA377" w14:textId="77777777" w:rsidTr="00E637E3">
        <w:trPr>
          <w:gridAfter w:val="1"/>
          <w:wAfter w:w="17" w:type="dxa"/>
          <w:trHeight w:val="144"/>
        </w:trPr>
        <w:tc>
          <w:tcPr>
            <w:tcW w:w="2430" w:type="dxa"/>
            <w:vMerge w:val="restart"/>
          </w:tcPr>
          <w:p w14:paraId="33D6320F" w14:textId="77777777" w:rsidR="009021F1" w:rsidRPr="00F2455C" w:rsidRDefault="009021F1" w:rsidP="00E637E3">
            <w:pPr>
              <w:rPr>
                <w:rFonts w:cstheme="minorHAnsi"/>
                <w:b/>
                <w:color w:val="000000"/>
                <w:sz w:val="19"/>
                <w:szCs w:val="19"/>
              </w:rPr>
            </w:pPr>
            <w:r w:rsidRPr="00F2455C">
              <w:rPr>
                <w:rFonts w:cstheme="minorHAnsi"/>
                <w:b/>
                <w:sz w:val="19"/>
                <w:szCs w:val="19"/>
              </w:rPr>
              <w:t>Composante 1 :</w:t>
            </w:r>
            <w:r w:rsidRPr="00F2455C">
              <w:rPr>
                <w:rFonts w:cstheme="minorHAnsi"/>
                <w:b/>
                <w:color w:val="000000"/>
                <w:sz w:val="19"/>
                <w:szCs w:val="19"/>
              </w:rPr>
              <w:t xml:space="preserve"> Productivité agricole</w:t>
            </w:r>
          </w:p>
          <w:p w14:paraId="3B4B343A" w14:textId="77777777" w:rsidR="009021F1" w:rsidRPr="00F2455C" w:rsidRDefault="009021F1" w:rsidP="00E637E3">
            <w:pPr>
              <w:rPr>
                <w:rFonts w:cstheme="minorHAnsi"/>
                <w:color w:val="000000"/>
                <w:sz w:val="19"/>
                <w:szCs w:val="19"/>
              </w:rPr>
            </w:pPr>
          </w:p>
          <w:p w14:paraId="4F1F798C" w14:textId="77777777" w:rsidR="009021F1" w:rsidRPr="00F2455C" w:rsidRDefault="009021F1" w:rsidP="00E637E3">
            <w:pPr>
              <w:pStyle w:val="Paragraphedeliste"/>
              <w:numPr>
                <w:ilvl w:val="1"/>
                <w:numId w:val="173"/>
              </w:numPr>
              <w:spacing w:line="240" w:lineRule="auto"/>
              <w:contextualSpacing w:val="0"/>
              <w:jc w:val="left"/>
              <w:rPr>
                <w:rFonts w:cstheme="minorHAnsi"/>
                <w:color w:val="000000"/>
                <w:sz w:val="19"/>
                <w:szCs w:val="19"/>
              </w:rPr>
            </w:pPr>
            <w:r w:rsidRPr="00F2455C">
              <w:rPr>
                <w:rFonts w:cstheme="minorHAnsi"/>
                <w:color w:val="000000"/>
                <w:sz w:val="19"/>
                <w:szCs w:val="19"/>
              </w:rPr>
              <w:t>Soutien direct aux petits exploitants</w:t>
            </w:r>
          </w:p>
          <w:p w14:paraId="0586DFF5" w14:textId="77777777" w:rsidR="009021F1" w:rsidRPr="00F2455C" w:rsidRDefault="009021F1" w:rsidP="00E637E3">
            <w:pPr>
              <w:rPr>
                <w:rFonts w:cstheme="minorHAnsi"/>
                <w:sz w:val="19"/>
                <w:szCs w:val="19"/>
              </w:rPr>
            </w:pPr>
          </w:p>
          <w:p w14:paraId="224A634B" w14:textId="77777777" w:rsidR="009021F1" w:rsidRPr="00F2455C" w:rsidRDefault="009021F1" w:rsidP="00E637E3">
            <w:pPr>
              <w:rPr>
                <w:rFonts w:cstheme="minorHAnsi"/>
                <w:color w:val="000000"/>
                <w:sz w:val="19"/>
                <w:szCs w:val="19"/>
              </w:rPr>
            </w:pPr>
            <w:r w:rsidRPr="00F2455C">
              <w:rPr>
                <w:rFonts w:cstheme="minorHAnsi"/>
                <w:color w:val="000000"/>
                <w:sz w:val="19"/>
                <w:szCs w:val="19"/>
              </w:rPr>
              <w:t>Aide directe aux petits exploitants agricoles pour adoption des pratiques, technologies et intrants CSA (agriculture intelligente face au climat) et AIN (agriculture intelligente face à la nutrition) (semences, plants, races animales, services de conseil et de vulgarisation).</w:t>
            </w:r>
          </w:p>
          <w:p w14:paraId="1ACFEAF2" w14:textId="77777777" w:rsidR="009021F1" w:rsidRPr="00F2455C" w:rsidRDefault="009021F1" w:rsidP="00E637E3">
            <w:pPr>
              <w:rPr>
                <w:rFonts w:cstheme="minorHAnsi"/>
                <w:sz w:val="19"/>
                <w:szCs w:val="19"/>
              </w:rPr>
            </w:pPr>
          </w:p>
          <w:p w14:paraId="35751052" w14:textId="77777777" w:rsidR="009021F1" w:rsidRPr="00F2455C" w:rsidRDefault="009021F1" w:rsidP="00E637E3">
            <w:pPr>
              <w:pStyle w:val="Paragraphedeliste"/>
              <w:numPr>
                <w:ilvl w:val="1"/>
                <w:numId w:val="173"/>
              </w:numPr>
              <w:spacing w:line="240" w:lineRule="auto"/>
              <w:contextualSpacing w:val="0"/>
              <w:jc w:val="left"/>
              <w:rPr>
                <w:rFonts w:cstheme="minorHAnsi"/>
                <w:color w:val="000000"/>
                <w:sz w:val="19"/>
                <w:szCs w:val="19"/>
              </w:rPr>
            </w:pPr>
            <w:r w:rsidRPr="00F2455C">
              <w:rPr>
                <w:rFonts w:cstheme="minorHAnsi"/>
                <w:color w:val="000000"/>
                <w:sz w:val="19"/>
                <w:szCs w:val="19"/>
              </w:rPr>
              <w:t>Assistance technique et accès financier aux petits exploitants</w:t>
            </w:r>
          </w:p>
          <w:p w14:paraId="66FFDB6D" w14:textId="77777777" w:rsidR="009021F1" w:rsidRPr="00F2455C" w:rsidRDefault="009021F1" w:rsidP="00E637E3">
            <w:pPr>
              <w:rPr>
                <w:rFonts w:cstheme="minorHAnsi"/>
                <w:sz w:val="19"/>
                <w:szCs w:val="19"/>
              </w:rPr>
            </w:pPr>
          </w:p>
          <w:p w14:paraId="0091C2F0" w14:textId="77777777" w:rsidR="009021F1" w:rsidRPr="00F2455C" w:rsidRDefault="009021F1" w:rsidP="00E637E3">
            <w:pPr>
              <w:rPr>
                <w:rFonts w:cstheme="minorHAnsi"/>
                <w:color w:val="000000"/>
                <w:sz w:val="19"/>
                <w:szCs w:val="19"/>
              </w:rPr>
            </w:pPr>
            <w:r w:rsidRPr="00F2455C">
              <w:rPr>
                <w:rFonts w:cstheme="minorHAnsi"/>
                <w:color w:val="000000"/>
                <w:sz w:val="19"/>
                <w:szCs w:val="19"/>
              </w:rPr>
              <w:t>Accès à l’assistance technique et aux services financiers, promotion de meilleures pratiques et amélioration de la productivité des petits exploitants</w:t>
            </w:r>
          </w:p>
          <w:p w14:paraId="72F01899" w14:textId="77777777" w:rsidR="009021F1" w:rsidRPr="00F2455C" w:rsidRDefault="009021F1" w:rsidP="00E637E3">
            <w:pPr>
              <w:rPr>
                <w:rFonts w:cstheme="minorHAnsi"/>
                <w:color w:val="000000"/>
                <w:sz w:val="19"/>
                <w:szCs w:val="19"/>
              </w:rPr>
            </w:pPr>
          </w:p>
          <w:p w14:paraId="7FEC9440" w14:textId="77777777" w:rsidR="009021F1" w:rsidRPr="00F2455C" w:rsidRDefault="009021F1" w:rsidP="00E637E3">
            <w:pPr>
              <w:rPr>
                <w:rFonts w:cstheme="minorHAnsi"/>
                <w:b/>
                <w:color w:val="000000"/>
                <w:sz w:val="19"/>
                <w:szCs w:val="19"/>
              </w:rPr>
            </w:pPr>
            <w:r w:rsidRPr="00F2455C">
              <w:rPr>
                <w:rFonts w:cstheme="minorHAnsi"/>
                <w:b/>
                <w:color w:val="000000"/>
                <w:sz w:val="19"/>
                <w:szCs w:val="19"/>
              </w:rPr>
              <w:t>Composante 2 : Accès au marché des petits exploitants</w:t>
            </w:r>
          </w:p>
          <w:p w14:paraId="32004B92" w14:textId="77777777" w:rsidR="009021F1" w:rsidRPr="00F2455C" w:rsidRDefault="009021F1" w:rsidP="00E637E3">
            <w:pPr>
              <w:rPr>
                <w:rFonts w:cstheme="minorHAnsi"/>
                <w:color w:val="000000"/>
                <w:sz w:val="19"/>
                <w:szCs w:val="19"/>
              </w:rPr>
            </w:pPr>
          </w:p>
          <w:p w14:paraId="505FDE4E" w14:textId="77777777" w:rsidR="009021F1" w:rsidRPr="00F2455C" w:rsidRDefault="009021F1" w:rsidP="00E637E3">
            <w:pPr>
              <w:pStyle w:val="Paragraphedeliste"/>
              <w:numPr>
                <w:ilvl w:val="1"/>
                <w:numId w:val="174"/>
              </w:numPr>
              <w:spacing w:line="240" w:lineRule="auto"/>
              <w:contextualSpacing w:val="0"/>
              <w:jc w:val="left"/>
              <w:rPr>
                <w:rFonts w:cstheme="minorHAnsi"/>
                <w:color w:val="000000"/>
                <w:sz w:val="19"/>
                <w:szCs w:val="19"/>
              </w:rPr>
            </w:pPr>
            <w:r w:rsidRPr="00F2455C">
              <w:rPr>
                <w:rFonts w:cstheme="minorHAnsi"/>
                <w:color w:val="000000"/>
                <w:sz w:val="19"/>
                <w:szCs w:val="19"/>
              </w:rPr>
              <w:t>Infrastructure rurale</w:t>
            </w:r>
          </w:p>
          <w:p w14:paraId="08E02E01" w14:textId="77777777" w:rsidR="009021F1" w:rsidRPr="00F2455C" w:rsidRDefault="009021F1" w:rsidP="00E637E3">
            <w:pPr>
              <w:rPr>
                <w:rFonts w:cstheme="minorHAnsi"/>
                <w:sz w:val="19"/>
                <w:szCs w:val="19"/>
              </w:rPr>
            </w:pPr>
          </w:p>
          <w:p w14:paraId="1B51A3C6" w14:textId="77777777" w:rsidR="009021F1" w:rsidRPr="00F2455C" w:rsidRDefault="009021F1" w:rsidP="00E637E3">
            <w:pPr>
              <w:rPr>
                <w:rFonts w:cstheme="minorHAnsi"/>
                <w:color w:val="000000"/>
                <w:sz w:val="19"/>
                <w:szCs w:val="19"/>
              </w:rPr>
            </w:pPr>
            <w:r w:rsidRPr="00F2455C">
              <w:rPr>
                <w:rFonts w:cstheme="minorHAnsi"/>
                <w:color w:val="000000"/>
                <w:sz w:val="19"/>
                <w:szCs w:val="19"/>
              </w:rPr>
              <w:t>Réhabilitation et construction des pistes rurales, incluant des rampes et ponts, afin de faciliter l’accès aux marchés</w:t>
            </w:r>
          </w:p>
          <w:p w14:paraId="26049A61" w14:textId="77777777" w:rsidR="009021F1" w:rsidRPr="00F2455C" w:rsidRDefault="009021F1" w:rsidP="00E637E3">
            <w:pPr>
              <w:rPr>
                <w:rFonts w:cstheme="minorHAnsi"/>
                <w:color w:val="000000"/>
                <w:sz w:val="19"/>
                <w:szCs w:val="19"/>
              </w:rPr>
            </w:pPr>
          </w:p>
          <w:p w14:paraId="19A33E9A" w14:textId="77777777" w:rsidR="009021F1" w:rsidRPr="00F2455C" w:rsidRDefault="009021F1" w:rsidP="00E637E3">
            <w:pPr>
              <w:pStyle w:val="Paragraphedeliste"/>
              <w:numPr>
                <w:ilvl w:val="1"/>
                <w:numId w:val="174"/>
              </w:numPr>
              <w:spacing w:line="240" w:lineRule="auto"/>
              <w:contextualSpacing w:val="0"/>
              <w:jc w:val="left"/>
              <w:rPr>
                <w:rFonts w:cstheme="minorHAnsi"/>
                <w:color w:val="000000"/>
                <w:sz w:val="19"/>
                <w:szCs w:val="19"/>
              </w:rPr>
            </w:pPr>
            <w:r w:rsidRPr="00F2455C">
              <w:rPr>
                <w:rFonts w:cstheme="minorHAnsi"/>
                <w:color w:val="000000"/>
                <w:sz w:val="19"/>
                <w:szCs w:val="19"/>
              </w:rPr>
              <w:t>Soutien à l’inclusion des petits exploitants dans les chaînes de valeur</w:t>
            </w:r>
          </w:p>
          <w:p w14:paraId="26A558BD" w14:textId="77777777" w:rsidR="009021F1" w:rsidRPr="00F2455C" w:rsidRDefault="009021F1" w:rsidP="00E637E3">
            <w:pPr>
              <w:rPr>
                <w:rFonts w:cstheme="minorHAnsi"/>
                <w:sz w:val="19"/>
                <w:szCs w:val="19"/>
              </w:rPr>
            </w:pPr>
          </w:p>
          <w:p w14:paraId="304A0661" w14:textId="77777777" w:rsidR="009021F1" w:rsidRPr="00F2455C" w:rsidRDefault="009021F1" w:rsidP="00E637E3">
            <w:pPr>
              <w:rPr>
                <w:rFonts w:cstheme="minorHAnsi"/>
                <w:sz w:val="19"/>
                <w:szCs w:val="19"/>
              </w:rPr>
            </w:pPr>
            <w:r w:rsidRPr="00F2455C">
              <w:rPr>
                <w:rFonts w:cstheme="minorHAnsi"/>
                <w:color w:val="000000"/>
                <w:sz w:val="19"/>
                <w:szCs w:val="19"/>
              </w:rPr>
              <w:t>Subventions de contrepartie et accès aux lignes de crédit basées sur une approche axée sur la demande aux groupes de petits exploitants agricoles (coopératives/associations) et aux agro-MPME qui travailleront avec les petits exploitants agricoles bénéficiaires de la première composante</w:t>
            </w:r>
          </w:p>
          <w:p w14:paraId="22E3882A" w14:textId="77777777" w:rsidR="009021F1" w:rsidRPr="00F2455C" w:rsidRDefault="009021F1" w:rsidP="00E637E3">
            <w:pPr>
              <w:rPr>
                <w:rFonts w:cstheme="minorHAnsi"/>
                <w:b/>
                <w:sz w:val="19"/>
                <w:szCs w:val="19"/>
              </w:rPr>
            </w:pPr>
          </w:p>
        </w:tc>
        <w:tc>
          <w:tcPr>
            <w:tcW w:w="2165" w:type="dxa"/>
            <w:vMerge w:val="restart"/>
          </w:tcPr>
          <w:p w14:paraId="0DEB6D55" w14:textId="77777777" w:rsidR="009021F1" w:rsidRPr="00F2455C" w:rsidRDefault="009021F1" w:rsidP="00E637E3">
            <w:pPr>
              <w:rPr>
                <w:rFonts w:cstheme="minorHAnsi"/>
                <w:color w:val="000000"/>
                <w:sz w:val="19"/>
                <w:szCs w:val="19"/>
              </w:rPr>
            </w:pPr>
            <w:r w:rsidRPr="00F2455C">
              <w:rPr>
                <w:rFonts w:cstheme="minorHAnsi"/>
                <w:color w:val="000000"/>
                <w:sz w:val="19"/>
                <w:szCs w:val="19"/>
              </w:rPr>
              <w:t>Risques d'EAHS liés :</w:t>
            </w:r>
          </w:p>
          <w:p w14:paraId="1BCE0097" w14:textId="77777777" w:rsidR="009021F1" w:rsidRPr="00F2455C" w:rsidRDefault="009021F1" w:rsidP="00E637E3">
            <w:pPr>
              <w:rPr>
                <w:rFonts w:cstheme="minorHAnsi"/>
                <w:color w:val="000000"/>
                <w:sz w:val="19"/>
                <w:szCs w:val="19"/>
              </w:rPr>
            </w:pPr>
          </w:p>
          <w:p w14:paraId="48F968DD" w14:textId="77777777" w:rsidR="009021F1" w:rsidRPr="00F2455C" w:rsidRDefault="009021F1" w:rsidP="00E637E3">
            <w:pPr>
              <w:pStyle w:val="Paragraphedeliste"/>
              <w:numPr>
                <w:ilvl w:val="0"/>
                <w:numId w:val="177"/>
              </w:numPr>
              <w:spacing w:line="240" w:lineRule="auto"/>
              <w:ind w:left="285" w:hanging="270"/>
              <w:contextualSpacing w:val="0"/>
              <w:jc w:val="left"/>
              <w:rPr>
                <w:rFonts w:ascii="Calibri" w:hAnsi="Calibri" w:cs="Calibri"/>
                <w:color w:val="000000"/>
                <w:sz w:val="19"/>
                <w:szCs w:val="19"/>
              </w:rPr>
            </w:pPr>
            <w:r w:rsidRPr="00F2455C">
              <w:rPr>
                <w:rFonts w:cstheme="minorHAnsi"/>
                <w:color w:val="000000"/>
                <w:sz w:val="19"/>
                <w:szCs w:val="19"/>
              </w:rPr>
              <w:t>à la sélection des bénéficiaires producteurs/-trices pour l’accès à l’aide directe et aux technologies et intrants</w:t>
            </w:r>
          </w:p>
          <w:p w14:paraId="2338AF1E" w14:textId="77777777" w:rsidR="009021F1" w:rsidRPr="00F2455C" w:rsidRDefault="009021F1" w:rsidP="00E637E3">
            <w:pPr>
              <w:pStyle w:val="Paragraphedeliste"/>
              <w:numPr>
                <w:ilvl w:val="0"/>
                <w:numId w:val="177"/>
              </w:numPr>
              <w:spacing w:line="240" w:lineRule="auto"/>
              <w:ind w:left="285" w:hanging="270"/>
              <w:contextualSpacing w:val="0"/>
              <w:jc w:val="left"/>
              <w:rPr>
                <w:rFonts w:ascii="Calibri" w:hAnsi="Calibri" w:cs="Calibri"/>
                <w:color w:val="000000"/>
                <w:sz w:val="19"/>
                <w:szCs w:val="19"/>
              </w:rPr>
            </w:pPr>
            <w:r w:rsidRPr="00F2455C">
              <w:rPr>
                <w:rFonts w:cstheme="minorHAnsi"/>
                <w:color w:val="000000"/>
                <w:sz w:val="19"/>
                <w:szCs w:val="19"/>
              </w:rPr>
              <w:t>à l’accès au registre national des producteurs/-trices</w:t>
            </w:r>
          </w:p>
          <w:p w14:paraId="50A2DAA7" w14:textId="77777777" w:rsidR="009021F1" w:rsidRPr="00F2455C" w:rsidRDefault="009021F1" w:rsidP="00E637E3">
            <w:pPr>
              <w:pStyle w:val="Paragraphedeliste"/>
              <w:numPr>
                <w:ilvl w:val="0"/>
                <w:numId w:val="177"/>
              </w:numPr>
              <w:spacing w:line="240" w:lineRule="auto"/>
              <w:ind w:left="285" w:hanging="270"/>
              <w:contextualSpacing w:val="0"/>
              <w:jc w:val="left"/>
              <w:rPr>
                <w:rFonts w:ascii="Calibri" w:hAnsi="Calibri" w:cs="Calibri"/>
                <w:color w:val="000000"/>
                <w:sz w:val="19"/>
                <w:szCs w:val="19"/>
              </w:rPr>
            </w:pPr>
            <w:r w:rsidRPr="00F2455C">
              <w:rPr>
                <w:rFonts w:cstheme="minorHAnsi"/>
                <w:sz w:val="19"/>
                <w:szCs w:val="19"/>
              </w:rPr>
              <w:t>aux activités d'octroi des micro-crédits et aux services financiers</w:t>
            </w:r>
          </w:p>
          <w:p w14:paraId="12AB20D2" w14:textId="77777777" w:rsidR="009021F1" w:rsidRPr="00F2455C" w:rsidRDefault="009021F1" w:rsidP="00E637E3">
            <w:pPr>
              <w:pStyle w:val="Paragraphedeliste"/>
              <w:numPr>
                <w:ilvl w:val="0"/>
                <w:numId w:val="177"/>
              </w:numPr>
              <w:spacing w:line="240" w:lineRule="auto"/>
              <w:ind w:left="285" w:hanging="270"/>
              <w:contextualSpacing w:val="0"/>
              <w:jc w:val="left"/>
              <w:rPr>
                <w:rFonts w:ascii="Calibri" w:hAnsi="Calibri" w:cs="Calibri"/>
                <w:color w:val="000000"/>
                <w:sz w:val="19"/>
                <w:szCs w:val="19"/>
              </w:rPr>
            </w:pPr>
            <w:r w:rsidRPr="00F2455C">
              <w:rPr>
                <w:rFonts w:cstheme="minorHAnsi"/>
                <w:sz w:val="19"/>
                <w:szCs w:val="19"/>
              </w:rPr>
              <w:t>à la participation aux ateliers de capacitation</w:t>
            </w:r>
          </w:p>
          <w:p w14:paraId="4A16DE32" w14:textId="77777777" w:rsidR="009021F1" w:rsidRPr="00F2455C" w:rsidRDefault="009021F1" w:rsidP="00E637E3">
            <w:pPr>
              <w:pStyle w:val="Paragraphedeliste"/>
              <w:numPr>
                <w:ilvl w:val="0"/>
                <w:numId w:val="177"/>
              </w:numPr>
              <w:spacing w:line="240" w:lineRule="auto"/>
              <w:ind w:left="285" w:hanging="270"/>
              <w:contextualSpacing w:val="0"/>
              <w:jc w:val="left"/>
              <w:rPr>
                <w:rFonts w:ascii="Calibri" w:hAnsi="Calibri" w:cs="Calibri"/>
                <w:color w:val="000000"/>
                <w:sz w:val="19"/>
                <w:szCs w:val="19"/>
              </w:rPr>
            </w:pPr>
            <w:r w:rsidRPr="00F2455C">
              <w:rPr>
                <w:rFonts w:cstheme="minorHAnsi"/>
                <w:color w:val="000000"/>
                <w:sz w:val="19"/>
                <w:szCs w:val="19"/>
              </w:rPr>
              <w:t>à la sélection des (coopératives/associations) et aux agro-MPME en tant que bénéficiaires de projet</w:t>
            </w:r>
          </w:p>
          <w:p w14:paraId="6A57100F" w14:textId="77777777" w:rsidR="009021F1" w:rsidRPr="00F2455C" w:rsidRDefault="009021F1" w:rsidP="00E637E3">
            <w:pPr>
              <w:pStyle w:val="Paragraphedeliste"/>
              <w:numPr>
                <w:ilvl w:val="0"/>
                <w:numId w:val="177"/>
              </w:numPr>
              <w:spacing w:line="240" w:lineRule="auto"/>
              <w:ind w:left="285" w:hanging="270"/>
              <w:contextualSpacing w:val="0"/>
              <w:jc w:val="left"/>
              <w:rPr>
                <w:rFonts w:ascii="Calibri" w:hAnsi="Calibri" w:cs="Calibri"/>
                <w:color w:val="000000"/>
                <w:sz w:val="19"/>
                <w:szCs w:val="19"/>
              </w:rPr>
            </w:pPr>
            <w:r w:rsidRPr="00F2455C">
              <w:rPr>
                <w:rFonts w:cstheme="minorHAnsi"/>
                <w:color w:val="000000"/>
                <w:sz w:val="19"/>
                <w:szCs w:val="19"/>
              </w:rPr>
              <w:t>à la confection des listes des ouvriers THIMO</w:t>
            </w:r>
            <w:r w:rsidRPr="00F2455C">
              <w:rPr>
                <w:rFonts w:cstheme="minorHAnsi"/>
                <w:b/>
                <w:color w:val="000000"/>
                <w:sz w:val="19"/>
                <w:szCs w:val="19"/>
              </w:rPr>
              <w:t xml:space="preserve">, </w:t>
            </w:r>
            <w:r w:rsidRPr="00F2455C">
              <w:rPr>
                <w:rFonts w:cstheme="minorHAnsi"/>
                <w:color w:val="000000"/>
                <w:sz w:val="19"/>
                <w:szCs w:val="19"/>
              </w:rPr>
              <w:t>surtout</w:t>
            </w:r>
            <w:r w:rsidRPr="00F2455C">
              <w:rPr>
                <w:rFonts w:cstheme="minorHAnsi"/>
                <w:b/>
                <w:color w:val="000000"/>
                <w:sz w:val="19"/>
                <w:szCs w:val="19"/>
              </w:rPr>
              <w:t xml:space="preserve"> </w:t>
            </w:r>
            <w:r w:rsidRPr="00F2455C">
              <w:rPr>
                <w:rFonts w:cstheme="minorHAnsi"/>
                <w:color w:val="000000"/>
                <w:sz w:val="19"/>
                <w:szCs w:val="19"/>
              </w:rPr>
              <w:t>discrimination des femmes lors de recrutement de la main d'œuvre locale</w:t>
            </w:r>
          </w:p>
          <w:p w14:paraId="290FFEDF" w14:textId="77777777" w:rsidR="009021F1" w:rsidRPr="00F2455C" w:rsidRDefault="009021F1" w:rsidP="00E637E3">
            <w:pPr>
              <w:pStyle w:val="Paragraphedeliste"/>
              <w:numPr>
                <w:ilvl w:val="0"/>
                <w:numId w:val="177"/>
              </w:numPr>
              <w:spacing w:line="240" w:lineRule="auto"/>
              <w:ind w:left="285" w:hanging="270"/>
              <w:contextualSpacing w:val="0"/>
              <w:jc w:val="left"/>
              <w:rPr>
                <w:rFonts w:ascii="Calibri" w:hAnsi="Calibri" w:cs="Calibri"/>
                <w:color w:val="000000"/>
                <w:sz w:val="19"/>
                <w:szCs w:val="19"/>
              </w:rPr>
            </w:pPr>
            <w:r w:rsidRPr="00F2455C">
              <w:rPr>
                <w:rFonts w:cstheme="minorHAnsi"/>
                <w:color w:val="000000"/>
                <w:sz w:val="19"/>
                <w:szCs w:val="19"/>
              </w:rPr>
              <w:t>à la sollicitation des services de transformation et d'implantation des unités de transformation</w:t>
            </w:r>
          </w:p>
          <w:p w14:paraId="65B1684F" w14:textId="77777777" w:rsidR="009021F1" w:rsidRPr="00F2455C" w:rsidRDefault="009021F1" w:rsidP="00E637E3">
            <w:pPr>
              <w:rPr>
                <w:rFonts w:cstheme="minorHAnsi"/>
                <w:color w:val="000000"/>
                <w:sz w:val="19"/>
                <w:szCs w:val="19"/>
              </w:rPr>
            </w:pPr>
          </w:p>
          <w:p w14:paraId="61FB7A7C" w14:textId="77777777" w:rsidR="009021F1" w:rsidRPr="00F2455C" w:rsidRDefault="009021F1" w:rsidP="00E637E3">
            <w:pPr>
              <w:rPr>
                <w:rFonts w:cstheme="minorHAnsi"/>
                <w:color w:val="000000"/>
                <w:sz w:val="19"/>
                <w:szCs w:val="19"/>
              </w:rPr>
            </w:pPr>
            <w:r w:rsidRPr="00F2455C">
              <w:rPr>
                <w:rFonts w:cstheme="minorHAnsi"/>
                <w:color w:val="000000"/>
                <w:sz w:val="19"/>
                <w:szCs w:val="19"/>
              </w:rPr>
              <w:t>Risques d’EAHS liés à l’afflux de main d’œuvre lors des travaux de génie civil</w:t>
            </w:r>
          </w:p>
          <w:p w14:paraId="0796D472" w14:textId="77777777" w:rsidR="009021F1" w:rsidRPr="00F2455C" w:rsidRDefault="009021F1" w:rsidP="00E637E3">
            <w:pPr>
              <w:rPr>
                <w:rFonts w:cstheme="minorHAnsi"/>
                <w:color w:val="000000"/>
                <w:sz w:val="19"/>
                <w:szCs w:val="19"/>
              </w:rPr>
            </w:pPr>
          </w:p>
          <w:p w14:paraId="4060D462" w14:textId="77777777" w:rsidR="009021F1" w:rsidRPr="00F2455C" w:rsidRDefault="009021F1" w:rsidP="00E637E3">
            <w:pPr>
              <w:rPr>
                <w:rFonts w:ascii="Calibri" w:eastAsia="MS Mincho" w:hAnsi="Calibri" w:cs="Calibri"/>
                <w:bCs/>
                <w:sz w:val="19"/>
                <w:szCs w:val="19"/>
              </w:rPr>
            </w:pPr>
            <w:r w:rsidRPr="00F2455C">
              <w:rPr>
                <w:rFonts w:ascii="Calibri" w:eastAsia="MS Mincho" w:hAnsi="Calibri" w:cs="Calibri"/>
                <w:bCs/>
                <w:sz w:val="19"/>
                <w:szCs w:val="19"/>
              </w:rPr>
              <w:t>Absence d’informations pour les bénéficiaires féminins concernant le projet et les risques potentiels associés à cause du manque de consultations avec les bénéficiaires féminins dans des conditions sûres et confidentielles</w:t>
            </w:r>
          </w:p>
          <w:p w14:paraId="5DC08B91" w14:textId="77777777" w:rsidR="009021F1" w:rsidRPr="00F2455C" w:rsidRDefault="009021F1" w:rsidP="00E637E3">
            <w:pPr>
              <w:rPr>
                <w:rFonts w:ascii="Calibri" w:eastAsia="MS Mincho" w:hAnsi="Calibri" w:cs="Calibri"/>
                <w:bCs/>
                <w:sz w:val="19"/>
                <w:szCs w:val="19"/>
              </w:rPr>
            </w:pPr>
          </w:p>
          <w:p w14:paraId="3EB71CF5" w14:textId="77777777" w:rsidR="009021F1" w:rsidRPr="00F2455C" w:rsidRDefault="009021F1" w:rsidP="00E637E3">
            <w:pPr>
              <w:rPr>
                <w:rFonts w:cstheme="minorHAnsi"/>
                <w:color w:val="000000"/>
                <w:sz w:val="19"/>
                <w:szCs w:val="19"/>
              </w:rPr>
            </w:pPr>
            <w:r w:rsidRPr="00F2455C">
              <w:rPr>
                <w:rFonts w:cstheme="minorHAnsi"/>
                <w:color w:val="000000"/>
                <w:sz w:val="19"/>
                <w:szCs w:val="19"/>
              </w:rPr>
              <w:t>Risque de VBG lié au changement potentiel du statut économique des femmes productrices suite à leur participation aux activités du projet (ex. aide directe, assistance technique, etc.)</w:t>
            </w:r>
          </w:p>
          <w:p w14:paraId="11DEB055" w14:textId="77777777" w:rsidR="009021F1" w:rsidRPr="00F2455C" w:rsidRDefault="009021F1" w:rsidP="00E637E3">
            <w:pPr>
              <w:rPr>
                <w:rFonts w:ascii="Calibri" w:hAnsi="Calibri" w:cs="Calibri"/>
                <w:color w:val="000000"/>
                <w:sz w:val="19"/>
                <w:szCs w:val="19"/>
              </w:rPr>
            </w:pPr>
          </w:p>
          <w:p w14:paraId="271F71BD" w14:textId="77777777" w:rsidR="009021F1" w:rsidRPr="00F2455C" w:rsidRDefault="009021F1" w:rsidP="00E637E3">
            <w:pPr>
              <w:rPr>
                <w:rFonts w:ascii="Calibri" w:eastAsia="MS Mincho" w:hAnsi="Calibri" w:cs="Calibri"/>
                <w:bCs/>
                <w:sz w:val="19"/>
                <w:szCs w:val="19"/>
              </w:rPr>
            </w:pPr>
            <w:r w:rsidRPr="00F2455C">
              <w:rPr>
                <w:rFonts w:ascii="Calibri" w:eastAsia="MS Mincho" w:hAnsi="Calibri" w:cs="Calibri"/>
                <w:bCs/>
                <w:sz w:val="19"/>
                <w:szCs w:val="19"/>
              </w:rPr>
              <w:t>Manque d’accès des bénéficiaires féminins aux avantages et services du projet (e.g. manque de représentativité dans les processus de prise de décision au niveau communautaire, non-prise en compte des besoins des femmes dans la mise en place du registre national, concernant l’accès aux activités de formation ou les décisions concernant les petites subventions, risques d’exclusion des productrices des processus de prise de décision, etc.)</w:t>
            </w:r>
          </w:p>
          <w:p w14:paraId="7C5B36B9" w14:textId="77777777" w:rsidR="009021F1" w:rsidRPr="00F2455C" w:rsidRDefault="009021F1" w:rsidP="00E637E3">
            <w:pPr>
              <w:rPr>
                <w:rFonts w:ascii="Calibri" w:hAnsi="Calibri" w:cs="Calibri"/>
                <w:color w:val="000000"/>
                <w:sz w:val="19"/>
                <w:szCs w:val="19"/>
              </w:rPr>
            </w:pPr>
          </w:p>
          <w:p w14:paraId="524F59F5" w14:textId="77777777" w:rsidR="009021F1" w:rsidRPr="00F2455C" w:rsidRDefault="009021F1" w:rsidP="00E637E3">
            <w:pPr>
              <w:rPr>
                <w:rFonts w:cstheme="minorHAnsi"/>
                <w:color w:val="000000"/>
                <w:sz w:val="19"/>
                <w:szCs w:val="19"/>
              </w:rPr>
            </w:pPr>
            <w:r w:rsidRPr="00F2455C">
              <w:rPr>
                <w:rFonts w:ascii="Calibri" w:eastAsia="MS Mincho" w:hAnsi="Calibri" w:cs="Calibri"/>
                <w:bCs/>
                <w:sz w:val="19"/>
                <w:szCs w:val="19"/>
              </w:rPr>
              <w:t>Risques de harcèlement sexuel liés au manque potentiel de supervision du personnel masculin et féminin (ex. dans les travaux de génie civil, dans l’UGP, etc.)</w:t>
            </w:r>
          </w:p>
        </w:tc>
        <w:tc>
          <w:tcPr>
            <w:tcW w:w="10868" w:type="dxa"/>
            <w:gridSpan w:val="6"/>
            <w:tcBorders>
              <w:bottom w:val="single" w:sz="4" w:space="0" w:color="auto"/>
            </w:tcBorders>
          </w:tcPr>
          <w:p w14:paraId="493AE47E" w14:textId="77777777" w:rsidR="009021F1" w:rsidRPr="00F2455C" w:rsidRDefault="009021F1" w:rsidP="00E637E3">
            <w:pPr>
              <w:rPr>
                <w:rFonts w:ascii="Calibri" w:eastAsia="MS Mincho" w:hAnsi="Calibri" w:cs="Calibri"/>
                <w:b/>
                <w:sz w:val="19"/>
                <w:szCs w:val="19"/>
              </w:rPr>
            </w:pPr>
            <w:r w:rsidRPr="00F2455C">
              <w:rPr>
                <w:rFonts w:ascii="Calibri" w:eastAsia="MS Mincho" w:hAnsi="Calibri" w:cs="Calibri"/>
                <w:b/>
                <w:sz w:val="19"/>
                <w:szCs w:val="19"/>
              </w:rPr>
              <w:t>Plan de redevabilité et réponse, incluant :</w:t>
            </w:r>
          </w:p>
        </w:tc>
      </w:tr>
      <w:tr w:rsidR="009021F1" w:rsidRPr="00F2455C" w14:paraId="2DAFC242" w14:textId="77777777" w:rsidTr="00E637E3">
        <w:trPr>
          <w:gridAfter w:val="1"/>
          <w:wAfter w:w="17" w:type="dxa"/>
          <w:trHeight w:val="4176"/>
        </w:trPr>
        <w:tc>
          <w:tcPr>
            <w:tcW w:w="2430" w:type="dxa"/>
            <w:vMerge/>
          </w:tcPr>
          <w:p w14:paraId="43F80970" w14:textId="77777777" w:rsidR="009021F1" w:rsidRPr="00F2455C" w:rsidRDefault="009021F1" w:rsidP="00E637E3">
            <w:pPr>
              <w:rPr>
                <w:rFonts w:cstheme="minorHAnsi"/>
                <w:sz w:val="19"/>
                <w:szCs w:val="19"/>
              </w:rPr>
            </w:pPr>
          </w:p>
        </w:tc>
        <w:tc>
          <w:tcPr>
            <w:tcW w:w="2165" w:type="dxa"/>
            <w:vMerge/>
          </w:tcPr>
          <w:p w14:paraId="1D8ED53F" w14:textId="77777777" w:rsidR="009021F1" w:rsidRPr="00F2455C" w:rsidRDefault="009021F1" w:rsidP="00E637E3">
            <w:pPr>
              <w:rPr>
                <w:sz w:val="19"/>
                <w:szCs w:val="19"/>
              </w:rPr>
            </w:pPr>
          </w:p>
        </w:tc>
        <w:tc>
          <w:tcPr>
            <w:tcW w:w="2473" w:type="dxa"/>
            <w:tcBorders>
              <w:bottom w:val="single" w:sz="4" w:space="0" w:color="auto"/>
            </w:tcBorders>
          </w:tcPr>
          <w:p w14:paraId="0B979746" w14:textId="77777777" w:rsidR="009021F1" w:rsidRPr="00F2455C" w:rsidRDefault="009021F1" w:rsidP="00E637E3">
            <w:pPr>
              <w:autoSpaceDE w:val="0"/>
              <w:autoSpaceDN w:val="0"/>
              <w:adjustRightInd w:val="0"/>
              <w:rPr>
                <w:rFonts w:ascii="Calibri" w:eastAsia="MS Mincho" w:hAnsi="Calibri" w:cs="Calibri"/>
                <w:bCs/>
                <w:sz w:val="19"/>
                <w:szCs w:val="19"/>
              </w:rPr>
            </w:pPr>
            <w:r w:rsidRPr="00F2455C">
              <w:rPr>
                <w:rFonts w:ascii="Calibri" w:eastAsia="MS Mincho" w:hAnsi="Calibri" w:cs="Calibri"/>
                <w:bCs/>
                <w:sz w:val="19"/>
                <w:szCs w:val="19"/>
              </w:rPr>
              <w:t>Élaboration et signature des codes de bonne conduite pour les travailleurs et le personnel du projet, qui comprennent au minimum les éléments suivants :</w:t>
            </w:r>
          </w:p>
          <w:p w14:paraId="5193138C" w14:textId="77777777" w:rsidR="009021F1" w:rsidRPr="00F2455C" w:rsidRDefault="009021F1" w:rsidP="00E637E3">
            <w:pPr>
              <w:autoSpaceDE w:val="0"/>
              <w:autoSpaceDN w:val="0"/>
              <w:adjustRightInd w:val="0"/>
              <w:rPr>
                <w:rFonts w:ascii="Calibri" w:eastAsia="MS Mincho" w:hAnsi="Calibri" w:cs="Calibri"/>
                <w:b/>
                <w:sz w:val="19"/>
                <w:szCs w:val="19"/>
              </w:rPr>
            </w:pPr>
          </w:p>
          <w:p w14:paraId="1261C7C4" w14:textId="77777777" w:rsidR="009021F1" w:rsidRPr="00F2455C" w:rsidRDefault="009021F1" w:rsidP="00E637E3">
            <w:pPr>
              <w:pStyle w:val="Paragraphedeliste"/>
              <w:numPr>
                <w:ilvl w:val="0"/>
                <w:numId w:val="178"/>
              </w:numPr>
              <w:autoSpaceDE w:val="0"/>
              <w:autoSpaceDN w:val="0"/>
              <w:adjustRightInd w:val="0"/>
              <w:spacing w:line="240" w:lineRule="auto"/>
              <w:ind w:left="204" w:hanging="180"/>
              <w:contextualSpacing w:val="0"/>
              <w:jc w:val="left"/>
              <w:rPr>
                <w:rFonts w:ascii="Calibri" w:eastAsia="MS Mincho" w:hAnsi="Calibri" w:cs="Calibri"/>
                <w:b/>
                <w:sz w:val="19"/>
                <w:szCs w:val="19"/>
              </w:rPr>
            </w:pPr>
            <w:r w:rsidRPr="00F2455C">
              <w:rPr>
                <w:rFonts w:ascii="Calibri" w:eastAsia="MS Mincho" w:hAnsi="Calibri" w:cs="Calibri"/>
                <w:bCs/>
                <w:sz w:val="19"/>
                <w:szCs w:val="19"/>
              </w:rPr>
              <w:t>Comportements interdits</w:t>
            </w:r>
          </w:p>
          <w:p w14:paraId="4C395EE1" w14:textId="77777777" w:rsidR="009021F1" w:rsidRPr="00F2455C" w:rsidRDefault="009021F1" w:rsidP="00E637E3">
            <w:pPr>
              <w:pStyle w:val="Paragraphedeliste"/>
              <w:numPr>
                <w:ilvl w:val="0"/>
                <w:numId w:val="178"/>
              </w:numPr>
              <w:autoSpaceDE w:val="0"/>
              <w:autoSpaceDN w:val="0"/>
              <w:adjustRightInd w:val="0"/>
              <w:spacing w:line="240" w:lineRule="auto"/>
              <w:ind w:left="204" w:hanging="180"/>
              <w:contextualSpacing w:val="0"/>
              <w:jc w:val="left"/>
              <w:rPr>
                <w:rFonts w:ascii="Calibri" w:eastAsia="MS Mincho" w:hAnsi="Calibri" w:cs="Calibri"/>
                <w:b/>
                <w:sz w:val="19"/>
                <w:szCs w:val="19"/>
              </w:rPr>
            </w:pPr>
            <w:r w:rsidRPr="00F2455C">
              <w:rPr>
                <w:rFonts w:ascii="Calibri" w:eastAsia="MS Mincho" w:hAnsi="Calibri" w:cs="Calibri"/>
                <w:bCs/>
                <w:sz w:val="19"/>
                <w:szCs w:val="19"/>
              </w:rPr>
              <w:t>Liste des sanctions applicables</w:t>
            </w:r>
          </w:p>
          <w:p w14:paraId="4FF9ABD0" w14:textId="77777777" w:rsidR="009021F1" w:rsidRPr="00F2455C" w:rsidRDefault="009021F1" w:rsidP="00E637E3">
            <w:pPr>
              <w:pStyle w:val="Paragraphedeliste"/>
              <w:numPr>
                <w:ilvl w:val="0"/>
                <w:numId w:val="178"/>
              </w:numPr>
              <w:autoSpaceDE w:val="0"/>
              <w:autoSpaceDN w:val="0"/>
              <w:adjustRightInd w:val="0"/>
              <w:spacing w:line="240" w:lineRule="auto"/>
              <w:ind w:left="204" w:hanging="180"/>
              <w:contextualSpacing w:val="0"/>
              <w:jc w:val="left"/>
              <w:rPr>
                <w:rFonts w:ascii="Calibri" w:eastAsia="MS Mincho" w:hAnsi="Calibri" w:cs="Calibri"/>
                <w:b/>
                <w:sz w:val="19"/>
                <w:szCs w:val="19"/>
              </w:rPr>
            </w:pPr>
            <w:r w:rsidRPr="00F2455C">
              <w:rPr>
                <w:rFonts w:ascii="Calibri" w:eastAsia="MS Mincho" w:hAnsi="Calibri" w:cs="Calibri"/>
                <w:bCs/>
                <w:sz w:val="19"/>
                <w:szCs w:val="19"/>
              </w:rPr>
              <w:t>Standards minimums à suivre pour l’UGP</w:t>
            </w:r>
          </w:p>
          <w:p w14:paraId="38412EBE" w14:textId="77777777" w:rsidR="009021F1" w:rsidRPr="00F2455C" w:rsidRDefault="009021F1" w:rsidP="00E637E3">
            <w:pPr>
              <w:pStyle w:val="Paragraphedeliste"/>
              <w:numPr>
                <w:ilvl w:val="0"/>
                <w:numId w:val="178"/>
              </w:numPr>
              <w:autoSpaceDE w:val="0"/>
              <w:autoSpaceDN w:val="0"/>
              <w:adjustRightInd w:val="0"/>
              <w:spacing w:line="240" w:lineRule="auto"/>
              <w:ind w:left="204" w:hanging="180"/>
              <w:contextualSpacing w:val="0"/>
              <w:jc w:val="left"/>
              <w:rPr>
                <w:rFonts w:ascii="Calibri" w:eastAsia="MS Mincho" w:hAnsi="Calibri" w:cs="Calibri"/>
                <w:b/>
                <w:sz w:val="19"/>
                <w:szCs w:val="19"/>
              </w:rPr>
            </w:pPr>
            <w:r w:rsidRPr="00F2455C">
              <w:rPr>
                <w:rFonts w:ascii="Calibri" w:eastAsia="MS Mincho" w:hAnsi="Calibri" w:cs="Calibri"/>
                <w:bCs/>
                <w:sz w:val="19"/>
                <w:szCs w:val="19"/>
              </w:rPr>
              <w:t>Obligations de rapportage et processus dans le mécanisme de recueil des plaintes</w:t>
            </w:r>
          </w:p>
        </w:tc>
        <w:tc>
          <w:tcPr>
            <w:tcW w:w="1786" w:type="dxa"/>
            <w:tcBorders>
              <w:bottom w:val="single" w:sz="4" w:space="0" w:color="auto"/>
            </w:tcBorders>
          </w:tcPr>
          <w:p w14:paraId="37AB033E" w14:textId="77777777" w:rsidR="009021F1" w:rsidRPr="00F2455C" w:rsidRDefault="009021F1" w:rsidP="00E637E3">
            <w:pPr>
              <w:rPr>
                <w:rFonts w:cstheme="minorHAnsi"/>
                <w:color w:val="000000"/>
                <w:sz w:val="19"/>
                <w:szCs w:val="19"/>
              </w:rPr>
            </w:pPr>
            <w:r w:rsidRPr="00F2455C">
              <w:rPr>
                <w:rFonts w:cstheme="minorHAnsi"/>
                <w:color w:val="000000"/>
                <w:sz w:val="19"/>
                <w:szCs w:val="19"/>
              </w:rPr>
              <w:t>Spécialiste en VBG et Spécialistes sociaux en province</w:t>
            </w:r>
          </w:p>
          <w:p w14:paraId="36A841A8" w14:textId="77777777" w:rsidR="009021F1" w:rsidRPr="00F2455C" w:rsidRDefault="009021F1" w:rsidP="00E637E3">
            <w:pPr>
              <w:rPr>
                <w:rFonts w:cstheme="minorHAnsi"/>
                <w:color w:val="000000"/>
                <w:sz w:val="19"/>
                <w:szCs w:val="19"/>
              </w:rPr>
            </w:pPr>
          </w:p>
          <w:p w14:paraId="6FEBA597" w14:textId="77777777" w:rsidR="009021F1" w:rsidRPr="00F2455C" w:rsidRDefault="009021F1" w:rsidP="00E637E3">
            <w:pPr>
              <w:rPr>
                <w:rFonts w:cstheme="minorHAnsi"/>
                <w:color w:val="000000"/>
                <w:sz w:val="19"/>
                <w:szCs w:val="19"/>
              </w:rPr>
            </w:pPr>
            <w:r w:rsidRPr="00F2455C">
              <w:rPr>
                <w:rFonts w:cstheme="minorHAnsi"/>
                <w:color w:val="000000"/>
                <w:sz w:val="19"/>
                <w:szCs w:val="19"/>
              </w:rPr>
              <w:t>Personnel de supervision du projet (UNCP/UPEP)</w:t>
            </w:r>
          </w:p>
          <w:p w14:paraId="3E3C90B6" w14:textId="77777777" w:rsidR="009021F1" w:rsidRPr="00F2455C" w:rsidRDefault="009021F1" w:rsidP="00E637E3">
            <w:pPr>
              <w:rPr>
                <w:rFonts w:cstheme="minorHAnsi"/>
                <w:color w:val="000000"/>
                <w:sz w:val="19"/>
                <w:szCs w:val="19"/>
              </w:rPr>
            </w:pPr>
          </w:p>
          <w:p w14:paraId="34885D86" w14:textId="77777777" w:rsidR="009021F1" w:rsidRPr="00F2455C" w:rsidRDefault="009021F1" w:rsidP="00E637E3">
            <w:pPr>
              <w:rPr>
                <w:rFonts w:cstheme="minorHAnsi"/>
                <w:sz w:val="19"/>
                <w:szCs w:val="19"/>
              </w:rPr>
            </w:pPr>
            <w:r w:rsidRPr="00F2455C">
              <w:rPr>
                <w:rFonts w:cstheme="minorHAnsi"/>
                <w:color w:val="000000"/>
                <w:sz w:val="19"/>
                <w:szCs w:val="19"/>
              </w:rPr>
              <w:t>Entreprises / Contractants</w:t>
            </w:r>
          </w:p>
        </w:tc>
        <w:tc>
          <w:tcPr>
            <w:tcW w:w="1746" w:type="dxa"/>
            <w:tcBorders>
              <w:bottom w:val="single" w:sz="4" w:space="0" w:color="auto"/>
            </w:tcBorders>
          </w:tcPr>
          <w:p w14:paraId="6E78BB7D" w14:textId="77777777" w:rsidR="009021F1" w:rsidRPr="00F2455C" w:rsidRDefault="009021F1" w:rsidP="00E637E3">
            <w:pPr>
              <w:rPr>
                <w:rFonts w:cstheme="minorHAnsi"/>
                <w:sz w:val="19"/>
                <w:szCs w:val="19"/>
              </w:rPr>
            </w:pPr>
            <w:r w:rsidRPr="00F2455C">
              <w:rPr>
                <w:rFonts w:cstheme="minorHAnsi"/>
                <w:color w:val="000000"/>
                <w:sz w:val="19"/>
                <w:szCs w:val="19"/>
              </w:rPr>
              <w:t>Spécialiste en VBG</w:t>
            </w:r>
            <w:r w:rsidRPr="00F2455C" w:rsidDel="00DD2C6B">
              <w:rPr>
                <w:rFonts w:cstheme="minorHAnsi"/>
                <w:sz w:val="19"/>
                <w:szCs w:val="19"/>
              </w:rPr>
              <w:t xml:space="preserve"> </w:t>
            </w:r>
          </w:p>
        </w:tc>
        <w:tc>
          <w:tcPr>
            <w:tcW w:w="1460" w:type="dxa"/>
            <w:tcBorders>
              <w:bottom w:val="single" w:sz="4" w:space="0" w:color="auto"/>
            </w:tcBorders>
          </w:tcPr>
          <w:p w14:paraId="28BD9423" w14:textId="77777777" w:rsidR="009021F1" w:rsidRPr="00F2455C" w:rsidRDefault="009021F1" w:rsidP="00E637E3">
            <w:pPr>
              <w:rPr>
                <w:rFonts w:cstheme="minorHAnsi"/>
                <w:sz w:val="19"/>
                <w:szCs w:val="19"/>
              </w:rPr>
            </w:pPr>
            <w:r w:rsidRPr="00F2455C">
              <w:rPr>
                <w:rFonts w:cstheme="minorHAnsi"/>
                <w:color w:val="000000"/>
                <w:sz w:val="19"/>
                <w:szCs w:val="19"/>
              </w:rPr>
              <w:t>Avant la mise en vigueur du projet pour le personnel du projet (UNCP/UPEP) et avant le début des travaux pour les travailleurs</w:t>
            </w:r>
          </w:p>
        </w:tc>
        <w:tc>
          <w:tcPr>
            <w:tcW w:w="1892" w:type="dxa"/>
            <w:tcBorders>
              <w:bottom w:val="single" w:sz="4" w:space="0" w:color="auto"/>
            </w:tcBorders>
          </w:tcPr>
          <w:p w14:paraId="0BE8C195" w14:textId="77777777" w:rsidR="009021F1" w:rsidRPr="00F2455C" w:rsidRDefault="009021F1" w:rsidP="00E637E3">
            <w:pPr>
              <w:rPr>
                <w:rFonts w:cstheme="minorHAnsi"/>
                <w:sz w:val="19"/>
                <w:szCs w:val="19"/>
              </w:rPr>
            </w:pPr>
            <w:r w:rsidRPr="00F2455C">
              <w:rPr>
                <w:rFonts w:cstheme="minorHAnsi"/>
                <w:color w:val="000000"/>
                <w:sz w:val="19"/>
                <w:szCs w:val="19"/>
              </w:rPr>
              <w:t>% des travailleurs et du personnel du projet qui ont signé le code de bonne conduite</w:t>
            </w:r>
          </w:p>
        </w:tc>
        <w:tc>
          <w:tcPr>
            <w:tcW w:w="1511" w:type="dxa"/>
            <w:tcBorders>
              <w:bottom w:val="single" w:sz="4" w:space="0" w:color="auto"/>
            </w:tcBorders>
          </w:tcPr>
          <w:p w14:paraId="7B5733D0" w14:textId="77777777" w:rsidR="009021F1" w:rsidRDefault="009021F1" w:rsidP="00E637E3">
            <w:pPr>
              <w:rPr>
                <w:rFonts w:cstheme="minorHAnsi"/>
                <w:sz w:val="19"/>
                <w:szCs w:val="19"/>
              </w:rPr>
            </w:pPr>
            <w:r>
              <w:rPr>
                <w:rFonts w:cstheme="minorHAnsi"/>
                <w:sz w:val="19"/>
                <w:szCs w:val="19"/>
              </w:rPr>
              <w:t xml:space="preserve">Pour les ONG spécialisées </w:t>
            </w:r>
          </w:p>
          <w:p w14:paraId="5B6BA5BA" w14:textId="77777777" w:rsidR="009021F1" w:rsidRPr="00F2455C" w:rsidRDefault="009021F1" w:rsidP="00E637E3">
            <w:pPr>
              <w:rPr>
                <w:rFonts w:cstheme="minorHAnsi"/>
                <w:sz w:val="19"/>
                <w:szCs w:val="19"/>
              </w:rPr>
            </w:pPr>
            <w:r>
              <w:rPr>
                <w:rFonts w:cstheme="minorHAnsi"/>
                <w:sz w:val="19"/>
                <w:szCs w:val="19"/>
              </w:rPr>
              <w:t>5000000$</w:t>
            </w:r>
          </w:p>
          <w:p w14:paraId="4BC1B174" w14:textId="77777777" w:rsidR="009021F1" w:rsidRPr="00F2455C" w:rsidRDefault="009021F1" w:rsidP="00E637E3">
            <w:pPr>
              <w:rPr>
                <w:rFonts w:cstheme="minorHAnsi"/>
                <w:sz w:val="19"/>
                <w:szCs w:val="19"/>
              </w:rPr>
            </w:pPr>
          </w:p>
          <w:p w14:paraId="60C183A8" w14:textId="77777777" w:rsidR="009021F1" w:rsidRDefault="009021F1" w:rsidP="00E637E3">
            <w:pPr>
              <w:rPr>
                <w:rFonts w:cstheme="minorHAnsi"/>
                <w:sz w:val="19"/>
                <w:szCs w:val="19"/>
              </w:rPr>
            </w:pPr>
            <w:r w:rsidRPr="00F2455C">
              <w:rPr>
                <w:rFonts w:cstheme="minorHAnsi"/>
                <w:sz w:val="19"/>
                <w:szCs w:val="19"/>
              </w:rPr>
              <w:t>(Estimation des activités combinées – plan de R&amp;R)</w:t>
            </w:r>
          </w:p>
          <w:p w14:paraId="7AE4C009" w14:textId="77777777" w:rsidR="009021F1" w:rsidRDefault="009021F1" w:rsidP="00E637E3">
            <w:pPr>
              <w:rPr>
                <w:rFonts w:cstheme="minorHAnsi"/>
                <w:sz w:val="19"/>
                <w:szCs w:val="19"/>
              </w:rPr>
            </w:pPr>
          </w:p>
          <w:p w14:paraId="34A80AB6" w14:textId="77777777" w:rsidR="009021F1" w:rsidRPr="00F2455C" w:rsidRDefault="009021F1" w:rsidP="00E637E3">
            <w:pPr>
              <w:rPr>
                <w:rFonts w:cstheme="minorHAnsi"/>
                <w:sz w:val="19"/>
                <w:szCs w:val="19"/>
              </w:rPr>
            </w:pPr>
            <w:r>
              <w:rPr>
                <w:rFonts w:cstheme="minorHAnsi"/>
                <w:sz w:val="19"/>
                <w:szCs w:val="19"/>
              </w:rPr>
              <w:t>En général, pour les activités avec le consultant / l’ONG spécialisée par province, les estimations du budget s’élèvent à 5M$ (voir 1M$ par ONG/province)</w:t>
            </w:r>
          </w:p>
        </w:tc>
      </w:tr>
      <w:tr w:rsidR="009021F1" w:rsidRPr="00F2455C" w14:paraId="5A58D121" w14:textId="77777777" w:rsidTr="00E637E3">
        <w:trPr>
          <w:gridAfter w:val="1"/>
          <w:wAfter w:w="17" w:type="dxa"/>
        </w:trPr>
        <w:tc>
          <w:tcPr>
            <w:tcW w:w="2430" w:type="dxa"/>
            <w:vMerge/>
          </w:tcPr>
          <w:p w14:paraId="4ABC2528" w14:textId="77777777" w:rsidR="009021F1" w:rsidRPr="00F2455C" w:rsidRDefault="009021F1" w:rsidP="00E637E3">
            <w:pPr>
              <w:rPr>
                <w:rFonts w:cstheme="minorHAnsi"/>
                <w:sz w:val="19"/>
                <w:szCs w:val="19"/>
              </w:rPr>
            </w:pPr>
          </w:p>
        </w:tc>
        <w:tc>
          <w:tcPr>
            <w:tcW w:w="2165" w:type="dxa"/>
            <w:vMerge/>
          </w:tcPr>
          <w:p w14:paraId="2EEA5ECD" w14:textId="77777777" w:rsidR="009021F1" w:rsidRPr="00F2455C" w:rsidRDefault="009021F1" w:rsidP="00E637E3">
            <w:pPr>
              <w:rPr>
                <w:rFonts w:cstheme="minorHAnsi"/>
                <w:sz w:val="19"/>
                <w:szCs w:val="19"/>
              </w:rPr>
            </w:pPr>
          </w:p>
        </w:tc>
        <w:tc>
          <w:tcPr>
            <w:tcW w:w="2473" w:type="dxa"/>
          </w:tcPr>
          <w:p w14:paraId="7043AE32" w14:textId="77777777" w:rsidR="009021F1" w:rsidRPr="00F2455C" w:rsidRDefault="009021F1" w:rsidP="00E637E3">
            <w:pPr>
              <w:autoSpaceDE w:val="0"/>
              <w:autoSpaceDN w:val="0"/>
              <w:adjustRightInd w:val="0"/>
              <w:rPr>
                <w:rFonts w:ascii="Calibri" w:eastAsia="MS Mincho" w:hAnsi="Calibri" w:cs="Calibri"/>
                <w:bCs/>
                <w:sz w:val="19"/>
                <w:szCs w:val="19"/>
              </w:rPr>
            </w:pPr>
            <w:r w:rsidRPr="00F2455C">
              <w:rPr>
                <w:rFonts w:ascii="Calibri" w:eastAsia="MS Mincho" w:hAnsi="Calibri" w:cs="Calibri"/>
                <w:bCs/>
                <w:sz w:val="19"/>
                <w:szCs w:val="19"/>
              </w:rPr>
              <w:t>Mise en place du MGP sensible à l’EAHS, qui comprend au minimum les éléments suivants :</w:t>
            </w:r>
          </w:p>
          <w:p w14:paraId="6F7E9831" w14:textId="77777777" w:rsidR="009021F1" w:rsidRPr="00F2455C" w:rsidRDefault="009021F1" w:rsidP="00E637E3">
            <w:pPr>
              <w:autoSpaceDE w:val="0"/>
              <w:autoSpaceDN w:val="0"/>
              <w:adjustRightInd w:val="0"/>
              <w:rPr>
                <w:rFonts w:ascii="Calibri" w:eastAsia="MS Mincho" w:hAnsi="Calibri" w:cs="Calibri"/>
                <w:b/>
                <w:sz w:val="19"/>
                <w:szCs w:val="19"/>
              </w:rPr>
            </w:pPr>
          </w:p>
          <w:p w14:paraId="66A17C85" w14:textId="77777777" w:rsidR="009021F1" w:rsidRPr="00F2455C" w:rsidRDefault="009021F1" w:rsidP="00E637E3">
            <w:pPr>
              <w:pStyle w:val="Paragraphedeliste"/>
              <w:numPr>
                <w:ilvl w:val="0"/>
                <w:numId w:val="178"/>
              </w:numPr>
              <w:autoSpaceDE w:val="0"/>
              <w:autoSpaceDN w:val="0"/>
              <w:adjustRightInd w:val="0"/>
              <w:spacing w:line="240" w:lineRule="auto"/>
              <w:ind w:left="204" w:hanging="180"/>
              <w:contextualSpacing w:val="0"/>
              <w:jc w:val="left"/>
              <w:rPr>
                <w:rFonts w:ascii="Calibri" w:eastAsia="MS Mincho" w:hAnsi="Calibri" w:cs="Calibri"/>
                <w:b/>
                <w:sz w:val="19"/>
                <w:szCs w:val="19"/>
              </w:rPr>
            </w:pPr>
            <w:r w:rsidRPr="00F2455C">
              <w:rPr>
                <w:rFonts w:ascii="Calibri" w:eastAsia="MS Mincho" w:hAnsi="Calibri" w:cs="Calibri"/>
                <w:bCs/>
                <w:sz w:val="19"/>
                <w:szCs w:val="19"/>
              </w:rPr>
              <w:t>Procédures spécifiques pour traiter les plaintes liées à l’EAHS, y compris le délai et les possibles sanctions</w:t>
            </w:r>
          </w:p>
          <w:p w14:paraId="5C32E9BC" w14:textId="77777777" w:rsidR="009021F1" w:rsidRPr="00F2455C" w:rsidRDefault="009021F1" w:rsidP="00E637E3">
            <w:pPr>
              <w:pStyle w:val="Paragraphedeliste"/>
              <w:numPr>
                <w:ilvl w:val="0"/>
                <w:numId w:val="178"/>
              </w:numPr>
              <w:autoSpaceDE w:val="0"/>
              <w:autoSpaceDN w:val="0"/>
              <w:adjustRightInd w:val="0"/>
              <w:spacing w:line="240" w:lineRule="auto"/>
              <w:ind w:left="204" w:hanging="180"/>
              <w:contextualSpacing w:val="0"/>
              <w:jc w:val="left"/>
              <w:rPr>
                <w:rFonts w:ascii="Calibri" w:eastAsia="MS Mincho" w:hAnsi="Calibri" w:cs="Calibri"/>
                <w:b/>
                <w:sz w:val="19"/>
                <w:szCs w:val="19"/>
              </w:rPr>
            </w:pPr>
            <w:r w:rsidRPr="00F2455C">
              <w:rPr>
                <w:rFonts w:ascii="Calibri" w:eastAsia="MS Mincho" w:hAnsi="Calibri" w:cs="Calibri"/>
                <w:bCs/>
                <w:sz w:val="19"/>
                <w:szCs w:val="19"/>
              </w:rPr>
              <w:t>Procédures pour rapporter les plaintes liées à l’EAHS, y compris les voies accessibles aux communautés ciblées et au personnel du projet</w:t>
            </w:r>
          </w:p>
          <w:p w14:paraId="283DAEF6" w14:textId="77777777" w:rsidR="009021F1" w:rsidRPr="00F2455C" w:rsidRDefault="009021F1" w:rsidP="00E637E3">
            <w:pPr>
              <w:pStyle w:val="Paragraphedeliste"/>
              <w:numPr>
                <w:ilvl w:val="0"/>
                <w:numId w:val="178"/>
              </w:numPr>
              <w:autoSpaceDE w:val="0"/>
              <w:autoSpaceDN w:val="0"/>
              <w:adjustRightInd w:val="0"/>
              <w:spacing w:line="240" w:lineRule="auto"/>
              <w:ind w:left="216" w:hanging="187"/>
              <w:contextualSpacing w:val="0"/>
              <w:jc w:val="left"/>
              <w:rPr>
                <w:rFonts w:ascii="Calibri" w:eastAsia="MS Mincho" w:hAnsi="Calibri" w:cs="Calibri"/>
                <w:b/>
                <w:sz w:val="19"/>
                <w:szCs w:val="19"/>
              </w:rPr>
            </w:pPr>
            <w:r w:rsidRPr="00F2455C">
              <w:rPr>
                <w:rFonts w:ascii="Calibri" w:eastAsia="MS Mincho" w:hAnsi="Calibri" w:cs="Calibri"/>
                <w:bCs/>
                <w:sz w:val="19"/>
                <w:szCs w:val="19"/>
              </w:rPr>
              <w:t>Obligations concernant les principes directeurs pour le traitement éthique et confidentiel de ce genre des plaintes</w:t>
            </w:r>
          </w:p>
        </w:tc>
        <w:tc>
          <w:tcPr>
            <w:tcW w:w="1786" w:type="dxa"/>
          </w:tcPr>
          <w:p w14:paraId="616DC8CA" w14:textId="77777777" w:rsidR="009021F1" w:rsidRPr="00F2455C" w:rsidRDefault="009021F1" w:rsidP="00E637E3">
            <w:pPr>
              <w:rPr>
                <w:rFonts w:cstheme="minorHAnsi"/>
                <w:color w:val="000000"/>
                <w:sz w:val="19"/>
                <w:szCs w:val="19"/>
              </w:rPr>
            </w:pPr>
            <w:r w:rsidRPr="00F2455C">
              <w:rPr>
                <w:rFonts w:cstheme="minorHAnsi"/>
                <w:color w:val="000000"/>
                <w:sz w:val="19"/>
                <w:szCs w:val="19"/>
              </w:rPr>
              <w:t>Spécialiste en VBG</w:t>
            </w:r>
          </w:p>
          <w:p w14:paraId="4BBCDAC7" w14:textId="77777777" w:rsidR="009021F1" w:rsidRPr="00F2455C" w:rsidRDefault="009021F1" w:rsidP="00E637E3">
            <w:pPr>
              <w:rPr>
                <w:rFonts w:cstheme="minorHAnsi"/>
                <w:color w:val="000000"/>
                <w:sz w:val="19"/>
                <w:szCs w:val="19"/>
              </w:rPr>
            </w:pPr>
          </w:p>
          <w:p w14:paraId="2721E5A0" w14:textId="77777777" w:rsidR="009021F1" w:rsidRPr="00F2455C" w:rsidRDefault="009021F1" w:rsidP="00E637E3">
            <w:pPr>
              <w:rPr>
                <w:rFonts w:cstheme="minorHAnsi"/>
                <w:color w:val="000000"/>
                <w:sz w:val="19"/>
                <w:szCs w:val="19"/>
              </w:rPr>
            </w:pPr>
            <w:r w:rsidRPr="00F2455C">
              <w:rPr>
                <w:rFonts w:cstheme="minorHAnsi"/>
                <w:color w:val="000000"/>
                <w:sz w:val="19"/>
                <w:szCs w:val="19"/>
              </w:rPr>
              <w:t>Spécialiste social</w:t>
            </w:r>
          </w:p>
        </w:tc>
        <w:tc>
          <w:tcPr>
            <w:tcW w:w="1746" w:type="dxa"/>
          </w:tcPr>
          <w:p w14:paraId="5A730317" w14:textId="77777777" w:rsidR="009021F1" w:rsidRPr="00F2455C" w:rsidRDefault="009021F1" w:rsidP="00E637E3">
            <w:pPr>
              <w:rPr>
                <w:rFonts w:cstheme="minorHAnsi"/>
                <w:sz w:val="19"/>
                <w:szCs w:val="19"/>
              </w:rPr>
            </w:pPr>
            <w:r w:rsidRPr="00F2455C">
              <w:rPr>
                <w:rFonts w:cstheme="minorHAnsi"/>
                <w:color w:val="000000"/>
                <w:sz w:val="19"/>
                <w:szCs w:val="19"/>
              </w:rPr>
              <w:t>Spécialiste en VBG</w:t>
            </w:r>
            <w:r w:rsidRPr="00F2455C" w:rsidDel="00DD2C6B">
              <w:rPr>
                <w:rFonts w:cstheme="minorHAnsi"/>
                <w:sz w:val="19"/>
                <w:szCs w:val="19"/>
              </w:rPr>
              <w:t xml:space="preserve"> </w:t>
            </w:r>
          </w:p>
        </w:tc>
        <w:tc>
          <w:tcPr>
            <w:tcW w:w="1460" w:type="dxa"/>
          </w:tcPr>
          <w:p w14:paraId="094A6CA4" w14:textId="77777777" w:rsidR="009021F1" w:rsidRPr="00F2455C" w:rsidRDefault="009021F1" w:rsidP="00E637E3">
            <w:pPr>
              <w:rPr>
                <w:rFonts w:cstheme="minorHAnsi"/>
                <w:sz w:val="19"/>
                <w:szCs w:val="19"/>
              </w:rPr>
            </w:pPr>
            <w:r w:rsidRPr="00F2455C">
              <w:rPr>
                <w:rFonts w:cstheme="minorHAnsi"/>
                <w:color w:val="000000"/>
                <w:sz w:val="19"/>
                <w:szCs w:val="19"/>
              </w:rPr>
              <w:t>Avant la mise en vigueur du projet</w:t>
            </w:r>
            <w:r w:rsidRPr="00F2455C">
              <w:rPr>
                <w:rStyle w:val="Appelnotedebasdep"/>
                <w:rFonts w:cstheme="minorHAnsi"/>
                <w:color w:val="000000"/>
                <w:sz w:val="19"/>
                <w:szCs w:val="19"/>
              </w:rPr>
              <w:footnoteReference w:id="69"/>
            </w:r>
          </w:p>
        </w:tc>
        <w:tc>
          <w:tcPr>
            <w:tcW w:w="1892" w:type="dxa"/>
          </w:tcPr>
          <w:p w14:paraId="0736768B" w14:textId="77777777" w:rsidR="009021F1" w:rsidRPr="00F2455C" w:rsidRDefault="009021F1" w:rsidP="00E637E3">
            <w:pPr>
              <w:rPr>
                <w:rFonts w:cstheme="minorHAnsi"/>
                <w:color w:val="000000"/>
                <w:sz w:val="19"/>
                <w:szCs w:val="19"/>
              </w:rPr>
            </w:pPr>
            <w:r w:rsidRPr="00F2455C">
              <w:rPr>
                <w:rFonts w:cstheme="minorHAnsi"/>
                <w:color w:val="000000"/>
                <w:sz w:val="19"/>
                <w:szCs w:val="19"/>
              </w:rPr>
              <w:t>Nombre des plaintes liées à l'EAHS qui sont reçues à travers le MGP (sans cible)</w:t>
            </w:r>
            <w:r w:rsidRPr="00F2455C">
              <w:rPr>
                <w:rStyle w:val="Appelnotedebasdep"/>
                <w:rFonts w:cstheme="minorHAnsi"/>
                <w:color w:val="000000"/>
                <w:sz w:val="19"/>
                <w:szCs w:val="19"/>
              </w:rPr>
              <w:footnoteReference w:id="70"/>
            </w:r>
            <w:r w:rsidRPr="00F2455C">
              <w:rPr>
                <w:rFonts w:cstheme="minorHAnsi"/>
                <w:color w:val="000000"/>
                <w:sz w:val="19"/>
                <w:szCs w:val="19"/>
              </w:rPr>
              <w:br/>
            </w:r>
          </w:p>
          <w:p w14:paraId="4F6E775B" w14:textId="77777777" w:rsidR="009021F1" w:rsidRPr="00F2455C" w:rsidRDefault="009021F1" w:rsidP="00E637E3">
            <w:pPr>
              <w:rPr>
                <w:rFonts w:cstheme="minorHAnsi"/>
                <w:color w:val="000000"/>
                <w:sz w:val="19"/>
                <w:szCs w:val="19"/>
              </w:rPr>
            </w:pPr>
            <w:r w:rsidRPr="00F2455C">
              <w:rPr>
                <w:rFonts w:cstheme="minorHAnsi"/>
                <w:color w:val="000000"/>
                <w:sz w:val="19"/>
                <w:szCs w:val="19"/>
              </w:rPr>
              <w:t>% de plaintes référées aux services de prise en charge</w:t>
            </w:r>
          </w:p>
          <w:p w14:paraId="5BE5B520" w14:textId="77777777" w:rsidR="009021F1" w:rsidRPr="00F2455C" w:rsidRDefault="009021F1" w:rsidP="00E637E3">
            <w:pPr>
              <w:rPr>
                <w:rFonts w:ascii="Calibri" w:hAnsi="Calibri" w:cs="Calibri"/>
                <w:color w:val="000000"/>
                <w:sz w:val="19"/>
                <w:szCs w:val="19"/>
              </w:rPr>
            </w:pPr>
          </w:p>
          <w:p w14:paraId="16626904" w14:textId="77777777" w:rsidR="009021F1" w:rsidRPr="00F2455C" w:rsidRDefault="009021F1" w:rsidP="00E637E3">
            <w:pPr>
              <w:pStyle w:val="Corpsdetexte"/>
              <w:jc w:val="left"/>
              <w:rPr>
                <w:rFonts w:ascii="Calibri" w:hAnsi="Calibri" w:cs="Calibri"/>
                <w:bCs/>
                <w:sz w:val="19"/>
                <w:szCs w:val="19"/>
              </w:rPr>
            </w:pPr>
            <w:r w:rsidRPr="00F2455C">
              <w:rPr>
                <w:rFonts w:ascii="Calibri" w:hAnsi="Calibri" w:cs="Calibri"/>
                <w:bCs/>
                <w:sz w:val="19"/>
                <w:szCs w:val="19"/>
              </w:rPr>
              <w:t>% des plaintes liées à l’EAHS qui sont résolues dans le délai prévu</w:t>
            </w:r>
          </w:p>
          <w:p w14:paraId="58637081" w14:textId="77777777" w:rsidR="009021F1" w:rsidRPr="00F2455C" w:rsidRDefault="009021F1" w:rsidP="00E637E3">
            <w:pPr>
              <w:pStyle w:val="Corpsdetexte"/>
              <w:jc w:val="left"/>
              <w:rPr>
                <w:rFonts w:ascii="Calibri" w:hAnsi="Calibri" w:cs="Calibri"/>
                <w:bCs/>
                <w:sz w:val="19"/>
                <w:szCs w:val="19"/>
              </w:rPr>
            </w:pPr>
          </w:p>
          <w:p w14:paraId="79DFEB96" w14:textId="77777777" w:rsidR="009021F1" w:rsidRPr="00F2455C" w:rsidRDefault="009021F1" w:rsidP="00E637E3">
            <w:pPr>
              <w:rPr>
                <w:rFonts w:cstheme="minorHAnsi"/>
                <w:color w:val="000000"/>
                <w:sz w:val="19"/>
                <w:szCs w:val="19"/>
              </w:rPr>
            </w:pPr>
            <w:r w:rsidRPr="00F2455C">
              <w:rPr>
                <w:rFonts w:ascii="Calibri" w:hAnsi="Calibri" w:cs="Calibri"/>
                <w:bCs/>
                <w:sz w:val="19"/>
                <w:szCs w:val="19"/>
              </w:rPr>
              <w:t>Moyen du délai pour résoudre une plainte liée à l’EAHS</w:t>
            </w:r>
          </w:p>
        </w:tc>
        <w:tc>
          <w:tcPr>
            <w:tcW w:w="1511" w:type="dxa"/>
          </w:tcPr>
          <w:p w14:paraId="1E5DDAD2" w14:textId="77777777" w:rsidR="009021F1" w:rsidRDefault="009021F1" w:rsidP="00E637E3">
            <w:pPr>
              <w:rPr>
                <w:rFonts w:cstheme="minorHAnsi"/>
                <w:sz w:val="19"/>
                <w:szCs w:val="19"/>
              </w:rPr>
            </w:pPr>
            <w:r>
              <w:rPr>
                <w:rFonts w:cstheme="minorHAnsi"/>
                <w:sz w:val="19"/>
                <w:szCs w:val="19"/>
              </w:rPr>
              <w:t>Pour le MGP 575000$</w:t>
            </w:r>
          </w:p>
          <w:p w14:paraId="11A0718D" w14:textId="77777777" w:rsidR="009021F1" w:rsidRDefault="009021F1" w:rsidP="00E637E3">
            <w:pPr>
              <w:rPr>
                <w:rFonts w:cstheme="minorHAnsi"/>
                <w:sz w:val="19"/>
                <w:szCs w:val="19"/>
              </w:rPr>
            </w:pPr>
          </w:p>
          <w:p w14:paraId="5330D7BB" w14:textId="77777777" w:rsidR="009021F1" w:rsidRDefault="009021F1" w:rsidP="00E637E3">
            <w:pPr>
              <w:rPr>
                <w:rFonts w:cstheme="minorHAnsi"/>
                <w:sz w:val="19"/>
                <w:szCs w:val="19"/>
              </w:rPr>
            </w:pPr>
          </w:p>
          <w:p w14:paraId="13D112E7" w14:textId="77777777" w:rsidR="009021F1" w:rsidRDefault="009021F1" w:rsidP="00E637E3">
            <w:pPr>
              <w:rPr>
                <w:rFonts w:cstheme="minorHAnsi"/>
                <w:sz w:val="19"/>
                <w:szCs w:val="19"/>
              </w:rPr>
            </w:pPr>
          </w:p>
          <w:p w14:paraId="56CEE5F5" w14:textId="77777777" w:rsidR="009021F1" w:rsidRPr="00F2455C" w:rsidRDefault="009021F1" w:rsidP="00E637E3">
            <w:pPr>
              <w:rPr>
                <w:rFonts w:cstheme="minorHAnsi"/>
                <w:sz w:val="19"/>
                <w:szCs w:val="19"/>
              </w:rPr>
            </w:pPr>
          </w:p>
        </w:tc>
      </w:tr>
      <w:tr w:rsidR="009021F1" w:rsidRPr="00F2455C" w14:paraId="4329D747" w14:textId="77777777" w:rsidTr="00E637E3">
        <w:trPr>
          <w:gridAfter w:val="1"/>
          <w:wAfter w:w="17" w:type="dxa"/>
        </w:trPr>
        <w:tc>
          <w:tcPr>
            <w:tcW w:w="2430" w:type="dxa"/>
            <w:vMerge/>
          </w:tcPr>
          <w:p w14:paraId="1C5BB2C3" w14:textId="77777777" w:rsidR="009021F1" w:rsidRPr="00F2455C" w:rsidRDefault="009021F1" w:rsidP="00E637E3">
            <w:pPr>
              <w:rPr>
                <w:rFonts w:cstheme="minorHAnsi"/>
                <w:sz w:val="19"/>
                <w:szCs w:val="19"/>
              </w:rPr>
            </w:pPr>
          </w:p>
        </w:tc>
        <w:tc>
          <w:tcPr>
            <w:tcW w:w="2165" w:type="dxa"/>
            <w:vMerge/>
          </w:tcPr>
          <w:p w14:paraId="04E5992B" w14:textId="77777777" w:rsidR="009021F1" w:rsidRPr="00F2455C" w:rsidRDefault="009021F1" w:rsidP="00E637E3">
            <w:pPr>
              <w:rPr>
                <w:rFonts w:cstheme="minorHAnsi"/>
                <w:sz w:val="19"/>
                <w:szCs w:val="19"/>
              </w:rPr>
            </w:pPr>
          </w:p>
        </w:tc>
        <w:tc>
          <w:tcPr>
            <w:tcW w:w="2473" w:type="dxa"/>
          </w:tcPr>
          <w:p w14:paraId="7731AE2E" w14:textId="77777777" w:rsidR="009021F1" w:rsidRPr="00F2455C" w:rsidRDefault="009021F1" w:rsidP="00E637E3">
            <w:pPr>
              <w:rPr>
                <w:rFonts w:cstheme="minorHAnsi"/>
                <w:color w:val="000000"/>
                <w:sz w:val="19"/>
                <w:szCs w:val="19"/>
              </w:rPr>
            </w:pPr>
            <w:r w:rsidRPr="00F2455C">
              <w:rPr>
                <w:rFonts w:ascii="Calibri" w:eastAsia="MS Mincho" w:hAnsi="Calibri" w:cs="Calibri"/>
                <w:bCs/>
                <w:sz w:val="19"/>
                <w:szCs w:val="19"/>
              </w:rPr>
              <w:t>Mise en place d’un protocole de réponse pour assurer une prise en charge de qualité et en temps voulu des cas d’EAHS, y compris les modalités pour le référencement sûr et confidentiel des cas signalés aux services</w:t>
            </w:r>
          </w:p>
        </w:tc>
        <w:tc>
          <w:tcPr>
            <w:tcW w:w="1786" w:type="dxa"/>
          </w:tcPr>
          <w:p w14:paraId="47F41751" w14:textId="77777777" w:rsidR="009021F1" w:rsidRPr="00F2455C" w:rsidRDefault="009021F1" w:rsidP="00E637E3">
            <w:pPr>
              <w:rPr>
                <w:rFonts w:cstheme="minorHAnsi"/>
                <w:sz w:val="19"/>
                <w:szCs w:val="19"/>
              </w:rPr>
            </w:pPr>
            <w:r w:rsidRPr="00F2455C">
              <w:rPr>
                <w:rFonts w:cstheme="minorHAnsi"/>
                <w:color w:val="000000"/>
                <w:sz w:val="19"/>
                <w:szCs w:val="19"/>
              </w:rPr>
              <w:t>Spécialiste en VBG</w:t>
            </w:r>
          </w:p>
        </w:tc>
        <w:tc>
          <w:tcPr>
            <w:tcW w:w="1746" w:type="dxa"/>
          </w:tcPr>
          <w:p w14:paraId="7A2F5AF6" w14:textId="77777777" w:rsidR="009021F1" w:rsidRPr="00F2455C" w:rsidRDefault="009021F1" w:rsidP="00E637E3">
            <w:pPr>
              <w:rPr>
                <w:rFonts w:cstheme="minorHAnsi"/>
                <w:sz w:val="19"/>
                <w:szCs w:val="19"/>
              </w:rPr>
            </w:pPr>
            <w:r w:rsidRPr="00F2455C">
              <w:rPr>
                <w:rFonts w:cstheme="minorHAnsi"/>
                <w:color w:val="000000"/>
                <w:sz w:val="19"/>
                <w:szCs w:val="19"/>
              </w:rPr>
              <w:t>Spécialiste en VBG</w:t>
            </w:r>
            <w:r w:rsidRPr="00F2455C" w:rsidDel="00307EE7">
              <w:rPr>
                <w:rFonts w:cstheme="minorHAnsi"/>
                <w:sz w:val="19"/>
                <w:szCs w:val="19"/>
              </w:rPr>
              <w:t xml:space="preserve"> </w:t>
            </w:r>
          </w:p>
        </w:tc>
        <w:tc>
          <w:tcPr>
            <w:tcW w:w="1460" w:type="dxa"/>
          </w:tcPr>
          <w:p w14:paraId="05C175B9" w14:textId="77777777" w:rsidR="009021F1" w:rsidRPr="00F2455C" w:rsidRDefault="009021F1" w:rsidP="00E637E3">
            <w:pPr>
              <w:rPr>
                <w:rFonts w:cstheme="minorHAnsi"/>
                <w:sz w:val="19"/>
                <w:szCs w:val="19"/>
              </w:rPr>
            </w:pPr>
            <w:r w:rsidRPr="00F2455C">
              <w:rPr>
                <w:rFonts w:cstheme="minorHAnsi"/>
                <w:color w:val="000000"/>
                <w:sz w:val="19"/>
                <w:szCs w:val="19"/>
              </w:rPr>
              <w:t>Avant la mise en vigueur du projet (activité liée au MGP)</w:t>
            </w:r>
          </w:p>
        </w:tc>
        <w:tc>
          <w:tcPr>
            <w:tcW w:w="1892" w:type="dxa"/>
          </w:tcPr>
          <w:p w14:paraId="69CDF27A" w14:textId="77777777" w:rsidR="009021F1" w:rsidRPr="00F2455C" w:rsidRDefault="009021F1" w:rsidP="00E637E3">
            <w:pPr>
              <w:rPr>
                <w:rFonts w:cstheme="minorHAnsi"/>
                <w:sz w:val="19"/>
                <w:szCs w:val="19"/>
              </w:rPr>
            </w:pPr>
            <w:r w:rsidRPr="00F2455C">
              <w:rPr>
                <w:rFonts w:cstheme="minorHAnsi"/>
                <w:color w:val="000000"/>
                <w:sz w:val="19"/>
                <w:szCs w:val="19"/>
              </w:rPr>
              <w:t>% de plaintes référées aux services de prise en charge</w:t>
            </w:r>
          </w:p>
        </w:tc>
        <w:tc>
          <w:tcPr>
            <w:tcW w:w="1511" w:type="dxa"/>
          </w:tcPr>
          <w:p w14:paraId="1CDC1BF9" w14:textId="77777777" w:rsidR="009021F1" w:rsidRPr="00F2455C" w:rsidRDefault="009021F1" w:rsidP="00E637E3">
            <w:pPr>
              <w:rPr>
                <w:rFonts w:cstheme="minorHAnsi"/>
                <w:sz w:val="19"/>
                <w:szCs w:val="19"/>
              </w:rPr>
            </w:pPr>
            <w:r w:rsidRPr="00F2455C">
              <w:rPr>
                <w:rFonts w:cstheme="minorHAnsi"/>
                <w:sz w:val="19"/>
                <w:szCs w:val="19"/>
              </w:rPr>
              <w:t>Voir ci-dessus</w:t>
            </w:r>
          </w:p>
        </w:tc>
      </w:tr>
      <w:tr w:rsidR="009021F1" w:rsidRPr="00F2455C" w14:paraId="16ACB638" w14:textId="77777777" w:rsidTr="00E637E3">
        <w:trPr>
          <w:gridAfter w:val="1"/>
          <w:wAfter w:w="17" w:type="dxa"/>
          <w:trHeight w:val="144"/>
        </w:trPr>
        <w:tc>
          <w:tcPr>
            <w:tcW w:w="2430" w:type="dxa"/>
            <w:vMerge/>
          </w:tcPr>
          <w:p w14:paraId="3734A4FF" w14:textId="77777777" w:rsidR="009021F1" w:rsidRPr="00F2455C" w:rsidRDefault="009021F1" w:rsidP="00E637E3">
            <w:pPr>
              <w:rPr>
                <w:rFonts w:cstheme="minorHAnsi"/>
                <w:sz w:val="19"/>
                <w:szCs w:val="19"/>
              </w:rPr>
            </w:pPr>
          </w:p>
        </w:tc>
        <w:tc>
          <w:tcPr>
            <w:tcW w:w="2165" w:type="dxa"/>
            <w:vMerge/>
          </w:tcPr>
          <w:p w14:paraId="79AA9B2E" w14:textId="77777777" w:rsidR="009021F1" w:rsidRPr="00F2455C" w:rsidRDefault="009021F1" w:rsidP="00E637E3">
            <w:pPr>
              <w:rPr>
                <w:rFonts w:cstheme="minorHAnsi"/>
                <w:color w:val="000000"/>
                <w:sz w:val="19"/>
                <w:szCs w:val="19"/>
              </w:rPr>
            </w:pPr>
          </w:p>
        </w:tc>
        <w:tc>
          <w:tcPr>
            <w:tcW w:w="2473" w:type="dxa"/>
          </w:tcPr>
          <w:p w14:paraId="21103E08" w14:textId="77777777" w:rsidR="009021F1" w:rsidRPr="00F2455C" w:rsidRDefault="009021F1" w:rsidP="00E637E3">
            <w:pPr>
              <w:widowControl w:val="0"/>
              <w:rPr>
                <w:rFonts w:cstheme="minorHAnsi"/>
                <w:color w:val="000000"/>
                <w:sz w:val="19"/>
                <w:szCs w:val="19"/>
              </w:rPr>
            </w:pPr>
            <w:r w:rsidRPr="00F2455C">
              <w:rPr>
                <w:rFonts w:ascii="Calibri" w:eastAsia="MS Mincho" w:hAnsi="Calibri" w:cs="Calibri"/>
                <w:bCs/>
                <w:sz w:val="19"/>
                <w:szCs w:val="19"/>
              </w:rPr>
              <w:t>Réalisation des cartographies dans les provinces du Kasaï, Kasaï Central, Kongo Central, et Kwilu, et vérification de la cartographie existante du Nord Kivu, des services de soutien intégrés dans toutes les zones d’intervention, en assurant une évaluation de qualité des services et la prise en compte des services de base essentiels (psychosocial, médical, et juridique)</w:t>
            </w:r>
            <w:r w:rsidRPr="00F2455C">
              <w:rPr>
                <w:rStyle w:val="Appelnotedebasdep"/>
                <w:rFonts w:eastAsia="MS Mincho" w:cs="Calibri"/>
                <w:bCs/>
                <w:sz w:val="19"/>
                <w:szCs w:val="19"/>
              </w:rPr>
              <w:footnoteReference w:id="71"/>
            </w:r>
          </w:p>
        </w:tc>
        <w:tc>
          <w:tcPr>
            <w:tcW w:w="1786" w:type="dxa"/>
          </w:tcPr>
          <w:p w14:paraId="07287860" w14:textId="77777777" w:rsidR="009021F1" w:rsidRPr="00F2455C" w:rsidRDefault="009021F1" w:rsidP="00E637E3">
            <w:pPr>
              <w:rPr>
                <w:rFonts w:cstheme="minorHAnsi"/>
                <w:color w:val="000000"/>
                <w:sz w:val="19"/>
                <w:szCs w:val="19"/>
              </w:rPr>
            </w:pPr>
            <w:r w:rsidRPr="00F2455C">
              <w:rPr>
                <w:rFonts w:cstheme="minorHAnsi"/>
                <w:color w:val="000000"/>
                <w:sz w:val="19"/>
                <w:szCs w:val="19"/>
              </w:rPr>
              <w:t>Spécialiste en VBG</w:t>
            </w:r>
          </w:p>
          <w:p w14:paraId="369EA895" w14:textId="77777777" w:rsidR="009021F1" w:rsidRPr="00F2455C" w:rsidRDefault="009021F1" w:rsidP="00E637E3">
            <w:pPr>
              <w:rPr>
                <w:rFonts w:cstheme="minorHAnsi"/>
                <w:color w:val="000000"/>
                <w:sz w:val="19"/>
                <w:szCs w:val="19"/>
              </w:rPr>
            </w:pPr>
          </w:p>
          <w:p w14:paraId="7FB62E52" w14:textId="77777777" w:rsidR="009021F1" w:rsidRPr="00F2455C" w:rsidRDefault="009021F1" w:rsidP="00E637E3">
            <w:pPr>
              <w:rPr>
                <w:rFonts w:cstheme="minorHAnsi"/>
                <w:sz w:val="19"/>
                <w:szCs w:val="19"/>
              </w:rPr>
            </w:pPr>
            <w:r w:rsidRPr="00F2455C">
              <w:rPr>
                <w:rFonts w:cstheme="minorHAnsi"/>
                <w:color w:val="000000"/>
                <w:sz w:val="19"/>
                <w:szCs w:val="19"/>
              </w:rPr>
              <w:t>Consultant externe</w:t>
            </w:r>
            <w:r>
              <w:rPr>
                <w:rFonts w:cstheme="minorHAnsi"/>
                <w:color w:val="000000"/>
                <w:sz w:val="19"/>
                <w:szCs w:val="19"/>
              </w:rPr>
              <w:t xml:space="preserve"> / ONG spécialisée</w:t>
            </w:r>
          </w:p>
        </w:tc>
        <w:tc>
          <w:tcPr>
            <w:tcW w:w="1746" w:type="dxa"/>
          </w:tcPr>
          <w:p w14:paraId="0B1C09F6" w14:textId="77777777" w:rsidR="009021F1" w:rsidRPr="00F2455C" w:rsidRDefault="009021F1" w:rsidP="00E637E3">
            <w:pPr>
              <w:rPr>
                <w:rFonts w:cstheme="minorHAnsi"/>
                <w:sz w:val="19"/>
                <w:szCs w:val="19"/>
              </w:rPr>
            </w:pPr>
            <w:r w:rsidRPr="00F2455C">
              <w:rPr>
                <w:rFonts w:cstheme="minorHAnsi"/>
                <w:color w:val="000000"/>
                <w:sz w:val="19"/>
                <w:szCs w:val="19"/>
              </w:rPr>
              <w:t>Spécialiste en VBG</w:t>
            </w:r>
          </w:p>
        </w:tc>
        <w:tc>
          <w:tcPr>
            <w:tcW w:w="1460" w:type="dxa"/>
          </w:tcPr>
          <w:p w14:paraId="4DB6D3BF" w14:textId="77777777" w:rsidR="009021F1" w:rsidRPr="00F2455C" w:rsidRDefault="009021F1" w:rsidP="00E637E3">
            <w:pPr>
              <w:rPr>
                <w:rFonts w:cstheme="minorHAnsi"/>
                <w:sz w:val="19"/>
                <w:szCs w:val="19"/>
              </w:rPr>
            </w:pPr>
            <w:r w:rsidRPr="00F2455C">
              <w:rPr>
                <w:rFonts w:cstheme="minorHAnsi"/>
                <w:color w:val="000000"/>
                <w:sz w:val="19"/>
                <w:szCs w:val="19"/>
              </w:rPr>
              <w:t>Avant la mise en vigueur du projet</w:t>
            </w:r>
          </w:p>
        </w:tc>
        <w:tc>
          <w:tcPr>
            <w:tcW w:w="1892" w:type="dxa"/>
          </w:tcPr>
          <w:p w14:paraId="79E614C2" w14:textId="77777777" w:rsidR="009021F1" w:rsidRPr="00F2455C" w:rsidRDefault="009021F1" w:rsidP="00E637E3">
            <w:pPr>
              <w:rPr>
                <w:rFonts w:cstheme="minorHAnsi"/>
                <w:sz w:val="19"/>
                <w:szCs w:val="19"/>
              </w:rPr>
            </w:pPr>
            <w:r w:rsidRPr="00F2455C">
              <w:rPr>
                <w:rFonts w:cstheme="minorHAnsi"/>
                <w:color w:val="000000"/>
                <w:sz w:val="19"/>
                <w:szCs w:val="19"/>
              </w:rPr>
              <w:t>Nombre d'études de cartographie menées</w:t>
            </w:r>
          </w:p>
          <w:p w14:paraId="0AB75688" w14:textId="77777777" w:rsidR="009021F1" w:rsidRPr="00F2455C" w:rsidRDefault="009021F1" w:rsidP="00E637E3">
            <w:pPr>
              <w:rPr>
                <w:rFonts w:cstheme="minorHAnsi"/>
                <w:sz w:val="19"/>
                <w:szCs w:val="19"/>
              </w:rPr>
            </w:pPr>
          </w:p>
          <w:p w14:paraId="367F6338" w14:textId="77777777" w:rsidR="009021F1" w:rsidRPr="00F2455C" w:rsidRDefault="009021F1" w:rsidP="00E637E3">
            <w:pPr>
              <w:rPr>
                <w:rFonts w:cstheme="minorHAnsi"/>
                <w:sz w:val="19"/>
                <w:szCs w:val="19"/>
              </w:rPr>
            </w:pPr>
            <w:r w:rsidRPr="00F2455C">
              <w:rPr>
                <w:rFonts w:cstheme="minorHAnsi"/>
                <w:sz w:val="19"/>
                <w:szCs w:val="19"/>
              </w:rPr>
              <w:t>Nombre de prestataires de services de prise en charge identifiés</w:t>
            </w:r>
          </w:p>
        </w:tc>
        <w:tc>
          <w:tcPr>
            <w:tcW w:w="1511" w:type="dxa"/>
          </w:tcPr>
          <w:p w14:paraId="500E1D94" w14:textId="77777777" w:rsidR="009021F1" w:rsidRDefault="009021F1" w:rsidP="00E637E3">
            <w:pPr>
              <w:rPr>
                <w:rFonts w:cstheme="minorHAnsi"/>
                <w:sz w:val="19"/>
                <w:szCs w:val="19"/>
              </w:rPr>
            </w:pPr>
          </w:p>
          <w:p w14:paraId="4891A67C" w14:textId="77777777" w:rsidR="009021F1" w:rsidRPr="00F2455C" w:rsidRDefault="009021F1" w:rsidP="00E637E3">
            <w:pPr>
              <w:rPr>
                <w:rFonts w:cstheme="minorHAnsi"/>
                <w:sz w:val="19"/>
                <w:szCs w:val="19"/>
              </w:rPr>
            </w:pPr>
            <w:r>
              <w:rPr>
                <w:rFonts w:cstheme="minorHAnsi"/>
                <w:sz w:val="19"/>
                <w:szCs w:val="19"/>
              </w:rPr>
              <w:t>55000$</w:t>
            </w:r>
          </w:p>
        </w:tc>
      </w:tr>
      <w:tr w:rsidR="009021F1" w:rsidRPr="00F2455C" w14:paraId="2B4EF92F" w14:textId="77777777" w:rsidTr="00E637E3">
        <w:trPr>
          <w:gridAfter w:val="1"/>
          <w:wAfter w:w="17" w:type="dxa"/>
          <w:trHeight w:val="144"/>
        </w:trPr>
        <w:tc>
          <w:tcPr>
            <w:tcW w:w="2430" w:type="dxa"/>
            <w:vMerge/>
          </w:tcPr>
          <w:p w14:paraId="7AD74DA5" w14:textId="77777777" w:rsidR="009021F1" w:rsidRPr="00F2455C" w:rsidRDefault="009021F1" w:rsidP="00E637E3">
            <w:pPr>
              <w:rPr>
                <w:rFonts w:cstheme="minorHAnsi"/>
                <w:sz w:val="19"/>
                <w:szCs w:val="19"/>
              </w:rPr>
            </w:pPr>
          </w:p>
        </w:tc>
        <w:tc>
          <w:tcPr>
            <w:tcW w:w="2165" w:type="dxa"/>
            <w:vMerge/>
          </w:tcPr>
          <w:p w14:paraId="30CAA1D6" w14:textId="77777777" w:rsidR="009021F1" w:rsidRPr="00F2455C" w:rsidRDefault="009021F1" w:rsidP="00E637E3">
            <w:pPr>
              <w:rPr>
                <w:rFonts w:cstheme="minorHAnsi"/>
                <w:color w:val="000000"/>
                <w:sz w:val="19"/>
                <w:szCs w:val="19"/>
              </w:rPr>
            </w:pPr>
          </w:p>
        </w:tc>
        <w:tc>
          <w:tcPr>
            <w:tcW w:w="10868" w:type="dxa"/>
            <w:gridSpan w:val="6"/>
          </w:tcPr>
          <w:p w14:paraId="68AF61FC" w14:textId="77777777" w:rsidR="009021F1" w:rsidRPr="00F2455C" w:rsidRDefault="009021F1" w:rsidP="00E637E3">
            <w:pPr>
              <w:rPr>
                <w:rFonts w:cstheme="minorHAnsi"/>
                <w:sz w:val="19"/>
                <w:szCs w:val="19"/>
              </w:rPr>
            </w:pPr>
            <w:r w:rsidRPr="00F2455C">
              <w:rPr>
                <w:rFonts w:ascii="Calibri" w:eastAsia="MS Mincho" w:hAnsi="Calibri" w:cs="Calibri"/>
                <w:b/>
                <w:sz w:val="19"/>
                <w:szCs w:val="19"/>
              </w:rPr>
              <w:t>Plan de formation et sensibilisation, incluant :</w:t>
            </w:r>
          </w:p>
        </w:tc>
      </w:tr>
      <w:tr w:rsidR="009021F1" w:rsidRPr="00F2455C" w14:paraId="168B03A9" w14:textId="77777777" w:rsidTr="00E637E3">
        <w:trPr>
          <w:gridAfter w:val="1"/>
          <w:wAfter w:w="17" w:type="dxa"/>
          <w:trHeight w:val="782"/>
        </w:trPr>
        <w:tc>
          <w:tcPr>
            <w:tcW w:w="2430" w:type="dxa"/>
            <w:vMerge/>
          </w:tcPr>
          <w:p w14:paraId="0FBA447D" w14:textId="77777777" w:rsidR="009021F1" w:rsidRPr="00F2455C" w:rsidRDefault="009021F1" w:rsidP="00E637E3">
            <w:pPr>
              <w:rPr>
                <w:rFonts w:cstheme="minorHAnsi"/>
                <w:sz w:val="19"/>
                <w:szCs w:val="19"/>
              </w:rPr>
            </w:pPr>
          </w:p>
        </w:tc>
        <w:tc>
          <w:tcPr>
            <w:tcW w:w="2165" w:type="dxa"/>
            <w:vMerge/>
          </w:tcPr>
          <w:p w14:paraId="77E21CAA" w14:textId="77777777" w:rsidR="009021F1" w:rsidRPr="00F2455C" w:rsidRDefault="009021F1" w:rsidP="00E637E3">
            <w:pPr>
              <w:rPr>
                <w:rFonts w:cstheme="minorHAnsi"/>
                <w:color w:val="000000"/>
                <w:sz w:val="19"/>
                <w:szCs w:val="19"/>
              </w:rPr>
            </w:pPr>
          </w:p>
        </w:tc>
        <w:tc>
          <w:tcPr>
            <w:tcW w:w="2473" w:type="dxa"/>
          </w:tcPr>
          <w:p w14:paraId="38729ADF" w14:textId="77777777" w:rsidR="009021F1" w:rsidRPr="00F2455C" w:rsidRDefault="009021F1" w:rsidP="00E637E3">
            <w:pPr>
              <w:rPr>
                <w:rFonts w:cstheme="minorHAnsi"/>
                <w:color w:val="000000"/>
                <w:sz w:val="19"/>
                <w:szCs w:val="19"/>
              </w:rPr>
            </w:pPr>
            <w:r w:rsidRPr="00F2455C">
              <w:rPr>
                <w:rFonts w:cstheme="minorHAnsi"/>
                <w:color w:val="000000"/>
                <w:sz w:val="19"/>
                <w:szCs w:val="19"/>
              </w:rPr>
              <w:t>Former et sensibiliser les travailleurs et le personnel du projet sur les VBG/EAHS, le MGP et les procédures pour traiter les plaintes d’EAHS, et le code de bonne conduite, incluant les comportements interdits et les sanctions applicables</w:t>
            </w:r>
          </w:p>
        </w:tc>
        <w:tc>
          <w:tcPr>
            <w:tcW w:w="1786" w:type="dxa"/>
          </w:tcPr>
          <w:p w14:paraId="1FAC3342" w14:textId="77777777" w:rsidR="009021F1" w:rsidRPr="00F2455C" w:rsidRDefault="009021F1" w:rsidP="00E637E3">
            <w:pPr>
              <w:rPr>
                <w:rFonts w:cstheme="minorHAnsi"/>
                <w:color w:val="000000"/>
                <w:sz w:val="19"/>
                <w:szCs w:val="19"/>
              </w:rPr>
            </w:pPr>
            <w:r w:rsidRPr="00F2455C">
              <w:rPr>
                <w:rFonts w:cstheme="minorHAnsi"/>
                <w:color w:val="000000"/>
                <w:sz w:val="19"/>
                <w:szCs w:val="19"/>
              </w:rPr>
              <w:t>Spécialiste en VBG</w:t>
            </w:r>
          </w:p>
          <w:p w14:paraId="2C372114" w14:textId="77777777" w:rsidR="009021F1" w:rsidRPr="00F2455C" w:rsidRDefault="009021F1" w:rsidP="00E637E3">
            <w:pPr>
              <w:rPr>
                <w:rFonts w:cstheme="minorHAnsi"/>
                <w:color w:val="000000"/>
                <w:sz w:val="19"/>
                <w:szCs w:val="19"/>
              </w:rPr>
            </w:pPr>
          </w:p>
          <w:p w14:paraId="59FCB549" w14:textId="77777777" w:rsidR="009021F1" w:rsidRPr="00F2455C" w:rsidRDefault="009021F1" w:rsidP="00E637E3">
            <w:pPr>
              <w:rPr>
                <w:rFonts w:cstheme="minorHAnsi"/>
                <w:sz w:val="19"/>
                <w:szCs w:val="19"/>
              </w:rPr>
            </w:pPr>
            <w:r w:rsidRPr="00F2455C">
              <w:rPr>
                <w:rFonts w:cstheme="minorHAnsi"/>
                <w:color w:val="000000"/>
                <w:sz w:val="19"/>
                <w:szCs w:val="19"/>
              </w:rPr>
              <w:t>Consultant externe</w:t>
            </w:r>
            <w:r>
              <w:rPr>
                <w:rFonts w:cstheme="minorHAnsi"/>
                <w:color w:val="000000"/>
                <w:sz w:val="19"/>
                <w:szCs w:val="19"/>
              </w:rPr>
              <w:t xml:space="preserve"> / ONG spécialisée</w:t>
            </w:r>
          </w:p>
        </w:tc>
        <w:tc>
          <w:tcPr>
            <w:tcW w:w="1746" w:type="dxa"/>
          </w:tcPr>
          <w:p w14:paraId="4EC39420" w14:textId="77777777" w:rsidR="009021F1" w:rsidRPr="00F2455C" w:rsidRDefault="009021F1" w:rsidP="00E637E3">
            <w:pPr>
              <w:rPr>
                <w:rFonts w:cstheme="minorHAnsi"/>
                <w:sz w:val="19"/>
                <w:szCs w:val="19"/>
              </w:rPr>
            </w:pPr>
            <w:r w:rsidRPr="00F2455C">
              <w:rPr>
                <w:rFonts w:cstheme="minorHAnsi"/>
                <w:color w:val="000000"/>
                <w:sz w:val="19"/>
                <w:szCs w:val="19"/>
              </w:rPr>
              <w:t>Spécialiste en VBG</w:t>
            </w:r>
            <w:r w:rsidRPr="00F2455C" w:rsidDel="00C4208A">
              <w:rPr>
                <w:rFonts w:cstheme="minorHAnsi"/>
                <w:sz w:val="19"/>
                <w:szCs w:val="19"/>
              </w:rPr>
              <w:t xml:space="preserve"> </w:t>
            </w:r>
          </w:p>
        </w:tc>
        <w:tc>
          <w:tcPr>
            <w:tcW w:w="1460" w:type="dxa"/>
          </w:tcPr>
          <w:p w14:paraId="40166AF7" w14:textId="77777777" w:rsidR="009021F1" w:rsidRPr="00F2455C" w:rsidRDefault="009021F1" w:rsidP="00E637E3">
            <w:pPr>
              <w:rPr>
                <w:rFonts w:cstheme="minorHAnsi"/>
                <w:sz w:val="19"/>
                <w:szCs w:val="19"/>
              </w:rPr>
            </w:pPr>
            <w:r w:rsidRPr="00F2455C">
              <w:rPr>
                <w:rFonts w:cstheme="minorHAnsi"/>
                <w:sz w:val="19"/>
                <w:szCs w:val="19"/>
              </w:rPr>
              <w:t>Avant la mise en vigueur du projet pour l’UNCP/UPEP</w:t>
            </w:r>
          </w:p>
          <w:p w14:paraId="37124951" w14:textId="77777777" w:rsidR="009021F1" w:rsidRPr="00F2455C" w:rsidRDefault="009021F1" w:rsidP="00E637E3">
            <w:pPr>
              <w:rPr>
                <w:rFonts w:cstheme="minorHAnsi"/>
                <w:sz w:val="19"/>
                <w:szCs w:val="19"/>
              </w:rPr>
            </w:pPr>
          </w:p>
          <w:p w14:paraId="53937C1F" w14:textId="77777777" w:rsidR="009021F1" w:rsidRPr="00F2455C" w:rsidRDefault="009021F1" w:rsidP="00E637E3">
            <w:pPr>
              <w:rPr>
                <w:rFonts w:cstheme="minorHAnsi"/>
                <w:sz w:val="19"/>
                <w:szCs w:val="19"/>
              </w:rPr>
            </w:pPr>
            <w:r w:rsidRPr="00F2455C">
              <w:rPr>
                <w:rFonts w:cstheme="minorHAnsi"/>
                <w:sz w:val="19"/>
                <w:szCs w:val="19"/>
              </w:rPr>
              <w:t>3 mois après la mise en vigueur du projet pour le reste du personnel pertinent (et lors du recrutement par après)</w:t>
            </w:r>
          </w:p>
          <w:p w14:paraId="5C0D86FA" w14:textId="77777777" w:rsidR="009021F1" w:rsidRPr="00F2455C" w:rsidRDefault="009021F1" w:rsidP="00E637E3">
            <w:pPr>
              <w:rPr>
                <w:rFonts w:cstheme="minorHAnsi"/>
                <w:sz w:val="19"/>
                <w:szCs w:val="19"/>
              </w:rPr>
            </w:pPr>
          </w:p>
          <w:p w14:paraId="0E001D3C" w14:textId="77777777" w:rsidR="009021F1" w:rsidRPr="00F2455C" w:rsidRDefault="009021F1" w:rsidP="00E637E3">
            <w:pPr>
              <w:rPr>
                <w:rFonts w:cstheme="minorHAnsi"/>
                <w:sz w:val="19"/>
                <w:szCs w:val="19"/>
              </w:rPr>
            </w:pPr>
            <w:r w:rsidRPr="00F2455C">
              <w:rPr>
                <w:rFonts w:cstheme="minorHAnsi"/>
                <w:sz w:val="19"/>
                <w:szCs w:val="19"/>
              </w:rPr>
              <w:t>Avant le début des travaux pour les travailleurs</w:t>
            </w:r>
          </w:p>
        </w:tc>
        <w:tc>
          <w:tcPr>
            <w:tcW w:w="1892" w:type="dxa"/>
          </w:tcPr>
          <w:p w14:paraId="356E364D" w14:textId="77777777" w:rsidR="009021F1" w:rsidRPr="00F2455C" w:rsidRDefault="009021F1" w:rsidP="00E637E3">
            <w:pPr>
              <w:rPr>
                <w:rFonts w:cstheme="minorHAnsi"/>
                <w:color w:val="000000"/>
                <w:sz w:val="19"/>
                <w:szCs w:val="19"/>
              </w:rPr>
            </w:pPr>
            <w:r w:rsidRPr="00F2455C">
              <w:rPr>
                <w:rFonts w:cstheme="minorHAnsi"/>
                <w:color w:val="000000"/>
                <w:sz w:val="19"/>
                <w:szCs w:val="19"/>
              </w:rPr>
              <w:t>Nombre des séances de formation tenues</w:t>
            </w:r>
          </w:p>
          <w:p w14:paraId="602607F4" w14:textId="77777777" w:rsidR="009021F1" w:rsidRPr="00F2455C" w:rsidRDefault="009021F1" w:rsidP="00E637E3">
            <w:pPr>
              <w:rPr>
                <w:rFonts w:cstheme="minorHAnsi"/>
                <w:color w:val="000000"/>
                <w:sz w:val="19"/>
                <w:szCs w:val="19"/>
              </w:rPr>
            </w:pPr>
          </w:p>
          <w:p w14:paraId="2E0C0FA2" w14:textId="77777777" w:rsidR="009021F1" w:rsidRPr="00F2455C" w:rsidRDefault="009021F1" w:rsidP="00E637E3">
            <w:pPr>
              <w:rPr>
                <w:rFonts w:cstheme="minorHAnsi"/>
                <w:color w:val="000000"/>
                <w:sz w:val="19"/>
                <w:szCs w:val="19"/>
              </w:rPr>
            </w:pPr>
            <w:r w:rsidRPr="00F2455C">
              <w:rPr>
                <w:rFonts w:cstheme="minorHAnsi"/>
                <w:color w:val="000000"/>
                <w:sz w:val="19"/>
                <w:szCs w:val="19"/>
              </w:rPr>
              <w:t>Nombre des séances de sensibilisation tenues</w:t>
            </w:r>
          </w:p>
          <w:p w14:paraId="1FC07439" w14:textId="77777777" w:rsidR="009021F1" w:rsidRPr="00F2455C" w:rsidRDefault="009021F1" w:rsidP="00E637E3">
            <w:pPr>
              <w:rPr>
                <w:rFonts w:cstheme="minorHAnsi"/>
                <w:sz w:val="19"/>
                <w:szCs w:val="19"/>
              </w:rPr>
            </w:pPr>
          </w:p>
          <w:p w14:paraId="3537754A" w14:textId="77777777" w:rsidR="009021F1" w:rsidRPr="00F2455C" w:rsidRDefault="009021F1" w:rsidP="00E637E3">
            <w:pPr>
              <w:rPr>
                <w:rFonts w:cstheme="minorHAnsi"/>
                <w:color w:val="000000"/>
                <w:sz w:val="19"/>
                <w:szCs w:val="19"/>
              </w:rPr>
            </w:pPr>
            <w:r w:rsidRPr="00F2455C">
              <w:rPr>
                <w:rFonts w:cstheme="minorHAnsi"/>
                <w:color w:val="000000"/>
                <w:sz w:val="19"/>
                <w:szCs w:val="19"/>
              </w:rPr>
              <w:t>Nombre de travailleurs / personnel formés et/ou sensibilisés (ventilés par sexe)</w:t>
            </w:r>
          </w:p>
          <w:p w14:paraId="2B9B75C5" w14:textId="77777777" w:rsidR="009021F1" w:rsidRPr="00F2455C" w:rsidRDefault="009021F1" w:rsidP="00E637E3">
            <w:pPr>
              <w:rPr>
                <w:rFonts w:cstheme="minorHAnsi"/>
                <w:color w:val="000000"/>
                <w:sz w:val="19"/>
                <w:szCs w:val="19"/>
              </w:rPr>
            </w:pPr>
          </w:p>
          <w:p w14:paraId="0601D0E6" w14:textId="77777777" w:rsidR="009021F1" w:rsidRPr="00F2455C" w:rsidRDefault="009021F1" w:rsidP="00E637E3">
            <w:pPr>
              <w:rPr>
                <w:rFonts w:cstheme="minorHAnsi"/>
                <w:color w:val="000000"/>
                <w:sz w:val="19"/>
                <w:szCs w:val="19"/>
              </w:rPr>
            </w:pPr>
            <w:r w:rsidRPr="00F2455C">
              <w:rPr>
                <w:rFonts w:cstheme="minorHAnsi"/>
                <w:color w:val="000000"/>
                <w:sz w:val="19"/>
                <w:szCs w:val="19"/>
              </w:rPr>
              <w:t>% des travailleurs et personnel formés qui obtiennent une note de 70% sur le post-test</w:t>
            </w:r>
          </w:p>
        </w:tc>
        <w:tc>
          <w:tcPr>
            <w:tcW w:w="1511" w:type="dxa"/>
          </w:tcPr>
          <w:p w14:paraId="0EB7C23A" w14:textId="77777777" w:rsidR="009021F1" w:rsidRDefault="009021F1" w:rsidP="00E637E3">
            <w:pPr>
              <w:rPr>
                <w:rFonts w:cstheme="minorHAnsi"/>
                <w:sz w:val="19"/>
                <w:szCs w:val="19"/>
              </w:rPr>
            </w:pPr>
            <w:r>
              <w:rPr>
                <w:rFonts w:cstheme="minorHAnsi"/>
                <w:sz w:val="19"/>
                <w:szCs w:val="19"/>
              </w:rPr>
              <w:t>Pour toutes les formation et mise niveau des partenaires</w:t>
            </w:r>
          </w:p>
          <w:p w14:paraId="3AA2E72A" w14:textId="77777777" w:rsidR="009021F1" w:rsidRPr="00F2455C" w:rsidRDefault="009021F1" w:rsidP="00E637E3">
            <w:pPr>
              <w:rPr>
                <w:rFonts w:cstheme="minorHAnsi"/>
                <w:sz w:val="19"/>
                <w:szCs w:val="19"/>
              </w:rPr>
            </w:pPr>
            <w:r>
              <w:rPr>
                <w:rFonts w:cstheme="minorHAnsi"/>
                <w:sz w:val="19"/>
                <w:szCs w:val="19"/>
              </w:rPr>
              <w:t>400000$ en raison de 50000$ par province et 1000000$ au niveau de central</w:t>
            </w:r>
          </w:p>
        </w:tc>
      </w:tr>
      <w:tr w:rsidR="009021F1" w:rsidRPr="00F2455C" w14:paraId="26A181E3" w14:textId="77777777" w:rsidTr="00E637E3">
        <w:trPr>
          <w:gridAfter w:val="1"/>
          <w:wAfter w:w="17" w:type="dxa"/>
        </w:trPr>
        <w:tc>
          <w:tcPr>
            <w:tcW w:w="2430" w:type="dxa"/>
            <w:vMerge/>
          </w:tcPr>
          <w:p w14:paraId="6E183638" w14:textId="77777777" w:rsidR="009021F1" w:rsidRPr="00F2455C" w:rsidRDefault="009021F1" w:rsidP="00E637E3">
            <w:pPr>
              <w:rPr>
                <w:rFonts w:cstheme="minorHAnsi"/>
                <w:sz w:val="19"/>
                <w:szCs w:val="19"/>
              </w:rPr>
            </w:pPr>
          </w:p>
        </w:tc>
        <w:tc>
          <w:tcPr>
            <w:tcW w:w="2165" w:type="dxa"/>
            <w:vMerge/>
          </w:tcPr>
          <w:p w14:paraId="31E4FBA7" w14:textId="77777777" w:rsidR="009021F1" w:rsidRPr="00F2455C" w:rsidRDefault="009021F1" w:rsidP="00E637E3">
            <w:pPr>
              <w:rPr>
                <w:rFonts w:cstheme="minorHAnsi"/>
                <w:color w:val="000000"/>
                <w:sz w:val="19"/>
                <w:szCs w:val="19"/>
              </w:rPr>
            </w:pPr>
          </w:p>
        </w:tc>
        <w:tc>
          <w:tcPr>
            <w:tcW w:w="2473" w:type="dxa"/>
          </w:tcPr>
          <w:p w14:paraId="38971281" w14:textId="77777777" w:rsidR="009021F1" w:rsidRPr="00F2455C" w:rsidRDefault="009021F1" w:rsidP="00E637E3">
            <w:pPr>
              <w:rPr>
                <w:rFonts w:cstheme="minorHAnsi"/>
                <w:strike/>
                <w:sz w:val="19"/>
                <w:szCs w:val="19"/>
              </w:rPr>
            </w:pPr>
            <w:r w:rsidRPr="00F2455C">
              <w:rPr>
                <w:rFonts w:cstheme="minorHAnsi"/>
                <w:color w:val="000000"/>
                <w:sz w:val="19"/>
                <w:szCs w:val="19"/>
              </w:rPr>
              <w:t>Organiser les consultations indépendantes avec les femmes dans des conditions sûres et confidentielles (avec une facilitatrice) afin de solliciter les informations sur les risques et les impacts potentiels du projet, y compris les services disponibles et les points d’accès au MGP</w:t>
            </w:r>
          </w:p>
        </w:tc>
        <w:tc>
          <w:tcPr>
            <w:tcW w:w="1786" w:type="dxa"/>
          </w:tcPr>
          <w:p w14:paraId="16ADBABA" w14:textId="77777777" w:rsidR="009021F1" w:rsidRPr="00F2455C" w:rsidRDefault="009021F1" w:rsidP="00E637E3">
            <w:pPr>
              <w:rPr>
                <w:rFonts w:cstheme="minorHAnsi"/>
                <w:color w:val="000000"/>
                <w:sz w:val="19"/>
                <w:szCs w:val="19"/>
              </w:rPr>
            </w:pPr>
            <w:r w:rsidRPr="00F2455C">
              <w:rPr>
                <w:rFonts w:cstheme="minorHAnsi"/>
                <w:color w:val="000000"/>
                <w:sz w:val="19"/>
                <w:szCs w:val="19"/>
              </w:rPr>
              <w:t>Spécialiste en VBG</w:t>
            </w:r>
          </w:p>
          <w:p w14:paraId="21E13F93" w14:textId="77777777" w:rsidR="009021F1" w:rsidRPr="00F2455C" w:rsidRDefault="009021F1" w:rsidP="00E637E3">
            <w:pPr>
              <w:rPr>
                <w:rFonts w:cstheme="minorHAnsi"/>
                <w:color w:val="000000"/>
                <w:sz w:val="19"/>
                <w:szCs w:val="19"/>
              </w:rPr>
            </w:pPr>
          </w:p>
          <w:p w14:paraId="5950A140" w14:textId="77777777" w:rsidR="009021F1" w:rsidRPr="00F2455C" w:rsidRDefault="009021F1" w:rsidP="00E637E3">
            <w:pPr>
              <w:rPr>
                <w:rFonts w:cstheme="minorHAnsi"/>
                <w:sz w:val="19"/>
                <w:szCs w:val="19"/>
              </w:rPr>
            </w:pPr>
            <w:r w:rsidRPr="00F2455C">
              <w:rPr>
                <w:rFonts w:cstheme="minorHAnsi"/>
                <w:color w:val="000000"/>
                <w:sz w:val="19"/>
                <w:szCs w:val="19"/>
              </w:rPr>
              <w:t>Consultant externe</w:t>
            </w:r>
            <w:r>
              <w:rPr>
                <w:rFonts w:cstheme="minorHAnsi"/>
                <w:color w:val="000000"/>
                <w:sz w:val="19"/>
                <w:szCs w:val="19"/>
              </w:rPr>
              <w:t xml:space="preserve"> / ONG spécialisée</w:t>
            </w:r>
          </w:p>
        </w:tc>
        <w:tc>
          <w:tcPr>
            <w:tcW w:w="1746" w:type="dxa"/>
          </w:tcPr>
          <w:p w14:paraId="0546EC98" w14:textId="77777777" w:rsidR="009021F1" w:rsidRPr="00F2455C" w:rsidRDefault="009021F1" w:rsidP="00E637E3">
            <w:pPr>
              <w:rPr>
                <w:rFonts w:cstheme="minorHAnsi"/>
                <w:sz w:val="19"/>
                <w:szCs w:val="19"/>
              </w:rPr>
            </w:pPr>
            <w:r w:rsidRPr="00F2455C">
              <w:rPr>
                <w:rFonts w:cstheme="minorHAnsi"/>
                <w:color w:val="000000"/>
                <w:sz w:val="19"/>
                <w:szCs w:val="19"/>
              </w:rPr>
              <w:t>Spécialiste en VBG</w:t>
            </w:r>
            <w:r w:rsidRPr="00F2455C" w:rsidDel="0076718B">
              <w:rPr>
                <w:rFonts w:cstheme="minorHAnsi"/>
                <w:sz w:val="19"/>
                <w:szCs w:val="19"/>
              </w:rPr>
              <w:t xml:space="preserve"> </w:t>
            </w:r>
          </w:p>
        </w:tc>
        <w:tc>
          <w:tcPr>
            <w:tcW w:w="1460" w:type="dxa"/>
          </w:tcPr>
          <w:p w14:paraId="0CEF3C9E" w14:textId="77777777" w:rsidR="009021F1" w:rsidRPr="00F2455C" w:rsidRDefault="009021F1" w:rsidP="00E637E3">
            <w:pPr>
              <w:rPr>
                <w:rFonts w:cstheme="minorHAnsi"/>
                <w:sz w:val="19"/>
                <w:szCs w:val="19"/>
              </w:rPr>
            </w:pPr>
            <w:r w:rsidRPr="00F2455C">
              <w:rPr>
                <w:rFonts w:cstheme="minorHAnsi"/>
                <w:color w:val="000000"/>
                <w:sz w:val="19"/>
                <w:szCs w:val="19"/>
              </w:rPr>
              <w:t>Tous les six mois pendant la durée du projet</w:t>
            </w:r>
          </w:p>
        </w:tc>
        <w:tc>
          <w:tcPr>
            <w:tcW w:w="1892" w:type="dxa"/>
          </w:tcPr>
          <w:p w14:paraId="50F5321E" w14:textId="77777777" w:rsidR="009021F1" w:rsidRPr="00F2455C" w:rsidRDefault="009021F1" w:rsidP="00E637E3">
            <w:pPr>
              <w:rPr>
                <w:rFonts w:cstheme="minorHAnsi"/>
                <w:color w:val="000000"/>
                <w:sz w:val="19"/>
                <w:szCs w:val="19"/>
              </w:rPr>
            </w:pPr>
            <w:r w:rsidRPr="00F2455C">
              <w:rPr>
                <w:rFonts w:cstheme="minorHAnsi"/>
                <w:color w:val="000000"/>
                <w:sz w:val="19"/>
                <w:szCs w:val="19"/>
              </w:rPr>
              <w:t>Nombre de consultations communautaires organisées</w:t>
            </w:r>
          </w:p>
          <w:p w14:paraId="699095FE" w14:textId="77777777" w:rsidR="009021F1" w:rsidRPr="00F2455C" w:rsidRDefault="009021F1" w:rsidP="00E637E3">
            <w:pPr>
              <w:rPr>
                <w:rFonts w:cstheme="minorHAnsi"/>
                <w:color w:val="000000"/>
                <w:sz w:val="19"/>
                <w:szCs w:val="19"/>
              </w:rPr>
            </w:pPr>
          </w:p>
          <w:p w14:paraId="6AD71D18" w14:textId="77777777" w:rsidR="009021F1" w:rsidRPr="00F2455C" w:rsidRDefault="009021F1" w:rsidP="00E637E3">
            <w:pPr>
              <w:rPr>
                <w:rFonts w:cstheme="minorHAnsi"/>
                <w:color w:val="000000"/>
                <w:sz w:val="19"/>
                <w:szCs w:val="19"/>
              </w:rPr>
            </w:pPr>
            <w:r w:rsidRPr="00F2455C">
              <w:rPr>
                <w:rFonts w:cstheme="minorHAnsi"/>
                <w:color w:val="000000"/>
                <w:sz w:val="19"/>
                <w:szCs w:val="19"/>
              </w:rPr>
              <w:t>Nombre de participantes aux consultations</w:t>
            </w:r>
            <w:r>
              <w:rPr>
                <w:rFonts w:cstheme="minorHAnsi"/>
                <w:color w:val="000000"/>
                <w:sz w:val="19"/>
                <w:szCs w:val="19"/>
              </w:rPr>
              <w:t xml:space="preserve"> (</w:t>
            </w:r>
            <w:r w:rsidRPr="00F2455C">
              <w:rPr>
                <w:rFonts w:cstheme="minorHAnsi"/>
                <w:color w:val="000000"/>
                <w:sz w:val="19"/>
                <w:szCs w:val="19"/>
              </w:rPr>
              <w:t>ventilés par sexe et âge)</w:t>
            </w:r>
          </w:p>
          <w:p w14:paraId="59840A2B" w14:textId="77777777" w:rsidR="009021F1" w:rsidRPr="00F2455C" w:rsidRDefault="009021F1" w:rsidP="00E637E3">
            <w:pPr>
              <w:rPr>
                <w:rFonts w:cstheme="minorHAnsi"/>
                <w:color w:val="000000"/>
                <w:sz w:val="19"/>
                <w:szCs w:val="19"/>
              </w:rPr>
            </w:pPr>
          </w:p>
          <w:p w14:paraId="3986F58E" w14:textId="77777777" w:rsidR="009021F1" w:rsidRPr="00F2455C" w:rsidRDefault="009021F1" w:rsidP="00E637E3">
            <w:pPr>
              <w:rPr>
                <w:rFonts w:cstheme="minorHAnsi"/>
                <w:color w:val="000000"/>
                <w:sz w:val="19"/>
                <w:szCs w:val="19"/>
              </w:rPr>
            </w:pPr>
            <w:r w:rsidRPr="00F2455C">
              <w:rPr>
                <w:rFonts w:cstheme="minorHAnsi"/>
                <w:color w:val="000000"/>
                <w:sz w:val="19"/>
                <w:szCs w:val="19"/>
              </w:rPr>
              <w:t>Nombre des séances de sensibilisation communautaires organisées</w:t>
            </w:r>
          </w:p>
          <w:p w14:paraId="09870B93" w14:textId="77777777" w:rsidR="009021F1" w:rsidRPr="00F2455C" w:rsidRDefault="009021F1" w:rsidP="00E637E3">
            <w:pPr>
              <w:rPr>
                <w:rFonts w:cstheme="minorHAnsi"/>
                <w:color w:val="000000"/>
                <w:sz w:val="19"/>
                <w:szCs w:val="19"/>
              </w:rPr>
            </w:pPr>
          </w:p>
          <w:p w14:paraId="1CD3C8B7" w14:textId="77777777" w:rsidR="009021F1" w:rsidRPr="00F2455C" w:rsidRDefault="009021F1" w:rsidP="00E637E3">
            <w:pPr>
              <w:rPr>
                <w:rFonts w:cstheme="minorHAnsi"/>
                <w:sz w:val="19"/>
                <w:szCs w:val="19"/>
              </w:rPr>
            </w:pPr>
            <w:r w:rsidRPr="00F2455C">
              <w:rPr>
                <w:rFonts w:cstheme="minorHAnsi"/>
                <w:color w:val="000000"/>
                <w:sz w:val="19"/>
                <w:szCs w:val="19"/>
              </w:rPr>
              <w:t>Nombre de personnes sensibilisées (ventilés par sexe et âge)</w:t>
            </w:r>
          </w:p>
        </w:tc>
        <w:tc>
          <w:tcPr>
            <w:tcW w:w="1511" w:type="dxa"/>
          </w:tcPr>
          <w:p w14:paraId="03C7E4CF" w14:textId="77777777" w:rsidR="009021F1" w:rsidRPr="00F2455C" w:rsidRDefault="009021F1" w:rsidP="00E637E3">
            <w:pPr>
              <w:rPr>
                <w:rFonts w:cstheme="minorHAnsi"/>
                <w:sz w:val="19"/>
                <w:szCs w:val="19"/>
              </w:rPr>
            </w:pPr>
            <w:r w:rsidRPr="00F2455C">
              <w:rPr>
                <w:rFonts w:cstheme="minorHAnsi"/>
                <w:sz w:val="19"/>
                <w:szCs w:val="19"/>
              </w:rPr>
              <w:t>250000$</w:t>
            </w:r>
          </w:p>
        </w:tc>
      </w:tr>
      <w:tr w:rsidR="009021F1" w:rsidRPr="00F2455C" w14:paraId="61E94E3D" w14:textId="77777777" w:rsidTr="00E637E3">
        <w:trPr>
          <w:gridAfter w:val="1"/>
          <w:wAfter w:w="17" w:type="dxa"/>
        </w:trPr>
        <w:tc>
          <w:tcPr>
            <w:tcW w:w="2430" w:type="dxa"/>
            <w:vMerge/>
          </w:tcPr>
          <w:p w14:paraId="1D00AD25" w14:textId="77777777" w:rsidR="009021F1" w:rsidRPr="00F2455C" w:rsidRDefault="009021F1" w:rsidP="00E637E3">
            <w:pPr>
              <w:rPr>
                <w:rFonts w:cstheme="minorHAnsi"/>
                <w:sz w:val="19"/>
                <w:szCs w:val="19"/>
              </w:rPr>
            </w:pPr>
          </w:p>
        </w:tc>
        <w:tc>
          <w:tcPr>
            <w:tcW w:w="2165" w:type="dxa"/>
            <w:vMerge/>
          </w:tcPr>
          <w:p w14:paraId="3DFF2973" w14:textId="77777777" w:rsidR="009021F1" w:rsidRPr="00F2455C" w:rsidDel="004E395D" w:rsidRDefault="009021F1" w:rsidP="00E637E3">
            <w:pPr>
              <w:rPr>
                <w:rFonts w:cstheme="minorHAnsi"/>
                <w:color w:val="000000"/>
                <w:sz w:val="19"/>
                <w:szCs w:val="19"/>
              </w:rPr>
            </w:pPr>
          </w:p>
        </w:tc>
        <w:tc>
          <w:tcPr>
            <w:tcW w:w="2473" w:type="dxa"/>
          </w:tcPr>
          <w:p w14:paraId="00E605C9" w14:textId="77777777" w:rsidR="009021F1" w:rsidRPr="00F2455C" w:rsidRDefault="009021F1" w:rsidP="00E637E3">
            <w:pPr>
              <w:rPr>
                <w:rFonts w:cstheme="minorHAnsi"/>
                <w:color w:val="000000"/>
                <w:sz w:val="19"/>
                <w:szCs w:val="19"/>
              </w:rPr>
            </w:pPr>
            <w:r w:rsidRPr="00F2455C">
              <w:rPr>
                <w:rFonts w:cstheme="minorHAnsi"/>
                <w:color w:val="000000"/>
                <w:sz w:val="19"/>
                <w:szCs w:val="19"/>
              </w:rPr>
              <w:t>Organiser des séances de sensibilisation avec les membres des communautés dans les zones d’intervention sur les VBG, l’EAHS, les services disponibles, et le MGP</w:t>
            </w:r>
          </w:p>
        </w:tc>
        <w:tc>
          <w:tcPr>
            <w:tcW w:w="1786" w:type="dxa"/>
          </w:tcPr>
          <w:p w14:paraId="13789DCE" w14:textId="77777777" w:rsidR="009021F1" w:rsidRPr="00F2455C" w:rsidRDefault="009021F1" w:rsidP="00E637E3">
            <w:pPr>
              <w:rPr>
                <w:rFonts w:cstheme="minorHAnsi"/>
                <w:color w:val="000000"/>
                <w:sz w:val="19"/>
                <w:szCs w:val="19"/>
              </w:rPr>
            </w:pPr>
            <w:r w:rsidRPr="00F2455C">
              <w:rPr>
                <w:rFonts w:cstheme="minorHAnsi"/>
                <w:color w:val="000000"/>
                <w:sz w:val="19"/>
                <w:szCs w:val="19"/>
              </w:rPr>
              <w:t>Spécialiste en VBG</w:t>
            </w:r>
          </w:p>
          <w:p w14:paraId="154A9AA4" w14:textId="77777777" w:rsidR="009021F1" w:rsidRPr="00F2455C" w:rsidRDefault="009021F1" w:rsidP="00E637E3">
            <w:pPr>
              <w:rPr>
                <w:rFonts w:cstheme="minorHAnsi"/>
                <w:color w:val="000000"/>
                <w:sz w:val="19"/>
                <w:szCs w:val="19"/>
              </w:rPr>
            </w:pPr>
          </w:p>
          <w:p w14:paraId="6A1B4A66" w14:textId="77777777" w:rsidR="009021F1" w:rsidRPr="00F2455C" w:rsidRDefault="009021F1" w:rsidP="00E637E3">
            <w:pPr>
              <w:rPr>
                <w:rFonts w:cstheme="minorHAnsi"/>
                <w:color w:val="000000"/>
                <w:sz w:val="19"/>
                <w:szCs w:val="19"/>
              </w:rPr>
            </w:pPr>
            <w:r w:rsidRPr="00F2455C">
              <w:rPr>
                <w:rFonts w:cstheme="minorHAnsi"/>
                <w:color w:val="000000"/>
                <w:sz w:val="19"/>
                <w:szCs w:val="19"/>
              </w:rPr>
              <w:t>Consultant externe</w:t>
            </w:r>
            <w:r>
              <w:rPr>
                <w:rFonts w:cstheme="minorHAnsi"/>
                <w:color w:val="000000"/>
                <w:sz w:val="19"/>
                <w:szCs w:val="19"/>
              </w:rPr>
              <w:t xml:space="preserve"> / ONG spécialisée</w:t>
            </w:r>
          </w:p>
        </w:tc>
        <w:tc>
          <w:tcPr>
            <w:tcW w:w="1746" w:type="dxa"/>
          </w:tcPr>
          <w:p w14:paraId="340211D2" w14:textId="77777777" w:rsidR="009021F1" w:rsidRPr="00F2455C" w:rsidRDefault="009021F1" w:rsidP="00E637E3">
            <w:pPr>
              <w:rPr>
                <w:rFonts w:cstheme="minorHAnsi"/>
                <w:sz w:val="19"/>
                <w:szCs w:val="19"/>
              </w:rPr>
            </w:pPr>
            <w:r w:rsidRPr="00F2455C">
              <w:rPr>
                <w:rFonts w:cstheme="minorHAnsi"/>
                <w:color w:val="000000"/>
                <w:sz w:val="19"/>
                <w:szCs w:val="19"/>
              </w:rPr>
              <w:t>Spécialiste en VBG</w:t>
            </w:r>
            <w:r w:rsidRPr="00F2455C" w:rsidDel="0076718B">
              <w:rPr>
                <w:rFonts w:cstheme="minorHAnsi"/>
                <w:sz w:val="19"/>
                <w:szCs w:val="19"/>
              </w:rPr>
              <w:t xml:space="preserve"> </w:t>
            </w:r>
          </w:p>
        </w:tc>
        <w:tc>
          <w:tcPr>
            <w:tcW w:w="1460" w:type="dxa"/>
          </w:tcPr>
          <w:p w14:paraId="4E727084" w14:textId="77777777" w:rsidR="009021F1" w:rsidRPr="00F2455C" w:rsidRDefault="009021F1" w:rsidP="00E637E3">
            <w:pPr>
              <w:rPr>
                <w:rFonts w:cstheme="minorHAnsi"/>
                <w:color w:val="000000"/>
                <w:sz w:val="19"/>
                <w:szCs w:val="19"/>
              </w:rPr>
            </w:pPr>
            <w:r w:rsidRPr="00F2455C">
              <w:rPr>
                <w:rFonts w:cstheme="minorHAnsi"/>
                <w:color w:val="000000"/>
                <w:sz w:val="19"/>
                <w:szCs w:val="19"/>
              </w:rPr>
              <w:t>Tous les six mois pendant la durée du projet</w:t>
            </w:r>
          </w:p>
        </w:tc>
        <w:tc>
          <w:tcPr>
            <w:tcW w:w="1892" w:type="dxa"/>
          </w:tcPr>
          <w:p w14:paraId="17535FE2" w14:textId="77777777" w:rsidR="009021F1" w:rsidRPr="00F2455C" w:rsidRDefault="009021F1" w:rsidP="00E637E3">
            <w:pPr>
              <w:rPr>
                <w:rFonts w:cstheme="minorHAnsi"/>
                <w:color w:val="000000"/>
                <w:sz w:val="19"/>
                <w:szCs w:val="19"/>
              </w:rPr>
            </w:pPr>
            <w:r w:rsidRPr="00F2455C">
              <w:rPr>
                <w:rFonts w:cstheme="minorHAnsi"/>
                <w:color w:val="000000"/>
                <w:sz w:val="19"/>
                <w:szCs w:val="19"/>
              </w:rPr>
              <w:t>Nombre de sensibilisations organisées</w:t>
            </w:r>
          </w:p>
          <w:p w14:paraId="7492121A" w14:textId="77777777" w:rsidR="009021F1" w:rsidRPr="00F2455C" w:rsidRDefault="009021F1" w:rsidP="00E637E3">
            <w:pPr>
              <w:rPr>
                <w:rFonts w:cstheme="minorHAnsi"/>
                <w:color w:val="000000"/>
                <w:sz w:val="19"/>
                <w:szCs w:val="19"/>
              </w:rPr>
            </w:pPr>
          </w:p>
          <w:p w14:paraId="22CD67B5" w14:textId="77777777" w:rsidR="009021F1" w:rsidRPr="00F2455C" w:rsidRDefault="009021F1" w:rsidP="00E637E3">
            <w:pPr>
              <w:rPr>
                <w:rFonts w:cstheme="minorHAnsi"/>
                <w:color w:val="000000"/>
                <w:sz w:val="19"/>
                <w:szCs w:val="19"/>
              </w:rPr>
            </w:pPr>
            <w:r w:rsidRPr="00F2455C">
              <w:rPr>
                <w:rFonts w:cstheme="minorHAnsi"/>
                <w:color w:val="000000"/>
                <w:sz w:val="19"/>
                <w:szCs w:val="19"/>
              </w:rPr>
              <w:t>Nombre de participant(e)s aux sensibilisations (ventilés par sexe et âge)</w:t>
            </w:r>
          </w:p>
        </w:tc>
        <w:tc>
          <w:tcPr>
            <w:tcW w:w="1511" w:type="dxa"/>
          </w:tcPr>
          <w:p w14:paraId="3D1052C3" w14:textId="77777777" w:rsidR="009021F1" w:rsidRDefault="009021F1" w:rsidP="00E637E3">
            <w:pPr>
              <w:rPr>
                <w:rFonts w:cstheme="minorHAnsi"/>
                <w:sz w:val="19"/>
                <w:szCs w:val="19"/>
              </w:rPr>
            </w:pPr>
          </w:p>
          <w:p w14:paraId="3643CBAC" w14:textId="77777777" w:rsidR="009021F1" w:rsidRPr="00F2455C" w:rsidRDefault="009021F1" w:rsidP="00E637E3">
            <w:pPr>
              <w:rPr>
                <w:rFonts w:cstheme="minorHAnsi"/>
                <w:sz w:val="19"/>
                <w:szCs w:val="19"/>
              </w:rPr>
            </w:pPr>
            <w:r>
              <w:rPr>
                <w:rFonts w:cstheme="minorHAnsi"/>
                <w:sz w:val="19"/>
                <w:szCs w:val="19"/>
              </w:rPr>
              <w:t>Déjà pris en charge</w:t>
            </w:r>
          </w:p>
        </w:tc>
      </w:tr>
      <w:tr w:rsidR="009021F1" w:rsidRPr="00F2455C" w14:paraId="086BF33A" w14:textId="77777777" w:rsidTr="00E637E3">
        <w:trPr>
          <w:gridAfter w:val="1"/>
          <w:wAfter w:w="17" w:type="dxa"/>
        </w:trPr>
        <w:tc>
          <w:tcPr>
            <w:tcW w:w="2430" w:type="dxa"/>
            <w:vMerge/>
          </w:tcPr>
          <w:p w14:paraId="4E6B624F" w14:textId="77777777" w:rsidR="009021F1" w:rsidRPr="00F2455C" w:rsidRDefault="009021F1" w:rsidP="00E637E3">
            <w:pPr>
              <w:rPr>
                <w:rFonts w:cstheme="minorHAnsi"/>
                <w:sz w:val="19"/>
                <w:szCs w:val="19"/>
              </w:rPr>
            </w:pPr>
          </w:p>
        </w:tc>
        <w:tc>
          <w:tcPr>
            <w:tcW w:w="2165" w:type="dxa"/>
            <w:vMerge/>
          </w:tcPr>
          <w:p w14:paraId="08A75CF9" w14:textId="77777777" w:rsidR="009021F1" w:rsidRPr="00F2455C" w:rsidDel="004E395D" w:rsidRDefault="009021F1" w:rsidP="00E637E3">
            <w:pPr>
              <w:rPr>
                <w:rFonts w:cstheme="minorHAnsi"/>
                <w:color w:val="000000"/>
                <w:sz w:val="19"/>
                <w:szCs w:val="19"/>
              </w:rPr>
            </w:pPr>
          </w:p>
        </w:tc>
        <w:tc>
          <w:tcPr>
            <w:tcW w:w="2473" w:type="dxa"/>
          </w:tcPr>
          <w:p w14:paraId="17A681FE" w14:textId="77777777" w:rsidR="009021F1" w:rsidRPr="00F2455C" w:rsidRDefault="009021F1" w:rsidP="00E637E3">
            <w:pPr>
              <w:rPr>
                <w:rFonts w:cstheme="minorHAnsi"/>
                <w:sz w:val="19"/>
                <w:szCs w:val="19"/>
              </w:rPr>
            </w:pPr>
            <w:r w:rsidRPr="00F2455C">
              <w:rPr>
                <w:rFonts w:cstheme="minorHAnsi"/>
                <w:color w:val="000000"/>
                <w:sz w:val="19"/>
                <w:szCs w:val="19"/>
              </w:rPr>
              <w:t xml:space="preserve">Vulgariser les instruments nationaux lors des sensibilisations (lois </w:t>
            </w:r>
            <w:r>
              <w:rPr>
                <w:rFonts w:cstheme="minorHAnsi"/>
                <w:color w:val="000000"/>
                <w:sz w:val="19"/>
                <w:szCs w:val="19"/>
              </w:rPr>
              <w:t>portant sur</w:t>
            </w:r>
            <w:r w:rsidRPr="00F2455C">
              <w:rPr>
                <w:rFonts w:cstheme="minorHAnsi"/>
                <w:color w:val="000000"/>
                <w:sz w:val="19"/>
                <w:szCs w:val="19"/>
              </w:rPr>
              <w:t xml:space="preserve"> les violences sexuelles, </w:t>
            </w:r>
            <w:r>
              <w:rPr>
                <w:rFonts w:cstheme="minorHAnsi"/>
                <w:color w:val="000000"/>
                <w:sz w:val="19"/>
                <w:szCs w:val="19"/>
              </w:rPr>
              <w:t xml:space="preserve">protection de l’enfant, </w:t>
            </w:r>
            <w:r w:rsidRPr="00F2455C">
              <w:rPr>
                <w:rFonts w:cstheme="minorHAnsi"/>
                <w:color w:val="000000"/>
                <w:sz w:val="19"/>
                <w:szCs w:val="19"/>
              </w:rPr>
              <w:t xml:space="preserve">code du travail, etc.) </w:t>
            </w:r>
            <w:r>
              <w:rPr>
                <w:rFonts w:cstheme="minorHAnsi"/>
                <w:color w:val="000000"/>
                <w:sz w:val="19"/>
                <w:szCs w:val="19"/>
              </w:rPr>
              <w:t xml:space="preserve">avec les instruments du projet, notamment le code de bonne conduite et le MGP, </w:t>
            </w:r>
            <w:r w:rsidRPr="00F2455C">
              <w:rPr>
                <w:rFonts w:cstheme="minorHAnsi"/>
                <w:color w:val="000000"/>
                <w:sz w:val="19"/>
                <w:szCs w:val="19"/>
              </w:rPr>
              <w:t xml:space="preserve">qui assurent la protection et la promotion </w:t>
            </w:r>
            <w:r>
              <w:rPr>
                <w:rFonts w:cstheme="minorHAnsi"/>
                <w:color w:val="000000"/>
                <w:sz w:val="19"/>
                <w:szCs w:val="19"/>
              </w:rPr>
              <w:t xml:space="preserve">des droits </w:t>
            </w:r>
            <w:r w:rsidRPr="00F2455C">
              <w:rPr>
                <w:rFonts w:cstheme="minorHAnsi"/>
                <w:color w:val="000000"/>
                <w:sz w:val="19"/>
                <w:szCs w:val="19"/>
              </w:rPr>
              <w:t>de la femme et de l’enfant</w:t>
            </w:r>
          </w:p>
        </w:tc>
        <w:tc>
          <w:tcPr>
            <w:tcW w:w="1786" w:type="dxa"/>
          </w:tcPr>
          <w:p w14:paraId="69D5B654" w14:textId="77777777" w:rsidR="009021F1" w:rsidRDefault="009021F1" w:rsidP="00E637E3">
            <w:pPr>
              <w:rPr>
                <w:rFonts w:cstheme="minorHAnsi"/>
                <w:color w:val="000000"/>
                <w:sz w:val="19"/>
                <w:szCs w:val="19"/>
              </w:rPr>
            </w:pPr>
            <w:r w:rsidRPr="00F2455C">
              <w:rPr>
                <w:rFonts w:cstheme="minorHAnsi"/>
                <w:color w:val="000000"/>
                <w:sz w:val="19"/>
                <w:szCs w:val="19"/>
              </w:rPr>
              <w:t>Spécialiste en VBG</w:t>
            </w:r>
          </w:p>
          <w:p w14:paraId="46C0922D" w14:textId="77777777" w:rsidR="009021F1" w:rsidRPr="00F2455C" w:rsidRDefault="009021F1" w:rsidP="00E637E3">
            <w:pPr>
              <w:rPr>
                <w:rFonts w:cstheme="minorHAnsi"/>
                <w:color w:val="000000"/>
                <w:sz w:val="19"/>
                <w:szCs w:val="19"/>
              </w:rPr>
            </w:pPr>
          </w:p>
          <w:p w14:paraId="64B4A422" w14:textId="77777777" w:rsidR="009021F1" w:rsidRPr="00F2455C" w:rsidRDefault="009021F1" w:rsidP="00E637E3">
            <w:pPr>
              <w:rPr>
                <w:rFonts w:cstheme="minorHAnsi"/>
                <w:color w:val="000000"/>
                <w:sz w:val="19"/>
                <w:szCs w:val="19"/>
              </w:rPr>
            </w:pPr>
            <w:r w:rsidRPr="00F2455C">
              <w:rPr>
                <w:rFonts w:cstheme="minorHAnsi"/>
                <w:color w:val="000000"/>
                <w:sz w:val="19"/>
                <w:szCs w:val="19"/>
              </w:rPr>
              <w:t>Consultant externe</w:t>
            </w:r>
            <w:r>
              <w:rPr>
                <w:rFonts w:cstheme="minorHAnsi"/>
                <w:color w:val="000000"/>
                <w:sz w:val="19"/>
                <w:szCs w:val="19"/>
              </w:rPr>
              <w:t xml:space="preserve"> / ONG spécialisée</w:t>
            </w:r>
          </w:p>
        </w:tc>
        <w:tc>
          <w:tcPr>
            <w:tcW w:w="1746" w:type="dxa"/>
          </w:tcPr>
          <w:p w14:paraId="010999C0" w14:textId="77777777" w:rsidR="009021F1" w:rsidRPr="00F2455C" w:rsidRDefault="009021F1" w:rsidP="00E637E3">
            <w:pPr>
              <w:rPr>
                <w:rFonts w:cstheme="minorHAnsi"/>
                <w:sz w:val="19"/>
                <w:szCs w:val="19"/>
              </w:rPr>
            </w:pPr>
            <w:r w:rsidRPr="00F2455C">
              <w:rPr>
                <w:rFonts w:cstheme="minorHAnsi"/>
                <w:color w:val="000000"/>
                <w:sz w:val="19"/>
                <w:szCs w:val="19"/>
              </w:rPr>
              <w:t>Spécialiste en VBG</w:t>
            </w:r>
          </w:p>
        </w:tc>
        <w:tc>
          <w:tcPr>
            <w:tcW w:w="1460" w:type="dxa"/>
          </w:tcPr>
          <w:p w14:paraId="685C15B7" w14:textId="77777777" w:rsidR="009021F1" w:rsidRPr="00F2455C" w:rsidRDefault="009021F1" w:rsidP="00E637E3">
            <w:pPr>
              <w:rPr>
                <w:rFonts w:cstheme="minorHAnsi"/>
                <w:color w:val="000000"/>
                <w:sz w:val="19"/>
                <w:szCs w:val="19"/>
              </w:rPr>
            </w:pPr>
            <w:r w:rsidRPr="00F2455C">
              <w:rPr>
                <w:rFonts w:cstheme="minorHAnsi"/>
                <w:color w:val="000000"/>
                <w:sz w:val="19"/>
                <w:szCs w:val="19"/>
              </w:rPr>
              <w:t>Tous les six mois pendant la durée du projet</w:t>
            </w:r>
            <w:r>
              <w:rPr>
                <w:rFonts w:cstheme="minorHAnsi"/>
                <w:color w:val="000000"/>
                <w:sz w:val="19"/>
                <w:szCs w:val="19"/>
              </w:rPr>
              <w:t xml:space="preserve"> (selon le programme des sensibilisations)</w:t>
            </w:r>
          </w:p>
        </w:tc>
        <w:tc>
          <w:tcPr>
            <w:tcW w:w="1892" w:type="dxa"/>
          </w:tcPr>
          <w:p w14:paraId="2FBA0BD0" w14:textId="77777777" w:rsidR="009021F1" w:rsidRPr="00F2455C" w:rsidRDefault="009021F1" w:rsidP="00E637E3">
            <w:pPr>
              <w:rPr>
                <w:rFonts w:cstheme="minorHAnsi"/>
                <w:color w:val="000000"/>
                <w:sz w:val="19"/>
                <w:szCs w:val="19"/>
              </w:rPr>
            </w:pPr>
            <w:r w:rsidRPr="00F2455C">
              <w:rPr>
                <w:rFonts w:cstheme="minorHAnsi"/>
                <w:color w:val="000000"/>
                <w:sz w:val="19"/>
                <w:szCs w:val="19"/>
              </w:rPr>
              <w:t>N/A</w:t>
            </w:r>
          </w:p>
        </w:tc>
        <w:tc>
          <w:tcPr>
            <w:tcW w:w="1511" w:type="dxa"/>
          </w:tcPr>
          <w:p w14:paraId="0F63F2F2" w14:textId="77777777" w:rsidR="009021F1" w:rsidRPr="00F2455C" w:rsidRDefault="009021F1" w:rsidP="00E637E3">
            <w:pPr>
              <w:rPr>
                <w:rFonts w:cstheme="minorHAnsi"/>
                <w:sz w:val="19"/>
                <w:szCs w:val="19"/>
              </w:rPr>
            </w:pPr>
            <w:r w:rsidRPr="00F2455C">
              <w:rPr>
                <w:rFonts w:cstheme="minorHAnsi"/>
                <w:sz w:val="19"/>
                <w:szCs w:val="19"/>
              </w:rPr>
              <w:t>100000$</w:t>
            </w:r>
          </w:p>
        </w:tc>
      </w:tr>
      <w:tr w:rsidR="009021F1" w:rsidRPr="00F2455C" w14:paraId="4F64F17C" w14:textId="77777777" w:rsidTr="00E637E3">
        <w:trPr>
          <w:gridAfter w:val="1"/>
          <w:wAfter w:w="17" w:type="dxa"/>
        </w:trPr>
        <w:tc>
          <w:tcPr>
            <w:tcW w:w="2430" w:type="dxa"/>
            <w:vMerge/>
          </w:tcPr>
          <w:p w14:paraId="305EAC39" w14:textId="77777777" w:rsidR="009021F1" w:rsidRPr="00F2455C" w:rsidRDefault="009021F1" w:rsidP="00E637E3">
            <w:pPr>
              <w:rPr>
                <w:rFonts w:cstheme="minorHAnsi"/>
                <w:sz w:val="19"/>
                <w:szCs w:val="19"/>
              </w:rPr>
            </w:pPr>
          </w:p>
        </w:tc>
        <w:tc>
          <w:tcPr>
            <w:tcW w:w="2165" w:type="dxa"/>
            <w:vMerge/>
          </w:tcPr>
          <w:p w14:paraId="3B01CA5E" w14:textId="77777777" w:rsidR="009021F1" w:rsidRPr="00F2455C" w:rsidDel="004E395D" w:rsidRDefault="009021F1" w:rsidP="00E637E3">
            <w:pPr>
              <w:rPr>
                <w:rFonts w:cstheme="minorHAnsi"/>
                <w:color w:val="000000"/>
                <w:sz w:val="19"/>
                <w:szCs w:val="19"/>
              </w:rPr>
            </w:pPr>
          </w:p>
        </w:tc>
        <w:tc>
          <w:tcPr>
            <w:tcW w:w="2473" w:type="dxa"/>
          </w:tcPr>
          <w:p w14:paraId="4EBD52D0" w14:textId="77777777" w:rsidR="009021F1" w:rsidRPr="00F2455C" w:rsidRDefault="009021F1" w:rsidP="00E637E3">
            <w:pPr>
              <w:rPr>
                <w:rFonts w:cstheme="minorHAnsi"/>
                <w:color w:val="000000"/>
                <w:sz w:val="19"/>
                <w:szCs w:val="19"/>
              </w:rPr>
            </w:pPr>
            <w:r w:rsidRPr="00F2455C">
              <w:rPr>
                <w:rFonts w:cstheme="minorHAnsi"/>
                <w:sz w:val="19"/>
                <w:szCs w:val="19"/>
              </w:rPr>
              <w:t>Mettre en place un mécanisme transparent et diversifié (incluant les femmes et les hommes) pour l’identification des bénéficiaires et l’identification des sites pour implanter les unités de transformation, y compris la vulgarisation du document contenant les critères d’identification des bénéficiaires</w:t>
            </w:r>
            <w:r>
              <w:rPr>
                <w:rFonts w:cstheme="minorHAnsi"/>
                <w:sz w:val="19"/>
                <w:szCs w:val="19"/>
              </w:rPr>
              <w:t>, afin d’assurer l’inclusion équitable des femmes productrices</w:t>
            </w:r>
          </w:p>
        </w:tc>
        <w:tc>
          <w:tcPr>
            <w:tcW w:w="1786" w:type="dxa"/>
          </w:tcPr>
          <w:p w14:paraId="501EC729" w14:textId="77777777" w:rsidR="009021F1" w:rsidRPr="00F2455C" w:rsidRDefault="009021F1" w:rsidP="00E637E3">
            <w:pPr>
              <w:rPr>
                <w:rFonts w:cstheme="minorHAnsi"/>
                <w:color w:val="000000"/>
                <w:sz w:val="19"/>
                <w:szCs w:val="19"/>
              </w:rPr>
            </w:pPr>
            <w:r w:rsidRPr="00F2455C">
              <w:rPr>
                <w:rFonts w:cstheme="minorHAnsi"/>
                <w:color w:val="000000"/>
                <w:sz w:val="19"/>
                <w:szCs w:val="19"/>
              </w:rPr>
              <w:t>Spécialiste en VBG</w:t>
            </w:r>
          </w:p>
          <w:p w14:paraId="47CB4251" w14:textId="77777777" w:rsidR="009021F1" w:rsidRPr="00F2455C" w:rsidRDefault="009021F1" w:rsidP="00E637E3">
            <w:pPr>
              <w:rPr>
                <w:rFonts w:cstheme="minorHAnsi"/>
                <w:color w:val="000000"/>
                <w:sz w:val="19"/>
                <w:szCs w:val="19"/>
              </w:rPr>
            </w:pPr>
          </w:p>
          <w:p w14:paraId="5BBBEFC5" w14:textId="77777777" w:rsidR="009021F1" w:rsidRPr="00F2455C" w:rsidRDefault="009021F1" w:rsidP="00E637E3">
            <w:pPr>
              <w:rPr>
                <w:rFonts w:cstheme="minorHAnsi"/>
                <w:color w:val="000000"/>
                <w:sz w:val="19"/>
                <w:szCs w:val="19"/>
              </w:rPr>
            </w:pPr>
            <w:r w:rsidRPr="00F2455C">
              <w:rPr>
                <w:rFonts w:cstheme="minorHAnsi"/>
                <w:color w:val="000000"/>
                <w:sz w:val="19"/>
                <w:szCs w:val="19"/>
              </w:rPr>
              <w:t>Spécialistes techniques agricoles</w:t>
            </w:r>
          </w:p>
        </w:tc>
        <w:tc>
          <w:tcPr>
            <w:tcW w:w="1746" w:type="dxa"/>
          </w:tcPr>
          <w:p w14:paraId="53EA4A4F" w14:textId="77777777" w:rsidR="009021F1" w:rsidRPr="00F2455C" w:rsidRDefault="009021F1" w:rsidP="00E637E3">
            <w:pPr>
              <w:rPr>
                <w:rFonts w:cstheme="minorHAnsi"/>
                <w:color w:val="000000"/>
                <w:sz w:val="19"/>
                <w:szCs w:val="19"/>
              </w:rPr>
            </w:pPr>
            <w:r w:rsidRPr="00F2455C">
              <w:rPr>
                <w:rFonts w:cstheme="minorHAnsi"/>
                <w:color w:val="000000"/>
                <w:sz w:val="19"/>
                <w:szCs w:val="19"/>
              </w:rPr>
              <w:t>Spécialiste en VBG</w:t>
            </w:r>
          </w:p>
        </w:tc>
        <w:tc>
          <w:tcPr>
            <w:tcW w:w="1460" w:type="dxa"/>
          </w:tcPr>
          <w:p w14:paraId="5E318832" w14:textId="77777777" w:rsidR="009021F1" w:rsidRPr="00F2455C" w:rsidRDefault="009021F1" w:rsidP="00E637E3">
            <w:pPr>
              <w:rPr>
                <w:rFonts w:cstheme="minorHAnsi"/>
                <w:color w:val="000000"/>
                <w:sz w:val="19"/>
                <w:szCs w:val="19"/>
              </w:rPr>
            </w:pPr>
            <w:r w:rsidRPr="00F2455C">
              <w:rPr>
                <w:rFonts w:cstheme="minorHAnsi"/>
                <w:color w:val="000000"/>
                <w:sz w:val="19"/>
                <w:szCs w:val="19"/>
              </w:rPr>
              <w:t>Avant la mise en vigueur du projet</w:t>
            </w:r>
          </w:p>
        </w:tc>
        <w:tc>
          <w:tcPr>
            <w:tcW w:w="1892" w:type="dxa"/>
          </w:tcPr>
          <w:p w14:paraId="2D42DBA7" w14:textId="77777777" w:rsidR="009021F1" w:rsidRPr="00F2455C" w:rsidRDefault="009021F1" w:rsidP="00E637E3">
            <w:pPr>
              <w:rPr>
                <w:rFonts w:cstheme="minorHAnsi"/>
                <w:color w:val="000000"/>
                <w:sz w:val="19"/>
                <w:szCs w:val="19"/>
              </w:rPr>
            </w:pPr>
            <w:r w:rsidRPr="00F2455C">
              <w:rPr>
                <w:rFonts w:cstheme="minorHAnsi"/>
                <w:color w:val="000000"/>
                <w:sz w:val="19"/>
                <w:szCs w:val="19"/>
              </w:rPr>
              <w:t>Note technique reprenant les critères d’identification des bénéficiaires élaborée par le projet et validée par l’UNCP</w:t>
            </w:r>
          </w:p>
          <w:p w14:paraId="78F16850" w14:textId="77777777" w:rsidR="009021F1" w:rsidRPr="00F2455C" w:rsidRDefault="009021F1" w:rsidP="00E637E3">
            <w:pPr>
              <w:rPr>
                <w:rFonts w:cstheme="minorHAnsi"/>
                <w:color w:val="000000"/>
                <w:sz w:val="19"/>
                <w:szCs w:val="19"/>
              </w:rPr>
            </w:pPr>
          </w:p>
          <w:p w14:paraId="603BAC50" w14:textId="77777777" w:rsidR="009021F1" w:rsidRPr="00F2455C" w:rsidRDefault="009021F1" w:rsidP="00E637E3">
            <w:pPr>
              <w:rPr>
                <w:rFonts w:cstheme="minorHAnsi"/>
                <w:color w:val="000000"/>
                <w:sz w:val="19"/>
                <w:szCs w:val="19"/>
              </w:rPr>
            </w:pPr>
            <w:r w:rsidRPr="00F2455C">
              <w:rPr>
                <w:rFonts w:cstheme="minorHAnsi"/>
                <w:color w:val="000000"/>
                <w:sz w:val="19"/>
                <w:szCs w:val="19"/>
              </w:rPr>
              <w:t xml:space="preserve">Nombre d'unités de transformation des produits agricoles installées </w:t>
            </w:r>
          </w:p>
          <w:p w14:paraId="6C4E5E97" w14:textId="77777777" w:rsidR="009021F1" w:rsidRPr="00F2455C" w:rsidRDefault="009021F1" w:rsidP="00E637E3">
            <w:pPr>
              <w:rPr>
                <w:rFonts w:cstheme="minorHAnsi"/>
                <w:color w:val="000000"/>
                <w:sz w:val="19"/>
                <w:szCs w:val="19"/>
              </w:rPr>
            </w:pPr>
          </w:p>
          <w:p w14:paraId="158FA56B" w14:textId="77777777" w:rsidR="009021F1" w:rsidRPr="00F2455C" w:rsidRDefault="009021F1" w:rsidP="00E637E3">
            <w:pPr>
              <w:rPr>
                <w:rFonts w:cstheme="minorHAnsi"/>
                <w:color w:val="000000"/>
                <w:sz w:val="19"/>
                <w:szCs w:val="19"/>
              </w:rPr>
            </w:pPr>
            <w:r w:rsidRPr="00F2455C">
              <w:rPr>
                <w:rFonts w:cstheme="minorHAnsi"/>
                <w:color w:val="000000"/>
                <w:sz w:val="19"/>
                <w:szCs w:val="19"/>
              </w:rPr>
              <w:t>% des femmes participant à la gestion des unités de transformation</w:t>
            </w:r>
          </w:p>
        </w:tc>
        <w:tc>
          <w:tcPr>
            <w:tcW w:w="1511" w:type="dxa"/>
          </w:tcPr>
          <w:p w14:paraId="42C9B657" w14:textId="77777777" w:rsidR="009021F1" w:rsidRPr="00F2455C" w:rsidRDefault="009021F1" w:rsidP="00E637E3">
            <w:pPr>
              <w:rPr>
                <w:rFonts w:cstheme="minorHAnsi"/>
                <w:sz w:val="19"/>
                <w:szCs w:val="19"/>
              </w:rPr>
            </w:pPr>
            <w:r w:rsidRPr="00F2455C">
              <w:rPr>
                <w:rFonts w:cstheme="minorHAnsi"/>
                <w:sz w:val="19"/>
                <w:szCs w:val="19"/>
              </w:rPr>
              <w:t>150000$</w:t>
            </w:r>
          </w:p>
        </w:tc>
      </w:tr>
      <w:tr w:rsidR="009021F1" w:rsidRPr="00F2455C" w14:paraId="578F6967" w14:textId="77777777" w:rsidTr="00E637E3">
        <w:trPr>
          <w:gridAfter w:val="1"/>
          <w:wAfter w:w="17" w:type="dxa"/>
        </w:trPr>
        <w:tc>
          <w:tcPr>
            <w:tcW w:w="2430" w:type="dxa"/>
            <w:vMerge/>
          </w:tcPr>
          <w:p w14:paraId="6E90FFA1" w14:textId="77777777" w:rsidR="009021F1" w:rsidRPr="00F2455C" w:rsidRDefault="009021F1" w:rsidP="00E637E3">
            <w:pPr>
              <w:rPr>
                <w:rFonts w:cstheme="minorHAnsi"/>
                <w:sz w:val="19"/>
                <w:szCs w:val="19"/>
              </w:rPr>
            </w:pPr>
          </w:p>
        </w:tc>
        <w:tc>
          <w:tcPr>
            <w:tcW w:w="2165" w:type="dxa"/>
            <w:vMerge/>
          </w:tcPr>
          <w:p w14:paraId="4BABBEAC" w14:textId="77777777" w:rsidR="009021F1" w:rsidRPr="00F2455C" w:rsidDel="004E395D" w:rsidRDefault="009021F1" w:rsidP="00E637E3">
            <w:pPr>
              <w:rPr>
                <w:rFonts w:cstheme="minorHAnsi"/>
                <w:color w:val="000000"/>
                <w:sz w:val="19"/>
                <w:szCs w:val="19"/>
              </w:rPr>
            </w:pPr>
          </w:p>
        </w:tc>
        <w:tc>
          <w:tcPr>
            <w:tcW w:w="2473" w:type="dxa"/>
          </w:tcPr>
          <w:p w14:paraId="16BE97A4" w14:textId="77777777" w:rsidR="009021F1" w:rsidRPr="00F2455C" w:rsidRDefault="009021F1" w:rsidP="00E637E3">
            <w:pPr>
              <w:rPr>
                <w:rFonts w:cstheme="minorHAnsi"/>
                <w:color w:val="000000"/>
                <w:sz w:val="19"/>
                <w:szCs w:val="19"/>
              </w:rPr>
            </w:pPr>
            <w:r w:rsidRPr="00F2455C">
              <w:rPr>
                <w:rFonts w:cstheme="minorHAnsi"/>
                <w:color w:val="000000"/>
                <w:sz w:val="19"/>
                <w:szCs w:val="19"/>
              </w:rPr>
              <w:t>Impliquer les femmes, et les filles où faisable et approprié, dans les instances de prise de décision dans les différentes structures au niveau communautaire</w:t>
            </w:r>
          </w:p>
        </w:tc>
        <w:tc>
          <w:tcPr>
            <w:tcW w:w="1786" w:type="dxa"/>
          </w:tcPr>
          <w:p w14:paraId="28CC292C" w14:textId="77777777" w:rsidR="009021F1" w:rsidRDefault="009021F1" w:rsidP="00E637E3">
            <w:pPr>
              <w:rPr>
                <w:rFonts w:cstheme="minorHAnsi"/>
                <w:color w:val="000000"/>
                <w:sz w:val="19"/>
                <w:szCs w:val="19"/>
              </w:rPr>
            </w:pPr>
            <w:r w:rsidRPr="00F2455C">
              <w:rPr>
                <w:rFonts w:cstheme="minorHAnsi"/>
                <w:color w:val="000000"/>
                <w:sz w:val="19"/>
                <w:szCs w:val="19"/>
              </w:rPr>
              <w:t>Spécialiste en VBG</w:t>
            </w:r>
          </w:p>
          <w:p w14:paraId="3B545879" w14:textId="77777777" w:rsidR="009021F1" w:rsidRDefault="009021F1" w:rsidP="00E637E3">
            <w:pPr>
              <w:rPr>
                <w:rFonts w:cstheme="minorHAnsi"/>
                <w:color w:val="000000"/>
                <w:sz w:val="19"/>
                <w:szCs w:val="19"/>
              </w:rPr>
            </w:pPr>
          </w:p>
          <w:p w14:paraId="2DD2EB7B" w14:textId="77777777" w:rsidR="009021F1" w:rsidRDefault="009021F1" w:rsidP="00E637E3">
            <w:pPr>
              <w:rPr>
                <w:rFonts w:cstheme="minorHAnsi"/>
                <w:color w:val="000000"/>
                <w:sz w:val="19"/>
                <w:szCs w:val="19"/>
              </w:rPr>
            </w:pPr>
            <w:r>
              <w:rPr>
                <w:rFonts w:cstheme="minorHAnsi"/>
                <w:color w:val="000000"/>
                <w:sz w:val="19"/>
                <w:szCs w:val="19"/>
              </w:rPr>
              <w:t>Spécialiste social</w:t>
            </w:r>
          </w:p>
          <w:p w14:paraId="0FA09924" w14:textId="77777777" w:rsidR="009021F1" w:rsidRPr="00F2455C" w:rsidRDefault="009021F1" w:rsidP="00E637E3">
            <w:pPr>
              <w:rPr>
                <w:rFonts w:cstheme="minorHAnsi"/>
                <w:color w:val="000000"/>
                <w:sz w:val="19"/>
                <w:szCs w:val="19"/>
              </w:rPr>
            </w:pPr>
          </w:p>
          <w:p w14:paraId="1F1FAA2F" w14:textId="77777777" w:rsidR="009021F1" w:rsidRPr="00F2455C" w:rsidRDefault="009021F1" w:rsidP="00E637E3">
            <w:pPr>
              <w:rPr>
                <w:rFonts w:cstheme="minorHAnsi"/>
                <w:sz w:val="19"/>
                <w:szCs w:val="19"/>
              </w:rPr>
            </w:pPr>
            <w:r w:rsidRPr="00F2455C">
              <w:rPr>
                <w:rFonts w:cstheme="minorHAnsi"/>
                <w:color w:val="000000"/>
                <w:sz w:val="19"/>
                <w:szCs w:val="19"/>
              </w:rPr>
              <w:t>Spécialistes techniques agricoles</w:t>
            </w:r>
          </w:p>
        </w:tc>
        <w:tc>
          <w:tcPr>
            <w:tcW w:w="1746" w:type="dxa"/>
          </w:tcPr>
          <w:p w14:paraId="1CD09814" w14:textId="77777777" w:rsidR="009021F1" w:rsidRPr="00F2455C" w:rsidRDefault="009021F1" w:rsidP="00E637E3">
            <w:pPr>
              <w:rPr>
                <w:rFonts w:cstheme="minorHAnsi"/>
                <w:sz w:val="19"/>
                <w:szCs w:val="19"/>
              </w:rPr>
            </w:pPr>
            <w:r w:rsidRPr="00F2455C">
              <w:rPr>
                <w:rFonts w:cstheme="minorHAnsi"/>
                <w:color w:val="000000"/>
                <w:sz w:val="19"/>
                <w:szCs w:val="19"/>
              </w:rPr>
              <w:t>Spécialiste en VBG</w:t>
            </w:r>
          </w:p>
        </w:tc>
        <w:tc>
          <w:tcPr>
            <w:tcW w:w="1460" w:type="dxa"/>
          </w:tcPr>
          <w:p w14:paraId="09670A4A" w14:textId="77777777" w:rsidR="009021F1" w:rsidRPr="00F2455C" w:rsidRDefault="009021F1" w:rsidP="00E637E3">
            <w:pPr>
              <w:rPr>
                <w:rFonts w:cstheme="minorHAnsi"/>
                <w:sz w:val="19"/>
                <w:szCs w:val="19"/>
              </w:rPr>
            </w:pPr>
            <w:r w:rsidRPr="00F2455C">
              <w:rPr>
                <w:rFonts w:cstheme="minorHAnsi"/>
                <w:sz w:val="19"/>
                <w:szCs w:val="19"/>
              </w:rPr>
              <w:t>Tout au long de la mise en œuvre du projet</w:t>
            </w:r>
          </w:p>
        </w:tc>
        <w:tc>
          <w:tcPr>
            <w:tcW w:w="1892" w:type="dxa"/>
          </w:tcPr>
          <w:p w14:paraId="51027640" w14:textId="77777777" w:rsidR="009021F1" w:rsidRPr="00F2455C" w:rsidRDefault="009021F1" w:rsidP="00E637E3">
            <w:pPr>
              <w:rPr>
                <w:rFonts w:cstheme="minorHAnsi"/>
                <w:color w:val="000000"/>
                <w:sz w:val="19"/>
                <w:szCs w:val="19"/>
              </w:rPr>
            </w:pPr>
            <w:r w:rsidRPr="00F2455C">
              <w:rPr>
                <w:rFonts w:cstheme="minorHAnsi"/>
                <w:color w:val="000000"/>
                <w:sz w:val="19"/>
                <w:szCs w:val="19"/>
              </w:rPr>
              <w:t>% des femmes et filles participant aux instances de prise en décision</w:t>
            </w:r>
          </w:p>
          <w:p w14:paraId="667F4605" w14:textId="77777777" w:rsidR="009021F1" w:rsidRPr="00F2455C" w:rsidRDefault="009021F1" w:rsidP="00E637E3">
            <w:pPr>
              <w:rPr>
                <w:rFonts w:cstheme="minorHAnsi"/>
                <w:color w:val="000000"/>
                <w:sz w:val="19"/>
                <w:szCs w:val="19"/>
              </w:rPr>
            </w:pPr>
          </w:p>
          <w:p w14:paraId="3BAE26AD" w14:textId="77777777" w:rsidR="009021F1" w:rsidRPr="00F2455C" w:rsidRDefault="009021F1" w:rsidP="00E637E3">
            <w:pPr>
              <w:rPr>
                <w:rFonts w:cstheme="minorHAnsi"/>
                <w:color w:val="000000"/>
                <w:sz w:val="19"/>
                <w:szCs w:val="19"/>
              </w:rPr>
            </w:pPr>
            <w:r w:rsidRPr="00F2455C">
              <w:rPr>
                <w:rFonts w:cstheme="minorHAnsi"/>
                <w:color w:val="000000"/>
                <w:sz w:val="19"/>
                <w:szCs w:val="19"/>
              </w:rPr>
              <w:t>Nombre et % des femmes impliquées dans le processus d'attribution d'intrants agricoles</w:t>
            </w:r>
          </w:p>
          <w:p w14:paraId="230E942A" w14:textId="77777777" w:rsidR="009021F1" w:rsidRPr="00F2455C" w:rsidRDefault="009021F1" w:rsidP="00E637E3">
            <w:pPr>
              <w:rPr>
                <w:rFonts w:cstheme="minorHAnsi"/>
                <w:color w:val="000000"/>
                <w:sz w:val="19"/>
                <w:szCs w:val="19"/>
              </w:rPr>
            </w:pPr>
          </w:p>
          <w:p w14:paraId="0156D685" w14:textId="77777777" w:rsidR="009021F1" w:rsidRPr="00F2455C" w:rsidRDefault="009021F1" w:rsidP="00E637E3">
            <w:pPr>
              <w:rPr>
                <w:rFonts w:cstheme="minorHAnsi"/>
                <w:color w:val="000000"/>
                <w:sz w:val="19"/>
                <w:szCs w:val="19"/>
              </w:rPr>
            </w:pPr>
            <w:r w:rsidRPr="00F2455C">
              <w:rPr>
                <w:rFonts w:cstheme="minorHAnsi"/>
                <w:color w:val="000000"/>
                <w:sz w:val="19"/>
                <w:szCs w:val="19"/>
              </w:rPr>
              <w:t>Nombre des outils de sensibilisation distribués et implantés</w:t>
            </w:r>
          </w:p>
          <w:p w14:paraId="7B7055D3" w14:textId="77777777" w:rsidR="009021F1" w:rsidRPr="00F2455C" w:rsidRDefault="009021F1" w:rsidP="00E637E3">
            <w:pPr>
              <w:rPr>
                <w:rFonts w:cstheme="minorHAnsi"/>
                <w:color w:val="000000"/>
                <w:sz w:val="19"/>
                <w:szCs w:val="19"/>
              </w:rPr>
            </w:pPr>
          </w:p>
          <w:p w14:paraId="1F99719F" w14:textId="77777777" w:rsidR="009021F1" w:rsidRPr="00F2455C" w:rsidRDefault="009021F1" w:rsidP="00E637E3">
            <w:pPr>
              <w:rPr>
                <w:rFonts w:cstheme="minorHAnsi"/>
                <w:color w:val="000000"/>
                <w:sz w:val="19"/>
                <w:szCs w:val="19"/>
              </w:rPr>
            </w:pPr>
            <w:r w:rsidRPr="00F2455C">
              <w:rPr>
                <w:rFonts w:cstheme="minorHAnsi"/>
                <w:color w:val="000000"/>
                <w:sz w:val="19"/>
                <w:szCs w:val="19"/>
              </w:rPr>
              <w:t>Nombre et % des femmes qui siègent dans les instances de prise de décision dans les entreprises et dans des comités de gestion des plaintes</w:t>
            </w:r>
          </w:p>
        </w:tc>
        <w:tc>
          <w:tcPr>
            <w:tcW w:w="1511" w:type="dxa"/>
          </w:tcPr>
          <w:p w14:paraId="5CA8AA6A" w14:textId="77777777" w:rsidR="009021F1" w:rsidRDefault="009021F1" w:rsidP="00E637E3">
            <w:pPr>
              <w:rPr>
                <w:rFonts w:cstheme="minorHAnsi"/>
                <w:sz w:val="19"/>
                <w:szCs w:val="19"/>
              </w:rPr>
            </w:pPr>
          </w:p>
          <w:p w14:paraId="4D9E938D" w14:textId="77777777" w:rsidR="009021F1" w:rsidRPr="00F2455C" w:rsidRDefault="009021F1" w:rsidP="00E637E3">
            <w:pPr>
              <w:rPr>
                <w:rFonts w:cstheme="minorHAnsi"/>
                <w:sz w:val="19"/>
                <w:szCs w:val="19"/>
              </w:rPr>
            </w:pPr>
            <w:r>
              <w:rPr>
                <w:rFonts w:cstheme="minorHAnsi"/>
                <w:sz w:val="19"/>
                <w:szCs w:val="19"/>
              </w:rPr>
              <w:t>Pas de couts.</w:t>
            </w:r>
          </w:p>
        </w:tc>
      </w:tr>
      <w:tr w:rsidR="009021F1" w:rsidRPr="00F2455C" w14:paraId="7E83329E" w14:textId="77777777" w:rsidTr="00E637E3">
        <w:trPr>
          <w:gridAfter w:val="1"/>
          <w:wAfter w:w="17" w:type="dxa"/>
        </w:trPr>
        <w:tc>
          <w:tcPr>
            <w:tcW w:w="2430" w:type="dxa"/>
          </w:tcPr>
          <w:p w14:paraId="33CB84D0" w14:textId="77777777" w:rsidR="009021F1" w:rsidRPr="00F2455C" w:rsidRDefault="009021F1" w:rsidP="00E637E3">
            <w:pPr>
              <w:rPr>
                <w:rFonts w:cstheme="minorHAnsi"/>
                <w:b/>
                <w:bCs/>
                <w:color w:val="000000"/>
                <w:sz w:val="19"/>
                <w:szCs w:val="19"/>
              </w:rPr>
            </w:pPr>
            <w:r w:rsidRPr="00F2455C">
              <w:rPr>
                <w:rFonts w:cstheme="minorHAnsi"/>
                <w:b/>
                <w:bCs/>
                <w:color w:val="000000"/>
                <w:sz w:val="19"/>
                <w:szCs w:val="19"/>
              </w:rPr>
              <w:t>Composante 3 : Biens et services publics agricoles</w:t>
            </w:r>
          </w:p>
          <w:p w14:paraId="21B2E4B9" w14:textId="77777777" w:rsidR="009021F1" w:rsidRPr="00F2455C" w:rsidRDefault="009021F1" w:rsidP="00E637E3">
            <w:pPr>
              <w:rPr>
                <w:rFonts w:cstheme="minorHAnsi"/>
                <w:color w:val="000000"/>
                <w:sz w:val="19"/>
                <w:szCs w:val="19"/>
              </w:rPr>
            </w:pPr>
          </w:p>
          <w:p w14:paraId="66FD59C8" w14:textId="77777777" w:rsidR="009021F1" w:rsidRPr="00F2455C" w:rsidRDefault="009021F1" w:rsidP="00E637E3">
            <w:pPr>
              <w:pStyle w:val="Paragraphedeliste"/>
              <w:numPr>
                <w:ilvl w:val="1"/>
                <w:numId w:val="175"/>
              </w:numPr>
              <w:spacing w:line="240" w:lineRule="auto"/>
              <w:contextualSpacing w:val="0"/>
              <w:jc w:val="left"/>
              <w:rPr>
                <w:rFonts w:cstheme="minorHAnsi"/>
                <w:color w:val="000000"/>
                <w:sz w:val="19"/>
                <w:szCs w:val="19"/>
              </w:rPr>
            </w:pPr>
            <w:r w:rsidRPr="00F2455C">
              <w:rPr>
                <w:rFonts w:cstheme="minorHAnsi"/>
                <w:color w:val="000000"/>
                <w:sz w:val="19"/>
                <w:szCs w:val="19"/>
              </w:rPr>
              <w:t>Renforcement des capacités pour la fourniture de services publics agricoles</w:t>
            </w:r>
          </w:p>
          <w:p w14:paraId="206A3FED" w14:textId="77777777" w:rsidR="009021F1" w:rsidRPr="00F2455C" w:rsidRDefault="009021F1" w:rsidP="00E637E3">
            <w:pPr>
              <w:rPr>
                <w:rFonts w:cstheme="minorHAnsi"/>
                <w:sz w:val="19"/>
                <w:szCs w:val="19"/>
              </w:rPr>
            </w:pPr>
          </w:p>
          <w:p w14:paraId="27231AA6" w14:textId="77777777" w:rsidR="009021F1" w:rsidRPr="00F2455C" w:rsidRDefault="009021F1" w:rsidP="00E637E3">
            <w:pPr>
              <w:rPr>
                <w:rFonts w:cstheme="minorHAnsi"/>
                <w:sz w:val="19"/>
                <w:szCs w:val="19"/>
              </w:rPr>
            </w:pPr>
            <w:r w:rsidRPr="00F2455C">
              <w:rPr>
                <w:rFonts w:cstheme="minorHAnsi"/>
                <w:color w:val="000000"/>
                <w:sz w:val="19"/>
                <w:szCs w:val="19"/>
              </w:rPr>
              <w:t>Renforcement des capacités des Ministères clés (Agriculture, Pêche et Élevage, des Affaires Foncières et du Développement Rural) pour la fourniture de services publics agricoles</w:t>
            </w:r>
          </w:p>
        </w:tc>
        <w:tc>
          <w:tcPr>
            <w:tcW w:w="2165" w:type="dxa"/>
          </w:tcPr>
          <w:p w14:paraId="08C22AF3" w14:textId="77777777" w:rsidR="009021F1" w:rsidRPr="00F2455C" w:rsidRDefault="009021F1" w:rsidP="00E637E3">
            <w:pPr>
              <w:rPr>
                <w:rFonts w:cstheme="minorHAnsi"/>
                <w:color w:val="000000"/>
                <w:sz w:val="19"/>
                <w:szCs w:val="19"/>
              </w:rPr>
            </w:pPr>
            <w:r w:rsidRPr="00F2455C">
              <w:rPr>
                <w:rFonts w:cstheme="minorHAnsi"/>
                <w:color w:val="000000"/>
                <w:sz w:val="19"/>
                <w:szCs w:val="19"/>
              </w:rPr>
              <w:t>Risque de non implication des femmes aux Ministères clés (Agriculture, Pêche et Élevage, des Affaires Foncières et du Développement Rural)</w:t>
            </w:r>
          </w:p>
        </w:tc>
        <w:tc>
          <w:tcPr>
            <w:tcW w:w="2473" w:type="dxa"/>
          </w:tcPr>
          <w:p w14:paraId="1BF65B2F" w14:textId="77777777" w:rsidR="009021F1" w:rsidRPr="00F2455C" w:rsidRDefault="009021F1" w:rsidP="00E637E3">
            <w:pPr>
              <w:rPr>
                <w:rFonts w:cstheme="minorHAnsi"/>
                <w:sz w:val="19"/>
                <w:szCs w:val="19"/>
              </w:rPr>
            </w:pPr>
            <w:r w:rsidRPr="00F2455C">
              <w:rPr>
                <w:rFonts w:cstheme="minorHAnsi"/>
                <w:sz w:val="19"/>
                <w:szCs w:val="19"/>
              </w:rPr>
              <w:t xml:space="preserve">Organiser des journées de réflexion et des ateliers de formation sur les </w:t>
            </w:r>
            <w:r>
              <w:rPr>
                <w:rFonts w:cstheme="minorHAnsi"/>
                <w:sz w:val="19"/>
                <w:szCs w:val="19"/>
              </w:rPr>
              <w:t xml:space="preserve">risques de </w:t>
            </w:r>
            <w:r w:rsidRPr="00F2455C">
              <w:rPr>
                <w:rFonts w:cstheme="minorHAnsi"/>
                <w:sz w:val="19"/>
                <w:szCs w:val="19"/>
              </w:rPr>
              <w:t>VBG</w:t>
            </w:r>
            <w:r>
              <w:rPr>
                <w:rFonts w:cstheme="minorHAnsi"/>
                <w:sz w:val="19"/>
                <w:szCs w:val="19"/>
              </w:rPr>
              <w:t>/</w:t>
            </w:r>
            <w:r w:rsidRPr="00F2455C">
              <w:rPr>
                <w:rFonts w:cstheme="minorHAnsi"/>
                <w:sz w:val="19"/>
                <w:szCs w:val="19"/>
              </w:rPr>
              <w:t>EAHS</w:t>
            </w:r>
            <w:r>
              <w:rPr>
                <w:rFonts w:cstheme="minorHAnsi"/>
                <w:sz w:val="19"/>
                <w:szCs w:val="19"/>
              </w:rPr>
              <w:t xml:space="preserve"> et les actions de prévention, atténuation, et réponse</w:t>
            </w:r>
          </w:p>
          <w:p w14:paraId="5514E8AC" w14:textId="77777777" w:rsidR="009021F1" w:rsidRPr="00F2455C" w:rsidRDefault="009021F1" w:rsidP="00E637E3">
            <w:pPr>
              <w:rPr>
                <w:rFonts w:cstheme="minorHAnsi"/>
                <w:sz w:val="19"/>
                <w:szCs w:val="19"/>
              </w:rPr>
            </w:pPr>
          </w:p>
          <w:p w14:paraId="1E2EFD15" w14:textId="77777777" w:rsidR="009021F1" w:rsidRPr="00F2455C" w:rsidRDefault="009021F1" w:rsidP="00E637E3">
            <w:pPr>
              <w:rPr>
                <w:rFonts w:cstheme="minorHAnsi"/>
                <w:sz w:val="19"/>
                <w:szCs w:val="19"/>
              </w:rPr>
            </w:pPr>
            <w:r w:rsidRPr="00F2455C">
              <w:rPr>
                <w:rFonts w:cstheme="minorHAnsi"/>
                <w:color w:val="000000"/>
                <w:sz w:val="19"/>
                <w:szCs w:val="19"/>
              </w:rPr>
              <w:t>Sensibiliser les principaux acteurs au niveau de l’UNCP et du Ministère sur les questions et les stratégies de prévention et de lutte contre les VBG, l'exclusion sociale, et la non-discrimination</w:t>
            </w:r>
          </w:p>
        </w:tc>
        <w:tc>
          <w:tcPr>
            <w:tcW w:w="1786" w:type="dxa"/>
          </w:tcPr>
          <w:p w14:paraId="0BAFC601" w14:textId="77777777" w:rsidR="009021F1" w:rsidRPr="00F2455C" w:rsidRDefault="009021F1" w:rsidP="00E637E3">
            <w:pPr>
              <w:rPr>
                <w:rFonts w:cstheme="minorHAnsi"/>
                <w:color w:val="000000"/>
                <w:sz w:val="19"/>
                <w:szCs w:val="19"/>
              </w:rPr>
            </w:pPr>
            <w:r w:rsidRPr="00F2455C">
              <w:rPr>
                <w:rFonts w:cstheme="minorHAnsi"/>
                <w:color w:val="000000"/>
                <w:sz w:val="19"/>
                <w:szCs w:val="19"/>
              </w:rPr>
              <w:t>Spécialiste en VBG</w:t>
            </w:r>
          </w:p>
          <w:p w14:paraId="714BD0C1" w14:textId="77777777" w:rsidR="009021F1" w:rsidRPr="00F2455C" w:rsidRDefault="009021F1" w:rsidP="00E637E3">
            <w:pPr>
              <w:rPr>
                <w:rFonts w:cstheme="minorHAnsi"/>
                <w:color w:val="000000"/>
                <w:sz w:val="19"/>
                <w:szCs w:val="19"/>
              </w:rPr>
            </w:pPr>
          </w:p>
          <w:p w14:paraId="04946564" w14:textId="77777777" w:rsidR="009021F1" w:rsidRPr="00F2455C" w:rsidRDefault="009021F1" w:rsidP="00E637E3">
            <w:pPr>
              <w:rPr>
                <w:rFonts w:cstheme="minorHAnsi"/>
                <w:color w:val="000000"/>
                <w:sz w:val="19"/>
                <w:szCs w:val="19"/>
              </w:rPr>
            </w:pPr>
            <w:r w:rsidRPr="00F2455C">
              <w:rPr>
                <w:rFonts w:cstheme="minorHAnsi"/>
                <w:color w:val="000000"/>
                <w:sz w:val="19"/>
                <w:szCs w:val="19"/>
              </w:rPr>
              <w:t>Spécialiste social</w:t>
            </w:r>
          </w:p>
        </w:tc>
        <w:tc>
          <w:tcPr>
            <w:tcW w:w="1746" w:type="dxa"/>
          </w:tcPr>
          <w:p w14:paraId="4C0268BF" w14:textId="77777777" w:rsidR="009021F1" w:rsidRPr="00F2455C" w:rsidRDefault="009021F1" w:rsidP="00E637E3">
            <w:pPr>
              <w:rPr>
                <w:rFonts w:cstheme="minorHAnsi"/>
                <w:sz w:val="19"/>
                <w:szCs w:val="19"/>
              </w:rPr>
            </w:pPr>
            <w:r w:rsidRPr="00F2455C">
              <w:rPr>
                <w:rFonts w:cstheme="minorHAnsi"/>
                <w:color w:val="000000"/>
                <w:sz w:val="19"/>
                <w:szCs w:val="19"/>
              </w:rPr>
              <w:t>Spécialiste en VBG</w:t>
            </w:r>
            <w:r w:rsidRPr="00F2455C" w:rsidDel="004D1317">
              <w:rPr>
                <w:rFonts w:cstheme="minorHAnsi"/>
                <w:sz w:val="19"/>
                <w:szCs w:val="19"/>
              </w:rPr>
              <w:t xml:space="preserve"> </w:t>
            </w:r>
          </w:p>
        </w:tc>
        <w:tc>
          <w:tcPr>
            <w:tcW w:w="1460" w:type="dxa"/>
          </w:tcPr>
          <w:p w14:paraId="137942CD" w14:textId="77777777" w:rsidR="009021F1" w:rsidRPr="00F2455C" w:rsidRDefault="009021F1" w:rsidP="00E637E3">
            <w:pPr>
              <w:rPr>
                <w:rFonts w:cstheme="minorHAnsi"/>
                <w:sz w:val="19"/>
                <w:szCs w:val="19"/>
              </w:rPr>
            </w:pPr>
            <w:r w:rsidRPr="00F2455C">
              <w:rPr>
                <w:rFonts w:cstheme="minorHAnsi"/>
                <w:color w:val="000000"/>
                <w:sz w:val="19"/>
                <w:szCs w:val="19"/>
              </w:rPr>
              <w:t>Tout au long de la mise en œuvre du projet</w:t>
            </w:r>
          </w:p>
        </w:tc>
        <w:tc>
          <w:tcPr>
            <w:tcW w:w="1892" w:type="dxa"/>
          </w:tcPr>
          <w:p w14:paraId="2E047D07" w14:textId="77777777" w:rsidR="009021F1" w:rsidRPr="00F2455C" w:rsidRDefault="009021F1" w:rsidP="00E637E3">
            <w:pPr>
              <w:rPr>
                <w:rFonts w:cstheme="minorHAnsi"/>
                <w:color w:val="000000"/>
                <w:sz w:val="19"/>
                <w:szCs w:val="19"/>
              </w:rPr>
            </w:pPr>
            <w:r w:rsidRPr="00F2455C">
              <w:rPr>
                <w:rFonts w:cstheme="minorHAnsi"/>
                <w:color w:val="000000"/>
                <w:sz w:val="19"/>
                <w:szCs w:val="19"/>
              </w:rPr>
              <w:t xml:space="preserve">Nombre de journées de réflexion et d’ateliers de formation organisées </w:t>
            </w:r>
          </w:p>
          <w:p w14:paraId="7D3D451D" w14:textId="77777777" w:rsidR="009021F1" w:rsidRPr="00F2455C" w:rsidRDefault="009021F1" w:rsidP="00E637E3">
            <w:pPr>
              <w:rPr>
                <w:rFonts w:cstheme="minorHAnsi"/>
                <w:color w:val="000000"/>
                <w:sz w:val="19"/>
                <w:szCs w:val="19"/>
              </w:rPr>
            </w:pPr>
          </w:p>
          <w:p w14:paraId="329165FE" w14:textId="77777777" w:rsidR="009021F1" w:rsidRPr="00F2455C" w:rsidRDefault="009021F1" w:rsidP="00E637E3">
            <w:pPr>
              <w:rPr>
                <w:rFonts w:cstheme="minorHAnsi"/>
                <w:color w:val="000000"/>
                <w:sz w:val="19"/>
                <w:szCs w:val="19"/>
              </w:rPr>
            </w:pPr>
            <w:r w:rsidRPr="00F2455C">
              <w:rPr>
                <w:rFonts w:cstheme="minorHAnsi"/>
                <w:color w:val="000000"/>
                <w:sz w:val="19"/>
                <w:szCs w:val="19"/>
              </w:rPr>
              <w:t>Nombre de sensibilisations organisées</w:t>
            </w:r>
          </w:p>
          <w:p w14:paraId="0F028FE0" w14:textId="77777777" w:rsidR="009021F1" w:rsidRPr="00F2455C" w:rsidRDefault="009021F1" w:rsidP="00E637E3">
            <w:pPr>
              <w:rPr>
                <w:rFonts w:cstheme="minorHAnsi"/>
                <w:color w:val="000000"/>
                <w:sz w:val="19"/>
                <w:szCs w:val="19"/>
              </w:rPr>
            </w:pPr>
          </w:p>
          <w:p w14:paraId="70564C9A" w14:textId="77777777" w:rsidR="009021F1" w:rsidRPr="00F2455C" w:rsidRDefault="009021F1" w:rsidP="00E637E3">
            <w:pPr>
              <w:rPr>
                <w:rFonts w:cstheme="minorHAnsi"/>
                <w:color w:val="000000"/>
                <w:sz w:val="19"/>
                <w:szCs w:val="19"/>
              </w:rPr>
            </w:pPr>
            <w:r w:rsidRPr="00F2455C">
              <w:rPr>
                <w:rFonts w:cstheme="minorHAnsi"/>
                <w:color w:val="000000"/>
                <w:sz w:val="19"/>
                <w:szCs w:val="19"/>
              </w:rPr>
              <w:t>Nombre de participant(e)s aux sensibilisations (ventilés par sexe)</w:t>
            </w:r>
          </w:p>
          <w:p w14:paraId="39C5B40B" w14:textId="77777777" w:rsidR="009021F1" w:rsidRPr="00F2455C" w:rsidRDefault="009021F1" w:rsidP="00E637E3">
            <w:pPr>
              <w:rPr>
                <w:rFonts w:cstheme="minorHAnsi"/>
                <w:color w:val="000000"/>
                <w:sz w:val="19"/>
                <w:szCs w:val="19"/>
              </w:rPr>
            </w:pPr>
          </w:p>
          <w:p w14:paraId="7098ECD3" w14:textId="77777777" w:rsidR="009021F1" w:rsidRPr="00F2455C" w:rsidRDefault="009021F1" w:rsidP="00E637E3">
            <w:pPr>
              <w:rPr>
                <w:rFonts w:cstheme="minorHAnsi"/>
                <w:color w:val="000000"/>
                <w:sz w:val="19"/>
                <w:szCs w:val="19"/>
              </w:rPr>
            </w:pPr>
            <w:r w:rsidRPr="00F2455C">
              <w:rPr>
                <w:rFonts w:cstheme="minorHAnsi"/>
                <w:color w:val="000000"/>
                <w:sz w:val="19"/>
                <w:szCs w:val="19"/>
              </w:rPr>
              <w:t>Nombre de personnel formés ou sensibilisés (ventilés par sexe)</w:t>
            </w:r>
          </w:p>
          <w:p w14:paraId="35C24AE5" w14:textId="77777777" w:rsidR="009021F1" w:rsidRPr="00F2455C" w:rsidRDefault="009021F1" w:rsidP="00E637E3">
            <w:pPr>
              <w:rPr>
                <w:rFonts w:cstheme="minorHAnsi"/>
                <w:color w:val="000000"/>
                <w:sz w:val="19"/>
                <w:szCs w:val="19"/>
              </w:rPr>
            </w:pPr>
          </w:p>
          <w:p w14:paraId="79C010EC" w14:textId="77777777" w:rsidR="009021F1" w:rsidRPr="00F2455C" w:rsidRDefault="009021F1" w:rsidP="00E637E3">
            <w:pPr>
              <w:rPr>
                <w:rFonts w:cstheme="minorHAnsi"/>
                <w:sz w:val="19"/>
                <w:szCs w:val="19"/>
              </w:rPr>
            </w:pPr>
            <w:r w:rsidRPr="00F2455C">
              <w:rPr>
                <w:rFonts w:cstheme="minorHAnsi"/>
                <w:color w:val="000000"/>
                <w:sz w:val="19"/>
                <w:szCs w:val="19"/>
              </w:rPr>
              <w:t>% de personnel formés qui obtiennent une note de 70% sur le post-test</w:t>
            </w:r>
          </w:p>
        </w:tc>
        <w:tc>
          <w:tcPr>
            <w:tcW w:w="1511" w:type="dxa"/>
          </w:tcPr>
          <w:p w14:paraId="585636DA" w14:textId="77777777" w:rsidR="009021F1" w:rsidRPr="00F2455C" w:rsidRDefault="009021F1" w:rsidP="00E637E3">
            <w:pPr>
              <w:rPr>
                <w:rFonts w:cstheme="minorHAnsi"/>
                <w:sz w:val="19"/>
                <w:szCs w:val="19"/>
              </w:rPr>
            </w:pPr>
            <w:r w:rsidRPr="00F2455C">
              <w:rPr>
                <w:rFonts w:cstheme="minorHAnsi"/>
                <w:sz w:val="19"/>
                <w:szCs w:val="19"/>
              </w:rPr>
              <w:t>100000$</w:t>
            </w:r>
          </w:p>
        </w:tc>
      </w:tr>
      <w:tr w:rsidR="009021F1" w:rsidRPr="00F2455C" w14:paraId="4A248467" w14:textId="77777777" w:rsidTr="00E637E3">
        <w:trPr>
          <w:gridAfter w:val="1"/>
          <w:wAfter w:w="17" w:type="dxa"/>
        </w:trPr>
        <w:tc>
          <w:tcPr>
            <w:tcW w:w="2430" w:type="dxa"/>
          </w:tcPr>
          <w:p w14:paraId="0A39C70C" w14:textId="77777777" w:rsidR="009021F1" w:rsidRPr="00F2455C" w:rsidRDefault="009021F1" w:rsidP="00E637E3">
            <w:pPr>
              <w:pStyle w:val="Paragraphedeliste"/>
              <w:numPr>
                <w:ilvl w:val="1"/>
                <w:numId w:val="175"/>
              </w:numPr>
              <w:spacing w:line="240" w:lineRule="auto"/>
              <w:contextualSpacing w:val="0"/>
              <w:jc w:val="left"/>
              <w:rPr>
                <w:rFonts w:cstheme="minorHAnsi"/>
                <w:color w:val="000000"/>
                <w:sz w:val="19"/>
                <w:szCs w:val="19"/>
              </w:rPr>
            </w:pPr>
            <w:r w:rsidRPr="00F2455C">
              <w:rPr>
                <w:rFonts w:cstheme="minorHAnsi"/>
                <w:color w:val="000000"/>
                <w:sz w:val="19"/>
                <w:szCs w:val="19"/>
              </w:rPr>
              <w:t>Gestion, suivi et évaluation du programme</w:t>
            </w:r>
          </w:p>
          <w:p w14:paraId="6595BD59" w14:textId="77777777" w:rsidR="009021F1" w:rsidRPr="00F2455C" w:rsidRDefault="009021F1" w:rsidP="00E637E3">
            <w:pPr>
              <w:rPr>
                <w:rFonts w:cstheme="minorHAnsi"/>
                <w:color w:val="000000"/>
                <w:sz w:val="19"/>
                <w:szCs w:val="19"/>
              </w:rPr>
            </w:pPr>
          </w:p>
          <w:p w14:paraId="3C8DDCB1" w14:textId="77777777" w:rsidR="009021F1" w:rsidRPr="00F2455C" w:rsidRDefault="009021F1" w:rsidP="00E637E3">
            <w:pPr>
              <w:rPr>
                <w:rFonts w:cstheme="minorHAnsi"/>
                <w:sz w:val="19"/>
                <w:szCs w:val="19"/>
              </w:rPr>
            </w:pPr>
            <w:r w:rsidRPr="00F2455C">
              <w:rPr>
                <w:rFonts w:cstheme="minorHAnsi"/>
                <w:color w:val="000000"/>
                <w:sz w:val="19"/>
                <w:szCs w:val="19"/>
              </w:rPr>
              <w:t>Missions de supervision et d'évaluation, dissémination des informations sur le programme, et recrutement du personnel</w:t>
            </w:r>
          </w:p>
        </w:tc>
        <w:tc>
          <w:tcPr>
            <w:tcW w:w="2165" w:type="dxa"/>
          </w:tcPr>
          <w:p w14:paraId="29585894" w14:textId="77777777" w:rsidR="009021F1" w:rsidRPr="00F2455C" w:rsidRDefault="009021F1" w:rsidP="00E637E3">
            <w:pPr>
              <w:rPr>
                <w:rFonts w:cstheme="minorHAnsi"/>
                <w:color w:val="000000"/>
                <w:sz w:val="19"/>
                <w:szCs w:val="19"/>
              </w:rPr>
            </w:pPr>
            <w:r w:rsidRPr="00F2455C">
              <w:rPr>
                <w:rFonts w:cstheme="minorHAnsi"/>
                <w:color w:val="000000"/>
                <w:sz w:val="19"/>
                <w:szCs w:val="19"/>
              </w:rPr>
              <w:t>Risque que les activités de surveillance ne tiennent pas compte de considérations ethniques essentielles relatives à la collecte des données sur le VBG et les MGP</w:t>
            </w:r>
            <w:r w:rsidRPr="00F2455C">
              <w:rPr>
                <w:rFonts w:cstheme="minorHAnsi"/>
                <w:color w:val="000000"/>
                <w:sz w:val="19"/>
                <w:szCs w:val="19"/>
              </w:rPr>
              <w:br/>
            </w:r>
          </w:p>
          <w:p w14:paraId="3D4AFD48" w14:textId="77777777" w:rsidR="009021F1" w:rsidRPr="00F2455C" w:rsidRDefault="009021F1" w:rsidP="00E637E3">
            <w:pPr>
              <w:rPr>
                <w:rFonts w:cstheme="minorHAnsi"/>
                <w:color w:val="000000"/>
                <w:sz w:val="19"/>
                <w:szCs w:val="19"/>
              </w:rPr>
            </w:pPr>
            <w:r w:rsidRPr="00F2455C">
              <w:rPr>
                <w:rFonts w:cstheme="minorHAnsi"/>
                <w:color w:val="000000"/>
                <w:sz w:val="19"/>
                <w:szCs w:val="19"/>
              </w:rPr>
              <w:t>Risque que les parties prenantes et le personnel du programme ne soient pas sensibles au genre</w:t>
            </w:r>
          </w:p>
        </w:tc>
        <w:tc>
          <w:tcPr>
            <w:tcW w:w="2473" w:type="dxa"/>
          </w:tcPr>
          <w:p w14:paraId="00E392FE" w14:textId="77777777" w:rsidR="009021F1" w:rsidRPr="00F2455C" w:rsidRDefault="009021F1" w:rsidP="00E637E3">
            <w:pPr>
              <w:rPr>
                <w:rFonts w:cstheme="minorHAnsi"/>
                <w:color w:val="000000"/>
                <w:sz w:val="19"/>
                <w:szCs w:val="19"/>
              </w:rPr>
            </w:pPr>
            <w:r>
              <w:rPr>
                <w:rFonts w:cstheme="minorHAnsi"/>
                <w:color w:val="000000"/>
                <w:sz w:val="19"/>
                <w:szCs w:val="19"/>
              </w:rPr>
              <w:t>Voir ci-dessus</w:t>
            </w:r>
          </w:p>
        </w:tc>
        <w:tc>
          <w:tcPr>
            <w:tcW w:w="1786" w:type="dxa"/>
          </w:tcPr>
          <w:p w14:paraId="358AD9F7" w14:textId="77777777" w:rsidR="009021F1" w:rsidRPr="00F2455C" w:rsidRDefault="009021F1" w:rsidP="00E637E3">
            <w:pPr>
              <w:rPr>
                <w:rFonts w:cstheme="minorHAnsi"/>
                <w:color w:val="000000"/>
                <w:sz w:val="19"/>
                <w:szCs w:val="19"/>
              </w:rPr>
            </w:pPr>
            <w:r w:rsidRPr="00F2455C">
              <w:rPr>
                <w:rFonts w:cstheme="minorHAnsi"/>
                <w:color w:val="000000"/>
                <w:sz w:val="19"/>
                <w:szCs w:val="19"/>
              </w:rPr>
              <w:t>Spécialiste en VBG</w:t>
            </w:r>
          </w:p>
          <w:p w14:paraId="2AD89B58" w14:textId="77777777" w:rsidR="009021F1" w:rsidRPr="00F2455C" w:rsidRDefault="009021F1" w:rsidP="00E637E3">
            <w:pPr>
              <w:rPr>
                <w:rFonts w:cstheme="minorHAnsi"/>
                <w:color w:val="000000"/>
                <w:sz w:val="19"/>
                <w:szCs w:val="19"/>
              </w:rPr>
            </w:pPr>
          </w:p>
          <w:p w14:paraId="52CC5044" w14:textId="77777777" w:rsidR="009021F1" w:rsidRPr="00F2455C" w:rsidRDefault="009021F1" w:rsidP="00E637E3">
            <w:pPr>
              <w:rPr>
                <w:rFonts w:cstheme="minorHAnsi"/>
                <w:sz w:val="19"/>
                <w:szCs w:val="19"/>
              </w:rPr>
            </w:pPr>
            <w:r w:rsidRPr="00F2455C">
              <w:rPr>
                <w:rFonts w:cstheme="minorHAnsi"/>
                <w:color w:val="000000"/>
                <w:sz w:val="19"/>
                <w:szCs w:val="19"/>
              </w:rPr>
              <w:t>Spécialiste en S&amp;E</w:t>
            </w:r>
          </w:p>
        </w:tc>
        <w:tc>
          <w:tcPr>
            <w:tcW w:w="1746" w:type="dxa"/>
          </w:tcPr>
          <w:p w14:paraId="03301D9E" w14:textId="77777777" w:rsidR="009021F1" w:rsidRPr="00F2455C" w:rsidRDefault="009021F1" w:rsidP="00E637E3">
            <w:pPr>
              <w:rPr>
                <w:rFonts w:cstheme="minorHAnsi"/>
                <w:color w:val="000000"/>
                <w:sz w:val="19"/>
                <w:szCs w:val="19"/>
              </w:rPr>
            </w:pPr>
            <w:r w:rsidRPr="00F2455C">
              <w:rPr>
                <w:rFonts w:cstheme="minorHAnsi"/>
                <w:color w:val="000000"/>
                <w:sz w:val="19"/>
                <w:szCs w:val="19"/>
              </w:rPr>
              <w:t>Spécialiste en VBG</w:t>
            </w:r>
          </w:p>
          <w:p w14:paraId="67ECF2DD" w14:textId="77777777" w:rsidR="009021F1" w:rsidRPr="00F2455C" w:rsidRDefault="009021F1" w:rsidP="00E637E3">
            <w:pPr>
              <w:rPr>
                <w:rFonts w:cstheme="minorHAnsi"/>
                <w:color w:val="000000"/>
                <w:sz w:val="19"/>
                <w:szCs w:val="19"/>
              </w:rPr>
            </w:pPr>
          </w:p>
          <w:p w14:paraId="082DF889" w14:textId="77777777" w:rsidR="009021F1" w:rsidRPr="00F2455C" w:rsidRDefault="009021F1" w:rsidP="00E637E3">
            <w:pPr>
              <w:rPr>
                <w:rFonts w:cstheme="minorHAnsi"/>
                <w:sz w:val="19"/>
                <w:szCs w:val="19"/>
              </w:rPr>
            </w:pPr>
            <w:r w:rsidRPr="00F2455C">
              <w:rPr>
                <w:rFonts w:cstheme="minorHAnsi"/>
                <w:color w:val="000000"/>
                <w:sz w:val="19"/>
                <w:szCs w:val="19"/>
              </w:rPr>
              <w:t>Spécialiste en S&amp;E</w:t>
            </w:r>
          </w:p>
        </w:tc>
        <w:tc>
          <w:tcPr>
            <w:tcW w:w="1460" w:type="dxa"/>
          </w:tcPr>
          <w:p w14:paraId="66A447A1" w14:textId="77777777" w:rsidR="009021F1" w:rsidRPr="00F2455C" w:rsidRDefault="009021F1" w:rsidP="00E637E3">
            <w:pPr>
              <w:rPr>
                <w:rFonts w:cstheme="minorHAnsi"/>
                <w:sz w:val="19"/>
                <w:szCs w:val="19"/>
              </w:rPr>
            </w:pPr>
            <w:r w:rsidRPr="00F2455C">
              <w:rPr>
                <w:rFonts w:cstheme="minorHAnsi"/>
                <w:color w:val="000000"/>
                <w:sz w:val="19"/>
                <w:szCs w:val="19"/>
              </w:rPr>
              <w:t xml:space="preserve">Avant la mise en vigueur du projet et pendant toute la </w:t>
            </w:r>
            <w:r>
              <w:rPr>
                <w:rFonts w:cstheme="minorHAnsi"/>
                <w:color w:val="000000"/>
                <w:sz w:val="19"/>
                <w:szCs w:val="19"/>
              </w:rPr>
              <w:t>durée</w:t>
            </w:r>
            <w:r w:rsidRPr="00F2455C">
              <w:rPr>
                <w:rFonts w:cstheme="minorHAnsi"/>
                <w:color w:val="000000"/>
                <w:sz w:val="19"/>
                <w:szCs w:val="19"/>
              </w:rPr>
              <w:t xml:space="preserve"> du projet</w:t>
            </w:r>
          </w:p>
        </w:tc>
        <w:tc>
          <w:tcPr>
            <w:tcW w:w="1892" w:type="dxa"/>
          </w:tcPr>
          <w:p w14:paraId="475CDD9B" w14:textId="77777777" w:rsidR="009021F1" w:rsidRPr="00F2455C" w:rsidRDefault="009021F1" w:rsidP="00E637E3">
            <w:pPr>
              <w:rPr>
                <w:rFonts w:cstheme="minorHAnsi"/>
                <w:sz w:val="19"/>
                <w:szCs w:val="19"/>
              </w:rPr>
            </w:pPr>
            <w:r>
              <w:rPr>
                <w:rFonts w:cstheme="minorHAnsi"/>
                <w:color w:val="000000"/>
                <w:sz w:val="19"/>
                <w:szCs w:val="19"/>
              </w:rPr>
              <w:t>Voir ci-dessus</w:t>
            </w:r>
          </w:p>
        </w:tc>
        <w:tc>
          <w:tcPr>
            <w:tcW w:w="1511" w:type="dxa"/>
          </w:tcPr>
          <w:p w14:paraId="50AE4F49" w14:textId="77777777" w:rsidR="009021F1" w:rsidRPr="00F2455C" w:rsidRDefault="009021F1" w:rsidP="00E637E3">
            <w:pPr>
              <w:rPr>
                <w:rFonts w:cstheme="minorHAnsi"/>
                <w:sz w:val="19"/>
                <w:szCs w:val="19"/>
              </w:rPr>
            </w:pPr>
            <w:r w:rsidRPr="00F2455C">
              <w:rPr>
                <w:rFonts w:cstheme="minorHAnsi"/>
                <w:color w:val="000000"/>
                <w:sz w:val="19"/>
                <w:szCs w:val="19"/>
              </w:rPr>
              <w:t>200000$</w:t>
            </w:r>
          </w:p>
        </w:tc>
      </w:tr>
      <w:tr w:rsidR="009021F1" w:rsidRPr="00F2455C" w14:paraId="6D007E98" w14:textId="77777777" w:rsidTr="00E637E3">
        <w:trPr>
          <w:gridAfter w:val="1"/>
          <w:wAfter w:w="17" w:type="dxa"/>
        </w:trPr>
        <w:tc>
          <w:tcPr>
            <w:tcW w:w="2430" w:type="dxa"/>
          </w:tcPr>
          <w:p w14:paraId="75F837EF" w14:textId="77777777" w:rsidR="009021F1" w:rsidRPr="00F2455C" w:rsidRDefault="009021F1" w:rsidP="00E637E3">
            <w:pPr>
              <w:rPr>
                <w:rFonts w:cstheme="minorHAnsi"/>
                <w:b/>
                <w:bCs/>
                <w:color w:val="000000"/>
                <w:sz w:val="19"/>
                <w:szCs w:val="19"/>
              </w:rPr>
            </w:pPr>
            <w:r w:rsidRPr="00F2455C">
              <w:rPr>
                <w:rFonts w:cstheme="minorHAnsi"/>
                <w:b/>
                <w:bCs/>
                <w:color w:val="000000"/>
                <w:sz w:val="19"/>
                <w:szCs w:val="19"/>
              </w:rPr>
              <w:t>Composante 4 : Intervention d'urgence agricole</w:t>
            </w:r>
          </w:p>
          <w:p w14:paraId="4E86C7D4" w14:textId="77777777" w:rsidR="009021F1" w:rsidRPr="00F2455C" w:rsidRDefault="009021F1" w:rsidP="00E637E3">
            <w:pPr>
              <w:rPr>
                <w:rFonts w:cstheme="minorHAnsi"/>
                <w:color w:val="000000"/>
                <w:sz w:val="19"/>
                <w:szCs w:val="19"/>
              </w:rPr>
            </w:pPr>
          </w:p>
          <w:p w14:paraId="23AD0189" w14:textId="77777777" w:rsidR="009021F1" w:rsidRPr="00F2455C" w:rsidRDefault="009021F1" w:rsidP="00E637E3">
            <w:pPr>
              <w:pStyle w:val="Paragraphedeliste"/>
              <w:numPr>
                <w:ilvl w:val="1"/>
                <w:numId w:val="176"/>
              </w:numPr>
              <w:spacing w:line="240" w:lineRule="auto"/>
              <w:contextualSpacing w:val="0"/>
              <w:jc w:val="left"/>
              <w:rPr>
                <w:rFonts w:cstheme="minorHAnsi"/>
                <w:color w:val="000000"/>
                <w:sz w:val="19"/>
                <w:szCs w:val="19"/>
              </w:rPr>
            </w:pPr>
            <w:r w:rsidRPr="00F2455C">
              <w:rPr>
                <w:rFonts w:cstheme="minorHAnsi"/>
                <w:color w:val="000000"/>
                <w:sz w:val="19"/>
                <w:szCs w:val="19"/>
              </w:rPr>
              <w:t>Gestion des catastrophes naturelles</w:t>
            </w:r>
          </w:p>
          <w:p w14:paraId="3F209F5D" w14:textId="77777777" w:rsidR="009021F1" w:rsidRPr="00F2455C" w:rsidRDefault="009021F1" w:rsidP="00E637E3">
            <w:pPr>
              <w:pStyle w:val="Paragraphedeliste"/>
              <w:ind w:left="360"/>
              <w:contextualSpacing w:val="0"/>
              <w:rPr>
                <w:rFonts w:cstheme="minorHAnsi"/>
                <w:color w:val="000000"/>
                <w:sz w:val="19"/>
                <w:szCs w:val="19"/>
              </w:rPr>
            </w:pPr>
          </w:p>
          <w:p w14:paraId="618E8E45" w14:textId="77777777" w:rsidR="009021F1" w:rsidRPr="00F2455C" w:rsidRDefault="009021F1" w:rsidP="00E637E3">
            <w:pPr>
              <w:pStyle w:val="Paragraphedeliste"/>
              <w:numPr>
                <w:ilvl w:val="1"/>
                <w:numId w:val="176"/>
              </w:numPr>
              <w:spacing w:line="240" w:lineRule="auto"/>
              <w:contextualSpacing w:val="0"/>
              <w:jc w:val="left"/>
              <w:rPr>
                <w:rFonts w:cstheme="minorHAnsi"/>
                <w:color w:val="000000"/>
                <w:sz w:val="19"/>
                <w:szCs w:val="19"/>
              </w:rPr>
            </w:pPr>
            <w:r w:rsidRPr="00F2455C">
              <w:rPr>
                <w:rFonts w:cstheme="minorHAnsi"/>
                <w:color w:val="000000"/>
                <w:sz w:val="19"/>
                <w:szCs w:val="19"/>
              </w:rPr>
              <w:t>Financement et mise en œuvre d'aide d'urgence humanitaire</w:t>
            </w:r>
          </w:p>
        </w:tc>
        <w:tc>
          <w:tcPr>
            <w:tcW w:w="2165" w:type="dxa"/>
          </w:tcPr>
          <w:p w14:paraId="34F4E4F4" w14:textId="77777777" w:rsidR="009021F1" w:rsidRPr="00F2455C" w:rsidRDefault="009021F1" w:rsidP="00E637E3">
            <w:pPr>
              <w:rPr>
                <w:rFonts w:cstheme="minorHAnsi"/>
                <w:sz w:val="19"/>
                <w:szCs w:val="19"/>
              </w:rPr>
            </w:pPr>
            <w:r w:rsidRPr="00F2455C">
              <w:rPr>
                <w:rFonts w:cstheme="minorHAnsi"/>
                <w:color w:val="000000"/>
                <w:sz w:val="19"/>
                <w:szCs w:val="19"/>
              </w:rPr>
              <w:t>Risque de VBG et EAHS pendant les déplacements des populations et lors des actions de réponse d’urgence</w:t>
            </w:r>
          </w:p>
        </w:tc>
        <w:tc>
          <w:tcPr>
            <w:tcW w:w="2473" w:type="dxa"/>
            <w:vAlign w:val="center"/>
          </w:tcPr>
          <w:p w14:paraId="32003018" w14:textId="77777777" w:rsidR="009021F1" w:rsidRPr="00F2455C" w:rsidRDefault="009021F1" w:rsidP="00E637E3">
            <w:pPr>
              <w:rPr>
                <w:rFonts w:cstheme="minorHAnsi"/>
                <w:color w:val="000000"/>
                <w:sz w:val="19"/>
                <w:szCs w:val="19"/>
              </w:rPr>
            </w:pPr>
            <w:r w:rsidRPr="00F2455C">
              <w:rPr>
                <w:rFonts w:cstheme="minorHAnsi"/>
                <w:color w:val="000000"/>
                <w:sz w:val="19"/>
                <w:szCs w:val="19"/>
              </w:rPr>
              <w:t xml:space="preserve">Faciliter les actions de relèvement des communautés par la mise en place des comités des femmes/hommes résilient(e)s en redynamisant les capacités locales par les ateliers sur la résilience </w:t>
            </w:r>
            <w:r>
              <w:rPr>
                <w:rFonts w:cstheme="minorHAnsi"/>
                <w:color w:val="000000"/>
                <w:sz w:val="19"/>
                <w:szCs w:val="19"/>
              </w:rPr>
              <w:t>c</w:t>
            </w:r>
            <w:r w:rsidRPr="00F2455C">
              <w:rPr>
                <w:rFonts w:cstheme="minorHAnsi"/>
                <w:color w:val="000000"/>
                <w:sz w:val="19"/>
                <w:szCs w:val="19"/>
              </w:rPr>
              <w:t xml:space="preserve">ommunautaire aux </w:t>
            </w:r>
            <w:r>
              <w:rPr>
                <w:rFonts w:cstheme="minorHAnsi"/>
                <w:color w:val="000000"/>
                <w:sz w:val="19"/>
                <w:szCs w:val="19"/>
              </w:rPr>
              <w:t xml:space="preserve">risques de </w:t>
            </w:r>
            <w:r w:rsidRPr="00F2455C">
              <w:rPr>
                <w:rFonts w:cstheme="minorHAnsi"/>
                <w:color w:val="000000"/>
                <w:sz w:val="19"/>
                <w:szCs w:val="19"/>
              </w:rPr>
              <w:t>VBG</w:t>
            </w:r>
            <w:r>
              <w:rPr>
                <w:rFonts w:cstheme="minorHAnsi"/>
                <w:color w:val="000000"/>
                <w:sz w:val="19"/>
                <w:szCs w:val="19"/>
              </w:rPr>
              <w:t>/EAHS (à définir et confirmer lors du déclenchement de la composante CERC)</w:t>
            </w:r>
          </w:p>
        </w:tc>
        <w:tc>
          <w:tcPr>
            <w:tcW w:w="1786" w:type="dxa"/>
          </w:tcPr>
          <w:p w14:paraId="4C41DF30" w14:textId="77777777" w:rsidR="009021F1" w:rsidRDefault="009021F1" w:rsidP="00E637E3">
            <w:pPr>
              <w:rPr>
                <w:rFonts w:cstheme="minorHAnsi"/>
                <w:color w:val="000000"/>
                <w:sz w:val="19"/>
                <w:szCs w:val="19"/>
              </w:rPr>
            </w:pPr>
            <w:r w:rsidRPr="00F2455C">
              <w:rPr>
                <w:rFonts w:cstheme="minorHAnsi"/>
                <w:color w:val="000000"/>
                <w:sz w:val="19"/>
                <w:szCs w:val="19"/>
              </w:rPr>
              <w:t>Spécialiste en VBG</w:t>
            </w:r>
          </w:p>
          <w:p w14:paraId="161BFF72" w14:textId="77777777" w:rsidR="009021F1" w:rsidRDefault="009021F1" w:rsidP="00E637E3">
            <w:pPr>
              <w:rPr>
                <w:rFonts w:cstheme="minorHAnsi"/>
                <w:color w:val="000000"/>
                <w:sz w:val="19"/>
                <w:szCs w:val="19"/>
              </w:rPr>
            </w:pPr>
          </w:p>
          <w:p w14:paraId="4B236512" w14:textId="77777777" w:rsidR="009021F1" w:rsidRPr="00F2455C" w:rsidRDefault="009021F1" w:rsidP="00E637E3">
            <w:pPr>
              <w:rPr>
                <w:rFonts w:cstheme="minorHAnsi"/>
                <w:sz w:val="19"/>
                <w:szCs w:val="19"/>
              </w:rPr>
            </w:pPr>
            <w:r w:rsidRPr="00F2455C">
              <w:rPr>
                <w:rFonts w:cstheme="minorHAnsi"/>
                <w:color w:val="000000"/>
                <w:sz w:val="19"/>
                <w:szCs w:val="19"/>
              </w:rPr>
              <w:t>Consultant externe</w:t>
            </w:r>
            <w:r>
              <w:rPr>
                <w:rFonts w:cstheme="minorHAnsi"/>
                <w:color w:val="000000"/>
                <w:sz w:val="19"/>
                <w:szCs w:val="19"/>
              </w:rPr>
              <w:t xml:space="preserve"> / ONG spécialisée</w:t>
            </w:r>
          </w:p>
        </w:tc>
        <w:tc>
          <w:tcPr>
            <w:tcW w:w="1746" w:type="dxa"/>
          </w:tcPr>
          <w:p w14:paraId="27E94745" w14:textId="77777777" w:rsidR="009021F1" w:rsidRPr="00F2455C" w:rsidRDefault="009021F1" w:rsidP="00E637E3">
            <w:pPr>
              <w:rPr>
                <w:rFonts w:cstheme="minorHAnsi"/>
                <w:sz w:val="19"/>
                <w:szCs w:val="19"/>
              </w:rPr>
            </w:pPr>
            <w:r w:rsidRPr="00F2455C">
              <w:rPr>
                <w:rFonts w:cstheme="minorHAnsi"/>
                <w:color w:val="000000"/>
                <w:sz w:val="19"/>
                <w:szCs w:val="19"/>
              </w:rPr>
              <w:t>Spécialiste en VBG</w:t>
            </w:r>
            <w:r w:rsidRPr="00F2455C" w:rsidDel="006D6E16">
              <w:rPr>
                <w:rFonts w:cstheme="minorHAnsi"/>
                <w:sz w:val="19"/>
                <w:szCs w:val="19"/>
              </w:rPr>
              <w:t xml:space="preserve"> </w:t>
            </w:r>
          </w:p>
        </w:tc>
        <w:tc>
          <w:tcPr>
            <w:tcW w:w="1460" w:type="dxa"/>
          </w:tcPr>
          <w:p w14:paraId="3B5FF2D7" w14:textId="77777777" w:rsidR="009021F1" w:rsidRPr="00F2455C" w:rsidRDefault="009021F1" w:rsidP="00E637E3">
            <w:pPr>
              <w:rPr>
                <w:rFonts w:cstheme="minorHAnsi"/>
                <w:sz w:val="19"/>
                <w:szCs w:val="19"/>
              </w:rPr>
            </w:pPr>
            <w:r w:rsidRPr="00F2455C">
              <w:rPr>
                <w:rFonts w:cstheme="minorHAnsi"/>
                <w:color w:val="000000"/>
                <w:sz w:val="19"/>
                <w:szCs w:val="19"/>
              </w:rPr>
              <w:t>Tout au long de la mise en œuvre du projet</w:t>
            </w:r>
          </w:p>
        </w:tc>
        <w:tc>
          <w:tcPr>
            <w:tcW w:w="1892" w:type="dxa"/>
          </w:tcPr>
          <w:p w14:paraId="6AF3F499" w14:textId="77777777" w:rsidR="009021F1" w:rsidRPr="00F2455C" w:rsidRDefault="009021F1" w:rsidP="00E637E3">
            <w:pPr>
              <w:rPr>
                <w:rFonts w:cstheme="minorHAnsi"/>
                <w:sz w:val="19"/>
                <w:szCs w:val="19"/>
              </w:rPr>
            </w:pPr>
            <w:r w:rsidRPr="00F2455C">
              <w:rPr>
                <w:rFonts w:cstheme="minorHAnsi"/>
                <w:color w:val="000000"/>
                <w:sz w:val="19"/>
                <w:szCs w:val="19"/>
              </w:rPr>
              <w:t xml:space="preserve">Nombre de comités des </w:t>
            </w:r>
            <w:r>
              <w:rPr>
                <w:rFonts w:cstheme="minorHAnsi"/>
                <w:color w:val="000000"/>
                <w:sz w:val="19"/>
                <w:szCs w:val="19"/>
              </w:rPr>
              <w:t>f</w:t>
            </w:r>
            <w:r w:rsidRPr="00F2455C">
              <w:rPr>
                <w:rFonts w:cstheme="minorHAnsi"/>
                <w:color w:val="000000"/>
                <w:sz w:val="19"/>
                <w:szCs w:val="19"/>
              </w:rPr>
              <w:t xml:space="preserve">emmes/ </w:t>
            </w:r>
            <w:r>
              <w:rPr>
                <w:rFonts w:cstheme="minorHAnsi"/>
                <w:color w:val="000000"/>
                <w:sz w:val="19"/>
                <w:szCs w:val="19"/>
              </w:rPr>
              <w:t>h</w:t>
            </w:r>
            <w:r w:rsidRPr="00F2455C">
              <w:rPr>
                <w:rFonts w:cstheme="minorHAnsi"/>
                <w:color w:val="000000"/>
                <w:sz w:val="19"/>
                <w:szCs w:val="19"/>
              </w:rPr>
              <w:t xml:space="preserve">ommes </w:t>
            </w:r>
            <w:r>
              <w:rPr>
                <w:rFonts w:cstheme="minorHAnsi"/>
                <w:color w:val="000000"/>
                <w:sz w:val="19"/>
                <w:szCs w:val="19"/>
              </w:rPr>
              <w:t>r</w:t>
            </w:r>
            <w:r w:rsidRPr="00F2455C">
              <w:rPr>
                <w:rFonts w:cstheme="minorHAnsi"/>
                <w:color w:val="000000"/>
                <w:sz w:val="19"/>
                <w:szCs w:val="19"/>
              </w:rPr>
              <w:t>ésilient(e)s mises en place et fonctionnels</w:t>
            </w:r>
          </w:p>
        </w:tc>
        <w:tc>
          <w:tcPr>
            <w:tcW w:w="1511" w:type="dxa"/>
          </w:tcPr>
          <w:p w14:paraId="2BFB9143" w14:textId="77777777" w:rsidR="009021F1" w:rsidRPr="00A110A0" w:rsidRDefault="009021F1" w:rsidP="00E637E3">
            <w:pPr>
              <w:rPr>
                <w:rFonts w:cstheme="minorHAnsi"/>
                <w:color w:val="000000"/>
                <w:sz w:val="19"/>
                <w:szCs w:val="19"/>
              </w:rPr>
            </w:pPr>
            <w:r w:rsidRPr="00F2455C">
              <w:rPr>
                <w:rFonts w:cstheme="minorHAnsi"/>
                <w:color w:val="000000"/>
                <w:sz w:val="19"/>
                <w:szCs w:val="19"/>
              </w:rPr>
              <w:t>200000$</w:t>
            </w:r>
          </w:p>
        </w:tc>
      </w:tr>
      <w:tr w:rsidR="009021F1" w:rsidRPr="00F2455C" w14:paraId="079E0EF5" w14:textId="77777777" w:rsidTr="00E637E3">
        <w:trPr>
          <w:gridAfter w:val="1"/>
          <w:wAfter w:w="17" w:type="dxa"/>
        </w:trPr>
        <w:tc>
          <w:tcPr>
            <w:tcW w:w="13952" w:type="dxa"/>
            <w:gridSpan w:val="7"/>
          </w:tcPr>
          <w:p w14:paraId="47058375" w14:textId="77777777" w:rsidR="009021F1" w:rsidRPr="00F2455C" w:rsidRDefault="009021F1" w:rsidP="00E637E3">
            <w:pPr>
              <w:jc w:val="right"/>
              <w:rPr>
                <w:rFonts w:cstheme="minorHAnsi"/>
                <w:color w:val="000000"/>
                <w:sz w:val="19"/>
                <w:szCs w:val="19"/>
              </w:rPr>
            </w:pPr>
            <w:r>
              <w:rPr>
                <w:rFonts w:cstheme="minorHAnsi"/>
                <w:b/>
                <w:bCs/>
                <w:color w:val="000000"/>
                <w:sz w:val="19"/>
                <w:szCs w:val="19"/>
              </w:rPr>
              <w:t>TOTAL</w:t>
            </w:r>
          </w:p>
        </w:tc>
        <w:tc>
          <w:tcPr>
            <w:tcW w:w="1511" w:type="dxa"/>
          </w:tcPr>
          <w:p w14:paraId="3990EB42" w14:textId="77777777" w:rsidR="009021F1" w:rsidRPr="00F2455C" w:rsidRDefault="009021F1" w:rsidP="00E637E3">
            <w:pPr>
              <w:rPr>
                <w:rFonts w:cstheme="minorHAnsi"/>
                <w:color w:val="000000"/>
                <w:sz w:val="19"/>
                <w:szCs w:val="19"/>
              </w:rPr>
            </w:pPr>
            <w:r>
              <w:rPr>
                <w:rFonts w:cstheme="minorHAnsi"/>
                <w:color w:val="000000"/>
                <w:sz w:val="19"/>
                <w:szCs w:val="19"/>
              </w:rPr>
              <w:t xml:space="preserve">7 530 000 </w:t>
            </w:r>
            <w:r>
              <w:rPr>
                <w:rFonts w:cstheme="minorHAnsi"/>
                <w:sz w:val="19"/>
                <w:szCs w:val="19"/>
              </w:rPr>
              <w:t>$</w:t>
            </w:r>
          </w:p>
        </w:tc>
      </w:tr>
    </w:tbl>
    <w:p w14:paraId="55B08786" w14:textId="77777777" w:rsidR="009021F1" w:rsidRPr="00480F4B" w:rsidRDefault="009021F1" w:rsidP="009021F1">
      <w:pPr>
        <w:rPr>
          <w:rFonts w:cstheme="minorHAnsi"/>
          <w:sz w:val="20"/>
          <w:szCs w:val="20"/>
        </w:rPr>
      </w:pPr>
    </w:p>
    <w:p w14:paraId="704BF432" w14:textId="77777777" w:rsidR="009021F1" w:rsidRDefault="009021F1" w:rsidP="009021F1">
      <w:pPr>
        <w:pStyle w:val="Titre1"/>
        <w:jc w:val="left"/>
        <w:rPr>
          <w:rFonts w:cs="Arial"/>
          <w:sz w:val="22"/>
          <w:szCs w:val="22"/>
        </w:rPr>
      </w:pPr>
    </w:p>
    <w:p w14:paraId="2CE41E2C" w14:textId="77777777" w:rsidR="009021F1" w:rsidRDefault="009021F1" w:rsidP="009021F1">
      <w:pPr>
        <w:pStyle w:val="Titre1"/>
        <w:jc w:val="center"/>
        <w:rPr>
          <w:rFonts w:cs="Arial"/>
          <w:sz w:val="22"/>
          <w:szCs w:val="22"/>
        </w:rPr>
      </w:pPr>
    </w:p>
    <w:p w14:paraId="46664923" w14:textId="77777777" w:rsidR="009021F1" w:rsidRPr="0021620B" w:rsidRDefault="009021F1" w:rsidP="009021F1">
      <w:pPr>
        <w:tabs>
          <w:tab w:val="left" w:pos="1224"/>
        </w:tabs>
      </w:pPr>
    </w:p>
    <w:p w14:paraId="04F465FD" w14:textId="77777777" w:rsidR="009021F1" w:rsidRDefault="009021F1" w:rsidP="00F7285D">
      <w:pPr>
        <w:rPr>
          <w:szCs w:val="21"/>
        </w:rPr>
      </w:pPr>
    </w:p>
    <w:p w14:paraId="0177E596" w14:textId="2A4EF4E8" w:rsidR="009021F1" w:rsidRDefault="009021F1" w:rsidP="00F7285D">
      <w:pPr>
        <w:rPr>
          <w:szCs w:val="21"/>
        </w:rPr>
      </w:pPr>
    </w:p>
    <w:p w14:paraId="32164259" w14:textId="1AFC108C" w:rsidR="00035AEB" w:rsidRDefault="00035AEB" w:rsidP="00F7285D">
      <w:pPr>
        <w:rPr>
          <w:szCs w:val="21"/>
        </w:rPr>
      </w:pPr>
    </w:p>
    <w:p w14:paraId="531397E3" w14:textId="31B6AED1" w:rsidR="00035AEB" w:rsidRDefault="00035AEB" w:rsidP="00F7285D">
      <w:pPr>
        <w:rPr>
          <w:szCs w:val="21"/>
        </w:rPr>
      </w:pPr>
    </w:p>
    <w:p w14:paraId="485D491D" w14:textId="3DCAB86C" w:rsidR="00035AEB" w:rsidRDefault="00035AEB" w:rsidP="00F7285D">
      <w:pPr>
        <w:rPr>
          <w:szCs w:val="21"/>
        </w:rPr>
      </w:pPr>
    </w:p>
    <w:p w14:paraId="2511EDBD" w14:textId="3BDA31B8" w:rsidR="00035AEB" w:rsidRDefault="00035AEB" w:rsidP="00F7285D">
      <w:pPr>
        <w:rPr>
          <w:szCs w:val="21"/>
        </w:rPr>
      </w:pPr>
    </w:p>
    <w:p w14:paraId="3CB23350" w14:textId="1B676B3E" w:rsidR="00035AEB" w:rsidRDefault="00035AEB" w:rsidP="00F7285D">
      <w:pPr>
        <w:rPr>
          <w:szCs w:val="21"/>
        </w:rPr>
      </w:pPr>
    </w:p>
    <w:p w14:paraId="6989E191" w14:textId="699F72C8" w:rsidR="00035AEB" w:rsidRDefault="00035AEB" w:rsidP="00F7285D">
      <w:pPr>
        <w:rPr>
          <w:szCs w:val="21"/>
        </w:rPr>
      </w:pPr>
    </w:p>
    <w:p w14:paraId="25034D35" w14:textId="0AB5A8F9" w:rsidR="00035AEB" w:rsidRDefault="00035AEB" w:rsidP="00F7285D">
      <w:pPr>
        <w:rPr>
          <w:szCs w:val="21"/>
        </w:rPr>
      </w:pPr>
    </w:p>
    <w:p w14:paraId="76200D34" w14:textId="46A77F4C" w:rsidR="00035AEB" w:rsidRDefault="00035AEB" w:rsidP="00F7285D">
      <w:pPr>
        <w:rPr>
          <w:szCs w:val="21"/>
        </w:rPr>
      </w:pPr>
    </w:p>
    <w:p w14:paraId="22CB66BF" w14:textId="70316295" w:rsidR="00035AEB" w:rsidRDefault="00035AEB" w:rsidP="00F7285D">
      <w:pPr>
        <w:rPr>
          <w:szCs w:val="21"/>
        </w:rPr>
      </w:pPr>
    </w:p>
    <w:p w14:paraId="319FECFC" w14:textId="5F5346F4" w:rsidR="00035AEB" w:rsidRDefault="00035AEB" w:rsidP="00F7285D">
      <w:pPr>
        <w:rPr>
          <w:szCs w:val="21"/>
        </w:rPr>
      </w:pPr>
    </w:p>
    <w:p w14:paraId="18D5DC74" w14:textId="5F771180" w:rsidR="00035AEB" w:rsidRDefault="00035AEB" w:rsidP="00F7285D">
      <w:pPr>
        <w:rPr>
          <w:szCs w:val="21"/>
        </w:rPr>
      </w:pPr>
    </w:p>
    <w:p w14:paraId="75E740A6" w14:textId="43A828C0" w:rsidR="00035AEB" w:rsidRDefault="00035AEB" w:rsidP="00F7285D">
      <w:pPr>
        <w:rPr>
          <w:szCs w:val="21"/>
        </w:rPr>
      </w:pPr>
    </w:p>
    <w:p w14:paraId="25301EC0" w14:textId="42186CCA" w:rsidR="00035AEB" w:rsidRDefault="00035AEB" w:rsidP="00F7285D">
      <w:pPr>
        <w:rPr>
          <w:szCs w:val="21"/>
        </w:rPr>
      </w:pPr>
    </w:p>
    <w:p w14:paraId="3E124E56" w14:textId="5F54019F" w:rsidR="00035AEB" w:rsidRDefault="00035AEB" w:rsidP="00F7285D">
      <w:pPr>
        <w:rPr>
          <w:szCs w:val="21"/>
        </w:rPr>
      </w:pPr>
    </w:p>
    <w:p w14:paraId="34CF1C6F" w14:textId="0882A8D7" w:rsidR="00035AEB" w:rsidRDefault="00035AEB" w:rsidP="00F7285D">
      <w:pPr>
        <w:rPr>
          <w:szCs w:val="21"/>
        </w:rPr>
      </w:pPr>
    </w:p>
    <w:p w14:paraId="179403C5" w14:textId="246150DE" w:rsidR="00035AEB" w:rsidRDefault="00035AEB" w:rsidP="00F7285D">
      <w:pPr>
        <w:rPr>
          <w:szCs w:val="21"/>
        </w:rPr>
      </w:pPr>
    </w:p>
    <w:p w14:paraId="4468263F" w14:textId="6A90114E" w:rsidR="00035AEB" w:rsidRDefault="00035AEB" w:rsidP="00F7285D">
      <w:pPr>
        <w:rPr>
          <w:szCs w:val="21"/>
        </w:rPr>
      </w:pPr>
    </w:p>
    <w:p w14:paraId="33F4D60C" w14:textId="52C455BD" w:rsidR="00035AEB" w:rsidRDefault="00035AEB" w:rsidP="00F7285D">
      <w:pPr>
        <w:rPr>
          <w:szCs w:val="21"/>
        </w:rPr>
      </w:pPr>
    </w:p>
    <w:p w14:paraId="511A0329" w14:textId="6DF80B04" w:rsidR="00035AEB" w:rsidRDefault="00035AEB" w:rsidP="00F7285D">
      <w:pPr>
        <w:rPr>
          <w:szCs w:val="21"/>
        </w:rPr>
      </w:pPr>
    </w:p>
    <w:p w14:paraId="5FCB9176" w14:textId="1F984332" w:rsidR="00035AEB" w:rsidRDefault="00035AEB" w:rsidP="00F7285D">
      <w:pPr>
        <w:rPr>
          <w:szCs w:val="21"/>
        </w:rPr>
      </w:pPr>
    </w:p>
    <w:p w14:paraId="2F569B26" w14:textId="288ACD4F" w:rsidR="00035AEB" w:rsidRDefault="00035AEB" w:rsidP="00F7285D">
      <w:pPr>
        <w:rPr>
          <w:szCs w:val="21"/>
        </w:rPr>
      </w:pPr>
    </w:p>
    <w:bookmarkEnd w:id="280"/>
    <w:bookmarkEnd w:id="281"/>
    <w:p w14:paraId="6FF314A1" w14:textId="5B6B68E3" w:rsidR="00035AEB" w:rsidRDefault="00035AEB" w:rsidP="00F7285D">
      <w:pPr>
        <w:rPr>
          <w:szCs w:val="21"/>
        </w:rPr>
      </w:pPr>
    </w:p>
    <w:sectPr w:rsidR="00035AEB" w:rsidSect="00035AEB">
      <w:pgSz w:w="16838" w:h="11906" w:orient="landscape"/>
      <w:pgMar w:top="1418" w:right="1134" w:bottom="1418" w:left="1134" w:header="708" w:footer="11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B873F3" w14:textId="77777777" w:rsidR="00B22F56" w:rsidRDefault="00B22F56" w:rsidP="001C2F95">
      <w:pPr>
        <w:spacing w:line="240" w:lineRule="auto"/>
      </w:pPr>
      <w:r>
        <w:separator/>
      </w:r>
    </w:p>
  </w:endnote>
  <w:endnote w:type="continuationSeparator" w:id="0">
    <w:p w14:paraId="06327F47" w14:textId="77777777" w:rsidR="00B22F56" w:rsidRDefault="00B22F56" w:rsidP="001C2F95">
      <w:pPr>
        <w:spacing w:line="240" w:lineRule="auto"/>
      </w:pPr>
      <w:r>
        <w:continuationSeparator/>
      </w:r>
    </w:p>
  </w:endnote>
  <w:endnote w:type="continuationNotice" w:id="1">
    <w:p w14:paraId="527F5CBC" w14:textId="77777777" w:rsidR="00B22F56" w:rsidRDefault="00B22F5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rlito">
    <w:altName w:val="Arial"/>
    <w:charset w:val="00"/>
    <w:family w:val="swiss"/>
    <w:pitch w:val="variable"/>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LM Roman Caps 10">
    <w:altName w:val="Times New Roman"/>
    <w:charset w:val="00"/>
    <w:family w:val="auto"/>
    <w:pitch w:val="variable"/>
  </w:font>
  <w:font w:name="Verdana Ref">
    <w:altName w:val="Tahoma"/>
    <w:charset w:val="00"/>
    <w:family w:val="swiss"/>
    <w:pitch w:val="variable"/>
    <w:sig w:usb0="20000287" w:usb1="00000000"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Utiliser une police de caractè">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HGGFHE+Garamond">
    <w:altName w:val="Garamond"/>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ComicSansMS-Identity-H">
    <w:altName w:val="Arial Unicode MS"/>
    <w:panose1 w:val="00000000000000000000"/>
    <w:charset w:val="81"/>
    <w:family w:val="auto"/>
    <w:notTrueType/>
    <w:pitch w:val="default"/>
    <w:sig w:usb0="00000001" w:usb1="09060000" w:usb2="00000010" w:usb3="00000000" w:csb0="00080000" w:csb1="00000000"/>
  </w:font>
  <w:font w:name="Agenda">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Times New Roman Gras">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ヒラギノ角ゴ Pro W3">
    <w:charset w:val="80"/>
    <w:family w:val="auto"/>
    <w:pitch w:val="variable"/>
    <w:sig w:usb0="E00002FF" w:usb1="7AC7FFFF" w:usb2="00000012" w:usb3="00000000" w:csb0="0002000D" w:csb1="00000000"/>
  </w:font>
  <w:font w:name="Maiandra GD">
    <w:panose1 w:val="020E0502030308020204"/>
    <w:charset w:val="00"/>
    <w:family w:val="swiss"/>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Eurostile">
    <w:charset w:val="4D"/>
    <w:family w:val="swiss"/>
    <w:pitch w:val="variable"/>
    <w:sig w:usb0="00000003" w:usb1="00000000" w:usb2="00000000" w:usb3="00000000" w:csb0="00000001" w:csb1="00000000"/>
  </w:font>
  <w:font w:name="System">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ndalus">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NewRomanPSMT">
    <w:altName w:val="MS Gothic"/>
    <w:panose1 w:val="00000000000000000000"/>
    <w:charset w:val="80"/>
    <w:family w:val="auto"/>
    <w:notTrueType/>
    <w:pitch w:val="default"/>
    <w:sig w:usb0="00000000" w:usb1="08070000" w:usb2="00000010" w:usb3="00000000" w:csb0="00020001" w:csb1="00000000"/>
  </w:font>
  <w:font w:name="Helvetica Neue">
    <w:altName w:val="Sylfaen"/>
    <w:charset w:val="00"/>
    <w:family w:val="auto"/>
    <w:pitch w:val="variable"/>
    <w:sig w:usb0="A000002F" w:usb1="40000048"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406E31" w14:textId="77777777" w:rsidR="00ED3F3C" w:rsidRDefault="00ED3F3C" w:rsidP="00971FD2">
    <w:pPr>
      <w:tabs>
        <w:tab w:val="right" w:leader="dot" w:pos="8640"/>
      </w:tabs>
      <w:jc w:val="left"/>
      <w:rPr>
        <w:rFonts w:cs="Arial"/>
        <w:i/>
        <w:sz w:val="16"/>
        <w:szCs w:val="16"/>
      </w:rPr>
    </w:pPr>
    <w:r>
      <w:rPr>
        <w:rFonts w:cs="Arial"/>
        <w:i/>
        <w:sz w:val="16"/>
        <w:szCs w:val="16"/>
      </w:rPr>
      <w:t xml:space="preserve">PNDA - </w:t>
    </w:r>
    <w:r w:rsidRPr="00271326">
      <w:rPr>
        <w:rFonts w:cs="Arial"/>
        <w:i/>
        <w:sz w:val="16"/>
        <w:szCs w:val="16"/>
      </w:rPr>
      <w:t>Cadre de Gestion Environnementale et Sociale (CGES)</w:t>
    </w:r>
  </w:p>
  <w:p w14:paraId="51D02804" w14:textId="6A37632F" w:rsidR="00ED3F3C" w:rsidRPr="00271326" w:rsidRDefault="00ED3F3C" w:rsidP="00971FD2">
    <w:pPr>
      <w:tabs>
        <w:tab w:val="right" w:leader="dot" w:pos="8640"/>
      </w:tabs>
      <w:jc w:val="left"/>
      <w:rPr>
        <w:rFonts w:cs="Arial"/>
        <w:i/>
        <w:sz w:val="16"/>
        <w:szCs w:val="16"/>
      </w:rPr>
    </w:pPr>
    <w:r>
      <w:rPr>
        <w:rFonts w:cs="Arial"/>
        <w:i/>
        <w:sz w:val="16"/>
        <w:szCs w:val="16"/>
      </w:rPr>
      <w:t>Rapport final, Décembre 2021</w:t>
    </w:r>
  </w:p>
  <w:p w14:paraId="399BEF9B" w14:textId="77777777" w:rsidR="00ED3F3C" w:rsidRDefault="00ED3F3C"/>
  <w:p w14:paraId="2E43D218" w14:textId="77777777" w:rsidR="00ED3F3C" w:rsidRDefault="00ED3F3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DBDC6E" w14:textId="77777777" w:rsidR="00ED3F3C" w:rsidRDefault="00ED3F3C" w:rsidP="00971FD2">
    <w:pPr>
      <w:tabs>
        <w:tab w:val="right" w:leader="dot" w:pos="8640"/>
      </w:tabs>
      <w:jc w:val="left"/>
      <w:rPr>
        <w:rFonts w:cs="Arial"/>
        <w:i/>
        <w:sz w:val="16"/>
        <w:szCs w:val="16"/>
      </w:rPr>
    </w:pPr>
    <w:r>
      <w:rPr>
        <w:rFonts w:cs="Arial"/>
        <w:i/>
        <w:sz w:val="16"/>
        <w:szCs w:val="16"/>
      </w:rPr>
      <w:t xml:space="preserve">PNDA - </w:t>
    </w:r>
    <w:r w:rsidRPr="00271326">
      <w:rPr>
        <w:rFonts w:cs="Arial"/>
        <w:i/>
        <w:sz w:val="16"/>
        <w:szCs w:val="16"/>
      </w:rPr>
      <w:t>Cadre de Gestion Environnementale et Sociale (CGES)</w:t>
    </w:r>
  </w:p>
  <w:p w14:paraId="77A4665D" w14:textId="384DD9BA" w:rsidR="00ED3F3C" w:rsidRPr="00271326" w:rsidRDefault="00ED3F3C" w:rsidP="00971FD2">
    <w:pPr>
      <w:tabs>
        <w:tab w:val="right" w:leader="dot" w:pos="8640"/>
      </w:tabs>
      <w:jc w:val="left"/>
      <w:rPr>
        <w:rFonts w:cs="Arial"/>
        <w:i/>
        <w:sz w:val="16"/>
        <w:szCs w:val="16"/>
      </w:rPr>
    </w:pPr>
    <w:r>
      <w:rPr>
        <w:rFonts w:cs="Arial"/>
        <w:i/>
        <w:sz w:val="16"/>
        <w:szCs w:val="16"/>
      </w:rPr>
      <w:t>Rapport final, Décembre  2021</w:t>
    </w:r>
  </w:p>
  <w:p w14:paraId="78F7E81B" w14:textId="77777777" w:rsidR="00ED3F3C" w:rsidRDefault="00ED3F3C" w:rsidP="00971FD2">
    <w:pPr>
      <w:tabs>
        <w:tab w:val="left" w:pos="1329"/>
      </w:tabs>
    </w:pPr>
    <w:r>
      <w:tab/>
    </w:r>
  </w:p>
  <w:p w14:paraId="59904A6B" w14:textId="77777777" w:rsidR="00ED3F3C" w:rsidRDefault="00ED3F3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CDC57D" w14:textId="77777777" w:rsidR="00ED3F3C" w:rsidRDefault="00ED3F3C">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721E4318" w14:textId="77777777" w:rsidR="00ED3F3C" w:rsidRDefault="00ED3F3C">
    <w:pPr>
      <w:pStyle w:val="Pieddepage"/>
      <w:ind w:right="360" w:firstLine="360"/>
    </w:pPr>
  </w:p>
  <w:p w14:paraId="0E00E522" w14:textId="77777777" w:rsidR="00ED3F3C" w:rsidRDefault="00ED3F3C"/>
  <w:p w14:paraId="757AE1E1" w14:textId="77777777" w:rsidR="00ED3F3C" w:rsidRDefault="00ED3F3C"/>
  <w:p w14:paraId="0C232077" w14:textId="77777777" w:rsidR="00ED3F3C" w:rsidRDefault="00ED3F3C"/>
  <w:p w14:paraId="6B95A260" w14:textId="77777777" w:rsidR="00ED3F3C" w:rsidRDefault="00ED3F3C"/>
  <w:p w14:paraId="3DB9BDA5" w14:textId="77777777" w:rsidR="00ED3F3C" w:rsidRDefault="00ED3F3C"/>
  <w:p w14:paraId="71F97493" w14:textId="77777777" w:rsidR="00ED3F3C" w:rsidRDefault="00ED3F3C"/>
  <w:p w14:paraId="5B6340AA" w14:textId="77777777" w:rsidR="00ED3F3C" w:rsidRDefault="00ED3F3C"/>
  <w:p w14:paraId="2FE21A58" w14:textId="77777777" w:rsidR="00ED3F3C" w:rsidRDefault="00ED3F3C"/>
  <w:p w14:paraId="47FA213F" w14:textId="77777777" w:rsidR="00ED3F3C" w:rsidRDefault="00ED3F3C"/>
  <w:p w14:paraId="22E3A065" w14:textId="77777777" w:rsidR="00ED3F3C" w:rsidRDefault="00ED3F3C"/>
  <w:p w14:paraId="75E8C7AC" w14:textId="77777777" w:rsidR="00ED3F3C" w:rsidRDefault="00ED3F3C"/>
  <w:p w14:paraId="1D34D92A" w14:textId="77777777" w:rsidR="00ED3F3C" w:rsidRDefault="00ED3F3C"/>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2D78CA" w14:textId="77777777" w:rsidR="00ED3F3C" w:rsidRDefault="00ED3F3C" w:rsidP="00971FD2">
    <w:pPr>
      <w:tabs>
        <w:tab w:val="right" w:leader="dot" w:pos="8640"/>
      </w:tabs>
      <w:jc w:val="left"/>
      <w:rPr>
        <w:rFonts w:cs="Arial"/>
        <w:i/>
        <w:sz w:val="16"/>
        <w:szCs w:val="16"/>
      </w:rPr>
    </w:pPr>
    <w:r>
      <w:rPr>
        <w:rFonts w:cs="Arial"/>
        <w:i/>
        <w:sz w:val="16"/>
        <w:szCs w:val="16"/>
      </w:rPr>
      <w:t xml:space="preserve">PNDA - </w:t>
    </w:r>
    <w:r w:rsidRPr="00271326">
      <w:rPr>
        <w:rFonts w:cs="Arial"/>
        <w:i/>
        <w:sz w:val="16"/>
        <w:szCs w:val="16"/>
      </w:rPr>
      <w:t>Cadre de Gestion Environnementale et Sociale (CGES)</w:t>
    </w:r>
  </w:p>
  <w:p w14:paraId="3A7F97E7" w14:textId="0CEAABFA" w:rsidR="00ED3F3C" w:rsidRPr="00271326" w:rsidRDefault="00ED3F3C" w:rsidP="00971FD2">
    <w:pPr>
      <w:tabs>
        <w:tab w:val="right" w:leader="dot" w:pos="8640"/>
      </w:tabs>
      <w:jc w:val="left"/>
      <w:rPr>
        <w:rFonts w:cs="Arial"/>
        <w:i/>
        <w:sz w:val="16"/>
        <w:szCs w:val="16"/>
      </w:rPr>
    </w:pPr>
    <w:r>
      <w:rPr>
        <w:rFonts w:cs="Arial"/>
        <w:i/>
        <w:sz w:val="16"/>
        <w:szCs w:val="16"/>
      </w:rPr>
      <w:t>Rapport final, Décembre 2021</w:t>
    </w:r>
  </w:p>
  <w:p w14:paraId="6CEBE167" w14:textId="77777777" w:rsidR="00ED3F3C" w:rsidRDefault="00ED3F3C"/>
  <w:p w14:paraId="01FE766A" w14:textId="77777777" w:rsidR="00ED3F3C" w:rsidRDefault="00ED3F3C"/>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DB6D5D" w14:textId="77777777" w:rsidR="00ED3F3C" w:rsidRDefault="00ED3F3C" w:rsidP="00971FD2">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DFF4840" w14:textId="77777777" w:rsidR="00ED3F3C" w:rsidRDefault="00ED3F3C" w:rsidP="00971FD2">
    <w:pPr>
      <w:pStyle w:val="Pieddepage"/>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B782FD" w14:textId="77777777" w:rsidR="00ED3F3C" w:rsidRDefault="00ED3F3C" w:rsidP="00971FD2">
    <w:pPr>
      <w:tabs>
        <w:tab w:val="right" w:leader="dot" w:pos="8640"/>
      </w:tabs>
      <w:jc w:val="left"/>
      <w:rPr>
        <w:rFonts w:cs="Arial"/>
        <w:i/>
        <w:sz w:val="16"/>
        <w:szCs w:val="16"/>
      </w:rPr>
    </w:pPr>
    <w:r>
      <w:rPr>
        <w:rFonts w:cs="Arial"/>
        <w:i/>
        <w:sz w:val="16"/>
        <w:szCs w:val="16"/>
      </w:rPr>
      <w:t xml:space="preserve">PNDA - </w:t>
    </w:r>
    <w:r w:rsidRPr="00271326">
      <w:rPr>
        <w:rFonts w:cs="Arial"/>
        <w:i/>
        <w:sz w:val="16"/>
        <w:szCs w:val="16"/>
      </w:rPr>
      <w:t>Cadre de Gestion Environnementale et Sociale (CGES)</w:t>
    </w:r>
  </w:p>
  <w:p w14:paraId="3228E15A" w14:textId="77777777" w:rsidR="00ED3F3C" w:rsidRDefault="00ED3F3C" w:rsidP="00971FD2">
    <w:pPr>
      <w:tabs>
        <w:tab w:val="right" w:leader="dot" w:pos="8640"/>
      </w:tabs>
      <w:jc w:val="left"/>
      <w:rPr>
        <w:rFonts w:cs="Arial"/>
        <w:i/>
        <w:sz w:val="16"/>
        <w:szCs w:val="16"/>
      </w:rPr>
    </w:pPr>
    <w:r>
      <w:rPr>
        <w:rFonts w:cs="Arial"/>
        <w:i/>
        <w:sz w:val="16"/>
        <w:szCs w:val="16"/>
      </w:rPr>
      <w:t>Rapport final, Décembre 2021</w:t>
    </w:r>
  </w:p>
  <w:p w14:paraId="655A116F" w14:textId="77777777" w:rsidR="00ED3F3C" w:rsidRPr="00271326" w:rsidRDefault="00ED3F3C" w:rsidP="00971FD2">
    <w:pPr>
      <w:tabs>
        <w:tab w:val="right" w:leader="dot" w:pos="8640"/>
      </w:tabs>
      <w:jc w:val="left"/>
      <w:rPr>
        <w:rFonts w:cs="Arial"/>
        <w:i/>
        <w:sz w:val="16"/>
        <w:szCs w:val="16"/>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7D7381" w14:textId="77777777" w:rsidR="00ED3F3C" w:rsidRDefault="00ED3F3C" w:rsidP="00F44B51">
    <w:pPr>
      <w:tabs>
        <w:tab w:val="right" w:leader="dot" w:pos="8640"/>
      </w:tabs>
      <w:jc w:val="left"/>
      <w:rPr>
        <w:rFonts w:cs="Arial"/>
        <w:i/>
        <w:sz w:val="16"/>
        <w:szCs w:val="16"/>
      </w:rPr>
    </w:pPr>
    <w:r>
      <w:rPr>
        <w:rFonts w:cs="Arial"/>
        <w:i/>
        <w:sz w:val="16"/>
        <w:szCs w:val="16"/>
      </w:rPr>
      <w:t xml:space="preserve">PNDA - </w:t>
    </w:r>
    <w:r w:rsidRPr="00271326">
      <w:rPr>
        <w:rFonts w:cs="Arial"/>
        <w:i/>
        <w:sz w:val="16"/>
        <w:szCs w:val="16"/>
      </w:rPr>
      <w:t>Cadre de Gestion Environnementale et Sociale (CGES)</w:t>
    </w:r>
  </w:p>
  <w:p w14:paraId="59C4DF99" w14:textId="77777777" w:rsidR="00ED3F3C" w:rsidRPr="00271326" w:rsidRDefault="00ED3F3C" w:rsidP="00F44B51">
    <w:pPr>
      <w:tabs>
        <w:tab w:val="right" w:leader="dot" w:pos="8640"/>
      </w:tabs>
      <w:jc w:val="left"/>
      <w:rPr>
        <w:rFonts w:cs="Arial"/>
        <w:i/>
        <w:sz w:val="16"/>
        <w:szCs w:val="16"/>
      </w:rPr>
    </w:pPr>
    <w:r>
      <w:rPr>
        <w:rFonts w:cs="Arial"/>
        <w:i/>
        <w:sz w:val="16"/>
        <w:szCs w:val="16"/>
      </w:rPr>
      <w:t>Rapport final, Décembre 2021</w:t>
    </w:r>
  </w:p>
  <w:p w14:paraId="70C2D236" w14:textId="77777777" w:rsidR="00ED3F3C" w:rsidRDefault="00ED3F3C" w:rsidP="00F9169A">
    <w:pPr>
      <w:pStyle w:val="Pieddepage"/>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E85E19" w14:textId="77777777" w:rsidR="00B22F56" w:rsidRDefault="00B22F56" w:rsidP="001C2F95">
      <w:pPr>
        <w:spacing w:line="240" w:lineRule="auto"/>
      </w:pPr>
      <w:r>
        <w:separator/>
      </w:r>
    </w:p>
  </w:footnote>
  <w:footnote w:type="continuationSeparator" w:id="0">
    <w:p w14:paraId="686E579A" w14:textId="77777777" w:rsidR="00B22F56" w:rsidRDefault="00B22F56" w:rsidP="001C2F95">
      <w:pPr>
        <w:spacing w:line="240" w:lineRule="auto"/>
      </w:pPr>
      <w:r>
        <w:continuationSeparator/>
      </w:r>
    </w:p>
  </w:footnote>
  <w:footnote w:type="continuationNotice" w:id="1">
    <w:p w14:paraId="2EF202C4" w14:textId="77777777" w:rsidR="00B22F56" w:rsidRDefault="00B22F56">
      <w:pPr>
        <w:spacing w:line="240" w:lineRule="auto"/>
      </w:pPr>
    </w:p>
  </w:footnote>
  <w:footnote w:id="2">
    <w:p w14:paraId="7C4D1481" w14:textId="77777777" w:rsidR="00ED3F3C" w:rsidRPr="00750ECC" w:rsidRDefault="00ED3F3C" w:rsidP="001C2F95">
      <w:pPr>
        <w:pStyle w:val="Notedebasdepage"/>
        <w:rPr>
          <w:sz w:val="18"/>
          <w:szCs w:val="18"/>
          <w:lang w:val="es-ES"/>
        </w:rPr>
      </w:pPr>
      <w:r w:rsidRPr="00750ECC">
        <w:rPr>
          <w:rStyle w:val="Appelnotedebasdep"/>
          <w:sz w:val="18"/>
          <w:szCs w:val="18"/>
        </w:rPr>
        <w:footnoteRef/>
      </w:r>
      <w:r w:rsidRPr="00750ECC">
        <w:rPr>
          <w:sz w:val="18"/>
          <w:szCs w:val="18"/>
          <w:lang w:val="es-ES"/>
        </w:rPr>
        <w:t xml:space="preserve"> http://pubdocs.worldbank.org/en/215761593706525660/ESF-GPN-SEASH-in-major-civil-works-French.pdf</w:t>
      </w:r>
      <w:r w:rsidRPr="00750ECC" w:rsidDel="00EE17FF">
        <w:rPr>
          <w:sz w:val="18"/>
          <w:szCs w:val="18"/>
          <w:lang w:val="es-ES"/>
        </w:rPr>
        <w:t xml:space="preserve"> </w:t>
      </w:r>
      <w:r w:rsidRPr="00750ECC">
        <w:rPr>
          <w:sz w:val="18"/>
          <w:szCs w:val="18"/>
          <w:lang w:val="es-ES"/>
        </w:rPr>
        <w:t xml:space="preserve"> </w:t>
      </w:r>
    </w:p>
  </w:footnote>
  <w:footnote w:id="3">
    <w:p w14:paraId="34188BA8" w14:textId="77777777" w:rsidR="00ED3F3C" w:rsidRPr="00FD38C4" w:rsidRDefault="00ED3F3C" w:rsidP="001C2F95">
      <w:pPr>
        <w:pStyle w:val="Notedebasdepage"/>
        <w:tabs>
          <w:tab w:val="left" w:pos="0"/>
        </w:tabs>
      </w:pPr>
      <w:r>
        <w:rPr>
          <w:rStyle w:val="Appelnotedebasdep"/>
        </w:rPr>
        <w:footnoteRef/>
      </w:r>
      <w:r>
        <w:t xml:space="preserve"> </w:t>
      </w:r>
      <w:r w:rsidRPr="00FD38C4">
        <w:t>Le mineur serait toute personne de moins de 18 ans, même si la législation locale a une définition différente (âge du consentement inférieur à 18 ans). Le manque de connaissances sur l'âge de la personne ne sera pas accepté comme justification</w:t>
      </w:r>
      <w:r>
        <w:t xml:space="preserve"> ni de défense</w:t>
      </w:r>
      <w:r w:rsidRPr="00FD38C4">
        <w:t>. L'accord du mineur à une relation sexuelle ne sera pas accepté non plus, car les mineurs ne sont pas en mesure de donner un consentement éclairé.</w:t>
      </w:r>
    </w:p>
  </w:footnote>
  <w:footnote w:id="4">
    <w:p w14:paraId="2CB26A00" w14:textId="77777777" w:rsidR="00ED3F3C" w:rsidRPr="00730A4A" w:rsidRDefault="00ED3F3C" w:rsidP="001C2F95">
      <w:pPr>
        <w:autoSpaceDE w:val="0"/>
        <w:autoSpaceDN w:val="0"/>
        <w:adjustRightInd w:val="0"/>
        <w:spacing w:line="240" w:lineRule="auto"/>
        <w:rPr>
          <w:rFonts w:eastAsia="Calibri" w:cs="Arial"/>
          <w:color w:val="0563C2"/>
          <w:sz w:val="18"/>
          <w:szCs w:val="18"/>
          <w:lang w:eastAsia="en-US"/>
        </w:rPr>
      </w:pPr>
      <w:r w:rsidRPr="002259A4">
        <w:rPr>
          <w:rStyle w:val="Appelnotedebasdep"/>
          <w:rFonts w:cs="Arial"/>
          <w:sz w:val="18"/>
          <w:szCs w:val="18"/>
        </w:rPr>
        <w:footnoteRef/>
      </w:r>
      <w:r w:rsidRPr="00730A4A">
        <w:rPr>
          <w:rFonts w:eastAsia="Calibri" w:cs="Arial"/>
          <w:i/>
          <w:color w:val="0563C2"/>
          <w:sz w:val="18"/>
          <w:szCs w:val="18"/>
          <w:lang w:val="fr" w:eastAsia="en-US"/>
        </w:rPr>
        <w:t>https://worldbankgroup.sharepoint.com/sites/wbunits/opcs/Knowledge%20Base/Public%20Consultations%20in%20WB%20Operations.pdf</w:t>
      </w:r>
    </w:p>
    <w:p w14:paraId="53993DCB" w14:textId="77777777" w:rsidR="00ED3F3C" w:rsidRDefault="00ED3F3C" w:rsidP="001C2F95">
      <w:pPr>
        <w:pStyle w:val="Notedebasdepage"/>
      </w:pPr>
    </w:p>
  </w:footnote>
  <w:footnote w:id="5">
    <w:p w14:paraId="38E46CA3" w14:textId="77777777" w:rsidR="00ED3F3C" w:rsidRPr="0098228F" w:rsidRDefault="00ED3F3C" w:rsidP="001977A4">
      <w:pPr>
        <w:spacing w:before="60"/>
        <w:rPr>
          <w:sz w:val="18"/>
          <w:szCs w:val="18"/>
        </w:rPr>
      </w:pPr>
      <w:r w:rsidRPr="0098228F">
        <w:rPr>
          <w:rStyle w:val="Appelnotedebasdep"/>
          <w:sz w:val="18"/>
          <w:szCs w:val="18"/>
        </w:rPr>
        <w:footnoteRef/>
      </w:r>
      <w:hyperlink r:id="rId1">
        <w:r w:rsidRPr="0098228F">
          <w:rPr>
            <w:sz w:val="18"/>
            <w:szCs w:val="18"/>
          </w:rPr>
          <w:t>http://pubdocs.worldbank.org/en/215761593706525660/ESF-GPN-SEASH-in-major-civil-works-French.pdf</w:t>
        </w:r>
      </w:hyperlink>
      <w:r>
        <w:rPr>
          <w:sz w:val="18"/>
          <w:szCs w:val="18"/>
        </w:rPr>
        <w:t xml:space="preserve"> </w:t>
      </w:r>
    </w:p>
  </w:footnote>
  <w:footnote w:id="6">
    <w:p w14:paraId="2E288587" w14:textId="77777777" w:rsidR="00ED3F3C" w:rsidRPr="00A7078B" w:rsidRDefault="00ED3F3C" w:rsidP="001977A4">
      <w:pPr>
        <w:rPr>
          <w:sz w:val="18"/>
          <w:szCs w:val="18"/>
          <w:lang w:val="en-US"/>
        </w:rPr>
      </w:pPr>
      <w:r w:rsidRPr="0098228F">
        <w:rPr>
          <w:rStyle w:val="Appelnotedebasdep"/>
          <w:sz w:val="18"/>
          <w:szCs w:val="18"/>
        </w:rPr>
        <w:footnoteRef/>
      </w:r>
      <w:r w:rsidRPr="00A7078B">
        <w:rPr>
          <w:sz w:val="18"/>
          <w:szCs w:val="18"/>
          <w:lang w:val="en-US"/>
        </w:rPr>
        <w:t xml:space="preserve"> The minor would be any person under the age of 18, even if local legislation has a different definition (age of consent under 18). Lack of knowledge about the person's age will not be accepted as a justification or defense. The minor's agreement to a sexual relationship will also not be accepted, as minors are not in a position to give informed consent.</w:t>
      </w:r>
    </w:p>
  </w:footnote>
  <w:footnote w:id="7">
    <w:p w14:paraId="63975D7D" w14:textId="77777777" w:rsidR="00ED3F3C" w:rsidRPr="00540C2E" w:rsidRDefault="00ED3F3C" w:rsidP="001977A4">
      <w:pPr>
        <w:rPr>
          <w:sz w:val="18"/>
          <w:szCs w:val="18"/>
          <w:lang w:val="en-US"/>
        </w:rPr>
      </w:pPr>
      <w:r w:rsidRPr="0098228F">
        <w:rPr>
          <w:rStyle w:val="Appelnotedebasdep"/>
          <w:sz w:val="18"/>
          <w:szCs w:val="18"/>
        </w:rPr>
        <w:footnoteRef/>
      </w:r>
      <w:r w:rsidRPr="00540C2E">
        <w:rPr>
          <w:i/>
          <w:color w:val="0462C2"/>
          <w:sz w:val="18"/>
          <w:szCs w:val="18"/>
          <w:lang w:val="en-US"/>
        </w:rPr>
        <w:t>https://worldbankgroup.sharepoint.com/sites/wbunits/opcs/Knowledge%20Base/Public%20Consultations%20in% 20WB%20Operations.pdf</w:t>
      </w:r>
    </w:p>
  </w:footnote>
  <w:footnote w:id="8">
    <w:p w14:paraId="40EA6F42" w14:textId="77777777" w:rsidR="00ED3F3C" w:rsidRPr="00233ECF" w:rsidRDefault="00ED3F3C" w:rsidP="005C5EB1">
      <w:pPr>
        <w:pStyle w:val="Notedebasdepage"/>
        <w:rPr>
          <w:lang w:val="es-ES"/>
        </w:rPr>
      </w:pPr>
      <w:r>
        <w:rPr>
          <w:rStyle w:val="Appelnotedebasdep"/>
        </w:rPr>
        <w:footnoteRef/>
      </w:r>
      <w:hyperlink r:id="rId2" w:history="1">
        <w:r w:rsidRPr="00E4105B">
          <w:rPr>
            <w:rStyle w:val="Lienhypertexte"/>
            <w:sz w:val="18"/>
            <w:szCs w:val="18"/>
            <w:lang w:val="es-ES"/>
          </w:rPr>
          <w:t>http://pubdocs.worldbank.org/en/296041548955886585/Good-Practice-Note-Addressing-Gender-Based-Violence-french.pdf</w:t>
        </w:r>
      </w:hyperlink>
      <w:r w:rsidRPr="005C5EB1">
        <w:rPr>
          <w:lang w:val="es-ES"/>
        </w:rPr>
        <w:t xml:space="preserve"> </w:t>
      </w:r>
    </w:p>
  </w:footnote>
  <w:footnote w:id="9">
    <w:p w14:paraId="7CBB1190" w14:textId="77777777" w:rsidR="00ED3F3C" w:rsidRPr="00FA524C" w:rsidRDefault="00ED3F3C" w:rsidP="005C5EB1">
      <w:pPr>
        <w:pStyle w:val="Notedebasdepage"/>
        <w:tabs>
          <w:tab w:val="left" w:pos="0"/>
        </w:tabs>
        <w:rPr>
          <w:lang w:val="es-ES"/>
        </w:rPr>
      </w:pPr>
      <w:r>
        <w:rPr>
          <w:rStyle w:val="Appelnotedebasdep"/>
        </w:rPr>
        <w:footnoteRef/>
      </w:r>
      <w:r w:rsidRPr="00FA524C">
        <w:rPr>
          <w:lang w:val="es-ES"/>
        </w:rPr>
        <w:t xml:space="preserve"> Bana bateke ba mvula ya mwinshi mwa 18 kabiena bikengedibwa kubangata kumudi nansha oho mwikale wa mukese. Bidi bikengela kumanya mvula ya muntu onso kumpala kwa kumwangata ku mudimu. </w:t>
      </w:r>
      <w:r>
        <w:rPr>
          <w:lang w:val="es-ES"/>
        </w:rPr>
        <w:t>Bobumwe ne kwangata nsongakaji wa mvula ya mwinshi mwa 18 nkukandikibwe bikole.</w:t>
      </w:r>
      <w:r w:rsidRPr="00FA524C">
        <w:rPr>
          <w:lang w:val="es-ES"/>
        </w:rPr>
        <w:t>.</w:t>
      </w:r>
    </w:p>
  </w:footnote>
  <w:footnote w:id="10">
    <w:p w14:paraId="15B98A05" w14:textId="77777777" w:rsidR="00ED3F3C" w:rsidRPr="006C5842" w:rsidRDefault="00ED3F3C" w:rsidP="000326DA">
      <w:pPr>
        <w:pStyle w:val="Notedebasdepage"/>
        <w:tabs>
          <w:tab w:val="left" w:pos="0"/>
        </w:tabs>
        <w:rPr>
          <w:lang w:val="es-ES"/>
        </w:rPr>
      </w:pPr>
      <w:r>
        <w:rPr>
          <w:rStyle w:val="Appelnotedebasdep"/>
        </w:rPr>
        <w:footnoteRef/>
      </w:r>
      <w:r w:rsidRPr="006C5842">
        <w:rPr>
          <w:lang w:val="es-ES"/>
        </w:rPr>
        <w:t xml:space="preserve"> Mwana fioti kele mwana yayi kele na ba mvula ya nsi ya 18, ataku mikanu ya bisika ya bwala tatuba buna ve. Kuzaba ve mvula ya mutu ya kupesa kisalu ta ndimama ve na kisalu yayi. Kubaka mwana nkentu ya mvula ya nsi ya 18 kele disumu ya nene yayi kele na etumbu ya nene mpi, ataku yandi ndimaka yawu. </w:t>
      </w:r>
    </w:p>
  </w:footnote>
  <w:footnote w:id="11">
    <w:p w14:paraId="09F09F90" w14:textId="77777777" w:rsidR="00ED3F3C" w:rsidRPr="00730A4A" w:rsidRDefault="00ED3F3C" w:rsidP="000326DA">
      <w:pPr>
        <w:autoSpaceDE w:val="0"/>
        <w:autoSpaceDN w:val="0"/>
        <w:adjustRightInd w:val="0"/>
        <w:spacing w:line="240" w:lineRule="auto"/>
        <w:rPr>
          <w:rFonts w:ascii="Calibri" w:eastAsia="Calibri" w:hAnsi="Calibri" w:cs="Calibri"/>
          <w:color w:val="0563C2"/>
          <w:sz w:val="22"/>
          <w:lang w:val="es-ES" w:eastAsia="en-US"/>
        </w:rPr>
      </w:pPr>
      <w:r>
        <w:rPr>
          <w:rStyle w:val="Appelnotedebasdep"/>
        </w:rPr>
        <w:footnoteRef/>
      </w:r>
      <w:r w:rsidRPr="00730A4A">
        <w:rPr>
          <w:rFonts w:ascii="Calibri" w:eastAsia="Calibri" w:hAnsi="Calibri"/>
          <w:i/>
          <w:color w:val="0563C2"/>
          <w:sz w:val="22"/>
          <w:lang w:val="es-ES" w:eastAsia="en-US"/>
        </w:rPr>
        <w:t>https://worldbankgroup.sharepoint.com/sites/wbunits/opcs/Knowledge%20Base/Public%20Consultations%20in%20WB%20Operations.pdf</w:t>
      </w:r>
    </w:p>
    <w:p w14:paraId="6F25FE33" w14:textId="77777777" w:rsidR="00ED3F3C" w:rsidRPr="006C5842" w:rsidRDefault="00ED3F3C" w:rsidP="000326DA">
      <w:pPr>
        <w:pStyle w:val="Notedebasdepage"/>
        <w:rPr>
          <w:lang w:val="es-ES"/>
        </w:rPr>
      </w:pPr>
    </w:p>
  </w:footnote>
  <w:footnote w:id="12">
    <w:p w14:paraId="1F95CEC9" w14:textId="77777777" w:rsidR="00ED3F3C" w:rsidRPr="000326DA" w:rsidRDefault="00ED3F3C" w:rsidP="000326DA">
      <w:pPr>
        <w:pStyle w:val="Notedebasdepage"/>
        <w:rPr>
          <w:lang w:val="es-ES"/>
        </w:rPr>
      </w:pPr>
      <w:r>
        <w:rPr>
          <w:rStyle w:val="Appelnotedebasdep"/>
        </w:rPr>
        <w:footnoteRef/>
      </w:r>
      <w:r w:rsidRPr="00750ECC">
        <w:rPr>
          <w:rStyle w:val="Appelnotedebasdep"/>
          <w:sz w:val="18"/>
          <w:szCs w:val="18"/>
        </w:rPr>
        <w:footnoteRef/>
      </w:r>
      <w:r w:rsidRPr="00750ECC">
        <w:rPr>
          <w:sz w:val="18"/>
          <w:szCs w:val="18"/>
          <w:lang w:val="es-ES"/>
        </w:rPr>
        <w:t xml:space="preserve"> http://pubdocs.worldbank.org/en/215761593706525660/ESF-GPN-SEASH-in-major-civil-works-French.pdf</w:t>
      </w:r>
      <w:r w:rsidRPr="00750ECC" w:rsidDel="00EE17FF">
        <w:rPr>
          <w:sz w:val="18"/>
          <w:szCs w:val="18"/>
          <w:lang w:val="es-ES"/>
        </w:rPr>
        <w:t xml:space="preserve"> </w:t>
      </w:r>
      <w:r w:rsidRPr="00750ECC">
        <w:rPr>
          <w:sz w:val="18"/>
          <w:szCs w:val="18"/>
          <w:lang w:val="es-ES"/>
        </w:rPr>
        <w:t xml:space="preserve"> </w:t>
      </w:r>
      <w:r>
        <w:rPr>
          <w:sz w:val="18"/>
          <w:szCs w:val="18"/>
          <w:lang w:val="es-ES"/>
        </w:rPr>
        <w:t xml:space="preserve"> </w:t>
      </w:r>
    </w:p>
  </w:footnote>
  <w:footnote w:id="13">
    <w:p w14:paraId="512AA9FE" w14:textId="77777777" w:rsidR="00ED3F3C" w:rsidRDefault="00ED3F3C" w:rsidP="000326DA">
      <w:pPr>
        <w:pStyle w:val="Notedebasdepage"/>
      </w:pPr>
      <w:r>
        <w:rPr>
          <w:rStyle w:val="Appelnotedebasdep"/>
        </w:rPr>
        <w:footnoteRef/>
      </w:r>
      <w:r>
        <w:t xml:space="preserve"> </w:t>
      </w:r>
      <w:r w:rsidRPr="00FD38C4">
        <w:t>Le mineur serait toute personne de moins de 18 ans, même si la législation locale a une définition différente (âge du consentement inférieur à 18 ans). Le manque de connaissances sur l'âge de la personne ne sera pas accepté comme justification. L'accord du mineur à une relation sexuelle ne sera pas accepté non plus, car les mineurs ne sont pas en mesure de donner un consentement éclairé.</w:t>
      </w:r>
    </w:p>
  </w:footnote>
  <w:footnote w:id="14">
    <w:p w14:paraId="62795D29" w14:textId="64F7E494" w:rsidR="00ED3F3C" w:rsidRPr="00AD2C4C" w:rsidRDefault="00ED3F3C" w:rsidP="00E473D8">
      <w:pPr>
        <w:pStyle w:val="Corpsdetexte"/>
        <w:spacing w:line="259" w:lineRule="auto"/>
        <w:ind w:right="-46"/>
        <w:rPr>
          <w:rFonts w:cs="Arial"/>
          <w:sz w:val="18"/>
          <w:szCs w:val="18"/>
        </w:rPr>
      </w:pPr>
      <w:r w:rsidRPr="00AD2C4C">
        <w:rPr>
          <w:rStyle w:val="Appelnotedebasdep"/>
          <w:sz w:val="18"/>
          <w:szCs w:val="18"/>
        </w:rPr>
        <w:footnoteRef/>
      </w:r>
      <w:r w:rsidRPr="00AD2C4C">
        <w:rPr>
          <w:sz w:val="18"/>
          <w:szCs w:val="18"/>
        </w:rPr>
        <w:t xml:space="preserve"> </w:t>
      </w:r>
      <w:r w:rsidRPr="00AD2C4C">
        <w:rPr>
          <w:rFonts w:cs="Arial"/>
          <w:sz w:val="18"/>
          <w:szCs w:val="18"/>
        </w:rPr>
        <w:t>Suivant l'approche du projet de gestion améliorée des paysages forestiers de la RDC (P128887), un développement rural vert et résilient sera promu dans les zones fortement dégradées et les frontières forestières (par ex, comme la province de Maï-Ndombe pour le bassin d'approvisionnement de Kinshasa) par le biais d'interventions spécifiques, notamment la planification de l'utilisation des terres par les communautés pour renforcer les droits et les capacités des communautés en matière de gestion durable des ressources naturelles, le développement de systèmes de production agroforestiers et d'autres plantations à des fins énergétiques, la promotion de cultures pérennes comme alternatives à la culture de subsistance sur brûlis, et la promotion de la régénération naturelle des terres dégradées et de la conservation des forêts, notamment par le biais du paiement des services écosystémiques.</w:t>
      </w:r>
    </w:p>
    <w:p w14:paraId="21F53387" w14:textId="16A88037" w:rsidR="00ED3F3C" w:rsidRDefault="00ED3F3C">
      <w:pPr>
        <w:pStyle w:val="Notedebasdepage"/>
      </w:pPr>
    </w:p>
  </w:footnote>
  <w:footnote w:id="15">
    <w:p w14:paraId="1C0C28AC" w14:textId="77777777" w:rsidR="00ED3F3C" w:rsidRPr="00371E48" w:rsidRDefault="00ED3F3C" w:rsidP="00371E48">
      <w:pPr>
        <w:pStyle w:val="Paragraphedeliste"/>
        <w:widowControl w:val="0"/>
        <w:tabs>
          <w:tab w:val="left" w:pos="1113"/>
        </w:tabs>
        <w:autoSpaceDE w:val="0"/>
        <w:autoSpaceDN w:val="0"/>
        <w:spacing w:before="71" w:line="259" w:lineRule="auto"/>
        <w:ind w:left="284" w:right="-46" w:hanging="284"/>
        <w:contextualSpacing w:val="0"/>
        <w:rPr>
          <w:sz w:val="18"/>
          <w:szCs w:val="18"/>
        </w:rPr>
      </w:pPr>
      <w:r w:rsidRPr="00371E48">
        <w:rPr>
          <w:rStyle w:val="Appelnotedebasdep"/>
          <w:sz w:val="18"/>
          <w:szCs w:val="18"/>
        </w:rPr>
        <w:footnoteRef/>
      </w:r>
      <w:r w:rsidRPr="00371E48">
        <w:rPr>
          <w:sz w:val="18"/>
          <w:szCs w:val="18"/>
        </w:rPr>
        <w:t xml:space="preserve"> HarvestChoice, 2016, Institut international de recherche sur les politiques alimentaires, Washington D.C. et Université du</w:t>
      </w:r>
      <w:r w:rsidRPr="00371E48">
        <w:rPr>
          <w:spacing w:val="-5"/>
          <w:sz w:val="18"/>
          <w:szCs w:val="18"/>
        </w:rPr>
        <w:t xml:space="preserve"> </w:t>
      </w:r>
      <w:r w:rsidRPr="00371E48">
        <w:rPr>
          <w:sz w:val="18"/>
          <w:szCs w:val="18"/>
        </w:rPr>
        <w:t>Minnesota.</w:t>
      </w:r>
    </w:p>
    <w:p w14:paraId="05882229" w14:textId="74989154" w:rsidR="00ED3F3C" w:rsidRDefault="00ED3F3C">
      <w:pPr>
        <w:pStyle w:val="Notedebasdepage"/>
      </w:pPr>
    </w:p>
  </w:footnote>
  <w:footnote w:id="16">
    <w:p w14:paraId="20C461BA" w14:textId="77777777" w:rsidR="00ED3F3C" w:rsidRPr="00E33B7D" w:rsidRDefault="00ED3F3C" w:rsidP="009021F1">
      <w:pPr>
        <w:pStyle w:val="Notedebasdepage"/>
        <w:rPr>
          <w:i/>
          <w:sz w:val="18"/>
          <w:szCs w:val="18"/>
          <w:lang w:val="es-ES"/>
        </w:rPr>
      </w:pPr>
      <w:r w:rsidRPr="00E33B7D">
        <w:rPr>
          <w:rStyle w:val="Appelnotedebasdep"/>
          <w:i/>
          <w:sz w:val="18"/>
          <w:szCs w:val="18"/>
        </w:rPr>
        <w:footnoteRef/>
      </w:r>
      <w:hyperlink r:id="rId3" w:history="1">
        <w:r w:rsidRPr="00E33B7D">
          <w:rPr>
            <w:rStyle w:val="Lienhypertexte"/>
            <w:i/>
            <w:sz w:val="18"/>
            <w:szCs w:val="18"/>
            <w:lang w:val="es-ES"/>
          </w:rPr>
          <w:t>http://pubdocs.worldbank.org/en/296041548955886585/Good-Practice-Note-Addressing-Gender-Based-Violence-french.pdf</w:t>
        </w:r>
      </w:hyperlink>
    </w:p>
    <w:p w14:paraId="28E5E9C0" w14:textId="77777777" w:rsidR="00ED3F3C" w:rsidRPr="0031447D" w:rsidRDefault="00ED3F3C" w:rsidP="009021F1">
      <w:pPr>
        <w:pStyle w:val="Notedebasdepage"/>
        <w:rPr>
          <w:lang w:val="es-ES"/>
        </w:rPr>
      </w:pPr>
    </w:p>
  </w:footnote>
  <w:footnote w:id="17">
    <w:p w14:paraId="174521AD" w14:textId="77777777" w:rsidR="00ED3F3C" w:rsidRPr="007A6C83" w:rsidRDefault="00ED3F3C" w:rsidP="009021F1">
      <w:pPr>
        <w:pStyle w:val="Notedebasdepage"/>
        <w:rPr>
          <w:lang w:val="es-ES"/>
        </w:rPr>
      </w:pPr>
      <w:r>
        <w:rPr>
          <w:rStyle w:val="Appelnotedebasdep"/>
        </w:rPr>
        <w:footnoteRef/>
      </w:r>
      <w:r w:rsidRPr="007A6C83">
        <w:rPr>
          <w:lang w:val="es-ES"/>
        </w:rPr>
        <w:t xml:space="preserve"> </w:t>
      </w:r>
      <w:r w:rsidRPr="007A6C83">
        <w:rPr>
          <w:rStyle w:val="Lienhypertexte"/>
          <w:i/>
          <w:lang w:val="es-ES"/>
        </w:rPr>
        <w:t>http://www.ifc.org/ifcext/sustainability.n</w:t>
      </w:r>
      <w:r w:rsidRPr="007C46F5">
        <w:rPr>
          <w:rStyle w:val="Lienhypertexte"/>
          <w:i/>
          <w:lang w:val="es-ES"/>
        </w:rPr>
        <w:t>sf/Content/EnvironmentalGuideli</w:t>
      </w:r>
      <w:r w:rsidRPr="007A6C83">
        <w:rPr>
          <w:rStyle w:val="Lienhypertexte"/>
          <w:i/>
          <w:lang w:val="es-ES"/>
        </w:rPr>
        <w:t>nes</w:t>
      </w:r>
    </w:p>
  </w:footnote>
  <w:footnote w:id="18">
    <w:p w14:paraId="5229A2CB" w14:textId="77777777" w:rsidR="00ED3F3C" w:rsidRDefault="00ED3F3C" w:rsidP="009021F1">
      <w:pPr>
        <w:pStyle w:val="Notedebasdepage"/>
      </w:pPr>
      <w:r>
        <w:rPr>
          <w:rStyle w:val="Appelnotedebasdep"/>
        </w:rPr>
        <w:footnoteRef/>
      </w:r>
      <w:r>
        <w:t xml:space="preserve"> </w:t>
      </w:r>
      <w:r w:rsidRPr="00F35790">
        <w:rPr>
          <w:rFonts w:cs="Arial"/>
          <w:sz w:val="19"/>
          <w:szCs w:val="19"/>
        </w:rPr>
        <w:t>Banque Mon</w:t>
      </w:r>
      <w:r w:rsidRPr="00A50F5F">
        <w:rPr>
          <w:rFonts w:cs="Arial"/>
          <w:sz w:val="19"/>
          <w:szCs w:val="19"/>
        </w:rPr>
        <w:t>diale, Extrait de principes de sauvegarde du patrimoine culturel physique-guide pratique</w:t>
      </w:r>
      <w:r w:rsidRPr="00F35790">
        <w:rPr>
          <w:rFonts w:cs="Arial"/>
          <w:sz w:val="19"/>
          <w:szCs w:val="19"/>
        </w:rPr>
        <w:t>, mars 2009</w:t>
      </w:r>
      <w:r>
        <w:rPr>
          <w:rFonts w:cs="Arial"/>
          <w:sz w:val="19"/>
          <w:szCs w:val="19"/>
        </w:rPr>
        <w:t>.</w:t>
      </w:r>
    </w:p>
  </w:footnote>
  <w:footnote w:id="19">
    <w:p w14:paraId="22572163" w14:textId="77777777" w:rsidR="00ED3F3C" w:rsidRPr="00730A4A" w:rsidRDefault="00ED3F3C" w:rsidP="009021F1">
      <w:pPr>
        <w:autoSpaceDE w:val="0"/>
        <w:autoSpaceDN w:val="0"/>
        <w:adjustRightInd w:val="0"/>
        <w:spacing w:line="240" w:lineRule="auto"/>
        <w:rPr>
          <w:rFonts w:ascii="Calibri" w:eastAsia="Calibri" w:hAnsi="Calibri" w:cs="Calibri"/>
          <w:color w:val="000000"/>
          <w:sz w:val="22"/>
          <w:lang w:val="fr" w:eastAsia="en-US"/>
        </w:rPr>
      </w:pPr>
      <w:r>
        <w:rPr>
          <w:rStyle w:val="Appelnotedebasdep"/>
        </w:rPr>
        <w:footnoteRef/>
      </w:r>
      <w:r w:rsidRPr="00730A4A">
        <w:rPr>
          <w:rFonts w:eastAsia="Calibri" w:cs="Arial"/>
          <w:color w:val="0563C2"/>
          <w:sz w:val="20"/>
          <w:szCs w:val="20"/>
          <w:lang w:val="fr" w:eastAsia="en-US"/>
        </w:rPr>
        <w:t>https://www.ifc.org/wps/wcm/connect/topics_ext_content/ifc_external_corporate_site/sustainability-at-ifc/policies-standards/ehs-guidelines</w:t>
      </w:r>
    </w:p>
    <w:p w14:paraId="03A88C10" w14:textId="77777777" w:rsidR="00ED3F3C" w:rsidRDefault="00ED3F3C" w:rsidP="009021F1">
      <w:pPr>
        <w:pStyle w:val="Notedebasdepage"/>
      </w:pPr>
    </w:p>
  </w:footnote>
  <w:footnote w:id="20">
    <w:p w14:paraId="74120505" w14:textId="77777777" w:rsidR="00ED3F3C" w:rsidRPr="00972705" w:rsidRDefault="00ED3F3C" w:rsidP="009021F1">
      <w:pPr>
        <w:pStyle w:val="Notedebasdepage"/>
      </w:pPr>
      <w:r>
        <w:rPr>
          <w:rStyle w:val="Appelnotedebasdep"/>
        </w:rPr>
        <w:footnoteRef/>
      </w:r>
      <w:r>
        <w:t xml:space="preserve"> </w:t>
      </w:r>
      <w:r w:rsidRPr="00972705">
        <w:rPr>
          <w:i/>
          <w:sz w:val="16"/>
          <w:szCs w:val="16"/>
        </w:rPr>
        <w:t>Banque mondiale, octobre 2008 : Note de bonnes pratiques – Évaluation et gestion des risques et effets du recours à du personnel de sécurité</w:t>
      </w:r>
    </w:p>
  </w:footnote>
  <w:footnote w:id="21">
    <w:p w14:paraId="72578E65" w14:textId="77777777" w:rsidR="00ED3F3C" w:rsidRPr="00730A4A" w:rsidRDefault="00ED3F3C" w:rsidP="009021F1">
      <w:pPr>
        <w:autoSpaceDE w:val="0"/>
        <w:autoSpaceDN w:val="0"/>
        <w:adjustRightInd w:val="0"/>
        <w:spacing w:line="240" w:lineRule="auto"/>
        <w:rPr>
          <w:rFonts w:eastAsia="Calibri" w:cs="Arial"/>
          <w:color w:val="0563C2"/>
          <w:sz w:val="18"/>
          <w:szCs w:val="18"/>
          <w:lang w:eastAsia="en-US"/>
        </w:rPr>
      </w:pPr>
      <w:r w:rsidRPr="00FF4CBB">
        <w:rPr>
          <w:rStyle w:val="Appelnotedebasdep"/>
          <w:rFonts w:cs="Arial"/>
          <w:sz w:val="18"/>
          <w:szCs w:val="18"/>
        </w:rPr>
        <w:footnoteRef/>
      </w:r>
      <w:r w:rsidRPr="00730A4A">
        <w:rPr>
          <w:rFonts w:eastAsia="Calibri" w:cs="Arial"/>
          <w:color w:val="0563C2"/>
          <w:sz w:val="18"/>
          <w:szCs w:val="18"/>
          <w:lang w:val="fr" w:eastAsia="en-US"/>
        </w:rPr>
        <w:t>https://worldbankgroup.sharepoint.com/sites/wbunits/opcs/Knowledge%20Base/Public%20Consultations%20in%20WB%20Operations.pdf</w:t>
      </w:r>
    </w:p>
    <w:p w14:paraId="23FEA304" w14:textId="77777777" w:rsidR="00ED3F3C" w:rsidRDefault="00ED3F3C" w:rsidP="009021F1">
      <w:pPr>
        <w:pStyle w:val="Notedebasdepage"/>
      </w:pPr>
    </w:p>
  </w:footnote>
  <w:footnote w:id="22">
    <w:p w14:paraId="7AC0A0B3" w14:textId="77777777" w:rsidR="00ED3F3C" w:rsidRDefault="00ED3F3C" w:rsidP="009021F1">
      <w:pPr>
        <w:pStyle w:val="Notedebasdepage"/>
      </w:pPr>
      <w:r>
        <w:rPr>
          <w:rStyle w:val="Appelnotedebasdep"/>
        </w:rPr>
        <w:footnoteRef/>
      </w:r>
      <w:r>
        <w:t xml:space="preserve"> L</w:t>
      </w:r>
      <w:r w:rsidRPr="00DB17F9">
        <w:t>e score attribué</w:t>
      </w:r>
      <w:r>
        <w:t xml:space="preserve"> est sélectionné en rouge</w:t>
      </w:r>
    </w:p>
  </w:footnote>
  <w:footnote w:id="23">
    <w:p w14:paraId="4AE1E179" w14:textId="77777777" w:rsidR="00ED3F3C" w:rsidRDefault="00ED3F3C" w:rsidP="009021F1">
      <w:pPr>
        <w:pStyle w:val="Notedebasdepage"/>
      </w:pPr>
      <w:r>
        <w:rPr>
          <w:rStyle w:val="Appelnotedebasdep"/>
        </w:rPr>
        <w:footnoteRef/>
      </w:r>
      <w:r>
        <w:t xml:space="preserve"> </w:t>
      </w:r>
      <w:r w:rsidRPr="00DB17F9">
        <w:t>Le score attribué est sélectionné en rouge</w:t>
      </w:r>
    </w:p>
  </w:footnote>
  <w:footnote w:id="24">
    <w:p w14:paraId="5693AEE8" w14:textId="77777777" w:rsidR="00ED3F3C" w:rsidRDefault="00ED3F3C" w:rsidP="009021F1">
      <w:pPr>
        <w:pStyle w:val="Notedebasdepage"/>
      </w:pPr>
      <w:r>
        <w:rPr>
          <w:rStyle w:val="Appelnotedebasdep"/>
        </w:rPr>
        <w:footnoteRef/>
      </w:r>
      <w:r>
        <w:t xml:space="preserve"> </w:t>
      </w:r>
      <w:r w:rsidRPr="00F8082C">
        <w:t>Le résultat correspond à la somme des scores obtenus pendant la Phase des travaux et la Phase d’exploitation</w:t>
      </w:r>
    </w:p>
  </w:footnote>
  <w:footnote w:id="25">
    <w:p w14:paraId="7AA9CCD9" w14:textId="77777777" w:rsidR="00ED3F3C" w:rsidRDefault="00ED3F3C" w:rsidP="009021F1">
      <w:pPr>
        <w:pStyle w:val="Notedebasdepage"/>
      </w:pPr>
      <w:r>
        <w:rPr>
          <w:rStyle w:val="Appelnotedebasdep"/>
        </w:rPr>
        <w:footnoteRef/>
      </w:r>
      <w:r>
        <w:t xml:space="preserve"> Le commentaire permet de justifier le score attribué « </w:t>
      </w:r>
      <w:r w:rsidRPr="00DB17F9">
        <w:t>Oui (majeur) = 2</w:t>
      </w:r>
      <w:r>
        <w:t> », « </w:t>
      </w:r>
      <w:r w:rsidRPr="00DB17F9">
        <w:t>Oui (mineur) = 1</w:t>
      </w:r>
      <w:r>
        <w:t> » ou «</w:t>
      </w:r>
      <w:r w:rsidRPr="00DB17F9">
        <w:t>Non = 0</w:t>
      </w:r>
      <w:r>
        <w:t> » </w:t>
      </w:r>
    </w:p>
  </w:footnote>
  <w:footnote w:id="26">
    <w:p w14:paraId="5F24A77A" w14:textId="77777777" w:rsidR="00ED3F3C" w:rsidRDefault="00ED3F3C" w:rsidP="009021F1">
      <w:pPr>
        <w:pStyle w:val="Notedebasdepage"/>
      </w:pPr>
      <w:r>
        <w:rPr>
          <w:rStyle w:val="Appelnotedebasdep"/>
        </w:rPr>
        <w:footnoteRef/>
      </w:r>
      <w:r>
        <w:t xml:space="preserve"> </w:t>
      </w:r>
      <w:r w:rsidRPr="00F35790">
        <w:rPr>
          <w:rFonts w:cs="Arial"/>
          <w:sz w:val="19"/>
          <w:szCs w:val="19"/>
        </w:rPr>
        <w:t>Banque Mon</w:t>
      </w:r>
      <w:r w:rsidRPr="00A50F5F">
        <w:rPr>
          <w:rFonts w:cs="Arial"/>
          <w:sz w:val="19"/>
          <w:szCs w:val="19"/>
        </w:rPr>
        <w:t>diale, Extrait de principes de sauvegarde du patrimoine culturel physique-guide pratique</w:t>
      </w:r>
      <w:r w:rsidRPr="00F35790">
        <w:rPr>
          <w:rFonts w:cs="Arial"/>
          <w:sz w:val="19"/>
          <w:szCs w:val="19"/>
        </w:rPr>
        <w:t>, mars 2009,</w:t>
      </w:r>
    </w:p>
  </w:footnote>
  <w:footnote w:id="27">
    <w:p w14:paraId="1C39DCE6" w14:textId="77777777" w:rsidR="00ED3F3C" w:rsidRDefault="00ED3F3C" w:rsidP="009021F1">
      <w:pPr>
        <w:pStyle w:val="Notedebasdepage"/>
        <w:jc w:val="left"/>
      </w:pPr>
      <w:r>
        <w:rPr>
          <w:rStyle w:val="Appelnotedebasdep"/>
        </w:rPr>
        <w:footnoteRef/>
      </w:r>
      <w:r>
        <w:t xml:space="preserve"> La structure et le contenu des EIES sont fondés sur les exigences détaillées dans la Section B., paragraphes 23-35 de la Norme Environnementale et Sociale de la Banque mondiale relative à l’Évaluation et la gestion des risques et effets environnementaux et sociaux (NES1), ainsi que dans les annexes D. et E. de la NES1. Voir :</w:t>
      </w:r>
      <w:r>
        <w:br/>
      </w:r>
      <w:hyperlink r:id="rId4" w:anchor="page=29&amp;zoom=80" w:history="1">
        <w:r w:rsidRPr="008E7D14">
          <w:rPr>
            <w:rStyle w:val="Lienhypertexte"/>
          </w:rPr>
          <w:t>http://pubdocs.worldbank.org/en/936531525368193913/Environmental-Social-Framework-French2.pdf#page=29&amp;zoom=80</w:t>
        </w:r>
      </w:hyperlink>
    </w:p>
    <w:p w14:paraId="72DC1468" w14:textId="77777777" w:rsidR="00ED3F3C" w:rsidRDefault="00ED3F3C" w:rsidP="009021F1">
      <w:pPr>
        <w:pStyle w:val="Notedebasdepage"/>
        <w:jc w:val="left"/>
      </w:pPr>
      <w:r>
        <w:tab/>
        <w:t>Prière noter que les TdRs utilisent le terme « impact » plutôt qu’« effet », afin de faciliter la correspondance avec la réglementation nationale.</w:t>
      </w:r>
    </w:p>
  </w:footnote>
  <w:footnote w:id="28">
    <w:p w14:paraId="0007C41C" w14:textId="77777777" w:rsidR="00ED3F3C" w:rsidRPr="00CF03F3" w:rsidRDefault="00ED3F3C" w:rsidP="009021F1">
      <w:pPr>
        <w:pStyle w:val="Notedebasdepage"/>
      </w:pPr>
      <w:r>
        <w:rPr>
          <w:rStyle w:val="Appelnotedebasdep"/>
        </w:rPr>
        <w:footnoteRef/>
      </w:r>
      <w:r>
        <w:t xml:space="preserve"> </w:t>
      </w:r>
      <w:r w:rsidRPr="00CF03F3">
        <w:t>Les installations associées sont des installations ou des activités qui ne sont pas financées dans le cadre du projet, mais qui, selon la Banque, sont : a) associées directement et étroitement au projet ; b) réalisées ou censées l’être en même temps que le projet ; et c) nécessaires pour la viabilité du projet et n’auraient pas été construites, agrandies ou réalisées si le projet n’avait pas existé.</w:t>
      </w:r>
    </w:p>
  </w:footnote>
  <w:footnote w:id="29">
    <w:p w14:paraId="44FB100F" w14:textId="77777777" w:rsidR="00ED3F3C" w:rsidRDefault="00ED3F3C" w:rsidP="009021F1">
      <w:pPr>
        <w:pStyle w:val="Notedebasdepage"/>
        <w:keepNext/>
      </w:pPr>
      <w:r>
        <w:rPr>
          <w:rStyle w:val="Appelnotedebasdep"/>
        </w:rPr>
        <w:footnoteRef/>
      </w:r>
      <w:r>
        <w:t xml:space="preserve">  ESS 9 sur les Intermédiaires financiers n’est pas pertinente au sousprojet.  Les 9 autres normes sont pertinentes :</w:t>
      </w:r>
    </w:p>
    <w:p w14:paraId="6EA3D787" w14:textId="77777777" w:rsidR="00ED3F3C" w:rsidRDefault="00ED3F3C" w:rsidP="009021F1">
      <w:pPr>
        <w:pStyle w:val="Notedebasdepage"/>
        <w:keepNext/>
        <w:tabs>
          <w:tab w:val="left" w:pos="964"/>
          <w:tab w:val="left" w:pos="1134"/>
        </w:tabs>
        <w:ind w:left="1135" w:hanging="851"/>
      </w:pPr>
      <w:r>
        <w:t>NES 1</w:t>
      </w:r>
      <w:r>
        <w:tab/>
      </w:r>
      <w:r>
        <w:tab/>
        <w:t>Évaluation et gestion des risques et effets environnementaux et sociaux</w:t>
      </w:r>
    </w:p>
    <w:p w14:paraId="1E9059D8" w14:textId="77777777" w:rsidR="00ED3F3C" w:rsidRDefault="00ED3F3C" w:rsidP="009021F1">
      <w:pPr>
        <w:pStyle w:val="Notedebasdepage"/>
        <w:keepNext/>
        <w:tabs>
          <w:tab w:val="left" w:pos="964"/>
        </w:tabs>
        <w:ind w:left="1135" w:hanging="851"/>
      </w:pPr>
      <w:r>
        <w:t>NES 2</w:t>
      </w:r>
      <w:r>
        <w:tab/>
      </w:r>
      <w:r>
        <w:tab/>
        <w:t>Emploi et conditions de travail</w:t>
      </w:r>
    </w:p>
    <w:p w14:paraId="22D37A6E" w14:textId="77777777" w:rsidR="00ED3F3C" w:rsidRDefault="00ED3F3C" w:rsidP="009021F1">
      <w:pPr>
        <w:pStyle w:val="Notedebasdepage"/>
        <w:keepNext/>
        <w:tabs>
          <w:tab w:val="left" w:pos="964"/>
        </w:tabs>
        <w:ind w:left="1135" w:hanging="851"/>
      </w:pPr>
      <w:r>
        <w:t>NES 3</w:t>
      </w:r>
      <w:r>
        <w:tab/>
      </w:r>
      <w:r>
        <w:tab/>
        <w:t>Utilisation rationnelle des ressources et prévention et gestion de la pollution</w:t>
      </w:r>
    </w:p>
    <w:p w14:paraId="260C81F7" w14:textId="77777777" w:rsidR="00ED3F3C" w:rsidRDefault="00ED3F3C" w:rsidP="009021F1">
      <w:pPr>
        <w:pStyle w:val="Notedebasdepage"/>
        <w:keepNext/>
        <w:tabs>
          <w:tab w:val="left" w:pos="964"/>
        </w:tabs>
        <w:ind w:left="1135" w:hanging="851"/>
      </w:pPr>
      <w:r>
        <w:t>NES 4</w:t>
      </w:r>
      <w:r>
        <w:tab/>
      </w:r>
      <w:r>
        <w:tab/>
        <w:t>Santé et sécurité des populations</w:t>
      </w:r>
    </w:p>
    <w:p w14:paraId="48E29674" w14:textId="77777777" w:rsidR="00ED3F3C" w:rsidRDefault="00ED3F3C" w:rsidP="009021F1">
      <w:pPr>
        <w:pStyle w:val="Notedebasdepage"/>
        <w:keepNext/>
        <w:tabs>
          <w:tab w:val="left" w:pos="964"/>
        </w:tabs>
        <w:ind w:left="1135" w:hanging="851"/>
      </w:pPr>
      <w:r>
        <w:t>NES 5</w:t>
      </w:r>
      <w:r>
        <w:tab/>
      </w:r>
      <w:r>
        <w:tab/>
        <w:t>Acquisition des terres, restrictions à l’utilisation des terres et réinstallation involontaire</w:t>
      </w:r>
    </w:p>
    <w:p w14:paraId="37B2C30C" w14:textId="77777777" w:rsidR="00ED3F3C" w:rsidRDefault="00ED3F3C" w:rsidP="009021F1">
      <w:pPr>
        <w:pStyle w:val="Notedebasdepage"/>
        <w:keepNext/>
        <w:tabs>
          <w:tab w:val="left" w:pos="964"/>
        </w:tabs>
        <w:ind w:left="1135" w:hanging="851"/>
      </w:pPr>
      <w:r>
        <w:t>NES 6</w:t>
      </w:r>
      <w:r>
        <w:tab/>
      </w:r>
      <w:r>
        <w:tab/>
        <w:t>Conservation de la biodiversité et gestion durable des ressources naturelles biologiques</w:t>
      </w:r>
    </w:p>
    <w:p w14:paraId="5FF17435" w14:textId="77777777" w:rsidR="00ED3F3C" w:rsidRDefault="00ED3F3C" w:rsidP="009021F1">
      <w:pPr>
        <w:pStyle w:val="Notedebasdepage"/>
        <w:keepNext/>
        <w:tabs>
          <w:tab w:val="left" w:pos="964"/>
        </w:tabs>
        <w:ind w:left="1135" w:hanging="851"/>
      </w:pPr>
      <w:r>
        <w:t>NES 7</w:t>
      </w:r>
      <w:r>
        <w:tab/>
      </w:r>
      <w:r>
        <w:tab/>
        <w:t>Peuples autochtones/communautés locales traditionnelles d’Afrique subsaharienne historiquement défavorisées</w:t>
      </w:r>
    </w:p>
    <w:p w14:paraId="4D03EEB8" w14:textId="77777777" w:rsidR="00ED3F3C" w:rsidRDefault="00ED3F3C" w:rsidP="009021F1">
      <w:pPr>
        <w:pStyle w:val="Notedebasdepage"/>
        <w:keepNext/>
        <w:tabs>
          <w:tab w:val="left" w:pos="964"/>
        </w:tabs>
        <w:ind w:left="1135" w:hanging="851"/>
      </w:pPr>
      <w:r>
        <w:t>NES 8</w:t>
      </w:r>
      <w:r>
        <w:tab/>
      </w:r>
      <w:r>
        <w:tab/>
        <w:t>Patrimoine Culturel</w:t>
      </w:r>
    </w:p>
    <w:p w14:paraId="2AE9DE0A" w14:textId="77777777" w:rsidR="00ED3F3C" w:rsidRPr="00DF1268" w:rsidRDefault="00ED3F3C" w:rsidP="009021F1">
      <w:pPr>
        <w:pStyle w:val="Notedebasdepage"/>
        <w:keepNext/>
        <w:tabs>
          <w:tab w:val="left" w:pos="964"/>
        </w:tabs>
        <w:ind w:left="1135" w:hanging="851"/>
      </w:pPr>
      <w:r w:rsidRPr="00DF1268">
        <w:t>NES 10</w:t>
      </w:r>
      <w:r>
        <w:tab/>
      </w:r>
      <w:r>
        <w:tab/>
        <w:t xml:space="preserve">Mobilisation des parties prenantes et </w:t>
      </w:r>
      <w:r w:rsidRPr="00DF1268">
        <w:t>information</w:t>
      </w:r>
    </w:p>
  </w:footnote>
  <w:footnote w:id="30">
    <w:p w14:paraId="68F7ED43" w14:textId="77777777" w:rsidR="00ED3F3C" w:rsidRPr="0018702B" w:rsidRDefault="00ED3F3C" w:rsidP="009021F1">
      <w:pPr>
        <w:pStyle w:val="Notedebasdepage"/>
        <w:jc w:val="left"/>
        <w:rPr>
          <w:i/>
        </w:rPr>
      </w:pPr>
      <w:r w:rsidRPr="0018702B">
        <w:rPr>
          <w:rStyle w:val="Appelnotedebasdep"/>
          <w:i/>
        </w:rPr>
        <w:footnoteRef/>
      </w:r>
      <w:r w:rsidRPr="0018702B">
        <w:rPr>
          <w:i/>
        </w:rPr>
        <w:t xml:space="preserve"> </w:t>
      </w:r>
      <w:hyperlink r:id="rId5" w:history="1">
        <w:r w:rsidRPr="0018702B">
          <w:rPr>
            <w:rStyle w:val="Lienhypertexte"/>
            <w:i/>
          </w:rPr>
          <w:t>https://www.ifc.org/wps/wcm/connect/d4260b19-30f2-466d-9c7e-86ac0ece7e89/010_General%2BGuidelines.pdf?MOD=AJPERES&amp;CVID=jkD2Am7&amp;ContentCache=NONE&amp;CACHE=NONE</w:t>
        </w:r>
      </w:hyperlink>
    </w:p>
  </w:footnote>
  <w:footnote w:id="31">
    <w:p w14:paraId="0A56160F" w14:textId="77777777" w:rsidR="00ED3F3C" w:rsidRPr="00DC0A7B" w:rsidRDefault="00ED3F3C" w:rsidP="009021F1">
      <w:pPr>
        <w:jc w:val="left"/>
        <w:rPr>
          <w:sz w:val="18"/>
          <w:szCs w:val="18"/>
        </w:rPr>
      </w:pPr>
      <w:r w:rsidRPr="0018702B">
        <w:rPr>
          <w:rStyle w:val="Appelnotedebasdep"/>
          <w:i/>
        </w:rPr>
        <w:footnoteRef/>
      </w:r>
      <w:r w:rsidRPr="0018702B">
        <w:rPr>
          <w:i/>
        </w:rPr>
        <w:t xml:space="preserve"> </w:t>
      </w:r>
      <w:r w:rsidRPr="0018702B">
        <w:rPr>
          <w:i/>
          <w:sz w:val="18"/>
          <w:szCs w:val="18"/>
        </w:rPr>
        <w:t>Les sources éventuelles de ces informations incluent les données des Enquêtes démographiques et de santé des Objectifs de développement durable sur l’égalité entre les sexes.</w:t>
      </w:r>
      <w:r w:rsidRPr="00DC0A7B">
        <w:rPr>
          <w:sz w:val="18"/>
          <w:szCs w:val="18"/>
        </w:rPr>
        <w:t xml:space="preserve"> </w:t>
      </w:r>
    </w:p>
  </w:footnote>
  <w:footnote w:id="32">
    <w:p w14:paraId="2398F473" w14:textId="77777777" w:rsidR="00ED3F3C" w:rsidRPr="0018702B" w:rsidRDefault="00ED3F3C" w:rsidP="009021F1">
      <w:pPr>
        <w:rPr>
          <w:i/>
        </w:rPr>
      </w:pPr>
      <w:r w:rsidRPr="000636F2">
        <w:rPr>
          <w:rStyle w:val="Appelnotedebasdep"/>
        </w:rPr>
        <w:footnoteRef/>
      </w:r>
      <w:r w:rsidRPr="00DC0A7B">
        <w:t xml:space="preserve"> </w:t>
      </w:r>
      <w:r w:rsidRPr="0018702B">
        <w:rPr>
          <w:i/>
          <w:sz w:val="18"/>
          <w:szCs w:val="18"/>
        </w:rPr>
        <w:t>Les services en matière de VBG doivent être alignés sur les normes définies selon les principes et les pratiques modèles nationales et internationales, notamment les Principes de l’OMS pour la gestion clinique des victimes de viol et l’Outil d’évaluation de l’assurance de la qualité en matière de VBG, les principes de l’UNICEF/IRC relatifs aux soins cliniques aux enfants survivants d’agressions sexuelles, les principes inter-institutions pour la gestion des cas de VBG et les Normes minimales du FNUAP pour la prévention et la réponse à la VBG.</w:t>
      </w:r>
      <w:r w:rsidRPr="0018702B">
        <w:rPr>
          <w:i/>
        </w:rPr>
        <w:t xml:space="preserve"> </w:t>
      </w:r>
    </w:p>
  </w:footnote>
  <w:footnote w:id="33">
    <w:p w14:paraId="3DE69FB1" w14:textId="77777777" w:rsidR="00ED3F3C" w:rsidRDefault="00ED3F3C" w:rsidP="009021F1">
      <w:pPr>
        <w:pStyle w:val="Notedebasdepage"/>
      </w:pPr>
      <w:r w:rsidRPr="0018702B">
        <w:rPr>
          <w:rStyle w:val="Appelnotedebasdep"/>
          <w:i/>
        </w:rPr>
        <w:footnoteRef/>
      </w:r>
      <w:r w:rsidRPr="0018702B">
        <w:rPr>
          <w:i/>
        </w:rPr>
        <w:t xml:space="preserve"> L’expression « défavorisé » ou « vulnérable » désigne des individus ou des groupes qui risquent davantage de souffrir des effets du projet et/ou sont plus limités que d’autres dans leur capacité à profiter des avantages d’un projet. Ces individus ou ces groupes sont aussi plus susceptibles d’être exclus du processus général de consultation ou de ne pouvoir y participer pleinement, et peuvent de ce fait avoir</w:t>
      </w:r>
      <w:r w:rsidRPr="00551761">
        <w:t xml:space="preserve"> besoin de mesures et/ou d’une assistance particulière. À cet égard, il faudra tenir compte de considérations liées à l’âge, notamment des personnes âgées et des mineurs, y compris dans les cas où ceux-ci peuvent être séparés de leur famille, de leur communauté ou d’autres individus dont ils dépendent.</w:t>
      </w:r>
    </w:p>
  </w:footnote>
  <w:footnote w:id="34">
    <w:p w14:paraId="538920D1" w14:textId="77777777" w:rsidR="00ED3F3C" w:rsidRDefault="00ED3F3C" w:rsidP="009021F1">
      <w:pPr>
        <w:pStyle w:val="Notedebasdepage"/>
      </w:pPr>
      <w:r>
        <w:rPr>
          <w:rStyle w:val="Appelnotedebasdep"/>
        </w:rPr>
        <w:footnoteRef/>
      </w:r>
      <w:r>
        <w:t xml:space="preserve"> </w:t>
      </w:r>
      <w:r w:rsidRPr="008C47DA">
        <w:t>Les services écosystémiques sont les bénéfices que les populations retirent des écosystèmes. Il en existe quatre catégories : i) les services d’approvisionnement, qui désignent les produits que les populations tirent des écosystèmes et qui peuvent inclure les aliments, l’eau douce, le bois d’œuvre, les fibres et les plantes médicinales ; ii) les services de régulation, qui désignent les avantages que les populations tirent de la régulation par les écosystèmes de processus naturels qui peuvent inclure la purification des eaux de surface, le stockage et la fixation du carbone, la régulation du climat et la protection contre les risques naturels ; iii) les services culturels, qui désignent les avantages immatériels que les populations peuvent tirer des écosystèmes et qui peuvent inclure des aires naturelles considérées comme des sites sacrés et des zones importantes pour les activités récréatives et le plaisir esthétique ; et iv) les services de soutien, qui désignent les processus naturels qui maintiennent les autres services et qui peuvent inclure la formation des sols, le cycle des nutriments et la production primaire.</w:t>
      </w:r>
    </w:p>
  </w:footnote>
  <w:footnote w:id="35">
    <w:p w14:paraId="4EBCD1C2" w14:textId="77777777" w:rsidR="00ED3F3C" w:rsidRDefault="00ED3F3C" w:rsidP="009021F1">
      <w:pPr>
        <w:pStyle w:val="Notedebasdepage"/>
      </w:pPr>
      <w:r>
        <w:rPr>
          <w:rStyle w:val="Appelnotedebasdep"/>
        </w:rPr>
        <w:footnoteRef/>
      </w:r>
      <w:r>
        <w:t xml:space="preserve"> Le principe de la hiérarchie d’atténuation consiste à :</w:t>
      </w:r>
    </w:p>
    <w:p w14:paraId="3CC7E588" w14:textId="77777777" w:rsidR="00ED3F3C" w:rsidRDefault="00ED3F3C" w:rsidP="009021F1">
      <w:pPr>
        <w:pStyle w:val="Notedebasdepage"/>
        <w:ind w:left="397" w:hanging="227"/>
      </w:pPr>
      <w:r>
        <w:t>a) anticiper et éviter les risques et les impacts ;</w:t>
      </w:r>
    </w:p>
    <w:p w14:paraId="5BBD5504" w14:textId="77777777" w:rsidR="00ED3F3C" w:rsidRDefault="00ED3F3C" w:rsidP="009021F1">
      <w:pPr>
        <w:pStyle w:val="Notedebasdepage"/>
        <w:ind w:left="397" w:hanging="227"/>
      </w:pPr>
      <w:r>
        <w:t>b) lorsqu’il n’est pas possible de les éviter, minimiser ou réduire les risques et les impacts à des niveaux acceptables ;</w:t>
      </w:r>
    </w:p>
    <w:p w14:paraId="097366A7" w14:textId="77777777" w:rsidR="00ED3F3C" w:rsidRDefault="00ED3F3C" w:rsidP="009021F1">
      <w:pPr>
        <w:pStyle w:val="Notedebasdepage"/>
        <w:ind w:left="397" w:hanging="227"/>
      </w:pPr>
      <w:r>
        <w:t>c) une fois que les risques et les impacts ont été minimisés ou réduits, les atténuer ; et</w:t>
      </w:r>
    </w:p>
    <w:p w14:paraId="2B35D33C" w14:textId="77777777" w:rsidR="00ED3F3C" w:rsidRDefault="00ED3F3C" w:rsidP="009021F1">
      <w:pPr>
        <w:pStyle w:val="Notedebasdepage"/>
        <w:ind w:left="397" w:hanging="227"/>
      </w:pPr>
      <w:r>
        <w:t>d) lorsque les impacts résiduels sont importants, les compenser ou les neutraliser si cela est techniquement et financièrement possible.</w:t>
      </w:r>
    </w:p>
  </w:footnote>
  <w:footnote w:id="36">
    <w:p w14:paraId="4AF571F9" w14:textId="77777777" w:rsidR="00ED3F3C" w:rsidRDefault="00ED3F3C" w:rsidP="009021F1"/>
    <w:p w14:paraId="45223ABE" w14:textId="77777777" w:rsidR="00ED3F3C" w:rsidRPr="00BB63C5" w:rsidRDefault="00ED3F3C" w:rsidP="009021F1">
      <w:pPr>
        <w:pStyle w:val="Notedebasdepage"/>
        <w:rPr>
          <w:rFonts w:cs="Calibri"/>
        </w:rPr>
      </w:pPr>
    </w:p>
  </w:footnote>
  <w:footnote w:id="37">
    <w:p w14:paraId="4D346A55" w14:textId="77777777" w:rsidR="00ED3F3C" w:rsidRDefault="00ED3F3C" w:rsidP="009021F1"/>
    <w:p w14:paraId="6EE01A83" w14:textId="77777777" w:rsidR="00ED3F3C" w:rsidRPr="00190456" w:rsidRDefault="00ED3F3C" w:rsidP="009021F1">
      <w:pPr>
        <w:pStyle w:val="Notedebasdepage"/>
        <w:rPr>
          <w:rFonts w:cs="Calibri"/>
        </w:rPr>
      </w:pPr>
    </w:p>
  </w:footnote>
  <w:footnote w:id="38">
    <w:p w14:paraId="2666196A" w14:textId="77777777" w:rsidR="00ED3F3C" w:rsidRDefault="00ED3F3C" w:rsidP="009021F1"/>
    <w:p w14:paraId="35E9BADF" w14:textId="77777777" w:rsidR="00ED3F3C" w:rsidRPr="00DB69B4" w:rsidRDefault="00ED3F3C" w:rsidP="009021F1">
      <w:pPr>
        <w:pStyle w:val="Notedebasdepage"/>
        <w:rPr>
          <w:rFonts w:cs="Calibri"/>
        </w:rPr>
      </w:pPr>
    </w:p>
  </w:footnote>
  <w:footnote w:id="39">
    <w:p w14:paraId="62B2BBCD" w14:textId="77777777" w:rsidR="00ED3F3C" w:rsidRDefault="00ED3F3C" w:rsidP="009021F1"/>
    <w:p w14:paraId="7DDB898D" w14:textId="77777777" w:rsidR="00ED3F3C" w:rsidRPr="00F04997" w:rsidRDefault="00ED3F3C" w:rsidP="009021F1">
      <w:pPr>
        <w:pStyle w:val="Notedebasdepage"/>
      </w:pPr>
    </w:p>
  </w:footnote>
  <w:footnote w:id="40">
    <w:p w14:paraId="6A38DD82" w14:textId="77777777" w:rsidR="00ED3F3C" w:rsidRDefault="00ED3F3C" w:rsidP="009021F1"/>
    <w:p w14:paraId="2296A4A9" w14:textId="77777777" w:rsidR="00ED3F3C" w:rsidRPr="001760AB" w:rsidRDefault="00ED3F3C" w:rsidP="009021F1">
      <w:pPr>
        <w:pStyle w:val="Notedebasdepage"/>
        <w:rPr>
          <w:rFonts w:cs="Calibri"/>
        </w:rPr>
      </w:pPr>
    </w:p>
  </w:footnote>
  <w:footnote w:id="41">
    <w:p w14:paraId="0837B878" w14:textId="77777777" w:rsidR="00ED3F3C" w:rsidRDefault="00ED3F3C" w:rsidP="009021F1"/>
    <w:p w14:paraId="5CAC9B99" w14:textId="77777777" w:rsidR="00ED3F3C" w:rsidRPr="003A1E4A" w:rsidRDefault="00ED3F3C" w:rsidP="009021F1">
      <w:pPr>
        <w:pStyle w:val="Notedebasdepage"/>
        <w:rPr>
          <w:rFonts w:cs="Calibri"/>
        </w:rPr>
      </w:pPr>
    </w:p>
  </w:footnote>
  <w:footnote w:id="42">
    <w:p w14:paraId="64DA2BC6" w14:textId="77777777" w:rsidR="00ED3F3C" w:rsidRDefault="00ED3F3C" w:rsidP="009021F1"/>
    <w:p w14:paraId="20CE3A0D" w14:textId="77777777" w:rsidR="00ED3F3C" w:rsidRPr="00D571FB" w:rsidRDefault="00ED3F3C" w:rsidP="009021F1">
      <w:pPr>
        <w:pStyle w:val="Notedebasdepage"/>
        <w:rPr>
          <w:rFonts w:cs="Calibri"/>
        </w:rPr>
      </w:pPr>
    </w:p>
  </w:footnote>
  <w:footnote w:id="43">
    <w:p w14:paraId="2295C683" w14:textId="77777777" w:rsidR="00ED3F3C" w:rsidRPr="007E3D1A" w:rsidRDefault="00ED3F3C" w:rsidP="009021F1">
      <w:r w:rsidRPr="007E3D1A">
        <w:footnoteRef/>
      </w:r>
      <w:r w:rsidRPr="007E3D1A">
        <w:t xml:space="preserve"> Le score attribué est sélectionné en rouge</w:t>
      </w:r>
    </w:p>
  </w:footnote>
  <w:footnote w:id="44">
    <w:p w14:paraId="66ED557F" w14:textId="77777777" w:rsidR="00ED3F3C" w:rsidRPr="007E3D1A" w:rsidRDefault="00ED3F3C" w:rsidP="009021F1">
      <w:r w:rsidRPr="007E3D1A">
        <w:footnoteRef/>
      </w:r>
      <w:r w:rsidRPr="007E3D1A">
        <w:t xml:space="preserve"> Le score attribué est sélectionné en rouge</w:t>
      </w:r>
    </w:p>
  </w:footnote>
  <w:footnote w:id="45">
    <w:p w14:paraId="39F5D509" w14:textId="77777777" w:rsidR="00ED3F3C" w:rsidRPr="007E3D1A" w:rsidRDefault="00ED3F3C" w:rsidP="009021F1">
      <w:r w:rsidRPr="007E3D1A">
        <w:footnoteRef/>
      </w:r>
      <w:r w:rsidRPr="007E3D1A">
        <w:t xml:space="preserve"> Le résultat correspond à la somme des scores obtenus pendant la Phase des travaux et la Phase d’exploitation</w:t>
      </w:r>
    </w:p>
  </w:footnote>
  <w:footnote w:id="46">
    <w:p w14:paraId="26FA8354" w14:textId="77777777" w:rsidR="00ED3F3C" w:rsidRPr="007E3D1A" w:rsidRDefault="00ED3F3C" w:rsidP="009021F1">
      <w:r w:rsidRPr="007E3D1A">
        <w:footnoteRef/>
      </w:r>
      <w:r w:rsidRPr="007E3D1A">
        <w:t xml:space="preserve"> Le commentaire permet de justifier le score attribué « Oui (majeur) = 2 », « Oui (mineur) = 1 » ou «Non = 0 » </w:t>
      </w:r>
    </w:p>
  </w:footnote>
  <w:footnote w:id="47">
    <w:p w14:paraId="738CE4CF" w14:textId="77777777" w:rsidR="00ED3F3C" w:rsidRPr="007E3D1A" w:rsidRDefault="00ED3F3C" w:rsidP="009021F1">
      <w:r w:rsidRPr="007E3D1A">
        <w:footnoteRef/>
      </w:r>
      <w:r w:rsidRPr="007E3D1A">
        <w:t xml:space="preserve"> Banque Mondiale, Extrait de principes de sauvegarde du patrimoine culturel physique-guide pratique, mars 2009,</w:t>
      </w:r>
    </w:p>
  </w:footnote>
  <w:footnote w:id="48">
    <w:p w14:paraId="7F32DB59" w14:textId="77777777" w:rsidR="00ED3F3C" w:rsidRPr="007E3D1A" w:rsidRDefault="00ED3F3C" w:rsidP="009021F1">
      <w:r w:rsidRPr="007E3D1A">
        <w:footnoteRef/>
      </w:r>
      <w:r w:rsidRPr="007E3D1A">
        <w:t xml:space="preserve"> La structure et le contenu des EIES sont fondés sur les exigences détaillées dans la Section B., paragraphes 23-35 de la Norme Environnementale et Sociale de la Banque mondiale relative à l’Évaluation et la gestion des risques et effets environnementaux et sociaux (NES1), ainsi que dans les annexes D. et E. de la NES1. Voir :</w:t>
      </w:r>
      <w:r w:rsidRPr="007E3D1A">
        <w:br/>
      </w:r>
      <w:hyperlink r:id="rId6" w:anchor="page=29&amp;zoom=80" w:history="1">
        <w:r w:rsidRPr="007E3D1A">
          <w:t>http://pubdocs.worldbank.org/en/936531525368193913/Environmental-Social-Framework-French2.pdf#page=29&amp;zoom=80</w:t>
        </w:r>
      </w:hyperlink>
    </w:p>
    <w:p w14:paraId="5D15D2CD" w14:textId="77777777" w:rsidR="00ED3F3C" w:rsidRPr="007E3D1A" w:rsidRDefault="00ED3F3C" w:rsidP="009021F1">
      <w:r w:rsidRPr="007E3D1A">
        <w:tab/>
        <w:t>Prière noter que les TdRs utilisent le terme « impact » plutôt qu’« effet », afin de faciliter la correspondance avec la réglementation nationale.</w:t>
      </w:r>
    </w:p>
  </w:footnote>
  <w:footnote w:id="49">
    <w:p w14:paraId="2944EAD9" w14:textId="77777777" w:rsidR="00ED3F3C" w:rsidRPr="007E3D1A" w:rsidRDefault="00ED3F3C" w:rsidP="009021F1">
      <w:r w:rsidRPr="007E3D1A">
        <w:footnoteRef/>
      </w:r>
      <w:r w:rsidRPr="007E3D1A">
        <w:t xml:space="preserve"> Les installations associées sont des installations ou des activités qui ne sont pas financées dans le cadre du projet, mais qui, selon la Banque, sont : a) associées directement et étroitement au projet ; b) réalisées ou censées l’être en même temps que le projet ; et c) nécessaires pour la viabilité du projet et n’auraient pas été construites, agrandies ou réalisées si le projet n’avait pas existé.</w:t>
      </w:r>
    </w:p>
  </w:footnote>
  <w:footnote w:id="50">
    <w:p w14:paraId="53F261A5" w14:textId="77777777" w:rsidR="00ED3F3C" w:rsidRPr="007E3D1A" w:rsidRDefault="00ED3F3C" w:rsidP="009021F1">
      <w:r w:rsidRPr="007E3D1A">
        <w:footnoteRef/>
      </w:r>
      <w:r w:rsidRPr="007E3D1A">
        <w:t xml:space="preserve">  ESS 9 sur les Intermédiaires financiers n’est pas pertinente au sousprojet.  Les 9 autres normes sont pertinentes :</w:t>
      </w:r>
    </w:p>
    <w:p w14:paraId="1498D67A" w14:textId="77777777" w:rsidR="00ED3F3C" w:rsidRPr="007E3D1A" w:rsidRDefault="00ED3F3C" w:rsidP="009021F1">
      <w:r w:rsidRPr="007E3D1A">
        <w:t>NES 1</w:t>
      </w:r>
      <w:r w:rsidRPr="007E3D1A">
        <w:tab/>
      </w:r>
      <w:r w:rsidRPr="007E3D1A">
        <w:tab/>
        <w:t>Évaluation et gestion des risques et effets environnementaux et sociaux</w:t>
      </w:r>
    </w:p>
    <w:p w14:paraId="4668D080" w14:textId="77777777" w:rsidR="00ED3F3C" w:rsidRPr="007E3D1A" w:rsidRDefault="00ED3F3C" w:rsidP="009021F1">
      <w:r w:rsidRPr="007E3D1A">
        <w:t>NES 2</w:t>
      </w:r>
      <w:r w:rsidRPr="007E3D1A">
        <w:tab/>
      </w:r>
      <w:r w:rsidRPr="007E3D1A">
        <w:tab/>
        <w:t>Emploi et conditions de travail</w:t>
      </w:r>
    </w:p>
    <w:p w14:paraId="3E139199" w14:textId="77777777" w:rsidR="00ED3F3C" w:rsidRPr="007E3D1A" w:rsidRDefault="00ED3F3C" w:rsidP="009021F1">
      <w:r w:rsidRPr="007E3D1A">
        <w:t>NES 3</w:t>
      </w:r>
      <w:r w:rsidRPr="007E3D1A">
        <w:tab/>
      </w:r>
      <w:r w:rsidRPr="007E3D1A">
        <w:tab/>
        <w:t>Utilisation rationnelle des ressources et prévention et gestion de la pollution</w:t>
      </w:r>
    </w:p>
    <w:p w14:paraId="0FC55EEB" w14:textId="77777777" w:rsidR="00ED3F3C" w:rsidRPr="007E3D1A" w:rsidRDefault="00ED3F3C" w:rsidP="009021F1">
      <w:r w:rsidRPr="007E3D1A">
        <w:t>NES 4</w:t>
      </w:r>
      <w:r w:rsidRPr="007E3D1A">
        <w:tab/>
      </w:r>
      <w:r w:rsidRPr="007E3D1A">
        <w:tab/>
        <w:t>Santé et sécurité des populations</w:t>
      </w:r>
    </w:p>
    <w:p w14:paraId="21D72A06" w14:textId="77777777" w:rsidR="00ED3F3C" w:rsidRPr="007E3D1A" w:rsidRDefault="00ED3F3C" w:rsidP="009021F1">
      <w:r w:rsidRPr="007E3D1A">
        <w:t>NES 5</w:t>
      </w:r>
      <w:r w:rsidRPr="007E3D1A">
        <w:tab/>
      </w:r>
      <w:r w:rsidRPr="007E3D1A">
        <w:tab/>
        <w:t>Acquisition des terres, restrictions à l’utilisation des terres et réinstallation involontaire</w:t>
      </w:r>
    </w:p>
    <w:p w14:paraId="5673FB0D" w14:textId="77777777" w:rsidR="00ED3F3C" w:rsidRPr="007E3D1A" w:rsidRDefault="00ED3F3C" w:rsidP="009021F1">
      <w:r w:rsidRPr="007E3D1A">
        <w:t>NES 6</w:t>
      </w:r>
      <w:r w:rsidRPr="007E3D1A">
        <w:tab/>
      </w:r>
      <w:r w:rsidRPr="007E3D1A">
        <w:tab/>
        <w:t>Conservation de la biodiversité et gestion durable des ressources naturelles biologiques</w:t>
      </w:r>
    </w:p>
    <w:p w14:paraId="3A72F784" w14:textId="77777777" w:rsidR="00ED3F3C" w:rsidRPr="007E3D1A" w:rsidRDefault="00ED3F3C" w:rsidP="009021F1">
      <w:r w:rsidRPr="007E3D1A">
        <w:t>NES 7</w:t>
      </w:r>
      <w:r w:rsidRPr="007E3D1A">
        <w:tab/>
      </w:r>
      <w:r w:rsidRPr="007E3D1A">
        <w:tab/>
        <w:t>Peuples autochtones/communautés locales traditionnelles d’Afrique subsaharienne historiquement défavorisées</w:t>
      </w:r>
    </w:p>
    <w:p w14:paraId="678E5BF7" w14:textId="77777777" w:rsidR="00ED3F3C" w:rsidRPr="007E3D1A" w:rsidRDefault="00ED3F3C" w:rsidP="009021F1">
      <w:r w:rsidRPr="007E3D1A">
        <w:t>NES 8</w:t>
      </w:r>
      <w:r w:rsidRPr="007E3D1A">
        <w:tab/>
      </w:r>
      <w:r w:rsidRPr="007E3D1A">
        <w:tab/>
        <w:t>Patrimoine Culturel</w:t>
      </w:r>
    </w:p>
    <w:p w14:paraId="5B6B0AD7" w14:textId="77777777" w:rsidR="00ED3F3C" w:rsidRPr="007E3D1A" w:rsidRDefault="00ED3F3C" w:rsidP="009021F1">
      <w:r w:rsidRPr="007E3D1A">
        <w:t>NES 10</w:t>
      </w:r>
      <w:r w:rsidRPr="007E3D1A">
        <w:tab/>
      </w:r>
      <w:r w:rsidRPr="007E3D1A">
        <w:tab/>
        <w:t>Mobilisation des parties prenantes et information</w:t>
      </w:r>
    </w:p>
  </w:footnote>
  <w:footnote w:id="51">
    <w:p w14:paraId="348BBA77" w14:textId="77777777" w:rsidR="00ED3F3C" w:rsidRPr="007E3D1A" w:rsidRDefault="00ED3F3C" w:rsidP="009021F1">
      <w:r w:rsidRPr="007E3D1A">
        <w:footnoteRef/>
      </w:r>
      <w:r w:rsidRPr="007E3D1A">
        <w:t xml:space="preserve"> </w:t>
      </w:r>
      <w:hyperlink r:id="rId7" w:history="1">
        <w:r w:rsidRPr="007E3D1A">
          <w:t>https://www.ifc.org/wps/wcm/connect/d4260b19-30f2-466d-9c7e-86ac0ece7e89/010_General%2BGuidelines.pdf?MOD=AJPERES&amp;CVID=jkD2Am7&amp;ContentCache=NONE&amp;CACHE=NONE</w:t>
        </w:r>
      </w:hyperlink>
    </w:p>
  </w:footnote>
  <w:footnote w:id="52">
    <w:p w14:paraId="6F7D3155" w14:textId="77777777" w:rsidR="00ED3F3C" w:rsidRPr="007E3D1A" w:rsidRDefault="00ED3F3C" w:rsidP="009021F1">
      <w:r w:rsidRPr="007E3D1A">
        <w:footnoteRef/>
      </w:r>
      <w:r w:rsidRPr="007E3D1A">
        <w:t xml:space="preserve"> Les sources éventuelles de ces informations incluent les données des Enquêtes démographiques et de santé des Objectifs de développement durable sur l’égalité entre les sexes. </w:t>
      </w:r>
    </w:p>
  </w:footnote>
  <w:footnote w:id="53">
    <w:p w14:paraId="30DA7C5F" w14:textId="77777777" w:rsidR="00ED3F3C" w:rsidRPr="007E3D1A" w:rsidRDefault="00ED3F3C" w:rsidP="009021F1">
      <w:r w:rsidRPr="007E3D1A">
        <w:footnoteRef/>
      </w:r>
      <w:r w:rsidRPr="007E3D1A">
        <w:t xml:space="preserve"> Les services en matière de VBG doivent être alignés sur les normes définies selon les principes et les pratiques modèles nationales et internationales, notamment les Principes de l’OMS pour la gestion clinique des victimes de viol et l’Outil d’évaluation de l’assurance de la qualité en matière de VBG, les principes de l’UNICEF/IRC relatifs aux soins cliniques aux enfants survivants d’agressions sexuelles, les principes inter-institutions pour la gestion des cas de VBG et les Normes minimales du FNUAP pour la prévention et la réponse à la VBG. </w:t>
      </w:r>
    </w:p>
  </w:footnote>
  <w:footnote w:id="54">
    <w:p w14:paraId="48E210F8" w14:textId="77777777" w:rsidR="00ED3F3C" w:rsidRPr="007E3D1A" w:rsidRDefault="00ED3F3C" w:rsidP="009021F1">
      <w:r w:rsidRPr="007E3D1A">
        <w:footnoteRef/>
      </w:r>
      <w:r w:rsidRPr="007E3D1A">
        <w:t xml:space="preserve"> L’expression « défavorisé » ou « vulnérable » désigne des individus ou des groupes qui risquent davantage de souffrir des effets du projet et/ou sont plus limités que d’autres dans leur capacité à profiter des avantages d’un projet. Ces individus ou ces groupes sont aussi plus susceptibles d’être exclus du processus général de consultation ou de ne pouvoir y participer pleinement, et peuvent de ce fait avoir besoin de mesures et/ou d’une assistance particulière. À cet égard, il faudra tenir compte de considérations liées à l’âge, notamment des personnes âgées et des mineurs, y compris dans les cas où ceux-ci peuvent être séparés de leur famille, de leur communauté ou d’autres individus dont ils dépendent.</w:t>
      </w:r>
    </w:p>
  </w:footnote>
  <w:footnote w:id="55">
    <w:p w14:paraId="23B1C65F" w14:textId="77777777" w:rsidR="00ED3F3C" w:rsidRPr="007E3D1A" w:rsidRDefault="00ED3F3C" w:rsidP="009021F1">
      <w:r w:rsidRPr="007E3D1A">
        <w:footnoteRef/>
      </w:r>
      <w:r w:rsidRPr="007E3D1A">
        <w:t xml:space="preserve"> Les services écosystémiques sont les bénéfices que les populations retirent des écosystèmes. Il en existe quatre catégories : i) les services d’approvisionnement, qui désignent les produits que les populations tirent des écosystèmes et qui peuvent inclure les aliments, l’eau douce, le bois d’œuvre, les fibres et les plantes médicinales ; ii) les services de régulation, qui désignent les avantages que les populations tirent de la régulation par les écosystèmes de processus naturels qui peuvent inclure la purification des eaux de surface, le stockage et la fixation du carbone, la régulation du climat et la protection contre les risques naturels ; iii) les services culturels, qui désignent les avantages immatériels que les populations peuvent tirer des écosystèmes et qui peuvent inclure des aires naturelles considérées comme des sites sacrés et des zones importantes pour les activités récréatives et le plaisir esthétique ; et iv) les services de soutien, qui désignent les processus naturels qui maintiennent les autres services et qui peuvent inclure la formation des sols, le cycle des nutriments et la production primaire.</w:t>
      </w:r>
    </w:p>
  </w:footnote>
  <w:footnote w:id="56">
    <w:p w14:paraId="761400E7" w14:textId="77777777" w:rsidR="00ED3F3C" w:rsidRPr="007E3D1A" w:rsidRDefault="00ED3F3C" w:rsidP="009021F1">
      <w:r w:rsidRPr="007E3D1A">
        <w:footnoteRef/>
      </w:r>
      <w:r w:rsidRPr="007E3D1A">
        <w:t xml:space="preserve"> Le principe de la hiérarchie d’atténuation consiste à :</w:t>
      </w:r>
    </w:p>
    <w:p w14:paraId="78738850" w14:textId="77777777" w:rsidR="00ED3F3C" w:rsidRPr="007E3D1A" w:rsidRDefault="00ED3F3C" w:rsidP="009021F1">
      <w:r w:rsidRPr="007E3D1A">
        <w:t>a) anticiper et éviter les risques et les impacts ;</w:t>
      </w:r>
    </w:p>
    <w:p w14:paraId="03416292" w14:textId="77777777" w:rsidR="00ED3F3C" w:rsidRPr="007E3D1A" w:rsidRDefault="00ED3F3C" w:rsidP="009021F1">
      <w:r w:rsidRPr="007E3D1A">
        <w:t>b) lorsqu’il n’est pas possible de les éviter, minimiser ou réduire les risques et les impacts à des niveaux acceptables ;</w:t>
      </w:r>
    </w:p>
    <w:p w14:paraId="7E6F381A" w14:textId="77777777" w:rsidR="00ED3F3C" w:rsidRPr="007E3D1A" w:rsidRDefault="00ED3F3C" w:rsidP="009021F1">
      <w:r w:rsidRPr="007E3D1A">
        <w:t>c) une fois que les risques et les impacts ont été minimisés ou réduits, les atténuer ; et</w:t>
      </w:r>
    </w:p>
    <w:p w14:paraId="0BC83F14" w14:textId="77777777" w:rsidR="00ED3F3C" w:rsidRPr="007E3D1A" w:rsidRDefault="00ED3F3C" w:rsidP="009021F1">
      <w:r w:rsidRPr="007E3D1A">
        <w:t>d) lorsque les impacts résiduels sont importants, les compenser ou les neutraliser si cela est techniquement et financièrement possible.</w:t>
      </w:r>
    </w:p>
  </w:footnote>
  <w:footnote w:id="57">
    <w:p w14:paraId="1C288F9A" w14:textId="77777777" w:rsidR="00ED3F3C" w:rsidRPr="007E3D1A" w:rsidRDefault="00ED3F3C" w:rsidP="009021F1"/>
    <w:p w14:paraId="5B19B64C" w14:textId="77777777" w:rsidR="00ED3F3C" w:rsidRPr="007E3D1A" w:rsidRDefault="00ED3F3C" w:rsidP="009021F1"/>
  </w:footnote>
  <w:footnote w:id="58">
    <w:p w14:paraId="04737A06" w14:textId="77777777" w:rsidR="00ED3F3C" w:rsidRPr="007E3D1A" w:rsidRDefault="00ED3F3C" w:rsidP="009021F1"/>
    <w:p w14:paraId="5D1CE7AF" w14:textId="77777777" w:rsidR="00ED3F3C" w:rsidRPr="007E3D1A" w:rsidRDefault="00ED3F3C" w:rsidP="009021F1"/>
  </w:footnote>
  <w:footnote w:id="59">
    <w:p w14:paraId="38F1048F" w14:textId="77777777" w:rsidR="00ED3F3C" w:rsidRPr="007E3D1A" w:rsidRDefault="00ED3F3C" w:rsidP="009021F1"/>
    <w:p w14:paraId="1148AF94" w14:textId="77777777" w:rsidR="00ED3F3C" w:rsidRPr="007E3D1A" w:rsidRDefault="00ED3F3C" w:rsidP="009021F1"/>
  </w:footnote>
  <w:footnote w:id="60">
    <w:p w14:paraId="2C847B23" w14:textId="77777777" w:rsidR="00ED3F3C" w:rsidRPr="007E3D1A" w:rsidRDefault="00ED3F3C" w:rsidP="009021F1"/>
    <w:p w14:paraId="7174B44B" w14:textId="77777777" w:rsidR="00ED3F3C" w:rsidRPr="007E3D1A" w:rsidRDefault="00ED3F3C" w:rsidP="009021F1"/>
  </w:footnote>
  <w:footnote w:id="61">
    <w:p w14:paraId="2535A57F" w14:textId="77777777" w:rsidR="00ED3F3C" w:rsidRPr="007E3D1A" w:rsidRDefault="00ED3F3C" w:rsidP="009021F1"/>
    <w:p w14:paraId="161AC38B" w14:textId="77777777" w:rsidR="00ED3F3C" w:rsidRPr="007E3D1A" w:rsidRDefault="00ED3F3C" w:rsidP="009021F1"/>
  </w:footnote>
  <w:footnote w:id="62">
    <w:p w14:paraId="1BCC6D23" w14:textId="77777777" w:rsidR="00ED3F3C" w:rsidRPr="007E3D1A" w:rsidRDefault="00ED3F3C" w:rsidP="009021F1"/>
    <w:p w14:paraId="0C838FB1" w14:textId="77777777" w:rsidR="00ED3F3C" w:rsidRPr="007E3D1A" w:rsidRDefault="00ED3F3C" w:rsidP="009021F1"/>
  </w:footnote>
  <w:footnote w:id="63">
    <w:p w14:paraId="2E2C20B7" w14:textId="77777777" w:rsidR="00ED3F3C" w:rsidRPr="007E3D1A" w:rsidRDefault="00ED3F3C" w:rsidP="009021F1"/>
    <w:p w14:paraId="6DEFD4C9" w14:textId="77777777" w:rsidR="00ED3F3C" w:rsidRPr="007E3D1A" w:rsidRDefault="00ED3F3C" w:rsidP="009021F1"/>
  </w:footnote>
  <w:footnote w:id="64">
    <w:p w14:paraId="24C307BA" w14:textId="77777777" w:rsidR="00ED3F3C" w:rsidRPr="007E3D1A" w:rsidRDefault="00ED3F3C" w:rsidP="009021F1">
      <w:r w:rsidRPr="007E3D1A">
        <w:footnoteRef/>
      </w:r>
      <w:r w:rsidRPr="007E3D1A">
        <w:t xml:space="preserve"> Il est important de noter que les femmes et les filles sont victimes de violence de manière disproportionnée ; dans l'ensemble, 35 pour cent de femmes dans le monde ont dû faire face à la violence physique ou sexuelle (OMS, Estimations mondiales et régionales de la violence contre les femmes : Prévalence et Effets sur la santé de la violence entre partenaires intimes et la violence sexuelle d’un non-partenaire, 2013). Certains hommes et garçons sont également confrontés à la violence basée sur le genre et les relations inégales de pouvoir.</w:t>
      </w:r>
    </w:p>
  </w:footnote>
  <w:footnote w:id="65">
    <w:p w14:paraId="690C22D7" w14:textId="77777777" w:rsidR="00ED3F3C" w:rsidRPr="007E3D1A" w:rsidRDefault="00ED3F3C" w:rsidP="009021F1">
      <w:r w:rsidRPr="007E3D1A">
        <w:footnoteRef/>
      </w:r>
      <w:r w:rsidRPr="007E3D1A">
        <w:t xml:space="preserve"> Le texte des deux lois peut être trouvé dans le lien ci-dessous (page 61):</w:t>
      </w:r>
    </w:p>
    <w:p w14:paraId="11A17BC2" w14:textId="77777777" w:rsidR="00ED3F3C" w:rsidRPr="007E3D1A" w:rsidRDefault="00B22F56" w:rsidP="009021F1">
      <w:hyperlink r:id="rId8" w:history="1">
        <w:r w:rsidR="00ED3F3C" w:rsidRPr="007E3D1A">
          <w:t>http://www.pnmls.cd/doc/Lois%20portant%20protection%20des%20PVV%20et%20PA,%20Protection%20de%20l'enfant%20et%20contre%20VS%20J.O.%20n%C2%B0%20Sp%C3%A9cial%20du%2025%20mai%202009.pdf</w:t>
        </w:r>
      </w:hyperlink>
      <w:r w:rsidR="00ED3F3C" w:rsidRPr="007E3D1A">
        <w:t xml:space="preserve"> </w:t>
      </w:r>
    </w:p>
    <w:p w14:paraId="7B15794B" w14:textId="77777777" w:rsidR="00ED3F3C" w:rsidRPr="007E3D1A" w:rsidRDefault="00ED3F3C" w:rsidP="009021F1">
      <w:r w:rsidRPr="007E3D1A">
        <w:tab/>
      </w:r>
    </w:p>
  </w:footnote>
  <w:footnote w:id="66">
    <w:p w14:paraId="01DB3ED1" w14:textId="77777777" w:rsidR="00ED3F3C" w:rsidRPr="007E3D1A" w:rsidRDefault="00ED3F3C" w:rsidP="009021F1">
      <w:r w:rsidRPr="007E3D1A">
        <w:footnoteRef/>
      </w:r>
      <w:r w:rsidRPr="007E3D1A">
        <w:t xml:space="preserve"> Est considéré comme une exploitation, toute relation qui constitue l'exploitation sexuelle, c'est-à-dire tout abus ou tentative d'abus de position de vulnérabilité, de pouvoir différentiel (y compris le pouvoir lié au genre) ou de confiance, à des fins sexuelles, y compris, mais non limité à, profiter financièrement, socialement ou politiquement de l'exploitation sexuelle d'un autre.</w:t>
      </w:r>
    </w:p>
  </w:footnote>
  <w:footnote w:id="67">
    <w:p w14:paraId="5305821C" w14:textId="77777777" w:rsidR="00ED3F3C" w:rsidRPr="00FC1876" w:rsidRDefault="00ED3F3C" w:rsidP="009021F1">
      <w:pPr>
        <w:pStyle w:val="Notedebasdepage"/>
        <w:rPr>
          <w:rFonts w:ascii="Calibri" w:hAnsi="Calibri" w:cs="Calibri"/>
          <w:sz w:val="18"/>
          <w:szCs w:val="18"/>
        </w:rPr>
      </w:pPr>
      <w:r w:rsidRPr="00FC1876">
        <w:rPr>
          <w:rStyle w:val="Appelnotedebasdep"/>
          <w:rFonts w:cs="Calibri"/>
          <w:sz w:val="18"/>
          <w:szCs w:val="18"/>
        </w:rPr>
        <w:footnoteRef/>
      </w:r>
      <w:r w:rsidRPr="00FC1876">
        <w:rPr>
          <w:rFonts w:ascii="Calibri" w:hAnsi="Calibri" w:cs="Calibri"/>
          <w:sz w:val="18"/>
          <w:szCs w:val="18"/>
        </w:rPr>
        <w:t xml:space="preserve"> Principes d’éthique et de sécurité recommandés par l’OMS pour la recherche, la documentation et le suivi de la violence sexuelle dans les situations d’urgence (2007) ; Bonnes pratiques du GBVIMS </w:t>
      </w:r>
      <w:hyperlink r:id="rId9" w:history="1">
        <w:r w:rsidRPr="00FC1876">
          <w:rPr>
            <w:rStyle w:val="Lienhypertexte"/>
            <w:rFonts w:ascii="Calibri" w:hAnsi="Calibri" w:cs="Calibri"/>
            <w:sz w:val="18"/>
            <w:szCs w:val="18"/>
          </w:rPr>
          <w:t>http://www.gbvims.com/wp/wp-content/uploads/BestPractices2.pdf</w:t>
        </w:r>
      </w:hyperlink>
      <w:r w:rsidRPr="00FC1876">
        <w:rPr>
          <w:rFonts w:ascii="Calibri" w:hAnsi="Calibri" w:cs="Calibri"/>
          <w:sz w:val="18"/>
          <w:szCs w:val="18"/>
        </w:rPr>
        <w:t>).</w:t>
      </w:r>
    </w:p>
  </w:footnote>
  <w:footnote w:id="68">
    <w:p w14:paraId="155D5022" w14:textId="77777777" w:rsidR="00ED3F3C" w:rsidRDefault="00ED3F3C" w:rsidP="009021F1">
      <w:pPr>
        <w:pStyle w:val="Notedebasdepage"/>
      </w:pPr>
      <w:r>
        <w:rPr>
          <w:rStyle w:val="Appelnotedebasdep"/>
        </w:rPr>
        <w:footnoteRef/>
      </w:r>
      <w:r>
        <w:t xml:space="preserve"> Veuillez noter que </w:t>
      </w:r>
      <w:r w:rsidRPr="00641AA3">
        <w:t>ces évaluations ne doivent pas poser de questions sur l'expérience individuelle de la violence ou chercher à interroger les survivants.</w:t>
      </w:r>
    </w:p>
  </w:footnote>
  <w:footnote w:id="69">
    <w:p w14:paraId="37D7D84E" w14:textId="77777777" w:rsidR="00ED3F3C" w:rsidRPr="00D850EF" w:rsidRDefault="00ED3F3C" w:rsidP="009021F1">
      <w:pPr>
        <w:pStyle w:val="Notedebasdepage"/>
        <w:rPr>
          <w:sz w:val="18"/>
          <w:szCs w:val="18"/>
        </w:rPr>
      </w:pPr>
      <w:r w:rsidRPr="000E0F6A">
        <w:rPr>
          <w:rStyle w:val="Appelnotedebasdep"/>
          <w:sz w:val="18"/>
          <w:szCs w:val="18"/>
        </w:rPr>
        <w:footnoteRef/>
      </w:r>
      <w:r w:rsidRPr="000E0F6A">
        <w:rPr>
          <w:sz w:val="18"/>
          <w:szCs w:val="18"/>
        </w:rPr>
        <w:t xml:space="preserve"> </w:t>
      </w:r>
      <w:r w:rsidRPr="000E0F6A">
        <w:rPr>
          <w:rFonts w:cstheme="minorHAnsi"/>
          <w:color w:val="000000"/>
          <w:sz w:val="18"/>
          <w:szCs w:val="18"/>
        </w:rPr>
        <w:t>Il sied de noter que le MGP doit être fonctionnel lorsque les activités du projet commencent et que les codes de bonne conduite devraient être signés avant le début des travaux par les entreprises.</w:t>
      </w:r>
    </w:p>
  </w:footnote>
  <w:footnote w:id="70">
    <w:p w14:paraId="6E920BC3" w14:textId="77777777" w:rsidR="00ED3F3C" w:rsidRPr="000E0F6A" w:rsidRDefault="00ED3F3C" w:rsidP="009021F1">
      <w:pPr>
        <w:pStyle w:val="Notedebasdepage"/>
        <w:rPr>
          <w:sz w:val="18"/>
          <w:szCs w:val="18"/>
        </w:rPr>
      </w:pPr>
      <w:r w:rsidRPr="000E0F6A">
        <w:rPr>
          <w:rStyle w:val="Appelnotedebasdep"/>
          <w:sz w:val="18"/>
          <w:szCs w:val="18"/>
        </w:rPr>
        <w:footnoteRef/>
      </w:r>
      <w:r w:rsidRPr="000E0F6A">
        <w:rPr>
          <w:sz w:val="18"/>
          <w:szCs w:val="18"/>
        </w:rPr>
        <w:t xml:space="preserve"> Il sied de noter que le nombre de plaintes reçues n’est pas une indication efficace ou fiable du bon fonctionnement du MGP.</w:t>
      </w:r>
    </w:p>
  </w:footnote>
  <w:footnote w:id="71">
    <w:p w14:paraId="73DA3977" w14:textId="77777777" w:rsidR="00ED3F3C" w:rsidRPr="00FC1876" w:rsidRDefault="00ED3F3C" w:rsidP="009021F1">
      <w:pPr>
        <w:pStyle w:val="Notedebasdepage"/>
        <w:rPr>
          <w:rFonts w:ascii="Calibri" w:hAnsi="Calibri" w:cs="Calibri"/>
          <w:sz w:val="18"/>
          <w:szCs w:val="18"/>
        </w:rPr>
      </w:pPr>
      <w:r w:rsidRPr="00FC1876">
        <w:rPr>
          <w:rStyle w:val="Appelnotedebasdep"/>
          <w:rFonts w:cs="Calibri"/>
          <w:sz w:val="18"/>
          <w:szCs w:val="18"/>
        </w:rPr>
        <w:footnoteRef/>
      </w:r>
      <w:r w:rsidRPr="00FC1876">
        <w:rPr>
          <w:rFonts w:ascii="Calibri" w:hAnsi="Calibri" w:cs="Calibri"/>
          <w:sz w:val="18"/>
          <w:szCs w:val="18"/>
        </w:rPr>
        <w:t xml:space="preserve"> Les services devront respecter, entre autres, les standards préconisés dans les ressources suivantes : le Protocole national de référence légale des survivants de violences sexuelles (Ministère de la sante publique et Programme national de la santé de la reproduction, RDC, 2012) ; le Module de formation des prestataires des soins de santé dans la prise en charge des survivants/victimes des violences sexuelles et basées sur le genre (Ministère de la sante publique et Programme national de la santé de la reproduction, RDC, 2012); Gestion clinique des victimes de viol (Organisation mondiale de la santé, 2009) ; La prise en charge des enfants ayant subi des violences sexuelles en situations de crise humanitaire : Guide destiné aux prestataires de services de santé et de services psychosociaux (UNICEF et IRC, 2012) ; Directives relatives à la gestion inter-agence des cas de violence basée sur le genre (IASC, 2017) ; et Normes minimales pour la prévention et la réponse à la violence basée sur le genre dans les situations d’urgence (UNFPA,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955C24" w14:textId="77777777" w:rsidR="00ED3F3C" w:rsidRDefault="00ED3F3C">
    <w:pPr>
      <w:pStyle w:val="En-tte"/>
      <w:jc w:val="right"/>
    </w:pPr>
    <w:r>
      <w:fldChar w:fldCharType="begin"/>
    </w:r>
    <w:r>
      <w:instrText xml:space="preserve"> PAGE   \* MERGEFORMAT </w:instrText>
    </w:r>
    <w:r>
      <w:fldChar w:fldCharType="separate"/>
    </w:r>
    <w:r w:rsidR="000B770E">
      <w:rPr>
        <w:noProof/>
      </w:rPr>
      <w:t>lxiv</w:t>
    </w:r>
    <w:r>
      <w:rPr>
        <w:noProof/>
      </w:rPr>
      <w:fldChar w:fldCharType="end"/>
    </w:r>
  </w:p>
  <w:p w14:paraId="77FCA43F" w14:textId="77777777" w:rsidR="00ED3F3C" w:rsidRDefault="00ED3F3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37A818" w14:textId="77777777" w:rsidR="00ED3F3C" w:rsidRDefault="00ED3F3C">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02388799" w14:textId="77777777" w:rsidR="00ED3F3C" w:rsidRDefault="00ED3F3C">
    <w:pPr>
      <w:pStyle w:val="En-tte"/>
      <w:ind w:right="360"/>
    </w:pPr>
  </w:p>
  <w:p w14:paraId="4DB6BB1E" w14:textId="77777777" w:rsidR="00ED3F3C" w:rsidRDefault="00ED3F3C"/>
  <w:p w14:paraId="402BD74A" w14:textId="77777777" w:rsidR="00ED3F3C" w:rsidRDefault="00ED3F3C"/>
  <w:p w14:paraId="0C7FE7C9" w14:textId="77777777" w:rsidR="00ED3F3C" w:rsidRDefault="00ED3F3C"/>
  <w:p w14:paraId="5598B4C5" w14:textId="77777777" w:rsidR="00ED3F3C" w:rsidRDefault="00ED3F3C"/>
  <w:p w14:paraId="67439FBD" w14:textId="77777777" w:rsidR="00ED3F3C" w:rsidRDefault="00ED3F3C"/>
  <w:p w14:paraId="389B2002" w14:textId="77777777" w:rsidR="00ED3F3C" w:rsidRDefault="00ED3F3C"/>
  <w:p w14:paraId="664BE4E2" w14:textId="77777777" w:rsidR="00ED3F3C" w:rsidRDefault="00ED3F3C"/>
  <w:p w14:paraId="42D51D96" w14:textId="77777777" w:rsidR="00ED3F3C" w:rsidRDefault="00ED3F3C"/>
  <w:p w14:paraId="096B2517" w14:textId="77777777" w:rsidR="00ED3F3C" w:rsidRDefault="00ED3F3C"/>
  <w:p w14:paraId="19073474" w14:textId="77777777" w:rsidR="00ED3F3C" w:rsidRDefault="00ED3F3C"/>
  <w:p w14:paraId="6F65140E" w14:textId="77777777" w:rsidR="00ED3F3C" w:rsidRDefault="00ED3F3C"/>
  <w:p w14:paraId="06610A89" w14:textId="77777777" w:rsidR="00ED3F3C" w:rsidRDefault="00ED3F3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2F2AD" w14:textId="77777777" w:rsidR="00ED3F3C" w:rsidRPr="00C80E77" w:rsidRDefault="00ED3F3C">
    <w:pPr>
      <w:pStyle w:val="En-tte"/>
      <w:jc w:val="right"/>
      <w:rPr>
        <w:rFonts w:ascii="Arial" w:hAnsi="Arial" w:cs="Arial"/>
        <w:sz w:val="18"/>
        <w:szCs w:val="18"/>
      </w:rPr>
    </w:pPr>
    <w:r w:rsidRPr="00C80E77">
      <w:rPr>
        <w:rFonts w:ascii="Arial" w:hAnsi="Arial" w:cs="Arial"/>
        <w:sz w:val="18"/>
        <w:szCs w:val="18"/>
      </w:rPr>
      <w:fldChar w:fldCharType="begin"/>
    </w:r>
    <w:r w:rsidRPr="00C80E77">
      <w:rPr>
        <w:rFonts w:ascii="Arial" w:hAnsi="Arial" w:cs="Arial"/>
        <w:sz w:val="18"/>
        <w:szCs w:val="18"/>
      </w:rPr>
      <w:instrText>PAGE   \* MERGEFORMAT</w:instrText>
    </w:r>
    <w:r w:rsidRPr="00C80E77">
      <w:rPr>
        <w:rFonts w:ascii="Arial" w:hAnsi="Arial" w:cs="Arial"/>
        <w:sz w:val="18"/>
        <w:szCs w:val="18"/>
      </w:rPr>
      <w:fldChar w:fldCharType="separate"/>
    </w:r>
    <w:r w:rsidR="00B24834">
      <w:rPr>
        <w:rFonts w:ascii="Arial" w:hAnsi="Arial" w:cs="Arial"/>
        <w:noProof/>
        <w:sz w:val="18"/>
        <w:szCs w:val="18"/>
      </w:rPr>
      <w:t>265</w:t>
    </w:r>
    <w:r w:rsidRPr="00C80E77">
      <w:rPr>
        <w:rFonts w:ascii="Arial" w:hAnsi="Arial" w:cs="Arial"/>
        <w:sz w:val="18"/>
        <w:szCs w:val="18"/>
      </w:rPr>
      <w:fldChar w:fldCharType="end"/>
    </w:r>
  </w:p>
  <w:p w14:paraId="333F0F29" w14:textId="77777777" w:rsidR="00ED3F3C" w:rsidRDefault="00ED3F3C"/>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663C74" w14:textId="77777777" w:rsidR="00ED3F3C" w:rsidRDefault="00ED3F3C" w:rsidP="00257F9E">
    <w:pPr>
      <w:pStyle w:val="En-tte"/>
      <w:jc w:val="right"/>
    </w:pPr>
    <w:r>
      <w:fldChar w:fldCharType="begin"/>
    </w:r>
    <w:r>
      <w:instrText>PAGE   \* MERGEFORMAT</w:instrText>
    </w:r>
    <w:r>
      <w:fldChar w:fldCharType="separate"/>
    </w:r>
    <w:r w:rsidR="00B24834">
      <w:rPr>
        <w:noProof/>
      </w:rPr>
      <w:t>534</w:t>
    </w:r>
    <w:r>
      <w:fldChar w:fldCharType="end"/>
    </w:r>
  </w:p>
  <w:p w14:paraId="7629E49C" w14:textId="77777777" w:rsidR="00ED3F3C" w:rsidRDefault="00ED3F3C">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7B725994"/>
    <w:lvl w:ilvl="0">
      <w:start w:val="1"/>
      <w:numFmt w:val="decimal"/>
      <w:pStyle w:val="Listenumros5"/>
      <w:lvlText w:val="%1."/>
      <w:lvlJc w:val="left"/>
      <w:pPr>
        <w:tabs>
          <w:tab w:val="num" w:pos="1492"/>
        </w:tabs>
        <w:ind w:left="1492" w:hanging="360"/>
      </w:pPr>
    </w:lvl>
  </w:abstractNum>
  <w:abstractNum w:abstractNumId="1">
    <w:nsid w:val="FFFFFF83"/>
    <w:multiLevelType w:val="singleLevel"/>
    <w:tmpl w:val="C69A8AF8"/>
    <w:lvl w:ilvl="0">
      <w:start w:val="1"/>
      <w:numFmt w:val="bullet"/>
      <w:pStyle w:val="Listepuces2"/>
      <w:lvlText w:val=""/>
      <w:lvlJc w:val="left"/>
      <w:pPr>
        <w:tabs>
          <w:tab w:val="num" w:pos="643"/>
        </w:tabs>
        <w:ind w:left="643" w:hanging="360"/>
      </w:pPr>
      <w:rPr>
        <w:rFonts w:ascii="Symbol" w:hAnsi="Symbol" w:hint="default"/>
      </w:rPr>
    </w:lvl>
  </w:abstractNum>
  <w:abstractNum w:abstractNumId="2">
    <w:nsid w:val="FFFFFF88"/>
    <w:multiLevelType w:val="singleLevel"/>
    <w:tmpl w:val="FE5E115A"/>
    <w:lvl w:ilvl="0">
      <w:start w:val="1"/>
      <w:numFmt w:val="decimal"/>
      <w:pStyle w:val="Listenumros"/>
      <w:lvlText w:val="%1."/>
      <w:lvlJc w:val="right"/>
      <w:pPr>
        <w:ind w:left="927" w:hanging="360"/>
      </w:pPr>
      <w:rPr>
        <w:rFonts w:hint="default"/>
      </w:rPr>
    </w:lvl>
  </w:abstractNum>
  <w:abstractNum w:abstractNumId="3">
    <w:nsid w:val="004335C9"/>
    <w:multiLevelType w:val="multilevel"/>
    <w:tmpl w:val="AF062C02"/>
    <w:lvl w:ilvl="0">
      <w:start w:val="1"/>
      <w:numFmt w:val="decimal"/>
      <w:lvlText w:val="%1."/>
      <w:lvlJc w:val="left"/>
      <w:pPr>
        <w:tabs>
          <w:tab w:val="num" w:pos="390"/>
        </w:tabs>
        <w:ind w:left="390" w:hanging="390"/>
      </w:pPr>
      <w:rPr>
        <w:rFonts w:hint="default"/>
        <w:b w:val="0"/>
        <w:sz w:val="24"/>
        <w:szCs w:val="24"/>
      </w:rPr>
    </w:lvl>
    <w:lvl w:ilvl="1">
      <w:start w:val="1"/>
      <w:numFmt w:val="decimal"/>
      <w:lvlText w:val="%1.%2."/>
      <w:lvlJc w:val="left"/>
      <w:pPr>
        <w:tabs>
          <w:tab w:val="num" w:pos="958"/>
        </w:tabs>
        <w:ind w:left="958" w:hanging="390"/>
      </w:pPr>
      <w:rPr>
        <w:rFonts w:hint="default"/>
        <w:b w:val="0"/>
        <w:i w:val="0"/>
        <w:sz w:val="22"/>
        <w:szCs w:val="22"/>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0A5593A"/>
    <w:multiLevelType w:val="hybridMultilevel"/>
    <w:tmpl w:val="F510F852"/>
    <w:lvl w:ilvl="0" w:tplc="064C000A">
      <w:start w:val="1"/>
      <w:numFmt w:val="decimal"/>
      <w:pStyle w:val="PARAPAD"/>
      <w:lvlText w:val="%1."/>
      <w:lvlJc w:val="left"/>
      <w:pPr>
        <w:tabs>
          <w:tab w:val="num" w:pos="360"/>
        </w:tabs>
        <w:ind w:left="0" w:firstLine="0"/>
      </w:pPr>
      <w:rPr>
        <w:b w:val="0"/>
      </w:rPr>
    </w:lvl>
    <w:lvl w:ilvl="1" w:tplc="E4B21D22">
      <w:start w:val="1"/>
      <w:numFmt w:val="lowerLetter"/>
      <w:lvlText w:val="(%2)"/>
      <w:lvlJc w:val="left"/>
      <w:pPr>
        <w:tabs>
          <w:tab w:val="num" w:pos="720"/>
        </w:tabs>
        <w:ind w:left="1080" w:firstLine="0"/>
      </w:pPr>
    </w:lvl>
    <w:lvl w:ilvl="2" w:tplc="73C4CA50">
      <w:start w:val="1"/>
      <w:numFmt w:val="lowerRoman"/>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nsid w:val="00E21877"/>
    <w:multiLevelType w:val="multilevel"/>
    <w:tmpl w:val="49A47008"/>
    <w:lvl w:ilvl="0">
      <w:start w:val="1"/>
      <w:numFmt w:val="upperRoman"/>
      <w:pStyle w:val="oka1"/>
      <w:lvlText w:val="%1."/>
      <w:lvlJc w:val="left"/>
      <w:pPr>
        <w:ind w:left="2497" w:hanging="720"/>
      </w:pPr>
      <w:rPr>
        <w:rFonts w:hint="default"/>
        <w:b w:val="0"/>
        <w:color w:val="000000"/>
      </w:rPr>
    </w:lvl>
    <w:lvl w:ilvl="1">
      <w:start w:val="1"/>
      <w:numFmt w:val="decimal"/>
      <w:pStyle w:val="oka2222"/>
      <w:isLgl/>
      <w:lvlText w:val="%1.%2."/>
      <w:lvlJc w:val="left"/>
      <w:pPr>
        <w:ind w:left="2628" w:hanging="360"/>
      </w:pPr>
      <w:rPr>
        <w:rFonts w:hint="default"/>
        <w:b w:val="0"/>
      </w:rPr>
    </w:lvl>
    <w:lvl w:ilvl="2">
      <w:start w:val="1"/>
      <w:numFmt w:val="decimal"/>
      <w:pStyle w:val="oka33"/>
      <w:isLgl/>
      <w:lvlText w:val="%1.%2.%3."/>
      <w:lvlJc w:val="left"/>
      <w:pPr>
        <w:ind w:left="2497" w:hanging="720"/>
      </w:pPr>
      <w:rPr>
        <w:rFonts w:hint="default"/>
        <w:b w:val="0"/>
      </w:rPr>
    </w:lvl>
    <w:lvl w:ilvl="3">
      <w:start w:val="1"/>
      <w:numFmt w:val="decimal"/>
      <w:isLgl/>
      <w:lvlText w:val="%1.%2.%3.%4."/>
      <w:lvlJc w:val="left"/>
      <w:pPr>
        <w:ind w:left="2497" w:hanging="720"/>
      </w:pPr>
      <w:rPr>
        <w:rFonts w:hint="default"/>
        <w:b w:val="0"/>
      </w:rPr>
    </w:lvl>
    <w:lvl w:ilvl="4">
      <w:start w:val="1"/>
      <w:numFmt w:val="decimal"/>
      <w:isLgl/>
      <w:lvlText w:val="%1.%2.%3.%4.%5."/>
      <w:lvlJc w:val="left"/>
      <w:pPr>
        <w:ind w:left="2857" w:hanging="1080"/>
      </w:pPr>
      <w:rPr>
        <w:rFonts w:hint="default"/>
        <w:b/>
      </w:rPr>
    </w:lvl>
    <w:lvl w:ilvl="5">
      <w:start w:val="1"/>
      <w:numFmt w:val="decimal"/>
      <w:isLgl/>
      <w:lvlText w:val="%1.%2.%3.%4.%5.%6."/>
      <w:lvlJc w:val="left"/>
      <w:pPr>
        <w:ind w:left="2857" w:hanging="1080"/>
      </w:pPr>
      <w:rPr>
        <w:rFonts w:hint="default"/>
        <w:b/>
      </w:rPr>
    </w:lvl>
    <w:lvl w:ilvl="6">
      <w:start w:val="1"/>
      <w:numFmt w:val="decimal"/>
      <w:isLgl/>
      <w:lvlText w:val="%1.%2.%3.%4.%5.%6.%7."/>
      <w:lvlJc w:val="left"/>
      <w:pPr>
        <w:ind w:left="3217" w:hanging="1440"/>
      </w:pPr>
      <w:rPr>
        <w:rFonts w:hint="default"/>
        <w:b/>
      </w:rPr>
    </w:lvl>
    <w:lvl w:ilvl="7">
      <w:start w:val="1"/>
      <w:numFmt w:val="decimal"/>
      <w:isLgl/>
      <w:lvlText w:val="%1.%2.%3.%4.%5.%6.%7.%8."/>
      <w:lvlJc w:val="left"/>
      <w:pPr>
        <w:ind w:left="3217" w:hanging="1440"/>
      </w:pPr>
      <w:rPr>
        <w:rFonts w:hint="default"/>
        <w:b/>
      </w:rPr>
    </w:lvl>
    <w:lvl w:ilvl="8">
      <w:start w:val="1"/>
      <w:numFmt w:val="decimal"/>
      <w:isLgl/>
      <w:lvlText w:val="%1.%2.%3.%4.%5.%6.%7.%8.%9."/>
      <w:lvlJc w:val="left"/>
      <w:pPr>
        <w:ind w:left="3577" w:hanging="1800"/>
      </w:pPr>
      <w:rPr>
        <w:rFonts w:hint="default"/>
        <w:b/>
      </w:rPr>
    </w:lvl>
  </w:abstractNum>
  <w:abstractNum w:abstractNumId="6">
    <w:nsid w:val="018F6F2D"/>
    <w:multiLevelType w:val="multilevel"/>
    <w:tmpl w:val="BE541958"/>
    <w:lvl w:ilvl="0">
      <w:start w:val="1"/>
      <w:numFmt w:val="upperLetter"/>
      <w:pStyle w:val="Retraitcorpsdetexte2"/>
      <w:lvlText w:val="%1."/>
      <w:lvlJc w:val="left"/>
      <w:pPr>
        <w:tabs>
          <w:tab w:val="num" w:pos="360"/>
        </w:tabs>
        <w:ind w:left="360" w:hanging="360"/>
      </w:pPr>
      <w:rPr>
        <w:rFonts w:hint="default"/>
      </w:rPr>
    </w:lvl>
    <w:lvl w:ilvl="1">
      <w:start w:val="1"/>
      <w:numFmt w:val="decimal"/>
      <w:lvlText w:val="%2."/>
      <w:lvlJc w:val="left"/>
      <w:pPr>
        <w:tabs>
          <w:tab w:val="num" w:pos="360"/>
        </w:tabs>
        <w:ind w:left="0" w:firstLine="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nsid w:val="01BB0A2F"/>
    <w:multiLevelType w:val="hybridMultilevel"/>
    <w:tmpl w:val="DC985B36"/>
    <w:lvl w:ilvl="0" w:tplc="534C14F8">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8">
    <w:nsid w:val="02233686"/>
    <w:multiLevelType w:val="hybridMultilevel"/>
    <w:tmpl w:val="5EFA29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2F064BB"/>
    <w:multiLevelType w:val="hybridMultilevel"/>
    <w:tmpl w:val="6A3A981E"/>
    <w:lvl w:ilvl="0" w:tplc="5F189A0C">
      <w:start w:val="13"/>
      <w:numFmt w:val="bullet"/>
      <w:lvlText w:val="-"/>
      <w:lvlJc w:val="left"/>
      <w:pPr>
        <w:ind w:left="531" w:hanging="360"/>
      </w:pPr>
      <w:rPr>
        <w:rFonts w:ascii="Times New Roman" w:eastAsia="Times New Roman" w:hAnsi="Times New Roman" w:cs="Times New Roman" w:hint="default"/>
      </w:rPr>
    </w:lvl>
    <w:lvl w:ilvl="1" w:tplc="040C0003" w:tentative="1">
      <w:start w:val="1"/>
      <w:numFmt w:val="bullet"/>
      <w:lvlText w:val="o"/>
      <w:lvlJc w:val="left"/>
      <w:pPr>
        <w:ind w:left="1251" w:hanging="360"/>
      </w:pPr>
      <w:rPr>
        <w:rFonts w:ascii="Courier New" w:hAnsi="Courier New" w:cs="Courier New" w:hint="default"/>
      </w:rPr>
    </w:lvl>
    <w:lvl w:ilvl="2" w:tplc="040C0005" w:tentative="1">
      <w:start w:val="1"/>
      <w:numFmt w:val="bullet"/>
      <w:lvlText w:val=""/>
      <w:lvlJc w:val="left"/>
      <w:pPr>
        <w:ind w:left="1971" w:hanging="360"/>
      </w:pPr>
      <w:rPr>
        <w:rFonts w:ascii="Wingdings" w:hAnsi="Wingdings" w:hint="default"/>
      </w:rPr>
    </w:lvl>
    <w:lvl w:ilvl="3" w:tplc="040C0001" w:tentative="1">
      <w:start w:val="1"/>
      <w:numFmt w:val="bullet"/>
      <w:lvlText w:val=""/>
      <w:lvlJc w:val="left"/>
      <w:pPr>
        <w:ind w:left="2691" w:hanging="360"/>
      </w:pPr>
      <w:rPr>
        <w:rFonts w:ascii="Symbol" w:hAnsi="Symbol" w:hint="default"/>
      </w:rPr>
    </w:lvl>
    <w:lvl w:ilvl="4" w:tplc="040C0003" w:tentative="1">
      <w:start w:val="1"/>
      <w:numFmt w:val="bullet"/>
      <w:lvlText w:val="o"/>
      <w:lvlJc w:val="left"/>
      <w:pPr>
        <w:ind w:left="3411" w:hanging="360"/>
      </w:pPr>
      <w:rPr>
        <w:rFonts w:ascii="Courier New" w:hAnsi="Courier New" w:cs="Courier New" w:hint="default"/>
      </w:rPr>
    </w:lvl>
    <w:lvl w:ilvl="5" w:tplc="040C0005" w:tentative="1">
      <w:start w:val="1"/>
      <w:numFmt w:val="bullet"/>
      <w:lvlText w:val=""/>
      <w:lvlJc w:val="left"/>
      <w:pPr>
        <w:ind w:left="4131" w:hanging="360"/>
      </w:pPr>
      <w:rPr>
        <w:rFonts w:ascii="Wingdings" w:hAnsi="Wingdings" w:hint="default"/>
      </w:rPr>
    </w:lvl>
    <w:lvl w:ilvl="6" w:tplc="040C0001" w:tentative="1">
      <w:start w:val="1"/>
      <w:numFmt w:val="bullet"/>
      <w:lvlText w:val=""/>
      <w:lvlJc w:val="left"/>
      <w:pPr>
        <w:ind w:left="4851" w:hanging="360"/>
      </w:pPr>
      <w:rPr>
        <w:rFonts w:ascii="Symbol" w:hAnsi="Symbol" w:hint="default"/>
      </w:rPr>
    </w:lvl>
    <w:lvl w:ilvl="7" w:tplc="040C0003" w:tentative="1">
      <w:start w:val="1"/>
      <w:numFmt w:val="bullet"/>
      <w:lvlText w:val="o"/>
      <w:lvlJc w:val="left"/>
      <w:pPr>
        <w:ind w:left="5571" w:hanging="360"/>
      </w:pPr>
      <w:rPr>
        <w:rFonts w:ascii="Courier New" w:hAnsi="Courier New" w:cs="Courier New" w:hint="default"/>
      </w:rPr>
    </w:lvl>
    <w:lvl w:ilvl="8" w:tplc="040C0005" w:tentative="1">
      <w:start w:val="1"/>
      <w:numFmt w:val="bullet"/>
      <w:lvlText w:val=""/>
      <w:lvlJc w:val="left"/>
      <w:pPr>
        <w:ind w:left="6291" w:hanging="360"/>
      </w:pPr>
      <w:rPr>
        <w:rFonts w:ascii="Wingdings" w:hAnsi="Wingdings" w:hint="default"/>
      </w:rPr>
    </w:lvl>
  </w:abstractNum>
  <w:abstractNum w:abstractNumId="10">
    <w:nsid w:val="0376788F"/>
    <w:multiLevelType w:val="hybridMultilevel"/>
    <w:tmpl w:val="CFE87606"/>
    <w:lvl w:ilvl="0" w:tplc="3D6498B2">
      <w:start w:val="1"/>
      <w:numFmt w:val="bullet"/>
      <w:lvlText w:val="•"/>
      <w:lvlJc w:val="left"/>
      <w:pPr>
        <w:tabs>
          <w:tab w:val="num" w:pos="720"/>
        </w:tabs>
        <w:ind w:left="720" w:hanging="360"/>
      </w:pPr>
      <w:rPr>
        <w:rFonts w:ascii="Arial" w:hAnsi="Arial" w:hint="default"/>
      </w:rPr>
    </w:lvl>
    <w:lvl w:ilvl="1" w:tplc="926CDBF2" w:tentative="1">
      <w:start w:val="1"/>
      <w:numFmt w:val="bullet"/>
      <w:lvlText w:val="•"/>
      <w:lvlJc w:val="left"/>
      <w:pPr>
        <w:tabs>
          <w:tab w:val="num" w:pos="1440"/>
        </w:tabs>
        <w:ind w:left="1440" w:hanging="360"/>
      </w:pPr>
      <w:rPr>
        <w:rFonts w:ascii="Arial" w:hAnsi="Arial" w:hint="default"/>
      </w:rPr>
    </w:lvl>
    <w:lvl w:ilvl="2" w:tplc="6518E010" w:tentative="1">
      <w:start w:val="1"/>
      <w:numFmt w:val="bullet"/>
      <w:lvlText w:val="•"/>
      <w:lvlJc w:val="left"/>
      <w:pPr>
        <w:tabs>
          <w:tab w:val="num" w:pos="2160"/>
        </w:tabs>
        <w:ind w:left="2160" w:hanging="360"/>
      </w:pPr>
      <w:rPr>
        <w:rFonts w:ascii="Arial" w:hAnsi="Arial" w:hint="default"/>
      </w:rPr>
    </w:lvl>
    <w:lvl w:ilvl="3" w:tplc="4810DFCC" w:tentative="1">
      <w:start w:val="1"/>
      <w:numFmt w:val="bullet"/>
      <w:lvlText w:val="•"/>
      <w:lvlJc w:val="left"/>
      <w:pPr>
        <w:tabs>
          <w:tab w:val="num" w:pos="2880"/>
        </w:tabs>
        <w:ind w:left="2880" w:hanging="360"/>
      </w:pPr>
      <w:rPr>
        <w:rFonts w:ascii="Arial" w:hAnsi="Arial" w:hint="default"/>
      </w:rPr>
    </w:lvl>
    <w:lvl w:ilvl="4" w:tplc="319C9BEE" w:tentative="1">
      <w:start w:val="1"/>
      <w:numFmt w:val="bullet"/>
      <w:lvlText w:val="•"/>
      <w:lvlJc w:val="left"/>
      <w:pPr>
        <w:tabs>
          <w:tab w:val="num" w:pos="3600"/>
        </w:tabs>
        <w:ind w:left="3600" w:hanging="360"/>
      </w:pPr>
      <w:rPr>
        <w:rFonts w:ascii="Arial" w:hAnsi="Arial" w:hint="default"/>
      </w:rPr>
    </w:lvl>
    <w:lvl w:ilvl="5" w:tplc="711EF674" w:tentative="1">
      <w:start w:val="1"/>
      <w:numFmt w:val="bullet"/>
      <w:lvlText w:val="•"/>
      <w:lvlJc w:val="left"/>
      <w:pPr>
        <w:tabs>
          <w:tab w:val="num" w:pos="4320"/>
        </w:tabs>
        <w:ind w:left="4320" w:hanging="360"/>
      </w:pPr>
      <w:rPr>
        <w:rFonts w:ascii="Arial" w:hAnsi="Arial" w:hint="default"/>
      </w:rPr>
    </w:lvl>
    <w:lvl w:ilvl="6" w:tplc="54B05F84" w:tentative="1">
      <w:start w:val="1"/>
      <w:numFmt w:val="bullet"/>
      <w:lvlText w:val="•"/>
      <w:lvlJc w:val="left"/>
      <w:pPr>
        <w:tabs>
          <w:tab w:val="num" w:pos="5040"/>
        </w:tabs>
        <w:ind w:left="5040" w:hanging="360"/>
      </w:pPr>
      <w:rPr>
        <w:rFonts w:ascii="Arial" w:hAnsi="Arial" w:hint="default"/>
      </w:rPr>
    </w:lvl>
    <w:lvl w:ilvl="7" w:tplc="C39A87CC" w:tentative="1">
      <w:start w:val="1"/>
      <w:numFmt w:val="bullet"/>
      <w:lvlText w:val="•"/>
      <w:lvlJc w:val="left"/>
      <w:pPr>
        <w:tabs>
          <w:tab w:val="num" w:pos="5760"/>
        </w:tabs>
        <w:ind w:left="5760" w:hanging="360"/>
      </w:pPr>
      <w:rPr>
        <w:rFonts w:ascii="Arial" w:hAnsi="Arial" w:hint="default"/>
      </w:rPr>
    </w:lvl>
    <w:lvl w:ilvl="8" w:tplc="3E7A5D5E" w:tentative="1">
      <w:start w:val="1"/>
      <w:numFmt w:val="bullet"/>
      <w:lvlText w:val="•"/>
      <w:lvlJc w:val="left"/>
      <w:pPr>
        <w:tabs>
          <w:tab w:val="num" w:pos="6480"/>
        </w:tabs>
        <w:ind w:left="6480" w:hanging="360"/>
      </w:pPr>
      <w:rPr>
        <w:rFonts w:ascii="Arial" w:hAnsi="Arial" w:hint="default"/>
      </w:rPr>
    </w:lvl>
  </w:abstractNum>
  <w:abstractNum w:abstractNumId="11">
    <w:nsid w:val="04137EC7"/>
    <w:multiLevelType w:val="hybridMultilevel"/>
    <w:tmpl w:val="EEC456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43F04BC"/>
    <w:multiLevelType w:val="hybridMultilevel"/>
    <w:tmpl w:val="6ABC2FB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04847C1C"/>
    <w:multiLevelType w:val="hybridMultilevel"/>
    <w:tmpl w:val="33467C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53D16E3"/>
    <w:multiLevelType w:val="hybridMultilevel"/>
    <w:tmpl w:val="49AE1F6C"/>
    <w:lvl w:ilvl="0" w:tplc="47F888E4">
      <w:start w:val="1"/>
      <w:numFmt w:val="bullet"/>
      <w:lvlText w:val="-"/>
      <w:lvlJc w:val="left"/>
      <w:pPr>
        <w:ind w:left="720" w:hanging="360"/>
      </w:pPr>
      <w:rPr>
        <w:rFonts w:ascii="Sylfaen" w:hAnsi="Sylfae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063B4611"/>
    <w:multiLevelType w:val="hybridMultilevel"/>
    <w:tmpl w:val="8A729F92"/>
    <w:lvl w:ilvl="0" w:tplc="ACD25F52">
      <w:start w:val="1"/>
      <w:numFmt w:val="lowerRoman"/>
      <w:lvlText w:val="%1."/>
      <w:lvlJc w:val="left"/>
      <w:pPr>
        <w:ind w:left="720" w:hanging="360"/>
      </w:pPr>
      <w:rPr>
        <w:rFonts w:cs="Calibri" w:hint="default"/>
        <w:sz w:val="22"/>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nsid w:val="06726CC4"/>
    <w:multiLevelType w:val="hybridMultilevel"/>
    <w:tmpl w:val="5EFA29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6E819A1"/>
    <w:multiLevelType w:val="hybridMultilevel"/>
    <w:tmpl w:val="D80A7FAE"/>
    <w:lvl w:ilvl="0" w:tplc="040C0001">
      <w:start w:val="1"/>
      <w:numFmt w:val="bullet"/>
      <w:lvlText w:val=""/>
      <w:lvlJc w:val="left"/>
      <w:pPr>
        <w:ind w:left="1211" w:hanging="360"/>
      </w:pPr>
      <w:rPr>
        <w:rFonts w:ascii="Symbol" w:hAnsi="Symbol"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18">
    <w:nsid w:val="075732A6"/>
    <w:multiLevelType w:val="hybridMultilevel"/>
    <w:tmpl w:val="AABEEB1A"/>
    <w:lvl w:ilvl="0" w:tplc="040C0001">
      <w:numFmt w:val="bullet"/>
      <w:lvlText w:val="-"/>
      <w:lvlJc w:val="left"/>
      <w:pPr>
        <w:ind w:left="720" w:hanging="360"/>
      </w:pPr>
      <w:rPr>
        <w:rFonts w:ascii="Bookman Old Style" w:hAnsi="Bookman Old Style"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082061E8"/>
    <w:multiLevelType w:val="hybridMultilevel"/>
    <w:tmpl w:val="7DBE8000"/>
    <w:lvl w:ilvl="0" w:tplc="AD169960">
      <w:start w:val="1"/>
      <w:numFmt w:val="bullet"/>
      <w:pStyle w:val="okpuce1"/>
      <w:lvlText w:val=""/>
      <w:lvlJc w:val="left"/>
      <w:pPr>
        <w:ind w:left="720" w:hanging="360"/>
      </w:pPr>
      <w:rPr>
        <w:rFonts w:ascii="Symbol" w:hAnsi="Symbol" w:hint="default"/>
      </w:rPr>
    </w:lvl>
    <w:lvl w:ilvl="1" w:tplc="040C0003">
      <w:start w:val="1"/>
      <w:numFmt w:val="bullet"/>
      <w:pStyle w:val="okpuce2"/>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08A7244B"/>
    <w:multiLevelType w:val="hybridMultilevel"/>
    <w:tmpl w:val="F146B290"/>
    <w:lvl w:ilvl="0" w:tplc="2EC496E4">
      <w:numFmt w:val="bullet"/>
      <w:lvlText w:val="-"/>
      <w:lvlJc w:val="left"/>
      <w:pPr>
        <w:ind w:left="720" w:hanging="360"/>
      </w:pPr>
      <w:rPr>
        <w:rFonts w:ascii="Arial" w:eastAsia="Arial" w:hAnsi="Arial" w:cs="Arial" w:hint="default"/>
        <w:w w:val="100"/>
        <w:sz w:val="21"/>
        <w:szCs w:val="21"/>
        <w:lang w:val="fr-FR" w:eastAsia="fr-FR" w:bidi="fr-FR"/>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09343BCD"/>
    <w:multiLevelType w:val="hybridMultilevel"/>
    <w:tmpl w:val="E1DAF3D2"/>
    <w:lvl w:ilvl="0" w:tplc="872415AA">
      <w:start w:val="1"/>
      <w:numFmt w:val="lowerRoman"/>
      <w:lvlText w:val="(%1)"/>
      <w:lvlJc w:val="left"/>
      <w:pPr>
        <w:tabs>
          <w:tab w:val="num" w:pos="720"/>
        </w:tabs>
        <w:ind w:left="720" w:hanging="360"/>
      </w:pPr>
      <w:rPr>
        <w:rFonts w:ascii="Arial" w:eastAsia="Calibri" w:hAnsi="Arial" w:cs="Arial"/>
      </w:rPr>
    </w:lvl>
    <w:lvl w:ilvl="1" w:tplc="31223D90">
      <w:start w:val="1"/>
      <w:numFmt w:val="decimal"/>
      <w:lvlText w:val="%2."/>
      <w:lvlJc w:val="left"/>
      <w:pPr>
        <w:tabs>
          <w:tab w:val="num" w:pos="1440"/>
        </w:tabs>
        <w:ind w:left="1440" w:hanging="360"/>
      </w:pPr>
    </w:lvl>
    <w:lvl w:ilvl="2" w:tplc="1802420C">
      <w:start w:val="1"/>
      <w:numFmt w:val="decimal"/>
      <w:lvlText w:val="%3."/>
      <w:lvlJc w:val="left"/>
      <w:pPr>
        <w:tabs>
          <w:tab w:val="num" w:pos="2160"/>
        </w:tabs>
        <w:ind w:left="2160" w:hanging="360"/>
      </w:pPr>
    </w:lvl>
    <w:lvl w:ilvl="3" w:tplc="23D87DFC">
      <w:start w:val="1"/>
      <w:numFmt w:val="decimal"/>
      <w:lvlText w:val="%4."/>
      <w:lvlJc w:val="left"/>
      <w:pPr>
        <w:tabs>
          <w:tab w:val="num" w:pos="2880"/>
        </w:tabs>
        <w:ind w:left="2880" w:hanging="360"/>
      </w:pPr>
    </w:lvl>
    <w:lvl w:ilvl="4" w:tplc="B7E69002">
      <w:start w:val="1"/>
      <w:numFmt w:val="decimal"/>
      <w:lvlText w:val="%5."/>
      <w:lvlJc w:val="left"/>
      <w:pPr>
        <w:tabs>
          <w:tab w:val="num" w:pos="3600"/>
        </w:tabs>
        <w:ind w:left="3600" w:hanging="360"/>
      </w:pPr>
    </w:lvl>
    <w:lvl w:ilvl="5" w:tplc="3A8C5CDC">
      <w:start w:val="1"/>
      <w:numFmt w:val="decimal"/>
      <w:lvlText w:val="%6."/>
      <w:lvlJc w:val="left"/>
      <w:pPr>
        <w:tabs>
          <w:tab w:val="num" w:pos="4320"/>
        </w:tabs>
        <w:ind w:left="4320" w:hanging="360"/>
      </w:pPr>
    </w:lvl>
    <w:lvl w:ilvl="6" w:tplc="C764C3D6">
      <w:start w:val="1"/>
      <w:numFmt w:val="decimal"/>
      <w:lvlText w:val="%7."/>
      <w:lvlJc w:val="left"/>
      <w:pPr>
        <w:tabs>
          <w:tab w:val="num" w:pos="5040"/>
        </w:tabs>
        <w:ind w:left="5040" w:hanging="360"/>
      </w:pPr>
    </w:lvl>
    <w:lvl w:ilvl="7" w:tplc="5C26B8B4">
      <w:start w:val="1"/>
      <w:numFmt w:val="decimal"/>
      <w:lvlText w:val="%8."/>
      <w:lvlJc w:val="left"/>
      <w:pPr>
        <w:tabs>
          <w:tab w:val="num" w:pos="5760"/>
        </w:tabs>
        <w:ind w:left="5760" w:hanging="360"/>
      </w:pPr>
    </w:lvl>
    <w:lvl w:ilvl="8" w:tplc="478E8C34">
      <w:start w:val="1"/>
      <w:numFmt w:val="decimal"/>
      <w:lvlText w:val="%9."/>
      <w:lvlJc w:val="left"/>
      <w:pPr>
        <w:tabs>
          <w:tab w:val="num" w:pos="6480"/>
        </w:tabs>
        <w:ind w:left="6480" w:hanging="360"/>
      </w:pPr>
    </w:lvl>
  </w:abstractNum>
  <w:abstractNum w:abstractNumId="22">
    <w:nsid w:val="09AE7ABF"/>
    <w:multiLevelType w:val="singleLevel"/>
    <w:tmpl w:val="992A7FCA"/>
    <w:lvl w:ilvl="0">
      <w:numFmt w:val="bullet"/>
      <w:pStyle w:val="PDSHeading2"/>
      <w:lvlText w:val="-"/>
      <w:lvlJc w:val="left"/>
      <w:pPr>
        <w:tabs>
          <w:tab w:val="num" w:pos="435"/>
        </w:tabs>
        <w:ind w:left="435" w:hanging="435"/>
      </w:pPr>
      <w:rPr>
        <w:rFonts w:hint="default"/>
        <w:color w:val="auto"/>
      </w:rPr>
    </w:lvl>
  </w:abstractNum>
  <w:abstractNum w:abstractNumId="23">
    <w:nsid w:val="09ED6D24"/>
    <w:multiLevelType w:val="multilevel"/>
    <w:tmpl w:val="B03440A6"/>
    <w:lvl w:ilvl="0">
      <w:start w:val="6"/>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0A33016C"/>
    <w:multiLevelType w:val="hybridMultilevel"/>
    <w:tmpl w:val="5E8C8246"/>
    <w:lvl w:ilvl="0" w:tplc="5FA4A80A">
      <w:start w:val="1"/>
      <w:numFmt w:val="bullet"/>
      <w:lvlText w:val=""/>
      <w:lvlJc w:val="left"/>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AE64BD8"/>
    <w:multiLevelType w:val="multilevel"/>
    <w:tmpl w:val="C99AC5E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0C8871B7"/>
    <w:multiLevelType w:val="multilevel"/>
    <w:tmpl w:val="8A72C4B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0CF41F42"/>
    <w:multiLevelType w:val="hybridMultilevel"/>
    <w:tmpl w:val="D27C5BA2"/>
    <w:lvl w:ilvl="0" w:tplc="040C0001">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8">
    <w:nsid w:val="0DB20596"/>
    <w:multiLevelType w:val="hybridMultilevel"/>
    <w:tmpl w:val="7BBEC166"/>
    <w:lvl w:ilvl="0" w:tplc="ED70A638">
      <w:start w:val="1"/>
      <w:numFmt w:val="bullet"/>
      <w:lvlText w:val="o"/>
      <w:lvlJc w:val="left"/>
      <w:pPr>
        <w:ind w:left="73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0052C6C6">
      <w:start w:val="1"/>
      <w:numFmt w:val="bullet"/>
      <w:lvlText w:val="o"/>
      <w:lvlJc w:val="left"/>
      <w:pPr>
        <w:ind w:left="144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0F42C576">
      <w:start w:val="1"/>
      <w:numFmt w:val="bullet"/>
      <w:lvlText w:val="▪"/>
      <w:lvlJc w:val="left"/>
      <w:pPr>
        <w:ind w:left="216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C62C3306">
      <w:start w:val="1"/>
      <w:numFmt w:val="bullet"/>
      <w:lvlText w:val="•"/>
      <w:lvlJc w:val="left"/>
      <w:pPr>
        <w:ind w:left="288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DC600D34">
      <w:start w:val="1"/>
      <w:numFmt w:val="bullet"/>
      <w:lvlText w:val="o"/>
      <w:lvlJc w:val="left"/>
      <w:pPr>
        <w:ind w:left="360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E7FC3CBA">
      <w:start w:val="1"/>
      <w:numFmt w:val="bullet"/>
      <w:lvlText w:val="▪"/>
      <w:lvlJc w:val="left"/>
      <w:pPr>
        <w:ind w:left="432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2A520D40">
      <w:start w:val="1"/>
      <w:numFmt w:val="bullet"/>
      <w:lvlText w:val="•"/>
      <w:lvlJc w:val="left"/>
      <w:pPr>
        <w:ind w:left="504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CA6667E2">
      <w:start w:val="1"/>
      <w:numFmt w:val="bullet"/>
      <w:lvlText w:val="o"/>
      <w:lvlJc w:val="left"/>
      <w:pPr>
        <w:ind w:left="576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C53AF4B4">
      <w:start w:val="1"/>
      <w:numFmt w:val="bullet"/>
      <w:lvlText w:val="▪"/>
      <w:lvlJc w:val="left"/>
      <w:pPr>
        <w:ind w:left="648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9">
    <w:nsid w:val="0E742292"/>
    <w:multiLevelType w:val="hybridMultilevel"/>
    <w:tmpl w:val="E5D231AC"/>
    <w:lvl w:ilvl="0" w:tplc="15CC8CF6">
      <w:numFmt w:val="bullet"/>
      <w:lvlText w:val="-"/>
      <w:lvlJc w:val="left"/>
      <w:pPr>
        <w:ind w:left="401" w:hanging="284"/>
      </w:pPr>
      <w:rPr>
        <w:rFonts w:ascii="Arial" w:eastAsia="Arial" w:hAnsi="Arial" w:cs="Arial" w:hint="default"/>
        <w:w w:val="100"/>
        <w:sz w:val="22"/>
        <w:szCs w:val="22"/>
        <w:lang w:val="fr-FR" w:eastAsia="en-US" w:bidi="ar-SA"/>
      </w:rPr>
    </w:lvl>
    <w:lvl w:ilvl="1" w:tplc="3A3691BA">
      <w:numFmt w:val="bullet"/>
      <w:lvlText w:val="•"/>
      <w:lvlJc w:val="left"/>
      <w:pPr>
        <w:ind w:left="962" w:hanging="284"/>
      </w:pPr>
      <w:rPr>
        <w:rFonts w:hint="default"/>
        <w:lang w:val="fr-FR" w:eastAsia="en-US" w:bidi="ar-SA"/>
      </w:rPr>
    </w:lvl>
    <w:lvl w:ilvl="2" w:tplc="0700EF7C">
      <w:numFmt w:val="bullet"/>
      <w:lvlText w:val="•"/>
      <w:lvlJc w:val="left"/>
      <w:pPr>
        <w:ind w:left="1524" w:hanging="284"/>
      </w:pPr>
      <w:rPr>
        <w:rFonts w:hint="default"/>
        <w:lang w:val="fr-FR" w:eastAsia="en-US" w:bidi="ar-SA"/>
      </w:rPr>
    </w:lvl>
    <w:lvl w:ilvl="3" w:tplc="25800BFA">
      <w:numFmt w:val="bullet"/>
      <w:lvlText w:val="•"/>
      <w:lvlJc w:val="left"/>
      <w:pPr>
        <w:ind w:left="2086" w:hanging="284"/>
      </w:pPr>
      <w:rPr>
        <w:rFonts w:hint="default"/>
        <w:lang w:val="fr-FR" w:eastAsia="en-US" w:bidi="ar-SA"/>
      </w:rPr>
    </w:lvl>
    <w:lvl w:ilvl="4" w:tplc="FA3EE62E">
      <w:numFmt w:val="bullet"/>
      <w:lvlText w:val="•"/>
      <w:lvlJc w:val="left"/>
      <w:pPr>
        <w:ind w:left="2648" w:hanging="284"/>
      </w:pPr>
      <w:rPr>
        <w:rFonts w:hint="default"/>
        <w:lang w:val="fr-FR" w:eastAsia="en-US" w:bidi="ar-SA"/>
      </w:rPr>
    </w:lvl>
    <w:lvl w:ilvl="5" w:tplc="34168172">
      <w:numFmt w:val="bullet"/>
      <w:lvlText w:val="•"/>
      <w:lvlJc w:val="left"/>
      <w:pPr>
        <w:ind w:left="3211" w:hanging="284"/>
      </w:pPr>
      <w:rPr>
        <w:rFonts w:hint="default"/>
        <w:lang w:val="fr-FR" w:eastAsia="en-US" w:bidi="ar-SA"/>
      </w:rPr>
    </w:lvl>
    <w:lvl w:ilvl="6" w:tplc="6FCEB872">
      <w:numFmt w:val="bullet"/>
      <w:lvlText w:val="•"/>
      <w:lvlJc w:val="left"/>
      <w:pPr>
        <w:ind w:left="3773" w:hanging="284"/>
      </w:pPr>
      <w:rPr>
        <w:rFonts w:hint="default"/>
        <w:lang w:val="fr-FR" w:eastAsia="en-US" w:bidi="ar-SA"/>
      </w:rPr>
    </w:lvl>
    <w:lvl w:ilvl="7" w:tplc="943EA050">
      <w:numFmt w:val="bullet"/>
      <w:lvlText w:val="•"/>
      <w:lvlJc w:val="left"/>
      <w:pPr>
        <w:ind w:left="4335" w:hanging="284"/>
      </w:pPr>
      <w:rPr>
        <w:rFonts w:hint="default"/>
        <w:lang w:val="fr-FR" w:eastAsia="en-US" w:bidi="ar-SA"/>
      </w:rPr>
    </w:lvl>
    <w:lvl w:ilvl="8" w:tplc="B608EF28">
      <w:numFmt w:val="bullet"/>
      <w:lvlText w:val="•"/>
      <w:lvlJc w:val="left"/>
      <w:pPr>
        <w:ind w:left="4897" w:hanging="284"/>
      </w:pPr>
      <w:rPr>
        <w:rFonts w:hint="default"/>
        <w:lang w:val="fr-FR" w:eastAsia="en-US" w:bidi="ar-SA"/>
      </w:rPr>
    </w:lvl>
  </w:abstractNum>
  <w:abstractNum w:abstractNumId="30">
    <w:nsid w:val="0F3177B6"/>
    <w:multiLevelType w:val="hybridMultilevel"/>
    <w:tmpl w:val="B1BAB978"/>
    <w:lvl w:ilvl="0" w:tplc="C82AA50A">
      <w:start w:val="1"/>
      <w:numFmt w:val="bullet"/>
      <w:lvlText w:val="•"/>
      <w:lvlJc w:val="left"/>
      <w:pPr>
        <w:tabs>
          <w:tab w:val="num" w:pos="720"/>
        </w:tabs>
        <w:ind w:left="720" w:hanging="360"/>
      </w:pPr>
      <w:rPr>
        <w:rFonts w:ascii="Arial" w:hAnsi="Arial" w:hint="default"/>
      </w:rPr>
    </w:lvl>
    <w:lvl w:ilvl="1" w:tplc="EEB0800E">
      <w:start w:val="1"/>
      <w:numFmt w:val="bullet"/>
      <w:lvlText w:val="•"/>
      <w:lvlJc w:val="left"/>
      <w:pPr>
        <w:tabs>
          <w:tab w:val="num" w:pos="1440"/>
        </w:tabs>
        <w:ind w:left="1440" w:hanging="360"/>
      </w:pPr>
      <w:rPr>
        <w:rFonts w:ascii="Arial" w:hAnsi="Arial" w:hint="default"/>
      </w:rPr>
    </w:lvl>
    <w:lvl w:ilvl="2" w:tplc="18EC6C5C" w:tentative="1">
      <w:start w:val="1"/>
      <w:numFmt w:val="bullet"/>
      <w:lvlText w:val="•"/>
      <w:lvlJc w:val="left"/>
      <w:pPr>
        <w:tabs>
          <w:tab w:val="num" w:pos="2160"/>
        </w:tabs>
        <w:ind w:left="2160" w:hanging="360"/>
      </w:pPr>
      <w:rPr>
        <w:rFonts w:ascii="Arial" w:hAnsi="Arial" w:hint="default"/>
      </w:rPr>
    </w:lvl>
    <w:lvl w:ilvl="3" w:tplc="836EACEC" w:tentative="1">
      <w:start w:val="1"/>
      <w:numFmt w:val="bullet"/>
      <w:lvlText w:val="•"/>
      <w:lvlJc w:val="left"/>
      <w:pPr>
        <w:tabs>
          <w:tab w:val="num" w:pos="2880"/>
        </w:tabs>
        <w:ind w:left="2880" w:hanging="360"/>
      </w:pPr>
      <w:rPr>
        <w:rFonts w:ascii="Arial" w:hAnsi="Arial" w:hint="default"/>
      </w:rPr>
    </w:lvl>
    <w:lvl w:ilvl="4" w:tplc="60D06790" w:tentative="1">
      <w:start w:val="1"/>
      <w:numFmt w:val="bullet"/>
      <w:lvlText w:val="•"/>
      <w:lvlJc w:val="left"/>
      <w:pPr>
        <w:tabs>
          <w:tab w:val="num" w:pos="3600"/>
        </w:tabs>
        <w:ind w:left="3600" w:hanging="360"/>
      </w:pPr>
      <w:rPr>
        <w:rFonts w:ascii="Arial" w:hAnsi="Arial" w:hint="default"/>
      </w:rPr>
    </w:lvl>
    <w:lvl w:ilvl="5" w:tplc="9A96D51E" w:tentative="1">
      <w:start w:val="1"/>
      <w:numFmt w:val="bullet"/>
      <w:lvlText w:val="•"/>
      <w:lvlJc w:val="left"/>
      <w:pPr>
        <w:tabs>
          <w:tab w:val="num" w:pos="4320"/>
        </w:tabs>
        <w:ind w:left="4320" w:hanging="360"/>
      </w:pPr>
      <w:rPr>
        <w:rFonts w:ascii="Arial" w:hAnsi="Arial" w:hint="default"/>
      </w:rPr>
    </w:lvl>
    <w:lvl w:ilvl="6" w:tplc="696238C2" w:tentative="1">
      <w:start w:val="1"/>
      <w:numFmt w:val="bullet"/>
      <w:lvlText w:val="•"/>
      <w:lvlJc w:val="left"/>
      <w:pPr>
        <w:tabs>
          <w:tab w:val="num" w:pos="5040"/>
        </w:tabs>
        <w:ind w:left="5040" w:hanging="360"/>
      </w:pPr>
      <w:rPr>
        <w:rFonts w:ascii="Arial" w:hAnsi="Arial" w:hint="default"/>
      </w:rPr>
    </w:lvl>
    <w:lvl w:ilvl="7" w:tplc="EF7E6ED6" w:tentative="1">
      <w:start w:val="1"/>
      <w:numFmt w:val="bullet"/>
      <w:lvlText w:val="•"/>
      <w:lvlJc w:val="left"/>
      <w:pPr>
        <w:tabs>
          <w:tab w:val="num" w:pos="5760"/>
        </w:tabs>
        <w:ind w:left="5760" w:hanging="360"/>
      </w:pPr>
      <w:rPr>
        <w:rFonts w:ascii="Arial" w:hAnsi="Arial" w:hint="default"/>
      </w:rPr>
    </w:lvl>
    <w:lvl w:ilvl="8" w:tplc="936C2E36" w:tentative="1">
      <w:start w:val="1"/>
      <w:numFmt w:val="bullet"/>
      <w:lvlText w:val="•"/>
      <w:lvlJc w:val="left"/>
      <w:pPr>
        <w:tabs>
          <w:tab w:val="num" w:pos="6480"/>
        </w:tabs>
        <w:ind w:left="6480" w:hanging="360"/>
      </w:pPr>
      <w:rPr>
        <w:rFonts w:ascii="Arial" w:hAnsi="Arial" w:hint="default"/>
      </w:rPr>
    </w:lvl>
  </w:abstractNum>
  <w:abstractNum w:abstractNumId="31">
    <w:nsid w:val="117E44D3"/>
    <w:multiLevelType w:val="hybridMultilevel"/>
    <w:tmpl w:val="203CF916"/>
    <w:lvl w:ilvl="0" w:tplc="51AC91C0">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13427AD3"/>
    <w:multiLevelType w:val="hybridMultilevel"/>
    <w:tmpl w:val="ACBEA25E"/>
    <w:lvl w:ilvl="0" w:tplc="51AC91C0">
      <w:start w:val="2"/>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3C23117"/>
    <w:multiLevelType w:val="hybridMultilevel"/>
    <w:tmpl w:val="0794F3C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14442DA8"/>
    <w:multiLevelType w:val="hybridMultilevel"/>
    <w:tmpl w:val="70F4E54A"/>
    <w:lvl w:ilvl="0" w:tplc="040C0019">
      <w:numFmt w:val="bullet"/>
      <w:lvlText w:val="-"/>
      <w:lvlJc w:val="left"/>
      <w:pPr>
        <w:ind w:left="720" w:hanging="360"/>
      </w:pPr>
      <w:rPr>
        <w:rFonts w:ascii="Times New Roman" w:eastAsia="Times New Roman" w:hAnsi="Times New Roman" w:cs="Times New Roman" w:hint="default"/>
        <w:b/>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156A4264"/>
    <w:multiLevelType w:val="hybridMultilevel"/>
    <w:tmpl w:val="8732F2EC"/>
    <w:lvl w:ilvl="0" w:tplc="CEC4C278">
      <w:start w:val="1"/>
      <w:numFmt w:val="decimal"/>
      <w:lvlText w:val="%1"/>
      <w:lvlJc w:val="left"/>
      <w:pPr>
        <w:ind w:left="836" w:hanging="164"/>
      </w:pPr>
      <w:rPr>
        <w:rFonts w:ascii="Carlito" w:eastAsia="Carlito" w:hAnsi="Carlito" w:cs="Carlito" w:hint="default"/>
        <w:w w:val="100"/>
        <w:sz w:val="22"/>
        <w:szCs w:val="22"/>
        <w:lang w:val="fr-FR" w:eastAsia="en-US" w:bidi="ar-SA"/>
      </w:rPr>
    </w:lvl>
    <w:lvl w:ilvl="1" w:tplc="EA5A29AE">
      <w:numFmt w:val="bullet"/>
      <w:lvlText w:val="•"/>
      <w:lvlJc w:val="left"/>
      <w:pPr>
        <w:ind w:left="1860" w:hanging="164"/>
      </w:pPr>
      <w:rPr>
        <w:rFonts w:hint="default"/>
        <w:lang w:val="fr-FR" w:eastAsia="en-US" w:bidi="ar-SA"/>
      </w:rPr>
    </w:lvl>
    <w:lvl w:ilvl="2" w:tplc="4B2ADB10">
      <w:numFmt w:val="bullet"/>
      <w:lvlText w:val="•"/>
      <w:lvlJc w:val="left"/>
      <w:pPr>
        <w:ind w:left="2881" w:hanging="164"/>
      </w:pPr>
      <w:rPr>
        <w:rFonts w:hint="default"/>
        <w:lang w:val="fr-FR" w:eastAsia="en-US" w:bidi="ar-SA"/>
      </w:rPr>
    </w:lvl>
    <w:lvl w:ilvl="3" w:tplc="973083C2">
      <w:numFmt w:val="bullet"/>
      <w:lvlText w:val="•"/>
      <w:lvlJc w:val="left"/>
      <w:pPr>
        <w:ind w:left="3901" w:hanging="164"/>
      </w:pPr>
      <w:rPr>
        <w:rFonts w:hint="default"/>
        <w:lang w:val="fr-FR" w:eastAsia="en-US" w:bidi="ar-SA"/>
      </w:rPr>
    </w:lvl>
    <w:lvl w:ilvl="4" w:tplc="1F042BA2">
      <w:numFmt w:val="bullet"/>
      <w:lvlText w:val="•"/>
      <w:lvlJc w:val="left"/>
      <w:pPr>
        <w:ind w:left="4922" w:hanging="164"/>
      </w:pPr>
      <w:rPr>
        <w:rFonts w:hint="default"/>
        <w:lang w:val="fr-FR" w:eastAsia="en-US" w:bidi="ar-SA"/>
      </w:rPr>
    </w:lvl>
    <w:lvl w:ilvl="5" w:tplc="362A7212">
      <w:numFmt w:val="bullet"/>
      <w:lvlText w:val="•"/>
      <w:lvlJc w:val="left"/>
      <w:pPr>
        <w:ind w:left="5943" w:hanging="164"/>
      </w:pPr>
      <w:rPr>
        <w:rFonts w:hint="default"/>
        <w:lang w:val="fr-FR" w:eastAsia="en-US" w:bidi="ar-SA"/>
      </w:rPr>
    </w:lvl>
    <w:lvl w:ilvl="6" w:tplc="ABDA3956">
      <w:numFmt w:val="bullet"/>
      <w:lvlText w:val="•"/>
      <w:lvlJc w:val="left"/>
      <w:pPr>
        <w:ind w:left="6963" w:hanging="164"/>
      </w:pPr>
      <w:rPr>
        <w:rFonts w:hint="default"/>
        <w:lang w:val="fr-FR" w:eastAsia="en-US" w:bidi="ar-SA"/>
      </w:rPr>
    </w:lvl>
    <w:lvl w:ilvl="7" w:tplc="1FFC5278">
      <w:numFmt w:val="bullet"/>
      <w:lvlText w:val="•"/>
      <w:lvlJc w:val="left"/>
      <w:pPr>
        <w:ind w:left="7984" w:hanging="164"/>
      </w:pPr>
      <w:rPr>
        <w:rFonts w:hint="default"/>
        <w:lang w:val="fr-FR" w:eastAsia="en-US" w:bidi="ar-SA"/>
      </w:rPr>
    </w:lvl>
    <w:lvl w:ilvl="8" w:tplc="4FC4831E">
      <w:numFmt w:val="bullet"/>
      <w:lvlText w:val="•"/>
      <w:lvlJc w:val="left"/>
      <w:pPr>
        <w:ind w:left="9005" w:hanging="164"/>
      </w:pPr>
      <w:rPr>
        <w:rFonts w:hint="default"/>
        <w:lang w:val="fr-FR" w:eastAsia="en-US" w:bidi="ar-SA"/>
      </w:rPr>
    </w:lvl>
  </w:abstractNum>
  <w:abstractNum w:abstractNumId="36">
    <w:nsid w:val="16A43CBB"/>
    <w:multiLevelType w:val="hybridMultilevel"/>
    <w:tmpl w:val="464C3786"/>
    <w:lvl w:ilvl="0" w:tplc="BF34B882">
      <w:start w:val="1"/>
      <w:numFmt w:val="bullet"/>
      <w:lvlText w:val="-"/>
      <w:lvlJc w:val="left"/>
      <w:pPr>
        <w:ind w:left="720" w:hanging="360"/>
      </w:pPr>
      <w:rPr>
        <w:rFonts w:ascii="Tahoma" w:hAnsi="Tahoma"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1833127A"/>
    <w:multiLevelType w:val="hybridMultilevel"/>
    <w:tmpl w:val="59D0F064"/>
    <w:lvl w:ilvl="0" w:tplc="F7041880">
      <w:numFmt w:val="bullet"/>
      <w:lvlText w:val="-"/>
      <w:lvlJc w:val="left"/>
      <w:pPr>
        <w:ind w:left="720" w:hanging="360"/>
      </w:pPr>
      <w:rPr>
        <w:rFonts w:ascii="Calibri" w:eastAsia="Calibr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nsid w:val="18704595"/>
    <w:multiLevelType w:val="hybridMultilevel"/>
    <w:tmpl w:val="4910634E"/>
    <w:lvl w:ilvl="0" w:tplc="040C0001">
      <w:start w:val="1"/>
      <w:numFmt w:val="bullet"/>
      <w:lvlText w:val=""/>
      <w:lvlJc w:val="left"/>
      <w:pPr>
        <w:ind w:left="643"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18DE38C2"/>
    <w:multiLevelType w:val="hybridMultilevel"/>
    <w:tmpl w:val="388CAEA2"/>
    <w:lvl w:ilvl="0" w:tplc="F9802858">
      <w:start w:val="1"/>
      <w:numFmt w:val="decimal"/>
      <w:lvlText w:val="%1."/>
      <w:lvlJc w:val="left"/>
      <w:pPr>
        <w:ind w:left="720" w:hanging="360"/>
      </w:pPr>
      <w:rPr>
        <w:rFonts w:ascii="Calibri" w:eastAsia="Calibri" w:hAnsi="Calibri"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91E3E4E"/>
    <w:multiLevelType w:val="multilevel"/>
    <w:tmpl w:val="C8A63AF6"/>
    <w:lvl w:ilvl="0">
      <w:start w:val="1"/>
      <w:numFmt w:val="upperRoman"/>
      <w:pStyle w:val="TRAFI11-TITRE1"/>
      <w:lvlText w:val="%1."/>
      <w:lvlJc w:val="left"/>
      <w:pPr>
        <w:ind w:left="1080" w:hanging="720"/>
      </w:pPr>
      <w:rPr>
        <w:rFonts w:hint="default"/>
        <w:b w:val="0"/>
      </w:rPr>
    </w:lvl>
    <w:lvl w:ilvl="1">
      <w:start w:val="1"/>
      <w:numFmt w:val="decimal"/>
      <w:isLgl/>
      <w:lvlText w:val="%1.%2."/>
      <w:lvlJc w:val="left"/>
      <w:pPr>
        <w:ind w:left="1080" w:hanging="720"/>
      </w:pPr>
      <w:rPr>
        <w:rFonts w:hint="default"/>
        <w:b w:val="0"/>
        <w:sz w:val="21"/>
      </w:rPr>
    </w:lvl>
    <w:lvl w:ilvl="2">
      <w:start w:val="1"/>
      <w:numFmt w:val="decimal"/>
      <w:pStyle w:val="TRAFI3"/>
      <w:isLgl/>
      <w:lvlText w:val="%1.%2.%3."/>
      <w:lvlJc w:val="left"/>
      <w:pPr>
        <w:ind w:left="1713" w:hanging="720"/>
      </w:pPr>
      <w:rPr>
        <w:rFonts w:ascii="Arial" w:hAnsi="Arial" w:cs="Arial" w:hint="default"/>
        <w:b w:val="0"/>
        <w:color w:val="000000"/>
        <w:sz w:val="21"/>
      </w:rPr>
    </w:lvl>
    <w:lvl w:ilvl="3">
      <w:start w:val="1"/>
      <w:numFmt w:val="decimal"/>
      <w:isLgl/>
      <w:lvlText w:val="%1.%2.%3.%4."/>
      <w:lvlJc w:val="left"/>
      <w:pPr>
        <w:ind w:left="1440" w:hanging="1080"/>
      </w:pPr>
      <w:rPr>
        <w:rFonts w:hint="default"/>
        <w:sz w:val="21"/>
      </w:rPr>
    </w:lvl>
    <w:lvl w:ilvl="4">
      <w:start w:val="1"/>
      <w:numFmt w:val="decimal"/>
      <w:isLgl/>
      <w:lvlText w:val="%1.%2.%3.%4.%5."/>
      <w:lvlJc w:val="left"/>
      <w:pPr>
        <w:ind w:left="1440" w:hanging="1080"/>
      </w:pPr>
      <w:rPr>
        <w:rFonts w:hint="default"/>
        <w:sz w:val="21"/>
      </w:rPr>
    </w:lvl>
    <w:lvl w:ilvl="5">
      <w:start w:val="1"/>
      <w:numFmt w:val="decimal"/>
      <w:isLgl/>
      <w:lvlText w:val="%1.%2.%3.%4.%5.%6."/>
      <w:lvlJc w:val="left"/>
      <w:pPr>
        <w:ind w:left="1800" w:hanging="1440"/>
      </w:pPr>
      <w:rPr>
        <w:rFonts w:hint="default"/>
        <w:sz w:val="21"/>
      </w:rPr>
    </w:lvl>
    <w:lvl w:ilvl="6">
      <w:start w:val="1"/>
      <w:numFmt w:val="decimal"/>
      <w:isLgl/>
      <w:lvlText w:val="%1.%2.%3.%4.%5.%6.%7."/>
      <w:lvlJc w:val="left"/>
      <w:pPr>
        <w:ind w:left="1800" w:hanging="1440"/>
      </w:pPr>
      <w:rPr>
        <w:rFonts w:hint="default"/>
        <w:sz w:val="21"/>
      </w:rPr>
    </w:lvl>
    <w:lvl w:ilvl="7">
      <w:start w:val="1"/>
      <w:numFmt w:val="decimal"/>
      <w:isLgl/>
      <w:lvlText w:val="%1.%2.%3.%4.%5.%6.%7.%8."/>
      <w:lvlJc w:val="left"/>
      <w:pPr>
        <w:ind w:left="2160" w:hanging="1800"/>
      </w:pPr>
      <w:rPr>
        <w:rFonts w:hint="default"/>
        <w:sz w:val="21"/>
      </w:rPr>
    </w:lvl>
    <w:lvl w:ilvl="8">
      <w:start w:val="1"/>
      <w:numFmt w:val="decimal"/>
      <w:isLgl/>
      <w:lvlText w:val="%1.%2.%3.%4.%5.%6.%7.%8.%9."/>
      <w:lvlJc w:val="left"/>
      <w:pPr>
        <w:ind w:left="2160" w:hanging="1800"/>
      </w:pPr>
      <w:rPr>
        <w:rFonts w:hint="default"/>
        <w:sz w:val="21"/>
      </w:rPr>
    </w:lvl>
  </w:abstractNum>
  <w:abstractNum w:abstractNumId="41">
    <w:nsid w:val="1A13116F"/>
    <w:multiLevelType w:val="hybridMultilevel"/>
    <w:tmpl w:val="F20C749E"/>
    <w:lvl w:ilvl="0" w:tplc="C1DC920A">
      <w:start w:val="1"/>
      <w:numFmt w:val="bullet"/>
      <w:lvlText w:val="-"/>
      <w:lvlJc w:val="left"/>
      <w:pPr>
        <w:ind w:left="720" w:hanging="360"/>
      </w:pPr>
      <w:rPr>
        <w:rFonts w:ascii="Comic Sans MS" w:eastAsia="Times New Roman" w:hAnsi="Comic Sans M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B34420E"/>
    <w:multiLevelType w:val="hybridMultilevel"/>
    <w:tmpl w:val="961EA7A0"/>
    <w:lvl w:ilvl="0" w:tplc="040C0019">
      <w:numFmt w:val="bullet"/>
      <w:lvlText w:val="-"/>
      <w:lvlJc w:val="left"/>
      <w:pPr>
        <w:ind w:left="720" w:hanging="360"/>
      </w:pPr>
      <w:rPr>
        <w:rFonts w:ascii="Times New Roman" w:eastAsia="Times New Roman" w:hAnsi="Times New Roman" w:cs="Times New Roman" w:hint="default"/>
        <w:b/>
        <w:color w:val="auto"/>
      </w:rPr>
    </w:lvl>
    <w:lvl w:ilvl="1" w:tplc="040C0019">
      <w:numFmt w:val="bullet"/>
      <w:lvlText w:val="-"/>
      <w:lvlJc w:val="left"/>
      <w:pPr>
        <w:ind w:left="1440" w:hanging="360"/>
      </w:pPr>
      <w:rPr>
        <w:rFonts w:ascii="Times New Roman" w:eastAsia="Times New Roman" w:hAnsi="Times New Roman" w:cs="Times New Roman" w:hint="default"/>
        <w:b/>
        <w:color w:val="auto"/>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1D976E80"/>
    <w:multiLevelType w:val="hybridMultilevel"/>
    <w:tmpl w:val="DE44858C"/>
    <w:lvl w:ilvl="0" w:tplc="B59CB356">
      <w:start w:val="1"/>
      <w:numFmt w:val="bullet"/>
      <w:lvlText w:val="-"/>
      <w:lvlJc w:val="left"/>
      <w:pPr>
        <w:ind w:left="1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342F332">
      <w:start w:val="1"/>
      <w:numFmt w:val="bullet"/>
      <w:lvlText w:val="o"/>
      <w:lvlJc w:val="left"/>
      <w:pPr>
        <w:ind w:left="1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85A9C24">
      <w:start w:val="1"/>
      <w:numFmt w:val="bullet"/>
      <w:lvlText w:val="▪"/>
      <w:lvlJc w:val="left"/>
      <w:pPr>
        <w:ind w:left="19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A181A94">
      <w:start w:val="1"/>
      <w:numFmt w:val="bullet"/>
      <w:lvlText w:val="•"/>
      <w:lvlJc w:val="left"/>
      <w:pPr>
        <w:ind w:left="26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7A0D220">
      <w:start w:val="1"/>
      <w:numFmt w:val="bullet"/>
      <w:lvlText w:val="o"/>
      <w:lvlJc w:val="left"/>
      <w:pPr>
        <w:ind w:left="33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0C4F340">
      <w:start w:val="1"/>
      <w:numFmt w:val="bullet"/>
      <w:lvlText w:val="▪"/>
      <w:lvlJc w:val="left"/>
      <w:pPr>
        <w:ind w:left="40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EA020D4">
      <w:start w:val="1"/>
      <w:numFmt w:val="bullet"/>
      <w:lvlText w:val="•"/>
      <w:lvlJc w:val="left"/>
      <w:pPr>
        <w:ind w:left="4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34CD7AA">
      <w:start w:val="1"/>
      <w:numFmt w:val="bullet"/>
      <w:lvlText w:val="o"/>
      <w:lvlJc w:val="left"/>
      <w:pPr>
        <w:ind w:left="5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178F864">
      <w:start w:val="1"/>
      <w:numFmt w:val="bullet"/>
      <w:lvlText w:val="▪"/>
      <w:lvlJc w:val="left"/>
      <w:pPr>
        <w:ind w:left="6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4">
    <w:nsid w:val="1DC254BC"/>
    <w:multiLevelType w:val="hybridMultilevel"/>
    <w:tmpl w:val="0660E21C"/>
    <w:lvl w:ilvl="0" w:tplc="0409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5">
    <w:nsid w:val="1DE51789"/>
    <w:multiLevelType w:val="multilevel"/>
    <w:tmpl w:val="4574FAE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nsid w:val="20313CB2"/>
    <w:multiLevelType w:val="hybridMultilevel"/>
    <w:tmpl w:val="6298C122"/>
    <w:lvl w:ilvl="0" w:tplc="B5120DBE">
      <w:start w:val="1"/>
      <w:numFmt w:val="lowerLetter"/>
      <w:lvlText w:val="%1)"/>
      <w:lvlJc w:val="left"/>
      <w:pPr>
        <w:ind w:left="1747" w:hanging="540"/>
      </w:pPr>
      <w:rPr>
        <w:rFonts w:ascii="Carlito" w:eastAsia="Carlito" w:hAnsi="Carlito" w:cs="Carlito" w:hint="default"/>
        <w:spacing w:val="-1"/>
        <w:w w:val="100"/>
        <w:sz w:val="22"/>
        <w:szCs w:val="22"/>
        <w:lang w:val="fr-FR" w:eastAsia="en-US" w:bidi="ar-SA"/>
      </w:rPr>
    </w:lvl>
    <w:lvl w:ilvl="1" w:tplc="7FB0E1AC">
      <w:numFmt w:val="bullet"/>
      <w:lvlText w:val="•"/>
      <w:lvlJc w:val="left"/>
      <w:pPr>
        <w:ind w:left="2614" w:hanging="540"/>
      </w:pPr>
      <w:rPr>
        <w:rFonts w:hint="default"/>
        <w:lang w:val="fr-FR" w:eastAsia="en-US" w:bidi="ar-SA"/>
      </w:rPr>
    </w:lvl>
    <w:lvl w:ilvl="2" w:tplc="474476C6">
      <w:numFmt w:val="bullet"/>
      <w:lvlText w:val="•"/>
      <w:lvlJc w:val="left"/>
      <w:pPr>
        <w:ind w:left="3489" w:hanging="540"/>
      </w:pPr>
      <w:rPr>
        <w:rFonts w:hint="default"/>
        <w:lang w:val="fr-FR" w:eastAsia="en-US" w:bidi="ar-SA"/>
      </w:rPr>
    </w:lvl>
    <w:lvl w:ilvl="3" w:tplc="F0DCCB8C">
      <w:numFmt w:val="bullet"/>
      <w:lvlText w:val="•"/>
      <w:lvlJc w:val="left"/>
      <w:pPr>
        <w:ind w:left="4363" w:hanging="540"/>
      </w:pPr>
      <w:rPr>
        <w:rFonts w:hint="default"/>
        <w:lang w:val="fr-FR" w:eastAsia="en-US" w:bidi="ar-SA"/>
      </w:rPr>
    </w:lvl>
    <w:lvl w:ilvl="4" w:tplc="53F2BE98">
      <w:numFmt w:val="bullet"/>
      <w:lvlText w:val="•"/>
      <w:lvlJc w:val="left"/>
      <w:pPr>
        <w:ind w:left="5238" w:hanging="540"/>
      </w:pPr>
      <w:rPr>
        <w:rFonts w:hint="default"/>
        <w:lang w:val="fr-FR" w:eastAsia="en-US" w:bidi="ar-SA"/>
      </w:rPr>
    </w:lvl>
    <w:lvl w:ilvl="5" w:tplc="49161E1E">
      <w:numFmt w:val="bullet"/>
      <w:lvlText w:val="•"/>
      <w:lvlJc w:val="left"/>
      <w:pPr>
        <w:ind w:left="6113" w:hanging="540"/>
      </w:pPr>
      <w:rPr>
        <w:rFonts w:hint="default"/>
        <w:lang w:val="fr-FR" w:eastAsia="en-US" w:bidi="ar-SA"/>
      </w:rPr>
    </w:lvl>
    <w:lvl w:ilvl="6" w:tplc="E464592E">
      <w:numFmt w:val="bullet"/>
      <w:lvlText w:val="•"/>
      <w:lvlJc w:val="left"/>
      <w:pPr>
        <w:ind w:left="6987" w:hanging="540"/>
      </w:pPr>
      <w:rPr>
        <w:rFonts w:hint="default"/>
        <w:lang w:val="fr-FR" w:eastAsia="en-US" w:bidi="ar-SA"/>
      </w:rPr>
    </w:lvl>
    <w:lvl w:ilvl="7" w:tplc="96444EB4">
      <w:numFmt w:val="bullet"/>
      <w:lvlText w:val="•"/>
      <w:lvlJc w:val="left"/>
      <w:pPr>
        <w:ind w:left="7862" w:hanging="540"/>
      </w:pPr>
      <w:rPr>
        <w:rFonts w:hint="default"/>
        <w:lang w:val="fr-FR" w:eastAsia="en-US" w:bidi="ar-SA"/>
      </w:rPr>
    </w:lvl>
    <w:lvl w:ilvl="8" w:tplc="A2C4CC56">
      <w:numFmt w:val="bullet"/>
      <w:lvlText w:val="•"/>
      <w:lvlJc w:val="left"/>
      <w:pPr>
        <w:ind w:left="8737" w:hanging="540"/>
      </w:pPr>
      <w:rPr>
        <w:rFonts w:hint="default"/>
        <w:lang w:val="fr-FR" w:eastAsia="en-US" w:bidi="ar-SA"/>
      </w:rPr>
    </w:lvl>
  </w:abstractNum>
  <w:abstractNum w:abstractNumId="47">
    <w:nsid w:val="219D4892"/>
    <w:multiLevelType w:val="hybridMultilevel"/>
    <w:tmpl w:val="A8E8770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8">
    <w:nsid w:val="21A20C7E"/>
    <w:multiLevelType w:val="hybridMultilevel"/>
    <w:tmpl w:val="D36443DE"/>
    <w:lvl w:ilvl="0" w:tplc="C1DC920A">
      <w:start w:val="1"/>
      <w:numFmt w:val="bullet"/>
      <w:lvlText w:val="-"/>
      <w:lvlJc w:val="left"/>
      <w:pPr>
        <w:ind w:left="720" w:hanging="360"/>
      </w:pPr>
      <w:rPr>
        <w:rFonts w:ascii="Comic Sans MS" w:eastAsia="Times New Roman" w:hAnsi="Comic Sans MS"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21A85C86"/>
    <w:multiLevelType w:val="hybridMultilevel"/>
    <w:tmpl w:val="70B8BC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21C65620"/>
    <w:multiLevelType w:val="hybridMultilevel"/>
    <w:tmpl w:val="BBBEDAD2"/>
    <w:lvl w:ilvl="0" w:tplc="6E3C700A">
      <w:start w:val="1"/>
      <w:numFmt w:val="bullet"/>
      <w:lvlText w:val="-"/>
      <w:lvlJc w:val="left"/>
      <w:pPr>
        <w:ind w:left="1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4C8AE9A">
      <w:start w:val="1"/>
      <w:numFmt w:val="bullet"/>
      <w:lvlText w:val="o"/>
      <w:lvlJc w:val="left"/>
      <w:pPr>
        <w:ind w:left="1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8B0090E">
      <w:start w:val="1"/>
      <w:numFmt w:val="bullet"/>
      <w:lvlText w:val="▪"/>
      <w:lvlJc w:val="left"/>
      <w:pPr>
        <w:ind w:left="19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3CC215E">
      <w:start w:val="1"/>
      <w:numFmt w:val="bullet"/>
      <w:lvlText w:val="•"/>
      <w:lvlJc w:val="left"/>
      <w:pPr>
        <w:ind w:left="26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39E95E6">
      <w:start w:val="1"/>
      <w:numFmt w:val="bullet"/>
      <w:lvlText w:val="o"/>
      <w:lvlJc w:val="left"/>
      <w:pPr>
        <w:ind w:left="33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B627814">
      <w:start w:val="1"/>
      <w:numFmt w:val="bullet"/>
      <w:lvlText w:val="▪"/>
      <w:lvlJc w:val="left"/>
      <w:pPr>
        <w:ind w:left="40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4D6A5BE">
      <w:start w:val="1"/>
      <w:numFmt w:val="bullet"/>
      <w:lvlText w:val="•"/>
      <w:lvlJc w:val="left"/>
      <w:pPr>
        <w:ind w:left="4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FE4E9B4">
      <w:start w:val="1"/>
      <w:numFmt w:val="bullet"/>
      <w:lvlText w:val="o"/>
      <w:lvlJc w:val="left"/>
      <w:pPr>
        <w:ind w:left="5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A2CE8FA">
      <w:start w:val="1"/>
      <w:numFmt w:val="bullet"/>
      <w:lvlText w:val="▪"/>
      <w:lvlJc w:val="left"/>
      <w:pPr>
        <w:ind w:left="6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1">
    <w:nsid w:val="21D5162B"/>
    <w:multiLevelType w:val="hybridMultilevel"/>
    <w:tmpl w:val="F7ECB7A0"/>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52">
    <w:nsid w:val="21E2080B"/>
    <w:multiLevelType w:val="hybridMultilevel"/>
    <w:tmpl w:val="9B5ECD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nsid w:val="22735760"/>
    <w:multiLevelType w:val="multilevel"/>
    <w:tmpl w:val="1B0E5B48"/>
    <w:lvl w:ilvl="0">
      <w:start w:val="1"/>
      <w:numFmt w:val="decimal"/>
      <w:lvlText w:val="%1."/>
      <w:lvlJc w:val="left"/>
      <w:pPr>
        <w:tabs>
          <w:tab w:val="num" w:pos="390"/>
        </w:tabs>
        <w:ind w:left="390" w:hanging="390"/>
      </w:pPr>
      <w:rPr>
        <w:rFonts w:hint="default"/>
        <w:sz w:val="24"/>
        <w:szCs w:val="24"/>
      </w:rPr>
    </w:lvl>
    <w:lvl w:ilvl="1">
      <w:start w:val="1"/>
      <w:numFmt w:val="decimal"/>
      <w:lvlText w:val="%1.%2."/>
      <w:lvlJc w:val="left"/>
      <w:pPr>
        <w:tabs>
          <w:tab w:val="num" w:pos="958"/>
        </w:tabs>
        <w:ind w:left="958" w:hanging="390"/>
      </w:pPr>
      <w:rPr>
        <w:rFonts w:hint="default"/>
        <w:b w:val="0"/>
        <w:i w:val="0"/>
        <w:sz w:val="22"/>
        <w:szCs w:val="22"/>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4">
    <w:nsid w:val="22A30B58"/>
    <w:multiLevelType w:val="hybridMultilevel"/>
    <w:tmpl w:val="348E71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330204A"/>
    <w:multiLevelType w:val="hybridMultilevel"/>
    <w:tmpl w:val="EE607C28"/>
    <w:lvl w:ilvl="0" w:tplc="9DCC096E">
      <w:numFmt w:val="bullet"/>
      <w:lvlText w:val="-"/>
      <w:lvlJc w:val="left"/>
      <w:pPr>
        <w:ind w:left="976" w:hanging="360"/>
      </w:pPr>
      <w:rPr>
        <w:rFonts w:ascii="LM Roman Caps 10" w:eastAsia="LM Roman Caps 10" w:hAnsi="LM Roman Caps 10" w:cs="LM Roman Caps 10" w:hint="default"/>
        <w:w w:val="100"/>
        <w:sz w:val="22"/>
        <w:szCs w:val="22"/>
        <w:lang w:val="en-US" w:eastAsia="en-US" w:bidi="ar-SA"/>
      </w:rPr>
    </w:lvl>
    <w:lvl w:ilvl="1" w:tplc="123866C6">
      <w:numFmt w:val="bullet"/>
      <w:lvlText w:val="•"/>
      <w:lvlJc w:val="left"/>
      <w:pPr>
        <w:ind w:left="1936" w:hanging="360"/>
      </w:pPr>
      <w:rPr>
        <w:rFonts w:hint="default"/>
        <w:lang w:val="en-US" w:eastAsia="en-US" w:bidi="ar-SA"/>
      </w:rPr>
    </w:lvl>
    <w:lvl w:ilvl="2" w:tplc="2E40A11C">
      <w:numFmt w:val="bullet"/>
      <w:lvlText w:val="•"/>
      <w:lvlJc w:val="left"/>
      <w:pPr>
        <w:ind w:left="2893" w:hanging="360"/>
      </w:pPr>
      <w:rPr>
        <w:rFonts w:hint="default"/>
        <w:lang w:val="en-US" w:eastAsia="en-US" w:bidi="ar-SA"/>
      </w:rPr>
    </w:lvl>
    <w:lvl w:ilvl="3" w:tplc="3AF08B96">
      <w:numFmt w:val="bullet"/>
      <w:lvlText w:val="•"/>
      <w:lvlJc w:val="left"/>
      <w:pPr>
        <w:ind w:left="3849" w:hanging="360"/>
      </w:pPr>
      <w:rPr>
        <w:rFonts w:hint="default"/>
        <w:lang w:val="en-US" w:eastAsia="en-US" w:bidi="ar-SA"/>
      </w:rPr>
    </w:lvl>
    <w:lvl w:ilvl="4" w:tplc="8494A506">
      <w:numFmt w:val="bullet"/>
      <w:lvlText w:val="•"/>
      <w:lvlJc w:val="left"/>
      <w:pPr>
        <w:ind w:left="4806" w:hanging="360"/>
      </w:pPr>
      <w:rPr>
        <w:rFonts w:hint="default"/>
        <w:lang w:val="en-US" w:eastAsia="en-US" w:bidi="ar-SA"/>
      </w:rPr>
    </w:lvl>
    <w:lvl w:ilvl="5" w:tplc="5A003B20">
      <w:numFmt w:val="bullet"/>
      <w:lvlText w:val="•"/>
      <w:lvlJc w:val="left"/>
      <w:pPr>
        <w:ind w:left="5763" w:hanging="360"/>
      </w:pPr>
      <w:rPr>
        <w:rFonts w:hint="default"/>
        <w:lang w:val="en-US" w:eastAsia="en-US" w:bidi="ar-SA"/>
      </w:rPr>
    </w:lvl>
    <w:lvl w:ilvl="6" w:tplc="A80C5E2A">
      <w:numFmt w:val="bullet"/>
      <w:lvlText w:val="•"/>
      <w:lvlJc w:val="left"/>
      <w:pPr>
        <w:ind w:left="6719" w:hanging="360"/>
      </w:pPr>
      <w:rPr>
        <w:rFonts w:hint="default"/>
        <w:lang w:val="en-US" w:eastAsia="en-US" w:bidi="ar-SA"/>
      </w:rPr>
    </w:lvl>
    <w:lvl w:ilvl="7" w:tplc="F0C673A6">
      <w:numFmt w:val="bullet"/>
      <w:lvlText w:val="•"/>
      <w:lvlJc w:val="left"/>
      <w:pPr>
        <w:ind w:left="7676" w:hanging="360"/>
      </w:pPr>
      <w:rPr>
        <w:rFonts w:hint="default"/>
        <w:lang w:val="en-US" w:eastAsia="en-US" w:bidi="ar-SA"/>
      </w:rPr>
    </w:lvl>
    <w:lvl w:ilvl="8" w:tplc="29449634">
      <w:numFmt w:val="bullet"/>
      <w:lvlText w:val="•"/>
      <w:lvlJc w:val="left"/>
      <w:pPr>
        <w:ind w:left="8633" w:hanging="360"/>
      </w:pPr>
      <w:rPr>
        <w:rFonts w:hint="default"/>
        <w:lang w:val="en-US" w:eastAsia="en-US" w:bidi="ar-SA"/>
      </w:rPr>
    </w:lvl>
  </w:abstractNum>
  <w:abstractNum w:abstractNumId="56">
    <w:nsid w:val="24F91911"/>
    <w:multiLevelType w:val="multilevel"/>
    <w:tmpl w:val="953A4D76"/>
    <w:lvl w:ilvl="0">
      <w:numFmt w:val="bullet"/>
      <w:lvlText w:val="-"/>
      <w:lvlJc w:val="left"/>
      <w:pPr>
        <w:ind w:left="644" w:hanging="360"/>
      </w:pPr>
      <w:rPr>
        <w:rFonts w:ascii="Verdana Ref" w:hAnsi="Verdana Ref"/>
      </w:rPr>
    </w:lvl>
    <w:lvl w:ilvl="1">
      <w:numFmt w:val="bullet"/>
      <w:lvlText w:val="o"/>
      <w:lvlJc w:val="left"/>
      <w:pPr>
        <w:ind w:left="1364" w:hanging="360"/>
      </w:pPr>
      <w:rPr>
        <w:rFonts w:ascii="Courier New" w:hAnsi="Courier New" w:cs="Courier New"/>
      </w:rPr>
    </w:lvl>
    <w:lvl w:ilvl="2">
      <w:numFmt w:val="bullet"/>
      <w:lvlText w:val=""/>
      <w:lvlJc w:val="left"/>
      <w:pPr>
        <w:ind w:left="2084" w:hanging="360"/>
      </w:pPr>
      <w:rPr>
        <w:rFonts w:ascii="Wingdings" w:hAnsi="Wingdings"/>
      </w:rPr>
    </w:lvl>
    <w:lvl w:ilvl="3">
      <w:numFmt w:val="bullet"/>
      <w:lvlText w:val=""/>
      <w:lvlJc w:val="left"/>
      <w:pPr>
        <w:ind w:left="2804" w:hanging="360"/>
      </w:pPr>
      <w:rPr>
        <w:rFonts w:ascii="Symbol" w:hAnsi="Symbol"/>
      </w:rPr>
    </w:lvl>
    <w:lvl w:ilvl="4">
      <w:numFmt w:val="bullet"/>
      <w:lvlText w:val="o"/>
      <w:lvlJc w:val="left"/>
      <w:pPr>
        <w:ind w:left="3524" w:hanging="360"/>
      </w:pPr>
      <w:rPr>
        <w:rFonts w:ascii="Courier New" w:hAnsi="Courier New" w:cs="Courier New"/>
      </w:rPr>
    </w:lvl>
    <w:lvl w:ilvl="5">
      <w:numFmt w:val="bullet"/>
      <w:lvlText w:val=""/>
      <w:lvlJc w:val="left"/>
      <w:pPr>
        <w:ind w:left="4244" w:hanging="360"/>
      </w:pPr>
      <w:rPr>
        <w:rFonts w:ascii="Wingdings" w:hAnsi="Wingdings"/>
      </w:rPr>
    </w:lvl>
    <w:lvl w:ilvl="6">
      <w:numFmt w:val="bullet"/>
      <w:lvlText w:val=""/>
      <w:lvlJc w:val="left"/>
      <w:pPr>
        <w:ind w:left="4964" w:hanging="360"/>
      </w:pPr>
      <w:rPr>
        <w:rFonts w:ascii="Symbol" w:hAnsi="Symbol"/>
      </w:rPr>
    </w:lvl>
    <w:lvl w:ilvl="7">
      <w:numFmt w:val="bullet"/>
      <w:lvlText w:val="o"/>
      <w:lvlJc w:val="left"/>
      <w:pPr>
        <w:ind w:left="5684" w:hanging="360"/>
      </w:pPr>
      <w:rPr>
        <w:rFonts w:ascii="Courier New" w:hAnsi="Courier New" w:cs="Courier New"/>
      </w:rPr>
    </w:lvl>
    <w:lvl w:ilvl="8">
      <w:numFmt w:val="bullet"/>
      <w:lvlText w:val=""/>
      <w:lvlJc w:val="left"/>
      <w:pPr>
        <w:ind w:left="6404" w:hanging="360"/>
      </w:pPr>
      <w:rPr>
        <w:rFonts w:ascii="Wingdings" w:hAnsi="Wingdings"/>
      </w:rPr>
    </w:lvl>
  </w:abstractNum>
  <w:abstractNum w:abstractNumId="57">
    <w:nsid w:val="25EB5F1A"/>
    <w:multiLevelType w:val="hybridMultilevel"/>
    <w:tmpl w:val="747408C6"/>
    <w:lvl w:ilvl="0" w:tplc="85FCACBC">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263621F9"/>
    <w:multiLevelType w:val="hybridMultilevel"/>
    <w:tmpl w:val="0E9CC520"/>
    <w:lvl w:ilvl="0" w:tplc="A0BCF4DA">
      <w:start w:val="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268E5C84"/>
    <w:multiLevelType w:val="hybridMultilevel"/>
    <w:tmpl w:val="00EEE306"/>
    <w:lvl w:ilvl="0" w:tplc="47F888E4">
      <w:start w:val="1"/>
      <w:numFmt w:val="bullet"/>
      <w:lvlText w:val="-"/>
      <w:lvlJc w:val="left"/>
      <w:pPr>
        <w:tabs>
          <w:tab w:val="num" w:pos="720"/>
        </w:tabs>
        <w:ind w:left="720" w:hanging="360"/>
      </w:pPr>
      <w:rPr>
        <w:rFonts w:ascii="Sylfaen" w:hAnsi="Sylfae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26F77D3D"/>
    <w:multiLevelType w:val="hybridMultilevel"/>
    <w:tmpl w:val="F9B8C1A6"/>
    <w:lvl w:ilvl="0" w:tplc="AA669368">
      <w:start w:val="1"/>
      <w:numFmt w:val="bullet"/>
      <w:lvlText w:val=""/>
      <w:lvlJc w:val="left"/>
      <w:pPr>
        <w:ind w:left="1287" w:hanging="360"/>
      </w:pPr>
      <w:rPr>
        <w:rFonts w:ascii="Symbol" w:hAnsi="Symbol" w:cs="Symbol" w:hint="default"/>
        <w:b w:val="0"/>
        <w:i w:val="0"/>
        <w:caps w:val="0"/>
        <w:strike w:val="0"/>
        <w:dstrike w:val="0"/>
        <w:vanish w:val="0"/>
        <w:sz w:val="18"/>
        <w:szCs w:val="18"/>
        <w:vertAlign w:val="baseline"/>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61">
    <w:nsid w:val="28306B85"/>
    <w:multiLevelType w:val="hybridMultilevel"/>
    <w:tmpl w:val="255ECFB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nsid w:val="29641DC3"/>
    <w:multiLevelType w:val="multilevel"/>
    <w:tmpl w:val="527CDA4A"/>
    <w:lvl w:ilvl="0">
      <w:start w:val="1"/>
      <w:numFmt w:val="decimal"/>
      <w:lvlText w:val="%1."/>
      <w:lvlJc w:val="left"/>
      <w:pPr>
        <w:ind w:left="360" w:hanging="360"/>
      </w:pPr>
    </w:lvl>
    <w:lvl w:ilvl="1">
      <w:start w:val="1"/>
      <w:numFmt w:val="decimal"/>
      <w:lvlText w:val="%1.%2."/>
      <w:lvlJc w:val="left"/>
      <w:pPr>
        <w:ind w:left="858" w:hanging="432"/>
      </w:pPr>
    </w:lvl>
    <w:lvl w:ilvl="2">
      <w:start w:val="1"/>
      <w:numFmt w:val="decimal"/>
      <w:lvlText w:val="%1.%2.%3."/>
      <w:lvlJc w:val="left"/>
      <w:pPr>
        <w:ind w:left="1072" w:hanging="504"/>
      </w:pPr>
    </w:lvl>
    <w:lvl w:ilvl="3">
      <w:start w:val="1"/>
      <w:numFmt w:val="decimal"/>
      <w:lvlText w:val="%1.%2.%3.%4."/>
      <w:lvlJc w:val="left"/>
      <w:pPr>
        <w:ind w:left="932"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2A4A255D"/>
    <w:multiLevelType w:val="hybridMultilevel"/>
    <w:tmpl w:val="2854865E"/>
    <w:lvl w:ilvl="0" w:tplc="47F888E4">
      <w:start w:val="1"/>
      <w:numFmt w:val="bullet"/>
      <w:lvlText w:val="-"/>
      <w:lvlJc w:val="left"/>
      <w:pPr>
        <w:ind w:left="720" w:hanging="360"/>
      </w:pPr>
      <w:rPr>
        <w:rFonts w:ascii="Sylfaen" w:hAnsi="Sylfae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2B33780F"/>
    <w:multiLevelType w:val="hybridMultilevel"/>
    <w:tmpl w:val="8A3464CE"/>
    <w:lvl w:ilvl="0" w:tplc="04090001">
      <w:start w:val="1"/>
      <w:numFmt w:val="bullet"/>
      <w:lvlText w:val=""/>
      <w:lvlJc w:val="left"/>
      <w:pPr>
        <w:ind w:left="720" w:hanging="720"/>
      </w:pPr>
      <w:rPr>
        <w:rFonts w:ascii="Symbol" w:hAnsi="Symbol" w:hint="default"/>
      </w:rPr>
    </w:lvl>
    <w:lvl w:ilvl="1" w:tplc="1EC837AC">
      <w:start w:val="1"/>
      <w:numFmt w:val="lowerLetter"/>
      <w:lvlText w:val="%2)"/>
      <w:lvlJc w:val="left"/>
      <w:pPr>
        <w:ind w:left="1104" w:hanging="384"/>
      </w:pPr>
      <w:rPr>
        <w:rFonts w:hint="default"/>
      </w:rPr>
    </w:lvl>
    <w:lvl w:ilvl="2" w:tplc="FAC85792">
      <w:start w:val="3"/>
      <w:numFmt w:val="upperLetter"/>
      <w:lvlText w:val="%3)"/>
      <w:lvlJc w:val="left"/>
      <w:pPr>
        <w:ind w:left="1980" w:hanging="360"/>
      </w:pPr>
      <w:rPr>
        <w:rFonts w:cs="Times New Roman" w:hint="default"/>
      </w:rPr>
    </w:lvl>
    <w:lvl w:ilvl="3" w:tplc="8AFC5E1A">
      <w:start w:val="5"/>
      <w:numFmt w:val="decimal"/>
      <w:lvlText w:val="%4."/>
      <w:lvlJc w:val="left"/>
      <w:pPr>
        <w:ind w:left="2520" w:hanging="360"/>
      </w:pPr>
      <w:rPr>
        <w:rFonts w:hint="default"/>
      </w:rPr>
    </w:lvl>
    <w:lvl w:ilvl="4" w:tplc="96F48196">
      <w:start w:val="1"/>
      <w:numFmt w:val="upperLetter"/>
      <w:lvlText w:val="%5."/>
      <w:lvlJc w:val="left"/>
      <w:pPr>
        <w:ind w:left="3240" w:hanging="360"/>
      </w:pPr>
      <w:rPr>
        <w:rFonts w:hint="default"/>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nsid w:val="2C057805"/>
    <w:multiLevelType w:val="multilevel"/>
    <w:tmpl w:val="6D9A3BF8"/>
    <w:lvl w:ilvl="0">
      <w:start w:val="1"/>
      <w:numFmt w:val="bullet"/>
      <w:lvlText w:val="-"/>
      <w:lvlJc w:val="left"/>
      <w:pPr>
        <w:ind w:left="720" w:hanging="360"/>
      </w:pPr>
      <w:rPr>
        <w:rFonts w:ascii="Sylfaen" w:hAnsi="Sylfaen" w:hint="default"/>
      </w:rPr>
    </w:lvl>
    <w:lvl w:ilvl="1">
      <w:start w:val="3"/>
      <w:numFmt w:val="bullet"/>
      <w:lvlText w:val="•"/>
      <w:lvlJc w:val="left"/>
      <w:pPr>
        <w:ind w:left="1440" w:hanging="360"/>
      </w:pPr>
      <w:rPr>
        <w:rFonts w:ascii="Arial Narrow" w:hAnsi="Arial Narrow" w:cs="Arial Narro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6">
    <w:nsid w:val="2C5041B1"/>
    <w:multiLevelType w:val="hybridMultilevel"/>
    <w:tmpl w:val="B1E40476"/>
    <w:lvl w:ilvl="0" w:tplc="47F888E4">
      <w:start w:val="1"/>
      <w:numFmt w:val="bullet"/>
      <w:lvlText w:val="-"/>
      <w:lvlJc w:val="left"/>
      <w:pPr>
        <w:tabs>
          <w:tab w:val="num" w:pos="360"/>
        </w:tabs>
        <w:ind w:left="360" w:hanging="360"/>
      </w:pPr>
      <w:rPr>
        <w:rFonts w:ascii="Sylfaen" w:hAnsi="Sylfaen" w:hint="default"/>
      </w:rPr>
    </w:lvl>
    <w:lvl w:ilvl="1" w:tplc="040C0003">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7">
    <w:nsid w:val="2CE62EE3"/>
    <w:multiLevelType w:val="hybridMultilevel"/>
    <w:tmpl w:val="5F26BF74"/>
    <w:lvl w:ilvl="0" w:tplc="040C0001">
      <w:start w:val="1"/>
      <w:numFmt w:val="bullet"/>
      <w:lvlText w:val=""/>
      <w:lvlJc w:val="left"/>
      <w:pPr>
        <w:ind w:left="360" w:hanging="360"/>
      </w:pPr>
      <w:rPr>
        <w:rFonts w:ascii="Symbol" w:hAnsi="Symbol" w:hint="default"/>
      </w:rPr>
    </w:lvl>
    <w:lvl w:ilvl="1" w:tplc="040C0019">
      <w:start w:val="1"/>
      <w:numFmt w:val="lowerLetter"/>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68">
    <w:nsid w:val="2D100261"/>
    <w:multiLevelType w:val="hybridMultilevel"/>
    <w:tmpl w:val="EF34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2D5F531C"/>
    <w:multiLevelType w:val="hybridMultilevel"/>
    <w:tmpl w:val="7ACEAEEE"/>
    <w:lvl w:ilvl="0" w:tplc="040A0001">
      <w:start w:val="1"/>
      <w:numFmt w:val="bullet"/>
      <w:lvlText w:val=""/>
      <w:lvlJc w:val="left"/>
      <w:pPr>
        <w:ind w:left="720" w:hanging="360"/>
      </w:pPr>
      <w:rPr>
        <w:rFonts w:ascii="Symbol" w:hAnsi="Symbol" w:hint="default"/>
      </w:rPr>
    </w:lvl>
    <w:lvl w:ilvl="1" w:tplc="04100019">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70">
    <w:nsid w:val="2F1743B0"/>
    <w:multiLevelType w:val="multilevel"/>
    <w:tmpl w:val="E296187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2FB037D8"/>
    <w:multiLevelType w:val="hybridMultilevel"/>
    <w:tmpl w:val="CA00071E"/>
    <w:lvl w:ilvl="0" w:tplc="04090017">
      <w:start w:val="1"/>
      <w:numFmt w:val="low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72">
    <w:nsid w:val="300730FA"/>
    <w:multiLevelType w:val="hybridMultilevel"/>
    <w:tmpl w:val="2BC0A9D4"/>
    <w:lvl w:ilvl="0" w:tplc="1F1265AC">
      <w:start w:val="6"/>
      <w:numFmt w:val="bullet"/>
      <w:lvlText w:val="-"/>
      <w:lvlJc w:val="left"/>
      <w:pPr>
        <w:ind w:left="322" w:hanging="216"/>
      </w:pPr>
      <w:rPr>
        <w:rFonts w:hint="default"/>
        <w:w w:val="100"/>
        <w:sz w:val="10"/>
        <w:szCs w:val="10"/>
        <w:lang w:val="fr-FR" w:eastAsia="en-US" w:bidi="ar-SA"/>
      </w:rPr>
    </w:lvl>
    <w:lvl w:ilvl="1" w:tplc="F5DEDEA0">
      <w:numFmt w:val="bullet"/>
      <w:lvlText w:val="•"/>
      <w:lvlJc w:val="left"/>
      <w:pPr>
        <w:ind w:left="687" w:hanging="216"/>
      </w:pPr>
      <w:rPr>
        <w:rFonts w:hint="default"/>
        <w:lang w:val="fr-FR" w:eastAsia="en-US" w:bidi="ar-SA"/>
      </w:rPr>
    </w:lvl>
    <w:lvl w:ilvl="2" w:tplc="4E9AFCC0">
      <w:numFmt w:val="bullet"/>
      <w:lvlText w:val="•"/>
      <w:lvlJc w:val="left"/>
      <w:pPr>
        <w:ind w:left="1055" w:hanging="216"/>
      </w:pPr>
      <w:rPr>
        <w:rFonts w:hint="default"/>
        <w:lang w:val="fr-FR" w:eastAsia="en-US" w:bidi="ar-SA"/>
      </w:rPr>
    </w:lvl>
    <w:lvl w:ilvl="3" w:tplc="F2A06AD0">
      <w:numFmt w:val="bullet"/>
      <w:lvlText w:val="•"/>
      <w:lvlJc w:val="left"/>
      <w:pPr>
        <w:ind w:left="1422" w:hanging="216"/>
      </w:pPr>
      <w:rPr>
        <w:rFonts w:hint="default"/>
        <w:lang w:val="fr-FR" w:eastAsia="en-US" w:bidi="ar-SA"/>
      </w:rPr>
    </w:lvl>
    <w:lvl w:ilvl="4" w:tplc="1D048CD0">
      <w:numFmt w:val="bullet"/>
      <w:lvlText w:val="•"/>
      <w:lvlJc w:val="left"/>
      <w:pPr>
        <w:ind w:left="1790" w:hanging="216"/>
      </w:pPr>
      <w:rPr>
        <w:rFonts w:hint="default"/>
        <w:lang w:val="fr-FR" w:eastAsia="en-US" w:bidi="ar-SA"/>
      </w:rPr>
    </w:lvl>
    <w:lvl w:ilvl="5" w:tplc="A97ED384">
      <w:numFmt w:val="bullet"/>
      <w:lvlText w:val="•"/>
      <w:lvlJc w:val="left"/>
      <w:pPr>
        <w:ind w:left="2157" w:hanging="216"/>
      </w:pPr>
      <w:rPr>
        <w:rFonts w:hint="default"/>
        <w:lang w:val="fr-FR" w:eastAsia="en-US" w:bidi="ar-SA"/>
      </w:rPr>
    </w:lvl>
    <w:lvl w:ilvl="6" w:tplc="29805A82">
      <w:numFmt w:val="bullet"/>
      <w:lvlText w:val="•"/>
      <w:lvlJc w:val="left"/>
      <w:pPr>
        <w:ind w:left="2525" w:hanging="216"/>
      </w:pPr>
      <w:rPr>
        <w:rFonts w:hint="default"/>
        <w:lang w:val="fr-FR" w:eastAsia="en-US" w:bidi="ar-SA"/>
      </w:rPr>
    </w:lvl>
    <w:lvl w:ilvl="7" w:tplc="849CF8E0">
      <w:numFmt w:val="bullet"/>
      <w:lvlText w:val="•"/>
      <w:lvlJc w:val="left"/>
      <w:pPr>
        <w:ind w:left="2892" w:hanging="216"/>
      </w:pPr>
      <w:rPr>
        <w:rFonts w:hint="default"/>
        <w:lang w:val="fr-FR" w:eastAsia="en-US" w:bidi="ar-SA"/>
      </w:rPr>
    </w:lvl>
    <w:lvl w:ilvl="8" w:tplc="37645840">
      <w:numFmt w:val="bullet"/>
      <w:lvlText w:val="•"/>
      <w:lvlJc w:val="left"/>
      <w:pPr>
        <w:ind w:left="3260" w:hanging="216"/>
      </w:pPr>
      <w:rPr>
        <w:rFonts w:hint="default"/>
        <w:lang w:val="fr-FR" w:eastAsia="en-US" w:bidi="ar-SA"/>
      </w:rPr>
    </w:lvl>
  </w:abstractNum>
  <w:abstractNum w:abstractNumId="73">
    <w:nsid w:val="31276A62"/>
    <w:multiLevelType w:val="multilevel"/>
    <w:tmpl w:val="1BCA6046"/>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4">
    <w:nsid w:val="314D1BE6"/>
    <w:multiLevelType w:val="hybridMultilevel"/>
    <w:tmpl w:val="F5241E32"/>
    <w:lvl w:ilvl="0" w:tplc="DB9EF912">
      <w:start w:val="1"/>
      <w:numFmt w:val="decimal"/>
      <w:lvlText w:val="%1"/>
      <w:lvlJc w:val="left"/>
      <w:pPr>
        <w:ind w:left="836" w:hanging="164"/>
      </w:pPr>
      <w:rPr>
        <w:rFonts w:ascii="Carlito" w:eastAsia="Carlito" w:hAnsi="Carlito" w:cs="Carlito" w:hint="default"/>
        <w:w w:val="100"/>
        <w:sz w:val="22"/>
        <w:szCs w:val="22"/>
        <w:lang w:val="fr-FR" w:eastAsia="en-US" w:bidi="ar-SA"/>
      </w:rPr>
    </w:lvl>
    <w:lvl w:ilvl="1" w:tplc="B4B06DF2">
      <w:numFmt w:val="bullet"/>
      <w:lvlText w:val="•"/>
      <w:lvlJc w:val="left"/>
      <w:pPr>
        <w:ind w:left="1860" w:hanging="164"/>
      </w:pPr>
      <w:rPr>
        <w:rFonts w:hint="default"/>
        <w:lang w:val="fr-FR" w:eastAsia="en-US" w:bidi="ar-SA"/>
      </w:rPr>
    </w:lvl>
    <w:lvl w:ilvl="2" w:tplc="5D1EAA72">
      <w:numFmt w:val="bullet"/>
      <w:lvlText w:val="•"/>
      <w:lvlJc w:val="left"/>
      <w:pPr>
        <w:ind w:left="2881" w:hanging="164"/>
      </w:pPr>
      <w:rPr>
        <w:rFonts w:hint="default"/>
        <w:lang w:val="fr-FR" w:eastAsia="en-US" w:bidi="ar-SA"/>
      </w:rPr>
    </w:lvl>
    <w:lvl w:ilvl="3" w:tplc="411AE00C">
      <w:numFmt w:val="bullet"/>
      <w:lvlText w:val="•"/>
      <w:lvlJc w:val="left"/>
      <w:pPr>
        <w:ind w:left="3901" w:hanging="164"/>
      </w:pPr>
      <w:rPr>
        <w:rFonts w:hint="default"/>
        <w:lang w:val="fr-FR" w:eastAsia="en-US" w:bidi="ar-SA"/>
      </w:rPr>
    </w:lvl>
    <w:lvl w:ilvl="4" w:tplc="F08A9D1E">
      <w:numFmt w:val="bullet"/>
      <w:lvlText w:val="•"/>
      <w:lvlJc w:val="left"/>
      <w:pPr>
        <w:ind w:left="4922" w:hanging="164"/>
      </w:pPr>
      <w:rPr>
        <w:rFonts w:hint="default"/>
        <w:lang w:val="fr-FR" w:eastAsia="en-US" w:bidi="ar-SA"/>
      </w:rPr>
    </w:lvl>
    <w:lvl w:ilvl="5" w:tplc="1AB2970A">
      <w:numFmt w:val="bullet"/>
      <w:lvlText w:val="•"/>
      <w:lvlJc w:val="left"/>
      <w:pPr>
        <w:ind w:left="5943" w:hanging="164"/>
      </w:pPr>
      <w:rPr>
        <w:rFonts w:hint="default"/>
        <w:lang w:val="fr-FR" w:eastAsia="en-US" w:bidi="ar-SA"/>
      </w:rPr>
    </w:lvl>
    <w:lvl w:ilvl="6" w:tplc="EBD4D294">
      <w:numFmt w:val="bullet"/>
      <w:lvlText w:val="•"/>
      <w:lvlJc w:val="left"/>
      <w:pPr>
        <w:ind w:left="6963" w:hanging="164"/>
      </w:pPr>
      <w:rPr>
        <w:rFonts w:hint="default"/>
        <w:lang w:val="fr-FR" w:eastAsia="en-US" w:bidi="ar-SA"/>
      </w:rPr>
    </w:lvl>
    <w:lvl w:ilvl="7" w:tplc="2498204C">
      <w:numFmt w:val="bullet"/>
      <w:lvlText w:val="•"/>
      <w:lvlJc w:val="left"/>
      <w:pPr>
        <w:ind w:left="7984" w:hanging="164"/>
      </w:pPr>
      <w:rPr>
        <w:rFonts w:hint="default"/>
        <w:lang w:val="fr-FR" w:eastAsia="en-US" w:bidi="ar-SA"/>
      </w:rPr>
    </w:lvl>
    <w:lvl w:ilvl="8" w:tplc="7902A464">
      <w:numFmt w:val="bullet"/>
      <w:lvlText w:val="•"/>
      <w:lvlJc w:val="left"/>
      <w:pPr>
        <w:ind w:left="9005" w:hanging="164"/>
      </w:pPr>
      <w:rPr>
        <w:rFonts w:hint="default"/>
        <w:lang w:val="fr-FR" w:eastAsia="en-US" w:bidi="ar-SA"/>
      </w:rPr>
    </w:lvl>
  </w:abstractNum>
  <w:abstractNum w:abstractNumId="75">
    <w:nsid w:val="323C5E0E"/>
    <w:multiLevelType w:val="hybridMultilevel"/>
    <w:tmpl w:val="3A48371E"/>
    <w:lvl w:ilvl="0" w:tplc="B8F05896">
      <w:start w:val="1"/>
      <w:numFmt w:val="decimal"/>
      <w:lvlText w:val="%1."/>
      <w:lvlJc w:val="left"/>
      <w:pPr>
        <w:ind w:left="459" w:hanging="199"/>
      </w:pPr>
      <w:rPr>
        <w:rFonts w:ascii="Times New Roman" w:eastAsia="Times New Roman" w:hAnsi="Times New Roman" w:cs="Times New Roman" w:hint="default"/>
        <w:b/>
        <w:bCs/>
        <w:spacing w:val="-2"/>
        <w:w w:val="79"/>
        <w:sz w:val="22"/>
        <w:szCs w:val="22"/>
        <w:lang w:val="fr-FR" w:eastAsia="en-US" w:bidi="ar-SA"/>
      </w:rPr>
    </w:lvl>
    <w:lvl w:ilvl="1" w:tplc="F6142650">
      <w:start w:val="1"/>
      <w:numFmt w:val="lowerLetter"/>
      <w:lvlText w:val="%2."/>
      <w:lvlJc w:val="left"/>
      <w:pPr>
        <w:ind w:left="1700" w:hanging="360"/>
      </w:pPr>
      <w:rPr>
        <w:rFonts w:ascii="Arial" w:eastAsia="Times New Roman" w:hAnsi="Arial" w:cs="Arial" w:hint="default"/>
        <w:b w:val="0"/>
        <w:bCs/>
        <w:w w:val="98"/>
        <w:sz w:val="22"/>
        <w:szCs w:val="22"/>
        <w:lang w:val="fr-FR" w:eastAsia="en-US" w:bidi="ar-SA"/>
      </w:rPr>
    </w:lvl>
    <w:lvl w:ilvl="2" w:tplc="FA16A850">
      <w:numFmt w:val="bullet"/>
      <w:lvlText w:val="•"/>
      <w:lvlJc w:val="left"/>
      <w:pPr>
        <w:ind w:left="2624" w:hanging="360"/>
      </w:pPr>
      <w:rPr>
        <w:rFonts w:hint="default"/>
        <w:lang w:val="fr-FR" w:eastAsia="en-US" w:bidi="ar-SA"/>
      </w:rPr>
    </w:lvl>
    <w:lvl w:ilvl="3" w:tplc="A7B67914">
      <w:numFmt w:val="bullet"/>
      <w:lvlText w:val="•"/>
      <w:lvlJc w:val="left"/>
      <w:pPr>
        <w:ind w:left="3548" w:hanging="360"/>
      </w:pPr>
      <w:rPr>
        <w:rFonts w:hint="default"/>
        <w:lang w:val="fr-FR" w:eastAsia="en-US" w:bidi="ar-SA"/>
      </w:rPr>
    </w:lvl>
    <w:lvl w:ilvl="4" w:tplc="6728E402">
      <w:numFmt w:val="bullet"/>
      <w:lvlText w:val="•"/>
      <w:lvlJc w:val="left"/>
      <w:pPr>
        <w:ind w:left="4473" w:hanging="360"/>
      </w:pPr>
      <w:rPr>
        <w:rFonts w:hint="default"/>
        <w:lang w:val="fr-FR" w:eastAsia="en-US" w:bidi="ar-SA"/>
      </w:rPr>
    </w:lvl>
    <w:lvl w:ilvl="5" w:tplc="E5220F56">
      <w:numFmt w:val="bullet"/>
      <w:lvlText w:val="•"/>
      <w:lvlJc w:val="left"/>
      <w:pPr>
        <w:ind w:left="5397" w:hanging="360"/>
      </w:pPr>
      <w:rPr>
        <w:rFonts w:hint="default"/>
        <w:lang w:val="fr-FR" w:eastAsia="en-US" w:bidi="ar-SA"/>
      </w:rPr>
    </w:lvl>
    <w:lvl w:ilvl="6" w:tplc="CF36F030">
      <w:numFmt w:val="bullet"/>
      <w:lvlText w:val="•"/>
      <w:lvlJc w:val="left"/>
      <w:pPr>
        <w:ind w:left="6322" w:hanging="360"/>
      </w:pPr>
      <w:rPr>
        <w:rFonts w:hint="default"/>
        <w:lang w:val="fr-FR" w:eastAsia="en-US" w:bidi="ar-SA"/>
      </w:rPr>
    </w:lvl>
    <w:lvl w:ilvl="7" w:tplc="227EC716">
      <w:numFmt w:val="bullet"/>
      <w:lvlText w:val="•"/>
      <w:lvlJc w:val="left"/>
      <w:pPr>
        <w:ind w:left="7246" w:hanging="360"/>
      </w:pPr>
      <w:rPr>
        <w:rFonts w:hint="default"/>
        <w:lang w:val="fr-FR" w:eastAsia="en-US" w:bidi="ar-SA"/>
      </w:rPr>
    </w:lvl>
    <w:lvl w:ilvl="8" w:tplc="3800B686">
      <w:numFmt w:val="bullet"/>
      <w:lvlText w:val="•"/>
      <w:lvlJc w:val="left"/>
      <w:pPr>
        <w:ind w:left="8171" w:hanging="360"/>
      </w:pPr>
      <w:rPr>
        <w:rFonts w:hint="default"/>
        <w:lang w:val="fr-FR" w:eastAsia="en-US" w:bidi="ar-SA"/>
      </w:rPr>
    </w:lvl>
  </w:abstractNum>
  <w:abstractNum w:abstractNumId="76">
    <w:nsid w:val="326E5DAE"/>
    <w:multiLevelType w:val="hybridMultilevel"/>
    <w:tmpl w:val="4C48CFD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nsid w:val="331A3CAB"/>
    <w:multiLevelType w:val="hybridMultilevel"/>
    <w:tmpl w:val="5C5830CE"/>
    <w:lvl w:ilvl="0" w:tplc="040C000B">
      <w:start w:val="1"/>
      <w:numFmt w:val="bullet"/>
      <w:lvlText w:val=""/>
      <w:lvlJc w:val="left"/>
      <w:pPr>
        <w:ind w:left="1967" w:hanging="360"/>
      </w:pPr>
      <w:rPr>
        <w:rFonts w:ascii="Wingdings" w:hAnsi="Wingdings" w:hint="default"/>
      </w:rPr>
    </w:lvl>
    <w:lvl w:ilvl="1" w:tplc="040C0003" w:tentative="1">
      <w:start w:val="1"/>
      <w:numFmt w:val="bullet"/>
      <w:lvlText w:val="o"/>
      <w:lvlJc w:val="left"/>
      <w:pPr>
        <w:ind w:left="2687" w:hanging="360"/>
      </w:pPr>
      <w:rPr>
        <w:rFonts w:ascii="Courier New" w:hAnsi="Courier New" w:cs="Courier New" w:hint="default"/>
      </w:rPr>
    </w:lvl>
    <w:lvl w:ilvl="2" w:tplc="040C0005" w:tentative="1">
      <w:start w:val="1"/>
      <w:numFmt w:val="bullet"/>
      <w:lvlText w:val=""/>
      <w:lvlJc w:val="left"/>
      <w:pPr>
        <w:ind w:left="3407" w:hanging="360"/>
      </w:pPr>
      <w:rPr>
        <w:rFonts w:ascii="Wingdings" w:hAnsi="Wingdings" w:hint="default"/>
      </w:rPr>
    </w:lvl>
    <w:lvl w:ilvl="3" w:tplc="040C0001" w:tentative="1">
      <w:start w:val="1"/>
      <w:numFmt w:val="bullet"/>
      <w:lvlText w:val=""/>
      <w:lvlJc w:val="left"/>
      <w:pPr>
        <w:ind w:left="4127" w:hanging="360"/>
      </w:pPr>
      <w:rPr>
        <w:rFonts w:ascii="Symbol" w:hAnsi="Symbol" w:hint="default"/>
      </w:rPr>
    </w:lvl>
    <w:lvl w:ilvl="4" w:tplc="040C0003" w:tentative="1">
      <w:start w:val="1"/>
      <w:numFmt w:val="bullet"/>
      <w:lvlText w:val="o"/>
      <w:lvlJc w:val="left"/>
      <w:pPr>
        <w:ind w:left="4847" w:hanging="360"/>
      </w:pPr>
      <w:rPr>
        <w:rFonts w:ascii="Courier New" w:hAnsi="Courier New" w:cs="Courier New" w:hint="default"/>
      </w:rPr>
    </w:lvl>
    <w:lvl w:ilvl="5" w:tplc="040C0005" w:tentative="1">
      <w:start w:val="1"/>
      <w:numFmt w:val="bullet"/>
      <w:lvlText w:val=""/>
      <w:lvlJc w:val="left"/>
      <w:pPr>
        <w:ind w:left="5567" w:hanging="360"/>
      </w:pPr>
      <w:rPr>
        <w:rFonts w:ascii="Wingdings" w:hAnsi="Wingdings" w:hint="default"/>
      </w:rPr>
    </w:lvl>
    <w:lvl w:ilvl="6" w:tplc="040C0001" w:tentative="1">
      <w:start w:val="1"/>
      <w:numFmt w:val="bullet"/>
      <w:lvlText w:val=""/>
      <w:lvlJc w:val="left"/>
      <w:pPr>
        <w:ind w:left="6287" w:hanging="360"/>
      </w:pPr>
      <w:rPr>
        <w:rFonts w:ascii="Symbol" w:hAnsi="Symbol" w:hint="default"/>
      </w:rPr>
    </w:lvl>
    <w:lvl w:ilvl="7" w:tplc="040C0003" w:tentative="1">
      <w:start w:val="1"/>
      <w:numFmt w:val="bullet"/>
      <w:lvlText w:val="o"/>
      <w:lvlJc w:val="left"/>
      <w:pPr>
        <w:ind w:left="7007" w:hanging="360"/>
      </w:pPr>
      <w:rPr>
        <w:rFonts w:ascii="Courier New" w:hAnsi="Courier New" w:cs="Courier New" w:hint="default"/>
      </w:rPr>
    </w:lvl>
    <w:lvl w:ilvl="8" w:tplc="040C0005" w:tentative="1">
      <w:start w:val="1"/>
      <w:numFmt w:val="bullet"/>
      <w:lvlText w:val=""/>
      <w:lvlJc w:val="left"/>
      <w:pPr>
        <w:ind w:left="7727" w:hanging="360"/>
      </w:pPr>
      <w:rPr>
        <w:rFonts w:ascii="Wingdings" w:hAnsi="Wingdings" w:hint="default"/>
      </w:rPr>
    </w:lvl>
  </w:abstractNum>
  <w:abstractNum w:abstractNumId="78">
    <w:nsid w:val="33836BA4"/>
    <w:multiLevelType w:val="hybridMultilevel"/>
    <w:tmpl w:val="5340192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33E348D9"/>
    <w:multiLevelType w:val="hybridMultilevel"/>
    <w:tmpl w:val="65FE17A8"/>
    <w:lvl w:ilvl="0" w:tplc="ADEA56F0">
      <w:start w:val="1"/>
      <w:numFmt w:val="decimal"/>
      <w:pStyle w:val="WB-Numbered"/>
      <w:lvlText w:val="%1."/>
      <w:lvlJc w:val="left"/>
      <w:pPr>
        <w:tabs>
          <w:tab w:val="num" w:pos="720"/>
        </w:tabs>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D15EB04C">
      <w:start w:val="1"/>
      <w:numFmt w:val="lowerRoman"/>
      <w:lvlText w:val="(%2)"/>
      <w:lvlJc w:val="left"/>
      <w:pPr>
        <w:tabs>
          <w:tab w:val="num" w:pos="1800"/>
        </w:tabs>
        <w:ind w:left="1800" w:hanging="72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2" w:tplc="04090001">
      <w:start w:val="1"/>
      <w:numFmt w:val="bullet"/>
      <w:lvlText w:val=""/>
      <w:lvlJc w:val="left"/>
      <w:pPr>
        <w:tabs>
          <w:tab w:val="num" w:pos="2340"/>
        </w:tabs>
        <w:ind w:left="2340" w:hanging="360"/>
      </w:pPr>
      <w:rPr>
        <w:rFonts w:ascii="Symbol" w:hAnsi="Symbol" w:hint="default"/>
        <w:b w:val="0"/>
        <w:i w:val="0"/>
        <w:caps w:val="0"/>
        <w:smallCaps w:val="0"/>
        <w:strike w:val="0"/>
        <w:dstrike w:val="0"/>
        <w:vanish w:val="0"/>
        <w:color w:val="000000"/>
        <w:spacing w:val="0"/>
        <w:kern w:val="0"/>
        <w:position w:val="0"/>
        <w:u w:val="none"/>
        <w:vertAlign w:val="baseline"/>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0">
    <w:nsid w:val="345A1F54"/>
    <w:multiLevelType w:val="hybridMultilevel"/>
    <w:tmpl w:val="2D324FA6"/>
    <w:lvl w:ilvl="0" w:tplc="47F888E4">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359E2C1B"/>
    <w:multiLevelType w:val="hybridMultilevel"/>
    <w:tmpl w:val="6962468C"/>
    <w:lvl w:ilvl="0" w:tplc="0409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
    <w:nsid w:val="36981CEF"/>
    <w:multiLevelType w:val="hybridMultilevel"/>
    <w:tmpl w:val="978C82D0"/>
    <w:lvl w:ilvl="0" w:tplc="4BDA6F2E">
      <w:start w:val="4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nsid w:val="36F04524"/>
    <w:multiLevelType w:val="hybridMultilevel"/>
    <w:tmpl w:val="55B45F7A"/>
    <w:lvl w:ilvl="0" w:tplc="33D02564">
      <w:numFmt w:val="bullet"/>
      <w:lvlText w:val="-"/>
      <w:lvlJc w:val="left"/>
      <w:pPr>
        <w:ind w:left="1402" w:hanging="360"/>
      </w:pPr>
      <w:rPr>
        <w:rFonts w:ascii="Times New Roman" w:eastAsia="Times New Roman" w:hAnsi="Times New Roman" w:cs="Times New Roman" w:hint="default"/>
        <w:b/>
        <w:bCs/>
        <w:w w:val="100"/>
        <w:sz w:val="22"/>
        <w:szCs w:val="22"/>
        <w:lang w:val="en-US" w:eastAsia="en-US" w:bidi="ar-SA"/>
      </w:rPr>
    </w:lvl>
    <w:lvl w:ilvl="1" w:tplc="E2DED9BA">
      <w:numFmt w:val="bullet"/>
      <w:lvlText w:val="•"/>
      <w:lvlJc w:val="left"/>
      <w:pPr>
        <w:ind w:left="2362" w:hanging="360"/>
      </w:pPr>
      <w:rPr>
        <w:rFonts w:hint="default"/>
        <w:lang w:val="en-US" w:eastAsia="en-US" w:bidi="ar-SA"/>
      </w:rPr>
    </w:lvl>
    <w:lvl w:ilvl="2" w:tplc="35CAF4F0">
      <w:numFmt w:val="bullet"/>
      <w:lvlText w:val="•"/>
      <w:lvlJc w:val="left"/>
      <w:pPr>
        <w:ind w:left="3319" w:hanging="360"/>
      </w:pPr>
      <w:rPr>
        <w:rFonts w:hint="default"/>
        <w:lang w:val="en-US" w:eastAsia="en-US" w:bidi="ar-SA"/>
      </w:rPr>
    </w:lvl>
    <w:lvl w:ilvl="3" w:tplc="3C8C55C8">
      <w:numFmt w:val="bullet"/>
      <w:lvlText w:val="•"/>
      <w:lvlJc w:val="left"/>
      <w:pPr>
        <w:ind w:left="4275" w:hanging="360"/>
      </w:pPr>
      <w:rPr>
        <w:rFonts w:hint="default"/>
        <w:lang w:val="en-US" w:eastAsia="en-US" w:bidi="ar-SA"/>
      </w:rPr>
    </w:lvl>
    <w:lvl w:ilvl="4" w:tplc="605C02BA">
      <w:numFmt w:val="bullet"/>
      <w:lvlText w:val="•"/>
      <w:lvlJc w:val="left"/>
      <w:pPr>
        <w:ind w:left="5232" w:hanging="360"/>
      </w:pPr>
      <w:rPr>
        <w:rFonts w:hint="default"/>
        <w:lang w:val="en-US" w:eastAsia="en-US" w:bidi="ar-SA"/>
      </w:rPr>
    </w:lvl>
    <w:lvl w:ilvl="5" w:tplc="110C8092">
      <w:numFmt w:val="bullet"/>
      <w:lvlText w:val="•"/>
      <w:lvlJc w:val="left"/>
      <w:pPr>
        <w:ind w:left="6189" w:hanging="360"/>
      </w:pPr>
      <w:rPr>
        <w:rFonts w:hint="default"/>
        <w:lang w:val="en-US" w:eastAsia="en-US" w:bidi="ar-SA"/>
      </w:rPr>
    </w:lvl>
    <w:lvl w:ilvl="6" w:tplc="C0227DDC">
      <w:numFmt w:val="bullet"/>
      <w:lvlText w:val="•"/>
      <w:lvlJc w:val="left"/>
      <w:pPr>
        <w:ind w:left="7145" w:hanging="360"/>
      </w:pPr>
      <w:rPr>
        <w:rFonts w:hint="default"/>
        <w:lang w:val="en-US" w:eastAsia="en-US" w:bidi="ar-SA"/>
      </w:rPr>
    </w:lvl>
    <w:lvl w:ilvl="7" w:tplc="D04C76E6">
      <w:numFmt w:val="bullet"/>
      <w:lvlText w:val="•"/>
      <w:lvlJc w:val="left"/>
      <w:pPr>
        <w:ind w:left="8102" w:hanging="360"/>
      </w:pPr>
      <w:rPr>
        <w:rFonts w:hint="default"/>
        <w:lang w:val="en-US" w:eastAsia="en-US" w:bidi="ar-SA"/>
      </w:rPr>
    </w:lvl>
    <w:lvl w:ilvl="8" w:tplc="E068786A">
      <w:numFmt w:val="bullet"/>
      <w:lvlText w:val="•"/>
      <w:lvlJc w:val="left"/>
      <w:pPr>
        <w:ind w:left="9059" w:hanging="360"/>
      </w:pPr>
      <w:rPr>
        <w:rFonts w:hint="default"/>
        <w:lang w:val="en-US" w:eastAsia="en-US" w:bidi="ar-SA"/>
      </w:rPr>
    </w:lvl>
  </w:abstractNum>
  <w:abstractNum w:abstractNumId="84">
    <w:nsid w:val="37FB4474"/>
    <w:multiLevelType w:val="hybridMultilevel"/>
    <w:tmpl w:val="D01651F8"/>
    <w:lvl w:ilvl="0" w:tplc="6AAA7EC0">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nsid w:val="38F429AE"/>
    <w:multiLevelType w:val="hybridMultilevel"/>
    <w:tmpl w:val="6966F502"/>
    <w:lvl w:ilvl="0" w:tplc="040C0001">
      <w:numFmt w:val="bullet"/>
      <w:lvlText w:val="-"/>
      <w:lvlJc w:val="left"/>
      <w:pPr>
        <w:ind w:left="720" w:hanging="360"/>
      </w:pPr>
      <w:rPr>
        <w:rFonts w:ascii="Bookman Old Style" w:hAnsi="Bookman Old Style" w:hint="default"/>
      </w:rPr>
    </w:lvl>
    <w:lvl w:ilvl="1" w:tplc="040C0019">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86">
    <w:nsid w:val="39077213"/>
    <w:multiLevelType w:val="hybridMultilevel"/>
    <w:tmpl w:val="4894C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3A452BBF"/>
    <w:multiLevelType w:val="hybridMultilevel"/>
    <w:tmpl w:val="D4EAA162"/>
    <w:lvl w:ilvl="0" w:tplc="2EC496E4">
      <w:numFmt w:val="bullet"/>
      <w:lvlText w:val="-"/>
      <w:lvlJc w:val="left"/>
      <w:pPr>
        <w:ind w:left="843" w:hanging="360"/>
      </w:pPr>
      <w:rPr>
        <w:rFonts w:ascii="Arial" w:eastAsia="Arial" w:hAnsi="Arial" w:cs="Arial" w:hint="default"/>
        <w:w w:val="100"/>
        <w:sz w:val="21"/>
        <w:szCs w:val="21"/>
        <w:lang w:val="fr-FR" w:eastAsia="fr-FR" w:bidi="fr-FR"/>
      </w:rPr>
    </w:lvl>
    <w:lvl w:ilvl="1" w:tplc="040C0003" w:tentative="1">
      <w:start w:val="1"/>
      <w:numFmt w:val="bullet"/>
      <w:lvlText w:val="o"/>
      <w:lvlJc w:val="left"/>
      <w:pPr>
        <w:ind w:left="1563" w:hanging="360"/>
      </w:pPr>
      <w:rPr>
        <w:rFonts w:ascii="Courier New" w:hAnsi="Courier New" w:cs="Courier New" w:hint="default"/>
      </w:rPr>
    </w:lvl>
    <w:lvl w:ilvl="2" w:tplc="040C0005" w:tentative="1">
      <w:start w:val="1"/>
      <w:numFmt w:val="bullet"/>
      <w:lvlText w:val=""/>
      <w:lvlJc w:val="left"/>
      <w:pPr>
        <w:ind w:left="2283" w:hanging="360"/>
      </w:pPr>
      <w:rPr>
        <w:rFonts w:ascii="Wingdings" w:hAnsi="Wingdings" w:hint="default"/>
      </w:rPr>
    </w:lvl>
    <w:lvl w:ilvl="3" w:tplc="040C0001" w:tentative="1">
      <w:start w:val="1"/>
      <w:numFmt w:val="bullet"/>
      <w:lvlText w:val=""/>
      <w:lvlJc w:val="left"/>
      <w:pPr>
        <w:ind w:left="3003" w:hanging="360"/>
      </w:pPr>
      <w:rPr>
        <w:rFonts w:ascii="Symbol" w:hAnsi="Symbol" w:hint="default"/>
      </w:rPr>
    </w:lvl>
    <w:lvl w:ilvl="4" w:tplc="040C0003" w:tentative="1">
      <w:start w:val="1"/>
      <w:numFmt w:val="bullet"/>
      <w:lvlText w:val="o"/>
      <w:lvlJc w:val="left"/>
      <w:pPr>
        <w:ind w:left="3723" w:hanging="360"/>
      </w:pPr>
      <w:rPr>
        <w:rFonts w:ascii="Courier New" w:hAnsi="Courier New" w:cs="Courier New" w:hint="default"/>
      </w:rPr>
    </w:lvl>
    <w:lvl w:ilvl="5" w:tplc="040C0005" w:tentative="1">
      <w:start w:val="1"/>
      <w:numFmt w:val="bullet"/>
      <w:lvlText w:val=""/>
      <w:lvlJc w:val="left"/>
      <w:pPr>
        <w:ind w:left="4443" w:hanging="360"/>
      </w:pPr>
      <w:rPr>
        <w:rFonts w:ascii="Wingdings" w:hAnsi="Wingdings" w:hint="default"/>
      </w:rPr>
    </w:lvl>
    <w:lvl w:ilvl="6" w:tplc="040C0001" w:tentative="1">
      <w:start w:val="1"/>
      <w:numFmt w:val="bullet"/>
      <w:lvlText w:val=""/>
      <w:lvlJc w:val="left"/>
      <w:pPr>
        <w:ind w:left="5163" w:hanging="360"/>
      </w:pPr>
      <w:rPr>
        <w:rFonts w:ascii="Symbol" w:hAnsi="Symbol" w:hint="default"/>
      </w:rPr>
    </w:lvl>
    <w:lvl w:ilvl="7" w:tplc="040C0003" w:tentative="1">
      <w:start w:val="1"/>
      <w:numFmt w:val="bullet"/>
      <w:lvlText w:val="o"/>
      <w:lvlJc w:val="left"/>
      <w:pPr>
        <w:ind w:left="5883" w:hanging="360"/>
      </w:pPr>
      <w:rPr>
        <w:rFonts w:ascii="Courier New" w:hAnsi="Courier New" w:cs="Courier New" w:hint="default"/>
      </w:rPr>
    </w:lvl>
    <w:lvl w:ilvl="8" w:tplc="040C0005" w:tentative="1">
      <w:start w:val="1"/>
      <w:numFmt w:val="bullet"/>
      <w:lvlText w:val=""/>
      <w:lvlJc w:val="left"/>
      <w:pPr>
        <w:ind w:left="6603" w:hanging="360"/>
      </w:pPr>
      <w:rPr>
        <w:rFonts w:ascii="Wingdings" w:hAnsi="Wingdings" w:hint="default"/>
      </w:rPr>
    </w:lvl>
  </w:abstractNum>
  <w:abstractNum w:abstractNumId="88">
    <w:nsid w:val="3BBF485E"/>
    <w:multiLevelType w:val="hybridMultilevel"/>
    <w:tmpl w:val="E3DC3096"/>
    <w:lvl w:ilvl="0" w:tplc="51AC91C0">
      <w:start w:val="2"/>
      <w:numFmt w:val="bullet"/>
      <w:lvlText w:val="-"/>
      <w:lvlJc w:val="left"/>
      <w:pPr>
        <w:ind w:left="733"/>
      </w:pPr>
      <w:rPr>
        <w:rFonts w:ascii="Times New Roman" w:eastAsia="Times New Roman"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0052C6C6">
      <w:start w:val="1"/>
      <w:numFmt w:val="bullet"/>
      <w:lvlText w:val="o"/>
      <w:lvlJc w:val="left"/>
      <w:pPr>
        <w:ind w:left="144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0F42C576">
      <w:start w:val="1"/>
      <w:numFmt w:val="bullet"/>
      <w:lvlText w:val="▪"/>
      <w:lvlJc w:val="left"/>
      <w:pPr>
        <w:ind w:left="216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C62C3306">
      <w:start w:val="1"/>
      <w:numFmt w:val="bullet"/>
      <w:lvlText w:val="•"/>
      <w:lvlJc w:val="left"/>
      <w:pPr>
        <w:ind w:left="288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DC600D34">
      <w:start w:val="1"/>
      <w:numFmt w:val="bullet"/>
      <w:lvlText w:val="o"/>
      <w:lvlJc w:val="left"/>
      <w:pPr>
        <w:ind w:left="360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E7FC3CBA">
      <w:start w:val="1"/>
      <w:numFmt w:val="bullet"/>
      <w:lvlText w:val="▪"/>
      <w:lvlJc w:val="left"/>
      <w:pPr>
        <w:ind w:left="432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2A520D40">
      <w:start w:val="1"/>
      <w:numFmt w:val="bullet"/>
      <w:lvlText w:val="•"/>
      <w:lvlJc w:val="left"/>
      <w:pPr>
        <w:ind w:left="504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CA6667E2">
      <w:start w:val="1"/>
      <w:numFmt w:val="bullet"/>
      <w:lvlText w:val="o"/>
      <w:lvlJc w:val="left"/>
      <w:pPr>
        <w:ind w:left="576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C53AF4B4">
      <w:start w:val="1"/>
      <w:numFmt w:val="bullet"/>
      <w:lvlText w:val="▪"/>
      <w:lvlJc w:val="left"/>
      <w:pPr>
        <w:ind w:left="648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89">
    <w:nsid w:val="3C7A61C9"/>
    <w:multiLevelType w:val="hybridMultilevel"/>
    <w:tmpl w:val="3B6C1200"/>
    <w:lvl w:ilvl="0" w:tplc="1F1265AC">
      <w:start w:val="6"/>
      <w:numFmt w:val="bullet"/>
      <w:lvlText w:val="-"/>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nsid w:val="3C9E371C"/>
    <w:multiLevelType w:val="hybridMultilevel"/>
    <w:tmpl w:val="BB02DD2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3CB072FF"/>
    <w:multiLevelType w:val="hybridMultilevel"/>
    <w:tmpl w:val="E272B3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nsid w:val="3D2E574E"/>
    <w:multiLevelType w:val="hybridMultilevel"/>
    <w:tmpl w:val="6E1ECE5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3E0349EC"/>
    <w:multiLevelType w:val="hybridMultilevel"/>
    <w:tmpl w:val="4DFC2302"/>
    <w:lvl w:ilvl="0" w:tplc="040C0001">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nsid w:val="3EF87796"/>
    <w:multiLevelType w:val="hybridMultilevel"/>
    <w:tmpl w:val="30E2C5BC"/>
    <w:lvl w:ilvl="0" w:tplc="040C0001">
      <w:start w:val="1"/>
      <w:numFmt w:val="bullet"/>
      <w:lvlText w:val="-"/>
      <w:lvlJc w:val="left"/>
      <w:pPr>
        <w:ind w:left="720" w:hanging="360"/>
      </w:pPr>
      <w:rPr>
        <w:rFonts w:ascii="(Utiliser une police de caractè" w:hAnsi="(Utiliser une police de caractè"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nsid w:val="3F3E6199"/>
    <w:multiLevelType w:val="hybridMultilevel"/>
    <w:tmpl w:val="9CBEAE22"/>
    <w:lvl w:ilvl="0" w:tplc="FB20ACD8">
      <w:start w:val="1"/>
      <w:numFmt w:val="decimal"/>
      <w:lvlText w:val="%1."/>
      <w:lvlJc w:val="left"/>
      <w:pPr>
        <w:ind w:left="720" w:hanging="360"/>
      </w:pPr>
      <w:rPr>
        <w:rFonts w:ascii="Arial Unicode MS" w:eastAsia="Arial Unicode MS" w:hAnsi="Arial Unicode MS" w:cs="Arial Unicode M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3F98654C"/>
    <w:multiLevelType w:val="hybridMultilevel"/>
    <w:tmpl w:val="CE9E1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40165751"/>
    <w:multiLevelType w:val="hybridMultilevel"/>
    <w:tmpl w:val="2BEA1940"/>
    <w:lvl w:ilvl="0" w:tplc="5FA4A80A">
      <w:start w:val="1"/>
      <w:numFmt w:val="bullet"/>
      <w:lvlText w:val=""/>
      <w:lvlJc w:val="left"/>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410F134F"/>
    <w:multiLevelType w:val="hybridMultilevel"/>
    <w:tmpl w:val="1E70133A"/>
    <w:lvl w:ilvl="0" w:tplc="2EC496E4">
      <w:numFmt w:val="bullet"/>
      <w:lvlText w:val="-"/>
      <w:lvlJc w:val="left"/>
      <w:pPr>
        <w:ind w:left="720" w:hanging="360"/>
      </w:pPr>
      <w:rPr>
        <w:rFonts w:ascii="Arial" w:eastAsia="Arial" w:hAnsi="Arial" w:cs="Arial" w:hint="default"/>
        <w:w w:val="100"/>
        <w:sz w:val="21"/>
        <w:szCs w:val="21"/>
        <w:lang w:val="fr-FR" w:eastAsia="fr-FR" w:bidi="fr-FR"/>
      </w:rPr>
    </w:lvl>
    <w:lvl w:ilvl="1" w:tplc="F104E3C8">
      <w:start w:val="1"/>
      <w:numFmt w:val="bullet"/>
      <w:lvlText w:val="·"/>
      <w:lvlJc w:val="left"/>
      <w:pPr>
        <w:ind w:left="1440" w:hanging="360"/>
      </w:pPr>
      <w:rPr>
        <w:rFonts w:ascii="Arial" w:eastAsia="Times New Roman"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nsid w:val="41517D3C"/>
    <w:multiLevelType w:val="hybridMultilevel"/>
    <w:tmpl w:val="386ABE40"/>
    <w:lvl w:ilvl="0" w:tplc="B76424E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0">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01">
    <w:nsid w:val="422C450B"/>
    <w:multiLevelType w:val="hybridMultilevel"/>
    <w:tmpl w:val="0EA062EE"/>
    <w:lvl w:ilvl="0" w:tplc="47F888E4">
      <w:start w:val="1"/>
      <w:numFmt w:val="bullet"/>
      <w:lvlText w:val="-"/>
      <w:lvlJc w:val="left"/>
      <w:pPr>
        <w:tabs>
          <w:tab w:val="num" w:pos="360"/>
        </w:tabs>
        <w:ind w:left="360" w:hanging="360"/>
      </w:pPr>
      <w:rPr>
        <w:rFonts w:ascii="Sylfaen" w:hAnsi="Sylfae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nsid w:val="42881A12"/>
    <w:multiLevelType w:val="multilevel"/>
    <w:tmpl w:val="D8D88E8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571" w:hanging="720"/>
      </w:pPr>
      <w:rPr>
        <w:rFonts w:hint="default"/>
        <w:b w:val="0"/>
        <w:i w:val="0"/>
        <w:i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3">
    <w:nsid w:val="42EA48A8"/>
    <w:multiLevelType w:val="multilevel"/>
    <w:tmpl w:val="2E943B50"/>
    <w:styleLink w:val="ListHeading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104">
    <w:nsid w:val="436A0969"/>
    <w:multiLevelType w:val="hybridMultilevel"/>
    <w:tmpl w:val="6E2ADB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4459425F"/>
    <w:multiLevelType w:val="multilevel"/>
    <w:tmpl w:val="11B0EA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6">
    <w:nsid w:val="45DF44D9"/>
    <w:multiLevelType w:val="hybridMultilevel"/>
    <w:tmpl w:val="D7686576"/>
    <w:lvl w:ilvl="0" w:tplc="51AC91C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45EF24B2"/>
    <w:multiLevelType w:val="hybridMultilevel"/>
    <w:tmpl w:val="D4624CAE"/>
    <w:lvl w:ilvl="0" w:tplc="47F888E4">
      <w:start w:val="1"/>
      <w:numFmt w:val="bullet"/>
      <w:lvlText w:val="-"/>
      <w:lvlJc w:val="left"/>
      <w:pPr>
        <w:tabs>
          <w:tab w:val="num" w:pos="360"/>
        </w:tabs>
        <w:ind w:left="360" w:hanging="360"/>
      </w:pPr>
      <w:rPr>
        <w:rFonts w:ascii="Sylfaen" w:hAnsi="Sylfaen"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08">
    <w:nsid w:val="471C4769"/>
    <w:multiLevelType w:val="multilevel"/>
    <w:tmpl w:val="5A167518"/>
    <w:lvl w:ilvl="0">
      <w:start w:val="6"/>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9">
    <w:nsid w:val="475F5253"/>
    <w:multiLevelType w:val="hybridMultilevel"/>
    <w:tmpl w:val="EFFE9A14"/>
    <w:lvl w:ilvl="0" w:tplc="C3123EC6">
      <w:start w:val="1"/>
      <w:numFmt w:val="bullet"/>
      <w:suff w:val="space"/>
      <w:lvlText w:val="-"/>
      <w:lvlJc w:val="left"/>
      <w:pPr>
        <w:ind w:left="0" w:firstLine="0"/>
      </w:pPr>
      <w:rPr>
        <w:rFonts w:ascii="Calibri" w:eastAsia="SimSun" w:hAnsi="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0">
    <w:nsid w:val="47D33209"/>
    <w:multiLevelType w:val="hybridMultilevel"/>
    <w:tmpl w:val="B47A227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1">
    <w:nsid w:val="48453FF5"/>
    <w:multiLevelType w:val="hybridMultilevel"/>
    <w:tmpl w:val="92D2F06A"/>
    <w:lvl w:ilvl="0" w:tplc="2B40BBBA">
      <w:start w:val="5"/>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nsid w:val="49102E3F"/>
    <w:multiLevelType w:val="hybridMultilevel"/>
    <w:tmpl w:val="85929C10"/>
    <w:lvl w:ilvl="0" w:tplc="452AB9EE">
      <w:start w:val="4"/>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3">
    <w:nsid w:val="49E22CC3"/>
    <w:multiLevelType w:val="hybridMultilevel"/>
    <w:tmpl w:val="456826E4"/>
    <w:lvl w:ilvl="0" w:tplc="7BC259D6">
      <w:start w:val="1"/>
      <w:numFmt w:val="lowerLetter"/>
      <w:lvlText w:val="%1)"/>
      <w:lvlJc w:val="left"/>
      <w:pPr>
        <w:ind w:left="-360" w:hanging="360"/>
      </w:pPr>
      <w:rPr>
        <w:b/>
        <w:bCs/>
        <w:i/>
        <w:iCs/>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14">
    <w:nsid w:val="4B9F5CD3"/>
    <w:multiLevelType w:val="hybridMultilevel"/>
    <w:tmpl w:val="6BC4B304"/>
    <w:lvl w:ilvl="0" w:tplc="EE48D2C6">
      <w:start w:val="1"/>
      <w:numFmt w:val="lowerLetter"/>
      <w:suff w:val="space"/>
      <w:lvlText w:val="%1)"/>
      <w:lvlJc w:val="left"/>
      <w:pPr>
        <w:ind w:left="0" w:firstLine="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5">
    <w:nsid w:val="4CF767EC"/>
    <w:multiLevelType w:val="hybridMultilevel"/>
    <w:tmpl w:val="AB96153C"/>
    <w:lvl w:ilvl="0" w:tplc="191A5852">
      <w:start w:val="1"/>
      <w:numFmt w:val="bullet"/>
      <w:lvlText w:val="-"/>
      <w:lvlJc w:val="left"/>
      <w:pPr>
        <w:ind w:left="695" w:hanging="360"/>
      </w:pPr>
      <w:rPr>
        <w:rFonts w:ascii="Calibri" w:eastAsia="MS Mincho" w:hAnsi="Calibri" w:cs="Calibri" w:hint="default"/>
      </w:rPr>
    </w:lvl>
    <w:lvl w:ilvl="1" w:tplc="04090003" w:tentative="1">
      <w:start w:val="1"/>
      <w:numFmt w:val="bullet"/>
      <w:lvlText w:val="o"/>
      <w:lvlJc w:val="left"/>
      <w:pPr>
        <w:ind w:left="1415" w:hanging="360"/>
      </w:pPr>
      <w:rPr>
        <w:rFonts w:ascii="Courier New" w:hAnsi="Courier New" w:cs="Courier New" w:hint="default"/>
      </w:rPr>
    </w:lvl>
    <w:lvl w:ilvl="2" w:tplc="04090005" w:tentative="1">
      <w:start w:val="1"/>
      <w:numFmt w:val="bullet"/>
      <w:lvlText w:val=""/>
      <w:lvlJc w:val="left"/>
      <w:pPr>
        <w:ind w:left="2135" w:hanging="360"/>
      </w:pPr>
      <w:rPr>
        <w:rFonts w:ascii="Wingdings" w:hAnsi="Wingdings" w:cs="Wingdings" w:hint="default"/>
      </w:rPr>
    </w:lvl>
    <w:lvl w:ilvl="3" w:tplc="04090001" w:tentative="1">
      <w:start w:val="1"/>
      <w:numFmt w:val="bullet"/>
      <w:lvlText w:val=""/>
      <w:lvlJc w:val="left"/>
      <w:pPr>
        <w:ind w:left="2855" w:hanging="360"/>
      </w:pPr>
      <w:rPr>
        <w:rFonts w:ascii="Symbol" w:hAnsi="Symbol" w:cs="Symbol" w:hint="default"/>
      </w:rPr>
    </w:lvl>
    <w:lvl w:ilvl="4" w:tplc="04090003" w:tentative="1">
      <w:start w:val="1"/>
      <w:numFmt w:val="bullet"/>
      <w:lvlText w:val="o"/>
      <w:lvlJc w:val="left"/>
      <w:pPr>
        <w:ind w:left="3575" w:hanging="360"/>
      </w:pPr>
      <w:rPr>
        <w:rFonts w:ascii="Courier New" w:hAnsi="Courier New" w:cs="Courier New" w:hint="default"/>
      </w:rPr>
    </w:lvl>
    <w:lvl w:ilvl="5" w:tplc="04090005" w:tentative="1">
      <w:start w:val="1"/>
      <w:numFmt w:val="bullet"/>
      <w:lvlText w:val=""/>
      <w:lvlJc w:val="left"/>
      <w:pPr>
        <w:ind w:left="4295" w:hanging="360"/>
      </w:pPr>
      <w:rPr>
        <w:rFonts w:ascii="Wingdings" w:hAnsi="Wingdings" w:cs="Wingdings" w:hint="default"/>
      </w:rPr>
    </w:lvl>
    <w:lvl w:ilvl="6" w:tplc="04090001" w:tentative="1">
      <w:start w:val="1"/>
      <w:numFmt w:val="bullet"/>
      <w:lvlText w:val=""/>
      <w:lvlJc w:val="left"/>
      <w:pPr>
        <w:ind w:left="5015" w:hanging="360"/>
      </w:pPr>
      <w:rPr>
        <w:rFonts w:ascii="Symbol" w:hAnsi="Symbol" w:cs="Symbol" w:hint="default"/>
      </w:rPr>
    </w:lvl>
    <w:lvl w:ilvl="7" w:tplc="04090003" w:tentative="1">
      <w:start w:val="1"/>
      <w:numFmt w:val="bullet"/>
      <w:lvlText w:val="o"/>
      <w:lvlJc w:val="left"/>
      <w:pPr>
        <w:ind w:left="5735" w:hanging="360"/>
      </w:pPr>
      <w:rPr>
        <w:rFonts w:ascii="Courier New" w:hAnsi="Courier New" w:cs="Courier New" w:hint="default"/>
      </w:rPr>
    </w:lvl>
    <w:lvl w:ilvl="8" w:tplc="04090005" w:tentative="1">
      <w:start w:val="1"/>
      <w:numFmt w:val="bullet"/>
      <w:lvlText w:val=""/>
      <w:lvlJc w:val="left"/>
      <w:pPr>
        <w:ind w:left="6455" w:hanging="360"/>
      </w:pPr>
      <w:rPr>
        <w:rFonts w:ascii="Wingdings" w:hAnsi="Wingdings" w:cs="Wingdings" w:hint="default"/>
      </w:rPr>
    </w:lvl>
  </w:abstractNum>
  <w:abstractNum w:abstractNumId="116">
    <w:nsid w:val="4F3314AE"/>
    <w:multiLevelType w:val="hybridMultilevel"/>
    <w:tmpl w:val="35045C58"/>
    <w:lvl w:ilvl="0" w:tplc="2B40BBBA">
      <w:start w:val="5"/>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7">
    <w:nsid w:val="4F467612"/>
    <w:multiLevelType w:val="hybridMultilevel"/>
    <w:tmpl w:val="5EFA29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4F5E1BA3"/>
    <w:multiLevelType w:val="hybridMultilevel"/>
    <w:tmpl w:val="E62CAF7E"/>
    <w:lvl w:ilvl="0" w:tplc="04090017">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9">
    <w:nsid w:val="50702864"/>
    <w:multiLevelType w:val="multilevel"/>
    <w:tmpl w:val="A11AEBC0"/>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0">
    <w:nsid w:val="50AA3F5F"/>
    <w:multiLevelType w:val="hybridMultilevel"/>
    <w:tmpl w:val="A58A316C"/>
    <w:lvl w:ilvl="0" w:tplc="510E0770">
      <w:start w:val="1"/>
      <w:numFmt w:val="lowerLetter"/>
      <w:lvlText w:val="%1)"/>
      <w:lvlJc w:val="left"/>
      <w:pPr>
        <w:ind w:left="1211" w:hanging="360"/>
      </w:pPr>
      <w:rPr>
        <w:rFonts w:hint="default"/>
      </w:rPr>
    </w:lvl>
    <w:lvl w:ilvl="1" w:tplc="040C0019" w:tentative="1">
      <w:start w:val="1"/>
      <w:numFmt w:val="lowerLetter"/>
      <w:lvlText w:val="%2."/>
      <w:lvlJc w:val="left"/>
      <w:pPr>
        <w:ind w:left="1931" w:hanging="360"/>
      </w:pPr>
    </w:lvl>
    <w:lvl w:ilvl="2" w:tplc="040C001B">
      <w:start w:val="1"/>
      <w:numFmt w:val="lowerRoman"/>
      <w:lvlText w:val="%3."/>
      <w:lvlJc w:val="right"/>
      <w:pPr>
        <w:ind w:left="2651" w:hanging="180"/>
      </w:pPr>
    </w:lvl>
    <w:lvl w:ilvl="3" w:tplc="040C000F">
      <w:start w:val="1"/>
      <w:numFmt w:val="decimal"/>
      <w:lvlText w:val="%4."/>
      <w:lvlJc w:val="left"/>
      <w:pPr>
        <w:ind w:left="360"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121">
    <w:nsid w:val="51AE4CFE"/>
    <w:multiLevelType w:val="hybridMultilevel"/>
    <w:tmpl w:val="8D2EBDD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2">
    <w:nsid w:val="52957653"/>
    <w:multiLevelType w:val="hybridMultilevel"/>
    <w:tmpl w:val="609C9FC0"/>
    <w:lvl w:ilvl="0" w:tplc="5F189A0C">
      <w:start w:val="13"/>
      <w:numFmt w:val="bullet"/>
      <w:lvlText w:val="-"/>
      <w:lvlJc w:val="left"/>
      <w:pPr>
        <w:ind w:left="531" w:hanging="360"/>
      </w:pPr>
      <w:rPr>
        <w:rFonts w:ascii="Times New Roman" w:eastAsia="Times New Roman" w:hAnsi="Times New Roman" w:cs="Times New Roman" w:hint="default"/>
      </w:rPr>
    </w:lvl>
    <w:lvl w:ilvl="1" w:tplc="040C0003" w:tentative="1">
      <w:start w:val="1"/>
      <w:numFmt w:val="bullet"/>
      <w:lvlText w:val="o"/>
      <w:lvlJc w:val="left"/>
      <w:pPr>
        <w:ind w:left="1251" w:hanging="360"/>
      </w:pPr>
      <w:rPr>
        <w:rFonts w:ascii="Courier New" w:hAnsi="Courier New" w:cs="Courier New" w:hint="default"/>
      </w:rPr>
    </w:lvl>
    <w:lvl w:ilvl="2" w:tplc="040C0005" w:tentative="1">
      <w:start w:val="1"/>
      <w:numFmt w:val="bullet"/>
      <w:lvlText w:val=""/>
      <w:lvlJc w:val="left"/>
      <w:pPr>
        <w:ind w:left="1971" w:hanging="360"/>
      </w:pPr>
      <w:rPr>
        <w:rFonts w:ascii="Wingdings" w:hAnsi="Wingdings" w:hint="default"/>
      </w:rPr>
    </w:lvl>
    <w:lvl w:ilvl="3" w:tplc="040C0001" w:tentative="1">
      <w:start w:val="1"/>
      <w:numFmt w:val="bullet"/>
      <w:lvlText w:val=""/>
      <w:lvlJc w:val="left"/>
      <w:pPr>
        <w:ind w:left="2691" w:hanging="360"/>
      </w:pPr>
      <w:rPr>
        <w:rFonts w:ascii="Symbol" w:hAnsi="Symbol" w:hint="default"/>
      </w:rPr>
    </w:lvl>
    <w:lvl w:ilvl="4" w:tplc="040C0003" w:tentative="1">
      <w:start w:val="1"/>
      <w:numFmt w:val="bullet"/>
      <w:lvlText w:val="o"/>
      <w:lvlJc w:val="left"/>
      <w:pPr>
        <w:ind w:left="3411" w:hanging="360"/>
      </w:pPr>
      <w:rPr>
        <w:rFonts w:ascii="Courier New" w:hAnsi="Courier New" w:cs="Courier New" w:hint="default"/>
      </w:rPr>
    </w:lvl>
    <w:lvl w:ilvl="5" w:tplc="040C0005" w:tentative="1">
      <w:start w:val="1"/>
      <w:numFmt w:val="bullet"/>
      <w:lvlText w:val=""/>
      <w:lvlJc w:val="left"/>
      <w:pPr>
        <w:ind w:left="4131" w:hanging="360"/>
      </w:pPr>
      <w:rPr>
        <w:rFonts w:ascii="Wingdings" w:hAnsi="Wingdings" w:hint="default"/>
      </w:rPr>
    </w:lvl>
    <w:lvl w:ilvl="6" w:tplc="040C0001" w:tentative="1">
      <w:start w:val="1"/>
      <w:numFmt w:val="bullet"/>
      <w:lvlText w:val=""/>
      <w:lvlJc w:val="left"/>
      <w:pPr>
        <w:ind w:left="4851" w:hanging="360"/>
      </w:pPr>
      <w:rPr>
        <w:rFonts w:ascii="Symbol" w:hAnsi="Symbol" w:hint="default"/>
      </w:rPr>
    </w:lvl>
    <w:lvl w:ilvl="7" w:tplc="040C0003" w:tentative="1">
      <w:start w:val="1"/>
      <w:numFmt w:val="bullet"/>
      <w:lvlText w:val="o"/>
      <w:lvlJc w:val="left"/>
      <w:pPr>
        <w:ind w:left="5571" w:hanging="360"/>
      </w:pPr>
      <w:rPr>
        <w:rFonts w:ascii="Courier New" w:hAnsi="Courier New" w:cs="Courier New" w:hint="default"/>
      </w:rPr>
    </w:lvl>
    <w:lvl w:ilvl="8" w:tplc="040C0005" w:tentative="1">
      <w:start w:val="1"/>
      <w:numFmt w:val="bullet"/>
      <w:lvlText w:val=""/>
      <w:lvlJc w:val="left"/>
      <w:pPr>
        <w:ind w:left="6291" w:hanging="360"/>
      </w:pPr>
      <w:rPr>
        <w:rFonts w:ascii="Wingdings" w:hAnsi="Wingdings" w:hint="default"/>
      </w:rPr>
    </w:lvl>
  </w:abstractNum>
  <w:abstractNum w:abstractNumId="123">
    <w:nsid w:val="53D37DCD"/>
    <w:multiLevelType w:val="multilevel"/>
    <w:tmpl w:val="FC3E90C2"/>
    <w:lvl w:ilvl="0">
      <w:start w:val="1"/>
      <w:numFmt w:val="decimal"/>
      <w:lvlText w:val="%1."/>
      <w:lvlJc w:val="left"/>
      <w:pPr>
        <w:ind w:left="720" w:hanging="360"/>
      </w:pPr>
      <w:rPr>
        <w:rFonts w:hint="default"/>
        <w:b w:val="0"/>
      </w:rPr>
    </w:lvl>
    <w:lvl w:ilvl="1">
      <w:start w:val="1"/>
      <w:numFmt w:val="bullet"/>
      <w:lvlText w:val="-"/>
      <w:lvlJc w:val="left"/>
      <w:pPr>
        <w:ind w:left="720" w:hanging="360"/>
      </w:pPr>
      <w:rPr>
        <w:rFonts w:ascii="Sylfaen" w:hAnsi="Sylfaen" w:hint="default"/>
        <w:b w:val="0"/>
      </w:rPr>
    </w:lvl>
    <w:lvl w:ilvl="2">
      <w:start w:val="1"/>
      <w:numFmt w:val="decimal"/>
      <w:isLgl/>
      <w:lvlText w:val="%1.%2.%3."/>
      <w:lvlJc w:val="left"/>
      <w:pPr>
        <w:ind w:left="2280" w:hanging="720"/>
      </w:pPr>
      <w:rPr>
        <w:rFonts w:hint="default"/>
        <w:i/>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4">
    <w:nsid w:val="543E0BA5"/>
    <w:multiLevelType w:val="hybridMultilevel"/>
    <w:tmpl w:val="F598704C"/>
    <w:lvl w:ilvl="0" w:tplc="5F189A0C">
      <w:start w:val="13"/>
      <w:numFmt w:val="bullet"/>
      <w:lvlText w:val="-"/>
      <w:lvlJc w:val="left"/>
      <w:pPr>
        <w:ind w:left="531" w:hanging="360"/>
      </w:pPr>
      <w:rPr>
        <w:rFonts w:ascii="Times New Roman" w:eastAsia="Times New Roman" w:hAnsi="Times New Roman" w:cs="Times New Roman" w:hint="default"/>
      </w:rPr>
    </w:lvl>
    <w:lvl w:ilvl="1" w:tplc="040C0003" w:tentative="1">
      <w:start w:val="1"/>
      <w:numFmt w:val="bullet"/>
      <w:lvlText w:val="o"/>
      <w:lvlJc w:val="left"/>
      <w:pPr>
        <w:ind w:left="1251" w:hanging="360"/>
      </w:pPr>
      <w:rPr>
        <w:rFonts w:ascii="Courier New" w:hAnsi="Courier New" w:cs="Courier New" w:hint="default"/>
      </w:rPr>
    </w:lvl>
    <w:lvl w:ilvl="2" w:tplc="040C0005" w:tentative="1">
      <w:start w:val="1"/>
      <w:numFmt w:val="bullet"/>
      <w:lvlText w:val=""/>
      <w:lvlJc w:val="left"/>
      <w:pPr>
        <w:ind w:left="1971" w:hanging="360"/>
      </w:pPr>
      <w:rPr>
        <w:rFonts w:ascii="Wingdings" w:hAnsi="Wingdings" w:hint="default"/>
      </w:rPr>
    </w:lvl>
    <w:lvl w:ilvl="3" w:tplc="040C0001" w:tentative="1">
      <w:start w:val="1"/>
      <w:numFmt w:val="bullet"/>
      <w:lvlText w:val=""/>
      <w:lvlJc w:val="left"/>
      <w:pPr>
        <w:ind w:left="2691" w:hanging="360"/>
      </w:pPr>
      <w:rPr>
        <w:rFonts w:ascii="Symbol" w:hAnsi="Symbol" w:hint="default"/>
      </w:rPr>
    </w:lvl>
    <w:lvl w:ilvl="4" w:tplc="040C0003" w:tentative="1">
      <w:start w:val="1"/>
      <w:numFmt w:val="bullet"/>
      <w:lvlText w:val="o"/>
      <w:lvlJc w:val="left"/>
      <w:pPr>
        <w:ind w:left="3411" w:hanging="360"/>
      </w:pPr>
      <w:rPr>
        <w:rFonts w:ascii="Courier New" w:hAnsi="Courier New" w:cs="Courier New" w:hint="default"/>
      </w:rPr>
    </w:lvl>
    <w:lvl w:ilvl="5" w:tplc="040C0005" w:tentative="1">
      <w:start w:val="1"/>
      <w:numFmt w:val="bullet"/>
      <w:lvlText w:val=""/>
      <w:lvlJc w:val="left"/>
      <w:pPr>
        <w:ind w:left="4131" w:hanging="360"/>
      </w:pPr>
      <w:rPr>
        <w:rFonts w:ascii="Wingdings" w:hAnsi="Wingdings" w:hint="default"/>
      </w:rPr>
    </w:lvl>
    <w:lvl w:ilvl="6" w:tplc="040C0001" w:tentative="1">
      <w:start w:val="1"/>
      <w:numFmt w:val="bullet"/>
      <w:lvlText w:val=""/>
      <w:lvlJc w:val="left"/>
      <w:pPr>
        <w:ind w:left="4851" w:hanging="360"/>
      </w:pPr>
      <w:rPr>
        <w:rFonts w:ascii="Symbol" w:hAnsi="Symbol" w:hint="default"/>
      </w:rPr>
    </w:lvl>
    <w:lvl w:ilvl="7" w:tplc="040C0003" w:tentative="1">
      <w:start w:val="1"/>
      <w:numFmt w:val="bullet"/>
      <w:lvlText w:val="o"/>
      <w:lvlJc w:val="left"/>
      <w:pPr>
        <w:ind w:left="5571" w:hanging="360"/>
      </w:pPr>
      <w:rPr>
        <w:rFonts w:ascii="Courier New" w:hAnsi="Courier New" w:cs="Courier New" w:hint="default"/>
      </w:rPr>
    </w:lvl>
    <w:lvl w:ilvl="8" w:tplc="040C0005" w:tentative="1">
      <w:start w:val="1"/>
      <w:numFmt w:val="bullet"/>
      <w:lvlText w:val=""/>
      <w:lvlJc w:val="left"/>
      <w:pPr>
        <w:ind w:left="6291" w:hanging="360"/>
      </w:pPr>
      <w:rPr>
        <w:rFonts w:ascii="Wingdings" w:hAnsi="Wingdings" w:hint="default"/>
      </w:rPr>
    </w:lvl>
  </w:abstractNum>
  <w:abstractNum w:abstractNumId="125">
    <w:nsid w:val="54BD25ED"/>
    <w:multiLevelType w:val="hybridMultilevel"/>
    <w:tmpl w:val="64D4710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6">
    <w:nsid w:val="54F57360"/>
    <w:multiLevelType w:val="hybridMultilevel"/>
    <w:tmpl w:val="E1CAC3A0"/>
    <w:lvl w:ilvl="0" w:tplc="5F189A0C">
      <w:start w:val="13"/>
      <w:numFmt w:val="bullet"/>
      <w:lvlText w:val="-"/>
      <w:lvlJc w:val="left"/>
      <w:pPr>
        <w:ind w:left="531" w:hanging="360"/>
      </w:pPr>
      <w:rPr>
        <w:rFonts w:ascii="Times New Roman" w:eastAsia="Times New Roman" w:hAnsi="Times New Roman" w:cs="Times New Roman" w:hint="default"/>
      </w:rPr>
    </w:lvl>
    <w:lvl w:ilvl="1" w:tplc="040C0003" w:tentative="1">
      <w:start w:val="1"/>
      <w:numFmt w:val="bullet"/>
      <w:lvlText w:val="o"/>
      <w:lvlJc w:val="left"/>
      <w:pPr>
        <w:ind w:left="1251" w:hanging="360"/>
      </w:pPr>
      <w:rPr>
        <w:rFonts w:ascii="Courier New" w:hAnsi="Courier New" w:cs="Courier New" w:hint="default"/>
      </w:rPr>
    </w:lvl>
    <w:lvl w:ilvl="2" w:tplc="040C0005" w:tentative="1">
      <w:start w:val="1"/>
      <w:numFmt w:val="bullet"/>
      <w:lvlText w:val=""/>
      <w:lvlJc w:val="left"/>
      <w:pPr>
        <w:ind w:left="1971" w:hanging="360"/>
      </w:pPr>
      <w:rPr>
        <w:rFonts w:ascii="Wingdings" w:hAnsi="Wingdings" w:hint="default"/>
      </w:rPr>
    </w:lvl>
    <w:lvl w:ilvl="3" w:tplc="040C0001" w:tentative="1">
      <w:start w:val="1"/>
      <w:numFmt w:val="bullet"/>
      <w:lvlText w:val=""/>
      <w:lvlJc w:val="left"/>
      <w:pPr>
        <w:ind w:left="2691" w:hanging="360"/>
      </w:pPr>
      <w:rPr>
        <w:rFonts w:ascii="Symbol" w:hAnsi="Symbol" w:hint="default"/>
      </w:rPr>
    </w:lvl>
    <w:lvl w:ilvl="4" w:tplc="040C0003" w:tentative="1">
      <w:start w:val="1"/>
      <w:numFmt w:val="bullet"/>
      <w:lvlText w:val="o"/>
      <w:lvlJc w:val="left"/>
      <w:pPr>
        <w:ind w:left="3411" w:hanging="360"/>
      </w:pPr>
      <w:rPr>
        <w:rFonts w:ascii="Courier New" w:hAnsi="Courier New" w:cs="Courier New" w:hint="default"/>
      </w:rPr>
    </w:lvl>
    <w:lvl w:ilvl="5" w:tplc="040C0005" w:tentative="1">
      <w:start w:val="1"/>
      <w:numFmt w:val="bullet"/>
      <w:lvlText w:val=""/>
      <w:lvlJc w:val="left"/>
      <w:pPr>
        <w:ind w:left="4131" w:hanging="360"/>
      </w:pPr>
      <w:rPr>
        <w:rFonts w:ascii="Wingdings" w:hAnsi="Wingdings" w:hint="default"/>
      </w:rPr>
    </w:lvl>
    <w:lvl w:ilvl="6" w:tplc="040C0001" w:tentative="1">
      <w:start w:val="1"/>
      <w:numFmt w:val="bullet"/>
      <w:lvlText w:val=""/>
      <w:lvlJc w:val="left"/>
      <w:pPr>
        <w:ind w:left="4851" w:hanging="360"/>
      </w:pPr>
      <w:rPr>
        <w:rFonts w:ascii="Symbol" w:hAnsi="Symbol" w:hint="default"/>
      </w:rPr>
    </w:lvl>
    <w:lvl w:ilvl="7" w:tplc="040C0003" w:tentative="1">
      <w:start w:val="1"/>
      <w:numFmt w:val="bullet"/>
      <w:lvlText w:val="o"/>
      <w:lvlJc w:val="left"/>
      <w:pPr>
        <w:ind w:left="5571" w:hanging="360"/>
      </w:pPr>
      <w:rPr>
        <w:rFonts w:ascii="Courier New" w:hAnsi="Courier New" w:cs="Courier New" w:hint="default"/>
      </w:rPr>
    </w:lvl>
    <w:lvl w:ilvl="8" w:tplc="040C0005" w:tentative="1">
      <w:start w:val="1"/>
      <w:numFmt w:val="bullet"/>
      <w:lvlText w:val=""/>
      <w:lvlJc w:val="left"/>
      <w:pPr>
        <w:ind w:left="6291" w:hanging="360"/>
      </w:pPr>
      <w:rPr>
        <w:rFonts w:ascii="Wingdings" w:hAnsi="Wingdings" w:hint="default"/>
      </w:rPr>
    </w:lvl>
  </w:abstractNum>
  <w:abstractNum w:abstractNumId="127">
    <w:nsid w:val="54FE6A87"/>
    <w:multiLevelType w:val="hybridMultilevel"/>
    <w:tmpl w:val="1B120628"/>
    <w:lvl w:ilvl="0" w:tplc="720838A0">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8">
    <w:nsid w:val="55D357E8"/>
    <w:multiLevelType w:val="multilevel"/>
    <w:tmpl w:val="49A6B9CE"/>
    <w:lvl w:ilvl="0">
      <w:numFmt w:val="bullet"/>
      <w:lvlText w:val="-"/>
      <w:lvlJc w:val="left"/>
      <w:pPr>
        <w:tabs>
          <w:tab w:val="num" w:pos="720"/>
        </w:tabs>
        <w:ind w:left="720" w:hanging="360"/>
      </w:pPr>
      <w:rPr>
        <w:rFonts w:ascii="Times New Roman" w:eastAsia="Times New Roman" w:hAnsi="Times New Roman" w:cs="Times New Roman" w:hint="default"/>
        <w:b/>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nsid w:val="5690094F"/>
    <w:multiLevelType w:val="multilevel"/>
    <w:tmpl w:val="5A167518"/>
    <w:lvl w:ilvl="0">
      <w:start w:val="6"/>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0">
    <w:nsid w:val="57E35FE8"/>
    <w:multiLevelType w:val="hybridMultilevel"/>
    <w:tmpl w:val="35CC5CE2"/>
    <w:lvl w:ilvl="0" w:tplc="47F888E4">
      <w:start w:val="1"/>
      <w:numFmt w:val="bullet"/>
      <w:lvlText w:val="-"/>
      <w:lvlJc w:val="left"/>
      <w:pPr>
        <w:ind w:left="360" w:hanging="360"/>
      </w:pPr>
      <w:rPr>
        <w:rFonts w:ascii="Sylfaen" w:hAnsi="Sylfae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nsid w:val="589B07C0"/>
    <w:multiLevelType w:val="hybridMultilevel"/>
    <w:tmpl w:val="117C1F1A"/>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32">
    <w:nsid w:val="59501638"/>
    <w:multiLevelType w:val="hybridMultilevel"/>
    <w:tmpl w:val="700E2372"/>
    <w:lvl w:ilvl="0" w:tplc="9BDA5FB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3">
    <w:nsid w:val="5A20446D"/>
    <w:multiLevelType w:val="multilevel"/>
    <w:tmpl w:val="E9DE97D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4">
    <w:nsid w:val="5B242BD1"/>
    <w:multiLevelType w:val="hybridMultilevel"/>
    <w:tmpl w:val="727C9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5D4731F7"/>
    <w:multiLevelType w:val="multilevel"/>
    <w:tmpl w:val="2E72166A"/>
    <w:lvl w:ilvl="0">
      <w:start w:val="1"/>
      <w:numFmt w:val="decimal"/>
      <w:lvlText w:val="%1."/>
      <w:lvlJc w:val="left"/>
      <w:pPr>
        <w:tabs>
          <w:tab w:val="num" w:pos="360"/>
        </w:tabs>
        <w:ind w:left="360" w:hanging="360"/>
      </w:pPr>
      <w:rPr>
        <w:rFonts w:hint="default"/>
        <w:sz w:val="24"/>
        <w:szCs w:val="24"/>
      </w:rPr>
    </w:lvl>
    <w:lvl w:ilvl="1">
      <w:start w:val="1"/>
      <w:numFmt w:val="decimal"/>
      <w:lvlText w:val="%1.%2."/>
      <w:lvlJc w:val="left"/>
      <w:pPr>
        <w:tabs>
          <w:tab w:val="num" w:pos="1211"/>
        </w:tabs>
        <w:ind w:left="1211" w:hanging="360"/>
      </w:pPr>
      <w:rPr>
        <w:rFonts w:ascii="Times New Roman" w:hAnsi="Times New Roman" w:cs="Times New Roman" w:hint="default"/>
        <w:b/>
        <w:i w:val="0"/>
        <w:sz w:val="22"/>
        <w:szCs w:val="22"/>
      </w:rPr>
    </w:lvl>
    <w:lvl w:ilvl="2">
      <w:start w:val="1"/>
      <w:numFmt w:val="decimal"/>
      <w:lvlText w:val="%1.%2.%3."/>
      <w:lvlJc w:val="left"/>
      <w:pPr>
        <w:tabs>
          <w:tab w:val="num" w:pos="2880"/>
        </w:tabs>
        <w:ind w:left="2880" w:hanging="720"/>
      </w:pPr>
      <w:rPr>
        <w:rFonts w:ascii="Times New Roman" w:hAnsi="Times New Roman" w:cs="Times New Roman" w:hint="default"/>
        <w:b w:val="0"/>
        <w:i w:val="0"/>
        <w:sz w:val="22"/>
        <w:szCs w:val="22"/>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36">
    <w:nsid w:val="5D9E4AAB"/>
    <w:multiLevelType w:val="hybridMultilevel"/>
    <w:tmpl w:val="6A2A5294"/>
    <w:lvl w:ilvl="0" w:tplc="47F888E4">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5DA261AF"/>
    <w:multiLevelType w:val="hybridMultilevel"/>
    <w:tmpl w:val="C2129F9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8">
    <w:nsid w:val="5DCB7864"/>
    <w:multiLevelType w:val="hybridMultilevel"/>
    <w:tmpl w:val="D4E26B2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9">
    <w:nsid w:val="5EBD5256"/>
    <w:multiLevelType w:val="multilevel"/>
    <w:tmpl w:val="2E72166A"/>
    <w:lvl w:ilvl="0">
      <w:start w:val="1"/>
      <w:numFmt w:val="decimal"/>
      <w:lvlText w:val="%1."/>
      <w:lvlJc w:val="left"/>
      <w:pPr>
        <w:tabs>
          <w:tab w:val="num" w:pos="360"/>
        </w:tabs>
        <w:ind w:left="360" w:hanging="360"/>
      </w:pPr>
      <w:rPr>
        <w:rFonts w:hint="default"/>
        <w:sz w:val="24"/>
        <w:szCs w:val="24"/>
      </w:rPr>
    </w:lvl>
    <w:lvl w:ilvl="1">
      <w:start w:val="1"/>
      <w:numFmt w:val="decimal"/>
      <w:lvlText w:val="%1.%2."/>
      <w:lvlJc w:val="left"/>
      <w:pPr>
        <w:tabs>
          <w:tab w:val="num" w:pos="1211"/>
        </w:tabs>
        <w:ind w:left="1211" w:hanging="360"/>
      </w:pPr>
      <w:rPr>
        <w:rFonts w:ascii="Times New Roman" w:hAnsi="Times New Roman" w:cs="Times New Roman" w:hint="default"/>
        <w:b/>
        <w:i w:val="0"/>
        <w:sz w:val="22"/>
        <w:szCs w:val="22"/>
      </w:rPr>
    </w:lvl>
    <w:lvl w:ilvl="2">
      <w:start w:val="1"/>
      <w:numFmt w:val="decimal"/>
      <w:lvlText w:val="%1.%2.%3."/>
      <w:lvlJc w:val="left"/>
      <w:pPr>
        <w:tabs>
          <w:tab w:val="num" w:pos="2880"/>
        </w:tabs>
        <w:ind w:left="2880" w:hanging="720"/>
      </w:pPr>
      <w:rPr>
        <w:rFonts w:ascii="Times New Roman" w:hAnsi="Times New Roman" w:cs="Times New Roman" w:hint="default"/>
        <w:b w:val="0"/>
        <w:i w:val="0"/>
        <w:sz w:val="22"/>
        <w:szCs w:val="22"/>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40">
    <w:nsid w:val="5EBE702B"/>
    <w:multiLevelType w:val="hybridMultilevel"/>
    <w:tmpl w:val="036EE98A"/>
    <w:lvl w:ilvl="0" w:tplc="D910B276">
      <w:start w:val="1"/>
      <w:numFmt w:val="decimal"/>
      <w:lvlText w:val="%1."/>
      <w:lvlJc w:val="left"/>
      <w:pPr>
        <w:ind w:left="1402" w:hanging="360"/>
      </w:pPr>
      <w:rPr>
        <w:rFonts w:ascii="Arial" w:eastAsia="Arial" w:hAnsi="Arial" w:cs="Arial" w:hint="default"/>
        <w:i/>
        <w:spacing w:val="-1"/>
        <w:w w:val="100"/>
        <w:sz w:val="22"/>
        <w:szCs w:val="22"/>
        <w:lang w:val="en-US" w:eastAsia="en-US" w:bidi="ar-SA"/>
      </w:rPr>
    </w:lvl>
    <w:lvl w:ilvl="1" w:tplc="0C440B36">
      <w:numFmt w:val="bullet"/>
      <w:lvlText w:val=""/>
      <w:lvlJc w:val="left"/>
      <w:pPr>
        <w:ind w:left="1894" w:hanging="360"/>
      </w:pPr>
      <w:rPr>
        <w:rFonts w:ascii="Symbol" w:eastAsia="Symbol" w:hAnsi="Symbol" w:cs="Symbol" w:hint="default"/>
        <w:w w:val="100"/>
        <w:sz w:val="22"/>
        <w:szCs w:val="22"/>
        <w:lang w:val="en-US" w:eastAsia="en-US" w:bidi="ar-SA"/>
      </w:rPr>
    </w:lvl>
    <w:lvl w:ilvl="2" w:tplc="5DAE654A">
      <w:numFmt w:val="bullet"/>
      <w:lvlText w:val="•"/>
      <w:lvlJc w:val="left"/>
      <w:pPr>
        <w:ind w:left="2895" w:hanging="360"/>
      </w:pPr>
      <w:rPr>
        <w:rFonts w:hint="default"/>
        <w:lang w:val="en-US" w:eastAsia="en-US" w:bidi="ar-SA"/>
      </w:rPr>
    </w:lvl>
    <w:lvl w:ilvl="3" w:tplc="532AF704">
      <w:numFmt w:val="bullet"/>
      <w:lvlText w:val="•"/>
      <w:lvlJc w:val="left"/>
      <w:pPr>
        <w:ind w:left="3905" w:hanging="360"/>
      </w:pPr>
      <w:rPr>
        <w:rFonts w:hint="default"/>
        <w:lang w:val="en-US" w:eastAsia="en-US" w:bidi="ar-SA"/>
      </w:rPr>
    </w:lvl>
    <w:lvl w:ilvl="4" w:tplc="02BAF33C">
      <w:numFmt w:val="bullet"/>
      <w:lvlText w:val="•"/>
      <w:lvlJc w:val="left"/>
      <w:pPr>
        <w:ind w:left="4914" w:hanging="360"/>
      </w:pPr>
      <w:rPr>
        <w:rFonts w:hint="default"/>
        <w:lang w:val="en-US" w:eastAsia="en-US" w:bidi="ar-SA"/>
      </w:rPr>
    </w:lvl>
    <w:lvl w:ilvl="5" w:tplc="F20A224E">
      <w:numFmt w:val="bullet"/>
      <w:lvlText w:val="•"/>
      <w:lvlJc w:val="left"/>
      <w:pPr>
        <w:ind w:left="5924" w:hanging="360"/>
      </w:pPr>
      <w:rPr>
        <w:rFonts w:hint="default"/>
        <w:lang w:val="en-US" w:eastAsia="en-US" w:bidi="ar-SA"/>
      </w:rPr>
    </w:lvl>
    <w:lvl w:ilvl="6" w:tplc="606EF85E">
      <w:numFmt w:val="bullet"/>
      <w:lvlText w:val="•"/>
      <w:lvlJc w:val="left"/>
      <w:pPr>
        <w:ind w:left="6934" w:hanging="360"/>
      </w:pPr>
      <w:rPr>
        <w:rFonts w:hint="default"/>
        <w:lang w:val="en-US" w:eastAsia="en-US" w:bidi="ar-SA"/>
      </w:rPr>
    </w:lvl>
    <w:lvl w:ilvl="7" w:tplc="F2FA1314">
      <w:numFmt w:val="bullet"/>
      <w:lvlText w:val="•"/>
      <w:lvlJc w:val="left"/>
      <w:pPr>
        <w:ind w:left="7943" w:hanging="360"/>
      </w:pPr>
      <w:rPr>
        <w:rFonts w:hint="default"/>
        <w:lang w:val="en-US" w:eastAsia="en-US" w:bidi="ar-SA"/>
      </w:rPr>
    </w:lvl>
    <w:lvl w:ilvl="8" w:tplc="5E78BFEA">
      <w:numFmt w:val="bullet"/>
      <w:lvlText w:val="•"/>
      <w:lvlJc w:val="left"/>
      <w:pPr>
        <w:ind w:left="8953" w:hanging="360"/>
      </w:pPr>
      <w:rPr>
        <w:rFonts w:hint="default"/>
        <w:lang w:val="en-US" w:eastAsia="en-US" w:bidi="ar-SA"/>
      </w:rPr>
    </w:lvl>
  </w:abstractNum>
  <w:abstractNum w:abstractNumId="141">
    <w:nsid w:val="5F700C56"/>
    <w:multiLevelType w:val="hybridMultilevel"/>
    <w:tmpl w:val="3A3EA924"/>
    <w:lvl w:ilvl="0" w:tplc="C450DEA0">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2">
    <w:nsid w:val="5FDA7FF8"/>
    <w:multiLevelType w:val="hybridMultilevel"/>
    <w:tmpl w:val="3DA68B80"/>
    <w:lvl w:ilvl="0" w:tplc="30127B06">
      <w:start w:val="1"/>
      <w:numFmt w:val="bullet"/>
      <w:lvlText w:val="o"/>
      <w:lvlJc w:val="left"/>
      <w:pPr>
        <w:ind w:left="643" w:hanging="360"/>
      </w:pPr>
      <w:rPr>
        <w:rFonts w:ascii="Courier New" w:hAnsi="Courier New" w:cs="Courier New" w:hint="default"/>
        <w:b w:val="0"/>
        <w:i w:val="0"/>
        <w:caps w:val="0"/>
        <w:strike w:val="0"/>
        <w:dstrike w:val="0"/>
        <w:vanish w:val="0"/>
        <w:sz w:val="18"/>
        <w:vertAlign w:val="baseline"/>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143">
    <w:nsid w:val="5FE1026E"/>
    <w:multiLevelType w:val="hybridMultilevel"/>
    <w:tmpl w:val="45A072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1211"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4">
    <w:nsid w:val="602D5D6C"/>
    <w:multiLevelType w:val="hybridMultilevel"/>
    <w:tmpl w:val="8F16A5A4"/>
    <w:lvl w:ilvl="0" w:tplc="47F888E4">
      <w:start w:val="1"/>
      <w:numFmt w:val="bullet"/>
      <w:lvlText w:val="-"/>
      <w:lvlJc w:val="left"/>
      <w:pPr>
        <w:ind w:left="720" w:hanging="360"/>
      </w:pPr>
      <w:rPr>
        <w:rFonts w:ascii="Sylfaen" w:hAnsi="Sylfae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5">
    <w:nsid w:val="60514DFC"/>
    <w:multiLevelType w:val="hybridMultilevel"/>
    <w:tmpl w:val="0D06EDF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6">
    <w:nsid w:val="60BA1CAD"/>
    <w:multiLevelType w:val="hybridMultilevel"/>
    <w:tmpl w:val="FBEE753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7">
    <w:nsid w:val="61012F5C"/>
    <w:multiLevelType w:val="hybridMultilevel"/>
    <w:tmpl w:val="4FAE38AC"/>
    <w:lvl w:ilvl="0" w:tplc="209A18F8">
      <w:start w:val="2"/>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8">
    <w:nsid w:val="61245B29"/>
    <w:multiLevelType w:val="hybridMultilevel"/>
    <w:tmpl w:val="98800C74"/>
    <w:lvl w:ilvl="0" w:tplc="2FDEE20C">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9">
    <w:nsid w:val="61D153FD"/>
    <w:multiLevelType w:val="hybridMultilevel"/>
    <w:tmpl w:val="93B65B2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0">
    <w:nsid w:val="634C2D82"/>
    <w:multiLevelType w:val="hybridMultilevel"/>
    <w:tmpl w:val="32204C8C"/>
    <w:lvl w:ilvl="0" w:tplc="47F888E4">
      <w:start w:val="1"/>
      <w:numFmt w:val="bullet"/>
      <w:lvlText w:val="-"/>
      <w:lvlJc w:val="left"/>
      <w:pPr>
        <w:ind w:left="785" w:hanging="360"/>
      </w:pPr>
      <w:rPr>
        <w:rFonts w:ascii="Sylfaen" w:hAnsi="Sylfaen" w:hint="default"/>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151">
    <w:nsid w:val="63B61C59"/>
    <w:multiLevelType w:val="hybridMultilevel"/>
    <w:tmpl w:val="F4924A8E"/>
    <w:lvl w:ilvl="0" w:tplc="E9C006D8">
      <w:start w:val="1"/>
      <w:numFmt w:val="upperRoman"/>
      <w:suff w:val="space"/>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2">
    <w:nsid w:val="64B41DCB"/>
    <w:multiLevelType w:val="hybridMultilevel"/>
    <w:tmpl w:val="FBC2F4D6"/>
    <w:lvl w:ilvl="0" w:tplc="B454A0B6">
      <w:start w:val="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nsid w:val="64BC51FD"/>
    <w:multiLevelType w:val="hybridMultilevel"/>
    <w:tmpl w:val="C564359E"/>
    <w:lvl w:ilvl="0" w:tplc="DC786958">
      <w:start w:val="1"/>
      <w:numFmt w:val="lowerLetter"/>
      <w:lvlText w:val="%1)"/>
      <w:lvlJc w:val="left"/>
      <w:pPr>
        <w:ind w:left="1080" w:hanging="360"/>
      </w:pPr>
      <w:rPr>
        <w:rFonts w:hint="default"/>
      </w:rPr>
    </w:lvl>
    <w:lvl w:ilvl="1" w:tplc="040C0019">
      <w:start w:val="1"/>
      <w:numFmt w:val="lowerLetter"/>
      <w:lvlText w:val="%2."/>
      <w:lvlJc w:val="left"/>
      <w:pPr>
        <w:ind w:left="1800" w:hanging="360"/>
      </w:pPr>
    </w:lvl>
    <w:lvl w:ilvl="2" w:tplc="040C001B">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54">
    <w:nsid w:val="654C605C"/>
    <w:multiLevelType w:val="hybridMultilevel"/>
    <w:tmpl w:val="D1C64B80"/>
    <w:lvl w:ilvl="0" w:tplc="618C8D6C">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65717F54"/>
    <w:multiLevelType w:val="hybridMultilevel"/>
    <w:tmpl w:val="507E87B6"/>
    <w:lvl w:ilvl="0" w:tplc="B5C48EC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6">
    <w:nsid w:val="66006AFF"/>
    <w:multiLevelType w:val="multilevel"/>
    <w:tmpl w:val="EAC637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7">
    <w:nsid w:val="66547D31"/>
    <w:multiLevelType w:val="hybridMultilevel"/>
    <w:tmpl w:val="338A9D18"/>
    <w:lvl w:ilvl="0" w:tplc="47F888E4">
      <w:start w:val="1"/>
      <w:numFmt w:val="bullet"/>
      <w:lvlText w:val="-"/>
      <w:lvlJc w:val="left"/>
      <w:pPr>
        <w:ind w:left="720" w:hanging="360"/>
      </w:pPr>
      <w:rPr>
        <w:rFonts w:ascii="Sylfaen" w:hAnsi="Sylfae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8">
    <w:nsid w:val="66C71F3D"/>
    <w:multiLevelType w:val="hybridMultilevel"/>
    <w:tmpl w:val="4C48CFD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9">
    <w:nsid w:val="66EA5AAF"/>
    <w:multiLevelType w:val="hybridMultilevel"/>
    <w:tmpl w:val="68DC28F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0">
    <w:nsid w:val="674750BD"/>
    <w:multiLevelType w:val="hybridMultilevel"/>
    <w:tmpl w:val="657CE0AA"/>
    <w:lvl w:ilvl="0" w:tplc="BD586ED6">
      <w:start w:val="4"/>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1">
    <w:nsid w:val="68420464"/>
    <w:multiLevelType w:val="multilevel"/>
    <w:tmpl w:val="5F4EAEE8"/>
    <w:lvl w:ilvl="0">
      <w:start w:val="1"/>
      <w:numFmt w:val="lowerLett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2">
    <w:nsid w:val="68984A91"/>
    <w:multiLevelType w:val="hybridMultilevel"/>
    <w:tmpl w:val="DBA4BA78"/>
    <w:lvl w:ilvl="0" w:tplc="48507AF6">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3">
    <w:nsid w:val="69A10AB9"/>
    <w:multiLevelType w:val="hybridMultilevel"/>
    <w:tmpl w:val="16DAF90A"/>
    <w:lvl w:ilvl="0" w:tplc="D7B2535A">
      <w:numFmt w:val="bullet"/>
      <w:lvlText w:val="-"/>
      <w:lvlJc w:val="left"/>
      <w:pPr>
        <w:ind w:left="36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4">
    <w:nsid w:val="6B6B311C"/>
    <w:multiLevelType w:val="hybridMultilevel"/>
    <w:tmpl w:val="58484F96"/>
    <w:lvl w:ilvl="0" w:tplc="47F888E4">
      <w:start w:val="1"/>
      <w:numFmt w:val="bullet"/>
      <w:lvlText w:val="-"/>
      <w:lvlJc w:val="left"/>
      <w:pPr>
        <w:ind w:left="720" w:hanging="360"/>
      </w:pPr>
      <w:rPr>
        <w:rFonts w:ascii="Sylfaen" w:hAnsi="Sylfae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5">
    <w:nsid w:val="6D065BE3"/>
    <w:multiLevelType w:val="hybridMultilevel"/>
    <w:tmpl w:val="C3B21B88"/>
    <w:lvl w:ilvl="0" w:tplc="0409000F">
      <w:start w:val="1"/>
      <w:numFmt w:val="decimal"/>
      <w:lvlText w:val="%1."/>
      <w:lvlJc w:val="left"/>
      <w:pPr>
        <w:ind w:left="720" w:hanging="360"/>
      </w:pPr>
      <w:rPr>
        <w:rFonts w:hint="default"/>
      </w:rPr>
    </w:lvl>
    <w:lvl w:ilvl="1" w:tplc="0410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6D2B66D7"/>
    <w:multiLevelType w:val="multilevel"/>
    <w:tmpl w:val="637AA4BC"/>
    <w:lvl w:ilvl="0">
      <w:start w:val="1"/>
      <w:numFmt w:val="decimal"/>
      <w:lvlText w:val="%1."/>
      <w:lvlJc w:val="left"/>
      <w:pPr>
        <w:ind w:left="976" w:hanging="360"/>
      </w:pPr>
      <w:rPr>
        <w:rFonts w:hint="default"/>
        <w:i/>
        <w:spacing w:val="-1"/>
        <w:w w:val="100"/>
        <w:lang w:val="en-US" w:eastAsia="en-US" w:bidi="ar-SA"/>
      </w:rPr>
    </w:lvl>
    <w:lvl w:ilvl="1">
      <w:start w:val="1"/>
      <w:numFmt w:val="decimal"/>
      <w:lvlText w:val="%1.%2."/>
      <w:lvlJc w:val="left"/>
      <w:pPr>
        <w:ind w:left="969" w:hanging="430"/>
      </w:pPr>
      <w:rPr>
        <w:rFonts w:ascii="Arial" w:eastAsia="Arial" w:hAnsi="Arial" w:cs="Arial" w:hint="default"/>
        <w:i/>
        <w:w w:val="100"/>
        <w:sz w:val="22"/>
        <w:szCs w:val="22"/>
        <w:u w:val="none"/>
        <w:lang w:val="en-US" w:eastAsia="en-US" w:bidi="ar-SA"/>
      </w:rPr>
    </w:lvl>
    <w:lvl w:ilvl="2">
      <w:numFmt w:val="bullet"/>
      <w:lvlText w:val="•"/>
      <w:lvlJc w:val="left"/>
      <w:pPr>
        <w:ind w:left="2042" w:hanging="430"/>
      </w:pPr>
      <w:rPr>
        <w:rFonts w:hint="default"/>
        <w:lang w:val="en-US" w:eastAsia="en-US" w:bidi="ar-SA"/>
      </w:rPr>
    </w:lvl>
    <w:lvl w:ilvl="3">
      <w:numFmt w:val="bullet"/>
      <w:lvlText w:val="•"/>
      <w:lvlJc w:val="left"/>
      <w:pPr>
        <w:ind w:left="3105" w:hanging="430"/>
      </w:pPr>
      <w:rPr>
        <w:rFonts w:hint="default"/>
        <w:lang w:val="en-US" w:eastAsia="en-US" w:bidi="ar-SA"/>
      </w:rPr>
    </w:lvl>
    <w:lvl w:ilvl="4">
      <w:numFmt w:val="bullet"/>
      <w:lvlText w:val="•"/>
      <w:lvlJc w:val="left"/>
      <w:pPr>
        <w:ind w:left="4168" w:hanging="430"/>
      </w:pPr>
      <w:rPr>
        <w:rFonts w:hint="default"/>
        <w:lang w:val="en-US" w:eastAsia="en-US" w:bidi="ar-SA"/>
      </w:rPr>
    </w:lvl>
    <w:lvl w:ilvl="5">
      <w:numFmt w:val="bullet"/>
      <w:lvlText w:val="•"/>
      <w:lvlJc w:val="left"/>
      <w:pPr>
        <w:ind w:left="5231" w:hanging="430"/>
      </w:pPr>
      <w:rPr>
        <w:rFonts w:hint="default"/>
        <w:lang w:val="en-US" w:eastAsia="en-US" w:bidi="ar-SA"/>
      </w:rPr>
    </w:lvl>
    <w:lvl w:ilvl="6">
      <w:numFmt w:val="bullet"/>
      <w:lvlText w:val="•"/>
      <w:lvlJc w:val="left"/>
      <w:pPr>
        <w:ind w:left="6294" w:hanging="430"/>
      </w:pPr>
      <w:rPr>
        <w:rFonts w:hint="default"/>
        <w:lang w:val="en-US" w:eastAsia="en-US" w:bidi="ar-SA"/>
      </w:rPr>
    </w:lvl>
    <w:lvl w:ilvl="7">
      <w:numFmt w:val="bullet"/>
      <w:lvlText w:val="•"/>
      <w:lvlJc w:val="left"/>
      <w:pPr>
        <w:ind w:left="7357" w:hanging="430"/>
      </w:pPr>
      <w:rPr>
        <w:rFonts w:hint="default"/>
        <w:lang w:val="en-US" w:eastAsia="en-US" w:bidi="ar-SA"/>
      </w:rPr>
    </w:lvl>
    <w:lvl w:ilvl="8">
      <w:numFmt w:val="bullet"/>
      <w:lvlText w:val="•"/>
      <w:lvlJc w:val="left"/>
      <w:pPr>
        <w:ind w:left="8420" w:hanging="430"/>
      </w:pPr>
      <w:rPr>
        <w:rFonts w:hint="default"/>
        <w:lang w:val="en-US" w:eastAsia="en-US" w:bidi="ar-SA"/>
      </w:rPr>
    </w:lvl>
  </w:abstractNum>
  <w:abstractNum w:abstractNumId="167">
    <w:nsid w:val="6D5769FD"/>
    <w:multiLevelType w:val="hybridMultilevel"/>
    <w:tmpl w:val="C0AE5D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6DD24ED5"/>
    <w:multiLevelType w:val="hybridMultilevel"/>
    <w:tmpl w:val="39CE02FE"/>
    <w:lvl w:ilvl="0" w:tplc="040C0001">
      <w:start w:val="1"/>
      <w:numFmt w:val="bullet"/>
      <w:lvlText w:val=""/>
      <w:lvlJc w:val="left"/>
      <w:pPr>
        <w:ind w:left="-672" w:hanging="360"/>
      </w:pPr>
      <w:rPr>
        <w:rFonts w:ascii="Symbol" w:hAnsi="Symbol" w:hint="default"/>
      </w:rPr>
    </w:lvl>
    <w:lvl w:ilvl="1" w:tplc="040C0003">
      <w:start w:val="1"/>
      <w:numFmt w:val="bullet"/>
      <w:lvlText w:val="o"/>
      <w:lvlJc w:val="left"/>
      <w:pPr>
        <w:ind w:left="48" w:hanging="360"/>
      </w:pPr>
      <w:rPr>
        <w:rFonts w:ascii="Courier New" w:hAnsi="Courier New" w:cs="Courier New" w:hint="default"/>
      </w:rPr>
    </w:lvl>
    <w:lvl w:ilvl="2" w:tplc="040C0005">
      <w:start w:val="1"/>
      <w:numFmt w:val="bullet"/>
      <w:lvlText w:val=""/>
      <w:lvlJc w:val="left"/>
      <w:pPr>
        <w:ind w:left="768" w:hanging="360"/>
      </w:pPr>
      <w:rPr>
        <w:rFonts w:ascii="Wingdings" w:hAnsi="Wingdings" w:hint="default"/>
      </w:rPr>
    </w:lvl>
    <w:lvl w:ilvl="3" w:tplc="040C0001" w:tentative="1">
      <w:start w:val="1"/>
      <w:numFmt w:val="bullet"/>
      <w:lvlText w:val=""/>
      <w:lvlJc w:val="left"/>
      <w:pPr>
        <w:ind w:left="1488" w:hanging="360"/>
      </w:pPr>
      <w:rPr>
        <w:rFonts w:ascii="Symbol" w:hAnsi="Symbol" w:hint="default"/>
      </w:rPr>
    </w:lvl>
    <w:lvl w:ilvl="4" w:tplc="040C0003" w:tentative="1">
      <w:start w:val="1"/>
      <w:numFmt w:val="bullet"/>
      <w:lvlText w:val="o"/>
      <w:lvlJc w:val="left"/>
      <w:pPr>
        <w:ind w:left="2208" w:hanging="360"/>
      </w:pPr>
      <w:rPr>
        <w:rFonts w:ascii="Courier New" w:hAnsi="Courier New" w:cs="Courier New" w:hint="default"/>
      </w:rPr>
    </w:lvl>
    <w:lvl w:ilvl="5" w:tplc="040C0005" w:tentative="1">
      <w:start w:val="1"/>
      <w:numFmt w:val="bullet"/>
      <w:lvlText w:val=""/>
      <w:lvlJc w:val="left"/>
      <w:pPr>
        <w:ind w:left="2928" w:hanging="360"/>
      </w:pPr>
      <w:rPr>
        <w:rFonts w:ascii="Wingdings" w:hAnsi="Wingdings" w:hint="default"/>
      </w:rPr>
    </w:lvl>
    <w:lvl w:ilvl="6" w:tplc="040C0001" w:tentative="1">
      <w:start w:val="1"/>
      <w:numFmt w:val="bullet"/>
      <w:lvlText w:val=""/>
      <w:lvlJc w:val="left"/>
      <w:pPr>
        <w:ind w:left="3648" w:hanging="360"/>
      </w:pPr>
      <w:rPr>
        <w:rFonts w:ascii="Symbol" w:hAnsi="Symbol" w:hint="default"/>
      </w:rPr>
    </w:lvl>
    <w:lvl w:ilvl="7" w:tplc="040C0003" w:tentative="1">
      <w:start w:val="1"/>
      <w:numFmt w:val="bullet"/>
      <w:lvlText w:val="o"/>
      <w:lvlJc w:val="left"/>
      <w:pPr>
        <w:ind w:left="4368" w:hanging="360"/>
      </w:pPr>
      <w:rPr>
        <w:rFonts w:ascii="Courier New" w:hAnsi="Courier New" w:cs="Courier New" w:hint="default"/>
      </w:rPr>
    </w:lvl>
    <w:lvl w:ilvl="8" w:tplc="040C0005" w:tentative="1">
      <w:start w:val="1"/>
      <w:numFmt w:val="bullet"/>
      <w:lvlText w:val=""/>
      <w:lvlJc w:val="left"/>
      <w:pPr>
        <w:ind w:left="5088" w:hanging="360"/>
      </w:pPr>
      <w:rPr>
        <w:rFonts w:ascii="Wingdings" w:hAnsi="Wingdings" w:hint="default"/>
      </w:rPr>
    </w:lvl>
  </w:abstractNum>
  <w:abstractNum w:abstractNumId="169">
    <w:nsid w:val="6E6D13A2"/>
    <w:multiLevelType w:val="hybridMultilevel"/>
    <w:tmpl w:val="AAF2B794"/>
    <w:lvl w:ilvl="0" w:tplc="040C0017">
      <w:start w:val="1"/>
      <w:numFmt w:val="lowerLetter"/>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0">
    <w:nsid w:val="6E994553"/>
    <w:multiLevelType w:val="hybridMultilevel"/>
    <w:tmpl w:val="7240954C"/>
    <w:lvl w:ilvl="0" w:tplc="47F888E4">
      <w:start w:val="1"/>
      <w:numFmt w:val="bullet"/>
      <w:lvlText w:val="-"/>
      <w:lvlJc w:val="left"/>
      <w:pPr>
        <w:ind w:left="720" w:hanging="360"/>
      </w:pPr>
      <w:rPr>
        <w:rFonts w:ascii="Sylfaen" w:hAnsi="Sylfae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1">
    <w:nsid w:val="6F2F3BD2"/>
    <w:multiLevelType w:val="hybridMultilevel"/>
    <w:tmpl w:val="51882A1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72">
    <w:nsid w:val="6F584E55"/>
    <w:multiLevelType w:val="hybridMultilevel"/>
    <w:tmpl w:val="A1CC82EC"/>
    <w:lvl w:ilvl="0" w:tplc="AD169960">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3">
    <w:nsid w:val="6FC65904"/>
    <w:multiLevelType w:val="hybridMultilevel"/>
    <w:tmpl w:val="4E3821E8"/>
    <w:lvl w:ilvl="0" w:tplc="47F888E4">
      <w:start w:val="1"/>
      <w:numFmt w:val="bullet"/>
      <w:lvlText w:val="-"/>
      <w:lvlJc w:val="left"/>
      <w:pPr>
        <w:ind w:left="720" w:hanging="360"/>
      </w:pPr>
      <w:rPr>
        <w:rFonts w:ascii="Sylfaen" w:hAnsi="Sylfae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4">
    <w:nsid w:val="713E328C"/>
    <w:multiLevelType w:val="multilevel"/>
    <w:tmpl w:val="927C06C2"/>
    <w:lvl w:ilvl="0">
      <w:start w:val="1"/>
      <w:numFmt w:val="decimal"/>
      <w:lvlText w:val="%1."/>
      <w:lvlJc w:val="left"/>
      <w:pPr>
        <w:tabs>
          <w:tab w:val="num" w:pos="390"/>
        </w:tabs>
        <w:ind w:left="390" w:hanging="390"/>
      </w:pPr>
      <w:rPr>
        <w:rFonts w:hint="default"/>
        <w:sz w:val="24"/>
        <w:szCs w:val="24"/>
      </w:rPr>
    </w:lvl>
    <w:lvl w:ilvl="1">
      <w:start w:val="1"/>
      <w:numFmt w:val="decimal"/>
      <w:lvlText w:val="%1.%2."/>
      <w:lvlJc w:val="left"/>
      <w:pPr>
        <w:tabs>
          <w:tab w:val="num" w:pos="958"/>
        </w:tabs>
        <w:ind w:left="958" w:hanging="390"/>
      </w:pPr>
      <w:rPr>
        <w:rFonts w:hint="default"/>
        <w:b/>
        <w:i w:val="0"/>
        <w:sz w:val="22"/>
        <w:szCs w:val="22"/>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5">
    <w:nsid w:val="722A0FA3"/>
    <w:multiLevelType w:val="hybridMultilevel"/>
    <w:tmpl w:val="80DE3AC4"/>
    <w:lvl w:ilvl="0" w:tplc="CB948ABA">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6">
    <w:nsid w:val="73B125C4"/>
    <w:multiLevelType w:val="hybridMultilevel"/>
    <w:tmpl w:val="1CA8D6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nsid w:val="73FC5B3A"/>
    <w:multiLevelType w:val="multilevel"/>
    <w:tmpl w:val="DDEE8FB8"/>
    <w:lvl w:ilvl="0">
      <w:start w:val="1"/>
      <w:numFmt w:val="decimal"/>
      <w:pStyle w:val="Titre1JM"/>
      <w:lvlText w:val="%1."/>
      <w:lvlJc w:val="left"/>
      <w:pPr>
        <w:ind w:left="890" w:hanging="360"/>
      </w:pPr>
    </w:lvl>
    <w:lvl w:ilvl="1">
      <w:start w:val="1"/>
      <w:numFmt w:val="decimal"/>
      <w:isLgl/>
      <w:lvlText w:val="%1.%2"/>
      <w:lvlJc w:val="left"/>
      <w:pPr>
        <w:ind w:left="1400" w:hanging="720"/>
      </w:pPr>
      <w:rPr>
        <w:rFonts w:hint="default"/>
      </w:rPr>
    </w:lvl>
    <w:lvl w:ilvl="2">
      <w:start w:val="1"/>
      <w:numFmt w:val="decimal"/>
      <w:isLgl/>
      <w:lvlText w:val="%1.%2.%3"/>
      <w:lvlJc w:val="left"/>
      <w:pPr>
        <w:ind w:left="1550" w:hanging="720"/>
      </w:pPr>
      <w:rPr>
        <w:rFonts w:hint="default"/>
      </w:rPr>
    </w:lvl>
    <w:lvl w:ilvl="3">
      <w:start w:val="1"/>
      <w:numFmt w:val="decimal"/>
      <w:isLgl/>
      <w:lvlText w:val="%1.%2.%3.%4"/>
      <w:lvlJc w:val="left"/>
      <w:pPr>
        <w:ind w:left="2060" w:hanging="1080"/>
      </w:pPr>
      <w:rPr>
        <w:rFonts w:hint="default"/>
      </w:rPr>
    </w:lvl>
    <w:lvl w:ilvl="4">
      <w:start w:val="1"/>
      <w:numFmt w:val="decimal"/>
      <w:isLgl/>
      <w:lvlText w:val="%1.%2.%3.%4.%5"/>
      <w:lvlJc w:val="left"/>
      <w:pPr>
        <w:ind w:left="2570" w:hanging="1440"/>
      </w:pPr>
      <w:rPr>
        <w:rFonts w:hint="default"/>
      </w:rPr>
    </w:lvl>
    <w:lvl w:ilvl="5">
      <w:start w:val="1"/>
      <w:numFmt w:val="decimal"/>
      <w:isLgl/>
      <w:lvlText w:val="%1.%2.%3.%4.%5.%6"/>
      <w:lvlJc w:val="left"/>
      <w:pPr>
        <w:ind w:left="2720" w:hanging="1440"/>
      </w:pPr>
      <w:rPr>
        <w:rFonts w:hint="default"/>
      </w:rPr>
    </w:lvl>
    <w:lvl w:ilvl="6">
      <w:start w:val="1"/>
      <w:numFmt w:val="decimal"/>
      <w:isLgl/>
      <w:lvlText w:val="%1.%2.%3.%4.%5.%6.%7"/>
      <w:lvlJc w:val="left"/>
      <w:pPr>
        <w:ind w:left="3230" w:hanging="1800"/>
      </w:pPr>
      <w:rPr>
        <w:rFonts w:hint="default"/>
      </w:rPr>
    </w:lvl>
    <w:lvl w:ilvl="7">
      <w:start w:val="1"/>
      <w:numFmt w:val="decimal"/>
      <w:isLgl/>
      <w:lvlText w:val="%1.%2.%3.%4.%5.%6.%7.%8"/>
      <w:lvlJc w:val="left"/>
      <w:pPr>
        <w:ind w:left="3380" w:hanging="1800"/>
      </w:pPr>
      <w:rPr>
        <w:rFonts w:hint="default"/>
      </w:rPr>
    </w:lvl>
    <w:lvl w:ilvl="8">
      <w:start w:val="1"/>
      <w:numFmt w:val="decimal"/>
      <w:isLgl/>
      <w:lvlText w:val="%1.%2.%3.%4.%5.%6.%7.%8.%9"/>
      <w:lvlJc w:val="left"/>
      <w:pPr>
        <w:ind w:left="3890" w:hanging="2160"/>
      </w:pPr>
      <w:rPr>
        <w:rFonts w:hint="default"/>
      </w:rPr>
    </w:lvl>
  </w:abstractNum>
  <w:abstractNum w:abstractNumId="178">
    <w:nsid w:val="742E50B5"/>
    <w:multiLevelType w:val="hybridMultilevel"/>
    <w:tmpl w:val="A0B6EA2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79">
    <w:nsid w:val="747C1C0B"/>
    <w:multiLevelType w:val="hybridMultilevel"/>
    <w:tmpl w:val="221E5110"/>
    <w:lvl w:ilvl="0" w:tplc="3D4AA728">
      <w:numFmt w:val="bullet"/>
      <w:lvlText w:val="-"/>
      <w:lvlJc w:val="left"/>
      <w:pPr>
        <w:ind w:left="786"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0">
    <w:nsid w:val="7521545D"/>
    <w:multiLevelType w:val="hybridMultilevel"/>
    <w:tmpl w:val="7BC6D644"/>
    <w:lvl w:ilvl="0" w:tplc="47F888E4">
      <w:start w:val="1"/>
      <w:numFmt w:val="bullet"/>
      <w:lvlText w:val="-"/>
      <w:lvlJc w:val="left"/>
      <w:pPr>
        <w:ind w:left="720" w:hanging="360"/>
      </w:pPr>
      <w:rPr>
        <w:rFonts w:ascii="Sylfaen" w:hAnsi="Sylfae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nsid w:val="75B3254A"/>
    <w:multiLevelType w:val="hybridMultilevel"/>
    <w:tmpl w:val="96907F14"/>
    <w:lvl w:ilvl="0" w:tplc="040C0001">
      <w:start w:val="1"/>
      <w:numFmt w:val="bullet"/>
      <w:lvlText w:val=""/>
      <w:lvlJc w:val="left"/>
      <w:pPr>
        <w:ind w:left="1211"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2">
    <w:nsid w:val="75DC3919"/>
    <w:multiLevelType w:val="hybridMultilevel"/>
    <w:tmpl w:val="641057F4"/>
    <w:lvl w:ilvl="0" w:tplc="1892F224">
      <w:start w:val="1"/>
      <w:numFmt w:val="upperLetter"/>
      <w:lvlText w:val="%1."/>
      <w:lvlJc w:val="left"/>
      <w:pPr>
        <w:ind w:left="720" w:hanging="360"/>
      </w:pPr>
      <w:rPr>
        <w:rFonts w:cs="Aria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3">
    <w:nsid w:val="773634C4"/>
    <w:multiLevelType w:val="multilevel"/>
    <w:tmpl w:val="AC026BA4"/>
    <w:lvl w:ilvl="0">
      <w:start w:val="1"/>
      <w:numFmt w:val="decimal"/>
      <w:lvlText w:val="%1."/>
      <w:lvlJc w:val="left"/>
      <w:pPr>
        <w:ind w:left="720" w:hanging="360"/>
      </w:pPr>
      <w:rPr>
        <w:rFonts w:hint="default"/>
      </w:r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4">
    <w:nsid w:val="77695715"/>
    <w:multiLevelType w:val="hybridMultilevel"/>
    <w:tmpl w:val="F1D65AB4"/>
    <w:lvl w:ilvl="0" w:tplc="51AC91C0">
      <w:start w:val="2"/>
      <w:numFmt w:val="bullet"/>
      <w:lvlText w:val="-"/>
      <w:lvlJc w:val="left"/>
      <w:pPr>
        <w:ind w:left="720" w:hanging="360"/>
      </w:pPr>
      <w:rPr>
        <w:rFonts w:ascii="Times New Roman" w:eastAsia="Times New Roman" w:hAnsi="Times New Roman" w:cs="Times New Roman" w:hint="default"/>
        <w:b/>
        <w:bCs/>
        <w:w w:val="100"/>
        <w:sz w:val="22"/>
        <w:szCs w:val="22"/>
        <w:lang w:val="en-US" w:eastAsia="en-US" w:bidi="ar-SA"/>
      </w:rPr>
    </w:lvl>
    <w:lvl w:ilvl="1" w:tplc="E2DED9BA">
      <w:numFmt w:val="bullet"/>
      <w:lvlText w:val="•"/>
      <w:lvlJc w:val="left"/>
      <w:pPr>
        <w:ind w:left="1680" w:hanging="360"/>
      </w:pPr>
      <w:rPr>
        <w:rFonts w:hint="default"/>
        <w:lang w:val="en-US" w:eastAsia="en-US" w:bidi="ar-SA"/>
      </w:rPr>
    </w:lvl>
    <w:lvl w:ilvl="2" w:tplc="35CAF4F0">
      <w:numFmt w:val="bullet"/>
      <w:lvlText w:val="•"/>
      <w:lvlJc w:val="left"/>
      <w:pPr>
        <w:ind w:left="2637" w:hanging="360"/>
      </w:pPr>
      <w:rPr>
        <w:rFonts w:hint="default"/>
        <w:lang w:val="en-US" w:eastAsia="en-US" w:bidi="ar-SA"/>
      </w:rPr>
    </w:lvl>
    <w:lvl w:ilvl="3" w:tplc="3C8C55C8">
      <w:numFmt w:val="bullet"/>
      <w:lvlText w:val="•"/>
      <w:lvlJc w:val="left"/>
      <w:pPr>
        <w:ind w:left="3593" w:hanging="360"/>
      </w:pPr>
      <w:rPr>
        <w:rFonts w:hint="default"/>
        <w:lang w:val="en-US" w:eastAsia="en-US" w:bidi="ar-SA"/>
      </w:rPr>
    </w:lvl>
    <w:lvl w:ilvl="4" w:tplc="605C02BA">
      <w:numFmt w:val="bullet"/>
      <w:lvlText w:val="•"/>
      <w:lvlJc w:val="left"/>
      <w:pPr>
        <w:ind w:left="4550" w:hanging="360"/>
      </w:pPr>
      <w:rPr>
        <w:rFonts w:hint="default"/>
        <w:lang w:val="en-US" w:eastAsia="en-US" w:bidi="ar-SA"/>
      </w:rPr>
    </w:lvl>
    <w:lvl w:ilvl="5" w:tplc="110C8092">
      <w:numFmt w:val="bullet"/>
      <w:lvlText w:val="•"/>
      <w:lvlJc w:val="left"/>
      <w:pPr>
        <w:ind w:left="5507" w:hanging="360"/>
      </w:pPr>
      <w:rPr>
        <w:rFonts w:hint="default"/>
        <w:lang w:val="en-US" w:eastAsia="en-US" w:bidi="ar-SA"/>
      </w:rPr>
    </w:lvl>
    <w:lvl w:ilvl="6" w:tplc="C0227DDC">
      <w:numFmt w:val="bullet"/>
      <w:lvlText w:val="•"/>
      <w:lvlJc w:val="left"/>
      <w:pPr>
        <w:ind w:left="6463" w:hanging="360"/>
      </w:pPr>
      <w:rPr>
        <w:rFonts w:hint="default"/>
        <w:lang w:val="en-US" w:eastAsia="en-US" w:bidi="ar-SA"/>
      </w:rPr>
    </w:lvl>
    <w:lvl w:ilvl="7" w:tplc="D04C76E6">
      <w:numFmt w:val="bullet"/>
      <w:lvlText w:val="•"/>
      <w:lvlJc w:val="left"/>
      <w:pPr>
        <w:ind w:left="7420" w:hanging="360"/>
      </w:pPr>
      <w:rPr>
        <w:rFonts w:hint="default"/>
        <w:lang w:val="en-US" w:eastAsia="en-US" w:bidi="ar-SA"/>
      </w:rPr>
    </w:lvl>
    <w:lvl w:ilvl="8" w:tplc="E068786A">
      <w:numFmt w:val="bullet"/>
      <w:lvlText w:val="•"/>
      <w:lvlJc w:val="left"/>
      <w:pPr>
        <w:ind w:left="8377" w:hanging="360"/>
      </w:pPr>
      <w:rPr>
        <w:rFonts w:hint="default"/>
        <w:lang w:val="en-US" w:eastAsia="en-US" w:bidi="ar-SA"/>
      </w:rPr>
    </w:lvl>
  </w:abstractNum>
  <w:abstractNum w:abstractNumId="185">
    <w:nsid w:val="79087E1C"/>
    <w:multiLevelType w:val="hybridMultilevel"/>
    <w:tmpl w:val="B888D5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6">
    <w:nsid w:val="7A0F51A0"/>
    <w:multiLevelType w:val="hybridMultilevel"/>
    <w:tmpl w:val="41B8A8EC"/>
    <w:lvl w:ilvl="0" w:tplc="47F888E4">
      <w:start w:val="1"/>
      <w:numFmt w:val="bullet"/>
      <w:lvlText w:val="-"/>
      <w:lvlJc w:val="left"/>
      <w:pPr>
        <w:ind w:left="720" w:hanging="360"/>
      </w:pPr>
      <w:rPr>
        <w:rFonts w:ascii="Sylfaen" w:hAnsi="Sylfae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7">
    <w:nsid w:val="7C1D393E"/>
    <w:multiLevelType w:val="hybridMultilevel"/>
    <w:tmpl w:val="69E27B46"/>
    <w:lvl w:ilvl="0" w:tplc="040C0019">
      <w:numFmt w:val="bullet"/>
      <w:lvlText w:val="-"/>
      <w:lvlJc w:val="left"/>
      <w:pPr>
        <w:ind w:left="720" w:hanging="360"/>
      </w:pPr>
      <w:rPr>
        <w:rFonts w:ascii="Times New Roman" w:eastAsia="Times New Roman" w:hAnsi="Times New Roman" w:cs="Times New Roman" w:hint="default"/>
        <w:b/>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8">
    <w:nsid w:val="7C580DFE"/>
    <w:multiLevelType w:val="hybridMultilevel"/>
    <w:tmpl w:val="0D5CDEE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9">
    <w:nsid w:val="7C6C010D"/>
    <w:multiLevelType w:val="hybridMultilevel"/>
    <w:tmpl w:val="FDFC397E"/>
    <w:lvl w:ilvl="0" w:tplc="0F069470">
      <w:start w:val="1"/>
      <w:numFmt w:val="bullet"/>
      <w:pStyle w:val="TableauPuce1"/>
      <w:lvlText w:val=""/>
      <w:lvlJc w:val="left"/>
      <w:pPr>
        <w:ind w:left="720" w:hanging="360"/>
      </w:pPr>
      <w:rPr>
        <w:rFonts w:ascii="Symbol" w:hAnsi="Symbol" w:cs="Symbol"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0">
    <w:nsid w:val="7F8B472E"/>
    <w:multiLevelType w:val="hybridMultilevel"/>
    <w:tmpl w:val="F0E876D4"/>
    <w:lvl w:ilvl="0" w:tplc="5FA4A80A">
      <w:start w:val="1"/>
      <w:numFmt w:val="bullet"/>
      <w:lvlText w:val=""/>
      <w:lvlJc w:val="left"/>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5"/>
  </w:num>
  <w:num w:numId="3">
    <w:abstractNumId w:val="177"/>
  </w:num>
  <w:num w:numId="4">
    <w:abstractNumId w:val="102"/>
  </w:num>
  <w:num w:numId="5">
    <w:abstractNumId w:val="1"/>
  </w:num>
  <w:num w:numId="6">
    <w:abstractNumId w:val="3"/>
  </w:num>
  <w:num w:numId="7">
    <w:abstractNumId w:val="100"/>
  </w:num>
  <w:num w:numId="8">
    <w:abstractNumId w:val="6"/>
  </w:num>
  <w:num w:numId="9">
    <w:abstractNumId w:val="22"/>
  </w:num>
  <w:num w:numId="10">
    <w:abstractNumId w:val="135"/>
  </w:num>
  <w:num w:numId="11">
    <w:abstractNumId w:val="139"/>
  </w:num>
  <w:num w:numId="12">
    <w:abstractNumId w:val="53"/>
  </w:num>
  <w:num w:numId="13">
    <w:abstractNumId w:val="133"/>
  </w:num>
  <w:num w:numId="14">
    <w:abstractNumId w:val="70"/>
  </w:num>
  <w:num w:numId="15">
    <w:abstractNumId w:val="23"/>
  </w:num>
  <w:num w:numId="16">
    <w:abstractNumId w:val="108"/>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9"/>
  </w:num>
  <w:num w:numId="19">
    <w:abstractNumId w:val="106"/>
  </w:num>
  <w:num w:numId="20">
    <w:abstractNumId w:val="104"/>
  </w:num>
  <w:num w:numId="21">
    <w:abstractNumId w:val="136"/>
  </w:num>
  <w:num w:numId="22">
    <w:abstractNumId w:val="123"/>
  </w:num>
  <w:num w:numId="23">
    <w:abstractNumId w:val="65"/>
  </w:num>
  <w:num w:numId="24">
    <w:abstractNumId w:val="107"/>
  </w:num>
  <w:num w:numId="25">
    <w:abstractNumId w:val="130"/>
  </w:num>
  <w:num w:numId="26">
    <w:abstractNumId w:val="180"/>
  </w:num>
  <w:num w:numId="27">
    <w:abstractNumId w:val="80"/>
  </w:num>
  <w:num w:numId="28">
    <w:abstractNumId w:val="164"/>
  </w:num>
  <w:num w:numId="29">
    <w:abstractNumId w:val="59"/>
  </w:num>
  <w:num w:numId="30">
    <w:abstractNumId w:val="66"/>
  </w:num>
  <w:num w:numId="31">
    <w:abstractNumId w:val="101"/>
  </w:num>
  <w:num w:numId="32">
    <w:abstractNumId w:val="79"/>
  </w:num>
  <w:num w:numId="33">
    <w:abstractNumId w:val="179"/>
  </w:num>
  <w:num w:numId="34">
    <w:abstractNumId w:val="49"/>
  </w:num>
  <w:num w:numId="35">
    <w:abstractNumId w:val="103"/>
  </w:num>
  <w:num w:numId="36">
    <w:abstractNumId w:val="127"/>
  </w:num>
  <w:num w:numId="37">
    <w:abstractNumId w:val="19"/>
  </w:num>
  <w:num w:numId="38">
    <w:abstractNumId w:val="85"/>
  </w:num>
  <w:num w:numId="39">
    <w:abstractNumId w:val="76"/>
  </w:num>
  <w:num w:numId="40">
    <w:abstractNumId w:val="143"/>
  </w:num>
  <w:num w:numId="41">
    <w:abstractNumId w:val="34"/>
  </w:num>
  <w:num w:numId="42">
    <w:abstractNumId w:val="33"/>
  </w:num>
  <w:num w:numId="43">
    <w:abstractNumId w:val="98"/>
  </w:num>
  <w:num w:numId="44">
    <w:abstractNumId w:val="42"/>
  </w:num>
  <w:num w:numId="45">
    <w:abstractNumId w:val="148"/>
  </w:num>
  <w:num w:numId="46">
    <w:abstractNumId w:val="94"/>
  </w:num>
  <w:num w:numId="47">
    <w:abstractNumId w:val="181"/>
  </w:num>
  <w:num w:numId="48">
    <w:abstractNumId w:val="163"/>
  </w:num>
  <w:num w:numId="49">
    <w:abstractNumId w:val="29"/>
  </w:num>
  <w:num w:numId="50">
    <w:abstractNumId w:val="38"/>
  </w:num>
  <w:num w:numId="51">
    <w:abstractNumId w:val="89"/>
  </w:num>
  <w:num w:numId="52">
    <w:abstractNumId w:val="93"/>
  </w:num>
  <w:num w:numId="53">
    <w:abstractNumId w:val="183"/>
  </w:num>
  <w:num w:numId="54">
    <w:abstractNumId w:val="160"/>
  </w:num>
  <w:num w:numId="55">
    <w:abstractNumId w:val="91"/>
  </w:num>
  <w:num w:numId="56">
    <w:abstractNumId w:val="155"/>
  </w:num>
  <w:num w:numId="57">
    <w:abstractNumId w:val="182"/>
  </w:num>
  <w:num w:numId="58">
    <w:abstractNumId w:val="62"/>
  </w:num>
  <w:num w:numId="5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4"/>
  </w:num>
  <w:num w:numId="61">
    <w:abstractNumId w:val="118"/>
  </w:num>
  <w:num w:numId="62">
    <w:abstractNumId w:val="71"/>
  </w:num>
  <w:num w:numId="63">
    <w:abstractNumId w:val="161"/>
  </w:num>
  <w:num w:numId="64">
    <w:abstractNumId w:val="176"/>
  </w:num>
  <w:num w:numId="65">
    <w:abstractNumId w:val="174"/>
  </w:num>
  <w:num w:numId="66">
    <w:abstractNumId w:val="117"/>
  </w:num>
  <w:num w:numId="67">
    <w:abstractNumId w:val="187"/>
  </w:num>
  <w:num w:numId="68">
    <w:abstractNumId w:val="82"/>
  </w:num>
  <w:num w:numId="69">
    <w:abstractNumId w:val="57"/>
  </w:num>
  <w:num w:numId="70">
    <w:abstractNumId w:val="151"/>
  </w:num>
  <w:num w:numId="71">
    <w:abstractNumId w:val="169"/>
  </w:num>
  <w:num w:numId="72">
    <w:abstractNumId w:val="114"/>
  </w:num>
  <w:num w:numId="73">
    <w:abstractNumId w:val="7"/>
  </w:num>
  <w:num w:numId="74">
    <w:abstractNumId w:val="147"/>
  </w:num>
  <w:num w:numId="75">
    <w:abstractNumId w:val="109"/>
  </w:num>
  <w:num w:numId="76">
    <w:abstractNumId w:val="13"/>
  </w:num>
  <w:num w:numId="77">
    <w:abstractNumId w:val="165"/>
  </w:num>
  <w:num w:numId="78">
    <w:abstractNumId w:val="125"/>
  </w:num>
  <w:num w:numId="79">
    <w:abstractNumId w:val="47"/>
  </w:num>
  <w:num w:numId="80">
    <w:abstractNumId w:val="69"/>
  </w:num>
  <w:num w:numId="81">
    <w:abstractNumId w:val="92"/>
  </w:num>
  <w:num w:numId="82">
    <w:abstractNumId w:val="90"/>
  </w:num>
  <w:num w:numId="83">
    <w:abstractNumId w:val="39"/>
  </w:num>
  <w:num w:numId="84">
    <w:abstractNumId w:val="171"/>
  </w:num>
  <w:num w:numId="85">
    <w:abstractNumId w:val="178"/>
  </w:num>
  <w:num w:numId="86">
    <w:abstractNumId w:val="131"/>
  </w:num>
  <w:num w:numId="87">
    <w:abstractNumId w:val="15"/>
  </w:num>
  <w:num w:numId="88">
    <w:abstractNumId w:val="51"/>
  </w:num>
  <w:num w:numId="89">
    <w:abstractNumId w:val="110"/>
  </w:num>
  <w:num w:numId="90">
    <w:abstractNumId w:val="121"/>
  </w:num>
  <w:num w:numId="91">
    <w:abstractNumId w:val="188"/>
  </w:num>
  <w:num w:numId="92">
    <w:abstractNumId w:val="27"/>
  </w:num>
  <w:num w:numId="93">
    <w:abstractNumId w:val="72"/>
  </w:num>
  <w:num w:numId="94">
    <w:abstractNumId w:val="75"/>
  </w:num>
  <w:num w:numId="95">
    <w:abstractNumId w:val="112"/>
  </w:num>
  <w:num w:numId="96">
    <w:abstractNumId w:val="37"/>
  </w:num>
  <w:num w:numId="97">
    <w:abstractNumId w:val="119"/>
  </w:num>
  <w:num w:numId="98">
    <w:abstractNumId w:val="95"/>
  </w:num>
  <w:num w:numId="99">
    <w:abstractNumId w:val="73"/>
  </w:num>
  <w:num w:numId="100">
    <w:abstractNumId w:val="41"/>
  </w:num>
  <w:num w:numId="101">
    <w:abstractNumId w:val="87"/>
  </w:num>
  <w:num w:numId="102">
    <w:abstractNumId w:val="156"/>
  </w:num>
  <w:num w:numId="103">
    <w:abstractNumId w:val="56"/>
  </w:num>
  <w:num w:numId="104">
    <w:abstractNumId w:val="20"/>
  </w:num>
  <w:num w:numId="105">
    <w:abstractNumId w:val="24"/>
  </w:num>
  <w:num w:numId="106">
    <w:abstractNumId w:val="162"/>
  </w:num>
  <w:num w:numId="107">
    <w:abstractNumId w:val="168"/>
  </w:num>
  <w:num w:numId="108">
    <w:abstractNumId w:val="68"/>
  </w:num>
  <w:num w:numId="109">
    <w:abstractNumId w:val="138"/>
  </w:num>
  <w:num w:numId="110">
    <w:abstractNumId w:val="55"/>
  </w:num>
  <w:num w:numId="111">
    <w:abstractNumId w:val="83"/>
  </w:num>
  <w:num w:numId="112">
    <w:abstractNumId w:val="166"/>
  </w:num>
  <w:num w:numId="113">
    <w:abstractNumId w:val="140"/>
  </w:num>
  <w:num w:numId="114">
    <w:abstractNumId w:val="84"/>
  </w:num>
  <w:num w:numId="115">
    <w:abstractNumId w:val="175"/>
  </w:num>
  <w:num w:numId="116">
    <w:abstractNumId w:val="172"/>
  </w:num>
  <w:num w:numId="117">
    <w:abstractNumId w:val="185"/>
  </w:num>
  <w:num w:numId="118">
    <w:abstractNumId w:val="44"/>
  </w:num>
  <w:num w:numId="119">
    <w:abstractNumId w:val="120"/>
  </w:num>
  <w:num w:numId="120">
    <w:abstractNumId w:val="67"/>
  </w:num>
  <w:num w:numId="121">
    <w:abstractNumId w:val="111"/>
  </w:num>
  <w:num w:numId="122">
    <w:abstractNumId w:val="116"/>
  </w:num>
  <w:num w:numId="123">
    <w:abstractNumId w:val="60"/>
  </w:num>
  <w:num w:numId="124">
    <w:abstractNumId w:val="142"/>
  </w:num>
  <w:num w:numId="125">
    <w:abstractNumId w:val="167"/>
  </w:num>
  <w:num w:numId="126">
    <w:abstractNumId w:val="54"/>
  </w:num>
  <w:num w:numId="127">
    <w:abstractNumId w:val="86"/>
  </w:num>
  <w:num w:numId="128">
    <w:abstractNumId w:val="113"/>
  </w:num>
  <w:num w:numId="129">
    <w:abstractNumId w:val="96"/>
  </w:num>
  <w:num w:numId="130">
    <w:abstractNumId w:val="28"/>
  </w:num>
  <w:num w:numId="131">
    <w:abstractNumId w:val="141"/>
  </w:num>
  <w:num w:numId="132">
    <w:abstractNumId w:val="126"/>
  </w:num>
  <w:num w:numId="133">
    <w:abstractNumId w:val="122"/>
  </w:num>
  <w:num w:numId="134">
    <w:abstractNumId w:val="11"/>
  </w:num>
  <w:num w:numId="135">
    <w:abstractNumId w:val="50"/>
  </w:num>
  <w:num w:numId="136">
    <w:abstractNumId w:val="43"/>
  </w:num>
  <w:num w:numId="137">
    <w:abstractNumId w:val="9"/>
  </w:num>
  <w:num w:numId="138">
    <w:abstractNumId w:val="124"/>
  </w:num>
  <w:num w:numId="139">
    <w:abstractNumId w:val="189"/>
  </w:num>
  <w:num w:numId="140">
    <w:abstractNumId w:val="2"/>
  </w:num>
  <w:num w:numId="141">
    <w:abstractNumId w:val="0"/>
  </w:num>
  <w:num w:numId="142">
    <w:abstractNumId w:val="58"/>
  </w:num>
  <w:num w:numId="143">
    <w:abstractNumId w:val="150"/>
  </w:num>
  <w:num w:numId="144">
    <w:abstractNumId w:val="30"/>
  </w:num>
  <w:num w:numId="145">
    <w:abstractNumId w:val="10"/>
  </w:num>
  <w:num w:numId="146">
    <w:abstractNumId w:val="77"/>
  </w:num>
  <w:num w:numId="147">
    <w:abstractNumId w:val="153"/>
  </w:num>
  <w:num w:numId="148">
    <w:abstractNumId w:val="152"/>
  </w:num>
  <w:num w:numId="149">
    <w:abstractNumId w:val="132"/>
  </w:num>
  <w:num w:numId="150">
    <w:abstractNumId w:val="17"/>
  </w:num>
  <w:num w:numId="151">
    <w:abstractNumId w:val="99"/>
  </w:num>
  <w:num w:numId="152">
    <w:abstractNumId w:val="36"/>
  </w:num>
  <w:num w:numId="153">
    <w:abstractNumId w:val="134"/>
  </w:num>
  <w:num w:numId="154">
    <w:abstractNumId w:val="78"/>
  </w:num>
  <w:num w:numId="155">
    <w:abstractNumId w:val="61"/>
  </w:num>
  <w:num w:numId="156">
    <w:abstractNumId w:val="48"/>
  </w:num>
  <w:num w:numId="157">
    <w:abstractNumId w:val="159"/>
  </w:num>
  <w:num w:numId="158">
    <w:abstractNumId w:val="8"/>
  </w:num>
  <w:num w:numId="159">
    <w:abstractNumId w:val="16"/>
  </w:num>
  <w:num w:numId="160">
    <w:abstractNumId w:val="158"/>
  </w:num>
  <w:num w:numId="161">
    <w:abstractNumId w:val="170"/>
  </w:num>
  <w:num w:numId="162">
    <w:abstractNumId w:val="173"/>
  </w:num>
  <w:num w:numId="163">
    <w:abstractNumId w:val="144"/>
  </w:num>
  <w:num w:numId="164">
    <w:abstractNumId w:val="63"/>
  </w:num>
  <w:num w:numId="165">
    <w:abstractNumId w:val="186"/>
  </w:num>
  <w:num w:numId="166">
    <w:abstractNumId w:val="14"/>
  </w:num>
  <w:num w:numId="167">
    <w:abstractNumId w:val="157"/>
  </w:num>
  <w:num w:numId="168">
    <w:abstractNumId w:val="81"/>
  </w:num>
  <w:num w:numId="169">
    <w:abstractNumId w:val="4"/>
  </w:num>
  <w:num w:numId="170">
    <w:abstractNumId w:val="184"/>
  </w:num>
  <w:num w:numId="171">
    <w:abstractNumId w:val="32"/>
  </w:num>
  <w:num w:numId="172">
    <w:abstractNumId w:val="190"/>
  </w:num>
  <w:num w:numId="173">
    <w:abstractNumId w:val="105"/>
  </w:num>
  <w:num w:numId="174">
    <w:abstractNumId w:val="45"/>
  </w:num>
  <w:num w:numId="175">
    <w:abstractNumId w:val="26"/>
  </w:num>
  <w:num w:numId="176">
    <w:abstractNumId w:val="25"/>
  </w:num>
  <w:num w:numId="177">
    <w:abstractNumId w:val="97"/>
  </w:num>
  <w:num w:numId="178">
    <w:abstractNumId w:val="115"/>
  </w:num>
  <w:num w:numId="179">
    <w:abstractNumId w:val="52"/>
  </w:num>
  <w:num w:numId="180">
    <w:abstractNumId w:val="154"/>
  </w:num>
  <w:num w:numId="181">
    <w:abstractNumId w:val="52"/>
  </w:num>
  <w:num w:numId="182">
    <w:abstractNumId w:val="46"/>
  </w:num>
  <w:num w:numId="183">
    <w:abstractNumId w:val="74"/>
  </w:num>
  <w:num w:numId="184">
    <w:abstractNumId w:val="35"/>
  </w:num>
  <w:num w:numId="185">
    <w:abstractNumId w:val="128"/>
  </w:num>
  <w:num w:numId="186">
    <w:abstractNumId w:val="12"/>
  </w:num>
  <w:num w:numId="187">
    <w:abstractNumId w:val="149"/>
  </w:num>
  <w:num w:numId="188">
    <w:abstractNumId w:val="137"/>
  </w:num>
  <w:num w:numId="189">
    <w:abstractNumId w:val="145"/>
  </w:num>
  <w:num w:numId="190">
    <w:abstractNumId w:val="146"/>
  </w:num>
  <w:num w:numId="191">
    <w:abstractNumId w:val="18"/>
  </w:num>
  <w:num w:numId="192">
    <w:abstractNumId w:val="88"/>
  </w:num>
  <w:num w:numId="193">
    <w:abstractNumId w:val="31"/>
  </w:num>
  <w:numIdMacAtCleanup w:val="1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2F95"/>
    <w:rsid w:val="00000E66"/>
    <w:rsid w:val="000024EA"/>
    <w:rsid w:val="00003C4A"/>
    <w:rsid w:val="00005290"/>
    <w:rsid w:val="00011519"/>
    <w:rsid w:val="00011D57"/>
    <w:rsid w:val="0001474B"/>
    <w:rsid w:val="0001656C"/>
    <w:rsid w:val="00020C29"/>
    <w:rsid w:val="00022EB8"/>
    <w:rsid w:val="000326DA"/>
    <w:rsid w:val="00035AEB"/>
    <w:rsid w:val="00044EF1"/>
    <w:rsid w:val="00045366"/>
    <w:rsid w:val="00066DDE"/>
    <w:rsid w:val="00072B00"/>
    <w:rsid w:val="00077732"/>
    <w:rsid w:val="0008598F"/>
    <w:rsid w:val="00087018"/>
    <w:rsid w:val="00092AE1"/>
    <w:rsid w:val="0009351F"/>
    <w:rsid w:val="000979A8"/>
    <w:rsid w:val="000A4F22"/>
    <w:rsid w:val="000A7CB7"/>
    <w:rsid w:val="000B041E"/>
    <w:rsid w:val="000B4ED9"/>
    <w:rsid w:val="000B59D0"/>
    <w:rsid w:val="000B770E"/>
    <w:rsid w:val="000C48DF"/>
    <w:rsid w:val="000C6424"/>
    <w:rsid w:val="000D0502"/>
    <w:rsid w:val="000D6918"/>
    <w:rsid w:val="000E4011"/>
    <w:rsid w:val="000F3A9E"/>
    <w:rsid w:val="0010503E"/>
    <w:rsid w:val="00105ADD"/>
    <w:rsid w:val="00110077"/>
    <w:rsid w:val="001121BF"/>
    <w:rsid w:val="00114059"/>
    <w:rsid w:val="00123FBA"/>
    <w:rsid w:val="001260B3"/>
    <w:rsid w:val="001319AE"/>
    <w:rsid w:val="001357AB"/>
    <w:rsid w:val="00141A53"/>
    <w:rsid w:val="00145F0C"/>
    <w:rsid w:val="0015389C"/>
    <w:rsid w:val="001542A9"/>
    <w:rsid w:val="00154DC7"/>
    <w:rsid w:val="00161D87"/>
    <w:rsid w:val="00166D18"/>
    <w:rsid w:val="00171524"/>
    <w:rsid w:val="00171537"/>
    <w:rsid w:val="00172E48"/>
    <w:rsid w:val="001739CE"/>
    <w:rsid w:val="00173B66"/>
    <w:rsid w:val="00174053"/>
    <w:rsid w:val="0017456B"/>
    <w:rsid w:val="00177F99"/>
    <w:rsid w:val="00180A0E"/>
    <w:rsid w:val="00180F43"/>
    <w:rsid w:val="00183A7C"/>
    <w:rsid w:val="001857F5"/>
    <w:rsid w:val="0018702B"/>
    <w:rsid w:val="001977A4"/>
    <w:rsid w:val="001A5E51"/>
    <w:rsid w:val="001B3E75"/>
    <w:rsid w:val="001B6D78"/>
    <w:rsid w:val="001C2F95"/>
    <w:rsid w:val="001D5C11"/>
    <w:rsid w:val="001D6316"/>
    <w:rsid w:val="001E4043"/>
    <w:rsid w:val="001E6744"/>
    <w:rsid w:val="001E7436"/>
    <w:rsid w:val="001F6979"/>
    <w:rsid w:val="001F6CA6"/>
    <w:rsid w:val="001F7D03"/>
    <w:rsid w:val="00200AFE"/>
    <w:rsid w:val="00202EF2"/>
    <w:rsid w:val="00211F7B"/>
    <w:rsid w:val="002139E7"/>
    <w:rsid w:val="0021434A"/>
    <w:rsid w:val="0021620B"/>
    <w:rsid w:val="00217EDB"/>
    <w:rsid w:val="00220115"/>
    <w:rsid w:val="002241BF"/>
    <w:rsid w:val="00225B7F"/>
    <w:rsid w:val="0023641E"/>
    <w:rsid w:val="002378EA"/>
    <w:rsid w:val="00237F3D"/>
    <w:rsid w:val="0024316A"/>
    <w:rsid w:val="00243BDC"/>
    <w:rsid w:val="00246CC9"/>
    <w:rsid w:val="00250774"/>
    <w:rsid w:val="002520BC"/>
    <w:rsid w:val="00255928"/>
    <w:rsid w:val="00257F9E"/>
    <w:rsid w:val="00264E98"/>
    <w:rsid w:val="002710EA"/>
    <w:rsid w:val="0027419B"/>
    <w:rsid w:val="0028180E"/>
    <w:rsid w:val="002918B7"/>
    <w:rsid w:val="00293E8C"/>
    <w:rsid w:val="00294ADC"/>
    <w:rsid w:val="0029647F"/>
    <w:rsid w:val="002A00FD"/>
    <w:rsid w:val="002A1EE6"/>
    <w:rsid w:val="002A7360"/>
    <w:rsid w:val="002B12E4"/>
    <w:rsid w:val="002B26A7"/>
    <w:rsid w:val="002B4010"/>
    <w:rsid w:val="002B797B"/>
    <w:rsid w:val="002C005E"/>
    <w:rsid w:val="002C2B4B"/>
    <w:rsid w:val="002C40ED"/>
    <w:rsid w:val="002C45C0"/>
    <w:rsid w:val="002C54D2"/>
    <w:rsid w:val="002C5EA5"/>
    <w:rsid w:val="002D0296"/>
    <w:rsid w:val="002D0C74"/>
    <w:rsid w:val="002D55D7"/>
    <w:rsid w:val="002E44B1"/>
    <w:rsid w:val="002E6085"/>
    <w:rsid w:val="002F2CB7"/>
    <w:rsid w:val="002F3114"/>
    <w:rsid w:val="002F363F"/>
    <w:rsid w:val="002F58A7"/>
    <w:rsid w:val="002F5E96"/>
    <w:rsid w:val="002F70A8"/>
    <w:rsid w:val="003071A9"/>
    <w:rsid w:val="003142D9"/>
    <w:rsid w:val="00320F17"/>
    <w:rsid w:val="003259A2"/>
    <w:rsid w:val="00327C7A"/>
    <w:rsid w:val="00332513"/>
    <w:rsid w:val="00333AF9"/>
    <w:rsid w:val="003349F4"/>
    <w:rsid w:val="00345381"/>
    <w:rsid w:val="0035024D"/>
    <w:rsid w:val="003515B6"/>
    <w:rsid w:val="00366D39"/>
    <w:rsid w:val="00367825"/>
    <w:rsid w:val="00371E48"/>
    <w:rsid w:val="003724E9"/>
    <w:rsid w:val="00372F9C"/>
    <w:rsid w:val="00375412"/>
    <w:rsid w:val="0038314E"/>
    <w:rsid w:val="003831FA"/>
    <w:rsid w:val="0038437B"/>
    <w:rsid w:val="00386DDF"/>
    <w:rsid w:val="003916CB"/>
    <w:rsid w:val="00394413"/>
    <w:rsid w:val="00394DC0"/>
    <w:rsid w:val="00394E43"/>
    <w:rsid w:val="003B119C"/>
    <w:rsid w:val="003C339D"/>
    <w:rsid w:val="003C4C23"/>
    <w:rsid w:val="003C5A88"/>
    <w:rsid w:val="003C7971"/>
    <w:rsid w:val="003C7F3C"/>
    <w:rsid w:val="003D09C9"/>
    <w:rsid w:val="003D2AD5"/>
    <w:rsid w:val="003D74D9"/>
    <w:rsid w:val="003E63CD"/>
    <w:rsid w:val="003E6C69"/>
    <w:rsid w:val="003F22BE"/>
    <w:rsid w:val="003F2FA2"/>
    <w:rsid w:val="003F5B82"/>
    <w:rsid w:val="003F6D30"/>
    <w:rsid w:val="003F6D45"/>
    <w:rsid w:val="004006DB"/>
    <w:rsid w:val="00402896"/>
    <w:rsid w:val="0040329D"/>
    <w:rsid w:val="00411F7F"/>
    <w:rsid w:val="00412000"/>
    <w:rsid w:val="004178C6"/>
    <w:rsid w:val="004207BC"/>
    <w:rsid w:val="0042181A"/>
    <w:rsid w:val="0042229D"/>
    <w:rsid w:val="00423F2F"/>
    <w:rsid w:val="00426DB3"/>
    <w:rsid w:val="00427B6F"/>
    <w:rsid w:val="004302E0"/>
    <w:rsid w:val="004307B0"/>
    <w:rsid w:val="00434DB7"/>
    <w:rsid w:val="00437FE5"/>
    <w:rsid w:val="00440E0D"/>
    <w:rsid w:val="00441D4E"/>
    <w:rsid w:val="0044657E"/>
    <w:rsid w:val="00450C56"/>
    <w:rsid w:val="004513E3"/>
    <w:rsid w:val="004558A5"/>
    <w:rsid w:val="00456246"/>
    <w:rsid w:val="00461F6D"/>
    <w:rsid w:val="004631A1"/>
    <w:rsid w:val="004668D0"/>
    <w:rsid w:val="00470DD2"/>
    <w:rsid w:val="004732BC"/>
    <w:rsid w:val="004A0620"/>
    <w:rsid w:val="004A5706"/>
    <w:rsid w:val="004A6A3E"/>
    <w:rsid w:val="004B1079"/>
    <w:rsid w:val="004B1243"/>
    <w:rsid w:val="004B124D"/>
    <w:rsid w:val="004B1A19"/>
    <w:rsid w:val="004B5366"/>
    <w:rsid w:val="004B5AFD"/>
    <w:rsid w:val="004C4C95"/>
    <w:rsid w:val="004D13EF"/>
    <w:rsid w:val="004D188C"/>
    <w:rsid w:val="004D36E4"/>
    <w:rsid w:val="004E3EBF"/>
    <w:rsid w:val="004E6721"/>
    <w:rsid w:val="004F0CA2"/>
    <w:rsid w:val="004F466F"/>
    <w:rsid w:val="005003FC"/>
    <w:rsid w:val="005005A8"/>
    <w:rsid w:val="005068C4"/>
    <w:rsid w:val="00510ABB"/>
    <w:rsid w:val="0052069D"/>
    <w:rsid w:val="00521E17"/>
    <w:rsid w:val="005223A2"/>
    <w:rsid w:val="005230C8"/>
    <w:rsid w:val="00524EAB"/>
    <w:rsid w:val="00525543"/>
    <w:rsid w:val="005257AB"/>
    <w:rsid w:val="00525FDF"/>
    <w:rsid w:val="00531015"/>
    <w:rsid w:val="00532983"/>
    <w:rsid w:val="0053329E"/>
    <w:rsid w:val="00540C2E"/>
    <w:rsid w:val="00542536"/>
    <w:rsid w:val="00543919"/>
    <w:rsid w:val="0054426B"/>
    <w:rsid w:val="00544F9E"/>
    <w:rsid w:val="005609D6"/>
    <w:rsid w:val="00567317"/>
    <w:rsid w:val="00572864"/>
    <w:rsid w:val="005750CB"/>
    <w:rsid w:val="00580417"/>
    <w:rsid w:val="005823A4"/>
    <w:rsid w:val="005843B0"/>
    <w:rsid w:val="00586A3B"/>
    <w:rsid w:val="00587262"/>
    <w:rsid w:val="00590478"/>
    <w:rsid w:val="00595A49"/>
    <w:rsid w:val="005979F0"/>
    <w:rsid w:val="005A4369"/>
    <w:rsid w:val="005A520D"/>
    <w:rsid w:val="005B2876"/>
    <w:rsid w:val="005C38E3"/>
    <w:rsid w:val="005C4D63"/>
    <w:rsid w:val="005C5EB1"/>
    <w:rsid w:val="005C7DF8"/>
    <w:rsid w:val="005D1183"/>
    <w:rsid w:val="005E16F7"/>
    <w:rsid w:val="005E6EB8"/>
    <w:rsid w:val="005F0B8E"/>
    <w:rsid w:val="005F374C"/>
    <w:rsid w:val="006036B4"/>
    <w:rsid w:val="00621FA0"/>
    <w:rsid w:val="0062287B"/>
    <w:rsid w:val="00623A52"/>
    <w:rsid w:val="0062432F"/>
    <w:rsid w:val="006249F4"/>
    <w:rsid w:val="0062749B"/>
    <w:rsid w:val="00630EA9"/>
    <w:rsid w:val="00640EB7"/>
    <w:rsid w:val="0064102E"/>
    <w:rsid w:val="00643A1E"/>
    <w:rsid w:val="00651DD1"/>
    <w:rsid w:val="006538CA"/>
    <w:rsid w:val="006551F9"/>
    <w:rsid w:val="0065547D"/>
    <w:rsid w:val="0065582C"/>
    <w:rsid w:val="00657689"/>
    <w:rsid w:val="0066125B"/>
    <w:rsid w:val="00666C52"/>
    <w:rsid w:val="00667488"/>
    <w:rsid w:val="0068291C"/>
    <w:rsid w:val="00682DF2"/>
    <w:rsid w:val="00691966"/>
    <w:rsid w:val="00691DB3"/>
    <w:rsid w:val="006A15F1"/>
    <w:rsid w:val="006A483C"/>
    <w:rsid w:val="006B0CC2"/>
    <w:rsid w:val="006B29CF"/>
    <w:rsid w:val="006B658C"/>
    <w:rsid w:val="006D513E"/>
    <w:rsid w:val="006D66BF"/>
    <w:rsid w:val="006E23F6"/>
    <w:rsid w:val="006E5BF4"/>
    <w:rsid w:val="006E7B21"/>
    <w:rsid w:val="00712E9A"/>
    <w:rsid w:val="00714931"/>
    <w:rsid w:val="00715CC9"/>
    <w:rsid w:val="00717766"/>
    <w:rsid w:val="00722879"/>
    <w:rsid w:val="00722A6A"/>
    <w:rsid w:val="00730A4A"/>
    <w:rsid w:val="00741EF6"/>
    <w:rsid w:val="00744484"/>
    <w:rsid w:val="00753252"/>
    <w:rsid w:val="00753D6E"/>
    <w:rsid w:val="00757F59"/>
    <w:rsid w:val="00765B4C"/>
    <w:rsid w:val="007669EC"/>
    <w:rsid w:val="00767374"/>
    <w:rsid w:val="00774416"/>
    <w:rsid w:val="00775E24"/>
    <w:rsid w:val="007811C1"/>
    <w:rsid w:val="00782683"/>
    <w:rsid w:val="00783947"/>
    <w:rsid w:val="0078539E"/>
    <w:rsid w:val="0078696E"/>
    <w:rsid w:val="0079360D"/>
    <w:rsid w:val="007A06FC"/>
    <w:rsid w:val="007A3AC6"/>
    <w:rsid w:val="007A562E"/>
    <w:rsid w:val="007A6838"/>
    <w:rsid w:val="007A6C83"/>
    <w:rsid w:val="007A73CE"/>
    <w:rsid w:val="007A7A2E"/>
    <w:rsid w:val="007A7C5C"/>
    <w:rsid w:val="007B22A3"/>
    <w:rsid w:val="007B3186"/>
    <w:rsid w:val="007B405C"/>
    <w:rsid w:val="007B4E87"/>
    <w:rsid w:val="007B5FCC"/>
    <w:rsid w:val="007C31D0"/>
    <w:rsid w:val="007C46F5"/>
    <w:rsid w:val="007C5543"/>
    <w:rsid w:val="007C78BF"/>
    <w:rsid w:val="007C7A5F"/>
    <w:rsid w:val="007D4D73"/>
    <w:rsid w:val="007D62C7"/>
    <w:rsid w:val="007D6B12"/>
    <w:rsid w:val="007E2E3E"/>
    <w:rsid w:val="007F29AC"/>
    <w:rsid w:val="00803397"/>
    <w:rsid w:val="0080404C"/>
    <w:rsid w:val="00810726"/>
    <w:rsid w:val="00823027"/>
    <w:rsid w:val="00823346"/>
    <w:rsid w:val="00823BC2"/>
    <w:rsid w:val="008368D3"/>
    <w:rsid w:val="008454F4"/>
    <w:rsid w:val="00845646"/>
    <w:rsid w:val="00847DCC"/>
    <w:rsid w:val="008512CA"/>
    <w:rsid w:val="0085651A"/>
    <w:rsid w:val="00860191"/>
    <w:rsid w:val="00862B56"/>
    <w:rsid w:val="008709A1"/>
    <w:rsid w:val="00871A3A"/>
    <w:rsid w:val="00874483"/>
    <w:rsid w:val="00875F07"/>
    <w:rsid w:val="008821B8"/>
    <w:rsid w:val="00885F40"/>
    <w:rsid w:val="008903B7"/>
    <w:rsid w:val="00894058"/>
    <w:rsid w:val="00894FAF"/>
    <w:rsid w:val="008A4D98"/>
    <w:rsid w:val="008A6F75"/>
    <w:rsid w:val="008C23C5"/>
    <w:rsid w:val="008C33E0"/>
    <w:rsid w:val="008C730D"/>
    <w:rsid w:val="008D5B9B"/>
    <w:rsid w:val="008E35FC"/>
    <w:rsid w:val="008E468D"/>
    <w:rsid w:val="008E7162"/>
    <w:rsid w:val="008F3458"/>
    <w:rsid w:val="00901ADF"/>
    <w:rsid w:val="009021F1"/>
    <w:rsid w:val="00902ED8"/>
    <w:rsid w:val="0090352E"/>
    <w:rsid w:val="00906FF9"/>
    <w:rsid w:val="00911D6C"/>
    <w:rsid w:val="0092469F"/>
    <w:rsid w:val="00924D57"/>
    <w:rsid w:val="009343B1"/>
    <w:rsid w:val="00936094"/>
    <w:rsid w:val="009430EB"/>
    <w:rsid w:val="009434E3"/>
    <w:rsid w:val="0095172D"/>
    <w:rsid w:val="0095381D"/>
    <w:rsid w:val="00956635"/>
    <w:rsid w:val="00956B53"/>
    <w:rsid w:val="00963A31"/>
    <w:rsid w:val="00965A6C"/>
    <w:rsid w:val="00971FD2"/>
    <w:rsid w:val="00977EBF"/>
    <w:rsid w:val="00981159"/>
    <w:rsid w:val="00982564"/>
    <w:rsid w:val="00982CB2"/>
    <w:rsid w:val="00983134"/>
    <w:rsid w:val="0099668D"/>
    <w:rsid w:val="009A43C5"/>
    <w:rsid w:val="009A51B4"/>
    <w:rsid w:val="009A7F3A"/>
    <w:rsid w:val="009B0FEC"/>
    <w:rsid w:val="009B164E"/>
    <w:rsid w:val="009B381E"/>
    <w:rsid w:val="009B3A40"/>
    <w:rsid w:val="009B5CA1"/>
    <w:rsid w:val="009B775A"/>
    <w:rsid w:val="009C1107"/>
    <w:rsid w:val="009C20A0"/>
    <w:rsid w:val="009C5EC9"/>
    <w:rsid w:val="009D00BE"/>
    <w:rsid w:val="009D03CE"/>
    <w:rsid w:val="009D55A6"/>
    <w:rsid w:val="009D5C9F"/>
    <w:rsid w:val="009E0380"/>
    <w:rsid w:val="009E142F"/>
    <w:rsid w:val="009E1ADF"/>
    <w:rsid w:val="009E212D"/>
    <w:rsid w:val="009E3933"/>
    <w:rsid w:val="009E3999"/>
    <w:rsid w:val="009F50CB"/>
    <w:rsid w:val="009F553E"/>
    <w:rsid w:val="009F6906"/>
    <w:rsid w:val="00A001F0"/>
    <w:rsid w:val="00A003A7"/>
    <w:rsid w:val="00A01158"/>
    <w:rsid w:val="00A0402C"/>
    <w:rsid w:val="00A04E9D"/>
    <w:rsid w:val="00A06B8B"/>
    <w:rsid w:val="00A10692"/>
    <w:rsid w:val="00A123ED"/>
    <w:rsid w:val="00A251AF"/>
    <w:rsid w:val="00A31C45"/>
    <w:rsid w:val="00A34945"/>
    <w:rsid w:val="00A40CFE"/>
    <w:rsid w:val="00A4366E"/>
    <w:rsid w:val="00A46A46"/>
    <w:rsid w:val="00A60C94"/>
    <w:rsid w:val="00A61501"/>
    <w:rsid w:val="00A7078B"/>
    <w:rsid w:val="00A854D3"/>
    <w:rsid w:val="00A86037"/>
    <w:rsid w:val="00A863E6"/>
    <w:rsid w:val="00A86B9B"/>
    <w:rsid w:val="00A91915"/>
    <w:rsid w:val="00A93CE0"/>
    <w:rsid w:val="00AA2023"/>
    <w:rsid w:val="00AA2F6A"/>
    <w:rsid w:val="00AA5260"/>
    <w:rsid w:val="00AA563B"/>
    <w:rsid w:val="00AA77BB"/>
    <w:rsid w:val="00AA7E78"/>
    <w:rsid w:val="00AB3679"/>
    <w:rsid w:val="00AB3C0C"/>
    <w:rsid w:val="00AC2712"/>
    <w:rsid w:val="00AC4FCB"/>
    <w:rsid w:val="00AC54FC"/>
    <w:rsid w:val="00AC5809"/>
    <w:rsid w:val="00AD2C4C"/>
    <w:rsid w:val="00AD5468"/>
    <w:rsid w:val="00AE300A"/>
    <w:rsid w:val="00AE3A4F"/>
    <w:rsid w:val="00AE6013"/>
    <w:rsid w:val="00AE6D7E"/>
    <w:rsid w:val="00AE7F87"/>
    <w:rsid w:val="00AF0E20"/>
    <w:rsid w:val="00AF1182"/>
    <w:rsid w:val="00AF2270"/>
    <w:rsid w:val="00AF31C3"/>
    <w:rsid w:val="00B00942"/>
    <w:rsid w:val="00B05ECF"/>
    <w:rsid w:val="00B12BEC"/>
    <w:rsid w:val="00B1320C"/>
    <w:rsid w:val="00B158F2"/>
    <w:rsid w:val="00B22564"/>
    <w:rsid w:val="00B22F56"/>
    <w:rsid w:val="00B24834"/>
    <w:rsid w:val="00B26E23"/>
    <w:rsid w:val="00B301AC"/>
    <w:rsid w:val="00B317ED"/>
    <w:rsid w:val="00B32A9C"/>
    <w:rsid w:val="00B3499F"/>
    <w:rsid w:val="00B42E21"/>
    <w:rsid w:val="00B465EA"/>
    <w:rsid w:val="00B471E3"/>
    <w:rsid w:val="00B6490D"/>
    <w:rsid w:val="00B708C8"/>
    <w:rsid w:val="00B76D27"/>
    <w:rsid w:val="00B77FBF"/>
    <w:rsid w:val="00B80148"/>
    <w:rsid w:val="00B8125B"/>
    <w:rsid w:val="00B82F7B"/>
    <w:rsid w:val="00B86CA8"/>
    <w:rsid w:val="00B87511"/>
    <w:rsid w:val="00B95951"/>
    <w:rsid w:val="00B95E27"/>
    <w:rsid w:val="00B970D0"/>
    <w:rsid w:val="00B97B1E"/>
    <w:rsid w:val="00BA138D"/>
    <w:rsid w:val="00BB0401"/>
    <w:rsid w:val="00BB40B9"/>
    <w:rsid w:val="00BB5F43"/>
    <w:rsid w:val="00BC0C1A"/>
    <w:rsid w:val="00BC6953"/>
    <w:rsid w:val="00BC729E"/>
    <w:rsid w:val="00BD4BE6"/>
    <w:rsid w:val="00BD5D78"/>
    <w:rsid w:val="00BE3EC2"/>
    <w:rsid w:val="00BE528D"/>
    <w:rsid w:val="00BE5C15"/>
    <w:rsid w:val="00BE6EE2"/>
    <w:rsid w:val="00BF2315"/>
    <w:rsid w:val="00C04217"/>
    <w:rsid w:val="00C05E71"/>
    <w:rsid w:val="00C200AE"/>
    <w:rsid w:val="00C23759"/>
    <w:rsid w:val="00C26995"/>
    <w:rsid w:val="00C31889"/>
    <w:rsid w:val="00C32096"/>
    <w:rsid w:val="00C32DB2"/>
    <w:rsid w:val="00C3308C"/>
    <w:rsid w:val="00C42A50"/>
    <w:rsid w:val="00C546DC"/>
    <w:rsid w:val="00C61BD6"/>
    <w:rsid w:val="00C673AD"/>
    <w:rsid w:val="00C728EE"/>
    <w:rsid w:val="00C77327"/>
    <w:rsid w:val="00C805BE"/>
    <w:rsid w:val="00C81843"/>
    <w:rsid w:val="00C83419"/>
    <w:rsid w:val="00C94DB9"/>
    <w:rsid w:val="00C95B8E"/>
    <w:rsid w:val="00CA37A4"/>
    <w:rsid w:val="00CA686C"/>
    <w:rsid w:val="00CB127C"/>
    <w:rsid w:val="00CB3B78"/>
    <w:rsid w:val="00CB4D05"/>
    <w:rsid w:val="00CB69DE"/>
    <w:rsid w:val="00CC16E1"/>
    <w:rsid w:val="00CC5A5F"/>
    <w:rsid w:val="00CC7241"/>
    <w:rsid w:val="00CD3A31"/>
    <w:rsid w:val="00CE1525"/>
    <w:rsid w:val="00CE3EBD"/>
    <w:rsid w:val="00CE52C3"/>
    <w:rsid w:val="00CF3BA9"/>
    <w:rsid w:val="00D0563C"/>
    <w:rsid w:val="00D06F6F"/>
    <w:rsid w:val="00D10357"/>
    <w:rsid w:val="00D10E74"/>
    <w:rsid w:val="00D129FC"/>
    <w:rsid w:val="00D12BF7"/>
    <w:rsid w:val="00D13BCA"/>
    <w:rsid w:val="00D16A0E"/>
    <w:rsid w:val="00D179B0"/>
    <w:rsid w:val="00D20A53"/>
    <w:rsid w:val="00D2107C"/>
    <w:rsid w:val="00D22FDD"/>
    <w:rsid w:val="00D3237F"/>
    <w:rsid w:val="00D42235"/>
    <w:rsid w:val="00D43220"/>
    <w:rsid w:val="00D444FF"/>
    <w:rsid w:val="00D468D4"/>
    <w:rsid w:val="00D51E1B"/>
    <w:rsid w:val="00D53B04"/>
    <w:rsid w:val="00D579BE"/>
    <w:rsid w:val="00D61531"/>
    <w:rsid w:val="00D662DC"/>
    <w:rsid w:val="00D75428"/>
    <w:rsid w:val="00D76BB4"/>
    <w:rsid w:val="00D8632D"/>
    <w:rsid w:val="00D9125F"/>
    <w:rsid w:val="00D9600E"/>
    <w:rsid w:val="00DA5D97"/>
    <w:rsid w:val="00DB0DFA"/>
    <w:rsid w:val="00DB17B7"/>
    <w:rsid w:val="00DC3444"/>
    <w:rsid w:val="00DC5A00"/>
    <w:rsid w:val="00DC6824"/>
    <w:rsid w:val="00DC7C80"/>
    <w:rsid w:val="00DD02E5"/>
    <w:rsid w:val="00DD3424"/>
    <w:rsid w:val="00DD73F5"/>
    <w:rsid w:val="00DE3E51"/>
    <w:rsid w:val="00DE552E"/>
    <w:rsid w:val="00DE5660"/>
    <w:rsid w:val="00DE605B"/>
    <w:rsid w:val="00DF4A49"/>
    <w:rsid w:val="00DF61F7"/>
    <w:rsid w:val="00E00FC6"/>
    <w:rsid w:val="00E23149"/>
    <w:rsid w:val="00E26735"/>
    <w:rsid w:val="00E30F53"/>
    <w:rsid w:val="00E31B78"/>
    <w:rsid w:val="00E32763"/>
    <w:rsid w:val="00E337FF"/>
    <w:rsid w:val="00E33B7D"/>
    <w:rsid w:val="00E4105B"/>
    <w:rsid w:val="00E430AE"/>
    <w:rsid w:val="00E4470C"/>
    <w:rsid w:val="00E451D3"/>
    <w:rsid w:val="00E473D8"/>
    <w:rsid w:val="00E505BF"/>
    <w:rsid w:val="00E53CC1"/>
    <w:rsid w:val="00E56C8D"/>
    <w:rsid w:val="00E632A2"/>
    <w:rsid w:val="00E637E3"/>
    <w:rsid w:val="00E738A0"/>
    <w:rsid w:val="00E751FB"/>
    <w:rsid w:val="00E75C44"/>
    <w:rsid w:val="00E7620D"/>
    <w:rsid w:val="00E77AE5"/>
    <w:rsid w:val="00E800E3"/>
    <w:rsid w:val="00E80989"/>
    <w:rsid w:val="00E82670"/>
    <w:rsid w:val="00E86F29"/>
    <w:rsid w:val="00E87F88"/>
    <w:rsid w:val="00E909A9"/>
    <w:rsid w:val="00EA2BAE"/>
    <w:rsid w:val="00EA3F7F"/>
    <w:rsid w:val="00EA691F"/>
    <w:rsid w:val="00EB7181"/>
    <w:rsid w:val="00EB7F94"/>
    <w:rsid w:val="00EC2A77"/>
    <w:rsid w:val="00EC500E"/>
    <w:rsid w:val="00EC539D"/>
    <w:rsid w:val="00EC5BC3"/>
    <w:rsid w:val="00EC69C8"/>
    <w:rsid w:val="00EC7A27"/>
    <w:rsid w:val="00ED1B4B"/>
    <w:rsid w:val="00ED1B8C"/>
    <w:rsid w:val="00ED2041"/>
    <w:rsid w:val="00ED3F3C"/>
    <w:rsid w:val="00ED6E6B"/>
    <w:rsid w:val="00ED79CD"/>
    <w:rsid w:val="00EE14AE"/>
    <w:rsid w:val="00EE16B1"/>
    <w:rsid w:val="00EE2129"/>
    <w:rsid w:val="00EF04B3"/>
    <w:rsid w:val="00EF43F1"/>
    <w:rsid w:val="00F12031"/>
    <w:rsid w:val="00F125EE"/>
    <w:rsid w:val="00F13DC5"/>
    <w:rsid w:val="00F22C1A"/>
    <w:rsid w:val="00F22F73"/>
    <w:rsid w:val="00F25782"/>
    <w:rsid w:val="00F30EF7"/>
    <w:rsid w:val="00F32DE7"/>
    <w:rsid w:val="00F34A1D"/>
    <w:rsid w:val="00F35ACF"/>
    <w:rsid w:val="00F37FEA"/>
    <w:rsid w:val="00F42DAB"/>
    <w:rsid w:val="00F44B51"/>
    <w:rsid w:val="00F65E9B"/>
    <w:rsid w:val="00F67AAA"/>
    <w:rsid w:val="00F67D1D"/>
    <w:rsid w:val="00F7285D"/>
    <w:rsid w:val="00F7399A"/>
    <w:rsid w:val="00F814C4"/>
    <w:rsid w:val="00F858F9"/>
    <w:rsid w:val="00F86960"/>
    <w:rsid w:val="00F9169A"/>
    <w:rsid w:val="00F91D77"/>
    <w:rsid w:val="00F97D7B"/>
    <w:rsid w:val="00FA02B9"/>
    <w:rsid w:val="00FA094F"/>
    <w:rsid w:val="00FA3695"/>
    <w:rsid w:val="00FA42ED"/>
    <w:rsid w:val="00FA68EC"/>
    <w:rsid w:val="00FB62E1"/>
    <w:rsid w:val="00FC00FB"/>
    <w:rsid w:val="00FC28C6"/>
    <w:rsid w:val="00FC34A6"/>
    <w:rsid w:val="00FC43E1"/>
    <w:rsid w:val="00FC60B1"/>
    <w:rsid w:val="00FC6151"/>
    <w:rsid w:val="00FC6690"/>
    <w:rsid w:val="00FD000B"/>
    <w:rsid w:val="00FD0E6B"/>
    <w:rsid w:val="00FD6EE8"/>
    <w:rsid w:val="00FE629A"/>
    <w:rsid w:val="00FF0D37"/>
    <w:rsid w:val="00FF2A87"/>
    <w:rsid w:val="64036A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6AF734"/>
  <w15:chartTrackingRefBased/>
  <w15:docId w15:val="{90705F93-A690-404E-BD6F-F17A262B6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0"/>
    <w:lsdException w:name="Light Shading Accent 2" w:uiPriority="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2F95"/>
    <w:pPr>
      <w:spacing w:line="276" w:lineRule="auto"/>
      <w:jc w:val="both"/>
    </w:pPr>
    <w:rPr>
      <w:rFonts w:ascii="Arial" w:eastAsia="Times New Roman" w:hAnsi="Arial"/>
      <w:sz w:val="21"/>
      <w:szCs w:val="22"/>
      <w:lang w:val="fr-FR" w:eastAsia="fr-FR"/>
    </w:rPr>
  </w:style>
  <w:style w:type="paragraph" w:styleId="Titre1">
    <w:name w:val="heading 1"/>
    <w:aliases w:val="Titre 1 Car Car Car Car Car Car Car Car Car Car Car Car Car Car Car Car Car Car,Main Heading,TCI 1.  Heading,Main Heading 1,Document Header1, 1, 2, Main Heading, 3, 11, 4, 21,Titre vert, 41,.,章名,章,annexe,CHAPITRE,1,2,11,3,4, 411, 5, 6, 61, 7, "/>
    <w:basedOn w:val="Normal"/>
    <w:next w:val="Normal"/>
    <w:link w:val="Titre1Car"/>
    <w:uiPriority w:val="9"/>
    <w:qFormat/>
    <w:rsid w:val="001C2F95"/>
    <w:pPr>
      <w:keepNext/>
      <w:keepLines/>
      <w:outlineLvl w:val="0"/>
    </w:pPr>
    <w:rPr>
      <w:b/>
      <w:bCs/>
      <w:szCs w:val="28"/>
    </w:rPr>
  </w:style>
  <w:style w:type="paragraph" w:styleId="Titre2">
    <w:name w:val="heading 2"/>
    <w:aliases w:val="Paranum,alec2,Heading 2 Char,Chapitre 2,an,(1.1),Titre secondaire (2),Titre secondaire (2) Car,Reset numbering,Major,Heading 2 Char3,Heading 2 Char1 Char,Heading 2 Char Char Char,Heading 2 Char1 Char Char Char,Heading 2 Char Char Char Char Cha"/>
    <w:basedOn w:val="Normal"/>
    <w:next w:val="Normal"/>
    <w:link w:val="Titre2Car"/>
    <w:uiPriority w:val="9"/>
    <w:unhideWhenUsed/>
    <w:qFormat/>
    <w:rsid w:val="001C2F95"/>
    <w:pPr>
      <w:keepNext/>
      <w:keepLines/>
      <w:outlineLvl w:val="1"/>
    </w:pPr>
    <w:rPr>
      <w:bCs/>
      <w:szCs w:val="26"/>
    </w:rPr>
  </w:style>
  <w:style w:type="paragraph" w:styleId="Titre3">
    <w:name w:val="heading 3"/>
    <w:aliases w:val="Centered,centered, Centered,Chapitre 3,annex,(1.1.1.),Left Char, centered Char,Left, centered,Section,Section + Gauche,Gauche :  0 cm,Suspendu : 1,6 cm,Avant : 24 pt + Gau...,Sec,titre n3,Section Header3,H3,RFF-Titre 3,MLM-Titre 4,retrait2"/>
    <w:basedOn w:val="Normal"/>
    <w:next w:val="Normal"/>
    <w:link w:val="Titre3Car"/>
    <w:unhideWhenUsed/>
    <w:qFormat/>
    <w:rsid w:val="001C2F95"/>
    <w:pPr>
      <w:keepNext/>
      <w:keepLines/>
      <w:outlineLvl w:val="2"/>
    </w:pPr>
    <w:rPr>
      <w:bCs/>
      <w:i/>
      <w:szCs w:val="20"/>
    </w:rPr>
  </w:style>
  <w:style w:type="paragraph" w:styleId="Titre4">
    <w:name w:val="heading 4"/>
    <w:aliases w:val="Centred,Cen.,A,(1.1.1.1.),Sous-Section,Sous-Sectipson,T4,Sous-Sectipson + Gauche :  0 cm,Premiè...,Première ligne : 0 cm...,MainPara,Première ligne : 0 cm"/>
    <w:basedOn w:val="Normal"/>
    <w:next w:val="Normal"/>
    <w:link w:val="Titre4Car"/>
    <w:unhideWhenUsed/>
    <w:qFormat/>
    <w:rsid w:val="001C2F95"/>
    <w:pPr>
      <w:keepNext/>
      <w:spacing w:before="240" w:after="60"/>
      <w:ind w:left="864" w:hanging="864"/>
      <w:jc w:val="left"/>
      <w:outlineLvl w:val="3"/>
    </w:pPr>
    <w:rPr>
      <w:rFonts w:ascii="Calibri" w:hAnsi="Calibri"/>
      <w:b/>
      <w:bCs/>
      <w:sz w:val="28"/>
      <w:szCs w:val="28"/>
      <w:lang w:eastAsia="en-US"/>
    </w:rPr>
  </w:style>
  <w:style w:type="paragraph" w:styleId="Titre5">
    <w:name w:val="heading 5"/>
    <w:aliases w:val=" Side,Side,T 2"/>
    <w:basedOn w:val="Normal"/>
    <w:next w:val="Normal"/>
    <w:link w:val="Titre5Car"/>
    <w:qFormat/>
    <w:rsid w:val="001C2F95"/>
    <w:pPr>
      <w:widowControl w:val="0"/>
      <w:autoSpaceDN w:val="0"/>
      <w:adjustRightInd w:val="0"/>
      <w:spacing w:before="120" w:after="120"/>
      <w:ind w:left="1008" w:hanging="1008"/>
      <w:jc w:val="left"/>
      <w:outlineLvl w:val="4"/>
    </w:pPr>
    <w:rPr>
      <w:rFonts w:ascii="Calibri" w:hAnsi="Calibri"/>
      <w:b/>
      <w:bCs/>
      <w:i/>
      <w:iCs/>
      <w:sz w:val="26"/>
      <w:szCs w:val="26"/>
      <w:lang w:eastAsia="en-US"/>
    </w:rPr>
  </w:style>
  <w:style w:type="paragraph" w:styleId="Titre6">
    <w:name w:val="heading 6"/>
    <w:aliases w:val="ann,(a,b,..)"/>
    <w:basedOn w:val="Normal"/>
    <w:next w:val="Normal"/>
    <w:link w:val="Titre6Car"/>
    <w:unhideWhenUsed/>
    <w:qFormat/>
    <w:rsid w:val="001C2F95"/>
    <w:pPr>
      <w:spacing w:before="240" w:after="60"/>
      <w:ind w:left="1152" w:hanging="1152"/>
      <w:jc w:val="left"/>
      <w:outlineLvl w:val="5"/>
    </w:pPr>
    <w:rPr>
      <w:rFonts w:ascii="Calibri" w:hAnsi="Calibri"/>
      <w:b/>
      <w:bCs/>
      <w:sz w:val="22"/>
      <w:lang w:eastAsia="en-US"/>
    </w:rPr>
  </w:style>
  <w:style w:type="paragraph" w:styleId="Titre7">
    <w:name w:val="heading 7"/>
    <w:aliases w:val="Car9"/>
    <w:basedOn w:val="Normal"/>
    <w:next w:val="Normal"/>
    <w:link w:val="Titre7Car"/>
    <w:unhideWhenUsed/>
    <w:qFormat/>
    <w:rsid w:val="001C2F95"/>
    <w:pPr>
      <w:spacing w:before="240" w:after="60"/>
      <w:ind w:left="1296" w:hanging="1296"/>
      <w:jc w:val="left"/>
      <w:outlineLvl w:val="6"/>
    </w:pPr>
    <w:rPr>
      <w:rFonts w:ascii="Calibri" w:hAnsi="Calibri"/>
      <w:sz w:val="24"/>
      <w:szCs w:val="24"/>
      <w:lang w:eastAsia="en-US"/>
    </w:rPr>
  </w:style>
  <w:style w:type="paragraph" w:styleId="Titre8">
    <w:name w:val="heading 8"/>
    <w:aliases w:val="Car8"/>
    <w:basedOn w:val="Normal"/>
    <w:next w:val="Normal"/>
    <w:link w:val="Titre8Car"/>
    <w:unhideWhenUsed/>
    <w:qFormat/>
    <w:rsid w:val="001C2F95"/>
    <w:pPr>
      <w:spacing w:before="240" w:after="60"/>
      <w:ind w:left="1440" w:hanging="1440"/>
      <w:jc w:val="left"/>
      <w:outlineLvl w:val="7"/>
    </w:pPr>
    <w:rPr>
      <w:rFonts w:ascii="Calibri" w:hAnsi="Calibri"/>
      <w:i/>
      <w:iCs/>
      <w:sz w:val="24"/>
      <w:szCs w:val="24"/>
      <w:lang w:eastAsia="en-US"/>
    </w:rPr>
  </w:style>
  <w:style w:type="paragraph" w:styleId="Titre9">
    <w:name w:val="heading 9"/>
    <w:aliases w:val="Heading 9-paranum,Car7"/>
    <w:basedOn w:val="Normal"/>
    <w:next w:val="Normal"/>
    <w:link w:val="Titre9Car"/>
    <w:unhideWhenUsed/>
    <w:qFormat/>
    <w:rsid w:val="001C2F95"/>
    <w:pPr>
      <w:spacing w:before="240" w:after="60"/>
      <w:ind w:left="1584" w:hanging="1584"/>
      <w:jc w:val="left"/>
      <w:outlineLvl w:val="8"/>
    </w:pPr>
    <w:rPr>
      <w:rFonts w:ascii="Cambria" w:hAnsi="Cambria"/>
      <w:sz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re 1 Car Car Car Car Car Car Car Car Car Car Car Car Car Car Car Car Car Car Car1,Main Heading Car,TCI 1.  Heading Car,Main Heading 1 Car,Document Header1 Car, 1 Car, 2 Car, Main Heading Car, 3 Car, 11 Car, 4 Car, 21 Car,Titre vert Car"/>
    <w:link w:val="Titre1"/>
    <w:uiPriority w:val="9"/>
    <w:rsid w:val="001C2F95"/>
    <w:rPr>
      <w:rFonts w:ascii="Arial" w:eastAsia="Times New Roman" w:hAnsi="Arial" w:cs="Times New Roman"/>
      <w:b/>
      <w:bCs/>
      <w:sz w:val="21"/>
      <w:szCs w:val="28"/>
      <w:lang w:eastAsia="fr-FR"/>
    </w:rPr>
  </w:style>
  <w:style w:type="character" w:customStyle="1" w:styleId="Titre2Car">
    <w:name w:val="Titre 2 Car"/>
    <w:aliases w:val="Paranum Car,alec2 Car,Heading 2 Char Car,Chapitre 2 Car,an Car,(1.1) Car,Titre secondaire (2) Car1,Titre secondaire (2) Car Car,Reset numbering Car,Major Car,Heading 2 Char3 Car,Heading 2 Char1 Char Car,Heading 2 Char Char Char Car"/>
    <w:link w:val="Titre2"/>
    <w:uiPriority w:val="9"/>
    <w:rsid w:val="001C2F95"/>
    <w:rPr>
      <w:rFonts w:ascii="Arial" w:eastAsia="Times New Roman" w:hAnsi="Arial" w:cs="Times New Roman"/>
      <w:bCs/>
      <w:sz w:val="21"/>
      <w:szCs w:val="26"/>
      <w:lang w:eastAsia="fr-FR"/>
    </w:rPr>
  </w:style>
  <w:style w:type="character" w:customStyle="1" w:styleId="Titre3Car">
    <w:name w:val="Titre 3 Car"/>
    <w:aliases w:val="Centered Car2,centered Car2, Centered Car2,Chapitre 3 Car1,annex Car1,(1.1.1.) Car1,Left Char Car1, centered Char Car1,Left Car1, centered Car1,Section Car1,Section + Gauche Car1,Gauche :  0 cm Car1,Suspendu : 1 Car1,6 cm Car1,Sec Car1"/>
    <w:link w:val="Titre3"/>
    <w:rsid w:val="001C2F95"/>
    <w:rPr>
      <w:rFonts w:ascii="Arial" w:eastAsia="Times New Roman" w:hAnsi="Arial" w:cs="Times New Roman"/>
      <w:bCs/>
      <w:i/>
      <w:sz w:val="21"/>
      <w:szCs w:val="20"/>
      <w:lang w:eastAsia="fr-FR"/>
    </w:rPr>
  </w:style>
  <w:style w:type="character" w:customStyle="1" w:styleId="Titre4Car">
    <w:name w:val="Titre 4 Car"/>
    <w:aliases w:val="Centred Car,Cen. Car,A Car,(1.1.1.1.) Car,Sous-Section Car,Sous-Sectipson Car,T4 Car,Sous-Sectipson + Gauche :  0 cm Car,Premiè... Car,Première ligne : 0 cm... Car,MainPara Car,Première ligne : 0 cm Car"/>
    <w:link w:val="Titre4"/>
    <w:rsid w:val="001C2F95"/>
    <w:rPr>
      <w:rFonts w:ascii="Calibri" w:eastAsia="Times New Roman" w:hAnsi="Calibri" w:cs="Times New Roman"/>
      <w:b/>
      <w:bCs/>
      <w:sz w:val="28"/>
      <w:szCs w:val="28"/>
    </w:rPr>
  </w:style>
  <w:style w:type="character" w:customStyle="1" w:styleId="Titre5Car">
    <w:name w:val="Titre 5 Car"/>
    <w:aliases w:val=" Side Car,Side Car,T 2 Car"/>
    <w:link w:val="Titre5"/>
    <w:rsid w:val="001C2F95"/>
    <w:rPr>
      <w:rFonts w:ascii="Calibri" w:eastAsia="Times New Roman" w:hAnsi="Calibri" w:cs="Times New Roman"/>
      <w:b/>
      <w:bCs/>
      <w:i/>
      <w:iCs/>
      <w:sz w:val="26"/>
      <w:szCs w:val="26"/>
    </w:rPr>
  </w:style>
  <w:style w:type="character" w:customStyle="1" w:styleId="Titre6Car">
    <w:name w:val="Titre 6 Car"/>
    <w:aliases w:val="ann Car,(a Car,b Car,..) Car"/>
    <w:link w:val="Titre6"/>
    <w:rsid w:val="001C2F95"/>
    <w:rPr>
      <w:rFonts w:ascii="Calibri" w:eastAsia="Times New Roman" w:hAnsi="Calibri" w:cs="Times New Roman"/>
      <w:b/>
      <w:bCs/>
    </w:rPr>
  </w:style>
  <w:style w:type="character" w:customStyle="1" w:styleId="Titre7Car">
    <w:name w:val="Titre 7 Car"/>
    <w:aliases w:val="Car9 Car"/>
    <w:link w:val="Titre7"/>
    <w:rsid w:val="001C2F95"/>
    <w:rPr>
      <w:rFonts w:ascii="Calibri" w:eastAsia="Times New Roman" w:hAnsi="Calibri" w:cs="Times New Roman"/>
      <w:sz w:val="24"/>
      <w:szCs w:val="24"/>
    </w:rPr>
  </w:style>
  <w:style w:type="character" w:customStyle="1" w:styleId="Titre8Car">
    <w:name w:val="Titre 8 Car"/>
    <w:aliases w:val="Car8 Car"/>
    <w:link w:val="Titre8"/>
    <w:rsid w:val="001C2F95"/>
    <w:rPr>
      <w:rFonts w:ascii="Calibri" w:eastAsia="Times New Roman" w:hAnsi="Calibri" w:cs="Times New Roman"/>
      <w:i/>
      <w:iCs/>
      <w:sz w:val="24"/>
      <w:szCs w:val="24"/>
    </w:rPr>
  </w:style>
  <w:style w:type="character" w:customStyle="1" w:styleId="Titre9Car">
    <w:name w:val="Titre 9 Car"/>
    <w:aliases w:val="Heading 9-paranum Car,Car7 Car"/>
    <w:link w:val="Titre9"/>
    <w:rsid w:val="001C2F95"/>
    <w:rPr>
      <w:rFonts w:ascii="Cambria" w:eastAsia="Times New Roman" w:hAnsi="Cambria" w:cs="Times New Roman"/>
    </w:rPr>
  </w:style>
  <w:style w:type="paragraph" w:styleId="Paragraphedeliste">
    <w:name w:val="List Paragraph"/>
    <w:aliases w:val="Indent Normal,Lvl 1 Bullet,References,Bullets,Liste 1,List Paragraph1,Paragraphe  revu,Numbered List Paragraph,ReferencesCxSpLast,List Paragraph (numbered (a)),Medium Grid 1 - Accent 21,List Paragraph nowy,List_Paragraph,I.,Titre 10"/>
    <w:basedOn w:val="Normal"/>
    <w:link w:val="ParagraphedelisteCar"/>
    <w:uiPriority w:val="34"/>
    <w:qFormat/>
    <w:rsid w:val="001C2F95"/>
    <w:pPr>
      <w:ind w:left="720"/>
      <w:contextualSpacing/>
    </w:pPr>
  </w:style>
  <w:style w:type="table" w:styleId="Grilledutableau">
    <w:name w:val="Table Grid"/>
    <w:aliases w:val="GT0,表格样式,Table long document,mtbs,Vale 4,CV table,EY Table,SGS Table Basic 1,Default Table,Table Grid CFAA"/>
    <w:basedOn w:val="TableauNormal"/>
    <w:uiPriority w:val="39"/>
    <w:qFormat/>
    <w:rsid w:val="001C2F9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gt-ft-text">
    <w:name w:val="gt-ft-text"/>
    <w:basedOn w:val="Policepardfaut"/>
    <w:rsid w:val="001C2F95"/>
  </w:style>
  <w:style w:type="character" w:styleId="Lienhypertexte">
    <w:name w:val="Hyperlink"/>
    <w:uiPriority w:val="99"/>
    <w:unhideWhenUsed/>
    <w:rsid w:val="001C2F95"/>
    <w:rPr>
      <w:color w:val="0000FF"/>
      <w:u w:val="single"/>
    </w:rPr>
  </w:style>
  <w:style w:type="character" w:customStyle="1" w:styleId="hps">
    <w:name w:val="hps"/>
    <w:basedOn w:val="Policepardfaut"/>
    <w:rsid w:val="001C2F95"/>
  </w:style>
  <w:style w:type="character" w:customStyle="1" w:styleId="atn">
    <w:name w:val="atn"/>
    <w:basedOn w:val="Policepardfaut"/>
    <w:rsid w:val="001C2F95"/>
  </w:style>
  <w:style w:type="character" w:customStyle="1" w:styleId="longtext">
    <w:name w:val="long_text"/>
    <w:basedOn w:val="Policepardfaut"/>
    <w:rsid w:val="001C2F95"/>
  </w:style>
  <w:style w:type="paragraph" w:styleId="En-tte">
    <w:name w:val="header"/>
    <w:aliases w:val="En-tête client,En-tête CV,Car2,/ pied de page,Kopfzeile Char Char, Char Char Char,Kopfzeile Angebot,Para3,heading 3 after h2,h,ContentsHeader,h3+,hd,he,*Header,Section Header,En-tête1,E.e,Cover Page,normal3,En-tête11,E.e1,et pied de page,he1,he2"/>
    <w:basedOn w:val="Normal"/>
    <w:link w:val="En-tteCar"/>
    <w:uiPriority w:val="99"/>
    <w:unhideWhenUsed/>
    <w:qFormat/>
    <w:rsid w:val="001C2F95"/>
    <w:pPr>
      <w:tabs>
        <w:tab w:val="center" w:pos="4536"/>
        <w:tab w:val="right" w:pos="9072"/>
      </w:tabs>
    </w:pPr>
    <w:rPr>
      <w:rFonts w:ascii="Calibri" w:eastAsia="Calibri" w:hAnsi="Calibri"/>
      <w:sz w:val="20"/>
      <w:szCs w:val="20"/>
    </w:rPr>
  </w:style>
  <w:style w:type="character" w:customStyle="1" w:styleId="En-tteCar">
    <w:name w:val="En-tête Car"/>
    <w:aliases w:val="En-tête client Car,En-tête CV Car,Car2 Car,/ pied de page Car,Kopfzeile Char Char Car, Char Char Char Car,Kopfzeile Angebot Car,Para3 Car,heading 3 after h2 Car,h Car,ContentsHeader Car,h3+ Car,hd Car,he Car,*Header Car,Section Header Car"/>
    <w:link w:val="En-tte"/>
    <w:uiPriority w:val="99"/>
    <w:rsid w:val="001C2F95"/>
    <w:rPr>
      <w:rFonts w:ascii="Calibri" w:eastAsia="Calibri" w:hAnsi="Calibri" w:cs="Times New Roman"/>
      <w:sz w:val="20"/>
      <w:szCs w:val="20"/>
      <w:lang w:eastAsia="fr-FR"/>
    </w:rPr>
  </w:style>
  <w:style w:type="paragraph" w:styleId="Pieddepage">
    <w:name w:val="footer"/>
    <w:basedOn w:val="Normal"/>
    <w:link w:val="PieddepageCar"/>
    <w:uiPriority w:val="99"/>
    <w:unhideWhenUsed/>
    <w:rsid w:val="001C2F95"/>
    <w:pPr>
      <w:tabs>
        <w:tab w:val="center" w:pos="4536"/>
        <w:tab w:val="right" w:pos="9072"/>
      </w:tabs>
    </w:pPr>
    <w:rPr>
      <w:rFonts w:ascii="Calibri" w:eastAsia="Calibri" w:hAnsi="Calibri"/>
      <w:sz w:val="20"/>
      <w:szCs w:val="20"/>
    </w:rPr>
  </w:style>
  <w:style w:type="character" w:customStyle="1" w:styleId="PieddepageCar">
    <w:name w:val="Pied de page Car"/>
    <w:link w:val="Pieddepage"/>
    <w:uiPriority w:val="99"/>
    <w:rsid w:val="001C2F95"/>
    <w:rPr>
      <w:rFonts w:ascii="Calibri" w:eastAsia="Calibri" w:hAnsi="Calibri" w:cs="Times New Roman"/>
      <w:sz w:val="20"/>
      <w:szCs w:val="20"/>
      <w:lang w:eastAsia="fr-FR"/>
    </w:rPr>
  </w:style>
  <w:style w:type="character" w:customStyle="1" w:styleId="st-stp1-text1">
    <w:name w:val="st-stp1-text1"/>
    <w:rsid w:val="001C2F95"/>
    <w:rPr>
      <w:color w:val="222222"/>
    </w:rPr>
  </w:style>
  <w:style w:type="paragraph" w:styleId="Textedebulles">
    <w:name w:val="Balloon Text"/>
    <w:basedOn w:val="Normal"/>
    <w:link w:val="TextedebullesCar"/>
    <w:uiPriority w:val="99"/>
    <w:unhideWhenUsed/>
    <w:rsid w:val="001C2F95"/>
    <w:pPr>
      <w:spacing w:line="240" w:lineRule="auto"/>
    </w:pPr>
    <w:rPr>
      <w:rFonts w:ascii="Tahoma" w:hAnsi="Tahoma"/>
      <w:sz w:val="16"/>
      <w:szCs w:val="16"/>
    </w:rPr>
  </w:style>
  <w:style w:type="character" w:customStyle="1" w:styleId="TextedebullesCar">
    <w:name w:val="Texte de bulles Car"/>
    <w:link w:val="Textedebulles"/>
    <w:uiPriority w:val="99"/>
    <w:rsid w:val="001C2F95"/>
    <w:rPr>
      <w:rFonts w:ascii="Tahoma" w:eastAsia="Times New Roman" w:hAnsi="Tahoma" w:cs="Times New Roman"/>
      <w:sz w:val="16"/>
      <w:szCs w:val="16"/>
      <w:lang w:eastAsia="fr-FR"/>
    </w:rPr>
  </w:style>
  <w:style w:type="paragraph" w:styleId="Corpsdetexte">
    <w:name w:val="Body Text"/>
    <w:aliases w:val="tx,Body Text jaga,gl"/>
    <w:basedOn w:val="Normal"/>
    <w:link w:val="CorpsdetexteCar"/>
    <w:uiPriority w:val="1"/>
    <w:qFormat/>
    <w:rsid w:val="001C2F95"/>
    <w:pPr>
      <w:spacing w:line="240" w:lineRule="auto"/>
    </w:pPr>
    <w:rPr>
      <w:rFonts w:eastAsia="MS Mincho"/>
      <w:sz w:val="28"/>
      <w:szCs w:val="24"/>
    </w:rPr>
  </w:style>
  <w:style w:type="character" w:customStyle="1" w:styleId="CorpsdetexteCar">
    <w:name w:val="Corps de texte Car"/>
    <w:aliases w:val="tx Car,Body Text jaga Car,gl Car"/>
    <w:link w:val="Corpsdetexte"/>
    <w:uiPriority w:val="1"/>
    <w:rsid w:val="001C2F95"/>
    <w:rPr>
      <w:rFonts w:ascii="Arial" w:eastAsia="MS Mincho" w:hAnsi="Arial" w:cs="Times New Roman"/>
      <w:sz w:val="28"/>
      <w:szCs w:val="24"/>
      <w:lang w:eastAsia="fr-FR"/>
    </w:rPr>
  </w:style>
  <w:style w:type="paragraph" w:styleId="Sous-titre">
    <w:name w:val="Subtitle"/>
    <w:basedOn w:val="Normal"/>
    <w:next w:val="Normal"/>
    <w:link w:val="Sous-titreCar"/>
    <w:qFormat/>
    <w:rsid w:val="001C2F95"/>
    <w:pPr>
      <w:numPr>
        <w:ilvl w:val="1"/>
      </w:numPr>
    </w:pPr>
    <w:rPr>
      <w:rFonts w:ascii="Cambria" w:hAnsi="Cambria"/>
      <w:i/>
      <w:iCs/>
      <w:color w:val="4F81BD"/>
      <w:spacing w:val="15"/>
      <w:sz w:val="24"/>
      <w:szCs w:val="24"/>
    </w:rPr>
  </w:style>
  <w:style w:type="character" w:customStyle="1" w:styleId="Sous-titreCar">
    <w:name w:val="Sous-titre Car"/>
    <w:link w:val="Sous-titre"/>
    <w:rsid w:val="001C2F95"/>
    <w:rPr>
      <w:rFonts w:ascii="Cambria" w:eastAsia="Times New Roman" w:hAnsi="Cambria" w:cs="Times New Roman"/>
      <w:i/>
      <w:iCs/>
      <w:color w:val="4F81BD"/>
      <w:spacing w:val="15"/>
      <w:sz w:val="24"/>
      <w:szCs w:val="24"/>
      <w:lang w:eastAsia="fr-FR"/>
    </w:rPr>
  </w:style>
  <w:style w:type="paragraph" w:styleId="En-ttedetabledesmatires">
    <w:name w:val="TOC Heading"/>
    <w:basedOn w:val="Titre1"/>
    <w:next w:val="Normal"/>
    <w:uiPriority w:val="39"/>
    <w:unhideWhenUsed/>
    <w:qFormat/>
    <w:rsid w:val="001C2F95"/>
    <w:pPr>
      <w:outlineLvl w:val="9"/>
    </w:pPr>
    <w:rPr>
      <w:lang w:eastAsia="en-US"/>
    </w:rPr>
  </w:style>
  <w:style w:type="paragraph" w:styleId="TM1">
    <w:name w:val="toc 1"/>
    <w:basedOn w:val="Normal"/>
    <w:next w:val="Normal"/>
    <w:autoRedefine/>
    <w:uiPriority w:val="39"/>
    <w:unhideWhenUsed/>
    <w:qFormat/>
    <w:rsid w:val="002E6085"/>
    <w:pPr>
      <w:tabs>
        <w:tab w:val="right" w:pos="9062"/>
        <w:tab w:val="right" w:pos="9204"/>
      </w:tabs>
      <w:ind w:left="426" w:right="142" w:hanging="426"/>
    </w:pPr>
    <w:rPr>
      <w:rFonts w:cs="Arial"/>
      <w:b/>
      <w:bCs/>
      <w:caps/>
      <w:noProof/>
      <w:color w:val="000000"/>
      <w:sz w:val="22"/>
    </w:rPr>
  </w:style>
  <w:style w:type="paragraph" w:styleId="TM2">
    <w:name w:val="toc 2"/>
    <w:basedOn w:val="Normal"/>
    <w:next w:val="Normal"/>
    <w:autoRedefine/>
    <w:uiPriority w:val="39"/>
    <w:unhideWhenUsed/>
    <w:qFormat/>
    <w:rsid w:val="0066125B"/>
    <w:pPr>
      <w:tabs>
        <w:tab w:val="left" w:pos="709"/>
        <w:tab w:val="right" w:pos="9062"/>
      </w:tabs>
      <w:ind w:left="567" w:right="142" w:hanging="567"/>
      <w:jc w:val="center"/>
    </w:pPr>
    <w:rPr>
      <w:rFonts w:cs="Arial"/>
      <w:b/>
      <w:noProof/>
      <w:sz w:val="22"/>
    </w:rPr>
  </w:style>
  <w:style w:type="paragraph" w:styleId="TM3">
    <w:name w:val="toc 3"/>
    <w:basedOn w:val="Normal"/>
    <w:next w:val="Normal"/>
    <w:autoRedefine/>
    <w:uiPriority w:val="39"/>
    <w:unhideWhenUsed/>
    <w:qFormat/>
    <w:rsid w:val="001C2F95"/>
    <w:pPr>
      <w:ind w:left="210"/>
      <w:jc w:val="left"/>
    </w:pPr>
    <w:rPr>
      <w:rFonts w:ascii="Calibri" w:hAnsi="Calibri" w:cs="Calibri"/>
      <w:sz w:val="20"/>
      <w:szCs w:val="20"/>
    </w:rPr>
  </w:style>
  <w:style w:type="paragraph" w:styleId="TM4">
    <w:name w:val="toc 4"/>
    <w:basedOn w:val="Normal"/>
    <w:next w:val="Normal"/>
    <w:autoRedefine/>
    <w:uiPriority w:val="39"/>
    <w:unhideWhenUsed/>
    <w:qFormat/>
    <w:rsid w:val="001C2F95"/>
    <w:pPr>
      <w:ind w:left="420"/>
      <w:jc w:val="left"/>
    </w:pPr>
    <w:rPr>
      <w:rFonts w:ascii="Calibri" w:hAnsi="Calibri" w:cs="Calibri"/>
      <w:sz w:val="20"/>
      <w:szCs w:val="20"/>
    </w:rPr>
  </w:style>
  <w:style w:type="paragraph" w:styleId="TM5">
    <w:name w:val="toc 5"/>
    <w:basedOn w:val="Normal"/>
    <w:next w:val="Normal"/>
    <w:autoRedefine/>
    <w:uiPriority w:val="39"/>
    <w:unhideWhenUsed/>
    <w:qFormat/>
    <w:rsid w:val="001C2F95"/>
    <w:pPr>
      <w:ind w:left="630"/>
      <w:jc w:val="left"/>
    </w:pPr>
    <w:rPr>
      <w:rFonts w:ascii="Calibri" w:hAnsi="Calibri" w:cs="Calibri"/>
      <w:sz w:val="20"/>
      <w:szCs w:val="20"/>
    </w:rPr>
  </w:style>
  <w:style w:type="paragraph" w:styleId="TM6">
    <w:name w:val="toc 6"/>
    <w:basedOn w:val="Normal"/>
    <w:next w:val="Normal"/>
    <w:autoRedefine/>
    <w:uiPriority w:val="39"/>
    <w:unhideWhenUsed/>
    <w:qFormat/>
    <w:rsid w:val="001C2F95"/>
    <w:pPr>
      <w:ind w:left="840"/>
      <w:jc w:val="left"/>
    </w:pPr>
    <w:rPr>
      <w:rFonts w:ascii="Calibri" w:hAnsi="Calibri" w:cs="Calibri"/>
      <w:sz w:val="20"/>
      <w:szCs w:val="20"/>
    </w:rPr>
  </w:style>
  <w:style w:type="paragraph" w:styleId="TM7">
    <w:name w:val="toc 7"/>
    <w:basedOn w:val="Normal"/>
    <w:next w:val="Normal"/>
    <w:autoRedefine/>
    <w:uiPriority w:val="39"/>
    <w:unhideWhenUsed/>
    <w:rsid w:val="001C2F95"/>
    <w:pPr>
      <w:ind w:left="1050"/>
      <w:jc w:val="left"/>
    </w:pPr>
    <w:rPr>
      <w:rFonts w:ascii="Calibri" w:hAnsi="Calibri" w:cs="Calibri"/>
      <w:sz w:val="20"/>
      <w:szCs w:val="20"/>
    </w:rPr>
  </w:style>
  <w:style w:type="paragraph" w:styleId="TM8">
    <w:name w:val="toc 8"/>
    <w:basedOn w:val="Normal"/>
    <w:next w:val="Normal"/>
    <w:autoRedefine/>
    <w:uiPriority w:val="39"/>
    <w:unhideWhenUsed/>
    <w:rsid w:val="001C2F95"/>
    <w:pPr>
      <w:ind w:left="1260"/>
      <w:jc w:val="left"/>
    </w:pPr>
    <w:rPr>
      <w:rFonts w:ascii="Calibri" w:hAnsi="Calibri" w:cs="Calibri"/>
      <w:sz w:val="20"/>
      <w:szCs w:val="20"/>
    </w:rPr>
  </w:style>
  <w:style w:type="paragraph" w:styleId="TM9">
    <w:name w:val="toc 9"/>
    <w:basedOn w:val="Normal"/>
    <w:next w:val="Normal"/>
    <w:autoRedefine/>
    <w:uiPriority w:val="39"/>
    <w:unhideWhenUsed/>
    <w:rsid w:val="001C2F95"/>
    <w:pPr>
      <w:ind w:left="1470"/>
      <w:jc w:val="left"/>
    </w:pPr>
    <w:rPr>
      <w:rFonts w:ascii="Calibri" w:hAnsi="Calibri" w:cs="Calibri"/>
      <w:sz w:val="20"/>
      <w:szCs w:val="20"/>
    </w:rPr>
  </w:style>
  <w:style w:type="character" w:customStyle="1" w:styleId="ParagraphedelisteCar">
    <w:name w:val="Paragraphe de liste Car"/>
    <w:aliases w:val="Indent Normal Car,Lvl 1 Bullet Car,References Car,Bullets Car,Liste 1 Car,List Paragraph1 Car,Paragraphe  revu Car,Numbered List Paragraph Car,ReferencesCxSpLast Car,List Paragraph (numbered (a)) Car,Medium Grid 1 - Accent 21 Car"/>
    <w:link w:val="Paragraphedeliste"/>
    <w:uiPriority w:val="34"/>
    <w:qFormat/>
    <w:locked/>
    <w:rsid w:val="001C2F95"/>
    <w:rPr>
      <w:rFonts w:ascii="Arial" w:eastAsia="Times New Roman" w:hAnsi="Arial" w:cs="Times New Roman"/>
      <w:sz w:val="21"/>
      <w:lang w:eastAsia="fr-FR"/>
    </w:rPr>
  </w:style>
  <w:style w:type="paragraph" w:customStyle="1" w:styleId="Broodtekst">
    <w:name w:val="Broodtekst"/>
    <w:basedOn w:val="Normal"/>
    <w:rsid w:val="001C2F95"/>
    <w:pPr>
      <w:spacing w:line="240" w:lineRule="atLeast"/>
      <w:ind w:left="1134" w:right="-51"/>
    </w:pPr>
    <w:rPr>
      <w:rFonts w:ascii="Times New Roman" w:hAnsi="Times New Roman"/>
      <w:szCs w:val="20"/>
      <w:lang w:val="nl-NL" w:eastAsia="en-US"/>
    </w:rPr>
  </w:style>
  <w:style w:type="paragraph" w:styleId="Retraitnormal">
    <w:name w:val="Normal Indent"/>
    <w:aliases w:val="Char Char Char Char Char,Char Char Char Char2,Normal Indent1,Normal Indent Char Char Char Char Char Char Char Char Char Char Char Char Char Char Char Char Char Char1,Normal Indent Char Char Char Char Char1,Normal Indent Char Char Char1,C"/>
    <w:basedOn w:val="Normal"/>
    <w:link w:val="RetraitnormalCar"/>
    <w:rsid w:val="001C2F95"/>
    <w:pPr>
      <w:spacing w:line="240" w:lineRule="auto"/>
      <w:ind w:left="709"/>
    </w:pPr>
    <w:rPr>
      <w:sz w:val="20"/>
      <w:szCs w:val="20"/>
      <w:lang w:val="en-GB" w:eastAsia="en-US"/>
    </w:rPr>
  </w:style>
  <w:style w:type="character" w:customStyle="1" w:styleId="RetraitnormalCar">
    <w:name w:val="Retrait normal Car"/>
    <w:aliases w:val="Char Char Char Char Char Car,Char Char Char Char2 Car,Normal Indent1 Car,Normal Indent Char Char Char Char Char Char Char Char Char Char Char Char Char Char Char Char Char Char1 Car,Normal Indent Char Char Char Char Char1 Car,C Car"/>
    <w:link w:val="Retraitnormal"/>
    <w:locked/>
    <w:rsid w:val="001C2F95"/>
    <w:rPr>
      <w:rFonts w:ascii="Arial" w:eastAsia="Times New Roman" w:hAnsi="Arial" w:cs="Times New Roman"/>
      <w:sz w:val="20"/>
      <w:szCs w:val="20"/>
      <w:lang w:val="en-GB"/>
    </w:rPr>
  </w:style>
  <w:style w:type="character" w:styleId="Marquedecommentaire">
    <w:name w:val="annotation reference"/>
    <w:uiPriority w:val="99"/>
    <w:rsid w:val="001C2F95"/>
    <w:rPr>
      <w:sz w:val="16"/>
      <w:szCs w:val="16"/>
    </w:rPr>
  </w:style>
  <w:style w:type="paragraph" w:styleId="Commentaire">
    <w:name w:val="annotation text"/>
    <w:basedOn w:val="Normal"/>
    <w:link w:val="CommentaireCar"/>
    <w:uiPriority w:val="99"/>
    <w:rsid w:val="001C2F95"/>
    <w:pPr>
      <w:spacing w:line="240" w:lineRule="auto"/>
    </w:pPr>
    <w:rPr>
      <w:sz w:val="20"/>
      <w:szCs w:val="20"/>
      <w:lang w:val="en-GB" w:eastAsia="en-US"/>
    </w:rPr>
  </w:style>
  <w:style w:type="character" w:customStyle="1" w:styleId="CommentaireCar">
    <w:name w:val="Commentaire Car"/>
    <w:link w:val="Commentaire"/>
    <w:uiPriority w:val="99"/>
    <w:rsid w:val="001C2F95"/>
    <w:rPr>
      <w:rFonts w:ascii="Arial" w:eastAsia="Times New Roman" w:hAnsi="Arial" w:cs="Times New Roman"/>
      <w:sz w:val="20"/>
      <w:szCs w:val="20"/>
      <w:lang w:val="en-GB"/>
    </w:rPr>
  </w:style>
  <w:style w:type="paragraph" w:styleId="Bibliographie">
    <w:name w:val="Bibliography"/>
    <w:basedOn w:val="Normal"/>
    <w:next w:val="Normal"/>
    <w:uiPriority w:val="37"/>
    <w:semiHidden/>
    <w:unhideWhenUsed/>
    <w:rsid w:val="001C2F95"/>
    <w:pPr>
      <w:spacing w:line="240" w:lineRule="auto"/>
    </w:pPr>
    <w:rPr>
      <w:rFonts w:cs="Arial"/>
      <w:sz w:val="20"/>
      <w:szCs w:val="20"/>
      <w:lang w:val="en-GB" w:eastAsia="en-US"/>
    </w:rPr>
  </w:style>
  <w:style w:type="character" w:customStyle="1" w:styleId="shorttext">
    <w:name w:val="short_text"/>
    <w:basedOn w:val="Policepardfaut"/>
    <w:rsid w:val="001C2F95"/>
  </w:style>
  <w:style w:type="paragraph" w:styleId="Objetducommentaire">
    <w:name w:val="annotation subject"/>
    <w:basedOn w:val="Commentaire"/>
    <w:next w:val="Commentaire"/>
    <w:link w:val="ObjetducommentaireCar"/>
    <w:uiPriority w:val="99"/>
    <w:unhideWhenUsed/>
    <w:rsid w:val="001C2F95"/>
    <w:pPr>
      <w:spacing w:after="200"/>
    </w:pPr>
    <w:rPr>
      <w:b/>
      <w:bCs/>
    </w:rPr>
  </w:style>
  <w:style w:type="character" w:customStyle="1" w:styleId="ObjetducommentaireCar">
    <w:name w:val="Objet du commentaire Car"/>
    <w:link w:val="Objetducommentaire"/>
    <w:uiPriority w:val="99"/>
    <w:rsid w:val="001C2F95"/>
    <w:rPr>
      <w:rFonts w:ascii="Arial" w:eastAsia="Times New Roman" w:hAnsi="Arial" w:cs="Times New Roman"/>
      <w:b/>
      <w:bCs/>
      <w:sz w:val="20"/>
      <w:szCs w:val="20"/>
      <w:lang w:val="en-GB"/>
    </w:rPr>
  </w:style>
  <w:style w:type="paragraph" w:customStyle="1" w:styleId="listenumero">
    <w:name w:val="liste numero"/>
    <w:basedOn w:val="Normal"/>
    <w:link w:val="listenumeroCar"/>
    <w:rsid w:val="001C2F95"/>
    <w:pPr>
      <w:tabs>
        <w:tab w:val="left" w:pos="227"/>
        <w:tab w:val="num" w:pos="644"/>
      </w:tabs>
      <w:spacing w:after="240" w:line="240" w:lineRule="auto"/>
      <w:ind w:left="644" w:hanging="360"/>
    </w:pPr>
    <w:rPr>
      <w:sz w:val="19"/>
      <w:szCs w:val="20"/>
      <w:lang w:val="en-GB"/>
    </w:rPr>
  </w:style>
  <w:style w:type="character" w:customStyle="1" w:styleId="listenumeroCar">
    <w:name w:val="liste numero Car"/>
    <w:link w:val="listenumero"/>
    <w:rsid w:val="001C2F95"/>
    <w:rPr>
      <w:rFonts w:ascii="Arial" w:eastAsia="Times New Roman" w:hAnsi="Arial" w:cs="Times New Roman"/>
      <w:sz w:val="19"/>
      <w:szCs w:val="20"/>
      <w:lang w:val="en-GB" w:eastAsia="fr-FR"/>
    </w:rPr>
  </w:style>
  <w:style w:type="paragraph" w:styleId="Corpsdetexte3">
    <w:name w:val="Body Text 3"/>
    <w:basedOn w:val="Normal"/>
    <w:link w:val="Corpsdetexte3Car"/>
    <w:unhideWhenUsed/>
    <w:rsid w:val="001C2F95"/>
    <w:pPr>
      <w:spacing w:after="120" w:line="240" w:lineRule="auto"/>
    </w:pPr>
    <w:rPr>
      <w:rFonts w:ascii="Times New Roman" w:hAnsi="Times New Roman"/>
      <w:color w:val="000000"/>
      <w:kern w:val="28"/>
      <w:sz w:val="16"/>
      <w:szCs w:val="16"/>
    </w:rPr>
  </w:style>
  <w:style w:type="character" w:customStyle="1" w:styleId="Corpsdetexte3Car">
    <w:name w:val="Corps de texte 3 Car"/>
    <w:link w:val="Corpsdetexte3"/>
    <w:rsid w:val="001C2F95"/>
    <w:rPr>
      <w:rFonts w:ascii="Times New Roman" w:eastAsia="Times New Roman" w:hAnsi="Times New Roman" w:cs="Times New Roman"/>
      <w:color w:val="000000"/>
      <w:kern w:val="28"/>
      <w:sz w:val="16"/>
      <w:szCs w:val="16"/>
      <w:lang w:eastAsia="fr-FR"/>
    </w:rPr>
  </w:style>
  <w:style w:type="paragraph" w:styleId="NormalWeb">
    <w:name w:val="Normal (Web)"/>
    <w:basedOn w:val="Normal"/>
    <w:link w:val="NormalWebCar"/>
    <w:uiPriority w:val="99"/>
    <w:rsid w:val="001C2F95"/>
    <w:pPr>
      <w:spacing w:before="100" w:beforeAutospacing="1" w:after="100" w:afterAutospacing="1" w:line="240" w:lineRule="auto"/>
    </w:pPr>
    <w:rPr>
      <w:rFonts w:ascii="Times New Roman" w:hAnsi="Times New Roman"/>
      <w:sz w:val="24"/>
      <w:szCs w:val="24"/>
    </w:rPr>
  </w:style>
  <w:style w:type="paragraph" w:customStyle="1" w:styleId="Default">
    <w:name w:val="Default"/>
    <w:link w:val="DefaultCar"/>
    <w:qFormat/>
    <w:rsid w:val="001C2F95"/>
    <w:pPr>
      <w:autoSpaceDE w:val="0"/>
      <w:autoSpaceDN w:val="0"/>
      <w:adjustRightInd w:val="0"/>
    </w:pPr>
    <w:rPr>
      <w:rFonts w:ascii="Arial" w:hAnsi="Arial" w:cs="Arial"/>
      <w:color w:val="000000"/>
      <w:sz w:val="24"/>
      <w:szCs w:val="24"/>
      <w:lang w:val="fr-FR" w:eastAsia="fr-FR"/>
    </w:rPr>
  </w:style>
  <w:style w:type="paragraph" w:customStyle="1" w:styleId="oka1">
    <w:name w:val="oka1"/>
    <w:basedOn w:val="Paragraphedeliste"/>
    <w:qFormat/>
    <w:rsid w:val="001C2F95"/>
    <w:pPr>
      <w:numPr>
        <w:numId w:val="2"/>
      </w:numPr>
      <w:spacing w:before="240"/>
      <w:contextualSpacing w:val="0"/>
    </w:pPr>
    <w:rPr>
      <w:rFonts w:eastAsia="Calibri" w:cs="Arial"/>
      <w:b/>
      <w:szCs w:val="21"/>
      <w:lang w:eastAsia="en-US"/>
    </w:rPr>
  </w:style>
  <w:style w:type="paragraph" w:customStyle="1" w:styleId="oka2222">
    <w:name w:val="oka2222"/>
    <w:basedOn w:val="Paragraphedeliste"/>
    <w:qFormat/>
    <w:rsid w:val="001C2F95"/>
    <w:pPr>
      <w:numPr>
        <w:ilvl w:val="1"/>
        <w:numId w:val="2"/>
      </w:numPr>
      <w:autoSpaceDE w:val="0"/>
      <w:autoSpaceDN w:val="0"/>
      <w:adjustRightInd w:val="0"/>
      <w:spacing w:before="240"/>
      <w:contextualSpacing w:val="0"/>
    </w:pPr>
    <w:rPr>
      <w:rFonts w:eastAsia="Calibri" w:cs="Arial"/>
      <w:b/>
      <w:color w:val="000000"/>
      <w:szCs w:val="21"/>
      <w:lang w:eastAsia="en-US"/>
    </w:rPr>
  </w:style>
  <w:style w:type="paragraph" w:customStyle="1" w:styleId="oka33">
    <w:name w:val="oka33"/>
    <w:basedOn w:val="Paragraphedeliste"/>
    <w:qFormat/>
    <w:rsid w:val="001C2F95"/>
    <w:pPr>
      <w:numPr>
        <w:ilvl w:val="2"/>
        <w:numId w:val="2"/>
      </w:numPr>
      <w:autoSpaceDE w:val="0"/>
      <w:autoSpaceDN w:val="0"/>
      <w:adjustRightInd w:val="0"/>
      <w:spacing w:before="240"/>
      <w:contextualSpacing w:val="0"/>
    </w:pPr>
    <w:rPr>
      <w:rFonts w:eastAsia="Calibri" w:cs="Arial"/>
      <w:b/>
      <w:color w:val="000000"/>
      <w:szCs w:val="21"/>
    </w:rPr>
  </w:style>
  <w:style w:type="paragraph" w:customStyle="1" w:styleId="tab1">
    <w:name w:val="tab1"/>
    <w:basedOn w:val="Normal"/>
    <w:qFormat/>
    <w:rsid w:val="001C2F95"/>
    <w:pPr>
      <w:keepNext/>
      <w:spacing w:before="240"/>
    </w:pPr>
    <w:rPr>
      <w:rFonts w:eastAsia="Calibri" w:cs="Arial"/>
      <w:b/>
      <w:bCs/>
      <w:color w:val="000000"/>
      <w:szCs w:val="21"/>
      <w:lang w:eastAsia="en-US"/>
    </w:rPr>
  </w:style>
  <w:style w:type="paragraph" w:customStyle="1" w:styleId="Paragraphedeliste1">
    <w:name w:val="Paragraphe de liste1"/>
    <w:basedOn w:val="Normal"/>
    <w:qFormat/>
    <w:rsid w:val="001C2F95"/>
    <w:pPr>
      <w:ind w:left="720"/>
    </w:pPr>
    <w:rPr>
      <w:rFonts w:cs="Calibri"/>
      <w:lang w:eastAsia="en-US"/>
    </w:rPr>
  </w:style>
  <w:style w:type="paragraph" w:customStyle="1" w:styleId="twunwanted">
    <w:name w:val="twunwanted"/>
    <w:basedOn w:val="Normal"/>
    <w:rsid w:val="001C2F95"/>
    <w:pPr>
      <w:spacing w:before="100" w:beforeAutospacing="1" w:after="100" w:afterAutospacing="1" w:line="240" w:lineRule="auto"/>
    </w:pPr>
    <w:rPr>
      <w:rFonts w:ascii="Times New Roman" w:hAnsi="Times New Roman"/>
      <w:sz w:val="24"/>
      <w:szCs w:val="24"/>
    </w:rPr>
  </w:style>
  <w:style w:type="paragraph" w:styleId="Lgende">
    <w:name w:val="caption"/>
    <w:aliases w:val=" Car,Fig,Table Caption,Table,Figure,headings,CPR Caption,CPR Caption Char,Table1,Figure1,headings1 Char,headings1,Table Char,Figure Char,headings Char,CPR Caption Char1,CPR Caption Char Char,Table1 Char,Figure1 Char,headings1 Char Char,HB,Carte"/>
    <w:basedOn w:val="Normal"/>
    <w:next w:val="Normal"/>
    <w:link w:val="LgendeCar"/>
    <w:unhideWhenUsed/>
    <w:qFormat/>
    <w:rsid w:val="001C2F95"/>
    <w:rPr>
      <w:rFonts w:eastAsia="Calibri"/>
      <w:bCs/>
      <w:szCs w:val="20"/>
      <w:lang w:eastAsia="en-US"/>
    </w:rPr>
  </w:style>
  <w:style w:type="paragraph" w:customStyle="1" w:styleId="twunmatched">
    <w:name w:val="twunmatched"/>
    <w:basedOn w:val="Normal"/>
    <w:rsid w:val="001C2F95"/>
    <w:pPr>
      <w:spacing w:before="100" w:beforeAutospacing="1" w:after="100" w:afterAutospacing="1" w:line="240" w:lineRule="auto"/>
    </w:pPr>
    <w:rPr>
      <w:rFonts w:ascii="Times New Roman" w:hAnsi="Times New Roman"/>
      <w:sz w:val="24"/>
      <w:szCs w:val="24"/>
    </w:rPr>
  </w:style>
  <w:style w:type="character" w:styleId="Accentuation">
    <w:name w:val="Emphasis"/>
    <w:uiPriority w:val="20"/>
    <w:qFormat/>
    <w:rsid w:val="001C2F95"/>
    <w:rPr>
      <w:i/>
      <w:iCs/>
    </w:rPr>
  </w:style>
  <w:style w:type="paragraph" w:customStyle="1" w:styleId="CorpsdeTexteConserver">
    <w:name w:val="Corps de Texte Conserver"/>
    <w:basedOn w:val="Default"/>
    <w:next w:val="Default"/>
    <w:uiPriority w:val="99"/>
    <w:rsid w:val="001C2F95"/>
    <w:rPr>
      <w:rFonts w:ascii="HGGFHE+Garamond" w:eastAsia="Times New Roman" w:hAnsi="HGGFHE+Garamond" w:cs="Times New Roman"/>
      <w:color w:val="auto"/>
    </w:rPr>
  </w:style>
  <w:style w:type="paragraph" w:customStyle="1" w:styleId="tab">
    <w:name w:val="tab"/>
    <w:basedOn w:val="tab1"/>
    <w:qFormat/>
    <w:rsid w:val="001C2F95"/>
    <w:pPr>
      <w:spacing w:before="0"/>
    </w:pPr>
    <w:rPr>
      <w:b w:val="0"/>
      <w:color w:val="auto"/>
    </w:rPr>
  </w:style>
  <w:style w:type="paragraph" w:customStyle="1" w:styleId="Photo">
    <w:name w:val="Photo"/>
    <w:basedOn w:val="Normal"/>
    <w:qFormat/>
    <w:rsid w:val="001C2F95"/>
    <w:pPr>
      <w:spacing w:before="240"/>
      <w:jc w:val="center"/>
    </w:pPr>
    <w:rPr>
      <w:rFonts w:cs="Arial"/>
      <w:szCs w:val="21"/>
    </w:rPr>
  </w:style>
  <w:style w:type="paragraph" w:customStyle="1" w:styleId="TRAFI1">
    <w:name w:val="TRAFI1"/>
    <w:basedOn w:val="Normal"/>
    <w:qFormat/>
    <w:rsid w:val="001C2F95"/>
    <w:pPr>
      <w:jc w:val="center"/>
    </w:pPr>
    <w:rPr>
      <w:rFonts w:cs="Arial"/>
      <w:szCs w:val="21"/>
    </w:rPr>
  </w:style>
  <w:style w:type="paragraph" w:customStyle="1" w:styleId="TRAFI11-TITRE1">
    <w:name w:val="TRAFI11-TITRE1"/>
    <w:basedOn w:val="Normal"/>
    <w:qFormat/>
    <w:rsid w:val="001C2F95"/>
    <w:pPr>
      <w:numPr>
        <w:numId w:val="1"/>
      </w:numPr>
      <w:outlineLvl w:val="0"/>
    </w:pPr>
    <w:rPr>
      <w:rFonts w:cs="Arial"/>
      <w:szCs w:val="21"/>
    </w:rPr>
  </w:style>
  <w:style w:type="paragraph" w:customStyle="1" w:styleId="TRAFI2">
    <w:name w:val="TRAFI2"/>
    <w:basedOn w:val="oka2222"/>
    <w:qFormat/>
    <w:rsid w:val="001C2F95"/>
    <w:pPr>
      <w:spacing w:before="0"/>
      <w:ind w:left="2722" w:hanging="454"/>
    </w:pPr>
    <w:rPr>
      <w:b w:val="0"/>
      <w:lang w:val="fr-CA"/>
    </w:rPr>
  </w:style>
  <w:style w:type="paragraph" w:customStyle="1" w:styleId="TRAFI3">
    <w:name w:val="TRAFI3"/>
    <w:basedOn w:val="oka33"/>
    <w:qFormat/>
    <w:rsid w:val="001C2F95"/>
    <w:pPr>
      <w:numPr>
        <w:numId w:val="1"/>
      </w:numPr>
      <w:spacing w:before="0"/>
    </w:pPr>
    <w:rPr>
      <w:b w:val="0"/>
      <w:i/>
    </w:rPr>
  </w:style>
  <w:style w:type="paragraph" w:customStyle="1" w:styleId="TRAFI33-TITRE3">
    <w:name w:val="TRAFI33-TITRE3"/>
    <w:basedOn w:val="oka33"/>
    <w:qFormat/>
    <w:rsid w:val="001C2F95"/>
    <w:pPr>
      <w:numPr>
        <w:ilvl w:val="0"/>
        <w:numId w:val="0"/>
      </w:numPr>
      <w:ind w:left="1134"/>
    </w:pPr>
    <w:rPr>
      <w:b w:val="0"/>
      <w:i/>
    </w:rPr>
  </w:style>
  <w:style w:type="paragraph" w:customStyle="1" w:styleId="TRAFI22-TITRE2">
    <w:name w:val="TRAFI22-TITRE2"/>
    <w:basedOn w:val="oka2222"/>
    <w:next w:val="TRAFI11-TITRE1"/>
    <w:qFormat/>
    <w:rsid w:val="001C2F95"/>
    <w:pPr>
      <w:numPr>
        <w:ilvl w:val="0"/>
        <w:numId w:val="0"/>
      </w:numPr>
      <w:spacing w:before="0"/>
      <w:ind w:left="851"/>
      <w:outlineLvl w:val="1"/>
    </w:pPr>
    <w:rPr>
      <w:b w:val="0"/>
    </w:rPr>
  </w:style>
  <w:style w:type="paragraph" w:customStyle="1" w:styleId="TRAFI3333">
    <w:name w:val="TRAFI3333"/>
    <w:basedOn w:val="TRAFI3"/>
    <w:qFormat/>
    <w:rsid w:val="001C2F95"/>
    <w:rPr>
      <w:i w:val="0"/>
      <w:snapToGrid w:val="0"/>
    </w:rPr>
  </w:style>
  <w:style w:type="paragraph" w:styleId="Rvision">
    <w:name w:val="Revision"/>
    <w:hidden/>
    <w:uiPriority w:val="99"/>
    <w:semiHidden/>
    <w:rsid w:val="001C2F95"/>
    <w:rPr>
      <w:rFonts w:eastAsia="Times New Roman"/>
      <w:sz w:val="22"/>
      <w:szCs w:val="22"/>
      <w:lang w:val="fr-FR" w:eastAsia="fr-FR"/>
    </w:rPr>
  </w:style>
  <w:style w:type="character" w:styleId="Lienhypertextesuivivisit">
    <w:name w:val="FollowedHyperlink"/>
    <w:uiPriority w:val="99"/>
    <w:unhideWhenUsed/>
    <w:rsid w:val="001C2F95"/>
    <w:rPr>
      <w:color w:val="800080"/>
      <w:u w:val="single"/>
    </w:rPr>
  </w:style>
  <w:style w:type="paragraph" w:styleId="Tabledesillustrations">
    <w:name w:val="table of figures"/>
    <w:basedOn w:val="Normal"/>
    <w:next w:val="Normal"/>
    <w:link w:val="TabledesillustrationsCar"/>
    <w:uiPriority w:val="99"/>
    <w:unhideWhenUsed/>
    <w:rsid w:val="001C2F95"/>
  </w:style>
  <w:style w:type="paragraph" w:customStyle="1" w:styleId="Titre1JM">
    <w:name w:val="Titre 1 JM"/>
    <w:basedOn w:val="Normal"/>
    <w:qFormat/>
    <w:rsid w:val="001C2F95"/>
    <w:pPr>
      <w:numPr>
        <w:numId w:val="3"/>
      </w:numPr>
      <w:spacing w:line="240" w:lineRule="auto"/>
      <w:ind w:left="714" w:hanging="357"/>
      <w:outlineLvl w:val="1"/>
    </w:pPr>
    <w:rPr>
      <w:rFonts w:cs="Arial"/>
      <w:b/>
      <w:color w:val="000000"/>
      <w:szCs w:val="21"/>
    </w:rPr>
  </w:style>
  <w:style w:type="paragraph" w:customStyle="1" w:styleId="NormalJM">
    <w:name w:val="Normal JM"/>
    <w:basedOn w:val="Normal"/>
    <w:link w:val="NormalJMChar"/>
    <w:qFormat/>
    <w:rsid w:val="001C2F95"/>
    <w:pPr>
      <w:outlineLvl w:val="1"/>
    </w:pPr>
    <w:rPr>
      <w:color w:val="000000"/>
      <w:szCs w:val="21"/>
    </w:rPr>
  </w:style>
  <w:style w:type="paragraph" w:customStyle="1" w:styleId="Titre2JM">
    <w:name w:val="Titre 2 JM"/>
    <w:basedOn w:val="NormalJM"/>
    <w:next w:val="Corpsdetexte"/>
    <w:qFormat/>
    <w:rsid w:val="001C2F95"/>
    <w:pPr>
      <w:ind w:left="680"/>
    </w:pPr>
  </w:style>
  <w:style w:type="character" w:customStyle="1" w:styleId="NormalJMChar">
    <w:name w:val="Normal JM Char"/>
    <w:link w:val="NormalJM"/>
    <w:rsid w:val="001C2F95"/>
    <w:rPr>
      <w:rFonts w:ascii="Arial" w:eastAsia="Times New Roman" w:hAnsi="Arial" w:cs="Times New Roman"/>
      <w:color w:val="000000"/>
      <w:sz w:val="21"/>
      <w:szCs w:val="21"/>
      <w:lang w:eastAsia="fr-FR"/>
    </w:rPr>
  </w:style>
  <w:style w:type="paragraph" w:styleId="Retraitcorpsdetexte">
    <w:name w:val="Body Text Indent"/>
    <w:basedOn w:val="Normal"/>
    <w:link w:val="RetraitcorpsdetexteCar"/>
    <w:uiPriority w:val="99"/>
    <w:unhideWhenUsed/>
    <w:rsid w:val="001C2F95"/>
    <w:pPr>
      <w:spacing w:after="120"/>
      <w:ind w:left="283"/>
    </w:pPr>
  </w:style>
  <w:style w:type="character" w:customStyle="1" w:styleId="RetraitcorpsdetexteCar">
    <w:name w:val="Retrait corps de texte Car"/>
    <w:link w:val="Retraitcorpsdetexte"/>
    <w:uiPriority w:val="99"/>
    <w:rsid w:val="001C2F95"/>
    <w:rPr>
      <w:rFonts w:ascii="Arial" w:eastAsia="Times New Roman" w:hAnsi="Arial" w:cs="Times New Roman"/>
      <w:sz w:val="21"/>
      <w:lang w:eastAsia="fr-FR"/>
    </w:rPr>
  </w:style>
  <w:style w:type="paragraph" w:customStyle="1" w:styleId="TRAFI11">
    <w:name w:val="TRAFI11"/>
    <w:basedOn w:val="Normal"/>
    <w:qFormat/>
    <w:rsid w:val="001C2F95"/>
    <w:pPr>
      <w:ind w:left="1080" w:hanging="720"/>
      <w:jc w:val="left"/>
      <w:outlineLvl w:val="0"/>
    </w:pPr>
    <w:rPr>
      <w:rFonts w:cs="Arial"/>
      <w:szCs w:val="21"/>
    </w:rPr>
  </w:style>
  <w:style w:type="paragraph" w:customStyle="1" w:styleId="TRAFI22">
    <w:name w:val="TRAFI22"/>
    <w:basedOn w:val="Normal"/>
    <w:qFormat/>
    <w:rsid w:val="001C2F95"/>
    <w:pPr>
      <w:autoSpaceDE w:val="0"/>
      <w:autoSpaceDN w:val="0"/>
      <w:adjustRightInd w:val="0"/>
      <w:ind w:left="1080" w:hanging="720"/>
      <w:outlineLvl w:val="1"/>
    </w:pPr>
    <w:rPr>
      <w:rFonts w:eastAsia="Calibri" w:cs="Arial"/>
      <w:color w:val="000000"/>
      <w:szCs w:val="21"/>
      <w:lang w:eastAsia="en-US"/>
    </w:rPr>
  </w:style>
  <w:style w:type="paragraph" w:customStyle="1" w:styleId="TRAFI33">
    <w:name w:val="TRAFI33"/>
    <w:basedOn w:val="oka33"/>
    <w:qFormat/>
    <w:rsid w:val="001C2F95"/>
    <w:pPr>
      <w:numPr>
        <w:ilvl w:val="0"/>
        <w:numId w:val="0"/>
      </w:numPr>
      <w:tabs>
        <w:tab w:val="num" w:pos="360"/>
      </w:tabs>
      <w:spacing w:after="200"/>
      <w:ind w:left="720"/>
    </w:pPr>
    <w:rPr>
      <w:b w:val="0"/>
      <w:i/>
    </w:rPr>
  </w:style>
  <w:style w:type="paragraph" w:customStyle="1" w:styleId="OKAPI1">
    <w:name w:val="OKAPI_1"/>
    <w:basedOn w:val="Normal"/>
    <w:qFormat/>
    <w:rsid w:val="001C2F95"/>
    <w:pPr>
      <w:tabs>
        <w:tab w:val="left" w:pos="4140"/>
      </w:tabs>
      <w:jc w:val="center"/>
    </w:pPr>
    <w:rPr>
      <w:rFonts w:cs="Arial"/>
      <w:b/>
      <w:szCs w:val="21"/>
    </w:rPr>
  </w:style>
  <w:style w:type="character" w:customStyle="1" w:styleId="st">
    <w:name w:val="st"/>
    <w:basedOn w:val="Policepardfaut"/>
    <w:rsid w:val="001C2F95"/>
  </w:style>
  <w:style w:type="character" w:customStyle="1" w:styleId="family">
    <w:name w:val="family"/>
    <w:basedOn w:val="Policepardfaut"/>
    <w:rsid w:val="001C2F95"/>
  </w:style>
  <w:style w:type="paragraph" w:styleId="Notedebasdepage">
    <w:name w:val="footnote text"/>
    <w:aliases w:val="Nbpage Moens,fn,single space,footnote text,ALTS FOOTNOTE,FOOTNOTES,ft,Char, Char,f,Footnote Text Char1,Footnote Text Char2 Char,Footnote Text Char1 Char Char,Footnote Text Char2 Char Char Char,Footnote Text Char1 Char Char Char Char"/>
    <w:basedOn w:val="Normal"/>
    <w:link w:val="NotedebasdepageCar"/>
    <w:uiPriority w:val="99"/>
    <w:unhideWhenUsed/>
    <w:qFormat/>
    <w:rsid w:val="001C2F95"/>
    <w:pPr>
      <w:spacing w:line="240" w:lineRule="auto"/>
    </w:pPr>
    <w:rPr>
      <w:sz w:val="20"/>
      <w:szCs w:val="20"/>
    </w:rPr>
  </w:style>
  <w:style w:type="character" w:customStyle="1" w:styleId="NotedebasdepageCar">
    <w:name w:val="Note de bas de page Car"/>
    <w:aliases w:val="Nbpage Moens Car,fn Car,single space Car,footnote text Car,ALTS FOOTNOTE Car,FOOTNOTES Car,ft Car,Char Car, Char Car,f Car,Footnote Text Char1 Car,Footnote Text Char2 Char Car,Footnote Text Char1 Char Char Car"/>
    <w:link w:val="Notedebasdepage"/>
    <w:uiPriority w:val="99"/>
    <w:rsid w:val="001C2F95"/>
    <w:rPr>
      <w:rFonts w:ascii="Arial" w:eastAsia="Times New Roman" w:hAnsi="Arial" w:cs="Times New Roman"/>
      <w:sz w:val="20"/>
      <w:szCs w:val="20"/>
      <w:lang w:eastAsia="fr-FR"/>
    </w:rPr>
  </w:style>
  <w:style w:type="character" w:styleId="Appelnotedebasdep">
    <w:name w:val="footnote reference"/>
    <w:aliases w:val="16 Point,Superscript 6 Point,ftref,referencia nota al pie,BVI fnr, BVI fnr,Ref,de nota al pie,Footnote,Car Car Char Car Char Car Car Char Car Char Char,SUPERS,BVI f,R,Appel note de bas de page,Error-Fußnotenzeichen5,note bp,????"/>
    <w:link w:val="RefCharCarCharCar"/>
    <w:uiPriority w:val="99"/>
    <w:unhideWhenUsed/>
    <w:qFormat/>
    <w:rsid w:val="001C2F95"/>
    <w:rPr>
      <w:vertAlign w:val="superscript"/>
    </w:rPr>
  </w:style>
  <w:style w:type="paragraph" w:customStyle="1" w:styleId="Style1">
    <w:name w:val="Style 1"/>
    <w:basedOn w:val="Normal"/>
    <w:rsid w:val="001C2F95"/>
    <w:pPr>
      <w:widowControl w:val="0"/>
      <w:autoSpaceDE w:val="0"/>
      <w:autoSpaceDN w:val="0"/>
      <w:adjustRightInd w:val="0"/>
      <w:spacing w:line="240" w:lineRule="auto"/>
      <w:jc w:val="left"/>
    </w:pPr>
    <w:rPr>
      <w:rFonts w:ascii="Times New Roman" w:hAnsi="Times New Roman"/>
      <w:sz w:val="20"/>
      <w:szCs w:val="20"/>
    </w:rPr>
  </w:style>
  <w:style w:type="character" w:customStyle="1" w:styleId="CharacterStyle1">
    <w:name w:val="Character Style 1"/>
    <w:uiPriority w:val="99"/>
    <w:rsid w:val="001C2F95"/>
    <w:rPr>
      <w:sz w:val="20"/>
    </w:rPr>
  </w:style>
  <w:style w:type="paragraph" w:customStyle="1" w:styleId="Style19">
    <w:name w:val="Style 19"/>
    <w:basedOn w:val="Normal"/>
    <w:uiPriority w:val="99"/>
    <w:rsid w:val="001C2F95"/>
    <w:pPr>
      <w:widowControl w:val="0"/>
      <w:autoSpaceDE w:val="0"/>
      <w:autoSpaceDN w:val="0"/>
      <w:spacing w:before="108" w:line="240" w:lineRule="auto"/>
      <w:ind w:right="72"/>
    </w:pPr>
    <w:rPr>
      <w:rFonts w:ascii="Helvetica" w:hAnsi="Helvetica" w:cs="Helvetica"/>
      <w:color w:val="382222"/>
      <w:sz w:val="18"/>
      <w:szCs w:val="18"/>
    </w:rPr>
  </w:style>
  <w:style w:type="character" w:customStyle="1" w:styleId="CharacterStyle10">
    <w:name w:val="Character Style 10"/>
    <w:uiPriority w:val="99"/>
    <w:rsid w:val="001C2F95"/>
    <w:rPr>
      <w:rFonts w:ascii="Helvetica" w:hAnsi="Helvetica"/>
      <w:color w:val="382222"/>
      <w:sz w:val="18"/>
    </w:rPr>
  </w:style>
  <w:style w:type="paragraph" w:customStyle="1" w:styleId="Style25">
    <w:name w:val="Style 25"/>
    <w:basedOn w:val="Normal"/>
    <w:uiPriority w:val="99"/>
    <w:rsid w:val="001C2F95"/>
    <w:pPr>
      <w:widowControl w:val="0"/>
      <w:autoSpaceDE w:val="0"/>
      <w:autoSpaceDN w:val="0"/>
      <w:spacing w:before="108" w:line="240" w:lineRule="auto"/>
      <w:ind w:right="72"/>
    </w:pPr>
    <w:rPr>
      <w:rFonts w:ascii="Helvetica" w:hAnsi="Helvetica" w:cs="Helvetica"/>
      <w:sz w:val="19"/>
      <w:szCs w:val="19"/>
    </w:rPr>
  </w:style>
  <w:style w:type="paragraph" w:customStyle="1" w:styleId="Style40">
    <w:name w:val="Style 40"/>
    <w:basedOn w:val="Normal"/>
    <w:uiPriority w:val="99"/>
    <w:rsid w:val="001C2F95"/>
    <w:pPr>
      <w:widowControl w:val="0"/>
      <w:autoSpaceDE w:val="0"/>
      <w:autoSpaceDN w:val="0"/>
      <w:spacing w:before="108" w:line="240" w:lineRule="auto"/>
      <w:ind w:left="792" w:hanging="432"/>
      <w:jc w:val="left"/>
    </w:pPr>
    <w:rPr>
      <w:rFonts w:ascii="Helvetica" w:hAnsi="Helvetica" w:cs="Helvetica"/>
      <w:sz w:val="19"/>
      <w:szCs w:val="19"/>
    </w:rPr>
  </w:style>
  <w:style w:type="character" w:customStyle="1" w:styleId="CharacterStyle13">
    <w:name w:val="Character Style 13"/>
    <w:uiPriority w:val="99"/>
    <w:rsid w:val="001C2F95"/>
    <w:rPr>
      <w:rFonts w:ascii="Helvetica" w:hAnsi="Helvetica"/>
      <w:sz w:val="19"/>
    </w:rPr>
  </w:style>
  <w:style w:type="character" w:styleId="lev">
    <w:name w:val="Strong"/>
    <w:uiPriority w:val="22"/>
    <w:qFormat/>
    <w:rsid w:val="001C2F95"/>
    <w:rPr>
      <w:b/>
      <w:bCs/>
    </w:rPr>
  </w:style>
  <w:style w:type="character" w:customStyle="1" w:styleId="TabledesillustrationsCar">
    <w:name w:val="Table des illustrations Car"/>
    <w:link w:val="Tabledesillustrations"/>
    <w:uiPriority w:val="99"/>
    <w:locked/>
    <w:rsid w:val="001C2F95"/>
    <w:rPr>
      <w:rFonts w:ascii="Arial" w:eastAsia="Times New Roman" w:hAnsi="Arial" w:cs="Times New Roman"/>
      <w:sz w:val="21"/>
      <w:lang w:eastAsia="fr-FR"/>
    </w:rPr>
  </w:style>
  <w:style w:type="paragraph" w:styleId="PrformatHTML">
    <w:name w:val="HTML Preformatted"/>
    <w:basedOn w:val="Normal"/>
    <w:link w:val="PrformatHTMLCar"/>
    <w:uiPriority w:val="99"/>
    <w:unhideWhenUsed/>
    <w:rsid w:val="001C2F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szCs w:val="20"/>
    </w:rPr>
  </w:style>
  <w:style w:type="character" w:customStyle="1" w:styleId="PrformatHTMLCar">
    <w:name w:val="Préformaté HTML Car"/>
    <w:link w:val="PrformatHTML"/>
    <w:uiPriority w:val="99"/>
    <w:rsid w:val="001C2F95"/>
    <w:rPr>
      <w:rFonts w:ascii="Courier New" w:eastAsia="Times New Roman" w:hAnsi="Courier New" w:cs="Courier New"/>
      <w:sz w:val="20"/>
      <w:szCs w:val="20"/>
      <w:lang w:eastAsia="fr-FR"/>
    </w:rPr>
  </w:style>
  <w:style w:type="character" w:customStyle="1" w:styleId="tocnumber">
    <w:name w:val="tocnumber"/>
    <w:basedOn w:val="Policepardfaut"/>
    <w:rsid w:val="001C2F95"/>
  </w:style>
  <w:style w:type="character" w:customStyle="1" w:styleId="toctext">
    <w:name w:val="toctext"/>
    <w:basedOn w:val="Policepardfaut"/>
    <w:rsid w:val="001C2F95"/>
  </w:style>
  <w:style w:type="character" w:customStyle="1" w:styleId="nowrap">
    <w:name w:val="nowrap"/>
    <w:basedOn w:val="Policepardfaut"/>
    <w:rsid w:val="001C2F95"/>
  </w:style>
  <w:style w:type="paragraph" w:styleId="Notedefin">
    <w:name w:val="endnote text"/>
    <w:basedOn w:val="Normal"/>
    <w:link w:val="NotedefinCar"/>
    <w:uiPriority w:val="99"/>
    <w:unhideWhenUsed/>
    <w:rsid w:val="001C2F95"/>
    <w:pPr>
      <w:spacing w:line="240" w:lineRule="auto"/>
    </w:pPr>
    <w:rPr>
      <w:sz w:val="20"/>
      <w:szCs w:val="20"/>
    </w:rPr>
  </w:style>
  <w:style w:type="character" w:customStyle="1" w:styleId="NotedefinCar">
    <w:name w:val="Note de fin Car"/>
    <w:link w:val="Notedefin"/>
    <w:uiPriority w:val="99"/>
    <w:rsid w:val="001C2F95"/>
    <w:rPr>
      <w:rFonts w:ascii="Arial" w:eastAsia="Times New Roman" w:hAnsi="Arial" w:cs="Times New Roman"/>
      <w:sz w:val="20"/>
      <w:szCs w:val="20"/>
      <w:lang w:eastAsia="fr-FR"/>
    </w:rPr>
  </w:style>
  <w:style w:type="character" w:styleId="Appeldenotedefin">
    <w:name w:val="endnote reference"/>
    <w:uiPriority w:val="99"/>
    <w:unhideWhenUsed/>
    <w:rsid w:val="001C2F95"/>
    <w:rPr>
      <w:vertAlign w:val="superscript"/>
    </w:rPr>
  </w:style>
  <w:style w:type="character" w:styleId="Numrodepage">
    <w:name w:val="page number"/>
    <w:basedOn w:val="Policepardfaut"/>
    <w:rsid w:val="001C2F95"/>
  </w:style>
  <w:style w:type="paragraph" w:customStyle="1" w:styleId="RapTitre3">
    <w:name w:val="Rap Titre 3"/>
    <w:basedOn w:val="Titre3"/>
    <w:autoRedefine/>
    <w:rsid w:val="001C2F95"/>
    <w:pPr>
      <w:keepNext w:val="0"/>
      <w:keepLines w:val="0"/>
      <w:widowControl w:val="0"/>
      <w:suppressAutoHyphens/>
      <w:spacing w:before="120" w:after="120" w:line="240" w:lineRule="auto"/>
      <w:ind w:left="624"/>
    </w:pPr>
    <w:rPr>
      <w:rFonts w:cs="Arial"/>
      <w:b/>
      <w:bCs w:val="0"/>
      <w:i w:val="0"/>
      <w:spacing w:val="-3"/>
      <w:sz w:val="22"/>
      <w:szCs w:val="22"/>
    </w:rPr>
  </w:style>
  <w:style w:type="paragraph" w:styleId="Textebrut">
    <w:name w:val="Plain Text"/>
    <w:basedOn w:val="Normal"/>
    <w:link w:val="TextebrutCar"/>
    <w:uiPriority w:val="99"/>
    <w:rsid w:val="001C2F95"/>
    <w:pPr>
      <w:spacing w:line="240" w:lineRule="auto"/>
      <w:jc w:val="left"/>
    </w:pPr>
    <w:rPr>
      <w:rFonts w:ascii="Courier New" w:hAnsi="Courier New"/>
      <w:sz w:val="20"/>
      <w:szCs w:val="20"/>
    </w:rPr>
  </w:style>
  <w:style w:type="character" w:customStyle="1" w:styleId="TextebrutCar">
    <w:name w:val="Texte brut Car"/>
    <w:link w:val="Textebrut"/>
    <w:uiPriority w:val="99"/>
    <w:rsid w:val="001C2F95"/>
    <w:rPr>
      <w:rFonts w:ascii="Courier New" w:eastAsia="Times New Roman" w:hAnsi="Courier New" w:cs="Times New Roman"/>
      <w:sz w:val="20"/>
      <w:szCs w:val="20"/>
      <w:lang w:eastAsia="fr-FR"/>
    </w:rPr>
  </w:style>
  <w:style w:type="paragraph" w:customStyle="1" w:styleId="Heading1a">
    <w:name w:val="Heading 1a"/>
    <w:basedOn w:val="Titre1"/>
    <w:next w:val="Normal"/>
    <w:rsid w:val="001C2F95"/>
    <w:pPr>
      <w:spacing w:before="720" w:after="240" w:line="240" w:lineRule="auto"/>
      <w:ind w:left="720" w:hanging="360"/>
      <w:jc w:val="center"/>
      <w:outlineLvl w:val="9"/>
    </w:pPr>
    <w:rPr>
      <w:rFonts w:ascii="Times New Roman Bold" w:hAnsi="Times New Roman Bold"/>
      <w:sz w:val="32"/>
      <w:szCs w:val="32"/>
      <w:lang w:val="en-US"/>
    </w:rPr>
  </w:style>
  <w:style w:type="paragraph" w:customStyle="1" w:styleId="MTHL">
    <w:name w:val="出典 MTHL"/>
    <w:basedOn w:val="Normal"/>
    <w:link w:val="MTHL0"/>
    <w:uiPriority w:val="99"/>
    <w:rsid w:val="001C2F95"/>
    <w:pPr>
      <w:spacing w:beforeLines="15" w:line="240" w:lineRule="exact"/>
      <w:ind w:leftChars="100" w:left="100"/>
    </w:pPr>
    <w:rPr>
      <w:rFonts w:ascii="Times New Roman" w:eastAsia="MS Mincho" w:hAnsi="Times New Roman"/>
      <w:sz w:val="20"/>
      <w:szCs w:val="18"/>
      <w:lang w:val="en-GB"/>
    </w:rPr>
  </w:style>
  <w:style w:type="character" w:customStyle="1" w:styleId="MTHL0">
    <w:name w:val="出典 MTHL (文字)"/>
    <w:link w:val="MTHL"/>
    <w:uiPriority w:val="99"/>
    <w:locked/>
    <w:rsid w:val="001C2F95"/>
    <w:rPr>
      <w:rFonts w:ascii="Times New Roman" w:eastAsia="MS Mincho" w:hAnsi="Times New Roman" w:cs="Times New Roman"/>
      <w:sz w:val="20"/>
      <w:szCs w:val="18"/>
      <w:lang w:val="en-GB" w:eastAsia="fr-FR"/>
    </w:rPr>
  </w:style>
  <w:style w:type="paragraph" w:styleId="Corpsdetexte2">
    <w:name w:val="Body Text 2"/>
    <w:basedOn w:val="Normal"/>
    <w:link w:val="Corpsdetexte2Car"/>
    <w:unhideWhenUsed/>
    <w:rsid w:val="001C2F95"/>
    <w:pPr>
      <w:spacing w:after="120" w:line="480" w:lineRule="auto"/>
    </w:pPr>
  </w:style>
  <w:style w:type="character" w:customStyle="1" w:styleId="Corpsdetexte2Car">
    <w:name w:val="Corps de texte 2 Car"/>
    <w:link w:val="Corpsdetexte2"/>
    <w:rsid w:val="001C2F95"/>
    <w:rPr>
      <w:rFonts w:ascii="Arial" w:eastAsia="Times New Roman" w:hAnsi="Arial" w:cs="Times New Roman"/>
      <w:sz w:val="21"/>
      <w:lang w:eastAsia="fr-FR"/>
    </w:rPr>
  </w:style>
  <w:style w:type="paragraph" w:customStyle="1" w:styleId="Heading11">
    <w:name w:val="Heading 11"/>
    <w:basedOn w:val="Normal"/>
    <w:uiPriority w:val="99"/>
    <w:qFormat/>
    <w:rsid w:val="001C2F95"/>
    <w:pPr>
      <w:widowControl w:val="0"/>
      <w:spacing w:line="240" w:lineRule="auto"/>
      <w:ind w:left="600" w:right="559"/>
      <w:jc w:val="left"/>
      <w:outlineLvl w:val="1"/>
    </w:pPr>
    <w:rPr>
      <w:rFonts w:eastAsia="Arial" w:cs="Arial"/>
      <w:b/>
      <w:bCs/>
      <w:sz w:val="28"/>
      <w:szCs w:val="28"/>
      <w:lang w:val="en-US" w:eastAsia="en-US"/>
    </w:rPr>
  </w:style>
  <w:style w:type="paragraph" w:customStyle="1" w:styleId="Heading21">
    <w:name w:val="Heading 21"/>
    <w:basedOn w:val="Normal"/>
    <w:uiPriority w:val="1"/>
    <w:qFormat/>
    <w:rsid w:val="001C2F95"/>
    <w:pPr>
      <w:widowControl w:val="0"/>
      <w:spacing w:line="240" w:lineRule="auto"/>
      <w:ind w:left="116"/>
      <w:outlineLvl w:val="2"/>
    </w:pPr>
    <w:rPr>
      <w:rFonts w:eastAsia="Arial" w:cs="Arial"/>
      <w:b/>
      <w:bCs/>
      <w:sz w:val="22"/>
      <w:lang w:val="en-US" w:eastAsia="en-US"/>
    </w:rPr>
  </w:style>
  <w:style w:type="table" w:customStyle="1" w:styleId="TableNormal1">
    <w:name w:val="Table Normal1"/>
    <w:uiPriority w:val="2"/>
    <w:unhideWhenUsed/>
    <w:qFormat/>
    <w:rsid w:val="001C2F95"/>
    <w:pPr>
      <w:widowControl w:val="0"/>
    </w:pPr>
    <w:rPr>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C2F95"/>
    <w:pPr>
      <w:widowControl w:val="0"/>
      <w:spacing w:line="240" w:lineRule="auto"/>
      <w:jc w:val="left"/>
    </w:pPr>
    <w:rPr>
      <w:rFonts w:eastAsia="Arial" w:cs="Arial"/>
      <w:sz w:val="22"/>
      <w:lang w:val="en-US" w:eastAsia="en-US"/>
    </w:rPr>
  </w:style>
  <w:style w:type="paragraph" w:styleId="Sansinterligne">
    <w:name w:val="No Spacing"/>
    <w:link w:val="SansinterligneCar"/>
    <w:uiPriority w:val="1"/>
    <w:qFormat/>
    <w:rsid w:val="001C2F95"/>
    <w:rPr>
      <w:rFonts w:ascii="Times New Roman" w:eastAsia="Times New Roman" w:hAnsi="Times New Roman"/>
      <w:sz w:val="24"/>
      <w:szCs w:val="24"/>
    </w:rPr>
  </w:style>
  <w:style w:type="paragraph" w:customStyle="1" w:styleId="Tableau">
    <w:name w:val="Tableau"/>
    <w:basedOn w:val="Normal"/>
    <w:qFormat/>
    <w:rsid w:val="001C2F95"/>
    <w:pPr>
      <w:overflowPunct w:val="0"/>
      <w:autoSpaceDE w:val="0"/>
      <w:autoSpaceDN w:val="0"/>
      <w:adjustRightInd w:val="0"/>
      <w:spacing w:before="60" w:after="60" w:line="240" w:lineRule="auto"/>
      <w:jc w:val="left"/>
      <w:textAlignment w:val="baseline"/>
    </w:pPr>
    <w:rPr>
      <w:rFonts w:ascii="Times New Roman" w:hAnsi="Times New Roman"/>
      <w:sz w:val="24"/>
      <w:szCs w:val="20"/>
    </w:rPr>
  </w:style>
  <w:style w:type="character" w:customStyle="1" w:styleId="LgendeCar">
    <w:name w:val="Légende Car"/>
    <w:aliases w:val=" Car Car,Fig Car,Table Caption Car,Table Car,Figure Car,headings Car,CPR Caption Car,CPR Caption Char Car,Table1 Car,Figure1 Car,headings1 Char Car,headings1 Car,Table Char Car,Figure Char Car,headings Char Car,CPR Caption Char1 Car,HB Car"/>
    <w:link w:val="Lgende"/>
    <w:rsid w:val="001C2F95"/>
    <w:rPr>
      <w:rFonts w:ascii="Arial" w:eastAsia="Calibri" w:hAnsi="Arial" w:cs="Times New Roman"/>
      <w:bCs/>
      <w:sz w:val="21"/>
      <w:szCs w:val="20"/>
    </w:rPr>
  </w:style>
  <w:style w:type="character" w:customStyle="1" w:styleId="Normal12ptsjustifi">
    <w:name w:val="Normal+12 pts justifié"/>
    <w:uiPriority w:val="99"/>
    <w:rsid w:val="001C2F95"/>
    <w:rPr>
      <w:rFonts w:ascii="Times New Roman" w:eastAsia="ComicSansMS-Identity-H" w:hAnsi="Times New Roman" w:cs="Times New Roman"/>
      <w:b w:val="0"/>
      <w:bCs/>
      <w:dstrike w:val="0"/>
      <w:color w:val="auto"/>
      <w:spacing w:val="0"/>
      <w:w w:val="100"/>
      <w:kern w:val="0"/>
      <w:position w:val="0"/>
      <w:sz w:val="24"/>
      <w:szCs w:val="24"/>
      <w:u w:val="none"/>
      <w:bdr w:val="none" w:sz="0" w:space="0" w:color="auto"/>
      <w:vertAlign w:val="baseline"/>
      <w:lang w:val="fr-FR" w:eastAsia="en-US" w:bidi="ar-SA"/>
    </w:rPr>
  </w:style>
  <w:style w:type="character" w:customStyle="1" w:styleId="SansinterligneCar">
    <w:name w:val="Sans interligne Car"/>
    <w:link w:val="Sansinterligne"/>
    <w:uiPriority w:val="1"/>
    <w:rsid w:val="001C2F95"/>
    <w:rPr>
      <w:rFonts w:ascii="Times New Roman" w:eastAsia="Times New Roman" w:hAnsi="Times New Roman" w:cs="Times New Roman"/>
      <w:sz w:val="24"/>
      <w:szCs w:val="24"/>
      <w:lang w:val="en-US"/>
    </w:rPr>
  </w:style>
  <w:style w:type="character" w:customStyle="1" w:styleId="apple-converted-space">
    <w:name w:val="apple-converted-space"/>
    <w:basedOn w:val="Policepardfaut"/>
    <w:rsid w:val="001C2F95"/>
  </w:style>
  <w:style w:type="paragraph" w:customStyle="1" w:styleId="7">
    <w:name w:val="7"/>
    <w:basedOn w:val="Normal"/>
    <w:rsid w:val="001C2F95"/>
    <w:pPr>
      <w:tabs>
        <w:tab w:val="left" w:pos="851"/>
        <w:tab w:val="right" w:pos="9072"/>
      </w:tabs>
      <w:spacing w:before="40" w:after="40" w:line="240" w:lineRule="auto"/>
      <w:ind w:left="850" w:hanging="283"/>
    </w:pPr>
    <w:rPr>
      <w:rFonts w:cs="Arial"/>
      <w:sz w:val="20"/>
      <w:szCs w:val="20"/>
    </w:rPr>
  </w:style>
  <w:style w:type="paragraph" w:customStyle="1" w:styleId="Style">
    <w:name w:val="Style"/>
    <w:rsid w:val="001C2F95"/>
    <w:pPr>
      <w:widowControl w:val="0"/>
      <w:autoSpaceDE w:val="0"/>
      <w:autoSpaceDN w:val="0"/>
      <w:adjustRightInd w:val="0"/>
    </w:pPr>
    <w:rPr>
      <w:rFonts w:ascii="Arial" w:eastAsia="Times New Roman" w:hAnsi="Arial" w:cs="Arial"/>
      <w:sz w:val="24"/>
      <w:szCs w:val="24"/>
      <w:lang w:val="fr-FR" w:eastAsia="fr-FR"/>
    </w:rPr>
  </w:style>
  <w:style w:type="paragraph" w:styleId="Listepuces2">
    <w:name w:val="List Bullet 2"/>
    <w:basedOn w:val="Normal"/>
    <w:uiPriority w:val="99"/>
    <w:rsid w:val="001C2F95"/>
    <w:pPr>
      <w:numPr>
        <w:numId w:val="5"/>
      </w:numPr>
      <w:spacing w:line="240" w:lineRule="auto"/>
      <w:contextualSpacing/>
      <w:jc w:val="left"/>
    </w:pPr>
    <w:rPr>
      <w:rFonts w:ascii="Times New Roman" w:hAnsi="Times New Roman"/>
      <w:sz w:val="24"/>
      <w:szCs w:val="24"/>
    </w:rPr>
  </w:style>
  <w:style w:type="character" w:customStyle="1" w:styleId="A2">
    <w:name w:val="A2"/>
    <w:uiPriority w:val="99"/>
    <w:rsid w:val="001C2F95"/>
    <w:rPr>
      <w:rFonts w:cs="Agenda"/>
      <w:color w:val="000000"/>
      <w:sz w:val="20"/>
      <w:szCs w:val="20"/>
    </w:rPr>
  </w:style>
  <w:style w:type="character" w:customStyle="1" w:styleId="DefaultCar">
    <w:name w:val="Default Car"/>
    <w:link w:val="Default"/>
    <w:rsid w:val="001C2F95"/>
    <w:rPr>
      <w:rFonts w:ascii="Arial" w:eastAsia="Calibri" w:hAnsi="Arial" w:cs="Arial"/>
      <w:color w:val="000000"/>
      <w:sz w:val="24"/>
      <w:szCs w:val="24"/>
      <w:lang w:eastAsia="fr-FR"/>
    </w:rPr>
  </w:style>
  <w:style w:type="paragraph" w:customStyle="1" w:styleId="Titre11">
    <w:name w:val="Titre 11"/>
    <w:basedOn w:val="Normal"/>
    <w:uiPriority w:val="1"/>
    <w:qFormat/>
    <w:rsid w:val="001C2F95"/>
    <w:pPr>
      <w:widowControl w:val="0"/>
      <w:autoSpaceDE w:val="0"/>
      <w:autoSpaceDN w:val="0"/>
      <w:spacing w:line="240" w:lineRule="auto"/>
      <w:ind w:left="765" w:hanging="492"/>
      <w:jc w:val="left"/>
      <w:outlineLvl w:val="1"/>
    </w:pPr>
    <w:rPr>
      <w:rFonts w:eastAsia="Arial" w:cs="Arial"/>
      <w:b/>
      <w:bCs/>
      <w:sz w:val="22"/>
      <w:lang w:bidi="fr-FR"/>
    </w:rPr>
  </w:style>
  <w:style w:type="table" w:customStyle="1" w:styleId="TableNormal2">
    <w:name w:val="Table Normal2"/>
    <w:uiPriority w:val="2"/>
    <w:unhideWhenUsed/>
    <w:qFormat/>
    <w:rsid w:val="001C2F95"/>
    <w:pPr>
      <w:widowControl w:val="0"/>
      <w:autoSpaceDE w:val="0"/>
      <w:autoSpaceDN w:val="0"/>
    </w:pPr>
    <w:rPr>
      <w:sz w:val="22"/>
      <w:szCs w:val="22"/>
    </w:rPr>
    <w:tblPr>
      <w:tblInd w:w="0" w:type="dxa"/>
      <w:tblCellMar>
        <w:top w:w="0" w:type="dxa"/>
        <w:left w:w="0" w:type="dxa"/>
        <w:bottom w:w="0" w:type="dxa"/>
        <w:right w:w="0" w:type="dxa"/>
      </w:tblCellMar>
    </w:tblPr>
  </w:style>
  <w:style w:type="paragraph" w:customStyle="1" w:styleId="BankNormal">
    <w:name w:val="BankNormal"/>
    <w:basedOn w:val="Normal"/>
    <w:link w:val="BankNormalChar"/>
    <w:rsid w:val="001C2F95"/>
    <w:pPr>
      <w:spacing w:after="240" w:line="240" w:lineRule="auto"/>
      <w:jc w:val="left"/>
    </w:pPr>
    <w:rPr>
      <w:rFonts w:ascii="Times New Roman" w:hAnsi="Times New Roman"/>
      <w:sz w:val="22"/>
      <w:szCs w:val="20"/>
      <w:lang w:val="en-US" w:eastAsia="en-US"/>
    </w:rPr>
  </w:style>
  <w:style w:type="paragraph" w:customStyle="1" w:styleId="Style2">
    <w:name w:val="Style2"/>
    <w:basedOn w:val="Titre2"/>
    <w:rsid w:val="001C2F95"/>
    <w:pPr>
      <w:keepLines w:val="0"/>
      <w:spacing w:line="240" w:lineRule="auto"/>
      <w:jc w:val="left"/>
    </w:pPr>
    <w:rPr>
      <w:rFonts w:ascii="Comic Sans MS" w:hAnsi="Comic Sans MS"/>
      <w:b/>
      <w:bCs w:val="0"/>
      <w:sz w:val="24"/>
      <w:szCs w:val="24"/>
    </w:rPr>
  </w:style>
  <w:style w:type="paragraph" w:customStyle="1" w:styleId="Outline1">
    <w:name w:val="Outline1"/>
    <w:basedOn w:val="Normal"/>
    <w:next w:val="Outline2"/>
    <w:rsid w:val="001C2F95"/>
    <w:pPr>
      <w:keepNext/>
      <w:numPr>
        <w:numId w:val="7"/>
      </w:numPr>
      <w:tabs>
        <w:tab w:val="clear" w:pos="432"/>
        <w:tab w:val="num" w:pos="360"/>
      </w:tabs>
      <w:spacing w:before="240" w:line="240" w:lineRule="auto"/>
      <w:ind w:left="360" w:hanging="360"/>
      <w:jc w:val="left"/>
    </w:pPr>
    <w:rPr>
      <w:rFonts w:ascii="Times New Roman" w:hAnsi="Times New Roman"/>
      <w:kern w:val="28"/>
      <w:sz w:val="22"/>
    </w:rPr>
  </w:style>
  <w:style w:type="paragraph" w:customStyle="1" w:styleId="Outline2">
    <w:name w:val="Outline2"/>
    <w:basedOn w:val="Normal"/>
    <w:rsid w:val="001C2F95"/>
    <w:pPr>
      <w:numPr>
        <w:ilvl w:val="1"/>
        <w:numId w:val="7"/>
      </w:numPr>
      <w:tabs>
        <w:tab w:val="clear" w:pos="1152"/>
        <w:tab w:val="num" w:pos="864"/>
      </w:tabs>
      <w:spacing w:before="240" w:line="240" w:lineRule="auto"/>
      <w:ind w:left="864" w:hanging="504"/>
      <w:jc w:val="left"/>
    </w:pPr>
    <w:rPr>
      <w:rFonts w:ascii="Times New Roman" w:hAnsi="Times New Roman"/>
      <w:kern w:val="28"/>
      <w:sz w:val="22"/>
    </w:rPr>
  </w:style>
  <w:style w:type="paragraph" w:customStyle="1" w:styleId="Outline3">
    <w:name w:val="Outline3"/>
    <w:basedOn w:val="Normal"/>
    <w:rsid w:val="001C2F95"/>
    <w:pPr>
      <w:numPr>
        <w:ilvl w:val="2"/>
        <w:numId w:val="7"/>
      </w:numPr>
      <w:tabs>
        <w:tab w:val="clear" w:pos="1728"/>
        <w:tab w:val="num" w:pos="1368"/>
      </w:tabs>
      <w:spacing w:before="240" w:line="240" w:lineRule="auto"/>
      <w:ind w:left="1368" w:hanging="504"/>
      <w:jc w:val="left"/>
    </w:pPr>
    <w:rPr>
      <w:rFonts w:ascii="Times New Roman" w:hAnsi="Times New Roman"/>
      <w:kern w:val="28"/>
      <w:sz w:val="22"/>
    </w:rPr>
  </w:style>
  <w:style w:type="paragraph" w:customStyle="1" w:styleId="Outline4">
    <w:name w:val="Outline4"/>
    <w:basedOn w:val="Normal"/>
    <w:rsid w:val="001C2F95"/>
    <w:pPr>
      <w:numPr>
        <w:ilvl w:val="3"/>
        <w:numId w:val="7"/>
      </w:numPr>
      <w:tabs>
        <w:tab w:val="clear" w:pos="2304"/>
        <w:tab w:val="num" w:pos="1872"/>
      </w:tabs>
      <w:spacing w:before="240" w:line="240" w:lineRule="auto"/>
      <w:ind w:left="1872" w:hanging="504"/>
      <w:jc w:val="left"/>
    </w:pPr>
    <w:rPr>
      <w:rFonts w:ascii="Times New Roman" w:hAnsi="Times New Roman"/>
      <w:kern w:val="28"/>
      <w:sz w:val="22"/>
    </w:rPr>
  </w:style>
  <w:style w:type="character" w:customStyle="1" w:styleId="Titre3Car2">
    <w:name w:val="Titre 3 Car2"/>
    <w:aliases w:val="Titre 3 Car Car,Centered Car1,centered Car1, Centered Car1,Chapitre 3 Car,annex Car,(1.1.1.) Car,Left Char Car, centered Char Car,Left Car, centered Car,Section Car,Section + Gauche Car,Gauche :  0 cm Car,Suspendu : 1 Car,6 cm Car,Sec Car"/>
    <w:rsid w:val="001C2F95"/>
    <w:rPr>
      <w:b/>
      <w:sz w:val="22"/>
    </w:rPr>
  </w:style>
  <w:style w:type="paragraph" w:styleId="Titre">
    <w:name w:val="Title"/>
    <w:aliases w:val="Titre Car Car Car Car Car,Titre Car Car Car Car Car Car,Titre Car Car Car Car,Titre Car Car Car"/>
    <w:basedOn w:val="Normal"/>
    <w:link w:val="TitreCar"/>
    <w:uiPriority w:val="1"/>
    <w:qFormat/>
    <w:rsid w:val="001C2F95"/>
    <w:pPr>
      <w:spacing w:after="120" w:line="240" w:lineRule="auto"/>
      <w:jc w:val="center"/>
    </w:pPr>
    <w:rPr>
      <w:rFonts w:ascii="Times New Roman" w:hAnsi="Times New Roman"/>
      <w:b/>
      <w:sz w:val="24"/>
      <w:szCs w:val="20"/>
    </w:rPr>
  </w:style>
  <w:style w:type="character" w:customStyle="1" w:styleId="TitreCar">
    <w:name w:val="Titre Car"/>
    <w:aliases w:val="Titre Car Car Car Car Car Car1,Titre Car Car Car Car Car Car Car,Titre Car Car Car Car Car1,Titre Car Car Car Car1"/>
    <w:link w:val="Titre"/>
    <w:uiPriority w:val="1"/>
    <w:rsid w:val="001C2F95"/>
    <w:rPr>
      <w:rFonts w:ascii="Times New Roman" w:eastAsia="Times New Roman" w:hAnsi="Times New Roman" w:cs="Times New Roman"/>
      <w:b/>
      <w:sz w:val="24"/>
      <w:szCs w:val="20"/>
      <w:lang w:eastAsia="fr-FR"/>
    </w:rPr>
  </w:style>
  <w:style w:type="paragraph" w:customStyle="1" w:styleId="RefCharCarCharCar">
    <w:name w:val="Ref Char Car Char Car"/>
    <w:aliases w:val="de nota al pie Char Car Char Car,16 Point Char Car Char Car,Superscript 6 Point Char Car Char Car,ftref Char Car Char Car,BVI fnr Char Car Char Car,BVI fnr Car Car Char Car Char Car,Ref Car"/>
    <w:basedOn w:val="Normal"/>
    <w:link w:val="Appelnotedebasdep"/>
    <w:uiPriority w:val="99"/>
    <w:rsid w:val="001C2F95"/>
    <w:pPr>
      <w:spacing w:after="160" w:line="240" w:lineRule="exact"/>
      <w:jc w:val="left"/>
    </w:pPr>
    <w:rPr>
      <w:rFonts w:ascii="Calibri" w:eastAsia="Calibri" w:hAnsi="Calibri"/>
      <w:sz w:val="22"/>
      <w:vertAlign w:val="superscript"/>
      <w:lang w:eastAsia="en-US"/>
    </w:rPr>
  </w:style>
  <w:style w:type="paragraph" w:customStyle="1" w:styleId="Corpsdetexte4">
    <w:name w:val="Corps de texte 4"/>
    <w:basedOn w:val="Normal"/>
    <w:rsid w:val="001C2F95"/>
    <w:pPr>
      <w:spacing w:after="240" w:line="240" w:lineRule="auto"/>
    </w:pPr>
    <w:rPr>
      <w:rFonts w:ascii="Times New Roman" w:hAnsi="Times New Roman"/>
      <w:sz w:val="22"/>
      <w:szCs w:val="20"/>
    </w:rPr>
  </w:style>
  <w:style w:type="paragraph" w:customStyle="1" w:styleId="BodyTextIndent31">
    <w:name w:val="Body Text Indent 31"/>
    <w:basedOn w:val="Normal"/>
    <w:rsid w:val="001C2F95"/>
    <w:pPr>
      <w:widowControl w:val="0"/>
      <w:spacing w:line="240" w:lineRule="auto"/>
      <w:ind w:left="2497" w:hanging="720"/>
    </w:pPr>
    <w:rPr>
      <w:rFonts w:ascii="Times New Roman" w:hAnsi="Times New Roman"/>
      <w:sz w:val="22"/>
      <w:szCs w:val="20"/>
    </w:rPr>
  </w:style>
  <w:style w:type="paragraph" w:customStyle="1" w:styleId="Outline">
    <w:name w:val="Outline"/>
    <w:basedOn w:val="Normal"/>
    <w:rsid w:val="001C2F95"/>
    <w:pPr>
      <w:spacing w:before="240" w:line="240" w:lineRule="auto"/>
      <w:jc w:val="left"/>
    </w:pPr>
    <w:rPr>
      <w:rFonts w:ascii="Times New Roman" w:hAnsi="Times New Roman"/>
      <w:kern w:val="28"/>
      <w:sz w:val="22"/>
      <w:szCs w:val="20"/>
    </w:rPr>
  </w:style>
  <w:style w:type="character" w:customStyle="1" w:styleId="NormalWebCar">
    <w:name w:val="Normal (Web) Car"/>
    <w:link w:val="NormalWeb"/>
    <w:uiPriority w:val="99"/>
    <w:locked/>
    <w:rsid w:val="001C2F95"/>
    <w:rPr>
      <w:rFonts w:ascii="Times New Roman" w:eastAsia="Times New Roman" w:hAnsi="Times New Roman" w:cs="Times New Roman"/>
      <w:sz w:val="24"/>
      <w:szCs w:val="24"/>
      <w:lang w:eastAsia="fr-FR"/>
    </w:rPr>
  </w:style>
  <w:style w:type="paragraph" w:styleId="Retraitcorpsdetexte2">
    <w:name w:val="Body Text Indent 2"/>
    <w:basedOn w:val="Normal"/>
    <w:link w:val="Retraitcorpsdetexte2Car"/>
    <w:uiPriority w:val="99"/>
    <w:rsid w:val="001C2F95"/>
    <w:pPr>
      <w:numPr>
        <w:numId w:val="8"/>
      </w:numPr>
      <w:tabs>
        <w:tab w:val="clear" w:pos="360"/>
      </w:tabs>
      <w:spacing w:after="120" w:line="480" w:lineRule="auto"/>
      <w:ind w:left="283" w:firstLine="0"/>
      <w:jc w:val="left"/>
    </w:pPr>
    <w:rPr>
      <w:rFonts w:ascii="Times New Roman" w:hAnsi="Times New Roman"/>
      <w:sz w:val="24"/>
      <w:szCs w:val="24"/>
    </w:rPr>
  </w:style>
  <w:style w:type="character" w:customStyle="1" w:styleId="Retraitcorpsdetexte2Car">
    <w:name w:val="Retrait corps de texte 2 Car"/>
    <w:link w:val="Retraitcorpsdetexte2"/>
    <w:uiPriority w:val="99"/>
    <w:rsid w:val="001C2F95"/>
    <w:rPr>
      <w:rFonts w:ascii="Times New Roman" w:eastAsia="Times New Roman" w:hAnsi="Times New Roman" w:cs="Times New Roman"/>
      <w:sz w:val="24"/>
      <w:szCs w:val="24"/>
      <w:lang w:eastAsia="fr-FR"/>
    </w:rPr>
  </w:style>
  <w:style w:type="paragraph" w:styleId="Retraitcorpsdetexte3">
    <w:name w:val="Body Text Indent 3"/>
    <w:basedOn w:val="Normal"/>
    <w:link w:val="Retraitcorpsdetexte3Car"/>
    <w:uiPriority w:val="99"/>
    <w:rsid w:val="001C2F95"/>
    <w:pPr>
      <w:spacing w:after="120" w:line="240" w:lineRule="auto"/>
      <w:ind w:left="283"/>
      <w:jc w:val="left"/>
    </w:pPr>
    <w:rPr>
      <w:rFonts w:ascii="Times New Roman" w:hAnsi="Times New Roman"/>
      <w:sz w:val="16"/>
      <w:szCs w:val="16"/>
    </w:rPr>
  </w:style>
  <w:style w:type="character" w:customStyle="1" w:styleId="Retraitcorpsdetexte3Car">
    <w:name w:val="Retrait corps de texte 3 Car"/>
    <w:link w:val="Retraitcorpsdetexte3"/>
    <w:uiPriority w:val="99"/>
    <w:rsid w:val="001C2F95"/>
    <w:rPr>
      <w:rFonts w:ascii="Times New Roman" w:eastAsia="Times New Roman" w:hAnsi="Times New Roman" w:cs="Times New Roman"/>
      <w:sz w:val="16"/>
      <w:szCs w:val="16"/>
      <w:lang w:eastAsia="fr-FR"/>
    </w:rPr>
  </w:style>
  <w:style w:type="paragraph" w:customStyle="1" w:styleId="BodyTextKeep">
    <w:name w:val="Body Text Keep"/>
    <w:basedOn w:val="Corpsdetexte"/>
    <w:rsid w:val="001C2F95"/>
    <w:pPr>
      <w:keepNext/>
      <w:spacing w:after="240" w:line="240" w:lineRule="atLeast"/>
    </w:pPr>
    <w:rPr>
      <w:rFonts w:ascii="Garamond" w:eastAsia="Times New Roman" w:hAnsi="Garamond"/>
      <w:sz w:val="22"/>
      <w:szCs w:val="20"/>
      <w:lang w:val="en-US" w:eastAsia="en-US"/>
    </w:rPr>
  </w:style>
  <w:style w:type="paragraph" w:customStyle="1" w:styleId="p1">
    <w:name w:val="p1"/>
    <w:basedOn w:val="Normal"/>
    <w:rsid w:val="001C2F95"/>
    <w:pPr>
      <w:widowControl w:val="0"/>
      <w:tabs>
        <w:tab w:val="left" w:pos="720"/>
      </w:tabs>
      <w:overflowPunct w:val="0"/>
      <w:autoSpaceDE w:val="0"/>
      <w:autoSpaceDN w:val="0"/>
      <w:adjustRightInd w:val="0"/>
      <w:spacing w:line="240" w:lineRule="atLeast"/>
      <w:textAlignment w:val="baseline"/>
    </w:pPr>
    <w:rPr>
      <w:rFonts w:ascii="Times New Roman" w:hAnsi="Times New Roman"/>
      <w:sz w:val="24"/>
      <w:szCs w:val="20"/>
    </w:rPr>
  </w:style>
  <w:style w:type="paragraph" w:customStyle="1" w:styleId="Style4">
    <w:name w:val="Style4"/>
    <w:basedOn w:val="Tabledesillustrations"/>
    <w:next w:val="Tabledesillustrations"/>
    <w:rsid w:val="001C2F95"/>
    <w:pPr>
      <w:spacing w:line="240" w:lineRule="auto"/>
      <w:ind w:left="480" w:hanging="480"/>
    </w:pPr>
    <w:rPr>
      <w:rFonts w:ascii="Calibri" w:hAnsi="Calibri"/>
      <w:b/>
      <w:bCs/>
      <w:smallCaps/>
      <w:sz w:val="20"/>
      <w:szCs w:val="20"/>
      <w:u w:val="single"/>
      <w:lang w:val="fr-CA"/>
    </w:rPr>
  </w:style>
  <w:style w:type="character" w:customStyle="1" w:styleId="Titre1CarCarCarCarCarCarCarCarCarCarCarCarCarCarCarCarCarCarCar">
    <w:name w:val="Titre 1 Car Car Car Car Car Car Car Car Car Car Car Car Car Car Car Car Car Car Car"/>
    <w:rsid w:val="001C2F95"/>
    <w:rPr>
      <w:b/>
      <w:bCs/>
      <w:color w:val="000000"/>
      <w:sz w:val="24"/>
      <w:lang w:val="fr-FR" w:eastAsia="fr-FR" w:bidi="ar-SA"/>
    </w:rPr>
  </w:style>
  <w:style w:type="paragraph" w:customStyle="1" w:styleId="MainParanoChapter">
    <w:name w:val="Main Para no Chapter #"/>
    <w:basedOn w:val="Normal"/>
    <w:rsid w:val="001C2F95"/>
    <w:pPr>
      <w:spacing w:after="240" w:line="240" w:lineRule="auto"/>
      <w:jc w:val="left"/>
      <w:outlineLvl w:val="1"/>
    </w:pPr>
    <w:rPr>
      <w:rFonts w:ascii="Times New Roman" w:hAnsi="Times New Roman"/>
      <w:sz w:val="24"/>
      <w:szCs w:val="24"/>
      <w:lang w:val="en-US" w:eastAsia="en-US"/>
    </w:rPr>
  </w:style>
  <w:style w:type="character" w:customStyle="1" w:styleId="BankNormalChar">
    <w:name w:val="BankNormal Char"/>
    <w:link w:val="BankNormal"/>
    <w:rsid w:val="001C2F95"/>
    <w:rPr>
      <w:rFonts w:ascii="Times New Roman" w:eastAsia="Times New Roman" w:hAnsi="Times New Roman" w:cs="Times New Roman"/>
      <w:szCs w:val="20"/>
      <w:lang w:val="en-US"/>
    </w:rPr>
  </w:style>
  <w:style w:type="paragraph" w:customStyle="1" w:styleId="para">
    <w:name w:val="para"/>
    <w:basedOn w:val="Normal"/>
    <w:rsid w:val="001C2F95"/>
    <w:pPr>
      <w:spacing w:line="240" w:lineRule="auto"/>
      <w:ind w:firstLine="284"/>
    </w:pPr>
    <w:rPr>
      <w:rFonts w:ascii="Times New Roman" w:hAnsi="Times New Roman"/>
      <w:sz w:val="24"/>
      <w:szCs w:val="24"/>
      <w:lang w:eastAsia="en-US"/>
    </w:rPr>
  </w:style>
  <w:style w:type="paragraph" w:customStyle="1" w:styleId="PDSHeading2">
    <w:name w:val="PDS Heading 2"/>
    <w:next w:val="Normal"/>
    <w:rsid w:val="001C2F95"/>
    <w:pPr>
      <w:keepNext/>
      <w:numPr>
        <w:numId w:val="9"/>
      </w:numPr>
      <w:tabs>
        <w:tab w:val="clear" w:pos="435"/>
        <w:tab w:val="num" w:pos="360"/>
      </w:tabs>
      <w:ind w:left="0" w:firstLine="0"/>
    </w:pPr>
    <w:rPr>
      <w:rFonts w:ascii="Times New Roman" w:eastAsia="Times New Roman" w:hAnsi="Times New Roman"/>
      <w:b/>
      <w:sz w:val="24"/>
    </w:rPr>
  </w:style>
  <w:style w:type="paragraph" w:customStyle="1" w:styleId="PDSHeading1">
    <w:name w:val="PDS Heading 1"/>
    <w:next w:val="PDSHeading2"/>
    <w:rsid w:val="001C2F95"/>
    <w:pPr>
      <w:keepNext/>
      <w:ind w:left="890" w:hanging="360"/>
      <w:outlineLvl w:val="0"/>
    </w:pPr>
    <w:rPr>
      <w:rFonts w:ascii="Times New Roman" w:eastAsia="Times New Roman" w:hAnsi="Times New Roman"/>
      <w:b/>
      <w:caps/>
      <w:sz w:val="24"/>
    </w:rPr>
  </w:style>
  <w:style w:type="paragraph" w:customStyle="1" w:styleId="PDSHeading10">
    <w:name w:val="PDSHeading1"/>
    <w:next w:val="Normal"/>
    <w:rsid w:val="001C2F95"/>
    <w:rPr>
      <w:rFonts w:ascii="Times New Roman" w:eastAsia="Times New Roman" w:hAnsi="Times New Roman"/>
      <w:b/>
      <w:sz w:val="24"/>
    </w:rPr>
  </w:style>
  <w:style w:type="paragraph" w:customStyle="1" w:styleId="MainParawithChapter">
    <w:name w:val="Main Para with Chapter#"/>
    <w:basedOn w:val="Normal"/>
    <w:rsid w:val="001C2F95"/>
    <w:pPr>
      <w:spacing w:after="240" w:line="240" w:lineRule="auto"/>
      <w:jc w:val="left"/>
      <w:outlineLvl w:val="1"/>
    </w:pPr>
    <w:rPr>
      <w:rFonts w:ascii="Times New Roman" w:hAnsi="Times New Roman"/>
      <w:sz w:val="24"/>
      <w:szCs w:val="24"/>
      <w:lang w:val="en-US" w:eastAsia="en-US"/>
    </w:rPr>
  </w:style>
  <w:style w:type="character" w:customStyle="1" w:styleId="spelle">
    <w:name w:val="spelle"/>
    <w:basedOn w:val="Policepardfaut"/>
    <w:rsid w:val="001C2F95"/>
  </w:style>
  <w:style w:type="paragraph" w:customStyle="1" w:styleId="TxBrp7">
    <w:name w:val="TxBr_p7"/>
    <w:basedOn w:val="Normal"/>
    <w:rsid w:val="001C2F95"/>
    <w:pPr>
      <w:widowControl w:val="0"/>
      <w:tabs>
        <w:tab w:val="left" w:pos="204"/>
      </w:tabs>
      <w:spacing w:line="255" w:lineRule="atLeast"/>
      <w:jc w:val="left"/>
    </w:pPr>
    <w:rPr>
      <w:rFonts w:ascii="Times New Roman" w:hAnsi="Times New Roman"/>
      <w:snapToGrid w:val="0"/>
      <w:sz w:val="24"/>
      <w:szCs w:val="20"/>
      <w:lang w:val="en-US" w:eastAsia="en-US"/>
    </w:rPr>
  </w:style>
  <w:style w:type="character" w:customStyle="1" w:styleId="grame">
    <w:name w:val="grame"/>
    <w:basedOn w:val="Policepardfaut"/>
    <w:rsid w:val="001C2F95"/>
  </w:style>
  <w:style w:type="paragraph" w:customStyle="1" w:styleId="TxBrp8">
    <w:name w:val="TxBr_p8"/>
    <w:basedOn w:val="Normal"/>
    <w:rsid w:val="001C2F95"/>
    <w:pPr>
      <w:widowControl w:val="0"/>
      <w:tabs>
        <w:tab w:val="left" w:pos="368"/>
      </w:tabs>
      <w:spacing w:line="255" w:lineRule="atLeast"/>
      <w:ind w:left="731" w:hanging="363"/>
      <w:jc w:val="left"/>
    </w:pPr>
    <w:rPr>
      <w:rFonts w:ascii="Times New Roman" w:hAnsi="Times New Roman"/>
      <w:snapToGrid w:val="0"/>
      <w:sz w:val="24"/>
      <w:szCs w:val="20"/>
      <w:lang w:val="en-US" w:eastAsia="en-US"/>
    </w:rPr>
  </w:style>
  <w:style w:type="character" w:customStyle="1" w:styleId="MachinecrireHTML2">
    <w:name w:val="Machine à écrire HTML2"/>
    <w:rsid w:val="001C2F95"/>
    <w:rPr>
      <w:rFonts w:ascii="Courier New" w:eastAsia="Times New Roman" w:hAnsi="Courier New" w:cs="Courier New"/>
      <w:sz w:val="20"/>
      <w:szCs w:val="20"/>
    </w:rPr>
  </w:style>
  <w:style w:type="character" w:styleId="MachinecrireHTML">
    <w:name w:val="HTML Typewriter"/>
    <w:rsid w:val="001C2F95"/>
    <w:rPr>
      <w:rFonts w:ascii="Arial Unicode MS" w:eastAsia="Arial Unicode MS" w:hAnsi="Arial Unicode MS" w:cs="Arial Unicode MS"/>
      <w:sz w:val="20"/>
      <w:szCs w:val="20"/>
    </w:rPr>
  </w:style>
  <w:style w:type="paragraph" w:customStyle="1" w:styleId="Spacebetweennumberedparas">
    <w:name w:val="Space between numbered paras"/>
    <w:basedOn w:val="Normal"/>
    <w:next w:val="Titre1"/>
    <w:rsid w:val="001C2F95"/>
    <w:pPr>
      <w:overflowPunct w:val="0"/>
      <w:autoSpaceDE w:val="0"/>
      <w:autoSpaceDN w:val="0"/>
      <w:adjustRightInd w:val="0"/>
      <w:spacing w:line="240" w:lineRule="auto"/>
      <w:jc w:val="left"/>
      <w:textAlignment w:val="baseline"/>
    </w:pPr>
    <w:rPr>
      <w:rFonts w:ascii="Times New Roman" w:hAnsi="Times New Roman"/>
      <w:sz w:val="22"/>
      <w:szCs w:val="20"/>
      <w:lang w:val="en-US" w:eastAsia="en-US"/>
    </w:rPr>
  </w:style>
  <w:style w:type="paragraph" w:customStyle="1" w:styleId="Retraitpuces1">
    <w:name w:val="Retrait à puces 1"/>
    <w:basedOn w:val="Normal"/>
    <w:rsid w:val="001C2F95"/>
    <w:pPr>
      <w:tabs>
        <w:tab w:val="num" w:pos="643"/>
      </w:tabs>
      <w:spacing w:after="120" w:line="240" w:lineRule="auto"/>
      <w:ind w:left="643" w:hanging="360"/>
    </w:pPr>
    <w:rPr>
      <w:rFonts w:ascii="Times New Roman" w:hAnsi="Times New Roman"/>
      <w:sz w:val="24"/>
      <w:szCs w:val="20"/>
    </w:rPr>
  </w:style>
  <w:style w:type="paragraph" w:customStyle="1" w:styleId="CarcterCarCarCarcterCarcter">
    <w:name w:val="Carácter Car Car Carácter Carácter"/>
    <w:basedOn w:val="Normal"/>
    <w:rsid w:val="001C2F95"/>
    <w:pPr>
      <w:spacing w:after="160" w:line="240" w:lineRule="exact"/>
      <w:jc w:val="left"/>
    </w:pPr>
    <w:rPr>
      <w:rFonts w:ascii="Book Antiqua" w:hAnsi="Book Antiqua"/>
      <w:sz w:val="20"/>
      <w:szCs w:val="20"/>
      <w:lang w:val="en-US" w:eastAsia="en-US"/>
    </w:rPr>
  </w:style>
  <w:style w:type="paragraph" w:customStyle="1" w:styleId="Texte1">
    <w:name w:val="Texte 1"/>
    <w:rsid w:val="001C2F95"/>
    <w:pPr>
      <w:ind w:left="1068"/>
      <w:jc w:val="both"/>
    </w:pPr>
    <w:rPr>
      <w:rFonts w:ascii="Book Antiqua" w:eastAsia="Times New Roman" w:hAnsi="Book Antiqua"/>
      <w:sz w:val="22"/>
      <w:lang w:val="fr-FR" w:eastAsia="fr-FR"/>
    </w:rPr>
  </w:style>
  <w:style w:type="paragraph" w:customStyle="1" w:styleId="puce">
    <w:name w:val="puce"/>
    <w:basedOn w:val="Normal"/>
    <w:rsid w:val="001C2F95"/>
    <w:pPr>
      <w:tabs>
        <w:tab w:val="left" w:pos="414"/>
        <w:tab w:val="left" w:pos="1134"/>
        <w:tab w:val="left" w:pos="1854"/>
        <w:tab w:val="left" w:pos="2041"/>
        <w:tab w:val="left" w:pos="2574"/>
        <w:tab w:val="left" w:pos="3294"/>
        <w:tab w:val="left" w:pos="4014"/>
        <w:tab w:val="left" w:pos="4734"/>
        <w:tab w:val="left" w:pos="5454"/>
        <w:tab w:val="left" w:pos="6174"/>
        <w:tab w:val="left" w:pos="6894"/>
        <w:tab w:val="left" w:pos="7614"/>
        <w:tab w:val="left" w:pos="8334"/>
        <w:tab w:val="left" w:pos="9054"/>
      </w:tabs>
      <w:spacing w:line="240" w:lineRule="auto"/>
      <w:ind w:left="696" w:hanging="360"/>
    </w:pPr>
    <w:rPr>
      <w:rFonts w:ascii="Century Schoolbook" w:hAnsi="Century Schoolbook"/>
      <w:sz w:val="22"/>
      <w:szCs w:val="20"/>
      <w:lang w:eastAsia="en-US"/>
    </w:rPr>
  </w:style>
  <w:style w:type="paragraph" w:customStyle="1" w:styleId="BodyText21">
    <w:name w:val="Body Text 21"/>
    <w:basedOn w:val="Normal"/>
    <w:rsid w:val="001C2F95"/>
    <w:pPr>
      <w:widowControl w:val="0"/>
      <w:autoSpaceDE w:val="0"/>
      <w:autoSpaceDN w:val="0"/>
      <w:spacing w:line="240" w:lineRule="auto"/>
    </w:pPr>
    <w:rPr>
      <w:rFonts w:cs="Arial"/>
      <w:sz w:val="22"/>
    </w:rPr>
  </w:style>
  <w:style w:type="paragraph" w:customStyle="1" w:styleId="Aidemem1">
    <w:name w:val="Aidemem1"/>
    <w:basedOn w:val="Normal"/>
    <w:next w:val="Aidemem2"/>
    <w:rsid w:val="001C2F95"/>
    <w:pPr>
      <w:widowControl w:val="0"/>
      <w:tabs>
        <w:tab w:val="left" w:pos="851"/>
      </w:tabs>
      <w:spacing w:before="240" w:after="240" w:line="240" w:lineRule="auto"/>
      <w:ind w:left="1800" w:hanging="360"/>
    </w:pPr>
    <w:rPr>
      <w:rFonts w:ascii="Times New Roman Gras" w:hAnsi="Times New Roman Gras"/>
      <w:b/>
      <w:bCs/>
      <w:smallCaps/>
      <w:snapToGrid w:val="0"/>
      <w:sz w:val="22"/>
      <w:szCs w:val="20"/>
      <w:u w:val="single"/>
      <w:lang w:eastAsia="en-US"/>
    </w:rPr>
  </w:style>
  <w:style w:type="paragraph" w:customStyle="1" w:styleId="Aidemem2">
    <w:name w:val="Aidemem2"/>
    <w:basedOn w:val="Normal"/>
    <w:rsid w:val="001C2F95"/>
    <w:pPr>
      <w:widowControl w:val="0"/>
      <w:tabs>
        <w:tab w:val="left" w:pos="851"/>
      </w:tabs>
      <w:suppressAutoHyphens/>
      <w:spacing w:before="120" w:after="120" w:line="240" w:lineRule="auto"/>
      <w:ind w:left="2520" w:hanging="360"/>
    </w:pPr>
    <w:rPr>
      <w:rFonts w:ascii="Times New Roman" w:hAnsi="Times New Roman"/>
      <w:snapToGrid w:val="0"/>
      <w:sz w:val="22"/>
      <w:szCs w:val="20"/>
      <w:lang w:eastAsia="en-US"/>
    </w:rPr>
  </w:style>
  <w:style w:type="paragraph" w:customStyle="1" w:styleId="Grillemoyenne21">
    <w:name w:val="Grille moyenne 21"/>
    <w:link w:val="Grillemoyenne2Car"/>
    <w:uiPriority w:val="1"/>
    <w:qFormat/>
    <w:rsid w:val="001C2F95"/>
    <w:rPr>
      <w:rFonts w:ascii="Cambria" w:eastAsia="Times New Roman" w:hAnsi="Cambria"/>
      <w:sz w:val="22"/>
      <w:szCs w:val="22"/>
      <w:lang w:val="fr-FR"/>
    </w:rPr>
  </w:style>
  <w:style w:type="character" w:customStyle="1" w:styleId="Grillemoyenne2Car">
    <w:name w:val="Grille moyenne 2 Car"/>
    <w:link w:val="Grillemoyenne21"/>
    <w:uiPriority w:val="1"/>
    <w:rsid w:val="001C2F95"/>
    <w:rPr>
      <w:rFonts w:ascii="Cambria" w:eastAsia="Times New Roman" w:hAnsi="Cambria" w:cs="Times New Roman"/>
    </w:rPr>
  </w:style>
  <w:style w:type="paragraph" w:customStyle="1" w:styleId="Normal1">
    <w:name w:val="Normal1"/>
    <w:basedOn w:val="Normal"/>
    <w:link w:val="normalCar"/>
    <w:rsid w:val="001C2F95"/>
    <w:pPr>
      <w:tabs>
        <w:tab w:val="left" w:pos="1134"/>
      </w:tabs>
      <w:spacing w:line="240" w:lineRule="auto"/>
    </w:pPr>
    <w:rPr>
      <w:rFonts w:ascii="Times New Roman" w:hAnsi="Times New Roman"/>
      <w:sz w:val="23"/>
      <w:szCs w:val="20"/>
      <w:lang w:eastAsia="en-US"/>
    </w:rPr>
  </w:style>
  <w:style w:type="character" w:customStyle="1" w:styleId="normalCar">
    <w:name w:val="normal Car"/>
    <w:link w:val="Normal1"/>
    <w:rsid w:val="001C2F95"/>
    <w:rPr>
      <w:rFonts w:ascii="Times New Roman" w:eastAsia="Times New Roman" w:hAnsi="Times New Roman" w:cs="Times New Roman"/>
      <w:sz w:val="23"/>
      <w:szCs w:val="20"/>
    </w:rPr>
  </w:style>
  <w:style w:type="character" w:customStyle="1" w:styleId="nowrap1">
    <w:name w:val="nowrap1"/>
    <w:rsid w:val="001C2F95"/>
  </w:style>
  <w:style w:type="paragraph" w:customStyle="1" w:styleId="Normal2">
    <w:name w:val="Normal2"/>
    <w:rsid w:val="001C2F95"/>
    <w:pPr>
      <w:widowControl w:val="0"/>
      <w:ind w:right="-282"/>
      <w:jc w:val="both"/>
    </w:pPr>
    <w:rPr>
      <w:rFonts w:ascii="Verdana" w:eastAsia="Times New Roman" w:hAnsi="Verdana"/>
      <w:kern w:val="28"/>
      <w:sz w:val="22"/>
      <w:lang w:val="fr-CA" w:eastAsia="fr-FR"/>
    </w:rPr>
  </w:style>
  <w:style w:type="character" w:customStyle="1" w:styleId="st1">
    <w:name w:val="st1"/>
    <w:basedOn w:val="Policepardfaut"/>
    <w:rsid w:val="001C2F95"/>
  </w:style>
  <w:style w:type="paragraph" w:customStyle="1" w:styleId="ParaNum">
    <w:name w:val="ParaNum"/>
    <w:basedOn w:val="Normal"/>
    <w:rsid w:val="001C2F95"/>
    <w:pPr>
      <w:spacing w:before="120" w:line="240" w:lineRule="auto"/>
      <w:ind w:left="420" w:hanging="360"/>
    </w:pPr>
    <w:rPr>
      <w:rFonts w:ascii="Times New Roman" w:hAnsi="Times New Roman"/>
      <w:sz w:val="24"/>
      <w:szCs w:val="20"/>
      <w:lang w:eastAsia="en-US"/>
    </w:rPr>
  </w:style>
  <w:style w:type="character" w:customStyle="1" w:styleId="citecrochet1">
    <w:name w:val="cite_crochet1"/>
    <w:rsid w:val="001C2F95"/>
    <w:rPr>
      <w:vanish/>
      <w:webHidden w:val="0"/>
      <w:specVanish w:val="0"/>
    </w:rPr>
  </w:style>
  <w:style w:type="paragraph" w:customStyle="1" w:styleId="Body">
    <w:name w:val="Body"/>
    <w:rsid w:val="001C2F95"/>
    <w:rPr>
      <w:rFonts w:ascii="Helvetica" w:eastAsia="ヒラギノ角ゴ Pro W3" w:hAnsi="Helvetica"/>
      <w:color w:val="000000"/>
      <w:sz w:val="24"/>
      <w:lang w:eastAsia="fr-FR"/>
    </w:rPr>
  </w:style>
  <w:style w:type="paragraph" w:customStyle="1" w:styleId="BodyA">
    <w:name w:val="Body A"/>
    <w:rsid w:val="001C2F95"/>
    <w:rPr>
      <w:rFonts w:ascii="Helvetica" w:eastAsia="ヒラギノ角ゴ Pro W3" w:hAnsi="Helvetica"/>
      <w:color w:val="000000"/>
      <w:sz w:val="24"/>
      <w:lang w:eastAsia="fr-FR"/>
    </w:rPr>
  </w:style>
  <w:style w:type="character" w:customStyle="1" w:styleId="mw-headline">
    <w:name w:val="mw-headline"/>
    <w:rsid w:val="001C2F95"/>
  </w:style>
  <w:style w:type="character" w:customStyle="1" w:styleId="goohl4">
    <w:name w:val="goohl4"/>
    <w:rsid w:val="001C2F95"/>
  </w:style>
  <w:style w:type="paragraph" w:customStyle="1" w:styleId="TableText">
    <w:name w:val="Table_Text"/>
    <w:basedOn w:val="Normal"/>
    <w:rsid w:val="001C2F95"/>
    <w:pPr>
      <w:overflowPunct w:val="0"/>
      <w:autoSpaceDE w:val="0"/>
      <w:autoSpaceDN w:val="0"/>
      <w:adjustRightInd w:val="0"/>
      <w:spacing w:before="80" w:after="40" w:line="240" w:lineRule="auto"/>
      <w:jc w:val="left"/>
      <w:textAlignment w:val="baseline"/>
    </w:pPr>
    <w:rPr>
      <w:sz w:val="18"/>
      <w:szCs w:val="20"/>
      <w:lang w:eastAsia="en-US"/>
    </w:rPr>
  </w:style>
  <w:style w:type="paragraph" w:customStyle="1" w:styleId="Block">
    <w:name w:val="Block"/>
    <w:basedOn w:val="Normal"/>
    <w:rsid w:val="001C2F95"/>
    <w:pPr>
      <w:widowControl w:val="0"/>
      <w:spacing w:line="240" w:lineRule="auto"/>
      <w:jc w:val="left"/>
    </w:pPr>
    <w:rPr>
      <w:rFonts w:ascii="Times New Roman" w:hAnsi="Times New Roman"/>
      <w:b/>
      <w:bCs/>
      <w:sz w:val="22"/>
      <w:lang w:val="en-US" w:eastAsia="en-US"/>
    </w:rPr>
  </w:style>
  <w:style w:type="paragraph" w:customStyle="1" w:styleId="bt1">
    <w:name w:val="bt1"/>
    <w:link w:val="bt1Car"/>
    <w:qFormat/>
    <w:rsid w:val="001C2F95"/>
    <w:pPr>
      <w:ind w:left="827" w:hanging="360"/>
      <w:jc w:val="both"/>
    </w:pPr>
    <w:rPr>
      <w:rFonts w:ascii="Verdana" w:eastAsia="Times New Roman" w:hAnsi="Verdana"/>
      <w:sz w:val="22"/>
      <w:szCs w:val="22"/>
      <w:lang w:val="fr-CA" w:eastAsia="fr-CA"/>
    </w:rPr>
  </w:style>
  <w:style w:type="character" w:customStyle="1" w:styleId="bt1Car">
    <w:name w:val="bt1 Car"/>
    <w:link w:val="bt1"/>
    <w:rsid w:val="001C2F95"/>
    <w:rPr>
      <w:rFonts w:ascii="Verdana" w:eastAsia="Times New Roman" w:hAnsi="Verdana" w:cs="Times New Roman"/>
      <w:lang w:val="fr-CA" w:eastAsia="fr-CA"/>
    </w:rPr>
  </w:style>
  <w:style w:type="character" w:customStyle="1" w:styleId="style91">
    <w:name w:val="style91"/>
    <w:rsid w:val="001C2F95"/>
    <w:rPr>
      <w:rFonts w:ascii="Times New Roman" w:hAnsi="Times New Roman" w:cs="Times New Roman" w:hint="default"/>
      <w:sz w:val="27"/>
      <w:szCs w:val="27"/>
    </w:rPr>
  </w:style>
  <w:style w:type="paragraph" w:customStyle="1" w:styleId="Normal11">
    <w:name w:val="Normal11"/>
    <w:basedOn w:val="Normal"/>
    <w:rsid w:val="001C2F95"/>
    <w:pPr>
      <w:tabs>
        <w:tab w:val="left" w:pos="1134"/>
      </w:tabs>
      <w:spacing w:line="240" w:lineRule="auto"/>
    </w:pPr>
    <w:rPr>
      <w:rFonts w:ascii="Times New Roman" w:hAnsi="Times New Roman"/>
      <w:sz w:val="23"/>
      <w:szCs w:val="20"/>
      <w:lang w:eastAsia="en-US"/>
    </w:rPr>
  </w:style>
  <w:style w:type="paragraph" w:customStyle="1" w:styleId="BodyText22">
    <w:name w:val="Body Text 22"/>
    <w:basedOn w:val="Normal"/>
    <w:rsid w:val="001C2F95"/>
    <w:pPr>
      <w:spacing w:line="240" w:lineRule="auto"/>
    </w:pPr>
    <w:rPr>
      <w:rFonts w:ascii="Times New Roman" w:hAnsi="Times New Roman"/>
      <w:sz w:val="24"/>
      <w:szCs w:val="20"/>
      <w:lang w:val="en-CA"/>
    </w:rPr>
  </w:style>
  <w:style w:type="character" w:customStyle="1" w:styleId="CarChar">
    <w:name w:val="Car Char"/>
    <w:aliases w:val="Car Car Car Char, Car Car Car Char,titre3 Char,Légende tableaux PDA Kigali Char,Char Char Char Char Char Char1,Char Char Char Char Char Char Char,Char Char Char Char Char1,Légende-Tableau Char,Légende dak Char,Carte Char,Légende Car Char,M Char"/>
    <w:rsid w:val="001C2F95"/>
    <w:rPr>
      <w:b/>
      <w:bCs/>
      <w:lang w:eastAsia="en-US"/>
    </w:rPr>
  </w:style>
  <w:style w:type="paragraph" w:customStyle="1" w:styleId="pucea">
    <w:name w:val="puce a"/>
    <w:basedOn w:val="Normal"/>
    <w:rsid w:val="001C2F95"/>
    <w:pPr>
      <w:spacing w:line="240" w:lineRule="auto"/>
      <w:ind w:left="720" w:hanging="360"/>
      <w:jc w:val="left"/>
    </w:pPr>
    <w:rPr>
      <w:rFonts w:ascii="Times New Roman" w:hAnsi="Times New Roman"/>
      <w:sz w:val="20"/>
      <w:szCs w:val="20"/>
    </w:rPr>
  </w:style>
  <w:style w:type="paragraph" w:customStyle="1" w:styleId="CarcterCarCarCarcterCarcter1">
    <w:name w:val="Carácter Car Car Carácter Carácter1"/>
    <w:basedOn w:val="Normal"/>
    <w:rsid w:val="001C2F95"/>
    <w:pPr>
      <w:spacing w:after="160" w:line="240" w:lineRule="exact"/>
      <w:jc w:val="left"/>
    </w:pPr>
    <w:rPr>
      <w:rFonts w:ascii="Book Antiqua" w:hAnsi="Book Antiqua"/>
      <w:sz w:val="20"/>
      <w:szCs w:val="20"/>
      <w:lang w:val="en-US" w:eastAsia="en-US"/>
    </w:rPr>
  </w:style>
  <w:style w:type="paragraph" w:styleId="Listenumros2">
    <w:name w:val="List Number 2"/>
    <w:basedOn w:val="Normal"/>
    <w:rsid w:val="001C2F95"/>
    <w:pPr>
      <w:tabs>
        <w:tab w:val="num" w:pos="720"/>
      </w:tabs>
      <w:spacing w:line="240" w:lineRule="auto"/>
      <w:ind w:left="720" w:hanging="360"/>
      <w:jc w:val="left"/>
    </w:pPr>
    <w:rPr>
      <w:rFonts w:ascii="Times New Roman" w:hAnsi="Times New Roman"/>
      <w:sz w:val="22"/>
      <w:szCs w:val="24"/>
      <w:lang w:eastAsia="en-US"/>
    </w:rPr>
  </w:style>
  <w:style w:type="paragraph" w:customStyle="1" w:styleId="Check-list">
    <w:name w:val="Check-list"/>
    <w:basedOn w:val="Normal"/>
    <w:rsid w:val="001C2F95"/>
    <w:pPr>
      <w:widowControl w:val="0"/>
      <w:tabs>
        <w:tab w:val="num" w:pos="284"/>
      </w:tabs>
      <w:spacing w:after="160" w:line="240" w:lineRule="auto"/>
      <w:ind w:left="283" w:hanging="306"/>
    </w:pPr>
    <w:rPr>
      <w:rFonts w:cs="Arial"/>
      <w:bCs/>
      <w:sz w:val="20"/>
      <w:szCs w:val="20"/>
    </w:rPr>
  </w:style>
  <w:style w:type="paragraph" w:customStyle="1" w:styleId="font7">
    <w:name w:val="font7"/>
    <w:basedOn w:val="Normal"/>
    <w:rsid w:val="001C2F95"/>
    <w:pPr>
      <w:spacing w:before="100" w:beforeAutospacing="1" w:after="100" w:afterAutospacing="1" w:line="240" w:lineRule="auto"/>
      <w:jc w:val="left"/>
    </w:pPr>
    <w:rPr>
      <w:rFonts w:ascii="Times New Roman" w:eastAsia="Arial Unicode MS" w:hAnsi="Times New Roman"/>
      <w:sz w:val="22"/>
      <w:lang w:eastAsia="en-US"/>
    </w:rPr>
  </w:style>
  <w:style w:type="paragraph" w:customStyle="1" w:styleId="TxBrt29">
    <w:name w:val="TxBr_t29"/>
    <w:basedOn w:val="Normal"/>
    <w:rsid w:val="001C2F95"/>
    <w:pPr>
      <w:widowControl w:val="0"/>
      <w:spacing w:line="240" w:lineRule="atLeast"/>
      <w:jc w:val="left"/>
    </w:pPr>
    <w:rPr>
      <w:rFonts w:ascii="Times New Roman" w:hAnsi="Times New Roman"/>
      <w:snapToGrid w:val="0"/>
      <w:sz w:val="24"/>
      <w:szCs w:val="24"/>
      <w:lang w:val="en-US" w:eastAsia="en-US"/>
    </w:rPr>
  </w:style>
  <w:style w:type="paragraph" w:styleId="Listepuces">
    <w:name w:val="List Bullet"/>
    <w:basedOn w:val="Normal"/>
    <w:autoRedefine/>
    <w:rsid w:val="001C2F95"/>
    <w:pPr>
      <w:widowControl w:val="0"/>
      <w:spacing w:line="240" w:lineRule="auto"/>
      <w:ind w:left="33" w:hanging="33"/>
      <w:jc w:val="left"/>
    </w:pPr>
    <w:rPr>
      <w:rFonts w:ascii="Times New Roman" w:hAnsi="Times New Roman"/>
      <w:sz w:val="22"/>
      <w:lang w:val="fr-CA" w:eastAsia="en-US"/>
    </w:rPr>
  </w:style>
  <w:style w:type="paragraph" w:styleId="Listenumros3">
    <w:name w:val="List Number 3"/>
    <w:rsid w:val="001C2F95"/>
    <w:pPr>
      <w:tabs>
        <w:tab w:val="num" w:pos="360"/>
      </w:tabs>
      <w:snapToGrid w:val="0"/>
    </w:pPr>
    <w:rPr>
      <w:rFonts w:ascii="Times New Roman" w:eastAsia="Times New Roman" w:hAnsi="Times New Roman"/>
      <w:sz w:val="22"/>
      <w:lang w:val="fr-FR"/>
    </w:rPr>
  </w:style>
  <w:style w:type="paragraph" w:customStyle="1" w:styleId="Indice1">
    <w:name w:val="Indice1"/>
    <w:basedOn w:val="Normal"/>
    <w:rsid w:val="001C2F95"/>
    <w:pPr>
      <w:tabs>
        <w:tab w:val="num" w:pos="720"/>
      </w:tabs>
      <w:spacing w:line="240" w:lineRule="auto"/>
      <w:ind w:left="720" w:hanging="360"/>
      <w:jc w:val="left"/>
    </w:pPr>
    <w:rPr>
      <w:rFonts w:ascii="Times New Roman" w:hAnsi="Times New Roman"/>
      <w:sz w:val="22"/>
      <w:lang w:eastAsia="en-US"/>
    </w:rPr>
  </w:style>
  <w:style w:type="paragraph" w:customStyle="1" w:styleId="Enonc1">
    <w:name w:val="Enoncé1"/>
    <w:basedOn w:val="Normal"/>
    <w:autoRedefine/>
    <w:rsid w:val="001C2F95"/>
    <w:pPr>
      <w:spacing w:line="240" w:lineRule="auto"/>
    </w:pPr>
    <w:rPr>
      <w:rFonts w:ascii="Book Antiqua" w:hAnsi="Book Antiqua"/>
      <w:sz w:val="22"/>
    </w:rPr>
  </w:style>
  <w:style w:type="paragraph" w:customStyle="1" w:styleId="RapEIS">
    <w:name w:val="RapEIS"/>
    <w:basedOn w:val="TM1"/>
    <w:autoRedefine/>
    <w:rsid w:val="001C2F95"/>
    <w:pPr>
      <w:spacing w:before="120" w:after="120" w:line="240" w:lineRule="auto"/>
      <w:ind w:left="0" w:firstLine="0"/>
    </w:pPr>
    <w:rPr>
      <w:rFonts w:ascii="Times New Roman" w:hAnsi="Times New Roman" w:cs="Times New Roman"/>
      <w:caps w:val="0"/>
      <w:noProof w:val="0"/>
      <w:szCs w:val="24"/>
      <w:lang w:eastAsia="en-US"/>
    </w:rPr>
  </w:style>
  <w:style w:type="paragraph" w:customStyle="1" w:styleId="Bullet">
    <w:name w:val="Bullet"/>
    <w:basedOn w:val="Normal"/>
    <w:rsid w:val="001C2F95"/>
    <w:pPr>
      <w:tabs>
        <w:tab w:val="num" w:pos="360"/>
      </w:tabs>
      <w:spacing w:line="240" w:lineRule="auto"/>
    </w:pPr>
    <w:rPr>
      <w:rFonts w:ascii="Times New Roman" w:hAnsi="Times New Roman"/>
      <w:sz w:val="24"/>
      <w:szCs w:val="24"/>
      <w:lang w:val="en-US" w:eastAsia="en-US"/>
    </w:rPr>
  </w:style>
  <w:style w:type="paragraph" w:customStyle="1" w:styleId="Style10">
    <w:name w:val="Style1"/>
    <w:basedOn w:val="Titre1"/>
    <w:qFormat/>
    <w:rsid w:val="001C2F95"/>
    <w:pPr>
      <w:keepLines w:val="0"/>
      <w:tabs>
        <w:tab w:val="num" w:pos="360"/>
      </w:tabs>
      <w:spacing w:before="240" w:after="60" w:line="240" w:lineRule="auto"/>
      <w:ind w:left="360" w:hanging="360"/>
    </w:pPr>
    <w:rPr>
      <w:rFonts w:ascii="Times New Roman" w:hAnsi="Times New Roman"/>
      <w:kern w:val="32"/>
      <w:sz w:val="22"/>
      <w:szCs w:val="22"/>
      <w:lang w:eastAsia="en-US"/>
    </w:rPr>
  </w:style>
  <w:style w:type="character" w:customStyle="1" w:styleId="CenteredCar">
    <w:name w:val="Centered Car"/>
    <w:aliases w:val="centered Car, Centered Car"/>
    <w:rsid w:val="001C2F95"/>
    <w:rPr>
      <w:b/>
      <w:sz w:val="22"/>
    </w:rPr>
  </w:style>
  <w:style w:type="character" w:customStyle="1" w:styleId="fpx0oo90">
    <w:name w:val="fpx0oo90"/>
    <w:rsid w:val="001C2F95"/>
  </w:style>
  <w:style w:type="paragraph" w:styleId="z-Hautduformulaire">
    <w:name w:val="HTML Top of Form"/>
    <w:basedOn w:val="Normal"/>
    <w:next w:val="Normal"/>
    <w:link w:val="z-HautduformulaireCar"/>
    <w:hidden/>
    <w:uiPriority w:val="99"/>
    <w:unhideWhenUsed/>
    <w:rsid w:val="001C2F95"/>
    <w:pPr>
      <w:pBdr>
        <w:bottom w:val="single" w:sz="6" w:space="1" w:color="auto"/>
      </w:pBdr>
      <w:spacing w:line="240" w:lineRule="auto"/>
      <w:jc w:val="center"/>
    </w:pPr>
    <w:rPr>
      <w:vanish/>
      <w:sz w:val="16"/>
      <w:szCs w:val="16"/>
    </w:rPr>
  </w:style>
  <w:style w:type="character" w:customStyle="1" w:styleId="z-HautduformulaireCar">
    <w:name w:val="z-Haut du formulaire Car"/>
    <w:link w:val="z-Hautduformulaire"/>
    <w:uiPriority w:val="99"/>
    <w:rsid w:val="001C2F95"/>
    <w:rPr>
      <w:rFonts w:ascii="Arial" w:eastAsia="Times New Roman" w:hAnsi="Arial" w:cs="Times New Roman"/>
      <w:vanish/>
      <w:sz w:val="16"/>
      <w:szCs w:val="16"/>
      <w:lang w:eastAsia="fr-FR"/>
    </w:rPr>
  </w:style>
  <w:style w:type="character" w:customStyle="1" w:styleId="gt-card-ttl-txt1">
    <w:name w:val="gt-card-ttl-txt1"/>
    <w:rsid w:val="001C2F95"/>
    <w:rPr>
      <w:color w:val="222222"/>
    </w:rPr>
  </w:style>
  <w:style w:type="character" w:customStyle="1" w:styleId="gt-ft-text1">
    <w:name w:val="gt-ft-text1"/>
    <w:rsid w:val="001C2F95"/>
  </w:style>
  <w:style w:type="paragraph" w:styleId="z-Basduformulaire">
    <w:name w:val="HTML Bottom of Form"/>
    <w:basedOn w:val="Normal"/>
    <w:next w:val="Normal"/>
    <w:link w:val="z-BasduformulaireCar"/>
    <w:hidden/>
    <w:uiPriority w:val="99"/>
    <w:unhideWhenUsed/>
    <w:rsid w:val="001C2F95"/>
    <w:pPr>
      <w:pBdr>
        <w:top w:val="single" w:sz="6" w:space="1" w:color="auto"/>
      </w:pBdr>
      <w:spacing w:line="240" w:lineRule="auto"/>
      <w:jc w:val="center"/>
    </w:pPr>
    <w:rPr>
      <w:vanish/>
      <w:sz w:val="16"/>
      <w:szCs w:val="16"/>
    </w:rPr>
  </w:style>
  <w:style w:type="character" w:customStyle="1" w:styleId="z-BasduformulaireCar">
    <w:name w:val="z-Bas du formulaire Car"/>
    <w:link w:val="z-Basduformulaire"/>
    <w:uiPriority w:val="99"/>
    <w:rsid w:val="001C2F95"/>
    <w:rPr>
      <w:rFonts w:ascii="Arial" w:eastAsia="Times New Roman" w:hAnsi="Arial" w:cs="Times New Roman"/>
      <w:vanish/>
      <w:sz w:val="16"/>
      <w:szCs w:val="16"/>
      <w:lang w:eastAsia="fr-FR"/>
    </w:rPr>
  </w:style>
  <w:style w:type="paragraph" w:customStyle="1" w:styleId="yiv943500691msolistparagraph">
    <w:name w:val="yiv943500691msolistparagraph"/>
    <w:basedOn w:val="Normal"/>
    <w:rsid w:val="001C2F95"/>
    <w:pPr>
      <w:spacing w:before="100" w:beforeAutospacing="1" w:after="100" w:afterAutospacing="1" w:line="240" w:lineRule="auto"/>
      <w:jc w:val="left"/>
    </w:pPr>
    <w:rPr>
      <w:rFonts w:ascii="Times New Roman" w:hAnsi="Times New Roman"/>
      <w:sz w:val="24"/>
      <w:szCs w:val="24"/>
    </w:rPr>
  </w:style>
  <w:style w:type="paragraph" w:customStyle="1" w:styleId="NoSpacing1">
    <w:name w:val="No Spacing1"/>
    <w:uiPriority w:val="1"/>
    <w:qFormat/>
    <w:rsid w:val="001C2F95"/>
    <w:rPr>
      <w:sz w:val="22"/>
      <w:szCs w:val="22"/>
      <w:lang w:val="fr-FR"/>
    </w:rPr>
  </w:style>
  <w:style w:type="paragraph" w:customStyle="1" w:styleId="CorpsTexte">
    <w:name w:val="Corps_Texte"/>
    <w:link w:val="CorpsTexteCar"/>
    <w:qFormat/>
    <w:rsid w:val="001C2F95"/>
    <w:pPr>
      <w:spacing w:before="240" w:after="240"/>
      <w:jc w:val="both"/>
    </w:pPr>
    <w:rPr>
      <w:rFonts w:ascii="Verdana" w:eastAsia="Times New Roman" w:hAnsi="Verdana"/>
      <w:sz w:val="22"/>
      <w:szCs w:val="22"/>
      <w:lang w:val="fr-CA" w:eastAsia="fr-CA"/>
    </w:rPr>
  </w:style>
  <w:style w:type="character" w:customStyle="1" w:styleId="CorpsTexteCar">
    <w:name w:val="Corps_Texte Car"/>
    <w:link w:val="CorpsTexte"/>
    <w:rsid w:val="001C2F95"/>
    <w:rPr>
      <w:rFonts w:ascii="Verdana" w:eastAsia="Times New Roman" w:hAnsi="Verdana" w:cs="Times New Roman"/>
      <w:lang w:val="fr-CA" w:eastAsia="fr-CA"/>
    </w:rPr>
  </w:style>
  <w:style w:type="paragraph" w:customStyle="1" w:styleId="Headinga">
    <w:name w:val="Heading a"/>
    <w:basedOn w:val="Normal"/>
    <w:rsid w:val="001C2F95"/>
    <w:pPr>
      <w:widowControl w:val="0"/>
      <w:spacing w:after="120" w:line="240" w:lineRule="auto"/>
      <w:jc w:val="left"/>
    </w:pPr>
    <w:rPr>
      <w:rFonts w:ascii="Times New Roman" w:hAnsi="Times New Roman"/>
      <w:sz w:val="22"/>
      <w:szCs w:val="20"/>
      <w:lang w:val="en-US" w:eastAsia="en-US"/>
    </w:rPr>
  </w:style>
  <w:style w:type="paragraph" w:customStyle="1" w:styleId="programdescription">
    <w:name w:val="program description"/>
    <w:basedOn w:val="Normal"/>
    <w:rsid w:val="001C2F95"/>
    <w:pPr>
      <w:spacing w:before="40" w:after="60" w:line="240" w:lineRule="auto"/>
      <w:ind w:left="29" w:right="29"/>
      <w:jc w:val="left"/>
    </w:pPr>
    <w:rPr>
      <w:sz w:val="17"/>
      <w:szCs w:val="20"/>
      <w:lang w:val="en-US" w:eastAsia="en-US"/>
    </w:rPr>
  </w:style>
  <w:style w:type="paragraph" w:customStyle="1" w:styleId="NormalTCI-Normal">
    <w:name w:val="Normal.TCI-Normal"/>
    <w:rsid w:val="001C2F95"/>
    <w:pPr>
      <w:tabs>
        <w:tab w:val="left" w:pos="1134"/>
      </w:tabs>
      <w:jc w:val="both"/>
    </w:pPr>
    <w:rPr>
      <w:rFonts w:ascii="Times New Roman" w:eastAsia="Times New Roman" w:hAnsi="Times New Roman"/>
      <w:sz w:val="22"/>
      <w:lang w:val="fr-FR" w:eastAsia="fr-FR"/>
    </w:rPr>
  </w:style>
  <w:style w:type="character" w:customStyle="1" w:styleId="Heading3Char1">
    <w:name w:val="Heading 3 Char1"/>
    <w:aliases w:val=" Centered Char1,Centered Char1,annex Char,(1.1.1.) Char,Heading 3 Char Char,Centered Char Char,centered Char Char, Centered Char Char,Left Char Char, centered Char Char,centered Char1,Left Char1, centered Char1,Section Char,6 cm Char"/>
    <w:qFormat/>
    <w:rsid w:val="001C2F95"/>
    <w:rPr>
      <w:rFonts w:ascii="Times New Roman" w:eastAsia="Arial Unicode MS" w:hAnsi="Times New Roman" w:cs="Times New Roman"/>
      <w:bCs/>
      <w:u w:val="single"/>
      <w:lang w:eastAsia="fr-FR"/>
    </w:rPr>
  </w:style>
  <w:style w:type="paragraph" w:customStyle="1" w:styleId="Retraitcorpsdetexte31">
    <w:name w:val="Retrait corps de texte 31"/>
    <w:basedOn w:val="Normal"/>
    <w:rsid w:val="001C2F95"/>
    <w:pPr>
      <w:widowControl w:val="0"/>
      <w:tabs>
        <w:tab w:val="num" w:pos="360"/>
      </w:tabs>
      <w:spacing w:line="240" w:lineRule="auto"/>
    </w:pPr>
    <w:rPr>
      <w:rFonts w:ascii="Times New Roman" w:hAnsi="Times New Roman"/>
      <w:sz w:val="22"/>
      <w:szCs w:val="20"/>
    </w:rPr>
  </w:style>
  <w:style w:type="character" w:customStyle="1" w:styleId="bandeautitre1">
    <w:name w:val="bandeautitre1"/>
    <w:rsid w:val="001C2F95"/>
    <w:rPr>
      <w:b/>
      <w:bCs/>
      <w:color w:val="666666"/>
      <w:sz w:val="30"/>
      <w:szCs w:val="30"/>
    </w:rPr>
  </w:style>
  <w:style w:type="character" w:customStyle="1" w:styleId="textenormalpb1">
    <w:name w:val="textenormalpb1"/>
    <w:rsid w:val="001C2F95"/>
    <w:rPr>
      <w:rFonts w:ascii="Verdana" w:hAnsi="Verdana" w:cs="Times New Roman"/>
      <w:color w:val="2933AB"/>
      <w:sz w:val="20"/>
      <w:szCs w:val="20"/>
    </w:rPr>
  </w:style>
  <w:style w:type="paragraph" w:customStyle="1" w:styleId="Corpsdetexte21">
    <w:name w:val="Corps de texte 21"/>
    <w:basedOn w:val="Normal"/>
    <w:autoRedefine/>
    <w:rsid w:val="001C2F95"/>
    <w:pPr>
      <w:widowControl w:val="0"/>
      <w:spacing w:after="120" w:line="240" w:lineRule="auto"/>
      <w:ind w:left="900" w:hanging="360"/>
    </w:pPr>
    <w:rPr>
      <w:rFonts w:ascii="Maiandra GD" w:hAnsi="Maiandra GD"/>
      <w:b/>
      <w:bCs/>
      <w:sz w:val="22"/>
      <w:lang w:val="fr-CH"/>
    </w:rPr>
  </w:style>
  <w:style w:type="paragraph" w:customStyle="1" w:styleId="xartnum1">
    <w:name w:val="x_artnum1"/>
    <w:basedOn w:val="Normal"/>
    <w:rsid w:val="001C2F95"/>
    <w:pPr>
      <w:spacing w:before="240" w:line="240" w:lineRule="auto"/>
      <w:ind w:left="240" w:right="180"/>
      <w:jc w:val="left"/>
    </w:pPr>
    <w:rPr>
      <w:rFonts w:cs="Arial"/>
      <w:b/>
      <w:bCs/>
      <w:color w:val="0000FF"/>
      <w:sz w:val="24"/>
      <w:szCs w:val="24"/>
    </w:rPr>
  </w:style>
  <w:style w:type="paragraph" w:customStyle="1" w:styleId="xpar1">
    <w:name w:val="x_par1"/>
    <w:basedOn w:val="Normal"/>
    <w:rsid w:val="001C2F95"/>
    <w:pPr>
      <w:spacing w:before="60" w:line="240" w:lineRule="auto"/>
      <w:ind w:left="240" w:right="240"/>
      <w:jc w:val="left"/>
    </w:pPr>
    <w:rPr>
      <w:rFonts w:cs="Arial"/>
      <w:color w:val="000000"/>
      <w:sz w:val="24"/>
      <w:szCs w:val="24"/>
    </w:rPr>
  </w:style>
  <w:style w:type="character" w:customStyle="1" w:styleId="editsection">
    <w:name w:val="editsection"/>
    <w:rsid w:val="001C2F95"/>
  </w:style>
  <w:style w:type="character" w:customStyle="1" w:styleId="addtype">
    <w:name w:val="addtype"/>
    <w:rsid w:val="001C2F95"/>
  </w:style>
  <w:style w:type="character" w:customStyle="1" w:styleId="ouvrage">
    <w:name w:val="ouvrage"/>
    <w:rsid w:val="001C2F95"/>
  </w:style>
  <w:style w:type="character" w:styleId="CitationHTML">
    <w:name w:val="HTML Cite"/>
    <w:uiPriority w:val="99"/>
    <w:unhideWhenUsed/>
    <w:rsid w:val="001C2F95"/>
    <w:rPr>
      <w:i/>
      <w:iCs/>
    </w:rPr>
  </w:style>
  <w:style w:type="character" w:customStyle="1" w:styleId="longtext1">
    <w:name w:val="long_text1"/>
    <w:rsid w:val="001C2F95"/>
    <w:rPr>
      <w:sz w:val="20"/>
      <w:szCs w:val="20"/>
    </w:rPr>
  </w:style>
  <w:style w:type="paragraph" w:customStyle="1" w:styleId="aligncenter">
    <w:name w:val="align_center"/>
    <w:basedOn w:val="Normal"/>
    <w:rsid w:val="001C2F95"/>
    <w:pPr>
      <w:spacing w:before="100" w:beforeAutospacing="1" w:after="100" w:afterAutospacing="1" w:line="240" w:lineRule="auto"/>
      <w:jc w:val="left"/>
    </w:pPr>
    <w:rPr>
      <w:rFonts w:ascii="Times New Roman" w:hAnsi="Times New Roman"/>
      <w:sz w:val="24"/>
      <w:szCs w:val="24"/>
    </w:rPr>
  </w:style>
  <w:style w:type="paragraph" w:customStyle="1" w:styleId="Listepuce">
    <w:name w:val="Liste à puce"/>
    <w:basedOn w:val="Normal"/>
    <w:rsid w:val="001C2F95"/>
    <w:pPr>
      <w:spacing w:line="360" w:lineRule="auto"/>
      <w:ind w:left="720" w:hanging="360"/>
    </w:pPr>
    <w:rPr>
      <w:rFonts w:cs="Arial"/>
      <w:color w:val="000000"/>
      <w:sz w:val="22"/>
      <w:szCs w:val="24"/>
      <w:lang w:val="fr-CA"/>
    </w:rPr>
  </w:style>
  <w:style w:type="character" w:customStyle="1" w:styleId="CommentaireCar1">
    <w:name w:val="Commentaire Car1"/>
    <w:rsid w:val="001C2F95"/>
    <w:rPr>
      <w:rFonts w:ascii="Arial" w:eastAsia="Times New Roman" w:hAnsi="Arial" w:cs="Times New Roman"/>
      <w:sz w:val="18"/>
      <w:szCs w:val="20"/>
    </w:rPr>
  </w:style>
  <w:style w:type="paragraph" w:customStyle="1" w:styleId="Puce1">
    <w:name w:val="Puce 1"/>
    <w:basedOn w:val="Normal"/>
    <w:next w:val="Normal"/>
    <w:rsid w:val="001C2F95"/>
    <w:pPr>
      <w:tabs>
        <w:tab w:val="num" w:pos="340"/>
      </w:tabs>
      <w:spacing w:line="360" w:lineRule="auto"/>
      <w:ind w:left="340" w:hanging="340"/>
    </w:pPr>
    <w:rPr>
      <w:sz w:val="20"/>
      <w:szCs w:val="20"/>
    </w:rPr>
  </w:style>
  <w:style w:type="paragraph" w:customStyle="1" w:styleId="Standard">
    <w:name w:val="Standard"/>
    <w:rsid w:val="001C2F95"/>
    <w:pPr>
      <w:widowControl w:val="0"/>
      <w:suppressAutoHyphens/>
      <w:autoSpaceDN w:val="0"/>
      <w:textAlignment w:val="baseline"/>
    </w:pPr>
    <w:rPr>
      <w:rFonts w:ascii="Times New Roman" w:eastAsia="SimSun" w:hAnsi="Times New Roman" w:cs="Mangal"/>
      <w:kern w:val="3"/>
      <w:sz w:val="24"/>
      <w:szCs w:val="24"/>
      <w:lang w:val="fr-FR" w:eastAsia="zh-CN" w:bidi="hi-IN"/>
    </w:rPr>
  </w:style>
  <w:style w:type="paragraph" w:customStyle="1" w:styleId="Corpsdetexte31">
    <w:name w:val="Corps de texte 31"/>
    <w:basedOn w:val="Normal"/>
    <w:rsid w:val="001C2F95"/>
    <w:pPr>
      <w:tabs>
        <w:tab w:val="left" w:pos="720"/>
      </w:tabs>
      <w:spacing w:line="240" w:lineRule="auto"/>
    </w:pPr>
    <w:rPr>
      <w:rFonts w:ascii="Times New Roman" w:hAnsi="Times New Roman"/>
      <w:sz w:val="24"/>
      <w:szCs w:val="20"/>
    </w:rPr>
  </w:style>
  <w:style w:type="paragraph" w:customStyle="1" w:styleId="yiv281670054msonormal">
    <w:name w:val="yiv281670054msonormal"/>
    <w:basedOn w:val="Normal"/>
    <w:rsid w:val="001C2F95"/>
    <w:pPr>
      <w:spacing w:before="100" w:beforeAutospacing="1" w:after="100" w:afterAutospacing="1" w:line="240" w:lineRule="auto"/>
      <w:jc w:val="left"/>
    </w:pPr>
    <w:rPr>
      <w:rFonts w:ascii="Times New Roman" w:hAnsi="Times New Roman"/>
      <w:sz w:val="24"/>
      <w:szCs w:val="24"/>
    </w:rPr>
  </w:style>
  <w:style w:type="character" w:customStyle="1" w:styleId="spipsurligne">
    <w:name w:val="spip_surligne"/>
    <w:rsid w:val="001C2F95"/>
  </w:style>
  <w:style w:type="paragraph" w:customStyle="1" w:styleId="Normal3">
    <w:name w:val="Normal 3"/>
    <w:basedOn w:val="Normal"/>
    <w:rsid w:val="001C2F95"/>
    <w:pPr>
      <w:spacing w:line="240" w:lineRule="auto"/>
    </w:pPr>
    <w:rPr>
      <w:rFonts w:cs="Arial"/>
      <w:snapToGrid w:val="0"/>
      <w:sz w:val="22"/>
      <w:lang w:val="fr-CA"/>
    </w:rPr>
  </w:style>
  <w:style w:type="paragraph" w:customStyle="1" w:styleId="AMbullet">
    <w:name w:val="AM bullet"/>
    <w:basedOn w:val="Normal"/>
    <w:rsid w:val="001C2F95"/>
    <w:pPr>
      <w:tabs>
        <w:tab w:val="num" w:pos="360"/>
        <w:tab w:val="left" w:pos="720"/>
        <w:tab w:val="left" w:pos="1440"/>
      </w:tabs>
      <w:spacing w:line="240" w:lineRule="auto"/>
      <w:ind w:left="360" w:right="14" w:hanging="360"/>
    </w:pPr>
    <w:rPr>
      <w:rFonts w:ascii="Times New Roman" w:hAnsi="Times New Roman"/>
      <w:sz w:val="24"/>
    </w:rPr>
  </w:style>
  <w:style w:type="paragraph" w:customStyle="1" w:styleId="xl65">
    <w:name w:val="xl65"/>
    <w:basedOn w:val="Normal"/>
    <w:rsid w:val="001C2F95"/>
    <w:pPr>
      <w:pBdr>
        <w:bottom w:val="single" w:sz="4" w:space="0" w:color="auto"/>
        <w:right w:val="single" w:sz="4" w:space="0" w:color="auto"/>
      </w:pBdr>
      <w:spacing w:before="100" w:after="100" w:line="240" w:lineRule="auto"/>
      <w:jc w:val="left"/>
    </w:pPr>
    <w:rPr>
      <w:rFonts w:eastAsia="Arial Unicode MS"/>
      <w:b/>
      <w:sz w:val="24"/>
      <w:szCs w:val="24"/>
    </w:rPr>
  </w:style>
  <w:style w:type="paragraph" w:customStyle="1" w:styleId="MAMA">
    <w:name w:val="MAMA"/>
    <w:basedOn w:val="Normal"/>
    <w:rsid w:val="001C2F95"/>
    <w:pPr>
      <w:spacing w:before="120" w:line="360" w:lineRule="auto"/>
      <w:ind w:firstLine="851"/>
    </w:pPr>
    <w:rPr>
      <w:rFonts w:ascii="Times New Roman" w:hAnsi="Times New Roman"/>
      <w:sz w:val="24"/>
      <w:szCs w:val="24"/>
    </w:rPr>
  </w:style>
  <w:style w:type="paragraph" w:styleId="Normalcentr">
    <w:name w:val="Block Text"/>
    <w:basedOn w:val="Normal"/>
    <w:rsid w:val="001C2F95"/>
    <w:pPr>
      <w:tabs>
        <w:tab w:val="left" w:pos="-720"/>
      </w:tabs>
      <w:suppressAutoHyphens/>
      <w:spacing w:before="100" w:after="100" w:line="240" w:lineRule="auto"/>
      <w:ind w:left="480" w:right="-74"/>
    </w:pPr>
    <w:rPr>
      <w:rFonts w:ascii="Times New Roman" w:hAnsi="Times New Roman"/>
      <w:color w:val="000000"/>
      <w:spacing w:val="-3"/>
      <w:sz w:val="24"/>
      <w:szCs w:val="24"/>
    </w:rPr>
  </w:style>
  <w:style w:type="paragraph" w:customStyle="1" w:styleId="Style9">
    <w:name w:val="Style9"/>
    <w:basedOn w:val="Normal"/>
    <w:rsid w:val="001C2F95"/>
    <w:pPr>
      <w:tabs>
        <w:tab w:val="num" w:pos="1605"/>
      </w:tabs>
      <w:spacing w:line="240" w:lineRule="auto"/>
      <w:ind w:left="1605" w:hanging="180"/>
      <w:jc w:val="left"/>
    </w:pPr>
    <w:rPr>
      <w:rFonts w:ascii="Times New Roman" w:hAnsi="Times New Roman"/>
      <w:sz w:val="24"/>
      <w:szCs w:val="24"/>
    </w:rPr>
  </w:style>
  <w:style w:type="paragraph" w:customStyle="1" w:styleId="Paragraphedeliste11">
    <w:name w:val="Paragraphe de liste11"/>
    <w:basedOn w:val="Normal"/>
    <w:qFormat/>
    <w:rsid w:val="001C2F95"/>
    <w:pPr>
      <w:spacing w:after="200"/>
      <w:ind w:left="720"/>
      <w:jc w:val="left"/>
    </w:pPr>
    <w:rPr>
      <w:rFonts w:ascii="Calibri" w:hAnsi="Calibri" w:cs="Calibri"/>
      <w:sz w:val="22"/>
    </w:rPr>
  </w:style>
  <w:style w:type="paragraph" w:customStyle="1" w:styleId="Nomdesocit">
    <w:name w:val="Nom de société"/>
    <w:basedOn w:val="Normal"/>
    <w:rsid w:val="001C2F95"/>
    <w:pPr>
      <w:tabs>
        <w:tab w:val="num" w:pos="360"/>
      </w:tabs>
      <w:spacing w:line="240" w:lineRule="auto"/>
      <w:ind w:left="360" w:hanging="360"/>
      <w:jc w:val="left"/>
    </w:pPr>
    <w:rPr>
      <w:rFonts w:ascii="Times New Roman" w:hAnsi="Times New Roman"/>
      <w:sz w:val="20"/>
      <w:szCs w:val="20"/>
    </w:rPr>
  </w:style>
  <w:style w:type="paragraph" w:customStyle="1" w:styleId="Table-FigureTitle">
    <w:name w:val="Table-Figure Title"/>
    <w:basedOn w:val="Normal"/>
    <w:rsid w:val="001C2F95"/>
    <w:pPr>
      <w:spacing w:after="120" w:line="240" w:lineRule="auto"/>
      <w:jc w:val="left"/>
    </w:pPr>
    <w:rPr>
      <w:b/>
      <w:sz w:val="22"/>
      <w:szCs w:val="24"/>
      <w:lang w:val="en-US" w:eastAsia="en-US"/>
    </w:rPr>
  </w:style>
  <w:style w:type="paragraph" w:customStyle="1" w:styleId="yiv1732061606msolistparagraph">
    <w:name w:val="yiv1732061606msolistparagraph"/>
    <w:basedOn w:val="Normal"/>
    <w:rsid w:val="001C2F95"/>
    <w:pPr>
      <w:spacing w:before="100" w:beforeAutospacing="1" w:after="100" w:afterAutospacing="1" w:line="240" w:lineRule="auto"/>
      <w:jc w:val="left"/>
    </w:pPr>
    <w:rPr>
      <w:rFonts w:ascii="Times New Roman" w:hAnsi="Times New Roman"/>
      <w:sz w:val="24"/>
      <w:szCs w:val="24"/>
    </w:rPr>
  </w:style>
  <w:style w:type="paragraph" w:customStyle="1" w:styleId="yiv916813975msonormal">
    <w:name w:val="yiv916813975msonormal"/>
    <w:basedOn w:val="Normal"/>
    <w:rsid w:val="001C2F95"/>
    <w:pPr>
      <w:spacing w:before="100" w:beforeAutospacing="1" w:after="100" w:afterAutospacing="1" w:line="240" w:lineRule="auto"/>
      <w:jc w:val="left"/>
    </w:pPr>
    <w:rPr>
      <w:rFonts w:ascii="Times New Roman" w:hAnsi="Times New Roman"/>
      <w:sz w:val="24"/>
      <w:szCs w:val="24"/>
    </w:rPr>
  </w:style>
  <w:style w:type="paragraph" w:customStyle="1" w:styleId="Puce0">
    <w:name w:val="Puce"/>
    <w:basedOn w:val="Normal"/>
    <w:rsid w:val="001C2F95"/>
    <w:pPr>
      <w:tabs>
        <w:tab w:val="num" w:pos="360"/>
      </w:tabs>
      <w:spacing w:after="120" w:line="240" w:lineRule="auto"/>
      <w:ind w:left="360" w:hanging="360"/>
    </w:pPr>
    <w:rPr>
      <w:rFonts w:ascii="Times New Roman" w:hAnsi="Times New Roman"/>
      <w:sz w:val="24"/>
      <w:szCs w:val="20"/>
      <w:lang w:val="fr-CA"/>
    </w:rPr>
  </w:style>
  <w:style w:type="paragraph" w:customStyle="1" w:styleId="CM76">
    <w:name w:val="CM76"/>
    <w:basedOn w:val="Default"/>
    <w:next w:val="Default"/>
    <w:rsid w:val="001C2F95"/>
    <w:pPr>
      <w:widowControl w:val="0"/>
      <w:spacing w:after="113"/>
    </w:pPr>
    <w:rPr>
      <w:rFonts w:ascii="Times New Roman" w:eastAsia="Times New Roman" w:hAnsi="Times New Roman" w:cs="Times New Roman"/>
      <w:color w:val="auto"/>
    </w:rPr>
  </w:style>
  <w:style w:type="paragraph" w:customStyle="1" w:styleId="CM96">
    <w:name w:val="CM96"/>
    <w:basedOn w:val="Default"/>
    <w:next w:val="Default"/>
    <w:uiPriority w:val="99"/>
    <w:rsid w:val="001C2F95"/>
    <w:pPr>
      <w:widowControl w:val="0"/>
      <w:spacing w:after="628"/>
    </w:pPr>
    <w:rPr>
      <w:rFonts w:ascii="Times New Roman" w:eastAsia="Times New Roman" w:hAnsi="Times New Roman" w:cs="Times New Roman"/>
      <w:color w:val="auto"/>
    </w:rPr>
  </w:style>
  <w:style w:type="paragraph" w:customStyle="1" w:styleId="CM61">
    <w:name w:val="CM61"/>
    <w:basedOn w:val="Default"/>
    <w:next w:val="Default"/>
    <w:uiPriority w:val="99"/>
    <w:rsid w:val="001C2F95"/>
    <w:pPr>
      <w:widowControl w:val="0"/>
      <w:spacing w:line="383" w:lineRule="atLeast"/>
    </w:pPr>
    <w:rPr>
      <w:rFonts w:ascii="Times New Roman" w:eastAsia="Times New Roman" w:hAnsi="Times New Roman" w:cs="Times New Roman"/>
      <w:color w:val="auto"/>
    </w:rPr>
  </w:style>
  <w:style w:type="paragraph" w:customStyle="1" w:styleId="CM62">
    <w:name w:val="CM62"/>
    <w:basedOn w:val="Default"/>
    <w:next w:val="Default"/>
    <w:uiPriority w:val="99"/>
    <w:rsid w:val="001C2F95"/>
    <w:pPr>
      <w:widowControl w:val="0"/>
      <w:spacing w:line="383" w:lineRule="atLeast"/>
    </w:pPr>
    <w:rPr>
      <w:rFonts w:ascii="Times New Roman" w:eastAsia="Times New Roman" w:hAnsi="Times New Roman" w:cs="Times New Roman"/>
      <w:color w:val="auto"/>
    </w:rPr>
  </w:style>
  <w:style w:type="paragraph" w:customStyle="1" w:styleId="ecxmsonormal">
    <w:name w:val="ecxmsonormal"/>
    <w:basedOn w:val="Normal"/>
    <w:rsid w:val="001C2F95"/>
    <w:pPr>
      <w:spacing w:before="100" w:beforeAutospacing="1" w:after="100" w:afterAutospacing="1" w:line="240" w:lineRule="auto"/>
      <w:jc w:val="left"/>
    </w:pPr>
    <w:rPr>
      <w:rFonts w:ascii="Times New Roman" w:hAnsi="Times New Roman"/>
      <w:sz w:val="24"/>
      <w:szCs w:val="24"/>
    </w:rPr>
  </w:style>
  <w:style w:type="paragraph" w:customStyle="1" w:styleId="ecxmsolistparagraph">
    <w:name w:val="ecxmsolistparagraph"/>
    <w:basedOn w:val="Normal"/>
    <w:rsid w:val="001C2F95"/>
    <w:pPr>
      <w:spacing w:before="100" w:beforeAutospacing="1" w:after="100" w:afterAutospacing="1" w:line="240" w:lineRule="auto"/>
      <w:jc w:val="left"/>
    </w:pPr>
    <w:rPr>
      <w:rFonts w:ascii="Times New Roman" w:hAnsi="Times New Roman"/>
      <w:sz w:val="24"/>
      <w:szCs w:val="24"/>
    </w:rPr>
  </w:style>
  <w:style w:type="paragraph" w:customStyle="1" w:styleId="yiv3426639617msonormal">
    <w:name w:val="yiv3426639617msonormal"/>
    <w:basedOn w:val="Normal"/>
    <w:rsid w:val="001C2F95"/>
    <w:pPr>
      <w:spacing w:before="100" w:beforeAutospacing="1" w:after="100" w:afterAutospacing="1" w:line="240" w:lineRule="auto"/>
      <w:jc w:val="left"/>
    </w:pPr>
    <w:rPr>
      <w:rFonts w:ascii="Times New Roman" w:hAnsi="Times New Roman"/>
      <w:sz w:val="24"/>
      <w:szCs w:val="24"/>
    </w:rPr>
  </w:style>
  <w:style w:type="paragraph" w:customStyle="1" w:styleId="ACEnumberedparagraph">
    <w:name w:val="ACE_numbered_paragraph"/>
    <w:basedOn w:val="Normal"/>
    <w:qFormat/>
    <w:rsid w:val="001C2F95"/>
    <w:pPr>
      <w:spacing w:after="280" w:line="290" w:lineRule="exact"/>
      <w:ind w:left="-9" w:hanging="360"/>
      <w:jc w:val="left"/>
    </w:pPr>
    <w:rPr>
      <w:rFonts w:cs="Arial"/>
      <w:noProof/>
      <w:sz w:val="19"/>
      <w:szCs w:val="19"/>
      <w:lang w:val="en-US" w:eastAsia="nl-BE"/>
    </w:rPr>
  </w:style>
  <w:style w:type="paragraph" w:customStyle="1" w:styleId="Lgendedestableaux">
    <w:name w:val="Légende des tableaux"/>
    <w:basedOn w:val="Normal"/>
    <w:qFormat/>
    <w:rsid w:val="001C2F95"/>
    <w:pPr>
      <w:tabs>
        <w:tab w:val="left" w:pos="851"/>
      </w:tabs>
      <w:spacing w:before="120" w:after="120" w:line="312" w:lineRule="auto"/>
      <w:ind w:left="720" w:hanging="360"/>
    </w:pPr>
    <w:rPr>
      <w:rFonts w:ascii="Arial Narrow" w:eastAsia="Cambria" w:hAnsi="Arial Narrow"/>
      <w:sz w:val="22"/>
      <w:lang w:eastAsia="en-US"/>
    </w:rPr>
  </w:style>
  <w:style w:type="paragraph" w:customStyle="1" w:styleId="TableContents">
    <w:name w:val="Table Contents"/>
    <w:basedOn w:val="Standard"/>
    <w:rsid w:val="001C2F95"/>
    <w:pPr>
      <w:widowControl/>
      <w:suppressLineNumbers/>
    </w:pPr>
    <w:rPr>
      <w:rFonts w:eastAsia="Times New Roman" w:cs="Times New Roman"/>
      <w:lang w:bidi="ar-SA"/>
    </w:rPr>
  </w:style>
  <w:style w:type="paragraph" w:customStyle="1" w:styleId="titresbt">
    <w:name w:val="titresbt"/>
    <w:basedOn w:val="Normal"/>
    <w:rsid w:val="001C2F95"/>
    <w:pPr>
      <w:spacing w:before="160" w:after="48" w:line="240" w:lineRule="auto"/>
      <w:jc w:val="left"/>
    </w:pPr>
    <w:rPr>
      <w:rFonts w:ascii="Times New Roman" w:hAnsi="Times New Roman"/>
      <w:sz w:val="22"/>
    </w:rPr>
  </w:style>
  <w:style w:type="paragraph" w:customStyle="1" w:styleId="Sansinterligne1">
    <w:name w:val="Sans interligne1"/>
    <w:uiPriority w:val="99"/>
    <w:rsid w:val="001C2F95"/>
    <w:rPr>
      <w:rFonts w:eastAsia="Times New Roman"/>
      <w:lang w:val="fr-FR" w:eastAsia="fr-FR"/>
    </w:rPr>
  </w:style>
  <w:style w:type="character" w:customStyle="1" w:styleId="Titre3CarCar1">
    <w:name w:val="Titre 3 Car Car1"/>
    <w:aliases w:val="Titre 3 Car Car Car Car1,titre n3 Car,3 Car Car,Titre 3 Car Car Car Car2,titre n3 Car1,3 Car"/>
    <w:rsid w:val="001C2F95"/>
    <w:rPr>
      <w:rFonts w:ascii="Arial" w:hAnsi="Arial" w:cs="Arial"/>
      <w:b/>
      <w:bCs/>
      <w:sz w:val="26"/>
      <w:szCs w:val="26"/>
      <w:lang w:val="fr-FR" w:eastAsia="fr-FR" w:bidi="ar-SA"/>
    </w:rPr>
  </w:style>
  <w:style w:type="paragraph" w:styleId="Liste2">
    <w:name w:val="List 2"/>
    <w:basedOn w:val="Normal"/>
    <w:rsid w:val="001C2F95"/>
    <w:pPr>
      <w:widowControl w:val="0"/>
      <w:suppressAutoHyphens/>
      <w:spacing w:before="120" w:beforeAutospacing="1" w:after="120" w:afterAutospacing="1" w:line="240" w:lineRule="auto"/>
      <w:ind w:left="566" w:hanging="283"/>
    </w:pPr>
    <w:rPr>
      <w:rFonts w:ascii="Times New Roman" w:eastAsia="SimSun" w:hAnsi="Times New Roman"/>
      <w:kern w:val="1"/>
      <w:sz w:val="24"/>
      <w:szCs w:val="24"/>
      <w:lang w:val="it-IT" w:eastAsia="hi-IN" w:bidi="hi-IN"/>
    </w:rPr>
  </w:style>
  <w:style w:type="paragraph" w:customStyle="1" w:styleId="spip">
    <w:name w:val="spip"/>
    <w:basedOn w:val="Normal"/>
    <w:rsid w:val="001C2F95"/>
    <w:pPr>
      <w:spacing w:before="100" w:beforeAutospacing="1" w:after="100" w:afterAutospacing="1" w:line="240" w:lineRule="auto"/>
      <w:jc w:val="left"/>
    </w:pPr>
    <w:rPr>
      <w:rFonts w:ascii="Times New Roman" w:hAnsi="Times New Roman"/>
      <w:sz w:val="24"/>
      <w:szCs w:val="24"/>
    </w:rPr>
  </w:style>
  <w:style w:type="paragraph" w:customStyle="1" w:styleId="ftrefCharCarCharCarCharCarCharCarCharCarCharCarCharCarCharCarCharCarCharCarCharCarChar">
    <w:name w:val="ftref Char Car Char Car Char Car Char Car Char Car Char Car Char Car Char Car Char Car Char Car Char Car Char"/>
    <w:basedOn w:val="Normal"/>
    <w:next w:val="Normal"/>
    <w:rsid w:val="001C2F95"/>
    <w:pPr>
      <w:spacing w:after="160" w:line="240" w:lineRule="exact"/>
      <w:jc w:val="left"/>
    </w:pPr>
    <w:rPr>
      <w:rFonts w:ascii="Cambria" w:hAnsi="Cambria"/>
      <w:sz w:val="24"/>
      <w:szCs w:val="24"/>
      <w:vertAlign w:val="superscript"/>
    </w:rPr>
  </w:style>
  <w:style w:type="paragraph" w:customStyle="1" w:styleId="BodyText31">
    <w:name w:val="Body Text 31"/>
    <w:basedOn w:val="Normal"/>
    <w:rsid w:val="001C2F95"/>
    <w:pPr>
      <w:tabs>
        <w:tab w:val="left" w:pos="720"/>
      </w:tabs>
      <w:spacing w:line="240" w:lineRule="auto"/>
    </w:pPr>
    <w:rPr>
      <w:rFonts w:ascii="Times New Roman" w:hAnsi="Times New Roman"/>
      <w:sz w:val="24"/>
      <w:szCs w:val="20"/>
    </w:rPr>
  </w:style>
  <w:style w:type="paragraph" w:customStyle="1" w:styleId="OtherHeader">
    <w:name w:val="OtherHeader"/>
    <w:basedOn w:val="En-tte"/>
    <w:next w:val="Normal"/>
    <w:rsid w:val="001C2F95"/>
    <w:pPr>
      <w:tabs>
        <w:tab w:val="clear" w:pos="4536"/>
        <w:tab w:val="clear" w:pos="9072"/>
        <w:tab w:val="left" w:pos="4153"/>
        <w:tab w:val="right" w:pos="7655"/>
        <w:tab w:val="right" w:pos="8306"/>
      </w:tabs>
      <w:overflowPunct w:val="0"/>
      <w:autoSpaceDE w:val="0"/>
      <w:autoSpaceDN w:val="0"/>
      <w:adjustRightInd w:val="0"/>
      <w:spacing w:before="360" w:after="240" w:line="264" w:lineRule="auto"/>
      <w:jc w:val="left"/>
      <w:textAlignment w:val="baseline"/>
    </w:pPr>
    <w:rPr>
      <w:rFonts w:ascii="Book Antiqua" w:eastAsia="Times New Roman" w:hAnsi="Book Antiqua"/>
      <w:b/>
      <w:i/>
      <w:caps/>
      <w:sz w:val="22"/>
      <w:lang w:val="en-US" w:eastAsia="en-US"/>
    </w:rPr>
  </w:style>
  <w:style w:type="paragraph" w:customStyle="1" w:styleId="pucepoint">
    <w:name w:val="puce point"/>
    <w:basedOn w:val="Normal"/>
    <w:link w:val="pucepointCar"/>
    <w:rsid w:val="001C2F95"/>
    <w:pPr>
      <w:tabs>
        <w:tab w:val="num" w:pos="360"/>
      </w:tabs>
      <w:spacing w:line="240" w:lineRule="auto"/>
      <w:ind w:left="360" w:hanging="360"/>
    </w:pPr>
    <w:rPr>
      <w:position w:val="-7"/>
      <w:sz w:val="22"/>
      <w:szCs w:val="20"/>
      <w:lang w:val="fr-CA" w:eastAsia="fr-CA"/>
    </w:rPr>
  </w:style>
  <w:style w:type="character" w:customStyle="1" w:styleId="pucepointCar">
    <w:name w:val="puce point Car"/>
    <w:link w:val="pucepoint"/>
    <w:rsid w:val="001C2F95"/>
    <w:rPr>
      <w:rFonts w:ascii="Arial" w:eastAsia="Times New Roman" w:hAnsi="Arial" w:cs="Times New Roman"/>
      <w:position w:val="-7"/>
      <w:szCs w:val="20"/>
      <w:lang w:val="fr-CA" w:eastAsia="fr-CA"/>
    </w:rPr>
  </w:style>
  <w:style w:type="paragraph" w:customStyle="1" w:styleId="Text">
    <w:name w:val="Text"/>
    <w:basedOn w:val="Normal"/>
    <w:rsid w:val="001C2F95"/>
    <w:pPr>
      <w:spacing w:after="160" w:line="240" w:lineRule="auto"/>
      <w:jc w:val="left"/>
    </w:pPr>
    <w:rPr>
      <w:rFonts w:ascii="Garamond" w:hAnsi="Garamond"/>
      <w:sz w:val="22"/>
      <w:szCs w:val="24"/>
      <w:lang w:val="en-US" w:eastAsia="en-US"/>
    </w:rPr>
  </w:style>
  <w:style w:type="paragraph" w:customStyle="1" w:styleId="n">
    <w:name w:val="n"/>
    <w:basedOn w:val="Normal"/>
    <w:rsid w:val="001C2F95"/>
    <w:pPr>
      <w:spacing w:before="100" w:beforeAutospacing="1" w:after="100" w:afterAutospacing="1" w:line="240" w:lineRule="auto"/>
      <w:jc w:val="left"/>
    </w:pPr>
    <w:rPr>
      <w:rFonts w:ascii="Times New Roman" w:hAnsi="Times New Roman"/>
      <w:sz w:val="24"/>
      <w:szCs w:val="24"/>
    </w:rPr>
  </w:style>
  <w:style w:type="character" w:customStyle="1" w:styleId="fl">
    <w:name w:val="fl"/>
    <w:rsid w:val="001C2F95"/>
  </w:style>
  <w:style w:type="paragraph" w:customStyle="1" w:styleId="Style5">
    <w:name w:val="Style 5"/>
    <w:basedOn w:val="Normal"/>
    <w:rsid w:val="001C2F95"/>
    <w:pPr>
      <w:widowControl w:val="0"/>
      <w:autoSpaceDE w:val="0"/>
      <w:autoSpaceDN w:val="0"/>
      <w:spacing w:line="228" w:lineRule="exact"/>
    </w:pPr>
    <w:rPr>
      <w:rFonts w:ascii="Times New Roman" w:hAnsi="Times New Roman"/>
      <w:sz w:val="24"/>
      <w:szCs w:val="24"/>
    </w:rPr>
  </w:style>
  <w:style w:type="character" w:customStyle="1" w:styleId="gch">
    <w:name w:val="gch"/>
    <w:rsid w:val="001C2F95"/>
  </w:style>
  <w:style w:type="paragraph" w:customStyle="1" w:styleId="Notedebasdepage1">
    <w:name w:val="Note de bas de page1"/>
    <w:basedOn w:val="Normal"/>
    <w:rsid w:val="001C2F95"/>
    <w:pPr>
      <w:spacing w:line="240" w:lineRule="auto"/>
      <w:jc w:val="left"/>
    </w:pPr>
    <w:rPr>
      <w:rFonts w:ascii="Times New Roman" w:hAnsi="Times New Roman"/>
      <w:sz w:val="20"/>
      <w:szCs w:val="20"/>
      <w:lang w:val="fr-CA"/>
    </w:rPr>
  </w:style>
  <w:style w:type="paragraph" w:customStyle="1" w:styleId="normal3240web41">
    <w:name w:val="normal3240web41"/>
    <w:basedOn w:val="Normal"/>
    <w:rsid w:val="001C2F95"/>
    <w:pPr>
      <w:spacing w:before="100" w:beforeAutospacing="1" w:after="100" w:afterAutospacing="1" w:line="240" w:lineRule="auto"/>
      <w:jc w:val="left"/>
    </w:pPr>
    <w:rPr>
      <w:rFonts w:ascii="Times New Roman" w:hAnsi="Times New Roman"/>
      <w:sz w:val="24"/>
      <w:szCs w:val="24"/>
    </w:rPr>
  </w:style>
  <w:style w:type="character" w:customStyle="1" w:styleId="Strong1">
    <w:name w:val="Strong1"/>
    <w:rsid w:val="001C2F95"/>
  </w:style>
  <w:style w:type="character" w:customStyle="1" w:styleId="upcasttextcolor-0">
    <w:name w:val="upcasttextcolor-0"/>
    <w:rsid w:val="001C2F95"/>
  </w:style>
  <w:style w:type="character" w:customStyle="1" w:styleId="upcasttextcolor-1">
    <w:name w:val="upcasttextcolor-1"/>
    <w:rsid w:val="001C2F95"/>
  </w:style>
  <w:style w:type="paragraph" w:customStyle="1" w:styleId="ps">
    <w:name w:val="ps"/>
    <w:basedOn w:val="Normal"/>
    <w:link w:val="psCar"/>
    <w:rsid w:val="001C2F95"/>
    <w:pPr>
      <w:keepLines/>
      <w:spacing w:before="200" w:line="240" w:lineRule="auto"/>
    </w:pPr>
    <w:rPr>
      <w:rFonts w:ascii="Verdana" w:hAnsi="Verdana"/>
      <w:sz w:val="18"/>
      <w:szCs w:val="20"/>
    </w:rPr>
  </w:style>
  <w:style w:type="character" w:customStyle="1" w:styleId="psCar">
    <w:name w:val="ps Car"/>
    <w:link w:val="ps"/>
    <w:locked/>
    <w:rsid w:val="001C2F95"/>
    <w:rPr>
      <w:rFonts w:ascii="Verdana" w:eastAsia="Times New Roman" w:hAnsi="Verdana" w:cs="Times New Roman"/>
      <w:sz w:val="18"/>
      <w:szCs w:val="20"/>
      <w:lang w:eastAsia="fr-FR"/>
    </w:rPr>
  </w:style>
  <w:style w:type="character" w:customStyle="1" w:styleId="a">
    <w:name w:val="a"/>
    <w:rsid w:val="001C2F95"/>
  </w:style>
  <w:style w:type="character" w:customStyle="1" w:styleId="l10">
    <w:name w:val="l10"/>
    <w:rsid w:val="001C2F95"/>
  </w:style>
  <w:style w:type="character" w:customStyle="1" w:styleId="l6">
    <w:name w:val="l6"/>
    <w:rsid w:val="001C2F95"/>
  </w:style>
  <w:style w:type="character" w:customStyle="1" w:styleId="l7">
    <w:name w:val="l7"/>
    <w:rsid w:val="001C2F95"/>
  </w:style>
  <w:style w:type="character" w:customStyle="1" w:styleId="l9">
    <w:name w:val="l9"/>
    <w:rsid w:val="001C2F95"/>
  </w:style>
  <w:style w:type="paragraph" w:customStyle="1" w:styleId="StyleJustifiGauche095cmPremireligne0cmInterlign">
    <w:name w:val="Style Justifié Gauche :  095 cm Première ligne : 0 cm Interlign..."/>
    <w:basedOn w:val="Normal"/>
    <w:rsid w:val="001C2F95"/>
    <w:pPr>
      <w:suppressAutoHyphens/>
      <w:spacing w:line="360" w:lineRule="auto"/>
      <w:ind w:firstLine="284"/>
    </w:pPr>
    <w:rPr>
      <w:rFonts w:ascii="Times New Roman" w:hAnsi="Times New Roman"/>
      <w:sz w:val="24"/>
      <w:szCs w:val="20"/>
      <w:lang w:eastAsia="ar-SA"/>
    </w:rPr>
  </w:style>
  <w:style w:type="paragraph" w:customStyle="1" w:styleId="ea">
    <w:name w:val="ea"/>
    <w:basedOn w:val="Normal"/>
    <w:rsid w:val="001C2F95"/>
    <w:pPr>
      <w:keepLines/>
      <w:spacing w:before="60" w:line="240" w:lineRule="auto"/>
    </w:pPr>
    <w:rPr>
      <w:rFonts w:cs="Arial"/>
      <w:sz w:val="20"/>
      <w:szCs w:val="20"/>
    </w:rPr>
  </w:style>
  <w:style w:type="paragraph" w:customStyle="1" w:styleId="Char1">
    <w:name w:val="Char1"/>
    <w:basedOn w:val="Normal"/>
    <w:rsid w:val="001C2F95"/>
    <w:pPr>
      <w:spacing w:after="160" w:line="240" w:lineRule="exact"/>
      <w:jc w:val="left"/>
    </w:pPr>
    <w:rPr>
      <w:rFonts w:ascii="Times New Roman" w:hAnsi="Times New Roman"/>
      <w:b/>
      <w:sz w:val="20"/>
      <w:szCs w:val="20"/>
      <w:lang w:eastAsia="en-US"/>
    </w:rPr>
  </w:style>
  <w:style w:type="paragraph" w:customStyle="1" w:styleId="Texte">
    <w:name w:val="Texte"/>
    <w:basedOn w:val="Normal"/>
    <w:rsid w:val="001C2F95"/>
    <w:pPr>
      <w:keepLines/>
      <w:spacing w:before="120" w:line="240" w:lineRule="auto"/>
    </w:pPr>
    <w:rPr>
      <w:rFonts w:cs="Arial"/>
      <w:sz w:val="20"/>
      <w:szCs w:val="20"/>
    </w:rPr>
  </w:style>
  <w:style w:type="paragraph" w:customStyle="1" w:styleId="Enum3">
    <w:name w:val="Enum 3"/>
    <w:basedOn w:val="Normal"/>
    <w:rsid w:val="001C2F95"/>
    <w:pPr>
      <w:keepLines/>
      <w:tabs>
        <w:tab w:val="num" w:pos="360"/>
      </w:tabs>
      <w:spacing w:before="60" w:line="240" w:lineRule="auto"/>
      <w:ind w:left="360" w:hanging="360"/>
    </w:pPr>
    <w:rPr>
      <w:rFonts w:cs="Arial"/>
      <w:sz w:val="20"/>
      <w:szCs w:val="20"/>
    </w:rPr>
  </w:style>
  <w:style w:type="paragraph" w:customStyle="1" w:styleId="Enum1">
    <w:name w:val="Enum 1"/>
    <w:basedOn w:val="Normal"/>
    <w:rsid w:val="001C2F95"/>
    <w:pPr>
      <w:keepLines/>
      <w:tabs>
        <w:tab w:val="num" w:pos="360"/>
      </w:tabs>
      <w:spacing w:before="60" w:line="240" w:lineRule="auto"/>
      <w:ind w:left="360" w:hanging="360"/>
    </w:pPr>
    <w:rPr>
      <w:rFonts w:cs="Arial"/>
      <w:sz w:val="20"/>
      <w:szCs w:val="20"/>
    </w:rPr>
  </w:style>
  <w:style w:type="paragraph" w:customStyle="1" w:styleId="titrecoltab">
    <w:name w:val="titre col tab"/>
    <w:basedOn w:val="Normal"/>
    <w:rsid w:val="001C2F95"/>
    <w:pPr>
      <w:spacing w:line="240" w:lineRule="auto"/>
      <w:jc w:val="center"/>
    </w:pPr>
    <w:rPr>
      <w:rFonts w:cs="Arial"/>
      <w:color w:val="0000FF"/>
      <w:sz w:val="20"/>
      <w:szCs w:val="20"/>
    </w:rPr>
  </w:style>
  <w:style w:type="paragraph" w:customStyle="1" w:styleId="C1PlainText">
    <w:name w:val="C1 Plain Text"/>
    <w:basedOn w:val="Normal"/>
    <w:rsid w:val="001C2F95"/>
    <w:pPr>
      <w:overflowPunct w:val="0"/>
      <w:autoSpaceDE w:val="0"/>
      <w:autoSpaceDN w:val="0"/>
      <w:adjustRightInd w:val="0"/>
      <w:spacing w:before="120" w:after="120" w:line="240" w:lineRule="auto"/>
      <w:ind w:left="1298"/>
      <w:textAlignment w:val="baseline"/>
    </w:pPr>
    <w:rPr>
      <w:rFonts w:ascii="Times New Roman" w:hAnsi="Times New Roman"/>
      <w:sz w:val="24"/>
      <w:szCs w:val="20"/>
      <w:lang w:eastAsia="en-US"/>
    </w:rPr>
  </w:style>
  <w:style w:type="paragraph" w:customStyle="1" w:styleId="Enum2Car">
    <w:name w:val="Enum 2 Car"/>
    <w:basedOn w:val="Normal"/>
    <w:link w:val="Enum2CarCar"/>
    <w:rsid w:val="001C2F95"/>
    <w:pPr>
      <w:keepLines/>
      <w:tabs>
        <w:tab w:val="num" w:pos="360"/>
      </w:tabs>
      <w:spacing w:before="60" w:line="240" w:lineRule="auto"/>
      <w:ind w:left="360" w:hanging="360"/>
    </w:pPr>
    <w:rPr>
      <w:sz w:val="20"/>
      <w:szCs w:val="20"/>
    </w:rPr>
  </w:style>
  <w:style w:type="character" w:customStyle="1" w:styleId="Enum2CarCar">
    <w:name w:val="Enum 2 Car Car"/>
    <w:link w:val="Enum2Car"/>
    <w:rsid w:val="001C2F95"/>
    <w:rPr>
      <w:rFonts w:ascii="Arial" w:eastAsia="Times New Roman" w:hAnsi="Arial" w:cs="Times New Roman"/>
      <w:sz w:val="20"/>
      <w:szCs w:val="20"/>
      <w:lang w:eastAsia="fr-FR"/>
    </w:rPr>
  </w:style>
  <w:style w:type="paragraph" w:customStyle="1" w:styleId="TexteCar1CarCarCarCar">
    <w:name w:val="Texte Car1 Car Car Car Car"/>
    <w:basedOn w:val="Normal"/>
    <w:link w:val="TexteCar1CarCarCarCarCar"/>
    <w:rsid w:val="001C2F95"/>
    <w:pPr>
      <w:keepLines/>
      <w:spacing w:before="120" w:line="240" w:lineRule="auto"/>
    </w:pPr>
    <w:rPr>
      <w:sz w:val="20"/>
      <w:szCs w:val="20"/>
    </w:rPr>
  </w:style>
  <w:style w:type="character" w:customStyle="1" w:styleId="TexteCar1CarCarCarCarCar">
    <w:name w:val="Texte Car1 Car Car Car Car Car"/>
    <w:link w:val="TexteCar1CarCarCarCar"/>
    <w:rsid w:val="001C2F95"/>
    <w:rPr>
      <w:rFonts w:ascii="Arial" w:eastAsia="Times New Roman" w:hAnsi="Arial" w:cs="Times New Roman"/>
      <w:sz w:val="20"/>
      <w:szCs w:val="20"/>
      <w:lang w:eastAsia="fr-FR"/>
    </w:rPr>
  </w:style>
  <w:style w:type="paragraph" w:customStyle="1" w:styleId="0">
    <w:name w:val="0"/>
    <w:rsid w:val="001C2F95"/>
    <w:pPr>
      <w:tabs>
        <w:tab w:val="left" w:pos="1440"/>
        <w:tab w:val="right" w:pos="8931"/>
      </w:tabs>
      <w:spacing w:after="60"/>
      <w:ind w:left="851"/>
      <w:jc w:val="both"/>
    </w:pPr>
    <w:rPr>
      <w:rFonts w:ascii="Times New Roman" w:eastAsia="Times New Roman" w:hAnsi="Times New Roman"/>
      <w:sz w:val="22"/>
      <w:lang w:val="fr-FR"/>
    </w:rPr>
  </w:style>
  <w:style w:type="paragraph" w:customStyle="1" w:styleId="Subtitle2">
    <w:name w:val="Subtitle 2"/>
    <w:basedOn w:val="Pieddepage"/>
    <w:rsid w:val="001C2F95"/>
    <w:pPr>
      <w:tabs>
        <w:tab w:val="clear" w:pos="4536"/>
        <w:tab w:val="clear" w:pos="9072"/>
      </w:tabs>
      <w:overflowPunct w:val="0"/>
      <w:autoSpaceDE w:val="0"/>
      <w:autoSpaceDN w:val="0"/>
      <w:adjustRightInd w:val="0"/>
      <w:spacing w:before="120" w:line="240" w:lineRule="auto"/>
      <w:jc w:val="center"/>
      <w:textAlignment w:val="baseline"/>
    </w:pPr>
    <w:rPr>
      <w:rFonts w:ascii="Times New Roman" w:eastAsia="Times New Roman" w:hAnsi="Times New Roman" w:cs="Arial"/>
      <w:b/>
      <w:sz w:val="32"/>
      <w:szCs w:val="24"/>
    </w:rPr>
  </w:style>
  <w:style w:type="paragraph" w:customStyle="1" w:styleId="BodyText1">
    <w:name w:val="Body Text1"/>
    <w:aliases w:val="OPM,OPM Char1 Char Char,Body text Char Char"/>
    <w:basedOn w:val="Normal"/>
    <w:link w:val="BodytextChar"/>
    <w:autoRedefine/>
    <w:qFormat/>
    <w:rsid w:val="001C2F95"/>
    <w:pPr>
      <w:spacing w:before="120" w:after="120" w:line="240" w:lineRule="auto"/>
    </w:pPr>
    <w:rPr>
      <w:sz w:val="22"/>
    </w:rPr>
  </w:style>
  <w:style w:type="character" w:customStyle="1" w:styleId="BodytextChar">
    <w:name w:val="Body text Char"/>
    <w:aliases w:val="OPM Char,OPM Char1 Char Char Char,Body text Char Char Char,OPM Char Char,OPM Char1"/>
    <w:link w:val="BodyText1"/>
    <w:locked/>
    <w:rsid w:val="001C2F95"/>
    <w:rPr>
      <w:rFonts w:ascii="Arial" w:eastAsia="Times New Roman" w:hAnsi="Arial" w:cs="Times New Roman"/>
      <w:lang w:eastAsia="fr-FR"/>
    </w:rPr>
  </w:style>
  <w:style w:type="character" w:customStyle="1" w:styleId="Titre3Car1">
    <w:name w:val="Titre 3 Car1"/>
    <w:aliases w:val="Titre 3 Car Car Car Car,Section Header3 Car1,H3 Car1,RFF-Titre 3 Car1,MLM-Titre 4 Car1,3Rapport Car1,MLM-Titre 3 Car1,envinorm Car1,Heading 3 Char Car1,Titolo 3: SOTTOTITOLO 2 TORINO Car1,sottotitolo2 Car1"/>
    <w:qFormat/>
    <w:rsid w:val="001C2F95"/>
    <w:rPr>
      <w:rFonts w:ascii="Arial" w:hAnsi="Arial" w:cs="Arial"/>
      <w:b/>
      <w:sz w:val="28"/>
      <w:szCs w:val="24"/>
      <w:lang w:val="fr-FR" w:eastAsia="fr-FR" w:bidi="ar-SA"/>
    </w:rPr>
  </w:style>
  <w:style w:type="character" w:customStyle="1" w:styleId="highlight">
    <w:name w:val="highlight"/>
    <w:rsid w:val="001C2F95"/>
  </w:style>
  <w:style w:type="paragraph" w:customStyle="1" w:styleId="PARAPAD">
    <w:name w:val="PARA PAD"/>
    <w:basedOn w:val="Normal"/>
    <w:qFormat/>
    <w:rsid w:val="001C2F95"/>
    <w:pPr>
      <w:numPr>
        <w:numId w:val="17"/>
      </w:numPr>
      <w:autoSpaceDE w:val="0"/>
      <w:autoSpaceDN w:val="0"/>
      <w:adjustRightInd w:val="0"/>
      <w:spacing w:line="240" w:lineRule="auto"/>
    </w:pPr>
    <w:rPr>
      <w:rFonts w:ascii="Times New Roman" w:hAnsi="Times New Roman"/>
      <w:bCs/>
      <w:sz w:val="24"/>
      <w:szCs w:val="20"/>
      <w:lang w:val="en-US" w:eastAsia="en-US"/>
    </w:rPr>
  </w:style>
  <w:style w:type="paragraph" w:customStyle="1" w:styleId="Pa2">
    <w:name w:val="Pa2"/>
    <w:basedOn w:val="Default"/>
    <w:next w:val="Default"/>
    <w:uiPriority w:val="99"/>
    <w:rsid w:val="001C2F95"/>
    <w:pPr>
      <w:spacing w:line="241" w:lineRule="atLeast"/>
    </w:pPr>
    <w:rPr>
      <w:rFonts w:ascii="Eurostile" w:eastAsia="Times New Roman" w:hAnsi="Eurostile" w:cs="Times New Roman"/>
      <w:color w:val="auto"/>
    </w:rPr>
  </w:style>
  <w:style w:type="character" w:customStyle="1" w:styleId="A5">
    <w:name w:val="A5"/>
    <w:uiPriority w:val="99"/>
    <w:rsid w:val="001C2F95"/>
    <w:rPr>
      <w:rFonts w:cs="Eurostile"/>
      <w:color w:val="000000"/>
      <w:sz w:val="22"/>
      <w:szCs w:val="22"/>
    </w:rPr>
  </w:style>
  <w:style w:type="paragraph" w:customStyle="1" w:styleId="Pa0">
    <w:name w:val="Pa0"/>
    <w:basedOn w:val="Default"/>
    <w:next w:val="Default"/>
    <w:uiPriority w:val="99"/>
    <w:rsid w:val="001C2F95"/>
    <w:pPr>
      <w:spacing w:line="241" w:lineRule="atLeast"/>
    </w:pPr>
    <w:rPr>
      <w:rFonts w:ascii="Eurostile" w:eastAsia="Times New Roman" w:hAnsi="Eurostile" w:cs="Times New Roman"/>
      <w:color w:val="auto"/>
    </w:rPr>
  </w:style>
  <w:style w:type="character" w:customStyle="1" w:styleId="A0">
    <w:name w:val="A0"/>
    <w:uiPriority w:val="99"/>
    <w:rsid w:val="001C2F95"/>
    <w:rPr>
      <w:rFonts w:cs="Eurostile"/>
      <w:b/>
      <w:bCs/>
      <w:color w:val="000000"/>
      <w:sz w:val="36"/>
      <w:szCs w:val="36"/>
    </w:rPr>
  </w:style>
  <w:style w:type="paragraph" w:customStyle="1" w:styleId="FNRefeCharChar">
    <w:name w:val="FNRefe Char Char"/>
    <w:aliases w:val="BVI fnr Char Char, BVI fnr Char Char Char, BVI fnr Car Car Char Char Char,BVI fnr Car Char Char Char, BVI fnr Car Car Car Car Char Char Char Char Char,BVI fnr Car Car Char Char Char,BVI fnr Car Car Car Car Char Char Char Char Char"/>
    <w:basedOn w:val="Normal"/>
    <w:rsid w:val="001C2F95"/>
    <w:pPr>
      <w:spacing w:after="160" w:line="240" w:lineRule="exact"/>
      <w:jc w:val="left"/>
    </w:pPr>
    <w:rPr>
      <w:rFonts w:ascii="Calibri" w:eastAsia="Calibri" w:hAnsi="Calibri"/>
      <w:sz w:val="22"/>
      <w:vertAlign w:val="superscript"/>
      <w:lang w:eastAsia="en-US"/>
    </w:rPr>
  </w:style>
  <w:style w:type="paragraph" w:customStyle="1" w:styleId="Titre20">
    <w:name w:val="Titre2"/>
    <w:basedOn w:val="Titre2"/>
    <w:link w:val="Titre2Car0"/>
    <w:qFormat/>
    <w:rsid w:val="001C2F95"/>
    <w:pPr>
      <w:keepLines w:val="0"/>
      <w:tabs>
        <w:tab w:val="num" w:pos="5352"/>
      </w:tabs>
      <w:autoSpaceDE w:val="0"/>
      <w:autoSpaceDN w:val="0"/>
      <w:adjustRightInd w:val="0"/>
      <w:spacing w:line="240" w:lineRule="atLeast"/>
      <w:ind w:left="5352" w:hanging="390"/>
      <w:jc w:val="left"/>
    </w:pPr>
    <w:rPr>
      <w:rFonts w:ascii="Times New Roman" w:hAnsi="Times New Roman"/>
      <w:b/>
      <w:color w:val="000000"/>
      <w:sz w:val="24"/>
      <w:szCs w:val="20"/>
    </w:rPr>
  </w:style>
  <w:style w:type="character" w:customStyle="1" w:styleId="Titre2Car0">
    <w:name w:val="Titre2 Car"/>
    <w:link w:val="Titre20"/>
    <w:rsid w:val="001C2F95"/>
    <w:rPr>
      <w:rFonts w:ascii="Times New Roman" w:eastAsia="Times New Roman" w:hAnsi="Times New Roman" w:cs="Times New Roman"/>
      <w:b/>
      <w:bCs/>
      <w:color w:val="000000"/>
      <w:sz w:val="24"/>
      <w:szCs w:val="20"/>
      <w:lang w:eastAsia="fr-FR"/>
    </w:rPr>
  </w:style>
  <w:style w:type="paragraph" w:customStyle="1" w:styleId="WB-Numbered">
    <w:name w:val="WB - Numbered"/>
    <w:basedOn w:val="Normal"/>
    <w:qFormat/>
    <w:rsid w:val="001C2F95"/>
    <w:pPr>
      <w:numPr>
        <w:numId w:val="32"/>
      </w:numPr>
      <w:spacing w:after="180" w:line="240" w:lineRule="auto"/>
    </w:pPr>
    <w:rPr>
      <w:rFonts w:ascii="Garamond" w:hAnsi="Garamond"/>
      <w:sz w:val="24"/>
      <w:szCs w:val="20"/>
      <w:lang w:val="en-US" w:eastAsia="en-US"/>
    </w:rPr>
  </w:style>
  <w:style w:type="numbering" w:customStyle="1" w:styleId="ListHeadings">
    <w:name w:val="List Headings"/>
    <w:uiPriority w:val="99"/>
    <w:rsid w:val="001C2F95"/>
    <w:pPr>
      <w:numPr>
        <w:numId w:val="35"/>
      </w:numPr>
    </w:pPr>
  </w:style>
  <w:style w:type="paragraph" w:customStyle="1" w:styleId="oknormal">
    <w:name w:val="ok normal"/>
    <w:basedOn w:val="Normal"/>
    <w:link w:val="oknormalCar"/>
    <w:qFormat/>
    <w:rsid w:val="001C2F95"/>
    <w:rPr>
      <w:rFonts w:cs="Arial"/>
      <w:szCs w:val="21"/>
      <w:lang w:bidi="en-US"/>
    </w:rPr>
  </w:style>
  <w:style w:type="paragraph" w:customStyle="1" w:styleId="okpuce1">
    <w:name w:val="ok puce1"/>
    <w:basedOn w:val="oknormal"/>
    <w:link w:val="okpuce1Car"/>
    <w:qFormat/>
    <w:rsid w:val="001C2F95"/>
    <w:pPr>
      <w:numPr>
        <w:numId w:val="37"/>
      </w:numPr>
    </w:pPr>
  </w:style>
  <w:style w:type="character" w:customStyle="1" w:styleId="oknormalCar">
    <w:name w:val="ok normal Car"/>
    <w:link w:val="oknormal"/>
    <w:rsid w:val="001C2F95"/>
    <w:rPr>
      <w:rFonts w:ascii="Arial" w:eastAsia="Times New Roman" w:hAnsi="Arial" w:cs="Arial"/>
      <w:sz w:val="21"/>
      <w:szCs w:val="21"/>
      <w:lang w:eastAsia="fr-FR" w:bidi="en-US"/>
    </w:rPr>
  </w:style>
  <w:style w:type="paragraph" w:customStyle="1" w:styleId="okpuce2">
    <w:name w:val="ok puce2"/>
    <w:basedOn w:val="okpuce1"/>
    <w:qFormat/>
    <w:rsid w:val="001C2F95"/>
    <w:pPr>
      <w:numPr>
        <w:ilvl w:val="1"/>
      </w:numPr>
      <w:tabs>
        <w:tab w:val="num" w:pos="643"/>
      </w:tabs>
      <w:ind w:left="643"/>
    </w:pPr>
  </w:style>
  <w:style w:type="character" w:customStyle="1" w:styleId="okpuce1Car">
    <w:name w:val="ok puce1 Car"/>
    <w:link w:val="okpuce1"/>
    <w:rsid w:val="001C2F95"/>
    <w:rPr>
      <w:rFonts w:ascii="Arial" w:eastAsia="Times New Roman" w:hAnsi="Arial" w:cs="Arial"/>
      <w:sz w:val="21"/>
      <w:szCs w:val="21"/>
      <w:lang w:eastAsia="fr-FR" w:bidi="en-US"/>
    </w:rPr>
  </w:style>
  <w:style w:type="table" w:customStyle="1" w:styleId="TableNormal3">
    <w:name w:val="Table Normal3"/>
    <w:uiPriority w:val="2"/>
    <w:semiHidden/>
    <w:unhideWhenUsed/>
    <w:qFormat/>
    <w:rsid w:val="001C2F95"/>
    <w:pPr>
      <w:widowControl w:val="0"/>
      <w:autoSpaceDE w:val="0"/>
      <w:autoSpaceDN w:val="0"/>
    </w:pPr>
    <w:rPr>
      <w:sz w:val="22"/>
      <w:szCs w:val="22"/>
    </w:rPr>
    <w:tblPr>
      <w:tblInd w:w="0" w:type="dxa"/>
      <w:tblCellMar>
        <w:top w:w="0" w:type="dxa"/>
        <w:left w:w="0" w:type="dxa"/>
        <w:bottom w:w="0" w:type="dxa"/>
        <w:right w:w="0" w:type="dxa"/>
      </w:tblCellMar>
    </w:tblPr>
  </w:style>
  <w:style w:type="character" w:customStyle="1" w:styleId="ParagraphedelisteCar1">
    <w:name w:val="Paragraphe de liste Car1"/>
    <w:aliases w:val="Akapit z listą BS Car,Bullet L1 Car1,figure Car,Puces Car,I..1 Car1,I. Car1,liste Car,RM1 Car1,List Bullet Mary Car1,WB List Paragraph Car,Indent Paragraph Car,Paragraphe de liste2 Car,Liste couleur - Accent 11 Car,Titre 10 Car1"/>
    <w:uiPriority w:val="34"/>
    <w:qFormat/>
    <w:locked/>
    <w:rsid w:val="001C2F95"/>
    <w:rPr>
      <w:sz w:val="24"/>
      <w:szCs w:val="24"/>
      <w:lang w:val="fr-FR" w:eastAsia="fr-FR" w:bidi="fr-FR"/>
    </w:rPr>
  </w:style>
  <w:style w:type="table" w:customStyle="1" w:styleId="TableGrid1">
    <w:name w:val="Table Grid1"/>
    <w:basedOn w:val="TableauNormal"/>
    <w:next w:val="Grilledutableau"/>
    <w:uiPriority w:val="39"/>
    <w:rsid w:val="001C2F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1C2F95"/>
    <w:pPr>
      <w:widowControl w:val="0"/>
      <w:autoSpaceDE w:val="0"/>
      <w:autoSpaceDN w:val="0"/>
    </w:pPr>
    <w:rPr>
      <w:sz w:val="22"/>
      <w:szCs w:val="22"/>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1977A4"/>
    <w:pPr>
      <w:widowControl w:val="0"/>
      <w:autoSpaceDE w:val="0"/>
      <w:autoSpaceDN w:val="0"/>
    </w:pPr>
    <w:rPr>
      <w:sz w:val="22"/>
      <w:szCs w:val="22"/>
    </w:rPr>
    <w:tblPr>
      <w:tblInd w:w="0" w:type="dxa"/>
      <w:tblCellMar>
        <w:top w:w="0" w:type="dxa"/>
        <w:left w:w="0" w:type="dxa"/>
        <w:bottom w:w="0" w:type="dxa"/>
        <w:right w:w="0" w:type="dxa"/>
      </w:tblCellMar>
    </w:tblPr>
  </w:style>
  <w:style w:type="paragraph" w:customStyle="1" w:styleId="BVIfnrCarCarCarCarChar">
    <w:name w:val="BVI fnr Car Car Car Car Char"/>
    <w:basedOn w:val="Normal"/>
    <w:uiPriority w:val="99"/>
    <w:rsid w:val="008F3458"/>
    <w:pPr>
      <w:spacing w:before="120" w:after="160" w:line="240" w:lineRule="exact"/>
      <w:jc w:val="left"/>
    </w:pPr>
    <w:rPr>
      <w:rFonts w:ascii="Times New Roman" w:eastAsia="Calibri" w:hAnsi="Times New Roman"/>
      <w:sz w:val="24"/>
      <w:vertAlign w:val="superscript"/>
      <w:lang w:eastAsia="en-US"/>
    </w:rPr>
  </w:style>
  <w:style w:type="character" w:customStyle="1" w:styleId="Mentionnonrsolue1">
    <w:name w:val="Mention non résolue1"/>
    <w:uiPriority w:val="99"/>
    <w:semiHidden/>
    <w:unhideWhenUsed/>
    <w:rsid w:val="009B5CA1"/>
    <w:rPr>
      <w:color w:val="605E5C"/>
      <w:shd w:val="clear" w:color="auto" w:fill="E1DFDD"/>
    </w:rPr>
  </w:style>
  <w:style w:type="table" w:customStyle="1" w:styleId="TableGrid">
    <w:name w:val="TableGrid"/>
    <w:rsid w:val="00DD3424"/>
    <w:rPr>
      <w:rFonts w:eastAsia="Times New Roman"/>
      <w:sz w:val="22"/>
      <w:szCs w:val="22"/>
      <w:lang w:val="fr-FR" w:eastAsia="fr-FR"/>
    </w:rPr>
    <w:tblPr>
      <w:tblCellMar>
        <w:top w:w="0" w:type="dxa"/>
        <w:left w:w="0" w:type="dxa"/>
        <w:bottom w:w="0" w:type="dxa"/>
        <w:right w:w="0" w:type="dxa"/>
      </w:tblCellMar>
    </w:tblPr>
  </w:style>
  <w:style w:type="paragraph" w:customStyle="1" w:styleId="TableauPuce1">
    <w:name w:val="Tableau Puce 1"/>
    <w:basedOn w:val="Normal"/>
    <w:qFormat/>
    <w:rsid w:val="00D20A53"/>
    <w:pPr>
      <w:numPr>
        <w:numId w:val="139"/>
      </w:numPr>
      <w:spacing w:line="240" w:lineRule="auto"/>
      <w:ind w:left="454" w:right="113" w:hanging="227"/>
      <w:jc w:val="left"/>
    </w:pPr>
    <w:rPr>
      <w:rFonts w:ascii="Calibri" w:eastAsia="Calibri" w:hAnsi="Calibri"/>
      <w:sz w:val="22"/>
    </w:rPr>
  </w:style>
  <w:style w:type="paragraph" w:styleId="Listenumros">
    <w:name w:val="List Number"/>
    <w:basedOn w:val="Normal"/>
    <w:uiPriority w:val="99"/>
    <w:semiHidden/>
    <w:unhideWhenUsed/>
    <w:rsid w:val="00E800E3"/>
    <w:pPr>
      <w:widowControl w:val="0"/>
      <w:numPr>
        <w:numId w:val="140"/>
      </w:numPr>
      <w:spacing w:line="240" w:lineRule="auto"/>
      <w:contextualSpacing/>
      <w:jc w:val="left"/>
    </w:pPr>
    <w:rPr>
      <w:rFonts w:ascii="Tahoma" w:eastAsia="Calibri" w:hAnsi="Tahoma"/>
      <w:sz w:val="24"/>
      <w:szCs w:val="24"/>
      <w:lang w:eastAsia="en-US"/>
    </w:rPr>
  </w:style>
  <w:style w:type="character" w:customStyle="1" w:styleId="Mentionnonrsolue2">
    <w:name w:val="Mention non résolue2"/>
    <w:uiPriority w:val="99"/>
    <w:unhideWhenUsed/>
    <w:rsid w:val="00E800E3"/>
    <w:rPr>
      <w:color w:val="808080"/>
      <w:shd w:val="clear" w:color="auto" w:fill="E6E6E6"/>
    </w:rPr>
  </w:style>
  <w:style w:type="numbering" w:customStyle="1" w:styleId="Aucuneliste1">
    <w:name w:val="Aucune liste1"/>
    <w:next w:val="Aucuneliste"/>
    <w:uiPriority w:val="99"/>
    <w:semiHidden/>
    <w:unhideWhenUsed/>
    <w:rsid w:val="00E800E3"/>
  </w:style>
  <w:style w:type="character" w:customStyle="1" w:styleId="TextedebullesCar1">
    <w:name w:val="Texte de bulles Car1"/>
    <w:uiPriority w:val="99"/>
    <w:semiHidden/>
    <w:rsid w:val="00E800E3"/>
    <w:rPr>
      <w:rFonts w:ascii="Times New Roman" w:eastAsia="Calibri" w:hAnsi="Times New Roman" w:cs="Times New Roman"/>
      <w:position w:val="-1"/>
      <w:sz w:val="18"/>
      <w:szCs w:val="18"/>
      <w:lang w:eastAsia="fr-FR"/>
    </w:rPr>
  </w:style>
  <w:style w:type="paragraph" w:customStyle="1" w:styleId="Tabletext0">
    <w:name w:val="Table text"/>
    <w:basedOn w:val="Normal"/>
    <w:qFormat/>
    <w:rsid w:val="00E800E3"/>
    <w:pPr>
      <w:widowControl w:val="0"/>
      <w:autoSpaceDE w:val="0"/>
      <w:autoSpaceDN w:val="0"/>
      <w:spacing w:line="240" w:lineRule="auto"/>
      <w:jc w:val="left"/>
    </w:pPr>
    <w:rPr>
      <w:rFonts w:ascii="Times New Roman" w:eastAsia="Arial" w:hAnsi="Times New Roman" w:cs="Calibri"/>
      <w:w w:val="105"/>
      <w:sz w:val="20"/>
      <w:szCs w:val="10"/>
      <w:lang w:eastAsia="en-US"/>
    </w:rPr>
  </w:style>
  <w:style w:type="numbering" w:customStyle="1" w:styleId="Aucuneliste11">
    <w:name w:val="Aucune liste11"/>
    <w:next w:val="Aucuneliste"/>
    <w:unhideWhenUsed/>
    <w:qFormat/>
    <w:rsid w:val="00E800E3"/>
  </w:style>
  <w:style w:type="table" w:customStyle="1" w:styleId="Sofreco">
    <w:name w:val="Sofreco"/>
    <w:basedOn w:val="TableauNormal"/>
    <w:qFormat/>
    <w:rsid w:val="00E800E3"/>
    <w:pPr>
      <w:ind w:left="1814"/>
    </w:pPr>
    <w:rPr>
      <w:rFonts w:ascii="Arial" w:eastAsia="Times New Roman" w:hAnsi="Arial"/>
      <w:sz w:val="18"/>
      <w:lang w:eastAsia="fr-FR"/>
    </w:rPr>
    <w:tblPr>
      <w:tblStyleRowBandSize w:val="1"/>
      <w:tblInd w:w="1701" w:type="dxa"/>
      <w:tblBorders>
        <w:insideH w:val="single" w:sz="4" w:space="0" w:color="4F81BD"/>
        <w:insideV w:val="single" w:sz="4" w:space="0" w:color="4F81BD"/>
      </w:tblBorders>
      <w:tblCellMar>
        <w:top w:w="0" w:type="dxa"/>
        <w:left w:w="28" w:type="dxa"/>
        <w:bottom w:w="0" w:type="dxa"/>
        <w:right w:w="28" w:type="dxa"/>
      </w:tblCellMar>
    </w:tblPr>
    <w:tcPr>
      <w:shd w:val="clear" w:color="auto" w:fill="FFFFFF"/>
    </w:tcPr>
    <w:tblStylePr w:type="firstRow">
      <w:pPr>
        <w:jc w:val="center"/>
      </w:pPr>
      <w:rPr>
        <w:rFonts w:ascii="System" w:hAnsi="System"/>
        <w:b/>
        <w:i/>
        <w:caps w:val="0"/>
        <w:smallCaps w:val="0"/>
        <w:strike w:val="0"/>
        <w:dstrike w:val="0"/>
        <w:vanish w:val="0"/>
        <w:color w:val="FFFFFF"/>
        <w:sz w:val="18"/>
        <w:vertAlign w:val="baseline"/>
      </w:rPr>
      <w:tblPr/>
      <w:tcPr>
        <w:tcBorders>
          <w:top w:val="single" w:sz="4" w:space="0" w:color="4F81BD"/>
          <w:left w:val="single" w:sz="4" w:space="0" w:color="4F81BD"/>
          <w:bottom w:val="single" w:sz="4" w:space="0" w:color="4F81BD"/>
          <w:right w:val="single" w:sz="4" w:space="0" w:color="4F81BD"/>
          <w:insideH w:val="single" w:sz="4" w:space="0" w:color="4F81BD"/>
          <w:insideV w:val="single" w:sz="4" w:space="0" w:color="FFFFFF"/>
        </w:tcBorders>
        <w:shd w:val="clear" w:color="auto" w:fill="4F81BD"/>
      </w:tcPr>
    </w:tblStylePr>
    <w:tblStylePr w:type="band1Horz">
      <w:rPr>
        <w:rFonts w:ascii="Arial" w:hAnsi="Arial"/>
        <w:color w:val="auto"/>
        <w:sz w:val="18"/>
      </w:rPr>
      <w:tblPr/>
      <w:tcPr>
        <w:tcBorders>
          <w:top w:val="single" w:sz="4" w:space="0" w:color="4F81BD"/>
          <w:left w:val="single" w:sz="4" w:space="0" w:color="4F81BD"/>
          <w:bottom w:val="single" w:sz="4" w:space="0" w:color="4F81BD"/>
          <w:right w:val="single" w:sz="4" w:space="0" w:color="4F81BD"/>
          <w:insideH w:val="single" w:sz="4" w:space="0" w:color="4F81BD"/>
          <w:insideV w:val="single" w:sz="4" w:space="0" w:color="4F81BD"/>
        </w:tcBorders>
        <w:shd w:val="clear" w:color="auto" w:fill="DCE6F1"/>
      </w:tcPr>
    </w:tblStylePr>
    <w:tblStylePr w:type="band2Horz">
      <w:tblPr/>
      <w:tcPr>
        <w:tcBorders>
          <w:top w:val="single" w:sz="4" w:space="0" w:color="4F81BD"/>
          <w:left w:val="single" w:sz="4" w:space="0" w:color="4F81BD"/>
          <w:bottom w:val="single" w:sz="4" w:space="0" w:color="4F81BD"/>
          <w:right w:val="single" w:sz="4" w:space="0" w:color="4F81BD"/>
          <w:insideH w:val="single" w:sz="4" w:space="0" w:color="4F81BD"/>
          <w:insideV w:val="single" w:sz="4" w:space="0" w:color="4F81BD"/>
        </w:tcBorders>
      </w:tcPr>
    </w:tblStylePr>
  </w:style>
  <w:style w:type="character" w:customStyle="1" w:styleId="Grillecouleur-Accent1Car">
    <w:name w:val="Grille couleur - Accent 1 Car"/>
    <w:link w:val="Grillecouleur-Accent1"/>
    <w:semiHidden/>
    <w:rsid w:val="00E800E3"/>
    <w:rPr>
      <w:rFonts w:ascii="Arial" w:hAnsi="Arial"/>
      <w:i/>
      <w:color w:val="000000"/>
      <w:sz w:val="20"/>
    </w:rPr>
  </w:style>
  <w:style w:type="paragraph" w:styleId="Liste">
    <w:name w:val="List"/>
    <w:basedOn w:val="Normal"/>
    <w:uiPriority w:val="99"/>
    <w:semiHidden/>
    <w:rsid w:val="00E800E3"/>
    <w:pPr>
      <w:suppressAutoHyphens/>
      <w:spacing w:before="120" w:line="312" w:lineRule="auto"/>
      <w:ind w:leftChars="-1" w:left="6024" w:hangingChars="1" w:hanging="360"/>
      <w:jc w:val="left"/>
      <w:textDirection w:val="btLr"/>
      <w:textAlignment w:val="top"/>
      <w:outlineLvl w:val="0"/>
    </w:pPr>
    <w:rPr>
      <w:rFonts w:ascii="Arial Narrow" w:eastAsia="Calibri" w:hAnsi="Arial Narrow" w:cs="Calibri"/>
      <w:position w:val="-1"/>
      <w:sz w:val="24"/>
      <w:szCs w:val="24"/>
    </w:rPr>
  </w:style>
  <w:style w:type="table" w:customStyle="1" w:styleId="Listeclaire-Accent11">
    <w:name w:val="Liste claire - Accent 11"/>
    <w:basedOn w:val="TableauNormal"/>
    <w:rsid w:val="00E800E3"/>
    <w:rPr>
      <w:rFonts w:eastAsia="Times New Roman"/>
      <w:lang w:eastAsia="fr-F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Grilleclaire-Accent11">
    <w:name w:val="Grille claire - Accent 11"/>
    <w:basedOn w:val="TableauNormal"/>
    <w:rsid w:val="00E800E3"/>
    <w:rPr>
      <w:lang w:eastAsia="fr-F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System" w:eastAsia="MS Gothic" w:hAnsi="System"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ystem" w:eastAsia="MS Gothic" w:hAnsi="System"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stem" w:eastAsia="MS Gothic" w:hAnsi="System" w:cs="Times New Roman"/>
        <w:b/>
        <w:bCs/>
      </w:rPr>
    </w:tblStylePr>
    <w:tblStylePr w:type="lastCol">
      <w:rPr>
        <w:rFonts w:ascii="System" w:eastAsia="MS Gothic" w:hAnsi="System"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Trameclaire-Accent2Car">
    <w:name w:val="Trame claire - Accent 2 Car"/>
    <w:link w:val="Trameclaire-Accent2"/>
    <w:semiHidden/>
    <w:rsid w:val="00E800E3"/>
    <w:rPr>
      <w:rFonts w:ascii="Andalus" w:hAnsi="Andalus"/>
      <w:b/>
      <w:bCs/>
      <w:i/>
      <w:iCs/>
      <w:color w:val="4F81BD"/>
    </w:rPr>
  </w:style>
  <w:style w:type="paragraph" w:styleId="Explorateurdedocuments">
    <w:name w:val="Document Map"/>
    <w:basedOn w:val="Normal"/>
    <w:link w:val="ExplorateurdedocumentsCar"/>
    <w:uiPriority w:val="99"/>
    <w:semiHidden/>
    <w:unhideWhenUsed/>
    <w:rsid w:val="00E800E3"/>
    <w:pPr>
      <w:suppressAutoHyphens/>
      <w:spacing w:before="120" w:after="120" w:line="1" w:lineRule="atLeast"/>
      <w:ind w:leftChars="-1" w:left="-1" w:hangingChars="1" w:hanging="1"/>
      <w:textDirection w:val="btLr"/>
      <w:textAlignment w:val="top"/>
      <w:outlineLvl w:val="0"/>
    </w:pPr>
    <w:rPr>
      <w:rFonts w:ascii="Tahoma" w:eastAsia="Calibri" w:hAnsi="Tahoma" w:cs="Tahoma"/>
      <w:position w:val="-1"/>
      <w:sz w:val="16"/>
      <w:szCs w:val="16"/>
      <w:lang w:eastAsia="en-US"/>
    </w:rPr>
  </w:style>
  <w:style w:type="character" w:customStyle="1" w:styleId="ExplorateurdedocumentsCar">
    <w:name w:val="Explorateur de documents Car"/>
    <w:link w:val="Explorateurdedocuments"/>
    <w:uiPriority w:val="99"/>
    <w:semiHidden/>
    <w:rsid w:val="00E800E3"/>
    <w:rPr>
      <w:rFonts w:ascii="Tahoma" w:eastAsia="Calibri" w:hAnsi="Tahoma" w:cs="Tahoma"/>
      <w:position w:val="-1"/>
      <w:sz w:val="16"/>
      <w:szCs w:val="16"/>
    </w:rPr>
  </w:style>
  <w:style w:type="numbering" w:customStyle="1" w:styleId="Aucuneliste111">
    <w:name w:val="Aucune liste111"/>
    <w:next w:val="Aucuneliste"/>
    <w:unhideWhenUsed/>
    <w:qFormat/>
    <w:rsid w:val="00E800E3"/>
  </w:style>
  <w:style w:type="table" w:customStyle="1" w:styleId="Sofreco1">
    <w:name w:val="Sofreco1"/>
    <w:basedOn w:val="TableauNormal"/>
    <w:qFormat/>
    <w:rsid w:val="00E800E3"/>
    <w:pPr>
      <w:ind w:left="1814"/>
    </w:pPr>
    <w:rPr>
      <w:rFonts w:ascii="Arial" w:eastAsia="Times New Roman" w:hAnsi="Arial"/>
      <w:sz w:val="18"/>
      <w:lang w:eastAsia="fr-FR"/>
    </w:rPr>
    <w:tblPr>
      <w:tblStyleRowBandSize w:val="1"/>
      <w:tblInd w:w="1701" w:type="dxa"/>
      <w:tblBorders>
        <w:insideH w:val="single" w:sz="4" w:space="0" w:color="4F81BD"/>
        <w:insideV w:val="single" w:sz="4" w:space="0" w:color="4F81BD"/>
      </w:tblBorders>
      <w:tblCellMar>
        <w:top w:w="0" w:type="dxa"/>
        <w:left w:w="28" w:type="dxa"/>
        <w:bottom w:w="0" w:type="dxa"/>
        <w:right w:w="28" w:type="dxa"/>
      </w:tblCellMar>
    </w:tblPr>
    <w:tcPr>
      <w:shd w:val="clear" w:color="auto" w:fill="FFFFFF"/>
    </w:tcPr>
    <w:tblStylePr w:type="firstRow">
      <w:pPr>
        <w:jc w:val="center"/>
      </w:pPr>
      <w:rPr>
        <w:rFonts w:ascii="System" w:hAnsi="System"/>
        <w:b/>
        <w:i/>
        <w:caps w:val="0"/>
        <w:smallCaps w:val="0"/>
        <w:strike w:val="0"/>
        <w:dstrike w:val="0"/>
        <w:vanish w:val="0"/>
        <w:color w:val="FFFFFF"/>
        <w:sz w:val="18"/>
        <w:vertAlign w:val="baseline"/>
      </w:rPr>
      <w:tblPr/>
      <w:tcPr>
        <w:tcBorders>
          <w:top w:val="single" w:sz="4" w:space="0" w:color="4F81BD"/>
          <w:left w:val="single" w:sz="4" w:space="0" w:color="4F81BD"/>
          <w:bottom w:val="single" w:sz="4" w:space="0" w:color="4F81BD"/>
          <w:right w:val="single" w:sz="4" w:space="0" w:color="4F81BD"/>
          <w:insideH w:val="single" w:sz="4" w:space="0" w:color="4F81BD"/>
          <w:insideV w:val="single" w:sz="4" w:space="0" w:color="FFFFFF"/>
        </w:tcBorders>
        <w:shd w:val="clear" w:color="auto" w:fill="4F81BD"/>
      </w:tcPr>
    </w:tblStylePr>
    <w:tblStylePr w:type="band1Horz">
      <w:rPr>
        <w:rFonts w:ascii="Arial" w:hAnsi="Arial"/>
        <w:color w:val="auto"/>
        <w:sz w:val="18"/>
      </w:rPr>
      <w:tblPr/>
      <w:tcPr>
        <w:tcBorders>
          <w:top w:val="single" w:sz="4" w:space="0" w:color="4F81BD"/>
          <w:left w:val="single" w:sz="4" w:space="0" w:color="4F81BD"/>
          <w:bottom w:val="single" w:sz="4" w:space="0" w:color="4F81BD"/>
          <w:right w:val="single" w:sz="4" w:space="0" w:color="4F81BD"/>
          <w:insideH w:val="single" w:sz="4" w:space="0" w:color="4F81BD"/>
          <w:insideV w:val="single" w:sz="4" w:space="0" w:color="4F81BD"/>
        </w:tcBorders>
        <w:shd w:val="clear" w:color="auto" w:fill="DCE6F1"/>
      </w:tcPr>
    </w:tblStylePr>
    <w:tblStylePr w:type="band2Horz">
      <w:tblPr/>
      <w:tcPr>
        <w:tcBorders>
          <w:top w:val="single" w:sz="4" w:space="0" w:color="4F81BD"/>
          <w:left w:val="single" w:sz="4" w:space="0" w:color="4F81BD"/>
          <w:bottom w:val="single" w:sz="4" w:space="0" w:color="4F81BD"/>
          <w:right w:val="single" w:sz="4" w:space="0" w:color="4F81BD"/>
          <w:insideH w:val="single" w:sz="4" w:space="0" w:color="4F81BD"/>
          <w:insideV w:val="single" w:sz="4" w:space="0" w:color="4F81BD"/>
        </w:tcBorders>
      </w:tcPr>
    </w:tblStylePr>
  </w:style>
  <w:style w:type="table" w:customStyle="1" w:styleId="Grilledutableau1">
    <w:name w:val="Grille du tableau1"/>
    <w:basedOn w:val="TableauNormal"/>
    <w:next w:val="Grilledutableau"/>
    <w:rsid w:val="00E800E3"/>
    <w:rPr>
      <w:rFonts w:eastAsia="Times New Roman"/>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claire-Accent111">
    <w:name w:val="Liste claire - Accent 111"/>
    <w:basedOn w:val="TableauNormal"/>
    <w:rsid w:val="00E800E3"/>
    <w:rPr>
      <w:rFonts w:eastAsia="Times New Roman"/>
      <w:lang w:eastAsia="fr-F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Grilleclaire-Accent111">
    <w:name w:val="Grille claire - Accent 111"/>
    <w:basedOn w:val="TableauNormal"/>
    <w:rsid w:val="00E800E3"/>
    <w:rPr>
      <w:lang w:eastAsia="fr-F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System" w:eastAsia="MS Gothic" w:hAnsi="System"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ystem" w:eastAsia="MS Gothic" w:hAnsi="System"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stem" w:eastAsia="MS Gothic" w:hAnsi="System" w:cs="Times New Roman"/>
        <w:b/>
        <w:bCs/>
      </w:rPr>
    </w:tblStylePr>
    <w:tblStylePr w:type="lastCol">
      <w:rPr>
        <w:rFonts w:ascii="System" w:eastAsia="MS Gothic" w:hAnsi="System"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ramecouleur-Accent11">
    <w:name w:val="Trame couleur - Accent 11"/>
    <w:hidden/>
    <w:rsid w:val="00E800E3"/>
    <w:pPr>
      <w:spacing w:before="120" w:after="120"/>
    </w:pPr>
    <w:rPr>
      <w:rFonts w:ascii="Arial" w:hAnsi="Arial" w:cs="Calibri"/>
      <w:szCs w:val="22"/>
      <w:lang w:val="fr-FR"/>
    </w:rPr>
  </w:style>
  <w:style w:type="table" w:customStyle="1" w:styleId="PlainTable51">
    <w:name w:val="Plain Table 51"/>
    <w:basedOn w:val="TableauNormal"/>
    <w:rsid w:val="00E800E3"/>
    <w:rPr>
      <w:lang w:eastAsia="fr-FR"/>
    </w:rPr>
    <w:tblPr>
      <w:tblStyleRowBandSize w:val="1"/>
      <w:tblStyleColBandSize w:val="1"/>
      <w:tblInd w:w="0" w:type="dxa"/>
      <w:tblCellMar>
        <w:top w:w="0" w:type="dxa"/>
        <w:left w:w="108" w:type="dxa"/>
        <w:bottom w:w="0" w:type="dxa"/>
        <w:right w:w="108" w:type="dxa"/>
      </w:tblCellMar>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moyenne21">
    <w:name w:val="Liste moyenne 21"/>
    <w:basedOn w:val="TableauNormal"/>
    <w:uiPriority w:val="66"/>
    <w:rsid w:val="00E800E3"/>
    <w:rPr>
      <w:rFonts w:ascii="Cambria" w:eastAsia="Times New Roman" w:hAnsi="Cambria"/>
      <w:color w:val="000000"/>
      <w:lang w:eastAsia="fr-F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Listemoyenne2-Accent1">
    <w:name w:val="Medium List 2 Accent 1"/>
    <w:basedOn w:val="TableauNormal"/>
    <w:uiPriority w:val="66"/>
    <w:rsid w:val="00E800E3"/>
    <w:rPr>
      <w:rFonts w:ascii="Cambria" w:eastAsia="Times New Roman" w:hAnsi="Cambria"/>
      <w:color w:val="000000"/>
      <w:lang w:eastAsia="fr-F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Listemoyenne2-Accent2">
    <w:name w:val="Medium List 2 Accent 2"/>
    <w:basedOn w:val="TableauNormal"/>
    <w:uiPriority w:val="66"/>
    <w:rsid w:val="00E800E3"/>
    <w:rPr>
      <w:rFonts w:ascii="Cambria" w:eastAsia="Times New Roman" w:hAnsi="Cambria"/>
      <w:color w:val="000000"/>
      <w:lang w:eastAsia="fr-F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Listemoyenne2-Accent3">
    <w:name w:val="Medium List 2 Accent 3"/>
    <w:basedOn w:val="TableauNormal"/>
    <w:uiPriority w:val="66"/>
    <w:rsid w:val="00E800E3"/>
    <w:rPr>
      <w:rFonts w:ascii="Cambria" w:eastAsia="Times New Roman" w:hAnsi="Cambria"/>
      <w:color w:val="000000"/>
      <w:lang w:eastAsia="fr-F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Listemoyenne2-Accent5">
    <w:name w:val="Medium List 2 Accent 5"/>
    <w:basedOn w:val="TableauNormal"/>
    <w:uiPriority w:val="66"/>
    <w:rsid w:val="00E800E3"/>
    <w:rPr>
      <w:rFonts w:ascii="Cambria" w:eastAsia="Times New Roman" w:hAnsi="Cambria"/>
      <w:color w:val="000000"/>
      <w:lang w:eastAsia="fr-F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ableGrid10">
    <w:name w:val="TableGrid1"/>
    <w:rsid w:val="00E800E3"/>
    <w:pPr>
      <w:spacing w:before="120" w:after="120"/>
    </w:pPr>
    <w:rPr>
      <w:rFonts w:eastAsia="Times New Roman"/>
      <w:sz w:val="22"/>
      <w:szCs w:val="22"/>
      <w:lang w:val="fr-FR" w:eastAsia="fr-FR"/>
    </w:rPr>
    <w:tblPr>
      <w:tblCellMar>
        <w:top w:w="0" w:type="dxa"/>
        <w:left w:w="0" w:type="dxa"/>
        <w:bottom w:w="0" w:type="dxa"/>
        <w:right w:w="0" w:type="dxa"/>
      </w:tblCellMar>
    </w:tblPr>
  </w:style>
  <w:style w:type="paragraph" w:customStyle="1" w:styleId="Tramecouleur-Accent12">
    <w:name w:val="Trame couleur - Accent 12"/>
    <w:hidden/>
    <w:rsid w:val="00E800E3"/>
    <w:pPr>
      <w:spacing w:before="120" w:after="120"/>
    </w:pPr>
    <w:rPr>
      <w:rFonts w:ascii="Arial" w:hAnsi="Arial" w:cs="Calibri"/>
      <w:szCs w:val="22"/>
      <w:lang w:val="fr-FR"/>
    </w:rPr>
  </w:style>
  <w:style w:type="table" w:customStyle="1" w:styleId="Trameclaire-Accent11">
    <w:name w:val="Trame claire - Accent 11"/>
    <w:basedOn w:val="TableauNormal"/>
    <w:uiPriority w:val="60"/>
    <w:rsid w:val="00E800E3"/>
    <w:rPr>
      <w:color w:val="2E74B5"/>
      <w:lang w:eastAsia="fr-FR"/>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Grilledutableau2">
    <w:name w:val="Grille du tableau2"/>
    <w:basedOn w:val="TableauNormal"/>
    <w:next w:val="Grilledutableau"/>
    <w:rsid w:val="00E800E3"/>
    <w:rPr>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11">
    <w:name w:val="Grille du tableau11"/>
    <w:basedOn w:val="TableauNormal"/>
    <w:next w:val="Grilledutableau"/>
    <w:rsid w:val="00E800E3"/>
    <w:rPr>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21">
    <w:name w:val="Grille du tableau21"/>
    <w:basedOn w:val="TableauNormal"/>
    <w:next w:val="Grilledutableau"/>
    <w:rsid w:val="00E800E3"/>
    <w:rPr>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12">
    <w:name w:val="Grille du tableau12"/>
    <w:basedOn w:val="TableauNormal"/>
    <w:next w:val="Grilledutableau"/>
    <w:rsid w:val="00E800E3"/>
    <w:rPr>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3">
    <w:name w:val="List 3"/>
    <w:basedOn w:val="Normal"/>
    <w:uiPriority w:val="99"/>
    <w:semiHidden/>
    <w:unhideWhenUsed/>
    <w:rsid w:val="00E800E3"/>
    <w:pPr>
      <w:suppressAutoHyphens/>
      <w:spacing w:after="200"/>
      <w:ind w:leftChars="-1" w:left="849" w:hangingChars="1" w:hanging="283"/>
      <w:contextualSpacing/>
      <w:textDirection w:val="btLr"/>
      <w:textAlignment w:val="top"/>
      <w:outlineLvl w:val="0"/>
    </w:pPr>
    <w:rPr>
      <w:rFonts w:ascii="Garamond" w:eastAsia="Calibri" w:hAnsi="Garamond" w:cs="Calibri"/>
      <w:position w:val="-1"/>
      <w:sz w:val="22"/>
      <w:lang w:eastAsia="en-US"/>
    </w:rPr>
  </w:style>
  <w:style w:type="paragraph" w:styleId="Liste4">
    <w:name w:val="List 4"/>
    <w:basedOn w:val="Normal"/>
    <w:uiPriority w:val="99"/>
    <w:semiHidden/>
    <w:unhideWhenUsed/>
    <w:rsid w:val="00E800E3"/>
    <w:pPr>
      <w:suppressAutoHyphens/>
      <w:spacing w:after="200"/>
      <w:ind w:leftChars="-1" w:left="1132" w:hangingChars="1" w:hanging="283"/>
      <w:contextualSpacing/>
      <w:textDirection w:val="btLr"/>
      <w:textAlignment w:val="top"/>
      <w:outlineLvl w:val="0"/>
    </w:pPr>
    <w:rPr>
      <w:rFonts w:ascii="Garamond" w:eastAsia="Calibri" w:hAnsi="Garamond" w:cs="Calibri"/>
      <w:position w:val="-1"/>
      <w:sz w:val="22"/>
      <w:lang w:eastAsia="en-US"/>
    </w:rPr>
  </w:style>
  <w:style w:type="paragraph" w:styleId="Listecontinue">
    <w:name w:val="List Continue"/>
    <w:basedOn w:val="Normal"/>
    <w:uiPriority w:val="99"/>
    <w:semiHidden/>
    <w:unhideWhenUsed/>
    <w:rsid w:val="00E800E3"/>
    <w:pPr>
      <w:suppressAutoHyphens/>
      <w:spacing w:after="120"/>
      <w:ind w:leftChars="-1" w:left="283" w:hangingChars="1" w:hanging="1"/>
      <w:contextualSpacing/>
      <w:textDirection w:val="btLr"/>
      <w:textAlignment w:val="top"/>
      <w:outlineLvl w:val="0"/>
    </w:pPr>
    <w:rPr>
      <w:rFonts w:ascii="Garamond" w:eastAsia="Calibri" w:hAnsi="Garamond" w:cs="Calibri"/>
      <w:position w:val="-1"/>
      <w:sz w:val="22"/>
      <w:lang w:eastAsia="en-US"/>
    </w:rPr>
  </w:style>
  <w:style w:type="paragraph" w:styleId="Listecontinue2">
    <w:name w:val="List Continue 2"/>
    <w:basedOn w:val="Normal"/>
    <w:uiPriority w:val="99"/>
    <w:semiHidden/>
    <w:unhideWhenUsed/>
    <w:rsid w:val="00E800E3"/>
    <w:pPr>
      <w:suppressAutoHyphens/>
      <w:spacing w:after="120"/>
      <w:ind w:leftChars="-1" w:left="566" w:hangingChars="1" w:hanging="1"/>
      <w:contextualSpacing/>
      <w:textDirection w:val="btLr"/>
      <w:textAlignment w:val="top"/>
      <w:outlineLvl w:val="0"/>
    </w:pPr>
    <w:rPr>
      <w:rFonts w:ascii="Garamond" w:eastAsia="Calibri" w:hAnsi="Garamond" w:cs="Calibri"/>
      <w:position w:val="-1"/>
      <w:sz w:val="22"/>
      <w:lang w:eastAsia="en-US"/>
    </w:rPr>
  </w:style>
  <w:style w:type="paragraph" w:styleId="Listecontinue3">
    <w:name w:val="List Continue 3"/>
    <w:basedOn w:val="Normal"/>
    <w:uiPriority w:val="99"/>
    <w:semiHidden/>
    <w:unhideWhenUsed/>
    <w:rsid w:val="00E800E3"/>
    <w:pPr>
      <w:suppressAutoHyphens/>
      <w:spacing w:after="120"/>
      <w:ind w:leftChars="-1" w:left="849" w:hangingChars="1" w:hanging="1"/>
      <w:contextualSpacing/>
      <w:textDirection w:val="btLr"/>
      <w:textAlignment w:val="top"/>
      <w:outlineLvl w:val="0"/>
    </w:pPr>
    <w:rPr>
      <w:rFonts w:ascii="Garamond" w:eastAsia="Calibri" w:hAnsi="Garamond" w:cs="Calibri"/>
      <w:position w:val="-1"/>
      <w:sz w:val="22"/>
      <w:lang w:eastAsia="en-US"/>
    </w:rPr>
  </w:style>
  <w:style w:type="paragraph" w:styleId="Listecontinue4">
    <w:name w:val="List Continue 4"/>
    <w:basedOn w:val="Normal"/>
    <w:uiPriority w:val="99"/>
    <w:semiHidden/>
    <w:unhideWhenUsed/>
    <w:rsid w:val="00E800E3"/>
    <w:pPr>
      <w:suppressAutoHyphens/>
      <w:spacing w:after="120"/>
      <w:ind w:leftChars="-1" w:left="1132" w:hangingChars="1" w:hanging="1"/>
      <w:contextualSpacing/>
      <w:textDirection w:val="btLr"/>
      <w:textAlignment w:val="top"/>
      <w:outlineLvl w:val="0"/>
    </w:pPr>
    <w:rPr>
      <w:rFonts w:ascii="Garamond" w:eastAsia="Calibri" w:hAnsi="Garamond" w:cs="Calibri"/>
      <w:position w:val="-1"/>
      <w:sz w:val="22"/>
      <w:lang w:eastAsia="en-US"/>
    </w:rPr>
  </w:style>
  <w:style w:type="paragraph" w:styleId="Listecontinue5">
    <w:name w:val="List Continue 5"/>
    <w:basedOn w:val="Normal"/>
    <w:uiPriority w:val="99"/>
    <w:semiHidden/>
    <w:unhideWhenUsed/>
    <w:rsid w:val="00E800E3"/>
    <w:pPr>
      <w:suppressAutoHyphens/>
      <w:spacing w:after="120"/>
      <w:ind w:leftChars="-1" w:left="1415" w:hangingChars="1" w:hanging="1"/>
      <w:contextualSpacing/>
      <w:textDirection w:val="btLr"/>
      <w:textAlignment w:val="top"/>
      <w:outlineLvl w:val="0"/>
    </w:pPr>
    <w:rPr>
      <w:rFonts w:ascii="Garamond" w:eastAsia="Calibri" w:hAnsi="Garamond" w:cs="Calibri"/>
      <w:position w:val="-1"/>
      <w:sz w:val="22"/>
      <w:lang w:eastAsia="en-US"/>
    </w:rPr>
  </w:style>
  <w:style w:type="paragraph" w:styleId="Signaturelectronique">
    <w:name w:val="E-mail Signature"/>
    <w:basedOn w:val="Normal"/>
    <w:link w:val="SignaturelectroniqueCar"/>
    <w:uiPriority w:val="99"/>
    <w:semiHidden/>
    <w:unhideWhenUsed/>
    <w:rsid w:val="00E800E3"/>
    <w:pPr>
      <w:suppressAutoHyphens/>
      <w:spacing w:line="1" w:lineRule="atLeast"/>
      <w:ind w:leftChars="-1" w:left="-1" w:hangingChars="1" w:hanging="1"/>
      <w:textDirection w:val="btLr"/>
      <w:textAlignment w:val="top"/>
      <w:outlineLvl w:val="0"/>
    </w:pPr>
    <w:rPr>
      <w:rFonts w:ascii="Garamond" w:eastAsia="Calibri" w:hAnsi="Garamond" w:cs="Calibri"/>
      <w:position w:val="-1"/>
      <w:sz w:val="22"/>
      <w:lang w:eastAsia="en-US"/>
    </w:rPr>
  </w:style>
  <w:style w:type="character" w:customStyle="1" w:styleId="SignaturelectroniqueCar">
    <w:name w:val="Signature électronique Car"/>
    <w:link w:val="Signaturelectronique"/>
    <w:uiPriority w:val="99"/>
    <w:semiHidden/>
    <w:rsid w:val="00E800E3"/>
    <w:rPr>
      <w:rFonts w:ascii="Garamond" w:eastAsia="Calibri" w:hAnsi="Garamond" w:cs="Calibri"/>
      <w:position w:val="-1"/>
    </w:rPr>
  </w:style>
  <w:style w:type="paragraph" w:styleId="Salutations">
    <w:name w:val="Salutation"/>
    <w:basedOn w:val="Normal"/>
    <w:next w:val="Normal"/>
    <w:link w:val="SalutationsCar"/>
    <w:uiPriority w:val="99"/>
    <w:semiHidden/>
    <w:unhideWhenUsed/>
    <w:rsid w:val="00E800E3"/>
    <w:pPr>
      <w:suppressAutoHyphens/>
      <w:spacing w:after="200"/>
      <w:ind w:leftChars="-1" w:left="-1" w:hangingChars="1" w:hanging="1"/>
      <w:textDirection w:val="btLr"/>
      <w:textAlignment w:val="top"/>
      <w:outlineLvl w:val="0"/>
    </w:pPr>
    <w:rPr>
      <w:rFonts w:ascii="Garamond" w:eastAsia="Calibri" w:hAnsi="Garamond" w:cs="Calibri"/>
      <w:position w:val="-1"/>
      <w:sz w:val="22"/>
      <w:lang w:eastAsia="en-US"/>
    </w:rPr>
  </w:style>
  <w:style w:type="character" w:customStyle="1" w:styleId="SalutationsCar">
    <w:name w:val="Salutations Car"/>
    <w:link w:val="Salutations"/>
    <w:uiPriority w:val="99"/>
    <w:semiHidden/>
    <w:rsid w:val="00E800E3"/>
    <w:rPr>
      <w:rFonts w:ascii="Garamond" w:eastAsia="Calibri" w:hAnsi="Garamond" w:cs="Calibri"/>
      <w:position w:val="-1"/>
    </w:rPr>
  </w:style>
  <w:style w:type="paragraph" w:styleId="Formuledepolitesse">
    <w:name w:val="Closing"/>
    <w:basedOn w:val="Normal"/>
    <w:link w:val="FormuledepolitesseCar"/>
    <w:uiPriority w:val="99"/>
    <w:semiHidden/>
    <w:unhideWhenUsed/>
    <w:rsid w:val="00E800E3"/>
    <w:pPr>
      <w:suppressAutoHyphens/>
      <w:spacing w:line="1" w:lineRule="atLeast"/>
      <w:ind w:leftChars="-1" w:left="4252" w:hangingChars="1" w:hanging="1"/>
      <w:textDirection w:val="btLr"/>
      <w:textAlignment w:val="top"/>
      <w:outlineLvl w:val="0"/>
    </w:pPr>
    <w:rPr>
      <w:rFonts w:ascii="Garamond" w:eastAsia="Calibri" w:hAnsi="Garamond" w:cs="Calibri"/>
      <w:position w:val="-1"/>
      <w:sz w:val="22"/>
      <w:lang w:eastAsia="en-US"/>
    </w:rPr>
  </w:style>
  <w:style w:type="character" w:customStyle="1" w:styleId="FormuledepolitesseCar">
    <w:name w:val="Formule de politesse Car"/>
    <w:link w:val="Formuledepolitesse"/>
    <w:uiPriority w:val="99"/>
    <w:semiHidden/>
    <w:rsid w:val="00E800E3"/>
    <w:rPr>
      <w:rFonts w:ascii="Garamond" w:eastAsia="Calibri" w:hAnsi="Garamond" w:cs="Calibri"/>
      <w:position w:val="-1"/>
    </w:rPr>
  </w:style>
  <w:style w:type="paragraph" w:styleId="Tabledesrfrencesjuridiques">
    <w:name w:val="table of authorities"/>
    <w:basedOn w:val="Normal"/>
    <w:next w:val="Normal"/>
    <w:uiPriority w:val="99"/>
    <w:semiHidden/>
    <w:unhideWhenUsed/>
    <w:rsid w:val="00E800E3"/>
    <w:pPr>
      <w:suppressAutoHyphens/>
      <w:ind w:leftChars="-1" w:left="220" w:hangingChars="1" w:hanging="220"/>
      <w:textDirection w:val="btLr"/>
      <w:textAlignment w:val="top"/>
      <w:outlineLvl w:val="0"/>
    </w:pPr>
    <w:rPr>
      <w:rFonts w:ascii="Garamond" w:eastAsia="Calibri" w:hAnsi="Garamond" w:cs="Calibri"/>
      <w:position w:val="-1"/>
      <w:sz w:val="22"/>
      <w:lang w:eastAsia="en-US"/>
    </w:rPr>
  </w:style>
  <w:style w:type="paragraph" w:styleId="Adressedestinataire">
    <w:name w:val="envelope address"/>
    <w:basedOn w:val="Normal"/>
    <w:uiPriority w:val="99"/>
    <w:semiHidden/>
    <w:unhideWhenUsed/>
    <w:rsid w:val="00E800E3"/>
    <w:pPr>
      <w:framePr w:w="7938" w:h="1985" w:hRule="exact" w:hSpace="141" w:wrap="auto" w:hAnchor="page" w:xAlign="center" w:yAlign="bottom"/>
      <w:suppressAutoHyphens/>
      <w:spacing w:line="1" w:lineRule="atLeast"/>
      <w:ind w:leftChars="-1" w:left="2835" w:hangingChars="1" w:hanging="1"/>
      <w:textDirection w:val="btLr"/>
      <w:textAlignment w:val="top"/>
      <w:outlineLvl w:val="0"/>
    </w:pPr>
    <w:rPr>
      <w:rFonts w:ascii="Calibri Light" w:eastAsia="Calibri" w:hAnsi="Calibri Light" w:cs="Calibri"/>
      <w:position w:val="-1"/>
      <w:sz w:val="24"/>
      <w:szCs w:val="24"/>
      <w:lang w:eastAsia="en-US"/>
    </w:rPr>
  </w:style>
  <w:style w:type="paragraph" w:styleId="AdresseHTML">
    <w:name w:val="HTML Address"/>
    <w:basedOn w:val="Normal"/>
    <w:link w:val="AdresseHTMLCar"/>
    <w:uiPriority w:val="99"/>
    <w:semiHidden/>
    <w:unhideWhenUsed/>
    <w:rsid w:val="00E800E3"/>
    <w:pPr>
      <w:suppressAutoHyphens/>
      <w:spacing w:line="1" w:lineRule="atLeast"/>
      <w:ind w:leftChars="-1" w:left="-1" w:hangingChars="1" w:hanging="1"/>
      <w:textDirection w:val="btLr"/>
      <w:textAlignment w:val="top"/>
      <w:outlineLvl w:val="0"/>
    </w:pPr>
    <w:rPr>
      <w:rFonts w:ascii="Garamond" w:eastAsia="Calibri" w:hAnsi="Garamond" w:cs="Calibri"/>
      <w:i/>
      <w:iCs/>
      <w:position w:val="-1"/>
      <w:sz w:val="22"/>
      <w:lang w:eastAsia="en-US"/>
    </w:rPr>
  </w:style>
  <w:style w:type="character" w:customStyle="1" w:styleId="AdresseHTMLCar">
    <w:name w:val="Adresse HTML Car"/>
    <w:link w:val="AdresseHTML"/>
    <w:uiPriority w:val="99"/>
    <w:semiHidden/>
    <w:rsid w:val="00E800E3"/>
    <w:rPr>
      <w:rFonts w:ascii="Garamond" w:eastAsia="Calibri" w:hAnsi="Garamond" w:cs="Calibri"/>
      <w:i/>
      <w:iCs/>
      <w:position w:val="-1"/>
    </w:rPr>
  </w:style>
  <w:style w:type="paragraph" w:styleId="Adresseexpditeur">
    <w:name w:val="envelope return"/>
    <w:basedOn w:val="Normal"/>
    <w:uiPriority w:val="99"/>
    <w:semiHidden/>
    <w:unhideWhenUsed/>
    <w:rsid w:val="00E800E3"/>
    <w:pPr>
      <w:suppressAutoHyphens/>
      <w:spacing w:line="1" w:lineRule="atLeast"/>
      <w:ind w:leftChars="-1" w:left="-1" w:hangingChars="1" w:hanging="1"/>
      <w:textDirection w:val="btLr"/>
      <w:textAlignment w:val="top"/>
      <w:outlineLvl w:val="0"/>
    </w:pPr>
    <w:rPr>
      <w:rFonts w:ascii="Calibri Light" w:eastAsia="Calibri" w:hAnsi="Calibri Light" w:cs="Calibri"/>
      <w:position w:val="-1"/>
      <w:sz w:val="20"/>
      <w:szCs w:val="20"/>
      <w:lang w:eastAsia="en-US"/>
    </w:rPr>
  </w:style>
  <w:style w:type="paragraph" w:styleId="En-ttedemessage">
    <w:name w:val="Message Header"/>
    <w:basedOn w:val="Normal"/>
    <w:link w:val="En-ttedemessageCar"/>
    <w:uiPriority w:val="99"/>
    <w:semiHidden/>
    <w:unhideWhenUsed/>
    <w:rsid w:val="00E800E3"/>
    <w:pPr>
      <w:pBdr>
        <w:top w:val="single" w:sz="6" w:space="1" w:color="auto"/>
        <w:left w:val="single" w:sz="6" w:space="1" w:color="auto"/>
        <w:bottom w:val="single" w:sz="6" w:space="1" w:color="auto"/>
        <w:right w:val="single" w:sz="6" w:space="1" w:color="auto"/>
      </w:pBdr>
      <w:shd w:val="pct20" w:color="auto" w:fill="auto"/>
      <w:suppressAutoHyphens/>
      <w:spacing w:line="1" w:lineRule="atLeast"/>
      <w:ind w:leftChars="-1" w:left="1134" w:hangingChars="1" w:hanging="1134"/>
      <w:textDirection w:val="btLr"/>
      <w:textAlignment w:val="top"/>
      <w:outlineLvl w:val="0"/>
    </w:pPr>
    <w:rPr>
      <w:rFonts w:ascii="Calibri Light" w:eastAsia="Calibri" w:hAnsi="Calibri Light" w:cs="Calibri"/>
      <w:position w:val="-1"/>
      <w:sz w:val="24"/>
      <w:szCs w:val="24"/>
      <w:lang w:eastAsia="en-US"/>
    </w:rPr>
  </w:style>
  <w:style w:type="character" w:customStyle="1" w:styleId="En-ttedemessageCar">
    <w:name w:val="En-tête de message Car"/>
    <w:link w:val="En-ttedemessage"/>
    <w:uiPriority w:val="99"/>
    <w:semiHidden/>
    <w:rsid w:val="00E800E3"/>
    <w:rPr>
      <w:rFonts w:ascii="Calibri Light" w:eastAsia="Calibri" w:hAnsi="Calibri Light" w:cs="Calibri"/>
      <w:position w:val="-1"/>
      <w:sz w:val="24"/>
      <w:szCs w:val="24"/>
      <w:shd w:val="pct20" w:color="auto" w:fill="auto"/>
    </w:rPr>
  </w:style>
  <w:style w:type="paragraph" w:styleId="Titredenote">
    <w:name w:val="Note Heading"/>
    <w:basedOn w:val="Normal"/>
    <w:next w:val="Normal"/>
    <w:link w:val="TitredenoteCar"/>
    <w:uiPriority w:val="99"/>
    <w:semiHidden/>
    <w:unhideWhenUsed/>
    <w:rsid w:val="00E800E3"/>
    <w:pPr>
      <w:suppressAutoHyphens/>
      <w:spacing w:line="1" w:lineRule="atLeast"/>
      <w:ind w:leftChars="-1" w:left="-1" w:hangingChars="1" w:hanging="1"/>
      <w:textDirection w:val="btLr"/>
      <w:textAlignment w:val="top"/>
      <w:outlineLvl w:val="0"/>
    </w:pPr>
    <w:rPr>
      <w:rFonts w:ascii="Garamond" w:eastAsia="Calibri" w:hAnsi="Garamond" w:cs="Calibri"/>
      <w:position w:val="-1"/>
      <w:sz w:val="22"/>
      <w:lang w:eastAsia="en-US"/>
    </w:rPr>
  </w:style>
  <w:style w:type="character" w:customStyle="1" w:styleId="TitredenoteCar">
    <w:name w:val="Titre de note Car"/>
    <w:link w:val="Titredenote"/>
    <w:uiPriority w:val="99"/>
    <w:semiHidden/>
    <w:rsid w:val="00E800E3"/>
    <w:rPr>
      <w:rFonts w:ascii="Garamond" w:eastAsia="Calibri" w:hAnsi="Garamond" w:cs="Calibri"/>
      <w:position w:val="-1"/>
    </w:rPr>
  </w:style>
  <w:style w:type="paragraph" w:styleId="Listenumros5">
    <w:name w:val="List Number 5"/>
    <w:basedOn w:val="Normal"/>
    <w:uiPriority w:val="99"/>
    <w:semiHidden/>
    <w:unhideWhenUsed/>
    <w:rsid w:val="00E800E3"/>
    <w:pPr>
      <w:numPr>
        <w:numId w:val="141"/>
      </w:numPr>
      <w:tabs>
        <w:tab w:val="clear" w:pos="1492"/>
      </w:tabs>
      <w:suppressAutoHyphens/>
      <w:spacing w:after="200"/>
      <w:ind w:leftChars="-1" w:left="720" w:hangingChars="1" w:hanging="1"/>
      <w:contextualSpacing/>
      <w:textDirection w:val="btLr"/>
      <w:textAlignment w:val="top"/>
      <w:outlineLvl w:val="0"/>
    </w:pPr>
    <w:rPr>
      <w:rFonts w:ascii="Garamond" w:eastAsia="Calibri" w:hAnsi="Garamond" w:cs="Calibri"/>
      <w:position w:val="-1"/>
      <w:sz w:val="22"/>
      <w:lang w:eastAsia="en-US"/>
    </w:rPr>
  </w:style>
  <w:style w:type="paragraph" w:styleId="Retrait1religne">
    <w:name w:val="Body Text First Indent"/>
    <w:basedOn w:val="Normal"/>
    <w:link w:val="Retrait1religneCar"/>
    <w:uiPriority w:val="99"/>
    <w:semiHidden/>
    <w:unhideWhenUsed/>
    <w:rsid w:val="00E800E3"/>
    <w:pPr>
      <w:spacing w:after="200"/>
      <w:ind w:firstLine="360"/>
    </w:pPr>
    <w:rPr>
      <w:rFonts w:ascii="Garamond" w:eastAsia="Calibri" w:hAnsi="Garamond"/>
      <w:sz w:val="22"/>
      <w:lang w:eastAsia="en-US"/>
    </w:rPr>
  </w:style>
  <w:style w:type="character" w:customStyle="1" w:styleId="Retrait1religneCar">
    <w:name w:val="Retrait 1re ligne Car"/>
    <w:link w:val="Retrait1religne"/>
    <w:uiPriority w:val="99"/>
    <w:semiHidden/>
    <w:rsid w:val="00E800E3"/>
    <w:rPr>
      <w:rFonts w:ascii="Garamond" w:eastAsia="MS Mincho" w:hAnsi="Garamond" w:cs="Times New Roman"/>
      <w:sz w:val="28"/>
      <w:szCs w:val="24"/>
      <w:lang w:eastAsia="fr-FR"/>
    </w:rPr>
  </w:style>
  <w:style w:type="paragraph" w:styleId="Retraitcorpset1relig">
    <w:name w:val="Body Text First Indent 2"/>
    <w:basedOn w:val="Retraitcorpsdetexte"/>
    <w:link w:val="Retraitcorpset1religCar"/>
    <w:uiPriority w:val="99"/>
    <w:semiHidden/>
    <w:unhideWhenUsed/>
    <w:rsid w:val="00E800E3"/>
    <w:pPr>
      <w:suppressAutoHyphens/>
      <w:spacing w:after="200"/>
      <w:ind w:leftChars="-1" w:left="360" w:hangingChars="1" w:hanging="1"/>
      <w:textDirection w:val="btLr"/>
      <w:textAlignment w:val="top"/>
      <w:outlineLvl w:val="0"/>
    </w:pPr>
    <w:rPr>
      <w:rFonts w:ascii="Garamond" w:eastAsia="Calibri" w:hAnsi="Garamond" w:cs="Calibri"/>
      <w:position w:val="-1"/>
      <w:sz w:val="22"/>
      <w:lang w:eastAsia="en-US"/>
    </w:rPr>
  </w:style>
  <w:style w:type="character" w:customStyle="1" w:styleId="Retraitcorpset1religCar">
    <w:name w:val="Retrait corps et 1re lig. Car"/>
    <w:link w:val="Retraitcorpset1relig"/>
    <w:uiPriority w:val="99"/>
    <w:semiHidden/>
    <w:rsid w:val="00E800E3"/>
    <w:rPr>
      <w:rFonts w:ascii="Garamond" w:eastAsia="Calibri" w:hAnsi="Garamond" w:cs="Calibri"/>
      <w:position w:val="-1"/>
      <w:sz w:val="21"/>
      <w:lang w:eastAsia="fr-FR"/>
    </w:rPr>
  </w:style>
  <w:style w:type="paragraph" w:styleId="Textedemacro">
    <w:name w:val="macro"/>
    <w:link w:val="TextedemacroCar"/>
    <w:uiPriority w:val="99"/>
    <w:semiHidden/>
    <w:unhideWhenUsed/>
    <w:rsid w:val="00E800E3"/>
    <w:pPr>
      <w:tabs>
        <w:tab w:val="left" w:pos="480"/>
        <w:tab w:val="left" w:pos="960"/>
        <w:tab w:val="left" w:pos="1440"/>
        <w:tab w:val="left" w:pos="1920"/>
        <w:tab w:val="left" w:pos="2400"/>
        <w:tab w:val="left" w:pos="2880"/>
        <w:tab w:val="left" w:pos="3360"/>
        <w:tab w:val="left" w:pos="3840"/>
        <w:tab w:val="left" w:pos="4320"/>
      </w:tabs>
      <w:spacing w:line="276" w:lineRule="auto"/>
      <w:jc w:val="both"/>
    </w:pPr>
    <w:rPr>
      <w:rFonts w:ascii="Consolas" w:hAnsi="Consolas"/>
      <w:lang w:val="fr-FR"/>
    </w:rPr>
  </w:style>
  <w:style w:type="character" w:customStyle="1" w:styleId="TextedemacroCar">
    <w:name w:val="Texte de macro Car"/>
    <w:link w:val="Textedemacro"/>
    <w:uiPriority w:val="99"/>
    <w:semiHidden/>
    <w:rsid w:val="00E800E3"/>
    <w:rPr>
      <w:rFonts w:ascii="Consolas" w:eastAsia="Calibri" w:hAnsi="Consolas" w:cs="Times New Roman"/>
      <w:sz w:val="20"/>
      <w:szCs w:val="20"/>
    </w:rPr>
  </w:style>
  <w:style w:type="paragraph" w:styleId="Index1">
    <w:name w:val="index 1"/>
    <w:basedOn w:val="Normal"/>
    <w:next w:val="Normal"/>
    <w:autoRedefine/>
    <w:uiPriority w:val="99"/>
    <w:semiHidden/>
    <w:unhideWhenUsed/>
    <w:rsid w:val="00E800E3"/>
    <w:pPr>
      <w:spacing w:line="240" w:lineRule="auto"/>
      <w:ind w:left="240" w:hanging="240"/>
      <w:jc w:val="left"/>
    </w:pPr>
    <w:rPr>
      <w:rFonts w:ascii="Times New Roman" w:eastAsia="Calibri" w:hAnsi="Times New Roman"/>
      <w:sz w:val="24"/>
      <w:szCs w:val="24"/>
      <w:lang w:eastAsia="en-US"/>
    </w:rPr>
  </w:style>
  <w:style w:type="paragraph" w:styleId="Titreindex">
    <w:name w:val="index heading"/>
    <w:basedOn w:val="Normal"/>
    <w:next w:val="Normal"/>
    <w:uiPriority w:val="99"/>
    <w:semiHidden/>
    <w:unhideWhenUsed/>
    <w:rsid w:val="00E800E3"/>
    <w:pPr>
      <w:suppressAutoHyphens/>
      <w:spacing w:after="200"/>
      <w:ind w:leftChars="-1" w:left="-1" w:hangingChars="1" w:hanging="1"/>
      <w:textDirection w:val="btLr"/>
      <w:textAlignment w:val="top"/>
      <w:outlineLvl w:val="0"/>
    </w:pPr>
    <w:rPr>
      <w:rFonts w:ascii="Calibri Light" w:eastAsia="Calibri" w:hAnsi="Calibri Light" w:cs="Calibri"/>
      <w:b/>
      <w:bCs/>
      <w:position w:val="-1"/>
      <w:sz w:val="22"/>
      <w:lang w:eastAsia="en-US"/>
    </w:rPr>
  </w:style>
  <w:style w:type="paragraph" w:styleId="TitreTR">
    <w:name w:val="toa heading"/>
    <w:basedOn w:val="Normal"/>
    <w:next w:val="Normal"/>
    <w:uiPriority w:val="99"/>
    <w:semiHidden/>
    <w:unhideWhenUsed/>
    <w:rsid w:val="00E800E3"/>
    <w:pPr>
      <w:suppressAutoHyphens/>
      <w:spacing w:before="120" w:after="200"/>
      <w:ind w:leftChars="-1" w:left="-1" w:hangingChars="1" w:hanging="1"/>
      <w:textDirection w:val="btLr"/>
      <w:textAlignment w:val="top"/>
      <w:outlineLvl w:val="0"/>
    </w:pPr>
    <w:rPr>
      <w:rFonts w:ascii="Calibri Light" w:eastAsia="Calibri" w:hAnsi="Calibri Light" w:cs="Calibri"/>
      <w:b/>
      <w:bCs/>
      <w:position w:val="-1"/>
      <w:sz w:val="24"/>
      <w:szCs w:val="24"/>
      <w:lang w:eastAsia="en-US"/>
    </w:rPr>
  </w:style>
  <w:style w:type="table" w:customStyle="1" w:styleId="Grillecouleur-Accent13">
    <w:name w:val="Grille couleur - Accent 13"/>
    <w:basedOn w:val="TableauNormal"/>
    <w:next w:val="Grillecouleur-Accent1"/>
    <w:unhideWhenUsed/>
    <w:qFormat/>
    <w:rsid w:val="00E800E3"/>
    <w:rPr>
      <w:rFonts w:ascii="Arial" w:hAnsi="Arial"/>
      <w:i/>
      <w:color w:val="000000"/>
      <w:lang w:eastAsia="fr-F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9E2F3"/>
    </w:tcPr>
    <w:tblStylePr w:type="firstRow">
      <w:tblPr/>
      <w:tcPr>
        <w:shd w:val="clear" w:color="auto" w:fill="B4C6E7"/>
      </w:tcPr>
    </w:tblStylePr>
    <w:tblStylePr w:type="lastRow">
      <w:tblPr/>
      <w:tcPr>
        <w:shd w:val="clear" w:color="auto" w:fill="B4C6E7"/>
      </w:tcPr>
    </w:tblStylePr>
    <w:tblStylePr w:type="firstCol">
      <w:tblPr/>
      <w:tcPr>
        <w:shd w:val="clear" w:color="auto" w:fill="2F5496"/>
      </w:tcPr>
    </w:tblStylePr>
    <w:tblStylePr w:type="lastCol">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Listecouleur-Accent12">
    <w:name w:val="Liste couleur - Accent 12"/>
    <w:basedOn w:val="TableauNormal"/>
    <w:next w:val="Listecouleur-Accent1"/>
    <w:unhideWhenUsed/>
    <w:qFormat/>
    <w:rsid w:val="00E800E3"/>
    <w:rPr>
      <w:lang w:eastAsia="fr-FR"/>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Grillemoyenne23">
    <w:name w:val="Grille moyenne 23"/>
    <w:basedOn w:val="TableauNormal"/>
    <w:next w:val="Grillemoyenne25"/>
    <w:unhideWhenUsed/>
    <w:qFormat/>
    <w:rsid w:val="00E800E3"/>
    <w:rPr>
      <w:szCs w:val="32"/>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Trameclaire-Accent23">
    <w:name w:val="Trame claire - Accent 23"/>
    <w:basedOn w:val="TableauNormal"/>
    <w:next w:val="Trameclaire-Accent2"/>
    <w:unhideWhenUsed/>
    <w:qFormat/>
    <w:rsid w:val="00E800E3"/>
    <w:rPr>
      <w:rFonts w:ascii="Andalus" w:hAnsi="Andalus"/>
      <w:b/>
      <w:bCs/>
      <w:i/>
      <w:iCs/>
      <w:color w:val="4F81BD"/>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tblPr/>
      <w:tcPr>
        <w:tcBorders>
          <w:top w:val="single" w:sz="8" w:space="0" w:color="ED7D31"/>
          <w:left w:val="nil"/>
          <w:bottom w:val="single" w:sz="8" w:space="0" w:color="ED7D31"/>
          <w:right w:val="nil"/>
          <w:insideH w:val="nil"/>
          <w:insideV w:val="nil"/>
        </w:tcBorders>
      </w:tc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Grilledutableau3">
    <w:name w:val="Grille du tableau3"/>
    <w:basedOn w:val="TableauNormal"/>
    <w:next w:val="Grilledutableau"/>
    <w:rsid w:val="00E800E3"/>
    <w:rPr>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2">
    <w:name w:val="Aucune liste2"/>
    <w:next w:val="Aucuneliste"/>
    <w:unhideWhenUsed/>
    <w:qFormat/>
    <w:rsid w:val="00E800E3"/>
  </w:style>
  <w:style w:type="table" w:customStyle="1" w:styleId="Grilledutableau4">
    <w:name w:val="Grille du tableau4"/>
    <w:basedOn w:val="TableauNormal"/>
    <w:next w:val="Grilledutableau"/>
    <w:rsid w:val="00E800E3"/>
    <w:rPr>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13">
    <w:name w:val="Grille du tableau13"/>
    <w:basedOn w:val="TableauNormal"/>
    <w:next w:val="Grilledutableau"/>
    <w:rsid w:val="00E800E3"/>
    <w:rPr>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couleur-Accent121">
    <w:name w:val="Liste couleur - Accent 121"/>
    <w:basedOn w:val="TableauNormal"/>
    <w:next w:val="Listecouleur-Accent1"/>
    <w:rsid w:val="00E800E3"/>
    <w:rPr>
      <w:lang w:eastAsia="fr-FR"/>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llemoyenne231">
    <w:name w:val="Grille moyenne 231"/>
    <w:basedOn w:val="TableauNormal"/>
    <w:next w:val="Grillemoyenne25"/>
    <w:rsid w:val="00E800E3"/>
    <w:rPr>
      <w:rFonts w:eastAsia="Times New Roman"/>
      <w:lang w:eastAsia="fr-FR"/>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Grillecouleur-Accent131">
    <w:name w:val="Grille couleur - Accent 131"/>
    <w:basedOn w:val="TableauNormal"/>
    <w:next w:val="Grillecouleur-Accent1"/>
    <w:rsid w:val="00E800E3"/>
    <w:rPr>
      <w:rFonts w:ascii="Andalus" w:eastAsia="Times New Roman" w:hAnsi="Andalus"/>
      <w:i/>
      <w:iCs/>
      <w:color w:val="000000"/>
      <w:kern w:val="28"/>
      <w:lang w:eastAsia="fr-F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rameclaire-Accent231">
    <w:name w:val="Trame claire - Accent 231"/>
    <w:basedOn w:val="TableauNormal"/>
    <w:next w:val="Trameclaire-Accent2"/>
    <w:rsid w:val="00E800E3"/>
    <w:rPr>
      <w:rFonts w:ascii="Andalus" w:eastAsia="Times New Roman" w:hAnsi="Andalus"/>
      <w:b/>
      <w:bCs/>
      <w:i/>
      <w:iCs/>
      <w:color w:val="4F81BD"/>
      <w:kern w:val="28"/>
      <w:lang w:eastAsia="fr-FR"/>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Grilledutableau5">
    <w:name w:val="Grille du tableau5"/>
    <w:basedOn w:val="TableauNormal"/>
    <w:next w:val="Grilledutableau"/>
    <w:rsid w:val="00E800E3"/>
    <w:rPr>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3">
    <w:name w:val="Aucune liste3"/>
    <w:next w:val="Aucuneliste"/>
    <w:unhideWhenUsed/>
    <w:qFormat/>
    <w:rsid w:val="00E800E3"/>
  </w:style>
  <w:style w:type="table" w:customStyle="1" w:styleId="Grilledutableau6">
    <w:name w:val="Grille du tableau6"/>
    <w:basedOn w:val="TableauNormal"/>
    <w:next w:val="Grilledutableau"/>
    <w:rsid w:val="00E800E3"/>
    <w:rPr>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mbrageclair1">
    <w:name w:val="Ombrage clair1"/>
    <w:basedOn w:val="TableauNormal"/>
    <w:next w:val="Ombrageclair4"/>
    <w:unhideWhenUsed/>
    <w:qFormat/>
    <w:rsid w:val="00E800E3"/>
    <w:rPr>
      <w:color w:val="000000"/>
      <w:lang w:eastAsia="fr-F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rameclaire-Accent111">
    <w:name w:val="Trame claire - Accent 111"/>
    <w:basedOn w:val="TableauNormal"/>
    <w:next w:val="Trameclaire-Accent11"/>
    <w:unhideWhenUsed/>
    <w:qFormat/>
    <w:rsid w:val="00E800E3"/>
    <w:rPr>
      <w:color w:val="2E74B5"/>
      <w:lang w:eastAsia="fr-FR"/>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rameclaire-Accent31">
    <w:name w:val="Trame claire - Accent 31"/>
    <w:basedOn w:val="TableauNormal"/>
    <w:next w:val="Trameclaire-Accent3"/>
    <w:unhideWhenUsed/>
    <w:qFormat/>
    <w:rsid w:val="00E800E3"/>
    <w:rPr>
      <w:color w:val="7B7B7B"/>
      <w:lang w:eastAsia="fr-FR"/>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steclaire-Accent31">
    <w:name w:val="Liste claire - Accent 31"/>
    <w:basedOn w:val="TableauNormal"/>
    <w:next w:val="Listeclaire-Accent3"/>
    <w:unhideWhenUsed/>
    <w:qFormat/>
    <w:rsid w:val="00E800E3"/>
    <w:rPr>
      <w:lang w:eastAsia="fr-FR"/>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A5A5A5"/>
      </w:tcPr>
    </w:tblStylePr>
    <w:tblStylePr w:type="lastRow">
      <w:pPr>
        <w:spacing w:beforeLines="0" w:beforeAutospacing="0" w:afterLines="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11">
    <w:name w:val="Table Normal11"/>
    <w:qFormat/>
    <w:rsid w:val="00E800E3"/>
    <w:pPr>
      <w:widowControl w:val="0"/>
      <w:autoSpaceDE w:val="0"/>
      <w:autoSpaceDN w:val="0"/>
    </w:pPr>
    <w:rPr>
      <w:sz w:val="22"/>
      <w:szCs w:val="22"/>
    </w:rPr>
    <w:tblPr>
      <w:tblCellMar>
        <w:top w:w="0" w:type="dxa"/>
        <w:left w:w="0" w:type="dxa"/>
        <w:bottom w:w="0" w:type="dxa"/>
        <w:right w:w="0" w:type="dxa"/>
      </w:tblCellMar>
    </w:tblPr>
  </w:style>
  <w:style w:type="table" w:customStyle="1" w:styleId="Grilledutableau14">
    <w:name w:val="Grille du tableau14"/>
    <w:basedOn w:val="TableauNormal"/>
    <w:rsid w:val="00E800E3"/>
    <w:rPr>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ausimple11">
    <w:name w:val="Tableau simple 11"/>
    <w:basedOn w:val="TableauNormal"/>
    <w:rsid w:val="00E800E3"/>
    <w:rPr>
      <w:lang w:eastAsia="fr-FR"/>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mbrageclair2">
    <w:name w:val="Ombrage clair2"/>
    <w:basedOn w:val="TableauNormal"/>
    <w:next w:val="Ombrageclair4"/>
    <w:unhideWhenUsed/>
    <w:qFormat/>
    <w:rsid w:val="00E800E3"/>
    <w:rPr>
      <w:color w:val="000000"/>
      <w:lang w:eastAsia="fr-F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rameclaire-Accent32">
    <w:name w:val="Trame claire - Accent 32"/>
    <w:basedOn w:val="TableauNormal"/>
    <w:next w:val="Trameclaire-Accent3"/>
    <w:unhideWhenUsed/>
    <w:qFormat/>
    <w:rsid w:val="00E800E3"/>
    <w:rPr>
      <w:color w:val="7B7B7B"/>
      <w:lang w:eastAsia="fr-FR"/>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steclaire-Accent32">
    <w:name w:val="Liste claire - Accent 32"/>
    <w:basedOn w:val="TableauNormal"/>
    <w:next w:val="Listeclaire-Accent3"/>
    <w:unhideWhenUsed/>
    <w:qFormat/>
    <w:rsid w:val="00E800E3"/>
    <w:rPr>
      <w:lang w:eastAsia="fr-FR"/>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numbering" w:customStyle="1" w:styleId="Aucuneliste1111">
    <w:name w:val="Aucune liste1111"/>
    <w:next w:val="Aucuneliste"/>
    <w:unhideWhenUsed/>
    <w:qFormat/>
    <w:rsid w:val="00E800E3"/>
  </w:style>
  <w:style w:type="numbering" w:customStyle="1" w:styleId="Aucuneliste11111">
    <w:name w:val="Aucune liste11111"/>
    <w:next w:val="Aucuneliste"/>
    <w:unhideWhenUsed/>
    <w:qFormat/>
    <w:rsid w:val="00E800E3"/>
  </w:style>
  <w:style w:type="table" w:customStyle="1" w:styleId="Grilledutableau111">
    <w:name w:val="Grille du tableau111"/>
    <w:basedOn w:val="TableauNormal"/>
    <w:next w:val="Grilledutableau"/>
    <w:rsid w:val="00E800E3"/>
    <w:rPr>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mbrageclair21">
    <w:name w:val="Ombrage clair21"/>
    <w:basedOn w:val="TableauNormal"/>
    <w:next w:val="Ombrageclair4"/>
    <w:unhideWhenUsed/>
    <w:qFormat/>
    <w:rsid w:val="00E800E3"/>
    <w:rPr>
      <w:color w:val="000000"/>
      <w:lang w:eastAsia="fr-F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rameclaire-Accent321">
    <w:name w:val="Trame claire - Accent 321"/>
    <w:basedOn w:val="TableauNormal"/>
    <w:next w:val="Trameclaire-Accent3"/>
    <w:unhideWhenUsed/>
    <w:qFormat/>
    <w:rsid w:val="00E800E3"/>
    <w:rPr>
      <w:color w:val="7B7B7B"/>
      <w:lang w:eastAsia="fr-FR"/>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steclaire-Accent321">
    <w:name w:val="Liste claire - Accent 321"/>
    <w:basedOn w:val="TableauNormal"/>
    <w:next w:val="Listeclaire-Accent3"/>
    <w:unhideWhenUsed/>
    <w:qFormat/>
    <w:rsid w:val="00E800E3"/>
    <w:rPr>
      <w:lang w:eastAsia="fr-FR"/>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Grillecouleur-Accent14">
    <w:name w:val="Grille couleur - Accent 14"/>
    <w:basedOn w:val="TableauNormal"/>
    <w:next w:val="Grillecouleur-Accent1"/>
    <w:unhideWhenUsed/>
    <w:qFormat/>
    <w:rsid w:val="00E800E3"/>
    <w:rPr>
      <w:rFonts w:ascii="Arial" w:hAnsi="Arial"/>
      <w:i/>
      <w:color w:val="000000"/>
      <w:lang w:eastAsia="fr-F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tblPr/>
      <w:tcPr>
        <w:shd w:val="clear" w:color="auto" w:fill="BDD6EE"/>
      </w:tcPr>
    </w:tblStylePr>
    <w:tblStylePr w:type="lastRow">
      <w:tblPr/>
      <w:tcPr>
        <w:shd w:val="clear" w:color="auto" w:fill="BDD6EE"/>
      </w:tcPr>
    </w:tblStylePr>
    <w:tblStylePr w:type="firstCol">
      <w:tblPr/>
      <w:tcPr>
        <w:shd w:val="clear" w:color="auto" w:fill="2E74B5"/>
      </w:tcPr>
    </w:tblStylePr>
    <w:tblStylePr w:type="lastCol">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Listecouleur-Accent13">
    <w:name w:val="Liste couleur - Accent 13"/>
    <w:basedOn w:val="TableauNormal"/>
    <w:next w:val="Listecouleur-Accent1"/>
    <w:unhideWhenUsed/>
    <w:qFormat/>
    <w:rsid w:val="00E800E3"/>
    <w:rPr>
      <w:lang w:eastAsia="fr-FR"/>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Grillemoyenne24">
    <w:name w:val="Grille moyenne 24"/>
    <w:basedOn w:val="TableauNormal"/>
    <w:next w:val="Grillemoyenne25"/>
    <w:unhideWhenUsed/>
    <w:qFormat/>
    <w:rsid w:val="00E800E3"/>
    <w:rPr>
      <w:szCs w:val="32"/>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Trameclaire-Accent24">
    <w:name w:val="Trame claire - Accent 24"/>
    <w:basedOn w:val="TableauNormal"/>
    <w:next w:val="Trameclaire-Accent2"/>
    <w:unhideWhenUsed/>
    <w:qFormat/>
    <w:rsid w:val="00E800E3"/>
    <w:rPr>
      <w:rFonts w:ascii="Andalus" w:hAnsi="Andalus"/>
      <w:b/>
      <w:bCs/>
      <w:i/>
      <w:iCs/>
      <w:color w:val="4F81BD"/>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tblPr/>
      <w:tcPr>
        <w:tcBorders>
          <w:top w:val="single" w:sz="8" w:space="0" w:color="ED7D31"/>
          <w:left w:val="nil"/>
          <w:bottom w:val="single" w:sz="8" w:space="0" w:color="ED7D31"/>
          <w:right w:val="nil"/>
          <w:insideH w:val="nil"/>
          <w:insideV w:val="nil"/>
        </w:tcBorders>
      </w:tc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Ombrageclair3">
    <w:name w:val="Ombrage clair3"/>
    <w:basedOn w:val="TableauNormal"/>
    <w:next w:val="Ombrageclair4"/>
    <w:unhideWhenUsed/>
    <w:qFormat/>
    <w:rsid w:val="00E800E3"/>
    <w:rPr>
      <w:color w:val="000000"/>
      <w:lang w:eastAsia="fr-F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rameclaire-Accent33">
    <w:name w:val="Trame claire - Accent 33"/>
    <w:basedOn w:val="TableauNormal"/>
    <w:next w:val="Trameclaire-Accent3"/>
    <w:unhideWhenUsed/>
    <w:qFormat/>
    <w:rsid w:val="00E800E3"/>
    <w:rPr>
      <w:color w:val="7B7B7B"/>
      <w:lang w:eastAsia="fr-FR"/>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steclaire-Accent33">
    <w:name w:val="Liste claire - Accent 33"/>
    <w:basedOn w:val="TableauNormal"/>
    <w:next w:val="Listeclaire-Accent3"/>
    <w:unhideWhenUsed/>
    <w:qFormat/>
    <w:rsid w:val="00E800E3"/>
    <w:rPr>
      <w:lang w:eastAsia="fr-FR"/>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numbering" w:customStyle="1" w:styleId="Aucuneliste4">
    <w:name w:val="Aucune liste4"/>
    <w:next w:val="Aucuneliste"/>
    <w:unhideWhenUsed/>
    <w:qFormat/>
    <w:rsid w:val="00E800E3"/>
  </w:style>
  <w:style w:type="table" w:customStyle="1" w:styleId="Grilledutableau7">
    <w:name w:val="Grille du tableau7"/>
    <w:basedOn w:val="TableauNormal"/>
    <w:next w:val="Grilledutableau"/>
    <w:rsid w:val="00E800E3"/>
    <w:rPr>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15">
    <w:name w:val="Grille du tableau15"/>
    <w:basedOn w:val="TableauNormal"/>
    <w:next w:val="Grilledutableau"/>
    <w:rsid w:val="00E800E3"/>
    <w:rPr>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couleur-Accent131">
    <w:name w:val="Liste couleur - Accent 131"/>
    <w:basedOn w:val="TableauNormal"/>
    <w:next w:val="Listecouleur-Accent1"/>
    <w:rsid w:val="00E800E3"/>
    <w:rPr>
      <w:lang w:eastAsia="fr-FR"/>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llemoyenne241">
    <w:name w:val="Grille moyenne 241"/>
    <w:basedOn w:val="TableauNormal"/>
    <w:next w:val="Grillemoyenne25"/>
    <w:rsid w:val="00E800E3"/>
    <w:rPr>
      <w:rFonts w:eastAsia="Times New Roman"/>
      <w:lang w:eastAsia="fr-FR"/>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Grillecouleur-Accent141">
    <w:name w:val="Grille couleur - Accent 141"/>
    <w:basedOn w:val="TableauNormal"/>
    <w:next w:val="Grillecouleur-Accent1"/>
    <w:rsid w:val="00E800E3"/>
    <w:rPr>
      <w:rFonts w:ascii="Andalus" w:eastAsia="Times New Roman" w:hAnsi="Andalus"/>
      <w:i/>
      <w:iCs/>
      <w:color w:val="000000"/>
      <w:kern w:val="28"/>
      <w:lang w:eastAsia="fr-F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rameclaire-Accent241">
    <w:name w:val="Trame claire - Accent 241"/>
    <w:basedOn w:val="TableauNormal"/>
    <w:next w:val="Trameclaire-Accent2"/>
    <w:rsid w:val="00E800E3"/>
    <w:rPr>
      <w:rFonts w:ascii="Andalus" w:eastAsia="Times New Roman" w:hAnsi="Andalus"/>
      <w:b/>
      <w:bCs/>
      <w:i/>
      <w:iCs/>
      <w:color w:val="4F81BD"/>
      <w:kern w:val="28"/>
      <w:lang w:eastAsia="fr-FR"/>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Grid11">
    <w:name w:val="TableGrid11"/>
    <w:rsid w:val="00E800E3"/>
    <w:rPr>
      <w:rFonts w:eastAsia="Times New Roman"/>
      <w:sz w:val="22"/>
      <w:szCs w:val="22"/>
      <w:lang w:val="fr-FR" w:eastAsia="fr-FR"/>
    </w:rPr>
    <w:tblPr>
      <w:tblCellMar>
        <w:top w:w="0" w:type="dxa"/>
        <w:left w:w="0" w:type="dxa"/>
        <w:bottom w:w="0" w:type="dxa"/>
        <w:right w:w="0" w:type="dxa"/>
      </w:tblCellMar>
    </w:tblPr>
  </w:style>
  <w:style w:type="table" w:customStyle="1" w:styleId="Grilledutableau8">
    <w:name w:val="Grille du tableau8"/>
    <w:basedOn w:val="TableauNormal"/>
    <w:next w:val="Grilledutableau"/>
    <w:rsid w:val="00E800E3"/>
    <w:rPr>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5">
    <w:name w:val="Aucune liste5"/>
    <w:next w:val="Aucuneliste"/>
    <w:unhideWhenUsed/>
    <w:qFormat/>
    <w:rsid w:val="00E800E3"/>
  </w:style>
  <w:style w:type="table" w:customStyle="1" w:styleId="TableGrid2">
    <w:name w:val="TableGrid2"/>
    <w:rsid w:val="00E800E3"/>
    <w:rPr>
      <w:rFonts w:eastAsia="Times New Roman"/>
      <w:sz w:val="22"/>
      <w:szCs w:val="22"/>
      <w:lang w:val="fr-FR" w:eastAsia="fr-FR"/>
    </w:rPr>
    <w:tblPr>
      <w:tblCellMar>
        <w:top w:w="0" w:type="dxa"/>
        <w:left w:w="0" w:type="dxa"/>
        <w:bottom w:w="0" w:type="dxa"/>
        <w:right w:w="0" w:type="dxa"/>
      </w:tblCellMar>
    </w:tblPr>
  </w:style>
  <w:style w:type="numbering" w:customStyle="1" w:styleId="Aucuneliste6">
    <w:name w:val="Aucune liste6"/>
    <w:next w:val="Aucuneliste"/>
    <w:unhideWhenUsed/>
    <w:qFormat/>
    <w:rsid w:val="00E800E3"/>
  </w:style>
  <w:style w:type="table" w:customStyle="1" w:styleId="TableGrid3">
    <w:name w:val="TableGrid3"/>
    <w:rsid w:val="00E800E3"/>
    <w:rPr>
      <w:rFonts w:eastAsia="Times New Roman"/>
      <w:sz w:val="22"/>
      <w:szCs w:val="22"/>
      <w:lang w:val="fr-FR" w:eastAsia="fr-FR"/>
    </w:rPr>
    <w:tblPr>
      <w:tblCellMar>
        <w:top w:w="0" w:type="dxa"/>
        <w:left w:w="0" w:type="dxa"/>
        <w:bottom w:w="0" w:type="dxa"/>
        <w:right w:w="0" w:type="dxa"/>
      </w:tblCellMar>
    </w:tblPr>
  </w:style>
  <w:style w:type="table" w:customStyle="1" w:styleId="Grilledutableau9">
    <w:name w:val="Grille du tableau9"/>
    <w:basedOn w:val="TableauNormal"/>
    <w:next w:val="Grilledutableau"/>
    <w:rsid w:val="00E800E3"/>
    <w:rPr>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211">
    <w:name w:val="Grille du tableau211"/>
    <w:basedOn w:val="TableauNormal"/>
    <w:next w:val="Grilledutableau"/>
    <w:rsid w:val="00E800E3"/>
    <w:rPr>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121">
    <w:name w:val="Grille du tableau121"/>
    <w:basedOn w:val="TableauNormal"/>
    <w:next w:val="Grilledutableau"/>
    <w:rsid w:val="00E800E3"/>
    <w:rPr>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7">
    <w:name w:val="Aucune liste7"/>
    <w:next w:val="Aucuneliste"/>
    <w:unhideWhenUsed/>
    <w:qFormat/>
    <w:rsid w:val="00E800E3"/>
  </w:style>
  <w:style w:type="table" w:customStyle="1" w:styleId="Grilledutableau10">
    <w:name w:val="Grille du tableau10"/>
    <w:basedOn w:val="TableauNormal"/>
    <w:next w:val="Grilledutableau"/>
    <w:rsid w:val="00E800E3"/>
    <w:rPr>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16">
    <w:name w:val="Grille du tableau16"/>
    <w:basedOn w:val="TableauNormal"/>
    <w:next w:val="Grilledutableau"/>
    <w:rsid w:val="00E800E3"/>
    <w:rPr>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2">
    <w:name w:val="Aucune liste12"/>
    <w:next w:val="Aucuneliste"/>
    <w:unhideWhenUsed/>
    <w:qFormat/>
    <w:rsid w:val="00E800E3"/>
  </w:style>
  <w:style w:type="table" w:customStyle="1" w:styleId="Trameclaire-Accent12">
    <w:name w:val="Trame claire - Accent 12"/>
    <w:basedOn w:val="TableauNormal"/>
    <w:next w:val="Trameclaire-Accent11"/>
    <w:rsid w:val="00E800E3"/>
    <w:rPr>
      <w:color w:val="365F91"/>
      <w:lang w:eastAsia="fr-F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Grilledutableau22">
    <w:name w:val="Grille du tableau22"/>
    <w:basedOn w:val="TableauNormal"/>
    <w:next w:val="Grilledutableau"/>
    <w:rsid w:val="00E800E3"/>
    <w:rPr>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112">
    <w:name w:val="Grille du tableau112"/>
    <w:basedOn w:val="TableauNormal"/>
    <w:next w:val="Grilledutableau"/>
    <w:rsid w:val="00E800E3"/>
    <w:rPr>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212">
    <w:name w:val="Grille du tableau212"/>
    <w:basedOn w:val="TableauNormal"/>
    <w:next w:val="Grilledutableau"/>
    <w:rsid w:val="00E800E3"/>
    <w:rPr>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122">
    <w:name w:val="Grille du tableau122"/>
    <w:basedOn w:val="TableauNormal"/>
    <w:next w:val="Grilledutableau"/>
    <w:rsid w:val="00E800E3"/>
    <w:rPr>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17">
    <w:name w:val="Grille du tableau17"/>
    <w:basedOn w:val="TableauNormal"/>
    <w:next w:val="Grilledutableau"/>
    <w:rsid w:val="00E800E3"/>
    <w:rPr>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18">
    <w:name w:val="Grille du tableau18"/>
    <w:basedOn w:val="TableauNormal"/>
    <w:next w:val="Grilledutableau"/>
    <w:rsid w:val="00E800E3"/>
    <w:rPr>
      <w:lang w:val="fr-CA"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llecouleur-Accent1">
    <w:name w:val="Colorful Grid Accent 1"/>
    <w:basedOn w:val="TableauNormal"/>
    <w:link w:val="Grillecouleur-Accent1Car"/>
    <w:semiHidden/>
    <w:unhideWhenUsed/>
    <w:rsid w:val="00E800E3"/>
    <w:rPr>
      <w:rFonts w:ascii="Arial" w:hAnsi="Arial"/>
      <w: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9E2F3"/>
    </w:tcPr>
    <w:tblStylePr w:type="firstRow">
      <w:tblPr/>
      <w:tcPr>
        <w:shd w:val="clear" w:color="auto" w:fill="B4C6E7"/>
      </w:tcPr>
    </w:tblStylePr>
    <w:tblStylePr w:type="lastRow">
      <w:tblPr/>
      <w:tcPr>
        <w:shd w:val="clear" w:color="auto" w:fill="B4C6E7"/>
      </w:tcPr>
    </w:tblStylePr>
    <w:tblStylePr w:type="firstCol">
      <w:tblPr/>
      <w:tcPr>
        <w:shd w:val="clear" w:color="auto" w:fill="2F5496"/>
      </w:tcPr>
    </w:tblStylePr>
    <w:tblStylePr w:type="lastCol">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character" w:customStyle="1" w:styleId="Corpsdetexte3Car1">
    <w:name w:val="Corps de texte 3 Car1"/>
    <w:uiPriority w:val="99"/>
    <w:semiHidden/>
    <w:rsid w:val="00E800E3"/>
    <w:rPr>
      <w:rFonts w:ascii="Times New Roman" w:hAnsi="Times New Roman"/>
      <w:sz w:val="16"/>
      <w:szCs w:val="16"/>
    </w:rPr>
  </w:style>
  <w:style w:type="table" w:customStyle="1" w:styleId="Grillemoyenne25">
    <w:name w:val="Grille moyenne 25"/>
    <w:basedOn w:val="TableauNormal"/>
    <w:semiHidden/>
    <w:unhideWhenUsed/>
    <w:rsid w:val="00E800E3"/>
    <w:rPr>
      <w:sz w:val="24"/>
      <w:szCs w:val="32"/>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Trameclaire-Accent2">
    <w:name w:val="Light Shading Accent 2"/>
    <w:basedOn w:val="TableauNormal"/>
    <w:link w:val="Trameclaire-Accent2Car"/>
    <w:semiHidden/>
    <w:unhideWhenUsed/>
    <w:rsid w:val="00E800E3"/>
    <w:rPr>
      <w:rFonts w:ascii="Andalus" w:hAnsi="Andalus"/>
      <w:b/>
      <w:bCs/>
      <w:i/>
      <w:iCs/>
      <w:color w:val="4F81BD"/>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tblPr/>
      <w:tcPr>
        <w:tcBorders>
          <w:top w:val="single" w:sz="8" w:space="0" w:color="ED7D31"/>
          <w:left w:val="nil"/>
          <w:bottom w:val="single" w:sz="8" w:space="0" w:color="ED7D31"/>
          <w:right w:val="nil"/>
          <w:insideH w:val="nil"/>
          <w:insideV w:val="nil"/>
        </w:tcBorders>
      </w:tc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styleId="Listecouleur-Accent1">
    <w:name w:val="Colorful List Accent 1"/>
    <w:basedOn w:val="TableauNormal"/>
    <w:uiPriority w:val="72"/>
    <w:semiHidden/>
    <w:unhideWhenUsed/>
    <w:rsid w:val="00E800E3"/>
    <w:rPr>
      <w:color w:val="000000"/>
      <w:lang w:eastAsia="fr-FR"/>
    </w:rPr>
    <w:tblPr>
      <w:tblStyleRowBandSize w:val="1"/>
      <w:tblStyleColBandSize w:val="1"/>
      <w:tblInd w:w="0" w:type="dxa"/>
      <w:tblCellMar>
        <w:top w:w="0" w:type="dxa"/>
        <w:left w:w="108" w:type="dxa"/>
        <w:bottom w:w="0" w:type="dxa"/>
        <w:right w:w="108" w:type="dxa"/>
      </w:tblCellMar>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Ombrageclair4">
    <w:name w:val="Ombrage clair4"/>
    <w:basedOn w:val="TableauNormal"/>
    <w:uiPriority w:val="60"/>
    <w:semiHidden/>
    <w:unhideWhenUsed/>
    <w:rsid w:val="00E800E3"/>
    <w:rPr>
      <w:color w:val="000000"/>
      <w:lang w:eastAsia="fr-F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rameclaire-Accent3">
    <w:name w:val="Light Shading Accent 3"/>
    <w:basedOn w:val="TableauNormal"/>
    <w:uiPriority w:val="60"/>
    <w:semiHidden/>
    <w:unhideWhenUsed/>
    <w:rsid w:val="00E800E3"/>
    <w:rPr>
      <w:color w:val="7B7B7B"/>
      <w:lang w:eastAsia="fr-FR"/>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styleId="Listeclaire-Accent3">
    <w:name w:val="Light List Accent 3"/>
    <w:basedOn w:val="TableauNormal"/>
    <w:uiPriority w:val="61"/>
    <w:semiHidden/>
    <w:unhideWhenUsed/>
    <w:rsid w:val="00E800E3"/>
    <w:rPr>
      <w:lang w:eastAsia="fr-FR"/>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auNormal1">
    <w:name w:val="Tableau Normal1"/>
    <w:qFormat/>
    <w:rsid w:val="00E800E3"/>
    <w:pPr>
      <w:suppressAutoHyphens/>
      <w:spacing w:line="1" w:lineRule="atLeast"/>
      <w:ind w:leftChars="-1" w:left="-1" w:hangingChars="1" w:hanging="1"/>
      <w:textDirection w:val="btLr"/>
      <w:textAlignment w:val="top"/>
      <w:outlineLvl w:val="0"/>
    </w:pPr>
    <w:rPr>
      <w:rFonts w:cs="Calibri"/>
      <w:position w:val="-1"/>
      <w:sz w:val="24"/>
      <w:szCs w:val="24"/>
      <w:lang w:val="fr-FR" w:eastAsia="en-GB"/>
    </w:rPr>
    <w:tblPr>
      <w:tblInd w:w="0" w:type="dxa"/>
      <w:tblCellMar>
        <w:top w:w="0" w:type="dxa"/>
        <w:left w:w="108" w:type="dxa"/>
        <w:bottom w:w="0" w:type="dxa"/>
        <w:right w:w="108" w:type="dxa"/>
      </w:tblCellMar>
    </w:tblPr>
  </w:style>
  <w:style w:type="numbering" w:customStyle="1" w:styleId="Aucuneliste8">
    <w:name w:val="Aucune liste8"/>
    <w:qFormat/>
    <w:rsid w:val="00E800E3"/>
  </w:style>
  <w:style w:type="table" w:customStyle="1" w:styleId="Grilledutableau19">
    <w:name w:val="Grille du tableau19"/>
    <w:basedOn w:val="TableauNormal1"/>
    <w:rsid w:val="00E800E3"/>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moyenne211">
    <w:name w:val="Liste moyenne 211"/>
    <w:basedOn w:val="TableauNormal1"/>
    <w:rsid w:val="00E800E3"/>
    <w:rPr>
      <w:rFonts w:ascii="Cambria" w:hAnsi="Cambria"/>
      <w:color w:val="000000"/>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stemoyenne2-Accent11">
    <w:name w:val="Liste moyenne 2 - Accent 11"/>
    <w:basedOn w:val="TableauNormal1"/>
    <w:rsid w:val="00E800E3"/>
    <w:rPr>
      <w:rFonts w:ascii="Cambria" w:hAnsi="Cambria"/>
      <w:color w:val="000000"/>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stemoyenne2-Accent21">
    <w:name w:val="Liste moyenne 2 - Accent 21"/>
    <w:basedOn w:val="TableauNormal1"/>
    <w:rsid w:val="00E800E3"/>
    <w:rPr>
      <w:rFonts w:ascii="Cambria" w:hAnsi="Cambria"/>
      <w:color w:val="000000"/>
      <w:lang w:val="en-US"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style>
  <w:style w:type="table" w:customStyle="1" w:styleId="Listemoyenne2-Accent31">
    <w:name w:val="Liste moyenne 2 - Accent 31"/>
    <w:basedOn w:val="TableauNormal1"/>
    <w:rsid w:val="00E800E3"/>
    <w:rPr>
      <w:rFonts w:ascii="Cambria" w:hAnsi="Cambria"/>
      <w:color w:val="000000"/>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table" w:customStyle="1" w:styleId="Listemoyenne2-Accent51">
    <w:name w:val="Liste moyenne 2 - Accent 51"/>
    <w:basedOn w:val="TableauNormal1"/>
    <w:rsid w:val="00E800E3"/>
    <w:rPr>
      <w:rFonts w:ascii="Cambria" w:hAnsi="Cambria"/>
      <w:color w:val="000000"/>
      <w:lang w:val="en-US"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Trameclaire-Accent13">
    <w:name w:val="Trame claire - Accent 13"/>
    <w:basedOn w:val="TableauNormal1"/>
    <w:rsid w:val="00E800E3"/>
    <w:rPr>
      <w:color w:val="2E74B5"/>
      <w:sz w:val="22"/>
      <w:szCs w:val="22"/>
      <w:lang w:val="en-US" w:eastAsia="en-US"/>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style>
  <w:style w:type="table" w:customStyle="1" w:styleId="Grillecouleur-Accent15">
    <w:name w:val="Grille couleur - Accent 15"/>
    <w:basedOn w:val="TableauNormal1"/>
    <w:qFormat/>
    <w:rsid w:val="00E800E3"/>
    <w:rPr>
      <w:rFonts w:ascii="Arial" w:hAnsi="Arial"/>
      <w: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style>
  <w:style w:type="table" w:customStyle="1" w:styleId="Grillemoyenne251">
    <w:name w:val="Grille moyenne 251"/>
    <w:basedOn w:val="TableauNormal1"/>
    <w:qFormat/>
    <w:rsid w:val="00E800E3"/>
    <w:rPr>
      <w:szCs w:val="32"/>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Trameclaire-Accent25">
    <w:name w:val="Trame claire - Accent 25"/>
    <w:basedOn w:val="TableauNormal1"/>
    <w:qFormat/>
    <w:rsid w:val="00E800E3"/>
    <w:rPr>
      <w:rFonts w:ascii="Andalus" w:hAnsi="Andalus"/>
      <w:b/>
      <w:bCs/>
      <w:i/>
      <w:iCs/>
      <w:color w:val="4F81BD"/>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style>
  <w:style w:type="table" w:customStyle="1" w:styleId="Listecouleur-Accent14">
    <w:name w:val="Liste couleur - Accent 14"/>
    <w:basedOn w:val="TableauNormal1"/>
    <w:qFormat/>
    <w:rsid w:val="00E800E3"/>
    <w:rPr>
      <w:rFonts w:cs="Times New Roman"/>
      <w:color w:val="000000"/>
      <w:sz w:val="22"/>
      <w:szCs w:val="22"/>
      <w:lang w:eastAsia="en-US"/>
    </w:rPr>
    <w:tblPr>
      <w:tblStyleRowBandSize w:val="1"/>
      <w:tblStyleColBandSize w:val="1"/>
      <w:tblInd w:w="0" w:type="dxa"/>
      <w:tblCellMar>
        <w:top w:w="0" w:type="dxa"/>
        <w:left w:w="108" w:type="dxa"/>
        <w:bottom w:w="0" w:type="dxa"/>
        <w:right w:w="108" w:type="dxa"/>
      </w:tblCellMar>
    </w:tblPr>
  </w:style>
  <w:style w:type="table" w:customStyle="1" w:styleId="Ombrageclair41">
    <w:name w:val="Ombrage clair41"/>
    <w:basedOn w:val="TableauNormal1"/>
    <w:qFormat/>
    <w:rsid w:val="00E800E3"/>
    <w:rPr>
      <w:rFonts w:cs="Times New Roman"/>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Trameclaire-Accent34">
    <w:name w:val="Trame claire - Accent 34"/>
    <w:basedOn w:val="TableauNormal1"/>
    <w:qFormat/>
    <w:rsid w:val="00E800E3"/>
    <w:rPr>
      <w:rFonts w:cs="Times New Roman"/>
      <w:color w:val="7B7B7B"/>
      <w:sz w:val="22"/>
      <w:szCs w:val="22"/>
      <w:lang w:eastAsia="en-US"/>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style>
  <w:style w:type="table" w:customStyle="1" w:styleId="Listeclaire-Accent34">
    <w:name w:val="Liste claire - Accent 34"/>
    <w:basedOn w:val="TableauNormal1"/>
    <w:qFormat/>
    <w:rsid w:val="00E800E3"/>
    <w:rPr>
      <w:rFonts w:cs="Times New Roman"/>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style>
  <w:style w:type="paragraph" w:customStyle="1" w:styleId="TitreSection2">
    <w:name w:val="Titre Section 2"/>
    <w:basedOn w:val="Normal"/>
    <w:qFormat/>
    <w:rsid w:val="0021620B"/>
    <w:pPr>
      <w:keepNext/>
      <w:keepLines/>
      <w:spacing w:line="240" w:lineRule="auto"/>
      <w:ind w:right="113"/>
      <w:jc w:val="left"/>
    </w:pPr>
    <w:rPr>
      <w:rFonts w:ascii="Calibri" w:eastAsia="Calibri" w:hAnsi="Calibri"/>
      <w:b/>
      <w:bCs/>
      <w:i/>
      <w:iCs/>
      <w:sz w:val="24"/>
      <w:szCs w:val="24"/>
      <w:lang w:eastAsia="en-US"/>
    </w:rPr>
  </w:style>
  <w:style w:type="character" w:customStyle="1" w:styleId="Mention1">
    <w:name w:val="Mention1"/>
    <w:basedOn w:val="Policepardfaut"/>
    <w:uiPriority w:val="99"/>
    <w:unhideWhenUsed/>
    <w:rsid w:val="005609D6"/>
    <w:rPr>
      <w:color w:val="2B579A"/>
      <w:shd w:val="clear" w:color="auto" w:fill="E1DFDD"/>
    </w:rPr>
  </w:style>
  <w:style w:type="table" w:customStyle="1" w:styleId="TableNormal">
    <w:name w:val="Table Normal"/>
    <w:uiPriority w:val="2"/>
    <w:semiHidden/>
    <w:unhideWhenUsed/>
    <w:qFormat/>
    <w:rsid w:val="002F5E96"/>
    <w:pPr>
      <w:widowControl w:val="0"/>
      <w:autoSpaceDE w:val="0"/>
      <w:autoSpaceDN w:val="0"/>
    </w:pPr>
    <w:rPr>
      <w:sz w:val="22"/>
      <w:szCs w:val="22"/>
    </w:rPr>
    <w:tblPr>
      <w:tblInd w:w="0" w:type="dxa"/>
      <w:tblCellMar>
        <w:top w:w="0" w:type="dxa"/>
        <w:left w:w="0" w:type="dxa"/>
        <w:bottom w:w="0" w:type="dxa"/>
        <w:right w:w="0" w:type="dxa"/>
      </w:tblCellMar>
    </w:tblPr>
  </w:style>
  <w:style w:type="table" w:customStyle="1" w:styleId="Vale41">
    <w:name w:val="Vale 41"/>
    <w:basedOn w:val="TableauNormal"/>
    <w:next w:val="Grilledutableau"/>
    <w:uiPriority w:val="39"/>
    <w:qFormat/>
    <w:rsid w:val="00963A31"/>
    <w:rPr>
      <w:rFonts w:ascii="Times New Roman" w:eastAsiaTheme="minorHAnsi" w:hAnsi="Times New Roman" w:cstheme="minorBidi"/>
      <w:sz w:val="22"/>
      <w:szCs w:val="22"/>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autexteclient">
    <w:name w:val="Tableau texte client"/>
    <w:basedOn w:val="Normal"/>
    <w:qFormat/>
    <w:rsid w:val="002B4010"/>
    <w:pPr>
      <w:spacing w:before="60" w:after="60" w:line="220" w:lineRule="exact"/>
      <w:ind w:left="57" w:right="57"/>
      <w:jc w:val="left"/>
    </w:pPr>
    <w:rPr>
      <w:rFonts w:eastAsiaTheme="minorHAnsi" w:cstheme="minorHAnsi"/>
      <w:sz w:val="18"/>
      <w:lang w:eastAsia="en-US"/>
    </w:rPr>
  </w:style>
  <w:style w:type="character" w:customStyle="1" w:styleId="UnresolvedMention">
    <w:name w:val="Unresolved Mention"/>
    <w:basedOn w:val="Policepardfaut"/>
    <w:uiPriority w:val="99"/>
    <w:semiHidden/>
    <w:unhideWhenUsed/>
    <w:rsid w:val="006D66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356742">
      <w:bodyDiv w:val="1"/>
      <w:marLeft w:val="0"/>
      <w:marRight w:val="0"/>
      <w:marTop w:val="0"/>
      <w:marBottom w:val="0"/>
      <w:divBdr>
        <w:top w:val="none" w:sz="0" w:space="0" w:color="auto"/>
        <w:left w:val="none" w:sz="0" w:space="0" w:color="auto"/>
        <w:bottom w:val="none" w:sz="0" w:space="0" w:color="auto"/>
        <w:right w:val="none" w:sz="0" w:space="0" w:color="auto"/>
      </w:divBdr>
    </w:div>
    <w:div w:id="89665547">
      <w:bodyDiv w:val="1"/>
      <w:marLeft w:val="0"/>
      <w:marRight w:val="0"/>
      <w:marTop w:val="0"/>
      <w:marBottom w:val="0"/>
      <w:divBdr>
        <w:top w:val="none" w:sz="0" w:space="0" w:color="auto"/>
        <w:left w:val="none" w:sz="0" w:space="0" w:color="auto"/>
        <w:bottom w:val="none" w:sz="0" w:space="0" w:color="auto"/>
        <w:right w:val="none" w:sz="0" w:space="0" w:color="auto"/>
      </w:divBdr>
    </w:div>
    <w:div w:id="332148993">
      <w:bodyDiv w:val="1"/>
      <w:marLeft w:val="0"/>
      <w:marRight w:val="0"/>
      <w:marTop w:val="0"/>
      <w:marBottom w:val="0"/>
      <w:divBdr>
        <w:top w:val="none" w:sz="0" w:space="0" w:color="auto"/>
        <w:left w:val="none" w:sz="0" w:space="0" w:color="auto"/>
        <w:bottom w:val="none" w:sz="0" w:space="0" w:color="auto"/>
        <w:right w:val="none" w:sz="0" w:space="0" w:color="auto"/>
      </w:divBdr>
    </w:div>
    <w:div w:id="355158154">
      <w:bodyDiv w:val="1"/>
      <w:marLeft w:val="0"/>
      <w:marRight w:val="0"/>
      <w:marTop w:val="0"/>
      <w:marBottom w:val="0"/>
      <w:divBdr>
        <w:top w:val="none" w:sz="0" w:space="0" w:color="auto"/>
        <w:left w:val="none" w:sz="0" w:space="0" w:color="auto"/>
        <w:bottom w:val="none" w:sz="0" w:space="0" w:color="auto"/>
        <w:right w:val="none" w:sz="0" w:space="0" w:color="auto"/>
      </w:divBdr>
      <w:divsChild>
        <w:div w:id="655762182">
          <w:marLeft w:val="0"/>
          <w:marRight w:val="0"/>
          <w:marTop w:val="0"/>
          <w:marBottom w:val="375"/>
          <w:divBdr>
            <w:top w:val="none" w:sz="0" w:space="0" w:color="auto"/>
            <w:left w:val="none" w:sz="0" w:space="0" w:color="auto"/>
            <w:bottom w:val="none" w:sz="0" w:space="0" w:color="auto"/>
            <w:right w:val="none" w:sz="0" w:space="0" w:color="auto"/>
          </w:divBdr>
        </w:div>
        <w:div w:id="898898763">
          <w:marLeft w:val="0"/>
          <w:marRight w:val="0"/>
          <w:marTop w:val="0"/>
          <w:marBottom w:val="0"/>
          <w:divBdr>
            <w:top w:val="none" w:sz="0" w:space="0" w:color="auto"/>
            <w:left w:val="none" w:sz="0" w:space="0" w:color="auto"/>
            <w:bottom w:val="none" w:sz="0" w:space="0" w:color="auto"/>
            <w:right w:val="none" w:sz="0" w:space="0" w:color="auto"/>
          </w:divBdr>
        </w:div>
      </w:divsChild>
    </w:div>
    <w:div w:id="394011709">
      <w:bodyDiv w:val="1"/>
      <w:marLeft w:val="0"/>
      <w:marRight w:val="0"/>
      <w:marTop w:val="0"/>
      <w:marBottom w:val="0"/>
      <w:divBdr>
        <w:top w:val="none" w:sz="0" w:space="0" w:color="auto"/>
        <w:left w:val="none" w:sz="0" w:space="0" w:color="auto"/>
        <w:bottom w:val="none" w:sz="0" w:space="0" w:color="auto"/>
        <w:right w:val="none" w:sz="0" w:space="0" w:color="auto"/>
      </w:divBdr>
    </w:div>
    <w:div w:id="480662598">
      <w:bodyDiv w:val="1"/>
      <w:marLeft w:val="0"/>
      <w:marRight w:val="0"/>
      <w:marTop w:val="0"/>
      <w:marBottom w:val="0"/>
      <w:divBdr>
        <w:top w:val="none" w:sz="0" w:space="0" w:color="auto"/>
        <w:left w:val="none" w:sz="0" w:space="0" w:color="auto"/>
        <w:bottom w:val="none" w:sz="0" w:space="0" w:color="auto"/>
        <w:right w:val="none" w:sz="0" w:space="0" w:color="auto"/>
      </w:divBdr>
    </w:div>
    <w:div w:id="616105314">
      <w:bodyDiv w:val="1"/>
      <w:marLeft w:val="0"/>
      <w:marRight w:val="0"/>
      <w:marTop w:val="0"/>
      <w:marBottom w:val="0"/>
      <w:divBdr>
        <w:top w:val="none" w:sz="0" w:space="0" w:color="auto"/>
        <w:left w:val="none" w:sz="0" w:space="0" w:color="auto"/>
        <w:bottom w:val="none" w:sz="0" w:space="0" w:color="auto"/>
        <w:right w:val="none" w:sz="0" w:space="0" w:color="auto"/>
      </w:divBdr>
      <w:divsChild>
        <w:div w:id="1453935082">
          <w:marLeft w:val="0"/>
          <w:marRight w:val="0"/>
          <w:marTop w:val="0"/>
          <w:marBottom w:val="0"/>
          <w:divBdr>
            <w:top w:val="none" w:sz="0" w:space="0" w:color="auto"/>
            <w:left w:val="none" w:sz="0" w:space="0" w:color="auto"/>
            <w:bottom w:val="none" w:sz="0" w:space="0" w:color="auto"/>
            <w:right w:val="none" w:sz="0" w:space="0" w:color="auto"/>
          </w:divBdr>
        </w:div>
      </w:divsChild>
    </w:div>
    <w:div w:id="779759738">
      <w:bodyDiv w:val="1"/>
      <w:marLeft w:val="0"/>
      <w:marRight w:val="0"/>
      <w:marTop w:val="0"/>
      <w:marBottom w:val="0"/>
      <w:divBdr>
        <w:top w:val="none" w:sz="0" w:space="0" w:color="auto"/>
        <w:left w:val="none" w:sz="0" w:space="0" w:color="auto"/>
        <w:bottom w:val="none" w:sz="0" w:space="0" w:color="auto"/>
        <w:right w:val="none" w:sz="0" w:space="0" w:color="auto"/>
      </w:divBdr>
    </w:div>
    <w:div w:id="839858224">
      <w:bodyDiv w:val="1"/>
      <w:marLeft w:val="0"/>
      <w:marRight w:val="0"/>
      <w:marTop w:val="0"/>
      <w:marBottom w:val="0"/>
      <w:divBdr>
        <w:top w:val="none" w:sz="0" w:space="0" w:color="auto"/>
        <w:left w:val="none" w:sz="0" w:space="0" w:color="auto"/>
        <w:bottom w:val="none" w:sz="0" w:space="0" w:color="auto"/>
        <w:right w:val="none" w:sz="0" w:space="0" w:color="auto"/>
      </w:divBdr>
    </w:div>
    <w:div w:id="862787796">
      <w:bodyDiv w:val="1"/>
      <w:marLeft w:val="0"/>
      <w:marRight w:val="0"/>
      <w:marTop w:val="0"/>
      <w:marBottom w:val="0"/>
      <w:divBdr>
        <w:top w:val="none" w:sz="0" w:space="0" w:color="auto"/>
        <w:left w:val="none" w:sz="0" w:space="0" w:color="auto"/>
        <w:bottom w:val="none" w:sz="0" w:space="0" w:color="auto"/>
        <w:right w:val="none" w:sz="0" w:space="0" w:color="auto"/>
      </w:divBdr>
    </w:div>
    <w:div w:id="1038234840">
      <w:bodyDiv w:val="1"/>
      <w:marLeft w:val="0"/>
      <w:marRight w:val="0"/>
      <w:marTop w:val="0"/>
      <w:marBottom w:val="0"/>
      <w:divBdr>
        <w:top w:val="none" w:sz="0" w:space="0" w:color="auto"/>
        <w:left w:val="none" w:sz="0" w:space="0" w:color="auto"/>
        <w:bottom w:val="none" w:sz="0" w:space="0" w:color="auto"/>
        <w:right w:val="none" w:sz="0" w:space="0" w:color="auto"/>
      </w:divBdr>
    </w:div>
    <w:div w:id="1098869449">
      <w:bodyDiv w:val="1"/>
      <w:marLeft w:val="0"/>
      <w:marRight w:val="0"/>
      <w:marTop w:val="0"/>
      <w:marBottom w:val="0"/>
      <w:divBdr>
        <w:top w:val="none" w:sz="0" w:space="0" w:color="auto"/>
        <w:left w:val="none" w:sz="0" w:space="0" w:color="auto"/>
        <w:bottom w:val="none" w:sz="0" w:space="0" w:color="auto"/>
        <w:right w:val="none" w:sz="0" w:space="0" w:color="auto"/>
      </w:divBdr>
    </w:div>
    <w:div w:id="1194730487">
      <w:bodyDiv w:val="1"/>
      <w:marLeft w:val="0"/>
      <w:marRight w:val="0"/>
      <w:marTop w:val="0"/>
      <w:marBottom w:val="0"/>
      <w:divBdr>
        <w:top w:val="none" w:sz="0" w:space="0" w:color="auto"/>
        <w:left w:val="none" w:sz="0" w:space="0" w:color="auto"/>
        <w:bottom w:val="none" w:sz="0" w:space="0" w:color="auto"/>
        <w:right w:val="none" w:sz="0" w:space="0" w:color="auto"/>
      </w:divBdr>
    </w:div>
    <w:div w:id="1211307750">
      <w:bodyDiv w:val="1"/>
      <w:marLeft w:val="0"/>
      <w:marRight w:val="0"/>
      <w:marTop w:val="0"/>
      <w:marBottom w:val="0"/>
      <w:divBdr>
        <w:top w:val="none" w:sz="0" w:space="0" w:color="auto"/>
        <w:left w:val="none" w:sz="0" w:space="0" w:color="auto"/>
        <w:bottom w:val="none" w:sz="0" w:space="0" w:color="auto"/>
        <w:right w:val="none" w:sz="0" w:space="0" w:color="auto"/>
      </w:divBdr>
    </w:div>
    <w:div w:id="1220480983">
      <w:bodyDiv w:val="1"/>
      <w:marLeft w:val="0"/>
      <w:marRight w:val="0"/>
      <w:marTop w:val="0"/>
      <w:marBottom w:val="0"/>
      <w:divBdr>
        <w:top w:val="none" w:sz="0" w:space="0" w:color="auto"/>
        <w:left w:val="none" w:sz="0" w:space="0" w:color="auto"/>
        <w:bottom w:val="none" w:sz="0" w:space="0" w:color="auto"/>
        <w:right w:val="none" w:sz="0" w:space="0" w:color="auto"/>
      </w:divBdr>
    </w:div>
    <w:div w:id="1311011297">
      <w:bodyDiv w:val="1"/>
      <w:marLeft w:val="0"/>
      <w:marRight w:val="0"/>
      <w:marTop w:val="0"/>
      <w:marBottom w:val="0"/>
      <w:divBdr>
        <w:top w:val="none" w:sz="0" w:space="0" w:color="auto"/>
        <w:left w:val="none" w:sz="0" w:space="0" w:color="auto"/>
        <w:bottom w:val="none" w:sz="0" w:space="0" w:color="auto"/>
        <w:right w:val="none" w:sz="0" w:space="0" w:color="auto"/>
      </w:divBdr>
    </w:div>
    <w:div w:id="1321301628">
      <w:bodyDiv w:val="1"/>
      <w:marLeft w:val="0"/>
      <w:marRight w:val="0"/>
      <w:marTop w:val="0"/>
      <w:marBottom w:val="0"/>
      <w:divBdr>
        <w:top w:val="none" w:sz="0" w:space="0" w:color="auto"/>
        <w:left w:val="none" w:sz="0" w:space="0" w:color="auto"/>
        <w:bottom w:val="none" w:sz="0" w:space="0" w:color="auto"/>
        <w:right w:val="none" w:sz="0" w:space="0" w:color="auto"/>
      </w:divBdr>
    </w:div>
    <w:div w:id="1339889546">
      <w:bodyDiv w:val="1"/>
      <w:marLeft w:val="0"/>
      <w:marRight w:val="0"/>
      <w:marTop w:val="0"/>
      <w:marBottom w:val="0"/>
      <w:divBdr>
        <w:top w:val="none" w:sz="0" w:space="0" w:color="auto"/>
        <w:left w:val="none" w:sz="0" w:space="0" w:color="auto"/>
        <w:bottom w:val="none" w:sz="0" w:space="0" w:color="auto"/>
        <w:right w:val="none" w:sz="0" w:space="0" w:color="auto"/>
      </w:divBdr>
    </w:div>
    <w:div w:id="1354453088">
      <w:bodyDiv w:val="1"/>
      <w:marLeft w:val="0"/>
      <w:marRight w:val="0"/>
      <w:marTop w:val="0"/>
      <w:marBottom w:val="0"/>
      <w:divBdr>
        <w:top w:val="none" w:sz="0" w:space="0" w:color="auto"/>
        <w:left w:val="none" w:sz="0" w:space="0" w:color="auto"/>
        <w:bottom w:val="none" w:sz="0" w:space="0" w:color="auto"/>
        <w:right w:val="none" w:sz="0" w:space="0" w:color="auto"/>
      </w:divBdr>
    </w:div>
    <w:div w:id="1511329899">
      <w:bodyDiv w:val="1"/>
      <w:marLeft w:val="0"/>
      <w:marRight w:val="0"/>
      <w:marTop w:val="0"/>
      <w:marBottom w:val="0"/>
      <w:divBdr>
        <w:top w:val="none" w:sz="0" w:space="0" w:color="auto"/>
        <w:left w:val="none" w:sz="0" w:space="0" w:color="auto"/>
        <w:bottom w:val="none" w:sz="0" w:space="0" w:color="auto"/>
        <w:right w:val="none" w:sz="0" w:space="0" w:color="auto"/>
      </w:divBdr>
    </w:div>
    <w:div w:id="1889681487">
      <w:bodyDiv w:val="1"/>
      <w:marLeft w:val="0"/>
      <w:marRight w:val="0"/>
      <w:marTop w:val="0"/>
      <w:marBottom w:val="0"/>
      <w:divBdr>
        <w:top w:val="none" w:sz="0" w:space="0" w:color="auto"/>
        <w:left w:val="none" w:sz="0" w:space="0" w:color="auto"/>
        <w:bottom w:val="none" w:sz="0" w:space="0" w:color="auto"/>
        <w:right w:val="none" w:sz="0" w:space="0" w:color="auto"/>
      </w:divBdr>
    </w:div>
    <w:div w:id="2011635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3.jpeg"/><Relationship Id="rId21" Type="http://schemas.openxmlformats.org/officeDocument/2006/relationships/footer" Target="footer4.xml"/><Relationship Id="rId42" Type="http://schemas.openxmlformats.org/officeDocument/2006/relationships/hyperlink" Target="https://fr.wikipedia.org/wiki/Saison_s%C3%A8che" TargetMode="External"/><Relationship Id="rId63" Type="http://schemas.openxmlformats.org/officeDocument/2006/relationships/hyperlink" Target="http://fr.wikipedia.org/w/index.php?title=Luete&amp;action=edit&amp;redlink=1" TargetMode="External"/><Relationship Id="rId84" Type="http://schemas.openxmlformats.org/officeDocument/2006/relationships/hyperlink" Target="https://pubdocs.worldbank.org/en/936531525368193913/Environmental-Social-Framework-French.pdf%23page=17&amp;zoom=80" TargetMode="External"/><Relationship Id="rId138" Type="http://schemas.openxmlformats.org/officeDocument/2006/relationships/image" Target="media/image34.jpeg"/><Relationship Id="rId159" Type="http://schemas.openxmlformats.org/officeDocument/2006/relationships/image" Target="media/image55.jpeg"/><Relationship Id="rId170" Type="http://schemas.openxmlformats.org/officeDocument/2006/relationships/theme" Target="theme/theme1.xml"/><Relationship Id="rId107" Type="http://schemas.openxmlformats.org/officeDocument/2006/relationships/hyperlink" Target="mailto:Poyimodeste2020@gmail.com%20" TargetMode="External"/><Relationship Id="rId11" Type="http://schemas.openxmlformats.org/officeDocument/2006/relationships/image" Target="media/image1.png"/><Relationship Id="rId32" Type="http://schemas.openxmlformats.org/officeDocument/2006/relationships/hyperlink" Target="https://fr.wikipedia.org/wiki/Kananga" TargetMode="External"/><Relationship Id="rId53" Type="http://schemas.openxmlformats.org/officeDocument/2006/relationships/hyperlink" Target="https://fr.wikipedia.org/wiki/Dekese" TargetMode="External"/><Relationship Id="rId74" Type="http://schemas.openxmlformats.org/officeDocument/2006/relationships/hyperlink" Target="https://data.unwomen.org/resources/covid-19-emerging-gender-data-and-why-it-matters" TargetMode="External"/><Relationship Id="rId128" Type="http://schemas.openxmlformats.org/officeDocument/2006/relationships/image" Target="media/image24.jpeg"/><Relationship Id="rId149" Type="http://schemas.openxmlformats.org/officeDocument/2006/relationships/image" Target="media/image45.jpeg"/><Relationship Id="rId5" Type="http://schemas.openxmlformats.org/officeDocument/2006/relationships/numbering" Target="numbering.xml"/><Relationship Id="rId95" Type="http://schemas.openxmlformats.org/officeDocument/2006/relationships/hyperlink" Target="https://fr.wikipedia.org/wiki/Kinshasa" TargetMode="External"/><Relationship Id="rId160" Type="http://schemas.openxmlformats.org/officeDocument/2006/relationships/hyperlink" Target="https://www.who.int/emergencies/diseases/novel-coronavirus-2019/advice-for-public" TargetMode="External"/><Relationship Id="rId22" Type="http://schemas.openxmlformats.org/officeDocument/2006/relationships/hyperlink" Target="https://fr.wikipedia.org/wiki/R%C3%A9publique_d%C3%A9mocratique_du_Congo" TargetMode="External"/><Relationship Id="rId43" Type="http://schemas.openxmlformats.org/officeDocument/2006/relationships/hyperlink" Target="https://fr.wikipedia.org/wiki/V%C3%A9g%C3%A9tation" TargetMode="External"/><Relationship Id="rId64" Type="http://schemas.openxmlformats.org/officeDocument/2006/relationships/hyperlink" Target="http://fr.wikipedia.org/w/index.php?title=Lutshima&amp;action=edit&amp;redlink=1" TargetMode="External"/><Relationship Id="rId118" Type="http://schemas.openxmlformats.org/officeDocument/2006/relationships/image" Target="media/image14.jpeg"/><Relationship Id="rId139" Type="http://schemas.openxmlformats.org/officeDocument/2006/relationships/image" Target="media/image35.jpeg"/><Relationship Id="rId85" Type="http://schemas.openxmlformats.org/officeDocument/2006/relationships/hyperlink" Target="https://www.banquemondiale.org/fr/projects-operations/environmental-and-social-framework/brief/environmental-and-social-standards" TargetMode="External"/><Relationship Id="rId150" Type="http://schemas.openxmlformats.org/officeDocument/2006/relationships/image" Target="media/image46.jpeg"/><Relationship Id="rId12" Type="http://schemas.openxmlformats.org/officeDocument/2006/relationships/hyperlink" Target="javascript:void(0)" TargetMode="External"/><Relationship Id="rId33" Type="http://schemas.openxmlformats.org/officeDocument/2006/relationships/hyperlink" Target="https://fr.wikipedia.org/wiki/Sankuru_(district)" TargetMode="External"/><Relationship Id="rId108" Type="http://schemas.openxmlformats.org/officeDocument/2006/relationships/image" Target="media/image4.jpeg"/><Relationship Id="rId129" Type="http://schemas.openxmlformats.org/officeDocument/2006/relationships/image" Target="media/image25.jpeg"/><Relationship Id="rId54" Type="http://schemas.openxmlformats.org/officeDocument/2006/relationships/hyperlink" Target="https://fr.wikipedia.org/wiki/Ilebo" TargetMode="External"/><Relationship Id="rId70" Type="http://schemas.openxmlformats.org/officeDocument/2006/relationships/hyperlink" Target="http://documents.worldbank.org/curated/en/820851467992505410/pdf/102114-REVISED-PUBLIC-WBG-Gender-Strategy.pdf" TargetMode="External"/><Relationship Id="rId75" Type="http://schemas.openxmlformats.org/officeDocument/2006/relationships/hyperlink" Target="https://www.tandfonline.com/doi/full/10.1080/07399332.2016.1167896" TargetMode="External"/><Relationship Id="rId91" Type="http://schemas.openxmlformats.org/officeDocument/2006/relationships/hyperlink" Target="https://fr.wikipedia.org/wiki/Western_Union" TargetMode="External"/><Relationship Id="rId96" Type="http://schemas.openxmlformats.org/officeDocument/2006/relationships/hyperlink" Target="https://fr.wikipedia.org/wiki/Banque_%C3%A9lectronique" TargetMode="External"/><Relationship Id="rId140" Type="http://schemas.openxmlformats.org/officeDocument/2006/relationships/image" Target="media/image36.jpeg"/><Relationship Id="rId145" Type="http://schemas.openxmlformats.org/officeDocument/2006/relationships/image" Target="media/image41.jpeg"/><Relationship Id="rId161" Type="http://schemas.openxmlformats.org/officeDocument/2006/relationships/hyperlink" Target="https://www.who.int/publications-detail/water-sanitation-hygiene-and-waste-management-for-covid-19" TargetMode="External"/><Relationship Id="rId166" Type="http://schemas.openxmlformats.org/officeDocument/2006/relationships/hyperlink" Target="https://www.who.int/publications-detail/water-sanitation-hygiene-and-waste-management-for-covid-19"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fr.wikipedia.org/wiki/Bandundu_(province)" TargetMode="External"/><Relationship Id="rId28" Type="http://schemas.openxmlformats.org/officeDocument/2006/relationships/hyperlink" Target="https://fr.wikipedia.org/wiki/Lingala" TargetMode="External"/><Relationship Id="rId49" Type="http://schemas.openxmlformats.org/officeDocument/2006/relationships/hyperlink" Target="https://fr.wikipedia.org/wiki/Buffle" TargetMode="External"/><Relationship Id="rId114" Type="http://schemas.openxmlformats.org/officeDocument/2006/relationships/image" Target="media/image10.jpeg"/><Relationship Id="rId119" Type="http://schemas.openxmlformats.org/officeDocument/2006/relationships/image" Target="media/image15.jpeg"/><Relationship Id="rId44" Type="http://schemas.openxmlformats.org/officeDocument/2006/relationships/hyperlink" Target="https://fr.wikipedia.org/wiki/Savane" TargetMode="External"/><Relationship Id="rId60" Type="http://schemas.openxmlformats.org/officeDocument/2006/relationships/hyperlink" Target="https://fr.wikipedia.org/wiki/Guin%C3%A9e" TargetMode="External"/><Relationship Id="rId65" Type="http://schemas.openxmlformats.org/officeDocument/2006/relationships/hyperlink" Target="http://fr.wikipedia.org/w/index.php?title=Lubembe&amp;action=edit&amp;redlink=1" TargetMode="External"/><Relationship Id="rId81" Type="http://schemas.openxmlformats.org/officeDocument/2006/relationships/hyperlink" Target="https://www.afro.who.int/fr/news/reapparition-du-virus-ebola-au-nord-kivu-en-republique-democratique-du-congo" TargetMode="External"/><Relationship Id="rId86" Type="http://schemas.openxmlformats.org/officeDocument/2006/relationships/hyperlink" Target="https://policies.worldbank.org/en/policies/policyredirects?docid=e5562765-a553-4ea0-b787-7e1e775f29d5&amp;ver=current" TargetMode="External"/><Relationship Id="rId130" Type="http://schemas.openxmlformats.org/officeDocument/2006/relationships/image" Target="media/image26.jpeg"/><Relationship Id="rId135" Type="http://schemas.openxmlformats.org/officeDocument/2006/relationships/image" Target="media/image31.jpeg"/><Relationship Id="rId151" Type="http://schemas.openxmlformats.org/officeDocument/2006/relationships/image" Target="media/image47.jpeg"/><Relationship Id="rId156" Type="http://schemas.openxmlformats.org/officeDocument/2006/relationships/image" Target="media/image52.jpeg"/><Relationship Id="rId13" Type="http://schemas.openxmlformats.org/officeDocument/2006/relationships/hyperlink" Target="https://en.wikipedia.org/wiki/Department_for_International_Development" TargetMode="External"/><Relationship Id="rId18" Type="http://schemas.openxmlformats.org/officeDocument/2006/relationships/header" Target="header2.xml"/><Relationship Id="rId39" Type="http://schemas.openxmlformats.org/officeDocument/2006/relationships/hyperlink" Target="https://fr.wikipedia.org/wiki/Climat_tropical" TargetMode="External"/><Relationship Id="rId109" Type="http://schemas.openxmlformats.org/officeDocument/2006/relationships/image" Target="media/image5.jpeg"/><Relationship Id="rId34" Type="http://schemas.openxmlformats.org/officeDocument/2006/relationships/hyperlink" Target="https://fr.wikipedia.org/wiki/Parall%C3%A8le_(g%C3%A9ographie)" TargetMode="External"/><Relationship Id="rId50" Type="http://schemas.openxmlformats.org/officeDocument/2006/relationships/hyperlink" Target="https://fr.wikipedia.org/wiki/R%C3%A9publique_d%C3%A9mocratique_du_Congo" TargetMode="External"/><Relationship Id="rId55" Type="http://schemas.openxmlformats.org/officeDocument/2006/relationships/hyperlink" Target="https://fr.wikipedia.org/wiki/Kamonia" TargetMode="External"/><Relationship Id="rId76" Type="http://schemas.openxmlformats.org/officeDocument/2006/relationships/hyperlink" Target="https://academic.oup.com/jpubhealth/article/38/4/673/2966926" TargetMode="External"/><Relationship Id="rId97" Type="http://schemas.openxmlformats.org/officeDocument/2006/relationships/hyperlink" Target="https://fr.wikipedia.org/wiki/Western_Union" TargetMode="External"/><Relationship Id="rId104" Type="http://schemas.openxmlformats.org/officeDocument/2006/relationships/hyperlink" Target="http://pubdocs.worldbank.org/en/979391548951977252/ESF-Good-Practice-Notes-on-Security-Personnel-fran&#231;ais.pdf" TargetMode="External"/><Relationship Id="rId120" Type="http://schemas.openxmlformats.org/officeDocument/2006/relationships/image" Target="media/image16.jpeg"/><Relationship Id="rId125" Type="http://schemas.openxmlformats.org/officeDocument/2006/relationships/image" Target="media/image21.jpeg"/><Relationship Id="rId141" Type="http://schemas.openxmlformats.org/officeDocument/2006/relationships/image" Target="media/image37.jpeg"/><Relationship Id="rId146" Type="http://schemas.openxmlformats.org/officeDocument/2006/relationships/image" Target="media/image42.jpeg"/><Relationship Id="rId167" Type="http://schemas.openxmlformats.org/officeDocument/2006/relationships/hyperlink" Target="https://www.who.int/publications-detail/risk-communication-and-community-engagement-(rcce)-action-plan-guidance" TargetMode="External"/><Relationship Id="rId7" Type="http://schemas.openxmlformats.org/officeDocument/2006/relationships/settings" Target="settings.xml"/><Relationship Id="rId71" Type="http://schemas.openxmlformats.org/officeDocument/2006/relationships/hyperlink" Target="https://www.cnn.com/2020/03/24/health/coronavirus-gender-mortality-intl/index.html" TargetMode="External"/><Relationship Id="rId92" Type="http://schemas.openxmlformats.org/officeDocument/2006/relationships/hyperlink" Target="https://fr.wikipedia.org/wiki/MasterCard_(carte_bancaire)" TargetMode="External"/><Relationship Id="rId162" Type="http://schemas.openxmlformats.org/officeDocument/2006/relationships/hyperlink" Target="https://www.who.int/publications-detail/risk-communication-and-community-engagement-(rcce)-action-plan-guidance)" TargetMode="External"/><Relationship Id="rId2" Type="http://schemas.openxmlformats.org/officeDocument/2006/relationships/customXml" Target="../customXml/item2.xml"/><Relationship Id="rId29" Type="http://schemas.openxmlformats.org/officeDocument/2006/relationships/hyperlink" Target="https://www.caid.cd/index.php/donnees-par-province-administrative/province-de-kongo-central/?donnees=fiche" TargetMode="External"/><Relationship Id="rId24" Type="http://schemas.openxmlformats.org/officeDocument/2006/relationships/hyperlink" Target="https://fr.wikipedia.org/wiki/Hippopotame" TargetMode="External"/><Relationship Id="rId40" Type="http://schemas.openxmlformats.org/officeDocument/2006/relationships/hyperlink" Target="https://fr.wikipedia.org/wiki/Saison" TargetMode="External"/><Relationship Id="rId45" Type="http://schemas.openxmlformats.org/officeDocument/2006/relationships/hyperlink" Target="https://fr.wikipedia.org/wiki/Guin%C3%A9e" TargetMode="External"/><Relationship Id="rId66" Type="http://schemas.openxmlformats.org/officeDocument/2006/relationships/hyperlink" Target="http://dictionnaire.sensagent.leparisien.fr/Lwachimo%20(cours%20d'eau)/fr-fr/" TargetMode="External"/><Relationship Id="rId87" Type="http://schemas.openxmlformats.org/officeDocument/2006/relationships/hyperlink" Target="https://fr.wikipedia.org/wiki/R%C3%A9publique_d%C3%A9mocratique_du_Congo" TargetMode="External"/><Relationship Id="rId110" Type="http://schemas.openxmlformats.org/officeDocument/2006/relationships/image" Target="media/image6.jpeg"/><Relationship Id="rId115" Type="http://schemas.openxmlformats.org/officeDocument/2006/relationships/image" Target="media/image11.jpeg"/><Relationship Id="rId131" Type="http://schemas.openxmlformats.org/officeDocument/2006/relationships/image" Target="media/image27.jpeg"/><Relationship Id="rId136" Type="http://schemas.openxmlformats.org/officeDocument/2006/relationships/image" Target="media/image32.jpeg"/><Relationship Id="rId157" Type="http://schemas.openxmlformats.org/officeDocument/2006/relationships/image" Target="media/image53.jpeg"/><Relationship Id="rId61" Type="http://schemas.openxmlformats.org/officeDocument/2006/relationships/hyperlink" Target="http://fr.wikipedia.org/w/index.php?title=Munyango&amp;action=edit&amp;redlink=1" TargetMode="External"/><Relationship Id="rId82" Type="http://schemas.openxmlformats.org/officeDocument/2006/relationships/hyperlink" Target="https://pubdocs.worldbank.org/en/936531525368193913/Environmental-Social-Framework-French.pdf" TargetMode="External"/><Relationship Id="rId152" Type="http://schemas.openxmlformats.org/officeDocument/2006/relationships/image" Target="media/image48.jpeg"/><Relationship Id="rId19" Type="http://schemas.openxmlformats.org/officeDocument/2006/relationships/header" Target="header3.xml"/><Relationship Id="rId14" Type="http://schemas.openxmlformats.org/officeDocument/2006/relationships/header" Target="header1.xml"/><Relationship Id="rId30" Type="http://schemas.openxmlformats.org/officeDocument/2006/relationships/hyperlink" Target="https://fr.wikipedia.org/wiki/R%C3%A9publique_d%C3%A9mocratique_du_Congo" TargetMode="External"/><Relationship Id="rId35" Type="http://schemas.openxmlformats.org/officeDocument/2006/relationships/hyperlink" Target="https://fr.wikipedia.org/wiki/Latitude" TargetMode="External"/><Relationship Id="rId56" Type="http://schemas.openxmlformats.org/officeDocument/2006/relationships/hyperlink" Target="https://fr.wikipedia.org/wiki/Luebo" TargetMode="External"/><Relationship Id="rId77" Type="http://schemas.openxmlformats.org/officeDocument/2006/relationships/hyperlink" Target="https://www.cgdev.org/blog/gender-lens-covid-19-pandemics-and-violence-against-women-and-children" TargetMode="External"/><Relationship Id="rId100" Type="http://schemas.openxmlformats.org/officeDocument/2006/relationships/footer" Target="footer6.xml"/><Relationship Id="rId105" Type="http://schemas.openxmlformats.org/officeDocument/2006/relationships/hyperlink" Target="https://worldbankgroup.sharepoint.com/sites/wbunits/opcs/Knowledge%20Base/Public%20Consulta" TargetMode="External"/><Relationship Id="rId126" Type="http://schemas.openxmlformats.org/officeDocument/2006/relationships/image" Target="media/image22.jpeg"/><Relationship Id="rId147" Type="http://schemas.openxmlformats.org/officeDocument/2006/relationships/image" Target="media/image43.jpeg"/><Relationship Id="rId168"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hyperlink" Target="https://fr.wikipedia.org/wiki/Kasa%C3%AF-Occidental" TargetMode="External"/><Relationship Id="rId72" Type="http://schemas.openxmlformats.org/officeDocument/2006/relationships/hyperlink" Target="https://www.theguardian.com/commentisfree/2020/apr/07/coronavirus-hits-men-harder-evidence-risk" TargetMode="External"/><Relationship Id="rId93" Type="http://schemas.openxmlformats.org/officeDocument/2006/relationships/hyperlink" Target="https://fr.wikipedia.org/wiki/Banque" TargetMode="External"/><Relationship Id="rId98" Type="http://schemas.openxmlformats.org/officeDocument/2006/relationships/hyperlink" Target="https://fr.wikipedia.org/wiki/MasterCard_(carte_bancaire)" TargetMode="External"/><Relationship Id="rId121" Type="http://schemas.openxmlformats.org/officeDocument/2006/relationships/image" Target="media/image17.jpeg"/><Relationship Id="rId142" Type="http://schemas.openxmlformats.org/officeDocument/2006/relationships/image" Target="media/image38.jpeg"/><Relationship Id="rId163" Type="http://schemas.openxmlformats.org/officeDocument/2006/relationships/hyperlink" Target="mailto:corneillekm@yahoo.fr" TargetMode="External"/><Relationship Id="rId3" Type="http://schemas.openxmlformats.org/officeDocument/2006/relationships/customXml" Target="../customXml/item3.xml"/><Relationship Id="rId25" Type="http://schemas.openxmlformats.org/officeDocument/2006/relationships/hyperlink" Target="https://fr.wikipedia.org/wiki/Bonobo" TargetMode="External"/><Relationship Id="rId46" Type="http://schemas.openxmlformats.org/officeDocument/2006/relationships/hyperlink" Target="https://fr.wikipedia.org/wiki/Luiza_(territoire)" TargetMode="External"/><Relationship Id="rId67" Type="http://schemas.openxmlformats.org/officeDocument/2006/relationships/hyperlink" Target="http://dictionnaire.sensagent.leparisien.fr/Tshikapa%20(rivi&#232;re)/fr-fr/" TargetMode="External"/><Relationship Id="rId116" Type="http://schemas.openxmlformats.org/officeDocument/2006/relationships/image" Target="media/image12.jpeg"/><Relationship Id="rId137" Type="http://schemas.openxmlformats.org/officeDocument/2006/relationships/image" Target="media/image33.jpeg"/><Relationship Id="rId158" Type="http://schemas.openxmlformats.org/officeDocument/2006/relationships/image" Target="media/image54.jpeg"/><Relationship Id="rId20" Type="http://schemas.openxmlformats.org/officeDocument/2006/relationships/footer" Target="footer3.xml"/><Relationship Id="rId41" Type="http://schemas.openxmlformats.org/officeDocument/2006/relationships/hyperlink" Target="https://fr.wikipedia.org/wiki/Saison_humide" TargetMode="External"/><Relationship Id="rId62" Type="http://schemas.openxmlformats.org/officeDocument/2006/relationships/hyperlink" Target="http://dictionnaire.sensagent.leparisien.fr/Fimi/fr-fr/" TargetMode="External"/><Relationship Id="rId83" Type="http://schemas.openxmlformats.org/officeDocument/2006/relationships/hyperlink" Target="https://pubdocs.worldbank.org/en/936531525368193913/Environmental-Social-Framework-French.pdf%23page=15&amp;zoom=80" TargetMode="External"/><Relationship Id="rId88" Type="http://schemas.openxmlformats.org/officeDocument/2006/relationships/hyperlink" Target="https://fr.wikipedia.org/wiki/1909" TargetMode="External"/><Relationship Id="rId111" Type="http://schemas.openxmlformats.org/officeDocument/2006/relationships/image" Target="media/image7.jpeg"/><Relationship Id="rId132" Type="http://schemas.openxmlformats.org/officeDocument/2006/relationships/image" Target="media/image28.jpeg"/><Relationship Id="rId153" Type="http://schemas.openxmlformats.org/officeDocument/2006/relationships/image" Target="media/image49.jpeg"/><Relationship Id="rId15" Type="http://schemas.openxmlformats.org/officeDocument/2006/relationships/footer" Target="footer1.xml"/><Relationship Id="rId36" Type="http://schemas.openxmlformats.org/officeDocument/2006/relationships/hyperlink" Target="https://fr.wikipedia.org/wiki/M%C3%A9ridien" TargetMode="External"/><Relationship Id="rId57" Type="http://schemas.openxmlformats.org/officeDocument/2006/relationships/hyperlink" Target="https://fr.wikipedia.org/wiki/Mweka" TargetMode="External"/><Relationship Id="rId106" Type="http://schemas.openxmlformats.org/officeDocument/2006/relationships/hyperlink" Target="mailto:corneillekm@yahoo.fr" TargetMode="External"/><Relationship Id="rId127" Type="http://schemas.openxmlformats.org/officeDocument/2006/relationships/image" Target="media/image23.jpeg"/><Relationship Id="rId10" Type="http://schemas.openxmlformats.org/officeDocument/2006/relationships/endnotes" Target="endnotes.xml"/><Relationship Id="rId31" Type="http://schemas.openxmlformats.org/officeDocument/2006/relationships/hyperlink" Target="https://fr.wikipedia.org/wiki/Kasa%C3%AF-Occidental" TargetMode="External"/><Relationship Id="rId52" Type="http://schemas.openxmlformats.org/officeDocument/2006/relationships/hyperlink" Target="https://fr.wikipedia.org/wiki/Kasa%C3%AF_(rivi%C3%A8re)" TargetMode="External"/><Relationship Id="rId73" Type="http://schemas.openxmlformats.org/officeDocument/2006/relationships/hyperlink" Target="https://data.unwomen.org/resources/covid-19-emerging-gender-data-and-why-it-matters" TargetMode="External"/><Relationship Id="rId78" Type="http://schemas.openxmlformats.org/officeDocument/2006/relationships/hyperlink" Target="https://news.un.org/fr/story/2020/04/1065842" TargetMode="External"/><Relationship Id="rId94" Type="http://schemas.openxmlformats.org/officeDocument/2006/relationships/hyperlink" Target="https://fr.wikipedia.org/wiki/R%C3%A9publique_d%C3%A9mocratique_du_Congo" TargetMode="External"/><Relationship Id="rId99" Type="http://schemas.openxmlformats.org/officeDocument/2006/relationships/footer" Target="footer5.xml"/><Relationship Id="rId101" Type="http://schemas.openxmlformats.org/officeDocument/2006/relationships/footer" Target="footer7.xml"/><Relationship Id="rId122" Type="http://schemas.openxmlformats.org/officeDocument/2006/relationships/image" Target="media/image18.jpeg"/><Relationship Id="rId143" Type="http://schemas.openxmlformats.org/officeDocument/2006/relationships/image" Target="media/image39.jpeg"/><Relationship Id="rId148" Type="http://schemas.openxmlformats.org/officeDocument/2006/relationships/image" Target="media/image44.jpeg"/><Relationship Id="rId164" Type="http://schemas.openxmlformats.org/officeDocument/2006/relationships/hyperlink" Target="mailto:Poyimodeste2020@gmail.com%20" TargetMode="External"/><Relationship Id="rId16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fr.wikipedia.org/wiki/Royaume_Kongo" TargetMode="External"/><Relationship Id="rId47" Type="http://schemas.openxmlformats.org/officeDocument/2006/relationships/hyperlink" Target="https://fr.wikipedia.org/wiki/Hippopotame" TargetMode="External"/><Relationship Id="rId68" Type="http://schemas.openxmlformats.org/officeDocument/2006/relationships/image" Target="media/image3.jpeg"/><Relationship Id="rId89" Type="http://schemas.openxmlformats.org/officeDocument/2006/relationships/hyperlink" Target="https://fr.wikipedia.org/wiki/R%C3%A9publique_d%C3%A9mocratique_du_Congo" TargetMode="External"/><Relationship Id="rId112" Type="http://schemas.openxmlformats.org/officeDocument/2006/relationships/image" Target="media/image8.jpeg"/><Relationship Id="rId133" Type="http://schemas.openxmlformats.org/officeDocument/2006/relationships/image" Target="media/image29.jpeg"/><Relationship Id="rId154" Type="http://schemas.openxmlformats.org/officeDocument/2006/relationships/image" Target="media/image50.jpeg"/><Relationship Id="rId16" Type="http://schemas.openxmlformats.org/officeDocument/2006/relationships/footer" Target="footer2.xml"/><Relationship Id="rId37" Type="http://schemas.openxmlformats.org/officeDocument/2006/relationships/hyperlink" Target="https://fr.wikipedia.org/wiki/Longitude" TargetMode="External"/><Relationship Id="rId58" Type="http://schemas.openxmlformats.org/officeDocument/2006/relationships/hyperlink" Target="https://fr.wikipedia.org/wiki/V%C3%A9g%C3%A9tation" TargetMode="External"/><Relationship Id="rId79" Type="http://schemas.openxmlformats.org/officeDocument/2006/relationships/hyperlink" Target="https://data.unwomen.org/resources/covid-19-emerging-gender-data-and-why-it-matters" TargetMode="External"/><Relationship Id="rId102" Type="http://schemas.openxmlformats.org/officeDocument/2006/relationships/hyperlink" Target="https://www.worldbank.org/en/projects-operations/products-and-services/grievance-redress-service" TargetMode="External"/><Relationship Id="rId123" Type="http://schemas.openxmlformats.org/officeDocument/2006/relationships/image" Target="media/image19.jpeg"/><Relationship Id="rId144" Type="http://schemas.openxmlformats.org/officeDocument/2006/relationships/image" Target="media/image40.jpeg"/><Relationship Id="rId90" Type="http://schemas.openxmlformats.org/officeDocument/2006/relationships/hyperlink" Target="https://fr.wikipedia.org/wiki/Banque_%C3%A9lectronique" TargetMode="External"/><Relationship Id="rId165" Type="http://schemas.openxmlformats.org/officeDocument/2006/relationships/hyperlink" Target="https://www.who.int/emergencies/diseases/novel-coronavirus-2019/advice-for-public" TargetMode="External"/><Relationship Id="rId27" Type="http://schemas.openxmlformats.org/officeDocument/2006/relationships/hyperlink" Target="https://fr.wikipedia.org/wiki/Kikongo" TargetMode="External"/><Relationship Id="rId48" Type="http://schemas.openxmlformats.org/officeDocument/2006/relationships/hyperlink" Target="https://fr.wikipedia.org/wiki/Sitatunga" TargetMode="External"/><Relationship Id="rId69" Type="http://schemas.openxmlformats.org/officeDocument/2006/relationships/hyperlink" Target="https://openknowledge.worldbank.org/handle/10986/4391?locale-attribute=fr" TargetMode="External"/><Relationship Id="rId113" Type="http://schemas.openxmlformats.org/officeDocument/2006/relationships/image" Target="media/image9.jpeg"/><Relationship Id="rId134" Type="http://schemas.openxmlformats.org/officeDocument/2006/relationships/image" Target="media/image30.jpeg"/><Relationship Id="rId80" Type="http://schemas.openxmlformats.org/officeDocument/2006/relationships/hyperlink" Target="https://twitter.com/intent/tweet?text=Parce+que+le+virus+ne+touche+pas+les+femmes+et+les+hommes+de+la+m%C3%AAme+fa%C3%A7on%2C+notre+r%C3%A9ponse+doit+tenir+compte+de+ces+diff%C3%A9rences.&amp;url=https://blogs.worldbank.org/fr/voices/femmes-et-hommes-ne-sont-pas-egaux-face-au-coronavirus-covid-19?cid=ECR_E_newsletterweekly_FR_EXT&amp;deliveryName=DM62571/?cid=EXT_WBBlogTweetableShare_D_EXT&amp;via=WorldBank" TargetMode="External"/><Relationship Id="rId155" Type="http://schemas.openxmlformats.org/officeDocument/2006/relationships/image" Target="media/image51.jpeg"/><Relationship Id="rId17" Type="http://schemas.openxmlformats.org/officeDocument/2006/relationships/image" Target="media/image2.jpeg"/><Relationship Id="rId38" Type="http://schemas.openxmlformats.org/officeDocument/2006/relationships/hyperlink" Target="https://fr.wikipedia.org/wiki/Climat" TargetMode="External"/><Relationship Id="rId59" Type="http://schemas.openxmlformats.org/officeDocument/2006/relationships/hyperlink" Target="https://fr.wikipedia.org/wiki/Savane" TargetMode="External"/><Relationship Id="rId103" Type="http://schemas.openxmlformats.org/officeDocument/2006/relationships/hyperlink" Target="http://www.inspectionpanel.org" TargetMode="External"/><Relationship Id="rId124" Type="http://schemas.openxmlformats.org/officeDocument/2006/relationships/image" Target="media/image20.jpeg"/></Relationships>
</file>

<file path=word/_rels/footnotes.xml.rels><?xml version="1.0" encoding="UTF-8" standalone="yes"?>
<Relationships xmlns="http://schemas.openxmlformats.org/package/2006/relationships"><Relationship Id="rId8" Type="http://schemas.openxmlformats.org/officeDocument/2006/relationships/hyperlink" Target="http://www.pnmls.cd/doc/Lois%20portant%20protection%20des%20PVV%20et%20PA,%20Protection%20de%20l'enfant%20et%20contre%20VS%20J.O.%20n%C2%B0%20Sp%C3%A9cial%20du%2025%20mai%202009.pdf" TargetMode="External"/><Relationship Id="rId3" Type="http://schemas.openxmlformats.org/officeDocument/2006/relationships/hyperlink" Target="http://pubdocs.worldbank.org/en/296041548955886585/Good-Practice-Note-Addressing-Gender-Based-Violence-french.pdf" TargetMode="External"/><Relationship Id="rId7" Type="http://schemas.openxmlformats.org/officeDocument/2006/relationships/hyperlink" Target="https://www.ifc.org/wps/wcm/connect/d4260b19-30f2-466d-9c7e-86ac0ece7e89/010_General%2BGuidelines.pdf?MOD=AJPERES&amp;CVID=jkD2Am7&amp;ContentCache=NONE&amp;CACHE=NONE" TargetMode="External"/><Relationship Id="rId2" Type="http://schemas.openxmlformats.org/officeDocument/2006/relationships/hyperlink" Target="http://pubdocs.worldbank.org/en/296041548955886585/Good-Practice-Note-Addressing-Gender-Based-Violence-french.pdf" TargetMode="External"/><Relationship Id="rId1" Type="http://schemas.openxmlformats.org/officeDocument/2006/relationships/hyperlink" Target="http://pubdocs.worldbank.org/en/215761593706525660/ESF-GPN-SEASH-in-major-civil-works-French.pdf" TargetMode="External"/><Relationship Id="rId6" Type="http://schemas.openxmlformats.org/officeDocument/2006/relationships/hyperlink" Target="http://pubdocs.worldbank.org/en/936531525368193913/Environmental-Social-Framework-French2.pdf" TargetMode="External"/><Relationship Id="rId5" Type="http://schemas.openxmlformats.org/officeDocument/2006/relationships/hyperlink" Target="https://www.ifc.org/wps/wcm/connect/d4260b19-30f2-466d-9c7e-86ac0ece7e89/010_General%2BGuidelines.pdf?MOD=AJPERES&amp;CVID=jkD2Am7&amp;ContentCache=NONE&amp;CACHE=NONE" TargetMode="External"/><Relationship Id="rId4" Type="http://schemas.openxmlformats.org/officeDocument/2006/relationships/hyperlink" Target="http://pubdocs.worldbank.org/en/936531525368193913/Environmental-Social-Framework-French2.pdf" TargetMode="External"/><Relationship Id="rId9" Type="http://schemas.openxmlformats.org/officeDocument/2006/relationships/hyperlink" Target="http://www.gbvims.com/wp/wp-content/uploads/BestPractices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787EA3DE823DC489E44BF4CD2C2AF9F" ma:contentTypeVersion="13" ma:contentTypeDescription="Create a new document." ma:contentTypeScope="" ma:versionID="b5b3559bc1e02cbd9c3de23a2e7c4064">
  <xsd:schema xmlns:xsd="http://www.w3.org/2001/XMLSchema" xmlns:xs="http://www.w3.org/2001/XMLSchema" xmlns:p="http://schemas.microsoft.com/office/2006/metadata/properties" xmlns:ns3="543abfbf-1b39-4535-8b1b-c72a4cdaa484" xmlns:ns4="2834bc84-a818-4cb9-8b4d-5179cfe104eb" targetNamespace="http://schemas.microsoft.com/office/2006/metadata/properties" ma:root="true" ma:fieldsID="756f5f8d0f5ccd5a554c091cecc37cb7" ns3:_="" ns4:_="">
    <xsd:import namespace="543abfbf-1b39-4535-8b1b-c72a4cdaa484"/>
    <xsd:import namespace="2834bc84-a818-4cb9-8b4d-5179cfe104e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3abfbf-1b39-4535-8b1b-c72a4cdaa48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34bc84-a818-4cb9-8b4d-5179cfe104e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4F8B0B-097F-4C33-8F6A-20644DDAF574}">
  <ds:schemaRefs>
    <ds:schemaRef ds:uri="http://schemas.microsoft.com/sharepoint/v3/contenttype/forms"/>
  </ds:schemaRefs>
</ds:datastoreItem>
</file>

<file path=customXml/itemProps2.xml><?xml version="1.0" encoding="utf-8"?>
<ds:datastoreItem xmlns:ds="http://schemas.openxmlformats.org/officeDocument/2006/customXml" ds:itemID="{BE29D71A-F312-465B-A48A-5289E61EA01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446A3D7-F198-4DF9-A3F7-CC35096305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3abfbf-1b39-4535-8b1b-c72a4cdaa484"/>
    <ds:schemaRef ds:uri="2834bc84-a818-4cb9-8b4d-5179cfe104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041266C-285D-4055-B0AA-CA0E4EA4DF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209532</Words>
  <Characters>1152428</Characters>
  <Application>Microsoft Office Word</Application>
  <DocSecurity>0</DocSecurity>
  <Lines>9603</Lines>
  <Paragraphs>2718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1359242</CharactersWithSpaces>
  <SharedDoc>false</SharedDoc>
  <HLinks>
    <vt:vector size="1566" baseType="variant">
      <vt:variant>
        <vt:i4>3735585</vt:i4>
      </vt:variant>
      <vt:variant>
        <vt:i4>1407</vt:i4>
      </vt:variant>
      <vt:variant>
        <vt:i4>0</vt:i4>
      </vt:variant>
      <vt:variant>
        <vt:i4>5</vt:i4>
      </vt:variant>
      <vt:variant>
        <vt:lpwstr>https://www.who.int/publications-detail/risk-communication-and-community-engagement-(rcce)-action-plan-guidance</vt:lpwstr>
      </vt:variant>
      <vt:variant>
        <vt:lpwstr/>
      </vt:variant>
      <vt:variant>
        <vt:i4>3997755</vt:i4>
      </vt:variant>
      <vt:variant>
        <vt:i4>1404</vt:i4>
      </vt:variant>
      <vt:variant>
        <vt:i4>0</vt:i4>
      </vt:variant>
      <vt:variant>
        <vt:i4>5</vt:i4>
      </vt:variant>
      <vt:variant>
        <vt:lpwstr>https://www.who.int/publications-detail/water-sanitation-hygiene-and-waste-management-for-covid-19</vt:lpwstr>
      </vt:variant>
      <vt:variant>
        <vt:lpwstr/>
      </vt:variant>
      <vt:variant>
        <vt:i4>4653078</vt:i4>
      </vt:variant>
      <vt:variant>
        <vt:i4>1401</vt:i4>
      </vt:variant>
      <vt:variant>
        <vt:i4>0</vt:i4>
      </vt:variant>
      <vt:variant>
        <vt:i4>5</vt:i4>
      </vt:variant>
      <vt:variant>
        <vt:lpwstr>https://www.who.int/emergencies/diseases/novel-coronavirus-2019/advice-for-public</vt:lpwstr>
      </vt:variant>
      <vt:variant>
        <vt:lpwstr/>
      </vt:variant>
      <vt:variant>
        <vt:i4>1048631</vt:i4>
      </vt:variant>
      <vt:variant>
        <vt:i4>1398</vt:i4>
      </vt:variant>
      <vt:variant>
        <vt:i4>0</vt:i4>
      </vt:variant>
      <vt:variant>
        <vt:i4>5</vt:i4>
      </vt:variant>
      <vt:variant>
        <vt:lpwstr>mailto:Poyimodeste2020@gmail.com</vt:lpwstr>
      </vt:variant>
      <vt:variant>
        <vt:lpwstr/>
      </vt:variant>
      <vt:variant>
        <vt:i4>6946885</vt:i4>
      </vt:variant>
      <vt:variant>
        <vt:i4>1395</vt:i4>
      </vt:variant>
      <vt:variant>
        <vt:i4>0</vt:i4>
      </vt:variant>
      <vt:variant>
        <vt:i4>5</vt:i4>
      </vt:variant>
      <vt:variant>
        <vt:lpwstr>mailto:corneillekm@yahoo.fr</vt:lpwstr>
      </vt:variant>
      <vt:variant>
        <vt:lpwstr/>
      </vt:variant>
      <vt:variant>
        <vt:i4>2621472</vt:i4>
      </vt:variant>
      <vt:variant>
        <vt:i4>1392</vt:i4>
      </vt:variant>
      <vt:variant>
        <vt:i4>0</vt:i4>
      </vt:variant>
      <vt:variant>
        <vt:i4>5</vt:i4>
      </vt:variant>
      <vt:variant>
        <vt:lpwstr>https://worldbankgroup.sharepoint.com/sites/wbunits/opcs/Knowledge Base/Public Consulta</vt:lpwstr>
      </vt:variant>
      <vt:variant>
        <vt:lpwstr/>
      </vt:variant>
      <vt:variant>
        <vt:i4>9306128</vt:i4>
      </vt:variant>
      <vt:variant>
        <vt:i4>1389</vt:i4>
      </vt:variant>
      <vt:variant>
        <vt:i4>0</vt:i4>
      </vt:variant>
      <vt:variant>
        <vt:i4>5</vt:i4>
      </vt:variant>
      <vt:variant>
        <vt:lpwstr>http://pubdocs.worldbank.org/en/979391548951977252/ESF-Good-Practice-Notes-on-Security-Personnel-français.pdf</vt:lpwstr>
      </vt:variant>
      <vt:variant>
        <vt:lpwstr/>
      </vt:variant>
      <vt:variant>
        <vt:i4>3670048</vt:i4>
      </vt:variant>
      <vt:variant>
        <vt:i4>1383</vt:i4>
      </vt:variant>
      <vt:variant>
        <vt:i4>0</vt:i4>
      </vt:variant>
      <vt:variant>
        <vt:i4>5</vt:i4>
      </vt:variant>
      <vt:variant>
        <vt:lpwstr>http://www.inspectionpanel.org/francais</vt:lpwstr>
      </vt:variant>
      <vt:variant>
        <vt:lpwstr/>
      </vt:variant>
      <vt:variant>
        <vt:i4>2949221</vt:i4>
      </vt:variant>
      <vt:variant>
        <vt:i4>1305</vt:i4>
      </vt:variant>
      <vt:variant>
        <vt:i4>0</vt:i4>
      </vt:variant>
      <vt:variant>
        <vt:i4>5</vt:i4>
      </vt:variant>
      <vt:variant>
        <vt:lpwstr>https://www.google.com/url?sa=t&amp;rct=j&amp;q=&amp;esrc=s&amp;source=web&amp;cd=&amp;cad=rja&amp;uact=8&amp;ved=2ahUKEwiL79b1lZTwAhUjQhUIHWCXCbAQFjAAegQIAhAD&amp;url=https%3A%2F%2Fpdss.cd%2Fwp-content%2Fuploads%2F2019%2F03%2FChild-Nutrition-LMP-3-11-19-Cleared-Disclosed.pdf&amp;usg=AOvVaw3BWHWmKyBGOuzzIJvO6gaH</vt:lpwstr>
      </vt:variant>
      <vt:variant>
        <vt:lpwstr/>
      </vt:variant>
      <vt:variant>
        <vt:i4>4128809</vt:i4>
      </vt:variant>
      <vt:variant>
        <vt:i4>1302</vt:i4>
      </vt:variant>
      <vt:variant>
        <vt:i4>0</vt:i4>
      </vt:variant>
      <vt:variant>
        <vt:i4>5</vt:i4>
      </vt:variant>
      <vt:variant>
        <vt:lpwstr>https://fr.wikipedia.org/wiki/MasterCard_(carte_bancaire)</vt:lpwstr>
      </vt:variant>
      <vt:variant>
        <vt:lpwstr/>
      </vt:variant>
      <vt:variant>
        <vt:i4>786532</vt:i4>
      </vt:variant>
      <vt:variant>
        <vt:i4>1299</vt:i4>
      </vt:variant>
      <vt:variant>
        <vt:i4>0</vt:i4>
      </vt:variant>
      <vt:variant>
        <vt:i4>5</vt:i4>
      </vt:variant>
      <vt:variant>
        <vt:lpwstr>https://fr.wikipedia.org/wiki/Western_Union</vt:lpwstr>
      </vt:variant>
      <vt:variant>
        <vt:lpwstr/>
      </vt:variant>
      <vt:variant>
        <vt:i4>3407948</vt:i4>
      </vt:variant>
      <vt:variant>
        <vt:i4>1296</vt:i4>
      </vt:variant>
      <vt:variant>
        <vt:i4>0</vt:i4>
      </vt:variant>
      <vt:variant>
        <vt:i4>5</vt:i4>
      </vt:variant>
      <vt:variant>
        <vt:lpwstr>https://fr.wikipedia.org/wiki/Banque_%C3%A9lectronique</vt:lpwstr>
      </vt:variant>
      <vt:variant>
        <vt:lpwstr/>
      </vt:variant>
      <vt:variant>
        <vt:i4>2818153</vt:i4>
      </vt:variant>
      <vt:variant>
        <vt:i4>1278</vt:i4>
      </vt:variant>
      <vt:variant>
        <vt:i4>0</vt:i4>
      </vt:variant>
      <vt:variant>
        <vt:i4>5</vt:i4>
      </vt:variant>
      <vt:variant>
        <vt:lpwstr>https://fr.wikipedia.org/wiki/Kinshasa</vt:lpwstr>
      </vt:variant>
      <vt:variant>
        <vt:lpwstr/>
      </vt:variant>
      <vt:variant>
        <vt:i4>5963810</vt:i4>
      </vt:variant>
      <vt:variant>
        <vt:i4>1275</vt:i4>
      </vt:variant>
      <vt:variant>
        <vt:i4>0</vt:i4>
      </vt:variant>
      <vt:variant>
        <vt:i4>5</vt:i4>
      </vt:variant>
      <vt:variant>
        <vt:lpwstr>https://fr.wikipedia.org/wiki/R%C3%A9publique_d%C3%A9mocratique_du_Congo</vt:lpwstr>
      </vt:variant>
      <vt:variant>
        <vt:lpwstr/>
      </vt:variant>
      <vt:variant>
        <vt:i4>4456462</vt:i4>
      </vt:variant>
      <vt:variant>
        <vt:i4>1272</vt:i4>
      </vt:variant>
      <vt:variant>
        <vt:i4>0</vt:i4>
      </vt:variant>
      <vt:variant>
        <vt:i4>5</vt:i4>
      </vt:variant>
      <vt:variant>
        <vt:lpwstr>https://fr.wikipedia.org/wiki/Banque</vt:lpwstr>
      </vt:variant>
      <vt:variant>
        <vt:lpwstr/>
      </vt:variant>
      <vt:variant>
        <vt:i4>4128809</vt:i4>
      </vt:variant>
      <vt:variant>
        <vt:i4>1269</vt:i4>
      </vt:variant>
      <vt:variant>
        <vt:i4>0</vt:i4>
      </vt:variant>
      <vt:variant>
        <vt:i4>5</vt:i4>
      </vt:variant>
      <vt:variant>
        <vt:lpwstr>https://fr.wikipedia.org/wiki/MasterCard_(carte_bancaire)</vt:lpwstr>
      </vt:variant>
      <vt:variant>
        <vt:lpwstr/>
      </vt:variant>
      <vt:variant>
        <vt:i4>786532</vt:i4>
      </vt:variant>
      <vt:variant>
        <vt:i4>1266</vt:i4>
      </vt:variant>
      <vt:variant>
        <vt:i4>0</vt:i4>
      </vt:variant>
      <vt:variant>
        <vt:i4>5</vt:i4>
      </vt:variant>
      <vt:variant>
        <vt:lpwstr>https://fr.wikipedia.org/wiki/Western_Union</vt:lpwstr>
      </vt:variant>
      <vt:variant>
        <vt:lpwstr/>
      </vt:variant>
      <vt:variant>
        <vt:i4>3407948</vt:i4>
      </vt:variant>
      <vt:variant>
        <vt:i4>1263</vt:i4>
      </vt:variant>
      <vt:variant>
        <vt:i4>0</vt:i4>
      </vt:variant>
      <vt:variant>
        <vt:i4>5</vt:i4>
      </vt:variant>
      <vt:variant>
        <vt:lpwstr>https://fr.wikipedia.org/wiki/Banque_%C3%A9lectronique</vt:lpwstr>
      </vt:variant>
      <vt:variant>
        <vt:lpwstr/>
      </vt:variant>
      <vt:variant>
        <vt:i4>5963810</vt:i4>
      </vt:variant>
      <vt:variant>
        <vt:i4>1260</vt:i4>
      </vt:variant>
      <vt:variant>
        <vt:i4>0</vt:i4>
      </vt:variant>
      <vt:variant>
        <vt:i4>5</vt:i4>
      </vt:variant>
      <vt:variant>
        <vt:lpwstr>https://fr.wikipedia.org/wiki/R%C3%A9publique_d%C3%A9mocratique_du_Congo</vt:lpwstr>
      </vt:variant>
      <vt:variant>
        <vt:lpwstr/>
      </vt:variant>
      <vt:variant>
        <vt:i4>3211382</vt:i4>
      </vt:variant>
      <vt:variant>
        <vt:i4>1257</vt:i4>
      </vt:variant>
      <vt:variant>
        <vt:i4>0</vt:i4>
      </vt:variant>
      <vt:variant>
        <vt:i4>5</vt:i4>
      </vt:variant>
      <vt:variant>
        <vt:lpwstr>https://fr.wikipedia.org/wiki/1909</vt:lpwstr>
      </vt:variant>
      <vt:variant>
        <vt:lpwstr/>
      </vt:variant>
      <vt:variant>
        <vt:i4>5963810</vt:i4>
      </vt:variant>
      <vt:variant>
        <vt:i4>1254</vt:i4>
      </vt:variant>
      <vt:variant>
        <vt:i4>0</vt:i4>
      </vt:variant>
      <vt:variant>
        <vt:i4>5</vt:i4>
      </vt:variant>
      <vt:variant>
        <vt:lpwstr>https://fr.wikipedia.org/wiki/R%C3%A9publique_d%C3%A9mocratique_du_Congo</vt:lpwstr>
      </vt:variant>
      <vt:variant>
        <vt:lpwstr/>
      </vt:variant>
      <vt:variant>
        <vt:i4>4456517</vt:i4>
      </vt:variant>
      <vt:variant>
        <vt:i4>1239</vt:i4>
      </vt:variant>
      <vt:variant>
        <vt:i4>0</vt:i4>
      </vt:variant>
      <vt:variant>
        <vt:i4>5</vt:i4>
      </vt:variant>
      <vt:variant>
        <vt:lpwstr>https://www.afro.who.int/fr/news/reapparition-du-virus-ebola-au-nord-kivu-en-republique-democratique-du-congo</vt:lpwstr>
      </vt:variant>
      <vt:variant>
        <vt:lpwstr/>
      </vt:variant>
      <vt:variant>
        <vt:i4>3080294</vt:i4>
      </vt:variant>
      <vt:variant>
        <vt:i4>1236</vt:i4>
      </vt:variant>
      <vt:variant>
        <vt:i4>0</vt:i4>
      </vt:variant>
      <vt:variant>
        <vt:i4>5</vt:i4>
      </vt:variant>
      <vt:variant>
        <vt:lpwstr>https://twitter.com/intent/tweet?text=Parce+que+le+virus+ne+touche+pas+les+femmes+et+les+hommes+de+la+m%C3%AAme+fa%C3%A7on%2C+notre+r%C3%A9ponse+doit+tenir+compte+de+ces+diff%C3%A9rences.&amp;url=https://blogs.worldbank.org/fr/voices/femmes-et-hommes-ne-sont-pas-egaux-face-au-coronavirus-covid-19?cid=ECR_E_newsletterweekly_FR_EXT&amp;deliveryName=DM62571/?cid=EXT_WBBlogTweetableShare_D_EXT&amp;via=WorldBank</vt:lpwstr>
      </vt:variant>
      <vt:variant>
        <vt:lpwstr/>
      </vt:variant>
      <vt:variant>
        <vt:i4>6881325</vt:i4>
      </vt:variant>
      <vt:variant>
        <vt:i4>1233</vt:i4>
      </vt:variant>
      <vt:variant>
        <vt:i4>0</vt:i4>
      </vt:variant>
      <vt:variant>
        <vt:i4>5</vt:i4>
      </vt:variant>
      <vt:variant>
        <vt:lpwstr>https://data.unwomen.org/resources/covid-19-emerging-gender-data-and-why-it-matters</vt:lpwstr>
      </vt:variant>
      <vt:variant>
        <vt:lpwstr/>
      </vt:variant>
      <vt:variant>
        <vt:i4>95</vt:i4>
      </vt:variant>
      <vt:variant>
        <vt:i4>1230</vt:i4>
      </vt:variant>
      <vt:variant>
        <vt:i4>0</vt:i4>
      </vt:variant>
      <vt:variant>
        <vt:i4>5</vt:i4>
      </vt:variant>
      <vt:variant>
        <vt:lpwstr>https://news.un.org/fr/story/2020/04/1065842</vt:lpwstr>
      </vt:variant>
      <vt:variant>
        <vt:lpwstr/>
      </vt:variant>
      <vt:variant>
        <vt:i4>196673</vt:i4>
      </vt:variant>
      <vt:variant>
        <vt:i4>1227</vt:i4>
      </vt:variant>
      <vt:variant>
        <vt:i4>0</vt:i4>
      </vt:variant>
      <vt:variant>
        <vt:i4>5</vt:i4>
      </vt:variant>
      <vt:variant>
        <vt:lpwstr>https://www.cgdev.org/blog/gender-lens-covid-19-pandemics-and-violence-against-women-and-children</vt:lpwstr>
      </vt:variant>
      <vt:variant>
        <vt:lpwstr/>
      </vt:variant>
      <vt:variant>
        <vt:i4>1966095</vt:i4>
      </vt:variant>
      <vt:variant>
        <vt:i4>1224</vt:i4>
      </vt:variant>
      <vt:variant>
        <vt:i4>0</vt:i4>
      </vt:variant>
      <vt:variant>
        <vt:i4>5</vt:i4>
      </vt:variant>
      <vt:variant>
        <vt:lpwstr>https://academic.oup.com/jpubhealth/article/38/4/673/2966926</vt:lpwstr>
      </vt:variant>
      <vt:variant>
        <vt:lpwstr/>
      </vt:variant>
      <vt:variant>
        <vt:i4>2097267</vt:i4>
      </vt:variant>
      <vt:variant>
        <vt:i4>1221</vt:i4>
      </vt:variant>
      <vt:variant>
        <vt:i4>0</vt:i4>
      </vt:variant>
      <vt:variant>
        <vt:i4>5</vt:i4>
      </vt:variant>
      <vt:variant>
        <vt:lpwstr>https://www.tandfonline.com/doi/full/10.1080/07399332.2016.1167896</vt:lpwstr>
      </vt:variant>
      <vt:variant>
        <vt:lpwstr/>
      </vt:variant>
      <vt:variant>
        <vt:i4>6881325</vt:i4>
      </vt:variant>
      <vt:variant>
        <vt:i4>1218</vt:i4>
      </vt:variant>
      <vt:variant>
        <vt:i4>0</vt:i4>
      </vt:variant>
      <vt:variant>
        <vt:i4>5</vt:i4>
      </vt:variant>
      <vt:variant>
        <vt:lpwstr>https://data.unwomen.org/resources/covid-19-emerging-gender-data-and-why-it-matters</vt:lpwstr>
      </vt:variant>
      <vt:variant>
        <vt:lpwstr/>
      </vt:variant>
      <vt:variant>
        <vt:i4>6881325</vt:i4>
      </vt:variant>
      <vt:variant>
        <vt:i4>1215</vt:i4>
      </vt:variant>
      <vt:variant>
        <vt:i4>0</vt:i4>
      </vt:variant>
      <vt:variant>
        <vt:i4>5</vt:i4>
      </vt:variant>
      <vt:variant>
        <vt:lpwstr>https://data.unwomen.org/resources/covid-19-emerging-gender-data-and-why-it-matters</vt:lpwstr>
      </vt:variant>
      <vt:variant>
        <vt:lpwstr/>
      </vt:variant>
      <vt:variant>
        <vt:i4>7012395</vt:i4>
      </vt:variant>
      <vt:variant>
        <vt:i4>1212</vt:i4>
      </vt:variant>
      <vt:variant>
        <vt:i4>0</vt:i4>
      </vt:variant>
      <vt:variant>
        <vt:i4>5</vt:i4>
      </vt:variant>
      <vt:variant>
        <vt:lpwstr>https://www.theguardian.com/commentisfree/2020/apr/07/coronavirus-hits-men-harder-evidence-risk</vt:lpwstr>
      </vt:variant>
      <vt:variant>
        <vt:lpwstr/>
      </vt:variant>
      <vt:variant>
        <vt:i4>7536694</vt:i4>
      </vt:variant>
      <vt:variant>
        <vt:i4>1209</vt:i4>
      </vt:variant>
      <vt:variant>
        <vt:i4>0</vt:i4>
      </vt:variant>
      <vt:variant>
        <vt:i4>5</vt:i4>
      </vt:variant>
      <vt:variant>
        <vt:lpwstr>https://www.cnn.com/2020/03/24/health/coronavirus-gender-mortality-intl/index.html</vt:lpwstr>
      </vt:variant>
      <vt:variant>
        <vt:lpwstr/>
      </vt:variant>
      <vt:variant>
        <vt:i4>4128806</vt:i4>
      </vt:variant>
      <vt:variant>
        <vt:i4>1206</vt:i4>
      </vt:variant>
      <vt:variant>
        <vt:i4>0</vt:i4>
      </vt:variant>
      <vt:variant>
        <vt:i4>5</vt:i4>
      </vt:variant>
      <vt:variant>
        <vt:lpwstr>http://documents.worldbank.org/curated/en/820851467992505410/pdf/102114-REVISED-PUBLIC-WBG-Gender-Strategy.pdf</vt:lpwstr>
      </vt:variant>
      <vt:variant>
        <vt:lpwstr/>
      </vt:variant>
      <vt:variant>
        <vt:i4>4915267</vt:i4>
      </vt:variant>
      <vt:variant>
        <vt:i4>1203</vt:i4>
      </vt:variant>
      <vt:variant>
        <vt:i4>0</vt:i4>
      </vt:variant>
      <vt:variant>
        <vt:i4>5</vt:i4>
      </vt:variant>
      <vt:variant>
        <vt:lpwstr>https://openknowledge.worldbank.org/handle/10986/4391?locale-attribute=fr</vt:lpwstr>
      </vt:variant>
      <vt:variant>
        <vt:lpwstr/>
      </vt:variant>
      <vt:variant>
        <vt:i4>5505221</vt:i4>
      </vt:variant>
      <vt:variant>
        <vt:i4>1194</vt:i4>
      </vt:variant>
      <vt:variant>
        <vt:i4>0</vt:i4>
      </vt:variant>
      <vt:variant>
        <vt:i4>5</vt:i4>
      </vt:variant>
      <vt:variant>
        <vt:lpwstr>http://dictionnaire.sensagent.leparisien.fr/Tshikapa (rivière)/fr-fr/</vt:lpwstr>
      </vt:variant>
      <vt:variant>
        <vt:lpwstr/>
      </vt:variant>
      <vt:variant>
        <vt:i4>5570642</vt:i4>
      </vt:variant>
      <vt:variant>
        <vt:i4>1191</vt:i4>
      </vt:variant>
      <vt:variant>
        <vt:i4>0</vt:i4>
      </vt:variant>
      <vt:variant>
        <vt:i4>5</vt:i4>
      </vt:variant>
      <vt:variant>
        <vt:lpwstr>http://dictionnaire.sensagent.leparisien.fr/Lwachimo (cours d'eau)/fr-fr/</vt:lpwstr>
      </vt:variant>
      <vt:variant>
        <vt:lpwstr/>
      </vt:variant>
      <vt:variant>
        <vt:i4>3735608</vt:i4>
      </vt:variant>
      <vt:variant>
        <vt:i4>1188</vt:i4>
      </vt:variant>
      <vt:variant>
        <vt:i4>0</vt:i4>
      </vt:variant>
      <vt:variant>
        <vt:i4>5</vt:i4>
      </vt:variant>
      <vt:variant>
        <vt:lpwstr>http://fr.wikipedia.org/w/index.php?title=Lubembe&amp;action=edit&amp;redlink=1</vt:lpwstr>
      </vt:variant>
      <vt:variant>
        <vt:lpwstr/>
      </vt:variant>
      <vt:variant>
        <vt:i4>327762</vt:i4>
      </vt:variant>
      <vt:variant>
        <vt:i4>1185</vt:i4>
      </vt:variant>
      <vt:variant>
        <vt:i4>0</vt:i4>
      </vt:variant>
      <vt:variant>
        <vt:i4>5</vt:i4>
      </vt:variant>
      <vt:variant>
        <vt:lpwstr>http://fr.wikipedia.org/w/index.php?title=Lutshima&amp;action=edit&amp;redlink=1</vt:lpwstr>
      </vt:variant>
      <vt:variant>
        <vt:lpwstr/>
      </vt:variant>
      <vt:variant>
        <vt:i4>4849746</vt:i4>
      </vt:variant>
      <vt:variant>
        <vt:i4>1182</vt:i4>
      </vt:variant>
      <vt:variant>
        <vt:i4>0</vt:i4>
      </vt:variant>
      <vt:variant>
        <vt:i4>5</vt:i4>
      </vt:variant>
      <vt:variant>
        <vt:lpwstr>http://fr.wikipedia.org/w/index.php?title=Luete&amp;action=edit&amp;redlink=1</vt:lpwstr>
      </vt:variant>
      <vt:variant>
        <vt:lpwstr/>
      </vt:variant>
      <vt:variant>
        <vt:i4>3997792</vt:i4>
      </vt:variant>
      <vt:variant>
        <vt:i4>1179</vt:i4>
      </vt:variant>
      <vt:variant>
        <vt:i4>0</vt:i4>
      </vt:variant>
      <vt:variant>
        <vt:i4>5</vt:i4>
      </vt:variant>
      <vt:variant>
        <vt:lpwstr>http://dictionnaire.sensagent.leparisien.fr/Fimi/fr-fr/</vt:lpwstr>
      </vt:variant>
      <vt:variant>
        <vt:lpwstr/>
      </vt:variant>
      <vt:variant>
        <vt:i4>393290</vt:i4>
      </vt:variant>
      <vt:variant>
        <vt:i4>1176</vt:i4>
      </vt:variant>
      <vt:variant>
        <vt:i4>0</vt:i4>
      </vt:variant>
      <vt:variant>
        <vt:i4>5</vt:i4>
      </vt:variant>
      <vt:variant>
        <vt:lpwstr>http://fr.wikipedia.org/w/index.php?title=Munyango&amp;action=edit&amp;redlink=1</vt:lpwstr>
      </vt:variant>
      <vt:variant>
        <vt:lpwstr/>
      </vt:variant>
      <vt:variant>
        <vt:i4>5570574</vt:i4>
      </vt:variant>
      <vt:variant>
        <vt:i4>1173</vt:i4>
      </vt:variant>
      <vt:variant>
        <vt:i4>0</vt:i4>
      </vt:variant>
      <vt:variant>
        <vt:i4>5</vt:i4>
      </vt:variant>
      <vt:variant>
        <vt:lpwstr>https://fr.wikipedia.org/wiki/Guin%C3%A9e</vt:lpwstr>
      </vt:variant>
      <vt:variant>
        <vt:lpwstr/>
      </vt:variant>
      <vt:variant>
        <vt:i4>5505052</vt:i4>
      </vt:variant>
      <vt:variant>
        <vt:i4>1170</vt:i4>
      </vt:variant>
      <vt:variant>
        <vt:i4>0</vt:i4>
      </vt:variant>
      <vt:variant>
        <vt:i4>5</vt:i4>
      </vt:variant>
      <vt:variant>
        <vt:lpwstr>https://fr.wikipedia.org/wiki/Savane</vt:lpwstr>
      </vt:variant>
      <vt:variant>
        <vt:lpwstr/>
      </vt:variant>
      <vt:variant>
        <vt:i4>3670118</vt:i4>
      </vt:variant>
      <vt:variant>
        <vt:i4>1167</vt:i4>
      </vt:variant>
      <vt:variant>
        <vt:i4>0</vt:i4>
      </vt:variant>
      <vt:variant>
        <vt:i4>5</vt:i4>
      </vt:variant>
      <vt:variant>
        <vt:lpwstr>https://fr.wikipedia.org/wiki/V%C3%A9g%C3%A9tation</vt:lpwstr>
      </vt:variant>
      <vt:variant>
        <vt:lpwstr/>
      </vt:variant>
      <vt:variant>
        <vt:i4>2949247</vt:i4>
      </vt:variant>
      <vt:variant>
        <vt:i4>1164</vt:i4>
      </vt:variant>
      <vt:variant>
        <vt:i4>0</vt:i4>
      </vt:variant>
      <vt:variant>
        <vt:i4>5</vt:i4>
      </vt:variant>
      <vt:variant>
        <vt:lpwstr>https://fr.wikipedia.org/wiki/Mweka</vt:lpwstr>
      </vt:variant>
      <vt:variant>
        <vt:lpwstr/>
      </vt:variant>
      <vt:variant>
        <vt:i4>2490494</vt:i4>
      </vt:variant>
      <vt:variant>
        <vt:i4>1161</vt:i4>
      </vt:variant>
      <vt:variant>
        <vt:i4>0</vt:i4>
      </vt:variant>
      <vt:variant>
        <vt:i4>5</vt:i4>
      </vt:variant>
      <vt:variant>
        <vt:lpwstr>https://fr.wikipedia.org/wiki/Luebo</vt:lpwstr>
      </vt:variant>
      <vt:variant>
        <vt:lpwstr/>
      </vt:variant>
      <vt:variant>
        <vt:i4>5636127</vt:i4>
      </vt:variant>
      <vt:variant>
        <vt:i4>1158</vt:i4>
      </vt:variant>
      <vt:variant>
        <vt:i4>0</vt:i4>
      </vt:variant>
      <vt:variant>
        <vt:i4>5</vt:i4>
      </vt:variant>
      <vt:variant>
        <vt:lpwstr>https://fr.wikipedia.org/wiki/Kamonia</vt:lpwstr>
      </vt:variant>
      <vt:variant>
        <vt:lpwstr/>
      </vt:variant>
      <vt:variant>
        <vt:i4>4128891</vt:i4>
      </vt:variant>
      <vt:variant>
        <vt:i4>1155</vt:i4>
      </vt:variant>
      <vt:variant>
        <vt:i4>0</vt:i4>
      </vt:variant>
      <vt:variant>
        <vt:i4>5</vt:i4>
      </vt:variant>
      <vt:variant>
        <vt:lpwstr>https://fr.wikipedia.org/wiki/Ilebo</vt:lpwstr>
      </vt:variant>
      <vt:variant>
        <vt:lpwstr/>
      </vt:variant>
      <vt:variant>
        <vt:i4>5505035</vt:i4>
      </vt:variant>
      <vt:variant>
        <vt:i4>1152</vt:i4>
      </vt:variant>
      <vt:variant>
        <vt:i4>0</vt:i4>
      </vt:variant>
      <vt:variant>
        <vt:i4>5</vt:i4>
      </vt:variant>
      <vt:variant>
        <vt:lpwstr>https://fr.wikipedia.org/wiki/Dekese</vt:lpwstr>
      </vt:variant>
      <vt:variant>
        <vt:lpwstr/>
      </vt:variant>
      <vt:variant>
        <vt:i4>2228294</vt:i4>
      </vt:variant>
      <vt:variant>
        <vt:i4>1149</vt:i4>
      </vt:variant>
      <vt:variant>
        <vt:i4>0</vt:i4>
      </vt:variant>
      <vt:variant>
        <vt:i4>5</vt:i4>
      </vt:variant>
      <vt:variant>
        <vt:lpwstr>https://fr.wikipedia.org/wiki/Kasa%C3%AF_(rivi%C3%A8re)</vt:lpwstr>
      </vt:variant>
      <vt:variant>
        <vt:lpwstr/>
      </vt:variant>
      <vt:variant>
        <vt:i4>7733294</vt:i4>
      </vt:variant>
      <vt:variant>
        <vt:i4>1146</vt:i4>
      </vt:variant>
      <vt:variant>
        <vt:i4>0</vt:i4>
      </vt:variant>
      <vt:variant>
        <vt:i4>5</vt:i4>
      </vt:variant>
      <vt:variant>
        <vt:lpwstr>https://fr.wikipedia.org/wiki/Kasa%C3%AF-Occidental</vt:lpwstr>
      </vt:variant>
      <vt:variant>
        <vt:lpwstr/>
      </vt:variant>
      <vt:variant>
        <vt:i4>5963810</vt:i4>
      </vt:variant>
      <vt:variant>
        <vt:i4>1143</vt:i4>
      </vt:variant>
      <vt:variant>
        <vt:i4>0</vt:i4>
      </vt:variant>
      <vt:variant>
        <vt:i4>5</vt:i4>
      </vt:variant>
      <vt:variant>
        <vt:lpwstr>https://fr.wikipedia.org/wiki/R%C3%A9publique_d%C3%A9mocratique_du_Congo</vt:lpwstr>
      </vt:variant>
      <vt:variant>
        <vt:lpwstr/>
      </vt:variant>
      <vt:variant>
        <vt:i4>4653087</vt:i4>
      </vt:variant>
      <vt:variant>
        <vt:i4>1137</vt:i4>
      </vt:variant>
      <vt:variant>
        <vt:i4>0</vt:i4>
      </vt:variant>
      <vt:variant>
        <vt:i4>5</vt:i4>
      </vt:variant>
      <vt:variant>
        <vt:lpwstr>https://fr.wikipedia.org/wiki/Buffle</vt:lpwstr>
      </vt:variant>
      <vt:variant>
        <vt:lpwstr/>
      </vt:variant>
      <vt:variant>
        <vt:i4>2818154</vt:i4>
      </vt:variant>
      <vt:variant>
        <vt:i4>1134</vt:i4>
      </vt:variant>
      <vt:variant>
        <vt:i4>0</vt:i4>
      </vt:variant>
      <vt:variant>
        <vt:i4>5</vt:i4>
      </vt:variant>
      <vt:variant>
        <vt:lpwstr>https://fr.wikipedia.org/wiki/Sitatunga</vt:lpwstr>
      </vt:variant>
      <vt:variant>
        <vt:lpwstr/>
      </vt:variant>
      <vt:variant>
        <vt:i4>4259854</vt:i4>
      </vt:variant>
      <vt:variant>
        <vt:i4>1131</vt:i4>
      </vt:variant>
      <vt:variant>
        <vt:i4>0</vt:i4>
      </vt:variant>
      <vt:variant>
        <vt:i4>5</vt:i4>
      </vt:variant>
      <vt:variant>
        <vt:lpwstr>https://fr.wikipedia.org/wiki/Hippopotame</vt:lpwstr>
      </vt:variant>
      <vt:variant>
        <vt:lpwstr/>
      </vt:variant>
      <vt:variant>
        <vt:i4>3801172</vt:i4>
      </vt:variant>
      <vt:variant>
        <vt:i4>1128</vt:i4>
      </vt:variant>
      <vt:variant>
        <vt:i4>0</vt:i4>
      </vt:variant>
      <vt:variant>
        <vt:i4>5</vt:i4>
      </vt:variant>
      <vt:variant>
        <vt:lpwstr>https://fr.wikipedia.org/wiki/Luiza_(territoire)</vt:lpwstr>
      </vt:variant>
      <vt:variant>
        <vt:lpwstr/>
      </vt:variant>
      <vt:variant>
        <vt:i4>5570574</vt:i4>
      </vt:variant>
      <vt:variant>
        <vt:i4>1125</vt:i4>
      </vt:variant>
      <vt:variant>
        <vt:i4>0</vt:i4>
      </vt:variant>
      <vt:variant>
        <vt:i4>5</vt:i4>
      </vt:variant>
      <vt:variant>
        <vt:lpwstr>https://fr.wikipedia.org/wiki/Guin%C3%A9e</vt:lpwstr>
      </vt:variant>
      <vt:variant>
        <vt:lpwstr/>
      </vt:variant>
      <vt:variant>
        <vt:i4>5505052</vt:i4>
      </vt:variant>
      <vt:variant>
        <vt:i4>1122</vt:i4>
      </vt:variant>
      <vt:variant>
        <vt:i4>0</vt:i4>
      </vt:variant>
      <vt:variant>
        <vt:i4>5</vt:i4>
      </vt:variant>
      <vt:variant>
        <vt:lpwstr>https://fr.wikipedia.org/wiki/Savane</vt:lpwstr>
      </vt:variant>
      <vt:variant>
        <vt:lpwstr/>
      </vt:variant>
      <vt:variant>
        <vt:i4>3670118</vt:i4>
      </vt:variant>
      <vt:variant>
        <vt:i4>1119</vt:i4>
      </vt:variant>
      <vt:variant>
        <vt:i4>0</vt:i4>
      </vt:variant>
      <vt:variant>
        <vt:i4>5</vt:i4>
      </vt:variant>
      <vt:variant>
        <vt:lpwstr>https://fr.wikipedia.org/wiki/V%C3%A9g%C3%A9tation</vt:lpwstr>
      </vt:variant>
      <vt:variant>
        <vt:lpwstr/>
      </vt:variant>
      <vt:variant>
        <vt:i4>2621513</vt:i4>
      </vt:variant>
      <vt:variant>
        <vt:i4>1116</vt:i4>
      </vt:variant>
      <vt:variant>
        <vt:i4>0</vt:i4>
      </vt:variant>
      <vt:variant>
        <vt:i4>5</vt:i4>
      </vt:variant>
      <vt:variant>
        <vt:lpwstr>https://fr.wikipedia.org/wiki/Saison_s%C3%A8che</vt:lpwstr>
      </vt:variant>
      <vt:variant>
        <vt:lpwstr/>
      </vt:variant>
      <vt:variant>
        <vt:i4>2883649</vt:i4>
      </vt:variant>
      <vt:variant>
        <vt:i4>1113</vt:i4>
      </vt:variant>
      <vt:variant>
        <vt:i4>0</vt:i4>
      </vt:variant>
      <vt:variant>
        <vt:i4>5</vt:i4>
      </vt:variant>
      <vt:variant>
        <vt:lpwstr>https://fr.wikipedia.org/wiki/Saison_humide</vt:lpwstr>
      </vt:variant>
      <vt:variant>
        <vt:lpwstr/>
      </vt:variant>
      <vt:variant>
        <vt:i4>5046274</vt:i4>
      </vt:variant>
      <vt:variant>
        <vt:i4>1110</vt:i4>
      </vt:variant>
      <vt:variant>
        <vt:i4>0</vt:i4>
      </vt:variant>
      <vt:variant>
        <vt:i4>5</vt:i4>
      </vt:variant>
      <vt:variant>
        <vt:lpwstr>https://fr.wikipedia.org/wiki/Saison</vt:lpwstr>
      </vt:variant>
      <vt:variant>
        <vt:lpwstr/>
      </vt:variant>
      <vt:variant>
        <vt:i4>5701666</vt:i4>
      </vt:variant>
      <vt:variant>
        <vt:i4>1107</vt:i4>
      </vt:variant>
      <vt:variant>
        <vt:i4>0</vt:i4>
      </vt:variant>
      <vt:variant>
        <vt:i4>5</vt:i4>
      </vt:variant>
      <vt:variant>
        <vt:lpwstr>https://fr.wikipedia.org/wiki/Climat_tropical</vt:lpwstr>
      </vt:variant>
      <vt:variant>
        <vt:lpwstr/>
      </vt:variant>
      <vt:variant>
        <vt:i4>4456476</vt:i4>
      </vt:variant>
      <vt:variant>
        <vt:i4>1104</vt:i4>
      </vt:variant>
      <vt:variant>
        <vt:i4>0</vt:i4>
      </vt:variant>
      <vt:variant>
        <vt:i4>5</vt:i4>
      </vt:variant>
      <vt:variant>
        <vt:lpwstr>https://fr.wikipedia.org/wiki/Climat</vt:lpwstr>
      </vt:variant>
      <vt:variant>
        <vt:lpwstr/>
      </vt:variant>
      <vt:variant>
        <vt:i4>2687081</vt:i4>
      </vt:variant>
      <vt:variant>
        <vt:i4>1101</vt:i4>
      </vt:variant>
      <vt:variant>
        <vt:i4>0</vt:i4>
      </vt:variant>
      <vt:variant>
        <vt:i4>5</vt:i4>
      </vt:variant>
      <vt:variant>
        <vt:lpwstr>https://fr.wikipedia.org/wiki/Longitude</vt:lpwstr>
      </vt:variant>
      <vt:variant>
        <vt:lpwstr/>
      </vt:variant>
      <vt:variant>
        <vt:i4>3473509</vt:i4>
      </vt:variant>
      <vt:variant>
        <vt:i4>1098</vt:i4>
      </vt:variant>
      <vt:variant>
        <vt:i4>0</vt:i4>
      </vt:variant>
      <vt:variant>
        <vt:i4>5</vt:i4>
      </vt:variant>
      <vt:variant>
        <vt:lpwstr>https://fr.wikipedia.org/wiki/M%C3%A9ridien</vt:lpwstr>
      </vt:variant>
      <vt:variant>
        <vt:lpwstr/>
      </vt:variant>
      <vt:variant>
        <vt:i4>2687103</vt:i4>
      </vt:variant>
      <vt:variant>
        <vt:i4>1095</vt:i4>
      </vt:variant>
      <vt:variant>
        <vt:i4>0</vt:i4>
      </vt:variant>
      <vt:variant>
        <vt:i4>5</vt:i4>
      </vt:variant>
      <vt:variant>
        <vt:lpwstr>https://fr.wikipedia.org/wiki/Latitude</vt:lpwstr>
      </vt:variant>
      <vt:variant>
        <vt:lpwstr/>
      </vt:variant>
      <vt:variant>
        <vt:i4>3407950</vt:i4>
      </vt:variant>
      <vt:variant>
        <vt:i4>1092</vt:i4>
      </vt:variant>
      <vt:variant>
        <vt:i4>0</vt:i4>
      </vt:variant>
      <vt:variant>
        <vt:i4>5</vt:i4>
      </vt:variant>
      <vt:variant>
        <vt:lpwstr>https://fr.wikipedia.org/wiki/Parall%C3%A8le_(g%C3%A9ographie)</vt:lpwstr>
      </vt:variant>
      <vt:variant>
        <vt:lpwstr/>
      </vt:variant>
      <vt:variant>
        <vt:i4>3735618</vt:i4>
      </vt:variant>
      <vt:variant>
        <vt:i4>1089</vt:i4>
      </vt:variant>
      <vt:variant>
        <vt:i4>0</vt:i4>
      </vt:variant>
      <vt:variant>
        <vt:i4>5</vt:i4>
      </vt:variant>
      <vt:variant>
        <vt:lpwstr>https://fr.wikipedia.org/wiki/Sankuru_(district)</vt:lpwstr>
      </vt:variant>
      <vt:variant>
        <vt:lpwstr/>
      </vt:variant>
      <vt:variant>
        <vt:i4>5636124</vt:i4>
      </vt:variant>
      <vt:variant>
        <vt:i4>1086</vt:i4>
      </vt:variant>
      <vt:variant>
        <vt:i4>0</vt:i4>
      </vt:variant>
      <vt:variant>
        <vt:i4>5</vt:i4>
      </vt:variant>
      <vt:variant>
        <vt:lpwstr>https://fr.wikipedia.org/wiki/Kananga</vt:lpwstr>
      </vt:variant>
      <vt:variant>
        <vt:lpwstr/>
      </vt:variant>
      <vt:variant>
        <vt:i4>7733294</vt:i4>
      </vt:variant>
      <vt:variant>
        <vt:i4>1083</vt:i4>
      </vt:variant>
      <vt:variant>
        <vt:i4>0</vt:i4>
      </vt:variant>
      <vt:variant>
        <vt:i4>5</vt:i4>
      </vt:variant>
      <vt:variant>
        <vt:lpwstr>https://fr.wikipedia.org/wiki/Kasa%C3%AF-Occidental</vt:lpwstr>
      </vt:variant>
      <vt:variant>
        <vt:lpwstr/>
      </vt:variant>
      <vt:variant>
        <vt:i4>5963810</vt:i4>
      </vt:variant>
      <vt:variant>
        <vt:i4>1080</vt:i4>
      </vt:variant>
      <vt:variant>
        <vt:i4>0</vt:i4>
      </vt:variant>
      <vt:variant>
        <vt:i4>5</vt:i4>
      </vt:variant>
      <vt:variant>
        <vt:lpwstr>https://fr.wikipedia.org/wiki/R%C3%A9publique_d%C3%A9mocratique_du_Congo</vt:lpwstr>
      </vt:variant>
      <vt:variant>
        <vt:lpwstr/>
      </vt:variant>
      <vt:variant>
        <vt:i4>6750317</vt:i4>
      </vt:variant>
      <vt:variant>
        <vt:i4>1074</vt:i4>
      </vt:variant>
      <vt:variant>
        <vt:i4>0</vt:i4>
      </vt:variant>
      <vt:variant>
        <vt:i4>5</vt:i4>
      </vt:variant>
      <vt:variant>
        <vt:lpwstr>https://www.caid.cd/index.php/donnees-par-province-administrative/province-de-kongo-central/?donnees=fiche</vt:lpwstr>
      </vt:variant>
      <vt:variant>
        <vt:lpwstr/>
      </vt:variant>
      <vt:variant>
        <vt:i4>5439508</vt:i4>
      </vt:variant>
      <vt:variant>
        <vt:i4>1071</vt:i4>
      </vt:variant>
      <vt:variant>
        <vt:i4>0</vt:i4>
      </vt:variant>
      <vt:variant>
        <vt:i4>5</vt:i4>
      </vt:variant>
      <vt:variant>
        <vt:lpwstr>https://fr.wikipedia.org/wiki/Lingala</vt:lpwstr>
      </vt:variant>
      <vt:variant>
        <vt:lpwstr/>
      </vt:variant>
      <vt:variant>
        <vt:i4>5242905</vt:i4>
      </vt:variant>
      <vt:variant>
        <vt:i4>1068</vt:i4>
      </vt:variant>
      <vt:variant>
        <vt:i4>0</vt:i4>
      </vt:variant>
      <vt:variant>
        <vt:i4>5</vt:i4>
      </vt:variant>
      <vt:variant>
        <vt:lpwstr>https://fr.wikipedia.org/wiki/Kikongo</vt:lpwstr>
      </vt:variant>
      <vt:variant>
        <vt:lpwstr/>
      </vt:variant>
      <vt:variant>
        <vt:i4>327785</vt:i4>
      </vt:variant>
      <vt:variant>
        <vt:i4>1065</vt:i4>
      </vt:variant>
      <vt:variant>
        <vt:i4>0</vt:i4>
      </vt:variant>
      <vt:variant>
        <vt:i4>5</vt:i4>
      </vt:variant>
      <vt:variant>
        <vt:lpwstr>https://fr.wikipedia.org/wiki/Royaume_Kongo</vt:lpwstr>
      </vt:variant>
      <vt:variant>
        <vt:lpwstr/>
      </vt:variant>
      <vt:variant>
        <vt:i4>6160409</vt:i4>
      </vt:variant>
      <vt:variant>
        <vt:i4>1059</vt:i4>
      </vt:variant>
      <vt:variant>
        <vt:i4>0</vt:i4>
      </vt:variant>
      <vt:variant>
        <vt:i4>5</vt:i4>
      </vt:variant>
      <vt:variant>
        <vt:lpwstr>https://fr.wikipedia.org/wiki/Bonobo</vt:lpwstr>
      </vt:variant>
      <vt:variant>
        <vt:lpwstr/>
      </vt:variant>
      <vt:variant>
        <vt:i4>4259854</vt:i4>
      </vt:variant>
      <vt:variant>
        <vt:i4>1056</vt:i4>
      </vt:variant>
      <vt:variant>
        <vt:i4>0</vt:i4>
      </vt:variant>
      <vt:variant>
        <vt:i4>5</vt:i4>
      </vt:variant>
      <vt:variant>
        <vt:lpwstr>https://fr.wikipedia.org/wiki/Hippopotame</vt:lpwstr>
      </vt:variant>
      <vt:variant>
        <vt:lpwstr/>
      </vt:variant>
      <vt:variant>
        <vt:i4>524320</vt:i4>
      </vt:variant>
      <vt:variant>
        <vt:i4>1053</vt:i4>
      </vt:variant>
      <vt:variant>
        <vt:i4>0</vt:i4>
      </vt:variant>
      <vt:variant>
        <vt:i4>5</vt:i4>
      </vt:variant>
      <vt:variant>
        <vt:lpwstr>https://fr.wikipedia.org/wiki/Bandundu_(province)</vt:lpwstr>
      </vt:variant>
      <vt:variant>
        <vt:lpwstr/>
      </vt:variant>
      <vt:variant>
        <vt:i4>5963810</vt:i4>
      </vt:variant>
      <vt:variant>
        <vt:i4>1050</vt:i4>
      </vt:variant>
      <vt:variant>
        <vt:i4>0</vt:i4>
      </vt:variant>
      <vt:variant>
        <vt:i4>5</vt:i4>
      </vt:variant>
      <vt:variant>
        <vt:lpwstr>https://fr.wikipedia.org/wiki/R%C3%A9publique_d%C3%A9mocratique_du_Congo</vt:lpwstr>
      </vt:variant>
      <vt:variant>
        <vt:lpwstr/>
      </vt:variant>
      <vt:variant>
        <vt:i4>1507389</vt:i4>
      </vt:variant>
      <vt:variant>
        <vt:i4>1031</vt:i4>
      </vt:variant>
      <vt:variant>
        <vt:i4>0</vt:i4>
      </vt:variant>
      <vt:variant>
        <vt:i4>5</vt:i4>
      </vt:variant>
      <vt:variant>
        <vt:lpwstr/>
      </vt:variant>
      <vt:variant>
        <vt:lpwstr>_Toc70320597</vt:lpwstr>
      </vt:variant>
      <vt:variant>
        <vt:i4>1441853</vt:i4>
      </vt:variant>
      <vt:variant>
        <vt:i4>1025</vt:i4>
      </vt:variant>
      <vt:variant>
        <vt:i4>0</vt:i4>
      </vt:variant>
      <vt:variant>
        <vt:i4>5</vt:i4>
      </vt:variant>
      <vt:variant>
        <vt:lpwstr/>
      </vt:variant>
      <vt:variant>
        <vt:lpwstr>_Toc70320596</vt:lpwstr>
      </vt:variant>
      <vt:variant>
        <vt:i4>1835066</vt:i4>
      </vt:variant>
      <vt:variant>
        <vt:i4>1016</vt:i4>
      </vt:variant>
      <vt:variant>
        <vt:i4>0</vt:i4>
      </vt:variant>
      <vt:variant>
        <vt:i4>5</vt:i4>
      </vt:variant>
      <vt:variant>
        <vt:lpwstr/>
      </vt:variant>
      <vt:variant>
        <vt:lpwstr>_Toc70451688</vt:lpwstr>
      </vt:variant>
      <vt:variant>
        <vt:i4>1245242</vt:i4>
      </vt:variant>
      <vt:variant>
        <vt:i4>1010</vt:i4>
      </vt:variant>
      <vt:variant>
        <vt:i4>0</vt:i4>
      </vt:variant>
      <vt:variant>
        <vt:i4>5</vt:i4>
      </vt:variant>
      <vt:variant>
        <vt:lpwstr/>
      </vt:variant>
      <vt:variant>
        <vt:lpwstr>_Toc70451687</vt:lpwstr>
      </vt:variant>
      <vt:variant>
        <vt:i4>1179706</vt:i4>
      </vt:variant>
      <vt:variant>
        <vt:i4>1004</vt:i4>
      </vt:variant>
      <vt:variant>
        <vt:i4>0</vt:i4>
      </vt:variant>
      <vt:variant>
        <vt:i4>5</vt:i4>
      </vt:variant>
      <vt:variant>
        <vt:lpwstr/>
      </vt:variant>
      <vt:variant>
        <vt:lpwstr>_Toc70451686</vt:lpwstr>
      </vt:variant>
      <vt:variant>
        <vt:i4>1114170</vt:i4>
      </vt:variant>
      <vt:variant>
        <vt:i4>998</vt:i4>
      </vt:variant>
      <vt:variant>
        <vt:i4>0</vt:i4>
      </vt:variant>
      <vt:variant>
        <vt:i4>5</vt:i4>
      </vt:variant>
      <vt:variant>
        <vt:lpwstr/>
      </vt:variant>
      <vt:variant>
        <vt:lpwstr>_Toc70451685</vt:lpwstr>
      </vt:variant>
      <vt:variant>
        <vt:i4>1048634</vt:i4>
      </vt:variant>
      <vt:variant>
        <vt:i4>992</vt:i4>
      </vt:variant>
      <vt:variant>
        <vt:i4>0</vt:i4>
      </vt:variant>
      <vt:variant>
        <vt:i4>5</vt:i4>
      </vt:variant>
      <vt:variant>
        <vt:lpwstr/>
      </vt:variant>
      <vt:variant>
        <vt:lpwstr>_Toc70451684</vt:lpwstr>
      </vt:variant>
      <vt:variant>
        <vt:i4>1507386</vt:i4>
      </vt:variant>
      <vt:variant>
        <vt:i4>986</vt:i4>
      </vt:variant>
      <vt:variant>
        <vt:i4>0</vt:i4>
      </vt:variant>
      <vt:variant>
        <vt:i4>5</vt:i4>
      </vt:variant>
      <vt:variant>
        <vt:lpwstr/>
      </vt:variant>
      <vt:variant>
        <vt:lpwstr>_Toc70451683</vt:lpwstr>
      </vt:variant>
      <vt:variant>
        <vt:i4>1441850</vt:i4>
      </vt:variant>
      <vt:variant>
        <vt:i4>980</vt:i4>
      </vt:variant>
      <vt:variant>
        <vt:i4>0</vt:i4>
      </vt:variant>
      <vt:variant>
        <vt:i4>5</vt:i4>
      </vt:variant>
      <vt:variant>
        <vt:lpwstr/>
      </vt:variant>
      <vt:variant>
        <vt:lpwstr>_Toc70451682</vt:lpwstr>
      </vt:variant>
      <vt:variant>
        <vt:i4>1376314</vt:i4>
      </vt:variant>
      <vt:variant>
        <vt:i4>974</vt:i4>
      </vt:variant>
      <vt:variant>
        <vt:i4>0</vt:i4>
      </vt:variant>
      <vt:variant>
        <vt:i4>5</vt:i4>
      </vt:variant>
      <vt:variant>
        <vt:lpwstr/>
      </vt:variant>
      <vt:variant>
        <vt:lpwstr>_Toc70451681</vt:lpwstr>
      </vt:variant>
      <vt:variant>
        <vt:i4>1310778</vt:i4>
      </vt:variant>
      <vt:variant>
        <vt:i4>968</vt:i4>
      </vt:variant>
      <vt:variant>
        <vt:i4>0</vt:i4>
      </vt:variant>
      <vt:variant>
        <vt:i4>5</vt:i4>
      </vt:variant>
      <vt:variant>
        <vt:lpwstr/>
      </vt:variant>
      <vt:variant>
        <vt:lpwstr>_Toc70451680</vt:lpwstr>
      </vt:variant>
      <vt:variant>
        <vt:i4>1900597</vt:i4>
      </vt:variant>
      <vt:variant>
        <vt:i4>962</vt:i4>
      </vt:variant>
      <vt:variant>
        <vt:i4>0</vt:i4>
      </vt:variant>
      <vt:variant>
        <vt:i4>5</vt:i4>
      </vt:variant>
      <vt:variant>
        <vt:lpwstr/>
      </vt:variant>
      <vt:variant>
        <vt:lpwstr>_Toc70451679</vt:lpwstr>
      </vt:variant>
      <vt:variant>
        <vt:i4>1835061</vt:i4>
      </vt:variant>
      <vt:variant>
        <vt:i4>956</vt:i4>
      </vt:variant>
      <vt:variant>
        <vt:i4>0</vt:i4>
      </vt:variant>
      <vt:variant>
        <vt:i4>5</vt:i4>
      </vt:variant>
      <vt:variant>
        <vt:lpwstr/>
      </vt:variant>
      <vt:variant>
        <vt:lpwstr>_Toc70451678</vt:lpwstr>
      </vt:variant>
      <vt:variant>
        <vt:i4>1245237</vt:i4>
      </vt:variant>
      <vt:variant>
        <vt:i4>950</vt:i4>
      </vt:variant>
      <vt:variant>
        <vt:i4>0</vt:i4>
      </vt:variant>
      <vt:variant>
        <vt:i4>5</vt:i4>
      </vt:variant>
      <vt:variant>
        <vt:lpwstr/>
      </vt:variant>
      <vt:variant>
        <vt:lpwstr>_Toc70451677</vt:lpwstr>
      </vt:variant>
      <vt:variant>
        <vt:i4>1179701</vt:i4>
      </vt:variant>
      <vt:variant>
        <vt:i4>944</vt:i4>
      </vt:variant>
      <vt:variant>
        <vt:i4>0</vt:i4>
      </vt:variant>
      <vt:variant>
        <vt:i4>5</vt:i4>
      </vt:variant>
      <vt:variant>
        <vt:lpwstr/>
      </vt:variant>
      <vt:variant>
        <vt:lpwstr>_Toc70451676</vt:lpwstr>
      </vt:variant>
      <vt:variant>
        <vt:i4>1114165</vt:i4>
      </vt:variant>
      <vt:variant>
        <vt:i4>938</vt:i4>
      </vt:variant>
      <vt:variant>
        <vt:i4>0</vt:i4>
      </vt:variant>
      <vt:variant>
        <vt:i4>5</vt:i4>
      </vt:variant>
      <vt:variant>
        <vt:lpwstr/>
      </vt:variant>
      <vt:variant>
        <vt:lpwstr>_Toc70451675</vt:lpwstr>
      </vt:variant>
      <vt:variant>
        <vt:i4>1048629</vt:i4>
      </vt:variant>
      <vt:variant>
        <vt:i4>932</vt:i4>
      </vt:variant>
      <vt:variant>
        <vt:i4>0</vt:i4>
      </vt:variant>
      <vt:variant>
        <vt:i4>5</vt:i4>
      </vt:variant>
      <vt:variant>
        <vt:lpwstr/>
      </vt:variant>
      <vt:variant>
        <vt:lpwstr>_Toc70451674</vt:lpwstr>
      </vt:variant>
      <vt:variant>
        <vt:i4>1507381</vt:i4>
      </vt:variant>
      <vt:variant>
        <vt:i4>926</vt:i4>
      </vt:variant>
      <vt:variant>
        <vt:i4>0</vt:i4>
      </vt:variant>
      <vt:variant>
        <vt:i4>5</vt:i4>
      </vt:variant>
      <vt:variant>
        <vt:lpwstr/>
      </vt:variant>
      <vt:variant>
        <vt:lpwstr>_Toc70451673</vt:lpwstr>
      </vt:variant>
      <vt:variant>
        <vt:i4>1441845</vt:i4>
      </vt:variant>
      <vt:variant>
        <vt:i4>920</vt:i4>
      </vt:variant>
      <vt:variant>
        <vt:i4>0</vt:i4>
      </vt:variant>
      <vt:variant>
        <vt:i4>5</vt:i4>
      </vt:variant>
      <vt:variant>
        <vt:lpwstr/>
      </vt:variant>
      <vt:variant>
        <vt:lpwstr>_Toc70451672</vt:lpwstr>
      </vt:variant>
      <vt:variant>
        <vt:i4>1376309</vt:i4>
      </vt:variant>
      <vt:variant>
        <vt:i4>914</vt:i4>
      </vt:variant>
      <vt:variant>
        <vt:i4>0</vt:i4>
      </vt:variant>
      <vt:variant>
        <vt:i4>5</vt:i4>
      </vt:variant>
      <vt:variant>
        <vt:lpwstr/>
      </vt:variant>
      <vt:variant>
        <vt:lpwstr>_Toc70451671</vt:lpwstr>
      </vt:variant>
      <vt:variant>
        <vt:i4>1310773</vt:i4>
      </vt:variant>
      <vt:variant>
        <vt:i4>908</vt:i4>
      </vt:variant>
      <vt:variant>
        <vt:i4>0</vt:i4>
      </vt:variant>
      <vt:variant>
        <vt:i4>5</vt:i4>
      </vt:variant>
      <vt:variant>
        <vt:lpwstr/>
      </vt:variant>
      <vt:variant>
        <vt:lpwstr>_Toc70451670</vt:lpwstr>
      </vt:variant>
      <vt:variant>
        <vt:i4>1900596</vt:i4>
      </vt:variant>
      <vt:variant>
        <vt:i4>902</vt:i4>
      </vt:variant>
      <vt:variant>
        <vt:i4>0</vt:i4>
      </vt:variant>
      <vt:variant>
        <vt:i4>5</vt:i4>
      </vt:variant>
      <vt:variant>
        <vt:lpwstr/>
      </vt:variant>
      <vt:variant>
        <vt:lpwstr>_Toc70451669</vt:lpwstr>
      </vt:variant>
      <vt:variant>
        <vt:i4>1835060</vt:i4>
      </vt:variant>
      <vt:variant>
        <vt:i4>896</vt:i4>
      </vt:variant>
      <vt:variant>
        <vt:i4>0</vt:i4>
      </vt:variant>
      <vt:variant>
        <vt:i4>5</vt:i4>
      </vt:variant>
      <vt:variant>
        <vt:lpwstr/>
      </vt:variant>
      <vt:variant>
        <vt:lpwstr>_Toc70451668</vt:lpwstr>
      </vt:variant>
      <vt:variant>
        <vt:i4>1245236</vt:i4>
      </vt:variant>
      <vt:variant>
        <vt:i4>890</vt:i4>
      </vt:variant>
      <vt:variant>
        <vt:i4>0</vt:i4>
      </vt:variant>
      <vt:variant>
        <vt:i4>5</vt:i4>
      </vt:variant>
      <vt:variant>
        <vt:lpwstr/>
      </vt:variant>
      <vt:variant>
        <vt:lpwstr>_Toc70451667</vt:lpwstr>
      </vt:variant>
      <vt:variant>
        <vt:i4>1179700</vt:i4>
      </vt:variant>
      <vt:variant>
        <vt:i4>884</vt:i4>
      </vt:variant>
      <vt:variant>
        <vt:i4>0</vt:i4>
      </vt:variant>
      <vt:variant>
        <vt:i4>5</vt:i4>
      </vt:variant>
      <vt:variant>
        <vt:lpwstr/>
      </vt:variant>
      <vt:variant>
        <vt:lpwstr>_Toc70451666</vt:lpwstr>
      </vt:variant>
      <vt:variant>
        <vt:i4>1114164</vt:i4>
      </vt:variant>
      <vt:variant>
        <vt:i4>878</vt:i4>
      </vt:variant>
      <vt:variant>
        <vt:i4>0</vt:i4>
      </vt:variant>
      <vt:variant>
        <vt:i4>5</vt:i4>
      </vt:variant>
      <vt:variant>
        <vt:lpwstr/>
      </vt:variant>
      <vt:variant>
        <vt:lpwstr>_Toc70451665</vt:lpwstr>
      </vt:variant>
      <vt:variant>
        <vt:i4>1048628</vt:i4>
      </vt:variant>
      <vt:variant>
        <vt:i4>872</vt:i4>
      </vt:variant>
      <vt:variant>
        <vt:i4>0</vt:i4>
      </vt:variant>
      <vt:variant>
        <vt:i4>5</vt:i4>
      </vt:variant>
      <vt:variant>
        <vt:lpwstr/>
      </vt:variant>
      <vt:variant>
        <vt:lpwstr>_Toc70451664</vt:lpwstr>
      </vt:variant>
      <vt:variant>
        <vt:i4>1507380</vt:i4>
      </vt:variant>
      <vt:variant>
        <vt:i4>866</vt:i4>
      </vt:variant>
      <vt:variant>
        <vt:i4>0</vt:i4>
      </vt:variant>
      <vt:variant>
        <vt:i4>5</vt:i4>
      </vt:variant>
      <vt:variant>
        <vt:lpwstr/>
      </vt:variant>
      <vt:variant>
        <vt:lpwstr>_Toc70451663</vt:lpwstr>
      </vt:variant>
      <vt:variant>
        <vt:i4>1441844</vt:i4>
      </vt:variant>
      <vt:variant>
        <vt:i4>860</vt:i4>
      </vt:variant>
      <vt:variant>
        <vt:i4>0</vt:i4>
      </vt:variant>
      <vt:variant>
        <vt:i4>5</vt:i4>
      </vt:variant>
      <vt:variant>
        <vt:lpwstr/>
      </vt:variant>
      <vt:variant>
        <vt:lpwstr>_Toc70451662</vt:lpwstr>
      </vt:variant>
      <vt:variant>
        <vt:i4>1376308</vt:i4>
      </vt:variant>
      <vt:variant>
        <vt:i4>854</vt:i4>
      </vt:variant>
      <vt:variant>
        <vt:i4>0</vt:i4>
      </vt:variant>
      <vt:variant>
        <vt:i4>5</vt:i4>
      </vt:variant>
      <vt:variant>
        <vt:lpwstr/>
      </vt:variant>
      <vt:variant>
        <vt:lpwstr>_Toc70451661</vt:lpwstr>
      </vt:variant>
      <vt:variant>
        <vt:i4>1310772</vt:i4>
      </vt:variant>
      <vt:variant>
        <vt:i4>848</vt:i4>
      </vt:variant>
      <vt:variant>
        <vt:i4>0</vt:i4>
      </vt:variant>
      <vt:variant>
        <vt:i4>5</vt:i4>
      </vt:variant>
      <vt:variant>
        <vt:lpwstr/>
      </vt:variant>
      <vt:variant>
        <vt:lpwstr>_Toc70451660</vt:lpwstr>
      </vt:variant>
      <vt:variant>
        <vt:i4>1900599</vt:i4>
      </vt:variant>
      <vt:variant>
        <vt:i4>842</vt:i4>
      </vt:variant>
      <vt:variant>
        <vt:i4>0</vt:i4>
      </vt:variant>
      <vt:variant>
        <vt:i4>5</vt:i4>
      </vt:variant>
      <vt:variant>
        <vt:lpwstr/>
      </vt:variant>
      <vt:variant>
        <vt:lpwstr>_Toc70451659</vt:lpwstr>
      </vt:variant>
      <vt:variant>
        <vt:i4>1835063</vt:i4>
      </vt:variant>
      <vt:variant>
        <vt:i4>836</vt:i4>
      </vt:variant>
      <vt:variant>
        <vt:i4>0</vt:i4>
      </vt:variant>
      <vt:variant>
        <vt:i4>5</vt:i4>
      </vt:variant>
      <vt:variant>
        <vt:lpwstr/>
      </vt:variant>
      <vt:variant>
        <vt:lpwstr>_Toc70451658</vt:lpwstr>
      </vt:variant>
      <vt:variant>
        <vt:i4>1245239</vt:i4>
      </vt:variant>
      <vt:variant>
        <vt:i4>830</vt:i4>
      </vt:variant>
      <vt:variant>
        <vt:i4>0</vt:i4>
      </vt:variant>
      <vt:variant>
        <vt:i4>5</vt:i4>
      </vt:variant>
      <vt:variant>
        <vt:lpwstr/>
      </vt:variant>
      <vt:variant>
        <vt:lpwstr>_Toc70451657</vt:lpwstr>
      </vt:variant>
      <vt:variant>
        <vt:i4>1179703</vt:i4>
      </vt:variant>
      <vt:variant>
        <vt:i4>824</vt:i4>
      </vt:variant>
      <vt:variant>
        <vt:i4>0</vt:i4>
      </vt:variant>
      <vt:variant>
        <vt:i4>5</vt:i4>
      </vt:variant>
      <vt:variant>
        <vt:lpwstr/>
      </vt:variant>
      <vt:variant>
        <vt:lpwstr>_Toc70451656</vt:lpwstr>
      </vt:variant>
      <vt:variant>
        <vt:i4>1114167</vt:i4>
      </vt:variant>
      <vt:variant>
        <vt:i4>818</vt:i4>
      </vt:variant>
      <vt:variant>
        <vt:i4>0</vt:i4>
      </vt:variant>
      <vt:variant>
        <vt:i4>5</vt:i4>
      </vt:variant>
      <vt:variant>
        <vt:lpwstr/>
      </vt:variant>
      <vt:variant>
        <vt:lpwstr>_Toc70451655</vt:lpwstr>
      </vt:variant>
      <vt:variant>
        <vt:i4>1048631</vt:i4>
      </vt:variant>
      <vt:variant>
        <vt:i4>812</vt:i4>
      </vt:variant>
      <vt:variant>
        <vt:i4>0</vt:i4>
      </vt:variant>
      <vt:variant>
        <vt:i4>5</vt:i4>
      </vt:variant>
      <vt:variant>
        <vt:lpwstr/>
      </vt:variant>
      <vt:variant>
        <vt:lpwstr>_Toc70451654</vt:lpwstr>
      </vt:variant>
      <vt:variant>
        <vt:i4>1507383</vt:i4>
      </vt:variant>
      <vt:variant>
        <vt:i4>806</vt:i4>
      </vt:variant>
      <vt:variant>
        <vt:i4>0</vt:i4>
      </vt:variant>
      <vt:variant>
        <vt:i4>5</vt:i4>
      </vt:variant>
      <vt:variant>
        <vt:lpwstr/>
      </vt:variant>
      <vt:variant>
        <vt:lpwstr>_Toc70451653</vt:lpwstr>
      </vt:variant>
      <vt:variant>
        <vt:i4>1441847</vt:i4>
      </vt:variant>
      <vt:variant>
        <vt:i4>800</vt:i4>
      </vt:variant>
      <vt:variant>
        <vt:i4>0</vt:i4>
      </vt:variant>
      <vt:variant>
        <vt:i4>5</vt:i4>
      </vt:variant>
      <vt:variant>
        <vt:lpwstr/>
      </vt:variant>
      <vt:variant>
        <vt:lpwstr>_Toc70451652</vt:lpwstr>
      </vt:variant>
      <vt:variant>
        <vt:i4>1376311</vt:i4>
      </vt:variant>
      <vt:variant>
        <vt:i4>794</vt:i4>
      </vt:variant>
      <vt:variant>
        <vt:i4>0</vt:i4>
      </vt:variant>
      <vt:variant>
        <vt:i4>5</vt:i4>
      </vt:variant>
      <vt:variant>
        <vt:lpwstr/>
      </vt:variant>
      <vt:variant>
        <vt:lpwstr>_Toc70451651</vt:lpwstr>
      </vt:variant>
      <vt:variant>
        <vt:i4>1310775</vt:i4>
      </vt:variant>
      <vt:variant>
        <vt:i4>788</vt:i4>
      </vt:variant>
      <vt:variant>
        <vt:i4>0</vt:i4>
      </vt:variant>
      <vt:variant>
        <vt:i4>5</vt:i4>
      </vt:variant>
      <vt:variant>
        <vt:lpwstr/>
      </vt:variant>
      <vt:variant>
        <vt:lpwstr>_Toc70451650</vt:lpwstr>
      </vt:variant>
      <vt:variant>
        <vt:i4>1900598</vt:i4>
      </vt:variant>
      <vt:variant>
        <vt:i4>782</vt:i4>
      </vt:variant>
      <vt:variant>
        <vt:i4>0</vt:i4>
      </vt:variant>
      <vt:variant>
        <vt:i4>5</vt:i4>
      </vt:variant>
      <vt:variant>
        <vt:lpwstr/>
      </vt:variant>
      <vt:variant>
        <vt:lpwstr>_Toc70451649</vt:lpwstr>
      </vt:variant>
      <vt:variant>
        <vt:i4>1835062</vt:i4>
      </vt:variant>
      <vt:variant>
        <vt:i4>776</vt:i4>
      </vt:variant>
      <vt:variant>
        <vt:i4>0</vt:i4>
      </vt:variant>
      <vt:variant>
        <vt:i4>5</vt:i4>
      </vt:variant>
      <vt:variant>
        <vt:lpwstr/>
      </vt:variant>
      <vt:variant>
        <vt:lpwstr>_Toc70451648</vt:lpwstr>
      </vt:variant>
      <vt:variant>
        <vt:i4>1245238</vt:i4>
      </vt:variant>
      <vt:variant>
        <vt:i4>770</vt:i4>
      </vt:variant>
      <vt:variant>
        <vt:i4>0</vt:i4>
      </vt:variant>
      <vt:variant>
        <vt:i4>5</vt:i4>
      </vt:variant>
      <vt:variant>
        <vt:lpwstr/>
      </vt:variant>
      <vt:variant>
        <vt:lpwstr>_Toc70451647</vt:lpwstr>
      </vt:variant>
      <vt:variant>
        <vt:i4>1638454</vt:i4>
      </vt:variant>
      <vt:variant>
        <vt:i4>761</vt:i4>
      </vt:variant>
      <vt:variant>
        <vt:i4>0</vt:i4>
      </vt:variant>
      <vt:variant>
        <vt:i4>5</vt:i4>
      </vt:variant>
      <vt:variant>
        <vt:lpwstr/>
      </vt:variant>
      <vt:variant>
        <vt:lpwstr>_Toc70330528</vt:lpwstr>
      </vt:variant>
      <vt:variant>
        <vt:i4>1441846</vt:i4>
      </vt:variant>
      <vt:variant>
        <vt:i4>755</vt:i4>
      </vt:variant>
      <vt:variant>
        <vt:i4>0</vt:i4>
      </vt:variant>
      <vt:variant>
        <vt:i4>5</vt:i4>
      </vt:variant>
      <vt:variant>
        <vt:lpwstr/>
      </vt:variant>
      <vt:variant>
        <vt:lpwstr>_Toc70330527</vt:lpwstr>
      </vt:variant>
      <vt:variant>
        <vt:i4>1507382</vt:i4>
      </vt:variant>
      <vt:variant>
        <vt:i4>749</vt:i4>
      </vt:variant>
      <vt:variant>
        <vt:i4>0</vt:i4>
      </vt:variant>
      <vt:variant>
        <vt:i4>5</vt:i4>
      </vt:variant>
      <vt:variant>
        <vt:lpwstr/>
      </vt:variant>
      <vt:variant>
        <vt:lpwstr>_Toc70330526</vt:lpwstr>
      </vt:variant>
      <vt:variant>
        <vt:i4>1638453</vt:i4>
      </vt:variant>
      <vt:variant>
        <vt:i4>743</vt:i4>
      </vt:variant>
      <vt:variant>
        <vt:i4>0</vt:i4>
      </vt:variant>
      <vt:variant>
        <vt:i4>5</vt:i4>
      </vt:variant>
      <vt:variant>
        <vt:lpwstr/>
      </vt:variant>
      <vt:variant>
        <vt:lpwstr>_Toc70330518</vt:lpwstr>
      </vt:variant>
      <vt:variant>
        <vt:i4>1441845</vt:i4>
      </vt:variant>
      <vt:variant>
        <vt:i4>737</vt:i4>
      </vt:variant>
      <vt:variant>
        <vt:i4>0</vt:i4>
      </vt:variant>
      <vt:variant>
        <vt:i4>5</vt:i4>
      </vt:variant>
      <vt:variant>
        <vt:lpwstr/>
      </vt:variant>
      <vt:variant>
        <vt:lpwstr>_Toc70330517</vt:lpwstr>
      </vt:variant>
      <vt:variant>
        <vt:i4>1507381</vt:i4>
      </vt:variant>
      <vt:variant>
        <vt:i4>731</vt:i4>
      </vt:variant>
      <vt:variant>
        <vt:i4>0</vt:i4>
      </vt:variant>
      <vt:variant>
        <vt:i4>5</vt:i4>
      </vt:variant>
      <vt:variant>
        <vt:lpwstr/>
      </vt:variant>
      <vt:variant>
        <vt:lpwstr>_Toc70330516</vt:lpwstr>
      </vt:variant>
      <vt:variant>
        <vt:i4>1310773</vt:i4>
      </vt:variant>
      <vt:variant>
        <vt:i4>725</vt:i4>
      </vt:variant>
      <vt:variant>
        <vt:i4>0</vt:i4>
      </vt:variant>
      <vt:variant>
        <vt:i4>5</vt:i4>
      </vt:variant>
      <vt:variant>
        <vt:lpwstr/>
      </vt:variant>
      <vt:variant>
        <vt:lpwstr>_Toc70330515</vt:lpwstr>
      </vt:variant>
      <vt:variant>
        <vt:i4>1376309</vt:i4>
      </vt:variant>
      <vt:variant>
        <vt:i4>719</vt:i4>
      </vt:variant>
      <vt:variant>
        <vt:i4>0</vt:i4>
      </vt:variant>
      <vt:variant>
        <vt:i4>5</vt:i4>
      </vt:variant>
      <vt:variant>
        <vt:lpwstr/>
      </vt:variant>
      <vt:variant>
        <vt:lpwstr>_Toc70330514</vt:lpwstr>
      </vt:variant>
      <vt:variant>
        <vt:i4>1179701</vt:i4>
      </vt:variant>
      <vt:variant>
        <vt:i4>713</vt:i4>
      </vt:variant>
      <vt:variant>
        <vt:i4>0</vt:i4>
      </vt:variant>
      <vt:variant>
        <vt:i4>5</vt:i4>
      </vt:variant>
      <vt:variant>
        <vt:lpwstr/>
      </vt:variant>
      <vt:variant>
        <vt:lpwstr>_Toc70330513</vt:lpwstr>
      </vt:variant>
      <vt:variant>
        <vt:i4>1245237</vt:i4>
      </vt:variant>
      <vt:variant>
        <vt:i4>707</vt:i4>
      </vt:variant>
      <vt:variant>
        <vt:i4>0</vt:i4>
      </vt:variant>
      <vt:variant>
        <vt:i4>5</vt:i4>
      </vt:variant>
      <vt:variant>
        <vt:lpwstr/>
      </vt:variant>
      <vt:variant>
        <vt:lpwstr>_Toc70330512</vt:lpwstr>
      </vt:variant>
      <vt:variant>
        <vt:i4>1048629</vt:i4>
      </vt:variant>
      <vt:variant>
        <vt:i4>701</vt:i4>
      </vt:variant>
      <vt:variant>
        <vt:i4>0</vt:i4>
      </vt:variant>
      <vt:variant>
        <vt:i4>5</vt:i4>
      </vt:variant>
      <vt:variant>
        <vt:lpwstr/>
      </vt:variant>
      <vt:variant>
        <vt:lpwstr>_Toc70330511</vt:lpwstr>
      </vt:variant>
      <vt:variant>
        <vt:i4>1114165</vt:i4>
      </vt:variant>
      <vt:variant>
        <vt:i4>695</vt:i4>
      </vt:variant>
      <vt:variant>
        <vt:i4>0</vt:i4>
      </vt:variant>
      <vt:variant>
        <vt:i4>5</vt:i4>
      </vt:variant>
      <vt:variant>
        <vt:lpwstr/>
      </vt:variant>
      <vt:variant>
        <vt:lpwstr>_Toc70330510</vt:lpwstr>
      </vt:variant>
      <vt:variant>
        <vt:i4>1572916</vt:i4>
      </vt:variant>
      <vt:variant>
        <vt:i4>689</vt:i4>
      </vt:variant>
      <vt:variant>
        <vt:i4>0</vt:i4>
      </vt:variant>
      <vt:variant>
        <vt:i4>5</vt:i4>
      </vt:variant>
      <vt:variant>
        <vt:lpwstr/>
      </vt:variant>
      <vt:variant>
        <vt:lpwstr>_Toc70330509</vt:lpwstr>
      </vt:variant>
      <vt:variant>
        <vt:i4>1638452</vt:i4>
      </vt:variant>
      <vt:variant>
        <vt:i4>683</vt:i4>
      </vt:variant>
      <vt:variant>
        <vt:i4>0</vt:i4>
      </vt:variant>
      <vt:variant>
        <vt:i4>5</vt:i4>
      </vt:variant>
      <vt:variant>
        <vt:lpwstr/>
      </vt:variant>
      <vt:variant>
        <vt:lpwstr>_Toc70330508</vt:lpwstr>
      </vt:variant>
      <vt:variant>
        <vt:i4>1507380</vt:i4>
      </vt:variant>
      <vt:variant>
        <vt:i4>677</vt:i4>
      </vt:variant>
      <vt:variant>
        <vt:i4>0</vt:i4>
      </vt:variant>
      <vt:variant>
        <vt:i4>5</vt:i4>
      </vt:variant>
      <vt:variant>
        <vt:lpwstr/>
      </vt:variant>
      <vt:variant>
        <vt:lpwstr>_Toc70330506</vt:lpwstr>
      </vt:variant>
      <vt:variant>
        <vt:i4>1310772</vt:i4>
      </vt:variant>
      <vt:variant>
        <vt:i4>671</vt:i4>
      </vt:variant>
      <vt:variant>
        <vt:i4>0</vt:i4>
      </vt:variant>
      <vt:variant>
        <vt:i4>5</vt:i4>
      </vt:variant>
      <vt:variant>
        <vt:lpwstr/>
      </vt:variant>
      <vt:variant>
        <vt:lpwstr>_Toc70330505</vt:lpwstr>
      </vt:variant>
      <vt:variant>
        <vt:i4>1376308</vt:i4>
      </vt:variant>
      <vt:variant>
        <vt:i4>665</vt:i4>
      </vt:variant>
      <vt:variant>
        <vt:i4>0</vt:i4>
      </vt:variant>
      <vt:variant>
        <vt:i4>5</vt:i4>
      </vt:variant>
      <vt:variant>
        <vt:lpwstr/>
      </vt:variant>
      <vt:variant>
        <vt:lpwstr>_Toc70330504</vt:lpwstr>
      </vt:variant>
      <vt:variant>
        <vt:i4>1179709</vt:i4>
      </vt:variant>
      <vt:variant>
        <vt:i4>659</vt:i4>
      </vt:variant>
      <vt:variant>
        <vt:i4>0</vt:i4>
      </vt:variant>
      <vt:variant>
        <vt:i4>5</vt:i4>
      </vt:variant>
      <vt:variant>
        <vt:lpwstr/>
      </vt:variant>
      <vt:variant>
        <vt:lpwstr>_Toc70330492</vt:lpwstr>
      </vt:variant>
      <vt:variant>
        <vt:i4>1114173</vt:i4>
      </vt:variant>
      <vt:variant>
        <vt:i4>653</vt:i4>
      </vt:variant>
      <vt:variant>
        <vt:i4>0</vt:i4>
      </vt:variant>
      <vt:variant>
        <vt:i4>5</vt:i4>
      </vt:variant>
      <vt:variant>
        <vt:lpwstr/>
      </vt:variant>
      <vt:variant>
        <vt:lpwstr>_Toc70330491</vt:lpwstr>
      </vt:variant>
      <vt:variant>
        <vt:i4>1048637</vt:i4>
      </vt:variant>
      <vt:variant>
        <vt:i4>647</vt:i4>
      </vt:variant>
      <vt:variant>
        <vt:i4>0</vt:i4>
      </vt:variant>
      <vt:variant>
        <vt:i4>5</vt:i4>
      </vt:variant>
      <vt:variant>
        <vt:lpwstr/>
      </vt:variant>
      <vt:variant>
        <vt:lpwstr>_Toc70330490</vt:lpwstr>
      </vt:variant>
      <vt:variant>
        <vt:i4>1638460</vt:i4>
      </vt:variant>
      <vt:variant>
        <vt:i4>641</vt:i4>
      </vt:variant>
      <vt:variant>
        <vt:i4>0</vt:i4>
      </vt:variant>
      <vt:variant>
        <vt:i4>5</vt:i4>
      </vt:variant>
      <vt:variant>
        <vt:lpwstr/>
      </vt:variant>
      <vt:variant>
        <vt:lpwstr>_Toc70330489</vt:lpwstr>
      </vt:variant>
      <vt:variant>
        <vt:i4>1572924</vt:i4>
      </vt:variant>
      <vt:variant>
        <vt:i4>635</vt:i4>
      </vt:variant>
      <vt:variant>
        <vt:i4>0</vt:i4>
      </vt:variant>
      <vt:variant>
        <vt:i4>5</vt:i4>
      </vt:variant>
      <vt:variant>
        <vt:lpwstr/>
      </vt:variant>
      <vt:variant>
        <vt:lpwstr>_Toc70330488</vt:lpwstr>
      </vt:variant>
      <vt:variant>
        <vt:i4>1507388</vt:i4>
      </vt:variant>
      <vt:variant>
        <vt:i4>629</vt:i4>
      </vt:variant>
      <vt:variant>
        <vt:i4>0</vt:i4>
      </vt:variant>
      <vt:variant>
        <vt:i4>5</vt:i4>
      </vt:variant>
      <vt:variant>
        <vt:lpwstr/>
      </vt:variant>
      <vt:variant>
        <vt:lpwstr>_Toc70330487</vt:lpwstr>
      </vt:variant>
      <vt:variant>
        <vt:i4>1441852</vt:i4>
      </vt:variant>
      <vt:variant>
        <vt:i4>623</vt:i4>
      </vt:variant>
      <vt:variant>
        <vt:i4>0</vt:i4>
      </vt:variant>
      <vt:variant>
        <vt:i4>5</vt:i4>
      </vt:variant>
      <vt:variant>
        <vt:lpwstr/>
      </vt:variant>
      <vt:variant>
        <vt:lpwstr>_Toc70330486</vt:lpwstr>
      </vt:variant>
      <vt:variant>
        <vt:i4>1048636</vt:i4>
      </vt:variant>
      <vt:variant>
        <vt:i4>617</vt:i4>
      </vt:variant>
      <vt:variant>
        <vt:i4>0</vt:i4>
      </vt:variant>
      <vt:variant>
        <vt:i4>5</vt:i4>
      </vt:variant>
      <vt:variant>
        <vt:lpwstr/>
      </vt:variant>
      <vt:variant>
        <vt:lpwstr>_Toc70330480</vt:lpwstr>
      </vt:variant>
      <vt:variant>
        <vt:i4>1114163</vt:i4>
      </vt:variant>
      <vt:variant>
        <vt:i4>611</vt:i4>
      </vt:variant>
      <vt:variant>
        <vt:i4>0</vt:i4>
      </vt:variant>
      <vt:variant>
        <vt:i4>5</vt:i4>
      </vt:variant>
      <vt:variant>
        <vt:lpwstr/>
      </vt:variant>
      <vt:variant>
        <vt:lpwstr>_Toc70330471</vt:lpwstr>
      </vt:variant>
      <vt:variant>
        <vt:i4>1048627</vt:i4>
      </vt:variant>
      <vt:variant>
        <vt:i4>605</vt:i4>
      </vt:variant>
      <vt:variant>
        <vt:i4>0</vt:i4>
      </vt:variant>
      <vt:variant>
        <vt:i4>5</vt:i4>
      </vt:variant>
      <vt:variant>
        <vt:lpwstr/>
      </vt:variant>
      <vt:variant>
        <vt:lpwstr>_Toc70330470</vt:lpwstr>
      </vt:variant>
      <vt:variant>
        <vt:i4>1638450</vt:i4>
      </vt:variant>
      <vt:variant>
        <vt:i4>599</vt:i4>
      </vt:variant>
      <vt:variant>
        <vt:i4>0</vt:i4>
      </vt:variant>
      <vt:variant>
        <vt:i4>5</vt:i4>
      </vt:variant>
      <vt:variant>
        <vt:lpwstr/>
      </vt:variant>
      <vt:variant>
        <vt:lpwstr>_Toc70330469</vt:lpwstr>
      </vt:variant>
      <vt:variant>
        <vt:i4>1572914</vt:i4>
      </vt:variant>
      <vt:variant>
        <vt:i4>593</vt:i4>
      </vt:variant>
      <vt:variant>
        <vt:i4>0</vt:i4>
      </vt:variant>
      <vt:variant>
        <vt:i4>5</vt:i4>
      </vt:variant>
      <vt:variant>
        <vt:lpwstr/>
      </vt:variant>
      <vt:variant>
        <vt:lpwstr>_Toc70330468</vt:lpwstr>
      </vt:variant>
      <vt:variant>
        <vt:i4>1507378</vt:i4>
      </vt:variant>
      <vt:variant>
        <vt:i4>587</vt:i4>
      </vt:variant>
      <vt:variant>
        <vt:i4>0</vt:i4>
      </vt:variant>
      <vt:variant>
        <vt:i4>5</vt:i4>
      </vt:variant>
      <vt:variant>
        <vt:lpwstr/>
      </vt:variant>
      <vt:variant>
        <vt:lpwstr>_Toc70330467</vt:lpwstr>
      </vt:variant>
      <vt:variant>
        <vt:i4>1441842</vt:i4>
      </vt:variant>
      <vt:variant>
        <vt:i4>581</vt:i4>
      </vt:variant>
      <vt:variant>
        <vt:i4>0</vt:i4>
      </vt:variant>
      <vt:variant>
        <vt:i4>5</vt:i4>
      </vt:variant>
      <vt:variant>
        <vt:lpwstr/>
      </vt:variant>
      <vt:variant>
        <vt:lpwstr>_Toc70330466</vt:lpwstr>
      </vt:variant>
      <vt:variant>
        <vt:i4>1376306</vt:i4>
      </vt:variant>
      <vt:variant>
        <vt:i4>575</vt:i4>
      </vt:variant>
      <vt:variant>
        <vt:i4>0</vt:i4>
      </vt:variant>
      <vt:variant>
        <vt:i4>5</vt:i4>
      </vt:variant>
      <vt:variant>
        <vt:lpwstr/>
      </vt:variant>
      <vt:variant>
        <vt:lpwstr>_Toc70330465</vt:lpwstr>
      </vt:variant>
      <vt:variant>
        <vt:i4>1310770</vt:i4>
      </vt:variant>
      <vt:variant>
        <vt:i4>569</vt:i4>
      </vt:variant>
      <vt:variant>
        <vt:i4>0</vt:i4>
      </vt:variant>
      <vt:variant>
        <vt:i4>5</vt:i4>
      </vt:variant>
      <vt:variant>
        <vt:lpwstr/>
      </vt:variant>
      <vt:variant>
        <vt:lpwstr>_Toc70330464</vt:lpwstr>
      </vt:variant>
      <vt:variant>
        <vt:i4>1507377</vt:i4>
      </vt:variant>
      <vt:variant>
        <vt:i4>563</vt:i4>
      </vt:variant>
      <vt:variant>
        <vt:i4>0</vt:i4>
      </vt:variant>
      <vt:variant>
        <vt:i4>5</vt:i4>
      </vt:variant>
      <vt:variant>
        <vt:lpwstr/>
      </vt:variant>
      <vt:variant>
        <vt:lpwstr>_Toc70330457</vt:lpwstr>
      </vt:variant>
      <vt:variant>
        <vt:i4>1441841</vt:i4>
      </vt:variant>
      <vt:variant>
        <vt:i4>557</vt:i4>
      </vt:variant>
      <vt:variant>
        <vt:i4>0</vt:i4>
      </vt:variant>
      <vt:variant>
        <vt:i4>5</vt:i4>
      </vt:variant>
      <vt:variant>
        <vt:lpwstr/>
      </vt:variant>
      <vt:variant>
        <vt:lpwstr>_Toc70330456</vt:lpwstr>
      </vt:variant>
      <vt:variant>
        <vt:i4>1245233</vt:i4>
      </vt:variant>
      <vt:variant>
        <vt:i4>551</vt:i4>
      </vt:variant>
      <vt:variant>
        <vt:i4>0</vt:i4>
      </vt:variant>
      <vt:variant>
        <vt:i4>5</vt:i4>
      </vt:variant>
      <vt:variant>
        <vt:lpwstr/>
      </vt:variant>
      <vt:variant>
        <vt:lpwstr>_Toc70330453</vt:lpwstr>
      </vt:variant>
      <vt:variant>
        <vt:i4>1179697</vt:i4>
      </vt:variant>
      <vt:variant>
        <vt:i4>545</vt:i4>
      </vt:variant>
      <vt:variant>
        <vt:i4>0</vt:i4>
      </vt:variant>
      <vt:variant>
        <vt:i4>5</vt:i4>
      </vt:variant>
      <vt:variant>
        <vt:lpwstr/>
      </vt:variant>
      <vt:variant>
        <vt:lpwstr>_Toc70330452</vt:lpwstr>
      </vt:variant>
      <vt:variant>
        <vt:i4>1114161</vt:i4>
      </vt:variant>
      <vt:variant>
        <vt:i4>539</vt:i4>
      </vt:variant>
      <vt:variant>
        <vt:i4>0</vt:i4>
      </vt:variant>
      <vt:variant>
        <vt:i4>5</vt:i4>
      </vt:variant>
      <vt:variant>
        <vt:lpwstr/>
      </vt:variant>
      <vt:variant>
        <vt:lpwstr>_Toc70330451</vt:lpwstr>
      </vt:variant>
      <vt:variant>
        <vt:i4>1572912</vt:i4>
      </vt:variant>
      <vt:variant>
        <vt:i4>533</vt:i4>
      </vt:variant>
      <vt:variant>
        <vt:i4>0</vt:i4>
      </vt:variant>
      <vt:variant>
        <vt:i4>5</vt:i4>
      </vt:variant>
      <vt:variant>
        <vt:lpwstr/>
      </vt:variant>
      <vt:variant>
        <vt:lpwstr>_Toc70330448</vt:lpwstr>
      </vt:variant>
      <vt:variant>
        <vt:i4>1376304</vt:i4>
      </vt:variant>
      <vt:variant>
        <vt:i4>527</vt:i4>
      </vt:variant>
      <vt:variant>
        <vt:i4>0</vt:i4>
      </vt:variant>
      <vt:variant>
        <vt:i4>5</vt:i4>
      </vt:variant>
      <vt:variant>
        <vt:lpwstr/>
      </vt:variant>
      <vt:variant>
        <vt:lpwstr>_Toc70330445</vt:lpwstr>
      </vt:variant>
      <vt:variant>
        <vt:i4>1310768</vt:i4>
      </vt:variant>
      <vt:variant>
        <vt:i4>521</vt:i4>
      </vt:variant>
      <vt:variant>
        <vt:i4>0</vt:i4>
      </vt:variant>
      <vt:variant>
        <vt:i4>5</vt:i4>
      </vt:variant>
      <vt:variant>
        <vt:lpwstr/>
      </vt:variant>
      <vt:variant>
        <vt:lpwstr>_Toc70330444</vt:lpwstr>
      </vt:variant>
      <vt:variant>
        <vt:i4>1245232</vt:i4>
      </vt:variant>
      <vt:variant>
        <vt:i4>515</vt:i4>
      </vt:variant>
      <vt:variant>
        <vt:i4>0</vt:i4>
      </vt:variant>
      <vt:variant>
        <vt:i4>5</vt:i4>
      </vt:variant>
      <vt:variant>
        <vt:lpwstr/>
      </vt:variant>
      <vt:variant>
        <vt:lpwstr>_Toc70330443</vt:lpwstr>
      </vt:variant>
      <vt:variant>
        <vt:i4>1179696</vt:i4>
      </vt:variant>
      <vt:variant>
        <vt:i4>509</vt:i4>
      </vt:variant>
      <vt:variant>
        <vt:i4>0</vt:i4>
      </vt:variant>
      <vt:variant>
        <vt:i4>5</vt:i4>
      </vt:variant>
      <vt:variant>
        <vt:lpwstr/>
      </vt:variant>
      <vt:variant>
        <vt:lpwstr>_Toc70330442</vt:lpwstr>
      </vt:variant>
      <vt:variant>
        <vt:i4>1114160</vt:i4>
      </vt:variant>
      <vt:variant>
        <vt:i4>503</vt:i4>
      </vt:variant>
      <vt:variant>
        <vt:i4>0</vt:i4>
      </vt:variant>
      <vt:variant>
        <vt:i4>5</vt:i4>
      </vt:variant>
      <vt:variant>
        <vt:lpwstr/>
      </vt:variant>
      <vt:variant>
        <vt:lpwstr>_Toc70330441</vt:lpwstr>
      </vt:variant>
      <vt:variant>
        <vt:i4>1048624</vt:i4>
      </vt:variant>
      <vt:variant>
        <vt:i4>497</vt:i4>
      </vt:variant>
      <vt:variant>
        <vt:i4>0</vt:i4>
      </vt:variant>
      <vt:variant>
        <vt:i4>5</vt:i4>
      </vt:variant>
      <vt:variant>
        <vt:lpwstr/>
      </vt:variant>
      <vt:variant>
        <vt:lpwstr>_Toc70330440</vt:lpwstr>
      </vt:variant>
      <vt:variant>
        <vt:i4>1638455</vt:i4>
      </vt:variant>
      <vt:variant>
        <vt:i4>491</vt:i4>
      </vt:variant>
      <vt:variant>
        <vt:i4>0</vt:i4>
      </vt:variant>
      <vt:variant>
        <vt:i4>5</vt:i4>
      </vt:variant>
      <vt:variant>
        <vt:lpwstr/>
      </vt:variant>
      <vt:variant>
        <vt:lpwstr>_Toc70330439</vt:lpwstr>
      </vt:variant>
      <vt:variant>
        <vt:i4>1572919</vt:i4>
      </vt:variant>
      <vt:variant>
        <vt:i4>485</vt:i4>
      </vt:variant>
      <vt:variant>
        <vt:i4>0</vt:i4>
      </vt:variant>
      <vt:variant>
        <vt:i4>5</vt:i4>
      </vt:variant>
      <vt:variant>
        <vt:lpwstr/>
      </vt:variant>
      <vt:variant>
        <vt:lpwstr>_Toc70330438</vt:lpwstr>
      </vt:variant>
      <vt:variant>
        <vt:i4>1507383</vt:i4>
      </vt:variant>
      <vt:variant>
        <vt:i4>479</vt:i4>
      </vt:variant>
      <vt:variant>
        <vt:i4>0</vt:i4>
      </vt:variant>
      <vt:variant>
        <vt:i4>5</vt:i4>
      </vt:variant>
      <vt:variant>
        <vt:lpwstr/>
      </vt:variant>
      <vt:variant>
        <vt:lpwstr>_Toc70330437</vt:lpwstr>
      </vt:variant>
      <vt:variant>
        <vt:i4>1441847</vt:i4>
      </vt:variant>
      <vt:variant>
        <vt:i4>473</vt:i4>
      </vt:variant>
      <vt:variant>
        <vt:i4>0</vt:i4>
      </vt:variant>
      <vt:variant>
        <vt:i4>5</vt:i4>
      </vt:variant>
      <vt:variant>
        <vt:lpwstr/>
      </vt:variant>
      <vt:variant>
        <vt:lpwstr>_Toc70330436</vt:lpwstr>
      </vt:variant>
      <vt:variant>
        <vt:i4>1376311</vt:i4>
      </vt:variant>
      <vt:variant>
        <vt:i4>467</vt:i4>
      </vt:variant>
      <vt:variant>
        <vt:i4>0</vt:i4>
      </vt:variant>
      <vt:variant>
        <vt:i4>5</vt:i4>
      </vt:variant>
      <vt:variant>
        <vt:lpwstr/>
      </vt:variant>
      <vt:variant>
        <vt:lpwstr>_Toc70330435</vt:lpwstr>
      </vt:variant>
      <vt:variant>
        <vt:i4>1310775</vt:i4>
      </vt:variant>
      <vt:variant>
        <vt:i4>461</vt:i4>
      </vt:variant>
      <vt:variant>
        <vt:i4>0</vt:i4>
      </vt:variant>
      <vt:variant>
        <vt:i4>5</vt:i4>
      </vt:variant>
      <vt:variant>
        <vt:lpwstr/>
      </vt:variant>
      <vt:variant>
        <vt:lpwstr>_Toc70330434</vt:lpwstr>
      </vt:variant>
      <vt:variant>
        <vt:i4>1245239</vt:i4>
      </vt:variant>
      <vt:variant>
        <vt:i4>455</vt:i4>
      </vt:variant>
      <vt:variant>
        <vt:i4>0</vt:i4>
      </vt:variant>
      <vt:variant>
        <vt:i4>5</vt:i4>
      </vt:variant>
      <vt:variant>
        <vt:lpwstr/>
      </vt:variant>
      <vt:variant>
        <vt:lpwstr>_Toc70330433</vt:lpwstr>
      </vt:variant>
      <vt:variant>
        <vt:i4>1179703</vt:i4>
      </vt:variant>
      <vt:variant>
        <vt:i4>449</vt:i4>
      </vt:variant>
      <vt:variant>
        <vt:i4>0</vt:i4>
      </vt:variant>
      <vt:variant>
        <vt:i4>5</vt:i4>
      </vt:variant>
      <vt:variant>
        <vt:lpwstr/>
      </vt:variant>
      <vt:variant>
        <vt:lpwstr>_Toc70330432</vt:lpwstr>
      </vt:variant>
      <vt:variant>
        <vt:i4>1114167</vt:i4>
      </vt:variant>
      <vt:variant>
        <vt:i4>443</vt:i4>
      </vt:variant>
      <vt:variant>
        <vt:i4>0</vt:i4>
      </vt:variant>
      <vt:variant>
        <vt:i4>5</vt:i4>
      </vt:variant>
      <vt:variant>
        <vt:lpwstr/>
      </vt:variant>
      <vt:variant>
        <vt:lpwstr>_Toc70330431</vt:lpwstr>
      </vt:variant>
      <vt:variant>
        <vt:i4>1048631</vt:i4>
      </vt:variant>
      <vt:variant>
        <vt:i4>437</vt:i4>
      </vt:variant>
      <vt:variant>
        <vt:i4>0</vt:i4>
      </vt:variant>
      <vt:variant>
        <vt:i4>5</vt:i4>
      </vt:variant>
      <vt:variant>
        <vt:lpwstr/>
      </vt:variant>
      <vt:variant>
        <vt:lpwstr>_Toc70330430</vt:lpwstr>
      </vt:variant>
      <vt:variant>
        <vt:i4>1638454</vt:i4>
      </vt:variant>
      <vt:variant>
        <vt:i4>431</vt:i4>
      </vt:variant>
      <vt:variant>
        <vt:i4>0</vt:i4>
      </vt:variant>
      <vt:variant>
        <vt:i4>5</vt:i4>
      </vt:variant>
      <vt:variant>
        <vt:lpwstr/>
      </vt:variant>
      <vt:variant>
        <vt:lpwstr>_Toc70330429</vt:lpwstr>
      </vt:variant>
      <vt:variant>
        <vt:i4>1572918</vt:i4>
      </vt:variant>
      <vt:variant>
        <vt:i4>425</vt:i4>
      </vt:variant>
      <vt:variant>
        <vt:i4>0</vt:i4>
      </vt:variant>
      <vt:variant>
        <vt:i4>5</vt:i4>
      </vt:variant>
      <vt:variant>
        <vt:lpwstr/>
      </vt:variant>
      <vt:variant>
        <vt:lpwstr>_Toc70330428</vt:lpwstr>
      </vt:variant>
      <vt:variant>
        <vt:i4>1507382</vt:i4>
      </vt:variant>
      <vt:variant>
        <vt:i4>419</vt:i4>
      </vt:variant>
      <vt:variant>
        <vt:i4>0</vt:i4>
      </vt:variant>
      <vt:variant>
        <vt:i4>5</vt:i4>
      </vt:variant>
      <vt:variant>
        <vt:lpwstr/>
      </vt:variant>
      <vt:variant>
        <vt:lpwstr>_Toc70330427</vt:lpwstr>
      </vt:variant>
      <vt:variant>
        <vt:i4>1310774</vt:i4>
      </vt:variant>
      <vt:variant>
        <vt:i4>413</vt:i4>
      </vt:variant>
      <vt:variant>
        <vt:i4>0</vt:i4>
      </vt:variant>
      <vt:variant>
        <vt:i4>5</vt:i4>
      </vt:variant>
      <vt:variant>
        <vt:lpwstr/>
      </vt:variant>
      <vt:variant>
        <vt:lpwstr>_Toc70330424</vt:lpwstr>
      </vt:variant>
      <vt:variant>
        <vt:i4>1245238</vt:i4>
      </vt:variant>
      <vt:variant>
        <vt:i4>407</vt:i4>
      </vt:variant>
      <vt:variant>
        <vt:i4>0</vt:i4>
      </vt:variant>
      <vt:variant>
        <vt:i4>5</vt:i4>
      </vt:variant>
      <vt:variant>
        <vt:lpwstr/>
      </vt:variant>
      <vt:variant>
        <vt:lpwstr>_Toc70330423</vt:lpwstr>
      </vt:variant>
      <vt:variant>
        <vt:i4>1179702</vt:i4>
      </vt:variant>
      <vt:variant>
        <vt:i4>401</vt:i4>
      </vt:variant>
      <vt:variant>
        <vt:i4>0</vt:i4>
      </vt:variant>
      <vt:variant>
        <vt:i4>5</vt:i4>
      </vt:variant>
      <vt:variant>
        <vt:lpwstr/>
      </vt:variant>
      <vt:variant>
        <vt:lpwstr>_Toc70330422</vt:lpwstr>
      </vt:variant>
      <vt:variant>
        <vt:i4>1114166</vt:i4>
      </vt:variant>
      <vt:variant>
        <vt:i4>395</vt:i4>
      </vt:variant>
      <vt:variant>
        <vt:i4>0</vt:i4>
      </vt:variant>
      <vt:variant>
        <vt:i4>5</vt:i4>
      </vt:variant>
      <vt:variant>
        <vt:lpwstr/>
      </vt:variant>
      <vt:variant>
        <vt:lpwstr>_Toc70330421</vt:lpwstr>
      </vt:variant>
      <vt:variant>
        <vt:i4>1048630</vt:i4>
      </vt:variant>
      <vt:variant>
        <vt:i4>389</vt:i4>
      </vt:variant>
      <vt:variant>
        <vt:i4>0</vt:i4>
      </vt:variant>
      <vt:variant>
        <vt:i4>5</vt:i4>
      </vt:variant>
      <vt:variant>
        <vt:lpwstr/>
      </vt:variant>
      <vt:variant>
        <vt:lpwstr>_Toc70330420</vt:lpwstr>
      </vt:variant>
      <vt:variant>
        <vt:i4>1638453</vt:i4>
      </vt:variant>
      <vt:variant>
        <vt:i4>383</vt:i4>
      </vt:variant>
      <vt:variant>
        <vt:i4>0</vt:i4>
      </vt:variant>
      <vt:variant>
        <vt:i4>5</vt:i4>
      </vt:variant>
      <vt:variant>
        <vt:lpwstr/>
      </vt:variant>
      <vt:variant>
        <vt:lpwstr>_Toc70330419</vt:lpwstr>
      </vt:variant>
      <vt:variant>
        <vt:i4>1572917</vt:i4>
      </vt:variant>
      <vt:variant>
        <vt:i4>377</vt:i4>
      </vt:variant>
      <vt:variant>
        <vt:i4>0</vt:i4>
      </vt:variant>
      <vt:variant>
        <vt:i4>5</vt:i4>
      </vt:variant>
      <vt:variant>
        <vt:lpwstr/>
      </vt:variant>
      <vt:variant>
        <vt:lpwstr>_Toc70330418</vt:lpwstr>
      </vt:variant>
      <vt:variant>
        <vt:i4>1507381</vt:i4>
      </vt:variant>
      <vt:variant>
        <vt:i4>371</vt:i4>
      </vt:variant>
      <vt:variant>
        <vt:i4>0</vt:i4>
      </vt:variant>
      <vt:variant>
        <vt:i4>5</vt:i4>
      </vt:variant>
      <vt:variant>
        <vt:lpwstr/>
      </vt:variant>
      <vt:variant>
        <vt:lpwstr>_Toc70330417</vt:lpwstr>
      </vt:variant>
      <vt:variant>
        <vt:i4>1572916</vt:i4>
      </vt:variant>
      <vt:variant>
        <vt:i4>365</vt:i4>
      </vt:variant>
      <vt:variant>
        <vt:i4>0</vt:i4>
      </vt:variant>
      <vt:variant>
        <vt:i4>5</vt:i4>
      </vt:variant>
      <vt:variant>
        <vt:lpwstr/>
      </vt:variant>
      <vt:variant>
        <vt:lpwstr>_Toc70330408</vt:lpwstr>
      </vt:variant>
      <vt:variant>
        <vt:i4>1507380</vt:i4>
      </vt:variant>
      <vt:variant>
        <vt:i4>359</vt:i4>
      </vt:variant>
      <vt:variant>
        <vt:i4>0</vt:i4>
      </vt:variant>
      <vt:variant>
        <vt:i4>5</vt:i4>
      </vt:variant>
      <vt:variant>
        <vt:lpwstr/>
      </vt:variant>
      <vt:variant>
        <vt:lpwstr>_Toc70330407</vt:lpwstr>
      </vt:variant>
      <vt:variant>
        <vt:i4>1441844</vt:i4>
      </vt:variant>
      <vt:variant>
        <vt:i4>353</vt:i4>
      </vt:variant>
      <vt:variant>
        <vt:i4>0</vt:i4>
      </vt:variant>
      <vt:variant>
        <vt:i4>5</vt:i4>
      </vt:variant>
      <vt:variant>
        <vt:lpwstr/>
      </vt:variant>
      <vt:variant>
        <vt:lpwstr>_Toc70330406</vt:lpwstr>
      </vt:variant>
      <vt:variant>
        <vt:i4>1376317</vt:i4>
      </vt:variant>
      <vt:variant>
        <vt:i4>347</vt:i4>
      </vt:variant>
      <vt:variant>
        <vt:i4>0</vt:i4>
      </vt:variant>
      <vt:variant>
        <vt:i4>5</vt:i4>
      </vt:variant>
      <vt:variant>
        <vt:lpwstr/>
      </vt:variant>
      <vt:variant>
        <vt:lpwstr>_Toc70330392</vt:lpwstr>
      </vt:variant>
      <vt:variant>
        <vt:i4>1441853</vt:i4>
      </vt:variant>
      <vt:variant>
        <vt:i4>341</vt:i4>
      </vt:variant>
      <vt:variant>
        <vt:i4>0</vt:i4>
      </vt:variant>
      <vt:variant>
        <vt:i4>5</vt:i4>
      </vt:variant>
      <vt:variant>
        <vt:lpwstr/>
      </vt:variant>
      <vt:variant>
        <vt:lpwstr>_Toc70330391</vt:lpwstr>
      </vt:variant>
      <vt:variant>
        <vt:i4>1048636</vt:i4>
      </vt:variant>
      <vt:variant>
        <vt:i4>335</vt:i4>
      </vt:variant>
      <vt:variant>
        <vt:i4>0</vt:i4>
      </vt:variant>
      <vt:variant>
        <vt:i4>5</vt:i4>
      </vt:variant>
      <vt:variant>
        <vt:lpwstr/>
      </vt:variant>
      <vt:variant>
        <vt:lpwstr>_Toc70330387</vt:lpwstr>
      </vt:variant>
      <vt:variant>
        <vt:i4>1114172</vt:i4>
      </vt:variant>
      <vt:variant>
        <vt:i4>329</vt:i4>
      </vt:variant>
      <vt:variant>
        <vt:i4>0</vt:i4>
      </vt:variant>
      <vt:variant>
        <vt:i4>5</vt:i4>
      </vt:variant>
      <vt:variant>
        <vt:lpwstr/>
      </vt:variant>
      <vt:variant>
        <vt:lpwstr>_Toc70330386</vt:lpwstr>
      </vt:variant>
      <vt:variant>
        <vt:i4>1179708</vt:i4>
      </vt:variant>
      <vt:variant>
        <vt:i4>323</vt:i4>
      </vt:variant>
      <vt:variant>
        <vt:i4>0</vt:i4>
      </vt:variant>
      <vt:variant>
        <vt:i4>5</vt:i4>
      </vt:variant>
      <vt:variant>
        <vt:lpwstr/>
      </vt:variant>
      <vt:variant>
        <vt:lpwstr>_Toc70330385</vt:lpwstr>
      </vt:variant>
      <vt:variant>
        <vt:i4>1245244</vt:i4>
      </vt:variant>
      <vt:variant>
        <vt:i4>317</vt:i4>
      </vt:variant>
      <vt:variant>
        <vt:i4>0</vt:i4>
      </vt:variant>
      <vt:variant>
        <vt:i4>5</vt:i4>
      </vt:variant>
      <vt:variant>
        <vt:lpwstr/>
      </vt:variant>
      <vt:variant>
        <vt:lpwstr>_Toc70330384</vt:lpwstr>
      </vt:variant>
      <vt:variant>
        <vt:i4>1310780</vt:i4>
      </vt:variant>
      <vt:variant>
        <vt:i4>311</vt:i4>
      </vt:variant>
      <vt:variant>
        <vt:i4>0</vt:i4>
      </vt:variant>
      <vt:variant>
        <vt:i4>5</vt:i4>
      </vt:variant>
      <vt:variant>
        <vt:lpwstr/>
      </vt:variant>
      <vt:variant>
        <vt:lpwstr>_Toc70330383</vt:lpwstr>
      </vt:variant>
      <vt:variant>
        <vt:i4>1376316</vt:i4>
      </vt:variant>
      <vt:variant>
        <vt:i4>305</vt:i4>
      </vt:variant>
      <vt:variant>
        <vt:i4>0</vt:i4>
      </vt:variant>
      <vt:variant>
        <vt:i4>5</vt:i4>
      </vt:variant>
      <vt:variant>
        <vt:lpwstr/>
      </vt:variant>
      <vt:variant>
        <vt:lpwstr>_Toc70330382</vt:lpwstr>
      </vt:variant>
      <vt:variant>
        <vt:i4>1441852</vt:i4>
      </vt:variant>
      <vt:variant>
        <vt:i4>299</vt:i4>
      </vt:variant>
      <vt:variant>
        <vt:i4>0</vt:i4>
      </vt:variant>
      <vt:variant>
        <vt:i4>5</vt:i4>
      </vt:variant>
      <vt:variant>
        <vt:lpwstr/>
      </vt:variant>
      <vt:variant>
        <vt:lpwstr>_Toc70330381</vt:lpwstr>
      </vt:variant>
      <vt:variant>
        <vt:i4>1507388</vt:i4>
      </vt:variant>
      <vt:variant>
        <vt:i4>293</vt:i4>
      </vt:variant>
      <vt:variant>
        <vt:i4>0</vt:i4>
      </vt:variant>
      <vt:variant>
        <vt:i4>5</vt:i4>
      </vt:variant>
      <vt:variant>
        <vt:lpwstr/>
      </vt:variant>
      <vt:variant>
        <vt:lpwstr>_Toc70330380</vt:lpwstr>
      </vt:variant>
      <vt:variant>
        <vt:i4>1966131</vt:i4>
      </vt:variant>
      <vt:variant>
        <vt:i4>287</vt:i4>
      </vt:variant>
      <vt:variant>
        <vt:i4>0</vt:i4>
      </vt:variant>
      <vt:variant>
        <vt:i4>5</vt:i4>
      </vt:variant>
      <vt:variant>
        <vt:lpwstr/>
      </vt:variant>
      <vt:variant>
        <vt:lpwstr>_Toc70330379</vt:lpwstr>
      </vt:variant>
      <vt:variant>
        <vt:i4>1310771</vt:i4>
      </vt:variant>
      <vt:variant>
        <vt:i4>281</vt:i4>
      </vt:variant>
      <vt:variant>
        <vt:i4>0</vt:i4>
      </vt:variant>
      <vt:variant>
        <vt:i4>5</vt:i4>
      </vt:variant>
      <vt:variant>
        <vt:lpwstr/>
      </vt:variant>
      <vt:variant>
        <vt:lpwstr>_Toc70330373</vt:lpwstr>
      </vt:variant>
      <vt:variant>
        <vt:i4>1441843</vt:i4>
      </vt:variant>
      <vt:variant>
        <vt:i4>275</vt:i4>
      </vt:variant>
      <vt:variant>
        <vt:i4>0</vt:i4>
      </vt:variant>
      <vt:variant>
        <vt:i4>5</vt:i4>
      </vt:variant>
      <vt:variant>
        <vt:lpwstr/>
      </vt:variant>
      <vt:variant>
        <vt:lpwstr>_Toc70330371</vt:lpwstr>
      </vt:variant>
      <vt:variant>
        <vt:i4>1507379</vt:i4>
      </vt:variant>
      <vt:variant>
        <vt:i4>269</vt:i4>
      </vt:variant>
      <vt:variant>
        <vt:i4>0</vt:i4>
      </vt:variant>
      <vt:variant>
        <vt:i4>5</vt:i4>
      </vt:variant>
      <vt:variant>
        <vt:lpwstr/>
      </vt:variant>
      <vt:variant>
        <vt:lpwstr>_Toc70330370</vt:lpwstr>
      </vt:variant>
      <vt:variant>
        <vt:i4>1966130</vt:i4>
      </vt:variant>
      <vt:variant>
        <vt:i4>263</vt:i4>
      </vt:variant>
      <vt:variant>
        <vt:i4>0</vt:i4>
      </vt:variant>
      <vt:variant>
        <vt:i4>5</vt:i4>
      </vt:variant>
      <vt:variant>
        <vt:lpwstr/>
      </vt:variant>
      <vt:variant>
        <vt:lpwstr>_Toc70330369</vt:lpwstr>
      </vt:variant>
      <vt:variant>
        <vt:i4>1048626</vt:i4>
      </vt:variant>
      <vt:variant>
        <vt:i4>257</vt:i4>
      </vt:variant>
      <vt:variant>
        <vt:i4>0</vt:i4>
      </vt:variant>
      <vt:variant>
        <vt:i4>5</vt:i4>
      </vt:variant>
      <vt:variant>
        <vt:lpwstr/>
      </vt:variant>
      <vt:variant>
        <vt:lpwstr>_Toc70330367</vt:lpwstr>
      </vt:variant>
      <vt:variant>
        <vt:i4>1114162</vt:i4>
      </vt:variant>
      <vt:variant>
        <vt:i4>251</vt:i4>
      </vt:variant>
      <vt:variant>
        <vt:i4>0</vt:i4>
      </vt:variant>
      <vt:variant>
        <vt:i4>5</vt:i4>
      </vt:variant>
      <vt:variant>
        <vt:lpwstr/>
      </vt:variant>
      <vt:variant>
        <vt:lpwstr>_Toc70330366</vt:lpwstr>
      </vt:variant>
      <vt:variant>
        <vt:i4>1179698</vt:i4>
      </vt:variant>
      <vt:variant>
        <vt:i4>245</vt:i4>
      </vt:variant>
      <vt:variant>
        <vt:i4>0</vt:i4>
      </vt:variant>
      <vt:variant>
        <vt:i4>5</vt:i4>
      </vt:variant>
      <vt:variant>
        <vt:lpwstr/>
      </vt:variant>
      <vt:variant>
        <vt:lpwstr>_Toc70330365</vt:lpwstr>
      </vt:variant>
      <vt:variant>
        <vt:i4>1310770</vt:i4>
      </vt:variant>
      <vt:variant>
        <vt:i4>239</vt:i4>
      </vt:variant>
      <vt:variant>
        <vt:i4>0</vt:i4>
      </vt:variant>
      <vt:variant>
        <vt:i4>5</vt:i4>
      </vt:variant>
      <vt:variant>
        <vt:lpwstr/>
      </vt:variant>
      <vt:variant>
        <vt:lpwstr>_Toc70330363</vt:lpwstr>
      </vt:variant>
      <vt:variant>
        <vt:i4>1507378</vt:i4>
      </vt:variant>
      <vt:variant>
        <vt:i4>233</vt:i4>
      </vt:variant>
      <vt:variant>
        <vt:i4>0</vt:i4>
      </vt:variant>
      <vt:variant>
        <vt:i4>5</vt:i4>
      </vt:variant>
      <vt:variant>
        <vt:lpwstr/>
      </vt:variant>
      <vt:variant>
        <vt:lpwstr>_Toc70330360</vt:lpwstr>
      </vt:variant>
      <vt:variant>
        <vt:i4>1966129</vt:i4>
      </vt:variant>
      <vt:variant>
        <vt:i4>227</vt:i4>
      </vt:variant>
      <vt:variant>
        <vt:i4>0</vt:i4>
      </vt:variant>
      <vt:variant>
        <vt:i4>5</vt:i4>
      </vt:variant>
      <vt:variant>
        <vt:lpwstr/>
      </vt:variant>
      <vt:variant>
        <vt:lpwstr>_Toc70330359</vt:lpwstr>
      </vt:variant>
      <vt:variant>
        <vt:i4>2031665</vt:i4>
      </vt:variant>
      <vt:variant>
        <vt:i4>221</vt:i4>
      </vt:variant>
      <vt:variant>
        <vt:i4>0</vt:i4>
      </vt:variant>
      <vt:variant>
        <vt:i4>5</vt:i4>
      </vt:variant>
      <vt:variant>
        <vt:lpwstr/>
      </vt:variant>
      <vt:variant>
        <vt:lpwstr>_Toc70330358</vt:lpwstr>
      </vt:variant>
      <vt:variant>
        <vt:i4>1048625</vt:i4>
      </vt:variant>
      <vt:variant>
        <vt:i4>215</vt:i4>
      </vt:variant>
      <vt:variant>
        <vt:i4>0</vt:i4>
      </vt:variant>
      <vt:variant>
        <vt:i4>5</vt:i4>
      </vt:variant>
      <vt:variant>
        <vt:lpwstr/>
      </vt:variant>
      <vt:variant>
        <vt:lpwstr>_Toc70330357</vt:lpwstr>
      </vt:variant>
      <vt:variant>
        <vt:i4>1114161</vt:i4>
      </vt:variant>
      <vt:variant>
        <vt:i4>209</vt:i4>
      </vt:variant>
      <vt:variant>
        <vt:i4>0</vt:i4>
      </vt:variant>
      <vt:variant>
        <vt:i4>5</vt:i4>
      </vt:variant>
      <vt:variant>
        <vt:lpwstr/>
      </vt:variant>
      <vt:variant>
        <vt:lpwstr>_Toc70330356</vt:lpwstr>
      </vt:variant>
      <vt:variant>
        <vt:i4>1179697</vt:i4>
      </vt:variant>
      <vt:variant>
        <vt:i4>203</vt:i4>
      </vt:variant>
      <vt:variant>
        <vt:i4>0</vt:i4>
      </vt:variant>
      <vt:variant>
        <vt:i4>5</vt:i4>
      </vt:variant>
      <vt:variant>
        <vt:lpwstr/>
      </vt:variant>
      <vt:variant>
        <vt:lpwstr>_Toc70330355</vt:lpwstr>
      </vt:variant>
      <vt:variant>
        <vt:i4>1245233</vt:i4>
      </vt:variant>
      <vt:variant>
        <vt:i4>197</vt:i4>
      </vt:variant>
      <vt:variant>
        <vt:i4>0</vt:i4>
      </vt:variant>
      <vt:variant>
        <vt:i4>5</vt:i4>
      </vt:variant>
      <vt:variant>
        <vt:lpwstr/>
      </vt:variant>
      <vt:variant>
        <vt:lpwstr>_Toc70330354</vt:lpwstr>
      </vt:variant>
      <vt:variant>
        <vt:i4>1310769</vt:i4>
      </vt:variant>
      <vt:variant>
        <vt:i4>191</vt:i4>
      </vt:variant>
      <vt:variant>
        <vt:i4>0</vt:i4>
      </vt:variant>
      <vt:variant>
        <vt:i4>5</vt:i4>
      </vt:variant>
      <vt:variant>
        <vt:lpwstr/>
      </vt:variant>
      <vt:variant>
        <vt:lpwstr>_Toc70330353</vt:lpwstr>
      </vt:variant>
      <vt:variant>
        <vt:i4>1376305</vt:i4>
      </vt:variant>
      <vt:variant>
        <vt:i4>185</vt:i4>
      </vt:variant>
      <vt:variant>
        <vt:i4>0</vt:i4>
      </vt:variant>
      <vt:variant>
        <vt:i4>5</vt:i4>
      </vt:variant>
      <vt:variant>
        <vt:lpwstr/>
      </vt:variant>
      <vt:variant>
        <vt:lpwstr>_Toc70330352</vt:lpwstr>
      </vt:variant>
      <vt:variant>
        <vt:i4>1441841</vt:i4>
      </vt:variant>
      <vt:variant>
        <vt:i4>179</vt:i4>
      </vt:variant>
      <vt:variant>
        <vt:i4>0</vt:i4>
      </vt:variant>
      <vt:variant>
        <vt:i4>5</vt:i4>
      </vt:variant>
      <vt:variant>
        <vt:lpwstr/>
      </vt:variant>
      <vt:variant>
        <vt:lpwstr>_Toc70330351</vt:lpwstr>
      </vt:variant>
      <vt:variant>
        <vt:i4>1507377</vt:i4>
      </vt:variant>
      <vt:variant>
        <vt:i4>173</vt:i4>
      </vt:variant>
      <vt:variant>
        <vt:i4>0</vt:i4>
      </vt:variant>
      <vt:variant>
        <vt:i4>5</vt:i4>
      </vt:variant>
      <vt:variant>
        <vt:lpwstr/>
      </vt:variant>
      <vt:variant>
        <vt:lpwstr>_Toc70330350</vt:lpwstr>
      </vt:variant>
      <vt:variant>
        <vt:i4>1966128</vt:i4>
      </vt:variant>
      <vt:variant>
        <vt:i4>167</vt:i4>
      </vt:variant>
      <vt:variant>
        <vt:i4>0</vt:i4>
      </vt:variant>
      <vt:variant>
        <vt:i4>5</vt:i4>
      </vt:variant>
      <vt:variant>
        <vt:lpwstr/>
      </vt:variant>
      <vt:variant>
        <vt:lpwstr>_Toc70330349</vt:lpwstr>
      </vt:variant>
      <vt:variant>
        <vt:i4>2031664</vt:i4>
      </vt:variant>
      <vt:variant>
        <vt:i4>161</vt:i4>
      </vt:variant>
      <vt:variant>
        <vt:i4>0</vt:i4>
      </vt:variant>
      <vt:variant>
        <vt:i4>5</vt:i4>
      </vt:variant>
      <vt:variant>
        <vt:lpwstr/>
      </vt:variant>
      <vt:variant>
        <vt:lpwstr>_Toc70330348</vt:lpwstr>
      </vt:variant>
      <vt:variant>
        <vt:i4>1048624</vt:i4>
      </vt:variant>
      <vt:variant>
        <vt:i4>155</vt:i4>
      </vt:variant>
      <vt:variant>
        <vt:i4>0</vt:i4>
      </vt:variant>
      <vt:variant>
        <vt:i4>5</vt:i4>
      </vt:variant>
      <vt:variant>
        <vt:lpwstr/>
      </vt:variant>
      <vt:variant>
        <vt:lpwstr>_Toc70330347</vt:lpwstr>
      </vt:variant>
      <vt:variant>
        <vt:i4>1114160</vt:i4>
      </vt:variant>
      <vt:variant>
        <vt:i4>149</vt:i4>
      </vt:variant>
      <vt:variant>
        <vt:i4>0</vt:i4>
      </vt:variant>
      <vt:variant>
        <vt:i4>5</vt:i4>
      </vt:variant>
      <vt:variant>
        <vt:lpwstr/>
      </vt:variant>
      <vt:variant>
        <vt:lpwstr>_Toc70330346</vt:lpwstr>
      </vt:variant>
      <vt:variant>
        <vt:i4>1179696</vt:i4>
      </vt:variant>
      <vt:variant>
        <vt:i4>143</vt:i4>
      </vt:variant>
      <vt:variant>
        <vt:i4>0</vt:i4>
      </vt:variant>
      <vt:variant>
        <vt:i4>5</vt:i4>
      </vt:variant>
      <vt:variant>
        <vt:lpwstr/>
      </vt:variant>
      <vt:variant>
        <vt:lpwstr>_Toc70330345</vt:lpwstr>
      </vt:variant>
      <vt:variant>
        <vt:i4>1245232</vt:i4>
      </vt:variant>
      <vt:variant>
        <vt:i4>137</vt:i4>
      </vt:variant>
      <vt:variant>
        <vt:i4>0</vt:i4>
      </vt:variant>
      <vt:variant>
        <vt:i4>5</vt:i4>
      </vt:variant>
      <vt:variant>
        <vt:lpwstr/>
      </vt:variant>
      <vt:variant>
        <vt:lpwstr>_Toc70330344</vt:lpwstr>
      </vt:variant>
      <vt:variant>
        <vt:i4>1310768</vt:i4>
      </vt:variant>
      <vt:variant>
        <vt:i4>131</vt:i4>
      </vt:variant>
      <vt:variant>
        <vt:i4>0</vt:i4>
      </vt:variant>
      <vt:variant>
        <vt:i4>5</vt:i4>
      </vt:variant>
      <vt:variant>
        <vt:lpwstr/>
      </vt:variant>
      <vt:variant>
        <vt:lpwstr>_Toc70330343</vt:lpwstr>
      </vt:variant>
      <vt:variant>
        <vt:i4>1376304</vt:i4>
      </vt:variant>
      <vt:variant>
        <vt:i4>125</vt:i4>
      </vt:variant>
      <vt:variant>
        <vt:i4>0</vt:i4>
      </vt:variant>
      <vt:variant>
        <vt:i4>5</vt:i4>
      </vt:variant>
      <vt:variant>
        <vt:lpwstr/>
      </vt:variant>
      <vt:variant>
        <vt:lpwstr>_Toc70330342</vt:lpwstr>
      </vt:variant>
      <vt:variant>
        <vt:i4>1441840</vt:i4>
      </vt:variant>
      <vt:variant>
        <vt:i4>119</vt:i4>
      </vt:variant>
      <vt:variant>
        <vt:i4>0</vt:i4>
      </vt:variant>
      <vt:variant>
        <vt:i4>5</vt:i4>
      </vt:variant>
      <vt:variant>
        <vt:lpwstr/>
      </vt:variant>
      <vt:variant>
        <vt:lpwstr>_Toc70330341</vt:lpwstr>
      </vt:variant>
      <vt:variant>
        <vt:i4>1507376</vt:i4>
      </vt:variant>
      <vt:variant>
        <vt:i4>113</vt:i4>
      </vt:variant>
      <vt:variant>
        <vt:i4>0</vt:i4>
      </vt:variant>
      <vt:variant>
        <vt:i4>5</vt:i4>
      </vt:variant>
      <vt:variant>
        <vt:lpwstr/>
      </vt:variant>
      <vt:variant>
        <vt:lpwstr>_Toc70330340</vt:lpwstr>
      </vt:variant>
      <vt:variant>
        <vt:i4>1966135</vt:i4>
      </vt:variant>
      <vt:variant>
        <vt:i4>107</vt:i4>
      </vt:variant>
      <vt:variant>
        <vt:i4>0</vt:i4>
      </vt:variant>
      <vt:variant>
        <vt:i4>5</vt:i4>
      </vt:variant>
      <vt:variant>
        <vt:lpwstr/>
      </vt:variant>
      <vt:variant>
        <vt:lpwstr>_Toc70330339</vt:lpwstr>
      </vt:variant>
      <vt:variant>
        <vt:i4>2031671</vt:i4>
      </vt:variant>
      <vt:variant>
        <vt:i4>101</vt:i4>
      </vt:variant>
      <vt:variant>
        <vt:i4>0</vt:i4>
      </vt:variant>
      <vt:variant>
        <vt:i4>5</vt:i4>
      </vt:variant>
      <vt:variant>
        <vt:lpwstr/>
      </vt:variant>
      <vt:variant>
        <vt:lpwstr>_Toc70330338</vt:lpwstr>
      </vt:variant>
      <vt:variant>
        <vt:i4>1048631</vt:i4>
      </vt:variant>
      <vt:variant>
        <vt:i4>95</vt:i4>
      </vt:variant>
      <vt:variant>
        <vt:i4>0</vt:i4>
      </vt:variant>
      <vt:variant>
        <vt:i4>5</vt:i4>
      </vt:variant>
      <vt:variant>
        <vt:lpwstr/>
      </vt:variant>
      <vt:variant>
        <vt:lpwstr>_Toc70330337</vt:lpwstr>
      </vt:variant>
      <vt:variant>
        <vt:i4>1114167</vt:i4>
      </vt:variant>
      <vt:variant>
        <vt:i4>89</vt:i4>
      </vt:variant>
      <vt:variant>
        <vt:i4>0</vt:i4>
      </vt:variant>
      <vt:variant>
        <vt:i4>5</vt:i4>
      </vt:variant>
      <vt:variant>
        <vt:lpwstr/>
      </vt:variant>
      <vt:variant>
        <vt:lpwstr>_Toc70330336</vt:lpwstr>
      </vt:variant>
      <vt:variant>
        <vt:i4>1179703</vt:i4>
      </vt:variant>
      <vt:variant>
        <vt:i4>83</vt:i4>
      </vt:variant>
      <vt:variant>
        <vt:i4>0</vt:i4>
      </vt:variant>
      <vt:variant>
        <vt:i4>5</vt:i4>
      </vt:variant>
      <vt:variant>
        <vt:lpwstr/>
      </vt:variant>
      <vt:variant>
        <vt:lpwstr>_Toc70330335</vt:lpwstr>
      </vt:variant>
      <vt:variant>
        <vt:i4>1245239</vt:i4>
      </vt:variant>
      <vt:variant>
        <vt:i4>77</vt:i4>
      </vt:variant>
      <vt:variant>
        <vt:i4>0</vt:i4>
      </vt:variant>
      <vt:variant>
        <vt:i4>5</vt:i4>
      </vt:variant>
      <vt:variant>
        <vt:lpwstr/>
      </vt:variant>
      <vt:variant>
        <vt:lpwstr>_Toc70330334</vt:lpwstr>
      </vt:variant>
      <vt:variant>
        <vt:i4>1310775</vt:i4>
      </vt:variant>
      <vt:variant>
        <vt:i4>71</vt:i4>
      </vt:variant>
      <vt:variant>
        <vt:i4>0</vt:i4>
      </vt:variant>
      <vt:variant>
        <vt:i4>5</vt:i4>
      </vt:variant>
      <vt:variant>
        <vt:lpwstr/>
      </vt:variant>
      <vt:variant>
        <vt:lpwstr>_Toc70330333</vt:lpwstr>
      </vt:variant>
      <vt:variant>
        <vt:i4>1376311</vt:i4>
      </vt:variant>
      <vt:variant>
        <vt:i4>65</vt:i4>
      </vt:variant>
      <vt:variant>
        <vt:i4>0</vt:i4>
      </vt:variant>
      <vt:variant>
        <vt:i4>5</vt:i4>
      </vt:variant>
      <vt:variant>
        <vt:lpwstr/>
      </vt:variant>
      <vt:variant>
        <vt:lpwstr>_Toc70330332</vt:lpwstr>
      </vt:variant>
      <vt:variant>
        <vt:i4>1441847</vt:i4>
      </vt:variant>
      <vt:variant>
        <vt:i4>59</vt:i4>
      </vt:variant>
      <vt:variant>
        <vt:i4>0</vt:i4>
      </vt:variant>
      <vt:variant>
        <vt:i4>5</vt:i4>
      </vt:variant>
      <vt:variant>
        <vt:lpwstr/>
      </vt:variant>
      <vt:variant>
        <vt:lpwstr>_Toc70330331</vt:lpwstr>
      </vt:variant>
      <vt:variant>
        <vt:i4>1507383</vt:i4>
      </vt:variant>
      <vt:variant>
        <vt:i4>53</vt:i4>
      </vt:variant>
      <vt:variant>
        <vt:i4>0</vt:i4>
      </vt:variant>
      <vt:variant>
        <vt:i4>5</vt:i4>
      </vt:variant>
      <vt:variant>
        <vt:lpwstr/>
      </vt:variant>
      <vt:variant>
        <vt:lpwstr>_Toc70330330</vt:lpwstr>
      </vt:variant>
      <vt:variant>
        <vt:i4>1966134</vt:i4>
      </vt:variant>
      <vt:variant>
        <vt:i4>47</vt:i4>
      </vt:variant>
      <vt:variant>
        <vt:i4>0</vt:i4>
      </vt:variant>
      <vt:variant>
        <vt:i4>5</vt:i4>
      </vt:variant>
      <vt:variant>
        <vt:lpwstr/>
      </vt:variant>
      <vt:variant>
        <vt:lpwstr>_Toc70330329</vt:lpwstr>
      </vt:variant>
      <vt:variant>
        <vt:i4>1245238</vt:i4>
      </vt:variant>
      <vt:variant>
        <vt:i4>41</vt:i4>
      </vt:variant>
      <vt:variant>
        <vt:i4>0</vt:i4>
      </vt:variant>
      <vt:variant>
        <vt:i4>5</vt:i4>
      </vt:variant>
      <vt:variant>
        <vt:lpwstr/>
      </vt:variant>
      <vt:variant>
        <vt:lpwstr>_Toc70330324</vt:lpwstr>
      </vt:variant>
      <vt:variant>
        <vt:i4>1966133</vt:i4>
      </vt:variant>
      <vt:variant>
        <vt:i4>35</vt:i4>
      </vt:variant>
      <vt:variant>
        <vt:i4>0</vt:i4>
      </vt:variant>
      <vt:variant>
        <vt:i4>5</vt:i4>
      </vt:variant>
      <vt:variant>
        <vt:lpwstr/>
      </vt:variant>
      <vt:variant>
        <vt:lpwstr>_Toc70330319</vt:lpwstr>
      </vt:variant>
      <vt:variant>
        <vt:i4>2031669</vt:i4>
      </vt:variant>
      <vt:variant>
        <vt:i4>29</vt:i4>
      </vt:variant>
      <vt:variant>
        <vt:i4>0</vt:i4>
      </vt:variant>
      <vt:variant>
        <vt:i4>5</vt:i4>
      </vt:variant>
      <vt:variant>
        <vt:lpwstr/>
      </vt:variant>
      <vt:variant>
        <vt:lpwstr>_Toc70330318</vt:lpwstr>
      </vt:variant>
      <vt:variant>
        <vt:i4>1310773</vt:i4>
      </vt:variant>
      <vt:variant>
        <vt:i4>23</vt:i4>
      </vt:variant>
      <vt:variant>
        <vt:i4>0</vt:i4>
      </vt:variant>
      <vt:variant>
        <vt:i4>5</vt:i4>
      </vt:variant>
      <vt:variant>
        <vt:lpwstr/>
      </vt:variant>
      <vt:variant>
        <vt:lpwstr>_Toc70330313</vt:lpwstr>
      </vt:variant>
      <vt:variant>
        <vt:i4>1376309</vt:i4>
      </vt:variant>
      <vt:variant>
        <vt:i4>17</vt:i4>
      </vt:variant>
      <vt:variant>
        <vt:i4>0</vt:i4>
      </vt:variant>
      <vt:variant>
        <vt:i4>5</vt:i4>
      </vt:variant>
      <vt:variant>
        <vt:lpwstr/>
      </vt:variant>
      <vt:variant>
        <vt:lpwstr>_Toc70330312</vt:lpwstr>
      </vt:variant>
      <vt:variant>
        <vt:i4>1441845</vt:i4>
      </vt:variant>
      <vt:variant>
        <vt:i4>11</vt:i4>
      </vt:variant>
      <vt:variant>
        <vt:i4>0</vt:i4>
      </vt:variant>
      <vt:variant>
        <vt:i4>5</vt:i4>
      </vt:variant>
      <vt:variant>
        <vt:lpwstr/>
      </vt:variant>
      <vt:variant>
        <vt:lpwstr>_Toc70330311</vt:lpwstr>
      </vt:variant>
      <vt:variant>
        <vt:i4>1507381</vt:i4>
      </vt:variant>
      <vt:variant>
        <vt:i4>5</vt:i4>
      </vt:variant>
      <vt:variant>
        <vt:i4>0</vt:i4>
      </vt:variant>
      <vt:variant>
        <vt:i4>5</vt:i4>
      </vt:variant>
      <vt:variant>
        <vt:lpwstr/>
      </vt:variant>
      <vt:variant>
        <vt:lpwstr>_Toc70330310</vt:lpwstr>
      </vt:variant>
      <vt:variant>
        <vt:i4>6291564</vt:i4>
      </vt:variant>
      <vt:variant>
        <vt:i4>0</vt:i4>
      </vt:variant>
      <vt:variant>
        <vt:i4>0</vt:i4>
      </vt:variant>
      <vt:variant>
        <vt:i4>5</vt:i4>
      </vt:variant>
      <vt:variant>
        <vt:lpwstr>javascript:void(0)</vt:lpwstr>
      </vt:variant>
      <vt:variant>
        <vt:lpwstr/>
      </vt:variant>
      <vt:variant>
        <vt:i4>3473463</vt:i4>
      </vt:variant>
      <vt:variant>
        <vt:i4>21</vt:i4>
      </vt:variant>
      <vt:variant>
        <vt:i4>0</vt:i4>
      </vt:variant>
      <vt:variant>
        <vt:i4>5</vt:i4>
      </vt:variant>
      <vt:variant>
        <vt:lpwstr>http://www.gbvims.com/wp/wp-content/uploads/BestPractices2.pdf</vt:lpwstr>
      </vt:variant>
      <vt:variant>
        <vt:lpwstr/>
      </vt:variant>
      <vt:variant>
        <vt:i4>2228334</vt:i4>
      </vt:variant>
      <vt:variant>
        <vt:i4>18</vt:i4>
      </vt:variant>
      <vt:variant>
        <vt:i4>0</vt:i4>
      </vt:variant>
      <vt:variant>
        <vt:i4>5</vt:i4>
      </vt:variant>
      <vt:variant>
        <vt:lpwstr>http://www.pnmls.cd/doc/Lois portant protection des PVV et PA, Protection de l'enfant et contre VS J.O. n%C2%B0 Sp%C3%A9cial du 25 mai 2009.pdf</vt:lpwstr>
      </vt:variant>
      <vt:variant>
        <vt:lpwstr/>
      </vt:variant>
      <vt:variant>
        <vt:i4>8257620</vt:i4>
      </vt:variant>
      <vt:variant>
        <vt:i4>15</vt:i4>
      </vt:variant>
      <vt:variant>
        <vt:i4>0</vt:i4>
      </vt:variant>
      <vt:variant>
        <vt:i4>5</vt:i4>
      </vt:variant>
      <vt:variant>
        <vt:lpwstr>https://www.ifc.org/wps/wcm/connect/d4260b19-30f2-466d-9c7e-86ac0ece7e89/010_General%2BGuidelines.pdf?MOD=AJPERES&amp;CVID=jkD2Am7&amp;ContentCache=NONE&amp;CACHE=NONE</vt:lpwstr>
      </vt:variant>
      <vt:variant>
        <vt:lpwstr/>
      </vt:variant>
      <vt:variant>
        <vt:i4>3932259</vt:i4>
      </vt:variant>
      <vt:variant>
        <vt:i4>12</vt:i4>
      </vt:variant>
      <vt:variant>
        <vt:i4>0</vt:i4>
      </vt:variant>
      <vt:variant>
        <vt:i4>5</vt:i4>
      </vt:variant>
      <vt:variant>
        <vt:lpwstr>http://pubdocs.worldbank.org/en/936531525368193913/Environmental-Social-Framework-French2.pdf</vt:lpwstr>
      </vt:variant>
      <vt:variant>
        <vt:lpwstr>page=29&amp;zoom=80</vt:lpwstr>
      </vt:variant>
      <vt:variant>
        <vt:i4>1835036</vt:i4>
      </vt:variant>
      <vt:variant>
        <vt:i4>9</vt:i4>
      </vt:variant>
      <vt:variant>
        <vt:i4>0</vt:i4>
      </vt:variant>
      <vt:variant>
        <vt:i4>5</vt:i4>
      </vt:variant>
      <vt:variant>
        <vt:lpwstr>http://pubdocs.worldbank.org/en/296041548955886585/Good-Practice-Note-Addressing-Gender-Based-Violence-french.pdf</vt:lpwstr>
      </vt:variant>
      <vt:variant>
        <vt:lpwstr/>
      </vt:variant>
      <vt:variant>
        <vt:i4>1835036</vt:i4>
      </vt:variant>
      <vt:variant>
        <vt:i4>6</vt:i4>
      </vt:variant>
      <vt:variant>
        <vt:i4>0</vt:i4>
      </vt:variant>
      <vt:variant>
        <vt:i4>5</vt:i4>
      </vt:variant>
      <vt:variant>
        <vt:lpwstr>http://pubdocs.worldbank.org/en/296041548955886585/Good-Practice-Note-Addressing-Gender-Based-Violence-french.pdf</vt:lpwstr>
      </vt:variant>
      <vt:variant>
        <vt:lpwstr/>
      </vt:variant>
      <vt:variant>
        <vt:i4>1835036</vt:i4>
      </vt:variant>
      <vt:variant>
        <vt:i4>3</vt:i4>
      </vt:variant>
      <vt:variant>
        <vt:i4>0</vt:i4>
      </vt:variant>
      <vt:variant>
        <vt:i4>5</vt:i4>
      </vt:variant>
      <vt:variant>
        <vt:lpwstr>http://pubdocs.worldbank.org/en/296041548955886585/Good-Practice-Note-Addressing-Gender-Based-Violence-french.pdf</vt:lpwstr>
      </vt:variant>
      <vt:variant>
        <vt:lpwstr/>
      </vt:variant>
      <vt:variant>
        <vt:i4>4587615</vt:i4>
      </vt:variant>
      <vt:variant>
        <vt:i4>0</vt:i4>
      </vt:variant>
      <vt:variant>
        <vt:i4>0</vt:i4>
      </vt:variant>
      <vt:variant>
        <vt:i4>5</vt:i4>
      </vt:variant>
      <vt:variant>
        <vt:lpwstr>http://pubdocs.worldbank.org/en/215761593706525660/ESF-GPN-SEASH-in-major-civil-works-French.pdf</vt:lpwstr>
      </vt:variant>
      <vt:variant>
        <vt:lpwstr/>
      </vt:variant>
      <vt:variant>
        <vt:i4>6422617</vt:i4>
      </vt:variant>
      <vt:variant>
        <vt:i4>0</vt:i4>
      </vt:variant>
      <vt:variant>
        <vt:i4>0</vt:i4>
      </vt:variant>
      <vt:variant>
        <vt:i4>5</vt:i4>
      </vt:variant>
      <vt:variant>
        <vt:lpwstr>mailto:cmuzyumba@worldbank.org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Bruno Bolek</dc:creator>
  <cp:keywords/>
  <dc:description/>
  <cp:lastModifiedBy>MCP_Journal</cp:lastModifiedBy>
  <cp:revision>2</cp:revision>
  <dcterms:created xsi:type="dcterms:W3CDTF">2022-01-21T09:32:00Z</dcterms:created>
  <dcterms:modified xsi:type="dcterms:W3CDTF">2022-01-21T09:32:00Z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TAG2">
    <vt:lpwstr>0008003c0f0100000000010290310207f7000400038000</vt:lpwstr>
  </property>
  <property fmtid="{D5CDD505-2E9C-101B-9397-08002B2CF9AE}" pid="3" name="ContentTypeId">
    <vt:lpwstr>0x0101007787EA3DE823DC489E44BF4CD2C2AF9F</vt:lpwstr>
  </property>
</Properties>
</file>